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Override PartName="/word/theme/themeOverride6.xml" ContentType="application/vnd.openxmlformats-officedocument.themeOverride+xml"/>
  <Override PartName="/word/theme/themeOverride7.xml" ContentType="application/vnd.openxmlformats-officedocument.themeOverride+xml"/>
  <Override PartName="/word/theme/themeOverride8.xml" ContentType="application/vnd.openxmlformats-officedocument.themeOverride+xml"/>
  <Override PartName="/word/theme/themeOverride9.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8C13CD">
      <w:pPr>
        <w:tabs>
          <w:tab w:val="left" w:pos="575"/>
          <w:tab w:val="left" w:pos="3149"/>
        </w:tabs>
        <w:rPr>
          <w:rFonts w:ascii="Arial" w:hAnsi="Arial" w:eastAsia="宋体" w:cs="Arial"/>
          <w:szCs w:val="28"/>
        </w:rPr>
      </w:pPr>
      <w:bookmarkStart w:id="0" w:name="OLE_LINK23"/>
      <w:bookmarkStart w:id="1" w:name="OLE_LINK24"/>
    </w:p>
    <w:p w14:paraId="40E07185">
      <w:pPr>
        <w:tabs>
          <w:tab w:val="left" w:pos="575"/>
          <w:tab w:val="left" w:pos="3149"/>
        </w:tabs>
        <w:spacing w:line="700" w:lineRule="exact"/>
        <w:jc w:val="center"/>
        <w:rPr>
          <w:rFonts w:ascii="Arial" w:hAnsi="Arial" w:eastAsia="华文行楷" w:cs="Arial"/>
          <w:spacing w:val="-8"/>
          <w:sz w:val="52"/>
          <w:szCs w:val="52"/>
        </w:rPr>
      </w:pPr>
      <w:r>
        <w:rPr>
          <w:rFonts w:ascii="Arial" w:hAnsi="Arial" w:eastAsia="华文行楷" w:cs="Arial"/>
          <w:spacing w:val="-8"/>
          <w:sz w:val="52"/>
          <w:szCs w:val="52"/>
        </w:rPr>
        <w:t>广西中伟新能源项目一期</w:t>
      </w:r>
      <w:r>
        <w:rPr>
          <w:rFonts w:hint="eastAsia" w:ascii="Arial" w:hAnsi="Arial" w:eastAsia="华文行楷" w:cs="Arial"/>
          <w:spacing w:val="-8"/>
          <w:sz w:val="52"/>
          <w:szCs w:val="52"/>
        </w:rPr>
        <w:t>二阶段</w:t>
      </w:r>
    </w:p>
    <w:p w14:paraId="7D6FD12E">
      <w:pPr>
        <w:tabs>
          <w:tab w:val="left" w:pos="575"/>
          <w:tab w:val="left" w:pos="3149"/>
        </w:tabs>
        <w:spacing w:line="700" w:lineRule="exact"/>
        <w:jc w:val="center"/>
        <w:rPr>
          <w:rFonts w:ascii="Arial" w:hAnsi="Arial" w:eastAsia="华文行楷" w:cs="Arial"/>
          <w:spacing w:val="-8"/>
          <w:sz w:val="52"/>
          <w:szCs w:val="52"/>
        </w:rPr>
      </w:pPr>
      <w:r>
        <w:rPr>
          <w:rFonts w:ascii="Arial" w:hAnsi="Arial" w:eastAsia="华文行楷" w:cs="Arial"/>
          <w:spacing w:val="-8"/>
          <w:sz w:val="52"/>
          <w:szCs w:val="52"/>
        </w:rPr>
        <w:t>（重大变动）</w:t>
      </w:r>
    </w:p>
    <w:p w14:paraId="45B8D80F">
      <w:pPr>
        <w:pStyle w:val="34"/>
        <w:spacing w:line="1000" w:lineRule="exact"/>
        <w:jc w:val="center"/>
        <w:rPr>
          <w:rFonts w:ascii="Arial" w:hAnsi="Arial" w:eastAsia="宋体" w:cs="Arial"/>
          <w:b/>
          <w:spacing w:val="10"/>
          <w:sz w:val="44"/>
          <w:szCs w:val="44"/>
        </w:rPr>
      </w:pPr>
      <w:r>
        <w:rPr>
          <w:rFonts w:ascii="Arial" w:hAnsi="Arial" w:eastAsia="宋体" w:cs="Arial"/>
          <w:b/>
          <w:spacing w:val="10"/>
          <w:sz w:val="44"/>
          <w:szCs w:val="44"/>
        </w:rPr>
        <w:t>环境影响报告书</w:t>
      </w:r>
    </w:p>
    <w:p w14:paraId="5F458526">
      <w:pPr>
        <w:jc w:val="center"/>
        <w:outlineLvl w:val="0"/>
        <w:rPr>
          <w:rFonts w:ascii="Arial" w:hAnsi="Arial" w:eastAsia="宋体" w:cs="Arial"/>
          <w:b/>
          <w:bCs/>
          <w:spacing w:val="10"/>
          <w:sz w:val="36"/>
          <w:szCs w:val="36"/>
        </w:rPr>
      </w:pPr>
      <w:bookmarkStart w:id="2" w:name="_Toc106202472"/>
      <w:bookmarkStart w:id="3" w:name="_Toc154599043"/>
      <w:bookmarkStart w:id="4" w:name="_Toc57715528"/>
      <w:bookmarkStart w:id="5" w:name="_Toc183513647"/>
      <w:bookmarkStart w:id="6" w:name="_Toc104677205"/>
      <w:bookmarkStart w:id="7" w:name="_Toc151636719"/>
      <w:bookmarkStart w:id="8" w:name="_Toc106006213"/>
      <w:bookmarkStart w:id="9" w:name="_Toc152260244"/>
      <w:bookmarkStart w:id="10" w:name="_Toc88674672"/>
      <w:bookmarkStart w:id="11" w:name="_Toc58596368"/>
      <w:bookmarkStart w:id="12" w:name="_Toc107420177"/>
      <w:bookmarkStart w:id="13" w:name="_Toc153639597"/>
      <w:bookmarkStart w:id="14" w:name="_Toc108634689"/>
      <w:bookmarkStart w:id="15" w:name="_Toc185950196"/>
      <w:bookmarkStart w:id="16" w:name="_Toc67921777"/>
      <w:bookmarkStart w:id="17" w:name="_Toc105506427"/>
      <w:bookmarkStart w:id="18" w:name="_Toc179816378"/>
      <w:bookmarkStart w:id="19" w:name="_Toc87124158"/>
      <w:bookmarkStart w:id="20" w:name="_Toc171608353"/>
      <w:bookmarkStart w:id="21" w:name="_Toc87123972"/>
      <w:bookmarkStart w:id="22" w:name="_Toc104971907"/>
      <w:bookmarkStart w:id="23" w:name="_Toc104677398"/>
      <w:r>
        <w:rPr>
          <w:rFonts w:ascii="Arial" w:hAnsi="Arial" w:eastAsia="宋体" w:cs="Arial"/>
          <w:b/>
          <w:bCs/>
          <w:spacing w:val="10"/>
          <w:sz w:val="36"/>
          <w:szCs w:val="36"/>
        </w:rPr>
        <w:t>（</w:t>
      </w:r>
      <w:r>
        <w:rPr>
          <w:rFonts w:hint="eastAsia" w:ascii="Arial" w:hAnsi="Arial" w:eastAsia="宋体" w:cs="Arial"/>
          <w:b/>
          <w:bCs/>
          <w:spacing w:val="10"/>
          <w:sz w:val="36"/>
          <w:szCs w:val="36"/>
        </w:rPr>
        <w:t>公示本</w:t>
      </w:r>
      <w:r>
        <w:rPr>
          <w:rFonts w:ascii="Arial" w:hAnsi="Arial" w:eastAsia="宋体" w:cs="Arial"/>
          <w:b/>
          <w:bCs/>
          <w:spacing w:val="10"/>
          <w:sz w:val="36"/>
          <w:szCs w:val="36"/>
        </w:rPr>
        <w:t>）</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14:paraId="0911EA82">
      <w:pPr>
        <w:pStyle w:val="34"/>
        <w:rPr>
          <w:rFonts w:ascii="Arial" w:hAnsi="Arial" w:eastAsia="宋体" w:cs="Arial"/>
          <w:b/>
          <w:spacing w:val="10"/>
          <w:sz w:val="32"/>
        </w:rPr>
      </w:pPr>
    </w:p>
    <w:p w14:paraId="0F5E3FB1">
      <w:pPr>
        <w:pStyle w:val="34"/>
        <w:rPr>
          <w:rFonts w:ascii="Arial" w:hAnsi="Arial" w:eastAsia="宋体" w:cs="Arial"/>
          <w:b/>
          <w:spacing w:val="10"/>
          <w:sz w:val="32"/>
        </w:rPr>
      </w:pPr>
    </w:p>
    <w:p w14:paraId="2DBE2133">
      <w:pPr>
        <w:pStyle w:val="34"/>
        <w:rPr>
          <w:rFonts w:ascii="Arial" w:hAnsi="Arial" w:eastAsia="宋体" w:cs="Arial"/>
          <w:b/>
          <w:spacing w:val="10"/>
          <w:sz w:val="32"/>
        </w:rPr>
      </w:pPr>
    </w:p>
    <w:p w14:paraId="720C6855">
      <w:pPr>
        <w:pStyle w:val="34"/>
        <w:rPr>
          <w:rFonts w:ascii="Arial" w:hAnsi="Arial" w:eastAsia="宋体" w:cs="Arial"/>
          <w:b/>
          <w:spacing w:val="10"/>
          <w:sz w:val="32"/>
        </w:rPr>
      </w:pPr>
    </w:p>
    <w:p w14:paraId="610B77AB">
      <w:pPr>
        <w:pStyle w:val="34"/>
        <w:rPr>
          <w:rFonts w:ascii="Arial" w:hAnsi="Arial" w:eastAsia="宋体" w:cs="Arial"/>
          <w:b/>
          <w:spacing w:val="10"/>
          <w:sz w:val="32"/>
        </w:rPr>
      </w:pPr>
    </w:p>
    <w:p w14:paraId="0FFABF74">
      <w:pPr>
        <w:pStyle w:val="34"/>
        <w:rPr>
          <w:rFonts w:ascii="Arial" w:hAnsi="Arial" w:eastAsia="宋体" w:cs="Arial"/>
          <w:b/>
          <w:spacing w:val="10"/>
          <w:sz w:val="32"/>
        </w:rPr>
      </w:pPr>
    </w:p>
    <w:p w14:paraId="218F80F0">
      <w:pPr>
        <w:pStyle w:val="34"/>
        <w:rPr>
          <w:rFonts w:ascii="Arial" w:hAnsi="Arial" w:eastAsia="宋体" w:cs="Arial"/>
          <w:b/>
          <w:spacing w:val="10"/>
          <w:sz w:val="32"/>
        </w:rPr>
      </w:pPr>
    </w:p>
    <w:p w14:paraId="195228B8">
      <w:pPr>
        <w:pStyle w:val="34"/>
        <w:rPr>
          <w:rFonts w:ascii="Arial" w:hAnsi="Arial" w:eastAsia="宋体" w:cs="Arial"/>
          <w:b/>
          <w:spacing w:val="10"/>
          <w:sz w:val="32"/>
        </w:rPr>
      </w:pPr>
    </w:p>
    <w:p w14:paraId="7FF0D0CA">
      <w:pPr>
        <w:pStyle w:val="34"/>
        <w:rPr>
          <w:rFonts w:ascii="Arial" w:hAnsi="Arial" w:eastAsia="宋体" w:cs="Arial"/>
          <w:b/>
          <w:spacing w:val="10"/>
          <w:sz w:val="32"/>
        </w:rPr>
      </w:pPr>
    </w:p>
    <w:p w14:paraId="5486CD31">
      <w:pPr>
        <w:pStyle w:val="34"/>
        <w:rPr>
          <w:rFonts w:ascii="Arial" w:hAnsi="Arial" w:eastAsia="宋体" w:cs="Arial"/>
          <w:b/>
          <w:spacing w:val="10"/>
          <w:sz w:val="32"/>
        </w:rPr>
      </w:pPr>
    </w:p>
    <w:p w14:paraId="527ABBB9">
      <w:pPr>
        <w:pStyle w:val="34"/>
        <w:rPr>
          <w:rFonts w:ascii="Arial" w:hAnsi="Arial" w:eastAsia="宋体" w:cs="Arial"/>
          <w:b/>
          <w:spacing w:val="10"/>
          <w:sz w:val="32"/>
        </w:rPr>
      </w:pPr>
    </w:p>
    <w:p w14:paraId="498089C3">
      <w:pPr>
        <w:widowControl/>
        <w:spacing w:before="210" w:beforeLines="50" w:after="210" w:afterLines="50"/>
        <w:ind w:firstLine="676" w:firstLineChars="196"/>
        <w:jc w:val="left"/>
        <w:rPr>
          <w:rFonts w:ascii="Arial" w:hAnsi="Arial" w:eastAsia="宋体" w:cs="Arial"/>
          <w:b/>
          <w:spacing w:val="20"/>
          <w:sz w:val="32"/>
          <w:szCs w:val="32"/>
        </w:rPr>
      </w:pPr>
      <w:r>
        <w:rPr>
          <w:rFonts w:ascii="Arial" w:hAnsi="Arial" w:eastAsia="宋体" w:cs="Arial"/>
          <w:b/>
          <w:spacing w:val="20"/>
          <w:sz w:val="32"/>
          <w:szCs w:val="32"/>
        </w:rPr>
        <w:t>建设单位：广西中伟新能源科技有限公司</w:t>
      </w:r>
    </w:p>
    <w:p w14:paraId="6331EAB5">
      <w:pPr>
        <w:widowControl/>
        <w:spacing w:before="210" w:beforeLines="50" w:after="210" w:afterLines="50"/>
        <w:ind w:firstLine="676" w:firstLineChars="196"/>
        <w:jc w:val="left"/>
        <w:rPr>
          <w:rFonts w:ascii="Arial" w:hAnsi="Arial" w:eastAsia="宋体" w:cs="Arial"/>
          <w:b/>
          <w:spacing w:val="20"/>
          <w:sz w:val="32"/>
          <w:szCs w:val="32"/>
        </w:rPr>
      </w:pPr>
      <w:r>
        <w:rPr>
          <w:rFonts w:ascii="Arial" w:hAnsi="Arial" w:eastAsia="宋体" w:cs="Arial"/>
          <w:b/>
          <w:spacing w:val="20"/>
          <w:sz w:val="32"/>
          <w:szCs w:val="32"/>
        </w:rPr>
        <w:t>编制单位：广西中冠智合生态环境有限公司</w:t>
      </w:r>
    </w:p>
    <w:p w14:paraId="0D061F0A">
      <w:pPr>
        <w:pStyle w:val="5"/>
        <w:spacing w:before="210" w:beforeLines="50" w:after="210" w:afterLines="50" w:line="240" w:lineRule="auto"/>
        <w:ind w:firstLine="676" w:firstLineChars="196"/>
        <w:rPr>
          <w:b/>
          <w:spacing w:val="20"/>
          <w:sz w:val="32"/>
          <w:szCs w:val="32"/>
        </w:rPr>
      </w:pPr>
      <w:r>
        <w:rPr>
          <w:b/>
          <w:spacing w:val="20"/>
          <w:sz w:val="32"/>
          <w:szCs w:val="32"/>
        </w:rPr>
        <w:t>编制日期：二</w:t>
      </w:r>
      <w:r>
        <w:rPr>
          <w:rFonts w:hint="eastAsia"/>
          <w:b/>
          <w:spacing w:val="20"/>
          <w:sz w:val="32"/>
          <w:szCs w:val="32"/>
        </w:rPr>
        <w:t>〇</w:t>
      </w:r>
      <w:r>
        <w:rPr>
          <w:b/>
          <w:spacing w:val="20"/>
          <w:sz w:val="32"/>
          <w:szCs w:val="32"/>
        </w:rPr>
        <w:t>二</w:t>
      </w:r>
      <w:r>
        <w:rPr>
          <w:rFonts w:hint="eastAsia"/>
          <w:b/>
          <w:spacing w:val="20"/>
          <w:sz w:val="32"/>
          <w:szCs w:val="32"/>
        </w:rPr>
        <w:t>五</w:t>
      </w:r>
      <w:r>
        <w:rPr>
          <w:b/>
          <w:spacing w:val="20"/>
          <w:sz w:val="32"/>
          <w:szCs w:val="32"/>
        </w:rPr>
        <w:t>年</w:t>
      </w:r>
      <w:r>
        <w:rPr>
          <w:rFonts w:hint="eastAsia"/>
          <w:b/>
          <w:spacing w:val="20"/>
          <w:sz w:val="32"/>
          <w:szCs w:val="32"/>
        </w:rPr>
        <w:t>一</w:t>
      </w:r>
      <w:r>
        <w:rPr>
          <w:b/>
          <w:spacing w:val="20"/>
          <w:sz w:val="32"/>
          <w:szCs w:val="32"/>
        </w:rPr>
        <w:t>月</w:t>
      </w:r>
    </w:p>
    <w:p w14:paraId="3EE16AB8">
      <w:pPr>
        <w:pStyle w:val="5"/>
        <w:spacing w:before="210" w:beforeLines="50" w:after="210" w:afterLines="50" w:line="240" w:lineRule="auto"/>
        <w:ind w:firstLine="676" w:firstLineChars="196"/>
        <w:rPr>
          <w:b/>
          <w:spacing w:val="20"/>
          <w:sz w:val="32"/>
          <w:szCs w:val="32"/>
        </w:rPr>
      </w:pPr>
    </w:p>
    <w:p w14:paraId="0882B182">
      <w:pPr>
        <w:pStyle w:val="5"/>
        <w:spacing w:before="210" w:beforeLines="50" w:after="210" w:afterLines="50" w:line="240" w:lineRule="auto"/>
        <w:ind w:firstLine="676" w:firstLineChars="196"/>
        <w:rPr>
          <w:b/>
          <w:spacing w:val="20"/>
          <w:sz w:val="32"/>
          <w:szCs w:val="32"/>
        </w:rPr>
        <w:sectPr>
          <w:footerReference r:id="rId6" w:type="first"/>
          <w:headerReference r:id="rId3" w:type="default"/>
          <w:footerReference r:id="rId4" w:type="default"/>
          <w:footerReference r:id="rId5" w:type="even"/>
          <w:pgSz w:w="11907" w:h="16840"/>
          <w:pgMar w:top="1678" w:right="1408" w:bottom="1901" w:left="1155" w:header="1174" w:footer="1029" w:gutter="567"/>
          <w:pgNumType w:fmt="upperRoman"/>
          <w:cols w:space="720" w:num="1"/>
          <w:docGrid w:type="linesAndChars" w:linePitch="421" w:charSpace="-3161"/>
        </w:sectPr>
      </w:pP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0"/>
        <w:gridCol w:w="4701"/>
      </w:tblGrid>
      <w:tr w14:paraId="2EEB1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00" w:type="dxa"/>
            <w:shd w:val="clear" w:color="auto" w:fill="auto"/>
            <w:vAlign w:val="center"/>
          </w:tcPr>
          <w:p w14:paraId="5A22157A">
            <w:pPr>
              <w:pStyle w:val="5"/>
              <w:adjustRightInd w:val="0"/>
              <w:snapToGrid w:val="0"/>
              <w:spacing w:line="240" w:lineRule="auto"/>
              <w:ind w:firstLine="0"/>
              <w:jc w:val="center"/>
              <w:rPr>
                <w:b/>
                <w:spacing w:val="20"/>
                <w:szCs w:val="24"/>
                <w:highlight w:val="yellow"/>
              </w:rPr>
            </w:pPr>
            <w:r>
              <w:rPr>
                <w:b/>
                <w:spacing w:val="20"/>
                <w:szCs w:val="24"/>
              </w:rPr>
              <w:drawing>
                <wp:inline distT="0" distB="0" distL="114300" distR="114300">
                  <wp:extent cx="2879090" cy="1920240"/>
                  <wp:effectExtent l="0" t="0" r="16510" b="3810"/>
                  <wp:docPr id="6" name="图片 12" descr="说明: C:\Users\Administrator\Desktop\新建文件夹\DJI_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 descr="说明: C:\Users\Administrator\Desktop\新建文件夹\DJI_0478.JPG"/>
                          <pic:cNvPicPr>
                            <a:picLocks noChangeAspect="1"/>
                          </pic:cNvPicPr>
                        </pic:nvPicPr>
                        <pic:blipFill>
                          <a:blip r:embed="rId21"/>
                          <a:stretch>
                            <a:fillRect/>
                          </a:stretch>
                        </pic:blipFill>
                        <pic:spPr>
                          <a:xfrm>
                            <a:off x="0" y="0"/>
                            <a:ext cx="2879090" cy="1920240"/>
                          </a:xfrm>
                          <a:prstGeom prst="rect">
                            <a:avLst/>
                          </a:prstGeom>
                          <a:noFill/>
                          <a:ln>
                            <a:noFill/>
                          </a:ln>
                        </pic:spPr>
                      </pic:pic>
                    </a:graphicData>
                  </a:graphic>
                </wp:inline>
              </w:drawing>
            </w:r>
          </w:p>
        </w:tc>
        <w:tc>
          <w:tcPr>
            <w:tcW w:w="4701" w:type="dxa"/>
            <w:shd w:val="clear" w:color="auto" w:fill="auto"/>
            <w:vAlign w:val="center"/>
          </w:tcPr>
          <w:p w14:paraId="689ECB53">
            <w:pPr>
              <w:pStyle w:val="5"/>
              <w:adjustRightInd w:val="0"/>
              <w:snapToGrid w:val="0"/>
              <w:spacing w:line="240" w:lineRule="auto"/>
              <w:ind w:firstLine="0"/>
              <w:jc w:val="center"/>
              <w:rPr>
                <w:b/>
                <w:spacing w:val="20"/>
                <w:szCs w:val="24"/>
                <w:highlight w:val="yellow"/>
              </w:rPr>
            </w:pPr>
            <w:r>
              <w:rPr>
                <w:b/>
                <w:spacing w:val="20"/>
                <w:szCs w:val="24"/>
              </w:rPr>
              <w:drawing>
                <wp:inline distT="0" distB="0" distL="114300" distR="114300">
                  <wp:extent cx="2880360" cy="1920240"/>
                  <wp:effectExtent l="0" t="0" r="15240" b="3810"/>
                  <wp:docPr id="8" name="图片 15" descr="说明: F:\0在做项目\钦州中伟\现场照片\DJI_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 descr="说明: F:\0在做项目\钦州中伟\现场照片\DJI_0477.JPG"/>
                          <pic:cNvPicPr>
                            <a:picLocks noChangeAspect="1"/>
                          </pic:cNvPicPr>
                        </pic:nvPicPr>
                        <pic:blipFill>
                          <a:blip r:embed="rId22"/>
                          <a:stretch>
                            <a:fillRect/>
                          </a:stretch>
                        </pic:blipFill>
                        <pic:spPr>
                          <a:xfrm>
                            <a:off x="0" y="0"/>
                            <a:ext cx="2880360" cy="1920240"/>
                          </a:xfrm>
                          <a:prstGeom prst="rect">
                            <a:avLst/>
                          </a:prstGeom>
                          <a:noFill/>
                          <a:ln>
                            <a:noFill/>
                          </a:ln>
                        </pic:spPr>
                      </pic:pic>
                    </a:graphicData>
                  </a:graphic>
                </wp:inline>
              </w:drawing>
            </w:r>
          </w:p>
        </w:tc>
      </w:tr>
      <w:tr w14:paraId="0E92D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00" w:type="dxa"/>
            <w:shd w:val="clear" w:color="auto" w:fill="auto"/>
            <w:vAlign w:val="center"/>
          </w:tcPr>
          <w:p w14:paraId="0D232327">
            <w:pPr>
              <w:pStyle w:val="5"/>
              <w:adjustRightInd w:val="0"/>
              <w:snapToGrid w:val="0"/>
              <w:spacing w:line="240" w:lineRule="auto"/>
              <w:ind w:firstLine="0"/>
              <w:jc w:val="center"/>
              <w:rPr>
                <w:b/>
                <w:spacing w:val="20"/>
                <w:szCs w:val="24"/>
              </w:rPr>
            </w:pPr>
            <w:r>
              <w:rPr>
                <w:b/>
                <w:spacing w:val="20"/>
                <w:szCs w:val="24"/>
              </w:rPr>
              <w:t>厂区东面现状</w:t>
            </w:r>
          </w:p>
        </w:tc>
        <w:tc>
          <w:tcPr>
            <w:tcW w:w="4701" w:type="dxa"/>
            <w:shd w:val="clear" w:color="auto" w:fill="auto"/>
            <w:vAlign w:val="center"/>
          </w:tcPr>
          <w:p w14:paraId="18083981">
            <w:pPr>
              <w:pStyle w:val="5"/>
              <w:adjustRightInd w:val="0"/>
              <w:snapToGrid w:val="0"/>
              <w:spacing w:line="240" w:lineRule="auto"/>
              <w:ind w:firstLine="0"/>
              <w:jc w:val="center"/>
              <w:rPr>
                <w:b/>
                <w:spacing w:val="20"/>
                <w:szCs w:val="24"/>
              </w:rPr>
            </w:pPr>
            <w:r>
              <w:rPr>
                <w:b/>
                <w:spacing w:val="20"/>
                <w:szCs w:val="24"/>
              </w:rPr>
              <w:t>厂区南面现状</w:t>
            </w:r>
          </w:p>
        </w:tc>
      </w:tr>
      <w:tr w14:paraId="085C7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00" w:type="dxa"/>
            <w:shd w:val="clear" w:color="auto" w:fill="auto"/>
            <w:vAlign w:val="center"/>
          </w:tcPr>
          <w:p w14:paraId="32113AC4">
            <w:pPr>
              <w:pStyle w:val="5"/>
              <w:adjustRightInd w:val="0"/>
              <w:snapToGrid w:val="0"/>
              <w:spacing w:line="240" w:lineRule="auto"/>
              <w:ind w:firstLine="0"/>
              <w:jc w:val="center"/>
              <w:rPr>
                <w:b/>
                <w:spacing w:val="20"/>
                <w:szCs w:val="24"/>
              </w:rPr>
            </w:pPr>
            <w:r>
              <w:rPr>
                <w:b/>
                <w:spacing w:val="20"/>
                <w:szCs w:val="24"/>
              </w:rPr>
              <w:drawing>
                <wp:inline distT="0" distB="0" distL="114300" distR="114300">
                  <wp:extent cx="2880360" cy="1920240"/>
                  <wp:effectExtent l="0" t="0" r="15240" b="3810"/>
                  <wp:docPr id="10" name="图片 16" descr="说明: F:\0在做项目\钦州中伟\现场照片\DJI_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descr="说明: F:\0在做项目\钦州中伟\现场照片\DJI_0473.JPG"/>
                          <pic:cNvPicPr>
                            <a:picLocks noChangeAspect="1"/>
                          </pic:cNvPicPr>
                        </pic:nvPicPr>
                        <pic:blipFill>
                          <a:blip r:embed="rId23"/>
                          <a:stretch>
                            <a:fillRect/>
                          </a:stretch>
                        </pic:blipFill>
                        <pic:spPr>
                          <a:xfrm>
                            <a:off x="0" y="0"/>
                            <a:ext cx="2880360" cy="1920240"/>
                          </a:xfrm>
                          <a:prstGeom prst="rect">
                            <a:avLst/>
                          </a:prstGeom>
                          <a:noFill/>
                          <a:ln>
                            <a:noFill/>
                          </a:ln>
                        </pic:spPr>
                      </pic:pic>
                    </a:graphicData>
                  </a:graphic>
                </wp:inline>
              </w:drawing>
            </w:r>
          </w:p>
        </w:tc>
        <w:tc>
          <w:tcPr>
            <w:tcW w:w="4701" w:type="dxa"/>
            <w:shd w:val="clear" w:color="auto" w:fill="auto"/>
            <w:vAlign w:val="center"/>
          </w:tcPr>
          <w:p w14:paraId="5A083816">
            <w:pPr>
              <w:pStyle w:val="5"/>
              <w:adjustRightInd w:val="0"/>
              <w:snapToGrid w:val="0"/>
              <w:spacing w:line="240" w:lineRule="auto"/>
              <w:ind w:firstLine="0"/>
              <w:jc w:val="center"/>
              <w:rPr>
                <w:b/>
                <w:spacing w:val="20"/>
                <w:szCs w:val="24"/>
              </w:rPr>
            </w:pPr>
            <w:r>
              <w:rPr>
                <w:b/>
                <w:spacing w:val="20"/>
                <w:szCs w:val="24"/>
              </w:rPr>
              <w:drawing>
                <wp:inline distT="0" distB="0" distL="114300" distR="114300">
                  <wp:extent cx="2880360" cy="1920240"/>
                  <wp:effectExtent l="0" t="0" r="15240" b="3810"/>
                  <wp:docPr id="11" name="图片 17" descr="说明: F:\0在做项目\钦州中伟\现场照片\DJI_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descr="说明: F:\0在做项目\钦州中伟\现场照片\DJI_0486.JPG"/>
                          <pic:cNvPicPr>
                            <a:picLocks noChangeAspect="1"/>
                          </pic:cNvPicPr>
                        </pic:nvPicPr>
                        <pic:blipFill>
                          <a:blip r:embed="rId24"/>
                          <a:stretch>
                            <a:fillRect/>
                          </a:stretch>
                        </pic:blipFill>
                        <pic:spPr>
                          <a:xfrm>
                            <a:off x="0" y="0"/>
                            <a:ext cx="2880360" cy="1920240"/>
                          </a:xfrm>
                          <a:prstGeom prst="rect">
                            <a:avLst/>
                          </a:prstGeom>
                          <a:noFill/>
                          <a:ln>
                            <a:noFill/>
                          </a:ln>
                        </pic:spPr>
                      </pic:pic>
                    </a:graphicData>
                  </a:graphic>
                </wp:inline>
              </w:drawing>
            </w:r>
          </w:p>
        </w:tc>
      </w:tr>
      <w:tr w14:paraId="59362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00" w:type="dxa"/>
            <w:shd w:val="clear" w:color="auto" w:fill="auto"/>
            <w:vAlign w:val="center"/>
          </w:tcPr>
          <w:p w14:paraId="5E5CF12C">
            <w:pPr>
              <w:pStyle w:val="5"/>
              <w:adjustRightInd w:val="0"/>
              <w:snapToGrid w:val="0"/>
              <w:spacing w:line="240" w:lineRule="auto"/>
              <w:ind w:firstLine="0"/>
              <w:jc w:val="center"/>
              <w:rPr>
                <w:b/>
                <w:spacing w:val="20"/>
                <w:szCs w:val="24"/>
              </w:rPr>
            </w:pPr>
            <w:r>
              <w:rPr>
                <w:b/>
                <w:spacing w:val="20"/>
                <w:szCs w:val="24"/>
              </w:rPr>
              <w:t>厂区西面现状</w:t>
            </w:r>
          </w:p>
        </w:tc>
        <w:tc>
          <w:tcPr>
            <w:tcW w:w="4701" w:type="dxa"/>
            <w:shd w:val="clear" w:color="auto" w:fill="auto"/>
            <w:vAlign w:val="center"/>
          </w:tcPr>
          <w:p w14:paraId="2E9D0784">
            <w:pPr>
              <w:pStyle w:val="5"/>
              <w:adjustRightInd w:val="0"/>
              <w:snapToGrid w:val="0"/>
              <w:spacing w:line="240" w:lineRule="auto"/>
              <w:ind w:firstLine="0"/>
              <w:jc w:val="center"/>
              <w:rPr>
                <w:b/>
                <w:spacing w:val="20"/>
                <w:szCs w:val="24"/>
              </w:rPr>
            </w:pPr>
            <w:r>
              <w:rPr>
                <w:b/>
                <w:spacing w:val="20"/>
                <w:szCs w:val="24"/>
              </w:rPr>
              <w:t>厂区北面现状（鸡墩头村）</w:t>
            </w:r>
          </w:p>
        </w:tc>
      </w:tr>
      <w:tr w14:paraId="65C8D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00" w:type="dxa"/>
            <w:shd w:val="clear" w:color="auto" w:fill="auto"/>
            <w:vAlign w:val="center"/>
          </w:tcPr>
          <w:p w14:paraId="0D8F62DD">
            <w:pPr>
              <w:pStyle w:val="5"/>
              <w:adjustRightInd w:val="0"/>
              <w:snapToGrid w:val="0"/>
              <w:spacing w:line="240" w:lineRule="auto"/>
              <w:ind w:firstLine="0"/>
              <w:jc w:val="center"/>
              <w:rPr>
                <w:b/>
                <w:spacing w:val="20"/>
                <w:szCs w:val="24"/>
                <w:highlight w:val="yellow"/>
              </w:rPr>
            </w:pPr>
            <w:r>
              <w:rPr>
                <w:b/>
                <w:spacing w:val="20"/>
                <w:szCs w:val="24"/>
              </w:rPr>
              <w:drawing>
                <wp:inline distT="0" distB="0" distL="114300" distR="114300">
                  <wp:extent cx="2880360" cy="2159635"/>
                  <wp:effectExtent l="0" t="0" r="15240" b="12065"/>
                  <wp:docPr id="12" name="图片 26" descr="说明: G:\1 在做\2024.7.9  中伟羟基钴\照片\微信图片_2024071715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6" descr="说明: G:\1 在做\2024.7.9  中伟羟基钴\照片\微信图片_20240717151556.jpg"/>
                          <pic:cNvPicPr>
                            <a:picLocks noChangeAspect="1"/>
                          </pic:cNvPicPr>
                        </pic:nvPicPr>
                        <pic:blipFill>
                          <a:blip r:embed="rId25"/>
                          <a:stretch>
                            <a:fillRect/>
                          </a:stretch>
                        </pic:blipFill>
                        <pic:spPr>
                          <a:xfrm>
                            <a:off x="0" y="0"/>
                            <a:ext cx="2880360" cy="2159635"/>
                          </a:xfrm>
                          <a:prstGeom prst="rect">
                            <a:avLst/>
                          </a:prstGeom>
                          <a:noFill/>
                          <a:ln>
                            <a:noFill/>
                          </a:ln>
                        </pic:spPr>
                      </pic:pic>
                    </a:graphicData>
                  </a:graphic>
                </wp:inline>
              </w:drawing>
            </w:r>
          </w:p>
        </w:tc>
        <w:tc>
          <w:tcPr>
            <w:tcW w:w="4701" w:type="dxa"/>
            <w:shd w:val="clear" w:color="auto" w:fill="auto"/>
            <w:vAlign w:val="center"/>
          </w:tcPr>
          <w:p w14:paraId="50D0653E">
            <w:pPr>
              <w:pStyle w:val="5"/>
              <w:adjustRightInd w:val="0"/>
              <w:snapToGrid w:val="0"/>
              <w:spacing w:line="240" w:lineRule="auto"/>
              <w:ind w:firstLine="0"/>
              <w:jc w:val="center"/>
              <w:rPr>
                <w:b/>
                <w:spacing w:val="20"/>
                <w:szCs w:val="24"/>
                <w:highlight w:val="yellow"/>
              </w:rPr>
            </w:pPr>
            <w:r>
              <w:rPr>
                <w:b/>
                <w:spacing w:val="20"/>
                <w:szCs w:val="24"/>
              </w:rPr>
              <w:drawing>
                <wp:inline distT="0" distB="0" distL="114300" distR="114300">
                  <wp:extent cx="2880360" cy="2159635"/>
                  <wp:effectExtent l="0" t="0" r="15240" b="12065"/>
                  <wp:docPr id="15" name="图片 230" descr="说明: E:\微信聊天文件\WeChat Files\byghdea\FileStorage\Temp\47e9b1753bf627f1408bbae002e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30" descr="说明: E:\微信聊天文件\WeChat Files\byghdea\FileStorage\Temp\47e9b1753bf627f1408bbae002e3505.jpg"/>
                          <pic:cNvPicPr>
                            <a:picLocks noChangeAspect="1"/>
                          </pic:cNvPicPr>
                        </pic:nvPicPr>
                        <pic:blipFill>
                          <a:blip r:embed="rId26"/>
                          <a:stretch>
                            <a:fillRect/>
                          </a:stretch>
                        </pic:blipFill>
                        <pic:spPr>
                          <a:xfrm>
                            <a:off x="0" y="0"/>
                            <a:ext cx="2880360" cy="2159635"/>
                          </a:xfrm>
                          <a:prstGeom prst="rect">
                            <a:avLst/>
                          </a:prstGeom>
                          <a:noFill/>
                          <a:ln>
                            <a:noFill/>
                          </a:ln>
                        </pic:spPr>
                      </pic:pic>
                    </a:graphicData>
                  </a:graphic>
                </wp:inline>
              </w:drawing>
            </w:r>
          </w:p>
        </w:tc>
      </w:tr>
      <w:tr w14:paraId="570E8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00" w:type="dxa"/>
            <w:shd w:val="clear" w:color="auto" w:fill="auto"/>
            <w:vAlign w:val="center"/>
          </w:tcPr>
          <w:p w14:paraId="6497237D">
            <w:pPr>
              <w:pStyle w:val="5"/>
              <w:adjustRightInd w:val="0"/>
              <w:snapToGrid w:val="0"/>
              <w:spacing w:line="240" w:lineRule="auto"/>
              <w:ind w:firstLine="0"/>
              <w:jc w:val="center"/>
              <w:rPr>
                <w:b/>
                <w:spacing w:val="20"/>
                <w:szCs w:val="24"/>
                <w:highlight w:val="yellow"/>
              </w:rPr>
            </w:pPr>
            <w:r>
              <w:rPr>
                <w:b/>
                <w:spacing w:val="20"/>
                <w:szCs w:val="24"/>
              </w:rPr>
              <w:t>拟建项目</w:t>
            </w:r>
            <w:r>
              <w:rPr>
                <w:rFonts w:hint="eastAsia"/>
                <w:b/>
                <w:spacing w:val="20"/>
                <w:szCs w:val="24"/>
              </w:rPr>
              <w:t>羟基钴生产线</w:t>
            </w:r>
            <w:r>
              <w:rPr>
                <w:b/>
                <w:spacing w:val="20"/>
                <w:szCs w:val="24"/>
              </w:rPr>
              <w:t>X1</w:t>
            </w:r>
            <w:r>
              <w:rPr>
                <w:rFonts w:hint="eastAsia"/>
                <w:b/>
                <w:spacing w:val="20"/>
                <w:szCs w:val="24"/>
              </w:rPr>
              <w:t>9</w:t>
            </w:r>
            <w:r>
              <w:rPr>
                <w:b/>
                <w:spacing w:val="20"/>
                <w:szCs w:val="24"/>
              </w:rPr>
              <w:t>车间</w:t>
            </w:r>
          </w:p>
        </w:tc>
        <w:tc>
          <w:tcPr>
            <w:tcW w:w="4701" w:type="dxa"/>
            <w:shd w:val="clear" w:color="auto" w:fill="auto"/>
            <w:vAlign w:val="center"/>
          </w:tcPr>
          <w:p w14:paraId="15396CC5">
            <w:pPr>
              <w:pStyle w:val="5"/>
              <w:adjustRightInd w:val="0"/>
              <w:snapToGrid w:val="0"/>
              <w:spacing w:line="240" w:lineRule="auto"/>
              <w:ind w:firstLine="0"/>
              <w:jc w:val="center"/>
              <w:rPr>
                <w:b/>
                <w:spacing w:val="20"/>
                <w:szCs w:val="24"/>
                <w:highlight w:val="yellow"/>
              </w:rPr>
            </w:pPr>
            <w:r>
              <w:rPr>
                <w:b/>
                <w:spacing w:val="20"/>
                <w:szCs w:val="24"/>
              </w:rPr>
              <w:t>X1</w:t>
            </w:r>
            <w:r>
              <w:rPr>
                <w:rFonts w:hint="eastAsia"/>
                <w:b/>
                <w:spacing w:val="20"/>
                <w:szCs w:val="24"/>
              </w:rPr>
              <w:t>9</w:t>
            </w:r>
            <w:r>
              <w:rPr>
                <w:b/>
                <w:spacing w:val="20"/>
                <w:szCs w:val="24"/>
              </w:rPr>
              <w:t>车间</w:t>
            </w:r>
            <w:r>
              <w:rPr>
                <w:rFonts w:hint="eastAsia"/>
                <w:b/>
                <w:spacing w:val="20"/>
                <w:szCs w:val="24"/>
              </w:rPr>
              <w:t>废气处理设施</w:t>
            </w:r>
          </w:p>
        </w:tc>
      </w:tr>
    </w:tbl>
    <w:p w14:paraId="35542366">
      <w:pPr>
        <w:pStyle w:val="5"/>
        <w:spacing w:line="500" w:lineRule="exact"/>
        <w:ind w:firstLine="0"/>
        <w:rPr>
          <w:b/>
          <w:spacing w:val="20"/>
          <w:szCs w:val="24"/>
          <w:highlight w:val="yellow"/>
        </w:rPr>
        <w:sectPr>
          <w:headerReference r:id="rId7" w:type="default"/>
          <w:footerReference r:id="rId8" w:type="default"/>
          <w:pgSz w:w="11907" w:h="16840"/>
          <w:pgMar w:top="851" w:right="1021" w:bottom="851" w:left="1134" w:header="851" w:footer="567" w:gutter="567"/>
          <w:pgNumType w:fmt="upperRoman"/>
          <w:cols w:space="720" w:num="1"/>
          <w:docGrid w:type="linesAndChars" w:linePitch="421" w:charSpace="-3161"/>
        </w:sectPr>
      </w:pPr>
    </w:p>
    <w:bookmarkEnd w:id="0"/>
    <w:bookmarkEnd w:id="1"/>
    <w:p w14:paraId="73FDB0D9">
      <w:pPr>
        <w:keepNext/>
        <w:keepLines/>
        <w:pageBreakBefore/>
        <w:tabs>
          <w:tab w:val="left" w:pos="1080"/>
        </w:tabs>
        <w:adjustRightInd w:val="0"/>
        <w:spacing w:before="120" w:after="120" w:line="360" w:lineRule="auto"/>
        <w:ind w:firstLine="3623" w:firstLineChars="1050"/>
        <w:outlineLvl w:val="0"/>
        <w:rPr>
          <w:rFonts w:ascii="Arial" w:hAnsi="Arial" w:eastAsia="宋体" w:cs="Arial"/>
          <w:b/>
          <w:kern w:val="44"/>
          <w:sz w:val="36"/>
        </w:rPr>
      </w:pPr>
      <w:bookmarkStart w:id="24" w:name="_Toc345410209"/>
      <w:bookmarkStart w:id="25" w:name="_Toc345341296"/>
      <w:bookmarkStart w:id="26" w:name="_Toc345161242"/>
      <w:bookmarkStart w:id="27" w:name="_Toc371958026"/>
      <w:bookmarkStart w:id="28" w:name="_Toc427223439"/>
      <w:bookmarkStart w:id="29" w:name="_Toc497894372"/>
      <w:bookmarkStart w:id="30" w:name="_Toc495187618"/>
      <w:bookmarkStart w:id="31" w:name="_Toc347237480"/>
      <w:bookmarkStart w:id="32" w:name="_Toc425977209"/>
      <w:bookmarkStart w:id="33" w:name="_Toc497938491"/>
      <w:bookmarkStart w:id="34" w:name="_Toc500143990"/>
      <w:bookmarkStart w:id="35" w:name="_Toc372292112"/>
      <w:bookmarkStart w:id="36" w:name="_Toc352933397"/>
      <w:bookmarkStart w:id="37" w:name="_Toc350777206"/>
      <w:bookmarkStart w:id="38" w:name="_Toc423097962"/>
      <w:bookmarkStart w:id="39" w:name="_Toc496719288"/>
      <w:bookmarkStart w:id="40" w:name="_Toc378167460"/>
      <w:bookmarkStart w:id="41" w:name="_Toc497404913"/>
      <w:bookmarkStart w:id="42" w:name="_Toc425930107"/>
      <w:bookmarkStart w:id="43" w:name="_Toc345409840"/>
      <w:bookmarkStart w:id="44" w:name="_Toc496955684"/>
      <w:bookmarkStart w:id="45" w:name="_Toc429664364"/>
      <w:bookmarkStart w:id="46" w:name="_Toc371933873"/>
      <w:bookmarkStart w:id="47" w:name="_Toc497405012"/>
      <w:bookmarkStart w:id="48" w:name="_Toc185950197"/>
      <w:bookmarkStart w:id="49" w:name="_Toc104677399"/>
      <w:bookmarkStart w:id="50" w:name="_Toc58596369"/>
      <w:bookmarkStart w:id="51" w:name="_Toc107420178"/>
      <w:bookmarkStart w:id="52" w:name="_Toc153639598"/>
      <w:bookmarkStart w:id="53" w:name="_Toc34494618"/>
      <w:bookmarkStart w:id="54" w:name="_Toc67921778"/>
      <w:bookmarkStart w:id="55" w:name="_Toc88674673"/>
      <w:bookmarkStart w:id="56" w:name="_Toc515189905"/>
      <w:bookmarkStart w:id="57" w:name="_Toc108634690"/>
      <w:bookmarkStart w:id="58" w:name="_Toc152260245"/>
      <w:bookmarkStart w:id="59" w:name="_Toc87123973"/>
      <w:bookmarkStart w:id="60" w:name="_Toc106202473"/>
      <w:bookmarkStart w:id="61" w:name="_Toc105506428"/>
      <w:bookmarkStart w:id="62" w:name="_Toc183513648"/>
      <w:bookmarkStart w:id="63" w:name="_Toc57715529"/>
      <w:bookmarkStart w:id="64" w:name="_Toc154599044"/>
      <w:bookmarkStart w:id="65" w:name="_Toc151636720"/>
      <w:bookmarkStart w:id="66" w:name="_Toc171608354"/>
      <w:bookmarkStart w:id="67" w:name="_Toc104677206"/>
      <w:bookmarkStart w:id="68" w:name="_Toc179816379"/>
      <w:bookmarkStart w:id="69" w:name="_Toc22029289"/>
      <w:bookmarkStart w:id="70" w:name="_Toc29155565"/>
      <w:bookmarkStart w:id="71" w:name="_Toc87124159"/>
      <w:bookmarkStart w:id="72" w:name="_Toc104971908"/>
      <w:bookmarkStart w:id="73" w:name="_Toc106006214"/>
      <w:bookmarkStart w:id="74" w:name="_Toc154599051"/>
      <w:bookmarkStart w:id="75" w:name="_Toc104971915"/>
      <w:bookmarkStart w:id="76" w:name="_Toc179816386"/>
      <w:bookmarkStart w:id="77" w:name="_Toc183513655"/>
      <w:bookmarkStart w:id="78" w:name="_Toc107420185"/>
      <w:bookmarkStart w:id="79" w:name="_Toc106006221"/>
      <w:bookmarkStart w:id="80" w:name="_Toc171608361"/>
      <w:bookmarkStart w:id="81" w:name="_Toc104677406"/>
      <w:bookmarkStart w:id="82" w:name="_Toc106202480"/>
      <w:bookmarkStart w:id="83" w:name="_Toc104677213"/>
      <w:bookmarkStart w:id="84" w:name="_Toc152260252"/>
      <w:bookmarkStart w:id="85" w:name="_Toc151636727"/>
      <w:bookmarkStart w:id="86" w:name="_Toc153639605"/>
      <w:bookmarkStart w:id="87" w:name="_Toc105506435"/>
      <w:bookmarkStart w:id="88" w:name="_Toc108634697"/>
      <w:r>
        <w:rPr>
          <w:rFonts w:ascii="Arial" w:hAnsi="Arial" w:eastAsia="宋体" w:cs="Arial"/>
          <w:b/>
          <w:kern w:val="44"/>
          <w:sz w:val="36"/>
        </w:rPr>
        <w:t xml:space="preserve">概 </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Pr>
          <w:rFonts w:ascii="Arial" w:hAnsi="Arial" w:eastAsia="宋体" w:cs="Arial"/>
          <w:b/>
          <w:kern w:val="44"/>
          <w:sz w:val="36"/>
        </w:rPr>
        <w:t xml:space="preserve"> 述</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66766D17">
      <w:pPr>
        <w:keepNext/>
        <w:keepLines/>
        <w:numPr>
          <w:ilvl w:val="1"/>
          <w:numId w:val="0"/>
        </w:numPr>
        <w:tabs>
          <w:tab w:val="left" w:pos="567"/>
        </w:tabs>
        <w:adjustRightInd w:val="0"/>
        <w:spacing w:line="360" w:lineRule="auto"/>
        <w:outlineLvl w:val="1"/>
        <w:rPr>
          <w:rFonts w:ascii="Arial" w:hAnsi="Arial" w:eastAsia="宋体" w:cs="Arial"/>
          <w:b/>
        </w:rPr>
      </w:pPr>
      <w:bookmarkStart w:id="89" w:name="_Toc153639599"/>
      <w:bookmarkStart w:id="90" w:name="_Toc104971909"/>
      <w:bookmarkStart w:id="91" w:name="_Toc425977210"/>
      <w:bookmarkStart w:id="92" w:name="_Toc152260246"/>
      <w:bookmarkStart w:id="93" w:name="_Toc179816380"/>
      <w:bookmarkStart w:id="94" w:name="_Toc58596370"/>
      <w:bookmarkStart w:id="95" w:name="_Toc154599045"/>
      <w:bookmarkStart w:id="96" w:name="_Toc34494619"/>
      <w:bookmarkStart w:id="97" w:name="_Toc171608355"/>
      <w:bookmarkStart w:id="98" w:name="_Toc496719289"/>
      <w:bookmarkStart w:id="99" w:name="_Toc423097963"/>
      <w:bookmarkStart w:id="100" w:name="_Toc88674674"/>
      <w:bookmarkStart w:id="101" w:name="_Toc108634691"/>
      <w:bookmarkStart w:id="102" w:name="_Toc87124160"/>
      <w:bookmarkStart w:id="103" w:name="_Toc151636721"/>
      <w:bookmarkStart w:id="104" w:name="_Toc495187619"/>
      <w:bookmarkStart w:id="105" w:name="_Toc67921779"/>
      <w:bookmarkStart w:id="106" w:name="_Toc425930108"/>
      <w:bookmarkStart w:id="107" w:name="_Toc87123974"/>
      <w:bookmarkStart w:id="108" w:name="_Toc515189906"/>
      <w:bookmarkStart w:id="109" w:name="_Toc496955685"/>
      <w:bookmarkStart w:id="110" w:name="_Toc104677207"/>
      <w:bookmarkStart w:id="111" w:name="_Toc497405013"/>
      <w:bookmarkStart w:id="112" w:name="_Toc104677400"/>
      <w:bookmarkStart w:id="113" w:name="_Toc185950198"/>
      <w:bookmarkStart w:id="114" w:name="_Toc106006215"/>
      <w:bookmarkStart w:id="115" w:name="_Toc107420179"/>
      <w:bookmarkStart w:id="116" w:name="_Toc105506429"/>
      <w:bookmarkStart w:id="117" w:name="_Toc106202474"/>
      <w:bookmarkStart w:id="118" w:name="_Toc57715530"/>
      <w:bookmarkStart w:id="119" w:name="_Toc378167461"/>
      <w:bookmarkStart w:id="120" w:name="_Toc429664365"/>
      <w:bookmarkStart w:id="121" w:name="_Toc427223440"/>
      <w:bookmarkStart w:id="122" w:name="_Toc182491361"/>
      <w:bookmarkStart w:id="123" w:name="_Toc497404914"/>
      <w:bookmarkStart w:id="124" w:name="_Toc29155566"/>
      <w:bookmarkStart w:id="125" w:name="_Toc497894373"/>
      <w:bookmarkStart w:id="126" w:name="_Toc500143991"/>
      <w:bookmarkStart w:id="127" w:name="_Toc497938492"/>
      <w:bookmarkStart w:id="128" w:name="_Toc183513649"/>
      <w:r>
        <w:rPr>
          <w:rFonts w:ascii="Arial" w:hAnsi="Arial" w:eastAsia="宋体" w:cs="Arial"/>
          <w:b/>
        </w:rPr>
        <w:t>1. 项目由来</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6843F9B9">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中伟新材料股份有限公司（后文简称中伟股份）是专业的锂电池新能源材料综合服务商，生产能力全球领先，目前已形成了显著的规模优势。2020年下半年以来由于上游原材料的价格上涨，导致前驱体行业原材料成本占比提升，进一步挤压了行业的盈利空间。为稳定盈利能力，保障上游供应链安全，产业链一体化布局已成为行业发展趋势。作为全球最大的三元前驱体企业，中伟股份正逐步加大前驱体生产所需的上游原材料布局，由前驱体单一生产环节逐渐发展为从原料加工-材料生产-资源回收的一体化企业。</w:t>
      </w:r>
    </w:p>
    <w:p w14:paraId="12D01D67">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在国内，中伟股份已建立西部产业基地（贵州铜仁）、中部产业基地（湖南长沙）、</w:t>
      </w:r>
      <w:r>
        <w:rPr>
          <w:rFonts w:ascii="Arial" w:hAnsi="Arial" w:eastAsia="宋体" w:cs="Arial"/>
          <w:b/>
          <w:bCs/>
          <w:spacing w:val="10"/>
          <w:sz w:val="24"/>
          <w:szCs w:val="24"/>
        </w:rPr>
        <w:t>南部产业基地（广西中伟新能源科技有限公司）</w:t>
      </w:r>
      <w:r>
        <w:rPr>
          <w:rFonts w:ascii="Arial" w:hAnsi="Arial" w:eastAsia="宋体" w:cs="Arial"/>
          <w:spacing w:val="10"/>
          <w:sz w:val="24"/>
          <w:szCs w:val="24"/>
        </w:rPr>
        <w:t>、开阳产业基地（贵州贵阳）四大产业基地，覆盖全国；在海外，公司建有印尼原料基地，并启动规划国际化产业基地，业务覆盖日韩、东南亚、欧洲以及北美等多个国家和地区。广西中伟新能源科技有限公司落地于2021年，中伟股份与钦州市政府于2021年1月20日签署北部湾产业基地项目投资合同书，合同书约定，项目主要经营三元前驱体、四氧化三钴等前驱体研发以及金属镍钴及电池材料综合循环利用。广西中伟新能源项目总计划投资约330亿元，规划用地约5000亩，分三期开发建设。</w:t>
      </w:r>
    </w:p>
    <w:p w14:paraId="5504C12C">
      <w:pPr>
        <w:spacing w:line="500" w:lineRule="exact"/>
        <w:ind w:firstLine="490" w:firstLineChars="200"/>
        <w:rPr>
          <w:rFonts w:ascii="Arial" w:hAnsi="Arial" w:eastAsia="宋体" w:cs="Arial"/>
          <w:spacing w:val="10"/>
          <w:sz w:val="24"/>
          <w:szCs w:val="24"/>
          <w:u w:val="single"/>
        </w:rPr>
      </w:pPr>
      <w:r>
        <w:rPr>
          <w:rFonts w:hint="eastAsia" w:ascii="Arial" w:hAnsi="Arial" w:eastAsia="宋体" w:cs="Arial"/>
          <w:spacing w:val="10"/>
          <w:sz w:val="24"/>
          <w:szCs w:val="24"/>
          <w:u w:val="single"/>
        </w:rPr>
        <w:t>从2021年至2024年12月，广西中伟新能源科技有限公司相继完成10个项目的环评工作，即北部湾产业基地三元项目一期一阶段（以下简称“一阶段项目”）、广西中伟新能源项目一期二阶段（以下简称“二阶段项目”）、广西中伟新能源项目一期三阶段（以下简称“三阶段项目”）、广西中伟新能源项目一期新能源材料一体化项目（以下简称“一体化项目”）、广西中伟新能源项目一期G-6#-1A燃气锅炉房（以下简称“燃气锅炉房项目”）、广西中伟新能源项目一期一、二、三阶段项目110kV变电站工程（以下简称“变电站项目”）、广西中伟新能源项目一期一、二、三阶段MSP生产线变更项目（以下简称“MSP变更项目”）、广西中伟新能源项目一期G21#氨水制备、XII-1#柴油加油站项目（以下简称“氨水项目”）、广西中伟新能源项目氢氧化钴处置线技改项目（以下简称“氢氧化钴技改项目”）、广西中伟新能源项目一期新能源材料一体化项目（重大变动）（以下简称“一体化变更项目”）。这些环评项目审批情况见表1。</w:t>
      </w:r>
    </w:p>
    <w:p w14:paraId="32739D23">
      <w:pPr>
        <w:spacing w:before="210" w:beforeLines="50" w:line="360" w:lineRule="exact"/>
        <w:ind w:firstLine="490" w:firstLineChars="200"/>
        <w:jc w:val="center"/>
        <w:outlineLvl w:val="2"/>
        <w:rPr>
          <w:rFonts w:ascii="Arial" w:hAnsi="Arial" w:eastAsia="宋体" w:cs="Arial"/>
          <w:b/>
          <w:spacing w:val="10"/>
          <w:sz w:val="24"/>
          <w:szCs w:val="24"/>
          <w:u w:val="single"/>
        </w:rPr>
      </w:pPr>
      <w:r>
        <w:rPr>
          <w:rFonts w:hint="eastAsia" w:ascii="Arial" w:hAnsi="Arial" w:eastAsia="宋体" w:cs="Arial"/>
          <w:b/>
          <w:spacing w:val="10"/>
          <w:sz w:val="24"/>
          <w:szCs w:val="24"/>
          <w:u w:val="single"/>
        </w:rPr>
        <w:t>表1  企业环评项目审批情况</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3261"/>
        <w:gridCol w:w="1775"/>
        <w:gridCol w:w="2006"/>
      </w:tblGrid>
      <w:tr w14:paraId="2BDCB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85" w:type="pct"/>
            <w:vMerge w:val="restart"/>
            <w:vAlign w:val="center"/>
          </w:tcPr>
          <w:p w14:paraId="18600DA0">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项目名称</w:t>
            </w:r>
          </w:p>
        </w:tc>
        <w:tc>
          <w:tcPr>
            <w:tcW w:w="3915" w:type="pct"/>
            <w:gridSpan w:val="3"/>
            <w:vAlign w:val="center"/>
          </w:tcPr>
          <w:p w14:paraId="37F778A9">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环境影响评价情况</w:t>
            </w:r>
          </w:p>
        </w:tc>
      </w:tr>
      <w:tr w14:paraId="0AE41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85" w:type="pct"/>
            <w:vMerge w:val="continue"/>
            <w:vAlign w:val="center"/>
          </w:tcPr>
          <w:p w14:paraId="4D037D70">
            <w:pPr>
              <w:adjustRightInd w:val="0"/>
              <w:snapToGrid w:val="0"/>
              <w:jc w:val="center"/>
              <w:rPr>
                <w:rFonts w:ascii="Arial" w:hAnsi="Arial" w:eastAsia="宋体" w:cs="Arial"/>
                <w:spacing w:val="10"/>
                <w:sz w:val="21"/>
                <w:szCs w:val="21"/>
                <w:u w:val="single"/>
              </w:rPr>
            </w:pPr>
          </w:p>
        </w:tc>
        <w:tc>
          <w:tcPr>
            <w:tcW w:w="1813" w:type="pct"/>
            <w:vAlign w:val="center"/>
          </w:tcPr>
          <w:p w14:paraId="19F00D7A">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批准文号</w:t>
            </w:r>
          </w:p>
        </w:tc>
        <w:tc>
          <w:tcPr>
            <w:tcW w:w="987" w:type="pct"/>
            <w:vAlign w:val="center"/>
          </w:tcPr>
          <w:p w14:paraId="2941C85B">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批准时间</w:t>
            </w:r>
          </w:p>
        </w:tc>
        <w:tc>
          <w:tcPr>
            <w:tcW w:w="1116" w:type="pct"/>
            <w:vAlign w:val="center"/>
          </w:tcPr>
          <w:p w14:paraId="5BB00607">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审批单位</w:t>
            </w:r>
          </w:p>
        </w:tc>
      </w:tr>
      <w:tr w14:paraId="1C1A4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6AA6E881">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一阶段项目</w:t>
            </w:r>
          </w:p>
        </w:tc>
        <w:tc>
          <w:tcPr>
            <w:tcW w:w="1813" w:type="pct"/>
            <w:vAlign w:val="center"/>
          </w:tcPr>
          <w:p w14:paraId="2032908E">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钦港环管字〔2021〕19号</w:t>
            </w:r>
          </w:p>
        </w:tc>
        <w:tc>
          <w:tcPr>
            <w:tcW w:w="987" w:type="pct"/>
            <w:vAlign w:val="center"/>
          </w:tcPr>
          <w:p w14:paraId="4EE05C72">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2021.7.22</w:t>
            </w:r>
          </w:p>
        </w:tc>
        <w:tc>
          <w:tcPr>
            <w:tcW w:w="1116" w:type="pct"/>
            <w:vAlign w:val="center"/>
          </w:tcPr>
          <w:p w14:paraId="1047587C">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27B4F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368BE1F5">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二阶段项目</w:t>
            </w:r>
          </w:p>
        </w:tc>
        <w:tc>
          <w:tcPr>
            <w:tcW w:w="1813" w:type="pct"/>
            <w:vAlign w:val="center"/>
          </w:tcPr>
          <w:p w14:paraId="2F68345E">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钦港环管字〔2021〕20号</w:t>
            </w:r>
          </w:p>
        </w:tc>
        <w:tc>
          <w:tcPr>
            <w:tcW w:w="987" w:type="pct"/>
            <w:vAlign w:val="center"/>
          </w:tcPr>
          <w:p w14:paraId="4BADD51C">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2021.7.28</w:t>
            </w:r>
          </w:p>
        </w:tc>
        <w:tc>
          <w:tcPr>
            <w:tcW w:w="1116" w:type="pct"/>
            <w:vAlign w:val="center"/>
          </w:tcPr>
          <w:p w14:paraId="66D580A4">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1D0BA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652FBA95">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三阶段项目</w:t>
            </w:r>
          </w:p>
        </w:tc>
        <w:tc>
          <w:tcPr>
            <w:tcW w:w="1813" w:type="pct"/>
            <w:vAlign w:val="center"/>
          </w:tcPr>
          <w:p w14:paraId="7315C9C8">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钦港环管字〔2021〕21号</w:t>
            </w:r>
          </w:p>
        </w:tc>
        <w:tc>
          <w:tcPr>
            <w:tcW w:w="987" w:type="pct"/>
            <w:vAlign w:val="center"/>
          </w:tcPr>
          <w:p w14:paraId="25EAEDD3">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2021.7.28</w:t>
            </w:r>
          </w:p>
        </w:tc>
        <w:tc>
          <w:tcPr>
            <w:tcW w:w="1116" w:type="pct"/>
            <w:vAlign w:val="center"/>
          </w:tcPr>
          <w:p w14:paraId="40B28E58">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60881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62E76F65">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一体化项目</w:t>
            </w:r>
          </w:p>
        </w:tc>
        <w:tc>
          <w:tcPr>
            <w:tcW w:w="1813" w:type="pct"/>
            <w:vAlign w:val="center"/>
          </w:tcPr>
          <w:p w14:paraId="63A95A8B">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自贸钦审批环〔2022〕25号</w:t>
            </w:r>
          </w:p>
        </w:tc>
        <w:tc>
          <w:tcPr>
            <w:tcW w:w="987" w:type="pct"/>
            <w:vAlign w:val="center"/>
          </w:tcPr>
          <w:p w14:paraId="73037310">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2022.7.26</w:t>
            </w:r>
          </w:p>
        </w:tc>
        <w:tc>
          <w:tcPr>
            <w:tcW w:w="1116" w:type="pct"/>
            <w:vAlign w:val="center"/>
          </w:tcPr>
          <w:p w14:paraId="66623495">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广西壮族自治区生态环境厅</w:t>
            </w:r>
          </w:p>
        </w:tc>
      </w:tr>
      <w:tr w14:paraId="12407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5FE99FF8">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燃气锅炉房项目</w:t>
            </w:r>
          </w:p>
        </w:tc>
        <w:tc>
          <w:tcPr>
            <w:tcW w:w="1813" w:type="pct"/>
            <w:vAlign w:val="center"/>
          </w:tcPr>
          <w:p w14:paraId="20AAE129">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自贸钦审批环〔2023〕2号</w:t>
            </w:r>
          </w:p>
        </w:tc>
        <w:tc>
          <w:tcPr>
            <w:tcW w:w="987" w:type="pct"/>
            <w:vAlign w:val="center"/>
          </w:tcPr>
          <w:p w14:paraId="568CA33B">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2023.1.11</w:t>
            </w:r>
          </w:p>
        </w:tc>
        <w:tc>
          <w:tcPr>
            <w:tcW w:w="1116" w:type="pct"/>
            <w:vAlign w:val="center"/>
          </w:tcPr>
          <w:p w14:paraId="6C5EF742">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07A66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4F11541E">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变电站项目</w:t>
            </w:r>
          </w:p>
        </w:tc>
        <w:tc>
          <w:tcPr>
            <w:tcW w:w="1813" w:type="pct"/>
            <w:vAlign w:val="center"/>
          </w:tcPr>
          <w:p w14:paraId="66D4DD43">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自贸钦港审批环〔2021〕12号</w:t>
            </w:r>
          </w:p>
        </w:tc>
        <w:tc>
          <w:tcPr>
            <w:tcW w:w="987" w:type="pct"/>
            <w:vAlign w:val="center"/>
          </w:tcPr>
          <w:p w14:paraId="0F392F6E">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2021.11.26</w:t>
            </w:r>
          </w:p>
        </w:tc>
        <w:tc>
          <w:tcPr>
            <w:tcW w:w="1116" w:type="pct"/>
            <w:vAlign w:val="center"/>
          </w:tcPr>
          <w:p w14:paraId="1FDD4B81">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7F685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15727396">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MSP变更项目</w:t>
            </w:r>
          </w:p>
        </w:tc>
        <w:tc>
          <w:tcPr>
            <w:tcW w:w="1813" w:type="pct"/>
            <w:vAlign w:val="center"/>
          </w:tcPr>
          <w:p w14:paraId="62C8F052">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自贸钦审批环〔2024〕2号</w:t>
            </w:r>
          </w:p>
        </w:tc>
        <w:tc>
          <w:tcPr>
            <w:tcW w:w="987" w:type="pct"/>
            <w:vAlign w:val="center"/>
          </w:tcPr>
          <w:p w14:paraId="51B867C8">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2024.1.10</w:t>
            </w:r>
          </w:p>
        </w:tc>
        <w:tc>
          <w:tcPr>
            <w:tcW w:w="1116" w:type="pct"/>
            <w:vAlign w:val="center"/>
          </w:tcPr>
          <w:p w14:paraId="2A725660">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6C22B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60FFEC4A">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氨水项目</w:t>
            </w:r>
          </w:p>
        </w:tc>
        <w:tc>
          <w:tcPr>
            <w:tcW w:w="1813" w:type="pct"/>
            <w:vAlign w:val="center"/>
          </w:tcPr>
          <w:p w14:paraId="5518AA79">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自贸钦审批环〔2024〕2</w:t>
            </w:r>
            <w:r>
              <w:rPr>
                <w:rFonts w:hint="eastAsia" w:ascii="Arial" w:hAnsi="Arial" w:eastAsia="宋体" w:cs="Arial"/>
                <w:spacing w:val="10"/>
                <w:sz w:val="21"/>
                <w:szCs w:val="21"/>
                <w:u w:val="single"/>
              </w:rPr>
              <w:t>0</w:t>
            </w:r>
            <w:r>
              <w:rPr>
                <w:rFonts w:ascii="Arial" w:hAnsi="Arial" w:eastAsia="宋体" w:cs="Arial"/>
                <w:spacing w:val="10"/>
                <w:sz w:val="21"/>
                <w:szCs w:val="21"/>
                <w:u w:val="single"/>
              </w:rPr>
              <w:t>号</w:t>
            </w:r>
          </w:p>
        </w:tc>
        <w:tc>
          <w:tcPr>
            <w:tcW w:w="987" w:type="pct"/>
            <w:vAlign w:val="center"/>
          </w:tcPr>
          <w:p w14:paraId="2E50CAC3">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2024.</w:t>
            </w:r>
            <w:r>
              <w:rPr>
                <w:rFonts w:hint="eastAsia" w:ascii="Arial" w:hAnsi="Arial" w:eastAsia="宋体" w:cs="Arial"/>
                <w:spacing w:val="10"/>
                <w:sz w:val="21"/>
                <w:szCs w:val="21"/>
                <w:u w:val="single"/>
              </w:rPr>
              <w:t>5.15</w:t>
            </w:r>
          </w:p>
        </w:tc>
        <w:tc>
          <w:tcPr>
            <w:tcW w:w="1116" w:type="pct"/>
            <w:vAlign w:val="center"/>
          </w:tcPr>
          <w:p w14:paraId="6C7F5668">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6D478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0BBE83D1">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氢氧化钴技改项目</w:t>
            </w:r>
          </w:p>
        </w:tc>
        <w:tc>
          <w:tcPr>
            <w:tcW w:w="1813" w:type="pct"/>
            <w:vAlign w:val="center"/>
          </w:tcPr>
          <w:p w14:paraId="26D3A0E6">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w:t>
            </w:r>
            <w:r>
              <w:rPr>
                <w:rFonts w:hint="eastAsia" w:ascii="Arial" w:hAnsi="Arial" w:eastAsia="宋体" w:cs="Arial"/>
                <w:spacing w:val="10"/>
                <w:sz w:val="21"/>
                <w:szCs w:val="21"/>
                <w:u w:val="single"/>
              </w:rPr>
              <w:t>35</w:t>
            </w:r>
            <w:r>
              <w:rPr>
                <w:rFonts w:ascii="Arial" w:hAnsi="Arial" w:eastAsia="宋体" w:cs="Arial"/>
                <w:spacing w:val="10"/>
                <w:sz w:val="21"/>
                <w:szCs w:val="21"/>
                <w:u w:val="single"/>
              </w:rPr>
              <w:t>号</w:t>
            </w:r>
          </w:p>
        </w:tc>
        <w:tc>
          <w:tcPr>
            <w:tcW w:w="987" w:type="pct"/>
            <w:vAlign w:val="center"/>
          </w:tcPr>
          <w:p w14:paraId="1FD06555">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2024.7.23</w:t>
            </w:r>
          </w:p>
        </w:tc>
        <w:tc>
          <w:tcPr>
            <w:tcW w:w="1116" w:type="pct"/>
            <w:vMerge w:val="restart"/>
            <w:vAlign w:val="center"/>
          </w:tcPr>
          <w:p w14:paraId="18CC3630">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中国（广西）自由贸易试验区钦州港片区行政审批局</w:t>
            </w:r>
          </w:p>
        </w:tc>
      </w:tr>
      <w:tr w14:paraId="653E9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6D16E9ED">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一体化变更项目</w:t>
            </w:r>
          </w:p>
        </w:tc>
        <w:tc>
          <w:tcPr>
            <w:tcW w:w="1813" w:type="pct"/>
            <w:vAlign w:val="center"/>
          </w:tcPr>
          <w:p w14:paraId="231912D3">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w:t>
            </w:r>
            <w:r>
              <w:rPr>
                <w:rFonts w:hint="eastAsia" w:ascii="Arial" w:hAnsi="Arial" w:eastAsia="宋体" w:cs="Arial"/>
                <w:spacing w:val="10"/>
                <w:sz w:val="21"/>
                <w:szCs w:val="21"/>
                <w:u w:val="single"/>
              </w:rPr>
              <w:t>54</w:t>
            </w:r>
            <w:r>
              <w:rPr>
                <w:rFonts w:ascii="Arial" w:hAnsi="Arial" w:eastAsia="宋体" w:cs="Arial"/>
                <w:spacing w:val="10"/>
                <w:sz w:val="21"/>
                <w:szCs w:val="21"/>
                <w:u w:val="single"/>
              </w:rPr>
              <w:t>号</w:t>
            </w:r>
          </w:p>
        </w:tc>
        <w:tc>
          <w:tcPr>
            <w:tcW w:w="987" w:type="pct"/>
            <w:vAlign w:val="center"/>
          </w:tcPr>
          <w:p w14:paraId="13F3E785">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2024.11.22</w:t>
            </w:r>
          </w:p>
        </w:tc>
        <w:tc>
          <w:tcPr>
            <w:tcW w:w="1116" w:type="pct"/>
            <w:vMerge w:val="continue"/>
            <w:vAlign w:val="center"/>
          </w:tcPr>
          <w:p w14:paraId="0F059C02">
            <w:pPr>
              <w:adjustRightInd w:val="0"/>
              <w:snapToGrid w:val="0"/>
              <w:jc w:val="center"/>
              <w:rPr>
                <w:rFonts w:ascii="Arial" w:hAnsi="Arial" w:eastAsia="宋体" w:cs="Arial"/>
                <w:spacing w:val="10"/>
                <w:sz w:val="21"/>
                <w:szCs w:val="21"/>
                <w:u w:val="single"/>
              </w:rPr>
            </w:pPr>
          </w:p>
        </w:tc>
      </w:tr>
    </w:tbl>
    <w:p w14:paraId="2E6CEF11">
      <w:pPr>
        <w:spacing w:line="500" w:lineRule="exact"/>
        <w:ind w:firstLine="490" w:firstLineChars="200"/>
        <w:rPr>
          <w:rFonts w:ascii="Arial" w:hAnsi="Arial" w:eastAsia="宋体" w:cs="Arial"/>
          <w:spacing w:val="10"/>
          <w:sz w:val="24"/>
          <w:szCs w:val="24"/>
          <w:u w:val="single"/>
        </w:rPr>
      </w:pPr>
      <w:r>
        <w:rPr>
          <w:rFonts w:hint="eastAsia" w:ascii="Arial" w:hAnsi="Arial" w:eastAsia="宋体" w:cs="Arial"/>
          <w:spacing w:val="10"/>
          <w:sz w:val="24"/>
          <w:szCs w:val="24"/>
          <w:u w:val="single"/>
        </w:rPr>
        <w:t>其中，MSP变更项目、氢氧化钴技改项目、一体化变更项目是由一~三阶段项目和一体化项目的变更或者技改而来，这些项目之间的关系详见图1。</w:t>
      </w:r>
    </w:p>
    <w:p w14:paraId="241C2CBB">
      <w:pPr>
        <w:ind w:firstLine="530" w:firstLineChars="200"/>
        <w:jc w:val="center"/>
        <w:rPr>
          <w:rFonts w:ascii="Arial" w:hAnsi="Arial" w:eastAsia="宋体" w:cs="Arial"/>
          <w:spacing w:val="10"/>
          <w:sz w:val="24"/>
          <w:szCs w:val="24"/>
          <w:u w:val="single"/>
        </w:rPr>
      </w:pPr>
      <w:r>
        <w:object>
          <v:shape id="_x0000_i1025" o:spt="75" type="#_x0000_t75" style="height:503.1pt;width:278.25pt;" o:ole="t" filled="f" o:preferrelative="t" stroked="f" coordsize="21600,21600">
            <v:path/>
            <v:fill on="f" focussize="0,0"/>
            <v:stroke on="f" joinstyle="miter"/>
            <v:imagedata r:id="rId28" o:title=""/>
            <o:lock v:ext="edit" aspectratio="t"/>
            <w10:wrap type="none"/>
            <w10:anchorlock/>
          </v:shape>
          <o:OLEObject Type="Embed" ProgID="Visio.Drawing.11" ShapeID="_x0000_i1025" DrawAspect="Content" ObjectID="_1468075725" r:id="rId27">
            <o:LockedField>false</o:LockedField>
          </o:OLEObject>
        </w:object>
      </w:r>
    </w:p>
    <w:p w14:paraId="67ECB555">
      <w:pPr>
        <w:spacing w:line="500" w:lineRule="exact"/>
        <w:ind w:firstLine="490" w:firstLineChars="200"/>
        <w:jc w:val="center"/>
        <w:rPr>
          <w:rFonts w:ascii="Arial" w:hAnsi="Arial" w:eastAsia="宋体" w:cs="Arial"/>
          <w:b/>
          <w:spacing w:val="10"/>
          <w:sz w:val="24"/>
          <w:szCs w:val="24"/>
          <w:u w:val="single"/>
        </w:rPr>
      </w:pPr>
      <w:r>
        <w:rPr>
          <w:rFonts w:hint="eastAsia" w:ascii="Arial" w:hAnsi="Arial" w:eastAsia="宋体" w:cs="Arial"/>
          <w:b/>
          <w:spacing w:val="10"/>
          <w:sz w:val="24"/>
          <w:szCs w:val="24"/>
          <w:u w:val="single"/>
        </w:rPr>
        <w:t>图1  企业主要项目的变化及关系图</w:t>
      </w:r>
    </w:p>
    <w:p w14:paraId="7EF56EF1">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u w:val="single"/>
        </w:rPr>
        <w:t>经变更或技改之后，目前企业已建成10×1.5万吨/年三元前驱体生产线、1×2.5万吨/年镍豆镍粉处置线，1×0.5万金吨/年氢氧化钴处置线（含0.2万吨/年电积钴工序）、1×1.7万金吨氢氧化镍钴（MHP）生产线，1×8.2万金吨火法生产线、1条吹炼渣生产线、1×15万t/a烟气制酸生产线、2×4万金吨/年MSP生产线（含1段电积铜工序、2段电积镍工序），1×20t/h燃气锅炉，1条氨水制备生产线等；主要产品包括15万金吨/年三元前驱体、4.2万金吨/年硫酸镍溶液、8万金吨/年硫酸镍晶体、0.5万金吨/年硫酸钴、0.2万吨/年钴板、8.2万吨/年高冰镍、0.49万金吨/年富钴中冰镍、15万吨/年硫酸、1万吨/年1号标准铜、2.5万吨/年镍板；尚未建设2×1.5万吨/年三元前驱体生产线、1×20t/h燃气锅炉。</w:t>
      </w:r>
    </w:p>
    <w:p w14:paraId="28AE176D">
      <w:pPr>
        <w:spacing w:line="500" w:lineRule="exact"/>
        <w:ind w:firstLine="490" w:firstLineChars="200"/>
        <w:rPr>
          <w:rFonts w:ascii="Arial" w:hAnsi="Arial" w:eastAsia="宋体" w:cs="Arial"/>
          <w:spacing w:val="10"/>
          <w:sz w:val="24"/>
          <w:szCs w:val="24"/>
          <w:u w:val="single"/>
        </w:rPr>
      </w:pPr>
      <w:r>
        <w:rPr>
          <w:rFonts w:hint="eastAsia" w:ascii="Arial" w:hAnsi="Arial" w:eastAsia="宋体" w:cs="Arial"/>
          <w:spacing w:val="10"/>
          <w:sz w:val="24"/>
          <w:szCs w:val="24"/>
          <w:u w:val="single"/>
        </w:rPr>
        <w:t>结合图1，企业各项目经过变更或技改之后，现今项目及其主要生产线的建设及验收情况见表2。截至目前，一阶段项目（含镍豆镍粉处置线）、变电站项目、二阶段项目（不含镍豆镍粉处置线）、氨水项目、氢氧化钴技改项目已通过竣工环保验收，其余内容尚未完成验收。</w:t>
      </w:r>
    </w:p>
    <w:p w14:paraId="39C57E73">
      <w:pPr>
        <w:spacing w:before="210" w:beforeLines="50" w:line="360" w:lineRule="exact"/>
        <w:ind w:firstLine="490" w:firstLineChars="200"/>
        <w:jc w:val="center"/>
        <w:outlineLvl w:val="2"/>
        <w:rPr>
          <w:rFonts w:ascii="Arial" w:hAnsi="Arial" w:eastAsia="宋体" w:cs="Arial"/>
          <w:b/>
          <w:spacing w:val="10"/>
          <w:sz w:val="24"/>
          <w:szCs w:val="24"/>
        </w:rPr>
      </w:pPr>
      <w:r>
        <w:rPr>
          <w:rFonts w:ascii="Arial" w:hAnsi="Arial" w:eastAsia="宋体" w:cs="Arial"/>
          <w:b/>
          <w:spacing w:val="10"/>
          <w:sz w:val="24"/>
          <w:szCs w:val="24"/>
        </w:rPr>
        <w:t>表</w:t>
      </w:r>
      <w:r>
        <w:rPr>
          <w:rFonts w:hint="eastAsia" w:ascii="Arial" w:hAnsi="Arial" w:eastAsia="宋体" w:cs="Arial"/>
          <w:b/>
          <w:spacing w:val="10"/>
          <w:sz w:val="24"/>
          <w:szCs w:val="24"/>
        </w:rPr>
        <w:t>2</w:t>
      </w:r>
      <w:r>
        <w:rPr>
          <w:rFonts w:ascii="Arial" w:hAnsi="Arial" w:eastAsia="宋体" w:cs="Arial"/>
          <w:b/>
          <w:spacing w:val="10"/>
          <w:sz w:val="24"/>
          <w:szCs w:val="24"/>
        </w:rPr>
        <w:t xml:space="preserve">  企业</w:t>
      </w:r>
      <w:r>
        <w:rPr>
          <w:rFonts w:hint="eastAsia" w:ascii="Arial" w:hAnsi="Arial" w:eastAsia="宋体" w:cs="Arial"/>
          <w:b/>
          <w:spacing w:val="10"/>
          <w:sz w:val="24"/>
          <w:szCs w:val="24"/>
        </w:rPr>
        <w:t>目前</w:t>
      </w:r>
      <w:r>
        <w:rPr>
          <w:rFonts w:ascii="Arial" w:hAnsi="Arial" w:eastAsia="宋体" w:cs="Arial"/>
          <w:b/>
          <w:spacing w:val="10"/>
          <w:sz w:val="24"/>
          <w:szCs w:val="24"/>
        </w:rPr>
        <w:t>各项目建设</w:t>
      </w:r>
      <w:r>
        <w:rPr>
          <w:rFonts w:hint="eastAsia" w:ascii="Arial" w:hAnsi="Arial" w:eastAsia="宋体" w:cs="Arial"/>
          <w:b/>
          <w:spacing w:val="10"/>
          <w:sz w:val="24"/>
          <w:szCs w:val="24"/>
        </w:rPr>
        <w:t>及验收情况表</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31"/>
        <w:gridCol w:w="1746"/>
        <w:gridCol w:w="1842"/>
        <w:gridCol w:w="1984"/>
        <w:gridCol w:w="1419"/>
        <w:gridCol w:w="1371"/>
      </w:tblGrid>
      <w:tr w14:paraId="0FD074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trPr>
        <w:tc>
          <w:tcPr>
            <w:tcW w:w="351" w:type="pct"/>
            <w:vMerge w:val="restart"/>
            <w:vAlign w:val="center"/>
          </w:tcPr>
          <w:p w14:paraId="6890D10D">
            <w:pPr>
              <w:pStyle w:val="5"/>
              <w:adjustRightInd w:val="0"/>
              <w:snapToGrid w:val="0"/>
              <w:spacing w:line="240" w:lineRule="auto"/>
              <w:ind w:firstLine="0"/>
              <w:jc w:val="center"/>
              <w:rPr>
                <w:b/>
                <w:sz w:val="18"/>
                <w:szCs w:val="18"/>
              </w:rPr>
            </w:pPr>
            <w:r>
              <w:rPr>
                <w:b/>
                <w:sz w:val="18"/>
                <w:szCs w:val="18"/>
              </w:rPr>
              <w:t>项目名称</w:t>
            </w:r>
          </w:p>
        </w:tc>
        <w:tc>
          <w:tcPr>
            <w:tcW w:w="1995" w:type="pct"/>
            <w:gridSpan w:val="2"/>
            <w:vAlign w:val="center"/>
          </w:tcPr>
          <w:p w14:paraId="16B0C04F">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环评批复建设内容</w:t>
            </w:r>
          </w:p>
        </w:tc>
        <w:tc>
          <w:tcPr>
            <w:tcW w:w="1103" w:type="pct"/>
            <w:vMerge w:val="restart"/>
            <w:vAlign w:val="center"/>
          </w:tcPr>
          <w:p w14:paraId="15CE4F59">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已建已验收</w:t>
            </w:r>
          </w:p>
        </w:tc>
        <w:tc>
          <w:tcPr>
            <w:tcW w:w="789" w:type="pct"/>
            <w:vMerge w:val="restart"/>
            <w:vAlign w:val="center"/>
          </w:tcPr>
          <w:p w14:paraId="26C6C919">
            <w:pPr>
              <w:pStyle w:val="5"/>
              <w:adjustRightInd w:val="0"/>
              <w:snapToGrid w:val="0"/>
              <w:spacing w:line="240" w:lineRule="auto"/>
              <w:ind w:firstLine="0"/>
              <w:jc w:val="center"/>
              <w:rPr>
                <w:b/>
                <w:sz w:val="18"/>
                <w:szCs w:val="18"/>
              </w:rPr>
            </w:pPr>
            <w:r>
              <w:rPr>
                <w:b/>
                <w:sz w:val="18"/>
                <w:szCs w:val="18"/>
              </w:rPr>
              <w:t>已建未验收</w:t>
            </w:r>
          </w:p>
        </w:tc>
        <w:tc>
          <w:tcPr>
            <w:tcW w:w="762" w:type="pct"/>
            <w:vMerge w:val="restart"/>
            <w:vAlign w:val="center"/>
          </w:tcPr>
          <w:p w14:paraId="331D8DAA">
            <w:pPr>
              <w:pStyle w:val="5"/>
              <w:adjustRightInd w:val="0"/>
              <w:snapToGrid w:val="0"/>
              <w:spacing w:line="240" w:lineRule="auto"/>
              <w:ind w:firstLine="0"/>
              <w:jc w:val="center"/>
              <w:rPr>
                <w:b/>
                <w:sz w:val="18"/>
                <w:szCs w:val="18"/>
              </w:rPr>
            </w:pPr>
            <w:r>
              <w:rPr>
                <w:b/>
                <w:sz w:val="18"/>
                <w:szCs w:val="18"/>
              </w:rPr>
              <w:t>未建</w:t>
            </w:r>
          </w:p>
        </w:tc>
      </w:tr>
      <w:tr w14:paraId="537DD5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trPr>
        <w:tc>
          <w:tcPr>
            <w:tcW w:w="351" w:type="pct"/>
            <w:vMerge w:val="continue"/>
            <w:vAlign w:val="center"/>
          </w:tcPr>
          <w:p w14:paraId="4B1104E5">
            <w:pPr>
              <w:pStyle w:val="5"/>
              <w:adjustRightInd w:val="0"/>
              <w:snapToGrid w:val="0"/>
              <w:spacing w:line="240" w:lineRule="auto"/>
              <w:ind w:firstLine="0"/>
              <w:jc w:val="center"/>
              <w:rPr>
                <w:b/>
                <w:sz w:val="18"/>
                <w:szCs w:val="18"/>
              </w:rPr>
            </w:pPr>
          </w:p>
        </w:tc>
        <w:tc>
          <w:tcPr>
            <w:tcW w:w="971" w:type="pct"/>
            <w:vAlign w:val="center"/>
          </w:tcPr>
          <w:p w14:paraId="66F5B535">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主要生产线</w:t>
            </w:r>
          </w:p>
        </w:tc>
        <w:tc>
          <w:tcPr>
            <w:tcW w:w="1024" w:type="pct"/>
            <w:vAlign w:val="center"/>
          </w:tcPr>
          <w:p w14:paraId="7B35A14B">
            <w:pPr>
              <w:pStyle w:val="942"/>
              <w:adjustRightInd w:val="0"/>
              <w:snapToGrid w:val="0"/>
              <w:jc w:val="center"/>
              <w:rPr>
                <w:rFonts w:ascii="Arial" w:hAnsi="Arial" w:cs="Arial"/>
                <w:b/>
                <w:sz w:val="18"/>
                <w:szCs w:val="18"/>
                <w:lang w:eastAsia="zh-CN"/>
              </w:rPr>
            </w:pPr>
            <w:r>
              <w:rPr>
                <w:rFonts w:hint="eastAsia" w:ascii="Arial" w:hAnsi="Arial" w:cs="Arial"/>
                <w:b/>
                <w:sz w:val="18"/>
                <w:szCs w:val="18"/>
                <w:lang w:eastAsia="zh-CN"/>
              </w:rPr>
              <w:t>主要产品产能</w:t>
            </w:r>
          </w:p>
        </w:tc>
        <w:tc>
          <w:tcPr>
            <w:tcW w:w="1103" w:type="pct"/>
            <w:vMerge w:val="continue"/>
            <w:vAlign w:val="center"/>
          </w:tcPr>
          <w:p w14:paraId="5379C1CA">
            <w:pPr>
              <w:pStyle w:val="942"/>
              <w:adjustRightInd w:val="0"/>
              <w:snapToGrid w:val="0"/>
              <w:ind w:firstLine="361"/>
              <w:jc w:val="center"/>
              <w:rPr>
                <w:rFonts w:ascii="Arial" w:hAnsi="Arial" w:cs="Arial"/>
                <w:b/>
                <w:sz w:val="18"/>
                <w:szCs w:val="18"/>
                <w:lang w:eastAsia="zh-CN"/>
              </w:rPr>
            </w:pPr>
          </w:p>
        </w:tc>
        <w:tc>
          <w:tcPr>
            <w:tcW w:w="789" w:type="pct"/>
            <w:vMerge w:val="continue"/>
            <w:vAlign w:val="center"/>
          </w:tcPr>
          <w:p w14:paraId="010C52DB">
            <w:pPr>
              <w:pStyle w:val="5"/>
              <w:adjustRightInd w:val="0"/>
              <w:snapToGrid w:val="0"/>
              <w:spacing w:line="240" w:lineRule="auto"/>
              <w:ind w:firstLine="0"/>
              <w:jc w:val="center"/>
              <w:rPr>
                <w:b/>
                <w:sz w:val="18"/>
                <w:szCs w:val="18"/>
              </w:rPr>
            </w:pPr>
          </w:p>
        </w:tc>
        <w:tc>
          <w:tcPr>
            <w:tcW w:w="762" w:type="pct"/>
            <w:vMerge w:val="continue"/>
            <w:vAlign w:val="center"/>
          </w:tcPr>
          <w:p w14:paraId="50D34152">
            <w:pPr>
              <w:pStyle w:val="5"/>
              <w:adjustRightInd w:val="0"/>
              <w:snapToGrid w:val="0"/>
              <w:spacing w:line="240" w:lineRule="auto"/>
              <w:ind w:firstLine="0"/>
              <w:jc w:val="center"/>
              <w:rPr>
                <w:b/>
                <w:sz w:val="18"/>
                <w:szCs w:val="18"/>
              </w:rPr>
            </w:pPr>
          </w:p>
        </w:tc>
      </w:tr>
      <w:tr w14:paraId="43BEA3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restart"/>
            <w:vAlign w:val="center"/>
          </w:tcPr>
          <w:p w14:paraId="1D78996A">
            <w:pPr>
              <w:pStyle w:val="5"/>
              <w:adjustRightInd w:val="0"/>
              <w:snapToGrid w:val="0"/>
              <w:spacing w:line="240" w:lineRule="auto"/>
              <w:ind w:firstLine="0"/>
              <w:jc w:val="center"/>
              <w:rPr>
                <w:sz w:val="18"/>
                <w:szCs w:val="18"/>
              </w:rPr>
            </w:pPr>
            <w:r>
              <w:rPr>
                <w:sz w:val="18"/>
                <w:szCs w:val="18"/>
              </w:rPr>
              <w:t>一阶段项目</w:t>
            </w:r>
          </w:p>
        </w:tc>
        <w:tc>
          <w:tcPr>
            <w:tcW w:w="971" w:type="pct"/>
            <w:vAlign w:val="center"/>
          </w:tcPr>
          <w:p w14:paraId="36A245E2">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体生产线</w:t>
            </w:r>
          </w:p>
        </w:tc>
        <w:tc>
          <w:tcPr>
            <w:tcW w:w="1024" w:type="pct"/>
            <w:vAlign w:val="center"/>
          </w:tcPr>
          <w:p w14:paraId="0A5FC8CB">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17A6D77C">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p>
        </w:tc>
        <w:tc>
          <w:tcPr>
            <w:tcW w:w="789" w:type="pct"/>
            <w:vAlign w:val="center"/>
          </w:tcPr>
          <w:p w14:paraId="76A56B50">
            <w:pPr>
              <w:pStyle w:val="5"/>
              <w:adjustRightInd w:val="0"/>
              <w:snapToGrid w:val="0"/>
              <w:spacing w:line="240" w:lineRule="auto"/>
              <w:ind w:firstLine="0"/>
              <w:jc w:val="center"/>
              <w:rPr>
                <w:sz w:val="18"/>
                <w:szCs w:val="18"/>
              </w:rPr>
            </w:pPr>
            <w:r>
              <w:rPr>
                <w:sz w:val="18"/>
                <w:szCs w:val="18"/>
              </w:rPr>
              <w:t>/</w:t>
            </w:r>
          </w:p>
        </w:tc>
        <w:tc>
          <w:tcPr>
            <w:tcW w:w="762" w:type="pct"/>
            <w:vAlign w:val="center"/>
          </w:tcPr>
          <w:p w14:paraId="4312CFE7">
            <w:pPr>
              <w:pStyle w:val="5"/>
              <w:adjustRightInd w:val="0"/>
              <w:snapToGrid w:val="0"/>
              <w:spacing w:line="240" w:lineRule="auto"/>
              <w:ind w:firstLine="0"/>
              <w:jc w:val="center"/>
              <w:rPr>
                <w:sz w:val="18"/>
                <w:szCs w:val="18"/>
              </w:rPr>
            </w:pPr>
            <w:r>
              <w:rPr>
                <w:sz w:val="18"/>
                <w:szCs w:val="18"/>
              </w:rPr>
              <w:t>/</w:t>
            </w:r>
          </w:p>
        </w:tc>
      </w:tr>
      <w:tr w14:paraId="38A3E8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continue"/>
            <w:vAlign w:val="center"/>
          </w:tcPr>
          <w:p w14:paraId="03A1320D">
            <w:pPr>
              <w:pStyle w:val="5"/>
              <w:adjustRightInd w:val="0"/>
              <w:snapToGrid w:val="0"/>
              <w:spacing w:line="240" w:lineRule="auto"/>
              <w:ind w:firstLine="0"/>
              <w:jc w:val="center"/>
              <w:rPr>
                <w:sz w:val="18"/>
                <w:szCs w:val="18"/>
              </w:rPr>
            </w:pPr>
          </w:p>
        </w:tc>
        <w:tc>
          <w:tcPr>
            <w:tcW w:w="971" w:type="pct"/>
            <w:vAlign w:val="center"/>
          </w:tcPr>
          <w:p w14:paraId="5A09CB40">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1024" w:type="pct"/>
            <w:vAlign w:val="center"/>
          </w:tcPr>
          <w:p w14:paraId="44C74EBC">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溶液</w:t>
            </w:r>
            <w:r>
              <w:rPr>
                <w:rFonts w:ascii="Arial" w:hAnsi="Arial" w:cs="Arial"/>
                <w:spacing w:val="-3"/>
                <w:sz w:val="18"/>
                <w:szCs w:val="18"/>
                <w:lang w:eastAsia="zh-CN"/>
              </w:rPr>
              <w:t>：</w:t>
            </w:r>
            <w:r>
              <w:rPr>
                <w:rFonts w:ascii="Arial" w:hAnsi="Arial" w:cs="Arial"/>
                <w:sz w:val="18"/>
                <w:szCs w:val="18"/>
                <w:lang w:eastAsia="zh-CN"/>
              </w:rPr>
              <w:t>2.5万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2D245F22">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789" w:type="pct"/>
            <w:vAlign w:val="center"/>
          </w:tcPr>
          <w:p w14:paraId="67627736">
            <w:pPr>
              <w:pStyle w:val="5"/>
              <w:adjustRightInd w:val="0"/>
              <w:snapToGrid w:val="0"/>
              <w:spacing w:line="240" w:lineRule="auto"/>
              <w:ind w:firstLine="0"/>
              <w:jc w:val="center"/>
              <w:rPr>
                <w:spacing w:val="-3"/>
                <w:sz w:val="18"/>
                <w:szCs w:val="18"/>
              </w:rPr>
            </w:pPr>
            <w:r>
              <w:rPr>
                <w:sz w:val="18"/>
                <w:szCs w:val="18"/>
              </w:rPr>
              <w:t>/</w:t>
            </w:r>
          </w:p>
        </w:tc>
        <w:tc>
          <w:tcPr>
            <w:tcW w:w="762" w:type="pct"/>
            <w:vAlign w:val="center"/>
          </w:tcPr>
          <w:p w14:paraId="478446FB">
            <w:pPr>
              <w:pStyle w:val="5"/>
              <w:adjustRightInd w:val="0"/>
              <w:snapToGrid w:val="0"/>
              <w:spacing w:line="240" w:lineRule="auto"/>
              <w:ind w:firstLine="0"/>
              <w:jc w:val="center"/>
              <w:rPr>
                <w:sz w:val="18"/>
                <w:szCs w:val="18"/>
              </w:rPr>
            </w:pPr>
            <w:r>
              <w:rPr>
                <w:sz w:val="18"/>
                <w:szCs w:val="18"/>
              </w:rPr>
              <w:t>/</w:t>
            </w:r>
          </w:p>
        </w:tc>
      </w:tr>
      <w:tr w14:paraId="325464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restart"/>
            <w:vAlign w:val="center"/>
          </w:tcPr>
          <w:p w14:paraId="03174309">
            <w:pPr>
              <w:pStyle w:val="5"/>
              <w:adjustRightInd w:val="0"/>
              <w:snapToGrid w:val="0"/>
              <w:spacing w:line="240" w:lineRule="auto"/>
              <w:ind w:firstLine="0"/>
              <w:jc w:val="center"/>
              <w:rPr>
                <w:sz w:val="18"/>
                <w:szCs w:val="18"/>
              </w:rPr>
            </w:pPr>
            <w:r>
              <w:rPr>
                <w:sz w:val="18"/>
                <w:szCs w:val="18"/>
              </w:rPr>
              <w:t>二阶段项目</w:t>
            </w:r>
          </w:p>
        </w:tc>
        <w:tc>
          <w:tcPr>
            <w:tcW w:w="971" w:type="pct"/>
            <w:vAlign w:val="center"/>
          </w:tcPr>
          <w:p w14:paraId="2E7369AA">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1024" w:type="pct"/>
            <w:vAlign w:val="center"/>
          </w:tcPr>
          <w:p w14:paraId="1CA97DD9">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2D4DA535">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789" w:type="pct"/>
            <w:vAlign w:val="center"/>
          </w:tcPr>
          <w:p w14:paraId="16C79EA6">
            <w:pPr>
              <w:pStyle w:val="5"/>
              <w:adjustRightInd w:val="0"/>
              <w:snapToGrid w:val="0"/>
              <w:spacing w:line="240" w:lineRule="auto"/>
              <w:ind w:firstLine="0"/>
              <w:jc w:val="center"/>
              <w:rPr>
                <w:sz w:val="18"/>
                <w:szCs w:val="18"/>
              </w:rPr>
            </w:pPr>
            <w:r>
              <w:rPr>
                <w:sz w:val="18"/>
                <w:szCs w:val="18"/>
              </w:rPr>
              <w:t>/</w:t>
            </w:r>
          </w:p>
        </w:tc>
        <w:tc>
          <w:tcPr>
            <w:tcW w:w="762" w:type="pct"/>
            <w:vAlign w:val="center"/>
          </w:tcPr>
          <w:p w14:paraId="031E0938">
            <w:pPr>
              <w:pStyle w:val="5"/>
              <w:adjustRightInd w:val="0"/>
              <w:snapToGrid w:val="0"/>
              <w:spacing w:line="240" w:lineRule="auto"/>
              <w:ind w:firstLine="0"/>
              <w:jc w:val="center"/>
              <w:rPr>
                <w:sz w:val="18"/>
                <w:szCs w:val="18"/>
              </w:rPr>
            </w:pPr>
            <w:r>
              <w:rPr>
                <w:sz w:val="18"/>
                <w:szCs w:val="18"/>
              </w:rPr>
              <w:t>/</w:t>
            </w:r>
          </w:p>
        </w:tc>
      </w:tr>
      <w:tr w14:paraId="18D72B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continue"/>
            <w:vAlign w:val="center"/>
          </w:tcPr>
          <w:p w14:paraId="6AA78862">
            <w:pPr>
              <w:pStyle w:val="5"/>
              <w:adjustRightInd w:val="0"/>
              <w:snapToGrid w:val="0"/>
              <w:spacing w:line="240" w:lineRule="auto"/>
              <w:ind w:firstLine="0"/>
              <w:jc w:val="center"/>
              <w:rPr>
                <w:sz w:val="18"/>
                <w:szCs w:val="18"/>
              </w:rPr>
            </w:pPr>
          </w:p>
        </w:tc>
        <w:tc>
          <w:tcPr>
            <w:tcW w:w="971" w:type="pct"/>
            <w:vAlign w:val="center"/>
          </w:tcPr>
          <w:p w14:paraId="3827FD48">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1024" w:type="pct"/>
            <w:vAlign w:val="center"/>
          </w:tcPr>
          <w:p w14:paraId="712C7949">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溶液</w:t>
            </w:r>
            <w:r>
              <w:rPr>
                <w:rFonts w:ascii="Arial" w:hAnsi="Arial" w:cs="Arial"/>
                <w:spacing w:val="-3"/>
                <w:sz w:val="18"/>
                <w:szCs w:val="18"/>
                <w:lang w:eastAsia="zh-CN"/>
              </w:rPr>
              <w:t>：</w:t>
            </w:r>
            <w:r>
              <w:rPr>
                <w:rFonts w:ascii="Arial" w:hAnsi="Arial" w:cs="Arial"/>
                <w:sz w:val="18"/>
                <w:szCs w:val="18"/>
                <w:lang w:eastAsia="zh-CN"/>
              </w:rPr>
              <w:t>2</w:t>
            </w:r>
            <w:r>
              <w:rPr>
                <w:rFonts w:hint="eastAsia" w:ascii="Arial" w:hAnsi="Arial" w:cs="Arial"/>
                <w:sz w:val="18"/>
                <w:szCs w:val="18"/>
                <w:lang w:eastAsia="zh-CN"/>
              </w:rPr>
              <w:t>.</w:t>
            </w:r>
            <w:r>
              <w:rPr>
                <w:rFonts w:ascii="Arial" w:hAnsi="Arial" w:cs="Arial"/>
                <w:sz w:val="18"/>
                <w:szCs w:val="18"/>
                <w:lang w:eastAsia="zh-CN"/>
              </w:rPr>
              <w:t>5万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5235E652">
            <w:pPr>
              <w:pStyle w:val="942"/>
              <w:adjustRightInd w:val="0"/>
              <w:snapToGrid w:val="0"/>
              <w:jc w:val="center"/>
              <w:rPr>
                <w:rFonts w:ascii="Arial" w:hAnsi="Arial" w:cs="Arial"/>
                <w:sz w:val="18"/>
                <w:szCs w:val="18"/>
                <w:lang w:eastAsia="zh-CN"/>
              </w:rPr>
            </w:pPr>
            <w:r>
              <w:rPr>
                <w:rFonts w:ascii="Arial" w:hAnsi="Arial" w:cs="Arial"/>
                <w:sz w:val="18"/>
                <w:szCs w:val="18"/>
              </w:rPr>
              <w:t>/</w:t>
            </w:r>
          </w:p>
        </w:tc>
        <w:tc>
          <w:tcPr>
            <w:tcW w:w="789" w:type="pct"/>
            <w:vAlign w:val="center"/>
          </w:tcPr>
          <w:p w14:paraId="78D1BAEB">
            <w:pPr>
              <w:pStyle w:val="5"/>
              <w:adjustRightInd w:val="0"/>
              <w:snapToGrid w:val="0"/>
              <w:spacing w:line="240" w:lineRule="auto"/>
              <w:ind w:firstLine="0"/>
              <w:jc w:val="center"/>
              <w:rPr>
                <w:sz w:val="18"/>
                <w:szCs w:val="18"/>
              </w:rPr>
            </w:pPr>
            <w:r>
              <w:rPr>
                <w:spacing w:val="-3"/>
                <w:sz w:val="18"/>
                <w:szCs w:val="18"/>
              </w:rPr>
              <w:t>1×</w:t>
            </w:r>
            <w:r>
              <w:rPr>
                <w:sz w:val="18"/>
                <w:szCs w:val="18"/>
              </w:rPr>
              <w:t>2</w:t>
            </w:r>
            <w:r>
              <w:rPr>
                <w:spacing w:val="-3"/>
                <w:sz w:val="18"/>
                <w:szCs w:val="18"/>
              </w:rPr>
              <w:t>.</w:t>
            </w:r>
            <w:r>
              <w:rPr>
                <w:spacing w:val="-1"/>
                <w:sz w:val="18"/>
                <w:szCs w:val="18"/>
              </w:rPr>
              <w:t>5</w:t>
            </w:r>
            <w:r>
              <w:rPr>
                <w:sz w:val="18"/>
                <w:szCs w:val="18"/>
              </w:rPr>
              <w:t>万吨</w:t>
            </w:r>
            <w:r>
              <w:rPr>
                <w:spacing w:val="-2"/>
                <w:sz w:val="18"/>
                <w:szCs w:val="18"/>
              </w:rPr>
              <w:t>/</w:t>
            </w:r>
            <w:r>
              <w:rPr>
                <w:spacing w:val="-3"/>
                <w:sz w:val="18"/>
                <w:szCs w:val="18"/>
              </w:rPr>
              <w:t>年</w:t>
            </w:r>
            <w:r>
              <w:rPr>
                <w:sz w:val="18"/>
                <w:szCs w:val="18"/>
              </w:rPr>
              <w:t>镍</w:t>
            </w:r>
            <w:r>
              <w:rPr>
                <w:spacing w:val="-3"/>
                <w:sz w:val="18"/>
                <w:szCs w:val="18"/>
              </w:rPr>
              <w:t>豆</w:t>
            </w:r>
            <w:r>
              <w:rPr>
                <w:sz w:val="18"/>
                <w:szCs w:val="18"/>
              </w:rPr>
              <w:t>镍</w:t>
            </w:r>
            <w:r>
              <w:rPr>
                <w:spacing w:val="-3"/>
                <w:sz w:val="18"/>
                <w:szCs w:val="18"/>
              </w:rPr>
              <w:t>粉</w:t>
            </w:r>
            <w:r>
              <w:rPr>
                <w:sz w:val="18"/>
                <w:szCs w:val="18"/>
              </w:rPr>
              <w:t>处</w:t>
            </w:r>
            <w:r>
              <w:rPr>
                <w:spacing w:val="-3"/>
                <w:sz w:val="18"/>
                <w:szCs w:val="18"/>
              </w:rPr>
              <w:t>置线</w:t>
            </w:r>
            <w:r>
              <w:rPr>
                <w:rFonts w:hint="eastAsia"/>
                <w:b/>
                <w:spacing w:val="-3"/>
                <w:sz w:val="18"/>
                <w:szCs w:val="18"/>
              </w:rPr>
              <w:t>（发生变动）</w:t>
            </w:r>
          </w:p>
        </w:tc>
        <w:tc>
          <w:tcPr>
            <w:tcW w:w="762" w:type="pct"/>
            <w:vAlign w:val="center"/>
          </w:tcPr>
          <w:p w14:paraId="20FCAF20">
            <w:pPr>
              <w:pStyle w:val="5"/>
              <w:adjustRightInd w:val="0"/>
              <w:snapToGrid w:val="0"/>
              <w:spacing w:line="240" w:lineRule="auto"/>
              <w:ind w:firstLine="0"/>
              <w:jc w:val="center"/>
              <w:rPr>
                <w:sz w:val="18"/>
                <w:szCs w:val="18"/>
              </w:rPr>
            </w:pPr>
            <w:r>
              <w:rPr>
                <w:sz w:val="18"/>
                <w:szCs w:val="18"/>
              </w:rPr>
              <w:t>/</w:t>
            </w:r>
          </w:p>
        </w:tc>
      </w:tr>
      <w:tr w14:paraId="563B0D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Align w:val="center"/>
          </w:tcPr>
          <w:p w14:paraId="11BB14A2">
            <w:pPr>
              <w:pStyle w:val="5"/>
              <w:adjustRightInd w:val="0"/>
              <w:snapToGrid w:val="0"/>
              <w:spacing w:line="240" w:lineRule="auto"/>
              <w:ind w:firstLine="0"/>
              <w:jc w:val="center"/>
              <w:rPr>
                <w:sz w:val="18"/>
                <w:szCs w:val="18"/>
              </w:rPr>
            </w:pPr>
            <w:r>
              <w:rPr>
                <w:sz w:val="18"/>
                <w:szCs w:val="18"/>
              </w:rPr>
              <w:t>三阶段项目</w:t>
            </w:r>
          </w:p>
        </w:tc>
        <w:tc>
          <w:tcPr>
            <w:tcW w:w="971" w:type="pct"/>
            <w:vAlign w:val="center"/>
          </w:tcPr>
          <w:p w14:paraId="51133FAD">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1024" w:type="pct"/>
            <w:vAlign w:val="center"/>
          </w:tcPr>
          <w:p w14:paraId="6A7EABDB">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1893F2DD">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7ED8B6E3">
            <w:pPr>
              <w:pStyle w:val="5"/>
              <w:adjustRightInd w:val="0"/>
              <w:snapToGrid w:val="0"/>
              <w:spacing w:line="240" w:lineRule="auto"/>
              <w:ind w:firstLine="0"/>
              <w:jc w:val="center"/>
              <w:rPr>
                <w:sz w:val="18"/>
                <w:szCs w:val="18"/>
              </w:rPr>
            </w:pPr>
            <w:r>
              <w:rPr>
                <w:spacing w:val="-3"/>
                <w:sz w:val="18"/>
                <w:szCs w:val="18"/>
              </w:rPr>
              <w:t>2</w:t>
            </w:r>
            <w:r>
              <w:rPr>
                <w:sz w:val="18"/>
                <w:szCs w:val="18"/>
              </w:rPr>
              <w:t>×1.</w:t>
            </w:r>
            <w:r>
              <w:rPr>
                <w:spacing w:val="-3"/>
                <w:sz w:val="18"/>
                <w:szCs w:val="18"/>
              </w:rPr>
              <w:t>5</w:t>
            </w:r>
            <w:r>
              <w:rPr>
                <w:sz w:val="18"/>
                <w:szCs w:val="18"/>
              </w:rPr>
              <w:t>万吨</w:t>
            </w:r>
            <w:r>
              <w:rPr>
                <w:spacing w:val="-4"/>
                <w:sz w:val="18"/>
                <w:szCs w:val="18"/>
              </w:rPr>
              <w:t>/</w:t>
            </w:r>
            <w:r>
              <w:rPr>
                <w:sz w:val="18"/>
                <w:szCs w:val="18"/>
              </w:rPr>
              <w:t>年三</w:t>
            </w:r>
            <w:r>
              <w:rPr>
                <w:spacing w:val="-3"/>
                <w:sz w:val="18"/>
                <w:szCs w:val="18"/>
              </w:rPr>
              <w:t>元</w:t>
            </w:r>
            <w:r>
              <w:rPr>
                <w:sz w:val="18"/>
                <w:szCs w:val="18"/>
              </w:rPr>
              <w:t>前</w:t>
            </w:r>
            <w:r>
              <w:rPr>
                <w:spacing w:val="-3"/>
                <w:sz w:val="18"/>
                <w:szCs w:val="18"/>
              </w:rPr>
              <w:t>驱</w:t>
            </w:r>
            <w:r>
              <w:rPr>
                <w:sz w:val="18"/>
                <w:szCs w:val="18"/>
              </w:rPr>
              <w:t>体</w:t>
            </w:r>
            <w:r>
              <w:rPr>
                <w:spacing w:val="-3"/>
                <w:sz w:val="18"/>
                <w:szCs w:val="18"/>
              </w:rPr>
              <w:t>生</w:t>
            </w:r>
            <w:r>
              <w:rPr>
                <w:sz w:val="18"/>
                <w:szCs w:val="18"/>
              </w:rPr>
              <w:t>产</w:t>
            </w:r>
            <w:r>
              <w:rPr>
                <w:spacing w:val="-3"/>
                <w:sz w:val="18"/>
                <w:szCs w:val="18"/>
              </w:rPr>
              <w:t>线</w:t>
            </w:r>
          </w:p>
        </w:tc>
        <w:tc>
          <w:tcPr>
            <w:tcW w:w="762" w:type="pct"/>
            <w:vAlign w:val="center"/>
          </w:tcPr>
          <w:p w14:paraId="5AED21EB">
            <w:pPr>
              <w:pStyle w:val="5"/>
              <w:adjustRightInd w:val="0"/>
              <w:snapToGrid w:val="0"/>
              <w:spacing w:line="240" w:lineRule="auto"/>
              <w:ind w:firstLine="0"/>
              <w:jc w:val="center"/>
              <w:rPr>
                <w:sz w:val="18"/>
                <w:szCs w:val="18"/>
              </w:rPr>
            </w:pPr>
            <w:r>
              <w:rPr>
                <w:spacing w:val="-3"/>
                <w:sz w:val="18"/>
                <w:szCs w:val="18"/>
              </w:rPr>
              <w:t>2</w:t>
            </w:r>
            <w:r>
              <w:rPr>
                <w:sz w:val="18"/>
                <w:szCs w:val="18"/>
              </w:rPr>
              <w:t>×1.</w:t>
            </w:r>
            <w:r>
              <w:rPr>
                <w:spacing w:val="-3"/>
                <w:sz w:val="18"/>
                <w:szCs w:val="18"/>
              </w:rPr>
              <w:t>5</w:t>
            </w:r>
            <w:r>
              <w:rPr>
                <w:sz w:val="18"/>
                <w:szCs w:val="18"/>
              </w:rPr>
              <w:t>万吨</w:t>
            </w:r>
            <w:r>
              <w:rPr>
                <w:spacing w:val="-4"/>
                <w:sz w:val="18"/>
                <w:szCs w:val="18"/>
              </w:rPr>
              <w:t>/</w:t>
            </w:r>
            <w:r>
              <w:rPr>
                <w:sz w:val="18"/>
                <w:szCs w:val="18"/>
              </w:rPr>
              <w:t>年三</w:t>
            </w:r>
            <w:r>
              <w:rPr>
                <w:spacing w:val="-3"/>
                <w:sz w:val="18"/>
                <w:szCs w:val="18"/>
              </w:rPr>
              <w:t>元</w:t>
            </w:r>
            <w:r>
              <w:rPr>
                <w:sz w:val="18"/>
                <w:szCs w:val="18"/>
              </w:rPr>
              <w:t>前</w:t>
            </w:r>
            <w:r>
              <w:rPr>
                <w:spacing w:val="-3"/>
                <w:sz w:val="18"/>
                <w:szCs w:val="18"/>
              </w:rPr>
              <w:t>驱</w:t>
            </w:r>
            <w:r>
              <w:rPr>
                <w:sz w:val="18"/>
                <w:szCs w:val="18"/>
              </w:rPr>
              <w:t>体</w:t>
            </w:r>
            <w:r>
              <w:rPr>
                <w:spacing w:val="-3"/>
                <w:sz w:val="18"/>
                <w:szCs w:val="18"/>
              </w:rPr>
              <w:t>生</w:t>
            </w:r>
            <w:r>
              <w:rPr>
                <w:sz w:val="18"/>
                <w:szCs w:val="18"/>
              </w:rPr>
              <w:t>产</w:t>
            </w:r>
            <w:r>
              <w:rPr>
                <w:spacing w:val="-3"/>
                <w:sz w:val="18"/>
                <w:szCs w:val="18"/>
              </w:rPr>
              <w:t>线</w:t>
            </w:r>
          </w:p>
        </w:tc>
      </w:tr>
      <w:tr w14:paraId="420EC9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Align w:val="center"/>
          </w:tcPr>
          <w:p w14:paraId="3274C11A">
            <w:pPr>
              <w:pStyle w:val="5"/>
              <w:adjustRightInd w:val="0"/>
              <w:snapToGrid w:val="0"/>
              <w:spacing w:line="240" w:lineRule="auto"/>
              <w:ind w:firstLine="0"/>
              <w:jc w:val="center"/>
              <w:rPr>
                <w:sz w:val="18"/>
                <w:szCs w:val="18"/>
              </w:rPr>
            </w:pPr>
            <w:r>
              <w:rPr>
                <w:sz w:val="18"/>
                <w:szCs w:val="18"/>
              </w:rPr>
              <w:t>燃气锅炉房项目</w:t>
            </w:r>
          </w:p>
        </w:tc>
        <w:tc>
          <w:tcPr>
            <w:tcW w:w="1995" w:type="pct"/>
            <w:gridSpan w:val="2"/>
            <w:vAlign w:val="center"/>
          </w:tcPr>
          <w:p w14:paraId="4420C8CE">
            <w:pPr>
              <w:pStyle w:val="942"/>
              <w:adjustRightInd w:val="0"/>
              <w:snapToGrid w:val="0"/>
              <w:jc w:val="center"/>
              <w:rPr>
                <w:rFonts w:ascii="Arial" w:hAnsi="Arial" w:cs="Arial"/>
                <w:spacing w:val="-3"/>
                <w:sz w:val="18"/>
                <w:szCs w:val="18"/>
                <w:lang w:eastAsia="zh-CN"/>
              </w:rPr>
            </w:pPr>
            <w:r>
              <w:rPr>
                <w:rFonts w:ascii="Arial" w:hAnsi="Arial" w:cs="Arial"/>
                <w:sz w:val="18"/>
                <w:szCs w:val="18"/>
                <w:lang w:val="en-GB" w:eastAsia="zh-CN"/>
              </w:rPr>
              <w:t>2</w:t>
            </w:r>
            <w:r>
              <w:rPr>
                <w:rFonts w:ascii="Arial" w:hAnsi="Arial" w:cs="Arial"/>
                <w:spacing w:val="-3"/>
                <w:sz w:val="18"/>
                <w:szCs w:val="18"/>
                <w:lang w:eastAsia="zh-CN"/>
              </w:rPr>
              <w:t>×</w:t>
            </w:r>
            <w:r>
              <w:rPr>
                <w:rFonts w:ascii="Arial" w:hAnsi="Arial" w:cs="Arial"/>
                <w:sz w:val="18"/>
                <w:szCs w:val="18"/>
                <w:lang w:val="en-GB" w:eastAsia="zh-CN"/>
              </w:rPr>
              <w:t>20t/h燃气锅炉</w:t>
            </w:r>
          </w:p>
        </w:tc>
        <w:tc>
          <w:tcPr>
            <w:tcW w:w="1103" w:type="pct"/>
            <w:vAlign w:val="center"/>
          </w:tcPr>
          <w:p w14:paraId="38C44FD1">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5E36DB9E">
            <w:pPr>
              <w:pStyle w:val="5"/>
              <w:adjustRightInd w:val="0"/>
              <w:snapToGrid w:val="0"/>
              <w:spacing w:line="240" w:lineRule="auto"/>
              <w:ind w:firstLine="0"/>
              <w:jc w:val="center"/>
              <w:rPr>
                <w:sz w:val="18"/>
                <w:szCs w:val="18"/>
              </w:rPr>
            </w:pPr>
            <w:r>
              <w:rPr>
                <w:sz w:val="18"/>
                <w:szCs w:val="18"/>
                <w:lang w:val="en-GB"/>
              </w:rPr>
              <w:t>1</w:t>
            </w:r>
            <w:r>
              <w:rPr>
                <w:spacing w:val="-3"/>
                <w:sz w:val="18"/>
                <w:szCs w:val="18"/>
              </w:rPr>
              <w:t>×</w:t>
            </w:r>
            <w:r>
              <w:rPr>
                <w:sz w:val="18"/>
                <w:szCs w:val="18"/>
                <w:lang w:val="en-GB"/>
              </w:rPr>
              <w:t>20t/h燃气锅炉</w:t>
            </w:r>
          </w:p>
        </w:tc>
        <w:tc>
          <w:tcPr>
            <w:tcW w:w="762" w:type="pct"/>
            <w:vAlign w:val="center"/>
          </w:tcPr>
          <w:p w14:paraId="79941C4E">
            <w:pPr>
              <w:pStyle w:val="5"/>
              <w:adjustRightInd w:val="0"/>
              <w:snapToGrid w:val="0"/>
              <w:spacing w:line="240" w:lineRule="auto"/>
              <w:ind w:firstLine="0"/>
              <w:jc w:val="center"/>
              <w:rPr>
                <w:sz w:val="18"/>
                <w:szCs w:val="18"/>
              </w:rPr>
            </w:pPr>
            <w:r>
              <w:rPr>
                <w:sz w:val="18"/>
                <w:szCs w:val="18"/>
                <w:lang w:val="en-GB"/>
              </w:rPr>
              <w:t>1</w:t>
            </w:r>
            <w:r>
              <w:rPr>
                <w:spacing w:val="-3"/>
                <w:sz w:val="18"/>
                <w:szCs w:val="18"/>
              </w:rPr>
              <w:t>×</w:t>
            </w:r>
            <w:r>
              <w:rPr>
                <w:sz w:val="18"/>
                <w:szCs w:val="18"/>
                <w:lang w:val="en-GB"/>
              </w:rPr>
              <w:t>20t/h燃气锅炉</w:t>
            </w:r>
          </w:p>
        </w:tc>
      </w:tr>
      <w:tr w14:paraId="71CECD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Align w:val="center"/>
          </w:tcPr>
          <w:p w14:paraId="4C4F8CFD">
            <w:pPr>
              <w:pStyle w:val="5"/>
              <w:adjustRightInd w:val="0"/>
              <w:snapToGrid w:val="0"/>
              <w:spacing w:line="240" w:lineRule="auto"/>
              <w:ind w:firstLine="0"/>
              <w:jc w:val="center"/>
              <w:rPr>
                <w:sz w:val="18"/>
                <w:szCs w:val="18"/>
              </w:rPr>
            </w:pPr>
            <w:r>
              <w:rPr>
                <w:sz w:val="18"/>
                <w:szCs w:val="18"/>
              </w:rPr>
              <w:t>变电站项目</w:t>
            </w:r>
          </w:p>
        </w:tc>
        <w:tc>
          <w:tcPr>
            <w:tcW w:w="1995" w:type="pct"/>
            <w:gridSpan w:val="2"/>
            <w:vAlign w:val="center"/>
          </w:tcPr>
          <w:p w14:paraId="22E09317">
            <w:pPr>
              <w:pStyle w:val="942"/>
              <w:adjustRightInd w:val="0"/>
              <w:snapToGrid w:val="0"/>
              <w:jc w:val="center"/>
              <w:rPr>
                <w:rFonts w:ascii="Arial" w:hAnsi="Arial" w:cs="Arial"/>
                <w:spacing w:val="-3"/>
                <w:sz w:val="18"/>
                <w:szCs w:val="18"/>
                <w:lang w:eastAsia="zh-CN"/>
              </w:rPr>
            </w:pPr>
            <w:r>
              <w:rPr>
                <w:rFonts w:ascii="Arial" w:hAnsi="Arial" w:cs="Arial"/>
                <w:sz w:val="18"/>
                <w:szCs w:val="18"/>
                <w:lang w:eastAsia="zh-CN"/>
              </w:rPr>
              <w:t>1座110kV变电站（户外式），主变容量2×63MVA；出线回路数110kV：1，10kV：21；无功补偿装置：4×6Mvar</w:t>
            </w:r>
          </w:p>
        </w:tc>
        <w:tc>
          <w:tcPr>
            <w:tcW w:w="1103" w:type="pct"/>
            <w:vAlign w:val="center"/>
          </w:tcPr>
          <w:p w14:paraId="1C779048">
            <w:pPr>
              <w:pStyle w:val="942"/>
              <w:adjustRightInd w:val="0"/>
              <w:snapToGrid w:val="0"/>
              <w:jc w:val="center"/>
              <w:rPr>
                <w:rFonts w:ascii="Arial" w:hAnsi="Arial" w:cs="Arial"/>
                <w:sz w:val="18"/>
                <w:szCs w:val="18"/>
                <w:lang w:eastAsia="zh-CN"/>
              </w:rPr>
            </w:pPr>
            <w:r>
              <w:rPr>
                <w:rFonts w:ascii="Arial" w:hAnsi="Arial" w:cs="Arial"/>
                <w:sz w:val="18"/>
                <w:szCs w:val="18"/>
                <w:lang w:eastAsia="zh-CN"/>
              </w:rPr>
              <w:t>1座110kV变电站（户外式），主变容量2×63MVA；出线回路数110kV：1，10kV：21；无功补偿装置：4×6Mvar</w:t>
            </w:r>
          </w:p>
        </w:tc>
        <w:tc>
          <w:tcPr>
            <w:tcW w:w="789" w:type="pct"/>
            <w:vAlign w:val="center"/>
          </w:tcPr>
          <w:p w14:paraId="31E6D31A">
            <w:pPr>
              <w:pStyle w:val="5"/>
              <w:adjustRightInd w:val="0"/>
              <w:snapToGrid w:val="0"/>
              <w:spacing w:line="240" w:lineRule="auto"/>
              <w:ind w:firstLine="0"/>
              <w:jc w:val="center"/>
              <w:rPr>
                <w:sz w:val="18"/>
                <w:szCs w:val="18"/>
              </w:rPr>
            </w:pPr>
            <w:r>
              <w:rPr>
                <w:sz w:val="18"/>
                <w:szCs w:val="18"/>
              </w:rPr>
              <w:t>/</w:t>
            </w:r>
          </w:p>
        </w:tc>
        <w:tc>
          <w:tcPr>
            <w:tcW w:w="762" w:type="pct"/>
            <w:vAlign w:val="center"/>
          </w:tcPr>
          <w:p w14:paraId="7F3D6814">
            <w:pPr>
              <w:pStyle w:val="5"/>
              <w:adjustRightInd w:val="0"/>
              <w:snapToGrid w:val="0"/>
              <w:spacing w:line="240" w:lineRule="auto"/>
              <w:ind w:firstLine="0"/>
              <w:jc w:val="center"/>
              <w:rPr>
                <w:sz w:val="18"/>
                <w:szCs w:val="18"/>
              </w:rPr>
            </w:pPr>
            <w:r>
              <w:rPr>
                <w:sz w:val="18"/>
                <w:szCs w:val="18"/>
              </w:rPr>
              <w:t>/</w:t>
            </w:r>
          </w:p>
        </w:tc>
      </w:tr>
      <w:tr w14:paraId="32F28B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Align w:val="center"/>
          </w:tcPr>
          <w:p w14:paraId="259EAEB8">
            <w:pPr>
              <w:pStyle w:val="5"/>
              <w:adjustRightInd w:val="0"/>
              <w:snapToGrid w:val="0"/>
              <w:spacing w:line="240" w:lineRule="auto"/>
              <w:ind w:firstLine="0"/>
              <w:jc w:val="center"/>
              <w:rPr>
                <w:sz w:val="18"/>
                <w:szCs w:val="18"/>
              </w:rPr>
            </w:pPr>
            <w:r>
              <w:rPr>
                <w:sz w:val="18"/>
                <w:szCs w:val="18"/>
              </w:rPr>
              <w:t>氨水项目</w:t>
            </w:r>
          </w:p>
        </w:tc>
        <w:tc>
          <w:tcPr>
            <w:tcW w:w="1995" w:type="pct"/>
            <w:gridSpan w:val="2"/>
            <w:vAlign w:val="center"/>
          </w:tcPr>
          <w:p w14:paraId="53A187B5">
            <w:pPr>
              <w:pStyle w:val="942"/>
              <w:adjustRightInd w:val="0"/>
              <w:snapToGrid w:val="0"/>
              <w:jc w:val="center"/>
              <w:rPr>
                <w:rFonts w:ascii="Arial" w:hAnsi="Arial" w:cs="Arial"/>
                <w:sz w:val="18"/>
                <w:szCs w:val="18"/>
                <w:lang w:eastAsia="zh-CN"/>
              </w:rPr>
            </w:pPr>
            <w:r>
              <w:rPr>
                <w:rFonts w:ascii="Arial" w:hAnsi="Arial" w:cs="Arial"/>
                <w:sz w:val="18"/>
                <w:szCs w:val="18"/>
                <w:lang w:eastAsia="zh-CN"/>
              </w:rPr>
              <w:t>1条氨水制备生产线，设计年产21%氨水15万吨/年；1座柴油加油站</w:t>
            </w:r>
          </w:p>
        </w:tc>
        <w:tc>
          <w:tcPr>
            <w:tcW w:w="1103" w:type="pct"/>
            <w:vAlign w:val="center"/>
          </w:tcPr>
          <w:p w14:paraId="76E013CD">
            <w:pPr>
              <w:pStyle w:val="942"/>
              <w:adjustRightInd w:val="0"/>
              <w:snapToGrid w:val="0"/>
              <w:jc w:val="center"/>
              <w:rPr>
                <w:rFonts w:ascii="Arial" w:hAnsi="Arial" w:cs="Arial"/>
                <w:sz w:val="18"/>
                <w:szCs w:val="18"/>
                <w:lang w:eastAsia="zh-CN"/>
              </w:rPr>
            </w:pPr>
            <w:r>
              <w:rPr>
                <w:rFonts w:ascii="Arial" w:hAnsi="Arial" w:cs="Arial"/>
                <w:sz w:val="18"/>
                <w:szCs w:val="18"/>
                <w:lang w:eastAsia="zh-CN"/>
              </w:rPr>
              <w:t>1×15万t/a氨水制备线、1座柴油加油站</w:t>
            </w:r>
          </w:p>
        </w:tc>
        <w:tc>
          <w:tcPr>
            <w:tcW w:w="789" w:type="pct"/>
            <w:vAlign w:val="center"/>
          </w:tcPr>
          <w:p w14:paraId="0D6492A4">
            <w:pPr>
              <w:pStyle w:val="5"/>
              <w:adjustRightInd w:val="0"/>
              <w:snapToGrid w:val="0"/>
              <w:spacing w:line="240" w:lineRule="auto"/>
              <w:ind w:firstLine="0"/>
              <w:jc w:val="center"/>
              <w:rPr>
                <w:sz w:val="18"/>
                <w:szCs w:val="18"/>
              </w:rPr>
            </w:pPr>
            <w:r>
              <w:rPr>
                <w:sz w:val="18"/>
                <w:szCs w:val="18"/>
              </w:rPr>
              <w:t>/</w:t>
            </w:r>
          </w:p>
        </w:tc>
        <w:tc>
          <w:tcPr>
            <w:tcW w:w="762" w:type="pct"/>
            <w:vAlign w:val="center"/>
          </w:tcPr>
          <w:p w14:paraId="665A5818">
            <w:pPr>
              <w:pStyle w:val="5"/>
              <w:adjustRightInd w:val="0"/>
              <w:snapToGrid w:val="0"/>
              <w:spacing w:line="240" w:lineRule="auto"/>
              <w:ind w:firstLine="0"/>
              <w:jc w:val="center"/>
              <w:rPr>
                <w:sz w:val="18"/>
                <w:szCs w:val="18"/>
              </w:rPr>
            </w:pPr>
            <w:r>
              <w:rPr>
                <w:sz w:val="18"/>
                <w:szCs w:val="18"/>
              </w:rPr>
              <w:t>/</w:t>
            </w:r>
          </w:p>
        </w:tc>
      </w:tr>
      <w:tr w14:paraId="1D3BFA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Align w:val="center"/>
          </w:tcPr>
          <w:p w14:paraId="1DE26897">
            <w:pPr>
              <w:pStyle w:val="5"/>
              <w:adjustRightInd w:val="0"/>
              <w:snapToGrid w:val="0"/>
              <w:spacing w:line="240" w:lineRule="auto"/>
              <w:ind w:firstLine="0"/>
              <w:jc w:val="center"/>
              <w:rPr>
                <w:sz w:val="18"/>
                <w:szCs w:val="18"/>
              </w:rPr>
            </w:pPr>
            <w:r>
              <w:rPr>
                <w:rFonts w:hint="eastAsia"/>
                <w:sz w:val="18"/>
                <w:szCs w:val="18"/>
              </w:rPr>
              <w:t>氢氧化钴技改项目</w:t>
            </w:r>
          </w:p>
        </w:tc>
        <w:tc>
          <w:tcPr>
            <w:tcW w:w="971" w:type="pct"/>
            <w:vAlign w:val="center"/>
          </w:tcPr>
          <w:p w14:paraId="11D333F0">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1</w:t>
            </w:r>
            <w:r>
              <w:rPr>
                <w:rFonts w:ascii="Arial" w:hAnsi="Arial" w:cs="Arial"/>
                <w:sz w:val="18"/>
                <w:szCs w:val="18"/>
                <w:lang w:eastAsia="zh-CN"/>
              </w:rPr>
              <w:t>×</w:t>
            </w:r>
            <w:r>
              <w:rPr>
                <w:rFonts w:hint="eastAsia" w:ascii="Arial" w:hAnsi="Arial" w:cs="Arial"/>
                <w:sz w:val="18"/>
                <w:szCs w:val="18"/>
                <w:lang w:eastAsia="zh-CN"/>
              </w:rPr>
              <w:t>0.5万金吨/年氢氧化钴处置线（含0.2万吨/年电积钴工序）、1</w:t>
            </w:r>
            <w:r>
              <w:rPr>
                <w:rFonts w:ascii="Arial" w:hAnsi="Arial" w:cs="Arial"/>
                <w:sz w:val="18"/>
                <w:szCs w:val="18"/>
                <w:lang w:eastAsia="zh-CN"/>
              </w:rPr>
              <w:t>×</w:t>
            </w:r>
            <w:r>
              <w:rPr>
                <w:rFonts w:hint="eastAsia" w:ascii="Arial" w:hAnsi="Arial" w:cs="Arial"/>
                <w:sz w:val="18"/>
                <w:szCs w:val="18"/>
                <w:lang w:eastAsia="zh-CN"/>
              </w:rPr>
              <w:t>1.7万金吨氢氧化镍钴（MHP）生产线</w:t>
            </w:r>
          </w:p>
        </w:tc>
        <w:tc>
          <w:tcPr>
            <w:tcW w:w="1024" w:type="pct"/>
            <w:vAlign w:val="center"/>
          </w:tcPr>
          <w:p w14:paraId="6E7C31D0">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硫酸钴：</w:t>
            </w:r>
            <w:r>
              <w:rPr>
                <w:rFonts w:hint="eastAsia" w:ascii="Arial" w:hAnsi="Arial" w:cs="Arial"/>
                <w:spacing w:val="-3"/>
                <w:sz w:val="18"/>
                <w:szCs w:val="18"/>
                <w:lang w:eastAsia="zh-CN"/>
              </w:rPr>
              <w:t>0.5</w:t>
            </w:r>
            <w:r>
              <w:rPr>
                <w:rFonts w:ascii="Arial" w:hAnsi="Arial" w:cs="Arial"/>
                <w:sz w:val="18"/>
                <w:szCs w:val="18"/>
                <w:lang w:eastAsia="zh-CN"/>
              </w:rPr>
              <w:t>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p w14:paraId="2D8FD82C">
            <w:pPr>
              <w:pStyle w:val="942"/>
              <w:adjustRightInd w:val="0"/>
              <w:snapToGrid w:val="0"/>
              <w:jc w:val="center"/>
              <w:rPr>
                <w:rFonts w:ascii="Arial" w:hAnsi="Arial" w:cs="Arial"/>
                <w:spacing w:val="-3"/>
                <w:sz w:val="18"/>
                <w:szCs w:val="18"/>
                <w:lang w:eastAsia="zh-CN"/>
              </w:rPr>
            </w:pPr>
            <w:r>
              <w:rPr>
                <w:rFonts w:hint="eastAsia" w:ascii="Arial" w:hAnsi="Arial" w:cs="Arial"/>
                <w:spacing w:val="-3"/>
                <w:sz w:val="18"/>
                <w:szCs w:val="18"/>
                <w:lang w:eastAsia="zh-CN"/>
              </w:rPr>
              <w:t>钴板：0.2万</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p w14:paraId="0264E123">
            <w:pPr>
              <w:pStyle w:val="942"/>
              <w:adjustRightInd w:val="0"/>
              <w:snapToGrid w:val="0"/>
              <w:jc w:val="center"/>
              <w:rPr>
                <w:rFonts w:ascii="Arial" w:hAnsi="Arial" w:cs="Arial"/>
                <w:spacing w:val="-3"/>
                <w:sz w:val="18"/>
                <w:szCs w:val="18"/>
                <w:lang w:eastAsia="zh-CN"/>
              </w:rPr>
            </w:pPr>
            <w:r>
              <w:rPr>
                <w:rFonts w:hint="eastAsia" w:ascii="Arial" w:hAnsi="Arial" w:cs="Arial"/>
                <w:spacing w:val="-3"/>
                <w:sz w:val="18"/>
                <w:szCs w:val="18"/>
                <w:lang w:eastAsia="zh-CN"/>
              </w:rPr>
              <w:t>硫酸镍溶液：1.7万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731DA453">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1</w:t>
            </w:r>
            <w:r>
              <w:rPr>
                <w:rFonts w:ascii="Arial" w:hAnsi="Arial" w:cs="Arial"/>
                <w:sz w:val="18"/>
                <w:szCs w:val="18"/>
                <w:lang w:eastAsia="zh-CN"/>
              </w:rPr>
              <w:t>×</w:t>
            </w:r>
            <w:r>
              <w:rPr>
                <w:rFonts w:hint="eastAsia" w:ascii="Arial" w:hAnsi="Arial" w:cs="Arial"/>
                <w:sz w:val="18"/>
                <w:szCs w:val="18"/>
                <w:lang w:eastAsia="zh-CN"/>
              </w:rPr>
              <w:t>0.5万金吨/年氢氧化钴处置线（含0.2万吨/年电积钴工序）、1</w:t>
            </w:r>
            <w:r>
              <w:rPr>
                <w:rFonts w:ascii="Arial" w:hAnsi="Arial" w:cs="Arial"/>
                <w:sz w:val="18"/>
                <w:szCs w:val="18"/>
                <w:lang w:eastAsia="zh-CN"/>
              </w:rPr>
              <w:t>×</w:t>
            </w:r>
            <w:r>
              <w:rPr>
                <w:rFonts w:hint="eastAsia" w:ascii="Arial" w:hAnsi="Arial" w:cs="Arial"/>
                <w:sz w:val="18"/>
                <w:szCs w:val="18"/>
                <w:lang w:eastAsia="zh-CN"/>
              </w:rPr>
              <w:t>1.7万金吨氢氧化镍钴（MHP）生产线</w:t>
            </w:r>
          </w:p>
        </w:tc>
        <w:tc>
          <w:tcPr>
            <w:tcW w:w="789" w:type="pct"/>
            <w:vAlign w:val="center"/>
          </w:tcPr>
          <w:p w14:paraId="5335EF3A">
            <w:pPr>
              <w:pStyle w:val="5"/>
              <w:adjustRightInd w:val="0"/>
              <w:snapToGrid w:val="0"/>
              <w:spacing w:line="240" w:lineRule="auto"/>
              <w:ind w:firstLine="0"/>
              <w:jc w:val="center"/>
              <w:rPr>
                <w:spacing w:val="-3"/>
                <w:sz w:val="18"/>
                <w:szCs w:val="18"/>
              </w:rPr>
            </w:pPr>
            <w:r>
              <w:rPr>
                <w:sz w:val="18"/>
                <w:szCs w:val="18"/>
              </w:rPr>
              <w:t>/</w:t>
            </w:r>
          </w:p>
        </w:tc>
        <w:tc>
          <w:tcPr>
            <w:tcW w:w="762" w:type="pct"/>
            <w:vAlign w:val="center"/>
          </w:tcPr>
          <w:p w14:paraId="57276434">
            <w:pPr>
              <w:pStyle w:val="5"/>
              <w:adjustRightInd w:val="0"/>
              <w:snapToGrid w:val="0"/>
              <w:spacing w:line="240" w:lineRule="auto"/>
              <w:ind w:firstLine="0"/>
              <w:jc w:val="center"/>
              <w:rPr>
                <w:sz w:val="18"/>
                <w:szCs w:val="18"/>
              </w:rPr>
            </w:pPr>
            <w:r>
              <w:rPr>
                <w:sz w:val="18"/>
                <w:szCs w:val="18"/>
              </w:rPr>
              <w:t>/</w:t>
            </w:r>
          </w:p>
        </w:tc>
      </w:tr>
      <w:tr w14:paraId="5085D2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restart"/>
            <w:vAlign w:val="center"/>
          </w:tcPr>
          <w:p w14:paraId="21040CA2">
            <w:pPr>
              <w:pStyle w:val="5"/>
              <w:adjustRightInd w:val="0"/>
              <w:snapToGrid w:val="0"/>
              <w:spacing w:line="240" w:lineRule="auto"/>
              <w:ind w:firstLine="0"/>
              <w:jc w:val="center"/>
              <w:rPr>
                <w:sz w:val="18"/>
                <w:szCs w:val="18"/>
              </w:rPr>
            </w:pPr>
            <w:r>
              <w:rPr>
                <w:sz w:val="18"/>
                <w:szCs w:val="18"/>
              </w:rPr>
              <w:t>一体化</w:t>
            </w:r>
            <w:r>
              <w:rPr>
                <w:rFonts w:hint="eastAsia"/>
                <w:sz w:val="18"/>
                <w:szCs w:val="18"/>
              </w:rPr>
              <w:t>变更</w:t>
            </w:r>
            <w:r>
              <w:rPr>
                <w:sz w:val="18"/>
                <w:szCs w:val="18"/>
              </w:rPr>
              <w:t>项目</w:t>
            </w:r>
          </w:p>
        </w:tc>
        <w:tc>
          <w:tcPr>
            <w:tcW w:w="971" w:type="pct"/>
            <w:vAlign w:val="center"/>
          </w:tcPr>
          <w:p w14:paraId="33656A2F">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ascii="Arial" w:hAnsi="Arial" w:cs="Arial"/>
                <w:spacing w:val="-3"/>
                <w:sz w:val="18"/>
                <w:szCs w:val="18"/>
                <w:lang w:eastAsia="zh-CN"/>
              </w:rPr>
              <w:t>×</w:t>
            </w:r>
            <w:r>
              <w:rPr>
                <w:rFonts w:hint="eastAsia" w:ascii="Arial" w:hAnsi="Arial" w:cs="Arial"/>
                <w:sz w:val="18"/>
                <w:szCs w:val="18"/>
                <w:lang w:eastAsia="zh-CN"/>
              </w:rPr>
              <w:t>8.2</w:t>
            </w:r>
            <w:r>
              <w:rPr>
                <w:rFonts w:ascii="Arial" w:hAnsi="Arial" w:cs="Arial"/>
                <w:sz w:val="18"/>
                <w:szCs w:val="18"/>
                <w:lang w:eastAsia="zh-CN"/>
              </w:rPr>
              <w:t>万金吨</w:t>
            </w:r>
            <w:r>
              <w:rPr>
                <w:rFonts w:hint="eastAsia" w:ascii="Arial" w:hAnsi="Arial" w:cs="Arial"/>
                <w:sz w:val="18"/>
                <w:szCs w:val="18"/>
                <w:lang w:eastAsia="zh-CN"/>
              </w:rPr>
              <w:t>/年火法</w:t>
            </w:r>
            <w:r>
              <w:rPr>
                <w:rFonts w:ascii="Arial" w:hAnsi="Arial" w:cs="Arial"/>
                <w:sz w:val="18"/>
                <w:szCs w:val="18"/>
                <w:lang w:eastAsia="zh-CN"/>
              </w:rPr>
              <w:t>生产线</w:t>
            </w:r>
          </w:p>
        </w:tc>
        <w:tc>
          <w:tcPr>
            <w:tcW w:w="1024" w:type="pct"/>
            <w:vAlign w:val="center"/>
          </w:tcPr>
          <w:p w14:paraId="54A763EA">
            <w:pPr>
              <w:pStyle w:val="942"/>
              <w:adjustRightInd w:val="0"/>
              <w:snapToGrid w:val="0"/>
              <w:jc w:val="center"/>
              <w:rPr>
                <w:rFonts w:ascii="Arial" w:hAnsi="Arial" w:cs="Arial"/>
                <w:spacing w:val="-3"/>
                <w:sz w:val="18"/>
                <w:szCs w:val="18"/>
                <w:lang w:eastAsia="zh-CN"/>
              </w:rPr>
            </w:pPr>
            <w:r>
              <w:rPr>
                <w:rFonts w:ascii="Arial" w:hAnsi="Arial" w:cs="Arial"/>
                <w:sz w:val="18"/>
                <w:szCs w:val="18"/>
              </w:rPr>
              <w:t>高冰镍</w:t>
            </w:r>
            <w:r>
              <w:rPr>
                <w:rFonts w:ascii="Arial" w:hAnsi="Arial" w:cs="Arial"/>
                <w:sz w:val="18"/>
                <w:szCs w:val="18"/>
                <w:lang w:eastAsia="zh-CN"/>
              </w:rPr>
              <w:t>：</w:t>
            </w:r>
            <w:r>
              <w:rPr>
                <w:rFonts w:hint="eastAsia" w:ascii="Arial" w:hAnsi="Arial" w:cs="Arial"/>
                <w:sz w:val="18"/>
                <w:szCs w:val="18"/>
                <w:lang w:eastAsia="zh-CN"/>
              </w:rPr>
              <w:t>8.2</w:t>
            </w:r>
            <w:r>
              <w:rPr>
                <w:rFonts w:ascii="Arial" w:hAnsi="Arial" w:cs="Arial"/>
                <w:sz w:val="18"/>
                <w:szCs w:val="18"/>
                <w:lang w:eastAsia="zh-CN"/>
              </w:rPr>
              <w:t>万金吨/年</w:t>
            </w:r>
          </w:p>
        </w:tc>
        <w:tc>
          <w:tcPr>
            <w:tcW w:w="1103" w:type="pct"/>
            <w:vAlign w:val="center"/>
          </w:tcPr>
          <w:p w14:paraId="34B0F5DB">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03D490FA">
            <w:pPr>
              <w:pStyle w:val="5"/>
              <w:adjustRightInd w:val="0"/>
              <w:snapToGrid w:val="0"/>
              <w:spacing w:line="240" w:lineRule="auto"/>
              <w:ind w:firstLine="0"/>
              <w:jc w:val="center"/>
              <w:rPr>
                <w:sz w:val="18"/>
                <w:szCs w:val="18"/>
              </w:rPr>
            </w:pPr>
            <w:r>
              <w:rPr>
                <w:sz w:val="18"/>
                <w:szCs w:val="18"/>
              </w:rPr>
              <w:t>1</w:t>
            </w:r>
            <w:r>
              <w:rPr>
                <w:spacing w:val="-3"/>
                <w:sz w:val="18"/>
                <w:szCs w:val="18"/>
              </w:rPr>
              <w:t>×</w:t>
            </w:r>
            <w:r>
              <w:rPr>
                <w:rFonts w:hint="eastAsia"/>
                <w:sz w:val="18"/>
                <w:szCs w:val="18"/>
              </w:rPr>
              <w:t>8.2</w:t>
            </w:r>
            <w:r>
              <w:rPr>
                <w:sz w:val="18"/>
                <w:szCs w:val="18"/>
              </w:rPr>
              <w:t>万金吨高冰镍生产线</w:t>
            </w:r>
          </w:p>
        </w:tc>
        <w:tc>
          <w:tcPr>
            <w:tcW w:w="762" w:type="pct"/>
            <w:vAlign w:val="center"/>
          </w:tcPr>
          <w:p w14:paraId="0CCA8610">
            <w:pPr>
              <w:pStyle w:val="5"/>
              <w:adjustRightInd w:val="0"/>
              <w:snapToGrid w:val="0"/>
              <w:spacing w:line="240" w:lineRule="auto"/>
              <w:ind w:firstLine="0"/>
              <w:jc w:val="center"/>
              <w:rPr>
                <w:sz w:val="18"/>
                <w:szCs w:val="18"/>
              </w:rPr>
            </w:pPr>
            <w:r>
              <w:rPr>
                <w:sz w:val="18"/>
                <w:szCs w:val="18"/>
              </w:rPr>
              <w:t>/</w:t>
            </w:r>
          </w:p>
        </w:tc>
      </w:tr>
      <w:tr w14:paraId="79F6BC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continue"/>
            <w:vAlign w:val="center"/>
          </w:tcPr>
          <w:p w14:paraId="38FB9F61">
            <w:pPr>
              <w:pStyle w:val="5"/>
              <w:adjustRightInd w:val="0"/>
              <w:snapToGrid w:val="0"/>
              <w:spacing w:line="240" w:lineRule="auto"/>
              <w:ind w:firstLine="0"/>
              <w:jc w:val="center"/>
              <w:rPr>
                <w:sz w:val="18"/>
                <w:szCs w:val="18"/>
              </w:rPr>
            </w:pPr>
          </w:p>
        </w:tc>
        <w:tc>
          <w:tcPr>
            <w:tcW w:w="971" w:type="pct"/>
            <w:vAlign w:val="center"/>
          </w:tcPr>
          <w:p w14:paraId="281E2EEC">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hint="eastAsia" w:ascii="Arial" w:hAnsi="Arial" w:cs="Arial"/>
                <w:sz w:val="18"/>
                <w:szCs w:val="18"/>
                <w:lang w:eastAsia="zh-CN"/>
              </w:rPr>
              <w:t>条</w:t>
            </w:r>
            <w:r>
              <w:rPr>
                <w:rFonts w:ascii="Arial" w:hAnsi="Arial" w:cs="Arial"/>
                <w:sz w:val="18"/>
                <w:szCs w:val="18"/>
                <w:lang w:eastAsia="zh-CN"/>
              </w:rPr>
              <w:t>吹炼渣生产线</w:t>
            </w:r>
          </w:p>
        </w:tc>
        <w:tc>
          <w:tcPr>
            <w:tcW w:w="1024" w:type="pct"/>
            <w:vAlign w:val="center"/>
          </w:tcPr>
          <w:p w14:paraId="28FACFAE">
            <w:pPr>
              <w:pStyle w:val="942"/>
              <w:adjustRightInd w:val="0"/>
              <w:snapToGrid w:val="0"/>
              <w:jc w:val="center"/>
              <w:rPr>
                <w:rFonts w:ascii="Arial" w:hAnsi="Arial" w:cs="Arial"/>
                <w:spacing w:val="-3"/>
                <w:sz w:val="18"/>
                <w:szCs w:val="18"/>
                <w:lang w:eastAsia="zh-CN"/>
              </w:rPr>
            </w:pPr>
            <w:r>
              <w:rPr>
                <w:rFonts w:hint="eastAsia" w:ascii="Arial" w:hAnsi="Arial" w:cs="Arial"/>
                <w:sz w:val="18"/>
                <w:szCs w:val="18"/>
                <w:lang w:eastAsia="zh-CN"/>
              </w:rPr>
              <w:t>富</w:t>
            </w:r>
            <w:r>
              <w:rPr>
                <w:rFonts w:ascii="Arial" w:hAnsi="Arial" w:cs="Arial"/>
                <w:sz w:val="18"/>
                <w:szCs w:val="18"/>
                <w:lang w:eastAsia="zh-CN"/>
              </w:rPr>
              <w:t>钴</w:t>
            </w:r>
            <w:r>
              <w:rPr>
                <w:rFonts w:hint="eastAsia" w:ascii="Arial" w:hAnsi="Arial" w:cs="Arial"/>
                <w:sz w:val="18"/>
                <w:szCs w:val="18"/>
                <w:lang w:eastAsia="zh-CN"/>
              </w:rPr>
              <w:t>中</w:t>
            </w:r>
            <w:r>
              <w:rPr>
                <w:rFonts w:ascii="Arial" w:hAnsi="Arial" w:cs="Arial"/>
                <w:sz w:val="18"/>
                <w:szCs w:val="18"/>
                <w:lang w:eastAsia="zh-CN"/>
              </w:rPr>
              <w:t>冰镍：0.</w:t>
            </w:r>
            <w:r>
              <w:rPr>
                <w:rFonts w:hint="eastAsia" w:ascii="Arial" w:hAnsi="Arial" w:cs="Arial"/>
                <w:sz w:val="18"/>
                <w:szCs w:val="18"/>
                <w:lang w:eastAsia="zh-CN"/>
              </w:rPr>
              <w:t>49</w:t>
            </w:r>
            <w:r>
              <w:rPr>
                <w:rFonts w:ascii="Arial" w:hAnsi="Arial" w:cs="Arial"/>
                <w:sz w:val="18"/>
                <w:szCs w:val="18"/>
                <w:lang w:eastAsia="zh-CN"/>
              </w:rPr>
              <w:t>万金吨/年</w:t>
            </w:r>
          </w:p>
        </w:tc>
        <w:tc>
          <w:tcPr>
            <w:tcW w:w="1103" w:type="pct"/>
            <w:vAlign w:val="center"/>
          </w:tcPr>
          <w:p w14:paraId="38FE05AD">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042C91EC">
            <w:pPr>
              <w:pStyle w:val="5"/>
              <w:adjustRightInd w:val="0"/>
              <w:snapToGrid w:val="0"/>
              <w:spacing w:line="240" w:lineRule="auto"/>
              <w:ind w:firstLine="0"/>
              <w:jc w:val="center"/>
              <w:rPr>
                <w:sz w:val="18"/>
                <w:szCs w:val="18"/>
              </w:rPr>
            </w:pPr>
            <w:r>
              <w:rPr>
                <w:sz w:val="18"/>
                <w:szCs w:val="18"/>
              </w:rPr>
              <w:t>1</w:t>
            </w:r>
            <w:r>
              <w:rPr>
                <w:rFonts w:hint="eastAsia"/>
                <w:spacing w:val="-3"/>
                <w:sz w:val="18"/>
                <w:szCs w:val="18"/>
              </w:rPr>
              <w:t>条</w:t>
            </w:r>
            <w:r>
              <w:rPr>
                <w:sz w:val="18"/>
                <w:szCs w:val="18"/>
              </w:rPr>
              <w:t>吹炼渣生产线</w:t>
            </w:r>
          </w:p>
        </w:tc>
        <w:tc>
          <w:tcPr>
            <w:tcW w:w="762" w:type="pct"/>
            <w:vAlign w:val="center"/>
          </w:tcPr>
          <w:p w14:paraId="3CE6B691">
            <w:pPr>
              <w:pStyle w:val="5"/>
              <w:adjustRightInd w:val="0"/>
              <w:snapToGrid w:val="0"/>
              <w:spacing w:line="240" w:lineRule="auto"/>
              <w:ind w:firstLine="0"/>
              <w:jc w:val="center"/>
              <w:rPr>
                <w:sz w:val="18"/>
                <w:szCs w:val="18"/>
              </w:rPr>
            </w:pPr>
            <w:r>
              <w:rPr>
                <w:sz w:val="18"/>
                <w:szCs w:val="18"/>
              </w:rPr>
              <w:t>/</w:t>
            </w:r>
          </w:p>
        </w:tc>
      </w:tr>
      <w:tr w14:paraId="181511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continue"/>
            <w:vAlign w:val="center"/>
          </w:tcPr>
          <w:p w14:paraId="09A9926E">
            <w:pPr>
              <w:pStyle w:val="5"/>
              <w:adjustRightInd w:val="0"/>
              <w:snapToGrid w:val="0"/>
              <w:spacing w:line="240" w:lineRule="auto"/>
              <w:ind w:firstLine="0"/>
              <w:jc w:val="center"/>
              <w:rPr>
                <w:sz w:val="18"/>
                <w:szCs w:val="18"/>
              </w:rPr>
            </w:pPr>
          </w:p>
        </w:tc>
        <w:tc>
          <w:tcPr>
            <w:tcW w:w="971" w:type="pct"/>
            <w:vAlign w:val="center"/>
          </w:tcPr>
          <w:p w14:paraId="49632E0C">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ascii="Arial" w:hAnsi="Arial" w:cs="Arial"/>
                <w:spacing w:val="-3"/>
                <w:sz w:val="18"/>
                <w:szCs w:val="18"/>
                <w:lang w:eastAsia="zh-CN"/>
              </w:rPr>
              <w:t>×</w:t>
            </w:r>
            <w:r>
              <w:rPr>
                <w:rFonts w:ascii="Arial" w:hAnsi="Arial" w:cs="Arial"/>
                <w:sz w:val="18"/>
                <w:szCs w:val="18"/>
                <w:lang w:eastAsia="zh-CN"/>
              </w:rPr>
              <w:t>15万t/a烟气制酸生产线</w:t>
            </w:r>
          </w:p>
        </w:tc>
        <w:tc>
          <w:tcPr>
            <w:tcW w:w="1024" w:type="pct"/>
            <w:vAlign w:val="center"/>
          </w:tcPr>
          <w:p w14:paraId="7CEA6303">
            <w:pPr>
              <w:pStyle w:val="942"/>
              <w:adjustRightInd w:val="0"/>
              <w:snapToGrid w:val="0"/>
              <w:jc w:val="center"/>
              <w:rPr>
                <w:rFonts w:ascii="Arial" w:hAnsi="Arial" w:cs="Arial"/>
                <w:spacing w:val="-3"/>
                <w:sz w:val="18"/>
                <w:szCs w:val="18"/>
                <w:lang w:eastAsia="zh-CN"/>
              </w:rPr>
            </w:pPr>
            <w:r>
              <w:rPr>
                <w:rFonts w:ascii="Arial" w:hAnsi="Arial" w:cs="Arial"/>
                <w:sz w:val="18"/>
                <w:szCs w:val="18"/>
                <w:lang w:eastAsia="zh-CN"/>
              </w:rPr>
              <w:t>硫酸：15万t/a</w:t>
            </w:r>
          </w:p>
        </w:tc>
        <w:tc>
          <w:tcPr>
            <w:tcW w:w="1103" w:type="pct"/>
            <w:vAlign w:val="center"/>
          </w:tcPr>
          <w:p w14:paraId="46E5766E">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6BFD3C0A">
            <w:pPr>
              <w:pStyle w:val="5"/>
              <w:adjustRightInd w:val="0"/>
              <w:snapToGrid w:val="0"/>
              <w:spacing w:line="240" w:lineRule="auto"/>
              <w:ind w:firstLine="0"/>
              <w:jc w:val="center"/>
              <w:rPr>
                <w:sz w:val="18"/>
                <w:szCs w:val="18"/>
              </w:rPr>
            </w:pPr>
            <w:r>
              <w:rPr>
                <w:sz w:val="18"/>
                <w:szCs w:val="18"/>
              </w:rPr>
              <w:t>1</w:t>
            </w:r>
            <w:r>
              <w:rPr>
                <w:spacing w:val="-3"/>
                <w:sz w:val="18"/>
                <w:szCs w:val="18"/>
              </w:rPr>
              <w:t>×</w:t>
            </w:r>
            <w:r>
              <w:rPr>
                <w:sz w:val="18"/>
                <w:szCs w:val="18"/>
              </w:rPr>
              <w:t>15万t/a烟气制酸生产线</w:t>
            </w:r>
          </w:p>
        </w:tc>
        <w:tc>
          <w:tcPr>
            <w:tcW w:w="762" w:type="pct"/>
            <w:vAlign w:val="center"/>
          </w:tcPr>
          <w:p w14:paraId="6CF542EB">
            <w:pPr>
              <w:pStyle w:val="5"/>
              <w:adjustRightInd w:val="0"/>
              <w:snapToGrid w:val="0"/>
              <w:spacing w:line="240" w:lineRule="auto"/>
              <w:ind w:firstLine="0"/>
              <w:jc w:val="center"/>
              <w:rPr>
                <w:sz w:val="18"/>
                <w:szCs w:val="18"/>
              </w:rPr>
            </w:pPr>
            <w:r>
              <w:rPr>
                <w:sz w:val="18"/>
                <w:szCs w:val="18"/>
              </w:rPr>
              <w:t>/</w:t>
            </w:r>
          </w:p>
        </w:tc>
      </w:tr>
      <w:tr w14:paraId="3AF38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continue"/>
            <w:vAlign w:val="center"/>
          </w:tcPr>
          <w:p w14:paraId="7B58DCFB">
            <w:pPr>
              <w:pStyle w:val="5"/>
              <w:adjustRightInd w:val="0"/>
              <w:snapToGrid w:val="0"/>
              <w:spacing w:line="240" w:lineRule="auto"/>
              <w:ind w:firstLine="0"/>
              <w:jc w:val="center"/>
              <w:rPr>
                <w:sz w:val="18"/>
                <w:szCs w:val="18"/>
              </w:rPr>
            </w:pPr>
          </w:p>
        </w:tc>
        <w:tc>
          <w:tcPr>
            <w:tcW w:w="971" w:type="pct"/>
            <w:vAlign w:val="center"/>
          </w:tcPr>
          <w:p w14:paraId="1B227E86">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2×4万金吨/年MSP生产线（含1段电积铜工序、2段电积镍工序）</w:t>
            </w:r>
          </w:p>
        </w:tc>
        <w:tc>
          <w:tcPr>
            <w:tcW w:w="1024" w:type="pct"/>
            <w:vAlign w:val="center"/>
          </w:tcPr>
          <w:p w14:paraId="155C9F8B">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晶体</w:t>
            </w:r>
            <w:r>
              <w:rPr>
                <w:rFonts w:ascii="Arial" w:hAnsi="Arial" w:cs="Arial"/>
                <w:spacing w:val="-3"/>
                <w:sz w:val="18"/>
                <w:szCs w:val="18"/>
                <w:lang w:eastAsia="zh-CN"/>
              </w:rPr>
              <w:t>：</w:t>
            </w:r>
            <w:r>
              <w:rPr>
                <w:rFonts w:hint="eastAsia" w:ascii="Arial" w:hAnsi="Arial" w:cs="Arial"/>
                <w:spacing w:val="-3"/>
                <w:sz w:val="18"/>
                <w:szCs w:val="18"/>
                <w:lang w:eastAsia="zh-CN"/>
              </w:rPr>
              <w:t>8</w:t>
            </w:r>
            <w:r>
              <w:rPr>
                <w:rFonts w:ascii="Arial" w:hAnsi="Arial" w:cs="Arial"/>
                <w:spacing w:val="-3"/>
                <w:sz w:val="18"/>
                <w:szCs w:val="18"/>
                <w:lang w:eastAsia="zh-CN"/>
              </w:rPr>
              <w:t>万金吨/年；</w:t>
            </w:r>
          </w:p>
          <w:p w14:paraId="1D614834">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1号标准铜：1万吨/年；</w:t>
            </w:r>
          </w:p>
          <w:p w14:paraId="381BA8EA">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镍板：2.5万吨/年；</w:t>
            </w:r>
          </w:p>
        </w:tc>
        <w:tc>
          <w:tcPr>
            <w:tcW w:w="1103" w:type="pct"/>
            <w:vAlign w:val="center"/>
          </w:tcPr>
          <w:p w14:paraId="182BF16D">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68D9A2F5">
            <w:pPr>
              <w:pStyle w:val="5"/>
              <w:adjustRightInd w:val="0"/>
              <w:snapToGrid w:val="0"/>
              <w:spacing w:line="240" w:lineRule="auto"/>
              <w:ind w:firstLine="0"/>
              <w:jc w:val="center"/>
              <w:rPr>
                <w:sz w:val="18"/>
                <w:szCs w:val="18"/>
              </w:rPr>
            </w:pPr>
            <w:r>
              <w:rPr>
                <w:rFonts w:hint="eastAsia"/>
                <w:sz w:val="18"/>
                <w:szCs w:val="18"/>
              </w:rPr>
              <w:t>2×4万金吨/年MSP生产线（含1段电积铜工序、2段电积镍工序）</w:t>
            </w:r>
          </w:p>
        </w:tc>
        <w:tc>
          <w:tcPr>
            <w:tcW w:w="762" w:type="pct"/>
            <w:vAlign w:val="center"/>
          </w:tcPr>
          <w:p w14:paraId="004D9256">
            <w:pPr>
              <w:pStyle w:val="5"/>
              <w:adjustRightInd w:val="0"/>
              <w:snapToGrid w:val="0"/>
              <w:spacing w:line="240" w:lineRule="auto"/>
              <w:ind w:firstLine="0"/>
              <w:jc w:val="center"/>
              <w:rPr>
                <w:sz w:val="18"/>
                <w:szCs w:val="18"/>
              </w:rPr>
            </w:pPr>
            <w:r>
              <w:rPr>
                <w:sz w:val="18"/>
                <w:szCs w:val="18"/>
              </w:rPr>
              <w:t>/</w:t>
            </w:r>
          </w:p>
        </w:tc>
      </w:tr>
    </w:tbl>
    <w:p w14:paraId="2C9AE4DA">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二阶段项目中的镍豆镍粉处置线于2023年建成，但因企业订单量少，该处置线较少开机调试，二阶段项目开展环保验收时，镍豆镍粉处置线也没有试生产，故未进行环保验收。随后企业根据当前市场需求，将二阶段项目中的镍豆镍粉处置线变更为1条1200吨/年的羟基钴生产线，</w:t>
      </w:r>
      <w:r>
        <w:rPr>
          <w:rFonts w:hint="eastAsia" w:ascii="Arial" w:hAnsi="Arial" w:eastAsia="宋体" w:cs="Arial"/>
          <w:spacing w:val="10"/>
          <w:sz w:val="24"/>
          <w:szCs w:val="24"/>
          <w:u w:val="single"/>
        </w:rPr>
        <w:t>利用原有X19车间，以硫酸钴晶体、液碱、氨水及双氧水等为原辅料，经湿法合成→洗涤→烘干→破碎等工序生产羟基钴，目前已完成生产线的改造。</w:t>
      </w:r>
    </w:p>
    <w:p w14:paraId="4D4A3B10">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由于二阶段项目的三元前驱体生产线及相关配套工程已完成环保验收，企业排污许可证已包括该部分内容，其环保手续均已履行。因此，本报告仅针对二阶段项目的镍豆镍粉处置线的变动情况，对照《关于印发&lt;污染影响类建设项目重大变动清单（试行）&gt;的通知》（环办环评函〔2020〕）688号）判定是否发生重大变动。根据表3，镍豆镍粉处置线存在重大变动情形（详见表3），故本报告就镍豆镍粉处置线的变动重新编制环评文件。</w:t>
      </w:r>
    </w:p>
    <w:p w14:paraId="44EE59DD">
      <w:pPr>
        <w:spacing w:line="500" w:lineRule="exact"/>
        <w:ind w:firstLine="490" w:firstLineChars="200"/>
        <w:rPr>
          <w:rFonts w:ascii="Arial" w:hAnsi="Arial" w:eastAsia="宋体" w:cs="Arial"/>
          <w:spacing w:val="10"/>
          <w:sz w:val="24"/>
          <w:szCs w:val="24"/>
        </w:rPr>
        <w:sectPr>
          <w:headerReference r:id="rId9" w:type="default"/>
          <w:footerReference r:id="rId10" w:type="default"/>
          <w:pgSz w:w="11907" w:h="16840"/>
          <w:pgMar w:top="1678" w:right="1408" w:bottom="1901" w:left="1155" w:header="1174" w:footer="1029" w:gutter="567"/>
          <w:pgNumType w:fmt="upperRoman"/>
          <w:cols w:space="720" w:num="1"/>
          <w:docGrid w:type="linesAndChars" w:linePitch="421" w:charSpace="-3161"/>
        </w:sectPr>
      </w:pPr>
    </w:p>
    <w:p w14:paraId="35A1A5AD">
      <w:pPr>
        <w:spacing w:before="210" w:beforeLines="50" w:line="360" w:lineRule="exact"/>
        <w:ind w:firstLine="490" w:firstLineChars="200"/>
        <w:jc w:val="center"/>
        <w:outlineLvl w:val="2"/>
        <w:rPr>
          <w:rFonts w:ascii="Arial" w:hAnsi="Arial" w:eastAsia="宋体" w:cs="Arial"/>
          <w:b/>
          <w:spacing w:val="10"/>
          <w:sz w:val="24"/>
          <w:szCs w:val="24"/>
        </w:rPr>
      </w:pPr>
      <w:r>
        <w:rPr>
          <w:rFonts w:ascii="Arial" w:hAnsi="Arial" w:eastAsia="宋体" w:cs="Arial"/>
          <w:b/>
          <w:spacing w:val="10"/>
          <w:sz w:val="24"/>
          <w:szCs w:val="24"/>
        </w:rPr>
        <w:t>表</w:t>
      </w:r>
      <w:r>
        <w:rPr>
          <w:rFonts w:hint="eastAsia" w:ascii="Arial" w:hAnsi="Arial" w:eastAsia="宋体" w:cs="Arial"/>
          <w:b/>
          <w:spacing w:val="10"/>
          <w:sz w:val="24"/>
          <w:szCs w:val="24"/>
        </w:rPr>
        <w:t>3</w:t>
      </w:r>
      <w:r>
        <w:rPr>
          <w:rFonts w:ascii="Arial" w:hAnsi="Arial" w:eastAsia="宋体" w:cs="Arial"/>
          <w:b/>
          <w:spacing w:val="10"/>
          <w:sz w:val="24"/>
          <w:szCs w:val="24"/>
        </w:rPr>
        <w:t xml:space="preserve">  与《污染影响类建设项目重大变动清单（试行）》的</w:t>
      </w:r>
      <w:r>
        <w:rPr>
          <w:rFonts w:hint="eastAsia" w:ascii="Arial" w:hAnsi="Arial" w:eastAsia="宋体" w:cs="Arial"/>
          <w:b/>
          <w:spacing w:val="10"/>
          <w:sz w:val="24"/>
          <w:szCs w:val="24"/>
        </w:rPr>
        <w:t>对照分析</w:t>
      </w:r>
      <w:r>
        <w:rPr>
          <w:rFonts w:ascii="Arial" w:hAnsi="Arial" w:eastAsia="宋体" w:cs="Arial"/>
          <w:b/>
          <w:spacing w:val="10"/>
          <w:sz w:val="24"/>
          <w:szCs w:val="24"/>
        </w:rPr>
        <w:t>表</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2412"/>
        <w:gridCol w:w="3402"/>
        <w:gridCol w:w="3686"/>
        <w:gridCol w:w="1984"/>
        <w:gridCol w:w="1464"/>
      </w:tblGrid>
      <w:tr w14:paraId="3EE64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943" w:type="dxa"/>
            <w:gridSpan w:val="2"/>
            <w:vAlign w:val="center"/>
          </w:tcPr>
          <w:p w14:paraId="155DAFAC">
            <w:pPr>
              <w:spacing w:line="240" w:lineRule="exact"/>
              <w:jc w:val="center"/>
              <w:rPr>
                <w:rFonts w:ascii="Arial" w:hAnsi="Arial" w:eastAsia="宋体" w:cs="Arial"/>
                <w:spacing w:val="10"/>
                <w:sz w:val="18"/>
                <w:szCs w:val="18"/>
              </w:rPr>
            </w:pPr>
            <w:r>
              <w:rPr>
                <w:rFonts w:ascii="Arial" w:hAnsi="Arial" w:eastAsia="宋体" w:cs="Arial"/>
                <w:spacing w:val="10"/>
                <w:sz w:val="18"/>
                <w:szCs w:val="18"/>
              </w:rPr>
              <w:t>清单内容</w:t>
            </w:r>
          </w:p>
        </w:tc>
        <w:tc>
          <w:tcPr>
            <w:tcW w:w="3402" w:type="dxa"/>
            <w:vAlign w:val="center"/>
          </w:tcPr>
          <w:p w14:paraId="46291A72">
            <w:pPr>
              <w:spacing w:line="240" w:lineRule="exact"/>
              <w:jc w:val="center"/>
              <w:rPr>
                <w:rFonts w:ascii="Arial" w:hAnsi="Arial" w:eastAsia="宋体" w:cs="Arial"/>
                <w:spacing w:val="10"/>
                <w:sz w:val="18"/>
                <w:szCs w:val="18"/>
              </w:rPr>
            </w:pPr>
            <w:r>
              <w:rPr>
                <w:rFonts w:ascii="Arial" w:hAnsi="Arial" w:eastAsia="宋体" w:cs="Arial"/>
                <w:spacing w:val="10"/>
                <w:sz w:val="18"/>
                <w:szCs w:val="18"/>
              </w:rPr>
              <w:t>原批复内容</w:t>
            </w:r>
          </w:p>
        </w:tc>
        <w:tc>
          <w:tcPr>
            <w:tcW w:w="3686" w:type="dxa"/>
            <w:vAlign w:val="center"/>
          </w:tcPr>
          <w:p w14:paraId="31E873C3">
            <w:pPr>
              <w:spacing w:line="240" w:lineRule="exact"/>
              <w:jc w:val="center"/>
              <w:rPr>
                <w:rFonts w:ascii="Arial" w:hAnsi="Arial" w:eastAsia="宋体" w:cs="Arial"/>
                <w:spacing w:val="10"/>
                <w:sz w:val="18"/>
                <w:szCs w:val="18"/>
              </w:rPr>
            </w:pPr>
            <w:r>
              <w:rPr>
                <w:rFonts w:ascii="Arial" w:hAnsi="Arial" w:eastAsia="宋体" w:cs="Arial"/>
                <w:spacing w:val="10"/>
                <w:sz w:val="18"/>
                <w:szCs w:val="18"/>
              </w:rPr>
              <w:t>变动后</w:t>
            </w:r>
            <w:r>
              <w:rPr>
                <w:rFonts w:hint="eastAsia" w:ascii="Arial" w:hAnsi="Arial" w:eastAsia="宋体" w:cs="Arial"/>
                <w:spacing w:val="10"/>
                <w:sz w:val="18"/>
                <w:szCs w:val="18"/>
              </w:rPr>
              <w:t>的情况</w:t>
            </w:r>
          </w:p>
        </w:tc>
        <w:tc>
          <w:tcPr>
            <w:tcW w:w="1984" w:type="dxa"/>
            <w:vAlign w:val="center"/>
          </w:tcPr>
          <w:p w14:paraId="3DADCC58">
            <w:pPr>
              <w:spacing w:line="240" w:lineRule="exact"/>
              <w:jc w:val="center"/>
              <w:rPr>
                <w:rFonts w:ascii="Arial" w:hAnsi="Arial" w:eastAsia="宋体" w:cs="Arial"/>
                <w:spacing w:val="10"/>
                <w:sz w:val="18"/>
                <w:szCs w:val="18"/>
              </w:rPr>
            </w:pPr>
            <w:r>
              <w:rPr>
                <w:rFonts w:ascii="Arial" w:hAnsi="Arial" w:eastAsia="宋体" w:cs="Arial"/>
                <w:spacing w:val="10"/>
                <w:sz w:val="18"/>
                <w:szCs w:val="18"/>
              </w:rPr>
              <w:t>变化内容分析</w:t>
            </w:r>
          </w:p>
        </w:tc>
        <w:tc>
          <w:tcPr>
            <w:tcW w:w="1464" w:type="dxa"/>
            <w:vAlign w:val="center"/>
          </w:tcPr>
          <w:p w14:paraId="4F8510E7">
            <w:pPr>
              <w:spacing w:line="240" w:lineRule="exact"/>
              <w:jc w:val="center"/>
              <w:rPr>
                <w:rFonts w:ascii="Arial" w:hAnsi="Arial" w:eastAsia="宋体" w:cs="Arial"/>
                <w:spacing w:val="10"/>
                <w:sz w:val="18"/>
                <w:szCs w:val="18"/>
              </w:rPr>
            </w:pPr>
            <w:r>
              <w:rPr>
                <w:rFonts w:ascii="Arial" w:hAnsi="Arial" w:eastAsia="宋体" w:cs="Arial"/>
                <w:spacing w:val="10"/>
                <w:sz w:val="18"/>
                <w:szCs w:val="18"/>
              </w:rPr>
              <w:t>重大变动判定</w:t>
            </w:r>
          </w:p>
        </w:tc>
      </w:tr>
      <w:tr w14:paraId="5FAD2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Align w:val="center"/>
          </w:tcPr>
          <w:p w14:paraId="23FCA7E8">
            <w:pPr>
              <w:spacing w:line="240" w:lineRule="exact"/>
              <w:jc w:val="center"/>
              <w:rPr>
                <w:rFonts w:ascii="Arial" w:hAnsi="Arial" w:eastAsia="宋体" w:cs="Arial"/>
                <w:b/>
                <w:spacing w:val="10"/>
                <w:sz w:val="18"/>
                <w:szCs w:val="18"/>
              </w:rPr>
            </w:pPr>
            <w:r>
              <w:rPr>
                <w:rFonts w:ascii="Arial" w:hAnsi="Arial" w:eastAsia="宋体" w:cs="Arial"/>
                <w:b/>
                <w:spacing w:val="10"/>
                <w:sz w:val="18"/>
                <w:szCs w:val="18"/>
              </w:rPr>
              <w:t>性质</w:t>
            </w:r>
          </w:p>
        </w:tc>
        <w:tc>
          <w:tcPr>
            <w:tcW w:w="2412" w:type="dxa"/>
            <w:vAlign w:val="center"/>
          </w:tcPr>
          <w:p w14:paraId="2EC24813">
            <w:pPr>
              <w:spacing w:line="240" w:lineRule="exact"/>
              <w:jc w:val="center"/>
              <w:rPr>
                <w:rFonts w:ascii="Arial" w:hAnsi="Arial" w:eastAsia="宋体" w:cs="Arial"/>
                <w:spacing w:val="10"/>
                <w:sz w:val="18"/>
                <w:szCs w:val="18"/>
              </w:rPr>
            </w:pPr>
            <w:r>
              <w:rPr>
                <w:rFonts w:ascii="Arial" w:hAnsi="Arial" w:eastAsia="宋体" w:cs="Arial"/>
                <w:spacing w:val="10"/>
                <w:sz w:val="18"/>
                <w:szCs w:val="18"/>
              </w:rPr>
              <w:t>1.建设项目开发、使用功能发生变化的</w:t>
            </w:r>
          </w:p>
        </w:tc>
        <w:tc>
          <w:tcPr>
            <w:tcW w:w="3402" w:type="dxa"/>
            <w:vAlign w:val="center"/>
          </w:tcPr>
          <w:p w14:paraId="6E53BDBE">
            <w:pPr>
              <w:spacing w:line="240" w:lineRule="exact"/>
              <w:jc w:val="center"/>
              <w:rPr>
                <w:rFonts w:ascii="Arial" w:hAnsi="Arial" w:eastAsia="宋体" w:cs="Arial"/>
                <w:spacing w:val="10"/>
                <w:sz w:val="18"/>
                <w:szCs w:val="18"/>
              </w:rPr>
            </w:pPr>
            <w:r>
              <w:rPr>
                <w:rFonts w:ascii="Arial" w:hAnsi="Arial" w:eastAsia="宋体" w:cs="Arial"/>
                <w:spacing w:val="10"/>
                <w:sz w:val="18"/>
                <w:szCs w:val="18"/>
              </w:rPr>
              <w:t>新建</w:t>
            </w:r>
            <w:r>
              <w:rPr>
                <w:rFonts w:hint="eastAsia" w:ascii="Arial" w:hAnsi="Arial" w:eastAsia="宋体" w:cs="Arial"/>
                <w:spacing w:val="10"/>
                <w:sz w:val="18"/>
                <w:szCs w:val="18"/>
              </w:rPr>
              <w:t>1</w:t>
            </w:r>
            <w:r>
              <w:rPr>
                <w:rFonts w:ascii="Arial" w:hAnsi="Arial" w:eastAsia="宋体" w:cs="Arial"/>
                <w:spacing w:val="10"/>
                <w:sz w:val="18"/>
                <w:szCs w:val="18"/>
              </w:rPr>
              <w:t>×2</w:t>
            </w:r>
            <w:r>
              <w:rPr>
                <w:rFonts w:hint="eastAsia" w:ascii="Arial" w:hAnsi="Arial" w:eastAsia="宋体" w:cs="Arial"/>
                <w:spacing w:val="10"/>
                <w:sz w:val="18"/>
                <w:szCs w:val="18"/>
              </w:rPr>
              <w:t>.5</w:t>
            </w:r>
            <w:r>
              <w:rPr>
                <w:rFonts w:ascii="Arial" w:hAnsi="Arial" w:eastAsia="宋体" w:cs="Arial"/>
                <w:spacing w:val="10"/>
                <w:sz w:val="18"/>
                <w:szCs w:val="18"/>
              </w:rPr>
              <w:t>万吨/年</w:t>
            </w:r>
            <w:r>
              <w:rPr>
                <w:rFonts w:hint="eastAsia" w:ascii="Arial" w:hAnsi="Arial" w:eastAsia="宋体" w:cs="Arial"/>
                <w:spacing w:val="10"/>
                <w:sz w:val="18"/>
                <w:szCs w:val="18"/>
              </w:rPr>
              <w:t>镍豆镍粉处置线</w:t>
            </w:r>
          </w:p>
        </w:tc>
        <w:tc>
          <w:tcPr>
            <w:tcW w:w="3686" w:type="dxa"/>
            <w:vAlign w:val="center"/>
          </w:tcPr>
          <w:p w14:paraId="1DA30EBF">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1</w:t>
            </w:r>
            <w:r>
              <w:rPr>
                <w:rFonts w:ascii="Arial" w:hAnsi="Arial" w:eastAsia="宋体" w:cs="Arial"/>
                <w:spacing w:val="10"/>
                <w:sz w:val="18"/>
                <w:szCs w:val="18"/>
              </w:rPr>
              <w:t>×</w:t>
            </w:r>
            <w:r>
              <w:rPr>
                <w:rFonts w:hint="eastAsia" w:ascii="Arial" w:hAnsi="Arial" w:eastAsia="宋体" w:cs="Arial"/>
                <w:spacing w:val="10"/>
                <w:sz w:val="18"/>
                <w:szCs w:val="18"/>
              </w:rPr>
              <w:t>1200</w:t>
            </w:r>
            <w:r>
              <w:rPr>
                <w:rFonts w:ascii="Arial" w:hAnsi="Arial" w:eastAsia="宋体" w:cs="Arial"/>
                <w:spacing w:val="10"/>
                <w:sz w:val="18"/>
                <w:szCs w:val="18"/>
              </w:rPr>
              <w:t>吨/年</w:t>
            </w:r>
            <w:r>
              <w:rPr>
                <w:rFonts w:hint="eastAsia" w:ascii="Arial" w:hAnsi="Arial" w:eastAsia="宋体" w:cs="Arial"/>
                <w:spacing w:val="10"/>
                <w:sz w:val="18"/>
                <w:szCs w:val="18"/>
              </w:rPr>
              <w:t>羟基钴生产线</w:t>
            </w:r>
          </w:p>
        </w:tc>
        <w:tc>
          <w:tcPr>
            <w:tcW w:w="1984" w:type="dxa"/>
            <w:vAlign w:val="center"/>
          </w:tcPr>
          <w:p w14:paraId="13797E72">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处置线变为生产线</w:t>
            </w:r>
          </w:p>
        </w:tc>
        <w:tc>
          <w:tcPr>
            <w:tcW w:w="1464" w:type="dxa"/>
            <w:vAlign w:val="center"/>
          </w:tcPr>
          <w:p w14:paraId="36F492B6">
            <w:pPr>
              <w:spacing w:line="240" w:lineRule="exact"/>
              <w:jc w:val="center"/>
              <w:rPr>
                <w:rFonts w:ascii="Arial" w:hAnsi="Arial" w:eastAsia="宋体" w:cs="Arial"/>
                <w:spacing w:val="10"/>
                <w:sz w:val="18"/>
                <w:szCs w:val="18"/>
              </w:rPr>
            </w:pPr>
            <w:r>
              <w:rPr>
                <w:rFonts w:hint="eastAsia" w:ascii="Arial" w:hAnsi="Arial" w:eastAsia="宋体" w:cs="Arial"/>
                <w:b/>
                <w:spacing w:val="10"/>
                <w:sz w:val="18"/>
                <w:szCs w:val="18"/>
              </w:rPr>
              <w:t>属于</w:t>
            </w:r>
            <w:r>
              <w:rPr>
                <w:rFonts w:hint="eastAsia" w:ascii="Arial" w:hAnsi="Arial" w:eastAsia="宋体" w:cs="Arial"/>
                <w:spacing w:val="10"/>
                <w:sz w:val="18"/>
                <w:szCs w:val="18"/>
              </w:rPr>
              <w:t>，使用功能有改变</w:t>
            </w:r>
          </w:p>
        </w:tc>
      </w:tr>
      <w:tr w14:paraId="7A2EC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Merge w:val="restart"/>
            <w:vAlign w:val="center"/>
          </w:tcPr>
          <w:p w14:paraId="117A2A51">
            <w:pPr>
              <w:spacing w:line="240" w:lineRule="exact"/>
              <w:jc w:val="center"/>
              <w:rPr>
                <w:rFonts w:ascii="Arial" w:hAnsi="Arial" w:eastAsia="宋体" w:cs="Arial"/>
                <w:b/>
                <w:spacing w:val="10"/>
                <w:sz w:val="18"/>
                <w:szCs w:val="18"/>
              </w:rPr>
            </w:pPr>
            <w:r>
              <w:rPr>
                <w:rFonts w:ascii="Arial" w:hAnsi="Arial" w:eastAsia="宋体" w:cs="Arial"/>
                <w:b/>
                <w:spacing w:val="10"/>
                <w:sz w:val="18"/>
                <w:szCs w:val="18"/>
              </w:rPr>
              <w:t>规模</w:t>
            </w:r>
          </w:p>
        </w:tc>
        <w:tc>
          <w:tcPr>
            <w:tcW w:w="2412" w:type="dxa"/>
            <w:vAlign w:val="center"/>
          </w:tcPr>
          <w:p w14:paraId="16B62066">
            <w:pPr>
              <w:spacing w:line="240" w:lineRule="exact"/>
              <w:jc w:val="center"/>
              <w:rPr>
                <w:rFonts w:ascii="Arial" w:hAnsi="Arial" w:eastAsia="宋体" w:cs="Arial"/>
                <w:spacing w:val="10"/>
                <w:sz w:val="18"/>
                <w:szCs w:val="18"/>
              </w:rPr>
            </w:pPr>
            <w:r>
              <w:rPr>
                <w:rFonts w:ascii="Arial" w:hAnsi="Arial" w:eastAsia="宋体" w:cs="Arial"/>
                <w:spacing w:val="10"/>
                <w:sz w:val="18"/>
                <w:szCs w:val="18"/>
              </w:rPr>
              <w:t>2.生产、处置或储存能力增大30%及以上</w:t>
            </w:r>
          </w:p>
        </w:tc>
        <w:tc>
          <w:tcPr>
            <w:tcW w:w="3402" w:type="dxa"/>
            <w:vAlign w:val="center"/>
          </w:tcPr>
          <w:p w14:paraId="64059AA8">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年处置镍豆（粉）50000吨，可年产硫酸镍2.5万金吨</w:t>
            </w:r>
          </w:p>
        </w:tc>
        <w:tc>
          <w:tcPr>
            <w:tcW w:w="3686" w:type="dxa"/>
            <w:vAlign w:val="center"/>
          </w:tcPr>
          <w:p w14:paraId="460B0250">
            <w:pPr>
              <w:spacing w:line="240" w:lineRule="exact"/>
              <w:jc w:val="center"/>
              <w:rPr>
                <w:rFonts w:ascii="Arial" w:hAnsi="Arial" w:eastAsia="宋体" w:cs="Arial"/>
                <w:spacing w:val="10"/>
                <w:sz w:val="18"/>
                <w:szCs w:val="18"/>
              </w:rPr>
            </w:pPr>
            <w:r>
              <w:rPr>
                <w:rFonts w:ascii="Arial" w:hAnsi="Arial" w:eastAsia="宋体" w:cs="Arial"/>
                <w:spacing w:val="10"/>
                <w:sz w:val="18"/>
                <w:szCs w:val="18"/>
              </w:rPr>
              <w:t>年</w:t>
            </w:r>
            <w:r>
              <w:rPr>
                <w:rFonts w:hint="eastAsia" w:ascii="Arial" w:hAnsi="Arial" w:eastAsia="宋体" w:cs="Arial"/>
                <w:spacing w:val="10"/>
                <w:sz w:val="18"/>
                <w:szCs w:val="18"/>
              </w:rPr>
              <w:t>产羟基钴1200吨</w:t>
            </w:r>
          </w:p>
        </w:tc>
        <w:tc>
          <w:tcPr>
            <w:tcW w:w="1984" w:type="dxa"/>
            <w:vAlign w:val="center"/>
          </w:tcPr>
          <w:p w14:paraId="2F648464">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生产能力减小95%</w:t>
            </w:r>
          </w:p>
        </w:tc>
        <w:tc>
          <w:tcPr>
            <w:tcW w:w="1464" w:type="dxa"/>
            <w:vAlign w:val="center"/>
          </w:tcPr>
          <w:p w14:paraId="3E37B530">
            <w:pPr>
              <w:spacing w:line="240" w:lineRule="exact"/>
              <w:jc w:val="center"/>
              <w:rPr>
                <w:rFonts w:ascii="Arial" w:hAnsi="Arial" w:eastAsia="宋体" w:cs="Arial"/>
                <w:spacing w:val="10"/>
                <w:sz w:val="18"/>
                <w:szCs w:val="18"/>
              </w:rPr>
            </w:pPr>
            <w:r>
              <w:rPr>
                <w:rFonts w:hint="eastAsia" w:ascii="Arial" w:hAnsi="Arial" w:eastAsia="宋体" w:cs="Arial"/>
                <w:b/>
                <w:spacing w:val="10"/>
                <w:sz w:val="18"/>
                <w:szCs w:val="18"/>
              </w:rPr>
              <w:t>不属于，</w:t>
            </w:r>
            <w:r>
              <w:rPr>
                <w:rFonts w:hint="eastAsia" w:ascii="Arial" w:hAnsi="Arial" w:eastAsia="宋体" w:cs="Arial"/>
                <w:spacing w:val="10"/>
                <w:sz w:val="18"/>
                <w:szCs w:val="18"/>
              </w:rPr>
              <w:t>生产能力未增加</w:t>
            </w:r>
          </w:p>
        </w:tc>
      </w:tr>
      <w:tr w14:paraId="4ACD1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Merge w:val="continue"/>
            <w:vAlign w:val="center"/>
          </w:tcPr>
          <w:p w14:paraId="6FF5363F">
            <w:pPr>
              <w:spacing w:line="240" w:lineRule="exact"/>
              <w:jc w:val="center"/>
              <w:rPr>
                <w:rFonts w:ascii="Arial" w:hAnsi="Arial" w:eastAsia="宋体" w:cs="Arial"/>
                <w:spacing w:val="10"/>
                <w:sz w:val="18"/>
                <w:szCs w:val="18"/>
              </w:rPr>
            </w:pPr>
          </w:p>
        </w:tc>
        <w:tc>
          <w:tcPr>
            <w:tcW w:w="2412" w:type="dxa"/>
            <w:vAlign w:val="center"/>
          </w:tcPr>
          <w:p w14:paraId="2D2F0DBE">
            <w:pPr>
              <w:spacing w:line="240" w:lineRule="exact"/>
              <w:jc w:val="center"/>
              <w:rPr>
                <w:rFonts w:ascii="Arial" w:hAnsi="Arial" w:eastAsia="宋体" w:cs="Arial"/>
                <w:spacing w:val="10"/>
                <w:sz w:val="18"/>
                <w:szCs w:val="18"/>
              </w:rPr>
            </w:pPr>
            <w:r>
              <w:rPr>
                <w:rFonts w:ascii="Arial" w:hAnsi="Arial" w:eastAsia="宋体" w:cs="Arial"/>
                <w:spacing w:val="10"/>
                <w:sz w:val="18"/>
                <w:szCs w:val="18"/>
              </w:rPr>
              <w:t>3.生产、处置或储存能力增大，导致废水第一类污染物排放量增加</w:t>
            </w:r>
          </w:p>
        </w:tc>
        <w:tc>
          <w:tcPr>
            <w:tcW w:w="3402" w:type="dxa"/>
            <w:vAlign w:val="center"/>
          </w:tcPr>
          <w:p w14:paraId="012EF96F">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年处置镍豆（粉）50000吨，可年产硫酸镍2.5万金吨；不排放废水第一类污染物</w:t>
            </w:r>
          </w:p>
        </w:tc>
        <w:tc>
          <w:tcPr>
            <w:tcW w:w="3686" w:type="dxa"/>
            <w:vAlign w:val="center"/>
          </w:tcPr>
          <w:p w14:paraId="0223CEC6">
            <w:pPr>
              <w:spacing w:line="240" w:lineRule="exact"/>
              <w:jc w:val="center"/>
              <w:rPr>
                <w:rFonts w:ascii="Arial" w:hAnsi="Arial" w:eastAsia="宋体" w:cs="Arial"/>
                <w:spacing w:val="10"/>
                <w:sz w:val="18"/>
                <w:szCs w:val="18"/>
              </w:rPr>
            </w:pPr>
            <w:r>
              <w:rPr>
                <w:rFonts w:ascii="Arial" w:hAnsi="Arial" w:eastAsia="宋体" w:cs="Arial"/>
                <w:spacing w:val="10"/>
                <w:sz w:val="18"/>
                <w:szCs w:val="18"/>
              </w:rPr>
              <w:t>年</w:t>
            </w:r>
            <w:r>
              <w:rPr>
                <w:rFonts w:hint="eastAsia" w:ascii="Arial" w:hAnsi="Arial" w:eastAsia="宋体" w:cs="Arial"/>
                <w:spacing w:val="10"/>
                <w:sz w:val="18"/>
                <w:szCs w:val="18"/>
              </w:rPr>
              <w:t>产羟基钴1200吨；不排放废水第一类污染物</w:t>
            </w:r>
          </w:p>
        </w:tc>
        <w:tc>
          <w:tcPr>
            <w:tcW w:w="1984" w:type="dxa"/>
            <w:vAlign w:val="center"/>
          </w:tcPr>
          <w:p w14:paraId="32C0454B">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生产能力未增加</w:t>
            </w:r>
          </w:p>
        </w:tc>
        <w:tc>
          <w:tcPr>
            <w:tcW w:w="1464" w:type="dxa"/>
            <w:vAlign w:val="center"/>
          </w:tcPr>
          <w:p w14:paraId="152F188A">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不属于，生产能力未增加，不排放</w:t>
            </w:r>
            <w:r>
              <w:rPr>
                <w:rFonts w:ascii="Arial" w:hAnsi="Arial" w:eastAsia="宋体" w:cs="Arial"/>
                <w:spacing w:val="10"/>
                <w:sz w:val="18"/>
                <w:szCs w:val="18"/>
              </w:rPr>
              <w:t>废水第一类污染物</w:t>
            </w:r>
          </w:p>
        </w:tc>
      </w:tr>
      <w:tr w14:paraId="08925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Merge w:val="continue"/>
            <w:vAlign w:val="center"/>
          </w:tcPr>
          <w:p w14:paraId="3957F78A">
            <w:pPr>
              <w:spacing w:line="240" w:lineRule="exact"/>
              <w:jc w:val="center"/>
              <w:rPr>
                <w:rFonts w:ascii="Arial" w:hAnsi="Arial" w:eastAsia="宋体" w:cs="Arial"/>
                <w:spacing w:val="10"/>
                <w:sz w:val="18"/>
                <w:szCs w:val="18"/>
                <w:highlight w:val="yellow"/>
              </w:rPr>
            </w:pPr>
          </w:p>
        </w:tc>
        <w:tc>
          <w:tcPr>
            <w:tcW w:w="2412" w:type="dxa"/>
            <w:vAlign w:val="center"/>
          </w:tcPr>
          <w:p w14:paraId="7EC0358E">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4.位于环境质量不达标区的建设项目生产、处置或储存能力增大，导致相应污染物排放量增加（细颗粒物不达标区，相应污染物为二氧化硫、氮氧化物、可吸入颗粒物、挥发性有机物；臭氧不达标区，相应污染物为氮氧化物、挥发性有机物；其他大气、水污染物因子不达标区，相应污染物为超标污染物因子）；位于达标区的建设项目生产、处置或储存能力增加，导致污染物排放量增加10%及以上的。</w:t>
            </w:r>
          </w:p>
        </w:tc>
        <w:tc>
          <w:tcPr>
            <w:tcW w:w="3402" w:type="dxa"/>
            <w:vAlign w:val="center"/>
          </w:tcPr>
          <w:p w14:paraId="2ED39348">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项目位于钦州市，2022年钦州市属于达标区，</w:t>
            </w:r>
            <w:r>
              <w:rPr>
                <w:rFonts w:hint="eastAsia" w:ascii="Arial" w:hAnsi="Arial" w:eastAsia="宋体" w:cs="Arial"/>
                <w:spacing w:val="10"/>
                <w:sz w:val="18"/>
                <w:szCs w:val="18"/>
              </w:rPr>
              <w:t>年处置镍豆（粉）50000吨，可年产硫酸镍2.5万金吨；主要污染物排放情况为硫酸雾8.012t/a。</w:t>
            </w:r>
          </w:p>
        </w:tc>
        <w:tc>
          <w:tcPr>
            <w:tcW w:w="3686" w:type="dxa"/>
            <w:vAlign w:val="center"/>
          </w:tcPr>
          <w:p w14:paraId="05C5ED07">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项目位于钦州市，2022年钦州市属于达标区，</w:t>
            </w:r>
            <w:r>
              <w:rPr>
                <w:rFonts w:hint="eastAsia" w:ascii="Arial" w:hAnsi="Arial" w:eastAsia="宋体" w:cs="Arial"/>
                <w:spacing w:val="10"/>
                <w:sz w:val="18"/>
                <w:szCs w:val="18"/>
              </w:rPr>
              <w:t>年产羟基钴1200吨；主要污染物排放情况为</w:t>
            </w:r>
            <w:r>
              <w:rPr>
                <w:rFonts w:hint="eastAsia" w:ascii="Arial" w:hAnsi="Arial" w:eastAsia="宋体" w:cs="Arial"/>
                <w:spacing w:val="10"/>
                <w:sz w:val="18"/>
                <w:szCs w:val="18"/>
                <w:u w:val="single"/>
              </w:rPr>
              <w:t>颗粒物1.6579t/a、钴及其化合物1.0292t/a</w:t>
            </w:r>
            <w:r>
              <w:rPr>
                <w:rFonts w:hint="eastAsia" w:ascii="Arial" w:hAnsi="Arial" w:eastAsia="宋体" w:cs="Arial"/>
                <w:spacing w:val="10"/>
                <w:sz w:val="18"/>
                <w:szCs w:val="18"/>
              </w:rPr>
              <w:t>、氨3.3399t/a，不排放硫酸雾。</w:t>
            </w:r>
          </w:p>
        </w:tc>
        <w:tc>
          <w:tcPr>
            <w:tcW w:w="1984" w:type="dxa"/>
            <w:vAlign w:val="center"/>
          </w:tcPr>
          <w:p w14:paraId="1522DE0B">
            <w:pPr>
              <w:spacing w:line="240" w:lineRule="exact"/>
              <w:jc w:val="center"/>
              <w:rPr>
                <w:rFonts w:ascii="Arial" w:hAnsi="Arial" w:eastAsia="宋体" w:cs="Arial"/>
                <w:spacing w:val="10"/>
                <w:sz w:val="18"/>
                <w:szCs w:val="18"/>
              </w:rPr>
            </w:pPr>
            <w:r>
              <w:rPr>
                <w:rFonts w:ascii="Arial" w:hAnsi="Arial" w:eastAsia="宋体" w:cs="Arial"/>
                <w:spacing w:val="10"/>
                <w:sz w:val="18"/>
                <w:szCs w:val="18"/>
              </w:rPr>
              <w:t>生产能力</w:t>
            </w:r>
            <w:r>
              <w:rPr>
                <w:rFonts w:hint="eastAsia" w:ascii="Arial" w:hAnsi="Arial" w:eastAsia="宋体" w:cs="Arial"/>
                <w:spacing w:val="10"/>
                <w:sz w:val="18"/>
                <w:szCs w:val="18"/>
              </w:rPr>
              <w:t>并未增加</w:t>
            </w:r>
          </w:p>
        </w:tc>
        <w:tc>
          <w:tcPr>
            <w:tcW w:w="1464" w:type="dxa"/>
            <w:vAlign w:val="center"/>
          </w:tcPr>
          <w:p w14:paraId="75ACFDD2">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不属于，生产能力未增加</w:t>
            </w:r>
          </w:p>
        </w:tc>
      </w:tr>
      <w:tr w14:paraId="54BF5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Align w:val="center"/>
          </w:tcPr>
          <w:p w14:paraId="717F5E48">
            <w:pPr>
              <w:spacing w:line="240" w:lineRule="exact"/>
              <w:jc w:val="center"/>
              <w:rPr>
                <w:rFonts w:ascii="Arial" w:hAnsi="Arial" w:eastAsia="宋体" w:cs="Arial"/>
                <w:b/>
                <w:spacing w:val="10"/>
                <w:sz w:val="18"/>
                <w:szCs w:val="18"/>
                <w:highlight w:val="yellow"/>
              </w:rPr>
            </w:pPr>
            <w:r>
              <w:rPr>
                <w:rFonts w:ascii="Arial" w:hAnsi="Arial" w:eastAsia="宋体" w:cs="Arial"/>
                <w:b/>
                <w:spacing w:val="10"/>
                <w:sz w:val="18"/>
                <w:szCs w:val="18"/>
              </w:rPr>
              <w:t>地点</w:t>
            </w:r>
          </w:p>
        </w:tc>
        <w:tc>
          <w:tcPr>
            <w:tcW w:w="2412" w:type="dxa"/>
            <w:vAlign w:val="center"/>
          </w:tcPr>
          <w:p w14:paraId="3E50DC81">
            <w:pPr>
              <w:spacing w:line="240" w:lineRule="exact"/>
              <w:jc w:val="center"/>
              <w:rPr>
                <w:rFonts w:ascii="Arial" w:hAnsi="Arial" w:eastAsia="宋体" w:cs="Arial"/>
                <w:spacing w:val="10"/>
                <w:sz w:val="18"/>
                <w:szCs w:val="18"/>
              </w:rPr>
            </w:pPr>
            <w:r>
              <w:rPr>
                <w:rFonts w:ascii="Arial" w:hAnsi="Arial" w:eastAsia="宋体" w:cs="Arial"/>
                <w:spacing w:val="10"/>
                <w:sz w:val="18"/>
                <w:szCs w:val="18"/>
              </w:rPr>
              <w:t>5.重新选址；在原厂址附近调整（包括总平面布置变化）导致环境防护距离范围变化且新增敏感点的。</w:t>
            </w:r>
          </w:p>
        </w:tc>
        <w:tc>
          <w:tcPr>
            <w:tcW w:w="3402" w:type="dxa"/>
            <w:vAlign w:val="center"/>
          </w:tcPr>
          <w:p w14:paraId="3F280D84">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项目位于中伟南部基地内2#地块；</w:t>
            </w:r>
            <w:r>
              <w:rPr>
                <w:rFonts w:ascii="Arial" w:hAnsi="Arial" w:eastAsia="宋体" w:cs="Arial"/>
                <w:spacing w:val="10"/>
                <w:sz w:val="18"/>
                <w:szCs w:val="18"/>
              </w:rPr>
              <w:t>无环境防护距离要求</w:t>
            </w:r>
          </w:p>
        </w:tc>
        <w:tc>
          <w:tcPr>
            <w:tcW w:w="3686" w:type="dxa"/>
            <w:vAlign w:val="center"/>
          </w:tcPr>
          <w:p w14:paraId="7E9B53D2">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项目位于中伟南部基地内2#地块；</w:t>
            </w:r>
            <w:r>
              <w:rPr>
                <w:rFonts w:ascii="Arial" w:hAnsi="Arial" w:eastAsia="宋体" w:cs="Arial"/>
                <w:spacing w:val="10"/>
                <w:sz w:val="18"/>
                <w:szCs w:val="18"/>
              </w:rPr>
              <w:t>无环境防护距离要求</w:t>
            </w:r>
          </w:p>
        </w:tc>
        <w:tc>
          <w:tcPr>
            <w:tcW w:w="1984" w:type="dxa"/>
            <w:vAlign w:val="center"/>
          </w:tcPr>
          <w:p w14:paraId="27EB9B72">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不变</w:t>
            </w:r>
          </w:p>
        </w:tc>
        <w:tc>
          <w:tcPr>
            <w:tcW w:w="1464" w:type="dxa"/>
            <w:vAlign w:val="center"/>
          </w:tcPr>
          <w:p w14:paraId="14B73D82">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w:t>
            </w:r>
          </w:p>
        </w:tc>
      </w:tr>
      <w:tr w14:paraId="253A4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Align w:val="center"/>
          </w:tcPr>
          <w:p w14:paraId="4B694801">
            <w:pPr>
              <w:spacing w:line="240" w:lineRule="exact"/>
              <w:jc w:val="center"/>
              <w:rPr>
                <w:rFonts w:ascii="Arial" w:hAnsi="Arial" w:eastAsia="宋体" w:cs="Arial"/>
                <w:b/>
                <w:spacing w:val="10"/>
                <w:sz w:val="18"/>
                <w:szCs w:val="18"/>
              </w:rPr>
            </w:pPr>
            <w:r>
              <w:rPr>
                <w:rFonts w:ascii="Arial" w:hAnsi="Arial" w:eastAsia="宋体" w:cs="Arial"/>
                <w:b/>
                <w:spacing w:val="10"/>
                <w:sz w:val="18"/>
                <w:szCs w:val="18"/>
              </w:rPr>
              <w:t>生产工艺</w:t>
            </w:r>
          </w:p>
        </w:tc>
        <w:tc>
          <w:tcPr>
            <w:tcW w:w="2412" w:type="dxa"/>
            <w:vAlign w:val="center"/>
          </w:tcPr>
          <w:p w14:paraId="20FC18D8">
            <w:pPr>
              <w:spacing w:line="240" w:lineRule="exact"/>
              <w:jc w:val="center"/>
              <w:rPr>
                <w:rFonts w:ascii="Arial" w:hAnsi="Arial" w:eastAsia="宋体" w:cs="Arial"/>
                <w:spacing w:val="10"/>
                <w:sz w:val="18"/>
                <w:szCs w:val="18"/>
              </w:rPr>
            </w:pPr>
            <w:r>
              <w:rPr>
                <w:rFonts w:ascii="Arial" w:hAnsi="Arial" w:eastAsia="宋体" w:cs="Arial"/>
                <w:spacing w:val="10"/>
                <w:sz w:val="18"/>
                <w:szCs w:val="18"/>
              </w:rPr>
              <w:t>6.新增产品品种或生产工艺（含主要生产装置、设备及配套设施）、主要原辅材料、燃料变化，导致以下情形之一：（1）新增排放污染物种类的（毒性、挥发性降低的除外）；（2）位于环境质量不达标区的建设项目相应污染物排放量增加的；（3）废水第一类污染物排放量增加的；（4）其他污染物排放量增加10%及以上的。</w:t>
            </w:r>
          </w:p>
        </w:tc>
        <w:tc>
          <w:tcPr>
            <w:tcW w:w="3402" w:type="dxa"/>
            <w:vAlign w:val="center"/>
          </w:tcPr>
          <w:p w14:paraId="0251DF14">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以镍豆（粉）、硫酸、双氧水、液碱等为原辅料，采用浸出、过滤、除铁除铜、过滤、精滤工艺生产硫酸镍，产能2.5万金吨/年；主要大气污染物排放情况为硫酸雾8.012t/a；不排放废水第一类污染物。</w:t>
            </w:r>
          </w:p>
        </w:tc>
        <w:tc>
          <w:tcPr>
            <w:tcW w:w="3686" w:type="dxa"/>
            <w:vAlign w:val="center"/>
          </w:tcPr>
          <w:p w14:paraId="19E7B61E">
            <w:pPr>
              <w:spacing w:line="240" w:lineRule="exact"/>
              <w:jc w:val="center"/>
              <w:rPr>
                <w:rFonts w:ascii="Arial" w:hAnsi="Arial" w:eastAsia="宋体" w:cs="Arial"/>
                <w:b/>
                <w:spacing w:val="10"/>
                <w:sz w:val="18"/>
                <w:szCs w:val="18"/>
              </w:rPr>
            </w:pPr>
            <w:r>
              <w:rPr>
                <w:rFonts w:hint="eastAsia" w:ascii="Arial" w:hAnsi="Arial" w:eastAsia="宋体" w:cs="Arial"/>
                <w:spacing w:val="10"/>
                <w:sz w:val="18"/>
                <w:szCs w:val="18"/>
              </w:rPr>
              <w:t>以硫酸钴晶体、液碱、氨水及双氧水为原辅料，经湿法合成→洗涤→烘干→破碎等工序生产羟基钴，产能1200吨/年；主要大气污染物排放情况为</w:t>
            </w:r>
            <w:r>
              <w:rPr>
                <w:rFonts w:hint="eastAsia" w:ascii="Arial" w:hAnsi="Arial" w:eastAsia="宋体" w:cs="Arial"/>
                <w:spacing w:val="10"/>
                <w:sz w:val="18"/>
                <w:szCs w:val="18"/>
                <w:u w:val="single"/>
              </w:rPr>
              <w:t>颗粒物1.6579t/a、钴及其化合物1.0292t/a</w:t>
            </w:r>
            <w:r>
              <w:rPr>
                <w:rFonts w:hint="eastAsia" w:ascii="Arial" w:hAnsi="Arial" w:eastAsia="宋体" w:cs="Arial"/>
                <w:spacing w:val="10"/>
                <w:sz w:val="18"/>
                <w:szCs w:val="18"/>
              </w:rPr>
              <w:t>、氨3.3399t/a，不排放硫酸雾；不排放废水第一类污染物。</w:t>
            </w:r>
          </w:p>
        </w:tc>
        <w:tc>
          <w:tcPr>
            <w:tcW w:w="1984" w:type="dxa"/>
            <w:vAlign w:val="center"/>
          </w:tcPr>
          <w:p w14:paraId="69426B0C">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生产工艺和产品品种改变，主要原辅材料改变，新增了钴及其化合物、氨及颗粒物等污染物种类</w:t>
            </w:r>
          </w:p>
        </w:tc>
        <w:tc>
          <w:tcPr>
            <w:tcW w:w="1464" w:type="dxa"/>
            <w:vAlign w:val="center"/>
          </w:tcPr>
          <w:p w14:paraId="3411AD83">
            <w:pPr>
              <w:spacing w:line="240" w:lineRule="exact"/>
              <w:jc w:val="center"/>
              <w:rPr>
                <w:rFonts w:ascii="Arial" w:hAnsi="Arial" w:eastAsia="宋体" w:cs="Arial"/>
                <w:spacing w:val="10"/>
                <w:sz w:val="18"/>
                <w:szCs w:val="18"/>
              </w:rPr>
            </w:pPr>
            <w:r>
              <w:rPr>
                <w:rFonts w:hint="eastAsia" w:ascii="Arial" w:hAnsi="Arial" w:eastAsia="宋体" w:cs="Arial"/>
                <w:b/>
                <w:spacing w:val="10"/>
                <w:sz w:val="18"/>
                <w:szCs w:val="18"/>
              </w:rPr>
              <w:t>属于</w:t>
            </w:r>
            <w:r>
              <w:rPr>
                <w:rFonts w:hint="eastAsia" w:ascii="Arial" w:hAnsi="Arial" w:eastAsia="宋体" w:cs="Arial"/>
                <w:spacing w:val="10"/>
                <w:sz w:val="18"/>
                <w:szCs w:val="18"/>
              </w:rPr>
              <w:t>，生产工艺、原辅料、产品均发生改变，导致新增排放污染物种类</w:t>
            </w:r>
          </w:p>
        </w:tc>
      </w:tr>
      <w:tr w14:paraId="24688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Merge w:val="restart"/>
            <w:vAlign w:val="center"/>
          </w:tcPr>
          <w:p w14:paraId="46F45218">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环境保护措施</w:t>
            </w:r>
          </w:p>
        </w:tc>
        <w:tc>
          <w:tcPr>
            <w:tcW w:w="2412" w:type="dxa"/>
            <w:vAlign w:val="center"/>
          </w:tcPr>
          <w:p w14:paraId="25FE3AB0">
            <w:pPr>
              <w:spacing w:line="240" w:lineRule="exact"/>
              <w:jc w:val="center"/>
              <w:rPr>
                <w:rFonts w:ascii="Arial" w:hAnsi="Arial" w:eastAsia="宋体" w:cs="Arial"/>
                <w:spacing w:val="10"/>
                <w:sz w:val="18"/>
                <w:szCs w:val="18"/>
              </w:rPr>
            </w:pPr>
            <w:r>
              <w:rPr>
                <w:rFonts w:ascii="Arial" w:hAnsi="Arial" w:eastAsia="宋体" w:cs="Arial"/>
                <w:spacing w:val="10"/>
                <w:sz w:val="18"/>
                <w:szCs w:val="18"/>
              </w:rPr>
              <w:t>7.物料运输、装卸、贮存方式变化，导致大气污染物无组织排放量增加10%及以上的</w:t>
            </w:r>
          </w:p>
        </w:tc>
        <w:tc>
          <w:tcPr>
            <w:tcW w:w="3402" w:type="dxa"/>
            <w:vAlign w:val="center"/>
          </w:tcPr>
          <w:p w14:paraId="251E2EDB">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液态物料</w:t>
            </w:r>
            <w:r>
              <w:rPr>
                <w:rFonts w:ascii="Arial" w:hAnsi="Arial" w:eastAsia="宋体" w:cs="Arial"/>
                <w:spacing w:val="10"/>
                <w:sz w:val="18"/>
                <w:szCs w:val="18"/>
              </w:rPr>
              <w:t>贮存于储罐中，其他固体物料贮存于仓库，采用汽车运输</w:t>
            </w:r>
          </w:p>
        </w:tc>
        <w:tc>
          <w:tcPr>
            <w:tcW w:w="3686" w:type="dxa"/>
            <w:vAlign w:val="center"/>
          </w:tcPr>
          <w:p w14:paraId="11F854E3">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液体物料</w:t>
            </w:r>
            <w:r>
              <w:rPr>
                <w:rFonts w:ascii="Arial" w:hAnsi="Arial" w:eastAsia="宋体" w:cs="Arial"/>
                <w:spacing w:val="10"/>
                <w:sz w:val="18"/>
                <w:szCs w:val="18"/>
              </w:rPr>
              <w:t>贮存于储罐中，其他固体物料贮存于仓库，采用汽车运输</w:t>
            </w:r>
          </w:p>
        </w:tc>
        <w:tc>
          <w:tcPr>
            <w:tcW w:w="1984" w:type="dxa"/>
            <w:vAlign w:val="center"/>
          </w:tcPr>
          <w:p w14:paraId="7EDD4D52">
            <w:pPr>
              <w:spacing w:line="240" w:lineRule="exact"/>
              <w:jc w:val="center"/>
              <w:rPr>
                <w:rFonts w:ascii="Arial" w:hAnsi="Arial" w:eastAsia="宋体" w:cs="Arial"/>
                <w:spacing w:val="10"/>
                <w:sz w:val="18"/>
                <w:szCs w:val="18"/>
              </w:rPr>
            </w:pPr>
            <w:r>
              <w:rPr>
                <w:rFonts w:ascii="Arial" w:hAnsi="Arial" w:eastAsia="宋体" w:cs="Arial"/>
                <w:spacing w:val="10"/>
                <w:sz w:val="18"/>
                <w:szCs w:val="18"/>
              </w:rPr>
              <w:t>不变</w:t>
            </w:r>
          </w:p>
        </w:tc>
        <w:tc>
          <w:tcPr>
            <w:tcW w:w="1464" w:type="dxa"/>
            <w:vAlign w:val="center"/>
          </w:tcPr>
          <w:p w14:paraId="0AEC4039">
            <w:pPr>
              <w:spacing w:line="240" w:lineRule="exact"/>
              <w:jc w:val="center"/>
              <w:rPr>
                <w:rFonts w:ascii="Arial" w:hAnsi="Arial" w:eastAsia="宋体" w:cs="Arial"/>
                <w:spacing w:val="10"/>
                <w:sz w:val="18"/>
                <w:szCs w:val="18"/>
              </w:rPr>
            </w:pPr>
            <w:r>
              <w:rPr>
                <w:rFonts w:ascii="Arial" w:hAnsi="Arial" w:eastAsia="宋体" w:cs="Arial"/>
                <w:spacing w:val="10"/>
                <w:sz w:val="18"/>
                <w:szCs w:val="18"/>
              </w:rPr>
              <w:t xml:space="preserve">/ </w:t>
            </w:r>
          </w:p>
        </w:tc>
      </w:tr>
      <w:tr w14:paraId="7AA11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Merge w:val="continue"/>
            <w:vAlign w:val="center"/>
          </w:tcPr>
          <w:p w14:paraId="58251E17">
            <w:pPr>
              <w:spacing w:line="240" w:lineRule="exact"/>
              <w:jc w:val="center"/>
              <w:rPr>
                <w:rFonts w:ascii="Arial" w:hAnsi="Arial" w:eastAsia="宋体" w:cs="Arial"/>
                <w:spacing w:val="10"/>
                <w:sz w:val="18"/>
                <w:szCs w:val="18"/>
                <w:highlight w:val="yellow"/>
              </w:rPr>
            </w:pPr>
          </w:p>
        </w:tc>
        <w:tc>
          <w:tcPr>
            <w:tcW w:w="2412" w:type="dxa"/>
            <w:vMerge w:val="restart"/>
            <w:vAlign w:val="center"/>
          </w:tcPr>
          <w:p w14:paraId="230036D8">
            <w:pPr>
              <w:spacing w:line="240" w:lineRule="exact"/>
              <w:jc w:val="center"/>
              <w:rPr>
                <w:rFonts w:ascii="Arial" w:hAnsi="Arial" w:eastAsia="宋体" w:cs="Arial"/>
                <w:spacing w:val="10"/>
                <w:sz w:val="18"/>
                <w:szCs w:val="18"/>
              </w:rPr>
            </w:pPr>
            <w:r>
              <w:rPr>
                <w:rFonts w:ascii="Arial" w:hAnsi="Arial" w:eastAsia="宋体" w:cs="Arial"/>
                <w:spacing w:val="10"/>
                <w:sz w:val="18"/>
                <w:szCs w:val="18"/>
              </w:rPr>
              <w:t>8.废气、废水防治措施变化，导致第6条中所列情形之一（废气无组织排放改为有组织排放、污染防治措施强化或改进的除外）或大气污染物无组织排放量增加10%及以上的。</w:t>
            </w:r>
          </w:p>
          <w:p w14:paraId="5A44B1D1">
            <w:pPr>
              <w:spacing w:line="240" w:lineRule="exact"/>
              <w:jc w:val="center"/>
              <w:rPr>
                <w:rFonts w:ascii="Arial" w:hAnsi="Arial" w:eastAsia="宋体" w:cs="Arial"/>
                <w:spacing w:val="10"/>
                <w:sz w:val="18"/>
                <w:szCs w:val="18"/>
              </w:rPr>
            </w:pPr>
            <w:r>
              <w:rPr>
                <w:rFonts w:ascii="Arial" w:hAnsi="Arial" w:eastAsia="宋体" w:cs="Arial"/>
                <w:spacing w:val="10"/>
                <w:sz w:val="18"/>
                <w:szCs w:val="18"/>
              </w:rPr>
              <w:t>10、新增废气主要排放口（废气无组织排放改为有组织排放的除外）；主要排放口排气筒高度降低10%及以上的。</w:t>
            </w:r>
          </w:p>
        </w:tc>
        <w:tc>
          <w:tcPr>
            <w:tcW w:w="3402" w:type="dxa"/>
            <w:vAlign w:val="center"/>
          </w:tcPr>
          <w:p w14:paraId="1866855B">
            <w:pPr>
              <w:spacing w:line="240" w:lineRule="exact"/>
              <w:jc w:val="left"/>
              <w:rPr>
                <w:rFonts w:ascii="Arial" w:hAnsi="Arial" w:eastAsia="宋体" w:cs="Arial"/>
                <w:spacing w:val="10"/>
                <w:sz w:val="18"/>
                <w:szCs w:val="18"/>
              </w:rPr>
            </w:pPr>
            <w:r>
              <w:rPr>
                <w:rFonts w:hint="eastAsia" w:ascii="宋体" w:hAnsi="宋体" w:eastAsia="宋体" w:cs="宋体"/>
                <w:sz w:val="18"/>
                <w:szCs w:val="18"/>
              </w:rPr>
              <w:t>镍豆镍粉处置线无生产废水排放，纯水站浓水与综合污水处理站处理后的废水一同排往厂区生产废水总排口，不排放废水第一类污染物</w:t>
            </w:r>
          </w:p>
        </w:tc>
        <w:tc>
          <w:tcPr>
            <w:tcW w:w="3686" w:type="dxa"/>
            <w:vAlign w:val="center"/>
          </w:tcPr>
          <w:p w14:paraId="3016B326">
            <w:pPr>
              <w:spacing w:line="240" w:lineRule="exact"/>
              <w:jc w:val="left"/>
              <w:rPr>
                <w:rFonts w:ascii="Arial" w:hAnsi="Arial" w:eastAsia="宋体" w:cs="Arial"/>
                <w:spacing w:val="10"/>
                <w:sz w:val="18"/>
                <w:szCs w:val="18"/>
              </w:rPr>
            </w:pPr>
            <w:r>
              <w:rPr>
                <w:rFonts w:hint="eastAsia" w:ascii="Arial" w:hAnsi="Arial" w:eastAsia="宋体" w:cs="Arial"/>
                <w:sz w:val="18"/>
                <w:szCs w:val="18"/>
              </w:rPr>
              <w:t>羟基钴生产线硫酸钠废水经车间内板框压滤处理后通过管道泵入S7污水处理车间，在S7污水处理车间经脱氨、陶瓷膜过滤处理后，通过管道泵入S8、S9污水处理车间，经4#~12#MVR处理</w:t>
            </w:r>
            <w:r>
              <w:rPr>
                <w:rFonts w:ascii="Arial" w:hAnsi="Arial" w:eastAsia="宋体" w:cs="Arial"/>
                <w:sz w:val="18"/>
                <w:szCs w:val="18"/>
              </w:rPr>
              <w:t>，MVR处理后的开路母液通过管道泵入厂区综合污水处理站，经臭氧催化氧化处理后排入废水总排口</w:t>
            </w:r>
            <w:r>
              <w:rPr>
                <w:rFonts w:hint="eastAsia" w:ascii="Arial" w:hAnsi="Arial" w:eastAsia="宋体" w:cs="Arial"/>
                <w:sz w:val="18"/>
                <w:szCs w:val="18"/>
              </w:rPr>
              <w:t>；</w:t>
            </w:r>
            <w:r>
              <w:rPr>
                <w:rFonts w:hint="eastAsia" w:ascii="宋体" w:hAnsi="宋体" w:eastAsia="宋体" w:cs="宋体"/>
                <w:sz w:val="18"/>
                <w:szCs w:val="18"/>
              </w:rPr>
              <w:t>不排放废水第一类污染物</w:t>
            </w:r>
          </w:p>
        </w:tc>
        <w:tc>
          <w:tcPr>
            <w:tcW w:w="1984" w:type="dxa"/>
            <w:vAlign w:val="center"/>
          </w:tcPr>
          <w:p w14:paraId="71E39065">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废水防治措施改变，不涉及废水第一类污染物</w:t>
            </w:r>
          </w:p>
        </w:tc>
        <w:tc>
          <w:tcPr>
            <w:tcW w:w="1464" w:type="dxa"/>
            <w:vMerge w:val="restart"/>
            <w:vAlign w:val="center"/>
          </w:tcPr>
          <w:p w14:paraId="4227597E">
            <w:pPr>
              <w:spacing w:line="240" w:lineRule="exact"/>
              <w:jc w:val="center"/>
              <w:rPr>
                <w:rFonts w:ascii="Arial" w:hAnsi="Arial" w:eastAsia="宋体" w:cs="Arial"/>
                <w:spacing w:val="10"/>
                <w:sz w:val="18"/>
                <w:szCs w:val="18"/>
              </w:rPr>
            </w:pPr>
            <w:r>
              <w:rPr>
                <w:rFonts w:hint="eastAsia" w:ascii="Arial" w:hAnsi="Arial" w:eastAsia="宋体" w:cs="Arial"/>
                <w:b/>
                <w:spacing w:val="10"/>
                <w:sz w:val="18"/>
                <w:szCs w:val="18"/>
              </w:rPr>
              <w:t>属于</w:t>
            </w:r>
            <w:r>
              <w:rPr>
                <w:rFonts w:hint="eastAsia" w:ascii="Arial" w:hAnsi="Arial" w:eastAsia="宋体" w:cs="Arial"/>
                <w:spacing w:val="10"/>
                <w:sz w:val="18"/>
                <w:szCs w:val="18"/>
              </w:rPr>
              <w:t>，废气治理措施变化，导致</w:t>
            </w:r>
            <w:r>
              <w:rPr>
                <w:rFonts w:ascii="Arial" w:hAnsi="Arial" w:eastAsia="宋体" w:cs="Arial"/>
                <w:spacing w:val="10"/>
                <w:sz w:val="18"/>
                <w:szCs w:val="18"/>
              </w:rPr>
              <w:t>大气污染物无组织排放量增加</w:t>
            </w:r>
            <w:r>
              <w:rPr>
                <w:rFonts w:hint="eastAsia" w:ascii="Arial" w:hAnsi="Arial" w:eastAsia="宋体" w:cs="Arial"/>
                <w:spacing w:val="10"/>
                <w:sz w:val="18"/>
                <w:szCs w:val="18"/>
              </w:rPr>
              <w:t>超过</w:t>
            </w:r>
            <w:r>
              <w:rPr>
                <w:rFonts w:ascii="Arial" w:hAnsi="Arial" w:eastAsia="宋体" w:cs="Arial"/>
                <w:spacing w:val="10"/>
                <w:sz w:val="18"/>
                <w:szCs w:val="18"/>
              </w:rPr>
              <w:t>10%</w:t>
            </w:r>
            <w:r>
              <w:rPr>
                <w:rFonts w:hint="eastAsia" w:ascii="Arial" w:hAnsi="Arial" w:eastAsia="宋体" w:cs="Arial"/>
                <w:spacing w:val="10"/>
                <w:sz w:val="18"/>
                <w:szCs w:val="18"/>
              </w:rPr>
              <w:t>。</w:t>
            </w:r>
          </w:p>
        </w:tc>
      </w:tr>
      <w:tr w14:paraId="067F0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Merge w:val="continue"/>
            <w:vAlign w:val="center"/>
          </w:tcPr>
          <w:p w14:paraId="113D9ABE">
            <w:pPr>
              <w:spacing w:line="240" w:lineRule="exact"/>
              <w:jc w:val="center"/>
              <w:rPr>
                <w:rFonts w:ascii="Arial" w:hAnsi="Arial" w:eastAsia="宋体" w:cs="Arial"/>
                <w:spacing w:val="10"/>
                <w:sz w:val="18"/>
                <w:szCs w:val="18"/>
                <w:highlight w:val="yellow"/>
              </w:rPr>
            </w:pPr>
          </w:p>
        </w:tc>
        <w:tc>
          <w:tcPr>
            <w:tcW w:w="2412" w:type="dxa"/>
            <w:vMerge w:val="continue"/>
            <w:vAlign w:val="center"/>
          </w:tcPr>
          <w:p w14:paraId="03662D7D">
            <w:pPr>
              <w:spacing w:line="240" w:lineRule="exact"/>
              <w:jc w:val="center"/>
              <w:rPr>
                <w:rFonts w:ascii="Arial" w:hAnsi="Arial" w:eastAsia="宋体" w:cs="Arial"/>
                <w:spacing w:val="10"/>
                <w:sz w:val="18"/>
                <w:szCs w:val="18"/>
                <w:highlight w:val="yellow"/>
              </w:rPr>
            </w:pPr>
          </w:p>
        </w:tc>
        <w:tc>
          <w:tcPr>
            <w:tcW w:w="3402" w:type="dxa"/>
            <w:vAlign w:val="center"/>
          </w:tcPr>
          <w:p w14:paraId="01EBCC50">
            <w:pPr>
              <w:adjustRightInd w:val="0"/>
              <w:snapToGrid w:val="0"/>
              <w:jc w:val="left"/>
              <w:rPr>
                <w:rFonts w:ascii="Arial" w:hAnsi="Arial" w:eastAsia="宋体" w:cs="Arial"/>
                <w:sz w:val="18"/>
                <w:szCs w:val="18"/>
              </w:rPr>
            </w:pPr>
            <w:r>
              <w:rPr>
                <w:rFonts w:hint="eastAsia" w:ascii="Arial" w:hAnsi="Arial" w:eastAsia="宋体" w:cs="Arial"/>
                <w:sz w:val="18"/>
                <w:szCs w:val="18"/>
              </w:rPr>
              <w:t>①镍溶解车间产生的硫酸雾采用4套吸收塔处理后，分别由4根20m高排气筒排放；</w:t>
            </w:r>
          </w:p>
          <w:p w14:paraId="4E09B982">
            <w:pPr>
              <w:adjustRightInd w:val="0"/>
              <w:snapToGrid w:val="0"/>
              <w:jc w:val="left"/>
              <w:rPr>
                <w:rFonts w:ascii="Arial" w:hAnsi="Arial" w:eastAsia="宋体" w:cs="Arial"/>
                <w:sz w:val="18"/>
                <w:szCs w:val="18"/>
              </w:rPr>
            </w:pPr>
            <w:r>
              <w:rPr>
                <w:rFonts w:hint="eastAsia" w:ascii="Arial" w:hAnsi="Arial" w:eastAsia="宋体" w:cs="Arial"/>
                <w:sz w:val="18"/>
                <w:szCs w:val="18"/>
              </w:rPr>
              <w:t>②镍净化产生的硫酸雾采用2套吸收塔处理后，分别由2根20m高排气筒排放。</w:t>
            </w:r>
          </w:p>
          <w:p w14:paraId="661E7CA7">
            <w:pPr>
              <w:adjustRightInd w:val="0"/>
              <w:snapToGrid w:val="0"/>
              <w:jc w:val="left"/>
              <w:rPr>
                <w:rFonts w:ascii="Arial" w:hAnsi="Arial" w:eastAsia="宋体" w:cs="Arial"/>
                <w:sz w:val="18"/>
                <w:szCs w:val="18"/>
              </w:rPr>
            </w:pPr>
            <w:r>
              <w:rPr>
                <w:rFonts w:hint="eastAsia" w:ascii="Arial" w:hAnsi="Arial" w:eastAsia="宋体" w:cs="Arial"/>
                <w:sz w:val="18"/>
                <w:szCs w:val="18"/>
              </w:rPr>
              <w:t>没有无组织排放的大气污染物。</w:t>
            </w:r>
          </w:p>
        </w:tc>
        <w:tc>
          <w:tcPr>
            <w:tcW w:w="3686" w:type="dxa"/>
            <w:vAlign w:val="center"/>
          </w:tcPr>
          <w:p w14:paraId="3AA10E00">
            <w:pPr>
              <w:spacing w:line="240" w:lineRule="exact"/>
              <w:jc w:val="left"/>
              <w:rPr>
                <w:rFonts w:ascii="Arial" w:hAnsi="Arial" w:eastAsia="宋体" w:cs="Arial"/>
                <w:sz w:val="18"/>
                <w:szCs w:val="18"/>
              </w:rPr>
            </w:pPr>
            <w:r>
              <w:rPr>
                <w:rFonts w:hint="eastAsia" w:ascii="Arial" w:hAnsi="Arial" w:eastAsia="宋体" w:cs="Arial"/>
                <w:sz w:val="18"/>
                <w:szCs w:val="18"/>
              </w:rPr>
              <w:t>①羟基钴合成反应废气、压滤废气采用吸收塔处理后，由1根20m高排气筒排放；</w:t>
            </w:r>
          </w:p>
          <w:p w14:paraId="4FA2EF17">
            <w:pPr>
              <w:spacing w:line="240" w:lineRule="exact"/>
              <w:jc w:val="left"/>
              <w:rPr>
                <w:rFonts w:ascii="Arial" w:hAnsi="Arial" w:eastAsia="宋体" w:cs="Arial"/>
                <w:sz w:val="18"/>
                <w:szCs w:val="18"/>
              </w:rPr>
            </w:pPr>
            <w:r>
              <w:rPr>
                <w:rFonts w:hint="eastAsia" w:ascii="Arial" w:hAnsi="Arial" w:eastAsia="宋体" w:cs="Arial"/>
                <w:sz w:val="18"/>
                <w:szCs w:val="18"/>
              </w:rPr>
              <w:t>②羟基钴烘干粉尘、破碎粉尘、包装粉尘采样布袋除尘器+吸收塔处理后，由1根20m高排气筒排放；</w:t>
            </w:r>
          </w:p>
          <w:p w14:paraId="38BB1E12">
            <w:pPr>
              <w:spacing w:line="240" w:lineRule="exact"/>
              <w:jc w:val="left"/>
              <w:rPr>
                <w:rFonts w:ascii="Arial" w:hAnsi="Arial" w:eastAsia="宋体" w:cs="Arial"/>
                <w:sz w:val="18"/>
                <w:szCs w:val="18"/>
              </w:rPr>
            </w:pPr>
            <w:r>
              <w:rPr>
                <w:rFonts w:hint="eastAsia" w:ascii="Arial" w:hAnsi="Arial" w:eastAsia="宋体" w:cs="Arial"/>
                <w:sz w:val="18"/>
                <w:szCs w:val="18"/>
              </w:rPr>
              <w:t>③生产废水依托</w:t>
            </w:r>
            <w:r>
              <w:rPr>
                <w:rFonts w:ascii="Arial" w:hAnsi="Arial" w:eastAsia="宋体" w:cs="Arial"/>
                <w:sz w:val="18"/>
                <w:szCs w:val="18"/>
              </w:rPr>
              <w:t>S7污水处理车间脱氨</w:t>
            </w:r>
            <w:r>
              <w:rPr>
                <w:rFonts w:hint="eastAsia" w:ascii="Arial" w:hAnsi="Arial" w:eastAsia="宋体" w:cs="Arial"/>
                <w:sz w:val="18"/>
                <w:szCs w:val="18"/>
              </w:rPr>
              <w:t>处理新增的氨采样吸收塔处理后，由20m高的DA067排气筒排放。</w:t>
            </w:r>
          </w:p>
          <w:p w14:paraId="7D7D74C6">
            <w:pPr>
              <w:spacing w:line="240" w:lineRule="exact"/>
              <w:jc w:val="left"/>
              <w:rPr>
                <w:rFonts w:ascii="Arial" w:hAnsi="Arial" w:eastAsia="宋体" w:cs="Arial"/>
                <w:spacing w:val="10"/>
                <w:sz w:val="18"/>
                <w:szCs w:val="18"/>
                <w:highlight w:val="yellow"/>
              </w:rPr>
            </w:pPr>
            <w:r>
              <w:rPr>
                <w:rFonts w:hint="eastAsia" w:ascii="Arial" w:hAnsi="Arial" w:eastAsia="宋体" w:cs="Arial"/>
                <w:spacing w:val="10"/>
                <w:sz w:val="18"/>
                <w:szCs w:val="18"/>
              </w:rPr>
              <w:t>无组织排放情况为氨1.1791t/a。</w:t>
            </w:r>
          </w:p>
        </w:tc>
        <w:tc>
          <w:tcPr>
            <w:tcW w:w="1984" w:type="dxa"/>
            <w:vAlign w:val="center"/>
          </w:tcPr>
          <w:p w14:paraId="50F5C0C5">
            <w:pPr>
              <w:spacing w:line="240" w:lineRule="exact"/>
              <w:jc w:val="center"/>
              <w:rPr>
                <w:rFonts w:ascii="Arial" w:hAnsi="Arial" w:eastAsia="宋体" w:cs="Arial"/>
                <w:spacing w:val="10"/>
                <w:sz w:val="18"/>
                <w:szCs w:val="18"/>
                <w:highlight w:val="yellow"/>
              </w:rPr>
            </w:pPr>
            <w:r>
              <w:rPr>
                <w:rFonts w:hint="eastAsia" w:ascii="Arial" w:hAnsi="Arial" w:eastAsia="宋体" w:cs="Arial"/>
                <w:spacing w:val="10"/>
                <w:sz w:val="18"/>
                <w:szCs w:val="18"/>
              </w:rPr>
              <w:t>因生产线有变化，</w:t>
            </w:r>
            <w:r>
              <w:rPr>
                <w:rFonts w:ascii="Arial" w:hAnsi="Arial" w:eastAsia="宋体" w:cs="Arial"/>
                <w:spacing w:val="10"/>
                <w:sz w:val="18"/>
                <w:szCs w:val="18"/>
              </w:rPr>
              <w:t>废气处理措施</w:t>
            </w:r>
            <w:r>
              <w:rPr>
                <w:rFonts w:hint="eastAsia" w:ascii="Arial" w:hAnsi="Arial" w:eastAsia="宋体" w:cs="Arial"/>
                <w:spacing w:val="10"/>
                <w:sz w:val="18"/>
                <w:szCs w:val="18"/>
              </w:rPr>
              <w:t>随之改变，增加了无组织排放的氨；变动前后均不涉及主要排放口</w:t>
            </w:r>
            <w:r>
              <w:rPr>
                <w:rFonts w:ascii="Arial" w:hAnsi="Arial" w:eastAsia="宋体" w:cs="Arial"/>
                <w:spacing w:val="10"/>
                <w:sz w:val="18"/>
                <w:szCs w:val="18"/>
              </w:rPr>
              <w:t>。</w:t>
            </w:r>
          </w:p>
        </w:tc>
        <w:tc>
          <w:tcPr>
            <w:tcW w:w="1464" w:type="dxa"/>
            <w:vMerge w:val="continue"/>
            <w:vAlign w:val="center"/>
          </w:tcPr>
          <w:p w14:paraId="7EF134AE">
            <w:pPr>
              <w:spacing w:line="240" w:lineRule="exact"/>
              <w:jc w:val="center"/>
              <w:rPr>
                <w:rFonts w:ascii="Arial" w:hAnsi="Arial" w:eastAsia="宋体" w:cs="Arial"/>
                <w:spacing w:val="10"/>
                <w:sz w:val="18"/>
                <w:szCs w:val="18"/>
                <w:highlight w:val="yellow"/>
              </w:rPr>
            </w:pPr>
          </w:p>
        </w:tc>
      </w:tr>
      <w:tr w14:paraId="368FB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Merge w:val="continue"/>
            <w:vAlign w:val="center"/>
          </w:tcPr>
          <w:p w14:paraId="520B76A1">
            <w:pPr>
              <w:spacing w:line="240" w:lineRule="exact"/>
              <w:jc w:val="center"/>
              <w:rPr>
                <w:rFonts w:ascii="Arial" w:hAnsi="Arial" w:eastAsia="宋体" w:cs="Arial"/>
                <w:spacing w:val="10"/>
                <w:sz w:val="18"/>
                <w:szCs w:val="18"/>
                <w:highlight w:val="yellow"/>
              </w:rPr>
            </w:pPr>
          </w:p>
        </w:tc>
        <w:tc>
          <w:tcPr>
            <w:tcW w:w="2412" w:type="dxa"/>
            <w:vAlign w:val="center"/>
          </w:tcPr>
          <w:p w14:paraId="1CD2D1F6">
            <w:pPr>
              <w:spacing w:line="240" w:lineRule="exact"/>
              <w:jc w:val="center"/>
              <w:rPr>
                <w:rFonts w:ascii="Arial" w:hAnsi="Arial" w:eastAsia="宋体" w:cs="Arial"/>
                <w:spacing w:val="10"/>
                <w:sz w:val="18"/>
                <w:szCs w:val="18"/>
              </w:rPr>
            </w:pPr>
            <w:r>
              <w:rPr>
                <w:rFonts w:ascii="Arial" w:hAnsi="Arial" w:eastAsia="宋体" w:cs="Arial"/>
                <w:spacing w:val="10"/>
                <w:sz w:val="18"/>
                <w:szCs w:val="18"/>
              </w:rPr>
              <w:t>9.新增废水直接排放口；废水由间接排放改为直接排放；废水直接排放口位置变化，导致不利环境影响加重的。</w:t>
            </w:r>
          </w:p>
        </w:tc>
        <w:tc>
          <w:tcPr>
            <w:tcW w:w="3402" w:type="dxa"/>
            <w:vAlign w:val="center"/>
          </w:tcPr>
          <w:p w14:paraId="5ECD8B2E">
            <w:pPr>
              <w:spacing w:line="240" w:lineRule="exact"/>
              <w:jc w:val="center"/>
              <w:rPr>
                <w:rFonts w:ascii="Arial" w:hAnsi="Arial" w:eastAsia="宋体" w:cs="Arial"/>
                <w:spacing w:val="10"/>
                <w:sz w:val="18"/>
                <w:szCs w:val="18"/>
              </w:rPr>
            </w:pPr>
            <w:r>
              <w:rPr>
                <w:rFonts w:hint="eastAsia" w:ascii="Arial" w:hAnsi="Arial" w:eastAsia="宋体" w:cs="Arial"/>
                <w:sz w:val="18"/>
                <w:szCs w:val="18"/>
              </w:rPr>
              <w:t>不新增废水直接排放口；</w:t>
            </w:r>
            <w:r>
              <w:rPr>
                <w:rFonts w:ascii="Arial" w:hAnsi="Arial" w:eastAsia="宋体" w:cs="Arial"/>
                <w:sz w:val="18"/>
                <w:szCs w:val="18"/>
              </w:rPr>
              <w:t>废水经处理达标后，依托大榄坪污水处理厂的深海排放管排放。</w:t>
            </w:r>
          </w:p>
        </w:tc>
        <w:tc>
          <w:tcPr>
            <w:tcW w:w="3686" w:type="dxa"/>
            <w:vAlign w:val="center"/>
          </w:tcPr>
          <w:p w14:paraId="0E614220">
            <w:pPr>
              <w:spacing w:line="240" w:lineRule="exact"/>
              <w:jc w:val="center"/>
              <w:rPr>
                <w:rFonts w:ascii="Arial" w:hAnsi="Arial" w:eastAsia="宋体" w:cs="Arial"/>
                <w:spacing w:val="10"/>
                <w:sz w:val="18"/>
                <w:szCs w:val="18"/>
              </w:rPr>
            </w:pPr>
            <w:r>
              <w:rPr>
                <w:rFonts w:hint="eastAsia" w:ascii="Arial" w:hAnsi="Arial" w:eastAsia="宋体" w:cs="Arial"/>
                <w:sz w:val="18"/>
                <w:szCs w:val="18"/>
              </w:rPr>
              <w:t>不新增废水直接排放口；</w:t>
            </w:r>
            <w:r>
              <w:rPr>
                <w:rFonts w:ascii="Arial" w:hAnsi="Arial" w:eastAsia="宋体" w:cs="Arial"/>
                <w:sz w:val="18"/>
                <w:szCs w:val="18"/>
              </w:rPr>
              <w:t>废水经处理达标后，依托大榄坪污水处理厂的深海排放管排放。</w:t>
            </w:r>
          </w:p>
        </w:tc>
        <w:tc>
          <w:tcPr>
            <w:tcW w:w="1984" w:type="dxa"/>
            <w:vAlign w:val="center"/>
          </w:tcPr>
          <w:p w14:paraId="44327401">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不变</w:t>
            </w:r>
          </w:p>
        </w:tc>
        <w:tc>
          <w:tcPr>
            <w:tcW w:w="1464" w:type="dxa"/>
            <w:vAlign w:val="center"/>
          </w:tcPr>
          <w:p w14:paraId="5E9934E9">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w:t>
            </w:r>
          </w:p>
        </w:tc>
      </w:tr>
      <w:tr w14:paraId="447F3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Merge w:val="continue"/>
            <w:vAlign w:val="center"/>
          </w:tcPr>
          <w:p w14:paraId="41EE9B52">
            <w:pPr>
              <w:spacing w:line="240" w:lineRule="exact"/>
              <w:jc w:val="center"/>
              <w:rPr>
                <w:rFonts w:ascii="Arial" w:hAnsi="Arial" w:eastAsia="宋体" w:cs="Arial"/>
                <w:spacing w:val="10"/>
                <w:sz w:val="18"/>
                <w:szCs w:val="18"/>
                <w:highlight w:val="yellow"/>
              </w:rPr>
            </w:pPr>
          </w:p>
        </w:tc>
        <w:tc>
          <w:tcPr>
            <w:tcW w:w="2412" w:type="dxa"/>
            <w:vAlign w:val="center"/>
          </w:tcPr>
          <w:p w14:paraId="79C96DD4">
            <w:pPr>
              <w:spacing w:line="240" w:lineRule="exact"/>
              <w:jc w:val="center"/>
              <w:rPr>
                <w:rFonts w:ascii="Arial" w:hAnsi="Arial" w:eastAsia="宋体" w:cs="Arial"/>
                <w:spacing w:val="10"/>
                <w:sz w:val="18"/>
                <w:szCs w:val="18"/>
              </w:rPr>
            </w:pPr>
            <w:r>
              <w:rPr>
                <w:rFonts w:ascii="Arial" w:hAnsi="Arial" w:eastAsia="宋体" w:cs="Arial"/>
                <w:spacing w:val="10"/>
                <w:sz w:val="18"/>
                <w:szCs w:val="18"/>
              </w:rPr>
              <w:t>11.噪声、土壤或地下水防治措施变化，导致不利环境影响加重的。</w:t>
            </w:r>
          </w:p>
        </w:tc>
        <w:tc>
          <w:tcPr>
            <w:tcW w:w="3402" w:type="dxa"/>
            <w:vAlign w:val="center"/>
          </w:tcPr>
          <w:p w14:paraId="3F876470">
            <w:pPr>
              <w:spacing w:line="240" w:lineRule="exact"/>
              <w:jc w:val="center"/>
              <w:rPr>
                <w:rFonts w:ascii="Arial" w:hAnsi="Arial" w:eastAsia="宋体" w:cs="Arial"/>
                <w:spacing w:val="10"/>
                <w:sz w:val="18"/>
                <w:szCs w:val="18"/>
              </w:rPr>
            </w:pPr>
            <w:r>
              <w:rPr>
                <w:rFonts w:ascii="Arial" w:hAnsi="Arial" w:eastAsia="宋体" w:cs="Arial"/>
                <w:spacing w:val="10"/>
                <w:sz w:val="18"/>
                <w:szCs w:val="18"/>
              </w:rPr>
              <w:t>采取合理的平面布局，以及隔声、消声、减振、隔声等降噪措施；地下水按照源头控制、</w:t>
            </w:r>
            <w:r>
              <w:rPr>
                <w:rFonts w:hint="eastAsia" w:ascii="Arial" w:hAnsi="Arial" w:eastAsia="宋体" w:cs="Arial"/>
                <w:spacing w:val="10"/>
                <w:sz w:val="18"/>
                <w:szCs w:val="18"/>
              </w:rPr>
              <w:t>分区防控</w:t>
            </w:r>
            <w:r>
              <w:rPr>
                <w:rFonts w:ascii="Arial" w:hAnsi="Arial" w:eastAsia="宋体" w:cs="Arial"/>
                <w:spacing w:val="10"/>
                <w:sz w:val="18"/>
                <w:szCs w:val="18"/>
              </w:rPr>
              <w:t>、</w:t>
            </w:r>
            <w:r>
              <w:rPr>
                <w:rFonts w:hint="eastAsia" w:ascii="Arial" w:hAnsi="Arial" w:eastAsia="宋体" w:cs="Arial"/>
                <w:spacing w:val="10"/>
                <w:sz w:val="18"/>
                <w:szCs w:val="18"/>
              </w:rPr>
              <w:t>跟踪</w:t>
            </w:r>
            <w:r>
              <w:rPr>
                <w:rFonts w:ascii="Arial" w:hAnsi="Arial" w:eastAsia="宋体" w:cs="Arial"/>
                <w:spacing w:val="10"/>
                <w:sz w:val="18"/>
                <w:szCs w:val="18"/>
              </w:rPr>
              <w:t>监控</w:t>
            </w:r>
            <w:r>
              <w:rPr>
                <w:rFonts w:hint="eastAsia" w:ascii="Arial" w:hAnsi="Arial" w:eastAsia="宋体" w:cs="Arial"/>
                <w:spacing w:val="10"/>
                <w:sz w:val="18"/>
                <w:szCs w:val="18"/>
              </w:rPr>
              <w:t>等措施</w:t>
            </w:r>
            <w:r>
              <w:rPr>
                <w:rFonts w:ascii="Arial" w:hAnsi="Arial" w:eastAsia="宋体" w:cs="Arial"/>
                <w:spacing w:val="10"/>
                <w:sz w:val="18"/>
                <w:szCs w:val="18"/>
              </w:rPr>
              <w:t>。</w:t>
            </w:r>
          </w:p>
        </w:tc>
        <w:tc>
          <w:tcPr>
            <w:tcW w:w="3686" w:type="dxa"/>
            <w:vAlign w:val="center"/>
          </w:tcPr>
          <w:p w14:paraId="4824F16E">
            <w:pPr>
              <w:spacing w:line="240" w:lineRule="exact"/>
              <w:jc w:val="center"/>
              <w:rPr>
                <w:rFonts w:ascii="Arial" w:hAnsi="Arial" w:eastAsia="宋体" w:cs="Arial"/>
                <w:spacing w:val="10"/>
                <w:sz w:val="18"/>
                <w:szCs w:val="18"/>
              </w:rPr>
            </w:pPr>
            <w:r>
              <w:rPr>
                <w:rFonts w:ascii="Arial" w:hAnsi="Arial" w:eastAsia="宋体" w:cs="Arial"/>
                <w:spacing w:val="10"/>
                <w:sz w:val="18"/>
                <w:szCs w:val="18"/>
              </w:rPr>
              <w:t>采取合理的平面布局，以及隔声、消声、减振、隔声等降噪措施；地下水按照头控制、</w:t>
            </w:r>
            <w:r>
              <w:rPr>
                <w:rFonts w:hint="eastAsia" w:ascii="Arial" w:hAnsi="Arial" w:eastAsia="宋体" w:cs="Arial"/>
                <w:spacing w:val="10"/>
                <w:sz w:val="18"/>
                <w:szCs w:val="18"/>
              </w:rPr>
              <w:t>分区防控</w:t>
            </w:r>
            <w:r>
              <w:rPr>
                <w:rFonts w:ascii="Arial" w:hAnsi="Arial" w:eastAsia="宋体" w:cs="Arial"/>
                <w:spacing w:val="10"/>
                <w:sz w:val="18"/>
                <w:szCs w:val="18"/>
              </w:rPr>
              <w:t>、</w:t>
            </w:r>
            <w:r>
              <w:rPr>
                <w:rFonts w:hint="eastAsia" w:ascii="Arial" w:hAnsi="Arial" w:eastAsia="宋体" w:cs="Arial"/>
                <w:spacing w:val="10"/>
                <w:sz w:val="18"/>
                <w:szCs w:val="18"/>
              </w:rPr>
              <w:t>跟踪</w:t>
            </w:r>
            <w:r>
              <w:rPr>
                <w:rFonts w:ascii="Arial" w:hAnsi="Arial" w:eastAsia="宋体" w:cs="Arial"/>
                <w:spacing w:val="10"/>
                <w:sz w:val="18"/>
                <w:szCs w:val="18"/>
              </w:rPr>
              <w:t>监控</w:t>
            </w:r>
            <w:r>
              <w:rPr>
                <w:rFonts w:hint="eastAsia" w:ascii="Arial" w:hAnsi="Arial" w:eastAsia="宋体" w:cs="Arial"/>
                <w:spacing w:val="10"/>
                <w:sz w:val="18"/>
                <w:szCs w:val="18"/>
              </w:rPr>
              <w:t>等措施；将土壤监测纳入企业环境监测计划</w:t>
            </w:r>
            <w:r>
              <w:rPr>
                <w:rFonts w:ascii="Arial" w:hAnsi="Arial" w:eastAsia="宋体" w:cs="Arial"/>
                <w:spacing w:val="10"/>
                <w:sz w:val="18"/>
                <w:szCs w:val="18"/>
              </w:rPr>
              <w:t>。</w:t>
            </w:r>
          </w:p>
        </w:tc>
        <w:tc>
          <w:tcPr>
            <w:tcW w:w="1984" w:type="dxa"/>
            <w:vAlign w:val="center"/>
          </w:tcPr>
          <w:p w14:paraId="4C4EF382">
            <w:pPr>
              <w:spacing w:line="240" w:lineRule="exact"/>
              <w:jc w:val="center"/>
              <w:rPr>
                <w:rFonts w:ascii="Arial" w:hAnsi="Arial" w:eastAsia="宋体" w:cs="Arial"/>
                <w:spacing w:val="10"/>
                <w:sz w:val="18"/>
                <w:szCs w:val="18"/>
              </w:rPr>
            </w:pPr>
            <w:r>
              <w:rPr>
                <w:rFonts w:ascii="Arial" w:hAnsi="Arial" w:eastAsia="宋体" w:cs="Arial"/>
                <w:spacing w:val="10"/>
                <w:sz w:val="18"/>
                <w:szCs w:val="18"/>
              </w:rPr>
              <w:t>噪声防治措施不变</w:t>
            </w:r>
            <w:r>
              <w:rPr>
                <w:rFonts w:hint="eastAsia" w:ascii="Arial" w:hAnsi="Arial" w:eastAsia="宋体" w:cs="Arial"/>
                <w:spacing w:val="10"/>
                <w:sz w:val="18"/>
                <w:szCs w:val="18"/>
              </w:rPr>
              <w:t>，强化了</w:t>
            </w:r>
            <w:r>
              <w:rPr>
                <w:rFonts w:ascii="Arial" w:hAnsi="Arial" w:eastAsia="宋体" w:cs="Arial"/>
                <w:spacing w:val="10"/>
                <w:sz w:val="18"/>
                <w:szCs w:val="18"/>
              </w:rPr>
              <w:t>地下水</w:t>
            </w:r>
            <w:r>
              <w:rPr>
                <w:rFonts w:hint="eastAsia" w:ascii="Arial" w:hAnsi="Arial" w:eastAsia="宋体" w:cs="Arial"/>
                <w:spacing w:val="10"/>
                <w:sz w:val="18"/>
                <w:szCs w:val="18"/>
              </w:rPr>
              <w:t>、土壤</w:t>
            </w:r>
            <w:r>
              <w:rPr>
                <w:rFonts w:ascii="Arial" w:hAnsi="Arial" w:eastAsia="宋体" w:cs="Arial"/>
                <w:spacing w:val="10"/>
                <w:sz w:val="18"/>
                <w:szCs w:val="18"/>
              </w:rPr>
              <w:t>防治措施。</w:t>
            </w:r>
          </w:p>
        </w:tc>
        <w:tc>
          <w:tcPr>
            <w:tcW w:w="1464" w:type="dxa"/>
            <w:vAlign w:val="center"/>
          </w:tcPr>
          <w:p w14:paraId="0BE0A74F">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w:t>
            </w:r>
          </w:p>
        </w:tc>
      </w:tr>
      <w:tr w14:paraId="0152E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Merge w:val="continue"/>
            <w:vAlign w:val="center"/>
          </w:tcPr>
          <w:p w14:paraId="5F58AED2">
            <w:pPr>
              <w:spacing w:line="240" w:lineRule="exact"/>
              <w:jc w:val="center"/>
              <w:rPr>
                <w:rFonts w:ascii="Arial" w:hAnsi="Arial" w:eastAsia="宋体" w:cs="Arial"/>
                <w:spacing w:val="10"/>
                <w:sz w:val="18"/>
                <w:szCs w:val="18"/>
                <w:highlight w:val="yellow"/>
              </w:rPr>
            </w:pPr>
          </w:p>
        </w:tc>
        <w:tc>
          <w:tcPr>
            <w:tcW w:w="2412" w:type="dxa"/>
            <w:vAlign w:val="center"/>
          </w:tcPr>
          <w:p w14:paraId="68378E58">
            <w:pPr>
              <w:spacing w:line="240" w:lineRule="exact"/>
              <w:jc w:val="center"/>
              <w:rPr>
                <w:rFonts w:ascii="Arial" w:hAnsi="Arial" w:eastAsia="宋体" w:cs="Arial"/>
                <w:spacing w:val="10"/>
                <w:sz w:val="18"/>
                <w:szCs w:val="18"/>
              </w:rPr>
            </w:pPr>
            <w:r>
              <w:rPr>
                <w:rFonts w:ascii="Arial" w:hAnsi="Arial" w:eastAsia="宋体" w:cs="Arial"/>
                <w:spacing w:val="10"/>
                <w:sz w:val="18"/>
                <w:szCs w:val="18"/>
              </w:rPr>
              <w:t>12.固体废物利用处置方式由委托外单位利用处置改为自行利用处置的（自行利用处置设施单独开展环境影响评价的除外）；固体废物自行处置方式变化，导致不利环境影响加重的。</w:t>
            </w:r>
          </w:p>
        </w:tc>
        <w:tc>
          <w:tcPr>
            <w:tcW w:w="3402" w:type="dxa"/>
            <w:vAlign w:val="center"/>
          </w:tcPr>
          <w:p w14:paraId="365CC0ED">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镍豆镍粉处置线产生的低镍除铁除铜渣委托有资质单位处置。</w:t>
            </w:r>
            <w:r>
              <w:rPr>
                <w:rFonts w:ascii="Arial" w:hAnsi="Arial" w:eastAsia="宋体" w:cs="Arial"/>
                <w:spacing w:val="10"/>
                <w:sz w:val="18"/>
                <w:szCs w:val="18"/>
              </w:rPr>
              <w:t xml:space="preserve"> </w:t>
            </w:r>
          </w:p>
        </w:tc>
        <w:tc>
          <w:tcPr>
            <w:tcW w:w="3686" w:type="dxa"/>
            <w:vAlign w:val="center"/>
          </w:tcPr>
          <w:p w14:paraId="1F6220B6">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羟基钴生产线产生的沉淀渣压滤后返回X13车间氢氧化钴处置线、氢氧化镍钴生产线回收钴；废润滑油委托有资质单位处置。</w:t>
            </w:r>
          </w:p>
        </w:tc>
        <w:tc>
          <w:tcPr>
            <w:tcW w:w="1984" w:type="dxa"/>
            <w:vAlign w:val="center"/>
          </w:tcPr>
          <w:p w14:paraId="128DAD14">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不涉及固体废物</w:t>
            </w:r>
            <w:r>
              <w:rPr>
                <w:rFonts w:ascii="Arial" w:hAnsi="Arial" w:eastAsia="宋体" w:cs="Arial"/>
                <w:spacing w:val="10"/>
                <w:sz w:val="18"/>
                <w:szCs w:val="18"/>
              </w:rPr>
              <w:t>处置方式由委托外利用处置改为自行利用处置的</w:t>
            </w:r>
          </w:p>
        </w:tc>
        <w:tc>
          <w:tcPr>
            <w:tcW w:w="1464" w:type="dxa"/>
            <w:vAlign w:val="center"/>
          </w:tcPr>
          <w:p w14:paraId="60358C44">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不属于</w:t>
            </w:r>
          </w:p>
        </w:tc>
      </w:tr>
      <w:tr w14:paraId="555BD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1" w:type="dxa"/>
            <w:vMerge w:val="continue"/>
            <w:vAlign w:val="center"/>
          </w:tcPr>
          <w:p w14:paraId="64B97049">
            <w:pPr>
              <w:spacing w:line="240" w:lineRule="exact"/>
              <w:jc w:val="center"/>
              <w:rPr>
                <w:rFonts w:ascii="Arial" w:hAnsi="Arial" w:eastAsia="宋体" w:cs="Arial"/>
                <w:spacing w:val="10"/>
                <w:sz w:val="18"/>
                <w:szCs w:val="18"/>
                <w:highlight w:val="yellow"/>
              </w:rPr>
            </w:pPr>
          </w:p>
        </w:tc>
        <w:tc>
          <w:tcPr>
            <w:tcW w:w="2412" w:type="dxa"/>
            <w:vAlign w:val="center"/>
          </w:tcPr>
          <w:p w14:paraId="391597BB">
            <w:pPr>
              <w:spacing w:line="240" w:lineRule="exact"/>
              <w:jc w:val="center"/>
              <w:rPr>
                <w:rFonts w:ascii="Arial" w:hAnsi="Arial" w:eastAsia="宋体" w:cs="Arial"/>
                <w:spacing w:val="10"/>
                <w:sz w:val="18"/>
                <w:szCs w:val="18"/>
              </w:rPr>
            </w:pPr>
            <w:r>
              <w:rPr>
                <w:rFonts w:ascii="Arial" w:hAnsi="Arial" w:eastAsia="宋体" w:cs="Arial"/>
                <w:spacing w:val="10"/>
                <w:sz w:val="18"/>
                <w:szCs w:val="18"/>
              </w:rPr>
              <w:t>13.事故废水暂存能力或拦截设施变化，导致环境风险防范能力弱化或降低的。</w:t>
            </w:r>
          </w:p>
        </w:tc>
        <w:tc>
          <w:tcPr>
            <w:tcW w:w="3402" w:type="dxa"/>
            <w:vAlign w:val="center"/>
          </w:tcPr>
          <w:p w14:paraId="0C6AC5DE">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不需要新增事故池</w:t>
            </w:r>
          </w:p>
        </w:tc>
        <w:tc>
          <w:tcPr>
            <w:tcW w:w="3686" w:type="dxa"/>
            <w:vAlign w:val="center"/>
          </w:tcPr>
          <w:p w14:paraId="77357C75">
            <w:pPr>
              <w:spacing w:line="240" w:lineRule="exact"/>
              <w:jc w:val="center"/>
              <w:rPr>
                <w:rFonts w:ascii="Arial" w:hAnsi="Arial" w:eastAsia="宋体" w:cs="Arial"/>
                <w:spacing w:val="10"/>
                <w:sz w:val="18"/>
                <w:szCs w:val="18"/>
              </w:rPr>
            </w:pPr>
            <w:r>
              <w:rPr>
                <w:rFonts w:hint="eastAsia" w:ascii="Arial" w:hAnsi="Arial" w:eastAsia="宋体" w:cs="Arial"/>
                <w:spacing w:val="10"/>
                <w:sz w:val="18"/>
                <w:szCs w:val="18"/>
              </w:rPr>
              <w:t>不需要新增事故池</w:t>
            </w:r>
          </w:p>
        </w:tc>
        <w:tc>
          <w:tcPr>
            <w:tcW w:w="1984" w:type="dxa"/>
            <w:vAlign w:val="center"/>
          </w:tcPr>
          <w:p w14:paraId="59F49827">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不变</w:t>
            </w:r>
          </w:p>
        </w:tc>
        <w:tc>
          <w:tcPr>
            <w:tcW w:w="1464" w:type="dxa"/>
            <w:vAlign w:val="center"/>
          </w:tcPr>
          <w:p w14:paraId="177DEF8E">
            <w:pPr>
              <w:spacing w:line="240" w:lineRule="exact"/>
              <w:jc w:val="center"/>
              <w:rPr>
                <w:rFonts w:ascii="Arial" w:hAnsi="Arial" w:eastAsia="宋体" w:cs="Arial"/>
                <w:spacing w:val="10"/>
                <w:sz w:val="18"/>
                <w:szCs w:val="18"/>
                <w:highlight w:val="yellow"/>
              </w:rPr>
            </w:pPr>
            <w:r>
              <w:rPr>
                <w:rFonts w:ascii="Arial" w:hAnsi="Arial" w:eastAsia="宋体" w:cs="Arial"/>
                <w:spacing w:val="10"/>
                <w:sz w:val="18"/>
                <w:szCs w:val="18"/>
              </w:rPr>
              <w:t>/</w:t>
            </w:r>
          </w:p>
        </w:tc>
      </w:tr>
    </w:tbl>
    <w:p w14:paraId="763C0F3D">
      <w:pPr>
        <w:spacing w:line="500" w:lineRule="exact"/>
        <w:ind w:firstLine="490" w:firstLineChars="200"/>
        <w:rPr>
          <w:rFonts w:ascii="Arial" w:hAnsi="Arial" w:eastAsia="宋体" w:cs="Arial"/>
          <w:spacing w:val="10"/>
          <w:sz w:val="24"/>
          <w:szCs w:val="24"/>
        </w:rPr>
        <w:sectPr>
          <w:pgSz w:w="16840" w:h="11907" w:orient="landscape"/>
          <w:pgMar w:top="1157" w:right="1678" w:bottom="1406" w:left="1899" w:header="1174" w:footer="1026" w:gutter="567"/>
          <w:pgNumType w:fmt="upperRoman"/>
          <w:cols w:space="720" w:num="1"/>
          <w:docGrid w:type="linesAndChars" w:linePitch="421" w:charSpace="-3161"/>
        </w:sectPr>
      </w:pPr>
    </w:p>
    <w:p w14:paraId="16298CA6">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根据《中华人民共和国环境保护法》及《中华人民共和国环境影响评价法》中的有关规定，项目需进行环境影响评价。根据《建设项目环境影响评价分类管理名录（2021年版）》，</w:t>
      </w:r>
      <w:r>
        <w:rPr>
          <w:rFonts w:hint="eastAsia" w:ascii="Arial" w:hAnsi="Arial" w:eastAsia="宋体" w:cs="Arial"/>
          <w:spacing w:val="10"/>
          <w:sz w:val="24"/>
          <w:szCs w:val="24"/>
        </w:rPr>
        <w:t>变更后</w:t>
      </w:r>
      <w:r>
        <w:rPr>
          <w:rFonts w:ascii="Arial" w:hAnsi="Arial" w:eastAsia="宋体" w:cs="Arial"/>
          <w:spacing w:val="10"/>
          <w:sz w:val="24"/>
          <w:szCs w:val="24"/>
        </w:rPr>
        <w:t>项目</w:t>
      </w:r>
      <w:r>
        <w:rPr>
          <w:rFonts w:hint="eastAsia" w:ascii="Arial" w:hAnsi="Arial" w:eastAsia="宋体" w:cs="Arial"/>
          <w:spacing w:val="10"/>
          <w:sz w:val="24"/>
          <w:szCs w:val="24"/>
        </w:rPr>
        <w:t>属于</w:t>
      </w:r>
      <w:r>
        <w:rPr>
          <w:rFonts w:ascii="Arial" w:hAnsi="Arial" w:eastAsia="宋体" w:cs="Arial"/>
          <w:spacing w:val="10"/>
          <w:sz w:val="24"/>
          <w:szCs w:val="24"/>
        </w:rPr>
        <w:t>“基础化学原料制造261”，应编制环境影响报告书。为此，受广西中伟新能源科技有限公司委托，广西中冠智合生态环境有限公司承担了该项目的环境影响评价工作。接受任务后，我公司立即组织有关专业技术人员实施了现场踏勘和资料调查收集，在此基础上，根据项目特点及周边具体情况进行了前期调研工作，按照《建设项目环境保护管理条例》和《环境影响评价技术导则》等法规和技术文件的要求，编制完成本项目环境影响报告书。</w:t>
      </w:r>
    </w:p>
    <w:p w14:paraId="530569A3">
      <w:pPr>
        <w:keepNext/>
        <w:keepLines/>
        <w:numPr>
          <w:ilvl w:val="1"/>
          <w:numId w:val="0"/>
        </w:numPr>
        <w:tabs>
          <w:tab w:val="left" w:pos="567"/>
        </w:tabs>
        <w:adjustRightInd w:val="0"/>
        <w:spacing w:before="210" w:after="210" w:line="360" w:lineRule="auto"/>
        <w:outlineLvl w:val="1"/>
        <w:rPr>
          <w:rFonts w:ascii="Arial" w:hAnsi="Arial" w:eastAsia="宋体" w:cs="Arial"/>
          <w:b/>
        </w:rPr>
      </w:pPr>
      <w:bookmarkStart w:id="129" w:name="_Toc185950199"/>
      <w:bookmarkStart w:id="130" w:name="_Toc158124214"/>
      <w:bookmarkStart w:id="131" w:name="_Toc179816381"/>
      <w:bookmarkStart w:id="132" w:name="_Toc183513650"/>
      <w:bookmarkStart w:id="133" w:name="_Toc166675343"/>
      <w:bookmarkStart w:id="134" w:name="_Toc182491362"/>
      <w:bookmarkStart w:id="135" w:name="_Toc161845673"/>
      <w:bookmarkStart w:id="136" w:name="_Toc154599046"/>
      <w:r>
        <w:rPr>
          <w:rFonts w:ascii="Arial" w:hAnsi="Arial" w:eastAsia="宋体" w:cs="Arial"/>
          <w:b/>
        </w:rPr>
        <w:t>2. 项目特点</w:t>
      </w:r>
      <w:bookmarkEnd w:id="129"/>
      <w:bookmarkEnd w:id="130"/>
      <w:bookmarkEnd w:id="131"/>
      <w:bookmarkEnd w:id="132"/>
      <w:bookmarkEnd w:id="133"/>
      <w:bookmarkEnd w:id="134"/>
      <w:bookmarkEnd w:id="135"/>
      <w:bookmarkEnd w:id="136"/>
    </w:p>
    <w:p w14:paraId="11B267F0">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w:t>
      </w:r>
      <w:r>
        <w:rPr>
          <w:rFonts w:hint="eastAsia" w:ascii="Arial" w:hAnsi="Arial" w:eastAsia="宋体" w:cs="Arial"/>
          <w:spacing w:val="10"/>
          <w:sz w:val="24"/>
          <w:szCs w:val="24"/>
        </w:rPr>
        <w:t>将镍豆镍粉处置线变为羟基钴生产线，羟基钴生产线利用原镍豆镍粉车间及部分设备设施</w:t>
      </w:r>
      <w:r>
        <w:rPr>
          <w:rFonts w:ascii="Arial" w:hAnsi="Arial" w:eastAsia="宋体" w:cs="Arial"/>
          <w:spacing w:val="10"/>
          <w:sz w:val="24"/>
          <w:szCs w:val="24"/>
        </w:rPr>
        <w:t>，</w:t>
      </w:r>
      <w:r>
        <w:rPr>
          <w:rFonts w:hint="eastAsia" w:ascii="Arial" w:hAnsi="Arial" w:eastAsia="宋体" w:cs="Arial"/>
          <w:spacing w:val="10"/>
          <w:sz w:val="24"/>
          <w:szCs w:val="24"/>
        </w:rPr>
        <w:t>生产工艺、原辅材料及产品均发生改变</w:t>
      </w:r>
      <w:r>
        <w:rPr>
          <w:rFonts w:ascii="Arial" w:hAnsi="Arial" w:eastAsia="宋体" w:cs="Arial"/>
          <w:spacing w:val="10"/>
          <w:sz w:val="24"/>
          <w:szCs w:val="24"/>
        </w:rPr>
        <w:t>。</w:t>
      </w:r>
      <w:r>
        <w:rPr>
          <w:rFonts w:hint="eastAsia" w:ascii="Arial" w:hAnsi="Arial" w:eastAsia="宋体" w:cs="Arial"/>
          <w:spacing w:val="10"/>
          <w:sz w:val="24"/>
          <w:szCs w:val="24"/>
        </w:rPr>
        <w:t>变更</w:t>
      </w:r>
      <w:r>
        <w:rPr>
          <w:rFonts w:ascii="Arial" w:hAnsi="Arial" w:eastAsia="宋体" w:cs="Arial"/>
          <w:spacing w:val="10"/>
          <w:sz w:val="24"/>
          <w:szCs w:val="24"/>
        </w:rPr>
        <w:t>后</w:t>
      </w:r>
      <w:r>
        <w:rPr>
          <w:rFonts w:hint="eastAsia" w:ascii="Arial" w:hAnsi="Arial" w:eastAsia="宋体" w:cs="Arial"/>
          <w:spacing w:val="10"/>
          <w:sz w:val="24"/>
          <w:szCs w:val="24"/>
        </w:rPr>
        <w:t>项目生产废水排放量较变更前有所增加</w:t>
      </w:r>
      <w:r>
        <w:rPr>
          <w:rFonts w:ascii="Arial" w:hAnsi="Arial" w:eastAsia="宋体" w:cs="Arial"/>
          <w:spacing w:val="10"/>
          <w:sz w:val="24"/>
          <w:szCs w:val="24"/>
        </w:rPr>
        <w:t>，</w:t>
      </w:r>
      <w:r>
        <w:rPr>
          <w:rFonts w:hint="eastAsia" w:ascii="Arial" w:hAnsi="Arial" w:eastAsia="宋体" w:cs="Arial"/>
          <w:spacing w:val="10"/>
          <w:sz w:val="24"/>
          <w:szCs w:val="24"/>
        </w:rPr>
        <w:t>但企业全厂生产废水排放量与二阶段原环评相比并未增加</w:t>
      </w:r>
      <w:r>
        <w:rPr>
          <w:rFonts w:ascii="Arial" w:hAnsi="Arial" w:eastAsia="宋体" w:cs="Arial"/>
          <w:spacing w:val="10"/>
          <w:sz w:val="24"/>
          <w:szCs w:val="24"/>
        </w:rPr>
        <w:t>；新增排放的大气污染物为颗粒物、</w:t>
      </w:r>
      <w:r>
        <w:rPr>
          <w:rFonts w:hint="eastAsia" w:ascii="Arial" w:hAnsi="Arial" w:eastAsia="宋体" w:cs="Arial"/>
          <w:spacing w:val="10"/>
          <w:sz w:val="24"/>
          <w:szCs w:val="24"/>
        </w:rPr>
        <w:t>钴及其化合物及氨</w:t>
      </w:r>
      <w:r>
        <w:rPr>
          <w:rFonts w:ascii="Arial" w:hAnsi="Arial" w:eastAsia="宋体" w:cs="Arial"/>
          <w:spacing w:val="10"/>
          <w:sz w:val="24"/>
          <w:szCs w:val="24"/>
        </w:rPr>
        <w:t>。</w:t>
      </w:r>
    </w:p>
    <w:p w14:paraId="044A0DE0">
      <w:pPr>
        <w:keepNext/>
        <w:keepLines/>
        <w:numPr>
          <w:ilvl w:val="1"/>
          <w:numId w:val="0"/>
        </w:numPr>
        <w:tabs>
          <w:tab w:val="left" w:pos="567"/>
        </w:tabs>
        <w:adjustRightInd w:val="0"/>
        <w:spacing w:before="210" w:after="210" w:line="360" w:lineRule="auto"/>
        <w:outlineLvl w:val="1"/>
        <w:rPr>
          <w:rFonts w:ascii="Arial" w:hAnsi="Arial" w:eastAsia="宋体" w:cs="Arial"/>
          <w:b/>
        </w:rPr>
      </w:pPr>
      <w:bookmarkStart w:id="137" w:name="_Toc493403137"/>
      <w:bookmarkStart w:id="138" w:name="_Toc496719290"/>
      <w:bookmarkStart w:id="139" w:name="_Toc104677209"/>
      <w:bookmarkStart w:id="140" w:name="_Toc57715532"/>
      <w:bookmarkStart w:id="141" w:name="_Toc108634693"/>
      <w:bookmarkStart w:id="142" w:name="_Toc479590601"/>
      <w:bookmarkStart w:id="143" w:name="_Toc479864377"/>
      <w:bookmarkStart w:id="144" w:name="_Toc58596372"/>
      <w:bookmarkStart w:id="145" w:name="_Toc34494621"/>
      <w:bookmarkStart w:id="146" w:name="_Toc104971911"/>
      <w:bookmarkStart w:id="147" w:name="_Toc67921781"/>
      <w:bookmarkStart w:id="148" w:name="_Toc479684063"/>
      <w:bookmarkStart w:id="149" w:name="_Toc87123976"/>
      <w:bookmarkStart w:id="150" w:name="_Toc161845674"/>
      <w:bookmarkStart w:id="151" w:name="_Toc106202476"/>
      <w:bookmarkStart w:id="152" w:name="_Toc478677428"/>
      <w:bookmarkStart w:id="153" w:name="_Toc479877099"/>
      <w:bookmarkStart w:id="154" w:name="_Toc497405014"/>
      <w:bookmarkStart w:id="155" w:name="_Toc496955686"/>
      <w:bookmarkStart w:id="156" w:name="_Toc179816382"/>
      <w:bookmarkStart w:id="157" w:name="_Toc151636723"/>
      <w:bookmarkStart w:id="158" w:name="_Toc497894374"/>
      <w:bookmarkStart w:id="159" w:name="_Toc107420181"/>
      <w:bookmarkStart w:id="160" w:name="_Toc105506431"/>
      <w:bookmarkStart w:id="161" w:name="_Toc87124162"/>
      <w:bookmarkStart w:id="162" w:name="_Toc166675344"/>
      <w:bookmarkStart w:id="163" w:name="_Toc183513651"/>
      <w:bookmarkStart w:id="164" w:name="_Toc104677402"/>
      <w:bookmarkStart w:id="165" w:name="_Toc185950200"/>
      <w:bookmarkStart w:id="166" w:name="_Toc182491363"/>
      <w:bookmarkStart w:id="167" w:name="_Toc88674676"/>
      <w:bookmarkStart w:id="168" w:name="_Toc152260248"/>
      <w:bookmarkStart w:id="169" w:name="_Toc106006217"/>
      <w:bookmarkStart w:id="170" w:name="_Toc487569129"/>
      <w:bookmarkStart w:id="171" w:name="_Toc154599047"/>
      <w:bookmarkStart w:id="172" w:name="_Toc515189907"/>
      <w:bookmarkStart w:id="173" w:name="_Toc158124215"/>
      <w:bookmarkStart w:id="174" w:name="_Toc495187620"/>
      <w:bookmarkStart w:id="175" w:name="_Toc497938493"/>
      <w:bookmarkStart w:id="176" w:name="_Toc29155568"/>
      <w:bookmarkStart w:id="177" w:name="_Toc482281839"/>
      <w:bookmarkStart w:id="178" w:name="_Toc497404915"/>
      <w:bookmarkStart w:id="179" w:name="_Toc500143992"/>
      <w:bookmarkStart w:id="180" w:name="_Toc153639601"/>
      <w:r>
        <w:rPr>
          <w:rFonts w:ascii="Arial" w:hAnsi="Arial" w:eastAsia="宋体" w:cs="Arial"/>
          <w:b/>
        </w:rPr>
        <w:t>3. 环境影响评价工作过程</w:t>
      </w:r>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14:paraId="2802F9E2">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评价工作分三个阶段：</w:t>
      </w:r>
    </w:p>
    <w:p w14:paraId="15390CB9">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1、前期准备、调研和工作方案阶段</w:t>
      </w:r>
    </w:p>
    <w:p w14:paraId="48A9E2D5">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接受委托后，收集及研究相关工程相关资料，进行初步工程分析，开展环境状况调查，进行环境影响因素识别、评价因子筛选和环境保护目标，确定工作等级、评价范围及评价标准，制定工作方案。</w:t>
      </w:r>
    </w:p>
    <w:p w14:paraId="386FE61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2、分析论证和预测评价阶段</w:t>
      </w:r>
    </w:p>
    <w:p w14:paraId="37DBAD1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对项目进行工程分析，并同时对评价范围内的环境状况进行调查、监测和评价，各环境要素进行环境影响预测与评价。</w:t>
      </w:r>
    </w:p>
    <w:p w14:paraId="018D35C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3、环境影响评价文件编制阶段</w:t>
      </w:r>
    </w:p>
    <w:p w14:paraId="21552A5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根据建设项目对环境的影响程度和范围，提出切实可行的环保措施，并进行技术经济论证，给出建设项目污染物排放清单和环境可行性的评价结论，编制环境影响评价文件。</w:t>
      </w:r>
    </w:p>
    <w:p w14:paraId="5B46795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评价工作程序框图见图</w:t>
      </w:r>
      <w:r>
        <w:rPr>
          <w:rFonts w:hint="eastAsia" w:ascii="Arial" w:hAnsi="Arial" w:eastAsia="宋体" w:cs="Arial"/>
          <w:spacing w:val="10"/>
          <w:sz w:val="24"/>
          <w:szCs w:val="24"/>
        </w:rPr>
        <w:t>2</w:t>
      </w:r>
      <w:r>
        <w:rPr>
          <w:rFonts w:ascii="Arial" w:hAnsi="Arial" w:eastAsia="宋体" w:cs="Arial"/>
          <w:spacing w:val="10"/>
          <w:sz w:val="24"/>
          <w:szCs w:val="24"/>
        </w:rPr>
        <w:t>。</w:t>
      </w:r>
    </w:p>
    <w:p w14:paraId="39AAD2BE">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135890</wp:posOffset>
                </wp:positionV>
                <wp:extent cx="5721350" cy="6250940"/>
                <wp:effectExtent l="4445" t="4445" r="8255" b="12065"/>
                <wp:wrapNone/>
                <wp:docPr id="87" name="矩形 87"/>
                <wp:cNvGraphicFramePr/>
                <a:graphic xmlns:a="http://schemas.openxmlformats.org/drawingml/2006/main">
                  <a:graphicData uri="http://schemas.microsoft.com/office/word/2010/wordprocessingShape">
                    <wps:wsp>
                      <wps:cNvSpPr>
                        <a:spLocks noChangeArrowheads="1"/>
                      </wps:cNvSpPr>
                      <wps:spPr bwMode="auto">
                        <a:xfrm>
                          <a:off x="0" y="0"/>
                          <a:ext cx="5721350" cy="6250940"/>
                        </a:xfrm>
                        <a:prstGeom prst="rect">
                          <a:avLst/>
                        </a:prstGeom>
                        <a:noFill/>
                        <a:ln w="9525" algn="ctr">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0pt;margin-top:10.7pt;height:492.2pt;width:450.5pt;z-index:251678720;mso-width-relative:page;mso-height-relative:page;" filled="f" stroked="t" coordsize="21600,21600" o:gfxdata="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gHXZd9YAAAAIAQAADwAAAAAAAAABACAAAAAiAAAAZHJzL2Rv&#10;d25yZXYueG1sUEsBAhQAFAAAAAgAh07iQO+BVbQ8AgAAYgQAAA4AAAAAAAAAAQAgAAAAJQEAAGRy&#10;cy9lMm9Eb2MueG1sUEsFBgAAAAAGAAYAWQEAANMFAAAAAA==&#10;">
                <v:fill on="f" focussize="0,0"/>
                <v:stroke color="#000000" miterlimit="8" joinstyle="miter"/>
                <v:imagedata o:title=""/>
                <o:lock v:ext="edit" aspectratio="f"/>
              </v:rect>
            </w:pict>
          </mc:Fallback>
        </mc:AlternateContent>
      </w:r>
    </w:p>
    <w:p w14:paraId="69639F08">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4864" behindDoc="0" locked="0" layoutInCell="1" allowOverlap="1">
                <wp:simplePos x="0" y="0"/>
                <wp:positionH relativeFrom="column">
                  <wp:posOffset>1492885</wp:posOffset>
                </wp:positionH>
                <wp:positionV relativeFrom="paragraph">
                  <wp:posOffset>165100</wp:posOffset>
                </wp:positionV>
                <wp:extent cx="2187575" cy="210820"/>
                <wp:effectExtent l="4445" t="4445" r="17780" b="13335"/>
                <wp:wrapNone/>
                <wp:docPr id="86" name="矩形 86"/>
                <wp:cNvGraphicFramePr/>
                <a:graphic xmlns:a="http://schemas.openxmlformats.org/drawingml/2006/main">
                  <a:graphicData uri="http://schemas.microsoft.com/office/word/2010/wordprocessingShape">
                    <wps:wsp>
                      <wps:cNvSpPr>
                        <a:spLocks noChangeArrowheads="1"/>
                      </wps:cNvSpPr>
                      <wps:spPr bwMode="auto">
                        <a:xfrm>
                          <a:off x="0" y="0"/>
                          <a:ext cx="2187575" cy="210820"/>
                        </a:xfrm>
                        <a:prstGeom prst="rect">
                          <a:avLst/>
                        </a:prstGeom>
                        <a:noFill/>
                        <a:ln w="9525">
                          <a:solidFill>
                            <a:srgbClr val="000000"/>
                          </a:solidFill>
                          <a:miter lim="800000"/>
                        </a:ln>
                        <a:effectLst/>
                      </wps:spPr>
                      <wps:txbx>
                        <w:txbxContent>
                          <w:p w14:paraId="4691E120">
                            <w:pPr>
                              <w:spacing w:line="240" w:lineRule="exact"/>
                              <w:jc w:val="center"/>
                              <w:rPr>
                                <w:rFonts w:ascii="宋体" w:hAnsi="宋体" w:eastAsia="宋体"/>
                                <w:sz w:val="21"/>
                                <w:szCs w:val="21"/>
                              </w:rPr>
                            </w:pPr>
                            <w:r>
                              <w:rPr>
                                <w:rFonts w:hint="eastAsia" w:ascii="宋体" w:hAnsi="宋体" w:eastAsia="宋体"/>
                                <w:sz w:val="21"/>
                                <w:szCs w:val="21"/>
                              </w:rPr>
                              <w:t>依据相关规定确定环境影响评价类型</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17.55pt;margin-top:13pt;height:16.6pt;width:172.25pt;z-index:251684864;mso-width-relative:page;mso-height-relative:page;" filled="f" stroked="t" coordsize="21600,21600" o:gfxdata="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K4sWG1QAAAAkBAAAPAAAAAAAAAAEAIAAAACIAAABkcnMvZG93bnJldi54bWxQSwEC&#10;FAAUAAAACACHTuJA0mxUHDACAABRBAAADgAAAAAAAAABACAAAAAkAQAAZHJzL2Uyb0RvYy54bWxQ&#10;SwUGAAAAAAYABgBZAQAAxgUAAAAA&#10;">
                <v:fill on="f" focussize="0,0"/>
                <v:stroke color="#000000" miterlimit="8" joinstyle="miter"/>
                <v:imagedata o:title=""/>
                <o:lock v:ext="edit" aspectratio="f"/>
                <v:textbox inset="0mm,0mm,0mm,0mm">
                  <w:txbxContent>
                    <w:p w14:paraId="4691E120">
                      <w:pPr>
                        <w:spacing w:line="240" w:lineRule="exact"/>
                        <w:jc w:val="center"/>
                        <w:rPr>
                          <w:rFonts w:ascii="宋体" w:hAnsi="宋体" w:eastAsia="宋体"/>
                          <w:sz w:val="21"/>
                          <w:szCs w:val="21"/>
                        </w:rPr>
                      </w:pPr>
                      <w:r>
                        <w:rPr>
                          <w:rFonts w:hint="eastAsia" w:ascii="宋体" w:hAnsi="宋体" w:eastAsia="宋体"/>
                          <w:sz w:val="21"/>
                          <w:szCs w:val="21"/>
                        </w:rPr>
                        <w:t>依据相关规定确定环境影响评价类型</w:t>
                      </w:r>
                    </w:p>
                  </w:txbxContent>
                </v:textbox>
              </v:rect>
            </w:pict>
          </mc:Fallback>
        </mc:AlternateContent>
      </w:r>
    </w:p>
    <w:p w14:paraId="2DD8F835">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5888" behindDoc="0" locked="0" layoutInCell="1" allowOverlap="1">
                <wp:simplePos x="0" y="0"/>
                <wp:positionH relativeFrom="column">
                  <wp:posOffset>2595245</wp:posOffset>
                </wp:positionH>
                <wp:positionV relativeFrom="paragraph">
                  <wp:posOffset>62865</wp:posOffset>
                </wp:positionV>
                <wp:extent cx="0" cy="323850"/>
                <wp:effectExtent l="38100" t="0" r="38100" b="0"/>
                <wp:wrapNone/>
                <wp:docPr id="85" name="直接连接符 85"/>
                <wp:cNvGraphicFramePr/>
                <a:graphic xmlns:a="http://schemas.openxmlformats.org/drawingml/2006/main">
                  <a:graphicData uri="http://schemas.microsoft.com/office/word/2010/wordprocessingShape">
                    <wps:wsp>
                      <wps:cNvCnPr>
                        <a:cxnSpLocks noChangeShapeType="1"/>
                      </wps:cNvCnPr>
                      <wps:spPr bwMode="auto">
                        <a:xfrm>
                          <a:off x="0" y="0"/>
                          <a:ext cx="0" cy="32400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04.35pt;margin-top:4.95pt;height:25.5pt;width:0pt;z-index:251685888;mso-width-relative:page;mso-height-relative:page;" filled="f" stroked="t" coordsize="21600,21600" o:gfxdata="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tAEvt1wAAAAgBAAAPAAAAAAAAAAEAIAAAACIAAABkcnMv&#10;ZG93bnJldi54bWxQSwECFAAUAAAACACHTuJA0ccrvwQCAADnAwAADgAAAAAAAAABACAAAAAmAQAA&#10;ZHJzL2Uyb0RvYy54bWxQSwUGAAAAAAYABgBZAQAAnAU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168910</wp:posOffset>
                </wp:positionH>
                <wp:positionV relativeFrom="paragraph">
                  <wp:posOffset>160020</wp:posOffset>
                </wp:positionV>
                <wp:extent cx="504190" cy="1000760"/>
                <wp:effectExtent l="0" t="0" r="0" b="0"/>
                <wp:wrapNone/>
                <wp:docPr id="84" name="矩形 84"/>
                <wp:cNvGraphicFramePr/>
                <a:graphic xmlns:a="http://schemas.openxmlformats.org/drawingml/2006/main">
                  <a:graphicData uri="http://schemas.microsoft.com/office/word/2010/wordprocessingShape">
                    <wps:wsp>
                      <wps:cNvSpPr>
                        <a:spLocks noChangeArrowheads="1"/>
                      </wps:cNvSpPr>
                      <wps:spPr bwMode="auto">
                        <a:xfrm>
                          <a:off x="0" y="0"/>
                          <a:ext cx="504190" cy="1000760"/>
                        </a:xfrm>
                        <a:prstGeom prst="rect">
                          <a:avLst/>
                        </a:prstGeom>
                        <a:noFill/>
                        <a:ln>
                          <a:noFill/>
                        </a:ln>
                        <a:effectLst/>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3.3pt;margin-top:12.6pt;height:78.8pt;width:39.7pt;z-index:251686912;mso-width-relative:page;mso-height-relative:page;" filled="f" stroked="f" coordsize="21600,21600" o:gfxdata="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hRYVl2AAAAAkBAAAPAAAAAAAAAAEAIAAA&#10;ACIAAABkcnMvZG93bnJldi54bWxQSwECFAAUAAAACACHTuJAzrKKiAwCAAANBAAADgAAAAAAAAAB&#10;ACAAAAAnAQAAZHJzL2Uyb0RvYy54bWxQSwUGAAAAAAYABgBZAQAApQUAAAAA&#10;">
                <v:fill on="f" focussize="0,0"/>
                <v:stroke on="f"/>
                <v:imagedata o:title=""/>
                <o:lock v:ext="edit" aspectratio="f"/>
              </v:rect>
            </w:pict>
          </mc:Fallback>
        </mc:AlternateContent>
      </w:r>
    </w:p>
    <w:p w14:paraId="77B6DE38">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7936" behindDoc="0" locked="0" layoutInCell="1" allowOverlap="1">
                <wp:simplePos x="0" y="0"/>
                <wp:positionH relativeFrom="column">
                  <wp:posOffset>1504950</wp:posOffset>
                </wp:positionH>
                <wp:positionV relativeFrom="paragraph">
                  <wp:posOffset>62230</wp:posOffset>
                </wp:positionV>
                <wp:extent cx="2187575" cy="575945"/>
                <wp:effectExtent l="5080" t="4445" r="17145" b="10160"/>
                <wp:wrapNone/>
                <wp:docPr id="13" name="矩形 13"/>
                <wp:cNvGraphicFramePr/>
                <a:graphic xmlns:a="http://schemas.openxmlformats.org/drawingml/2006/main">
                  <a:graphicData uri="http://schemas.microsoft.com/office/word/2010/wordprocessingShape">
                    <wps:wsp>
                      <wps:cNvSpPr>
                        <a:spLocks noChangeArrowheads="1"/>
                      </wps:cNvSpPr>
                      <wps:spPr bwMode="auto">
                        <a:xfrm>
                          <a:off x="0" y="0"/>
                          <a:ext cx="2187575" cy="575945"/>
                        </a:xfrm>
                        <a:prstGeom prst="rect">
                          <a:avLst/>
                        </a:prstGeom>
                        <a:noFill/>
                        <a:ln w="9525">
                          <a:solidFill>
                            <a:srgbClr val="000000"/>
                          </a:solidFill>
                          <a:miter lim="800000"/>
                        </a:ln>
                        <a:effectLst/>
                      </wps:spPr>
                      <wps:txbx>
                        <w:txbxContent>
                          <w:p w14:paraId="0C24A474">
                            <w:pPr>
                              <w:pStyle w:val="523"/>
                              <w:spacing w:line="300" w:lineRule="exact"/>
                              <w:ind w:firstLine="0" w:firstLineChars="0"/>
                              <w:rPr>
                                <w:rFonts w:hAnsi="宋体" w:eastAsia="宋体"/>
                                <w:sz w:val="21"/>
                                <w:szCs w:val="21"/>
                              </w:rPr>
                            </w:pPr>
                            <w:r>
                              <w:rPr>
                                <w:rFonts w:hint="eastAsia" w:hAnsi="宋体" w:eastAsia="宋体"/>
                                <w:sz w:val="21"/>
                                <w:szCs w:val="21"/>
                              </w:rPr>
                              <w:t>1研究相关技术文件和其他有关文件</w:t>
                            </w:r>
                          </w:p>
                          <w:p w14:paraId="74C5B740">
                            <w:pPr>
                              <w:pStyle w:val="523"/>
                              <w:spacing w:line="300" w:lineRule="exact"/>
                              <w:ind w:firstLine="0" w:firstLineChars="0"/>
                              <w:rPr>
                                <w:rFonts w:hAnsi="宋体" w:eastAsia="宋体"/>
                                <w:sz w:val="21"/>
                                <w:szCs w:val="21"/>
                              </w:rPr>
                            </w:pPr>
                            <w:r>
                              <w:rPr>
                                <w:rFonts w:hint="eastAsia" w:hAnsi="宋体" w:eastAsia="宋体"/>
                                <w:sz w:val="21"/>
                                <w:szCs w:val="21"/>
                              </w:rPr>
                              <w:t>2 进行初步工程分析</w:t>
                            </w:r>
                          </w:p>
                          <w:p w14:paraId="60140C88">
                            <w:pPr>
                              <w:pStyle w:val="523"/>
                              <w:spacing w:line="300" w:lineRule="exact"/>
                              <w:ind w:firstLine="0" w:firstLineChars="0"/>
                              <w:rPr>
                                <w:rFonts w:hAnsi="宋体" w:eastAsia="宋体"/>
                                <w:sz w:val="21"/>
                                <w:szCs w:val="21"/>
                              </w:rPr>
                            </w:pPr>
                            <w:r>
                              <w:rPr>
                                <w:rFonts w:hint="eastAsia" w:hAnsi="宋体" w:eastAsia="宋体"/>
                                <w:sz w:val="21"/>
                                <w:szCs w:val="21"/>
                              </w:rPr>
                              <w:t>3 开展初步的环境现状调查</w:t>
                            </w:r>
                          </w:p>
                          <w:p w14:paraId="7C31A807">
                            <w:pPr>
                              <w:rPr>
                                <w:szCs w:val="21"/>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18.5pt;margin-top:4.9pt;height:45.35pt;width:172.25pt;z-index:251687936;mso-width-relative:page;mso-height-relative:page;" filled="f" stroked="t" coordsize="21600,21600" o:gfxdata="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37Aq91AAAAAkBAAAPAAAAAAAAAAEAIAAAACIAAABkcnMvZG93bnJldi54bWxQSwECFAAU&#10;AAAACACHTuJAntqR6C4CAABRBAAADgAAAAAAAAABACAAAAAjAQAAZHJzL2Uyb0RvYy54bWxQSwUG&#10;AAAAAAYABgBZAQAAwwUAAAAA&#10;">
                <v:fill on="f" focussize="0,0"/>
                <v:stroke color="#000000" miterlimit="8" joinstyle="miter"/>
                <v:imagedata o:title=""/>
                <o:lock v:ext="edit" aspectratio="f"/>
                <v:textbox inset="0mm,0mm,0mm,0mm">
                  <w:txbxContent>
                    <w:p w14:paraId="0C24A474">
                      <w:pPr>
                        <w:pStyle w:val="523"/>
                        <w:spacing w:line="300" w:lineRule="exact"/>
                        <w:ind w:firstLine="0" w:firstLineChars="0"/>
                        <w:rPr>
                          <w:rFonts w:hAnsi="宋体" w:eastAsia="宋体"/>
                          <w:sz w:val="21"/>
                          <w:szCs w:val="21"/>
                        </w:rPr>
                      </w:pPr>
                      <w:r>
                        <w:rPr>
                          <w:rFonts w:hint="eastAsia" w:hAnsi="宋体" w:eastAsia="宋体"/>
                          <w:sz w:val="21"/>
                          <w:szCs w:val="21"/>
                        </w:rPr>
                        <w:t>1研究相关技术文件和其他有关文件</w:t>
                      </w:r>
                    </w:p>
                    <w:p w14:paraId="74C5B740">
                      <w:pPr>
                        <w:pStyle w:val="523"/>
                        <w:spacing w:line="300" w:lineRule="exact"/>
                        <w:ind w:firstLine="0" w:firstLineChars="0"/>
                        <w:rPr>
                          <w:rFonts w:hAnsi="宋体" w:eastAsia="宋体"/>
                          <w:sz w:val="21"/>
                          <w:szCs w:val="21"/>
                        </w:rPr>
                      </w:pPr>
                      <w:r>
                        <w:rPr>
                          <w:rFonts w:hint="eastAsia" w:hAnsi="宋体" w:eastAsia="宋体"/>
                          <w:sz w:val="21"/>
                          <w:szCs w:val="21"/>
                        </w:rPr>
                        <w:t>2 进行初步工程分析</w:t>
                      </w:r>
                    </w:p>
                    <w:p w14:paraId="60140C88">
                      <w:pPr>
                        <w:pStyle w:val="523"/>
                        <w:spacing w:line="300" w:lineRule="exact"/>
                        <w:ind w:firstLine="0" w:firstLineChars="0"/>
                        <w:rPr>
                          <w:rFonts w:hAnsi="宋体" w:eastAsia="宋体"/>
                          <w:sz w:val="21"/>
                          <w:szCs w:val="21"/>
                        </w:rPr>
                      </w:pPr>
                      <w:r>
                        <w:rPr>
                          <w:rFonts w:hint="eastAsia" w:hAnsi="宋体" w:eastAsia="宋体"/>
                          <w:sz w:val="21"/>
                          <w:szCs w:val="21"/>
                        </w:rPr>
                        <w:t>3 开展初步的环境现状调查</w:t>
                      </w:r>
                    </w:p>
                    <w:p w14:paraId="7C31A807">
                      <w:pPr>
                        <w:rPr>
                          <w:szCs w:val="21"/>
                        </w:rPr>
                      </w:pPr>
                    </w:p>
                  </w:txbxContent>
                </v:textbox>
              </v:rect>
            </w:pict>
          </mc:Fallback>
        </mc:AlternateContent>
      </w:r>
    </w:p>
    <w:p w14:paraId="3D7809CC">
      <w:pPr>
        <w:widowControl/>
        <w:overflowPunct w:val="0"/>
        <w:autoSpaceDE w:val="0"/>
        <w:autoSpaceDN w:val="0"/>
        <w:adjustRightInd w:val="0"/>
        <w:spacing w:line="500" w:lineRule="exact"/>
        <w:ind w:firstLine="450" w:firstLineChars="200"/>
        <w:jc w:val="left"/>
        <w:textAlignment w:val="baseline"/>
        <w:rPr>
          <w:rFonts w:ascii="Arial" w:hAnsi="Arial" w:eastAsia="宋体" w:cs="Arial"/>
          <w:kern w:val="0"/>
          <w:sz w:val="24"/>
          <w:szCs w:val="24"/>
        </w:rPr>
      </w:pPr>
    </w:p>
    <w:p w14:paraId="411CAFE6">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8960" behindDoc="0" locked="0" layoutInCell="1" allowOverlap="1">
                <wp:simplePos x="0" y="0"/>
                <wp:positionH relativeFrom="column">
                  <wp:posOffset>2595245</wp:posOffset>
                </wp:positionH>
                <wp:positionV relativeFrom="paragraph">
                  <wp:posOffset>4445</wp:posOffset>
                </wp:positionV>
                <wp:extent cx="0" cy="323850"/>
                <wp:effectExtent l="38100" t="0" r="38100" b="0"/>
                <wp:wrapNone/>
                <wp:docPr id="92" name="直接连接符 92"/>
                <wp:cNvGraphicFramePr/>
                <a:graphic xmlns:a="http://schemas.openxmlformats.org/drawingml/2006/main">
                  <a:graphicData uri="http://schemas.microsoft.com/office/word/2010/wordprocessingShape">
                    <wps:wsp>
                      <wps:cNvCnPr>
                        <a:cxnSpLocks noChangeShapeType="1"/>
                      </wps:cNvCnPr>
                      <wps:spPr bwMode="auto">
                        <a:xfrm>
                          <a:off x="0" y="0"/>
                          <a:ext cx="0" cy="32400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04.35pt;margin-top:0.35pt;height:25.5pt;width:0pt;z-index:251688960;mso-width-relative:page;mso-height-relative:page;" filled="f" stroked="t" coordsize="21600,21600" o:gfxdata="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PywHS1gAAAAcBAAAPAAAAAAAAAAEAIAAAACIAAABkcnMvZG93&#10;bnJldi54bWxQSwECFAAUAAAACACHTuJA18ztKwICAADnAwAADgAAAAAAAAABACAAAAAlAQAAZHJz&#10;L2Uyb0RvYy54bWxQSwUGAAAAAAYABgBZAQAAmQUAAAAA&#10;">
                <v:fill on="f" focussize="0,0"/>
                <v:stroke color="#000000" joinstyle="round" endarrow="block"/>
                <v:imagedata o:title=""/>
                <o:lock v:ext="edit" aspectratio="f"/>
              </v:line>
            </w:pict>
          </mc:Fallback>
        </mc:AlternateContent>
      </w:r>
    </w:p>
    <w:p w14:paraId="0494EDC4">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3840" behindDoc="0" locked="0" layoutInCell="1" allowOverlap="1">
                <wp:simplePos x="0" y="0"/>
                <wp:positionH relativeFrom="column">
                  <wp:posOffset>1514475</wp:posOffset>
                </wp:positionH>
                <wp:positionV relativeFrom="paragraph">
                  <wp:posOffset>17145</wp:posOffset>
                </wp:positionV>
                <wp:extent cx="2187575" cy="575945"/>
                <wp:effectExtent l="5080" t="4445" r="17145" b="10160"/>
                <wp:wrapNone/>
                <wp:docPr id="60" name="矩形 60"/>
                <wp:cNvGraphicFramePr/>
                <a:graphic xmlns:a="http://schemas.openxmlformats.org/drawingml/2006/main">
                  <a:graphicData uri="http://schemas.microsoft.com/office/word/2010/wordprocessingShape">
                    <wps:wsp>
                      <wps:cNvSpPr>
                        <a:spLocks noChangeArrowheads="1"/>
                      </wps:cNvSpPr>
                      <wps:spPr bwMode="auto">
                        <a:xfrm>
                          <a:off x="0" y="0"/>
                          <a:ext cx="2187575" cy="575945"/>
                        </a:xfrm>
                        <a:prstGeom prst="rect">
                          <a:avLst/>
                        </a:prstGeom>
                        <a:noFill/>
                        <a:ln w="9525">
                          <a:solidFill>
                            <a:srgbClr val="000000"/>
                          </a:solidFill>
                          <a:miter lim="800000"/>
                        </a:ln>
                        <a:effectLst/>
                      </wps:spPr>
                      <wps:txbx>
                        <w:txbxContent>
                          <w:p w14:paraId="060B7800">
                            <w:pPr>
                              <w:pStyle w:val="523"/>
                              <w:spacing w:line="300" w:lineRule="exact"/>
                              <w:ind w:firstLine="0" w:firstLineChars="0"/>
                              <w:rPr>
                                <w:rFonts w:hAnsi="宋体" w:eastAsia="宋体"/>
                                <w:sz w:val="21"/>
                                <w:szCs w:val="21"/>
                              </w:rPr>
                            </w:pPr>
                            <w:r>
                              <w:rPr>
                                <w:rFonts w:hint="eastAsia" w:hAnsi="宋体" w:eastAsia="宋体"/>
                                <w:sz w:val="21"/>
                                <w:szCs w:val="21"/>
                              </w:rPr>
                              <w:t>1境影响识别和评价因子筛选</w:t>
                            </w:r>
                          </w:p>
                          <w:p w14:paraId="010754FF">
                            <w:pPr>
                              <w:pStyle w:val="523"/>
                              <w:spacing w:line="300" w:lineRule="exact"/>
                              <w:ind w:firstLine="0" w:firstLineChars="0"/>
                              <w:rPr>
                                <w:rFonts w:hAnsi="宋体" w:eastAsia="宋体"/>
                                <w:sz w:val="21"/>
                                <w:szCs w:val="21"/>
                              </w:rPr>
                            </w:pPr>
                            <w:r>
                              <w:rPr>
                                <w:rFonts w:hint="eastAsia" w:hAnsi="宋体" w:eastAsia="宋体"/>
                                <w:sz w:val="21"/>
                                <w:szCs w:val="21"/>
                              </w:rPr>
                              <w:t>2 明确评价重点和环境保护目标</w:t>
                            </w:r>
                          </w:p>
                          <w:p w14:paraId="11546892">
                            <w:pPr>
                              <w:pStyle w:val="523"/>
                              <w:spacing w:line="300" w:lineRule="exact"/>
                              <w:ind w:firstLine="0" w:firstLineChars="0"/>
                              <w:rPr>
                                <w:rFonts w:hAnsi="宋体" w:eastAsia="宋体"/>
                                <w:sz w:val="21"/>
                                <w:szCs w:val="21"/>
                              </w:rPr>
                            </w:pPr>
                            <w:r>
                              <w:rPr>
                                <w:rFonts w:hint="eastAsia" w:hAnsi="宋体" w:eastAsia="宋体"/>
                                <w:sz w:val="21"/>
                                <w:szCs w:val="21"/>
                              </w:rPr>
                              <w:t>3 确定工作等级、评价范围和评价标准</w:t>
                            </w:r>
                          </w:p>
                          <w:p w14:paraId="6E3C69C7">
                            <w:pPr>
                              <w:rPr>
                                <w:szCs w:val="21"/>
                              </w:rPr>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19.25pt;margin-top:1.35pt;height:45.35pt;width:172.25pt;z-index:251683840;mso-width-relative:page;mso-height-relative:page;" filled="f" stroked="t" coordsize="21600,21600" o:gfxdata="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0PvWotUAAAAIAQAADwAAAAAAAAABACAAAAAiAAAAZHJzL2Rvd25yZXYueG1sUEsBAhQA&#10;FAAAAAgAh07iQOfSYnsuAgAAUQQAAA4AAAAAAAAAAQAgAAAAJAEAAGRycy9lMm9Eb2MueG1sUEsF&#10;BgAAAAAGAAYAWQEAAMQFAAAAAA==&#10;">
                <v:fill on="f" focussize="0,0"/>
                <v:stroke color="#000000" miterlimit="8" joinstyle="miter"/>
                <v:imagedata o:title=""/>
                <o:lock v:ext="edit" aspectratio="f"/>
                <v:textbox inset="0mm,0mm,0mm,0mm">
                  <w:txbxContent>
                    <w:p w14:paraId="060B7800">
                      <w:pPr>
                        <w:pStyle w:val="523"/>
                        <w:spacing w:line="300" w:lineRule="exact"/>
                        <w:ind w:firstLine="0" w:firstLineChars="0"/>
                        <w:rPr>
                          <w:rFonts w:hAnsi="宋体" w:eastAsia="宋体"/>
                          <w:sz w:val="21"/>
                          <w:szCs w:val="21"/>
                        </w:rPr>
                      </w:pPr>
                      <w:r>
                        <w:rPr>
                          <w:rFonts w:hint="eastAsia" w:hAnsi="宋体" w:eastAsia="宋体"/>
                          <w:sz w:val="21"/>
                          <w:szCs w:val="21"/>
                        </w:rPr>
                        <w:t>1境影响识别和评价因子筛选</w:t>
                      </w:r>
                    </w:p>
                    <w:p w14:paraId="010754FF">
                      <w:pPr>
                        <w:pStyle w:val="523"/>
                        <w:spacing w:line="300" w:lineRule="exact"/>
                        <w:ind w:firstLine="0" w:firstLineChars="0"/>
                        <w:rPr>
                          <w:rFonts w:hAnsi="宋体" w:eastAsia="宋体"/>
                          <w:sz w:val="21"/>
                          <w:szCs w:val="21"/>
                        </w:rPr>
                      </w:pPr>
                      <w:r>
                        <w:rPr>
                          <w:rFonts w:hint="eastAsia" w:hAnsi="宋体" w:eastAsia="宋体"/>
                          <w:sz w:val="21"/>
                          <w:szCs w:val="21"/>
                        </w:rPr>
                        <w:t>2 明确评价重点和环境保护目标</w:t>
                      </w:r>
                    </w:p>
                    <w:p w14:paraId="11546892">
                      <w:pPr>
                        <w:pStyle w:val="523"/>
                        <w:spacing w:line="300" w:lineRule="exact"/>
                        <w:ind w:firstLine="0" w:firstLineChars="0"/>
                        <w:rPr>
                          <w:rFonts w:hAnsi="宋体" w:eastAsia="宋体"/>
                          <w:sz w:val="21"/>
                          <w:szCs w:val="21"/>
                        </w:rPr>
                      </w:pPr>
                      <w:r>
                        <w:rPr>
                          <w:rFonts w:hint="eastAsia" w:hAnsi="宋体" w:eastAsia="宋体"/>
                          <w:sz w:val="21"/>
                          <w:szCs w:val="21"/>
                        </w:rPr>
                        <w:t>3 确定工作等级、评价范围和评价标准</w:t>
                      </w:r>
                    </w:p>
                    <w:p w14:paraId="6E3C69C7">
                      <w:pPr>
                        <w:rPr>
                          <w:szCs w:val="21"/>
                        </w:rPr>
                      </w:pPr>
                    </w:p>
                  </w:txbxContent>
                </v:textbox>
              </v:rect>
            </w:pict>
          </mc:Fallback>
        </mc:AlternateContent>
      </w:r>
    </w:p>
    <w:p w14:paraId="60721832">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9984" behindDoc="0" locked="0" layoutInCell="1" allowOverlap="1">
                <wp:simplePos x="0" y="0"/>
                <wp:positionH relativeFrom="column">
                  <wp:posOffset>2595245</wp:posOffset>
                </wp:positionH>
                <wp:positionV relativeFrom="paragraph">
                  <wp:posOffset>277495</wp:posOffset>
                </wp:positionV>
                <wp:extent cx="0" cy="323850"/>
                <wp:effectExtent l="38100" t="0" r="38100" b="0"/>
                <wp:wrapNone/>
                <wp:docPr id="93" name="直接连接符 93"/>
                <wp:cNvGraphicFramePr/>
                <a:graphic xmlns:a="http://schemas.openxmlformats.org/drawingml/2006/main">
                  <a:graphicData uri="http://schemas.microsoft.com/office/word/2010/wordprocessingShape">
                    <wps:wsp>
                      <wps:cNvCnPr>
                        <a:cxnSpLocks noChangeShapeType="1"/>
                      </wps:cNvCnPr>
                      <wps:spPr bwMode="auto">
                        <a:xfrm>
                          <a:off x="0" y="0"/>
                          <a:ext cx="0" cy="32400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04.35pt;margin-top:21.85pt;height:25.5pt;width:0pt;z-index:251689984;mso-width-relative:page;mso-height-relative:page;" filled="f" stroked="t" coordsize="21600,21600" o:gfxdata="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odRlK2AAAAAkBAAAPAAAAAAAAAAEAIAAAACIAAABkcnMv&#10;ZG93bnJldi54bWxQSwECFAAUAAAACACHTuJATmeTpQMCAADnAwAADgAAAAAAAAABACAAAAAnAQAA&#10;ZHJzL2Uyb0RvYy54bWxQSwUGAAAAAAYABgBZAQAAnAUAAAAA&#10;">
                <v:fill on="f" focussize="0,0"/>
                <v:stroke color="#000000" joinstyle="round" endarrow="block"/>
                <v:imagedata o:title=""/>
                <o:lock v:ext="edit" aspectratio="f"/>
              </v:line>
            </w:pict>
          </mc:Fallback>
        </mc:AlternateContent>
      </w:r>
    </w:p>
    <w:p w14:paraId="14172583">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63360" behindDoc="0" locked="0" layoutInCell="1" allowOverlap="1">
                <wp:simplePos x="0" y="0"/>
                <wp:positionH relativeFrom="column">
                  <wp:posOffset>1937385</wp:posOffset>
                </wp:positionH>
                <wp:positionV relativeFrom="paragraph">
                  <wp:posOffset>281305</wp:posOffset>
                </wp:positionV>
                <wp:extent cx="1369695" cy="215265"/>
                <wp:effectExtent l="4445" t="4445" r="16510" b="8890"/>
                <wp:wrapNone/>
                <wp:docPr id="61" name="矩形 61"/>
                <wp:cNvGraphicFramePr/>
                <a:graphic xmlns:a="http://schemas.openxmlformats.org/drawingml/2006/main">
                  <a:graphicData uri="http://schemas.microsoft.com/office/word/2010/wordprocessingShape">
                    <wps:wsp>
                      <wps:cNvSpPr>
                        <a:spLocks noChangeArrowheads="1"/>
                      </wps:cNvSpPr>
                      <wps:spPr bwMode="auto">
                        <a:xfrm>
                          <a:off x="0" y="0"/>
                          <a:ext cx="1369695" cy="215265"/>
                        </a:xfrm>
                        <a:prstGeom prst="rect">
                          <a:avLst/>
                        </a:prstGeom>
                        <a:noFill/>
                        <a:ln w="9525">
                          <a:solidFill>
                            <a:srgbClr val="000000"/>
                          </a:solidFill>
                          <a:miter lim="800000"/>
                        </a:ln>
                        <a:effectLst/>
                      </wps:spPr>
                      <wps:txbx>
                        <w:txbxContent>
                          <w:p w14:paraId="4E6B176C">
                            <w:pPr>
                              <w:spacing w:line="240" w:lineRule="exact"/>
                              <w:jc w:val="center"/>
                              <w:rPr>
                                <w:rFonts w:ascii="宋体" w:hAnsi="宋体" w:eastAsia="宋体"/>
                                <w:sz w:val="21"/>
                                <w:szCs w:val="21"/>
                              </w:rPr>
                            </w:pPr>
                            <w:r>
                              <w:rPr>
                                <w:rFonts w:hint="eastAsia" w:ascii="宋体" w:hAnsi="宋体" w:eastAsia="宋体"/>
                                <w:sz w:val="21"/>
                                <w:szCs w:val="21"/>
                              </w:rPr>
                              <w:t>制定工作方案</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52.55pt;margin-top:22.15pt;height:16.95pt;width:107.85pt;z-index:251663360;mso-width-relative:page;mso-height-relative:page;" filled="f" stroked="t" coordsize="21600,21600" o:gfxdata="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MJTI3VAAAACQEAAA8AAAAAAAAAAQAgAAAAIgAAAGRycy9kb3ducmV2LnhtbFBLAQIU&#10;ABQAAAAIAIdO4kDlc8xWLwIAAFEEAAAOAAAAAAAAAAEAIAAAACQBAABkcnMvZTJvRG9jLnhtbFBL&#10;BQYAAAAABgAGAFkBAADFBQAAAAA=&#10;">
                <v:fill on="f" focussize="0,0"/>
                <v:stroke color="#000000" miterlimit="8" joinstyle="miter"/>
                <v:imagedata o:title=""/>
                <o:lock v:ext="edit" aspectratio="f"/>
                <v:textbox inset="0mm,0mm,0mm,0mm">
                  <w:txbxContent>
                    <w:p w14:paraId="4E6B176C">
                      <w:pPr>
                        <w:spacing w:line="240" w:lineRule="exact"/>
                        <w:jc w:val="center"/>
                        <w:rPr>
                          <w:rFonts w:ascii="宋体" w:hAnsi="宋体" w:eastAsia="宋体"/>
                          <w:sz w:val="21"/>
                          <w:szCs w:val="21"/>
                        </w:rPr>
                      </w:pPr>
                      <w:r>
                        <w:rPr>
                          <w:rFonts w:hint="eastAsia" w:ascii="宋体" w:hAnsi="宋体" w:eastAsia="宋体"/>
                          <w:sz w:val="21"/>
                          <w:szCs w:val="21"/>
                        </w:rPr>
                        <w:t>制定工作方案</w:t>
                      </w:r>
                    </w:p>
                  </w:txbxContent>
                </v:textbox>
              </v:rect>
            </w:pict>
          </mc:Fallback>
        </mc:AlternateContent>
      </w:r>
    </w:p>
    <w:p w14:paraId="5706C2EB">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91008" behindDoc="0" locked="0" layoutInCell="1" allowOverlap="1">
                <wp:simplePos x="0" y="0"/>
                <wp:positionH relativeFrom="column">
                  <wp:posOffset>2595245</wp:posOffset>
                </wp:positionH>
                <wp:positionV relativeFrom="paragraph">
                  <wp:posOffset>175895</wp:posOffset>
                </wp:positionV>
                <wp:extent cx="0" cy="288290"/>
                <wp:effectExtent l="38100" t="0" r="38100" b="16510"/>
                <wp:wrapNone/>
                <wp:docPr id="94" name="直接连接符 94"/>
                <wp:cNvGraphicFramePr/>
                <a:graphic xmlns:a="http://schemas.openxmlformats.org/drawingml/2006/main">
                  <a:graphicData uri="http://schemas.microsoft.com/office/word/2010/wordprocessingShape">
                    <wps:wsp>
                      <wps:cNvCnPr>
                        <a:cxnSpLocks noChangeShapeType="1"/>
                      </wps:cNvCnPr>
                      <wps:spPr bwMode="auto">
                        <a:xfrm>
                          <a:off x="0" y="0"/>
                          <a:ext cx="0" cy="28800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04.35pt;margin-top:13.85pt;height:22.7pt;width:0pt;z-index:251691008;mso-width-relative:page;mso-height-relative:page;" filled="f" stroked="t" coordsize="21600,21600" o:gfxdata="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mCzRDYAAAACQEAAA8AAAAAAAAAAQAgAAAAIgAAAGRycy9k&#10;b3ducmV2LnhtbFBLAQIUABQAAAAIAIdO4kAOnCeQAgIAAOcDAAAOAAAAAAAAAAEAIAAAACcBAABk&#10;cnMvZTJvRG9jLnhtbFBLBQYAAAAABgAGAFkBAACbBQAAAAA=&#10;">
                <v:fill on="f" focussize="0,0"/>
                <v:stroke color="#000000" joinstyle="round" endarrow="block"/>
                <v:imagedata o:title=""/>
                <o:lock v:ext="edit" aspectratio="f"/>
              </v:line>
            </w:pict>
          </mc:Fallback>
        </mc:AlternateContent>
      </w:r>
    </w:p>
    <w:p w14:paraId="39709148">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67456" behindDoc="0" locked="0" layoutInCell="1" allowOverlap="1">
                <wp:simplePos x="0" y="0"/>
                <wp:positionH relativeFrom="column">
                  <wp:posOffset>1276985</wp:posOffset>
                </wp:positionH>
                <wp:positionV relativeFrom="paragraph">
                  <wp:posOffset>300355</wp:posOffset>
                </wp:positionV>
                <wp:extent cx="915670" cy="387985"/>
                <wp:effectExtent l="5080" t="4445" r="12700" b="7620"/>
                <wp:wrapNone/>
                <wp:docPr id="62" name="矩形 62"/>
                <wp:cNvGraphicFramePr/>
                <a:graphic xmlns:a="http://schemas.openxmlformats.org/drawingml/2006/main">
                  <a:graphicData uri="http://schemas.microsoft.com/office/word/2010/wordprocessingShape">
                    <wps:wsp>
                      <wps:cNvSpPr>
                        <a:spLocks noChangeArrowheads="1"/>
                      </wps:cNvSpPr>
                      <wps:spPr bwMode="auto">
                        <a:xfrm>
                          <a:off x="0" y="0"/>
                          <a:ext cx="915670" cy="387985"/>
                        </a:xfrm>
                        <a:prstGeom prst="rect">
                          <a:avLst/>
                        </a:prstGeom>
                        <a:noFill/>
                        <a:ln w="9525">
                          <a:solidFill>
                            <a:srgbClr val="000000"/>
                          </a:solidFill>
                          <a:miter lim="800000"/>
                        </a:ln>
                        <a:effectLst/>
                      </wps:spPr>
                      <wps:txbx>
                        <w:txbxContent>
                          <w:p w14:paraId="103590BD">
                            <w:pPr>
                              <w:spacing w:line="240" w:lineRule="exact"/>
                              <w:jc w:val="center"/>
                              <w:rPr>
                                <w:rFonts w:hAnsi="宋体" w:eastAsia="宋体"/>
                                <w:kern w:val="0"/>
                                <w:sz w:val="21"/>
                                <w:szCs w:val="21"/>
                              </w:rPr>
                            </w:pPr>
                            <w:r>
                              <w:rPr>
                                <w:rFonts w:hint="eastAsia" w:hAnsi="宋体" w:eastAsia="宋体"/>
                                <w:kern w:val="0"/>
                                <w:sz w:val="21"/>
                                <w:szCs w:val="21"/>
                              </w:rPr>
                              <w:t>环境现状调查</w:t>
                            </w:r>
                          </w:p>
                          <w:p w14:paraId="71FE692A">
                            <w:pPr>
                              <w:spacing w:line="240" w:lineRule="exact"/>
                              <w:jc w:val="center"/>
                              <w:rPr>
                                <w:sz w:val="21"/>
                                <w:szCs w:val="21"/>
                              </w:rPr>
                            </w:pPr>
                            <w:r>
                              <w:rPr>
                                <w:rFonts w:hint="eastAsia" w:hAnsi="宋体" w:eastAsia="宋体"/>
                                <w:kern w:val="0"/>
                                <w:sz w:val="21"/>
                                <w:szCs w:val="21"/>
                              </w:rPr>
                              <w:t>监测与评</w:t>
                            </w:r>
                            <w:r>
                              <w:rPr>
                                <w:rFonts w:hint="eastAsia"/>
                                <w:sz w:val="21"/>
                                <w:szCs w:val="21"/>
                              </w:rPr>
                              <w:t>价</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00.55pt;margin-top:23.65pt;height:30.55pt;width:72.1pt;z-index:251667456;mso-width-relative:page;mso-height-relative:page;" filled="f" stroked="t" coordsize="21600,21600" o:gfxdata="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bqwjWAAAACgEAAA8AAAAAAAAAAQAgAAAAIgAAAGRycy9kb3ducmV2LnhtbFBLAQIU&#10;ABQAAAAIAIdO4kCGwCjbLgIAAFAEAAAOAAAAAAAAAAEAIAAAACUBAABkcnMvZTJvRG9jLnhtbFBL&#10;BQYAAAAABgAGAFkBAADFBQAAAAA=&#10;">
                <v:fill on="f" focussize="0,0"/>
                <v:stroke color="#000000" miterlimit="8" joinstyle="miter"/>
                <v:imagedata o:title=""/>
                <o:lock v:ext="edit" aspectratio="f"/>
                <v:textbox inset="0mm,0mm,0mm,0mm">
                  <w:txbxContent>
                    <w:p w14:paraId="103590BD">
                      <w:pPr>
                        <w:spacing w:line="240" w:lineRule="exact"/>
                        <w:jc w:val="center"/>
                        <w:rPr>
                          <w:rFonts w:hAnsi="宋体" w:eastAsia="宋体"/>
                          <w:kern w:val="0"/>
                          <w:sz w:val="21"/>
                          <w:szCs w:val="21"/>
                        </w:rPr>
                      </w:pPr>
                      <w:r>
                        <w:rPr>
                          <w:rFonts w:hint="eastAsia" w:hAnsi="宋体" w:eastAsia="宋体"/>
                          <w:kern w:val="0"/>
                          <w:sz w:val="21"/>
                          <w:szCs w:val="21"/>
                        </w:rPr>
                        <w:t>环境现状调查</w:t>
                      </w:r>
                    </w:p>
                    <w:p w14:paraId="71FE692A">
                      <w:pPr>
                        <w:spacing w:line="240" w:lineRule="exact"/>
                        <w:jc w:val="center"/>
                        <w:rPr>
                          <w:sz w:val="21"/>
                          <w:szCs w:val="21"/>
                        </w:rPr>
                      </w:pPr>
                      <w:r>
                        <w:rPr>
                          <w:rFonts w:hint="eastAsia" w:hAnsi="宋体" w:eastAsia="宋体"/>
                          <w:kern w:val="0"/>
                          <w:sz w:val="21"/>
                          <w:szCs w:val="21"/>
                        </w:rPr>
                        <w:t>监测与评</w:t>
                      </w:r>
                      <w:r>
                        <w:rPr>
                          <w:rFonts w:hint="eastAsia"/>
                          <w:sz w:val="21"/>
                          <w:szCs w:val="21"/>
                        </w:rPr>
                        <w:t>价</w:t>
                      </w:r>
                    </w:p>
                  </w:txbxContent>
                </v:textbox>
              </v:rect>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-1905</wp:posOffset>
                </wp:positionH>
                <wp:positionV relativeFrom="paragraph">
                  <wp:posOffset>17145</wp:posOffset>
                </wp:positionV>
                <wp:extent cx="5718810" cy="0"/>
                <wp:effectExtent l="0" t="4445" r="0" b="5080"/>
                <wp:wrapNone/>
                <wp:docPr id="76" name="直接连接符 76"/>
                <wp:cNvGraphicFramePr/>
                <a:graphic xmlns:a="http://schemas.openxmlformats.org/drawingml/2006/main">
                  <a:graphicData uri="http://schemas.microsoft.com/office/word/2010/wordprocessingShape">
                    <wps:wsp>
                      <wps:cNvCnPr>
                        <a:cxnSpLocks noChangeShapeType="1"/>
                      </wps:cNvCnPr>
                      <wps:spPr bwMode="auto">
                        <a:xfrm>
                          <a:off x="0" y="0"/>
                          <a:ext cx="5718810" cy="0"/>
                        </a:xfrm>
                        <a:prstGeom prst="line">
                          <a:avLst/>
                        </a:prstGeom>
                        <a:noFill/>
                        <a:ln w="9525">
                          <a:solidFill>
                            <a:srgbClr val="000000"/>
                          </a:solidFill>
                          <a:prstDash val="dash"/>
                          <a:round/>
                        </a:ln>
                        <a:effectLst/>
                      </wps:spPr>
                      <wps:bodyPr/>
                    </wps:wsp>
                  </a:graphicData>
                </a:graphic>
              </wp:anchor>
            </w:drawing>
          </mc:Choice>
          <mc:Fallback>
            <w:pict>
              <v:line id="_x0000_s1026" o:spid="_x0000_s1026" o:spt="20" style="position:absolute;left:0pt;margin-left:-0.15pt;margin-top:1.35pt;height:0pt;width:450.3pt;z-index:251679744;mso-width-relative:page;mso-height-relative:page;" filled="f" stroked="t" coordsize="21600,21600" o:gfxdata="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FQ3PFHTAAAABQEAAA8AAAAAAAAAAQAgAAAAIgAAAGRycy9kb3ducmV2LnhtbFBLAQIUABQA&#10;AAAIAIdO4kC7wyxy9QEAANIDAAAOAAAAAAAAAAEAIAAAACIBAABkcnMvZTJvRG9jLnhtbFBLBQYA&#10;AAAABgAGAFkBAACJBQAAAAA=&#10;">
                <v:fill on="f" focussize="0,0"/>
                <v:stroke color="#000000" joinstyle="round" dashstyle="dash"/>
                <v:imagedata o:title=""/>
                <o:lock v:ext="edit" aspectratio="f"/>
              </v:lin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1731645</wp:posOffset>
                </wp:positionH>
                <wp:positionV relativeFrom="paragraph">
                  <wp:posOffset>132080</wp:posOffset>
                </wp:positionV>
                <wp:extent cx="0" cy="177165"/>
                <wp:effectExtent l="4445" t="0" r="14605" b="13335"/>
                <wp:wrapNone/>
                <wp:docPr id="75" name="直接连接符 75"/>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36.35pt;margin-top:10.4pt;height:13.95pt;width:0pt;z-index:251665408;mso-width-relative:page;mso-height-relative:page;" filled="f" stroked="t" coordsize="21600,21600" o:gfxdata="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7dkFjW&#10;AAAACQEAAA8AAAAAAAAAAQAgAAAAIgAAAGRycy9kb3ducmV2LnhtbFBLAQIUABQAAAAIAIdO4kCo&#10;2Y+f6QEAALkDAAAOAAAAAAAAAAEAIAAAACUBAABkcnMvZTJvRG9jLnhtbFBLBQYAAAAABgAGAFkB&#10;AACA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3522345</wp:posOffset>
                </wp:positionH>
                <wp:positionV relativeFrom="paragraph">
                  <wp:posOffset>130810</wp:posOffset>
                </wp:positionV>
                <wp:extent cx="0" cy="177165"/>
                <wp:effectExtent l="4445" t="0" r="14605" b="13335"/>
                <wp:wrapNone/>
                <wp:docPr id="74" name="直接连接符 74"/>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277.35pt;margin-top:10.3pt;height:13.95pt;width:0pt;z-index:251666432;mso-width-relative:page;mso-height-relative:page;" filled="f" stroked="t" coordsize="21600,21600" o:gfxdata="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V0zqbX&#10;AAAACQEAAA8AAAAAAAAAAQAgAAAAIgAAAGRycy9kb3ducmV2LnhtbFBLAQIUABQAAAAIAIdO4kBi&#10;XFi76AEAALkDAAAOAAAAAAAAAAEAIAAAACYBAABkcnMvZTJvRG9jLnhtbFBLBQYAAAAABgAGAFkB&#10;AACA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1734820</wp:posOffset>
                </wp:positionH>
                <wp:positionV relativeFrom="paragraph">
                  <wp:posOffset>132080</wp:posOffset>
                </wp:positionV>
                <wp:extent cx="1782445" cy="0"/>
                <wp:effectExtent l="0" t="4445" r="0" b="5080"/>
                <wp:wrapNone/>
                <wp:docPr id="63" name="直接连接符 63"/>
                <wp:cNvGraphicFramePr/>
                <a:graphic xmlns:a="http://schemas.openxmlformats.org/drawingml/2006/main">
                  <a:graphicData uri="http://schemas.microsoft.com/office/word/2010/wordprocessingShape">
                    <wps:wsp>
                      <wps:cNvCnPr>
                        <a:cxnSpLocks noChangeShapeType="1"/>
                      </wps:cNvCnPr>
                      <wps:spPr bwMode="auto">
                        <a:xfrm>
                          <a:off x="0" y="0"/>
                          <a:ext cx="1782445"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36.6pt;margin-top:10.4pt;height:0pt;width:140.35pt;z-index:251664384;mso-width-relative:page;mso-height-relative:page;" filled="f" stroked="t" coordsize="21600,21600" o:gfxdata="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MgS0&#10;XdYAAAAJAQAADwAAAAAAAAABACAAAAAiAAAAZHJzL2Rvd25yZXYueG1sUEsBAhQAFAAAAAgAh07i&#10;QF49Wm7rAQAAugMAAA4AAAAAAAAAAQAgAAAAJQEAAGRycy9lMm9Eb2MueG1sUEsFBgAAAAAGAAYA&#10;WQEAAIIFAAAAAA==&#10;">
                <v:fill on="f" focussize="0,0"/>
                <v:stroke color="#000000" joinstyle="round"/>
                <v:imagedata o:title=""/>
                <o:lock v:ext="edit" aspectratio="f"/>
              </v:line>
            </w:pict>
          </mc:Fallback>
        </mc:AlternateContent>
      </w:r>
    </w:p>
    <w:p w14:paraId="2E823DD1">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1792" behindDoc="0" locked="0" layoutInCell="1" allowOverlap="1">
                <wp:simplePos x="0" y="0"/>
                <wp:positionH relativeFrom="column">
                  <wp:posOffset>168275</wp:posOffset>
                </wp:positionH>
                <wp:positionV relativeFrom="paragraph">
                  <wp:posOffset>40640</wp:posOffset>
                </wp:positionV>
                <wp:extent cx="504190" cy="1000760"/>
                <wp:effectExtent l="0" t="0" r="0" b="0"/>
                <wp:wrapNone/>
                <wp:docPr id="72" name="矩形 72"/>
                <wp:cNvGraphicFramePr/>
                <a:graphic xmlns:a="http://schemas.openxmlformats.org/drawingml/2006/main">
                  <a:graphicData uri="http://schemas.microsoft.com/office/word/2010/wordprocessingShape">
                    <wps:wsp>
                      <wps:cNvSpPr>
                        <a:spLocks noChangeArrowheads="1"/>
                      </wps:cNvSpPr>
                      <wps:spPr bwMode="auto">
                        <a:xfrm>
                          <a:off x="0" y="0"/>
                          <a:ext cx="504190" cy="1000760"/>
                        </a:xfrm>
                        <a:prstGeom prst="rect">
                          <a:avLst/>
                        </a:prstGeom>
                        <a:noFill/>
                        <a:ln>
                          <a:noFill/>
                        </a:ln>
                        <a:effectLst/>
                      </wps:spPr>
                      <wps:txbx>
                        <w:txbxContent>
                          <w:p w14:paraId="79181594">
                            <w:pPr>
                              <w:pStyle w:val="523"/>
                              <w:spacing w:line="300" w:lineRule="exact"/>
                              <w:ind w:firstLine="0" w:firstLineChars="0"/>
                              <w:rPr>
                                <w:rFonts w:hAnsi="宋体" w:eastAsia="宋体"/>
                                <w:sz w:val="21"/>
                                <w:szCs w:val="21"/>
                              </w:rPr>
                            </w:pPr>
                            <w:r>
                              <w:rPr>
                                <w:rFonts w:hint="eastAsia" w:hAnsi="宋体" w:eastAsia="宋体"/>
                                <w:sz w:val="21"/>
                                <w:szCs w:val="21"/>
                              </w:rPr>
                              <w:t>第</w:t>
                            </w:r>
                          </w:p>
                          <w:p w14:paraId="2C00D5CA">
                            <w:pPr>
                              <w:pStyle w:val="523"/>
                              <w:spacing w:line="300" w:lineRule="exact"/>
                              <w:ind w:firstLine="0" w:firstLineChars="0"/>
                              <w:rPr>
                                <w:rFonts w:hAnsi="宋体" w:eastAsia="宋体"/>
                                <w:sz w:val="21"/>
                                <w:szCs w:val="21"/>
                              </w:rPr>
                            </w:pPr>
                            <w:r>
                              <w:rPr>
                                <w:rFonts w:hint="eastAsia" w:hAnsi="宋体" w:eastAsia="宋体"/>
                                <w:sz w:val="21"/>
                                <w:szCs w:val="21"/>
                              </w:rPr>
                              <w:t>二</w:t>
                            </w:r>
                          </w:p>
                          <w:p w14:paraId="37166626">
                            <w:pPr>
                              <w:pStyle w:val="523"/>
                              <w:spacing w:line="300" w:lineRule="exact"/>
                              <w:ind w:firstLine="0" w:firstLineChars="0"/>
                              <w:rPr>
                                <w:rFonts w:hAnsi="宋体" w:eastAsia="宋体"/>
                                <w:sz w:val="21"/>
                                <w:szCs w:val="21"/>
                              </w:rPr>
                            </w:pPr>
                            <w:r>
                              <w:rPr>
                                <w:rFonts w:hint="eastAsia" w:hAnsi="宋体" w:eastAsia="宋体"/>
                                <w:sz w:val="21"/>
                                <w:szCs w:val="21"/>
                              </w:rPr>
                              <w:t>阶</w:t>
                            </w:r>
                          </w:p>
                          <w:p w14:paraId="71598962">
                            <w:pPr>
                              <w:pStyle w:val="523"/>
                              <w:spacing w:line="300" w:lineRule="exact"/>
                              <w:ind w:firstLine="0" w:firstLineChars="0"/>
                              <w:rPr>
                                <w:rFonts w:hAnsi="宋体" w:eastAsia="宋体"/>
                                <w:sz w:val="21"/>
                                <w:szCs w:val="21"/>
                              </w:rPr>
                            </w:pPr>
                            <w:r>
                              <w:rPr>
                                <w:rFonts w:hint="eastAsia" w:hAnsi="宋体" w:eastAsia="宋体"/>
                                <w:sz w:val="21"/>
                                <w:szCs w:val="21"/>
                              </w:rPr>
                              <w:t>段</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3.25pt;margin-top:3.2pt;height:78.8pt;width:39.7pt;z-index:251681792;mso-width-relative:page;mso-height-relative:page;" filled="f" stroked="f" coordsize="21600,21600" o:gfxdata="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iSmmdkAAAAIAQAADwAAAAAA&#10;AAABACAAAAAiAAAAZHJzL2Rvd25yZXYueG1sUEsBAhQAFAAAAAgAh07iQPf4dG8SAgAAGAQAAA4A&#10;AAAAAAAAAQAgAAAAKAEAAGRycy9lMm9Eb2MueG1sUEsFBgAAAAAGAAYAWQEAAKwFAAAAAA==&#10;">
                <v:fill on="f" focussize="0,0"/>
                <v:stroke on="f"/>
                <v:imagedata o:title=""/>
                <o:lock v:ext="edit" aspectratio="f"/>
                <v:textbox>
                  <w:txbxContent>
                    <w:p w14:paraId="79181594">
                      <w:pPr>
                        <w:pStyle w:val="523"/>
                        <w:spacing w:line="300" w:lineRule="exact"/>
                        <w:ind w:firstLine="0" w:firstLineChars="0"/>
                        <w:rPr>
                          <w:rFonts w:hAnsi="宋体" w:eastAsia="宋体"/>
                          <w:sz w:val="21"/>
                          <w:szCs w:val="21"/>
                        </w:rPr>
                      </w:pPr>
                      <w:r>
                        <w:rPr>
                          <w:rFonts w:hint="eastAsia" w:hAnsi="宋体" w:eastAsia="宋体"/>
                          <w:sz w:val="21"/>
                          <w:szCs w:val="21"/>
                        </w:rPr>
                        <w:t>第</w:t>
                      </w:r>
                    </w:p>
                    <w:p w14:paraId="2C00D5CA">
                      <w:pPr>
                        <w:pStyle w:val="523"/>
                        <w:spacing w:line="300" w:lineRule="exact"/>
                        <w:ind w:firstLine="0" w:firstLineChars="0"/>
                        <w:rPr>
                          <w:rFonts w:hAnsi="宋体" w:eastAsia="宋体"/>
                          <w:sz w:val="21"/>
                          <w:szCs w:val="21"/>
                        </w:rPr>
                      </w:pPr>
                      <w:r>
                        <w:rPr>
                          <w:rFonts w:hint="eastAsia" w:hAnsi="宋体" w:eastAsia="宋体"/>
                          <w:sz w:val="21"/>
                          <w:szCs w:val="21"/>
                        </w:rPr>
                        <w:t>二</w:t>
                      </w:r>
                    </w:p>
                    <w:p w14:paraId="37166626">
                      <w:pPr>
                        <w:pStyle w:val="523"/>
                        <w:spacing w:line="300" w:lineRule="exact"/>
                        <w:ind w:firstLine="0" w:firstLineChars="0"/>
                        <w:rPr>
                          <w:rFonts w:hAnsi="宋体" w:eastAsia="宋体"/>
                          <w:sz w:val="21"/>
                          <w:szCs w:val="21"/>
                        </w:rPr>
                      </w:pPr>
                      <w:r>
                        <w:rPr>
                          <w:rFonts w:hint="eastAsia" w:hAnsi="宋体" w:eastAsia="宋体"/>
                          <w:sz w:val="21"/>
                          <w:szCs w:val="21"/>
                        </w:rPr>
                        <w:t>阶</w:t>
                      </w:r>
                    </w:p>
                    <w:p w14:paraId="71598962">
                      <w:pPr>
                        <w:pStyle w:val="523"/>
                        <w:spacing w:line="300" w:lineRule="exact"/>
                        <w:ind w:firstLine="0" w:firstLineChars="0"/>
                        <w:rPr>
                          <w:rFonts w:hAnsi="宋体" w:eastAsia="宋体"/>
                          <w:sz w:val="21"/>
                          <w:szCs w:val="21"/>
                        </w:rPr>
                      </w:pPr>
                      <w:r>
                        <w:rPr>
                          <w:rFonts w:hint="eastAsia" w:hAnsi="宋体" w:eastAsia="宋体"/>
                          <w:sz w:val="21"/>
                          <w:szCs w:val="21"/>
                        </w:rPr>
                        <w:t>段</w:t>
                      </w:r>
                    </w:p>
                  </w:txbxContent>
                </v:textbox>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3059430</wp:posOffset>
                </wp:positionH>
                <wp:positionV relativeFrom="paragraph">
                  <wp:posOffset>1270</wp:posOffset>
                </wp:positionV>
                <wp:extent cx="915670" cy="367665"/>
                <wp:effectExtent l="5080" t="4445" r="12700" b="8890"/>
                <wp:wrapNone/>
                <wp:docPr id="71" name="矩形 71"/>
                <wp:cNvGraphicFramePr/>
                <a:graphic xmlns:a="http://schemas.openxmlformats.org/drawingml/2006/main">
                  <a:graphicData uri="http://schemas.microsoft.com/office/word/2010/wordprocessingShape">
                    <wps:wsp>
                      <wps:cNvSpPr>
                        <a:spLocks noChangeArrowheads="1"/>
                      </wps:cNvSpPr>
                      <wps:spPr bwMode="auto">
                        <a:xfrm>
                          <a:off x="0" y="0"/>
                          <a:ext cx="915670" cy="367665"/>
                        </a:xfrm>
                        <a:prstGeom prst="rect">
                          <a:avLst/>
                        </a:prstGeom>
                        <a:noFill/>
                        <a:ln w="9525">
                          <a:solidFill>
                            <a:srgbClr val="000000"/>
                          </a:solidFill>
                          <a:miter lim="800000"/>
                        </a:ln>
                        <a:effectLst/>
                      </wps:spPr>
                      <wps:txbx>
                        <w:txbxContent>
                          <w:p w14:paraId="5D083E39">
                            <w:pPr>
                              <w:pStyle w:val="523"/>
                              <w:spacing w:line="300" w:lineRule="exact"/>
                              <w:ind w:firstLine="0" w:firstLineChars="0"/>
                              <w:jc w:val="center"/>
                              <w:rPr>
                                <w:rFonts w:hAnsi="宋体" w:eastAsia="宋体"/>
                                <w:sz w:val="21"/>
                                <w:szCs w:val="21"/>
                              </w:rPr>
                            </w:pPr>
                            <w:r>
                              <w:rPr>
                                <w:rFonts w:hint="eastAsia" w:hAnsi="宋体" w:eastAsia="宋体"/>
                                <w:sz w:val="21"/>
                                <w:szCs w:val="21"/>
                              </w:rPr>
                              <w:t>建设项目</w:t>
                            </w:r>
                          </w:p>
                          <w:p w14:paraId="204807B2">
                            <w:pPr>
                              <w:pStyle w:val="523"/>
                              <w:spacing w:line="300" w:lineRule="exact"/>
                              <w:ind w:firstLine="0" w:firstLineChars="0"/>
                              <w:jc w:val="center"/>
                              <w:rPr>
                                <w:rFonts w:hAnsi="宋体" w:eastAsia="宋体"/>
                                <w:sz w:val="21"/>
                                <w:szCs w:val="21"/>
                              </w:rPr>
                            </w:pPr>
                            <w:r>
                              <w:rPr>
                                <w:rFonts w:hint="eastAsia" w:hAnsi="宋体" w:eastAsia="宋体"/>
                                <w:sz w:val="21"/>
                                <w:szCs w:val="21"/>
                              </w:rPr>
                              <w:t>工程分析</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240.9pt;margin-top:0.1pt;height:28.95pt;width:72.1pt;z-index:251668480;mso-width-relative:page;mso-height-relative:page;" filled="f" stroked="t" coordsize="21600,21600" o:gfxdata="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IiRmx3TAAAABwEAAA8AAAAAAAAAAQAgAAAAIgAAAGRycy9kb3ducmV2LnhtbFBLAQIUABQA&#10;AAAIAIdO4kAArywoLgIAAFAEAAAOAAAAAAAAAAEAIAAAACIBAABkcnMvZTJvRG9jLnhtbFBLBQYA&#10;AAAABgAGAFkBAADCBQAAAAA=&#10;">
                <v:fill on="f" focussize="0,0"/>
                <v:stroke color="#000000" miterlimit="8" joinstyle="miter"/>
                <v:imagedata o:title=""/>
                <o:lock v:ext="edit" aspectratio="f"/>
                <v:textbox inset="0mm,0mm,0mm,0mm">
                  <w:txbxContent>
                    <w:p w14:paraId="5D083E39">
                      <w:pPr>
                        <w:pStyle w:val="523"/>
                        <w:spacing w:line="300" w:lineRule="exact"/>
                        <w:ind w:firstLine="0" w:firstLineChars="0"/>
                        <w:jc w:val="center"/>
                        <w:rPr>
                          <w:rFonts w:hAnsi="宋体" w:eastAsia="宋体"/>
                          <w:sz w:val="21"/>
                          <w:szCs w:val="21"/>
                        </w:rPr>
                      </w:pPr>
                      <w:r>
                        <w:rPr>
                          <w:rFonts w:hint="eastAsia" w:hAnsi="宋体" w:eastAsia="宋体"/>
                          <w:sz w:val="21"/>
                          <w:szCs w:val="21"/>
                        </w:rPr>
                        <w:t>建设项目</w:t>
                      </w:r>
                    </w:p>
                    <w:p w14:paraId="204807B2">
                      <w:pPr>
                        <w:pStyle w:val="523"/>
                        <w:spacing w:line="300" w:lineRule="exact"/>
                        <w:ind w:firstLine="0" w:firstLineChars="0"/>
                        <w:jc w:val="center"/>
                        <w:rPr>
                          <w:rFonts w:hAnsi="宋体" w:eastAsia="宋体"/>
                          <w:sz w:val="21"/>
                          <w:szCs w:val="21"/>
                        </w:rPr>
                      </w:pPr>
                      <w:r>
                        <w:rPr>
                          <w:rFonts w:hint="eastAsia" w:hAnsi="宋体" w:eastAsia="宋体"/>
                          <w:sz w:val="21"/>
                          <w:szCs w:val="21"/>
                        </w:rPr>
                        <w:t>工程分析</w:t>
                      </w:r>
                    </w:p>
                  </w:txbxContent>
                </v:textbox>
              </v:rect>
            </w:pict>
          </mc:Fallback>
        </mc:AlternateContent>
      </w:r>
    </w:p>
    <w:p w14:paraId="558A396A">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3600" behindDoc="0" locked="0" layoutInCell="1" allowOverlap="1">
                <wp:simplePos x="0" y="0"/>
                <wp:positionH relativeFrom="column">
                  <wp:posOffset>2656205</wp:posOffset>
                </wp:positionH>
                <wp:positionV relativeFrom="paragraph">
                  <wp:posOffset>243205</wp:posOffset>
                </wp:positionV>
                <wp:extent cx="0" cy="205105"/>
                <wp:effectExtent l="38100" t="0" r="38100" b="4445"/>
                <wp:wrapNone/>
                <wp:docPr id="70" name="直接连接符 70"/>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09.15pt;margin-top:19.15pt;height:16.15pt;width:0pt;z-index:251673600;mso-width-relative:page;mso-height-relative:page;" filled="f" stroked="t" coordsize="21600,21600" o:gfxdata="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u05fdgAAAAJAQAADwAAAAAAAAABACAAAAAiAAAAZHJzL2Rv&#10;d25yZXYueG1sUEsBAhQAFAAAAAgAh07iQCmNomsBAgAA5wMAAA4AAAAAAAAAAQAgAAAAJwEAAGRy&#10;cy9lMm9Eb2MueG1sUEsFBgAAAAAGAAYAWQEAAJoFAAAAAA==&#10;">
                <v:fill on="f" focussize="0,0"/>
                <v:stroke color="#000000" joinstyle="round" endarrow="block"/>
                <v:imagedata o:title=""/>
                <o:lock v:ext="edit" aspectratio="f"/>
              </v:lin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3528060</wp:posOffset>
                </wp:positionH>
                <wp:positionV relativeFrom="paragraph">
                  <wp:posOffset>59690</wp:posOffset>
                </wp:positionV>
                <wp:extent cx="0" cy="177165"/>
                <wp:effectExtent l="4445" t="0" r="14605" b="13335"/>
                <wp:wrapNone/>
                <wp:docPr id="69" name="直接连接符 69"/>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277.8pt;margin-top:4.7pt;height:13.95pt;width:0pt;z-index:251671552;mso-width-relative:page;mso-height-relative:page;" filled="f" stroked="t" coordsize="21600,21600" o:gfxdata="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20JvH9YA&#10;AAAIAQAADwAAAAAAAAABACAAAAAiAAAAZHJzL2Rvd25yZXYueG1sUEsBAhQAFAAAAAgAh07iQLoa&#10;iYroAQAAuQMAAA4AAAAAAAAAAQAgAAAAJQEAAGRycy9lMm9Eb2MueG1sUEsFBgAAAAAGAAYAWQEA&#10;AH8FA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1738630</wp:posOffset>
                </wp:positionH>
                <wp:positionV relativeFrom="paragraph">
                  <wp:posOffset>235585</wp:posOffset>
                </wp:positionV>
                <wp:extent cx="1782445" cy="0"/>
                <wp:effectExtent l="0" t="4445" r="0" b="5080"/>
                <wp:wrapNone/>
                <wp:docPr id="68" name="直接连接符 68"/>
                <wp:cNvGraphicFramePr/>
                <a:graphic xmlns:a="http://schemas.openxmlformats.org/drawingml/2006/main">
                  <a:graphicData uri="http://schemas.microsoft.com/office/word/2010/wordprocessingShape">
                    <wps:wsp>
                      <wps:cNvCnPr>
                        <a:cxnSpLocks noChangeShapeType="1"/>
                      </wps:cNvCnPr>
                      <wps:spPr bwMode="auto">
                        <a:xfrm>
                          <a:off x="0" y="0"/>
                          <a:ext cx="1782445"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36.9pt;margin-top:18.55pt;height:0pt;width:140.35pt;z-index:251669504;mso-width-relative:page;mso-height-relative:page;" filled="f" stroked="t" coordsize="21600,21600" o:gfxdata="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G22&#10;qdjXAAAACQEAAA8AAAAAAAAAAQAgAAAAIgAAAGRycy9kb3ducmV2LnhtbFBLAQIUABQAAAAIAIdO&#10;4kD51KmI6wEAALoDAAAOAAAAAAAAAAEAIAAAACYBAABkcnMvZTJvRG9jLnhtbFBLBQYAAAAABgAG&#10;AFkBAACDBQ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1736090</wp:posOffset>
                </wp:positionH>
                <wp:positionV relativeFrom="paragraph">
                  <wp:posOffset>54610</wp:posOffset>
                </wp:positionV>
                <wp:extent cx="0" cy="177165"/>
                <wp:effectExtent l="4445" t="0" r="14605" b="13335"/>
                <wp:wrapNone/>
                <wp:docPr id="67" name="直接连接符 67"/>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36.7pt;margin-top:4.3pt;height:13.95pt;width:0pt;z-index:251670528;mso-width-relative:page;mso-height-relative:page;" filled="f" stroked="t" coordsize="21600,21600" o:gfxdata="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0HunfVAAAA&#10;CAEAAA8AAAAAAAAAAQAgAAAAIgAAAGRycy9kb3ducmV2LnhtbFBLAQIUABQAAAAIAIdO4kAXLrWt&#10;5wEAALkDAAAOAAAAAAAAAAEAIAAAACQBAABkcnMvZTJvRG9jLnhtbFBLBQYAAAAABgAGAFkBAAB9&#10;BQAAAAA=&#10;">
                <v:fill on="f" focussize="0,0"/>
                <v:stroke color="#000000" joinstyle="round"/>
                <v:imagedata o:title=""/>
                <o:lock v:ext="edit" aspectratio="f"/>
              </v:line>
            </w:pict>
          </mc:Fallback>
        </mc:AlternateContent>
      </w:r>
    </w:p>
    <w:p w14:paraId="32C98414">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2576" behindDoc="0" locked="0" layoutInCell="1" allowOverlap="1">
                <wp:simplePos x="0" y="0"/>
                <wp:positionH relativeFrom="column">
                  <wp:posOffset>1569720</wp:posOffset>
                </wp:positionH>
                <wp:positionV relativeFrom="paragraph">
                  <wp:posOffset>140335</wp:posOffset>
                </wp:positionV>
                <wp:extent cx="2187575" cy="396875"/>
                <wp:effectExtent l="4445" t="4445" r="17780" b="17780"/>
                <wp:wrapNone/>
                <wp:docPr id="66" name="矩形 66"/>
                <wp:cNvGraphicFramePr/>
                <a:graphic xmlns:a="http://schemas.openxmlformats.org/drawingml/2006/main">
                  <a:graphicData uri="http://schemas.microsoft.com/office/word/2010/wordprocessingShape">
                    <wps:wsp>
                      <wps:cNvSpPr>
                        <a:spLocks noChangeArrowheads="1"/>
                      </wps:cNvSpPr>
                      <wps:spPr bwMode="auto">
                        <a:xfrm>
                          <a:off x="0" y="0"/>
                          <a:ext cx="2187575" cy="396875"/>
                        </a:xfrm>
                        <a:prstGeom prst="rect">
                          <a:avLst/>
                        </a:prstGeom>
                        <a:noFill/>
                        <a:ln w="9525">
                          <a:solidFill>
                            <a:srgbClr val="000000"/>
                          </a:solidFill>
                          <a:miter lim="800000"/>
                        </a:ln>
                        <a:effectLst/>
                      </wps:spPr>
                      <wps:txbx>
                        <w:txbxContent>
                          <w:p w14:paraId="11E7F844">
                            <w:pPr>
                              <w:pStyle w:val="523"/>
                              <w:spacing w:line="300" w:lineRule="exact"/>
                              <w:ind w:firstLine="0" w:firstLineChars="0"/>
                              <w:rPr>
                                <w:rFonts w:hAnsi="宋体" w:eastAsia="宋体"/>
                                <w:sz w:val="21"/>
                                <w:szCs w:val="21"/>
                              </w:rPr>
                            </w:pPr>
                            <w:r>
                              <w:rPr>
                                <w:rFonts w:hint="eastAsia" w:hAnsi="宋体" w:eastAsia="宋体"/>
                                <w:sz w:val="21"/>
                                <w:szCs w:val="21"/>
                              </w:rPr>
                              <w:t>1 各环境要素环境影响预测与评价</w:t>
                            </w:r>
                          </w:p>
                          <w:p w14:paraId="0B2C0F37">
                            <w:pPr>
                              <w:pStyle w:val="523"/>
                              <w:spacing w:line="300" w:lineRule="exact"/>
                              <w:ind w:firstLine="0" w:firstLineChars="0"/>
                              <w:rPr>
                                <w:rFonts w:hAnsi="宋体" w:eastAsia="宋体"/>
                                <w:sz w:val="21"/>
                                <w:szCs w:val="21"/>
                              </w:rPr>
                            </w:pPr>
                            <w:r>
                              <w:rPr>
                                <w:rFonts w:hint="eastAsia" w:hAnsi="宋体" w:eastAsia="宋体"/>
                                <w:sz w:val="21"/>
                                <w:szCs w:val="21"/>
                              </w:rPr>
                              <w:t>2 各专题环境影响分析与评价</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23.6pt;margin-top:11.05pt;height:31.25pt;width:172.25pt;z-index:251672576;mso-width-relative:page;mso-height-relative:page;" filled="f" stroked="t" coordsize="21600,21600" o:gfxdata="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p2biQ1gAAAAkBAAAPAAAAAAAAAAEAIAAAACIAAABkcnMvZG93bnJldi54bWxQSwEC&#10;FAAUAAAACACHTuJAjlpBji8CAABRBAAADgAAAAAAAAABACAAAAAlAQAAZHJzL2Uyb0RvYy54bWxQ&#10;SwUGAAAAAAYABgBZAQAAxgUAAAAA&#10;">
                <v:fill on="f" focussize="0,0"/>
                <v:stroke color="#000000" miterlimit="8" joinstyle="miter"/>
                <v:imagedata o:title=""/>
                <o:lock v:ext="edit" aspectratio="f"/>
                <v:textbox inset="0mm,0mm,0mm,0mm">
                  <w:txbxContent>
                    <w:p w14:paraId="11E7F844">
                      <w:pPr>
                        <w:pStyle w:val="523"/>
                        <w:spacing w:line="300" w:lineRule="exact"/>
                        <w:ind w:firstLine="0" w:firstLineChars="0"/>
                        <w:rPr>
                          <w:rFonts w:hAnsi="宋体" w:eastAsia="宋体"/>
                          <w:sz w:val="21"/>
                          <w:szCs w:val="21"/>
                        </w:rPr>
                      </w:pPr>
                      <w:r>
                        <w:rPr>
                          <w:rFonts w:hint="eastAsia" w:hAnsi="宋体" w:eastAsia="宋体"/>
                          <w:sz w:val="21"/>
                          <w:szCs w:val="21"/>
                        </w:rPr>
                        <w:t>1 各环境要素环境影响预测与评价</w:t>
                      </w:r>
                    </w:p>
                    <w:p w14:paraId="0B2C0F37">
                      <w:pPr>
                        <w:pStyle w:val="523"/>
                        <w:spacing w:line="300" w:lineRule="exact"/>
                        <w:ind w:firstLine="0" w:firstLineChars="0"/>
                        <w:rPr>
                          <w:rFonts w:hAnsi="宋体" w:eastAsia="宋体"/>
                          <w:sz w:val="21"/>
                          <w:szCs w:val="21"/>
                        </w:rPr>
                      </w:pPr>
                      <w:r>
                        <w:rPr>
                          <w:rFonts w:hint="eastAsia" w:hAnsi="宋体" w:eastAsia="宋体"/>
                          <w:sz w:val="21"/>
                          <w:szCs w:val="21"/>
                        </w:rPr>
                        <w:t>2 各专题环境影响分析与评价</w:t>
                      </w:r>
                    </w:p>
                  </w:txbxContent>
                </v:textbox>
              </v:rect>
            </w:pict>
          </mc:Fallback>
        </mc:AlternateContent>
      </w:r>
    </w:p>
    <w:p w14:paraId="77DCD4AB">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4624" behindDoc="0" locked="0" layoutInCell="1" allowOverlap="1">
                <wp:simplePos x="0" y="0"/>
                <wp:positionH relativeFrom="column">
                  <wp:posOffset>2673350</wp:posOffset>
                </wp:positionH>
                <wp:positionV relativeFrom="paragraph">
                  <wp:posOffset>224155</wp:posOffset>
                </wp:positionV>
                <wp:extent cx="0" cy="297180"/>
                <wp:effectExtent l="38100" t="0" r="38100" b="7620"/>
                <wp:wrapNone/>
                <wp:docPr id="65" name="直接连接符 65"/>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10.5pt;margin-top:17.65pt;height:23.4pt;width:0pt;z-index:251674624;mso-width-relative:page;mso-height-relative:page;" filled="f" stroked="t" coordsize="21600,21600" o:gfxdata="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70N2NkAAAAJAQAADwAAAAAAAAABACAAAAAiAAAAZHJz&#10;L2Rvd25yZXYueG1sUEsBAhQAFAAAAAgAh07iQJrJ54YDAgAA5wMAAA4AAAAAAAAAAQAgAAAAKAEA&#10;AGRycy9lMm9Eb2MueG1sUEsFBgAAAAAGAAYAWQEAAJ0FAAAAAA==&#10;">
                <v:fill on="f" focussize="0,0"/>
                <v:stroke color="#000000" joinstyle="round" endarrow="block"/>
                <v:imagedata o:title=""/>
                <o:lock v:ext="edit" aspectratio="f"/>
              </v:line>
            </w:pict>
          </mc:Fallback>
        </mc:AlternateContent>
      </w:r>
    </w:p>
    <w:p w14:paraId="6DD7A96B">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82816" behindDoc="0" locked="0" layoutInCell="1" allowOverlap="1">
                <wp:simplePos x="0" y="0"/>
                <wp:positionH relativeFrom="column">
                  <wp:posOffset>177800</wp:posOffset>
                </wp:positionH>
                <wp:positionV relativeFrom="paragraph">
                  <wp:posOffset>273050</wp:posOffset>
                </wp:positionV>
                <wp:extent cx="504190" cy="1000760"/>
                <wp:effectExtent l="0" t="0" r="0" b="0"/>
                <wp:wrapNone/>
                <wp:docPr id="64" name="矩形 64"/>
                <wp:cNvGraphicFramePr/>
                <a:graphic xmlns:a="http://schemas.openxmlformats.org/drawingml/2006/main">
                  <a:graphicData uri="http://schemas.microsoft.com/office/word/2010/wordprocessingShape">
                    <wps:wsp>
                      <wps:cNvSpPr>
                        <a:spLocks noChangeArrowheads="1"/>
                      </wps:cNvSpPr>
                      <wps:spPr bwMode="auto">
                        <a:xfrm>
                          <a:off x="0" y="0"/>
                          <a:ext cx="504190" cy="1000760"/>
                        </a:xfrm>
                        <a:prstGeom prst="rect">
                          <a:avLst/>
                        </a:prstGeom>
                        <a:noFill/>
                        <a:ln>
                          <a:noFill/>
                        </a:ln>
                        <a:effectLst/>
                      </wps:spPr>
                      <wps:txbx>
                        <w:txbxContent>
                          <w:p w14:paraId="0ABA9339">
                            <w:pPr>
                              <w:pStyle w:val="523"/>
                              <w:spacing w:line="300" w:lineRule="exact"/>
                              <w:ind w:firstLine="0" w:firstLineChars="0"/>
                              <w:rPr>
                                <w:rFonts w:hAnsi="宋体" w:eastAsia="宋体"/>
                                <w:sz w:val="21"/>
                                <w:szCs w:val="21"/>
                              </w:rPr>
                            </w:pPr>
                            <w:r>
                              <w:rPr>
                                <w:rFonts w:hint="eastAsia" w:hAnsi="宋体" w:eastAsia="宋体"/>
                                <w:sz w:val="21"/>
                                <w:szCs w:val="21"/>
                              </w:rPr>
                              <w:t>第</w:t>
                            </w:r>
                          </w:p>
                          <w:p w14:paraId="32AEAC01">
                            <w:pPr>
                              <w:pStyle w:val="523"/>
                              <w:spacing w:line="300" w:lineRule="exact"/>
                              <w:ind w:firstLine="0" w:firstLineChars="0"/>
                              <w:rPr>
                                <w:rFonts w:hAnsi="宋体" w:eastAsia="宋体"/>
                                <w:sz w:val="21"/>
                                <w:szCs w:val="21"/>
                              </w:rPr>
                            </w:pPr>
                            <w:r>
                              <w:rPr>
                                <w:rFonts w:hint="eastAsia" w:hAnsi="宋体" w:eastAsia="宋体"/>
                                <w:sz w:val="21"/>
                                <w:szCs w:val="21"/>
                              </w:rPr>
                              <w:t>三</w:t>
                            </w:r>
                          </w:p>
                          <w:p w14:paraId="720961FA">
                            <w:pPr>
                              <w:pStyle w:val="523"/>
                              <w:spacing w:line="300" w:lineRule="exact"/>
                              <w:ind w:firstLine="0" w:firstLineChars="0"/>
                              <w:rPr>
                                <w:rFonts w:hAnsi="宋体" w:eastAsia="宋体"/>
                                <w:sz w:val="21"/>
                                <w:szCs w:val="21"/>
                              </w:rPr>
                            </w:pPr>
                            <w:r>
                              <w:rPr>
                                <w:rFonts w:hint="eastAsia" w:hAnsi="宋体" w:eastAsia="宋体"/>
                                <w:sz w:val="21"/>
                                <w:szCs w:val="21"/>
                              </w:rPr>
                              <w:t>阶</w:t>
                            </w:r>
                          </w:p>
                          <w:p w14:paraId="6D0095D3">
                            <w:pPr>
                              <w:pStyle w:val="523"/>
                              <w:spacing w:line="300" w:lineRule="exact"/>
                              <w:ind w:firstLine="0" w:firstLineChars="0"/>
                              <w:rPr>
                                <w:rFonts w:hAnsi="宋体" w:eastAsia="宋体"/>
                                <w:sz w:val="21"/>
                                <w:szCs w:val="21"/>
                              </w:rPr>
                            </w:pPr>
                            <w:r>
                              <w:rPr>
                                <w:rFonts w:hint="eastAsia" w:hAnsi="宋体" w:eastAsia="宋体"/>
                                <w:sz w:val="21"/>
                                <w:szCs w:val="21"/>
                              </w:rPr>
                              <w:t>段</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4pt;margin-top:21.5pt;height:78.8pt;width:39.7pt;z-index:251682816;mso-width-relative:page;mso-height-relative:page;" filled="f" stroked="f" coordsize="21600,21600" o:gfxdata="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AyZaT2AAAAAkBAAAPAAAAAAAA&#10;AAEAIAAAACIAAABkcnMvZG93bnJldi54bWxQSwECFAAUAAAACACHTuJAKGgLpBICAAAYBAAADgAA&#10;AAAAAAABACAAAAAnAQAAZHJzL2Uyb0RvYy54bWxQSwUGAAAAAAYABgBZAQAAqwUAAAAA&#10;">
                <v:fill on="f" focussize="0,0"/>
                <v:stroke on="f"/>
                <v:imagedata o:title=""/>
                <o:lock v:ext="edit" aspectratio="f"/>
                <v:textbox>
                  <w:txbxContent>
                    <w:p w14:paraId="0ABA9339">
                      <w:pPr>
                        <w:pStyle w:val="523"/>
                        <w:spacing w:line="300" w:lineRule="exact"/>
                        <w:ind w:firstLine="0" w:firstLineChars="0"/>
                        <w:rPr>
                          <w:rFonts w:hAnsi="宋体" w:eastAsia="宋体"/>
                          <w:sz w:val="21"/>
                          <w:szCs w:val="21"/>
                        </w:rPr>
                      </w:pPr>
                      <w:r>
                        <w:rPr>
                          <w:rFonts w:hint="eastAsia" w:hAnsi="宋体" w:eastAsia="宋体"/>
                          <w:sz w:val="21"/>
                          <w:szCs w:val="21"/>
                        </w:rPr>
                        <w:t>第</w:t>
                      </w:r>
                    </w:p>
                    <w:p w14:paraId="32AEAC01">
                      <w:pPr>
                        <w:pStyle w:val="523"/>
                        <w:spacing w:line="300" w:lineRule="exact"/>
                        <w:ind w:firstLine="0" w:firstLineChars="0"/>
                        <w:rPr>
                          <w:rFonts w:hAnsi="宋体" w:eastAsia="宋体"/>
                          <w:sz w:val="21"/>
                          <w:szCs w:val="21"/>
                        </w:rPr>
                      </w:pPr>
                      <w:r>
                        <w:rPr>
                          <w:rFonts w:hint="eastAsia" w:hAnsi="宋体" w:eastAsia="宋体"/>
                          <w:sz w:val="21"/>
                          <w:szCs w:val="21"/>
                        </w:rPr>
                        <w:t>三</w:t>
                      </w:r>
                    </w:p>
                    <w:p w14:paraId="720961FA">
                      <w:pPr>
                        <w:pStyle w:val="523"/>
                        <w:spacing w:line="300" w:lineRule="exact"/>
                        <w:ind w:firstLine="0" w:firstLineChars="0"/>
                        <w:rPr>
                          <w:rFonts w:hAnsi="宋体" w:eastAsia="宋体"/>
                          <w:sz w:val="21"/>
                          <w:szCs w:val="21"/>
                        </w:rPr>
                      </w:pPr>
                      <w:r>
                        <w:rPr>
                          <w:rFonts w:hint="eastAsia" w:hAnsi="宋体" w:eastAsia="宋体"/>
                          <w:sz w:val="21"/>
                          <w:szCs w:val="21"/>
                        </w:rPr>
                        <w:t>阶</w:t>
                      </w:r>
                    </w:p>
                    <w:p w14:paraId="6D0095D3">
                      <w:pPr>
                        <w:pStyle w:val="523"/>
                        <w:spacing w:line="300" w:lineRule="exact"/>
                        <w:ind w:firstLine="0" w:firstLineChars="0"/>
                        <w:rPr>
                          <w:rFonts w:hAnsi="宋体" w:eastAsia="宋体"/>
                          <w:sz w:val="21"/>
                          <w:szCs w:val="21"/>
                        </w:rPr>
                      </w:pPr>
                      <w:r>
                        <w:rPr>
                          <w:rFonts w:hint="eastAsia" w:hAnsi="宋体" w:eastAsia="宋体"/>
                          <w:sz w:val="21"/>
                          <w:szCs w:val="21"/>
                        </w:rPr>
                        <w:t>段</w:t>
                      </w:r>
                    </w:p>
                  </w:txbxContent>
                </v:textbox>
              </v:rect>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0</wp:posOffset>
                </wp:positionH>
                <wp:positionV relativeFrom="paragraph">
                  <wp:posOffset>47625</wp:posOffset>
                </wp:positionV>
                <wp:extent cx="5718810" cy="0"/>
                <wp:effectExtent l="0" t="4445" r="0" b="5080"/>
                <wp:wrapNone/>
                <wp:docPr id="88" name="直接连接符 88"/>
                <wp:cNvGraphicFramePr/>
                <a:graphic xmlns:a="http://schemas.openxmlformats.org/drawingml/2006/main">
                  <a:graphicData uri="http://schemas.microsoft.com/office/word/2010/wordprocessingShape">
                    <wps:wsp>
                      <wps:cNvCnPr>
                        <a:cxnSpLocks noChangeShapeType="1"/>
                      </wps:cNvCnPr>
                      <wps:spPr bwMode="auto">
                        <a:xfrm>
                          <a:off x="0" y="0"/>
                          <a:ext cx="5718810" cy="0"/>
                        </a:xfrm>
                        <a:prstGeom prst="line">
                          <a:avLst/>
                        </a:prstGeom>
                        <a:noFill/>
                        <a:ln w="9525">
                          <a:solidFill>
                            <a:srgbClr val="000000"/>
                          </a:solidFill>
                          <a:prstDash val="dash"/>
                          <a:round/>
                        </a:ln>
                        <a:effectLst/>
                      </wps:spPr>
                      <wps:bodyPr/>
                    </wps:wsp>
                  </a:graphicData>
                </a:graphic>
              </wp:anchor>
            </w:drawing>
          </mc:Choice>
          <mc:Fallback>
            <w:pict>
              <v:line id="_x0000_s1026" o:spid="_x0000_s1026" o:spt="20" style="position:absolute;left:0pt;margin-left:0pt;margin-top:3.75pt;height:0pt;width:450.3pt;z-index:251680768;mso-width-relative:page;mso-height-relative:page;" filled="f" stroked="t" coordsize="21600,21600" o:gfxdata="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Dn0Z7TAAAABAEAAA8AAAAAAAAAAQAgAAAAIgAAAGRycy9kb3ducmV2LnhtbFBLAQIUABQA&#10;AAAIAIdO4kDZF4sB9QEAANIDAAAOAAAAAAAAAAEAIAAAACIBAABkcnMvZTJvRG9jLnhtbFBLBQYA&#10;AAAABgAGAFkBAACJBQAAAAA=&#10;">
                <v:fill on="f" focussize="0,0"/>
                <v:stroke color="#000000" joinstyle="round" dashstyle="dash"/>
                <v:imagedata o:title=""/>
                <o:lock v:ext="edit" aspectratio="f"/>
              </v:lin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1487805</wp:posOffset>
                </wp:positionH>
                <wp:positionV relativeFrom="paragraph">
                  <wp:posOffset>221615</wp:posOffset>
                </wp:positionV>
                <wp:extent cx="2376170" cy="575945"/>
                <wp:effectExtent l="5080" t="4445" r="19050" b="10160"/>
                <wp:wrapNone/>
                <wp:docPr id="89" name="矩形 89"/>
                <wp:cNvGraphicFramePr/>
                <a:graphic xmlns:a="http://schemas.openxmlformats.org/drawingml/2006/main">
                  <a:graphicData uri="http://schemas.microsoft.com/office/word/2010/wordprocessingShape">
                    <wps:wsp>
                      <wps:cNvSpPr>
                        <a:spLocks noChangeArrowheads="1"/>
                      </wps:cNvSpPr>
                      <wps:spPr bwMode="auto">
                        <a:xfrm>
                          <a:off x="0" y="0"/>
                          <a:ext cx="2376170" cy="575945"/>
                        </a:xfrm>
                        <a:prstGeom prst="rect">
                          <a:avLst/>
                        </a:prstGeom>
                        <a:noFill/>
                        <a:ln w="9525">
                          <a:solidFill>
                            <a:srgbClr val="000000"/>
                          </a:solidFill>
                          <a:miter lim="800000"/>
                        </a:ln>
                        <a:effectLst/>
                      </wps:spPr>
                      <wps:txbx>
                        <w:txbxContent>
                          <w:p w14:paraId="45EBA1B9">
                            <w:pPr>
                              <w:pStyle w:val="523"/>
                              <w:spacing w:line="300" w:lineRule="exact"/>
                              <w:ind w:firstLine="0" w:firstLineChars="0"/>
                              <w:rPr>
                                <w:rFonts w:hAnsi="宋体" w:eastAsia="宋体"/>
                                <w:sz w:val="21"/>
                                <w:szCs w:val="21"/>
                              </w:rPr>
                            </w:pPr>
                            <w:r>
                              <w:rPr>
                                <w:rFonts w:hint="eastAsia" w:hAnsi="宋体" w:eastAsia="宋体"/>
                                <w:sz w:val="21"/>
                                <w:szCs w:val="21"/>
                              </w:rPr>
                              <w:t>1 提出环境保护措施，进行技术经济论证</w:t>
                            </w:r>
                          </w:p>
                          <w:p w14:paraId="7BA80DDF">
                            <w:pPr>
                              <w:pStyle w:val="523"/>
                              <w:spacing w:line="300" w:lineRule="exact"/>
                              <w:ind w:firstLine="0" w:firstLineChars="0"/>
                              <w:rPr>
                                <w:rFonts w:hAnsi="宋体" w:eastAsia="宋体"/>
                                <w:sz w:val="21"/>
                                <w:szCs w:val="21"/>
                              </w:rPr>
                            </w:pPr>
                            <w:r>
                              <w:rPr>
                                <w:rFonts w:hint="eastAsia" w:hAnsi="宋体" w:eastAsia="宋体"/>
                                <w:sz w:val="21"/>
                                <w:szCs w:val="21"/>
                              </w:rPr>
                              <w:t>2 给出污染物排放清单</w:t>
                            </w:r>
                          </w:p>
                          <w:p w14:paraId="792911C7">
                            <w:pPr>
                              <w:pStyle w:val="523"/>
                              <w:spacing w:line="300" w:lineRule="exact"/>
                              <w:ind w:firstLine="0" w:firstLineChars="0"/>
                              <w:rPr>
                                <w:rFonts w:hAnsi="宋体" w:eastAsia="宋体"/>
                                <w:sz w:val="21"/>
                                <w:szCs w:val="21"/>
                              </w:rPr>
                            </w:pPr>
                            <w:r>
                              <w:rPr>
                                <w:rFonts w:hint="eastAsia" w:hAnsi="宋体" w:eastAsia="宋体"/>
                                <w:sz w:val="21"/>
                                <w:szCs w:val="21"/>
                              </w:rPr>
                              <w:t>3 给出建设项目环境影响评价结论</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17.15pt;margin-top:17.45pt;height:45.35pt;width:187.1pt;z-index:251675648;mso-width-relative:page;mso-height-relative:page;" filled="f" stroked="t" coordsize="21600,21600" o:gfxdata="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JKQhcNYAAAAKAQAADwAAAAAAAAABACAAAAAiAAAAZHJzL2Rvd25yZXYueG1sUEsB&#10;AhQAFAAAAAgAh07iQJBCUTEwAgAAUQQAAA4AAAAAAAAAAQAgAAAAJQEAAGRycy9lMm9Eb2MueG1s&#10;UEsFBgAAAAAGAAYAWQEAAMcFAAAAAA==&#10;">
                <v:fill on="f" focussize="0,0"/>
                <v:stroke color="#000000" miterlimit="8" joinstyle="miter"/>
                <v:imagedata o:title=""/>
                <o:lock v:ext="edit" aspectratio="f"/>
                <v:textbox inset="0mm,0mm,0mm,0mm">
                  <w:txbxContent>
                    <w:p w14:paraId="45EBA1B9">
                      <w:pPr>
                        <w:pStyle w:val="523"/>
                        <w:spacing w:line="300" w:lineRule="exact"/>
                        <w:ind w:firstLine="0" w:firstLineChars="0"/>
                        <w:rPr>
                          <w:rFonts w:hAnsi="宋体" w:eastAsia="宋体"/>
                          <w:sz w:val="21"/>
                          <w:szCs w:val="21"/>
                        </w:rPr>
                      </w:pPr>
                      <w:r>
                        <w:rPr>
                          <w:rFonts w:hint="eastAsia" w:hAnsi="宋体" w:eastAsia="宋体"/>
                          <w:sz w:val="21"/>
                          <w:szCs w:val="21"/>
                        </w:rPr>
                        <w:t>1 提出环境保护措施，进行技术经济论证</w:t>
                      </w:r>
                    </w:p>
                    <w:p w14:paraId="7BA80DDF">
                      <w:pPr>
                        <w:pStyle w:val="523"/>
                        <w:spacing w:line="300" w:lineRule="exact"/>
                        <w:ind w:firstLine="0" w:firstLineChars="0"/>
                        <w:rPr>
                          <w:rFonts w:hAnsi="宋体" w:eastAsia="宋体"/>
                          <w:sz w:val="21"/>
                          <w:szCs w:val="21"/>
                        </w:rPr>
                      </w:pPr>
                      <w:r>
                        <w:rPr>
                          <w:rFonts w:hint="eastAsia" w:hAnsi="宋体" w:eastAsia="宋体"/>
                          <w:sz w:val="21"/>
                          <w:szCs w:val="21"/>
                        </w:rPr>
                        <w:t>2 给出污染物排放清单</w:t>
                      </w:r>
                    </w:p>
                    <w:p w14:paraId="792911C7">
                      <w:pPr>
                        <w:pStyle w:val="523"/>
                        <w:spacing w:line="300" w:lineRule="exact"/>
                        <w:ind w:firstLine="0" w:firstLineChars="0"/>
                        <w:rPr>
                          <w:rFonts w:hAnsi="宋体" w:eastAsia="宋体"/>
                          <w:sz w:val="21"/>
                          <w:szCs w:val="21"/>
                        </w:rPr>
                      </w:pPr>
                      <w:r>
                        <w:rPr>
                          <w:rFonts w:hint="eastAsia" w:hAnsi="宋体" w:eastAsia="宋体"/>
                          <w:sz w:val="21"/>
                          <w:szCs w:val="21"/>
                        </w:rPr>
                        <w:t>3 给出建设项目环境影响评价结论</w:t>
                      </w:r>
                    </w:p>
                  </w:txbxContent>
                </v:textbox>
              </v:rect>
            </w:pict>
          </mc:Fallback>
        </mc:AlternateContent>
      </w:r>
    </w:p>
    <w:p w14:paraId="058B4D1C">
      <w:pPr>
        <w:widowControl/>
        <w:overflowPunct w:val="0"/>
        <w:autoSpaceDE w:val="0"/>
        <w:autoSpaceDN w:val="0"/>
        <w:adjustRightInd w:val="0"/>
        <w:spacing w:line="500" w:lineRule="exact"/>
        <w:ind w:firstLine="450" w:firstLineChars="200"/>
        <w:jc w:val="left"/>
        <w:textAlignment w:val="baseline"/>
        <w:rPr>
          <w:rFonts w:ascii="Arial" w:hAnsi="Arial" w:eastAsia="宋体" w:cs="Arial"/>
          <w:kern w:val="0"/>
          <w:sz w:val="24"/>
          <w:szCs w:val="24"/>
        </w:rPr>
      </w:pPr>
    </w:p>
    <w:p w14:paraId="4C19D98D">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6672" behindDoc="0" locked="0" layoutInCell="1" allowOverlap="1">
                <wp:simplePos x="0" y="0"/>
                <wp:positionH relativeFrom="column">
                  <wp:posOffset>2687955</wp:posOffset>
                </wp:positionH>
                <wp:positionV relativeFrom="paragraph">
                  <wp:posOffset>175260</wp:posOffset>
                </wp:positionV>
                <wp:extent cx="0" cy="297180"/>
                <wp:effectExtent l="38100" t="0" r="38100" b="7620"/>
                <wp:wrapNone/>
                <wp:docPr id="90" name="直接连接符 90"/>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211.65pt;margin-top:13.8pt;height:23.4pt;width:0pt;z-index:251676672;mso-width-relative:page;mso-height-relative:page;" filled="f" stroked="t" coordsize="21600,21600" o:gfxdata="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LslKG2QAAAAkBAAAPAAAAAAAAAAEAIAAAACIAAABkcnMv&#10;ZG93bnJldi54bWxQSwECFAAUAAAACACHTuJACd9MxQICAADnAwAADgAAAAAAAAABACAAAAAoAQAA&#10;ZHJzL2Uyb0RvYy54bWxQSwUGAAAAAAYABgBZAQAAnAUAAAAA&#10;">
                <v:fill on="f" focussize="0,0"/>
                <v:stroke color="#000000" joinstyle="round" endarrow="block"/>
                <v:imagedata o:title=""/>
                <o:lock v:ext="edit" aspectratio="f"/>
              </v:line>
            </w:pict>
          </mc:Fallback>
        </mc:AlternateContent>
      </w:r>
    </w:p>
    <w:p w14:paraId="16BBE0C6">
      <w:pPr>
        <w:widowControl/>
        <w:overflowPunct w:val="0"/>
        <w:autoSpaceDE w:val="0"/>
        <w:autoSpaceDN w:val="0"/>
        <w:adjustRightInd w:val="0"/>
        <w:spacing w:line="500" w:lineRule="exact"/>
        <w:ind w:firstLine="530" w:firstLineChars="200"/>
        <w:jc w:val="left"/>
        <w:textAlignment w:val="baseline"/>
        <w:rPr>
          <w:rFonts w:ascii="Arial" w:hAnsi="Arial" w:eastAsia="宋体" w:cs="Arial"/>
          <w:kern w:val="0"/>
          <w:sz w:val="24"/>
          <w:szCs w:val="24"/>
        </w:rPr>
      </w:pPr>
      <w:r>
        <mc:AlternateContent>
          <mc:Choice Requires="wps">
            <w:drawing>
              <wp:anchor distT="0" distB="0" distL="114300" distR="114300" simplePos="0" relativeHeight="251677696" behindDoc="0" locked="0" layoutInCell="1" allowOverlap="1">
                <wp:simplePos x="0" y="0"/>
                <wp:positionH relativeFrom="column">
                  <wp:posOffset>1597025</wp:posOffset>
                </wp:positionH>
                <wp:positionV relativeFrom="paragraph">
                  <wp:posOffset>163195</wp:posOffset>
                </wp:positionV>
                <wp:extent cx="2187575" cy="217170"/>
                <wp:effectExtent l="4445" t="4445" r="17780" b="6985"/>
                <wp:wrapNone/>
                <wp:docPr id="91" name="矩形 91"/>
                <wp:cNvGraphicFramePr/>
                <a:graphic xmlns:a="http://schemas.openxmlformats.org/drawingml/2006/main">
                  <a:graphicData uri="http://schemas.microsoft.com/office/word/2010/wordprocessingShape">
                    <wps:wsp>
                      <wps:cNvSpPr>
                        <a:spLocks noChangeArrowheads="1"/>
                      </wps:cNvSpPr>
                      <wps:spPr bwMode="auto">
                        <a:xfrm>
                          <a:off x="0" y="0"/>
                          <a:ext cx="2187575" cy="217170"/>
                        </a:xfrm>
                        <a:prstGeom prst="rect">
                          <a:avLst/>
                        </a:prstGeom>
                        <a:noFill/>
                        <a:ln w="9525">
                          <a:solidFill>
                            <a:srgbClr val="000000"/>
                          </a:solidFill>
                          <a:miter lim="800000"/>
                        </a:ln>
                        <a:effectLst/>
                      </wps:spPr>
                      <wps:txbx>
                        <w:txbxContent>
                          <w:p w14:paraId="7740B5E6">
                            <w:pPr>
                              <w:pStyle w:val="523"/>
                              <w:spacing w:line="300" w:lineRule="exact"/>
                              <w:ind w:firstLine="0" w:firstLineChars="0"/>
                              <w:jc w:val="center"/>
                              <w:rPr>
                                <w:rFonts w:hAnsi="宋体" w:eastAsia="宋体"/>
                                <w:sz w:val="21"/>
                                <w:szCs w:val="21"/>
                              </w:rPr>
                            </w:pPr>
                            <w:r>
                              <w:rPr>
                                <w:rFonts w:hint="eastAsia" w:hAnsi="宋体" w:eastAsia="宋体"/>
                                <w:sz w:val="21"/>
                                <w:szCs w:val="21"/>
                              </w:rPr>
                              <w:t>编制环境影响报告书</w:t>
                            </w: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125.75pt;margin-top:12.85pt;height:17.1pt;width:172.25pt;z-index:251677696;mso-width-relative:page;mso-height-relative:page;" filled="f" stroked="t" coordsize="21600,21600" o:gfxdata="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gjDjDUAAAACQEAAA8AAAAAAAAAAQAgAAAAIgAAAGRycy9kb3ducmV2LnhtbFBLAQIU&#10;ABQAAAAIAIdO4kB2mDKBMAIAAFEEAAAOAAAAAAAAAAEAIAAAACMBAABkcnMvZTJvRG9jLnhtbFBL&#10;BQYAAAAABgAGAFkBAADFBQAAAAA=&#10;">
                <v:fill on="f" focussize="0,0"/>
                <v:stroke color="#000000" miterlimit="8" joinstyle="miter"/>
                <v:imagedata o:title=""/>
                <o:lock v:ext="edit" aspectratio="f"/>
                <v:textbox inset="0mm,0mm,0mm,0mm">
                  <w:txbxContent>
                    <w:p w14:paraId="7740B5E6">
                      <w:pPr>
                        <w:pStyle w:val="523"/>
                        <w:spacing w:line="300" w:lineRule="exact"/>
                        <w:ind w:firstLine="0" w:firstLineChars="0"/>
                        <w:jc w:val="center"/>
                        <w:rPr>
                          <w:rFonts w:hAnsi="宋体" w:eastAsia="宋体"/>
                          <w:sz w:val="21"/>
                          <w:szCs w:val="21"/>
                        </w:rPr>
                      </w:pPr>
                      <w:r>
                        <w:rPr>
                          <w:rFonts w:hint="eastAsia" w:hAnsi="宋体" w:eastAsia="宋体"/>
                          <w:sz w:val="21"/>
                          <w:szCs w:val="21"/>
                        </w:rPr>
                        <w:t>编制环境影响报告书</w:t>
                      </w:r>
                    </w:p>
                  </w:txbxContent>
                </v:textbox>
              </v:rect>
            </w:pict>
          </mc:Fallback>
        </mc:AlternateContent>
      </w:r>
    </w:p>
    <w:p w14:paraId="40AACAA5">
      <w:pPr>
        <w:widowControl/>
        <w:overflowPunct w:val="0"/>
        <w:autoSpaceDE w:val="0"/>
        <w:autoSpaceDN w:val="0"/>
        <w:adjustRightInd w:val="0"/>
        <w:spacing w:line="500" w:lineRule="exact"/>
        <w:ind w:firstLine="450" w:firstLineChars="200"/>
        <w:textAlignment w:val="baseline"/>
        <w:rPr>
          <w:rFonts w:ascii="Arial" w:hAnsi="Arial" w:eastAsia="宋体" w:cs="Arial"/>
          <w:b/>
          <w:kern w:val="0"/>
          <w:sz w:val="24"/>
          <w:szCs w:val="24"/>
        </w:rPr>
      </w:pPr>
    </w:p>
    <w:p w14:paraId="732CF70D">
      <w:pPr>
        <w:widowControl/>
        <w:overflowPunct w:val="0"/>
        <w:autoSpaceDE w:val="0"/>
        <w:autoSpaceDN w:val="0"/>
        <w:adjustRightInd w:val="0"/>
        <w:spacing w:line="500" w:lineRule="exact"/>
        <w:ind w:firstLine="450" w:firstLineChars="200"/>
        <w:jc w:val="center"/>
        <w:textAlignment w:val="baseline"/>
        <w:rPr>
          <w:rFonts w:ascii="Arial" w:hAnsi="Arial" w:eastAsia="宋体" w:cs="Arial"/>
          <w:b/>
          <w:kern w:val="0"/>
          <w:sz w:val="24"/>
          <w:szCs w:val="24"/>
        </w:rPr>
      </w:pPr>
      <w:r>
        <w:rPr>
          <w:rFonts w:ascii="Arial" w:hAnsi="Arial" w:eastAsia="宋体" w:cs="Arial"/>
          <w:b/>
          <w:kern w:val="0"/>
          <w:sz w:val="24"/>
          <w:szCs w:val="24"/>
        </w:rPr>
        <w:t>图</w:t>
      </w:r>
      <w:r>
        <w:rPr>
          <w:rFonts w:hint="eastAsia" w:ascii="Arial" w:hAnsi="Arial" w:eastAsia="宋体" w:cs="Arial"/>
          <w:b/>
          <w:kern w:val="0"/>
          <w:sz w:val="24"/>
          <w:szCs w:val="24"/>
        </w:rPr>
        <w:t>2</w:t>
      </w:r>
      <w:r>
        <w:rPr>
          <w:rFonts w:ascii="Arial" w:hAnsi="Arial" w:eastAsia="宋体" w:cs="Arial"/>
          <w:b/>
          <w:kern w:val="0"/>
          <w:sz w:val="24"/>
          <w:szCs w:val="24"/>
        </w:rPr>
        <w:t xml:space="preserve">  项目环境影响评价工作程序图</w:t>
      </w:r>
    </w:p>
    <w:p w14:paraId="1F0EA922">
      <w:pPr>
        <w:keepNext/>
        <w:keepLines/>
        <w:numPr>
          <w:ilvl w:val="1"/>
          <w:numId w:val="0"/>
        </w:numPr>
        <w:tabs>
          <w:tab w:val="left" w:pos="567"/>
        </w:tabs>
        <w:adjustRightInd w:val="0"/>
        <w:spacing w:before="210" w:after="210" w:line="360" w:lineRule="auto"/>
        <w:outlineLvl w:val="1"/>
        <w:rPr>
          <w:rFonts w:ascii="Arial" w:hAnsi="Arial" w:eastAsia="宋体" w:cs="Arial"/>
          <w:b/>
        </w:rPr>
      </w:pPr>
      <w:bookmarkStart w:id="181" w:name="_Toc152260249"/>
      <w:bookmarkStart w:id="182" w:name="_Toc182491364"/>
      <w:bookmarkStart w:id="183" w:name="_Toc151636724"/>
      <w:bookmarkStart w:id="184" w:name="_Toc161845675"/>
      <w:bookmarkStart w:id="185" w:name="_Toc183513652"/>
      <w:bookmarkStart w:id="186" w:name="_Toc166675345"/>
      <w:bookmarkStart w:id="187" w:name="_Toc185950201"/>
      <w:bookmarkStart w:id="188" w:name="_Toc158124216"/>
      <w:bookmarkStart w:id="189" w:name="_Toc179816383"/>
      <w:r>
        <w:rPr>
          <w:rFonts w:ascii="Arial" w:hAnsi="Arial" w:eastAsia="宋体" w:cs="Arial"/>
          <w:b/>
        </w:rPr>
        <w:t>4. 分析判定相关情况</w:t>
      </w:r>
      <w:bookmarkEnd w:id="181"/>
      <w:bookmarkEnd w:id="182"/>
      <w:bookmarkEnd w:id="183"/>
      <w:bookmarkEnd w:id="184"/>
      <w:bookmarkEnd w:id="185"/>
      <w:bookmarkEnd w:id="186"/>
      <w:bookmarkEnd w:id="187"/>
      <w:bookmarkEnd w:id="188"/>
      <w:bookmarkEnd w:id="189"/>
    </w:p>
    <w:p w14:paraId="107B3720">
      <w:pPr>
        <w:overflowPunct w:val="0"/>
        <w:autoSpaceDE w:val="0"/>
        <w:autoSpaceDN w:val="0"/>
        <w:adjustRightInd w:val="0"/>
        <w:snapToGri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（1）报告类型判定</w:t>
      </w:r>
    </w:p>
    <w:p w14:paraId="61FE7BD3">
      <w:pPr>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hint="eastAsia" w:ascii="Arial" w:hAnsi="Arial" w:eastAsia="宋体" w:cs="Arial"/>
          <w:spacing w:val="10"/>
          <w:sz w:val="24"/>
          <w:szCs w:val="24"/>
        </w:rPr>
        <w:t>变更后</w:t>
      </w:r>
      <w:r>
        <w:rPr>
          <w:rFonts w:ascii="Arial" w:hAnsi="Arial" w:eastAsia="宋体" w:cs="Arial"/>
          <w:spacing w:val="10"/>
          <w:sz w:val="24"/>
          <w:szCs w:val="24"/>
        </w:rPr>
        <w:t>项目</w:t>
      </w:r>
      <w:r>
        <w:rPr>
          <w:rFonts w:hint="eastAsia" w:ascii="Arial" w:hAnsi="Arial" w:eastAsia="宋体" w:cs="Arial"/>
          <w:spacing w:val="10"/>
          <w:sz w:val="24"/>
          <w:szCs w:val="24"/>
        </w:rPr>
        <w:t>属于</w:t>
      </w:r>
      <w:r>
        <w:rPr>
          <w:rFonts w:ascii="Arial" w:hAnsi="Arial" w:eastAsia="宋体" w:cs="Arial"/>
          <w:spacing w:val="10"/>
          <w:sz w:val="24"/>
          <w:szCs w:val="24"/>
        </w:rPr>
        <w:t>“基础化学原料制造261”，应编制环境影响报告书。</w:t>
      </w:r>
    </w:p>
    <w:p w14:paraId="7AE12624">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（2）产业政策符合性判定</w:t>
      </w:r>
    </w:p>
    <w:p w14:paraId="2A8120C6">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对照《产业结构调整指导目录（2024年本）》，项目建设内容均不属于该目录中的鼓励类、限制类、淘汰类。</w:t>
      </w:r>
    </w:p>
    <w:p w14:paraId="36D322C6">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u w:val="single"/>
        </w:rPr>
      </w:pPr>
      <w:r>
        <w:rPr>
          <w:rFonts w:ascii="Arial" w:hAnsi="Arial" w:eastAsia="宋体" w:cs="Arial"/>
          <w:spacing w:val="10"/>
          <w:sz w:val="24"/>
          <w:szCs w:val="24"/>
          <w:u w:val="single"/>
        </w:rPr>
        <w:t>对照《西部地区鼓励类产业目录（202</w:t>
      </w:r>
      <w:r>
        <w:rPr>
          <w:rFonts w:hint="eastAsia" w:ascii="Arial" w:hAnsi="Arial" w:eastAsia="宋体" w:cs="Arial"/>
          <w:spacing w:val="10"/>
          <w:sz w:val="24"/>
          <w:szCs w:val="24"/>
          <w:u w:val="single"/>
        </w:rPr>
        <w:t>5</w:t>
      </w:r>
      <w:r>
        <w:rPr>
          <w:rFonts w:ascii="Arial" w:hAnsi="Arial" w:eastAsia="宋体" w:cs="Arial"/>
          <w:spacing w:val="10"/>
          <w:sz w:val="24"/>
          <w:szCs w:val="24"/>
          <w:u w:val="single"/>
        </w:rPr>
        <w:t>年本）》，项目不属于其中的鼓励类产业。</w:t>
      </w:r>
    </w:p>
    <w:p w14:paraId="5CE9CD69">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对照《北钦防一体化产业协同发展限制布局清单（工业类2021年版）》，项目建设内容不属于钦州市“全市”及“自贸区钦州港片区（钦州港经济技术开发区）”规定的负面清单。</w:t>
      </w:r>
    </w:p>
    <w:p w14:paraId="107A19ED">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因此，项目符合国家、地方相关产业政策。</w:t>
      </w:r>
    </w:p>
    <w:p w14:paraId="37415857">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（3）</w:t>
      </w:r>
      <w:r>
        <w:rPr>
          <w:rFonts w:hint="eastAsia" w:ascii="Arial" w:hAnsi="Arial" w:eastAsia="宋体" w:cs="Arial"/>
          <w:spacing w:val="10"/>
          <w:sz w:val="24"/>
          <w:szCs w:val="24"/>
        </w:rPr>
        <w:t>生态环境分区管控</w:t>
      </w:r>
      <w:r>
        <w:rPr>
          <w:rFonts w:ascii="Arial" w:hAnsi="Arial" w:eastAsia="宋体" w:cs="Arial"/>
          <w:spacing w:val="10"/>
          <w:sz w:val="24"/>
          <w:szCs w:val="24"/>
        </w:rPr>
        <w:t>相符性判定</w:t>
      </w:r>
    </w:p>
    <w:p w14:paraId="60E6C0C5">
      <w:pPr>
        <w:widowControl/>
        <w:overflowPunct w:val="0"/>
        <w:autoSpaceDE w:val="0"/>
        <w:autoSpaceDN w:val="0"/>
        <w:adjustRightInd w:val="0"/>
        <w:spacing w:line="500" w:lineRule="exact"/>
        <w:ind w:firstLine="490" w:firstLineChars="200"/>
        <w:jc w:val="left"/>
        <w:textAlignment w:val="baseline"/>
        <w:rPr>
          <w:rFonts w:ascii="Arial" w:hAnsi="Arial" w:eastAsia="宋体" w:cs="Arial"/>
          <w:spacing w:val="10"/>
          <w:sz w:val="24"/>
          <w:szCs w:val="24"/>
        </w:rPr>
      </w:pPr>
      <w:r>
        <w:rPr>
          <w:rFonts w:ascii="Arial" w:hAnsi="Arial" w:eastAsia="宋体" w:cs="Arial"/>
          <w:spacing w:val="10"/>
          <w:sz w:val="24"/>
          <w:szCs w:val="24"/>
        </w:rPr>
        <w:t>根据&amp;1.6.1的分析，项目不涉及生态保护红线、未超出环境质量底线及资源利用上线、未列入环境准入负面清单内，与</w:t>
      </w:r>
      <w:r>
        <w:rPr>
          <w:rFonts w:hint="eastAsia" w:ascii="Arial" w:hAnsi="Arial" w:eastAsia="宋体" w:cs="Arial"/>
          <w:spacing w:val="10"/>
          <w:sz w:val="24"/>
          <w:szCs w:val="24"/>
        </w:rPr>
        <w:t>生态环境分区管控</w:t>
      </w:r>
      <w:r>
        <w:rPr>
          <w:rFonts w:ascii="Arial" w:hAnsi="Arial" w:eastAsia="宋体" w:cs="Arial"/>
          <w:spacing w:val="10"/>
          <w:sz w:val="24"/>
          <w:szCs w:val="24"/>
        </w:rPr>
        <w:t>相关要求相符。</w:t>
      </w:r>
    </w:p>
    <w:p w14:paraId="0F7E2421">
      <w:pPr>
        <w:keepNext/>
        <w:keepLines/>
        <w:numPr>
          <w:ilvl w:val="1"/>
          <w:numId w:val="0"/>
        </w:numPr>
        <w:tabs>
          <w:tab w:val="left" w:pos="567"/>
        </w:tabs>
        <w:adjustRightInd w:val="0"/>
        <w:spacing w:before="210" w:after="210" w:line="360" w:lineRule="auto"/>
        <w:outlineLvl w:val="1"/>
        <w:rPr>
          <w:rFonts w:ascii="Arial" w:hAnsi="Arial" w:eastAsia="宋体" w:cs="Arial"/>
          <w:b/>
        </w:rPr>
      </w:pPr>
      <w:bookmarkStart w:id="190" w:name="_Toc158124217"/>
      <w:bookmarkStart w:id="191" w:name="_Toc152260250"/>
      <w:bookmarkStart w:id="192" w:name="_Toc183513653"/>
      <w:bookmarkStart w:id="193" w:name="_Toc179816384"/>
      <w:bookmarkStart w:id="194" w:name="_Toc182491365"/>
      <w:bookmarkStart w:id="195" w:name="_Toc154599049"/>
      <w:bookmarkStart w:id="196" w:name="_Toc161845676"/>
      <w:bookmarkStart w:id="197" w:name="_Toc153639603"/>
      <w:bookmarkStart w:id="198" w:name="_Toc151636725"/>
      <w:bookmarkStart w:id="199" w:name="_Toc166675346"/>
      <w:bookmarkStart w:id="200" w:name="_Toc185950202"/>
      <w:r>
        <w:rPr>
          <w:rFonts w:ascii="Arial" w:hAnsi="Arial" w:eastAsia="宋体" w:cs="Arial"/>
          <w:b/>
        </w:rPr>
        <w:t>5. 评价关注的主要环境问题</w:t>
      </w:r>
      <w:bookmarkEnd w:id="190"/>
      <w:bookmarkEnd w:id="191"/>
      <w:bookmarkEnd w:id="192"/>
      <w:bookmarkEnd w:id="193"/>
      <w:bookmarkEnd w:id="194"/>
      <w:bookmarkEnd w:id="195"/>
      <w:bookmarkEnd w:id="196"/>
      <w:bookmarkEnd w:id="197"/>
      <w:bookmarkEnd w:id="198"/>
      <w:bookmarkEnd w:id="199"/>
      <w:bookmarkEnd w:id="200"/>
    </w:p>
    <w:p w14:paraId="753CC24D">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通过对项目建成情况、所在区域的环境特点、环境质量现状监测数据以及水文地质调查等基础资料进行分析，确定此次环评关注的主要环境问题有：</w:t>
      </w:r>
    </w:p>
    <w:p w14:paraId="36F70CA5">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着重论述了项目建设的环境可行性，重点关注项目运营期生产工艺产生的废气、废水、固体废物等环保处理处置措施</w:t>
      </w:r>
      <w:r>
        <w:rPr>
          <w:rFonts w:hint="eastAsia" w:ascii="Arial" w:hAnsi="Arial" w:eastAsia="宋体" w:cs="Arial"/>
          <w:spacing w:val="10"/>
          <w:sz w:val="24"/>
          <w:szCs w:val="24"/>
        </w:rPr>
        <w:t>的可行性</w:t>
      </w:r>
      <w:r>
        <w:rPr>
          <w:rFonts w:ascii="Arial" w:hAnsi="Arial" w:eastAsia="宋体" w:cs="Arial"/>
          <w:spacing w:val="10"/>
          <w:sz w:val="24"/>
          <w:szCs w:val="24"/>
        </w:rPr>
        <w:t>，</w:t>
      </w:r>
      <w:r>
        <w:rPr>
          <w:rFonts w:hint="eastAsia" w:ascii="Arial" w:hAnsi="Arial" w:eastAsia="宋体" w:cs="Arial"/>
          <w:spacing w:val="10"/>
          <w:sz w:val="24"/>
          <w:szCs w:val="24"/>
        </w:rPr>
        <w:t>对比分析变更前后污染物产排情况，</w:t>
      </w:r>
      <w:r>
        <w:rPr>
          <w:rFonts w:ascii="Arial" w:hAnsi="Arial" w:eastAsia="宋体" w:cs="Arial"/>
          <w:spacing w:val="10"/>
          <w:sz w:val="24"/>
          <w:szCs w:val="24"/>
        </w:rPr>
        <w:t>分析项目选址和</w:t>
      </w:r>
      <w:r>
        <w:rPr>
          <w:rFonts w:hint="eastAsia" w:ascii="Arial" w:hAnsi="Arial" w:eastAsia="宋体" w:cs="Arial"/>
          <w:spacing w:val="10"/>
          <w:sz w:val="24"/>
          <w:szCs w:val="24"/>
        </w:rPr>
        <w:t>变更后</w:t>
      </w:r>
      <w:r>
        <w:rPr>
          <w:rFonts w:ascii="Arial" w:hAnsi="Arial" w:eastAsia="宋体" w:cs="Arial"/>
          <w:spacing w:val="10"/>
          <w:sz w:val="24"/>
          <w:szCs w:val="24"/>
        </w:rPr>
        <w:t>对大气环境、地表水环境、地下水环境、生态环境的影响和涉及的环境风险等</w:t>
      </w:r>
      <w:r>
        <w:rPr>
          <w:rFonts w:hint="eastAsia" w:ascii="Arial" w:hAnsi="Arial" w:eastAsia="宋体" w:cs="Arial"/>
          <w:spacing w:val="10"/>
          <w:sz w:val="24"/>
          <w:szCs w:val="24"/>
        </w:rPr>
        <w:t>，特别是废水排放对地表水的影响</w:t>
      </w:r>
      <w:r>
        <w:rPr>
          <w:rFonts w:ascii="Arial" w:hAnsi="Arial" w:eastAsia="宋体" w:cs="Arial"/>
          <w:spacing w:val="10"/>
          <w:sz w:val="24"/>
          <w:szCs w:val="24"/>
        </w:rPr>
        <w:t>。根据工程分析和预测可能造成的环境影响，提出预防、减缓等环境保护措施。</w:t>
      </w:r>
    </w:p>
    <w:p w14:paraId="3EACD568">
      <w:pPr>
        <w:keepNext/>
        <w:keepLines/>
        <w:numPr>
          <w:ilvl w:val="1"/>
          <w:numId w:val="0"/>
        </w:numPr>
        <w:tabs>
          <w:tab w:val="left" w:pos="567"/>
        </w:tabs>
        <w:adjustRightInd w:val="0"/>
        <w:spacing w:before="210" w:after="210" w:line="360" w:lineRule="auto"/>
        <w:outlineLvl w:val="1"/>
        <w:rPr>
          <w:rFonts w:ascii="Arial" w:hAnsi="Arial" w:eastAsia="宋体" w:cs="Arial"/>
          <w:b/>
        </w:rPr>
      </w:pPr>
      <w:bookmarkStart w:id="201" w:name="_Toc161845677"/>
      <w:bookmarkStart w:id="202" w:name="_Toc153639604"/>
      <w:bookmarkStart w:id="203" w:name="_Toc183513654"/>
      <w:bookmarkStart w:id="204" w:name="_Toc166675347"/>
      <w:bookmarkStart w:id="205" w:name="_Toc158124218"/>
      <w:bookmarkStart w:id="206" w:name="_Toc152260251"/>
      <w:bookmarkStart w:id="207" w:name="_Toc185950203"/>
      <w:bookmarkStart w:id="208" w:name="_Toc154599050"/>
      <w:bookmarkStart w:id="209" w:name="_Toc179816385"/>
      <w:bookmarkStart w:id="210" w:name="_Toc151636726"/>
      <w:r>
        <w:rPr>
          <w:rFonts w:ascii="Arial" w:hAnsi="Arial" w:eastAsia="宋体" w:cs="Arial"/>
          <w:b/>
        </w:rPr>
        <w:t>6. 报告书主要结论</w:t>
      </w:r>
      <w:bookmarkEnd w:id="201"/>
      <w:bookmarkEnd w:id="202"/>
      <w:bookmarkEnd w:id="203"/>
      <w:bookmarkEnd w:id="204"/>
      <w:bookmarkEnd w:id="205"/>
      <w:bookmarkEnd w:id="206"/>
      <w:bookmarkEnd w:id="207"/>
      <w:bookmarkEnd w:id="208"/>
      <w:bookmarkEnd w:id="209"/>
      <w:bookmarkEnd w:id="210"/>
    </w:p>
    <w:p w14:paraId="0783CADB">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广西中伟新能源项目一期二阶段（重大变动）符合国家及地方产业政策，符合规划，选址合理；外排污染物能达标排放，项目建设不会造成评价范围内的环境质量降级，造成的环境影响程度在区域环境可接受范围内。因此，只要建设单位认真落实本环评报告中提出的各项污染防治措施、环境风险防范措施以及环境管理措施等，严格执行环保“三同时”制度，项目建设对环境影响可接受。</w:t>
      </w:r>
    </w:p>
    <w:p w14:paraId="6609DF64">
      <w:pPr>
        <w:adjustRightInd w:val="0"/>
        <w:snapToGrid w:val="0"/>
        <w:spacing w:line="500" w:lineRule="exact"/>
        <w:ind w:firstLine="570" w:firstLineChars="200"/>
        <w:rPr>
          <w:rFonts w:ascii="Arial" w:hAnsi="Arial" w:eastAsia="宋体" w:cs="Arial"/>
          <w:spacing w:val="10"/>
          <w:highlight w:val="yellow"/>
        </w:rPr>
      </w:pPr>
    </w:p>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14:paraId="58920D29">
      <w:pPr>
        <w:pStyle w:val="5"/>
        <w:spacing w:line="240" w:lineRule="auto"/>
        <w:ind w:firstLine="0"/>
        <w:rPr>
          <w:b/>
        </w:rPr>
      </w:pPr>
      <w:bookmarkStart w:id="211" w:name="_Toc67153981"/>
      <w:bookmarkStart w:id="212" w:name="_Toc67153654"/>
      <w:r>
        <w:rPr>
          <w:b/>
        </w:rPr>
        <w:t xml:space="preserve"> </w:t>
      </w:r>
    </w:p>
    <w:p w14:paraId="32D7A125">
      <w:pPr>
        <w:pStyle w:val="5"/>
        <w:ind w:firstLine="0"/>
        <w:rPr>
          <w:sz w:val="28"/>
          <w:highlight w:val="yellow"/>
        </w:rPr>
        <w:sectPr>
          <w:headerReference r:id="rId11" w:type="default"/>
          <w:footerReference r:id="rId12" w:type="default"/>
          <w:pgSz w:w="11907" w:h="16840"/>
          <w:pgMar w:top="1134" w:right="1406" w:bottom="1134" w:left="1157" w:header="1174" w:footer="1026" w:gutter="567"/>
          <w:pgNumType w:fmt="lowerRoman" w:start="1"/>
          <w:cols w:space="720" w:num="1"/>
          <w:docGrid w:type="linesAndChars" w:linePitch="421" w:charSpace="-3161"/>
        </w:sectPr>
      </w:pPr>
    </w:p>
    <w:bookmarkEnd w:id="211"/>
    <w:bookmarkEnd w:id="212"/>
    <w:p w14:paraId="3BC2FC7B">
      <w:pPr>
        <w:pStyle w:val="3"/>
        <w:numPr>
          <w:ilvl w:val="0"/>
          <w:numId w:val="1"/>
        </w:numPr>
        <w:tabs>
          <w:tab w:val="clear" w:pos="3065"/>
        </w:tabs>
        <w:ind w:left="0" w:firstLine="0"/>
        <w:rPr>
          <w:rFonts w:ascii="Arial" w:hAnsi="Arial" w:cs="Arial"/>
          <w:spacing w:val="10"/>
        </w:rPr>
      </w:pPr>
      <w:bookmarkStart w:id="213" w:name="_Toc182491368"/>
      <w:bookmarkStart w:id="214" w:name="_Toc185950205"/>
      <w:bookmarkStart w:id="215" w:name="_Toc166675349"/>
      <w:bookmarkStart w:id="216" w:name="_Toc84214450"/>
      <w:bookmarkStart w:id="217" w:name="_Toc162671427"/>
      <w:bookmarkStart w:id="218" w:name="_Toc104677214"/>
      <w:bookmarkStart w:id="219" w:name="_Toc1742942"/>
      <w:bookmarkStart w:id="220" w:name="_Toc82944664"/>
      <w:bookmarkStart w:id="221" w:name="_Toc160446428"/>
      <w:bookmarkStart w:id="222" w:name="_Toc104677241"/>
      <w:bookmarkStart w:id="223" w:name="_Toc1742952"/>
      <w:bookmarkStart w:id="224" w:name="_Toc157417783"/>
      <w:r>
        <w:rPr>
          <w:rFonts w:ascii="Arial" w:hAnsi="Arial" w:cs="Arial"/>
          <w:spacing w:val="10"/>
        </w:rPr>
        <w:t>总则</w:t>
      </w:r>
      <w:bookmarkEnd w:id="213"/>
      <w:bookmarkEnd w:id="214"/>
      <w:bookmarkEnd w:id="215"/>
    </w:p>
    <w:p w14:paraId="425CC696">
      <w:pPr>
        <w:keepNext/>
        <w:keepLines/>
        <w:numPr>
          <w:ilvl w:val="0"/>
          <w:numId w:val="2"/>
        </w:numPr>
        <w:spacing w:before="210" w:after="210" w:line="500" w:lineRule="exact"/>
        <w:outlineLvl w:val="1"/>
        <w:rPr>
          <w:rFonts w:ascii="Arial" w:hAnsi="Arial" w:eastAsia="宋体" w:cs="Arial"/>
          <w:b/>
        </w:rPr>
      </w:pPr>
      <w:bookmarkStart w:id="225" w:name="_Toc185950206"/>
      <w:bookmarkStart w:id="226" w:name="_Toc182491369"/>
      <w:bookmarkStart w:id="227" w:name="_Toc154599053"/>
      <w:bookmarkStart w:id="228" w:name="_Toc166675350"/>
      <w:r>
        <w:rPr>
          <w:rFonts w:ascii="Arial" w:hAnsi="Arial" w:eastAsia="宋体" w:cs="Arial"/>
          <w:b/>
        </w:rPr>
        <w:t>编制依据</w:t>
      </w:r>
      <w:bookmarkEnd w:id="225"/>
      <w:bookmarkEnd w:id="226"/>
      <w:bookmarkEnd w:id="227"/>
      <w:bookmarkEnd w:id="228"/>
    </w:p>
    <w:p w14:paraId="7C3B4267">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根据国家和地方有关环境保护法律、法规以及有关技术规范和工程技术资料、项目相关文件，编制本项目环境影响报告书。主要编制依据如下：</w:t>
      </w:r>
    </w:p>
    <w:p w14:paraId="086F686D">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相关国家法律法规及部门法规</w:t>
      </w:r>
    </w:p>
    <w:p w14:paraId="3505CC94">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1、《中华人民共和国环境保护法》（2014年修订，2015.1.1实施）；</w:t>
      </w:r>
    </w:p>
    <w:p w14:paraId="3A861F56">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2、《中华人民共和国环境影响评价法》（2018年修正，2018.12.29实施）；</w:t>
      </w:r>
    </w:p>
    <w:p w14:paraId="466CEA5A">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3、《中华人民共和国水污染防治法》（2017年修正，2018.1.1实施）；</w:t>
      </w:r>
    </w:p>
    <w:p w14:paraId="5B675CCE">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4、《中华人民共和国大气污染防治法》（2018年修订，2018.10.26实施）；</w:t>
      </w:r>
    </w:p>
    <w:p w14:paraId="27602A12">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5、《中华人民共和国噪声污染防治法》（2022.6.5实施）；</w:t>
      </w:r>
    </w:p>
    <w:p w14:paraId="2F3AC936">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6、《中华人民共和国固体废物污染环境防治法》（2020年修订，2020.9.1实施）；</w:t>
      </w:r>
    </w:p>
    <w:p w14:paraId="7D45D9D5">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7、《中华人民共和国土壤污染防治法》（2019.1.1实施）；</w:t>
      </w:r>
    </w:p>
    <w:p w14:paraId="7BC2A993">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8、《中华人民共和国海洋环境保护法》（2023年修正，2024.1.1实施）；</w:t>
      </w:r>
    </w:p>
    <w:p w14:paraId="75F06D80">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9、</w:t>
      </w:r>
      <w:r>
        <w:rPr>
          <w:rFonts w:ascii="Arial" w:hAnsi="Arial" w:eastAsia="宋体" w:cs="Arial"/>
          <w:spacing w:val="10"/>
          <w:sz w:val="24"/>
          <w:szCs w:val="24"/>
        </w:rPr>
        <w:t>《中华人民共和国清洁生产促进法》（中华人民共和国主席令第54号，2012年修订）；</w:t>
      </w:r>
    </w:p>
    <w:p w14:paraId="23A5C681">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10、《建设项目环境保护管理条例》（国务院令第682号，2017.10.1）；</w:t>
      </w:r>
    </w:p>
    <w:p w14:paraId="29BD1835">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11、《危险化学品安全管理条例（2013年修正）》（国务院令第645号）；</w:t>
      </w:r>
    </w:p>
    <w:p w14:paraId="56567ED2">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12、《地下水管理条例》（2021年12月1日实施）；</w:t>
      </w:r>
    </w:p>
    <w:p w14:paraId="4F4C28C3">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13、《排污许可管理条例》（国务院令 第736号）；</w:t>
      </w:r>
    </w:p>
    <w:p w14:paraId="37C49EF3">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14、《环境影响评价公众参与办法》（生态环境部令第4号，2019.1.1实施）；</w:t>
      </w:r>
    </w:p>
    <w:p w14:paraId="0D12AF84">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w:t>
      </w:r>
      <w:r>
        <w:rPr>
          <w:rFonts w:hint="eastAsia" w:ascii="Arial" w:hAnsi="Arial" w:eastAsia="宋体" w:cs="Arial"/>
          <w:spacing w:val="10"/>
          <w:kern w:val="0"/>
          <w:sz w:val="24"/>
          <w:szCs w:val="24"/>
        </w:rPr>
        <w:t>5</w:t>
      </w:r>
      <w:r>
        <w:rPr>
          <w:rFonts w:ascii="Arial" w:hAnsi="Arial" w:eastAsia="宋体" w:cs="Arial"/>
          <w:spacing w:val="10"/>
          <w:kern w:val="0"/>
          <w:sz w:val="24"/>
          <w:szCs w:val="24"/>
        </w:rPr>
        <w:t>、</w:t>
      </w:r>
      <w:r>
        <w:rPr>
          <w:rFonts w:hint="eastAsia" w:ascii="Arial" w:hAnsi="Arial" w:eastAsia="宋体" w:cs="Arial"/>
          <w:spacing w:val="10"/>
          <w:kern w:val="0"/>
          <w:sz w:val="24"/>
          <w:szCs w:val="24"/>
        </w:rPr>
        <w:t>《排污许可管理办法》（生态环境部令第32号，2024.7.1）</w:t>
      </w:r>
      <w:r>
        <w:rPr>
          <w:rFonts w:ascii="Arial" w:hAnsi="Arial" w:eastAsia="宋体" w:cs="Arial"/>
          <w:spacing w:val="10"/>
          <w:kern w:val="0"/>
          <w:sz w:val="24"/>
          <w:szCs w:val="24"/>
        </w:rPr>
        <w:t>；</w:t>
      </w:r>
    </w:p>
    <w:p w14:paraId="20E40943">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w:t>
      </w:r>
      <w:r>
        <w:rPr>
          <w:rFonts w:hint="eastAsia" w:ascii="Arial" w:hAnsi="Arial" w:eastAsia="宋体" w:cs="Arial"/>
          <w:spacing w:val="10"/>
          <w:kern w:val="0"/>
          <w:sz w:val="24"/>
          <w:szCs w:val="24"/>
        </w:rPr>
        <w:t>6</w:t>
      </w:r>
      <w:r>
        <w:rPr>
          <w:rFonts w:ascii="Arial" w:hAnsi="Arial" w:eastAsia="宋体" w:cs="Arial"/>
          <w:spacing w:val="10"/>
          <w:kern w:val="0"/>
          <w:sz w:val="24"/>
          <w:szCs w:val="24"/>
        </w:rPr>
        <w:t>、《固定污染源排污许可分类管理名录（2019年版）》（2019.12.20）；</w:t>
      </w:r>
    </w:p>
    <w:p w14:paraId="67440C8E">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w:t>
      </w:r>
      <w:r>
        <w:rPr>
          <w:rFonts w:hint="eastAsia" w:ascii="Arial" w:hAnsi="Arial" w:eastAsia="宋体" w:cs="Arial"/>
          <w:spacing w:val="10"/>
          <w:kern w:val="0"/>
          <w:sz w:val="24"/>
          <w:szCs w:val="24"/>
        </w:rPr>
        <w:t>7</w:t>
      </w:r>
      <w:r>
        <w:rPr>
          <w:rFonts w:ascii="Arial" w:hAnsi="Arial" w:eastAsia="宋体" w:cs="Arial"/>
          <w:spacing w:val="10"/>
          <w:kern w:val="0"/>
          <w:sz w:val="24"/>
          <w:szCs w:val="24"/>
        </w:rPr>
        <w:t>、</w:t>
      </w:r>
      <w:r>
        <w:rPr>
          <w:rFonts w:ascii="Arial" w:hAnsi="Arial" w:eastAsia="宋体" w:cs="Arial"/>
          <w:spacing w:val="10"/>
          <w:kern w:val="0"/>
          <w:sz w:val="24"/>
          <w:szCs w:val="24"/>
          <w:u w:val="single"/>
        </w:rPr>
        <w:t>《国家危险废物名录（202</w:t>
      </w:r>
      <w:r>
        <w:rPr>
          <w:rFonts w:hint="eastAsia" w:ascii="Arial" w:hAnsi="Arial" w:eastAsia="宋体" w:cs="Arial"/>
          <w:spacing w:val="10"/>
          <w:kern w:val="0"/>
          <w:sz w:val="24"/>
          <w:szCs w:val="24"/>
          <w:u w:val="single"/>
        </w:rPr>
        <w:t>5</w:t>
      </w:r>
      <w:r>
        <w:rPr>
          <w:rFonts w:ascii="Arial" w:hAnsi="Arial" w:eastAsia="宋体" w:cs="Arial"/>
          <w:spacing w:val="10"/>
          <w:kern w:val="0"/>
          <w:sz w:val="24"/>
          <w:szCs w:val="24"/>
          <w:u w:val="single"/>
        </w:rPr>
        <w:t>年版）》（202</w:t>
      </w:r>
      <w:r>
        <w:rPr>
          <w:rFonts w:hint="eastAsia" w:ascii="Arial" w:hAnsi="Arial" w:eastAsia="宋体" w:cs="Arial"/>
          <w:spacing w:val="10"/>
          <w:kern w:val="0"/>
          <w:sz w:val="24"/>
          <w:szCs w:val="24"/>
          <w:u w:val="single"/>
        </w:rPr>
        <w:t>5.1.1</w:t>
      </w:r>
      <w:r>
        <w:rPr>
          <w:rFonts w:ascii="Arial" w:hAnsi="Arial" w:eastAsia="宋体" w:cs="Arial"/>
          <w:spacing w:val="10"/>
          <w:kern w:val="0"/>
          <w:sz w:val="24"/>
          <w:szCs w:val="24"/>
          <w:u w:val="single"/>
        </w:rPr>
        <w:t>）；</w:t>
      </w:r>
    </w:p>
    <w:p w14:paraId="38A28CC9">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sz w:val="24"/>
          <w:szCs w:val="24"/>
        </w:rPr>
        <w:t>1</w:t>
      </w:r>
      <w:r>
        <w:rPr>
          <w:rFonts w:hint="eastAsia" w:ascii="Arial" w:hAnsi="Arial" w:eastAsia="宋体" w:cs="Arial"/>
          <w:spacing w:val="10"/>
          <w:sz w:val="24"/>
          <w:szCs w:val="24"/>
        </w:rPr>
        <w:t>8</w:t>
      </w:r>
      <w:r>
        <w:rPr>
          <w:rFonts w:ascii="Arial" w:hAnsi="Arial" w:eastAsia="宋体" w:cs="Arial"/>
          <w:spacing w:val="10"/>
          <w:kern w:val="0"/>
          <w:sz w:val="24"/>
          <w:szCs w:val="24"/>
        </w:rPr>
        <w:t>、《危险废物转移管理办法》（生态环境部 公安部 交通运输部 部令 第23号，2022.1.1）；</w:t>
      </w:r>
    </w:p>
    <w:p w14:paraId="4EFFD5C2">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19</w:t>
      </w:r>
      <w:r>
        <w:rPr>
          <w:rFonts w:ascii="Arial" w:hAnsi="Arial" w:eastAsia="宋体" w:cs="Arial"/>
          <w:spacing w:val="10"/>
          <w:kern w:val="0"/>
          <w:sz w:val="24"/>
          <w:szCs w:val="24"/>
        </w:rPr>
        <w:t>、《建设项目环境影响评价分类管理名录（2021年版）》（生态环境部令第16号，2021.1.1）；</w:t>
      </w:r>
    </w:p>
    <w:p w14:paraId="47B84C0B">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sz w:val="24"/>
          <w:szCs w:val="24"/>
        </w:rPr>
        <w:t>2</w:t>
      </w:r>
      <w:r>
        <w:rPr>
          <w:rFonts w:hint="eastAsia" w:ascii="Arial" w:hAnsi="Arial" w:eastAsia="宋体" w:cs="Arial"/>
          <w:spacing w:val="10"/>
          <w:sz w:val="24"/>
          <w:szCs w:val="24"/>
        </w:rPr>
        <w:t>0</w:t>
      </w:r>
      <w:r>
        <w:rPr>
          <w:rFonts w:ascii="Arial" w:hAnsi="Arial" w:eastAsia="宋体" w:cs="Arial"/>
          <w:spacing w:val="10"/>
          <w:sz w:val="24"/>
          <w:szCs w:val="24"/>
        </w:rPr>
        <w:t>、</w:t>
      </w:r>
      <w:r>
        <w:rPr>
          <w:rFonts w:ascii="Arial" w:hAnsi="Arial" w:eastAsia="宋体" w:cs="Arial"/>
          <w:spacing w:val="10"/>
          <w:kern w:val="0"/>
          <w:sz w:val="24"/>
          <w:szCs w:val="24"/>
        </w:rPr>
        <w:t>《碳排放权交易管理办法（试行）》（生态环境部令 第19号，2021.2.1施行）；</w:t>
      </w:r>
    </w:p>
    <w:p w14:paraId="044A104D">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1</w:t>
      </w:r>
      <w:r>
        <w:rPr>
          <w:rFonts w:ascii="Arial" w:hAnsi="Arial" w:eastAsia="宋体" w:cs="Arial"/>
          <w:spacing w:val="10"/>
          <w:kern w:val="0"/>
          <w:sz w:val="24"/>
          <w:szCs w:val="24"/>
        </w:rPr>
        <w:t>、《关于发布&lt;优先控制化学品名录（第二批）&gt;的公告》（生态环境部 工业和信息化部 国家卫生健康委员会 公告2020年第47号，2020.10.30）；</w:t>
      </w:r>
    </w:p>
    <w:p w14:paraId="28600655">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2</w:t>
      </w:r>
      <w:r>
        <w:rPr>
          <w:rFonts w:ascii="Arial" w:hAnsi="Arial" w:eastAsia="宋体" w:cs="Arial"/>
          <w:spacing w:val="10"/>
          <w:kern w:val="0"/>
          <w:sz w:val="24"/>
          <w:szCs w:val="24"/>
        </w:rPr>
        <w:t>、《关于发布&lt;有毒有害大气污染物名录（2018年）&gt;的公告》（生态环境部 国家卫生健康委员会 公告，公告2019年第4号，2019.1.23）；</w:t>
      </w:r>
    </w:p>
    <w:p w14:paraId="06DFB2BD">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23、</w:t>
      </w:r>
      <w:r>
        <w:rPr>
          <w:rFonts w:ascii="Arial" w:hAnsi="Arial" w:eastAsia="宋体" w:cs="Arial"/>
          <w:spacing w:val="10"/>
          <w:kern w:val="0"/>
          <w:sz w:val="24"/>
          <w:szCs w:val="24"/>
        </w:rPr>
        <w:t>《</w:t>
      </w:r>
      <w:r>
        <w:rPr>
          <w:rFonts w:hint="eastAsia" w:ascii="Arial" w:hAnsi="Arial" w:eastAsia="宋体" w:cs="Arial"/>
          <w:spacing w:val="10"/>
          <w:kern w:val="0"/>
          <w:sz w:val="24"/>
          <w:szCs w:val="24"/>
        </w:rPr>
        <w:t>关于发布〈固体废物分类与代码目录〉的公告》（</w:t>
      </w:r>
      <w:r>
        <w:rPr>
          <w:rFonts w:ascii="Arial" w:hAnsi="Arial" w:eastAsia="宋体" w:cs="Arial"/>
          <w:spacing w:val="10"/>
          <w:kern w:val="0"/>
          <w:sz w:val="24"/>
          <w:szCs w:val="24"/>
        </w:rPr>
        <w:t>生态环境部</w:t>
      </w:r>
      <w:r>
        <w:rPr>
          <w:rFonts w:hint="eastAsia" w:ascii="Arial" w:hAnsi="Arial" w:eastAsia="宋体" w:cs="Arial"/>
          <w:spacing w:val="10"/>
          <w:kern w:val="0"/>
          <w:sz w:val="24"/>
          <w:szCs w:val="24"/>
        </w:rPr>
        <w:t xml:space="preserve"> 公告 2024年 第4号，2024.1.22）；</w:t>
      </w:r>
    </w:p>
    <w:p w14:paraId="4ED8B78E">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4</w:t>
      </w:r>
      <w:r>
        <w:rPr>
          <w:rFonts w:ascii="Arial" w:hAnsi="Arial" w:eastAsia="宋体" w:cs="Arial"/>
          <w:spacing w:val="10"/>
          <w:kern w:val="0"/>
          <w:sz w:val="24"/>
          <w:szCs w:val="24"/>
        </w:rPr>
        <w:t>、《国务院办公厅关于印发强化危险废物监管和利用处置能力改革实施方案的通知》（国办函〔2021〕47号，2021.5.11）；</w:t>
      </w:r>
    </w:p>
    <w:p w14:paraId="6B069395">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sz w:val="24"/>
          <w:szCs w:val="24"/>
        </w:rPr>
        <w:t>2</w:t>
      </w:r>
      <w:r>
        <w:rPr>
          <w:rFonts w:hint="eastAsia" w:ascii="Arial" w:hAnsi="Arial" w:eastAsia="宋体" w:cs="Arial"/>
          <w:spacing w:val="10"/>
          <w:sz w:val="24"/>
          <w:szCs w:val="24"/>
        </w:rPr>
        <w:t>5</w:t>
      </w:r>
      <w:r>
        <w:rPr>
          <w:rFonts w:ascii="Arial" w:hAnsi="Arial" w:eastAsia="宋体" w:cs="Arial"/>
          <w:spacing w:val="10"/>
          <w:sz w:val="24"/>
          <w:szCs w:val="24"/>
        </w:rPr>
        <w:t>、</w:t>
      </w:r>
      <w:r>
        <w:rPr>
          <w:rFonts w:ascii="Arial" w:hAnsi="Arial" w:eastAsia="宋体" w:cs="Arial"/>
          <w:spacing w:val="10"/>
          <w:kern w:val="0"/>
          <w:sz w:val="24"/>
          <w:szCs w:val="24"/>
        </w:rPr>
        <w:t>《国务院关于印发2030年前碳达峰行动方案的通知》（国发〔2021〕23号）；</w:t>
      </w:r>
    </w:p>
    <w:p w14:paraId="7658A287">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6</w:t>
      </w:r>
      <w:r>
        <w:rPr>
          <w:rFonts w:ascii="Arial" w:hAnsi="Arial" w:eastAsia="宋体" w:cs="Arial"/>
          <w:spacing w:val="10"/>
          <w:kern w:val="0"/>
          <w:sz w:val="24"/>
          <w:szCs w:val="24"/>
        </w:rPr>
        <w:t>、《关于做好环境影响评价制度与排污许可制衔接相关工作的通知》（环办环评〔2017〕84号）；</w:t>
      </w:r>
    </w:p>
    <w:p w14:paraId="4160085C">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sz w:val="24"/>
          <w:szCs w:val="24"/>
        </w:rPr>
        <w:t>2</w:t>
      </w:r>
      <w:r>
        <w:rPr>
          <w:rFonts w:hint="eastAsia" w:ascii="Arial" w:hAnsi="Arial" w:eastAsia="宋体" w:cs="Arial"/>
          <w:spacing w:val="10"/>
          <w:sz w:val="24"/>
          <w:szCs w:val="24"/>
        </w:rPr>
        <w:t>7</w:t>
      </w:r>
      <w:r>
        <w:rPr>
          <w:rFonts w:ascii="Arial" w:hAnsi="Arial" w:eastAsia="宋体" w:cs="Arial"/>
          <w:spacing w:val="10"/>
          <w:sz w:val="24"/>
          <w:szCs w:val="24"/>
        </w:rPr>
        <w:t>、</w:t>
      </w:r>
      <w:r>
        <w:rPr>
          <w:rFonts w:ascii="Arial" w:hAnsi="Arial" w:eastAsia="宋体" w:cs="Arial"/>
          <w:spacing w:val="10"/>
          <w:kern w:val="0"/>
          <w:sz w:val="24"/>
          <w:szCs w:val="24"/>
        </w:rPr>
        <w:t>《企业突发环境事件风险评估指南（试行）》（环办〔2014〕34号）；</w:t>
      </w:r>
    </w:p>
    <w:p w14:paraId="1C2D79E1">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8</w:t>
      </w:r>
      <w:r>
        <w:rPr>
          <w:rFonts w:ascii="Arial" w:hAnsi="Arial" w:eastAsia="宋体" w:cs="Arial"/>
          <w:spacing w:val="10"/>
          <w:kern w:val="0"/>
          <w:sz w:val="24"/>
          <w:szCs w:val="24"/>
        </w:rPr>
        <w:t>、《关于加强危险废物鉴别工作的通知》（环办固体函〔2021〕419号，2021.9.3）；</w:t>
      </w:r>
    </w:p>
    <w:p w14:paraId="17A97905">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w:t>
      </w:r>
      <w:r>
        <w:rPr>
          <w:rFonts w:hint="eastAsia" w:ascii="Arial" w:hAnsi="Arial" w:eastAsia="宋体" w:cs="Arial"/>
          <w:spacing w:val="10"/>
          <w:kern w:val="0"/>
          <w:sz w:val="24"/>
          <w:szCs w:val="24"/>
        </w:rPr>
        <w:t>9</w:t>
      </w:r>
      <w:r>
        <w:rPr>
          <w:rFonts w:ascii="Arial" w:hAnsi="Arial" w:eastAsia="宋体" w:cs="Arial"/>
          <w:spacing w:val="10"/>
          <w:kern w:val="0"/>
          <w:sz w:val="24"/>
          <w:szCs w:val="24"/>
        </w:rPr>
        <w:t>、</w:t>
      </w:r>
      <w:r>
        <w:rPr>
          <w:rFonts w:ascii="Arial" w:hAnsi="Arial" w:eastAsia="宋体" w:cs="Arial"/>
          <w:spacing w:val="10"/>
          <w:sz w:val="24"/>
          <w:szCs w:val="24"/>
        </w:rPr>
        <w:t>《关于加强重点行业建设项目区域削减措施监督管理的通知》（环办环评〔2020〕36号）；</w:t>
      </w:r>
    </w:p>
    <w:p w14:paraId="5B9464D8">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kern w:val="0"/>
          <w:sz w:val="24"/>
          <w:szCs w:val="24"/>
        </w:rPr>
        <w:t>30</w:t>
      </w:r>
      <w:r>
        <w:rPr>
          <w:rFonts w:ascii="Arial" w:hAnsi="Arial" w:eastAsia="宋体" w:cs="Arial"/>
          <w:spacing w:val="10"/>
          <w:kern w:val="0"/>
          <w:sz w:val="24"/>
          <w:szCs w:val="24"/>
        </w:rPr>
        <w:t>、</w:t>
      </w:r>
      <w:r>
        <w:rPr>
          <w:rFonts w:ascii="Arial" w:hAnsi="Arial" w:eastAsia="宋体" w:cs="Arial"/>
          <w:spacing w:val="10"/>
          <w:sz w:val="24"/>
          <w:szCs w:val="24"/>
        </w:rPr>
        <w:t>《关于加强高耗能、高排放建设项目生态环境源头防控的指导意见》（环环评〔2021〕45号）；</w:t>
      </w:r>
    </w:p>
    <w:p w14:paraId="66ED9CDD">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3</w:t>
      </w:r>
      <w:r>
        <w:rPr>
          <w:rFonts w:hint="eastAsia" w:ascii="Arial" w:hAnsi="Arial" w:eastAsia="宋体" w:cs="Arial"/>
          <w:spacing w:val="10"/>
          <w:sz w:val="24"/>
          <w:szCs w:val="24"/>
        </w:rPr>
        <w:t>1</w:t>
      </w:r>
      <w:r>
        <w:rPr>
          <w:rFonts w:ascii="Arial" w:hAnsi="Arial" w:eastAsia="宋体" w:cs="Arial"/>
          <w:spacing w:val="10"/>
          <w:sz w:val="24"/>
          <w:szCs w:val="24"/>
        </w:rPr>
        <w:t>、</w:t>
      </w:r>
      <w:r>
        <w:rPr>
          <w:rFonts w:ascii="Arial" w:hAnsi="Arial" w:eastAsia="宋体" w:cs="Arial"/>
          <w:spacing w:val="10"/>
          <w:kern w:val="0"/>
          <w:sz w:val="24"/>
          <w:szCs w:val="24"/>
        </w:rPr>
        <w:t>《关于开展重点行业建设项目碳排放环境影响评价试点的通知》（环办环评函〔2021〕346号）；</w:t>
      </w:r>
    </w:p>
    <w:p w14:paraId="44A7C7CA">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3</w:t>
      </w:r>
      <w:r>
        <w:rPr>
          <w:rFonts w:hint="eastAsia" w:ascii="Arial" w:hAnsi="Arial" w:eastAsia="宋体" w:cs="Arial"/>
          <w:spacing w:val="10"/>
          <w:kern w:val="0"/>
          <w:sz w:val="24"/>
          <w:szCs w:val="24"/>
        </w:rPr>
        <w:t>2</w:t>
      </w:r>
      <w:r>
        <w:rPr>
          <w:rFonts w:ascii="Arial" w:hAnsi="Arial" w:eastAsia="宋体" w:cs="Arial"/>
          <w:spacing w:val="10"/>
          <w:kern w:val="0"/>
          <w:sz w:val="24"/>
          <w:szCs w:val="24"/>
        </w:rPr>
        <w:t>、《关于进一步加强产业园区规划环境影响评价工作的意见》（环环评〔2020〕65号）；</w:t>
      </w:r>
    </w:p>
    <w:p w14:paraId="73A873BC">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3</w:t>
      </w:r>
      <w:r>
        <w:rPr>
          <w:rFonts w:hint="eastAsia" w:ascii="Arial" w:hAnsi="Arial" w:eastAsia="宋体" w:cs="Arial"/>
          <w:spacing w:val="10"/>
          <w:kern w:val="0"/>
          <w:sz w:val="24"/>
          <w:szCs w:val="24"/>
        </w:rPr>
        <w:t>3</w:t>
      </w:r>
      <w:r>
        <w:rPr>
          <w:rFonts w:ascii="Arial" w:hAnsi="Arial" w:eastAsia="宋体" w:cs="Arial"/>
          <w:spacing w:val="10"/>
          <w:kern w:val="0"/>
          <w:sz w:val="24"/>
          <w:szCs w:val="24"/>
        </w:rPr>
        <w:t>、《关于印发〈“十四五”全国清洁生产推行方案〉的通知》（发改环资〔2021〕1524号）；</w:t>
      </w:r>
    </w:p>
    <w:p w14:paraId="206CEDF5">
      <w:pPr>
        <w:widowControl/>
        <w:ind w:firstLine="480" w:firstLineChars="196"/>
        <w:jc w:val="left"/>
        <w:rPr>
          <w:rFonts w:ascii="Arial" w:hAnsi="Arial" w:eastAsia="宋体" w:cs="Arial"/>
          <w:kern w:val="0"/>
          <w:sz w:val="24"/>
          <w:szCs w:val="24"/>
        </w:rPr>
      </w:pPr>
      <w:r>
        <w:rPr>
          <w:rFonts w:ascii="Arial" w:hAnsi="Arial" w:eastAsia="宋体" w:cs="Arial"/>
          <w:spacing w:val="10"/>
          <w:kern w:val="0"/>
          <w:sz w:val="24"/>
          <w:szCs w:val="24"/>
        </w:rPr>
        <w:t>3</w:t>
      </w:r>
      <w:r>
        <w:rPr>
          <w:rFonts w:hint="eastAsia" w:ascii="Arial" w:hAnsi="Arial" w:eastAsia="宋体" w:cs="Arial"/>
          <w:spacing w:val="10"/>
          <w:kern w:val="0"/>
          <w:sz w:val="24"/>
          <w:szCs w:val="24"/>
        </w:rPr>
        <w:t>4</w:t>
      </w:r>
      <w:r>
        <w:rPr>
          <w:rFonts w:ascii="Arial" w:hAnsi="Arial" w:eastAsia="宋体" w:cs="Arial"/>
          <w:spacing w:val="10"/>
          <w:kern w:val="0"/>
          <w:sz w:val="24"/>
          <w:szCs w:val="24"/>
        </w:rPr>
        <w:t>、《关于印发“十四五”循环经济发展规划的通知》（发改环资〔2021〕969号）。</w:t>
      </w:r>
    </w:p>
    <w:p w14:paraId="0DF190D2">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相关地方法律法规</w:t>
      </w:r>
    </w:p>
    <w:p w14:paraId="074D8057">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1、《广西壮族自治区环境保护条例》（201</w:t>
      </w:r>
      <w:r>
        <w:rPr>
          <w:rFonts w:hint="eastAsia" w:ascii="Arial" w:hAnsi="Arial" w:eastAsia="宋体" w:cs="Arial"/>
          <w:spacing w:val="10"/>
          <w:kern w:val="0"/>
          <w:sz w:val="24"/>
          <w:szCs w:val="24"/>
        </w:rPr>
        <w:t>9.7.25</w:t>
      </w:r>
      <w:r>
        <w:rPr>
          <w:rFonts w:ascii="Arial" w:hAnsi="Arial" w:eastAsia="宋体" w:cs="Arial"/>
          <w:spacing w:val="10"/>
          <w:kern w:val="0"/>
          <w:sz w:val="24"/>
          <w:szCs w:val="24"/>
        </w:rPr>
        <w:t>）；</w:t>
      </w:r>
    </w:p>
    <w:p w14:paraId="434137FC">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2、《广西壮族自治区饮用水水源保护条例》（广西壮族自治区第十二届人民代表大会公告 第十四号），2017.5.1；</w:t>
      </w:r>
    </w:p>
    <w:p w14:paraId="380DA919">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3、《广西壮族自治区大气污染防治条例》（2019.1.1）；</w:t>
      </w:r>
    </w:p>
    <w:p w14:paraId="7F1CE2CB">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4、《广西壮族自治区水污染防治条例》（2020.5.1）；</w:t>
      </w:r>
    </w:p>
    <w:p w14:paraId="1235873A">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5、《广西壮族自治区土壤污染防治条例》（2021.9.1）；</w:t>
      </w:r>
    </w:p>
    <w:p w14:paraId="2A916AC1">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6、《广西壮族自治区固体废物污染环境防治条例》（2022.7.1）；</w:t>
      </w:r>
    </w:p>
    <w:p w14:paraId="27B927CF">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7、《广西壮族自治区安全生产条例》（2024.6.1）；</w:t>
      </w:r>
    </w:p>
    <w:p w14:paraId="053904CC">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8、《广西壮族自治区人民政府办公厅关于印发广西壮族自治区建设项目环境准入管理办法的通知》（桂政办发〔2012〕103号）；</w:t>
      </w:r>
    </w:p>
    <w:p w14:paraId="7779BC5B">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9、《广西壮族自治区人民政府办公厅关于印发北钦防一体化产业协同发展限制布局清单（工业类2021年版）的通知》（桂政办函〔2021〕4号）；</w:t>
      </w:r>
    </w:p>
    <w:p w14:paraId="143BDC62">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10、《广西壮族自治区人民政府办公厅转发自治区发展改革委等部门关于严格实施控制高耗能高排放项目投资审批实施意见的通知》（桂政办发〔2012〕63号）；</w:t>
      </w:r>
    </w:p>
    <w:p w14:paraId="57824FAD">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11、《关于印发开展全区行业企业环境安全风险隐患大排查实施方案的通知》（桂政办〔2012〕45号）；</w:t>
      </w:r>
    </w:p>
    <w:p w14:paraId="3D3782E7">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12、《广西壮族自治区生态环境厅关于印发&lt;广西壮族自治区建设项目环境影响评价文件分级审批管理办法（2022年修订版）&gt;的通知》（桂环规范〔2022〕9号）；</w:t>
      </w:r>
    </w:p>
    <w:p w14:paraId="15A5B6B5">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13、《广西壮族自治区生态环境厅关于印发实施广西壮族自治区生态环境分区管控动态更新成果（2023年）的通知》（桂环规范〔2024〕3号）；</w:t>
      </w:r>
    </w:p>
    <w:p w14:paraId="115EE89E">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14、《广西壮族自治区生态环境厅关于印发落实危险废物环境监管能力、利用处置能力和环境风险防范能力提升工作措施的通知》（桂环规范〔2020〕8号）；</w:t>
      </w:r>
    </w:p>
    <w:p w14:paraId="010EA4FB">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15、《广西壮族自治区生态环境厅关于印发〈广西壮族自治区高耗能、高排放减少项目主要污染物排放管理办法〉的通知》（桂环规范〔2023〕6号）；</w:t>
      </w:r>
    </w:p>
    <w:p w14:paraId="29DBF1C6">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16、《广西壮族自治区生态环境厅关于推进碳排放环境影响评价工作的通知》（桂环函〔2021〕1693号）；</w:t>
      </w:r>
    </w:p>
    <w:p w14:paraId="75D7026F">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17、《广西壮族自治区生态环境厅等部门关于印发〈广西生态保护正面清单（2022）〉和〈广西生态保护禁止事项清单（2022）〉的通知》（桂环发〔2022〕54号）》；</w:t>
      </w:r>
    </w:p>
    <w:p w14:paraId="548548EF">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18、《广西壮族自治区人民政府关于印发广西壮族自治区碳达峰实施方案的通知》（桂政发〔2022〕37号）；</w:t>
      </w:r>
    </w:p>
    <w:p w14:paraId="184BCA93">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19、《广西壮族自治区人民政府关于印发广西战略性新兴产业发展“十四五”规划的通知》（桂政发〔2021〕28号）；</w:t>
      </w:r>
    </w:p>
    <w:p w14:paraId="2EA72366">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20、《广西壮族自治区生态环境厅关于印发广西壮族自治区近岸海域环境功能区划调整方案的通知》（桂环发〔2023〕9号）；</w:t>
      </w:r>
    </w:p>
    <w:p w14:paraId="5D05CA28">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21、《关于印发广西新建石化和化工生产项目准入管理办法（试行）的通知》（桂工信石化〔2021〕503号）；</w:t>
      </w:r>
    </w:p>
    <w:p w14:paraId="42295306">
      <w:pPr>
        <w:spacing w:line="500" w:lineRule="exact"/>
        <w:ind w:firstLine="490" w:firstLineChars="200"/>
        <w:rPr>
          <w:rFonts w:ascii="Arial" w:hAnsi="Arial" w:eastAsia="宋体" w:cs="Arial"/>
          <w:spacing w:val="10"/>
          <w:kern w:val="0"/>
          <w:sz w:val="24"/>
          <w:szCs w:val="24"/>
          <w:u w:val="single"/>
        </w:rPr>
      </w:pPr>
      <w:r>
        <w:rPr>
          <w:rFonts w:hint="eastAsia" w:ascii="Arial" w:hAnsi="Arial" w:eastAsia="宋体" w:cs="Arial"/>
          <w:spacing w:val="10"/>
          <w:kern w:val="0"/>
          <w:sz w:val="24"/>
          <w:szCs w:val="24"/>
          <w:u w:val="single"/>
        </w:rPr>
        <w:t>22、《钦州市生态环境局关于印发〈钦州市生态环境分区管控动态更新成果（2023版）〉的通知》（2024.12.05）；</w:t>
      </w:r>
    </w:p>
    <w:p w14:paraId="4662D5A3">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23、《钦州市生态环境局关于印发&lt;钦州市土壤污染防治“十四五”规划&gt;的通知》；</w:t>
      </w:r>
    </w:p>
    <w:p w14:paraId="58AA9A7E">
      <w:pPr>
        <w:spacing w:line="500" w:lineRule="exact"/>
        <w:ind w:firstLine="490" w:firstLineChars="200"/>
        <w:rPr>
          <w:rFonts w:ascii="Arial" w:hAnsi="Arial" w:eastAsia="宋体" w:cs="Arial"/>
          <w:spacing w:val="10"/>
          <w:kern w:val="0"/>
          <w:sz w:val="24"/>
          <w:szCs w:val="24"/>
        </w:rPr>
      </w:pPr>
      <w:r>
        <w:rPr>
          <w:rFonts w:hint="eastAsia" w:ascii="Arial" w:hAnsi="Arial" w:eastAsia="宋体" w:cs="Arial"/>
          <w:spacing w:val="10"/>
          <w:kern w:val="0"/>
          <w:sz w:val="24"/>
          <w:szCs w:val="24"/>
        </w:rPr>
        <w:t>24、《钦州市生态环境局关于印发&lt;钦州市环境管控单元生态环境准入及管控要求清单（试行）&gt;的通知》（钦环发〔2022〕3号）；</w:t>
      </w:r>
    </w:p>
    <w:p w14:paraId="23F5AA2B">
      <w:pPr>
        <w:spacing w:line="500" w:lineRule="exact"/>
        <w:ind w:firstLine="490" w:firstLineChars="200"/>
        <w:rPr>
          <w:rFonts w:ascii="Arial" w:hAnsi="Arial" w:eastAsia="宋体" w:cs="Arial"/>
          <w:spacing w:val="10"/>
          <w:kern w:val="0"/>
          <w:sz w:val="24"/>
          <w:szCs w:val="24"/>
          <w:highlight w:val="yellow"/>
        </w:rPr>
      </w:pPr>
      <w:r>
        <w:rPr>
          <w:rFonts w:hint="eastAsia" w:ascii="Arial" w:hAnsi="Arial" w:eastAsia="宋体" w:cs="Arial"/>
          <w:spacing w:val="10"/>
          <w:kern w:val="0"/>
          <w:sz w:val="24"/>
          <w:szCs w:val="24"/>
        </w:rPr>
        <w:t>25、《钦州市生态环境局关于印发钦州市2023—2024年秋冬季大气污染防治攻坚行动方案的通知》（2023.10.19）。</w:t>
      </w:r>
    </w:p>
    <w:p w14:paraId="228DF7A8">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相关区域规划</w:t>
      </w:r>
    </w:p>
    <w:p w14:paraId="3B62BF2C">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1、《广西生态省（区）建设规划纲要》（2007年）；</w:t>
      </w:r>
    </w:p>
    <w:p w14:paraId="564CDE57">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2、《广西壮族自治区生态功能区划》（桂政办发〔2008〕8号）；</w:t>
      </w:r>
    </w:p>
    <w:p w14:paraId="5DFA83E6">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3、《广西壮族自治区主体功能区规划》（桂政发〔2012〕89号）；</w:t>
      </w:r>
    </w:p>
    <w:p w14:paraId="6EA2F5A7">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4、《广西生态环境保护“十四五”规划》（桂政办发〔2021〕145号）；</w:t>
      </w:r>
    </w:p>
    <w:p w14:paraId="7CB70578">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5、《中国（广西）自由贸易试验区钦州港片区产业发展规划（2021-2025年）》；</w:t>
      </w:r>
    </w:p>
    <w:p w14:paraId="1459CBE6">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6、《钦州市生态环境保护“十四五”规划》；</w:t>
      </w:r>
    </w:p>
    <w:p w14:paraId="53F00168">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7、《钦州市海洋生态环境保护“十四五”规划（2021-2025年）》（钦政办〔2022〕34号）；</w:t>
      </w:r>
    </w:p>
    <w:p w14:paraId="3972DE3B">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8、《钦州市</w:t>
      </w:r>
      <w:r>
        <w:rPr>
          <w:rFonts w:hint="eastAsia" w:ascii="Arial" w:hAnsi="Arial" w:eastAsia="宋体" w:cs="Arial"/>
          <w:spacing w:val="10"/>
          <w:kern w:val="0"/>
          <w:sz w:val="24"/>
          <w:szCs w:val="24"/>
        </w:rPr>
        <w:t>中心城区</w:t>
      </w:r>
      <w:r>
        <w:rPr>
          <w:rFonts w:ascii="Arial" w:hAnsi="Arial" w:eastAsia="宋体" w:cs="Arial"/>
          <w:spacing w:val="10"/>
          <w:kern w:val="0"/>
          <w:sz w:val="24"/>
          <w:szCs w:val="24"/>
        </w:rPr>
        <w:t>声环境功能区划》；</w:t>
      </w:r>
    </w:p>
    <w:p w14:paraId="06C4430C">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9、《广西钦州石化产业园总体发展规划（2020-2035）》</w:t>
      </w:r>
      <w:r>
        <w:rPr>
          <w:rFonts w:hint="eastAsia" w:ascii="Arial" w:hAnsi="Arial" w:eastAsia="宋体" w:cs="Arial"/>
          <w:spacing w:val="10"/>
          <w:kern w:val="0"/>
          <w:sz w:val="24"/>
          <w:szCs w:val="24"/>
        </w:rPr>
        <w:t>；</w:t>
      </w:r>
    </w:p>
    <w:p w14:paraId="324CCD05">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10、《钦州港大榄坪物流加工区总体规划修编（2022-2035）》。</w:t>
      </w:r>
    </w:p>
    <w:p w14:paraId="4762125B">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产业政策及行业规范</w:t>
      </w:r>
    </w:p>
    <w:p w14:paraId="18670939">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1、《产业结构调整指导目录（2024年本）》（国家发展和改革委员会令第7号，2024.02.01）；</w:t>
      </w:r>
    </w:p>
    <w:p w14:paraId="43D9933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w:t>
      </w:r>
      <w:r>
        <w:rPr>
          <w:rFonts w:ascii="Arial" w:hAnsi="Arial" w:eastAsia="宋体" w:cs="Arial"/>
          <w:spacing w:val="10"/>
          <w:sz w:val="24"/>
          <w:szCs w:val="24"/>
          <w:u w:val="single"/>
        </w:rPr>
        <w:t>《西部地区鼓励类产业目录（202</w:t>
      </w:r>
      <w:r>
        <w:rPr>
          <w:rFonts w:hint="eastAsia" w:ascii="Arial" w:hAnsi="Arial" w:eastAsia="宋体" w:cs="Arial"/>
          <w:spacing w:val="10"/>
          <w:sz w:val="24"/>
          <w:szCs w:val="24"/>
          <w:u w:val="single"/>
        </w:rPr>
        <w:t>5</w:t>
      </w:r>
      <w:r>
        <w:rPr>
          <w:rFonts w:ascii="Arial" w:hAnsi="Arial" w:eastAsia="宋体" w:cs="Arial"/>
          <w:spacing w:val="10"/>
          <w:sz w:val="24"/>
          <w:szCs w:val="24"/>
          <w:u w:val="single"/>
        </w:rPr>
        <w:t>年本）》（</w:t>
      </w:r>
      <w:r>
        <w:rPr>
          <w:rFonts w:hint="eastAsia" w:ascii="Arial" w:hAnsi="Arial" w:eastAsia="宋体" w:cs="Arial"/>
          <w:spacing w:val="10"/>
          <w:sz w:val="24"/>
          <w:szCs w:val="24"/>
          <w:u w:val="single"/>
        </w:rPr>
        <w:t>国家发展和改革委员会令第28号</w:t>
      </w:r>
      <w:r>
        <w:rPr>
          <w:rFonts w:ascii="Arial" w:hAnsi="Arial" w:eastAsia="宋体" w:cs="Arial"/>
          <w:spacing w:val="10"/>
          <w:sz w:val="24"/>
          <w:szCs w:val="24"/>
          <w:u w:val="single"/>
        </w:rPr>
        <w:t xml:space="preserve"> 202</w:t>
      </w:r>
      <w:r>
        <w:rPr>
          <w:rFonts w:hint="eastAsia" w:ascii="Arial" w:hAnsi="Arial" w:eastAsia="宋体" w:cs="Arial"/>
          <w:spacing w:val="10"/>
          <w:sz w:val="24"/>
          <w:szCs w:val="24"/>
          <w:u w:val="single"/>
        </w:rPr>
        <w:t>5.1.1</w:t>
      </w:r>
      <w:r>
        <w:rPr>
          <w:rFonts w:ascii="Arial" w:hAnsi="Arial" w:eastAsia="宋体" w:cs="Arial"/>
          <w:spacing w:val="10"/>
          <w:sz w:val="24"/>
          <w:szCs w:val="24"/>
          <w:u w:val="single"/>
        </w:rPr>
        <w:t>）；</w:t>
      </w:r>
    </w:p>
    <w:p w14:paraId="0CF19813">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3、《北钦防一体化产业协同发展限制布局清单（工业类2021年版）》。</w:t>
      </w:r>
    </w:p>
    <w:p w14:paraId="2B63C461">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相关的技术规范</w:t>
      </w:r>
    </w:p>
    <w:p w14:paraId="2D718EE9">
      <w:pPr>
        <w:spacing w:line="500" w:lineRule="exact"/>
        <w:ind w:firstLine="490" w:firstLineChars="200"/>
        <w:rPr>
          <w:rFonts w:ascii="Arial" w:hAnsi="Arial" w:eastAsia="宋体" w:cs="Arial"/>
          <w:spacing w:val="10"/>
          <w:sz w:val="24"/>
          <w:szCs w:val="24"/>
        </w:rPr>
      </w:pPr>
      <w:r>
        <w:rPr>
          <w:rFonts w:ascii="Arial" w:hAnsi="Arial" w:eastAsia="宋体" w:cs="Arial"/>
          <w:spacing w:val="10"/>
          <w:kern w:val="0"/>
          <w:sz w:val="24"/>
          <w:szCs w:val="24"/>
        </w:rPr>
        <w:t>1、《</w:t>
      </w:r>
      <w:r>
        <w:rPr>
          <w:rFonts w:ascii="Arial" w:hAnsi="Arial" w:eastAsia="宋体" w:cs="Arial"/>
          <w:spacing w:val="10"/>
          <w:sz w:val="24"/>
          <w:szCs w:val="24"/>
        </w:rPr>
        <w:t>建设项目环境影响评价技术导则  总纲》（HJ2.1-2016）；</w:t>
      </w:r>
    </w:p>
    <w:p w14:paraId="78845A0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2、《环境影响评价技术导则  大气环境》（HJ2.2-2018）；</w:t>
      </w:r>
    </w:p>
    <w:p w14:paraId="087ED980">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3、《环境影响评价技术导则  地表水环境》（HJ2.3-2018）；</w:t>
      </w:r>
    </w:p>
    <w:p w14:paraId="056AA8E5">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4、《环境影响评价技术导则  声环境》（HJ2.4-2021）；</w:t>
      </w:r>
    </w:p>
    <w:p w14:paraId="67DDFEC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5、《环境影响评价技术导则  地下水环境》（HJ610-2016）；</w:t>
      </w:r>
    </w:p>
    <w:p w14:paraId="4A8505B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6、《环境影响评价技术导则  生态影响》（HJ19-2022）；</w:t>
      </w:r>
    </w:p>
    <w:p w14:paraId="6C39385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7、《环境影响评价技术导则  土壤环境（试行）》（HJ964-2018）；</w:t>
      </w:r>
    </w:p>
    <w:p w14:paraId="6A341D6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8、《建设项目环境风险评价技术导则》（HJ169-2018）；</w:t>
      </w:r>
    </w:p>
    <w:p w14:paraId="6C59D01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9、《声环境功能区划分技术规范》（GB/T 15190-2014）；</w:t>
      </w:r>
    </w:p>
    <w:p w14:paraId="4C91C97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10、《环境空气质量评价技术规范（试行）》（HJ633-2013）；</w:t>
      </w:r>
    </w:p>
    <w:p w14:paraId="0FEBC26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11、《固体废物鉴别标准 通则》（GB34330-2017）；</w:t>
      </w:r>
    </w:p>
    <w:p w14:paraId="628E159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12、《排污许可证申请与核发技术规范 无机化学工业》（HJ1035-2019）；</w:t>
      </w:r>
    </w:p>
    <w:p w14:paraId="7FDF9E8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13、《排污单位自行监测技术指南 无机化学工业》（HJ 1138-2020）；</w:t>
      </w:r>
    </w:p>
    <w:p w14:paraId="40D12B89">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14、《工业企业土壤和地下水自行监测技术指南（试行）》（HJ1209-2021）；</w:t>
      </w:r>
    </w:p>
    <w:p w14:paraId="337FEABB">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15、《建设项目危险废物环境影响评价指南》；</w:t>
      </w:r>
    </w:p>
    <w:p w14:paraId="4D5CD81B">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16、《危险废物鉴别技术规范》（HJ298-2019）；</w:t>
      </w:r>
    </w:p>
    <w:p w14:paraId="7DDB6B48">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17、《地下水环境监测技术规范》（HJ164-2020）；</w:t>
      </w:r>
    </w:p>
    <w:p w14:paraId="65AFA370">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18、《地下水质量标准》（GB/T14848-2017）；</w:t>
      </w:r>
    </w:p>
    <w:p w14:paraId="1E1DEA50">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19、《生活饮用水卫生标准》（GB5749-2022）；</w:t>
      </w:r>
    </w:p>
    <w:p w14:paraId="7CB2C4BE">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20、《地下水监测工程技术</w:t>
      </w:r>
      <w:r>
        <w:rPr>
          <w:rFonts w:hint="eastAsia" w:ascii="Arial" w:hAnsi="Arial" w:eastAsia="宋体" w:cs="Arial"/>
          <w:spacing w:val="10"/>
          <w:sz w:val="24"/>
          <w:szCs w:val="24"/>
        </w:rPr>
        <w:t>标准</w:t>
      </w:r>
      <w:r>
        <w:rPr>
          <w:rFonts w:ascii="Arial" w:hAnsi="Arial" w:eastAsia="宋体" w:cs="Arial"/>
          <w:spacing w:val="10"/>
          <w:sz w:val="24"/>
          <w:szCs w:val="24"/>
        </w:rPr>
        <w:t>》（GB/T51040-20</w:t>
      </w:r>
      <w:r>
        <w:rPr>
          <w:rFonts w:hint="eastAsia" w:ascii="Arial" w:hAnsi="Arial" w:eastAsia="宋体" w:cs="Arial"/>
          <w:spacing w:val="10"/>
          <w:sz w:val="24"/>
          <w:szCs w:val="24"/>
        </w:rPr>
        <w:t>23</w:t>
      </w:r>
      <w:r>
        <w:rPr>
          <w:rFonts w:ascii="Arial" w:hAnsi="Arial" w:eastAsia="宋体" w:cs="Arial"/>
          <w:spacing w:val="10"/>
          <w:sz w:val="24"/>
          <w:szCs w:val="24"/>
        </w:rPr>
        <w:t>）</w:t>
      </w:r>
      <w:r>
        <w:rPr>
          <w:rFonts w:hint="eastAsia" w:ascii="Arial" w:hAnsi="Arial" w:eastAsia="宋体" w:cs="Arial"/>
          <w:spacing w:val="10"/>
          <w:sz w:val="24"/>
          <w:szCs w:val="24"/>
        </w:rPr>
        <w:t>；</w:t>
      </w:r>
    </w:p>
    <w:p w14:paraId="7132AA60">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sz w:val="24"/>
          <w:szCs w:val="24"/>
        </w:rPr>
        <w:t>21、《危险化学品重大危险源辨识》（GB18218-2018）；</w:t>
      </w:r>
    </w:p>
    <w:p w14:paraId="3FBF20BB">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sz w:val="24"/>
          <w:szCs w:val="24"/>
        </w:rPr>
        <w:t>22、《危险废物管理计划和管理台账制定技术导则》（HJ 1259-2022）；</w:t>
      </w:r>
    </w:p>
    <w:p w14:paraId="22578984">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sz w:val="24"/>
          <w:szCs w:val="24"/>
        </w:rPr>
        <w:t>23、《一般工业固体废物管理台账制定指南（试行）》。</w:t>
      </w:r>
    </w:p>
    <w:p w14:paraId="13434FCB">
      <w:pPr>
        <w:keepNext/>
        <w:keepLines/>
        <w:numPr>
          <w:ilvl w:val="0"/>
          <w:numId w:val="3"/>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相关技术文件</w:t>
      </w:r>
    </w:p>
    <w:p w14:paraId="1858D320">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1、项目环评委托书；</w:t>
      </w:r>
    </w:p>
    <w:p w14:paraId="22A824D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w:t>
      </w:r>
      <w:r>
        <w:rPr>
          <w:rFonts w:hint="eastAsia" w:ascii="Arial" w:hAnsi="Arial" w:eastAsia="宋体" w:cs="Arial"/>
          <w:spacing w:val="10"/>
          <w:sz w:val="24"/>
          <w:szCs w:val="24"/>
        </w:rPr>
        <w:t>广西中伟新能源项目一期二阶段</w:t>
      </w:r>
      <w:r>
        <w:rPr>
          <w:rFonts w:ascii="Arial" w:hAnsi="Arial" w:eastAsia="宋体" w:cs="Arial"/>
          <w:spacing w:val="10"/>
          <w:sz w:val="24"/>
          <w:szCs w:val="24"/>
        </w:rPr>
        <w:t>备案证明；</w:t>
      </w:r>
    </w:p>
    <w:p w14:paraId="2799A751">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3</w:t>
      </w:r>
      <w:r>
        <w:rPr>
          <w:rFonts w:ascii="Arial" w:hAnsi="Arial" w:eastAsia="宋体" w:cs="Arial"/>
          <w:spacing w:val="10"/>
          <w:sz w:val="24"/>
          <w:szCs w:val="24"/>
        </w:rPr>
        <w:t>、项目环境监测报告；</w:t>
      </w:r>
    </w:p>
    <w:p w14:paraId="4CB4A125">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4</w:t>
      </w:r>
      <w:r>
        <w:rPr>
          <w:rFonts w:ascii="Arial" w:hAnsi="Arial" w:eastAsia="宋体" w:cs="Arial"/>
          <w:spacing w:val="10"/>
          <w:sz w:val="24"/>
          <w:szCs w:val="24"/>
        </w:rPr>
        <w:t>、《钦州港大榄坪物流加工区总体规划修编（2022-2035）环境影响报告书》；</w:t>
      </w:r>
    </w:p>
    <w:p w14:paraId="4896F6A9">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5</w:t>
      </w:r>
      <w:r>
        <w:rPr>
          <w:rFonts w:ascii="Arial" w:hAnsi="Arial" w:eastAsia="宋体" w:cs="Arial"/>
          <w:spacing w:val="10"/>
          <w:sz w:val="24"/>
          <w:szCs w:val="24"/>
        </w:rPr>
        <w:t>、《钦州港大榄坪物流加工区总体规划修编（2022-2035）环境影响报告书审查意见》；</w:t>
      </w:r>
    </w:p>
    <w:p w14:paraId="628192A6">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6</w:t>
      </w:r>
      <w:r>
        <w:rPr>
          <w:rFonts w:ascii="Arial" w:hAnsi="Arial" w:eastAsia="宋体" w:cs="Arial"/>
          <w:spacing w:val="10"/>
          <w:sz w:val="24"/>
          <w:szCs w:val="24"/>
        </w:rPr>
        <w:t>、《广西钦州石化产业园总体发展规划（2020-2035）环境影响报告书》；</w:t>
      </w:r>
    </w:p>
    <w:p w14:paraId="1FE3E1AB">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7</w:t>
      </w:r>
      <w:r>
        <w:rPr>
          <w:rFonts w:ascii="Arial" w:hAnsi="Arial" w:eastAsia="宋体" w:cs="Arial"/>
          <w:spacing w:val="10"/>
          <w:sz w:val="24"/>
          <w:szCs w:val="24"/>
        </w:rPr>
        <w:t>、《钦州石化产业园总体发展规划环境影响报告书审查意见》（桂环函〔2021〕388号）；</w:t>
      </w:r>
    </w:p>
    <w:p w14:paraId="04551E2A">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8</w:t>
      </w:r>
      <w:r>
        <w:rPr>
          <w:rFonts w:ascii="Arial" w:hAnsi="Arial" w:eastAsia="宋体" w:cs="Arial"/>
          <w:spacing w:val="10"/>
          <w:sz w:val="24"/>
          <w:szCs w:val="24"/>
        </w:rPr>
        <w:t>、建设单位提供</w:t>
      </w:r>
      <w:r>
        <w:rPr>
          <w:rFonts w:hint="eastAsia" w:ascii="Arial" w:hAnsi="Arial" w:eastAsia="宋体" w:cs="Arial"/>
          <w:spacing w:val="10"/>
          <w:sz w:val="24"/>
          <w:szCs w:val="24"/>
          <w:lang w:eastAsia="zh-CN"/>
        </w:rPr>
        <w:t>的其他有关</w:t>
      </w:r>
      <w:r>
        <w:rPr>
          <w:rFonts w:ascii="Arial" w:hAnsi="Arial" w:eastAsia="宋体" w:cs="Arial"/>
          <w:spacing w:val="10"/>
          <w:sz w:val="24"/>
          <w:szCs w:val="24"/>
        </w:rPr>
        <w:t>工程技术资料。</w:t>
      </w:r>
    </w:p>
    <w:p w14:paraId="5072D7D8">
      <w:pPr>
        <w:keepNext/>
        <w:keepLines/>
        <w:numPr>
          <w:ilvl w:val="0"/>
          <w:numId w:val="2"/>
        </w:numPr>
        <w:tabs>
          <w:tab w:val="left" w:pos="567"/>
        </w:tabs>
        <w:spacing w:before="210" w:after="210" w:line="500" w:lineRule="exact"/>
        <w:outlineLvl w:val="1"/>
        <w:rPr>
          <w:rFonts w:ascii="Arial" w:hAnsi="Arial" w:eastAsia="宋体" w:cs="Arial"/>
          <w:b/>
        </w:rPr>
      </w:pPr>
      <w:bookmarkStart w:id="229" w:name="_Toc182491370"/>
      <w:bookmarkStart w:id="230" w:name="_Toc154599054"/>
      <w:bookmarkStart w:id="231" w:name="_Toc185950207"/>
      <w:bookmarkStart w:id="232" w:name="_Toc166675351"/>
      <w:r>
        <w:rPr>
          <w:rFonts w:ascii="Arial" w:hAnsi="Arial" w:eastAsia="宋体" w:cs="Arial"/>
          <w:b/>
        </w:rPr>
        <w:t>评价因子、环境功能区以及评价标准</w:t>
      </w:r>
      <w:bookmarkEnd w:id="229"/>
      <w:bookmarkEnd w:id="230"/>
      <w:bookmarkEnd w:id="231"/>
      <w:bookmarkEnd w:id="232"/>
    </w:p>
    <w:p w14:paraId="60CF6836">
      <w:pPr>
        <w:keepNext/>
        <w:keepLines/>
        <w:numPr>
          <w:ilvl w:val="0"/>
          <w:numId w:val="4"/>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评价因子</w:t>
      </w:r>
    </w:p>
    <w:p w14:paraId="0FDDCB4B">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1、区域环境制约因素</w:t>
      </w:r>
    </w:p>
    <w:p w14:paraId="4ACCB065">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区域环境对本项目制约程度见表1-1。</w:t>
      </w:r>
    </w:p>
    <w:p w14:paraId="2997FCB7">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区域环境对项目建设的制约因素分析</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96"/>
        <w:gridCol w:w="2370"/>
        <w:gridCol w:w="2322"/>
      </w:tblGrid>
      <w:tr w14:paraId="623CD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896" w:type="dxa"/>
            <w:vAlign w:val="center"/>
          </w:tcPr>
          <w:p w14:paraId="46C6D325">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环境要素</w:t>
            </w:r>
          </w:p>
        </w:tc>
        <w:tc>
          <w:tcPr>
            <w:tcW w:w="2370" w:type="dxa"/>
            <w:vAlign w:val="center"/>
          </w:tcPr>
          <w:p w14:paraId="549F040A">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对项目的制约因素</w:t>
            </w:r>
          </w:p>
        </w:tc>
        <w:tc>
          <w:tcPr>
            <w:tcW w:w="2322" w:type="dxa"/>
            <w:vAlign w:val="center"/>
          </w:tcPr>
          <w:p w14:paraId="736AC60D">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对项目的制约程度</w:t>
            </w:r>
          </w:p>
        </w:tc>
      </w:tr>
      <w:tr w14:paraId="0B1F7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6" w:type="dxa"/>
            <w:vAlign w:val="center"/>
          </w:tcPr>
          <w:p w14:paraId="536E42C7">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地表水</w:t>
            </w:r>
            <w:r>
              <w:rPr>
                <w:rFonts w:hint="eastAsia" w:ascii="Arial" w:hAnsi="Arial" w:eastAsia="宋体" w:cs="Arial"/>
                <w:sz w:val="21"/>
                <w:szCs w:val="21"/>
              </w:rPr>
              <w:t>（海水）</w:t>
            </w:r>
            <w:r>
              <w:rPr>
                <w:rFonts w:ascii="Arial" w:hAnsi="Arial" w:eastAsia="宋体" w:cs="Arial"/>
                <w:sz w:val="21"/>
                <w:szCs w:val="21"/>
              </w:rPr>
              <w:t>水质</w:t>
            </w:r>
          </w:p>
        </w:tc>
        <w:tc>
          <w:tcPr>
            <w:tcW w:w="2370" w:type="dxa"/>
            <w:vAlign w:val="center"/>
          </w:tcPr>
          <w:p w14:paraId="4804A2C3">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14:paraId="74E4DDD7">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2</w:t>
            </w:r>
          </w:p>
        </w:tc>
      </w:tr>
      <w:tr w14:paraId="40471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6" w:type="dxa"/>
            <w:vAlign w:val="center"/>
          </w:tcPr>
          <w:p w14:paraId="51AAF124">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地下水水质</w:t>
            </w:r>
          </w:p>
        </w:tc>
        <w:tc>
          <w:tcPr>
            <w:tcW w:w="2370" w:type="dxa"/>
            <w:vAlign w:val="center"/>
          </w:tcPr>
          <w:p w14:paraId="25F1C2DA">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14:paraId="46CCF7B1">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1</w:t>
            </w:r>
          </w:p>
        </w:tc>
      </w:tr>
      <w:tr w14:paraId="5E672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6" w:type="dxa"/>
            <w:vAlign w:val="center"/>
          </w:tcPr>
          <w:p w14:paraId="02D4E6A9">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环境空气质量</w:t>
            </w:r>
          </w:p>
        </w:tc>
        <w:tc>
          <w:tcPr>
            <w:tcW w:w="2370" w:type="dxa"/>
            <w:vAlign w:val="center"/>
          </w:tcPr>
          <w:p w14:paraId="3CA18AE8">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14:paraId="1C5AB1E4">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2</w:t>
            </w:r>
          </w:p>
        </w:tc>
      </w:tr>
      <w:tr w14:paraId="6D853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6" w:type="dxa"/>
            <w:vAlign w:val="center"/>
          </w:tcPr>
          <w:p w14:paraId="363D2949">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土壤环境质量</w:t>
            </w:r>
          </w:p>
        </w:tc>
        <w:tc>
          <w:tcPr>
            <w:tcW w:w="2370" w:type="dxa"/>
            <w:vAlign w:val="center"/>
          </w:tcPr>
          <w:p w14:paraId="6365AA1D">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14:paraId="4E3BF725">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1</w:t>
            </w:r>
          </w:p>
        </w:tc>
      </w:tr>
      <w:tr w14:paraId="1EE83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6" w:type="dxa"/>
            <w:vAlign w:val="center"/>
          </w:tcPr>
          <w:p w14:paraId="2A1F9A34">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声环境质量</w:t>
            </w:r>
          </w:p>
        </w:tc>
        <w:tc>
          <w:tcPr>
            <w:tcW w:w="2370" w:type="dxa"/>
            <w:vAlign w:val="center"/>
          </w:tcPr>
          <w:p w14:paraId="196B9921">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14:paraId="4FDE5177">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1</w:t>
            </w:r>
          </w:p>
        </w:tc>
      </w:tr>
      <w:tr w14:paraId="478BB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6" w:type="dxa"/>
            <w:vAlign w:val="center"/>
          </w:tcPr>
          <w:p w14:paraId="4CB44BBE">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生态环境</w:t>
            </w:r>
          </w:p>
        </w:tc>
        <w:tc>
          <w:tcPr>
            <w:tcW w:w="2370" w:type="dxa"/>
            <w:vAlign w:val="center"/>
          </w:tcPr>
          <w:p w14:paraId="3BCA862D">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无</w:t>
            </w:r>
          </w:p>
        </w:tc>
        <w:tc>
          <w:tcPr>
            <w:tcW w:w="2322" w:type="dxa"/>
            <w:vAlign w:val="center"/>
          </w:tcPr>
          <w:p w14:paraId="638A3121">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1</w:t>
            </w:r>
          </w:p>
        </w:tc>
      </w:tr>
    </w:tbl>
    <w:p w14:paraId="55BCDD49">
      <w:pPr>
        <w:spacing w:line="240" w:lineRule="exact"/>
        <w:ind w:firstLine="430" w:firstLineChars="200"/>
        <w:rPr>
          <w:rFonts w:ascii="Arial" w:hAnsi="Arial" w:eastAsia="宋体" w:cs="Arial"/>
          <w:spacing w:val="10"/>
          <w:sz w:val="24"/>
          <w:szCs w:val="24"/>
        </w:rPr>
      </w:pPr>
      <w:r>
        <w:rPr>
          <w:rFonts w:ascii="Arial" w:hAnsi="Arial" w:eastAsia="宋体" w:cs="Arial"/>
          <w:spacing w:val="10"/>
          <w:sz w:val="21"/>
          <w:szCs w:val="21"/>
        </w:rPr>
        <w:t>注：表中数字表示制约程度，“1”为轻度，“2”为中度，“3”为重度。</w:t>
      </w:r>
    </w:p>
    <w:p w14:paraId="4982118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2、项目的环境影响因素</w:t>
      </w:r>
    </w:p>
    <w:p w14:paraId="1DE88533">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项目施工期和运营期对各环境要素的影响类型和程度分析见表1-2。</w:t>
      </w:r>
    </w:p>
    <w:p w14:paraId="7C4ABEBB">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建设项目的环境影响因素</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74"/>
        <w:gridCol w:w="1288"/>
        <w:gridCol w:w="531"/>
        <w:gridCol w:w="530"/>
        <w:gridCol w:w="530"/>
        <w:gridCol w:w="660"/>
        <w:gridCol w:w="441"/>
        <w:gridCol w:w="421"/>
        <w:gridCol w:w="421"/>
        <w:gridCol w:w="421"/>
        <w:gridCol w:w="421"/>
        <w:gridCol w:w="421"/>
        <w:gridCol w:w="612"/>
        <w:gridCol w:w="571"/>
        <w:gridCol w:w="398"/>
        <w:gridCol w:w="398"/>
        <w:gridCol w:w="453"/>
      </w:tblGrid>
      <w:tr w14:paraId="661CF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662" w:type="dxa"/>
            <w:gridSpan w:val="2"/>
            <w:vMerge w:val="restart"/>
            <w:vAlign w:val="center"/>
          </w:tcPr>
          <w:p w14:paraId="5A83F788">
            <w:pPr>
              <w:adjustRightInd w:val="0"/>
              <w:snapToGrid w:val="0"/>
              <w:jc w:val="center"/>
              <w:rPr>
                <w:rFonts w:ascii="Arial" w:hAnsi="Arial" w:eastAsia="宋体" w:cs="Arial"/>
                <w:sz w:val="21"/>
                <w:szCs w:val="21"/>
              </w:rPr>
            </w:pPr>
            <w:r>
              <w:rPr>
                <w:rFonts w:ascii="Arial" w:hAnsi="Arial" w:eastAsia="宋体" w:cs="Arial"/>
                <w:sz w:val="21"/>
                <w:szCs w:val="21"/>
              </w:rPr>
              <w:t>影响类型</w:t>
            </w:r>
          </w:p>
          <w:p w14:paraId="13BBEFF4">
            <w:pPr>
              <w:adjustRightInd w:val="0"/>
              <w:snapToGrid w:val="0"/>
              <w:jc w:val="center"/>
              <w:rPr>
                <w:rFonts w:ascii="Arial" w:hAnsi="Arial" w:eastAsia="宋体" w:cs="Arial"/>
                <w:sz w:val="21"/>
                <w:szCs w:val="21"/>
              </w:rPr>
            </w:pPr>
            <w:r>
              <w:rPr>
                <w:rFonts w:ascii="Arial" w:hAnsi="Arial" w:eastAsia="宋体" w:cs="Arial"/>
                <w:sz w:val="21"/>
                <w:szCs w:val="21"/>
              </w:rPr>
              <w:t>影响阶段</w:t>
            </w:r>
          </w:p>
        </w:tc>
        <w:tc>
          <w:tcPr>
            <w:tcW w:w="4797" w:type="dxa"/>
            <w:gridSpan w:val="10"/>
            <w:vAlign w:val="center"/>
          </w:tcPr>
          <w:p w14:paraId="2BF12B6C">
            <w:pPr>
              <w:adjustRightInd w:val="0"/>
              <w:snapToGrid w:val="0"/>
              <w:jc w:val="center"/>
              <w:rPr>
                <w:rFonts w:ascii="Arial" w:hAnsi="Arial" w:eastAsia="宋体" w:cs="Arial"/>
                <w:sz w:val="21"/>
                <w:szCs w:val="21"/>
              </w:rPr>
            </w:pPr>
            <w:r>
              <w:rPr>
                <w:rFonts w:ascii="Arial" w:hAnsi="Arial" w:eastAsia="宋体" w:cs="Arial"/>
                <w:sz w:val="21"/>
                <w:szCs w:val="21"/>
              </w:rPr>
              <w:t>影响类型</w:t>
            </w:r>
          </w:p>
        </w:tc>
        <w:tc>
          <w:tcPr>
            <w:tcW w:w="2432" w:type="dxa"/>
            <w:gridSpan w:val="5"/>
            <w:vAlign w:val="center"/>
          </w:tcPr>
          <w:p w14:paraId="5E1BA885">
            <w:pPr>
              <w:adjustRightInd w:val="0"/>
              <w:snapToGrid w:val="0"/>
              <w:jc w:val="center"/>
              <w:rPr>
                <w:rFonts w:ascii="Arial" w:hAnsi="Arial" w:eastAsia="宋体" w:cs="Arial"/>
                <w:sz w:val="21"/>
                <w:szCs w:val="21"/>
              </w:rPr>
            </w:pPr>
            <w:r>
              <w:rPr>
                <w:rFonts w:ascii="Arial" w:hAnsi="Arial" w:eastAsia="宋体" w:cs="Arial"/>
                <w:sz w:val="21"/>
                <w:szCs w:val="21"/>
              </w:rPr>
              <w:t>影响程度</w:t>
            </w:r>
          </w:p>
        </w:tc>
      </w:tr>
      <w:tr w14:paraId="09B84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662" w:type="dxa"/>
            <w:gridSpan w:val="2"/>
            <w:vMerge w:val="continue"/>
            <w:vAlign w:val="center"/>
          </w:tcPr>
          <w:p w14:paraId="7F750622">
            <w:pPr>
              <w:widowControl/>
              <w:jc w:val="left"/>
              <w:rPr>
                <w:rFonts w:ascii="Arial" w:hAnsi="Arial" w:eastAsia="宋体" w:cs="Arial"/>
                <w:sz w:val="21"/>
                <w:szCs w:val="21"/>
              </w:rPr>
            </w:pPr>
          </w:p>
        </w:tc>
        <w:tc>
          <w:tcPr>
            <w:tcW w:w="531" w:type="dxa"/>
            <w:vMerge w:val="restart"/>
            <w:vAlign w:val="center"/>
          </w:tcPr>
          <w:p w14:paraId="47793D30">
            <w:pPr>
              <w:adjustRightInd w:val="0"/>
              <w:snapToGrid w:val="0"/>
              <w:jc w:val="center"/>
              <w:rPr>
                <w:rFonts w:ascii="Arial" w:hAnsi="Arial" w:eastAsia="宋体" w:cs="Arial"/>
                <w:sz w:val="21"/>
                <w:szCs w:val="21"/>
              </w:rPr>
            </w:pPr>
            <w:r>
              <w:rPr>
                <w:rFonts w:ascii="Arial" w:hAnsi="Arial" w:eastAsia="宋体" w:cs="Arial"/>
                <w:sz w:val="21"/>
                <w:szCs w:val="21"/>
              </w:rPr>
              <w:t>有利</w:t>
            </w:r>
          </w:p>
        </w:tc>
        <w:tc>
          <w:tcPr>
            <w:tcW w:w="530" w:type="dxa"/>
            <w:vMerge w:val="restart"/>
            <w:vAlign w:val="center"/>
          </w:tcPr>
          <w:p w14:paraId="112D3794">
            <w:pPr>
              <w:adjustRightInd w:val="0"/>
              <w:snapToGrid w:val="0"/>
              <w:jc w:val="center"/>
              <w:rPr>
                <w:rFonts w:ascii="Arial" w:hAnsi="Arial" w:eastAsia="宋体" w:cs="Arial"/>
                <w:sz w:val="21"/>
                <w:szCs w:val="21"/>
              </w:rPr>
            </w:pPr>
            <w:r>
              <w:rPr>
                <w:rFonts w:ascii="Arial" w:hAnsi="Arial" w:eastAsia="宋体" w:cs="Arial"/>
                <w:sz w:val="21"/>
                <w:szCs w:val="21"/>
              </w:rPr>
              <w:t>不利</w:t>
            </w:r>
          </w:p>
        </w:tc>
        <w:tc>
          <w:tcPr>
            <w:tcW w:w="530" w:type="dxa"/>
            <w:vMerge w:val="restart"/>
            <w:vAlign w:val="center"/>
          </w:tcPr>
          <w:p w14:paraId="0EB9D3C7">
            <w:pPr>
              <w:adjustRightInd w:val="0"/>
              <w:snapToGrid w:val="0"/>
              <w:jc w:val="center"/>
              <w:rPr>
                <w:rFonts w:ascii="Arial" w:hAnsi="Arial" w:eastAsia="宋体" w:cs="Arial"/>
                <w:sz w:val="21"/>
                <w:szCs w:val="21"/>
              </w:rPr>
            </w:pPr>
            <w:r>
              <w:rPr>
                <w:rFonts w:ascii="Arial" w:hAnsi="Arial" w:eastAsia="宋体" w:cs="Arial"/>
                <w:sz w:val="21"/>
                <w:szCs w:val="21"/>
              </w:rPr>
              <w:t>可逆</w:t>
            </w:r>
          </w:p>
        </w:tc>
        <w:tc>
          <w:tcPr>
            <w:tcW w:w="660" w:type="dxa"/>
            <w:vMerge w:val="restart"/>
            <w:vAlign w:val="center"/>
          </w:tcPr>
          <w:p w14:paraId="09FE36D0">
            <w:pPr>
              <w:adjustRightInd w:val="0"/>
              <w:snapToGrid w:val="0"/>
              <w:jc w:val="center"/>
              <w:rPr>
                <w:rFonts w:ascii="Arial" w:hAnsi="Arial" w:eastAsia="宋体" w:cs="Arial"/>
                <w:sz w:val="21"/>
                <w:szCs w:val="21"/>
              </w:rPr>
            </w:pPr>
            <w:r>
              <w:rPr>
                <w:rFonts w:ascii="Arial" w:hAnsi="Arial" w:eastAsia="宋体" w:cs="Arial"/>
                <w:sz w:val="21"/>
                <w:szCs w:val="21"/>
              </w:rPr>
              <w:t>不可逆</w:t>
            </w:r>
          </w:p>
        </w:tc>
        <w:tc>
          <w:tcPr>
            <w:tcW w:w="441" w:type="dxa"/>
            <w:vMerge w:val="restart"/>
            <w:vAlign w:val="center"/>
          </w:tcPr>
          <w:p w14:paraId="788981E8">
            <w:pPr>
              <w:adjustRightInd w:val="0"/>
              <w:snapToGrid w:val="0"/>
              <w:jc w:val="center"/>
              <w:rPr>
                <w:rFonts w:ascii="Arial" w:hAnsi="Arial" w:eastAsia="宋体" w:cs="Arial"/>
                <w:sz w:val="21"/>
                <w:szCs w:val="21"/>
              </w:rPr>
            </w:pPr>
            <w:r>
              <w:rPr>
                <w:rFonts w:ascii="Arial" w:hAnsi="Arial" w:eastAsia="宋体" w:cs="Arial"/>
                <w:sz w:val="21"/>
                <w:szCs w:val="21"/>
              </w:rPr>
              <w:t>短期</w:t>
            </w:r>
          </w:p>
        </w:tc>
        <w:tc>
          <w:tcPr>
            <w:tcW w:w="421" w:type="dxa"/>
            <w:vMerge w:val="restart"/>
            <w:vAlign w:val="center"/>
          </w:tcPr>
          <w:p w14:paraId="4E4991E6">
            <w:pPr>
              <w:adjustRightInd w:val="0"/>
              <w:snapToGrid w:val="0"/>
              <w:jc w:val="center"/>
              <w:rPr>
                <w:rFonts w:ascii="Arial" w:hAnsi="Arial" w:eastAsia="宋体" w:cs="Arial"/>
                <w:sz w:val="21"/>
                <w:szCs w:val="21"/>
              </w:rPr>
            </w:pPr>
            <w:r>
              <w:rPr>
                <w:rFonts w:ascii="Arial" w:hAnsi="Arial" w:eastAsia="宋体" w:cs="Arial"/>
                <w:sz w:val="21"/>
                <w:szCs w:val="21"/>
              </w:rPr>
              <w:t>长期</w:t>
            </w:r>
          </w:p>
        </w:tc>
        <w:tc>
          <w:tcPr>
            <w:tcW w:w="421" w:type="dxa"/>
            <w:vMerge w:val="restart"/>
            <w:vAlign w:val="center"/>
          </w:tcPr>
          <w:p w14:paraId="776EFEB1">
            <w:pPr>
              <w:adjustRightInd w:val="0"/>
              <w:snapToGrid w:val="0"/>
              <w:jc w:val="center"/>
              <w:rPr>
                <w:rFonts w:ascii="Arial" w:hAnsi="Arial" w:eastAsia="宋体" w:cs="Arial"/>
                <w:sz w:val="21"/>
                <w:szCs w:val="21"/>
              </w:rPr>
            </w:pPr>
            <w:r>
              <w:rPr>
                <w:rFonts w:ascii="Arial" w:hAnsi="Arial" w:eastAsia="宋体" w:cs="Arial"/>
                <w:sz w:val="21"/>
                <w:szCs w:val="21"/>
              </w:rPr>
              <w:t>直接</w:t>
            </w:r>
          </w:p>
        </w:tc>
        <w:tc>
          <w:tcPr>
            <w:tcW w:w="421" w:type="dxa"/>
            <w:vMerge w:val="restart"/>
            <w:vAlign w:val="center"/>
          </w:tcPr>
          <w:p w14:paraId="782DB9D8">
            <w:pPr>
              <w:adjustRightInd w:val="0"/>
              <w:snapToGrid w:val="0"/>
              <w:jc w:val="center"/>
              <w:rPr>
                <w:rFonts w:ascii="Arial" w:hAnsi="Arial" w:eastAsia="宋体" w:cs="Arial"/>
                <w:sz w:val="21"/>
                <w:szCs w:val="21"/>
              </w:rPr>
            </w:pPr>
            <w:r>
              <w:rPr>
                <w:rFonts w:ascii="Arial" w:hAnsi="Arial" w:eastAsia="宋体" w:cs="Arial"/>
                <w:sz w:val="21"/>
                <w:szCs w:val="21"/>
              </w:rPr>
              <w:t>间接</w:t>
            </w:r>
          </w:p>
        </w:tc>
        <w:tc>
          <w:tcPr>
            <w:tcW w:w="421" w:type="dxa"/>
            <w:vMerge w:val="restart"/>
            <w:vAlign w:val="center"/>
          </w:tcPr>
          <w:p w14:paraId="0D3F82E4">
            <w:pPr>
              <w:adjustRightInd w:val="0"/>
              <w:snapToGrid w:val="0"/>
              <w:jc w:val="center"/>
              <w:rPr>
                <w:rFonts w:ascii="Arial" w:hAnsi="Arial" w:eastAsia="宋体" w:cs="Arial"/>
                <w:sz w:val="21"/>
                <w:szCs w:val="21"/>
              </w:rPr>
            </w:pPr>
            <w:r>
              <w:rPr>
                <w:rFonts w:ascii="Arial" w:hAnsi="Arial" w:eastAsia="宋体" w:cs="Arial"/>
                <w:sz w:val="21"/>
                <w:szCs w:val="21"/>
              </w:rPr>
              <w:t>局部</w:t>
            </w:r>
          </w:p>
        </w:tc>
        <w:tc>
          <w:tcPr>
            <w:tcW w:w="421" w:type="dxa"/>
            <w:vMerge w:val="restart"/>
            <w:vAlign w:val="center"/>
          </w:tcPr>
          <w:p w14:paraId="588D1C33">
            <w:pPr>
              <w:adjustRightInd w:val="0"/>
              <w:snapToGrid w:val="0"/>
              <w:jc w:val="center"/>
              <w:rPr>
                <w:rFonts w:ascii="Arial" w:hAnsi="Arial" w:eastAsia="宋体" w:cs="Arial"/>
                <w:sz w:val="21"/>
                <w:szCs w:val="21"/>
              </w:rPr>
            </w:pPr>
            <w:r>
              <w:rPr>
                <w:rFonts w:ascii="Arial" w:hAnsi="Arial" w:eastAsia="宋体" w:cs="Arial"/>
                <w:sz w:val="21"/>
                <w:szCs w:val="21"/>
              </w:rPr>
              <w:t>区域</w:t>
            </w:r>
          </w:p>
        </w:tc>
        <w:tc>
          <w:tcPr>
            <w:tcW w:w="612" w:type="dxa"/>
            <w:vMerge w:val="restart"/>
            <w:vAlign w:val="center"/>
          </w:tcPr>
          <w:p w14:paraId="387FB349">
            <w:pPr>
              <w:adjustRightInd w:val="0"/>
              <w:snapToGrid w:val="0"/>
              <w:jc w:val="center"/>
              <w:rPr>
                <w:rFonts w:ascii="Arial" w:hAnsi="Arial" w:eastAsia="宋体" w:cs="Arial"/>
                <w:sz w:val="21"/>
                <w:szCs w:val="21"/>
              </w:rPr>
            </w:pPr>
            <w:r>
              <w:rPr>
                <w:rFonts w:ascii="Arial" w:hAnsi="Arial" w:eastAsia="宋体" w:cs="Arial"/>
                <w:sz w:val="21"/>
                <w:szCs w:val="21"/>
              </w:rPr>
              <w:t>不确定</w:t>
            </w:r>
          </w:p>
        </w:tc>
        <w:tc>
          <w:tcPr>
            <w:tcW w:w="571" w:type="dxa"/>
            <w:vMerge w:val="restart"/>
            <w:vAlign w:val="center"/>
          </w:tcPr>
          <w:p w14:paraId="160DBA6F">
            <w:pPr>
              <w:adjustRightInd w:val="0"/>
              <w:snapToGrid w:val="0"/>
              <w:jc w:val="center"/>
              <w:rPr>
                <w:rFonts w:ascii="Arial" w:hAnsi="Arial" w:eastAsia="宋体" w:cs="Arial"/>
                <w:sz w:val="21"/>
                <w:szCs w:val="21"/>
              </w:rPr>
            </w:pPr>
            <w:r>
              <w:rPr>
                <w:rFonts w:ascii="Arial" w:hAnsi="Arial" w:eastAsia="宋体" w:cs="Arial"/>
                <w:sz w:val="21"/>
                <w:szCs w:val="21"/>
              </w:rPr>
              <w:t>不显著</w:t>
            </w:r>
          </w:p>
        </w:tc>
        <w:tc>
          <w:tcPr>
            <w:tcW w:w="1249" w:type="dxa"/>
            <w:gridSpan w:val="3"/>
            <w:vAlign w:val="center"/>
          </w:tcPr>
          <w:p w14:paraId="27B5EFAB">
            <w:pPr>
              <w:adjustRightInd w:val="0"/>
              <w:snapToGrid w:val="0"/>
              <w:jc w:val="center"/>
              <w:rPr>
                <w:rFonts w:ascii="Arial" w:hAnsi="Arial" w:eastAsia="宋体" w:cs="Arial"/>
                <w:sz w:val="21"/>
                <w:szCs w:val="21"/>
              </w:rPr>
            </w:pPr>
            <w:r>
              <w:rPr>
                <w:rFonts w:ascii="Arial" w:hAnsi="Arial" w:eastAsia="宋体" w:cs="Arial"/>
                <w:sz w:val="21"/>
                <w:szCs w:val="21"/>
              </w:rPr>
              <w:t>显著</w:t>
            </w:r>
          </w:p>
        </w:tc>
      </w:tr>
      <w:tr w14:paraId="094F9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662" w:type="dxa"/>
            <w:gridSpan w:val="2"/>
            <w:vMerge w:val="continue"/>
            <w:vAlign w:val="center"/>
          </w:tcPr>
          <w:p w14:paraId="7D9E5459">
            <w:pPr>
              <w:widowControl/>
              <w:jc w:val="left"/>
              <w:rPr>
                <w:rFonts w:ascii="Arial" w:hAnsi="Arial" w:eastAsia="宋体" w:cs="Arial"/>
                <w:sz w:val="21"/>
                <w:szCs w:val="21"/>
              </w:rPr>
            </w:pPr>
          </w:p>
        </w:tc>
        <w:tc>
          <w:tcPr>
            <w:tcW w:w="531" w:type="dxa"/>
            <w:vMerge w:val="continue"/>
            <w:vAlign w:val="center"/>
          </w:tcPr>
          <w:p w14:paraId="3E16CFE5">
            <w:pPr>
              <w:widowControl/>
              <w:jc w:val="left"/>
              <w:rPr>
                <w:rFonts w:ascii="Arial" w:hAnsi="Arial" w:eastAsia="宋体" w:cs="Arial"/>
                <w:sz w:val="21"/>
                <w:szCs w:val="21"/>
              </w:rPr>
            </w:pPr>
          </w:p>
        </w:tc>
        <w:tc>
          <w:tcPr>
            <w:tcW w:w="530" w:type="dxa"/>
            <w:vMerge w:val="continue"/>
            <w:vAlign w:val="center"/>
          </w:tcPr>
          <w:p w14:paraId="0C325DE2">
            <w:pPr>
              <w:widowControl/>
              <w:jc w:val="left"/>
              <w:rPr>
                <w:rFonts w:ascii="Arial" w:hAnsi="Arial" w:eastAsia="宋体" w:cs="Arial"/>
                <w:sz w:val="21"/>
                <w:szCs w:val="21"/>
              </w:rPr>
            </w:pPr>
          </w:p>
        </w:tc>
        <w:tc>
          <w:tcPr>
            <w:tcW w:w="530" w:type="dxa"/>
            <w:vMerge w:val="continue"/>
            <w:vAlign w:val="center"/>
          </w:tcPr>
          <w:p w14:paraId="03486AD7">
            <w:pPr>
              <w:widowControl/>
              <w:jc w:val="left"/>
              <w:rPr>
                <w:rFonts w:ascii="Arial" w:hAnsi="Arial" w:eastAsia="宋体" w:cs="Arial"/>
                <w:sz w:val="21"/>
                <w:szCs w:val="21"/>
              </w:rPr>
            </w:pPr>
          </w:p>
        </w:tc>
        <w:tc>
          <w:tcPr>
            <w:tcW w:w="660" w:type="dxa"/>
            <w:vMerge w:val="continue"/>
            <w:vAlign w:val="center"/>
          </w:tcPr>
          <w:p w14:paraId="0C377561">
            <w:pPr>
              <w:widowControl/>
              <w:jc w:val="left"/>
              <w:rPr>
                <w:rFonts w:ascii="Arial" w:hAnsi="Arial" w:eastAsia="宋体" w:cs="Arial"/>
                <w:sz w:val="21"/>
                <w:szCs w:val="21"/>
              </w:rPr>
            </w:pPr>
          </w:p>
        </w:tc>
        <w:tc>
          <w:tcPr>
            <w:tcW w:w="441" w:type="dxa"/>
            <w:vMerge w:val="continue"/>
            <w:vAlign w:val="center"/>
          </w:tcPr>
          <w:p w14:paraId="469EB15A">
            <w:pPr>
              <w:widowControl/>
              <w:jc w:val="left"/>
              <w:rPr>
                <w:rFonts w:ascii="Arial" w:hAnsi="Arial" w:eastAsia="宋体" w:cs="Arial"/>
                <w:sz w:val="21"/>
                <w:szCs w:val="21"/>
              </w:rPr>
            </w:pPr>
          </w:p>
        </w:tc>
        <w:tc>
          <w:tcPr>
            <w:tcW w:w="421" w:type="dxa"/>
            <w:vMerge w:val="continue"/>
            <w:vAlign w:val="center"/>
          </w:tcPr>
          <w:p w14:paraId="5106B37C">
            <w:pPr>
              <w:widowControl/>
              <w:jc w:val="left"/>
              <w:rPr>
                <w:rFonts w:ascii="Arial" w:hAnsi="Arial" w:eastAsia="宋体" w:cs="Arial"/>
                <w:sz w:val="21"/>
                <w:szCs w:val="21"/>
              </w:rPr>
            </w:pPr>
          </w:p>
        </w:tc>
        <w:tc>
          <w:tcPr>
            <w:tcW w:w="421" w:type="dxa"/>
            <w:vMerge w:val="continue"/>
            <w:vAlign w:val="center"/>
          </w:tcPr>
          <w:p w14:paraId="092078E3">
            <w:pPr>
              <w:widowControl/>
              <w:jc w:val="left"/>
              <w:rPr>
                <w:rFonts w:ascii="Arial" w:hAnsi="Arial" w:eastAsia="宋体" w:cs="Arial"/>
                <w:sz w:val="21"/>
                <w:szCs w:val="21"/>
              </w:rPr>
            </w:pPr>
          </w:p>
        </w:tc>
        <w:tc>
          <w:tcPr>
            <w:tcW w:w="421" w:type="dxa"/>
            <w:vMerge w:val="continue"/>
            <w:vAlign w:val="center"/>
          </w:tcPr>
          <w:p w14:paraId="3DCA51F7">
            <w:pPr>
              <w:widowControl/>
              <w:jc w:val="left"/>
              <w:rPr>
                <w:rFonts w:ascii="Arial" w:hAnsi="Arial" w:eastAsia="宋体" w:cs="Arial"/>
                <w:sz w:val="21"/>
                <w:szCs w:val="21"/>
              </w:rPr>
            </w:pPr>
          </w:p>
        </w:tc>
        <w:tc>
          <w:tcPr>
            <w:tcW w:w="421" w:type="dxa"/>
            <w:vMerge w:val="continue"/>
            <w:vAlign w:val="center"/>
          </w:tcPr>
          <w:p w14:paraId="15B73EBC">
            <w:pPr>
              <w:widowControl/>
              <w:jc w:val="left"/>
              <w:rPr>
                <w:rFonts w:ascii="Arial" w:hAnsi="Arial" w:eastAsia="宋体" w:cs="Arial"/>
                <w:sz w:val="21"/>
                <w:szCs w:val="21"/>
              </w:rPr>
            </w:pPr>
          </w:p>
        </w:tc>
        <w:tc>
          <w:tcPr>
            <w:tcW w:w="421" w:type="dxa"/>
            <w:vMerge w:val="continue"/>
            <w:vAlign w:val="center"/>
          </w:tcPr>
          <w:p w14:paraId="31EE6925">
            <w:pPr>
              <w:widowControl/>
              <w:jc w:val="left"/>
              <w:rPr>
                <w:rFonts w:ascii="Arial" w:hAnsi="Arial" w:eastAsia="宋体" w:cs="Arial"/>
                <w:sz w:val="21"/>
                <w:szCs w:val="21"/>
              </w:rPr>
            </w:pPr>
          </w:p>
        </w:tc>
        <w:tc>
          <w:tcPr>
            <w:tcW w:w="612" w:type="dxa"/>
            <w:vMerge w:val="continue"/>
            <w:vAlign w:val="center"/>
          </w:tcPr>
          <w:p w14:paraId="224488C9">
            <w:pPr>
              <w:widowControl/>
              <w:jc w:val="left"/>
              <w:rPr>
                <w:rFonts w:ascii="Arial" w:hAnsi="Arial" w:eastAsia="宋体" w:cs="Arial"/>
                <w:sz w:val="21"/>
                <w:szCs w:val="21"/>
              </w:rPr>
            </w:pPr>
          </w:p>
        </w:tc>
        <w:tc>
          <w:tcPr>
            <w:tcW w:w="571" w:type="dxa"/>
            <w:vMerge w:val="continue"/>
            <w:vAlign w:val="center"/>
          </w:tcPr>
          <w:p w14:paraId="3A40406A">
            <w:pPr>
              <w:widowControl/>
              <w:jc w:val="left"/>
              <w:rPr>
                <w:rFonts w:ascii="Arial" w:hAnsi="Arial" w:eastAsia="宋体" w:cs="Arial"/>
                <w:sz w:val="21"/>
                <w:szCs w:val="21"/>
              </w:rPr>
            </w:pPr>
          </w:p>
        </w:tc>
        <w:tc>
          <w:tcPr>
            <w:tcW w:w="398" w:type="dxa"/>
            <w:vAlign w:val="center"/>
          </w:tcPr>
          <w:p w14:paraId="4DF40197">
            <w:pPr>
              <w:adjustRightInd w:val="0"/>
              <w:snapToGrid w:val="0"/>
              <w:jc w:val="center"/>
              <w:rPr>
                <w:rFonts w:ascii="Arial" w:hAnsi="Arial" w:eastAsia="宋体" w:cs="Arial"/>
                <w:sz w:val="21"/>
                <w:szCs w:val="21"/>
              </w:rPr>
            </w:pPr>
            <w:r>
              <w:rPr>
                <w:rFonts w:ascii="Arial" w:hAnsi="Arial" w:eastAsia="宋体" w:cs="Arial"/>
                <w:sz w:val="21"/>
                <w:szCs w:val="21"/>
              </w:rPr>
              <w:t>小</w:t>
            </w:r>
          </w:p>
        </w:tc>
        <w:tc>
          <w:tcPr>
            <w:tcW w:w="398" w:type="dxa"/>
            <w:vAlign w:val="center"/>
          </w:tcPr>
          <w:p w14:paraId="24EDEAF4">
            <w:pPr>
              <w:adjustRightInd w:val="0"/>
              <w:snapToGrid w:val="0"/>
              <w:jc w:val="center"/>
              <w:rPr>
                <w:rFonts w:ascii="Arial" w:hAnsi="Arial" w:eastAsia="宋体" w:cs="Arial"/>
                <w:sz w:val="21"/>
                <w:szCs w:val="21"/>
              </w:rPr>
            </w:pPr>
            <w:r>
              <w:rPr>
                <w:rFonts w:ascii="Arial" w:hAnsi="Arial" w:eastAsia="宋体" w:cs="Arial"/>
                <w:sz w:val="21"/>
                <w:szCs w:val="21"/>
              </w:rPr>
              <w:t>中</w:t>
            </w:r>
          </w:p>
        </w:tc>
        <w:tc>
          <w:tcPr>
            <w:tcW w:w="453" w:type="dxa"/>
            <w:vAlign w:val="center"/>
          </w:tcPr>
          <w:p w14:paraId="565B5819">
            <w:pPr>
              <w:adjustRightInd w:val="0"/>
              <w:snapToGrid w:val="0"/>
              <w:jc w:val="center"/>
              <w:rPr>
                <w:rFonts w:ascii="Arial" w:hAnsi="Arial" w:eastAsia="宋体" w:cs="Arial"/>
                <w:sz w:val="21"/>
                <w:szCs w:val="21"/>
              </w:rPr>
            </w:pPr>
            <w:r>
              <w:rPr>
                <w:rFonts w:ascii="Arial" w:hAnsi="Arial" w:eastAsia="宋体" w:cs="Arial"/>
                <w:sz w:val="21"/>
                <w:szCs w:val="21"/>
              </w:rPr>
              <w:t>大</w:t>
            </w:r>
          </w:p>
        </w:tc>
      </w:tr>
      <w:tr w14:paraId="7C542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restart"/>
            <w:vAlign w:val="center"/>
          </w:tcPr>
          <w:p w14:paraId="4EA80630">
            <w:pPr>
              <w:adjustRightInd w:val="0"/>
              <w:snapToGrid w:val="0"/>
              <w:jc w:val="center"/>
              <w:rPr>
                <w:rFonts w:ascii="Arial" w:hAnsi="Arial" w:eastAsia="宋体" w:cs="Arial"/>
                <w:sz w:val="21"/>
                <w:szCs w:val="21"/>
              </w:rPr>
            </w:pPr>
            <w:r>
              <w:rPr>
                <w:rFonts w:ascii="Arial" w:hAnsi="Arial" w:eastAsia="宋体" w:cs="Arial"/>
                <w:sz w:val="21"/>
                <w:szCs w:val="21"/>
              </w:rPr>
              <w:t>施工期</w:t>
            </w:r>
          </w:p>
        </w:tc>
        <w:tc>
          <w:tcPr>
            <w:tcW w:w="1288" w:type="dxa"/>
            <w:vAlign w:val="center"/>
          </w:tcPr>
          <w:p w14:paraId="1F023ADA">
            <w:pPr>
              <w:adjustRightInd w:val="0"/>
              <w:snapToGrid w:val="0"/>
              <w:jc w:val="center"/>
              <w:rPr>
                <w:rFonts w:ascii="Arial" w:hAnsi="Arial" w:eastAsia="宋体" w:cs="Arial"/>
                <w:sz w:val="21"/>
                <w:szCs w:val="21"/>
              </w:rPr>
            </w:pPr>
            <w:r>
              <w:rPr>
                <w:rFonts w:ascii="Arial" w:hAnsi="Arial" w:eastAsia="宋体" w:cs="Arial"/>
                <w:sz w:val="21"/>
                <w:szCs w:val="21"/>
              </w:rPr>
              <w:t>地表水环境</w:t>
            </w:r>
          </w:p>
        </w:tc>
        <w:tc>
          <w:tcPr>
            <w:tcW w:w="531" w:type="dxa"/>
            <w:vAlign w:val="center"/>
          </w:tcPr>
          <w:p w14:paraId="339887C0">
            <w:pPr>
              <w:adjustRightInd w:val="0"/>
              <w:snapToGrid w:val="0"/>
              <w:jc w:val="center"/>
              <w:rPr>
                <w:rFonts w:ascii="Arial" w:hAnsi="Arial" w:eastAsia="宋体" w:cs="Arial"/>
                <w:sz w:val="21"/>
                <w:szCs w:val="21"/>
              </w:rPr>
            </w:pPr>
          </w:p>
        </w:tc>
        <w:tc>
          <w:tcPr>
            <w:tcW w:w="530" w:type="dxa"/>
            <w:vAlign w:val="center"/>
          </w:tcPr>
          <w:p w14:paraId="7D9CA052">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7CBF663E">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60" w:type="dxa"/>
            <w:vAlign w:val="center"/>
          </w:tcPr>
          <w:p w14:paraId="55C24D7C">
            <w:pPr>
              <w:adjustRightInd w:val="0"/>
              <w:snapToGrid w:val="0"/>
              <w:jc w:val="center"/>
              <w:rPr>
                <w:rFonts w:ascii="Arial" w:hAnsi="Arial" w:eastAsia="宋体" w:cs="Arial"/>
                <w:sz w:val="21"/>
                <w:szCs w:val="21"/>
              </w:rPr>
            </w:pPr>
          </w:p>
        </w:tc>
        <w:tc>
          <w:tcPr>
            <w:tcW w:w="441" w:type="dxa"/>
            <w:vAlign w:val="center"/>
          </w:tcPr>
          <w:p w14:paraId="1A237CB8">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5E745D2F">
            <w:pPr>
              <w:adjustRightInd w:val="0"/>
              <w:snapToGrid w:val="0"/>
              <w:jc w:val="center"/>
              <w:rPr>
                <w:rFonts w:ascii="Arial" w:hAnsi="Arial" w:eastAsia="宋体" w:cs="Arial"/>
                <w:sz w:val="21"/>
                <w:szCs w:val="21"/>
              </w:rPr>
            </w:pPr>
          </w:p>
        </w:tc>
        <w:tc>
          <w:tcPr>
            <w:tcW w:w="421" w:type="dxa"/>
            <w:vAlign w:val="center"/>
          </w:tcPr>
          <w:p w14:paraId="3127B2B6">
            <w:pPr>
              <w:adjustRightInd w:val="0"/>
              <w:snapToGrid w:val="0"/>
              <w:jc w:val="center"/>
              <w:rPr>
                <w:rFonts w:ascii="Arial" w:hAnsi="Arial" w:eastAsia="宋体" w:cs="Arial"/>
                <w:sz w:val="21"/>
                <w:szCs w:val="21"/>
              </w:rPr>
            </w:pPr>
          </w:p>
        </w:tc>
        <w:tc>
          <w:tcPr>
            <w:tcW w:w="421" w:type="dxa"/>
            <w:vAlign w:val="center"/>
          </w:tcPr>
          <w:p w14:paraId="5AFFB367">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1E92549B">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6EC47E25">
            <w:pPr>
              <w:adjustRightInd w:val="0"/>
              <w:snapToGrid w:val="0"/>
              <w:jc w:val="center"/>
              <w:rPr>
                <w:rFonts w:ascii="Arial" w:hAnsi="Arial" w:eastAsia="宋体" w:cs="Arial"/>
                <w:sz w:val="21"/>
                <w:szCs w:val="21"/>
              </w:rPr>
            </w:pPr>
          </w:p>
        </w:tc>
        <w:tc>
          <w:tcPr>
            <w:tcW w:w="612" w:type="dxa"/>
            <w:vAlign w:val="center"/>
          </w:tcPr>
          <w:p w14:paraId="0328485B">
            <w:pPr>
              <w:adjustRightInd w:val="0"/>
              <w:snapToGrid w:val="0"/>
              <w:jc w:val="center"/>
              <w:rPr>
                <w:rFonts w:ascii="Arial" w:hAnsi="Arial" w:eastAsia="宋体" w:cs="Arial"/>
                <w:sz w:val="21"/>
                <w:szCs w:val="21"/>
              </w:rPr>
            </w:pPr>
          </w:p>
        </w:tc>
        <w:tc>
          <w:tcPr>
            <w:tcW w:w="571" w:type="dxa"/>
            <w:vAlign w:val="center"/>
          </w:tcPr>
          <w:p w14:paraId="3B6C88BA">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4DC60DDB">
            <w:pPr>
              <w:adjustRightInd w:val="0"/>
              <w:snapToGrid w:val="0"/>
              <w:jc w:val="center"/>
              <w:rPr>
                <w:rFonts w:ascii="Arial" w:hAnsi="Arial" w:eastAsia="宋体" w:cs="Arial"/>
                <w:sz w:val="21"/>
                <w:szCs w:val="21"/>
              </w:rPr>
            </w:pPr>
          </w:p>
        </w:tc>
        <w:tc>
          <w:tcPr>
            <w:tcW w:w="398" w:type="dxa"/>
            <w:vAlign w:val="center"/>
          </w:tcPr>
          <w:p w14:paraId="420E6393">
            <w:pPr>
              <w:adjustRightInd w:val="0"/>
              <w:snapToGrid w:val="0"/>
              <w:jc w:val="center"/>
              <w:rPr>
                <w:rFonts w:ascii="Arial" w:hAnsi="Arial" w:eastAsia="宋体" w:cs="Arial"/>
                <w:sz w:val="21"/>
                <w:szCs w:val="21"/>
              </w:rPr>
            </w:pPr>
          </w:p>
        </w:tc>
        <w:tc>
          <w:tcPr>
            <w:tcW w:w="453" w:type="dxa"/>
            <w:vAlign w:val="center"/>
          </w:tcPr>
          <w:p w14:paraId="3D0ED026">
            <w:pPr>
              <w:adjustRightInd w:val="0"/>
              <w:snapToGrid w:val="0"/>
              <w:jc w:val="center"/>
              <w:rPr>
                <w:rFonts w:ascii="Arial" w:hAnsi="Arial" w:eastAsia="宋体" w:cs="Arial"/>
                <w:sz w:val="21"/>
                <w:szCs w:val="21"/>
              </w:rPr>
            </w:pPr>
          </w:p>
        </w:tc>
      </w:tr>
      <w:tr w14:paraId="77B5B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42AF6F5D">
            <w:pPr>
              <w:widowControl/>
              <w:jc w:val="left"/>
              <w:rPr>
                <w:rFonts w:ascii="Arial" w:hAnsi="Arial" w:eastAsia="宋体" w:cs="Arial"/>
                <w:sz w:val="21"/>
                <w:szCs w:val="21"/>
              </w:rPr>
            </w:pPr>
          </w:p>
        </w:tc>
        <w:tc>
          <w:tcPr>
            <w:tcW w:w="1288" w:type="dxa"/>
            <w:vAlign w:val="center"/>
          </w:tcPr>
          <w:p w14:paraId="5F500EFC">
            <w:pPr>
              <w:adjustRightInd w:val="0"/>
              <w:snapToGrid w:val="0"/>
              <w:jc w:val="center"/>
              <w:rPr>
                <w:rFonts w:ascii="Arial" w:hAnsi="Arial" w:eastAsia="宋体" w:cs="Arial"/>
                <w:sz w:val="21"/>
                <w:szCs w:val="21"/>
              </w:rPr>
            </w:pPr>
            <w:r>
              <w:rPr>
                <w:rFonts w:ascii="Arial" w:hAnsi="Arial" w:eastAsia="宋体" w:cs="Arial"/>
                <w:sz w:val="21"/>
                <w:szCs w:val="21"/>
              </w:rPr>
              <w:t>大气环境</w:t>
            </w:r>
          </w:p>
        </w:tc>
        <w:tc>
          <w:tcPr>
            <w:tcW w:w="531" w:type="dxa"/>
            <w:vAlign w:val="center"/>
          </w:tcPr>
          <w:p w14:paraId="1D5BCF56">
            <w:pPr>
              <w:adjustRightInd w:val="0"/>
              <w:snapToGrid w:val="0"/>
              <w:jc w:val="center"/>
              <w:rPr>
                <w:rFonts w:ascii="Arial" w:hAnsi="Arial" w:eastAsia="宋体" w:cs="Arial"/>
                <w:sz w:val="21"/>
                <w:szCs w:val="21"/>
              </w:rPr>
            </w:pPr>
          </w:p>
        </w:tc>
        <w:tc>
          <w:tcPr>
            <w:tcW w:w="530" w:type="dxa"/>
            <w:vAlign w:val="center"/>
          </w:tcPr>
          <w:p w14:paraId="662DDE65">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08B9C5D3">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60" w:type="dxa"/>
            <w:vAlign w:val="center"/>
          </w:tcPr>
          <w:p w14:paraId="59E6F02A">
            <w:pPr>
              <w:adjustRightInd w:val="0"/>
              <w:snapToGrid w:val="0"/>
              <w:jc w:val="center"/>
              <w:rPr>
                <w:rFonts w:ascii="Arial" w:hAnsi="Arial" w:eastAsia="宋体" w:cs="Arial"/>
                <w:sz w:val="21"/>
                <w:szCs w:val="21"/>
              </w:rPr>
            </w:pPr>
          </w:p>
        </w:tc>
        <w:tc>
          <w:tcPr>
            <w:tcW w:w="441" w:type="dxa"/>
            <w:vAlign w:val="center"/>
          </w:tcPr>
          <w:p w14:paraId="0B986429">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704737C2">
            <w:pPr>
              <w:adjustRightInd w:val="0"/>
              <w:snapToGrid w:val="0"/>
              <w:jc w:val="center"/>
              <w:rPr>
                <w:rFonts w:ascii="Arial" w:hAnsi="Arial" w:eastAsia="宋体" w:cs="Arial"/>
                <w:sz w:val="21"/>
                <w:szCs w:val="21"/>
              </w:rPr>
            </w:pPr>
          </w:p>
        </w:tc>
        <w:tc>
          <w:tcPr>
            <w:tcW w:w="421" w:type="dxa"/>
            <w:vAlign w:val="center"/>
          </w:tcPr>
          <w:p w14:paraId="7732F686">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792865FE">
            <w:pPr>
              <w:adjustRightInd w:val="0"/>
              <w:snapToGrid w:val="0"/>
              <w:jc w:val="center"/>
              <w:rPr>
                <w:rFonts w:ascii="Arial" w:hAnsi="Arial" w:eastAsia="宋体" w:cs="Arial"/>
                <w:sz w:val="21"/>
                <w:szCs w:val="21"/>
              </w:rPr>
            </w:pPr>
          </w:p>
        </w:tc>
        <w:tc>
          <w:tcPr>
            <w:tcW w:w="421" w:type="dxa"/>
            <w:vAlign w:val="center"/>
          </w:tcPr>
          <w:p w14:paraId="1DDDB018">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5CB95512">
            <w:pPr>
              <w:adjustRightInd w:val="0"/>
              <w:snapToGrid w:val="0"/>
              <w:jc w:val="center"/>
              <w:rPr>
                <w:rFonts w:ascii="Arial" w:hAnsi="Arial" w:eastAsia="宋体" w:cs="Arial"/>
                <w:sz w:val="21"/>
                <w:szCs w:val="21"/>
              </w:rPr>
            </w:pPr>
          </w:p>
        </w:tc>
        <w:tc>
          <w:tcPr>
            <w:tcW w:w="612" w:type="dxa"/>
            <w:vAlign w:val="center"/>
          </w:tcPr>
          <w:p w14:paraId="4D0170E6">
            <w:pPr>
              <w:adjustRightInd w:val="0"/>
              <w:snapToGrid w:val="0"/>
              <w:jc w:val="center"/>
              <w:rPr>
                <w:rFonts w:ascii="Arial" w:hAnsi="Arial" w:eastAsia="宋体" w:cs="Arial"/>
                <w:sz w:val="21"/>
                <w:szCs w:val="21"/>
              </w:rPr>
            </w:pPr>
          </w:p>
        </w:tc>
        <w:tc>
          <w:tcPr>
            <w:tcW w:w="571" w:type="dxa"/>
            <w:vAlign w:val="center"/>
          </w:tcPr>
          <w:p w14:paraId="4B550DD5">
            <w:pPr>
              <w:adjustRightInd w:val="0"/>
              <w:snapToGrid w:val="0"/>
              <w:jc w:val="center"/>
              <w:rPr>
                <w:rFonts w:ascii="Arial" w:hAnsi="Arial" w:eastAsia="宋体" w:cs="Arial"/>
                <w:sz w:val="21"/>
                <w:szCs w:val="21"/>
              </w:rPr>
            </w:pPr>
          </w:p>
        </w:tc>
        <w:tc>
          <w:tcPr>
            <w:tcW w:w="398" w:type="dxa"/>
            <w:vAlign w:val="center"/>
          </w:tcPr>
          <w:p w14:paraId="19007BE6">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429DE006">
            <w:pPr>
              <w:adjustRightInd w:val="0"/>
              <w:snapToGrid w:val="0"/>
              <w:jc w:val="center"/>
              <w:rPr>
                <w:rFonts w:ascii="Arial" w:hAnsi="Arial" w:eastAsia="宋体" w:cs="Arial"/>
                <w:sz w:val="21"/>
                <w:szCs w:val="21"/>
              </w:rPr>
            </w:pPr>
          </w:p>
        </w:tc>
        <w:tc>
          <w:tcPr>
            <w:tcW w:w="453" w:type="dxa"/>
            <w:vAlign w:val="center"/>
          </w:tcPr>
          <w:p w14:paraId="3DA82C3C">
            <w:pPr>
              <w:adjustRightInd w:val="0"/>
              <w:snapToGrid w:val="0"/>
              <w:jc w:val="center"/>
              <w:rPr>
                <w:rFonts w:ascii="Arial" w:hAnsi="Arial" w:eastAsia="宋体" w:cs="Arial"/>
                <w:sz w:val="21"/>
                <w:szCs w:val="21"/>
              </w:rPr>
            </w:pPr>
          </w:p>
        </w:tc>
      </w:tr>
      <w:tr w14:paraId="432BB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1209CDFB">
            <w:pPr>
              <w:widowControl/>
              <w:jc w:val="left"/>
              <w:rPr>
                <w:rFonts w:ascii="Arial" w:hAnsi="Arial" w:eastAsia="宋体" w:cs="Arial"/>
                <w:sz w:val="21"/>
                <w:szCs w:val="21"/>
              </w:rPr>
            </w:pPr>
          </w:p>
        </w:tc>
        <w:tc>
          <w:tcPr>
            <w:tcW w:w="1288" w:type="dxa"/>
            <w:vAlign w:val="center"/>
          </w:tcPr>
          <w:p w14:paraId="1D2FD4C0">
            <w:pPr>
              <w:adjustRightInd w:val="0"/>
              <w:snapToGrid w:val="0"/>
              <w:jc w:val="center"/>
              <w:rPr>
                <w:rFonts w:ascii="Arial" w:hAnsi="Arial" w:eastAsia="宋体" w:cs="Arial"/>
                <w:sz w:val="21"/>
                <w:szCs w:val="21"/>
              </w:rPr>
            </w:pPr>
            <w:r>
              <w:rPr>
                <w:rFonts w:ascii="Arial" w:hAnsi="Arial" w:eastAsia="宋体" w:cs="Arial"/>
                <w:sz w:val="21"/>
                <w:szCs w:val="21"/>
              </w:rPr>
              <w:t>声环境</w:t>
            </w:r>
          </w:p>
        </w:tc>
        <w:tc>
          <w:tcPr>
            <w:tcW w:w="531" w:type="dxa"/>
            <w:vAlign w:val="center"/>
          </w:tcPr>
          <w:p w14:paraId="4F0196ED">
            <w:pPr>
              <w:adjustRightInd w:val="0"/>
              <w:snapToGrid w:val="0"/>
              <w:jc w:val="center"/>
              <w:rPr>
                <w:rFonts w:ascii="Arial" w:hAnsi="Arial" w:eastAsia="宋体" w:cs="Arial"/>
                <w:sz w:val="21"/>
                <w:szCs w:val="21"/>
              </w:rPr>
            </w:pPr>
          </w:p>
        </w:tc>
        <w:tc>
          <w:tcPr>
            <w:tcW w:w="530" w:type="dxa"/>
            <w:vAlign w:val="center"/>
          </w:tcPr>
          <w:p w14:paraId="0B07DF63">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481191E9">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60" w:type="dxa"/>
            <w:vAlign w:val="center"/>
          </w:tcPr>
          <w:p w14:paraId="65177348">
            <w:pPr>
              <w:adjustRightInd w:val="0"/>
              <w:snapToGrid w:val="0"/>
              <w:jc w:val="center"/>
              <w:rPr>
                <w:rFonts w:ascii="Arial" w:hAnsi="Arial" w:eastAsia="宋体" w:cs="Arial"/>
                <w:sz w:val="21"/>
                <w:szCs w:val="21"/>
              </w:rPr>
            </w:pPr>
          </w:p>
        </w:tc>
        <w:tc>
          <w:tcPr>
            <w:tcW w:w="441" w:type="dxa"/>
            <w:vAlign w:val="center"/>
          </w:tcPr>
          <w:p w14:paraId="4FAE709D">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7223209B">
            <w:pPr>
              <w:adjustRightInd w:val="0"/>
              <w:snapToGrid w:val="0"/>
              <w:jc w:val="center"/>
              <w:rPr>
                <w:rFonts w:ascii="Arial" w:hAnsi="Arial" w:eastAsia="宋体" w:cs="Arial"/>
                <w:sz w:val="21"/>
                <w:szCs w:val="21"/>
              </w:rPr>
            </w:pPr>
          </w:p>
        </w:tc>
        <w:tc>
          <w:tcPr>
            <w:tcW w:w="421" w:type="dxa"/>
            <w:vAlign w:val="center"/>
          </w:tcPr>
          <w:p w14:paraId="48A6D7E3">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43B509CA">
            <w:pPr>
              <w:adjustRightInd w:val="0"/>
              <w:snapToGrid w:val="0"/>
              <w:jc w:val="center"/>
              <w:rPr>
                <w:rFonts w:ascii="Arial" w:hAnsi="Arial" w:eastAsia="宋体" w:cs="Arial"/>
                <w:sz w:val="21"/>
                <w:szCs w:val="21"/>
              </w:rPr>
            </w:pPr>
          </w:p>
        </w:tc>
        <w:tc>
          <w:tcPr>
            <w:tcW w:w="421" w:type="dxa"/>
            <w:vAlign w:val="center"/>
          </w:tcPr>
          <w:p w14:paraId="13455A8F">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66AFE10F">
            <w:pPr>
              <w:adjustRightInd w:val="0"/>
              <w:snapToGrid w:val="0"/>
              <w:jc w:val="center"/>
              <w:rPr>
                <w:rFonts w:ascii="Arial" w:hAnsi="Arial" w:eastAsia="宋体" w:cs="Arial"/>
                <w:sz w:val="21"/>
                <w:szCs w:val="21"/>
              </w:rPr>
            </w:pPr>
          </w:p>
        </w:tc>
        <w:tc>
          <w:tcPr>
            <w:tcW w:w="612" w:type="dxa"/>
            <w:vAlign w:val="center"/>
          </w:tcPr>
          <w:p w14:paraId="0459F6BC">
            <w:pPr>
              <w:adjustRightInd w:val="0"/>
              <w:snapToGrid w:val="0"/>
              <w:jc w:val="center"/>
              <w:rPr>
                <w:rFonts w:ascii="Arial" w:hAnsi="Arial" w:eastAsia="宋体" w:cs="Arial"/>
                <w:sz w:val="21"/>
                <w:szCs w:val="21"/>
              </w:rPr>
            </w:pPr>
          </w:p>
        </w:tc>
        <w:tc>
          <w:tcPr>
            <w:tcW w:w="571" w:type="dxa"/>
            <w:vAlign w:val="center"/>
          </w:tcPr>
          <w:p w14:paraId="0A5B4E8F">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6BE189A1">
            <w:pPr>
              <w:adjustRightInd w:val="0"/>
              <w:snapToGrid w:val="0"/>
              <w:jc w:val="center"/>
              <w:rPr>
                <w:rFonts w:ascii="Arial" w:hAnsi="Arial" w:eastAsia="宋体" w:cs="Arial"/>
                <w:sz w:val="21"/>
                <w:szCs w:val="21"/>
              </w:rPr>
            </w:pPr>
          </w:p>
        </w:tc>
        <w:tc>
          <w:tcPr>
            <w:tcW w:w="398" w:type="dxa"/>
            <w:vAlign w:val="center"/>
          </w:tcPr>
          <w:p w14:paraId="4669E2D8">
            <w:pPr>
              <w:adjustRightInd w:val="0"/>
              <w:snapToGrid w:val="0"/>
              <w:jc w:val="center"/>
              <w:rPr>
                <w:rFonts w:ascii="Arial" w:hAnsi="Arial" w:eastAsia="宋体" w:cs="Arial"/>
                <w:sz w:val="21"/>
                <w:szCs w:val="21"/>
              </w:rPr>
            </w:pPr>
          </w:p>
        </w:tc>
        <w:tc>
          <w:tcPr>
            <w:tcW w:w="453" w:type="dxa"/>
            <w:vAlign w:val="center"/>
          </w:tcPr>
          <w:p w14:paraId="67304DF6">
            <w:pPr>
              <w:adjustRightInd w:val="0"/>
              <w:snapToGrid w:val="0"/>
              <w:jc w:val="center"/>
              <w:rPr>
                <w:rFonts w:ascii="Arial" w:hAnsi="Arial" w:eastAsia="宋体" w:cs="Arial"/>
                <w:sz w:val="21"/>
                <w:szCs w:val="21"/>
              </w:rPr>
            </w:pPr>
          </w:p>
        </w:tc>
      </w:tr>
      <w:tr w14:paraId="1EC22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7F86823D">
            <w:pPr>
              <w:widowControl/>
              <w:jc w:val="left"/>
              <w:rPr>
                <w:rFonts w:ascii="Arial" w:hAnsi="Arial" w:eastAsia="宋体" w:cs="Arial"/>
                <w:sz w:val="21"/>
                <w:szCs w:val="21"/>
              </w:rPr>
            </w:pPr>
          </w:p>
        </w:tc>
        <w:tc>
          <w:tcPr>
            <w:tcW w:w="1288" w:type="dxa"/>
            <w:vAlign w:val="center"/>
          </w:tcPr>
          <w:p w14:paraId="663F6361">
            <w:pPr>
              <w:adjustRightInd w:val="0"/>
              <w:snapToGrid w:val="0"/>
              <w:jc w:val="center"/>
              <w:rPr>
                <w:rFonts w:ascii="Arial" w:hAnsi="Arial" w:eastAsia="宋体" w:cs="Arial"/>
                <w:sz w:val="21"/>
                <w:szCs w:val="21"/>
              </w:rPr>
            </w:pPr>
            <w:r>
              <w:rPr>
                <w:rFonts w:ascii="Arial" w:hAnsi="Arial" w:eastAsia="宋体" w:cs="Arial"/>
                <w:sz w:val="21"/>
                <w:szCs w:val="21"/>
              </w:rPr>
              <w:t>生态环境</w:t>
            </w:r>
          </w:p>
        </w:tc>
        <w:tc>
          <w:tcPr>
            <w:tcW w:w="531" w:type="dxa"/>
            <w:vAlign w:val="center"/>
          </w:tcPr>
          <w:p w14:paraId="28D47EF2">
            <w:pPr>
              <w:adjustRightInd w:val="0"/>
              <w:snapToGrid w:val="0"/>
              <w:jc w:val="center"/>
              <w:rPr>
                <w:rFonts w:ascii="Arial" w:hAnsi="Arial" w:eastAsia="宋体" w:cs="Arial"/>
                <w:sz w:val="21"/>
                <w:szCs w:val="21"/>
              </w:rPr>
            </w:pPr>
          </w:p>
        </w:tc>
        <w:tc>
          <w:tcPr>
            <w:tcW w:w="530" w:type="dxa"/>
            <w:vAlign w:val="center"/>
          </w:tcPr>
          <w:p w14:paraId="7B16C34E">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334F8CC9">
            <w:pPr>
              <w:adjustRightInd w:val="0"/>
              <w:snapToGrid w:val="0"/>
              <w:jc w:val="center"/>
              <w:rPr>
                <w:rFonts w:ascii="Arial" w:hAnsi="Arial" w:eastAsia="宋体" w:cs="Arial"/>
                <w:sz w:val="21"/>
                <w:szCs w:val="21"/>
              </w:rPr>
            </w:pPr>
          </w:p>
        </w:tc>
        <w:tc>
          <w:tcPr>
            <w:tcW w:w="660" w:type="dxa"/>
            <w:vAlign w:val="center"/>
          </w:tcPr>
          <w:p w14:paraId="0DD8C1D5">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14:paraId="4F90AE71">
            <w:pPr>
              <w:adjustRightInd w:val="0"/>
              <w:snapToGrid w:val="0"/>
              <w:jc w:val="center"/>
              <w:rPr>
                <w:rFonts w:ascii="Arial" w:hAnsi="Arial" w:eastAsia="宋体" w:cs="Arial"/>
                <w:sz w:val="21"/>
                <w:szCs w:val="21"/>
              </w:rPr>
            </w:pPr>
          </w:p>
        </w:tc>
        <w:tc>
          <w:tcPr>
            <w:tcW w:w="421" w:type="dxa"/>
            <w:vAlign w:val="center"/>
          </w:tcPr>
          <w:p w14:paraId="7C810960">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7D51B064">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41E8EABB">
            <w:pPr>
              <w:adjustRightInd w:val="0"/>
              <w:snapToGrid w:val="0"/>
              <w:jc w:val="center"/>
              <w:rPr>
                <w:rFonts w:ascii="Arial" w:hAnsi="Arial" w:eastAsia="宋体" w:cs="Arial"/>
                <w:sz w:val="21"/>
                <w:szCs w:val="21"/>
              </w:rPr>
            </w:pPr>
          </w:p>
        </w:tc>
        <w:tc>
          <w:tcPr>
            <w:tcW w:w="421" w:type="dxa"/>
            <w:vAlign w:val="center"/>
          </w:tcPr>
          <w:p w14:paraId="1F81F242">
            <w:pPr>
              <w:adjustRightInd w:val="0"/>
              <w:snapToGrid w:val="0"/>
              <w:jc w:val="center"/>
              <w:rPr>
                <w:rFonts w:ascii="Arial" w:hAnsi="Arial" w:eastAsia="宋体" w:cs="Arial"/>
                <w:sz w:val="21"/>
                <w:szCs w:val="21"/>
              </w:rPr>
            </w:pPr>
          </w:p>
        </w:tc>
        <w:tc>
          <w:tcPr>
            <w:tcW w:w="421" w:type="dxa"/>
            <w:vAlign w:val="center"/>
          </w:tcPr>
          <w:p w14:paraId="57379E26">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12" w:type="dxa"/>
            <w:vAlign w:val="center"/>
          </w:tcPr>
          <w:p w14:paraId="0BBAFF49">
            <w:pPr>
              <w:adjustRightInd w:val="0"/>
              <w:snapToGrid w:val="0"/>
              <w:jc w:val="center"/>
              <w:rPr>
                <w:rFonts w:ascii="Arial" w:hAnsi="Arial" w:eastAsia="宋体" w:cs="Arial"/>
                <w:sz w:val="21"/>
                <w:szCs w:val="21"/>
              </w:rPr>
            </w:pPr>
          </w:p>
        </w:tc>
        <w:tc>
          <w:tcPr>
            <w:tcW w:w="571" w:type="dxa"/>
            <w:vAlign w:val="center"/>
          </w:tcPr>
          <w:p w14:paraId="1FE04114">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792D6086">
            <w:pPr>
              <w:adjustRightInd w:val="0"/>
              <w:snapToGrid w:val="0"/>
              <w:jc w:val="center"/>
              <w:rPr>
                <w:rFonts w:ascii="Arial" w:hAnsi="Arial" w:eastAsia="宋体" w:cs="Arial"/>
                <w:sz w:val="21"/>
                <w:szCs w:val="21"/>
              </w:rPr>
            </w:pPr>
          </w:p>
        </w:tc>
        <w:tc>
          <w:tcPr>
            <w:tcW w:w="398" w:type="dxa"/>
            <w:vAlign w:val="center"/>
          </w:tcPr>
          <w:p w14:paraId="5CDCE0BA">
            <w:pPr>
              <w:adjustRightInd w:val="0"/>
              <w:snapToGrid w:val="0"/>
              <w:jc w:val="center"/>
              <w:rPr>
                <w:rFonts w:ascii="Arial" w:hAnsi="Arial" w:eastAsia="宋体" w:cs="Arial"/>
                <w:sz w:val="21"/>
                <w:szCs w:val="21"/>
              </w:rPr>
            </w:pPr>
          </w:p>
        </w:tc>
        <w:tc>
          <w:tcPr>
            <w:tcW w:w="453" w:type="dxa"/>
            <w:vAlign w:val="center"/>
          </w:tcPr>
          <w:p w14:paraId="20A616B7">
            <w:pPr>
              <w:adjustRightInd w:val="0"/>
              <w:snapToGrid w:val="0"/>
              <w:jc w:val="center"/>
              <w:rPr>
                <w:rFonts w:ascii="Arial" w:hAnsi="Arial" w:eastAsia="宋体" w:cs="Arial"/>
                <w:sz w:val="21"/>
                <w:szCs w:val="21"/>
              </w:rPr>
            </w:pPr>
          </w:p>
        </w:tc>
      </w:tr>
      <w:tr w14:paraId="4826F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19712141">
            <w:pPr>
              <w:widowControl/>
              <w:jc w:val="left"/>
              <w:rPr>
                <w:rFonts w:ascii="Arial" w:hAnsi="Arial" w:eastAsia="宋体" w:cs="Arial"/>
                <w:sz w:val="21"/>
                <w:szCs w:val="21"/>
              </w:rPr>
            </w:pPr>
          </w:p>
        </w:tc>
        <w:tc>
          <w:tcPr>
            <w:tcW w:w="1288" w:type="dxa"/>
            <w:vAlign w:val="center"/>
          </w:tcPr>
          <w:p w14:paraId="24157B5A">
            <w:pPr>
              <w:adjustRightInd w:val="0"/>
              <w:snapToGrid w:val="0"/>
              <w:jc w:val="center"/>
              <w:rPr>
                <w:rFonts w:ascii="Arial" w:hAnsi="Arial" w:eastAsia="宋体" w:cs="Arial"/>
                <w:sz w:val="21"/>
                <w:szCs w:val="21"/>
              </w:rPr>
            </w:pPr>
            <w:r>
              <w:rPr>
                <w:rFonts w:ascii="Arial" w:hAnsi="Arial" w:eastAsia="宋体" w:cs="Arial"/>
                <w:sz w:val="21"/>
                <w:szCs w:val="21"/>
              </w:rPr>
              <w:t>地下水环境</w:t>
            </w:r>
          </w:p>
        </w:tc>
        <w:tc>
          <w:tcPr>
            <w:tcW w:w="531" w:type="dxa"/>
            <w:vAlign w:val="center"/>
          </w:tcPr>
          <w:p w14:paraId="672A0322">
            <w:pPr>
              <w:adjustRightInd w:val="0"/>
              <w:snapToGrid w:val="0"/>
              <w:jc w:val="center"/>
              <w:rPr>
                <w:rFonts w:ascii="Arial" w:hAnsi="Arial" w:eastAsia="宋体" w:cs="Arial"/>
                <w:sz w:val="21"/>
                <w:szCs w:val="21"/>
              </w:rPr>
            </w:pPr>
          </w:p>
        </w:tc>
        <w:tc>
          <w:tcPr>
            <w:tcW w:w="530" w:type="dxa"/>
            <w:vAlign w:val="center"/>
          </w:tcPr>
          <w:p w14:paraId="51C72E94">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6152CDF0">
            <w:pPr>
              <w:adjustRightInd w:val="0"/>
              <w:snapToGrid w:val="0"/>
              <w:jc w:val="center"/>
              <w:rPr>
                <w:rFonts w:ascii="Arial" w:hAnsi="Arial" w:eastAsia="宋体" w:cs="Arial"/>
                <w:sz w:val="21"/>
                <w:szCs w:val="21"/>
              </w:rPr>
            </w:pPr>
          </w:p>
        </w:tc>
        <w:tc>
          <w:tcPr>
            <w:tcW w:w="660" w:type="dxa"/>
            <w:vAlign w:val="center"/>
          </w:tcPr>
          <w:p w14:paraId="40B358CA">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14:paraId="3B6206BD">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3AA953D5">
            <w:pPr>
              <w:adjustRightInd w:val="0"/>
              <w:snapToGrid w:val="0"/>
              <w:jc w:val="center"/>
              <w:rPr>
                <w:rFonts w:ascii="Arial" w:hAnsi="Arial" w:eastAsia="宋体" w:cs="Arial"/>
                <w:sz w:val="21"/>
                <w:szCs w:val="21"/>
              </w:rPr>
            </w:pPr>
          </w:p>
        </w:tc>
        <w:tc>
          <w:tcPr>
            <w:tcW w:w="421" w:type="dxa"/>
            <w:vAlign w:val="center"/>
          </w:tcPr>
          <w:p w14:paraId="0D01DDAF">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1BA24B1B">
            <w:pPr>
              <w:adjustRightInd w:val="0"/>
              <w:snapToGrid w:val="0"/>
              <w:jc w:val="center"/>
              <w:rPr>
                <w:rFonts w:ascii="Arial" w:hAnsi="Arial" w:eastAsia="宋体" w:cs="Arial"/>
                <w:sz w:val="21"/>
                <w:szCs w:val="21"/>
              </w:rPr>
            </w:pPr>
          </w:p>
        </w:tc>
        <w:tc>
          <w:tcPr>
            <w:tcW w:w="421" w:type="dxa"/>
            <w:vAlign w:val="center"/>
          </w:tcPr>
          <w:p w14:paraId="3C281E0E">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6A15D15B">
            <w:pPr>
              <w:adjustRightInd w:val="0"/>
              <w:snapToGrid w:val="0"/>
              <w:jc w:val="center"/>
              <w:rPr>
                <w:rFonts w:ascii="Arial" w:hAnsi="Arial" w:eastAsia="宋体" w:cs="Arial"/>
                <w:sz w:val="21"/>
                <w:szCs w:val="21"/>
              </w:rPr>
            </w:pPr>
          </w:p>
        </w:tc>
        <w:tc>
          <w:tcPr>
            <w:tcW w:w="612" w:type="dxa"/>
            <w:vAlign w:val="center"/>
          </w:tcPr>
          <w:p w14:paraId="620D7AD4">
            <w:pPr>
              <w:adjustRightInd w:val="0"/>
              <w:snapToGrid w:val="0"/>
              <w:jc w:val="center"/>
              <w:rPr>
                <w:rFonts w:ascii="Arial" w:hAnsi="Arial" w:eastAsia="宋体" w:cs="Arial"/>
                <w:sz w:val="21"/>
                <w:szCs w:val="21"/>
              </w:rPr>
            </w:pPr>
          </w:p>
        </w:tc>
        <w:tc>
          <w:tcPr>
            <w:tcW w:w="571" w:type="dxa"/>
            <w:vAlign w:val="center"/>
          </w:tcPr>
          <w:p w14:paraId="3A2E1100">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144EFBC1">
            <w:pPr>
              <w:adjustRightInd w:val="0"/>
              <w:snapToGrid w:val="0"/>
              <w:jc w:val="center"/>
              <w:rPr>
                <w:rFonts w:ascii="Arial" w:hAnsi="Arial" w:eastAsia="宋体" w:cs="Arial"/>
                <w:sz w:val="21"/>
                <w:szCs w:val="21"/>
              </w:rPr>
            </w:pPr>
          </w:p>
        </w:tc>
        <w:tc>
          <w:tcPr>
            <w:tcW w:w="398" w:type="dxa"/>
            <w:vAlign w:val="center"/>
          </w:tcPr>
          <w:p w14:paraId="351CCAEB">
            <w:pPr>
              <w:adjustRightInd w:val="0"/>
              <w:snapToGrid w:val="0"/>
              <w:jc w:val="center"/>
              <w:rPr>
                <w:rFonts w:ascii="Arial" w:hAnsi="Arial" w:eastAsia="宋体" w:cs="Arial"/>
                <w:sz w:val="21"/>
                <w:szCs w:val="21"/>
              </w:rPr>
            </w:pPr>
          </w:p>
        </w:tc>
        <w:tc>
          <w:tcPr>
            <w:tcW w:w="453" w:type="dxa"/>
            <w:vAlign w:val="center"/>
          </w:tcPr>
          <w:p w14:paraId="2CA16EDE">
            <w:pPr>
              <w:adjustRightInd w:val="0"/>
              <w:snapToGrid w:val="0"/>
              <w:jc w:val="center"/>
              <w:rPr>
                <w:rFonts w:ascii="Arial" w:hAnsi="Arial" w:eastAsia="宋体" w:cs="Arial"/>
                <w:sz w:val="21"/>
                <w:szCs w:val="21"/>
              </w:rPr>
            </w:pPr>
          </w:p>
        </w:tc>
      </w:tr>
      <w:tr w14:paraId="743BD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74" w:type="dxa"/>
            <w:vMerge w:val="continue"/>
            <w:vAlign w:val="center"/>
          </w:tcPr>
          <w:p w14:paraId="19FCE29E">
            <w:pPr>
              <w:widowControl/>
              <w:jc w:val="left"/>
              <w:rPr>
                <w:rFonts w:ascii="Arial" w:hAnsi="Arial" w:eastAsia="宋体" w:cs="Arial"/>
                <w:sz w:val="21"/>
                <w:szCs w:val="21"/>
              </w:rPr>
            </w:pPr>
          </w:p>
        </w:tc>
        <w:tc>
          <w:tcPr>
            <w:tcW w:w="1288" w:type="dxa"/>
            <w:vAlign w:val="center"/>
          </w:tcPr>
          <w:p w14:paraId="158E7FE6">
            <w:pPr>
              <w:adjustRightInd w:val="0"/>
              <w:snapToGrid w:val="0"/>
              <w:jc w:val="center"/>
              <w:rPr>
                <w:rFonts w:ascii="Arial" w:hAnsi="Arial" w:eastAsia="宋体" w:cs="Arial"/>
                <w:sz w:val="21"/>
                <w:szCs w:val="21"/>
              </w:rPr>
            </w:pPr>
            <w:r>
              <w:rPr>
                <w:rFonts w:ascii="Arial" w:hAnsi="Arial" w:eastAsia="宋体" w:cs="Arial"/>
                <w:sz w:val="21"/>
                <w:szCs w:val="21"/>
              </w:rPr>
              <w:t>土壤环境</w:t>
            </w:r>
          </w:p>
        </w:tc>
        <w:tc>
          <w:tcPr>
            <w:tcW w:w="531" w:type="dxa"/>
            <w:vAlign w:val="center"/>
          </w:tcPr>
          <w:p w14:paraId="16CD4C63">
            <w:pPr>
              <w:adjustRightInd w:val="0"/>
              <w:snapToGrid w:val="0"/>
              <w:jc w:val="center"/>
              <w:rPr>
                <w:rFonts w:ascii="Arial" w:hAnsi="Arial" w:eastAsia="宋体" w:cs="Arial"/>
                <w:sz w:val="21"/>
                <w:szCs w:val="21"/>
              </w:rPr>
            </w:pPr>
          </w:p>
        </w:tc>
        <w:tc>
          <w:tcPr>
            <w:tcW w:w="530" w:type="dxa"/>
            <w:vAlign w:val="center"/>
          </w:tcPr>
          <w:p w14:paraId="5CF81D6C">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358D9F90">
            <w:pPr>
              <w:adjustRightInd w:val="0"/>
              <w:snapToGrid w:val="0"/>
              <w:jc w:val="center"/>
              <w:rPr>
                <w:rFonts w:ascii="Arial" w:hAnsi="Arial" w:eastAsia="宋体" w:cs="Arial"/>
                <w:sz w:val="21"/>
                <w:szCs w:val="21"/>
              </w:rPr>
            </w:pPr>
          </w:p>
        </w:tc>
        <w:tc>
          <w:tcPr>
            <w:tcW w:w="660" w:type="dxa"/>
            <w:vAlign w:val="center"/>
          </w:tcPr>
          <w:p w14:paraId="152F1D4C">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14:paraId="4B83B91C">
            <w:pPr>
              <w:adjustRightInd w:val="0"/>
              <w:snapToGrid w:val="0"/>
              <w:jc w:val="center"/>
              <w:rPr>
                <w:rFonts w:ascii="Arial" w:hAnsi="Arial" w:eastAsia="宋体" w:cs="Arial"/>
                <w:sz w:val="21"/>
                <w:szCs w:val="21"/>
              </w:rPr>
            </w:pPr>
          </w:p>
        </w:tc>
        <w:tc>
          <w:tcPr>
            <w:tcW w:w="421" w:type="dxa"/>
            <w:vAlign w:val="center"/>
          </w:tcPr>
          <w:p w14:paraId="17615279">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0BA5A3A2">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6C832FC0">
            <w:pPr>
              <w:adjustRightInd w:val="0"/>
              <w:snapToGrid w:val="0"/>
              <w:jc w:val="center"/>
              <w:rPr>
                <w:rFonts w:ascii="Arial" w:hAnsi="Arial" w:eastAsia="宋体" w:cs="Arial"/>
                <w:sz w:val="21"/>
                <w:szCs w:val="21"/>
              </w:rPr>
            </w:pPr>
          </w:p>
        </w:tc>
        <w:tc>
          <w:tcPr>
            <w:tcW w:w="421" w:type="dxa"/>
            <w:vAlign w:val="center"/>
          </w:tcPr>
          <w:p w14:paraId="7FCBD7E6">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4A269C33">
            <w:pPr>
              <w:adjustRightInd w:val="0"/>
              <w:snapToGrid w:val="0"/>
              <w:jc w:val="center"/>
              <w:rPr>
                <w:rFonts w:ascii="Arial" w:hAnsi="Arial" w:eastAsia="宋体" w:cs="Arial"/>
                <w:sz w:val="21"/>
                <w:szCs w:val="21"/>
              </w:rPr>
            </w:pPr>
          </w:p>
        </w:tc>
        <w:tc>
          <w:tcPr>
            <w:tcW w:w="612" w:type="dxa"/>
            <w:vAlign w:val="center"/>
          </w:tcPr>
          <w:p w14:paraId="46431DEE">
            <w:pPr>
              <w:adjustRightInd w:val="0"/>
              <w:snapToGrid w:val="0"/>
              <w:jc w:val="center"/>
              <w:rPr>
                <w:rFonts w:ascii="Arial" w:hAnsi="Arial" w:eastAsia="宋体" w:cs="Arial"/>
                <w:sz w:val="21"/>
                <w:szCs w:val="21"/>
              </w:rPr>
            </w:pPr>
          </w:p>
        </w:tc>
        <w:tc>
          <w:tcPr>
            <w:tcW w:w="571" w:type="dxa"/>
            <w:vAlign w:val="center"/>
          </w:tcPr>
          <w:p w14:paraId="17DFFF4B">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07518CD5">
            <w:pPr>
              <w:adjustRightInd w:val="0"/>
              <w:snapToGrid w:val="0"/>
              <w:jc w:val="center"/>
              <w:rPr>
                <w:rFonts w:ascii="Arial" w:hAnsi="Arial" w:eastAsia="宋体" w:cs="Arial"/>
                <w:sz w:val="21"/>
                <w:szCs w:val="21"/>
              </w:rPr>
            </w:pPr>
          </w:p>
        </w:tc>
        <w:tc>
          <w:tcPr>
            <w:tcW w:w="398" w:type="dxa"/>
            <w:vAlign w:val="center"/>
          </w:tcPr>
          <w:p w14:paraId="5E947DC6">
            <w:pPr>
              <w:adjustRightInd w:val="0"/>
              <w:snapToGrid w:val="0"/>
              <w:jc w:val="center"/>
              <w:rPr>
                <w:rFonts w:ascii="Arial" w:hAnsi="Arial" w:eastAsia="宋体" w:cs="Arial"/>
                <w:sz w:val="21"/>
                <w:szCs w:val="21"/>
              </w:rPr>
            </w:pPr>
          </w:p>
        </w:tc>
        <w:tc>
          <w:tcPr>
            <w:tcW w:w="453" w:type="dxa"/>
            <w:vAlign w:val="center"/>
          </w:tcPr>
          <w:p w14:paraId="01AA1031">
            <w:pPr>
              <w:adjustRightInd w:val="0"/>
              <w:snapToGrid w:val="0"/>
              <w:jc w:val="center"/>
              <w:rPr>
                <w:rFonts w:ascii="Arial" w:hAnsi="Arial" w:eastAsia="宋体" w:cs="Arial"/>
                <w:sz w:val="21"/>
                <w:szCs w:val="21"/>
              </w:rPr>
            </w:pPr>
          </w:p>
        </w:tc>
      </w:tr>
      <w:tr w14:paraId="044DF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restart"/>
            <w:vAlign w:val="center"/>
          </w:tcPr>
          <w:p w14:paraId="362FF1CA">
            <w:pPr>
              <w:adjustRightInd w:val="0"/>
              <w:snapToGrid w:val="0"/>
              <w:jc w:val="center"/>
              <w:rPr>
                <w:rFonts w:ascii="Arial" w:hAnsi="Arial" w:eastAsia="宋体" w:cs="Arial"/>
                <w:sz w:val="21"/>
                <w:szCs w:val="21"/>
              </w:rPr>
            </w:pPr>
            <w:r>
              <w:rPr>
                <w:rFonts w:ascii="Arial" w:hAnsi="Arial" w:eastAsia="宋体" w:cs="Arial"/>
                <w:sz w:val="21"/>
                <w:szCs w:val="21"/>
              </w:rPr>
              <w:t>营运期</w:t>
            </w:r>
          </w:p>
        </w:tc>
        <w:tc>
          <w:tcPr>
            <w:tcW w:w="1288" w:type="dxa"/>
            <w:vAlign w:val="center"/>
          </w:tcPr>
          <w:p w14:paraId="685B937E">
            <w:pPr>
              <w:adjustRightInd w:val="0"/>
              <w:snapToGrid w:val="0"/>
              <w:jc w:val="center"/>
              <w:rPr>
                <w:rFonts w:ascii="Arial" w:hAnsi="Arial" w:eastAsia="宋体" w:cs="Arial"/>
                <w:sz w:val="21"/>
                <w:szCs w:val="21"/>
              </w:rPr>
            </w:pPr>
            <w:r>
              <w:rPr>
                <w:rFonts w:ascii="Arial" w:hAnsi="Arial" w:eastAsia="宋体" w:cs="Arial"/>
                <w:sz w:val="21"/>
                <w:szCs w:val="21"/>
              </w:rPr>
              <w:t>地表水环境</w:t>
            </w:r>
          </w:p>
        </w:tc>
        <w:tc>
          <w:tcPr>
            <w:tcW w:w="531" w:type="dxa"/>
            <w:vAlign w:val="center"/>
          </w:tcPr>
          <w:p w14:paraId="1C36430F">
            <w:pPr>
              <w:adjustRightInd w:val="0"/>
              <w:snapToGrid w:val="0"/>
              <w:jc w:val="center"/>
              <w:rPr>
                <w:rFonts w:ascii="Arial" w:hAnsi="Arial" w:eastAsia="宋体" w:cs="Arial"/>
                <w:sz w:val="21"/>
                <w:szCs w:val="21"/>
              </w:rPr>
            </w:pPr>
          </w:p>
        </w:tc>
        <w:tc>
          <w:tcPr>
            <w:tcW w:w="530" w:type="dxa"/>
            <w:vAlign w:val="center"/>
          </w:tcPr>
          <w:p w14:paraId="68B75AB5">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5D1FBDCD">
            <w:pPr>
              <w:adjustRightInd w:val="0"/>
              <w:snapToGrid w:val="0"/>
              <w:jc w:val="center"/>
              <w:rPr>
                <w:rFonts w:ascii="Arial" w:hAnsi="Arial" w:eastAsia="宋体" w:cs="Arial"/>
                <w:sz w:val="21"/>
                <w:szCs w:val="21"/>
              </w:rPr>
            </w:pPr>
          </w:p>
        </w:tc>
        <w:tc>
          <w:tcPr>
            <w:tcW w:w="660" w:type="dxa"/>
            <w:vAlign w:val="center"/>
          </w:tcPr>
          <w:p w14:paraId="25C13877">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14:paraId="00A002A7">
            <w:pPr>
              <w:adjustRightInd w:val="0"/>
              <w:snapToGrid w:val="0"/>
              <w:jc w:val="center"/>
              <w:rPr>
                <w:rFonts w:ascii="Arial" w:hAnsi="Arial" w:eastAsia="宋体" w:cs="Arial"/>
                <w:sz w:val="21"/>
                <w:szCs w:val="21"/>
              </w:rPr>
            </w:pPr>
          </w:p>
        </w:tc>
        <w:tc>
          <w:tcPr>
            <w:tcW w:w="421" w:type="dxa"/>
            <w:vAlign w:val="center"/>
          </w:tcPr>
          <w:p w14:paraId="159276D8">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2EE5FC76">
            <w:pPr>
              <w:adjustRightInd w:val="0"/>
              <w:snapToGrid w:val="0"/>
              <w:jc w:val="center"/>
              <w:rPr>
                <w:rFonts w:ascii="Arial" w:hAnsi="Arial" w:eastAsia="宋体" w:cs="Arial"/>
                <w:sz w:val="21"/>
                <w:szCs w:val="21"/>
              </w:rPr>
            </w:pPr>
          </w:p>
        </w:tc>
        <w:tc>
          <w:tcPr>
            <w:tcW w:w="421" w:type="dxa"/>
            <w:vAlign w:val="center"/>
          </w:tcPr>
          <w:p w14:paraId="4812FE7D">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1BB9EBC6">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4696CB5E">
            <w:pPr>
              <w:adjustRightInd w:val="0"/>
              <w:snapToGrid w:val="0"/>
              <w:jc w:val="center"/>
              <w:rPr>
                <w:rFonts w:ascii="Arial" w:hAnsi="Arial" w:eastAsia="宋体" w:cs="Arial"/>
                <w:sz w:val="21"/>
                <w:szCs w:val="21"/>
              </w:rPr>
            </w:pPr>
          </w:p>
        </w:tc>
        <w:tc>
          <w:tcPr>
            <w:tcW w:w="612" w:type="dxa"/>
            <w:vAlign w:val="center"/>
          </w:tcPr>
          <w:p w14:paraId="2204B715">
            <w:pPr>
              <w:adjustRightInd w:val="0"/>
              <w:snapToGrid w:val="0"/>
              <w:jc w:val="center"/>
              <w:rPr>
                <w:rFonts w:ascii="Arial" w:hAnsi="Arial" w:eastAsia="宋体" w:cs="Arial"/>
                <w:sz w:val="21"/>
                <w:szCs w:val="21"/>
              </w:rPr>
            </w:pPr>
          </w:p>
        </w:tc>
        <w:tc>
          <w:tcPr>
            <w:tcW w:w="571" w:type="dxa"/>
            <w:vAlign w:val="center"/>
          </w:tcPr>
          <w:p w14:paraId="29F0639E">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062A66B7">
            <w:pPr>
              <w:adjustRightInd w:val="0"/>
              <w:snapToGrid w:val="0"/>
              <w:jc w:val="center"/>
              <w:rPr>
                <w:rFonts w:ascii="Arial" w:hAnsi="Arial" w:eastAsia="宋体" w:cs="Arial"/>
                <w:sz w:val="21"/>
                <w:szCs w:val="21"/>
              </w:rPr>
            </w:pPr>
          </w:p>
        </w:tc>
        <w:tc>
          <w:tcPr>
            <w:tcW w:w="398" w:type="dxa"/>
            <w:vAlign w:val="center"/>
          </w:tcPr>
          <w:p w14:paraId="23B32471">
            <w:pPr>
              <w:adjustRightInd w:val="0"/>
              <w:snapToGrid w:val="0"/>
              <w:jc w:val="center"/>
              <w:rPr>
                <w:rFonts w:ascii="Arial" w:hAnsi="Arial" w:eastAsia="宋体" w:cs="Arial"/>
                <w:sz w:val="21"/>
                <w:szCs w:val="21"/>
              </w:rPr>
            </w:pPr>
          </w:p>
        </w:tc>
        <w:tc>
          <w:tcPr>
            <w:tcW w:w="453" w:type="dxa"/>
            <w:vAlign w:val="center"/>
          </w:tcPr>
          <w:p w14:paraId="2A89D21A">
            <w:pPr>
              <w:adjustRightInd w:val="0"/>
              <w:snapToGrid w:val="0"/>
              <w:jc w:val="center"/>
              <w:rPr>
                <w:rFonts w:ascii="Arial" w:hAnsi="Arial" w:eastAsia="宋体" w:cs="Arial"/>
                <w:sz w:val="21"/>
                <w:szCs w:val="21"/>
              </w:rPr>
            </w:pPr>
          </w:p>
        </w:tc>
      </w:tr>
      <w:tr w14:paraId="00A29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3EA7BFA2">
            <w:pPr>
              <w:widowControl/>
              <w:jc w:val="left"/>
              <w:rPr>
                <w:rFonts w:ascii="Arial" w:hAnsi="Arial" w:eastAsia="宋体" w:cs="Arial"/>
                <w:sz w:val="21"/>
                <w:szCs w:val="21"/>
              </w:rPr>
            </w:pPr>
          </w:p>
        </w:tc>
        <w:tc>
          <w:tcPr>
            <w:tcW w:w="1288" w:type="dxa"/>
            <w:vAlign w:val="center"/>
          </w:tcPr>
          <w:p w14:paraId="446F8EDB">
            <w:pPr>
              <w:adjustRightInd w:val="0"/>
              <w:snapToGrid w:val="0"/>
              <w:jc w:val="center"/>
              <w:rPr>
                <w:rFonts w:ascii="Arial" w:hAnsi="Arial" w:eastAsia="宋体" w:cs="Arial"/>
                <w:sz w:val="21"/>
                <w:szCs w:val="21"/>
              </w:rPr>
            </w:pPr>
            <w:r>
              <w:rPr>
                <w:rFonts w:ascii="Arial" w:hAnsi="Arial" w:eastAsia="宋体" w:cs="Arial"/>
                <w:sz w:val="21"/>
                <w:szCs w:val="21"/>
              </w:rPr>
              <w:t>大气环境</w:t>
            </w:r>
          </w:p>
        </w:tc>
        <w:tc>
          <w:tcPr>
            <w:tcW w:w="531" w:type="dxa"/>
            <w:vAlign w:val="center"/>
          </w:tcPr>
          <w:p w14:paraId="06C83BB5">
            <w:pPr>
              <w:adjustRightInd w:val="0"/>
              <w:snapToGrid w:val="0"/>
              <w:jc w:val="center"/>
              <w:rPr>
                <w:rFonts w:ascii="Arial" w:hAnsi="Arial" w:eastAsia="宋体" w:cs="Arial"/>
                <w:sz w:val="21"/>
                <w:szCs w:val="21"/>
              </w:rPr>
            </w:pPr>
          </w:p>
        </w:tc>
        <w:tc>
          <w:tcPr>
            <w:tcW w:w="530" w:type="dxa"/>
            <w:vAlign w:val="center"/>
          </w:tcPr>
          <w:p w14:paraId="4AA7418E">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0D8AC446">
            <w:pPr>
              <w:adjustRightInd w:val="0"/>
              <w:snapToGrid w:val="0"/>
              <w:jc w:val="center"/>
              <w:rPr>
                <w:rFonts w:ascii="Arial" w:hAnsi="Arial" w:eastAsia="宋体" w:cs="Arial"/>
                <w:sz w:val="21"/>
                <w:szCs w:val="21"/>
              </w:rPr>
            </w:pPr>
          </w:p>
        </w:tc>
        <w:tc>
          <w:tcPr>
            <w:tcW w:w="660" w:type="dxa"/>
            <w:vAlign w:val="center"/>
          </w:tcPr>
          <w:p w14:paraId="1F98632F">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14:paraId="3421CCEE">
            <w:pPr>
              <w:adjustRightInd w:val="0"/>
              <w:snapToGrid w:val="0"/>
              <w:jc w:val="center"/>
              <w:rPr>
                <w:rFonts w:ascii="Arial" w:hAnsi="Arial" w:eastAsia="宋体" w:cs="Arial"/>
                <w:sz w:val="21"/>
                <w:szCs w:val="21"/>
              </w:rPr>
            </w:pPr>
          </w:p>
        </w:tc>
        <w:tc>
          <w:tcPr>
            <w:tcW w:w="421" w:type="dxa"/>
            <w:vAlign w:val="center"/>
          </w:tcPr>
          <w:p w14:paraId="0FBF8B8C">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42593F78">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74E4AE9D">
            <w:pPr>
              <w:adjustRightInd w:val="0"/>
              <w:snapToGrid w:val="0"/>
              <w:jc w:val="center"/>
              <w:rPr>
                <w:rFonts w:ascii="Arial" w:hAnsi="Arial" w:eastAsia="宋体" w:cs="Arial"/>
                <w:sz w:val="21"/>
                <w:szCs w:val="21"/>
              </w:rPr>
            </w:pPr>
          </w:p>
        </w:tc>
        <w:tc>
          <w:tcPr>
            <w:tcW w:w="421" w:type="dxa"/>
            <w:vAlign w:val="center"/>
          </w:tcPr>
          <w:p w14:paraId="040BBCF1">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515C1F6C">
            <w:pPr>
              <w:adjustRightInd w:val="0"/>
              <w:snapToGrid w:val="0"/>
              <w:jc w:val="center"/>
              <w:rPr>
                <w:rFonts w:ascii="Arial" w:hAnsi="Arial" w:eastAsia="宋体" w:cs="Arial"/>
                <w:sz w:val="21"/>
                <w:szCs w:val="21"/>
              </w:rPr>
            </w:pPr>
          </w:p>
        </w:tc>
        <w:tc>
          <w:tcPr>
            <w:tcW w:w="612" w:type="dxa"/>
            <w:vAlign w:val="center"/>
          </w:tcPr>
          <w:p w14:paraId="562E6313">
            <w:pPr>
              <w:adjustRightInd w:val="0"/>
              <w:snapToGrid w:val="0"/>
              <w:jc w:val="center"/>
              <w:rPr>
                <w:rFonts w:ascii="Arial" w:hAnsi="Arial" w:eastAsia="宋体" w:cs="Arial"/>
                <w:sz w:val="21"/>
                <w:szCs w:val="21"/>
              </w:rPr>
            </w:pPr>
          </w:p>
        </w:tc>
        <w:tc>
          <w:tcPr>
            <w:tcW w:w="571" w:type="dxa"/>
            <w:vAlign w:val="center"/>
          </w:tcPr>
          <w:p w14:paraId="4C9BBEDF">
            <w:pPr>
              <w:adjustRightInd w:val="0"/>
              <w:snapToGrid w:val="0"/>
              <w:jc w:val="center"/>
              <w:rPr>
                <w:rFonts w:ascii="Arial" w:hAnsi="Arial" w:eastAsia="宋体" w:cs="Arial"/>
                <w:sz w:val="21"/>
                <w:szCs w:val="21"/>
              </w:rPr>
            </w:pPr>
          </w:p>
        </w:tc>
        <w:tc>
          <w:tcPr>
            <w:tcW w:w="398" w:type="dxa"/>
            <w:vAlign w:val="center"/>
          </w:tcPr>
          <w:p w14:paraId="0DF64B3B">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3CB0BE39">
            <w:pPr>
              <w:adjustRightInd w:val="0"/>
              <w:snapToGrid w:val="0"/>
              <w:jc w:val="center"/>
              <w:rPr>
                <w:rFonts w:ascii="Arial" w:hAnsi="Arial" w:eastAsia="宋体" w:cs="Arial"/>
                <w:sz w:val="21"/>
                <w:szCs w:val="21"/>
              </w:rPr>
            </w:pPr>
          </w:p>
        </w:tc>
        <w:tc>
          <w:tcPr>
            <w:tcW w:w="453" w:type="dxa"/>
            <w:vAlign w:val="center"/>
          </w:tcPr>
          <w:p w14:paraId="637E557D">
            <w:pPr>
              <w:adjustRightInd w:val="0"/>
              <w:snapToGrid w:val="0"/>
              <w:jc w:val="center"/>
              <w:rPr>
                <w:rFonts w:ascii="Arial" w:hAnsi="Arial" w:eastAsia="宋体" w:cs="Arial"/>
                <w:sz w:val="21"/>
                <w:szCs w:val="21"/>
              </w:rPr>
            </w:pPr>
          </w:p>
        </w:tc>
      </w:tr>
      <w:tr w14:paraId="1D0B9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74" w:type="dxa"/>
            <w:vMerge w:val="continue"/>
            <w:vAlign w:val="center"/>
          </w:tcPr>
          <w:p w14:paraId="77E95584">
            <w:pPr>
              <w:widowControl/>
              <w:jc w:val="left"/>
              <w:rPr>
                <w:rFonts w:ascii="Arial" w:hAnsi="Arial" w:eastAsia="宋体" w:cs="Arial"/>
                <w:sz w:val="21"/>
                <w:szCs w:val="21"/>
              </w:rPr>
            </w:pPr>
          </w:p>
        </w:tc>
        <w:tc>
          <w:tcPr>
            <w:tcW w:w="1288" w:type="dxa"/>
            <w:vAlign w:val="center"/>
          </w:tcPr>
          <w:p w14:paraId="4D82A75C">
            <w:pPr>
              <w:adjustRightInd w:val="0"/>
              <w:snapToGrid w:val="0"/>
              <w:jc w:val="center"/>
              <w:rPr>
                <w:rFonts w:ascii="Arial" w:hAnsi="Arial" w:eastAsia="宋体" w:cs="Arial"/>
                <w:sz w:val="21"/>
                <w:szCs w:val="21"/>
              </w:rPr>
            </w:pPr>
            <w:r>
              <w:rPr>
                <w:rFonts w:ascii="Arial" w:hAnsi="Arial" w:eastAsia="宋体" w:cs="Arial"/>
                <w:sz w:val="21"/>
                <w:szCs w:val="21"/>
              </w:rPr>
              <w:t>声环境</w:t>
            </w:r>
          </w:p>
        </w:tc>
        <w:tc>
          <w:tcPr>
            <w:tcW w:w="531" w:type="dxa"/>
            <w:vAlign w:val="center"/>
          </w:tcPr>
          <w:p w14:paraId="285B43EC">
            <w:pPr>
              <w:adjustRightInd w:val="0"/>
              <w:snapToGrid w:val="0"/>
              <w:jc w:val="center"/>
              <w:rPr>
                <w:rFonts w:ascii="Arial" w:hAnsi="Arial" w:eastAsia="宋体" w:cs="Arial"/>
                <w:sz w:val="21"/>
                <w:szCs w:val="21"/>
              </w:rPr>
            </w:pPr>
          </w:p>
        </w:tc>
        <w:tc>
          <w:tcPr>
            <w:tcW w:w="530" w:type="dxa"/>
            <w:vAlign w:val="center"/>
          </w:tcPr>
          <w:p w14:paraId="504983DC">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2F546192">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60" w:type="dxa"/>
            <w:vAlign w:val="center"/>
          </w:tcPr>
          <w:p w14:paraId="532FDEED">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14:paraId="6E880F79">
            <w:pPr>
              <w:adjustRightInd w:val="0"/>
              <w:snapToGrid w:val="0"/>
              <w:jc w:val="center"/>
              <w:rPr>
                <w:rFonts w:ascii="Arial" w:hAnsi="Arial" w:eastAsia="宋体" w:cs="Arial"/>
                <w:sz w:val="21"/>
                <w:szCs w:val="21"/>
              </w:rPr>
            </w:pPr>
          </w:p>
        </w:tc>
        <w:tc>
          <w:tcPr>
            <w:tcW w:w="421" w:type="dxa"/>
            <w:vAlign w:val="center"/>
          </w:tcPr>
          <w:p w14:paraId="74C68BF1">
            <w:pPr>
              <w:adjustRightInd w:val="0"/>
              <w:snapToGrid w:val="0"/>
              <w:jc w:val="center"/>
              <w:rPr>
                <w:rFonts w:ascii="Arial" w:hAnsi="Arial" w:eastAsia="宋体" w:cs="Arial"/>
                <w:sz w:val="21"/>
                <w:szCs w:val="21"/>
              </w:rPr>
            </w:pPr>
          </w:p>
        </w:tc>
        <w:tc>
          <w:tcPr>
            <w:tcW w:w="421" w:type="dxa"/>
            <w:vAlign w:val="center"/>
          </w:tcPr>
          <w:p w14:paraId="7FF38778">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3CA10E97">
            <w:pPr>
              <w:adjustRightInd w:val="0"/>
              <w:snapToGrid w:val="0"/>
              <w:jc w:val="center"/>
              <w:rPr>
                <w:rFonts w:ascii="Arial" w:hAnsi="Arial" w:eastAsia="宋体" w:cs="Arial"/>
                <w:sz w:val="21"/>
                <w:szCs w:val="21"/>
              </w:rPr>
            </w:pPr>
          </w:p>
        </w:tc>
        <w:tc>
          <w:tcPr>
            <w:tcW w:w="421" w:type="dxa"/>
            <w:vAlign w:val="center"/>
          </w:tcPr>
          <w:p w14:paraId="09B98469">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2D19638C">
            <w:pPr>
              <w:adjustRightInd w:val="0"/>
              <w:snapToGrid w:val="0"/>
              <w:jc w:val="center"/>
              <w:rPr>
                <w:rFonts w:ascii="Arial" w:hAnsi="Arial" w:eastAsia="宋体" w:cs="Arial"/>
                <w:sz w:val="21"/>
                <w:szCs w:val="21"/>
              </w:rPr>
            </w:pPr>
          </w:p>
        </w:tc>
        <w:tc>
          <w:tcPr>
            <w:tcW w:w="612" w:type="dxa"/>
            <w:vAlign w:val="center"/>
          </w:tcPr>
          <w:p w14:paraId="420CBC90">
            <w:pPr>
              <w:adjustRightInd w:val="0"/>
              <w:snapToGrid w:val="0"/>
              <w:jc w:val="center"/>
              <w:rPr>
                <w:rFonts w:ascii="Arial" w:hAnsi="Arial" w:eastAsia="宋体" w:cs="Arial"/>
                <w:sz w:val="21"/>
                <w:szCs w:val="21"/>
              </w:rPr>
            </w:pPr>
          </w:p>
        </w:tc>
        <w:tc>
          <w:tcPr>
            <w:tcW w:w="571" w:type="dxa"/>
            <w:vAlign w:val="center"/>
          </w:tcPr>
          <w:p w14:paraId="7DAABDD2">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1A411581">
            <w:pPr>
              <w:adjustRightInd w:val="0"/>
              <w:snapToGrid w:val="0"/>
              <w:jc w:val="center"/>
              <w:rPr>
                <w:rFonts w:ascii="Arial" w:hAnsi="Arial" w:eastAsia="宋体" w:cs="Arial"/>
                <w:sz w:val="21"/>
                <w:szCs w:val="21"/>
              </w:rPr>
            </w:pPr>
          </w:p>
        </w:tc>
        <w:tc>
          <w:tcPr>
            <w:tcW w:w="398" w:type="dxa"/>
            <w:vAlign w:val="center"/>
          </w:tcPr>
          <w:p w14:paraId="4DE2C536">
            <w:pPr>
              <w:adjustRightInd w:val="0"/>
              <w:snapToGrid w:val="0"/>
              <w:jc w:val="center"/>
              <w:rPr>
                <w:rFonts w:ascii="Arial" w:hAnsi="Arial" w:eastAsia="宋体" w:cs="Arial"/>
                <w:sz w:val="21"/>
                <w:szCs w:val="21"/>
              </w:rPr>
            </w:pPr>
          </w:p>
        </w:tc>
        <w:tc>
          <w:tcPr>
            <w:tcW w:w="453" w:type="dxa"/>
            <w:vAlign w:val="center"/>
          </w:tcPr>
          <w:p w14:paraId="0FB4902C">
            <w:pPr>
              <w:adjustRightInd w:val="0"/>
              <w:snapToGrid w:val="0"/>
              <w:jc w:val="center"/>
              <w:rPr>
                <w:rFonts w:ascii="Arial" w:hAnsi="Arial" w:eastAsia="宋体" w:cs="Arial"/>
                <w:sz w:val="21"/>
                <w:szCs w:val="21"/>
              </w:rPr>
            </w:pPr>
          </w:p>
        </w:tc>
      </w:tr>
      <w:tr w14:paraId="5FE33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61800DBA">
            <w:pPr>
              <w:widowControl/>
              <w:jc w:val="left"/>
              <w:rPr>
                <w:rFonts w:ascii="Arial" w:hAnsi="Arial" w:eastAsia="宋体" w:cs="Arial"/>
                <w:sz w:val="21"/>
                <w:szCs w:val="21"/>
              </w:rPr>
            </w:pPr>
          </w:p>
        </w:tc>
        <w:tc>
          <w:tcPr>
            <w:tcW w:w="1288" w:type="dxa"/>
            <w:vAlign w:val="center"/>
          </w:tcPr>
          <w:p w14:paraId="089B84FF">
            <w:pPr>
              <w:adjustRightInd w:val="0"/>
              <w:snapToGrid w:val="0"/>
              <w:jc w:val="center"/>
              <w:rPr>
                <w:rFonts w:ascii="Arial" w:hAnsi="Arial" w:eastAsia="宋体" w:cs="Arial"/>
                <w:sz w:val="21"/>
                <w:szCs w:val="21"/>
              </w:rPr>
            </w:pPr>
            <w:r>
              <w:rPr>
                <w:rFonts w:ascii="Arial" w:hAnsi="Arial" w:eastAsia="宋体" w:cs="Arial"/>
                <w:sz w:val="21"/>
                <w:szCs w:val="21"/>
              </w:rPr>
              <w:t>生态环境</w:t>
            </w:r>
          </w:p>
        </w:tc>
        <w:tc>
          <w:tcPr>
            <w:tcW w:w="531" w:type="dxa"/>
            <w:vAlign w:val="center"/>
          </w:tcPr>
          <w:p w14:paraId="5149D7BE">
            <w:pPr>
              <w:adjustRightInd w:val="0"/>
              <w:snapToGrid w:val="0"/>
              <w:jc w:val="center"/>
              <w:rPr>
                <w:rFonts w:ascii="Arial" w:hAnsi="Arial" w:eastAsia="宋体" w:cs="Arial"/>
                <w:sz w:val="21"/>
                <w:szCs w:val="21"/>
              </w:rPr>
            </w:pPr>
          </w:p>
        </w:tc>
        <w:tc>
          <w:tcPr>
            <w:tcW w:w="530" w:type="dxa"/>
            <w:vAlign w:val="center"/>
          </w:tcPr>
          <w:p w14:paraId="18E67B34">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5D1131EF">
            <w:pPr>
              <w:adjustRightInd w:val="0"/>
              <w:snapToGrid w:val="0"/>
              <w:jc w:val="center"/>
              <w:rPr>
                <w:rFonts w:ascii="Arial" w:hAnsi="Arial" w:eastAsia="宋体" w:cs="Arial"/>
                <w:sz w:val="21"/>
                <w:szCs w:val="21"/>
              </w:rPr>
            </w:pPr>
          </w:p>
        </w:tc>
        <w:tc>
          <w:tcPr>
            <w:tcW w:w="660" w:type="dxa"/>
            <w:vAlign w:val="center"/>
          </w:tcPr>
          <w:p w14:paraId="77B598EE">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14:paraId="0CB8CD03">
            <w:pPr>
              <w:adjustRightInd w:val="0"/>
              <w:snapToGrid w:val="0"/>
              <w:jc w:val="center"/>
              <w:rPr>
                <w:rFonts w:ascii="Arial" w:hAnsi="Arial" w:eastAsia="宋体" w:cs="Arial"/>
                <w:sz w:val="21"/>
                <w:szCs w:val="21"/>
              </w:rPr>
            </w:pPr>
          </w:p>
        </w:tc>
        <w:tc>
          <w:tcPr>
            <w:tcW w:w="421" w:type="dxa"/>
            <w:vAlign w:val="center"/>
          </w:tcPr>
          <w:p w14:paraId="289DAAF5">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43B43BB1">
            <w:pPr>
              <w:adjustRightInd w:val="0"/>
              <w:snapToGrid w:val="0"/>
              <w:jc w:val="center"/>
              <w:rPr>
                <w:rFonts w:ascii="Arial" w:hAnsi="Arial" w:eastAsia="宋体" w:cs="Arial"/>
                <w:sz w:val="21"/>
                <w:szCs w:val="21"/>
              </w:rPr>
            </w:pPr>
          </w:p>
        </w:tc>
        <w:tc>
          <w:tcPr>
            <w:tcW w:w="421" w:type="dxa"/>
            <w:vAlign w:val="center"/>
          </w:tcPr>
          <w:p w14:paraId="7462C219">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0BBD4042">
            <w:pPr>
              <w:adjustRightInd w:val="0"/>
              <w:snapToGrid w:val="0"/>
              <w:jc w:val="center"/>
              <w:rPr>
                <w:rFonts w:ascii="Arial" w:hAnsi="Arial" w:eastAsia="宋体" w:cs="Arial"/>
                <w:sz w:val="21"/>
                <w:szCs w:val="21"/>
              </w:rPr>
            </w:pPr>
          </w:p>
        </w:tc>
        <w:tc>
          <w:tcPr>
            <w:tcW w:w="421" w:type="dxa"/>
            <w:vAlign w:val="center"/>
          </w:tcPr>
          <w:p w14:paraId="7656CB29">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612" w:type="dxa"/>
            <w:vAlign w:val="center"/>
          </w:tcPr>
          <w:p w14:paraId="7ABCE405">
            <w:pPr>
              <w:adjustRightInd w:val="0"/>
              <w:snapToGrid w:val="0"/>
              <w:jc w:val="center"/>
              <w:rPr>
                <w:rFonts w:ascii="Arial" w:hAnsi="Arial" w:eastAsia="宋体" w:cs="Arial"/>
                <w:sz w:val="21"/>
                <w:szCs w:val="21"/>
              </w:rPr>
            </w:pPr>
          </w:p>
        </w:tc>
        <w:tc>
          <w:tcPr>
            <w:tcW w:w="571" w:type="dxa"/>
            <w:vAlign w:val="center"/>
          </w:tcPr>
          <w:p w14:paraId="3B848509">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65F06F6D">
            <w:pPr>
              <w:adjustRightInd w:val="0"/>
              <w:snapToGrid w:val="0"/>
              <w:jc w:val="center"/>
              <w:rPr>
                <w:rFonts w:ascii="Arial" w:hAnsi="Arial" w:eastAsia="宋体" w:cs="Arial"/>
                <w:sz w:val="21"/>
                <w:szCs w:val="21"/>
              </w:rPr>
            </w:pPr>
          </w:p>
        </w:tc>
        <w:tc>
          <w:tcPr>
            <w:tcW w:w="398" w:type="dxa"/>
            <w:vAlign w:val="center"/>
          </w:tcPr>
          <w:p w14:paraId="53EF9B89">
            <w:pPr>
              <w:adjustRightInd w:val="0"/>
              <w:snapToGrid w:val="0"/>
              <w:jc w:val="center"/>
              <w:rPr>
                <w:rFonts w:ascii="Arial" w:hAnsi="Arial" w:eastAsia="宋体" w:cs="Arial"/>
                <w:sz w:val="21"/>
                <w:szCs w:val="21"/>
              </w:rPr>
            </w:pPr>
          </w:p>
        </w:tc>
        <w:tc>
          <w:tcPr>
            <w:tcW w:w="453" w:type="dxa"/>
            <w:vAlign w:val="center"/>
          </w:tcPr>
          <w:p w14:paraId="2A2EC909">
            <w:pPr>
              <w:adjustRightInd w:val="0"/>
              <w:snapToGrid w:val="0"/>
              <w:jc w:val="center"/>
              <w:rPr>
                <w:rFonts w:ascii="Arial" w:hAnsi="Arial" w:eastAsia="宋体" w:cs="Arial"/>
                <w:sz w:val="21"/>
                <w:szCs w:val="21"/>
              </w:rPr>
            </w:pPr>
          </w:p>
        </w:tc>
      </w:tr>
      <w:tr w14:paraId="4D958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2AEF3BB7">
            <w:pPr>
              <w:widowControl/>
              <w:jc w:val="left"/>
              <w:rPr>
                <w:rFonts w:ascii="Arial" w:hAnsi="Arial" w:eastAsia="宋体" w:cs="Arial"/>
                <w:sz w:val="21"/>
                <w:szCs w:val="21"/>
              </w:rPr>
            </w:pPr>
          </w:p>
        </w:tc>
        <w:tc>
          <w:tcPr>
            <w:tcW w:w="1288" w:type="dxa"/>
            <w:vAlign w:val="center"/>
          </w:tcPr>
          <w:p w14:paraId="36D2B0C0">
            <w:pPr>
              <w:adjustRightInd w:val="0"/>
              <w:snapToGrid w:val="0"/>
              <w:jc w:val="center"/>
              <w:rPr>
                <w:rFonts w:ascii="Arial" w:hAnsi="Arial" w:eastAsia="宋体" w:cs="Arial"/>
                <w:sz w:val="21"/>
                <w:szCs w:val="21"/>
              </w:rPr>
            </w:pPr>
            <w:r>
              <w:rPr>
                <w:rFonts w:ascii="Arial" w:hAnsi="Arial" w:eastAsia="宋体" w:cs="Arial"/>
                <w:sz w:val="21"/>
                <w:szCs w:val="21"/>
              </w:rPr>
              <w:t>地下水环境</w:t>
            </w:r>
          </w:p>
        </w:tc>
        <w:tc>
          <w:tcPr>
            <w:tcW w:w="531" w:type="dxa"/>
            <w:vAlign w:val="center"/>
          </w:tcPr>
          <w:p w14:paraId="4BD38459">
            <w:pPr>
              <w:adjustRightInd w:val="0"/>
              <w:snapToGrid w:val="0"/>
              <w:jc w:val="center"/>
              <w:rPr>
                <w:rFonts w:ascii="Arial" w:hAnsi="Arial" w:eastAsia="宋体" w:cs="Arial"/>
                <w:sz w:val="21"/>
                <w:szCs w:val="21"/>
              </w:rPr>
            </w:pPr>
          </w:p>
        </w:tc>
        <w:tc>
          <w:tcPr>
            <w:tcW w:w="530" w:type="dxa"/>
            <w:vAlign w:val="center"/>
          </w:tcPr>
          <w:p w14:paraId="0C8938EE">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0759B9D6">
            <w:pPr>
              <w:adjustRightInd w:val="0"/>
              <w:snapToGrid w:val="0"/>
              <w:jc w:val="center"/>
              <w:rPr>
                <w:rFonts w:ascii="Arial" w:hAnsi="Arial" w:eastAsia="宋体" w:cs="Arial"/>
                <w:sz w:val="21"/>
                <w:szCs w:val="21"/>
              </w:rPr>
            </w:pPr>
          </w:p>
        </w:tc>
        <w:tc>
          <w:tcPr>
            <w:tcW w:w="660" w:type="dxa"/>
            <w:vAlign w:val="center"/>
          </w:tcPr>
          <w:p w14:paraId="183B0323">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14:paraId="2AF418A1">
            <w:pPr>
              <w:adjustRightInd w:val="0"/>
              <w:snapToGrid w:val="0"/>
              <w:jc w:val="center"/>
              <w:rPr>
                <w:rFonts w:ascii="Arial" w:hAnsi="Arial" w:eastAsia="宋体" w:cs="Arial"/>
                <w:sz w:val="21"/>
                <w:szCs w:val="21"/>
              </w:rPr>
            </w:pPr>
          </w:p>
        </w:tc>
        <w:tc>
          <w:tcPr>
            <w:tcW w:w="421" w:type="dxa"/>
            <w:vAlign w:val="center"/>
          </w:tcPr>
          <w:p w14:paraId="716193D4">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477126D3">
            <w:pPr>
              <w:adjustRightInd w:val="0"/>
              <w:snapToGrid w:val="0"/>
              <w:jc w:val="center"/>
              <w:rPr>
                <w:rFonts w:ascii="Arial" w:hAnsi="Arial" w:eastAsia="宋体" w:cs="Arial"/>
                <w:sz w:val="21"/>
                <w:szCs w:val="21"/>
              </w:rPr>
            </w:pPr>
          </w:p>
        </w:tc>
        <w:tc>
          <w:tcPr>
            <w:tcW w:w="421" w:type="dxa"/>
            <w:vAlign w:val="center"/>
          </w:tcPr>
          <w:p w14:paraId="5AEB3B67">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0D52B497">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38E6B3FC">
            <w:pPr>
              <w:adjustRightInd w:val="0"/>
              <w:snapToGrid w:val="0"/>
              <w:jc w:val="center"/>
              <w:rPr>
                <w:rFonts w:ascii="Arial" w:hAnsi="Arial" w:eastAsia="宋体" w:cs="Arial"/>
                <w:sz w:val="21"/>
                <w:szCs w:val="21"/>
              </w:rPr>
            </w:pPr>
          </w:p>
        </w:tc>
        <w:tc>
          <w:tcPr>
            <w:tcW w:w="612" w:type="dxa"/>
            <w:vAlign w:val="center"/>
          </w:tcPr>
          <w:p w14:paraId="0593AE0E">
            <w:pPr>
              <w:adjustRightInd w:val="0"/>
              <w:snapToGrid w:val="0"/>
              <w:jc w:val="center"/>
              <w:rPr>
                <w:rFonts w:ascii="Arial" w:hAnsi="Arial" w:eastAsia="宋体" w:cs="Arial"/>
                <w:sz w:val="21"/>
                <w:szCs w:val="21"/>
              </w:rPr>
            </w:pPr>
          </w:p>
        </w:tc>
        <w:tc>
          <w:tcPr>
            <w:tcW w:w="571" w:type="dxa"/>
            <w:vAlign w:val="center"/>
          </w:tcPr>
          <w:p w14:paraId="0D890AF5">
            <w:pPr>
              <w:adjustRightInd w:val="0"/>
              <w:snapToGrid w:val="0"/>
              <w:jc w:val="center"/>
              <w:rPr>
                <w:rFonts w:ascii="Arial" w:hAnsi="Arial" w:eastAsia="宋体" w:cs="Arial"/>
                <w:sz w:val="21"/>
                <w:szCs w:val="21"/>
              </w:rPr>
            </w:pPr>
          </w:p>
        </w:tc>
        <w:tc>
          <w:tcPr>
            <w:tcW w:w="398" w:type="dxa"/>
            <w:vAlign w:val="center"/>
          </w:tcPr>
          <w:p w14:paraId="5D761180">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158A33B2">
            <w:pPr>
              <w:adjustRightInd w:val="0"/>
              <w:snapToGrid w:val="0"/>
              <w:jc w:val="center"/>
              <w:rPr>
                <w:rFonts w:ascii="Arial" w:hAnsi="Arial" w:eastAsia="宋体" w:cs="Arial"/>
                <w:sz w:val="21"/>
                <w:szCs w:val="21"/>
              </w:rPr>
            </w:pPr>
          </w:p>
        </w:tc>
        <w:tc>
          <w:tcPr>
            <w:tcW w:w="453" w:type="dxa"/>
            <w:vAlign w:val="center"/>
          </w:tcPr>
          <w:p w14:paraId="71EDDF1F">
            <w:pPr>
              <w:adjustRightInd w:val="0"/>
              <w:snapToGrid w:val="0"/>
              <w:jc w:val="center"/>
              <w:rPr>
                <w:rFonts w:ascii="Arial" w:hAnsi="Arial" w:eastAsia="宋体" w:cs="Arial"/>
                <w:sz w:val="21"/>
                <w:szCs w:val="21"/>
              </w:rPr>
            </w:pPr>
          </w:p>
        </w:tc>
      </w:tr>
      <w:tr w14:paraId="47849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7DB259E9">
            <w:pPr>
              <w:widowControl/>
              <w:jc w:val="left"/>
              <w:rPr>
                <w:rFonts w:ascii="Arial" w:hAnsi="Arial" w:eastAsia="宋体" w:cs="Arial"/>
                <w:sz w:val="21"/>
                <w:szCs w:val="21"/>
              </w:rPr>
            </w:pPr>
          </w:p>
        </w:tc>
        <w:tc>
          <w:tcPr>
            <w:tcW w:w="1288" w:type="dxa"/>
            <w:vAlign w:val="center"/>
          </w:tcPr>
          <w:p w14:paraId="3E30397A">
            <w:pPr>
              <w:adjustRightInd w:val="0"/>
              <w:snapToGrid w:val="0"/>
              <w:jc w:val="center"/>
              <w:rPr>
                <w:rFonts w:ascii="Arial" w:hAnsi="Arial" w:eastAsia="宋体" w:cs="Arial"/>
                <w:sz w:val="21"/>
                <w:szCs w:val="21"/>
              </w:rPr>
            </w:pPr>
            <w:r>
              <w:rPr>
                <w:rFonts w:ascii="Arial" w:hAnsi="Arial" w:eastAsia="宋体" w:cs="Arial"/>
                <w:sz w:val="21"/>
                <w:szCs w:val="21"/>
              </w:rPr>
              <w:t>土壤环境</w:t>
            </w:r>
          </w:p>
        </w:tc>
        <w:tc>
          <w:tcPr>
            <w:tcW w:w="531" w:type="dxa"/>
            <w:vAlign w:val="center"/>
          </w:tcPr>
          <w:p w14:paraId="5B19E4A5">
            <w:pPr>
              <w:adjustRightInd w:val="0"/>
              <w:snapToGrid w:val="0"/>
              <w:jc w:val="center"/>
              <w:rPr>
                <w:rFonts w:ascii="Arial" w:hAnsi="Arial" w:eastAsia="宋体" w:cs="Arial"/>
                <w:sz w:val="21"/>
                <w:szCs w:val="21"/>
              </w:rPr>
            </w:pPr>
          </w:p>
        </w:tc>
        <w:tc>
          <w:tcPr>
            <w:tcW w:w="530" w:type="dxa"/>
            <w:vAlign w:val="center"/>
          </w:tcPr>
          <w:p w14:paraId="0B657A4B">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530" w:type="dxa"/>
            <w:vAlign w:val="center"/>
          </w:tcPr>
          <w:p w14:paraId="4F113562">
            <w:pPr>
              <w:adjustRightInd w:val="0"/>
              <w:snapToGrid w:val="0"/>
              <w:jc w:val="center"/>
              <w:rPr>
                <w:rFonts w:ascii="Arial" w:hAnsi="Arial" w:eastAsia="宋体" w:cs="Arial"/>
                <w:sz w:val="21"/>
                <w:szCs w:val="21"/>
              </w:rPr>
            </w:pPr>
          </w:p>
        </w:tc>
        <w:tc>
          <w:tcPr>
            <w:tcW w:w="660" w:type="dxa"/>
            <w:vAlign w:val="center"/>
          </w:tcPr>
          <w:p w14:paraId="6239DBE6">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41" w:type="dxa"/>
            <w:vAlign w:val="center"/>
          </w:tcPr>
          <w:p w14:paraId="60B5E497">
            <w:pPr>
              <w:adjustRightInd w:val="0"/>
              <w:snapToGrid w:val="0"/>
              <w:jc w:val="center"/>
              <w:rPr>
                <w:rFonts w:ascii="Arial" w:hAnsi="Arial" w:eastAsia="宋体" w:cs="Arial"/>
                <w:sz w:val="21"/>
                <w:szCs w:val="21"/>
              </w:rPr>
            </w:pPr>
          </w:p>
        </w:tc>
        <w:tc>
          <w:tcPr>
            <w:tcW w:w="421" w:type="dxa"/>
            <w:vAlign w:val="center"/>
          </w:tcPr>
          <w:p w14:paraId="3D0F4D1F">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0F0E770E">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38FA10EE">
            <w:pPr>
              <w:adjustRightInd w:val="0"/>
              <w:snapToGrid w:val="0"/>
              <w:jc w:val="center"/>
              <w:rPr>
                <w:rFonts w:ascii="Arial" w:hAnsi="Arial" w:eastAsia="宋体" w:cs="Arial"/>
                <w:sz w:val="21"/>
                <w:szCs w:val="21"/>
              </w:rPr>
            </w:pPr>
          </w:p>
        </w:tc>
        <w:tc>
          <w:tcPr>
            <w:tcW w:w="421" w:type="dxa"/>
            <w:vAlign w:val="center"/>
          </w:tcPr>
          <w:p w14:paraId="6C6840D1">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21" w:type="dxa"/>
            <w:vAlign w:val="center"/>
          </w:tcPr>
          <w:p w14:paraId="768B8144">
            <w:pPr>
              <w:adjustRightInd w:val="0"/>
              <w:snapToGrid w:val="0"/>
              <w:jc w:val="center"/>
              <w:rPr>
                <w:rFonts w:ascii="Arial" w:hAnsi="Arial" w:eastAsia="宋体" w:cs="Arial"/>
                <w:sz w:val="21"/>
                <w:szCs w:val="21"/>
              </w:rPr>
            </w:pPr>
          </w:p>
        </w:tc>
        <w:tc>
          <w:tcPr>
            <w:tcW w:w="612" w:type="dxa"/>
            <w:vAlign w:val="center"/>
          </w:tcPr>
          <w:p w14:paraId="60EB0AE8">
            <w:pPr>
              <w:adjustRightInd w:val="0"/>
              <w:snapToGrid w:val="0"/>
              <w:jc w:val="center"/>
              <w:rPr>
                <w:rFonts w:ascii="Arial" w:hAnsi="Arial" w:eastAsia="宋体" w:cs="Arial"/>
                <w:sz w:val="21"/>
                <w:szCs w:val="21"/>
              </w:rPr>
            </w:pPr>
          </w:p>
        </w:tc>
        <w:tc>
          <w:tcPr>
            <w:tcW w:w="571" w:type="dxa"/>
            <w:vAlign w:val="center"/>
          </w:tcPr>
          <w:p w14:paraId="340E5434">
            <w:pPr>
              <w:adjustRightInd w:val="0"/>
              <w:snapToGrid w:val="0"/>
              <w:jc w:val="center"/>
              <w:rPr>
                <w:rFonts w:ascii="Arial" w:hAnsi="Arial" w:eastAsia="宋体" w:cs="Arial"/>
                <w:sz w:val="21"/>
                <w:szCs w:val="21"/>
              </w:rPr>
            </w:pPr>
          </w:p>
        </w:tc>
        <w:tc>
          <w:tcPr>
            <w:tcW w:w="398" w:type="dxa"/>
            <w:vAlign w:val="center"/>
          </w:tcPr>
          <w:p w14:paraId="24C11447">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dxa"/>
            <w:vAlign w:val="center"/>
          </w:tcPr>
          <w:p w14:paraId="1E33A2EA">
            <w:pPr>
              <w:adjustRightInd w:val="0"/>
              <w:snapToGrid w:val="0"/>
              <w:jc w:val="center"/>
              <w:rPr>
                <w:rFonts w:ascii="Arial" w:hAnsi="Arial" w:eastAsia="宋体" w:cs="Arial"/>
                <w:sz w:val="21"/>
                <w:szCs w:val="21"/>
              </w:rPr>
            </w:pPr>
          </w:p>
        </w:tc>
        <w:tc>
          <w:tcPr>
            <w:tcW w:w="453" w:type="dxa"/>
            <w:vAlign w:val="center"/>
          </w:tcPr>
          <w:p w14:paraId="3DFDAA8C">
            <w:pPr>
              <w:adjustRightInd w:val="0"/>
              <w:snapToGrid w:val="0"/>
              <w:jc w:val="center"/>
              <w:rPr>
                <w:rFonts w:ascii="Arial" w:hAnsi="Arial" w:eastAsia="宋体" w:cs="Arial"/>
                <w:sz w:val="21"/>
                <w:szCs w:val="21"/>
              </w:rPr>
            </w:pPr>
          </w:p>
        </w:tc>
      </w:tr>
    </w:tbl>
    <w:p w14:paraId="44C420A1">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由表1-2可知，项目的实施，对环境的影响是综合性的。这些影响，既有可逆影响，也有不可逆影响；既有短期影响，也有长期影响；既有直接影响，也有间接影响；既有局部影响，也有区域影响。</w:t>
      </w:r>
    </w:p>
    <w:p w14:paraId="3324A4AB">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3、环境影响要素识别</w:t>
      </w:r>
    </w:p>
    <w:p w14:paraId="1FCE085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项目环境影响要素识别详见表1-3。</w:t>
      </w:r>
    </w:p>
    <w:p w14:paraId="3E22D1BD">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项目环境影响要素识别表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775"/>
        <w:gridCol w:w="1833"/>
        <w:gridCol w:w="2748"/>
        <w:gridCol w:w="2948"/>
      </w:tblGrid>
      <w:tr w14:paraId="73010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shd w:val="clear" w:color="auto" w:fill="auto"/>
            <w:vAlign w:val="center"/>
          </w:tcPr>
          <w:p w14:paraId="58D51B39">
            <w:pPr>
              <w:pStyle w:val="5"/>
              <w:adjustRightInd w:val="0"/>
              <w:snapToGrid w:val="0"/>
              <w:spacing w:line="240" w:lineRule="auto"/>
              <w:ind w:firstLine="0"/>
              <w:jc w:val="center"/>
              <w:rPr>
                <w:sz w:val="21"/>
                <w:szCs w:val="21"/>
              </w:rPr>
            </w:pPr>
            <w:r>
              <w:rPr>
                <w:sz w:val="21"/>
                <w:szCs w:val="21"/>
              </w:rPr>
              <w:t>类别</w:t>
            </w:r>
          </w:p>
        </w:tc>
        <w:tc>
          <w:tcPr>
            <w:tcW w:w="431" w:type="pct"/>
            <w:shd w:val="clear" w:color="auto" w:fill="auto"/>
            <w:vAlign w:val="center"/>
          </w:tcPr>
          <w:p w14:paraId="02823234">
            <w:pPr>
              <w:pStyle w:val="5"/>
              <w:adjustRightInd w:val="0"/>
              <w:snapToGrid w:val="0"/>
              <w:spacing w:line="240" w:lineRule="auto"/>
              <w:ind w:firstLine="0"/>
              <w:jc w:val="center"/>
              <w:rPr>
                <w:sz w:val="21"/>
                <w:szCs w:val="21"/>
              </w:rPr>
            </w:pPr>
            <w:r>
              <w:rPr>
                <w:sz w:val="21"/>
                <w:szCs w:val="21"/>
              </w:rPr>
              <w:t>序号</w:t>
            </w:r>
          </w:p>
        </w:tc>
        <w:tc>
          <w:tcPr>
            <w:tcW w:w="1019" w:type="pct"/>
            <w:shd w:val="clear" w:color="auto" w:fill="auto"/>
            <w:vAlign w:val="center"/>
          </w:tcPr>
          <w:p w14:paraId="57CC95DC">
            <w:pPr>
              <w:pStyle w:val="5"/>
              <w:adjustRightInd w:val="0"/>
              <w:snapToGrid w:val="0"/>
              <w:spacing w:line="240" w:lineRule="auto"/>
              <w:ind w:firstLine="0"/>
              <w:jc w:val="center"/>
              <w:rPr>
                <w:sz w:val="21"/>
                <w:szCs w:val="21"/>
              </w:rPr>
            </w:pPr>
            <w:r>
              <w:rPr>
                <w:sz w:val="21"/>
                <w:szCs w:val="21"/>
              </w:rPr>
              <w:t>名称</w:t>
            </w:r>
          </w:p>
        </w:tc>
        <w:tc>
          <w:tcPr>
            <w:tcW w:w="1528" w:type="pct"/>
            <w:shd w:val="clear" w:color="auto" w:fill="auto"/>
            <w:vAlign w:val="center"/>
          </w:tcPr>
          <w:p w14:paraId="5E9DEFC4">
            <w:pPr>
              <w:pStyle w:val="5"/>
              <w:adjustRightInd w:val="0"/>
              <w:snapToGrid w:val="0"/>
              <w:spacing w:line="240" w:lineRule="auto"/>
              <w:ind w:firstLine="0"/>
              <w:jc w:val="center"/>
              <w:rPr>
                <w:sz w:val="21"/>
                <w:szCs w:val="21"/>
              </w:rPr>
            </w:pPr>
            <w:r>
              <w:rPr>
                <w:sz w:val="21"/>
                <w:szCs w:val="21"/>
              </w:rPr>
              <w:t>产生环节、装置</w:t>
            </w:r>
          </w:p>
        </w:tc>
        <w:tc>
          <w:tcPr>
            <w:tcW w:w="1639" w:type="pct"/>
            <w:shd w:val="clear" w:color="auto" w:fill="auto"/>
            <w:vAlign w:val="center"/>
          </w:tcPr>
          <w:p w14:paraId="6C0410AF">
            <w:pPr>
              <w:pStyle w:val="5"/>
              <w:adjustRightInd w:val="0"/>
              <w:snapToGrid w:val="0"/>
              <w:spacing w:line="240" w:lineRule="auto"/>
              <w:ind w:firstLine="0"/>
              <w:jc w:val="center"/>
              <w:rPr>
                <w:sz w:val="21"/>
                <w:szCs w:val="21"/>
              </w:rPr>
            </w:pPr>
            <w:r>
              <w:rPr>
                <w:sz w:val="21"/>
                <w:szCs w:val="21"/>
              </w:rPr>
              <w:t>主要污染因子</w:t>
            </w:r>
          </w:p>
        </w:tc>
      </w:tr>
      <w:tr w14:paraId="72E94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restart"/>
            <w:shd w:val="clear" w:color="auto" w:fill="auto"/>
            <w:vAlign w:val="center"/>
          </w:tcPr>
          <w:p w14:paraId="0A28C5BC">
            <w:pPr>
              <w:pStyle w:val="5"/>
              <w:adjustRightInd w:val="0"/>
              <w:snapToGrid w:val="0"/>
              <w:spacing w:line="240" w:lineRule="auto"/>
              <w:ind w:firstLine="0"/>
              <w:jc w:val="center"/>
              <w:rPr>
                <w:sz w:val="21"/>
                <w:szCs w:val="21"/>
              </w:rPr>
            </w:pPr>
            <w:r>
              <w:rPr>
                <w:sz w:val="21"/>
                <w:szCs w:val="21"/>
              </w:rPr>
              <w:t>废气</w:t>
            </w:r>
          </w:p>
        </w:tc>
        <w:tc>
          <w:tcPr>
            <w:tcW w:w="431" w:type="pct"/>
            <w:shd w:val="clear" w:color="auto" w:fill="auto"/>
            <w:vAlign w:val="center"/>
          </w:tcPr>
          <w:p w14:paraId="59367C76">
            <w:pPr>
              <w:pStyle w:val="5"/>
              <w:adjustRightInd w:val="0"/>
              <w:snapToGrid w:val="0"/>
              <w:spacing w:line="240" w:lineRule="auto"/>
              <w:ind w:firstLine="0"/>
              <w:jc w:val="center"/>
              <w:rPr>
                <w:sz w:val="21"/>
                <w:szCs w:val="21"/>
              </w:rPr>
            </w:pPr>
            <w:r>
              <w:rPr>
                <w:sz w:val="21"/>
                <w:szCs w:val="21"/>
              </w:rPr>
              <w:t>G1-1</w:t>
            </w:r>
          </w:p>
        </w:tc>
        <w:tc>
          <w:tcPr>
            <w:tcW w:w="1019" w:type="pct"/>
            <w:shd w:val="clear" w:color="auto" w:fill="auto"/>
            <w:vAlign w:val="center"/>
          </w:tcPr>
          <w:p w14:paraId="1A51996E">
            <w:pPr>
              <w:pStyle w:val="5"/>
              <w:adjustRightInd w:val="0"/>
              <w:snapToGrid w:val="0"/>
              <w:spacing w:line="240" w:lineRule="auto"/>
              <w:ind w:firstLine="0"/>
              <w:jc w:val="center"/>
              <w:rPr>
                <w:sz w:val="21"/>
                <w:szCs w:val="21"/>
              </w:rPr>
            </w:pPr>
            <w:r>
              <w:rPr>
                <w:sz w:val="21"/>
                <w:szCs w:val="21"/>
              </w:rPr>
              <w:t>合成反应废气</w:t>
            </w:r>
          </w:p>
        </w:tc>
        <w:tc>
          <w:tcPr>
            <w:tcW w:w="1528" w:type="pct"/>
            <w:shd w:val="clear" w:color="auto" w:fill="auto"/>
            <w:vAlign w:val="center"/>
          </w:tcPr>
          <w:p w14:paraId="4777CD47">
            <w:pPr>
              <w:pStyle w:val="5"/>
              <w:adjustRightInd w:val="0"/>
              <w:snapToGrid w:val="0"/>
              <w:spacing w:line="240" w:lineRule="auto"/>
              <w:ind w:firstLine="0"/>
              <w:jc w:val="center"/>
              <w:rPr>
                <w:sz w:val="21"/>
                <w:szCs w:val="21"/>
              </w:rPr>
            </w:pPr>
            <w:r>
              <w:rPr>
                <w:sz w:val="21"/>
                <w:szCs w:val="21"/>
              </w:rPr>
              <w:t>反应釜</w:t>
            </w:r>
          </w:p>
        </w:tc>
        <w:tc>
          <w:tcPr>
            <w:tcW w:w="1639" w:type="pct"/>
            <w:shd w:val="clear" w:color="auto" w:fill="auto"/>
            <w:vAlign w:val="center"/>
          </w:tcPr>
          <w:p w14:paraId="5A0AFF19">
            <w:pPr>
              <w:pStyle w:val="5"/>
              <w:adjustRightInd w:val="0"/>
              <w:snapToGrid w:val="0"/>
              <w:spacing w:line="240" w:lineRule="auto"/>
              <w:ind w:firstLine="0"/>
              <w:jc w:val="center"/>
              <w:rPr>
                <w:sz w:val="21"/>
                <w:szCs w:val="21"/>
              </w:rPr>
            </w:pPr>
            <w:r>
              <w:rPr>
                <w:sz w:val="21"/>
                <w:szCs w:val="21"/>
              </w:rPr>
              <w:t>氨气</w:t>
            </w:r>
          </w:p>
        </w:tc>
      </w:tr>
      <w:tr w14:paraId="02B22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7A7889B6">
            <w:pPr>
              <w:pStyle w:val="5"/>
              <w:adjustRightInd w:val="0"/>
              <w:snapToGrid w:val="0"/>
              <w:spacing w:line="240" w:lineRule="auto"/>
              <w:ind w:firstLine="0"/>
              <w:jc w:val="center"/>
              <w:rPr>
                <w:sz w:val="21"/>
                <w:szCs w:val="21"/>
              </w:rPr>
            </w:pPr>
          </w:p>
        </w:tc>
        <w:tc>
          <w:tcPr>
            <w:tcW w:w="431" w:type="pct"/>
            <w:shd w:val="clear" w:color="auto" w:fill="auto"/>
            <w:vAlign w:val="center"/>
          </w:tcPr>
          <w:p w14:paraId="7D4803D3">
            <w:pPr>
              <w:pStyle w:val="5"/>
              <w:adjustRightInd w:val="0"/>
              <w:snapToGrid w:val="0"/>
              <w:spacing w:line="240" w:lineRule="auto"/>
              <w:ind w:firstLine="0"/>
              <w:jc w:val="center"/>
              <w:rPr>
                <w:sz w:val="21"/>
                <w:szCs w:val="21"/>
              </w:rPr>
            </w:pPr>
            <w:r>
              <w:rPr>
                <w:sz w:val="21"/>
                <w:szCs w:val="21"/>
              </w:rPr>
              <w:t>G1-2</w:t>
            </w:r>
          </w:p>
        </w:tc>
        <w:tc>
          <w:tcPr>
            <w:tcW w:w="1019" w:type="pct"/>
            <w:shd w:val="clear" w:color="auto" w:fill="auto"/>
            <w:vAlign w:val="center"/>
          </w:tcPr>
          <w:p w14:paraId="4EC7A778">
            <w:pPr>
              <w:pStyle w:val="5"/>
              <w:adjustRightInd w:val="0"/>
              <w:snapToGrid w:val="0"/>
              <w:spacing w:line="240" w:lineRule="auto"/>
              <w:ind w:firstLine="0"/>
              <w:jc w:val="center"/>
              <w:rPr>
                <w:sz w:val="21"/>
                <w:szCs w:val="21"/>
              </w:rPr>
            </w:pPr>
            <w:r>
              <w:rPr>
                <w:sz w:val="21"/>
                <w:szCs w:val="21"/>
              </w:rPr>
              <w:t>压滤废气</w:t>
            </w:r>
          </w:p>
        </w:tc>
        <w:tc>
          <w:tcPr>
            <w:tcW w:w="1528" w:type="pct"/>
            <w:shd w:val="clear" w:color="auto" w:fill="auto"/>
            <w:vAlign w:val="center"/>
          </w:tcPr>
          <w:p w14:paraId="5C707D22">
            <w:pPr>
              <w:pStyle w:val="5"/>
              <w:adjustRightInd w:val="0"/>
              <w:snapToGrid w:val="0"/>
              <w:spacing w:line="240" w:lineRule="auto"/>
              <w:ind w:firstLine="0"/>
              <w:jc w:val="center"/>
              <w:rPr>
                <w:sz w:val="21"/>
                <w:szCs w:val="21"/>
              </w:rPr>
            </w:pPr>
            <w:r>
              <w:rPr>
                <w:sz w:val="21"/>
                <w:szCs w:val="21"/>
              </w:rPr>
              <w:t>压滤机</w:t>
            </w:r>
          </w:p>
        </w:tc>
        <w:tc>
          <w:tcPr>
            <w:tcW w:w="1639" w:type="pct"/>
            <w:shd w:val="clear" w:color="auto" w:fill="auto"/>
            <w:vAlign w:val="center"/>
          </w:tcPr>
          <w:p w14:paraId="627D79AF">
            <w:pPr>
              <w:pStyle w:val="5"/>
              <w:adjustRightInd w:val="0"/>
              <w:snapToGrid w:val="0"/>
              <w:spacing w:line="240" w:lineRule="auto"/>
              <w:ind w:firstLine="0"/>
              <w:jc w:val="center"/>
              <w:rPr>
                <w:sz w:val="21"/>
                <w:szCs w:val="21"/>
              </w:rPr>
            </w:pPr>
            <w:r>
              <w:rPr>
                <w:sz w:val="21"/>
                <w:szCs w:val="21"/>
              </w:rPr>
              <w:t>氨气</w:t>
            </w:r>
          </w:p>
        </w:tc>
      </w:tr>
      <w:tr w14:paraId="5F88E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0715ACDA">
            <w:pPr>
              <w:pStyle w:val="5"/>
              <w:adjustRightInd w:val="0"/>
              <w:snapToGrid w:val="0"/>
              <w:spacing w:line="240" w:lineRule="auto"/>
              <w:ind w:firstLine="0"/>
              <w:jc w:val="center"/>
              <w:rPr>
                <w:sz w:val="21"/>
                <w:szCs w:val="21"/>
              </w:rPr>
            </w:pPr>
          </w:p>
        </w:tc>
        <w:tc>
          <w:tcPr>
            <w:tcW w:w="431" w:type="pct"/>
            <w:shd w:val="clear" w:color="auto" w:fill="auto"/>
            <w:vAlign w:val="center"/>
          </w:tcPr>
          <w:p w14:paraId="6594CE15">
            <w:pPr>
              <w:pStyle w:val="5"/>
              <w:adjustRightInd w:val="0"/>
              <w:snapToGrid w:val="0"/>
              <w:spacing w:line="240" w:lineRule="auto"/>
              <w:ind w:firstLine="0"/>
              <w:jc w:val="center"/>
              <w:rPr>
                <w:sz w:val="21"/>
                <w:szCs w:val="21"/>
              </w:rPr>
            </w:pPr>
            <w:r>
              <w:rPr>
                <w:sz w:val="21"/>
                <w:szCs w:val="21"/>
              </w:rPr>
              <w:t>G1-3</w:t>
            </w:r>
          </w:p>
        </w:tc>
        <w:tc>
          <w:tcPr>
            <w:tcW w:w="1019" w:type="pct"/>
            <w:shd w:val="clear" w:color="auto" w:fill="auto"/>
            <w:vAlign w:val="center"/>
          </w:tcPr>
          <w:p w14:paraId="18B2F6E1">
            <w:pPr>
              <w:pStyle w:val="5"/>
              <w:adjustRightInd w:val="0"/>
              <w:snapToGrid w:val="0"/>
              <w:spacing w:line="240" w:lineRule="auto"/>
              <w:ind w:firstLine="0"/>
              <w:jc w:val="center"/>
              <w:rPr>
                <w:sz w:val="21"/>
                <w:szCs w:val="21"/>
              </w:rPr>
            </w:pPr>
            <w:r>
              <w:rPr>
                <w:sz w:val="21"/>
                <w:szCs w:val="21"/>
              </w:rPr>
              <w:t>烘干粉尘</w:t>
            </w:r>
          </w:p>
        </w:tc>
        <w:tc>
          <w:tcPr>
            <w:tcW w:w="1528" w:type="pct"/>
            <w:shd w:val="clear" w:color="auto" w:fill="auto"/>
            <w:vAlign w:val="center"/>
          </w:tcPr>
          <w:p w14:paraId="24B5D894">
            <w:pPr>
              <w:pStyle w:val="5"/>
              <w:adjustRightInd w:val="0"/>
              <w:snapToGrid w:val="0"/>
              <w:spacing w:line="240" w:lineRule="auto"/>
              <w:ind w:firstLine="0"/>
              <w:jc w:val="center"/>
              <w:rPr>
                <w:sz w:val="21"/>
                <w:szCs w:val="21"/>
              </w:rPr>
            </w:pPr>
            <w:r>
              <w:rPr>
                <w:sz w:val="21"/>
                <w:szCs w:val="21"/>
              </w:rPr>
              <w:t>烘箱</w:t>
            </w:r>
          </w:p>
        </w:tc>
        <w:tc>
          <w:tcPr>
            <w:tcW w:w="1639" w:type="pct"/>
            <w:shd w:val="clear" w:color="auto" w:fill="auto"/>
            <w:vAlign w:val="center"/>
          </w:tcPr>
          <w:p w14:paraId="6F425A23">
            <w:pPr>
              <w:pStyle w:val="5"/>
              <w:adjustRightInd w:val="0"/>
              <w:snapToGrid w:val="0"/>
              <w:spacing w:line="240" w:lineRule="auto"/>
              <w:ind w:firstLine="0"/>
              <w:jc w:val="center"/>
              <w:rPr>
                <w:sz w:val="21"/>
                <w:szCs w:val="21"/>
              </w:rPr>
            </w:pPr>
            <w:r>
              <w:rPr>
                <w:sz w:val="21"/>
                <w:szCs w:val="21"/>
              </w:rPr>
              <w:t>颗粒物、钴及其化合物</w:t>
            </w:r>
          </w:p>
        </w:tc>
      </w:tr>
      <w:tr w14:paraId="04BAA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235E5B65">
            <w:pPr>
              <w:pStyle w:val="5"/>
              <w:adjustRightInd w:val="0"/>
              <w:snapToGrid w:val="0"/>
              <w:spacing w:line="240" w:lineRule="auto"/>
              <w:ind w:firstLine="0"/>
              <w:jc w:val="center"/>
              <w:rPr>
                <w:sz w:val="21"/>
                <w:szCs w:val="21"/>
              </w:rPr>
            </w:pPr>
          </w:p>
        </w:tc>
        <w:tc>
          <w:tcPr>
            <w:tcW w:w="431" w:type="pct"/>
            <w:shd w:val="clear" w:color="auto" w:fill="auto"/>
            <w:vAlign w:val="center"/>
          </w:tcPr>
          <w:p w14:paraId="75E4EBFC">
            <w:pPr>
              <w:pStyle w:val="5"/>
              <w:adjustRightInd w:val="0"/>
              <w:snapToGrid w:val="0"/>
              <w:spacing w:line="240" w:lineRule="auto"/>
              <w:ind w:firstLine="0"/>
              <w:jc w:val="center"/>
              <w:rPr>
                <w:sz w:val="21"/>
                <w:szCs w:val="21"/>
              </w:rPr>
            </w:pPr>
            <w:r>
              <w:rPr>
                <w:sz w:val="21"/>
                <w:szCs w:val="21"/>
              </w:rPr>
              <w:t>G1-4</w:t>
            </w:r>
          </w:p>
        </w:tc>
        <w:tc>
          <w:tcPr>
            <w:tcW w:w="1019" w:type="pct"/>
            <w:shd w:val="clear" w:color="auto" w:fill="auto"/>
            <w:vAlign w:val="center"/>
          </w:tcPr>
          <w:p w14:paraId="6A3E0886">
            <w:pPr>
              <w:pStyle w:val="5"/>
              <w:adjustRightInd w:val="0"/>
              <w:snapToGrid w:val="0"/>
              <w:spacing w:line="240" w:lineRule="auto"/>
              <w:ind w:firstLine="0"/>
              <w:jc w:val="center"/>
              <w:rPr>
                <w:sz w:val="21"/>
                <w:szCs w:val="21"/>
              </w:rPr>
            </w:pPr>
            <w:r>
              <w:rPr>
                <w:sz w:val="21"/>
                <w:szCs w:val="21"/>
              </w:rPr>
              <w:t>破碎粉尘</w:t>
            </w:r>
          </w:p>
        </w:tc>
        <w:tc>
          <w:tcPr>
            <w:tcW w:w="1528" w:type="pct"/>
            <w:shd w:val="clear" w:color="auto" w:fill="auto"/>
            <w:vAlign w:val="center"/>
          </w:tcPr>
          <w:p w14:paraId="68D9DEC2">
            <w:pPr>
              <w:pStyle w:val="5"/>
              <w:adjustRightInd w:val="0"/>
              <w:snapToGrid w:val="0"/>
              <w:spacing w:line="240" w:lineRule="auto"/>
              <w:ind w:firstLine="0"/>
              <w:jc w:val="center"/>
              <w:rPr>
                <w:sz w:val="21"/>
                <w:szCs w:val="21"/>
              </w:rPr>
            </w:pPr>
            <w:r>
              <w:rPr>
                <w:sz w:val="21"/>
                <w:szCs w:val="21"/>
              </w:rPr>
              <w:t>破碎间</w:t>
            </w:r>
          </w:p>
        </w:tc>
        <w:tc>
          <w:tcPr>
            <w:tcW w:w="1639" w:type="pct"/>
            <w:shd w:val="clear" w:color="auto" w:fill="auto"/>
            <w:vAlign w:val="center"/>
          </w:tcPr>
          <w:p w14:paraId="0943AFC4">
            <w:pPr>
              <w:pStyle w:val="5"/>
              <w:adjustRightInd w:val="0"/>
              <w:snapToGrid w:val="0"/>
              <w:spacing w:line="240" w:lineRule="auto"/>
              <w:ind w:firstLine="0"/>
              <w:jc w:val="center"/>
              <w:rPr>
                <w:sz w:val="21"/>
                <w:szCs w:val="21"/>
              </w:rPr>
            </w:pPr>
            <w:r>
              <w:rPr>
                <w:sz w:val="21"/>
                <w:szCs w:val="21"/>
              </w:rPr>
              <w:t>颗粒物、钴及其化合物</w:t>
            </w:r>
          </w:p>
        </w:tc>
      </w:tr>
      <w:tr w14:paraId="5332A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086FCA81">
            <w:pPr>
              <w:pStyle w:val="5"/>
              <w:adjustRightInd w:val="0"/>
              <w:snapToGrid w:val="0"/>
              <w:spacing w:line="240" w:lineRule="auto"/>
              <w:ind w:firstLine="0"/>
              <w:jc w:val="center"/>
              <w:rPr>
                <w:sz w:val="21"/>
                <w:szCs w:val="21"/>
              </w:rPr>
            </w:pPr>
          </w:p>
        </w:tc>
        <w:tc>
          <w:tcPr>
            <w:tcW w:w="431" w:type="pct"/>
            <w:shd w:val="clear" w:color="auto" w:fill="auto"/>
            <w:vAlign w:val="center"/>
          </w:tcPr>
          <w:p w14:paraId="43B87EDF">
            <w:pPr>
              <w:pStyle w:val="5"/>
              <w:adjustRightInd w:val="0"/>
              <w:snapToGrid w:val="0"/>
              <w:spacing w:line="240" w:lineRule="auto"/>
              <w:ind w:firstLine="0"/>
              <w:jc w:val="center"/>
              <w:rPr>
                <w:sz w:val="21"/>
                <w:szCs w:val="21"/>
              </w:rPr>
            </w:pPr>
            <w:r>
              <w:rPr>
                <w:sz w:val="21"/>
                <w:szCs w:val="21"/>
              </w:rPr>
              <w:t>G1-</w:t>
            </w:r>
            <w:r>
              <w:rPr>
                <w:rFonts w:hint="eastAsia"/>
                <w:sz w:val="21"/>
                <w:szCs w:val="21"/>
              </w:rPr>
              <w:t>5</w:t>
            </w:r>
          </w:p>
        </w:tc>
        <w:tc>
          <w:tcPr>
            <w:tcW w:w="1019" w:type="pct"/>
            <w:shd w:val="clear" w:color="auto" w:fill="auto"/>
            <w:vAlign w:val="center"/>
          </w:tcPr>
          <w:p w14:paraId="17E7F9D8">
            <w:pPr>
              <w:pStyle w:val="5"/>
              <w:adjustRightInd w:val="0"/>
              <w:snapToGrid w:val="0"/>
              <w:spacing w:line="240" w:lineRule="auto"/>
              <w:ind w:firstLine="0"/>
              <w:jc w:val="center"/>
              <w:rPr>
                <w:sz w:val="21"/>
                <w:szCs w:val="21"/>
              </w:rPr>
            </w:pPr>
            <w:r>
              <w:rPr>
                <w:sz w:val="21"/>
                <w:szCs w:val="21"/>
              </w:rPr>
              <w:t>包装粉尘</w:t>
            </w:r>
          </w:p>
        </w:tc>
        <w:tc>
          <w:tcPr>
            <w:tcW w:w="1528" w:type="pct"/>
            <w:shd w:val="clear" w:color="auto" w:fill="auto"/>
            <w:vAlign w:val="center"/>
          </w:tcPr>
          <w:p w14:paraId="39689C3A">
            <w:pPr>
              <w:pStyle w:val="5"/>
              <w:adjustRightInd w:val="0"/>
              <w:snapToGrid w:val="0"/>
              <w:spacing w:line="240" w:lineRule="auto"/>
              <w:ind w:firstLine="0"/>
              <w:jc w:val="center"/>
              <w:rPr>
                <w:sz w:val="21"/>
                <w:szCs w:val="21"/>
              </w:rPr>
            </w:pPr>
            <w:r>
              <w:rPr>
                <w:sz w:val="21"/>
                <w:szCs w:val="21"/>
              </w:rPr>
              <w:t>包装间</w:t>
            </w:r>
          </w:p>
        </w:tc>
        <w:tc>
          <w:tcPr>
            <w:tcW w:w="1639" w:type="pct"/>
            <w:shd w:val="clear" w:color="auto" w:fill="auto"/>
            <w:vAlign w:val="center"/>
          </w:tcPr>
          <w:p w14:paraId="7D3E1EDB">
            <w:pPr>
              <w:pStyle w:val="5"/>
              <w:adjustRightInd w:val="0"/>
              <w:snapToGrid w:val="0"/>
              <w:spacing w:line="240" w:lineRule="auto"/>
              <w:ind w:firstLine="0"/>
              <w:jc w:val="center"/>
              <w:rPr>
                <w:sz w:val="21"/>
                <w:szCs w:val="21"/>
              </w:rPr>
            </w:pPr>
            <w:r>
              <w:rPr>
                <w:sz w:val="21"/>
                <w:szCs w:val="21"/>
              </w:rPr>
              <w:t>颗粒物、钴及其化合物</w:t>
            </w:r>
          </w:p>
        </w:tc>
      </w:tr>
      <w:tr w14:paraId="30816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58C3E7FC">
            <w:pPr>
              <w:pStyle w:val="5"/>
              <w:adjustRightInd w:val="0"/>
              <w:snapToGrid w:val="0"/>
              <w:spacing w:line="240" w:lineRule="auto"/>
              <w:ind w:firstLine="0"/>
              <w:jc w:val="center"/>
              <w:rPr>
                <w:sz w:val="21"/>
                <w:szCs w:val="21"/>
              </w:rPr>
            </w:pPr>
          </w:p>
        </w:tc>
        <w:tc>
          <w:tcPr>
            <w:tcW w:w="431" w:type="pct"/>
            <w:shd w:val="clear" w:color="auto" w:fill="auto"/>
            <w:vAlign w:val="center"/>
          </w:tcPr>
          <w:p w14:paraId="6EA7A4EE">
            <w:pPr>
              <w:pStyle w:val="5"/>
              <w:adjustRightInd w:val="0"/>
              <w:snapToGrid w:val="0"/>
              <w:spacing w:line="240" w:lineRule="auto"/>
              <w:ind w:firstLine="0"/>
              <w:jc w:val="center"/>
              <w:rPr>
                <w:sz w:val="21"/>
                <w:szCs w:val="21"/>
              </w:rPr>
            </w:pPr>
            <w:r>
              <w:rPr>
                <w:sz w:val="21"/>
                <w:szCs w:val="21"/>
              </w:rPr>
              <w:t>G</w:t>
            </w:r>
            <w:r>
              <w:rPr>
                <w:rFonts w:hint="eastAsia"/>
                <w:sz w:val="21"/>
                <w:szCs w:val="21"/>
              </w:rPr>
              <w:t>1-6</w:t>
            </w:r>
          </w:p>
        </w:tc>
        <w:tc>
          <w:tcPr>
            <w:tcW w:w="1019" w:type="pct"/>
            <w:shd w:val="clear" w:color="auto" w:fill="auto"/>
            <w:vAlign w:val="center"/>
          </w:tcPr>
          <w:p w14:paraId="306F3E5D">
            <w:pPr>
              <w:pStyle w:val="5"/>
              <w:adjustRightInd w:val="0"/>
              <w:snapToGrid w:val="0"/>
              <w:spacing w:line="240" w:lineRule="auto"/>
              <w:ind w:firstLine="0"/>
              <w:jc w:val="center"/>
              <w:rPr>
                <w:sz w:val="21"/>
                <w:szCs w:val="21"/>
              </w:rPr>
            </w:pPr>
            <w:r>
              <w:rPr>
                <w:rFonts w:hint="eastAsia"/>
                <w:sz w:val="21"/>
                <w:szCs w:val="21"/>
              </w:rPr>
              <w:t>车间</w:t>
            </w:r>
            <w:r>
              <w:rPr>
                <w:sz w:val="21"/>
                <w:szCs w:val="21"/>
              </w:rPr>
              <w:t>无组织废气</w:t>
            </w:r>
          </w:p>
        </w:tc>
        <w:tc>
          <w:tcPr>
            <w:tcW w:w="1528" w:type="pct"/>
            <w:shd w:val="clear" w:color="auto" w:fill="auto"/>
            <w:vAlign w:val="center"/>
          </w:tcPr>
          <w:p w14:paraId="36B85206">
            <w:pPr>
              <w:pStyle w:val="5"/>
              <w:adjustRightInd w:val="0"/>
              <w:snapToGrid w:val="0"/>
              <w:ind w:firstLine="0"/>
              <w:jc w:val="center"/>
              <w:rPr>
                <w:sz w:val="21"/>
                <w:szCs w:val="21"/>
              </w:rPr>
            </w:pPr>
            <w:r>
              <w:rPr>
                <w:rFonts w:hint="eastAsia"/>
                <w:sz w:val="21"/>
                <w:szCs w:val="21"/>
              </w:rPr>
              <w:t>X19车间</w:t>
            </w:r>
          </w:p>
        </w:tc>
        <w:tc>
          <w:tcPr>
            <w:tcW w:w="1639" w:type="pct"/>
            <w:shd w:val="clear" w:color="auto" w:fill="auto"/>
            <w:vAlign w:val="center"/>
          </w:tcPr>
          <w:p w14:paraId="582F7AA8">
            <w:pPr>
              <w:pStyle w:val="5"/>
              <w:adjustRightInd w:val="0"/>
              <w:snapToGrid w:val="0"/>
              <w:spacing w:line="240" w:lineRule="auto"/>
              <w:ind w:firstLine="0"/>
              <w:jc w:val="center"/>
              <w:rPr>
                <w:sz w:val="21"/>
                <w:szCs w:val="21"/>
              </w:rPr>
            </w:pPr>
            <w:r>
              <w:rPr>
                <w:sz w:val="21"/>
                <w:szCs w:val="21"/>
              </w:rPr>
              <w:t>氨气</w:t>
            </w:r>
          </w:p>
        </w:tc>
      </w:tr>
      <w:tr w14:paraId="78ACE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7065D036">
            <w:pPr>
              <w:pStyle w:val="5"/>
              <w:adjustRightInd w:val="0"/>
              <w:snapToGrid w:val="0"/>
              <w:spacing w:line="240" w:lineRule="auto"/>
              <w:ind w:firstLine="0"/>
              <w:jc w:val="center"/>
              <w:rPr>
                <w:sz w:val="21"/>
                <w:szCs w:val="21"/>
              </w:rPr>
            </w:pPr>
          </w:p>
        </w:tc>
        <w:tc>
          <w:tcPr>
            <w:tcW w:w="431" w:type="pct"/>
            <w:shd w:val="clear" w:color="auto" w:fill="auto"/>
            <w:vAlign w:val="center"/>
          </w:tcPr>
          <w:p w14:paraId="0CF19C22">
            <w:pPr>
              <w:pStyle w:val="5"/>
              <w:adjustRightInd w:val="0"/>
              <w:snapToGrid w:val="0"/>
              <w:spacing w:line="240" w:lineRule="auto"/>
              <w:ind w:firstLine="0"/>
              <w:jc w:val="center"/>
              <w:rPr>
                <w:sz w:val="21"/>
                <w:szCs w:val="21"/>
              </w:rPr>
            </w:pPr>
            <w:r>
              <w:rPr>
                <w:sz w:val="21"/>
                <w:szCs w:val="21"/>
              </w:rPr>
              <w:t>G</w:t>
            </w:r>
            <w:r>
              <w:rPr>
                <w:rFonts w:hint="eastAsia"/>
                <w:sz w:val="21"/>
                <w:szCs w:val="21"/>
              </w:rPr>
              <w:t>2-1</w:t>
            </w:r>
          </w:p>
        </w:tc>
        <w:tc>
          <w:tcPr>
            <w:tcW w:w="1019" w:type="pct"/>
            <w:shd w:val="clear" w:color="auto" w:fill="auto"/>
            <w:vAlign w:val="center"/>
          </w:tcPr>
          <w:p w14:paraId="2BFF8936">
            <w:pPr>
              <w:pStyle w:val="5"/>
              <w:adjustRightInd w:val="0"/>
              <w:snapToGrid w:val="0"/>
              <w:spacing w:line="240" w:lineRule="auto"/>
              <w:ind w:firstLine="0"/>
              <w:jc w:val="center"/>
              <w:rPr>
                <w:sz w:val="21"/>
                <w:szCs w:val="21"/>
              </w:rPr>
            </w:pPr>
            <w:r>
              <w:rPr>
                <w:sz w:val="21"/>
                <w:szCs w:val="21"/>
              </w:rPr>
              <w:t>运输废气</w:t>
            </w:r>
          </w:p>
        </w:tc>
        <w:tc>
          <w:tcPr>
            <w:tcW w:w="1528" w:type="pct"/>
            <w:shd w:val="clear" w:color="auto" w:fill="auto"/>
            <w:vAlign w:val="center"/>
          </w:tcPr>
          <w:p w14:paraId="053FB3B0">
            <w:pPr>
              <w:pStyle w:val="5"/>
              <w:adjustRightInd w:val="0"/>
              <w:snapToGrid w:val="0"/>
              <w:ind w:firstLine="0"/>
              <w:jc w:val="center"/>
              <w:rPr>
                <w:sz w:val="21"/>
                <w:szCs w:val="21"/>
              </w:rPr>
            </w:pPr>
            <w:r>
              <w:rPr>
                <w:sz w:val="21"/>
                <w:szCs w:val="21"/>
              </w:rPr>
              <w:t>物料运输</w:t>
            </w:r>
          </w:p>
        </w:tc>
        <w:tc>
          <w:tcPr>
            <w:tcW w:w="1639" w:type="pct"/>
            <w:shd w:val="clear" w:color="auto" w:fill="auto"/>
            <w:vAlign w:val="center"/>
          </w:tcPr>
          <w:p w14:paraId="77DD1CF5">
            <w:pPr>
              <w:pStyle w:val="5"/>
              <w:adjustRightInd w:val="0"/>
              <w:snapToGrid w:val="0"/>
              <w:spacing w:line="240" w:lineRule="auto"/>
              <w:ind w:firstLine="0"/>
              <w:jc w:val="center"/>
              <w:rPr>
                <w:sz w:val="21"/>
                <w:szCs w:val="21"/>
              </w:rPr>
            </w:pPr>
            <w:r>
              <w:rPr>
                <w:rFonts w:hint="eastAsia"/>
                <w:sz w:val="21"/>
                <w:szCs w:val="21"/>
              </w:rPr>
              <w:t>CO、THC</w:t>
            </w:r>
            <w:r>
              <w:rPr>
                <w:rFonts w:hint="eastAsia"/>
                <w:sz w:val="21"/>
                <w:szCs w:val="21"/>
              </w:rPr>
              <w:tab/>
            </w:r>
            <w:r>
              <w:rPr>
                <w:rFonts w:hint="eastAsia"/>
                <w:sz w:val="21"/>
                <w:szCs w:val="21"/>
              </w:rPr>
              <w:t>、NO</w:t>
            </w:r>
            <w:r>
              <w:rPr>
                <w:rFonts w:hint="eastAsia"/>
                <w:sz w:val="21"/>
                <w:szCs w:val="21"/>
                <w:vertAlign w:val="subscript"/>
              </w:rPr>
              <w:t>X</w:t>
            </w:r>
            <w:r>
              <w:rPr>
                <w:rFonts w:hint="eastAsia"/>
                <w:sz w:val="21"/>
                <w:szCs w:val="21"/>
              </w:rPr>
              <w:t>、颗粒物</w:t>
            </w:r>
          </w:p>
        </w:tc>
      </w:tr>
      <w:tr w14:paraId="17EFD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B5E9C63">
            <w:pPr>
              <w:pStyle w:val="5"/>
              <w:adjustRightInd w:val="0"/>
              <w:snapToGrid w:val="0"/>
              <w:spacing w:line="240" w:lineRule="auto"/>
              <w:ind w:firstLine="0"/>
              <w:jc w:val="center"/>
              <w:rPr>
                <w:sz w:val="21"/>
                <w:szCs w:val="21"/>
              </w:rPr>
            </w:pPr>
          </w:p>
        </w:tc>
        <w:tc>
          <w:tcPr>
            <w:tcW w:w="431" w:type="pct"/>
            <w:shd w:val="clear" w:color="auto" w:fill="auto"/>
            <w:vAlign w:val="center"/>
          </w:tcPr>
          <w:p w14:paraId="17A236A4">
            <w:pPr>
              <w:pStyle w:val="5"/>
              <w:adjustRightInd w:val="0"/>
              <w:snapToGrid w:val="0"/>
              <w:spacing w:line="240" w:lineRule="auto"/>
              <w:ind w:firstLine="0"/>
              <w:jc w:val="center"/>
              <w:rPr>
                <w:sz w:val="21"/>
                <w:szCs w:val="21"/>
              </w:rPr>
            </w:pPr>
            <w:r>
              <w:rPr>
                <w:sz w:val="21"/>
                <w:szCs w:val="21"/>
              </w:rPr>
              <w:t>G</w:t>
            </w:r>
            <w:r>
              <w:rPr>
                <w:rFonts w:hint="eastAsia"/>
                <w:sz w:val="21"/>
                <w:szCs w:val="21"/>
              </w:rPr>
              <w:t>3-1</w:t>
            </w:r>
          </w:p>
        </w:tc>
        <w:tc>
          <w:tcPr>
            <w:tcW w:w="1019" w:type="pct"/>
            <w:shd w:val="clear" w:color="auto" w:fill="auto"/>
            <w:vAlign w:val="center"/>
          </w:tcPr>
          <w:p w14:paraId="4516FFA7">
            <w:pPr>
              <w:pStyle w:val="5"/>
              <w:adjustRightInd w:val="0"/>
              <w:snapToGrid w:val="0"/>
              <w:spacing w:line="240" w:lineRule="auto"/>
              <w:ind w:firstLine="0"/>
              <w:jc w:val="center"/>
              <w:rPr>
                <w:sz w:val="21"/>
                <w:szCs w:val="21"/>
              </w:rPr>
            </w:pPr>
            <w:r>
              <w:rPr>
                <w:sz w:val="21"/>
                <w:szCs w:val="21"/>
              </w:rPr>
              <w:t>污水处理废气</w:t>
            </w:r>
          </w:p>
        </w:tc>
        <w:tc>
          <w:tcPr>
            <w:tcW w:w="1528" w:type="pct"/>
            <w:shd w:val="clear" w:color="auto" w:fill="auto"/>
            <w:vAlign w:val="center"/>
          </w:tcPr>
          <w:p w14:paraId="1E5A8DD9">
            <w:pPr>
              <w:pStyle w:val="5"/>
              <w:adjustRightInd w:val="0"/>
              <w:snapToGrid w:val="0"/>
              <w:ind w:firstLine="0"/>
              <w:jc w:val="center"/>
              <w:rPr>
                <w:sz w:val="21"/>
                <w:szCs w:val="21"/>
              </w:rPr>
            </w:pPr>
            <w:r>
              <w:rPr>
                <w:rFonts w:hint="eastAsia"/>
                <w:sz w:val="21"/>
                <w:szCs w:val="21"/>
              </w:rPr>
              <w:t>母液罐</w:t>
            </w:r>
          </w:p>
        </w:tc>
        <w:tc>
          <w:tcPr>
            <w:tcW w:w="1639" w:type="pct"/>
            <w:shd w:val="clear" w:color="auto" w:fill="auto"/>
            <w:vAlign w:val="center"/>
          </w:tcPr>
          <w:p w14:paraId="1300920E">
            <w:pPr>
              <w:pStyle w:val="5"/>
              <w:adjustRightInd w:val="0"/>
              <w:snapToGrid w:val="0"/>
              <w:spacing w:line="240" w:lineRule="auto"/>
              <w:ind w:firstLine="0"/>
              <w:jc w:val="center"/>
              <w:rPr>
                <w:sz w:val="21"/>
                <w:szCs w:val="21"/>
              </w:rPr>
            </w:pPr>
            <w:r>
              <w:rPr>
                <w:rFonts w:hint="eastAsia"/>
                <w:sz w:val="21"/>
                <w:szCs w:val="21"/>
              </w:rPr>
              <w:t>氨气</w:t>
            </w:r>
          </w:p>
        </w:tc>
      </w:tr>
      <w:tr w14:paraId="7C330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restart"/>
            <w:shd w:val="clear" w:color="auto" w:fill="auto"/>
            <w:vAlign w:val="center"/>
          </w:tcPr>
          <w:p w14:paraId="67F8991E">
            <w:pPr>
              <w:pStyle w:val="5"/>
              <w:adjustRightInd w:val="0"/>
              <w:snapToGrid w:val="0"/>
              <w:spacing w:line="240" w:lineRule="auto"/>
              <w:ind w:firstLine="0"/>
              <w:jc w:val="center"/>
              <w:rPr>
                <w:sz w:val="21"/>
                <w:szCs w:val="21"/>
              </w:rPr>
            </w:pPr>
            <w:r>
              <w:rPr>
                <w:sz w:val="21"/>
                <w:szCs w:val="21"/>
              </w:rPr>
              <w:t>废水</w:t>
            </w:r>
          </w:p>
        </w:tc>
        <w:tc>
          <w:tcPr>
            <w:tcW w:w="431" w:type="pct"/>
            <w:shd w:val="clear" w:color="auto" w:fill="auto"/>
            <w:vAlign w:val="center"/>
          </w:tcPr>
          <w:p w14:paraId="471712C0">
            <w:pPr>
              <w:pStyle w:val="5"/>
              <w:adjustRightInd w:val="0"/>
              <w:snapToGrid w:val="0"/>
              <w:spacing w:line="240" w:lineRule="auto"/>
              <w:ind w:firstLine="0"/>
              <w:jc w:val="center"/>
              <w:rPr>
                <w:sz w:val="21"/>
                <w:szCs w:val="21"/>
              </w:rPr>
            </w:pPr>
            <w:r>
              <w:rPr>
                <w:sz w:val="21"/>
                <w:szCs w:val="21"/>
              </w:rPr>
              <w:t>W1-1</w:t>
            </w:r>
          </w:p>
        </w:tc>
        <w:tc>
          <w:tcPr>
            <w:tcW w:w="1019" w:type="pct"/>
            <w:shd w:val="clear" w:color="auto" w:fill="auto"/>
            <w:vAlign w:val="center"/>
          </w:tcPr>
          <w:p w14:paraId="5B373D72">
            <w:pPr>
              <w:pStyle w:val="5"/>
              <w:adjustRightInd w:val="0"/>
              <w:snapToGrid w:val="0"/>
              <w:spacing w:line="240" w:lineRule="auto"/>
              <w:ind w:firstLine="0"/>
              <w:jc w:val="center"/>
              <w:rPr>
                <w:sz w:val="21"/>
                <w:szCs w:val="21"/>
              </w:rPr>
            </w:pPr>
            <w:r>
              <w:rPr>
                <w:rFonts w:hint="eastAsia"/>
                <w:sz w:val="21"/>
                <w:szCs w:val="21"/>
              </w:rPr>
              <w:t>生产废水</w:t>
            </w:r>
          </w:p>
        </w:tc>
        <w:tc>
          <w:tcPr>
            <w:tcW w:w="1528" w:type="pct"/>
            <w:shd w:val="clear" w:color="auto" w:fill="auto"/>
            <w:vAlign w:val="center"/>
          </w:tcPr>
          <w:p w14:paraId="713D1541">
            <w:pPr>
              <w:pStyle w:val="5"/>
              <w:adjustRightInd w:val="0"/>
              <w:snapToGrid w:val="0"/>
              <w:spacing w:line="240" w:lineRule="auto"/>
              <w:ind w:firstLine="0"/>
              <w:jc w:val="center"/>
              <w:rPr>
                <w:sz w:val="21"/>
                <w:szCs w:val="21"/>
              </w:rPr>
            </w:pPr>
            <w:r>
              <w:rPr>
                <w:sz w:val="21"/>
                <w:szCs w:val="21"/>
              </w:rPr>
              <w:t>压滤洗涤</w:t>
            </w:r>
          </w:p>
        </w:tc>
        <w:tc>
          <w:tcPr>
            <w:tcW w:w="1639" w:type="pct"/>
            <w:shd w:val="clear" w:color="auto" w:fill="auto"/>
            <w:vAlign w:val="center"/>
          </w:tcPr>
          <w:p w14:paraId="4F654C75">
            <w:pPr>
              <w:pStyle w:val="5"/>
              <w:adjustRightInd w:val="0"/>
              <w:snapToGrid w:val="0"/>
              <w:spacing w:line="240" w:lineRule="auto"/>
              <w:ind w:firstLine="0"/>
              <w:jc w:val="center"/>
              <w:rPr>
                <w:sz w:val="21"/>
                <w:szCs w:val="21"/>
                <w:u w:val="single"/>
              </w:rPr>
            </w:pPr>
            <w:r>
              <w:rPr>
                <w:rFonts w:hint="eastAsia"/>
                <w:sz w:val="21"/>
                <w:szCs w:val="21"/>
                <w:u w:val="single"/>
              </w:rPr>
              <w:t>COD、氨氮、盐分、钴</w:t>
            </w:r>
          </w:p>
        </w:tc>
      </w:tr>
      <w:tr w14:paraId="346E2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4CFDB480">
            <w:pPr>
              <w:pStyle w:val="5"/>
              <w:adjustRightInd w:val="0"/>
              <w:snapToGrid w:val="0"/>
              <w:spacing w:line="240" w:lineRule="auto"/>
              <w:ind w:firstLine="0"/>
              <w:jc w:val="center"/>
              <w:rPr>
                <w:sz w:val="21"/>
                <w:szCs w:val="21"/>
              </w:rPr>
            </w:pPr>
          </w:p>
        </w:tc>
        <w:tc>
          <w:tcPr>
            <w:tcW w:w="431" w:type="pct"/>
            <w:shd w:val="clear" w:color="auto" w:fill="auto"/>
            <w:vAlign w:val="center"/>
          </w:tcPr>
          <w:p w14:paraId="3C026FF0">
            <w:pPr>
              <w:pStyle w:val="5"/>
              <w:adjustRightInd w:val="0"/>
              <w:snapToGrid w:val="0"/>
              <w:spacing w:line="240" w:lineRule="auto"/>
              <w:ind w:firstLine="0"/>
              <w:jc w:val="center"/>
              <w:rPr>
                <w:sz w:val="21"/>
                <w:szCs w:val="21"/>
                <w:u w:val="single"/>
              </w:rPr>
            </w:pPr>
            <w:r>
              <w:rPr>
                <w:sz w:val="21"/>
                <w:szCs w:val="21"/>
                <w:u w:val="single"/>
              </w:rPr>
              <w:t>W</w:t>
            </w:r>
            <w:r>
              <w:rPr>
                <w:rFonts w:hint="eastAsia"/>
                <w:sz w:val="21"/>
                <w:szCs w:val="21"/>
                <w:u w:val="single"/>
              </w:rPr>
              <w:t>1-2</w:t>
            </w:r>
          </w:p>
        </w:tc>
        <w:tc>
          <w:tcPr>
            <w:tcW w:w="1019" w:type="pct"/>
            <w:shd w:val="clear" w:color="auto" w:fill="auto"/>
            <w:vAlign w:val="center"/>
          </w:tcPr>
          <w:p w14:paraId="448D1112">
            <w:pPr>
              <w:pStyle w:val="5"/>
              <w:adjustRightInd w:val="0"/>
              <w:snapToGrid w:val="0"/>
              <w:spacing w:line="240" w:lineRule="auto"/>
              <w:ind w:firstLine="0"/>
              <w:jc w:val="center"/>
              <w:rPr>
                <w:sz w:val="21"/>
                <w:szCs w:val="21"/>
                <w:u w:val="single"/>
              </w:rPr>
            </w:pPr>
            <w:r>
              <w:rPr>
                <w:rFonts w:hint="eastAsia"/>
                <w:sz w:val="21"/>
                <w:szCs w:val="21"/>
                <w:u w:val="single"/>
              </w:rPr>
              <w:t>地面清洗废水</w:t>
            </w:r>
          </w:p>
        </w:tc>
        <w:tc>
          <w:tcPr>
            <w:tcW w:w="1528" w:type="pct"/>
            <w:shd w:val="clear" w:color="auto" w:fill="auto"/>
            <w:vAlign w:val="center"/>
          </w:tcPr>
          <w:p w14:paraId="72D4B2EE">
            <w:pPr>
              <w:pStyle w:val="5"/>
              <w:adjustRightInd w:val="0"/>
              <w:snapToGrid w:val="0"/>
              <w:spacing w:line="240" w:lineRule="auto"/>
              <w:ind w:firstLine="0"/>
              <w:jc w:val="center"/>
              <w:rPr>
                <w:sz w:val="21"/>
                <w:szCs w:val="21"/>
                <w:u w:val="single"/>
              </w:rPr>
            </w:pPr>
            <w:r>
              <w:rPr>
                <w:sz w:val="21"/>
                <w:szCs w:val="21"/>
                <w:u w:val="single"/>
              </w:rPr>
              <w:t>地面清洗</w:t>
            </w:r>
          </w:p>
        </w:tc>
        <w:tc>
          <w:tcPr>
            <w:tcW w:w="1639" w:type="pct"/>
            <w:shd w:val="clear" w:color="auto" w:fill="auto"/>
            <w:vAlign w:val="center"/>
          </w:tcPr>
          <w:p w14:paraId="64E15B08">
            <w:pPr>
              <w:pStyle w:val="5"/>
              <w:adjustRightInd w:val="0"/>
              <w:snapToGrid w:val="0"/>
              <w:spacing w:line="240" w:lineRule="auto"/>
              <w:ind w:firstLine="0"/>
              <w:jc w:val="center"/>
              <w:rPr>
                <w:sz w:val="21"/>
                <w:szCs w:val="21"/>
                <w:u w:val="single"/>
              </w:rPr>
            </w:pPr>
            <w:r>
              <w:rPr>
                <w:sz w:val="21"/>
                <w:szCs w:val="21"/>
                <w:u w:val="single"/>
              </w:rPr>
              <w:t>钴</w:t>
            </w:r>
          </w:p>
        </w:tc>
      </w:tr>
      <w:tr w14:paraId="43F97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0078B110">
            <w:pPr>
              <w:pStyle w:val="5"/>
              <w:adjustRightInd w:val="0"/>
              <w:snapToGrid w:val="0"/>
              <w:spacing w:line="240" w:lineRule="auto"/>
              <w:ind w:firstLine="0"/>
              <w:jc w:val="center"/>
              <w:rPr>
                <w:sz w:val="21"/>
                <w:szCs w:val="21"/>
              </w:rPr>
            </w:pPr>
          </w:p>
        </w:tc>
        <w:tc>
          <w:tcPr>
            <w:tcW w:w="431" w:type="pct"/>
            <w:shd w:val="clear" w:color="auto" w:fill="auto"/>
            <w:vAlign w:val="center"/>
          </w:tcPr>
          <w:p w14:paraId="312D5428">
            <w:pPr>
              <w:pStyle w:val="5"/>
              <w:adjustRightInd w:val="0"/>
              <w:snapToGrid w:val="0"/>
              <w:spacing w:line="240" w:lineRule="auto"/>
              <w:ind w:firstLine="0"/>
              <w:jc w:val="center"/>
              <w:rPr>
                <w:sz w:val="21"/>
                <w:szCs w:val="21"/>
              </w:rPr>
            </w:pPr>
            <w:r>
              <w:rPr>
                <w:sz w:val="21"/>
                <w:szCs w:val="21"/>
              </w:rPr>
              <w:t>W</w:t>
            </w:r>
            <w:r>
              <w:rPr>
                <w:rFonts w:hint="eastAsia"/>
                <w:sz w:val="21"/>
                <w:szCs w:val="21"/>
              </w:rPr>
              <w:t>1</w:t>
            </w:r>
            <w:r>
              <w:rPr>
                <w:sz w:val="21"/>
                <w:szCs w:val="21"/>
              </w:rPr>
              <w:t>-</w:t>
            </w:r>
            <w:r>
              <w:rPr>
                <w:rFonts w:hint="eastAsia"/>
                <w:sz w:val="21"/>
                <w:szCs w:val="21"/>
              </w:rPr>
              <w:t>3</w:t>
            </w:r>
          </w:p>
        </w:tc>
        <w:tc>
          <w:tcPr>
            <w:tcW w:w="1019" w:type="pct"/>
            <w:shd w:val="clear" w:color="auto" w:fill="auto"/>
            <w:vAlign w:val="center"/>
          </w:tcPr>
          <w:p w14:paraId="330255DB">
            <w:pPr>
              <w:pStyle w:val="5"/>
              <w:adjustRightInd w:val="0"/>
              <w:snapToGrid w:val="0"/>
              <w:spacing w:line="240" w:lineRule="auto"/>
              <w:ind w:firstLine="0"/>
              <w:jc w:val="center"/>
              <w:rPr>
                <w:sz w:val="21"/>
                <w:szCs w:val="21"/>
              </w:rPr>
            </w:pPr>
            <w:r>
              <w:rPr>
                <w:sz w:val="21"/>
                <w:szCs w:val="21"/>
              </w:rPr>
              <w:t>喷淋废水</w:t>
            </w:r>
          </w:p>
        </w:tc>
        <w:tc>
          <w:tcPr>
            <w:tcW w:w="1528" w:type="pct"/>
            <w:shd w:val="clear" w:color="auto" w:fill="auto"/>
            <w:vAlign w:val="center"/>
          </w:tcPr>
          <w:p w14:paraId="7BA470EF">
            <w:pPr>
              <w:pStyle w:val="5"/>
              <w:adjustRightInd w:val="0"/>
              <w:snapToGrid w:val="0"/>
              <w:spacing w:line="240" w:lineRule="auto"/>
              <w:ind w:firstLine="0"/>
              <w:jc w:val="center"/>
              <w:rPr>
                <w:sz w:val="21"/>
                <w:szCs w:val="21"/>
              </w:rPr>
            </w:pPr>
            <w:r>
              <w:rPr>
                <w:sz w:val="21"/>
                <w:szCs w:val="21"/>
              </w:rPr>
              <w:t>吸收塔</w:t>
            </w:r>
          </w:p>
        </w:tc>
        <w:tc>
          <w:tcPr>
            <w:tcW w:w="1639" w:type="pct"/>
            <w:shd w:val="clear" w:color="auto" w:fill="auto"/>
            <w:vAlign w:val="center"/>
          </w:tcPr>
          <w:p w14:paraId="6E8D761F">
            <w:pPr>
              <w:pStyle w:val="5"/>
              <w:adjustRightInd w:val="0"/>
              <w:snapToGrid w:val="0"/>
              <w:spacing w:line="240" w:lineRule="auto"/>
              <w:ind w:firstLine="0"/>
              <w:jc w:val="center"/>
              <w:rPr>
                <w:sz w:val="21"/>
                <w:szCs w:val="21"/>
              </w:rPr>
            </w:pPr>
            <w:r>
              <w:rPr>
                <w:sz w:val="21"/>
                <w:szCs w:val="21"/>
              </w:rPr>
              <w:t>盐分</w:t>
            </w:r>
          </w:p>
        </w:tc>
      </w:tr>
      <w:tr w14:paraId="5564C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5566474A">
            <w:pPr>
              <w:pStyle w:val="5"/>
              <w:adjustRightInd w:val="0"/>
              <w:snapToGrid w:val="0"/>
              <w:spacing w:line="240" w:lineRule="auto"/>
              <w:ind w:firstLine="0"/>
              <w:jc w:val="center"/>
              <w:rPr>
                <w:sz w:val="21"/>
                <w:szCs w:val="21"/>
              </w:rPr>
            </w:pPr>
          </w:p>
        </w:tc>
        <w:tc>
          <w:tcPr>
            <w:tcW w:w="431" w:type="pct"/>
            <w:shd w:val="clear" w:color="auto" w:fill="auto"/>
            <w:vAlign w:val="center"/>
          </w:tcPr>
          <w:p w14:paraId="4FC9B80D">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-1</w:t>
            </w:r>
          </w:p>
        </w:tc>
        <w:tc>
          <w:tcPr>
            <w:tcW w:w="1019" w:type="pct"/>
            <w:shd w:val="clear" w:color="auto" w:fill="auto"/>
            <w:vAlign w:val="center"/>
          </w:tcPr>
          <w:p w14:paraId="08A6A038">
            <w:pPr>
              <w:pStyle w:val="5"/>
              <w:adjustRightInd w:val="0"/>
              <w:snapToGrid w:val="0"/>
              <w:spacing w:line="240" w:lineRule="auto"/>
              <w:ind w:firstLine="0"/>
              <w:jc w:val="center"/>
              <w:rPr>
                <w:sz w:val="21"/>
                <w:szCs w:val="21"/>
              </w:rPr>
            </w:pPr>
            <w:r>
              <w:rPr>
                <w:sz w:val="21"/>
                <w:szCs w:val="21"/>
              </w:rPr>
              <w:t>纯水站浓水</w:t>
            </w:r>
          </w:p>
        </w:tc>
        <w:tc>
          <w:tcPr>
            <w:tcW w:w="1528" w:type="pct"/>
            <w:shd w:val="clear" w:color="auto" w:fill="auto"/>
            <w:vAlign w:val="center"/>
          </w:tcPr>
          <w:p w14:paraId="7B5D417B">
            <w:pPr>
              <w:pStyle w:val="5"/>
              <w:adjustRightInd w:val="0"/>
              <w:snapToGrid w:val="0"/>
              <w:spacing w:line="240" w:lineRule="auto"/>
              <w:ind w:firstLine="0"/>
              <w:jc w:val="center"/>
              <w:rPr>
                <w:sz w:val="21"/>
                <w:szCs w:val="21"/>
              </w:rPr>
            </w:pPr>
            <w:r>
              <w:rPr>
                <w:sz w:val="21"/>
                <w:szCs w:val="21"/>
              </w:rPr>
              <w:t>纯水站</w:t>
            </w:r>
          </w:p>
        </w:tc>
        <w:tc>
          <w:tcPr>
            <w:tcW w:w="1639" w:type="pct"/>
            <w:shd w:val="clear" w:color="auto" w:fill="auto"/>
            <w:vAlign w:val="center"/>
          </w:tcPr>
          <w:p w14:paraId="43A61447">
            <w:pPr>
              <w:pStyle w:val="5"/>
              <w:adjustRightInd w:val="0"/>
              <w:snapToGrid w:val="0"/>
              <w:spacing w:line="240" w:lineRule="auto"/>
              <w:ind w:firstLine="0"/>
              <w:jc w:val="center"/>
              <w:rPr>
                <w:sz w:val="21"/>
                <w:szCs w:val="21"/>
              </w:rPr>
            </w:pPr>
            <w:r>
              <w:rPr>
                <w:sz w:val="21"/>
                <w:szCs w:val="21"/>
              </w:rPr>
              <w:t>盐分</w:t>
            </w:r>
          </w:p>
        </w:tc>
      </w:tr>
      <w:tr w14:paraId="42AA9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628ACBB">
            <w:pPr>
              <w:pStyle w:val="5"/>
              <w:adjustRightInd w:val="0"/>
              <w:snapToGrid w:val="0"/>
              <w:spacing w:line="240" w:lineRule="auto"/>
              <w:ind w:firstLine="0"/>
              <w:jc w:val="center"/>
              <w:rPr>
                <w:sz w:val="21"/>
                <w:szCs w:val="21"/>
              </w:rPr>
            </w:pPr>
          </w:p>
        </w:tc>
        <w:tc>
          <w:tcPr>
            <w:tcW w:w="431" w:type="pct"/>
            <w:shd w:val="clear" w:color="auto" w:fill="auto"/>
            <w:vAlign w:val="center"/>
          </w:tcPr>
          <w:p w14:paraId="31774FA3">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-2</w:t>
            </w:r>
          </w:p>
        </w:tc>
        <w:tc>
          <w:tcPr>
            <w:tcW w:w="1019" w:type="pct"/>
            <w:shd w:val="clear" w:color="auto" w:fill="auto"/>
            <w:vAlign w:val="center"/>
          </w:tcPr>
          <w:p w14:paraId="4936E18D">
            <w:pPr>
              <w:pStyle w:val="5"/>
              <w:adjustRightInd w:val="0"/>
              <w:snapToGrid w:val="0"/>
              <w:spacing w:line="240" w:lineRule="auto"/>
              <w:ind w:firstLine="0"/>
              <w:jc w:val="center"/>
              <w:rPr>
                <w:sz w:val="21"/>
                <w:szCs w:val="21"/>
              </w:rPr>
            </w:pPr>
            <w:r>
              <w:rPr>
                <w:sz w:val="21"/>
                <w:szCs w:val="21"/>
              </w:rPr>
              <w:t>生活污水</w:t>
            </w:r>
          </w:p>
        </w:tc>
        <w:tc>
          <w:tcPr>
            <w:tcW w:w="1528" w:type="pct"/>
            <w:shd w:val="clear" w:color="auto" w:fill="auto"/>
            <w:vAlign w:val="center"/>
          </w:tcPr>
          <w:p w14:paraId="5977C70C">
            <w:pPr>
              <w:pStyle w:val="5"/>
              <w:adjustRightInd w:val="0"/>
              <w:snapToGrid w:val="0"/>
              <w:spacing w:line="240" w:lineRule="auto"/>
              <w:ind w:firstLine="0"/>
              <w:jc w:val="center"/>
              <w:rPr>
                <w:sz w:val="21"/>
                <w:szCs w:val="21"/>
              </w:rPr>
            </w:pPr>
            <w:r>
              <w:rPr>
                <w:sz w:val="21"/>
                <w:szCs w:val="21"/>
              </w:rPr>
              <w:t>员工生活</w:t>
            </w:r>
          </w:p>
        </w:tc>
        <w:tc>
          <w:tcPr>
            <w:tcW w:w="1639" w:type="pct"/>
            <w:shd w:val="clear" w:color="auto" w:fill="auto"/>
            <w:vAlign w:val="center"/>
          </w:tcPr>
          <w:p w14:paraId="631BF59E">
            <w:pPr>
              <w:pStyle w:val="5"/>
              <w:adjustRightInd w:val="0"/>
              <w:snapToGrid w:val="0"/>
              <w:spacing w:line="240" w:lineRule="auto"/>
              <w:ind w:firstLine="0"/>
              <w:jc w:val="center"/>
              <w:rPr>
                <w:sz w:val="21"/>
                <w:szCs w:val="21"/>
              </w:rPr>
            </w:pPr>
            <w:r>
              <w:rPr>
                <w:sz w:val="21"/>
                <w:szCs w:val="21"/>
              </w:rPr>
              <w:t>COD、NH</w:t>
            </w:r>
            <w:r>
              <w:rPr>
                <w:sz w:val="21"/>
                <w:szCs w:val="21"/>
                <w:vertAlign w:val="subscript"/>
              </w:rPr>
              <w:t>3</w:t>
            </w:r>
            <w:r>
              <w:rPr>
                <w:sz w:val="21"/>
                <w:szCs w:val="21"/>
              </w:rPr>
              <w:t>-N</w:t>
            </w:r>
          </w:p>
        </w:tc>
      </w:tr>
      <w:tr w14:paraId="2BC68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261EFC78">
            <w:pPr>
              <w:pStyle w:val="5"/>
              <w:adjustRightInd w:val="0"/>
              <w:snapToGrid w:val="0"/>
              <w:spacing w:line="240" w:lineRule="auto"/>
              <w:ind w:firstLine="0"/>
              <w:jc w:val="center"/>
              <w:rPr>
                <w:sz w:val="21"/>
                <w:szCs w:val="21"/>
              </w:rPr>
            </w:pPr>
          </w:p>
        </w:tc>
        <w:tc>
          <w:tcPr>
            <w:tcW w:w="431" w:type="pct"/>
            <w:shd w:val="clear" w:color="auto" w:fill="auto"/>
            <w:vAlign w:val="center"/>
          </w:tcPr>
          <w:p w14:paraId="0DC84590">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-3</w:t>
            </w:r>
          </w:p>
        </w:tc>
        <w:tc>
          <w:tcPr>
            <w:tcW w:w="1019" w:type="pct"/>
            <w:shd w:val="clear" w:color="auto" w:fill="auto"/>
            <w:vAlign w:val="center"/>
          </w:tcPr>
          <w:p w14:paraId="5721611B">
            <w:pPr>
              <w:pStyle w:val="5"/>
              <w:adjustRightInd w:val="0"/>
              <w:snapToGrid w:val="0"/>
              <w:spacing w:line="240" w:lineRule="auto"/>
              <w:ind w:firstLine="0"/>
              <w:jc w:val="center"/>
              <w:rPr>
                <w:sz w:val="21"/>
                <w:szCs w:val="21"/>
              </w:rPr>
            </w:pPr>
            <w:r>
              <w:rPr>
                <w:sz w:val="21"/>
                <w:szCs w:val="21"/>
              </w:rPr>
              <w:t>初期雨水</w:t>
            </w:r>
          </w:p>
        </w:tc>
        <w:tc>
          <w:tcPr>
            <w:tcW w:w="1528" w:type="pct"/>
            <w:shd w:val="clear" w:color="auto" w:fill="auto"/>
            <w:vAlign w:val="center"/>
          </w:tcPr>
          <w:p w14:paraId="369720B3">
            <w:pPr>
              <w:pStyle w:val="5"/>
              <w:adjustRightInd w:val="0"/>
              <w:snapToGrid w:val="0"/>
              <w:spacing w:line="240" w:lineRule="auto"/>
              <w:ind w:firstLine="0"/>
              <w:jc w:val="center"/>
              <w:rPr>
                <w:sz w:val="21"/>
                <w:szCs w:val="21"/>
              </w:rPr>
            </w:pPr>
            <w:r>
              <w:rPr>
                <w:sz w:val="21"/>
                <w:szCs w:val="21"/>
              </w:rPr>
              <w:t>装置区</w:t>
            </w:r>
          </w:p>
        </w:tc>
        <w:tc>
          <w:tcPr>
            <w:tcW w:w="1639" w:type="pct"/>
            <w:shd w:val="clear" w:color="auto" w:fill="auto"/>
            <w:vAlign w:val="center"/>
          </w:tcPr>
          <w:p w14:paraId="5ECE4F56">
            <w:pPr>
              <w:pStyle w:val="5"/>
              <w:adjustRightInd w:val="0"/>
              <w:snapToGrid w:val="0"/>
              <w:spacing w:line="240" w:lineRule="auto"/>
              <w:ind w:firstLine="0"/>
              <w:jc w:val="center"/>
              <w:rPr>
                <w:sz w:val="21"/>
                <w:szCs w:val="21"/>
              </w:rPr>
            </w:pPr>
            <w:r>
              <w:rPr>
                <w:sz w:val="21"/>
                <w:szCs w:val="21"/>
              </w:rPr>
              <w:t xml:space="preserve">SS </w:t>
            </w:r>
          </w:p>
        </w:tc>
      </w:tr>
      <w:tr w14:paraId="77E69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shd w:val="clear" w:color="auto" w:fill="auto"/>
            <w:vAlign w:val="center"/>
          </w:tcPr>
          <w:p w14:paraId="7B447391">
            <w:pPr>
              <w:pStyle w:val="5"/>
              <w:adjustRightInd w:val="0"/>
              <w:snapToGrid w:val="0"/>
              <w:spacing w:line="240" w:lineRule="auto"/>
              <w:ind w:firstLine="0"/>
              <w:jc w:val="center"/>
              <w:rPr>
                <w:sz w:val="21"/>
                <w:szCs w:val="21"/>
              </w:rPr>
            </w:pPr>
            <w:r>
              <w:rPr>
                <w:sz w:val="21"/>
                <w:szCs w:val="21"/>
              </w:rPr>
              <w:t>噪声</w:t>
            </w:r>
          </w:p>
        </w:tc>
        <w:tc>
          <w:tcPr>
            <w:tcW w:w="431" w:type="pct"/>
            <w:shd w:val="clear" w:color="auto" w:fill="auto"/>
            <w:vAlign w:val="center"/>
          </w:tcPr>
          <w:p w14:paraId="0C1282A2">
            <w:pPr>
              <w:pStyle w:val="5"/>
              <w:adjustRightInd w:val="0"/>
              <w:snapToGrid w:val="0"/>
              <w:spacing w:line="240" w:lineRule="auto"/>
              <w:ind w:firstLine="0"/>
              <w:jc w:val="center"/>
              <w:rPr>
                <w:sz w:val="21"/>
                <w:szCs w:val="21"/>
              </w:rPr>
            </w:pPr>
            <w:r>
              <w:rPr>
                <w:sz w:val="21"/>
                <w:szCs w:val="21"/>
              </w:rPr>
              <w:t>N</w:t>
            </w:r>
          </w:p>
        </w:tc>
        <w:tc>
          <w:tcPr>
            <w:tcW w:w="1019" w:type="pct"/>
            <w:shd w:val="clear" w:color="auto" w:fill="auto"/>
            <w:vAlign w:val="center"/>
          </w:tcPr>
          <w:p w14:paraId="3D2A2531">
            <w:pPr>
              <w:pStyle w:val="5"/>
              <w:adjustRightInd w:val="0"/>
              <w:snapToGrid w:val="0"/>
              <w:spacing w:line="240" w:lineRule="auto"/>
              <w:ind w:firstLine="0"/>
              <w:jc w:val="center"/>
              <w:rPr>
                <w:sz w:val="21"/>
                <w:szCs w:val="21"/>
              </w:rPr>
            </w:pPr>
            <w:r>
              <w:rPr>
                <w:sz w:val="21"/>
                <w:szCs w:val="21"/>
              </w:rPr>
              <w:t>设备噪声</w:t>
            </w:r>
          </w:p>
        </w:tc>
        <w:tc>
          <w:tcPr>
            <w:tcW w:w="1528" w:type="pct"/>
            <w:shd w:val="clear" w:color="auto" w:fill="auto"/>
            <w:vAlign w:val="center"/>
          </w:tcPr>
          <w:p w14:paraId="14E1A650">
            <w:pPr>
              <w:pStyle w:val="5"/>
              <w:adjustRightInd w:val="0"/>
              <w:snapToGrid w:val="0"/>
              <w:spacing w:line="240" w:lineRule="auto"/>
              <w:ind w:firstLine="0"/>
              <w:jc w:val="center"/>
              <w:rPr>
                <w:sz w:val="21"/>
                <w:szCs w:val="21"/>
              </w:rPr>
            </w:pPr>
            <w:r>
              <w:rPr>
                <w:sz w:val="21"/>
                <w:szCs w:val="21"/>
              </w:rPr>
              <w:t>生产设备</w:t>
            </w:r>
          </w:p>
        </w:tc>
        <w:tc>
          <w:tcPr>
            <w:tcW w:w="1639" w:type="pct"/>
            <w:shd w:val="clear" w:color="auto" w:fill="auto"/>
            <w:vAlign w:val="center"/>
          </w:tcPr>
          <w:p w14:paraId="2FB618EA">
            <w:pPr>
              <w:pStyle w:val="5"/>
              <w:adjustRightInd w:val="0"/>
              <w:snapToGrid w:val="0"/>
              <w:spacing w:line="240" w:lineRule="auto"/>
              <w:ind w:firstLine="0"/>
              <w:jc w:val="center"/>
              <w:rPr>
                <w:sz w:val="21"/>
                <w:szCs w:val="21"/>
              </w:rPr>
            </w:pPr>
            <w:r>
              <w:rPr>
                <w:sz w:val="21"/>
                <w:szCs w:val="21"/>
              </w:rPr>
              <w:t>噪声</w:t>
            </w:r>
          </w:p>
        </w:tc>
      </w:tr>
      <w:tr w14:paraId="089C2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restart"/>
            <w:shd w:val="clear" w:color="auto" w:fill="auto"/>
            <w:vAlign w:val="center"/>
          </w:tcPr>
          <w:p w14:paraId="646CE2BD">
            <w:pPr>
              <w:pStyle w:val="5"/>
              <w:adjustRightInd w:val="0"/>
              <w:snapToGrid w:val="0"/>
              <w:spacing w:line="240" w:lineRule="auto"/>
              <w:ind w:firstLine="0"/>
              <w:jc w:val="center"/>
              <w:rPr>
                <w:sz w:val="21"/>
                <w:szCs w:val="21"/>
              </w:rPr>
            </w:pPr>
            <w:r>
              <w:rPr>
                <w:sz w:val="21"/>
                <w:szCs w:val="21"/>
              </w:rPr>
              <w:t>固废</w:t>
            </w:r>
          </w:p>
        </w:tc>
        <w:tc>
          <w:tcPr>
            <w:tcW w:w="431" w:type="pct"/>
            <w:shd w:val="clear" w:color="auto" w:fill="auto"/>
            <w:vAlign w:val="center"/>
          </w:tcPr>
          <w:p w14:paraId="40434BBF">
            <w:pPr>
              <w:pStyle w:val="5"/>
              <w:adjustRightInd w:val="0"/>
              <w:snapToGrid w:val="0"/>
              <w:spacing w:line="240" w:lineRule="auto"/>
              <w:ind w:firstLine="0"/>
              <w:jc w:val="center"/>
              <w:rPr>
                <w:sz w:val="21"/>
                <w:szCs w:val="21"/>
              </w:rPr>
            </w:pPr>
            <w:r>
              <w:rPr>
                <w:sz w:val="21"/>
                <w:szCs w:val="21"/>
              </w:rPr>
              <w:t>S1-1</w:t>
            </w:r>
          </w:p>
        </w:tc>
        <w:tc>
          <w:tcPr>
            <w:tcW w:w="1019" w:type="pct"/>
            <w:shd w:val="clear" w:color="auto" w:fill="auto"/>
            <w:vAlign w:val="center"/>
          </w:tcPr>
          <w:p w14:paraId="70BDA51E">
            <w:pPr>
              <w:pStyle w:val="5"/>
              <w:adjustRightInd w:val="0"/>
              <w:snapToGrid w:val="0"/>
              <w:spacing w:line="240" w:lineRule="auto"/>
              <w:ind w:firstLine="0"/>
              <w:jc w:val="center"/>
              <w:rPr>
                <w:sz w:val="21"/>
                <w:szCs w:val="21"/>
              </w:rPr>
            </w:pPr>
            <w:r>
              <w:rPr>
                <w:rFonts w:hint="eastAsia"/>
                <w:sz w:val="21"/>
                <w:szCs w:val="21"/>
              </w:rPr>
              <w:t>收集粉尘</w:t>
            </w:r>
          </w:p>
        </w:tc>
        <w:tc>
          <w:tcPr>
            <w:tcW w:w="1528" w:type="pct"/>
            <w:shd w:val="clear" w:color="auto" w:fill="auto"/>
            <w:vAlign w:val="center"/>
          </w:tcPr>
          <w:p w14:paraId="36745BB9">
            <w:pPr>
              <w:pStyle w:val="5"/>
              <w:adjustRightInd w:val="0"/>
              <w:snapToGrid w:val="0"/>
              <w:spacing w:line="240" w:lineRule="auto"/>
              <w:ind w:firstLine="0"/>
              <w:jc w:val="center"/>
              <w:rPr>
                <w:sz w:val="21"/>
                <w:szCs w:val="21"/>
              </w:rPr>
            </w:pPr>
            <w:r>
              <w:rPr>
                <w:sz w:val="21"/>
                <w:szCs w:val="21"/>
              </w:rPr>
              <w:t>布袋除尘器</w:t>
            </w:r>
          </w:p>
        </w:tc>
        <w:tc>
          <w:tcPr>
            <w:tcW w:w="1639" w:type="pct"/>
            <w:shd w:val="clear" w:color="auto" w:fill="auto"/>
            <w:vAlign w:val="center"/>
          </w:tcPr>
          <w:p w14:paraId="28EF8A5F">
            <w:pPr>
              <w:pStyle w:val="5"/>
              <w:adjustRightInd w:val="0"/>
              <w:snapToGrid w:val="0"/>
              <w:spacing w:line="240" w:lineRule="auto"/>
              <w:ind w:firstLine="0"/>
              <w:jc w:val="center"/>
              <w:rPr>
                <w:sz w:val="21"/>
                <w:szCs w:val="21"/>
              </w:rPr>
            </w:pPr>
            <w:r>
              <w:rPr>
                <w:rFonts w:hint="eastAsia"/>
                <w:sz w:val="21"/>
                <w:szCs w:val="21"/>
              </w:rPr>
              <w:t>粉尘</w:t>
            </w:r>
          </w:p>
        </w:tc>
      </w:tr>
      <w:tr w14:paraId="7340B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68A6EED8">
            <w:pPr>
              <w:pStyle w:val="5"/>
              <w:adjustRightInd w:val="0"/>
              <w:snapToGrid w:val="0"/>
              <w:spacing w:line="240" w:lineRule="auto"/>
              <w:ind w:firstLine="0"/>
              <w:jc w:val="center"/>
              <w:rPr>
                <w:sz w:val="21"/>
                <w:szCs w:val="21"/>
              </w:rPr>
            </w:pPr>
          </w:p>
        </w:tc>
        <w:tc>
          <w:tcPr>
            <w:tcW w:w="431" w:type="pct"/>
            <w:shd w:val="clear" w:color="auto" w:fill="auto"/>
            <w:vAlign w:val="center"/>
          </w:tcPr>
          <w:p w14:paraId="6725C5C2">
            <w:pPr>
              <w:pStyle w:val="5"/>
              <w:adjustRightInd w:val="0"/>
              <w:snapToGrid w:val="0"/>
              <w:spacing w:line="240" w:lineRule="auto"/>
              <w:ind w:firstLine="0"/>
              <w:jc w:val="center"/>
              <w:rPr>
                <w:sz w:val="21"/>
                <w:szCs w:val="21"/>
              </w:rPr>
            </w:pPr>
            <w:r>
              <w:rPr>
                <w:sz w:val="21"/>
                <w:szCs w:val="21"/>
              </w:rPr>
              <w:t>S</w:t>
            </w:r>
            <w:r>
              <w:rPr>
                <w:rFonts w:hint="eastAsia"/>
                <w:sz w:val="21"/>
                <w:szCs w:val="21"/>
              </w:rPr>
              <w:t>1-2</w:t>
            </w:r>
          </w:p>
        </w:tc>
        <w:tc>
          <w:tcPr>
            <w:tcW w:w="1019" w:type="pct"/>
            <w:shd w:val="clear" w:color="auto" w:fill="auto"/>
            <w:vAlign w:val="center"/>
          </w:tcPr>
          <w:p w14:paraId="2F2095E5">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c>
          <w:tcPr>
            <w:tcW w:w="1528" w:type="pct"/>
            <w:shd w:val="clear" w:color="auto" w:fill="auto"/>
            <w:vAlign w:val="center"/>
          </w:tcPr>
          <w:p w14:paraId="102333AF">
            <w:pPr>
              <w:pStyle w:val="5"/>
              <w:adjustRightInd w:val="0"/>
              <w:snapToGrid w:val="0"/>
              <w:spacing w:line="240" w:lineRule="auto"/>
              <w:ind w:firstLine="0"/>
              <w:jc w:val="center"/>
              <w:rPr>
                <w:sz w:val="21"/>
                <w:szCs w:val="21"/>
              </w:rPr>
            </w:pPr>
            <w:r>
              <w:rPr>
                <w:sz w:val="21"/>
                <w:szCs w:val="21"/>
              </w:rPr>
              <w:t>吸收塔</w:t>
            </w:r>
          </w:p>
        </w:tc>
        <w:tc>
          <w:tcPr>
            <w:tcW w:w="1639" w:type="pct"/>
            <w:shd w:val="clear" w:color="auto" w:fill="auto"/>
            <w:vAlign w:val="center"/>
          </w:tcPr>
          <w:p w14:paraId="31826A9C">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r>
      <w:tr w14:paraId="5BDD7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4FA25DC">
            <w:pPr>
              <w:pStyle w:val="5"/>
              <w:adjustRightInd w:val="0"/>
              <w:snapToGrid w:val="0"/>
              <w:spacing w:line="240" w:lineRule="auto"/>
              <w:ind w:firstLine="0"/>
              <w:jc w:val="center"/>
              <w:rPr>
                <w:sz w:val="21"/>
                <w:szCs w:val="21"/>
              </w:rPr>
            </w:pPr>
          </w:p>
        </w:tc>
        <w:tc>
          <w:tcPr>
            <w:tcW w:w="431" w:type="pct"/>
            <w:shd w:val="clear" w:color="auto" w:fill="auto"/>
            <w:vAlign w:val="center"/>
          </w:tcPr>
          <w:p w14:paraId="5B8B2E61">
            <w:pPr>
              <w:pStyle w:val="5"/>
              <w:adjustRightInd w:val="0"/>
              <w:snapToGrid w:val="0"/>
              <w:spacing w:line="240" w:lineRule="auto"/>
              <w:ind w:firstLine="0"/>
              <w:jc w:val="center"/>
              <w:rPr>
                <w:sz w:val="21"/>
                <w:szCs w:val="21"/>
              </w:rPr>
            </w:pPr>
            <w:r>
              <w:rPr>
                <w:sz w:val="21"/>
                <w:szCs w:val="21"/>
              </w:rPr>
              <w:t>S</w:t>
            </w:r>
            <w:r>
              <w:rPr>
                <w:rFonts w:hint="eastAsia"/>
                <w:sz w:val="21"/>
                <w:szCs w:val="21"/>
              </w:rPr>
              <w:t>1-3</w:t>
            </w:r>
          </w:p>
        </w:tc>
        <w:tc>
          <w:tcPr>
            <w:tcW w:w="1019" w:type="pct"/>
            <w:shd w:val="clear" w:color="auto" w:fill="auto"/>
            <w:vAlign w:val="center"/>
          </w:tcPr>
          <w:p w14:paraId="057F27B1">
            <w:pPr>
              <w:pStyle w:val="5"/>
              <w:adjustRightInd w:val="0"/>
              <w:snapToGrid w:val="0"/>
              <w:spacing w:line="240" w:lineRule="auto"/>
              <w:ind w:firstLine="0"/>
              <w:jc w:val="center"/>
              <w:rPr>
                <w:sz w:val="21"/>
                <w:szCs w:val="21"/>
              </w:rPr>
            </w:pPr>
            <w:r>
              <w:rPr>
                <w:sz w:val="21"/>
                <w:szCs w:val="21"/>
              </w:rPr>
              <w:t>微孔过滤膜</w:t>
            </w:r>
          </w:p>
        </w:tc>
        <w:tc>
          <w:tcPr>
            <w:tcW w:w="1528" w:type="pct"/>
            <w:shd w:val="clear" w:color="auto" w:fill="auto"/>
            <w:vAlign w:val="center"/>
          </w:tcPr>
          <w:p w14:paraId="7A226CB7">
            <w:pPr>
              <w:pStyle w:val="5"/>
              <w:adjustRightInd w:val="0"/>
              <w:snapToGrid w:val="0"/>
              <w:spacing w:line="240" w:lineRule="auto"/>
              <w:ind w:firstLine="0"/>
              <w:jc w:val="center"/>
              <w:rPr>
                <w:sz w:val="21"/>
                <w:szCs w:val="21"/>
              </w:rPr>
            </w:pPr>
            <w:r>
              <w:rPr>
                <w:rFonts w:hint="eastAsia"/>
                <w:sz w:val="21"/>
                <w:szCs w:val="21"/>
              </w:rPr>
              <w:t>精密过滤器</w:t>
            </w:r>
          </w:p>
        </w:tc>
        <w:tc>
          <w:tcPr>
            <w:tcW w:w="1639" w:type="pct"/>
            <w:shd w:val="clear" w:color="auto" w:fill="auto"/>
            <w:vAlign w:val="center"/>
          </w:tcPr>
          <w:p w14:paraId="15B1AA42">
            <w:pPr>
              <w:pStyle w:val="5"/>
              <w:adjustRightInd w:val="0"/>
              <w:snapToGrid w:val="0"/>
              <w:spacing w:line="240" w:lineRule="auto"/>
              <w:ind w:firstLine="0"/>
              <w:jc w:val="center"/>
              <w:rPr>
                <w:sz w:val="21"/>
                <w:szCs w:val="21"/>
              </w:rPr>
            </w:pPr>
            <w:r>
              <w:rPr>
                <w:sz w:val="21"/>
                <w:szCs w:val="21"/>
              </w:rPr>
              <w:t>微孔过滤膜</w:t>
            </w:r>
          </w:p>
        </w:tc>
      </w:tr>
      <w:tr w14:paraId="7B5A3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5932E0FB">
            <w:pPr>
              <w:pStyle w:val="5"/>
              <w:adjustRightInd w:val="0"/>
              <w:snapToGrid w:val="0"/>
              <w:spacing w:line="240" w:lineRule="auto"/>
              <w:ind w:firstLine="0"/>
              <w:jc w:val="center"/>
              <w:rPr>
                <w:sz w:val="21"/>
                <w:szCs w:val="21"/>
              </w:rPr>
            </w:pPr>
          </w:p>
        </w:tc>
        <w:tc>
          <w:tcPr>
            <w:tcW w:w="431" w:type="pct"/>
            <w:shd w:val="clear" w:color="auto" w:fill="auto"/>
            <w:vAlign w:val="center"/>
          </w:tcPr>
          <w:p w14:paraId="0FEDD348">
            <w:pPr>
              <w:pStyle w:val="5"/>
              <w:adjustRightInd w:val="0"/>
              <w:snapToGrid w:val="0"/>
              <w:spacing w:line="240" w:lineRule="auto"/>
              <w:ind w:firstLine="0"/>
              <w:jc w:val="center"/>
              <w:rPr>
                <w:sz w:val="21"/>
                <w:szCs w:val="21"/>
              </w:rPr>
            </w:pPr>
            <w:r>
              <w:rPr>
                <w:sz w:val="21"/>
                <w:szCs w:val="21"/>
              </w:rPr>
              <w:t>S</w:t>
            </w:r>
            <w:r>
              <w:rPr>
                <w:rFonts w:hint="eastAsia"/>
                <w:sz w:val="21"/>
                <w:szCs w:val="21"/>
              </w:rPr>
              <w:t>1-4</w:t>
            </w:r>
          </w:p>
        </w:tc>
        <w:tc>
          <w:tcPr>
            <w:tcW w:w="1019" w:type="pct"/>
            <w:shd w:val="clear" w:color="auto" w:fill="auto"/>
            <w:vAlign w:val="center"/>
          </w:tcPr>
          <w:p w14:paraId="31CF1952">
            <w:pPr>
              <w:pStyle w:val="5"/>
              <w:adjustRightInd w:val="0"/>
              <w:snapToGrid w:val="0"/>
              <w:spacing w:line="240" w:lineRule="auto"/>
              <w:ind w:firstLine="0"/>
              <w:jc w:val="center"/>
              <w:rPr>
                <w:sz w:val="21"/>
                <w:szCs w:val="21"/>
              </w:rPr>
            </w:pPr>
            <w:r>
              <w:rPr>
                <w:sz w:val="21"/>
                <w:szCs w:val="21"/>
              </w:rPr>
              <w:t>滤渣</w:t>
            </w:r>
          </w:p>
        </w:tc>
        <w:tc>
          <w:tcPr>
            <w:tcW w:w="1528" w:type="pct"/>
            <w:shd w:val="clear" w:color="auto" w:fill="auto"/>
            <w:vAlign w:val="center"/>
          </w:tcPr>
          <w:p w14:paraId="710B200D">
            <w:pPr>
              <w:pStyle w:val="5"/>
              <w:adjustRightInd w:val="0"/>
              <w:snapToGrid w:val="0"/>
              <w:spacing w:line="240" w:lineRule="auto"/>
              <w:ind w:firstLine="0"/>
              <w:jc w:val="center"/>
              <w:rPr>
                <w:sz w:val="21"/>
                <w:szCs w:val="21"/>
              </w:rPr>
            </w:pPr>
            <w:r>
              <w:rPr>
                <w:rFonts w:hint="eastAsia"/>
                <w:sz w:val="21"/>
                <w:szCs w:val="21"/>
              </w:rPr>
              <w:t>板框压滤机、精密过滤器</w:t>
            </w:r>
          </w:p>
        </w:tc>
        <w:tc>
          <w:tcPr>
            <w:tcW w:w="1639" w:type="pct"/>
            <w:shd w:val="clear" w:color="auto" w:fill="auto"/>
            <w:vAlign w:val="center"/>
          </w:tcPr>
          <w:p w14:paraId="52D97494">
            <w:pPr>
              <w:pStyle w:val="5"/>
              <w:adjustRightInd w:val="0"/>
              <w:snapToGrid w:val="0"/>
              <w:spacing w:line="240" w:lineRule="auto"/>
              <w:ind w:firstLine="0"/>
              <w:jc w:val="center"/>
              <w:rPr>
                <w:sz w:val="21"/>
                <w:szCs w:val="21"/>
              </w:rPr>
            </w:pPr>
            <w:r>
              <w:rPr>
                <w:sz w:val="21"/>
                <w:szCs w:val="21"/>
              </w:rPr>
              <w:t>滤渣</w:t>
            </w:r>
          </w:p>
        </w:tc>
      </w:tr>
      <w:tr w14:paraId="793EF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4E951BFA">
            <w:pPr>
              <w:pStyle w:val="5"/>
              <w:adjustRightInd w:val="0"/>
              <w:snapToGrid w:val="0"/>
              <w:spacing w:line="240" w:lineRule="auto"/>
              <w:ind w:firstLine="0"/>
              <w:jc w:val="center"/>
              <w:rPr>
                <w:sz w:val="21"/>
                <w:szCs w:val="21"/>
              </w:rPr>
            </w:pPr>
          </w:p>
        </w:tc>
        <w:tc>
          <w:tcPr>
            <w:tcW w:w="431" w:type="pct"/>
            <w:shd w:val="clear" w:color="auto" w:fill="auto"/>
            <w:vAlign w:val="center"/>
          </w:tcPr>
          <w:p w14:paraId="495F340A">
            <w:pPr>
              <w:pStyle w:val="5"/>
              <w:adjustRightInd w:val="0"/>
              <w:snapToGrid w:val="0"/>
              <w:spacing w:line="240" w:lineRule="auto"/>
              <w:ind w:firstLine="0"/>
              <w:jc w:val="center"/>
              <w:rPr>
                <w:sz w:val="21"/>
                <w:szCs w:val="21"/>
                <w:u w:val="single"/>
              </w:rPr>
            </w:pPr>
            <w:r>
              <w:rPr>
                <w:sz w:val="21"/>
                <w:szCs w:val="21"/>
                <w:u w:val="single"/>
              </w:rPr>
              <w:t>S</w:t>
            </w:r>
            <w:r>
              <w:rPr>
                <w:rFonts w:hint="eastAsia"/>
                <w:sz w:val="21"/>
                <w:szCs w:val="21"/>
                <w:u w:val="single"/>
              </w:rPr>
              <w:t>1-5</w:t>
            </w:r>
          </w:p>
        </w:tc>
        <w:tc>
          <w:tcPr>
            <w:tcW w:w="1019" w:type="pct"/>
            <w:shd w:val="clear" w:color="auto" w:fill="auto"/>
            <w:vAlign w:val="center"/>
          </w:tcPr>
          <w:p w14:paraId="645C44E3">
            <w:pPr>
              <w:pStyle w:val="5"/>
              <w:adjustRightInd w:val="0"/>
              <w:snapToGrid w:val="0"/>
              <w:spacing w:line="240" w:lineRule="auto"/>
              <w:ind w:firstLine="0"/>
              <w:jc w:val="center"/>
              <w:rPr>
                <w:sz w:val="21"/>
                <w:szCs w:val="21"/>
                <w:u w:val="single"/>
              </w:rPr>
            </w:pPr>
            <w:r>
              <w:rPr>
                <w:sz w:val="21"/>
                <w:szCs w:val="21"/>
                <w:u w:val="single"/>
              </w:rPr>
              <w:t>废包装袋</w:t>
            </w:r>
          </w:p>
        </w:tc>
        <w:tc>
          <w:tcPr>
            <w:tcW w:w="1528" w:type="pct"/>
            <w:shd w:val="clear" w:color="auto" w:fill="auto"/>
            <w:vAlign w:val="center"/>
          </w:tcPr>
          <w:p w14:paraId="42CBAFD3">
            <w:pPr>
              <w:pStyle w:val="5"/>
              <w:adjustRightInd w:val="0"/>
              <w:snapToGrid w:val="0"/>
              <w:spacing w:line="240" w:lineRule="auto"/>
              <w:ind w:firstLine="0"/>
              <w:jc w:val="center"/>
              <w:rPr>
                <w:sz w:val="21"/>
                <w:szCs w:val="21"/>
                <w:u w:val="single"/>
              </w:rPr>
            </w:pPr>
            <w:r>
              <w:rPr>
                <w:rFonts w:hint="eastAsia"/>
                <w:sz w:val="21"/>
                <w:szCs w:val="21"/>
                <w:u w:val="single"/>
              </w:rPr>
              <w:t>原料包装</w:t>
            </w:r>
          </w:p>
        </w:tc>
        <w:tc>
          <w:tcPr>
            <w:tcW w:w="1639" w:type="pct"/>
            <w:shd w:val="clear" w:color="auto" w:fill="auto"/>
            <w:vAlign w:val="center"/>
          </w:tcPr>
          <w:p w14:paraId="1B25190E">
            <w:pPr>
              <w:pStyle w:val="5"/>
              <w:adjustRightInd w:val="0"/>
              <w:snapToGrid w:val="0"/>
              <w:spacing w:line="240" w:lineRule="auto"/>
              <w:ind w:firstLine="0"/>
              <w:jc w:val="center"/>
              <w:rPr>
                <w:sz w:val="21"/>
                <w:szCs w:val="21"/>
                <w:u w:val="single"/>
              </w:rPr>
            </w:pPr>
            <w:r>
              <w:rPr>
                <w:sz w:val="21"/>
                <w:szCs w:val="21"/>
                <w:u w:val="single"/>
              </w:rPr>
              <w:t>废包装袋</w:t>
            </w:r>
          </w:p>
        </w:tc>
      </w:tr>
      <w:tr w14:paraId="2F006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00317705">
            <w:pPr>
              <w:pStyle w:val="5"/>
              <w:adjustRightInd w:val="0"/>
              <w:snapToGrid w:val="0"/>
              <w:spacing w:line="240" w:lineRule="auto"/>
              <w:ind w:firstLine="0"/>
              <w:jc w:val="center"/>
              <w:rPr>
                <w:sz w:val="21"/>
                <w:szCs w:val="21"/>
              </w:rPr>
            </w:pPr>
          </w:p>
        </w:tc>
        <w:tc>
          <w:tcPr>
            <w:tcW w:w="431" w:type="pct"/>
            <w:shd w:val="clear" w:color="auto" w:fill="auto"/>
            <w:vAlign w:val="center"/>
          </w:tcPr>
          <w:p w14:paraId="04AF99EA">
            <w:pPr>
              <w:pStyle w:val="5"/>
              <w:adjustRightInd w:val="0"/>
              <w:snapToGrid w:val="0"/>
              <w:spacing w:line="240" w:lineRule="auto"/>
              <w:ind w:firstLine="0"/>
              <w:jc w:val="center"/>
              <w:rPr>
                <w:sz w:val="21"/>
                <w:szCs w:val="21"/>
                <w:u w:val="single"/>
              </w:rPr>
            </w:pPr>
            <w:r>
              <w:rPr>
                <w:rFonts w:hint="eastAsia"/>
                <w:sz w:val="21"/>
                <w:szCs w:val="21"/>
                <w:u w:val="single"/>
              </w:rPr>
              <w:t>S1-6</w:t>
            </w:r>
          </w:p>
        </w:tc>
        <w:tc>
          <w:tcPr>
            <w:tcW w:w="1019" w:type="pct"/>
            <w:shd w:val="clear" w:color="auto" w:fill="auto"/>
            <w:vAlign w:val="center"/>
          </w:tcPr>
          <w:p w14:paraId="5FB06818">
            <w:pPr>
              <w:pStyle w:val="5"/>
              <w:adjustRightInd w:val="0"/>
              <w:snapToGrid w:val="0"/>
              <w:spacing w:line="240" w:lineRule="auto"/>
              <w:ind w:firstLine="0"/>
              <w:jc w:val="center"/>
              <w:rPr>
                <w:sz w:val="21"/>
                <w:szCs w:val="21"/>
                <w:u w:val="single"/>
              </w:rPr>
            </w:pPr>
            <w:r>
              <w:rPr>
                <w:sz w:val="21"/>
                <w:szCs w:val="21"/>
                <w:u w:val="single"/>
              </w:rPr>
              <w:t>车间沉降粉尘</w:t>
            </w:r>
          </w:p>
        </w:tc>
        <w:tc>
          <w:tcPr>
            <w:tcW w:w="1528" w:type="pct"/>
            <w:shd w:val="clear" w:color="auto" w:fill="auto"/>
            <w:vAlign w:val="center"/>
          </w:tcPr>
          <w:p w14:paraId="0D9650E0">
            <w:pPr>
              <w:pStyle w:val="5"/>
              <w:adjustRightInd w:val="0"/>
              <w:snapToGrid w:val="0"/>
              <w:spacing w:line="240" w:lineRule="auto"/>
              <w:ind w:firstLine="0"/>
              <w:jc w:val="center"/>
              <w:rPr>
                <w:sz w:val="21"/>
                <w:szCs w:val="21"/>
                <w:u w:val="single"/>
              </w:rPr>
            </w:pPr>
            <w:r>
              <w:rPr>
                <w:rFonts w:hint="eastAsia"/>
                <w:sz w:val="21"/>
                <w:szCs w:val="21"/>
                <w:u w:val="single"/>
              </w:rPr>
              <w:t>破碎、包装</w:t>
            </w:r>
          </w:p>
        </w:tc>
        <w:tc>
          <w:tcPr>
            <w:tcW w:w="1639" w:type="pct"/>
            <w:shd w:val="clear" w:color="auto" w:fill="auto"/>
            <w:vAlign w:val="center"/>
          </w:tcPr>
          <w:p w14:paraId="5AA96123">
            <w:pPr>
              <w:pStyle w:val="5"/>
              <w:adjustRightInd w:val="0"/>
              <w:snapToGrid w:val="0"/>
              <w:spacing w:line="240" w:lineRule="auto"/>
              <w:ind w:firstLine="0"/>
              <w:jc w:val="center"/>
              <w:rPr>
                <w:sz w:val="21"/>
                <w:szCs w:val="21"/>
                <w:u w:val="single"/>
              </w:rPr>
            </w:pPr>
            <w:r>
              <w:rPr>
                <w:sz w:val="21"/>
                <w:szCs w:val="21"/>
                <w:u w:val="single"/>
              </w:rPr>
              <w:t>SS、钴</w:t>
            </w:r>
          </w:p>
        </w:tc>
      </w:tr>
      <w:tr w14:paraId="7813F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3E2EF41B">
            <w:pPr>
              <w:pStyle w:val="5"/>
              <w:adjustRightInd w:val="0"/>
              <w:snapToGrid w:val="0"/>
              <w:spacing w:line="240" w:lineRule="auto"/>
              <w:ind w:firstLine="0"/>
              <w:jc w:val="center"/>
              <w:rPr>
                <w:sz w:val="21"/>
                <w:szCs w:val="21"/>
              </w:rPr>
            </w:pPr>
          </w:p>
        </w:tc>
        <w:tc>
          <w:tcPr>
            <w:tcW w:w="431" w:type="pct"/>
            <w:shd w:val="clear" w:color="auto" w:fill="auto"/>
            <w:vAlign w:val="center"/>
          </w:tcPr>
          <w:p w14:paraId="2A57951D">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-1</w:t>
            </w:r>
          </w:p>
        </w:tc>
        <w:tc>
          <w:tcPr>
            <w:tcW w:w="1019" w:type="pct"/>
            <w:shd w:val="clear" w:color="auto" w:fill="auto"/>
            <w:vAlign w:val="center"/>
          </w:tcPr>
          <w:p w14:paraId="7D004330">
            <w:pPr>
              <w:pStyle w:val="5"/>
              <w:adjustRightInd w:val="0"/>
              <w:snapToGrid w:val="0"/>
              <w:spacing w:line="240" w:lineRule="auto"/>
              <w:ind w:firstLine="0"/>
              <w:jc w:val="center"/>
              <w:rPr>
                <w:sz w:val="21"/>
                <w:szCs w:val="21"/>
              </w:rPr>
            </w:pPr>
            <w:r>
              <w:rPr>
                <w:sz w:val="21"/>
                <w:szCs w:val="21"/>
              </w:rPr>
              <w:t>废润滑油</w:t>
            </w:r>
          </w:p>
        </w:tc>
        <w:tc>
          <w:tcPr>
            <w:tcW w:w="1528" w:type="pct"/>
            <w:shd w:val="clear" w:color="auto" w:fill="auto"/>
            <w:vAlign w:val="center"/>
          </w:tcPr>
          <w:p w14:paraId="0E1E777C">
            <w:pPr>
              <w:pStyle w:val="5"/>
              <w:adjustRightInd w:val="0"/>
              <w:snapToGrid w:val="0"/>
              <w:spacing w:line="240" w:lineRule="auto"/>
              <w:ind w:firstLine="0"/>
              <w:jc w:val="center"/>
              <w:rPr>
                <w:sz w:val="21"/>
                <w:szCs w:val="21"/>
              </w:rPr>
            </w:pPr>
            <w:r>
              <w:rPr>
                <w:sz w:val="21"/>
                <w:szCs w:val="21"/>
              </w:rPr>
              <w:t>机械维修</w:t>
            </w:r>
          </w:p>
        </w:tc>
        <w:tc>
          <w:tcPr>
            <w:tcW w:w="1639" w:type="pct"/>
            <w:shd w:val="clear" w:color="auto" w:fill="auto"/>
            <w:vAlign w:val="center"/>
          </w:tcPr>
          <w:p w14:paraId="41DA8B04">
            <w:pPr>
              <w:pStyle w:val="5"/>
              <w:adjustRightInd w:val="0"/>
              <w:snapToGrid w:val="0"/>
              <w:spacing w:line="240" w:lineRule="auto"/>
              <w:ind w:firstLine="0"/>
              <w:jc w:val="center"/>
              <w:rPr>
                <w:sz w:val="21"/>
                <w:szCs w:val="21"/>
              </w:rPr>
            </w:pPr>
            <w:r>
              <w:rPr>
                <w:sz w:val="21"/>
                <w:szCs w:val="21"/>
              </w:rPr>
              <w:t>废润滑油</w:t>
            </w:r>
          </w:p>
        </w:tc>
      </w:tr>
      <w:tr w14:paraId="4133B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2FFB1C27">
            <w:pPr>
              <w:pStyle w:val="5"/>
              <w:adjustRightInd w:val="0"/>
              <w:snapToGrid w:val="0"/>
              <w:spacing w:line="240" w:lineRule="auto"/>
              <w:ind w:firstLine="0"/>
              <w:jc w:val="center"/>
              <w:rPr>
                <w:sz w:val="21"/>
                <w:szCs w:val="21"/>
              </w:rPr>
            </w:pPr>
          </w:p>
        </w:tc>
        <w:tc>
          <w:tcPr>
            <w:tcW w:w="431" w:type="pct"/>
            <w:shd w:val="clear" w:color="auto" w:fill="auto"/>
            <w:vAlign w:val="center"/>
          </w:tcPr>
          <w:p w14:paraId="4F73D191">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-2</w:t>
            </w:r>
          </w:p>
        </w:tc>
        <w:tc>
          <w:tcPr>
            <w:tcW w:w="1019" w:type="pct"/>
            <w:shd w:val="clear" w:color="auto" w:fill="auto"/>
            <w:vAlign w:val="center"/>
          </w:tcPr>
          <w:p w14:paraId="293B99DE">
            <w:pPr>
              <w:pStyle w:val="5"/>
              <w:adjustRightInd w:val="0"/>
              <w:snapToGrid w:val="0"/>
              <w:spacing w:line="240" w:lineRule="auto"/>
              <w:ind w:firstLine="0"/>
              <w:jc w:val="center"/>
              <w:rPr>
                <w:sz w:val="21"/>
                <w:szCs w:val="21"/>
              </w:rPr>
            </w:pPr>
            <w:r>
              <w:rPr>
                <w:sz w:val="21"/>
                <w:szCs w:val="21"/>
              </w:rPr>
              <w:t>生活垃圾</w:t>
            </w:r>
          </w:p>
        </w:tc>
        <w:tc>
          <w:tcPr>
            <w:tcW w:w="1528" w:type="pct"/>
            <w:shd w:val="clear" w:color="auto" w:fill="auto"/>
            <w:vAlign w:val="center"/>
          </w:tcPr>
          <w:p w14:paraId="6E8AAC97">
            <w:pPr>
              <w:pStyle w:val="5"/>
              <w:adjustRightInd w:val="0"/>
              <w:snapToGrid w:val="0"/>
              <w:spacing w:line="240" w:lineRule="auto"/>
              <w:ind w:firstLine="0"/>
              <w:jc w:val="center"/>
              <w:rPr>
                <w:sz w:val="21"/>
                <w:szCs w:val="21"/>
              </w:rPr>
            </w:pPr>
            <w:r>
              <w:rPr>
                <w:sz w:val="21"/>
                <w:szCs w:val="21"/>
              </w:rPr>
              <w:t>员工</w:t>
            </w:r>
          </w:p>
        </w:tc>
        <w:tc>
          <w:tcPr>
            <w:tcW w:w="1639" w:type="pct"/>
            <w:shd w:val="clear" w:color="auto" w:fill="auto"/>
            <w:vAlign w:val="center"/>
          </w:tcPr>
          <w:p w14:paraId="590C1FFB">
            <w:pPr>
              <w:pStyle w:val="5"/>
              <w:adjustRightInd w:val="0"/>
              <w:snapToGrid w:val="0"/>
              <w:spacing w:line="240" w:lineRule="auto"/>
              <w:ind w:firstLine="0"/>
              <w:jc w:val="center"/>
              <w:rPr>
                <w:sz w:val="21"/>
                <w:szCs w:val="21"/>
              </w:rPr>
            </w:pPr>
            <w:r>
              <w:rPr>
                <w:sz w:val="21"/>
                <w:szCs w:val="21"/>
              </w:rPr>
              <w:t>生活垃圾</w:t>
            </w:r>
          </w:p>
        </w:tc>
      </w:tr>
    </w:tbl>
    <w:p w14:paraId="77BC5220">
      <w:pPr>
        <w:keepNext/>
        <w:keepLines/>
        <w:numPr>
          <w:ilvl w:val="0"/>
          <w:numId w:val="4"/>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评价因子确定</w:t>
      </w:r>
    </w:p>
    <w:p w14:paraId="0EA79096">
      <w:pPr>
        <w:spacing w:line="500" w:lineRule="exact"/>
        <w:ind w:firstLine="490" w:firstLineChars="200"/>
        <w:rPr>
          <w:rFonts w:ascii="Arial" w:hAnsi="Arial" w:eastAsia="宋体" w:cs="Arial"/>
          <w:spacing w:val="10"/>
          <w:sz w:val="24"/>
          <w:szCs w:val="24"/>
        </w:rPr>
      </w:pPr>
      <w:r>
        <w:rPr>
          <w:rFonts w:ascii="Arial" w:hAnsi="Arial" w:eastAsia="宋体" w:cs="Arial"/>
          <w:spacing w:val="10"/>
          <w:kern w:val="0"/>
          <w:sz w:val="24"/>
          <w:szCs w:val="24"/>
        </w:rPr>
        <w:t>根据项目污染源特点及周边区域环境特征的分析，确定各环境影响要素的评价因子见表</w:t>
      </w:r>
      <w:r>
        <w:rPr>
          <w:rFonts w:ascii="Arial" w:hAnsi="Arial" w:eastAsia="宋体" w:cs="Arial"/>
          <w:spacing w:val="10"/>
          <w:sz w:val="24"/>
          <w:szCs w:val="24"/>
        </w:rPr>
        <w:t>1-4。</w:t>
      </w:r>
    </w:p>
    <w:p w14:paraId="4D6280D1">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项目评价因子</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217"/>
        <w:gridCol w:w="4337"/>
        <w:gridCol w:w="3200"/>
      </w:tblGrid>
      <w:tr w14:paraId="654BE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217" w:type="dxa"/>
            <w:vAlign w:val="center"/>
          </w:tcPr>
          <w:p w14:paraId="56F49FDA">
            <w:pPr>
              <w:spacing w:line="0" w:lineRule="atLeast"/>
              <w:jc w:val="center"/>
              <w:rPr>
                <w:rFonts w:ascii="Arial" w:hAnsi="Arial" w:eastAsia="宋体" w:cs="Arial"/>
                <w:sz w:val="21"/>
                <w:szCs w:val="21"/>
              </w:rPr>
            </w:pPr>
            <w:r>
              <w:rPr>
                <w:rFonts w:ascii="Arial" w:hAnsi="Arial" w:eastAsia="宋体" w:cs="Arial"/>
                <w:sz w:val="21"/>
                <w:szCs w:val="21"/>
              </w:rPr>
              <w:t>评价内容</w:t>
            </w:r>
          </w:p>
        </w:tc>
        <w:tc>
          <w:tcPr>
            <w:tcW w:w="4337" w:type="dxa"/>
            <w:vAlign w:val="center"/>
          </w:tcPr>
          <w:p w14:paraId="01A54471">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现状评价因子</w:t>
            </w:r>
          </w:p>
        </w:tc>
        <w:tc>
          <w:tcPr>
            <w:tcW w:w="3200" w:type="dxa"/>
            <w:vAlign w:val="center"/>
          </w:tcPr>
          <w:p w14:paraId="3C3F5926">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影响评价因子</w:t>
            </w:r>
          </w:p>
        </w:tc>
      </w:tr>
      <w:tr w14:paraId="566A2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7" w:type="dxa"/>
            <w:vAlign w:val="center"/>
          </w:tcPr>
          <w:p w14:paraId="2BCAAD82">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环境空气</w:t>
            </w:r>
          </w:p>
        </w:tc>
        <w:tc>
          <w:tcPr>
            <w:tcW w:w="4337" w:type="dxa"/>
            <w:vAlign w:val="center"/>
          </w:tcPr>
          <w:p w14:paraId="196F278D">
            <w:pPr>
              <w:spacing w:line="0" w:lineRule="atLeast"/>
              <w:rPr>
                <w:rFonts w:ascii="Arial" w:hAnsi="Arial" w:eastAsia="宋体" w:cs="Arial"/>
                <w:sz w:val="21"/>
                <w:szCs w:val="21"/>
                <w:vertAlign w:val="subscript"/>
              </w:rPr>
            </w:pPr>
            <w:r>
              <w:rPr>
                <w:rFonts w:ascii="Arial" w:hAnsi="Arial" w:eastAsia="宋体" w:cs="Arial"/>
                <w:sz w:val="21"/>
                <w:szCs w:val="21"/>
              </w:rPr>
              <w:t>基本因子：SO</w:t>
            </w:r>
            <w:r>
              <w:rPr>
                <w:rFonts w:ascii="Arial" w:hAnsi="Arial" w:eastAsia="宋体" w:cs="Arial"/>
                <w:sz w:val="21"/>
                <w:szCs w:val="21"/>
                <w:vertAlign w:val="subscript"/>
              </w:rPr>
              <w:t>2</w:t>
            </w:r>
            <w:r>
              <w:rPr>
                <w:rFonts w:ascii="Arial" w:hAnsi="Arial" w:eastAsia="宋体" w:cs="Arial"/>
                <w:sz w:val="21"/>
                <w:szCs w:val="21"/>
              </w:rPr>
              <w:t>、NO</w:t>
            </w:r>
            <w:r>
              <w:rPr>
                <w:rFonts w:ascii="Arial" w:hAnsi="Arial" w:eastAsia="宋体" w:cs="Arial"/>
                <w:sz w:val="21"/>
                <w:szCs w:val="21"/>
                <w:vertAlign w:val="subscript"/>
              </w:rPr>
              <w:t>2</w:t>
            </w:r>
            <w:r>
              <w:rPr>
                <w:rFonts w:ascii="Arial" w:hAnsi="Arial" w:eastAsia="宋体" w:cs="Arial"/>
                <w:sz w:val="21"/>
                <w:szCs w:val="21"/>
              </w:rPr>
              <w:t>、PM</w:t>
            </w:r>
            <w:r>
              <w:rPr>
                <w:rFonts w:ascii="Arial" w:hAnsi="Arial" w:eastAsia="宋体" w:cs="Arial"/>
                <w:sz w:val="21"/>
                <w:szCs w:val="21"/>
                <w:vertAlign w:val="subscript"/>
              </w:rPr>
              <w:t>10</w:t>
            </w:r>
            <w:r>
              <w:rPr>
                <w:rFonts w:ascii="Arial" w:hAnsi="Arial" w:eastAsia="宋体" w:cs="Arial"/>
                <w:sz w:val="21"/>
                <w:szCs w:val="21"/>
              </w:rPr>
              <w:t>、PM</w:t>
            </w:r>
            <w:r>
              <w:rPr>
                <w:rFonts w:ascii="Arial" w:hAnsi="Arial" w:eastAsia="宋体" w:cs="Arial"/>
                <w:sz w:val="21"/>
                <w:szCs w:val="21"/>
                <w:vertAlign w:val="subscript"/>
              </w:rPr>
              <w:t>2.5</w:t>
            </w:r>
            <w:r>
              <w:rPr>
                <w:rFonts w:ascii="Arial" w:hAnsi="Arial" w:eastAsia="宋体" w:cs="Arial"/>
                <w:sz w:val="21"/>
                <w:szCs w:val="21"/>
              </w:rPr>
              <w:t>、CO、O</w:t>
            </w:r>
            <w:r>
              <w:rPr>
                <w:rFonts w:ascii="Arial" w:hAnsi="Arial" w:eastAsia="宋体" w:cs="Arial"/>
                <w:sz w:val="21"/>
                <w:szCs w:val="21"/>
                <w:vertAlign w:val="subscript"/>
              </w:rPr>
              <w:t>3</w:t>
            </w:r>
            <w:r>
              <w:rPr>
                <w:rFonts w:ascii="Arial" w:hAnsi="Arial" w:eastAsia="宋体" w:cs="Arial"/>
                <w:sz w:val="21"/>
                <w:szCs w:val="21"/>
              </w:rPr>
              <w:t>；</w:t>
            </w:r>
          </w:p>
          <w:p w14:paraId="584CFF19">
            <w:pPr>
              <w:spacing w:line="0" w:lineRule="atLeast"/>
              <w:rPr>
                <w:rFonts w:ascii="Arial" w:hAnsi="Arial" w:eastAsia="宋体" w:cs="Arial"/>
                <w:sz w:val="21"/>
                <w:szCs w:val="21"/>
              </w:rPr>
            </w:pPr>
            <w:r>
              <w:rPr>
                <w:rFonts w:ascii="Arial" w:hAnsi="Arial" w:eastAsia="宋体" w:cs="Arial"/>
                <w:sz w:val="21"/>
                <w:szCs w:val="21"/>
              </w:rPr>
              <w:t>其他因子：氨</w:t>
            </w:r>
            <w:r>
              <w:rPr>
                <w:rFonts w:hint="eastAsia" w:ascii="Arial" w:hAnsi="Arial" w:eastAsia="宋体" w:cs="Arial"/>
                <w:sz w:val="21"/>
                <w:szCs w:val="21"/>
              </w:rPr>
              <w:t>、TSP</w:t>
            </w:r>
          </w:p>
        </w:tc>
        <w:tc>
          <w:tcPr>
            <w:tcW w:w="3200" w:type="dxa"/>
            <w:vAlign w:val="center"/>
          </w:tcPr>
          <w:p w14:paraId="1CE348BC">
            <w:pPr>
              <w:pStyle w:val="880"/>
              <w:spacing w:line="0" w:lineRule="atLeast"/>
              <w:jc w:val="center"/>
              <w:rPr>
                <w:rFonts w:ascii="Arial" w:hAnsi="Arial" w:cs="Arial"/>
                <w:sz w:val="21"/>
                <w:szCs w:val="21"/>
              </w:rPr>
            </w:pPr>
            <w:r>
              <w:rPr>
                <w:rFonts w:ascii="Arial" w:hAnsi="Arial" w:cs="Arial"/>
                <w:sz w:val="21"/>
                <w:szCs w:val="21"/>
              </w:rPr>
              <w:t>氨、PM</w:t>
            </w:r>
            <w:r>
              <w:rPr>
                <w:rFonts w:ascii="Arial" w:hAnsi="Arial" w:cs="Arial"/>
                <w:sz w:val="21"/>
                <w:szCs w:val="21"/>
                <w:vertAlign w:val="subscript"/>
              </w:rPr>
              <w:t>10</w:t>
            </w:r>
            <w:r>
              <w:rPr>
                <w:rFonts w:hint="eastAsia" w:ascii="Arial" w:hAnsi="Arial" w:cs="Arial"/>
                <w:sz w:val="21"/>
                <w:szCs w:val="21"/>
              </w:rPr>
              <w:t>、钴及其化合物</w:t>
            </w:r>
          </w:p>
        </w:tc>
      </w:tr>
      <w:tr w14:paraId="7E726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7" w:type="dxa"/>
            <w:vAlign w:val="center"/>
          </w:tcPr>
          <w:p w14:paraId="41989079">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地表水</w:t>
            </w:r>
          </w:p>
        </w:tc>
        <w:tc>
          <w:tcPr>
            <w:tcW w:w="4337" w:type="dxa"/>
            <w:vAlign w:val="center"/>
          </w:tcPr>
          <w:p w14:paraId="14EB59E3">
            <w:pPr>
              <w:spacing w:line="240" w:lineRule="exact"/>
              <w:rPr>
                <w:rFonts w:ascii="Arial" w:hAnsi="Arial" w:eastAsia="宋体" w:cs="Arial"/>
                <w:kern w:val="0"/>
                <w:sz w:val="21"/>
                <w:szCs w:val="21"/>
              </w:rPr>
            </w:pPr>
            <w:r>
              <w:rPr>
                <w:rFonts w:hint="eastAsia" w:ascii="Arial" w:hAnsi="Arial" w:eastAsia="宋体" w:cs="Arial"/>
                <w:bCs/>
                <w:kern w:val="0"/>
                <w:sz w:val="21"/>
                <w:szCs w:val="21"/>
              </w:rPr>
              <w:t>水温、水深、pH值、水色、盐度、悬浮物、溶解氧、化学需氧量、五日生化需氧量、活性磷酸盐、亚硝酸盐、硝酸盐氮、氨氮、挥发酚、石油类、硫化物、六价铬、氰化物、铜、锌、铅、镉、总铬、镍、汞、砷、硒</w:t>
            </w:r>
          </w:p>
        </w:tc>
        <w:tc>
          <w:tcPr>
            <w:tcW w:w="3200" w:type="dxa"/>
            <w:vAlign w:val="center"/>
          </w:tcPr>
          <w:p w14:paraId="23E40A78">
            <w:pPr>
              <w:widowControl/>
              <w:adjustRightInd w:val="0"/>
              <w:snapToGrid w:val="0"/>
              <w:jc w:val="center"/>
              <w:rPr>
                <w:rFonts w:ascii="Arial" w:hAnsi="Arial" w:eastAsia="宋体" w:cs="Arial"/>
                <w:kern w:val="0"/>
                <w:sz w:val="21"/>
                <w:szCs w:val="21"/>
                <w:highlight w:val="yellow"/>
              </w:rPr>
            </w:pPr>
            <w:r>
              <w:rPr>
                <w:rFonts w:hint="eastAsia" w:ascii="Arial" w:hAnsi="Arial" w:eastAsia="宋体" w:cs="Arial"/>
                <w:kern w:val="0"/>
                <w:sz w:val="21"/>
                <w:szCs w:val="21"/>
              </w:rPr>
              <w:t>COD、氨氮、钴、硫酸盐</w:t>
            </w:r>
          </w:p>
        </w:tc>
      </w:tr>
      <w:tr w14:paraId="5F245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7" w:type="dxa"/>
            <w:vAlign w:val="center"/>
          </w:tcPr>
          <w:p w14:paraId="072BFCB5">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地下水</w:t>
            </w:r>
          </w:p>
        </w:tc>
        <w:tc>
          <w:tcPr>
            <w:tcW w:w="4337" w:type="dxa"/>
            <w:vAlign w:val="center"/>
          </w:tcPr>
          <w:p w14:paraId="3D8A6D9E">
            <w:pPr>
              <w:widowControl/>
              <w:spacing w:line="240" w:lineRule="exact"/>
              <w:jc w:val="left"/>
              <w:rPr>
                <w:rFonts w:ascii="Arial" w:hAnsi="Arial" w:eastAsia="宋体" w:cs="Arial"/>
                <w:kern w:val="0"/>
                <w:sz w:val="21"/>
                <w:szCs w:val="24"/>
              </w:rPr>
            </w:pPr>
            <w:r>
              <w:rPr>
                <w:rFonts w:ascii="Arial" w:hAnsi="Arial" w:eastAsia="宋体" w:cs="Arial"/>
                <w:kern w:val="0"/>
                <w:sz w:val="21"/>
                <w:szCs w:val="24"/>
              </w:rPr>
              <w:t>基本因子：pH值、总硬度、溶解性总固体、锰、铜、锌、耗氧量、硝酸盐氮、亚硝酸盐氮、挥发酚、氨氮、汞、镍、石油类、钴、铁、氟化物、硫化物、砷、六价铬、铅、镉；</w:t>
            </w:r>
          </w:p>
          <w:p w14:paraId="029C1347">
            <w:pPr>
              <w:widowControl/>
              <w:spacing w:line="240" w:lineRule="exact"/>
              <w:jc w:val="left"/>
              <w:rPr>
                <w:rFonts w:ascii="Arial" w:hAnsi="Arial" w:eastAsia="宋体" w:cs="Arial"/>
                <w:kern w:val="0"/>
                <w:sz w:val="21"/>
                <w:szCs w:val="21"/>
              </w:rPr>
            </w:pPr>
            <w:r>
              <w:rPr>
                <w:rFonts w:ascii="Arial" w:hAnsi="Arial" w:eastAsia="宋体" w:cs="Arial"/>
                <w:kern w:val="0"/>
                <w:sz w:val="21"/>
                <w:szCs w:val="24"/>
              </w:rPr>
              <w:t>八大离子：K</w:t>
            </w:r>
            <w:r>
              <w:rPr>
                <w:rFonts w:ascii="Arial" w:hAnsi="Arial" w:eastAsia="宋体" w:cs="Arial"/>
                <w:kern w:val="0"/>
                <w:sz w:val="21"/>
                <w:szCs w:val="24"/>
                <w:vertAlign w:val="superscript"/>
              </w:rPr>
              <w:t>+</w:t>
            </w:r>
            <w:r>
              <w:rPr>
                <w:rFonts w:ascii="Arial" w:hAnsi="Arial" w:eastAsia="宋体" w:cs="Arial"/>
                <w:kern w:val="0"/>
                <w:sz w:val="21"/>
                <w:szCs w:val="24"/>
              </w:rPr>
              <w:t>、Na</w:t>
            </w:r>
            <w:r>
              <w:rPr>
                <w:rFonts w:ascii="Arial" w:hAnsi="Arial" w:eastAsia="宋体" w:cs="Arial"/>
                <w:kern w:val="0"/>
                <w:sz w:val="21"/>
                <w:szCs w:val="24"/>
                <w:vertAlign w:val="superscript"/>
              </w:rPr>
              <w:t>+</w:t>
            </w:r>
            <w:r>
              <w:rPr>
                <w:rFonts w:ascii="Arial" w:hAnsi="Arial" w:eastAsia="宋体" w:cs="Arial"/>
                <w:kern w:val="0"/>
                <w:sz w:val="21"/>
                <w:szCs w:val="24"/>
              </w:rPr>
              <w:t>、Ca</w:t>
            </w:r>
            <w:r>
              <w:rPr>
                <w:rFonts w:ascii="Arial" w:hAnsi="Arial" w:eastAsia="宋体" w:cs="Arial"/>
                <w:kern w:val="0"/>
                <w:sz w:val="21"/>
                <w:szCs w:val="24"/>
                <w:vertAlign w:val="superscript"/>
              </w:rPr>
              <w:t>2+</w:t>
            </w:r>
            <w:r>
              <w:rPr>
                <w:rFonts w:ascii="Arial" w:hAnsi="Arial" w:eastAsia="宋体" w:cs="Arial"/>
                <w:kern w:val="0"/>
                <w:sz w:val="21"/>
                <w:szCs w:val="24"/>
              </w:rPr>
              <w:t>、Mg</w:t>
            </w:r>
            <w:r>
              <w:rPr>
                <w:rFonts w:ascii="Arial" w:hAnsi="Arial" w:eastAsia="宋体" w:cs="Arial"/>
                <w:kern w:val="0"/>
                <w:sz w:val="21"/>
                <w:szCs w:val="24"/>
                <w:vertAlign w:val="superscript"/>
              </w:rPr>
              <w:t>2+</w:t>
            </w:r>
            <w:r>
              <w:rPr>
                <w:rFonts w:ascii="Arial" w:hAnsi="Arial" w:eastAsia="宋体" w:cs="Arial"/>
                <w:kern w:val="0"/>
                <w:sz w:val="21"/>
                <w:szCs w:val="24"/>
              </w:rPr>
              <w:t>、CO</w:t>
            </w:r>
            <w:r>
              <w:rPr>
                <w:rFonts w:ascii="Arial" w:hAnsi="Arial" w:eastAsia="宋体" w:cs="Arial"/>
                <w:kern w:val="0"/>
                <w:sz w:val="21"/>
                <w:szCs w:val="24"/>
                <w:vertAlign w:val="subscript"/>
              </w:rPr>
              <w:t>3</w:t>
            </w:r>
            <w:r>
              <w:rPr>
                <w:rFonts w:ascii="Arial" w:hAnsi="Arial" w:eastAsia="宋体" w:cs="Arial"/>
                <w:kern w:val="0"/>
                <w:sz w:val="21"/>
                <w:szCs w:val="24"/>
                <w:vertAlign w:val="superscript"/>
              </w:rPr>
              <w:t>2-</w:t>
            </w:r>
            <w:r>
              <w:rPr>
                <w:rFonts w:ascii="Arial" w:hAnsi="Arial" w:eastAsia="宋体" w:cs="Arial"/>
                <w:kern w:val="0"/>
                <w:sz w:val="21"/>
                <w:szCs w:val="24"/>
              </w:rPr>
              <w:t>、HCO</w:t>
            </w:r>
            <w:r>
              <w:rPr>
                <w:rFonts w:ascii="Arial" w:hAnsi="Arial" w:eastAsia="宋体" w:cs="Arial"/>
                <w:kern w:val="0"/>
                <w:sz w:val="21"/>
                <w:szCs w:val="24"/>
                <w:vertAlign w:val="subscript"/>
              </w:rPr>
              <w:t>3</w:t>
            </w:r>
            <w:r>
              <w:rPr>
                <w:rFonts w:ascii="Arial" w:hAnsi="Arial" w:eastAsia="宋体" w:cs="Arial"/>
                <w:kern w:val="0"/>
                <w:sz w:val="21"/>
                <w:szCs w:val="24"/>
                <w:vertAlign w:val="superscript"/>
              </w:rPr>
              <w:t>-</w:t>
            </w:r>
            <w:r>
              <w:rPr>
                <w:rFonts w:ascii="Arial" w:hAnsi="Arial" w:eastAsia="宋体" w:cs="Arial"/>
                <w:kern w:val="0"/>
                <w:sz w:val="21"/>
                <w:szCs w:val="24"/>
              </w:rPr>
              <w:t>、Cl</w:t>
            </w:r>
            <w:r>
              <w:rPr>
                <w:rFonts w:ascii="Arial" w:hAnsi="Arial" w:eastAsia="宋体" w:cs="Arial"/>
                <w:kern w:val="0"/>
                <w:sz w:val="21"/>
                <w:szCs w:val="24"/>
                <w:vertAlign w:val="superscript"/>
              </w:rPr>
              <w:t>-</w:t>
            </w:r>
            <w:r>
              <w:rPr>
                <w:rFonts w:ascii="Arial" w:hAnsi="Arial" w:eastAsia="宋体" w:cs="Arial"/>
                <w:kern w:val="0"/>
                <w:sz w:val="21"/>
                <w:szCs w:val="24"/>
              </w:rPr>
              <w:t>、SO</w:t>
            </w:r>
            <w:r>
              <w:rPr>
                <w:rFonts w:ascii="Arial" w:hAnsi="Arial" w:eastAsia="宋体" w:cs="Arial"/>
                <w:kern w:val="0"/>
                <w:sz w:val="21"/>
                <w:szCs w:val="24"/>
                <w:vertAlign w:val="subscript"/>
              </w:rPr>
              <w:t>4</w:t>
            </w:r>
            <w:r>
              <w:rPr>
                <w:rFonts w:ascii="Arial" w:hAnsi="Arial" w:eastAsia="宋体" w:cs="Arial"/>
                <w:kern w:val="0"/>
                <w:sz w:val="21"/>
                <w:szCs w:val="24"/>
                <w:vertAlign w:val="superscript"/>
              </w:rPr>
              <w:t>2-</w:t>
            </w:r>
          </w:p>
        </w:tc>
        <w:tc>
          <w:tcPr>
            <w:tcW w:w="3200" w:type="dxa"/>
            <w:vAlign w:val="center"/>
          </w:tcPr>
          <w:p w14:paraId="389C4C35">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耗氧量、氨氮、硫酸盐、钴</w:t>
            </w:r>
          </w:p>
        </w:tc>
      </w:tr>
      <w:tr w14:paraId="5B7C0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7" w:type="dxa"/>
            <w:vAlign w:val="center"/>
          </w:tcPr>
          <w:p w14:paraId="101E68B8">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土壤</w:t>
            </w:r>
          </w:p>
        </w:tc>
        <w:tc>
          <w:tcPr>
            <w:tcW w:w="4337" w:type="dxa"/>
            <w:vAlign w:val="center"/>
          </w:tcPr>
          <w:p w14:paraId="79A418F5">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GB36600-2018表1中列出45个基本项目，GB15618-2018表1的基本项目</w:t>
            </w:r>
          </w:p>
          <w:p w14:paraId="275E5F19">
            <w:pPr>
              <w:widowControl/>
              <w:adjustRightInd w:val="0"/>
              <w:snapToGrid w:val="0"/>
              <w:jc w:val="left"/>
              <w:rPr>
                <w:rFonts w:ascii="Arial" w:hAnsi="Arial" w:eastAsia="宋体" w:cs="Arial"/>
                <w:kern w:val="0"/>
                <w:sz w:val="21"/>
                <w:szCs w:val="21"/>
              </w:rPr>
            </w:pPr>
            <w:r>
              <w:rPr>
                <w:rFonts w:ascii="Arial" w:hAnsi="Arial" w:eastAsia="宋体" w:cs="Arial"/>
                <w:sz w:val="21"/>
                <w:szCs w:val="21"/>
              </w:rPr>
              <w:t>其他项目：pH、石油烃、钴、锰</w:t>
            </w:r>
          </w:p>
        </w:tc>
        <w:tc>
          <w:tcPr>
            <w:tcW w:w="3200" w:type="dxa"/>
            <w:vAlign w:val="center"/>
          </w:tcPr>
          <w:p w14:paraId="6A7311BB">
            <w:pPr>
              <w:widowControl/>
              <w:adjustRightInd w:val="0"/>
              <w:snapToGrid w:val="0"/>
              <w:jc w:val="center"/>
              <w:rPr>
                <w:rFonts w:ascii="Arial" w:hAnsi="Arial" w:eastAsia="宋体" w:cs="Arial"/>
                <w:kern w:val="0"/>
                <w:sz w:val="21"/>
                <w:szCs w:val="21"/>
              </w:rPr>
            </w:pPr>
            <w:r>
              <w:rPr>
                <w:rFonts w:hint="eastAsia" w:ascii="Arial" w:hAnsi="Arial" w:eastAsia="宋体" w:cs="Arial"/>
                <w:sz w:val="21"/>
                <w:szCs w:val="21"/>
              </w:rPr>
              <w:t>钴</w:t>
            </w:r>
          </w:p>
        </w:tc>
      </w:tr>
      <w:tr w14:paraId="62829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7" w:type="dxa"/>
            <w:vAlign w:val="center"/>
          </w:tcPr>
          <w:p w14:paraId="417E740A">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固体废物</w:t>
            </w:r>
          </w:p>
        </w:tc>
        <w:tc>
          <w:tcPr>
            <w:tcW w:w="4337" w:type="dxa"/>
            <w:vAlign w:val="center"/>
          </w:tcPr>
          <w:p w14:paraId="2B368BA3">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w:t>
            </w:r>
          </w:p>
        </w:tc>
        <w:tc>
          <w:tcPr>
            <w:tcW w:w="3200" w:type="dxa"/>
            <w:vAlign w:val="center"/>
          </w:tcPr>
          <w:p w14:paraId="6697A42F">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危险废物、一般工业固废、生活垃圾</w:t>
            </w:r>
          </w:p>
        </w:tc>
      </w:tr>
      <w:tr w14:paraId="24467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7" w:type="dxa"/>
            <w:vAlign w:val="center"/>
          </w:tcPr>
          <w:p w14:paraId="46566D49">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声环境</w:t>
            </w:r>
          </w:p>
        </w:tc>
        <w:tc>
          <w:tcPr>
            <w:tcW w:w="4337" w:type="dxa"/>
            <w:vAlign w:val="center"/>
          </w:tcPr>
          <w:p w14:paraId="7CAB6E38">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L</w:t>
            </w:r>
            <w:r>
              <w:rPr>
                <w:rFonts w:ascii="Arial" w:hAnsi="Arial" w:eastAsia="宋体" w:cs="Arial"/>
                <w:kern w:val="0"/>
                <w:sz w:val="21"/>
                <w:szCs w:val="21"/>
                <w:vertAlign w:val="subscript"/>
              </w:rPr>
              <w:t>Aeq</w:t>
            </w:r>
          </w:p>
        </w:tc>
        <w:tc>
          <w:tcPr>
            <w:tcW w:w="3200" w:type="dxa"/>
            <w:vAlign w:val="center"/>
          </w:tcPr>
          <w:p w14:paraId="57B05F57">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等效连续A声级</w:t>
            </w:r>
          </w:p>
        </w:tc>
      </w:tr>
      <w:tr w14:paraId="45782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217" w:type="dxa"/>
            <w:vAlign w:val="center"/>
          </w:tcPr>
          <w:p w14:paraId="3E3659AB">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生态环境</w:t>
            </w:r>
          </w:p>
        </w:tc>
        <w:tc>
          <w:tcPr>
            <w:tcW w:w="4337" w:type="dxa"/>
            <w:vAlign w:val="center"/>
          </w:tcPr>
          <w:p w14:paraId="461AD734">
            <w:pPr>
              <w:widowControl/>
              <w:spacing w:before="100" w:beforeAutospacing="1" w:after="100" w:afterAutospacing="1" w:line="0" w:lineRule="atLeast"/>
              <w:jc w:val="center"/>
              <w:rPr>
                <w:rFonts w:ascii="Arial" w:hAnsi="Arial" w:eastAsia="宋体" w:cs="Arial"/>
                <w:kern w:val="0"/>
                <w:sz w:val="21"/>
                <w:szCs w:val="21"/>
              </w:rPr>
            </w:pPr>
            <w:r>
              <w:rPr>
                <w:rFonts w:hint="eastAsia" w:ascii="Arial" w:hAnsi="Arial" w:eastAsia="宋体" w:cs="Arial"/>
                <w:kern w:val="0"/>
                <w:sz w:val="21"/>
                <w:szCs w:val="21"/>
              </w:rPr>
              <w:t>植被类型、动物分布</w:t>
            </w:r>
          </w:p>
        </w:tc>
        <w:tc>
          <w:tcPr>
            <w:tcW w:w="3200" w:type="dxa"/>
            <w:vAlign w:val="center"/>
          </w:tcPr>
          <w:p w14:paraId="0EBEB6D1">
            <w:pPr>
              <w:widowControl/>
              <w:spacing w:before="100" w:beforeAutospacing="1" w:after="100" w:afterAutospacing="1" w:line="0" w:lineRule="atLeast"/>
              <w:jc w:val="center"/>
              <w:rPr>
                <w:rFonts w:ascii="Arial" w:hAnsi="Arial" w:eastAsia="宋体" w:cs="Arial"/>
                <w:kern w:val="0"/>
                <w:sz w:val="21"/>
                <w:szCs w:val="21"/>
              </w:rPr>
            </w:pPr>
            <w:r>
              <w:rPr>
                <w:rFonts w:ascii="Arial" w:hAnsi="Arial" w:eastAsia="宋体" w:cs="Arial"/>
                <w:kern w:val="0"/>
                <w:sz w:val="21"/>
                <w:szCs w:val="21"/>
              </w:rPr>
              <w:t>—</w:t>
            </w:r>
          </w:p>
        </w:tc>
      </w:tr>
    </w:tbl>
    <w:p w14:paraId="2DEFECB6">
      <w:pPr>
        <w:keepNext/>
        <w:keepLines/>
        <w:numPr>
          <w:ilvl w:val="0"/>
          <w:numId w:val="4"/>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环境功能区划</w:t>
      </w:r>
    </w:p>
    <w:p w14:paraId="6858CA1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1、环境空气</w:t>
      </w:r>
    </w:p>
    <w:p w14:paraId="314EF675">
      <w:pPr>
        <w:spacing w:line="500" w:lineRule="exact"/>
        <w:ind w:firstLine="490" w:firstLineChars="200"/>
        <w:rPr>
          <w:rFonts w:ascii="Arial" w:hAnsi="Arial" w:eastAsia="宋体" w:cs="Arial"/>
          <w:spacing w:val="10"/>
          <w:sz w:val="24"/>
          <w:szCs w:val="24"/>
          <w:u w:val="single"/>
        </w:rPr>
      </w:pPr>
      <w:r>
        <w:rPr>
          <w:rFonts w:ascii="Arial" w:hAnsi="Arial" w:eastAsia="宋体" w:cs="Arial"/>
          <w:spacing w:val="10"/>
          <w:sz w:val="24"/>
          <w:szCs w:val="24"/>
        </w:rPr>
        <w:t>项目位于钦州港大榄坪物流加工区内，根据《钦州港大榄坪物流加工区总体规划修编（2022-2035）》，项目所在区域</w:t>
      </w:r>
      <w:r>
        <w:rPr>
          <w:rFonts w:hint="eastAsia" w:ascii="Arial" w:hAnsi="Arial" w:eastAsia="宋体" w:cs="Arial"/>
          <w:spacing w:val="10"/>
          <w:sz w:val="24"/>
          <w:szCs w:val="24"/>
        </w:rPr>
        <w:t>环境空气执行</w:t>
      </w:r>
      <w:r>
        <w:rPr>
          <w:rFonts w:ascii="Arial" w:hAnsi="Arial" w:eastAsia="宋体" w:cs="Arial"/>
          <w:spacing w:val="10"/>
          <w:sz w:val="24"/>
          <w:szCs w:val="24"/>
        </w:rPr>
        <w:t>《环境空气质量标准》（GB3095-2012）二级标准。</w:t>
      </w:r>
    </w:p>
    <w:p w14:paraId="3D51AF43">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2、海水环境</w:t>
      </w:r>
    </w:p>
    <w:p w14:paraId="01BD5F22">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根据《广西壮族自治区生态环境厅关于印发广西壮族自治区近岸海域环境功能区划调整方案的通知》（桂环发〔2023〕9号），</w:t>
      </w:r>
      <w:r>
        <w:rPr>
          <w:rFonts w:hint="eastAsia" w:ascii="Arial" w:hAnsi="Arial" w:eastAsia="宋体" w:cs="Arial"/>
          <w:spacing w:val="10"/>
          <w:sz w:val="24"/>
          <w:szCs w:val="24"/>
        </w:rPr>
        <w:t>地表水评价范围内涉及茅尾海红树林生态区（GX065BⅡ）、茅尾海渔业用海区（GX069BⅡ）、钦州港大榄坪港口、工业区（GX055DⅣ）、钦州港金鼓江排污混合区（GX056DⅣ）、</w:t>
      </w:r>
      <w:r>
        <w:rPr>
          <w:rFonts w:ascii="Arial" w:hAnsi="Arial" w:eastAsia="宋体" w:cs="Arial"/>
          <w:spacing w:val="10"/>
          <w:sz w:val="24"/>
          <w:szCs w:val="24"/>
        </w:rPr>
        <w:t>钦州港大榄坪排污混合区（GX057D</w:t>
      </w:r>
      <w:r>
        <w:rPr>
          <w:rFonts w:hint="eastAsia" w:ascii="宋体" w:hAnsi="宋体" w:eastAsia="宋体" w:cs="宋体"/>
          <w:spacing w:val="10"/>
          <w:sz w:val="24"/>
          <w:szCs w:val="24"/>
        </w:rPr>
        <w:t>Ⅳ</w:t>
      </w:r>
      <w:r>
        <w:rPr>
          <w:rFonts w:ascii="Arial" w:hAnsi="Arial" w:eastAsia="宋体" w:cs="Arial"/>
          <w:spacing w:val="10"/>
          <w:sz w:val="24"/>
          <w:szCs w:val="24"/>
        </w:rPr>
        <w:t>）</w:t>
      </w:r>
      <w:r>
        <w:rPr>
          <w:rFonts w:hint="eastAsia" w:ascii="Arial" w:hAnsi="Arial" w:eastAsia="宋体" w:cs="Arial"/>
          <w:spacing w:val="10"/>
          <w:sz w:val="24"/>
          <w:szCs w:val="24"/>
        </w:rPr>
        <w:t>等区域</w:t>
      </w:r>
      <w:r>
        <w:rPr>
          <w:rFonts w:ascii="Arial" w:hAnsi="Arial" w:eastAsia="宋体" w:cs="Arial"/>
          <w:spacing w:val="10"/>
          <w:sz w:val="24"/>
          <w:szCs w:val="24"/>
        </w:rPr>
        <w:t>。</w:t>
      </w:r>
      <w:r>
        <w:rPr>
          <w:rFonts w:hint="eastAsia" w:ascii="Arial" w:hAnsi="Arial" w:eastAsia="宋体" w:cs="Arial"/>
          <w:spacing w:val="10"/>
          <w:sz w:val="24"/>
          <w:szCs w:val="24"/>
        </w:rPr>
        <w:t>茅尾海红树林生态区（GX065BⅡ）属二类环境功能区，水质保护目标为海水水质标准第二类，广西茅尾海红树林自治区级自然保护区康熙岭、坚心围和七十二泾片区水质保护目标为海水水质标准第一类；茅尾海渔业用海区（GX069BⅡ）属二类环境功能区，水质保护目标为海水水质标准第二类；钦州港大榄坪港口、工业区（GX055DⅣ）和钦州港金鼓江排污混合区（GX056DⅣ）均属四类环境功能区，水质保护目标为海水水质标准第四类，周围0.5公里水质过渡带，水质保护目标为海水水质标准第三类。</w:t>
      </w:r>
    </w:p>
    <w:p w14:paraId="58F73AE5">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3、地下水环境</w:t>
      </w:r>
    </w:p>
    <w:p w14:paraId="1F9B4F1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区域地下水适用标准类别为《地下水质量标准》（GB/T14848-2017）</w:t>
      </w:r>
      <w:r>
        <w:rPr>
          <w:rFonts w:hint="eastAsia" w:ascii="宋体" w:hAnsi="宋体" w:eastAsia="宋体" w:cs="宋体"/>
          <w:spacing w:val="10"/>
          <w:sz w:val="24"/>
          <w:szCs w:val="24"/>
        </w:rPr>
        <w:t>Ⅲ</w:t>
      </w:r>
      <w:r>
        <w:rPr>
          <w:rFonts w:ascii="Arial" w:hAnsi="Arial" w:eastAsia="宋体" w:cs="Arial"/>
          <w:spacing w:val="10"/>
          <w:sz w:val="24"/>
          <w:szCs w:val="24"/>
        </w:rPr>
        <w:t>类，执行</w:t>
      </w:r>
      <w:r>
        <w:rPr>
          <w:rFonts w:hint="eastAsia" w:ascii="宋体" w:hAnsi="宋体" w:eastAsia="宋体" w:cs="宋体"/>
          <w:spacing w:val="10"/>
          <w:sz w:val="24"/>
          <w:szCs w:val="24"/>
        </w:rPr>
        <w:t>Ⅲ</w:t>
      </w:r>
      <w:r>
        <w:rPr>
          <w:rFonts w:ascii="Arial" w:hAnsi="Arial" w:eastAsia="宋体" w:cs="Arial"/>
          <w:spacing w:val="10"/>
          <w:sz w:val="24"/>
          <w:szCs w:val="24"/>
        </w:rPr>
        <w:t>类标准。</w:t>
      </w:r>
    </w:p>
    <w:p w14:paraId="2436056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4、声环境</w:t>
      </w:r>
    </w:p>
    <w:p w14:paraId="477A881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项目位于钦州港大榄坪物流加工区内，用地为工业用地，根据钦州港大榄坪物流加工区总体规划修编（2022-2035）》，</w:t>
      </w:r>
      <w:r>
        <w:rPr>
          <w:rFonts w:hint="eastAsia" w:ascii="Arial" w:hAnsi="Arial" w:eastAsia="宋体" w:cs="Arial"/>
          <w:spacing w:val="10"/>
          <w:sz w:val="24"/>
          <w:szCs w:val="24"/>
        </w:rPr>
        <w:t>项目所在区域属于《声环境质量标准》（GB3096-2008）中的3类声环境功能区，西面厂界紧邻陆海大道，西面厂界属4a类声环境功能区，</w:t>
      </w:r>
      <w:r>
        <w:rPr>
          <w:rFonts w:ascii="Arial" w:hAnsi="Arial" w:eastAsia="宋体" w:cs="Arial"/>
          <w:spacing w:val="10"/>
          <w:kern w:val="0"/>
          <w:sz w:val="24"/>
          <w:szCs w:val="24"/>
        </w:rPr>
        <w:t>厂区北面村庄</w:t>
      </w:r>
      <w:r>
        <w:rPr>
          <w:rFonts w:hint="eastAsia" w:ascii="Arial" w:hAnsi="Arial" w:eastAsia="宋体" w:cs="Arial"/>
          <w:spacing w:val="10"/>
          <w:sz w:val="24"/>
          <w:szCs w:val="24"/>
        </w:rPr>
        <w:t>属2类声环境功能区。</w:t>
      </w:r>
    </w:p>
    <w:p w14:paraId="42C42A0F">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项目所在地环境功能属性表</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3075"/>
        <w:gridCol w:w="4694"/>
      </w:tblGrid>
      <w:tr w14:paraId="692BA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753" w:type="dxa"/>
            <w:vAlign w:val="center"/>
          </w:tcPr>
          <w:p w14:paraId="7A8E4867">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3075" w:type="dxa"/>
            <w:vAlign w:val="center"/>
          </w:tcPr>
          <w:p w14:paraId="3F7C9825">
            <w:pPr>
              <w:spacing w:line="240" w:lineRule="exact"/>
              <w:jc w:val="center"/>
              <w:rPr>
                <w:rFonts w:ascii="Arial" w:hAnsi="Arial" w:eastAsia="宋体" w:cs="Arial"/>
                <w:sz w:val="21"/>
                <w:szCs w:val="21"/>
              </w:rPr>
            </w:pPr>
            <w:r>
              <w:rPr>
                <w:rFonts w:ascii="Arial" w:hAnsi="Arial" w:eastAsia="宋体" w:cs="Arial"/>
                <w:sz w:val="21"/>
                <w:szCs w:val="21"/>
              </w:rPr>
              <w:t>项目</w:t>
            </w:r>
          </w:p>
        </w:tc>
        <w:tc>
          <w:tcPr>
            <w:tcW w:w="4694" w:type="dxa"/>
            <w:vAlign w:val="center"/>
          </w:tcPr>
          <w:p w14:paraId="29E59FAE">
            <w:pPr>
              <w:spacing w:line="240" w:lineRule="exact"/>
              <w:jc w:val="center"/>
              <w:rPr>
                <w:rFonts w:ascii="Arial" w:hAnsi="Arial" w:eastAsia="宋体" w:cs="Arial"/>
                <w:sz w:val="21"/>
                <w:szCs w:val="21"/>
              </w:rPr>
            </w:pPr>
            <w:r>
              <w:rPr>
                <w:rFonts w:ascii="Arial" w:hAnsi="Arial" w:eastAsia="宋体" w:cs="Arial"/>
                <w:sz w:val="21"/>
                <w:szCs w:val="21"/>
              </w:rPr>
              <w:t>类别</w:t>
            </w:r>
          </w:p>
        </w:tc>
      </w:tr>
      <w:tr w14:paraId="0227C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49C06EE8">
            <w:pPr>
              <w:spacing w:line="240" w:lineRule="exact"/>
              <w:jc w:val="center"/>
              <w:rPr>
                <w:rFonts w:ascii="Arial" w:hAnsi="Arial" w:eastAsia="宋体" w:cs="Arial"/>
                <w:sz w:val="21"/>
                <w:szCs w:val="21"/>
              </w:rPr>
            </w:pPr>
            <w:r>
              <w:rPr>
                <w:rFonts w:ascii="Arial" w:hAnsi="Arial" w:eastAsia="宋体" w:cs="Arial"/>
                <w:sz w:val="21"/>
                <w:szCs w:val="21"/>
              </w:rPr>
              <w:t>1</w:t>
            </w:r>
          </w:p>
        </w:tc>
        <w:tc>
          <w:tcPr>
            <w:tcW w:w="3075" w:type="dxa"/>
            <w:vAlign w:val="center"/>
          </w:tcPr>
          <w:p w14:paraId="766B947E">
            <w:pPr>
              <w:spacing w:line="240" w:lineRule="exact"/>
              <w:jc w:val="center"/>
              <w:rPr>
                <w:rFonts w:ascii="Arial" w:hAnsi="Arial" w:eastAsia="宋体" w:cs="Arial"/>
                <w:sz w:val="21"/>
                <w:szCs w:val="21"/>
              </w:rPr>
            </w:pPr>
            <w:r>
              <w:rPr>
                <w:rFonts w:ascii="Arial" w:hAnsi="Arial" w:eastAsia="宋体" w:cs="Arial"/>
                <w:sz w:val="21"/>
                <w:szCs w:val="21"/>
              </w:rPr>
              <w:t>环境空气功能区</w:t>
            </w:r>
          </w:p>
        </w:tc>
        <w:tc>
          <w:tcPr>
            <w:tcW w:w="4694" w:type="dxa"/>
            <w:vAlign w:val="center"/>
          </w:tcPr>
          <w:p w14:paraId="182C9A4A">
            <w:pPr>
              <w:spacing w:line="240" w:lineRule="exact"/>
              <w:jc w:val="center"/>
              <w:rPr>
                <w:rFonts w:ascii="Arial" w:hAnsi="Arial" w:eastAsia="宋体" w:cs="Arial"/>
                <w:sz w:val="21"/>
                <w:szCs w:val="21"/>
              </w:rPr>
            </w:pPr>
            <w:r>
              <w:rPr>
                <w:rFonts w:ascii="Arial" w:hAnsi="Arial" w:eastAsia="宋体" w:cs="Arial"/>
                <w:sz w:val="21"/>
                <w:szCs w:val="21"/>
              </w:rPr>
              <w:t>二类功能区</w:t>
            </w:r>
          </w:p>
        </w:tc>
      </w:tr>
      <w:tr w14:paraId="3E43B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4C0CC917">
            <w:pPr>
              <w:spacing w:line="240" w:lineRule="exact"/>
              <w:jc w:val="center"/>
              <w:rPr>
                <w:rFonts w:ascii="Arial" w:hAnsi="Arial" w:eastAsia="宋体" w:cs="Arial"/>
                <w:sz w:val="21"/>
                <w:szCs w:val="21"/>
              </w:rPr>
            </w:pPr>
            <w:r>
              <w:rPr>
                <w:rFonts w:ascii="Arial" w:hAnsi="Arial" w:eastAsia="宋体" w:cs="Arial"/>
                <w:sz w:val="21"/>
                <w:szCs w:val="21"/>
              </w:rPr>
              <w:t>2</w:t>
            </w:r>
          </w:p>
        </w:tc>
        <w:tc>
          <w:tcPr>
            <w:tcW w:w="3075" w:type="dxa"/>
            <w:vAlign w:val="center"/>
          </w:tcPr>
          <w:p w14:paraId="218B53BF">
            <w:pPr>
              <w:spacing w:line="240" w:lineRule="exact"/>
              <w:jc w:val="center"/>
              <w:rPr>
                <w:rFonts w:ascii="Arial" w:hAnsi="Arial" w:eastAsia="宋体" w:cs="Arial"/>
                <w:sz w:val="21"/>
                <w:szCs w:val="21"/>
              </w:rPr>
            </w:pPr>
            <w:r>
              <w:rPr>
                <w:rFonts w:ascii="Arial" w:hAnsi="Arial" w:eastAsia="宋体" w:cs="Arial"/>
                <w:sz w:val="21"/>
                <w:szCs w:val="21"/>
              </w:rPr>
              <w:t>海水环境功能区</w:t>
            </w:r>
          </w:p>
        </w:tc>
        <w:tc>
          <w:tcPr>
            <w:tcW w:w="4694" w:type="dxa"/>
            <w:vAlign w:val="center"/>
          </w:tcPr>
          <w:p w14:paraId="79188F70">
            <w:pPr>
              <w:spacing w:line="240" w:lineRule="exact"/>
              <w:jc w:val="center"/>
              <w:rPr>
                <w:rFonts w:ascii="Arial" w:hAnsi="Arial" w:eastAsia="宋体" w:cs="Arial"/>
                <w:sz w:val="21"/>
                <w:szCs w:val="21"/>
              </w:rPr>
            </w:pPr>
            <w:r>
              <w:rPr>
                <w:rFonts w:hint="eastAsia" w:ascii="Arial" w:hAnsi="Arial" w:eastAsia="宋体" w:cs="Arial"/>
                <w:sz w:val="21"/>
                <w:szCs w:val="21"/>
              </w:rPr>
              <w:t>二类、</w:t>
            </w:r>
            <w:r>
              <w:rPr>
                <w:rFonts w:ascii="Arial" w:hAnsi="Arial" w:eastAsia="宋体" w:cs="Arial"/>
                <w:sz w:val="21"/>
                <w:szCs w:val="21"/>
              </w:rPr>
              <w:t>四类功能区</w:t>
            </w:r>
          </w:p>
        </w:tc>
      </w:tr>
      <w:tr w14:paraId="5D5CF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481E850E">
            <w:pPr>
              <w:spacing w:line="240" w:lineRule="exact"/>
              <w:jc w:val="center"/>
              <w:rPr>
                <w:rFonts w:ascii="Arial" w:hAnsi="Arial" w:eastAsia="宋体" w:cs="Arial"/>
                <w:sz w:val="21"/>
                <w:szCs w:val="21"/>
              </w:rPr>
            </w:pPr>
            <w:r>
              <w:rPr>
                <w:rFonts w:ascii="Arial" w:hAnsi="Arial" w:eastAsia="宋体" w:cs="Arial"/>
                <w:sz w:val="21"/>
                <w:szCs w:val="21"/>
              </w:rPr>
              <w:t>3</w:t>
            </w:r>
          </w:p>
        </w:tc>
        <w:tc>
          <w:tcPr>
            <w:tcW w:w="3075" w:type="dxa"/>
            <w:vAlign w:val="center"/>
          </w:tcPr>
          <w:p w14:paraId="55E33F0E">
            <w:pPr>
              <w:spacing w:line="240" w:lineRule="exact"/>
              <w:jc w:val="center"/>
              <w:rPr>
                <w:rFonts w:ascii="Arial" w:hAnsi="Arial" w:eastAsia="宋体" w:cs="Arial"/>
                <w:sz w:val="21"/>
                <w:szCs w:val="21"/>
              </w:rPr>
            </w:pPr>
            <w:r>
              <w:rPr>
                <w:rFonts w:ascii="Arial" w:hAnsi="Arial" w:eastAsia="宋体" w:cs="Arial"/>
                <w:sz w:val="21"/>
                <w:szCs w:val="21"/>
              </w:rPr>
              <w:t>地下水环境功能区</w:t>
            </w:r>
          </w:p>
        </w:tc>
        <w:tc>
          <w:tcPr>
            <w:tcW w:w="4694" w:type="dxa"/>
            <w:vAlign w:val="center"/>
          </w:tcPr>
          <w:p w14:paraId="09F6D52E">
            <w:pPr>
              <w:spacing w:line="240" w:lineRule="exact"/>
              <w:jc w:val="center"/>
              <w:rPr>
                <w:rFonts w:ascii="Arial" w:hAnsi="Arial" w:eastAsia="宋体" w:cs="Arial"/>
                <w:sz w:val="21"/>
                <w:szCs w:val="21"/>
              </w:rPr>
            </w:pPr>
            <w:r>
              <w:rPr>
                <w:rFonts w:hint="eastAsia" w:ascii="宋体" w:hAnsi="宋体" w:eastAsia="宋体" w:cs="宋体"/>
                <w:sz w:val="21"/>
                <w:szCs w:val="21"/>
              </w:rPr>
              <w:t>Ⅲ</w:t>
            </w:r>
            <w:r>
              <w:rPr>
                <w:rFonts w:ascii="Arial" w:hAnsi="Arial" w:eastAsia="宋体" w:cs="Arial"/>
                <w:sz w:val="21"/>
                <w:szCs w:val="21"/>
              </w:rPr>
              <w:t>类标准</w:t>
            </w:r>
          </w:p>
        </w:tc>
      </w:tr>
      <w:tr w14:paraId="1C117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52A55A0C">
            <w:pPr>
              <w:spacing w:line="240" w:lineRule="exact"/>
              <w:jc w:val="center"/>
              <w:rPr>
                <w:rFonts w:ascii="Arial" w:hAnsi="Arial" w:eastAsia="宋体" w:cs="Arial"/>
                <w:sz w:val="21"/>
                <w:szCs w:val="21"/>
              </w:rPr>
            </w:pPr>
            <w:r>
              <w:rPr>
                <w:rFonts w:ascii="Arial" w:hAnsi="Arial" w:eastAsia="宋体" w:cs="Arial"/>
                <w:sz w:val="21"/>
                <w:szCs w:val="21"/>
              </w:rPr>
              <w:t>4</w:t>
            </w:r>
          </w:p>
        </w:tc>
        <w:tc>
          <w:tcPr>
            <w:tcW w:w="3075" w:type="dxa"/>
            <w:vAlign w:val="center"/>
          </w:tcPr>
          <w:p w14:paraId="2C7C6F34">
            <w:pPr>
              <w:spacing w:line="240" w:lineRule="exact"/>
              <w:jc w:val="center"/>
              <w:rPr>
                <w:rFonts w:ascii="Arial" w:hAnsi="Arial" w:eastAsia="宋体" w:cs="Arial"/>
                <w:sz w:val="21"/>
                <w:szCs w:val="21"/>
              </w:rPr>
            </w:pPr>
            <w:r>
              <w:rPr>
                <w:rFonts w:ascii="Arial" w:hAnsi="Arial" w:eastAsia="宋体" w:cs="Arial"/>
                <w:sz w:val="21"/>
                <w:szCs w:val="21"/>
              </w:rPr>
              <w:t>声环境功能区</w:t>
            </w:r>
          </w:p>
        </w:tc>
        <w:tc>
          <w:tcPr>
            <w:tcW w:w="4694" w:type="dxa"/>
            <w:vAlign w:val="center"/>
          </w:tcPr>
          <w:p w14:paraId="3CC2E67F">
            <w:pPr>
              <w:spacing w:line="240" w:lineRule="exact"/>
              <w:jc w:val="center"/>
              <w:rPr>
                <w:rFonts w:ascii="Arial" w:hAnsi="Arial" w:eastAsia="宋体" w:cs="Arial"/>
                <w:sz w:val="21"/>
                <w:szCs w:val="21"/>
              </w:rPr>
            </w:pPr>
            <w:r>
              <w:rPr>
                <w:rFonts w:hint="eastAsia" w:ascii="Arial" w:hAnsi="Arial" w:eastAsia="宋体" w:cs="Arial"/>
                <w:sz w:val="21"/>
                <w:szCs w:val="21"/>
              </w:rPr>
              <w:t>2类、</w:t>
            </w:r>
            <w:r>
              <w:rPr>
                <w:rFonts w:ascii="Arial" w:hAnsi="Arial" w:eastAsia="宋体" w:cs="Arial"/>
                <w:sz w:val="21"/>
                <w:szCs w:val="21"/>
              </w:rPr>
              <w:t>3类、4a类功能区</w:t>
            </w:r>
          </w:p>
        </w:tc>
      </w:tr>
      <w:tr w14:paraId="1C028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640FFAD8">
            <w:pPr>
              <w:spacing w:line="240" w:lineRule="exact"/>
              <w:jc w:val="center"/>
              <w:rPr>
                <w:rFonts w:ascii="Arial" w:hAnsi="Arial" w:eastAsia="宋体" w:cs="Arial"/>
                <w:sz w:val="21"/>
                <w:szCs w:val="21"/>
              </w:rPr>
            </w:pPr>
            <w:r>
              <w:rPr>
                <w:rFonts w:ascii="Arial" w:hAnsi="Arial" w:eastAsia="宋体" w:cs="Arial"/>
                <w:sz w:val="21"/>
                <w:szCs w:val="21"/>
              </w:rPr>
              <w:t>5</w:t>
            </w:r>
          </w:p>
        </w:tc>
        <w:tc>
          <w:tcPr>
            <w:tcW w:w="3075" w:type="dxa"/>
            <w:vAlign w:val="center"/>
          </w:tcPr>
          <w:p w14:paraId="54171B9E">
            <w:pPr>
              <w:spacing w:line="240" w:lineRule="exact"/>
              <w:jc w:val="center"/>
              <w:rPr>
                <w:rFonts w:ascii="Arial" w:hAnsi="Arial" w:eastAsia="宋体" w:cs="Arial"/>
                <w:sz w:val="21"/>
                <w:szCs w:val="21"/>
              </w:rPr>
            </w:pPr>
            <w:r>
              <w:rPr>
                <w:rFonts w:ascii="Arial" w:hAnsi="Arial" w:eastAsia="宋体" w:cs="Arial"/>
                <w:sz w:val="21"/>
                <w:szCs w:val="21"/>
              </w:rPr>
              <w:t>是否位于规划的工业园区</w:t>
            </w:r>
          </w:p>
        </w:tc>
        <w:tc>
          <w:tcPr>
            <w:tcW w:w="4694" w:type="dxa"/>
            <w:vAlign w:val="center"/>
          </w:tcPr>
          <w:p w14:paraId="158B4C80">
            <w:pPr>
              <w:spacing w:line="240" w:lineRule="exact"/>
              <w:jc w:val="center"/>
              <w:rPr>
                <w:rFonts w:ascii="Arial" w:hAnsi="Arial" w:eastAsia="宋体" w:cs="Arial"/>
                <w:sz w:val="21"/>
                <w:szCs w:val="21"/>
              </w:rPr>
            </w:pPr>
            <w:r>
              <w:rPr>
                <w:rFonts w:ascii="Arial" w:hAnsi="Arial" w:eastAsia="宋体" w:cs="Arial"/>
                <w:sz w:val="21"/>
                <w:szCs w:val="21"/>
              </w:rPr>
              <w:t>是</w:t>
            </w:r>
          </w:p>
        </w:tc>
      </w:tr>
      <w:tr w14:paraId="79379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27A785FC">
            <w:pPr>
              <w:spacing w:line="240" w:lineRule="exact"/>
              <w:jc w:val="center"/>
              <w:rPr>
                <w:rFonts w:ascii="Arial" w:hAnsi="Arial" w:eastAsia="宋体" w:cs="Arial"/>
                <w:sz w:val="21"/>
                <w:szCs w:val="21"/>
              </w:rPr>
            </w:pPr>
            <w:r>
              <w:rPr>
                <w:rFonts w:ascii="Arial" w:hAnsi="Arial" w:eastAsia="宋体" w:cs="Arial"/>
                <w:sz w:val="21"/>
                <w:szCs w:val="21"/>
              </w:rPr>
              <w:t>6</w:t>
            </w:r>
          </w:p>
        </w:tc>
        <w:tc>
          <w:tcPr>
            <w:tcW w:w="3075" w:type="dxa"/>
            <w:vAlign w:val="center"/>
          </w:tcPr>
          <w:p w14:paraId="60CBD86E">
            <w:pPr>
              <w:spacing w:line="240" w:lineRule="exact"/>
              <w:jc w:val="center"/>
              <w:rPr>
                <w:rFonts w:ascii="Arial" w:hAnsi="Arial" w:eastAsia="宋体" w:cs="Arial"/>
                <w:sz w:val="21"/>
                <w:szCs w:val="21"/>
              </w:rPr>
            </w:pPr>
            <w:r>
              <w:rPr>
                <w:rFonts w:ascii="Arial" w:hAnsi="Arial" w:eastAsia="宋体" w:cs="Arial"/>
                <w:sz w:val="21"/>
                <w:szCs w:val="21"/>
              </w:rPr>
              <w:t>是否涉及自然保护区</w:t>
            </w:r>
          </w:p>
        </w:tc>
        <w:tc>
          <w:tcPr>
            <w:tcW w:w="4694" w:type="dxa"/>
            <w:vAlign w:val="center"/>
          </w:tcPr>
          <w:p w14:paraId="073AE388">
            <w:pPr>
              <w:spacing w:line="240" w:lineRule="exact"/>
              <w:jc w:val="center"/>
              <w:rPr>
                <w:rFonts w:ascii="Arial" w:hAnsi="Arial" w:eastAsia="宋体" w:cs="Arial"/>
                <w:sz w:val="21"/>
                <w:szCs w:val="21"/>
              </w:rPr>
            </w:pPr>
            <w:r>
              <w:rPr>
                <w:rFonts w:ascii="Arial" w:hAnsi="Arial" w:eastAsia="宋体" w:cs="Arial"/>
                <w:sz w:val="21"/>
                <w:szCs w:val="21"/>
              </w:rPr>
              <w:t>否</w:t>
            </w:r>
          </w:p>
        </w:tc>
      </w:tr>
      <w:tr w14:paraId="1E633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65A7701F">
            <w:pPr>
              <w:spacing w:line="240" w:lineRule="exact"/>
              <w:jc w:val="center"/>
              <w:rPr>
                <w:rFonts w:ascii="Arial" w:hAnsi="Arial" w:eastAsia="宋体" w:cs="Arial"/>
                <w:sz w:val="21"/>
                <w:szCs w:val="21"/>
              </w:rPr>
            </w:pPr>
            <w:r>
              <w:rPr>
                <w:rFonts w:ascii="Arial" w:hAnsi="Arial" w:eastAsia="宋体" w:cs="Arial"/>
                <w:sz w:val="21"/>
                <w:szCs w:val="21"/>
              </w:rPr>
              <w:t>7</w:t>
            </w:r>
          </w:p>
        </w:tc>
        <w:tc>
          <w:tcPr>
            <w:tcW w:w="3075" w:type="dxa"/>
            <w:vAlign w:val="center"/>
          </w:tcPr>
          <w:p w14:paraId="6385437B">
            <w:pPr>
              <w:spacing w:line="240" w:lineRule="exact"/>
              <w:jc w:val="center"/>
              <w:rPr>
                <w:rFonts w:ascii="Arial" w:hAnsi="Arial" w:eastAsia="宋体" w:cs="Arial"/>
                <w:sz w:val="21"/>
                <w:szCs w:val="21"/>
              </w:rPr>
            </w:pPr>
            <w:r>
              <w:rPr>
                <w:rFonts w:ascii="Arial" w:hAnsi="Arial" w:eastAsia="宋体" w:cs="Arial"/>
                <w:sz w:val="21"/>
                <w:szCs w:val="21"/>
              </w:rPr>
              <w:t>是否涉及水源保护区</w:t>
            </w:r>
          </w:p>
        </w:tc>
        <w:tc>
          <w:tcPr>
            <w:tcW w:w="4694" w:type="dxa"/>
            <w:vAlign w:val="center"/>
          </w:tcPr>
          <w:p w14:paraId="0A7AA6F2">
            <w:pPr>
              <w:spacing w:line="240" w:lineRule="exact"/>
              <w:jc w:val="center"/>
              <w:rPr>
                <w:rFonts w:ascii="Arial" w:hAnsi="Arial" w:eastAsia="宋体" w:cs="Arial"/>
                <w:sz w:val="21"/>
                <w:szCs w:val="21"/>
              </w:rPr>
            </w:pPr>
            <w:r>
              <w:rPr>
                <w:rFonts w:ascii="Arial" w:hAnsi="Arial" w:eastAsia="宋体" w:cs="Arial"/>
                <w:sz w:val="21"/>
                <w:szCs w:val="21"/>
              </w:rPr>
              <w:t>否</w:t>
            </w:r>
          </w:p>
        </w:tc>
      </w:tr>
      <w:tr w14:paraId="10A7E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6016AE42">
            <w:pPr>
              <w:spacing w:line="240" w:lineRule="exact"/>
              <w:jc w:val="center"/>
              <w:rPr>
                <w:rFonts w:ascii="Arial" w:hAnsi="Arial" w:eastAsia="宋体" w:cs="Arial"/>
                <w:sz w:val="21"/>
                <w:szCs w:val="21"/>
              </w:rPr>
            </w:pPr>
            <w:r>
              <w:rPr>
                <w:rFonts w:ascii="Arial" w:hAnsi="Arial" w:eastAsia="宋体" w:cs="Arial"/>
                <w:sz w:val="21"/>
                <w:szCs w:val="21"/>
              </w:rPr>
              <w:t>8</w:t>
            </w:r>
          </w:p>
        </w:tc>
        <w:tc>
          <w:tcPr>
            <w:tcW w:w="3075" w:type="dxa"/>
            <w:vAlign w:val="center"/>
          </w:tcPr>
          <w:p w14:paraId="61280D4A">
            <w:pPr>
              <w:spacing w:line="240" w:lineRule="exact"/>
              <w:jc w:val="center"/>
              <w:rPr>
                <w:rFonts w:ascii="Arial" w:hAnsi="Arial" w:eastAsia="宋体" w:cs="Arial"/>
                <w:sz w:val="21"/>
                <w:szCs w:val="21"/>
              </w:rPr>
            </w:pPr>
            <w:r>
              <w:rPr>
                <w:rFonts w:ascii="Arial" w:hAnsi="Arial" w:eastAsia="宋体" w:cs="Arial"/>
                <w:sz w:val="21"/>
                <w:szCs w:val="21"/>
              </w:rPr>
              <w:t>是否涉及基本农田保护区</w:t>
            </w:r>
          </w:p>
        </w:tc>
        <w:tc>
          <w:tcPr>
            <w:tcW w:w="4694" w:type="dxa"/>
            <w:vAlign w:val="center"/>
          </w:tcPr>
          <w:p w14:paraId="5892BEA0">
            <w:pPr>
              <w:spacing w:line="240" w:lineRule="exact"/>
              <w:jc w:val="center"/>
              <w:rPr>
                <w:rFonts w:ascii="Arial" w:hAnsi="Arial" w:eastAsia="宋体" w:cs="Arial"/>
                <w:sz w:val="21"/>
                <w:szCs w:val="21"/>
              </w:rPr>
            </w:pPr>
            <w:r>
              <w:rPr>
                <w:rFonts w:ascii="Arial" w:hAnsi="Arial" w:eastAsia="宋体" w:cs="Arial"/>
                <w:sz w:val="21"/>
                <w:szCs w:val="21"/>
              </w:rPr>
              <w:t>否</w:t>
            </w:r>
          </w:p>
        </w:tc>
      </w:tr>
      <w:tr w14:paraId="4DF7D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150DCBA0">
            <w:pPr>
              <w:spacing w:line="240" w:lineRule="exact"/>
              <w:jc w:val="center"/>
              <w:rPr>
                <w:rFonts w:ascii="Arial" w:hAnsi="Arial" w:eastAsia="宋体" w:cs="Arial"/>
                <w:sz w:val="21"/>
                <w:szCs w:val="21"/>
              </w:rPr>
            </w:pPr>
            <w:r>
              <w:rPr>
                <w:rFonts w:ascii="Arial" w:hAnsi="Arial" w:eastAsia="宋体" w:cs="Arial"/>
                <w:sz w:val="21"/>
                <w:szCs w:val="21"/>
              </w:rPr>
              <w:t>9</w:t>
            </w:r>
          </w:p>
        </w:tc>
        <w:tc>
          <w:tcPr>
            <w:tcW w:w="3075" w:type="dxa"/>
            <w:vAlign w:val="center"/>
          </w:tcPr>
          <w:p w14:paraId="4D497CC9">
            <w:pPr>
              <w:spacing w:line="240" w:lineRule="exact"/>
              <w:jc w:val="center"/>
              <w:rPr>
                <w:rFonts w:ascii="Arial" w:hAnsi="Arial" w:eastAsia="宋体" w:cs="Arial"/>
                <w:sz w:val="21"/>
                <w:szCs w:val="21"/>
              </w:rPr>
            </w:pPr>
            <w:r>
              <w:rPr>
                <w:rFonts w:ascii="Arial" w:hAnsi="Arial" w:eastAsia="宋体" w:cs="Arial"/>
                <w:sz w:val="21"/>
                <w:szCs w:val="21"/>
              </w:rPr>
              <w:t>是否涉及风景名胜区</w:t>
            </w:r>
          </w:p>
        </w:tc>
        <w:tc>
          <w:tcPr>
            <w:tcW w:w="4694" w:type="dxa"/>
            <w:vAlign w:val="center"/>
          </w:tcPr>
          <w:p w14:paraId="174505B0">
            <w:pPr>
              <w:spacing w:line="240" w:lineRule="exact"/>
              <w:jc w:val="center"/>
              <w:rPr>
                <w:rFonts w:ascii="Arial" w:hAnsi="Arial" w:eastAsia="宋体" w:cs="Arial"/>
                <w:sz w:val="21"/>
                <w:szCs w:val="21"/>
              </w:rPr>
            </w:pPr>
            <w:r>
              <w:rPr>
                <w:rFonts w:ascii="Arial" w:hAnsi="Arial" w:eastAsia="宋体" w:cs="Arial"/>
                <w:sz w:val="21"/>
                <w:szCs w:val="21"/>
              </w:rPr>
              <w:t>否</w:t>
            </w:r>
          </w:p>
        </w:tc>
      </w:tr>
      <w:tr w14:paraId="5DBFE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38C65668">
            <w:pPr>
              <w:spacing w:line="240" w:lineRule="exact"/>
              <w:jc w:val="center"/>
              <w:rPr>
                <w:rFonts w:ascii="Arial" w:hAnsi="Arial" w:eastAsia="宋体" w:cs="Arial"/>
                <w:sz w:val="21"/>
                <w:szCs w:val="21"/>
              </w:rPr>
            </w:pPr>
            <w:r>
              <w:rPr>
                <w:rFonts w:ascii="Arial" w:hAnsi="Arial" w:eastAsia="宋体" w:cs="Arial"/>
                <w:sz w:val="21"/>
                <w:szCs w:val="21"/>
              </w:rPr>
              <w:t>10</w:t>
            </w:r>
          </w:p>
        </w:tc>
        <w:tc>
          <w:tcPr>
            <w:tcW w:w="3075" w:type="dxa"/>
            <w:vAlign w:val="center"/>
          </w:tcPr>
          <w:p w14:paraId="2BEDA621">
            <w:pPr>
              <w:spacing w:line="240" w:lineRule="exact"/>
              <w:jc w:val="center"/>
              <w:rPr>
                <w:rFonts w:ascii="Arial" w:hAnsi="Arial" w:eastAsia="宋体" w:cs="Arial"/>
                <w:sz w:val="21"/>
                <w:szCs w:val="21"/>
              </w:rPr>
            </w:pPr>
            <w:r>
              <w:rPr>
                <w:rFonts w:ascii="Arial" w:hAnsi="Arial" w:eastAsia="宋体" w:cs="Arial"/>
                <w:sz w:val="21"/>
                <w:szCs w:val="21"/>
              </w:rPr>
              <w:t>是否涉及重点文物保护单位</w:t>
            </w:r>
          </w:p>
        </w:tc>
        <w:tc>
          <w:tcPr>
            <w:tcW w:w="4694" w:type="dxa"/>
            <w:vAlign w:val="center"/>
          </w:tcPr>
          <w:p w14:paraId="570B0B5D">
            <w:pPr>
              <w:spacing w:line="240" w:lineRule="exact"/>
              <w:jc w:val="center"/>
              <w:rPr>
                <w:rFonts w:ascii="Arial" w:hAnsi="Arial" w:eastAsia="宋体" w:cs="Arial"/>
                <w:sz w:val="21"/>
                <w:szCs w:val="21"/>
              </w:rPr>
            </w:pPr>
            <w:r>
              <w:rPr>
                <w:rFonts w:ascii="Arial" w:hAnsi="Arial" w:eastAsia="宋体" w:cs="Arial"/>
                <w:sz w:val="21"/>
                <w:szCs w:val="21"/>
              </w:rPr>
              <w:t>否</w:t>
            </w:r>
          </w:p>
        </w:tc>
      </w:tr>
      <w:tr w14:paraId="669A1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25B3836E">
            <w:pPr>
              <w:spacing w:line="240" w:lineRule="exact"/>
              <w:jc w:val="center"/>
              <w:rPr>
                <w:rFonts w:ascii="Arial" w:hAnsi="Arial" w:eastAsia="宋体" w:cs="Arial"/>
                <w:sz w:val="21"/>
                <w:szCs w:val="21"/>
              </w:rPr>
            </w:pPr>
            <w:r>
              <w:rPr>
                <w:rFonts w:ascii="Arial" w:hAnsi="Arial" w:eastAsia="宋体" w:cs="Arial"/>
                <w:sz w:val="21"/>
                <w:szCs w:val="21"/>
              </w:rPr>
              <w:t>11</w:t>
            </w:r>
          </w:p>
        </w:tc>
        <w:tc>
          <w:tcPr>
            <w:tcW w:w="3075" w:type="dxa"/>
            <w:vAlign w:val="center"/>
          </w:tcPr>
          <w:p w14:paraId="72C5E59B">
            <w:pPr>
              <w:spacing w:line="240" w:lineRule="exact"/>
              <w:jc w:val="center"/>
              <w:rPr>
                <w:rFonts w:ascii="Arial" w:hAnsi="Arial" w:eastAsia="宋体" w:cs="Arial"/>
                <w:sz w:val="21"/>
                <w:szCs w:val="21"/>
              </w:rPr>
            </w:pPr>
            <w:r>
              <w:rPr>
                <w:rFonts w:ascii="Arial" w:hAnsi="Arial" w:eastAsia="宋体" w:cs="Arial"/>
                <w:sz w:val="21"/>
                <w:szCs w:val="21"/>
              </w:rPr>
              <w:t>是否为水库库区</w:t>
            </w:r>
          </w:p>
        </w:tc>
        <w:tc>
          <w:tcPr>
            <w:tcW w:w="4694" w:type="dxa"/>
            <w:vAlign w:val="center"/>
          </w:tcPr>
          <w:p w14:paraId="2D065290">
            <w:pPr>
              <w:spacing w:line="240" w:lineRule="exact"/>
              <w:jc w:val="center"/>
              <w:rPr>
                <w:rFonts w:ascii="Arial" w:hAnsi="Arial" w:eastAsia="宋体" w:cs="Arial"/>
                <w:sz w:val="21"/>
                <w:szCs w:val="21"/>
              </w:rPr>
            </w:pPr>
            <w:r>
              <w:rPr>
                <w:rFonts w:ascii="Arial" w:hAnsi="Arial" w:eastAsia="宋体" w:cs="Arial"/>
                <w:sz w:val="21"/>
                <w:szCs w:val="21"/>
              </w:rPr>
              <w:t>否</w:t>
            </w:r>
          </w:p>
        </w:tc>
      </w:tr>
      <w:tr w14:paraId="79885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4169AFE1">
            <w:pPr>
              <w:spacing w:line="240" w:lineRule="exact"/>
              <w:jc w:val="center"/>
              <w:rPr>
                <w:rFonts w:ascii="Arial" w:hAnsi="Arial" w:eastAsia="宋体" w:cs="Arial"/>
                <w:sz w:val="21"/>
                <w:szCs w:val="21"/>
              </w:rPr>
            </w:pPr>
            <w:r>
              <w:rPr>
                <w:rFonts w:ascii="Arial" w:hAnsi="Arial" w:eastAsia="宋体" w:cs="Arial"/>
                <w:sz w:val="21"/>
                <w:szCs w:val="21"/>
              </w:rPr>
              <w:t>12</w:t>
            </w:r>
          </w:p>
        </w:tc>
        <w:tc>
          <w:tcPr>
            <w:tcW w:w="3075" w:type="dxa"/>
            <w:vAlign w:val="center"/>
          </w:tcPr>
          <w:p w14:paraId="0E8D2D6C">
            <w:pPr>
              <w:spacing w:line="240" w:lineRule="exact"/>
              <w:jc w:val="center"/>
              <w:rPr>
                <w:rFonts w:ascii="Arial" w:hAnsi="Arial" w:eastAsia="宋体" w:cs="Arial"/>
                <w:sz w:val="21"/>
                <w:szCs w:val="21"/>
              </w:rPr>
            </w:pPr>
            <w:r>
              <w:rPr>
                <w:rFonts w:ascii="Arial" w:hAnsi="Arial" w:eastAsia="宋体" w:cs="Arial"/>
                <w:sz w:val="21"/>
                <w:szCs w:val="21"/>
              </w:rPr>
              <w:t>是否污水处理厂集水范围</w:t>
            </w:r>
          </w:p>
        </w:tc>
        <w:tc>
          <w:tcPr>
            <w:tcW w:w="4694" w:type="dxa"/>
            <w:vAlign w:val="center"/>
          </w:tcPr>
          <w:p w14:paraId="5914442D">
            <w:pPr>
              <w:spacing w:line="240" w:lineRule="exact"/>
              <w:jc w:val="center"/>
              <w:rPr>
                <w:rFonts w:ascii="Arial" w:hAnsi="Arial" w:eastAsia="宋体" w:cs="Arial"/>
                <w:sz w:val="21"/>
                <w:szCs w:val="21"/>
              </w:rPr>
            </w:pPr>
            <w:r>
              <w:rPr>
                <w:rFonts w:ascii="Arial" w:hAnsi="Arial" w:eastAsia="宋体" w:cs="Arial"/>
                <w:sz w:val="21"/>
                <w:szCs w:val="21"/>
              </w:rPr>
              <w:t>是</w:t>
            </w:r>
          </w:p>
        </w:tc>
      </w:tr>
      <w:tr w14:paraId="4E582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53" w:type="dxa"/>
            <w:vAlign w:val="center"/>
          </w:tcPr>
          <w:p w14:paraId="7EAB8A6A">
            <w:pPr>
              <w:spacing w:line="240" w:lineRule="exact"/>
              <w:jc w:val="center"/>
              <w:rPr>
                <w:rFonts w:ascii="Arial" w:hAnsi="Arial" w:eastAsia="宋体" w:cs="Arial"/>
                <w:sz w:val="21"/>
                <w:szCs w:val="21"/>
              </w:rPr>
            </w:pPr>
            <w:r>
              <w:rPr>
                <w:rFonts w:ascii="Arial" w:hAnsi="Arial" w:eastAsia="宋体" w:cs="Arial"/>
                <w:sz w:val="21"/>
                <w:szCs w:val="21"/>
              </w:rPr>
              <w:t>13</w:t>
            </w:r>
          </w:p>
        </w:tc>
        <w:tc>
          <w:tcPr>
            <w:tcW w:w="3075" w:type="dxa"/>
            <w:vAlign w:val="center"/>
          </w:tcPr>
          <w:p w14:paraId="15E9FD38">
            <w:pPr>
              <w:spacing w:line="240" w:lineRule="exact"/>
              <w:jc w:val="center"/>
              <w:rPr>
                <w:rFonts w:ascii="Arial" w:hAnsi="Arial" w:eastAsia="宋体" w:cs="Arial"/>
                <w:sz w:val="21"/>
                <w:szCs w:val="21"/>
              </w:rPr>
            </w:pPr>
            <w:r>
              <w:rPr>
                <w:rFonts w:hint="eastAsia" w:ascii="Arial" w:hAnsi="Arial" w:eastAsia="宋体" w:cs="Arial"/>
                <w:sz w:val="21"/>
                <w:szCs w:val="21"/>
                <w:lang w:eastAsia="zh-CN"/>
              </w:rPr>
              <w:t>是否有其他</w:t>
            </w:r>
            <w:r>
              <w:rPr>
                <w:rFonts w:ascii="Arial" w:hAnsi="Arial" w:eastAsia="宋体" w:cs="Arial"/>
                <w:sz w:val="21"/>
                <w:szCs w:val="21"/>
              </w:rPr>
              <w:t>重点保护目标</w:t>
            </w:r>
          </w:p>
        </w:tc>
        <w:tc>
          <w:tcPr>
            <w:tcW w:w="4694" w:type="dxa"/>
            <w:vAlign w:val="center"/>
          </w:tcPr>
          <w:p w14:paraId="4CA418CC">
            <w:pPr>
              <w:spacing w:line="240" w:lineRule="exact"/>
              <w:jc w:val="center"/>
              <w:rPr>
                <w:rFonts w:ascii="Arial" w:hAnsi="Arial" w:eastAsia="宋体" w:cs="Arial"/>
                <w:sz w:val="21"/>
                <w:szCs w:val="21"/>
              </w:rPr>
            </w:pPr>
            <w:r>
              <w:rPr>
                <w:rFonts w:ascii="Arial" w:hAnsi="Arial" w:eastAsia="宋体" w:cs="Arial"/>
                <w:sz w:val="21"/>
                <w:szCs w:val="21"/>
              </w:rPr>
              <w:t>否</w:t>
            </w:r>
          </w:p>
        </w:tc>
      </w:tr>
    </w:tbl>
    <w:p w14:paraId="25E698C5">
      <w:pPr>
        <w:keepNext/>
        <w:keepLines/>
        <w:numPr>
          <w:ilvl w:val="0"/>
          <w:numId w:val="4"/>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评价标准</w:t>
      </w:r>
    </w:p>
    <w:p w14:paraId="1A7F9097">
      <w:pPr>
        <w:numPr>
          <w:ilvl w:val="0"/>
          <w:numId w:val="6"/>
        </w:numPr>
        <w:spacing w:line="500" w:lineRule="exact"/>
        <w:outlineLvl w:val="3"/>
        <w:rPr>
          <w:rFonts w:ascii="Arial" w:hAnsi="Arial" w:eastAsia="宋体" w:cs="Arial"/>
          <w:b/>
          <w:spacing w:val="10"/>
          <w:sz w:val="24"/>
          <w:szCs w:val="24"/>
        </w:rPr>
      </w:pPr>
      <w:r>
        <w:rPr>
          <w:rFonts w:ascii="Arial" w:hAnsi="Arial" w:eastAsia="宋体" w:cs="Arial"/>
          <w:b/>
          <w:spacing w:val="10"/>
          <w:sz w:val="24"/>
          <w:szCs w:val="24"/>
        </w:rPr>
        <w:t>环境质量标准</w:t>
      </w:r>
    </w:p>
    <w:p w14:paraId="2ADAAE39">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根据&amp;1.2.3环境功能区划，确定项目评价区域环境质量标准如下：</w:t>
      </w:r>
    </w:p>
    <w:p w14:paraId="225A917B">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1、环境空气</w:t>
      </w:r>
    </w:p>
    <w:p w14:paraId="078BEE2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项目所在地环境空气中的基本污染物</w:t>
      </w:r>
      <w:r>
        <w:rPr>
          <w:rFonts w:hint="eastAsia" w:ascii="Arial" w:hAnsi="Arial" w:eastAsia="宋体" w:cs="Arial"/>
          <w:spacing w:val="10"/>
          <w:sz w:val="24"/>
          <w:szCs w:val="24"/>
        </w:rPr>
        <w:t>、TSP</w:t>
      </w:r>
      <w:r>
        <w:rPr>
          <w:rFonts w:ascii="Arial" w:hAnsi="Arial" w:eastAsia="宋体" w:cs="Arial"/>
          <w:spacing w:val="10"/>
          <w:sz w:val="24"/>
          <w:szCs w:val="24"/>
        </w:rPr>
        <w:t>执行《环境空气质量标准》（GB3095-2012）及其修改单中的二级标准；氨执行《环境影响评价技术导则 大气环境》（HJ2.2-2018）附录D中其他污染物空气质量浓度参考限值。具体见表1-6。</w:t>
      </w:r>
      <w:r>
        <w:rPr>
          <w:rFonts w:hint="eastAsia" w:ascii="Arial" w:hAnsi="Arial" w:eastAsia="宋体" w:cs="Arial"/>
          <w:spacing w:val="10"/>
          <w:sz w:val="24"/>
          <w:szCs w:val="24"/>
        </w:rPr>
        <w:t>目前，钴</w:t>
      </w:r>
      <w:r>
        <w:rPr>
          <w:rFonts w:ascii="Arial" w:hAnsi="Arial" w:eastAsia="宋体" w:cs="Arial"/>
          <w:spacing w:val="10"/>
          <w:sz w:val="24"/>
          <w:szCs w:val="24"/>
        </w:rPr>
        <w:t>及其化合物尚</w:t>
      </w:r>
      <w:r>
        <w:rPr>
          <w:rFonts w:hint="eastAsia" w:ascii="Arial" w:hAnsi="Arial" w:eastAsia="宋体" w:cs="Arial"/>
          <w:spacing w:val="10"/>
          <w:sz w:val="24"/>
          <w:szCs w:val="24"/>
        </w:rPr>
        <w:t>无相应的国家及地方环境质量标准。</w:t>
      </w:r>
    </w:p>
    <w:p w14:paraId="1E3D3407">
      <w:pPr>
        <w:keepNext/>
        <w:keepLines/>
        <w:numPr>
          <w:ilvl w:val="0"/>
          <w:numId w:val="5"/>
        </w:numPr>
        <w:spacing w:line="500" w:lineRule="exact"/>
        <w:jc w:val="center"/>
        <w:outlineLvl w:val="4"/>
        <w:rPr>
          <w:rFonts w:ascii="Arial" w:hAnsi="Arial" w:eastAsia="宋体" w:cs="Arial"/>
          <w:b/>
          <w:sz w:val="24"/>
          <w:szCs w:val="24"/>
        </w:rPr>
      </w:pPr>
      <w:r>
        <w:rPr>
          <w:rFonts w:ascii="Arial" w:hAnsi="Arial" w:eastAsia="宋体" w:cs="Arial"/>
          <w:b/>
          <w:sz w:val="24"/>
        </w:rPr>
        <w:t>环境空气质量标准    单位：μg/m</w:t>
      </w:r>
      <w:r>
        <w:rPr>
          <w:rFonts w:ascii="Arial" w:hAnsi="Arial" w:eastAsia="宋体" w:cs="Arial"/>
          <w:b/>
          <w:sz w:val="24"/>
          <w:vertAlign w:val="superscript"/>
        </w:rPr>
        <w:t>3</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2349"/>
        <w:gridCol w:w="1869"/>
        <w:gridCol w:w="3072"/>
      </w:tblGrid>
      <w:tr w14:paraId="58A75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47" w:type="pct"/>
            <w:tcBorders>
              <w:top w:val="single" w:color="auto" w:sz="4" w:space="0"/>
              <w:left w:val="single" w:color="auto" w:sz="4" w:space="0"/>
              <w:bottom w:val="single" w:color="auto" w:sz="4" w:space="0"/>
              <w:right w:val="single" w:color="auto" w:sz="4" w:space="0"/>
            </w:tcBorders>
            <w:vAlign w:val="center"/>
          </w:tcPr>
          <w:p w14:paraId="2D01B7CD">
            <w:pPr>
              <w:adjustRightInd w:val="0"/>
              <w:snapToGrid w:val="0"/>
              <w:jc w:val="center"/>
              <w:rPr>
                <w:rFonts w:ascii="Arial" w:hAnsi="Arial" w:eastAsia="宋体" w:cs="Arial"/>
                <w:sz w:val="21"/>
                <w:szCs w:val="21"/>
              </w:rPr>
            </w:pPr>
            <w:r>
              <w:rPr>
                <w:rFonts w:ascii="Arial" w:hAnsi="Arial" w:eastAsia="宋体" w:cs="Arial"/>
                <w:sz w:val="21"/>
                <w:szCs w:val="21"/>
              </w:rPr>
              <w:t>污染物名称</w:t>
            </w:r>
          </w:p>
        </w:tc>
        <w:tc>
          <w:tcPr>
            <w:tcW w:w="1306" w:type="pct"/>
            <w:tcBorders>
              <w:top w:val="single" w:color="auto" w:sz="4" w:space="0"/>
              <w:left w:val="single" w:color="auto" w:sz="4" w:space="0"/>
              <w:bottom w:val="single" w:color="auto" w:sz="4" w:space="0"/>
              <w:right w:val="single" w:color="auto" w:sz="4" w:space="0"/>
            </w:tcBorders>
            <w:vAlign w:val="center"/>
          </w:tcPr>
          <w:p w14:paraId="35F50359">
            <w:pPr>
              <w:adjustRightInd w:val="0"/>
              <w:snapToGrid w:val="0"/>
              <w:jc w:val="center"/>
              <w:rPr>
                <w:rFonts w:ascii="Arial" w:hAnsi="Arial" w:eastAsia="宋体" w:cs="Arial"/>
                <w:sz w:val="21"/>
                <w:szCs w:val="21"/>
              </w:rPr>
            </w:pPr>
            <w:r>
              <w:rPr>
                <w:rFonts w:ascii="Arial" w:hAnsi="Arial" w:eastAsia="宋体" w:cs="Arial"/>
                <w:sz w:val="21"/>
                <w:szCs w:val="21"/>
              </w:rPr>
              <w:t>平均时间</w:t>
            </w:r>
          </w:p>
        </w:tc>
        <w:tc>
          <w:tcPr>
            <w:tcW w:w="1039" w:type="pct"/>
            <w:tcBorders>
              <w:top w:val="single" w:color="auto" w:sz="4" w:space="0"/>
              <w:left w:val="single" w:color="auto" w:sz="4" w:space="0"/>
              <w:bottom w:val="single" w:color="auto" w:sz="4" w:space="0"/>
              <w:right w:val="single" w:color="auto" w:sz="4" w:space="0"/>
            </w:tcBorders>
            <w:vAlign w:val="center"/>
          </w:tcPr>
          <w:p w14:paraId="138E38F0">
            <w:pPr>
              <w:adjustRightInd w:val="0"/>
              <w:snapToGrid w:val="0"/>
              <w:jc w:val="center"/>
              <w:rPr>
                <w:rFonts w:ascii="Arial" w:hAnsi="Arial" w:eastAsia="宋体" w:cs="Arial"/>
                <w:sz w:val="21"/>
                <w:szCs w:val="21"/>
              </w:rPr>
            </w:pPr>
            <w:r>
              <w:rPr>
                <w:rFonts w:ascii="Arial" w:hAnsi="Arial" w:eastAsia="宋体" w:cs="Arial"/>
                <w:sz w:val="21"/>
                <w:szCs w:val="21"/>
              </w:rPr>
              <w:t>浓度限值</w:t>
            </w:r>
          </w:p>
        </w:tc>
        <w:tc>
          <w:tcPr>
            <w:tcW w:w="1708" w:type="pct"/>
            <w:tcBorders>
              <w:top w:val="single" w:color="auto" w:sz="4" w:space="0"/>
              <w:left w:val="single" w:color="auto" w:sz="4" w:space="0"/>
              <w:bottom w:val="single" w:color="auto" w:sz="4" w:space="0"/>
              <w:right w:val="single" w:color="auto" w:sz="4" w:space="0"/>
            </w:tcBorders>
            <w:vAlign w:val="center"/>
          </w:tcPr>
          <w:p w14:paraId="522B0D3A">
            <w:pPr>
              <w:adjustRightInd w:val="0"/>
              <w:snapToGrid w:val="0"/>
              <w:jc w:val="center"/>
              <w:rPr>
                <w:rFonts w:ascii="Arial" w:hAnsi="Arial" w:eastAsia="宋体" w:cs="Arial"/>
                <w:sz w:val="21"/>
                <w:szCs w:val="21"/>
              </w:rPr>
            </w:pPr>
            <w:r>
              <w:rPr>
                <w:rFonts w:ascii="Arial" w:hAnsi="Arial" w:eastAsia="宋体" w:cs="Arial"/>
                <w:sz w:val="21"/>
                <w:szCs w:val="21"/>
              </w:rPr>
              <w:t>标准来源</w:t>
            </w:r>
          </w:p>
        </w:tc>
      </w:tr>
      <w:tr w14:paraId="48F04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pct"/>
            <w:vMerge w:val="restart"/>
            <w:tcBorders>
              <w:top w:val="single" w:color="auto" w:sz="4" w:space="0"/>
              <w:left w:val="single" w:color="auto" w:sz="4" w:space="0"/>
              <w:bottom w:val="single" w:color="auto" w:sz="4" w:space="0"/>
              <w:right w:val="single" w:color="auto" w:sz="4" w:space="0"/>
            </w:tcBorders>
            <w:vAlign w:val="center"/>
          </w:tcPr>
          <w:p w14:paraId="262F78F0">
            <w:pPr>
              <w:widowControl/>
              <w:adjustRightInd w:val="0"/>
              <w:snapToGrid w:val="0"/>
              <w:jc w:val="center"/>
              <w:rPr>
                <w:rFonts w:ascii="Arial" w:hAnsi="Arial" w:eastAsia="宋体" w:cs="Arial"/>
                <w:kern w:val="0"/>
                <w:sz w:val="21"/>
                <w:szCs w:val="21"/>
                <w:vertAlign w:val="subscript"/>
              </w:rPr>
            </w:pPr>
            <w:r>
              <w:rPr>
                <w:rFonts w:ascii="Arial" w:hAnsi="Arial" w:eastAsia="宋体" w:cs="Arial"/>
                <w:kern w:val="0"/>
                <w:sz w:val="21"/>
                <w:szCs w:val="21"/>
              </w:rPr>
              <w:t>SO</w:t>
            </w:r>
            <w:r>
              <w:rPr>
                <w:rFonts w:ascii="Arial" w:hAnsi="Arial" w:eastAsia="宋体" w:cs="Arial"/>
                <w:kern w:val="0"/>
                <w:sz w:val="21"/>
                <w:szCs w:val="21"/>
                <w:vertAlign w:val="subscript"/>
              </w:rPr>
              <w:t>2</w:t>
            </w:r>
          </w:p>
        </w:tc>
        <w:tc>
          <w:tcPr>
            <w:tcW w:w="1306" w:type="pct"/>
            <w:tcBorders>
              <w:top w:val="single" w:color="auto" w:sz="4" w:space="0"/>
              <w:left w:val="single" w:color="auto" w:sz="4" w:space="0"/>
              <w:bottom w:val="single" w:color="auto" w:sz="4" w:space="0"/>
              <w:right w:val="single" w:color="auto" w:sz="4" w:space="0"/>
            </w:tcBorders>
            <w:vAlign w:val="center"/>
          </w:tcPr>
          <w:p w14:paraId="063F4584">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年平均</w:t>
            </w:r>
          </w:p>
        </w:tc>
        <w:tc>
          <w:tcPr>
            <w:tcW w:w="1039" w:type="pct"/>
            <w:tcBorders>
              <w:top w:val="single" w:color="auto" w:sz="4" w:space="0"/>
              <w:left w:val="single" w:color="auto" w:sz="4" w:space="0"/>
              <w:bottom w:val="single" w:color="auto" w:sz="4" w:space="0"/>
              <w:right w:val="single" w:color="auto" w:sz="4" w:space="0"/>
            </w:tcBorders>
            <w:vAlign w:val="center"/>
          </w:tcPr>
          <w:p w14:paraId="445A8084">
            <w:pPr>
              <w:adjustRightInd w:val="0"/>
              <w:snapToGrid w:val="0"/>
              <w:jc w:val="center"/>
              <w:rPr>
                <w:rFonts w:ascii="Arial" w:hAnsi="Arial" w:eastAsia="宋体" w:cs="Arial"/>
                <w:kern w:val="0"/>
                <w:sz w:val="21"/>
                <w:szCs w:val="21"/>
              </w:rPr>
            </w:pPr>
            <w:r>
              <w:rPr>
                <w:rFonts w:ascii="Arial" w:hAnsi="Arial" w:eastAsia="宋体" w:cs="Arial"/>
                <w:kern w:val="0"/>
                <w:sz w:val="21"/>
                <w:szCs w:val="21"/>
              </w:rPr>
              <w:t>60</w:t>
            </w:r>
          </w:p>
        </w:tc>
        <w:tc>
          <w:tcPr>
            <w:tcW w:w="1708" w:type="pct"/>
            <w:vMerge w:val="restart"/>
            <w:tcBorders>
              <w:top w:val="single" w:color="auto" w:sz="4" w:space="0"/>
              <w:left w:val="single" w:color="auto" w:sz="4" w:space="0"/>
              <w:right w:val="single" w:color="auto" w:sz="4" w:space="0"/>
            </w:tcBorders>
            <w:vAlign w:val="center"/>
          </w:tcPr>
          <w:p w14:paraId="5F011E32">
            <w:pPr>
              <w:widowControl/>
              <w:adjustRightInd w:val="0"/>
              <w:snapToGrid w:val="0"/>
              <w:jc w:val="center"/>
              <w:rPr>
                <w:rFonts w:ascii="Arial" w:hAnsi="Arial" w:eastAsia="宋体" w:cs="Arial"/>
                <w:spacing w:val="10"/>
                <w:kern w:val="0"/>
                <w:sz w:val="21"/>
                <w:szCs w:val="21"/>
              </w:rPr>
            </w:pPr>
            <w:r>
              <w:rPr>
                <w:rFonts w:ascii="Arial" w:hAnsi="Arial" w:eastAsia="宋体" w:cs="Arial"/>
                <w:spacing w:val="10"/>
                <w:kern w:val="0"/>
                <w:sz w:val="21"/>
                <w:szCs w:val="21"/>
              </w:rPr>
              <w:t>《环境空气质量标准》（GB3095-2012）</w:t>
            </w:r>
          </w:p>
        </w:tc>
      </w:tr>
      <w:tr w14:paraId="1CF73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43EC1982">
            <w:pPr>
              <w:widowControl/>
              <w:jc w:val="left"/>
              <w:rPr>
                <w:rFonts w:ascii="Arial" w:hAnsi="Arial" w:eastAsia="宋体" w:cs="Arial"/>
                <w:kern w:val="0"/>
                <w:sz w:val="21"/>
                <w:szCs w:val="21"/>
                <w:vertAlign w:val="subscript"/>
              </w:rPr>
            </w:pPr>
          </w:p>
        </w:tc>
        <w:tc>
          <w:tcPr>
            <w:tcW w:w="1306" w:type="pct"/>
            <w:tcBorders>
              <w:top w:val="single" w:color="auto" w:sz="4" w:space="0"/>
              <w:left w:val="single" w:color="auto" w:sz="4" w:space="0"/>
              <w:bottom w:val="single" w:color="auto" w:sz="4" w:space="0"/>
              <w:right w:val="single" w:color="auto" w:sz="4" w:space="0"/>
            </w:tcBorders>
            <w:vAlign w:val="center"/>
          </w:tcPr>
          <w:p w14:paraId="539B72D5">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0D9130B8">
            <w:pPr>
              <w:adjustRightInd w:val="0"/>
              <w:snapToGrid w:val="0"/>
              <w:jc w:val="center"/>
              <w:rPr>
                <w:rFonts w:ascii="Arial" w:hAnsi="Arial" w:eastAsia="宋体" w:cs="Arial"/>
                <w:kern w:val="0"/>
                <w:sz w:val="21"/>
                <w:szCs w:val="21"/>
              </w:rPr>
            </w:pPr>
            <w:r>
              <w:rPr>
                <w:rFonts w:ascii="Arial" w:hAnsi="Arial" w:eastAsia="宋体" w:cs="Arial"/>
                <w:kern w:val="0"/>
                <w:sz w:val="21"/>
                <w:szCs w:val="21"/>
              </w:rPr>
              <w:t>150</w:t>
            </w:r>
          </w:p>
        </w:tc>
        <w:tc>
          <w:tcPr>
            <w:tcW w:w="0" w:type="auto"/>
            <w:vMerge w:val="continue"/>
            <w:tcBorders>
              <w:left w:val="single" w:color="auto" w:sz="4" w:space="0"/>
              <w:right w:val="single" w:color="auto" w:sz="4" w:space="0"/>
            </w:tcBorders>
            <w:vAlign w:val="center"/>
          </w:tcPr>
          <w:p w14:paraId="1606C66F">
            <w:pPr>
              <w:widowControl/>
              <w:jc w:val="left"/>
              <w:rPr>
                <w:rFonts w:ascii="Arial" w:hAnsi="Arial" w:eastAsia="宋体" w:cs="Arial"/>
                <w:spacing w:val="10"/>
                <w:kern w:val="0"/>
                <w:sz w:val="21"/>
                <w:szCs w:val="21"/>
              </w:rPr>
            </w:pPr>
          </w:p>
        </w:tc>
      </w:tr>
      <w:tr w14:paraId="35A4D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54052BC0">
            <w:pPr>
              <w:widowControl/>
              <w:jc w:val="left"/>
              <w:rPr>
                <w:rFonts w:ascii="Arial" w:hAnsi="Arial" w:eastAsia="宋体" w:cs="Arial"/>
                <w:kern w:val="0"/>
                <w:sz w:val="21"/>
                <w:szCs w:val="21"/>
                <w:vertAlign w:val="subscript"/>
              </w:rPr>
            </w:pPr>
          </w:p>
        </w:tc>
        <w:tc>
          <w:tcPr>
            <w:tcW w:w="1306" w:type="pct"/>
            <w:tcBorders>
              <w:top w:val="single" w:color="auto" w:sz="4" w:space="0"/>
              <w:left w:val="single" w:color="auto" w:sz="4" w:space="0"/>
              <w:bottom w:val="single" w:color="auto" w:sz="4" w:space="0"/>
              <w:right w:val="single" w:color="auto" w:sz="4" w:space="0"/>
            </w:tcBorders>
            <w:vAlign w:val="center"/>
          </w:tcPr>
          <w:p w14:paraId="656C36CB">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037F05FB">
            <w:pPr>
              <w:adjustRightInd w:val="0"/>
              <w:snapToGrid w:val="0"/>
              <w:jc w:val="center"/>
              <w:rPr>
                <w:rFonts w:ascii="Arial" w:hAnsi="Arial" w:eastAsia="宋体" w:cs="Arial"/>
                <w:kern w:val="0"/>
                <w:sz w:val="21"/>
                <w:szCs w:val="21"/>
              </w:rPr>
            </w:pPr>
            <w:r>
              <w:rPr>
                <w:rFonts w:ascii="Arial" w:hAnsi="Arial" w:eastAsia="宋体" w:cs="Arial"/>
                <w:kern w:val="0"/>
                <w:sz w:val="21"/>
                <w:szCs w:val="21"/>
              </w:rPr>
              <w:t>500</w:t>
            </w:r>
          </w:p>
        </w:tc>
        <w:tc>
          <w:tcPr>
            <w:tcW w:w="0" w:type="auto"/>
            <w:vMerge w:val="continue"/>
            <w:tcBorders>
              <w:left w:val="single" w:color="auto" w:sz="4" w:space="0"/>
              <w:right w:val="single" w:color="auto" w:sz="4" w:space="0"/>
            </w:tcBorders>
            <w:vAlign w:val="center"/>
          </w:tcPr>
          <w:p w14:paraId="3B1527CE">
            <w:pPr>
              <w:widowControl/>
              <w:jc w:val="left"/>
              <w:rPr>
                <w:rFonts w:ascii="Arial" w:hAnsi="Arial" w:eastAsia="宋体" w:cs="Arial"/>
                <w:spacing w:val="10"/>
                <w:kern w:val="0"/>
                <w:sz w:val="21"/>
                <w:szCs w:val="21"/>
              </w:rPr>
            </w:pPr>
          </w:p>
        </w:tc>
      </w:tr>
      <w:tr w14:paraId="31AF2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pct"/>
            <w:vMerge w:val="restart"/>
            <w:tcBorders>
              <w:top w:val="single" w:color="auto" w:sz="4" w:space="0"/>
              <w:left w:val="single" w:color="auto" w:sz="4" w:space="0"/>
              <w:bottom w:val="single" w:color="auto" w:sz="4" w:space="0"/>
              <w:right w:val="single" w:color="auto" w:sz="4" w:space="0"/>
            </w:tcBorders>
            <w:vAlign w:val="center"/>
          </w:tcPr>
          <w:p w14:paraId="0FEAAA9A">
            <w:pPr>
              <w:widowControl/>
              <w:adjustRightInd w:val="0"/>
              <w:snapToGrid w:val="0"/>
              <w:jc w:val="center"/>
              <w:rPr>
                <w:rFonts w:ascii="Arial" w:hAnsi="Arial" w:eastAsia="宋体" w:cs="Arial"/>
                <w:kern w:val="0"/>
                <w:sz w:val="21"/>
                <w:szCs w:val="21"/>
                <w:vertAlign w:val="subscript"/>
              </w:rPr>
            </w:pPr>
            <w:r>
              <w:rPr>
                <w:rFonts w:ascii="Arial" w:hAnsi="Arial" w:eastAsia="宋体" w:cs="Arial"/>
                <w:kern w:val="0"/>
                <w:sz w:val="21"/>
                <w:szCs w:val="21"/>
              </w:rPr>
              <w:t>NO</w:t>
            </w:r>
            <w:r>
              <w:rPr>
                <w:rFonts w:ascii="Arial" w:hAnsi="Arial" w:eastAsia="宋体" w:cs="Arial"/>
                <w:kern w:val="0"/>
                <w:sz w:val="21"/>
                <w:szCs w:val="21"/>
                <w:vertAlign w:val="subscript"/>
              </w:rPr>
              <w:t>2</w:t>
            </w:r>
          </w:p>
        </w:tc>
        <w:tc>
          <w:tcPr>
            <w:tcW w:w="1306" w:type="pct"/>
            <w:tcBorders>
              <w:top w:val="single" w:color="auto" w:sz="4" w:space="0"/>
              <w:left w:val="single" w:color="auto" w:sz="4" w:space="0"/>
              <w:bottom w:val="single" w:color="auto" w:sz="4" w:space="0"/>
              <w:right w:val="single" w:color="auto" w:sz="4" w:space="0"/>
            </w:tcBorders>
            <w:vAlign w:val="center"/>
          </w:tcPr>
          <w:p w14:paraId="389F9C87">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年平均</w:t>
            </w:r>
          </w:p>
        </w:tc>
        <w:tc>
          <w:tcPr>
            <w:tcW w:w="1039" w:type="pct"/>
            <w:tcBorders>
              <w:top w:val="single" w:color="auto" w:sz="4" w:space="0"/>
              <w:left w:val="single" w:color="auto" w:sz="4" w:space="0"/>
              <w:bottom w:val="single" w:color="auto" w:sz="4" w:space="0"/>
              <w:right w:val="single" w:color="auto" w:sz="4" w:space="0"/>
            </w:tcBorders>
            <w:vAlign w:val="center"/>
          </w:tcPr>
          <w:p w14:paraId="5E44C4ED">
            <w:pPr>
              <w:adjustRightInd w:val="0"/>
              <w:snapToGrid w:val="0"/>
              <w:jc w:val="center"/>
              <w:rPr>
                <w:rFonts w:ascii="Arial" w:hAnsi="Arial" w:eastAsia="宋体" w:cs="Arial"/>
                <w:kern w:val="0"/>
                <w:sz w:val="21"/>
                <w:szCs w:val="21"/>
              </w:rPr>
            </w:pPr>
            <w:r>
              <w:rPr>
                <w:rFonts w:ascii="Arial" w:hAnsi="Arial" w:eastAsia="宋体" w:cs="Arial"/>
                <w:kern w:val="0"/>
                <w:sz w:val="21"/>
                <w:szCs w:val="21"/>
              </w:rPr>
              <w:t>40</w:t>
            </w:r>
          </w:p>
        </w:tc>
        <w:tc>
          <w:tcPr>
            <w:tcW w:w="0" w:type="auto"/>
            <w:vMerge w:val="continue"/>
            <w:tcBorders>
              <w:left w:val="single" w:color="auto" w:sz="4" w:space="0"/>
              <w:right w:val="single" w:color="auto" w:sz="4" w:space="0"/>
            </w:tcBorders>
            <w:vAlign w:val="center"/>
          </w:tcPr>
          <w:p w14:paraId="0F43A8CB">
            <w:pPr>
              <w:widowControl/>
              <w:jc w:val="left"/>
              <w:rPr>
                <w:rFonts w:ascii="Arial" w:hAnsi="Arial" w:eastAsia="宋体" w:cs="Arial"/>
                <w:spacing w:val="10"/>
                <w:kern w:val="0"/>
                <w:sz w:val="21"/>
                <w:szCs w:val="21"/>
              </w:rPr>
            </w:pPr>
          </w:p>
        </w:tc>
      </w:tr>
      <w:tr w14:paraId="45683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8947AF7">
            <w:pPr>
              <w:widowControl/>
              <w:jc w:val="left"/>
              <w:rPr>
                <w:rFonts w:ascii="Arial" w:hAnsi="Arial" w:eastAsia="宋体" w:cs="Arial"/>
                <w:kern w:val="0"/>
                <w:sz w:val="21"/>
                <w:szCs w:val="21"/>
                <w:vertAlign w:val="subscript"/>
              </w:rPr>
            </w:pPr>
          </w:p>
        </w:tc>
        <w:tc>
          <w:tcPr>
            <w:tcW w:w="1306" w:type="pct"/>
            <w:tcBorders>
              <w:top w:val="single" w:color="auto" w:sz="4" w:space="0"/>
              <w:left w:val="single" w:color="auto" w:sz="4" w:space="0"/>
              <w:bottom w:val="single" w:color="auto" w:sz="4" w:space="0"/>
              <w:right w:val="single" w:color="auto" w:sz="4" w:space="0"/>
            </w:tcBorders>
            <w:vAlign w:val="center"/>
          </w:tcPr>
          <w:p w14:paraId="633E2321">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61D69B2D">
            <w:pPr>
              <w:adjustRightInd w:val="0"/>
              <w:snapToGrid w:val="0"/>
              <w:jc w:val="center"/>
              <w:rPr>
                <w:rFonts w:ascii="Arial" w:hAnsi="Arial" w:eastAsia="宋体" w:cs="Arial"/>
                <w:kern w:val="0"/>
                <w:sz w:val="21"/>
                <w:szCs w:val="21"/>
              </w:rPr>
            </w:pPr>
            <w:r>
              <w:rPr>
                <w:rFonts w:ascii="Arial" w:hAnsi="Arial" w:eastAsia="宋体" w:cs="Arial"/>
                <w:kern w:val="0"/>
                <w:sz w:val="21"/>
                <w:szCs w:val="21"/>
              </w:rPr>
              <w:t>80</w:t>
            </w:r>
          </w:p>
        </w:tc>
        <w:tc>
          <w:tcPr>
            <w:tcW w:w="0" w:type="auto"/>
            <w:vMerge w:val="continue"/>
            <w:tcBorders>
              <w:left w:val="single" w:color="auto" w:sz="4" w:space="0"/>
              <w:right w:val="single" w:color="auto" w:sz="4" w:space="0"/>
            </w:tcBorders>
            <w:vAlign w:val="center"/>
          </w:tcPr>
          <w:p w14:paraId="010C06A9">
            <w:pPr>
              <w:widowControl/>
              <w:jc w:val="left"/>
              <w:rPr>
                <w:rFonts w:ascii="Arial" w:hAnsi="Arial" w:eastAsia="宋体" w:cs="Arial"/>
                <w:spacing w:val="10"/>
                <w:kern w:val="0"/>
                <w:sz w:val="21"/>
                <w:szCs w:val="21"/>
              </w:rPr>
            </w:pPr>
          </w:p>
        </w:tc>
      </w:tr>
      <w:tr w14:paraId="346AC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4A313BA4">
            <w:pPr>
              <w:widowControl/>
              <w:jc w:val="left"/>
              <w:rPr>
                <w:rFonts w:ascii="Arial" w:hAnsi="Arial" w:eastAsia="宋体" w:cs="Arial"/>
                <w:kern w:val="0"/>
                <w:sz w:val="21"/>
                <w:szCs w:val="21"/>
                <w:vertAlign w:val="subscript"/>
              </w:rPr>
            </w:pPr>
          </w:p>
        </w:tc>
        <w:tc>
          <w:tcPr>
            <w:tcW w:w="1306" w:type="pct"/>
            <w:tcBorders>
              <w:top w:val="single" w:color="auto" w:sz="4" w:space="0"/>
              <w:left w:val="single" w:color="auto" w:sz="4" w:space="0"/>
              <w:bottom w:val="single" w:color="auto" w:sz="4" w:space="0"/>
              <w:right w:val="single" w:color="auto" w:sz="4" w:space="0"/>
            </w:tcBorders>
            <w:vAlign w:val="center"/>
          </w:tcPr>
          <w:p w14:paraId="5DC9E029">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24A98014">
            <w:pPr>
              <w:adjustRightInd w:val="0"/>
              <w:snapToGrid w:val="0"/>
              <w:jc w:val="center"/>
              <w:rPr>
                <w:rFonts w:ascii="Arial" w:hAnsi="Arial" w:eastAsia="宋体" w:cs="Arial"/>
                <w:kern w:val="0"/>
                <w:sz w:val="21"/>
                <w:szCs w:val="21"/>
              </w:rPr>
            </w:pPr>
            <w:r>
              <w:rPr>
                <w:rFonts w:ascii="Arial" w:hAnsi="Arial" w:eastAsia="宋体" w:cs="Arial"/>
                <w:kern w:val="0"/>
                <w:sz w:val="21"/>
                <w:szCs w:val="21"/>
              </w:rPr>
              <w:t>200</w:t>
            </w:r>
          </w:p>
        </w:tc>
        <w:tc>
          <w:tcPr>
            <w:tcW w:w="0" w:type="auto"/>
            <w:vMerge w:val="continue"/>
            <w:tcBorders>
              <w:left w:val="single" w:color="auto" w:sz="4" w:space="0"/>
              <w:right w:val="single" w:color="auto" w:sz="4" w:space="0"/>
            </w:tcBorders>
            <w:vAlign w:val="center"/>
          </w:tcPr>
          <w:p w14:paraId="15A34A6C">
            <w:pPr>
              <w:widowControl/>
              <w:jc w:val="left"/>
              <w:rPr>
                <w:rFonts w:ascii="Arial" w:hAnsi="Arial" w:eastAsia="宋体" w:cs="Arial"/>
                <w:spacing w:val="10"/>
                <w:kern w:val="0"/>
                <w:sz w:val="21"/>
                <w:szCs w:val="21"/>
              </w:rPr>
            </w:pPr>
          </w:p>
        </w:tc>
      </w:tr>
      <w:tr w14:paraId="1677B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pct"/>
            <w:vMerge w:val="restart"/>
            <w:tcBorders>
              <w:top w:val="single" w:color="auto" w:sz="4" w:space="0"/>
              <w:left w:val="single" w:color="auto" w:sz="4" w:space="0"/>
              <w:bottom w:val="single" w:color="auto" w:sz="4" w:space="0"/>
              <w:right w:val="single" w:color="auto" w:sz="4" w:space="0"/>
            </w:tcBorders>
            <w:vAlign w:val="center"/>
          </w:tcPr>
          <w:p w14:paraId="001A5F82">
            <w:pPr>
              <w:adjustRightInd w:val="0"/>
              <w:snapToGrid w:val="0"/>
              <w:jc w:val="center"/>
              <w:rPr>
                <w:rFonts w:ascii="Arial" w:hAnsi="Arial" w:eastAsia="宋体" w:cs="Arial"/>
                <w:sz w:val="21"/>
                <w:szCs w:val="21"/>
              </w:rPr>
            </w:pPr>
            <w:r>
              <w:rPr>
                <w:rFonts w:ascii="Arial" w:hAnsi="Arial" w:eastAsia="宋体" w:cs="Arial"/>
                <w:sz w:val="21"/>
                <w:szCs w:val="21"/>
              </w:rPr>
              <w:t>CO</w:t>
            </w:r>
          </w:p>
        </w:tc>
        <w:tc>
          <w:tcPr>
            <w:tcW w:w="1306" w:type="pct"/>
            <w:tcBorders>
              <w:top w:val="single" w:color="auto" w:sz="4" w:space="0"/>
              <w:left w:val="single" w:color="auto" w:sz="4" w:space="0"/>
              <w:bottom w:val="single" w:color="auto" w:sz="4" w:space="0"/>
              <w:right w:val="single" w:color="auto" w:sz="4" w:space="0"/>
            </w:tcBorders>
            <w:vAlign w:val="center"/>
          </w:tcPr>
          <w:p w14:paraId="0ECEA963">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2945066C">
            <w:pPr>
              <w:adjustRightInd w:val="0"/>
              <w:snapToGrid w:val="0"/>
              <w:jc w:val="center"/>
              <w:rPr>
                <w:rFonts w:ascii="Arial" w:hAnsi="Arial" w:eastAsia="宋体" w:cs="Arial"/>
                <w:kern w:val="0"/>
                <w:sz w:val="21"/>
                <w:szCs w:val="21"/>
              </w:rPr>
            </w:pPr>
            <w:r>
              <w:rPr>
                <w:rFonts w:ascii="Arial" w:hAnsi="Arial" w:eastAsia="宋体" w:cs="Arial"/>
                <w:kern w:val="0"/>
                <w:sz w:val="21"/>
                <w:szCs w:val="21"/>
              </w:rPr>
              <w:t>4mg/m</w:t>
            </w:r>
            <w:r>
              <w:rPr>
                <w:rFonts w:ascii="Arial" w:hAnsi="Arial" w:eastAsia="宋体" w:cs="Arial"/>
                <w:kern w:val="0"/>
                <w:sz w:val="21"/>
                <w:szCs w:val="21"/>
                <w:vertAlign w:val="superscript"/>
              </w:rPr>
              <w:t>3</w:t>
            </w:r>
          </w:p>
        </w:tc>
        <w:tc>
          <w:tcPr>
            <w:tcW w:w="0" w:type="auto"/>
            <w:vMerge w:val="continue"/>
            <w:tcBorders>
              <w:left w:val="single" w:color="auto" w:sz="4" w:space="0"/>
              <w:right w:val="single" w:color="auto" w:sz="4" w:space="0"/>
            </w:tcBorders>
            <w:vAlign w:val="center"/>
          </w:tcPr>
          <w:p w14:paraId="58141BB4">
            <w:pPr>
              <w:widowControl/>
              <w:jc w:val="left"/>
              <w:rPr>
                <w:rFonts w:ascii="Arial" w:hAnsi="Arial" w:eastAsia="宋体" w:cs="Arial"/>
                <w:spacing w:val="10"/>
                <w:kern w:val="0"/>
                <w:sz w:val="21"/>
                <w:szCs w:val="21"/>
              </w:rPr>
            </w:pPr>
          </w:p>
        </w:tc>
      </w:tr>
      <w:tr w14:paraId="2A294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A93F533">
            <w:pPr>
              <w:widowControl/>
              <w:jc w:val="left"/>
              <w:rPr>
                <w:rFonts w:ascii="Arial" w:hAnsi="Arial" w:eastAsia="宋体" w:cs="Arial"/>
                <w:sz w:val="21"/>
                <w:szCs w:val="21"/>
              </w:rPr>
            </w:pPr>
          </w:p>
        </w:tc>
        <w:tc>
          <w:tcPr>
            <w:tcW w:w="1306" w:type="pct"/>
            <w:tcBorders>
              <w:top w:val="single" w:color="auto" w:sz="4" w:space="0"/>
              <w:left w:val="single" w:color="auto" w:sz="4" w:space="0"/>
              <w:bottom w:val="single" w:color="auto" w:sz="4" w:space="0"/>
              <w:right w:val="single" w:color="auto" w:sz="4" w:space="0"/>
            </w:tcBorders>
            <w:vAlign w:val="center"/>
          </w:tcPr>
          <w:p w14:paraId="69325362">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4AB5B6BC">
            <w:pPr>
              <w:adjustRightInd w:val="0"/>
              <w:snapToGrid w:val="0"/>
              <w:jc w:val="center"/>
              <w:rPr>
                <w:rFonts w:ascii="Arial" w:hAnsi="Arial" w:eastAsia="宋体" w:cs="Arial"/>
                <w:kern w:val="0"/>
                <w:sz w:val="21"/>
                <w:szCs w:val="21"/>
              </w:rPr>
            </w:pPr>
            <w:r>
              <w:rPr>
                <w:rFonts w:ascii="Arial" w:hAnsi="Arial" w:eastAsia="宋体" w:cs="Arial"/>
                <w:kern w:val="0"/>
                <w:sz w:val="21"/>
                <w:szCs w:val="21"/>
              </w:rPr>
              <w:t>10mg/m</w:t>
            </w:r>
            <w:r>
              <w:rPr>
                <w:rFonts w:ascii="Arial" w:hAnsi="Arial" w:eastAsia="宋体" w:cs="Arial"/>
                <w:kern w:val="0"/>
                <w:sz w:val="21"/>
                <w:szCs w:val="21"/>
                <w:vertAlign w:val="superscript"/>
              </w:rPr>
              <w:t>3</w:t>
            </w:r>
          </w:p>
        </w:tc>
        <w:tc>
          <w:tcPr>
            <w:tcW w:w="0" w:type="auto"/>
            <w:vMerge w:val="continue"/>
            <w:tcBorders>
              <w:left w:val="single" w:color="auto" w:sz="4" w:space="0"/>
              <w:right w:val="single" w:color="auto" w:sz="4" w:space="0"/>
            </w:tcBorders>
            <w:vAlign w:val="center"/>
          </w:tcPr>
          <w:p w14:paraId="383025DC">
            <w:pPr>
              <w:widowControl/>
              <w:jc w:val="left"/>
              <w:rPr>
                <w:rFonts w:ascii="Arial" w:hAnsi="Arial" w:eastAsia="宋体" w:cs="Arial"/>
                <w:spacing w:val="10"/>
                <w:kern w:val="0"/>
                <w:sz w:val="21"/>
                <w:szCs w:val="21"/>
              </w:rPr>
            </w:pPr>
          </w:p>
        </w:tc>
      </w:tr>
      <w:tr w14:paraId="7EEF4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pct"/>
            <w:vMerge w:val="restart"/>
            <w:tcBorders>
              <w:top w:val="single" w:color="auto" w:sz="4" w:space="0"/>
              <w:left w:val="single" w:color="auto" w:sz="4" w:space="0"/>
              <w:bottom w:val="single" w:color="auto" w:sz="4" w:space="0"/>
              <w:right w:val="single" w:color="auto" w:sz="4" w:space="0"/>
            </w:tcBorders>
            <w:vAlign w:val="center"/>
          </w:tcPr>
          <w:p w14:paraId="0BBF46D8">
            <w:pPr>
              <w:adjustRightInd w:val="0"/>
              <w:snapToGrid w:val="0"/>
              <w:jc w:val="center"/>
              <w:rPr>
                <w:rFonts w:ascii="Arial" w:hAnsi="Arial" w:eastAsia="宋体" w:cs="Arial"/>
                <w:sz w:val="21"/>
                <w:szCs w:val="21"/>
              </w:rPr>
            </w:pPr>
            <w:r>
              <w:rPr>
                <w:rFonts w:ascii="Arial" w:hAnsi="Arial" w:eastAsia="宋体" w:cs="Arial"/>
                <w:sz w:val="21"/>
                <w:szCs w:val="21"/>
              </w:rPr>
              <w:t>O</w:t>
            </w:r>
            <w:r>
              <w:rPr>
                <w:rFonts w:ascii="Arial" w:hAnsi="Arial" w:eastAsia="宋体" w:cs="Arial"/>
                <w:sz w:val="21"/>
                <w:szCs w:val="21"/>
                <w:vertAlign w:val="subscript"/>
              </w:rPr>
              <w:t>3</w:t>
            </w:r>
          </w:p>
        </w:tc>
        <w:tc>
          <w:tcPr>
            <w:tcW w:w="1306" w:type="pct"/>
            <w:tcBorders>
              <w:top w:val="single" w:color="auto" w:sz="4" w:space="0"/>
              <w:left w:val="single" w:color="auto" w:sz="4" w:space="0"/>
              <w:bottom w:val="single" w:color="auto" w:sz="4" w:space="0"/>
              <w:right w:val="single" w:color="auto" w:sz="4" w:space="0"/>
            </w:tcBorders>
            <w:vAlign w:val="center"/>
          </w:tcPr>
          <w:p w14:paraId="440D7CF3">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日最大8小时平均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547F3DC2">
            <w:pPr>
              <w:adjustRightInd w:val="0"/>
              <w:snapToGrid w:val="0"/>
              <w:jc w:val="center"/>
              <w:rPr>
                <w:rFonts w:ascii="Arial" w:hAnsi="Arial" w:eastAsia="宋体" w:cs="Arial"/>
                <w:kern w:val="0"/>
                <w:sz w:val="21"/>
                <w:szCs w:val="21"/>
              </w:rPr>
            </w:pPr>
            <w:r>
              <w:rPr>
                <w:rFonts w:ascii="Arial" w:hAnsi="Arial" w:eastAsia="宋体" w:cs="Arial"/>
                <w:kern w:val="0"/>
                <w:sz w:val="21"/>
                <w:szCs w:val="21"/>
              </w:rPr>
              <w:t>160</w:t>
            </w:r>
          </w:p>
        </w:tc>
        <w:tc>
          <w:tcPr>
            <w:tcW w:w="0" w:type="auto"/>
            <w:vMerge w:val="continue"/>
            <w:tcBorders>
              <w:left w:val="single" w:color="auto" w:sz="4" w:space="0"/>
              <w:right w:val="single" w:color="auto" w:sz="4" w:space="0"/>
            </w:tcBorders>
            <w:vAlign w:val="center"/>
          </w:tcPr>
          <w:p w14:paraId="30712042">
            <w:pPr>
              <w:widowControl/>
              <w:jc w:val="left"/>
              <w:rPr>
                <w:rFonts w:ascii="Arial" w:hAnsi="Arial" w:eastAsia="宋体" w:cs="Arial"/>
                <w:spacing w:val="10"/>
                <w:kern w:val="0"/>
                <w:sz w:val="21"/>
                <w:szCs w:val="21"/>
              </w:rPr>
            </w:pPr>
          </w:p>
        </w:tc>
      </w:tr>
      <w:tr w14:paraId="1C66D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3BF27A82">
            <w:pPr>
              <w:widowControl/>
              <w:jc w:val="left"/>
              <w:rPr>
                <w:rFonts w:ascii="Arial" w:hAnsi="Arial" w:eastAsia="宋体" w:cs="Arial"/>
                <w:sz w:val="21"/>
                <w:szCs w:val="21"/>
              </w:rPr>
            </w:pPr>
          </w:p>
        </w:tc>
        <w:tc>
          <w:tcPr>
            <w:tcW w:w="1306" w:type="pct"/>
            <w:tcBorders>
              <w:top w:val="single" w:color="auto" w:sz="4" w:space="0"/>
              <w:left w:val="single" w:color="auto" w:sz="4" w:space="0"/>
              <w:bottom w:val="single" w:color="auto" w:sz="4" w:space="0"/>
              <w:right w:val="single" w:color="auto" w:sz="4" w:space="0"/>
            </w:tcBorders>
            <w:vAlign w:val="center"/>
          </w:tcPr>
          <w:p w14:paraId="6052ABDC">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5E980092">
            <w:pPr>
              <w:adjustRightInd w:val="0"/>
              <w:snapToGrid w:val="0"/>
              <w:jc w:val="center"/>
              <w:rPr>
                <w:rFonts w:ascii="Arial" w:hAnsi="Arial" w:eastAsia="宋体" w:cs="Arial"/>
                <w:kern w:val="0"/>
                <w:sz w:val="21"/>
                <w:szCs w:val="21"/>
              </w:rPr>
            </w:pPr>
            <w:r>
              <w:rPr>
                <w:rFonts w:ascii="Arial" w:hAnsi="Arial" w:eastAsia="宋体" w:cs="Arial"/>
                <w:kern w:val="0"/>
                <w:sz w:val="21"/>
                <w:szCs w:val="21"/>
              </w:rPr>
              <w:t>200</w:t>
            </w:r>
          </w:p>
        </w:tc>
        <w:tc>
          <w:tcPr>
            <w:tcW w:w="0" w:type="auto"/>
            <w:vMerge w:val="continue"/>
            <w:tcBorders>
              <w:left w:val="single" w:color="auto" w:sz="4" w:space="0"/>
              <w:right w:val="single" w:color="auto" w:sz="4" w:space="0"/>
            </w:tcBorders>
            <w:vAlign w:val="center"/>
          </w:tcPr>
          <w:p w14:paraId="085ABF3A">
            <w:pPr>
              <w:widowControl/>
              <w:jc w:val="left"/>
              <w:rPr>
                <w:rFonts w:ascii="Arial" w:hAnsi="Arial" w:eastAsia="宋体" w:cs="Arial"/>
                <w:spacing w:val="10"/>
                <w:kern w:val="0"/>
                <w:sz w:val="21"/>
                <w:szCs w:val="21"/>
              </w:rPr>
            </w:pPr>
          </w:p>
        </w:tc>
      </w:tr>
      <w:tr w14:paraId="7A1EA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pct"/>
            <w:vMerge w:val="restart"/>
            <w:tcBorders>
              <w:top w:val="single" w:color="auto" w:sz="4" w:space="0"/>
              <w:left w:val="single" w:color="auto" w:sz="4" w:space="0"/>
              <w:bottom w:val="single" w:color="auto" w:sz="4" w:space="0"/>
              <w:right w:val="single" w:color="auto" w:sz="4" w:space="0"/>
            </w:tcBorders>
            <w:vAlign w:val="center"/>
          </w:tcPr>
          <w:p w14:paraId="2FDC6232">
            <w:pPr>
              <w:adjustRightInd w:val="0"/>
              <w:snapToGrid w:val="0"/>
              <w:jc w:val="center"/>
              <w:rPr>
                <w:rFonts w:ascii="Arial" w:hAnsi="Arial" w:eastAsia="宋体" w:cs="Arial"/>
                <w:sz w:val="21"/>
                <w:szCs w:val="21"/>
              </w:rPr>
            </w:pPr>
            <w:r>
              <w:rPr>
                <w:rFonts w:ascii="Arial" w:hAnsi="Arial" w:eastAsia="宋体" w:cs="Arial"/>
                <w:sz w:val="21"/>
                <w:szCs w:val="21"/>
              </w:rPr>
              <w:t>PM</w:t>
            </w:r>
            <w:r>
              <w:rPr>
                <w:rFonts w:ascii="Arial" w:hAnsi="Arial" w:eastAsia="宋体" w:cs="Arial"/>
                <w:sz w:val="21"/>
                <w:szCs w:val="21"/>
                <w:vertAlign w:val="subscript"/>
              </w:rPr>
              <w:t>2.5</w:t>
            </w:r>
          </w:p>
        </w:tc>
        <w:tc>
          <w:tcPr>
            <w:tcW w:w="1306" w:type="pct"/>
            <w:tcBorders>
              <w:top w:val="single" w:color="auto" w:sz="4" w:space="0"/>
              <w:left w:val="single" w:color="auto" w:sz="4" w:space="0"/>
              <w:bottom w:val="single" w:color="auto" w:sz="4" w:space="0"/>
              <w:right w:val="single" w:color="auto" w:sz="4" w:space="0"/>
            </w:tcBorders>
            <w:vAlign w:val="center"/>
          </w:tcPr>
          <w:p w14:paraId="34AFD5C2">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年平均</w:t>
            </w:r>
          </w:p>
        </w:tc>
        <w:tc>
          <w:tcPr>
            <w:tcW w:w="1039" w:type="pct"/>
            <w:tcBorders>
              <w:top w:val="single" w:color="auto" w:sz="4" w:space="0"/>
              <w:left w:val="single" w:color="auto" w:sz="4" w:space="0"/>
              <w:bottom w:val="single" w:color="auto" w:sz="4" w:space="0"/>
              <w:right w:val="single" w:color="auto" w:sz="4" w:space="0"/>
            </w:tcBorders>
            <w:vAlign w:val="center"/>
          </w:tcPr>
          <w:p w14:paraId="58A832CA">
            <w:pPr>
              <w:adjustRightInd w:val="0"/>
              <w:snapToGrid w:val="0"/>
              <w:jc w:val="center"/>
              <w:rPr>
                <w:rFonts w:ascii="Arial" w:hAnsi="Arial" w:eastAsia="宋体" w:cs="Arial"/>
                <w:kern w:val="0"/>
                <w:sz w:val="21"/>
                <w:szCs w:val="21"/>
              </w:rPr>
            </w:pPr>
            <w:r>
              <w:rPr>
                <w:rFonts w:ascii="Arial" w:hAnsi="Arial" w:eastAsia="宋体" w:cs="Arial"/>
                <w:kern w:val="0"/>
                <w:sz w:val="21"/>
                <w:szCs w:val="21"/>
              </w:rPr>
              <w:t>35</w:t>
            </w:r>
          </w:p>
        </w:tc>
        <w:tc>
          <w:tcPr>
            <w:tcW w:w="0" w:type="auto"/>
            <w:vMerge w:val="continue"/>
            <w:tcBorders>
              <w:left w:val="single" w:color="auto" w:sz="4" w:space="0"/>
              <w:right w:val="single" w:color="auto" w:sz="4" w:space="0"/>
            </w:tcBorders>
            <w:vAlign w:val="center"/>
          </w:tcPr>
          <w:p w14:paraId="47B15BE1">
            <w:pPr>
              <w:widowControl/>
              <w:jc w:val="left"/>
              <w:rPr>
                <w:rFonts w:ascii="Arial" w:hAnsi="Arial" w:eastAsia="宋体" w:cs="Arial"/>
                <w:spacing w:val="10"/>
                <w:kern w:val="0"/>
                <w:sz w:val="21"/>
                <w:szCs w:val="21"/>
              </w:rPr>
            </w:pPr>
          </w:p>
        </w:tc>
      </w:tr>
      <w:tr w14:paraId="6C0BC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41A1E68">
            <w:pPr>
              <w:widowControl/>
              <w:jc w:val="left"/>
              <w:rPr>
                <w:rFonts w:ascii="Arial" w:hAnsi="Arial" w:eastAsia="宋体" w:cs="Arial"/>
                <w:sz w:val="21"/>
                <w:szCs w:val="21"/>
              </w:rPr>
            </w:pPr>
          </w:p>
        </w:tc>
        <w:tc>
          <w:tcPr>
            <w:tcW w:w="1306" w:type="pct"/>
            <w:tcBorders>
              <w:top w:val="single" w:color="auto" w:sz="4" w:space="0"/>
              <w:left w:val="single" w:color="auto" w:sz="4" w:space="0"/>
              <w:bottom w:val="single" w:color="auto" w:sz="4" w:space="0"/>
              <w:right w:val="single" w:color="auto" w:sz="4" w:space="0"/>
            </w:tcBorders>
            <w:vAlign w:val="center"/>
          </w:tcPr>
          <w:p w14:paraId="790D3459">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0A9E3FDC">
            <w:pPr>
              <w:adjustRightInd w:val="0"/>
              <w:snapToGrid w:val="0"/>
              <w:jc w:val="center"/>
              <w:rPr>
                <w:rFonts w:ascii="Arial" w:hAnsi="Arial" w:eastAsia="宋体" w:cs="Arial"/>
                <w:kern w:val="0"/>
                <w:sz w:val="21"/>
                <w:szCs w:val="21"/>
              </w:rPr>
            </w:pPr>
            <w:r>
              <w:rPr>
                <w:rFonts w:ascii="Arial" w:hAnsi="Arial" w:eastAsia="宋体" w:cs="Arial"/>
                <w:kern w:val="0"/>
                <w:sz w:val="21"/>
                <w:szCs w:val="21"/>
              </w:rPr>
              <w:t>75</w:t>
            </w:r>
          </w:p>
        </w:tc>
        <w:tc>
          <w:tcPr>
            <w:tcW w:w="0" w:type="auto"/>
            <w:vMerge w:val="continue"/>
            <w:tcBorders>
              <w:left w:val="single" w:color="auto" w:sz="4" w:space="0"/>
              <w:right w:val="single" w:color="auto" w:sz="4" w:space="0"/>
            </w:tcBorders>
            <w:vAlign w:val="center"/>
          </w:tcPr>
          <w:p w14:paraId="74048268">
            <w:pPr>
              <w:widowControl/>
              <w:jc w:val="left"/>
              <w:rPr>
                <w:rFonts w:ascii="Arial" w:hAnsi="Arial" w:eastAsia="宋体" w:cs="Arial"/>
                <w:spacing w:val="10"/>
                <w:kern w:val="0"/>
                <w:sz w:val="21"/>
                <w:szCs w:val="21"/>
              </w:rPr>
            </w:pPr>
          </w:p>
        </w:tc>
      </w:tr>
      <w:tr w14:paraId="1A8BB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pct"/>
            <w:vMerge w:val="restart"/>
            <w:tcBorders>
              <w:top w:val="single" w:color="auto" w:sz="4" w:space="0"/>
              <w:left w:val="single" w:color="auto" w:sz="4" w:space="0"/>
              <w:bottom w:val="single" w:color="auto" w:sz="4" w:space="0"/>
              <w:right w:val="single" w:color="auto" w:sz="4" w:space="0"/>
            </w:tcBorders>
            <w:vAlign w:val="center"/>
          </w:tcPr>
          <w:p w14:paraId="1AA17A9B">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PM</w:t>
            </w:r>
            <w:r>
              <w:rPr>
                <w:rFonts w:ascii="Arial" w:hAnsi="Arial" w:eastAsia="宋体" w:cs="Arial"/>
                <w:kern w:val="0"/>
                <w:sz w:val="21"/>
                <w:szCs w:val="21"/>
                <w:vertAlign w:val="subscript"/>
              </w:rPr>
              <w:t>10</w:t>
            </w:r>
          </w:p>
        </w:tc>
        <w:tc>
          <w:tcPr>
            <w:tcW w:w="1306" w:type="pct"/>
            <w:tcBorders>
              <w:top w:val="single" w:color="auto" w:sz="4" w:space="0"/>
              <w:left w:val="single" w:color="auto" w:sz="4" w:space="0"/>
              <w:bottom w:val="single" w:color="auto" w:sz="4" w:space="0"/>
              <w:right w:val="single" w:color="auto" w:sz="4" w:space="0"/>
            </w:tcBorders>
            <w:vAlign w:val="center"/>
          </w:tcPr>
          <w:p w14:paraId="3FE952F7">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年平均</w:t>
            </w:r>
          </w:p>
        </w:tc>
        <w:tc>
          <w:tcPr>
            <w:tcW w:w="1039" w:type="pct"/>
            <w:tcBorders>
              <w:top w:val="single" w:color="auto" w:sz="4" w:space="0"/>
              <w:left w:val="single" w:color="auto" w:sz="4" w:space="0"/>
              <w:bottom w:val="single" w:color="auto" w:sz="4" w:space="0"/>
              <w:right w:val="single" w:color="auto" w:sz="4" w:space="0"/>
            </w:tcBorders>
            <w:vAlign w:val="center"/>
          </w:tcPr>
          <w:p w14:paraId="7520B295">
            <w:pPr>
              <w:adjustRightInd w:val="0"/>
              <w:snapToGrid w:val="0"/>
              <w:jc w:val="center"/>
              <w:rPr>
                <w:rFonts w:ascii="Arial" w:hAnsi="Arial" w:eastAsia="宋体" w:cs="Arial"/>
                <w:kern w:val="0"/>
                <w:sz w:val="21"/>
                <w:szCs w:val="21"/>
              </w:rPr>
            </w:pPr>
            <w:r>
              <w:rPr>
                <w:rFonts w:ascii="Arial" w:hAnsi="Arial" w:eastAsia="宋体" w:cs="Arial"/>
                <w:kern w:val="0"/>
                <w:sz w:val="21"/>
                <w:szCs w:val="21"/>
              </w:rPr>
              <w:t>70</w:t>
            </w:r>
          </w:p>
        </w:tc>
        <w:tc>
          <w:tcPr>
            <w:tcW w:w="0" w:type="auto"/>
            <w:vMerge w:val="continue"/>
            <w:tcBorders>
              <w:left w:val="single" w:color="auto" w:sz="4" w:space="0"/>
              <w:right w:val="single" w:color="auto" w:sz="4" w:space="0"/>
            </w:tcBorders>
            <w:vAlign w:val="center"/>
          </w:tcPr>
          <w:p w14:paraId="026FEAB4">
            <w:pPr>
              <w:widowControl/>
              <w:jc w:val="left"/>
              <w:rPr>
                <w:rFonts w:ascii="Arial" w:hAnsi="Arial" w:eastAsia="宋体" w:cs="Arial"/>
                <w:spacing w:val="10"/>
                <w:kern w:val="0"/>
                <w:sz w:val="21"/>
                <w:szCs w:val="21"/>
              </w:rPr>
            </w:pPr>
          </w:p>
        </w:tc>
      </w:tr>
      <w:tr w14:paraId="67CB8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7CE57F21">
            <w:pPr>
              <w:widowControl/>
              <w:jc w:val="left"/>
              <w:rPr>
                <w:rFonts w:ascii="Arial" w:hAnsi="Arial" w:eastAsia="宋体" w:cs="Arial"/>
                <w:kern w:val="0"/>
                <w:sz w:val="21"/>
                <w:szCs w:val="21"/>
              </w:rPr>
            </w:pPr>
          </w:p>
        </w:tc>
        <w:tc>
          <w:tcPr>
            <w:tcW w:w="1306" w:type="pct"/>
            <w:tcBorders>
              <w:top w:val="single" w:color="auto" w:sz="4" w:space="0"/>
              <w:left w:val="single" w:color="auto" w:sz="4" w:space="0"/>
              <w:bottom w:val="single" w:color="auto" w:sz="4" w:space="0"/>
              <w:right w:val="single" w:color="auto" w:sz="4" w:space="0"/>
            </w:tcBorders>
            <w:vAlign w:val="center"/>
          </w:tcPr>
          <w:p w14:paraId="0B4B0708">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58598310">
            <w:pPr>
              <w:adjustRightInd w:val="0"/>
              <w:snapToGrid w:val="0"/>
              <w:jc w:val="center"/>
              <w:rPr>
                <w:rFonts w:ascii="Arial" w:hAnsi="Arial" w:eastAsia="宋体" w:cs="Arial"/>
                <w:kern w:val="0"/>
                <w:sz w:val="21"/>
                <w:szCs w:val="21"/>
              </w:rPr>
            </w:pPr>
            <w:r>
              <w:rPr>
                <w:rFonts w:ascii="Arial" w:hAnsi="Arial" w:eastAsia="宋体" w:cs="Arial"/>
                <w:kern w:val="0"/>
                <w:sz w:val="21"/>
                <w:szCs w:val="21"/>
              </w:rPr>
              <w:t>150</w:t>
            </w:r>
          </w:p>
        </w:tc>
        <w:tc>
          <w:tcPr>
            <w:tcW w:w="0" w:type="auto"/>
            <w:vMerge w:val="continue"/>
            <w:tcBorders>
              <w:left w:val="single" w:color="auto" w:sz="4" w:space="0"/>
              <w:right w:val="single" w:color="auto" w:sz="4" w:space="0"/>
            </w:tcBorders>
            <w:vAlign w:val="center"/>
          </w:tcPr>
          <w:p w14:paraId="7D05EFC0">
            <w:pPr>
              <w:widowControl/>
              <w:jc w:val="left"/>
              <w:rPr>
                <w:rFonts w:ascii="Arial" w:hAnsi="Arial" w:eastAsia="宋体" w:cs="Arial"/>
                <w:spacing w:val="10"/>
                <w:kern w:val="0"/>
                <w:sz w:val="21"/>
                <w:szCs w:val="21"/>
              </w:rPr>
            </w:pPr>
          </w:p>
        </w:tc>
      </w:tr>
      <w:tr w14:paraId="4F57F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tcBorders>
              <w:top w:val="single" w:color="auto" w:sz="4" w:space="0"/>
              <w:left w:val="single" w:color="auto" w:sz="4" w:space="0"/>
              <w:right w:val="single" w:color="auto" w:sz="4" w:space="0"/>
            </w:tcBorders>
            <w:vAlign w:val="center"/>
          </w:tcPr>
          <w:p w14:paraId="06A0F272">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TSP</w:t>
            </w:r>
          </w:p>
        </w:tc>
        <w:tc>
          <w:tcPr>
            <w:tcW w:w="1306" w:type="pct"/>
            <w:tcBorders>
              <w:top w:val="single" w:color="auto" w:sz="4" w:space="0"/>
              <w:left w:val="single" w:color="auto" w:sz="4" w:space="0"/>
              <w:bottom w:val="single" w:color="auto" w:sz="4" w:space="0"/>
              <w:right w:val="single" w:color="auto" w:sz="4" w:space="0"/>
            </w:tcBorders>
            <w:vAlign w:val="center"/>
          </w:tcPr>
          <w:p w14:paraId="6781B8A8">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年平均</w:t>
            </w:r>
          </w:p>
        </w:tc>
        <w:tc>
          <w:tcPr>
            <w:tcW w:w="1039" w:type="pct"/>
            <w:tcBorders>
              <w:top w:val="single" w:color="auto" w:sz="4" w:space="0"/>
              <w:left w:val="single" w:color="auto" w:sz="4" w:space="0"/>
              <w:bottom w:val="single" w:color="auto" w:sz="4" w:space="0"/>
              <w:right w:val="single" w:color="auto" w:sz="4" w:space="0"/>
            </w:tcBorders>
            <w:vAlign w:val="center"/>
          </w:tcPr>
          <w:p w14:paraId="7695FC8A">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200</w:t>
            </w:r>
          </w:p>
        </w:tc>
        <w:tc>
          <w:tcPr>
            <w:tcW w:w="0" w:type="auto"/>
            <w:vMerge w:val="continue"/>
            <w:tcBorders>
              <w:left w:val="single" w:color="auto" w:sz="4" w:space="0"/>
              <w:right w:val="single" w:color="auto" w:sz="4" w:space="0"/>
            </w:tcBorders>
            <w:vAlign w:val="center"/>
          </w:tcPr>
          <w:p w14:paraId="73062F78">
            <w:pPr>
              <w:widowControl/>
              <w:adjustRightInd w:val="0"/>
              <w:snapToGrid w:val="0"/>
              <w:jc w:val="center"/>
              <w:rPr>
                <w:rFonts w:ascii="Arial" w:hAnsi="Arial" w:eastAsia="宋体" w:cs="Arial"/>
                <w:kern w:val="0"/>
                <w:sz w:val="21"/>
                <w:szCs w:val="21"/>
              </w:rPr>
            </w:pPr>
          </w:p>
        </w:tc>
      </w:tr>
      <w:tr w14:paraId="0ABBF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left w:val="single" w:color="auto" w:sz="4" w:space="0"/>
              <w:bottom w:val="single" w:color="auto" w:sz="4" w:space="0"/>
              <w:right w:val="single" w:color="auto" w:sz="4" w:space="0"/>
            </w:tcBorders>
            <w:vAlign w:val="center"/>
          </w:tcPr>
          <w:p w14:paraId="7D179E10">
            <w:pPr>
              <w:widowControl/>
              <w:adjustRightInd w:val="0"/>
              <w:snapToGrid w:val="0"/>
              <w:jc w:val="center"/>
              <w:rPr>
                <w:rFonts w:ascii="Arial" w:hAnsi="Arial" w:eastAsia="宋体" w:cs="Arial"/>
                <w:kern w:val="0"/>
                <w:sz w:val="21"/>
                <w:szCs w:val="21"/>
              </w:rPr>
            </w:pPr>
          </w:p>
        </w:tc>
        <w:tc>
          <w:tcPr>
            <w:tcW w:w="1306" w:type="pct"/>
            <w:tcBorders>
              <w:top w:val="single" w:color="auto" w:sz="4" w:space="0"/>
              <w:left w:val="single" w:color="auto" w:sz="4" w:space="0"/>
              <w:bottom w:val="single" w:color="auto" w:sz="4" w:space="0"/>
              <w:right w:val="single" w:color="auto" w:sz="4" w:space="0"/>
            </w:tcBorders>
            <w:vAlign w:val="center"/>
          </w:tcPr>
          <w:p w14:paraId="0E17D589">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24小时平均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436796DA">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300</w:t>
            </w:r>
          </w:p>
        </w:tc>
        <w:tc>
          <w:tcPr>
            <w:tcW w:w="0" w:type="auto"/>
            <w:vMerge w:val="continue"/>
            <w:tcBorders>
              <w:left w:val="single" w:color="auto" w:sz="4" w:space="0"/>
              <w:right w:val="single" w:color="auto" w:sz="4" w:space="0"/>
            </w:tcBorders>
            <w:vAlign w:val="center"/>
          </w:tcPr>
          <w:p w14:paraId="7812F7DE">
            <w:pPr>
              <w:widowControl/>
              <w:adjustRightInd w:val="0"/>
              <w:snapToGrid w:val="0"/>
              <w:jc w:val="center"/>
              <w:rPr>
                <w:rFonts w:ascii="Arial" w:hAnsi="Arial" w:eastAsia="宋体" w:cs="Arial"/>
                <w:kern w:val="0"/>
                <w:sz w:val="21"/>
                <w:szCs w:val="21"/>
              </w:rPr>
            </w:pPr>
          </w:p>
        </w:tc>
      </w:tr>
      <w:tr w14:paraId="7B5FA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7" w:type="pct"/>
            <w:tcBorders>
              <w:top w:val="single" w:color="auto" w:sz="4" w:space="0"/>
              <w:left w:val="single" w:color="auto" w:sz="4" w:space="0"/>
              <w:bottom w:val="single" w:color="auto" w:sz="4" w:space="0"/>
              <w:right w:val="single" w:color="auto" w:sz="4" w:space="0"/>
            </w:tcBorders>
            <w:vAlign w:val="center"/>
          </w:tcPr>
          <w:p w14:paraId="67BAF24E">
            <w:pPr>
              <w:spacing w:line="0" w:lineRule="atLeast"/>
              <w:jc w:val="center"/>
              <w:rPr>
                <w:rFonts w:ascii="Arial" w:hAnsi="Arial" w:eastAsia="宋体" w:cs="Arial"/>
                <w:sz w:val="21"/>
                <w:szCs w:val="21"/>
              </w:rPr>
            </w:pPr>
            <w:r>
              <w:rPr>
                <w:rFonts w:ascii="Arial" w:hAnsi="Arial" w:eastAsia="宋体" w:cs="Arial"/>
                <w:sz w:val="21"/>
                <w:szCs w:val="21"/>
              </w:rPr>
              <w:t>氨</w:t>
            </w:r>
          </w:p>
        </w:tc>
        <w:tc>
          <w:tcPr>
            <w:tcW w:w="1306" w:type="pct"/>
            <w:tcBorders>
              <w:top w:val="single" w:color="auto" w:sz="4" w:space="0"/>
              <w:left w:val="single" w:color="auto" w:sz="4" w:space="0"/>
              <w:bottom w:val="single" w:color="auto" w:sz="4" w:space="0"/>
              <w:right w:val="single" w:color="auto" w:sz="4" w:space="0"/>
            </w:tcBorders>
            <w:vAlign w:val="center"/>
          </w:tcPr>
          <w:p w14:paraId="09EE8470">
            <w:pPr>
              <w:spacing w:line="0" w:lineRule="atLeast"/>
              <w:jc w:val="center"/>
              <w:rPr>
                <w:rFonts w:ascii="Arial" w:hAnsi="Arial" w:eastAsia="宋体" w:cs="Arial"/>
                <w:sz w:val="21"/>
                <w:szCs w:val="21"/>
              </w:rPr>
            </w:pPr>
            <w:r>
              <w:rPr>
                <w:rFonts w:ascii="Arial" w:hAnsi="Arial" w:eastAsia="宋体" w:cs="Arial"/>
                <w:sz w:val="21"/>
                <w:szCs w:val="21"/>
              </w:rPr>
              <w:t>1小时平均</w:t>
            </w:r>
          </w:p>
        </w:tc>
        <w:tc>
          <w:tcPr>
            <w:tcW w:w="1039" w:type="pct"/>
            <w:tcBorders>
              <w:top w:val="single" w:color="auto" w:sz="4" w:space="0"/>
              <w:left w:val="single" w:color="auto" w:sz="4" w:space="0"/>
              <w:bottom w:val="single" w:color="auto" w:sz="4" w:space="0"/>
              <w:right w:val="single" w:color="auto" w:sz="4" w:space="0"/>
            </w:tcBorders>
            <w:vAlign w:val="center"/>
          </w:tcPr>
          <w:p w14:paraId="1E5B77F5">
            <w:pPr>
              <w:spacing w:line="0" w:lineRule="atLeast"/>
              <w:jc w:val="center"/>
              <w:rPr>
                <w:rFonts w:ascii="Arial" w:hAnsi="Arial" w:eastAsia="宋体" w:cs="Arial"/>
                <w:sz w:val="21"/>
                <w:szCs w:val="21"/>
              </w:rPr>
            </w:pPr>
            <w:r>
              <w:rPr>
                <w:rFonts w:hint="eastAsia" w:ascii="Arial" w:hAnsi="Arial" w:eastAsia="宋体" w:cs="Arial"/>
                <w:sz w:val="21"/>
                <w:szCs w:val="21"/>
              </w:rPr>
              <w:t>2</w:t>
            </w:r>
            <w:r>
              <w:rPr>
                <w:rFonts w:ascii="Arial" w:hAnsi="Arial" w:eastAsia="宋体" w:cs="Arial"/>
                <w:sz w:val="21"/>
                <w:szCs w:val="21"/>
              </w:rPr>
              <w:t>00</w:t>
            </w:r>
          </w:p>
        </w:tc>
        <w:tc>
          <w:tcPr>
            <w:tcW w:w="1708" w:type="pct"/>
            <w:tcBorders>
              <w:top w:val="single" w:color="auto" w:sz="4" w:space="0"/>
              <w:left w:val="single" w:color="auto" w:sz="4" w:space="0"/>
              <w:right w:val="single" w:color="auto" w:sz="4" w:space="0"/>
            </w:tcBorders>
            <w:vAlign w:val="center"/>
          </w:tcPr>
          <w:p w14:paraId="3615BF7B">
            <w:pPr>
              <w:adjustRightInd w:val="0"/>
              <w:snapToGrid w:val="0"/>
              <w:jc w:val="center"/>
              <w:rPr>
                <w:rFonts w:ascii="Arial" w:hAnsi="Arial" w:eastAsia="宋体" w:cs="Arial"/>
                <w:spacing w:val="10"/>
                <w:kern w:val="0"/>
                <w:sz w:val="21"/>
                <w:szCs w:val="21"/>
              </w:rPr>
            </w:pPr>
            <w:r>
              <w:rPr>
                <w:rFonts w:ascii="Arial" w:hAnsi="Arial" w:eastAsia="宋体" w:cs="Arial"/>
                <w:spacing w:val="10"/>
                <w:kern w:val="0"/>
                <w:sz w:val="21"/>
                <w:szCs w:val="21"/>
              </w:rPr>
              <w:t>《环境影响评价技术导则 大气环境》（HJ2.2-2018）附录D</w:t>
            </w:r>
          </w:p>
        </w:tc>
      </w:tr>
    </w:tbl>
    <w:p w14:paraId="1F35D183">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2、海水环境</w:t>
      </w:r>
    </w:p>
    <w:p w14:paraId="6EB3455C">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地表水评价范围内包括《海水水质标准》（GB3097-1997）第一类~第四类海水水质标准，</w:t>
      </w:r>
      <w:r>
        <w:rPr>
          <w:rFonts w:ascii="Arial" w:hAnsi="Arial" w:eastAsia="宋体" w:cs="Arial"/>
          <w:spacing w:val="10"/>
          <w:sz w:val="24"/>
          <w:szCs w:val="24"/>
        </w:rPr>
        <w:t>其标准值见表1-7。</w:t>
      </w:r>
    </w:p>
    <w:p w14:paraId="6E78D228">
      <w:pPr>
        <w:keepNext/>
        <w:keepLines/>
        <w:numPr>
          <w:ilvl w:val="0"/>
          <w:numId w:val="5"/>
        </w:numPr>
        <w:spacing w:line="500" w:lineRule="exact"/>
        <w:jc w:val="center"/>
        <w:outlineLvl w:val="4"/>
        <w:rPr>
          <w:rFonts w:ascii="Arial" w:hAnsi="Arial" w:eastAsia="宋体" w:cs="Arial"/>
          <w:b/>
          <w:sz w:val="24"/>
        </w:rPr>
      </w:pPr>
      <w:r>
        <w:rPr>
          <w:rFonts w:ascii="Arial" w:hAnsi="Arial" w:eastAsia="宋体" w:cs="Arial"/>
          <w:b/>
          <w:sz w:val="24"/>
        </w:rPr>
        <w:t>《海水水质标准》（摘录）单位：mg/L，pH值除外</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21"/>
        <w:gridCol w:w="2444"/>
        <w:gridCol w:w="1460"/>
        <w:gridCol w:w="1140"/>
        <w:gridCol w:w="1531"/>
        <w:gridCol w:w="1797"/>
      </w:tblGrid>
      <w:tr w14:paraId="1CD524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345" w:type="pct"/>
            <w:vMerge w:val="restart"/>
            <w:tcBorders>
              <w:top w:val="single" w:color="000000" w:sz="4" w:space="0"/>
              <w:left w:val="single" w:color="000000" w:sz="4" w:space="0"/>
              <w:bottom w:val="single" w:color="000000" w:sz="4" w:space="0"/>
              <w:right w:val="single" w:color="000000" w:sz="4" w:space="0"/>
            </w:tcBorders>
            <w:vAlign w:val="center"/>
          </w:tcPr>
          <w:p w14:paraId="2C232C90">
            <w:pPr>
              <w:adjustRightInd w:val="0"/>
              <w:snapToGrid w:val="0"/>
              <w:jc w:val="center"/>
              <w:rPr>
                <w:rFonts w:ascii="Arial" w:hAnsi="Arial" w:eastAsia="宋体" w:cs="Arial"/>
                <w:b/>
                <w:sz w:val="21"/>
              </w:rPr>
            </w:pPr>
            <w:r>
              <w:rPr>
                <w:rFonts w:ascii="Arial" w:hAnsi="Arial" w:eastAsia="宋体" w:cs="Arial"/>
                <w:b/>
                <w:sz w:val="21"/>
              </w:rPr>
              <w:t>序号</w:t>
            </w:r>
          </w:p>
        </w:tc>
        <w:tc>
          <w:tcPr>
            <w:tcW w:w="1359" w:type="pct"/>
            <w:vMerge w:val="restart"/>
            <w:tcBorders>
              <w:top w:val="single" w:color="000000" w:sz="4" w:space="0"/>
              <w:left w:val="single" w:color="000000" w:sz="4" w:space="0"/>
              <w:bottom w:val="single" w:color="000000" w:sz="4" w:space="0"/>
              <w:right w:val="single" w:color="000000" w:sz="4" w:space="0"/>
            </w:tcBorders>
            <w:vAlign w:val="center"/>
          </w:tcPr>
          <w:p w14:paraId="5C7156AB">
            <w:pPr>
              <w:adjustRightInd w:val="0"/>
              <w:snapToGrid w:val="0"/>
              <w:rPr>
                <w:rFonts w:ascii="Arial" w:hAnsi="Arial" w:eastAsia="宋体" w:cs="Arial"/>
                <w:b/>
                <w:sz w:val="21"/>
              </w:rPr>
            </w:pPr>
            <w:r>
              <w:rPr>
                <w:rFonts w:ascii="Arial" w:hAnsi="Arial" w:eastAsia="宋体" w:cs="Arial"/>
                <w:b/>
                <w:sz w:val="21"/>
              </w:rPr>
              <w:t>项目</w:t>
            </w:r>
          </w:p>
        </w:tc>
        <w:tc>
          <w:tcPr>
            <w:tcW w:w="3296" w:type="pct"/>
            <w:gridSpan w:val="4"/>
            <w:tcBorders>
              <w:top w:val="single" w:color="000000" w:sz="4" w:space="0"/>
              <w:left w:val="single" w:color="000000" w:sz="4" w:space="0"/>
              <w:bottom w:val="single" w:color="000000" w:sz="4" w:space="0"/>
              <w:right w:val="single" w:color="000000" w:sz="4" w:space="0"/>
            </w:tcBorders>
            <w:vAlign w:val="center"/>
          </w:tcPr>
          <w:p w14:paraId="0316CD78">
            <w:pPr>
              <w:adjustRightInd w:val="0"/>
              <w:snapToGrid w:val="0"/>
              <w:jc w:val="center"/>
              <w:rPr>
                <w:rFonts w:ascii="Arial" w:hAnsi="Arial" w:eastAsia="宋体" w:cs="Arial"/>
                <w:b/>
                <w:sz w:val="21"/>
              </w:rPr>
            </w:pPr>
            <w:r>
              <w:rPr>
                <w:rFonts w:ascii="Arial" w:hAnsi="Arial" w:eastAsia="宋体" w:cs="Arial"/>
                <w:b/>
                <w:sz w:val="21"/>
              </w:rPr>
              <w:t>海水水质标准</w:t>
            </w:r>
          </w:p>
        </w:tc>
      </w:tr>
      <w:tr w14:paraId="6F2632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7F651A5">
            <w:pPr>
              <w:widowControl/>
              <w:jc w:val="left"/>
              <w:rPr>
                <w:rFonts w:ascii="Arial" w:hAnsi="Arial" w:eastAsia="宋体" w:cs="Arial"/>
                <w:b/>
                <w:sz w:val="21"/>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7FA70499">
            <w:pPr>
              <w:widowControl/>
              <w:jc w:val="left"/>
              <w:rPr>
                <w:rFonts w:ascii="Arial" w:hAnsi="Arial" w:eastAsia="宋体" w:cs="Arial"/>
                <w:b/>
                <w:sz w:val="21"/>
              </w:rPr>
            </w:pPr>
          </w:p>
        </w:tc>
        <w:tc>
          <w:tcPr>
            <w:tcW w:w="812" w:type="pct"/>
            <w:tcBorders>
              <w:top w:val="single" w:color="000000" w:sz="4" w:space="0"/>
              <w:left w:val="single" w:color="000000" w:sz="4" w:space="0"/>
              <w:bottom w:val="single" w:color="000000" w:sz="4" w:space="0"/>
              <w:right w:val="single" w:color="000000" w:sz="4" w:space="0"/>
            </w:tcBorders>
            <w:vAlign w:val="center"/>
          </w:tcPr>
          <w:p w14:paraId="456863BC">
            <w:pPr>
              <w:adjustRightInd w:val="0"/>
              <w:snapToGrid w:val="0"/>
              <w:jc w:val="center"/>
              <w:rPr>
                <w:rFonts w:ascii="Arial" w:hAnsi="Arial" w:eastAsia="宋体" w:cs="Arial"/>
                <w:b/>
                <w:sz w:val="21"/>
              </w:rPr>
            </w:pPr>
            <w:r>
              <w:rPr>
                <w:rFonts w:ascii="Arial" w:hAnsi="Arial" w:eastAsia="宋体" w:cs="Arial"/>
                <w:b/>
                <w:sz w:val="21"/>
              </w:rPr>
              <w:t>第一类</w:t>
            </w:r>
          </w:p>
        </w:tc>
        <w:tc>
          <w:tcPr>
            <w:tcW w:w="634" w:type="pct"/>
            <w:tcBorders>
              <w:top w:val="single" w:color="000000" w:sz="4" w:space="0"/>
              <w:left w:val="single" w:color="000000" w:sz="4" w:space="0"/>
              <w:bottom w:val="single" w:color="000000" w:sz="4" w:space="0"/>
              <w:right w:val="single" w:color="000000" w:sz="4" w:space="0"/>
            </w:tcBorders>
            <w:vAlign w:val="center"/>
          </w:tcPr>
          <w:p w14:paraId="50C6EA67">
            <w:pPr>
              <w:adjustRightInd w:val="0"/>
              <w:snapToGrid w:val="0"/>
              <w:jc w:val="center"/>
              <w:rPr>
                <w:rFonts w:ascii="Arial" w:hAnsi="Arial" w:eastAsia="宋体" w:cs="Arial"/>
                <w:b/>
                <w:sz w:val="21"/>
              </w:rPr>
            </w:pPr>
            <w:r>
              <w:rPr>
                <w:rFonts w:ascii="Arial" w:hAnsi="Arial" w:eastAsia="宋体" w:cs="Arial"/>
                <w:b/>
                <w:sz w:val="21"/>
              </w:rPr>
              <w:t>第二类</w:t>
            </w:r>
          </w:p>
        </w:tc>
        <w:tc>
          <w:tcPr>
            <w:tcW w:w="851" w:type="pct"/>
            <w:tcBorders>
              <w:top w:val="single" w:color="000000" w:sz="4" w:space="0"/>
              <w:left w:val="single" w:color="000000" w:sz="4" w:space="0"/>
              <w:bottom w:val="single" w:color="000000" w:sz="4" w:space="0"/>
              <w:right w:val="single" w:color="000000" w:sz="4" w:space="0"/>
            </w:tcBorders>
            <w:vAlign w:val="center"/>
          </w:tcPr>
          <w:p w14:paraId="7A1B59B7">
            <w:pPr>
              <w:adjustRightInd w:val="0"/>
              <w:snapToGrid w:val="0"/>
              <w:jc w:val="center"/>
              <w:rPr>
                <w:rFonts w:ascii="Arial" w:hAnsi="Arial" w:eastAsia="宋体" w:cs="Arial"/>
                <w:b/>
                <w:sz w:val="21"/>
              </w:rPr>
            </w:pPr>
            <w:r>
              <w:rPr>
                <w:rFonts w:ascii="Arial" w:hAnsi="Arial" w:eastAsia="宋体" w:cs="Arial"/>
                <w:b/>
                <w:sz w:val="21"/>
              </w:rPr>
              <w:t>第三类</w:t>
            </w:r>
          </w:p>
        </w:tc>
        <w:tc>
          <w:tcPr>
            <w:tcW w:w="999" w:type="pct"/>
            <w:tcBorders>
              <w:top w:val="single" w:color="000000" w:sz="4" w:space="0"/>
              <w:left w:val="single" w:color="000000" w:sz="4" w:space="0"/>
              <w:bottom w:val="single" w:color="000000" w:sz="4" w:space="0"/>
              <w:right w:val="single" w:color="000000" w:sz="4" w:space="0"/>
            </w:tcBorders>
            <w:vAlign w:val="center"/>
          </w:tcPr>
          <w:p w14:paraId="064DBBB1">
            <w:pPr>
              <w:adjustRightInd w:val="0"/>
              <w:snapToGrid w:val="0"/>
              <w:jc w:val="center"/>
              <w:rPr>
                <w:rFonts w:ascii="Arial" w:hAnsi="Arial" w:eastAsia="宋体" w:cs="Arial"/>
                <w:b/>
                <w:sz w:val="21"/>
              </w:rPr>
            </w:pPr>
            <w:r>
              <w:rPr>
                <w:rFonts w:ascii="Arial" w:hAnsi="Arial" w:eastAsia="宋体" w:cs="Arial"/>
                <w:b/>
                <w:sz w:val="21"/>
              </w:rPr>
              <w:t>第四类</w:t>
            </w:r>
          </w:p>
        </w:tc>
      </w:tr>
      <w:tr w14:paraId="633CB9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27729AE5">
            <w:pPr>
              <w:adjustRightInd w:val="0"/>
              <w:snapToGrid w:val="0"/>
              <w:jc w:val="center"/>
              <w:rPr>
                <w:rFonts w:ascii="Arial" w:hAnsi="Arial" w:cs="Arial"/>
                <w:sz w:val="21"/>
              </w:rPr>
            </w:pPr>
            <w:r>
              <w:rPr>
                <w:rFonts w:ascii="Arial" w:hAnsi="Arial" w:cs="Arial"/>
                <w:sz w:val="21"/>
              </w:rPr>
              <w:t>1</w:t>
            </w:r>
          </w:p>
        </w:tc>
        <w:tc>
          <w:tcPr>
            <w:tcW w:w="1359" w:type="pct"/>
            <w:tcBorders>
              <w:top w:val="single" w:color="000000" w:sz="4" w:space="0"/>
              <w:left w:val="single" w:color="000000" w:sz="4" w:space="0"/>
              <w:bottom w:val="single" w:color="000000" w:sz="4" w:space="0"/>
              <w:right w:val="single" w:color="000000" w:sz="4" w:space="0"/>
            </w:tcBorders>
            <w:vAlign w:val="center"/>
          </w:tcPr>
          <w:p w14:paraId="72AD15D6">
            <w:pPr>
              <w:adjustRightInd w:val="0"/>
              <w:snapToGrid w:val="0"/>
              <w:rPr>
                <w:rFonts w:ascii="Arial" w:hAnsi="Arial" w:eastAsia="宋体" w:cs="Arial"/>
                <w:sz w:val="21"/>
              </w:rPr>
            </w:pPr>
            <w:r>
              <w:rPr>
                <w:rFonts w:ascii="Arial" w:hAnsi="Arial" w:eastAsia="宋体" w:cs="Arial"/>
                <w:sz w:val="21"/>
              </w:rPr>
              <w:t>水温</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752B99FE">
            <w:pPr>
              <w:adjustRightInd w:val="0"/>
              <w:snapToGrid w:val="0"/>
              <w:jc w:val="center"/>
              <w:rPr>
                <w:rFonts w:ascii="Arial" w:hAnsi="Arial" w:eastAsia="宋体" w:cs="Arial"/>
                <w:sz w:val="21"/>
              </w:rPr>
            </w:pPr>
            <w:r>
              <w:rPr>
                <w:rFonts w:ascii="Arial" w:hAnsi="Arial" w:eastAsia="宋体" w:cs="Arial"/>
                <w:sz w:val="21"/>
              </w:rPr>
              <w:t>人为</w:t>
            </w:r>
            <w:r>
              <w:rPr>
                <w:rFonts w:ascii="Arial" w:hAnsi="Arial" w:eastAsia="宋体" w:cs="Arial"/>
                <w:spacing w:val="-3"/>
                <w:sz w:val="21"/>
              </w:rPr>
              <w:t>造</w:t>
            </w:r>
            <w:r>
              <w:rPr>
                <w:rFonts w:ascii="Arial" w:hAnsi="Arial" w:eastAsia="宋体" w:cs="Arial"/>
                <w:sz w:val="21"/>
              </w:rPr>
              <w:t>成</w:t>
            </w:r>
            <w:r>
              <w:rPr>
                <w:rFonts w:ascii="Arial" w:hAnsi="Arial" w:eastAsia="宋体" w:cs="Arial"/>
                <w:spacing w:val="-3"/>
                <w:sz w:val="21"/>
              </w:rPr>
              <w:t>当</w:t>
            </w:r>
            <w:r>
              <w:rPr>
                <w:rFonts w:ascii="Arial" w:hAnsi="Arial" w:eastAsia="宋体" w:cs="Arial"/>
                <w:sz w:val="21"/>
              </w:rPr>
              <w:t>地</w:t>
            </w:r>
            <w:r>
              <w:rPr>
                <w:rFonts w:ascii="Arial" w:hAnsi="Arial" w:eastAsia="宋体" w:cs="Arial"/>
                <w:spacing w:val="-3"/>
                <w:sz w:val="21"/>
              </w:rPr>
              <w:t>水</w:t>
            </w:r>
            <w:r>
              <w:rPr>
                <w:rFonts w:ascii="Arial" w:hAnsi="Arial" w:eastAsia="宋体" w:cs="Arial"/>
                <w:sz w:val="21"/>
              </w:rPr>
              <w:t>温</w:t>
            </w:r>
            <w:r>
              <w:rPr>
                <w:rFonts w:ascii="Arial" w:hAnsi="Arial" w:eastAsia="宋体" w:cs="Arial"/>
                <w:spacing w:val="-3"/>
                <w:sz w:val="21"/>
              </w:rPr>
              <w:t>升</w:t>
            </w:r>
            <w:r>
              <w:rPr>
                <w:rFonts w:ascii="Arial" w:hAnsi="Arial" w:eastAsia="宋体" w:cs="Arial"/>
                <w:sz w:val="21"/>
              </w:rPr>
              <w:t>夏</w:t>
            </w:r>
            <w:r>
              <w:rPr>
                <w:rFonts w:ascii="Arial" w:hAnsi="Arial" w:eastAsia="宋体" w:cs="Arial"/>
                <w:spacing w:val="-3"/>
                <w:sz w:val="21"/>
              </w:rPr>
              <w:t>季</w:t>
            </w:r>
            <w:r>
              <w:rPr>
                <w:rFonts w:ascii="Arial" w:hAnsi="Arial" w:eastAsia="宋体" w:cs="Arial"/>
                <w:sz w:val="21"/>
              </w:rPr>
              <w:t>不超过</w:t>
            </w:r>
            <w:r>
              <w:rPr>
                <w:rFonts w:ascii="Arial" w:hAnsi="Arial" w:cs="Arial"/>
                <w:spacing w:val="-3"/>
                <w:sz w:val="21"/>
              </w:rPr>
              <w:t>1</w:t>
            </w:r>
            <w:r>
              <w:rPr>
                <w:rFonts w:hint="eastAsia" w:ascii="宋体" w:hAnsi="宋体" w:eastAsia="宋体" w:cs="宋体"/>
                <w:sz w:val="21"/>
              </w:rPr>
              <w:t>℃</w:t>
            </w:r>
            <w:r>
              <w:rPr>
                <w:rFonts w:ascii="Arial" w:hAnsi="Arial" w:eastAsia="宋体" w:cs="Arial"/>
                <w:spacing w:val="-3"/>
                <w:sz w:val="21"/>
              </w:rPr>
              <w:t>，</w:t>
            </w:r>
            <w:r>
              <w:rPr>
                <w:rFonts w:ascii="Arial" w:hAnsi="Arial" w:eastAsia="宋体" w:cs="Arial"/>
                <w:sz w:val="21"/>
              </w:rPr>
              <w:t>其</w:t>
            </w:r>
            <w:r>
              <w:rPr>
                <w:rFonts w:ascii="Arial" w:hAnsi="Arial" w:eastAsia="宋体" w:cs="Arial"/>
                <w:spacing w:val="-3"/>
                <w:sz w:val="21"/>
              </w:rPr>
              <w:t>他</w:t>
            </w:r>
            <w:r>
              <w:rPr>
                <w:rFonts w:ascii="Arial" w:hAnsi="Arial" w:eastAsia="宋体" w:cs="Arial"/>
                <w:sz w:val="21"/>
              </w:rPr>
              <w:t>季</w:t>
            </w:r>
            <w:r>
              <w:rPr>
                <w:rFonts w:ascii="Arial" w:hAnsi="Arial" w:eastAsia="宋体" w:cs="Arial"/>
                <w:spacing w:val="-3"/>
                <w:sz w:val="21"/>
              </w:rPr>
              <w:t>节</w:t>
            </w:r>
            <w:r>
              <w:rPr>
                <w:rFonts w:ascii="Arial" w:hAnsi="Arial" w:eastAsia="宋体" w:cs="Arial"/>
                <w:sz w:val="21"/>
              </w:rPr>
              <w:t>不</w:t>
            </w:r>
            <w:r>
              <w:rPr>
                <w:rFonts w:ascii="Arial" w:hAnsi="Arial" w:eastAsia="宋体" w:cs="Arial"/>
                <w:spacing w:val="-3"/>
                <w:sz w:val="21"/>
              </w:rPr>
              <w:t>超</w:t>
            </w:r>
            <w:r>
              <w:rPr>
                <w:rFonts w:ascii="Arial" w:hAnsi="Arial" w:eastAsia="宋体" w:cs="Arial"/>
                <w:sz w:val="21"/>
              </w:rPr>
              <w:t xml:space="preserve">过 </w:t>
            </w:r>
            <w:r>
              <w:rPr>
                <w:rFonts w:ascii="Arial" w:hAnsi="Arial" w:cs="Arial"/>
                <w:sz w:val="21"/>
              </w:rPr>
              <w:t>2</w:t>
            </w:r>
            <w:r>
              <w:rPr>
                <w:rFonts w:hint="eastAsia" w:ascii="宋体" w:hAnsi="宋体" w:eastAsia="宋体" w:cs="宋体"/>
                <w:sz w:val="21"/>
              </w:rPr>
              <w:t>℃</w:t>
            </w:r>
          </w:p>
        </w:tc>
        <w:tc>
          <w:tcPr>
            <w:tcW w:w="1850" w:type="pct"/>
            <w:gridSpan w:val="2"/>
            <w:tcBorders>
              <w:top w:val="single" w:color="000000" w:sz="4" w:space="0"/>
              <w:left w:val="single" w:color="000000" w:sz="4" w:space="0"/>
              <w:bottom w:val="single" w:color="000000" w:sz="4" w:space="0"/>
              <w:right w:val="single" w:color="000000" w:sz="4" w:space="0"/>
            </w:tcBorders>
            <w:vAlign w:val="center"/>
          </w:tcPr>
          <w:p w14:paraId="24BF8ACE">
            <w:pPr>
              <w:adjustRightInd w:val="0"/>
              <w:snapToGrid w:val="0"/>
              <w:jc w:val="center"/>
              <w:rPr>
                <w:rFonts w:ascii="Arial" w:hAnsi="Arial" w:eastAsia="宋体" w:cs="Arial"/>
                <w:sz w:val="21"/>
              </w:rPr>
            </w:pPr>
            <w:r>
              <w:rPr>
                <w:rFonts w:ascii="Arial" w:hAnsi="Arial" w:eastAsia="宋体" w:cs="Arial"/>
                <w:sz w:val="21"/>
              </w:rPr>
              <w:t>人为造成当地水温升</w:t>
            </w:r>
            <w:r>
              <w:rPr>
                <w:rFonts w:hint="eastAsia" w:ascii="Arial" w:hAnsi="Arial" w:eastAsia="宋体" w:cs="Arial"/>
                <w:sz w:val="21"/>
                <w:lang w:val="en-US" w:eastAsia="zh-CN"/>
              </w:rPr>
              <w:t>高</w:t>
            </w:r>
            <w:r>
              <w:rPr>
                <w:rFonts w:ascii="Arial" w:hAnsi="Arial" w:eastAsia="宋体" w:cs="Arial"/>
                <w:sz w:val="21"/>
              </w:rPr>
              <w:t>不超过</w:t>
            </w:r>
            <w:r>
              <w:rPr>
                <w:rFonts w:ascii="Arial" w:hAnsi="Arial" w:cs="Arial"/>
                <w:sz w:val="21"/>
              </w:rPr>
              <w:t>4</w:t>
            </w:r>
            <w:r>
              <w:rPr>
                <w:rFonts w:hint="eastAsia" w:ascii="宋体" w:hAnsi="宋体" w:eastAsia="宋体" w:cs="宋体"/>
                <w:sz w:val="21"/>
              </w:rPr>
              <w:t>℃</w:t>
            </w:r>
          </w:p>
        </w:tc>
      </w:tr>
      <w:tr w14:paraId="48EA5D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2B962A76">
            <w:pPr>
              <w:adjustRightInd w:val="0"/>
              <w:snapToGrid w:val="0"/>
              <w:jc w:val="center"/>
              <w:rPr>
                <w:rFonts w:ascii="Arial" w:hAnsi="Arial" w:cs="Arial"/>
                <w:sz w:val="21"/>
              </w:rPr>
            </w:pPr>
            <w:r>
              <w:rPr>
                <w:rFonts w:ascii="Arial" w:hAnsi="Arial" w:cs="Arial"/>
                <w:sz w:val="21"/>
              </w:rPr>
              <w:t>2</w:t>
            </w:r>
          </w:p>
        </w:tc>
        <w:tc>
          <w:tcPr>
            <w:tcW w:w="1359" w:type="pct"/>
            <w:tcBorders>
              <w:top w:val="single" w:color="000000" w:sz="4" w:space="0"/>
              <w:left w:val="single" w:color="000000" w:sz="4" w:space="0"/>
              <w:bottom w:val="single" w:color="000000" w:sz="4" w:space="0"/>
              <w:right w:val="single" w:color="000000" w:sz="4" w:space="0"/>
            </w:tcBorders>
            <w:vAlign w:val="center"/>
          </w:tcPr>
          <w:p w14:paraId="3AE7A8B0">
            <w:pPr>
              <w:adjustRightInd w:val="0"/>
              <w:snapToGrid w:val="0"/>
              <w:rPr>
                <w:rFonts w:ascii="Arial" w:hAnsi="Arial" w:eastAsia="宋体" w:cs="Arial"/>
                <w:sz w:val="21"/>
              </w:rPr>
            </w:pPr>
            <w:r>
              <w:rPr>
                <w:rFonts w:ascii="Arial" w:hAnsi="Arial" w:cs="Arial"/>
                <w:sz w:val="21"/>
              </w:rPr>
              <w:t>pH</w:t>
            </w:r>
            <w:r>
              <w:rPr>
                <w:rFonts w:ascii="Arial" w:hAnsi="Arial" w:eastAsia="宋体" w:cs="Arial"/>
                <w:sz w:val="21"/>
              </w:rPr>
              <w:t>值</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643F4E23">
            <w:pPr>
              <w:adjustRightInd w:val="0"/>
              <w:snapToGrid w:val="0"/>
              <w:jc w:val="center"/>
              <w:rPr>
                <w:rFonts w:ascii="Arial" w:hAnsi="Arial" w:eastAsia="宋体" w:cs="Arial"/>
                <w:sz w:val="21"/>
              </w:rPr>
            </w:pPr>
            <w:r>
              <w:rPr>
                <w:rFonts w:ascii="Arial" w:hAnsi="Arial" w:cs="Arial"/>
                <w:sz w:val="21"/>
              </w:rPr>
              <w:t>7.8</w:t>
            </w:r>
            <w:r>
              <w:rPr>
                <w:rFonts w:ascii="Arial" w:hAnsi="Arial" w:eastAsia="宋体" w:cs="Arial"/>
                <w:sz w:val="21"/>
              </w:rPr>
              <w:t>～</w:t>
            </w:r>
            <w:r>
              <w:rPr>
                <w:rFonts w:ascii="Arial" w:hAnsi="Arial" w:cs="Arial"/>
                <w:sz w:val="21"/>
              </w:rPr>
              <w:t>8</w:t>
            </w:r>
            <w:r>
              <w:rPr>
                <w:rFonts w:ascii="Arial" w:hAnsi="Arial" w:cs="Arial"/>
                <w:spacing w:val="-3"/>
                <w:sz w:val="21"/>
              </w:rPr>
              <w:t>.</w:t>
            </w:r>
            <w:r>
              <w:rPr>
                <w:rFonts w:ascii="Arial" w:hAnsi="Arial" w:cs="Arial"/>
                <w:spacing w:val="-1"/>
                <w:sz w:val="21"/>
              </w:rPr>
              <w:t>5</w:t>
            </w:r>
            <w:r>
              <w:rPr>
                <w:rFonts w:ascii="Arial" w:hAnsi="Arial" w:eastAsia="宋体" w:cs="Arial"/>
                <w:spacing w:val="-13"/>
                <w:sz w:val="21"/>
              </w:rPr>
              <w:t>，</w:t>
            </w:r>
            <w:r>
              <w:rPr>
                <w:rFonts w:ascii="Arial" w:hAnsi="Arial" w:eastAsia="宋体" w:cs="Arial"/>
                <w:sz w:val="21"/>
              </w:rPr>
              <w:t>同</w:t>
            </w:r>
            <w:r>
              <w:rPr>
                <w:rFonts w:ascii="Arial" w:hAnsi="Arial" w:eastAsia="宋体" w:cs="Arial"/>
                <w:spacing w:val="-3"/>
                <w:sz w:val="21"/>
              </w:rPr>
              <w:t>时</w:t>
            </w:r>
            <w:r>
              <w:rPr>
                <w:rFonts w:ascii="Arial" w:hAnsi="Arial" w:eastAsia="宋体" w:cs="Arial"/>
                <w:sz w:val="21"/>
              </w:rPr>
              <w:t>不</w:t>
            </w:r>
            <w:r>
              <w:rPr>
                <w:rFonts w:ascii="Arial" w:hAnsi="Arial" w:eastAsia="宋体" w:cs="Arial"/>
                <w:spacing w:val="-3"/>
                <w:sz w:val="21"/>
              </w:rPr>
              <w:t>超</w:t>
            </w:r>
            <w:r>
              <w:rPr>
                <w:rFonts w:ascii="Arial" w:hAnsi="Arial" w:eastAsia="宋体" w:cs="Arial"/>
                <w:sz w:val="21"/>
              </w:rPr>
              <w:t>出</w:t>
            </w:r>
            <w:r>
              <w:rPr>
                <w:rFonts w:ascii="Arial" w:hAnsi="Arial" w:eastAsia="宋体" w:cs="Arial"/>
                <w:spacing w:val="-3"/>
                <w:sz w:val="21"/>
              </w:rPr>
              <w:t>该海</w:t>
            </w:r>
            <w:r>
              <w:rPr>
                <w:rFonts w:ascii="Arial" w:hAnsi="Arial" w:eastAsia="宋体" w:cs="Arial"/>
                <w:sz w:val="21"/>
              </w:rPr>
              <w:t>域正常</w:t>
            </w:r>
            <w:r>
              <w:rPr>
                <w:rFonts w:ascii="Arial" w:hAnsi="Arial" w:eastAsia="宋体" w:cs="Arial"/>
                <w:spacing w:val="-3"/>
                <w:sz w:val="21"/>
              </w:rPr>
              <w:t>变</w:t>
            </w:r>
            <w:r>
              <w:rPr>
                <w:rFonts w:ascii="Arial" w:hAnsi="Arial" w:eastAsia="宋体" w:cs="Arial"/>
                <w:sz w:val="21"/>
              </w:rPr>
              <w:t>动</w:t>
            </w:r>
            <w:r>
              <w:rPr>
                <w:rFonts w:ascii="Arial" w:hAnsi="Arial" w:eastAsia="宋体" w:cs="Arial"/>
                <w:spacing w:val="-3"/>
                <w:sz w:val="21"/>
              </w:rPr>
              <w:t>范</w:t>
            </w:r>
            <w:r>
              <w:rPr>
                <w:rFonts w:ascii="Arial" w:hAnsi="Arial" w:eastAsia="宋体" w:cs="Arial"/>
                <w:sz w:val="21"/>
              </w:rPr>
              <w:t>围</w:t>
            </w:r>
            <w:r>
              <w:rPr>
                <w:rFonts w:ascii="Arial" w:hAnsi="Arial" w:eastAsia="宋体" w:cs="Arial"/>
                <w:spacing w:val="-3"/>
                <w:sz w:val="21"/>
              </w:rPr>
              <w:t>的</w:t>
            </w:r>
            <w:r>
              <w:rPr>
                <w:rFonts w:ascii="Arial" w:hAnsi="Arial" w:cs="Arial"/>
                <w:sz w:val="21"/>
              </w:rPr>
              <w:t>0.2</w:t>
            </w:r>
            <w:r>
              <w:rPr>
                <w:rFonts w:ascii="Arial" w:hAnsi="Arial" w:cs="Arial"/>
                <w:spacing w:val="-3"/>
                <w:sz w:val="21"/>
              </w:rPr>
              <w:t>p</w:t>
            </w:r>
            <w:r>
              <w:rPr>
                <w:rFonts w:ascii="Arial" w:hAnsi="Arial" w:cs="Arial"/>
                <w:spacing w:val="-2"/>
                <w:sz w:val="21"/>
              </w:rPr>
              <w:t>H</w:t>
            </w:r>
            <w:r>
              <w:rPr>
                <w:rFonts w:ascii="Arial" w:hAnsi="Arial" w:eastAsia="宋体" w:cs="Arial"/>
                <w:sz w:val="21"/>
              </w:rPr>
              <w:t>单位</w:t>
            </w:r>
          </w:p>
        </w:tc>
        <w:tc>
          <w:tcPr>
            <w:tcW w:w="1850" w:type="pct"/>
            <w:gridSpan w:val="2"/>
            <w:tcBorders>
              <w:top w:val="single" w:color="000000" w:sz="4" w:space="0"/>
              <w:left w:val="single" w:color="000000" w:sz="4" w:space="0"/>
              <w:bottom w:val="single" w:color="000000" w:sz="4" w:space="0"/>
              <w:right w:val="single" w:color="000000" w:sz="4" w:space="0"/>
            </w:tcBorders>
            <w:vAlign w:val="center"/>
          </w:tcPr>
          <w:p w14:paraId="6BA58BA0">
            <w:pPr>
              <w:adjustRightInd w:val="0"/>
              <w:snapToGrid w:val="0"/>
              <w:jc w:val="center"/>
              <w:rPr>
                <w:rFonts w:ascii="Arial" w:hAnsi="Arial" w:eastAsia="宋体" w:cs="Arial"/>
                <w:sz w:val="21"/>
              </w:rPr>
            </w:pPr>
            <w:r>
              <w:rPr>
                <w:rFonts w:ascii="Arial" w:hAnsi="Arial" w:cs="Arial"/>
                <w:sz w:val="21"/>
              </w:rPr>
              <w:t>6.8</w:t>
            </w:r>
            <w:r>
              <w:rPr>
                <w:rFonts w:ascii="Arial" w:hAnsi="Arial" w:eastAsia="宋体" w:cs="Arial"/>
                <w:sz w:val="21"/>
              </w:rPr>
              <w:t>～</w:t>
            </w:r>
            <w:r>
              <w:rPr>
                <w:rFonts w:ascii="Arial" w:hAnsi="Arial" w:cs="Arial"/>
                <w:sz w:val="21"/>
              </w:rPr>
              <w:t>8</w:t>
            </w:r>
            <w:r>
              <w:rPr>
                <w:rFonts w:ascii="Arial" w:hAnsi="Arial" w:cs="Arial"/>
                <w:spacing w:val="-3"/>
                <w:sz w:val="21"/>
              </w:rPr>
              <w:t>.</w:t>
            </w:r>
            <w:r>
              <w:rPr>
                <w:rFonts w:ascii="Arial" w:hAnsi="Arial" w:cs="Arial"/>
                <w:spacing w:val="-1"/>
                <w:sz w:val="21"/>
              </w:rPr>
              <w:t>8</w:t>
            </w:r>
            <w:r>
              <w:rPr>
                <w:rFonts w:ascii="Arial" w:hAnsi="Arial" w:eastAsia="宋体" w:cs="Arial"/>
                <w:spacing w:val="-3"/>
                <w:sz w:val="21"/>
              </w:rPr>
              <w:t>，</w:t>
            </w:r>
            <w:r>
              <w:rPr>
                <w:rFonts w:ascii="Arial" w:hAnsi="Arial" w:eastAsia="宋体" w:cs="Arial"/>
                <w:sz w:val="21"/>
              </w:rPr>
              <w:t>同</w:t>
            </w:r>
            <w:r>
              <w:rPr>
                <w:rFonts w:ascii="Arial" w:hAnsi="Arial" w:eastAsia="宋体" w:cs="Arial"/>
                <w:spacing w:val="-3"/>
                <w:sz w:val="21"/>
              </w:rPr>
              <w:t>时</w:t>
            </w:r>
            <w:r>
              <w:rPr>
                <w:rFonts w:ascii="Arial" w:hAnsi="Arial" w:eastAsia="宋体" w:cs="Arial"/>
                <w:sz w:val="21"/>
              </w:rPr>
              <w:t>不</w:t>
            </w:r>
            <w:r>
              <w:rPr>
                <w:rFonts w:ascii="Arial" w:hAnsi="Arial" w:eastAsia="宋体" w:cs="Arial"/>
                <w:spacing w:val="-3"/>
                <w:sz w:val="21"/>
              </w:rPr>
              <w:t>超</w:t>
            </w:r>
            <w:r>
              <w:rPr>
                <w:rFonts w:ascii="Arial" w:hAnsi="Arial" w:eastAsia="宋体" w:cs="Arial"/>
                <w:sz w:val="21"/>
              </w:rPr>
              <w:t>出</w:t>
            </w:r>
            <w:r>
              <w:rPr>
                <w:rFonts w:ascii="Arial" w:hAnsi="Arial" w:eastAsia="宋体" w:cs="Arial"/>
                <w:spacing w:val="-3"/>
                <w:sz w:val="21"/>
              </w:rPr>
              <w:t>该海</w:t>
            </w:r>
            <w:r>
              <w:rPr>
                <w:rFonts w:ascii="Arial" w:hAnsi="Arial" w:eastAsia="宋体" w:cs="Arial"/>
                <w:sz w:val="21"/>
              </w:rPr>
              <w:t>域正常</w:t>
            </w:r>
            <w:r>
              <w:rPr>
                <w:rFonts w:ascii="Arial" w:hAnsi="Arial" w:eastAsia="宋体" w:cs="Arial"/>
                <w:spacing w:val="-3"/>
                <w:sz w:val="21"/>
              </w:rPr>
              <w:t>变</w:t>
            </w:r>
            <w:r>
              <w:rPr>
                <w:rFonts w:ascii="Arial" w:hAnsi="Arial" w:eastAsia="宋体" w:cs="Arial"/>
                <w:sz w:val="21"/>
              </w:rPr>
              <w:t>动</w:t>
            </w:r>
            <w:r>
              <w:rPr>
                <w:rFonts w:ascii="Arial" w:hAnsi="Arial" w:eastAsia="宋体" w:cs="Arial"/>
                <w:spacing w:val="-3"/>
                <w:sz w:val="21"/>
              </w:rPr>
              <w:t>范</w:t>
            </w:r>
            <w:r>
              <w:rPr>
                <w:rFonts w:ascii="Arial" w:hAnsi="Arial" w:eastAsia="宋体" w:cs="Arial"/>
                <w:sz w:val="21"/>
              </w:rPr>
              <w:t>围</w:t>
            </w:r>
            <w:r>
              <w:rPr>
                <w:rFonts w:ascii="Arial" w:hAnsi="Arial" w:eastAsia="宋体" w:cs="Arial"/>
                <w:spacing w:val="-2"/>
                <w:sz w:val="21"/>
              </w:rPr>
              <w:t>的</w:t>
            </w:r>
            <w:r>
              <w:rPr>
                <w:rFonts w:ascii="Arial" w:hAnsi="Arial" w:cs="Arial"/>
                <w:sz w:val="21"/>
              </w:rPr>
              <w:t>0.5</w:t>
            </w:r>
            <w:r>
              <w:rPr>
                <w:rFonts w:ascii="Arial" w:hAnsi="Arial" w:cs="Arial"/>
                <w:spacing w:val="-3"/>
                <w:sz w:val="21"/>
              </w:rPr>
              <w:t>p</w:t>
            </w:r>
            <w:r>
              <w:rPr>
                <w:rFonts w:ascii="Arial" w:hAnsi="Arial" w:cs="Arial"/>
                <w:spacing w:val="-2"/>
                <w:sz w:val="21"/>
              </w:rPr>
              <w:t>H</w:t>
            </w:r>
            <w:r>
              <w:rPr>
                <w:rFonts w:ascii="Arial" w:hAnsi="Arial" w:eastAsia="宋体" w:cs="Arial"/>
                <w:sz w:val="21"/>
              </w:rPr>
              <w:t>单位</w:t>
            </w:r>
          </w:p>
        </w:tc>
      </w:tr>
      <w:tr w14:paraId="3DFD35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6201AE17">
            <w:pPr>
              <w:adjustRightInd w:val="0"/>
              <w:snapToGrid w:val="0"/>
              <w:jc w:val="center"/>
              <w:rPr>
                <w:rFonts w:ascii="Arial" w:hAnsi="Arial" w:cs="Arial"/>
                <w:sz w:val="21"/>
              </w:rPr>
            </w:pPr>
            <w:r>
              <w:rPr>
                <w:rFonts w:ascii="Arial" w:hAnsi="Arial" w:cs="Arial"/>
                <w:sz w:val="21"/>
              </w:rPr>
              <w:t>3</w:t>
            </w:r>
          </w:p>
        </w:tc>
        <w:tc>
          <w:tcPr>
            <w:tcW w:w="1359" w:type="pct"/>
            <w:tcBorders>
              <w:top w:val="single" w:color="000000" w:sz="4" w:space="0"/>
              <w:left w:val="single" w:color="000000" w:sz="4" w:space="0"/>
              <w:bottom w:val="single" w:color="000000" w:sz="4" w:space="0"/>
              <w:right w:val="single" w:color="000000" w:sz="4" w:space="0"/>
            </w:tcBorders>
            <w:vAlign w:val="center"/>
          </w:tcPr>
          <w:p w14:paraId="7580A2C9">
            <w:pPr>
              <w:adjustRightInd w:val="0"/>
              <w:snapToGrid w:val="0"/>
              <w:rPr>
                <w:rFonts w:ascii="Arial" w:hAnsi="Arial" w:eastAsia="宋体" w:cs="Arial"/>
                <w:sz w:val="21"/>
              </w:rPr>
            </w:pPr>
            <w:r>
              <w:rPr>
                <w:rFonts w:ascii="Arial" w:hAnsi="Arial" w:eastAsia="宋体" w:cs="Arial"/>
                <w:sz w:val="21"/>
              </w:rPr>
              <w:t>悬浮物</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62F1F194">
            <w:pPr>
              <w:adjustRightInd w:val="0"/>
              <w:snapToGrid w:val="0"/>
              <w:jc w:val="center"/>
              <w:rPr>
                <w:rFonts w:ascii="Arial" w:hAnsi="Arial" w:cs="Arial"/>
                <w:sz w:val="21"/>
              </w:rPr>
            </w:pPr>
            <w:r>
              <w:rPr>
                <w:rFonts w:ascii="Arial" w:hAnsi="Arial" w:eastAsia="宋体" w:cs="Arial"/>
                <w:sz w:val="21"/>
              </w:rPr>
              <w:t>人为增加的量</w:t>
            </w:r>
            <w:r>
              <w:rPr>
                <w:rFonts w:ascii="Arial" w:hAnsi="Arial" w:cs="Arial"/>
                <w:sz w:val="21"/>
              </w:rPr>
              <w:t>≤10</w:t>
            </w:r>
          </w:p>
        </w:tc>
        <w:tc>
          <w:tcPr>
            <w:tcW w:w="851" w:type="pct"/>
            <w:tcBorders>
              <w:top w:val="single" w:color="000000" w:sz="4" w:space="0"/>
              <w:left w:val="single" w:color="000000" w:sz="4" w:space="0"/>
              <w:bottom w:val="single" w:color="000000" w:sz="4" w:space="0"/>
              <w:right w:val="single" w:color="000000" w:sz="4" w:space="0"/>
            </w:tcBorders>
            <w:vAlign w:val="center"/>
          </w:tcPr>
          <w:p w14:paraId="76CD9EA4">
            <w:pPr>
              <w:adjustRightInd w:val="0"/>
              <w:snapToGrid w:val="0"/>
              <w:jc w:val="center"/>
              <w:rPr>
                <w:rFonts w:ascii="Arial" w:hAnsi="Arial" w:eastAsia="宋体" w:cs="Arial"/>
                <w:sz w:val="21"/>
              </w:rPr>
            </w:pPr>
            <w:r>
              <w:rPr>
                <w:rFonts w:ascii="Arial" w:hAnsi="Arial" w:eastAsia="宋体" w:cs="Arial"/>
                <w:sz w:val="21"/>
              </w:rPr>
              <w:t>人为增加的量</w:t>
            </w:r>
          </w:p>
          <w:p w14:paraId="494BFEA7">
            <w:pPr>
              <w:adjustRightInd w:val="0"/>
              <w:snapToGrid w:val="0"/>
              <w:jc w:val="center"/>
              <w:rPr>
                <w:rFonts w:ascii="Arial" w:hAnsi="Arial" w:cs="Arial"/>
                <w:sz w:val="21"/>
              </w:rPr>
            </w:pPr>
            <w:r>
              <w:rPr>
                <w:rFonts w:ascii="Arial" w:hAnsi="Arial" w:cs="Arial"/>
                <w:sz w:val="21"/>
              </w:rPr>
              <w:t>≤100</w:t>
            </w:r>
          </w:p>
        </w:tc>
        <w:tc>
          <w:tcPr>
            <w:tcW w:w="999" w:type="pct"/>
            <w:tcBorders>
              <w:top w:val="single" w:color="000000" w:sz="4" w:space="0"/>
              <w:left w:val="single" w:color="000000" w:sz="4" w:space="0"/>
              <w:bottom w:val="single" w:color="000000" w:sz="4" w:space="0"/>
              <w:right w:val="single" w:color="000000" w:sz="4" w:space="0"/>
            </w:tcBorders>
            <w:vAlign w:val="center"/>
          </w:tcPr>
          <w:p w14:paraId="037516ED">
            <w:pPr>
              <w:adjustRightInd w:val="0"/>
              <w:snapToGrid w:val="0"/>
              <w:jc w:val="center"/>
              <w:rPr>
                <w:rFonts w:ascii="Arial" w:hAnsi="Arial" w:cs="Arial"/>
                <w:sz w:val="21"/>
              </w:rPr>
            </w:pPr>
            <w:r>
              <w:rPr>
                <w:rFonts w:ascii="Arial" w:hAnsi="Arial" w:eastAsia="宋体" w:cs="Arial"/>
                <w:sz w:val="21"/>
              </w:rPr>
              <w:t>人为增加量的</w:t>
            </w:r>
            <w:r>
              <w:rPr>
                <w:rFonts w:ascii="Arial" w:hAnsi="Arial" w:cs="Arial"/>
                <w:sz w:val="21"/>
              </w:rPr>
              <w:t>≤150</w:t>
            </w:r>
          </w:p>
        </w:tc>
      </w:tr>
      <w:tr w14:paraId="257CA9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3605B9B0">
            <w:pPr>
              <w:adjustRightInd w:val="0"/>
              <w:snapToGrid w:val="0"/>
              <w:jc w:val="center"/>
              <w:rPr>
                <w:rFonts w:ascii="Arial" w:hAnsi="Arial" w:cs="Arial"/>
                <w:sz w:val="21"/>
              </w:rPr>
            </w:pPr>
            <w:r>
              <w:rPr>
                <w:rFonts w:ascii="Arial" w:hAnsi="Arial" w:cs="Arial"/>
                <w:sz w:val="21"/>
              </w:rPr>
              <w:t>4</w:t>
            </w:r>
          </w:p>
        </w:tc>
        <w:tc>
          <w:tcPr>
            <w:tcW w:w="1359" w:type="pct"/>
            <w:tcBorders>
              <w:top w:val="single" w:color="000000" w:sz="4" w:space="0"/>
              <w:left w:val="single" w:color="000000" w:sz="4" w:space="0"/>
              <w:bottom w:val="single" w:color="000000" w:sz="4" w:space="0"/>
              <w:right w:val="single" w:color="000000" w:sz="4" w:space="0"/>
            </w:tcBorders>
            <w:vAlign w:val="center"/>
          </w:tcPr>
          <w:p w14:paraId="14B161F7">
            <w:pPr>
              <w:tabs>
                <w:tab w:val="left" w:pos="948"/>
              </w:tabs>
              <w:adjustRightInd w:val="0"/>
              <w:snapToGrid w:val="0"/>
              <w:rPr>
                <w:rFonts w:ascii="Arial" w:hAnsi="Arial" w:eastAsia="宋体" w:cs="Arial"/>
                <w:sz w:val="21"/>
              </w:rPr>
            </w:pPr>
            <w:r>
              <w:rPr>
                <w:rFonts w:ascii="Arial" w:hAnsi="Arial" w:eastAsia="宋体" w:cs="Arial"/>
                <w:sz w:val="21"/>
              </w:rPr>
              <w:t>溶解氧</w:t>
            </w:r>
            <w:r>
              <w:rPr>
                <w:rFonts w:ascii="Arial" w:hAnsi="Arial" w:eastAsia="宋体" w:cs="Arial"/>
                <w:sz w:val="21"/>
              </w:rPr>
              <w:tab/>
            </w:r>
            <w:r>
              <w:rPr>
                <w:rFonts w:ascii="Arial" w:hAnsi="Arial" w:eastAsia="宋体"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74081014">
            <w:pPr>
              <w:adjustRightInd w:val="0"/>
              <w:snapToGrid w:val="0"/>
              <w:jc w:val="center"/>
              <w:rPr>
                <w:rFonts w:ascii="Arial" w:hAnsi="Arial" w:cs="Arial"/>
                <w:sz w:val="21"/>
              </w:rPr>
            </w:pPr>
            <w:r>
              <w:rPr>
                <w:rFonts w:ascii="Arial" w:hAnsi="Arial" w:cs="Arial"/>
                <w:sz w:val="21"/>
              </w:rPr>
              <w:t>6</w:t>
            </w:r>
          </w:p>
        </w:tc>
        <w:tc>
          <w:tcPr>
            <w:tcW w:w="634" w:type="pct"/>
            <w:tcBorders>
              <w:top w:val="single" w:color="000000" w:sz="4" w:space="0"/>
              <w:left w:val="single" w:color="000000" w:sz="4" w:space="0"/>
              <w:bottom w:val="single" w:color="000000" w:sz="4" w:space="0"/>
              <w:right w:val="single" w:color="000000" w:sz="4" w:space="0"/>
            </w:tcBorders>
            <w:vAlign w:val="center"/>
          </w:tcPr>
          <w:p w14:paraId="745DB6D0">
            <w:pPr>
              <w:adjustRightInd w:val="0"/>
              <w:snapToGrid w:val="0"/>
              <w:jc w:val="center"/>
              <w:rPr>
                <w:rFonts w:ascii="Arial" w:hAnsi="Arial" w:cs="Arial"/>
                <w:sz w:val="21"/>
              </w:rPr>
            </w:pPr>
            <w:r>
              <w:rPr>
                <w:rFonts w:ascii="Arial" w:hAnsi="Arial" w:cs="Arial"/>
                <w:sz w:val="21"/>
              </w:rPr>
              <w:t>5</w:t>
            </w:r>
          </w:p>
        </w:tc>
        <w:tc>
          <w:tcPr>
            <w:tcW w:w="851" w:type="pct"/>
            <w:tcBorders>
              <w:top w:val="single" w:color="000000" w:sz="4" w:space="0"/>
              <w:left w:val="single" w:color="000000" w:sz="4" w:space="0"/>
              <w:bottom w:val="single" w:color="000000" w:sz="4" w:space="0"/>
              <w:right w:val="single" w:color="000000" w:sz="4" w:space="0"/>
            </w:tcBorders>
            <w:vAlign w:val="center"/>
          </w:tcPr>
          <w:p w14:paraId="4A3B4AF7">
            <w:pPr>
              <w:adjustRightInd w:val="0"/>
              <w:snapToGrid w:val="0"/>
              <w:jc w:val="center"/>
              <w:rPr>
                <w:rFonts w:ascii="Arial" w:hAnsi="Arial" w:cs="Arial"/>
                <w:sz w:val="21"/>
              </w:rPr>
            </w:pPr>
            <w:r>
              <w:rPr>
                <w:rFonts w:ascii="Arial" w:hAnsi="Arial" w:cs="Arial"/>
                <w:sz w:val="21"/>
              </w:rPr>
              <w:t>4</w:t>
            </w:r>
          </w:p>
        </w:tc>
        <w:tc>
          <w:tcPr>
            <w:tcW w:w="999" w:type="pct"/>
            <w:tcBorders>
              <w:top w:val="single" w:color="000000" w:sz="4" w:space="0"/>
              <w:left w:val="single" w:color="000000" w:sz="4" w:space="0"/>
              <w:bottom w:val="single" w:color="000000" w:sz="4" w:space="0"/>
              <w:right w:val="single" w:color="000000" w:sz="4" w:space="0"/>
            </w:tcBorders>
            <w:vAlign w:val="center"/>
          </w:tcPr>
          <w:p w14:paraId="5FB7B3E1">
            <w:pPr>
              <w:adjustRightInd w:val="0"/>
              <w:snapToGrid w:val="0"/>
              <w:jc w:val="center"/>
              <w:rPr>
                <w:rFonts w:ascii="Arial" w:hAnsi="Arial" w:cs="Arial"/>
                <w:sz w:val="21"/>
              </w:rPr>
            </w:pPr>
            <w:r>
              <w:rPr>
                <w:rFonts w:ascii="Arial" w:hAnsi="Arial" w:cs="Arial"/>
                <w:sz w:val="21"/>
              </w:rPr>
              <w:t>3</w:t>
            </w:r>
          </w:p>
        </w:tc>
      </w:tr>
      <w:tr w14:paraId="1CAFB6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3A8E3990">
            <w:pPr>
              <w:adjustRightInd w:val="0"/>
              <w:snapToGrid w:val="0"/>
              <w:jc w:val="center"/>
              <w:rPr>
                <w:rFonts w:ascii="Arial" w:hAnsi="Arial" w:cs="Arial"/>
                <w:sz w:val="21"/>
              </w:rPr>
            </w:pPr>
            <w:r>
              <w:rPr>
                <w:rFonts w:ascii="Arial" w:hAnsi="Arial" w:cs="Arial"/>
                <w:sz w:val="21"/>
              </w:rPr>
              <w:t>5</w:t>
            </w:r>
          </w:p>
        </w:tc>
        <w:tc>
          <w:tcPr>
            <w:tcW w:w="1359" w:type="pct"/>
            <w:tcBorders>
              <w:top w:val="single" w:color="000000" w:sz="4" w:space="0"/>
              <w:left w:val="single" w:color="000000" w:sz="4" w:space="0"/>
              <w:bottom w:val="single" w:color="000000" w:sz="4" w:space="0"/>
              <w:right w:val="single" w:color="000000" w:sz="4" w:space="0"/>
            </w:tcBorders>
            <w:vAlign w:val="center"/>
          </w:tcPr>
          <w:p w14:paraId="7D4329D1">
            <w:pPr>
              <w:tabs>
                <w:tab w:val="left" w:pos="1371"/>
              </w:tabs>
              <w:adjustRightInd w:val="0"/>
              <w:snapToGrid w:val="0"/>
              <w:rPr>
                <w:rFonts w:ascii="Arial" w:hAnsi="Arial" w:cs="Arial"/>
                <w:sz w:val="21"/>
              </w:rPr>
            </w:pPr>
            <w:r>
              <w:rPr>
                <w:rFonts w:ascii="Arial" w:hAnsi="Arial" w:eastAsia="宋体" w:cs="Arial"/>
                <w:sz w:val="21"/>
              </w:rPr>
              <w:t>化学需氧量</w:t>
            </w:r>
            <w:r>
              <w:rPr>
                <w:rFonts w:ascii="Arial" w:hAnsi="Arial" w:eastAsia="宋体"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14A83555">
            <w:pPr>
              <w:adjustRightInd w:val="0"/>
              <w:snapToGrid w:val="0"/>
              <w:jc w:val="center"/>
              <w:rPr>
                <w:rFonts w:ascii="Arial" w:hAnsi="Arial" w:cs="Arial"/>
                <w:sz w:val="21"/>
              </w:rPr>
            </w:pPr>
            <w:r>
              <w:rPr>
                <w:rFonts w:ascii="Arial" w:hAnsi="Arial" w:cs="Arial"/>
                <w:sz w:val="21"/>
              </w:rPr>
              <w:t>2</w:t>
            </w:r>
          </w:p>
        </w:tc>
        <w:tc>
          <w:tcPr>
            <w:tcW w:w="634" w:type="pct"/>
            <w:tcBorders>
              <w:top w:val="single" w:color="000000" w:sz="4" w:space="0"/>
              <w:left w:val="single" w:color="000000" w:sz="4" w:space="0"/>
              <w:bottom w:val="single" w:color="000000" w:sz="4" w:space="0"/>
              <w:right w:val="single" w:color="000000" w:sz="4" w:space="0"/>
            </w:tcBorders>
            <w:vAlign w:val="center"/>
          </w:tcPr>
          <w:p w14:paraId="1412C1D8">
            <w:pPr>
              <w:adjustRightInd w:val="0"/>
              <w:snapToGrid w:val="0"/>
              <w:jc w:val="center"/>
              <w:rPr>
                <w:rFonts w:ascii="Arial" w:hAnsi="Arial" w:cs="Arial"/>
                <w:sz w:val="21"/>
              </w:rPr>
            </w:pPr>
            <w:r>
              <w:rPr>
                <w:rFonts w:ascii="Arial" w:hAnsi="Arial" w:cs="Arial"/>
                <w:sz w:val="21"/>
              </w:rPr>
              <w:t>3</w:t>
            </w:r>
          </w:p>
        </w:tc>
        <w:tc>
          <w:tcPr>
            <w:tcW w:w="851" w:type="pct"/>
            <w:tcBorders>
              <w:top w:val="single" w:color="000000" w:sz="4" w:space="0"/>
              <w:left w:val="single" w:color="000000" w:sz="4" w:space="0"/>
              <w:bottom w:val="single" w:color="000000" w:sz="4" w:space="0"/>
              <w:right w:val="single" w:color="000000" w:sz="4" w:space="0"/>
            </w:tcBorders>
            <w:vAlign w:val="center"/>
          </w:tcPr>
          <w:p w14:paraId="2EA32548">
            <w:pPr>
              <w:adjustRightInd w:val="0"/>
              <w:snapToGrid w:val="0"/>
              <w:jc w:val="center"/>
              <w:rPr>
                <w:rFonts w:ascii="Arial" w:hAnsi="Arial" w:cs="Arial"/>
                <w:sz w:val="21"/>
              </w:rPr>
            </w:pPr>
            <w:r>
              <w:rPr>
                <w:rFonts w:ascii="Arial" w:hAnsi="Arial" w:cs="Arial"/>
                <w:sz w:val="21"/>
              </w:rPr>
              <w:t>4</w:t>
            </w:r>
          </w:p>
        </w:tc>
        <w:tc>
          <w:tcPr>
            <w:tcW w:w="999" w:type="pct"/>
            <w:tcBorders>
              <w:top w:val="single" w:color="000000" w:sz="4" w:space="0"/>
              <w:left w:val="single" w:color="000000" w:sz="4" w:space="0"/>
              <w:bottom w:val="single" w:color="000000" w:sz="4" w:space="0"/>
              <w:right w:val="single" w:color="000000" w:sz="4" w:space="0"/>
            </w:tcBorders>
            <w:vAlign w:val="center"/>
          </w:tcPr>
          <w:p w14:paraId="43D9FC45">
            <w:pPr>
              <w:adjustRightInd w:val="0"/>
              <w:snapToGrid w:val="0"/>
              <w:jc w:val="center"/>
              <w:rPr>
                <w:rFonts w:ascii="Arial" w:hAnsi="Arial" w:cs="Arial"/>
                <w:sz w:val="21"/>
              </w:rPr>
            </w:pPr>
            <w:r>
              <w:rPr>
                <w:rFonts w:ascii="Arial" w:hAnsi="Arial" w:cs="Arial"/>
                <w:sz w:val="21"/>
              </w:rPr>
              <w:t>5</w:t>
            </w:r>
          </w:p>
        </w:tc>
      </w:tr>
      <w:tr w14:paraId="61CFE7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1C0BCC2C">
            <w:pPr>
              <w:adjustRightInd w:val="0"/>
              <w:snapToGrid w:val="0"/>
              <w:jc w:val="center"/>
              <w:rPr>
                <w:rFonts w:ascii="Arial" w:hAnsi="Arial" w:cs="Arial"/>
                <w:sz w:val="21"/>
              </w:rPr>
            </w:pPr>
            <w:r>
              <w:rPr>
                <w:rFonts w:ascii="Arial" w:hAnsi="Arial" w:cs="Arial"/>
                <w:sz w:val="21"/>
              </w:rPr>
              <w:t>6</w:t>
            </w:r>
          </w:p>
        </w:tc>
        <w:tc>
          <w:tcPr>
            <w:tcW w:w="1359" w:type="pct"/>
            <w:tcBorders>
              <w:top w:val="single" w:color="000000" w:sz="4" w:space="0"/>
              <w:left w:val="single" w:color="000000" w:sz="4" w:space="0"/>
              <w:bottom w:val="single" w:color="000000" w:sz="4" w:space="0"/>
              <w:right w:val="single" w:color="000000" w:sz="4" w:space="0"/>
            </w:tcBorders>
            <w:vAlign w:val="center"/>
          </w:tcPr>
          <w:p w14:paraId="0BA479AC">
            <w:pPr>
              <w:tabs>
                <w:tab w:val="left" w:pos="1659"/>
              </w:tabs>
              <w:adjustRightInd w:val="0"/>
              <w:snapToGrid w:val="0"/>
              <w:rPr>
                <w:rFonts w:ascii="Arial" w:hAnsi="Arial" w:cs="Arial"/>
                <w:sz w:val="21"/>
              </w:rPr>
            </w:pPr>
            <w:r>
              <w:rPr>
                <w:rFonts w:ascii="Arial" w:hAnsi="Arial" w:eastAsia="宋体" w:cs="Arial"/>
                <w:sz w:val="21"/>
              </w:rPr>
              <w:t>无机氮</w:t>
            </w:r>
            <w:r>
              <w:rPr>
                <w:rFonts w:ascii="Arial" w:hAnsi="Arial" w:cs="Arial"/>
                <w:sz w:val="21"/>
              </w:rPr>
              <w:t>(</w:t>
            </w:r>
            <w:r>
              <w:rPr>
                <w:rFonts w:ascii="Arial" w:hAnsi="Arial" w:eastAsia="宋体" w:cs="Arial"/>
                <w:sz w:val="21"/>
              </w:rPr>
              <w:t>以</w:t>
            </w:r>
            <w:r>
              <w:rPr>
                <w:rFonts w:ascii="Arial" w:hAnsi="Arial" w:cs="Arial"/>
                <w:sz w:val="21"/>
              </w:rPr>
              <w:t>N</w:t>
            </w:r>
            <w:r>
              <w:rPr>
                <w:rFonts w:ascii="Arial" w:hAnsi="Arial" w:eastAsia="宋体" w:cs="Arial"/>
                <w:sz w:val="21"/>
              </w:rPr>
              <w:t>计</w:t>
            </w:r>
            <w:r>
              <w:rPr>
                <w:rFonts w:ascii="Arial" w:hAnsi="Arial" w:cs="Arial"/>
                <w:sz w:val="21"/>
              </w:rPr>
              <w:t>)</w:t>
            </w:r>
            <w:r>
              <w:rPr>
                <w:rFonts w:ascii="Arial" w:hAnsi="Arial"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3FDC6C1D">
            <w:pPr>
              <w:adjustRightInd w:val="0"/>
              <w:snapToGrid w:val="0"/>
              <w:jc w:val="center"/>
              <w:rPr>
                <w:rFonts w:ascii="Arial" w:hAnsi="Arial" w:cs="Arial"/>
                <w:sz w:val="21"/>
              </w:rPr>
            </w:pPr>
            <w:r>
              <w:rPr>
                <w:rFonts w:ascii="Arial" w:hAnsi="Arial" w:cs="Arial"/>
                <w:sz w:val="21"/>
              </w:rPr>
              <w:t>0.20</w:t>
            </w:r>
          </w:p>
        </w:tc>
        <w:tc>
          <w:tcPr>
            <w:tcW w:w="634" w:type="pct"/>
            <w:tcBorders>
              <w:top w:val="single" w:color="000000" w:sz="4" w:space="0"/>
              <w:left w:val="single" w:color="000000" w:sz="4" w:space="0"/>
              <w:bottom w:val="single" w:color="000000" w:sz="4" w:space="0"/>
              <w:right w:val="single" w:color="000000" w:sz="4" w:space="0"/>
            </w:tcBorders>
            <w:vAlign w:val="center"/>
          </w:tcPr>
          <w:p w14:paraId="062C69F5">
            <w:pPr>
              <w:adjustRightInd w:val="0"/>
              <w:snapToGrid w:val="0"/>
              <w:jc w:val="center"/>
              <w:rPr>
                <w:rFonts w:ascii="Arial" w:hAnsi="Arial" w:cs="Arial"/>
                <w:sz w:val="21"/>
              </w:rPr>
            </w:pPr>
            <w:r>
              <w:rPr>
                <w:rFonts w:ascii="Arial" w:hAnsi="Arial" w:cs="Arial"/>
                <w:sz w:val="21"/>
              </w:rPr>
              <w:t>0.30</w:t>
            </w:r>
          </w:p>
        </w:tc>
        <w:tc>
          <w:tcPr>
            <w:tcW w:w="851" w:type="pct"/>
            <w:tcBorders>
              <w:top w:val="single" w:color="000000" w:sz="4" w:space="0"/>
              <w:left w:val="single" w:color="000000" w:sz="4" w:space="0"/>
              <w:bottom w:val="single" w:color="000000" w:sz="4" w:space="0"/>
              <w:right w:val="single" w:color="000000" w:sz="4" w:space="0"/>
            </w:tcBorders>
            <w:vAlign w:val="center"/>
          </w:tcPr>
          <w:p w14:paraId="70E9922D">
            <w:pPr>
              <w:adjustRightInd w:val="0"/>
              <w:snapToGrid w:val="0"/>
              <w:jc w:val="center"/>
              <w:rPr>
                <w:rFonts w:ascii="Arial" w:hAnsi="Arial" w:cs="Arial"/>
                <w:sz w:val="21"/>
              </w:rPr>
            </w:pPr>
            <w:r>
              <w:rPr>
                <w:rFonts w:ascii="Arial" w:hAnsi="Arial" w:cs="Arial"/>
                <w:sz w:val="21"/>
              </w:rPr>
              <w:t>0.40</w:t>
            </w:r>
          </w:p>
        </w:tc>
        <w:tc>
          <w:tcPr>
            <w:tcW w:w="999" w:type="pct"/>
            <w:tcBorders>
              <w:top w:val="single" w:color="000000" w:sz="4" w:space="0"/>
              <w:left w:val="single" w:color="000000" w:sz="4" w:space="0"/>
              <w:bottom w:val="single" w:color="000000" w:sz="4" w:space="0"/>
              <w:right w:val="single" w:color="000000" w:sz="4" w:space="0"/>
            </w:tcBorders>
            <w:vAlign w:val="center"/>
          </w:tcPr>
          <w:p w14:paraId="4B99AEB3">
            <w:pPr>
              <w:adjustRightInd w:val="0"/>
              <w:snapToGrid w:val="0"/>
              <w:jc w:val="center"/>
              <w:rPr>
                <w:rFonts w:ascii="Arial" w:hAnsi="Arial" w:cs="Arial"/>
                <w:sz w:val="21"/>
              </w:rPr>
            </w:pPr>
            <w:r>
              <w:rPr>
                <w:rFonts w:ascii="Arial" w:hAnsi="Arial" w:cs="Arial"/>
                <w:sz w:val="21"/>
              </w:rPr>
              <w:t>0.50</w:t>
            </w:r>
          </w:p>
        </w:tc>
      </w:tr>
      <w:tr w14:paraId="624C8F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7FF7280A">
            <w:pPr>
              <w:adjustRightInd w:val="0"/>
              <w:snapToGrid w:val="0"/>
              <w:jc w:val="center"/>
              <w:rPr>
                <w:rFonts w:ascii="Arial" w:hAnsi="Arial" w:cs="Arial"/>
                <w:sz w:val="21"/>
              </w:rPr>
            </w:pPr>
            <w:r>
              <w:rPr>
                <w:rFonts w:ascii="Arial" w:hAnsi="Arial" w:cs="Arial"/>
                <w:sz w:val="21"/>
              </w:rPr>
              <w:t>7</w:t>
            </w:r>
          </w:p>
        </w:tc>
        <w:tc>
          <w:tcPr>
            <w:tcW w:w="1359" w:type="pct"/>
            <w:tcBorders>
              <w:top w:val="single" w:color="000000" w:sz="4" w:space="0"/>
              <w:left w:val="single" w:color="000000" w:sz="4" w:space="0"/>
              <w:bottom w:val="single" w:color="000000" w:sz="4" w:space="0"/>
              <w:right w:val="single" w:color="000000" w:sz="4" w:space="0"/>
            </w:tcBorders>
            <w:vAlign w:val="center"/>
          </w:tcPr>
          <w:p w14:paraId="47C80C2E">
            <w:pPr>
              <w:tabs>
                <w:tab w:val="left" w:pos="1870"/>
              </w:tabs>
              <w:adjustRightInd w:val="0"/>
              <w:snapToGrid w:val="0"/>
              <w:rPr>
                <w:rFonts w:ascii="Arial" w:hAnsi="Arial" w:cs="Arial"/>
                <w:sz w:val="21"/>
              </w:rPr>
            </w:pPr>
            <w:r>
              <w:rPr>
                <w:rFonts w:ascii="Arial" w:hAnsi="Arial" w:eastAsia="宋体" w:cs="Arial"/>
                <w:sz w:val="21"/>
              </w:rPr>
              <w:t>非离子氨</w:t>
            </w:r>
            <w:r>
              <w:rPr>
                <w:rFonts w:ascii="Arial" w:hAnsi="Arial" w:cs="Arial"/>
                <w:sz w:val="21"/>
              </w:rPr>
              <w:t>(</w:t>
            </w:r>
            <w:r>
              <w:rPr>
                <w:rFonts w:ascii="Arial" w:hAnsi="Arial" w:eastAsia="宋体" w:cs="Arial"/>
                <w:sz w:val="21"/>
              </w:rPr>
              <w:t>以</w:t>
            </w:r>
            <w:r>
              <w:rPr>
                <w:rFonts w:ascii="Arial" w:hAnsi="Arial" w:cs="Arial"/>
                <w:sz w:val="21"/>
              </w:rPr>
              <w:t>N</w:t>
            </w:r>
            <w:r>
              <w:rPr>
                <w:rFonts w:ascii="Arial" w:hAnsi="Arial" w:eastAsia="宋体" w:cs="Arial"/>
                <w:sz w:val="21"/>
              </w:rPr>
              <w:t>计</w:t>
            </w:r>
            <w:r>
              <w:rPr>
                <w:rFonts w:ascii="Arial" w:hAnsi="Arial" w:cs="Arial"/>
                <w:sz w:val="21"/>
              </w:rPr>
              <w:t>)</w:t>
            </w:r>
            <w:r>
              <w:rPr>
                <w:rFonts w:ascii="Arial" w:hAnsi="Arial" w:cs="Arial"/>
                <w:sz w:val="21"/>
              </w:rPr>
              <w:tab/>
            </w:r>
            <w:r>
              <w:rPr>
                <w:rFonts w:ascii="Arial" w:hAnsi="Arial" w:cs="Arial"/>
                <w:sz w:val="21"/>
              </w:rPr>
              <w:t>≤</w:t>
            </w:r>
          </w:p>
        </w:tc>
        <w:tc>
          <w:tcPr>
            <w:tcW w:w="3296" w:type="pct"/>
            <w:gridSpan w:val="4"/>
            <w:tcBorders>
              <w:top w:val="single" w:color="000000" w:sz="4" w:space="0"/>
              <w:left w:val="single" w:color="000000" w:sz="4" w:space="0"/>
              <w:bottom w:val="single" w:color="000000" w:sz="4" w:space="0"/>
              <w:right w:val="single" w:color="000000" w:sz="4" w:space="0"/>
            </w:tcBorders>
            <w:vAlign w:val="center"/>
          </w:tcPr>
          <w:p w14:paraId="608826FD">
            <w:pPr>
              <w:adjustRightInd w:val="0"/>
              <w:snapToGrid w:val="0"/>
              <w:jc w:val="center"/>
              <w:rPr>
                <w:rFonts w:ascii="Arial" w:hAnsi="Arial" w:cs="Arial"/>
                <w:sz w:val="21"/>
              </w:rPr>
            </w:pPr>
            <w:r>
              <w:rPr>
                <w:rFonts w:ascii="Arial" w:hAnsi="Arial" w:cs="Arial"/>
                <w:sz w:val="21"/>
              </w:rPr>
              <w:t>0.020</w:t>
            </w:r>
          </w:p>
        </w:tc>
      </w:tr>
      <w:tr w14:paraId="4CF5FF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2E27286F">
            <w:pPr>
              <w:adjustRightInd w:val="0"/>
              <w:snapToGrid w:val="0"/>
              <w:jc w:val="center"/>
              <w:rPr>
                <w:rFonts w:ascii="Arial" w:hAnsi="Arial" w:cs="Arial"/>
                <w:sz w:val="21"/>
              </w:rPr>
            </w:pPr>
            <w:r>
              <w:rPr>
                <w:rFonts w:ascii="Arial" w:hAnsi="Arial" w:cs="Arial"/>
                <w:sz w:val="21"/>
              </w:rPr>
              <w:t>8</w:t>
            </w:r>
          </w:p>
        </w:tc>
        <w:tc>
          <w:tcPr>
            <w:tcW w:w="1359" w:type="pct"/>
            <w:tcBorders>
              <w:top w:val="single" w:color="000000" w:sz="4" w:space="0"/>
              <w:left w:val="single" w:color="000000" w:sz="4" w:space="0"/>
              <w:bottom w:val="single" w:color="000000" w:sz="4" w:space="0"/>
              <w:right w:val="single" w:color="000000" w:sz="4" w:space="0"/>
            </w:tcBorders>
            <w:vAlign w:val="center"/>
          </w:tcPr>
          <w:p w14:paraId="2F46EA04">
            <w:pPr>
              <w:adjustRightInd w:val="0"/>
              <w:snapToGrid w:val="0"/>
              <w:rPr>
                <w:rFonts w:ascii="Arial" w:hAnsi="Arial" w:cs="Arial"/>
                <w:sz w:val="21"/>
              </w:rPr>
            </w:pPr>
            <w:r>
              <w:rPr>
                <w:rFonts w:ascii="Arial" w:hAnsi="Arial" w:eastAsia="宋体" w:cs="Arial"/>
                <w:sz w:val="21"/>
              </w:rPr>
              <w:t>活性磷酸盐（以</w:t>
            </w:r>
            <w:r>
              <w:rPr>
                <w:rFonts w:ascii="Arial" w:hAnsi="Arial" w:cs="Arial"/>
                <w:sz w:val="21"/>
              </w:rPr>
              <w:t>P</w:t>
            </w:r>
            <w:r>
              <w:rPr>
                <w:rFonts w:ascii="Arial" w:hAnsi="Arial" w:eastAsia="宋体" w:cs="Arial"/>
                <w:sz w:val="21"/>
              </w:rPr>
              <w:t>计）</w:t>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4E8C5E10">
            <w:pPr>
              <w:adjustRightInd w:val="0"/>
              <w:snapToGrid w:val="0"/>
              <w:jc w:val="center"/>
              <w:rPr>
                <w:rFonts w:ascii="Arial" w:hAnsi="Arial" w:cs="Arial"/>
                <w:sz w:val="21"/>
              </w:rPr>
            </w:pPr>
            <w:r>
              <w:rPr>
                <w:rFonts w:ascii="Arial" w:hAnsi="Arial" w:cs="Arial"/>
                <w:sz w:val="21"/>
              </w:rPr>
              <w:t>0.015</w:t>
            </w:r>
          </w:p>
        </w:tc>
        <w:tc>
          <w:tcPr>
            <w:tcW w:w="1485" w:type="pct"/>
            <w:gridSpan w:val="2"/>
            <w:tcBorders>
              <w:top w:val="single" w:color="000000" w:sz="4" w:space="0"/>
              <w:left w:val="single" w:color="000000" w:sz="4" w:space="0"/>
              <w:bottom w:val="single" w:color="000000" w:sz="4" w:space="0"/>
              <w:right w:val="single" w:color="000000" w:sz="4" w:space="0"/>
            </w:tcBorders>
            <w:vAlign w:val="center"/>
          </w:tcPr>
          <w:p w14:paraId="7A017801">
            <w:pPr>
              <w:adjustRightInd w:val="0"/>
              <w:snapToGrid w:val="0"/>
              <w:jc w:val="center"/>
              <w:rPr>
                <w:rFonts w:ascii="Arial" w:hAnsi="Arial" w:cs="Arial"/>
                <w:sz w:val="21"/>
              </w:rPr>
            </w:pPr>
            <w:r>
              <w:rPr>
                <w:rFonts w:ascii="Arial" w:hAnsi="Arial" w:cs="Arial"/>
                <w:sz w:val="21"/>
              </w:rPr>
              <w:t>0.030</w:t>
            </w:r>
          </w:p>
        </w:tc>
        <w:tc>
          <w:tcPr>
            <w:tcW w:w="999" w:type="pct"/>
            <w:tcBorders>
              <w:top w:val="single" w:color="000000" w:sz="4" w:space="0"/>
              <w:left w:val="single" w:color="000000" w:sz="4" w:space="0"/>
              <w:bottom w:val="single" w:color="000000" w:sz="4" w:space="0"/>
              <w:right w:val="single" w:color="000000" w:sz="4" w:space="0"/>
            </w:tcBorders>
            <w:vAlign w:val="center"/>
          </w:tcPr>
          <w:p w14:paraId="2565C9A8">
            <w:pPr>
              <w:adjustRightInd w:val="0"/>
              <w:snapToGrid w:val="0"/>
              <w:jc w:val="center"/>
              <w:rPr>
                <w:rFonts w:ascii="Arial" w:hAnsi="Arial" w:cs="Arial"/>
                <w:sz w:val="21"/>
              </w:rPr>
            </w:pPr>
            <w:r>
              <w:rPr>
                <w:rFonts w:ascii="Arial" w:hAnsi="Arial" w:cs="Arial"/>
                <w:sz w:val="21"/>
              </w:rPr>
              <w:t>0.045</w:t>
            </w:r>
          </w:p>
        </w:tc>
      </w:tr>
      <w:tr w14:paraId="32BC47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144F516A">
            <w:pPr>
              <w:adjustRightInd w:val="0"/>
              <w:snapToGrid w:val="0"/>
              <w:jc w:val="center"/>
              <w:rPr>
                <w:rFonts w:ascii="Arial" w:hAnsi="Arial" w:cs="Arial"/>
                <w:sz w:val="21"/>
              </w:rPr>
            </w:pPr>
            <w:r>
              <w:rPr>
                <w:rFonts w:ascii="Arial" w:hAnsi="Arial" w:cs="Arial"/>
                <w:sz w:val="21"/>
              </w:rPr>
              <w:t>9</w:t>
            </w:r>
          </w:p>
        </w:tc>
        <w:tc>
          <w:tcPr>
            <w:tcW w:w="1359" w:type="pct"/>
            <w:tcBorders>
              <w:top w:val="single" w:color="000000" w:sz="4" w:space="0"/>
              <w:left w:val="single" w:color="000000" w:sz="4" w:space="0"/>
              <w:bottom w:val="single" w:color="000000" w:sz="4" w:space="0"/>
              <w:right w:val="single" w:color="000000" w:sz="4" w:space="0"/>
            </w:tcBorders>
            <w:vAlign w:val="center"/>
          </w:tcPr>
          <w:p w14:paraId="41F30455">
            <w:pPr>
              <w:tabs>
                <w:tab w:val="left" w:pos="843"/>
              </w:tabs>
              <w:adjustRightInd w:val="0"/>
              <w:snapToGrid w:val="0"/>
              <w:rPr>
                <w:rFonts w:ascii="Arial" w:hAnsi="Arial" w:cs="Arial"/>
                <w:sz w:val="21"/>
              </w:rPr>
            </w:pPr>
            <w:r>
              <w:rPr>
                <w:rFonts w:ascii="Arial" w:hAnsi="Arial" w:eastAsia="宋体" w:cs="Arial"/>
                <w:sz w:val="21"/>
              </w:rPr>
              <w:t>石油类</w:t>
            </w:r>
            <w:r>
              <w:rPr>
                <w:rFonts w:ascii="Arial" w:hAnsi="Arial" w:eastAsia="宋体" w:cs="Arial"/>
                <w:sz w:val="21"/>
              </w:rPr>
              <w:tab/>
            </w:r>
            <w:r>
              <w:rPr>
                <w:rFonts w:ascii="Arial" w:hAnsi="Arial" w:cs="Arial"/>
                <w:sz w:val="21"/>
              </w:rPr>
              <w:t>≤</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22FA0CE5">
            <w:pPr>
              <w:adjustRightInd w:val="0"/>
              <w:snapToGrid w:val="0"/>
              <w:jc w:val="center"/>
              <w:rPr>
                <w:rFonts w:ascii="Arial" w:hAnsi="Arial" w:cs="Arial"/>
                <w:sz w:val="21"/>
              </w:rPr>
            </w:pPr>
            <w:r>
              <w:rPr>
                <w:rFonts w:ascii="Arial" w:hAnsi="Arial" w:cs="Arial"/>
                <w:sz w:val="21"/>
              </w:rPr>
              <w:t>0.050</w:t>
            </w:r>
          </w:p>
        </w:tc>
        <w:tc>
          <w:tcPr>
            <w:tcW w:w="851" w:type="pct"/>
            <w:tcBorders>
              <w:top w:val="single" w:color="000000" w:sz="4" w:space="0"/>
              <w:left w:val="single" w:color="000000" w:sz="4" w:space="0"/>
              <w:bottom w:val="single" w:color="000000" w:sz="4" w:space="0"/>
              <w:right w:val="single" w:color="000000" w:sz="4" w:space="0"/>
            </w:tcBorders>
            <w:vAlign w:val="center"/>
          </w:tcPr>
          <w:p w14:paraId="6DCD62C3">
            <w:pPr>
              <w:adjustRightInd w:val="0"/>
              <w:snapToGrid w:val="0"/>
              <w:jc w:val="center"/>
              <w:rPr>
                <w:rFonts w:ascii="Arial" w:hAnsi="Arial" w:cs="Arial"/>
                <w:sz w:val="21"/>
              </w:rPr>
            </w:pPr>
            <w:r>
              <w:rPr>
                <w:rFonts w:ascii="Arial" w:hAnsi="Arial" w:cs="Arial"/>
                <w:sz w:val="21"/>
              </w:rPr>
              <w:t>0.30</w:t>
            </w:r>
          </w:p>
        </w:tc>
        <w:tc>
          <w:tcPr>
            <w:tcW w:w="999" w:type="pct"/>
            <w:tcBorders>
              <w:top w:val="single" w:color="000000" w:sz="4" w:space="0"/>
              <w:left w:val="single" w:color="000000" w:sz="4" w:space="0"/>
              <w:bottom w:val="single" w:color="000000" w:sz="4" w:space="0"/>
              <w:right w:val="single" w:color="000000" w:sz="4" w:space="0"/>
            </w:tcBorders>
            <w:vAlign w:val="center"/>
          </w:tcPr>
          <w:p w14:paraId="7B52CE2B">
            <w:pPr>
              <w:adjustRightInd w:val="0"/>
              <w:snapToGrid w:val="0"/>
              <w:jc w:val="center"/>
              <w:rPr>
                <w:rFonts w:ascii="Arial" w:hAnsi="Arial" w:cs="Arial"/>
                <w:sz w:val="21"/>
              </w:rPr>
            </w:pPr>
            <w:r>
              <w:rPr>
                <w:rFonts w:ascii="Arial" w:hAnsi="Arial" w:cs="Arial"/>
                <w:sz w:val="21"/>
              </w:rPr>
              <w:t>0.50</w:t>
            </w:r>
          </w:p>
        </w:tc>
      </w:tr>
      <w:tr w14:paraId="73CFC7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7C053C6E">
            <w:pPr>
              <w:adjustRightInd w:val="0"/>
              <w:snapToGrid w:val="0"/>
              <w:jc w:val="center"/>
              <w:rPr>
                <w:rFonts w:ascii="Arial" w:hAnsi="Arial" w:cs="Arial"/>
                <w:sz w:val="21"/>
              </w:rPr>
            </w:pPr>
            <w:r>
              <w:rPr>
                <w:rFonts w:ascii="Arial" w:hAnsi="Arial" w:cs="Arial"/>
                <w:sz w:val="21"/>
              </w:rPr>
              <w:t>10</w:t>
            </w:r>
          </w:p>
        </w:tc>
        <w:tc>
          <w:tcPr>
            <w:tcW w:w="1359" w:type="pct"/>
            <w:tcBorders>
              <w:top w:val="single" w:color="000000" w:sz="4" w:space="0"/>
              <w:left w:val="single" w:color="000000" w:sz="4" w:space="0"/>
              <w:bottom w:val="single" w:color="000000" w:sz="4" w:space="0"/>
              <w:right w:val="single" w:color="000000" w:sz="4" w:space="0"/>
            </w:tcBorders>
            <w:vAlign w:val="center"/>
          </w:tcPr>
          <w:p w14:paraId="6FEC4949">
            <w:pPr>
              <w:tabs>
                <w:tab w:val="left" w:pos="424"/>
              </w:tabs>
              <w:adjustRightInd w:val="0"/>
              <w:snapToGrid w:val="0"/>
              <w:rPr>
                <w:rFonts w:ascii="Arial" w:hAnsi="Arial" w:cs="Arial"/>
                <w:sz w:val="21"/>
              </w:rPr>
            </w:pPr>
            <w:r>
              <w:rPr>
                <w:rFonts w:ascii="Arial" w:hAnsi="Arial" w:eastAsia="宋体" w:cs="Arial"/>
                <w:sz w:val="21"/>
              </w:rPr>
              <w:t>汞</w:t>
            </w:r>
            <w:r>
              <w:rPr>
                <w:rFonts w:ascii="Arial" w:hAnsi="Arial" w:eastAsia="宋体"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56C46323">
            <w:pPr>
              <w:adjustRightInd w:val="0"/>
              <w:snapToGrid w:val="0"/>
              <w:jc w:val="center"/>
              <w:rPr>
                <w:rFonts w:ascii="Arial" w:hAnsi="Arial" w:cs="Arial"/>
                <w:sz w:val="21"/>
              </w:rPr>
            </w:pPr>
            <w:r>
              <w:rPr>
                <w:rFonts w:ascii="Arial" w:hAnsi="Arial" w:cs="Arial"/>
                <w:sz w:val="21"/>
              </w:rPr>
              <w:t>0.00005</w:t>
            </w:r>
          </w:p>
        </w:tc>
        <w:tc>
          <w:tcPr>
            <w:tcW w:w="1485" w:type="pct"/>
            <w:gridSpan w:val="2"/>
            <w:tcBorders>
              <w:top w:val="single" w:color="000000" w:sz="4" w:space="0"/>
              <w:left w:val="single" w:color="000000" w:sz="4" w:space="0"/>
              <w:bottom w:val="single" w:color="000000" w:sz="4" w:space="0"/>
              <w:right w:val="single" w:color="000000" w:sz="4" w:space="0"/>
            </w:tcBorders>
            <w:vAlign w:val="center"/>
          </w:tcPr>
          <w:p w14:paraId="471C2C07">
            <w:pPr>
              <w:adjustRightInd w:val="0"/>
              <w:snapToGrid w:val="0"/>
              <w:jc w:val="center"/>
              <w:rPr>
                <w:rFonts w:ascii="Arial" w:hAnsi="Arial" w:cs="Arial"/>
                <w:sz w:val="21"/>
              </w:rPr>
            </w:pPr>
            <w:r>
              <w:rPr>
                <w:rFonts w:ascii="Arial" w:hAnsi="Arial" w:cs="Arial"/>
                <w:sz w:val="21"/>
              </w:rPr>
              <w:t>0.0002</w:t>
            </w:r>
          </w:p>
        </w:tc>
        <w:tc>
          <w:tcPr>
            <w:tcW w:w="999" w:type="pct"/>
            <w:tcBorders>
              <w:top w:val="single" w:color="000000" w:sz="4" w:space="0"/>
              <w:left w:val="single" w:color="000000" w:sz="4" w:space="0"/>
              <w:bottom w:val="single" w:color="000000" w:sz="4" w:space="0"/>
              <w:right w:val="single" w:color="000000" w:sz="4" w:space="0"/>
            </w:tcBorders>
            <w:vAlign w:val="center"/>
          </w:tcPr>
          <w:p w14:paraId="1ED1DB1E">
            <w:pPr>
              <w:adjustRightInd w:val="0"/>
              <w:snapToGrid w:val="0"/>
              <w:jc w:val="center"/>
              <w:rPr>
                <w:rFonts w:ascii="Arial" w:hAnsi="Arial" w:cs="Arial"/>
                <w:sz w:val="21"/>
              </w:rPr>
            </w:pPr>
            <w:r>
              <w:rPr>
                <w:rFonts w:ascii="Arial" w:hAnsi="Arial" w:cs="Arial"/>
                <w:sz w:val="21"/>
              </w:rPr>
              <w:t>0.0005</w:t>
            </w:r>
          </w:p>
        </w:tc>
      </w:tr>
      <w:tr w14:paraId="3DEBC1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0531866E">
            <w:pPr>
              <w:adjustRightInd w:val="0"/>
              <w:snapToGrid w:val="0"/>
              <w:jc w:val="center"/>
              <w:rPr>
                <w:rFonts w:ascii="Arial" w:hAnsi="Arial" w:cs="Arial"/>
                <w:sz w:val="21"/>
              </w:rPr>
            </w:pPr>
            <w:r>
              <w:rPr>
                <w:rFonts w:ascii="Arial" w:hAnsi="Arial" w:cs="Arial"/>
                <w:sz w:val="21"/>
              </w:rPr>
              <w:t>11</w:t>
            </w:r>
          </w:p>
        </w:tc>
        <w:tc>
          <w:tcPr>
            <w:tcW w:w="1359" w:type="pct"/>
            <w:tcBorders>
              <w:top w:val="single" w:color="000000" w:sz="4" w:space="0"/>
              <w:left w:val="single" w:color="000000" w:sz="4" w:space="0"/>
              <w:bottom w:val="single" w:color="000000" w:sz="4" w:space="0"/>
              <w:right w:val="single" w:color="000000" w:sz="4" w:space="0"/>
            </w:tcBorders>
            <w:vAlign w:val="center"/>
          </w:tcPr>
          <w:p w14:paraId="57FED3D8">
            <w:pPr>
              <w:tabs>
                <w:tab w:val="left" w:pos="424"/>
              </w:tabs>
              <w:adjustRightInd w:val="0"/>
              <w:snapToGrid w:val="0"/>
              <w:rPr>
                <w:rFonts w:ascii="Arial" w:hAnsi="Arial" w:cs="Arial"/>
                <w:sz w:val="21"/>
              </w:rPr>
            </w:pPr>
            <w:r>
              <w:rPr>
                <w:rFonts w:ascii="Arial" w:hAnsi="Arial" w:eastAsia="宋体" w:cs="Arial"/>
                <w:sz w:val="21"/>
              </w:rPr>
              <w:t>铅</w:t>
            </w:r>
            <w:r>
              <w:rPr>
                <w:rFonts w:ascii="Arial" w:hAnsi="Arial" w:eastAsia="宋体"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6611F3E9">
            <w:pPr>
              <w:adjustRightInd w:val="0"/>
              <w:snapToGrid w:val="0"/>
              <w:jc w:val="center"/>
              <w:rPr>
                <w:rFonts w:ascii="Arial" w:hAnsi="Arial" w:cs="Arial"/>
                <w:sz w:val="21"/>
              </w:rPr>
            </w:pPr>
            <w:r>
              <w:rPr>
                <w:rFonts w:ascii="Arial" w:hAnsi="Arial" w:cs="Arial"/>
                <w:sz w:val="21"/>
              </w:rPr>
              <w:t>0.001</w:t>
            </w:r>
          </w:p>
        </w:tc>
        <w:tc>
          <w:tcPr>
            <w:tcW w:w="634" w:type="pct"/>
            <w:tcBorders>
              <w:top w:val="single" w:color="000000" w:sz="4" w:space="0"/>
              <w:left w:val="single" w:color="000000" w:sz="4" w:space="0"/>
              <w:bottom w:val="single" w:color="000000" w:sz="4" w:space="0"/>
              <w:right w:val="single" w:color="000000" w:sz="4" w:space="0"/>
            </w:tcBorders>
            <w:vAlign w:val="center"/>
          </w:tcPr>
          <w:p w14:paraId="59C727CE">
            <w:pPr>
              <w:adjustRightInd w:val="0"/>
              <w:snapToGrid w:val="0"/>
              <w:jc w:val="center"/>
              <w:rPr>
                <w:rFonts w:ascii="Arial" w:hAnsi="Arial" w:cs="Arial"/>
                <w:sz w:val="21"/>
              </w:rPr>
            </w:pPr>
            <w:r>
              <w:rPr>
                <w:rFonts w:ascii="Arial" w:hAnsi="Arial" w:cs="Arial"/>
                <w:sz w:val="21"/>
              </w:rPr>
              <w:t>0.005</w:t>
            </w:r>
          </w:p>
        </w:tc>
        <w:tc>
          <w:tcPr>
            <w:tcW w:w="851" w:type="pct"/>
            <w:tcBorders>
              <w:top w:val="single" w:color="000000" w:sz="4" w:space="0"/>
              <w:left w:val="single" w:color="000000" w:sz="4" w:space="0"/>
              <w:bottom w:val="single" w:color="000000" w:sz="4" w:space="0"/>
              <w:right w:val="single" w:color="000000" w:sz="4" w:space="0"/>
            </w:tcBorders>
            <w:vAlign w:val="center"/>
          </w:tcPr>
          <w:p w14:paraId="484EF4D5">
            <w:pPr>
              <w:adjustRightInd w:val="0"/>
              <w:snapToGrid w:val="0"/>
              <w:jc w:val="center"/>
              <w:rPr>
                <w:rFonts w:ascii="Arial" w:hAnsi="Arial" w:cs="Arial"/>
                <w:sz w:val="21"/>
              </w:rPr>
            </w:pPr>
            <w:r>
              <w:rPr>
                <w:rFonts w:ascii="Arial" w:hAnsi="Arial" w:cs="Arial"/>
                <w:sz w:val="21"/>
              </w:rPr>
              <w:t>0.010</w:t>
            </w:r>
          </w:p>
        </w:tc>
        <w:tc>
          <w:tcPr>
            <w:tcW w:w="999" w:type="pct"/>
            <w:tcBorders>
              <w:top w:val="single" w:color="000000" w:sz="4" w:space="0"/>
              <w:left w:val="single" w:color="000000" w:sz="4" w:space="0"/>
              <w:bottom w:val="single" w:color="000000" w:sz="4" w:space="0"/>
              <w:right w:val="single" w:color="000000" w:sz="4" w:space="0"/>
            </w:tcBorders>
            <w:vAlign w:val="center"/>
          </w:tcPr>
          <w:p w14:paraId="181377E8">
            <w:pPr>
              <w:adjustRightInd w:val="0"/>
              <w:snapToGrid w:val="0"/>
              <w:jc w:val="center"/>
              <w:rPr>
                <w:rFonts w:ascii="Arial" w:hAnsi="Arial" w:cs="Arial"/>
                <w:sz w:val="21"/>
              </w:rPr>
            </w:pPr>
            <w:r>
              <w:rPr>
                <w:rFonts w:ascii="Arial" w:hAnsi="Arial" w:cs="Arial"/>
                <w:sz w:val="21"/>
              </w:rPr>
              <w:t>0.050</w:t>
            </w:r>
          </w:p>
        </w:tc>
      </w:tr>
      <w:tr w14:paraId="769F21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1871946A">
            <w:pPr>
              <w:adjustRightInd w:val="0"/>
              <w:snapToGrid w:val="0"/>
              <w:jc w:val="center"/>
              <w:rPr>
                <w:rFonts w:ascii="Arial" w:hAnsi="Arial" w:cs="Arial"/>
                <w:sz w:val="21"/>
              </w:rPr>
            </w:pPr>
            <w:r>
              <w:rPr>
                <w:rFonts w:ascii="Arial" w:hAnsi="Arial" w:cs="Arial"/>
                <w:sz w:val="21"/>
              </w:rPr>
              <w:t>12</w:t>
            </w:r>
          </w:p>
        </w:tc>
        <w:tc>
          <w:tcPr>
            <w:tcW w:w="1359" w:type="pct"/>
            <w:tcBorders>
              <w:top w:val="single" w:color="000000" w:sz="4" w:space="0"/>
              <w:left w:val="single" w:color="000000" w:sz="4" w:space="0"/>
              <w:bottom w:val="single" w:color="000000" w:sz="4" w:space="0"/>
              <w:right w:val="single" w:color="000000" w:sz="4" w:space="0"/>
            </w:tcBorders>
            <w:vAlign w:val="center"/>
          </w:tcPr>
          <w:p w14:paraId="5857716F">
            <w:pPr>
              <w:tabs>
                <w:tab w:val="left" w:pos="424"/>
              </w:tabs>
              <w:adjustRightInd w:val="0"/>
              <w:snapToGrid w:val="0"/>
              <w:rPr>
                <w:rFonts w:ascii="Arial" w:hAnsi="Arial" w:cs="Arial"/>
                <w:sz w:val="21"/>
              </w:rPr>
            </w:pPr>
            <w:r>
              <w:rPr>
                <w:rFonts w:ascii="Arial" w:hAnsi="Arial" w:eastAsia="宋体" w:cs="Arial"/>
                <w:sz w:val="21"/>
              </w:rPr>
              <w:t>镍</w:t>
            </w:r>
            <w:r>
              <w:rPr>
                <w:rFonts w:ascii="Arial" w:hAnsi="Arial" w:eastAsia="宋体"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2DA7A1BE">
            <w:pPr>
              <w:adjustRightInd w:val="0"/>
              <w:snapToGrid w:val="0"/>
              <w:jc w:val="center"/>
              <w:rPr>
                <w:rFonts w:ascii="Arial" w:hAnsi="Arial" w:cs="Arial"/>
                <w:sz w:val="21"/>
              </w:rPr>
            </w:pPr>
            <w:r>
              <w:rPr>
                <w:rFonts w:ascii="Arial" w:hAnsi="Arial" w:cs="Arial"/>
                <w:sz w:val="21"/>
              </w:rPr>
              <w:t>0.005</w:t>
            </w:r>
          </w:p>
        </w:tc>
        <w:tc>
          <w:tcPr>
            <w:tcW w:w="634" w:type="pct"/>
            <w:tcBorders>
              <w:top w:val="single" w:color="000000" w:sz="4" w:space="0"/>
              <w:left w:val="single" w:color="000000" w:sz="4" w:space="0"/>
              <w:bottom w:val="single" w:color="000000" w:sz="4" w:space="0"/>
              <w:right w:val="single" w:color="000000" w:sz="4" w:space="0"/>
            </w:tcBorders>
            <w:vAlign w:val="center"/>
          </w:tcPr>
          <w:p w14:paraId="12F4B784">
            <w:pPr>
              <w:adjustRightInd w:val="0"/>
              <w:snapToGrid w:val="0"/>
              <w:jc w:val="center"/>
              <w:rPr>
                <w:rFonts w:ascii="Arial" w:hAnsi="Arial" w:cs="Arial"/>
                <w:sz w:val="21"/>
              </w:rPr>
            </w:pPr>
            <w:r>
              <w:rPr>
                <w:rFonts w:ascii="Arial" w:hAnsi="Arial" w:cs="Arial"/>
                <w:sz w:val="21"/>
              </w:rPr>
              <w:t>0.010</w:t>
            </w:r>
          </w:p>
        </w:tc>
        <w:tc>
          <w:tcPr>
            <w:tcW w:w="851" w:type="pct"/>
            <w:tcBorders>
              <w:top w:val="single" w:color="000000" w:sz="4" w:space="0"/>
              <w:left w:val="single" w:color="000000" w:sz="4" w:space="0"/>
              <w:bottom w:val="single" w:color="000000" w:sz="4" w:space="0"/>
              <w:right w:val="single" w:color="000000" w:sz="4" w:space="0"/>
            </w:tcBorders>
            <w:vAlign w:val="center"/>
          </w:tcPr>
          <w:p w14:paraId="5130ECFD">
            <w:pPr>
              <w:adjustRightInd w:val="0"/>
              <w:snapToGrid w:val="0"/>
              <w:jc w:val="center"/>
              <w:rPr>
                <w:rFonts w:ascii="Arial" w:hAnsi="Arial" w:cs="Arial"/>
                <w:sz w:val="21"/>
              </w:rPr>
            </w:pPr>
            <w:r>
              <w:rPr>
                <w:rFonts w:ascii="Arial" w:hAnsi="Arial" w:cs="Arial"/>
                <w:sz w:val="21"/>
              </w:rPr>
              <w:t>0.020</w:t>
            </w:r>
          </w:p>
        </w:tc>
        <w:tc>
          <w:tcPr>
            <w:tcW w:w="999" w:type="pct"/>
            <w:tcBorders>
              <w:top w:val="single" w:color="000000" w:sz="4" w:space="0"/>
              <w:left w:val="single" w:color="000000" w:sz="4" w:space="0"/>
              <w:bottom w:val="single" w:color="000000" w:sz="4" w:space="0"/>
              <w:right w:val="single" w:color="000000" w:sz="4" w:space="0"/>
            </w:tcBorders>
            <w:vAlign w:val="center"/>
          </w:tcPr>
          <w:p w14:paraId="5D007BED">
            <w:pPr>
              <w:adjustRightInd w:val="0"/>
              <w:snapToGrid w:val="0"/>
              <w:jc w:val="center"/>
              <w:rPr>
                <w:rFonts w:ascii="Arial" w:hAnsi="Arial" w:cs="Arial"/>
                <w:sz w:val="21"/>
              </w:rPr>
            </w:pPr>
            <w:r>
              <w:rPr>
                <w:rFonts w:ascii="Arial" w:hAnsi="Arial" w:cs="Arial"/>
                <w:sz w:val="21"/>
              </w:rPr>
              <w:t>0.050</w:t>
            </w:r>
          </w:p>
        </w:tc>
      </w:tr>
      <w:tr w14:paraId="5B8923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51C28233">
            <w:pPr>
              <w:adjustRightInd w:val="0"/>
              <w:snapToGrid w:val="0"/>
              <w:jc w:val="center"/>
              <w:rPr>
                <w:rFonts w:ascii="Arial" w:hAnsi="Arial" w:cs="Arial"/>
                <w:sz w:val="21"/>
              </w:rPr>
            </w:pPr>
            <w:r>
              <w:rPr>
                <w:rFonts w:ascii="Arial" w:hAnsi="Arial" w:cs="Arial"/>
                <w:sz w:val="21"/>
              </w:rPr>
              <w:t>13</w:t>
            </w:r>
          </w:p>
        </w:tc>
        <w:tc>
          <w:tcPr>
            <w:tcW w:w="1359" w:type="pct"/>
            <w:tcBorders>
              <w:top w:val="single" w:color="000000" w:sz="4" w:space="0"/>
              <w:left w:val="single" w:color="000000" w:sz="4" w:space="0"/>
              <w:bottom w:val="single" w:color="000000" w:sz="4" w:space="0"/>
              <w:right w:val="single" w:color="000000" w:sz="4" w:space="0"/>
            </w:tcBorders>
            <w:vAlign w:val="center"/>
          </w:tcPr>
          <w:p w14:paraId="2E09C029">
            <w:pPr>
              <w:tabs>
                <w:tab w:val="left" w:pos="424"/>
              </w:tabs>
              <w:adjustRightInd w:val="0"/>
              <w:snapToGrid w:val="0"/>
              <w:rPr>
                <w:rFonts w:ascii="Arial" w:hAnsi="Arial" w:cs="Arial"/>
                <w:sz w:val="21"/>
              </w:rPr>
            </w:pPr>
            <w:r>
              <w:rPr>
                <w:rFonts w:ascii="Arial" w:hAnsi="Arial" w:eastAsia="宋体" w:cs="Arial"/>
                <w:sz w:val="21"/>
              </w:rPr>
              <w:t>砷</w:t>
            </w:r>
            <w:r>
              <w:rPr>
                <w:rFonts w:ascii="Arial" w:hAnsi="Arial" w:eastAsia="宋体"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471DB25F">
            <w:pPr>
              <w:adjustRightInd w:val="0"/>
              <w:snapToGrid w:val="0"/>
              <w:jc w:val="center"/>
              <w:rPr>
                <w:rFonts w:ascii="Arial" w:hAnsi="Arial" w:cs="Arial"/>
                <w:sz w:val="21"/>
              </w:rPr>
            </w:pPr>
            <w:r>
              <w:rPr>
                <w:rFonts w:ascii="Arial" w:hAnsi="Arial" w:cs="Arial"/>
                <w:sz w:val="21"/>
              </w:rPr>
              <w:t>0.020</w:t>
            </w:r>
          </w:p>
        </w:tc>
        <w:tc>
          <w:tcPr>
            <w:tcW w:w="634" w:type="pct"/>
            <w:tcBorders>
              <w:top w:val="single" w:color="000000" w:sz="4" w:space="0"/>
              <w:left w:val="single" w:color="000000" w:sz="4" w:space="0"/>
              <w:bottom w:val="single" w:color="000000" w:sz="4" w:space="0"/>
              <w:right w:val="single" w:color="000000" w:sz="4" w:space="0"/>
            </w:tcBorders>
            <w:vAlign w:val="center"/>
          </w:tcPr>
          <w:p w14:paraId="5950B94E">
            <w:pPr>
              <w:adjustRightInd w:val="0"/>
              <w:snapToGrid w:val="0"/>
              <w:jc w:val="center"/>
              <w:rPr>
                <w:rFonts w:ascii="Arial" w:hAnsi="Arial" w:cs="Arial"/>
                <w:sz w:val="21"/>
              </w:rPr>
            </w:pPr>
            <w:r>
              <w:rPr>
                <w:rFonts w:ascii="Arial" w:hAnsi="Arial" w:cs="Arial"/>
                <w:sz w:val="21"/>
              </w:rPr>
              <w:t>0.030</w:t>
            </w:r>
          </w:p>
        </w:tc>
        <w:tc>
          <w:tcPr>
            <w:tcW w:w="1850" w:type="pct"/>
            <w:gridSpan w:val="2"/>
            <w:tcBorders>
              <w:top w:val="single" w:color="000000" w:sz="4" w:space="0"/>
              <w:left w:val="single" w:color="000000" w:sz="4" w:space="0"/>
              <w:bottom w:val="single" w:color="000000" w:sz="4" w:space="0"/>
              <w:right w:val="single" w:color="000000" w:sz="4" w:space="0"/>
            </w:tcBorders>
            <w:vAlign w:val="center"/>
          </w:tcPr>
          <w:p w14:paraId="08E1DA87">
            <w:pPr>
              <w:adjustRightInd w:val="0"/>
              <w:snapToGrid w:val="0"/>
              <w:jc w:val="center"/>
              <w:rPr>
                <w:rFonts w:ascii="Arial" w:hAnsi="Arial" w:cs="Arial"/>
                <w:sz w:val="21"/>
              </w:rPr>
            </w:pPr>
            <w:r>
              <w:rPr>
                <w:rFonts w:ascii="Arial" w:hAnsi="Arial" w:cs="Arial"/>
                <w:sz w:val="21"/>
              </w:rPr>
              <w:t>0.050</w:t>
            </w:r>
          </w:p>
        </w:tc>
      </w:tr>
      <w:tr w14:paraId="23705B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372FDA4C">
            <w:pPr>
              <w:adjustRightInd w:val="0"/>
              <w:snapToGrid w:val="0"/>
              <w:jc w:val="center"/>
              <w:rPr>
                <w:rFonts w:ascii="Arial" w:hAnsi="Arial" w:cs="Arial"/>
                <w:sz w:val="21"/>
              </w:rPr>
            </w:pPr>
            <w:r>
              <w:rPr>
                <w:rFonts w:ascii="Arial" w:hAnsi="Arial" w:cs="Arial"/>
                <w:sz w:val="21"/>
              </w:rPr>
              <w:t>14</w:t>
            </w:r>
          </w:p>
        </w:tc>
        <w:tc>
          <w:tcPr>
            <w:tcW w:w="1359" w:type="pct"/>
            <w:tcBorders>
              <w:top w:val="single" w:color="000000" w:sz="4" w:space="0"/>
              <w:left w:val="single" w:color="000000" w:sz="4" w:space="0"/>
              <w:bottom w:val="single" w:color="000000" w:sz="4" w:space="0"/>
              <w:right w:val="single" w:color="000000" w:sz="4" w:space="0"/>
            </w:tcBorders>
            <w:vAlign w:val="center"/>
          </w:tcPr>
          <w:p w14:paraId="41D6797D">
            <w:pPr>
              <w:tabs>
                <w:tab w:val="left" w:pos="424"/>
              </w:tabs>
              <w:adjustRightInd w:val="0"/>
              <w:snapToGrid w:val="0"/>
              <w:rPr>
                <w:rFonts w:ascii="Arial" w:hAnsi="Arial" w:cs="Arial"/>
                <w:sz w:val="21"/>
              </w:rPr>
            </w:pPr>
            <w:r>
              <w:rPr>
                <w:rFonts w:ascii="Arial" w:hAnsi="Arial" w:eastAsia="宋体" w:cs="Arial"/>
                <w:sz w:val="21"/>
              </w:rPr>
              <w:t>锌</w:t>
            </w:r>
            <w:r>
              <w:rPr>
                <w:rFonts w:ascii="Arial" w:hAnsi="Arial" w:eastAsia="宋体"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5BFF8F1E">
            <w:pPr>
              <w:adjustRightInd w:val="0"/>
              <w:snapToGrid w:val="0"/>
              <w:jc w:val="center"/>
              <w:rPr>
                <w:rFonts w:ascii="Arial" w:hAnsi="Arial" w:cs="Arial"/>
                <w:sz w:val="21"/>
              </w:rPr>
            </w:pPr>
            <w:r>
              <w:rPr>
                <w:rFonts w:ascii="Arial" w:hAnsi="Arial" w:cs="Arial"/>
                <w:sz w:val="21"/>
              </w:rPr>
              <w:t>0.020</w:t>
            </w:r>
          </w:p>
        </w:tc>
        <w:tc>
          <w:tcPr>
            <w:tcW w:w="634" w:type="pct"/>
            <w:tcBorders>
              <w:top w:val="single" w:color="000000" w:sz="4" w:space="0"/>
              <w:left w:val="single" w:color="000000" w:sz="4" w:space="0"/>
              <w:bottom w:val="single" w:color="000000" w:sz="4" w:space="0"/>
              <w:right w:val="single" w:color="000000" w:sz="4" w:space="0"/>
            </w:tcBorders>
            <w:vAlign w:val="center"/>
          </w:tcPr>
          <w:p w14:paraId="76226283">
            <w:pPr>
              <w:adjustRightInd w:val="0"/>
              <w:snapToGrid w:val="0"/>
              <w:jc w:val="center"/>
              <w:rPr>
                <w:rFonts w:ascii="Arial" w:hAnsi="Arial" w:cs="Arial"/>
                <w:sz w:val="21"/>
              </w:rPr>
            </w:pPr>
            <w:r>
              <w:rPr>
                <w:rFonts w:ascii="Arial" w:hAnsi="Arial" w:cs="Arial"/>
                <w:sz w:val="21"/>
              </w:rPr>
              <w:t>0.050</w:t>
            </w:r>
          </w:p>
        </w:tc>
        <w:tc>
          <w:tcPr>
            <w:tcW w:w="851" w:type="pct"/>
            <w:tcBorders>
              <w:top w:val="single" w:color="000000" w:sz="4" w:space="0"/>
              <w:left w:val="single" w:color="000000" w:sz="4" w:space="0"/>
              <w:bottom w:val="single" w:color="000000" w:sz="4" w:space="0"/>
              <w:right w:val="single" w:color="000000" w:sz="4" w:space="0"/>
            </w:tcBorders>
            <w:vAlign w:val="center"/>
          </w:tcPr>
          <w:p w14:paraId="202A3C05">
            <w:pPr>
              <w:adjustRightInd w:val="0"/>
              <w:snapToGrid w:val="0"/>
              <w:jc w:val="center"/>
              <w:rPr>
                <w:rFonts w:ascii="Arial" w:hAnsi="Arial" w:cs="Arial"/>
                <w:sz w:val="21"/>
              </w:rPr>
            </w:pPr>
            <w:r>
              <w:rPr>
                <w:rFonts w:ascii="Arial" w:hAnsi="Arial" w:cs="Arial"/>
                <w:sz w:val="21"/>
              </w:rPr>
              <w:t>0.10</w:t>
            </w:r>
          </w:p>
        </w:tc>
        <w:tc>
          <w:tcPr>
            <w:tcW w:w="999" w:type="pct"/>
            <w:tcBorders>
              <w:top w:val="single" w:color="000000" w:sz="4" w:space="0"/>
              <w:left w:val="single" w:color="000000" w:sz="4" w:space="0"/>
              <w:bottom w:val="single" w:color="000000" w:sz="4" w:space="0"/>
              <w:right w:val="single" w:color="000000" w:sz="4" w:space="0"/>
            </w:tcBorders>
            <w:vAlign w:val="center"/>
          </w:tcPr>
          <w:p w14:paraId="0F4D4C2F">
            <w:pPr>
              <w:adjustRightInd w:val="0"/>
              <w:snapToGrid w:val="0"/>
              <w:jc w:val="center"/>
              <w:rPr>
                <w:rFonts w:ascii="Arial" w:hAnsi="Arial" w:cs="Arial"/>
                <w:sz w:val="21"/>
              </w:rPr>
            </w:pPr>
            <w:r>
              <w:rPr>
                <w:rFonts w:ascii="Arial" w:hAnsi="Arial" w:cs="Arial"/>
                <w:sz w:val="21"/>
              </w:rPr>
              <w:t>0.50</w:t>
            </w:r>
          </w:p>
        </w:tc>
      </w:tr>
      <w:tr w14:paraId="08D6B2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2879C2F5">
            <w:pPr>
              <w:adjustRightInd w:val="0"/>
              <w:snapToGrid w:val="0"/>
              <w:jc w:val="center"/>
              <w:rPr>
                <w:rFonts w:ascii="Arial" w:hAnsi="Arial" w:cs="Arial"/>
                <w:sz w:val="21"/>
              </w:rPr>
            </w:pPr>
            <w:r>
              <w:rPr>
                <w:rFonts w:ascii="Arial" w:hAnsi="Arial" w:cs="Arial"/>
                <w:sz w:val="21"/>
              </w:rPr>
              <w:t>15</w:t>
            </w:r>
          </w:p>
        </w:tc>
        <w:tc>
          <w:tcPr>
            <w:tcW w:w="1359" w:type="pct"/>
            <w:tcBorders>
              <w:top w:val="single" w:color="000000" w:sz="4" w:space="0"/>
              <w:left w:val="single" w:color="000000" w:sz="4" w:space="0"/>
              <w:bottom w:val="single" w:color="000000" w:sz="4" w:space="0"/>
              <w:right w:val="single" w:color="000000" w:sz="4" w:space="0"/>
            </w:tcBorders>
            <w:vAlign w:val="center"/>
          </w:tcPr>
          <w:p w14:paraId="6238F2F0">
            <w:pPr>
              <w:tabs>
                <w:tab w:val="left" w:pos="424"/>
              </w:tabs>
              <w:adjustRightInd w:val="0"/>
              <w:snapToGrid w:val="0"/>
              <w:rPr>
                <w:rFonts w:ascii="Arial" w:hAnsi="Arial" w:cs="Arial"/>
                <w:sz w:val="21"/>
              </w:rPr>
            </w:pPr>
            <w:r>
              <w:rPr>
                <w:rFonts w:ascii="Arial" w:hAnsi="Arial" w:eastAsia="宋体" w:cs="Arial"/>
                <w:sz w:val="21"/>
              </w:rPr>
              <w:t>镉</w:t>
            </w:r>
            <w:r>
              <w:rPr>
                <w:rFonts w:ascii="Arial" w:hAnsi="Arial" w:eastAsia="宋体"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3DCCDB65">
            <w:pPr>
              <w:adjustRightInd w:val="0"/>
              <w:snapToGrid w:val="0"/>
              <w:jc w:val="center"/>
              <w:rPr>
                <w:rFonts w:ascii="Arial" w:hAnsi="Arial" w:cs="Arial"/>
                <w:sz w:val="21"/>
              </w:rPr>
            </w:pPr>
            <w:r>
              <w:rPr>
                <w:rFonts w:ascii="Arial" w:hAnsi="Arial" w:cs="Arial"/>
                <w:sz w:val="21"/>
              </w:rPr>
              <w:t>0.001</w:t>
            </w:r>
          </w:p>
        </w:tc>
        <w:tc>
          <w:tcPr>
            <w:tcW w:w="634" w:type="pct"/>
            <w:tcBorders>
              <w:top w:val="single" w:color="000000" w:sz="4" w:space="0"/>
              <w:left w:val="single" w:color="000000" w:sz="4" w:space="0"/>
              <w:bottom w:val="single" w:color="000000" w:sz="4" w:space="0"/>
              <w:right w:val="single" w:color="000000" w:sz="4" w:space="0"/>
            </w:tcBorders>
            <w:vAlign w:val="center"/>
          </w:tcPr>
          <w:p w14:paraId="77099558">
            <w:pPr>
              <w:adjustRightInd w:val="0"/>
              <w:snapToGrid w:val="0"/>
              <w:jc w:val="center"/>
              <w:rPr>
                <w:rFonts w:ascii="Arial" w:hAnsi="Arial" w:cs="Arial"/>
                <w:sz w:val="21"/>
              </w:rPr>
            </w:pPr>
            <w:r>
              <w:rPr>
                <w:rFonts w:ascii="Arial" w:hAnsi="Arial" w:cs="Arial"/>
                <w:sz w:val="21"/>
              </w:rPr>
              <w:t>0.005</w:t>
            </w:r>
          </w:p>
        </w:tc>
        <w:tc>
          <w:tcPr>
            <w:tcW w:w="1850" w:type="pct"/>
            <w:gridSpan w:val="2"/>
            <w:tcBorders>
              <w:top w:val="single" w:color="000000" w:sz="4" w:space="0"/>
              <w:left w:val="single" w:color="000000" w:sz="4" w:space="0"/>
              <w:bottom w:val="single" w:color="000000" w:sz="4" w:space="0"/>
              <w:right w:val="single" w:color="000000" w:sz="4" w:space="0"/>
            </w:tcBorders>
            <w:vAlign w:val="center"/>
          </w:tcPr>
          <w:p w14:paraId="45B34123">
            <w:pPr>
              <w:adjustRightInd w:val="0"/>
              <w:snapToGrid w:val="0"/>
              <w:jc w:val="center"/>
              <w:rPr>
                <w:rFonts w:ascii="Arial" w:hAnsi="Arial" w:cs="Arial"/>
                <w:sz w:val="21"/>
              </w:rPr>
            </w:pPr>
            <w:r>
              <w:rPr>
                <w:rFonts w:ascii="Arial" w:hAnsi="Arial" w:cs="Arial"/>
                <w:sz w:val="21"/>
              </w:rPr>
              <w:t>0.010</w:t>
            </w:r>
          </w:p>
        </w:tc>
      </w:tr>
      <w:tr w14:paraId="223987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2F871FB1">
            <w:pPr>
              <w:adjustRightInd w:val="0"/>
              <w:snapToGrid w:val="0"/>
              <w:jc w:val="center"/>
              <w:rPr>
                <w:rFonts w:ascii="Arial" w:hAnsi="Arial" w:cs="Arial"/>
                <w:sz w:val="21"/>
              </w:rPr>
            </w:pPr>
            <w:r>
              <w:rPr>
                <w:rFonts w:ascii="Arial" w:hAnsi="Arial" w:cs="Arial"/>
                <w:sz w:val="21"/>
              </w:rPr>
              <w:t>16</w:t>
            </w:r>
          </w:p>
        </w:tc>
        <w:tc>
          <w:tcPr>
            <w:tcW w:w="1359" w:type="pct"/>
            <w:tcBorders>
              <w:top w:val="single" w:color="000000" w:sz="4" w:space="0"/>
              <w:left w:val="single" w:color="000000" w:sz="4" w:space="0"/>
              <w:bottom w:val="single" w:color="000000" w:sz="4" w:space="0"/>
              <w:right w:val="single" w:color="000000" w:sz="4" w:space="0"/>
            </w:tcBorders>
            <w:vAlign w:val="center"/>
          </w:tcPr>
          <w:p w14:paraId="6DD78FF5">
            <w:pPr>
              <w:tabs>
                <w:tab w:val="left" w:pos="424"/>
              </w:tabs>
              <w:adjustRightInd w:val="0"/>
              <w:snapToGrid w:val="0"/>
              <w:rPr>
                <w:rFonts w:ascii="Arial" w:hAnsi="Arial" w:cs="Arial"/>
                <w:sz w:val="21"/>
              </w:rPr>
            </w:pPr>
            <w:r>
              <w:rPr>
                <w:rFonts w:ascii="Arial" w:hAnsi="Arial" w:eastAsia="宋体" w:cs="Arial"/>
                <w:sz w:val="21"/>
              </w:rPr>
              <w:t>铜</w:t>
            </w:r>
            <w:r>
              <w:rPr>
                <w:rFonts w:ascii="Arial" w:hAnsi="Arial" w:eastAsia="宋体"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01BA8EDD">
            <w:pPr>
              <w:adjustRightInd w:val="0"/>
              <w:snapToGrid w:val="0"/>
              <w:jc w:val="center"/>
              <w:rPr>
                <w:rFonts w:ascii="Arial" w:hAnsi="Arial" w:cs="Arial"/>
                <w:sz w:val="21"/>
              </w:rPr>
            </w:pPr>
            <w:r>
              <w:rPr>
                <w:rFonts w:ascii="Arial" w:hAnsi="Arial" w:cs="Arial"/>
                <w:sz w:val="21"/>
              </w:rPr>
              <w:t>0.005</w:t>
            </w:r>
          </w:p>
        </w:tc>
        <w:tc>
          <w:tcPr>
            <w:tcW w:w="634" w:type="pct"/>
            <w:tcBorders>
              <w:top w:val="single" w:color="000000" w:sz="4" w:space="0"/>
              <w:left w:val="single" w:color="000000" w:sz="4" w:space="0"/>
              <w:bottom w:val="single" w:color="000000" w:sz="4" w:space="0"/>
              <w:right w:val="single" w:color="000000" w:sz="4" w:space="0"/>
            </w:tcBorders>
            <w:vAlign w:val="center"/>
          </w:tcPr>
          <w:p w14:paraId="6D075447">
            <w:pPr>
              <w:adjustRightInd w:val="0"/>
              <w:snapToGrid w:val="0"/>
              <w:jc w:val="center"/>
              <w:rPr>
                <w:rFonts w:ascii="Arial" w:hAnsi="Arial" w:cs="Arial"/>
                <w:sz w:val="21"/>
              </w:rPr>
            </w:pPr>
            <w:r>
              <w:rPr>
                <w:rFonts w:ascii="Arial" w:hAnsi="Arial" w:cs="Arial"/>
                <w:sz w:val="21"/>
              </w:rPr>
              <w:t>0.010</w:t>
            </w:r>
          </w:p>
        </w:tc>
        <w:tc>
          <w:tcPr>
            <w:tcW w:w="1850" w:type="pct"/>
            <w:gridSpan w:val="2"/>
            <w:tcBorders>
              <w:top w:val="single" w:color="000000" w:sz="4" w:space="0"/>
              <w:left w:val="single" w:color="000000" w:sz="4" w:space="0"/>
              <w:bottom w:val="single" w:color="000000" w:sz="4" w:space="0"/>
              <w:right w:val="single" w:color="000000" w:sz="4" w:space="0"/>
            </w:tcBorders>
            <w:vAlign w:val="center"/>
          </w:tcPr>
          <w:p w14:paraId="4D391723">
            <w:pPr>
              <w:adjustRightInd w:val="0"/>
              <w:snapToGrid w:val="0"/>
              <w:jc w:val="center"/>
              <w:rPr>
                <w:rFonts w:ascii="Arial" w:hAnsi="Arial" w:cs="Arial"/>
                <w:sz w:val="21"/>
              </w:rPr>
            </w:pPr>
            <w:r>
              <w:rPr>
                <w:rFonts w:ascii="Arial" w:hAnsi="Arial" w:cs="Arial"/>
                <w:sz w:val="21"/>
              </w:rPr>
              <w:t>0.050</w:t>
            </w:r>
          </w:p>
        </w:tc>
      </w:tr>
      <w:tr w14:paraId="669927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140F7DDC">
            <w:pPr>
              <w:adjustRightInd w:val="0"/>
              <w:snapToGrid w:val="0"/>
              <w:jc w:val="center"/>
              <w:rPr>
                <w:rFonts w:ascii="Arial" w:hAnsi="Arial" w:cs="Arial"/>
                <w:sz w:val="21"/>
              </w:rPr>
            </w:pPr>
            <w:r>
              <w:rPr>
                <w:rFonts w:ascii="Arial" w:hAnsi="Arial" w:cs="Arial"/>
                <w:sz w:val="21"/>
              </w:rPr>
              <w:t>17</w:t>
            </w:r>
          </w:p>
        </w:tc>
        <w:tc>
          <w:tcPr>
            <w:tcW w:w="1359" w:type="pct"/>
            <w:tcBorders>
              <w:top w:val="single" w:color="000000" w:sz="4" w:space="0"/>
              <w:left w:val="single" w:color="000000" w:sz="4" w:space="0"/>
              <w:bottom w:val="single" w:color="000000" w:sz="4" w:space="0"/>
              <w:right w:val="single" w:color="000000" w:sz="4" w:space="0"/>
            </w:tcBorders>
            <w:vAlign w:val="center"/>
          </w:tcPr>
          <w:p w14:paraId="315C2449">
            <w:pPr>
              <w:tabs>
                <w:tab w:val="left" w:pos="636"/>
              </w:tabs>
              <w:adjustRightInd w:val="0"/>
              <w:snapToGrid w:val="0"/>
              <w:rPr>
                <w:rFonts w:ascii="Arial" w:hAnsi="Arial" w:cs="Arial"/>
                <w:sz w:val="21"/>
              </w:rPr>
            </w:pPr>
            <w:r>
              <w:rPr>
                <w:rFonts w:ascii="Arial" w:hAnsi="Arial" w:eastAsia="宋体" w:cs="Arial"/>
                <w:sz w:val="21"/>
              </w:rPr>
              <w:t>总铬</w:t>
            </w:r>
            <w:r>
              <w:rPr>
                <w:rFonts w:ascii="Arial" w:hAnsi="Arial" w:eastAsia="宋体"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36E8C34F">
            <w:pPr>
              <w:adjustRightInd w:val="0"/>
              <w:snapToGrid w:val="0"/>
              <w:jc w:val="center"/>
              <w:rPr>
                <w:rFonts w:ascii="Arial" w:hAnsi="Arial" w:cs="Arial"/>
                <w:sz w:val="21"/>
              </w:rPr>
            </w:pPr>
            <w:r>
              <w:rPr>
                <w:rFonts w:ascii="Arial" w:hAnsi="Arial" w:cs="Arial"/>
                <w:sz w:val="21"/>
              </w:rPr>
              <w:t>0.05</w:t>
            </w:r>
          </w:p>
        </w:tc>
        <w:tc>
          <w:tcPr>
            <w:tcW w:w="634" w:type="pct"/>
            <w:tcBorders>
              <w:top w:val="single" w:color="000000" w:sz="4" w:space="0"/>
              <w:left w:val="single" w:color="000000" w:sz="4" w:space="0"/>
              <w:bottom w:val="single" w:color="000000" w:sz="4" w:space="0"/>
              <w:right w:val="single" w:color="000000" w:sz="4" w:space="0"/>
            </w:tcBorders>
            <w:vAlign w:val="center"/>
          </w:tcPr>
          <w:p w14:paraId="1A998FC8">
            <w:pPr>
              <w:adjustRightInd w:val="0"/>
              <w:snapToGrid w:val="0"/>
              <w:jc w:val="center"/>
              <w:rPr>
                <w:rFonts w:ascii="Arial" w:hAnsi="Arial" w:cs="Arial"/>
                <w:sz w:val="21"/>
              </w:rPr>
            </w:pPr>
            <w:r>
              <w:rPr>
                <w:rFonts w:ascii="Arial" w:hAnsi="Arial" w:cs="Arial"/>
                <w:sz w:val="21"/>
              </w:rPr>
              <w:t>0.10</w:t>
            </w:r>
          </w:p>
        </w:tc>
        <w:tc>
          <w:tcPr>
            <w:tcW w:w="851" w:type="pct"/>
            <w:tcBorders>
              <w:top w:val="single" w:color="000000" w:sz="4" w:space="0"/>
              <w:left w:val="single" w:color="000000" w:sz="4" w:space="0"/>
              <w:bottom w:val="single" w:color="000000" w:sz="4" w:space="0"/>
              <w:right w:val="single" w:color="000000" w:sz="4" w:space="0"/>
            </w:tcBorders>
            <w:vAlign w:val="center"/>
          </w:tcPr>
          <w:p w14:paraId="102DBC95">
            <w:pPr>
              <w:adjustRightInd w:val="0"/>
              <w:snapToGrid w:val="0"/>
              <w:jc w:val="center"/>
              <w:rPr>
                <w:rFonts w:ascii="Arial" w:hAnsi="Arial" w:cs="Arial"/>
                <w:sz w:val="21"/>
              </w:rPr>
            </w:pPr>
            <w:r>
              <w:rPr>
                <w:rFonts w:ascii="Arial" w:hAnsi="Arial" w:cs="Arial"/>
                <w:sz w:val="21"/>
              </w:rPr>
              <w:t>0.20</w:t>
            </w:r>
          </w:p>
        </w:tc>
        <w:tc>
          <w:tcPr>
            <w:tcW w:w="999" w:type="pct"/>
            <w:tcBorders>
              <w:top w:val="single" w:color="000000" w:sz="4" w:space="0"/>
              <w:left w:val="single" w:color="000000" w:sz="4" w:space="0"/>
              <w:bottom w:val="single" w:color="000000" w:sz="4" w:space="0"/>
              <w:right w:val="single" w:color="000000" w:sz="4" w:space="0"/>
            </w:tcBorders>
            <w:vAlign w:val="center"/>
          </w:tcPr>
          <w:p w14:paraId="45A85A33">
            <w:pPr>
              <w:adjustRightInd w:val="0"/>
              <w:snapToGrid w:val="0"/>
              <w:jc w:val="center"/>
              <w:rPr>
                <w:rFonts w:ascii="Arial" w:hAnsi="Arial" w:cs="Arial"/>
                <w:sz w:val="21"/>
              </w:rPr>
            </w:pPr>
            <w:r>
              <w:rPr>
                <w:rFonts w:ascii="Arial" w:hAnsi="Arial" w:cs="Arial"/>
                <w:sz w:val="21"/>
              </w:rPr>
              <w:t>0.50</w:t>
            </w:r>
          </w:p>
        </w:tc>
      </w:tr>
      <w:tr w14:paraId="37B51B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1C9106F4">
            <w:pPr>
              <w:adjustRightInd w:val="0"/>
              <w:snapToGrid w:val="0"/>
              <w:jc w:val="center"/>
              <w:rPr>
                <w:rFonts w:ascii="Arial" w:hAnsi="Arial" w:cs="Arial"/>
                <w:sz w:val="21"/>
              </w:rPr>
            </w:pPr>
            <w:r>
              <w:rPr>
                <w:rFonts w:ascii="Arial" w:hAnsi="Arial" w:cs="Arial"/>
                <w:sz w:val="21"/>
              </w:rPr>
              <w:t>18</w:t>
            </w:r>
          </w:p>
        </w:tc>
        <w:tc>
          <w:tcPr>
            <w:tcW w:w="1359" w:type="pct"/>
            <w:tcBorders>
              <w:top w:val="single" w:color="000000" w:sz="4" w:space="0"/>
              <w:left w:val="single" w:color="000000" w:sz="4" w:space="0"/>
              <w:bottom w:val="single" w:color="000000" w:sz="4" w:space="0"/>
              <w:right w:val="single" w:color="000000" w:sz="4" w:space="0"/>
            </w:tcBorders>
            <w:vAlign w:val="center"/>
          </w:tcPr>
          <w:p w14:paraId="02C4877A">
            <w:pPr>
              <w:tabs>
                <w:tab w:val="left" w:pos="843"/>
              </w:tabs>
              <w:adjustRightInd w:val="0"/>
              <w:snapToGrid w:val="0"/>
              <w:rPr>
                <w:rFonts w:ascii="Arial" w:hAnsi="Arial" w:cs="Arial"/>
                <w:sz w:val="21"/>
              </w:rPr>
            </w:pPr>
            <w:r>
              <w:rPr>
                <w:rFonts w:ascii="Arial" w:hAnsi="Arial" w:eastAsia="宋体" w:cs="Arial"/>
                <w:sz w:val="21"/>
              </w:rPr>
              <w:t>硫化物</w:t>
            </w:r>
            <w:r>
              <w:rPr>
                <w:rFonts w:ascii="Arial" w:hAnsi="Arial" w:eastAsia="宋体" w:cs="Arial"/>
                <w:sz w:val="21"/>
              </w:rPr>
              <w:tab/>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488DF5B6">
            <w:pPr>
              <w:adjustRightInd w:val="0"/>
              <w:snapToGrid w:val="0"/>
              <w:jc w:val="center"/>
              <w:rPr>
                <w:rFonts w:ascii="Arial" w:hAnsi="Arial" w:cs="Arial"/>
                <w:sz w:val="21"/>
              </w:rPr>
            </w:pPr>
            <w:r>
              <w:rPr>
                <w:rFonts w:ascii="Arial" w:hAnsi="Arial" w:cs="Arial"/>
                <w:sz w:val="21"/>
              </w:rPr>
              <w:t>0.02</w:t>
            </w:r>
          </w:p>
        </w:tc>
        <w:tc>
          <w:tcPr>
            <w:tcW w:w="634" w:type="pct"/>
            <w:tcBorders>
              <w:top w:val="single" w:color="000000" w:sz="4" w:space="0"/>
              <w:left w:val="single" w:color="000000" w:sz="4" w:space="0"/>
              <w:bottom w:val="single" w:color="000000" w:sz="4" w:space="0"/>
              <w:right w:val="single" w:color="000000" w:sz="4" w:space="0"/>
            </w:tcBorders>
            <w:vAlign w:val="center"/>
          </w:tcPr>
          <w:p w14:paraId="09182F46">
            <w:pPr>
              <w:adjustRightInd w:val="0"/>
              <w:snapToGrid w:val="0"/>
              <w:jc w:val="center"/>
              <w:rPr>
                <w:rFonts w:ascii="Arial" w:hAnsi="Arial" w:cs="Arial"/>
                <w:sz w:val="21"/>
              </w:rPr>
            </w:pPr>
            <w:r>
              <w:rPr>
                <w:rFonts w:ascii="Arial" w:hAnsi="Arial" w:cs="Arial"/>
                <w:sz w:val="21"/>
              </w:rPr>
              <w:t>0.05</w:t>
            </w:r>
          </w:p>
        </w:tc>
        <w:tc>
          <w:tcPr>
            <w:tcW w:w="851" w:type="pct"/>
            <w:tcBorders>
              <w:top w:val="single" w:color="000000" w:sz="4" w:space="0"/>
              <w:left w:val="single" w:color="000000" w:sz="4" w:space="0"/>
              <w:bottom w:val="single" w:color="000000" w:sz="4" w:space="0"/>
              <w:right w:val="single" w:color="000000" w:sz="4" w:space="0"/>
            </w:tcBorders>
            <w:vAlign w:val="center"/>
          </w:tcPr>
          <w:p w14:paraId="7FDA46F9">
            <w:pPr>
              <w:adjustRightInd w:val="0"/>
              <w:snapToGrid w:val="0"/>
              <w:jc w:val="center"/>
              <w:rPr>
                <w:rFonts w:ascii="Arial" w:hAnsi="Arial" w:cs="Arial"/>
                <w:sz w:val="21"/>
              </w:rPr>
            </w:pPr>
            <w:r>
              <w:rPr>
                <w:rFonts w:ascii="Arial" w:hAnsi="Arial" w:cs="Arial"/>
                <w:sz w:val="21"/>
              </w:rPr>
              <w:t>0.10</w:t>
            </w:r>
          </w:p>
        </w:tc>
        <w:tc>
          <w:tcPr>
            <w:tcW w:w="999" w:type="pct"/>
            <w:tcBorders>
              <w:top w:val="single" w:color="000000" w:sz="4" w:space="0"/>
              <w:left w:val="single" w:color="000000" w:sz="4" w:space="0"/>
              <w:bottom w:val="single" w:color="000000" w:sz="4" w:space="0"/>
              <w:right w:val="single" w:color="000000" w:sz="4" w:space="0"/>
            </w:tcBorders>
            <w:vAlign w:val="center"/>
          </w:tcPr>
          <w:p w14:paraId="73E1C7A6">
            <w:pPr>
              <w:adjustRightInd w:val="0"/>
              <w:snapToGrid w:val="0"/>
              <w:jc w:val="center"/>
              <w:rPr>
                <w:rFonts w:ascii="Arial" w:hAnsi="Arial" w:cs="Arial"/>
                <w:sz w:val="21"/>
              </w:rPr>
            </w:pPr>
            <w:r>
              <w:rPr>
                <w:rFonts w:ascii="Arial" w:hAnsi="Arial" w:cs="Arial"/>
                <w:sz w:val="21"/>
              </w:rPr>
              <w:t>0.25</w:t>
            </w:r>
          </w:p>
        </w:tc>
      </w:tr>
      <w:tr w14:paraId="611182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39F18764">
            <w:pPr>
              <w:adjustRightInd w:val="0"/>
              <w:snapToGrid w:val="0"/>
              <w:jc w:val="center"/>
              <w:rPr>
                <w:rFonts w:ascii="Arial" w:hAnsi="Arial" w:cs="Arial"/>
                <w:sz w:val="21"/>
              </w:rPr>
            </w:pPr>
            <w:r>
              <w:rPr>
                <w:rFonts w:ascii="Arial" w:hAnsi="Arial" w:cs="Arial"/>
                <w:sz w:val="21"/>
              </w:rPr>
              <w:t>19</w:t>
            </w:r>
          </w:p>
        </w:tc>
        <w:tc>
          <w:tcPr>
            <w:tcW w:w="1359" w:type="pct"/>
            <w:tcBorders>
              <w:top w:val="single" w:color="000000" w:sz="4" w:space="0"/>
              <w:left w:val="single" w:color="000000" w:sz="4" w:space="0"/>
              <w:bottom w:val="single" w:color="000000" w:sz="4" w:space="0"/>
              <w:right w:val="single" w:color="000000" w:sz="4" w:space="0"/>
            </w:tcBorders>
            <w:vAlign w:val="center"/>
          </w:tcPr>
          <w:p w14:paraId="01E3DF00">
            <w:pPr>
              <w:tabs>
                <w:tab w:val="left" w:pos="843"/>
              </w:tabs>
              <w:adjustRightInd w:val="0"/>
              <w:snapToGrid w:val="0"/>
              <w:rPr>
                <w:rFonts w:ascii="Arial" w:hAnsi="Arial" w:cs="Arial"/>
                <w:sz w:val="21"/>
              </w:rPr>
            </w:pPr>
            <w:r>
              <w:rPr>
                <w:rFonts w:ascii="Arial" w:hAnsi="Arial" w:eastAsia="宋体" w:cs="Arial"/>
                <w:sz w:val="21"/>
              </w:rPr>
              <w:t>氰化物</w:t>
            </w:r>
            <w:r>
              <w:rPr>
                <w:rFonts w:ascii="Arial" w:hAnsi="Arial" w:eastAsia="宋体" w:cs="Arial"/>
                <w:sz w:val="21"/>
              </w:rPr>
              <w:tab/>
            </w:r>
            <w:r>
              <w:rPr>
                <w:rFonts w:ascii="Arial" w:hAnsi="Arial" w:cs="Arial"/>
                <w:sz w:val="21"/>
              </w:rPr>
              <w:t>≤</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1DEEA40C">
            <w:pPr>
              <w:adjustRightInd w:val="0"/>
              <w:snapToGrid w:val="0"/>
              <w:jc w:val="center"/>
              <w:rPr>
                <w:rFonts w:ascii="Arial" w:hAnsi="Arial" w:cs="Arial"/>
                <w:sz w:val="21"/>
              </w:rPr>
            </w:pPr>
            <w:r>
              <w:rPr>
                <w:rFonts w:ascii="Arial" w:hAnsi="Arial" w:cs="Arial"/>
                <w:sz w:val="21"/>
              </w:rPr>
              <w:t>0.005</w:t>
            </w:r>
          </w:p>
        </w:tc>
        <w:tc>
          <w:tcPr>
            <w:tcW w:w="851" w:type="pct"/>
            <w:tcBorders>
              <w:top w:val="single" w:color="000000" w:sz="4" w:space="0"/>
              <w:left w:val="single" w:color="000000" w:sz="4" w:space="0"/>
              <w:bottom w:val="single" w:color="000000" w:sz="4" w:space="0"/>
              <w:right w:val="single" w:color="000000" w:sz="4" w:space="0"/>
            </w:tcBorders>
            <w:vAlign w:val="center"/>
          </w:tcPr>
          <w:p w14:paraId="671817CE">
            <w:pPr>
              <w:adjustRightInd w:val="0"/>
              <w:snapToGrid w:val="0"/>
              <w:jc w:val="center"/>
              <w:rPr>
                <w:rFonts w:ascii="Arial" w:hAnsi="Arial" w:cs="Arial"/>
                <w:sz w:val="21"/>
              </w:rPr>
            </w:pPr>
            <w:r>
              <w:rPr>
                <w:rFonts w:ascii="Arial" w:hAnsi="Arial" w:cs="Arial"/>
                <w:sz w:val="21"/>
              </w:rPr>
              <w:t>0.10</w:t>
            </w:r>
          </w:p>
        </w:tc>
        <w:tc>
          <w:tcPr>
            <w:tcW w:w="999" w:type="pct"/>
            <w:tcBorders>
              <w:top w:val="single" w:color="000000" w:sz="4" w:space="0"/>
              <w:left w:val="single" w:color="000000" w:sz="4" w:space="0"/>
              <w:bottom w:val="single" w:color="000000" w:sz="4" w:space="0"/>
              <w:right w:val="single" w:color="000000" w:sz="4" w:space="0"/>
            </w:tcBorders>
            <w:vAlign w:val="center"/>
          </w:tcPr>
          <w:p w14:paraId="22563A91">
            <w:pPr>
              <w:adjustRightInd w:val="0"/>
              <w:snapToGrid w:val="0"/>
              <w:jc w:val="center"/>
              <w:rPr>
                <w:rFonts w:ascii="Arial" w:hAnsi="Arial" w:cs="Arial"/>
                <w:sz w:val="21"/>
              </w:rPr>
            </w:pPr>
            <w:r>
              <w:rPr>
                <w:rFonts w:ascii="Arial" w:hAnsi="Arial" w:cs="Arial"/>
                <w:sz w:val="21"/>
              </w:rPr>
              <w:t>0.20</w:t>
            </w:r>
          </w:p>
        </w:tc>
      </w:tr>
      <w:tr w14:paraId="76A610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77C465F5">
            <w:pPr>
              <w:adjustRightInd w:val="0"/>
              <w:snapToGrid w:val="0"/>
              <w:jc w:val="center"/>
              <w:rPr>
                <w:rFonts w:ascii="Arial" w:hAnsi="Arial" w:cs="Arial"/>
                <w:sz w:val="21"/>
              </w:rPr>
            </w:pPr>
            <w:r>
              <w:rPr>
                <w:rFonts w:hint="eastAsia" w:ascii="Arial" w:hAnsi="Arial" w:cs="Arial"/>
                <w:sz w:val="21"/>
              </w:rPr>
              <w:t>20</w:t>
            </w:r>
          </w:p>
        </w:tc>
        <w:tc>
          <w:tcPr>
            <w:tcW w:w="1359" w:type="pct"/>
            <w:tcBorders>
              <w:top w:val="single" w:color="000000" w:sz="4" w:space="0"/>
              <w:left w:val="single" w:color="000000" w:sz="4" w:space="0"/>
              <w:bottom w:val="single" w:color="000000" w:sz="4" w:space="0"/>
              <w:right w:val="single" w:color="000000" w:sz="4" w:space="0"/>
            </w:tcBorders>
            <w:vAlign w:val="center"/>
          </w:tcPr>
          <w:p w14:paraId="44885F37">
            <w:pPr>
              <w:tabs>
                <w:tab w:val="left" w:pos="843"/>
              </w:tabs>
              <w:adjustRightInd w:val="0"/>
              <w:snapToGrid w:val="0"/>
              <w:rPr>
                <w:rFonts w:ascii="Arial" w:hAnsi="Arial" w:cs="Arial"/>
                <w:sz w:val="21"/>
              </w:rPr>
            </w:pPr>
            <w:r>
              <w:rPr>
                <w:rFonts w:ascii="Arial" w:hAnsi="Arial" w:eastAsia="宋体" w:cs="Arial"/>
                <w:sz w:val="21"/>
              </w:rPr>
              <w:t>挥发</w:t>
            </w:r>
            <w:r>
              <w:rPr>
                <w:rFonts w:hint="eastAsia" w:ascii="Arial" w:hAnsi="Arial" w:eastAsia="宋体" w:cs="Arial"/>
                <w:sz w:val="21"/>
              </w:rPr>
              <w:t>性</w:t>
            </w:r>
            <w:r>
              <w:rPr>
                <w:rFonts w:ascii="Arial" w:hAnsi="Arial" w:eastAsia="宋体" w:cs="Arial"/>
                <w:sz w:val="21"/>
              </w:rPr>
              <w:t>酚</w:t>
            </w:r>
            <w:r>
              <w:rPr>
                <w:rFonts w:ascii="Arial" w:hAnsi="Arial" w:eastAsia="宋体" w:cs="Arial"/>
                <w:sz w:val="21"/>
              </w:rPr>
              <w:tab/>
            </w:r>
            <w:r>
              <w:rPr>
                <w:rFonts w:ascii="Arial" w:hAnsi="Arial" w:cs="Arial"/>
                <w:sz w:val="21"/>
              </w:rPr>
              <w:t>≤</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3EB99A85">
            <w:pPr>
              <w:adjustRightInd w:val="0"/>
              <w:snapToGrid w:val="0"/>
              <w:jc w:val="center"/>
              <w:rPr>
                <w:rFonts w:ascii="Arial" w:hAnsi="Arial" w:cs="Arial"/>
                <w:sz w:val="21"/>
              </w:rPr>
            </w:pPr>
            <w:r>
              <w:rPr>
                <w:rFonts w:ascii="Arial" w:hAnsi="Arial" w:cs="Arial"/>
                <w:sz w:val="21"/>
              </w:rPr>
              <w:t>0.005</w:t>
            </w:r>
          </w:p>
        </w:tc>
        <w:tc>
          <w:tcPr>
            <w:tcW w:w="851" w:type="pct"/>
            <w:tcBorders>
              <w:top w:val="single" w:color="000000" w:sz="4" w:space="0"/>
              <w:left w:val="single" w:color="000000" w:sz="4" w:space="0"/>
              <w:bottom w:val="single" w:color="000000" w:sz="4" w:space="0"/>
              <w:right w:val="single" w:color="000000" w:sz="4" w:space="0"/>
            </w:tcBorders>
            <w:vAlign w:val="center"/>
          </w:tcPr>
          <w:p w14:paraId="7169BC7A">
            <w:pPr>
              <w:adjustRightInd w:val="0"/>
              <w:snapToGrid w:val="0"/>
              <w:jc w:val="center"/>
              <w:rPr>
                <w:rFonts w:ascii="Arial" w:hAnsi="Arial" w:cs="Arial"/>
                <w:sz w:val="21"/>
              </w:rPr>
            </w:pPr>
            <w:r>
              <w:rPr>
                <w:rFonts w:ascii="Arial" w:hAnsi="Arial" w:cs="Arial"/>
                <w:sz w:val="21"/>
              </w:rPr>
              <w:t>0.010</w:t>
            </w:r>
          </w:p>
        </w:tc>
        <w:tc>
          <w:tcPr>
            <w:tcW w:w="999" w:type="pct"/>
            <w:tcBorders>
              <w:top w:val="single" w:color="000000" w:sz="4" w:space="0"/>
              <w:left w:val="single" w:color="000000" w:sz="4" w:space="0"/>
              <w:bottom w:val="single" w:color="000000" w:sz="4" w:space="0"/>
              <w:right w:val="single" w:color="000000" w:sz="4" w:space="0"/>
            </w:tcBorders>
            <w:vAlign w:val="center"/>
          </w:tcPr>
          <w:p w14:paraId="00707E33">
            <w:pPr>
              <w:adjustRightInd w:val="0"/>
              <w:snapToGrid w:val="0"/>
              <w:jc w:val="center"/>
              <w:rPr>
                <w:rFonts w:ascii="Arial" w:hAnsi="Arial" w:cs="Arial"/>
                <w:sz w:val="21"/>
              </w:rPr>
            </w:pPr>
            <w:r>
              <w:rPr>
                <w:rFonts w:ascii="Arial" w:hAnsi="Arial" w:cs="Arial"/>
                <w:sz w:val="21"/>
              </w:rPr>
              <w:t>0.050</w:t>
            </w:r>
          </w:p>
        </w:tc>
      </w:tr>
      <w:tr w14:paraId="719B9A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5BE5B48A">
            <w:pPr>
              <w:adjustRightInd w:val="0"/>
              <w:snapToGrid w:val="0"/>
              <w:jc w:val="center"/>
              <w:rPr>
                <w:rFonts w:ascii="Arial" w:hAnsi="Arial" w:cs="Arial"/>
                <w:sz w:val="21"/>
              </w:rPr>
            </w:pPr>
            <w:r>
              <w:rPr>
                <w:rFonts w:hint="eastAsia" w:ascii="Arial" w:hAnsi="Arial" w:cs="Arial"/>
                <w:sz w:val="21"/>
              </w:rPr>
              <w:t>21</w:t>
            </w:r>
          </w:p>
        </w:tc>
        <w:tc>
          <w:tcPr>
            <w:tcW w:w="1359" w:type="pct"/>
            <w:tcBorders>
              <w:top w:val="single" w:color="000000" w:sz="4" w:space="0"/>
              <w:left w:val="single" w:color="000000" w:sz="4" w:space="0"/>
              <w:bottom w:val="single" w:color="000000" w:sz="4" w:space="0"/>
              <w:right w:val="single" w:color="000000" w:sz="4" w:space="0"/>
            </w:tcBorders>
            <w:vAlign w:val="center"/>
          </w:tcPr>
          <w:p w14:paraId="164BEB3A">
            <w:pPr>
              <w:tabs>
                <w:tab w:val="left" w:pos="843"/>
              </w:tabs>
              <w:adjustRightInd w:val="0"/>
              <w:snapToGrid w:val="0"/>
              <w:rPr>
                <w:rFonts w:ascii="Arial" w:hAnsi="Arial" w:eastAsia="宋体" w:cs="Arial"/>
                <w:sz w:val="21"/>
              </w:rPr>
            </w:pPr>
            <w:r>
              <w:rPr>
                <w:rFonts w:hint="eastAsia" w:ascii="Arial" w:hAnsi="Arial" w:eastAsia="宋体" w:cs="Arial"/>
                <w:sz w:val="21"/>
              </w:rPr>
              <w:t>硒</w:t>
            </w:r>
            <w:r>
              <w:rPr>
                <w:rFonts w:ascii="Arial" w:hAnsi="Arial" w:cs="Arial"/>
                <w:sz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798BC26B">
            <w:pPr>
              <w:adjustRightInd w:val="0"/>
              <w:snapToGrid w:val="0"/>
              <w:jc w:val="center"/>
              <w:rPr>
                <w:rFonts w:ascii="Arial" w:hAnsi="Arial" w:cs="Arial"/>
                <w:sz w:val="21"/>
              </w:rPr>
            </w:pPr>
            <w:r>
              <w:rPr>
                <w:rFonts w:hint="eastAsia" w:ascii="Arial" w:hAnsi="Arial" w:cs="Arial"/>
                <w:sz w:val="21"/>
              </w:rPr>
              <w:t>0.001</w:t>
            </w:r>
          </w:p>
        </w:tc>
        <w:tc>
          <w:tcPr>
            <w:tcW w:w="1485" w:type="pct"/>
            <w:gridSpan w:val="2"/>
            <w:tcBorders>
              <w:top w:val="single" w:color="000000" w:sz="4" w:space="0"/>
              <w:left w:val="single" w:color="000000" w:sz="4" w:space="0"/>
              <w:bottom w:val="single" w:color="000000" w:sz="4" w:space="0"/>
              <w:right w:val="single" w:color="000000" w:sz="4" w:space="0"/>
            </w:tcBorders>
            <w:vAlign w:val="center"/>
          </w:tcPr>
          <w:p w14:paraId="01AE857A">
            <w:pPr>
              <w:adjustRightInd w:val="0"/>
              <w:snapToGrid w:val="0"/>
              <w:jc w:val="center"/>
              <w:rPr>
                <w:rFonts w:ascii="Arial" w:hAnsi="Arial" w:cs="Arial"/>
                <w:sz w:val="21"/>
              </w:rPr>
            </w:pPr>
            <w:r>
              <w:rPr>
                <w:rFonts w:hint="eastAsia" w:ascii="Arial" w:hAnsi="Arial" w:cs="Arial"/>
                <w:sz w:val="21"/>
              </w:rPr>
              <w:t>0.020</w:t>
            </w:r>
          </w:p>
        </w:tc>
        <w:tc>
          <w:tcPr>
            <w:tcW w:w="999" w:type="pct"/>
            <w:tcBorders>
              <w:top w:val="single" w:color="000000" w:sz="4" w:space="0"/>
              <w:left w:val="single" w:color="000000" w:sz="4" w:space="0"/>
              <w:bottom w:val="single" w:color="000000" w:sz="4" w:space="0"/>
              <w:right w:val="single" w:color="000000" w:sz="4" w:space="0"/>
            </w:tcBorders>
            <w:vAlign w:val="center"/>
          </w:tcPr>
          <w:p w14:paraId="1F433D83">
            <w:pPr>
              <w:adjustRightInd w:val="0"/>
              <w:snapToGrid w:val="0"/>
              <w:jc w:val="center"/>
              <w:rPr>
                <w:rFonts w:ascii="Arial" w:hAnsi="Arial" w:cs="Arial"/>
                <w:sz w:val="21"/>
              </w:rPr>
            </w:pPr>
            <w:r>
              <w:rPr>
                <w:rFonts w:hint="eastAsia" w:ascii="Arial" w:hAnsi="Arial" w:cs="Arial"/>
                <w:sz w:val="21"/>
              </w:rPr>
              <w:t>0.050</w:t>
            </w:r>
          </w:p>
        </w:tc>
      </w:tr>
    </w:tbl>
    <w:p w14:paraId="79762A5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3、地下水环境</w:t>
      </w:r>
    </w:p>
    <w:p w14:paraId="4543AA8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项目评价区域地下水环境质量执行《地下水质量标准》（GB/T14848-2017）</w:t>
      </w:r>
      <w:r>
        <w:rPr>
          <w:rFonts w:hint="eastAsia" w:ascii="宋体" w:hAnsi="宋体" w:eastAsia="宋体" w:cs="宋体"/>
          <w:spacing w:val="10"/>
          <w:sz w:val="24"/>
          <w:szCs w:val="24"/>
        </w:rPr>
        <w:t>Ⅲ</w:t>
      </w:r>
      <w:r>
        <w:rPr>
          <w:rFonts w:ascii="Arial" w:hAnsi="Arial" w:eastAsia="宋体" w:cs="Arial"/>
          <w:spacing w:val="10"/>
          <w:sz w:val="24"/>
          <w:szCs w:val="24"/>
        </w:rPr>
        <w:t>类标准，具体标准见表1-</w:t>
      </w:r>
      <w:r>
        <w:rPr>
          <w:rFonts w:hint="eastAsia" w:ascii="Arial" w:hAnsi="Arial" w:eastAsia="宋体" w:cs="Arial"/>
          <w:spacing w:val="10"/>
          <w:sz w:val="24"/>
          <w:szCs w:val="24"/>
        </w:rPr>
        <w:t>8</w:t>
      </w:r>
      <w:r>
        <w:rPr>
          <w:rFonts w:ascii="Arial" w:hAnsi="Arial" w:eastAsia="宋体" w:cs="Arial"/>
          <w:spacing w:val="10"/>
          <w:sz w:val="24"/>
          <w:szCs w:val="24"/>
        </w:rPr>
        <w:t>。</w:t>
      </w:r>
    </w:p>
    <w:p w14:paraId="4FF1727A">
      <w:pPr>
        <w:spacing w:line="500" w:lineRule="exact"/>
        <w:ind w:firstLine="490" w:firstLineChars="200"/>
        <w:rPr>
          <w:rFonts w:ascii="Arial" w:hAnsi="Arial" w:eastAsia="宋体" w:cs="Arial"/>
          <w:spacing w:val="10"/>
          <w:sz w:val="24"/>
          <w:szCs w:val="24"/>
        </w:rPr>
      </w:pPr>
    </w:p>
    <w:p w14:paraId="7CC19B11">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《地下水质量标准》（摘录）   单位：mg/L，pH除外</w:t>
      </w:r>
    </w:p>
    <w:tbl>
      <w:tblPr>
        <w:tblStyle w:val="88"/>
        <w:tblW w:w="87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75"/>
        <w:gridCol w:w="2742"/>
        <w:gridCol w:w="1300"/>
        <w:gridCol w:w="786"/>
        <w:gridCol w:w="1918"/>
        <w:gridCol w:w="1272"/>
      </w:tblGrid>
      <w:tr w14:paraId="056D6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75" w:type="dxa"/>
            <w:shd w:val="clear" w:color="auto" w:fill="auto"/>
            <w:vAlign w:val="center"/>
          </w:tcPr>
          <w:p w14:paraId="2A66D8D5">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序号</w:t>
            </w:r>
          </w:p>
        </w:tc>
        <w:tc>
          <w:tcPr>
            <w:tcW w:w="2742" w:type="dxa"/>
            <w:shd w:val="clear" w:color="auto" w:fill="auto"/>
            <w:vAlign w:val="center"/>
          </w:tcPr>
          <w:p w14:paraId="46992E62">
            <w:pPr>
              <w:autoSpaceDE w:val="0"/>
              <w:autoSpaceDN w:val="0"/>
              <w:adjustRightInd w:val="0"/>
              <w:snapToGrid w:val="0"/>
              <w:jc w:val="center"/>
              <w:rPr>
                <w:rFonts w:ascii="Arial" w:hAnsi="Arial" w:eastAsia="宋体" w:cs="Arial"/>
                <w:kern w:val="0"/>
                <w:sz w:val="21"/>
                <w:szCs w:val="21"/>
                <w:lang w:eastAsia="en-US"/>
              </w:rPr>
            </w:pPr>
            <w:r>
              <w:rPr>
                <w:rFonts w:ascii="Arial" w:hAnsi="Arial" w:eastAsia="宋体" w:cs="Arial"/>
                <w:kern w:val="0"/>
                <w:sz w:val="21"/>
                <w:szCs w:val="21"/>
                <w:lang w:eastAsia="en-US"/>
              </w:rPr>
              <w:t>水质指标</w:t>
            </w:r>
          </w:p>
        </w:tc>
        <w:tc>
          <w:tcPr>
            <w:tcW w:w="1300" w:type="dxa"/>
            <w:shd w:val="clear" w:color="auto" w:fill="auto"/>
            <w:vAlign w:val="center"/>
          </w:tcPr>
          <w:p w14:paraId="7D95389E">
            <w:pPr>
              <w:autoSpaceDE w:val="0"/>
              <w:autoSpaceDN w:val="0"/>
              <w:adjustRightInd w:val="0"/>
              <w:snapToGrid w:val="0"/>
              <w:jc w:val="center"/>
              <w:rPr>
                <w:rFonts w:ascii="Arial" w:hAnsi="Arial" w:eastAsia="宋体" w:cs="Arial"/>
                <w:kern w:val="0"/>
                <w:sz w:val="21"/>
                <w:szCs w:val="21"/>
                <w:lang w:eastAsia="en-US"/>
              </w:rPr>
            </w:pPr>
            <w:r>
              <w:rPr>
                <w:rFonts w:hint="eastAsia" w:ascii="宋体" w:hAnsi="宋体" w:eastAsia="宋体" w:cs="宋体"/>
                <w:kern w:val="0"/>
                <w:sz w:val="21"/>
                <w:szCs w:val="21"/>
                <w:lang w:eastAsia="en-US"/>
              </w:rPr>
              <w:t>Ⅲ</w:t>
            </w:r>
            <w:r>
              <w:rPr>
                <w:rFonts w:ascii="Arial" w:hAnsi="Arial" w:eastAsia="宋体" w:cs="Arial"/>
                <w:kern w:val="0"/>
                <w:sz w:val="21"/>
                <w:szCs w:val="21"/>
                <w:lang w:eastAsia="en-US"/>
              </w:rPr>
              <w:t>类标准</w:t>
            </w:r>
          </w:p>
        </w:tc>
        <w:tc>
          <w:tcPr>
            <w:tcW w:w="786" w:type="dxa"/>
            <w:shd w:val="clear" w:color="auto" w:fill="auto"/>
            <w:vAlign w:val="center"/>
          </w:tcPr>
          <w:p w14:paraId="60AA0F7D">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序号</w:t>
            </w:r>
          </w:p>
        </w:tc>
        <w:tc>
          <w:tcPr>
            <w:tcW w:w="1918" w:type="dxa"/>
            <w:shd w:val="clear" w:color="auto" w:fill="auto"/>
            <w:vAlign w:val="center"/>
          </w:tcPr>
          <w:p w14:paraId="7721259E">
            <w:pPr>
              <w:autoSpaceDE w:val="0"/>
              <w:autoSpaceDN w:val="0"/>
              <w:adjustRightInd w:val="0"/>
              <w:snapToGrid w:val="0"/>
              <w:jc w:val="center"/>
              <w:rPr>
                <w:rFonts w:ascii="Arial" w:hAnsi="Arial" w:eastAsia="宋体" w:cs="Arial"/>
                <w:kern w:val="0"/>
                <w:sz w:val="21"/>
                <w:szCs w:val="21"/>
                <w:lang w:eastAsia="en-US"/>
              </w:rPr>
            </w:pPr>
            <w:r>
              <w:rPr>
                <w:rFonts w:ascii="Arial" w:hAnsi="Arial" w:eastAsia="宋体" w:cs="Arial"/>
                <w:kern w:val="0"/>
                <w:sz w:val="21"/>
                <w:szCs w:val="21"/>
                <w:lang w:eastAsia="en-US"/>
              </w:rPr>
              <w:t>水质指标</w:t>
            </w:r>
          </w:p>
        </w:tc>
        <w:tc>
          <w:tcPr>
            <w:tcW w:w="1272" w:type="dxa"/>
            <w:shd w:val="clear" w:color="auto" w:fill="auto"/>
            <w:vAlign w:val="center"/>
          </w:tcPr>
          <w:p w14:paraId="4DAD1E3A">
            <w:pPr>
              <w:autoSpaceDE w:val="0"/>
              <w:autoSpaceDN w:val="0"/>
              <w:adjustRightInd w:val="0"/>
              <w:snapToGrid w:val="0"/>
              <w:jc w:val="center"/>
              <w:rPr>
                <w:rFonts w:ascii="Arial" w:hAnsi="Arial" w:eastAsia="宋体" w:cs="Arial"/>
                <w:kern w:val="0"/>
                <w:sz w:val="21"/>
                <w:szCs w:val="21"/>
                <w:lang w:eastAsia="en-US"/>
              </w:rPr>
            </w:pPr>
            <w:r>
              <w:rPr>
                <w:rFonts w:hint="eastAsia" w:ascii="宋体" w:hAnsi="宋体" w:eastAsia="宋体" w:cs="宋体"/>
                <w:kern w:val="0"/>
                <w:sz w:val="21"/>
                <w:szCs w:val="21"/>
                <w:lang w:eastAsia="en-US"/>
              </w:rPr>
              <w:t>Ⅲ</w:t>
            </w:r>
            <w:r>
              <w:rPr>
                <w:rFonts w:ascii="Arial" w:hAnsi="Arial" w:eastAsia="宋体" w:cs="Arial"/>
                <w:kern w:val="0"/>
                <w:sz w:val="21"/>
                <w:szCs w:val="21"/>
                <w:lang w:eastAsia="en-US"/>
              </w:rPr>
              <w:t>类标准</w:t>
            </w:r>
          </w:p>
        </w:tc>
      </w:tr>
      <w:tr w14:paraId="3F9B8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51E4F413">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w:t>
            </w:r>
          </w:p>
        </w:tc>
        <w:tc>
          <w:tcPr>
            <w:tcW w:w="2742" w:type="dxa"/>
            <w:shd w:val="clear" w:color="auto" w:fill="auto"/>
            <w:vAlign w:val="center"/>
          </w:tcPr>
          <w:p w14:paraId="57746760">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pH（无量纲）</w:t>
            </w:r>
          </w:p>
        </w:tc>
        <w:tc>
          <w:tcPr>
            <w:tcW w:w="1300" w:type="dxa"/>
            <w:shd w:val="clear" w:color="auto" w:fill="auto"/>
            <w:vAlign w:val="center"/>
          </w:tcPr>
          <w:p w14:paraId="27AEABFD">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6.5~8.5</w:t>
            </w:r>
          </w:p>
        </w:tc>
        <w:tc>
          <w:tcPr>
            <w:tcW w:w="786" w:type="dxa"/>
            <w:shd w:val="clear" w:color="auto" w:fill="auto"/>
            <w:vAlign w:val="center"/>
          </w:tcPr>
          <w:p w14:paraId="7308C1C7">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13</w:t>
            </w:r>
          </w:p>
        </w:tc>
        <w:tc>
          <w:tcPr>
            <w:tcW w:w="1918" w:type="dxa"/>
            <w:shd w:val="clear" w:color="auto" w:fill="auto"/>
            <w:vAlign w:val="center"/>
          </w:tcPr>
          <w:p w14:paraId="31FEEA54">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氰化物≤</w:t>
            </w:r>
          </w:p>
        </w:tc>
        <w:tc>
          <w:tcPr>
            <w:tcW w:w="1272" w:type="dxa"/>
            <w:shd w:val="clear" w:color="auto" w:fill="auto"/>
            <w:vAlign w:val="center"/>
          </w:tcPr>
          <w:p w14:paraId="1B7055E2">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0.05</w:t>
            </w:r>
          </w:p>
        </w:tc>
      </w:tr>
      <w:tr w14:paraId="098A3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4DEB56DF">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w:t>
            </w:r>
          </w:p>
        </w:tc>
        <w:tc>
          <w:tcPr>
            <w:tcW w:w="2742" w:type="dxa"/>
            <w:shd w:val="clear" w:color="auto" w:fill="auto"/>
            <w:vAlign w:val="center"/>
          </w:tcPr>
          <w:p w14:paraId="58708253">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总硬度（以CaCO</w:t>
            </w:r>
            <w:r>
              <w:rPr>
                <w:rFonts w:ascii="Arial" w:hAnsi="Arial" w:eastAsia="宋体" w:cs="Arial"/>
                <w:kern w:val="0"/>
                <w:sz w:val="21"/>
                <w:szCs w:val="21"/>
                <w:vertAlign w:val="subscript"/>
              </w:rPr>
              <w:t>3</w:t>
            </w:r>
            <w:r>
              <w:rPr>
                <w:rFonts w:ascii="Arial" w:hAnsi="Arial" w:eastAsia="宋体" w:cs="Arial"/>
                <w:kern w:val="0"/>
                <w:sz w:val="21"/>
                <w:szCs w:val="21"/>
              </w:rPr>
              <w:t>计）≤</w:t>
            </w:r>
          </w:p>
        </w:tc>
        <w:tc>
          <w:tcPr>
            <w:tcW w:w="1300" w:type="dxa"/>
            <w:shd w:val="clear" w:color="auto" w:fill="auto"/>
            <w:vAlign w:val="center"/>
          </w:tcPr>
          <w:p w14:paraId="6F4497C5">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450</w:t>
            </w:r>
          </w:p>
        </w:tc>
        <w:tc>
          <w:tcPr>
            <w:tcW w:w="786" w:type="dxa"/>
            <w:shd w:val="clear" w:color="auto" w:fill="auto"/>
            <w:vAlign w:val="center"/>
          </w:tcPr>
          <w:p w14:paraId="357F56CE">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14</w:t>
            </w:r>
          </w:p>
        </w:tc>
        <w:tc>
          <w:tcPr>
            <w:tcW w:w="1918" w:type="dxa"/>
            <w:shd w:val="clear" w:color="auto" w:fill="auto"/>
            <w:vAlign w:val="center"/>
          </w:tcPr>
          <w:p w14:paraId="7131E896">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氟化物≤</w:t>
            </w:r>
          </w:p>
        </w:tc>
        <w:tc>
          <w:tcPr>
            <w:tcW w:w="1272" w:type="dxa"/>
            <w:shd w:val="clear" w:color="auto" w:fill="auto"/>
            <w:vAlign w:val="center"/>
          </w:tcPr>
          <w:p w14:paraId="22B4B4D6">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w:t>
            </w:r>
          </w:p>
        </w:tc>
      </w:tr>
      <w:tr w14:paraId="7EDEB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15700E9A">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3</w:t>
            </w:r>
          </w:p>
        </w:tc>
        <w:tc>
          <w:tcPr>
            <w:tcW w:w="2742" w:type="dxa"/>
            <w:shd w:val="clear" w:color="auto" w:fill="auto"/>
            <w:vAlign w:val="center"/>
          </w:tcPr>
          <w:p w14:paraId="06ECF75A">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溶解性总固体≤</w:t>
            </w:r>
          </w:p>
        </w:tc>
        <w:tc>
          <w:tcPr>
            <w:tcW w:w="1300" w:type="dxa"/>
            <w:shd w:val="clear" w:color="auto" w:fill="auto"/>
            <w:vAlign w:val="center"/>
          </w:tcPr>
          <w:p w14:paraId="4BD9DD29">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1000</w:t>
            </w:r>
          </w:p>
        </w:tc>
        <w:tc>
          <w:tcPr>
            <w:tcW w:w="786" w:type="dxa"/>
            <w:shd w:val="clear" w:color="auto" w:fill="auto"/>
            <w:vAlign w:val="center"/>
          </w:tcPr>
          <w:p w14:paraId="000640D8">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15</w:t>
            </w:r>
          </w:p>
        </w:tc>
        <w:tc>
          <w:tcPr>
            <w:tcW w:w="1918" w:type="dxa"/>
            <w:shd w:val="clear" w:color="auto" w:fill="auto"/>
            <w:vAlign w:val="center"/>
          </w:tcPr>
          <w:p w14:paraId="0AF254DF">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汞≤</w:t>
            </w:r>
          </w:p>
        </w:tc>
        <w:tc>
          <w:tcPr>
            <w:tcW w:w="1272" w:type="dxa"/>
            <w:shd w:val="clear" w:color="auto" w:fill="auto"/>
            <w:vAlign w:val="center"/>
          </w:tcPr>
          <w:p w14:paraId="0DAE9D8C">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0.001</w:t>
            </w:r>
          </w:p>
        </w:tc>
      </w:tr>
      <w:tr w14:paraId="07485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420FFDAA">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4</w:t>
            </w:r>
          </w:p>
        </w:tc>
        <w:tc>
          <w:tcPr>
            <w:tcW w:w="2742" w:type="dxa"/>
            <w:shd w:val="clear" w:color="auto" w:fill="auto"/>
            <w:vAlign w:val="center"/>
          </w:tcPr>
          <w:p w14:paraId="7A834549">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硫酸盐≤</w:t>
            </w:r>
          </w:p>
        </w:tc>
        <w:tc>
          <w:tcPr>
            <w:tcW w:w="1300" w:type="dxa"/>
            <w:shd w:val="clear" w:color="auto" w:fill="auto"/>
            <w:vAlign w:val="center"/>
          </w:tcPr>
          <w:p w14:paraId="1905FC41">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250</w:t>
            </w:r>
          </w:p>
        </w:tc>
        <w:tc>
          <w:tcPr>
            <w:tcW w:w="786" w:type="dxa"/>
            <w:shd w:val="clear" w:color="auto" w:fill="auto"/>
            <w:vAlign w:val="center"/>
          </w:tcPr>
          <w:p w14:paraId="15AB1179">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16</w:t>
            </w:r>
          </w:p>
        </w:tc>
        <w:tc>
          <w:tcPr>
            <w:tcW w:w="1918" w:type="dxa"/>
            <w:shd w:val="clear" w:color="auto" w:fill="auto"/>
            <w:vAlign w:val="center"/>
          </w:tcPr>
          <w:p w14:paraId="5ECA09D9">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砷≤</w:t>
            </w:r>
          </w:p>
        </w:tc>
        <w:tc>
          <w:tcPr>
            <w:tcW w:w="1272" w:type="dxa"/>
            <w:shd w:val="clear" w:color="auto" w:fill="auto"/>
            <w:vAlign w:val="center"/>
          </w:tcPr>
          <w:p w14:paraId="07E8C132">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0.01</w:t>
            </w:r>
          </w:p>
        </w:tc>
      </w:tr>
      <w:tr w14:paraId="787A2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7E0603D7">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5</w:t>
            </w:r>
          </w:p>
        </w:tc>
        <w:tc>
          <w:tcPr>
            <w:tcW w:w="2742" w:type="dxa"/>
            <w:shd w:val="clear" w:color="auto" w:fill="auto"/>
            <w:vAlign w:val="center"/>
          </w:tcPr>
          <w:p w14:paraId="47CE3DD9">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氯化物≤</w:t>
            </w:r>
          </w:p>
        </w:tc>
        <w:tc>
          <w:tcPr>
            <w:tcW w:w="1300" w:type="dxa"/>
            <w:shd w:val="clear" w:color="auto" w:fill="auto"/>
            <w:vAlign w:val="center"/>
          </w:tcPr>
          <w:p w14:paraId="4E2799A7">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250</w:t>
            </w:r>
          </w:p>
        </w:tc>
        <w:tc>
          <w:tcPr>
            <w:tcW w:w="786" w:type="dxa"/>
            <w:shd w:val="clear" w:color="auto" w:fill="auto"/>
            <w:vAlign w:val="center"/>
          </w:tcPr>
          <w:p w14:paraId="603E841E">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17</w:t>
            </w:r>
          </w:p>
        </w:tc>
        <w:tc>
          <w:tcPr>
            <w:tcW w:w="1918" w:type="dxa"/>
            <w:shd w:val="clear" w:color="auto" w:fill="auto"/>
            <w:vAlign w:val="center"/>
          </w:tcPr>
          <w:p w14:paraId="595F54AE">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镉≤</w:t>
            </w:r>
          </w:p>
        </w:tc>
        <w:tc>
          <w:tcPr>
            <w:tcW w:w="1272" w:type="dxa"/>
            <w:shd w:val="clear" w:color="auto" w:fill="auto"/>
            <w:vAlign w:val="center"/>
          </w:tcPr>
          <w:p w14:paraId="394072A0">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0.005</w:t>
            </w:r>
          </w:p>
        </w:tc>
      </w:tr>
      <w:tr w14:paraId="34696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025D98CA">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6</w:t>
            </w:r>
          </w:p>
        </w:tc>
        <w:tc>
          <w:tcPr>
            <w:tcW w:w="2742" w:type="dxa"/>
            <w:shd w:val="clear" w:color="auto" w:fill="auto"/>
            <w:vAlign w:val="center"/>
          </w:tcPr>
          <w:p w14:paraId="5BBB2D43">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铁≤</w:t>
            </w:r>
          </w:p>
        </w:tc>
        <w:tc>
          <w:tcPr>
            <w:tcW w:w="1300" w:type="dxa"/>
            <w:shd w:val="clear" w:color="auto" w:fill="auto"/>
            <w:vAlign w:val="center"/>
          </w:tcPr>
          <w:p w14:paraId="36C43FCE">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0.3</w:t>
            </w:r>
          </w:p>
        </w:tc>
        <w:tc>
          <w:tcPr>
            <w:tcW w:w="786" w:type="dxa"/>
            <w:shd w:val="clear" w:color="auto" w:fill="auto"/>
            <w:vAlign w:val="center"/>
          </w:tcPr>
          <w:p w14:paraId="21D091DD">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18</w:t>
            </w:r>
          </w:p>
        </w:tc>
        <w:tc>
          <w:tcPr>
            <w:tcW w:w="1918" w:type="dxa"/>
            <w:shd w:val="clear" w:color="auto" w:fill="auto"/>
            <w:vAlign w:val="center"/>
          </w:tcPr>
          <w:p w14:paraId="59787E76">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铬（六价）≤</w:t>
            </w:r>
          </w:p>
        </w:tc>
        <w:tc>
          <w:tcPr>
            <w:tcW w:w="1272" w:type="dxa"/>
            <w:shd w:val="clear" w:color="auto" w:fill="auto"/>
            <w:vAlign w:val="center"/>
          </w:tcPr>
          <w:p w14:paraId="7E985107">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0.05</w:t>
            </w:r>
          </w:p>
        </w:tc>
      </w:tr>
      <w:tr w14:paraId="447E9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4A17CCAC">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7</w:t>
            </w:r>
          </w:p>
        </w:tc>
        <w:tc>
          <w:tcPr>
            <w:tcW w:w="2742" w:type="dxa"/>
            <w:shd w:val="clear" w:color="auto" w:fill="auto"/>
            <w:vAlign w:val="center"/>
          </w:tcPr>
          <w:p w14:paraId="0E13C34C">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锰≤</w:t>
            </w:r>
          </w:p>
        </w:tc>
        <w:tc>
          <w:tcPr>
            <w:tcW w:w="1300" w:type="dxa"/>
            <w:shd w:val="clear" w:color="auto" w:fill="auto"/>
            <w:vAlign w:val="center"/>
          </w:tcPr>
          <w:p w14:paraId="2737E1CC">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0.10</w:t>
            </w:r>
          </w:p>
        </w:tc>
        <w:tc>
          <w:tcPr>
            <w:tcW w:w="786" w:type="dxa"/>
            <w:shd w:val="clear" w:color="auto" w:fill="auto"/>
            <w:vAlign w:val="center"/>
          </w:tcPr>
          <w:p w14:paraId="25DE28E0">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19</w:t>
            </w:r>
          </w:p>
        </w:tc>
        <w:tc>
          <w:tcPr>
            <w:tcW w:w="1918" w:type="dxa"/>
            <w:shd w:val="clear" w:color="auto" w:fill="auto"/>
            <w:vAlign w:val="center"/>
          </w:tcPr>
          <w:p w14:paraId="56D2E414">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铅≤</w:t>
            </w:r>
          </w:p>
        </w:tc>
        <w:tc>
          <w:tcPr>
            <w:tcW w:w="1272" w:type="dxa"/>
            <w:shd w:val="clear" w:color="auto" w:fill="auto"/>
            <w:vAlign w:val="center"/>
          </w:tcPr>
          <w:p w14:paraId="7384B0C6">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0.01</w:t>
            </w:r>
          </w:p>
        </w:tc>
      </w:tr>
      <w:tr w14:paraId="1ECA2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466CAACA">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8</w:t>
            </w:r>
          </w:p>
        </w:tc>
        <w:tc>
          <w:tcPr>
            <w:tcW w:w="2742" w:type="dxa"/>
            <w:shd w:val="clear" w:color="auto" w:fill="auto"/>
            <w:vAlign w:val="center"/>
          </w:tcPr>
          <w:p w14:paraId="51E0EEEF">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挥发性酚类≤</w:t>
            </w:r>
          </w:p>
        </w:tc>
        <w:tc>
          <w:tcPr>
            <w:tcW w:w="1300" w:type="dxa"/>
            <w:shd w:val="clear" w:color="auto" w:fill="auto"/>
            <w:vAlign w:val="center"/>
          </w:tcPr>
          <w:p w14:paraId="3D3B21B6">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0.002</w:t>
            </w:r>
          </w:p>
        </w:tc>
        <w:tc>
          <w:tcPr>
            <w:tcW w:w="786" w:type="dxa"/>
            <w:shd w:val="clear" w:color="auto" w:fill="auto"/>
            <w:vAlign w:val="center"/>
          </w:tcPr>
          <w:p w14:paraId="2089299F">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20</w:t>
            </w:r>
          </w:p>
        </w:tc>
        <w:tc>
          <w:tcPr>
            <w:tcW w:w="1918" w:type="dxa"/>
            <w:shd w:val="clear" w:color="auto" w:fill="auto"/>
            <w:vAlign w:val="center"/>
          </w:tcPr>
          <w:p w14:paraId="490E7ED2">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硫化物≤</w:t>
            </w:r>
          </w:p>
        </w:tc>
        <w:tc>
          <w:tcPr>
            <w:tcW w:w="1272" w:type="dxa"/>
            <w:shd w:val="clear" w:color="auto" w:fill="auto"/>
            <w:vAlign w:val="center"/>
          </w:tcPr>
          <w:p w14:paraId="4C2411C2">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0.02</w:t>
            </w:r>
          </w:p>
        </w:tc>
      </w:tr>
      <w:tr w14:paraId="10BA7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4C39B314">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9</w:t>
            </w:r>
          </w:p>
        </w:tc>
        <w:tc>
          <w:tcPr>
            <w:tcW w:w="2742" w:type="dxa"/>
            <w:shd w:val="clear" w:color="auto" w:fill="auto"/>
            <w:vAlign w:val="center"/>
          </w:tcPr>
          <w:p w14:paraId="5C97DB02">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耗氧量（COD</w:t>
            </w:r>
            <w:r>
              <w:rPr>
                <w:rFonts w:ascii="Arial" w:hAnsi="Arial" w:eastAsia="宋体" w:cs="Arial"/>
                <w:kern w:val="0"/>
                <w:sz w:val="21"/>
                <w:szCs w:val="21"/>
                <w:vertAlign w:val="subscript"/>
              </w:rPr>
              <w:t>Mn</w:t>
            </w:r>
            <w:r>
              <w:rPr>
                <w:rFonts w:ascii="Arial" w:hAnsi="Arial" w:eastAsia="宋体" w:cs="Arial"/>
                <w:kern w:val="0"/>
                <w:sz w:val="21"/>
                <w:szCs w:val="21"/>
              </w:rPr>
              <w:t>法，以O</w:t>
            </w:r>
            <w:r>
              <w:rPr>
                <w:rFonts w:ascii="Arial" w:hAnsi="Arial" w:eastAsia="宋体" w:cs="Arial"/>
                <w:kern w:val="0"/>
                <w:sz w:val="21"/>
                <w:szCs w:val="21"/>
                <w:vertAlign w:val="subscript"/>
              </w:rPr>
              <w:t>2</w:t>
            </w:r>
            <w:r>
              <w:rPr>
                <w:rFonts w:ascii="Arial" w:hAnsi="Arial" w:eastAsia="宋体" w:cs="Arial"/>
                <w:kern w:val="0"/>
                <w:sz w:val="21"/>
                <w:szCs w:val="21"/>
              </w:rPr>
              <w:t>计）≤</w:t>
            </w:r>
          </w:p>
        </w:tc>
        <w:tc>
          <w:tcPr>
            <w:tcW w:w="1300" w:type="dxa"/>
            <w:shd w:val="clear" w:color="auto" w:fill="auto"/>
            <w:vAlign w:val="center"/>
          </w:tcPr>
          <w:p w14:paraId="48B9C646">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3.0</w:t>
            </w:r>
          </w:p>
        </w:tc>
        <w:tc>
          <w:tcPr>
            <w:tcW w:w="786" w:type="dxa"/>
            <w:shd w:val="clear" w:color="auto" w:fill="auto"/>
            <w:vAlign w:val="center"/>
          </w:tcPr>
          <w:p w14:paraId="19F85083">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21</w:t>
            </w:r>
          </w:p>
        </w:tc>
        <w:tc>
          <w:tcPr>
            <w:tcW w:w="1918" w:type="dxa"/>
            <w:shd w:val="clear" w:color="auto" w:fill="auto"/>
            <w:vAlign w:val="center"/>
          </w:tcPr>
          <w:p w14:paraId="66356656">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铜≤</w:t>
            </w:r>
          </w:p>
        </w:tc>
        <w:tc>
          <w:tcPr>
            <w:tcW w:w="1272" w:type="dxa"/>
            <w:shd w:val="clear" w:color="auto" w:fill="auto"/>
            <w:vAlign w:val="center"/>
          </w:tcPr>
          <w:p w14:paraId="29A3ECA7">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w:t>
            </w:r>
          </w:p>
        </w:tc>
      </w:tr>
      <w:tr w14:paraId="19465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5D41D061">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w:t>
            </w:r>
          </w:p>
        </w:tc>
        <w:tc>
          <w:tcPr>
            <w:tcW w:w="2742" w:type="dxa"/>
            <w:shd w:val="clear" w:color="auto" w:fill="auto"/>
            <w:vAlign w:val="center"/>
          </w:tcPr>
          <w:p w14:paraId="40E3F5DA">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氨氮（以N计）≤</w:t>
            </w:r>
          </w:p>
        </w:tc>
        <w:tc>
          <w:tcPr>
            <w:tcW w:w="1300" w:type="dxa"/>
            <w:shd w:val="clear" w:color="auto" w:fill="auto"/>
            <w:vAlign w:val="center"/>
          </w:tcPr>
          <w:p w14:paraId="045B7328">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0.5</w:t>
            </w:r>
          </w:p>
        </w:tc>
        <w:tc>
          <w:tcPr>
            <w:tcW w:w="786" w:type="dxa"/>
            <w:shd w:val="clear" w:color="auto" w:fill="auto"/>
            <w:vAlign w:val="center"/>
          </w:tcPr>
          <w:p w14:paraId="435D7988">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22</w:t>
            </w:r>
          </w:p>
        </w:tc>
        <w:tc>
          <w:tcPr>
            <w:tcW w:w="1918" w:type="dxa"/>
            <w:shd w:val="clear" w:color="auto" w:fill="auto"/>
            <w:vAlign w:val="center"/>
          </w:tcPr>
          <w:p w14:paraId="740C327E">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锌≤</w:t>
            </w:r>
          </w:p>
        </w:tc>
        <w:tc>
          <w:tcPr>
            <w:tcW w:w="1272" w:type="dxa"/>
            <w:shd w:val="clear" w:color="auto" w:fill="auto"/>
            <w:vAlign w:val="center"/>
          </w:tcPr>
          <w:p w14:paraId="12F9EEAF">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w:t>
            </w:r>
          </w:p>
        </w:tc>
      </w:tr>
      <w:tr w14:paraId="116E4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3AF9CAEA">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11</w:t>
            </w:r>
          </w:p>
        </w:tc>
        <w:tc>
          <w:tcPr>
            <w:tcW w:w="2742" w:type="dxa"/>
            <w:shd w:val="clear" w:color="auto" w:fill="auto"/>
            <w:vAlign w:val="center"/>
          </w:tcPr>
          <w:p w14:paraId="1BEA4834">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硝酸盐（以N计）≤</w:t>
            </w:r>
          </w:p>
        </w:tc>
        <w:tc>
          <w:tcPr>
            <w:tcW w:w="1300" w:type="dxa"/>
            <w:shd w:val="clear" w:color="auto" w:fill="auto"/>
            <w:vAlign w:val="center"/>
          </w:tcPr>
          <w:p w14:paraId="05E0BA87">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20</w:t>
            </w:r>
          </w:p>
        </w:tc>
        <w:tc>
          <w:tcPr>
            <w:tcW w:w="786" w:type="dxa"/>
            <w:shd w:val="clear" w:color="auto" w:fill="auto"/>
            <w:vAlign w:val="center"/>
          </w:tcPr>
          <w:p w14:paraId="19607309">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23</w:t>
            </w:r>
          </w:p>
        </w:tc>
        <w:tc>
          <w:tcPr>
            <w:tcW w:w="1918" w:type="dxa"/>
            <w:shd w:val="clear" w:color="auto" w:fill="auto"/>
            <w:vAlign w:val="center"/>
          </w:tcPr>
          <w:p w14:paraId="2429D745">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钴≤</w:t>
            </w:r>
          </w:p>
        </w:tc>
        <w:tc>
          <w:tcPr>
            <w:tcW w:w="1272" w:type="dxa"/>
            <w:shd w:val="clear" w:color="auto" w:fill="auto"/>
            <w:vAlign w:val="center"/>
          </w:tcPr>
          <w:p w14:paraId="743431FA">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0.05</w:t>
            </w:r>
          </w:p>
        </w:tc>
      </w:tr>
      <w:tr w14:paraId="345FF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75" w:type="dxa"/>
            <w:shd w:val="clear" w:color="auto" w:fill="auto"/>
            <w:vAlign w:val="center"/>
          </w:tcPr>
          <w:p w14:paraId="4DDB4FDC">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12</w:t>
            </w:r>
          </w:p>
        </w:tc>
        <w:tc>
          <w:tcPr>
            <w:tcW w:w="2742" w:type="dxa"/>
            <w:shd w:val="clear" w:color="auto" w:fill="auto"/>
            <w:vAlign w:val="center"/>
          </w:tcPr>
          <w:p w14:paraId="719390F9">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亚硝酸盐（以N计）≤</w:t>
            </w:r>
          </w:p>
        </w:tc>
        <w:tc>
          <w:tcPr>
            <w:tcW w:w="1300" w:type="dxa"/>
            <w:shd w:val="clear" w:color="auto" w:fill="auto"/>
            <w:vAlign w:val="center"/>
          </w:tcPr>
          <w:p w14:paraId="452D896E">
            <w:pPr>
              <w:widowControl/>
              <w:spacing w:before="100" w:beforeAutospacing="1" w:after="100" w:afterAutospacing="1" w:line="240" w:lineRule="exact"/>
              <w:jc w:val="center"/>
              <w:rPr>
                <w:rFonts w:ascii="Arial" w:hAnsi="Arial" w:eastAsia="宋体" w:cs="Arial"/>
                <w:kern w:val="0"/>
                <w:sz w:val="21"/>
                <w:szCs w:val="21"/>
              </w:rPr>
            </w:pPr>
            <w:r>
              <w:rPr>
                <w:rFonts w:ascii="Arial" w:hAnsi="Arial" w:eastAsia="宋体" w:cs="Arial"/>
                <w:kern w:val="0"/>
                <w:sz w:val="21"/>
                <w:szCs w:val="21"/>
              </w:rPr>
              <w:t>1.0</w:t>
            </w:r>
          </w:p>
        </w:tc>
        <w:tc>
          <w:tcPr>
            <w:tcW w:w="786" w:type="dxa"/>
            <w:shd w:val="clear" w:color="auto" w:fill="auto"/>
            <w:vAlign w:val="center"/>
          </w:tcPr>
          <w:p w14:paraId="7EFE2D3B">
            <w:pPr>
              <w:widowControl/>
              <w:spacing w:before="100" w:beforeAutospacing="1" w:after="100" w:afterAutospacing="1" w:line="240" w:lineRule="exact"/>
              <w:jc w:val="center"/>
              <w:rPr>
                <w:rFonts w:ascii="Arial" w:hAnsi="Arial" w:eastAsia="宋体" w:cs="Arial"/>
                <w:kern w:val="0"/>
                <w:sz w:val="21"/>
                <w:szCs w:val="21"/>
              </w:rPr>
            </w:pPr>
          </w:p>
        </w:tc>
        <w:tc>
          <w:tcPr>
            <w:tcW w:w="1918" w:type="dxa"/>
            <w:shd w:val="clear" w:color="auto" w:fill="auto"/>
            <w:vAlign w:val="center"/>
          </w:tcPr>
          <w:p w14:paraId="781A1C54">
            <w:pPr>
              <w:widowControl/>
              <w:spacing w:before="100" w:beforeAutospacing="1" w:after="100" w:afterAutospacing="1" w:line="240" w:lineRule="exact"/>
              <w:jc w:val="center"/>
              <w:rPr>
                <w:rFonts w:ascii="Arial" w:hAnsi="Arial" w:eastAsia="宋体" w:cs="Arial"/>
                <w:kern w:val="0"/>
                <w:sz w:val="21"/>
                <w:szCs w:val="21"/>
              </w:rPr>
            </w:pPr>
          </w:p>
        </w:tc>
        <w:tc>
          <w:tcPr>
            <w:tcW w:w="1272" w:type="dxa"/>
            <w:shd w:val="clear" w:color="auto" w:fill="auto"/>
            <w:vAlign w:val="center"/>
          </w:tcPr>
          <w:p w14:paraId="1CBDB1F0">
            <w:pPr>
              <w:widowControl/>
              <w:spacing w:before="100" w:beforeAutospacing="1" w:after="100" w:afterAutospacing="1" w:line="240" w:lineRule="exact"/>
              <w:jc w:val="center"/>
              <w:rPr>
                <w:rFonts w:ascii="Arial" w:hAnsi="Arial" w:eastAsia="宋体" w:cs="Arial"/>
                <w:kern w:val="0"/>
                <w:sz w:val="21"/>
                <w:szCs w:val="21"/>
              </w:rPr>
            </w:pPr>
          </w:p>
        </w:tc>
      </w:tr>
    </w:tbl>
    <w:p w14:paraId="61427FB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4、声环境</w:t>
      </w:r>
    </w:p>
    <w:p w14:paraId="4F2A05AA">
      <w:pPr>
        <w:spacing w:line="500" w:lineRule="exact"/>
        <w:ind w:firstLine="490" w:firstLineChars="200"/>
        <w:rPr>
          <w:rFonts w:ascii="Arial" w:hAnsi="Arial" w:eastAsia="宋体" w:cs="Arial"/>
          <w:spacing w:val="10"/>
          <w:sz w:val="24"/>
          <w:szCs w:val="24"/>
        </w:rPr>
      </w:pPr>
      <w:r>
        <w:rPr>
          <w:rFonts w:ascii="Arial" w:hAnsi="Arial" w:eastAsia="宋体" w:cs="Arial"/>
          <w:spacing w:val="10"/>
          <w:kern w:val="0"/>
          <w:sz w:val="24"/>
          <w:szCs w:val="24"/>
        </w:rPr>
        <w:t>企业厂区东、南、北面厂界声环境执行《声环境质量标准》（GB3096-2008）3类区标准，西面厂界执行4a类区标准，厂区北面村庄声环境执行2类区标准，具体标准值见表1-</w:t>
      </w:r>
      <w:r>
        <w:rPr>
          <w:rFonts w:hint="eastAsia" w:ascii="Arial" w:hAnsi="Arial" w:eastAsia="宋体" w:cs="Arial"/>
          <w:spacing w:val="10"/>
          <w:kern w:val="0"/>
          <w:sz w:val="24"/>
          <w:szCs w:val="24"/>
        </w:rPr>
        <w:t>9</w:t>
      </w:r>
      <w:r>
        <w:rPr>
          <w:rFonts w:ascii="Arial" w:hAnsi="Arial" w:eastAsia="宋体" w:cs="Arial"/>
          <w:spacing w:val="10"/>
          <w:sz w:val="24"/>
          <w:szCs w:val="24"/>
        </w:rPr>
        <w:t>。</w:t>
      </w:r>
    </w:p>
    <w:p w14:paraId="1A282C78">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《声环境质量标准》（摘录）      单位：dB（A）</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3"/>
        <w:gridCol w:w="3054"/>
        <w:gridCol w:w="3056"/>
      </w:tblGrid>
      <w:tr w14:paraId="65F55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3" w:type="dxa"/>
            <w:vMerge w:val="restart"/>
            <w:vAlign w:val="center"/>
          </w:tcPr>
          <w:p w14:paraId="123EA5AE">
            <w:pPr>
              <w:spacing w:line="240" w:lineRule="exact"/>
              <w:jc w:val="center"/>
              <w:rPr>
                <w:rFonts w:ascii="Arial" w:hAnsi="Arial" w:eastAsia="宋体" w:cs="Arial"/>
                <w:sz w:val="21"/>
                <w:szCs w:val="24"/>
              </w:rPr>
            </w:pPr>
            <w:r>
              <w:rPr>
                <w:rFonts w:ascii="Arial" w:hAnsi="Arial" w:eastAsia="宋体" w:cs="Arial"/>
                <w:sz w:val="21"/>
                <w:szCs w:val="24"/>
              </w:rPr>
              <w:t>类别</w:t>
            </w:r>
          </w:p>
        </w:tc>
        <w:tc>
          <w:tcPr>
            <w:tcW w:w="6110" w:type="dxa"/>
            <w:gridSpan w:val="2"/>
            <w:vAlign w:val="center"/>
          </w:tcPr>
          <w:p w14:paraId="0866AC87">
            <w:pPr>
              <w:spacing w:line="240" w:lineRule="exact"/>
              <w:jc w:val="center"/>
              <w:rPr>
                <w:rFonts w:ascii="Arial" w:hAnsi="Arial" w:eastAsia="宋体" w:cs="Arial"/>
                <w:sz w:val="21"/>
                <w:szCs w:val="24"/>
              </w:rPr>
            </w:pPr>
            <w:r>
              <w:rPr>
                <w:rFonts w:ascii="Arial" w:hAnsi="Arial" w:eastAsia="宋体" w:cs="Arial"/>
                <w:sz w:val="21"/>
                <w:szCs w:val="24"/>
              </w:rPr>
              <w:t>等效声级L</w:t>
            </w:r>
            <w:r>
              <w:rPr>
                <w:rFonts w:ascii="Arial" w:hAnsi="Arial" w:eastAsia="宋体" w:cs="Arial"/>
                <w:sz w:val="21"/>
                <w:szCs w:val="24"/>
                <w:vertAlign w:val="subscript"/>
              </w:rPr>
              <w:t>eq</w:t>
            </w:r>
          </w:p>
        </w:tc>
      </w:tr>
      <w:tr w14:paraId="79745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3" w:type="dxa"/>
            <w:vMerge w:val="continue"/>
            <w:vAlign w:val="center"/>
          </w:tcPr>
          <w:p w14:paraId="116C145B">
            <w:pPr>
              <w:spacing w:line="240" w:lineRule="exact"/>
              <w:jc w:val="center"/>
              <w:rPr>
                <w:rFonts w:ascii="Arial" w:hAnsi="Arial" w:eastAsia="宋体" w:cs="Arial"/>
                <w:sz w:val="21"/>
                <w:szCs w:val="24"/>
              </w:rPr>
            </w:pPr>
          </w:p>
        </w:tc>
        <w:tc>
          <w:tcPr>
            <w:tcW w:w="3054" w:type="dxa"/>
            <w:vAlign w:val="center"/>
          </w:tcPr>
          <w:p w14:paraId="7A55A3D2">
            <w:pPr>
              <w:spacing w:line="240" w:lineRule="exact"/>
              <w:jc w:val="center"/>
              <w:rPr>
                <w:rFonts w:ascii="Arial" w:hAnsi="Arial" w:eastAsia="宋体" w:cs="Arial"/>
                <w:sz w:val="21"/>
                <w:szCs w:val="24"/>
              </w:rPr>
            </w:pPr>
            <w:r>
              <w:rPr>
                <w:rFonts w:ascii="Arial" w:hAnsi="Arial" w:eastAsia="宋体" w:cs="Arial"/>
                <w:sz w:val="21"/>
                <w:szCs w:val="24"/>
              </w:rPr>
              <w:t>昼间</w:t>
            </w:r>
          </w:p>
        </w:tc>
        <w:tc>
          <w:tcPr>
            <w:tcW w:w="3056" w:type="dxa"/>
            <w:vAlign w:val="center"/>
          </w:tcPr>
          <w:p w14:paraId="427ABB68">
            <w:pPr>
              <w:spacing w:line="240" w:lineRule="exact"/>
              <w:jc w:val="center"/>
              <w:rPr>
                <w:rFonts w:ascii="Arial" w:hAnsi="Arial" w:eastAsia="宋体" w:cs="Arial"/>
                <w:sz w:val="21"/>
                <w:szCs w:val="24"/>
              </w:rPr>
            </w:pPr>
            <w:r>
              <w:rPr>
                <w:rFonts w:ascii="Arial" w:hAnsi="Arial" w:eastAsia="宋体" w:cs="Arial"/>
                <w:sz w:val="21"/>
                <w:szCs w:val="24"/>
              </w:rPr>
              <w:t>夜间</w:t>
            </w:r>
          </w:p>
        </w:tc>
      </w:tr>
      <w:tr w14:paraId="28C9E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3" w:type="dxa"/>
            <w:vAlign w:val="center"/>
          </w:tcPr>
          <w:p w14:paraId="7E7BE128">
            <w:pPr>
              <w:spacing w:line="240" w:lineRule="exact"/>
              <w:jc w:val="center"/>
              <w:rPr>
                <w:rFonts w:ascii="Arial" w:hAnsi="Arial" w:eastAsia="宋体" w:cs="Arial"/>
                <w:sz w:val="21"/>
                <w:szCs w:val="24"/>
              </w:rPr>
            </w:pPr>
            <w:r>
              <w:rPr>
                <w:rFonts w:ascii="Arial" w:hAnsi="Arial" w:eastAsia="宋体" w:cs="Arial"/>
                <w:sz w:val="21"/>
                <w:szCs w:val="24"/>
              </w:rPr>
              <w:t>2类区</w:t>
            </w:r>
          </w:p>
        </w:tc>
        <w:tc>
          <w:tcPr>
            <w:tcW w:w="3054" w:type="dxa"/>
            <w:vAlign w:val="center"/>
          </w:tcPr>
          <w:p w14:paraId="7179BD3B">
            <w:pPr>
              <w:spacing w:line="240" w:lineRule="exact"/>
              <w:jc w:val="center"/>
              <w:rPr>
                <w:rFonts w:ascii="Arial" w:hAnsi="Arial" w:eastAsia="宋体" w:cs="Arial"/>
                <w:sz w:val="21"/>
                <w:szCs w:val="24"/>
              </w:rPr>
            </w:pPr>
            <w:r>
              <w:rPr>
                <w:rFonts w:ascii="Arial" w:hAnsi="Arial" w:eastAsia="宋体" w:cs="Arial"/>
                <w:sz w:val="21"/>
                <w:szCs w:val="24"/>
              </w:rPr>
              <w:t>60</w:t>
            </w:r>
          </w:p>
        </w:tc>
        <w:tc>
          <w:tcPr>
            <w:tcW w:w="3056" w:type="dxa"/>
            <w:vAlign w:val="center"/>
          </w:tcPr>
          <w:p w14:paraId="665D6A75">
            <w:pPr>
              <w:spacing w:line="240" w:lineRule="exact"/>
              <w:jc w:val="center"/>
              <w:rPr>
                <w:rFonts w:ascii="Arial" w:hAnsi="Arial" w:eastAsia="宋体" w:cs="Arial"/>
                <w:sz w:val="21"/>
                <w:szCs w:val="24"/>
              </w:rPr>
            </w:pPr>
            <w:r>
              <w:rPr>
                <w:rFonts w:ascii="Arial" w:hAnsi="Arial" w:eastAsia="宋体" w:cs="Arial"/>
                <w:sz w:val="21"/>
                <w:szCs w:val="24"/>
              </w:rPr>
              <w:t>50</w:t>
            </w:r>
          </w:p>
        </w:tc>
      </w:tr>
      <w:tr w14:paraId="6E913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3" w:type="dxa"/>
            <w:vAlign w:val="center"/>
          </w:tcPr>
          <w:p w14:paraId="646C5416">
            <w:pPr>
              <w:spacing w:line="240" w:lineRule="exact"/>
              <w:jc w:val="center"/>
              <w:rPr>
                <w:rFonts w:ascii="Arial" w:hAnsi="Arial" w:eastAsia="宋体" w:cs="Arial"/>
                <w:sz w:val="21"/>
                <w:szCs w:val="24"/>
              </w:rPr>
            </w:pPr>
            <w:r>
              <w:rPr>
                <w:rFonts w:ascii="Arial" w:hAnsi="Arial" w:eastAsia="宋体" w:cs="Arial"/>
                <w:sz w:val="21"/>
                <w:szCs w:val="24"/>
              </w:rPr>
              <w:t>3类区</w:t>
            </w:r>
          </w:p>
        </w:tc>
        <w:tc>
          <w:tcPr>
            <w:tcW w:w="3054" w:type="dxa"/>
            <w:vAlign w:val="center"/>
          </w:tcPr>
          <w:p w14:paraId="2AE2C4A8">
            <w:pPr>
              <w:spacing w:line="240" w:lineRule="exact"/>
              <w:jc w:val="center"/>
              <w:rPr>
                <w:rFonts w:ascii="Arial" w:hAnsi="Arial" w:eastAsia="宋体" w:cs="Arial"/>
                <w:sz w:val="21"/>
                <w:szCs w:val="24"/>
              </w:rPr>
            </w:pPr>
            <w:r>
              <w:rPr>
                <w:rFonts w:ascii="Arial" w:hAnsi="Arial" w:eastAsia="宋体" w:cs="Arial"/>
                <w:sz w:val="21"/>
                <w:szCs w:val="24"/>
              </w:rPr>
              <w:t>65</w:t>
            </w:r>
          </w:p>
        </w:tc>
        <w:tc>
          <w:tcPr>
            <w:tcW w:w="3056" w:type="dxa"/>
            <w:vAlign w:val="center"/>
          </w:tcPr>
          <w:p w14:paraId="589F33C0">
            <w:pPr>
              <w:spacing w:line="240" w:lineRule="exact"/>
              <w:jc w:val="center"/>
              <w:rPr>
                <w:rFonts w:ascii="Arial" w:hAnsi="Arial" w:eastAsia="宋体" w:cs="Arial"/>
                <w:sz w:val="21"/>
                <w:szCs w:val="24"/>
              </w:rPr>
            </w:pPr>
            <w:r>
              <w:rPr>
                <w:rFonts w:ascii="Arial" w:hAnsi="Arial" w:eastAsia="宋体" w:cs="Arial"/>
                <w:sz w:val="21"/>
                <w:szCs w:val="24"/>
              </w:rPr>
              <w:t>55</w:t>
            </w:r>
          </w:p>
        </w:tc>
      </w:tr>
      <w:tr w14:paraId="792D3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3" w:type="dxa"/>
            <w:vAlign w:val="center"/>
          </w:tcPr>
          <w:p w14:paraId="54901D5A">
            <w:pPr>
              <w:spacing w:line="240" w:lineRule="exact"/>
              <w:jc w:val="center"/>
              <w:rPr>
                <w:rFonts w:ascii="Arial" w:hAnsi="Arial" w:eastAsia="宋体" w:cs="Arial"/>
                <w:sz w:val="21"/>
                <w:szCs w:val="24"/>
              </w:rPr>
            </w:pPr>
            <w:r>
              <w:rPr>
                <w:rFonts w:ascii="Arial" w:hAnsi="Arial" w:eastAsia="宋体" w:cs="Arial"/>
                <w:sz w:val="21"/>
                <w:szCs w:val="24"/>
              </w:rPr>
              <w:t>4a类区</w:t>
            </w:r>
          </w:p>
        </w:tc>
        <w:tc>
          <w:tcPr>
            <w:tcW w:w="3054" w:type="dxa"/>
            <w:vAlign w:val="center"/>
          </w:tcPr>
          <w:p w14:paraId="37C2D6D8">
            <w:pPr>
              <w:spacing w:line="240" w:lineRule="exact"/>
              <w:jc w:val="center"/>
              <w:rPr>
                <w:rFonts w:ascii="Arial" w:hAnsi="Arial" w:eastAsia="宋体" w:cs="Arial"/>
                <w:sz w:val="21"/>
                <w:szCs w:val="24"/>
              </w:rPr>
            </w:pPr>
            <w:r>
              <w:rPr>
                <w:rFonts w:ascii="Arial" w:hAnsi="Arial" w:eastAsia="宋体" w:cs="Arial"/>
                <w:sz w:val="21"/>
                <w:szCs w:val="24"/>
              </w:rPr>
              <w:t>70</w:t>
            </w:r>
          </w:p>
        </w:tc>
        <w:tc>
          <w:tcPr>
            <w:tcW w:w="3056" w:type="dxa"/>
            <w:vAlign w:val="center"/>
          </w:tcPr>
          <w:p w14:paraId="48B8EB71">
            <w:pPr>
              <w:spacing w:line="240" w:lineRule="exact"/>
              <w:jc w:val="center"/>
              <w:rPr>
                <w:rFonts w:ascii="Arial" w:hAnsi="Arial" w:eastAsia="宋体" w:cs="Arial"/>
                <w:sz w:val="21"/>
                <w:szCs w:val="24"/>
              </w:rPr>
            </w:pPr>
            <w:r>
              <w:rPr>
                <w:rFonts w:ascii="Arial" w:hAnsi="Arial" w:eastAsia="宋体" w:cs="Arial"/>
                <w:sz w:val="21"/>
                <w:szCs w:val="24"/>
              </w:rPr>
              <w:t>55</w:t>
            </w:r>
          </w:p>
        </w:tc>
      </w:tr>
    </w:tbl>
    <w:p w14:paraId="56F549C1">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5、土壤环境</w:t>
      </w:r>
    </w:p>
    <w:p w14:paraId="1B1B55BF">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kern w:val="0"/>
          <w:sz w:val="24"/>
          <w:szCs w:val="24"/>
        </w:rPr>
        <w:t>厂</w:t>
      </w:r>
      <w:r>
        <w:rPr>
          <w:rFonts w:ascii="Arial" w:hAnsi="Arial" w:eastAsia="宋体" w:cs="Arial"/>
          <w:spacing w:val="10"/>
          <w:kern w:val="0"/>
          <w:sz w:val="24"/>
          <w:szCs w:val="24"/>
        </w:rPr>
        <w:t>区土壤环境执行《土壤环境质量 建设用地土壤污染风险管控标准（试行）》（GB36600-2018）中第二类用地筛选值标准，</w:t>
      </w:r>
      <w:r>
        <w:rPr>
          <w:rFonts w:hint="eastAsia" w:ascii="Arial" w:hAnsi="Arial" w:eastAsia="宋体" w:cs="Arial"/>
          <w:spacing w:val="10"/>
          <w:kern w:val="0"/>
          <w:sz w:val="24"/>
          <w:szCs w:val="24"/>
        </w:rPr>
        <w:t>周边居住区土壤执行</w:t>
      </w:r>
      <w:r>
        <w:rPr>
          <w:rFonts w:ascii="Arial" w:hAnsi="Arial" w:eastAsia="宋体" w:cs="Arial"/>
          <w:spacing w:val="10"/>
          <w:kern w:val="0"/>
          <w:sz w:val="24"/>
          <w:szCs w:val="24"/>
        </w:rPr>
        <w:t>GB36600-2018</w:t>
      </w:r>
      <w:r>
        <w:rPr>
          <w:rFonts w:hint="eastAsia" w:ascii="Arial" w:hAnsi="Arial" w:eastAsia="宋体" w:cs="Arial"/>
          <w:spacing w:val="10"/>
          <w:kern w:val="0"/>
          <w:sz w:val="24"/>
          <w:szCs w:val="24"/>
        </w:rPr>
        <w:t>第一类用地筛选值标准，</w:t>
      </w:r>
      <w:r>
        <w:rPr>
          <w:rFonts w:ascii="Arial" w:hAnsi="Arial" w:eastAsia="宋体" w:cs="Arial"/>
          <w:spacing w:val="10"/>
          <w:kern w:val="0"/>
          <w:sz w:val="24"/>
          <w:szCs w:val="24"/>
        </w:rPr>
        <w:t>见表1-1</w:t>
      </w:r>
      <w:r>
        <w:rPr>
          <w:rFonts w:hint="eastAsia" w:ascii="Arial" w:hAnsi="Arial" w:eastAsia="宋体" w:cs="Arial"/>
          <w:spacing w:val="10"/>
          <w:kern w:val="0"/>
          <w:sz w:val="24"/>
          <w:szCs w:val="24"/>
        </w:rPr>
        <w:t>0，锰执行广西地方标准《建设用地土壤污染风险筛选值和管制值》（DB45/T2556-2022）中第二类用地筛选值标准，</w:t>
      </w:r>
      <w:r>
        <w:rPr>
          <w:rFonts w:ascii="Arial" w:hAnsi="Arial" w:eastAsia="宋体" w:cs="Arial"/>
          <w:spacing w:val="10"/>
          <w:kern w:val="0"/>
          <w:sz w:val="24"/>
          <w:szCs w:val="24"/>
        </w:rPr>
        <w:t>见表1-1</w:t>
      </w:r>
      <w:r>
        <w:rPr>
          <w:rFonts w:hint="eastAsia" w:ascii="Arial" w:hAnsi="Arial" w:eastAsia="宋体" w:cs="Arial"/>
          <w:spacing w:val="10"/>
          <w:kern w:val="0"/>
          <w:sz w:val="24"/>
          <w:szCs w:val="24"/>
        </w:rPr>
        <w:t>2</w:t>
      </w:r>
      <w:r>
        <w:rPr>
          <w:rFonts w:ascii="Arial" w:hAnsi="Arial" w:eastAsia="宋体" w:cs="Arial"/>
          <w:spacing w:val="10"/>
          <w:kern w:val="0"/>
          <w:sz w:val="24"/>
          <w:szCs w:val="24"/>
        </w:rPr>
        <w:t>；项目周边农田土壤执行《土壤环境质量 农用地土壤污染风险管控标准》（GB15618-2018），见表1-1</w:t>
      </w:r>
      <w:r>
        <w:rPr>
          <w:rFonts w:hint="eastAsia" w:ascii="Arial" w:hAnsi="Arial" w:eastAsia="宋体" w:cs="Arial"/>
          <w:spacing w:val="10"/>
          <w:kern w:val="0"/>
          <w:sz w:val="24"/>
          <w:szCs w:val="24"/>
        </w:rPr>
        <w:t>1</w:t>
      </w:r>
      <w:r>
        <w:rPr>
          <w:rFonts w:ascii="Arial" w:hAnsi="Arial" w:eastAsia="宋体" w:cs="Arial"/>
          <w:spacing w:val="10"/>
          <w:sz w:val="24"/>
          <w:szCs w:val="24"/>
        </w:rPr>
        <w:t>。</w:t>
      </w:r>
    </w:p>
    <w:p w14:paraId="02B531B2">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《土壤环境质量 建设用地土壤污染风险管控标准》（摘录）  单位：mg/kg</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845"/>
        <w:gridCol w:w="1478"/>
        <w:gridCol w:w="1353"/>
        <w:gridCol w:w="1351"/>
        <w:gridCol w:w="1203"/>
        <w:gridCol w:w="1089"/>
      </w:tblGrid>
      <w:tr w14:paraId="3DF06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blHeader/>
          <w:jc w:val="center"/>
        </w:trPr>
        <w:tc>
          <w:tcPr>
            <w:tcW w:w="375" w:type="pct"/>
            <w:vMerge w:val="restart"/>
            <w:vAlign w:val="center"/>
          </w:tcPr>
          <w:p w14:paraId="7C401AB4">
            <w:pPr>
              <w:spacing w:line="240" w:lineRule="exact"/>
              <w:jc w:val="center"/>
              <w:rPr>
                <w:rFonts w:ascii="Arial" w:hAnsi="Arial" w:eastAsia="宋体" w:cs="Arial"/>
                <w:spacing w:val="10"/>
                <w:sz w:val="21"/>
                <w:szCs w:val="24"/>
              </w:rPr>
            </w:pPr>
            <w:r>
              <w:rPr>
                <w:rFonts w:ascii="Arial" w:hAnsi="Arial" w:eastAsia="宋体" w:cs="Arial"/>
                <w:spacing w:val="10"/>
                <w:sz w:val="21"/>
                <w:szCs w:val="24"/>
              </w:rPr>
              <w:t>序号</w:t>
            </w:r>
          </w:p>
        </w:tc>
        <w:tc>
          <w:tcPr>
            <w:tcW w:w="1026" w:type="pct"/>
            <w:vMerge w:val="restart"/>
            <w:vAlign w:val="center"/>
          </w:tcPr>
          <w:p w14:paraId="424D6F91">
            <w:pPr>
              <w:spacing w:line="240" w:lineRule="exact"/>
              <w:jc w:val="center"/>
              <w:rPr>
                <w:rFonts w:ascii="Arial" w:hAnsi="Arial" w:eastAsia="宋体" w:cs="Arial"/>
                <w:spacing w:val="10"/>
                <w:sz w:val="21"/>
                <w:szCs w:val="24"/>
              </w:rPr>
            </w:pPr>
            <w:r>
              <w:rPr>
                <w:rFonts w:ascii="Arial" w:hAnsi="Arial" w:eastAsia="宋体" w:cs="Arial"/>
                <w:spacing w:val="10"/>
                <w:sz w:val="21"/>
                <w:szCs w:val="24"/>
              </w:rPr>
              <w:t>污染物项目</w:t>
            </w:r>
          </w:p>
        </w:tc>
        <w:tc>
          <w:tcPr>
            <w:tcW w:w="822" w:type="pct"/>
            <w:vMerge w:val="restart"/>
            <w:vAlign w:val="center"/>
          </w:tcPr>
          <w:p w14:paraId="2FBDE81E">
            <w:pPr>
              <w:spacing w:line="240" w:lineRule="exact"/>
              <w:jc w:val="center"/>
              <w:rPr>
                <w:rFonts w:ascii="Arial" w:hAnsi="Arial" w:eastAsia="宋体" w:cs="Arial"/>
                <w:spacing w:val="10"/>
                <w:sz w:val="21"/>
                <w:szCs w:val="24"/>
              </w:rPr>
            </w:pPr>
            <w:r>
              <w:rPr>
                <w:rFonts w:ascii="Arial" w:hAnsi="Arial" w:eastAsia="宋体" w:cs="Arial"/>
                <w:spacing w:val="10"/>
                <w:sz w:val="21"/>
                <w:szCs w:val="24"/>
              </w:rPr>
              <w:t>CAS编号</w:t>
            </w:r>
          </w:p>
        </w:tc>
        <w:tc>
          <w:tcPr>
            <w:tcW w:w="1503" w:type="pct"/>
            <w:gridSpan w:val="2"/>
            <w:vAlign w:val="center"/>
          </w:tcPr>
          <w:p w14:paraId="237E8398">
            <w:pPr>
              <w:spacing w:line="240" w:lineRule="exact"/>
              <w:jc w:val="center"/>
              <w:rPr>
                <w:rFonts w:ascii="Arial" w:hAnsi="Arial" w:eastAsia="宋体" w:cs="Arial"/>
                <w:spacing w:val="10"/>
                <w:sz w:val="21"/>
                <w:szCs w:val="24"/>
              </w:rPr>
            </w:pPr>
            <w:r>
              <w:rPr>
                <w:rFonts w:ascii="Arial" w:hAnsi="Arial" w:eastAsia="宋体" w:cs="Arial"/>
                <w:spacing w:val="10"/>
                <w:sz w:val="21"/>
                <w:szCs w:val="24"/>
              </w:rPr>
              <w:t>第</w:t>
            </w:r>
            <w:r>
              <w:rPr>
                <w:rFonts w:hint="eastAsia" w:ascii="Arial" w:hAnsi="Arial" w:eastAsia="宋体" w:cs="Arial"/>
                <w:spacing w:val="10"/>
                <w:sz w:val="21"/>
                <w:szCs w:val="24"/>
              </w:rPr>
              <w:t>一</w:t>
            </w:r>
            <w:r>
              <w:rPr>
                <w:rFonts w:ascii="Arial" w:hAnsi="Arial" w:eastAsia="宋体" w:cs="Arial"/>
                <w:spacing w:val="10"/>
                <w:sz w:val="21"/>
                <w:szCs w:val="24"/>
              </w:rPr>
              <w:t>类用地</w:t>
            </w:r>
          </w:p>
        </w:tc>
        <w:tc>
          <w:tcPr>
            <w:tcW w:w="1274" w:type="pct"/>
            <w:gridSpan w:val="2"/>
            <w:vAlign w:val="center"/>
          </w:tcPr>
          <w:p w14:paraId="478B16A4">
            <w:pPr>
              <w:spacing w:line="240" w:lineRule="exact"/>
              <w:jc w:val="center"/>
              <w:rPr>
                <w:rFonts w:ascii="Arial" w:hAnsi="Arial" w:eastAsia="宋体" w:cs="Arial"/>
                <w:spacing w:val="10"/>
                <w:sz w:val="21"/>
                <w:szCs w:val="24"/>
              </w:rPr>
            </w:pPr>
            <w:r>
              <w:rPr>
                <w:rFonts w:ascii="Arial" w:hAnsi="Arial" w:eastAsia="宋体" w:cs="Arial"/>
                <w:spacing w:val="10"/>
                <w:sz w:val="21"/>
                <w:szCs w:val="24"/>
              </w:rPr>
              <w:t>第二类用地</w:t>
            </w:r>
          </w:p>
        </w:tc>
      </w:tr>
      <w:tr w14:paraId="185E1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blHeader/>
          <w:jc w:val="center"/>
        </w:trPr>
        <w:tc>
          <w:tcPr>
            <w:tcW w:w="375" w:type="pct"/>
            <w:vMerge w:val="continue"/>
            <w:vAlign w:val="center"/>
          </w:tcPr>
          <w:p w14:paraId="4A0B286A">
            <w:pPr>
              <w:widowControl/>
              <w:jc w:val="left"/>
              <w:rPr>
                <w:rFonts w:ascii="Arial" w:hAnsi="Arial" w:eastAsia="宋体" w:cs="Arial"/>
                <w:spacing w:val="10"/>
                <w:sz w:val="21"/>
                <w:szCs w:val="24"/>
              </w:rPr>
            </w:pPr>
          </w:p>
        </w:tc>
        <w:tc>
          <w:tcPr>
            <w:tcW w:w="1026" w:type="pct"/>
            <w:vMerge w:val="continue"/>
            <w:vAlign w:val="center"/>
          </w:tcPr>
          <w:p w14:paraId="291A5176">
            <w:pPr>
              <w:widowControl/>
              <w:jc w:val="left"/>
              <w:rPr>
                <w:rFonts w:ascii="Arial" w:hAnsi="Arial" w:eastAsia="宋体" w:cs="Arial"/>
                <w:spacing w:val="10"/>
                <w:sz w:val="21"/>
                <w:szCs w:val="24"/>
              </w:rPr>
            </w:pPr>
          </w:p>
        </w:tc>
        <w:tc>
          <w:tcPr>
            <w:tcW w:w="822" w:type="pct"/>
            <w:vMerge w:val="continue"/>
            <w:vAlign w:val="center"/>
          </w:tcPr>
          <w:p w14:paraId="71B3E55E">
            <w:pPr>
              <w:widowControl/>
              <w:jc w:val="left"/>
              <w:rPr>
                <w:rFonts w:ascii="Arial" w:hAnsi="Arial" w:eastAsia="宋体" w:cs="Arial"/>
                <w:spacing w:val="10"/>
                <w:sz w:val="21"/>
                <w:szCs w:val="24"/>
              </w:rPr>
            </w:pPr>
          </w:p>
        </w:tc>
        <w:tc>
          <w:tcPr>
            <w:tcW w:w="752" w:type="pct"/>
            <w:vAlign w:val="center"/>
          </w:tcPr>
          <w:p w14:paraId="1D734E9F">
            <w:pPr>
              <w:spacing w:line="240" w:lineRule="exact"/>
              <w:jc w:val="center"/>
              <w:rPr>
                <w:rFonts w:ascii="Arial" w:hAnsi="Arial" w:eastAsia="宋体" w:cs="Arial"/>
                <w:spacing w:val="10"/>
                <w:sz w:val="21"/>
                <w:szCs w:val="24"/>
              </w:rPr>
            </w:pPr>
            <w:r>
              <w:rPr>
                <w:rFonts w:ascii="Arial" w:hAnsi="Arial" w:eastAsia="宋体" w:cs="Arial"/>
                <w:spacing w:val="10"/>
                <w:sz w:val="21"/>
                <w:szCs w:val="24"/>
              </w:rPr>
              <w:t>筛选值</w:t>
            </w:r>
          </w:p>
        </w:tc>
        <w:tc>
          <w:tcPr>
            <w:tcW w:w="751" w:type="pct"/>
            <w:vAlign w:val="center"/>
          </w:tcPr>
          <w:p w14:paraId="6B9BECD2">
            <w:pPr>
              <w:spacing w:line="240" w:lineRule="exact"/>
              <w:jc w:val="center"/>
              <w:rPr>
                <w:rFonts w:ascii="Arial" w:hAnsi="Arial" w:eastAsia="宋体" w:cs="Arial"/>
                <w:spacing w:val="10"/>
                <w:sz w:val="21"/>
                <w:szCs w:val="24"/>
              </w:rPr>
            </w:pPr>
            <w:r>
              <w:rPr>
                <w:rFonts w:ascii="Arial" w:hAnsi="Arial" w:eastAsia="宋体" w:cs="Arial"/>
                <w:spacing w:val="10"/>
                <w:sz w:val="21"/>
                <w:szCs w:val="24"/>
              </w:rPr>
              <w:t>管制值</w:t>
            </w:r>
          </w:p>
        </w:tc>
        <w:tc>
          <w:tcPr>
            <w:tcW w:w="669" w:type="pct"/>
            <w:vAlign w:val="center"/>
          </w:tcPr>
          <w:p w14:paraId="57D923EE">
            <w:pPr>
              <w:spacing w:line="240" w:lineRule="exact"/>
              <w:jc w:val="center"/>
              <w:rPr>
                <w:rFonts w:ascii="Arial" w:hAnsi="Arial" w:eastAsia="宋体" w:cs="Arial"/>
                <w:spacing w:val="10"/>
                <w:sz w:val="21"/>
                <w:szCs w:val="24"/>
              </w:rPr>
            </w:pPr>
            <w:r>
              <w:rPr>
                <w:rFonts w:ascii="Arial" w:hAnsi="Arial" w:eastAsia="宋体" w:cs="Arial"/>
                <w:spacing w:val="10"/>
                <w:sz w:val="21"/>
                <w:szCs w:val="24"/>
              </w:rPr>
              <w:t>筛选值</w:t>
            </w:r>
          </w:p>
        </w:tc>
        <w:tc>
          <w:tcPr>
            <w:tcW w:w="605" w:type="pct"/>
            <w:vAlign w:val="center"/>
          </w:tcPr>
          <w:p w14:paraId="4044542D">
            <w:pPr>
              <w:spacing w:line="240" w:lineRule="exact"/>
              <w:jc w:val="center"/>
              <w:rPr>
                <w:rFonts w:ascii="Arial" w:hAnsi="Arial" w:eastAsia="宋体" w:cs="Arial"/>
                <w:spacing w:val="10"/>
                <w:sz w:val="21"/>
                <w:szCs w:val="24"/>
              </w:rPr>
            </w:pPr>
            <w:r>
              <w:rPr>
                <w:rFonts w:ascii="Arial" w:hAnsi="Arial" w:eastAsia="宋体" w:cs="Arial"/>
                <w:spacing w:val="10"/>
                <w:sz w:val="21"/>
                <w:szCs w:val="24"/>
              </w:rPr>
              <w:t>管制值</w:t>
            </w:r>
          </w:p>
        </w:tc>
      </w:tr>
      <w:tr w14:paraId="4559C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6DF34907">
            <w:pPr>
              <w:spacing w:line="240" w:lineRule="exact"/>
              <w:jc w:val="center"/>
              <w:rPr>
                <w:rFonts w:ascii="Arial" w:hAnsi="Arial" w:eastAsia="宋体" w:cs="Arial"/>
                <w:spacing w:val="10"/>
                <w:sz w:val="21"/>
                <w:szCs w:val="24"/>
              </w:rPr>
            </w:pPr>
            <w:r>
              <w:rPr>
                <w:rFonts w:ascii="Arial" w:hAnsi="Arial" w:eastAsia="宋体" w:cs="Arial"/>
                <w:spacing w:val="10"/>
                <w:sz w:val="21"/>
                <w:szCs w:val="24"/>
              </w:rPr>
              <w:t>1</w:t>
            </w:r>
          </w:p>
        </w:tc>
        <w:tc>
          <w:tcPr>
            <w:tcW w:w="1026" w:type="pct"/>
            <w:vAlign w:val="center"/>
          </w:tcPr>
          <w:p w14:paraId="29458F6D">
            <w:pPr>
              <w:spacing w:line="240" w:lineRule="exact"/>
              <w:jc w:val="center"/>
              <w:rPr>
                <w:rFonts w:ascii="Arial" w:hAnsi="Arial" w:eastAsia="宋体" w:cs="Arial"/>
                <w:spacing w:val="10"/>
                <w:sz w:val="21"/>
                <w:szCs w:val="24"/>
              </w:rPr>
            </w:pPr>
            <w:r>
              <w:rPr>
                <w:rFonts w:ascii="Arial" w:hAnsi="Arial" w:eastAsia="宋体" w:cs="Arial"/>
                <w:spacing w:val="10"/>
                <w:sz w:val="21"/>
                <w:szCs w:val="24"/>
              </w:rPr>
              <w:t>砷</w:t>
            </w:r>
          </w:p>
        </w:tc>
        <w:tc>
          <w:tcPr>
            <w:tcW w:w="822" w:type="pct"/>
            <w:vAlign w:val="center"/>
          </w:tcPr>
          <w:p w14:paraId="6C9C0211">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7440-38-2</w:t>
            </w:r>
          </w:p>
        </w:tc>
        <w:tc>
          <w:tcPr>
            <w:tcW w:w="752" w:type="pct"/>
            <w:vAlign w:val="center"/>
          </w:tcPr>
          <w:p w14:paraId="38082C3B">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w:t>
            </w:r>
          </w:p>
        </w:tc>
        <w:tc>
          <w:tcPr>
            <w:tcW w:w="751" w:type="pct"/>
            <w:vAlign w:val="center"/>
          </w:tcPr>
          <w:p w14:paraId="2C959632">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120</w:t>
            </w:r>
          </w:p>
        </w:tc>
        <w:tc>
          <w:tcPr>
            <w:tcW w:w="669" w:type="pct"/>
            <w:vAlign w:val="center"/>
          </w:tcPr>
          <w:p w14:paraId="01AFCFF0">
            <w:pPr>
              <w:spacing w:line="240" w:lineRule="exact"/>
              <w:jc w:val="center"/>
              <w:rPr>
                <w:rFonts w:ascii="Arial" w:hAnsi="Arial" w:eastAsia="宋体" w:cs="Arial"/>
                <w:spacing w:val="10"/>
                <w:sz w:val="21"/>
                <w:szCs w:val="24"/>
              </w:rPr>
            </w:pPr>
            <w:r>
              <w:rPr>
                <w:rFonts w:ascii="Arial" w:hAnsi="Arial" w:eastAsia="宋体" w:cs="Arial"/>
                <w:spacing w:val="10"/>
                <w:sz w:val="21"/>
                <w:szCs w:val="24"/>
              </w:rPr>
              <w:t>60</w:t>
            </w:r>
          </w:p>
        </w:tc>
        <w:tc>
          <w:tcPr>
            <w:tcW w:w="605" w:type="pct"/>
            <w:vAlign w:val="center"/>
          </w:tcPr>
          <w:p w14:paraId="50C8E083">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120</w:t>
            </w:r>
          </w:p>
        </w:tc>
      </w:tr>
      <w:tr w14:paraId="4E8E6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217AE833">
            <w:pPr>
              <w:spacing w:line="240" w:lineRule="exact"/>
              <w:jc w:val="center"/>
              <w:rPr>
                <w:rFonts w:ascii="Arial" w:hAnsi="Arial" w:eastAsia="宋体" w:cs="Arial"/>
                <w:spacing w:val="10"/>
                <w:sz w:val="21"/>
                <w:szCs w:val="24"/>
              </w:rPr>
            </w:pPr>
            <w:r>
              <w:rPr>
                <w:rFonts w:ascii="Arial" w:hAnsi="Arial" w:eastAsia="宋体" w:cs="Arial"/>
                <w:spacing w:val="10"/>
                <w:sz w:val="21"/>
                <w:szCs w:val="24"/>
              </w:rPr>
              <w:t>2</w:t>
            </w:r>
          </w:p>
        </w:tc>
        <w:tc>
          <w:tcPr>
            <w:tcW w:w="1026" w:type="pct"/>
            <w:vAlign w:val="center"/>
          </w:tcPr>
          <w:p w14:paraId="032ABFED">
            <w:pPr>
              <w:spacing w:line="240" w:lineRule="exact"/>
              <w:jc w:val="center"/>
              <w:rPr>
                <w:rFonts w:ascii="Arial" w:hAnsi="Arial" w:eastAsia="宋体" w:cs="Arial"/>
                <w:spacing w:val="10"/>
                <w:sz w:val="21"/>
                <w:szCs w:val="24"/>
              </w:rPr>
            </w:pPr>
            <w:r>
              <w:rPr>
                <w:rFonts w:ascii="Arial" w:hAnsi="Arial" w:eastAsia="宋体" w:cs="Arial"/>
                <w:spacing w:val="10"/>
                <w:sz w:val="21"/>
                <w:szCs w:val="24"/>
              </w:rPr>
              <w:t>镉</w:t>
            </w:r>
          </w:p>
        </w:tc>
        <w:tc>
          <w:tcPr>
            <w:tcW w:w="822" w:type="pct"/>
            <w:vAlign w:val="center"/>
          </w:tcPr>
          <w:p w14:paraId="1A11A0F2">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7440-43-9</w:t>
            </w:r>
          </w:p>
        </w:tc>
        <w:tc>
          <w:tcPr>
            <w:tcW w:w="752" w:type="pct"/>
            <w:vAlign w:val="center"/>
          </w:tcPr>
          <w:p w14:paraId="31582016">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w:t>
            </w:r>
          </w:p>
        </w:tc>
        <w:tc>
          <w:tcPr>
            <w:tcW w:w="751" w:type="pct"/>
            <w:vAlign w:val="center"/>
          </w:tcPr>
          <w:p w14:paraId="1CD3B101">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47</w:t>
            </w:r>
          </w:p>
        </w:tc>
        <w:tc>
          <w:tcPr>
            <w:tcW w:w="669" w:type="pct"/>
            <w:vAlign w:val="center"/>
          </w:tcPr>
          <w:p w14:paraId="003A3202">
            <w:pPr>
              <w:spacing w:line="240" w:lineRule="exact"/>
              <w:jc w:val="center"/>
              <w:rPr>
                <w:rFonts w:ascii="Arial" w:hAnsi="Arial" w:eastAsia="宋体" w:cs="Arial"/>
                <w:spacing w:val="10"/>
                <w:sz w:val="21"/>
                <w:szCs w:val="24"/>
              </w:rPr>
            </w:pPr>
            <w:r>
              <w:rPr>
                <w:rFonts w:ascii="Arial" w:hAnsi="Arial" w:eastAsia="宋体" w:cs="Arial"/>
                <w:spacing w:val="10"/>
                <w:sz w:val="21"/>
                <w:szCs w:val="24"/>
              </w:rPr>
              <w:t>65</w:t>
            </w:r>
          </w:p>
        </w:tc>
        <w:tc>
          <w:tcPr>
            <w:tcW w:w="605" w:type="pct"/>
            <w:vAlign w:val="center"/>
          </w:tcPr>
          <w:p w14:paraId="539D2482">
            <w:pPr>
              <w:spacing w:line="240" w:lineRule="exact"/>
              <w:jc w:val="center"/>
              <w:rPr>
                <w:rFonts w:ascii="Arial" w:hAnsi="Arial" w:eastAsia="宋体" w:cs="Arial"/>
                <w:spacing w:val="10"/>
                <w:sz w:val="21"/>
                <w:szCs w:val="24"/>
              </w:rPr>
            </w:pPr>
            <w:r>
              <w:rPr>
                <w:rFonts w:ascii="Arial" w:hAnsi="Arial" w:eastAsia="宋体" w:cs="Arial"/>
                <w:spacing w:val="10"/>
                <w:sz w:val="21"/>
                <w:szCs w:val="24"/>
              </w:rPr>
              <w:t>172</w:t>
            </w:r>
          </w:p>
        </w:tc>
      </w:tr>
      <w:tr w14:paraId="3EE87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4847B266">
            <w:pPr>
              <w:spacing w:line="240" w:lineRule="exact"/>
              <w:jc w:val="center"/>
              <w:rPr>
                <w:rFonts w:ascii="Arial" w:hAnsi="Arial" w:eastAsia="宋体" w:cs="Arial"/>
                <w:spacing w:val="10"/>
                <w:sz w:val="21"/>
                <w:szCs w:val="24"/>
              </w:rPr>
            </w:pPr>
            <w:r>
              <w:rPr>
                <w:rFonts w:ascii="Arial" w:hAnsi="Arial" w:eastAsia="宋体" w:cs="Arial"/>
                <w:spacing w:val="10"/>
                <w:sz w:val="21"/>
                <w:szCs w:val="24"/>
              </w:rPr>
              <w:t>3</w:t>
            </w:r>
          </w:p>
        </w:tc>
        <w:tc>
          <w:tcPr>
            <w:tcW w:w="1026" w:type="pct"/>
            <w:vAlign w:val="center"/>
          </w:tcPr>
          <w:p w14:paraId="0193C661">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铬（六价）</w:t>
            </w:r>
          </w:p>
        </w:tc>
        <w:tc>
          <w:tcPr>
            <w:tcW w:w="822" w:type="pct"/>
            <w:vAlign w:val="center"/>
          </w:tcPr>
          <w:p w14:paraId="1D2E2A1E">
            <w:pPr>
              <w:spacing w:line="240" w:lineRule="exact"/>
              <w:jc w:val="center"/>
              <w:rPr>
                <w:rFonts w:ascii="Arial" w:hAnsi="Arial" w:eastAsia="宋体" w:cs="Arial"/>
                <w:spacing w:val="10"/>
                <w:sz w:val="21"/>
                <w:szCs w:val="24"/>
              </w:rPr>
            </w:pPr>
            <w:r>
              <w:rPr>
                <w:rFonts w:ascii="Arial" w:hAnsi="Arial" w:eastAsia="宋体" w:cs="Arial"/>
                <w:spacing w:val="10"/>
                <w:sz w:val="21"/>
                <w:szCs w:val="24"/>
              </w:rPr>
              <w:t>18540-29-9</w:t>
            </w:r>
          </w:p>
        </w:tc>
        <w:tc>
          <w:tcPr>
            <w:tcW w:w="752" w:type="pct"/>
            <w:vAlign w:val="center"/>
          </w:tcPr>
          <w:p w14:paraId="0F128131">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3.0</w:t>
            </w:r>
          </w:p>
        </w:tc>
        <w:tc>
          <w:tcPr>
            <w:tcW w:w="751" w:type="pct"/>
            <w:vAlign w:val="center"/>
          </w:tcPr>
          <w:p w14:paraId="53F2EDEF">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30</w:t>
            </w:r>
          </w:p>
        </w:tc>
        <w:tc>
          <w:tcPr>
            <w:tcW w:w="669" w:type="pct"/>
            <w:vAlign w:val="center"/>
          </w:tcPr>
          <w:p w14:paraId="299EC3B4">
            <w:pPr>
              <w:spacing w:line="240" w:lineRule="exact"/>
              <w:jc w:val="center"/>
              <w:rPr>
                <w:rFonts w:ascii="Arial" w:hAnsi="Arial" w:eastAsia="宋体" w:cs="Arial"/>
                <w:spacing w:val="10"/>
                <w:sz w:val="21"/>
                <w:szCs w:val="24"/>
              </w:rPr>
            </w:pPr>
            <w:r>
              <w:rPr>
                <w:rFonts w:ascii="Arial" w:hAnsi="Arial" w:eastAsia="宋体" w:cs="Arial"/>
                <w:spacing w:val="10"/>
                <w:sz w:val="21"/>
                <w:szCs w:val="24"/>
              </w:rPr>
              <w:t>5.7</w:t>
            </w:r>
          </w:p>
        </w:tc>
        <w:tc>
          <w:tcPr>
            <w:tcW w:w="605" w:type="pct"/>
            <w:vAlign w:val="center"/>
          </w:tcPr>
          <w:p w14:paraId="4AC69254">
            <w:pPr>
              <w:spacing w:line="240" w:lineRule="exact"/>
              <w:jc w:val="center"/>
              <w:rPr>
                <w:rFonts w:ascii="Arial" w:hAnsi="Arial" w:eastAsia="宋体" w:cs="Arial"/>
                <w:spacing w:val="10"/>
                <w:sz w:val="21"/>
                <w:szCs w:val="24"/>
              </w:rPr>
            </w:pPr>
            <w:r>
              <w:rPr>
                <w:rFonts w:ascii="Arial" w:hAnsi="Arial" w:eastAsia="宋体" w:cs="Arial"/>
                <w:spacing w:val="10"/>
                <w:sz w:val="21"/>
                <w:szCs w:val="24"/>
              </w:rPr>
              <w:t>78</w:t>
            </w:r>
          </w:p>
        </w:tc>
      </w:tr>
      <w:tr w14:paraId="661EC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76C4D113">
            <w:pPr>
              <w:spacing w:line="240" w:lineRule="exact"/>
              <w:jc w:val="center"/>
              <w:rPr>
                <w:rFonts w:ascii="Arial" w:hAnsi="Arial" w:eastAsia="宋体" w:cs="Arial"/>
                <w:spacing w:val="10"/>
                <w:sz w:val="21"/>
                <w:szCs w:val="24"/>
              </w:rPr>
            </w:pPr>
            <w:r>
              <w:rPr>
                <w:rFonts w:ascii="Arial" w:hAnsi="Arial" w:eastAsia="宋体" w:cs="Arial"/>
                <w:spacing w:val="10"/>
                <w:sz w:val="21"/>
                <w:szCs w:val="24"/>
              </w:rPr>
              <w:t>4</w:t>
            </w:r>
          </w:p>
        </w:tc>
        <w:tc>
          <w:tcPr>
            <w:tcW w:w="1026" w:type="pct"/>
            <w:vAlign w:val="center"/>
          </w:tcPr>
          <w:p w14:paraId="7795B611">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铜</w:t>
            </w:r>
          </w:p>
        </w:tc>
        <w:tc>
          <w:tcPr>
            <w:tcW w:w="822" w:type="pct"/>
            <w:vAlign w:val="center"/>
          </w:tcPr>
          <w:p w14:paraId="4576A73B">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7440-50-8</w:t>
            </w:r>
          </w:p>
        </w:tc>
        <w:tc>
          <w:tcPr>
            <w:tcW w:w="752" w:type="pct"/>
            <w:vAlign w:val="center"/>
          </w:tcPr>
          <w:p w14:paraId="73FA626A">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2000</w:t>
            </w:r>
          </w:p>
        </w:tc>
        <w:tc>
          <w:tcPr>
            <w:tcW w:w="751" w:type="pct"/>
            <w:vAlign w:val="center"/>
          </w:tcPr>
          <w:p w14:paraId="679E707F">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8000</w:t>
            </w:r>
          </w:p>
        </w:tc>
        <w:tc>
          <w:tcPr>
            <w:tcW w:w="669" w:type="pct"/>
            <w:vAlign w:val="center"/>
          </w:tcPr>
          <w:p w14:paraId="444E98DF">
            <w:pPr>
              <w:spacing w:line="240" w:lineRule="exact"/>
              <w:jc w:val="center"/>
              <w:rPr>
                <w:rFonts w:ascii="Arial" w:hAnsi="Arial" w:eastAsia="宋体" w:cs="Arial"/>
                <w:spacing w:val="10"/>
                <w:sz w:val="21"/>
                <w:szCs w:val="24"/>
              </w:rPr>
            </w:pPr>
            <w:r>
              <w:rPr>
                <w:rFonts w:ascii="Arial" w:hAnsi="Arial" w:eastAsia="宋体" w:cs="Arial"/>
                <w:spacing w:val="10"/>
                <w:sz w:val="21"/>
                <w:szCs w:val="24"/>
              </w:rPr>
              <w:t>18000</w:t>
            </w:r>
          </w:p>
        </w:tc>
        <w:tc>
          <w:tcPr>
            <w:tcW w:w="605" w:type="pct"/>
            <w:vAlign w:val="center"/>
          </w:tcPr>
          <w:p w14:paraId="164B6999">
            <w:pPr>
              <w:spacing w:line="240" w:lineRule="exact"/>
              <w:jc w:val="center"/>
              <w:rPr>
                <w:rFonts w:ascii="Arial" w:hAnsi="Arial" w:eastAsia="宋体" w:cs="Arial"/>
                <w:spacing w:val="10"/>
                <w:sz w:val="21"/>
                <w:szCs w:val="24"/>
              </w:rPr>
            </w:pPr>
            <w:r>
              <w:rPr>
                <w:rFonts w:ascii="Arial" w:hAnsi="Arial" w:eastAsia="宋体" w:cs="Arial"/>
                <w:spacing w:val="10"/>
                <w:sz w:val="21"/>
                <w:szCs w:val="24"/>
              </w:rPr>
              <w:t>36000</w:t>
            </w:r>
          </w:p>
        </w:tc>
      </w:tr>
      <w:tr w14:paraId="6E517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463C3823">
            <w:pPr>
              <w:spacing w:line="240" w:lineRule="exact"/>
              <w:jc w:val="center"/>
              <w:rPr>
                <w:rFonts w:ascii="Arial" w:hAnsi="Arial" w:eastAsia="宋体" w:cs="Arial"/>
                <w:spacing w:val="10"/>
                <w:sz w:val="21"/>
                <w:szCs w:val="24"/>
              </w:rPr>
            </w:pPr>
            <w:r>
              <w:rPr>
                <w:rFonts w:ascii="Arial" w:hAnsi="Arial" w:eastAsia="宋体" w:cs="Arial"/>
                <w:spacing w:val="10"/>
                <w:sz w:val="21"/>
                <w:szCs w:val="24"/>
              </w:rPr>
              <w:t>5</w:t>
            </w:r>
          </w:p>
        </w:tc>
        <w:tc>
          <w:tcPr>
            <w:tcW w:w="1026" w:type="pct"/>
            <w:vAlign w:val="center"/>
          </w:tcPr>
          <w:p w14:paraId="0F4277C0">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铅</w:t>
            </w:r>
          </w:p>
        </w:tc>
        <w:tc>
          <w:tcPr>
            <w:tcW w:w="822" w:type="pct"/>
            <w:vAlign w:val="center"/>
          </w:tcPr>
          <w:p w14:paraId="03F8BCD9">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7439-92-1</w:t>
            </w:r>
          </w:p>
        </w:tc>
        <w:tc>
          <w:tcPr>
            <w:tcW w:w="752" w:type="pct"/>
            <w:vAlign w:val="center"/>
          </w:tcPr>
          <w:p w14:paraId="787177DE">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400</w:t>
            </w:r>
          </w:p>
        </w:tc>
        <w:tc>
          <w:tcPr>
            <w:tcW w:w="751" w:type="pct"/>
            <w:vAlign w:val="center"/>
          </w:tcPr>
          <w:p w14:paraId="341071D7">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800</w:t>
            </w:r>
          </w:p>
        </w:tc>
        <w:tc>
          <w:tcPr>
            <w:tcW w:w="669" w:type="pct"/>
            <w:vAlign w:val="center"/>
          </w:tcPr>
          <w:p w14:paraId="75EC180C">
            <w:pPr>
              <w:spacing w:line="240" w:lineRule="exact"/>
              <w:jc w:val="center"/>
              <w:rPr>
                <w:rFonts w:ascii="Arial" w:hAnsi="Arial" w:eastAsia="宋体" w:cs="Arial"/>
                <w:spacing w:val="10"/>
                <w:sz w:val="21"/>
                <w:szCs w:val="24"/>
              </w:rPr>
            </w:pPr>
            <w:r>
              <w:rPr>
                <w:rFonts w:ascii="Arial" w:hAnsi="Arial" w:eastAsia="宋体" w:cs="Arial"/>
                <w:spacing w:val="10"/>
                <w:sz w:val="21"/>
                <w:szCs w:val="24"/>
              </w:rPr>
              <w:t>800</w:t>
            </w:r>
          </w:p>
        </w:tc>
        <w:tc>
          <w:tcPr>
            <w:tcW w:w="605" w:type="pct"/>
            <w:vAlign w:val="center"/>
          </w:tcPr>
          <w:p w14:paraId="7D63877B">
            <w:pPr>
              <w:spacing w:line="240" w:lineRule="exact"/>
              <w:jc w:val="center"/>
              <w:rPr>
                <w:rFonts w:ascii="Arial" w:hAnsi="Arial" w:eastAsia="宋体" w:cs="Arial"/>
                <w:spacing w:val="10"/>
                <w:sz w:val="21"/>
                <w:szCs w:val="24"/>
              </w:rPr>
            </w:pPr>
            <w:r>
              <w:rPr>
                <w:rFonts w:ascii="Arial" w:hAnsi="Arial" w:eastAsia="宋体" w:cs="Arial"/>
                <w:spacing w:val="10"/>
                <w:sz w:val="21"/>
                <w:szCs w:val="24"/>
              </w:rPr>
              <w:t>2500</w:t>
            </w:r>
          </w:p>
        </w:tc>
      </w:tr>
      <w:tr w14:paraId="19F5E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4605D37D">
            <w:pPr>
              <w:spacing w:line="240" w:lineRule="exact"/>
              <w:jc w:val="center"/>
              <w:rPr>
                <w:rFonts w:ascii="Arial" w:hAnsi="Arial" w:eastAsia="宋体" w:cs="Arial"/>
                <w:spacing w:val="10"/>
                <w:sz w:val="21"/>
                <w:szCs w:val="24"/>
              </w:rPr>
            </w:pPr>
            <w:r>
              <w:rPr>
                <w:rFonts w:ascii="Arial" w:hAnsi="Arial" w:eastAsia="宋体" w:cs="Arial"/>
                <w:spacing w:val="10"/>
                <w:sz w:val="21"/>
                <w:szCs w:val="24"/>
              </w:rPr>
              <w:t>6</w:t>
            </w:r>
          </w:p>
        </w:tc>
        <w:tc>
          <w:tcPr>
            <w:tcW w:w="1026" w:type="pct"/>
            <w:vAlign w:val="center"/>
          </w:tcPr>
          <w:p w14:paraId="688F3E0C">
            <w:pPr>
              <w:spacing w:line="240" w:lineRule="exact"/>
              <w:jc w:val="center"/>
              <w:rPr>
                <w:rFonts w:ascii="Arial" w:hAnsi="Arial" w:eastAsia="宋体" w:cs="Arial"/>
                <w:spacing w:val="10"/>
                <w:sz w:val="21"/>
                <w:szCs w:val="24"/>
              </w:rPr>
            </w:pPr>
            <w:r>
              <w:rPr>
                <w:rFonts w:ascii="Arial" w:hAnsi="Arial" w:eastAsia="宋体" w:cs="Arial"/>
                <w:spacing w:val="10"/>
                <w:sz w:val="21"/>
                <w:szCs w:val="24"/>
              </w:rPr>
              <w:t>汞</w:t>
            </w:r>
          </w:p>
        </w:tc>
        <w:tc>
          <w:tcPr>
            <w:tcW w:w="822" w:type="pct"/>
            <w:vAlign w:val="center"/>
          </w:tcPr>
          <w:p w14:paraId="5A4C31D1">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7439-97-6</w:t>
            </w:r>
          </w:p>
        </w:tc>
        <w:tc>
          <w:tcPr>
            <w:tcW w:w="752" w:type="pct"/>
            <w:vAlign w:val="center"/>
          </w:tcPr>
          <w:p w14:paraId="38200880">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8</w:t>
            </w:r>
          </w:p>
        </w:tc>
        <w:tc>
          <w:tcPr>
            <w:tcW w:w="751" w:type="pct"/>
            <w:vAlign w:val="center"/>
          </w:tcPr>
          <w:p w14:paraId="3FF2EDB8">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33</w:t>
            </w:r>
          </w:p>
        </w:tc>
        <w:tc>
          <w:tcPr>
            <w:tcW w:w="669" w:type="pct"/>
            <w:vAlign w:val="center"/>
          </w:tcPr>
          <w:p w14:paraId="65966FCD">
            <w:pPr>
              <w:spacing w:line="240" w:lineRule="exact"/>
              <w:jc w:val="center"/>
              <w:rPr>
                <w:rFonts w:ascii="Arial" w:hAnsi="Arial" w:eastAsia="宋体" w:cs="Arial"/>
                <w:spacing w:val="10"/>
                <w:sz w:val="21"/>
                <w:szCs w:val="24"/>
              </w:rPr>
            </w:pPr>
            <w:r>
              <w:rPr>
                <w:rFonts w:ascii="Arial" w:hAnsi="Arial" w:eastAsia="宋体" w:cs="Arial"/>
                <w:spacing w:val="10"/>
                <w:sz w:val="21"/>
                <w:szCs w:val="24"/>
              </w:rPr>
              <w:t>38</w:t>
            </w:r>
          </w:p>
        </w:tc>
        <w:tc>
          <w:tcPr>
            <w:tcW w:w="605" w:type="pct"/>
            <w:vAlign w:val="center"/>
          </w:tcPr>
          <w:p w14:paraId="574C0202">
            <w:pPr>
              <w:spacing w:line="240" w:lineRule="exact"/>
              <w:jc w:val="center"/>
              <w:rPr>
                <w:rFonts w:ascii="Arial" w:hAnsi="Arial" w:eastAsia="宋体" w:cs="Arial"/>
                <w:spacing w:val="10"/>
                <w:sz w:val="21"/>
                <w:szCs w:val="24"/>
              </w:rPr>
            </w:pPr>
            <w:r>
              <w:rPr>
                <w:rFonts w:ascii="Arial" w:hAnsi="Arial" w:eastAsia="宋体" w:cs="Arial"/>
                <w:spacing w:val="10"/>
                <w:sz w:val="21"/>
                <w:szCs w:val="24"/>
              </w:rPr>
              <w:t>82</w:t>
            </w:r>
          </w:p>
        </w:tc>
      </w:tr>
      <w:tr w14:paraId="2A9BB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0AC014D0">
            <w:pPr>
              <w:spacing w:line="240" w:lineRule="exact"/>
              <w:jc w:val="center"/>
              <w:rPr>
                <w:rFonts w:ascii="Arial" w:hAnsi="Arial" w:eastAsia="宋体" w:cs="Arial"/>
                <w:spacing w:val="10"/>
                <w:sz w:val="21"/>
                <w:szCs w:val="24"/>
              </w:rPr>
            </w:pPr>
            <w:r>
              <w:rPr>
                <w:rFonts w:ascii="Arial" w:hAnsi="Arial" w:eastAsia="宋体" w:cs="Arial"/>
                <w:spacing w:val="10"/>
                <w:sz w:val="21"/>
                <w:szCs w:val="24"/>
              </w:rPr>
              <w:t>7</w:t>
            </w:r>
          </w:p>
        </w:tc>
        <w:tc>
          <w:tcPr>
            <w:tcW w:w="1026" w:type="pct"/>
            <w:vAlign w:val="center"/>
          </w:tcPr>
          <w:p w14:paraId="05EB33D3">
            <w:pPr>
              <w:spacing w:line="240" w:lineRule="exact"/>
              <w:jc w:val="center"/>
              <w:rPr>
                <w:rFonts w:ascii="Arial" w:hAnsi="Arial" w:eastAsia="宋体" w:cs="Arial"/>
                <w:spacing w:val="10"/>
                <w:sz w:val="21"/>
                <w:szCs w:val="24"/>
              </w:rPr>
            </w:pPr>
            <w:r>
              <w:rPr>
                <w:rFonts w:ascii="Arial" w:hAnsi="Arial" w:eastAsia="宋体" w:cs="Arial"/>
                <w:spacing w:val="10"/>
                <w:sz w:val="21"/>
                <w:szCs w:val="24"/>
              </w:rPr>
              <w:t>镍</w:t>
            </w:r>
          </w:p>
        </w:tc>
        <w:tc>
          <w:tcPr>
            <w:tcW w:w="822" w:type="pct"/>
            <w:vAlign w:val="center"/>
          </w:tcPr>
          <w:p w14:paraId="2B2FEB56">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7440-02-0</w:t>
            </w:r>
          </w:p>
        </w:tc>
        <w:tc>
          <w:tcPr>
            <w:tcW w:w="752" w:type="pct"/>
            <w:vAlign w:val="center"/>
          </w:tcPr>
          <w:p w14:paraId="6864193B">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150</w:t>
            </w:r>
          </w:p>
        </w:tc>
        <w:tc>
          <w:tcPr>
            <w:tcW w:w="751" w:type="pct"/>
            <w:vAlign w:val="center"/>
          </w:tcPr>
          <w:p w14:paraId="6328E837">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600</w:t>
            </w:r>
          </w:p>
        </w:tc>
        <w:tc>
          <w:tcPr>
            <w:tcW w:w="669" w:type="pct"/>
            <w:vAlign w:val="center"/>
          </w:tcPr>
          <w:p w14:paraId="33616285">
            <w:pPr>
              <w:spacing w:line="240" w:lineRule="exact"/>
              <w:jc w:val="center"/>
              <w:rPr>
                <w:rFonts w:ascii="Arial" w:hAnsi="Arial" w:eastAsia="宋体" w:cs="Arial"/>
                <w:spacing w:val="10"/>
                <w:sz w:val="21"/>
                <w:szCs w:val="24"/>
              </w:rPr>
            </w:pPr>
            <w:r>
              <w:rPr>
                <w:rFonts w:ascii="Arial" w:hAnsi="Arial" w:eastAsia="宋体" w:cs="Arial"/>
                <w:spacing w:val="10"/>
                <w:sz w:val="21"/>
                <w:szCs w:val="24"/>
              </w:rPr>
              <w:t>900</w:t>
            </w:r>
          </w:p>
        </w:tc>
        <w:tc>
          <w:tcPr>
            <w:tcW w:w="605" w:type="pct"/>
            <w:vAlign w:val="center"/>
          </w:tcPr>
          <w:p w14:paraId="3A0D484E">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2000</w:t>
            </w:r>
          </w:p>
        </w:tc>
      </w:tr>
      <w:tr w14:paraId="63707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32C17201">
            <w:pPr>
              <w:spacing w:line="240" w:lineRule="exact"/>
              <w:jc w:val="center"/>
              <w:rPr>
                <w:rFonts w:ascii="Arial" w:hAnsi="Arial" w:eastAsia="宋体" w:cs="Arial"/>
                <w:spacing w:val="10"/>
                <w:sz w:val="21"/>
                <w:szCs w:val="24"/>
              </w:rPr>
            </w:pPr>
            <w:r>
              <w:rPr>
                <w:rFonts w:ascii="Arial" w:hAnsi="Arial" w:eastAsia="宋体" w:cs="Arial"/>
                <w:spacing w:val="10"/>
                <w:sz w:val="21"/>
                <w:szCs w:val="24"/>
              </w:rPr>
              <w:t>8</w:t>
            </w:r>
          </w:p>
        </w:tc>
        <w:tc>
          <w:tcPr>
            <w:tcW w:w="1026" w:type="pct"/>
            <w:vAlign w:val="center"/>
          </w:tcPr>
          <w:p w14:paraId="423F506D">
            <w:pPr>
              <w:spacing w:line="240" w:lineRule="exact"/>
              <w:jc w:val="center"/>
              <w:rPr>
                <w:rFonts w:ascii="Arial" w:hAnsi="Arial" w:eastAsia="宋体" w:cs="Arial"/>
                <w:spacing w:val="10"/>
                <w:sz w:val="21"/>
                <w:szCs w:val="24"/>
              </w:rPr>
            </w:pPr>
            <w:r>
              <w:rPr>
                <w:rFonts w:ascii="Arial" w:hAnsi="Arial" w:eastAsia="宋体" w:cs="Arial"/>
                <w:spacing w:val="10"/>
                <w:sz w:val="21"/>
                <w:szCs w:val="24"/>
              </w:rPr>
              <w:t>四氯化碳</w:t>
            </w:r>
          </w:p>
        </w:tc>
        <w:tc>
          <w:tcPr>
            <w:tcW w:w="822" w:type="pct"/>
            <w:vAlign w:val="center"/>
          </w:tcPr>
          <w:p w14:paraId="11FD4B0E">
            <w:pPr>
              <w:spacing w:line="240" w:lineRule="exact"/>
              <w:jc w:val="center"/>
              <w:rPr>
                <w:rFonts w:ascii="Arial" w:hAnsi="Arial" w:eastAsia="宋体" w:cs="Arial"/>
                <w:spacing w:val="10"/>
                <w:sz w:val="21"/>
                <w:szCs w:val="24"/>
              </w:rPr>
            </w:pPr>
            <w:r>
              <w:rPr>
                <w:rFonts w:ascii="Arial" w:hAnsi="Arial" w:eastAsia="宋体" w:cs="Arial"/>
                <w:spacing w:val="10"/>
                <w:sz w:val="21"/>
                <w:szCs w:val="24"/>
              </w:rPr>
              <w:t>56-3-5</w:t>
            </w:r>
          </w:p>
        </w:tc>
        <w:tc>
          <w:tcPr>
            <w:tcW w:w="752" w:type="pct"/>
            <w:vAlign w:val="center"/>
          </w:tcPr>
          <w:p w14:paraId="3D350950">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0.9</w:t>
            </w:r>
          </w:p>
        </w:tc>
        <w:tc>
          <w:tcPr>
            <w:tcW w:w="751" w:type="pct"/>
            <w:vAlign w:val="center"/>
          </w:tcPr>
          <w:p w14:paraId="36B328DD">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9</w:t>
            </w:r>
          </w:p>
        </w:tc>
        <w:tc>
          <w:tcPr>
            <w:tcW w:w="669" w:type="pct"/>
            <w:vAlign w:val="center"/>
          </w:tcPr>
          <w:p w14:paraId="12338838">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w:t>
            </w:r>
          </w:p>
        </w:tc>
        <w:tc>
          <w:tcPr>
            <w:tcW w:w="605" w:type="pct"/>
            <w:vAlign w:val="center"/>
          </w:tcPr>
          <w:p w14:paraId="5DFD8F54">
            <w:pPr>
              <w:spacing w:line="240" w:lineRule="exact"/>
              <w:jc w:val="center"/>
              <w:rPr>
                <w:rFonts w:ascii="Arial" w:hAnsi="Arial" w:eastAsia="宋体" w:cs="Arial"/>
                <w:spacing w:val="10"/>
                <w:sz w:val="21"/>
                <w:szCs w:val="24"/>
              </w:rPr>
            </w:pPr>
            <w:r>
              <w:rPr>
                <w:rFonts w:ascii="Arial" w:hAnsi="Arial" w:eastAsia="宋体" w:cs="Arial"/>
                <w:spacing w:val="10"/>
                <w:sz w:val="21"/>
                <w:szCs w:val="24"/>
              </w:rPr>
              <w:t>36</w:t>
            </w:r>
          </w:p>
        </w:tc>
      </w:tr>
      <w:tr w14:paraId="7B710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6BD9921F">
            <w:pPr>
              <w:spacing w:line="240" w:lineRule="exact"/>
              <w:jc w:val="center"/>
              <w:rPr>
                <w:rFonts w:ascii="Arial" w:hAnsi="Arial" w:eastAsia="宋体" w:cs="Arial"/>
                <w:spacing w:val="10"/>
                <w:sz w:val="21"/>
                <w:szCs w:val="24"/>
              </w:rPr>
            </w:pPr>
            <w:r>
              <w:rPr>
                <w:rFonts w:ascii="Arial" w:hAnsi="Arial" w:eastAsia="宋体" w:cs="Arial"/>
                <w:spacing w:val="10"/>
                <w:sz w:val="21"/>
                <w:szCs w:val="24"/>
              </w:rPr>
              <w:t>9</w:t>
            </w:r>
          </w:p>
        </w:tc>
        <w:tc>
          <w:tcPr>
            <w:tcW w:w="1026" w:type="pct"/>
            <w:vAlign w:val="center"/>
          </w:tcPr>
          <w:p w14:paraId="14C7A4AD">
            <w:pPr>
              <w:spacing w:line="240" w:lineRule="exact"/>
              <w:jc w:val="center"/>
              <w:rPr>
                <w:rFonts w:ascii="Arial" w:hAnsi="Arial" w:eastAsia="宋体" w:cs="Arial"/>
                <w:spacing w:val="10"/>
                <w:sz w:val="21"/>
                <w:szCs w:val="24"/>
              </w:rPr>
            </w:pPr>
            <w:r>
              <w:rPr>
                <w:rFonts w:ascii="Arial" w:hAnsi="Arial" w:eastAsia="宋体" w:cs="Arial"/>
                <w:spacing w:val="10"/>
                <w:sz w:val="21"/>
                <w:szCs w:val="24"/>
              </w:rPr>
              <w:t>氯仿</w:t>
            </w:r>
          </w:p>
        </w:tc>
        <w:tc>
          <w:tcPr>
            <w:tcW w:w="822" w:type="pct"/>
            <w:vAlign w:val="center"/>
          </w:tcPr>
          <w:p w14:paraId="4A054C9A">
            <w:pPr>
              <w:spacing w:line="240" w:lineRule="exact"/>
              <w:jc w:val="center"/>
              <w:rPr>
                <w:rFonts w:ascii="Arial" w:hAnsi="Arial" w:eastAsia="宋体" w:cs="Arial"/>
                <w:spacing w:val="10"/>
                <w:sz w:val="21"/>
                <w:szCs w:val="24"/>
              </w:rPr>
            </w:pPr>
            <w:r>
              <w:rPr>
                <w:rFonts w:ascii="Arial" w:hAnsi="Arial" w:eastAsia="宋体" w:cs="Arial"/>
                <w:spacing w:val="10"/>
                <w:sz w:val="21"/>
                <w:szCs w:val="24"/>
              </w:rPr>
              <w:t>67-66-3</w:t>
            </w:r>
          </w:p>
        </w:tc>
        <w:tc>
          <w:tcPr>
            <w:tcW w:w="752" w:type="pct"/>
            <w:vAlign w:val="center"/>
          </w:tcPr>
          <w:p w14:paraId="48587BEC">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0.3</w:t>
            </w:r>
          </w:p>
        </w:tc>
        <w:tc>
          <w:tcPr>
            <w:tcW w:w="751" w:type="pct"/>
            <w:vAlign w:val="center"/>
          </w:tcPr>
          <w:p w14:paraId="0596ED9F">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w:t>
            </w:r>
          </w:p>
        </w:tc>
        <w:tc>
          <w:tcPr>
            <w:tcW w:w="669" w:type="pct"/>
            <w:vAlign w:val="center"/>
          </w:tcPr>
          <w:p w14:paraId="0A269AEC">
            <w:pPr>
              <w:spacing w:line="240" w:lineRule="exact"/>
              <w:jc w:val="center"/>
              <w:rPr>
                <w:rFonts w:ascii="Arial" w:hAnsi="Arial" w:eastAsia="宋体" w:cs="Arial"/>
                <w:spacing w:val="10"/>
                <w:sz w:val="21"/>
                <w:szCs w:val="24"/>
              </w:rPr>
            </w:pPr>
            <w:r>
              <w:rPr>
                <w:rFonts w:ascii="Arial" w:hAnsi="Arial" w:eastAsia="宋体" w:cs="Arial"/>
                <w:spacing w:val="10"/>
                <w:sz w:val="21"/>
                <w:szCs w:val="24"/>
              </w:rPr>
              <w:t>0.9</w:t>
            </w:r>
          </w:p>
        </w:tc>
        <w:tc>
          <w:tcPr>
            <w:tcW w:w="605" w:type="pct"/>
            <w:vAlign w:val="center"/>
          </w:tcPr>
          <w:p w14:paraId="0611FF05">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w:t>
            </w:r>
          </w:p>
        </w:tc>
      </w:tr>
      <w:tr w14:paraId="0EF04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3A3AC665">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w:t>
            </w:r>
          </w:p>
        </w:tc>
        <w:tc>
          <w:tcPr>
            <w:tcW w:w="1026" w:type="pct"/>
            <w:vAlign w:val="center"/>
          </w:tcPr>
          <w:p w14:paraId="7BD9F05F">
            <w:pPr>
              <w:spacing w:line="240" w:lineRule="exact"/>
              <w:jc w:val="center"/>
              <w:rPr>
                <w:rFonts w:ascii="Arial" w:hAnsi="Arial" w:eastAsia="宋体" w:cs="Arial"/>
                <w:spacing w:val="10"/>
                <w:sz w:val="21"/>
                <w:szCs w:val="24"/>
              </w:rPr>
            </w:pPr>
            <w:r>
              <w:rPr>
                <w:rFonts w:ascii="Arial" w:hAnsi="Arial" w:eastAsia="宋体" w:cs="Arial"/>
                <w:spacing w:val="10"/>
                <w:sz w:val="21"/>
                <w:szCs w:val="24"/>
              </w:rPr>
              <w:t>氯甲仿</w:t>
            </w:r>
          </w:p>
        </w:tc>
        <w:tc>
          <w:tcPr>
            <w:tcW w:w="822" w:type="pct"/>
            <w:vAlign w:val="center"/>
          </w:tcPr>
          <w:p w14:paraId="72E76AFD">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74-87-3</w:t>
            </w:r>
          </w:p>
        </w:tc>
        <w:tc>
          <w:tcPr>
            <w:tcW w:w="752" w:type="pct"/>
            <w:vAlign w:val="center"/>
          </w:tcPr>
          <w:p w14:paraId="33005D21">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w:t>
            </w:r>
          </w:p>
        </w:tc>
        <w:tc>
          <w:tcPr>
            <w:tcW w:w="751" w:type="pct"/>
            <w:vAlign w:val="center"/>
          </w:tcPr>
          <w:p w14:paraId="30018026">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21</w:t>
            </w:r>
          </w:p>
        </w:tc>
        <w:tc>
          <w:tcPr>
            <w:tcW w:w="669" w:type="pct"/>
            <w:vAlign w:val="center"/>
          </w:tcPr>
          <w:p w14:paraId="449DFE62">
            <w:pPr>
              <w:spacing w:line="240" w:lineRule="exact"/>
              <w:jc w:val="center"/>
              <w:rPr>
                <w:rFonts w:ascii="Arial" w:hAnsi="Arial" w:eastAsia="宋体" w:cs="Arial"/>
                <w:spacing w:val="10"/>
                <w:sz w:val="21"/>
                <w:szCs w:val="24"/>
              </w:rPr>
            </w:pPr>
            <w:r>
              <w:rPr>
                <w:rFonts w:ascii="Arial" w:hAnsi="Arial" w:eastAsia="宋体" w:cs="Arial"/>
                <w:spacing w:val="10"/>
                <w:sz w:val="21"/>
                <w:szCs w:val="24"/>
              </w:rPr>
              <w:t>37</w:t>
            </w:r>
          </w:p>
        </w:tc>
        <w:tc>
          <w:tcPr>
            <w:tcW w:w="605" w:type="pct"/>
            <w:vAlign w:val="center"/>
          </w:tcPr>
          <w:p w14:paraId="7C34C180">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120</w:t>
            </w:r>
          </w:p>
        </w:tc>
      </w:tr>
      <w:tr w14:paraId="48FB2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3397E9EF">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w:t>
            </w:r>
          </w:p>
        </w:tc>
        <w:tc>
          <w:tcPr>
            <w:tcW w:w="1026" w:type="pct"/>
            <w:vAlign w:val="center"/>
          </w:tcPr>
          <w:p w14:paraId="65F64B17">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1,1-二氯乙烷</w:t>
            </w:r>
          </w:p>
        </w:tc>
        <w:tc>
          <w:tcPr>
            <w:tcW w:w="822" w:type="pct"/>
            <w:vAlign w:val="center"/>
          </w:tcPr>
          <w:p w14:paraId="34ABA652">
            <w:pPr>
              <w:spacing w:line="240" w:lineRule="exact"/>
              <w:jc w:val="center"/>
              <w:rPr>
                <w:rFonts w:ascii="Arial" w:hAnsi="Arial" w:eastAsia="宋体" w:cs="Arial"/>
                <w:spacing w:val="10"/>
                <w:sz w:val="21"/>
                <w:szCs w:val="24"/>
              </w:rPr>
            </w:pPr>
            <w:r>
              <w:rPr>
                <w:rFonts w:ascii="Arial" w:hAnsi="Arial" w:eastAsia="宋体" w:cs="Arial"/>
                <w:spacing w:val="10"/>
                <w:sz w:val="21"/>
                <w:szCs w:val="24"/>
              </w:rPr>
              <w:t>75-34-3</w:t>
            </w:r>
          </w:p>
        </w:tc>
        <w:tc>
          <w:tcPr>
            <w:tcW w:w="752" w:type="pct"/>
            <w:vAlign w:val="center"/>
          </w:tcPr>
          <w:p w14:paraId="38186005">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w:t>
            </w:r>
          </w:p>
        </w:tc>
        <w:tc>
          <w:tcPr>
            <w:tcW w:w="751" w:type="pct"/>
            <w:vAlign w:val="center"/>
          </w:tcPr>
          <w:p w14:paraId="1A287D8E">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w:t>
            </w:r>
          </w:p>
        </w:tc>
        <w:tc>
          <w:tcPr>
            <w:tcW w:w="669" w:type="pct"/>
            <w:vAlign w:val="center"/>
          </w:tcPr>
          <w:p w14:paraId="1E656CFB">
            <w:pPr>
              <w:spacing w:line="240" w:lineRule="exact"/>
              <w:jc w:val="center"/>
              <w:rPr>
                <w:rFonts w:ascii="Arial" w:hAnsi="Arial" w:eastAsia="宋体" w:cs="Arial"/>
                <w:spacing w:val="10"/>
                <w:sz w:val="21"/>
                <w:szCs w:val="24"/>
              </w:rPr>
            </w:pPr>
            <w:r>
              <w:rPr>
                <w:rFonts w:ascii="Arial" w:hAnsi="Arial" w:eastAsia="宋体" w:cs="Arial"/>
                <w:spacing w:val="10"/>
                <w:sz w:val="21"/>
                <w:szCs w:val="24"/>
              </w:rPr>
              <w:t>9</w:t>
            </w:r>
          </w:p>
        </w:tc>
        <w:tc>
          <w:tcPr>
            <w:tcW w:w="605" w:type="pct"/>
            <w:vAlign w:val="center"/>
          </w:tcPr>
          <w:p w14:paraId="34129C18">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w:t>
            </w:r>
          </w:p>
        </w:tc>
      </w:tr>
      <w:tr w14:paraId="12D94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65FDF80A">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w:t>
            </w:r>
          </w:p>
        </w:tc>
        <w:tc>
          <w:tcPr>
            <w:tcW w:w="1026" w:type="pct"/>
            <w:vAlign w:val="center"/>
          </w:tcPr>
          <w:p w14:paraId="5B218CAB">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1,2-二氯乙烷</w:t>
            </w:r>
          </w:p>
        </w:tc>
        <w:tc>
          <w:tcPr>
            <w:tcW w:w="822" w:type="pct"/>
            <w:vAlign w:val="center"/>
          </w:tcPr>
          <w:p w14:paraId="311E71AF">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107-06-2</w:t>
            </w:r>
          </w:p>
        </w:tc>
        <w:tc>
          <w:tcPr>
            <w:tcW w:w="752" w:type="pct"/>
            <w:vAlign w:val="center"/>
          </w:tcPr>
          <w:p w14:paraId="77FC202F">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0.52</w:t>
            </w:r>
          </w:p>
        </w:tc>
        <w:tc>
          <w:tcPr>
            <w:tcW w:w="751" w:type="pct"/>
            <w:vAlign w:val="center"/>
          </w:tcPr>
          <w:p w14:paraId="1E6BB492">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6</w:t>
            </w:r>
          </w:p>
        </w:tc>
        <w:tc>
          <w:tcPr>
            <w:tcW w:w="669" w:type="pct"/>
            <w:vAlign w:val="center"/>
          </w:tcPr>
          <w:p w14:paraId="24FB0481">
            <w:pPr>
              <w:spacing w:line="240" w:lineRule="exact"/>
              <w:jc w:val="center"/>
              <w:rPr>
                <w:rFonts w:ascii="Arial" w:hAnsi="Arial" w:eastAsia="宋体" w:cs="Arial"/>
                <w:spacing w:val="10"/>
                <w:sz w:val="21"/>
                <w:szCs w:val="24"/>
              </w:rPr>
            </w:pPr>
            <w:r>
              <w:rPr>
                <w:rFonts w:ascii="Arial" w:hAnsi="Arial" w:eastAsia="宋体" w:cs="Arial"/>
                <w:spacing w:val="10"/>
                <w:sz w:val="21"/>
                <w:szCs w:val="24"/>
              </w:rPr>
              <w:t>5</w:t>
            </w:r>
          </w:p>
        </w:tc>
        <w:tc>
          <w:tcPr>
            <w:tcW w:w="605" w:type="pct"/>
            <w:vAlign w:val="center"/>
          </w:tcPr>
          <w:p w14:paraId="4CE89CEF">
            <w:pPr>
              <w:spacing w:line="240" w:lineRule="exact"/>
              <w:jc w:val="center"/>
              <w:rPr>
                <w:rFonts w:ascii="Arial" w:hAnsi="Arial" w:eastAsia="宋体" w:cs="Arial"/>
                <w:spacing w:val="10"/>
                <w:sz w:val="21"/>
                <w:szCs w:val="24"/>
              </w:rPr>
            </w:pPr>
            <w:r>
              <w:rPr>
                <w:rFonts w:ascii="Arial" w:hAnsi="Arial" w:eastAsia="宋体" w:cs="Arial"/>
                <w:spacing w:val="10"/>
                <w:sz w:val="21"/>
                <w:szCs w:val="24"/>
              </w:rPr>
              <w:t>21</w:t>
            </w:r>
          </w:p>
        </w:tc>
      </w:tr>
      <w:tr w14:paraId="2BF02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35B9569F">
            <w:pPr>
              <w:spacing w:line="240" w:lineRule="exact"/>
              <w:jc w:val="center"/>
              <w:rPr>
                <w:rFonts w:ascii="Arial" w:hAnsi="Arial" w:eastAsia="宋体" w:cs="Arial"/>
                <w:spacing w:val="10"/>
                <w:sz w:val="21"/>
                <w:szCs w:val="24"/>
              </w:rPr>
            </w:pPr>
            <w:r>
              <w:rPr>
                <w:rFonts w:ascii="Arial" w:hAnsi="Arial" w:eastAsia="宋体" w:cs="Arial"/>
                <w:spacing w:val="10"/>
                <w:sz w:val="21"/>
                <w:szCs w:val="24"/>
              </w:rPr>
              <w:t>13</w:t>
            </w:r>
          </w:p>
        </w:tc>
        <w:tc>
          <w:tcPr>
            <w:tcW w:w="1026" w:type="pct"/>
            <w:vAlign w:val="center"/>
          </w:tcPr>
          <w:p w14:paraId="223CE981">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1,1-二氯乙烯</w:t>
            </w:r>
          </w:p>
        </w:tc>
        <w:tc>
          <w:tcPr>
            <w:tcW w:w="822" w:type="pct"/>
            <w:vAlign w:val="center"/>
          </w:tcPr>
          <w:p w14:paraId="15D6C83E">
            <w:pPr>
              <w:spacing w:line="240" w:lineRule="exact"/>
              <w:jc w:val="center"/>
              <w:rPr>
                <w:rFonts w:ascii="Arial" w:hAnsi="Arial" w:eastAsia="宋体" w:cs="Arial"/>
                <w:spacing w:val="10"/>
                <w:sz w:val="21"/>
                <w:szCs w:val="24"/>
              </w:rPr>
            </w:pPr>
            <w:r>
              <w:rPr>
                <w:rFonts w:ascii="Arial" w:hAnsi="Arial" w:eastAsia="宋体" w:cs="Arial"/>
                <w:spacing w:val="10"/>
                <w:sz w:val="21"/>
                <w:szCs w:val="24"/>
              </w:rPr>
              <w:t>75-35-4</w:t>
            </w:r>
          </w:p>
        </w:tc>
        <w:tc>
          <w:tcPr>
            <w:tcW w:w="752" w:type="pct"/>
            <w:vAlign w:val="center"/>
          </w:tcPr>
          <w:p w14:paraId="6BCCA5D9">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w:t>
            </w:r>
          </w:p>
        </w:tc>
        <w:tc>
          <w:tcPr>
            <w:tcW w:w="751" w:type="pct"/>
            <w:vAlign w:val="center"/>
          </w:tcPr>
          <w:p w14:paraId="25035FEF">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40</w:t>
            </w:r>
          </w:p>
        </w:tc>
        <w:tc>
          <w:tcPr>
            <w:tcW w:w="669" w:type="pct"/>
            <w:vAlign w:val="center"/>
          </w:tcPr>
          <w:p w14:paraId="0D840F19">
            <w:pPr>
              <w:spacing w:line="240" w:lineRule="exact"/>
              <w:jc w:val="center"/>
              <w:rPr>
                <w:rFonts w:ascii="Arial" w:hAnsi="Arial" w:eastAsia="宋体" w:cs="Arial"/>
                <w:spacing w:val="10"/>
                <w:sz w:val="21"/>
                <w:szCs w:val="24"/>
              </w:rPr>
            </w:pPr>
            <w:r>
              <w:rPr>
                <w:rFonts w:ascii="Arial" w:hAnsi="Arial" w:eastAsia="宋体" w:cs="Arial"/>
                <w:spacing w:val="10"/>
                <w:sz w:val="21"/>
                <w:szCs w:val="24"/>
              </w:rPr>
              <w:t>66</w:t>
            </w:r>
          </w:p>
        </w:tc>
        <w:tc>
          <w:tcPr>
            <w:tcW w:w="605" w:type="pct"/>
            <w:vAlign w:val="center"/>
          </w:tcPr>
          <w:p w14:paraId="1E43D932">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w:t>
            </w:r>
          </w:p>
        </w:tc>
      </w:tr>
      <w:tr w14:paraId="084C8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36ED1D31">
            <w:pPr>
              <w:spacing w:line="240" w:lineRule="exact"/>
              <w:jc w:val="center"/>
              <w:rPr>
                <w:rFonts w:ascii="Arial" w:hAnsi="Arial" w:eastAsia="宋体" w:cs="Arial"/>
                <w:spacing w:val="10"/>
                <w:sz w:val="21"/>
                <w:szCs w:val="24"/>
              </w:rPr>
            </w:pPr>
            <w:r>
              <w:rPr>
                <w:rFonts w:ascii="Arial" w:hAnsi="Arial" w:eastAsia="宋体" w:cs="Arial"/>
                <w:spacing w:val="10"/>
                <w:sz w:val="21"/>
                <w:szCs w:val="24"/>
              </w:rPr>
              <w:t>14</w:t>
            </w:r>
          </w:p>
        </w:tc>
        <w:tc>
          <w:tcPr>
            <w:tcW w:w="1026" w:type="pct"/>
            <w:vAlign w:val="center"/>
          </w:tcPr>
          <w:p w14:paraId="4185BDF0">
            <w:pPr>
              <w:spacing w:line="240" w:lineRule="exact"/>
              <w:jc w:val="center"/>
              <w:rPr>
                <w:rFonts w:ascii="Arial" w:hAnsi="Arial" w:eastAsia="宋体" w:cs="Arial"/>
                <w:spacing w:val="10"/>
                <w:sz w:val="21"/>
                <w:szCs w:val="24"/>
              </w:rPr>
            </w:pPr>
            <w:r>
              <w:rPr>
                <w:rFonts w:ascii="Arial" w:hAnsi="Arial" w:eastAsia="宋体" w:cs="Arial"/>
                <w:spacing w:val="10"/>
                <w:sz w:val="21"/>
                <w:szCs w:val="24"/>
              </w:rPr>
              <w:t>顺-1,2-二氯乙烯</w:t>
            </w:r>
          </w:p>
        </w:tc>
        <w:tc>
          <w:tcPr>
            <w:tcW w:w="822" w:type="pct"/>
            <w:vAlign w:val="center"/>
          </w:tcPr>
          <w:p w14:paraId="42D4718F">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156-60-5</w:t>
            </w:r>
          </w:p>
        </w:tc>
        <w:tc>
          <w:tcPr>
            <w:tcW w:w="752" w:type="pct"/>
            <w:vAlign w:val="center"/>
          </w:tcPr>
          <w:p w14:paraId="6B155ED4">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66</w:t>
            </w:r>
          </w:p>
        </w:tc>
        <w:tc>
          <w:tcPr>
            <w:tcW w:w="751" w:type="pct"/>
            <w:vAlign w:val="center"/>
          </w:tcPr>
          <w:p w14:paraId="2DE3C9BA">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200</w:t>
            </w:r>
          </w:p>
        </w:tc>
        <w:tc>
          <w:tcPr>
            <w:tcW w:w="669" w:type="pct"/>
            <w:vAlign w:val="center"/>
          </w:tcPr>
          <w:p w14:paraId="16BEAED4">
            <w:pPr>
              <w:spacing w:line="240" w:lineRule="exact"/>
              <w:jc w:val="center"/>
              <w:rPr>
                <w:rFonts w:ascii="Arial" w:hAnsi="Arial" w:eastAsia="宋体" w:cs="Arial"/>
                <w:spacing w:val="10"/>
                <w:sz w:val="21"/>
                <w:szCs w:val="24"/>
              </w:rPr>
            </w:pPr>
            <w:r>
              <w:rPr>
                <w:rFonts w:ascii="Arial" w:hAnsi="Arial" w:eastAsia="宋体" w:cs="Arial"/>
                <w:spacing w:val="10"/>
                <w:sz w:val="21"/>
                <w:szCs w:val="24"/>
              </w:rPr>
              <w:t>596</w:t>
            </w:r>
          </w:p>
        </w:tc>
        <w:tc>
          <w:tcPr>
            <w:tcW w:w="605" w:type="pct"/>
            <w:vAlign w:val="center"/>
          </w:tcPr>
          <w:p w14:paraId="2C45AEB8">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2000</w:t>
            </w:r>
          </w:p>
        </w:tc>
      </w:tr>
      <w:tr w14:paraId="39E96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7B32D179">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1026" w:type="pct"/>
            <w:vAlign w:val="center"/>
          </w:tcPr>
          <w:p w14:paraId="679B04AB">
            <w:pPr>
              <w:spacing w:line="240" w:lineRule="exact"/>
              <w:jc w:val="center"/>
              <w:rPr>
                <w:rFonts w:ascii="Arial" w:hAnsi="Arial" w:eastAsia="宋体" w:cs="Arial"/>
                <w:spacing w:val="10"/>
                <w:sz w:val="21"/>
                <w:szCs w:val="24"/>
              </w:rPr>
            </w:pPr>
            <w:r>
              <w:rPr>
                <w:rFonts w:ascii="Arial" w:hAnsi="Arial" w:eastAsia="宋体" w:cs="Arial"/>
                <w:spacing w:val="10"/>
                <w:sz w:val="21"/>
                <w:szCs w:val="24"/>
              </w:rPr>
              <w:t>反-1,2-二氯乙烯</w:t>
            </w:r>
          </w:p>
        </w:tc>
        <w:tc>
          <w:tcPr>
            <w:tcW w:w="822" w:type="pct"/>
            <w:vAlign w:val="center"/>
          </w:tcPr>
          <w:p w14:paraId="410EFBBF">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156-59-2</w:t>
            </w:r>
          </w:p>
        </w:tc>
        <w:tc>
          <w:tcPr>
            <w:tcW w:w="752" w:type="pct"/>
            <w:vAlign w:val="center"/>
          </w:tcPr>
          <w:p w14:paraId="76DCB03D">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10</w:t>
            </w:r>
          </w:p>
        </w:tc>
        <w:tc>
          <w:tcPr>
            <w:tcW w:w="751" w:type="pct"/>
            <w:vAlign w:val="center"/>
          </w:tcPr>
          <w:p w14:paraId="0B621CE8">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31</w:t>
            </w:r>
          </w:p>
        </w:tc>
        <w:tc>
          <w:tcPr>
            <w:tcW w:w="669" w:type="pct"/>
            <w:vAlign w:val="center"/>
          </w:tcPr>
          <w:p w14:paraId="4DFBB6CA">
            <w:pPr>
              <w:spacing w:line="240" w:lineRule="exact"/>
              <w:jc w:val="center"/>
              <w:rPr>
                <w:rFonts w:ascii="Arial" w:hAnsi="Arial" w:eastAsia="宋体" w:cs="Arial"/>
                <w:spacing w:val="10"/>
                <w:sz w:val="21"/>
                <w:szCs w:val="24"/>
              </w:rPr>
            </w:pPr>
            <w:r>
              <w:rPr>
                <w:rFonts w:ascii="Arial" w:hAnsi="Arial" w:eastAsia="宋体" w:cs="Arial"/>
                <w:spacing w:val="10"/>
                <w:sz w:val="21"/>
                <w:szCs w:val="24"/>
              </w:rPr>
              <w:t>54</w:t>
            </w:r>
          </w:p>
        </w:tc>
        <w:tc>
          <w:tcPr>
            <w:tcW w:w="605" w:type="pct"/>
            <w:vAlign w:val="center"/>
          </w:tcPr>
          <w:p w14:paraId="4CA03A4D">
            <w:pPr>
              <w:spacing w:line="240" w:lineRule="exact"/>
              <w:jc w:val="center"/>
              <w:rPr>
                <w:rFonts w:ascii="Arial" w:hAnsi="Arial" w:eastAsia="宋体" w:cs="Arial"/>
                <w:spacing w:val="10"/>
                <w:sz w:val="21"/>
                <w:szCs w:val="24"/>
              </w:rPr>
            </w:pPr>
            <w:r>
              <w:rPr>
                <w:rFonts w:ascii="Arial" w:hAnsi="Arial" w:eastAsia="宋体" w:cs="Arial"/>
                <w:spacing w:val="10"/>
                <w:sz w:val="21"/>
                <w:szCs w:val="24"/>
              </w:rPr>
              <w:t>163</w:t>
            </w:r>
          </w:p>
        </w:tc>
      </w:tr>
      <w:tr w14:paraId="036CE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4AA491E4">
            <w:pPr>
              <w:spacing w:line="240" w:lineRule="exact"/>
              <w:jc w:val="center"/>
              <w:rPr>
                <w:rFonts w:ascii="Arial" w:hAnsi="Arial" w:eastAsia="宋体" w:cs="Arial"/>
                <w:spacing w:val="10"/>
                <w:sz w:val="21"/>
                <w:szCs w:val="24"/>
              </w:rPr>
            </w:pPr>
            <w:r>
              <w:rPr>
                <w:rFonts w:ascii="Arial" w:hAnsi="Arial" w:eastAsia="宋体" w:cs="Arial"/>
                <w:spacing w:val="10"/>
                <w:sz w:val="21"/>
                <w:szCs w:val="24"/>
              </w:rPr>
              <w:t>16</w:t>
            </w:r>
          </w:p>
        </w:tc>
        <w:tc>
          <w:tcPr>
            <w:tcW w:w="1026" w:type="pct"/>
            <w:vAlign w:val="center"/>
          </w:tcPr>
          <w:p w14:paraId="267DBDCF">
            <w:pPr>
              <w:spacing w:line="240" w:lineRule="exact"/>
              <w:jc w:val="center"/>
              <w:rPr>
                <w:rFonts w:ascii="Arial" w:hAnsi="Arial" w:eastAsia="宋体" w:cs="Arial"/>
                <w:spacing w:val="10"/>
                <w:sz w:val="21"/>
                <w:szCs w:val="24"/>
              </w:rPr>
            </w:pPr>
            <w:r>
              <w:rPr>
                <w:rFonts w:ascii="Arial" w:hAnsi="Arial" w:eastAsia="宋体" w:cs="Arial"/>
                <w:spacing w:val="10"/>
                <w:sz w:val="21"/>
                <w:szCs w:val="24"/>
              </w:rPr>
              <w:t>二氯甲烷</w:t>
            </w:r>
          </w:p>
        </w:tc>
        <w:tc>
          <w:tcPr>
            <w:tcW w:w="822" w:type="pct"/>
            <w:vAlign w:val="center"/>
          </w:tcPr>
          <w:p w14:paraId="40E769D8">
            <w:pPr>
              <w:spacing w:line="240" w:lineRule="exact"/>
              <w:jc w:val="center"/>
              <w:rPr>
                <w:rFonts w:ascii="Arial" w:hAnsi="Arial" w:eastAsia="宋体" w:cs="Arial"/>
                <w:spacing w:val="10"/>
                <w:sz w:val="21"/>
                <w:szCs w:val="24"/>
              </w:rPr>
            </w:pPr>
            <w:r>
              <w:rPr>
                <w:rFonts w:ascii="Arial" w:hAnsi="Arial" w:eastAsia="宋体" w:cs="Arial"/>
                <w:spacing w:val="10"/>
                <w:sz w:val="21"/>
                <w:szCs w:val="24"/>
              </w:rPr>
              <w:t>75-09-2</w:t>
            </w:r>
          </w:p>
        </w:tc>
        <w:tc>
          <w:tcPr>
            <w:tcW w:w="752" w:type="pct"/>
            <w:vAlign w:val="center"/>
          </w:tcPr>
          <w:p w14:paraId="08D44D6D">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94</w:t>
            </w:r>
          </w:p>
        </w:tc>
        <w:tc>
          <w:tcPr>
            <w:tcW w:w="751" w:type="pct"/>
            <w:vAlign w:val="center"/>
          </w:tcPr>
          <w:p w14:paraId="53AB0CCA">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300</w:t>
            </w:r>
          </w:p>
        </w:tc>
        <w:tc>
          <w:tcPr>
            <w:tcW w:w="669" w:type="pct"/>
            <w:vAlign w:val="center"/>
          </w:tcPr>
          <w:p w14:paraId="64167214">
            <w:pPr>
              <w:spacing w:line="240" w:lineRule="exact"/>
              <w:jc w:val="center"/>
              <w:rPr>
                <w:rFonts w:ascii="Arial" w:hAnsi="Arial" w:eastAsia="宋体" w:cs="Arial"/>
                <w:spacing w:val="10"/>
                <w:sz w:val="21"/>
                <w:szCs w:val="24"/>
              </w:rPr>
            </w:pPr>
            <w:r>
              <w:rPr>
                <w:rFonts w:ascii="Arial" w:hAnsi="Arial" w:eastAsia="宋体" w:cs="Arial"/>
                <w:spacing w:val="10"/>
                <w:sz w:val="21"/>
                <w:szCs w:val="24"/>
              </w:rPr>
              <w:t>616</w:t>
            </w:r>
          </w:p>
        </w:tc>
        <w:tc>
          <w:tcPr>
            <w:tcW w:w="605" w:type="pct"/>
            <w:vAlign w:val="center"/>
          </w:tcPr>
          <w:p w14:paraId="4C235B28">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2000</w:t>
            </w:r>
          </w:p>
        </w:tc>
      </w:tr>
      <w:tr w14:paraId="57C23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047EF2FB">
            <w:pPr>
              <w:spacing w:line="240" w:lineRule="exact"/>
              <w:jc w:val="center"/>
              <w:rPr>
                <w:rFonts w:ascii="Arial" w:hAnsi="Arial" w:eastAsia="宋体" w:cs="Arial"/>
                <w:spacing w:val="10"/>
                <w:sz w:val="21"/>
                <w:szCs w:val="24"/>
              </w:rPr>
            </w:pPr>
            <w:r>
              <w:rPr>
                <w:rFonts w:ascii="Arial" w:hAnsi="Arial" w:eastAsia="宋体" w:cs="Arial"/>
                <w:spacing w:val="10"/>
                <w:sz w:val="21"/>
                <w:szCs w:val="24"/>
              </w:rPr>
              <w:t>17</w:t>
            </w:r>
          </w:p>
        </w:tc>
        <w:tc>
          <w:tcPr>
            <w:tcW w:w="1026" w:type="pct"/>
            <w:vAlign w:val="center"/>
          </w:tcPr>
          <w:p w14:paraId="153C3438">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1,2-二氯丙烷</w:t>
            </w:r>
          </w:p>
        </w:tc>
        <w:tc>
          <w:tcPr>
            <w:tcW w:w="822" w:type="pct"/>
            <w:vAlign w:val="center"/>
          </w:tcPr>
          <w:p w14:paraId="41AC0230">
            <w:pPr>
              <w:spacing w:line="240" w:lineRule="exact"/>
              <w:jc w:val="center"/>
              <w:rPr>
                <w:rFonts w:ascii="Arial" w:hAnsi="Arial" w:eastAsia="宋体" w:cs="Arial"/>
                <w:spacing w:val="10"/>
                <w:sz w:val="21"/>
                <w:szCs w:val="24"/>
              </w:rPr>
            </w:pPr>
            <w:r>
              <w:rPr>
                <w:rFonts w:ascii="Arial" w:hAnsi="Arial" w:eastAsia="宋体" w:cs="Arial"/>
                <w:spacing w:val="10"/>
                <w:sz w:val="21"/>
                <w:szCs w:val="24"/>
              </w:rPr>
              <w:t>78-87-5</w:t>
            </w:r>
          </w:p>
        </w:tc>
        <w:tc>
          <w:tcPr>
            <w:tcW w:w="752" w:type="pct"/>
            <w:vAlign w:val="center"/>
          </w:tcPr>
          <w:p w14:paraId="7EDCCDF7">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w:t>
            </w:r>
          </w:p>
        </w:tc>
        <w:tc>
          <w:tcPr>
            <w:tcW w:w="751" w:type="pct"/>
            <w:vAlign w:val="center"/>
          </w:tcPr>
          <w:p w14:paraId="77D67776">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w:t>
            </w:r>
          </w:p>
        </w:tc>
        <w:tc>
          <w:tcPr>
            <w:tcW w:w="669" w:type="pct"/>
            <w:vAlign w:val="center"/>
          </w:tcPr>
          <w:p w14:paraId="79B1D815">
            <w:pPr>
              <w:spacing w:line="240" w:lineRule="exact"/>
              <w:jc w:val="center"/>
              <w:rPr>
                <w:rFonts w:ascii="Arial" w:hAnsi="Arial" w:eastAsia="宋体" w:cs="Arial"/>
                <w:spacing w:val="10"/>
                <w:sz w:val="21"/>
                <w:szCs w:val="24"/>
              </w:rPr>
            </w:pPr>
            <w:r>
              <w:rPr>
                <w:rFonts w:ascii="Arial" w:hAnsi="Arial" w:eastAsia="宋体" w:cs="Arial"/>
                <w:spacing w:val="10"/>
                <w:sz w:val="21"/>
                <w:szCs w:val="24"/>
              </w:rPr>
              <w:t>5</w:t>
            </w:r>
          </w:p>
        </w:tc>
        <w:tc>
          <w:tcPr>
            <w:tcW w:w="605" w:type="pct"/>
            <w:vAlign w:val="center"/>
          </w:tcPr>
          <w:p w14:paraId="36BBA553">
            <w:pPr>
              <w:spacing w:line="240" w:lineRule="exact"/>
              <w:jc w:val="center"/>
              <w:rPr>
                <w:rFonts w:ascii="Arial" w:hAnsi="Arial" w:eastAsia="宋体" w:cs="Arial"/>
                <w:spacing w:val="10"/>
                <w:sz w:val="21"/>
                <w:szCs w:val="24"/>
              </w:rPr>
            </w:pPr>
            <w:r>
              <w:rPr>
                <w:rFonts w:ascii="Arial" w:hAnsi="Arial" w:eastAsia="宋体" w:cs="Arial"/>
                <w:spacing w:val="10"/>
                <w:sz w:val="21"/>
                <w:szCs w:val="24"/>
              </w:rPr>
              <w:t>47</w:t>
            </w:r>
          </w:p>
        </w:tc>
      </w:tr>
      <w:tr w14:paraId="29480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5118F70C">
            <w:pPr>
              <w:spacing w:line="240" w:lineRule="exact"/>
              <w:jc w:val="center"/>
              <w:rPr>
                <w:rFonts w:ascii="Arial" w:hAnsi="Arial" w:eastAsia="宋体" w:cs="Arial"/>
                <w:spacing w:val="10"/>
                <w:sz w:val="21"/>
                <w:szCs w:val="24"/>
              </w:rPr>
            </w:pPr>
            <w:r>
              <w:rPr>
                <w:rFonts w:ascii="Arial" w:hAnsi="Arial" w:eastAsia="宋体" w:cs="Arial"/>
                <w:spacing w:val="10"/>
                <w:sz w:val="21"/>
                <w:szCs w:val="24"/>
              </w:rPr>
              <w:t>18</w:t>
            </w:r>
          </w:p>
        </w:tc>
        <w:tc>
          <w:tcPr>
            <w:tcW w:w="1026" w:type="pct"/>
            <w:vAlign w:val="center"/>
          </w:tcPr>
          <w:p w14:paraId="45CA76ED">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1,1,1,2-四氯乙烷</w:t>
            </w:r>
          </w:p>
        </w:tc>
        <w:tc>
          <w:tcPr>
            <w:tcW w:w="822" w:type="pct"/>
            <w:vAlign w:val="center"/>
          </w:tcPr>
          <w:p w14:paraId="03414DB3">
            <w:pPr>
              <w:spacing w:line="240" w:lineRule="exact"/>
              <w:jc w:val="center"/>
              <w:rPr>
                <w:rFonts w:ascii="Arial" w:hAnsi="Arial" w:eastAsia="宋体" w:cs="Arial"/>
                <w:spacing w:val="10"/>
                <w:sz w:val="21"/>
                <w:szCs w:val="24"/>
              </w:rPr>
            </w:pPr>
            <w:r>
              <w:rPr>
                <w:rFonts w:ascii="Arial" w:hAnsi="Arial" w:eastAsia="宋体" w:cs="Arial"/>
                <w:spacing w:val="10"/>
                <w:sz w:val="21"/>
                <w:szCs w:val="24"/>
              </w:rPr>
              <w:t>630-20-6</w:t>
            </w:r>
          </w:p>
        </w:tc>
        <w:tc>
          <w:tcPr>
            <w:tcW w:w="752" w:type="pct"/>
            <w:vAlign w:val="center"/>
          </w:tcPr>
          <w:p w14:paraId="7B4E7935">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2.6</w:t>
            </w:r>
          </w:p>
        </w:tc>
        <w:tc>
          <w:tcPr>
            <w:tcW w:w="751" w:type="pct"/>
            <w:vAlign w:val="center"/>
          </w:tcPr>
          <w:p w14:paraId="0C8CD468">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26</w:t>
            </w:r>
          </w:p>
        </w:tc>
        <w:tc>
          <w:tcPr>
            <w:tcW w:w="669" w:type="pct"/>
            <w:vAlign w:val="center"/>
          </w:tcPr>
          <w:p w14:paraId="11BD3E6D">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w:t>
            </w:r>
          </w:p>
        </w:tc>
        <w:tc>
          <w:tcPr>
            <w:tcW w:w="605" w:type="pct"/>
            <w:vAlign w:val="center"/>
          </w:tcPr>
          <w:p w14:paraId="24108842">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w:t>
            </w:r>
          </w:p>
        </w:tc>
      </w:tr>
      <w:tr w14:paraId="0F16C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4B9B45BE">
            <w:pPr>
              <w:spacing w:line="240" w:lineRule="exact"/>
              <w:jc w:val="center"/>
              <w:rPr>
                <w:rFonts w:ascii="Arial" w:hAnsi="Arial" w:eastAsia="宋体" w:cs="Arial"/>
                <w:spacing w:val="10"/>
                <w:sz w:val="21"/>
                <w:szCs w:val="24"/>
              </w:rPr>
            </w:pPr>
            <w:r>
              <w:rPr>
                <w:rFonts w:ascii="Arial" w:hAnsi="Arial" w:eastAsia="宋体" w:cs="Arial"/>
                <w:spacing w:val="10"/>
                <w:sz w:val="21"/>
                <w:szCs w:val="24"/>
              </w:rPr>
              <w:t>19</w:t>
            </w:r>
          </w:p>
        </w:tc>
        <w:tc>
          <w:tcPr>
            <w:tcW w:w="1026" w:type="pct"/>
            <w:vAlign w:val="center"/>
          </w:tcPr>
          <w:p w14:paraId="1ECF5C86">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1,1,2,2-四氯乙烷</w:t>
            </w:r>
          </w:p>
        </w:tc>
        <w:tc>
          <w:tcPr>
            <w:tcW w:w="822" w:type="pct"/>
            <w:vAlign w:val="center"/>
          </w:tcPr>
          <w:p w14:paraId="141D33A2">
            <w:pPr>
              <w:spacing w:line="240" w:lineRule="exact"/>
              <w:jc w:val="center"/>
              <w:rPr>
                <w:rFonts w:ascii="Arial" w:hAnsi="Arial" w:eastAsia="宋体" w:cs="Arial"/>
                <w:spacing w:val="10"/>
                <w:sz w:val="21"/>
                <w:szCs w:val="24"/>
              </w:rPr>
            </w:pPr>
            <w:r>
              <w:rPr>
                <w:rFonts w:ascii="Arial" w:hAnsi="Arial" w:eastAsia="宋体" w:cs="Arial"/>
                <w:spacing w:val="10"/>
                <w:sz w:val="21"/>
                <w:szCs w:val="24"/>
              </w:rPr>
              <w:t>79-34-5</w:t>
            </w:r>
          </w:p>
        </w:tc>
        <w:tc>
          <w:tcPr>
            <w:tcW w:w="752" w:type="pct"/>
            <w:vAlign w:val="center"/>
          </w:tcPr>
          <w:p w14:paraId="3F52951C">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1.6</w:t>
            </w:r>
          </w:p>
        </w:tc>
        <w:tc>
          <w:tcPr>
            <w:tcW w:w="751" w:type="pct"/>
            <w:vAlign w:val="center"/>
          </w:tcPr>
          <w:p w14:paraId="5E2F230B">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14</w:t>
            </w:r>
          </w:p>
        </w:tc>
        <w:tc>
          <w:tcPr>
            <w:tcW w:w="669" w:type="pct"/>
            <w:vAlign w:val="center"/>
          </w:tcPr>
          <w:p w14:paraId="51604EF6">
            <w:pPr>
              <w:spacing w:line="240" w:lineRule="exact"/>
              <w:jc w:val="center"/>
              <w:rPr>
                <w:rFonts w:ascii="Arial" w:hAnsi="Arial" w:eastAsia="宋体" w:cs="Arial"/>
                <w:spacing w:val="10"/>
                <w:sz w:val="21"/>
                <w:szCs w:val="24"/>
              </w:rPr>
            </w:pPr>
            <w:r>
              <w:rPr>
                <w:rFonts w:ascii="Arial" w:hAnsi="Arial" w:eastAsia="宋体" w:cs="Arial"/>
                <w:spacing w:val="10"/>
                <w:sz w:val="21"/>
                <w:szCs w:val="24"/>
              </w:rPr>
              <w:t>6.8</w:t>
            </w:r>
          </w:p>
        </w:tc>
        <w:tc>
          <w:tcPr>
            <w:tcW w:w="605" w:type="pct"/>
            <w:vAlign w:val="center"/>
          </w:tcPr>
          <w:p w14:paraId="76C217C5">
            <w:pPr>
              <w:spacing w:line="240" w:lineRule="exact"/>
              <w:jc w:val="center"/>
              <w:rPr>
                <w:rFonts w:ascii="Arial" w:hAnsi="Arial" w:eastAsia="宋体" w:cs="Arial"/>
                <w:spacing w:val="10"/>
                <w:sz w:val="21"/>
                <w:szCs w:val="24"/>
              </w:rPr>
            </w:pPr>
            <w:r>
              <w:rPr>
                <w:rFonts w:ascii="Arial" w:hAnsi="Arial" w:eastAsia="宋体" w:cs="Arial"/>
                <w:spacing w:val="10"/>
                <w:sz w:val="21"/>
                <w:szCs w:val="24"/>
              </w:rPr>
              <w:t>50</w:t>
            </w:r>
          </w:p>
        </w:tc>
      </w:tr>
      <w:tr w14:paraId="4E963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78445F24">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w:t>
            </w:r>
          </w:p>
        </w:tc>
        <w:tc>
          <w:tcPr>
            <w:tcW w:w="1026" w:type="pct"/>
            <w:vAlign w:val="center"/>
          </w:tcPr>
          <w:p w14:paraId="7202F218">
            <w:pPr>
              <w:spacing w:line="240" w:lineRule="exact"/>
              <w:jc w:val="center"/>
              <w:rPr>
                <w:rFonts w:ascii="Arial" w:hAnsi="Arial" w:eastAsia="宋体" w:cs="Arial"/>
                <w:spacing w:val="10"/>
                <w:sz w:val="21"/>
                <w:szCs w:val="24"/>
              </w:rPr>
            </w:pPr>
            <w:r>
              <w:rPr>
                <w:rFonts w:ascii="Arial" w:hAnsi="Arial" w:eastAsia="宋体" w:cs="Arial"/>
                <w:spacing w:val="10"/>
                <w:sz w:val="21"/>
                <w:szCs w:val="24"/>
              </w:rPr>
              <w:t>四氯乙烷</w:t>
            </w:r>
          </w:p>
        </w:tc>
        <w:tc>
          <w:tcPr>
            <w:tcW w:w="822" w:type="pct"/>
            <w:vAlign w:val="center"/>
          </w:tcPr>
          <w:p w14:paraId="760E7309">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127-18-4</w:t>
            </w:r>
          </w:p>
        </w:tc>
        <w:tc>
          <w:tcPr>
            <w:tcW w:w="752" w:type="pct"/>
            <w:vAlign w:val="center"/>
          </w:tcPr>
          <w:p w14:paraId="236004E6">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11</w:t>
            </w:r>
          </w:p>
        </w:tc>
        <w:tc>
          <w:tcPr>
            <w:tcW w:w="751" w:type="pct"/>
            <w:vAlign w:val="center"/>
          </w:tcPr>
          <w:p w14:paraId="35A8C34C">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34</w:t>
            </w:r>
          </w:p>
        </w:tc>
        <w:tc>
          <w:tcPr>
            <w:tcW w:w="669" w:type="pct"/>
            <w:vAlign w:val="center"/>
          </w:tcPr>
          <w:p w14:paraId="265908FC">
            <w:pPr>
              <w:spacing w:line="240" w:lineRule="exact"/>
              <w:jc w:val="center"/>
              <w:rPr>
                <w:rFonts w:ascii="Arial" w:hAnsi="Arial" w:eastAsia="宋体" w:cs="Arial"/>
                <w:spacing w:val="10"/>
                <w:sz w:val="21"/>
                <w:szCs w:val="24"/>
              </w:rPr>
            </w:pPr>
            <w:r>
              <w:rPr>
                <w:rFonts w:ascii="Arial" w:hAnsi="Arial" w:eastAsia="宋体" w:cs="Arial"/>
                <w:spacing w:val="10"/>
                <w:sz w:val="21"/>
                <w:szCs w:val="24"/>
              </w:rPr>
              <w:t>53</w:t>
            </w:r>
          </w:p>
        </w:tc>
        <w:tc>
          <w:tcPr>
            <w:tcW w:w="605" w:type="pct"/>
            <w:vAlign w:val="center"/>
          </w:tcPr>
          <w:p w14:paraId="40BA853C">
            <w:pPr>
              <w:spacing w:line="240" w:lineRule="exact"/>
              <w:jc w:val="center"/>
              <w:rPr>
                <w:rFonts w:ascii="Arial" w:hAnsi="Arial" w:eastAsia="宋体" w:cs="Arial"/>
                <w:spacing w:val="10"/>
                <w:sz w:val="21"/>
                <w:szCs w:val="24"/>
              </w:rPr>
            </w:pPr>
            <w:r>
              <w:rPr>
                <w:rFonts w:ascii="Arial" w:hAnsi="Arial" w:eastAsia="宋体" w:cs="Arial"/>
                <w:spacing w:val="10"/>
                <w:sz w:val="21"/>
                <w:szCs w:val="24"/>
              </w:rPr>
              <w:t>183</w:t>
            </w:r>
          </w:p>
        </w:tc>
      </w:tr>
      <w:tr w14:paraId="10409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74118AD2">
            <w:pPr>
              <w:spacing w:line="240" w:lineRule="exact"/>
              <w:jc w:val="center"/>
              <w:rPr>
                <w:rFonts w:ascii="Arial" w:hAnsi="Arial" w:eastAsia="宋体" w:cs="Arial"/>
                <w:spacing w:val="10"/>
                <w:sz w:val="21"/>
                <w:szCs w:val="24"/>
              </w:rPr>
            </w:pPr>
            <w:r>
              <w:rPr>
                <w:rFonts w:ascii="Arial" w:hAnsi="Arial" w:eastAsia="宋体" w:cs="Arial"/>
                <w:spacing w:val="10"/>
                <w:sz w:val="21"/>
                <w:szCs w:val="24"/>
              </w:rPr>
              <w:t>21</w:t>
            </w:r>
          </w:p>
        </w:tc>
        <w:tc>
          <w:tcPr>
            <w:tcW w:w="1026" w:type="pct"/>
            <w:vAlign w:val="center"/>
          </w:tcPr>
          <w:p w14:paraId="60078E20">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1,1,1-三氯乙烷</w:t>
            </w:r>
          </w:p>
        </w:tc>
        <w:tc>
          <w:tcPr>
            <w:tcW w:w="822" w:type="pct"/>
            <w:vAlign w:val="center"/>
          </w:tcPr>
          <w:p w14:paraId="1CE45AF0">
            <w:pPr>
              <w:spacing w:line="240" w:lineRule="exact"/>
              <w:jc w:val="center"/>
              <w:rPr>
                <w:rFonts w:ascii="Arial" w:hAnsi="Arial" w:eastAsia="宋体" w:cs="Arial"/>
                <w:spacing w:val="10"/>
                <w:sz w:val="21"/>
                <w:szCs w:val="24"/>
              </w:rPr>
            </w:pPr>
            <w:r>
              <w:rPr>
                <w:rFonts w:ascii="Arial" w:hAnsi="Arial" w:eastAsia="宋体" w:cs="Arial"/>
                <w:spacing w:val="10"/>
                <w:sz w:val="21"/>
                <w:szCs w:val="24"/>
              </w:rPr>
              <w:t>71-55-6</w:t>
            </w:r>
          </w:p>
        </w:tc>
        <w:tc>
          <w:tcPr>
            <w:tcW w:w="752" w:type="pct"/>
            <w:vAlign w:val="center"/>
          </w:tcPr>
          <w:p w14:paraId="7F815F95">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701</w:t>
            </w:r>
          </w:p>
        </w:tc>
        <w:tc>
          <w:tcPr>
            <w:tcW w:w="751" w:type="pct"/>
            <w:vAlign w:val="center"/>
          </w:tcPr>
          <w:p w14:paraId="213CD263">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840</w:t>
            </w:r>
          </w:p>
        </w:tc>
        <w:tc>
          <w:tcPr>
            <w:tcW w:w="669" w:type="pct"/>
            <w:vAlign w:val="center"/>
          </w:tcPr>
          <w:p w14:paraId="355FF22A">
            <w:pPr>
              <w:spacing w:line="240" w:lineRule="exact"/>
              <w:jc w:val="center"/>
              <w:rPr>
                <w:rFonts w:ascii="Arial" w:hAnsi="Arial" w:eastAsia="宋体" w:cs="Arial"/>
                <w:spacing w:val="10"/>
                <w:sz w:val="21"/>
                <w:szCs w:val="24"/>
              </w:rPr>
            </w:pPr>
            <w:r>
              <w:rPr>
                <w:rFonts w:ascii="Arial" w:hAnsi="Arial" w:eastAsia="宋体" w:cs="Arial"/>
                <w:spacing w:val="10"/>
                <w:sz w:val="21"/>
                <w:szCs w:val="24"/>
              </w:rPr>
              <w:t>840</w:t>
            </w:r>
          </w:p>
        </w:tc>
        <w:tc>
          <w:tcPr>
            <w:tcW w:w="605" w:type="pct"/>
            <w:vAlign w:val="center"/>
          </w:tcPr>
          <w:p w14:paraId="3CD9F2B3">
            <w:pPr>
              <w:spacing w:line="240" w:lineRule="exact"/>
              <w:jc w:val="center"/>
              <w:rPr>
                <w:rFonts w:ascii="Arial" w:hAnsi="Arial" w:eastAsia="宋体" w:cs="Arial"/>
                <w:spacing w:val="10"/>
                <w:sz w:val="21"/>
                <w:szCs w:val="24"/>
              </w:rPr>
            </w:pPr>
            <w:r>
              <w:rPr>
                <w:rFonts w:ascii="Arial" w:hAnsi="Arial" w:eastAsia="宋体" w:cs="Arial"/>
                <w:spacing w:val="10"/>
                <w:sz w:val="21"/>
                <w:szCs w:val="24"/>
              </w:rPr>
              <w:t>840</w:t>
            </w:r>
          </w:p>
        </w:tc>
      </w:tr>
      <w:tr w14:paraId="0F6AD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189817F2">
            <w:pPr>
              <w:spacing w:line="240" w:lineRule="exact"/>
              <w:jc w:val="center"/>
              <w:rPr>
                <w:rFonts w:ascii="Arial" w:hAnsi="Arial" w:eastAsia="宋体" w:cs="Arial"/>
                <w:spacing w:val="10"/>
                <w:sz w:val="21"/>
                <w:szCs w:val="24"/>
              </w:rPr>
            </w:pPr>
            <w:r>
              <w:rPr>
                <w:rFonts w:ascii="Arial" w:hAnsi="Arial" w:eastAsia="宋体" w:cs="Arial"/>
                <w:spacing w:val="10"/>
                <w:sz w:val="21"/>
                <w:szCs w:val="24"/>
              </w:rPr>
              <w:t>22</w:t>
            </w:r>
          </w:p>
        </w:tc>
        <w:tc>
          <w:tcPr>
            <w:tcW w:w="1026" w:type="pct"/>
            <w:vAlign w:val="center"/>
          </w:tcPr>
          <w:p w14:paraId="1DDB523E">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1,1,2-三氯乙烷</w:t>
            </w:r>
          </w:p>
        </w:tc>
        <w:tc>
          <w:tcPr>
            <w:tcW w:w="822" w:type="pct"/>
            <w:vAlign w:val="center"/>
          </w:tcPr>
          <w:p w14:paraId="01EED843">
            <w:pPr>
              <w:spacing w:line="240" w:lineRule="exact"/>
              <w:jc w:val="center"/>
              <w:rPr>
                <w:rFonts w:ascii="Arial" w:hAnsi="Arial" w:eastAsia="宋体" w:cs="Arial"/>
                <w:spacing w:val="10"/>
                <w:sz w:val="21"/>
                <w:szCs w:val="24"/>
              </w:rPr>
            </w:pPr>
            <w:r>
              <w:rPr>
                <w:rFonts w:ascii="Arial" w:hAnsi="Arial" w:eastAsia="宋体" w:cs="Arial"/>
                <w:spacing w:val="10"/>
                <w:sz w:val="21"/>
                <w:szCs w:val="24"/>
              </w:rPr>
              <w:t>79-00-5</w:t>
            </w:r>
          </w:p>
        </w:tc>
        <w:tc>
          <w:tcPr>
            <w:tcW w:w="752" w:type="pct"/>
            <w:vAlign w:val="center"/>
          </w:tcPr>
          <w:p w14:paraId="42EB3D9C">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0.6</w:t>
            </w:r>
          </w:p>
        </w:tc>
        <w:tc>
          <w:tcPr>
            <w:tcW w:w="751" w:type="pct"/>
            <w:vAlign w:val="center"/>
          </w:tcPr>
          <w:p w14:paraId="55A75726">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w:t>
            </w:r>
          </w:p>
        </w:tc>
        <w:tc>
          <w:tcPr>
            <w:tcW w:w="669" w:type="pct"/>
            <w:vAlign w:val="center"/>
          </w:tcPr>
          <w:p w14:paraId="0FC7369B">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w:t>
            </w:r>
          </w:p>
        </w:tc>
        <w:tc>
          <w:tcPr>
            <w:tcW w:w="605" w:type="pct"/>
            <w:vAlign w:val="center"/>
          </w:tcPr>
          <w:p w14:paraId="68869E11">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r>
      <w:tr w14:paraId="4FF83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0FBFA004">
            <w:pPr>
              <w:spacing w:line="240" w:lineRule="exact"/>
              <w:jc w:val="center"/>
              <w:rPr>
                <w:rFonts w:ascii="Arial" w:hAnsi="Arial" w:eastAsia="宋体" w:cs="Arial"/>
                <w:spacing w:val="10"/>
                <w:sz w:val="21"/>
                <w:szCs w:val="24"/>
              </w:rPr>
            </w:pPr>
            <w:r>
              <w:rPr>
                <w:rFonts w:ascii="Arial" w:hAnsi="Arial" w:eastAsia="宋体" w:cs="Arial"/>
                <w:spacing w:val="10"/>
                <w:sz w:val="21"/>
                <w:szCs w:val="24"/>
              </w:rPr>
              <w:t>23</w:t>
            </w:r>
          </w:p>
        </w:tc>
        <w:tc>
          <w:tcPr>
            <w:tcW w:w="1026" w:type="pct"/>
            <w:vAlign w:val="center"/>
          </w:tcPr>
          <w:p w14:paraId="456A7000">
            <w:pPr>
              <w:spacing w:line="240" w:lineRule="exact"/>
              <w:jc w:val="center"/>
              <w:rPr>
                <w:rFonts w:ascii="Arial" w:hAnsi="Arial" w:eastAsia="宋体" w:cs="Arial"/>
                <w:spacing w:val="10"/>
                <w:sz w:val="21"/>
                <w:szCs w:val="24"/>
              </w:rPr>
            </w:pPr>
            <w:r>
              <w:rPr>
                <w:rFonts w:ascii="Arial" w:hAnsi="Arial" w:eastAsia="宋体" w:cs="Arial"/>
                <w:spacing w:val="10"/>
                <w:sz w:val="21"/>
                <w:szCs w:val="24"/>
              </w:rPr>
              <w:t>三氯乙烷</w:t>
            </w:r>
          </w:p>
        </w:tc>
        <w:tc>
          <w:tcPr>
            <w:tcW w:w="822" w:type="pct"/>
            <w:vAlign w:val="center"/>
          </w:tcPr>
          <w:p w14:paraId="1F5792D5">
            <w:pPr>
              <w:spacing w:line="240" w:lineRule="exact"/>
              <w:jc w:val="center"/>
              <w:rPr>
                <w:rFonts w:ascii="Arial" w:hAnsi="Arial" w:eastAsia="宋体" w:cs="Arial"/>
                <w:spacing w:val="10"/>
                <w:sz w:val="21"/>
                <w:szCs w:val="24"/>
              </w:rPr>
            </w:pPr>
            <w:r>
              <w:rPr>
                <w:rFonts w:ascii="Arial" w:hAnsi="Arial" w:eastAsia="宋体" w:cs="Arial"/>
                <w:spacing w:val="10"/>
                <w:sz w:val="21"/>
                <w:szCs w:val="24"/>
              </w:rPr>
              <w:t>79-01-6</w:t>
            </w:r>
          </w:p>
        </w:tc>
        <w:tc>
          <w:tcPr>
            <w:tcW w:w="752" w:type="pct"/>
            <w:vAlign w:val="center"/>
          </w:tcPr>
          <w:p w14:paraId="7DA8BF41">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0.7</w:t>
            </w:r>
          </w:p>
        </w:tc>
        <w:tc>
          <w:tcPr>
            <w:tcW w:w="751" w:type="pct"/>
            <w:vAlign w:val="center"/>
          </w:tcPr>
          <w:p w14:paraId="4DBE2490">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w:t>
            </w:r>
          </w:p>
        </w:tc>
        <w:tc>
          <w:tcPr>
            <w:tcW w:w="669" w:type="pct"/>
            <w:vAlign w:val="center"/>
          </w:tcPr>
          <w:p w14:paraId="128D7D36">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w:t>
            </w:r>
          </w:p>
        </w:tc>
        <w:tc>
          <w:tcPr>
            <w:tcW w:w="605" w:type="pct"/>
            <w:vAlign w:val="center"/>
          </w:tcPr>
          <w:p w14:paraId="59092C60">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w:t>
            </w:r>
          </w:p>
        </w:tc>
      </w:tr>
      <w:tr w14:paraId="0A512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011790FC">
            <w:pPr>
              <w:spacing w:line="240" w:lineRule="exact"/>
              <w:jc w:val="center"/>
              <w:rPr>
                <w:rFonts w:ascii="Arial" w:hAnsi="Arial" w:eastAsia="宋体" w:cs="Arial"/>
                <w:spacing w:val="10"/>
                <w:sz w:val="21"/>
                <w:szCs w:val="24"/>
              </w:rPr>
            </w:pPr>
            <w:r>
              <w:rPr>
                <w:rFonts w:ascii="Arial" w:hAnsi="Arial" w:eastAsia="宋体" w:cs="Arial"/>
                <w:spacing w:val="10"/>
                <w:sz w:val="21"/>
                <w:szCs w:val="24"/>
              </w:rPr>
              <w:t>24</w:t>
            </w:r>
          </w:p>
        </w:tc>
        <w:tc>
          <w:tcPr>
            <w:tcW w:w="1026" w:type="pct"/>
            <w:vAlign w:val="center"/>
          </w:tcPr>
          <w:p w14:paraId="0021BB30">
            <w:pPr>
              <w:spacing w:line="240" w:lineRule="exact"/>
              <w:jc w:val="center"/>
              <w:rPr>
                <w:rFonts w:ascii="Arial" w:hAnsi="Arial" w:eastAsia="宋体" w:cs="Arial"/>
                <w:spacing w:val="10"/>
                <w:sz w:val="21"/>
                <w:szCs w:val="24"/>
              </w:rPr>
            </w:pPr>
            <w:r>
              <w:rPr>
                <w:rFonts w:ascii="Arial" w:hAnsi="Arial" w:eastAsia="宋体" w:cs="Arial"/>
                <w:spacing w:val="10"/>
                <w:sz w:val="21"/>
                <w:szCs w:val="24"/>
              </w:rPr>
              <w:t>1,1,3-三氯丙烷</w:t>
            </w:r>
          </w:p>
        </w:tc>
        <w:tc>
          <w:tcPr>
            <w:tcW w:w="822" w:type="pct"/>
            <w:vAlign w:val="center"/>
          </w:tcPr>
          <w:p w14:paraId="2916D74A">
            <w:pPr>
              <w:spacing w:line="240" w:lineRule="exact"/>
              <w:jc w:val="center"/>
              <w:rPr>
                <w:rFonts w:ascii="Arial" w:hAnsi="Arial" w:eastAsia="宋体" w:cs="Arial"/>
                <w:spacing w:val="10"/>
                <w:sz w:val="21"/>
                <w:szCs w:val="24"/>
              </w:rPr>
            </w:pPr>
            <w:r>
              <w:rPr>
                <w:rFonts w:ascii="Arial" w:hAnsi="Arial" w:eastAsia="宋体" w:cs="Arial"/>
                <w:spacing w:val="10"/>
                <w:sz w:val="21"/>
                <w:szCs w:val="24"/>
              </w:rPr>
              <w:t>96-18-4</w:t>
            </w:r>
          </w:p>
        </w:tc>
        <w:tc>
          <w:tcPr>
            <w:tcW w:w="752" w:type="pct"/>
            <w:vAlign w:val="center"/>
          </w:tcPr>
          <w:p w14:paraId="6C4DEF5B">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0.05</w:t>
            </w:r>
          </w:p>
        </w:tc>
        <w:tc>
          <w:tcPr>
            <w:tcW w:w="751" w:type="pct"/>
            <w:vAlign w:val="center"/>
          </w:tcPr>
          <w:p w14:paraId="04E476B7">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0.5</w:t>
            </w:r>
          </w:p>
        </w:tc>
        <w:tc>
          <w:tcPr>
            <w:tcW w:w="669" w:type="pct"/>
            <w:vAlign w:val="center"/>
          </w:tcPr>
          <w:p w14:paraId="4BAAF94F">
            <w:pPr>
              <w:spacing w:line="240" w:lineRule="exact"/>
              <w:jc w:val="center"/>
              <w:rPr>
                <w:rFonts w:ascii="Arial" w:hAnsi="Arial" w:eastAsia="宋体" w:cs="Arial"/>
                <w:spacing w:val="10"/>
                <w:sz w:val="21"/>
                <w:szCs w:val="24"/>
              </w:rPr>
            </w:pPr>
            <w:r>
              <w:rPr>
                <w:rFonts w:ascii="Arial" w:hAnsi="Arial" w:eastAsia="宋体" w:cs="Arial"/>
                <w:spacing w:val="10"/>
                <w:sz w:val="21"/>
                <w:szCs w:val="24"/>
              </w:rPr>
              <w:t>0.5</w:t>
            </w:r>
          </w:p>
        </w:tc>
        <w:tc>
          <w:tcPr>
            <w:tcW w:w="605" w:type="pct"/>
            <w:vAlign w:val="center"/>
          </w:tcPr>
          <w:p w14:paraId="792B39B1">
            <w:pPr>
              <w:spacing w:line="240" w:lineRule="exact"/>
              <w:jc w:val="center"/>
              <w:rPr>
                <w:rFonts w:ascii="Arial" w:hAnsi="Arial" w:eastAsia="宋体" w:cs="Arial"/>
                <w:spacing w:val="10"/>
                <w:sz w:val="21"/>
                <w:szCs w:val="24"/>
              </w:rPr>
            </w:pPr>
            <w:r>
              <w:rPr>
                <w:rFonts w:ascii="Arial" w:hAnsi="Arial" w:eastAsia="宋体" w:cs="Arial"/>
                <w:spacing w:val="10"/>
                <w:sz w:val="21"/>
                <w:szCs w:val="24"/>
              </w:rPr>
              <w:t>0.5</w:t>
            </w:r>
          </w:p>
        </w:tc>
      </w:tr>
      <w:tr w14:paraId="6DED2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675F2CE3">
            <w:pPr>
              <w:spacing w:line="240" w:lineRule="exact"/>
              <w:jc w:val="center"/>
              <w:rPr>
                <w:rFonts w:ascii="Arial" w:hAnsi="Arial" w:eastAsia="宋体" w:cs="Arial"/>
                <w:spacing w:val="10"/>
                <w:sz w:val="21"/>
                <w:szCs w:val="24"/>
              </w:rPr>
            </w:pPr>
            <w:r>
              <w:rPr>
                <w:rFonts w:ascii="Arial" w:hAnsi="Arial" w:eastAsia="宋体" w:cs="Arial"/>
                <w:spacing w:val="10"/>
                <w:sz w:val="21"/>
                <w:szCs w:val="24"/>
              </w:rPr>
              <w:t>25</w:t>
            </w:r>
          </w:p>
        </w:tc>
        <w:tc>
          <w:tcPr>
            <w:tcW w:w="1026" w:type="pct"/>
            <w:vAlign w:val="center"/>
          </w:tcPr>
          <w:p w14:paraId="4949EDB6">
            <w:pPr>
              <w:spacing w:line="240" w:lineRule="exact"/>
              <w:jc w:val="center"/>
              <w:rPr>
                <w:rFonts w:ascii="Arial" w:hAnsi="Arial" w:eastAsia="宋体" w:cs="Arial"/>
                <w:spacing w:val="10"/>
                <w:sz w:val="21"/>
                <w:szCs w:val="24"/>
              </w:rPr>
            </w:pPr>
            <w:r>
              <w:rPr>
                <w:rFonts w:ascii="Arial" w:hAnsi="Arial" w:eastAsia="宋体" w:cs="Arial"/>
                <w:spacing w:val="10"/>
                <w:sz w:val="21"/>
                <w:szCs w:val="24"/>
              </w:rPr>
              <w:t>氯乙烯</w:t>
            </w:r>
          </w:p>
        </w:tc>
        <w:tc>
          <w:tcPr>
            <w:tcW w:w="822" w:type="pct"/>
            <w:vAlign w:val="center"/>
          </w:tcPr>
          <w:p w14:paraId="34313283">
            <w:pPr>
              <w:spacing w:line="240" w:lineRule="exact"/>
              <w:jc w:val="center"/>
              <w:rPr>
                <w:rFonts w:ascii="Arial" w:hAnsi="Arial" w:eastAsia="宋体" w:cs="Arial"/>
                <w:spacing w:val="10"/>
                <w:sz w:val="21"/>
                <w:szCs w:val="24"/>
              </w:rPr>
            </w:pPr>
            <w:r>
              <w:rPr>
                <w:rFonts w:ascii="Arial" w:hAnsi="Arial" w:eastAsia="宋体" w:cs="Arial"/>
                <w:spacing w:val="10"/>
                <w:sz w:val="21"/>
                <w:szCs w:val="24"/>
              </w:rPr>
              <w:t>75-01-4</w:t>
            </w:r>
          </w:p>
        </w:tc>
        <w:tc>
          <w:tcPr>
            <w:tcW w:w="752" w:type="pct"/>
            <w:vAlign w:val="center"/>
          </w:tcPr>
          <w:p w14:paraId="5E6BABCC">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0.12</w:t>
            </w:r>
          </w:p>
        </w:tc>
        <w:tc>
          <w:tcPr>
            <w:tcW w:w="751" w:type="pct"/>
            <w:vAlign w:val="center"/>
          </w:tcPr>
          <w:p w14:paraId="63AA93A3">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w:t>
            </w:r>
          </w:p>
        </w:tc>
        <w:tc>
          <w:tcPr>
            <w:tcW w:w="669" w:type="pct"/>
            <w:vAlign w:val="center"/>
          </w:tcPr>
          <w:p w14:paraId="21EECEF3">
            <w:pPr>
              <w:spacing w:line="240" w:lineRule="exact"/>
              <w:jc w:val="center"/>
              <w:rPr>
                <w:rFonts w:ascii="Arial" w:hAnsi="Arial" w:eastAsia="宋体" w:cs="Arial"/>
                <w:spacing w:val="10"/>
                <w:sz w:val="21"/>
                <w:szCs w:val="24"/>
              </w:rPr>
            </w:pPr>
            <w:r>
              <w:rPr>
                <w:rFonts w:ascii="Arial" w:hAnsi="Arial" w:eastAsia="宋体" w:cs="Arial"/>
                <w:spacing w:val="10"/>
                <w:sz w:val="21"/>
                <w:szCs w:val="24"/>
              </w:rPr>
              <w:t>0.43</w:t>
            </w:r>
          </w:p>
        </w:tc>
        <w:tc>
          <w:tcPr>
            <w:tcW w:w="605" w:type="pct"/>
            <w:vAlign w:val="center"/>
          </w:tcPr>
          <w:p w14:paraId="618607FB">
            <w:pPr>
              <w:spacing w:line="240" w:lineRule="exact"/>
              <w:jc w:val="center"/>
              <w:rPr>
                <w:rFonts w:ascii="Arial" w:hAnsi="Arial" w:eastAsia="宋体" w:cs="Arial"/>
                <w:spacing w:val="10"/>
                <w:sz w:val="21"/>
                <w:szCs w:val="24"/>
              </w:rPr>
            </w:pPr>
            <w:r>
              <w:rPr>
                <w:rFonts w:ascii="Arial" w:hAnsi="Arial" w:eastAsia="宋体" w:cs="Arial"/>
                <w:spacing w:val="10"/>
                <w:sz w:val="21"/>
                <w:szCs w:val="24"/>
              </w:rPr>
              <w:t>4.3</w:t>
            </w:r>
          </w:p>
        </w:tc>
      </w:tr>
      <w:tr w14:paraId="65325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3D391AE3">
            <w:pPr>
              <w:spacing w:line="240" w:lineRule="exact"/>
              <w:jc w:val="center"/>
              <w:rPr>
                <w:rFonts w:ascii="Arial" w:hAnsi="Arial" w:eastAsia="宋体" w:cs="Arial"/>
                <w:spacing w:val="10"/>
                <w:sz w:val="21"/>
                <w:szCs w:val="24"/>
              </w:rPr>
            </w:pPr>
            <w:r>
              <w:rPr>
                <w:rFonts w:ascii="Arial" w:hAnsi="Arial" w:eastAsia="宋体" w:cs="Arial"/>
                <w:spacing w:val="10"/>
                <w:sz w:val="21"/>
                <w:szCs w:val="24"/>
              </w:rPr>
              <w:t>26</w:t>
            </w:r>
          </w:p>
        </w:tc>
        <w:tc>
          <w:tcPr>
            <w:tcW w:w="1026" w:type="pct"/>
            <w:vAlign w:val="center"/>
          </w:tcPr>
          <w:p w14:paraId="52C95D31">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w:t>
            </w:r>
          </w:p>
        </w:tc>
        <w:tc>
          <w:tcPr>
            <w:tcW w:w="822" w:type="pct"/>
            <w:vAlign w:val="center"/>
          </w:tcPr>
          <w:p w14:paraId="1208FBC4">
            <w:pPr>
              <w:spacing w:line="240" w:lineRule="exact"/>
              <w:jc w:val="center"/>
              <w:rPr>
                <w:rFonts w:ascii="Arial" w:hAnsi="Arial" w:eastAsia="宋体" w:cs="Arial"/>
                <w:spacing w:val="10"/>
                <w:sz w:val="21"/>
                <w:szCs w:val="24"/>
              </w:rPr>
            </w:pPr>
            <w:r>
              <w:rPr>
                <w:rFonts w:ascii="Arial" w:hAnsi="Arial" w:eastAsia="宋体" w:cs="Arial"/>
                <w:spacing w:val="10"/>
                <w:sz w:val="21"/>
                <w:szCs w:val="24"/>
              </w:rPr>
              <w:t>71-43-2</w:t>
            </w:r>
          </w:p>
        </w:tc>
        <w:tc>
          <w:tcPr>
            <w:tcW w:w="752" w:type="pct"/>
            <w:vAlign w:val="center"/>
          </w:tcPr>
          <w:p w14:paraId="7DAF554E">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w:t>
            </w:r>
          </w:p>
        </w:tc>
        <w:tc>
          <w:tcPr>
            <w:tcW w:w="751" w:type="pct"/>
            <w:vAlign w:val="center"/>
          </w:tcPr>
          <w:p w14:paraId="4A68A000">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10</w:t>
            </w:r>
          </w:p>
        </w:tc>
        <w:tc>
          <w:tcPr>
            <w:tcW w:w="669" w:type="pct"/>
            <w:vAlign w:val="center"/>
          </w:tcPr>
          <w:p w14:paraId="2ACEF3D9">
            <w:pPr>
              <w:spacing w:line="240" w:lineRule="exact"/>
              <w:jc w:val="center"/>
              <w:rPr>
                <w:rFonts w:ascii="Arial" w:hAnsi="Arial" w:eastAsia="宋体" w:cs="Arial"/>
                <w:spacing w:val="10"/>
                <w:sz w:val="21"/>
                <w:szCs w:val="24"/>
              </w:rPr>
            </w:pPr>
            <w:r>
              <w:rPr>
                <w:rFonts w:ascii="Arial" w:hAnsi="Arial" w:eastAsia="宋体" w:cs="Arial"/>
                <w:spacing w:val="10"/>
                <w:sz w:val="21"/>
                <w:szCs w:val="24"/>
              </w:rPr>
              <w:t>4</w:t>
            </w:r>
          </w:p>
        </w:tc>
        <w:tc>
          <w:tcPr>
            <w:tcW w:w="605" w:type="pct"/>
            <w:vAlign w:val="center"/>
          </w:tcPr>
          <w:p w14:paraId="606D891F">
            <w:pPr>
              <w:spacing w:line="240" w:lineRule="exact"/>
              <w:jc w:val="center"/>
              <w:rPr>
                <w:rFonts w:ascii="Arial" w:hAnsi="Arial" w:eastAsia="宋体" w:cs="Arial"/>
                <w:spacing w:val="10"/>
                <w:sz w:val="21"/>
                <w:szCs w:val="24"/>
              </w:rPr>
            </w:pPr>
            <w:r>
              <w:rPr>
                <w:rFonts w:ascii="Arial" w:hAnsi="Arial" w:eastAsia="宋体" w:cs="Arial"/>
                <w:spacing w:val="10"/>
                <w:sz w:val="21"/>
                <w:szCs w:val="24"/>
              </w:rPr>
              <w:t>40</w:t>
            </w:r>
          </w:p>
        </w:tc>
      </w:tr>
      <w:tr w14:paraId="2B4B0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57C40494">
            <w:pPr>
              <w:spacing w:line="240" w:lineRule="exact"/>
              <w:jc w:val="center"/>
              <w:rPr>
                <w:rFonts w:ascii="Arial" w:hAnsi="Arial" w:eastAsia="宋体" w:cs="Arial"/>
                <w:spacing w:val="10"/>
                <w:sz w:val="21"/>
                <w:szCs w:val="24"/>
              </w:rPr>
            </w:pPr>
            <w:r>
              <w:rPr>
                <w:rFonts w:ascii="Arial" w:hAnsi="Arial" w:eastAsia="宋体" w:cs="Arial"/>
                <w:spacing w:val="10"/>
                <w:sz w:val="21"/>
                <w:szCs w:val="24"/>
              </w:rPr>
              <w:t>27</w:t>
            </w:r>
          </w:p>
        </w:tc>
        <w:tc>
          <w:tcPr>
            <w:tcW w:w="1026" w:type="pct"/>
            <w:vAlign w:val="center"/>
          </w:tcPr>
          <w:p w14:paraId="15F07AB5">
            <w:pPr>
              <w:spacing w:line="240" w:lineRule="exact"/>
              <w:jc w:val="center"/>
              <w:rPr>
                <w:rFonts w:ascii="Arial" w:hAnsi="Arial" w:eastAsia="宋体" w:cs="Arial"/>
                <w:spacing w:val="10"/>
                <w:sz w:val="21"/>
                <w:szCs w:val="24"/>
              </w:rPr>
            </w:pPr>
            <w:r>
              <w:rPr>
                <w:rFonts w:ascii="Arial" w:hAnsi="Arial" w:eastAsia="宋体" w:cs="Arial"/>
                <w:spacing w:val="10"/>
                <w:sz w:val="21"/>
                <w:szCs w:val="24"/>
              </w:rPr>
              <w:t>氯苯</w:t>
            </w:r>
          </w:p>
        </w:tc>
        <w:tc>
          <w:tcPr>
            <w:tcW w:w="822" w:type="pct"/>
            <w:vAlign w:val="center"/>
          </w:tcPr>
          <w:p w14:paraId="45A03C88">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108-90-7</w:t>
            </w:r>
          </w:p>
        </w:tc>
        <w:tc>
          <w:tcPr>
            <w:tcW w:w="752" w:type="pct"/>
            <w:vAlign w:val="center"/>
          </w:tcPr>
          <w:p w14:paraId="2F3F11E3">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68</w:t>
            </w:r>
          </w:p>
        </w:tc>
        <w:tc>
          <w:tcPr>
            <w:tcW w:w="751" w:type="pct"/>
            <w:vAlign w:val="center"/>
          </w:tcPr>
          <w:p w14:paraId="219DFB32">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200</w:t>
            </w:r>
          </w:p>
        </w:tc>
        <w:tc>
          <w:tcPr>
            <w:tcW w:w="669" w:type="pct"/>
            <w:vAlign w:val="center"/>
          </w:tcPr>
          <w:p w14:paraId="44BA7CD0">
            <w:pPr>
              <w:spacing w:line="240" w:lineRule="exact"/>
              <w:jc w:val="center"/>
              <w:rPr>
                <w:rFonts w:ascii="Arial" w:hAnsi="Arial" w:eastAsia="宋体" w:cs="Arial"/>
                <w:spacing w:val="10"/>
                <w:sz w:val="21"/>
                <w:szCs w:val="24"/>
              </w:rPr>
            </w:pPr>
            <w:r>
              <w:rPr>
                <w:rFonts w:ascii="Arial" w:hAnsi="Arial" w:eastAsia="宋体" w:cs="Arial"/>
                <w:spacing w:val="10"/>
                <w:sz w:val="21"/>
                <w:szCs w:val="24"/>
              </w:rPr>
              <w:t>270</w:t>
            </w:r>
          </w:p>
        </w:tc>
        <w:tc>
          <w:tcPr>
            <w:tcW w:w="605" w:type="pct"/>
            <w:vAlign w:val="center"/>
          </w:tcPr>
          <w:p w14:paraId="415314A0">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1000</w:t>
            </w:r>
          </w:p>
        </w:tc>
      </w:tr>
      <w:tr w14:paraId="5E480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78930B0A">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w:t>
            </w:r>
          </w:p>
        </w:tc>
        <w:tc>
          <w:tcPr>
            <w:tcW w:w="1026" w:type="pct"/>
            <w:vAlign w:val="center"/>
          </w:tcPr>
          <w:p w14:paraId="3C1B8355">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1,2-二氯苯</w:t>
            </w:r>
          </w:p>
        </w:tc>
        <w:tc>
          <w:tcPr>
            <w:tcW w:w="822" w:type="pct"/>
            <w:vAlign w:val="center"/>
          </w:tcPr>
          <w:p w14:paraId="068A21BC">
            <w:pPr>
              <w:spacing w:line="240" w:lineRule="exact"/>
              <w:jc w:val="center"/>
              <w:rPr>
                <w:rFonts w:ascii="Arial" w:hAnsi="Arial" w:eastAsia="宋体" w:cs="Arial"/>
                <w:spacing w:val="10"/>
                <w:sz w:val="21"/>
                <w:szCs w:val="24"/>
              </w:rPr>
            </w:pPr>
            <w:r>
              <w:rPr>
                <w:rFonts w:ascii="Arial" w:hAnsi="Arial" w:eastAsia="宋体" w:cs="Arial"/>
                <w:spacing w:val="10"/>
                <w:sz w:val="21"/>
                <w:szCs w:val="24"/>
              </w:rPr>
              <w:t>95-501</w:t>
            </w:r>
          </w:p>
        </w:tc>
        <w:tc>
          <w:tcPr>
            <w:tcW w:w="752" w:type="pct"/>
            <w:vAlign w:val="center"/>
          </w:tcPr>
          <w:p w14:paraId="7C3CD234">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560</w:t>
            </w:r>
          </w:p>
        </w:tc>
        <w:tc>
          <w:tcPr>
            <w:tcW w:w="751" w:type="pct"/>
            <w:vAlign w:val="center"/>
          </w:tcPr>
          <w:p w14:paraId="44591BD6">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560</w:t>
            </w:r>
          </w:p>
        </w:tc>
        <w:tc>
          <w:tcPr>
            <w:tcW w:w="669" w:type="pct"/>
            <w:vAlign w:val="center"/>
          </w:tcPr>
          <w:p w14:paraId="298DBFD4">
            <w:pPr>
              <w:spacing w:line="240" w:lineRule="exact"/>
              <w:jc w:val="center"/>
              <w:rPr>
                <w:rFonts w:ascii="Arial" w:hAnsi="Arial" w:eastAsia="宋体" w:cs="Arial"/>
                <w:spacing w:val="10"/>
                <w:sz w:val="21"/>
                <w:szCs w:val="24"/>
              </w:rPr>
            </w:pPr>
            <w:r>
              <w:rPr>
                <w:rFonts w:ascii="Arial" w:hAnsi="Arial" w:eastAsia="宋体" w:cs="Arial"/>
                <w:spacing w:val="10"/>
                <w:sz w:val="21"/>
                <w:szCs w:val="24"/>
              </w:rPr>
              <w:t>560</w:t>
            </w:r>
          </w:p>
        </w:tc>
        <w:tc>
          <w:tcPr>
            <w:tcW w:w="605" w:type="pct"/>
            <w:vAlign w:val="center"/>
          </w:tcPr>
          <w:p w14:paraId="3E04EEC0">
            <w:pPr>
              <w:spacing w:line="240" w:lineRule="exact"/>
              <w:jc w:val="center"/>
              <w:rPr>
                <w:rFonts w:ascii="Arial" w:hAnsi="Arial" w:eastAsia="宋体" w:cs="Arial"/>
                <w:spacing w:val="10"/>
                <w:sz w:val="21"/>
                <w:szCs w:val="24"/>
              </w:rPr>
            </w:pPr>
            <w:r>
              <w:rPr>
                <w:rFonts w:ascii="Arial" w:hAnsi="Arial" w:eastAsia="宋体" w:cs="Arial"/>
                <w:spacing w:val="10"/>
                <w:sz w:val="21"/>
                <w:szCs w:val="24"/>
              </w:rPr>
              <w:t>560</w:t>
            </w:r>
          </w:p>
        </w:tc>
      </w:tr>
      <w:tr w14:paraId="73629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0B6336B5">
            <w:pPr>
              <w:spacing w:line="240" w:lineRule="exact"/>
              <w:jc w:val="center"/>
              <w:rPr>
                <w:rFonts w:ascii="Arial" w:hAnsi="Arial" w:eastAsia="宋体" w:cs="Arial"/>
                <w:spacing w:val="10"/>
                <w:sz w:val="21"/>
                <w:szCs w:val="24"/>
              </w:rPr>
            </w:pPr>
            <w:r>
              <w:rPr>
                <w:rFonts w:ascii="Arial" w:hAnsi="Arial" w:eastAsia="宋体" w:cs="Arial"/>
                <w:spacing w:val="10"/>
                <w:sz w:val="21"/>
                <w:szCs w:val="24"/>
              </w:rPr>
              <w:t>29</w:t>
            </w:r>
          </w:p>
        </w:tc>
        <w:tc>
          <w:tcPr>
            <w:tcW w:w="1026" w:type="pct"/>
            <w:vAlign w:val="center"/>
          </w:tcPr>
          <w:p w14:paraId="7836792B">
            <w:pPr>
              <w:spacing w:line="240" w:lineRule="exact"/>
              <w:jc w:val="center"/>
              <w:rPr>
                <w:rFonts w:ascii="Arial" w:hAnsi="Arial" w:eastAsia="宋体" w:cs="Arial"/>
                <w:spacing w:val="10"/>
                <w:sz w:val="21"/>
                <w:szCs w:val="24"/>
              </w:rPr>
            </w:pPr>
            <w:r>
              <w:rPr>
                <w:rFonts w:ascii="Arial" w:hAnsi="Arial" w:eastAsia="宋体" w:cs="Arial"/>
                <w:spacing w:val="10"/>
                <w:sz w:val="21"/>
                <w:szCs w:val="24"/>
              </w:rPr>
              <w:t>1,4-二氯苯</w:t>
            </w:r>
          </w:p>
        </w:tc>
        <w:tc>
          <w:tcPr>
            <w:tcW w:w="822" w:type="pct"/>
            <w:vAlign w:val="center"/>
          </w:tcPr>
          <w:p w14:paraId="5CD36865">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106-46-7</w:t>
            </w:r>
          </w:p>
        </w:tc>
        <w:tc>
          <w:tcPr>
            <w:tcW w:w="752" w:type="pct"/>
            <w:vAlign w:val="center"/>
          </w:tcPr>
          <w:p w14:paraId="3558DB9C">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5.6</w:t>
            </w:r>
          </w:p>
        </w:tc>
        <w:tc>
          <w:tcPr>
            <w:tcW w:w="751" w:type="pct"/>
            <w:vAlign w:val="center"/>
          </w:tcPr>
          <w:p w14:paraId="2CEDBF3F">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56</w:t>
            </w:r>
          </w:p>
        </w:tc>
        <w:tc>
          <w:tcPr>
            <w:tcW w:w="669" w:type="pct"/>
            <w:vAlign w:val="center"/>
          </w:tcPr>
          <w:p w14:paraId="37CEA9FB">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w:t>
            </w:r>
          </w:p>
        </w:tc>
        <w:tc>
          <w:tcPr>
            <w:tcW w:w="605" w:type="pct"/>
            <w:vAlign w:val="center"/>
          </w:tcPr>
          <w:p w14:paraId="0E5BD0B6">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w:t>
            </w:r>
          </w:p>
        </w:tc>
      </w:tr>
      <w:tr w14:paraId="5D2E8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28564619">
            <w:pPr>
              <w:spacing w:line="240" w:lineRule="exact"/>
              <w:jc w:val="center"/>
              <w:rPr>
                <w:rFonts w:ascii="Arial" w:hAnsi="Arial" w:eastAsia="宋体" w:cs="Arial"/>
                <w:spacing w:val="10"/>
                <w:sz w:val="21"/>
                <w:szCs w:val="24"/>
              </w:rPr>
            </w:pPr>
            <w:r>
              <w:rPr>
                <w:rFonts w:ascii="Arial" w:hAnsi="Arial" w:eastAsia="宋体" w:cs="Arial"/>
                <w:spacing w:val="10"/>
                <w:sz w:val="21"/>
                <w:szCs w:val="24"/>
              </w:rPr>
              <w:t>30</w:t>
            </w:r>
          </w:p>
        </w:tc>
        <w:tc>
          <w:tcPr>
            <w:tcW w:w="1026" w:type="pct"/>
            <w:vAlign w:val="center"/>
          </w:tcPr>
          <w:p w14:paraId="10CBE941">
            <w:pPr>
              <w:spacing w:line="240" w:lineRule="exact"/>
              <w:jc w:val="center"/>
              <w:rPr>
                <w:rFonts w:ascii="Arial" w:hAnsi="Arial" w:eastAsia="宋体" w:cs="Arial"/>
                <w:spacing w:val="10"/>
                <w:sz w:val="21"/>
                <w:szCs w:val="24"/>
              </w:rPr>
            </w:pPr>
            <w:r>
              <w:rPr>
                <w:rFonts w:ascii="Arial" w:hAnsi="Arial" w:eastAsia="宋体" w:cs="Arial"/>
                <w:spacing w:val="10"/>
                <w:sz w:val="21"/>
                <w:szCs w:val="24"/>
              </w:rPr>
              <w:t>乙苯</w:t>
            </w:r>
          </w:p>
        </w:tc>
        <w:tc>
          <w:tcPr>
            <w:tcW w:w="822" w:type="pct"/>
            <w:vAlign w:val="center"/>
          </w:tcPr>
          <w:p w14:paraId="79C0109E">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100-41-4</w:t>
            </w:r>
          </w:p>
        </w:tc>
        <w:tc>
          <w:tcPr>
            <w:tcW w:w="752" w:type="pct"/>
            <w:vAlign w:val="center"/>
          </w:tcPr>
          <w:p w14:paraId="584A6B78">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7.2</w:t>
            </w:r>
          </w:p>
        </w:tc>
        <w:tc>
          <w:tcPr>
            <w:tcW w:w="751" w:type="pct"/>
            <w:vAlign w:val="center"/>
          </w:tcPr>
          <w:p w14:paraId="3A09ADFD">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72</w:t>
            </w:r>
          </w:p>
        </w:tc>
        <w:tc>
          <w:tcPr>
            <w:tcW w:w="669" w:type="pct"/>
            <w:vAlign w:val="center"/>
          </w:tcPr>
          <w:p w14:paraId="2064A31F">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w:t>
            </w:r>
          </w:p>
        </w:tc>
        <w:tc>
          <w:tcPr>
            <w:tcW w:w="605" w:type="pct"/>
            <w:vAlign w:val="center"/>
          </w:tcPr>
          <w:p w14:paraId="4FD2986E">
            <w:pPr>
              <w:spacing w:line="240" w:lineRule="exact"/>
              <w:jc w:val="center"/>
              <w:rPr>
                <w:rFonts w:ascii="Arial" w:hAnsi="Arial" w:eastAsia="宋体" w:cs="Arial"/>
                <w:spacing w:val="10"/>
                <w:sz w:val="21"/>
                <w:szCs w:val="24"/>
              </w:rPr>
            </w:pPr>
            <w:r>
              <w:rPr>
                <w:rFonts w:ascii="Arial" w:hAnsi="Arial" w:eastAsia="宋体" w:cs="Arial"/>
                <w:spacing w:val="10"/>
                <w:sz w:val="21"/>
                <w:szCs w:val="24"/>
              </w:rPr>
              <w:t>280</w:t>
            </w:r>
          </w:p>
        </w:tc>
      </w:tr>
      <w:tr w14:paraId="7CBE6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5D30EC95">
            <w:pPr>
              <w:spacing w:line="240" w:lineRule="exact"/>
              <w:jc w:val="center"/>
              <w:rPr>
                <w:rFonts w:ascii="Arial" w:hAnsi="Arial" w:eastAsia="宋体" w:cs="Arial"/>
                <w:spacing w:val="10"/>
                <w:sz w:val="21"/>
                <w:szCs w:val="24"/>
              </w:rPr>
            </w:pPr>
            <w:r>
              <w:rPr>
                <w:rFonts w:ascii="Arial" w:hAnsi="Arial" w:eastAsia="宋体" w:cs="Arial"/>
                <w:spacing w:val="10"/>
                <w:sz w:val="21"/>
                <w:szCs w:val="24"/>
              </w:rPr>
              <w:t>31</w:t>
            </w:r>
          </w:p>
        </w:tc>
        <w:tc>
          <w:tcPr>
            <w:tcW w:w="1026" w:type="pct"/>
            <w:vAlign w:val="center"/>
          </w:tcPr>
          <w:p w14:paraId="38F109D0">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苯乙烯</w:t>
            </w:r>
          </w:p>
        </w:tc>
        <w:tc>
          <w:tcPr>
            <w:tcW w:w="822" w:type="pct"/>
            <w:vAlign w:val="center"/>
          </w:tcPr>
          <w:p w14:paraId="121249CE">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100-42-5</w:t>
            </w:r>
          </w:p>
        </w:tc>
        <w:tc>
          <w:tcPr>
            <w:tcW w:w="752" w:type="pct"/>
            <w:vAlign w:val="center"/>
          </w:tcPr>
          <w:p w14:paraId="62A6241F">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1290</w:t>
            </w:r>
          </w:p>
        </w:tc>
        <w:tc>
          <w:tcPr>
            <w:tcW w:w="751" w:type="pct"/>
            <w:vAlign w:val="center"/>
          </w:tcPr>
          <w:p w14:paraId="1AC4B39F">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1290</w:t>
            </w:r>
          </w:p>
        </w:tc>
        <w:tc>
          <w:tcPr>
            <w:tcW w:w="669" w:type="pct"/>
            <w:vAlign w:val="center"/>
          </w:tcPr>
          <w:p w14:paraId="072BA5FE">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1290</w:t>
            </w:r>
          </w:p>
        </w:tc>
        <w:tc>
          <w:tcPr>
            <w:tcW w:w="605" w:type="pct"/>
            <w:vAlign w:val="center"/>
          </w:tcPr>
          <w:p w14:paraId="308BC2D6">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1290</w:t>
            </w:r>
          </w:p>
        </w:tc>
      </w:tr>
      <w:tr w14:paraId="3A667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2EECFB12">
            <w:pPr>
              <w:spacing w:line="240" w:lineRule="exact"/>
              <w:jc w:val="center"/>
              <w:rPr>
                <w:rFonts w:ascii="Arial" w:hAnsi="Arial" w:eastAsia="宋体" w:cs="Arial"/>
                <w:spacing w:val="10"/>
                <w:sz w:val="21"/>
                <w:szCs w:val="24"/>
              </w:rPr>
            </w:pPr>
            <w:r>
              <w:rPr>
                <w:rFonts w:ascii="Arial" w:hAnsi="Arial" w:eastAsia="宋体" w:cs="Arial"/>
                <w:spacing w:val="10"/>
                <w:sz w:val="21"/>
                <w:szCs w:val="24"/>
              </w:rPr>
              <w:t>32</w:t>
            </w:r>
          </w:p>
        </w:tc>
        <w:tc>
          <w:tcPr>
            <w:tcW w:w="1026" w:type="pct"/>
            <w:vAlign w:val="center"/>
          </w:tcPr>
          <w:p w14:paraId="5468A98B">
            <w:pPr>
              <w:spacing w:line="240" w:lineRule="exact"/>
              <w:jc w:val="center"/>
              <w:rPr>
                <w:rFonts w:ascii="Arial" w:hAnsi="Arial" w:eastAsia="宋体" w:cs="Arial"/>
                <w:spacing w:val="10"/>
                <w:sz w:val="21"/>
                <w:szCs w:val="24"/>
              </w:rPr>
            </w:pPr>
            <w:r>
              <w:rPr>
                <w:rFonts w:ascii="Arial" w:hAnsi="Arial" w:eastAsia="宋体" w:cs="Arial"/>
                <w:spacing w:val="10"/>
                <w:sz w:val="21"/>
                <w:szCs w:val="24"/>
              </w:rPr>
              <w:t>甲苯</w:t>
            </w:r>
          </w:p>
        </w:tc>
        <w:tc>
          <w:tcPr>
            <w:tcW w:w="822" w:type="pct"/>
            <w:vAlign w:val="center"/>
          </w:tcPr>
          <w:p w14:paraId="4E3D28B0">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108-88-3</w:t>
            </w:r>
          </w:p>
        </w:tc>
        <w:tc>
          <w:tcPr>
            <w:tcW w:w="752" w:type="pct"/>
            <w:vAlign w:val="center"/>
          </w:tcPr>
          <w:p w14:paraId="1B4ED70F">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1200</w:t>
            </w:r>
          </w:p>
        </w:tc>
        <w:tc>
          <w:tcPr>
            <w:tcW w:w="751" w:type="pct"/>
            <w:vAlign w:val="center"/>
          </w:tcPr>
          <w:p w14:paraId="3A9D1C3D">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1200</w:t>
            </w:r>
          </w:p>
        </w:tc>
        <w:tc>
          <w:tcPr>
            <w:tcW w:w="669" w:type="pct"/>
            <w:vAlign w:val="center"/>
          </w:tcPr>
          <w:p w14:paraId="38511612">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1200</w:t>
            </w:r>
          </w:p>
        </w:tc>
        <w:tc>
          <w:tcPr>
            <w:tcW w:w="605" w:type="pct"/>
            <w:vAlign w:val="center"/>
          </w:tcPr>
          <w:p w14:paraId="19C87613">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1200</w:t>
            </w:r>
          </w:p>
        </w:tc>
      </w:tr>
      <w:tr w14:paraId="531BB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0947B7AB">
            <w:pPr>
              <w:spacing w:line="240" w:lineRule="exact"/>
              <w:jc w:val="center"/>
              <w:rPr>
                <w:rFonts w:ascii="Arial" w:hAnsi="Arial" w:eastAsia="宋体" w:cs="Arial"/>
                <w:spacing w:val="10"/>
                <w:sz w:val="21"/>
                <w:szCs w:val="24"/>
              </w:rPr>
            </w:pPr>
            <w:r>
              <w:rPr>
                <w:rFonts w:ascii="Arial" w:hAnsi="Arial" w:eastAsia="宋体" w:cs="Arial"/>
                <w:spacing w:val="10"/>
                <w:sz w:val="21"/>
                <w:szCs w:val="24"/>
              </w:rPr>
              <w:t>33</w:t>
            </w:r>
          </w:p>
        </w:tc>
        <w:tc>
          <w:tcPr>
            <w:tcW w:w="1026" w:type="pct"/>
            <w:vAlign w:val="center"/>
          </w:tcPr>
          <w:p w14:paraId="1F5DD08C">
            <w:pPr>
              <w:spacing w:line="240" w:lineRule="exact"/>
              <w:jc w:val="center"/>
              <w:rPr>
                <w:rFonts w:ascii="Arial" w:hAnsi="Arial" w:eastAsia="宋体" w:cs="Arial"/>
                <w:spacing w:val="10"/>
                <w:sz w:val="21"/>
                <w:szCs w:val="24"/>
              </w:rPr>
            </w:pPr>
            <w:r>
              <w:rPr>
                <w:rFonts w:ascii="Arial" w:hAnsi="Arial" w:eastAsia="宋体" w:cs="Arial"/>
                <w:spacing w:val="10"/>
                <w:sz w:val="21"/>
                <w:szCs w:val="24"/>
              </w:rPr>
              <w:t>间二甲苯+对二甲苯</w:t>
            </w:r>
          </w:p>
        </w:tc>
        <w:tc>
          <w:tcPr>
            <w:tcW w:w="822" w:type="pct"/>
            <w:vAlign w:val="center"/>
          </w:tcPr>
          <w:p w14:paraId="6D1651E4">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108-38-3，</w:t>
            </w:r>
          </w:p>
          <w:p w14:paraId="0C50792A">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106-42-3</w:t>
            </w:r>
          </w:p>
        </w:tc>
        <w:tc>
          <w:tcPr>
            <w:tcW w:w="752" w:type="pct"/>
            <w:vAlign w:val="center"/>
          </w:tcPr>
          <w:p w14:paraId="0644F1F0">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163</w:t>
            </w:r>
          </w:p>
        </w:tc>
        <w:tc>
          <w:tcPr>
            <w:tcW w:w="751" w:type="pct"/>
            <w:vAlign w:val="center"/>
          </w:tcPr>
          <w:p w14:paraId="1E024813">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500</w:t>
            </w:r>
          </w:p>
        </w:tc>
        <w:tc>
          <w:tcPr>
            <w:tcW w:w="669" w:type="pct"/>
            <w:vAlign w:val="center"/>
          </w:tcPr>
          <w:p w14:paraId="5893CA1B">
            <w:pPr>
              <w:spacing w:line="240" w:lineRule="exact"/>
              <w:jc w:val="center"/>
              <w:rPr>
                <w:rFonts w:ascii="Arial" w:hAnsi="Arial" w:eastAsia="宋体" w:cs="Arial"/>
                <w:spacing w:val="10"/>
                <w:sz w:val="21"/>
                <w:szCs w:val="24"/>
              </w:rPr>
            </w:pPr>
            <w:r>
              <w:rPr>
                <w:rFonts w:ascii="Arial" w:hAnsi="Arial" w:eastAsia="宋体" w:cs="Arial"/>
                <w:spacing w:val="10"/>
                <w:sz w:val="21"/>
                <w:szCs w:val="24"/>
              </w:rPr>
              <w:t>570</w:t>
            </w:r>
          </w:p>
        </w:tc>
        <w:tc>
          <w:tcPr>
            <w:tcW w:w="605" w:type="pct"/>
            <w:vAlign w:val="center"/>
          </w:tcPr>
          <w:p w14:paraId="38BD5968">
            <w:pPr>
              <w:spacing w:line="240" w:lineRule="exact"/>
              <w:jc w:val="center"/>
              <w:rPr>
                <w:rFonts w:ascii="Arial" w:hAnsi="Arial" w:eastAsia="宋体" w:cs="Arial"/>
                <w:spacing w:val="10"/>
                <w:sz w:val="21"/>
                <w:szCs w:val="24"/>
              </w:rPr>
            </w:pPr>
            <w:r>
              <w:rPr>
                <w:rFonts w:ascii="Arial" w:hAnsi="Arial" w:eastAsia="宋体" w:cs="Arial"/>
                <w:spacing w:val="10"/>
                <w:sz w:val="21"/>
                <w:szCs w:val="24"/>
              </w:rPr>
              <w:t>570</w:t>
            </w:r>
          </w:p>
        </w:tc>
      </w:tr>
      <w:tr w14:paraId="3E360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6A61644B">
            <w:pPr>
              <w:spacing w:line="240" w:lineRule="exact"/>
              <w:jc w:val="center"/>
              <w:rPr>
                <w:rFonts w:ascii="Arial" w:hAnsi="Arial" w:eastAsia="宋体" w:cs="Arial"/>
                <w:spacing w:val="10"/>
                <w:sz w:val="21"/>
                <w:szCs w:val="24"/>
              </w:rPr>
            </w:pPr>
            <w:r>
              <w:rPr>
                <w:rFonts w:ascii="Arial" w:hAnsi="Arial" w:eastAsia="宋体" w:cs="Arial"/>
                <w:spacing w:val="10"/>
                <w:sz w:val="21"/>
                <w:szCs w:val="24"/>
              </w:rPr>
              <w:t>34</w:t>
            </w:r>
          </w:p>
        </w:tc>
        <w:tc>
          <w:tcPr>
            <w:tcW w:w="1026" w:type="pct"/>
            <w:vAlign w:val="center"/>
          </w:tcPr>
          <w:p w14:paraId="355191E6">
            <w:pPr>
              <w:spacing w:line="240" w:lineRule="exact"/>
              <w:jc w:val="center"/>
              <w:rPr>
                <w:rFonts w:ascii="Arial" w:hAnsi="Arial" w:eastAsia="宋体" w:cs="Arial"/>
                <w:spacing w:val="10"/>
                <w:sz w:val="21"/>
                <w:szCs w:val="24"/>
              </w:rPr>
            </w:pPr>
            <w:r>
              <w:rPr>
                <w:rFonts w:ascii="Arial" w:hAnsi="Arial" w:eastAsia="宋体" w:cs="Arial"/>
                <w:spacing w:val="10"/>
                <w:sz w:val="21"/>
                <w:szCs w:val="24"/>
              </w:rPr>
              <w:t>邻二甲苯</w:t>
            </w:r>
          </w:p>
        </w:tc>
        <w:tc>
          <w:tcPr>
            <w:tcW w:w="822" w:type="pct"/>
            <w:vAlign w:val="center"/>
          </w:tcPr>
          <w:p w14:paraId="1556F9AD">
            <w:pPr>
              <w:spacing w:line="240" w:lineRule="exact"/>
              <w:jc w:val="center"/>
              <w:rPr>
                <w:rFonts w:ascii="Arial" w:hAnsi="Arial" w:eastAsia="宋体" w:cs="Arial"/>
                <w:spacing w:val="10"/>
                <w:sz w:val="21"/>
                <w:szCs w:val="24"/>
              </w:rPr>
            </w:pPr>
            <w:r>
              <w:rPr>
                <w:rFonts w:ascii="Arial" w:hAnsi="Arial" w:eastAsia="宋体" w:cs="Arial"/>
                <w:spacing w:val="10"/>
                <w:sz w:val="21"/>
                <w:szCs w:val="24"/>
              </w:rPr>
              <w:t>95-47-6</w:t>
            </w:r>
          </w:p>
        </w:tc>
        <w:tc>
          <w:tcPr>
            <w:tcW w:w="752" w:type="pct"/>
            <w:vAlign w:val="center"/>
          </w:tcPr>
          <w:p w14:paraId="44B52283">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222</w:t>
            </w:r>
          </w:p>
        </w:tc>
        <w:tc>
          <w:tcPr>
            <w:tcW w:w="751" w:type="pct"/>
            <w:vAlign w:val="center"/>
          </w:tcPr>
          <w:p w14:paraId="73F9CC0F">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640</w:t>
            </w:r>
          </w:p>
        </w:tc>
        <w:tc>
          <w:tcPr>
            <w:tcW w:w="669" w:type="pct"/>
            <w:vAlign w:val="center"/>
          </w:tcPr>
          <w:p w14:paraId="51165ECC">
            <w:pPr>
              <w:spacing w:line="240" w:lineRule="exact"/>
              <w:jc w:val="center"/>
              <w:rPr>
                <w:rFonts w:ascii="Arial" w:hAnsi="Arial" w:eastAsia="宋体" w:cs="Arial"/>
                <w:spacing w:val="10"/>
                <w:sz w:val="21"/>
                <w:szCs w:val="24"/>
              </w:rPr>
            </w:pPr>
            <w:r>
              <w:rPr>
                <w:rFonts w:ascii="Arial" w:hAnsi="Arial" w:eastAsia="宋体" w:cs="Arial"/>
                <w:spacing w:val="10"/>
                <w:sz w:val="21"/>
                <w:szCs w:val="24"/>
              </w:rPr>
              <w:t>640</w:t>
            </w:r>
          </w:p>
        </w:tc>
        <w:tc>
          <w:tcPr>
            <w:tcW w:w="605" w:type="pct"/>
            <w:vAlign w:val="center"/>
          </w:tcPr>
          <w:p w14:paraId="623FA1FB">
            <w:pPr>
              <w:spacing w:line="240" w:lineRule="exact"/>
              <w:jc w:val="center"/>
              <w:rPr>
                <w:rFonts w:ascii="Arial" w:hAnsi="Arial" w:eastAsia="宋体" w:cs="Arial"/>
                <w:spacing w:val="10"/>
                <w:sz w:val="21"/>
                <w:szCs w:val="24"/>
              </w:rPr>
            </w:pPr>
            <w:r>
              <w:rPr>
                <w:rFonts w:ascii="Arial" w:hAnsi="Arial" w:eastAsia="宋体" w:cs="Arial"/>
                <w:spacing w:val="10"/>
                <w:sz w:val="21"/>
                <w:szCs w:val="24"/>
              </w:rPr>
              <w:t>640</w:t>
            </w:r>
          </w:p>
        </w:tc>
      </w:tr>
      <w:tr w14:paraId="24853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3AA81045">
            <w:pPr>
              <w:spacing w:line="240" w:lineRule="exact"/>
              <w:jc w:val="center"/>
              <w:rPr>
                <w:rFonts w:ascii="Arial" w:hAnsi="Arial" w:eastAsia="宋体" w:cs="Arial"/>
                <w:spacing w:val="10"/>
                <w:sz w:val="21"/>
                <w:szCs w:val="24"/>
              </w:rPr>
            </w:pPr>
            <w:r>
              <w:rPr>
                <w:rFonts w:ascii="Arial" w:hAnsi="Arial" w:eastAsia="宋体" w:cs="Arial"/>
                <w:spacing w:val="10"/>
                <w:sz w:val="21"/>
                <w:szCs w:val="24"/>
              </w:rPr>
              <w:t>35</w:t>
            </w:r>
          </w:p>
        </w:tc>
        <w:tc>
          <w:tcPr>
            <w:tcW w:w="1026" w:type="pct"/>
            <w:vAlign w:val="center"/>
          </w:tcPr>
          <w:p w14:paraId="5C84F8BD">
            <w:pPr>
              <w:spacing w:line="240" w:lineRule="exact"/>
              <w:jc w:val="center"/>
              <w:rPr>
                <w:rFonts w:ascii="Arial" w:hAnsi="Arial" w:eastAsia="宋体" w:cs="Arial"/>
                <w:spacing w:val="10"/>
                <w:sz w:val="21"/>
                <w:szCs w:val="24"/>
              </w:rPr>
            </w:pPr>
            <w:r>
              <w:rPr>
                <w:rFonts w:ascii="Arial" w:hAnsi="Arial" w:eastAsia="宋体" w:cs="Arial"/>
                <w:spacing w:val="10"/>
                <w:sz w:val="21"/>
                <w:szCs w:val="24"/>
              </w:rPr>
              <w:t>硝基苯</w:t>
            </w:r>
          </w:p>
        </w:tc>
        <w:tc>
          <w:tcPr>
            <w:tcW w:w="822" w:type="pct"/>
            <w:vAlign w:val="center"/>
          </w:tcPr>
          <w:p w14:paraId="7447440C">
            <w:pPr>
              <w:spacing w:line="240" w:lineRule="exact"/>
              <w:jc w:val="center"/>
              <w:rPr>
                <w:rFonts w:ascii="Arial" w:hAnsi="Arial" w:eastAsia="宋体" w:cs="Arial"/>
                <w:spacing w:val="10"/>
                <w:sz w:val="21"/>
                <w:szCs w:val="24"/>
              </w:rPr>
            </w:pPr>
            <w:r>
              <w:rPr>
                <w:rFonts w:ascii="Arial" w:hAnsi="Arial" w:eastAsia="宋体" w:cs="Arial"/>
                <w:spacing w:val="10"/>
                <w:sz w:val="21"/>
                <w:szCs w:val="24"/>
              </w:rPr>
              <w:t>98-95-3</w:t>
            </w:r>
          </w:p>
        </w:tc>
        <w:tc>
          <w:tcPr>
            <w:tcW w:w="752" w:type="pct"/>
            <w:vAlign w:val="center"/>
          </w:tcPr>
          <w:p w14:paraId="6D0A74F2">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37</w:t>
            </w:r>
          </w:p>
        </w:tc>
        <w:tc>
          <w:tcPr>
            <w:tcW w:w="751" w:type="pct"/>
            <w:vAlign w:val="center"/>
          </w:tcPr>
          <w:p w14:paraId="45355A08">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190</w:t>
            </w:r>
          </w:p>
        </w:tc>
        <w:tc>
          <w:tcPr>
            <w:tcW w:w="669" w:type="pct"/>
            <w:vAlign w:val="center"/>
          </w:tcPr>
          <w:p w14:paraId="2ACBB0F6">
            <w:pPr>
              <w:spacing w:line="240" w:lineRule="exact"/>
              <w:jc w:val="center"/>
              <w:rPr>
                <w:rFonts w:ascii="Arial" w:hAnsi="Arial" w:eastAsia="宋体" w:cs="Arial"/>
                <w:spacing w:val="10"/>
                <w:sz w:val="21"/>
                <w:szCs w:val="24"/>
              </w:rPr>
            </w:pPr>
            <w:r>
              <w:rPr>
                <w:rFonts w:ascii="Arial" w:hAnsi="Arial" w:eastAsia="宋体" w:cs="Arial"/>
                <w:spacing w:val="10"/>
                <w:sz w:val="21"/>
                <w:szCs w:val="24"/>
              </w:rPr>
              <w:t>76</w:t>
            </w:r>
          </w:p>
        </w:tc>
        <w:tc>
          <w:tcPr>
            <w:tcW w:w="605" w:type="pct"/>
            <w:vAlign w:val="center"/>
          </w:tcPr>
          <w:p w14:paraId="63508EDA">
            <w:pPr>
              <w:spacing w:line="240" w:lineRule="exact"/>
              <w:jc w:val="center"/>
              <w:rPr>
                <w:rFonts w:ascii="Arial" w:hAnsi="Arial" w:eastAsia="宋体" w:cs="Arial"/>
                <w:spacing w:val="10"/>
                <w:sz w:val="21"/>
                <w:szCs w:val="24"/>
              </w:rPr>
            </w:pPr>
            <w:r>
              <w:rPr>
                <w:rFonts w:ascii="Arial" w:hAnsi="Arial" w:eastAsia="宋体" w:cs="Arial"/>
                <w:spacing w:val="10"/>
                <w:sz w:val="21"/>
                <w:szCs w:val="24"/>
              </w:rPr>
              <w:t>760</w:t>
            </w:r>
          </w:p>
        </w:tc>
      </w:tr>
      <w:tr w14:paraId="6DC3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25C08806">
            <w:pPr>
              <w:spacing w:line="240" w:lineRule="exact"/>
              <w:jc w:val="center"/>
              <w:rPr>
                <w:rFonts w:ascii="Arial" w:hAnsi="Arial" w:eastAsia="宋体" w:cs="Arial"/>
                <w:spacing w:val="10"/>
                <w:sz w:val="21"/>
                <w:szCs w:val="24"/>
              </w:rPr>
            </w:pPr>
            <w:r>
              <w:rPr>
                <w:rFonts w:ascii="Arial" w:hAnsi="Arial" w:eastAsia="宋体" w:cs="Arial"/>
                <w:spacing w:val="10"/>
                <w:sz w:val="21"/>
                <w:szCs w:val="24"/>
              </w:rPr>
              <w:t>36</w:t>
            </w:r>
          </w:p>
        </w:tc>
        <w:tc>
          <w:tcPr>
            <w:tcW w:w="1026" w:type="pct"/>
            <w:vAlign w:val="center"/>
          </w:tcPr>
          <w:p w14:paraId="662F15BC">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苯胺</w:t>
            </w:r>
          </w:p>
        </w:tc>
        <w:tc>
          <w:tcPr>
            <w:tcW w:w="822" w:type="pct"/>
            <w:vAlign w:val="center"/>
          </w:tcPr>
          <w:p w14:paraId="3761B90B">
            <w:pPr>
              <w:spacing w:line="240" w:lineRule="exact"/>
              <w:jc w:val="center"/>
              <w:rPr>
                <w:rFonts w:ascii="Arial" w:hAnsi="Arial" w:eastAsia="宋体" w:cs="Arial"/>
                <w:spacing w:val="10"/>
                <w:sz w:val="21"/>
                <w:szCs w:val="24"/>
              </w:rPr>
            </w:pPr>
            <w:r>
              <w:rPr>
                <w:rFonts w:ascii="Arial" w:hAnsi="Arial" w:eastAsia="宋体" w:cs="Arial"/>
                <w:spacing w:val="10"/>
                <w:sz w:val="21"/>
                <w:szCs w:val="24"/>
              </w:rPr>
              <w:t>62-53-3</w:t>
            </w:r>
          </w:p>
        </w:tc>
        <w:tc>
          <w:tcPr>
            <w:tcW w:w="752" w:type="pct"/>
            <w:vAlign w:val="center"/>
          </w:tcPr>
          <w:p w14:paraId="3B04BC7A">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92</w:t>
            </w:r>
          </w:p>
        </w:tc>
        <w:tc>
          <w:tcPr>
            <w:tcW w:w="751" w:type="pct"/>
            <w:vAlign w:val="center"/>
          </w:tcPr>
          <w:p w14:paraId="3FBF7A39">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211</w:t>
            </w:r>
          </w:p>
        </w:tc>
        <w:tc>
          <w:tcPr>
            <w:tcW w:w="669" w:type="pct"/>
            <w:vAlign w:val="center"/>
          </w:tcPr>
          <w:p w14:paraId="2FC0B7BF">
            <w:pPr>
              <w:spacing w:line="240" w:lineRule="exact"/>
              <w:jc w:val="center"/>
              <w:rPr>
                <w:rFonts w:ascii="Arial" w:hAnsi="Arial" w:eastAsia="宋体" w:cs="Arial"/>
                <w:spacing w:val="10"/>
                <w:sz w:val="21"/>
                <w:szCs w:val="24"/>
              </w:rPr>
            </w:pPr>
            <w:r>
              <w:rPr>
                <w:rFonts w:ascii="Arial" w:hAnsi="Arial" w:eastAsia="宋体" w:cs="Arial"/>
                <w:spacing w:val="10"/>
                <w:sz w:val="21"/>
                <w:szCs w:val="24"/>
              </w:rPr>
              <w:t>260</w:t>
            </w:r>
          </w:p>
        </w:tc>
        <w:tc>
          <w:tcPr>
            <w:tcW w:w="605" w:type="pct"/>
            <w:vAlign w:val="center"/>
          </w:tcPr>
          <w:p w14:paraId="0F55E877">
            <w:pPr>
              <w:spacing w:line="240" w:lineRule="exact"/>
              <w:jc w:val="center"/>
              <w:rPr>
                <w:rFonts w:ascii="Arial" w:hAnsi="Arial" w:eastAsia="宋体" w:cs="Arial"/>
                <w:spacing w:val="10"/>
                <w:sz w:val="21"/>
                <w:szCs w:val="24"/>
              </w:rPr>
            </w:pPr>
            <w:r>
              <w:rPr>
                <w:rFonts w:ascii="Arial" w:hAnsi="Arial" w:eastAsia="宋体" w:cs="Arial"/>
                <w:spacing w:val="10"/>
                <w:sz w:val="21"/>
                <w:szCs w:val="24"/>
              </w:rPr>
              <w:t>663</w:t>
            </w:r>
          </w:p>
        </w:tc>
      </w:tr>
      <w:tr w14:paraId="4DBD1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0DB72F95">
            <w:pPr>
              <w:spacing w:line="240" w:lineRule="exact"/>
              <w:jc w:val="center"/>
              <w:rPr>
                <w:rFonts w:ascii="Arial" w:hAnsi="Arial" w:eastAsia="宋体" w:cs="Arial"/>
                <w:spacing w:val="10"/>
                <w:sz w:val="21"/>
                <w:szCs w:val="24"/>
              </w:rPr>
            </w:pPr>
            <w:r>
              <w:rPr>
                <w:rFonts w:ascii="Arial" w:hAnsi="Arial" w:eastAsia="宋体" w:cs="Arial"/>
                <w:spacing w:val="10"/>
                <w:sz w:val="21"/>
                <w:szCs w:val="24"/>
              </w:rPr>
              <w:t>37</w:t>
            </w:r>
          </w:p>
        </w:tc>
        <w:tc>
          <w:tcPr>
            <w:tcW w:w="1026" w:type="pct"/>
            <w:vAlign w:val="center"/>
          </w:tcPr>
          <w:p w14:paraId="47A920E6">
            <w:pPr>
              <w:spacing w:line="240" w:lineRule="exact"/>
              <w:jc w:val="center"/>
              <w:rPr>
                <w:rFonts w:ascii="Arial" w:hAnsi="Arial" w:eastAsia="宋体" w:cs="Arial"/>
                <w:spacing w:val="10"/>
                <w:sz w:val="21"/>
                <w:szCs w:val="24"/>
              </w:rPr>
            </w:pPr>
            <w:r>
              <w:rPr>
                <w:rFonts w:ascii="Arial" w:hAnsi="Arial" w:eastAsia="宋体" w:cs="Arial"/>
                <w:spacing w:val="10"/>
                <w:sz w:val="21"/>
                <w:szCs w:val="24"/>
              </w:rPr>
              <w:t>2-氯酚</w:t>
            </w:r>
          </w:p>
        </w:tc>
        <w:tc>
          <w:tcPr>
            <w:tcW w:w="822" w:type="pct"/>
            <w:vAlign w:val="center"/>
          </w:tcPr>
          <w:p w14:paraId="3E5FF31E">
            <w:pPr>
              <w:spacing w:line="240" w:lineRule="exact"/>
              <w:jc w:val="center"/>
              <w:rPr>
                <w:rFonts w:ascii="Arial" w:hAnsi="Arial" w:eastAsia="宋体" w:cs="Arial"/>
                <w:spacing w:val="10"/>
                <w:sz w:val="21"/>
                <w:szCs w:val="24"/>
              </w:rPr>
            </w:pPr>
            <w:r>
              <w:rPr>
                <w:rFonts w:ascii="Arial" w:hAnsi="Arial" w:eastAsia="宋体" w:cs="Arial"/>
                <w:spacing w:val="10"/>
                <w:sz w:val="21"/>
                <w:szCs w:val="24"/>
              </w:rPr>
              <w:t>95-57-8</w:t>
            </w:r>
          </w:p>
        </w:tc>
        <w:tc>
          <w:tcPr>
            <w:tcW w:w="752" w:type="pct"/>
            <w:vAlign w:val="center"/>
          </w:tcPr>
          <w:p w14:paraId="01FE9E65">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250</w:t>
            </w:r>
          </w:p>
        </w:tc>
        <w:tc>
          <w:tcPr>
            <w:tcW w:w="751" w:type="pct"/>
            <w:vAlign w:val="center"/>
          </w:tcPr>
          <w:p w14:paraId="200F29AA">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500</w:t>
            </w:r>
          </w:p>
        </w:tc>
        <w:tc>
          <w:tcPr>
            <w:tcW w:w="669" w:type="pct"/>
            <w:vAlign w:val="center"/>
          </w:tcPr>
          <w:p w14:paraId="00BE0F3E">
            <w:pPr>
              <w:spacing w:line="240" w:lineRule="exact"/>
              <w:jc w:val="center"/>
              <w:rPr>
                <w:rFonts w:ascii="Arial" w:hAnsi="Arial" w:eastAsia="宋体" w:cs="Arial"/>
                <w:spacing w:val="10"/>
                <w:sz w:val="21"/>
                <w:szCs w:val="24"/>
              </w:rPr>
            </w:pPr>
            <w:r>
              <w:rPr>
                <w:rFonts w:ascii="Arial" w:hAnsi="Arial" w:eastAsia="宋体" w:cs="Arial"/>
                <w:spacing w:val="10"/>
                <w:sz w:val="21"/>
                <w:szCs w:val="24"/>
              </w:rPr>
              <w:t>2256</w:t>
            </w:r>
          </w:p>
        </w:tc>
        <w:tc>
          <w:tcPr>
            <w:tcW w:w="605" w:type="pct"/>
            <w:vAlign w:val="center"/>
          </w:tcPr>
          <w:p w14:paraId="165B75A6">
            <w:pPr>
              <w:spacing w:line="240" w:lineRule="exact"/>
              <w:jc w:val="center"/>
              <w:rPr>
                <w:rFonts w:ascii="Arial" w:hAnsi="Arial" w:eastAsia="宋体" w:cs="Arial"/>
                <w:spacing w:val="10"/>
                <w:sz w:val="21"/>
                <w:szCs w:val="24"/>
              </w:rPr>
            </w:pPr>
            <w:r>
              <w:rPr>
                <w:rFonts w:ascii="Arial" w:hAnsi="Arial" w:eastAsia="宋体" w:cs="Arial"/>
                <w:spacing w:val="10"/>
                <w:sz w:val="21"/>
                <w:szCs w:val="24"/>
              </w:rPr>
              <w:t>4500</w:t>
            </w:r>
          </w:p>
        </w:tc>
      </w:tr>
      <w:tr w14:paraId="1BCF0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6A1AF698">
            <w:pPr>
              <w:spacing w:line="240" w:lineRule="exact"/>
              <w:jc w:val="center"/>
              <w:rPr>
                <w:rFonts w:ascii="Arial" w:hAnsi="Arial" w:eastAsia="宋体" w:cs="Arial"/>
                <w:spacing w:val="10"/>
                <w:sz w:val="21"/>
                <w:szCs w:val="24"/>
              </w:rPr>
            </w:pPr>
            <w:r>
              <w:rPr>
                <w:rFonts w:ascii="Arial" w:hAnsi="Arial" w:eastAsia="宋体" w:cs="Arial"/>
                <w:spacing w:val="10"/>
                <w:sz w:val="21"/>
                <w:szCs w:val="24"/>
              </w:rPr>
              <w:t>38</w:t>
            </w:r>
          </w:p>
        </w:tc>
        <w:tc>
          <w:tcPr>
            <w:tcW w:w="1026" w:type="pct"/>
            <w:vAlign w:val="center"/>
          </w:tcPr>
          <w:p w14:paraId="2773195C">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苯并(α)蒽</w:t>
            </w:r>
          </w:p>
        </w:tc>
        <w:tc>
          <w:tcPr>
            <w:tcW w:w="822" w:type="pct"/>
            <w:vAlign w:val="center"/>
          </w:tcPr>
          <w:p w14:paraId="05A0A6BB">
            <w:pPr>
              <w:spacing w:line="240" w:lineRule="exact"/>
              <w:jc w:val="center"/>
              <w:rPr>
                <w:rFonts w:ascii="Arial" w:hAnsi="Arial" w:eastAsia="宋体" w:cs="Arial"/>
                <w:spacing w:val="10"/>
                <w:sz w:val="21"/>
                <w:szCs w:val="24"/>
              </w:rPr>
            </w:pPr>
            <w:r>
              <w:rPr>
                <w:rFonts w:ascii="Arial" w:hAnsi="Arial" w:eastAsia="宋体" w:cs="Arial"/>
                <w:spacing w:val="10"/>
                <w:sz w:val="21"/>
                <w:szCs w:val="24"/>
              </w:rPr>
              <w:t>56-55-3</w:t>
            </w:r>
          </w:p>
        </w:tc>
        <w:tc>
          <w:tcPr>
            <w:tcW w:w="752" w:type="pct"/>
            <w:vAlign w:val="center"/>
          </w:tcPr>
          <w:p w14:paraId="7F291245">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751" w:type="pct"/>
            <w:vAlign w:val="center"/>
          </w:tcPr>
          <w:p w14:paraId="65AEE610">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669" w:type="pct"/>
            <w:vAlign w:val="center"/>
          </w:tcPr>
          <w:p w14:paraId="01BCDD8A">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605" w:type="pct"/>
            <w:vAlign w:val="center"/>
          </w:tcPr>
          <w:p w14:paraId="458BB5EC">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151</w:t>
            </w:r>
          </w:p>
        </w:tc>
      </w:tr>
      <w:tr w14:paraId="0236D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6F5F39D9">
            <w:pPr>
              <w:spacing w:line="240" w:lineRule="exact"/>
              <w:jc w:val="center"/>
              <w:rPr>
                <w:rFonts w:ascii="Arial" w:hAnsi="Arial" w:eastAsia="宋体" w:cs="Arial"/>
                <w:spacing w:val="10"/>
                <w:sz w:val="21"/>
                <w:szCs w:val="24"/>
              </w:rPr>
            </w:pPr>
            <w:r>
              <w:rPr>
                <w:rFonts w:ascii="Arial" w:hAnsi="Arial" w:eastAsia="宋体" w:cs="Arial"/>
                <w:spacing w:val="10"/>
                <w:sz w:val="21"/>
                <w:szCs w:val="24"/>
              </w:rPr>
              <w:t>39</w:t>
            </w:r>
          </w:p>
        </w:tc>
        <w:tc>
          <w:tcPr>
            <w:tcW w:w="1026" w:type="pct"/>
            <w:vAlign w:val="center"/>
          </w:tcPr>
          <w:p w14:paraId="333B3790">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苯并(α)芘</w:t>
            </w:r>
          </w:p>
        </w:tc>
        <w:tc>
          <w:tcPr>
            <w:tcW w:w="822" w:type="pct"/>
            <w:vAlign w:val="center"/>
          </w:tcPr>
          <w:p w14:paraId="01CF615D">
            <w:pPr>
              <w:spacing w:line="240" w:lineRule="exact"/>
              <w:jc w:val="center"/>
              <w:rPr>
                <w:rFonts w:ascii="Arial" w:hAnsi="Arial" w:eastAsia="宋体" w:cs="Arial"/>
                <w:spacing w:val="10"/>
                <w:sz w:val="21"/>
                <w:szCs w:val="24"/>
              </w:rPr>
            </w:pPr>
            <w:r>
              <w:rPr>
                <w:rFonts w:ascii="Arial" w:hAnsi="Arial" w:eastAsia="宋体" w:cs="Arial"/>
                <w:spacing w:val="10"/>
                <w:sz w:val="21"/>
                <w:szCs w:val="24"/>
              </w:rPr>
              <w:t>50-32-8</w:t>
            </w:r>
          </w:p>
        </w:tc>
        <w:tc>
          <w:tcPr>
            <w:tcW w:w="752" w:type="pct"/>
            <w:vAlign w:val="center"/>
          </w:tcPr>
          <w:p w14:paraId="0BD6DC4B">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0.55</w:t>
            </w:r>
          </w:p>
        </w:tc>
        <w:tc>
          <w:tcPr>
            <w:tcW w:w="751" w:type="pct"/>
            <w:vAlign w:val="center"/>
          </w:tcPr>
          <w:p w14:paraId="4CCDE2DE">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669" w:type="pct"/>
            <w:vAlign w:val="center"/>
          </w:tcPr>
          <w:p w14:paraId="11854345">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605" w:type="pct"/>
            <w:vAlign w:val="center"/>
          </w:tcPr>
          <w:p w14:paraId="40727673">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r>
      <w:tr w14:paraId="4D36B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0E192982">
            <w:pPr>
              <w:spacing w:line="240" w:lineRule="exact"/>
              <w:jc w:val="center"/>
              <w:rPr>
                <w:rFonts w:ascii="Arial" w:hAnsi="Arial" w:eastAsia="宋体" w:cs="Arial"/>
                <w:spacing w:val="10"/>
                <w:sz w:val="21"/>
                <w:szCs w:val="24"/>
              </w:rPr>
            </w:pPr>
            <w:r>
              <w:rPr>
                <w:rFonts w:ascii="Arial" w:hAnsi="Arial" w:eastAsia="宋体" w:cs="Arial"/>
                <w:spacing w:val="10"/>
                <w:sz w:val="21"/>
                <w:szCs w:val="24"/>
              </w:rPr>
              <w:t>40</w:t>
            </w:r>
          </w:p>
        </w:tc>
        <w:tc>
          <w:tcPr>
            <w:tcW w:w="1026" w:type="pct"/>
            <w:vAlign w:val="center"/>
          </w:tcPr>
          <w:p w14:paraId="765A23E3">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苯并(b)荧蒽</w:t>
            </w:r>
          </w:p>
        </w:tc>
        <w:tc>
          <w:tcPr>
            <w:tcW w:w="822" w:type="pct"/>
            <w:vAlign w:val="center"/>
          </w:tcPr>
          <w:p w14:paraId="7B1FAD21">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205-99-2</w:t>
            </w:r>
          </w:p>
        </w:tc>
        <w:tc>
          <w:tcPr>
            <w:tcW w:w="752" w:type="pct"/>
            <w:vAlign w:val="center"/>
          </w:tcPr>
          <w:p w14:paraId="0941B9F6">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751" w:type="pct"/>
            <w:vAlign w:val="center"/>
          </w:tcPr>
          <w:p w14:paraId="3987C64B">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669" w:type="pct"/>
            <w:vAlign w:val="center"/>
          </w:tcPr>
          <w:p w14:paraId="28CF005E">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605" w:type="pct"/>
            <w:vAlign w:val="center"/>
          </w:tcPr>
          <w:p w14:paraId="284DD6D0">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151</w:t>
            </w:r>
          </w:p>
        </w:tc>
      </w:tr>
      <w:tr w14:paraId="34CD5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478BC841">
            <w:pPr>
              <w:spacing w:line="240" w:lineRule="exact"/>
              <w:jc w:val="center"/>
              <w:rPr>
                <w:rFonts w:ascii="Arial" w:hAnsi="Arial" w:eastAsia="宋体" w:cs="Arial"/>
                <w:spacing w:val="10"/>
                <w:sz w:val="21"/>
                <w:szCs w:val="24"/>
              </w:rPr>
            </w:pPr>
            <w:r>
              <w:rPr>
                <w:rFonts w:ascii="Arial" w:hAnsi="Arial" w:eastAsia="宋体" w:cs="Arial"/>
                <w:spacing w:val="10"/>
                <w:sz w:val="21"/>
                <w:szCs w:val="24"/>
              </w:rPr>
              <w:t>41</w:t>
            </w:r>
          </w:p>
        </w:tc>
        <w:tc>
          <w:tcPr>
            <w:tcW w:w="1026" w:type="pct"/>
            <w:vAlign w:val="center"/>
          </w:tcPr>
          <w:p w14:paraId="588E4F69">
            <w:pPr>
              <w:spacing w:line="240" w:lineRule="exact"/>
              <w:jc w:val="center"/>
              <w:rPr>
                <w:rFonts w:ascii="Arial" w:hAnsi="Arial" w:eastAsia="宋体" w:cs="Arial"/>
                <w:spacing w:val="10"/>
                <w:sz w:val="21"/>
                <w:szCs w:val="24"/>
              </w:rPr>
            </w:pPr>
            <w:r>
              <w:rPr>
                <w:rFonts w:ascii="Arial" w:hAnsi="Arial" w:eastAsia="宋体" w:cs="Arial"/>
                <w:spacing w:val="10"/>
                <w:sz w:val="21"/>
                <w:szCs w:val="24"/>
              </w:rPr>
              <w:t>苯并(K) 荧蒽</w:t>
            </w:r>
          </w:p>
        </w:tc>
        <w:tc>
          <w:tcPr>
            <w:tcW w:w="822" w:type="pct"/>
            <w:vAlign w:val="center"/>
          </w:tcPr>
          <w:p w14:paraId="66895B44">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207-08-9</w:t>
            </w:r>
          </w:p>
        </w:tc>
        <w:tc>
          <w:tcPr>
            <w:tcW w:w="752" w:type="pct"/>
            <w:vAlign w:val="center"/>
          </w:tcPr>
          <w:p w14:paraId="3E7F1DAA">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751" w:type="pct"/>
            <w:vAlign w:val="center"/>
          </w:tcPr>
          <w:p w14:paraId="2DA1D40E">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550</w:t>
            </w:r>
          </w:p>
        </w:tc>
        <w:tc>
          <w:tcPr>
            <w:tcW w:w="669" w:type="pct"/>
            <w:vAlign w:val="center"/>
          </w:tcPr>
          <w:p w14:paraId="3450FA00">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151</w:t>
            </w:r>
          </w:p>
        </w:tc>
        <w:tc>
          <w:tcPr>
            <w:tcW w:w="605" w:type="pct"/>
            <w:vAlign w:val="center"/>
          </w:tcPr>
          <w:p w14:paraId="21938E78">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1500</w:t>
            </w:r>
          </w:p>
        </w:tc>
      </w:tr>
      <w:tr w14:paraId="69733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453B0E8B">
            <w:pPr>
              <w:spacing w:line="240" w:lineRule="exact"/>
              <w:jc w:val="center"/>
              <w:rPr>
                <w:rFonts w:ascii="Arial" w:hAnsi="Arial" w:eastAsia="宋体" w:cs="Arial"/>
                <w:spacing w:val="10"/>
                <w:sz w:val="21"/>
                <w:szCs w:val="24"/>
              </w:rPr>
            </w:pPr>
            <w:r>
              <w:rPr>
                <w:rFonts w:ascii="Arial" w:hAnsi="Arial" w:eastAsia="宋体" w:cs="Arial"/>
                <w:spacing w:val="10"/>
                <w:sz w:val="21"/>
                <w:szCs w:val="24"/>
              </w:rPr>
              <w:t>42</w:t>
            </w:r>
          </w:p>
        </w:tc>
        <w:tc>
          <w:tcPr>
            <w:tcW w:w="1026" w:type="pct"/>
            <w:vAlign w:val="center"/>
          </w:tcPr>
          <w:p w14:paraId="05A9BF52">
            <w:pPr>
              <w:spacing w:line="240" w:lineRule="exact"/>
              <w:jc w:val="center"/>
              <w:rPr>
                <w:rFonts w:ascii="Arial" w:hAnsi="Arial" w:eastAsia="宋体" w:cs="Arial"/>
                <w:spacing w:val="10"/>
                <w:sz w:val="21"/>
                <w:szCs w:val="24"/>
              </w:rPr>
            </w:pPr>
            <w:r>
              <w:rPr>
                <w:rFonts w:ascii="Arial" w:hAnsi="Arial" w:eastAsia="微软雅黑" w:cs="Arial"/>
                <w:spacing w:val="10"/>
                <w:sz w:val="21"/>
                <w:szCs w:val="24"/>
              </w:rPr>
              <w:t>䓛</w:t>
            </w:r>
          </w:p>
        </w:tc>
        <w:tc>
          <w:tcPr>
            <w:tcW w:w="822" w:type="pct"/>
            <w:vAlign w:val="center"/>
          </w:tcPr>
          <w:p w14:paraId="5C1D5194">
            <w:pPr>
              <w:spacing w:line="240" w:lineRule="exact"/>
              <w:jc w:val="center"/>
              <w:rPr>
                <w:rFonts w:ascii="Arial" w:hAnsi="Arial" w:eastAsia="宋体" w:cs="Arial"/>
                <w:spacing w:val="10"/>
                <w:sz w:val="21"/>
                <w:szCs w:val="24"/>
              </w:rPr>
            </w:pPr>
            <w:r>
              <w:rPr>
                <w:rFonts w:ascii="Arial" w:hAnsi="Arial" w:eastAsia="宋体" w:cs="Arial"/>
                <w:spacing w:val="10"/>
                <w:sz w:val="21"/>
                <w:szCs w:val="24"/>
              </w:rPr>
              <w:t>218-01-9</w:t>
            </w:r>
          </w:p>
        </w:tc>
        <w:tc>
          <w:tcPr>
            <w:tcW w:w="752" w:type="pct"/>
            <w:vAlign w:val="center"/>
          </w:tcPr>
          <w:p w14:paraId="6BCF7BB8">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490</w:t>
            </w:r>
          </w:p>
        </w:tc>
        <w:tc>
          <w:tcPr>
            <w:tcW w:w="751" w:type="pct"/>
            <w:vAlign w:val="center"/>
          </w:tcPr>
          <w:p w14:paraId="11CA43B3">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4900</w:t>
            </w:r>
          </w:p>
        </w:tc>
        <w:tc>
          <w:tcPr>
            <w:tcW w:w="669" w:type="pct"/>
            <w:vAlign w:val="center"/>
          </w:tcPr>
          <w:p w14:paraId="1793D544">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1293</w:t>
            </w:r>
          </w:p>
        </w:tc>
        <w:tc>
          <w:tcPr>
            <w:tcW w:w="605" w:type="pct"/>
            <w:vAlign w:val="center"/>
          </w:tcPr>
          <w:p w14:paraId="1D693DC3">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12900</w:t>
            </w:r>
          </w:p>
        </w:tc>
      </w:tr>
      <w:tr w14:paraId="4A5EA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03A5E0D2">
            <w:pPr>
              <w:spacing w:line="240" w:lineRule="exact"/>
              <w:jc w:val="center"/>
              <w:rPr>
                <w:rFonts w:ascii="Arial" w:hAnsi="Arial" w:eastAsia="宋体" w:cs="Arial"/>
                <w:spacing w:val="10"/>
                <w:sz w:val="21"/>
                <w:szCs w:val="24"/>
              </w:rPr>
            </w:pPr>
            <w:r>
              <w:rPr>
                <w:rFonts w:ascii="Arial" w:hAnsi="Arial" w:eastAsia="宋体" w:cs="Arial"/>
                <w:spacing w:val="10"/>
                <w:sz w:val="21"/>
                <w:szCs w:val="24"/>
              </w:rPr>
              <w:t>43</w:t>
            </w:r>
          </w:p>
        </w:tc>
        <w:tc>
          <w:tcPr>
            <w:tcW w:w="1026" w:type="pct"/>
            <w:vAlign w:val="center"/>
          </w:tcPr>
          <w:p w14:paraId="0DAE816E">
            <w:pPr>
              <w:spacing w:line="240" w:lineRule="exact"/>
              <w:jc w:val="center"/>
              <w:rPr>
                <w:rFonts w:ascii="Arial" w:hAnsi="Arial" w:eastAsia="宋体" w:cs="Arial"/>
                <w:spacing w:val="10"/>
                <w:sz w:val="21"/>
                <w:szCs w:val="24"/>
              </w:rPr>
            </w:pPr>
            <w:r>
              <w:rPr>
                <w:rFonts w:ascii="Arial" w:hAnsi="Arial" w:eastAsia="宋体" w:cs="Arial"/>
                <w:spacing w:val="10"/>
                <w:sz w:val="21"/>
                <w:szCs w:val="24"/>
              </w:rPr>
              <w:t>二苯并(α，h)蒽</w:t>
            </w:r>
          </w:p>
        </w:tc>
        <w:tc>
          <w:tcPr>
            <w:tcW w:w="822" w:type="pct"/>
            <w:vAlign w:val="center"/>
          </w:tcPr>
          <w:p w14:paraId="7AA801B8">
            <w:pPr>
              <w:spacing w:line="240" w:lineRule="exact"/>
              <w:jc w:val="center"/>
              <w:rPr>
                <w:rFonts w:ascii="Arial" w:hAnsi="Arial" w:eastAsia="宋体" w:cs="Arial"/>
                <w:spacing w:val="10"/>
                <w:sz w:val="21"/>
                <w:szCs w:val="24"/>
              </w:rPr>
            </w:pPr>
            <w:r>
              <w:rPr>
                <w:rFonts w:ascii="Arial" w:hAnsi="Arial" w:eastAsia="宋体" w:cs="Arial"/>
                <w:spacing w:val="10"/>
                <w:sz w:val="21"/>
                <w:szCs w:val="24"/>
              </w:rPr>
              <w:t>53-70-3</w:t>
            </w:r>
          </w:p>
        </w:tc>
        <w:tc>
          <w:tcPr>
            <w:tcW w:w="752" w:type="pct"/>
            <w:vAlign w:val="center"/>
          </w:tcPr>
          <w:p w14:paraId="1A56E8DB">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0.55</w:t>
            </w:r>
          </w:p>
        </w:tc>
        <w:tc>
          <w:tcPr>
            <w:tcW w:w="751" w:type="pct"/>
            <w:vAlign w:val="center"/>
          </w:tcPr>
          <w:p w14:paraId="132FDA86">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669" w:type="pct"/>
            <w:vAlign w:val="center"/>
          </w:tcPr>
          <w:p w14:paraId="2DDF0CAA">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605" w:type="pct"/>
            <w:vAlign w:val="center"/>
          </w:tcPr>
          <w:p w14:paraId="60F5A242">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r>
      <w:tr w14:paraId="46D6B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2C90C077">
            <w:pPr>
              <w:spacing w:line="240" w:lineRule="exact"/>
              <w:jc w:val="center"/>
              <w:rPr>
                <w:rFonts w:ascii="Arial" w:hAnsi="Arial" w:eastAsia="宋体" w:cs="Arial"/>
                <w:spacing w:val="10"/>
                <w:sz w:val="21"/>
                <w:szCs w:val="24"/>
              </w:rPr>
            </w:pPr>
            <w:r>
              <w:rPr>
                <w:rFonts w:ascii="Arial" w:hAnsi="Arial" w:eastAsia="宋体" w:cs="Arial"/>
                <w:spacing w:val="10"/>
                <w:sz w:val="21"/>
                <w:szCs w:val="24"/>
              </w:rPr>
              <w:t>44</w:t>
            </w:r>
          </w:p>
        </w:tc>
        <w:tc>
          <w:tcPr>
            <w:tcW w:w="1026" w:type="pct"/>
            <w:vAlign w:val="center"/>
          </w:tcPr>
          <w:p w14:paraId="48346D7F">
            <w:pPr>
              <w:spacing w:line="240" w:lineRule="exact"/>
              <w:jc w:val="center"/>
              <w:rPr>
                <w:rFonts w:ascii="Arial" w:hAnsi="Arial" w:eastAsia="宋体" w:cs="Arial"/>
                <w:spacing w:val="10"/>
                <w:sz w:val="21"/>
                <w:szCs w:val="24"/>
              </w:rPr>
            </w:pPr>
            <w:r>
              <w:rPr>
                <w:rFonts w:ascii="Arial" w:hAnsi="Arial" w:eastAsia="宋体" w:cs="Arial"/>
                <w:spacing w:val="10"/>
                <w:sz w:val="21"/>
                <w:szCs w:val="24"/>
              </w:rPr>
              <w:t>茚(1,2,3-cd)芘</w:t>
            </w:r>
          </w:p>
        </w:tc>
        <w:tc>
          <w:tcPr>
            <w:tcW w:w="822" w:type="pct"/>
            <w:vAlign w:val="center"/>
          </w:tcPr>
          <w:p w14:paraId="1E5979EE">
            <w:pPr>
              <w:spacing w:line="240" w:lineRule="exact"/>
              <w:jc w:val="center"/>
              <w:rPr>
                <w:rFonts w:ascii="Arial" w:hAnsi="Arial" w:eastAsia="宋体" w:cs="Arial"/>
                <w:spacing w:val="10"/>
                <w:sz w:val="21"/>
                <w:szCs w:val="24"/>
              </w:rPr>
            </w:pPr>
            <w:r>
              <w:rPr>
                <w:rFonts w:ascii="Arial" w:hAnsi="Arial" w:eastAsia="宋体" w:cs="Arial"/>
                <w:spacing w:val="10"/>
                <w:sz w:val="21"/>
                <w:szCs w:val="24"/>
              </w:rPr>
              <w:t>193-39-5</w:t>
            </w:r>
          </w:p>
        </w:tc>
        <w:tc>
          <w:tcPr>
            <w:tcW w:w="752" w:type="pct"/>
            <w:vAlign w:val="center"/>
          </w:tcPr>
          <w:p w14:paraId="69A75C4D">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751" w:type="pct"/>
            <w:vAlign w:val="center"/>
          </w:tcPr>
          <w:p w14:paraId="548CE2B1">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55</w:t>
            </w:r>
          </w:p>
        </w:tc>
        <w:tc>
          <w:tcPr>
            <w:tcW w:w="669" w:type="pct"/>
            <w:vAlign w:val="center"/>
          </w:tcPr>
          <w:p w14:paraId="3BE18FA5">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w:t>
            </w:r>
          </w:p>
        </w:tc>
        <w:tc>
          <w:tcPr>
            <w:tcW w:w="605" w:type="pct"/>
            <w:vAlign w:val="center"/>
          </w:tcPr>
          <w:p w14:paraId="575083A2">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151</w:t>
            </w:r>
          </w:p>
        </w:tc>
      </w:tr>
      <w:tr w14:paraId="26FF5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373AA880">
            <w:pPr>
              <w:spacing w:line="240" w:lineRule="exact"/>
              <w:jc w:val="center"/>
              <w:rPr>
                <w:rFonts w:ascii="Arial" w:hAnsi="Arial" w:eastAsia="宋体" w:cs="Arial"/>
                <w:spacing w:val="10"/>
                <w:sz w:val="21"/>
                <w:szCs w:val="24"/>
              </w:rPr>
            </w:pPr>
            <w:r>
              <w:rPr>
                <w:rFonts w:ascii="Arial" w:hAnsi="Arial" w:eastAsia="宋体" w:cs="Arial"/>
                <w:spacing w:val="10"/>
                <w:sz w:val="21"/>
                <w:szCs w:val="24"/>
              </w:rPr>
              <w:t>45</w:t>
            </w:r>
          </w:p>
        </w:tc>
        <w:tc>
          <w:tcPr>
            <w:tcW w:w="1026" w:type="pct"/>
            <w:vAlign w:val="center"/>
          </w:tcPr>
          <w:p w14:paraId="605EF4FD">
            <w:pPr>
              <w:spacing w:line="240" w:lineRule="exact"/>
              <w:jc w:val="center"/>
              <w:rPr>
                <w:rFonts w:ascii="Arial" w:hAnsi="Arial" w:eastAsia="宋体" w:cs="Arial"/>
                <w:spacing w:val="10"/>
                <w:sz w:val="21"/>
                <w:szCs w:val="24"/>
              </w:rPr>
            </w:pPr>
            <w:r>
              <w:rPr>
                <w:rFonts w:ascii="Arial" w:hAnsi="Arial" w:eastAsia="宋体" w:cs="Arial"/>
                <w:spacing w:val="10"/>
                <w:sz w:val="21"/>
                <w:szCs w:val="24"/>
              </w:rPr>
              <w:t>萘</w:t>
            </w:r>
          </w:p>
        </w:tc>
        <w:tc>
          <w:tcPr>
            <w:tcW w:w="822" w:type="pct"/>
            <w:vAlign w:val="center"/>
          </w:tcPr>
          <w:p w14:paraId="35E97A7B">
            <w:pPr>
              <w:spacing w:line="240" w:lineRule="exact"/>
              <w:jc w:val="center"/>
              <w:rPr>
                <w:rFonts w:ascii="Arial" w:hAnsi="Arial" w:eastAsia="宋体" w:cs="Arial"/>
                <w:spacing w:val="10"/>
                <w:sz w:val="21"/>
                <w:szCs w:val="24"/>
              </w:rPr>
            </w:pPr>
            <w:r>
              <w:rPr>
                <w:rFonts w:ascii="Arial" w:hAnsi="Arial" w:eastAsia="宋体" w:cs="Arial"/>
                <w:spacing w:val="10"/>
                <w:sz w:val="21"/>
                <w:szCs w:val="24"/>
              </w:rPr>
              <w:t>91-20-3</w:t>
            </w:r>
          </w:p>
        </w:tc>
        <w:tc>
          <w:tcPr>
            <w:tcW w:w="752" w:type="pct"/>
            <w:vAlign w:val="center"/>
          </w:tcPr>
          <w:p w14:paraId="590CA217">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25</w:t>
            </w:r>
          </w:p>
        </w:tc>
        <w:tc>
          <w:tcPr>
            <w:tcW w:w="751" w:type="pct"/>
            <w:vAlign w:val="center"/>
          </w:tcPr>
          <w:p w14:paraId="54B32B4A">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255</w:t>
            </w:r>
          </w:p>
        </w:tc>
        <w:tc>
          <w:tcPr>
            <w:tcW w:w="669" w:type="pct"/>
            <w:vAlign w:val="center"/>
          </w:tcPr>
          <w:p w14:paraId="7890950A">
            <w:pPr>
              <w:spacing w:line="240" w:lineRule="exact"/>
              <w:jc w:val="center"/>
              <w:rPr>
                <w:rFonts w:ascii="Arial" w:hAnsi="Arial" w:eastAsia="宋体" w:cs="Arial"/>
                <w:spacing w:val="10"/>
                <w:sz w:val="21"/>
                <w:szCs w:val="24"/>
              </w:rPr>
            </w:pPr>
            <w:r>
              <w:rPr>
                <w:rFonts w:ascii="Arial" w:hAnsi="Arial" w:eastAsia="宋体" w:cs="Arial"/>
                <w:spacing w:val="10"/>
                <w:sz w:val="21"/>
                <w:szCs w:val="24"/>
              </w:rPr>
              <w:t>70</w:t>
            </w:r>
          </w:p>
        </w:tc>
        <w:tc>
          <w:tcPr>
            <w:tcW w:w="605" w:type="pct"/>
            <w:vAlign w:val="center"/>
          </w:tcPr>
          <w:p w14:paraId="5DB294B2">
            <w:pPr>
              <w:spacing w:line="240" w:lineRule="exact"/>
              <w:jc w:val="center"/>
              <w:rPr>
                <w:rFonts w:ascii="Arial" w:hAnsi="Arial" w:eastAsia="宋体" w:cs="Arial"/>
                <w:spacing w:val="10"/>
                <w:sz w:val="21"/>
                <w:szCs w:val="24"/>
              </w:rPr>
            </w:pPr>
            <w:r>
              <w:rPr>
                <w:rFonts w:ascii="Arial" w:hAnsi="Arial" w:eastAsia="宋体" w:cs="Arial"/>
                <w:spacing w:val="10"/>
                <w:sz w:val="21"/>
                <w:szCs w:val="24"/>
              </w:rPr>
              <w:t>700</w:t>
            </w:r>
          </w:p>
        </w:tc>
      </w:tr>
      <w:tr w14:paraId="14D04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75" w:type="pct"/>
            <w:vAlign w:val="center"/>
          </w:tcPr>
          <w:p w14:paraId="2CF0B07B">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46</w:t>
            </w:r>
          </w:p>
        </w:tc>
        <w:tc>
          <w:tcPr>
            <w:tcW w:w="1026" w:type="pct"/>
            <w:vAlign w:val="center"/>
          </w:tcPr>
          <w:p w14:paraId="28AF38D3">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钴</w:t>
            </w:r>
          </w:p>
        </w:tc>
        <w:tc>
          <w:tcPr>
            <w:tcW w:w="822" w:type="pct"/>
            <w:vAlign w:val="center"/>
          </w:tcPr>
          <w:p w14:paraId="6523BDD5">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7440-48-4</w:t>
            </w:r>
          </w:p>
        </w:tc>
        <w:tc>
          <w:tcPr>
            <w:tcW w:w="752" w:type="pct"/>
            <w:vAlign w:val="center"/>
          </w:tcPr>
          <w:p w14:paraId="273683A6">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20</w:t>
            </w:r>
          </w:p>
        </w:tc>
        <w:tc>
          <w:tcPr>
            <w:tcW w:w="751" w:type="pct"/>
            <w:vAlign w:val="center"/>
          </w:tcPr>
          <w:p w14:paraId="71654707">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70</w:t>
            </w:r>
          </w:p>
        </w:tc>
        <w:tc>
          <w:tcPr>
            <w:tcW w:w="669" w:type="pct"/>
            <w:vAlign w:val="center"/>
          </w:tcPr>
          <w:p w14:paraId="5562BB92">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190</w:t>
            </w:r>
          </w:p>
        </w:tc>
        <w:tc>
          <w:tcPr>
            <w:tcW w:w="605" w:type="pct"/>
            <w:vAlign w:val="center"/>
          </w:tcPr>
          <w:p w14:paraId="47C2BCC3">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350</w:t>
            </w:r>
          </w:p>
        </w:tc>
      </w:tr>
    </w:tbl>
    <w:p w14:paraId="164647FC">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《土壤环境质量 农用地土壤污染风险管控标准》（摘录） 单位：mg/kg</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1909"/>
        <w:gridCol w:w="1558"/>
        <w:gridCol w:w="1558"/>
        <w:gridCol w:w="1558"/>
        <w:gridCol w:w="1558"/>
      </w:tblGrid>
      <w:tr w14:paraId="0E2E9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52" w:type="dxa"/>
            <w:vMerge w:val="restart"/>
            <w:vAlign w:val="center"/>
          </w:tcPr>
          <w:p w14:paraId="21444818">
            <w:pPr>
              <w:spacing w:line="240" w:lineRule="exact"/>
              <w:jc w:val="center"/>
              <w:rPr>
                <w:rFonts w:ascii="Arial" w:hAnsi="Arial" w:eastAsia="宋体" w:cs="Arial"/>
                <w:spacing w:val="10"/>
                <w:sz w:val="21"/>
                <w:szCs w:val="24"/>
              </w:rPr>
            </w:pPr>
            <w:r>
              <w:rPr>
                <w:rFonts w:ascii="Arial" w:hAnsi="Arial" w:eastAsia="宋体" w:cs="Arial"/>
                <w:spacing w:val="10"/>
                <w:sz w:val="21"/>
                <w:szCs w:val="24"/>
              </w:rPr>
              <w:t>序号</w:t>
            </w:r>
          </w:p>
        </w:tc>
        <w:tc>
          <w:tcPr>
            <w:tcW w:w="1909" w:type="dxa"/>
            <w:vMerge w:val="restart"/>
            <w:vAlign w:val="center"/>
          </w:tcPr>
          <w:p w14:paraId="538E8760">
            <w:pPr>
              <w:spacing w:line="240" w:lineRule="exact"/>
              <w:jc w:val="center"/>
              <w:rPr>
                <w:rFonts w:ascii="Arial" w:hAnsi="Arial" w:eastAsia="宋体" w:cs="Arial"/>
                <w:spacing w:val="10"/>
                <w:sz w:val="21"/>
                <w:szCs w:val="24"/>
              </w:rPr>
            </w:pPr>
            <w:r>
              <w:rPr>
                <w:rFonts w:ascii="Arial" w:hAnsi="Arial" w:eastAsia="宋体" w:cs="Arial"/>
                <w:spacing w:val="10"/>
                <w:sz w:val="21"/>
                <w:szCs w:val="24"/>
              </w:rPr>
              <w:t>污染物项目</w:t>
            </w:r>
          </w:p>
        </w:tc>
        <w:tc>
          <w:tcPr>
            <w:tcW w:w="6232" w:type="dxa"/>
            <w:gridSpan w:val="4"/>
            <w:vAlign w:val="center"/>
          </w:tcPr>
          <w:p w14:paraId="1DEC52BB">
            <w:pPr>
              <w:spacing w:line="240" w:lineRule="exact"/>
              <w:jc w:val="center"/>
              <w:rPr>
                <w:rFonts w:ascii="Arial" w:hAnsi="Arial" w:eastAsia="宋体" w:cs="Arial"/>
                <w:spacing w:val="10"/>
                <w:sz w:val="21"/>
                <w:szCs w:val="24"/>
              </w:rPr>
            </w:pPr>
            <w:r>
              <w:rPr>
                <w:rFonts w:ascii="Arial" w:hAnsi="Arial" w:eastAsia="宋体" w:cs="Arial"/>
                <w:spacing w:val="10"/>
                <w:sz w:val="21"/>
                <w:szCs w:val="24"/>
              </w:rPr>
              <w:t>风险筛选值</w:t>
            </w:r>
          </w:p>
        </w:tc>
      </w:tr>
      <w:tr w14:paraId="311D3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52" w:type="dxa"/>
            <w:vMerge w:val="continue"/>
            <w:vAlign w:val="center"/>
          </w:tcPr>
          <w:p w14:paraId="2C42C47D">
            <w:pPr>
              <w:widowControl/>
              <w:jc w:val="left"/>
              <w:rPr>
                <w:rFonts w:ascii="Arial" w:hAnsi="Arial" w:eastAsia="宋体" w:cs="Arial"/>
                <w:spacing w:val="10"/>
                <w:sz w:val="21"/>
                <w:szCs w:val="24"/>
              </w:rPr>
            </w:pPr>
          </w:p>
        </w:tc>
        <w:tc>
          <w:tcPr>
            <w:tcW w:w="1909" w:type="dxa"/>
            <w:vMerge w:val="continue"/>
            <w:vAlign w:val="center"/>
          </w:tcPr>
          <w:p w14:paraId="1878A7FC">
            <w:pPr>
              <w:widowControl/>
              <w:jc w:val="left"/>
              <w:rPr>
                <w:rFonts w:ascii="Arial" w:hAnsi="Arial" w:eastAsia="宋体" w:cs="Arial"/>
                <w:spacing w:val="10"/>
                <w:sz w:val="21"/>
                <w:szCs w:val="24"/>
              </w:rPr>
            </w:pPr>
          </w:p>
        </w:tc>
        <w:tc>
          <w:tcPr>
            <w:tcW w:w="1558" w:type="dxa"/>
            <w:vAlign w:val="center"/>
          </w:tcPr>
          <w:p w14:paraId="67D12757">
            <w:pPr>
              <w:spacing w:line="240" w:lineRule="exact"/>
              <w:jc w:val="center"/>
              <w:rPr>
                <w:rFonts w:ascii="Arial" w:hAnsi="Arial" w:eastAsia="宋体" w:cs="Arial"/>
                <w:spacing w:val="10"/>
                <w:sz w:val="21"/>
                <w:szCs w:val="24"/>
              </w:rPr>
            </w:pPr>
            <w:r>
              <w:rPr>
                <w:rFonts w:ascii="Arial" w:hAnsi="Arial" w:eastAsia="宋体" w:cs="Arial"/>
                <w:spacing w:val="10"/>
                <w:sz w:val="21"/>
                <w:szCs w:val="24"/>
              </w:rPr>
              <w:t>pH≤5.5</w:t>
            </w:r>
          </w:p>
        </w:tc>
        <w:tc>
          <w:tcPr>
            <w:tcW w:w="1558" w:type="dxa"/>
            <w:vAlign w:val="center"/>
          </w:tcPr>
          <w:p w14:paraId="5DDF28AB">
            <w:pPr>
              <w:spacing w:line="240" w:lineRule="exact"/>
              <w:jc w:val="center"/>
              <w:rPr>
                <w:rFonts w:ascii="Arial" w:hAnsi="Arial" w:eastAsia="宋体" w:cs="Arial"/>
                <w:spacing w:val="10"/>
                <w:sz w:val="21"/>
                <w:szCs w:val="24"/>
              </w:rPr>
            </w:pPr>
            <w:r>
              <w:rPr>
                <w:rFonts w:ascii="Arial" w:hAnsi="Arial" w:eastAsia="宋体" w:cs="Arial"/>
                <w:spacing w:val="10"/>
                <w:sz w:val="21"/>
                <w:szCs w:val="24"/>
              </w:rPr>
              <w:t>5.5＜pH≤6.5</w:t>
            </w:r>
          </w:p>
        </w:tc>
        <w:tc>
          <w:tcPr>
            <w:tcW w:w="1558" w:type="dxa"/>
            <w:vAlign w:val="center"/>
          </w:tcPr>
          <w:p w14:paraId="55280FD2">
            <w:pPr>
              <w:spacing w:line="240" w:lineRule="exact"/>
              <w:jc w:val="center"/>
              <w:rPr>
                <w:rFonts w:ascii="Arial" w:hAnsi="Arial" w:eastAsia="宋体" w:cs="Arial"/>
                <w:spacing w:val="10"/>
                <w:sz w:val="21"/>
                <w:szCs w:val="24"/>
              </w:rPr>
            </w:pPr>
            <w:r>
              <w:rPr>
                <w:rFonts w:ascii="Arial" w:hAnsi="Arial" w:eastAsia="宋体" w:cs="Arial"/>
                <w:spacing w:val="10"/>
                <w:sz w:val="21"/>
                <w:szCs w:val="24"/>
              </w:rPr>
              <w:t>6.5＜pH≤7.5</w:t>
            </w:r>
          </w:p>
        </w:tc>
        <w:tc>
          <w:tcPr>
            <w:tcW w:w="1558" w:type="dxa"/>
            <w:vAlign w:val="center"/>
          </w:tcPr>
          <w:p w14:paraId="7CF3D41C">
            <w:pPr>
              <w:spacing w:line="240" w:lineRule="exact"/>
              <w:jc w:val="center"/>
              <w:rPr>
                <w:rFonts w:ascii="Arial" w:hAnsi="Arial" w:eastAsia="宋体" w:cs="Arial"/>
                <w:spacing w:val="10"/>
                <w:sz w:val="21"/>
                <w:szCs w:val="24"/>
              </w:rPr>
            </w:pPr>
            <w:r>
              <w:rPr>
                <w:rFonts w:ascii="Arial" w:hAnsi="Arial" w:eastAsia="宋体" w:cs="Arial"/>
                <w:spacing w:val="10"/>
                <w:sz w:val="21"/>
                <w:szCs w:val="24"/>
              </w:rPr>
              <w:t>pH＞7.5</w:t>
            </w:r>
          </w:p>
        </w:tc>
      </w:tr>
      <w:tr w14:paraId="37E39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Align w:val="center"/>
          </w:tcPr>
          <w:p w14:paraId="49656B11">
            <w:pPr>
              <w:spacing w:line="240" w:lineRule="exact"/>
              <w:jc w:val="center"/>
              <w:rPr>
                <w:rFonts w:ascii="Arial" w:hAnsi="Arial" w:eastAsia="宋体" w:cs="Arial"/>
                <w:spacing w:val="10"/>
                <w:sz w:val="21"/>
                <w:szCs w:val="24"/>
              </w:rPr>
            </w:pPr>
            <w:r>
              <w:rPr>
                <w:rFonts w:ascii="Arial" w:hAnsi="Arial" w:eastAsia="宋体" w:cs="Arial"/>
                <w:spacing w:val="10"/>
                <w:sz w:val="21"/>
                <w:szCs w:val="24"/>
              </w:rPr>
              <w:t>1</w:t>
            </w:r>
          </w:p>
        </w:tc>
        <w:tc>
          <w:tcPr>
            <w:tcW w:w="1909" w:type="dxa"/>
            <w:vAlign w:val="center"/>
          </w:tcPr>
          <w:p w14:paraId="52C9458A">
            <w:pPr>
              <w:spacing w:line="240" w:lineRule="exact"/>
              <w:jc w:val="center"/>
              <w:rPr>
                <w:rFonts w:ascii="Arial" w:hAnsi="Arial" w:eastAsia="宋体" w:cs="Arial"/>
                <w:spacing w:val="10"/>
                <w:sz w:val="21"/>
                <w:szCs w:val="24"/>
              </w:rPr>
            </w:pPr>
            <w:r>
              <w:rPr>
                <w:rFonts w:ascii="Arial" w:hAnsi="Arial" w:eastAsia="宋体" w:cs="Arial"/>
                <w:spacing w:val="10"/>
                <w:sz w:val="21"/>
                <w:szCs w:val="24"/>
              </w:rPr>
              <w:t>砷</w:t>
            </w:r>
          </w:p>
        </w:tc>
        <w:tc>
          <w:tcPr>
            <w:tcW w:w="1558" w:type="dxa"/>
            <w:vAlign w:val="center"/>
          </w:tcPr>
          <w:p w14:paraId="0E7D9B39">
            <w:pPr>
              <w:spacing w:line="240" w:lineRule="exact"/>
              <w:jc w:val="center"/>
              <w:rPr>
                <w:rFonts w:ascii="Arial" w:hAnsi="Arial" w:eastAsia="宋体" w:cs="Arial"/>
                <w:spacing w:val="10"/>
                <w:sz w:val="21"/>
                <w:szCs w:val="24"/>
              </w:rPr>
            </w:pPr>
            <w:r>
              <w:rPr>
                <w:rFonts w:ascii="Arial" w:hAnsi="Arial" w:eastAsia="宋体" w:cs="Arial"/>
                <w:spacing w:val="10"/>
                <w:sz w:val="21"/>
                <w:szCs w:val="24"/>
              </w:rPr>
              <w:t>40</w:t>
            </w:r>
          </w:p>
        </w:tc>
        <w:tc>
          <w:tcPr>
            <w:tcW w:w="1558" w:type="dxa"/>
            <w:vAlign w:val="center"/>
          </w:tcPr>
          <w:p w14:paraId="03B89641">
            <w:pPr>
              <w:spacing w:line="240" w:lineRule="exact"/>
              <w:jc w:val="center"/>
              <w:rPr>
                <w:rFonts w:ascii="Arial" w:hAnsi="Arial" w:eastAsia="宋体" w:cs="Arial"/>
                <w:spacing w:val="10"/>
                <w:sz w:val="21"/>
                <w:szCs w:val="24"/>
              </w:rPr>
            </w:pPr>
            <w:r>
              <w:rPr>
                <w:rFonts w:ascii="Arial" w:hAnsi="Arial" w:eastAsia="宋体" w:cs="Arial"/>
                <w:spacing w:val="10"/>
                <w:sz w:val="21"/>
                <w:szCs w:val="24"/>
              </w:rPr>
              <w:t>40</w:t>
            </w:r>
          </w:p>
        </w:tc>
        <w:tc>
          <w:tcPr>
            <w:tcW w:w="1558" w:type="dxa"/>
            <w:vAlign w:val="center"/>
          </w:tcPr>
          <w:p w14:paraId="5B68E619">
            <w:pPr>
              <w:spacing w:line="240" w:lineRule="exact"/>
              <w:jc w:val="center"/>
              <w:rPr>
                <w:rFonts w:ascii="Arial" w:hAnsi="Arial" w:eastAsia="宋体" w:cs="Arial"/>
                <w:spacing w:val="10"/>
                <w:sz w:val="21"/>
                <w:szCs w:val="24"/>
              </w:rPr>
            </w:pPr>
            <w:r>
              <w:rPr>
                <w:rFonts w:ascii="Arial" w:hAnsi="Arial" w:eastAsia="宋体" w:cs="Arial"/>
                <w:spacing w:val="10"/>
                <w:sz w:val="21"/>
                <w:szCs w:val="24"/>
              </w:rPr>
              <w:t>30</w:t>
            </w:r>
          </w:p>
        </w:tc>
        <w:tc>
          <w:tcPr>
            <w:tcW w:w="1558" w:type="dxa"/>
            <w:vAlign w:val="center"/>
          </w:tcPr>
          <w:p w14:paraId="6250268B">
            <w:pPr>
              <w:spacing w:line="240" w:lineRule="exact"/>
              <w:jc w:val="center"/>
              <w:rPr>
                <w:rFonts w:ascii="Arial" w:hAnsi="Arial" w:eastAsia="宋体" w:cs="Arial"/>
                <w:spacing w:val="10"/>
                <w:sz w:val="21"/>
                <w:szCs w:val="24"/>
              </w:rPr>
            </w:pPr>
            <w:r>
              <w:rPr>
                <w:rFonts w:ascii="Arial" w:hAnsi="Arial" w:eastAsia="宋体" w:cs="Arial"/>
                <w:spacing w:val="10"/>
                <w:sz w:val="21"/>
                <w:szCs w:val="24"/>
              </w:rPr>
              <w:t>25</w:t>
            </w:r>
          </w:p>
        </w:tc>
      </w:tr>
      <w:tr w14:paraId="7A64E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Align w:val="center"/>
          </w:tcPr>
          <w:p w14:paraId="323346B8">
            <w:pPr>
              <w:spacing w:line="240" w:lineRule="exact"/>
              <w:jc w:val="center"/>
              <w:rPr>
                <w:rFonts w:ascii="Arial" w:hAnsi="Arial" w:eastAsia="宋体" w:cs="Arial"/>
                <w:spacing w:val="10"/>
                <w:sz w:val="21"/>
                <w:szCs w:val="24"/>
              </w:rPr>
            </w:pPr>
            <w:r>
              <w:rPr>
                <w:rFonts w:ascii="Arial" w:hAnsi="Arial" w:eastAsia="宋体" w:cs="Arial"/>
                <w:spacing w:val="10"/>
                <w:sz w:val="21"/>
                <w:szCs w:val="24"/>
              </w:rPr>
              <w:t>2</w:t>
            </w:r>
          </w:p>
        </w:tc>
        <w:tc>
          <w:tcPr>
            <w:tcW w:w="1909" w:type="dxa"/>
            <w:vAlign w:val="center"/>
          </w:tcPr>
          <w:p w14:paraId="742CCD31">
            <w:pPr>
              <w:spacing w:line="240" w:lineRule="exact"/>
              <w:jc w:val="center"/>
              <w:rPr>
                <w:rFonts w:ascii="Arial" w:hAnsi="Arial" w:eastAsia="宋体" w:cs="Arial"/>
                <w:spacing w:val="10"/>
                <w:sz w:val="21"/>
                <w:szCs w:val="24"/>
              </w:rPr>
            </w:pPr>
            <w:r>
              <w:rPr>
                <w:rFonts w:ascii="Arial" w:hAnsi="Arial" w:eastAsia="宋体" w:cs="Arial"/>
                <w:spacing w:val="10"/>
                <w:sz w:val="21"/>
                <w:szCs w:val="24"/>
              </w:rPr>
              <w:t>镉</w:t>
            </w:r>
          </w:p>
        </w:tc>
        <w:tc>
          <w:tcPr>
            <w:tcW w:w="1558" w:type="dxa"/>
            <w:vAlign w:val="center"/>
          </w:tcPr>
          <w:p w14:paraId="75C8D486">
            <w:pPr>
              <w:spacing w:line="240" w:lineRule="exact"/>
              <w:jc w:val="center"/>
              <w:rPr>
                <w:rFonts w:ascii="Arial" w:hAnsi="Arial" w:eastAsia="宋体" w:cs="Arial"/>
                <w:spacing w:val="10"/>
                <w:sz w:val="21"/>
                <w:szCs w:val="24"/>
              </w:rPr>
            </w:pPr>
            <w:r>
              <w:rPr>
                <w:rFonts w:ascii="Arial" w:hAnsi="Arial" w:eastAsia="宋体" w:cs="Arial"/>
                <w:spacing w:val="10"/>
                <w:sz w:val="21"/>
                <w:szCs w:val="24"/>
              </w:rPr>
              <w:t>0.3</w:t>
            </w:r>
          </w:p>
        </w:tc>
        <w:tc>
          <w:tcPr>
            <w:tcW w:w="1558" w:type="dxa"/>
            <w:vAlign w:val="center"/>
          </w:tcPr>
          <w:p w14:paraId="348DFF1C">
            <w:pPr>
              <w:spacing w:line="240" w:lineRule="exact"/>
              <w:jc w:val="center"/>
              <w:rPr>
                <w:rFonts w:ascii="Arial" w:hAnsi="Arial" w:eastAsia="宋体" w:cs="Arial"/>
                <w:spacing w:val="10"/>
                <w:sz w:val="21"/>
                <w:szCs w:val="24"/>
              </w:rPr>
            </w:pPr>
            <w:r>
              <w:rPr>
                <w:rFonts w:ascii="Arial" w:hAnsi="Arial" w:eastAsia="宋体" w:cs="Arial"/>
                <w:spacing w:val="10"/>
                <w:sz w:val="21"/>
                <w:szCs w:val="24"/>
              </w:rPr>
              <w:t>0.3</w:t>
            </w:r>
          </w:p>
        </w:tc>
        <w:tc>
          <w:tcPr>
            <w:tcW w:w="1558" w:type="dxa"/>
            <w:vAlign w:val="center"/>
          </w:tcPr>
          <w:p w14:paraId="46809456">
            <w:pPr>
              <w:spacing w:line="240" w:lineRule="exact"/>
              <w:jc w:val="center"/>
              <w:rPr>
                <w:rFonts w:ascii="Arial" w:hAnsi="Arial" w:eastAsia="宋体" w:cs="Arial"/>
                <w:spacing w:val="10"/>
                <w:sz w:val="21"/>
                <w:szCs w:val="24"/>
              </w:rPr>
            </w:pPr>
            <w:r>
              <w:rPr>
                <w:rFonts w:ascii="Arial" w:hAnsi="Arial" w:eastAsia="宋体" w:cs="Arial"/>
                <w:spacing w:val="10"/>
                <w:sz w:val="21"/>
                <w:szCs w:val="24"/>
              </w:rPr>
              <w:t>0.3</w:t>
            </w:r>
          </w:p>
        </w:tc>
        <w:tc>
          <w:tcPr>
            <w:tcW w:w="1558" w:type="dxa"/>
            <w:vAlign w:val="center"/>
          </w:tcPr>
          <w:p w14:paraId="4DC785CD">
            <w:pPr>
              <w:spacing w:line="240" w:lineRule="exact"/>
              <w:jc w:val="center"/>
              <w:rPr>
                <w:rFonts w:ascii="Arial" w:hAnsi="Arial" w:eastAsia="宋体" w:cs="Arial"/>
                <w:spacing w:val="10"/>
                <w:sz w:val="21"/>
                <w:szCs w:val="24"/>
              </w:rPr>
            </w:pPr>
            <w:r>
              <w:rPr>
                <w:rFonts w:ascii="Arial" w:hAnsi="Arial" w:eastAsia="宋体" w:cs="Arial"/>
                <w:spacing w:val="10"/>
                <w:sz w:val="21"/>
                <w:szCs w:val="24"/>
              </w:rPr>
              <w:t>0.6</w:t>
            </w:r>
          </w:p>
        </w:tc>
      </w:tr>
      <w:tr w14:paraId="17963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Align w:val="center"/>
          </w:tcPr>
          <w:p w14:paraId="0CC4767A">
            <w:pPr>
              <w:spacing w:line="240" w:lineRule="exact"/>
              <w:jc w:val="center"/>
              <w:rPr>
                <w:rFonts w:ascii="Arial" w:hAnsi="Arial" w:eastAsia="宋体" w:cs="Arial"/>
                <w:spacing w:val="10"/>
                <w:sz w:val="21"/>
                <w:szCs w:val="24"/>
              </w:rPr>
            </w:pPr>
            <w:r>
              <w:rPr>
                <w:rFonts w:ascii="Arial" w:hAnsi="Arial" w:eastAsia="宋体" w:cs="Arial"/>
                <w:spacing w:val="10"/>
                <w:sz w:val="21"/>
                <w:szCs w:val="24"/>
              </w:rPr>
              <w:t>3</w:t>
            </w:r>
          </w:p>
        </w:tc>
        <w:tc>
          <w:tcPr>
            <w:tcW w:w="1909" w:type="dxa"/>
            <w:vAlign w:val="center"/>
          </w:tcPr>
          <w:p w14:paraId="6801E5C8">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铬</w:t>
            </w:r>
          </w:p>
        </w:tc>
        <w:tc>
          <w:tcPr>
            <w:tcW w:w="1558" w:type="dxa"/>
            <w:vAlign w:val="center"/>
          </w:tcPr>
          <w:p w14:paraId="2BD92417">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150</w:t>
            </w:r>
          </w:p>
        </w:tc>
        <w:tc>
          <w:tcPr>
            <w:tcW w:w="1558" w:type="dxa"/>
            <w:vAlign w:val="center"/>
          </w:tcPr>
          <w:p w14:paraId="444A588D">
            <w:pPr>
              <w:spacing w:line="240" w:lineRule="exact"/>
              <w:jc w:val="center"/>
              <w:rPr>
                <w:rFonts w:ascii="Arial" w:hAnsi="Arial" w:eastAsia="宋体" w:cs="Arial"/>
                <w:spacing w:val="10"/>
                <w:sz w:val="21"/>
                <w:szCs w:val="24"/>
              </w:rPr>
            </w:pPr>
            <w:r>
              <w:rPr>
                <w:rFonts w:ascii="Arial" w:hAnsi="Arial" w:eastAsia="宋体" w:cs="Arial"/>
                <w:spacing w:val="10"/>
                <w:sz w:val="21"/>
                <w:szCs w:val="24"/>
              </w:rPr>
              <w:t>150</w:t>
            </w:r>
          </w:p>
        </w:tc>
        <w:tc>
          <w:tcPr>
            <w:tcW w:w="1558" w:type="dxa"/>
            <w:vAlign w:val="center"/>
          </w:tcPr>
          <w:p w14:paraId="7333FD06">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w:t>
            </w:r>
          </w:p>
        </w:tc>
        <w:tc>
          <w:tcPr>
            <w:tcW w:w="1558" w:type="dxa"/>
            <w:vAlign w:val="center"/>
          </w:tcPr>
          <w:p w14:paraId="2C7ECD49">
            <w:pPr>
              <w:spacing w:line="240" w:lineRule="exact"/>
              <w:jc w:val="center"/>
              <w:rPr>
                <w:rFonts w:ascii="Arial" w:hAnsi="Arial" w:eastAsia="宋体" w:cs="Arial"/>
                <w:spacing w:val="10"/>
                <w:sz w:val="21"/>
                <w:szCs w:val="24"/>
              </w:rPr>
            </w:pPr>
            <w:r>
              <w:rPr>
                <w:rFonts w:ascii="Arial" w:hAnsi="Arial" w:eastAsia="宋体" w:cs="Arial"/>
                <w:spacing w:val="10"/>
                <w:sz w:val="21"/>
                <w:szCs w:val="24"/>
              </w:rPr>
              <w:t>250</w:t>
            </w:r>
          </w:p>
        </w:tc>
      </w:tr>
      <w:tr w14:paraId="075F4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Align w:val="center"/>
          </w:tcPr>
          <w:p w14:paraId="78EE05C0">
            <w:pPr>
              <w:spacing w:line="240" w:lineRule="exact"/>
              <w:jc w:val="center"/>
              <w:rPr>
                <w:rFonts w:ascii="Arial" w:hAnsi="Arial" w:eastAsia="宋体" w:cs="Arial"/>
                <w:spacing w:val="10"/>
                <w:sz w:val="21"/>
                <w:szCs w:val="24"/>
              </w:rPr>
            </w:pPr>
            <w:r>
              <w:rPr>
                <w:rFonts w:ascii="Arial" w:hAnsi="Arial" w:eastAsia="宋体" w:cs="Arial"/>
                <w:spacing w:val="10"/>
                <w:sz w:val="21"/>
                <w:szCs w:val="24"/>
              </w:rPr>
              <w:t>4</w:t>
            </w:r>
          </w:p>
        </w:tc>
        <w:tc>
          <w:tcPr>
            <w:tcW w:w="1909" w:type="dxa"/>
            <w:vAlign w:val="center"/>
          </w:tcPr>
          <w:p w14:paraId="5E5F7CBA">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铜</w:t>
            </w:r>
          </w:p>
        </w:tc>
        <w:tc>
          <w:tcPr>
            <w:tcW w:w="1558" w:type="dxa"/>
            <w:vAlign w:val="center"/>
          </w:tcPr>
          <w:p w14:paraId="1040CDA8">
            <w:pPr>
              <w:spacing w:line="240" w:lineRule="exact"/>
              <w:jc w:val="center"/>
              <w:rPr>
                <w:rFonts w:ascii="Arial" w:hAnsi="Arial" w:eastAsia="宋体" w:cs="Arial"/>
                <w:spacing w:val="10"/>
                <w:sz w:val="21"/>
                <w:szCs w:val="24"/>
              </w:rPr>
            </w:pPr>
            <w:r>
              <w:rPr>
                <w:rFonts w:ascii="Arial" w:hAnsi="Arial" w:eastAsia="宋体" w:cs="Arial"/>
                <w:spacing w:val="10"/>
                <w:sz w:val="21"/>
                <w:szCs w:val="24"/>
              </w:rPr>
              <w:t>50</w:t>
            </w:r>
          </w:p>
        </w:tc>
        <w:tc>
          <w:tcPr>
            <w:tcW w:w="1558" w:type="dxa"/>
            <w:vAlign w:val="center"/>
          </w:tcPr>
          <w:p w14:paraId="211E5098">
            <w:pPr>
              <w:spacing w:line="240" w:lineRule="exact"/>
              <w:jc w:val="center"/>
              <w:rPr>
                <w:rFonts w:ascii="Arial" w:hAnsi="Arial" w:eastAsia="宋体" w:cs="Arial"/>
                <w:spacing w:val="10"/>
                <w:sz w:val="21"/>
                <w:szCs w:val="24"/>
              </w:rPr>
            </w:pPr>
            <w:r>
              <w:rPr>
                <w:rFonts w:ascii="Arial" w:hAnsi="Arial" w:eastAsia="宋体" w:cs="Arial"/>
                <w:spacing w:val="10"/>
                <w:sz w:val="21"/>
                <w:szCs w:val="24"/>
              </w:rPr>
              <w:t>50</w:t>
            </w:r>
          </w:p>
        </w:tc>
        <w:tc>
          <w:tcPr>
            <w:tcW w:w="1558" w:type="dxa"/>
            <w:vAlign w:val="center"/>
          </w:tcPr>
          <w:p w14:paraId="2306914A">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w:t>
            </w:r>
          </w:p>
        </w:tc>
        <w:tc>
          <w:tcPr>
            <w:tcW w:w="1558" w:type="dxa"/>
            <w:vAlign w:val="center"/>
          </w:tcPr>
          <w:p w14:paraId="4E0094F4">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w:t>
            </w:r>
          </w:p>
        </w:tc>
      </w:tr>
      <w:tr w14:paraId="785A9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Align w:val="center"/>
          </w:tcPr>
          <w:p w14:paraId="6C9A92EB">
            <w:pPr>
              <w:spacing w:line="240" w:lineRule="exact"/>
              <w:jc w:val="center"/>
              <w:rPr>
                <w:rFonts w:ascii="Arial" w:hAnsi="Arial" w:eastAsia="宋体" w:cs="Arial"/>
                <w:spacing w:val="10"/>
                <w:sz w:val="21"/>
                <w:szCs w:val="24"/>
              </w:rPr>
            </w:pPr>
            <w:r>
              <w:rPr>
                <w:rFonts w:ascii="Arial" w:hAnsi="Arial" w:eastAsia="宋体" w:cs="Arial"/>
                <w:spacing w:val="10"/>
                <w:sz w:val="21"/>
                <w:szCs w:val="24"/>
              </w:rPr>
              <w:t>5</w:t>
            </w:r>
          </w:p>
        </w:tc>
        <w:tc>
          <w:tcPr>
            <w:tcW w:w="1909" w:type="dxa"/>
            <w:vAlign w:val="center"/>
          </w:tcPr>
          <w:p w14:paraId="0103307E">
            <w:pPr>
              <w:spacing w:line="240" w:lineRule="exact"/>
              <w:jc w:val="center"/>
              <w:rPr>
                <w:rFonts w:ascii="Arial" w:hAnsi="Arial" w:eastAsia="宋体" w:cs="Arial"/>
                <w:spacing w:val="10"/>
                <w:sz w:val="21"/>
                <w:szCs w:val="24"/>
              </w:rPr>
            </w:pPr>
            <w:r>
              <w:rPr>
                <w:rFonts w:ascii="Arial" w:hAnsi="Arial" w:eastAsia="宋体" w:cs="Arial"/>
                <w:spacing w:val="10"/>
                <w:sz w:val="21"/>
                <w:szCs w:val="24"/>
              </w:rPr>
              <w:t>铅</w:t>
            </w:r>
          </w:p>
        </w:tc>
        <w:tc>
          <w:tcPr>
            <w:tcW w:w="1558" w:type="dxa"/>
            <w:vAlign w:val="center"/>
          </w:tcPr>
          <w:p w14:paraId="726813A2">
            <w:pPr>
              <w:spacing w:line="240" w:lineRule="exact"/>
              <w:jc w:val="center"/>
              <w:rPr>
                <w:rFonts w:ascii="Arial" w:hAnsi="Arial" w:eastAsia="宋体" w:cs="Arial"/>
                <w:spacing w:val="10"/>
                <w:sz w:val="21"/>
                <w:szCs w:val="24"/>
              </w:rPr>
            </w:pPr>
            <w:r>
              <w:rPr>
                <w:rFonts w:ascii="Arial" w:hAnsi="Arial" w:eastAsia="宋体" w:cs="Arial"/>
                <w:spacing w:val="10"/>
                <w:sz w:val="21"/>
                <w:szCs w:val="24"/>
              </w:rPr>
              <w:t>70</w:t>
            </w:r>
          </w:p>
        </w:tc>
        <w:tc>
          <w:tcPr>
            <w:tcW w:w="1558" w:type="dxa"/>
            <w:vAlign w:val="center"/>
          </w:tcPr>
          <w:p w14:paraId="1DC62118">
            <w:pPr>
              <w:spacing w:line="240" w:lineRule="exact"/>
              <w:jc w:val="center"/>
              <w:rPr>
                <w:rFonts w:ascii="Arial" w:hAnsi="Arial" w:eastAsia="宋体" w:cs="Arial"/>
                <w:spacing w:val="10"/>
                <w:sz w:val="21"/>
                <w:szCs w:val="24"/>
              </w:rPr>
            </w:pPr>
            <w:r>
              <w:rPr>
                <w:rFonts w:ascii="Arial" w:hAnsi="Arial" w:eastAsia="宋体" w:cs="Arial"/>
                <w:spacing w:val="10"/>
                <w:sz w:val="21"/>
                <w:szCs w:val="24"/>
              </w:rPr>
              <w:t>90</w:t>
            </w:r>
          </w:p>
        </w:tc>
        <w:tc>
          <w:tcPr>
            <w:tcW w:w="1558" w:type="dxa"/>
            <w:vAlign w:val="center"/>
          </w:tcPr>
          <w:p w14:paraId="54F062AB">
            <w:pPr>
              <w:spacing w:line="240" w:lineRule="exact"/>
              <w:jc w:val="center"/>
              <w:rPr>
                <w:rFonts w:ascii="Arial" w:hAnsi="Arial" w:eastAsia="宋体" w:cs="Arial"/>
                <w:spacing w:val="10"/>
                <w:sz w:val="21"/>
                <w:szCs w:val="24"/>
              </w:rPr>
            </w:pPr>
            <w:r>
              <w:rPr>
                <w:rFonts w:ascii="Arial" w:hAnsi="Arial" w:eastAsia="宋体" w:cs="Arial"/>
                <w:spacing w:val="10"/>
                <w:sz w:val="21"/>
                <w:szCs w:val="24"/>
              </w:rPr>
              <w:t>120</w:t>
            </w:r>
          </w:p>
        </w:tc>
        <w:tc>
          <w:tcPr>
            <w:tcW w:w="1558" w:type="dxa"/>
            <w:vAlign w:val="center"/>
          </w:tcPr>
          <w:p w14:paraId="250628DE">
            <w:pPr>
              <w:spacing w:line="240" w:lineRule="exact"/>
              <w:jc w:val="center"/>
              <w:rPr>
                <w:rFonts w:ascii="Arial" w:hAnsi="Arial" w:eastAsia="宋体" w:cs="Arial"/>
                <w:spacing w:val="10"/>
                <w:sz w:val="21"/>
                <w:szCs w:val="24"/>
              </w:rPr>
            </w:pPr>
            <w:r>
              <w:rPr>
                <w:rFonts w:ascii="Arial" w:hAnsi="Arial" w:eastAsia="宋体" w:cs="Arial"/>
                <w:spacing w:val="10"/>
                <w:sz w:val="21"/>
                <w:szCs w:val="24"/>
              </w:rPr>
              <w:t>170</w:t>
            </w:r>
          </w:p>
        </w:tc>
      </w:tr>
      <w:tr w14:paraId="1F795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Align w:val="center"/>
          </w:tcPr>
          <w:p w14:paraId="459E3E84">
            <w:pPr>
              <w:spacing w:line="240" w:lineRule="exact"/>
              <w:jc w:val="center"/>
              <w:rPr>
                <w:rFonts w:ascii="Arial" w:hAnsi="Arial" w:eastAsia="宋体" w:cs="Arial"/>
                <w:spacing w:val="10"/>
                <w:sz w:val="21"/>
                <w:szCs w:val="24"/>
              </w:rPr>
            </w:pPr>
            <w:r>
              <w:rPr>
                <w:rFonts w:ascii="Arial" w:hAnsi="Arial" w:eastAsia="宋体" w:cs="Arial"/>
                <w:spacing w:val="10"/>
                <w:sz w:val="21"/>
                <w:szCs w:val="24"/>
              </w:rPr>
              <w:t>6</w:t>
            </w:r>
          </w:p>
        </w:tc>
        <w:tc>
          <w:tcPr>
            <w:tcW w:w="1909" w:type="dxa"/>
            <w:vAlign w:val="center"/>
          </w:tcPr>
          <w:p w14:paraId="62D137FA">
            <w:pPr>
              <w:spacing w:line="240" w:lineRule="exact"/>
              <w:jc w:val="center"/>
              <w:rPr>
                <w:rFonts w:ascii="Arial" w:hAnsi="Arial" w:eastAsia="宋体" w:cs="Arial"/>
                <w:spacing w:val="10"/>
                <w:sz w:val="21"/>
                <w:szCs w:val="24"/>
              </w:rPr>
            </w:pPr>
            <w:r>
              <w:rPr>
                <w:rFonts w:ascii="Arial" w:hAnsi="Arial" w:eastAsia="宋体" w:cs="Arial"/>
                <w:spacing w:val="10"/>
                <w:sz w:val="21"/>
                <w:szCs w:val="24"/>
              </w:rPr>
              <w:t>汞</w:t>
            </w:r>
          </w:p>
        </w:tc>
        <w:tc>
          <w:tcPr>
            <w:tcW w:w="1558" w:type="dxa"/>
            <w:vAlign w:val="center"/>
          </w:tcPr>
          <w:p w14:paraId="0F5D4C7D">
            <w:pPr>
              <w:spacing w:line="240" w:lineRule="exact"/>
              <w:jc w:val="center"/>
              <w:rPr>
                <w:rFonts w:ascii="Arial" w:hAnsi="Arial" w:eastAsia="宋体" w:cs="Arial"/>
                <w:spacing w:val="10"/>
                <w:sz w:val="21"/>
                <w:szCs w:val="24"/>
              </w:rPr>
            </w:pPr>
            <w:r>
              <w:rPr>
                <w:rFonts w:ascii="Arial" w:hAnsi="Arial" w:eastAsia="宋体" w:cs="Arial"/>
                <w:spacing w:val="10"/>
                <w:sz w:val="21"/>
                <w:szCs w:val="24"/>
              </w:rPr>
              <w:t>1.3</w:t>
            </w:r>
          </w:p>
        </w:tc>
        <w:tc>
          <w:tcPr>
            <w:tcW w:w="1558" w:type="dxa"/>
            <w:vAlign w:val="center"/>
          </w:tcPr>
          <w:p w14:paraId="094C02A6">
            <w:pPr>
              <w:spacing w:line="240" w:lineRule="exact"/>
              <w:jc w:val="center"/>
              <w:rPr>
                <w:rFonts w:ascii="Arial" w:hAnsi="Arial" w:eastAsia="宋体" w:cs="Arial"/>
                <w:spacing w:val="10"/>
                <w:sz w:val="21"/>
                <w:szCs w:val="24"/>
              </w:rPr>
            </w:pPr>
            <w:r>
              <w:rPr>
                <w:rFonts w:ascii="Arial" w:hAnsi="Arial" w:eastAsia="宋体" w:cs="Arial"/>
                <w:spacing w:val="10"/>
                <w:sz w:val="21"/>
                <w:szCs w:val="24"/>
              </w:rPr>
              <w:t>1.8</w:t>
            </w:r>
          </w:p>
        </w:tc>
        <w:tc>
          <w:tcPr>
            <w:tcW w:w="1558" w:type="dxa"/>
            <w:vAlign w:val="center"/>
          </w:tcPr>
          <w:p w14:paraId="440E465D">
            <w:pPr>
              <w:spacing w:line="240" w:lineRule="exact"/>
              <w:jc w:val="center"/>
              <w:rPr>
                <w:rFonts w:ascii="Arial" w:hAnsi="Arial" w:eastAsia="宋体" w:cs="Arial"/>
                <w:spacing w:val="10"/>
                <w:sz w:val="21"/>
                <w:szCs w:val="24"/>
              </w:rPr>
            </w:pPr>
            <w:r>
              <w:rPr>
                <w:rFonts w:ascii="Arial" w:hAnsi="Arial" w:eastAsia="宋体" w:cs="Arial"/>
                <w:spacing w:val="10"/>
                <w:sz w:val="21"/>
                <w:szCs w:val="24"/>
              </w:rPr>
              <w:t>2.4</w:t>
            </w:r>
          </w:p>
        </w:tc>
        <w:tc>
          <w:tcPr>
            <w:tcW w:w="1558" w:type="dxa"/>
            <w:vAlign w:val="center"/>
          </w:tcPr>
          <w:p w14:paraId="72AE3021">
            <w:pPr>
              <w:spacing w:line="240" w:lineRule="exact"/>
              <w:jc w:val="center"/>
              <w:rPr>
                <w:rFonts w:ascii="Arial" w:hAnsi="Arial" w:eastAsia="宋体" w:cs="Arial"/>
                <w:spacing w:val="10"/>
                <w:sz w:val="21"/>
                <w:szCs w:val="24"/>
              </w:rPr>
            </w:pPr>
            <w:r>
              <w:rPr>
                <w:rFonts w:ascii="Arial" w:hAnsi="Arial" w:eastAsia="宋体" w:cs="Arial"/>
                <w:spacing w:val="10"/>
                <w:sz w:val="21"/>
                <w:szCs w:val="24"/>
              </w:rPr>
              <w:t>3.4</w:t>
            </w:r>
          </w:p>
        </w:tc>
      </w:tr>
      <w:tr w14:paraId="350A7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Align w:val="center"/>
          </w:tcPr>
          <w:p w14:paraId="0C8DFC96">
            <w:pPr>
              <w:spacing w:line="240" w:lineRule="exact"/>
              <w:jc w:val="center"/>
              <w:rPr>
                <w:rFonts w:ascii="Arial" w:hAnsi="Arial" w:eastAsia="宋体" w:cs="Arial"/>
                <w:spacing w:val="10"/>
                <w:sz w:val="21"/>
                <w:szCs w:val="24"/>
              </w:rPr>
            </w:pPr>
            <w:r>
              <w:rPr>
                <w:rFonts w:ascii="Arial" w:hAnsi="Arial" w:eastAsia="宋体" w:cs="Arial"/>
                <w:spacing w:val="10"/>
                <w:sz w:val="21"/>
                <w:szCs w:val="24"/>
              </w:rPr>
              <w:t>7</w:t>
            </w:r>
          </w:p>
        </w:tc>
        <w:tc>
          <w:tcPr>
            <w:tcW w:w="1909" w:type="dxa"/>
            <w:vAlign w:val="center"/>
          </w:tcPr>
          <w:p w14:paraId="3E1FBD31">
            <w:pPr>
              <w:spacing w:line="240" w:lineRule="exact"/>
              <w:jc w:val="center"/>
              <w:rPr>
                <w:rFonts w:ascii="Arial" w:hAnsi="Arial" w:eastAsia="宋体" w:cs="Arial"/>
                <w:spacing w:val="10"/>
                <w:sz w:val="21"/>
                <w:szCs w:val="24"/>
              </w:rPr>
            </w:pPr>
            <w:r>
              <w:rPr>
                <w:rFonts w:ascii="Arial" w:hAnsi="Arial" w:eastAsia="宋体" w:cs="Arial"/>
                <w:spacing w:val="10"/>
                <w:sz w:val="21"/>
                <w:szCs w:val="24"/>
              </w:rPr>
              <w:t>镍</w:t>
            </w:r>
          </w:p>
        </w:tc>
        <w:tc>
          <w:tcPr>
            <w:tcW w:w="1558" w:type="dxa"/>
            <w:vAlign w:val="center"/>
          </w:tcPr>
          <w:p w14:paraId="62A9CB34">
            <w:pPr>
              <w:spacing w:line="240" w:lineRule="exact"/>
              <w:jc w:val="center"/>
              <w:rPr>
                <w:rFonts w:ascii="Arial" w:hAnsi="Arial" w:eastAsia="宋体" w:cs="Arial"/>
                <w:spacing w:val="10"/>
                <w:sz w:val="21"/>
                <w:szCs w:val="24"/>
              </w:rPr>
            </w:pPr>
            <w:r>
              <w:rPr>
                <w:rFonts w:ascii="Arial" w:hAnsi="Arial" w:eastAsia="宋体" w:cs="Arial"/>
                <w:spacing w:val="10"/>
                <w:sz w:val="21"/>
                <w:szCs w:val="24"/>
              </w:rPr>
              <w:t>60</w:t>
            </w:r>
          </w:p>
        </w:tc>
        <w:tc>
          <w:tcPr>
            <w:tcW w:w="1558" w:type="dxa"/>
            <w:vAlign w:val="center"/>
          </w:tcPr>
          <w:p w14:paraId="26E571E5">
            <w:pPr>
              <w:spacing w:line="240" w:lineRule="exact"/>
              <w:jc w:val="center"/>
              <w:rPr>
                <w:rFonts w:ascii="Arial" w:hAnsi="Arial" w:eastAsia="宋体" w:cs="Arial"/>
                <w:spacing w:val="10"/>
                <w:sz w:val="21"/>
                <w:szCs w:val="24"/>
              </w:rPr>
            </w:pPr>
            <w:r>
              <w:rPr>
                <w:rFonts w:ascii="Arial" w:hAnsi="Arial" w:eastAsia="宋体" w:cs="Arial"/>
                <w:spacing w:val="10"/>
                <w:sz w:val="21"/>
                <w:szCs w:val="24"/>
              </w:rPr>
              <w:t>70</w:t>
            </w:r>
          </w:p>
        </w:tc>
        <w:tc>
          <w:tcPr>
            <w:tcW w:w="1558" w:type="dxa"/>
            <w:vAlign w:val="center"/>
          </w:tcPr>
          <w:p w14:paraId="4B4F162A">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w:t>
            </w:r>
          </w:p>
        </w:tc>
        <w:tc>
          <w:tcPr>
            <w:tcW w:w="1558" w:type="dxa"/>
            <w:vAlign w:val="center"/>
          </w:tcPr>
          <w:p w14:paraId="34121709">
            <w:pPr>
              <w:spacing w:line="240" w:lineRule="exact"/>
              <w:jc w:val="center"/>
              <w:rPr>
                <w:rFonts w:ascii="Arial" w:hAnsi="Arial" w:eastAsia="宋体" w:cs="Arial"/>
                <w:spacing w:val="10"/>
                <w:sz w:val="21"/>
                <w:szCs w:val="24"/>
              </w:rPr>
            </w:pPr>
            <w:r>
              <w:rPr>
                <w:rFonts w:ascii="Arial" w:hAnsi="Arial" w:eastAsia="宋体" w:cs="Arial"/>
                <w:spacing w:val="10"/>
                <w:sz w:val="21"/>
                <w:szCs w:val="24"/>
              </w:rPr>
              <w:t>190</w:t>
            </w:r>
          </w:p>
        </w:tc>
      </w:tr>
      <w:tr w14:paraId="69F54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dxa"/>
            <w:vAlign w:val="center"/>
          </w:tcPr>
          <w:p w14:paraId="6E59F81A">
            <w:pPr>
              <w:spacing w:line="240" w:lineRule="exact"/>
              <w:jc w:val="center"/>
              <w:rPr>
                <w:rFonts w:ascii="Arial" w:hAnsi="Arial" w:eastAsia="宋体" w:cs="Arial"/>
                <w:spacing w:val="10"/>
                <w:sz w:val="21"/>
                <w:szCs w:val="24"/>
              </w:rPr>
            </w:pPr>
            <w:r>
              <w:rPr>
                <w:rFonts w:ascii="Arial" w:hAnsi="Arial" w:eastAsia="宋体" w:cs="Arial"/>
                <w:spacing w:val="10"/>
                <w:sz w:val="21"/>
                <w:szCs w:val="24"/>
              </w:rPr>
              <w:t>8</w:t>
            </w:r>
          </w:p>
        </w:tc>
        <w:tc>
          <w:tcPr>
            <w:tcW w:w="1909" w:type="dxa"/>
            <w:vAlign w:val="center"/>
          </w:tcPr>
          <w:p w14:paraId="0C900272">
            <w:pPr>
              <w:spacing w:line="240" w:lineRule="exact"/>
              <w:jc w:val="center"/>
              <w:rPr>
                <w:rFonts w:ascii="Arial" w:hAnsi="Arial" w:eastAsia="宋体" w:cs="Arial"/>
                <w:spacing w:val="10"/>
                <w:sz w:val="21"/>
                <w:szCs w:val="24"/>
              </w:rPr>
            </w:pPr>
            <w:r>
              <w:rPr>
                <w:rFonts w:ascii="Arial" w:hAnsi="Arial" w:eastAsia="宋体" w:cs="Arial"/>
                <w:spacing w:val="10"/>
                <w:sz w:val="21"/>
                <w:szCs w:val="24"/>
              </w:rPr>
              <w:t>锌</w:t>
            </w:r>
          </w:p>
        </w:tc>
        <w:tc>
          <w:tcPr>
            <w:tcW w:w="1558" w:type="dxa"/>
            <w:vAlign w:val="center"/>
          </w:tcPr>
          <w:p w14:paraId="0BBA92C7">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w:t>
            </w:r>
          </w:p>
        </w:tc>
        <w:tc>
          <w:tcPr>
            <w:tcW w:w="1558" w:type="dxa"/>
            <w:vAlign w:val="center"/>
          </w:tcPr>
          <w:p w14:paraId="0F9D9B16">
            <w:pPr>
              <w:spacing w:line="240" w:lineRule="exact"/>
              <w:jc w:val="center"/>
              <w:rPr>
                <w:rFonts w:ascii="Arial" w:hAnsi="Arial" w:eastAsia="宋体" w:cs="Arial"/>
                <w:spacing w:val="10"/>
                <w:sz w:val="21"/>
                <w:szCs w:val="24"/>
              </w:rPr>
            </w:pPr>
            <w:r>
              <w:rPr>
                <w:rFonts w:ascii="Arial" w:hAnsi="Arial" w:eastAsia="宋体" w:cs="Arial"/>
                <w:spacing w:val="10"/>
                <w:sz w:val="21"/>
                <w:szCs w:val="24"/>
              </w:rPr>
              <w:t>200</w:t>
            </w:r>
          </w:p>
        </w:tc>
        <w:tc>
          <w:tcPr>
            <w:tcW w:w="1558" w:type="dxa"/>
            <w:vAlign w:val="center"/>
          </w:tcPr>
          <w:p w14:paraId="2C5356B6">
            <w:pPr>
              <w:spacing w:line="240" w:lineRule="exact"/>
              <w:jc w:val="center"/>
              <w:rPr>
                <w:rFonts w:ascii="Arial" w:hAnsi="Arial" w:eastAsia="宋体" w:cs="Arial"/>
                <w:spacing w:val="10"/>
                <w:sz w:val="21"/>
                <w:szCs w:val="24"/>
              </w:rPr>
            </w:pPr>
            <w:r>
              <w:rPr>
                <w:rFonts w:ascii="Arial" w:hAnsi="Arial" w:eastAsia="宋体" w:cs="Arial"/>
                <w:spacing w:val="10"/>
                <w:sz w:val="21"/>
                <w:szCs w:val="24"/>
              </w:rPr>
              <w:t>250</w:t>
            </w:r>
          </w:p>
        </w:tc>
        <w:tc>
          <w:tcPr>
            <w:tcW w:w="1558" w:type="dxa"/>
            <w:vAlign w:val="center"/>
          </w:tcPr>
          <w:p w14:paraId="1432550B">
            <w:pPr>
              <w:spacing w:line="240" w:lineRule="exact"/>
              <w:jc w:val="center"/>
              <w:rPr>
                <w:rFonts w:ascii="Arial" w:hAnsi="Arial" w:eastAsia="宋体" w:cs="Arial"/>
                <w:spacing w:val="10"/>
                <w:sz w:val="21"/>
                <w:szCs w:val="24"/>
              </w:rPr>
            </w:pPr>
            <w:r>
              <w:rPr>
                <w:rFonts w:ascii="Arial" w:hAnsi="Arial" w:eastAsia="宋体" w:cs="Arial"/>
                <w:spacing w:val="10"/>
                <w:sz w:val="21"/>
                <w:szCs w:val="24"/>
              </w:rPr>
              <w:t>300</w:t>
            </w:r>
          </w:p>
        </w:tc>
      </w:tr>
    </w:tbl>
    <w:p w14:paraId="00CDFA41">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w:t>
      </w:r>
      <w:r>
        <w:rPr>
          <w:rFonts w:ascii="Arial" w:hAnsi="Arial" w:eastAsia="宋体" w:cs="Arial"/>
          <w:b/>
          <w:spacing w:val="10"/>
          <w:kern w:val="0"/>
          <w:sz w:val="24"/>
          <w:szCs w:val="24"/>
        </w:rPr>
        <w:t>建设用地土壤污染风险管筛选值和管制值</w:t>
      </w:r>
      <w:r>
        <w:rPr>
          <w:rFonts w:ascii="Arial" w:hAnsi="Arial" w:eastAsia="宋体" w:cs="Arial"/>
          <w:b/>
          <w:sz w:val="24"/>
        </w:rPr>
        <w:t>》（摘录）  单位：mg/kg</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1559"/>
        <w:gridCol w:w="1561"/>
        <w:gridCol w:w="1146"/>
        <w:gridCol w:w="1119"/>
        <w:gridCol w:w="1275"/>
        <w:gridCol w:w="1515"/>
      </w:tblGrid>
      <w:tr w14:paraId="0D2E4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blHeader/>
          <w:jc w:val="center"/>
        </w:trPr>
        <w:tc>
          <w:tcPr>
            <w:tcW w:w="455" w:type="pct"/>
            <w:vMerge w:val="restart"/>
            <w:vAlign w:val="center"/>
          </w:tcPr>
          <w:p w14:paraId="79063141">
            <w:pPr>
              <w:spacing w:line="240" w:lineRule="exact"/>
              <w:jc w:val="center"/>
              <w:rPr>
                <w:rFonts w:ascii="Arial" w:hAnsi="Arial" w:eastAsia="宋体" w:cs="Arial"/>
                <w:spacing w:val="10"/>
                <w:sz w:val="21"/>
                <w:szCs w:val="24"/>
              </w:rPr>
            </w:pPr>
            <w:r>
              <w:rPr>
                <w:rFonts w:ascii="Arial" w:hAnsi="Arial" w:eastAsia="宋体" w:cs="Arial"/>
                <w:spacing w:val="10"/>
                <w:sz w:val="21"/>
                <w:szCs w:val="24"/>
              </w:rPr>
              <w:t>序号</w:t>
            </w:r>
          </w:p>
        </w:tc>
        <w:tc>
          <w:tcPr>
            <w:tcW w:w="867" w:type="pct"/>
            <w:vMerge w:val="restart"/>
            <w:vAlign w:val="center"/>
          </w:tcPr>
          <w:p w14:paraId="7D9C79CE">
            <w:pPr>
              <w:spacing w:line="240" w:lineRule="exact"/>
              <w:jc w:val="center"/>
              <w:rPr>
                <w:rFonts w:ascii="Arial" w:hAnsi="Arial" w:eastAsia="宋体" w:cs="Arial"/>
                <w:spacing w:val="10"/>
                <w:sz w:val="21"/>
                <w:szCs w:val="24"/>
              </w:rPr>
            </w:pPr>
            <w:r>
              <w:rPr>
                <w:rFonts w:ascii="Arial" w:hAnsi="Arial" w:eastAsia="宋体" w:cs="Arial"/>
                <w:spacing w:val="10"/>
                <w:sz w:val="21"/>
                <w:szCs w:val="24"/>
              </w:rPr>
              <w:t>污染物项目</w:t>
            </w:r>
          </w:p>
        </w:tc>
        <w:tc>
          <w:tcPr>
            <w:tcW w:w="868" w:type="pct"/>
            <w:vMerge w:val="restart"/>
            <w:vAlign w:val="center"/>
          </w:tcPr>
          <w:p w14:paraId="76F9CE7E">
            <w:pPr>
              <w:spacing w:line="240" w:lineRule="exact"/>
              <w:jc w:val="center"/>
              <w:rPr>
                <w:rFonts w:ascii="Arial" w:hAnsi="Arial" w:eastAsia="宋体" w:cs="Arial"/>
                <w:spacing w:val="10"/>
                <w:sz w:val="21"/>
                <w:szCs w:val="24"/>
              </w:rPr>
            </w:pPr>
            <w:r>
              <w:rPr>
                <w:rFonts w:ascii="Arial" w:hAnsi="Arial" w:eastAsia="宋体" w:cs="Arial"/>
                <w:spacing w:val="10"/>
                <w:sz w:val="21"/>
                <w:szCs w:val="24"/>
              </w:rPr>
              <w:t>CAS编号</w:t>
            </w:r>
          </w:p>
        </w:tc>
        <w:tc>
          <w:tcPr>
            <w:tcW w:w="1259" w:type="pct"/>
            <w:gridSpan w:val="2"/>
            <w:vAlign w:val="center"/>
          </w:tcPr>
          <w:p w14:paraId="68739EF3">
            <w:pPr>
              <w:spacing w:line="240" w:lineRule="exact"/>
              <w:jc w:val="center"/>
              <w:rPr>
                <w:rFonts w:ascii="Arial" w:hAnsi="Arial" w:eastAsia="宋体" w:cs="Arial"/>
                <w:spacing w:val="10"/>
                <w:sz w:val="21"/>
                <w:szCs w:val="24"/>
              </w:rPr>
            </w:pPr>
            <w:r>
              <w:rPr>
                <w:rFonts w:ascii="Arial" w:hAnsi="Arial" w:eastAsia="宋体" w:cs="Arial"/>
                <w:spacing w:val="10"/>
                <w:sz w:val="21"/>
                <w:szCs w:val="24"/>
              </w:rPr>
              <w:t>第一类用地</w:t>
            </w:r>
          </w:p>
        </w:tc>
        <w:tc>
          <w:tcPr>
            <w:tcW w:w="1551" w:type="pct"/>
            <w:gridSpan w:val="2"/>
            <w:vAlign w:val="center"/>
          </w:tcPr>
          <w:p w14:paraId="36A5AEC3">
            <w:pPr>
              <w:spacing w:line="240" w:lineRule="exact"/>
              <w:jc w:val="center"/>
              <w:rPr>
                <w:rFonts w:ascii="Arial" w:hAnsi="Arial" w:eastAsia="宋体" w:cs="Arial"/>
                <w:spacing w:val="10"/>
                <w:sz w:val="21"/>
                <w:szCs w:val="24"/>
              </w:rPr>
            </w:pPr>
            <w:r>
              <w:rPr>
                <w:rFonts w:ascii="Arial" w:hAnsi="Arial" w:eastAsia="宋体" w:cs="Arial"/>
                <w:spacing w:val="10"/>
                <w:sz w:val="21"/>
                <w:szCs w:val="24"/>
              </w:rPr>
              <w:t>第二类用地</w:t>
            </w:r>
          </w:p>
        </w:tc>
      </w:tr>
      <w:tr w14:paraId="7D09B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blHeader/>
          <w:jc w:val="center"/>
        </w:trPr>
        <w:tc>
          <w:tcPr>
            <w:tcW w:w="455" w:type="pct"/>
            <w:vMerge w:val="continue"/>
            <w:vAlign w:val="center"/>
          </w:tcPr>
          <w:p w14:paraId="43EEE9A6">
            <w:pPr>
              <w:widowControl/>
              <w:jc w:val="left"/>
              <w:rPr>
                <w:rFonts w:ascii="Arial" w:hAnsi="Arial" w:eastAsia="宋体" w:cs="Arial"/>
                <w:spacing w:val="10"/>
                <w:sz w:val="21"/>
                <w:szCs w:val="24"/>
              </w:rPr>
            </w:pPr>
          </w:p>
        </w:tc>
        <w:tc>
          <w:tcPr>
            <w:tcW w:w="867" w:type="pct"/>
            <w:vMerge w:val="continue"/>
            <w:vAlign w:val="center"/>
          </w:tcPr>
          <w:p w14:paraId="3F866AC2">
            <w:pPr>
              <w:widowControl/>
              <w:jc w:val="left"/>
              <w:rPr>
                <w:rFonts w:ascii="Arial" w:hAnsi="Arial" w:eastAsia="宋体" w:cs="Arial"/>
                <w:spacing w:val="10"/>
                <w:sz w:val="21"/>
                <w:szCs w:val="24"/>
              </w:rPr>
            </w:pPr>
          </w:p>
        </w:tc>
        <w:tc>
          <w:tcPr>
            <w:tcW w:w="868" w:type="pct"/>
            <w:vMerge w:val="continue"/>
            <w:vAlign w:val="center"/>
          </w:tcPr>
          <w:p w14:paraId="22BA6C12">
            <w:pPr>
              <w:widowControl/>
              <w:jc w:val="left"/>
              <w:rPr>
                <w:rFonts w:ascii="Arial" w:hAnsi="Arial" w:eastAsia="宋体" w:cs="Arial"/>
                <w:spacing w:val="10"/>
                <w:sz w:val="21"/>
                <w:szCs w:val="24"/>
              </w:rPr>
            </w:pPr>
          </w:p>
        </w:tc>
        <w:tc>
          <w:tcPr>
            <w:tcW w:w="637" w:type="pct"/>
            <w:vAlign w:val="center"/>
          </w:tcPr>
          <w:p w14:paraId="64D0AEFA">
            <w:pPr>
              <w:spacing w:line="240" w:lineRule="exact"/>
              <w:jc w:val="center"/>
              <w:rPr>
                <w:rFonts w:ascii="Arial" w:hAnsi="Arial" w:eastAsia="宋体" w:cs="Arial"/>
                <w:spacing w:val="10"/>
                <w:sz w:val="21"/>
                <w:szCs w:val="24"/>
              </w:rPr>
            </w:pPr>
            <w:r>
              <w:rPr>
                <w:rFonts w:ascii="Arial" w:hAnsi="Arial" w:eastAsia="宋体" w:cs="Arial"/>
                <w:spacing w:val="10"/>
                <w:sz w:val="21"/>
                <w:szCs w:val="24"/>
              </w:rPr>
              <w:t>筛选值</w:t>
            </w:r>
          </w:p>
        </w:tc>
        <w:tc>
          <w:tcPr>
            <w:tcW w:w="622" w:type="pct"/>
            <w:vAlign w:val="center"/>
          </w:tcPr>
          <w:p w14:paraId="34D58EC1">
            <w:pPr>
              <w:spacing w:line="240" w:lineRule="exact"/>
              <w:jc w:val="center"/>
              <w:rPr>
                <w:rFonts w:ascii="Arial" w:hAnsi="Arial" w:eastAsia="宋体" w:cs="Arial"/>
                <w:spacing w:val="10"/>
                <w:sz w:val="21"/>
                <w:szCs w:val="24"/>
              </w:rPr>
            </w:pPr>
            <w:r>
              <w:rPr>
                <w:rFonts w:ascii="Arial" w:hAnsi="Arial" w:eastAsia="宋体" w:cs="Arial"/>
                <w:spacing w:val="10"/>
                <w:sz w:val="21"/>
                <w:szCs w:val="24"/>
              </w:rPr>
              <w:t>管制值</w:t>
            </w:r>
          </w:p>
        </w:tc>
        <w:tc>
          <w:tcPr>
            <w:tcW w:w="709" w:type="pct"/>
            <w:vAlign w:val="center"/>
          </w:tcPr>
          <w:p w14:paraId="7FD24518">
            <w:pPr>
              <w:spacing w:line="240" w:lineRule="exact"/>
              <w:jc w:val="center"/>
              <w:rPr>
                <w:rFonts w:ascii="Arial" w:hAnsi="Arial" w:eastAsia="宋体" w:cs="Arial"/>
                <w:spacing w:val="10"/>
                <w:sz w:val="21"/>
                <w:szCs w:val="24"/>
              </w:rPr>
            </w:pPr>
            <w:r>
              <w:rPr>
                <w:rFonts w:ascii="Arial" w:hAnsi="Arial" w:eastAsia="宋体" w:cs="Arial"/>
                <w:spacing w:val="10"/>
                <w:sz w:val="21"/>
                <w:szCs w:val="24"/>
              </w:rPr>
              <w:t>筛选值</w:t>
            </w:r>
          </w:p>
        </w:tc>
        <w:tc>
          <w:tcPr>
            <w:tcW w:w="842" w:type="pct"/>
            <w:vAlign w:val="center"/>
          </w:tcPr>
          <w:p w14:paraId="40B1B8C2">
            <w:pPr>
              <w:spacing w:line="240" w:lineRule="exact"/>
              <w:jc w:val="center"/>
              <w:rPr>
                <w:rFonts w:ascii="Arial" w:hAnsi="Arial" w:eastAsia="宋体" w:cs="Arial"/>
                <w:spacing w:val="10"/>
                <w:sz w:val="21"/>
                <w:szCs w:val="24"/>
              </w:rPr>
            </w:pPr>
            <w:r>
              <w:rPr>
                <w:rFonts w:ascii="Arial" w:hAnsi="Arial" w:eastAsia="宋体" w:cs="Arial"/>
                <w:spacing w:val="10"/>
                <w:sz w:val="21"/>
                <w:szCs w:val="24"/>
              </w:rPr>
              <w:t>管制值</w:t>
            </w:r>
          </w:p>
        </w:tc>
      </w:tr>
      <w:tr w14:paraId="2F4A9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455" w:type="pct"/>
            <w:vAlign w:val="center"/>
          </w:tcPr>
          <w:p w14:paraId="7952F964">
            <w:pPr>
              <w:spacing w:line="240" w:lineRule="exact"/>
              <w:jc w:val="center"/>
              <w:rPr>
                <w:rFonts w:ascii="Arial" w:hAnsi="Arial" w:eastAsia="宋体" w:cs="Arial"/>
                <w:spacing w:val="10"/>
                <w:sz w:val="21"/>
                <w:szCs w:val="24"/>
              </w:rPr>
            </w:pPr>
            <w:r>
              <w:rPr>
                <w:rFonts w:hint="eastAsia" w:ascii="Arial" w:hAnsi="Arial" w:eastAsia="宋体" w:cs="Arial"/>
                <w:spacing w:val="10"/>
                <w:sz w:val="21"/>
                <w:szCs w:val="24"/>
              </w:rPr>
              <w:t>1</w:t>
            </w:r>
          </w:p>
        </w:tc>
        <w:tc>
          <w:tcPr>
            <w:tcW w:w="867" w:type="pct"/>
            <w:vAlign w:val="center"/>
          </w:tcPr>
          <w:p w14:paraId="7F365F3F">
            <w:pPr>
              <w:spacing w:line="240" w:lineRule="exact"/>
              <w:jc w:val="center"/>
              <w:rPr>
                <w:rFonts w:ascii="Arial" w:hAnsi="Arial" w:eastAsia="宋体" w:cs="Arial"/>
                <w:spacing w:val="10"/>
                <w:sz w:val="21"/>
                <w:szCs w:val="24"/>
              </w:rPr>
            </w:pPr>
            <w:r>
              <w:rPr>
                <w:rFonts w:ascii="Arial" w:hAnsi="Arial" w:eastAsia="宋体" w:cs="Arial"/>
                <w:spacing w:val="10"/>
                <w:sz w:val="21"/>
                <w:szCs w:val="24"/>
              </w:rPr>
              <w:t>锰</w:t>
            </w:r>
          </w:p>
        </w:tc>
        <w:tc>
          <w:tcPr>
            <w:tcW w:w="868" w:type="pct"/>
            <w:vAlign w:val="center"/>
          </w:tcPr>
          <w:p w14:paraId="63F0DFB5">
            <w:pPr>
              <w:spacing w:line="240" w:lineRule="exact"/>
              <w:jc w:val="center"/>
              <w:rPr>
                <w:rFonts w:ascii="Arial" w:hAnsi="Arial" w:eastAsia="宋体" w:cs="Arial"/>
                <w:spacing w:val="10"/>
                <w:sz w:val="21"/>
                <w:szCs w:val="24"/>
              </w:rPr>
            </w:pPr>
            <w:r>
              <w:rPr>
                <w:rFonts w:ascii="Arial" w:hAnsi="Arial" w:eastAsia="宋体" w:cs="Arial"/>
                <w:spacing w:val="10"/>
                <w:sz w:val="21"/>
                <w:szCs w:val="24"/>
              </w:rPr>
              <w:t>7439-96-5</w:t>
            </w:r>
          </w:p>
        </w:tc>
        <w:tc>
          <w:tcPr>
            <w:tcW w:w="637" w:type="pct"/>
            <w:vAlign w:val="center"/>
          </w:tcPr>
          <w:p w14:paraId="2AC30B48">
            <w:pPr>
              <w:spacing w:line="240" w:lineRule="exact"/>
              <w:jc w:val="center"/>
              <w:rPr>
                <w:rFonts w:ascii="Arial" w:hAnsi="Arial" w:eastAsia="宋体" w:cs="Arial"/>
                <w:spacing w:val="10"/>
                <w:sz w:val="21"/>
                <w:szCs w:val="24"/>
              </w:rPr>
            </w:pPr>
            <w:r>
              <w:rPr>
                <w:rFonts w:ascii="Arial" w:hAnsi="Arial" w:eastAsia="宋体" w:cs="Arial"/>
                <w:spacing w:val="10"/>
                <w:sz w:val="21"/>
                <w:szCs w:val="24"/>
              </w:rPr>
              <w:t>2733</w:t>
            </w:r>
          </w:p>
        </w:tc>
        <w:tc>
          <w:tcPr>
            <w:tcW w:w="622" w:type="pct"/>
            <w:vAlign w:val="center"/>
          </w:tcPr>
          <w:p w14:paraId="17948B8C">
            <w:pPr>
              <w:spacing w:line="240" w:lineRule="exact"/>
              <w:jc w:val="center"/>
              <w:rPr>
                <w:rFonts w:ascii="Arial" w:hAnsi="Arial" w:eastAsia="宋体" w:cs="Arial"/>
                <w:spacing w:val="10"/>
                <w:sz w:val="21"/>
                <w:szCs w:val="24"/>
              </w:rPr>
            </w:pPr>
            <w:r>
              <w:rPr>
                <w:rFonts w:ascii="Arial" w:hAnsi="Arial" w:eastAsia="宋体" w:cs="Arial"/>
                <w:spacing w:val="10"/>
                <w:sz w:val="21"/>
                <w:szCs w:val="24"/>
              </w:rPr>
              <w:t>5465</w:t>
            </w:r>
          </w:p>
        </w:tc>
        <w:tc>
          <w:tcPr>
            <w:tcW w:w="709" w:type="pct"/>
            <w:vAlign w:val="center"/>
          </w:tcPr>
          <w:p w14:paraId="38BA2ACA">
            <w:pPr>
              <w:spacing w:line="240" w:lineRule="exact"/>
              <w:jc w:val="center"/>
              <w:rPr>
                <w:rFonts w:ascii="Arial" w:hAnsi="Arial" w:eastAsia="宋体" w:cs="Arial"/>
                <w:spacing w:val="10"/>
                <w:sz w:val="21"/>
                <w:szCs w:val="24"/>
              </w:rPr>
            </w:pPr>
            <w:r>
              <w:rPr>
                <w:rFonts w:ascii="Arial" w:hAnsi="Arial" w:eastAsia="宋体" w:cs="Arial"/>
                <w:spacing w:val="10"/>
                <w:sz w:val="21"/>
                <w:szCs w:val="24"/>
              </w:rPr>
              <w:t>8132</w:t>
            </w:r>
          </w:p>
        </w:tc>
        <w:tc>
          <w:tcPr>
            <w:tcW w:w="842" w:type="pct"/>
            <w:vAlign w:val="center"/>
          </w:tcPr>
          <w:p w14:paraId="5908524F">
            <w:pPr>
              <w:spacing w:line="240" w:lineRule="exact"/>
              <w:jc w:val="center"/>
              <w:rPr>
                <w:rFonts w:ascii="Arial" w:hAnsi="Arial" w:eastAsia="宋体" w:cs="Arial"/>
                <w:spacing w:val="10"/>
                <w:sz w:val="21"/>
                <w:szCs w:val="24"/>
              </w:rPr>
            </w:pPr>
            <w:r>
              <w:rPr>
                <w:rFonts w:ascii="Arial" w:hAnsi="Arial" w:eastAsia="宋体" w:cs="Arial"/>
                <w:spacing w:val="10"/>
                <w:sz w:val="21"/>
                <w:szCs w:val="24"/>
              </w:rPr>
              <w:t>10000</w:t>
            </w:r>
          </w:p>
        </w:tc>
      </w:tr>
    </w:tbl>
    <w:p w14:paraId="5AFAA762">
      <w:pPr>
        <w:numPr>
          <w:ilvl w:val="0"/>
          <w:numId w:val="6"/>
        </w:numPr>
        <w:spacing w:line="500" w:lineRule="exact"/>
        <w:outlineLvl w:val="3"/>
        <w:rPr>
          <w:rFonts w:ascii="Arial" w:hAnsi="Arial" w:eastAsia="宋体" w:cs="Arial"/>
          <w:b/>
          <w:spacing w:val="10"/>
          <w:sz w:val="24"/>
          <w:szCs w:val="24"/>
        </w:rPr>
      </w:pPr>
      <w:r>
        <w:rPr>
          <w:rFonts w:ascii="Arial" w:hAnsi="Arial" w:eastAsia="宋体" w:cs="Arial"/>
          <w:b/>
          <w:spacing w:val="10"/>
          <w:sz w:val="24"/>
          <w:szCs w:val="24"/>
        </w:rPr>
        <w:t>污染物排放标准</w:t>
      </w:r>
    </w:p>
    <w:p w14:paraId="5CF4515D">
      <w:pPr>
        <w:pStyle w:val="5"/>
        <w:spacing w:line="500" w:lineRule="exact"/>
        <w:ind w:firstLine="480" w:firstLineChars="196"/>
      </w:pPr>
      <w:r>
        <w:rPr>
          <w:rFonts w:hint="eastAsia"/>
          <w:szCs w:val="24"/>
        </w:rPr>
        <w:t>由于二阶段项目的三元前驱体生产线已完成环保验收，其环保手续已履行，在此不再列</w:t>
      </w:r>
      <w:r>
        <w:rPr>
          <w:rFonts w:hint="eastAsia"/>
        </w:rPr>
        <w:t>三元前驱体生产线的</w:t>
      </w:r>
      <w:r>
        <w:rPr>
          <w:rFonts w:hint="eastAsia"/>
          <w:szCs w:val="24"/>
        </w:rPr>
        <w:t>污染物排放标准。</w:t>
      </w:r>
    </w:p>
    <w:p w14:paraId="23E232CE">
      <w:pPr>
        <w:pStyle w:val="5"/>
        <w:spacing w:line="500" w:lineRule="exact"/>
        <w:ind w:firstLine="480" w:firstLineChars="196"/>
      </w:pPr>
      <w:r>
        <w:t>1、废气排放标准</w:t>
      </w:r>
    </w:p>
    <w:p w14:paraId="37C3D065">
      <w:pPr>
        <w:spacing w:line="500" w:lineRule="exact"/>
        <w:ind w:firstLine="480" w:firstLineChars="196"/>
        <w:rPr>
          <w:rFonts w:ascii="Arial" w:hAnsi="Arial" w:eastAsia="宋体" w:cs="Arial"/>
          <w:spacing w:val="10"/>
          <w:sz w:val="24"/>
          <w:szCs w:val="24"/>
        </w:rPr>
      </w:pPr>
      <w:r>
        <w:rPr>
          <w:rFonts w:ascii="Arial" w:hAnsi="Arial" w:eastAsia="宋体" w:cs="Arial"/>
          <w:spacing w:val="10"/>
          <w:sz w:val="24"/>
          <w:szCs w:val="24"/>
        </w:rPr>
        <w:t>（</w:t>
      </w:r>
      <w:r>
        <w:rPr>
          <w:rFonts w:hint="eastAsia" w:ascii="Arial" w:hAnsi="Arial" w:eastAsia="宋体" w:cs="Arial"/>
          <w:spacing w:val="10"/>
          <w:sz w:val="24"/>
          <w:szCs w:val="24"/>
        </w:rPr>
        <w:t>1</w:t>
      </w:r>
      <w:r>
        <w:rPr>
          <w:rFonts w:ascii="Arial" w:hAnsi="Arial" w:eastAsia="宋体" w:cs="Arial"/>
          <w:spacing w:val="10"/>
          <w:sz w:val="24"/>
          <w:szCs w:val="24"/>
        </w:rPr>
        <w:t>）</w:t>
      </w:r>
      <w:r>
        <w:rPr>
          <w:rFonts w:ascii="Arial" w:hAnsi="Arial" w:eastAsia="宋体" w:cs="Arial"/>
          <w:spacing w:val="10"/>
          <w:sz w:val="24"/>
        </w:rPr>
        <w:t>有组织废气</w:t>
      </w:r>
    </w:p>
    <w:p w14:paraId="6E1E7813">
      <w:pPr>
        <w:spacing w:line="500" w:lineRule="exact"/>
        <w:ind w:firstLine="480" w:firstLineChars="196"/>
        <w:rPr>
          <w:rFonts w:ascii="Arial" w:hAnsi="Arial" w:eastAsia="宋体" w:cs="Arial"/>
          <w:spacing w:val="10"/>
          <w:sz w:val="24"/>
        </w:rPr>
      </w:pPr>
      <w:r>
        <w:rPr>
          <w:rFonts w:hint="eastAsia" w:ascii="Arial" w:hAnsi="Arial" w:eastAsia="宋体" w:cs="Arial"/>
          <w:spacing w:val="10"/>
          <w:sz w:val="24"/>
        </w:rPr>
        <w:t>羟基钴生产线</w:t>
      </w:r>
      <w:r>
        <w:rPr>
          <w:rFonts w:ascii="Arial" w:hAnsi="Arial" w:eastAsia="宋体" w:cs="Arial"/>
          <w:spacing w:val="10"/>
          <w:sz w:val="24"/>
        </w:rPr>
        <w:t>有组织</w:t>
      </w:r>
      <w:r>
        <w:rPr>
          <w:rFonts w:hint="eastAsia" w:ascii="Arial" w:hAnsi="Arial" w:eastAsia="宋体" w:cs="Arial"/>
          <w:spacing w:val="10"/>
          <w:sz w:val="24"/>
        </w:rPr>
        <w:t>排放的颗粒物、氨、钴及其化合物</w:t>
      </w:r>
      <w:r>
        <w:rPr>
          <w:rFonts w:ascii="Arial" w:hAnsi="Arial" w:eastAsia="宋体" w:cs="Arial"/>
          <w:spacing w:val="10"/>
          <w:sz w:val="24"/>
        </w:rPr>
        <w:t>执行《无机化学工业污染物排放标准》（GB31573-2015）表</w:t>
      </w:r>
      <w:r>
        <w:rPr>
          <w:rFonts w:hint="eastAsia" w:ascii="Arial" w:hAnsi="Arial" w:eastAsia="宋体" w:cs="Arial"/>
          <w:spacing w:val="10"/>
          <w:sz w:val="24"/>
        </w:rPr>
        <w:t>3标准限值，</w:t>
      </w:r>
      <w:r>
        <w:rPr>
          <w:rFonts w:ascii="Arial" w:hAnsi="Arial" w:eastAsia="宋体" w:cs="Arial"/>
          <w:spacing w:val="10"/>
          <w:sz w:val="24"/>
        </w:rPr>
        <w:t>具体见表1-1</w:t>
      </w:r>
      <w:r>
        <w:rPr>
          <w:rFonts w:hint="eastAsia" w:ascii="Arial" w:hAnsi="Arial" w:eastAsia="宋体" w:cs="Arial"/>
          <w:spacing w:val="10"/>
          <w:sz w:val="24"/>
        </w:rPr>
        <w:t>3</w:t>
      </w:r>
      <w:r>
        <w:rPr>
          <w:rFonts w:ascii="Arial" w:hAnsi="Arial" w:eastAsia="宋体" w:cs="Arial"/>
          <w:spacing w:val="10"/>
          <w:sz w:val="24"/>
        </w:rPr>
        <w:t>。</w:t>
      </w:r>
    </w:p>
    <w:p w14:paraId="21F15263">
      <w:pPr>
        <w:spacing w:line="500" w:lineRule="exact"/>
        <w:ind w:firstLine="480" w:firstLineChars="196"/>
        <w:rPr>
          <w:rFonts w:ascii="Arial" w:hAnsi="Arial" w:eastAsia="宋体" w:cs="Arial"/>
          <w:spacing w:val="10"/>
          <w:sz w:val="24"/>
        </w:rPr>
      </w:pPr>
      <w:r>
        <w:rPr>
          <w:rFonts w:ascii="Arial" w:hAnsi="Arial" w:eastAsia="宋体" w:cs="Arial"/>
          <w:spacing w:val="10"/>
          <w:sz w:val="24"/>
        </w:rPr>
        <w:t>（2）无组织废气</w:t>
      </w:r>
    </w:p>
    <w:p w14:paraId="41F25F94">
      <w:pPr>
        <w:spacing w:line="500" w:lineRule="exact"/>
        <w:ind w:firstLine="480" w:firstLineChars="196"/>
        <w:rPr>
          <w:rFonts w:ascii="Arial" w:hAnsi="Arial" w:eastAsia="宋体" w:cs="Arial"/>
          <w:spacing w:val="10"/>
          <w:sz w:val="24"/>
        </w:rPr>
      </w:pPr>
      <w:r>
        <w:rPr>
          <w:rFonts w:hint="eastAsia" w:ascii="Arial" w:hAnsi="Arial" w:eastAsia="宋体" w:cs="Arial"/>
          <w:spacing w:val="10"/>
          <w:sz w:val="24"/>
        </w:rPr>
        <w:t>羟基钴生产线无组织排放的氨</w:t>
      </w:r>
      <w:r>
        <w:rPr>
          <w:rFonts w:ascii="Arial" w:hAnsi="Arial" w:eastAsia="宋体" w:cs="Arial"/>
          <w:spacing w:val="10"/>
          <w:sz w:val="24"/>
        </w:rPr>
        <w:t>执行《无机化学工业污染物排放标准》（GB31573-2015）表</w:t>
      </w:r>
      <w:r>
        <w:rPr>
          <w:rFonts w:hint="eastAsia" w:ascii="Arial" w:hAnsi="Arial" w:eastAsia="宋体" w:cs="Arial"/>
          <w:spacing w:val="10"/>
          <w:sz w:val="24"/>
        </w:rPr>
        <w:t>5标准限值，详见表1-14。</w:t>
      </w:r>
    </w:p>
    <w:p w14:paraId="0A4992C7">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有组织废气污染物排放标准</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65"/>
        <w:gridCol w:w="2125"/>
        <w:gridCol w:w="1844"/>
        <w:gridCol w:w="1344"/>
        <w:gridCol w:w="1909"/>
      </w:tblGrid>
      <w:tr w14:paraId="79EB01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91" w:type="pct"/>
            <w:tcBorders>
              <w:top w:val="single" w:color="000000" w:sz="4" w:space="0"/>
              <w:left w:val="single" w:color="000000" w:sz="4" w:space="0"/>
              <w:bottom w:val="single" w:color="000000" w:sz="4" w:space="0"/>
              <w:right w:val="single" w:color="000000" w:sz="4" w:space="0"/>
            </w:tcBorders>
            <w:vAlign w:val="center"/>
          </w:tcPr>
          <w:p w14:paraId="43907FE2">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污染源</w:t>
            </w:r>
          </w:p>
        </w:tc>
        <w:tc>
          <w:tcPr>
            <w:tcW w:w="1209" w:type="pct"/>
            <w:tcBorders>
              <w:top w:val="single" w:color="000000" w:sz="4" w:space="0"/>
              <w:left w:val="single" w:color="000000" w:sz="4" w:space="0"/>
              <w:bottom w:val="single" w:color="000000" w:sz="4" w:space="0"/>
              <w:right w:val="single" w:color="000000" w:sz="4" w:space="0"/>
            </w:tcBorders>
            <w:vAlign w:val="center"/>
          </w:tcPr>
          <w:p w14:paraId="1986E5A8">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排气筒编号</w:t>
            </w:r>
          </w:p>
        </w:tc>
        <w:tc>
          <w:tcPr>
            <w:tcW w:w="1049" w:type="pct"/>
            <w:tcBorders>
              <w:top w:val="single" w:color="000000" w:sz="4" w:space="0"/>
              <w:left w:val="single" w:color="000000" w:sz="4" w:space="0"/>
              <w:bottom w:val="single" w:color="000000" w:sz="4" w:space="0"/>
              <w:right w:val="single" w:color="auto" w:sz="4" w:space="0"/>
            </w:tcBorders>
            <w:vAlign w:val="center"/>
          </w:tcPr>
          <w:p w14:paraId="67252EBA">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污染物</w:t>
            </w:r>
            <w:r>
              <w:rPr>
                <w:rFonts w:hint="eastAsia" w:ascii="Arial" w:hAnsi="Arial" w:eastAsia="宋体" w:cs="Arial"/>
                <w:sz w:val="21"/>
                <w:szCs w:val="21"/>
              </w:rPr>
              <w:t>项目</w:t>
            </w:r>
          </w:p>
        </w:tc>
        <w:tc>
          <w:tcPr>
            <w:tcW w:w="765" w:type="pct"/>
            <w:tcBorders>
              <w:top w:val="single" w:color="000000" w:sz="4" w:space="0"/>
              <w:left w:val="single" w:color="000000" w:sz="4" w:space="0"/>
              <w:bottom w:val="single" w:color="000000" w:sz="4" w:space="0"/>
              <w:right w:val="single" w:color="auto" w:sz="4" w:space="0"/>
            </w:tcBorders>
            <w:vAlign w:val="center"/>
          </w:tcPr>
          <w:p w14:paraId="187E8777">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排放限值</w:t>
            </w:r>
          </w:p>
          <w:p w14:paraId="491F974D">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（mg/m</w:t>
            </w:r>
            <w:r>
              <w:rPr>
                <w:rFonts w:ascii="Arial" w:hAnsi="Arial" w:eastAsia="宋体" w:cs="Arial"/>
                <w:sz w:val="21"/>
                <w:szCs w:val="21"/>
                <w:vertAlign w:val="superscript"/>
              </w:rPr>
              <w:t>3</w:t>
            </w:r>
            <w:r>
              <w:rPr>
                <w:rFonts w:ascii="Arial" w:hAnsi="Arial" w:eastAsia="宋体" w:cs="Arial"/>
                <w:sz w:val="21"/>
                <w:szCs w:val="21"/>
              </w:rPr>
              <w:t>）</w:t>
            </w:r>
          </w:p>
        </w:tc>
        <w:tc>
          <w:tcPr>
            <w:tcW w:w="1086" w:type="pct"/>
            <w:tcBorders>
              <w:top w:val="single" w:color="000000" w:sz="4" w:space="0"/>
              <w:left w:val="single" w:color="000000" w:sz="4" w:space="0"/>
              <w:bottom w:val="single" w:color="000000" w:sz="4" w:space="0"/>
              <w:right w:val="single" w:color="auto" w:sz="4" w:space="0"/>
            </w:tcBorders>
            <w:vAlign w:val="center"/>
          </w:tcPr>
          <w:p w14:paraId="5BFC5237">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执行标准</w:t>
            </w:r>
          </w:p>
        </w:tc>
      </w:tr>
      <w:tr w14:paraId="65DF77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91" w:type="pct"/>
            <w:tcBorders>
              <w:top w:val="single" w:color="000000" w:sz="4" w:space="0"/>
              <w:left w:val="single" w:color="000000" w:sz="4" w:space="0"/>
              <w:right w:val="single" w:color="000000" w:sz="4" w:space="0"/>
            </w:tcBorders>
            <w:shd w:val="clear" w:color="auto" w:fill="auto"/>
            <w:vAlign w:val="center"/>
          </w:tcPr>
          <w:p w14:paraId="47AE8FDE">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羟基钴生产线合成反应废气、压滤废气</w:t>
            </w:r>
          </w:p>
        </w:tc>
        <w:tc>
          <w:tcPr>
            <w:tcW w:w="1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D21A2F">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DA</w:t>
            </w:r>
            <w:r>
              <w:rPr>
                <w:rFonts w:hint="eastAsia" w:ascii="Arial" w:hAnsi="Arial" w:eastAsia="宋体" w:cs="Arial"/>
                <w:sz w:val="21"/>
                <w:szCs w:val="21"/>
              </w:rPr>
              <w:t>145</w:t>
            </w:r>
          </w:p>
        </w:tc>
        <w:tc>
          <w:tcPr>
            <w:tcW w:w="1049" w:type="pct"/>
            <w:tcBorders>
              <w:top w:val="single" w:color="000000" w:sz="4" w:space="0"/>
              <w:left w:val="single" w:color="000000" w:sz="4" w:space="0"/>
              <w:bottom w:val="single" w:color="000000" w:sz="4" w:space="0"/>
              <w:right w:val="single" w:color="auto" w:sz="4" w:space="0"/>
            </w:tcBorders>
            <w:shd w:val="clear" w:color="auto" w:fill="auto"/>
            <w:vAlign w:val="center"/>
          </w:tcPr>
          <w:p w14:paraId="2D432B15">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氨</w:t>
            </w:r>
          </w:p>
        </w:tc>
        <w:tc>
          <w:tcPr>
            <w:tcW w:w="765" w:type="pct"/>
            <w:tcBorders>
              <w:top w:val="single" w:color="000000" w:sz="4" w:space="0"/>
              <w:left w:val="single" w:color="000000" w:sz="4" w:space="0"/>
              <w:bottom w:val="single" w:color="000000" w:sz="4" w:space="0"/>
              <w:right w:val="single" w:color="auto" w:sz="4" w:space="0"/>
            </w:tcBorders>
            <w:vAlign w:val="center"/>
          </w:tcPr>
          <w:p w14:paraId="04D88C57">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20</w:t>
            </w:r>
          </w:p>
        </w:tc>
        <w:tc>
          <w:tcPr>
            <w:tcW w:w="1086" w:type="pct"/>
            <w:tcBorders>
              <w:top w:val="single" w:color="000000" w:sz="4" w:space="0"/>
              <w:left w:val="single" w:color="000000" w:sz="4" w:space="0"/>
              <w:bottom w:val="single" w:color="000000" w:sz="4" w:space="0"/>
              <w:right w:val="single" w:color="auto" w:sz="4" w:space="0"/>
            </w:tcBorders>
            <w:vAlign w:val="center"/>
          </w:tcPr>
          <w:p w14:paraId="028C9291">
            <w:pPr>
              <w:adjustRightInd w:val="0"/>
              <w:snapToGrid w:val="0"/>
              <w:spacing w:line="240" w:lineRule="exact"/>
              <w:jc w:val="center"/>
              <w:rPr>
                <w:rFonts w:ascii="Arial" w:hAnsi="Arial" w:eastAsia="宋体" w:cs="Arial"/>
                <w:sz w:val="21"/>
                <w:szCs w:val="21"/>
              </w:rPr>
            </w:pPr>
            <w:r>
              <w:rPr>
                <w:rFonts w:ascii="Arial" w:hAnsi="Arial" w:eastAsia="宋体" w:cs="Arial"/>
                <w:spacing w:val="10"/>
                <w:sz w:val="21"/>
                <w:szCs w:val="21"/>
              </w:rPr>
              <w:t>GB31573-2015</w:t>
            </w:r>
          </w:p>
        </w:tc>
      </w:tr>
      <w:tr w14:paraId="4AC4B9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91" w:type="pct"/>
            <w:vMerge w:val="restart"/>
            <w:tcBorders>
              <w:left w:val="single" w:color="000000" w:sz="4" w:space="0"/>
              <w:right w:val="single" w:color="000000" w:sz="4" w:space="0"/>
            </w:tcBorders>
            <w:shd w:val="clear" w:color="auto" w:fill="auto"/>
            <w:vAlign w:val="center"/>
          </w:tcPr>
          <w:p w14:paraId="48FA42E0">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羟基钴生产线烘干粉尘、破碎粉尘、包装粉尘</w:t>
            </w:r>
          </w:p>
        </w:tc>
        <w:tc>
          <w:tcPr>
            <w:tcW w:w="1209" w:type="pct"/>
            <w:vMerge w:val="restart"/>
            <w:tcBorders>
              <w:top w:val="single" w:color="000000" w:sz="4" w:space="0"/>
              <w:left w:val="single" w:color="000000" w:sz="4" w:space="0"/>
              <w:right w:val="single" w:color="000000" w:sz="4" w:space="0"/>
            </w:tcBorders>
            <w:shd w:val="clear" w:color="auto" w:fill="auto"/>
            <w:vAlign w:val="center"/>
          </w:tcPr>
          <w:p w14:paraId="43E4765F">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DA146</w:t>
            </w:r>
          </w:p>
        </w:tc>
        <w:tc>
          <w:tcPr>
            <w:tcW w:w="1049" w:type="pct"/>
            <w:tcBorders>
              <w:top w:val="single" w:color="000000" w:sz="4" w:space="0"/>
              <w:left w:val="single" w:color="000000" w:sz="4" w:space="0"/>
              <w:bottom w:val="single" w:color="000000" w:sz="4" w:space="0"/>
              <w:right w:val="single" w:color="auto" w:sz="4" w:space="0"/>
            </w:tcBorders>
            <w:shd w:val="clear" w:color="auto" w:fill="auto"/>
            <w:vAlign w:val="center"/>
          </w:tcPr>
          <w:p w14:paraId="2E9E030A">
            <w:pPr>
              <w:pStyle w:val="469"/>
              <w:rPr>
                <w:rFonts w:ascii="Arial" w:hAnsi="Arial" w:cs="Arial"/>
                <w:sz w:val="21"/>
                <w:szCs w:val="21"/>
              </w:rPr>
            </w:pPr>
            <w:r>
              <w:rPr>
                <w:rFonts w:hint="eastAsia" w:ascii="Arial" w:hAnsi="Arial" w:cs="Arial"/>
                <w:sz w:val="21"/>
                <w:szCs w:val="21"/>
              </w:rPr>
              <w:t>颗粒物</w:t>
            </w:r>
          </w:p>
        </w:tc>
        <w:tc>
          <w:tcPr>
            <w:tcW w:w="765" w:type="pct"/>
            <w:tcBorders>
              <w:top w:val="single" w:color="000000" w:sz="4" w:space="0"/>
              <w:left w:val="single" w:color="000000" w:sz="4" w:space="0"/>
              <w:bottom w:val="single" w:color="000000" w:sz="4" w:space="0"/>
              <w:right w:val="single" w:color="auto" w:sz="4" w:space="0"/>
            </w:tcBorders>
            <w:vAlign w:val="center"/>
          </w:tcPr>
          <w:p w14:paraId="7EE75904">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30</w:t>
            </w:r>
          </w:p>
        </w:tc>
        <w:tc>
          <w:tcPr>
            <w:tcW w:w="1086" w:type="pct"/>
            <w:vMerge w:val="restart"/>
            <w:tcBorders>
              <w:top w:val="single" w:color="000000" w:sz="4" w:space="0"/>
              <w:left w:val="single" w:color="000000" w:sz="4" w:space="0"/>
              <w:right w:val="single" w:color="auto" w:sz="4" w:space="0"/>
            </w:tcBorders>
            <w:vAlign w:val="center"/>
          </w:tcPr>
          <w:p w14:paraId="0C4EEC1D">
            <w:pPr>
              <w:adjustRightInd w:val="0"/>
              <w:snapToGrid w:val="0"/>
              <w:spacing w:line="240" w:lineRule="exact"/>
              <w:jc w:val="center"/>
              <w:rPr>
                <w:rFonts w:ascii="Arial" w:hAnsi="Arial" w:eastAsia="宋体" w:cs="Arial"/>
                <w:sz w:val="21"/>
                <w:szCs w:val="21"/>
              </w:rPr>
            </w:pPr>
            <w:r>
              <w:rPr>
                <w:rFonts w:ascii="Arial" w:hAnsi="Arial" w:eastAsia="宋体" w:cs="Arial"/>
                <w:spacing w:val="10"/>
                <w:sz w:val="21"/>
                <w:szCs w:val="21"/>
              </w:rPr>
              <w:t>GB31573-2015</w:t>
            </w:r>
          </w:p>
        </w:tc>
      </w:tr>
      <w:tr w14:paraId="7A6171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91" w:type="pct"/>
            <w:vMerge w:val="continue"/>
            <w:tcBorders>
              <w:left w:val="single" w:color="000000" w:sz="4" w:space="0"/>
              <w:right w:val="single" w:color="000000" w:sz="4" w:space="0"/>
            </w:tcBorders>
            <w:shd w:val="clear" w:color="auto" w:fill="auto"/>
            <w:vAlign w:val="center"/>
          </w:tcPr>
          <w:p w14:paraId="7800C65D">
            <w:pPr>
              <w:adjustRightInd w:val="0"/>
              <w:snapToGrid w:val="0"/>
              <w:spacing w:line="240" w:lineRule="exact"/>
              <w:jc w:val="center"/>
              <w:rPr>
                <w:rFonts w:ascii="Arial" w:hAnsi="Arial" w:eastAsia="宋体" w:cs="Arial"/>
                <w:sz w:val="21"/>
                <w:szCs w:val="21"/>
              </w:rPr>
            </w:pPr>
          </w:p>
        </w:tc>
        <w:tc>
          <w:tcPr>
            <w:tcW w:w="1209" w:type="pct"/>
            <w:vMerge w:val="continue"/>
            <w:tcBorders>
              <w:left w:val="single" w:color="000000" w:sz="4" w:space="0"/>
              <w:bottom w:val="single" w:color="000000" w:sz="4" w:space="0"/>
              <w:right w:val="single" w:color="000000" w:sz="4" w:space="0"/>
            </w:tcBorders>
            <w:shd w:val="clear" w:color="auto" w:fill="auto"/>
            <w:vAlign w:val="center"/>
          </w:tcPr>
          <w:p w14:paraId="50C6E7E1">
            <w:pPr>
              <w:adjustRightInd w:val="0"/>
              <w:snapToGrid w:val="0"/>
              <w:spacing w:line="240" w:lineRule="exact"/>
              <w:jc w:val="center"/>
              <w:rPr>
                <w:rFonts w:ascii="Arial" w:hAnsi="Arial" w:eastAsia="宋体" w:cs="Arial"/>
                <w:sz w:val="21"/>
                <w:szCs w:val="21"/>
              </w:rPr>
            </w:pPr>
          </w:p>
        </w:tc>
        <w:tc>
          <w:tcPr>
            <w:tcW w:w="1049" w:type="pct"/>
            <w:tcBorders>
              <w:top w:val="single" w:color="000000" w:sz="4" w:space="0"/>
              <w:left w:val="single" w:color="000000" w:sz="4" w:space="0"/>
              <w:bottom w:val="single" w:color="000000" w:sz="4" w:space="0"/>
              <w:right w:val="single" w:color="auto" w:sz="4" w:space="0"/>
            </w:tcBorders>
            <w:shd w:val="clear" w:color="auto" w:fill="auto"/>
            <w:vAlign w:val="center"/>
          </w:tcPr>
          <w:p w14:paraId="79BA7395">
            <w:pPr>
              <w:pStyle w:val="469"/>
              <w:rPr>
                <w:rFonts w:ascii="Arial" w:hAnsi="Arial" w:cs="Arial"/>
                <w:sz w:val="21"/>
                <w:szCs w:val="21"/>
              </w:rPr>
            </w:pPr>
            <w:r>
              <w:rPr>
                <w:rFonts w:hint="eastAsia" w:ascii="Arial" w:hAnsi="Arial" w:cs="Arial"/>
                <w:sz w:val="21"/>
                <w:szCs w:val="21"/>
              </w:rPr>
              <w:t>钴及其化合物</w:t>
            </w:r>
          </w:p>
        </w:tc>
        <w:tc>
          <w:tcPr>
            <w:tcW w:w="765" w:type="pct"/>
            <w:tcBorders>
              <w:top w:val="single" w:color="000000" w:sz="4" w:space="0"/>
              <w:left w:val="single" w:color="000000" w:sz="4" w:space="0"/>
              <w:bottom w:val="single" w:color="000000" w:sz="4" w:space="0"/>
              <w:right w:val="single" w:color="auto" w:sz="4" w:space="0"/>
            </w:tcBorders>
            <w:vAlign w:val="center"/>
          </w:tcPr>
          <w:p w14:paraId="00F11AF6">
            <w:pPr>
              <w:adjustRightInd w:val="0"/>
              <w:snapToGrid w:val="0"/>
              <w:spacing w:line="240" w:lineRule="exact"/>
              <w:jc w:val="center"/>
              <w:rPr>
                <w:rFonts w:ascii="Arial" w:hAnsi="Arial" w:eastAsia="宋体" w:cs="Arial"/>
                <w:sz w:val="21"/>
                <w:szCs w:val="21"/>
              </w:rPr>
            </w:pPr>
            <w:r>
              <w:rPr>
                <w:rFonts w:hint="eastAsia" w:ascii="Arial" w:hAnsi="Arial" w:cs="Arial"/>
                <w:sz w:val="21"/>
                <w:szCs w:val="21"/>
              </w:rPr>
              <w:t>5</w:t>
            </w:r>
          </w:p>
        </w:tc>
        <w:tc>
          <w:tcPr>
            <w:tcW w:w="1086" w:type="pct"/>
            <w:vMerge w:val="continue"/>
            <w:tcBorders>
              <w:left w:val="single" w:color="000000" w:sz="4" w:space="0"/>
              <w:bottom w:val="single" w:color="000000" w:sz="4" w:space="0"/>
              <w:right w:val="single" w:color="auto" w:sz="4" w:space="0"/>
            </w:tcBorders>
            <w:vAlign w:val="center"/>
          </w:tcPr>
          <w:p w14:paraId="3CA3FE59">
            <w:pPr>
              <w:adjustRightInd w:val="0"/>
              <w:snapToGrid w:val="0"/>
              <w:spacing w:line="240" w:lineRule="exact"/>
              <w:jc w:val="center"/>
              <w:rPr>
                <w:rFonts w:ascii="Arial" w:hAnsi="Arial" w:eastAsia="宋体" w:cs="Arial"/>
                <w:sz w:val="21"/>
                <w:szCs w:val="21"/>
              </w:rPr>
            </w:pPr>
          </w:p>
        </w:tc>
      </w:tr>
      <w:tr w14:paraId="2EF840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91" w:type="pct"/>
            <w:tcBorders>
              <w:top w:val="single" w:color="000000" w:sz="4" w:space="0"/>
              <w:left w:val="single" w:color="000000" w:sz="4" w:space="0"/>
              <w:bottom w:val="single" w:color="000000" w:sz="4" w:space="0"/>
              <w:right w:val="single" w:color="000000" w:sz="4" w:space="0"/>
            </w:tcBorders>
            <w:vAlign w:val="center"/>
          </w:tcPr>
          <w:p w14:paraId="075B7A7F">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母液罐</w:t>
            </w:r>
          </w:p>
        </w:tc>
        <w:tc>
          <w:tcPr>
            <w:tcW w:w="1209" w:type="pct"/>
            <w:tcBorders>
              <w:top w:val="single" w:color="000000" w:sz="4" w:space="0"/>
              <w:left w:val="single" w:color="000000" w:sz="4" w:space="0"/>
              <w:bottom w:val="single" w:color="000000" w:sz="4" w:space="0"/>
              <w:right w:val="single" w:color="000000" w:sz="4" w:space="0"/>
            </w:tcBorders>
            <w:vAlign w:val="center"/>
          </w:tcPr>
          <w:p w14:paraId="5B770A04">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DA</w:t>
            </w:r>
            <w:r>
              <w:rPr>
                <w:rFonts w:hint="eastAsia" w:ascii="Arial" w:hAnsi="Arial" w:eastAsia="宋体" w:cs="Arial"/>
                <w:sz w:val="21"/>
                <w:szCs w:val="21"/>
              </w:rPr>
              <w:t>067</w:t>
            </w:r>
          </w:p>
        </w:tc>
        <w:tc>
          <w:tcPr>
            <w:tcW w:w="1049" w:type="pct"/>
            <w:tcBorders>
              <w:top w:val="single" w:color="000000" w:sz="4" w:space="0"/>
              <w:left w:val="single" w:color="000000" w:sz="4" w:space="0"/>
              <w:bottom w:val="single" w:color="000000" w:sz="4" w:space="0"/>
              <w:right w:val="single" w:color="auto" w:sz="4" w:space="0"/>
            </w:tcBorders>
            <w:vAlign w:val="center"/>
          </w:tcPr>
          <w:p w14:paraId="00C817EB">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氨</w:t>
            </w:r>
          </w:p>
        </w:tc>
        <w:tc>
          <w:tcPr>
            <w:tcW w:w="765" w:type="pct"/>
            <w:tcBorders>
              <w:top w:val="single" w:color="000000" w:sz="4" w:space="0"/>
              <w:left w:val="single" w:color="000000" w:sz="4" w:space="0"/>
              <w:bottom w:val="single" w:color="000000" w:sz="4" w:space="0"/>
              <w:right w:val="single" w:color="auto" w:sz="4" w:space="0"/>
            </w:tcBorders>
            <w:vAlign w:val="center"/>
          </w:tcPr>
          <w:p w14:paraId="174A4B65">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20</w:t>
            </w:r>
          </w:p>
        </w:tc>
        <w:tc>
          <w:tcPr>
            <w:tcW w:w="1086" w:type="pct"/>
            <w:tcBorders>
              <w:top w:val="single" w:color="000000" w:sz="4" w:space="0"/>
              <w:left w:val="single" w:color="000000" w:sz="4" w:space="0"/>
              <w:bottom w:val="single" w:color="000000" w:sz="4" w:space="0"/>
              <w:right w:val="single" w:color="auto" w:sz="4" w:space="0"/>
            </w:tcBorders>
            <w:vAlign w:val="center"/>
          </w:tcPr>
          <w:p w14:paraId="183B1DF0">
            <w:pPr>
              <w:adjustRightInd w:val="0"/>
              <w:snapToGrid w:val="0"/>
              <w:spacing w:line="240" w:lineRule="exact"/>
              <w:jc w:val="center"/>
              <w:rPr>
                <w:rFonts w:ascii="Arial" w:hAnsi="Arial" w:eastAsia="宋体" w:cs="Arial"/>
                <w:sz w:val="21"/>
                <w:szCs w:val="21"/>
              </w:rPr>
            </w:pPr>
            <w:r>
              <w:rPr>
                <w:rFonts w:ascii="Arial" w:hAnsi="Arial" w:eastAsia="宋体" w:cs="Arial"/>
                <w:spacing w:val="10"/>
                <w:sz w:val="21"/>
                <w:szCs w:val="21"/>
              </w:rPr>
              <w:t>GB31573-2015</w:t>
            </w:r>
          </w:p>
        </w:tc>
      </w:tr>
    </w:tbl>
    <w:p w14:paraId="04D58BFF">
      <w:pPr>
        <w:keepNext/>
        <w:keepLines/>
        <w:numPr>
          <w:ilvl w:val="0"/>
          <w:numId w:val="5"/>
        </w:numPr>
        <w:spacing w:line="500" w:lineRule="exact"/>
        <w:ind w:left="0" w:firstLine="0"/>
        <w:jc w:val="center"/>
        <w:outlineLvl w:val="4"/>
        <w:rPr>
          <w:rFonts w:ascii="Arial" w:hAnsi="Arial" w:eastAsia="宋体" w:cs="Arial"/>
          <w:b/>
          <w:sz w:val="24"/>
        </w:rPr>
      </w:pPr>
      <w:r>
        <w:rPr>
          <w:rFonts w:ascii="Arial" w:hAnsi="Arial" w:eastAsia="宋体" w:cs="Arial"/>
          <w:b/>
          <w:sz w:val="24"/>
        </w:rPr>
        <w:t>企业边界大气污染物排放限值</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5"/>
        <w:gridCol w:w="2146"/>
        <w:gridCol w:w="3119"/>
        <w:gridCol w:w="2363"/>
      </w:tblGrid>
      <w:tr w14:paraId="25EC6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59" w:type="pct"/>
            <w:vAlign w:val="center"/>
          </w:tcPr>
          <w:p w14:paraId="0F686362">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序号</w:t>
            </w:r>
          </w:p>
        </w:tc>
        <w:tc>
          <w:tcPr>
            <w:tcW w:w="1193" w:type="pct"/>
            <w:vAlign w:val="center"/>
          </w:tcPr>
          <w:p w14:paraId="32B9691A">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污染物</w:t>
            </w:r>
          </w:p>
        </w:tc>
        <w:tc>
          <w:tcPr>
            <w:tcW w:w="1734" w:type="pct"/>
            <w:vAlign w:val="center"/>
          </w:tcPr>
          <w:p w14:paraId="0E01D903">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限值（mg/m</w:t>
            </w:r>
            <w:r>
              <w:rPr>
                <w:rFonts w:ascii="Arial" w:hAnsi="Arial" w:eastAsia="宋体" w:cs="Arial"/>
                <w:sz w:val="21"/>
                <w:szCs w:val="21"/>
                <w:vertAlign w:val="superscript"/>
              </w:rPr>
              <w:t>3</w:t>
            </w:r>
            <w:r>
              <w:rPr>
                <w:rFonts w:ascii="Arial" w:hAnsi="Arial" w:eastAsia="宋体" w:cs="Arial"/>
                <w:sz w:val="21"/>
                <w:szCs w:val="21"/>
              </w:rPr>
              <w:t>）</w:t>
            </w:r>
          </w:p>
        </w:tc>
        <w:tc>
          <w:tcPr>
            <w:tcW w:w="1314" w:type="pct"/>
            <w:vAlign w:val="center"/>
          </w:tcPr>
          <w:p w14:paraId="77EEF9A7">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执行标准</w:t>
            </w:r>
          </w:p>
        </w:tc>
      </w:tr>
      <w:tr w14:paraId="14476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9" w:type="pct"/>
            <w:vAlign w:val="center"/>
          </w:tcPr>
          <w:p w14:paraId="7A5D929E">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1</w:t>
            </w:r>
          </w:p>
        </w:tc>
        <w:tc>
          <w:tcPr>
            <w:tcW w:w="1193" w:type="pct"/>
            <w:vAlign w:val="center"/>
          </w:tcPr>
          <w:p w14:paraId="72CEC011">
            <w:pPr>
              <w:adjustRightInd w:val="0"/>
              <w:snapToGrid w:val="0"/>
              <w:spacing w:line="240" w:lineRule="exact"/>
              <w:jc w:val="center"/>
              <w:rPr>
                <w:rFonts w:ascii="Arial" w:hAnsi="Arial" w:eastAsia="宋体" w:cs="Arial"/>
                <w:sz w:val="21"/>
                <w:szCs w:val="21"/>
              </w:rPr>
            </w:pPr>
            <w:r>
              <w:rPr>
                <w:rFonts w:hint="eastAsia" w:ascii="Arial" w:hAnsi="Arial" w:eastAsia="宋体" w:cs="Arial"/>
                <w:sz w:val="21"/>
                <w:szCs w:val="21"/>
              </w:rPr>
              <w:t>氨</w:t>
            </w:r>
          </w:p>
        </w:tc>
        <w:tc>
          <w:tcPr>
            <w:tcW w:w="1734" w:type="pct"/>
            <w:vAlign w:val="center"/>
          </w:tcPr>
          <w:p w14:paraId="00AB3202">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0.3</w:t>
            </w:r>
          </w:p>
        </w:tc>
        <w:tc>
          <w:tcPr>
            <w:tcW w:w="1314" w:type="pct"/>
            <w:vAlign w:val="center"/>
          </w:tcPr>
          <w:p w14:paraId="42AA2482">
            <w:pPr>
              <w:adjustRightInd w:val="0"/>
              <w:snapToGrid w:val="0"/>
              <w:spacing w:line="240" w:lineRule="exact"/>
              <w:jc w:val="center"/>
              <w:rPr>
                <w:rFonts w:ascii="Arial" w:hAnsi="Arial" w:eastAsia="宋体" w:cs="Arial"/>
                <w:sz w:val="21"/>
                <w:szCs w:val="21"/>
              </w:rPr>
            </w:pPr>
            <w:r>
              <w:rPr>
                <w:rFonts w:ascii="Arial" w:hAnsi="Arial" w:eastAsia="宋体" w:cs="Arial"/>
                <w:spacing w:val="10"/>
                <w:sz w:val="21"/>
                <w:szCs w:val="21"/>
              </w:rPr>
              <w:t>GB31573-2015</w:t>
            </w:r>
          </w:p>
        </w:tc>
      </w:tr>
    </w:tbl>
    <w:p w14:paraId="127CAF7B">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2、废水排放标准</w:t>
      </w:r>
    </w:p>
    <w:p w14:paraId="5464AB6B">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sz w:val="24"/>
          <w:szCs w:val="24"/>
        </w:rPr>
        <w:t>根据《钦州港大榄坪物流加工区总体规划修编（2022-2035）环境影响报告书》1.4.2.2，“目前，已入驻的广西中伟新能源科技有限公司产生的生产废水执行《无机化学工业污染物排放标准》（GB31573-2015）及修改单直接排放标准，通过大榄坪污水处理厂排海管道排往A2排污区。大榄坪污水处理厂拟升级改造接纳生产废水，入驻的企业产生的废水必须进行预处理到相关排放标准后进入污水处理厂处理，有行业废水排放标准优先执行行业废水间接或预处理排放标准；没有行业废水排放标准的执行《污水综合排放标准》（GB8978-1996）三级标准。”</w:t>
      </w:r>
    </w:p>
    <w:p w14:paraId="35110861">
      <w:pPr>
        <w:spacing w:line="500" w:lineRule="exact"/>
        <w:ind w:firstLine="480" w:firstLineChars="196"/>
        <w:rPr>
          <w:rFonts w:ascii="Arial" w:hAnsi="Arial" w:eastAsia="宋体" w:cs="Arial"/>
          <w:spacing w:val="10"/>
          <w:sz w:val="24"/>
          <w:szCs w:val="24"/>
        </w:rPr>
      </w:pPr>
      <w:r>
        <w:rPr>
          <w:rFonts w:hint="eastAsia" w:ascii="Arial" w:hAnsi="Arial" w:eastAsia="宋体" w:cs="Arial"/>
          <w:spacing w:val="10"/>
          <w:sz w:val="24"/>
          <w:szCs w:val="24"/>
        </w:rPr>
        <w:t>（1）生活污水</w:t>
      </w:r>
    </w:p>
    <w:p w14:paraId="697B4947">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sz w:val="24"/>
          <w:szCs w:val="24"/>
        </w:rPr>
        <w:t>员工生活污水经化粪池处理后排入大榄坪污水处理厂处理，故生活污水执行行业标准——《无机化学工业污染物排放标准》（GB31573-2015）表1间接排放限值</w:t>
      </w:r>
      <w:r>
        <w:rPr>
          <w:rFonts w:ascii="Arial" w:hAnsi="Arial" w:eastAsia="宋体" w:cs="Arial"/>
          <w:spacing w:val="10"/>
          <w:kern w:val="0"/>
          <w:sz w:val="24"/>
          <w:szCs w:val="24"/>
        </w:rPr>
        <w:t>，详见表1-</w:t>
      </w:r>
      <w:r>
        <w:rPr>
          <w:rFonts w:hint="eastAsia" w:ascii="Arial" w:hAnsi="Arial" w:eastAsia="宋体" w:cs="Arial"/>
          <w:spacing w:val="10"/>
          <w:kern w:val="0"/>
          <w:sz w:val="24"/>
          <w:szCs w:val="24"/>
        </w:rPr>
        <w:t>15</w:t>
      </w:r>
      <w:r>
        <w:rPr>
          <w:rFonts w:ascii="Arial" w:hAnsi="Arial" w:eastAsia="宋体" w:cs="Arial"/>
          <w:spacing w:val="10"/>
          <w:kern w:val="0"/>
          <w:sz w:val="24"/>
          <w:szCs w:val="24"/>
        </w:rPr>
        <w:t>。</w:t>
      </w:r>
    </w:p>
    <w:p w14:paraId="39B7130B">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（2）生产废水</w:t>
      </w:r>
    </w:p>
    <w:p w14:paraId="3F625634">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由于目前园区配套的大榄坪污水处理厂不具备接收处理广西中伟新能源科技有限公司高盐废水的能力，大榄坪污水处理厂正在制定升级改造方案，该污水处理厂升级改造期间，企业的生产废水依托大榄坪污水处理厂深海排放管道排入A2排污区；待大榄坪污水处理厂升级改造完成后，生产废水排入大榄坪污水处理厂处理后排海。</w:t>
      </w:r>
    </w:p>
    <w:p w14:paraId="3A91CE20">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根据二期项目环评批复及《广西中伟新能源项目氢氧化钴处置线技改项目环境影响报告书》及其批复（自贸钦审批环〔2024〕35号），大榄坪污水处理厂升级改造期间，企业生产废水总排放口执行《无机化学工业污染物排放标准》（GB31573-2015）表1直接排放限值，同时全厂盐回收率≥90%，含盐量浓度不超过16700mg/L；待大榄坪污水处理厂升级改造完成后，企业生产废水总排放口执行《无机化学工业污染物排放标准》（GB31573-2015）表1间接排放限值，含盐量浓度限值由建设单位与大榄坪污水处理厂自行商定。</w:t>
      </w:r>
    </w:p>
    <w:p w14:paraId="069D752D">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因此，变更后项目生产废水总排口执行标准见表1-16，</w:t>
      </w:r>
      <w:r>
        <w:rPr>
          <w:rFonts w:hint="eastAsia" w:ascii="Arial" w:hAnsi="Arial" w:eastAsia="宋体" w:cs="Arial"/>
          <w:spacing w:val="10"/>
          <w:kern w:val="0"/>
          <w:sz w:val="24"/>
          <w:szCs w:val="24"/>
          <w:u w:val="single"/>
        </w:rPr>
        <w:t>羟基钴</w:t>
      </w:r>
      <w:r>
        <w:rPr>
          <w:rFonts w:ascii="Arial" w:hAnsi="Arial" w:eastAsia="宋体" w:cs="Arial"/>
          <w:spacing w:val="10"/>
          <w:kern w:val="0"/>
          <w:sz w:val="24"/>
          <w:szCs w:val="24"/>
          <w:u w:val="single"/>
        </w:rPr>
        <w:t>“车间或生产设施废水排放口”废水</w:t>
      </w:r>
      <w:r>
        <w:rPr>
          <w:rFonts w:hint="eastAsia" w:ascii="Arial" w:hAnsi="Arial" w:eastAsia="宋体" w:cs="Arial"/>
          <w:spacing w:val="10"/>
          <w:kern w:val="0"/>
          <w:sz w:val="24"/>
          <w:szCs w:val="24"/>
          <w:u w:val="single"/>
        </w:rPr>
        <w:t>中的钴</w:t>
      </w:r>
      <w:r>
        <w:rPr>
          <w:rFonts w:ascii="Arial" w:hAnsi="Arial" w:eastAsia="宋体" w:cs="Arial"/>
          <w:spacing w:val="10"/>
          <w:kern w:val="0"/>
          <w:sz w:val="24"/>
          <w:szCs w:val="24"/>
          <w:u w:val="single"/>
        </w:rPr>
        <w:t>执行《无机化学工业污染物排放标准》（GB31573-2015）表1的标准</w:t>
      </w:r>
      <w:r>
        <w:rPr>
          <w:rFonts w:hint="eastAsia" w:ascii="Arial" w:hAnsi="Arial" w:eastAsia="宋体" w:cs="Arial"/>
          <w:spacing w:val="10"/>
          <w:kern w:val="0"/>
          <w:sz w:val="24"/>
          <w:szCs w:val="24"/>
          <w:u w:val="single"/>
        </w:rPr>
        <w:t>，</w:t>
      </w:r>
      <w:r>
        <w:rPr>
          <w:rFonts w:ascii="Arial" w:hAnsi="Arial" w:eastAsia="宋体" w:cs="Arial"/>
          <w:spacing w:val="10"/>
          <w:kern w:val="0"/>
          <w:sz w:val="24"/>
          <w:szCs w:val="24"/>
        </w:rPr>
        <w:t>具体见表1-</w:t>
      </w:r>
      <w:r>
        <w:rPr>
          <w:rFonts w:hint="eastAsia" w:ascii="Arial" w:hAnsi="Arial" w:eastAsia="宋体" w:cs="Arial"/>
          <w:spacing w:val="10"/>
          <w:kern w:val="0"/>
          <w:sz w:val="24"/>
          <w:szCs w:val="24"/>
        </w:rPr>
        <w:t>17</w:t>
      </w:r>
      <w:r>
        <w:rPr>
          <w:rFonts w:ascii="Arial" w:hAnsi="Arial" w:eastAsia="宋体" w:cs="Arial"/>
          <w:spacing w:val="10"/>
          <w:kern w:val="0"/>
          <w:sz w:val="24"/>
          <w:szCs w:val="24"/>
        </w:rPr>
        <w:t>。</w:t>
      </w:r>
    </w:p>
    <w:p w14:paraId="61A4E0C4">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 xml:space="preserve">生活污水污染物排放浓度限值   单位：mg/L </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9"/>
        <w:gridCol w:w="3141"/>
        <w:gridCol w:w="3503"/>
      </w:tblGrid>
      <w:tr w14:paraId="0426B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6" w:type="pct"/>
            <w:tcBorders>
              <w:top w:val="single" w:color="auto" w:sz="4" w:space="0"/>
              <w:left w:val="single" w:color="auto" w:sz="4" w:space="0"/>
              <w:bottom w:val="single" w:color="auto" w:sz="4" w:space="0"/>
              <w:right w:val="single" w:color="auto" w:sz="4" w:space="0"/>
            </w:tcBorders>
            <w:vAlign w:val="center"/>
          </w:tcPr>
          <w:p w14:paraId="0D4F997F">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1746" w:type="pct"/>
            <w:tcBorders>
              <w:top w:val="single" w:color="auto" w:sz="4" w:space="0"/>
              <w:left w:val="single" w:color="auto" w:sz="4" w:space="0"/>
              <w:bottom w:val="single" w:color="auto" w:sz="4" w:space="0"/>
              <w:right w:val="single" w:color="auto" w:sz="4" w:space="0"/>
            </w:tcBorders>
            <w:vAlign w:val="center"/>
          </w:tcPr>
          <w:p w14:paraId="41C04BE4">
            <w:pPr>
              <w:spacing w:line="240" w:lineRule="exact"/>
              <w:jc w:val="center"/>
              <w:rPr>
                <w:rFonts w:ascii="Arial" w:hAnsi="Arial" w:eastAsia="宋体" w:cs="Arial"/>
                <w:sz w:val="21"/>
                <w:szCs w:val="21"/>
              </w:rPr>
            </w:pPr>
            <w:r>
              <w:rPr>
                <w:rFonts w:ascii="Arial" w:hAnsi="Arial" w:eastAsia="宋体" w:cs="Arial"/>
                <w:sz w:val="21"/>
                <w:szCs w:val="21"/>
              </w:rPr>
              <w:t>污染物</w:t>
            </w:r>
          </w:p>
        </w:tc>
        <w:tc>
          <w:tcPr>
            <w:tcW w:w="1947" w:type="pct"/>
            <w:tcBorders>
              <w:top w:val="single" w:color="auto" w:sz="4" w:space="0"/>
              <w:left w:val="single" w:color="auto" w:sz="6" w:space="0"/>
              <w:bottom w:val="single" w:color="auto" w:sz="4" w:space="0"/>
              <w:right w:val="single" w:color="auto" w:sz="4" w:space="0"/>
            </w:tcBorders>
            <w:vAlign w:val="center"/>
          </w:tcPr>
          <w:p w14:paraId="092C50DC">
            <w:pPr>
              <w:spacing w:line="240" w:lineRule="exact"/>
              <w:jc w:val="center"/>
              <w:rPr>
                <w:rFonts w:ascii="Arial" w:hAnsi="Arial" w:eastAsia="宋体" w:cs="Arial"/>
                <w:sz w:val="21"/>
                <w:szCs w:val="21"/>
              </w:rPr>
            </w:pPr>
            <w:r>
              <w:rPr>
                <w:rFonts w:hint="eastAsia" w:ascii="Arial" w:hAnsi="Arial" w:eastAsia="宋体" w:cs="Arial"/>
                <w:sz w:val="21"/>
                <w:szCs w:val="21"/>
              </w:rPr>
              <w:t>标准</w:t>
            </w:r>
            <w:r>
              <w:rPr>
                <w:rFonts w:ascii="Arial" w:hAnsi="Arial" w:eastAsia="宋体" w:cs="Arial"/>
                <w:sz w:val="21"/>
                <w:szCs w:val="21"/>
              </w:rPr>
              <w:t>限值</w:t>
            </w:r>
          </w:p>
        </w:tc>
      </w:tr>
      <w:tr w14:paraId="0C902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6" w:type="pct"/>
            <w:tcBorders>
              <w:top w:val="single" w:color="auto" w:sz="4" w:space="0"/>
              <w:left w:val="single" w:color="auto" w:sz="4" w:space="0"/>
              <w:bottom w:val="single" w:color="auto" w:sz="4" w:space="0"/>
              <w:right w:val="single" w:color="auto" w:sz="4" w:space="0"/>
            </w:tcBorders>
            <w:vAlign w:val="center"/>
          </w:tcPr>
          <w:p w14:paraId="5B88B9E4">
            <w:pPr>
              <w:spacing w:line="240" w:lineRule="exact"/>
              <w:jc w:val="center"/>
              <w:rPr>
                <w:rFonts w:ascii="Arial" w:hAnsi="Arial" w:eastAsia="宋体" w:cs="Arial"/>
                <w:sz w:val="21"/>
                <w:szCs w:val="21"/>
              </w:rPr>
            </w:pPr>
            <w:r>
              <w:rPr>
                <w:rFonts w:ascii="Arial" w:hAnsi="Arial" w:eastAsia="宋体" w:cs="Arial"/>
                <w:sz w:val="21"/>
                <w:szCs w:val="21"/>
              </w:rPr>
              <w:t>1</w:t>
            </w:r>
          </w:p>
        </w:tc>
        <w:tc>
          <w:tcPr>
            <w:tcW w:w="1746" w:type="pct"/>
            <w:tcBorders>
              <w:top w:val="single" w:color="auto" w:sz="4" w:space="0"/>
              <w:left w:val="single" w:color="auto" w:sz="4" w:space="0"/>
              <w:bottom w:val="single" w:color="auto" w:sz="4" w:space="0"/>
              <w:right w:val="single" w:color="auto" w:sz="4" w:space="0"/>
            </w:tcBorders>
            <w:vAlign w:val="center"/>
          </w:tcPr>
          <w:p w14:paraId="275049A1">
            <w:pPr>
              <w:spacing w:line="240" w:lineRule="exact"/>
              <w:jc w:val="center"/>
              <w:rPr>
                <w:rFonts w:ascii="Arial" w:hAnsi="Arial" w:eastAsia="宋体" w:cs="Arial"/>
                <w:sz w:val="21"/>
                <w:szCs w:val="21"/>
              </w:rPr>
            </w:pPr>
            <w:r>
              <w:rPr>
                <w:rFonts w:ascii="Arial" w:hAnsi="Arial" w:eastAsia="宋体" w:cs="Arial"/>
                <w:sz w:val="21"/>
                <w:szCs w:val="21"/>
              </w:rPr>
              <w:t>pH值</w:t>
            </w:r>
          </w:p>
        </w:tc>
        <w:tc>
          <w:tcPr>
            <w:tcW w:w="1947" w:type="pct"/>
            <w:tcBorders>
              <w:top w:val="single" w:color="auto" w:sz="4" w:space="0"/>
              <w:left w:val="single" w:color="auto" w:sz="6" w:space="0"/>
              <w:bottom w:val="single" w:color="auto" w:sz="4" w:space="0"/>
              <w:right w:val="single" w:color="auto" w:sz="4" w:space="0"/>
            </w:tcBorders>
            <w:vAlign w:val="center"/>
          </w:tcPr>
          <w:p w14:paraId="4E256B3F">
            <w:pPr>
              <w:spacing w:line="240" w:lineRule="exact"/>
              <w:jc w:val="center"/>
              <w:rPr>
                <w:rFonts w:ascii="Arial" w:hAnsi="Arial" w:eastAsia="宋体" w:cs="Arial"/>
                <w:sz w:val="21"/>
                <w:szCs w:val="21"/>
              </w:rPr>
            </w:pPr>
            <w:r>
              <w:rPr>
                <w:rFonts w:ascii="Arial" w:hAnsi="Arial" w:eastAsia="宋体" w:cs="Arial"/>
                <w:sz w:val="21"/>
                <w:szCs w:val="21"/>
              </w:rPr>
              <w:t>6~9</w:t>
            </w:r>
          </w:p>
        </w:tc>
      </w:tr>
      <w:tr w14:paraId="539E7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6" w:type="pct"/>
            <w:tcBorders>
              <w:top w:val="single" w:color="auto" w:sz="4" w:space="0"/>
              <w:left w:val="single" w:color="auto" w:sz="4" w:space="0"/>
              <w:bottom w:val="single" w:color="auto" w:sz="4" w:space="0"/>
              <w:right w:val="single" w:color="auto" w:sz="4" w:space="0"/>
            </w:tcBorders>
            <w:vAlign w:val="center"/>
          </w:tcPr>
          <w:p w14:paraId="123BAF22">
            <w:pPr>
              <w:spacing w:line="240" w:lineRule="exact"/>
              <w:jc w:val="center"/>
              <w:rPr>
                <w:rFonts w:ascii="Arial" w:hAnsi="Arial" w:eastAsia="宋体" w:cs="Arial"/>
                <w:sz w:val="21"/>
                <w:szCs w:val="21"/>
              </w:rPr>
            </w:pPr>
            <w:r>
              <w:rPr>
                <w:rFonts w:ascii="Arial" w:hAnsi="Arial" w:eastAsia="宋体" w:cs="Arial"/>
                <w:sz w:val="21"/>
                <w:szCs w:val="21"/>
              </w:rPr>
              <w:t>2</w:t>
            </w:r>
          </w:p>
        </w:tc>
        <w:tc>
          <w:tcPr>
            <w:tcW w:w="1746" w:type="pct"/>
            <w:tcBorders>
              <w:top w:val="single" w:color="auto" w:sz="4" w:space="0"/>
              <w:left w:val="single" w:color="auto" w:sz="4" w:space="0"/>
              <w:bottom w:val="single" w:color="auto" w:sz="4" w:space="0"/>
              <w:right w:val="single" w:color="auto" w:sz="4" w:space="0"/>
            </w:tcBorders>
            <w:vAlign w:val="center"/>
          </w:tcPr>
          <w:p w14:paraId="16BA61E7">
            <w:pPr>
              <w:spacing w:line="240" w:lineRule="exact"/>
              <w:jc w:val="center"/>
              <w:rPr>
                <w:rFonts w:ascii="Arial" w:hAnsi="Arial" w:eastAsia="宋体" w:cs="Arial"/>
                <w:sz w:val="21"/>
                <w:szCs w:val="21"/>
              </w:rPr>
            </w:pPr>
            <w:r>
              <w:rPr>
                <w:rFonts w:ascii="Arial" w:hAnsi="Arial" w:eastAsia="宋体" w:cs="Arial"/>
                <w:sz w:val="21"/>
                <w:szCs w:val="21"/>
              </w:rPr>
              <w:t>悬浮物</w:t>
            </w:r>
          </w:p>
        </w:tc>
        <w:tc>
          <w:tcPr>
            <w:tcW w:w="1947" w:type="pct"/>
            <w:tcBorders>
              <w:top w:val="single" w:color="auto" w:sz="4" w:space="0"/>
              <w:left w:val="single" w:color="auto" w:sz="6" w:space="0"/>
              <w:bottom w:val="single" w:color="auto" w:sz="4" w:space="0"/>
              <w:right w:val="single" w:color="auto" w:sz="4" w:space="0"/>
            </w:tcBorders>
            <w:vAlign w:val="center"/>
          </w:tcPr>
          <w:p w14:paraId="074A9764">
            <w:pPr>
              <w:spacing w:line="240" w:lineRule="exact"/>
              <w:jc w:val="center"/>
              <w:rPr>
                <w:rFonts w:ascii="Arial" w:hAnsi="Arial" w:eastAsia="宋体" w:cs="Arial"/>
                <w:sz w:val="21"/>
                <w:szCs w:val="21"/>
              </w:rPr>
            </w:pPr>
            <w:r>
              <w:rPr>
                <w:rFonts w:ascii="Arial" w:hAnsi="Arial" w:eastAsia="宋体" w:cs="Arial"/>
                <w:sz w:val="21"/>
                <w:szCs w:val="21"/>
              </w:rPr>
              <w:t>100</w:t>
            </w:r>
          </w:p>
        </w:tc>
      </w:tr>
      <w:tr w14:paraId="3B896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6" w:type="pct"/>
            <w:tcBorders>
              <w:top w:val="single" w:color="auto" w:sz="4" w:space="0"/>
              <w:left w:val="single" w:color="auto" w:sz="4" w:space="0"/>
              <w:bottom w:val="single" w:color="auto" w:sz="4" w:space="0"/>
              <w:right w:val="single" w:color="auto" w:sz="4" w:space="0"/>
            </w:tcBorders>
            <w:vAlign w:val="center"/>
          </w:tcPr>
          <w:p w14:paraId="01DB8E0F">
            <w:pPr>
              <w:spacing w:line="240" w:lineRule="exact"/>
              <w:jc w:val="center"/>
              <w:rPr>
                <w:rFonts w:ascii="Arial" w:hAnsi="Arial" w:eastAsia="宋体" w:cs="Arial"/>
                <w:sz w:val="21"/>
                <w:szCs w:val="21"/>
              </w:rPr>
            </w:pPr>
            <w:r>
              <w:rPr>
                <w:rFonts w:ascii="Arial" w:hAnsi="Arial" w:eastAsia="宋体" w:cs="Arial"/>
                <w:sz w:val="21"/>
                <w:szCs w:val="21"/>
              </w:rPr>
              <w:t>3</w:t>
            </w:r>
          </w:p>
        </w:tc>
        <w:tc>
          <w:tcPr>
            <w:tcW w:w="1746" w:type="pct"/>
            <w:tcBorders>
              <w:top w:val="single" w:color="auto" w:sz="4" w:space="0"/>
              <w:left w:val="single" w:color="auto" w:sz="4" w:space="0"/>
              <w:bottom w:val="single" w:color="auto" w:sz="4" w:space="0"/>
              <w:right w:val="single" w:color="auto" w:sz="4" w:space="0"/>
            </w:tcBorders>
            <w:vAlign w:val="center"/>
          </w:tcPr>
          <w:p w14:paraId="5EE583E7">
            <w:pPr>
              <w:spacing w:line="240" w:lineRule="exact"/>
              <w:jc w:val="center"/>
              <w:rPr>
                <w:rFonts w:ascii="Arial" w:hAnsi="Arial" w:eastAsia="宋体" w:cs="Arial"/>
                <w:sz w:val="21"/>
                <w:szCs w:val="21"/>
                <w:vertAlign w:val="subscript"/>
              </w:rPr>
            </w:pPr>
            <w:r>
              <w:rPr>
                <w:rFonts w:ascii="Arial" w:hAnsi="Arial" w:eastAsia="宋体" w:cs="Arial"/>
                <w:sz w:val="21"/>
                <w:szCs w:val="21"/>
              </w:rPr>
              <w:t>COD</w:t>
            </w:r>
            <w:r>
              <w:rPr>
                <w:rFonts w:ascii="Arial" w:hAnsi="Arial" w:eastAsia="宋体" w:cs="Arial"/>
                <w:sz w:val="21"/>
                <w:szCs w:val="21"/>
                <w:vertAlign w:val="subscript"/>
              </w:rPr>
              <w:t>Cr</w:t>
            </w:r>
          </w:p>
        </w:tc>
        <w:tc>
          <w:tcPr>
            <w:tcW w:w="1947" w:type="pct"/>
            <w:tcBorders>
              <w:top w:val="single" w:color="auto" w:sz="4" w:space="0"/>
              <w:left w:val="single" w:color="auto" w:sz="6" w:space="0"/>
              <w:bottom w:val="single" w:color="auto" w:sz="4" w:space="0"/>
              <w:right w:val="single" w:color="auto" w:sz="4" w:space="0"/>
            </w:tcBorders>
            <w:vAlign w:val="center"/>
          </w:tcPr>
          <w:p w14:paraId="26022670">
            <w:pPr>
              <w:spacing w:line="240" w:lineRule="exact"/>
              <w:jc w:val="center"/>
              <w:rPr>
                <w:rFonts w:ascii="Arial" w:hAnsi="Arial" w:eastAsia="宋体" w:cs="Arial"/>
                <w:sz w:val="21"/>
                <w:szCs w:val="21"/>
              </w:rPr>
            </w:pPr>
            <w:r>
              <w:rPr>
                <w:rFonts w:ascii="Arial" w:hAnsi="Arial" w:eastAsia="宋体" w:cs="Arial"/>
                <w:sz w:val="21"/>
                <w:szCs w:val="21"/>
              </w:rPr>
              <w:t>200</w:t>
            </w:r>
          </w:p>
        </w:tc>
      </w:tr>
      <w:tr w14:paraId="2B12F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6" w:type="pct"/>
            <w:tcBorders>
              <w:top w:val="single" w:color="auto" w:sz="4" w:space="0"/>
              <w:left w:val="single" w:color="auto" w:sz="4" w:space="0"/>
              <w:bottom w:val="single" w:color="auto" w:sz="4" w:space="0"/>
              <w:right w:val="single" w:color="auto" w:sz="4" w:space="0"/>
            </w:tcBorders>
            <w:vAlign w:val="center"/>
          </w:tcPr>
          <w:p w14:paraId="21728AF1">
            <w:pPr>
              <w:spacing w:line="240" w:lineRule="exact"/>
              <w:jc w:val="center"/>
              <w:rPr>
                <w:rFonts w:ascii="Arial" w:hAnsi="Arial" w:eastAsia="宋体" w:cs="Arial"/>
                <w:sz w:val="21"/>
                <w:szCs w:val="21"/>
              </w:rPr>
            </w:pPr>
            <w:r>
              <w:rPr>
                <w:rFonts w:ascii="Arial" w:hAnsi="Arial" w:eastAsia="宋体" w:cs="Arial"/>
                <w:sz w:val="21"/>
                <w:szCs w:val="21"/>
              </w:rPr>
              <w:t>4</w:t>
            </w:r>
          </w:p>
        </w:tc>
        <w:tc>
          <w:tcPr>
            <w:tcW w:w="1746" w:type="pct"/>
            <w:tcBorders>
              <w:top w:val="single" w:color="auto" w:sz="4" w:space="0"/>
              <w:left w:val="single" w:color="auto" w:sz="4" w:space="0"/>
              <w:bottom w:val="single" w:color="auto" w:sz="4" w:space="0"/>
              <w:right w:val="single" w:color="auto" w:sz="4" w:space="0"/>
            </w:tcBorders>
            <w:vAlign w:val="center"/>
          </w:tcPr>
          <w:p w14:paraId="424911E6">
            <w:pPr>
              <w:spacing w:line="240" w:lineRule="exact"/>
              <w:jc w:val="center"/>
              <w:rPr>
                <w:rFonts w:ascii="Arial" w:hAnsi="Arial" w:eastAsia="宋体" w:cs="Arial"/>
                <w:sz w:val="21"/>
                <w:szCs w:val="21"/>
              </w:rPr>
            </w:pPr>
            <w:r>
              <w:rPr>
                <w:rFonts w:ascii="Arial" w:hAnsi="Arial" w:eastAsia="宋体" w:cs="Arial"/>
                <w:sz w:val="21"/>
                <w:szCs w:val="21"/>
              </w:rPr>
              <w:t>氨氮</w:t>
            </w:r>
          </w:p>
        </w:tc>
        <w:tc>
          <w:tcPr>
            <w:tcW w:w="1947" w:type="pct"/>
            <w:tcBorders>
              <w:top w:val="single" w:color="auto" w:sz="4" w:space="0"/>
              <w:left w:val="single" w:color="auto" w:sz="6" w:space="0"/>
              <w:bottom w:val="single" w:color="auto" w:sz="4" w:space="0"/>
              <w:right w:val="single" w:color="auto" w:sz="4" w:space="0"/>
            </w:tcBorders>
            <w:vAlign w:val="center"/>
          </w:tcPr>
          <w:p w14:paraId="08406FF0">
            <w:pPr>
              <w:spacing w:line="240" w:lineRule="exact"/>
              <w:jc w:val="center"/>
              <w:rPr>
                <w:rFonts w:ascii="Arial" w:hAnsi="Arial" w:eastAsia="宋体" w:cs="Arial"/>
                <w:sz w:val="21"/>
                <w:szCs w:val="21"/>
              </w:rPr>
            </w:pPr>
            <w:r>
              <w:rPr>
                <w:rFonts w:ascii="Arial" w:hAnsi="Arial" w:eastAsia="宋体" w:cs="Arial"/>
                <w:sz w:val="21"/>
                <w:szCs w:val="21"/>
              </w:rPr>
              <w:t>40</w:t>
            </w:r>
          </w:p>
        </w:tc>
      </w:tr>
    </w:tbl>
    <w:p w14:paraId="110D8648">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生产废水总排口污染物排放浓度限值   单位：mg/L</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
        <w:gridCol w:w="1705"/>
        <w:gridCol w:w="3112"/>
        <w:gridCol w:w="3108"/>
      </w:tblGrid>
      <w:tr w14:paraId="2F09D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94" w:type="pct"/>
            <w:tcBorders>
              <w:top w:val="single" w:color="auto" w:sz="4" w:space="0"/>
              <w:left w:val="single" w:color="auto" w:sz="4" w:space="0"/>
              <w:bottom w:val="single" w:color="auto" w:sz="4" w:space="0"/>
              <w:right w:val="single" w:color="auto" w:sz="4" w:space="0"/>
            </w:tcBorders>
            <w:vAlign w:val="center"/>
          </w:tcPr>
          <w:p w14:paraId="4EE52470">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948" w:type="pct"/>
            <w:tcBorders>
              <w:top w:val="single" w:color="auto" w:sz="4" w:space="0"/>
              <w:left w:val="single" w:color="auto" w:sz="4" w:space="0"/>
              <w:bottom w:val="single" w:color="auto" w:sz="4" w:space="0"/>
              <w:right w:val="single" w:color="auto" w:sz="4" w:space="0"/>
            </w:tcBorders>
            <w:vAlign w:val="center"/>
          </w:tcPr>
          <w:p w14:paraId="47B3C3F0">
            <w:pPr>
              <w:spacing w:line="240" w:lineRule="exact"/>
              <w:jc w:val="center"/>
              <w:rPr>
                <w:rFonts w:ascii="Arial" w:hAnsi="Arial" w:eastAsia="宋体" w:cs="Arial"/>
                <w:sz w:val="21"/>
                <w:szCs w:val="21"/>
              </w:rPr>
            </w:pPr>
            <w:r>
              <w:rPr>
                <w:rFonts w:ascii="Arial" w:hAnsi="Arial" w:eastAsia="宋体" w:cs="Arial"/>
                <w:sz w:val="21"/>
                <w:szCs w:val="21"/>
              </w:rPr>
              <w:t>污染物</w:t>
            </w:r>
          </w:p>
        </w:tc>
        <w:tc>
          <w:tcPr>
            <w:tcW w:w="1730" w:type="pct"/>
            <w:tcBorders>
              <w:top w:val="single" w:color="auto" w:sz="4" w:space="0"/>
              <w:left w:val="single" w:color="auto" w:sz="4" w:space="0"/>
              <w:bottom w:val="single" w:color="auto" w:sz="4" w:space="0"/>
              <w:right w:val="single" w:color="auto" w:sz="4" w:space="0"/>
            </w:tcBorders>
            <w:vAlign w:val="center"/>
          </w:tcPr>
          <w:p w14:paraId="5670B390">
            <w:pPr>
              <w:spacing w:line="240" w:lineRule="exact"/>
              <w:jc w:val="center"/>
              <w:rPr>
                <w:rFonts w:ascii="Arial" w:hAnsi="Arial" w:eastAsia="宋体" w:cs="Arial"/>
                <w:sz w:val="21"/>
                <w:szCs w:val="21"/>
              </w:rPr>
            </w:pPr>
            <w:r>
              <w:rPr>
                <w:rFonts w:ascii="Arial" w:hAnsi="Arial" w:eastAsia="宋体" w:cs="Arial"/>
                <w:sz w:val="21"/>
                <w:szCs w:val="21"/>
              </w:rPr>
              <w:t>大榄坪污水处理厂改造完成</w:t>
            </w:r>
            <w:r>
              <w:rPr>
                <w:rFonts w:hint="eastAsia" w:ascii="Arial" w:hAnsi="Arial" w:eastAsia="宋体" w:cs="Arial"/>
                <w:sz w:val="21"/>
                <w:szCs w:val="21"/>
              </w:rPr>
              <w:t>前</w:t>
            </w:r>
          </w:p>
          <w:p w14:paraId="3CA5924D">
            <w:pPr>
              <w:spacing w:line="240" w:lineRule="exact"/>
              <w:jc w:val="center"/>
              <w:rPr>
                <w:rFonts w:ascii="Arial" w:hAnsi="Arial" w:eastAsia="宋体" w:cs="Arial"/>
                <w:sz w:val="21"/>
                <w:szCs w:val="21"/>
              </w:rPr>
            </w:pPr>
            <w:r>
              <w:rPr>
                <w:rFonts w:ascii="Arial" w:hAnsi="Arial" w:eastAsia="宋体" w:cs="Arial"/>
                <w:sz w:val="21"/>
                <w:szCs w:val="21"/>
              </w:rPr>
              <w:t>（直接排放）</w:t>
            </w:r>
          </w:p>
        </w:tc>
        <w:tc>
          <w:tcPr>
            <w:tcW w:w="1728" w:type="pct"/>
            <w:tcBorders>
              <w:top w:val="single" w:color="auto" w:sz="4" w:space="0"/>
              <w:left w:val="single" w:color="auto" w:sz="4" w:space="0"/>
              <w:bottom w:val="single" w:color="auto" w:sz="4" w:space="0"/>
              <w:right w:val="single" w:color="auto" w:sz="4" w:space="0"/>
            </w:tcBorders>
            <w:vAlign w:val="center"/>
          </w:tcPr>
          <w:p w14:paraId="36EA5888">
            <w:pPr>
              <w:spacing w:line="240" w:lineRule="exact"/>
              <w:jc w:val="center"/>
              <w:rPr>
                <w:rFonts w:ascii="Arial" w:hAnsi="Arial" w:eastAsia="宋体" w:cs="Arial"/>
                <w:sz w:val="21"/>
                <w:szCs w:val="21"/>
              </w:rPr>
            </w:pPr>
            <w:r>
              <w:rPr>
                <w:rFonts w:ascii="Arial" w:hAnsi="Arial" w:eastAsia="宋体" w:cs="Arial"/>
                <w:sz w:val="21"/>
                <w:szCs w:val="21"/>
              </w:rPr>
              <w:t>大榄坪污水处理厂改造完成后</w:t>
            </w:r>
          </w:p>
          <w:p w14:paraId="57533AF6">
            <w:pPr>
              <w:spacing w:line="240" w:lineRule="exact"/>
              <w:jc w:val="center"/>
              <w:rPr>
                <w:rFonts w:ascii="Arial" w:hAnsi="Arial" w:eastAsia="宋体" w:cs="Arial"/>
                <w:sz w:val="21"/>
                <w:szCs w:val="21"/>
              </w:rPr>
            </w:pPr>
            <w:r>
              <w:rPr>
                <w:rFonts w:ascii="Arial" w:hAnsi="Arial" w:eastAsia="宋体" w:cs="Arial"/>
                <w:sz w:val="21"/>
                <w:szCs w:val="21"/>
              </w:rPr>
              <w:t>（间接排放）</w:t>
            </w:r>
          </w:p>
        </w:tc>
      </w:tr>
      <w:tr w14:paraId="25AA8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2852E714">
            <w:pPr>
              <w:spacing w:line="240" w:lineRule="exact"/>
              <w:jc w:val="center"/>
              <w:rPr>
                <w:rFonts w:ascii="Arial" w:hAnsi="Arial" w:eastAsia="宋体" w:cs="Arial"/>
                <w:sz w:val="21"/>
                <w:szCs w:val="21"/>
              </w:rPr>
            </w:pPr>
            <w:r>
              <w:rPr>
                <w:rFonts w:hint="eastAsia" w:ascii="Arial" w:hAnsi="Arial" w:eastAsia="宋体" w:cs="Arial"/>
                <w:sz w:val="21"/>
                <w:szCs w:val="21"/>
              </w:rPr>
              <w:t>1</w:t>
            </w:r>
          </w:p>
        </w:tc>
        <w:tc>
          <w:tcPr>
            <w:tcW w:w="948" w:type="pct"/>
            <w:tcBorders>
              <w:top w:val="single" w:color="auto" w:sz="4" w:space="0"/>
              <w:left w:val="single" w:color="auto" w:sz="4" w:space="0"/>
              <w:bottom w:val="single" w:color="auto" w:sz="4" w:space="0"/>
              <w:right w:val="single" w:color="auto" w:sz="4" w:space="0"/>
            </w:tcBorders>
            <w:vAlign w:val="center"/>
          </w:tcPr>
          <w:p w14:paraId="0F77B8B8">
            <w:pPr>
              <w:spacing w:line="240" w:lineRule="exact"/>
              <w:jc w:val="center"/>
              <w:rPr>
                <w:rFonts w:ascii="Arial" w:hAnsi="Arial" w:eastAsia="宋体" w:cs="Arial"/>
                <w:sz w:val="21"/>
                <w:szCs w:val="21"/>
              </w:rPr>
            </w:pPr>
            <w:r>
              <w:rPr>
                <w:rFonts w:ascii="Arial" w:hAnsi="Arial" w:eastAsia="宋体" w:cs="Arial"/>
                <w:sz w:val="21"/>
                <w:szCs w:val="21"/>
              </w:rPr>
              <w:t>pH值</w:t>
            </w:r>
          </w:p>
        </w:tc>
        <w:tc>
          <w:tcPr>
            <w:tcW w:w="1730" w:type="pct"/>
            <w:tcBorders>
              <w:top w:val="single" w:color="auto" w:sz="4" w:space="0"/>
              <w:left w:val="single" w:color="auto" w:sz="4" w:space="0"/>
              <w:bottom w:val="single" w:color="auto" w:sz="4" w:space="0"/>
              <w:right w:val="single" w:color="auto" w:sz="4" w:space="0"/>
            </w:tcBorders>
            <w:vAlign w:val="center"/>
          </w:tcPr>
          <w:p w14:paraId="7EF62522">
            <w:pPr>
              <w:spacing w:line="240" w:lineRule="exact"/>
              <w:jc w:val="center"/>
              <w:rPr>
                <w:rFonts w:ascii="Arial" w:hAnsi="Arial" w:eastAsia="宋体" w:cs="Arial"/>
                <w:sz w:val="21"/>
                <w:szCs w:val="21"/>
              </w:rPr>
            </w:pPr>
            <w:r>
              <w:rPr>
                <w:rFonts w:hint="eastAsia" w:ascii="Arial" w:hAnsi="Arial" w:eastAsia="宋体" w:cs="Arial"/>
                <w:sz w:val="21"/>
                <w:szCs w:val="21"/>
              </w:rPr>
              <w:t>6~9</w:t>
            </w:r>
          </w:p>
        </w:tc>
        <w:tc>
          <w:tcPr>
            <w:tcW w:w="1728" w:type="pct"/>
            <w:tcBorders>
              <w:top w:val="single" w:color="auto" w:sz="4" w:space="0"/>
              <w:left w:val="single" w:color="auto" w:sz="4" w:space="0"/>
              <w:bottom w:val="single" w:color="auto" w:sz="4" w:space="0"/>
              <w:right w:val="single" w:color="auto" w:sz="4" w:space="0"/>
            </w:tcBorders>
            <w:vAlign w:val="center"/>
          </w:tcPr>
          <w:p w14:paraId="43FB95B1">
            <w:pPr>
              <w:spacing w:line="240" w:lineRule="exact"/>
              <w:jc w:val="center"/>
              <w:rPr>
                <w:rFonts w:ascii="Arial" w:hAnsi="Arial" w:eastAsia="宋体" w:cs="Arial"/>
                <w:sz w:val="21"/>
                <w:szCs w:val="21"/>
              </w:rPr>
            </w:pPr>
            <w:r>
              <w:rPr>
                <w:rFonts w:hint="eastAsia" w:ascii="Arial" w:hAnsi="Arial" w:eastAsia="宋体" w:cs="Arial"/>
                <w:sz w:val="21"/>
                <w:szCs w:val="21"/>
              </w:rPr>
              <w:t>6~9</w:t>
            </w:r>
          </w:p>
        </w:tc>
      </w:tr>
      <w:tr w14:paraId="7974B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1A654587">
            <w:pPr>
              <w:spacing w:line="240" w:lineRule="exact"/>
              <w:jc w:val="center"/>
              <w:rPr>
                <w:rFonts w:ascii="Arial" w:hAnsi="Arial" w:eastAsia="宋体" w:cs="Arial"/>
                <w:sz w:val="21"/>
                <w:szCs w:val="21"/>
              </w:rPr>
            </w:pPr>
            <w:r>
              <w:rPr>
                <w:rFonts w:hint="eastAsia" w:ascii="Arial" w:hAnsi="Arial" w:eastAsia="宋体" w:cs="Arial"/>
                <w:sz w:val="21"/>
                <w:szCs w:val="21"/>
              </w:rPr>
              <w:t>2</w:t>
            </w:r>
          </w:p>
        </w:tc>
        <w:tc>
          <w:tcPr>
            <w:tcW w:w="948" w:type="pct"/>
            <w:tcBorders>
              <w:top w:val="single" w:color="auto" w:sz="4" w:space="0"/>
              <w:left w:val="single" w:color="auto" w:sz="4" w:space="0"/>
              <w:bottom w:val="single" w:color="auto" w:sz="4" w:space="0"/>
              <w:right w:val="single" w:color="auto" w:sz="4" w:space="0"/>
            </w:tcBorders>
            <w:vAlign w:val="center"/>
          </w:tcPr>
          <w:p w14:paraId="3A29061D">
            <w:pPr>
              <w:spacing w:line="240" w:lineRule="exact"/>
              <w:jc w:val="center"/>
              <w:rPr>
                <w:rFonts w:ascii="Arial" w:hAnsi="Arial" w:eastAsia="宋体" w:cs="Arial"/>
                <w:sz w:val="21"/>
                <w:szCs w:val="21"/>
              </w:rPr>
            </w:pPr>
            <w:r>
              <w:rPr>
                <w:rFonts w:ascii="Arial" w:hAnsi="Arial" w:eastAsia="宋体" w:cs="Arial"/>
                <w:sz w:val="21"/>
                <w:szCs w:val="21"/>
              </w:rPr>
              <w:t>悬浮物</w:t>
            </w:r>
          </w:p>
        </w:tc>
        <w:tc>
          <w:tcPr>
            <w:tcW w:w="1730" w:type="pct"/>
            <w:tcBorders>
              <w:top w:val="single" w:color="auto" w:sz="4" w:space="0"/>
              <w:left w:val="single" w:color="auto" w:sz="4" w:space="0"/>
              <w:bottom w:val="single" w:color="auto" w:sz="4" w:space="0"/>
              <w:right w:val="single" w:color="auto" w:sz="4" w:space="0"/>
            </w:tcBorders>
            <w:vAlign w:val="center"/>
          </w:tcPr>
          <w:p w14:paraId="52DC579B">
            <w:pPr>
              <w:spacing w:line="240" w:lineRule="exact"/>
              <w:jc w:val="center"/>
              <w:rPr>
                <w:rFonts w:ascii="Arial" w:hAnsi="Arial" w:eastAsia="宋体" w:cs="Arial"/>
                <w:sz w:val="21"/>
                <w:szCs w:val="21"/>
              </w:rPr>
            </w:pPr>
            <w:r>
              <w:rPr>
                <w:rFonts w:hint="eastAsia" w:ascii="Arial" w:hAnsi="Arial" w:eastAsia="宋体" w:cs="Arial"/>
                <w:sz w:val="21"/>
                <w:szCs w:val="21"/>
              </w:rPr>
              <w:t>50</w:t>
            </w:r>
          </w:p>
        </w:tc>
        <w:tc>
          <w:tcPr>
            <w:tcW w:w="1728" w:type="pct"/>
            <w:tcBorders>
              <w:top w:val="single" w:color="auto" w:sz="4" w:space="0"/>
              <w:left w:val="single" w:color="auto" w:sz="4" w:space="0"/>
              <w:bottom w:val="single" w:color="auto" w:sz="4" w:space="0"/>
              <w:right w:val="single" w:color="auto" w:sz="4" w:space="0"/>
            </w:tcBorders>
            <w:vAlign w:val="center"/>
          </w:tcPr>
          <w:p w14:paraId="6A19C3AD">
            <w:pPr>
              <w:spacing w:line="240" w:lineRule="exact"/>
              <w:jc w:val="center"/>
              <w:rPr>
                <w:rFonts w:ascii="Arial" w:hAnsi="Arial" w:eastAsia="宋体" w:cs="Arial"/>
                <w:sz w:val="21"/>
                <w:szCs w:val="21"/>
              </w:rPr>
            </w:pPr>
            <w:r>
              <w:rPr>
                <w:rFonts w:hint="eastAsia" w:ascii="Arial" w:hAnsi="Arial" w:eastAsia="宋体" w:cs="Arial"/>
                <w:sz w:val="21"/>
                <w:szCs w:val="21"/>
              </w:rPr>
              <w:t>100</w:t>
            </w:r>
          </w:p>
        </w:tc>
      </w:tr>
      <w:tr w14:paraId="6CE3F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0D0575C1">
            <w:pPr>
              <w:spacing w:line="240" w:lineRule="exact"/>
              <w:jc w:val="center"/>
              <w:rPr>
                <w:rFonts w:ascii="Arial" w:hAnsi="Arial" w:eastAsia="宋体" w:cs="Arial"/>
                <w:sz w:val="21"/>
                <w:szCs w:val="21"/>
              </w:rPr>
            </w:pPr>
            <w:r>
              <w:rPr>
                <w:rFonts w:hint="eastAsia" w:ascii="Arial" w:hAnsi="Arial" w:eastAsia="宋体" w:cs="Arial"/>
                <w:sz w:val="21"/>
                <w:szCs w:val="21"/>
              </w:rPr>
              <w:t>3</w:t>
            </w:r>
          </w:p>
        </w:tc>
        <w:tc>
          <w:tcPr>
            <w:tcW w:w="948" w:type="pct"/>
            <w:tcBorders>
              <w:top w:val="single" w:color="auto" w:sz="4" w:space="0"/>
              <w:left w:val="single" w:color="auto" w:sz="4" w:space="0"/>
              <w:bottom w:val="single" w:color="auto" w:sz="4" w:space="0"/>
              <w:right w:val="single" w:color="auto" w:sz="4" w:space="0"/>
            </w:tcBorders>
            <w:vAlign w:val="center"/>
          </w:tcPr>
          <w:p w14:paraId="25832EFA">
            <w:pPr>
              <w:spacing w:line="240" w:lineRule="exact"/>
              <w:jc w:val="center"/>
              <w:rPr>
                <w:rFonts w:ascii="Arial" w:hAnsi="Arial" w:eastAsia="宋体" w:cs="Arial"/>
                <w:sz w:val="21"/>
                <w:szCs w:val="21"/>
              </w:rPr>
            </w:pPr>
            <w:r>
              <w:rPr>
                <w:rFonts w:ascii="Arial" w:hAnsi="Arial" w:eastAsia="宋体" w:cs="Arial"/>
                <w:sz w:val="21"/>
                <w:szCs w:val="21"/>
              </w:rPr>
              <w:t>COD</w:t>
            </w:r>
            <w:r>
              <w:rPr>
                <w:rFonts w:ascii="Arial" w:hAnsi="Arial" w:eastAsia="宋体" w:cs="Arial"/>
                <w:sz w:val="21"/>
                <w:szCs w:val="21"/>
                <w:vertAlign w:val="subscript"/>
              </w:rPr>
              <w:t>Cr</w:t>
            </w:r>
          </w:p>
        </w:tc>
        <w:tc>
          <w:tcPr>
            <w:tcW w:w="1730" w:type="pct"/>
            <w:tcBorders>
              <w:top w:val="single" w:color="auto" w:sz="4" w:space="0"/>
              <w:left w:val="single" w:color="auto" w:sz="4" w:space="0"/>
              <w:bottom w:val="single" w:color="auto" w:sz="4" w:space="0"/>
              <w:right w:val="single" w:color="auto" w:sz="4" w:space="0"/>
            </w:tcBorders>
            <w:vAlign w:val="center"/>
          </w:tcPr>
          <w:p w14:paraId="34ADF9B3">
            <w:pPr>
              <w:spacing w:line="240" w:lineRule="exact"/>
              <w:jc w:val="center"/>
              <w:rPr>
                <w:rFonts w:ascii="Arial" w:hAnsi="Arial" w:eastAsia="宋体" w:cs="Arial"/>
                <w:sz w:val="21"/>
                <w:szCs w:val="21"/>
              </w:rPr>
            </w:pPr>
            <w:r>
              <w:rPr>
                <w:rFonts w:hint="eastAsia" w:ascii="Arial" w:hAnsi="Arial" w:eastAsia="宋体" w:cs="Arial"/>
                <w:sz w:val="21"/>
                <w:szCs w:val="21"/>
              </w:rPr>
              <w:t>50</w:t>
            </w:r>
          </w:p>
        </w:tc>
        <w:tc>
          <w:tcPr>
            <w:tcW w:w="1728" w:type="pct"/>
            <w:tcBorders>
              <w:top w:val="single" w:color="auto" w:sz="4" w:space="0"/>
              <w:left w:val="single" w:color="auto" w:sz="4" w:space="0"/>
              <w:bottom w:val="single" w:color="auto" w:sz="4" w:space="0"/>
              <w:right w:val="single" w:color="auto" w:sz="4" w:space="0"/>
            </w:tcBorders>
            <w:vAlign w:val="center"/>
          </w:tcPr>
          <w:p w14:paraId="11510971">
            <w:pPr>
              <w:spacing w:line="240" w:lineRule="exact"/>
              <w:jc w:val="center"/>
              <w:rPr>
                <w:rFonts w:ascii="Arial" w:hAnsi="Arial" w:eastAsia="宋体" w:cs="Arial"/>
                <w:sz w:val="21"/>
                <w:szCs w:val="21"/>
              </w:rPr>
            </w:pPr>
            <w:r>
              <w:rPr>
                <w:rFonts w:hint="eastAsia" w:ascii="Arial" w:hAnsi="Arial" w:eastAsia="宋体" w:cs="Arial"/>
                <w:sz w:val="21"/>
                <w:szCs w:val="21"/>
              </w:rPr>
              <w:t>200</w:t>
            </w:r>
          </w:p>
        </w:tc>
      </w:tr>
      <w:tr w14:paraId="11329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018031D4">
            <w:pPr>
              <w:spacing w:line="240" w:lineRule="exact"/>
              <w:jc w:val="center"/>
              <w:rPr>
                <w:rFonts w:ascii="Arial" w:hAnsi="Arial" w:eastAsia="宋体" w:cs="Arial"/>
                <w:sz w:val="21"/>
                <w:szCs w:val="21"/>
              </w:rPr>
            </w:pPr>
            <w:r>
              <w:rPr>
                <w:rFonts w:hint="eastAsia" w:ascii="Arial" w:hAnsi="Arial" w:eastAsia="宋体" w:cs="Arial"/>
                <w:sz w:val="21"/>
                <w:szCs w:val="21"/>
              </w:rPr>
              <w:t>4</w:t>
            </w:r>
          </w:p>
        </w:tc>
        <w:tc>
          <w:tcPr>
            <w:tcW w:w="948" w:type="pct"/>
            <w:tcBorders>
              <w:top w:val="single" w:color="auto" w:sz="4" w:space="0"/>
              <w:left w:val="single" w:color="auto" w:sz="4" w:space="0"/>
              <w:bottom w:val="single" w:color="auto" w:sz="4" w:space="0"/>
              <w:right w:val="single" w:color="auto" w:sz="4" w:space="0"/>
            </w:tcBorders>
            <w:vAlign w:val="center"/>
          </w:tcPr>
          <w:p w14:paraId="2E0432E9">
            <w:pPr>
              <w:spacing w:line="240" w:lineRule="exact"/>
              <w:jc w:val="center"/>
              <w:rPr>
                <w:rFonts w:ascii="Arial" w:hAnsi="Arial" w:eastAsia="宋体" w:cs="Arial"/>
                <w:sz w:val="21"/>
                <w:szCs w:val="21"/>
              </w:rPr>
            </w:pPr>
            <w:r>
              <w:rPr>
                <w:rFonts w:ascii="Arial" w:hAnsi="Arial" w:eastAsia="宋体" w:cs="Arial"/>
                <w:sz w:val="21"/>
                <w:szCs w:val="21"/>
              </w:rPr>
              <w:t>氨氮</w:t>
            </w:r>
          </w:p>
        </w:tc>
        <w:tc>
          <w:tcPr>
            <w:tcW w:w="1730" w:type="pct"/>
            <w:tcBorders>
              <w:top w:val="single" w:color="auto" w:sz="4" w:space="0"/>
              <w:left w:val="single" w:color="auto" w:sz="4" w:space="0"/>
              <w:bottom w:val="single" w:color="auto" w:sz="4" w:space="0"/>
              <w:right w:val="single" w:color="auto" w:sz="4" w:space="0"/>
            </w:tcBorders>
            <w:vAlign w:val="center"/>
          </w:tcPr>
          <w:p w14:paraId="7221E484">
            <w:pPr>
              <w:spacing w:line="240" w:lineRule="exact"/>
              <w:jc w:val="center"/>
              <w:rPr>
                <w:rFonts w:ascii="Arial" w:hAnsi="Arial" w:eastAsia="宋体" w:cs="Arial"/>
                <w:sz w:val="21"/>
                <w:szCs w:val="21"/>
              </w:rPr>
            </w:pPr>
            <w:r>
              <w:rPr>
                <w:rFonts w:hint="eastAsia" w:ascii="Arial" w:hAnsi="Arial" w:eastAsia="宋体" w:cs="Arial"/>
                <w:sz w:val="21"/>
                <w:szCs w:val="21"/>
              </w:rPr>
              <w:t>10</w:t>
            </w:r>
          </w:p>
        </w:tc>
        <w:tc>
          <w:tcPr>
            <w:tcW w:w="1728" w:type="pct"/>
            <w:tcBorders>
              <w:top w:val="single" w:color="auto" w:sz="4" w:space="0"/>
              <w:left w:val="single" w:color="auto" w:sz="4" w:space="0"/>
              <w:bottom w:val="single" w:color="auto" w:sz="4" w:space="0"/>
              <w:right w:val="single" w:color="auto" w:sz="4" w:space="0"/>
            </w:tcBorders>
            <w:vAlign w:val="center"/>
          </w:tcPr>
          <w:p w14:paraId="1948996C">
            <w:pPr>
              <w:spacing w:line="240" w:lineRule="exact"/>
              <w:jc w:val="center"/>
              <w:rPr>
                <w:rFonts w:ascii="Arial" w:hAnsi="Arial" w:eastAsia="宋体" w:cs="Arial"/>
                <w:sz w:val="21"/>
                <w:szCs w:val="21"/>
              </w:rPr>
            </w:pPr>
            <w:r>
              <w:rPr>
                <w:rFonts w:hint="eastAsia" w:ascii="Arial" w:hAnsi="Arial" w:eastAsia="宋体" w:cs="Arial"/>
                <w:sz w:val="21"/>
                <w:szCs w:val="21"/>
              </w:rPr>
              <w:t>40</w:t>
            </w:r>
          </w:p>
        </w:tc>
      </w:tr>
      <w:tr w14:paraId="03B6C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5BF2E713">
            <w:pPr>
              <w:spacing w:line="240" w:lineRule="exact"/>
              <w:jc w:val="center"/>
              <w:rPr>
                <w:rFonts w:ascii="Arial" w:hAnsi="Arial" w:eastAsia="宋体" w:cs="Arial"/>
                <w:sz w:val="21"/>
                <w:szCs w:val="21"/>
              </w:rPr>
            </w:pPr>
            <w:r>
              <w:rPr>
                <w:rFonts w:hint="eastAsia" w:ascii="Arial" w:hAnsi="Arial" w:eastAsia="宋体" w:cs="Arial"/>
                <w:sz w:val="21"/>
                <w:szCs w:val="21"/>
              </w:rPr>
              <w:t>5</w:t>
            </w:r>
          </w:p>
        </w:tc>
        <w:tc>
          <w:tcPr>
            <w:tcW w:w="948" w:type="pct"/>
            <w:tcBorders>
              <w:top w:val="single" w:color="auto" w:sz="4" w:space="0"/>
              <w:left w:val="single" w:color="auto" w:sz="4" w:space="0"/>
              <w:bottom w:val="single" w:color="auto" w:sz="4" w:space="0"/>
              <w:right w:val="single" w:color="auto" w:sz="4" w:space="0"/>
            </w:tcBorders>
            <w:vAlign w:val="center"/>
          </w:tcPr>
          <w:p w14:paraId="1097B7D2">
            <w:pPr>
              <w:spacing w:line="240" w:lineRule="exact"/>
              <w:jc w:val="center"/>
              <w:rPr>
                <w:rFonts w:ascii="Arial" w:hAnsi="Arial" w:eastAsia="宋体" w:cs="Arial"/>
                <w:sz w:val="21"/>
                <w:szCs w:val="21"/>
              </w:rPr>
            </w:pPr>
            <w:r>
              <w:rPr>
                <w:rFonts w:ascii="Arial" w:hAnsi="Arial" w:eastAsia="宋体" w:cs="Arial"/>
                <w:sz w:val="21"/>
                <w:szCs w:val="21"/>
              </w:rPr>
              <w:t>石油类</w:t>
            </w:r>
          </w:p>
        </w:tc>
        <w:tc>
          <w:tcPr>
            <w:tcW w:w="1730" w:type="pct"/>
            <w:tcBorders>
              <w:top w:val="single" w:color="auto" w:sz="4" w:space="0"/>
              <w:left w:val="single" w:color="auto" w:sz="4" w:space="0"/>
              <w:bottom w:val="single" w:color="auto" w:sz="4" w:space="0"/>
              <w:right w:val="single" w:color="auto" w:sz="4" w:space="0"/>
            </w:tcBorders>
            <w:vAlign w:val="center"/>
          </w:tcPr>
          <w:p w14:paraId="2773A6B1">
            <w:pPr>
              <w:spacing w:line="240" w:lineRule="exact"/>
              <w:jc w:val="center"/>
              <w:rPr>
                <w:rFonts w:ascii="Arial" w:hAnsi="Arial" w:eastAsia="宋体" w:cs="Arial"/>
                <w:sz w:val="21"/>
                <w:szCs w:val="21"/>
              </w:rPr>
            </w:pPr>
            <w:r>
              <w:rPr>
                <w:rFonts w:hint="eastAsia" w:ascii="Arial" w:hAnsi="Arial" w:eastAsia="宋体" w:cs="Arial"/>
                <w:sz w:val="21"/>
                <w:szCs w:val="21"/>
              </w:rPr>
              <w:t>3</w:t>
            </w:r>
          </w:p>
        </w:tc>
        <w:tc>
          <w:tcPr>
            <w:tcW w:w="1728" w:type="pct"/>
            <w:tcBorders>
              <w:top w:val="single" w:color="auto" w:sz="4" w:space="0"/>
              <w:left w:val="single" w:color="auto" w:sz="4" w:space="0"/>
              <w:bottom w:val="single" w:color="auto" w:sz="4" w:space="0"/>
              <w:right w:val="single" w:color="auto" w:sz="4" w:space="0"/>
            </w:tcBorders>
            <w:vAlign w:val="center"/>
          </w:tcPr>
          <w:p w14:paraId="1ACE9F02">
            <w:pPr>
              <w:spacing w:line="240" w:lineRule="exact"/>
              <w:jc w:val="center"/>
              <w:rPr>
                <w:rFonts w:ascii="Arial" w:hAnsi="Arial" w:eastAsia="宋体" w:cs="Arial"/>
                <w:sz w:val="21"/>
                <w:szCs w:val="21"/>
              </w:rPr>
            </w:pPr>
            <w:r>
              <w:rPr>
                <w:rFonts w:hint="eastAsia" w:ascii="Arial" w:hAnsi="Arial" w:eastAsia="宋体" w:cs="Arial"/>
                <w:sz w:val="21"/>
                <w:szCs w:val="21"/>
              </w:rPr>
              <w:t>6</w:t>
            </w:r>
          </w:p>
        </w:tc>
      </w:tr>
      <w:tr w14:paraId="41D68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15F84D3A">
            <w:pPr>
              <w:spacing w:line="240" w:lineRule="exact"/>
              <w:jc w:val="center"/>
              <w:rPr>
                <w:rFonts w:ascii="Arial" w:hAnsi="Arial" w:eastAsia="宋体" w:cs="Arial"/>
                <w:sz w:val="21"/>
                <w:szCs w:val="21"/>
              </w:rPr>
            </w:pPr>
            <w:r>
              <w:rPr>
                <w:rFonts w:hint="eastAsia" w:ascii="Arial" w:hAnsi="Arial" w:eastAsia="宋体" w:cs="Arial"/>
                <w:sz w:val="21"/>
                <w:szCs w:val="21"/>
              </w:rPr>
              <w:t>6</w:t>
            </w:r>
          </w:p>
        </w:tc>
        <w:tc>
          <w:tcPr>
            <w:tcW w:w="948" w:type="pct"/>
            <w:tcBorders>
              <w:top w:val="single" w:color="auto" w:sz="4" w:space="0"/>
              <w:left w:val="single" w:color="auto" w:sz="4" w:space="0"/>
              <w:bottom w:val="single" w:color="auto" w:sz="4" w:space="0"/>
              <w:right w:val="single" w:color="auto" w:sz="4" w:space="0"/>
            </w:tcBorders>
            <w:vAlign w:val="center"/>
          </w:tcPr>
          <w:p w14:paraId="71B77957">
            <w:pPr>
              <w:spacing w:line="240" w:lineRule="exact"/>
              <w:jc w:val="center"/>
              <w:rPr>
                <w:rFonts w:ascii="Arial" w:hAnsi="Arial" w:eastAsia="宋体" w:cs="Arial"/>
                <w:sz w:val="21"/>
                <w:szCs w:val="21"/>
              </w:rPr>
            </w:pPr>
            <w:r>
              <w:rPr>
                <w:rFonts w:ascii="Arial" w:hAnsi="Arial" w:eastAsia="宋体" w:cs="Arial"/>
                <w:sz w:val="21"/>
                <w:szCs w:val="21"/>
              </w:rPr>
              <w:t>氟化物</w:t>
            </w:r>
          </w:p>
        </w:tc>
        <w:tc>
          <w:tcPr>
            <w:tcW w:w="1730" w:type="pct"/>
            <w:tcBorders>
              <w:top w:val="single" w:color="auto" w:sz="4" w:space="0"/>
              <w:left w:val="single" w:color="auto" w:sz="4" w:space="0"/>
              <w:bottom w:val="single" w:color="auto" w:sz="4" w:space="0"/>
              <w:right w:val="single" w:color="auto" w:sz="4" w:space="0"/>
            </w:tcBorders>
            <w:vAlign w:val="center"/>
          </w:tcPr>
          <w:p w14:paraId="26B7058E">
            <w:pPr>
              <w:spacing w:line="240" w:lineRule="exact"/>
              <w:jc w:val="center"/>
              <w:rPr>
                <w:rFonts w:ascii="Arial" w:hAnsi="Arial" w:eastAsia="宋体" w:cs="Arial"/>
                <w:sz w:val="21"/>
                <w:szCs w:val="21"/>
              </w:rPr>
            </w:pPr>
            <w:r>
              <w:rPr>
                <w:rFonts w:hint="eastAsia" w:ascii="Arial" w:hAnsi="Arial" w:eastAsia="宋体" w:cs="Arial"/>
                <w:sz w:val="21"/>
                <w:szCs w:val="21"/>
              </w:rPr>
              <w:t>6</w:t>
            </w:r>
          </w:p>
        </w:tc>
        <w:tc>
          <w:tcPr>
            <w:tcW w:w="1728" w:type="pct"/>
            <w:tcBorders>
              <w:top w:val="single" w:color="auto" w:sz="4" w:space="0"/>
              <w:left w:val="single" w:color="auto" w:sz="4" w:space="0"/>
              <w:bottom w:val="single" w:color="auto" w:sz="4" w:space="0"/>
              <w:right w:val="single" w:color="auto" w:sz="4" w:space="0"/>
            </w:tcBorders>
            <w:vAlign w:val="center"/>
          </w:tcPr>
          <w:p w14:paraId="565CD14E">
            <w:pPr>
              <w:spacing w:line="240" w:lineRule="exact"/>
              <w:jc w:val="center"/>
              <w:rPr>
                <w:rFonts w:ascii="Arial" w:hAnsi="Arial" w:eastAsia="宋体" w:cs="Arial"/>
                <w:sz w:val="21"/>
                <w:szCs w:val="21"/>
              </w:rPr>
            </w:pPr>
            <w:r>
              <w:rPr>
                <w:rFonts w:hint="eastAsia" w:ascii="Arial" w:hAnsi="Arial" w:eastAsia="宋体" w:cs="Arial"/>
                <w:sz w:val="21"/>
                <w:szCs w:val="21"/>
              </w:rPr>
              <w:t>6</w:t>
            </w:r>
          </w:p>
        </w:tc>
      </w:tr>
      <w:tr w14:paraId="6CAC8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5E8989C8">
            <w:pPr>
              <w:spacing w:line="240" w:lineRule="exact"/>
              <w:jc w:val="center"/>
              <w:rPr>
                <w:rFonts w:ascii="Arial" w:hAnsi="Arial" w:eastAsia="宋体" w:cs="Arial"/>
                <w:sz w:val="21"/>
                <w:szCs w:val="21"/>
              </w:rPr>
            </w:pPr>
            <w:r>
              <w:rPr>
                <w:rFonts w:hint="eastAsia" w:ascii="Arial" w:hAnsi="Arial" w:eastAsia="宋体" w:cs="Arial"/>
                <w:sz w:val="21"/>
                <w:szCs w:val="21"/>
              </w:rPr>
              <w:t>7</w:t>
            </w:r>
          </w:p>
        </w:tc>
        <w:tc>
          <w:tcPr>
            <w:tcW w:w="948" w:type="pct"/>
            <w:tcBorders>
              <w:top w:val="single" w:color="auto" w:sz="4" w:space="0"/>
              <w:left w:val="single" w:color="auto" w:sz="4" w:space="0"/>
              <w:bottom w:val="single" w:color="auto" w:sz="4" w:space="0"/>
              <w:right w:val="single" w:color="auto" w:sz="4" w:space="0"/>
            </w:tcBorders>
            <w:vAlign w:val="center"/>
          </w:tcPr>
          <w:p w14:paraId="5D77A61B">
            <w:pPr>
              <w:spacing w:line="240" w:lineRule="exact"/>
              <w:jc w:val="center"/>
              <w:rPr>
                <w:rFonts w:ascii="Arial" w:hAnsi="Arial" w:eastAsia="宋体" w:cs="Arial"/>
                <w:sz w:val="21"/>
                <w:szCs w:val="21"/>
              </w:rPr>
            </w:pPr>
            <w:r>
              <w:rPr>
                <w:rFonts w:ascii="Arial" w:hAnsi="Arial" w:eastAsia="宋体" w:cs="Arial"/>
                <w:sz w:val="21"/>
                <w:szCs w:val="21"/>
              </w:rPr>
              <w:t>总铜</w:t>
            </w:r>
          </w:p>
        </w:tc>
        <w:tc>
          <w:tcPr>
            <w:tcW w:w="1730" w:type="pct"/>
            <w:tcBorders>
              <w:top w:val="single" w:color="auto" w:sz="4" w:space="0"/>
              <w:left w:val="single" w:color="auto" w:sz="4" w:space="0"/>
              <w:bottom w:val="single" w:color="auto" w:sz="4" w:space="0"/>
              <w:right w:val="single" w:color="auto" w:sz="4" w:space="0"/>
            </w:tcBorders>
            <w:vAlign w:val="center"/>
          </w:tcPr>
          <w:p w14:paraId="522C3B97">
            <w:pPr>
              <w:spacing w:line="240" w:lineRule="exact"/>
              <w:jc w:val="center"/>
              <w:rPr>
                <w:rFonts w:ascii="Arial" w:hAnsi="Arial" w:eastAsia="宋体" w:cs="Arial"/>
                <w:sz w:val="21"/>
                <w:szCs w:val="21"/>
              </w:rPr>
            </w:pPr>
            <w:r>
              <w:rPr>
                <w:rFonts w:hint="eastAsia" w:ascii="Arial" w:hAnsi="Arial" w:eastAsia="宋体" w:cs="Arial"/>
                <w:sz w:val="21"/>
                <w:szCs w:val="21"/>
              </w:rPr>
              <w:t>0.5</w:t>
            </w:r>
          </w:p>
        </w:tc>
        <w:tc>
          <w:tcPr>
            <w:tcW w:w="1728" w:type="pct"/>
            <w:tcBorders>
              <w:top w:val="single" w:color="auto" w:sz="4" w:space="0"/>
              <w:left w:val="single" w:color="auto" w:sz="4" w:space="0"/>
              <w:bottom w:val="single" w:color="auto" w:sz="4" w:space="0"/>
              <w:right w:val="single" w:color="auto" w:sz="4" w:space="0"/>
            </w:tcBorders>
            <w:vAlign w:val="center"/>
          </w:tcPr>
          <w:p w14:paraId="05F6EB46">
            <w:pPr>
              <w:spacing w:line="240" w:lineRule="exact"/>
              <w:jc w:val="center"/>
              <w:rPr>
                <w:rFonts w:ascii="Arial" w:hAnsi="Arial" w:eastAsia="宋体" w:cs="Arial"/>
                <w:sz w:val="21"/>
                <w:szCs w:val="21"/>
              </w:rPr>
            </w:pPr>
            <w:r>
              <w:rPr>
                <w:rFonts w:hint="eastAsia" w:ascii="Arial" w:hAnsi="Arial" w:eastAsia="宋体" w:cs="Arial"/>
                <w:sz w:val="21"/>
                <w:szCs w:val="21"/>
              </w:rPr>
              <w:t>0.5</w:t>
            </w:r>
          </w:p>
        </w:tc>
      </w:tr>
      <w:tr w14:paraId="3F96D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30CF2356">
            <w:pPr>
              <w:spacing w:line="240" w:lineRule="exact"/>
              <w:jc w:val="center"/>
              <w:rPr>
                <w:rFonts w:ascii="Arial" w:hAnsi="Arial" w:eastAsia="宋体" w:cs="Arial"/>
                <w:sz w:val="21"/>
                <w:szCs w:val="21"/>
              </w:rPr>
            </w:pPr>
            <w:r>
              <w:rPr>
                <w:rFonts w:hint="eastAsia" w:ascii="Arial" w:hAnsi="Arial" w:eastAsia="宋体" w:cs="Arial"/>
                <w:sz w:val="21"/>
                <w:szCs w:val="21"/>
              </w:rPr>
              <w:t>8</w:t>
            </w:r>
          </w:p>
        </w:tc>
        <w:tc>
          <w:tcPr>
            <w:tcW w:w="948" w:type="pct"/>
            <w:tcBorders>
              <w:top w:val="single" w:color="auto" w:sz="4" w:space="0"/>
              <w:left w:val="single" w:color="auto" w:sz="4" w:space="0"/>
              <w:bottom w:val="single" w:color="auto" w:sz="4" w:space="0"/>
              <w:right w:val="single" w:color="auto" w:sz="4" w:space="0"/>
            </w:tcBorders>
            <w:vAlign w:val="center"/>
          </w:tcPr>
          <w:p w14:paraId="158B707D">
            <w:pPr>
              <w:spacing w:line="240" w:lineRule="exact"/>
              <w:jc w:val="center"/>
              <w:rPr>
                <w:rFonts w:ascii="Arial" w:hAnsi="Arial" w:eastAsia="宋体" w:cs="Arial"/>
                <w:sz w:val="21"/>
                <w:szCs w:val="21"/>
              </w:rPr>
            </w:pPr>
            <w:r>
              <w:rPr>
                <w:rFonts w:ascii="Arial" w:hAnsi="Arial" w:eastAsia="宋体" w:cs="Arial"/>
                <w:sz w:val="21"/>
                <w:szCs w:val="21"/>
              </w:rPr>
              <w:t>总锰</w:t>
            </w:r>
          </w:p>
        </w:tc>
        <w:tc>
          <w:tcPr>
            <w:tcW w:w="1730" w:type="pct"/>
            <w:tcBorders>
              <w:top w:val="single" w:color="auto" w:sz="4" w:space="0"/>
              <w:left w:val="single" w:color="auto" w:sz="4" w:space="0"/>
              <w:bottom w:val="single" w:color="auto" w:sz="4" w:space="0"/>
              <w:right w:val="single" w:color="auto" w:sz="4" w:space="0"/>
            </w:tcBorders>
            <w:vAlign w:val="center"/>
          </w:tcPr>
          <w:p w14:paraId="21672183">
            <w:pPr>
              <w:spacing w:line="240" w:lineRule="exact"/>
              <w:jc w:val="center"/>
              <w:rPr>
                <w:rFonts w:ascii="Arial" w:hAnsi="Arial" w:eastAsia="宋体" w:cs="Arial"/>
                <w:sz w:val="21"/>
                <w:szCs w:val="21"/>
              </w:rPr>
            </w:pPr>
            <w:r>
              <w:rPr>
                <w:rFonts w:hint="eastAsia" w:ascii="Arial" w:hAnsi="Arial" w:eastAsia="宋体" w:cs="Arial"/>
                <w:sz w:val="21"/>
                <w:szCs w:val="21"/>
              </w:rPr>
              <w:t>1</w:t>
            </w:r>
          </w:p>
        </w:tc>
        <w:tc>
          <w:tcPr>
            <w:tcW w:w="1728" w:type="pct"/>
            <w:tcBorders>
              <w:top w:val="single" w:color="auto" w:sz="4" w:space="0"/>
              <w:left w:val="single" w:color="auto" w:sz="4" w:space="0"/>
              <w:bottom w:val="single" w:color="auto" w:sz="4" w:space="0"/>
              <w:right w:val="single" w:color="auto" w:sz="4" w:space="0"/>
            </w:tcBorders>
            <w:vAlign w:val="center"/>
          </w:tcPr>
          <w:p w14:paraId="0C7D579D">
            <w:pPr>
              <w:spacing w:line="240" w:lineRule="exact"/>
              <w:jc w:val="center"/>
              <w:rPr>
                <w:rFonts w:ascii="Arial" w:hAnsi="Arial" w:eastAsia="宋体" w:cs="Arial"/>
                <w:sz w:val="21"/>
                <w:szCs w:val="21"/>
              </w:rPr>
            </w:pPr>
            <w:r>
              <w:rPr>
                <w:rFonts w:hint="eastAsia" w:ascii="Arial" w:hAnsi="Arial" w:eastAsia="宋体" w:cs="Arial"/>
                <w:sz w:val="21"/>
                <w:szCs w:val="21"/>
              </w:rPr>
              <w:t>1</w:t>
            </w:r>
          </w:p>
        </w:tc>
      </w:tr>
      <w:tr w14:paraId="79926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19DA2522">
            <w:pPr>
              <w:spacing w:line="240" w:lineRule="exact"/>
              <w:jc w:val="center"/>
              <w:rPr>
                <w:rFonts w:ascii="Arial" w:hAnsi="Arial" w:eastAsia="宋体" w:cs="Arial"/>
                <w:sz w:val="21"/>
                <w:szCs w:val="21"/>
              </w:rPr>
            </w:pPr>
            <w:r>
              <w:rPr>
                <w:rFonts w:hint="eastAsia" w:ascii="Arial" w:hAnsi="Arial" w:eastAsia="宋体" w:cs="Arial"/>
                <w:sz w:val="21"/>
                <w:szCs w:val="21"/>
              </w:rPr>
              <w:t>9</w:t>
            </w:r>
          </w:p>
        </w:tc>
        <w:tc>
          <w:tcPr>
            <w:tcW w:w="948" w:type="pct"/>
            <w:tcBorders>
              <w:top w:val="single" w:color="auto" w:sz="4" w:space="0"/>
              <w:left w:val="single" w:color="auto" w:sz="4" w:space="0"/>
              <w:bottom w:val="single" w:color="auto" w:sz="4" w:space="0"/>
              <w:right w:val="single" w:color="auto" w:sz="4" w:space="0"/>
            </w:tcBorders>
            <w:vAlign w:val="center"/>
          </w:tcPr>
          <w:p w14:paraId="60CF4CEF">
            <w:pPr>
              <w:spacing w:line="240" w:lineRule="exact"/>
              <w:jc w:val="center"/>
              <w:rPr>
                <w:rFonts w:ascii="Arial" w:hAnsi="Arial" w:eastAsia="宋体" w:cs="Arial"/>
                <w:sz w:val="21"/>
                <w:szCs w:val="21"/>
              </w:rPr>
            </w:pPr>
            <w:r>
              <w:rPr>
                <w:rFonts w:ascii="Arial" w:hAnsi="Arial" w:eastAsia="宋体" w:cs="Arial"/>
                <w:sz w:val="21"/>
                <w:szCs w:val="21"/>
              </w:rPr>
              <w:t>总钴</w:t>
            </w:r>
          </w:p>
        </w:tc>
        <w:tc>
          <w:tcPr>
            <w:tcW w:w="1730" w:type="pct"/>
            <w:tcBorders>
              <w:top w:val="single" w:color="auto" w:sz="4" w:space="0"/>
              <w:left w:val="single" w:color="auto" w:sz="4" w:space="0"/>
              <w:bottom w:val="single" w:color="auto" w:sz="4" w:space="0"/>
              <w:right w:val="single" w:color="auto" w:sz="4" w:space="0"/>
            </w:tcBorders>
            <w:vAlign w:val="center"/>
          </w:tcPr>
          <w:p w14:paraId="0BC766E3">
            <w:pPr>
              <w:spacing w:line="240" w:lineRule="exact"/>
              <w:jc w:val="center"/>
              <w:rPr>
                <w:rFonts w:ascii="Arial" w:hAnsi="Arial" w:eastAsia="宋体" w:cs="Arial"/>
                <w:sz w:val="21"/>
                <w:szCs w:val="21"/>
              </w:rPr>
            </w:pPr>
            <w:r>
              <w:rPr>
                <w:rFonts w:hint="eastAsia" w:ascii="Arial" w:hAnsi="Arial" w:eastAsia="宋体" w:cs="Arial"/>
                <w:sz w:val="21"/>
                <w:szCs w:val="21"/>
              </w:rPr>
              <w:t>1</w:t>
            </w:r>
          </w:p>
        </w:tc>
        <w:tc>
          <w:tcPr>
            <w:tcW w:w="1728" w:type="pct"/>
            <w:tcBorders>
              <w:top w:val="single" w:color="auto" w:sz="4" w:space="0"/>
              <w:left w:val="single" w:color="auto" w:sz="4" w:space="0"/>
              <w:bottom w:val="single" w:color="auto" w:sz="4" w:space="0"/>
              <w:right w:val="single" w:color="auto" w:sz="4" w:space="0"/>
            </w:tcBorders>
            <w:vAlign w:val="center"/>
          </w:tcPr>
          <w:p w14:paraId="7BC2C1D1">
            <w:pPr>
              <w:spacing w:line="240" w:lineRule="exact"/>
              <w:jc w:val="center"/>
              <w:rPr>
                <w:rFonts w:ascii="Arial" w:hAnsi="Arial" w:eastAsia="宋体" w:cs="Arial"/>
                <w:sz w:val="21"/>
                <w:szCs w:val="21"/>
              </w:rPr>
            </w:pPr>
            <w:r>
              <w:rPr>
                <w:rFonts w:hint="eastAsia" w:ascii="Arial" w:hAnsi="Arial" w:eastAsia="宋体" w:cs="Arial"/>
                <w:sz w:val="21"/>
                <w:szCs w:val="21"/>
              </w:rPr>
              <w:t>1</w:t>
            </w:r>
          </w:p>
        </w:tc>
      </w:tr>
      <w:tr w14:paraId="7F124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00932430">
            <w:pPr>
              <w:spacing w:line="240" w:lineRule="exact"/>
              <w:jc w:val="center"/>
              <w:rPr>
                <w:rFonts w:ascii="Arial" w:hAnsi="Arial" w:eastAsia="宋体" w:cs="Arial"/>
                <w:sz w:val="21"/>
                <w:szCs w:val="21"/>
              </w:rPr>
            </w:pPr>
            <w:r>
              <w:rPr>
                <w:rFonts w:hint="eastAsia" w:ascii="Arial" w:hAnsi="Arial" w:eastAsia="宋体" w:cs="Arial"/>
                <w:sz w:val="21"/>
                <w:szCs w:val="21"/>
              </w:rPr>
              <w:t>10</w:t>
            </w:r>
          </w:p>
        </w:tc>
        <w:tc>
          <w:tcPr>
            <w:tcW w:w="948" w:type="pct"/>
            <w:tcBorders>
              <w:top w:val="single" w:color="auto" w:sz="4" w:space="0"/>
              <w:left w:val="single" w:color="auto" w:sz="4" w:space="0"/>
              <w:bottom w:val="single" w:color="auto" w:sz="4" w:space="0"/>
              <w:right w:val="single" w:color="auto" w:sz="4" w:space="0"/>
            </w:tcBorders>
            <w:vAlign w:val="center"/>
          </w:tcPr>
          <w:p w14:paraId="27E0061A">
            <w:pPr>
              <w:spacing w:line="240" w:lineRule="exact"/>
              <w:jc w:val="center"/>
              <w:rPr>
                <w:rFonts w:ascii="Arial" w:hAnsi="Arial" w:eastAsia="宋体" w:cs="Arial"/>
                <w:sz w:val="21"/>
                <w:szCs w:val="21"/>
              </w:rPr>
            </w:pPr>
            <w:r>
              <w:rPr>
                <w:rFonts w:ascii="Arial" w:hAnsi="Arial" w:eastAsia="宋体" w:cs="Arial"/>
                <w:sz w:val="21"/>
                <w:szCs w:val="21"/>
              </w:rPr>
              <w:t>总砷</w:t>
            </w:r>
          </w:p>
        </w:tc>
        <w:tc>
          <w:tcPr>
            <w:tcW w:w="1730" w:type="pct"/>
            <w:tcBorders>
              <w:top w:val="single" w:color="auto" w:sz="4" w:space="0"/>
              <w:left w:val="single" w:color="auto" w:sz="4" w:space="0"/>
              <w:bottom w:val="single" w:color="auto" w:sz="4" w:space="0"/>
              <w:right w:val="single" w:color="auto" w:sz="4" w:space="0"/>
            </w:tcBorders>
            <w:vAlign w:val="center"/>
          </w:tcPr>
          <w:p w14:paraId="5856E3EB">
            <w:pPr>
              <w:spacing w:line="240" w:lineRule="exact"/>
              <w:jc w:val="center"/>
              <w:rPr>
                <w:rFonts w:ascii="Arial" w:hAnsi="Arial" w:eastAsia="宋体" w:cs="Arial"/>
                <w:sz w:val="21"/>
                <w:szCs w:val="21"/>
              </w:rPr>
            </w:pPr>
            <w:r>
              <w:rPr>
                <w:rFonts w:hint="eastAsia" w:ascii="Arial" w:hAnsi="Arial" w:eastAsia="宋体" w:cs="Arial"/>
                <w:sz w:val="21"/>
                <w:szCs w:val="21"/>
              </w:rPr>
              <w:t>0.3</w:t>
            </w:r>
          </w:p>
        </w:tc>
        <w:tc>
          <w:tcPr>
            <w:tcW w:w="1728" w:type="pct"/>
            <w:tcBorders>
              <w:top w:val="single" w:color="auto" w:sz="4" w:space="0"/>
              <w:left w:val="single" w:color="auto" w:sz="4" w:space="0"/>
              <w:bottom w:val="single" w:color="auto" w:sz="4" w:space="0"/>
              <w:right w:val="single" w:color="auto" w:sz="4" w:space="0"/>
            </w:tcBorders>
            <w:vAlign w:val="center"/>
          </w:tcPr>
          <w:p w14:paraId="187296DD">
            <w:pPr>
              <w:spacing w:line="240" w:lineRule="exact"/>
              <w:jc w:val="center"/>
              <w:rPr>
                <w:rFonts w:ascii="Arial" w:hAnsi="Arial" w:eastAsia="宋体" w:cs="Arial"/>
                <w:sz w:val="21"/>
                <w:szCs w:val="21"/>
              </w:rPr>
            </w:pPr>
            <w:r>
              <w:rPr>
                <w:rFonts w:hint="eastAsia" w:ascii="Arial" w:hAnsi="Arial" w:eastAsia="宋体" w:cs="Arial"/>
                <w:sz w:val="21"/>
                <w:szCs w:val="21"/>
              </w:rPr>
              <w:t>0.3</w:t>
            </w:r>
          </w:p>
        </w:tc>
      </w:tr>
      <w:tr w14:paraId="7DDAC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7B62AAD4">
            <w:pPr>
              <w:spacing w:line="240" w:lineRule="exact"/>
              <w:jc w:val="center"/>
              <w:rPr>
                <w:rFonts w:ascii="Arial" w:hAnsi="Arial" w:eastAsia="宋体" w:cs="Arial"/>
                <w:sz w:val="21"/>
                <w:szCs w:val="21"/>
              </w:rPr>
            </w:pPr>
            <w:r>
              <w:rPr>
                <w:rFonts w:hint="eastAsia" w:ascii="Arial" w:hAnsi="Arial" w:eastAsia="宋体" w:cs="Arial"/>
                <w:sz w:val="21"/>
                <w:szCs w:val="21"/>
              </w:rPr>
              <w:t>11</w:t>
            </w:r>
          </w:p>
        </w:tc>
        <w:tc>
          <w:tcPr>
            <w:tcW w:w="948" w:type="pct"/>
            <w:tcBorders>
              <w:top w:val="single" w:color="auto" w:sz="4" w:space="0"/>
              <w:left w:val="single" w:color="auto" w:sz="4" w:space="0"/>
              <w:bottom w:val="single" w:color="auto" w:sz="4" w:space="0"/>
              <w:right w:val="single" w:color="auto" w:sz="4" w:space="0"/>
            </w:tcBorders>
            <w:vAlign w:val="center"/>
          </w:tcPr>
          <w:p w14:paraId="13408952">
            <w:pPr>
              <w:spacing w:line="240" w:lineRule="exact"/>
              <w:jc w:val="center"/>
              <w:rPr>
                <w:rFonts w:ascii="Arial" w:hAnsi="Arial" w:eastAsia="宋体" w:cs="Arial"/>
                <w:sz w:val="21"/>
                <w:szCs w:val="21"/>
              </w:rPr>
            </w:pPr>
            <w:r>
              <w:rPr>
                <w:rFonts w:ascii="Arial" w:hAnsi="Arial" w:eastAsia="宋体" w:cs="Arial"/>
                <w:sz w:val="21"/>
                <w:szCs w:val="21"/>
              </w:rPr>
              <w:t>总汞</w:t>
            </w:r>
          </w:p>
        </w:tc>
        <w:tc>
          <w:tcPr>
            <w:tcW w:w="1730" w:type="pct"/>
            <w:tcBorders>
              <w:top w:val="single" w:color="auto" w:sz="4" w:space="0"/>
              <w:left w:val="single" w:color="auto" w:sz="4" w:space="0"/>
              <w:bottom w:val="single" w:color="auto" w:sz="4" w:space="0"/>
              <w:right w:val="single" w:color="auto" w:sz="4" w:space="0"/>
            </w:tcBorders>
            <w:vAlign w:val="center"/>
          </w:tcPr>
          <w:p w14:paraId="2DE0BD79">
            <w:pPr>
              <w:spacing w:line="240" w:lineRule="exact"/>
              <w:jc w:val="center"/>
              <w:rPr>
                <w:rFonts w:ascii="Arial" w:hAnsi="Arial" w:eastAsia="宋体" w:cs="Arial"/>
                <w:sz w:val="21"/>
                <w:szCs w:val="21"/>
              </w:rPr>
            </w:pPr>
            <w:r>
              <w:rPr>
                <w:rFonts w:hint="eastAsia" w:ascii="Arial" w:hAnsi="Arial" w:eastAsia="宋体" w:cs="Arial"/>
                <w:sz w:val="21"/>
                <w:szCs w:val="21"/>
              </w:rPr>
              <w:t>0.005</w:t>
            </w:r>
          </w:p>
        </w:tc>
        <w:tc>
          <w:tcPr>
            <w:tcW w:w="1728" w:type="pct"/>
            <w:tcBorders>
              <w:top w:val="single" w:color="auto" w:sz="4" w:space="0"/>
              <w:left w:val="single" w:color="auto" w:sz="4" w:space="0"/>
              <w:bottom w:val="single" w:color="auto" w:sz="4" w:space="0"/>
              <w:right w:val="single" w:color="auto" w:sz="4" w:space="0"/>
            </w:tcBorders>
            <w:vAlign w:val="center"/>
          </w:tcPr>
          <w:p w14:paraId="21D184A7">
            <w:pPr>
              <w:spacing w:line="240" w:lineRule="exact"/>
              <w:jc w:val="center"/>
              <w:rPr>
                <w:rFonts w:ascii="Arial" w:hAnsi="Arial" w:eastAsia="宋体" w:cs="Arial"/>
                <w:sz w:val="21"/>
                <w:szCs w:val="21"/>
              </w:rPr>
            </w:pPr>
            <w:r>
              <w:rPr>
                <w:rFonts w:hint="eastAsia" w:ascii="Arial" w:hAnsi="Arial" w:eastAsia="宋体" w:cs="Arial"/>
                <w:sz w:val="21"/>
                <w:szCs w:val="21"/>
              </w:rPr>
              <w:t>0.005</w:t>
            </w:r>
          </w:p>
        </w:tc>
      </w:tr>
      <w:tr w14:paraId="3B67D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4E4E19F3">
            <w:pPr>
              <w:spacing w:line="240" w:lineRule="exact"/>
              <w:jc w:val="center"/>
              <w:rPr>
                <w:rFonts w:ascii="Arial" w:hAnsi="Arial" w:eastAsia="宋体" w:cs="Arial"/>
                <w:sz w:val="21"/>
                <w:szCs w:val="21"/>
              </w:rPr>
            </w:pPr>
            <w:r>
              <w:rPr>
                <w:rFonts w:hint="eastAsia" w:ascii="Arial" w:hAnsi="Arial" w:eastAsia="宋体" w:cs="Arial"/>
                <w:sz w:val="21"/>
                <w:szCs w:val="21"/>
              </w:rPr>
              <w:t>12</w:t>
            </w:r>
          </w:p>
        </w:tc>
        <w:tc>
          <w:tcPr>
            <w:tcW w:w="948" w:type="pct"/>
            <w:tcBorders>
              <w:top w:val="single" w:color="auto" w:sz="4" w:space="0"/>
              <w:left w:val="single" w:color="auto" w:sz="4" w:space="0"/>
              <w:bottom w:val="single" w:color="auto" w:sz="4" w:space="0"/>
              <w:right w:val="single" w:color="auto" w:sz="4" w:space="0"/>
            </w:tcBorders>
            <w:vAlign w:val="center"/>
          </w:tcPr>
          <w:p w14:paraId="25466C9A">
            <w:pPr>
              <w:spacing w:line="240" w:lineRule="exact"/>
              <w:jc w:val="center"/>
              <w:rPr>
                <w:rFonts w:ascii="Arial" w:hAnsi="Arial" w:eastAsia="宋体" w:cs="Arial"/>
                <w:sz w:val="21"/>
                <w:szCs w:val="21"/>
              </w:rPr>
            </w:pPr>
            <w:r>
              <w:rPr>
                <w:rFonts w:ascii="Arial" w:hAnsi="Arial" w:eastAsia="宋体" w:cs="Arial"/>
                <w:sz w:val="21"/>
                <w:szCs w:val="21"/>
              </w:rPr>
              <w:t>总镉</w:t>
            </w:r>
          </w:p>
        </w:tc>
        <w:tc>
          <w:tcPr>
            <w:tcW w:w="1730" w:type="pct"/>
            <w:tcBorders>
              <w:top w:val="single" w:color="auto" w:sz="4" w:space="0"/>
              <w:left w:val="single" w:color="auto" w:sz="4" w:space="0"/>
              <w:bottom w:val="single" w:color="auto" w:sz="4" w:space="0"/>
              <w:right w:val="single" w:color="auto" w:sz="4" w:space="0"/>
            </w:tcBorders>
            <w:vAlign w:val="center"/>
          </w:tcPr>
          <w:p w14:paraId="19C103F3">
            <w:pPr>
              <w:spacing w:line="240" w:lineRule="exact"/>
              <w:jc w:val="center"/>
              <w:rPr>
                <w:rFonts w:ascii="Arial" w:hAnsi="Arial" w:eastAsia="宋体" w:cs="Arial"/>
                <w:sz w:val="21"/>
                <w:szCs w:val="21"/>
              </w:rPr>
            </w:pPr>
            <w:r>
              <w:rPr>
                <w:rFonts w:hint="eastAsia" w:ascii="Arial" w:hAnsi="Arial" w:eastAsia="宋体" w:cs="Arial"/>
                <w:sz w:val="21"/>
                <w:szCs w:val="21"/>
              </w:rPr>
              <w:t>0.05</w:t>
            </w:r>
          </w:p>
        </w:tc>
        <w:tc>
          <w:tcPr>
            <w:tcW w:w="1728" w:type="pct"/>
            <w:tcBorders>
              <w:top w:val="single" w:color="auto" w:sz="4" w:space="0"/>
              <w:left w:val="single" w:color="auto" w:sz="4" w:space="0"/>
              <w:bottom w:val="single" w:color="auto" w:sz="4" w:space="0"/>
              <w:right w:val="single" w:color="auto" w:sz="4" w:space="0"/>
            </w:tcBorders>
            <w:vAlign w:val="center"/>
          </w:tcPr>
          <w:p w14:paraId="1CC13701">
            <w:pPr>
              <w:spacing w:line="240" w:lineRule="exact"/>
              <w:jc w:val="center"/>
              <w:rPr>
                <w:rFonts w:ascii="Arial" w:hAnsi="Arial" w:eastAsia="宋体" w:cs="Arial"/>
                <w:sz w:val="21"/>
                <w:szCs w:val="21"/>
              </w:rPr>
            </w:pPr>
            <w:r>
              <w:rPr>
                <w:rFonts w:hint="eastAsia" w:ascii="Arial" w:hAnsi="Arial" w:eastAsia="宋体" w:cs="Arial"/>
                <w:sz w:val="21"/>
                <w:szCs w:val="21"/>
              </w:rPr>
              <w:t>0.05</w:t>
            </w:r>
          </w:p>
        </w:tc>
      </w:tr>
      <w:tr w14:paraId="16418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1AB8DE22">
            <w:pPr>
              <w:spacing w:line="240" w:lineRule="exact"/>
              <w:jc w:val="center"/>
              <w:rPr>
                <w:rFonts w:ascii="Arial" w:hAnsi="Arial" w:eastAsia="宋体" w:cs="Arial"/>
                <w:sz w:val="21"/>
                <w:szCs w:val="21"/>
              </w:rPr>
            </w:pPr>
            <w:r>
              <w:rPr>
                <w:rFonts w:hint="eastAsia" w:ascii="Arial" w:hAnsi="Arial" w:eastAsia="宋体" w:cs="Arial"/>
                <w:sz w:val="21"/>
                <w:szCs w:val="21"/>
              </w:rPr>
              <w:t>13</w:t>
            </w:r>
          </w:p>
        </w:tc>
        <w:tc>
          <w:tcPr>
            <w:tcW w:w="948" w:type="pct"/>
            <w:tcBorders>
              <w:top w:val="single" w:color="auto" w:sz="4" w:space="0"/>
              <w:left w:val="single" w:color="auto" w:sz="4" w:space="0"/>
              <w:bottom w:val="single" w:color="auto" w:sz="4" w:space="0"/>
              <w:right w:val="single" w:color="auto" w:sz="4" w:space="0"/>
            </w:tcBorders>
            <w:vAlign w:val="center"/>
          </w:tcPr>
          <w:p w14:paraId="412E7174">
            <w:pPr>
              <w:spacing w:line="240" w:lineRule="exact"/>
              <w:jc w:val="center"/>
              <w:rPr>
                <w:rFonts w:ascii="Arial" w:hAnsi="Arial" w:eastAsia="宋体" w:cs="Arial"/>
                <w:sz w:val="21"/>
                <w:szCs w:val="21"/>
              </w:rPr>
            </w:pPr>
            <w:r>
              <w:rPr>
                <w:rFonts w:ascii="Arial" w:hAnsi="Arial" w:eastAsia="宋体" w:cs="Arial"/>
                <w:sz w:val="21"/>
                <w:szCs w:val="21"/>
              </w:rPr>
              <w:t>总铅</w:t>
            </w:r>
          </w:p>
        </w:tc>
        <w:tc>
          <w:tcPr>
            <w:tcW w:w="1730" w:type="pct"/>
            <w:tcBorders>
              <w:top w:val="single" w:color="auto" w:sz="4" w:space="0"/>
              <w:left w:val="single" w:color="auto" w:sz="4" w:space="0"/>
              <w:bottom w:val="single" w:color="auto" w:sz="4" w:space="0"/>
              <w:right w:val="single" w:color="auto" w:sz="4" w:space="0"/>
            </w:tcBorders>
            <w:vAlign w:val="center"/>
          </w:tcPr>
          <w:p w14:paraId="2DC34456">
            <w:pPr>
              <w:spacing w:line="240" w:lineRule="exact"/>
              <w:jc w:val="center"/>
              <w:rPr>
                <w:rFonts w:ascii="Arial" w:hAnsi="Arial" w:eastAsia="宋体" w:cs="Arial"/>
                <w:sz w:val="21"/>
                <w:szCs w:val="21"/>
              </w:rPr>
            </w:pPr>
            <w:r>
              <w:rPr>
                <w:rFonts w:hint="eastAsia" w:ascii="Arial" w:hAnsi="Arial" w:eastAsia="宋体" w:cs="Arial"/>
                <w:sz w:val="21"/>
                <w:szCs w:val="21"/>
              </w:rPr>
              <w:t>0.5</w:t>
            </w:r>
          </w:p>
        </w:tc>
        <w:tc>
          <w:tcPr>
            <w:tcW w:w="1728" w:type="pct"/>
            <w:tcBorders>
              <w:top w:val="single" w:color="auto" w:sz="4" w:space="0"/>
              <w:left w:val="single" w:color="auto" w:sz="4" w:space="0"/>
              <w:bottom w:val="single" w:color="auto" w:sz="4" w:space="0"/>
              <w:right w:val="single" w:color="auto" w:sz="4" w:space="0"/>
            </w:tcBorders>
            <w:vAlign w:val="center"/>
          </w:tcPr>
          <w:p w14:paraId="37215EE0">
            <w:pPr>
              <w:spacing w:line="240" w:lineRule="exact"/>
              <w:jc w:val="center"/>
              <w:rPr>
                <w:rFonts w:ascii="Arial" w:hAnsi="Arial" w:eastAsia="宋体" w:cs="Arial"/>
                <w:sz w:val="21"/>
                <w:szCs w:val="21"/>
              </w:rPr>
            </w:pPr>
            <w:r>
              <w:rPr>
                <w:rFonts w:hint="eastAsia" w:ascii="Arial" w:hAnsi="Arial" w:eastAsia="宋体" w:cs="Arial"/>
                <w:sz w:val="21"/>
                <w:szCs w:val="21"/>
              </w:rPr>
              <w:t>0.5</w:t>
            </w:r>
          </w:p>
        </w:tc>
      </w:tr>
      <w:tr w14:paraId="612EB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6A6753EE">
            <w:pPr>
              <w:spacing w:line="240" w:lineRule="exact"/>
              <w:jc w:val="center"/>
              <w:rPr>
                <w:rFonts w:ascii="Arial" w:hAnsi="Arial" w:eastAsia="宋体" w:cs="Arial"/>
                <w:sz w:val="21"/>
                <w:szCs w:val="21"/>
              </w:rPr>
            </w:pPr>
            <w:r>
              <w:rPr>
                <w:rFonts w:hint="eastAsia" w:ascii="Arial" w:hAnsi="Arial" w:eastAsia="宋体" w:cs="Arial"/>
                <w:sz w:val="21"/>
                <w:szCs w:val="21"/>
              </w:rPr>
              <w:t>14</w:t>
            </w:r>
          </w:p>
        </w:tc>
        <w:tc>
          <w:tcPr>
            <w:tcW w:w="948" w:type="pct"/>
            <w:tcBorders>
              <w:top w:val="single" w:color="auto" w:sz="4" w:space="0"/>
              <w:left w:val="single" w:color="auto" w:sz="4" w:space="0"/>
              <w:bottom w:val="single" w:color="auto" w:sz="4" w:space="0"/>
              <w:right w:val="single" w:color="auto" w:sz="4" w:space="0"/>
            </w:tcBorders>
            <w:vAlign w:val="center"/>
          </w:tcPr>
          <w:p w14:paraId="190BB7BE">
            <w:pPr>
              <w:spacing w:line="240" w:lineRule="exact"/>
              <w:jc w:val="center"/>
              <w:rPr>
                <w:rFonts w:ascii="Arial" w:hAnsi="Arial" w:eastAsia="宋体" w:cs="Arial"/>
                <w:sz w:val="21"/>
                <w:szCs w:val="21"/>
              </w:rPr>
            </w:pPr>
            <w:r>
              <w:rPr>
                <w:rFonts w:ascii="Arial" w:hAnsi="Arial" w:eastAsia="宋体" w:cs="Arial"/>
                <w:sz w:val="21"/>
                <w:szCs w:val="21"/>
              </w:rPr>
              <w:t>六价铬</w:t>
            </w:r>
          </w:p>
        </w:tc>
        <w:tc>
          <w:tcPr>
            <w:tcW w:w="1730" w:type="pct"/>
            <w:tcBorders>
              <w:top w:val="single" w:color="auto" w:sz="4" w:space="0"/>
              <w:left w:val="single" w:color="auto" w:sz="4" w:space="0"/>
              <w:bottom w:val="single" w:color="auto" w:sz="4" w:space="0"/>
              <w:right w:val="single" w:color="auto" w:sz="4" w:space="0"/>
            </w:tcBorders>
            <w:vAlign w:val="center"/>
          </w:tcPr>
          <w:p w14:paraId="7194A52C">
            <w:pPr>
              <w:spacing w:line="240" w:lineRule="exact"/>
              <w:jc w:val="center"/>
              <w:rPr>
                <w:rFonts w:ascii="Arial" w:hAnsi="Arial" w:eastAsia="宋体" w:cs="Arial"/>
                <w:sz w:val="21"/>
                <w:szCs w:val="21"/>
              </w:rPr>
            </w:pPr>
            <w:r>
              <w:rPr>
                <w:rFonts w:hint="eastAsia" w:ascii="Arial" w:hAnsi="Arial" w:eastAsia="宋体" w:cs="Arial"/>
                <w:sz w:val="21"/>
                <w:szCs w:val="21"/>
              </w:rPr>
              <w:t>0.1</w:t>
            </w:r>
          </w:p>
        </w:tc>
        <w:tc>
          <w:tcPr>
            <w:tcW w:w="1728" w:type="pct"/>
            <w:tcBorders>
              <w:top w:val="single" w:color="auto" w:sz="4" w:space="0"/>
              <w:left w:val="single" w:color="auto" w:sz="4" w:space="0"/>
              <w:bottom w:val="single" w:color="auto" w:sz="4" w:space="0"/>
              <w:right w:val="single" w:color="auto" w:sz="4" w:space="0"/>
            </w:tcBorders>
            <w:vAlign w:val="center"/>
          </w:tcPr>
          <w:p w14:paraId="6E918F2E">
            <w:pPr>
              <w:spacing w:line="240" w:lineRule="exact"/>
              <w:jc w:val="center"/>
              <w:rPr>
                <w:rFonts w:ascii="Arial" w:hAnsi="Arial" w:eastAsia="宋体" w:cs="Arial"/>
                <w:sz w:val="21"/>
                <w:szCs w:val="21"/>
              </w:rPr>
            </w:pPr>
            <w:r>
              <w:rPr>
                <w:rFonts w:hint="eastAsia" w:ascii="Arial" w:hAnsi="Arial" w:eastAsia="宋体" w:cs="Arial"/>
                <w:sz w:val="21"/>
                <w:szCs w:val="21"/>
              </w:rPr>
              <w:t>0.1</w:t>
            </w:r>
          </w:p>
        </w:tc>
      </w:tr>
      <w:tr w14:paraId="02F67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5935AAC2">
            <w:pPr>
              <w:spacing w:line="240" w:lineRule="exact"/>
              <w:jc w:val="center"/>
              <w:rPr>
                <w:rFonts w:ascii="Arial" w:hAnsi="Arial" w:eastAsia="宋体" w:cs="Arial"/>
                <w:sz w:val="21"/>
                <w:szCs w:val="21"/>
              </w:rPr>
            </w:pPr>
            <w:r>
              <w:rPr>
                <w:rFonts w:hint="eastAsia" w:ascii="Arial" w:hAnsi="Arial" w:eastAsia="宋体" w:cs="Arial"/>
                <w:sz w:val="21"/>
                <w:szCs w:val="21"/>
              </w:rPr>
              <w:t>15</w:t>
            </w:r>
          </w:p>
        </w:tc>
        <w:tc>
          <w:tcPr>
            <w:tcW w:w="948" w:type="pct"/>
            <w:tcBorders>
              <w:top w:val="single" w:color="auto" w:sz="4" w:space="0"/>
              <w:left w:val="single" w:color="auto" w:sz="4" w:space="0"/>
              <w:bottom w:val="single" w:color="auto" w:sz="4" w:space="0"/>
              <w:right w:val="single" w:color="auto" w:sz="4" w:space="0"/>
            </w:tcBorders>
            <w:vAlign w:val="center"/>
          </w:tcPr>
          <w:p w14:paraId="7AE4C384">
            <w:pPr>
              <w:spacing w:line="240" w:lineRule="exact"/>
              <w:jc w:val="center"/>
              <w:rPr>
                <w:rFonts w:ascii="Arial" w:hAnsi="Arial" w:eastAsia="宋体" w:cs="Arial"/>
                <w:sz w:val="21"/>
                <w:szCs w:val="21"/>
              </w:rPr>
            </w:pPr>
            <w:r>
              <w:rPr>
                <w:rFonts w:ascii="Arial" w:hAnsi="Arial" w:eastAsia="宋体" w:cs="Arial"/>
                <w:sz w:val="21"/>
                <w:szCs w:val="21"/>
              </w:rPr>
              <w:t>总铬</w:t>
            </w:r>
          </w:p>
        </w:tc>
        <w:tc>
          <w:tcPr>
            <w:tcW w:w="1730" w:type="pct"/>
            <w:tcBorders>
              <w:top w:val="single" w:color="auto" w:sz="4" w:space="0"/>
              <w:left w:val="single" w:color="auto" w:sz="4" w:space="0"/>
              <w:bottom w:val="single" w:color="auto" w:sz="4" w:space="0"/>
              <w:right w:val="single" w:color="auto" w:sz="4" w:space="0"/>
            </w:tcBorders>
            <w:vAlign w:val="center"/>
          </w:tcPr>
          <w:p w14:paraId="352DA680">
            <w:pPr>
              <w:spacing w:line="240" w:lineRule="exact"/>
              <w:jc w:val="center"/>
              <w:rPr>
                <w:rFonts w:ascii="Arial" w:hAnsi="Arial" w:eastAsia="宋体" w:cs="Arial"/>
                <w:sz w:val="21"/>
                <w:szCs w:val="21"/>
              </w:rPr>
            </w:pPr>
            <w:r>
              <w:rPr>
                <w:rFonts w:hint="eastAsia" w:ascii="Arial" w:hAnsi="Arial" w:eastAsia="宋体" w:cs="Arial"/>
                <w:sz w:val="21"/>
                <w:szCs w:val="21"/>
              </w:rPr>
              <w:t>0.5</w:t>
            </w:r>
          </w:p>
        </w:tc>
        <w:tc>
          <w:tcPr>
            <w:tcW w:w="1728" w:type="pct"/>
            <w:tcBorders>
              <w:top w:val="single" w:color="auto" w:sz="4" w:space="0"/>
              <w:left w:val="single" w:color="auto" w:sz="4" w:space="0"/>
              <w:bottom w:val="single" w:color="auto" w:sz="4" w:space="0"/>
              <w:right w:val="single" w:color="auto" w:sz="4" w:space="0"/>
            </w:tcBorders>
            <w:vAlign w:val="center"/>
          </w:tcPr>
          <w:p w14:paraId="3359469B">
            <w:pPr>
              <w:spacing w:line="240" w:lineRule="exact"/>
              <w:jc w:val="center"/>
              <w:rPr>
                <w:rFonts w:ascii="Arial" w:hAnsi="Arial" w:eastAsia="宋体" w:cs="Arial"/>
                <w:sz w:val="21"/>
                <w:szCs w:val="21"/>
              </w:rPr>
            </w:pPr>
            <w:r>
              <w:rPr>
                <w:rFonts w:hint="eastAsia" w:ascii="Arial" w:hAnsi="Arial" w:eastAsia="宋体" w:cs="Arial"/>
                <w:sz w:val="21"/>
                <w:szCs w:val="21"/>
              </w:rPr>
              <w:t>0.5</w:t>
            </w:r>
          </w:p>
        </w:tc>
      </w:tr>
      <w:tr w14:paraId="3C518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43DDB525">
            <w:pPr>
              <w:spacing w:line="240" w:lineRule="exact"/>
              <w:jc w:val="center"/>
              <w:rPr>
                <w:rFonts w:ascii="Arial" w:hAnsi="Arial" w:eastAsia="宋体" w:cs="Arial"/>
                <w:sz w:val="21"/>
                <w:szCs w:val="21"/>
              </w:rPr>
            </w:pPr>
            <w:r>
              <w:rPr>
                <w:rFonts w:hint="eastAsia" w:ascii="Arial" w:hAnsi="Arial" w:eastAsia="宋体" w:cs="Arial"/>
                <w:sz w:val="21"/>
                <w:szCs w:val="21"/>
              </w:rPr>
              <w:t>16</w:t>
            </w:r>
          </w:p>
        </w:tc>
        <w:tc>
          <w:tcPr>
            <w:tcW w:w="948" w:type="pct"/>
            <w:tcBorders>
              <w:top w:val="single" w:color="auto" w:sz="4" w:space="0"/>
              <w:left w:val="single" w:color="auto" w:sz="4" w:space="0"/>
              <w:bottom w:val="single" w:color="auto" w:sz="4" w:space="0"/>
              <w:right w:val="single" w:color="auto" w:sz="4" w:space="0"/>
            </w:tcBorders>
            <w:vAlign w:val="center"/>
          </w:tcPr>
          <w:p w14:paraId="2B7B18B9">
            <w:pPr>
              <w:spacing w:line="240" w:lineRule="exact"/>
              <w:jc w:val="center"/>
              <w:rPr>
                <w:rFonts w:ascii="Arial" w:hAnsi="Arial" w:eastAsia="宋体" w:cs="Arial"/>
                <w:sz w:val="21"/>
                <w:szCs w:val="21"/>
              </w:rPr>
            </w:pPr>
            <w:r>
              <w:rPr>
                <w:rFonts w:ascii="Arial" w:hAnsi="Arial" w:eastAsia="宋体" w:cs="Arial"/>
                <w:sz w:val="21"/>
                <w:szCs w:val="21"/>
              </w:rPr>
              <w:t>总镍</w:t>
            </w:r>
          </w:p>
        </w:tc>
        <w:tc>
          <w:tcPr>
            <w:tcW w:w="1730" w:type="pct"/>
            <w:tcBorders>
              <w:top w:val="single" w:color="auto" w:sz="4" w:space="0"/>
              <w:left w:val="single" w:color="auto" w:sz="4" w:space="0"/>
              <w:bottom w:val="single" w:color="auto" w:sz="4" w:space="0"/>
              <w:right w:val="single" w:color="auto" w:sz="4" w:space="0"/>
            </w:tcBorders>
            <w:vAlign w:val="center"/>
          </w:tcPr>
          <w:p w14:paraId="2C70383E">
            <w:pPr>
              <w:spacing w:line="240" w:lineRule="exact"/>
              <w:jc w:val="center"/>
              <w:rPr>
                <w:rFonts w:ascii="Arial" w:hAnsi="Arial" w:eastAsia="宋体" w:cs="Arial"/>
                <w:sz w:val="21"/>
                <w:szCs w:val="21"/>
              </w:rPr>
            </w:pPr>
            <w:r>
              <w:rPr>
                <w:rFonts w:hint="eastAsia" w:ascii="Arial" w:hAnsi="Arial" w:eastAsia="宋体" w:cs="Arial"/>
                <w:sz w:val="21"/>
                <w:szCs w:val="21"/>
              </w:rPr>
              <w:t>0.5</w:t>
            </w:r>
          </w:p>
        </w:tc>
        <w:tc>
          <w:tcPr>
            <w:tcW w:w="1728" w:type="pct"/>
            <w:tcBorders>
              <w:top w:val="single" w:color="auto" w:sz="4" w:space="0"/>
              <w:left w:val="single" w:color="auto" w:sz="4" w:space="0"/>
              <w:bottom w:val="single" w:color="auto" w:sz="4" w:space="0"/>
              <w:right w:val="single" w:color="auto" w:sz="4" w:space="0"/>
            </w:tcBorders>
            <w:vAlign w:val="center"/>
          </w:tcPr>
          <w:p w14:paraId="682A5D7D">
            <w:pPr>
              <w:spacing w:line="240" w:lineRule="exact"/>
              <w:jc w:val="center"/>
              <w:rPr>
                <w:rFonts w:ascii="Arial" w:hAnsi="Arial" w:eastAsia="宋体" w:cs="Arial"/>
                <w:sz w:val="21"/>
                <w:szCs w:val="21"/>
              </w:rPr>
            </w:pPr>
            <w:r>
              <w:rPr>
                <w:rFonts w:hint="eastAsia" w:ascii="Arial" w:hAnsi="Arial" w:eastAsia="宋体" w:cs="Arial"/>
                <w:sz w:val="21"/>
                <w:szCs w:val="21"/>
              </w:rPr>
              <w:t>0.5</w:t>
            </w:r>
          </w:p>
        </w:tc>
      </w:tr>
      <w:tr w14:paraId="7FF07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pct"/>
            <w:tcBorders>
              <w:top w:val="single" w:color="auto" w:sz="4" w:space="0"/>
              <w:left w:val="single" w:color="auto" w:sz="4" w:space="0"/>
              <w:bottom w:val="single" w:color="auto" w:sz="4" w:space="0"/>
              <w:right w:val="single" w:color="auto" w:sz="4" w:space="0"/>
            </w:tcBorders>
            <w:vAlign w:val="center"/>
          </w:tcPr>
          <w:p w14:paraId="1E116FF1">
            <w:pPr>
              <w:spacing w:line="240" w:lineRule="exact"/>
              <w:jc w:val="center"/>
              <w:rPr>
                <w:rFonts w:ascii="Arial" w:hAnsi="Arial" w:eastAsia="宋体" w:cs="Arial"/>
                <w:sz w:val="21"/>
                <w:szCs w:val="21"/>
              </w:rPr>
            </w:pPr>
            <w:r>
              <w:rPr>
                <w:rFonts w:hint="eastAsia" w:ascii="Arial" w:hAnsi="Arial" w:eastAsia="宋体" w:cs="Arial"/>
                <w:sz w:val="21"/>
                <w:szCs w:val="21"/>
              </w:rPr>
              <w:t>17</w:t>
            </w:r>
          </w:p>
        </w:tc>
        <w:tc>
          <w:tcPr>
            <w:tcW w:w="948" w:type="pct"/>
            <w:tcBorders>
              <w:top w:val="single" w:color="auto" w:sz="4" w:space="0"/>
              <w:left w:val="single" w:color="auto" w:sz="4" w:space="0"/>
              <w:bottom w:val="single" w:color="auto" w:sz="4" w:space="0"/>
              <w:right w:val="single" w:color="auto" w:sz="4" w:space="0"/>
            </w:tcBorders>
            <w:vAlign w:val="center"/>
          </w:tcPr>
          <w:p w14:paraId="1E003DE1">
            <w:pPr>
              <w:spacing w:line="240" w:lineRule="exact"/>
              <w:jc w:val="center"/>
              <w:rPr>
                <w:rFonts w:ascii="Arial" w:hAnsi="Arial" w:eastAsia="宋体" w:cs="Arial"/>
                <w:sz w:val="21"/>
                <w:szCs w:val="21"/>
              </w:rPr>
            </w:pPr>
            <w:r>
              <w:rPr>
                <w:rFonts w:ascii="Arial" w:hAnsi="Arial" w:eastAsia="宋体" w:cs="Arial"/>
                <w:sz w:val="21"/>
                <w:szCs w:val="21"/>
              </w:rPr>
              <w:t>含盐量</w:t>
            </w:r>
          </w:p>
        </w:tc>
        <w:tc>
          <w:tcPr>
            <w:tcW w:w="1730" w:type="pct"/>
            <w:tcBorders>
              <w:top w:val="single" w:color="auto" w:sz="4" w:space="0"/>
              <w:left w:val="single" w:color="auto" w:sz="4" w:space="0"/>
              <w:bottom w:val="single" w:color="auto" w:sz="4" w:space="0"/>
              <w:right w:val="single" w:color="auto" w:sz="4" w:space="0"/>
            </w:tcBorders>
            <w:vAlign w:val="center"/>
          </w:tcPr>
          <w:p w14:paraId="0A52A59A">
            <w:pPr>
              <w:spacing w:line="240" w:lineRule="exact"/>
              <w:jc w:val="center"/>
              <w:rPr>
                <w:rFonts w:ascii="Arial" w:hAnsi="Arial" w:eastAsia="宋体" w:cs="Arial"/>
                <w:sz w:val="21"/>
                <w:szCs w:val="21"/>
              </w:rPr>
            </w:pPr>
            <w:r>
              <w:rPr>
                <w:rFonts w:hint="eastAsia" w:ascii="Arial" w:hAnsi="Arial" w:eastAsia="宋体" w:cs="Arial"/>
                <w:sz w:val="21"/>
                <w:szCs w:val="21"/>
              </w:rPr>
              <w:t>16700</w:t>
            </w:r>
          </w:p>
        </w:tc>
        <w:tc>
          <w:tcPr>
            <w:tcW w:w="1728" w:type="pct"/>
            <w:tcBorders>
              <w:top w:val="single" w:color="auto" w:sz="4" w:space="0"/>
              <w:left w:val="single" w:color="auto" w:sz="4" w:space="0"/>
              <w:bottom w:val="single" w:color="auto" w:sz="4" w:space="0"/>
              <w:right w:val="single" w:color="auto" w:sz="4" w:space="0"/>
            </w:tcBorders>
            <w:vAlign w:val="center"/>
          </w:tcPr>
          <w:p w14:paraId="1FA7B5A7">
            <w:pPr>
              <w:spacing w:line="240" w:lineRule="exact"/>
              <w:jc w:val="center"/>
              <w:rPr>
                <w:rFonts w:ascii="Arial" w:hAnsi="Arial" w:eastAsia="宋体" w:cs="Arial"/>
                <w:sz w:val="21"/>
                <w:szCs w:val="21"/>
              </w:rPr>
            </w:pPr>
            <w:r>
              <w:rPr>
                <w:rFonts w:hint="eastAsia" w:ascii="Arial" w:hAnsi="Arial" w:eastAsia="宋体" w:cs="Arial"/>
                <w:sz w:val="21"/>
                <w:szCs w:val="21"/>
              </w:rPr>
              <w:t>/</w:t>
            </w:r>
          </w:p>
        </w:tc>
      </w:tr>
    </w:tbl>
    <w:p w14:paraId="4812C7B7">
      <w:pPr>
        <w:adjustRightInd w:val="0"/>
        <w:snapToGrid w:val="0"/>
        <w:ind w:firstLine="382" w:firstLineChars="196"/>
        <w:rPr>
          <w:rFonts w:ascii="Arial" w:hAnsi="Arial" w:eastAsia="宋体" w:cs="Arial"/>
          <w:b/>
          <w:sz w:val="21"/>
        </w:rPr>
      </w:pPr>
      <w:r>
        <w:rPr>
          <w:rFonts w:hint="eastAsia" w:ascii="Arial" w:hAnsi="Arial" w:eastAsia="宋体" w:cs="Arial"/>
          <w:b/>
          <w:sz w:val="21"/>
        </w:rPr>
        <w:t>*大榄坪污水处理厂改造完成后排入污水处理厂的</w:t>
      </w:r>
      <w:r>
        <w:rPr>
          <w:rFonts w:ascii="Arial" w:hAnsi="Arial" w:eastAsia="宋体" w:cs="Arial"/>
          <w:b/>
          <w:sz w:val="21"/>
        </w:rPr>
        <w:t>生产废水含盐量浓度限值由建设单位与大榄坪污水处理厂自行商定。</w:t>
      </w:r>
    </w:p>
    <w:p w14:paraId="13849E36">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车间生产废水污染物排放浓度限值</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7"/>
        <w:gridCol w:w="1682"/>
        <w:gridCol w:w="1925"/>
        <w:gridCol w:w="1624"/>
        <w:gridCol w:w="2725"/>
      </w:tblGrid>
      <w:tr w14:paraId="5362F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7" w:type="pct"/>
            <w:tcBorders>
              <w:top w:val="single" w:color="auto" w:sz="4" w:space="0"/>
              <w:left w:val="single" w:color="auto" w:sz="4" w:space="0"/>
              <w:bottom w:val="single" w:color="auto" w:sz="4" w:space="0"/>
              <w:right w:val="single" w:color="auto" w:sz="4" w:space="0"/>
            </w:tcBorders>
            <w:vAlign w:val="center"/>
          </w:tcPr>
          <w:p w14:paraId="61B63237">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935" w:type="pct"/>
            <w:tcBorders>
              <w:top w:val="single" w:color="auto" w:sz="4" w:space="0"/>
              <w:left w:val="single" w:color="auto" w:sz="4" w:space="0"/>
              <w:bottom w:val="single" w:color="auto" w:sz="4" w:space="0"/>
              <w:right w:val="single" w:color="auto" w:sz="4" w:space="0"/>
            </w:tcBorders>
            <w:vAlign w:val="center"/>
          </w:tcPr>
          <w:p w14:paraId="25B15574">
            <w:pPr>
              <w:spacing w:line="240" w:lineRule="exact"/>
              <w:jc w:val="center"/>
              <w:rPr>
                <w:rFonts w:ascii="Arial" w:hAnsi="Arial" w:eastAsia="宋体" w:cs="Arial"/>
                <w:sz w:val="21"/>
                <w:szCs w:val="21"/>
              </w:rPr>
            </w:pPr>
            <w:r>
              <w:rPr>
                <w:rFonts w:ascii="Arial" w:hAnsi="Arial" w:eastAsia="宋体" w:cs="Arial"/>
                <w:sz w:val="21"/>
                <w:szCs w:val="21"/>
              </w:rPr>
              <w:t>污染物</w:t>
            </w:r>
          </w:p>
        </w:tc>
        <w:tc>
          <w:tcPr>
            <w:tcW w:w="1070" w:type="pct"/>
            <w:tcBorders>
              <w:top w:val="single" w:color="auto" w:sz="4" w:space="0"/>
              <w:left w:val="single" w:color="auto" w:sz="4" w:space="0"/>
              <w:right w:val="single" w:color="auto" w:sz="4" w:space="0"/>
            </w:tcBorders>
            <w:vAlign w:val="center"/>
          </w:tcPr>
          <w:p w14:paraId="1F280514">
            <w:pPr>
              <w:spacing w:line="240" w:lineRule="exact"/>
              <w:jc w:val="center"/>
              <w:rPr>
                <w:rFonts w:ascii="Arial" w:hAnsi="Arial" w:eastAsia="宋体" w:cs="Arial"/>
                <w:sz w:val="21"/>
                <w:szCs w:val="21"/>
              </w:rPr>
            </w:pPr>
            <w:r>
              <w:rPr>
                <w:rFonts w:hint="eastAsia" w:ascii="Arial" w:hAnsi="Arial" w:eastAsia="宋体" w:cs="Arial"/>
                <w:sz w:val="21"/>
                <w:szCs w:val="21"/>
              </w:rPr>
              <w:t>限值（mg/L）</w:t>
            </w:r>
          </w:p>
        </w:tc>
        <w:tc>
          <w:tcPr>
            <w:tcW w:w="903" w:type="pct"/>
            <w:tcBorders>
              <w:top w:val="single" w:color="auto" w:sz="4" w:space="0"/>
              <w:left w:val="single" w:color="auto" w:sz="4" w:space="0"/>
              <w:right w:val="single" w:color="auto" w:sz="4" w:space="0"/>
            </w:tcBorders>
            <w:vAlign w:val="center"/>
          </w:tcPr>
          <w:p w14:paraId="5D57A41C">
            <w:pPr>
              <w:spacing w:line="240" w:lineRule="exact"/>
              <w:jc w:val="center"/>
              <w:rPr>
                <w:rFonts w:ascii="Arial" w:hAnsi="Arial" w:eastAsia="宋体" w:cs="Arial"/>
                <w:sz w:val="21"/>
                <w:szCs w:val="21"/>
              </w:rPr>
            </w:pPr>
            <w:r>
              <w:rPr>
                <w:rFonts w:hint="eastAsia" w:ascii="Arial" w:hAnsi="Arial" w:eastAsia="宋体" w:cs="Arial"/>
                <w:sz w:val="21"/>
                <w:szCs w:val="21"/>
              </w:rPr>
              <w:t>执行标准</w:t>
            </w:r>
          </w:p>
        </w:tc>
        <w:tc>
          <w:tcPr>
            <w:tcW w:w="1515" w:type="pct"/>
            <w:tcBorders>
              <w:top w:val="single" w:color="auto" w:sz="4" w:space="0"/>
              <w:left w:val="single" w:color="auto" w:sz="6" w:space="0"/>
              <w:bottom w:val="single" w:color="auto" w:sz="4" w:space="0"/>
              <w:right w:val="single" w:color="auto" w:sz="4" w:space="0"/>
            </w:tcBorders>
            <w:vAlign w:val="center"/>
          </w:tcPr>
          <w:p w14:paraId="063FA9D5">
            <w:pPr>
              <w:spacing w:line="240" w:lineRule="exact"/>
              <w:jc w:val="center"/>
              <w:rPr>
                <w:rFonts w:ascii="Arial" w:hAnsi="Arial" w:eastAsia="宋体" w:cs="Arial"/>
                <w:sz w:val="21"/>
                <w:szCs w:val="21"/>
              </w:rPr>
            </w:pPr>
            <w:r>
              <w:rPr>
                <w:rFonts w:ascii="Arial" w:hAnsi="Arial" w:eastAsia="宋体" w:cs="Arial"/>
                <w:sz w:val="21"/>
                <w:szCs w:val="21"/>
              </w:rPr>
              <w:t>监控位置</w:t>
            </w:r>
          </w:p>
        </w:tc>
      </w:tr>
      <w:tr w14:paraId="650EC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7" w:type="pct"/>
            <w:tcBorders>
              <w:top w:val="single" w:color="auto" w:sz="4" w:space="0"/>
              <w:left w:val="single" w:color="auto" w:sz="4" w:space="0"/>
              <w:bottom w:val="single" w:color="auto" w:sz="4" w:space="0"/>
              <w:right w:val="single" w:color="auto" w:sz="4" w:space="0"/>
            </w:tcBorders>
            <w:vAlign w:val="center"/>
          </w:tcPr>
          <w:p w14:paraId="163095E9">
            <w:pPr>
              <w:spacing w:line="240" w:lineRule="exact"/>
              <w:jc w:val="center"/>
              <w:rPr>
                <w:rFonts w:ascii="Arial" w:hAnsi="Arial" w:eastAsia="宋体" w:cs="Arial"/>
                <w:sz w:val="21"/>
                <w:szCs w:val="21"/>
              </w:rPr>
            </w:pPr>
            <w:r>
              <w:rPr>
                <w:rFonts w:ascii="Arial" w:hAnsi="Arial" w:eastAsia="宋体" w:cs="Arial"/>
                <w:sz w:val="21"/>
                <w:szCs w:val="21"/>
              </w:rPr>
              <w:t>1</w:t>
            </w:r>
          </w:p>
        </w:tc>
        <w:tc>
          <w:tcPr>
            <w:tcW w:w="935" w:type="pct"/>
            <w:tcBorders>
              <w:top w:val="single" w:color="auto" w:sz="4" w:space="0"/>
              <w:left w:val="single" w:color="auto" w:sz="4" w:space="0"/>
              <w:bottom w:val="single" w:color="auto" w:sz="4" w:space="0"/>
              <w:right w:val="single" w:color="auto" w:sz="4" w:space="0"/>
            </w:tcBorders>
            <w:vAlign w:val="center"/>
          </w:tcPr>
          <w:p w14:paraId="60F3BE38">
            <w:pPr>
              <w:spacing w:line="240" w:lineRule="exact"/>
              <w:jc w:val="center"/>
              <w:rPr>
                <w:rFonts w:ascii="Arial" w:hAnsi="Arial" w:eastAsia="宋体" w:cs="Arial"/>
                <w:sz w:val="21"/>
                <w:szCs w:val="21"/>
              </w:rPr>
            </w:pPr>
            <w:r>
              <w:rPr>
                <w:rFonts w:ascii="Arial" w:hAnsi="Arial" w:eastAsia="宋体" w:cs="Arial"/>
                <w:sz w:val="21"/>
                <w:szCs w:val="21"/>
              </w:rPr>
              <w:t>总钴</w:t>
            </w:r>
          </w:p>
        </w:tc>
        <w:tc>
          <w:tcPr>
            <w:tcW w:w="1070" w:type="pct"/>
            <w:tcBorders>
              <w:top w:val="single" w:color="auto" w:sz="4" w:space="0"/>
              <w:left w:val="single" w:color="auto" w:sz="4" w:space="0"/>
              <w:bottom w:val="single" w:color="auto" w:sz="4" w:space="0"/>
              <w:right w:val="single" w:color="auto" w:sz="4" w:space="0"/>
            </w:tcBorders>
            <w:vAlign w:val="center"/>
          </w:tcPr>
          <w:p w14:paraId="01D55B7D">
            <w:pPr>
              <w:spacing w:line="240" w:lineRule="exact"/>
              <w:jc w:val="center"/>
              <w:rPr>
                <w:rFonts w:ascii="Arial" w:hAnsi="Arial" w:eastAsia="宋体" w:cs="Arial"/>
                <w:sz w:val="21"/>
                <w:szCs w:val="21"/>
              </w:rPr>
            </w:pPr>
            <w:r>
              <w:rPr>
                <w:rFonts w:hint="eastAsia" w:ascii="Arial" w:hAnsi="Arial" w:eastAsia="宋体" w:cs="Arial"/>
                <w:sz w:val="21"/>
                <w:szCs w:val="21"/>
              </w:rPr>
              <w:t>1</w:t>
            </w:r>
          </w:p>
        </w:tc>
        <w:tc>
          <w:tcPr>
            <w:tcW w:w="903" w:type="pct"/>
            <w:tcBorders>
              <w:top w:val="single" w:color="auto" w:sz="4" w:space="0"/>
              <w:left w:val="single" w:color="auto" w:sz="4" w:space="0"/>
              <w:right w:val="single" w:color="auto" w:sz="4" w:space="0"/>
            </w:tcBorders>
            <w:vAlign w:val="center"/>
          </w:tcPr>
          <w:p w14:paraId="71238886">
            <w:pPr>
              <w:spacing w:line="240" w:lineRule="exact"/>
              <w:jc w:val="center"/>
              <w:rPr>
                <w:rFonts w:ascii="Arial" w:hAnsi="Arial" w:eastAsia="宋体" w:cs="Arial"/>
                <w:sz w:val="21"/>
                <w:szCs w:val="21"/>
              </w:rPr>
            </w:pPr>
            <w:r>
              <w:rPr>
                <w:rFonts w:ascii="Arial" w:hAnsi="Arial" w:eastAsia="宋体" w:cs="Arial"/>
                <w:sz w:val="21"/>
                <w:szCs w:val="21"/>
              </w:rPr>
              <w:t>GB31573-2015</w:t>
            </w:r>
          </w:p>
        </w:tc>
        <w:tc>
          <w:tcPr>
            <w:tcW w:w="1515" w:type="pct"/>
            <w:tcBorders>
              <w:top w:val="single" w:color="auto" w:sz="4" w:space="0"/>
              <w:left w:val="single" w:color="auto" w:sz="6" w:space="0"/>
              <w:right w:val="single" w:color="auto" w:sz="4" w:space="0"/>
            </w:tcBorders>
            <w:vAlign w:val="center"/>
          </w:tcPr>
          <w:p w14:paraId="7B396CC5">
            <w:pPr>
              <w:spacing w:line="240" w:lineRule="exact"/>
              <w:jc w:val="center"/>
              <w:rPr>
                <w:rFonts w:ascii="Arial" w:hAnsi="Arial" w:eastAsia="宋体" w:cs="Arial"/>
                <w:sz w:val="21"/>
                <w:szCs w:val="21"/>
              </w:rPr>
            </w:pPr>
            <w:r>
              <w:rPr>
                <w:rFonts w:ascii="Arial" w:hAnsi="Arial" w:eastAsia="宋体" w:cs="Arial"/>
                <w:sz w:val="21"/>
                <w:szCs w:val="21"/>
              </w:rPr>
              <w:t>车间或生产设施废水排放口</w:t>
            </w:r>
          </w:p>
        </w:tc>
      </w:tr>
    </w:tbl>
    <w:p w14:paraId="041ADE13">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3、噪声排放标准</w:t>
      </w:r>
    </w:p>
    <w:p w14:paraId="15C6269E">
      <w:pPr>
        <w:spacing w:line="500" w:lineRule="exact"/>
        <w:ind w:firstLine="480" w:firstLineChars="196"/>
        <w:rPr>
          <w:rFonts w:ascii="Arial" w:hAnsi="Arial" w:eastAsia="宋体" w:cs="Arial"/>
          <w:spacing w:val="10"/>
          <w:kern w:val="0"/>
          <w:sz w:val="24"/>
          <w:szCs w:val="24"/>
        </w:rPr>
      </w:pPr>
      <w:r>
        <w:rPr>
          <w:rFonts w:ascii="Arial" w:hAnsi="Arial" w:eastAsia="宋体" w:cs="Arial"/>
          <w:spacing w:val="10"/>
          <w:kern w:val="0"/>
          <w:sz w:val="24"/>
          <w:szCs w:val="24"/>
        </w:rPr>
        <w:t>运营期企业东、南、北面厂界噪声执行《工业企业厂界环境噪声排放标准》（GB12348-2008）中的3类排放标准，西面厂界执行4类排放标准，详见表1-</w:t>
      </w:r>
      <w:r>
        <w:rPr>
          <w:rFonts w:hint="eastAsia" w:ascii="Arial" w:hAnsi="Arial" w:eastAsia="宋体" w:cs="Arial"/>
          <w:spacing w:val="10"/>
          <w:kern w:val="0"/>
          <w:sz w:val="24"/>
          <w:szCs w:val="24"/>
        </w:rPr>
        <w:t>23</w:t>
      </w:r>
      <w:r>
        <w:rPr>
          <w:rFonts w:ascii="Arial" w:hAnsi="Arial" w:eastAsia="宋体" w:cs="Arial"/>
          <w:spacing w:val="10"/>
          <w:kern w:val="0"/>
          <w:sz w:val="24"/>
          <w:szCs w:val="24"/>
        </w:rPr>
        <w:t>。</w:t>
      </w:r>
    </w:p>
    <w:p w14:paraId="6DC43936">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《工业企业厂界环境噪声排放标准》（摘录） 单位：dB（A）</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7"/>
        <w:gridCol w:w="2908"/>
        <w:gridCol w:w="3398"/>
      </w:tblGrid>
      <w:tr w14:paraId="0B0EC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87" w:type="dxa"/>
            <w:tcBorders>
              <w:top w:val="single" w:color="auto" w:sz="4" w:space="0"/>
              <w:left w:val="single" w:color="auto" w:sz="4" w:space="0"/>
              <w:bottom w:val="single" w:color="auto" w:sz="4" w:space="0"/>
              <w:right w:val="single" w:color="auto" w:sz="4" w:space="0"/>
            </w:tcBorders>
            <w:vAlign w:val="center"/>
          </w:tcPr>
          <w:p w14:paraId="1BD3C734">
            <w:pPr>
              <w:spacing w:line="240" w:lineRule="exact"/>
              <w:jc w:val="center"/>
              <w:rPr>
                <w:rFonts w:ascii="Arial" w:hAnsi="Arial" w:eastAsia="宋体" w:cs="Arial"/>
                <w:sz w:val="21"/>
                <w:szCs w:val="24"/>
              </w:rPr>
            </w:pPr>
            <w:r>
              <w:rPr>
                <w:rFonts w:ascii="Arial" w:hAnsi="Arial" w:eastAsia="宋体" w:cs="Arial"/>
                <w:sz w:val="21"/>
                <w:szCs w:val="24"/>
              </w:rPr>
              <w:t>类别</w:t>
            </w:r>
          </w:p>
        </w:tc>
        <w:tc>
          <w:tcPr>
            <w:tcW w:w="2908" w:type="dxa"/>
            <w:tcBorders>
              <w:top w:val="single" w:color="auto" w:sz="4" w:space="0"/>
              <w:left w:val="single" w:color="auto" w:sz="4" w:space="0"/>
              <w:bottom w:val="single" w:color="auto" w:sz="4" w:space="0"/>
              <w:right w:val="single" w:color="auto" w:sz="4" w:space="0"/>
            </w:tcBorders>
            <w:vAlign w:val="center"/>
          </w:tcPr>
          <w:p w14:paraId="268DCFAA">
            <w:pPr>
              <w:spacing w:line="240" w:lineRule="exact"/>
              <w:jc w:val="center"/>
              <w:rPr>
                <w:rFonts w:ascii="Arial" w:hAnsi="Arial" w:eastAsia="宋体" w:cs="Arial"/>
                <w:sz w:val="21"/>
                <w:szCs w:val="24"/>
              </w:rPr>
            </w:pPr>
            <w:r>
              <w:rPr>
                <w:rFonts w:ascii="Arial" w:hAnsi="Arial" w:eastAsia="宋体" w:cs="Arial"/>
                <w:sz w:val="21"/>
                <w:szCs w:val="24"/>
              </w:rPr>
              <w:t>昼间</w:t>
            </w:r>
          </w:p>
        </w:tc>
        <w:tc>
          <w:tcPr>
            <w:tcW w:w="3398" w:type="dxa"/>
            <w:tcBorders>
              <w:top w:val="single" w:color="auto" w:sz="4" w:space="0"/>
              <w:left w:val="single" w:color="auto" w:sz="4" w:space="0"/>
              <w:bottom w:val="single" w:color="auto" w:sz="4" w:space="0"/>
              <w:right w:val="single" w:color="auto" w:sz="4" w:space="0"/>
            </w:tcBorders>
            <w:vAlign w:val="center"/>
          </w:tcPr>
          <w:p w14:paraId="296461F5">
            <w:pPr>
              <w:spacing w:line="240" w:lineRule="exact"/>
              <w:jc w:val="center"/>
              <w:rPr>
                <w:rFonts w:ascii="Arial" w:hAnsi="Arial" w:eastAsia="宋体" w:cs="Arial"/>
                <w:sz w:val="21"/>
                <w:szCs w:val="24"/>
              </w:rPr>
            </w:pPr>
            <w:r>
              <w:rPr>
                <w:rFonts w:ascii="Arial" w:hAnsi="Arial" w:eastAsia="宋体" w:cs="Arial"/>
                <w:sz w:val="21"/>
                <w:szCs w:val="24"/>
              </w:rPr>
              <w:t>夜间</w:t>
            </w:r>
          </w:p>
        </w:tc>
      </w:tr>
      <w:tr w14:paraId="0BED1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87" w:type="dxa"/>
            <w:tcBorders>
              <w:top w:val="single" w:color="auto" w:sz="4" w:space="0"/>
              <w:left w:val="single" w:color="auto" w:sz="4" w:space="0"/>
              <w:bottom w:val="single" w:color="auto" w:sz="4" w:space="0"/>
              <w:right w:val="single" w:color="auto" w:sz="4" w:space="0"/>
            </w:tcBorders>
            <w:vAlign w:val="center"/>
          </w:tcPr>
          <w:p w14:paraId="51C7EB78">
            <w:pPr>
              <w:spacing w:line="240" w:lineRule="exact"/>
              <w:jc w:val="center"/>
              <w:rPr>
                <w:rFonts w:ascii="Arial" w:hAnsi="Arial" w:eastAsia="宋体" w:cs="Arial"/>
                <w:sz w:val="21"/>
                <w:szCs w:val="24"/>
              </w:rPr>
            </w:pPr>
            <w:r>
              <w:rPr>
                <w:rFonts w:ascii="Arial" w:hAnsi="Arial" w:eastAsia="宋体" w:cs="Arial"/>
                <w:spacing w:val="4"/>
                <w:sz w:val="21"/>
                <w:szCs w:val="21"/>
              </w:rPr>
              <w:t>3</w:t>
            </w:r>
          </w:p>
        </w:tc>
        <w:tc>
          <w:tcPr>
            <w:tcW w:w="2908" w:type="dxa"/>
            <w:tcBorders>
              <w:top w:val="single" w:color="auto" w:sz="4" w:space="0"/>
              <w:left w:val="single" w:color="auto" w:sz="4" w:space="0"/>
              <w:bottom w:val="single" w:color="auto" w:sz="4" w:space="0"/>
              <w:right w:val="single" w:color="auto" w:sz="4" w:space="0"/>
            </w:tcBorders>
            <w:vAlign w:val="center"/>
          </w:tcPr>
          <w:p w14:paraId="7DA1316F">
            <w:pPr>
              <w:spacing w:line="240" w:lineRule="exact"/>
              <w:jc w:val="center"/>
              <w:rPr>
                <w:rFonts w:ascii="Arial" w:hAnsi="Arial" w:eastAsia="宋体" w:cs="Arial"/>
                <w:sz w:val="21"/>
                <w:szCs w:val="24"/>
              </w:rPr>
            </w:pPr>
            <w:r>
              <w:rPr>
                <w:rFonts w:ascii="Arial" w:hAnsi="Arial" w:eastAsia="宋体" w:cs="Arial"/>
                <w:sz w:val="21"/>
                <w:szCs w:val="24"/>
              </w:rPr>
              <w:t>65</w:t>
            </w:r>
          </w:p>
        </w:tc>
        <w:tc>
          <w:tcPr>
            <w:tcW w:w="3398" w:type="dxa"/>
            <w:tcBorders>
              <w:top w:val="single" w:color="auto" w:sz="4" w:space="0"/>
              <w:left w:val="single" w:color="auto" w:sz="4" w:space="0"/>
              <w:bottom w:val="single" w:color="auto" w:sz="4" w:space="0"/>
              <w:right w:val="single" w:color="auto" w:sz="4" w:space="0"/>
            </w:tcBorders>
            <w:vAlign w:val="center"/>
          </w:tcPr>
          <w:p w14:paraId="2BF25D2C">
            <w:pPr>
              <w:spacing w:line="240" w:lineRule="exact"/>
              <w:jc w:val="center"/>
              <w:rPr>
                <w:rFonts w:ascii="Arial" w:hAnsi="Arial" w:eastAsia="宋体" w:cs="Arial"/>
                <w:sz w:val="21"/>
                <w:szCs w:val="24"/>
              </w:rPr>
            </w:pPr>
            <w:r>
              <w:rPr>
                <w:rFonts w:ascii="Arial" w:hAnsi="Arial" w:eastAsia="宋体" w:cs="Arial"/>
                <w:sz w:val="21"/>
                <w:szCs w:val="24"/>
              </w:rPr>
              <w:t>55</w:t>
            </w:r>
          </w:p>
        </w:tc>
      </w:tr>
      <w:tr w14:paraId="6ED9F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87" w:type="dxa"/>
            <w:tcBorders>
              <w:top w:val="single" w:color="auto" w:sz="4" w:space="0"/>
              <w:left w:val="single" w:color="auto" w:sz="4" w:space="0"/>
              <w:bottom w:val="single" w:color="auto" w:sz="4" w:space="0"/>
              <w:right w:val="single" w:color="auto" w:sz="4" w:space="0"/>
            </w:tcBorders>
            <w:vAlign w:val="center"/>
          </w:tcPr>
          <w:p w14:paraId="22E03167">
            <w:pPr>
              <w:spacing w:line="240" w:lineRule="exact"/>
              <w:jc w:val="center"/>
              <w:rPr>
                <w:rFonts w:ascii="Arial" w:hAnsi="Arial" w:eastAsia="宋体" w:cs="Arial"/>
                <w:spacing w:val="4"/>
                <w:sz w:val="21"/>
                <w:szCs w:val="21"/>
              </w:rPr>
            </w:pPr>
            <w:r>
              <w:rPr>
                <w:rFonts w:ascii="Arial" w:hAnsi="Arial" w:eastAsia="宋体" w:cs="Arial"/>
                <w:spacing w:val="4"/>
                <w:sz w:val="21"/>
                <w:szCs w:val="21"/>
              </w:rPr>
              <w:t>4</w:t>
            </w:r>
          </w:p>
        </w:tc>
        <w:tc>
          <w:tcPr>
            <w:tcW w:w="2908" w:type="dxa"/>
            <w:tcBorders>
              <w:top w:val="single" w:color="auto" w:sz="4" w:space="0"/>
              <w:left w:val="single" w:color="auto" w:sz="4" w:space="0"/>
              <w:bottom w:val="single" w:color="auto" w:sz="4" w:space="0"/>
              <w:right w:val="single" w:color="auto" w:sz="4" w:space="0"/>
            </w:tcBorders>
            <w:vAlign w:val="center"/>
          </w:tcPr>
          <w:p w14:paraId="0DD3F358">
            <w:pPr>
              <w:spacing w:line="240" w:lineRule="exact"/>
              <w:jc w:val="center"/>
              <w:rPr>
                <w:rFonts w:ascii="Arial" w:hAnsi="Arial" w:eastAsia="宋体" w:cs="Arial"/>
                <w:sz w:val="21"/>
                <w:szCs w:val="24"/>
              </w:rPr>
            </w:pPr>
            <w:r>
              <w:rPr>
                <w:rFonts w:ascii="Arial" w:hAnsi="Arial" w:eastAsia="宋体" w:cs="Arial"/>
                <w:sz w:val="21"/>
                <w:szCs w:val="24"/>
              </w:rPr>
              <w:t>70</w:t>
            </w:r>
          </w:p>
        </w:tc>
        <w:tc>
          <w:tcPr>
            <w:tcW w:w="3398" w:type="dxa"/>
            <w:tcBorders>
              <w:top w:val="single" w:color="auto" w:sz="4" w:space="0"/>
              <w:left w:val="single" w:color="auto" w:sz="4" w:space="0"/>
              <w:bottom w:val="single" w:color="auto" w:sz="4" w:space="0"/>
              <w:right w:val="single" w:color="auto" w:sz="4" w:space="0"/>
            </w:tcBorders>
            <w:vAlign w:val="center"/>
          </w:tcPr>
          <w:p w14:paraId="172B2FEB">
            <w:pPr>
              <w:spacing w:line="240" w:lineRule="exact"/>
              <w:jc w:val="center"/>
              <w:rPr>
                <w:rFonts w:ascii="Arial" w:hAnsi="Arial" w:eastAsia="宋体" w:cs="Arial"/>
                <w:sz w:val="21"/>
                <w:szCs w:val="24"/>
              </w:rPr>
            </w:pPr>
            <w:r>
              <w:rPr>
                <w:rFonts w:ascii="Arial" w:hAnsi="Arial" w:eastAsia="宋体" w:cs="Arial"/>
                <w:sz w:val="21"/>
                <w:szCs w:val="24"/>
              </w:rPr>
              <w:t>55</w:t>
            </w:r>
          </w:p>
        </w:tc>
      </w:tr>
    </w:tbl>
    <w:p w14:paraId="3C313C67">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4、固体废物控制标准</w:t>
      </w:r>
    </w:p>
    <w:p w14:paraId="47E6FEC7">
      <w:pPr>
        <w:spacing w:line="500" w:lineRule="exact"/>
        <w:ind w:firstLine="480" w:firstLineChars="196"/>
        <w:rPr>
          <w:rFonts w:ascii="Arial" w:hAnsi="Arial" w:eastAsia="宋体" w:cs="Arial"/>
          <w:spacing w:val="10"/>
          <w:kern w:val="0"/>
          <w:sz w:val="24"/>
          <w:szCs w:val="24"/>
        </w:rPr>
      </w:pPr>
      <w:r>
        <w:rPr>
          <w:rFonts w:hint="eastAsia" w:ascii="Arial" w:hAnsi="Arial" w:eastAsia="宋体" w:cs="Arial"/>
          <w:spacing w:val="10"/>
          <w:kern w:val="0"/>
          <w:sz w:val="24"/>
          <w:szCs w:val="24"/>
        </w:rPr>
        <w:t>项目一般固体废物暂存，按照HJ1035-2019的要求，应采取措施有效防止有毒有害物质渗漏、流失和扬散；</w:t>
      </w:r>
      <w:r>
        <w:rPr>
          <w:rFonts w:ascii="Arial" w:hAnsi="Arial" w:eastAsia="宋体" w:cs="Arial"/>
          <w:spacing w:val="10"/>
          <w:kern w:val="0"/>
          <w:sz w:val="24"/>
          <w:szCs w:val="24"/>
        </w:rPr>
        <w:t>危险废物厂内暂存执行《危险废物贮存污染控制标准》（GB18597-2023）的相关要求。</w:t>
      </w:r>
    </w:p>
    <w:p w14:paraId="03C8FD73">
      <w:pPr>
        <w:keepNext/>
        <w:keepLines/>
        <w:numPr>
          <w:ilvl w:val="0"/>
          <w:numId w:val="2"/>
        </w:numPr>
        <w:tabs>
          <w:tab w:val="left" w:pos="567"/>
        </w:tabs>
        <w:spacing w:before="210" w:after="210" w:line="500" w:lineRule="exact"/>
        <w:outlineLvl w:val="1"/>
        <w:rPr>
          <w:rFonts w:ascii="Arial" w:hAnsi="Arial" w:eastAsia="宋体" w:cs="Arial"/>
          <w:b/>
        </w:rPr>
      </w:pPr>
      <w:bookmarkStart w:id="233" w:name="_Toc185950208"/>
      <w:bookmarkStart w:id="234" w:name="_Toc166675352"/>
      <w:bookmarkStart w:id="235" w:name="_Toc154599055"/>
      <w:bookmarkStart w:id="236" w:name="_Toc182491371"/>
      <w:r>
        <w:rPr>
          <w:rFonts w:ascii="Arial" w:hAnsi="Arial" w:eastAsia="宋体" w:cs="Arial"/>
          <w:b/>
        </w:rPr>
        <w:t>评价等级</w:t>
      </w:r>
      <w:bookmarkEnd w:id="233"/>
      <w:bookmarkEnd w:id="234"/>
      <w:bookmarkEnd w:id="235"/>
      <w:bookmarkEnd w:id="236"/>
    </w:p>
    <w:p w14:paraId="50AFE07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根据《环境影响评价技术导则》（HJ2.1-2016、HJ2.2-2018、HJ2.3-2018、HJ2.4-2021、HJ610-2016、HJ19-2022、</w:t>
      </w:r>
      <w:r>
        <w:rPr>
          <w:rFonts w:ascii="Arial" w:hAnsi="Arial" w:eastAsia="宋体" w:cs="Arial"/>
          <w:spacing w:val="10"/>
          <w:kern w:val="0"/>
          <w:sz w:val="24"/>
          <w:szCs w:val="24"/>
        </w:rPr>
        <w:t>HJ964-2018</w:t>
      </w:r>
      <w:r>
        <w:rPr>
          <w:rFonts w:ascii="Arial" w:hAnsi="Arial" w:eastAsia="宋体" w:cs="Arial"/>
          <w:spacing w:val="10"/>
          <w:sz w:val="24"/>
          <w:szCs w:val="24"/>
        </w:rPr>
        <w:t>）和《建设项目环境风险评价技术导则》（HJ169-2018）中有关工作等级划分的要求，确定本报告评价等级。</w:t>
      </w:r>
    </w:p>
    <w:p w14:paraId="06443910">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由于二阶段项目的三元前驱体生产线及相关配套工程已完成环保验收，企业排污许可证已包括该部分内容，其环保手续均已履行。因此，本报告仅以变动后的羟基钴生产线建设内容判定各要素评价工作等级，不再考虑三元前驱体生产线。</w:t>
      </w:r>
    </w:p>
    <w:p w14:paraId="024DD4E3">
      <w:pPr>
        <w:keepNext/>
        <w:keepLines/>
        <w:numPr>
          <w:ilvl w:val="0"/>
          <w:numId w:val="7"/>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大气环境影响评价等级</w:t>
      </w:r>
    </w:p>
    <w:p w14:paraId="7EECB32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根据工程分析，</w:t>
      </w:r>
      <w:r>
        <w:rPr>
          <w:rFonts w:hint="eastAsia" w:ascii="Arial" w:hAnsi="Arial" w:eastAsia="宋体" w:cs="Arial"/>
          <w:spacing w:val="10"/>
          <w:sz w:val="24"/>
          <w:szCs w:val="24"/>
        </w:rPr>
        <w:t>变更后</w:t>
      </w:r>
      <w:r>
        <w:rPr>
          <w:rFonts w:ascii="Arial" w:hAnsi="Arial" w:eastAsia="宋体" w:cs="Arial"/>
          <w:spacing w:val="10"/>
          <w:sz w:val="24"/>
          <w:szCs w:val="24"/>
        </w:rPr>
        <w:t>项目废气污染物包括</w:t>
      </w:r>
      <w:r>
        <w:rPr>
          <w:rFonts w:hint="eastAsia" w:ascii="Arial" w:hAnsi="Arial" w:eastAsia="宋体" w:cs="Arial"/>
          <w:spacing w:val="10"/>
          <w:sz w:val="24"/>
          <w:szCs w:val="24"/>
        </w:rPr>
        <w:t>氨、PM</w:t>
      </w:r>
      <w:r>
        <w:rPr>
          <w:rFonts w:hint="eastAsia" w:ascii="Arial" w:hAnsi="Arial" w:eastAsia="宋体" w:cs="Arial"/>
          <w:spacing w:val="10"/>
          <w:sz w:val="24"/>
          <w:szCs w:val="24"/>
          <w:vertAlign w:val="subscript"/>
        </w:rPr>
        <w:t>10</w:t>
      </w:r>
      <w:r>
        <w:rPr>
          <w:rFonts w:hint="eastAsia" w:ascii="Arial" w:hAnsi="Arial" w:eastAsia="宋体" w:cs="Arial"/>
          <w:spacing w:val="10"/>
          <w:sz w:val="24"/>
          <w:szCs w:val="24"/>
        </w:rPr>
        <w:t>、钴及其化合物</w:t>
      </w:r>
      <w:r>
        <w:rPr>
          <w:rFonts w:ascii="Arial" w:hAnsi="Arial" w:eastAsia="宋体" w:cs="Arial"/>
          <w:spacing w:val="10"/>
          <w:sz w:val="24"/>
          <w:szCs w:val="24"/>
        </w:rPr>
        <w:t>。因</w:t>
      </w:r>
      <w:r>
        <w:rPr>
          <w:rFonts w:hint="eastAsia" w:ascii="Arial" w:hAnsi="Arial" w:eastAsia="宋体" w:cs="Arial"/>
          <w:spacing w:val="10"/>
          <w:sz w:val="24"/>
          <w:szCs w:val="24"/>
        </w:rPr>
        <w:t>钴</w:t>
      </w:r>
      <w:r>
        <w:rPr>
          <w:rFonts w:ascii="Arial" w:hAnsi="Arial" w:eastAsia="宋体" w:cs="Arial"/>
          <w:spacing w:val="10"/>
          <w:sz w:val="24"/>
          <w:szCs w:val="24"/>
        </w:rPr>
        <w:t>及其化合物无环境质量标准，本报告不估算</w:t>
      </w:r>
      <w:r>
        <w:rPr>
          <w:rFonts w:hint="eastAsia" w:ascii="Arial" w:hAnsi="Arial" w:eastAsia="宋体" w:cs="Arial"/>
          <w:spacing w:val="10"/>
          <w:sz w:val="24"/>
          <w:szCs w:val="24"/>
        </w:rPr>
        <w:t>钴</w:t>
      </w:r>
      <w:r>
        <w:rPr>
          <w:rFonts w:ascii="Arial" w:hAnsi="Arial" w:eastAsia="宋体" w:cs="Arial"/>
          <w:spacing w:val="10"/>
          <w:sz w:val="24"/>
          <w:szCs w:val="24"/>
        </w:rPr>
        <w:t>及其化合物的最大落地浓度占标率。</w:t>
      </w:r>
    </w:p>
    <w:p w14:paraId="59A28D5B">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根据环评技术导则（HJ2.2-2018）附录A推荐估算模式，计算污染物的最大地面浓度占标率Pi（第i个污染物）及地面浓度达标准限值10%时所对应的最远距离D</w:t>
      </w:r>
      <w:r>
        <w:rPr>
          <w:rFonts w:ascii="Arial" w:hAnsi="Arial" w:eastAsia="宋体" w:cs="Arial"/>
          <w:spacing w:val="10"/>
          <w:sz w:val="24"/>
          <w:szCs w:val="24"/>
          <w:vertAlign w:val="subscript"/>
        </w:rPr>
        <w:t>10</w:t>
      </w:r>
      <w:r>
        <w:rPr>
          <w:rFonts w:ascii="Arial" w:hAnsi="Arial" w:eastAsia="宋体" w:cs="Arial"/>
          <w:spacing w:val="10"/>
          <w:sz w:val="24"/>
          <w:szCs w:val="24"/>
        </w:rPr>
        <w:t>%。</w:t>
      </w:r>
    </w:p>
    <w:p w14:paraId="4C15BBE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其中Pi定义为：</w:t>
      </w:r>
    </w:p>
    <w:p w14:paraId="78D5FFE1">
      <w:pPr>
        <w:spacing w:line="264" w:lineRule="auto"/>
        <w:ind w:firstLine="1169" w:firstLineChars="477"/>
        <w:rPr>
          <w:rFonts w:ascii="Arial" w:hAnsi="Arial" w:eastAsia="宋体" w:cs="Arial"/>
          <w:spacing w:val="10"/>
          <w:sz w:val="24"/>
          <w:szCs w:val="24"/>
        </w:rPr>
      </w:pPr>
      <w:r>
        <w:rPr>
          <w:rFonts w:ascii="Arial" w:hAnsi="Arial" w:eastAsia="宋体" w:cs="Arial"/>
          <w:spacing w:val="10"/>
          <w:position w:val="-12"/>
          <w:sz w:val="24"/>
          <w:szCs w:val="24"/>
        </w:rPr>
        <w:drawing>
          <wp:inline distT="0" distB="0" distL="114300" distR="114300">
            <wp:extent cx="1219200" cy="228600"/>
            <wp:effectExtent l="0" t="0" r="0" b="0"/>
            <wp:docPr id="239" name="对象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对象 163"/>
                    <pic:cNvPicPr>
                      <a:picLocks noChangeAspect="1"/>
                    </pic:cNvPicPr>
                  </pic:nvPicPr>
                  <pic:blipFill>
                    <a:blip r:embed="rId29" cstate="print"/>
                    <a:stretch>
                      <a:fillRect/>
                    </a:stretch>
                  </pic:blipFill>
                  <pic:spPr>
                    <a:xfrm>
                      <a:off x="0" y="0"/>
                      <a:ext cx="1219200" cy="228600"/>
                    </a:xfrm>
                    <a:prstGeom prst="rect">
                      <a:avLst/>
                    </a:prstGeom>
                    <a:noFill/>
                    <a:ln>
                      <a:noFill/>
                    </a:ln>
                  </pic:spPr>
                </pic:pic>
              </a:graphicData>
            </a:graphic>
          </wp:inline>
        </w:drawing>
      </w:r>
    </w:p>
    <w:p w14:paraId="44C643B6">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式中：</w:t>
      </w:r>
    </w:p>
    <w:p w14:paraId="0520896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P</w:t>
      </w:r>
      <w:r>
        <w:rPr>
          <w:rFonts w:ascii="Arial" w:hAnsi="Arial" w:eastAsia="宋体" w:cs="Arial"/>
          <w:spacing w:val="10"/>
          <w:sz w:val="24"/>
          <w:szCs w:val="24"/>
          <w:vertAlign w:val="subscript"/>
        </w:rPr>
        <w:t>i</w:t>
      </w:r>
      <w:r>
        <w:rPr>
          <w:rFonts w:ascii="Arial" w:hAnsi="Arial" w:eastAsia="宋体" w:cs="Arial"/>
          <w:spacing w:val="10"/>
          <w:sz w:val="24"/>
          <w:szCs w:val="24"/>
        </w:rPr>
        <w:t>——第i个污染物的最大地面空气质量浓度占标率，%；</w:t>
      </w:r>
    </w:p>
    <w:p w14:paraId="4C4386D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C</w:t>
      </w:r>
      <w:r>
        <w:rPr>
          <w:rFonts w:ascii="Arial" w:hAnsi="Arial" w:eastAsia="宋体" w:cs="Arial"/>
          <w:spacing w:val="10"/>
          <w:sz w:val="24"/>
          <w:szCs w:val="24"/>
          <w:vertAlign w:val="subscript"/>
        </w:rPr>
        <w:t>i</w:t>
      </w:r>
      <w:r>
        <w:rPr>
          <w:rFonts w:ascii="Arial" w:hAnsi="Arial" w:eastAsia="宋体" w:cs="Arial"/>
          <w:spacing w:val="10"/>
          <w:sz w:val="24"/>
          <w:szCs w:val="24"/>
        </w:rPr>
        <w:t>——采用估算模式计算出的第i个污染物的最大1h地面空气质量浓度， µg/m</w:t>
      </w:r>
      <w:r>
        <w:rPr>
          <w:rFonts w:ascii="Arial" w:hAnsi="Arial" w:eastAsia="宋体" w:cs="Arial"/>
          <w:spacing w:val="10"/>
          <w:sz w:val="24"/>
          <w:szCs w:val="24"/>
          <w:vertAlign w:val="superscript"/>
        </w:rPr>
        <w:t>3</w:t>
      </w:r>
      <w:r>
        <w:rPr>
          <w:rFonts w:ascii="Arial" w:hAnsi="Arial" w:eastAsia="宋体" w:cs="Arial"/>
          <w:spacing w:val="10"/>
          <w:sz w:val="24"/>
          <w:szCs w:val="24"/>
        </w:rPr>
        <w:t>；</w:t>
      </w:r>
    </w:p>
    <w:p w14:paraId="55999557">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C</w:t>
      </w:r>
      <w:r>
        <w:rPr>
          <w:rFonts w:ascii="Arial" w:hAnsi="Arial" w:eastAsia="宋体" w:cs="Arial"/>
          <w:spacing w:val="10"/>
          <w:sz w:val="24"/>
          <w:szCs w:val="24"/>
          <w:vertAlign w:val="subscript"/>
        </w:rPr>
        <w:t>0i</w:t>
      </w:r>
      <w:r>
        <w:rPr>
          <w:rFonts w:ascii="Arial" w:hAnsi="Arial" w:eastAsia="宋体" w:cs="Arial"/>
          <w:spacing w:val="10"/>
          <w:sz w:val="24"/>
          <w:szCs w:val="24"/>
        </w:rPr>
        <w:t>——第i个污染物的环境空气质量标准，µg/m</w:t>
      </w:r>
      <w:r>
        <w:rPr>
          <w:rFonts w:ascii="Arial" w:hAnsi="Arial" w:eastAsia="宋体" w:cs="Arial"/>
          <w:spacing w:val="10"/>
          <w:sz w:val="24"/>
          <w:szCs w:val="24"/>
          <w:vertAlign w:val="superscript"/>
        </w:rPr>
        <w:t>3</w:t>
      </w:r>
      <w:r>
        <w:rPr>
          <w:rFonts w:ascii="Arial" w:hAnsi="Arial" w:eastAsia="宋体" w:cs="Arial"/>
          <w:spacing w:val="10"/>
          <w:sz w:val="24"/>
          <w:szCs w:val="24"/>
        </w:rPr>
        <w:t>。一般选用GB3095中1h平均质量浓度的二级浓度限值，如项目位于一类环境空气功能区，应选择相应的一级浓度限值；对该标准中未包含的污染物，使用评价标准确定的各评价因子1h平均质量浓度限值。对仅有8h平均质量浓度限值、日平均质量浓度限值或年平均质量浓度限值的，可分别按2倍、3倍、6倍折算为1h平均质量浓度限值。</w:t>
      </w:r>
    </w:p>
    <w:p w14:paraId="00030845">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评价工作等级按表1-</w:t>
      </w:r>
      <w:r>
        <w:rPr>
          <w:rFonts w:hint="eastAsia" w:ascii="Arial" w:hAnsi="Arial" w:eastAsia="宋体" w:cs="Arial"/>
          <w:spacing w:val="10"/>
          <w:sz w:val="24"/>
          <w:szCs w:val="24"/>
        </w:rPr>
        <w:t>19</w:t>
      </w:r>
      <w:r>
        <w:rPr>
          <w:rFonts w:ascii="Arial" w:hAnsi="Arial" w:eastAsia="宋体" w:cs="Arial"/>
          <w:spacing w:val="10"/>
          <w:sz w:val="24"/>
          <w:szCs w:val="24"/>
        </w:rPr>
        <w:t>判据进行划分。最大地面浓度占标率P</w:t>
      </w:r>
      <w:r>
        <w:rPr>
          <w:rFonts w:ascii="Arial" w:hAnsi="Arial" w:eastAsia="宋体" w:cs="Arial"/>
          <w:spacing w:val="10"/>
          <w:sz w:val="24"/>
          <w:szCs w:val="24"/>
          <w:vertAlign w:val="subscript"/>
        </w:rPr>
        <w:t>i</w:t>
      </w:r>
      <w:r>
        <w:rPr>
          <w:rFonts w:ascii="Arial" w:hAnsi="Arial" w:eastAsia="宋体" w:cs="Arial"/>
          <w:spacing w:val="10"/>
          <w:sz w:val="24"/>
          <w:szCs w:val="24"/>
        </w:rPr>
        <w:t>按上述公式计算。</w:t>
      </w:r>
    </w:p>
    <w:p w14:paraId="0F60F47E">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评价工作等级</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35"/>
        <w:gridCol w:w="5058"/>
      </w:tblGrid>
      <w:tr w14:paraId="24F20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35" w:type="dxa"/>
            <w:vAlign w:val="center"/>
          </w:tcPr>
          <w:p w14:paraId="15904CCF">
            <w:pPr>
              <w:spacing w:line="0" w:lineRule="atLeast"/>
              <w:jc w:val="center"/>
              <w:rPr>
                <w:rFonts w:ascii="Arial" w:hAnsi="Arial" w:eastAsia="宋体" w:cs="Arial"/>
                <w:sz w:val="21"/>
                <w:szCs w:val="21"/>
              </w:rPr>
            </w:pPr>
            <w:r>
              <w:rPr>
                <w:rFonts w:ascii="Arial" w:hAnsi="Arial" w:eastAsia="宋体" w:cs="Arial"/>
                <w:sz w:val="21"/>
                <w:szCs w:val="21"/>
              </w:rPr>
              <w:t>评价工作等级</w:t>
            </w:r>
          </w:p>
        </w:tc>
        <w:tc>
          <w:tcPr>
            <w:tcW w:w="5058" w:type="dxa"/>
            <w:vAlign w:val="center"/>
          </w:tcPr>
          <w:p w14:paraId="5BDF69FE">
            <w:pPr>
              <w:spacing w:line="0" w:lineRule="atLeast"/>
              <w:jc w:val="center"/>
              <w:rPr>
                <w:rFonts w:ascii="Arial" w:hAnsi="Arial" w:eastAsia="宋体" w:cs="Arial"/>
                <w:sz w:val="21"/>
                <w:szCs w:val="21"/>
              </w:rPr>
            </w:pPr>
            <w:r>
              <w:rPr>
                <w:rFonts w:ascii="Arial" w:hAnsi="Arial" w:eastAsia="宋体" w:cs="Arial"/>
                <w:sz w:val="21"/>
                <w:szCs w:val="21"/>
              </w:rPr>
              <w:t>评价工作分级判据</w:t>
            </w:r>
          </w:p>
        </w:tc>
      </w:tr>
      <w:tr w14:paraId="35BC9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35" w:type="dxa"/>
            <w:vAlign w:val="center"/>
          </w:tcPr>
          <w:p w14:paraId="75056FA2">
            <w:pPr>
              <w:spacing w:line="0" w:lineRule="atLeast"/>
              <w:jc w:val="center"/>
              <w:rPr>
                <w:rFonts w:ascii="Arial" w:hAnsi="Arial" w:eastAsia="宋体" w:cs="Arial"/>
                <w:sz w:val="21"/>
                <w:szCs w:val="21"/>
              </w:rPr>
            </w:pPr>
            <w:r>
              <w:rPr>
                <w:rFonts w:ascii="Arial" w:hAnsi="Arial" w:eastAsia="宋体" w:cs="Arial"/>
                <w:sz w:val="21"/>
                <w:szCs w:val="21"/>
              </w:rPr>
              <w:t>一级</w:t>
            </w:r>
          </w:p>
        </w:tc>
        <w:tc>
          <w:tcPr>
            <w:tcW w:w="5058" w:type="dxa"/>
            <w:vAlign w:val="center"/>
          </w:tcPr>
          <w:p w14:paraId="6C989C99">
            <w:pPr>
              <w:spacing w:line="0" w:lineRule="atLeast"/>
              <w:jc w:val="center"/>
              <w:rPr>
                <w:rFonts w:ascii="Arial" w:hAnsi="Arial" w:eastAsia="宋体" w:cs="Arial"/>
                <w:sz w:val="21"/>
                <w:szCs w:val="21"/>
              </w:rPr>
            </w:pPr>
            <w:r>
              <w:rPr>
                <w:rFonts w:ascii="Arial" w:hAnsi="Arial" w:eastAsia="宋体" w:cs="Arial"/>
                <w:sz w:val="21"/>
                <w:szCs w:val="21"/>
              </w:rPr>
              <w:t>P</w:t>
            </w:r>
            <w:r>
              <w:rPr>
                <w:rFonts w:ascii="Arial" w:hAnsi="Arial" w:eastAsia="宋体" w:cs="Arial"/>
                <w:sz w:val="21"/>
                <w:szCs w:val="21"/>
                <w:vertAlign w:val="subscript"/>
              </w:rPr>
              <w:t>max</w:t>
            </w:r>
            <w:r>
              <w:rPr>
                <w:rFonts w:ascii="Arial" w:hAnsi="Arial" w:eastAsia="宋体" w:cs="Arial"/>
                <w:sz w:val="21"/>
                <w:szCs w:val="21"/>
              </w:rPr>
              <w:t>≥10%</w:t>
            </w:r>
          </w:p>
        </w:tc>
      </w:tr>
      <w:tr w14:paraId="1A950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35" w:type="dxa"/>
            <w:vAlign w:val="center"/>
          </w:tcPr>
          <w:p w14:paraId="1F30C819">
            <w:pPr>
              <w:spacing w:line="0" w:lineRule="atLeast"/>
              <w:jc w:val="center"/>
              <w:rPr>
                <w:rFonts w:ascii="Arial" w:hAnsi="Arial" w:eastAsia="宋体" w:cs="Arial"/>
                <w:sz w:val="21"/>
                <w:szCs w:val="21"/>
              </w:rPr>
            </w:pPr>
            <w:r>
              <w:rPr>
                <w:rFonts w:ascii="Arial" w:hAnsi="Arial" w:eastAsia="宋体" w:cs="Arial"/>
                <w:sz w:val="21"/>
                <w:szCs w:val="21"/>
              </w:rPr>
              <w:t>二级</w:t>
            </w:r>
          </w:p>
        </w:tc>
        <w:tc>
          <w:tcPr>
            <w:tcW w:w="5058" w:type="dxa"/>
            <w:vAlign w:val="center"/>
          </w:tcPr>
          <w:p w14:paraId="2D791E88">
            <w:pPr>
              <w:spacing w:line="0" w:lineRule="atLeast"/>
              <w:jc w:val="center"/>
              <w:rPr>
                <w:rFonts w:ascii="Arial" w:hAnsi="Arial" w:eastAsia="宋体" w:cs="Arial"/>
                <w:sz w:val="21"/>
                <w:szCs w:val="21"/>
              </w:rPr>
            </w:pPr>
            <w:r>
              <w:rPr>
                <w:rFonts w:ascii="Arial" w:hAnsi="Arial" w:eastAsia="宋体" w:cs="Arial"/>
                <w:sz w:val="21"/>
                <w:szCs w:val="21"/>
              </w:rPr>
              <w:t>1%≤P</w:t>
            </w:r>
            <w:r>
              <w:rPr>
                <w:rFonts w:ascii="Arial" w:hAnsi="Arial" w:eastAsia="宋体" w:cs="Arial"/>
                <w:sz w:val="21"/>
                <w:szCs w:val="21"/>
                <w:vertAlign w:val="subscript"/>
              </w:rPr>
              <w:t>max</w:t>
            </w:r>
            <w:r>
              <w:rPr>
                <w:rFonts w:ascii="Arial" w:hAnsi="Arial" w:eastAsia="宋体" w:cs="Arial"/>
                <w:sz w:val="21"/>
                <w:szCs w:val="21"/>
              </w:rPr>
              <w:t>＜10%</w:t>
            </w:r>
          </w:p>
        </w:tc>
      </w:tr>
      <w:tr w14:paraId="5A8F1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35" w:type="dxa"/>
            <w:vAlign w:val="center"/>
          </w:tcPr>
          <w:p w14:paraId="62CAE65B">
            <w:pPr>
              <w:spacing w:line="0" w:lineRule="atLeast"/>
              <w:jc w:val="center"/>
              <w:rPr>
                <w:rFonts w:ascii="Arial" w:hAnsi="Arial" w:eastAsia="宋体" w:cs="Arial"/>
                <w:sz w:val="21"/>
                <w:szCs w:val="21"/>
              </w:rPr>
            </w:pPr>
            <w:r>
              <w:rPr>
                <w:rFonts w:ascii="Arial" w:hAnsi="Arial" w:eastAsia="宋体" w:cs="Arial"/>
                <w:sz w:val="21"/>
                <w:szCs w:val="21"/>
              </w:rPr>
              <w:t>三级</w:t>
            </w:r>
          </w:p>
        </w:tc>
        <w:tc>
          <w:tcPr>
            <w:tcW w:w="5058" w:type="dxa"/>
            <w:vAlign w:val="center"/>
          </w:tcPr>
          <w:p w14:paraId="1CF41324">
            <w:pPr>
              <w:spacing w:line="0" w:lineRule="atLeast"/>
              <w:jc w:val="center"/>
              <w:rPr>
                <w:rFonts w:ascii="Arial" w:hAnsi="Arial" w:eastAsia="宋体" w:cs="Arial"/>
                <w:sz w:val="21"/>
                <w:szCs w:val="21"/>
              </w:rPr>
            </w:pPr>
            <w:r>
              <w:rPr>
                <w:rFonts w:ascii="Arial" w:hAnsi="Arial" w:eastAsia="宋体" w:cs="Arial"/>
                <w:sz w:val="21"/>
                <w:szCs w:val="21"/>
              </w:rPr>
              <w:t>P</w:t>
            </w:r>
            <w:r>
              <w:rPr>
                <w:rFonts w:ascii="Arial" w:hAnsi="Arial" w:eastAsia="宋体" w:cs="Arial"/>
                <w:sz w:val="21"/>
                <w:szCs w:val="21"/>
                <w:vertAlign w:val="subscript"/>
              </w:rPr>
              <w:t>max</w:t>
            </w:r>
            <w:r>
              <w:rPr>
                <w:rFonts w:ascii="Arial" w:hAnsi="Arial" w:eastAsia="宋体" w:cs="Arial"/>
                <w:sz w:val="21"/>
                <w:szCs w:val="21"/>
              </w:rPr>
              <w:t>＜1%</w:t>
            </w:r>
          </w:p>
        </w:tc>
      </w:tr>
    </w:tbl>
    <w:p w14:paraId="3F58696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根据《环境影响评价技术导则大气环境》（HJ2.2-2018），利用大气环评专业辅助系统（EIAProA2018）大气预测软件，采用AERSCREEN模型筛选计算，具体估算模型参数见表1-2</w:t>
      </w:r>
      <w:r>
        <w:rPr>
          <w:rFonts w:hint="eastAsia" w:ascii="Arial" w:hAnsi="Arial" w:eastAsia="宋体" w:cs="Arial"/>
          <w:spacing w:val="10"/>
          <w:sz w:val="24"/>
          <w:szCs w:val="24"/>
        </w:rPr>
        <w:t>0</w:t>
      </w:r>
      <w:r>
        <w:rPr>
          <w:rFonts w:ascii="Arial" w:hAnsi="Arial" w:eastAsia="宋体" w:cs="Arial"/>
          <w:spacing w:val="10"/>
          <w:sz w:val="24"/>
          <w:szCs w:val="24"/>
        </w:rPr>
        <w:t>，估算结果见表1-2</w:t>
      </w:r>
      <w:r>
        <w:rPr>
          <w:rFonts w:hint="eastAsia" w:ascii="Arial" w:hAnsi="Arial" w:eastAsia="宋体" w:cs="Arial"/>
          <w:spacing w:val="10"/>
          <w:sz w:val="24"/>
          <w:szCs w:val="24"/>
        </w:rPr>
        <w:t>1</w:t>
      </w:r>
      <w:r>
        <w:rPr>
          <w:rFonts w:ascii="Arial" w:hAnsi="Arial" w:eastAsia="宋体" w:cs="Arial"/>
          <w:spacing w:val="10"/>
          <w:sz w:val="24"/>
          <w:szCs w:val="24"/>
        </w:rPr>
        <w:t>。</w:t>
      </w:r>
    </w:p>
    <w:p w14:paraId="3DD19866">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估算模型参数表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96"/>
        <w:gridCol w:w="2998"/>
        <w:gridCol w:w="2999"/>
      </w:tblGrid>
      <w:tr w14:paraId="1CEB8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333" w:type="pct"/>
            <w:gridSpan w:val="2"/>
            <w:vAlign w:val="center"/>
          </w:tcPr>
          <w:p w14:paraId="2CD04910">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参数</w:t>
            </w:r>
          </w:p>
        </w:tc>
        <w:tc>
          <w:tcPr>
            <w:tcW w:w="1667" w:type="pct"/>
            <w:vAlign w:val="center"/>
          </w:tcPr>
          <w:p w14:paraId="4D8FB3A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取值</w:t>
            </w:r>
          </w:p>
        </w:tc>
      </w:tr>
      <w:tr w14:paraId="1DB45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restart"/>
            <w:vAlign w:val="center"/>
          </w:tcPr>
          <w:p w14:paraId="130E59D1">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城市农村选项</w:t>
            </w:r>
          </w:p>
        </w:tc>
        <w:tc>
          <w:tcPr>
            <w:tcW w:w="1667" w:type="pct"/>
            <w:vAlign w:val="center"/>
          </w:tcPr>
          <w:p w14:paraId="28986CD6">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城市/农村</w:t>
            </w:r>
          </w:p>
        </w:tc>
        <w:tc>
          <w:tcPr>
            <w:tcW w:w="1667" w:type="pct"/>
            <w:vAlign w:val="center"/>
          </w:tcPr>
          <w:p w14:paraId="7A941346">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w:t>
            </w:r>
          </w:p>
        </w:tc>
      </w:tr>
      <w:tr w14:paraId="40E78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continue"/>
            <w:vAlign w:val="center"/>
          </w:tcPr>
          <w:p w14:paraId="2A018992">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1667" w:type="pct"/>
            <w:vAlign w:val="center"/>
          </w:tcPr>
          <w:p w14:paraId="1807626F">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人口数（城市选项时）</w:t>
            </w:r>
          </w:p>
        </w:tc>
        <w:tc>
          <w:tcPr>
            <w:tcW w:w="1667" w:type="pct"/>
            <w:vAlign w:val="center"/>
          </w:tcPr>
          <w:p w14:paraId="6E57FF3C">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5.0万</w:t>
            </w:r>
          </w:p>
        </w:tc>
      </w:tr>
      <w:tr w14:paraId="0527D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3" w:type="pct"/>
            <w:gridSpan w:val="2"/>
            <w:vAlign w:val="center"/>
          </w:tcPr>
          <w:p w14:paraId="0C866350">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最高环境温度/</w:t>
            </w:r>
            <w:r>
              <w:rPr>
                <w:rFonts w:hint="eastAsia" w:cs="宋体"/>
                <w:kern w:val="2"/>
              </w:rPr>
              <w:t>℃</w:t>
            </w:r>
          </w:p>
        </w:tc>
        <w:tc>
          <w:tcPr>
            <w:tcW w:w="1667" w:type="pct"/>
            <w:vAlign w:val="center"/>
          </w:tcPr>
          <w:p w14:paraId="1A9C9C60">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37.9</w:t>
            </w:r>
          </w:p>
        </w:tc>
      </w:tr>
      <w:tr w14:paraId="2C444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3" w:type="pct"/>
            <w:gridSpan w:val="2"/>
            <w:vAlign w:val="center"/>
          </w:tcPr>
          <w:p w14:paraId="657F588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最低环境温度/</w:t>
            </w:r>
            <w:r>
              <w:rPr>
                <w:rFonts w:hint="eastAsia" w:cs="宋体"/>
                <w:kern w:val="2"/>
              </w:rPr>
              <w:t>℃</w:t>
            </w:r>
          </w:p>
        </w:tc>
        <w:tc>
          <w:tcPr>
            <w:tcW w:w="1667" w:type="pct"/>
            <w:vAlign w:val="center"/>
          </w:tcPr>
          <w:p w14:paraId="6173A315">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1.6</w:t>
            </w:r>
          </w:p>
        </w:tc>
      </w:tr>
      <w:tr w14:paraId="0F5DD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3" w:type="pct"/>
            <w:gridSpan w:val="2"/>
            <w:vAlign w:val="center"/>
          </w:tcPr>
          <w:p w14:paraId="51B376B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土地利用类型</w:t>
            </w:r>
          </w:p>
        </w:tc>
        <w:tc>
          <w:tcPr>
            <w:tcW w:w="1667" w:type="pct"/>
            <w:vAlign w:val="center"/>
          </w:tcPr>
          <w:p w14:paraId="6CDDADB5">
            <w:pPr>
              <w:pStyle w:val="714"/>
              <w:widowControl w:val="0"/>
              <w:pBdr>
                <w:left w:val="none" w:color="auto" w:sz="0" w:space="0"/>
                <w:bottom w:val="none" w:color="auto" w:sz="0" w:space="0"/>
                <w:right w:val="none" w:color="auto" w:sz="0" w:space="0"/>
              </w:pBdr>
              <w:spacing w:before="0" w:beforeAutospacing="0" w:after="0" w:afterAutospacing="0" w:line="0" w:lineRule="atLeast"/>
              <w:rPr>
                <w:rFonts w:ascii="Arial" w:hAnsi="Arial" w:cs="Arial"/>
                <w:kern w:val="2"/>
              </w:rPr>
            </w:pPr>
            <w:r>
              <w:rPr>
                <w:rFonts w:ascii="Arial" w:hAnsi="Arial" w:cs="Arial"/>
                <w:kern w:val="2"/>
              </w:rPr>
              <w:t>城市</w:t>
            </w:r>
          </w:p>
        </w:tc>
      </w:tr>
      <w:tr w14:paraId="373F9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3" w:type="pct"/>
            <w:gridSpan w:val="2"/>
            <w:vAlign w:val="center"/>
          </w:tcPr>
          <w:p w14:paraId="1ED4D26A">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区域湿度条件</w:t>
            </w:r>
          </w:p>
        </w:tc>
        <w:tc>
          <w:tcPr>
            <w:tcW w:w="1667" w:type="pct"/>
            <w:vAlign w:val="center"/>
          </w:tcPr>
          <w:p w14:paraId="6598F017">
            <w:pPr>
              <w:pStyle w:val="714"/>
              <w:widowControl w:val="0"/>
              <w:pBdr>
                <w:left w:val="none" w:color="auto" w:sz="0" w:space="0"/>
                <w:bottom w:val="none" w:color="auto" w:sz="0" w:space="0"/>
                <w:right w:val="none" w:color="auto" w:sz="0" w:space="0"/>
              </w:pBdr>
              <w:spacing w:before="0" w:beforeAutospacing="0" w:after="0" w:afterAutospacing="0" w:line="0" w:lineRule="atLeast"/>
              <w:rPr>
                <w:rFonts w:ascii="Arial" w:hAnsi="Arial" w:cs="Arial"/>
                <w:kern w:val="2"/>
              </w:rPr>
            </w:pPr>
            <w:r>
              <w:rPr>
                <w:rFonts w:ascii="Arial" w:hAnsi="Arial" w:cs="Arial"/>
                <w:kern w:val="2"/>
              </w:rPr>
              <w:t>潮湿</w:t>
            </w:r>
          </w:p>
        </w:tc>
      </w:tr>
      <w:tr w14:paraId="378A9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restart"/>
            <w:vAlign w:val="center"/>
          </w:tcPr>
          <w:p w14:paraId="1E60643A">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是否考虑地形</w:t>
            </w:r>
          </w:p>
        </w:tc>
        <w:tc>
          <w:tcPr>
            <w:tcW w:w="1667" w:type="pct"/>
            <w:vAlign w:val="center"/>
          </w:tcPr>
          <w:p w14:paraId="72F1D71D">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考虑地形</w:t>
            </w:r>
          </w:p>
        </w:tc>
        <w:tc>
          <w:tcPr>
            <w:tcW w:w="1667" w:type="pct"/>
            <w:vAlign w:val="center"/>
          </w:tcPr>
          <w:p w14:paraId="42D66FC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bdr w:val="single" w:color="auto" w:sz="4" w:space="0"/>
              </w:rPr>
              <w:t>√</w:t>
            </w:r>
            <w:r>
              <w:rPr>
                <w:rFonts w:ascii="Arial" w:hAnsi="Arial" w:cs="Arial"/>
                <w:kern w:val="2"/>
              </w:rPr>
              <w:t>是    □否</w:t>
            </w:r>
          </w:p>
        </w:tc>
      </w:tr>
      <w:tr w14:paraId="726FB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continue"/>
            <w:vAlign w:val="center"/>
          </w:tcPr>
          <w:p w14:paraId="5A1CC8CE">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1667" w:type="pct"/>
            <w:vAlign w:val="center"/>
          </w:tcPr>
          <w:p w14:paraId="1D505F5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地形数据分辨率/m</w:t>
            </w:r>
          </w:p>
        </w:tc>
        <w:tc>
          <w:tcPr>
            <w:tcW w:w="1667" w:type="pct"/>
            <w:vAlign w:val="center"/>
          </w:tcPr>
          <w:p w14:paraId="2F65E0D9">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90</w:t>
            </w:r>
          </w:p>
        </w:tc>
      </w:tr>
      <w:tr w14:paraId="22315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restart"/>
            <w:vAlign w:val="center"/>
          </w:tcPr>
          <w:p w14:paraId="437FA35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是否考虑岸线熏烟</w:t>
            </w:r>
          </w:p>
        </w:tc>
        <w:tc>
          <w:tcPr>
            <w:tcW w:w="1667" w:type="pct"/>
            <w:vAlign w:val="center"/>
          </w:tcPr>
          <w:p w14:paraId="12A9B272">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考虑岸线熏烟</w:t>
            </w:r>
          </w:p>
        </w:tc>
        <w:tc>
          <w:tcPr>
            <w:tcW w:w="1667" w:type="pct"/>
            <w:vAlign w:val="center"/>
          </w:tcPr>
          <w:p w14:paraId="132F8C98">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bdr w:val="single" w:color="auto" w:sz="4" w:space="0"/>
              </w:rPr>
              <w:t>√</w:t>
            </w:r>
            <w:r>
              <w:rPr>
                <w:rFonts w:ascii="Arial" w:hAnsi="Arial" w:cs="Arial"/>
                <w:kern w:val="2"/>
              </w:rPr>
              <w:t>是    □否</w:t>
            </w:r>
          </w:p>
        </w:tc>
      </w:tr>
      <w:tr w14:paraId="74A46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continue"/>
            <w:vAlign w:val="center"/>
          </w:tcPr>
          <w:p w14:paraId="5A5BF663">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1667" w:type="pct"/>
            <w:vAlign w:val="center"/>
          </w:tcPr>
          <w:p w14:paraId="15080F9B">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岸线距离/km</w:t>
            </w:r>
          </w:p>
        </w:tc>
        <w:tc>
          <w:tcPr>
            <w:tcW w:w="1667" w:type="pct"/>
            <w:vAlign w:val="center"/>
          </w:tcPr>
          <w:p w14:paraId="714B6667">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0.5</w:t>
            </w:r>
          </w:p>
        </w:tc>
      </w:tr>
      <w:tr w14:paraId="145E7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continue"/>
            <w:vAlign w:val="center"/>
          </w:tcPr>
          <w:p w14:paraId="620FF590">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1667" w:type="pct"/>
            <w:vAlign w:val="center"/>
          </w:tcPr>
          <w:p w14:paraId="194C86AF">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岸线方向/</w:t>
            </w:r>
            <w:r>
              <w:rPr>
                <w:rFonts w:ascii="Arial" w:hAnsi="Arial" w:cs="Arial"/>
                <w:kern w:val="2"/>
                <w:vertAlign w:val="superscript"/>
              </w:rPr>
              <w:t>o</w:t>
            </w:r>
          </w:p>
        </w:tc>
        <w:tc>
          <w:tcPr>
            <w:tcW w:w="1667" w:type="pct"/>
            <w:vAlign w:val="center"/>
          </w:tcPr>
          <w:p w14:paraId="27D7943C">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180°</w:t>
            </w:r>
          </w:p>
        </w:tc>
      </w:tr>
    </w:tbl>
    <w:p w14:paraId="08413F09">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根据估算结果，各污染源主要污染物最大占标率为</w:t>
      </w:r>
      <w:r>
        <w:rPr>
          <w:rFonts w:hint="eastAsia" w:ascii="Arial" w:hAnsi="Arial" w:eastAsia="宋体" w:cs="Arial"/>
          <w:spacing w:val="10"/>
          <w:sz w:val="24"/>
          <w:szCs w:val="24"/>
        </w:rPr>
        <w:t>60.85</w:t>
      </w:r>
      <w:r>
        <w:rPr>
          <w:rFonts w:ascii="Arial" w:hAnsi="Arial" w:eastAsia="宋体" w:cs="Arial"/>
          <w:spacing w:val="10"/>
          <w:sz w:val="24"/>
          <w:szCs w:val="24"/>
        </w:rPr>
        <w:t>%，D</w:t>
      </w:r>
      <w:r>
        <w:rPr>
          <w:rFonts w:ascii="Arial" w:hAnsi="Arial" w:eastAsia="宋体" w:cs="Arial"/>
          <w:spacing w:val="10"/>
          <w:sz w:val="24"/>
          <w:szCs w:val="24"/>
          <w:vertAlign w:val="subscript"/>
        </w:rPr>
        <w:t>10%</w:t>
      </w:r>
      <w:r>
        <w:rPr>
          <w:rFonts w:ascii="Arial" w:hAnsi="Arial" w:eastAsia="宋体" w:cs="Arial"/>
          <w:spacing w:val="10"/>
          <w:sz w:val="24"/>
          <w:szCs w:val="24"/>
        </w:rPr>
        <w:t>最大为</w:t>
      </w:r>
      <w:r>
        <w:rPr>
          <w:rFonts w:hint="eastAsia" w:ascii="Arial" w:hAnsi="Arial" w:eastAsia="宋体" w:cs="Arial"/>
          <w:spacing w:val="10"/>
          <w:sz w:val="24"/>
          <w:szCs w:val="24"/>
        </w:rPr>
        <w:t>727</w:t>
      </w:r>
      <w:r>
        <w:rPr>
          <w:rFonts w:ascii="Arial" w:hAnsi="Arial" w:eastAsia="宋体" w:cs="Arial"/>
          <w:spacing w:val="10"/>
          <w:sz w:val="24"/>
          <w:szCs w:val="24"/>
        </w:rPr>
        <w:t>m。P</w:t>
      </w:r>
      <w:r>
        <w:rPr>
          <w:rFonts w:ascii="Arial" w:hAnsi="Arial" w:eastAsia="宋体" w:cs="Arial"/>
          <w:spacing w:val="10"/>
          <w:sz w:val="24"/>
          <w:szCs w:val="24"/>
          <w:vertAlign w:val="subscript"/>
        </w:rPr>
        <w:t>max</w:t>
      </w:r>
      <w:r>
        <w:rPr>
          <w:rFonts w:ascii="Arial" w:hAnsi="Arial" w:eastAsia="宋体" w:cs="Arial"/>
          <w:spacing w:val="10"/>
          <w:sz w:val="24"/>
          <w:szCs w:val="24"/>
        </w:rPr>
        <w:t>＞10%，根据HJ2.2-2018大气评价等级为一级。因此，</w:t>
      </w:r>
      <w:r>
        <w:rPr>
          <w:rFonts w:ascii="Arial" w:hAnsi="Arial" w:eastAsia="宋体" w:cs="Arial"/>
          <w:spacing w:val="10"/>
          <w:sz w:val="24"/>
          <w:szCs w:val="24"/>
          <w:u w:val="single"/>
        </w:rPr>
        <w:t>项目</w:t>
      </w:r>
      <w:r>
        <w:rPr>
          <w:rFonts w:hint="eastAsia" w:ascii="Arial" w:hAnsi="Arial" w:eastAsia="宋体" w:cs="Arial"/>
          <w:spacing w:val="10"/>
          <w:sz w:val="24"/>
          <w:szCs w:val="24"/>
          <w:u w:val="single"/>
        </w:rPr>
        <w:t>大气</w:t>
      </w:r>
      <w:r>
        <w:rPr>
          <w:rFonts w:ascii="Arial" w:hAnsi="Arial" w:eastAsia="宋体" w:cs="Arial"/>
          <w:spacing w:val="10"/>
          <w:sz w:val="24"/>
          <w:szCs w:val="24"/>
          <w:u w:val="single"/>
        </w:rPr>
        <w:t>评价范围为以</w:t>
      </w:r>
      <w:r>
        <w:rPr>
          <w:rFonts w:hint="eastAsia" w:ascii="Arial" w:hAnsi="Arial" w:eastAsia="宋体" w:cs="Arial"/>
          <w:spacing w:val="10"/>
          <w:sz w:val="24"/>
          <w:szCs w:val="24"/>
          <w:u w:val="single"/>
        </w:rPr>
        <w:t>厂址中心</w:t>
      </w:r>
      <w:r>
        <w:rPr>
          <w:rFonts w:ascii="Arial" w:hAnsi="Arial" w:eastAsia="宋体" w:cs="Arial"/>
          <w:spacing w:val="10"/>
          <w:sz w:val="24"/>
          <w:szCs w:val="24"/>
          <w:u w:val="single"/>
        </w:rPr>
        <w:t>外延2.5km的矩形区域</w:t>
      </w:r>
      <w:r>
        <w:rPr>
          <w:rFonts w:ascii="Arial" w:hAnsi="Arial" w:eastAsia="宋体" w:cs="Arial"/>
          <w:spacing w:val="10"/>
          <w:sz w:val="24"/>
          <w:szCs w:val="24"/>
        </w:rPr>
        <w:t>。</w:t>
      </w:r>
    </w:p>
    <w:p w14:paraId="4A1BE867">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主要污染物估算模式计算结果</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2358"/>
        <w:gridCol w:w="2845"/>
        <w:gridCol w:w="2589"/>
      </w:tblGrid>
      <w:tr w14:paraId="38F59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8" w:type="pct"/>
            <w:shd w:val="clear" w:color="auto" w:fill="auto"/>
            <w:vAlign w:val="center"/>
          </w:tcPr>
          <w:p w14:paraId="2BAF90BC">
            <w:pPr>
              <w:adjustRightInd w:val="0"/>
              <w:snapToGrid w:val="0"/>
              <w:jc w:val="center"/>
              <w:rPr>
                <w:rFonts w:ascii="Arial" w:hAnsi="Arial" w:eastAsia="宋体" w:cs="Arial"/>
                <w:sz w:val="21"/>
                <w:szCs w:val="21"/>
              </w:rPr>
            </w:pPr>
            <w:r>
              <w:rPr>
                <w:rFonts w:hint="eastAsia" w:ascii="Arial" w:hAnsi="Arial" w:eastAsia="宋体" w:cs="Arial"/>
                <w:sz w:val="21"/>
                <w:szCs w:val="21"/>
              </w:rPr>
              <w:t>序号</w:t>
            </w:r>
          </w:p>
        </w:tc>
        <w:tc>
          <w:tcPr>
            <w:tcW w:w="1311" w:type="pct"/>
            <w:shd w:val="clear" w:color="auto" w:fill="auto"/>
            <w:vAlign w:val="center"/>
          </w:tcPr>
          <w:p w14:paraId="0950438F">
            <w:pPr>
              <w:adjustRightInd w:val="0"/>
              <w:snapToGrid w:val="0"/>
              <w:jc w:val="center"/>
              <w:rPr>
                <w:rFonts w:ascii="Arial" w:hAnsi="Arial" w:eastAsia="宋体" w:cs="Arial"/>
                <w:sz w:val="21"/>
                <w:szCs w:val="21"/>
              </w:rPr>
            </w:pPr>
            <w:r>
              <w:rPr>
                <w:rFonts w:hint="eastAsia" w:ascii="Arial" w:hAnsi="Arial" w:eastAsia="宋体" w:cs="Arial"/>
                <w:sz w:val="21"/>
                <w:szCs w:val="21"/>
              </w:rPr>
              <w:t>污染源名称</w:t>
            </w:r>
          </w:p>
        </w:tc>
        <w:tc>
          <w:tcPr>
            <w:tcW w:w="1582" w:type="pct"/>
            <w:shd w:val="clear" w:color="auto" w:fill="auto"/>
            <w:vAlign w:val="center"/>
          </w:tcPr>
          <w:p w14:paraId="673C6E75">
            <w:pPr>
              <w:adjustRightInd w:val="0"/>
              <w:snapToGrid w:val="0"/>
              <w:jc w:val="center"/>
              <w:rPr>
                <w:rFonts w:ascii="Arial" w:hAnsi="Arial" w:eastAsia="宋体" w:cs="Arial"/>
                <w:sz w:val="21"/>
                <w:szCs w:val="21"/>
              </w:rPr>
            </w:pPr>
            <w:r>
              <w:rPr>
                <w:rFonts w:hint="eastAsia" w:ascii="Arial" w:hAnsi="Arial" w:eastAsia="宋体" w:cs="Arial"/>
                <w:sz w:val="21"/>
                <w:szCs w:val="21"/>
              </w:rPr>
              <w:t>PM</w:t>
            </w:r>
            <w:r>
              <w:rPr>
                <w:rFonts w:hint="eastAsia" w:ascii="Arial" w:hAnsi="Arial" w:eastAsia="宋体" w:cs="Arial"/>
                <w:sz w:val="21"/>
                <w:szCs w:val="21"/>
                <w:vertAlign w:val="subscript"/>
              </w:rPr>
              <w:t>10</w:t>
            </w:r>
            <w:r>
              <w:rPr>
                <w:rFonts w:hint="eastAsia" w:ascii="Arial" w:hAnsi="Arial" w:eastAsia="宋体" w:cs="Arial"/>
                <w:sz w:val="21"/>
                <w:szCs w:val="21"/>
              </w:rPr>
              <w:t>|D10(m)</w:t>
            </w:r>
          </w:p>
        </w:tc>
        <w:tc>
          <w:tcPr>
            <w:tcW w:w="1439" w:type="pct"/>
            <w:shd w:val="clear" w:color="auto" w:fill="auto"/>
            <w:vAlign w:val="center"/>
          </w:tcPr>
          <w:p w14:paraId="14667079">
            <w:pPr>
              <w:adjustRightInd w:val="0"/>
              <w:snapToGrid w:val="0"/>
              <w:jc w:val="center"/>
              <w:rPr>
                <w:rFonts w:ascii="Arial" w:hAnsi="Arial" w:eastAsia="宋体" w:cs="Arial"/>
                <w:sz w:val="21"/>
                <w:szCs w:val="21"/>
              </w:rPr>
            </w:pPr>
            <w:r>
              <w:rPr>
                <w:rFonts w:hint="eastAsia" w:ascii="Arial" w:hAnsi="Arial" w:eastAsia="宋体" w:cs="Arial"/>
                <w:sz w:val="21"/>
                <w:szCs w:val="21"/>
              </w:rPr>
              <w:t>氨气|D10(m)</w:t>
            </w:r>
          </w:p>
        </w:tc>
      </w:tr>
      <w:tr w14:paraId="276AD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8" w:type="pct"/>
            <w:shd w:val="clear" w:color="auto" w:fill="auto"/>
            <w:vAlign w:val="center"/>
          </w:tcPr>
          <w:p w14:paraId="3FA212C3">
            <w:pPr>
              <w:adjustRightInd w:val="0"/>
              <w:snapToGrid w:val="0"/>
              <w:jc w:val="center"/>
              <w:rPr>
                <w:rFonts w:ascii="Arial" w:hAnsi="Arial" w:eastAsia="宋体" w:cs="Arial"/>
                <w:sz w:val="21"/>
                <w:szCs w:val="21"/>
              </w:rPr>
            </w:pPr>
            <w:r>
              <w:rPr>
                <w:rFonts w:hint="eastAsia" w:ascii="Arial" w:hAnsi="Arial" w:eastAsia="宋体" w:cs="Arial"/>
                <w:sz w:val="21"/>
                <w:szCs w:val="21"/>
              </w:rPr>
              <w:t>1</w:t>
            </w:r>
          </w:p>
        </w:tc>
        <w:tc>
          <w:tcPr>
            <w:tcW w:w="1311" w:type="pct"/>
            <w:shd w:val="clear" w:color="auto" w:fill="auto"/>
            <w:vAlign w:val="center"/>
          </w:tcPr>
          <w:p w14:paraId="47B6969C">
            <w:pPr>
              <w:adjustRightInd w:val="0"/>
              <w:snapToGrid w:val="0"/>
              <w:jc w:val="center"/>
              <w:rPr>
                <w:rFonts w:ascii="Arial" w:hAnsi="Arial" w:eastAsia="宋体" w:cs="Arial"/>
                <w:sz w:val="21"/>
                <w:szCs w:val="21"/>
              </w:rPr>
            </w:pPr>
            <w:r>
              <w:rPr>
                <w:rFonts w:hint="eastAsia" w:ascii="Arial" w:hAnsi="Arial" w:eastAsia="宋体" w:cs="Arial"/>
                <w:sz w:val="21"/>
                <w:szCs w:val="21"/>
              </w:rPr>
              <w:t>DA145</w:t>
            </w:r>
          </w:p>
        </w:tc>
        <w:tc>
          <w:tcPr>
            <w:tcW w:w="1582" w:type="pct"/>
            <w:shd w:val="clear" w:color="auto" w:fill="auto"/>
            <w:vAlign w:val="center"/>
          </w:tcPr>
          <w:p w14:paraId="42BCBB5C">
            <w:pPr>
              <w:adjustRightInd w:val="0"/>
              <w:snapToGrid w:val="0"/>
              <w:jc w:val="center"/>
              <w:rPr>
                <w:rFonts w:ascii="Arial" w:hAnsi="Arial" w:eastAsia="宋体" w:cs="Arial"/>
                <w:sz w:val="21"/>
                <w:szCs w:val="21"/>
              </w:rPr>
            </w:pPr>
            <w:r>
              <w:rPr>
                <w:rFonts w:hint="eastAsia" w:ascii="Arial" w:hAnsi="Arial" w:eastAsia="宋体" w:cs="Arial"/>
                <w:sz w:val="21"/>
                <w:szCs w:val="21"/>
              </w:rPr>
              <w:t>0.00|0</w:t>
            </w:r>
          </w:p>
        </w:tc>
        <w:tc>
          <w:tcPr>
            <w:tcW w:w="1439" w:type="pct"/>
            <w:shd w:val="clear" w:color="auto" w:fill="auto"/>
            <w:vAlign w:val="center"/>
          </w:tcPr>
          <w:p w14:paraId="5D6C8659">
            <w:pPr>
              <w:adjustRightInd w:val="0"/>
              <w:snapToGrid w:val="0"/>
              <w:jc w:val="center"/>
              <w:rPr>
                <w:rFonts w:ascii="Arial" w:hAnsi="Arial" w:eastAsia="宋体" w:cs="Arial"/>
                <w:sz w:val="21"/>
                <w:szCs w:val="21"/>
              </w:rPr>
            </w:pPr>
            <w:r>
              <w:rPr>
                <w:rFonts w:hint="eastAsia" w:ascii="Arial" w:hAnsi="Arial" w:eastAsia="宋体" w:cs="Arial"/>
                <w:sz w:val="21"/>
                <w:szCs w:val="21"/>
              </w:rPr>
              <w:t>16.86|475</w:t>
            </w:r>
          </w:p>
        </w:tc>
      </w:tr>
      <w:tr w14:paraId="712F6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8" w:type="pct"/>
            <w:shd w:val="clear" w:color="auto" w:fill="auto"/>
            <w:vAlign w:val="center"/>
          </w:tcPr>
          <w:p w14:paraId="495015DD">
            <w:pPr>
              <w:adjustRightInd w:val="0"/>
              <w:snapToGrid w:val="0"/>
              <w:jc w:val="center"/>
              <w:rPr>
                <w:rFonts w:ascii="Arial" w:hAnsi="Arial" w:eastAsia="宋体" w:cs="Arial"/>
                <w:sz w:val="21"/>
                <w:szCs w:val="21"/>
              </w:rPr>
            </w:pPr>
            <w:r>
              <w:rPr>
                <w:rFonts w:hint="eastAsia" w:ascii="Arial" w:hAnsi="Arial" w:eastAsia="宋体" w:cs="Arial"/>
                <w:sz w:val="21"/>
                <w:szCs w:val="21"/>
              </w:rPr>
              <w:t>2</w:t>
            </w:r>
          </w:p>
        </w:tc>
        <w:tc>
          <w:tcPr>
            <w:tcW w:w="1311" w:type="pct"/>
            <w:shd w:val="clear" w:color="auto" w:fill="auto"/>
            <w:vAlign w:val="center"/>
          </w:tcPr>
          <w:p w14:paraId="20639EAC">
            <w:pPr>
              <w:adjustRightInd w:val="0"/>
              <w:snapToGrid w:val="0"/>
              <w:jc w:val="center"/>
              <w:rPr>
                <w:rFonts w:ascii="Arial" w:hAnsi="Arial" w:eastAsia="宋体" w:cs="Arial"/>
                <w:sz w:val="21"/>
                <w:szCs w:val="21"/>
              </w:rPr>
            </w:pPr>
            <w:r>
              <w:rPr>
                <w:rFonts w:hint="eastAsia" w:ascii="Arial" w:hAnsi="Arial" w:eastAsia="宋体" w:cs="Arial"/>
                <w:sz w:val="21"/>
                <w:szCs w:val="21"/>
              </w:rPr>
              <w:t>DA146</w:t>
            </w:r>
          </w:p>
        </w:tc>
        <w:tc>
          <w:tcPr>
            <w:tcW w:w="1582" w:type="pct"/>
            <w:shd w:val="clear" w:color="auto" w:fill="auto"/>
            <w:vAlign w:val="center"/>
          </w:tcPr>
          <w:p w14:paraId="28CAE8BA">
            <w:pPr>
              <w:adjustRightInd w:val="0"/>
              <w:snapToGrid w:val="0"/>
              <w:jc w:val="center"/>
              <w:rPr>
                <w:rFonts w:ascii="Arial" w:hAnsi="Arial" w:eastAsia="宋体" w:cs="Arial"/>
                <w:sz w:val="21"/>
                <w:szCs w:val="21"/>
              </w:rPr>
            </w:pPr>
            <w:r>
              <w:rPr>
                <w:rFonts w:hint="eastAsia" w:ascii="Arial" w:hAnsi="Arial" w:eastAsia="宋体" w:cs="Arial"/>
                <w:sz w:val="21"/>
                <w:szCs w:val="21"/>
              </w:rPr>
              <w:t>0.02|0</w:t>
            </w:r>
          </w:p>
        </w:tc>
        <w:tc>
          <w:tcPr>
            <w:tcW w:w="1439" w:type="pct"/>
            <w:shd w:val="clear" w:color="auto" w:fill="auto"/>
            <w:vAlign w:val="center"/>
          </w:tcPr>
          <w:p w14:paraId="0B4F02E9">
            <w:pPr>
              <w:adjustRightInd w:val="0"/>
              <w:snapToGrid w:val="0"/>
              <w:jc w:val="center"/>
              <w:rPr>
                <w:rFonts w:ascii="Arial" w:hAnsi="Arial" w:eastAsia="宋体" w:cs="Arial"/>
                <w:sz w:val="21"/>
                <w:szCs w:val="21"/>
              </w:rPr>
            </w:pPr>
            <w:r>
              <w:rPr>
                <w:rFonts w:hint="eastAsia" w:ascii="Arial" w:hAnsi="Arial" w:eastAsia="宋体" w:cs="Arial"/>
                <w:sz w:val="21"/>
                <w:szCs w:val="21"/>
              </w:rPr>
              <w:t>0.00|0</w:t>
            </w:r>
          </w:p>
        </w:tc>
      </w:tr>
      <w:tr w14:paraId="0027C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8" w:type="pct"/>
            <w:shd w:val="clear" w:color="auto" w:fill="auto"/>
            <w:vAlign w:val="center"/>
          </w:tcPr>
          <w:p w14:paraId="42BE7321">
            <w:pPr>
              <w:adjustRightInd w:val="0"/>
              <w:snapToGrid w:val="0"/>
              <w:jc w:val="center"/>
              <w:rPr>
                <w:rFonts w:ascii="Arial" w:hAnsi="Arial" w:eastAsia="宋体" w:cs="Arial"/>
                <w:sz w:val="21"/>
                <w:szCs w:val="21"/>
              </w:rPr>
            </w:pPr>
            <w:r>
              <w:rPr>
                <w:rFonts w:hint="eastAsia" w:ascii="Arial" w:hAnsi="Arial" w:eastAsia="宋体" w:cs="Arial"/>
                <w:sz w:val="21"/>
                <w:szCs w:val="21"/>
              </w:rPr>
              <w:t>3</w:t>
            </w:r>
          </w:p>
        </w:tc>
        <w:tc>
          <w:tcPr>
            <w:tcW w:w="1311" w:type="pct"/>
            <w:shd w:val="clear" w:color="auto" w:fill="auto"/>
            <w:vAlign w:val="center"/>
          </w:tcPr>
          <w:p w14:paraId="1F538EC9">
            <w:pPr>
              <w:adjustRightInd w:val="0"/>
              <w:snapToGrid w:val="0"/>
              <w:jc w:val="center"/>
              <w:rPr>
                <w:rFonts w:ascii="Arial" w:hAnsi="Arial" w:eastAsia="宋体" w:cs="Arial"/>
                <w:sz w:val="21"/>
                <w:szCs w:val="21"/>
              </w:rPr>
            </w:pPr>
            <w:r>
              <w:rPr>
                <w:rFonts w:hint="eastAsia" w:ascii="Arial" w:hAnsi="Arial" w:eastAsia="宋体" w:cs="Arial"/>
                <w:sz w:val="21"/>
                <w:szCs w:val="21"/>
              </w:rPr>
              <w:t>DA067</w:t>
            </w:r>
          </w:p>
        </w:tc>
        <w:tc>
          <w:tcPr>
            <w:tcW w:w="1582" w:type="pct"/>
            <w:shd w:val="clear" w:color="auto" w:fill="auto"/>
            <w:vAlign w:val="center"/>
          </w:tcPr>
          <w:p w14:paraId="639967AB">
            <w:pPr>
              <w:adjustRightInd w:val="0"/>
              <w:snapToGrid w:val="0"/>
              <w:jc w:val="center"/>
              <w:rPr>
                <w:rFonts w:ascii="Arial" w:hAnsi="Arial" w:eastAsia="宋体" w:cs="Arial"/>
                <w:sz w:val="21"/>
                <w:szCs w:val="21"/>
              </w:rPr>
            </w:pPr>
            <w:r>
              <w:rPr>
                <w:rFonts w:hint="eastAsia" w:ascii="Arial" w:hAnsi="Arial" w:eastAsia="宋体" w:cs="Arial"/>
                <w:sz w:val="21"/>
                <w:szCs w:val="21"/>
              </w:rPr>
              <w:t>0.00|0</w:t>
            </w:r>
          </w:p>
        </w:tc>
        <w:tc>
          <w:tcPr>
            <w:tcW w:w="1439" w:type="pct"/>
            <w:shd w:val="clear" w:color="auto" w:fill="auto"/>
            <w:vAlign w:val="center"/>
          </w:tcPr>
          <w:p w14:paraId="0F2B033C">
            <w:pPr>
              <w:adjustRightInd w:val="0"/>
              <w:snapToGrid w:val="0"/>
              <w:jc w:val="center"/>
              <w:rPr>
                <w:rFonts w:ascii="Arial" w:hAnsi="Arial" w:eastAsia="宋体" w:cs="Arial"/>
                <w:sz w:val="21"/>
                <w:szCs w:val="21"/>
              </w:rPr>
            </w:pPr>
            <w:r>
              <w:rPr>
                <w:rFonts w:hint="eastAsia" w:ascii="Arial" w:hAnsi="Arial" w:eastAsia="宋体" w:cs="Arial"/>
                <w:sz w:val="21"/>
                <w:szCs w:val="21"/>
              </w:rPr>
              <w:t>12.54|325</w:t>
            </w:r>
          </w:p>
        </w:tc>
      </w:tr>
      <w:tr w14:paraId="52D65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8" w:type="pct"/>
            <w:shd w:val="clear" w:color="auto" w:fill="auto"/>
            <w:vAlign w:val="center"/>
          </w:tcPr>
          <w:p w14:paraId="12350BDA">
            <w:pPr>
              <w:adjustRightInd w:val="0"/>
              <w:snapToGrid w:val="0"/>
              <w:jc w:val="center"/>
              <w:rPr>
                <w:rFonts w:ascii="Arial" w:hAnsi="Arial" w:eastAsia="宋体" w:cs="Arial"/>
                <w:sz w:val="21"/>
                <w:szCs w:val="21"/>
              </w:rPr>
            </w:pPr>
            <w:r>
              <w:rPr>
                <w:rFonts w:hint="eastAsia" w:ascii="Arial" w:hAnsi="Arial" w:eastAsia="宋体" w:cs="Arial"/>
                <w:sz w:val="21"/>
                <w:szCs w:val="21"/>
              </w:rPr>
              <w:t>4</w:t>
            </w:r>
          </w:p>
        </w:tc>
        <w:tc>
          <w:tcPr>
            <w:tcW w:w="1311" w:type="pct"/>
            <w:shd w:val="clear" w:color="auto" w:fill="auto"/>
            <w:vAlign w:val="center"/>
          </w:tcPr>
          <w:p w14:paraId="18147654">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p>
        </w:tc>
        <w:tc>
          <w:tcPr>
            <w:tcW w:w="1582" w:type="pct"/>
            <w:shd w:val="clear" w:color="auto" w:fill="auto"/>
            <w:vAlign w:val="center"/>
          </w:tcPr>
          <w:p w14:paraId="640C24F9">
            <w:pPr>
              <w:adjustRightInd w:val="0"/>
              <w:snapToGrid w:val="0"/>
              <w:jc w:val="center"/>
              <w:rPr>
                <w:rFonts w:ascii="Arial" w:hAnsi="Arial" w:eastAsia="宋体" w:cs="Arial"/>
                <w:sz w:val="21"/>
                <w:szCs w:val="21"/>
              </w:rPr>
            </w:pPr>
            <w:r>
              <w:rPr>
                <w:rFonts w:hint="eastAsia" w:ascii="Arial" w:hAnsi="Arial" w:eastAsia="宋体" w:cs="Arial"/>
                <w:sz w:val="21"/>
                <w:szCs w:val="21"/>
              </w:rPr>
              <w:t>0.00|0</w:t>
            </w:r>
          </w:p>
        </w:tc>
        <w:tc>
          <w:tcPr>
            <w:tcW w:w="1439" w:type="pct"/>
            <w:shd w:val="clear" w:color="auto" w:fill="auto"/>
            <w:vAlign w:val="center"/>
          </w:tcPr>
          <w:p w14:paraId="40F35A27">
            <w:pPr>
              <w:adjustRightInd w:val="0"/>
              <w:snapToGrid w:val="0"/>
              <w:jc w:val="center"/>
              <w:rPr>
                <w:rFonts w:ascii="Arial" w:hAnsi="Arial" w:eastAsia="宋体" w:cs="Arial"/>
                <w:sz w:val="21"/>
                <w:szCs w:val="21"/>
              </w:rPr>
            </w:pPr>
            <w:r>
              <w:rPr>
                <w:rFonts w:hint="eastAsia" w:ascii="Arial" w:hAnsi="Arial" w:eastAsia="宋体" w:cs="Arial"/>
                <w:sz w:val="21"/>
                <w:szCs w:val="21"/>
              </w:rPr>
              <w:t>60.85|725</w:t>
            </w:r>
          </w:p>
        </w:tc>
      </w:tr>
      <w:tr w14:paraId="681C6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9" w:type="pct"/>
            <w:gridSpan w:val="2"/>
            <w:shd w:val="clear" w:color="auto" w:fill="auto"/>
            <w:vAlign w:val="center"/>
          </w:tcPr>
          <w:p w14:paraId="03438F5F">
            <w:pPr>
              <w:adjustRightInd w:val="0"/>
              <w:snapToGrid w:val="0"/>
              <w:jc w:val="center"/>
              <w:rPr>
                <w:rFonts w:ascii="Arial" w:hAnsi="Arial" w:eastAsia="宋体" w:cs="Arial"/>
                <w:sz w:val="21"/>
                <w:szCs w:val="21"/>
              </w:rPr>
            </w:pPr>
            <w:r>
              <w:rPr>
                <w:rFonts w:hint="eastAsia" w:ascii="Arial" w:hAnsi="Arial" w:eastAsia="宋体" w:cs="Arial"/>
                <w:sz w:val="21"/>
                <w:szCs w:val="21"/>
              </w:rPr>
              <w:t>各源最大值</w:t>
            </w:r>
          </w:p>
        </w:tc>
        <w:tc>
          <w:tcPr>
            <w:tcW w:w="1582" w:type="pct"/>
            <w:shd w:val="clear" w:color="auto" w:fill="auto"/>
            <w:vAlign w:val="center"/>
          </w:tcPr>
          <w:p w14:paraId="51DFE4EF">
            <w:pPr>
              <w:adjustRightInd w:val="0"/>
              <w:snapToGrid w:val="0"/>
              <w:jc w:val="center"/>
              <w:rPr>
                <w:rFonts w:ascii="Arial" w:hAnsi="Arial" w:eastAsia="宋体" w:cs="Arial"/>
                <w:sz w:val="21"/>
                <w:szCs w:val="21"/>
              </w:rPr>
            </w:pPr>
            <w:r>
              <w:rPr>
                <w:rFonts w:hint="eastAsia" w:ascii="Arial" w:hAnsi="Arial" w:eastAsia="宋体" w:cs="Arial"/>
                <w:sz w:val="21"/>
                <w:szCs w:val="21"/>
              </w:rPr>
              <w:t>0.02</w:t>
            </w:r>
          </w:p>
        </w:tc>
        <w:tc>
          <w:tcPr>
            <w:tcW w:w="1439" w:type="pct"/>
            <w:shd w:val="clear" w:color="auto" w:fill="auto"/>
            <w:vAlign w:val="center"/>
          </w:tcPr>
          <w:p w14:paraId="155E923A">
            <w:pPr>
              <w:adjustRightInd w:val="0"/>
              <w:snapToGrid w:val="0"/>
              <w:jc w:val="center"/>
              <w:rPr>
                <w:rFonts w:ascii="Arial" w:hAnsi="Arial" w:eastAsia="宋体" w:cs="Arial"/>
                <w:sz w:val="21"/>
                <w:szCs w:val="21"/>
              </w:rPr>
            </w:pPr>
            <w:r>
              <w:rPr>
                <w:rFonts w:hint="eastAsia" w:ascii="Arial" w:hAnsi="Arial" w:eastAsia="宋体" w:cs="Arial"/>
                <w:sz w:val="21"/>
                <w:szCs w:val="21"/>
              </w:rPr>
              <w:t>60.85</w:t>
            </w:r>
          </w:p>
        </w:tc>
      </w:tr>
    </w:tbl>
    <w:p w14:paraId="249BF01D">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地表水环境影响评价等级</w:t>
      </w:r>
    </w:p>
    <w:p w14:paraId="0D574648">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变更后项目属水污染影响型建设项目，地表水环境影响评价等级按《环境影响评价技术导则－地表水环境》（HJ2.3-2018）表1进行判定（见表1-2</w:t>
      </w:r>
      <w:r>
        <w:rPr>
          <w:rFonts w:hint="eastAsia" w:ascii="Arial" w:hAnsi="Arial" w:cs="Arial"/>
          <w:spacing w:val="10"/>
          <w:sz w:val="24"/>
        </w:rPr>
        <w:t>2</w:t>
      </w:r>
      <w:r>
        <w:rPr>
          <w:rFonts w:hint="eastAsia" w:ascii="Arial" w:hAnsi="Arial" w:eastAsia="宋体" w:cs="Arial"/>
          <w:spacing w:val="10"/>
          <w:sz w:val="24"/>
          <w:szCs w:val="24"/>
        </w:rPr>
        <w:t>）。</w:t>
      </w:r>
    </w:p>
    <w:p w14:paraId="682FDF0B">
      <w:pPr>
        <w:spacing w:line="500" w:lineRule="exact"/>
        <w:ind w:firstLine="490" w:firstLineChars="200"/>
        <w:rPr>
          <w:rFonts w:ascii="Arial" w:hAnsi="Arial" w:eastAsia="宋体" w:cs="Arial"/>
          <w:spacing w:val="10"/>
          <w:sz w:val="24"/>
          <w:szCs w:val="24"/>
        </w:rPr>
      </w:pPr>
    </w:p>
    <w:p w14:paraId="0F8C8D41">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hint="eastAsia" w:ascii="Arial" w:hAnsi="Arial" w:eastAsia="宋体" w:cs="Arial"/>
          <w:b/>
          <w:sz w:val="24"/>
        </w:rPr>
        <w:t>水污染影响型建设项目评价等级判定表</w:t>
      </w:r>
    </w:p>
    <w:tbl>
      <w:tblPr>
        <w:tblStyle w:val="88"/>
        <w:tblW w:w="863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614"/>
        <w:gridCol w:w="2614"/>
        <w:gridCol w:w="3405"/>
      </w:tblGrid>
      <w:tr w14:paraId="12F485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14" w:type="dxa"/>
            <w:vMerge w:val="restart"/>
            <w:tcBorders>
              <w:top w:val="single" w:color="auto" w:sz="6" w:space="0"/>
              <w:left w:val="single" w:color="auto" w:sz="6" w:space="0"/>
              <w:bottom w:val="single" w:color="auto" w:sz="6" w:space="0"/>
              <w:right w:val="single" w:color="auto" w:sz="6" w:space="0"/>
            </w:tcBorders>
            <w:vAlign w:val="center"/>
          </w:tcPr>
          <w:p w14:paraId="1E13AB71">
            <w:pPr>
              <w:pStyle w:val="5"/>
              <w:spacing w:line="240" w:lineRule="exact"/>
              <w:ind w:firstLine="0"/>
              <w:jc w:val="center"/>
              <w:rPr>
                <w:spacing w:val="0"/>
                <w:sz w:val="21"/>
              </w:rPr>
            </w:pPr>
            <w:r>
              <w:rPr>
                <w:rFonts w:hint="eastAsia"/>
                <w:spacing w:val="0"/>
                <w:sz w:val="21"/>
              </w:rPr>
              <w:t>评价等级</w:t>
            </w:r>
          </w:p>
        </w:tc>
        <w:tc>
          <w:tcPr>
            <w:tcW w:w="6019" w:type="dxa"/>
            <w:gridSpan w:val="2"/>
            <w:tcBorders>
              <w:top w:val="single" w:color="auto" w:sz="6" w:space="0"/>
              <w:left w:val="single" w:color="auto" w:sz="6" w:space="0"/>
              <w:bottom w:val="single" w:color="auto" w:sz="6" w:space="0"/>
              <w:right w:val="single" w:color="auto" w:sz="6" w:space="0"/>
            </w:tcBorders>
            <w:vAlign w:val="center"/>
          </w:tcPr>
          <w:p w14:paraId="73A4C3B2">
            <w:pPr>
              <w:pStyle w:val="5"/>
              <w:spacing w:line="240" w:lineRule="exact"/>
              <w:ind w:firstLine="0"/>
              <w:jc w:val="center"/>
              <w:rPr>
                <w:spacing w:val="0"/>
                <w:sz w:val="21"/>
              </w:rPr>
            </w:pPr>
            <w:r>
              <w:rPr>
                <w:rFonts w:hint="eastAsia"/>
                <w:spacing w:val="0"/>
                <w:sz w:val="21"/>
              </w:rPr>
              <w:t>判定依据</w:t>
            </w:r>
          </w:p>
        </w:tc>
      </w:tr>
      <w:tr w14:paraId="6B453A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14" w:type="dxa"/>
            <w:vMerge w:val="continue"/>
            <w:tcBorders>
              <w:top w:val="single" w:color="auto" w:sz="6" w:space="0"/>
              <w:left w:val="single" w:color="auto" w:sz="6" w:space="0"/>
              <w:bottom w:val="single" w:color="auto" w:sz="6" w:space="0"/>
              <w:right w:val="single" w:color="auto" w:sz="6" w:space="0"/>
            </w:tcBorders>
            <w:vAlign w:val="center"/>
          </w:tcPr>
          <w:p w14:paraId="49C429C6">
            <w:pPr>
              <w:widowControl/>
              <w:jc w:val="left"/>
              <w:rPr>
                <w:rFonts w:ascii="Arial" w:hAnsi="Arial" w:eastAsia="宋体" w:cs="Arial"/>
                <w:sz w:val="21"/>
              </w:rPr>
            </w:pPr>
          </w:p>
        </w:tc>
        <w:tc>
          <w:tcPr>
            <w:tcW w:w="2614" w:type="dxa"/>
            <w:tcBorders>
              <w:top w:val="single" w:color="auto" w:sz="6" w:space="0"/>
              <w:left w:val="single" w:color="auto" w:sz="6" w:space="0"/>
              <w:bottom w:val="single" w:color="auto" w:sz="6" w:space="0"/>
              <w:right w:val="single" w:color="auto" w:sz="6" w:space="0"/>
            </w:tcBorders>
            <w:vAlign w:val="center"/>
          </w:tcPr>
          <w:p w14:paraId="058370FE">
            <w:pPr>
              <w:pStyle w:val="5"/>
              <w:spacing w:line="240" w:lineRule="exact"/>
              <w:ind w:firstLine="0"/>
              <w:jc w:val="center"/>
              <w:rPr>
                <w:spacing w:val="0"/>
                <w:sz w:val="21"/>
              </w:rPr>
            </w:pPr>
            <w:r>
              <w:rPr>
                <w:rFonts w:hint="eastAsia"/>
                <w:spacing w:val="0"/>
                <w:sz w:val="21"/>
              </w:rPr>
              <w:t>排放方式</w:t>
            </w:r>
          </w:p>
        </w:tc>
        <w:tc>
          <w:tcPr>
            <w:tcW w:w="3405" w:type="dxa"/>
            <w:tcBorders>
              <w:top w:val="single" w:color="auto" w:sz="6" w:space="0"/>
              <w:left w:val="single" w:color="auto" w:sz="6" w:space="0"/>
              <w:bottom w:val="single" w:color="auto" w:sz="6" w:space="0"/>
              <w:right w:val="single" w:color="auto" w:sz="6" w:space="0"/>
            </w:tcBorders>
            <w:vAlign w:val="center"/>
          </w:tcPr>
          <w:p w14:paraId="1E926E82">
            <w:pPr>
              <w:pStyle w:val="5"/>
              <w:spacing w:line="240" w:lineRule="exact"/>
              <w:ind w:firstLine="0"/>
              <w:jc w:val="center"/>
              <w:rPr>
                <w:spacing w:val="0"/>
                <w:sz w:val="21"/>
              </w:rPr>
            </w:pPr>
            <w:r>
              <w:rPr>
                <w:rFonts w:hint="eastAsia"/>
                <w:spacing w:val="0"/>
                <w:sz w:val="21"/>
              </w:rPr>
              <w:t>废水排放量</w:t>
            </w:r>
            <w:r>
              <w:rPr>
                <w:spacing w:val="0"/>
                <w:sz w:val="21"/>
              </w:rPr>
              <w:t>Q/</w:t>
            </w:r>
            <w:r>
              <w:rPr>
                <w:rFonts w:hint="eastAsia"/>
                <w:spacing w:val="0"/>
                <w:sz w:val="21"/>
              </w:rPr>
              <w:t>（</w:t>
            </w:r>
            <w:r>
              <w:rPr>
                <w:sz w:val="21"/>
                <w:szCs w:val="21"/>
              </w:rPr>
              <w:t>m</w:t>
            </w:r>
            <w:r>
              <w:rPr>
                <w:sz w:val="21"/>
                <w:szCs w:val="21"/>
                <w:vertAlign w:val="superscript"/>
              </w:rPr>
              <w:t>3</w:t>
            </w:r>
            <w:r>
              <w:rPr>
                <w:sz w:val="21"/>
                <w:szCs w:val="21"/>
              </w:rPr>
              <w:t>/d</w:t>
            </w:r>
            <w:r>
              <w:rPr>
                <w:rFonts w:hint="eastAsia"/>
                <w:spacing w:val="0"/>
                <w:sz w:val="21"/>
              </w:rPr>
              <w:t>）；</w:t>
            </w:r>
          </w:p>
          <w:p w14:paraId="72A62779">
            <w:pPr>
              <w:pStyle w:val="5"/>
              <w:spacing w:line="240" w:lineRule="exact"/>
              <w:ind w:firstLine="0"/>
              <w:jc w:val="center"/>
              <w:rPr>
                <w:spacing w:val="0"/>
                <w:sz w:val="21"/>
              </w:rPr>
            </w:pPr>
            <w:r>
              <w:rPr>
                <w:rFonts w:hint="eastAsia"/>
                <w:spacing w:val="0"/>
                <w:sz w:val="21"/>
              </w:rPr>
              <w:t>水污染物当量数</w:t>
            </w:r>
            <w:r>
              <w:rPr>
                <w:spacing w:val="0"/>
                <w:sz w:val="21"/>
              </w:rPr>
              <w:t>W/</w:t>
            </w:r>
            <w:r>
              <w:rPr>
                <w:rFonts w:hint="eastAsia"/>
                <w:spacing w:val="0"/>
                <w:sz w:val="21"/>
              </w:rPr>
              <w:t>（无量纲）</w:t>
            </w:r>
          </w:p>
        </w:tc>
      </w:tr>
      <w:tr w14:paraId="12D285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14" w:type="dxa"/>
            <w:tcBorders>
              <w:top w:val="single" w:color="auto" w:sz="6" w:space="0"/>
              <w:left w:val="single" w:color="auto" w:sz="6" w:space="0"/>
              <w:bottom w:val="single" w:color="auto" w:sz="6" w:space="0"/>
              <w:right w:val="single" w:color="auto" w:sz="6" w:space="0"/>
            </w:tcBorders>
            <w:vAlign w:val="center"/>
          </w:tcPr>
          <w:p w14:paraId="59D9903B">
            <w:pPr>
              <w:pStyle w:val="5"/>
              <w:spacing w:line="240" w:lineRule="exact"/>
              <w:ind w:firstLine="0"/>
              <w:jc w:val="center"/>
              <w:rPr>
                <w:spacing w:val="0"/>
                <w:sz w:val="21"/>
              </w:rPr>
            </w:pPr>
            <w:r>
              <w:rPr>
                <w:rFonts w:hint="eastAsia"/>
                <w:spacing w:val="0"/>
                <w:sz w:val="21"/>
              </w:rPr>
              <w:t>一级</w:t>
            </w:r>
          </w:p>
        </w:tc>
        <w:tc>
          <w:tcPr>
            <w:tcW w:w="2614" w:type="dxa"/>
            <w:tcBorders>
              <w:top w:val="single" w:color="auto" w:sz="6" w:space="0"/>
              <w:left w:val="single" w:color="auto" w:sz="6" w:space="0"/>
              <w:bottom w:val="single" w:color="auto" w:sz="6" w:space="0"/>
              <w:right w:val="single" w:color="auto" w:sz="6" w:space="0"/>
            </w:tcBorders>
            <w:vAlign w:val="center"/>
          </w:tcPr>
          <w:p w14:paraId="0A7F0A91">
            <w:pPr>
              <w:pStyle w:val="5"/>
              <w:spacing w:line="240" w:lineRule="exact"/>
              <w:ind w:firstLine="0"/>
              <w:jc w:val="center"/>
              <w:rPr>
                <w:spacing w:val="0"/>
                <w:sz w:val="21"/>
              </w:rPr>
            </w:pPr>
            <w:r>
              <w:rPr>
                <w:rFonts w:hint="eastAsia"/>
                <w:spacing w:val="0"/>
                <w:sz w:val="21"/>
              </w:rPr>
              <w:t>直接排放</w:t>
            </w:r>
          </w:p>
        </w:tc>
        <w:tc>
          <w:tcPr>
            <w:tcW w:w="3405" w:type="dxa"/>
            <w:tcBorders>
              <w:top w:val="single" w:color="auto" w:sz="6" w:space="0"/>
              <w:left w:val="single" w:color="auto" w:sz="6" w:space="0"/>
              <w:bottom w:val="single" w:color="auto" w:sz="6" w:space="0"/>
              <w:right w:val="single" w:color="auto" w:sz="6" w:space="0"/>
            </w:tcBorders>
            <w:vAlign w:val="center"/>
          </w:tcPr>
          <w:p w14:paraId="46C51C11">
            <w:pPr>
              <w:pStyle w:val="5"/>
              <w:spacing w:line="240" w:lineRule="exact"/>
              <w:ind w:firstLine="0"/>
              <w:jc w:val="center"/>
              <w:rPr>
                <w:spacing w:val="0"/>
                <w:sz w:val="21"/>
              </w:rPr>
            </w:pPr>
            <w:r>
              <w:rPr>
                <w:spacing w:val="0"/>
                <w:sz w:val="21"/>
              </w:rPr>
              <w:t>Q</w:t>
            </w:r>
            <w:r>
              <w:rPr>
                <w:rFonts w:hint="eastAsia"/>
                <w:spacing w:val="0"/>
                <w:sz w:val="21"/>
              </w:rPr>
              <w:t>≥</w:t>
            </w:r>
            <w:r>
              <w:rPr>
                <w:spacing w:val="0"/>
                <w:sz w:val="21"/>
              </w:rPr>
              <w:t>20000</w:t>
            </w:r>
            <w:r>
              <w:rPr>
                <w:rFonts w:hint="eastAsia"/>
                <w:spacing w:val="0"/>
                <w:sz w:val="21"/>
              </w:rPr>
              <w:t>或</w:t>
            </w:r>
            <w:r>
              <w:rPr>
                <w:spacing w:val="0"/>
                <w:sz w:val="21"/>
              </w:rPr>
              <w:t>W</w:t>
            </w:r>
            <w:r>
              <w:rPr>
                <w:rFonts w:hint="eastAsia"/>
                <w:spacing w:val="0"/>
                <w:sz w:val="21"/>
              </w:rPr>
              <w:t>≥</w:t>
            </w:r>
            <w:r>
              <w:rPr>
                <w:spacing w:val="0"/>
                <w:sz w:val="21"/>
              </w:rPr>
              <w:t>600000</w:t>
            </w:r>
          </w:p>
        </w:tc>
      </w:tr>
      <w:tr w14:paraId="72AE1B3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14" w:type="dxa"/>
            <w:tcBorders>
              <w:top w:val="single" w:color="auto" w:sz="6" w:space="0"/>
              <w:left w:val="single" w:color="auto" w:sz="6" w:space="0"/>
              <w:bottom w:val="single" w:color="auto" w:sz="6" w:space="0"/>
              <w:right w:val="single" w:color="auto" w:sz="6" w:space="0"/>
            </w:tcBorders>
            <w:vAlign w:val="center"/>
          </w:tcPr>
          <w:p w14:paraId="314FCB1D">
            <w:pPr>
              <w:pStyle w:val="5"/>
              <w:spacing w:line="240" w:lineRule="exact"/>
              <w:ind w:firstLine="0"/>
              <w:jc w:val="center"/>
              <w:rPr>
                <w:spacing w:val="0"/>
                <w:sz w:val="21"/>
              </w:rPr>
            </w:pPr>
            <w:r>
              <w:rPr>
                <w:rFonts w:hint="eastAsia"/>
                <w:spacing w:val="0"/>
                <w:sz w:val="21"/>
              </w:rPr>
              <w:t>二级</w:t>
            </w:r>
          </w:p>
        </w:tc>
        <w:tc>
          <w:tcPr>
            <w:tcW w:w="2614" w:type="dxa"/>
            <w:tcBorders>
              <w:top w:val="single" w:color="auto" w:sz="6" w:space="0"/>
              <w:left w:val="single" w:color="auto" w:sz="6" w:space="0"/>
              <w:bottom w:val="single" w:color="auto" w:sz="6" w:space="0"/>
              <w:right w:val="single" w:color="auto" w:sz="6" w:space="0"/>
            </w:tcBorders>
            <w:vAlign w:val="center"/>
          </w:tcPr>
          <w:p w14:paraId="5D2FD49A">
            <w:pPr>
              <w:pStyle w:val="5"/>
              <w:spacing w:line="240" w:lineRule="exact"/>
              <w:ind w:firstLine="0"/>
              <w:jc w:val="center"/>
              <w:rPr>
                <w:spacing w:val="0"/>
                <w:sz w:val="21"/>
              </w:rPr>
            </w:pPr>
            <w:r>
              <w:rPr>
                <w:rFonts w:hint="eastAsia"/>
                <w:spacing w:val="0"/>
                <w:sz w:val="21"/>
              </w:rPr>
              <w:t>直接排放</w:t>
            </w:r>
          </w:p>
        </w:tc>
        <w:tc>
          <w:tcPr>
            <w:tcW w:w="3405" w:type="dxa"/>
            <w:tcBorders>
              <w:top w:val="single" w:color="auto" w:sz="6" w:space="0"/>
              <w:left w:val="single" w:color="auto" w:sz="6" w:space="0"/>
              <w:bottom w:val="single" w:color="auto" w:sz="6" w:space="0"/>
              <w:right w:val="single" w:color="auto" w:sz="6" w:space="0"/>
            </w:tcBorders>
            <w:vAlign w:val="center"/>
          </w:tcPr>
          <w:p w14:paraId="0EFBF336">
            <w:pPr>
              <w:pStyle w:val="5"/>
              <w:spacing w:line="240" w:lineRule="exact"/>
              <w:ind w:firstLine="0"/>
              <w:jc w:val="center"/>
              <w:rPr>
                <w:spacing w:val="0"/>
                <w:sz w:val="21"/>
              </w:rPr>
            </w:pPr>
            <w:r>
              <w:rPr>
                <w:rFonts w:hint="eastAsia"/>
                <w:spacing w:val="0"/>
                <w:sz w:val="21"/>
              </w:rPr>
              <w:t>其他</w:t>
            </w:r>
          </w:p>
        </w:tc>
      </w:tr>
      <w:tr w14:paraId="015F5F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14" w:type="dxa"/>
            <w:tcBorders>
              <w:top w:val="single" w:color="auto" w:sz="6" w:space="0"/>
              <w:left w:val="single" w:color="auto" w:sz="6" w:space="0"/>
              <w:bottom w:val="single" w:color="auto" w:sz="6" w:space="0"/>
              <w:right w:val="single" w:color="auto" w:sz="6" w:space="0"/>
            </w:tcBorders>
            <w:vAlign w:val="center"/>
          </w:tcPr>
          <w:p w14:paraId="1C57A49E">
            <w:pPr>
              <w:pStyle w:val="5"/>
              <w:spacing w:line="240" w:lineRule="exact"/>
              <w:ind w:firstLine="0"/>
              <w:jc w:val="center"/>
              <w:rPr>
                <w:spacing w:val="0"/>
                <w:sz w:val="21"/>
              </w:rPr>
            </w:pPr>
            <w:r>
              <w:rPr>
                <w:rFonts w:hint="eastAsia"/>
                <w:spacing w:val="0"/>
                <w:sz w:val="21"/>
              </w:rPr>
              <w:t>三级</w:t>
            </w:r>
            <w:r>
              <w:rPr>
                <w:spacing w:val="0"/>
                <w:sz w:val="21"/>
              </w:rPr>
              <w:t>A</w:t>
            </w:r>
          </w:p>
        </w:tc>
        <w:tc>
          <w:tcPr>
            <w:tcW w:w="2614" w:type="dxa"/>
            <w:tcBorders>
              <w:top w:val="single" w:color="auto" w:sz="6" w:space="0"/>
              <w:left w:val="single" w:color="auto" w:sz="6" w:space="0"/>
              <w:bottom w:val="single" w:color="auto" w:sz="6" w:space="0"/>
              <w:right w:val="single" w:color="auto" w:sz="6" w:space="0"/>
            </w:tcBorders>
            <w:vAlign w:val="center"/>
          </w:tcPr>
          <w:p w14:paraId="6952F060">
            <w:pPr>
              <w:pStyle w:val="5"/>
              <w:spacing w:line="240" w:lineRule="exact"/>
              <w:ind w:firstLine="0"/>
              <w:jc w:val="center"/>
              <w:rPr>
                <w:spacing w:val="0"/>
                <w:sz w:val="21"/>
              </w:rPr>
            </w:pPr>
            <w:r>
              <w:rPr>
                <w:rFonts w:hint="eastAsia"/>
                <w:spacing w:val="0"/>
                <w:sz w:val="21"/>
              </w:rPr>
              <w:t>直接排放</w:t>
            </w:r>
          </w:p>
        </w:tc>
        <w:tc>
          <w:tcPr>
            <w:tcW w:w="3405" w:type="dxa"/>
            <w:tcBorders>
              <w:top w:val="single" w:color="auto" w:sz="6" w:space="0"/>
              <w:left w:val="single" w:color="auto" w:sz="6" w:space="0"/>
              <w:bottom w:val="single" w:color="auto" w:sz="6" w:space="0"/>
              <w:right w:val="single" w:color="auto" w:sz="6" w:space="0"/>
            </w:tcBorders>
            <w:vAlign w:val="center"/>
          </w:tcPr>
          <w:p w14:paraId="2DDC8ECF">
            <w:pPr>
              <w:pStyle w:val="5"/>
              <w:spacing w:line="240" w:lineRule="exact"/>
              <w:ind w:firstLine="0"/>
              <w:jc w:val="center"/>
              <w:rPr>
                <w:spacing w:val="0"/>
                <w:sz w:val="21"/>
              </w:rPr>
            </w:pPr>
            <w:r>
              <w:rPr>
                <w:spacing w:val="0"/>
                <w:sz w:val="21"/>
              </w:rPr>
              <w:t>Q</w:t>
            </w:r>
            <w:r>
              <w:rPr>
                <w:rFonts w:hint="eastAsia"/>
                <w:spacing w:val="0"/>
                <w:sz w:val="21"/>
              </w:rPr>
              <w:t>＜</w:t>
            </w:r>
            <w:r>
              <w:rPr>
                <w:spacing w:val="0"/>
                <w:sz w:val="21"/>
              </w:rPr>
              <w:t>200</w:t>
            </w:r>
            <w:r>
              <w:rPr>
                <w:rFonts w:hint="eastAsia"/>
                <w:spacing w:val="0"/>
                <w:sz w:val="21"/>
              </w:rPr>
              <w:t>且</w:t>
            </w:r>
            <w:r>
              <w:rPr>
                <w:spacing w:val="0"/>
                <w:sz w:val="21"/>
              </w:rPr>
              <w:t>W</w:t>
            </w:r>
            <w:r>
              <w:rPr>
                <w:rFonts w:hint="eastAsia"/>
                <w:spacing w:val="0"/>
                <w:sz w:val="21"/>
              </w:rPr>
              <w:t>＜</w:t>
            </w:r>
            <w:r>
              <w:rPr>
                <w:spacing w:val="0"/>
                <w:sz w:val="21"/>
              </w:rPr>
              <w:t>6000</w:t>
            </w:r>
          </w:p>
        </w:tc>
      </w:tr>
      <w:tr w14:paraId="3D1DB5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14" w:type="dxa"/>
            <w:tcBorders>
              <w:top w:val="single" w:color="auto" w:sz="6" w:space="0"/>
              <w:left w:val="single" w:color="auto" w:sz="6" w:space="0"/>
              <w:bottom w:val="single" w:color="auto" w:sz="6" w:space="0"/>
              <w:right w:val="single" w:color="auto" w:sz="6" w:space="0"/>
            </w:tcBorders>
            <w:shd w:val="clear" w:color="auto" w:fill="E6E6E6"/>
            <w:vAlign w:val="center"/>
          </w:tcPr>
          <w:p w14:paraId="42D837CF">
            <w:pPr>
              <w:pStyle w:val="5"/>
              <w:spacing w:line="240" w:lineRule="exact"/>
              <w:ind w:firstLine="0"/>
              <w:jc w:val="center"/>
              <w:rPr>
                <w:spacing w:val="0"/>
                <w:sz w:val="21"/>
              </w:rPr>
            </w:pPr>
            <w:r>
              <w:rPr>
                <w:rFonts w:hint="eastAsia"/>
                <w:spacing w:val="0"/>
                <w:sz w:val="21"/>
              </w:rPr>
              <w:t>三级</w:t>
            </w:r>
            <w:r>
              <w:rPr>
                <w:spacing w:val="0"/>
                <w:sz w:val="21"/>
              </w:rPr>
              <w:t>B</w:t>
            </w:r>
          </w:p>
        </w:tc>
        <w:tc>
          <w:tcPr>
            <w:tcW w:w="2614" w:type="dxa"/>
            <w:tcBorders>
              <w:top w:val="single" w:color="auto" w:sz="6" w:space="0"/>
              <w:left w:val="single" w:color="auto" w:sz="6" w:space="0"/>
              <w:bottom w:val="single" w:color="auto" w:sz="6" w:space="0"/>
              <w:right w:val="single" w:color="auto" w:sz="6" w:space="0"/>
            </w:tcBorders>
            <w:shd w:val="clear" w:color="auto" w:fill="E6E6E6"/>
            <w:vAlign w:val="center"/>
          </w:tcPr>
          <w:p w14:paraId="7BE1DF6E">
            <w:pPr>
              <w:pStyle w:val="5"/>
              <w:spacing w:line="240" w:lineRule="exact"/>
              <w:ind w:firstLine="0"/>
              <w:jc w:val="center"/>
              <w:rPr>
                <w:spacing w:val="0"/>
                <w:sz w:val="21"/>
              </w:rPr>
            </w:pPr>
            <w:r>
              <w:rPr>
                <w:rFonts w:hint="eastAsia"/>
                <w:spacing w:val="0"/>
                <w:sz w:val="21"/>
              </w:rPr>
              <w:t>间接排放</w:t>
            </w:r>
          </w:p>
        </w:tc>
        <w:tc>
          <w:tcPr>
            <w:tcW w:w="3405" w:type="dxa"/>
            <w:tcBorders>
              <w:top w:val="single" w:color="auto" w:sz="6" w:space="0"/>
              <w:left w:val="single" w:color="auto" w:sz="6" w:space="0"/>
              <w:bottom w:val="single" w:color="auto" w:sz="6" w:space="0"/>
              <w:right w:val="single" w:color="auto" w:sz="6" w:space="0"/>
            </w:tcBorders>
            <w:shd w:val="clear" w:color="auto" w:fill="E6E6E6"/>
            <w:vAlign w:val="center"/>
          </w:tcPr>
          <w:p w14:paraId="23458576">
            <w:pPr>
              <w:pStyle w:val="5"/>
              <w:spacing w:line="240" w:lineRule="exact"/>
              <w:ind w:firstLine="0"/>
              <w:jc w:val="center"/>
              <w:rPr>
                <w:spacing w:val="0"/>
                <w:sz w:val="21"/>
              </w:rPr>
            </w:pPr>
            <w:r>
              <w:rPr>
                <w:rFonts w:hint="eastAsia"/>
                <w:spacing w:val="0"/>
                <w:sz w:val="21"/>
              </w:rPr>
              <w:t>—</w:t>
            </w:r>
          </w:p>
        </w:tc>
      </w:tr>
      <w:tr w14:paraId="695069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633" w:type="dxa"/>
            <w:gridSpan w:val="3"/>
            <w:tcBorders>
              <w:top w:val="single" w:color="auto" w:sz="6" w:space="0"/>
              <w:left w:val="single" w:color="auto" w:sz="6" w:space="0"/>
              <w:bottom w:val="single" w:color="auto" w:sz="6" w:space="0"/>
              <w:right w:val="single" w:color="auto" w:sz="6" w:space="0"/>
            </w:tcBorders>
            <w:vAlign w:val="center"/>
          </w:tcPr>
          <w:p w14:paraId="37BB058A">
            <w:pPr>
              <w:pStyle w:val="5"/>
              <w:spacing w:line="300" w:lineRule="exact"/>
              <w:ind w:firstLine="0"/>
              <w:rPr>
                <w:spacing w:val="0"/>
                <w:sz w:val="21"/>
              </w:rPr>
            </w:pPr>
            <w:r>
              <w:rPr>
                <w:rFonts w:hint="eastAsia"/>
                <w:spacing w:val="0"/>
                <w:sz w:val="21"/>
              </w:rPr>
              <w:t>注</w:t>
            </w:r>
            <w:r>
              <w:rPr>
                <w:spacing w:val="0"/>
                <w:sz w:val="21"/>
              </w:rPr>
              <w:t>1</w:t>
            </w:r>
            <w:r>
              <w:rPr>
                <w:rFonts w:hint="eastAsia"/>
                <w:spacing w:val="0"/>
                <w:sz w:val="21"/>
              </w:rPr>
              <w:t>：水污染物当量数等于该污染物的年排放量除以该污染物的污染当量值，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1CD04259">
            <w:pPr>
              <w:pStyle w:val="5"/>
              <w:spacing w:line="300" w:lineRule="exact"/>
              <w:ind w:firstLine="0"/>
              <w:rPr>
                <w:spacing w:val="0"/>
                <w:sz w:val="21"/>
              </w:rPr>
            </w:pPr>
            <w:r>
              <w:rPr>
                <w:rFonts w:hint="eastAsia"/>
                <w:spacing w:val="0"/>
                <w:sz w:val="21"/>
              </w:rPr>
              <w:t>注</w:t>
            </w:r>
            <w:r>
              <w:rPr>
                <w:spacing w:val="0"/>
                <w:sz w:val="21"/>
              </w:rPr>
              <w:t>2</w:t>
            </w:r>
            <w:r>
              <w:rPr>
                <w:rFonts w:hint="eastAsia"/>
                <w:spacing w:val="0"/>
                <w:sz w:val="21"/>
              </w:rPr>
              <w:t>：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7C8E012F">
            <w:pPr>
              <w:pStyle w:val="5"/>
              <w:spacing w:line="300" w:lineRule="exact"/>
              <w:ind w:firstLine="0"/>
              <w:rPr>
                <w:spacing w:val="0"/>
                <w:sz w:val="21"/>
              </w:rPr>
            </w:pPr>
            <w:r>
              <w:rPr>
                <w:rFonts w:hint="eastAsia"/>
                <w:spacing w:val="0"/>
                <w:sz w:val="21"/>
              </w:rPr>
              <w:t>注</w:t>
            </w:r>
            <w:r>
              <w:rPr>
                <w:spacing w:val="0"/>
                <w:sz w:val="21"/>
              </w:rPr>
              <w:t>3</w:t>
            </w:r>
            <w:r>
              <w:rPr>
                <w:rFonts w:hint="eastAsia"/>
                <w:spacing w:val="0"/>
                <w:sz w:val="21"/>
              </w:rPr>
              <w:t>：厂区存在堆积物（露天堆放的原料、燃料、废渣等以及垃圾堆放场）、降尘污染的，应将初期雨污水纳入废水排放量，相应的主要污染物纳入水污染当量计算。</w:t>
            </w:r>
          </w:p>
          <w:p w14:paraId="6ED05265">
            <w:pPr>
              <w:pStyle w:val="5"/>
              <w:spacing w:line="300" w:lineRule="exact"/>
              <w:ind w:firstLine="0"/>
              <w:rPr>
                <w:spacing w:val="0"/>
                <w:sz w:val="21"/>
              </w:rPr>
            </w:pPr>
            <w:r>
              <w:rPr>
                <w:rFonts w:hint="eastAsia"/>
                <w:spacing w:val="0"/>
                <w:sz w:val="21"/>
              </w:rPr>
              <w:t>注</w:t>
            </w:r>
            <w:r>
              <w:rPr>
                <w:spacing w:val="0"/>
                <w:sz w:val="21"/>
              </w:rPr>
              <w:t>4</w:t>
            </w:r>
            <w:r>
              <w:rPr>
                <w:rFonts w:hint="eastAsia"/>
                <w:spacing w:val="0"/>
                <w:sz w:val="21"/>
              </w:rPr>
              <w:t>：建设项目直接排放第一类污染物的，其评价等级为一级；建设项目直接排放的污染物为受纳水体超标因子的，评价等级不低于二级。</w:t>
            </w:r>
          </w:p>
          <w:p w14:paraId="48F5E34D">
            <w:pPr>
              <w:pStyle w:val="5"/>
              <w:spacing w:line="300" w:lineRule="exact"/>
              <w:ind w:firstLine="0"/>
              <w:rPr>
                <w:spacing w:val="0"/>
                <w:sz w:val="21"/>
              </w:rPr>
            </w:pPr>
            <w:r>
              <w:rPr>
                <w:rFonts w:hint="eastAsia"/>
                <w:spacing w:val="0"/>
                <w:sz w:val="21"/>
              </w:rPr>
              <w:t>注</w:t>
            </w:r>
            <w:r>
              <w:rPr>
                <w:spacing w:val="0"/>
                <w:sz w:val="21"/>
              </w:rPr>
              <w:t>5</w:t>
            </w:r>
            <w:r>
              <w:rPr>
                <w:rFonts w:hint="eastAsia"/>
                <w:spacing w:val="0"/>
                <w:sz w:val="21"/>
              </w:rPr>
              <w:t>：直接排放受纳水体影响范围涉及饮用水水源保护区、饮用水取水口、重点保护与珍稀水生生物的栖息地、重要水生生物的自然产卵场等保护目标时，评价等级不低于二级。</w:t>
            </w:r>
          </w:p>
          <w:p w14:paraId="1C1DEF7F">
            <w:pPr>
              <w:pStyle w:val="5"/>
              <w:spacing w:line="300" w:lineRule="exact"/>
              <w:ind w:firstLine="0"/>
              <w:rPr>
                <w:spacing w:val="0"/>
                <w:sz w:val="21"/>
              </w:rPr>
            </w:pPr>
            <w:r>
              <w:rPr>
                <w:rFonts w:hint="eastAsia"/>
                <w:spacing w:val="0"/>
                <w:sz w:val="21"/>
              </w:rPr>
              <w:t>注</w:t>
            </w:r>
            <w:r>
              <w:rPr>
                <w:spacing w:val="0"/>
                <w:sz w:val="21"/>
              </w:rPr>
              <w:t>6</w:t>
            </w:r>
            <w:r>
              <w:rPr>
                <w:rFonts w:hint="eastAsia"/>
                <w:spacing w:val="0"/>
                <w:sz w:val="21"/>
              </w:rPr>
              <w:t>：建设项目向河流、湖库排放温排水引起受纳水体水温变化超过水环境质量标准要求，且评价范围有水温敏感目标时，评价等级为一级。</w:t>
            </w:r>
          </w:p>
          <w:p w14:paraId="43798B8A">
            <w:pPr>
              <w:pStyle w:val="5"/>
              <w:spacing w:line="300" w:lineRule="exact"/>
              <w:ind w:firstLine="0"/>
              <w:rPr>
                <w:spacing w:val="0"/>
                <w:sz w:val="21"/>
              </w:rPr>
            </w:pPr>
            <w:r>
              <w:rPr>
                <w:rFonts w:hint="eastAsia"/>
                <w:spacing w:val="0"/>
                <w:sz w:val="21"/>
              </w:rPr>
              <w:t>注</w:t>
            </w:r>
            <w:r>
              <w:rPr>
                <w:spacing w:val="0"/>
                <w:sz w:val="21"/>
              </w:rPr>
              <w:t>7</w:t>
            </w:r>
            <w:r>
              <w:rPr>
                <w:rFonts w:hint="eastAsia"/>
                <w:spacing w:val="0"/>
                <w:sz w:val="21"/>
              </w:rPr>
              <w:t>：建设项目利用海水作为调节温度介质，排水量≥</w:t>
            </w:r>
            <w:r>
              <w:rPr>
                <w:spacing w:val="0"/>
                <w:sz w:val="21"/>
              </w:rPr>
              <w:t>500</w:t>
            </w:r>
            <w:r>
              <w:rPr>
                <w:rFonts w:hint="eastAsia"/>
                <w:spacing w:val="0"/>
                <w:sz w:val="21"/>
              </w:rPr>
              <w:t>万</w:t>
            </w:r>
            <w:r>
              <w:rPr>
                <w:spacing w:val="0"/>
                <w:sz w:val="21"/>
              </w:rPr>
              <w:t>m</w:t>
            </w:r>
            <w:r>
              <w:rPr>
                <w:spacing w:val="0"/>
                <w:sz w:val="21"/>
                <w:vertAlign w:val="superscript"/>
              </w:rPr>
              <w:t>3</w:t>
            </w:r>
            <w:r>
              <w:rPr>
                <w:spacing w:val="0"/>
                <w:sz w:val="21"/>
              </w:rPr>
              <w:t>/d</w:t>
            </w:r>
            <w:r>
              <w:rPr>
                <w:rFonts w:hint="eastAsia"/>
                <w:spacing w:val="0"/>
                <w:sz w:val="21"/>
              </w:rPr>
              <w:t>，评价等级为一级；排水量</w:t>
            </w:r>
            <w:r>
              <w:rPr>
                <w:spacing w:val="0"/>
                <w:sz w:val="21"/>
              </w:rPr>
              <w:t>&lt;500</w:t>
            </w:r>
            <w:r>
              <w:rPr>
                <w:rFonts w:hint="eastAsia"/>
                <w:spacing w:val="0"/>
                <w:sz w:val="21"/>
              </w:rPr>
              <w:t>万</w:t>
            </w:r>
            <w:r>
              <w:rPr>
                <w:spacing w:val="0"/>
                <w:sz w:val="21"/>
              </w:rPr>
              <w:t>m</w:t>
            </w:r>
            <w:r>
              <w:rPr>
                <w:spacing w:val="0"/>
                <w:sz w:val="21"/>
                <w:vertAlign w:val="superscript"/>
              </w:rPr>
              <w:t>3</w:t>
            </w:r>
            <w:r>
              <w:rPr>
                <w:spacing w:val="0"/>
                <w:sz w:val="21"/>
              </w:rPr>
              <w:t>/d</w:t>
            </w:r>
            <w:r>
              <w:rPr>
                <w:rFonts w:hint="eastAsia"/>
                <w:spacing w:val="0"/>
                <w:sz w:val="21"/>
              </w:rPr>
              <w:t>，评价等级为二级。</w:t>
            </w:r>
          </w:p>
          <w:p w14:paraId="28EB1403">
            <w:pPr>
              <w:pStyle w:val="5"/>
              <w:spacing w:line="300" w:lineRule="exact"/>
              <w:ind w:firstLine="0"/>
              <w:rPr>
                <w:spacing w:val="0"/>
                <w:sz w:val="21"/>
              </w:rPr>
            </w:pPr>
            <w:r>
              <w:rPr>
                <w:rFonts w:hint="eastAsia"/>
                <w:spacing w:val="0"/>
                <w:sz w:val="21"/>
              </w:rPr>
              <w:t>注</w:t>
            </w:r>
            <w:r>
              <w:rPr>
                <w:spacing w:val="0"/>
                <w:sz w:val="21"/>
              </w:rPr>
              <w:t>8</w:t>
            </w:r>
            <w:r>
              <w:rPr>
                <w:rFonts w:hint="eastAsia"/>
                <w:spacing w:val="0"/>
                <w:sz w:val="21"/>
              </w:rPr>
              <w:t>：仅涉及清净下水排放的，如其排放水质满足受纳水体水环境质量标准要求的，评价等级为三级</w:t>
            </w:r>
            <w:r>
              <w:rPr>
                <w:spacing w:val="0"/>
                <w:sz w:val="21"/>
              </w:rPr>
              <w:t>A</w:t>
            </w:r>
            <w:r>
              <w:rPr>
                <w:rFonts w:hint="eastAsia"/>
                <w:spacing w:val="0"/>
                <w:sz w:val="21"/>
              </w:rPr>
              <w:t>。</w:t>
            </w:r>
          </w:p>
          <w:p w14:paraId="5D6B79A0">
            <w:pPr>
              <w:pStyle w:val="5"/>
              <w:spacing w:line="300" w:lineRule="exact"/>
              <w:ind w:firstLine="0"/>
              <w:rPr>
                <w:spacing w:val="0"/>
                <w:sz w:val="21"/>
              </w:rPr>
            </w:pPr>
            <w:r>
              <w:rPr>
                <w:rFonts w:hint="eastAsia"/>
                <w:spacing w:val="0"/>
                <w:sz w:val="21"/>
              </w:rPr>
              <w:t>注</w:t>
            </w:r>
            <w:r>
              <w:rPr>
                <w:spacing w:val="0"/>
                <w:sz w:val="21"/>
              </w:rPr>
              <w:t>9</w:t>
            </w:r>
            <w:r>
              <w:rPr>
                <w:rFonts w:hint="eastAsia"/>
                <w:spacing w:val="0"/>
                <w:sz w:val="21"/>
              </w:rPr>
              <w:t>：依托现有排放口，且对外环境未新增排放污染物的直接排放建设项目，评价等级参照间接排放，定为三级</w:t>
            </w:r>
            <w:r>
              <w:rPr>
                <w:spacing w:val="0"/>
                <w:sz w:val="21"/>
              </w:rPr>
              <w:t>B</w:t>
            </w:r>
            <w:r>
              <w:rPr>
                <w:rFonts w:hint="eastAsia"/>
                <w:spacing w:val="0"/>
                <w:sz w:val="21"/>
              </w:rPr>
              <w:t>。</w:t>
            </w:r>
          </w:p>
          <w:p w14:paraId="7F25D459">
            <w:pPr>
              <w:pStyle w:val="5"/>
              <w:spacing w:line="300" w:lineRule="exact"/>
              <w:ind w:firstLine="0"/>
              <w:rPr>
                <w:spacing w:val="0"/>
                <w:sz w:val="21"/>
              </w:rPr>
            </w:pPr>
            <w:r>
              <w:rPr>
                <w:rFonts w:hint="eastAsia"/>
                <w:spacing w:val="0"/>
                <w:sz w:val="21"/>
              </w:rPr>
              <w:t>注</w:t>
            </w:r>
            <w:r>
              <w:rPr>
                <w:spacing w:val="0"/>
                <w:sz w:val="21"/>
              </w:rPr>
              <w:t>10</w:t>
            </w:r>
            <w:r>
              <w:rPr>
                <w:rFonts w:hint="eastAsia"/>
                <w:spacing w:val="0"/>
                <w:sz w:val="21"/>
              </w:rPr>
              <w:t>：建设项目生产工艺中有废水产生，但作为回水利用，不排放到外环境的，按三级</w:t>
            </w:r>
            <w:r>
              <w:rPr>
                <w:spacing w:val="0"/>
                <w:sz w:val="21"/>
              </w:rPr>
              <w:t>B</w:t>
            </w:r>
            <w:r>
              <w:rPr>
                <w:rFonts w:hint="eastAsia"/>
                <w:spacing w:val="0"/>
                <w:sz w:val="21"/>
              </w:rPr>
              <w:t>评价。</w:t>
            </w:r>
          </w:p>
        </w:tc>
      </w:tr>
    </w:tbl>
    <w:p w14:paraId="4CF59156">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变更后项目生活污水经处理后排入大榄坪污水处理厂处理；近期，生产废水经处理达标后依托大榄坪污水处理厂现有深海排放管道直接排放，生产废水主要污染物包括化学需氧量、氨氮、硫酸盐、钴等，不涉及第一类水污染物，生产废水排放量约78.95</w:t>
      </w:r>
      <w:r>
        <w:rPr>
          <w:rFonts w:ascii="Arial" w:hAnsi="Arial" w:cs="Arial"/>
          <w:sz w:val="24"/>
          <w:szCs w:val="24"/>
        </w:rPr>
        <w:t>m</w:t>
      </w:r>
      <w:r>
        <w:rPr>
          <w:rFonts w:ascii="Arial" w:hAnsi="Arial" w:cs="Arial"/>
          <w:sz w:val="24"/>
          <w:szCs w:val="24"/>
          <w:vertAlign w:val="superscript"/>
        </w:rPr>
        <w:t>3</w:t>
      </w:r>
      <w:r>
        <w:rPr>
          <w:rFonts w:ascii="Arial" w:hAnsi="Arial" w:cs="Arial"/>
          <w:sz w:val="24"/>
          <w:szCs w:val="24"/>
        </w:rPr>
        <w:t>/d</w:t>
      </w:r>
      <w:r>
        <w:rPr>
          <w:rFonts w:hint="eastAsia" w:ascii="Arial" w:hAnsi="Arial" w:eastAsia="宋体" w:cs="Arial"/>
          <w:spacing w:val="10"/>
          <w:sz w:val="24"/>
          <w:szCs w:val="24"/>
        </w:rPr>
        <w:t>，水污染物当量为392.325；远期，</w:t>
      </w:r>
      <w:r>
        <w:rPr>
          <w:rFonts w:hint="eastAsia" w:ascii="Arial" w:hAnsi="Arial" w:eastAsia="宋体" w:cs="Arial"/>
          <w:spacing w:val="10"/>
          <w:kern w:val="0"/>
          <w:sz w:val="24"/>
          <w:szCs w:val="24"/>
        </w:rPr>
        <w:t>待大榄坪污水处理厂升级改造完成后，项目</w:t>
      </w:r>
      <w:r>
        <w:rPr>
          <w:rFonts w:hint="eastAsia" w:ascii="Arial" w:hAnsi="Arial" w:eastAsia="宋体" w:cs="Arial"/>
          <w:spacing w:val="10"/>
          <w:sz w:val="24"/>
          <w:szCs w:val="24"/>
        </w:rPr>
        <w:t>生产废水经处理达标后排入</w:t>
      </w:r>
      <w:r>
        <w:rPr>
          <w:rFonts w:hint="eastAsia" w:ascii="Arial" w:hAnsi="Arial" w:eastAsia="宋体" w:cs="Arial"/>
          <w:spacing w:val="10"/>
          <w:kern w:val="0"/>
          <w:sz w:val="24"/>
          <w:szCs w:val="24"/>
        </w:rPr>
        <w:t>大榄坪污水处理厂处理。</w:t>
      </w:r>
    </w:p>
    <w:p w14:paraId="03D57EFD">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根据表1-22，近期项目生产废水排放量约78.95</w:t>
      </w:r>
      <w:r>
        <w:rPr>
          <w:rFonts w:ascii="Arial" w:hAnsi="Arial" w:cs="Arial"/>
          <w:sz w:val="24"/>
          <w:szCs w:val="24"/>
        </w:rPr>
        <w:t>m</w:t>
      </w:r>
      <w:r>
        <w:rPr>
          <w:rFonts w:ascii="Arial" w:hAnsi="Arial" w:cs="Arial"/>
          <w:sz w:val="24"/>
          <w:szCs w:val="24"/>
          <w:vertAlign w:val="superscript"/>
        </w:rPr>
        <w:t>3</w:t>
      </w:r>
      <w:r>
        <w:rPr>
          <w:rFonts w:ascii="Arial" w:hAnsi="Arial" w:cs="Arial"/>
          <w:sz w:val="24"/>
          <w:szCs w:val="24"/>
        </w:rPr>
        <w:t>/d</w:t>
      </w:r>
      <w:r>
        <w:rPr>
          <w:rFonts w:hint="eastAsia" w:ascii="Arial" w:hAnsi="Arial" w:eastAsia="宋体" w:cs="Arial"/>
          <w:spacing w:val="10"/>
          <w:sz w:val="24"/>
          <w:szCs w:val="24"/>
        </w:rPr>
        <w:t>，水污染物当量为392.325，判定项目地表水环境影响评价等级为三级A；远期项目废水间接排放，地表水环境影响评价等级为三级B。从严执行，项目地表水环境影响评价等级为三级A。</w:t>
      </w:r>
    </w:p>
    <w:p w14:paraId="30757538">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地下水环境影响评价等级</w:t>
      </w:r>
    </w:p>
    <w:p w14:paraId="251EBFDC">
      <w:pPr>
        <w:spacing w:line="500" w:lineRule="exact"/>
        <w:ind w:firstLine="476"/>
        <w:rPr>
          <w:rFonts w:ascii="Arial" w:hAnsi="Arial" w:eastAsia="宋体" w:cs="Arial"/>
          <w:spacing w:val="10"/>
          <w:sz w:val="24"/>
          <w:szCs w:val="24"/>
        </w:rPr>
      </w:pPr>
      <w:r>
        <w:rPr>
          <w:rFonts w:ascii="Arial" w:hAnsi="Arial" w:eastAsia="宋体" w:cs="Arial"/>
          <w:spacing w:val="10"/>
          <w:kern w:val="0"/>
          <w:sz w:val="24"/>
          <w:szCs w:val="24"/>
        </w:rPr>
        <w:t>根据《环境影响评价技术导则 地下水环境》（HJ610-2016）附录A的规定，项目</w:t>
      </w:r>
      <w:r>
        <w:rPr>
          <w:rFonts w:hint="eastAsia" w:ascii="Arial" w:hAnsi="Arial" w:eastAsia="宋体" w:cs="Arial"/>
          <w:spacing w:val="10"/>
          <w:kern w:val="0"/>
          <w:sz w:val="24"/>
          <w:szCs w:val="24"/>
        </w:rPr>
        <w:t>涉及</w:t>
      </w:r>
      <w:r>
        <w:rPr>
          <w:rFonts w:ascii="Arial" w:hAnsi="Arial" w:eastAsia="宋体" w:cs="Arial"/>
          <w:spacing w:val="10"/>
          <w:kern w:val="0"/>
          <w:sz w:val="24"/>
          <w:szCs w:val="24"/>
        </w:rPr>
        <w:t>附录A的化工</w:t>
      </w:r>
      <w:r>
        <w:rPr>
          <w:rFonts w:hint="eastAsia" w:ascii="Arial" w:hAnsi="Arial" w:eastAsia="宋体" w:cs="Arial"/>
          <w:spacing w:val="10"/>
          <w:kern w:val="0"/>
          <w:sz w:val="24"/>
          <w:szCs w:val="24"/>
        </w:rPr>
        <w:t>——基本化学原料制造</w:t>
      </w:r>
      <w:r>
        <w:rPr>
          <w:rFonts w:ascii="Arial" w:hAnsi="Arial" w:eastAsia="宋体" w:cs="Arial"/>
          <w:spacing w:val="10"/>
          <w:kern w:val="0"/>
          <w:sz w:val="24"/>
          <w:szCs w:val="24"/>
        </w:rPr>
        <w:t>，属于</w:t>
      </w:r>
      <w:r>
        <w:rPr>
          <w:rFonts w:hint="eastAsia" w:ascii="宋体" w:hAnsi="宋体" w:eastAsia="宋体" w:cs="宋体"/>
          <w:spacing w:val="10"/>
          <w:kern w:val="0"/>
          <w:sz w:val="24"/>
          <w:szCs w:val="24"/>
        </w:rPr>
        <w:t>Ⅰ</w:t>
      </w:r>
      <w:r>
        <w:rPr>
          <w:rFonts w:ascii="Arial" w:hAnsi="Arial" w:eastAsia="宋体" w:cs="Arial"/>
          <w:spacing w:val="10"/>
          <w:kern w:val="0"/>
          <w:sz w:val="24"/>
          <w:szCs w:val="24"/>
        </w:rPr>
        <w:t>类项目；项目区周边分布的村屯均已通市政自来水，地下水环境敏感程度属不敏感。根据HJ610-2016，按照地下水等级划分依据，确定项目地下水评价等级为二级，详见表1-2</w:t>
      </w:r>
      <w:r>
        <w:rPr>
          <w:rFonts w:hint="eastAsia" w:ascii="Arial" w:hAnsi="Arial" w:eastAsia="宋体" w:cs="Arial"/>
          <w:spacing w:val="10"/>
          <w:kern w:val="0"/>
          <w:sz w:val="24"/>
          <w:szCs w:val="24"/>
        </w:rPr>
        <w:t>3</w:t>
      </w:r>
      <w:r>
        <w:rPr>
          <w:rFonts w:ascii="Arial" w:hAnsi="Arial" w:eastAsia="宋体" w:cs="Arial"/>
          <w:spacing w:val="10"/>
          <w:kern w:val="0"/>
          <w:sz w:val="24"/>
          <w:szCs w:val="24"/>
        </w:rPr>
        <w:t>。</w:t>
      </w:r>
    </w:p>
    <w:p w14:paraId="27B31E95">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地下水评价工作等级分级表</w:t>
      </w:r>
    </w:p>
    <w:tbl>
      <w:tblPr>
        <w:tblStyle w:val="88"/>
        <w:tblW w:w="0" w:type="auto"/>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58"/>
        <w:gridCol w:w="2024"/>
        <w:gridCol w:w="2191"/>
        <w:gridCol w:w="2520"/>
      </w:tblGrid>
      <w:tr w14:paraId="2485517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2258" w:type="dxa"/>
            <w:vAlign w:val="center"/>
          </w:tcPr>
          <w:p w14:paraId="1DA914CB">
            <w:pPr>
              <w:spacing w:line="240" w:lineRule="exact"/>
              <w:jc w:val="center"/>
              <w:rPr>
                <w:rFonts w:ascii="Arial" w:hAnsi="Arial" w:eastAsia="宋体" w:cs="Arial"/>
                <w:sz w:val="21"/>
                <w:szCs w:val="24"/>
              </w:rPr>
            </w:pPr>
            <w:r>
              <w:rPr>
                <w:rFonts w:ascii="Arial" w:hAnsi="Arial" w:eastAsia="宋体" w:cs="Arial"/>
                <w:sz w:val="21"/>
                <w:szCs w:val="24"/>
              </w:rPr>
              <w:t xml:space="preserve">           项目类别</w:t>
            </w:r>
          </w:p>
          <w:p w14:paraId="7A8F8157">
            <w:pPr>
              <w:spacing w:line="240" w:lineRule="exact"/>
              <w:rPr>
                <w:rFonts w:ascii="Arial" w:hAnsi="Arial" w:eastAsia="宋体" w:cs="Arial"/>
                <w:sz w:val="21"/>
                <w:szCs w:val="24"/>
              </w:rPr>
            </w:pPr>
            <w:r>
              <w:rPr>
                <w:rFonts w:ascii="Arial" w:hAnsi="Arial" w:eastAsia="宋体" w:cs="Arial"/>
                <w:sz w:val="21"/>
                <w:szCs w:val="24"/>
              </w:rPr>
              <w:t>环境敏感程度</w:t>
            </w:r>
          </w:p>
        </w:tc>
        <w:tc>
          <w:tcPr>
            <w:tcW w:w="2024" w:type="dxa"/>
            <w:vAlign w:val="center"/>
          </w:tcPr>
          <w:p w14:paraId="6E61DF63">
            <w:pPr>
              <w:spacing w:line="240" w:lineRule="exact"/>
              <w:jc w:val="center"/>
              <w:rPr>
                <w:rFonts w:ascii="Arial" w:hAnsi="Arial" w:eastAsia="宋体" w:cs="Arial"/>
                <w:sz w:val="21"/>
                <w:szCs w:val="24"/>
              </w:rPr>
            </w:pPr>
            <w:r>
              <w:rPr>
                <w:rFonts w:ascii="Arial" w:hAnsi="Arial" w:eastAsia="宋体" w:cs="Arial"/>
                <w:sz w:val="21"/>
                <w:szCs w:val="24"/>
              </w:rPr>
              <w:t>I类项目</w:t>
            </w:r>
          </w:p>
        </w:tc>
        <w:tc>
          <w:tcPr>
            <w:tcW w:w="2191" w:type="dxa"/>
            <w:vAlign w:val="center"/>
          </w:tcPr>
          <w:p w14:paraId="3BC3D1AD">
            <w:pPr>
              <w:spacing w:line="240" w:lineRule="exact"/>
              <w:jc w:val="center"/>
              <w:rPr>
                <w:rFonts w:ascii="Arial" w:hAnsi="Arial" w:eastAsia="宋体" w:cs="Arial"/>
                <w:sz w:val="21"/>
                <w:szCs w:val="24"/>
              </w:rPr>
            </w:pPr>
            <w:r>
              <w:rPr>
                <w:rFonts w:ascii="Arial" w:hAnsi="Arial" w:eastAsia="宋体" w:cs="Arial"/>
                <w:sz w:val="21"/>
                <w:szCs w:val="24"/>
              </w:rPr>
              <w:t>II类项目</w:t>
            </w:r>
          </w:p>
        </w:tc>
        <w:tc>
          <w:tcPr>
            <w:tcW w:w="2520" w:type="dxa"/>
            <w:vAlign w:val="center"/>
          </w:tcPr>
          <w:p w14:paraId="624FA54C">
            <w:pPr>
              <w:spacing w:line="240" w:lineRule="exact"/>
              <w:jc w:val="center"/>
              <w:rPr>
                <w:rFonts w:ascii="Arial" w:hAnsi="Arial" w:eastAsia="宋体" w:cs="Arial"/>
                <w:sz w:val="21"/>
                <w:szCs w:val="24"/>
              </w:rPr>
            </w:pPr>
            <w:r>
              <w:rPr>
                <w:rFonts w:ascii="Arial" w:hAnsi="Arial" w:eastAsia="宋体" w:cs="Arial"/>
                <w:sz w:val="21"/>
                <w:szCs w:val="24"/>
              </w:rPr>
              <w:t>III类项目</w:t>
            </w:r>
          </w:p>
        </w:tc>
      </w:tr>
      <w:tr w14:paraId="527A76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258" w:type="dxa"/>
            <w:vAlign w:val="center"/>
          </w:tcPr>
          <w:p w14:paraId="2992270E">
            <w:pPr>
              <w:spacing w:line="240" w:lineRule="exact"/>
              <w:jc w:val="center"/>
              <w:rPr>
                <w:rFonts w:ascii="Arial" w:hAnsi="Arial" w:eastAsia="宋体" w:cs="Arial"/>
                <w:sz w:val="21"/>
                <w:szCs w:val="24"/>
              </w:rPr>
            </w:pPr>
            <w:r>
              <w:rPr>
                <w:rFonts w:ascii="Arial" w:hAnsi="Arial" w:eastAsia="宋体" w:cs="Arial"/>
                <w:sz w:val="21"/>
                <w:szCs w:val="24"/>
              </w:rPr>
              <w:t>敏感</w:t>
            </w:r>
          </w:p>
        </w:tc>
        <w:tc>
          <w:tcPr>
            <w:tcW w:w="2024" w:type="dxa"/>
            <w:vAlign w:val="center"/>
          </w:tcPr>
          <w:p w14:paraId="66F1171B">
            <w:pPr>
              <w:spacing w:line="240" w:lineRule="exact"/>
              <w:jc w:val="center"/>
              <w:rPr>
                <w:rFonts w:ascii="Arial" w:hAnsi="Arial" w:eastAsia="宋体" w:cs="Arial"/>
                <w:sz w:val="21"/>
                <w:szCs w:val="24"/>
              </w:rPr>
            </w:pPr>
            <w:r>
              <w:rPr>
                <w:rFonts w:ascii="Arial" w:hAnsi="Arial" w:eastAsia="宋体" w:cs="Arial"/>
                <w:sz w:val="21"/>
                <w:szCs w:val="24"/>
              </w:rPr>
              <w:t>一</w:t>
            </w:r>
          </w:p>
        </w:tc>
        <w:tc>
          <w:tcPr>
            <w:tcW w:w="2191" w:type="dxa"/>
            <w:vAlign w:val="center"/>
          </w:tcPr>
          <w:p w14:paraId="4A104A8A">
            <w:pPr>
              <w:spacing w:line="240" w:lineRule="exact"/>
              <w:jc w:val="center"/>
              <w:rPr>
                <w:rFonts w:ascii="Arial" w:hAnsi="Arial" w:eastAsia="宋体" w:cs="Arial"/>
                <w:sz w:val="21"/>
                <w:szCs w:val="24"/>
              </w:rPr>
            </w:pPr>
            <w:r>
              <w:rPr>
                <w:rFonts w:ascii="Arial" w:hAnsi="Arial" w:eastAsia="宋体" w:cs="Arial"/>
                <w:sz w:val="21"/>
                <w:szCs w:val="24"/>
              </w:rPr>
              <w:t>一</w:t>
            </w:r>
          </w:p>
        </w:tc>
        <w:tc>
          <w:tcPr>
            <w:tcW w:w="2520" w:type="dxa"/>
            <w:vAlign w:val="center"/>
          </w:tcPr>
          <w:p w14:paraId="6E0860E7">
            <w:pPr>
              <w:spacing w:line="240" w:lineRule="exact"/>
              <w:jc w:val="center"/>
              <w:rPr>
                <w:rFonts w:ascii="Arial" w:hAnsi="Arial" w:eastAsia="宋体" w:cs="Arial"/>
                <w:sz w:val="21"/>
                <w:szCs w:val="24"/>
              </w:rPr>
            </w:pPr>
            <w:r>
              <w:rPr>
                <w:rFonts w:ascii="Arial" w:hAnsi="Arial" w:eastAsia="宋体" w:cs="Arial"/>
                <w:sz w:val="21"/>
                <w:szCs w:val="24"/>
              </w:rPr>
              <w:t>二</w:t>
            </w:r>
          </w:p>
        </w:tc>
      </w:tr>
      <w:tr w14:paraId="14EEB6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258" w:type="dxa"/>
            <w:shd w:val="clear" w:color="auto" w:fill="auto"/>
            <w:vAlign w:val="center"/>
          </w:tcPr>
          <w:p w14:paraId="3F2B89AF">
            <w:pPr>
              <w:spacing w:line="240" w:lineRule="exact"/>
              <w:jc w:val="center"/>
              <w:rPr>
                <w:rFonts w:ascii="Arial" w:hAnsi="Arial" w:eastAsia="宋体" w:cs="Arial"/>
                <w:sz w:val="21"/>
                <w:szCs w:val="24"/>
              </w:rPr>
            </w:pPr>
            <w:r>
              <w:rPr>
                <w:rFonts w:ascii="Arial" w:hAnsi="Arial" w:eastAsia="宋体" w:cs="Arial"/>
                <w:sz w:val="21"/>
                <w:szCs w:val="24"/>
              </w:rPr>
              <w:t>较敏感</w:t>
            </w:r>
          </w:p>
        </w:tc>
        <w:tc>
          <w:tcPr>
            <w:tcW w:w="2024" w:type="dxa"/>
            <w:shd w:val="clear" w:color="auto" w:fill="auto"/>
            <w:vAlign w:val="center"/>
          </w:tcPr>
          <w:p w14:paraId="044DCCCE">
            <w:pPr>
              <w:spacing w:line="240" w:lineRule="exact"/>
              <w:jc w:val="center"/>
              <w:rPr>
                <w:rFonts w:ascii="Arial" w:hAnsi="Arial" w:eastAsia="宋体" w:cs="Arial"/>
                <w:sz w:val="21"/>
                <w:szCs w:val="24"/>
              </w:rPr>
            </w:pPr>
            <w:r>
              <w:rPr>
                <w:rFonts w:ascii="Arial" w:hAnsi="Arial" w:eastAsia="宋体" w:cs="Arial"/>
                <w:sz w:val="21"/>
                <w:szCs w:val="24"/>
              </w:rPr>
              <w:t>一</w:t>
            </w:r>
          </w:p>
        </w:tc>
        <w:tc>
          <w:tcPr>
            <w:tcW w:w="2191" w:type="dxa"/>
            <w:shd w:val="clear" w:color="auto" w:fill="auto"/>
            <w:vAlign w:val="center"/>
          </w:tcPr>
          <w:p w14:paraId="37B6A03A">
            <w:pPr>
              <w:spacing w:line="240" w:lineRule="exact"/>
              <w:jc w:val="center"/>
              <w:rPr>
                <w:rFonts w:ascii="Arial" w:hAnsi="Arial" w:eastAsia="宋体" w:cs="Arial"/>
                <w:sz w:val="21"/>
                <w:szCs w:val="24"/>
              </w:rPr>
            </w:pPr>
            <w:r>
              <w:rPr>
                <w:rFonts w:ascii="Arial" w:hAnsi="Arial" w:eastAsia="宋体" w:cs="Arial"/>
                <w:sz w:val="21"/>
                <w:szCs w:val="24"/>
              </w:rPr>
              <w:t>二</w:t>
            </w:r>
          </w:p>
        </w:tc>
        <w:tc>
          <w:tcPr>
            <w:tcW w:w="2520" w:type="dxa"/>
            <w:vAlign w:val="center"/>
          </w:tcPr>
          <w:p w14:paraId="742D9D0B">
            <w:pPr>
              <w:spacing w:line="240" w:lineRule="exact"/>
              <w:jc w:val="center"/>
              <w:rPr>
                <w:rFonts w:ascii="Arial" w:hAnsi="Arial" w:eastAsia="宋体" w:cs="Arial"/>
                <w:sz w:val="21"/>
                <w:szCs w:val="24"/>
              </w:rPr>
            </w:pPr>
            <w:r>
              <w:rPr>
                <w:rFonts w:ascii="Arial" w:hAnsi="Arial" w:eastAsia="宋体" w:cs="Arial"/>
                <w:sz w:val="21"/>
                <w:szCs w:val="24"/>
              </w:rPr>
              <w:t>三</w:t>
            </w:r>
          </w:p>
        </w:tc>
      </w:tr>
      <w:tr w14:paraId="2AD503C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258" w:type="dxa"/>
            <w:shd w:val="clear" w:color="auto" w:fill="auto"/>
            <w:vAlign w:val="center"/>
          </w:tcPr>
          <w:p w14:paraId="24D23D1F">
            <w:pPr>
              <w:spacing w:line="240" w:lineRule="exact"/>
              <w:jc w:val="center"/>
              <w:rPr>
                <w:rFonts w:ascii="Arial" w:hAnsi="Arial" w:eastAsia="宋体" w:cs="Arial"/>
                <w:sz w:val="21"/>
                <w:szCs w:val="24"/>
              </w:rPr>
            </w:pPr>
            <w:r>
              <w:rPr>
                <w:rFonts w:ascii="Arial" w:hAnsi="Arial" w:eastAsia="宋体" w:cs="Arial"/>
                <w:sz w:val="21"/>
                <w:szCs w:val="24"/>
              </w:rPr>
              <w:t>不敏感</w:t>
            </w:r>
          </w:p>
        </w:tc>
        <w:tc>
          <w:tcPr>
            <w:tcW w:w="2024" w:type="dxa"/>
            <w:shd w:val="clear" w:color="auto" w:fill="EEECE1" w:themeFill="background2"/>
            <w:vAlign w:val="center"/>
          </w:tcPr>
          <w:p w14:paraId="307F8483">
            <w:pPr>
              <w:spacing w:line="240" w:lineRule="exact"/>
              <w:jc w:val="center"/>
              <w:rPr>
                <w:rFonts w:ascii="Arial" w:hAnsi="Arial" w:eastAsia="宋体" w:cs="Arial"/>
                <w:sz w:val="21"/>
                <w:szCs w:val="24"/>
              </w:rPr>
            </w:pPr>
            <w:r>
              <w:rPr>
                <w:rFonts w:ascii="Arial" w:hAnsi="Arial" w:eastAsia="宋体" w:cs="Arial"/>
                <w:sz w:val="21"/>
                <w:szCs w:val="24"/>
              </w:rPr>
              <w:t>二</w:t>
            </w:r>
          </w:p>
        </w:tc>
        <w:tc>
          <w:tcPr>
            <w:tcW w:w="2191" w:type="dxa"/>
            <w:shd w:val="clear" w:color="auto" w:fill="auto"/>
            <w:vAlign w:val="center"/>
          </w:tcPr>
          <w:p w14:paraId="270B5C8C">
            <w:pPr>
              <w:spacing w:line="240" w:lineRule="exact"/>
              <w:jc w:val="center"/>
              <w:rPr>
                <w:rFonts w:ascii="Arial" w:hAnsi="Arial" w:eastAsia="宋体" w:cs="Arial"/>
                <w:sz w:val="21"/>
                <w:szCs w:val="24"/>
              </w:rPr>
            </w:pPr>
            <w:r>
              <w:rPr>
                <w:rFonts w:ascii="Arial" w:hAnsi="Arial" w:eastAsia="宋体" w:cs="Arial"/>
                <w:sz w:val="21"/>
                <w:szCs w:val="24"/>
              </w:rPr>
              <w:t>三</w:t>
            </w:r>
          </w:p>
        </w:tc>
        <w:tc>
          <w:tcPr>
            <w:tcW w:w="2520" w:type="dxa"/>
            <w:vAlign w:val="center"/>
          </w:tcPr>
          <w:p w14:paraId="79EA4138">
            <w:pPr>
              <w:spacing w:line="240" w:lineRule="exact"/>
              <w:jc w:val="center"/>
              <w:rPr>
                <w:rFonts w:ascii="Arial" w:hAnsi="Arial" w:eastAsia="宋体" w:cs="Arial"/>
                <w:sz w:val="21"/>
                <w:szCs w:val="24"/>
              </w:rPr>
            </w:pPr>
            <w:r>
              <w:rPr>
                <w:rFonts w:ascii="Arial" w:hAnsi="Arial" w:eastAsia="宋体" w:cs="Arial"/>
                <w:sz w:val="21"/>
                <w:szCs w:val="24"/>
              </w:rPr>
              <w:t>三</w:t>
            </w:r>
          </w:p>
        </w:tc>
      </w:tr>
    </w:tbl>
    <w:p w14:paraId="48FF65BA">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声环境影响评价等级</w:t>
      </w:r>
    </w:p>
    <w:p w14:paraId="08EE6864">
      <w:pPr>
        <w:spacing w:line="500" w:lineRule="exact"/>
        <w:ind w:firstLine="490" w:firstLineChars="200"/>
        <w:rPr>
          <w:rFonts w:ascii="Arial" w:hAnsi="Arial" w:eastAsia="宋体" w:cs="Arial"/>
          <w:spacing w:val="10"/>
          <w:sz w:val="24"/>
          <w:szCs w:val="24"/>
        </w:rPr>
      </w:pPr>
      <w:r>
        <w:rPr>
          <w:rFonts w:ascii="Arial" w:hAnsi="Arial" w:eastAsia="宋体" w:cs="Arial"/>
          <w:snapToGrid w:val="0"/>
          <w:spacing w:val="10"/>
          <w:kern w:val="0"/>
          <w:sz w:val="24"/>
          <w:szCs w:val="24"/>
        </w:rPr>
        <w:t>《环境影响评价技术导则 声环境》（HJ2.4-2021）中噪声评价工作等级划分的依据包括声环境功能区划、声环境保护目标噪声级增量、受噪声影响人口数量。</w:t>
      </w:r>
    </w:p>
    <w:p w14:paraId="3D27734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项目所在地声环境功能区为3类区，项目建成前后</w:t>
      </w:r>
      <w:r>
        <w:rPr>
          <w:rFonts w:ascii="Arial" w:hAnsi="Arial" w:eastAsia="宋体" w:cs="Arial"/>
          <w:snapToGrid w:val="0"/>
          <w:spacing w:val="10"/>
          <w:kern w:val="0"/>
          <w:sz w:val="24"/>
          <w:szCs w:val="24"/>
        </w:rPr>
        <w:t>声环境保护目标</w:t>
      </w:r>
      <w:r>
        <w:rPr>
          <w:rFonts w:ascii="Arial" w:hAnsi="Arial" w:eastAsia="宋体" w:cs="Arial"/>
          <w:spacing w:val="10"/>
          <w:sz w:val="24"/>
          <w:szCs w:val="24"/>
        </w:rPr>
        <w:t>噪声级增加量≤3dB（A）、受影响人口变化不大。根据HJ2.4-2021相关规定，项目的声环境影响评价工作等级定为三级，详见表1-2</w:t>
      </w:r>
      <w:r>
        <w:rPr>
          <w:rFonts w:hint="eastAsia" w:ascii="Arial" w:hAnsi="Arial" w:eastAsia="宋体" w:cs="Arial"/>
          <w:spacing w:val="10"/>
          <w:sz w:val="24"/>
          <w:szCs w:val="24"/>
        </w:rPr>
        <w:t>4</w:t>
      </w:r>
      <w:r>
        <w:rPr>
          <w:rFonts w:ascii="Arial" w:hAnsi="Arial" w:eastAsia="宋体" w:cs="Arial"/>
          <w:spacing w:val="10"/>
          <w:sz w:val="24"/>
          <w:szCs w:val="24"/>
        </w:rPr>
        <w:t>。</w:t>
      </w:r>
    </w:p>
    <w:p w14:paraId="2D7F7345">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声环境影响评价工作等级划分</w:t>
      </w:r>
    </w:p>
    <w:tbl>
      <w:tblPr>
        <w:tblStyle w:val="88"/>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93"/>
        <w:gridCol w:w="5475"/>
        <w:gridCol w:w="1225"/>
      </w:tblGrid>
      <w:tr w14:paraId="3AED78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3" w:type="dxa"/>
            <w:vAlign w:val="center"/>
          </w:tcPr>
          <w:p w14:paraId="0D75E22E">
            <w:pPr>
              <w:spacing w:line="240" w:lineRule="exact"/>
              <w:jc w:val="center"/>
              <w:rPr>
                <w:rFonts w:ascii="Arial" w:hAnsi="Arial" w:eastAsia="宋体" w:cs="Arial"/>
                <w:sz w:val="21"/>
                <w:szCs w:val="24"/>
              </w:rPr>
            </w:pPr>
            <w:r>
              <w:rPr>
                <w:rFonts w:ascii="Arial" w:hAnsi="Arial" w:eastAsia="宋体" w:cs="Arial"/>
                <w:sz w:val="21"/>
                <w:szCs w:val="24"/>
              </w:rPr>
              <w:t>划分要素</w:t>
            </w:r>
          </w:p>
        </w:tc>
        <w:tc>
          <w:tcPr>
            <w:tcW w:w="5475" w:type="dxa"/>
            <w:vAlign w:val="center"/>
          </w:tcPr>
          <w:p w14:paraId="7E72B674">
            <w:pPr>
              <w:spacing w:line="240" w:lineRule="exact"/>
              <w:jc w:val="center"/>
              <w:rPr>
                <w:rFonts w:ascii="Arial" w:hAnsi="Arial" w:eastAsia="宋体" w:cs="Arial"/>
                <w:sz w:val="21"/>
                <w:szCs w:val="24"/>
              </w:rPr>
            </w:pPr>
            <w:r>
              <w:rPr>
                <w:rFonts w:ascii="Arial" w:hAnsi="Arial" w:eastAsia="宋体" w:cs="Arial"/>
                <w:sz w:val="21"/>
                <w:szCs w:val="24"/>
              </w:rPr>
              <w:t>划分依据</w:t>
            </w:r>
          </w:p>
        </w:tc>
        <w:tc>
          <w:tcPr>
            <w:tcW w:w="1225" w:type="dxa"/>
            <w:vAlign w:val="center"/>
          </w:tcPr>
          <w:p w14:paraId="11CE85BE">
            <w:pPr>
              <w:spacing w:line="240" w:lineRule="exact"/>
              <w:jc w:val="center"/>
              <w:rPr>
                <w:rFonts w:ascii="Arial" w:hAnsi="Arial" w:eastAsia="宋体" w:cs="Arial"/>
                <w:sz w:val="21"/>
                <w:szCs w:val="24"/>
              </w:rPr>
            </w:pPr>
            <w:r>
              <w:rPr>
                <w:rFonts w:ascii="Arial" w:hAnsi="Arial" w:eastAsia="宋体" w:cs="Arial"/>
                <w:sz w:val="21"/>
                <w:szCs w:val="24"/>
              </w:rPr>
              <w:t>评价等级</w:t>
            </w:r>
          </w:p>
        </w:tc>
      </w:tr>
      <w:tr w14:paraId="76FD0F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3" w:type="dxa"/>
            <w:vAlign w:val="center"/>
          </w:tcPr>
          <w:p w14:paraId="4330F1F7">
            <w:pPr>
              <w:spacing w:line="240" w:lineRule="exact"/>
              <w:jc w:val="center"/>
              <w:rPr>
                <w:rFonts w:ascii="Arial" w:hAnsi="Arial" w:eastAsia="宋体" w:cs="Arial"/>
                <w:sz w:val="21"/>
                <w:szCs w:val="24"/>
              </w:rPr>
            </w:pPr>
            <w:r>
              <w:rPr>
                <w:rFonts w:ascii="Arial" w:hAnsi="Arial" w:eastAsia="宋体" w:cs="Arial"/>
                <w:sz w:val="21"/>
                <w:szCs w:val="24"/>
              </w:rPr>
              <w:t>声环境功能区划</w:t>
            </w:r>
          </w:p>
        </w:tc>
        <w:tc>
          <w:tcPr>
            <w:tcW w:w="5475" w:type="dxa"/>
            <w:vAlign w:val="center"/>
          </w:tcPr>
          <w:p w14:paraId="47BF75CF">
            <w:pPr>
              <w:spacing w:line="240" w:lineRule="exact"/>
              <w:jc w:val="center"/>
              <w:rPr>
                <w:rFonts w:ascii="Arial" w:hAnsi="Arial" w:eastAsia="宋体" w:cs="Arial"/>
                <w:sz w:val="21"/>
                <w:szCs w:val="24"/>
              </w:rPr>
            </w:pPr>
            <w:r>
              <w:rPr>
                <w:rFonts w:ascii="Arial" w:hAnsi="Arial" w:eastAsia="宋体" w:cs="Arial"/>
                <w:sz w:val="21"/>
                <w:szCs w:val="24"/>
              </w:rPr>
              <w:t>厂区位于《声环境质量标准》（GB3096-2008）3类区</w:t>
            </w:r>
          </w:p>
        </w:tc>
        <w:tc>
          <w:tcPr>
            <w:tcW w:w="1225" w:type="dxa"/>
            <w:vAlign w:val="center"/>
          </w:tcPr>
          <w:p w14:paraId="17176151">
            <w:pPr>
              <w:spacing w:line="240" w:lineRule="exact"/>
              <w:jc w:val="center"/>
              <w:rPr>
                <w:rFonts w:ascii="Arial" w:hAnsi="Arial" w:eastAsia="宋体" w:cs="Arial"/>
                <w:sz w:val="21"/>
                <w:szCs w:val="24"/>
              </w:rPr>
            </w:pPr>
            <w:r>
              <w:rPr>
                <w:rFonts w:ascii="Arial" w:hAnsi="Arial" w:eastAsia="宋体" w:cs="Arial"/>
                <w:sz w:val="21"/>
                <w:szCs w:val="24"/>
              </w:rPr>
              <w:t>三级</w:t>
            </w:r>
          </w:p>
        </w:tc>
      </w:tr>
      <w:tr w14:paraId="64AA7B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3" w:type="dxa"/>
            <w:vAlign w:val="center"/>
          </w:tcPr>
          <w:p w14:paraId="65395EDD">
            <w:pPr>
              <w:spacing w:line="240" w:lineRule="exact"/>
              <w:jc w:val="center"/>
              <w:rPr>
                <w:rFonts w:ascii="Arial" w:hAnsi="Arial" w:eastAsia="宋体" w:cs="Arial"/>
                <w:sz w:val="21"/>
                <w:szCs w:val="24"/>
              </w:rPr>
            </w:pPr>
            <w:r>
              <w:rPr>
                <w:rFonts w:ascii="Arial" w:hAnsi="Arial" w:eastAsia="宋体" w:cs="Arial"/>
                <w:sz w:val="21"/>
                <w:szCs w:val="24"/>
              </w:rPr>
              <w:t>声环境保护目标噪声级增量</w:t>
            </w:r>
          </w:p>
        </w:tc>
        <w:tc>
          <w:tcPr>
            <w:tcW w:w="5475" w:type="dxa"/>
            <w:vAlign w:val="center"/>
          </w:tcPr>
          <w:p w14:paraId="64F93F64">
            <w:pPr>
              <w:spacing w:line="240" w:lineRule="exact"/>
              <w:jc w:val="center"/>
              <w:rPr>
                <w:rFonts w:ascii="Arial" w:hAnsi="Arial" w:eastAsia="宋体" w:cs="Arial"/>
                <w:sz w:val="21"/>
                <w:szCs w:val="24"/>
              </w:rPr>
            </w:pPr>
            <w:r>
              <w:rPr>
                <w:rFonts w:ascii="Arial" w:hAnsi="Arial" w:eastAsia="宋体" w:cs="Arial"/>
                <w:sz w:val="21"/>
                <w:szCs w:val="24"/>
              </w:rPr>
              <w:t>小于3dB（A）</w:t>
            </w:r>
          </w:p>
        </w:tc>
        <w:tc>
          <w:tcPr>
            <w:tcW w:w="1225" w:type="dxa"/>
            <w:vAlign w:val="center"/>
          </w:tcPr>
          <w:p w14:paraId="4901C9E0">
            <w:pPr>
              <w:spacing w:line="240" w:lineRule="exact"/>
              <w:jc w:val="center"/>
              <w:rPr>
                <w:rFonts w:ascii="Arial" w:hAnsi="Arial" w:eastAsia="宋体" w:cs="Arial"/>
                <w:sz w:val="21"/>
                <w:szCs w:val="24"/>
              </w:rPr>
            </w:pPr>
            <w:r>
              <w:rPr>
                <w:rFonts w:ascii="Arial" w:hAnsi="Arial" w:eastAsia="宋体" w:cs="Arial"/>
                <w:sz w:val="21"/>
                <w:szCs w:val="24"/>
              </w:rPr>
              <w:t>三级</w:t>
            </w:r>
          </w:p>
        </w:tc>
      </w:tr>
      <w:tr w14:paraId="0F411D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3" w:type="dxa"/>
            <w:vAlign w:val="center"/>
          </w:tcPr>
          <w:p w14:paraId="7B4EEC40">
            <w:pPr>
              <w:spacing w:line="240" w:lineRule="exact"/>
              <w:jc w:val="center"/>
              <w:rPr>
                <w:rFonts w:ascii="Arial" w:hAnsi="Arial" w:eastAsia="宋体" w:cs="Arial"/>
                <w:sz w:val="21"/>
                <w:szCs w:val="24"/>
              </w:rPr>
            </w:pPr>
            <w:r>
              <w:rPr>
                <w:rFonts w:ascii="Arial" w:hAnsi="Arial" w:eastAsia="宋体" w:cs="Arial"/>
                <w:sz w:val="21"/>
                <w:szCs w:val="24"/>
              </w:rPr>
              <w:t>受噪声影响人口数量</w:t>
            </w:r>
          </w:p>
        </w:tc>
        <w:tc>
          <w:tcPr>
            <w:tcW w:w="5475" w:type="dxa"/>
            <w:vAlign w:val="center"/>
          </w:tcPr>
          <w:p w14:paraId="1DCA4EA9">
            <w:pPr>
              <w:spacing w:line="240" w:lineRule="exact"/>
              <w:jc w:val="center"/>
              <w:rPr>
                <w:rFonts w:ascii="Arial" w:hAnsi="Arial" w:eastAsia="宋体" w:cs="Arial"/>
                <w:sz w:val="21"/>
                <w:szCs w:val="24"/>
              </w:rPr>
            </w:pPr>
            <w:r>
              <w:rPr>
                <w:rFonts w:ascii="Arial" w:hAnsi="Arial" w:eastAsia="宋体" w:cs="Arial"/>
                <w:sz w:val="21"/>
                <w:szCs w:val="24"/>
              </w:rPr>
              <w:t>变化不大</w:t>
            </w:r>
          </w:p>
        </w:tc>
        <w:tc>
          <w:tcPr>
            <w:tcW w:w="1225" w:type="dxa"/>
            <w:vAlign w:val="center"/>
          </w:tcPr>
          <w:p w14:paraId="75386329">
            <w:pPr>
              <w:spacing w:line="240" w:lineRule="exact"/>
              <w:jc w:val="center"/>
              <w:rPr>
                <w:rFonts w:ascii="Arial" w:hAnsi="Arial" w:eastAsia="宋体" w:cs="Arial"/>
                <w:sz w:val="21"/>
                <w:szCs w:val="24"/>
              </w:rPr>
            </w:pPr>
            <w:r>
              <w:rPr>
                <w:rFonts w:ascii="Arial" w:hAnsi="Arial" w:eastAsia="宋体" w:cs="Arial"/>
                <w:sz w:val="21"/>
                <w:szCs w:val="24"/>
              </w:rPr>
              <w:t>三级</w:t>
            </w:r>
          </w:p>
        </w:tc>
      </w:tr>
      <w:tr w14:paraId="4D7648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3" w:type="dxa"/>
            <w:shd w:val="clear" w:color="auto" w:fill="auto"/>
            <w:vAlign w:val="center"/>
          </w:tcPr>
          <w:p w14:paraId="5021D9EE">
            <w:pPr>
              <w:spacing w:line="240" w:lineRule="exact"/>
              <w:jc w:val="center"/>
              <w:rPr>
                <w:rFonts w:ascii="Arial" w:hAnsi="Arial" w:eastAsia="宋体" w:cs="Arial"/>
                <w:sz w:val="21"/>
                <w:szCs w:val="24"/>
              </w:rPr>
            </w:pPr>
            <w:r>
              <w:rPr>
                <w:rFonts w:ascii="Arial" w:hAnsi="Arial" w:eastAsia="宋体" w:cs="Arial"/>
                <w:sz w:val="21"/>
                <w:szCs w:val="24"/>
              </w:rPr>
              <w:t>声评价等级</w:t>
            </w:r>
          </w:p>
        </w:tc>
        <w:tc>
          <w:tcPr>
            <w:tcW w:w="5475" w:type="dxa"/>
            <w:shd w:val="clear" w:color="auto" w:fill="auto"/>
            <w:vAlign w:val="center"/>
          </w:tcPr>
          <w:p w14:paraId="3DB254BB">
            <w:pPr>
              <w:spacing w:line="240" w:lineRule="exact"/>
              <w:jc w:val="center"/>
              <w:rPr>
                <w:rFonts w:ascii="Arial" w:hAnsi="Arial" w:eastAsia="宋体" w:cs="Arial"/>
                <w:sz w:val="21"/>
                <w:szCs w:val="24"/>
              </w:rPr>
            </w:pPr>
            <w:r>
              <w:rPr>
                <w:rFonts w:ascii="Arial" w:hAnsi="Arial" w:eastAsia="宋体" w:cs="Arial"/>
                <w:sz w:val="21"/>
                <w:szCs w:val="24"/>
              </w:rPr>
              <w:t>/</w:t>
            </w:r>
          </w:p>
        </w:tc>
        <w:tc>
          <w:tcPr>
            <w:tcW w:w="1225" w:type="dxa"/>
            <w:shd w:val="clear" w:color="auto" w:fill="E6E6E6"/>
            <w:vAlign w:val="center"/>
          </w:tcPr>
          <w:p w14:paraId="7D695888">
            <w:pPr>
              <w:spacing w:line="240" w:lineRule="exact"/>
              <w:jc w:val="center"/>
              <w:rPr>
                <w:rFonts w:ascii="Arial" w:hAnsi="Arial" w:eastAsia="宋体" w:cs="Arial"/>
                <w:sz w:val="21"/>
                <w:szCs w:val="24"/>
              </w:rPr>
            </w:pPr>
            <w:r>
              <w:rPr>
                <w:rFonts w:ascii="Arial" w:hAnsi="Arial" w:eastAsia="宋体" w:cs="Arial"/>
                <w:sz w:val="21"/>
                <w:szCs w:val="24"/>
              </w:rPr>
              <w:t>三级</w:t>
            </w:r>
          </w:p>
        </w:tc>
      </w:tr>
    </w:tbl>
    <w:p w14:paraId="4DB505BC">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环境风险评价等级</w:t>
      </w:r>
    </w:p>
    <w:p w14:paraId="34A9E00E">
      <w:pPr>
        <w:spacing w:line="500" w:lineRule="exact"/>
        <w:ind w:firstLine="490" w:firstLineChars="200"/>
        <w:rPr>
          <w:rFonts w:ascii="Arial" w:hAnsi="Arial" w:eastAsia="宋体" w:cs="Arial"/>
          <w:snapToGrid w:val="0"/>
          <w:spacing w:val="10"/>
          <w:kern w:val="0"/>
          <w:sz w:val="24"/>
          <w:szCs w:val="24"/>
        </w:rPr>
      </w:pPr>
      <w:r>
        <w:rPr>
          <w:rFonts w:ascii="Arial" w:hAnsi="Arial" w:eastAsia="宋体" w:cs="Arial"/>
          <w:snapToGrid w:val="0"/>
          <w:spacing w:val="10"/>
          <w:kern w:val="0"/>
          <w:sz w:val="24"/>
          <w:szCs w:val="24"/>
        </w:rPr>
        <w:t>依据《建设项目环境风险评价技术导则》（HJ169-2018），建设项目环境风险评价工作级别按表1-</w:t>
      </w:r>
      <w:r>
        <w:rPr>
          <w:rFonts w:hint="eastAsia" w:ascii="Arial" w:hAnsi="Arial" w:eastAsia="宋体" w:cs="Arial"/>
          <w:snapToGrid w:val="0"/>
          <w:spacing w:val="10"/>
          <w:kern w:val="0"/>
          <w:sz w:val="24"/>
          <w:szCs w:val="24"/>
        </w:rPr>
        <w:t>25</w:t>
      </w:r>
      <w:r>
        <w:rPr>
          <w:rFonts w:ascii="Arial" w:hAnsi="Arial" w:eastAsia="宋体" w:cs="Arial"/>
          <w:snapToGrid w:val="0"/>
          <w:spacing w:val="10"/>
          <w:kern w:val="0"/>
          <w:sz w:val="24"/>
          <w:szCs w:val="24"/>
        </w:rPr>
        <w:t>进行划分。</w:t>
      </w:r>
    </w:p>
    <w:p w14:paraId="74053BFE">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风险评价工作等级划分表</w:t>
      </w:r>
    </w:p>
    <w:tbl>
      <w:tblPr>
        <w:tblStyle w:val="88"/>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228"/>
        <w:gridCol w:w="1691"/>
        <w:gridCol w:w="1691"/>
        <w:gridCol w:w="1691"/>
        <w:gridCol w:w="1692"/>
      </w:tblGrid>
      <w:tr w14:paraId="260C02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40" w:hRule="atLeast"/>
        </w:trPr>
        <w:tc>
          <w:tcPr>
            <w:tcW w:w="2228" w:type="dxa"/>
            <w:vAlign w:val="center"/>
          </w:tcPr>
          <w:p w14:paraId="07DB875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环境风险潜势</w:t>
            </w:r>
          </w:p>
        </w:tc>
        <w:tc>
          <w:tcPr>
            <w:tcW w:w="1691" w:type="dxa"/>
            <w:vAlign w:val="center"/>
          </w:tcPr>
          <w:p w14:paraId="0BE40F6B">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r>
              <w:rPr>
                <w:rFonts w:ascii="Arial" w:hAnsi="Arial" w:eastAsia="宋体" w:cs="Arial"/>
                <w:spacing w:val="10"/>
                <w:sz w:val="21"/>
                <w:szCs w:val="21"/>
              </w:rPr>
              <w:t>、</w:t>
            </w: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p>
        </w:tc>
        <w:tc>
          <w:tcPr>
            <w:tcW w:w="1691" w:type="dxa"/>
            <w:vAlign w:val="center"/>
          </w:tcPr>
          <w:p w14:paraId="4730242F">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vAlign w:val="center"/>
          </w:tcPr>
          <w:p w14:paraId="1CE8EE47">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c>
          <w:tcPr>
            <w:tcW w:w="1692" w:type="dxa"/>
            <w:vAlign w:val="center"/>
          </w:tcPr>
          <w:p w14:paraId="2F09CD0C">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Ⅰ</w:t>
            </w:r>
          </w:p>
        </w:tc>
      </w:tr>
      <w:tr w14:paraId="0A6748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2228" w:type="dxa"/>
            <w:shd w:val="clear" w:color="auto" w:fill="auto"/>
            <w:vAlign w:val="center"/>
          </w:tcPr>
          <w:p w14:paraId="35BA6B6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评价工作等级</w:t>
            </w:r>
          </w:p>
        </w:tc>
        <w:tc>
          <w:tcPr>
            <w:tcW w:w="1691" w:type="dxa"/>
            <w:shd w:val="clear" w:color="auto" w:fill="D8D8D8" w:themeFill="background1" w:themeFillShade="D9"/>
            <w:vAlign w:val="center"/>
          </w:tcPr>
          <w:p w14:paraId="4BB6355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w:t>
            </w:r>
          </w:p>
        </w:tc>
        <w:tc>
          <w:tcPr>
            <w:tcW w:w="1691" w:type="dxa"/>
            <w:shd w:val="clear" w:color="auto" w:fill="auto"/>
            <w:vAlign w:val="center"/>
          </w:tcPr>
          <w:p w14:paraId="282920E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w:t>
            </w:r>
          </w:p>
        </w:tc>
        <w:tc>
          <w:tcPr>
            <w:tcW w:w="1691" w:type="dxa"/>
            <w:vAlign w:val="center"/>
          </w:tcPr>
          <w:p w14:paraId="4CE0E12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w:t>
            </w:r>
          </w:p>
        </w:tc>
        <w:tc>
          <w:tcPr>
            <w:tcW w:w="1692" w:type="dxa"/>
            <w:vAlign w:val="center"/>
          </w:tcPr>
          <w:p w14:paraId="6A2AE385">
            <w:pPr>
              <w:adjustRightInd w:val="0"/>
              <w:snapToGrid w:val="0"/>
              <w:jc w:val="center"/>
              <w:rPr>
                <w:rFonts w:ascii="Arial" w:hAnsi="Arial" w:eastAsia="宋体" w:cs="Arial"/>
                <w:spacing w:val="10"/>
                <w:sz w:val="21"/>
                <w:szCs w:val="21"/>
                <w:vertAlign w:val="superscript"/>
              </w:rPr>
            </w:pPr>
            <w:r>
              <w:rPr>
                <w:rFonts w:ascii="Arial" w:hAnsi="Arial" w:eastAsia="宋体" w:cs="Arial"/>
                <w:spacing w:val="10"/>
                <w:sz w:val="21"/>
                <w:szCs w:val="21"/>
              </w:rPr>
              <w:t>简单分析</w:t>
            </w:r>
            <w:r>
              <w:rPr>
                <w:rFonts w:ascii="Arial" w:hAnsi="Arial" w:eastAsia="宋体" w:cs="Arial"/>
                <w:spacing w:val="10"/>
                <w:sz w:val="21"/>
                <w:szCs w:val="21"/>
                <w:vertAlign w:val="superscript"/>
              </w:rPr>
              <w:t>a</w:t>
            </w:r>
          </w:p>
        </w:tc>
      </w:tr>
      <w:tr w14:paraId="2EEC21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8993" w:type="dxa"/>
            <w:gridSpan w:val="5"/>
            <w:vAlign w:val="center"/>
          </w:tcPr>
          <w:p w14:paraId="374D636D">
            <w:pPr>
              <w:adjustRightInd w:val="0"/>
              <w:snapToGrid w:val="0"/>
              <w:rPr>
                <w:rFonts w:ascii="Arial" w:hAnsi="Arial" w:eastAsia="宋体" w:cs="Arial"/>
                <w:spacing w:val="10"/>
                <w:sz w:val="21"/>
                <w:szCs w:val="21"/>
              </w:rPr>
            </w:pPr>
            <w:r>
              <w:rPr>
                <w:rFonts w:ascii="Arial" w:hAnsi="Arial" w:eastAsia="宋体" w:cs="Arial"/>
                <w:spacing w:val="10"/>
                <w:sz w:val="21"/>
                <w:szCs w:val="21"/>
              </w:rPr>
              <w:t>a：是相对详细评价工作内容而言，在描述危险物质、环境影响途径、环境危害后果、风险防范措施等方面给出定性的说明。见附录A。</w:t>
            </w:r>
          </w:p>
        </w:tc>
      </w:tr>
    </w:tbl>
    <w:p w14:paraId="33DEF01F">
      <w:pPr>
        <w:spacing w:line="500" w:lineRule="exact"/>
        <w:ind w:firstLine="490" w:firstLineChars="200"/>
        <w:rPr>
          <w:rFonts w:ascii="Arial" w:hAnsi="Arial" w:eastAsia="宋体" w:cs="Arial"/>
          <w:sz w:val="24"/>
          <w:szCs w:val="21"/>
        </w:rPr>
      </w:pPr>
      <w:r>
        <w:rPr>
          <w:rFonts w:ascii="Arial" w:hAnsi="Arial" w:eastAsia="宋体" w:cs="Arial"/>
          <w:spacing w:val="10"/>
          <w:sz w:val="24"/>
          <w:szCs w:val="24"/>
        </w:rPr>
        <w:t>根据对项目涉及的物质和工艺系统的危险性及其所在地的环境敏感程度分析（详见下文4.3章节），项目大气、地表水及地下水环境风险潜势分别为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w:t>
      </w:r>
      <w:r>
        <w:rPr>
          <w:rFonts w:ascii="Arial" w:hAnsi="Arial" w:eastAsia="宋体" w:cs="Arial"/>
          <w:spacing w:val="10"/>
          <w:sz w:val="24"/>
          <w:szCs w:val="24"/>
        </w:rPr>
        <w:t>。因此，项目环境风险潜势综合等级为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rPr>
        <w:t>级。对照表1-</w:t>
      </w:r>
      <w:r>
        <w:rPr>
          <w:rFonts w:hint="eastAsia" w:ascii="Arial" w:hAnsi="Arial" w:eastAsia="宋体" w:cs="Arial"/>
          <w:spacing w:val="10"/>
          <w:sz w:val="24"/>
          <w:szCs w:val="24"/>
        </w:rPr>
        <w:t>25</w:t>
      </w:r>
      <w:r>
        <w:rPr>
          <w:rFonts w:ascii="Arial" w:hAnsi="Arial" w:eastAsia="宋体" w:cs="Arial"/>
          <w:spacing w:val="10"/>
          <w:sz w:val="24"/>
          <w:szCs w:val="24"/>
        </w:rPr>
        <w:t>，将项目风险评价等级定为一级。</w:t>
      </w:r>
    </w:p>
    <w:p w14:paraId="0AAE9960">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土壤环境影响评价等级</w:t>
      </w:r>
    </w:p>
    <w:p w14:paraId="673EAF9F">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1、土壤环境影响评价项目类别识别</w:t>
      </w:r>
    </w:p>
    <w:p w14:paraId="6AE445FE">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根据《环境影响评价技术导则  土壤环境（试行）》（HJ964-2018），项目</w:t>
      </w:r>
      <w:r>
        <w:rPr>
          <w:rFonts w:hint="eastAsia" w:ascii="Arial" w:hAnsi="Arial" w:eastAsia="宋体" w:cs="Arial"/>
          <w:spacing w:val="10"/>
          <w:sz w:val="24"/>
          <w:szCs w:val="24"/>
        </w:rPr>
        <w:t>涉及化工</w:t>
      </w:r>
      <w:r>
        <w:rPr>
          <w:rFonts w:hint="eastAsia" w:ascii="Arial" w:hAnsi="Arial" w:eastAsia="宋体" w:cs="Arial"/>
          <w:spacing w:val="10"/>
          <w:kern w:val="0"/>
          <w:sz w:val="24"/>
          <w:szCs w:val="24"/>
        </w:rPr>
        <w:t>——化学原料和化学制品制造</w:t>
      </w:r>
      <w:r>
        <w:rPr>
          <w:rFonts w:ascii="Arial" w:hAnsi="Arial" w:eastAsia="宋体" w:cs="Arial"/>
          <w:spacing w:val="10"/>
          <w:sz w:val="24"/>
          <w:szCs w:val="24"/>
        </w:rPr>
        <w:t>，属于</w:t>
      </w:r>
      <w:r>
        <w:rPr>
          <w:rFonts w:hint="eastAsia" w:ascii="宋体" w:hAnsi="宋体" w:eastAsia="宋体" w:cs="宋体"/>
          <w:spacing w:val="10"/>
          <w:sz w:val="24"/>
          <w:szCs w:val="24"/>
        </w:rPr>
        <w:t>Ⅰ</w:t>
      </w:r>
      <w:r>
        <w:rPr>
          <w:rFonts w:ascii="Arial" w:hAnsi="Arial" w:eastAsia="宋体" w:cs="Arial"/>
          <w:spacing w:val="10"/>
          <w:sz w:val="24"/>
          <w:szCs w:val="24"/>
        </w:rPr>
        <w:t>类项目。</w:t>
      </w:r>
    </w:p>
    <w:p w14:paraId="525E1C4E">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2、占地规模及敏感程度</w:t>
      </w:r>
    </w:p>
    <w:p w14:paraId="7F70C010">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项目为污染影响型项目，项目用地约</w:t>
      </w:r>
      <w:r>
        <w:rPr>
          <w:rFonts w:hint="eastAsia" w:ascii="Arial" w:hAnsi="Arial" w:eastAsia="宋体" w:cs="Arial"/>
          <w:spacing w:val="10"/>
          <w:sz w:val="24"/>
          <w:szCs w:val="24"/>
        </w:rPr>
        <w:t>0.55</w:t>
      </w:r>
      <w:r>
        <w:rPr>
          <w:rFonts w:ascii="Arial" w:hAnsi="Arial" w:eastAsia="宋体" w:cs="Arial"/>
          <w:spacing w:val="10"/>
          <w:sz w:val="24"/>
          <w:szCs w:val="24"/>
        </w:rPr>
        <w:t>hm</w:t>
      </w:r>
      <w:r>
        <w:rPr>
          <w:rFonts w:ascii="Arial" w:hAnsi="Arial" w:eastAsia="宋体" w:cs="Arial"/>
          <w:spacing w:val="10"/>
          <w:sz w:val="24"/>
          <w:szCs w:val="24"/>
          <w:vertAlign w:val="superscript"/>
        </w:rPr>
        <w:t>2</w:t>
      </w:r>
      <w:r>
        <w:rPr>
          <w:rFonts w:ascii="Arial" w:hAnsi="Arial" w:eastAsia="宋体" w:cs="Arial"/>
          <w:spacing w:val="10"/>
          <w:sz w:val="24"/>
          <w:szCs w:val="24"/>
        </w:rPr>
        <w:t>，厂区占地约105.6hm</w:t>
      </w:r>
      <w:r>
        <w:rPr>
          <w:rFonts w:ascii="Arial" w:hAnsi="Arial" w:eastAsia="宋体" w:cs="Arial"/>
          <w:spacing w:val="10"/>
          <w:sz w:val="24"/>
          <w:szCs w:val="24"/>
          <w:vertAlign w:val="superscript"/>
        </w:rPr>
        <w:t>2</w:t>
      </w:r>
      <w:r>
        <w:rPr>
          <w:rFonts w:ascii="Arial" w:hAnsi="Arial" w:eastAsia="宋体" w:cs="Arial"/>
          <w:spacing w:val="10"/>
          <w:sz w:val="24"/>
          <w:szCs w:val="24"/>
        </w:rPr>
        <w:t>，属大型规模；厂区周边1km范围内有学校、居民区、农田耕地。因此，将项目敏感程度划分为“敏感”，详见表1-</w:t>
      </w:r>
      <w:r>
        <w:rPr>
          <w:rFonts w:hint="eastAsia" w:ascii="Arial" w:hAnsi="Arial" w:eastAsia="宋体" w:cs="Arial"/>
          <w:spacing w:val="10"/>
          <w:sz w:val="24"/>
          <w:szCs w:val="24"/>
        </w:rPr>
        <w:t>26</w:t>
      </w:r>
      <w:r>
        <w:rPr>
          <w:rFonts w:ascii="Arial" w:hAnsi="Arial" w:eastAsia="宋体" w:cs="Arial"/>
          <w:spacing w:val="10"/>
          <w:sz w:val="24"/>
          <w:szCs w:val="24"/>
        </w:rPr>
        <w:t>。</w:t>
      </w:r>
    </w:p>
    <w:p w14:paraId="23851CF3">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污染影响型敏感程度分级表</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8"/>
        <w:gridCol w:w="6765"/>
      </w:tblGrid>
      <w:tr w14:paraId="60410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vAlign w:val="center"/>
          </w:tcPr>
          <w:p w14:paraId="44B468E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敏感程度</w:t>
            </w:r>
          </w:p>
        </w:tc>
        <w:tc>
          <w:tcPr>
            <w:tcW w:w="6765" w:type="dxa"/>
            <w:vAlign w:val="center"/>
          </w:tcPr>
          <w:p w14:paraId="582A0CF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判别依据</w:t>
            </w:r>
          </w:p>
        </w:tc>
      </w:tr>
      <w:tr w14:paraId="26C8B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shd w:val="clear" w:color="auto" w:fill="D8D8D8" w:themeFill="background1" w:themeFillShade="D9"/>
            <w:vAlign w:val="center"/>
          </w:tcPr>
          <w:p w14:paraId="3966C8B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w:t>
            </w:r>
          </w:p>
        </w:tc>
        <w:tc>
          <w:tcPr>
            <w:tcW w:w="6765" w:type="dxa"/>
            <w:shd w:val="clear" w:color="auto" w:fill="D8D8D8" w:themeFill="background1" w:themeFillShade="D9"/>
            <w:vAlign w:val="center"/>
          </w:tcPr>
          <w:p w14:paraId="372F25C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建设项目周边存在耕地、园地、牧草地、饮用水水源地或居民区、学校、医院、疗养院、养老院等土壤环境敏感目标的</w:t>
            </w:r>
          </w:p>
        </w:tc>
      </w:tr>
      <w:tr w14:paraId="5BB66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shd w:val="clear" w:color="auto" w:fill="auto"/>
            <w:vAlign w:val="center"/>
          </w:tcPr>
          <w:p w14:paraId="7C584C5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较敏感</w:t>
            </w:r>
          </w:p>
        </w:tc>
        <w:tc>
          <w:tcPr>
            <w:tcW w:w="6765" w:type="dxa"/>
            <w:shd w:val="clear" w:color="auto" w:fill="auto"/>
            <w:vAlign w:val="center"/>
          </w:tcPr>
          <w:p w14:paraId="6275C93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建设项目周边存在其他土壤环境敏感目标的</w:t>
            </w:r>
          </w:p>
        </w:tc>
      </w:tr>
      <w:tr w14:paraId="20A4E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shd w:val="clear" w:color="auto" w:fill="auto"/>
            <w:vAlign w:val="center"/>
          </w:tcPr>
          <w:p w14:paraId="002835B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不敏感</w:t>
            </w:r>
          </w:p>
        </w:tc>
        <w:tc>
          <w:tcPr>
            <w:tcW w:w="6765" w:type="dxa"/>
            <w:shd w:val="clear" w:color="auto" w:fill="auto"/>
            <w:vAlign w:val="center"/>
          </w:tcPr>
          <w:p w14:paraId="21A0608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其他情况</w:t>
            </w:r>
          </w:p>
        </w:tc>
      </w:tr>
    </w:tbl>
    <w:p w14:paraId="70AE26C5">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3、评价等级划分</w:t>
      </w:r>
    </w:p>
    <w:p w14:paraId="641259B0">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综上分析，占地规模为大型、敏感程度为敏感，</w:t>
      </w:r>
      <w:r>
        <w:rPr>
          <w:rFonts w:hint="eastAsia" w:ascii="Arial" w:hAnsi="Arial" w:eastAsia="宋体" w:cs="Arial"/>
          <w:spacing w:val="10"/>
          <w:sz w:val="24"/>
          <w:szCs w:val="24"/>
        </w:rPr>
        <w:t>项目</w:t>
      </w:r>
      <w:r>
        <w:rPr>
          <w:rFonts w:ascii="Arial" w:hAnsi="Arial" w:eastAsia="宋体" w:cs="Arial"/>
          <w:spacing w:val="10"/>
          <w:sz w:val="24"/>
          <w:szCs w:val="24"/>
        </w:rPr>
        <w:t>为</w:t>
      </w:r>
      <w:r>
        <w:rPr>
          <w:rFonts w:hint="eastAsia" w:ascii="宋体" w:hAnsi="宋体" w:eastAsia="宋体" w:cs="宋体"/>
          <w:spacing w:val="10"/>
          <w:sz w:val="24"/>
          <w:szCs w:val="24"/>
        </w:rPr>
        <w:t>Ⅰ</w:t>
      </w:r>
      <w:r>
        <w:rPr>
          <w:rFonts w:ascii="Arial" w:hAnsi="Arial" w:eastAsia="宋体" w:cs="Arial"/>
          <w:spacing w:val="10"/>
          <w:sz w:val="24"/>
          <w:szCs w:val="24"/>
        </w:rPr>
        <w:t>类项目，根据土壤导则表4的划分依据，项目土壤环境影响评价工作等级为一级，详见表1-</w:t>
      </w:r>
      <w:r>
        <w:rPr>
          <w:rFonts w:hint="eastAsia" w:ascii="Arial" w:hAnsi="Arial" w:eastAsia="宋体" w:cs="Arial"/>
          <w:spacing w:val="10"/>
          <w:sz w:val="24"/>
          <w:szCs w:val="24"/>
        </w:rPr>
        <w:t>27</w:t>
      </w:r>
      <w:r>
        <w:rPr>
          <w:rFonts w:ascii="Arial" w:hAnsi="Arial" w:eastAsia="宋体" w:cs="Arial"/>
          <w:spacing w:val="10"/>
          <w:sz w:val="24"/>
          <w:szCs w:val="24"/>
        </w:rPr>
        <w:t>。</w:t>
      </w:r>
    </w:p>
    <w:p w14:paraId="2F07942C">
      <w:pPr>
        <w:spacing w:line="500" w:lineRule="exact"/>
        <w:ind w:firstLine="476"/>
        <w:rPr>
          <w:rFonts w:ascii="Arial" w:hAnsi="Arial" w:eastAsia="宋体" w:cs="Arial"/>
          <w:spacing w:val="10"/>
          <w:sz w:val="24"/>
          <w:szCs w:val="24"/>
        </w:rPr>
      </w:pPr>
    </w:p>
    <w:p w14:paraId="50CC30A7">
      <w:pPr>
        <w:spacing w:line="500" w:lineRule="exact"/>
        <w:ind w:firstLine="476"/>
        <w:rPr>
          <w:rFonts w:ascii="Arial" w:hAnsi="Arial" w:eastAsia="宋体" w:cs="Arial"/>
          <w:spacing w:val="10"/>
          <w:sz w:val="24"/>
          <w:szCs w:val="24"/>
        </w:rPr>
      </w:pPr>
    </w:p>
    <w:p w14:paraId="44735A3F">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污染影响型土壤评价工作等级划分表</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
        <w:gridCol w:w="886"/>
        <w:gridCol w:w="886"/>
        <w:gridCol w:w="885"/>
        <w:gridCol w:w="885"/>
        <w:gridCol w:w="885"/>
        <w:gridCol w:w="885"/>
        <w:gridCol w:w="886"/>
        <w:gridCol w:w="886"/>
        <w:gridCol w:w="886"/>
      </w:tblGrid>
      <w:tr w14:paraId="6986E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vMerge w:val="restart"/>
            <w:vAlign w:val="center"/>
          </w:tcPr>
          <w:p w14:paraId="185A0C1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类别</w:t>
            </w:r>
          </w:p>
        </w:tc>
        <w:tc>
          <w:tcPr>
            <w:tcW w:w="2657" w:type="dxa"/>
            <w:gridSpan w:val="3"/>
            <w:vAlign w:val="center"/>
          </w:tcPr>
          <w:p w14:paraId="518E82BB">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Ⅰ</w:t>
            </w:r>
          </w:p>
        </w:tc>
        <w:tc>
          <w:tcPr>
            <w:tcW w:w="2655" w:type="dxa"/>
            <w:gridSpan w:val="3"/>
            <w:vAlign w:val="center"/>
          </w:tcPr>
          <w:p w14:paraId="633A187F">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c>
          <w:tcPr>
            <w:tcW w:w="2658" w:type="dxa"/>
            <w:gridSpan w:val="3"/>
            <w:vAlign w:val="center"/>
          </w:tcPr>
          <w:p w14:paraId="46CAB4CD">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r>
      <w:tr w14:paraId="33003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vMerge w:val="continue"/>
            <w:vAlign w:val="center"/>
          </w:tcPr>
          <w:p w14:paraId="78931904">
            <w:pPr>
              <w:widowControl/>
              <w:jc w:val="left"/>
              <w:rPr>
                <w:rFonts w:ascii="Arial" w:hAnsi="Arial" w:eastAsia="宋体" w:cs="Arial"/>
                <w:spacing w:val="10"/>
                <w:sz w:val="21"/>
                <w:szCs w:val="21"/>
              </w:rPr>
            </w:pPr>
          </w:p>
        </w:tc>
        <w:tc>
          <w:tcPr>
            <w:tcW w:w="886" w:type="dxa"/>
            <w:vAlign w:val="center"/>
          </w:tcPr>
          <w:p w14:paraId="3E33B61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w:t>
            </w:r>
          </w:p>
        </w:tc>
        <w:tc>
          <w:tcPr>
            <w:tcW w:w="886" w:type="dxa"/>
            <w:vAlign w:val="center"/>
          </w:tcPr>
          <w:p w14:paraId="60DCC80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中</w:t>
            </w:r>
          </w:p>
        </w:tc>
        <w:tc>
          <w:tcPr>
            <w:tcW w:w="885" w:type="dxa"/>
            <w:vAlign w:val="center"/>
          </w:tcPr>
          <w:p w14:paraId="10F369B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小</w:t>
            </w:r>
          </w:p>
        </w:tc>
        <w:tc>
          <w:tcPr>
            <w:tcW w:w="885" w:type="dxa"/>
            <w:vAlign w:val="center"/>
          </w:tcPr>
          <w:p w14:paraId="652ABCB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w:t>
            </w:r>
          </w:p>
        </w:tc>
        <w:tc>
          <w:tcPr>
            <w:tcW w:w="885" w:type="dxa"/>
            <w:vAlign w:val="center"/>
          </w:tcPr>
          <w:p w14:paraId="339767C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中</w:t>
            </w:r>
          </w:p>
        </w:tc>
        <w:tc>
          <w:tcPr>
            <w:tcW w:w="885" w:type="dxa"/>
            <w:vAlign w:val="center"/>
          </w:tcPr>
          <w:p w14:paraId="5275950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小</w:t>
            </w:r>
          </w:p>
        </w:tc>
        <w:tc>
          <w:tcPr>
            <w:tcW w:w="886" w:type="dxa"/>
            <w:vAlign w:val="center"/>
          </w:tcPr>
          <w:p w14:paraId="03E26BC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w:t>
            </w:r>
          </w:p>
        </w:tc>
        <w:tc>
          <w:tcPr>
            <w:tcW w:w="886" w:type="dxa"/>
            <w:vAlign w:val="center"/>
          </w:tcPr>
          <w:p w14:paraId="204CB8E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中</w:t>
            </w:r>
          </w:p>
        </w:tc>
        <w:tc>
          <w:tcPr>
            <w:tcW w:w="886" w:type="dxa"/>
            <w:vAlign w:val="center"/>
          </w:tcPr>
          <w:p w14:paraId="3A5D93E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小</w:t>
            </w:r>
          </w:p>
        </w:tc>
      </w:tr>
      <w:tr w14:paraId="6ABDA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shd w:val="clear" w:color="auto" w:fill="auto"/>
            <w:vAlign w:val="center"/>
          </w:tcPr>
          <w:p w14:paraId="2AF26A4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w:t>
            </w:r>
          </w:p>
        </w:tc>
        <w:tc>
          <w:tcPr>
            <w:tcW w:w="886" w:type="dxa"/>
            <w:shd w:val="clear" w:color="auto" w:fill="auto"/>
            <w:vAlign w:val="center"/>
          </w:tcPr>
          <w:p w14:paraId="30E4EE0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6" w:type="dxa"/>
            <w:shd w:val="clear" w:color="auto" w:fill="auto"/>
            <w:vAlign w:val="center"/>
          </w:tcPr>
          <w:p w14:paraId="598D600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5" w:type="dxa"/>
            <w:vAlign w:val="center"/>
          </w:tcPr>
          <w:p w14:paraId="1FA90D2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5" w:type="dxa"/>
            <w:vAlign w:val="center"/>
          </w:tcPr>
          <w:p w14:paraId="336AAEF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14:paraId="1EC7281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14:paraId="595A364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6" w:type="dxa"/>
            <w:vAlign w:val="center"/>
          </w:tcPr>
          <w:p w14:paraId="74E10A8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14:paraId="785E850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14:paraId="5D218A2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r>
      <w:tr w14:paraId="27F9E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shd w:val="clear" w:color="auto" w:fill="auto"/>
            <w:vAlign w:val="center"/>
          </w:tcPr>
          <w:p w14:paraId="08C9EF7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较敏感</w:t>
            </w:r>
          </w:p>
        </w:tc>
        <w:tc>
          <w:tcPr>
            <w:tcW w:w="886" w:type="dxa"/>
            <w:shd w:val="clear" w:color="auto" w:fill="auto"/>
            <w:vAlign w:val="center"/>
          </w:tcPr>
          <w:p w14:paraId="45F4F59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6" w:type="dxa"/>
            <w:shd w:val="clear" w:color="auto" w:fill="auto"/>
            <w:vAlign w:val="center"/>
          </w:tcPr>
          <w:p w14:paraId="617F36C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5" w:type="dxa"/>
            <w:shd w:val="clear" w:color="auto" w:fill="auto"/>
            <w:vAlign w:val="center"/>
          </w:tcPr>
          <w:p w14:paraId="6865CA6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14:paraId="2412EE9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14:paraId="0559006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14:paraId="4270996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14:paraId="74B9CA2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14:paraId="168DFE5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14:paraId="6061EE2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r>
      <w:tr w14:paraId="056C7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shd w:val="clear" w:color="auto" w:fill="auto"/>
            <w:vAlign w:val="center"/>
          </w:tcPr>
          <w:p w14:paraId="39EAAD7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不敏感</w:t>
            </w:r>
          </w:p>
        </w:tc>
        <w:tc>
          <w:tcPr>
            <w:tcW w:w="886" w:type="dxa"/>
            <w:shd w:val="clear" w:color="auto" w:fill="auto"/>
            <w:vAlign w:val="center"/>
          </w:tcPr>
          <w:p w14:paraId="7B0DC59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一级</w:t>
            </w:r>
          </w:p>
        </w:tc>
        <w:tc>
          <w:tcPr>
            <w:tcW w:w="886" w:type="dxa"/>
            <w:shd w:val="clear" w:color="auto" w:fill="auto"/>
            <w:vAlign w:val="center"/>
          </w:tcPr>
          <w:p w14:paraId="5A61E20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shd w:val="clear" w:color="auto" w:fill="auto"/>
            <w:vAlign w:val="center"/>
          </w:tcPr>
          <w:p w14:paraId="7829455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14:paraId="62550A4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二级</w:t>
            </w:r>
          </w:p>
        </w:tc>
        <w:tc>
          <w:tcPr>
            <w:tcW w:w="885" w:type="dxa"/>
            <w:vAlign w:val="center"/>
          </w:tcPr>
          <w:p w14:paraId="7378BF6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5" w:type="dxa"/>
            <w:vAlign w:val="center"/>
          </w:tcPr>
          <w:p w14:paraId="7A52C7C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14:paraId="54C7DC1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w:t>
            </w:r>
          </w:p>
        </w:tc>
        <w:tc>
          <w:tcPr>
            <w:tcW w:w="886" w:type="dxa"/>
            <w:vAlign w:val="center"/>
          </w:tcPr>
          <w:p w14:paraId="125419E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c>
          <w:tcPr>
            <w:tcW w:w="886" w:type="dxa"/>
            <w:vAlign w:val="center"/>
          </w:tcPr>
          <w:p w14:paraId="3F71A24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r>
      <w:tr w14:paraId="5D874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56" w:type="dxa"/>
            <w:gridSpan w:val="10"/>
            <w:vAlign w:val="center"/>
          </w:tcPr>
          <w:p w14:paraId="2CCA0750">
            <w:pPr>
              <w:adjustRightInd w:val="0"/>
              <w:snapToGrid w:val="0"/>
              <w:rPr>
                <w:rFonts w:ascii="Arial" w:hAnsi="Arial" w:eastAsia="宋体" w:cs="Arial"/>
                <w:b/>
                <w:spacing w:val="10"/>
                <w:sz w:val="21"/>
                <w:szCs w:val="21"/>
              </w:rPr>
            </w:pPr>
            <w:r>
              <w:rPr>
                <w:rFonts w:ascii="Arial" w:hAnsi="Arial" w:eastAsia="宋体" w:cs="Arial"/>
                <w:b/>
                <w:spacing w:val="10"/>
                <w:sz w:val="21"/>
                <w:szCs w:val="21"/>
              </w:rPr>
              <w:t>注：“—”表示可不开展土壤环境影响评价工作。</w:t>
            </w:r>
          </w:p>
        </w:tc>
      </w:tr>
    </w:tbl>
    <w:p w14:paraId="28D2E57F">
      <w:pPr>
        <w:keepNext/>
        <w:keepLines/>
        <w:numPr>
          <w:ilvl w:val="0"/>
          <w:numId w:val="7"/>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生态环境影响评价等级</w:t>
      </w:r>
    </w:p>
    <w:p w14:paraId="3DBAF65B">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项目</w:t>
      </w:r>
      <w:r>
        <w:rPr>
          <w:rFonts w:hint="eastAsia" w:ascii="Arial" w:hAnsi="Arial" w:eastAsia="宋体" w:cs="Arial"/>
          <w:spacing w:val="10"/>
          <w:sz w:val="24"/>
          <w:szCs w:val="24"/>
        </w:rPr>
        <w:t>属污染影响类建设项目，所处的</w:t>
      </w:r>
      <w:r>
        <w:rPr>
          <w:rFonts w:ascii="Arial" w:hAnsi="Arial" w:eastAsia="宋体" w:cs="Arial"/>
          <w:spacing w:val="10"/>
          <w:sz w:val="24"/>
          <w:szCs w:val="24"/>
        </w:rPr>
        <w:t>2#地块位于钦州港大榄坪物流加工区，同时也处于广西钦州石化产业园，两个园区规划环评</w:t>
      </w:r>
      <w:r>
        <w:rPr>
          <w:rFonts w:hint="eastAsia" w:ascii="Arial" w:hAnsi="Arial" w:eastAsia="宋体" w:cs="Arial"/>
          <w:spacing w:val="10"/>
          <w:sz w:val="24"/>
          <w:szCs w:val="24"/>
        </w:rPr>
        <w:t>均</w:t>
      </w:r>
      <w:r>
        <w:rPr>
          <w:rFonts w:ascii="Arial" w:hAnsi="Arial" w:eastAsia="宋体" w:cs="Arial"/>
          <w:spacing w:val="10"/>
          <w:sz w:val="24"/>
          <w:szCs w:val="24"/>
        </w:rPr>
        <w:t>已批准，项目符合</w:t>
      </w:r>
      <w:r>
        <w:rPr>
          <w:rFonts w:hint="eastAsia" w:ascii="Arial" w:hAnsi="Arial" w:eastAsia="宋体" w:cs="Arial"/>
          <w:spacing w:val="10"/>
          <w:sz w:val="24"/>
          <w:szCs w:val="24"/>
        </w:rPr>
        <w:t>这</w:t>
      </w:r>
      <w:r>
        <w:rPr>
          <w:rFonts w:ascii="Arial" w:hAnsi="Arial" w:eastAsia="宋体" w:cs="Arial"/>
          <w:spacing w:val="10"/>
          <w:sz w:val="24"/>
          <w:szCs w:val="24"/>
        </w:rPr>
        <w:t>两个</w:t>
      </w:r>
      <w:r>
        <w:rPr>
          <w:rFonts w:hint="eastAsia" w:ascii="Arial" w:hAnsi="Arial" w:eastAsia="宋体" w:cs="Arial"/>
          <w:spacing w:val="10"/>
          <w:sz w:val="24"/>
          <w:szCs w:val="24"/>
        </w:rPr>
        <w:t>园区</w:t>
      </w:r>
      <w:r>
        <w:rPr>
          <w:rFonts w:ascii="Arial" w:hAnsi="Arial" w:eastAsia="宋体" w:cs="Arial"/>
          <w:spacing w:val="10"/>
          <w:sz w:val="24"/>
          <w:szCs w:val="24"/>
        </w:rPr>
        <w:t>规划环评</w:t>
      </w:r>
      <w:r>
        <w:rPr>
          <w:rFonts w:hint="eastAsia" w:ascii="Arial" w:hAnsi="Arial" w:eastAsia="宋体" w:cs="Arial"/>
          <w:spacing w:val="10"/>
          <w:sz w:val="24"/>
          <w:szCs w:val="24"/>
        </w:rPr>
        <w:t>的</w:t>
      </w:r>
      <w:r>
        <w:rPr>
          <w:rFonts w:ascii="Arial" w:hAnsi="Arial" w:eastAsia="宋体" w:cs="Arial"/>
          <w:spacing w:val="10"/>
          <w:sz w:val="24"/>
          <w:szCs w:val="24"/>
        </w:rPr>
        <w:t>要求</w:t>
      </w:r>
      <w:r>
        <w:rPr>
          <w:rFonts w:hint="eastAsia" w:ascii="Arial" w:hAnsi="Arial" w:eastAsia="宋体" w:cs="Arial"/>
          <w:spacing w:val="10"/>
          <w:sz w:val="24"/>
          <w:szCs w:val="24"/>
        </w:rPr>
        <w:t>，</w:t>
      </w:r>
      <w:r>
        <w:rPr>
          <w:rFonts w:ascii="Arial" w:hAnsi="Arial" w:eastAsia="宋体" w:cs="Arial"/>
          <w:spacing w:val="10"/>
          <w:sz w:val="24"/>
          <w:szCs w:val="24"/>
        </w:rPr>
        <w:t>不涉及生态敏感区</w:t>
      </w:r>
      <w:r>
        <w:rPr>
          <w:rFonts w:hint="eastAsia" w:ascii="Arial" w:hAnsi="Arial" w:eastAsia="宋体" w:cs="Arial"/>
          <w:spacing w:val="10"/>
          <w:sz w:val="24"/>
          <w:szCs w:val="24"/>
        </w:rPr>
        <w:t>。</w:t>
      </w:r>
      <w:r>
        <w:rPr>
          <w:rFonts w:ascii="Arial" w:hAnsi="Arial" w:eastAsia="宋体" w:cs="Arial"/>
          <w:spacing w:val="10"/>
          <w:sz w:val="24"/>
          <w:szCs w:val="24"/>
        </w:rPr>
        <w:t>根据《环境影响评价技术导则</w:t>
      </w:r>
      <w:r>
        <w:rPr>
          <w:rFonts w:hint="eastAsia" w:ascii="Arial" w:hAnsi="Arial" w:eastAsia="宋体" w:cs="Arial"/>
          <w:spacing w:val="10"/>
          <w:sz w:val="24"/>
          <w:szCs w:val="24"/>
        </w:rPr>
        <w:t xml:space="preserve"> </w:t>
      </w:r>
      <w:r>
        <w:rPr>
          <w:rFonts w:ascii="Arial" w:hAnsi="Arial" w:eastAsia="宋体" w:cs="Arial"/>
          <w:spacing w:val="10"/>
          <w:sz w:val="24"/>
          <w:szCs w:val="24"/>
        </w:rPr>
        <w:t>生态影响》（HJ19-2022）6.1.8，项目可不确定评价等级，直接进行生态影响简单分析。</w:t>
      </w:r>
    </w:p>
    <w:p w14:paraId="4889C3E5">
      <w:pPr>
        <w:spacing w:line="500" w:lineRule="exact"/>
        <w:ind w:firstLine="476"/>
        <w:rPr>
          <w:rFonts w:ascii="Arial" w:hAnsi="Arial" w:eastAsia="宋体" w:cs="Arial"/>
          <w:spacing w:val="10"/>
          <w:sz w:val="24"/>
          <w:szCs w:val="24"/>
        </w:rPr>
      </w:pPr>
      <w:r>
        <w:rPr>
          <w:rFonts w:hint="eastAsia" w:ascii="Arial" w:hAnsi="Arial" w:eastAsia="宋体" w:cs="Arial"/>
          <w:spacing w:val="10"/>
          <w:sz w:val="24"/>
          <w:szCs w:val="24"/>
        </w:rPr>
        <w:t>项目的生产废水经处理达标后依托大榄坪污水处理厂现有的深海排放管道排放，项目无海洋工程建设内容，不再按《海洋工程环境影响评价技术导则》（GB/T19485-2014）判定生态评价等级。</w:t>
      </w:r>
    </w:p>
    <w:p w14:paraId="682D02ED">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综上所述，项目各环境要素的评价工作等级划分情况见表1-</w:t>
      </w:r>
      <w:r>
        <w:rPr>
          <w:rFonts w:hint="eastAsia" w:ascii="Arial" w:hAnsi="Arial" w:eastAsia="宋体" w:cs="Arial"/>
          <w:spacing w:val="10"/>
          <w:sz w:val="24"/>
          <w:szCs w:val="24"/>
        </w:rPr>
        <w:t>28</w:t>
      </w:r>
      <w:r>
        <w:rPr>
          <w:rFonts w:ascii="Arial" w:hAnsi="Arial" w:eastAsia="宋体" w:cs="Arial"/>
          <w:spacing w:val="10"/>
          <w:sz w:val="24"/>
          <w:szCs w:val="24"/>
        </w:rPr>
        <w:t>。</w:t>
      </w:r>
    </w:p>
    <w:p w14:paraId="21D63D07">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评价工作等级划分表</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8"/>
        <w:gridCol w:w="1060"/>
        <w:gridCol w:w="2915"/>
        <w:gridCol w:w="3850"/>
      </w:tblGrid>
      <w:tr w14:paraId="1CFFB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168" w:type="dxa"/>
            <w:tcBorders>
              <w:top w:val="single" w:color="auto" w:sz="4" w:space="0"/>
              <w:left w:val="single" w:color="auto" w:sz="4" w:space="0"/>
              <w:bottom w:val="single" w:color="auto" w:sz="4" w:space="0"/>
              <w:right w:val="single" w:color="auto" w:sz="4" w:space="0"/>
            </w:tcBorders>
            <w:vAlign w:val="center"/>
          </w:tcPr>
          <w:p w14:paraId="32F003D8">
            <w:pPr>
              <w:autoSpaceDE w:val="0"/>
              <w:autoSpaceDN w:val="0"/>
              <w:adjustRightInd w:val="0"/>
              <w:snapToGrid w:val="0"/>
              <w:jc w:val="center"/>
              <w:rPr>
                <w:rFonts w:ascii="Arial" w:hAnsi="Arial" w:eastAsia="宋体" w:cs="Arial"/>
                <w:sz w:val="21"/>
                <w:szCs w:val="21"/>
              </w:rPr>
            </w:pPr>
            <w:bookmarkStart w:id="237" w:name="_Toc154599056"/>
            <w:r>
              <w:rPr>
                <w:rFonts w:ascii="Arial" w:hAnsi="Arial" w:eastAsia="宋体" w:cs="Arial"/>
                <w:sz w:val="21"/>
                <w:szCs w:val="21"/>
              </w:rPr>
              <w:t>评价内容</w:t>
            </w:r>
          </w:p>
        </w:tc>
        <w:tc>
          <w:tcPr>
            <w:tcW w:w="1060" w:type="dxa"/>
            <w:tcBorders>
              <w:top w:val="single" w:color="auto" w:sz="4" w:space="0"/>
              <w:left w:val="single" w:color="auto" w:sz="4" w:space="0"/>
              <w:bottom w:val="single" w:color="auto" w:sz="4" w:space="0"/>
              <w:right w:val="single" w:color="auto" w:sz="4" w:space="0"/>
            </w:tcBorders>
            <w:vAlign w:val="center"/>
          </w:tcPr>
          <w:p w14:paraId="3CD04831">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工作等级</w:t>
            </w:r>
          </w:p>
        </w:tc>
        <w:tc>
          <w:tcPr>
            <w:tcW w:w="2915" w:type="dxa"/>
            <w:tcBorders>
              <w:top w:val="single" w:color="auto" w:sz="4" w:space="0"/>
              <w:left w:val="single" w:color="auto" w:sz="4" w:space="0"/>
              <w:bottom w:val="single" w:color="auto" w:sz="4" w:space="0"/>
              <w:right w:val="single" w:color="auto" w:sz="4" w:space="0"/>
            </w:tcBorders>
            <w:vAlign w:val="center"/>
          </w:tcPr>
          <w:p w14:paraId="1D6E47A9">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判据</w:t>
            </w:r>
          </w:p>
        </w:tc>
        <w:tc>
          <w:tcPr>
            <w:tcW w:w="3850" w:type="dxa"/>
            <w:tcBorders>
              <w:top w:val="single" w:color="auto" w:sz="4" w:space="0"/>
              <w:left w:val="single" w:color="auto" w:sz="4" w:space="0"/>
              <w:bottom w:val="single" w:color="auto" w:sz="4" w:space="0"/>
              <w:right w:val="single" w:color="auto" w:sz="4" w:space="0"/>
            </w:tcBorders>
            <w:vAlign w:val="center"/>
          </w:tcPr>
          <w:p w14:paraId="2ABFD94A">
            <w:pPr>
              <w:autoSpaceDE w:val="0"/>
              <w:autoSpaceDN w:val="0"/>
              <w:adjustRightInd w:val="0"/>
              <w:snapToGrid w:val="0"/>
              <w:ind w:firstLine="389"/>
              <w:jc w:val="center"/>
              <w:rPr>
                <w:rFonts w:ascii="Arial" w:hAnsi="Arial" w:eastAsia="宋体" w:cs="Arial"/>
                <w:sz w:val="21"/>
                <w:szCs w:val="21"/>
              </w:rPr>
            </w:pPr>
            <w:r>
              <w:rPr>
                <w:rFonts w:ascii="Arial" w:hAnsi="Arial" w:eastAsia="宋体" w:cs="Arial"/>
                <w:sz w:val="21"/>
                <w:szCs w:val="21"/>
              </w:rPr>
              <w:t>建设项目情况</w:t>
            </w:r>
          </w:p>
        </w:tc>
      </w:tr>
      <w:tr w14:paraId="08F50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right w:val="single" w:color="auto" w:sz="4" w:space="0"/>
            </w:tcBorders>
            <w:vAlign w:val="center"/>
          </w:tcPr>
          <w:p w14:paraId="19FDEB24">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地表水环境</w:t>
            </w:r>
          </w:p>
        </w:tc>
        <w:tc>
          <w:tcPr>
            <w:tcW w:w="1060" w:type="dxa"/>
            <w:vMerge w:val="restart"/>
            <w:tcBorders>
              <w:top w:val="single" w:color="auto" w:sz="4" w:space="0"/>
              <w:left w:val="single" w:color="auto" w:sz="4" w:space="0"/>
              <w:right w:val="single" w:color="auto" w:sz="4" w:space="0"/>
            </w:tcBorders>
            <w:vAlign w:val="center"/>
          </w:tcPr>
          <w:p w14:paraId="3D329108">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三级</w:t>
            </w:r>
            <w:r>
              <w:rPr>
                <w:rFonts w:hint="eastAsia" w:ascii="Arial" w:hAnsi="Arial" w:eastAsia="宋体" w:cs="Arial"/>
                <w:sz w:val="21"/>
                <w:szCs w:val="21"/>
              </w:rPr>
              <w:t>A</w:t>
            </w:r>
          </w:p>
        </w:tc>
        <w:tc>
          <w:tcPr>
            <w:tcW w:w="2915" w:type="dxa"/>
            <w:tcBorders>
              <w:top w:val="single" w:color="auto" w:sz="4" w:space="0"/>
              <w:left w:val="single" w:color="auto" w:sz="4" w:space="0"/>
              <w:bottom w:val="single" w:color="auto" w:sz="4" w:space="0"/>
              <w:right w:val="single" w:color="auto" w:sz="4" w:space="0"/>
            </w:tcBorders>
            <w:vAlign w:val="center"/>
          </w:tcPr>
          <w:p w14:paraId="57F2A849">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HJ2.3-2018：</w:t>
            </w:r>
          </w:p>
        </w:tc>
        <w:tc>
          <w:tcPr>
            <w:tcW w:w="3850" w:type="dxa"/>
            <w:tcBorders>
              <w:top w:val="single" w:color="auto" w:sz="4" w:space="0"/>
              <w:left w:val="single" w:color="auto" w:sz="4" w:space="0"/>
              <w:bottom w:val="single" w:color="auto" w:sz="4" w:space="0"/>
              <w:right w:val="single" w:color="auto" w:sz="4" w:space="0"/>
            </w:tcBorders>
            <w:vAlign w:val="center"/>
          </w:tcPr>
          <w:p w14:paraId="132EE432">
            <w:pPr>
              <w:autoSpaceDE w:val="0"/>
              <w:autoSpaceDN w:val="0"/>
              <w:adjustRightInd w:val="0"/>
              <w:snapToGrid w:val="0"/>
              <w:jc w:val="center"/>
              <w:rPr>
                <w:rFonts w:ascii="Arial" w:hAnsi="Arial" w:eastAsia="宋体" w:cs="Arial"/>
                <w:sz w:val="21"/>
                <w:szCs w:val="21"/>
              </w:rPr>
            </w:pPr>
          </w:p>
        </w:tc>
      </w:tr>
      <w:tr w14:paraId="1D66F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left w:val="single" w:color="auto" w:sz="4" w:space="0"/>
              <w:right w:val="single" w:color="auto" w:sz="4" w:space="0"/>
            </w:tcBorders>
            <w:vAlign w:val="center"/>
          </w:tcPr>
          <w:p w14:paraId="3B001516">
            <w:pPr>
              <w:autoSpaceDE w:val="0"/>
              <w:autoSpaceDN w:val="0"/>
              <w:adjustRightInd w:val="0"/>
              <w:snapToGrid w:val="0"/>
              <w:jc w:val="center"/>
              <w:rPr>
                <w:rFonts w:ascii="Arial" w:hAnsi="Arial" w:eastAsia="宋体" w:cs="Arial"/>
                <w:sz w:val="21"/>
                <w:szCs w:val="21"/>
              </w:rPr>
            </w:pPr>
          </w:p>
        </w:tc>
        <w:tc>
          <w:tcPr>
            <w:tcW w:w="1060" w:type="dxa"/>
            <w:vMerge w:val="continue"/>
            <w:tcBorders>
              <w:left w:val="single" w:color="auto" w:sz="4" w:space="0"/>
              <w:right w:val="single" w:color="auto" w:sz="4" w:space="0"/>
            </w:tcBorders>
            <w:vAlign w:val="center"/>
          </w:tcPr>
          <w:p w14:paraId="0D35C7A9">
            <w:pPr>
              <w:autoSpaceDE w:val="0"/>
              <w:autoSpaceDN w:val="0"/>
              <w:adjustRightInd w:val="0"/>
              <w:snapToGrid w:val="0"/>
              <w:jc w:val="center"/>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633949A0">
            <w:pPr>
              <w:autoSpaceDE w:val="0"/>
              <w:autoSpaceDN w:val="0"/>
              <w:adjustRightInd w:val="0"/>
              <w:snapToGrid w:val="0"/>
              <w:jc w:val="right"/>
              <w:rPr>
                <w:rFonts w:ascii="Arial" w:hAnsi="Arial" w:eastAsia="宋体" w:cs="Arial"/>
                <w:sz w:val="21"/>
                <w:szCs w:val="21"/>
              </w:rPr>
            </w:pPr>
            <w:r>
              <w:rPr>
                <w:rFonts w:hint="eastAsia" w:ascii="Arial" w:hAnsi="Arial" w:eastAsia="宋体" w:cs="Arial"/>
                <w:sz w:val="21"/>
                <w:szCs w:val="21"/>
              </w:rPr>
              <w:t>废水排放量Q</w:t>
            </w:r>
            <w:r>
              <w:rPr>
                <w:rFonts w:ascii="Arial" w:hAnsi="Arial" w:cs="Arial"/>
                <w:sz w:val="21"/>
              </w:rPr>
              <w:t>（</w:t>
            </w:r>
            <w:r>
              <w:rPr>
                <w:rFonts w:ascii="Arial" w:hAnsi="Arial" w:cs="Arial"/>
                <w:sz w:val="21"/>
                <w:szCs w:val="21"/>
              </w:rPr>
              <w:t>m</w:t>
            </w:r>
            <w:r>
              <w:rPr>
                <w:rFonts w:ascii="Arial" w:hAnsi="Arial" w:cs="Arial"/>
                <w:sz w:val="21"/>
                <w:szCs w:val="21"/>
                <w:vertAlign w:val="superscript"/>
              </w:rPr>
              <w:t>3</w:t>
            </w:r>
            <w:r>
              <w:rPr>
                <w:rFonts w:ascii="Arial" w:hAnsi="Arial" w:cs="Arial"/>
                <w:sz w:val="21"/>
                <w:szCs w:val="21"/>
              </w:rPr>
              <w:t>/d</w:t>
            </w:r>
            <w:r>
              <w:rPr>
                <w:rFonts w:ascii="Arial" w:hAnsi="Arial" w:cs="Arial"/>
                <w:sz w:val="21"/>
              </w:rPr>
              <w:t>）</w:t>
            </w:r>
          </w:p>
        </w:tc>
        <w:tc>
          <w:tcPr>
            <w:tcW w:w="3850" w:type="dxa"/>
            <w:tcBorders>
              <w:top w:val="single" w:color="auto" w:sz="4" w:space="0"/>
              <w:left w:val="single" w:color="auto" w:sz="4" w:space="0"/>
              <w:bottom w:val="single" w:color="auto" w:sz="4" w:space="0"/>
              <w:right w:val="single" w:color="auto" w:sz="4" w:space="0"/>
            </w:tcBorders>
            <w:vAlign w:val="center"/>
          </w:tcPr>
          <w:p w14:paraId="27CA77E9">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78.95</w:t>
            </w:r>
          </w:p>
        </w:tc>
      </w:tr>
      <w:tr w14:paraId="13AB6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left w:val="single" w:color="auto" w:sz="4" w:space="0"/>
              <w:right w:val="single" w:color="auto" w:sz="4" w:space="0"/>
            </w:tcBorders>
            <w:vAlign w:val="center"/>
          </w:tcPr>
          <w:p w14:paraId="124496A8">
            <w:pPr>
              <w:autoSpaceDE w:val="0"/>
              <w:autoSpaceDN w:val="0"/>
              <w:adjustRightInd w:val="0"/>
              <w:snapToGrid w:val="0"/>
              <w:jc w:val="center"/>
              <w:rPr>
                <w:rFonts w:ascii="Arial" w:hAnsi="Arial" w:eastAsia="宋体" w:cs="Arial"/>
                <w:sz w:val="21"/>
                <w:szCs w:val="21"/>
              </w:rPr>
            </w:pPr>
          </w:p>
        </w:tc>
        <w:tc>
          <w:tcPr>
            <w:tcW w:w="1060" w:type="dxa"/>
            <w:vMerge w:val="continue"/>
            <w:tcBorders>
              <w:left w:val="single" w:color="auto" w:sz="4" w:space="0"/>
              <w:right w:val="single" w:color="auto" w:sz="4" w:space="0"/>
            </w:tcBorders>
            <w:vAlign w:val="center"/>
          </w:tcPr>
          <w:p w14:paraId="6C54542A">
            <w:pPr>
              <w:autoSpaceDE w:val="0"/>
              <w:autoSpaceDN w:val="0"/>
              <w:adjustRightInd w:val="0"/>
              <w:snapToGrid w:val="0"/>
              <w:jc w:val="center"/>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7A2DC4BE">
            <w:pPr>
              <w:autoSpaceDE w:val="0"/>
              <w:autoSpaceDN w:val="0"/>
              <w:adjustRightInd w:val="0"/>
              <w:snapToGrid w:val="0"/>
              <w:jc w:val="right"/>
              <w:rPr>
                <w:rFonts w:ascii="Arial" w:hAnsi="Arial" w:eastAsia="宋体" w:cs="Arial"/>
                <w:sz w:val="21"/>
                <w:szCs w:val="21"/>
              </w:rPr>
            </w:pPr>
            <w:r>
              <w:rPr>
                <w:rFonts w:hint="eastAsia" w:ascii="Arial" w:hAnsi="Arial" w:eastAsia="宋体" w:cs="Arial"/>
                <w:sz w:val="21"/>
                <w:szCs w:val="21"/>
              </w:rPr>
              <w:t>水污染物当量W（无量纲）</w:t>
            </w:r>
          </w:p>
        </w:tc>
        <w:tc>
          <w:tcPr>
            <w:tcW w:w="3850" w:type="dxa"/>
            <w:tcBorders>
              <w:top w:val="single" w:color="auto" w:sz="4" w:space="0"/>
              <w:left w:val="single" w:color="auto" w:sz="4" w:space="0"/>
              <w:bottom w:val="single" w:color="auto" w:sz="4" w:space="0"/>
              <w:right w:val="single" w:color="auto" w:sz="4" w:space="0"/>
            </w:tcBorders>
            <w:vAlign w:val="center"/>
          </w:tcPr>
          <w:p w14:paraId="48E1A608">
            <w:pPr>
              <w:autoSpaceDE w:val="0"/>
              <w:autoSpaceDN w:val="0"/>
              <w:adjustRightInd w:val="0"/>
              <w:snapToGrid w:val="0"/>
              <w:jc w:val="center"/>
              <w:rPr>
                <w:rFonts w:ascii="Arial" w:hAnsi="Arial" w:eastAsia="宋体" w:cs="Arial"/>
                <w:sz w:val="21"/>
                <w:szCs w:val="21"/>
              </w:rPr>
            </w:pPr>
            <w:r>
              <w:rPr>
                <w:rFonts w:hint="eastAsia" w:ascii="Arial" w:hAnsi="Arial" w:eastAsia="宋体" w:cs="Arial"/>
                <w:sz w:val="21"/>
                <w:szCs w:val="21"/>
              </w:rPr>
              <w:t>392.325</w:t>
            </w:r>
          </w:p>
        </w:tc>
      </w:tr>
      <w:tr w14:paraId="7E5C4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14:paraId="31CA8BC8">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地下水环境</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14:paraId="42614429">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二级</w:t>
            </w:r>
          </w:p>
        </w:tc>
        <w:tc>
          <w:tcPr>
            <w:tcW w:w="2915" w:type="dxa"/>
            <w:tcBorders>
              <w:top w:val="single" w:color="auto" w:sz="4" w:space="0"/>
              <w:left w:val="single" w:color="auto" w:sz="4" w:space="0"/>
              <w:bottom w:val="single" w:color="auto" w:sz="4" w:space="0"/>
              <w:right w:val="single" w:color="auto" w:sz="4" w:space="0"/>
            </w:tcBorders>
            <w:vAlign w:val="center"/>
          </w:tcPr>
          <w:p w14:paraId="28809DD5">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HJ610-2016：</w:t>
            </w:r>
          </w:p>
        </w:tc>
        <w:tc>
          <w:tcPr>
            <w:tcW w:w="3850" w:type="dxa"/>
            <w:tcBorders>
              <w:top w:val="single" w:color="auto" w:sz="4" w:space="0"/>
              <w:left w:val="single" w:color="auto" w:sz="4" w:space="0"/>
              <w:bottom w:val="single" w:color="auto" w:sz="4" w:space="0"/>
              <w:right w:val="single" w:color="auto" w:sz="4" w:space="0"/>
            </w:tcBorders>
            <w:vAlign w:val="center"/>
          </w:tcPr>
          <w:p w14:paraId="6933AC0C">
            <w:pPr>
              <w:autoSpaceDE w:val="0"/>
              <w:autoSpaceDN w:val="0"/>
              <w:adjustRightInd w:val="0"/>
              <w:snapToGrid w:val="0"/>
              <w:jc w:val="center"/>
              <w:rPr>
                <w:rFonts w:ascii="Arial" w:hAnsi="Arial" w:eastAsia="宋体" w:cs="Arial"/>
                <w:sz w:val="21"/>
                <w:szCs w:val="21"/>
              </w:rPr>
            </w:pPr>
          </w:p>
        </w:tc>
      </w:tr>
      <w:tr w14:paraId="12DDB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351C30B4">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1585264F">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301B7207">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项目类型</w:t>
            </w:r>
          </w:p>
        </w:tc>
        <w:tc>
          <w:tcPr>
            <w:tcW w:w="3850" w:type="dxa"/>
            <w:tcBorders>
              <w:top w:val="single" w:color="auto" w:sz="4" w:space="0"/>
              <w:left w:val="single" w:color="auto" w:sz="4" w:space="0"/>
              <w:bottom w:val="single" w:color="auto" w:sz="4" w:space="0"/>
              <w:right w:val="single" w:color="auto" w:sz="4" w:space="0"/>
            </w:tcBorders>
            <w:vAlign w:val="center"/>
          </w:tcPr>
          <w:p w14:paraId="27F23B67">
            <w:pPr>
              <w:autoSpaceDE w:val="0"/>
              <w:autoSpaceDN w:val="0"/>
              <w:adjustRightInd w:val="0"/>
              <w:snapToGrid w:val="0"/>
              <w:jc w:val="center"/>
              <w:rPr>
                <w:rFonts w:ascii="Arial" w:hAnsi="Arial" w:eastAsia="宋体" w:cs="Arial"/>
                <w:sz w:val="21"/>
                <w:szCs w:val="21"/>
              </w:rPr>
            </w:pPr>
            <w:r>
              <w:rPr>
                <w:rFonts w:hint="eastAsia" w:ascii="宋体" w:hAnsi="宋体" w:eastAsia="宋体" w:cs="宋体"/>
                <w:sz w:val="21"/>
                <w:szCs w:val="21"/>
              </w:rPr>
              <w:t>Ⅰ</w:t>
            </w:r>
            <w:r>
              <w:rPr>
                <w:rFonts w:ascii="Arial" w:hAnsi="Arial" w:eastAsia="宋体" w:cs="Arial"/>
                <w:sz w:val="21"/>
                <w:szCs w:val="21"/>
              </w:rPr>
              <w:t>类项目</w:t>
            </w:r>
          </w:p>
        </w:tc>
      </w:tr>
      <w:tr w14:paraId="30045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5E88326F">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2A03A4BE">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68D3CD62">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地下水环境敏感程度分级</w:t>
            </w:r>
          </w:p>
        </w:tc>
        <w:tc>
          <w:tcPr>
            <w:tcW w:w="3850" w:type="dxa"/>
            <w:tcBorders>
              <w:top w:val="single" w:color="auto" w:sz="4" w:space="0"/>
              <w:left w:val="single" w:color="auto" w:sz="4" w:space="0"/>
              <w:bottom w:val="single" w:color="auto" w:sz="4" w:space="0"/>
              <w:right w:val="single" w:color="auto" w:sz="4" w:space="0"/>
            </w:tcBorders>
            <w:vAlign w:val="center"/>
          </w:tcPr>
          <w:p w14:paraId="207B29EE">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不敏感</w:t>
            </w:r>
          </w:p>
        </w:tc>
      </w:tr>
      <w:tr w14:paraId="7A3EA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14:paraId="3179E0FA">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环境空气</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14:paraId="2BB8AAAB">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一级</w:t>
            </w:r>
          </w:p>
        </w:tc>
        <w:tc>
          <w:tcPr>
            <w:tcW w:w="2915" w:type="dxa"/>
            <w:tcBorders>
              <w:top w:val="single" w:color="auto" w:sz="4" w:space="0"/>
              <w:left w:val="single" w:color="auto" w:sz="4" w:space="0"/>
              <w:bottom w:val="single" w:color="auto" w:sz="4" w:space="0"/>
              <w:right w:val="single" w:color="auto" w:sz="4" w:space="0"/>
            </w:tcBorders>
            <w:vAlign w:val="center"/>
          </w:tcPr>
          <w:p w14:paraId="66781F69">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HJ2.2-2018：</w:t>
            </w:r>
          </w:p>
        </w:tc>
        <w:tc>
          <w:tcPr>
            <w:tcW w:w="3850" w:type="dxa"/>
            <w:tcBorders>
              <w:top w:val="single" w:color="auto" w:sz="4" w:space="0"/>
              <w:left w:val="single" w:color="auto" w:sz="4" w:space="0"/>
              <w:bottom w:val="single" w:color="auto" w:sz="4" w:space="0"/>
              <w:right w:val="single" w:color="auto" w:sz="4" w:space="0"/>
            </w:tcBorders>
            <w:vAlign w:val="center"/>
          </w:tcPr>
          <w:p w14:paraId="2959EF50">
            <w:pPr>
              <w:autoSpaceDE w:val="0"/>
              <w:autoSpaceDN w:val="0"/>
              <w:adjustRightInd w:val="0"/>
              <w:snapToGrid w:val="0"/>
              <w:jc w:val="center"/>
              <w:rPr>
                <w:rFonts w:ascii="Arial" w:hAnsi="Arial" w:eastAsia="宋体" w:cs="Arial"/>
                <w:sz w:val="21"/>
                <w:szCs w:val="21"/>
              </w:rPr>
            </w:pPr>
          </w:p>
        </w:tc>
      </w:tr>
      <w:tr w14:paraId="0A45F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508D3A26">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54FCB505">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7DB96C43">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P</w:t>
            </w:r>
            <w:r>
              <w:rPr>
                <w:rFonts w:ascii="Arial" w:hAnsi="Arial" w:eastAsia="宋体" w:cs="Arial"/>
                <w:sz w:val="21"/>
                <w:szCs w:val="21"/>
                <w:vertAlign w:val="subscript"/>
              </w:rPr>
              <w:t>max</w:t>
            </w:r>
          </w:p>
        </w:tc>
        <w:tc>
          <w:tcPr>
            <w:tcW w:w="3850" w:type="dxa"/>
            <w:tcBorders>
              <w:top w:val="single" w:color="auto" w:sz="4" w:space="0"/>
              <w:left w:val="single" w:color="auto" w:sz="4" w:space="0"/>
              <w:bottom w:val="single" w:color="auto" w:sz="4" w:space="0"/>
              <w:right w:val="single" w:color="auto" w:sz="4" w:space="0"/>
            </w:tcBorders>
            <w:vAlign w:val="center"/>
          </w:tcPr>
          <w:p w14:paraId="4D7B3250">
            <w:pPr>
              <w:autoSpaceDE w:val="0"/>
              <w:autoSpaceDN w:val="0"/>
              <w:adjustRightInd w:val="0"/>
              <w:snapToGrid w:val="0"/>
              <w:jc w:val="center"/>
              <w:rPr>
                <w:rFonts w:ascii="Arial" w:hAnsi="Arial" w:eastAsia="宋体" w:cs="Arial"/>
                <w:bCs/>
                <w:sz w:val="21"/>
                <w:szCs w:val="21"/>
              </w:rPr>
            </w:pPr>
            <w:r>
              <w:rPr>
                <w:rFonts w:ascii="Arial" w:hAnsi="Arial" w:eastAsia="宋体" w:cs="Arial"/>
                <w:sz w:val="21"/>
                <w:szCs w:val="21"/>
              </w:rPr>
              <w:t>Pmax=</w:t>
            </w:r>
            <w:r>
              <w:rPr>
                <w:rFonts w:hint="eastAsia" w:ascii="Arial" w:hAnsi="Arial" w:eastAsia="宋体" w:cs="Arial"/>
                <w:sz w:val="21"/>
                <w:szCs w:val="21"/>
              </w:rPr>
              <w:t>60.85</w:t>
            </w:r>
            <w:r>
              <w:rPr>
                <w:rFonts w:ascii="Arial" w:hAnsi="Arial" w:eastAsia="宋体" w:cs="Arial"/>
                <w:sz w:val="21"/>
                <w:szCs w:val="21"/>
              </w:rPr>
              <w:t>＞10%</w:t>
            </w:r>
          </w:p>
        </w:tc>
      </w:tr>
      <w:tr w14:paraId="48E87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14:paraId="3927C067">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声环境</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14:paraId="450D0775">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三级</w:t>
            </w:r>
          </w:p>
        </w:tc>
        <w:tc>
          <w:tcPr>
            <w:tcW w:w="2915" w:type="dxa"/>
            <w:tcBorders>
              <w:top w:val="single" w:color="auto" w:sz="4" w:space="0"/>
              <w:left w:val="single" w:color="auto" w:sz="4" w:space="0"/>
              <w:bottom w:val="single" w:color="auto" w:sz="4" w:space="0"/>
              <w:right w:val="single" w:color="auto" w:sz="4" w:space="0"/>
            </w:tcBorders>
            <w:vAlign w:val="center"/>
          </w:tcPr>
          <w:p w14:paraId="1FE3FDC1">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HJ2.4-2021：</w:t>
            </w:r>
          </w:p>
        </w:tc>
        <w:tc>
          <w:tcPr>
            <w:tcW w:w="3850" w:type="dxa"/>
            <w:tcBorders>
              <w:top w:val="single" w:color="auto" w:sz="4" w:space="0"/>
              <w:left w:val="single" w:color="auto" w:sz="4" w:space="0"/>
              <w:bottom w:val="single" w:color="auto" w:sz="4" w:space="0"/>
              <w:right w:val="single" w:color="auto" w:sz="4" w:space="0"/>
            </w:tcBorders>
            <w:vAlign w:val="center"/>
          </w:tcPr>
          <w:p w14:paraId="088A9E52">
            <w:pPr>
              <w:autoSpaceDE w:val="0"/>
              <w:autoSpaceDN w:val="0"/>
              <w:adjustRightInd w:val="0"/>
              <w:snapToGrid w:val="0"/>
              <w:jc w:val="center"/>
              <w:rPr>
                <w:rFonts w:ascii="Arial" w:hAnsi="Arial" w:eastAsia="宋体" w:cs="Arial"/>
                <w:sz w:val="21"/>
                <w:szCs w:val="21"/>
              </w:rPr>
            </w:pPr>
          </w:p>
        </w:tc>
      </w:tr>
      <w:tr w14:paraId="4849B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18DE3ABA">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207FB95B">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5EF68BFB">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区域声环境功能区</w:t>
            </w:r>
          </w:p>
        </w:tc>
        <w:tc>
          <w:tcPr>
            <w:tcW w:w="3850" w:type="dxa"/>
            <w:tcBorders>
              <w:top w:val="single" w:color="auto" w:sz="4" w:space="0"/>
              <w:left w:val="single" w:color="auto" w:sz="4" w:space="0"/>
              <w:bottom w:val="single" w:color="auto" w:sz="4" w:space="0"/>
              <w:right w:val="single" w:color="auto" w:sz="4" w:space="0"/>
            </w:tcBorders>
            <w:vAlign w:val="center"/>
          </w:tcPr>
          <w:p w14:paraId="336517AB">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GB3096-2008规定的3类区</w:t>
            </w:r>
          </w:p>
        </w:tc>
      </w:tr>
      <w:tr w14:paraId="3116F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4FB5DE7E">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0F2564C3">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28975047">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4"/>
              </w:rPr>
              <w:t>声环境保护目标噪声级增量</w:t>
            </w:r>
          </w:p>
        </w:tc>
        <w:tc>
          <w:tcPr>
            <w:tcW w:w="3850" w:type="dxa"/>
            <w:tcBorders>
              <w:top w:val="single" w:color="auto" w:sz="4" w:space="0"/>
              <w:left w:val="single" w:color="auto" w:sz="4" w:space="0"/>
              <w:bottom w:val="single" w:color="auto" w:sz="4" w:space="0"/>
              <w:right w:val="single" w:color="auto" w:sz="4" w:space="0"/>
            </w:tcBorders>
            <w:vAlign w:val="center"/>
          </w:tcPr>
          <w:p w14:paraId="4FEF798D">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4"/>
              </w:rPr>
              <w:t>声环境保护目标</w:t>
            </w:r>
            <w:r>
              <w:rPr>
                <w:rFonts w:ascii="Arial" w:hAnsi="Arial" w:eastAsia="宋体" w:cs="Arial"/>
                <w:sz w:val="21"/>
                <w:szCs w:val="21"/>
              </w:rPr>
              <w:t>噪声级增高量在3dB以下</w:t>
            </w:r>
          </w:p>
        </w:tc>
      </w:tr>
      <w:tr w14:paraId="70BF3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58A2805F">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6D23996C">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09C1A712">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受噪声影响人口数量</w:t>
            </w:r>
          </w:p>
        </w:tc>
        <w:tc>
          <w:tcPr>
            <w:tcW w:w="3850" w:type="dxa"/>
            <w:tcBorders>
              <w:top w:val="single" w:color="auto" w:sz="4" w:space="0"/>
              <w:left w:val="single" w:color="auto" w:sz="4" w:space="0"/>
              <w:bottom w:val="single" w:color="auto" w:sz="4" w:space="0"/>
              <w:right w:val="single" w:color="auto" w:sz="4" w:space="0"/>
            </w:tcBorders>
            <w:vAlign w:val="center"/>
          </w:tcPr>
          <w:p w14:paraId="65330121">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变化不大</w:t>
            </w:r>
          </w:p>
        </w:tc>
      </w:tr>
      <w:tr w14:paraId="171A8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14:paraId="72292C31">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环境风险</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14:paraId="309145C5">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一级</w:t>
            </w:r>
          </w:p>
        </w:tc>
        <w:tc>
          <w:tcPr>
            <w:tcW w:w="2915" w:type="dxa"/>
            <w:tcBorders>
              <w:top w:val="single" w:color="auto" w:sz="4" w:space="0"/>
              <w:left w:val="single" w:color="auto" w:sz="4" w:space="0"/>
              <w:bottom w:val="single" w:color="auto" w:sz="4" w:space="0"/>
              <w:right w:val="single" w:color="auto" w:sz="4" w:space="0"/>
            </w:tcBorders>
            <w:vAlign w:val="center"/>
          </w:tcPr>
          <w:p w14:paraId="502E54AE">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HJ169-2018：</w:t>
            </w:r>
          </w:p>
        </w:tc>
        <w:tc>
          <w:tcPr>
            <w:tcW w:w="3850" w:type="dxa"/>
            <w:tcBorders>
              <w:top w:val="single" w:color="auto" w:sz="4" w:space="0"/>
              <w:left w:val="single" w:color="auto" w:sz="4" w:space="0"/>
              <w:bottom w:val="single" w:color="auto" w:sz="4" w:space="0"/>
              <w:right w:val="single" w:color="auto" w:sz="4" w:space="0"/>
            </w:tcBorders>
            <w:vAlign w:val="center"/>
          </w:tcPr>
          <w:p w14:paraId="1C73874E">
            <w:pPr>
              <w:autoSpaceDE w:val="0"/>
              <w:autoSpaceDN w:val="0"/>
              <w:adjustRightInd w:val="0"/>
              <w:snapToGrid w:val="0"/>
              <w:jc w:val="left"/>
              <w:rPr>
                <w:rFonts w:ascii="Arial" w:hAnsi="Arial" w:eastAsia="宋体" w:cs="Arial"/>
                <w:sz w:val="21"/>
                <w:szCs w:val="21"/>
              </w:rPr>
            </w:pPr>
          </w:p>
        </w:tc>
      </w:tr>
      <w:tr w14:paraId="100DF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7052C29B">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3200A514">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5DC9B1FA">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环境风险</w:t>
            </w:r>
            <w:r>
              <w:rPr>
                <w:rFonts w:ascii="Arial" w:hAnsi="Arial" w:eastAsia="宋体" w:cs="Arial"/>
                <w:spacing w:val="10"/>
                <w:sz w:val="21"/>
                <w:szCs w:val="21"/>
              </w:rPr>
              <w:t>潜势</w:t>
            </w:r>
          </w:p>
        </w:tc>
        <w:tc>
          <w:tcPr>
            <w:tcW w:w="3850" w:type="dxa"/>
            <w:tcBorders>
              <w:top w:val="single" w:color="auto" w:sz="4" w:space="0"/>
              <w:left w:val="single" w:color="auto" w:sz="4" w:space="0"/>
              <w:bottom w:val="single" w:color="auto" w:sz="4" w:space="0"/>
              <w:right w:val="single" w:color="auto" w:sz="4" w:space="0"/>
            </w:tcBorders>
            <w:vAlign w:val="center"/>
          </w:tcPr>
          <w:p w14:paraId="1DBDA920">
            <w:pPr>
              <w:autoSpaceDE w:val="0"/>
              <w:autoSpaceDN w:val="0"/>
              <w:adjustRightInd w:val="0"/>
              <w:snapToGrid w:val="0"/>
              <w:jc w:val="center"/>
              <w:rPr>
                <w:rFonts w:ascii="Arial" w:hAnsi="Arial" w:eastAsia="宋体" w:cs="Arial"/>
                <w:sz w:val="21"/>
                <w:szCs w:val="21"/>
              </w:rPr>
            </w:pPr>
            <w:r>
              <w:rPr>
                <w:rFonts w:hint="eastAsia" w:ascii="宋体" w:hAnsi="宋体" w:eastAsia="宋体" w:cs="宋体"/>
                <w:spacing w:val="10"/>
                <w:sz w:val="21"/>
                <w:szCs w:val="21"/>
                <w:u w:val="single"/>
              </w:rPr>
              <w:t>Ⅳ</w:t>
            </w:r>
            <w:r>
              <w:rPr>
                <w:rFonts w:hint="eastAsia" w:ascii="宋体" w:hAnsi="宋体" w:eastAsia="宋体" w:cs="宋体"/>
                <w:spacing w:val="10"/>
                <w:sz w:val="21"/>
                <w:szCs w:val="21"/>
                <w:u w:val="single"/>
                <w:vertAlign w:val="superscript"/>
              </w:rPr>
              <w:t>+</w:t>
            </w:r>
            <w:r>
              <w:rPr>
                <w:rFonts w:ascii="Arial" w:hAnsi="Arial" w:eastAsia="宋体" w:cs="Arial"/>
                <w:spacing w:val="10"/>
                <w:sz w:val="21"/>
                <w:szCs w:val="21"/>
                <w:u w:val="single"/>
              </w:rPr>
              <w:t>级</w:t>
            </w:r>
          </w:p>
        </w:tc>
      </w:tr>
      <w:tr w14:paraId="4B170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14:paraId="034764D7">
            <w:pPr>
              <w:widowControl/>
              <w:spacing w:line="240" w:lineRule="exact"/>
              <w:jc w:val="center"/>
              <w:rPr>
                <w:rFonts w:ascii="Arial" w:hAnsi="Arial" w:eastAsia="宋体" w:cs="Arial"/>
                <w:kern w:val="0"/>
                <w:sz w:val="21"/>
                <w:szCs w:val="21"/>
              </w:rPr>
            </w:pPr>
            <w:r>
              <w:rPr>
                <w:rFonts w:ascii="Arial" w:hAnsi="Arial" w:eastAsia="宋体" w:cs="Arial"/>
                <w:kern w:val="0"/>
                <w:sz w:val="21"/>
                <w:szCs w:val="21"/>
              </w:rPr>
              <w:t>土壤环境</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14:paraId="64F446EC">
            <w:pPr>
              <w:widowControl/>
              <w:spacing w:line="240" w:lineRule="exact"/>
              <w:jc w:val="center"/>
              <w:rPr>
                <w:rFonts w:ascii="Arial" w:hAnsi="Arial" w:eastAsia="宋体" w:cs="Arial"/>
                <w:kern w:val="0"/>
                <w:sz w:val="21"/>
                <w:szCs w:val="21"/>
              </w:rPr>
            </w:pPr>
            <w:r>
              <w:rPr>
                <w:rFonts w:ascii="Arial" w:hAnsi="Arial" w:eastAsia="宋体" w:cs="Arial"/>
                <w:kern w:val="0"/>
                <w:sz w:val="21"/>
                <w:szCs w:val="21"/>
              </w:rPr>
              <w:t>一级</w:t>
            </w:r>
          </w:p>
        </w:tc>
        <w:tc>
          <w:tcPr>
            <w:tcW w:w="2915" w:type="dxa"/>
            <w:tcBorders>
              <w:top w:val="single" w:color="auto" w:sz="4" w:space="0"/>
              <w:left w:val="single" w:color="auto" w:sz="4" w:space="0"/>
              <w:bottom w:val="single" w:color="auto" w:sz="4" w:space="0"/>
              <w:right w:val="single" w:color="auto" w:sz="4" w:space="0"/>
            </w:tcBorders>
            <w:vAlign w:val="center"/>
          </w:tcPr>
          <w:p w14:paraId="0A51BC22">
            <w:pPr>
              <w:autoSpaceDE w:val="0"/>
              <w:autoSpaceDN w:val="0"/>
              <w:adjustRightInd w:val="0"/>
              <w:snapToGrid w:val="0"/>
              <w:spacing w:line="240" w:lineRule="exact"/>
              <w:rPr>
                <w:rFonts w:ascii="Arial" w:hAnsi="Arial" w:eastAsia="宋体" w:cs="Arial"/>
                <w:sz w:val="21"/>
                <w:szCs w:val="21"/>
              </w:rPr>
            </w:pPr>
            <w:r>
              <w:rPr>
                <w:rFonts w:ascii="Arial" w:hAnsi="Arial" w:eastAsia="宋体" w:cs="Arial"/>
                <w:sz w:val="21"/>
                <w:szCs w:val="21"/>
              </w:rPr>
              <w:t>HJ964-2018：</w:t>
            </w:r>
          </w:p>
        </w:tc>
        <w:tc>
          <w:tcPr>
            <w:tcW w:w="3850" w:type="dxa"/>
            <w:tcBorders>
              <w:top w:val="single" w:color="auto" w:sz="4" w:space="0"/>
              <w:left w:val="single" w:color="auto" w:sz="4" w:space="0"/>
              <w:bottom w:val="single" w:color="auto" w:sz="4" w:space="0"/>
              <w:right w:val="single" w:color="auto" w:sz="4" w:space="0"/>
            </w:tcBorders>
            <w:vAlign w:val="center"/>
          </w:tcPr>
          <w:p w14:paraId="7CAB1A26">
            <w:pPr>
              <w:autoSpaceDE w:val="0"/>
              <w:autoSpaceDN w:val="0"/>
              <w:adjustRightInd w:val="0"/>
              <w:snapToGrid w:val="0"/>
              <w:spacing w:line="240" w:lineRule="exact"/>
              <w:jc w:val="center"/>
              <w:rPr>
                <w:rFonts w:ascii="Arial" w:hAnsi="Arial" w:eastAsia="宋体" w:cs="Arial"/>
                <w:sz w:val="24"/>
                <w:szCs w:val="24"/>
              </w:rPr>
            </w:pPr>
          </w:p>
        </w:tc>
      </w:tr>
      <w:tr w14:paraId="1B2CB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4E749903">
            <w:pPr>
              <w:widowControl/>
              <w:jc w:val="left"/>
              <w:rPr>
                <w:rFonts w:ascii="Arial" w:hAnsi="Arial" w:eastAsia="宋体" w:cs="Arial"/>
                <w:kern w:val="0"/>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6A1EE8E5">
            <w:pPr>
              <w:widowControl/>
              <w:jc w:val="left"/>
              <w:rPr>
                <w:rFonts w:ascii="Arial" w:hAnsi="Arial" w:eastAsia="宋体" w:cs="Arial"/>
                <w:kern w:val="0"/>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3ED98D1B">
            <w:pPr>
              <w:autoSpaceDE w:val="0"/>
              <w:autoSpaceDN w:val="0"/>
              <w:adjustRightInd w:val="0"/>
              <w:snapToGrid w:val="0"/>
              <w:spacing w:line="240" w:lineRule="exact"/>
              <w:jc w:val="right"/>
              <w:rPr>
                <w:rFonts w:ascii="Arial" w:hAnsi="Arial" w:eastAsia="宋体" w:cs="Arial"/>
                <w:sz w:val="21"/>
                <w:szCs w:val="21"/>
              </w:rPr>
            </w:pPr>
            <w:r>
              <w:rPr>
                <w:rFonts w:ascii="Arial" w:hAnsi="Arial" w:eastAsia="宋体" w:cs="Arial"/>
                <w:sz w:val="21"/>
                <w:szCs w:val="21"/>
              </w:rPr>
              <w:t>项目类别</w:t>
            </w:r>
          </w:p>
        </w:tc>
        <w:tc>
          <w:tcPr>
            <w:tcW w:w="3850" w:type="dxa"/>
            <w:tcBorders>
              <w:top w:val="single" w:color="auto" w:sz="4" w:space="0"/>
              <w:left w:val="single" w:color="auto" w:sz="4" w:space="0"/>
              <w:bottom w:val="single" w:color="auto" w:sz="4" w:space="0"/>
              <w:right w:val="single" w:color="auto" w:sz="4" w:space="0"/>
            </w:tcBorders>
            <w:vAlign w:val="center"/>
          </w:tcPr>
          <w:p w14:paraId="3B071E93">
            <w:pPr>
              <w:autoSpaceDE w:val="0"/>
              <w:autoSpaceDN w:val="0"/>
              <w:adjustRightInd w:val="0"/>
              <w:snapToGrid w:val="0"/>
              <w:spacing w:line="240" w:lineRule="exact"/>
              <w:jc w:val="center"/>
              <w:rPr>
                <w:rFonts w:ascii="Arial" w:hAnsi="Arial" w:eastAsia="宋体" w:cs="Arial"/>
                <w:sz w:val="21"/>
                <w:szCs w:val="21"/>
              </w:rPr>
            </w:pPr>
            <w:r>
              <w:rPr>
                <w:rFonts w:hint="eastAsia" w:ascii="宋体" w:hAnsi="宋体" w:eastAsia="宋体" w:cs="宋体"/>
                <w:sz w:val="21"/>
                <w:szCs w:val="21"/>
              </w:rPr>
              <w:t>Ⅰ</w:t>
            </w:r>
            <w:r>
              <w:rPr>
                <w:rFonts w:ascii="Arial" w:hAnsi="Arial" w:eastAsia="宋体" w:cs="Arial"/>
                <w:sz w:val="21"/>
                <w:szCs w:val="21"/>
              </w:rPr>
              <w:t>类项目</w:t>
            </w:r>
          </w:p>
        </w:tc>
      </w:tr>
      <w:tr w14:paraId="71952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1D9FC152">
            <w:pPr>
              <w:widowControl/>
              <w:jc w:val="left"/>
              <w:rPr>
                <w:rFonts w:ascii="Arial" w:hAnsi="Arial" w:eastAsia="宋体" w:cs="Arial"/>
                <w:kern w:val="0"/>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14C834A4">
            <w:pPr>
              <w:widowControl/>
              <w:jc w:val="left"/>
              <w:rPr>
                <w:rFonts w:ascii="Arial" w:hAnsi="Arial" w:eastAsia="宋体" w:cs="Arial"/>
                <w:kern w:val="0"/>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5F9846DA">
            <w:pPr>
              <w:autoSpaceDE w:val="0"/>
              <w:autoSpaceDN w:val="0"/>
              <w:adjustRightInd w:val="0"/>
              <w:snapToGrid w:val="0"/>
              <w:spacing w:line="240" w:lineRule="exact"/>
              <w:jc w:val="right"/>
              <w:rPr>
                <w:rFonts w:ascii="Arial" w:hAnsi="Arial" w:eastAsia="宋体" w:cs="Arial"/>
                <w:sz w:val="21"/>
                <w:szCs w:val="21"/>
              </w:rPr>
            </w:pPr>
            <w:r>
              <w:rPr>
                <w:rFonts w:ascii="Arial" w:hAnsi="Arial" w:eastAsia="宋体" w:cs="Arial"/>
                <w:sz w:val="21"/>
                <w:szCs w:val="21"/>
              </w:rPr>
              <w:t>占地规模</w:t>
            </w:r>
          </w:p>
        </w:tc>
        <w:tc>
          <w:tcPr>
            <w:tcW w:w="3850" w:type="dxa"/>
            <w:tcBorders>
              <w:top w:val="single" w:color="auto" w:sz="4" w:space="0"/>
              <w:left w:val="single" w:color="auto" w:sz="4" w:space="0"/>
              <w:bottom w:val="single" w:color="auto" w:sz="4" w:space="0"/>
              <w:right w:val="single" w:color="auto" w:sz="4" w:space="0"/>
            </w:tcBorders>
            <w:vAlign w:val="center"/>
          </w:tcPr>
          <w:p w14:paraId="6FE2F9C6">
            <w:pPr>
              <w:autoSpaceDE w:val="0"/>
              <w:autoSpaceDN w:val="0"/>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大型</w:t>
            </w:r>
          </w:p>
        </w:tc>
      </w:tr>
      <w:tr w14:paraId="3A2B6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01EB3E1B">
            <w:pPr>
              <w:widowControl/>
              <w:jc w:val="left"/>
              <w:rPr>
                <w:rFonts w:ascii="Arial" w:hAnsi="Arial" w:eastAsia="宋体" w:cs="Arial"/>
                <w:kern w:val="0"/>
                <w:sz w:val="21"/>
                <w:szCs w:val="21"/>
                <w:highlight w:val="yellow"/>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38BA351A">
            <w:pPr>
              <w:widowControl/>
              <w:jc w:val="left"/>
              <w:rPr>
                <w:rFonts w:ascii="Arial" w:hAnsi="Arial" w:eastAsia="宋体" w:cs="Arial"/>
                <w:kern w:val="0"/>
                <w:sz w:val="21"/>
                <w:szCs w:val="21"/>
                <w:highlight w:val="yellow"/>
              </w:rPr>
            </w:pPr>
          </w:p>
        </w:tc>
        <w:tc>
          <w:tcPr>
            <w:tcW w:w="2915" w:type="dxa"/>
            <w:tcBorders>
              <w:top w:val="single" w:color="auto" w:sz="4" w:space="0"/>
              <w:left w:val="single" w:color="auto" w:sz="4" w:space="0"/>
              <w:bottom w:val="single" w:color="auto" w:sz="4" w:space="0"/>
              <w:right w:val="single" w:color="auto" w:sz="4" w:space="0"/>
            </w:tcBorders>
            <w:vAlign w:val="center"/>
          </w:tcPr>
          <w:p w14:paraId="5A93EF20">
            <w:pPr>
              <w:autoSpaceDE w:val="0"/>
              <w:autoSpaceDN w:val="0"/>
              <w:adjustRightInd w:val="0"/>
              <w:snapToGrid w:val="0"/>
              <w:spacing w:line="240" w:lineRule="exact"/>
              <w:jc w:val="right"/>
              <w:rPr>
                <w:rFonts w:ascii="Arial" w:hAnsi="Arial" w:eastAsia="宋体" w:cs="Arial"/>
                <w:sz w:val="21"/>
                <w:szCs w:val="21"/>
              </w:rPr>
            </w:pPr>
            <w:r>
              <w:rPr>
                <w:rFonts w:ascii="Arial" w:hAnsi="Arial" w:eastAsia="宋体" w:cs="Arial"/>
                <w:sz w:val="21"/>
                <w:szCs w:val="21"/>
              </w:rPr>
              <w:t>敏感程度</w:t>
            </w:r>
          </w:p>
        </w:tc>
        <w:tc>
          <w:tcPr>
            <w:tcW w:w="3850" w:type="dxa"/>
            <w:tcBorders>
              <w:top w:val="single" w:color="auto" w:sz="4" w:space="0"/>
              <w:left w:val="single" w:color="auto" w:sz="4" w:space="0"/>
              <w:bottom w:val="single" w:color="auto" w:sz="4" w:space="0"/>
              <w:right w:val="single" w:color="auto" w:sz="4" w:space="0"/>
            </w:tcBorders>
            <w:vAlign w:val="center"/>
          </w:tcPr>
          <w:p w14:paraId="784996CF">
            <w:pPr>
              <w:autoSpaceDE w:val="0"/>
              <w:autoSpaceDN w:val="0"/>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敏感</w:t>
            </w:r>
          </w:p>
        </w:tc>
      </w:tr>
      <w:tr w14:paraId="45285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restart"/>
            <w:tcBorders>
              <w:top w:val="single" w:color="auto" w:sz="4" w:space="0"/>
              <w:left w:val="single" w:color="auto" w:sz="4" w:space="0"/>
              <w:bottom w:val="single" w:color="auto" w:sz="4" w:space="0"/>
              <w:right w:val="single" w:color="auto" w:sz="4" w:space="0"/>
            </w:tcBorders>
            <w:vAlign w:val="center"/>
          </w:tcPr>
          <w:p w14:paraId="2EA2831A">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生态环境</w:t>
            </w:r>
          </w:p>
        </w:tc>
        <w:tc>
          <w:tcPr>
            <w:tcW w:w="1060" w:type="dxa"/>
            <w:vMerge w:val="restart"/>
            <w:tcBorders>
              <w:top w:val="single" w:color="auto" w:sz="4" w:space="0"/>
              <w:left w:val="single" w:color="auto" w:sz="4" w:space="0"/>
              <w:bottom w:val="single" w:color="auto" w:sz="4" w:space="0"/>
              <w:right w:val="single" w:color="auto" w:sz="4" w:space="0"/>
            </w:tcBorders>
            <w:vAlign w:val="center"/>
          </w:tcPr>
          <w:p w14:paraId="2B8C4FEB">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简单分析</w:t>
            </w:r>
          </w:p>
        </w:tc>
        <w:tc>
          <w:tcPr>
            <w:tcW w:w="2915" w:type="dxa"/>
            <w:tcBorders>
              <w:top w:val="single" w:color="auto" w:sz="4" w:space="0"/>
              <w:left w:val="single" w:color="auto" w:sz="4" w:space="0"/>
              <w:bottom w:val="single" w:color="auto" w:sz="4" w:space="0"/>
              <w:right w:val="single" w:color="auto" w:sz="4" w:space="0"/>
            </w:tcBorders>
            <w:vAlign w:val="center"/>
          </w:tcPr>
          <w:p w14:paraId="40E2AB2F">
            <w:pPr>
              <w:autoSpaceDE w:val="0"/>
              <w:autoSpaceDN w:val="0"/>
              <w:adjustRightInd w:val="0"/>
              <w:snapToGrid w:val="0"/>
              <w:jc w:val="left"/>
              <w:rPr>
                <w:rFonts w:ascii="Arial" w:hAnsi="Arial" w:eastAsia="宋体" w:cs="Arial"/>
                <w:sz w:val="21"/>
                <w:szCs w:val="21"/>
              </w:rPr>
            </w:pPr>
            <w:r>
              <w:rPr>
                <w:rFonts w:ascii="Arial" w:hAnsi="Arial" w:eastAsia="宋体" w:cs="Arial"/>
                <w:sz w:val="21"/>
                <w:szCs w:val="21"/>
              </w:rPr>
              <w:t>HJ19-2022：</w:t>
            </w:r>
          </w:p>
        </w:tc>
        <w:tc>
          <w:tcPr>
            <w:tcW w:w="3850" w:type="dxa"/>
            <w:tcBorders>
              <w:top w:val="single" w:color="auto" w:sz="4" w:space="0"/>
              <w:left w:val="single" w:color="auto" w:sz="4" w:space="0"/>
              <w:bottom w:val="single" w:color="auto" w:sz="4" w:space="0"/>
              <w:right w:val="single" w:color="auto" w:sz="4" w:space="0"/>
            </w:tcBorders>
            <w:vAlign w:val="center"/>
          </w:tcPr>
          <w:p w14:paraId="52CE087C">
            <w:pPr>
              <w:autoSpaceDE w:val="0"/>
              <w:autoSpaceDN w:val="0"/>
              <w:adjustRightInd w:val="0"/>
              <w:snapToGrid w:val="0"/>
              <w:jc w:val="left"/>
              <w:rPr>
                <w:rFonts w:ascii="Arial" w:hAnsi="Arial" w:eastAsia="宋体" w:cs="Arial"/>
                <w:sz w:val="21"/>
                <w:szCs w:val="21"/>
              </w:rPr>
            </w:pPr>
          </w:p>
        </w:tc>
      </w:tr>
      <w:tr w14:paraId="79A35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68" w:type="dxa"/>
            <w:vMerge w:val="continue"/>
            <w:tcBorders>
              <w:top w:val="single" w:color="auto" w:sz="4" w:space="0"/>
              <w:left w:val="single" w:color="auto" w:sz="4" w:space="0"/>
              <w:bottom w:val="single" w:color="auto" w:sz="4" w:space="0"/>
              <w:right w:val="single" w:color="auto" w:sz="4" w:space="0"/>
            </w:tcBorders>
            <w:vAlign w:val="center"/>
          </w:tcPr>
          <w:p w14:paraId="36D69CEF">
            <w:pPr>
              <w:widowControl/>
              <w:jc w:val="left"/>
              <w:rPr>
                <w:rFonts w:ascii="Arial" w:hAnsi="Arial" w:eastAsia="宋体" w:cs="Arial"/>
                <w:sz w:val="21"/>
                <w:szCs w:val="21"/>
              </w:rPr>
            </w:pPr>
          </w:p>
        </w:tc>
        <w:tc>
          <w:tcPr>
            <w:tcW w:w="1060" w:type="dxa"/>
            <w:vMerge w:val="continue"/>
            <w:tcBorders>
              <w:top w:val="single" w:color="auto" w:sz="4" w:space="0"/>
              <w:left w:val="single" w:color="auto" w:sz="4" w:space="0"/>
              <w:bottom w:val="single" w:color="auto" w:sz="4" w:space="0"/>
              <w:right w:val="single" w:color="auto" w:sz="4" w:space="0"/>
            </w:tcBorders>
            <w:vAlign w:val="center"/>
          </w:tcPr>
          <w:p w14:paraId="624F3B8A">
            <w:pPr>
              <w:widowControl/>
              <w:jc w:val="left"/>
              <w:rPr>
                <w:rFonts w:ascii="Arial" w:hAnsi="Arial" w:eastAsia="宋体" w:cs="Arial"/>
                <w:sz w:val="21"/>
                <w:szCs w:val="21"/>
              </w:rPr>
            </w:pPr>
          </w:p>
        </w:tc>
        <w:tc>
          <w:tcPr>
            <w:tcW w:w="2915" w:type="dxa"/>
            <w:tcBorders>
              <w:top w:val="single" w:color="auto" w:sz="4" w:space="0"/>
              <w:left w:val="single" w:color="auto" w:sz="4" w:space="0"/>
              <w:bottom w:val="single" w:color="auto" w:sz="4" w:space="0"/>
              <w:right w:val="single" w:color="auto" w:sz="4" w:space="0"/>
            </w:tcBorders>
            <w:vAlign w:val="center"/>
          </w:tcPr>
          <w:p w14:paraId="14ABF840">
            <w:pPr>
              <w:autoSpaceDE w:val="0"/>
              <w:autoSpaceDN w:val="0"/>
              <w:adjustRightInd w:val="0"/>
              <w:snapToGrid w:val="0"/>
              <w:jc w:val="right"/>
              <w:rPr>
                <w:rFonts w:ascii="Arial" w:hAnsi="Arial" w:eastAsia="宋体" w:cs="Arial"/>
                <w:sz w:val="21"/>
                <w:szCs w:val="21"/>
              </w:rPr>
            </w:pPr>
            <w:r>
              <w:rPr>
                <w:rFonts w:ascii="Arial" w:hAnsi="Arial" w:eastAsia="宋体" w:cs="Arial"/>
                <w:sz w:val="21"/>
                <w:szCs w:val="21"/>
              </w:rPr>
              <w:t>项目情况</w:t>
            </w:r>
          </w:p>
        </w:tc>
        <w:tc>
          <w:tcPr>
            <w:tcW w:w="3850" w:type="dxa"/>
            <w:tcBorders>
              <w:top w:val="single" w:color="auto" w:sz="4" w:space="0"/>
              <w:left w:val="single" w:color="auto" w:sz="4" w:space="0"/>
              <w:bottom w:val="single" w:color="auto" w:sz="4" w:space="0"/>
              <w:right w:val="single" w:color="auto" w:sz="4" w:space="0"/>
            </w:tcBorders>
            <w:vAlign w:val="center"/>
          </w:tcPr>
          <w:p w14:paraId="245F5DEF">
            <w:pPr>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污染影响类项目，处于已批准规划环评的产业园区内且符合规划环评要求、不涉及生态敏感区</w:t>
            </w:r>
          </w:p>
        </w:tc>
      </w:tr>
      <w:bookmarkEnd w:id="237"/>
    </w:tbl>
    <w:p w14:paraId="09C7E9EA">
      <w:pPr>
        <w:keepNext/>
        <w:keepLines/>
        <w:numPr>
          <w:ilvl w:val="0"/>
          <w:numId w:val="2"/>
        </w:numPr>
        <w:tabs>
          <w:tab w:val="left" w:pos="567"/>
        </w:tabs>
        <w:spacing w:before="210" w:after="210" w:line="500" w:lineRule="exact"/>
        <w:outlineLvl w:val="1"/>
        <w:rPr>
          <w:rFonts w:ascii="Arial" w:hAnsi="Arial" w:eastAsia="宋体" w:cs="Arial"/>
          <w:b/>
        </w:rPr>
      </w:pPr>
      <w:bookmarkStart w:id="238" w:name="_Toc185950209"/>
      <w:bookmarkStart w:id="239" w:name="_Toc182491372"/>
      <w:r>
        <w:rPr>
          <w:rFonts w:ascii="Arial" w:hAnsi="Arial" w:eastAsia="宋体" w:cs="Arial"/>
          <w:b/>
        </w:rPr>
        <w:t>评价范围以及环境敏感区</w:t>
      </w:r>
      <w:bookmarkEnd w:id="238"/>
      <w:bookmarkEnd w:id="239"/>
    </w:p>
    <w:p w14:paraId="55656C54">
      <w:pPr>
        <w:keepNext/>
        <w:keepLines/>
        <w:numPr>
          <w:ilvl w:val="0"/>
          <w:numId w:val="8"/>
        </w:numPr>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评价范围</w:t>
      </w:r>
    </w:p>
    <w:p w14:paraId="2EF9C6CE">
      <w:pPr>
        <w:spacing w:line="500" w:lineRule="exact"/>
        <w:ind w:firstLine="476"/>
        <w:rPr>
          <w:rFonts w:ascii="Arial" w:hAnsi="Arial" w:eastAsia="宋体" w:cs="Arial"/>
          <w:spacing w:val="10"/>
          <w:sz w:val="24"/>
          <w:szCs w:val="24"/>
          <w:lang w:val="zh-CN"/>
        </w:rPr>
      </w:pPr>
      <w:r>
        <w:rPr>
          <w:rFonts w:ascii="Arial" w:hAnsi="Arial" w:eastAsia="宋体" w:cs="Arial"/>
          <w:spacing w:val="10"/>
          <w:sz w:val="24"/>
          <w:szCs w:val="24"/>
        </w:rPr>
        <w:t>《环境影响评价技术导则》（HJ2.1-2016、HJ2.2-2018、</w:t>
      </w:r>
      <w:r>
        <w:rPr>
          <w:rFonts w:ascii="Arial" w:hAnsi="Arial" w:eastAsia="宋体" w:cs="Arial"/>
          <w:spacing w:val="10"/>
          <w:kern w:val="0"/>
          <w:sz w:val="24"/>
          <w:szCs w:val="24"/>
        </w:rPr>
        <w:t>HJ2.3-2018</w:t>
      </w:r>
      <w:r>
        <w:rPr>
          <w:rFonts w:ascii="Arial" w:hAnsi="Arial" w:eastAsia="宋体" w:cs="Arial"/>
          <w:spacing w:val="10"/>
          <w:sz w:val="24"/>
          <w:szCs w:val="24"/>
        </w:rPr>
        <w:t>、HJ2.4-2021、HJ610-2016、HJ19-2022、</w:t>
      </w:r>
      <w:r>
        <w:rPr>
          <w:rFonts w:ascii="Arial" w:hAnsi="Arial" w:eastAsia="宋体" w:cs="Arial"/>
          <w:spacing w:val="10"/>
          <w:kern w:val="0"/>
          <w:sz w:val="24"/>
          <w:szCs w:val="24"/>
        </w:rPr>
        <w:t>HJ964-2018</w:t>
      </w:r>
      <w:r>
        <w:rPr>
          <w:rFonts w:ascii="Arial" w:hAnsi="Arial" w:eastAsia="宋体" w:cs="Arial"/>
          <w:spacing w:val="10"/>
          <w:sz w:val="24"/>
          <w:szCs w:val="24"/>
        </w:rPr>
        <w:t>）</w:t>
      </w:r>
      <w:r>
        <w:rPr>
          <w:rFonts w:hint="eastAsia" w:ascii="Arial" w:hAnsi="Arial" w:eastAsia="宋体" w:cs="Arial"/>
          <w:spacing w:val="10"/>
          <w:sz w:val="24"/>
          <w:szCs w:val="24"/>
        </w:rPr>
        <w:t>、</w:t>
      </w:r>
      <w:r>
        <w:rPr>
          <w:rFonts w:ascii="Arial" w:hAnsi="Arial" w:eastAsia="宋体" w:cs="Arial"/>
          <w:spacing w:val="10"/>
          <w:sz w:val="24"/>
          <w:szCs w:val="24"/>
        </w:rPr>
        <w:t>《建设项目环境风险评价技术导则》（</w:t>
      </w:r>
      <w:r>
        <w:rPr>
          <w:rFonts w:ascii="Arial" w:hAnsi="Arial" w:eastAsia="宋体" w:cs="Arial"/>
          <w:spacing w:val="10"/>
          <w:kern w:val="0"/>
          <w:sz w:val="24"/>
          <w:szCs w:val="24"/>
        </w:rPr>
        <w:t>HJ169-2018</w:t>
      </w:r>
      <w:r>
        <w:rPr>
          <w:rFonts w:ascii="Arial" w:hAnsi="Arial" w:eastAsia="宋体" w:cs="Arial"/>
          <w:spacing w:val="10"/>
          <w:sz w:val="24"/>
          <w:szCs w:val="24"/>
        </w:rPr>
        <w:t>）中有关划分</w:t>
      </w:r>
      <w:r>
        <w:rPr>
          <w:rFonts w:ascii="Arial" w:hAnsi="Arial" w:eastAsia="宋体" w:cs="Arial"/>
          <w:spacing w:val="10"/>
          <w:sz w:val="24"/>
          <w:szCs w:val="24"/>
          <w:lang w:val="zh-CN"/>
        </w:rPr>
        <w:t>评价范围的有关规则，确定评价范围见表</w:t>
      </w:r>
      <w:r>
        <w:rPr>
          <w:rFonts w:hint="eastAsia" w:ascii="Arial" w:hAnsi="Arial" w:eastAsia="宋体" w:cs="Arial"/>
          <w:spacing w:val="10"/>
          <w:sz w:val="24"/>
          <w:szCs w:val="24"/>
          <w:lang w:val="zh-CN"/>
        </w:rPr>
        <w:t>1-29</w:t>
      </w:r>
      <w:r>
        <w:rPr>
          <w:rFonts w:ascii="Arial" w:hAnsi="Arial" w:eastAsia="宋体" w:cs="Arial"/>
          <w:spacing w:val="10"/>
          <w:sz w:val="24"/>
          <w:szCs w:val="24"/>
          <w:lang w:val="zh-CN"/>
        </w:rPr>
        <w:t>。</w:t>
      </w:r>
    </w:p>
    <w:p w14:paraId="3F4CA314">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项目各环境要素评价范围表</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7695"/>
      </w:tblGrid>
      <w:tr w14:paraId="532B9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14:paraId="7A1912B9">
            <w:pPr>
              <w:spacing w:line="240" w:lineRule="exact"/>
              <w:jc w:val="center"/>
              <w:rPr>
                <w:rFonts w:ascii="Arial" w:hAnsi="Arial" w:eastAsia="宋体" w:cs="Arial"/>
                <w:spacing w:val="10"/>
                <w:sz w:val="21"/>
                <w:szCs w:val="21"/>
              </w:rPr>
            </w:pPr>
            <w:r>
              <w:rPr>
                <w:rFonts w:ascii="Arial" w:hAnsi="Arial" w:eastAsia="宋体" w:cs="Arial"/>
                <w:spacing w:val="10"/>
                <w:sz w:val="21"/>
                <w:szCs w:val="21"/>
              </w:rPr>
              <w:t>环境要素</w:t>
            </w:r>
          </w:p>
        </w:tc>
        <w:tc>
          <w:tcPr>
            <w:tcW w:w="7695" w:type="dxa"/>
            <w:tcBorders>
              <w:top w:val="single" w:color="auto" w:sz="4" w:space="0"/>
              <w:left w:val="single" w:color="auto" w:sz="4" w:space="0"/>
              <w:bottom w:val="single" w:color="auto" w:sz="4" w:space="0"/>
              <w:right w:val="single" w:color="auto" w:sz="4" w:space="0"/>
            </w:tcBorders>
            <w:vAlign w:val="center"/>
          </w:tcPr>
          <w:p w14:paraId="2EF048F5">
            <w:pPr>
              <w:spacing w:line="240" w:lineRule="exact"/>
              <w:jc w:val="center"/>
              <w:rPr>
                <w:rFonts w:ascii="Arial" w:hAnsi="Arial" w:eastAsia="宋体" w:cs="Arial"/>
                <w:spacing w:val="10"/>
                <w:sz w:val="21"/>
                <w:szCs w:val="21"/>
              </w:rPr>
            </w:pPr>
            <w:r>
              <w:rPr>
                <w:rFonts w:ascii="Arial" w:hAnsi="Arial" w:eastAsia="宋体" w:cs="Arial"/>
                <w:spacing w:val="10"/>
                <w:sz w:val="21"/>
                <w:szCs w:val="21"/>
              </w:rPr>
              <w:t>评价范围</w:t>
            </w:r>
          </w:p>
        </w:tc>
      </w:tr>
      <w:tr w14:paraId="05052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14:paraId="4AF27B18">
            <w:pPr>
              <w:spacing w:line="240" w:lineRule="exact"/>
              <w:jc w:val="center"/>
              <w:rPr>
                <w:rFonts w:ascii="Arial" w:hAnsi="Arial" w:eastAsia="宋体" w:cs="Arial"/>
                <w:spacing w:val="10"/>
                <w:sz w:val="21"/>
                <w:szCs w:val="21"/>
              </w:rPr>
            </w:pPr>
            <w:r>
              <w:rPr>
                <w:rFonts w:ascii="Arial" w:hAnsi="Arial" w:eastAsia="宋体" w:cs="Arial"/>
                <w:spacing w:val="10"/>
                <w:sz w:val="21"/>
                <w:szCs w:val="21"/>
              </w:rPr>
              <w:t>水环境</w:t>
            </w:r>
          </w:p>
        </w:tc>
        <w:tc>
          <w:tcPr>
            <w:tcW w:w="7695" w:type="dxa"/>
            <w:tcBorders>
              <w:top w:val="single" w:color="auto" w:sz="4" w:space="0"/>
              <w:left w:val="single" w:color="auto" w:sz="4" w:space="0"/>
              <w:bottom w:val="single" w:color="auto" w:sz="4" w:space="0"/>
              <w:right w:val="single" w:color="auto" w:sz="4" w:space="0"/>
            </w:tcBorders>
            <w:vAlign w:val="center"/>
          </w:tcPr>
          <w:p w14:paraId="53692D8C">
            <w:pPr>
              <w:spacing w:line="240" w:lineRule="exact"/>
              <w:rPr>
                <w:rFonts w:ascii="Arial" w:hAnsi="Arial" w:eastAsia="宋体" w:cs="Arial"/>
                <w:spacing w:val="10"/>
                <w:sz w:val="21"/>
                <w:szCs w:val="21"/>
              </w:rPr>
            </w:pPr>
            <w:r>
              <w:rPr>
                <w:rFonts w:hint="eastAsia" w:ascii="Arial" w:hAnsi="Arial" w:eastAsia="宋体" w:cs="Arial"/>
                <w:spacing w:val="10"/>
                <w:sz w:val="21"/>
                <w:szCs w:val="21"/>
              </w:rPr>
              <w:t>排放口为中心、半径为25 km范围的海域</w:t>
            </w:r>
          </w:p>
        </w:tc>
      </w:tr>
      <w:tr w14:paraId="0B8FD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14:paraId="31D9A7A9">
            <w:pPr>
              <w:spacing w:line="240" w:lineRule="exact"/>
              <w:jc w:val="center"/>
              <w:rPr>
                <w:rFonts w:ascii="Arial" w:hAnsi="Arial" w:eastAsia="宋体" w:cs="Arial"/>
                <w:spacing w:val="10"/>
                <w:sz w:val="21"/>
                <w:szCs w:val="21"/>
              </w:rPr>
            </w:pPr>
            <w:r>
              <w:rPr>
                <w:rFonts w:ascii="Arial" w:hAnsi="Arial" w:eastAsia="宋体" w:cs="Arial"/>
                <w:spacing w:val="10"/>
                <w:sz w:val="21"/>
                <w:szCs w:val="21"/>
              </w:rPr>
              <w:t>地下水</w:t>
            </w:r>
          </w:p>
        </w:tc>
        <w:tc>
          <w:tcPr>
            <w:tcW w:w="7695" w:type="dxa"/>
            <w:tcBorders>
              <w:top w:val="single" w:color="auto" w:sz="4" w:space="0"/>
              <w:left w:val="single" w:color="auto" w:sz="4" w:space="0"/>
              <w:bottom w:val="single" w:color="auto" w:sz="4" w:space="0"/>
              <w:right w:val="single" w:color="auto" w:sz="4" w:space="0"/>
            </w:tcBorders>
            <w:vAlign w:val="center"/>
          </w:tcPr>
          <w:p w14:paraId="0601BBD7">
            <w:pPr>
              <w:pStyle w:val="5"/>
              <w:spacing w:line="240" w:lineRule="exact"/>
              <w:ind w:firstLine="0"/>
              <w:rPr>
                <w:sz w:val="21"/>
                <w:szCs w:val="21"/>
              </w:rPr>
            </w:pPr>
            <w:r>
              <w:rPr>
                <w:sz w:val="21"/>
                <w:szCs w:val="21"/>
              </w:rPr>
              <w:t>项目区地下水由西北向东南径流，排泄至鹿耳环江。评价区以淡水湾-鲎泊潭-大坑一带地下水分水岭为调查边界，分水岭以北的河流为排泄边界1，分水岭以南的西侧金鼓江为排泄边界2、东侧鹿耳环江为排泄边界3以及南侧钦州湾作为排泄边界4。地下水露头为评价区补给边界，地下水补给、径流、排泄系统独立完整。因此本次地下水环境影响调查评价范围：北侧以分水岭为调查边界，西侧以金鼓江为边界，东调查至鹿耳环江，南至钦州湾。鹿耳环江为项目区地下水主要排泄区，鹿耳环江最终汇入钦州湾。本次调查面积约33.67km</w:t>
            </w:r>
            <w:r>
              <w:rPr>
                <w:sz w:val="21"/>
                <w:szCs w:val="21"/>
                <w:vertAlign w:val="superscript"/>
              </w:rPr>
              <w:t>2</w:t>
            </w:r>
            <w:r>
              <w:rPr>
                <w:sz w:val="21"/>
                <w:szCs w:val="21"/>
              </w:rPr>
              <w:t>。</w:t>
            </w:r>
          </w:p>
        </w:tc>
      </w:tr>
      <w:tr w14:paraId="3B372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14:paraId="2870DB6C">
            <w:pPr>
              <w:spacing w:line="240" w:lineRule="exact"/>
              <w:jc w:val="center"/>
              <w:rPr>
                <w:rFonts w:ascii="Arial" w:hAnsi="Arial" w:eastAsia="宋体" w:cs="Arial"/>
                <w:spacing w:val="10"/>
                <w:sz w:val="21"/>
                <w:szCs w:val="21"/>
              </w:rPr>
            </w:pPr>
            <w:r>
              <w:rPr>
                <w:rFonts w:ascii="Arial" w:hAnsi="Arial" w:eastAsia="宋体" w:cs="Arial"/>
                <w:spacing w:val="10"/>
                <w:sz w:val="21"/>
                <w:szCs w:val="21"/>
              </w:rPr>
              <w:t>环境空气</w:t>
            </w:r>
          </w:p>
        </w:tc>
        <w:tc>
          <w:tcPr>
            <w:tcW w:w="7695" w:type="dxa"/>
            <w:tcBorders>
              <w:top w:val="single" w:color="auto" w:sz="4" w:space="0"/>
              <w:left w:val="single" w:color="auto" w:sz="4" w:space="0"/>
              <w:bottom w:val="single" w:color="auto" w:sz="4" w:space="0"/>
              <w:right w:val="single" w:color="auto" w:sz="4" w:space="0"/>
            </w:tcBorders>
            <w:vAlign w:val="center"/>
          </w:tcPr>
          <w:p w14:paraId="0C9E97ED">
            <w:pPr>
              <w:pStyle w:val="5"/>
              <w:spacing w:line="240" w:lineRule="exact"/>
              <w:ind w:firstLine="0"/>
              <w:rPr>
                <w:sz w:val="21"/>
                <w:szCs w:val="21"/>
                <w:u w:val="single"/>
              </w:rPr>
            </w:pPr>
            <w:r>
              <w:rPr>
                <w:rFonts w:hint="eastAsia"/>
                <w:sz w:val="21"/>
                <w:szCs w:val="21"/>
                <w:u w:val="single"/>
              </w:rPr>
              <w:t>厂址中心</w:t>
            </w:r>
            <w:r>
              <w:rPr>
                <w:sz w:val="21"/>
                <w:szCs w:val="21"/>
                <w:u w:val="single"/>
              </w:rPr>
              <w:t>外延2.5km的矩形区域</w:t>
            </w:r>
          </w:p>
        </w:tc>
      </w:tr>
      <w:tr w14:paraId="039C6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14:paraId="4D402703">
            <w:pPr>
              <w:spacing w:line="240" w:lineRule="exact"/>
              <w:jc w:val="center"/>
              <w:rPr>
                <w:rFonts w:ascii="Arial" w:hAnsi="Arial" w:eastAsia="宋体" w:cs="Arial"/>
                <w:spacing w:val="10"/>
                <w:sz w:val="21"/>
                <w:szCs w:val="21"/>
              </w:rPr>
            </w:pPr>
            <w:r>
              <w:rPr>
                <w:rFonts w:ascii="Arial" w:hAnsi="Arial" w:eastAsia="宋体" w:cs="Arial"/>
                <w:spacing w:val="10"/>
                <w:sz w:val="21"/>
                <w:szCs w:val="21"/>
              </w:rPr>
              <w:t>声环境</w:t>
            </w:r>
          </w:p>
        </w:tc>
        <w:tc>
          <w:tcPr>
            <w:tcW w:w="7695" w:type="dxa"/>
            <w:tcBorders>
              <w:top w:val="single" w:color="auto" w:sz="4" w:space="0"/>
              <w:left w:val="single" w:color="auto" w:sz="4" w:space="0"/>
              <w:bottom w:val="single" w:color="auto" w:sz="4" w:space="0"/>
              <w:right w:val="single" w:color="auto" w:sz="4" w:space="0"/>
            </w:tcBorders>
            <w:vAlign w:val="center"/>
          </w:tcPr>
          <w:p w14:paraId="31256B91">
            <w:pPr>
              <w:spacing w:line="240" w:lineRule="exact"/>
              <w:rPr>
                <w:rFonts w:ascii="Arial" w:hAnsi="Arial" w:eastAsia="宋体" w:cs="Arial"/>
                <w:spacing w:val="10"/>
                <w:sz w:val="21"/>
                <w:szCs w:val="21"/>
              </w:rPr>
            </w:pPr>
            <w:r>
              <w:rPr>
                <w:rFonts w:ascii="Arial" w:hAnsi="Arial" w:eastAsia="宋体" w:cs="Arial"/>
                <w:spacing w:val="10"/>
                <w:sz w:val="21"/>
                <w:szCs w:val="21"/>
              </w:rPr>
              <w:t>厂界外200m范围</w:t>
            </w:r>
          </w:p>
        </w:tc>
      </w:tr>
      <w:tr w14:paraId="52412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14:paraId="22FA2CC9">
            <w:pPr>
              <w:spacing w:line="240" w:lineRule="exact"/>
              <w:jc w:val="center"/>
              <w:rPr>
                <w:rFonts w:ascii="Arial" w:hAnsi="Arial" w:eastAsia="宋体" w:cs="Arial"/>
                <w:spacing w:val="10"/>
                <w:sz w:val="21"/>
                <w:szCs w:val="21"/>
              </w:rPr>
            </w:pPr>
            <w:r>
              <w:rPr>
                <w:rFonts w:ascii="Arial" w:hAnsi="Arial" w:eastAsia="宋体" w:cs="Arial"/>
                <w:spacing w:val="10"/>
                <w:sz w:val="21"/>
                <w:szCs w:val="21"/>
              </w:rPr>
              <w:t>土壤环境</w:t>
            </w:r>
          </w:p>
        </w:tc>
        <w:tc>
          <w:tcPr>
            <w:tcW w:w="7695" w:type="dxa"/>
            <w:tcBorders>
              <w:top w:val="single" w:color="auto" w:sz="4" w:space="0"/>
              <w:left w:val="single" w:color="auto" w:sz="4" w:space="0"/>
              <w:bottom w:val="single" w:color="auto" w:sz="4" w:space="0"/>
              <w:right w:val="single" w:color="auto" w:sz="4" w:space="0"/>
            </w:tcBorders>
            <w:vAlign w:val="center"/>
          </w:tcPr>
          <w:p w14:paraId="7294D1CA">
            <w:pPr>
              <w:spacing w:line="240" w:lineRule="exact"/>
              <w:rPr>
                <w:rFonts w:ascii="Arial" w:hAnsi="Arial" w:eastAsia="宋体" w:cs="Arial"/>
                <w:spacing w:val="10"/>
                <w:sz w:val="21"/>
                <w:szCs w:val="21"/>
              </w:rPr>
            </w:pPr>
            <w:r>
              <w:rPr>
                <w:rFonts w:ascii="Arial" w:hAnsi="Arial" w:eastAsia="宋体" w:cs="Arial"/>
                <w:spacing w:val="10"/>
                <w:sz w:val="21"/>
                <w:szCs w:val="21"/>
              </w:rPr>
              <w:t>厂界外1km范围</w:t>
            </w:r>
          </w:p>
        </w:tc>
      </w:tr>
      <w:tr w14:paraId="0277D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vMerge w:val="restart"/>
            <w:tcBorders>
              <w:top w:val="single" w:color="auto" w:sz="4" w:space="0"/>
              <w:left w:val="single" w:color="auto" w:sz="4" w:space="0"/>
              <w:bottom w:val="single" w:color="auto" w:sz="4" w:space="0"/>
              <w:right w:val="single" w:color="auto" w:sz="4" w:space="0"/>
            </w:tcBorders>
            <w:vAlign w:val="center"/>
          </w:tcPr>
          <w:p w14:paraId="28F9A4EE">
            <w:pPr>
              <w:spacing w:line="240" w:lineRule="exact"/>
              <w:jc w:val="center"/>
              <w:rPr>
                <w:rFonts w:ascii="Arial" w:hAnsi="Arial" w:eastAsia="宋体" w:cs="Arial"/>
                <w:spacing w:val="10"/>
                <w:sz w:val="21"/>
                <w:szCs w:val="21"/>
              </w:rPr>
            </w:pPr>
            <w:r>
              <w:rPr>
                <w:rFonts w:ascii="Arial" w:hAnsi="Arial" w:eastAsia="宋体" w:cs="Arial"/>
                <w:spacing w:val="10"/>
                <w:sz w:val="21"/>
                <w:szCs w:val="21"/>
              </w:rPr>
              <w:t>环境风险</w:t>
            </w:r>
          </w:p>
        </w:tc>
        <w:tc>
          <w:tcPr>
            <w:tcW w:w="7695" w:type="dxa"/>
            <w:tcBorders>
              <w:top w:val="single" w:color="auto" w:sz="4" w:space="0"/>
              <w:left w:val="single" w:color="auto" w:sz="4" w:space="0"/>
              <w:bottom w:val="single" w:color="auto" w:sz="4" w:space="0"/>
              <w:right w:val="single" w:color="auto" w:sz="4" w:space="0"/>
            </w:tcBorders>
            <w:vAlign w:val="center"/>
          </w:tcPr>
          <w:p w14:paraId="0C3904BF">
            <w:pPr>
              <w:spacing w:line="240" w:lineRule="exact"/>
              <w:rPr>
                <w:rFonts w:ascii="Arial" w:hAnsi="Arial" w:eastAsia="宋体" w:cs="Arial"/>
                <w:spacing w:val="10"/>
                <w:sz w:val="21"/>
                <w:szCs w:val="21"/>
              </w:rPr>
            </w:pPr>
            <w:r>
              <w:rPr>
                <w:rFonts w:ascii="Arial" w:hAnsi="Arial" w:eastAsia="宋体" w:cs="Arial"/>
                <w:spacing w:val="10"/>
                <w:sz w:val="21"/>
                <w:szCs w:val="21"/>
              </w:rPr>
              <w:t>大气：项目边界外5km的区域</w:t>
            </w:r>
          </w:p>
        </w:tc>
      </w:tr>
      <w:tr w14:paraId="39DCA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vMerge w:val="continue"/>
            <w:tcBorders>
              <w:top w:val="single" w:color="auto" w:sz="4" w:space="0"/>
              <w:left w:val="single" w:color="auto" w:sz="4" w:space="0"/>
              <w:bottom w:val="single" w:color="auto" w:sz="4" w:space="0"/>
              <w:right w:val="single" w:color="auto" w:sz="4" w:space="0"/>
            </w:tcBorders>
            <w:vAlign w:val="center"/>
          </w:tcPr>
          <w:p w14:paraId="4A4284DE">
            <w:pPr>
              <w:widowControl/>
              <w:jc w:val="left"/>
              <w:rPr>
                <w:rFonts w:ascii="Arial" w:hAnsi="Arial" w:eastAsia="宋体" w:cs="Arial"/>
                <w:spacing w:val="10"/>
                <w:sz w:val="21"/>
                <w:szCs w:val="21"/>
              </w:rPr>
            </w:pPr>
          </w:p>
        </w:tc>
        <w:tc>
          <w:tcPr>
            <w:tcW w:w="7695" w:type="dxa"/>
            <w:tcBorders>
              <w:top w:val="single" w:color="auto" w:sz="4" w:space="0"/>
              <w:left w:val="single" w:color="auto" w:sz="4" w:space="0"/>
              <w:bottom w:val="single" w:color="auto" w:sz="4" w:space="0"/>
              <w:right w:val="single" w:color="auto" w:sz="4" w:space="0"/>
            </w:tcBorders>
            <w:vAlign w:val="center"/>
          </w:tcPr>
          <w:p w14:paraId="74F0182E">
            <w:pPr>
              <w:spacing w:line="240" w:lineRule="exact"/>
              <w:rPr>
                <w:rFonts w:ascii="Arial" w:hAnsi="Arial" w:eastAsia="宋体" w:cs="Arial"/>
                <w:spacing w:val="10"/>
                <w:sz w:val="21"/>
                <w:szCs w:val="21"/>
              </w:rPr>
            </w:pPr>
            <w:r>
              <w:rPr>
                <w:rFonts w:ascii="Arial" w:hAnsi="Arial" w:eastAsia="宋体" w:cs="Arial"/>
                <w:spacing w:val="10"/>
                <w:sz w:val="21"/>
                <w:szCs w:val="21"/>
              </w:rPr>
              <w:t>地表水：与水环境</w:t>
            </w:r>
            <w:r>
              <w:rPr>
                <w:rFonts w:hint="eastAsia" w:ascii="Arial" w:hAnsi="Arial" w:eastAsia="宋体" w:cs="Arial"/>
                <w:spacing w:val="10"/>
                <w:sz w:val="21"/>
                <w:szCs w:val="21"/>
              </w:rPr>
              <w:t>评价</w:t>
            </w:r>
            <w:r>
              <w:rPr>
                <w:rFonts w:ascii="Arial" w:hAnsi="Arial" w:eastAsia="宋体" w:cs="Arial"/>
                <w:spacing w:val="10"/>
                <w:sz w:val="21"/>
                <w:szCs w:val="21"/>
              </w:rPr>
              <w:t>范围相同</w:t>
            </w:r>
          </w:p>
        </w:tc>
      </w:tr>
      <w:tr w14:paraId="506E3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vMerge w:val="continue"/>
            <w:tcBorders>
              <w:top w:val="single" w:color="auto" w:sz="4" w:space="0"/>
              <w:left w:val="single" w:color="auto" w:sz="4" w:space="0"/>
              <w:bottom w:val="single" w:color="auto" w:sz="4" w:space="0"/>
              <w:right w:val="single" w:color="auto" w:sz="4" w:space="0"/>
            </w:tcBorders>
            <w:vAlign w:val="center"/>
          </w:tcPr>
          <w:p w14:paraId="60964214">
            <w:pPr>
              <w:widowControl/>
              <w:jc w:val="left"/>
              <w:rPr>
                <w:rFonts w:ascii="Arial" w:hAnsi="Arial" w:eastAsia="宋体" w:cs="Arial"/>
                <w:spacing w:val="10"/>
                <w:sz w:val="21"/>
                <w:szCs w:val="21"/>
              </w:rPr>
            </w:pPr>
          </w:p>
        </w:tc>
        <w:tc>
          <w:tcPr>
            <w:tcW w:w="7695" w:type="dxa"/>
            <w:tcBorders>
              <w:top w:val="single" w:color="auto" w:sz="4" w:space="0"/>
              <w:left w:val="single" w:color="auto" w:sz="4" w:space="0"/>
              <w:bottom w:val="single" w:color="auto" w:sz="4" w:space="0"/>
              <w:right w:val="single" w:color="auto" w:sz="4" w:space="0"/>
            </w:tcBorders>
            <w:vAlign w:val="center"/>
          </w:tcPr>
          <w:p w14:paraId="7F71EBC1">
            <w:pPr>
              <w:spacing w:line="240" w:lineRule="exact"/>
              <w:rPr>
                <w:rFonts w:ascii="Arial" w:hAnsi="Arial" w:eastAsia="宋体" w:cs="Arial"/>
                <w:spacing w:val="10"/>
                <w:sz w:val="21"/>
                <w:szCs w:val="21"/>
              </w:rPr>
            </w:pPr>
            <w:r>
              <w:rPr>
                <w:rFonts w:ascii="Arial" w:hAnsi="Arial" w:eastAsia="宋体" w:cs="Arial"/>
                <w:spacing w:val="10"/>
                <w:sz w:val="21"/>
                <w:szCs w:val="21"/>
              </w:rPr>
              <w:t>地下水：与地下水调查范围相同</w:t>
            </w:r>
          </w:p>
        </w:tc>
      </w:tr>
      <w:tr w14:paraId="640CB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8" w:type="dxa"/>
            <w:tcBorders>
              <w:top w:val="single" w:color="auto" w:sz="4" w:space="0"/>
              <w:left w:val="single" w:color="auto" w:sz="4" w:space="0"/>
              <w:bottom w:val="single" w:color="auto" w:sz="4" w:space="0"/>
              <w:right w:val="single" w:color="auto" w:sz="4" w:space="0"/>
            </w:tcBorders>
            <w:vAlign w:val="center"/>
          </w:tcPr>
          <w:p w14:paraId="2FB1522D">
            <w:pPr>
              <w:spacing w:line="240" w:lineRule="exact"/>
              <w:jc w:val="center"/>
              <w:rPr>
                <w:rFonts w:ascii="Arial" w:hAnsi="Arial" w:eastAsia="宋体" w:cs="Arial"/>
                <w:spacing w:val="10"/>
                <w:sz w:val="21"/>
                <w:szCs w:val="21"/>
              </w:rPr>
            </w:pPr>
            <w:r>
              <w:rPr>
                <w:rFonts w:ascii="Arial" w:hAnsi="Arial" w:eastAsia="宋体" w:cs="Arial"/>
                <w:spacing w:val="10"/>
                <w:sz w:val="21"/>
                <w:szCs w:val="21"/>
              </w:rPr>
              <w:t>生态环境</w:t>
            </w:r>
          </w:p>
        </w:tc>
        <w:tc>
          <w:tcPr>
            <w:tcW w:w="7695" w:type="dxa"/>
            <w:tcBorders>
              <w:top w:val="single" w:color="auto" w:sz="4" w:space="0"/>
              <w:left w:val="single" w:color="auto" w:sz="4" w:space="0"/>
              <w:bottom w:val="single" w:color="auto" w:sz="4" w:space="0"/>
              <w:right w:val="single" w:color="auto" w:sz="4" w:space="0"/>
            </w:tcBorders>
            <w:vAlign w:val="center"/>
          </w:tcPr>
          <w:p w14:paraId="40AA65B5">
            <w:pPr>
              <w:spacing w:line="240" w:lineRule="exact"/>
              <w:rPr>
                <w:rFonts w:ascii="Arial" w:hAnsi="Arial" w:eastAsia="宋体" w:cs="Arial"/>
                <w:spacing w:val="10"/>
                <w:sz w:val="21"/>
                <w:szCs w:val="21"/>
              </w:rPr>
            </w:pPr>
            <w:r>
              <w:rPr>
                <w:rFonts w:ascii="Arial" w:hAnsi="Arial" w:eastAsia="宋体" w:cs="Arial"/>
                <w:spacing w:val="10"/>
                <w:sz w:val="21"/>
                <w:szCs w:val="21"/>
              </w:rPr>
              <w:t>厂区范围内</w:t>
            </w:r>
          </w:p>
        </w:tc>
      </w:tr>
    </w:tbl>
    <w:p w14:paraId="56D6856C">
      <w:pPr>
        <w:keepNext/>
        <w:keepLines/>
        <w:numPr>
          <w:ilvl w:val="0"/>
          <w:numId w:val="8"/>
        </w:numPr>
        <w:tabs>
          <w:tab w:val="left" w:pos="1080"/>
        </w:tabs>
        <w:spacing w:before="126" w:after="126" w:line="500" w:lineRule="exact"/>
        <w:ind w:left="0" w:firstLine="0"/>
        <w:outlineLvl w:val="2"/>
        <w:rPr>
          <w:rFonts w:ascii="Arial" w:hAnsi="Arial" w:eastAsia="宋体" w:cs="Arial"/>
          <w:b/>
          <w:bCs/>
          <w:sz w:val="24"/>
          <w:szCs w:val="24"/>
        </w:rPr>
      </w:pPr>
      <w:r>
        <w:rPr>
          <w:rFonts w:ascii="Arial" w:hAnsi="Arial" w:eastAsia="宋体" w:cs="Arial"/>
          <w:b/>
          <w:bCs/>
          <w:sz w:val="24"/>
          <w:szCs w:val="24"/>
        </w:rPr>
        <w:t>环境敏感区</w:t>
      </w:r>
    </w:p>
    <w:p w14:paraId="7EC96010">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项目环境空气保护目标见表1-</w:t>
      </w:r>
      <w:r>
        <w:rPr>
          <w:rFonts w:hint="eastAsia" w:ascii="Arial" w:hAnsi="Arial" w:eastAsia="宋体" w:cs="Arial"/>
          <w:spacing w:val="10"/>
          <w:sz w:val="24"/>
          <w:szCs w:val="24"/>
        </w:rPr>
        <w:t>30</w:t>
      </w:r>
      <w:r>
        <w:rPr>
          <w:rFonts w:ascii="Arial" w:hAnsi="Arial" w:eastAsia="宋体" w:cs="Arial"/>
          <w:spacing w:val="10"/>
          <w:sz w:val="24"/>
          <w:szCs w:val="24"/>
        </w:rPr>
        <w:t>，</w:t>
      </w:r>
      <w:r>
        <w:rPr>
          <w:rFonts w:ascii="Arial" w:hAnsi="Arial" w:eastAsia="宋体" w:cs="Arial"/>
          <w:spacing w:val="10"/>
          <w:sz w:val="24"/>
          <w:szCs w:val="24"/>
          <w:u w:val="single"/>
        </w:rPr>
        <w:t>风险环境敏感目标见下文&amp;4.3.1.</w:t>
      </w:r>
      <w:r>
        <w:rPr>
          <w:rFonts w:hint="eastAsia" w:ascii="Arial" w:hAnsi="Arial" w:eastAsia="宋体" w:cs="Arial"/>
          <w:spacing w:val="10"/>
          <w:sz w:val="24"/>
          <w:szCs w:val="24"/>
          <w:u w:val="single"/>
        </w:rPr>
        <w:t>2</w:t>
      </w:r>
      <w:r>
        <w:rPr>
          <w:rFonts w:ascii="Arial" w:hAnsi="Arial" w:eastAsia="宋体" w:cs="Arial"/>
          <w:spacing w:val="10"/>
          <w:sz w:val="24"/>
          <w:szCs w:val="24"/>
        </w:rPr>
        <w:t>。</w:t>
      </w:r>
    </w:p>
    <w:p w14:paraId="0E77523B">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1、环境空气保护目标</w:t>
      </w:r>
    </w:p>
    <w:p w14:paraId="129A6433">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环境空气保护目标</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4"/>
        <w:gridCol w:w="2338"/>
        <w:gridCol w:w="996"/>
        <w:gridCol w:w="1437"/>
        <w:gridCol w:w="1142"/>
        <w:gridCol w:w="1290"/>
        <w:gridCol w:w="1286"/>
      </w:tblGrid>
      <w:tr w14:paraId="7EC9C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4802A5EF">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序号</w:t>
            </w:r>
          </w:p>
        </w:tc>
        <w:tc>
          <w:tcPr>
            <w:tcW w:w="1300" w:type="pct"/>
            <w:vAlign w:val="center"/>
          </w:tcPr>
          <w:p w14:paraId="28A49E83">
            <w:pPr>
              <w:widowControl/>
              <w:adjustRightInd w:val="0"/>
              <w:snapToGrid w:val="0"/>
              <w:jc w:val="center"/>
              <w:textAlignment w:val="center"/>
              <w:rPr>
                <w:rFonts w:ascii="Arial" w:hAnsi="Arial" w:eastAsia="宋体" w:cs="Arial"/>
                <w:sz w:val="21"/>
                <w:szCs w:val="21"/>
              </w:rPr>
            </w:pPr>
            <w:r>
              <w:rPr>
                <w:rFonts w:ascii="Arial" w:hAnsi="Arial" w:eastAsia="宋体" w:cs="Arial"/>
                <w:kern w:val="0"/>
                <w:sz w:val="21"/>
                <w:szCs w:val="21"/>
                <w:lang w:bidi="ar"/>
              </w:rPr>
              <w:t>名称</w:t>
            </w:r>
          </w:p>
        </w:tc>
        <w:tc>
          <w:tcPr>
            <w:tcW w:w="554" w:type="pct"/>
            <w:vAlign w:val="center"/>
          </w:tcPr>
          <w:p w14:paraId="4E61D584">
            <w:pPr>
              <w:widowControl/>
              <w:adjustRightInd w:val="0"/>
              <w:snapToGrid w:val="0"/>
              <w:jc w:val="center"/>
              <w:textAlignment w:val="center"/>
              <w:rPr>
                <w:rFonts w:ascii="Arial" w:hAnsi="Arial" w:eastAsia="宋体" w:cs="Arial"/>
                <w:sz w:val="21"/>
                <w:szCs w:val="21"/>
              </w:rPr>
            </w:pPr>
            <w:r>
              <w:rPr>
                <w:rFonts w:ascii="Arial" w:hAnsi="Arial" w:eastAsia="宋体" w:cs="Arial"/>
                <w:kern w:val="0"/>
                <w:sz w:val="21"/>
                <w:szCs w:val="21"/>
                <w:lang w:bidi="ar"/>
              </w:rPr>
              <w:t>相对厂址方位</w:t>
            </w:r>
          </w:p>
        </w:tc>
        <w:tc>
          <w:tcPr>
            <w:tcW w:w="799" w:type="pct"/>
            <w:vAlign w:val="center"/>
          </w:tcPr>
          <w:p w14:paraId="1A48FF33">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离厂区最近距离（m）</w:t>
            </w:r>
          </w:p>
        </w:tc>
        <w:tc>
          <w:tcPr>
            <w:tcW w:w="635" w:type="pct"/>
            <w:vAlign w:val="center"/>
          </w:tcPr>
          <w:p w14:paraId="7D72FD9F">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规模（人）</w:t>
            </w:r>
          </w:p>
        </w:tc>
        <w:tc>
          <w:tcPr>
            <w:tcW w:w="717" w:type="pct"/>
            <w:vAlign w:val="center"/>
          </w:tcPr>
          <w:p w14:paraId="3F78C282">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饮用水源</w:t>
            </w:r>
          </w:p>
        </w:tc>
        <w:tc>
          <w:tcPr>
            <w:tcW w:w="715" w:type="pct"/>
            <w:vAlign w:val="center"/>
          </w:tcPr>
          <w:p w14:paraId="16CAD7E9">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保护级别</w:t>
            </w:r>
          </w:p>
        </w:tc>
      </w:tr>
      <w:tr w14:paraId="37F78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1D147D52">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sz w:val="21"/>
                <w:szCs w:val="21"/>
              </w:rPr>
              <w:t>1</w:t>
            </w:r>
          </w:p>
        </w:tc>
        <w:tc>
          <w:tcPr>
            <w:tcW w:w="1300" w:type="pct"/>
            <w:vAlign w:val="center"/>
          </w:tcPr>
          <w:p w14:paraId="361886EF">
            <w:pPr>
              <w:adjustRightInd w:val="0"/>
              <w:snapToGrid w:val="0"/>
              <w:jc w:val="center"/>
              <w:rPr>
                <w:rFonts w:ascii="Arial" w:hAnsi="Arial" w:eastAsia="宋体" w:cs="Arial"/>
                <w:sz w:val="21"/>
                <w:szCs w:val="21"/>
              </w:rPr>
            </w:pPr>
            <w:r>
              <w:rPr>
                <w:rFonts w:ascii="Arial" w:hAnsi="Arial" w:eastAsia="宋体" w:cs="Arial"/>
                <w:sz w:val="21"/>
                <w:szCs w:val="21"/>
              </w:rPr>
              <w:t>鸡墩头村</w:t>
            </w:r>
          </w:p>
        </w:tc>
        <w:tc>
          <w:tcPr>
            <w:tcW w:w="554" w:type="pct"/>
            <w:vAlign w:val="center"/>
          </w:tcPr>
          <w:p w14:paraId="65FD57FD">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799" w:type="pct"/>
            <w:vAlign w:val="center"/>
          </w:tcPr>
          <w:p w14:paraId="43256498">
            <w:pPr>
              <w:adjustRightInd w:val="0"/>
              <w:snapToGrid w:val="0"/>
              <w:jc w:val="center"/>
              <w:rPr>
                <w:rFonts w:ascii="Arial" w:hAnsi="Arial" w:eastAsia="宋体" w:cs="Arial"/>
                <w:sz w:val="21"/>
                <w:szCs w:val="21"/>
              </w:rPr>
            </w:pPr>
            <w:r>
              <w:rPr>
                <w:rFonts w:ascii="Arial" w:hAnsi="Arial" w:eastAsia="宋体" w:cs="Arial"/>
                <w:sz w:val="21"/>
                <w:szCs w:val="21"/>
              </w:rPr>
              <w:t>10</w:t>
            </w:r>
          </w:p>
        </w:tc>
        <w:tc>
          <w:tcPr>
            <w:tcW w:w="635" w:type="pct"/>
            <w:vAlign w:val="center"/>
          </w:tcPr>
          <w:p w14:paraId="0C90F356">
            <w:pPr>
              <w:adjustRightInd w:val="0"/>
              <w:snapToGrid w:val="0"/>
              <w:jc w:val="center"/>
              <w:rPr>
                <w:rFonts w:ascii="Arial" w:hAnsi="Arial" w:eastAsia="宋体" w:cs="Arial"/>
                <w:sz w:val="21"/>
                <w:szCs w:val="21"/>
              </w:rPr>
            </w:pPr>
            <w:r>
              <w:rPr>
                <w:rFonts w:ascii="Arial" w:hAnsi="Arial" w:cs="Arial"/>
                <w:sz w:val="21"/>
                <w:szCs w:val="21"/>
              </w:rPr>
              <w:t>700</w:t>
            </w:r>
          </w:p>
        </w:tc>
        <w:tc>
          <w:tcPr>
            <w:tcW w:w="717" w:type="pct"/>
            <w:vAlign w:val="center"/>
          </w:tcPr>
          <w:p w14:paraId="2FD3F519">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restart"/>
            <w:vAlign w:val="center"/>
          </w:tcPr>
          <w:p w14:paraId="716E852A">
            <w:pPr>
              <w:adjustRightInd w:val="0"/>
              <w:snapToGrid w:val="0"/>
              <w:jc w:val="center"/>
              <w:rPr>
                <w:rFonts w:ascii="Arial" w:hAnsi="Arial" w:eastAsia="宋体" w:cs="Arial"/>
                <w:kern w:val="0"/>
                <w:sz w:val="21"/>
                <w:szCs w:val="21"/>
                <w:lang w:bidi="ar"/>
              </w:rPr>
            </w:pPr>
            <w:r>
              <w:rPr>
                <w:rFonts w:ascii="Arial" w:hAnsi="Arial" w:eastAsia="宋体" w:cs="Arial"/>
                <w:sz w:val="21"/>
                <w:szCs w:val="21"/>
              </w:rPr>
              <w:t>环境空气：二级</w:t>
            </w:r>
          </w:p>
        </w:tc>
      </w:tr>
      <w:tr w14:paraId="54E30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2E320F89">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sz w:val="21"/>
                <w:szCs w:val="21"/>
              </w:rPr>
              <w:t>2</w:t>
            </w:r>
          </w:p>
        </w:tc>
        <w:tc>
          <w:tcPr>
            <w:tcW w:w="1300" w:type="pct"/>
            <w:vAlign w:val="center"/>
          </w:tcPr>
          <w:p w14:paraId="518AB4EA">
            <w:pPr>
              <w:adjustRightInd w:val="0"/>
              <w:snapToGrid w:val="0"/>
              <w:jc w:val="center"/>
              <w:rPr>
                <w:rFonts w:ascii="Arial" w:hAnsi="Arial" w:eastAsia="宋体" w:cs="Arial"/>
                <w:sz w:val="21"/>
                <w:szCs w:val="21"/>
              </w:rPr>
            </w:pPr>
            <w:r>
              <w:rPr>
                <w:rFonts w:ascii="Arial" w:hAnsi="Arial" w:eastAsia="宋体" w:cs="Arial"/>
                <w:sz w:val="21"/>
                <w:szCs w:val="21"/>
              </w:rPr>
              <w:t>钦州港经开区第五小学</w:t>
            </w:r>
          </w:p>
        </w:tc>
        <w:tc>
          <w:tcPr>
            <w:tcW w:w="554" w:type="pct"/>
            <w:vAlign w:val="center"/>
          </w:tcPr>
          <w:p w14:paraId="514B4D0C">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799" w:type="pct"/>
            <w:vAlign w:val="center"/>
          </w:tcPr>
          <w:p w14:paraId="50D7AF9B">
            <w:pPr>
              <w:adjustRightInd w:val="0"/>
              <w:snapToGrid w:val="0"/>
              <w:jc w:val="center"/>
              <w:rPr>
                <w:rFonts w:ascii="Arial" w:hAnsi="Arial" w:eastAsia="宋体" w:cs="Arial"/>
                <w:sz w:val="21"/>
                <w:szCs w:val="21"/>
              </w:rPr>
            </w:pPr>
            <w:r>
              <w:rPr>
                <w:rFonts w:ascii="Arial" w:hAnsi="Arial" w:eastAsia="宋体" w:cs="Arial"/>
                <w:sz w:val="21"/>
                <w:szCs w:val="21"/>
              </w:rPr>
              <w:t>215</w:t>
            </w:r>
          </w:p>
        </w:tc>
        <w:tc>
          <w:tcPr>
            <w:tcW w:w="635" w:type="pct"/>
            <w:vAlign w:val="center"/>
          </w:tcPr>
          <w:p w14:paraId="7D78BCE0">
            <w:pPr>
              <w:adjustRightInd w:val="0"/>
              <w:snapToGrid w:val="0"/>
              <w:jc w:val="center"/>
              <w:rPr>
                <w:rFonts w:ascii="Arial" w:hAnsi="Arial" w:eastAsia="宋体" w:cs="Arial"/>
                <w:sz w:val="21"/>
                <w:szCs w:val="21"/>
              </w:rPr>
            </w:pPr>
            <w:r>
              <w:rPr>
                <w:rFonts w:ascii="Arial" w:hAnsi="Arial" w:cs="Arial"/>
                <w:sz w:val="21"/>
                <w:szCs w:val="21"/>
              </w:rPr>
              <w:t>500</w:t>
            </w:r>
          </w:p>
        </w:tc>
        <w:tc>
          <w:tcPr>
            <w:tcW w:w="717" w:type="pct"/>
            <w:vAlign w:val="center"/>
          </w:tcPr>
          <w:p w14:paraId="1BF2C8F9">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4C14CC00">
            <w:pPr>
              <w:adjustRightInd w:val="0"/>
              <w:snapToGrid w:val="0"/>
              <w:jc w:val="center"/>
              <w:rPr>
                <w:rFonts w:ascii="Arial" w:hAnsi="Arial" w:eastAsia="宋体" w:cs="Arial"/>
                <w:kern w:val="0"/>
                <w:sz w:val="21"/>
                <w:szCs w:val="21"/>
                <w:lang w:bidi="ar"/>
              </w:rPr>
            </w:pPr>
          </w:p>
        </w:tc>
      </w:tr>
      <w:tr w14:paraId="3A84F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250907BB">
            <w:pPr>
              <w:adjustRightInd w:val="0"/>
              <w:snapToGrid w:val="0"/>
              <w:jc w:val="center"/>
              <w:rPr>
                <w:rFonts w:ascii="Arial" w:hAnsi="Arial" w:eastAsia="宋体" w:cs="Arial"/>
                <w:sz w:val="21"/>
                <w:szCs w:val="21"/>
              </w:rPr>
            </w:pPr>
            <w:r>
              <w:rPr>
                <w:rFonts w:ascii="Arial" w:hAnsi="Arial" w:eastAsia="宋体" w:cs="Arial"/>
                <w:sz w:val="21"/>
                <w:szCs w:val="21"/>
              </w:rPr>
              <w:t>3</w:t>
            </w:r>
          </w:p>
        </w:tc>
        <w:tc>
          <w:tcPr>
            <w:tcW w:w="1300" w:type="pct"/>
            <w:tcMar>
              <w:top w:w="15" w:type="dxa"/>
              <w:left w:w="15" w:type="dxa"/>
              <w:bottom w:w="15" w:type="dxa"/>
              <w:right w:w="15" w:type="dxa"/>
            </w:tcMar>
            <w:vAlign w:val="center"/>
          </w:tcPr>
          <w:p w14:paraId="667A660D">
            <w:pPr>
              <w:adjustRightInd w:val="0"/>
              <w:snapToGrid w:val="0"/>
              <w:jc w:val="center"/>
              <w:rPr>
                <w:rFonts w:ascii="Arial" w:hAnsi="Arial" w:eastAsia="宋体" w:cs="Arial"/>
                <w:sz w:val="21"/>
                <w:szCs w:val="21"/>
              </w:rPr>
            </w:pPr>
            <w:r>
              <w:rPr>
                <w:rFonts w:ascii="Arial" w:hAnsi="Arial" w:eastAsia="宋体" w:cs="Arial"/>
                <w:sz w:val="21"/>
                <w:szCs w:val="21"/>
              </w:rPr>
              <w:t>过路山村</w:t>
            </w:r>
          </w:p>
        </w:tc>
        <w:tc>
          <w:tcPr>
            <w:tcW w:w="554" w:type="pct"/>
            <w:vAlign w:val="center"/>
          </w:tcPr>
          <w:p w14:paraId="00A9E7C1">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799" w:type="pct"/>
            <w:vAlign w:val="center"/>
          </w:tcPr>
          <w:p w14:paraId="112C813A">
            <w:pPr>
              <w:adjustRightInd w:val="0"/>
              <w:snapToGrid w:val="0"/>
              <w:jc w:val="center"/>
              <w:rPr>
                <w:rFonts w:ascii="Arial" w:hAnsi="Arial" w:eastAsia="宋体" w:cs="Arial"/>
                <w:sz w:val="21"/>
                <w:szCs w:val="21"/>
              </w:rPr>
            </w:pPr>
            <w:r>
              <w:rPr>
                <w:rFonts w:ascii="Arial" w:hAnsi="Arial" w:eastAsia="宋体" w:cs="Arial"/>
                <w:sz w:val="21"/>
                <w:szCs w:val="21"/>
              </w:rPr>
              <w:t>420</w:t>
            </w:r>
          </w:p>
        </w:tc>
        <w:tc>
          <w:tcPr>
            <w:tcW w:w="635" w:type="pct"/>
            <w:vAlign w:val="center"/>
          </w:tcPr>
          <w:p w14:paraId="736644B1">
            <w:pPr>
              <w:adjustRightInd w:val="0"/>
              <w:snapToGrid w:val="0"/>
              <w:jc w:val="center"/>
              <w:rPr>
                <w:rFonts w:ascii="Arial" w:hAnsi="Arial" w:eastAsia="宋体" w:cs="Arial"/>
                <w:sz w:val="21"/>
                <w:szCs w:val="21"/>
              </w:rPr>
            </w:pPr>
            <w:r>
              <w:rPr>
                <w:rFonts w:ascii="Arial" w:hAnsi="Arial" w:cs="Arial"/>
                <w:sz w:val="21"/>
                <w:szCs w:val="21"/>
              </w:rPr>
              <w:t>500</w:t>
            </w:r>
          </w:p>
        </w:tc>
        <w:tc>
          <w:tcPr>
            <w:tcW w:w="717" w:type="pct"/>
            <w:vAlign w:val="center"/>
          </w:tcPr>
          <w:p w14:paraId="35662F9A">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2C3CFB64">
            <w:pPr>
              <w:adjustRightInd w:val="0"/>
              <w:snapToGrid w:val="0"/>
              <w:jc w:val="center"/>
              <w:rPr>
                <w:rFonts w:ascii="Arial" w:hAnsi="Arial" w:eastAsia="宋体" w:cs="Arial"/>
                <w:sz w:val="21"/>
                <w:szCs w:val="21"/>
              </w:rPr>
            </w:pPr>
          </w:p>
        </w:tc>
      </w:tr>
      <w:tr w14:paraId="442CB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1A77C791">
            <w:pPr>
              <w:adjustRightInd w:val="0"/>
              <w:snapToGrid w:val="0"/>
              <w:jc w:val="center"/>
              <w:rPr>
                <w:rFonts w:ascii="Arial" w:hAnsi="Arial" w:eastAsia="宋体" w:cs="Arial"/>
                <w:sz w:val="21"/>
                <w:szCs w:val="21"/>
              </w:rPr>
            </w:pPr>
            <w:r>
              <w:rPr>
                <w:rFonts w:ascii="Arial" w:hAnsi="Arial" w:eastAsia="宋体" w:cs="Arial"/>
                <w:sz w:val="21"/>
                <w:szCs w:val="21"/>
              </w:rPr>
              <w:t>4</w:t>
            </w:r>
          </w:p>
        </w:tc>
        <w:tc>
          <w:tcPr>
            <w:tcW w:w="1300" w:type="pct"/>
            <w:tcMar>
              <w:top w:w="15" w:type="dxa"/>
              <w:left w:w="15" w:type="dxa"/>
              <w:bottom w:w="15" w:type="dxa"/>
              <w:right w:w="15" w:type="dxa"/>
            </w:tcMar>
            <w:vAlign w:val="center"/>
          </w:tcPr>
          <w:p w14:paraId="002FB8EE">
            <w:pPr>
              <w:adjustRightInd w:val="0"/>
              <w:snapToGrid w:val="0"/>
              <w:jc w:val="center"/>
              <w:rPr>
                <w:rFonts w:ascii="Arial" w:hAnsi="Arial" w:eastAsia="宋体" w:cs="Arial"/>
                <w:sz w:val="21"/>
                <w:szCs w:val="21"/>
              </w:rPr>
            </w:pPr>
            <w:r>
              <w:rPr>
                <w:rFonts w:ascii="Arial" w:hAnsi="Arial" w:eastAsia="宋体" w:cs="Arial"/>
                <w:sz w:val="21"/>
                <w:szCs w:val="21"/>
              </w:rPr>
              <w:t>上硫磺山村</w:t>
            </w:r>
          </w:p>
        </w:tc>
        <w:tc>
          <w:tcPr>
            <w:tcW w:w="554" w:type="pct"/>
            <w:vAlign w:val="center"/>
          </w:tcPr>
          <w:p w14:paraId="41D63F3A">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799" w:type="pct"/>
            <w:vAlign w:val="center"/>
          </w:tcPr>
          <w:p w14:paraId="534479D3">
            <w:pPr>
              <w:adjustRightInd w:val="0"/>
              <w:snapToGrid w:val="0"/>
              <w:jc w:val="center"/>
              <w:rPr>
                <w:rFonts w:ascii="Arial" w:hAnsi="Arial" w:eastAsia="宋体" w:cs="Arial"/>
                <w:sz w:val="21"/>
                <w:szCs w:val="21"/>
              </w:rPr>
            </w:pPr>
            <w:r>
              <w:rPr>
                <w:rFonts w:ascii="Arial" w:hAnsi="Arial" w:eastAsia="宋体" w:cs="Arial"/>
                <w:sz w:val="21"/>
                <w:szCs w:val="21"/>
              </w:rPr>
              <w:t>1055</w:t>
            </w:r>
          </w:p>
        </w:tc>
        <w:tc>
          <w:tcPr>
            <w:tcW w:w="635" w:type="pct"/>
            <w:vAlign w:val="center"/>
          </w:tcPr>
          <w:p w14:paraId="05026F25">
            <w:pPr>
              <w:adjustRightInd w:val="0"/>
              <w:snapToGrid w:val="0"/>
              <w:jc w:val="center"/>
              <w:rPr>
                <w:rFonts w:ascii="Arial" w:hAnsi="Arial" w:eastAsia="宋体" w:cs="Arial"/>
                <w:sz w:val="21"/>
                <w:szCs w:val="21"/>
              </w:rPr>
            </w:pPr>
            <w:r>
              <w:rPr>
                <w:rFonts w:ascii="Arial" w:hAnsi="Arial" w:cs="Arial"/>
                <w:sz w:val="21"/>
                <w:szCs w:val="21"/>
              </w:rPr>
              <w:t>200</w:t>
            </w:r>
          </w:p>
        </w:tc>
        <w:tc>
          <w:tcPr>
            <w:tcW w:w="717" w:type="pct"/>
            <w:vAlign w:val="center"/>
          </w:tcPr>
          <w:p w14:paraId="496E899A">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30A1A466">
            <w:pPr>
              <w:adjustRightInd w:val="0"/>
              <w:snapToGrid w:val="0"/>
              <w:jc w:val="center"/>
              <w:rPr>
                <w:rFonts w:ascii="Arial" w:hAnsi="Arial" w:eastAsia="宋体" w:cs="Arial"/>
                <w:sz w:val="21"/>
                <w:szCs w:val="21"/>
              </w:rPr>
            </w:pPr>
          </w:p>
        </w:tc>
      </w:tr>
      <w:tr w14:paraId="38754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01EFE6B0">
            <w:pPr>
              <w:adjustRightInd w:val="0"/>
              <w:snapToGrid w:val="0"/>
              <w:jc w:val="center"/>
              <w:rPr>
                <w:rFonts w:ascii="Arial" w:hAnsi="Arial" w:eastAsia="宋体" w:cs="Arial"/>
                <w:sz w:val="21"/>
                <w:szCs w:val="21"/>
              </w:rPr>
            </w:pPr>
            <w:r>
              <w:rPr>
                <w:rFonts w:ascii="Arial" w:hAnsi="Arial" w:eastAsia="宋体" w:cs="Arial"/>
                <w:sz w:val="21"/>
                <w:szCs w:val="21"/>
              </w:rPr>
              <w:t>5</w:t>
            </w:r>
          </w:p>
        </w:tc>
        <w:tc>
          <w:tcPr>
            <w:tcW w:w="1300" w:type="pct"/>
            <w:tcMar>
              <w:top w:w="15" w:type="dxa"/>
              <w:left w:w="15" w:type="dxa"/>
              <w:bottom w:w="15" w:type="dxa"/>
              <w:right w:w="15" w:type="dxa"/>
            </w:tcMar>
            <w:vAlign w:val="center"/>
          </w:tcPr>
          <w:p w14:paraId="6B719A98">
            <w:pPr>
              <w:adjustRightInd w:val="0"/>
              <w:snapToGrid w:val="0"/>
              <w:jc w:val="center"/>
              <w:rPr>
                <w:rFonts w:ascii="Arial" w:hAnsi="Arial" w:eastAsia="宋体" w:cs="Arial"/>
                <w:sz w:val="21"/>
                <w:szCs w:val="21"/>
              </w:rPr>
            </w:pPr>
            <w:r>
              <w:rPr>
                <w:rFonts w:ascii="Arial" w:hAnsi="Arial" w:eastAsia="宋体" w:cs="Arial"/>
                <w:sz w:val="21"/>
                <w:szCs w:val="21"/>
              </w:rPr>
              <w:t>下硫磺山村</w:t>
            </w:r>
          </w:p>
        </w:tc>
        <w:tc>
          <w:tcPr>
            <w:tcW w:w="554" w:type="pct"/>
            <w:vAlign w:val="center"/>
          </w:tcPr>
          <w:p w14:paraId="00449CF4">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799" w:type="pct"/>
            <w:vAlign w:val="center"/>
          </w:tcPr>
          <w:p w14:paraId="6345FE0D">
            <w:pPr>
              <w:adjustRightInd w:val="0"/>
              <w:snapToGrid w:val="0"/>
              <w:jc w:val="center"/>
              <w:rPr>
                <w:rFonts w:ascii="Arial" w:hAnsi="Arial" w:eastAsia="宋体" w:cs="Arial"/>
                <w:sz w:val="21"/>
                <w:szCs w:val="21"/>
              </w:rPr>
            </w:pPr>
            <w:r>
              <w:rPr>
                <w:rFonts w:ascii="Arial" w:hAnsi="Arial" w:eastAsia="宋体" w:cs="Arial"/>
                <w:sz w:val="21"/>
                <w:szCs w:val="21"/>
              </w:rPr>
              <w:t>1105</w:t>
            </w:r>
          </w:p>
        </w:tc>
        <w:tc>
          <w:tcPr>
            <w:tcW w:w="635" w:type="pct"/>
            <w:vAlign w:val="center"/>
          </w:tcPr>
          <w:p w14:paraId="0F302885">
            <w:pPr>
              <w:adjustRightInd w:val="0"/>
              <w:snapToGrid w:val="0"/>
              <w:jc w:val="center"/>
              <w:rPr>
                <w:rFonts w:ascii="Arial" w:hAnsi="Arial" w:eastAsia="宋体" w:cs="Arial"/>
                <w:sz w:val="21"/>
                <w:szCs w:val="21"/>
              </w:rPr>
            </w:pPr>
            <w:r>
              <w:rPr>
                <w:rFonts w:ascii="Arial" w:hAnsi="Arial" w:cs="Arial"/>
                <w:sz w:val="21"/>
                <w:szCs w:val="21"/>
              </w:rPr>
              <w:t>68</w:t>
            </w:r>
          </w:p>
        </w:tc>
        <w:tc>
          <w:tcPr>
            <w:tcW w:w="717" w:type="pct"/>
            <w:vAlign w:val="center"/>
          </w:tcPr>
          <w:p w14:paraId="458F387A">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22768912">
            <w:pPr>
              <w:adjustRightInd w:val="0"/>
              <w:snapToGrid w:val="0"/>
              <w:jc w:val="center"/>
              <w:rPr>
                <w:rFonts w:ascii="Arial" w:hAnsi="Arial" w:eastAsia="宋体" w:cs="Arial"/>
                <w:sz w:val="21"/>
                <w:szCs w:val="21"/>
              </w:rPr>
            </w:pPr>
          </w:p>
        </w:tc>
      </w:tr>
      <w:tr w14:paraId="39DF4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075E0C50">
            <w:pPr>
              <w:adjustRightInd w:val="0"/>
              <w:snapToGrid w:val="0"/>
              <w:jc w:val="center"/>
              <w:rPr>
                <w:rFonts w:ascii="Arial" w:hAnsi="Arial" w:eastAsia="宋体" w:cs="Arial"/>
                <w:sz w:val="21"/>
                <w:szCs w:val="21"/>
              </w:rPr>
            </w:pPr>
            <w:r>
              <w:rPr>
                <w:rFonts w:ascii="Arial" w:hAnsi="Arial" w:eastAsia="宋体" w:cs="Arial"/>
                <w:sz w:val="21"/>
                <w:szCs w:val="21"/>
              </w:rPr>
              <w:t>6</w:t>
            </w:r>
          </w:p>
        </w:tc>
        <w:tc>
          <w:tcPr>
            <w:tcW w:w="1300" w:type="pct"/>
            <w:tcMar>
              <w:top w:w="15" w:type="dxa"/>
              <w:left w:w="15" w:type="dxa"/>
              <w:bottom w:w="15" w:type="dxa"/>
              <w:right w:w="15" w:type="dxa"/>
            </w:tcMar>
            <w:vAlign w:val="center"/>
          </w:tcPr>
          <w:p w14:paraId="3E0AFEC0">
            <w:pPr>
              <w:adjustRightInd w:val="0"/>
              <w:snapToGrid w:val="0"/>
              <w:jc w:val="center"/>
              <w:rPr>
                <w:rFonts w:ascii="Arial" w:hAnsi="Arial" w:eastAsia="宋体" w:cs="Arial"/>
                <w:sz w:val="21"/>
                <w:szCs w:val="21"/>
              </w:rPr>
            </w:pPr>
            <w:r>
              <w:rPr>
                <w:rFonts w:ascii="Arial" w:hAnsi="Arial" w:eastAsia="宋体" w:cs="Arial"/>
                <w:sz w:val="21"/>
                <w:szCs w:val="21"/>
              </w:rPr>
              <w:t>东港区第一幼儿园</w:t>
            </w:r>
          </w:p>
        </w:tc>
        <w:tc>
          <w:tcPr>
            <w:tcW w:w="554" w:type="pct"/>
            <w:vAlign w:val="center"/>
          </w:tcPr>
          <w:p w14:paraId="46DBF39A">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799" w:type="pct"/>
            <w:vAlign w:val="center"/>
          </w:tcPr>
          <w:p w14:paraId="7F1D2B57">
            <w:pPr>
              <w:adjustRightInd w:val="0"/>
              <w:snapToGrid w:val="0"/>
              <w:jc w:val="center"/>
              <w:rPr>
                <w:rFonts w:ascii="Arial" w:hAnsi="Arial" w:eastAsia="宋体" w:cs="Arial"/>
                <w:sz w:val="21"/>
                <w:szCs w:val="21"/>
              </w:rPr>
            </w:pPr>
            <w:r>
              <w:rPr>
                <w:rFonts w:ascii="Arial" w:hAnsi="Arial" w:eastAsia="宋体" w:cs="Arial"/>
                <w:sz w:val="21"/>
                <w:szCs w:val="21"/>
              </w:rPr>
              <w:t>1110</w:t>
            </w:r>
          </w:p>
        </w:tc>
        <w:tc>
          <w:tcPr>
            <w:tcW w:w="635" w:type="pct"/>
            <w:vAlign w:val="center"/>
          </w:tcPr>
          <w:p w14:paraId="1D14A4FD">
            <w:pPr>
              <w:adjustRightInd w:val="0"/>
              <w:snapToGrid w:val="0"/>
              <w:jc w:val="center"/>
              <w:rPr>
                <w:rFonts w:ascii="Arial" w:hAnsi="Arial" w:eastAsia="宋体" w:cs="Arial"/>
                <w:sz w:val="21"/>
                <w:szCs w:val="21"/>
              </w:rPr>
            </w:pPr>
            <w:r>
              <w:rPr>
                <w:rFonts w:ascii="Arial" w:hAnsi="Arial" w:cs="Arial"/>
                <w:sz w:val="21"/>
                <w:szCs w:val="21"/>
              </w:rPr>
              <w:t>270</w:t>
            </w:r>
          </w:p>
        </w:tc>
        <w:tc>
          <w:tcPr>
            <w:tcW w:w="717" w:type="pct"/>
            <w:vAlign w:val="center"/>
          </w:tcPr>
          <w:p w14:paraId="3C0A4578">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7117D1FA">
            <w:pPr>
              <w:adjustRightInd w:val="0"/>
              <w:snapToGrid w:val="0"/>
              <w:jc w:val="center"/>
              <w:rPr>
                <w:rFonts w:ascii="Arial" w:hAnsi="Arial" w:eastAsia="宋体" w:cs="Arial"/>
                <w:sz w:val="21"/>
                <w:szCs w:val="21"/>
              </w:rPr>
            </w:pPr>
          </w:p>
        </w:tc>
      </w:tr>
      <w:tr w14:paraId="164B6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457280F3">
            <w:pPr>
              <w:adjustRightInd w:val="0"/>
              <w:snapToGrid w:val="0"/>
              <w:jc w:val="center"/>
              <w:rPr>
                <w:rFonts w:ascii="Arial" w:hAnsi="Arial" w:eastAsia="宋体" w:cs="Arial"/>
                <w:sz w:val="21"/>
                <w:szCs w:val="21"/>
              </w:rPr>
            </w:pPr>
            <w:r>
              <w:rPr>
                <w:rFonts w:ascii="Arial" w:hAnsi="Arial" w:eastAsia="宋体" w:cs="Arial"/>
                <w:sz w:val="21"/>
                <w:szCs w:val="21"/>
              </w:rPr>
              <w:t>7</w:t>
            </w:r>
          </w:p>
        </w:tc>
        <w:tc>
          <w:tcPr>
            <w:tcW w:w="1300" w:type="pct"/>
            <w:tcMar>
              <w:top w:w="15" w:type="dxa"/>
              <w:left w:w="15" w:type="dxa"/>
              <w:bottom w:w="15" w:type="dxa"/>
              <w:right w:w="15" w:type="dxa"/>
            </w:tcMar>
            <w:vAlign w:val="center"/>
          </w:tcPr>
          <w:p w14:paraId="54C9CC48">
            <w:pPr>
              <w:adjustRightInd w:val="0"/>
              <w:snapToGrid w:val="0"/>
              <w:jc w:val="center"/>
              <w:rPr>
                <w:rFonts w:ascii="Arial" w:hAnsi="Arial" w:eastAsia="宋体" w:cs="Arial"/>
                <w:sz w:val="21"/>
                <w:szCs w:val="21"/>
              </w:rPr>
            </w:pPr>
            <w:r>
              <w:rPr>
                <w:rFonts w:ascii="Arial" w:hAnsi="Arial" w:eastAsia="宋体" w:cs="Arial"/>
                <w:sz w:val="21"/>
                <w:szCs w:val="21"/>
              </w:rPr>
              <w:t>硫磺山村</w:t>
            </w:r>
          </w:p>
        </w:tc>
        <w:tc>
          <w:tcPr>
            <w:tcW w:w="554" w:type="pct"/>
            <w:vAlign w:val="center"/>
          </w:tcPr>
          <w:p w14:paraId="5CAED679">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799" w:type="pct"/>
            <w:vAlign w:val="center"/>
          </w:tcPr>
          <w:p w14:paraId="3A66C483">
            <w:pPr>
              <w:adjustRightInd w:val="0"/>
              <w:snapToGrid w:val="0"/>
              <w:jc w:val="center"/>
              <w:rPr>
                <w:rFonts w:ascii="Arial" w:hAnsi="Arial" w:eastAsia="宋体" w:cs="Arial"/>
                <w:sz w:val="21"/>
                <w:szCs w:val="21"/>
              </w:rPr>
            </w:pPr>
            <w:r>
              <w:rPr>
                <w:rFonts w:ascii="Arial" w:hAnsi="Arial" w:eastAsia="宋体" w:cs="Arial"/>
                <w:sz w:val="21"/>
                <w:szCs w:val="21"/>
              </w:rPr>
              <w:t>1205</w:t>
            </w:r>
          </w:p>
        </w:tc>
        <w:tc>
          <w:tcPr>
            <w:tcW w:w="635" w:type="pct"/>
            <w:vAlign w:val="center"/>
          </w:tcPr>
          <w:p w14:paraId="138DA64A">
            <w:pPr>
              <w:adjustRightInd w:val="0"/>
              <w:snapToGrid w:val="0"/>
              <w:jc w:val="center"/>
              <w:rPr>
                <w:rFonts w:ascii="Arial" w:hAnsi="Arial" w:eastAsia="宋体" w:cs="Arial"/>
                <w:sz w:val="21"/>
                <w:szCs w:val="21"/>
              </w:rPr>
            </w:pPr>
            <w:r>
              <w:rPr>
                <w:rFonts w:ascii="Arial" w:hAnsi="Arial" w:cs="Arial"/>
                <w:sz w:val="21"/>
                <w:szCs w:val="21"/>
              </w:rPr>
              <w:t>127</w:t>
            </w:r>
          </w:p>
        </w:tc>
        <w:tc>
          <w:tcPr>
            <w:tcW w:w="717" w:type="pct"/>
            <w:vAlign w:val="center"/>
          </w:tcPr>
          <w:p w14:paraId="3C313069">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461B0994">
            <w:pPr>
              <w:adjustRightInd w:val="0"/>
              <w:snapToGrid w:val="0"/>
              <w:jc w:val="center"/>
              <w:rPr>
                <w:rFonts w:ascii="Arial" w:hAnsi="Arial" w:eastAsia="宋体" w:cs="Arial"/>
                <w:sz w:val="21"/>
                <w:szCs w:val="21"/>
              </w:rPr>
            </w:pPr>
          </w:p>
        </w:tc>
      </w:tr>
      <w:tr w14:paraId="08E83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64AF267C">
            <w:pPr>
              <w:adjustRightInd w:val="0"/>
              <w:snapToGrid w:val="0"/>
              <w:jc w:val="center"/>
              <w:rPr>
                <w:rFonts w:ascii="Arial" w:hAnsi="Arial" w:eastAsia="宋体" w:cs="Arial"/>
                <w:sz w:val="21"/>
                <w:szCs w:val="21"/>
              </w:rPr>
            </w:pPr>
            <w:r>
              <w:rPr>
                <w:rFonts w:ascii="Arial" w:hAnsi="Arial" w:eastAsia="宋体" w:cs="Arial"/>
                <w:sz w:val="21"/>
                <w:szCs w:val="21"/>
              </w:rPr>
              <w:t>8</w:t>
            </w:r>
          </w:p>
        </w:tc>
        <w:tc>
          <w:tcPr>
            <w:tcW w:w="1300" w:type="pct"/>
            <w:tcMar>
              <w:top w:w="15" w:type="dxa"/>
              <w:left w:w="15" w:type="dxa"/>
              <w:bottom w:w="15" w:type="dxa"/>
              <w:right w:w="15" w:type="dxa"/>
            </w:tcMar>
            <w:vAlign w:val="center"/>
          </w:tcPr>
          <w:p w14:paraId="2E644342">
            <w:pPr>
              <w:adjustRightInd w:val="0"/>
              <w:snapToGrid w:val="0"/>
              <w:jc w:val="center"/>
              <w:rPr>
                <w:rFonts w:ascii="Arial" w:hAnsi="Arial" w:eastAsia="宋体" w:cs="Arial"/>
                <w:sz w:val="21"/>
                <w:szCs w:val="21"/>
              </w:rPr>
            </w:pPr>
            <w:r>
              <w:rPr>
                <w:rFonts w:ascii="Arial" w:hAnsi="Arial" w:eastAsia="宋体" w:cs="Arial"/>
                <w:sz w:val="21"/>
                <w:szCs w:val="21"/>
              </w:rPr>
              <w:t>鲎泊潭村</w:t>
            </w:r>
          </w:p>
        </w:tc>
        <w:tc>
          <w:tcPr>
            <w:tcW w:w="554" w:type="pct"/>
            <w:vAlign w:val="center"/>
          </w:tcPr>
          <w:p w14:paraId="5774F725">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799" w:type="pct"/>
            <w:vAlign w:val="center"/>
          </w:tcPr>
          <w:p w14:paraId="3D3A1AD0">
            <w:pPr>
              <w:adjustRightInd w:val="0"/>
              <w:snapToGrid w:val="0"/>
              <w:jc w:val="center"/>
              <w:rPr>
                <w:rFonts w:ascii="Arial" w:hAnsi="Arial" w:eastAsia="宋体" w:cs="Arial"/>
                <w:sz w:val="21"/>
                <w:szCs w:val="21"/>
              </w:rPr>
            </w:pPr>
            <w:r>
              <w:rPr>
                <w:rFonts w:ascii="Arial" w:hAnsi="Arial" w:eastAsia="宋体" w:cs="Arial"/>
                <w:sz w:val="21"/>
                <w:szCs w:val="21"/>
              </w:rPr>
              <w:t>1280</w:t>
            </w:r>
          </w:p>
        </w:tc>
        <w:tc>
          <w:tcPr>
            <w:tcW w:w="635" w:type="pct"/>
            <w:vAlign w:val="center"/>
          </w:tcPr>
          <w:p w14:paraId="79236544">
            <w:pPr>
              <w:adjustRightInd w:val="0"/>
              <w:snapToGrid w:val="0"/>
              <w:jc w:val="center"/>
              <w:rPr>
                <w:rFonts w:ascii="Arial" w:hAnsi="Arial" w:eastAsia="宋体" w:cs="Arial"/>
                <w:sz w:val="21"/>
                <w:szCs w:val="21"/>
              </w:rPr>
            </w:pPr>
            <w:r>
              <w:rPr>
                <w:rFonts w:ascii="Arial" w:hAnsi="Arial" w:cs="Arial"/>
                <w:sz w:val="21"/>
                <w:szCs w:val="21"/>
              </w:rPr>
              <w:t>240</w:t>
            </w:r>
          </w:p>
        </w:tc>
        <w:tc>
          <w:tcPr>
            <w:tcW w:w="717" w:type="pct"/>
            <w:vAlign w:val="center"/>
          </w:tcPr>
          <w:p w14:paraId="5DF0DB63">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7C1D3E33">
            <w:pPr>
              <w:adjustRightInd w:val="0"/>
              <w:snapToGrid w:val="0"/>
              <w:jc w:val="center"/>
              <w:rPr>
                <w:rFonts w:ascii="Arial" w:hAnsi="Arial" w:eastAsia="宋体" w:cs="Arial"/>
                <w:sz w:val="21"/>
                <w:szCs w:val="21"/>
              </w:rPr>
            </w:pPr>
          </w:p>
        </w:tc>
      </w:tr>
      <w:tr w14:paraId="407ED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4FA7A3A4">
            <w:pPr>
              <w:adjustRightInd w:val="0"/>
              <w:snapToGrid w:val="0"/>
              <w:jc w:val="center"/>
              <w:rPr>
                <w:rFonts w:ascii="Arial" w:hAnsi="Arial" w:eastAsia="宋体" w:cs="Arial"/>
                <w:sz w:val="21"/>
                <w:szCs w:val="21"/>
              </w:rPr>
            </w:pPr>
            <w:r>
              <w:rPr>
                <w:rFonts w:ascii="Arial" w:hAnsi="Arial" w:eastAsia="宋体" w:cs="Arial"/>
                <w:sz w:val="21"/>
                <w:szCs w:val="21"/>
              </w:rPr>
              <w:t>9</w:t>
            </w:r>
          </w:p>
        </w:tc>
        <w:tc>
          <w:tcPr>
            <w:tcW w:w="1300" w:type="pct"/>
            <w:tcMar>
              <w:top w:w="15" w:type="dxa"/>
              <w:left w:w="15" w:type="dxa"/>
              <w:bottom w:w="15" w:type="dxa"/>
              <w:right w:w="15" w:type="dxa"/>
            </w:tcMar>
            <w:vAlign w:val="center"/>
          </w:tcPr>
          <w:p w14:paraId="6D3DA3BE">
            <w:pPr>
              <w:adjustRightInd w:val="0"/>
              <w:snapToGrid w:val="0"/>
              <w:jc w:val="center"/>
              <w:rPr>
                <w:rFonts w:ascii="Arial" w:hAnsi="Arial" w:eastAsia="宋体" w:cs="Arial"/>
                <w:sz w:val="21"/>
                <w:szCs w:val="21"/>
              </w:rPr>
            </w:pPr>
            <w:r>
              <w:rPr>
                <w:rFonts w:ascii="Arial" w:hAnsi="Arial" w:eastAsia="宋体" w:cs="Arial"/>
                <w:sz w:val="21"/>
                <w:szCs w:val="21"/>
              </w:rPr>
              <w:t>港区中学</w:t>
            </w:r>
          </w:p>
        </w:tc>
        <w:tc>
          <w:tcPr>
            <w:tcW w:w="554" w:type="pct"/>
            <w:vAlign w:val="center"/>
          </w:tcPr>
          <w:p w14:paraId="70BF8FB4">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799" w:type="pct"/>
            <w:vAlign w:val="center"/>
          </w:tcPr>
          <w:p w14:paraId="7FF8EAF1">
            <w:pPr>
              <w:adjustRightInd w:val="0"/>
              <w:snapToGrid w:val="0"/>
              <w:jc w:val="center"/>
              <w:rPr>
                <w:rFonts w:ascii="Arial" w:hAnsi="Arial" w:eastAsia="宋体" w:cs="Arial"/>
                <w:sz w:val="21"/>
                <w:szCs w:val="21"/>
              </w:rPr>
            </w:pPr>
            <w:r>
              <w:rPr>
                <w:rFonts w:ascii="Arial" w:hAnsi="Arial" w:eastAsia="宋体" w:cs="Arial"/>
                <w:sz w:val="21"/>
                <w:szCs w:val="21"/>
              </w:rPr>
              <w:t>1425</w:t>
            </w:r>
          </w:p>
        </w:tc>
        <w:tc>
          <w:tcPr>
            <w:tcW w:w="635" w:type="pct"/>
            <w:vAlign w:val="center"/>
          </w:tcPr>
          <w:p w14:paraId="0B5A17D0">
            <w:pPr>
              <w:adjustRightInd w:val="0"/>
              <w:snapToGrid w:val="0"/>
              <w:jc w:val="center"/>
              <w:rPr>
                <w:rFonts w:ascii="Arial" w:hAnsi="Arial" w:eastAsia="宋体" w:cs="Arial"/>
                <w:sz w:val="21"/>
                <w:szCs w:val="21"/>
              </w:rPr>
            </w:pPr>
            <w:r>
              <w:rPr>
                <w:rFonts w:ascii="Arial" w:hAnsi="Arial" w:cs="Arial"/>
                <w:sz w:val="21"/>
                <w:szCs w:val="21"/>
              </w:rPr>
              <w:t>1000</w:t>
            </w:r>
          </w:p>
        </w:tc>
        <w:tc>
          <w:tcPr>
            <w:tcW w:w="717" w:type="pct"/>
            <w:vAlign w:val="center"/>
          </w:tcPr>
          <w:p w14:paraId="1A504E92">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15E2FFDF">
            <w:pPr>
              <w:adjustRightInd w:val="0"/>
              <w:snapToGrid w:val="0"/>
              <w:jc w:val="center"/>
              <w:rPr>
                <w:rFonts w:ascii="Arial" w:hAnsi="Arial" w:eastAsia="宋体" w:cs="Arial"/>
                <w:sz w:val="21"/>
                <w:szCs w:val="21"/>
              </w:rPr>
            </w:pPr>
          </w:p>
        </w:tc>
      </w:tr>
      <w:tr w14:paraId="5F87D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5D02055A">
            <w:pPr>
              <w:adjustRightInd w:val="0"/>
              <w:snapToGrid w:val="0"/>
              <w:jc w:val="center"/>
              <w:rPr>
                <w:rFonts w:ascii="Arial" w:hAnsi="Arial" w:eastAsia="宋体" w:cs="Arial"/>
                <w:sz w:val="21"/>
                <w:szCs w:val="21"/>
              </w:rPr>
            </w:pPr>
            <w:r>
              <w:rPr>
                <w:rFonts w:ascii="Arial" w:hAnsi="Arial" w:eastAsia="宋体" w:cs="Arial"/>
                <w:sz w:val="21"/>
                <w:szCs w:val="21"/>
              </w:rPr>
              <w:t>10</w:t>
            </w:r>
          </w:p>
        </w:tc>
        <w:tc>
          <w:tcPr>
            <w:tcW w:w="1300" w:type="pct"/>
            <w:tcMar>
              <w:top w:w="15" w:type="dxa"/>
              <w:left w:w="15" w:type="dxa"/>
              <w:bottom w:w="15" w:type="dxa"/>
              <w:right w:w="15" w:type="dxa"/>
            </w:tcMar>
            <w:vAlign w:val="center"/>
          </w:tcPr>
          <w:p w14:paraId="319439F8">
            <w:pPr>
              <w:adjustRightInd w:val="0"/>
              <w:snapToGrid w:val="0"/>
              <w:jc w:val="center"/>
              <w:rPr>
                <w:rFonts w:ascii="Arial" w:hAnsi="Arial" w:eastAsia="宋体" w:cs="Arial"/>
                <w:sz w:val="21"/>
                <w:szCs w:val="21"/>
              </w:rPr>
            </w:pPr>
            <w:r>
              <w:rPr>
                <w:rFonts w:ascii="Arial" w:hAnsi="Arial" w:eastAsia="宋体" w:cs="Arial"/>
                <w:sz w:val="21"/>
                <w:szCs w:val="21"/>
              </w:rPr>
              <w:t>新农村</w:t>
            </w:r>
          </w:p>
        </w:tc>
        <w:tc>
          <w:tcPr>
            <w:tcW w:w="554" w:type="pct"/>
            <w:vAlign w:val="center"/>
          </w:tcPr>
          <w:p w14:paraId="1E80A4A1">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799" w:type="pct"/>
            <w:vAlign w:val="center"/>
          </w:tcPr>
          <w:p w14:paraId="48387D8B">
            <w:pPr>
              <w:adjustRightInd w:val="0"/>
              <w:snapToGrid w:val="0"/>
              <w:jc w:val="center"/>
              <w:rPr>
                <w:rFonts w:ascii="Arial" w:hAnsi="Arial" w:eastAsia="宋体" w:cs="Arial"/>
                <w:sz w:val="21"/>
                <w:szCs w:val="21"/>
              </w:rPr>
            </w:pPr>
            <w:r>
              <w:rPr>
                <w:rFonts w:ascii="Arial" w:hAnsi="Arial" w:eastAsia="宋体" w:cs="Arial"/>
                <w:sz w:val="21"/>
                <w:szCs w:val="21"/>
              </w:rPr>
              <w:t>1440</w:t>
            </w:r>
          </w:p>
        </w:tc>
        <w:tc>
          <w:tcPr>
            <w:tcW w:w="635" w:type="pct"/>
            <w:vAlign w:val="center"/>
          </w:tcPr>
          <w:p w14:paraId="3A351B28">
            <w:pPr>
              <w:adjustRightInd w:val="0"/>
              <w:snapToGrid w:val="0"/>
              <w:jc w:val="center"/>
              <w:rPr>
                <w:rFonts w:ascii="Arial" w:hAnsi="Arial" w:eastAsia="宋体" w:cs="Arial"/>
                <w:sz w:val="21"/>
                <w:szCs w:val="21"/>
              </w:rPr>
            </w:pPr>
            <w:r>
              <w:rPr>
                <w:rFonts w:ascii="Arial" w:hAnsi="Arial" w:cs="Arial"/>
                <w:sz w:val="21"/>
                <w:szCs w:val="21"/>
              </w:rPr>
              <w:t>420</w:t>
            </w:r>
          </w:p>
        </w:tc>
        <w:tc>
          <w:tcPr>
            <w:tcW w:w="717" w:type="pct"/>
            <w:vAlign w:val="center"/>
          </w:tcPr>
          <w:p w14:paraId="225FA952">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4AEF75D2">
            <w:pPr>
              <w:adjustRightInd w:val="0"/>
              <w:snapToGrid w:val="0"/>
              <w:jc w:val="center"/>
              <w:rPr>
                <w:rFonts w:ascii="Arial" w:hAnsi="Arial" w:eastAsia="宋体" w:cs="Arial"/>
                <w:sz w:val="21"/>
                <w:szCs w:val="21"/>
              </w:rPr>
            </w:pPr>
          </w:p>
        </w:tc>
      </w:tr>
      <w:tr w14:paraId="4EC36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79DADDB9">
            <w:pPr>
              <w:adjustRightInd w:val="0"/>
              <w:snapToGrid w:val="0"/>
              <w:jc w:val="center"/>
              <w:rPr>
                <w:rFonts w:ascii="Arial" w:hAnsi="Arial" w:eastAsia="宋体" w:cs="Arial"/>
                <w:sz w:val="21"/>
                <w:szCs w:val="21"/>
              </w:rPr>
            </w:pPr>
            <w:r>
              <w:rPr>
                <w:rFonts w:ascii="Arial" w:hAnsi="Arial" w:eastAsia="宋体" w:cs="Arial"/>
                <w:sz w:val="21"/>
                <w:szCs w:val="21"/>
              </w:rPr>
              <w:t>11</w:t>
            </w:r>
          </w:p>
        </w:tc>
        <w:tc>
          <w:tcPr>
            <w:tcW w:w="1300" w:type="pct"/>
            <w:tcMar>
              <w:top w:w="15" w:type="dxa"/>
              <w:left w:w="15" w:type="dxa"/>
              <w:bottom w:w="15" w:type="dxa"/>
              <w:right w:w="15" w:type="dxa"/>
            </w:tcMar>
            <w:vAlign w:val="center"/>
          </w:tcPr>
          <w:p w14:paraId="5C790BD9">
            <w:pPr>
              <w:adjustRightInd w:val="0"/>
              <w:snapToGrid w:val="0"/>
              <w:jc w:val="center"/>
              <w:rPr>
                <w:rFonts w:ascii="Arial" w:hAnsi="Arial" w:eastAsia="宋体" w:cs="Arial"/>
                <w:sz w:val="21"/>
                <w:szCs w:val="21"/>
              </w:rPr>
            </w:pPr>
            <w:r>
              <w:rPr>
                <w:rFonts w:ascii="Arial" w:hAnsi="Arial" w:eastAsia="宋体" w:cs="Arial"/>
                <w:sz w:val="21"/>
                <w:szCs w:val="21"/>
              </w:rPr>
              <w:t>老鸭坑村</w:t>
            </w:r>
          </w:p>
        </w:tc>
        <w:tc>
          <w:tcPr>
            <w:tcW w:w="554" w:type="pct"/>
            <w:vAlign w:val="center"/>
          </w:tcPr>
          <w:p w14:paraId="2AC87799">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799" w:type="pct"/>
            <w:vAlign w:val="center"/>
          </w:tcPr>
          <w:p w14:paraId="67A0F468">
            <w:pPr>
              <w:adjustRightInd w:val="0"/>
              <w:snapToGrid w:val="0"/>
              <w:jc w:val="center"/>
              <w:rPr>
                <w:rFonts w:ascii="Arial" w:hAnsi="Arial" w:eastAsia="宋体" w:cs="Arial"/>
                <w:sz w:val="21"/>
                <w:szCs w:val="21"/>
              </w:rPr>
            </w:pPr>
            <w:r>
              <w:rPr>
                <w:rFonts w:ascii="Arial" w:hAnsi="Arial" w:eastAsia="宋体" w:cs="Arial"/>
                <w:sz w:val="21"/>
                <w:szCs w:val="21"/>
              </w:rPr>
              <w:t>1475</w:t>
            </w:r>
          </w:p>
        </w:tc>
        <w:tc>
          <w:tcPr>
            <w:tcW w:w="635" w:type="pct"/>
            <w:vAlign w:val="center"/>
          </w:tcPr>
          <w:p w14:paraId="24CD3318">
            <w:pPr>
              <w:adjustRightInd w:val="0"/>
              <w:snapToGrid w:val="0"/>
              <w:jc w:val="center"/>
              <w:rPr>
                <w:rFonts w:ascii="Arial" w:hAnsi="Arial" w:eastAsia="宋体" w:cs="Arial"/>
                <w:sz w:val="21"/>
                <w:szCs w:val="21"/>
              </w:rPr>
            </w:pPr>
            <w:r>
              <w:rPr>
                <w:rFonts w:ascii="Arial" w:hAnsi="Arial" w:cs="Arial"/>
                <w:sz w:val="21"/>
                <w:szCs w:val="21"/>
              </w:rPr>
              <w:t>300</w:t>
            </w:r>
          </w:p>
        </w:tc>
        <w:tc>
          <w:tcPr>
            <w:tcW w:w="717" w:type="pct"/>
            <w:vAlign w:val="center"/>
          </w:tcPr>
          <w:p w14:paraId="6F2DD61D">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4C7C11CB">
            <w:pPr>
              <w:adjustRightInd w:val="0"/>
              <w:snapToGrid w:val="0"/>
              <w:jc w:val="center"/>
              <w:rPr>
                <w:rFonts w:ascii="Arial" w:hAnsi="Arial" w:eastAsia="宋体" w:cs="Arial"/>
                <w:sz w:val="21"/>
                <w:szCs w:val="21"/>
              </w:rPr>
            </w:pPr>
          </w:p>
        </w:tc>
      </w:tr>
      <w:tr w14:paraId="380B6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39EA835B">
            <w:pPr>
              <w:adjustRightInd w:val="0"/>
              <w:snapToGrid w:val="0"/>
              <w:jc w:val="center"/>
              <w:rPr>
                <w:rFonts w:ascii="Arial" w:hAnsi="Arial" w:eastAsia="宋体" w:cs="Arial"/>
                <w:sz w:val="21"/>
                <w:szCs w:val="21"/>
              </w:rPr>
            </w:pPr>
            <w:r>
              <w:rPr>
                <w:rFonts w:ascii="Arial" w:hAnsi="Arial" w:eastAsia="宋体" w:cs="Arial"/>
                <w:sz w:val="21"/>
                <w:szCs w:val="21"/>
              </w:rPr>
              <w:t>12</w:t>
            </w:r>
          </w:p>
        </w:tc>
        <w:tc>
          <w:tcPr>
            <w:tcW w:w="1300" w:type="pct"/>
            <w:tcMar>
              <w:top w:w="15" w:type="dxa"/>
              <w:left w:w="15" w:type="dxa"/>
              <w:bottom w:w="15" w:type="dxa"/>
              <w:right w:w="15" w:type="dxa"/>
            </w:tcMar>
            <w:vAlign w:val="center"/>
          </w:tcPr>
          <w:p w14:paraId="74BE11CC">
            <w:pPr>
              <w:adjustRightInd w:val="0"/>
              <w:snapToGrid w:val="0"/>
              <w:jc w:val="center"/>
              <w:rPr>
                <w:rFonts w:ascii="Arial" w:hAnsi="Arial" w:eastAsia="宋体" w:cs="Arial"/>
                <w:sz w:val="21"/>
                <w:szCs w:val="21"/>
              </w:rPr>
            </w:pPr>
            <w:r>
              <w:rPr>
                <w:rFonts w:ascii="Arial" w:hAnsi="Arial" w:eastAsia="宋体" w:cs="Arial"/>
                <w:sz w:val="21"/>
                <w:szCs w:val="21"/>
              </w:rPr>
              <w:t>钦州港经开区第七小学</w:t>
            </w:r>
          </w:p>
        </w:tc>
        <w:tc>
          <w:tcPr>
            <w:tcW w:w="554" w:type="pct"/>
            <w:vAlign w:val="center"/>
          </w:tcPr>
          <w:p w14:paraId="3ABDB3D9">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799" w:type="pct"/>
            <w:vAlign w:val="center"/>
          </w:tcPr>
          <w:p w14:paraId="1AA965AC">
            <w:pPr>
              <w:adjustRightInd w:val="0"/>
              <w:snapToGrid w:val="0"/>
              <w:jc w:val="center"/>
              <w:rPr>
                <w:rFonts w:ascii="Arial" w:hAnsi="Arial" w:eastAsia="宋体" w:cs="Arial"/>
                <w:sz w:val="21"/>
                <w:szCs w:val="21"/>
              </w:rPr>
            </w:pPr>
            <w:r>
              <w:rPr>
                <w:rFonts w:ascii="Arial" w:hAnsi="Arial" w:eastAsia="宋体" w:cs="Arial"/>
                <w:sz w:val="21"/>
                <w:szCs w:val="21"/>
              </w:rPr>
              <w:t>1620</w:t>
            </w:r>
          </w:p>
        </w:tc>
        <w:tc>
          <w:tcPr>
            <w:tcW w:w="635" w:type="pct"/>
            <w:vAlign w:val="center"/>
          </w:tcPr>
          <w:p w14:paraId="6FAE4927">
            <w:pPr>
              <w:adjustRightInd w:val="0"/>
              <w:snapToGrid w:val="0"/>
              <w:jc w:val="center"/>
              <w:rPr>
                <w:rFonts w:ascii="Arial" w:hAnsi="Arial" w:eastAsia="宋体" w:cs="Arial"/>
                <w:sz w:val="21"/>
                <w:szCs w:val="21"/>
              </w:rPr>
            </w:pPr>
            <w:r>
              <w:rPr>
                <w:rFonts w:ascii="Arial" w:hAnsi="Arial" w:cs="Arial"/>
                <w:sz w:val="21"/>
                <w:szCs w:val="21"/>
              </w:rPr>
              <w:t>350</w:t>
            </w:r>
          </w:p>
        </w:tc>
        <w:tc>
          <w:tcPr>
            <w:tcW w:w="717" w:type="pct"/>
            <w:vAlign w:val="center"/>
          </w:tcPr>
          <w:p w14:paraId="0C395CED">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0FAE980A">
            <w:pPr>
              <w:adjustRightInd w:val="0"/>
              <w:snapToGrid w:val="0"/>
              <w:jc w:val="center"/>
              <w:rPr>
                <w:rFonts w:ascii="Arial" w:hAnsi="Arial" w:eastAsia="宋体" w:cs="Arial"/>
                <w:sz w:val="21"/>
                <w:szCs w:val="21"/>
              </w:rPr>
            </w:pPr>
          </w:p>
        </w:tc>
      </w:tr>
      <w:tr w14:paraId="65DB7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2807CF22">
            <w:pPr>
              <w:adjustRightInd w:val="0"/>
              <w:snapToGrid w:val="0"/>
              <w:jc w:val="center"/>
              <w:rPr>
                <w:rFonts w:ascii="Arial" w:hAnsi="Arial" w:eastAsia="宋体" w:cs="Arial"/>
                <w:sz w:val="21"/>
                <w:szCs w:val="21"/>
              </w:rPr>
            </w:pPr>
            <w:r>
              <w:rPr>
                <w:rFonts w:ascii="Arial" w:hAnsi="Arial" w:eastAsia="宋体" w:cs="Arial"/>
                <w:sz w:val="21"/>
                <w:szCs w:val="21"/>
              </w:rPr>
              <w:t>13</w:t>
            </w:r>
          </w:p>
        </w:tc>
        <w:tc>
          <w:tcPr>
            <w:tcW w:w="1300" w:type="pct"/>
            <w:tcMar>
              <w:top w:w="15" w:type="dxa"/>
              <w:left w:w="15" w:type="dxa"/>
              <w:bottom w:w="15" w:type="dxa"/>
              <w:right w:w="15" w:type="dxa"/>
            </w:tcMar>
            <w:vAlign w:val="center"/>
          </w:tcPr>
          <w:p w14:paraId="4EA2063F">
            <w:pPr>
              <w:adjustRightInd w:val="0"/>
              <w:snapToGrid w:val="0"/>
              <w:jc w:val="center"/>
              <w:rPr>
                <w:rFonts w:ascii="Arial" w:hAnsi="Arial" w:eastAsia="宋体" w:cs="Arial"/>
                <w:sz w:val="21"/>
                <w:szCs w:val="21"/>
              </w:rPr>
            </w:pPr>
            <w:r>
              <w:rPr>
                <w:rFonts w:ascii="Arial" w:hAnsi="Arial" w:eastAsia="宋体" w:cs="Arial"/>
                <w:sz w:val="21"/>
                <w:szCs w:val="21"/>
              </w:rPr>
              <w:t>大坑村</w:t>
            </w:r>
          </w:p>
        </w:tc>
        <w:tc>
          <w:tcPr>
            <w:tcW w:w="554" w:type="pct"/>
            <w:vAlign w:val="center"/>
          </w:tcPr>
          <w:p w14:paraId="38D66FE3">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799" w:type="pct"/>
            <w:vAlign w:val="center"/>
          </w:tcPr>
          <w:p w14:paraId="158F1881">
            <w:pPr>
              <w:adjustRightInd w:val="0"/>
              <w:snapToGrid w:val="0"/>
              <w:jc w:val="center"/>
              <w:rPr>
                <w:rFonts w:ascii="Arial" w:hAnsi="Arial" w:eastAsia="宋体" w:cs="Arial"/>
                <w:sz w:val="21"/>
                <w:szCs w:val="21"/>
              </w:rPr>
            </w:pPr>
            <w:r>
              <w:rPr>
                <w:rFonts w:ascii="Arial" w:hAnsi="Arial" w:eastAsia="宋体" w:cs="Arial"/>
                <w:sz w:val="21"/>
                <w:szCs w:val="21"/>
              </w:rPr>
              <w:t>1755</w:t>
            </w:r>
          </w:p>
        </w:tc>
        <w:tc>
          <w:tcPr>
            <w:tcW w:w="635" w:type="pct"/>
            <w:vAlign w:val="center"/>
          </w:tcPr>
          <w:p w14:paraId="2DABD9D1">
            <w:pPr>
              <w:adjustRightInd w:val="0"/>
              <w:snapToGrid w:val="0"/>
              <w:jc w:val="center"/>
              <w:rPr>
                <w:rFonts w:ascii="Arial" w:hAnsi="Arial" w:eastAsia="宋体" w:cs="Arial"/>
                <w:sz w:val="21"/>
                <w:szCs w:val="21"/>
              </w:rPr>
            </w:pPr>
            <w:r>
              <w:rPr>
                <w:rFonts w:ascii="Arial" w:hAnsi="Arial" w:cs="Arial"/>
                <w:sz w:val="21"/>
                <w:szCs w:val="21"/>
              </w:rPr>
              <w:t>107</w:t>
            </w:r>
          </w:p>
        </w:tc>
        <w:tc>
          <w:tcPr>
            <w:tcW w:w="717" w:type="pct"/>
            <w:vAlign w:val="center"/>
          </w:tcPr>
          <w:p w14:paraId="34CFEF4F">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281C6F02">
            <w:pPr>
              <w:adjustRightInd w:val="0"/>
              <w:snapToGrid w:val="0"/>
              <w:jc w:val="center"/>
              <w:rPr>
                <w:rFonts w:ascii="Arial" w:hAnsi="Arial" w:eastAsia="宋体" w:cs="Arial"/>
                <w:sz w:val="21"/>
                <w:szCs w:val="21"/>
              </w:rPr>
            </w:pPr>
          </w:p>
        </w:tc>
      </w:tr>
      <w:tr w14:paraId="5951A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2FED602F">
            <w:pPr>
              <w:adjustRightInd w:val="0"/>
              <w:snapToGrid w:val="0"/>
              <w:jc w:val="center"/>
              <w:rPr>
                <w:rFonts w:ascii="Arial" w:hAnsi="Arial" w:eastAsia="宋体" w:cs="Arial"/>
                <w:sz w:val="21"/>
                <w:szCs w:val="21"/>
              </w:rPr>
            </w:pPr>
            <w:r>
              <w:rPr>
                <w:rFonts w:ascii="Arial" w:hAnsi="Arial" w:eastAsia="宋体" w:cs="Arial"/>
                <w:sz w:val="21"/>
                <w:szCs w:val="21"/>
              </w:rPr>
              <w:t>14</w:t>
            </w:r>
          </w:p>
        </w:tc>
        <w:tc>
          <w:tcPr>
            <w:tcW w:w="1300" w:type="pct"/>
            <w:tcMar>
              <w:top w:w="15" w:type="dxa"/>
              <w:left w:w="15" w:type="dxa"/>
              <w:bottom w:w="15" w:type="dxa"/>
              <w:right w:w="15" w:type="dxa"/>
            </w:tcMar>
            <w:vAlign w:val="center"/>
          </w:tcPr>
          <w:p w14:paraId="408FC5BD">
            <w:pPr>
              <w:adjustRightInd w:val="0"/>
              <w:snapToGrid w:val="0"/>
              <w:jc w:val="center"/>
              <w:rPr>
                <w:rFonts w:ascii="Arial" w:hAnsi="Arial" w:eastAsia="宋体" w:cs="Arial"/>
                <w:sz w:val="21"/>
                <w:szCs w:val="21"/>
              </w:rPr>
            </w:pPr>
            <w:r>
              <w:rPr>
                <w:rFonts w:ascii="Arial" w:hAnsi="Arial" w:eastAsia="宋体" w:cs="Arial"/>
                <w:sz w:val="21"/>
                <w:szCs w:val="21"/>
              </w:rPr>
              <w:t>黄竹根村</w:t>
            </w:r>
          </w:p>
        </w:tc>
        <w:tc>
          <w:tcPr>
            <w:tcW w:w="554" w:type="pct"/>
            <w:vAlign w:val="center"/>
          </w:tcPr>
          <w:p w14:paraId="66A1B541">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799" w:type="pct"/>
            <w:vAlign w:val="center"/>
          </w:tcPr>
          <w:p w14:paraId="64B37765">
            <w:pPr>
              <w:adjustRightInd w:val="0"/>
              <w:snapToGrid w:val="0"/>
              <w:jc w:val="center"/>
              <w:rPr>
                <w:rFonts w:ascii="Arial" w:hAnsi="Arial" w:eastAsia="宋体" w:cs="Arial"/>
                <w:sz w:val="21"/>
                <w:szCs w:val="21"/>
              </w:rPr>
            </w:pPr>
            <w:r>
              <w:rPr>
                <w:rFonts w:ascii="Arial" w:hAnsi="Arial" w:eastAsia="宋体" w:cs="Arial"/>
                <w:sz w:val="21"/>
                <w:szCs w:val="21"/>
              </w:rPr>
              <w:t>1805</w:t>
            </w:r>
          </w:p>
        </w:tc>
        <w:tc>
          <w:tcPr>
            <w:tcW w:w="635" w:type="pct"/>
            <w:vAlign w:val="center"/>
          </w:tcPr>
          <w:p w14:paraId="53F85666">
            <w:pPr>
              <w:adjustRightInd w:val="0"/>
              <w:snapToGrid w:val="0"/>
              <w:jc w:val="center"/>
              <w:rPr>
                <w:rFonts w:ascii="Arial" w:hAnsi="Arial" w:eastAsia="宋体" w:cs="Arial"/>
                <w:sz w:val="21"/>
                <w:szCs w:val="21"/>
              </w:rPr>
            </w:pPr>
            <w:r>
              <w:rPr>
                <w:rFonts w:ascii="Arial" w:hAnsi="Arial" w:cs="Arial"/>
                <w:sz w:val="21"/>
                <w:szCs w:val="21"/>
              </w:rPr>
              <w:t>140</w:t>
            </w:r>
          </w:p>
        </w:tc>
        <w:tc>
          <w:tcPr>
            <w:tcW w:w="717" w:type="pct"/>
            <w:vAlign w:val="center"/>
          </w:tcPr>
          <w:p w14:paraId="791778CB">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1481F99C">
            <w:pPr>
              <w:adjustRightInd w:val="0"/>
              <w:snapToGrid w:val="0"/>
              <w:jc w:val="center"/>
              <w:rPr>
                <w:rFonts w:ascii="Arial" w:hAnsi="Arial" w:eastAsia="宋体" w:cs="Arial"/>
                <w:sz w:val="21"/>
                <w:szCs w:val="21"/>
              </w:rPr>
            </w:pPr>
          </w:p>
        </w:tc>
      </w:tr>
      <w:tr w14:paraId="64871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2C2ED8A1">
            <w:pPr>
              <w:adjustRightInd w:val="0"/>
              <w:snapToGrid w:val="0"/>
              <w:jc w:val="center"/>
              <w:rPr>
                <w:rFonts w:ascii="Arial" w:hAnsi="Arial" w:eastAsia="宋体" w:cs="Arial"/>
                <w:sz w:val="21"/>
                <w:szCs w:val="21"/>
              </w:rPr>
            </w:pPr>
            <w:r>
              <w:rPr>
                <w:rFonts w:ascii="Arial" w:hAnsi="Arial" w:eastAsia="宋体" w:cs="Arial"/>
                <w:sz w:val="21"/>
                <w:szCs w:val="21"/>
              </w:rPr>
              <w:t>15</w:t>
            </w:r>
          </w:p>
        </w:tc>
        <w:tc>
          <w:tcPr>
            <w:tcW w:w="1300" w:type="pct"/>
            <w:tcMar>
              <w:top w:w="15" w:type="dxa"/>
              <w:left w:w="15" w:type="dxa"/>
              <w:bottom w:w="15" w:type="dxa"/>
              <w:right w:w="15" w:type="dxa"/>
            </w:tcMar>
            <w:vAlign w:val="center"/>
          </w:tcPr>
          <w:p w14:paraId="1C395542">
            <w:pPr>
              <w:adjustRightInd w:val="0"/>
              <w:snapToGrid w:val="0"/>
              <w:jc w:val="center"/>
              <w:rPr>
                <w:rFonts w:ascii="Arial" w:hAnsi="Arial" w:eastAsia="宋体" w:cs="Arial"/>
                <w:sz w:val="21"/>
                <w:szCs w:val="21"/>
              </w:rPr>
            </w:pPr>
            <w:r>
              <w:rPr>
                <w:rFonts w:ascii="Arial" w:hAnsi="Arial" w:eastAsia="宋体" w:cs="Arial"/>
                <w:sz w:val="21"/>
                <w:szCs w:val="21"/>
              </w:rPr>
              <w:t>龙狗坑村</w:t>
            </w:r>
          </w:p>
        </w:tc>
        <w:tc>
          <w:tcPr>
            <w:tcW w:w="554" w:type="pct"/>
            <w:vAlign w:val="center"/>
          </w:tcPr>
          <w:p w14:paraId="5E88845D">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799" w:type="pct"/>
            <w:vAlign w:val="center"/>
          </w:tcPr>
          <w:p w14:paraId="364AD740">
            <w:pPr>
              <w:adjustRightInd w:val="0"/>
              <w:snapToGrid w:val="0"/>
              <w:jc w:val="center"/>
              <w:rPr>
                <w:rFonts w:ascii="Arial" w:hAnsi="Arial" w:eastAsia="宋体" w:cs="Arial"/>
                <w:sz w:val="21"/>
                <w:szCs w:val="21"/>
              </w:rPr>
            </w:pPr>
            <w:r>
              <w:rPr>
                <w:rFonts w:ascii="Arial" w:hAnsi="Arial" w:eastAsia="宋体" w:cs="Arial"/>
                <w:sz w:val="21"/>
                <w:szCs w:val="21"/>
              </w:rPr>
              <w:t>1820</w:t>
            </w:r>
          </w:p>
        </w:tc>
        <w:tc>
          <w:tcPr>
            <w:tcW w:w="635" w:type="pct"/>
            <w:vAlign w:val="center"/>
          </w:tcPr>
          <w:p w14:paraId="70308891">
            <w:pPr>
              <w:adjustRightInd w:val="0"/>
              <w:snapToGrid w:val="0"/>
              <w:jc w:val="center"/>
              <w:rPr>
                <w:rFonts w:ascii="Arial" w:hAnsi="Arial" w:eastAsia="宋体" w:cs="Arial"/>
                <w:sz w:val="21"/>
                <w:szCs w:val="21"/>
              </w:rPr>
            </w:pPr>
            <w:r>
              <w:rPr>
                <w:rFonts w:ascii="Arial" w:hAnsi="Arial" w:cs="Arial"/>
                <w:sz w:val="21"/>
                <w:szCs w:val="21"/>
              </w:rPr>
              <w:t>140</w:t>
            </w:r>
          </w:p>
        </w:tc>
        <w:tc>
          <w:tcPr>
            <w:tcW w:w="717" w:type="pct"/>
            <w:vAlign w:val="center"/>
          </w:tcPr>
          <w:p w14:paraId="10F4061C">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7C9B1525">
            <w:pPr>
              <w:adjustRightInd w:val="0"/>
              <w:snapToGrid w:val="0"/>
              <w:jc w:val="center"/>
              <w:rPr>
                <w:rFonts w:ascii="Arial" w:hAnsi="Arial" w:eastAsia="宋体" w:cs="Arial"/>
                <w:sz w:val="21"/>
                <w:szCs w:val="21"/>
              </w:rPr>
            </w:pPr>
          </w:p>
        </w:tc>
      </w:tr>
      <w:tr w14:paraId="07748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2D72CE2D">
            <w:pPr>
              <w:adjustRightInd w:val="0"/>
              <w:snapToGrid w:val="0"/>
              <w:jc w:val="center"/>
              <w:rPr>
                <w:rFonts w:ascii="Arial" w:hAnsi="Arial" w:eastAsia="宋体" w:cs="Arial"/>
                <w:sz w:val="21"/>
                <w:szCs w:val="21"/>
              </w:rPr>
            </w:pPr>
            <w:r>
              <w:rPr>
                <w:rFonts w:ascii="Arial" w:hAnsi="Arial" w:eastAsia="宋体" w:cs="Arial"/>
                <w:sz w:val="21"/>
                <w:szCs w:val="21"/>
              </w:rPr>
              <w:t>16</w:t>
            </w:r>
          </w:p>
        </w:tc>
        <w:tc>
          <w:tcPr>
            <w:tcW w:w="1300" w:type="pct"/>
            <w:tcMar>
              <w:top w:w="15" w:type="dxa"/>
              <w:left w:w="15" w:type="dxa"/>
              <w:bottom w:w="15" w:type="dxa"/>
              <w:right w:w="15" w:type="dxa"/>
            </w:tcMar>
            <w:vAlign w:val="center"/>
          </w:tcPr>
          <w:p w14:paraId="285C51A4">
            <w:pPr>
              <w:adjustRightInd w:val="0"/>
              <w:snapToGrid w:val="0"/>
              <w:jc w:val="center"/>
              <w:rPr>
                <w:rFonts w:ascii="Arial" w:hAnsi="Arial" w:eastAsia="宋体" w:cs="Arial"/>
                <w:sz w:val="21"/>
                <w:szCs w:val="21"/>
              </w:rPr>
            </w:pPr>
            <w:r>
              <w:rPr>
                <w:rFonts w:ascii="Arial" w:hAnsi="Arial" w:eastAsia="宋体" w:cs="Arial"/>
                <w:sz w:val="21"/>
                <w:szCs w:val="21"/>
              </w:rPr>
              <w:t>淡水湾村</w:t>
            </w:r>
          </w:p>
        </w:tc>
        <w:tc>
          <w:tcPr>
            <w:tcW w:w="554" w:type="pct"/>
            <w:vAlign w:val="center"/>
          </w:tcPr>
          <w:p w14:paraId="78B4CA61">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799" w:type="pct"/>
            <w:vAlign w:val="center"/>
          </w:tcPr>
          <w:p w14:paraId="4AC4E838">
            <w:pPr>
              <w:adjustRightInd w:val="0"/>
              <w:snapToGrid w:val="0"/>
              <w:jc w:val="center"/>
              <w:rPr>
                <w:rFonts w:ascii="Arial" w:hAnsi="Arial" w:eastAsia="宋体" w:cs="Arial"/>
                <w:sz w:val="21"/>
                <w:szCs w:val="21"/>
              </w:rPr>
            </w:pPr>
            <w:r>
              <w:rPr>
                <w:rFonts w:ascii="Arial" w:hAnsi="Arial" w:eastAsia="宋体" w:cs="Arial"/>
                <w:sz w:val="21"/>
                <w:szCs w:val="21"/>
              </w:rPr>
              <w:t>1860</w:t>
            </w:r>
          </w:p>
        </w:tc>
        <w:tc>
          <w:tcPr>
            <w:tcW w:w="635" w:type="pct"/>
            <w:vAlign w:val="center"/>
          </w:tcPr>
          <w:p w14:paraId="7F0D8548">
            <w:pPr>
              <w:adjustRightInd w:val="0"/>
              <w:snapToGrid w:val="0"/>
              <w:jc w:val="center"/>
              <w:rPr>
                <w:rFonts w:ascii="Arial" w:hAnsi="Arial" w:eastAsia="宋体" w:cs="Arial"/>
                <w:sz w:val="21"/>
                <w:szCs w:val="21"/>
              </w:rPr>
            </w:pPr>
            <w:r>
              <w:rPr>
                <w:rFonts w:ascii="Arial" w:hAnsi="Arial" w:cs="Arial"/>
                <w:sz w:val="21"/>
                <w:szCs w:val="21"/>
              </w:rPr>
              <w:t>300</w:t>
            </w:r>
          </w:p>
        </w:tc>
        <w:tc>
          <w:tcPr>
            <w:tcW w:w="717" w:type="pct"/>
            <w:vAlign w:val="center"/>
          </w:tcPr>
          <w:p w14:paraId="44BF0C4C">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7047A43C">
            <w:pPr>
              <w:adjustRightInd w:val="0"/>
              <w:snapToGrid w:val="0"/>
              <w:jc w:val="center"/>
              <w:rPr>
                <w:rFonts w:ascii="Arial" w:hAnsi="Arial" w:eastAsia="宋体" w:cs="Arial"/>
                <w:sz w:val="21"/>
                <w:szCs w:val="21"/>
              </w:rPr>
            </w:pPr>
          </w:p>
        </w:tc>
      </w:tr>
      <w:tr w14:paraId="0F29A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1DBE7F93">
            <w:pPr>
              <w:adjustRightInd w:val="0"/>
              <w:snapToGrid w:val="0"/>
              <w:jc w:val="center"/>
              <w:rPr>
                <w:rFonts w:ascii="Arial" w:hAnsi="Arial" w:eastAsia="宋体" w:cs="Arial"/>
                <w:sz w:val="21"/>
                <w:szCs w:val="21"/>
              </w:rPr>
            </w:pPr>
            <w:r>
              <w:rPr>
                <w:rFonts w:ascii="Arial" w:hAnsi="Arial" w:eastAsia="宋体" w:cs="Arial"/>
                <w:sz w:val="21"/>
                <w:szCs w:val="21"/>
              </w:rPr>
              <w:t>17</w:t>
            </w:r>
          </w:p>
        </w:tc>
        <w:tc>
          <w:tcPr>
            <w:tcW w:w="1300" w:type="pct"/>
            <w:tcMar>
              <w:top w:w="15" w:type="dxa"/>
              <w:left w:w="15" w:type="dxa"/>
              <w:bottom w:w="15" w:type="dxa"/>
              <w:right w:w="15" w:type="dxa"/>
            </w:tcMar>
            <w:vAlign w:val="center"/>
          </w:tcPr>
          <w:p w14:paraId="3030EFCA">
            <w:pPr>
              <w:adjustRightInd w:val="0"/>
              <w:snapToGrid w:val="0"/>
              <w:jc w:val="center"/>
              <w:rPr>
                <w:rFonts w:ascii="Arial" w:hAnsi="Arial" w:eastAsia="宋体" w:cs="Arial"/>
                <w:sz w:val="21"/>
                <w:szCs w:val="21"/>
              </w:rPr>
            </w:pPr>
            <w:r>
              <w:rPr>
                <w:rFonts w:ascii="Arial" w:hAnsi="Arial" w:eastAsia="宋体" w:cs="Arial"/>
                <w:sz w:val="21"/>
                <w:szCs w:val="21"/>
              </w:rPr>
              <w:t>管委会办公楼</w:t>
            </w:r>
          </w:p>
        </w:tc>
        <w:tc>
          <w:tcPr>
            <w:tcW w:w="554" w:type="pct"/>
            <w:vAlign w:val="center"/>
          </w:tcPr>
          <w:p w14:paraId="606BD380">
            <w:pPr>
              <w:adjustRightInd w:val="0"/>
              <w:snapToGrid w:val="0"/>
              <w:jc w:val="center"/>
              <w:rPr>
                <w:rFonts w:ascii="Arial" w:hAnsi="Arial" w:eastAsia="宋体" w:cs="Arial"/>
                <w:sz w:val="21"/>
                <w:szCs w:val="21"/>
              </w:rPr>
            </w:pPr>
            <w:r>
              <w:rPr>
                <w:rFonts w:ascii="Arial" w:hAnsi="Arial" w:eastAsia="宋体" w:cs="Arial"/>
                <w:sz w:val="21"/>
                <w:szCs w:val="21"/>
              </w:rPr>
              <w:t>西南</w:t>
            </w:r>
          </w:p>
        </w:tc>
        <w:tc>
          <w:tcPr>
            <w:tcW w:w="799" w:type="pct"/>
            <w:vAlign w:val="center"/>
          </w:tcPr>
          <w:p w14:paraId="239DBB68">
            <w:pPr>
              <w:adjustRightInd w:val="0"/>
              <w:snapToGrid w:val="0"/>
              <w:jc w:val="center"/>
              <w:rPr>
                <w:rFonts w:ascii="Arial" w:hAnsi="Arial" w:eastAsia="宋体" w:cs="Arial"/>
                <w:sz w:val="21"/>
                <w:szCs w:val="21"/>
              </w:rPr>
            </w:pPr>
            <w:r>
              <w:rPr>
                <w:rFonts w:ascii="Arial" w:hAnsi="Arial" w:eastAsia="宋体" w:cs="Arial"/>
                <w:sz w:val="21"/>
                <w:szCs w:val="21"/>
              </w:rPr>
              <w:t>1995</w:t>
            </w:r>
          </w:p>
        </w:tc>
        <w:tc>
          <w:tcPr>
            <w:tcW w:w="635" w:type="pct"/>
            <w:vAlign w:val="center"/>
          </w:tcPr>
          <w:p w14:paraId="752B3974">
            <w:pPr>
              <w:adjustRightInd w:val="0"/>
              <w:snapToGrid w:val="0"/>
              <w:jc w:val="center"/>
              <w:rPr>
                <w:rFonts w:ascii="Arial" w:hAnsi="Arial" w:eastAsia="宋体" w:cs="Arial"/>
                <w:sz w:val="21"/>
                <w:szCs w:val="21"/>
              </w:rPr>
            </w:pPr>
            <w:r>
              <w:rPr>
                <w:rFonts w:ascii="Arial" w:hAnsi="Arial" w:cs="Arial"/>
                <w:sz w:val="21"/>
                <w:szCs w:val="21"/>
              </w:rPr>
              <w:t>1000</w:t>
            </w:r>
          </w:p>
        </w:tc>
        <w:tc>
          <w:tcPr>
            <w:tcW w:w="717" w:type="pct"/>
            <w:vAlign w:val="center"/>
          </w:tcPr>
          <w:p w14:paraId="16480B95">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64F11118">
            <w:pPr>
              <w:adjustRightInd w:val="0"/>
              <w:snapToGrid w:val="0"/>
              <w:jc w:val="center"/>
              <w:rPr>
                <w:rFonts w:ascii="Arial" w:hAnsi="Arial" w:eastAsia="宋体" w:cs="Arial"/>
                <w:sz w:val="21"/>
                <w:szCs w:val="21"/>
              </w:rPr>
            </w:pPr>
          </w:p>
        </w:tc>
      </w:tr>
      <w:tr w14:paraId="6FD76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4C1A1444">
            <w:pPr>
              <w:adjustRightInd w:val="0"/>
              <w:snapToGrid w:val="0"/>
              <w:jc w:val="center"/>
              <w:rPr>
                <w:rFonts w:ascii="Arial" w:hAnsi="Arial" w:eastAsia="宋体" w:cs="Arial"/>
                <w:sz w:val="21"/>
                <w:szCs w:val="21"/>
              </w:rPr>
            </w:pPr>
            <w:r>
              <w:rPr>
                <w:rFonts w:ascii="Arial" w:hAnsi="Arial" w:eastAsia="宋体" w:cs="Arial"/>
                <w:sz w:val="21"/>
                <w:szCs w:val="21"/>
              </w:rPr>
              <w:t>18</w:t>
            </w:r>
          </w:p>
        </w:tc>
        <w:tc>
          <w:tcPr>
            <w:tcW w:w="1300" w:type="pct"/>
            <w:tcMar>
              <w:top w:w="15" w:type="dxa"/>
              <w:left w:w="15" w:type="dxa"/>
              <w:bottom w:w="15" w:type="dxa"/>
              <w:right w:w="15" w:type="dxa"/>
            </w:tcMar>
            <w:vAlign w:val="center"/>
          </w:tcPr>
          <w:p w14:paraId="1F885104">
            <w:pPr>
              <w:adjustRightInd w:val="0"/>
              <w:snapToGrid w:val="0"/>
              <w:jc w:val="center"/>
              <w:rPr>
                <w:rFonts w:ascii="Arial" w:hAnsi="Arial" w:eastAsia="宋体" w:cs="Arial"/>
                <w:sz w:val="21"/>
                <w:szCs w:val="21"/>
              </w:rPr>
            </w:pPr>
            <w:r>
              <w:rPr>
                <w:rFonts w:ascii="Arial" w:hAnsi="Arial" w:eastAsia="宋体" w:cs="Arial"/>
                <w:sz w:val="21"/>
                <w:szCs w:val="21"/>
              </w:rPr>
              <w:t>海关办公楼</w:t>
            </w:r>
          </w:p>
        </w:tc>
        <w:tc>
          <w:tcPr>
            <w:tcW w:w="554" w:type="pct"/>
            <w:vAlign w:val="center"/>
          </w:tcPr>
          <w:p w14:paraId="4B98D7E6">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799" w:type="pct"/>
            <w:vAlign w:val="center"/>
          </w:tcPr>
          <w:p w14:paraId="419F7D67">
            <w:pPr>
              <w:adjustRightInd w:val="0"/>
              <w:snapToGrid w:val="0"/>
              <w:jc w:val="center"/>
              <w:rPr>
                <w:rFonts w:ascii="Arial" w:hAnsi="Arial" w:eastAsia="宋体" w:cs="Arial"/>
                <w:sz w:val="21"/>
                <w:szCs w:val="21"/>
              </w:rPr>
            </w:pPr>
            <w:r>
              <w:rPr>
                <w:rFonts w:ascii="Arial" w:hAnsi="Arial" w:eastAsia="宋体" w:cs="Arial"/>
                <w:sz w:val="21"/>
                <w:szCs w:val="21"/>
              </w:rPr>
              <w:t>2385</w:t>
            </w:r>
          </w:p>
        </w:tc>
        <w:tc>
          <w:tcPr>
            <w:tcW w:w="635" w:type="pct"/>
            <w:vAlign w:val="center"/>
          </w:tcPr>
          <w:p w14:paraId="1E9AB302">
            <w:pPr>
              <w:adjustRightInd w:val="0"/>
              <w:snapToGrid w:val="0"/>
              <w:jc w:val="center"/>
              <w:rPr>
                <w:rFonts w:ascii="Arial" w:hAnsi="Arial" w:eastAsia="宋体" w:cs="Arial"/>
                <w:sz w:val="21"/>
                <w:szCs w:val="21"/>
              </w:rPr>
            </w:pPr>
            <w:r>
              <w:rPr>
                <w:rFonts w:ascii="Arial" w:hAnsi="Arial" w:cs="Arial"/>
                <w:sz w:val="21"/>
                <w:szCs w:val="21"/>
              </w:rPr>
              <w:t>300</w:t>
            </w:r>
          </w:p>
        </w:tc>
        <w:tc>
          <w:tcPr>
            <w:tcW w:w="717" w:type="pct"/>
            <w:vAlign w:val="center"/>
          </w:tcPr>
          <w:p w14:paraId="2FD21E5B">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2AE35F9A">
            <w:pPr>
              <w:adjustRightInd w:val="0"/>
              <w:snapToGrid w:val="0"/>
              <w:jc w:val="center"/>
              <w:rPr>
                <w:rFonts w:ascii="Arial" w:hAnsi="Arial" w:eastAsia="宋体" w:cs="Arial"/>
                <w:sz w:val="21"/>
                <w:szCs w:val="21"/>
              </w:rPr>
            </w:pPr>
          </w:p>
        </w:tc>
      </w:tr>
      <w:tr w14:paraId="158DC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35E0CE46">
            <w:pPr>
              <w:adjustRightInd w:val="0"/>
              <w:snapToGrid w:val="0"/>
              <w:jc w:val="center"/>
              <w:rPr>
                <w:rFonts w:ascii="Arial" w:hAnsi="Arial" w:eastAsia="宋体" w:cs="Arial"/>
                <w:sz w:val="21"/>
                <w:szCs w:val="21"/>
              </w:rPr>
            </w:pPr>
            <w:r>
              <w:rPr>
                <w:rFonts w:ascii="Arial" w:hAnsi="Arial" w:eastAsia="宋体" w:cs="Arial"/>
                <w:sz w:val="21"/>
                <w:szCs w:val="21"/>
              </w:rPr>
              <w:t>19</w:t>
            </w:r>
          </w:p>
        </w:tc>
        <w:tc>
          <w:tcPr>
            <w:tcW w:w="1300" w:type="pct"/>
            <w:tcMar>
              <w:top w:w="15" w:type="dxa"/>
              <w:left w:w="15" w:type="dxa"/>
              <w:bottom w:w="15" w:type="dxa"/>
              <w:right w:w="15" w:type="dxa"/>
            </w:tcMar>
            <w:vAlign w:val="center"/>
          </w:tcPr>
          <w:p w14:paraId="0C561140">
            <w:pPr>
              <w:adjustRightInd w:val="0"/>
              <w:snapToGrid w:val="0"/>
              <w:jc w:val="center"/>
              <w:rPr>
                <w:rFonts w:ascii="Arial" w:hAnsi="Arial" w:eastAsia="宋体" w:cs="Arial"/>
                <w:sz w:val="21"/>
                <w:szCs w:val="21"/>
              </w:rPr>
            </w:pPr>
            <w:r>
              <w:rPr>
                <w:rFonts w:ascii="Arial" w:hAnsi="Arial" w:eastAsia="宋体" w:cs="Arial"/>
                <w:sz w:val="21"/>
                <w:szCs w:val="21"/>
              </w:rPr>
              <w:t>港区政务中心</w:t>
            </w:r>
          </w:p>
        </w:tc>
        <w:tc>
          <w:tcPr>
            <w:tcW w:w="554" w:type="pct"/>
            <w:vAlign w:val="center"/>
          </w:tcPr>
          <w:p w14:paraId="5CE0721B">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799" w:type="pct"/>
            <w:vAlign w:val="center"/>
          </w:tcPr>
          <w:p w14:paraId="298655F1">
            <w:pPr>
              <w:adjustRightInd w:val="0"/>
              <w:snapToGrid w:val="0"/>
              <w:jc w:val="center"/>
              <w:rPr>
                <w:rFonts w:ascii="Arial" w:hAnsi="Arial" w:eastAsia="宋体" w:cs="Arial"/>
                <w:sz w:val="21"/>
                <w:szCs w:val="21"/>
              </w:rPr>
            </w:pPr>
            <w:r>
              <w:rPr>
                <w:rFonts w:ascii="Arial" w:hAnsi="Arial" w:eastAsia="宋体" w:cs="Arial"/>
                <w:sz w:val="21"/>
                <w:szCs w:val="21"/>
              </w:rPr>
              <w:t>2400</w:t>
            </w:r>
          </w:p>
        </w:tc>
        <w:tc>
          <w:tcPr>
            <w:tcW w:w="635" w:type="pct"/>
            <w:vAlign w:val="center"/>
          </w:tcPr>
          <w:p w14:paraId="219BDA1E">
            <w:pPr>
              <w:adjustRightInd w:val="0"/>
              <w:snapToGrid w:val="0"/>
              <w:jc w:val="center"/>
              <w:rPr>
                <w:rFonts w:ascii="Arial" w:hAnsi="Arial" w:eastAsia="宋体" w:cs="Arial"/>
                <w:sz w:val="21"/>
                <w:szCs w:val="21"/>
              </w:rPr>
            </w:pPr>
            <w:r>
              <w:rPr>
                <w:rFonts w:ascii="Arial" w:hAnsi="Arial" w:cs="Arial"/>
                <w:sz w:val="21"/>
                <w:szCs w:val="21"/>
              </w:rPr>
              <w:t>500</w:t>
            </w:r>
          </w:p>
        </w:tc>
        <w:tc>
          <w:tcPr>
            <w:tcW w:w="717" w:type="pct"/>
            <w:vAlign w:val="center"/>
          </w:tcPr>
          <w:p w14:paraId="730B6306">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16E2CAE1">
            <w:pPr>
              <w:adjustRightInd w:val="0"/>
              <w:snapToGrid w:val="0"/>
              <w:jc w:val="center"/>
              <w:rPr>
                <w:rFonts w:ascii="Arial" w:hAnsi="Arial" w:eastAsia="宋体" w:cs="Arial"/>
                <w:sz w:val="21"/>
                <w:szCs w:val="21"/>
              </w:rPr>
            </w:pPr>
          </w:p>
        </w:tc>
      </w:tr>
      <w:tr w14:paraId="1C609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 w:type="pct"/>
            <w:vAlign w:val="center"/>
          </w:tcPr>
          <w:p w14:paraId="7B938DD2">
            <w:pPr>
              <w:adjustRightInd w:val="0"/>
              <w:snapToGrid w:val="0"/>
              <w:jc w:val="center"/>
              <w:rPr>
                <w:rFonts w:ascii="Arial" w:hAnsi="Arial" w:eastAsia="宋体" w:cs="Arial"/>
                <w:sz w:val="21"/>
                <w:szCs w:val="21"/>
              </w:rPr>
            </w:pPr>
            <w:r>
              <w:rPr>
                <w:rFonts w:ascii="Arial" w:hAnsi="Arial" w:eastAsia="宋体" w:cs="Arial"/>
                <w:sz w:val="21"/>
                <w:szCs w:val="21"/>
              </w:rPr>
              <w:t>20</w:t>
            </w:r>
          </w:p>
        </w:tc>
        <w:tc>
          <w:tcPr>
            <w:tcW w:w="1300" w:type="pct"/>
            <w:tcMar>
              <w:top w:w="15" w:type="dxa"/>
              <w:left w:w="15" w:type="dxa"/>
              <w:bottom w:w="15" w:type="dxa"/>
              <w:right w:w="15" w:type="dxa"/>
            </w:tcMar>
            <w:vAlign w:val="center"/>
          </w:tcPr>
          <w:p w14:paraId="66B4BC6E">
            <w:pPr>
              <w:adjustRightInd w:val="0"/>
              <w:snapToGrid w:val="0"/>
              <w:jc w:val="center"/>
              <w:rPr>
                <w:rFonts w:ascii="Arial" w:hAnsi="Arial" w:eastAsia="宋体" w:cs="Arial"/>
                <w:sz w:val="21"/>
                <w:szCs w:val="21"/>
              </w:rPr>
            </w:pPr>
            <w:r>
              <w:rPr>
                <w:rFonts w:ascii="Arial" w:hAnsi="Arial" w:eastAsia="宋体" w:cs="Arial"/>
                <w:sz w:val="21"/>
                <w:szCs w:val="21"/>
              </w:rPr>
              <w:t>新联村</w:t>
            </w:r>
          </w:p>
        </w:tc>
        <w:tc>
          <w:tcPr>
            <w:tcW w:w="554" w:type="pct"/>
            <w:vAlign w:val="center"/>
          </w:tcPr>
          <w:p w14:paraId="3EADADA4">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799" w:type="pct"/>
            <w:vAlign w:val="center"/>
          </w:tcPr>
          <w:p w14:paraId="27EB32B6">
            <w:pPr>
              <w:adjustRightInd w:val="0"/>
              <w:snapToGrid w:val="0"/>
              <w:jc w:val="center"/>
              <w:rPr>
                <w:rFonts w:ascii="Arial" w:hAnsi="Arial" w:eastAsia="宋体" w:cs="Arial"/>
                <w:sz w:val="21"/>
                <w:szCs w:val="21"/>
              </w:rPr>
            </w:pPr>
            <w:r>
              <w:rPr>
                <w:rFonts w:ascii="Arial" w:hAnsi="Arial" w:eastAsia="宋体" w:cs="Arial"/>
                <w:sz w:val="21"/>
                <w:szCs w:val="21"/>
              </w:rPr>
              <w:t>2955</w:t>
            </w:r>
          </w:p>
        </w:tc>
        <w:tc>
          <w:tcPr>
            <w:tcW w:w="635" w:type="pct"/>
            <w:vAlign w:val="center"/>
          </w:tcPr>
          <w:p w14:paraId="05054A8F">
            <w:pPr>
              <w:adjustRightInd w:val="0"/>
              <w:snapToGrid w:val="0"/>
              <w:jc w:val="center"/>
              <w:rPr>
                <w:rFonts w:ascii="Arial" w:hAnsi="Arial" w:eastAsia="宋体" w:cs="Arial"/>
                <w:sz w:val="21"/>
                <w:szCs w:val="21"/>
              </w:rPr>
            </w:pPr>
            <w:r>
              <w:rPr>
                <w:rFonts w:ascii="Arial" w:hAnsi="Arial" w:cs="Arial"/>
                <w:sz w:val="21"/>
                <w:szCs w:val="21"/>
              </w:rPr>
              <w:t>744</w:t>
            </w:r>
          </w:p>
        </w:tc>
        <w:tc>
          <w:tcPr>
            <w:tcW w:w="717" w:type="pct"/>
            <w:vAlign w:val="center"/>
          </w:tcPr>
          <w:p w14:paraId="370A0CA4">
            <w:pPr>
              <w:pStyle w:val="942"/>
              <w:adjustRightInd w:val="0"/>
              <w:snapToGrid w:val="0"/>
              <w:jc w:val="center"/>
              <w:rPr>
                <w:rFonts w:ascii="Arial" w:hAnsi="Arial" w:cs="Arial"/>
                <w:sz w:val="21"/>
                <w:szCs w:val="21"/>
              </w:rPr>
            </w:pPr>
            <w:r>
              <w:rPr>
                <w:rFonts w:ascii="Arial" w:hAnsi="Arial" w:cs="Arial"/>
                <w:sz w:val="21"/>
                <w:szCs w:val="21"/>
              </w:rPr>
              <w:t>自来水</w:t>
            </w:r>
          </w:p>
        </w:tc>
        <w:tc>
          <w:tcPr>
            <w:tcW w:w="715" w:type="pct"/>
            <w:vMerge w:val="continue"/>
            <w:vAlign w:val="center"/>
          </w:tcPr>
          <w:p w14:paraId="1793CE5D">
            <w:pPr>
              <w:adjustRightInd w:val="0"/>
              <w:snapToGrid w:val="0"/>
              <w:jc w:val="center"/>
              <w:rPr>
                <w:rFonts w:ascii="Arial" w:hAnsi="Arial" w:eastAsia="宋体" w:cs="Arial"/>
                <w:sz w:val="21"/>
                <w:szCs w:val="21"/>
              </w:rPr>
            </w:pPr>
          </w:p>
        </w:tc>
      </w:tr>
    </w:tbl>
    <w:p w14:paraId="408DFDAB">
      <w:pPr>
        <w:spacing w:line="240" w:lineRule="exact"/>
        <w:ind w:firstLine="430" w:firstLineChars="200"/>
        <w:rPr>
          <w:rFonts w:ascii="Arial" w:hAnsi="Arial" w:eastAsia="宋体" w:cs="Arial"/>
          <w:b/>
          <w:spacing w:val="10"/>
          <w:kern w:val="0"/>
          <w:sz w:val="21"/>
          <w:szCs w:val="21"/>
        </w:rPr>
      </w:pPr>
      <w:r>
        <w:rPr>
          <w:rFonts w:ascii="Arial" w:hAnsi="Arial" w:eastAsia="宋体" w:cs="Arial"/>
          <w:b/>
          <w:spacing w:val="10"/>
          <w:kern w:val="0"/>
          <w:sz w:val="21"/>
          <w:szCs w:val="21"/>
        </w:rPr>
        <w:t>*厂界北面的部分鸡墩头村居民楼在园区拆迁范围内，现阶段仍有少量居民居住。</w:t>
      </w:r>
    </w:p>
    <w:p w14:paraId="22497013">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2、地表水环境保护目标</w:t>
      </w:r>
    </w:p>
    <w:p w14:paraId="765D5267">
      <w:pPr>
        <w:spacing w:line="500" w:lineRule="exact"/>
        <w:ind w:firstLine="476"/>
        <w:rPr>
          <w:rFonts w:ascii="Arial" w:hAnsi="Arial" w:eastAsia="宋体" w:cs="Arial"/>
          <w:spacing w:val="10"/>
          <w:kern w:val="0"/>
          <w:sz w:val="24"/>
          <w:szCs w:val="21"/>
        </w:rPr>
      </w:pPr>
      <w:r>
        <w:rPr>
          <w:rFonts w:hint="eastAsia" w:ascii="Arial" w:hAnsi="Arial" w:eastAsia="宋体" w:cs="Arial"/>
          <w:spacing w:val="10"/>
          <w:kern w:val="0"/>
          <w:sz w:val="24"/>
          <w:szCs w:val="21"/>
        </w:rPr>
        <w:t>地表水评价范围内属于HJ2.3-2018的水环境保护目标主要包括茅尾海红树林自然保护区（康熙岭片区、坚心围片区、七十二泾片区）、北部湾二长棘鲷长毛对虾国家级种质资源保护区（实验区）</w:t>
      </w:r>
      <w:r>
        <w:rPr>
          <w:rFonts w:ascii="Arial" w:hAnsi="Arial" w:eastAsia="宋体" w:cs="Arial"/>
          <w:spacing w:val="10"/>
          <w:kern w:val="0"/>
          <w:sz w:val="24"/>
          <w:szCs w:val="21"/>
        </w:rPr>
        <w:t>。</w:t>
      </w:r>
    </w:p>
    <w:p w14:paraId="752F40E3">
      <w:pPr>
        <w:spacing w:line="500" w:lineRule="exact"/>
        <w:ind w:firstLine="476"/>
        <w:rPr>
          <w:rFonts w:ascii="Arial" w:hAnsi="Arial" w:eastAsia="宋体" w:cs="Arial"/>
          <w:spacing w:val="10"/>
          <w:kern w:val="0"/>
          <w:sz w:val="24"/>
          <w:szCs w:val="21"/>
        </w:rPr>
      </w:pPr>
    </w:p>
    <w:p w14:paraId="30D92DE4">
      <w:pPr>
        <w:spacing w:line="500" w:lineRule="exact"/>
        <w:ind w:firstLine="476"/>
        <w:rPr>
          <w:rFonts w:ascii="Arial" w:hAnsi="Arial" w:eastAsia="宋体" w:cs="Arial"/>
          <w:spacing w:val="10"/>
          <w:kern w:val="0"/>
          <w:sz w:val="24"/>
          <w:szCs w:val="21"/>
        </w:rPr>
      </w:pPr>
    </w:p>
    <w:p w14:paraId="16C24D30">
      <w:pPr>
        <w:spacing w:line="500" w:lineRule="exact"/>
        <w:ind w:firstLine="476"/>
        <w:rPr>
          <w:rFonts w:ascii="Arial" w:hAnsi="Arial" w:eastAsia="宋体" w:cs="Arial"/>
          <w:spacing w:val="10"/>
          <w:kern w:val="0"/>
          <w:sz w:val="24"/>
          <w:szCs w:val="21"/>
        </w:rPr>
      </w:pPr>
    </w:p>
    <w:p w14:paraId="3717D73F">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hint="eastAsia" w:ascii="Arial" w:hAnsi="Arial" w:eastAsia="宋体" w:cs="Arial"/>
          <w:b/>
          <w:sz w:val="24"/>
        </w:rPr>
        <w:t>水环境保护目标</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3"/>
        <w:gridCol w:w="1430"/>
        <w:gridCol w:w="2865"/>
        <w:gridCol w:w="844"/>
        <w:gridCol w:w="2221"/>
      </w:tblGrid>
      <w:tr w14:paraId="78EAF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08" w:type="pct"/>
            <w:vAlign w:val="center"/>
          </w:tcPr>
          <w:p w14:paraId="28A95731">
            <w:pPr>
              <w:adjustRightInd w:val="0"/>
              <w:snapToGrid w:val="0"/>
              <w:jc w:val="center"/>
              <w:rPr>
                <w:rFonts w:ascii="Arial" w:hAnsi="Arial" w:eastAsia="宋体" w:cs="Arial"/>
                <w:sz w:val="21"/>
                <w:szCs w:val="21"/>
              </w:rPr>
            </w:pPr>
            <w:r>
              <w:rPr>
                <w:rFonts w:hint="eastAsia" w:ascii="Arial" w:hAnsi="Arial" w:eastAsia="宋体" w:cs="Arial"/>
                <w:sz w:val="21"/>
                <w:szCs w:val="21"/>
              </w:rPr>
              <w:t>类型</w:t>
            </w:r>
          </w:p>
        </w:tc>
        <w:tc>
          <w:tcPr>
            <w:tcW w:w="2388" w:type="pct"/>
            <w:gridSpan w:val="2"/>
            <w:vAlign w:val="center"/>
          </w:tcPr>
          <w:p w14:paraId="0382BB56">
            <w:pPr>
              <w:adjustRightInd w:val="0"/>
              <w:snapToGrid w:val="0"/>
              <w:jc w:val="center"/>
              <w:rPr>
                <w:rFonts w:ascii="Arial" w:hAnsi="Arial" w:eastAsia="宋体" w:cs="Arial"/>
                <w:sz w:val="21"/>
                <w:szCs w:val="21"/>
              </w:rPr>
            </w:pPr>
            <w:r>
              <w:rPr>
                <w:rFonts w:ascii="Arial" w:hAnsi="Arial" w:eastAsia="宋体" w:cs="Arial"/>
                <w:sz w:val="21"/>
                <w:szCs w:val="21"/>
              </w:rPr>
              <w:t>名称</w:t>
            </w:r>
          </w:p>
        </w:tc>
        <w:tc>
          <w:tcPr>
            <w:tcW w:w="469" w:type="pct"/>
            <w:vAlign w:val="center"/>
          </w:tcPr>
          <w:p w14:paraId="49597F20">
            <w:pPr>
              <w:adjustRightInd w:val="0"/>
              <w:snapToGrid w:val="0"/>
              <w:jc w:val="center"/>
              <w:rPr>
                <w:rFonts w:ascii="Arial" w:hAnsi="Arial" w:eastAsia="宋体" w:cs="Arial"/>
                <w:sz w:val="21"/>
                <w:szCs w:val="21"/>
              </w:rPr>
            </w:pPr>
            <w:r>
              <w:rPr>
                <w:rFonts w:ascii="Arial" w:hAnsi="Arial" w:eastAsia="宋体" w:cs="Arial"/>
                <w:sz w:val="21"/>
                <w:szCs w:val="21"/>
              </w:rPr>
              <w:t>方位</w:t>
            </w:r>
          </w:p>
        </w:tc>
        <w:tc>
          <w:tcPr>
            <w:tcW w:w="1235" w:type="pct"/>
            <w:vAlign w:val="center"/>
          </w:tcPr>
          <w:p w14:paraId="096EC0E6">
            <w:pPr>
              <w:adjustRightInd w:val="0"/>
              <w:snapToGrid w:val="0"/>
              <w:jc w:val="center"/>
              <w:rPr>
                <w:rFonts w:ascii="Arial" w:hAnsi="Arial" w:eastAsia="宋体" w:cs="Arial"/>
                <w:sz w:val="21"/>
                <w:szCs w:val="21"/>
              </w:rPr>
            </w:pPr>
            <w:r>
              <w:rPr>
                <w:rFonts w:hint="eastAsia" w:ascii="Arial" w:hAnsi="Arial" w:eastAsia="宋体" w:cs="Arial"/>
                <w:sz w:val="21"/>
                <w:szCs w:val="21"/>
              </w:rPr>
              <w:t>离厂界</w:t>
            </w:r>
            <w:r>
              <w:rPr>
                <w:rFonts w:ascii="Arial" w:hAnsi="Arial" w:eastAsia="宋体" w:cs="Arial"/>
                <w:sz w:val="21"/>
                <w:szCs w:val="21"/>
              </w:rPr>
              <w:t>最近距离（km）</w:t>
            </w:r>
          </w:p>
        </w:tc>
      </w:tr>
      <w:tr w14:paraId="7D341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vMerge w:val="restart"/>
            <w:vAlign w:val="center"/>
          </w:tcPr>
          <w:p w14:paraId="69D10659">
            <w:pPr>
              <w:adjustRightInd w:val="0"/>
              <w:snapToGrid w:val="0"/>
              <w:jc w:val="center"/>
              <w:rPr>
                <w:rFonts w:ascii="Arial" w:hAnsi="Arial" w:eastAsia="宋体" w:cs="Arial"/>
                <w:sz w:val="21"/>
                <w:szCs w:val="21"/>
              </w:rPr>
            </w:pPr>
            <w:r>
              <w:rPr>
                <w:rFonts w:hint="eastAsia" w:ascii="Arial" w:hAnsi="Arial" w:eastAsia="宋体" w:cs="Arial"/>
                <w:sz w:val="21"/>
                <w:szCs w:val="21"/>
              </w:rPr>
              <w:t>涉水的自然保护区</w:t>
            </w:r>
          </w:p>
        </w:tc>
        <w:tc>
          <w:tcPr>
            <w:tcW w:w="795" w:type="pct"/>
            <w:vMerge w:val="restart"/>
            <w:vAlign w:val="center"/>
          </w:tcPr>
          <w:p w14:paraId="12ED7973">
            <w:pPr>
              <w:adjustRightInd w:val="0"/>
              <w:snapToGrid w:val="0"/>
              <w:jc w:val="center"/>
              <w:rPr>
                <w:rFonts w:ascii="Arial" w:hAnsi="Arial" w:eastAsia="宋体" w:cs="Arial"/>
                <w:sz w:val="21"/>
                <w:szCs w:val="21"/>
              </w:rPr>
            </w:pPr>
            <w:r>
              <w:rPr>
                <w:rFonts w:hint="eastAsia" w:ascii="Arial" w:hAnsi="Arial" w:eastAsia="宋体" w:cs="Arial"/>
                <w:sz w:val="21"/>
                <w:szCs w:val="21"/>
              </w:rPr>
              <w:t>茅尾海红树林自然保护区</w:t>
            </w:r>
          </w:p>
        </w:tc>
        <w:tc>
          <w:tcPr>
            <w:tcW w:w="1593" w:type="pct"/>
            <w:vAlign w:val="center"/>
          </w:tcPr>
          <w:p w14:paraId="3B58E095">
            <w:pPr>
              <w:adjustRightInd w:val="0"/>
              <w:snapToGrid w:val="0"/>
              <w:jc w:val="center"/>
              <w:rPr>
                <w:rFonts w:ascii="Arial" w:hAnsi="Arial" w:eastAsia="宋体" w:cs="Arial"/>
                <w:sz w:val="21"/>
                <w:szCs w:val="21"/>
              </w:rPr>
            </w:pPr>
            <w:r>
              <w:rPr>
                <w:rFonts w:hint="eastAsia" w:ascii="Arial" w:hAnsi="Arial" w:eastAsia="宋体" w:cs="Arial"/>
                <w:sz w:val="21"/>
                <w:szCs w:val="21"/>
              </w:rPr>
              <w:t>康熙岭片区</w:t>
            </w:r>
          </w:p>
        </w:tc>
        <w:tc>
          <w:tcPr>
            <w:tcW w:w="469" w:type="pct"/>
            <w:vAlign w:val="center"/>
          </w:tcPr>
          <w:p w14:paraId="5BAC899F">
            <w:pPr>
              <w:adjustRightInd w:val="0"/>
              <w:snapToGrid w:val="0"/>
              <w:jc w:val="center"/>
              <w:rPr>
                <w:rFonts w:ascii="Arial" w:hAnsi="Arial" w:eastAsia="宋体" w:cs="Arial"/>
                <w:sz w:val="21"/>
                <w:szCs w:val="21"/>
              </w:rPr>
            </w:pPr>
            <w:r>
              <w:rPr>
                <w:rFonts w:hint="eastAsia" w:ascii="Arial" w:hAnsi="Arial" w:eastAsia="宋体" w:cs="Arial"/>
                <w:sz w:val="21"/>
                <w:szCs w:val="21"/>
              </w:rPr>
              <w:t>西北</w:t>
            </w:r>
          </w:p>
        </w:tc>
        <w:tc>
          <w:tcPr>
            <w:tcW w:w="1235" w:type="pct"/>
            <w:vAlign w:val="center"/>
          </w:tcPr>
          <w:p w14:paraId="05287C45">
            <w:pPr>
              <w:adjustRightInd w:val="0"/>
              <w:snapToGrid w:val="0"/>
              <w:jc w:val="center"/>
              <w:rPr>
                <w:rFonts w:ascii="Arial" w:hAnsi="Arial" w:eastAsia="宋体" w:cs="Arial"/>
                <w:sz w:val="21"/>
                <w:szCs w:val="21"/>
              </w:rPr>
            </w:pPr>
            <w:r>
              <w:rPr>
                <w:rFonts w:hint="eastAsia" w:ascii="Arial" w:hAnsi="Arial" w:eastAsia="宋体" w:cs="Arial"/>
                <w:sz w:val="21"/>
                <w:szCs w:val="21"/>
              </w:rPr>
              <w:t>21</w:t>
            </w:r>
          </w:p>
        </w:tc>
      </w:tr>
      <w:tr w14:paraId="18C6E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vMerge w:val="continue"/>
            <w:vAlign w:val="center"/>
          </w:tcPr>
          <w:p w14:paraId="539395AF">
            <w:pPr>
              <w:adjustRightInd w:val="0"/>
              <w:snapToGrid w:val="0"/>
              <w:jc w:val="center"/>
              <w:rPr>
                <w:rFonts w:ascii="Arial" w:hAnsi="Arial" w:eastAsia="宋体" w:cs="Arial"/>
                <w:sz w:val="21"/>
                <w:szCs w:val="21"/>
              </w:rPr>
            </w:pPr>
          </w:p>
        </w:tc>
        <w:tc>
          <w:tcPr>
            <w:tcW w:w="795" w:type="pct"/>
            <w:vMerge w:val="continue"/>
            <w:vAlign w:val="center"/>
          </w:tcPr>
          <w:p w14:paraId="5FE232EA">
            <w:pPr>
              <w:adjustRightInd w:val="0"/>
              <w:snapToGrid w:val="0"/>
              <w:jc w:val="center"/>
              <w:rPr>
                <w:rFonts w:ascii="Arial" w:hAnsi="Arial" w:eastAsia="宋体" w:cs="Arial"/>
                <w:sz w:val="21"/>
                <w:szCs w:val="21"/>
              </w:rPr>
            </w:pPr>
          </w:p>
        </w:tc>
        <w:tc>
          <w:tcPr>
            <w:tcW w:w="1593" w:type="pct"/>
            <w:vAlign w:val="center"/>
          </w:tcPr>
          <w:p w14:paraId="03C81AC5">
            <w:pPr>
              <w:adjustRightInd w:val="0"/>
              <w:snapToGrid w:val="0"/>
              <w:jc w:val="center"/>
              <w:rPr>
                <w:rFonts w:ascii="Arial" w:hAnsi="Arial" w:eastAsia="宋体" w:cs="Arial"/>
                <w:sz w:val="21"/>
                <w:szCs w:val="21"/>
              </w:rPr>
            </w:pPr>
            <w:r>
              <w:rPr>
                <w:rFonts w:hint="eastAsia" w:ascii="Arial" w:hAnsi="Arial" w:eastAsia="宋体" w:cs="Arial"/>
                <w:sz w:val="21"/>
                <w:szCs w:val="21"/>
              </w:rPr>
              <w:t>坚心围片区</w:t>
            </w:r>
          </w:p>
        </w:tc>
        <w:tc>
          <w:tcPr>
            <w:tcW w:w="469" w:type="pct"/>
            <w:vAlign w:val="center"/>
          </w:tcPr>
          <w:p w14:paraId="2EB7B04A">
            <w:pPr>
              <w:adjustRightInd w:val="0"/>
              <w:snapToGrid w:val="0"/>
              <w:jc w:val="center"/>
              <w:rPr>
                <w:rFonts w:ascii="Arial" w:hAnsi="Arial" w:eastAsia="宋体" w:cs="Arial"/>
                <w:sz w:val="21"/>
                <w:szCs w:val="21"/>
              </w:rPr>
            </w:pPr>
            <w:r>
              <w:rPr>
                <w:rFonts w:hint="eastAsia" w:ascii="Arial" w:hAnsi="Arial" w:eastAsia="宋体" w:cs="Arial"/>
                <w:sz w:val="21"/>
                <w:szCs w:val="21"/>
              </w:rPr>
              <w:t>西北</w:t>
            </w:r>
          </w:p>
        </w:tc>
        <w:tc>
          <w:tcPr>
            <w:tcW w:w="1235" w:type="pct"/>
            <w:vAlign w:val="center"/>
          </w:tcPr>
          <w:p w14:paraId="57F2CD9D">
            <w:pPr>
              <w:adjustRightInd w:val="0"/>
              <w:snapToGrid w:val="0"/>
              <w:jc w:val="center"/>
              <w:rPr>
                <w:rFonts w:ascii="Arial" w:hAnsi="Arial" w:eastAsia="宋体" w:cs="Arial"/>
                <w:sz w:val="21"/>
                <w:szCs w:val="21"/>
              </w:rPr>
            </w:pPr>
            <w:r>
              <w:rPr>
                <w:rFonts w:hint="eastAsia" w:ascii="Arial" w:hAnsi="Arial" w:eastAsia="宋体" w:cs="Arial"/>
                <w:sz w:val="21"/>
                <w:szCs w:val="21"/>
              </w:rPr>
              <w:t>15</w:t>
            </w:r>
          </w:p>
        </w:tc>
      </w:tr>
      <w:tr w14:paraId="3D187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vMerge w:val="continue"/>
            <w:vAlign w:val="center"/>
          </w:tcPr>
          <w:p w14:paraId="22531903">
            <w:pPr>
              <w:adjustRightInd w:val="0"/>
              <w:snapToGrid w:val="0"/>
              <w:jc w:val="center"/>
              <w:rPr>
                <w:rFonts w:ascii="Arial" w:hAnsi="Arial" w:eastAsia="宋体" w:cs="Arial"/>
                <w:sz w:val="21"/>
                <w:szCs w:val="21"/>
              </w:rPr>
            </w:pPr>
          </w:p>
        </w:tc>
        <w:tc>
          <w:tcPr>
            <w:tcW w:w="795" w:type="pct"/>
            <w:vMerge w:val="continue"/>
            <w:vAlign w:val="center"/>
          </w:tcPr>
          <w:p w14:paraId="68F34381">
            <w:pPr>
              <w:adjustRightInd w:val="0"/>
              <w:snapToGrid w:val="0"/>
              <w:jc w:val="center"/>
              <w:rPr>
                <w:rFonts w:ascii="Arial" w:hAnsi="Arial" w:eastAsia="宋体" w:cs="Arial"/>
                <w:sz w:val="21"/>
                <w:szCs w:val="21"/>
              </w:rPr>
            </w:pPr>
          </w:p>
        </w:tc>
        <w:tc>
          <w:tcPr>
            <w:tcW w:w="1593" w:type="pct"/>
            <w:vAlign w:val="center"/>
          </w:tcPr>
          <w:p w14:paraId="5771ADA3">
            <w:pPr>
              <w:adjustRightInd w:val="0"/>
              <w:snapToGrid w:val="0"/>
              <w:jc w:val="center"/>
              <w:rPr>
                <w:rFonts w:ascii="Arial" w:hAnsi="Arial" w:eastAsia="宋体" w:cs="Arial"/>
                <w:sz w:val="21"/>
                <w:szCs w:val="21"/>
              </w:rPr>
            </w:pPr>
            <w:r>
              <w:rPr>
                <w:rFonts w:hint="eastAsia" w:ascii="Arial" w:hAnsi="Arial" w:eastAsia="宋体" w:cs="Arial"/>
                <w:sz w:val="21"/>
                <w:szCs w:val="21"/>
              </w:rPr>
              <w:t>七十二泾片区</w:t>
            </w:r>
          </w:p>
        </w:tc>
        <w:tc>
          <w:tcPr>
            <w:tcW w:w="469" w:type="pct"/>
            <w:vAlign w:val="center"/>
          </w:tcPr>
          <w:p w14:paraId="3F1F3722">
            <w:pPr>
              <w:adjustRightInd w:val="0"/>
              <w:snapToGrid w:val="0"/>
              <w:jc w:val="center"/>
              <w:rPr>
                <w:rFonts w:ascii="Arial" w:hAnsi="Arial" w:eastAsia="宋体" w:cs="Arial"/>
                <w:sz w:val="21"/>
                <w:szCs w:val="21"/>
              </w:rPr>
            </w:pPr>
            <w:r>
              <w:rPr>
                <w:rFonts w:hint="eastAsia" w:ascii="Arial" w:hAnsi="Arial" w:eastAsia="宋体" w:cs="Arial"/>
                <w:sz w:val="21"/>
                <w:szCs w:val="21"/>
              </w:rPr>
              <w:t>西北</w:t>
            </w:r>
          </w:p>
        </w:tc>
        <w:tc>
          <w:tcPr>
            <w:tcW w:w="1235" w:type="pct"/>
            <w:vAlign w:val="center"/>
          </w:tcPr>
          <w:p w14:paraId="2B92E2ED">
            <w:pPr>
              <w:adjustRightInd w:val="0"/>
              <w:snapToGrid w:val="0"/>
              <w:jc w:val="center"/>
              <w:rPr>
                <w:rFonts w:ascii="Arial" w:hAnsi="Arial" w:eastAsia="宋体" w:cs="Arial"/>
                <w:sz w:val="21"/>
                <w:szCs w:val="21"/>
              </w:rPr>
            </w:pPr>
            <w:r>
              <w:rPr>
                <w:rFonts w:hint="eastAsia" w:ascii="Arial" w:hAnsi="Arial" w:eastAsia="宋体" w:cs="Arial"/>
                <w:sz w:val="21"/>
                <w:szCs w:val="21"/>
              </w:rPr>
              <w:t>8.2</w:t>
            </w:r>
          </w:p>
        </w:tc>
      </w:tr>
      <w:tr w14:paraId="2484A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vAlign w:val="center"/>
          </w:tcPr>
          <w:p w14:paraId="6E2E4A53">
            <w:pPr>
              <w:adjustRightInd w:val="0"/>
              <w:snapToGrid w:val="0"/>
              <w:jc w:val="center"/>
              <w:rPr>
                <w:rFonts w:ascii="Arial" w:hAnsi="Arial" w:eastAsia="宋体" w:cs="Arial"/>
                <w:sz w:val="21"/>
                <w:szCs w:val="21"/>
              </w:rPr>
            </w:pPr>
            <w:r>
              <w:rPr>
                <w:rFonts w:ascii="Arial" w:hAnsi="Arial" w:eastAsia="宋体" w:cs="Arial"/>
                <w:sz w:val="21"/>
                <w:szCs w:val="21"/>
              </w:rPr>
              <w:t>种质资源保护区</w:t>
            </w:r>
          </w:p>
        </w:tc>
        <w:tc>
          <w:tcPr>
            <w:tcW w:w="2388" w:type="pct"/>
            <w:gridSpan w:val="2"/>
            <w:vAlign w:val="center"/>
          </w:tcPr>
          <w:p w14:paraId="00E639C8">
            <w:pPr>
              <w:adjustRightInd w:val="0"/>
              <w:snapToGrid w:val="0"/>
              <w:jc w:val="center"/>
              <w:rPr>
                <w:rFonts w:ascii="Arial" w:hAnsi="Arial" w:eastAsia="宋体" w:cs="Arial"/>
                <w:sz w:val="21"/>
                <w:szCs w:val="21"/>
              </w:rPr>
            </w:pPr>
            <w:r>
              <w:rPr>
                <w:rFonts w:hint="eastAsia" w:ascii="Arial" w:hAnsi="Arial" w:eastAsia="宋体" w:cs="Arial"/>
                <w:sz w:val="21"/>
                <w:szCs w:val="21"/>
              </w:rPr>
              <w:t>北部湾二长棘鲷长毛对虾国家级种质资源保护区（</w:t>
            </w:r>
            <w:r>
              <w:rPr>
                <w:rFonts w:ascii="Arial" w:hAnsi="Arial" w:eastAsia="宋体" w:cs="Arial"/>
                <w:sz w:val="21"/>
                <w:szCs w:val="21"/>
              </w:rPr>
              <w:t>实验区</w:t>
            </w:r>
            <w:r>
              <w:rPr>
                <w:rFonts w:hint="eastAsia" w:ascii="Arial" w:hAnsi="Arial" w:eastAsia="宋体" w:cs="Arial"/>
                <w:sz w:val="21"/>
                <w:szCs w:val="21"/>
              </w:rPr>
              <w:t>）</w:t>
            </w:r>
          </w:p>
        </w:tc>
        <w:tc>
          <w:tcPr>
            <w:tcW w:w="469" w:type="pct"/>
            <w:vAlign w:val="center"/>
          </w:tcPr>
          <w:p w14:paraId="1B43693A">
            <w:pPr>
              <w:adjustRightInd w:val="0"/>
              <w:snapToGrid w:val="0"/>
              <w:jc w:val="center"/>
              <w:rPr>
                <w:rFonts w:ascii="Arial" w:hAnsi="Arial" w:eastAsia="宋体" w:cs="Arial"/>
                <w:sz w:val="21"/>
                <w:szCs w:val="21"/>
              </w:rPr>
            </w:pPr>
            <w:r>
              <w:rPr>
                <w:rFonts w:hint="eastAsia" w:ascii="Arial" w:hAnsi="Arial" w:eastAsia="宋体" w:cs="Arial"/>
                <w:sz w:val="21"/>
                <w:szCs w:val="21"/>
              </w:rPr>
              <w:t>南</w:t>
            </w:r>
          </w:p>
        </w:tc>
        <w:tc>
          <w:tcPr>
            <w:tcW w:w="1235" w:type="pct"/>
            <w:vAlign w:val="center"/>
          </w:tcPr>
          <w:p w14:paraId="04289910">
            <w:pPr>
              <w:adjustRightInd w:val="0"/>
              <w:snapToGrid w:val="0"/>
              <w:jc w:val="center"/>
              <w:rPr>
                <w:rFonts w:ascii="Arial" w:hAnsi="Arial" w:eastAsia="宋体" w:cs="Arial"/>
                <w:sz w:val="21"/>
                <w:szCs w:val="21"/>
              </w:rPr>
            </w:pPr>
            <w:r>
              <w:rPr>
                <w:rFonts w:hint="eastAsia" w:ascii="Arial" w:hAnsi="Arial" w:eastAsia="宋体" w:cs="Arial"/>
                <w:sz w:val="21"/>
                <w:szCs w:val="21"/>
              </w:rPr>
              <w:t>21.2</w:t>
            </w:r>
          </w:p>
        </w:tc>
      </w:tr>
    </w:tbl>
    <w:p w14:paraId="0F51C351">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3、地下水保护目标</w:t>
      </w:r>
    </w:p>
    <w:p w14:paraId="4EBEA386">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项目地下水环境评价范围内没有已划定的水源保护区、集中式及分散式饮用水水源地，无矿泉水、温泉等地下水资源保护区，地下水保护目标主要是下游所在含水层。</w:t>
      </w:r>
    </w:p>
    <w:p w14:paraId="02942A81">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4、声环境保护目标</w:t>
      </w:r>
    </w:p>
    <w:p w14:paraId="092F585B">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厂界200米范围内敏感目标为厂区北面10米的鸡墩头村（距项目车间最近距离约945米）；厂界200米范围内的鸡墩头村主要为沿街商铺、仓储大棚等，滨海公路南侧至厂界北侧为园区拆迁范围。</w:t>
      </w:r>
    </w:p>
    <w:p w14:paraId="785D4518">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5、土壤环境保护目标</w:t>
      </w:r>
    </w:p>
    <w:p w14:paraId="2D3096BB">
      <w:pPr>
        <w:spacing w:line="500" w:lineRule="exact"/>
        <w:ind w:firstLine="476"/>
        <w:rPr>
          <w:rFonts w:ascii="Arial" w:hAnsi="Arial" w:eastAsia="宋体" w:cs="Arial"/>
          <w:spacing w:val="10"/>
          <w:kern w:val="0"/>
          <w:sz w:val="24"/>
          <w:szCs w:val="21"/>
        </w:rPr>
      </w:pPr>
      <w:r>
        <w:rPr>
          <w:rFonts w:ascii="Arial" w:hAnsi="Arial" w:eastAsia="宋体" w:cs="Arial"/>
          <w:spacing w:val="10"/>
          <w:kern w:val="0"/>
          <w:sz w:val="24"/>
          <w:szCs w:val="21"/>
        </w:rPr>
        <w:t>厂界外1</w:t>
      </w:r>
      <w:r>
        <w:rPr>
          <w:rFonts w:hint="eastAsia" w:ascii="Arial" w:hAnsi="Arial" w:eastAsia="宋体" w:cs="Arial"/>
          <w:spacing w:val="10"/>
          <w:kern w:val="0"/>
          <w:sz w:val="24"/>
          <w:szCs w:val="21"/>
        </w:rPr>
        <w:t>千米</w:t>
      </w:r>
      <w:r>
        <w:rPr>
          <w:rFonts w:ascii="Arial" w:hAnsi="Arial" w:eastAsia="宋体" w:cs="Arial"/>
          <w:spacing w:val="10"/>
          <w:kern w:val="0"/>
          <w:sz w:val="24"/>
          <w:szCs w:val="21"/>
        </w:rPr>
        <w:t>的耕地、学校、居民区，其中的学校、居民区详见表1-</w:t>
      </w:r>
      <w:r>
        <w:rPr>
          <w:rFonts w:hint="eastAsia" w:ascii="Arial" w:hAnsi="Arial" w:eastAsia="宋体" w:cs="Arial"/>
          <w:spacing w:val="10"/>
          <w:kern w:val="0"/>
          <w:sz w:val="24"/>
          <w:szCs w:val="21"/>
        </w:rPr>
        <w:t>30</w:t>
      </w:r>
      <w:r>
        <w:rPr>
          <w:rFonts w:ascii="Arial" w:hAnsi="Arial" w:eastAsia="宋体" w:cs="Arial"/>
          <w:spacing w:val="10"/>
          <w:kern w:val="0"/>
          <w:sz w:val="24"/>
          <w:szCs w:val="21"/>
        </w:rPr>
        <w:t>。</w:t>
      </w:r>
    </w:p>
    <w:p w14:paraId="3C135994">
      <w:pPr>
        <w:keepNext/>
        <w:keepLines/>
        <w:numPr>
          <w:ilvl w:val="0"/>
          <w:numId w:val="2"/>
        </w:numPr>
        <w:tabs>
          <w:tab w:val="left" w:pos="567"/>
        </w:tabs>
        <w:spacing w:before="210" w:after="210" w:line="500" w:lineRule="exact"/>
        <w:outlineLvl w:val="1"/>
        <w:rPr>
          <w:rFonts w:ascii="Arial" w:hAnsi="Arial" w:eastAsia="宋体" w:cs="Arial"/>
          <w:b/>
        </w:rPr>
      </w:pPr>
      <w:bookmarkStart w:id="240" w:name="_Toc185950210"/>
      <w:bookmarkStart w:id="241" w:name="_Toc182491373"/>
      <w:bookmarkStart w:id="242" w:name="_Toc166675354"/>
      <w:bookmarkStart w:id="243" w:name="_Toc154599057"/>
      <w:r>
        <w:rPr>
          <w:rFonts w:ascii="Arial" w:hAnsi="Arial" w:eastAsia="宋体" w:cs="Arial"/>
          <w:b/>
        </w:rPr>
        <w:t>相关规划</w:t>
      </w:r>
      <w:bookmarkEnd w:id="240"/>
      <w:bookmarkEnd w:id="241"/>
      <w:bookmarkEnd w:id="242"/>
      <w:bookmarkEnd w:id="243"/>
    </w:p>
    <w:p w14:paraId="4D604DD8">
      <w:pPr>
        <w:keepNext/>
        <w:keepLines/>
        <w:numPr>
          <w:ilvl w:val="0"/>
          <w:numId w:val="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与《钦州港大榄坪物流加工区总体规划修编（2022-2035）》符合性分析</w:t>
      </w:r>
    </w:p>
    <w:p w14:paraId="02973176">
      <w:pPr>
        <w:pStyle w:val="5"/>
        <w:spacing w:line="500" w:lineRule="exact"/>
        <w:ind w:firstLine="0"/>
        <w:outlineLvl w:val="3"/>
        <w:rPr>
          <w:b/>
          <w:szCs w:val="24"/>
        </w:rPr>
      </w:pPr>
      <w:r>
        <w:rPr>
          <w:b/>
          <w:szCs w:val="24"/>
        </w:rPr>
        <w:t>1.5.</w:t>
      </w:r>
      <w:r>
        <w:rPr>
          <w:rFonts w:hint="eastAsia"/>
          <w:b/>
          <w:szCs w:val="24"/>
        </w:rPr>
        <w:t>1</w:t>
      </w:r>
      <w:r>
        <w:rPr>
          <w:b/>
          <w:szCs w:val="24"/>
        </w:rPr>
        <w:t>.1规划概况</w:t>
      </w:r>
    </w:p>
    <w:p w14:paraId="7D51351C">
      <w:pPr>
        <w:pStyle w:val="5"/>
        <w:spacing w:line="500" w:lineRule="exact"/>
        <w:ind w:firstLine="475" w:firstLineChars="194"/>
        <w:rPr>
          <w:szCs w:val="24"/>
        </w:rPr>
      </w:pPr>
      <w:r>
        <w:rPr>
          <w:szCs w:val="24"/>
        </w:rPr>
        <w:t>1、规划范围及时间</w:t>
      </w:r>
    </w:p>
    <w:p w14:paraId="2F6F6AB0">
      <w:pPr>
        <w:pStyle w:val="5"/>
        <w:spacing w:line="500" w:lineRule="exact"/>
        <w:ind w:firstLine="475" w:firstLineChars="194"/>
        <w:rPr>
          <w:szCs w:val="24"/>
        </w:rPr>
      </w:pPr>
      <w:r>
        <w:rPr>
          <w:szCs w:val="24"/>
        </w:rPr>
        <w:t>规划区东侧为鹿耳环江及三娘湾旅游景区，西侧为大榄坪作业区和钦州港保税港区，南侧为钦州港保税港区和大环作业区，北侧为钦州港行政商务中心。总规划面积约18.76平方公里（1875.98公顷）。</w:t>
      </w:r>
    </w:p>
    <w:p w14:paraId="605CA18D">
      <w:pPr>
        <w:pStyle w:val="5"/>
        <w:spacing w:line="500" w:lineRule="exact"/>
        <w:ind w:firstLine="475" w:firstLineChars="194"/>
        <w:rPr>
          <w:szCs w:val="24"/>
        </w:rPr>
      </w:pPr>
      <w:r>
        <w:rPr>
          <w:szCs w:val="24"/>
        </w:rPr>
        <w:t>具体规划范围如下：</w:t>
      </w:r>
    </w:p>
    <w:p w14:paraId="5CAE803A">
      <w:pPr>
        <w:pStyle w:val="5"/>
        <w:spacing w:line="500" w:lineRule="exact"/>
        <w:ind w:firstLine="475" w:firstLineChars="194"/>
        <w:rPr>
          <w:szCs w:val="24"/>
        </w:rPr>
      </w:pPr>
      <w:r>
        <w:rPr>
          <w:szCs w:val="24"/>
        </w:rPr>
        <w:t>（1）保税港大街北侧规划范围为：东至鹿耳环江，西至二号路，南至保税港大街，北至滨海公路。</w:t>
      </w:r>
    </w:p>
    <w:p w14:paraId="2D7A2164">
      <w:pPr>
        <w:pStyle w:val="5"/>
        <w:spacing w:line="500" w:lineRule="exact"/>
        <w:ind w:firstLine="475" w:firstLineChars="194"/>
        <w:rPr>
          <w:szCs w:val="24"/>
        </w:rPr>
      </w:pPr>
      <w:r>
        <w:rPr>
          <w:szCs w:val="24"/>
        </w:rPr>
        <w:t>（2）保税港大街南侧规划范围为：东至三墩公路，西至综合保税区东边界道路，南至三墩公路和陆海大道交界处，北至保税港大街。</w:t>
      </w:r>
    </w:p>
    <w:p w14:paraId="415FB785">
      <w:pPr>
        <w:pStyle w:val="5"/>
        <w:spacing w:line="500" w:lineRule="exact"/>
        <w:ind w:firstLine="475" w:firstLineChars="194"/>
        <w:rPr>
          <w:szCs w:val="24"/>
        </w:rPr>
      </w:pPr>
      <w:r>
        <w:rPr>
          <w:szCs w:val="24"/>
        </w:rPr>
        <w:t>规划期限为：近期：2025年；远期：2035年。</w:t>
      </w:r>
    </w:p>
    <w:p w14:paraId="10103A04">
      <w:pPr>
        <w:pStyle w:val="5"/>
        <w:spacing w:line="500" w:lineRule="exact"/>
        <w:ind w:firstLine="475" w:firstLineChars="194"/>
        <w:rPr>
          <w:szCs w:val="24"/>
        </w:rPr>
      </w:pPr>
      <w:r>
        <w:rPr>
          <w:szCs w:val="24"/>
        </w:rPr>
        <w:t>2、产业发展</w:t>
      </w:r>
    </w:p>
    <w:p w14:paraId="598E76FB">
      <w:pPr>
        <w:pStyle w:val="5"/>
        <w:spacing w:line="500" w:lineRule="exact"/>
        <w:ind w:firstLine="475" w:firstLineChars="194"/>
        <w:rPr>
          <w:szCs w:val="24"/>
        </w:rPr>
      </w:pPr>
      <w:r>
        <w:rPr>
          <w:szCs w:val="24"/>
        </w:rPr>
        <w:t>（1）产业规划</w:t>
      </w:r>
    </w:p>
    <w:p w14:paraId="4977589E">
      <w:pPr>
        <w:pStyle w:val="5"/>
        <w:spacing w:line="500" w:lineRule="exact"/>
        <w:ind w:firstLine="475" w:firstLineChars="194"/>
        <w:rPr>
          <w:szCs w:val="24"/>
        </w:rPr>
      </w:pPr>
      <w:r>
        <w:rPr>
          <w:szCs w:val="24"/>
        </w:rPr>
        <w:t>加工区依托“临港”交通区位优势，推动港产城融合，以临港汽车、装备产业加工及新能源材料制造等为主导产业。</w:t>
      </w:r>
    </w:p>
    <w:p w14:paraId="028F92A6">
      <w:pPr>
        <w:pStyle w:val="5"/>
        <w:spacing w:line="500" w:lineRule="exact"/>
        <w:ind w:firstLine="475" w:firstLineChars="194"/>
        <w:rPr>
          <w:szCs w:val="24"/>
        </w:rPr>
      </w:pPr>
      <w:r>
        <w:rPr>
          <w:rFonts w:hint="eastAsia" w:ascii="宋体" w:hAnsi="宋体" w:cs="宋体"/>
          <w:szCs w:val="24"/>
        </w:rPr>
        <w:t>①</w:t>
      </w:r>
      <w:r>
        <w:rPr>
          <w:szCs w:val="24"/>
        </w:rPr>
        <w:t>汽车产业</w:t>
      </w:r>
    </w:p>
    <w:p w14:paraId="58F99756">
      <w:pPr>
        <w:pStyle w:val="5"/>
        <w:spacing w:line="500" w:lineRule="exact"/>
        <w:ind w:firstLine="475" w:firstLineChars="194"/>
        <w:rPr>
          <w:szCs w:val="24"/>
        </w:rPr>
      </w:pPr>
      <w:r>
        <w:rPr>
          <w:szCs w:val="24"/>
        </w:rPr>
        <w:t>加工区围绕吸引整车组装厂为核心构建针对满足需求的汽车制造产业基础，打造面向东盟的新能源汽车整车制造、零部件、充电设施为一体的产业集群。</w:t>
      </w:r>
    </w:p>
    <w:p w14:paraId="7A2F9E73">
      <w:pPr>
        <w:pStyle w:val="5"/>
        <w:spacing w:line="500" w:lineRule="exact"/>
        <w:ind w:firstLine="475" w:firstLineChars="194"/>
        <w:rPr>
          <w:szCs w:val="24"/>
        </w:rPr>
      </w:pPr>
      <w:r>
        <w:rPr>
          <w:rFonts w:hint="eastAsia" w:ascii="宋体" w:hAnsi="宋体" w:cs="宋体"/>
          <w:szCs w:val="24"/>
        </w:rPr>
        <w:t>②</w:t>
      </w:r>
      <w:r>
        <w:rPr>
          <w:szCs w:val="24"/>
        </w:rPr>
        <w:t>装备加工产业</w:t>
      </w:r>
    </w:p>
    <w:p w14:paraId="0FDE9B50">
      <w:pPr>
        <w:pStyle w:val="5"/>
        <w:spacing w:line="500" w:lineRule="exact"/>
        <w:ind w:firstLine="475" w:firstLineChars="194"/>
        <w:rPr>
          <w:szCs w:val="24"/>
        </w:rPr>
      </w:pPr>
      <w:r>
        <w:rPr>
          <w:szCs w:val="24"/>
        </w:rPr>
        <w:t>本次规划装备制造业涉及通用设备制造、专用设备制造、电气机械和器材制造三大门类。主要选择通用零部件、农用机械、建筑与工程机械、电力设备等门类作为发展方向。</w:t>
      </w:r>
    </w:p>
    <w:p w14:paraId="69F91783">
      <w:pPr>
        <w:pStyle w:val="5"/>
        <w:spacing w:line="500" w:lineRule="exact"/>
        <w:ind w:firstLine="475" w:firstLineChars="194"/>
        <w:rPr>
          <w:szCs w:val="24"/>
        </w:rPr>
      </w:pPr>
      <w:r>
        <w:rPr>
          <w:rFonts w:hint="eastAsia" w:ascii="宋体" w:hAnsi="宋体" w:cs="宋体"/>
          <w:szCs w:val="24"/>
        </w:rPr>
        <w:t>③</w:t>
      </w:r>
      <w:r>
        <w:rPr>
          <w:szCs w:val="24"/>
        </w:rPr>
        <w:t>新能源材料产业</w:t>
      </w:r>
    </w:p>
    <w:p w14:paraId="1407F96C">
      <w:pPr>
        <w:pStyle w:val="5"/>
        <w:spacing w:line="500" w:lineRule="exact"/>
        <w:ind w:firstLine="475" w:firstLineChars="194"/>
        <w:rPr>
          <w:szCs w:val="24"/>
        </w:rPr>
      </w:pPr>
      <w:r>
        <w:rPr>
          <w:szCs w:val="24"/>
        </w:rPr>
        <w:t>新能源材料产业涉及有色金属冶炼（镍钴冶炼）、电子元件及专用材料制造等，主要选择金属镍溶解处置线和金属钴溶解、高冰镍、硫酸镍、硫酸钴、三元前驱体生产、电解镍生产等作为发展方向。</w:t>
      </w:r>
    </w:p>
    <w:p w14:paraId="10F86F3E">
      <w:pPr>
        <w:pStyle w:val="5"/>
        <w:spacing w:line="500" w:lineRule="exact"/>
        <w:ind w:firstLine="475" w:firstLineChars="194"/>
        <w:rPr>
          <w:szCs w:val="24"/>
        </w:rPr>
      </w:pPr>
      <w:r>
        <w:rPr>
          <w:rFonts w:hint="eastAsia" w:ascii="宋体" w:hAnsi="宋体" w:cs="宋体"/>
          <w:szCs w:val="24"/>
        </w:rPr>
        <w:t>④</w:t>
      </w:r>
      <w:r>
        <w:rPr>
          <w:szCs w:val="24"/>
        </w:rPr>
        <w:t>物流产业</w:t>
      </w:r>
    </w:p>
    <w:p w14:paraId="25D04A2F">
      <w:pPr>
        <w:pStyle w:val="5"/>
        <w:spacing w:line="500" w:lineRule="exact"/>
        <w:ind w:firstLine="475" w:firstLineChars="194"/>
        <w:rPr>
          <w:szCs w:val="24"/>
        </w:rPr>
      </w:pPr>
      <w:r>
        <w:rPr>
          <w:szCs w:val="24"/>
        </w:rPr>
        <w:t>依托深水港口、保税港区政策，建立以国际物流为主导，商务服务相配套的现代港口物流产业体系。重点发展集装箱堆存、拆拼、转运、综合处理等系列服务；根据港口发展适度发展其他件杂货种的仓储业务。</w:t>
      </w:r>
    </w:p>
    <w:p w14:paraId="42BAAA71">
      <w:pPr>
        <w:pStyle w:val="5"/>
        <w:spacing w:line="500" w:lineRule="exact"/>
        <w:ind w:firstLine="475" w:firstLineChars="194"/>
        <w:rPr>
          <w:szCs w:val="24"/>
        </w:rPr>
      </w:pPr>
      <w:r>
        <w:rPr>
          <w:szCs w:val="24"/>
        </w:rPr>
        <w:t>（2）产业布局</w:t>
      </w:r>
    </w:p>
    <w:p w14:paraId="0E2981D4">
      <w:pPr>
        <w:pStyle w:val="5"/>
        <w:spacing w:line="500" w:lineRule="exact"/>
        <w:ind w:firstLine="475" w:firstLineChars="194"/>
        <w:rPr>
          <w:szCs w:val="24"/>
        </w:rPr>
      </w:pPr>
      <w:r>
        <w:rPr>
          <w:szCs w:val="24"/>
        </w:rPr>
        <w:t>本规划将产业空间布局划分为4个类别组团。</w:t>
      </w:r>
    </w:p>
    <w:p w14:paraId="69664E25">
      <w:pPr>
        <w:pStyle w:val="5"/>
        <w:spacing w:line="500" w:lineRule="exact"/>
        <w:ind w:firstLine="475" w:firstLineChars="194"/>
        <w:rPr>
          <w:szCs w:val="24"/>
        </w:rPr>
      </w:pPr>
      <w:r>
        <w:rPr>
          <w:rFonts w:hint="eastAsia" w:ascii="宋体" w:hAnsi="宋体" w:cs="宋体"/>
          <w:szCs w:val="24"/>
        </w:rPr>
        <w:t>①</w:t>
      </w:r>
      <w:r>
        <w:rPr>
          <w:szCs w:val="24"/>
        </w:rPr>
        <w:t>汽车产业：新能源汽车整车制造、零部件、充电设施等。</w:t>
      </w:r>
    </w:p>
    <w:p w14:paraId="14D0E11F">
      <w:pPr>
        <w:pStyle w:val="5"/>
        <w:spacing w:line="500" w:lineRule="exact"/>
        <w:ind w:firstLine="475" w:firstLineChars="194"/>
        <w:rPr>
          <w:szCs w:val="24"/>
        </w:rPr>
      </w:pPr>
      <w:r>
        <w:rPr>
          <w:rFonts w:hint="eastAsia" w:ascii="宋体" w:hAnsi="宋体" w:cs="宋体"/>
          <w:szCs w:val="24"/>
        </w:rPr>
        <w:t>②</w:t>
      </w:r>
      <w:r>
        <w:rPr>
          <w:szCs w:val="24"/>
        </w:rPr>
        <w:t>装备加工产业：以通用零部件、农用机械、建筑与工程机械、电力设备等为主导。</w:t>
      </w:r>
    </w:p>
    <w:p w14:paraId="2C592985">
      <w:pPr>
        <w:pStyle w:val="5"/>
        <w:spacing w:line="500" w:lineRule="exact"/>
        <w:ind w:firstLine="475" w:firstLineChars="194"/>
        <w:rPr>
          <w:szCs w:val="24"/>
        </w:rPr>
      </w:pPr>
      <w:r>
        <w:rPr>
          <w:rFonts w:hint="eastAsia" w:ascii="宋体" w:hAnsi="宋体" w:cs="宋体"/>
          <w:szCs w:val="24"/>
        </w:rPr>
        <w:t>③</w:t>
      </w:r>
      <w:r>
        <w:rPr>
          <w:szCs w:val="24"/>
        </w:rPr>
        <w:t>新能源材料产业：金属镍溶解处置线和金属钴溶解、高冰镍、硫酸镍、硫酸钴、三元前驱体生产、电解镍生产等。</w:t>
      </w:r>
    </w:p>
    <w:p w14:paraId="739AA330">
      <w:pPr>
        <w:pStyle w:val="5"/>
        <w:spacing w:line="500" w:lineRule="exact"/>
        <w:ind w:firstLine="475" w:firstLineChars="194"/>
        <w:rPr>
          <w:szCs w:val="24"/>
        </w:rPr>
      </w:pPr>
      <w:r>
        <w:rPr>
          <w:rFonts w:hint="eastAsia" w:ascii="宋体" w:hAnsi="宋体" w:cs="宋体"/>
          <w:szCs w:val="24"/>
        </w:rPr>
        <w:t>④</w:t>
      </w:r>
      <w:r>
        <w:rPr>
          <w:szCs w:val="24"/>
        </w:rPr>
        <w:t>现代物流产业区：物流项目。</w:t>
      </w:r>
    </w:p>
    <w:p w14:paraId="0E735A68">
      <w:pPr>
        <w:pStyle w:val="5"/>
        <w:spacing w:line="500" w:lineRule="exact"/>
        <w:ind w:firstLine="0"/>
        <w:outlineLvl w:val="3"/>
        <w:rPr>
          <w:b/>
          <w:szCs w:val="24"/>
        </w:rPr>
      </w:pPr>
      <w:r>
        <w:rPr>
          <w:b/>
          <w:szCs w:val="24"/>
        </w:rPr>
        <w:t>1.5.</w:t>
      </w:r>
      <w:r>
        <w:rPr>
          <w:rFonts w:hint="eastAsia"/>
          <w:b/>
          <w:szCs w:val="24"/>
        </w:rPr>
        <w:t>1</w:t>
      </w:r>
      <w:r>
        <w:rPr>
          <w:b/>
          <w:szCs w:val="24"/>
        </w:rPr>
        <w:t>.2与规划符合性分析</w:t>
      </w:r>
    </w:p>
    <w:p w14:paraId="7A6005E5">
      <w:pPr>
        <w:pStyle w:val="5"/>
        <w:spacing w:line="500" w:lineRule="exact"/>
        <w:ind w:firstLine="475" w:firstLineChars="194"/>
        <w:rPr>
          <w:szCs w:val="24"/>
        </w:rPr>
      </w:pPr>
      <w:r>
        <w:rPr>
          <w:rFonts w:hint="eastAsia"/>
          <w:szCs w:val="24"/>
        </w:rPr>
        <w:t>变更后</w:t>
      </w:r>
      <w:r>
        <w:rPr>
          <w:szCs w:val="24"/>
        </w:rPr>
        <w:t>项目</w:t>
      </w:r>
      <w:r>
        <w:rPr>
          <w:rFonts w:hint="eastAsia"/>
          <w:szCs w:val="24"/>
        </w:rPr>
        <w:t>以硫酸钴晶体、液碱、氨水及双氧水为原辅料生产羟基钴，羟基钴属于钴酸锂类电池的原料之一</w:t>
      </w:r>
      <w:r>
        <w:rPr>
          <w:szCs w:val="24"/>
        </w:rPr>
        <w:t>。因此，</w:t>
      </w:r>
      <w:r>
        <w:rPr>
          <w:rFonts w:hint="eastAsia"/>
          <w:szCs w:val="24"/>
        </w:rPr>
        <w:t>变更后</w:t>
      </w:r>
      <w:r>
        <w:rPr>
          <w:szCs w:val="24"/>
        </w:rPr>
        <w:t>项目属于“新能源材料产业”，项目的建设符合《钦州港大榄坪物流加工区总体规划修编（2022-2035）》</w:t>
      </w:r>
      <w:r>
        <w:rPr>
          <w:rFonts w:hint="eastAsia"/>
          <w:szCs w:val="24"/>
        </w:rPr>
        <w:t>的产业发展及产业布局</w:t>
      </w:r>
      <w:r>
        <w:rPr>
          <w:szCs w:val="24"/>
        </w:rPr>
        <w:t>。</w:t>
      </w:r>
    </w:p>
    <w:p w14:paraId="50CF1249">
      <w:pPr>
        <w:keepNext/>
        <w:keepLines/>
        <w:numPr>
          <w:ilvl w:val="0"/>
          <w:numId w:val="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与《钦州港大榄坪物流加工区总体规划修编（2022-2035）环境影响报告书》及其审查意见符合性分析</w:t>
      </w:r>
    </w:p>
    <w:p w14:paraId="32FD4A2B">
      <w:pPr>
        <w:pStyle w:val="5"/>
        <w:spacing w:line="500" w:lineRule="exact"/>
        <w:ind w:firstLine="0"/>
        <w:outlineLvl w:val="3"/>
        <w:rPr>
          <w:b/>
          <w:szCs w:val="24"/>
        </w:rPr>
      </w:pPr>
      <w:r>
        <w:rPr>
          <w:b/>
          <w:szCs w:val="24"/>
        </w:rPr>
        <w:t>1.5.</w:t>
      </w:r>
      <w:r>
        <w:rPr>
          <w:rFonts w:hint="eastAsia"/>
          <w:b/>
          <w:szCs w:val="24"/>
        </w:rPr>
        <w:t>2</w:t>
      </w:r>
      <w:r>
        <w:rPr>
          <w:b/>
          <w:szCs w:val="24"/>
        </w:rPr>
        <w:t>.1规划环评相关要求及符合性分析</w:t>
      </w:r>
    </w:p>
    <w:p w14:paraId="3A1330AF">
      <w:pPr>
        <w:pStyle w:val="5"/>
        <w:spacing w:line="500" w:lineRule="exact"/>
        <w:ind w:firstLine="475" w:firstLineChars="194"/>
        <w:rPr>
          <w:szCs w:val="24"/>
        </w:rPr>
      </w:pPr>
      <w:r>
        <w:rPr>
          <w:szCs w:val="24"/>
        </w:rPr>
        <w:t>1、环境准入</w:t>
      </w:r>
    </w:p>
    <w:p w14:paraId="0D3F73FB">
      <w:pPr>
        <w:pStyle w:val="5"/>
        <w:spacing w:line="500" w:lineRule="exact"/>
        <w:ind w:firstLine="475" w:firstLineChars="194"/>
        <w:rPr>
          <w:szCs w:val="24"/>
        </w:rPr>
      </w:pPr>
      <w:r>
        <w:rPr>
          <w:szCs w:val="24"/>
        </w:rPr>
        <w:t>（1）保护区域环境准入要求（见表1-3</w:t>
      </w:r>
      <w:r>
        <w:rPr>
          <w:rFonts w:hint="eastAsia"/>
          <w:szCs w:val="24"/>
        </w:rPr>
        <w:t>2</w:t>
      </w:r>
      <w:r>
        <w:rPr>
          <w:szCs w:val="24"/>
        </w:rPr>
        <w:t>）</w:t>
      </w:r>
    </w:p>
    <w:p w14:paraId="565125D2">
      <w:pPr>
        <w:pStyle w:val="5"/>
        <w:spacing w:line="500" w:lineRule="exact"/>
        <w:ind w:firstLine="475" w:firstLineChars="194"/>
        <w:rPr>
          <w:szCs w:val="24"/>
        </w:rPr>
      </w:pPr>
      <w:r>
        <w:rPr>
          <w:szCs w:val="24"/>
        </w:rPr>
        <w:t>（2）重点管控区域环境准入要求（见表1-3</w:t>
      </w:r>
      <w:r>
        <w:rPr>
          <w:rFonts w:hint="eastAsia"/>
          <w:szCs w:val="24"/>
        </w:rPr>
        <w:t>3</w:t>
      </w:r>
      <w:r>
        <w:rPr>
          <w:szCs w:val="24"/>
        </w:rPr>
        <w:t>、表1-3</w:t>
      </w:r>
      <w:r>
        <w:rPr>
          <w:rFonts w:hint="eastAsia"/>
          <w:szCs w:val="24"/>
        </w:rPr>
        <w:t>4</w:t>
      </w:r>
      <w:r>
        <w:rPr>
          <w:szCs w:val="24"/>
        </w:rPr>
        <w:t>）</w:t>
      </w:r>
    </w:p>
    <w:p w14:paraId="0224C7A1">
      <w:pPr>
        <w:pStyle w:val="5"/>
        <w:spacing w:line="500" w:lineRule="exact"/>
        <w:ind w:firstLine="475" w:firstLineChars="194"/>
        <w:rPr>
          <w:szCs w:val="24"/>
        </w:rPr>
      </w:pPr>
      <w:r>
        <w:rPr>
          <w:szCs w:val="24"/>
        </w:rPr>
        <w:t>2、环境管理对策</w:t>
      </w:r>
    </w:p>
    <w:p w14:paraId="580B12E6">
      <w:pPr>
        <w:pStyle w:val="5"/>
        <w:spacing w:line="500" w:lineRule="exact"/>
        <w:ind w:firstLine="475" w:firstLineChars="194"/>
        <w:rPr>
          <w:szCs w:val="24"/>
          <w:highlight w:val="yellow"/>
        </w:rPr>
      </w:pPr>
      <w:r>
        <w:rPr>
          <w:szCs w:val="24"/>
        </w:rPr>
        <w:t>根据表1-3</w:t>
      </w:r>
      <w:r>
        <w:rPr>
          <w:rFonts w:hint="eastAsia"/>
          <w:szCs w:val="24"/>
        </w:rPr>
        <w:t>2</w:t>
      </w:r>
      <w:r>
        <w:rPr>
          <w:szCs w:val="24"/>
        </w:rPr>
        <w:t>~表1-</w:t>
      </w:r>
      <w:r>
        <w:rPr>
          <w:rFonts w:hint="eastAsia"/>
          <w:szCs w:val="24"/>
        </w:rPr>
        <w:t>34</w:t>
      </w:r>
      <w:r>
        <w:rPr>
          <w:szCs w:val="24"/>
        </w:rPr>
        <w:t>，项目符合规划环评相关要求。</w:t>
      </w:r>
    </w:p>
    <w:p w14:paraId="18DFB845">
      <w:pPr>
        <w:pStyle w:val="5"/>
        <w:spacing w:line="500" w:lineRule="exact"/>
        <w:ind w:firstLine="475" w:firstLineChars="194"/>
        <w:rPr>
          <w:szCs w:val="24"/>
          <w:highlight w:val="yellow"/>
        </w:rPr>
        <w:sectPr>
          <w:headerReference r:id="rId13" w:type="default"/>
          <w:footerReference r:id="rId14" w:type="default"/>
          <w:pgSz w:w="11907" w:h="16840"/>
          <w:pgMar w:top="1678" w:right="1408" w:bottom="1901" w:left="1155" w:header="1174" w:footer="1029" w:gutter="567"/>
          <w:pgNumType w:start="1"/>
          <w:cols w:space="720" w:num="1"/>
          <w:docGrid w:type="linesAndChars" w:linePitch="421" w:charSpace="-3161"/>
        </w:sectPr>
      </w:pPr>
    </w:p>
    <w:p w14:paraId="3F6CB66A">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保护区域环境准入要求符合性分析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7656"/>
        <w:gridCol w:w="5006"/>
      </w:tblGrid>
      <w:tr w14:paraId="433A2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303" w:type="pct"/>
            <w:tcBorders>
              <w:top w:val="single" w:color="auto" w:sz="4" w:space="0"/>
              <w:left w:val="single" w:color="auto" w:sz="4" w:space="0"/>
              <w:bottom w:val="single" w:color="auto" w:sz="4" w:space="0"/>
              <w:right w:val="single" w:color="auto" w:sz="4" w:space="0"/>
            </w:tcBorders>
            <w:vAlign w:val="center"/>
          </w:tcPr>
          <w:p w14:paraId="489ED613">
            <w:pPr>
              <w:adjustRightInd w:val="0"/>
              <w:snapToGrid w:val="0"/>
              <w:jc w:val="center"/>
              <w:rPr>
                <w:rFonts w:ascii="Arial" w:hAnsi="Arial" w:eastAsia="宋体" w:cs="Arial"/>
                <w:szCs w:val="21"/>
              </w:rPr>
            </w:pPr>
            <w:r>
              <w:rPr>
                <w:rFonts w:ascii="Arial" w:hAnsi="Arial" w:eastAsia="宋体" w:cs="Arial"/>
                <w:sz w:val="21"/>
                <w:szCs w:val="21"/>
              </w:rPr>
              <w:t>序号</w:t>
            </w:r>
          </w:p>
        </w:tc>
        <w:tc>
          <w:tcPr>
            <w:tcW w:w="2840" w:type="pct"/>
            <w:tcBorders>
              <w:top w:val="single" w:color="auto" w:sz="4" w:space="0"/>
              <w:left w:val="single" w:color="auto" w:sz="4" w:space="0"/>
              <w:bottom w:val="single" w:color="auto" w:sz="4" w:space="0"/>
              <w:right w:val="single" w:color="auto" w:sz="4" w:space="0"/>
            </w:tcBorders>
            <w:vAlign w:val="center"/>
          </w:tcPr>
          <w:p w14:paraId="10878161">
            <w:pPr>
              <w:adjustRightInd w:val="0"/>
              <w:snapToGrid w:val="0"/>
              <w:jc w:val="center"/>
              <w:rPr>
                <w:rFonts w:ascii="Arial" w:hAnsi="Arial" w:eastAsia="宋体" w:cs="Arial"/>
                <w:szCs w:val="21"/>
              </w:rPr>
            </w:pPr>
            <w:r>
              <w:rPr>
                <w:rFonts w:ascii="Arial" w:hAnsi="Arial" w:eastAsia="宋体" w:cs="Arial"/>
                <w:sz w:val="21"/>
                <w:szCs w:val="21"/>
              </w:rPr>
              <w:t>内容</w:t>
            </w:r>
          </w:p>
        </w:tc>
        <w:tc>
          <w:tcPr>
            <w:tcW w:w="1857" w:type="pct"/>
            <w:tcBorders>
              <w:top w:val="single" w:color="auto" w:sz="4" w:space="0"/>
              <w:left w:val="single" w:color="auto" w:sz="4" w:space="0"/>
              <w:bottom w:val="single" w:color="auto" w:sz="4" w:space="0"/>
              <w:right w:val="single" w:color="auto" w:sz="4" w:space="0"/>
            </w:tcBorders>
            <w:vAlign w:val="center"/>
          </w:tcPr>
          <w:p w14:paraId="397B1DFC">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14:paraId="0B5C0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03" w:type="pct"/>
            <w:tcBorders>
              <w:top w:val="single" w:color="auto" w:sz="4" w:space="0"/>
              <w:left w:val="single" w:color="auto" w:sz="4" w:space="0"/>
              <w:bottom w:val="single" w:color="auto" w:sz="4" w:space="0"/>
              <w:right w:val="single" w:color="auto" w:sz="4" w:space="0"/>
            </w:tcBorders>
            <w:vAlign w:val="center"/>
          </w:tcPr>
          <w:p w14:paraId="29AE6C54">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2840" w:type="pct"/>
            <w:tcBorders>
              <w:top w:val="single" w:color="auto" w:sz="4" w:space="0"/>
              <w:left w:val="single" w:color="auto" w:sz="4" w:space="0"/>
              <w:bottom w:val="single" w:color="auto" w:sz="4" w:space="0"/>
              <w:right w:val="single" w:color="auto" w:sz="4" w:space="0"/>
            </w:tcBorders>
            <w:vAlign w:val="center"/>
          </w:tcPr>
          <w:p w14:paraId="237E8FBC">
            <w:pPr>
              <w:adjustRightInd w:val="0"/>
              <w:snapToGrid w:val="0"/>
              <w:jc w:val="left"/>
              <w:rPr>
                <w:rFonts w:ascii="Arial" w:hAnsi="Arial" w:eastAsia="宋体" w:cs="Arial"/>
                <w:sz w:val="21"/>
                <w:szCs w:val="21"/>
              </w:rPr>
            </w:pPr>
            <w:r>
              <w:rPr>
                <w:rFonts w:ascii="Arial" w:hAnsi="Arial" w:eastAsia="宋体" w:cs="Arial"/>
                <w:sz w:val="21"/>
                <w:szCs w:val="21"/>
              </w:rPr>
              <w:t>禁止建设工业污染类项目，地块建设内容应符合相应规划。加工区在引进对环境影响较大的项目时，应当尽可能布局在远离生态红线的开发用地上，确保生态保护钦州港大榄坪物流加工区总体规划修编（2022-2035）环境影响报告书红线内的敏感区域环境质量不下降。</w:t>
            </w:r>
          </w:p>
        </w:tc>
        <w:tc>
          <w:tcPr>
            <w:tcW w:w="1857" w:type="pct"/>
            <w:vMerge w:val="restart"/>
            <w:tcBorders>
              <w:top w:val="single" w:color="auto" w:sz="4" w:space="0"/>
              <w:left w:val="single" w:color="auto" w:sz="4" w:space="0"/>
              <w:bottom w:val="single" w:color="auto" w:sz="4" w:space="0"/>
              <w:right w:val="single" w:color="auto" w:sz="4" w:space="0"/>
            </w:tcBorders>
            <w:vAlign w:val="center"/>
          </w:tcPr>
          <w:p w14:paraId="495CE222">
            <w:pPr>
              <w:adjustRightInd w:val="0"/>
              <w:snapToGrid w:val="0"/>
              <w:jc w:val="left"/>
              <w:rPr>
                <w:rFonts w:ascii="Arial" w:hAnsi="Arial" w:eastAsia="宋体" w:cs="Arial"/>
                <w:sz w:val="21"/>
                <w:szCs w:val="21"/>
              </w:rPr>
            </w:pPr>
            <w:r>
              <w:rPr>
                <w:rFonts w:ascii="Arial" w:hAnsi="Arial" w:eastAsia="宋体" w:cs="Arial"/>
                <w:sz w:val="21"/>
                <w:szCs w:val="21"/>
              </w:rPr>
              <w:t>项目在企业现有厂区工业用地内建设，不在保护区域内。</w:t>
            </w:r>
          </w:p>
        </w:tc>
      </w:tr>
      <w:tr w14:paraId="758C1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03" w:type="pct"/>
            <w:tcBorders>
              <w:top w:val="single" w:color="auto" w:sz="4" w:space="0"/>
              <w:left w:val="single" w:color="auto" w:sz="4" w:space="0"/>
              <w:bottom w:val="single" w:color="auto" w:sz="4" w:space="0"/>
              <w:right w:val="single" w:color="auto" w:sz="4" w:space="0"/>
            </w:tcBorders>
            <w:vAlign w:val="center"/>
          </w:tcPr>
          <w:p w14:paraId="656F03EB">
            <w:pPr>
              <w:adjustRightInd w:val="0"/>
              <w:snapToGrid w:val="0"/>
              <w:jc w:val="center"/>
              <w:rPr>
                <w:rFonts w:ascii="Arial" w:hAnsi="Arial" w:eastAsia="宋体" w:cs="Arial"/>
                <w:sz w:val="21"/>
                <w:szCs w:val="21"/>
              </w:rPr>
            </w:pPr>
            <w:r>
              <w:rPr>
                <w:rFonts w:ascii="Arial" w:hAnsi="Arial" w:eastAsia="宋体" w:cs="Arial"/>
                <w:sz w:val="21"/>
                <w:szCs w:val="21"/>
              </w:rPr>
              <w:t>2</w:t>
            </w:r>
          </w:p>
        </w:tc>
        <w:tc>
          <w:tcPr>
            <w:tcW w:w="2840" w:type="pct"/>
            <w:tcBorders>
              <w:top w:val="single" w:color="auto" w:sz="4" w:space="0"/>
              <w:left w:val="single" w:color="auto" w:sz="4" w:space="0"/>
              <w:bottom w:val="single" w:color="auto" w:sz="4" w:space="0"/>
              <w:right w:val="single" w:color="auto" w:sz="4" w:space="0"/>
            </w:tcBorders>
            <w:vAlign w:val="center"/>
          </w:tcPr>
          <w:p w14:paraId="6EF64308">
            <w:pPr>
              <w:adjustRightInd w:val="0"/>
              <w:snapToGrid w:val="0"/>
              <w:jc w:val="left"/>
              <w:rPr>
                <w:rFonts w:ascii="Arial" w:hAnsi="Arial" w:eastAsia="宋体" w:cs="Arial"/>
                <w:sz w:val="21"/>
                <w:szCs w:val="21"/>
              </w:rPr>
            </w:pPr>
            <w:r>
              <w:rPr>
                <w:rFonts w:ascii="Arial" w:hAnsi="Arial" w:eastAsia="宋体" w:cs="Arial"/>
                <w:sz w:val="21"/>
                <w:szCs w:val="21"/>
              </w:rPr>
              <w:t>以保护为主，严格限制区域开发强度，区域内污染物排放总量不得增加。</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87682FD">
            <w:pPr>
              <w:widowControl/>
              <w:jc w:val="left"/>
              <w:rPr>
                <w:rFonts w:ascii="Arial" w:hAnsi="Arial" w:eastAsia="宋体" w:cs="Arial"/>
                <w:sz w:val="21"/>
                <w:szCs w:val="21"/>
              </w:rPr>
            </w:pPr>
          </w:p>
        </w:tc>
      </w:tr>
      <w:tr w14:paraId="7F2E4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03" w:type="pct"/>
            <w:tcBorders>
              <w:top w:val="single" w:color="auto" w:sz="4" w:space="0"/>
              <w:left w:val="single" w:color="auto" w:sz="4" w:space="0"/>
              <w:bottom w:val="single" w:color="auto" w:sz="4" w:space="0"/>
              <w:right w:val="single" w:color="auto" w:sz="4" w:space="0"/>
            </w:tcBorders>
            <w:vAlign w:val="center"/>
          </w:tcPr>
          <w:p w14:paraId="19A05D53">
            <w:pPr>
              <w:adjustRightInd w:val="0"/>
              <w:snapToGrid w:val="0"/>
              <w:jc w:val="center"/>
              <w:rPr>
                <w:rFonts w:ascii="Arial" w:hAnsi="Arial" w:eastAsia="宋体" w:cs="Arial"/>
                <w:sz w:val="21"/>
                <w:szCs w:val="21"/>
              </w:rPr>
            </w:pPr>
            <w:r>
              <w:rPr>
                <w:rFonts w:ascii="Arial" w:hAnsi="Arial" w:eastAsia="宋体" w:cs="Arial"/>
                <w:sz w:val="21"/>
                <w:szCs w:val="21"/>
              </w:rPr>
              <w:t>3</w:t>
            </w:r>
          </w:p>
        </w:tc>
        <w:tc>
          <w:tcPr>
            <w:tcW w:w="2840" w:type="pct"/>
            <w:tcBorders>
              <w:top w:val="single" w:color="auto" w:sz="4" w:space="0"/>
              <w:left w:val="single" w:color="auto" w:sz="4" w:space="0"/>
              <w:bottom w:val="single" w:color="auto" w:sz="4" w:space="0"/>
              <w:right w:val="single" w:color="auto" w:sz="4" w:space="0"/>
            </w:tcBorders>
            <w:vAlign w:val="center"/>
          </w:tcPr>
          <w:p w14:paraId="3828EAD5">
            <w:pPr>
              <w:adjustRightInd w:val="0"/>
              <w:snapToGrid w:val="0"/>
              <w:jc w:val="left"/>
              <w:rPr>
                <w:rFonts w:ascii="Arial" w:hAnsi="Arial" w:eastAsia="宋体" w:cs="Arial"/>
                <w:sz w:val="21"/>
                <w:szCs w:val="21"/>
              </w:rPr>
            </w:pPr>
            <w:r>
              <w:rPr>
                <w:rFonts w:ascii="Arial" w:hAnsi="Arial" w:eastAsia="宋体" w:cs="Arial"/>
                <w:sz w:val="21"/>
                <w:szCs w:val="21"/>
              </w:rPr>
              <w:t>未依法取得相关开发建设手续前，禁止建设。</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4C5B144">
            <w:pPr>
              <w:widowControl/>
              <w:jc w:val="left"/>
              <w:rPr>
                <w:rFonts w:ascii="Arial" w:hAnsi="Arial" w:eastAsia="宋体" w:cs="Arial"/>
                <w:sz w:val="21"/>
                <w:szCs w:val="21"/>
              </w:rPr>
            </w:pPr>
          </w:p>
        </w:tc>
      </w:tr>
    </w:tbl>
    <w:p w14:paraId="2D631DE1">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准入负面清单符合性分析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5246"/>
        <w:gridCol w:w="7133"/>
      </w:tblGrid>
      <w:tr w14:paraId="26590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408" w:type="pct"/>
            <w:tcBorders>
              <w:top w:val="single" w:color="auto" w:sz="4" w:space="0"/>
              <w:left w:val="single" w:color="auto" w:sz="4" w:space="0"/>
              <w:bottom w:val="single" w:color="auto" w:sz="4" w:space="0"/>
              <w:right w:val="single" w:color="auto" w:sz="4" w:space="0"/>
            </w:tcBorders>
            <w:vAlign w:val="center"/>
          </w:tcPr>
          <w:p w14:paraId="4E7E1448">
            <w:pPr>
              <w:adjustRightInd w:val="0"/>
              <w:snapToGrid w:val="0"/>
              <w:jc w:val="center"/>
              <w:rPr>
                <w:rFonts w:ascii="Arial" w:hAnsi="Arial" w:eastAsia="宋体" w:cs="Arial"/>
                <w:szCs w:val="21"/>
              </w:rPr>
            </w:pPr>
            <w:r>
              <w:rPr>
                <w:rFonts w:ascii="Arial" w:hAnsi="Arial" w:eastAsia="宋体" w:cs="Arial"/>
                <w:sz w:val="21"/>
                <w:szCs w:val="21"/>
              </w:rPr>
              <w:t>类型</w:t>
            </w:r>
          </w:p>
        </w:tc>
        <w:tc>
          <w:tcPr>
            <w:tcW w:w="1946" w:type="pct"/>
            <w:tcBorders>
              <w:top w:val="single" w:color="auto" w:sz="4" w:space="0"/>
              <w:left w:val="single" w:color="auto" w:sz="4" w:space="0"/>
              <w:bottom w:val="single" w:color="auto" w:sz="4" w:space="0"/>
              <w:right w:val="single" w:color="auto" w:sz="4" w:space="0"/>
            </w:tcBorders>
            <w:vAlign w:val="center"/>
          </w:tcPr>
          <w:p w14:paraId="55DCFC4D">
            <w:pPr>
              <w:adjustRightInd w:val="0"/>
              <w:snapToGrid w:val="0"/>
              <w:jc w:val="center"/>
              <w:rPr>
                <w:rFonts w:ascii="Arial" w:hAnsi="Arial" w:eastAsia="宋体" w:cs="Arial"/>
                <w:szCs w:val="21"/>
              </w:rPr>
            </w:pPr>
            <w:r>
              <w:rPr>
                <w:rFonts w:ascii="Arial" w:hAnsi="Arial" w:eastAsia="宋体" w:cs="Arial"/>
                <w:sz w:val="21"/>
                <w:szCs w:val="21"/>
              </w:rPr>
              <w:t>内容</w:t>
            </w:r>
          </w:p>
        </w:tc>
        <w:tc>
          <w:tcPr>
            <w:tcW w:w="2646" w:type="pct"/>
            <w:tcBorders>
              <w:top w:val="single" w:color="auto" w:sz="4" w:space="0"/>
              <w:left w:val="single" w:color="auto" w:sz="4" w:space="0"/>
              <w:bottom w:val="single" w:color="auto" w:sz="4" w:space="0"/>
              <w:right w:val="single" w:color="auto" w:sz="4" w:space="0"/>
            </w:tcBorders>
            <w:vAlign w:val="center"/>
          </w:tcPr>
          <w:p w14:paraId="19C7F044">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14:paraId="170C8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08" w:type="pct"/>
            <w:tcBorders>
              <w:top w:val="single" w:color="auto" w:sz="4" w:space="0"/>
              <w:left w:val="single" w:color="auto" w:sz="4" w:space="0"/>
              <w:bottom w:val="single" w:color="auto" w:sz="4" w:space="0"/>
              <w:right w:val="single" w:color="auto" w:sz="4" w:space="0"/>
            </w:tcBorders>
            <w:vAlign w:val="center"/>
          </w:tcPr>
          <w:p w14:paraId="41B2E288">
            <w:pPr>
              <w:adjustRightInd w:val="0"/>
              <w:snapToGrid w:val="0"/>
              <w:jc w:val="center"/>
              <w:rPr>
                <w:rFonts w:ascii="Arial" w:hAnsi="Arial" w:eastAsia="宋体" w:cs="Arial"/>
                <w:sz w:val="21"/>
                <w:szCs w:val="21"/>
              </w:rPr>
            </w:pPr>
            <w:r>
              <w:rPr>
                <w:rFonts w:ascii="Arial" w:hAnsi="Arial" w:eastAsia="宋体" w:cs="Arial"/>
                <w:sz w:val="21"/>
                <w:szCs w:val="21"/>
              </w:rPr>
              <w:t>总体要求</w:t>
            </w:r>
          </w:p>
        </w:tc>
        <w:tc>
          <w:tcPr>
            <w:tcW w:w="1946" w:type="pct"/>
            <w:tcBorders>
              <w:top w:val="single" w:color="auto" w:sz="4" w:space="0"/>
              <w:left w:val="single" w:color="auto" w:sz="4" w:space="0"/>
              <w:bottom w:val="single" w:color="auto" w:sz="4" w:space="0"/>
              <w:right w:val="single" w:color="auto" w:sz="4" w:space="0"/>
            </w:tcBorders>
            <w:vAlign w:val="center"/>
          </w:tcPr>
          <w:p w14:paraId="06A94BE2">
            <w:pPr>
              <w:adjustRightInd w:val="0"/>
              <w:snapToGrid w:val="0"/>
              <w:jc w:val="left"/>
              <w:rPr>
                <w:rFonts w:ascii="Arial" w:hAnsi="Arial" w:eastAsia="宋体" w:cs="Arial"/>
                <w:sz w:val="21"/>
                <w:szCs w:val="21"/>
              </w:rPr>
            </w:pPr>
            <w:r>
              <w:rPr>
                <w:rFonts w:ascii="Arial" w:hAnsi="Arial" w:eastAsia="宋体" w:cs="Arial"/>
                <w:sz w:val="21"/>
                <w:szCs w:val="21"/>
              </w:rPr>
              <w:t>1.禁止建设国家现行产业政策明令限制、禁止或淘汰的项目、产能严重过剩行业项目、落后生产工艺或设备、落后生产能力项目。</w:t>
            </w:r>
          </w:p>
          <w:p w14:paraId="27D0D3BA">
            <w:pPr>
              <w:adjustRightInd w:val="0"/>
              <w:snapToGrid w:val="0"/>
              <w:jc w:val="left"/>
              <w:rPr>
                <w:rFonts w:ascii="Arial" w:hAnsi="Arial" w:eastAsia="宋体" w:cs="Arial"/>
                <w:sz w:val="21"/>
                <w:szCs w:val="21"/>
              </w:rPr>
            </w:pPr>
            <w:r>
              <w:rPr>
                <w:rFonts w:ascii="Arial" w:hAnsi="Arial" w:eastAsia="宋体" w:cs="Arial"/>
                <w:sz w:val="21"/>
                <w:szCs w:val="21"/>
              </w:rPr>
              <w:t>2.禁止建设不符合园区规划产业定位或与产业链条无关联的项目。</w:t>
            </w:r>
          </w:p>
          <w:p w14:paraId="11574A02">
            <w:pPr>
              <w:adjustRightInd w:val="0"/>
              <w:snapToGrid w:val="0"/>
              <w:jc w:val="left"/>
              <w:rPr>
                <w:rFonts w:ascii="Arial" w:hAnsi="Arial" w:eastAsia="宋体" w:cs="Arial"/>
                <w:sz w:val="21"/>
                <w:szCs w:val="21"/>
              </w:rPr>
            </w:pPr>
            <w:r>
              <w:rPr>
                <w:rFonts w:ascii="Arial" w:hAnsi="Arial" w:eastAsia="宋体" w:cs="Arial"/>
                <w:sz w:val="21"/>
                <w:szCs w:val="21"/>
              </w:rPr>
              <w:t>3.禁止建设不符合国家相关行业准入条件的项目。</w:t>
            </w:r>
          </w:p>
          <w:p w14:paraId="5CBEF47C">
            <w:pPr>
              <w:adjustRightInd w:val="0"/>
              <w:snapToGrid w:val="0"/>
              <w:jc w:val="left"/>
              <w:rPr>
                <w:rFonts w:ascii="Arial" w:hAnsi="Arial" w:eastAsia="宋体" w:cs="Arial"/>
                <w:sz w:val="21"/>
                <w:szCs w:val="21"/>
              </w:rPr>
            </w:pPr>
            <w:r>
              <w:rPr>
                <w:rFonts w:ascii="Arial" w:hAnsi="Arial" w:eastAsia="宋体" w:cs="Arial"/>
                <w:sz w:val="21"/>
                <w:szCs w:val="21"/>
              </w:rPr>
              <w:t>4.禁止建设《产业结构调整指导目录（2019年本）》（2021年12月修改）、《广西工业产业结构调整指导目录（2021年本）》、《外商投资产业指导目录（2017年修订）》中限制类、淘汰类项目。</w:t>
            </w:r>
          </w:p>
        </w:tc>
        <w:tc>
          <w:tcPr>
            <w:tcW w:w="2646" w:type="pct"/>
            <w:tcBorders>
              <w:top w:val="single" w:color="auto" w:sz="4" w:space="0"/>
              <w:left w:val="single" w:color="auto" w:sz="4" w:space="0"/>
              <w:bottom w:val="single" w:color="auto" w:sz="4" w:space="0"/>
              <w:right w:val="single" w:color="auto" w:sz="4" w:space="0"/>
            </w:tcBorders>
            <w:vAlign w:val="center"/>
          </w:tcPr>
          <w:p w14:paraId="24B61702">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14:paraId="789D7905">
            <w:pPr>
              <w:adjustRightInd w:val="0"/>
              <w:snapToGrid w:val="0"/>
              <w:jc w:val="left"/>
              <w:rPr>
                <w:rFonts w:ascii="Arial" w:hAnsi="Arial" w:eastAsia="宋体" w:cs="Arial"/>
                <w:sz w:val="21"/>
                <w:szCs w:val="21"/>
              </w:rPr>
            </w:pPr>
            <w:r>
              <w:rPr>
                <w:rFonts w:ascii="Arial" w:hAnsi="Arial" w:eastAsia="宋体" w:cs="Arial"/>
                <w:sz w:val="21"/>
                <w:szCs w:val="21"/>
              </w:rPr>
              <w:t>1.项目不属于国家现行产业政策明令限制、禁止或淘汰的项目，不属于产能严重过剩行业项目，不使用落后生产工艺或设备，也不属于落后生产能力项目。</w:t>
            </w:r>
          </w:p>
          <w:p w14:paraId="4C38B817">
            <w:pPr>
              <w:adjustRightInd w:val="0"/>
              <w:snapToGrid w:val="0"/>
              <w:jc w:val="left"/>
              <w:rPr>
                <w:rFonts w:ascii="Arial" w:hAnsi="Arial" w:eastAsia="宋体" w:cs="Arial"/>
                <w:sz w:val="21"/>
                <w:szCs w:val="21"/>
              </w:rPr>
            </w:pPr>
            <w:r>
              <w:rPr>
                <w:rFonts w:ascii="Arial" w:hAnsi="Arial" w:eastAsia="宋体" w:cs="Arial"/>
                <w:sz w:val="21"/>
                <w:szCs w:val="21"/>
              </w:rPr>
              <w:t>2.根据&amp;1.5.2.2的分析，项目符合园区规划产业定位，属于产业链相关项目。</w:t>
            </w:r>
          </w:p>
          <w:p w14:paraId="36FB2D30">
            <w:pPr>
              <w:adjustRightInd w:val="0"/>
              <w:snapToGrid w:val="0"/>
              <w:jc w:val="left"/>
              <w:rPr>
                <w:rFonts w:ascii="Arial" w:hAnsi="Arial" w:eastAsia="宋体" w:cs="Arial"/>
                <w:sz w:val="21"/>
                <w:szCs w:val="21"/>
              </w:rPr>
            </w:pPr>
            <w:r>
              <w:rPr>
                <w:rFonts w:ascii="Arial" w:hAnsi="Arial" w:eastAsia="宋体" w:cs="Arial"/>
                <w:sz w:val="21"/>
                <w:szCs w:val="21"/>
              </w:rPr>
              <w:t>3.项目符合国家相关行业准入条件。</w:t>
            </w:r>
          </w:p>
          <w:p w14:paraId="5D015451">
            <w:pPr>
              <w:adjustRightInd w:val="0"/>
              <w:snapToGrid w:val="0"/>
              <w:jc w:val="left"/>
              <w:rPr>
                <w:rFonts w:ascii="Arial" w:hAnsi="Arial" w:eastAsia="宋体" w:cs="Arial"/>
                <w:sz w:val="21"/>
                <w:szCs w:val="21"/>
              </w:rPr>
            </w:pPr>
            <w:r>
              <w:rPr>
                <w:rFonts w:ascii="Arial" w:hAnsi="Arial" w:eastAsia="宋体" w:cs="Arial"/>
                <w:sz w:val="21"/>
                <w:szCs w:val="21"/>
              </w:rPr>
              <w:t>4.项目不属于《产业结构调整指导目录（2024年本）》鼓励类、限制类、淘汰类项目，为允许类；《广西工业产业结构调整指导目录（2021年本）》现已废止</w:t>
            </w:r>
            <w:r>
              <w:rPr>
                <w:rFonts w:hint="eastAsia" w:ascii="Arial" w:hAnsi="Arial" w:eastAsia="宋体" w:cs="Arial"/>
                <w:sz w:val="21"/>
                <w:szCs w:val="21"/>
              </w:rPr>
              <w:t>，不再对照分析</w:t>
            </w:r>
            <w:r>
              <w:rPr>
                <w:rFonts w:ascii="Arial" w:hAnsi="Arial" w:eastAsia="宋体" w:cs="Arial"/>
                <w:sz w:val="21"/>
                <w:szCs w:val="21"/>
              </w:rPr>
              <w:t>。</w:t>
            </w:r>
          </w:p>
        </w:tc>
      </w:tr>
    </w:tbl>
    <w:p w14:paraId="565798E8">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重点管控区域行业环境准入清单符合性分析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2553"/>
        <w:gridCol w:w="4820"/>
        <w:gridCol w:w="5006"/>
      </w:tblGrid>
      <w:tr w14:paraId="27146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08" w:type="pct"/>
            <w:tcBorders>
              <w:top w:val="single" w:color="auto" w:sz="4" w:space="0"/>
              <w:left w:val="single" w:color="auto" w:sz="4" w:space="0"/>
              <w:bottom w:val="single" w:color="auto" w:sz="4" w:space="0"/>
              <w:right w:val="single" w:color="auto" w:sz="4" w:space="0"/>
            </w:tcBorders>
            <w:vAlign w:val="center"/>
          </w:tcPr>
          <w:p w14:paraId="7991EDCB">
            <w:pPr>
              <w:adjustRightInd w:val="0"/>
              <w:snapToGrid w:val="0"/>
              <w:jc w:val="center"/>
              <w:rPr>
                <w:rFonts w:ascii="Arial" w:hAnsi="Arial" w:eastAsia="宋体" w:cs="Arial"/>
                <w:szCs w:val="21"/>
              </w:rPr>
            </w:pPr>
            <w:r>
              <w:rPr>
                <w:rFonts w:ascii="Arial" w:hAnsi="Arial" w:eastAsia="宋体" w:cs="Arial"/>
                <w:sz w:val="21"/>
                <w:szCs w:val="21"/>
              </w:rPr>
              <w:t>清单类型</w:t>
            </w:r>
          </w:p>
        </w:tc>
        <w:tc>
          <w:tcPr>
            <w:tcW w:w="2735" w:type="pct"/>
            <w:gridSpan w:val="2"/>
            <w:tcBorders>
              <w:top w:val="single" w:color="auto" w:sz="4" w:space="0"/>
              <w:left w:val="single" w:color="auto" w:sz="4" w:space="0"/>
              <w:bottom w:val="single" w:color="auto" w:sz="4" w:space="0"/>
              <w:right w:val="single" w:color="auto" w:sz="4" w:space="0"/>
            </w:tcBorders>
            <w:vAlign w:val="center"/>
          </w:tcPr>
          <w:p w14:paraId="6E5C8C10">
            <w:pPr>
              <w:adjustRightInd w:val="0"/>
              <w:snapToGrid w:val="0"/>
              <w:jc w:val="center"/>
              <w:rPr>
                <w:rFonts w:ascii="Arial" w:hAnsi="Arial" w:eastAsia="宋体" w:cs="Arial"/>
                <w:szCs w:val="21"/>
              </w:rPr>
            </w:pPr>
            <w:r>
              <w:rPr>
                <w:rFonts w:ascii="Arial" w:hAnsi="Arial" w:eastAsia="宋体" w:cs="Arial"/>
                <w:sz w:val="21"/>
                <w:szCs w:val="21"/>
              </w:rPr>
              <w:t>内容</w:t>
            </w:r>
          </w:p>
        </w:tc>
        <w:tc>
          <w:tcPr>
            <w:tcW w:w="1857" w:type="pct"/>
            <w:tcBorders>
              <w:top w:val="single" w:color="auto" w:sz="4" w:space="0"/>
              <w:left w:val="single" w:color="auto" w:sz="4" w:space="0"/>
              <w:bottom w:val="single" w:color="auto" w:sz="4" w:space="0"/>
              <w:right w:val="single" w:color="auto" w:sz="4" w:space="0"/>
            </w:tcBorders>
            <w:vAlign w:val="center"/>
          </w:tcPr>
          <w:p w14:paraId="6F7643CF">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14:paraId="7A72E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op w:val="single" w:color="auto" w:sz="4" w:space="0"/>
              <w:left w:val="single" w:color="auto" w:sz="4" w:space="0"/>
              <w:bottom w:val="single" w:color="auto" w:sz="4" w:space="0"/>
              <w:right w:val="single" w:color="auto" w:sz="4" w:space="0"/>
            </w:tcBorders>
            <w:vAlign w:val="center"/>
          </w:tcPr>
          <w:p w14:paraId="54042356">
            <w:pPr>
              <w:adjustRightInd w:val="0"/>
              <w:snapToGrid w:val="0"/>
              <w:jc w:val="center"/>
              <w:rPr>
                <w:rFonts w:ascii="Arial" w:hAnsi="Arial" w:eastAsia="宋体" w:cs="Arial"/>
                <w:szCs w:val="21"/>
              </w:rPr>
            </w:pPr>
            <w:r>
              <w:rPr>
                <w:rFonts w:ascii="Arial" w:hAnsi="Arial" w:eastAsia="宋体" w:cs="Arial"/>
                <w:sz w:val="21"/>
                <w:szCs w:val="21"/>
              </w:rPr>
              <w:t>空间布局约束</w:t>
            </w:r>
          </w:p>
        </w:tc>
        <w:tc>
          <w:tcPr>
            <w:tcW w:w="2735" w:type="pct"/>
            <w:gridSpan w:val="2"/>
            <w:tcBorders>
              <w:top w:val="single" w:color="auto" w:sz="4" w:space="0"/>
              <w:left w:val="single" w:color="auto" w:sz="4" w:space="0"/>
              <w:bottom w:val="single" w:color="auto" w:sz="4" w:space="0"/>
              <w:right w:val="single" w:color="auto" w:sz="4" w:space="0"/>
            </w:tcBorders>
            <w:vAlign w:val="center"/>
          </w:tcPr>
          <w:p w14:paraId="3DCC744E">
            <w:pPr>
              <w:adjustRightInd w:val="0"/>
              <w:snapToGrid w:val="0"/>
              <w:jc w:val="left"/>
              <w:rPr>
                <w:rFonts w:ascii="Arial" w:hAnsi="Arial" w:eastAsia="宋体" w:cs="Arial"/>
                <w:sz w:val="21"/>
                <w:szCs w:val="21"/>
              </w:rPr>
            </w:pPr>
            <w:r>
              <w:rPr>
                <w:rFonts w:ascii="Arial" w:hAnsi="Arial" w:eastAsia="宋体" w:cs="Arial"/>
                <w:sz w:val="21"/>
                <w:szCs w:val="21"/>
              </w:rPr>
              <w:t>1.应按规划功能组团布局相应产业，入驻企业的选址须符合相应的行业准入条件和防护距离要求，企业的厂区布局设计要严格遵守《建筑设计防火规范》等相关规定，充分考虑总图布置在环保方面合理性。</w:t>
            </w:r>
          </w:p>
          <w:p w14:paraId="6796BAE9">
            <w:pPr>
              <w:adjustRightInd w:val="0"/>
              <w:snapToGrid w:val="0"/>
              <w:jc w:val="left"/>
              <w:rPr>
                <w:rFonts w:ascii="Arial" w:hAnsi="Arial" w:eastAsia="宋体" w:cs="Arial"/>
                <w:sz w:val="21"/>
                <w:szCs w:val="21"/>
              </w:rPr>
            </w:pPr>
            <w:r>
              <w:rPr>
                <w:rFonts w:ascii="Arial" w:hAnsi="Arial" w:eastAsia="宋体" w:cs="Arial"/>
                <w:sz w:val="21"/>
                <w:szCs w:val="21"/>
              </w:rPr>
              <w:t>2.村屯用地周边严控布局潜在污染和环境风险突出的建设项目。</w:t>
            </w:r>
          </w:p>
          <w:p w14:paraId="1C8D7009">
            <w:pPr>
              <w:adjustRightInd w:val="0"/>
              <w:snapToGrid w:val="0"/>
              <w:jc w:val="left"/>
              <w:rPr>
                <w:rFonts w:ascii="Arial" w:hAnsi="Arial" w:eastAsia="宋体" w:cs="Arial"/>
                <w:sz w:val="21"/>
                <w:szCs w:val="21"/>
              </w:rPr>
            </w:pPr>
            <w:r>
              <w:rPr>
                <w:rFonts w:ascii="Arial" w:hAnsi="Arial" w:eastAsia="宋体" w:cs="Arial"/>
                <w:sz w:val="21"/>
                <w:szCs w:val="21"/>
              </w:rPr>
              <w:t>3.入园项目应符合园区产业定位，符合《广西生态保护正面清单》（2022）和《广西生态保护禁止事项清单（2022）》中的要求。</w:t>
            </w:r>
          </w:p>
          <w:p w14:paraId="790FD89E">
            <w:pPr>
              <w:adjustRightInd w:val="0"/>
              <w:snapToGrid w:val="0"/>
              <w:jc w:val="left"/>
              <w:rPr>
                <w:rFonts w:ascii="Arial" w:hAnsi="Arial" w:eastAsia="宋体" w:cs="Arial"/>
                <w:sz w:val="21"/>
                <w:szCs w:val="21"/>
              </w:rPr>
            </w:pPr>
            <w:r>
              <w:rPr>
                <w:rFonts w:ascii="Arial" w:hAnsi="Arial" w:eastAsia="宋体" w:cs="Arial"/>
                <w:sz w:val="21"/>
                <w:szCs w:val="21"/>
              </w:rPr>
              <w:t>4.入驻企业应符合国家和行业环境保护标准、清洁生产标准和行业准入条件要求，符合国家产业政策、区域规划及政策要求，建设规模应符合国家产业政策的最小经济规模要求。禁止建设国家现行产业政策明令限制、禁止或淘汰的项目、落后生产工艺或设备、落后生产能力项目，禁止建设不符合园区规划产业定位或与产业链条无关联的项目。</w:t>
            </w:r>
          </w:p>
          <w:p w14:paraId="6FF60CF2">
            <w:pPr>
              <w:adjustRightInd w:val="0"/>
              <w:snapToGrid w:val="0"/>
              <w:jc w:val="left"/>
              <w:rPr>
                <w:rFonts w:ascii="Arial" w:hAnsi="Arial" w:eastAsia="宋体" w:cs="Arial"/>
                <w:sz w:val="21"/>
                <w:szCs w:val="21"/>
              </w:rPr>
            </w:pPr>
            <w:r>
              <w:rPr>
                <w:rFonts w:ascii="Arial" w:hAnsi="Arial" w:eastAsia="宋体" w:cs="Arial"/>
                <w:sz w:val="21"/>
                <w:szCs w:val="21"/>
              </w:rPr>
              <w:t>5.有行业标准的，企业清洁生产水平至少达到国内领先水平。</w:t>
            </w:r>
          </w:p>
          <w:p w14:paraId="4D5BA151">
            <w:pPr>
              <w:adjustRightInd w:val="0"/>
              <w:snapToGrid w:val="0"/>
              <w:jc w:val="left"/>
              <w:rPr>
                <w:rFonts w:ascii="Arial" w:hAnsi="Arial" w:eastAsia="宋体" w:cs="Arial"/>
                <w:sz w:val="21"/>
                <w:szCs w:val="21"/>
              </w:rPr>
            </w:pPr>
            <w:r>
              <w:rPr>
                <w:rFonts w:ascii="Arial" w:hAnsi="Arial" w:eastAsia="宋体" w:cs="Arial"/>
                <w:sz w:val="21"/>
                <w:szCs w:val="21"/>
              </w:rPr>
              <w:t>6.危险化学品的仓储条件必须满足《危险化学品经营企业安全技术基本要求》（GB18265-2019）要求。</w:t>
            </w:r>
          </w:p>
          <w:p w14:paraId="4F486E93">
            <w:pPr>
              <w:adjustRightInd w:val="0"/>
              <w:snapToGrid w:val="0"/>
              <w:jc w:val="left"/>
              <w:rPr>
                <w:rFonts w:ascii="Arial" w:hAnsi="Arial" w:eastAsia="宋体" w:cs="Arial"/>
                <w:sz w:val="21"/>
                <w:szCs w:val="21"/>
              </w:rPr>
            </w:pPr>
            <w:r>
              <w:rPr>
                <w:rFonts w:ascii="Arial" w:hAnsi="Arial" w:eastAsia="宋体" w:cs="Arial"/>
                <w:sz w:val="21"/>
                <w:szCs w:val="21"/>
              </w:rPr>
              <w:t>7.入驻企业执行排污许可证制度，合理确定排污单位污染物排放种类、浓度、许可排放量等要求。</w:t>
            </w:r>
          </w:p>
          <w:p w14:paraId="28C6E88D">
            <w:pPr>
              <w:adjustRightInd w:val="0"/>
              <w:snapToGrid w:val="0"/>
              <w:jc w:val="left"/>
              <w:rPr>
                <w:rFonts w:ascii="Arial" w:hAnsi="Arial" w:eastAsia="宋体" w:cs="Arial"/>
                <w:szCs w:val="21"/>
              </w:rPr>
            </w:pPr>
            <w:r>
              <w:rPr>
                <w:rFonts w:ascii="Arial" w:hAnsi="Arial" w:eastAsia="宋体" w:cs="Arial"/>
                <w:sz w:val="21"/>
                <w:szCs w:val="21"/>
              </w:rPr>
              <w:t>8.加工区围填海历史遗留问题应根据《国务院关于加强滨海湿地保护严格管控围填海的通知》（国发〔2018〕24号）的有关规定，严格限制围填海用于房地产开发、低水平重复建设旅游休闲娱乐项目及污染海洋生态环境的项目，对入驻的项目，按照法定审批权限依法办理用海手续。</w:t>
            </w:r>
          </w:p>
        </w:tc>
        <w:tc>
          <w:tcPr>
            <w:tcW w:w="1857" w:type="pct"/>
            <w:tcBorders>
              <w:top w:val="single" w:color="auto" w:sz="4" w:space="0"/>
              <w:left w:val="single" w:color="auto" w:sz="4" w:space="0"/>
              <w:bottom w:val="single" w:color="auto" w:sz="4" w:space="0"/>
              <w:right w:val="single" w:color="auto" w:sz="4" w:space="0"/>
            </w:tcBorders>
            <w:vAlign w:val="center"/>
          </w:tcPr>
          <w:p w14:paraId="71D43951">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14:paraId="75A7DF4B">
            <w:pPr>
              <w:adjustRightInd w:val="0"/>
              <w:snapToGrid w:val="0"/>
              <w:jc w:val="left"/>
              <w:rPr>
                <w:rFonts w:ascii="Arial" w:hAnsi="Arial" w:eastAsia="宋体" w:cs="Arial"/>
                <w:sz w:val="21"/>
                <w:szCs w:val="21"/>
              </w:rPr>
            </w:pPr>
            <w:r>
              <w:rPr>
                <w:rFonts w:ascii="Arial" w:hAnsi="Arial" w:eastAsia="宋体" w:cs="Arial"/>
                <w:sz w:val="21"/>
                <w:szCs w:val="21"/>
              </w:rPr>
              <w:t>1.项目在现有厂区内建设，处于对应的新能源材料产业组团；项目符合行业准入条件，不设置防护距离；项目各建设内容结合现有工程功能布局布置，平面布局合理。</w:t>
            </w:r>
          </w:p>
          <w:p w14:paraId="442E3EA6">
            <w:pPr>
              <w:adjustRightInd w:val="0"/>
              <w:snapToGrid w:val="0"/>
              <w:jc w:val="left"/>
              <w:rPr>
                <w:rFonts w:ascii="Arial" w:hAnsi="Arial" w:eastAsia="宋体" w:cs="Arial"/>
                <w:sz w:val="21"/>
                <w:szCs w:val="21"/>
              </w:rPr>
            </w:pPr>
            <w:r>
              <w:rPr>
                <w:rFonts w:ascii="Arial" w:hAnsi="Arial" w:eastAsia="宋体" w:cs="Arial"/>
                <w:sz w:val="21"/>
                <w:szCs w:val="21"/>
              </w:rPr>
              <w:t>2.项目周边最近敏感点为北面鸡墩头村，经预测对其影响在可接受范围内。</w:t>
            </w:r>
          </w:p>
          <w:p w14:paraId="3D2650A1">
            <w:pPr>
              <w:adjustRightInd w:val="0"/>
              <w:snapToGrid w:val="0"/>
              <w:jc w:val="left"/>
              <w:rPr>
                <w:rFonts w:ascii="Arial" w:hAnsi="Arial" w:eastAsia="宋体" w:cs="Arial"/>
                <w:sz w:val="21"/>
                <w:szCs w:val="21"/>
              </w:rPr>
            </w:pPr>
            <w:r>
              <w:rPr>
                <w:rFonts w:ascii="Arial" w:hAnsi="Arial" w:eastAsia="宋体" w:cs="Arial"/>
                <w:sz w:val="21"/>
                <w:szCs w:val="21"/>
              </w:rPr>
              <w:t>3.项目符合园区产业定位要求，不涉及《广西生态保护禁止事项清单（2022）》中的负面清单事项内容。</w:t>
            </w:r>
          </w:p>
          <w:p w14:paraId="01F000AA">
            <w:pPr>
              <w:adjustRightInd w:val="0"/>
              <w:snapToGrid w:val="0"/>
              <w:jc w:val="left"/>
              <w:rPr>
                <w:rFonts w:ascii="Arial" w:hAnsi="Arial" w:eastAsia="宋体" w:cs="Arial"/>
                <w:sz w:val="21"/>
                <w:szCs w:val="21"/>
              </w:rPr>
            </w:pPr>
            <w:r>
              <w:rPr>
                <w:rFonts w:ascii="Arial" w:hAnsi="Arial" w:eastAsia="宋体" w:cs="Arial"/>
                <w:sz w:val="21"/>
                <w:szCs w:val="21"/>
              </w:rPr>
              <w:t>4.项目各污染物达标排放；符合清洁生产标准和行业准入条件；符合国家级地区产业政策要求；符合园区规划；不属于国家现行产业政策明令限制、禁止或淘汰的项目，不属于产能严重过剩行业项目，不使用落后生产工艺或设备，也不属于落后生产能力项目；根据&amp;1.5.2.2的分析，项目符合园区规划产业定位，属于产业链相关项目。</w:t>
            </w:r>
          </w:p>
          <w:p w14:paraId="6F563ADE">
            <w:pPr>
              <w:adjustRightInd w:val="0"/>
              <w:snapToGrid w:val="0"/>
              <w:jc w:val="left"/>
              <w:rPr>
                <w:rFonts w:ascii="Arial" w:hAnsi="Arial" w:eastAsia="宋体" w:cs="Arial"/>
                <w:sz w:val="21"/>
                <w:szCs w:val="21"/>
              </w:rPr>
            </w:pPr>
            <w:r>
              <w:rPr>
                <w:rFonts w:ascii="Arial" w:hAnsi="Arial" w:eastAsia="宋体" w:cs="Arial"/>
                <w:sz w:val="21"/>
                <w:szCs w:val="21"/>
              </w:rPr>
              <w:t>5.项目清洁生产可达到国际先进水平。</w:t>
            </w:r>
          </w:p>
          <w:p w14:paraId="5A1D50EF">
            <w:pPr>
              <w:adjustRightInd w:val="0"/>
              <w:snapToGrid w:val="0"/>
              <w:jc w:val="left"/>
              <w:rPr>
                <w:rFonts w:ascii="Arial" w:hAnsi="Arial" w:eastAsia="宋体" w:cs="Arial"/>
                <w:sz w:val="21"/>
                <w:szCs w:val="21"/>
              </w:rPr>
            </w:pPr>
            <w:r>
              <w:rPr>
                <w:rFonts w:ascii="Arial" w:hAnsi="Arial" w:eastAsia="宋体" w:cs="Arial"/>
                <w:sz w:val="21"/>
                <w:szCs w:val="21"/>
              </w:rPr>
              <w:t>6.项目危险化学品贮存符合《危险化学品经营企业安全技术基本要求》（GB18265-2019）要求。</w:t>
            </w:r>
          </w:p>
          <w:p w14:paraId="31B6BC2A">
            <w:pPr>
              <w:adjustRightInd w:val="0"/>
              <w:snapToGrid w:val="0"/>
              <w:jc w:val="left"/>
              <w:rPr>
                <w:rFonts w:ascii="Arial" w:hAnsi="Arial" w:eastAsia="宋体" w:cs="Arial"/>
                <w:sz w:val="21"/>
                <w:szCs w:val="21"/>
              </w:rPr>
            </w:pPr>
            <w:r>
              <w:rPr>
                <w:rFonts w:ascii="Arial" w:hAnsi="Arial" w:eastAsia="宋体" w:cs="Arial"/>
                <w:sz w:val="21"/>
                <w:szCs w:val="21"/>
              </w:rPr>
              <w:t>7.企业已申领排污许可证，项目新增内容将根据相关行业排污许可规范进行增补。</w:t>
            </w:r>
          </w:p>
          <w:p w14:paraId="4A5D5AD8">
            <w:pPr>
              <w:adjustRightInd w:val="0"/>
              <w:snapToGrid w:val="0"/>
              <w:jc w:val="left"/>
              <w:rPr>
                <w:rFonts w:ascii="Arial" w:hAnsi="Arial" w:eastAsia="宋体" w:cs="Arial"/>
                <w:sz w:val="21"/>
                <w:szCs w:val="21"/>
              </w:rPr>
            </w:pPr>
            <w:r>
              <w:rPr>
                <w:rFonts w:ascii="Arial" w:hAnsi="Arial" w:eastAsia="宋体" w:cs="Arial"/>
                <w:sz w:val="21"/>
                <w:szCs w:val="21"/>
              </w:rPr>
              <w:t>8.项目在现有厂区内建设，不新增用地。</w:t>
            </w:r>
          </w:p>
        </w:tc>
      </w:tr>
      <w:tr w14:paraId="1A972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op w:val="single" w:color="auto" w:sz="4" w:space="0"/>
              <w:left w:val="single" w:color="auto" w:sz="4" w:space="0"/>
              <w:bottom w:val="single" w:color="auto" w:sz="4" w:space="0"/>
              <w:right w:val="single" w:color="auto" w:sz="4" w:space="0"/>
            </w:tcBorders>
            <w:vAlign w:val="center"/>
          </w:tcPr>
          <w:p w14:paraId="24A7F4FA">
            <w:pPr>
              <w:adjustRightInd w:val="0"/>
              <w:snapToGrid w:val="0"/>
              <w:jc w:val="center"/>
              <w:rPr>
                <w:rFonts w:ascii="Arial" w:hAnsi="Arial" w:eastAsia="宋体" w:cs="Arial"/>
                <w:szCs w:val="21"/>
              </w:rPr>
            </w:pPr>
            <w:r>
              <w:rPr>
                <w:rFonts w:ascii="Arial" w:hAnsi="Arial" w:eastAsia="宋体" w:cs="Arial"/>
                <w:sz w:val="21"/>
                <w:szCs w:val="21"/>
              </w:rPr>
              <w:t>主导产业约束</w:t>
            </w:r>
          </w:p>
        </w:tc>
        <w:tc>
          <w:tcPr>
            <w:tcW w:w="2735" w:type="pct"/>
            <w:gridSpan w:val="2"/>
            <w:tcBorders>
              <w:top w:val="single" w:color="auto" w:sz="4" w:space="0"/>
              <w:left w:val="single" w:color="auto" w:sz="4" w:space="0"/>
              <w:bottom w:val="single" w:color="auto" w:sz="4" w:space="0"/>
              <w:right w:val="single" w:color="auto" w:sz="4" w:space="0"/>
            </w:tcBorders>
            <w:vAlign w:val="center"/>
          </w:tcPr>
          <w:p w14:paraId="5A6DECDE">
            <w:pPr>
              <w:adjustRightInd w:val="0"/>
              <w:snapToGrid w:val="0"/>
              <w:jc w:val="left"/>
              <w:rPr>
                <w:rFonts w:ascii="Arial" w:hAnsi="Arial" w:eastAsia="宋体" w:cs="Arial"/>
                <w:sz w:val="21"/>
                <w:szCs w:val="21"/>
              </w:rPr>
            </w:pPr>
            <w:r>
              <w:rPr>
                <w:rFonts w:ascii="Arial" w:hAnsi="Arial" w:eastAsia="宋体" w:cs="Arial"/>
                <w:sz w:val="21"/>
                <w:szCs w:val="21"/>
              </w:rPr>
              <w:t>1.限制涉及《产业结构调整指导目录（2019年本）》（2021年12月修改）、《广西工业产业结构调整指导目录（2021年本）》中规定的限制类生产工艺装备、产品的项目入驻。禁止采用《产业结构调整指导目录（2019年本）》（2021年12月修改）中规定的淘汰类落后生产工艺装备，或生产淘汰类落后产品的项目入驻。</w:t>
            </w:r>
          </w:p>
          <w:p w14:paraId="4624D684">
            <w:pPr>
              <w:adjustRightInd w:val="0"/>
              <w:snapToGrid w:val="0"/>
              <w:jc w:val="left"/>
              <w:rPr>
                <w:rFonts w:ascii="Arial" w:hAnsi="Arial" w:eastAsia="宋体" w:cs="Arial"/>
                <w:sz w:val="21"/>
                <w:szCs w:val="21"/>
              </w:rPr>
            </w:pPr>
            <w:r>
              <w:rPr>
                <w:rFonts w:ascii="Arial" w:hAnsi="Arial" w:eastAsia="宋体" w:cs="Arial"/>
                <w:sz w:val="21"/>
                <w:szCs w:val="21"/>
              </w:rPr>
              <w:t>2.随着环保相关政策标准的不断更新出台，应以最新的为准，《产业结构调整指导目录（2019年本）》（2021年12月修改）、《广西工业产业结构调整指导目录（2021年本）》中有利于园区形成循环经济链的限制类产业经过充分论证后允以准入。</w:t>
            </w:r>
          </w:p>
          <w:p w14:paraId="0E4665F1">
            <w:pPr>
              <w:adjustRightInd w:val="0"/>
              <w:snapToGrid w:val="0"/>
              <w:jc w:val="left"/>
              <w:rPr>
                <w:rFonts w:ascii="Arial" w:hAnsi="Arial" w:eastAsia="宋体" w:cs="Arial"/>
                <w:szCs w:val="21"/>
              </w:rPr>
            </w:pPr>
            <w:r>
              <w:rPr>
                <w:rFonts w:ascii="Arial" w:hAnsi="Arial" w:eastAsia="宋体" w:cs="Arial"/>
                <w:sz w:val="21"/>
                <w:szCs w:val="21"/>
              </w:rPr>
              <w:t>3.园区引进工业项目应满足《钦州市“三线一单”生态环境准入及管控要求清单》要求。</w:t>
            </w:r>
          </w:p>
        </w:tc>
        <w:tc>
          <w:tcPr>
            <w:tcW w:w="1857" w:type="pct"/>
            <w:tcBorders>
              <w:top w:val="single" w:color="auto" w:sz="4" w:space="0"/>
              <w:left w:val="single" w:color="auto" w:sz="4" w:space="0"/>
              <w:bottom w:val="single" w:color="auto" w:sz="4" w:space="0"/>
              <w:right w:val="single" w:color="auto" w:sz="4" w:space="0"/>
            </w:tcBorders>
            <w:vAlign w:val="center"/>
          </w:tcPr>
          <w:p w14:paraId="3DC175D0">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14:paraId="41D18D4C">
            <w:pPr>
              <w:adjustRightInd w:val="0"/>
              <w:snapToGrid w:val="0"/>
              <w:jc w:val="left"/>
              <w:rPr>
                <w:rFonts w:ascii="Arial" w:hAnsi="Arial" w:eastAsia="宋体" w:cs="Arial"/>
                <w:sz w:val="21"/>
                <w:szCs w:val="21"/>
              </w:rPr>
            </w:pPr>
            <w:r>
              <w:rPr>
                <w:rFonts w:ascii="Arial" w:hAnsi="Arial" w:eastAsia="宋体" w:cs="Arial"/>
                <w:sz w:val="21"/>
                <w:szCs w:val="21"/>
              </w:rPr>
              <w:t>1.项目不属于《产业结构调整指导目录（2024年本）》鼓励类、限制类、淘汰类项目，为允许类；《广西工业产业结构调整指导目录（2021年本）》现已废止，</w:t>
            </w:r>
            <w:r>
              <w:rPr>
                <w:rFonts w:hint="eastAsia" w:ascii="Arial" w:hAnsi="Arial" w:eastAsia="宋体" w:cs="Arial"/>
                <w:sz w:val="21"/>
                <w:szCs w:val="21"/>
              </w:rPr>
              <w:t>不再对照分析</w:t>
            </w:r>
            <w:r>
              <w:rPr>
                <w:rFonts w:ascii="Arial" w:hAnsi="Arial" w:eastAsia="宋体" w:cs="Arial"/>
                <w:sz w:val="21"/>
                <w:szCs w:val="21"/>
              </w:rPr>
              <w:t>；项目不使用淘汰类落后生产工艺装备，不生产淘汰类落后产品。</w:t>
            </w:r>
          </w:p>
          <w:p w14:paraId="1F266332">
            <w:pPr>
              <w:adjustRightInd w:val="0"/>
              <w:snapToGrid w:val="0"/>
              <w:jc w:val="left"/>
              <w:rPr>
                <w:rFonts w:ascii="Arial" w:hAnsi="Arial" w:eastAsia="宋体" w:cs="Arial"/>
                <w:sz w:val="21"/>
                <w:szCs w:val="21"/>
              </w:rPr>
            </w:pPr>
            <w:r>
              <w:rPr>
                <w:rFonts w:ascii="Arial" w:hAnsi="Arial" w:eastAsia="宋体" w:cs="Arial"/>
                <w:sz w:val="21"/>
                <w:szCs w:val="21"/>
              </w:rPr>
              <w:t>2.项目满足目前最新的产业政策要求。</w:t>
            </w:r>
          </w:p>
          <w:p w14:paraId="1EB82CB0">
            <w:pPr>
              <w:adjustRightInd w:val="0"/>
              <w:snapToGrid w:val="0"/>
              <w:jc w:val="left"/>
              <w:rPr>
                <w:rFonts w:ascii="Arial" w:hAnsi="Arial" w:eastAsia="宋体" w:cs="Arial"/>
                <w:sz w:val="21"/>
                <w:szCs w:val="21"/>
              </w:rPr>
            </w:pPr>
            <w:r>
              <w:rPr>
                <w:rFonts w:ascii="Arial" w:hAnsi="Arial" w:eastAsia="宋体" w:cs="Arial"/>
                <w:sz w:val="21"/>
                <w:szCs w:val="21"/>
              </w:rPr>
              <w:t>3.项目满足《</w:t>
            </w:r>
            <w:r>
              <w:rPr>
                <w:rFonts w:hint="eastAsia" w:ascii="Arial" w:hAnsi="Arial" w:eastAsia="宋体" w:cs="Arial"/>
                <w:sz w:val="21"/>
                <w:szCs w:val="21"/>
              </w:rPr>
              <w:t>钦州市生态环境分区管控动态更新成果（2023版）</w:t>
            </w:r>
            <w:r>
              <w:rPr>
                <w:rFonts w:ascii="Arial" w:hAnsi="Arial" w:eastAsia="宋体" w:cs="Arial"/>
                <w:sz w:val="21"/>
                <w:szCs w:val="21"/>
              </w:rPr>
              <w:t>》的要求。</w:t>
            </w:r>
          </w:p>
        </w:tc>
      </w:tr>
      <w:tr w14:paraId="5494A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op w:val="single" w:color="auto" w:sz="4" w:space="0"/>
              <w:left w:val="single" w:color="auto" w:sz="4" w:space="0"/>
              <w:bottom w:val="single" w:color="auto" w:sz="4" w:space="0"/>
              <w:right w:val="single" w:color="auto" w:sz="4" w:space="0"/>
            </w:tcBorders>
            <w:vAlign w:val="center"/>
          </w:tcPr>
          <w:p w14:paraId="33A3DFBD">
            <w:pPr>
              <w:adjustRightInd w:val="0"/>
              <w:snapToGrid w:val="0"/>
              <w:jc w:val="center"/>
              <w:rPr>
                <w:rFonts w:ascii="Arial" w:hAnsi="Arial" w:eastAsia="宋体" w:cs="Arial"/>
                <w:sz w:val="21"/>
                <w:szCs w:val="21"/>
                <w:highlight w:val="yellow"/>
              </w:rPr>
            </w:pPr>
            <w:r>
              <w:rPr>
                <w:rFonts w:ascii="Arial" w:hAnsi="Arial" w:eastAsia="宋体" w:cs="Arial"/>
                <w:sz w:val="21"/>
                <w:szCs w:val="21"/>
              </w:rPr>
              <w:t>污染物排放管控</w:t>
            </w:r>
          </w:p>
        </w:tc>
        <w:tc>
          <w:tcPr>
            <w:tcW w:w="947" w:type="pct"/>
            <w:tcBorders>
              <w:top w:val="single" w:color="auto" w:sz="4" w:space="0"/>
              <w:left w:val="single" w:color="auto" w:sz="4" w:space="0"/>
              <w:bottom w:val="single" w:color="auto" w:sz="4" w:space="0"/>
              <w:right w:val="single" w:color="auto" w:sz="4" w:space="0"/>
            </w:tcBorders>
            <w:vAlign w:val="center"/>
          </w:tcPr>
          <w:p w14:paraId="30CB11C1">
            <w:pPr>
              <w:adjustRightInd w:val="0"/>
              <w:snapToGrid w:val="0"/>
              <w:jc w:val="left"/>
              <w:rPr>
                <w:rFonts w:ascii="Arial" w:hAnsi="Arial" w:eastAsia="宋体" w:cs="Arial"/>
                <w:sz w:val="21"/>
                <w:szCs w:val="21"/>
              </w:rPr>
            </w:pPr>
            <w:r>
              <w:rPr>
                <w:rFonts w:ascii="Arial" w:hAnsi="Arial" w:eastAsia="宋体" w:cs="Arial"/>
                <w:sz w:val="21"/>
                <w:szCs w:val="21"/>
              </w:rPr>
              <w:t>大气污染物排放总量</w:t>
            </w:r>
          </w:p>
        </w:tc>
        <w:tc>
          <w:tcPr>
            <w:tcW w:w="1788" w:type="pct"/>
            <w:tcBorders>
              <w:top w:val="single" w:color="auto" w:sz="4" w:space="0"/>
              <w:left w:val="single" w:color="auto" w:sz="4" w:space="0"/>
              <w:bottom w:val="single" w:color="auto" w:sz="4" w:space="0"/>
              <w:right w:val="single" w:color="auto" w:sz="4" w:space="0"/>
            </w:tcBorders>
            <w:vAlign w:val="center"/>
          </w:tcPr>
          <w:p w14:paraId="7974E683">
            <w:pPr>
              <w:adjustRightInd w:val="0"/>
              <w:snapToGrid w:val="0"/>
              <w:jc w:val="left"/>
              <w:rPr>
                <w:rFonts w:ascii="Arial" w:hAnsi="Arial" w:eastAsia="宋体" w:cs="Arial"/>
                <w:sz w:val="21"/>
                <w:szCs w:val="21"/>
              </w:rPr>
            </w:pPr>
            <w:r>
              <w:rPr>
                <w:rFonts w:ascii="Arial" w:hAnsi="Arial" w:eastAsia="宋体" w:cs="Arial"/>
                <w:sz w:val="21"/>
                <w:szCs w:val="21"/>
              </w:rPr>
              <w:t>近期：NO</w:t>
            </w:r>
            <w:r>
              <w:rPr>
                <w:rFonts w:ascii="Arial" w:hAnsi="Arial" w:eastAsia="宋体" w:cs="Arial"/>
                <w:sz w:val="21"/>
                <w:szCs w:val="21"/>
                <w:vertAlign w:val="subscript"/>
              </w:rPr>
              <w:t>X</w:t>
            </w:r>
            <w:r>
              <w:rPr>
                <w:rFonts w:ascii="Arial" w:hAnsi="Arial" w:eastAsia="宋体" w:cs="Arial"/>
                <w:sz w:val="21"/>
                <w:szCs w:val="21"/>
              </w:rPr>
              <w:t>304.41t/a，VOC</w:t>
            </w:r>
            <w:r>
              <w:rPr>
                <w:rFonts w:ascii="Arial" w:hAnsi="Arial" w:eastAsia="宋体" w:cs="Arial"/>
                <w:sz w:val="21"/>
                <w:szCs w:val="21"/>
                <w:vertAlign w:val="subscript"/>
              </w:rPr>
              <w:t>S</w:t>
            </w:r>
            <w:r>
              <w:rPr>
                <w:rFonts w:ascii="Arial" w:hAnsi="Arial" w:eastAsia="宋体" w:cs="Arial"/>
                <w:sz w:val="21"/>
                <w:szCs w:val="21"/>
              </w:rPr>
              <w:t>5.45t/a；</w:t>
            </w:r>
          </w:p>
          <w:p w14:paraId="14BC21C9">
            <w:pPr>
              <w:adjustRightInd w:val="0"/>
              <w:snapToGrid w:val="0"/>
              <w:jc w:val="left"/>
              <w:rPr>
                <w:rFonts w:ascii="Arial" w:hAnsi="Arial" w:eastAsia="宋体" w:cs="Arial"/>
                <w:sz w:val="21"/>
                <w:szCs w:val="21"/>
              </w:rPr>
            </w:pPr>
            <w:r>
              <w:rPr>
                <w:rFonts w:ascii="Arial" w:hAnsi="Arial" w:eastAsia="宋体" w:cs="Arial"/>
                <w:sz w:val="21"/>
                <w:szCs w:val="21"/>
              </w:rPr>
              <w:t>远期：NO</w:t>
            </w:r>
            <w:r>
              <w:rPr>
                <w:rFonts w:ascii="Arial" w:hAnsi="Arial" w:eastAsia="宋体" w:cs="Arial"/>
                <w:sz w:val="21"/>
                <w:szCs w:val="21"/>
                <w:vertAlign w:val="subscript"/>
              </w:rPr>
              <w:t>X</w:t>
            </w:r>
            <w:r>
              <w:rPr>
                <w:rFonts w:ascii="Arial" w:hAnsi="Arial" w:eastAsia="宋体" w:cs="Arial"/>
                <w:sz w:val="21"/>
                <w:szCs w:val="21"/>
              </w:rPr>
              <w:t>490.34t/a，VOC</w:t>
            </w:r>
            <w:r>
              <w:rPr>
                <w:rFonts w:ascii="Arial" w:hAnsi="Arial" w:eastAsia="宋体" w:cs="Arial"/>
                <w:sz w:val="21"/>
                <w:szCs w:val="21"/>
                <w:vertAlign w:val="subscript"/>
              </w:rPr>
              <w:t>S</w:t>
            </w:r>
            <w:r>
              <w:rPr>
                <w:rFonts w:ascii="Arial" w:hAnsi="Arial" w:eastAsia="宋体" w:cs="Arial"/>
                <w:sz w:val="21"/>
                <w:szCs w:val="21"/>
              </w:rPr>
              <w:t>303.31t/a；</w:t>
            </w:r>
          </w:p>
        </w:tc>
        <w:tc>
          <w:tcPr>
            <w:tcW w:w="1857" w:type="pct"/>
            <w:vMerge w:val="restart"/>
            <w:tcBorders>
              <w:top w:val="single" w:color="auto" w:sz="4" w:space="0"/>
              <w:left w:val="single" w:color="auto" w:sz="4" w:space="0"/>
              <w:right w:val="single" w:color="auto" w:sz="4" w:space="0"/>
            </w:tcBorders>
            <w:vAlign w:val="center"/>
          </w:tcPr>
          <w:p w14:paraId="1068C89B">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14:paraId="1EE498B5">
            <w:pPr>
              <w:adjustRightInd w:val="0"/>
              <w:snapToGrid w:val="0"/>
              <w:jc w:val="left"/>
              <w:rPr>
                <w:rFonts w:ascii="Arial" w:hAnsi="Arial" w:eastAsia="宋体" w:cs="Arial"/>
                <w:sz w:val="21"/>
                <w:szCs w:val="21"/>
              </w:rPr>
            </w:pPr>
            <w:r>
              <w:rPr>
                <w:rFonts w:hint="eastAsia" w:ascii="Arial" w:hAnsi="Arial" w:eastAsia="宋体" w:cs="Arial"/>
                <w:sz w:val="21"/>
                <w:szCs w:val="21"/>
              </w:rPr>
              <w:t>变更后</w:t>
            </w:r>
            <w:r>
              <w:rPr>
                <w:rFonts w:ascii="Arial" w:hAnsi="Arial" w:eastAsia="宋体" w:cs="Arial"/>
                <w:sz w:val="21"/>
                <w:szCs w:val="21"/>
              </w:rPr>
              <w:t>项目不排放氮氧化物</w:t>
            </w:r>
            <w:r>
              <w:rPr>
                <w:rFonts w:hint="eastAsia" w:ascii="Arial" w:hAnsi="Arial" w:eastAsia="宋体" w:cs="Arial"/>
                <w:sz w:val="21"/>
                <w:szCs w:val="21"/>
              </w:rPr>
              <w:t>及</w:t>
            </w:r>
            <w:r>
              <w:rPr>
                <w:rFonts w:ascii="Arial" w:hAnsi="Arial" w:eastAsia="宋体" w:cs="Arial"/>
                <w:sz w:val="21"/>
                <w:szCs w:val="21"/>
              </w:rPr>
              <w:t>VOC</w:t>
            </w:r>
            <w:r>
              <w:rPr>
                <w:rFonts w:ascii="Arial" w:hAnsi="Arial" w:eastAsia="宋体" w:cs="Arial"/>
                <w:sz w:val="21"/>
                <w:szCs w:val="21"/>
                <w:vertAlign w:val="subscript"/>
              </w:rPr>
              <w:t>S</w:t>
            </w:r>
            <w:r>
              <w:rPr>
                <w:rFonts w:ascii="Arial" w:hAnsi="Arial" w:eastAsia="宋体" w:cs="Arial"/>
                <w:sz w:val="21"/>
                <w:szCs w:val="21"/>
              </w:rPr>
              <w:t>。</w:t>
            </w:r>
          </w:p>
          <w:p w14:paraId="42C32CA6">
            <w:pPr>
              <w:adjustRightInd w:val="0"/>
              <w:snapToGrid w:val="0"/>
              <w:jc w:val="left"/>
              <w:rPr>
                <w:rFonts w:ascii="Arial" w:hAnsi="Arial" w:eastAsia="宋体" w:cs="Arial"/>
                <w:sz w:val="21"/>
                <w:szCs w:val="21"/>
              </w:rPr>
            </w:pPr>
            <w:r>
              <w:rPr>
                <w:rFonts w:hint="eastAsia" w:ascii="Arial" w:hAnsi="Arial" w:eastAsia="宋体" w:cs="Arial"/>
                <w:sz w:val="21"/>
                <w:szCs w:val="21"/>
              </w:rPr>
              <w:t>项目COD排放量0.1806t/a，</w:t>
            </w:r>
            <w:r>
              <w:rPr>
                <w:rFonts w:ascii="Arial" w:hAnsi="Arial" w:eastAsia="宋体" w:cs="Arial"/>
                <w:sz w:val="21"/>
                <w:szCs w:val="21"/>
              </w:rPr>
              <w:t>NH</w:t>
            </w:r>
            <w:r>
              <w:rPr>
                <w:rFonts w:ascii="Arial" w:hAnsi="Arial" w:eastAsia="宋体" w:cs="Arial"/>
                <w:sz w:val="21"/>
                <w:szCs w:val="21"/>
                <w:vertAlign w:val="subscript"/>
              </w:rPr>
              <w:t>3</w:t>
            </w:r>
            <w:r>
              <w:rPr>
                <w:rFonts w:ascii="Arial" w:hAnsi="Arial" w:eastAsia="宋体" w:cs="Arial"/>
                <w:sz w:val="21"/>
                <w:szCs w:val="21"/>
              </w:rPr>
              <w:t xml:space="preserve"> –N</w:t>
            </w:r>
            <w:r>
              <w:rPr>
                <w:rFonts w:hint="eastAsia" w:ascii="Arial" w:hAnsi="Arial" w:eastAsia="宋体" w:cs="Arial"/>
                <w:sz w:val="21"/>
                <w:szCs w:val="21"/>
              </w:rPr>
              <w:t>排放量0.0249t/a。根据规划环评报告，该报告规划污染物总量时已考虑了中伟一~三阶段项目及一体化项目，规划环评报告已考虑的中伟公司COD排放量205.896t/a，</w:t>
            </w:r>
            <w:r>
              <w:rPr>
                <w:rFonts w:ascii="Arial" w:hAnsi="Arial" w:eastAsia="宋体" w:cs="Arial"/>
                <w:sz w:val="21"/>
                <w:szCs w:val="21"/>
              </w:rPr>
              <w:t>NH</w:t>
            </w:r>
            <w:r>
              <w:rPr>
                <w:rFonts w:ascii="Arial" w:hAnsi="Arial" w:eastAsia="宋体" w:cs="Arial"/>
                <w:sz w:val="21"/>
                <w:szCs w:val="21"/>
                <w:vertAlign w:val="subscript"/>
              </w:rPr>
              <w:t>3</w:t>
            </w:r>
            <w:r>
              <w:rPr>
                <w:rFonts w:ascii="Arial" w:hAnsi="Arial" w:eastAsia="宋体" w:cs="Arial"/>
                <w:sz w:val="21"/>
                <w:szCs w:val="21"/>
              </w:rPr>
              <w:t xml:space="preserve"> –N</w:t>
            </w:r>
            <w:r>
              <w:rPr>
                <w:rFonts w:hint="eastAsia" w:ascii="Arial" w:hAnsi="Arial" w:eastAsia="宋体" w:cs="Arial"/>
                <w:sz w:val="21"/>
                <w:szCs w:val="21"/>
              </w:rPr>
              <w:t>排放量39.63t/a。本项目建成后，中伟公司COD排放量58.8315t/a，</w:t>
            </w:r>
            <w:r>
              <w:rPr>
                <w:rFonts w:ascii="Arial" w:hAnsi="Arial" w:eastAsia="宋体" w:cs="Arial"/>
                <w:sz w:val="21"/>
                <w:szCs w:val="21"/>
              </w:rPr>
              <w:t>NH</w:t>
            </w:r>
            <w:r>
              <w:rPr>
                <w:rFonts w:ascii="Arial" w:hAnsi="Arial" w:eastAsia="宋体" w:cs="Arial"/>
                <w:sz w:val="21"/>
                <w:szCs w:val="21"/>
                <w:vertAlign w:val="subscript"/>
              </w:rPr>
              <w:t>3</w:t>
            </w:r>
            <w:r>
              <w:rPr>
                <w:rFonts w:ascii="Arial" w:hAnsi="Arial" w:eastAsia="宋体" w:cs="Arial"/>
                <w:sz w:val="21"/>
                <w:szCs w:val="21"/>
              </w:rPr>
              <w:t xml:space="preserve"> –N</w:t>
            </w:r>
            <w:r>
              <w:rPr>
                <w:rFonts w:hint="eastAsia" w:ascii="Arial" w:hAnsi="Arial" w:eastAsia="宋体" w:cs="Arial"/>
                <w:sz w:val="21"/>
                <w:szCs w:val="21"/>
              </w:rPr>
              <w:t>排放量6.0813t/a，均在规划总量范围内。因此，项目建设符合园区总量控制要求</w:t>
            </w:r>
            <w:r>
              <w:rPr>
                <w:rFonts w:ascii="Arial" w:hAnsi="Arial" w:eastAsia="宋体" w:cs="Arial"/>
                <w:sz w:val="21"/>
                <w:szCs w:val="21"/>
              </w:rPr>
              <w:t>。</w:t>
            </w:r>
          </w:p>
        </w:tc>
      </w:tr>
      <w:tr w14:paraId="5A369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6F4686F">
            <w:pPr>
              <w:widowControl/>
              <w:jc w:val="left"/>
              <w:rPr>
                <w:rFonts w:ascii="Arial" w:hAnsi="Arial" w:eastAsia="宋体" w:cs="Arial"/>
                <w:sz w:val="21"/>
                <w:szCs w:val="21"/>
                <w:highlight w:val="yellow"/>
              </w:rPr>
            </w:pPr>
          </w:p>
        </w:tc>
        <w:tc>
          <w:tcPr>
            <w:tcW w:w="947" w:type="pct"/>
            <w:tcBorders>
              <w:top w:val="single" w:color="auto" w:sz="4" w:space="0"/>
              <w:left w:val="single" w:color="auto" w:sz="4" w:space="0"/>
              <w:bottom w:val="single" w:color="auto" w:sz="4" w:space="0"/>
              <w:right w:val="single" w:color="auto" w:sz="4" w:space="0"/>
            </w:tcBorders>
            <w:vAlign w:val="center"/>
          </w:tcPr>
          <w:p w14:paraId="49574630">
            <w:pPr>
              <w:adjustRightInd w:val="0"/>
              <w:snapToGrid w:val="0"/>
              <w:jc w:val="left"/>
              <w:rPr>
                <w:rFonts w:ascii="Arial" w:hAnsi="Arial" w:eastAsia="宋体" w:cs="Arial"/>
                <w:sz w:val="21"/>
                <w:szCs w:val="21"/>
              </w:rPr>
            </w:pPr>
            <w:r>
              <w:rPr>
                <w:rFonts w:ascii="Arial" w:hAnsi="Arial" w:eastAsia="宋体" w:cs="Arial"/>
                <w:sz w:val="21"/>
                <w:szCs w:val="21"/>
              </w:rPr>
              <w:t>水污染物排放总量</w:t>
            </w:r>
          </w:p>
        </w:tc>
        <w:tc>
          <w:tcPr>
            <w:tcW w:w="1788" w:type="pct"/>
            <w:tcBorders>
              <w:top w:val="single" w:color="auto" w:sz="4" w:space="0"/>
              <w:left w:val="single" w:color="auto" w:sz="4" w:space="0"/>
              <w:bottom w:val="single" w:color="auto" w:sz="4" w:space="0"/>
              <w:right w:val="single" w:color="auto" w:sz="4" w:space="0"/>
            </w:tcBorders>
            <w:vAlign w:val="center"/>
          </w:tcPr>
          <w:p w14:paraId="342C6D70">
            <w:pPr>
              <w:adjustRightInd w:val="0"/>
              <w:snapToGrid w:val="0"/>
              <w:jc w:val="left"/>
              <w:rPr>
                <w:rFonts w:ascii="Arial" w:hAnsi="Arial" w:eastAsia="宋体" w:cs="Arial"/>
                <w:sz w:val="21"/>
                <w:szCs w:val="21"/>
              </w:rPr>
            </w:pPr>
            <w:r>
              <w:rPr>
                <w:rFonts w:ascii="Arial" w:hAnsi="Arial" w:eastAsia="宋体" w:cs="Arial"/>
                <w:sz w:val="21"/>
                <w:szCs w:val="21"/>
              </w:rPr>
              <w:t>近期：COD912.5t/a，NH</w:t>
            </w:r>
            <w:r>
              <w:rPr>
                <w:rFonts w:ascii="Arial" w:hAnsi="Arial" w:eastAsia="宋体" w:cs="Arial"/>
                <w:sz w:val="21"/>
                <w:szCs w:val="21"/>
                <w:vertAlign w:val="subscript"/>
              </w:rPr>
              <w:t>3</w:t>
            </w:r>
            <w:r>
              <w:rPr>
                <w:rFonts w:ascii="Arial" w:hAnsi="Arial" w:eastAsia="宋体" w:cs="Arial"/>
                <w:sz w:val="21"/>
                <w:szCs w:val="21"/>
              </w:rPr>
              <w:t xml:space="preserve"> -N91.25t/a</w:t>
            </w:r>
          </w:p>
          <w:p w14:paraId="276F3EE6">
            <w:pPr>
              <w:adjustRightInd w:val="0"/>
              <w:snapToGrid w:val="0"/>
              <w:jc w:val="left"/>
              <w:rPr>
                <w:rFonts w:ascii="Arial" w:hAnsi="Arial" w:eastAsia="宋体" w:cs="Arial"/>
                <w:sz w:val="21"/>
                <w:szCs w:val="21"/>
              </w:rPr>
            </w:pPr>
            <w:r>
              <w:rPr>
                <w:rFonts w:ascii="Arial" w:hAnsi="Arial" w:eastAsia="宋体" w:cs="Arial"/>
                <w:sz w:val="21"/>
                <w:szCs w:val="21"/>
              </w:rPr>
              <w:t>远期：COD4562.50t/a，NH</w:t>
            </w:r>
            <w:r>
              <w:rPr>
                <w:rFonts w:ascii="Arial" w:hAnsi="Arial" w:eastAsia="宋体" w:cs="Arial"/>
                <w:sz w:val="21"/>
                <w:szCs w:val="21"/>
                <w:vertAlign w:val="subscript"/>
              </w:rPr>
              <w:t>3</w:t>
            </w:r>
            <w:r>
              <w:rPr>
                <w:rFonts w:ascii="Arial" w:hAnsi="Arial" w:eastAsia="宋体" w:cs="Arial"/>
                <w:sz w:val="21"/>
                <w:szCs w:val="21"/>
              </w:rPr>
              <w:t>-N456.25t/a</w:t>
            </w:r>
          </w:p>
        </w:tc>
        <w:tc>
          <w:tcPr>
            <w:tcW w:w="1857" w:type="pct"/>
            <w:vMerge w:val="continue"/>
            <w:tcBorders>
              <w:left w:val="single" w:color="auto" w:sz="4" w:space="0"/>
              <w:bottom w:val="single" w:color="auto" w:sz="4" w:space="0"/>
              <w:right w:val="single" w:color="auto" w:sz="4" w:space="0"/>
            </w:tcBorders>
            <w:vAlign w:val="center"/>
          </w:tcPr>
          <w:p w14:paraId="71CCD5E4">
            <w:pPr>
              <w:adjustRightInd w:val="0"/>
              <w:snapToGrid w:val="0"/>
              <w:jc w:val="left"/>
              <w:rPr>
                <w:rFonts w:ascii="Arial" w:hAnsi="Arial" w:eastAsia="宋体" w:cs="Arial"/>
                <w:sz w:val="21"/>
                <w:szCs w:val="21"/>
              </w:rPr>
            </w:pPr>
          </w:p>
        </w:tc>
      </w:tr>
      <w:tr w14:paraId="19353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7A89F682">
            <w:pPr>
              <w:widowControl/>
              <w:jc w:val="left"/>
              <w:rPr>
                <w:rFonts w:ascii="Arial" w:hAnsi="Arial" w:eastAsia="宋体" w:cs="Arial"/>
                <w:sz w:val="21"/>
                <w:szCs w:val="21"/>
                <w:highlight w:val="yellow"/>
              </w:rPr>
            </w:pPr>
          </w:p>
        </w:tc>
        <w:tc>
          <w:tcPr>
            <w:tcW w:w="2735" w:type="pct"/>
            <w:gridSpan w:val="2"/>
            <w:tcBorders>
              <w:top w:val="single" w:color="auto" w:sz="4" w:space="0"/>
              <w:left w:val="single" w:color="auto" w:sz="4" w:space="0"/>
              <w:bottom w:val="single" w:color="auto" w:sz="4" w:space="0"/>
              <w:right w:val="single" w:color="auto" w:sz="4" w:space="0"/>
            </w:tcBorders>
            <w:vAlign w:val="center"/>
          </w:tcPr>
          <w:p w14:paraId="19C2D443">
            <w:pPr>
              <w:adjustRightInd w:val="0"/>
              <w:snapToGrid w:val="0"/>
              <w:jc w:val="left"/>
              <w:rPr>
                <w:rFonts w:ascii="Arial" w:hAnsi="Arial" w:eastAsia="宋体" w:cs="Arial"/>
                <w:sz w:val="21"/>
                <w:szCs w:val="21"/>
              </w:rPr>
            </w:pPr>
            <w:r>
              <w:rPr>
                <w:rFonts w:ascii="Arial" w:hAnsi="Arial" w:eastAsia="宋体" w:cs="Arial"/>
                <w:sz w:val="21"/>
                <w:szCs w:val="21"/>
              </w:rPr>
              <w:t>1.建设项目污染物排放应符合园区的总量控制要求，确保污染物达标排放，不造成区域环境质量降级。</w:t>
            </w:r>
          </w:p>
          <w:p w14:paraId="6255CBB4">
            <w:pPr>
              <w:adjustRightInd w:val="0"/>
              <w:snapToGrid w:val="0"/>
              <w:jc w:val="left"/>
              <w:rPr>
                <w:rFonts w:ascii="Arial" w:hAnsi="Arial" w:eastAsia="宋体" w:cs="Arial"/>
                <w:sz w:val="21"/>
                <w:szCs w:val="21"/>
              </w:rPr>
            </w:pPr>
            <w:r>
              <w:rPr>
                <w:rFonts w:ascii="Arial" w:hAnsi="Arial" w:eastAsia="宋体" w:cs="Arial"/>
                <w:sz w:val="21"/>
                <w:szCs w:val="21"/>
              </w:rPr>
              <w:t>2.新建“两高”项目应按照《关于加强重点行业建设项目区域削减措施监督管理的通知》要求，依据区域环境质量改善目标，制定配套区域污染物削减方案，采取有效的污染物区域削减措施，腾出足够的环境容量。</w:t>
            </w:r>
          </w:p>
          <w:p w14:paraId="1074AF88">
            <w:pPr>
              <w:adjustRightInd w:val="0"/>
              <w:snapToGrid w:val="0"/>
              <w:jc w:val="left"/>
              <w:rPr>
                <w:rFonts w:ascii="Arial" w:hAnsi="Arial" w:eastAsia="宋体" w:cs="Arial"/>
                <w:sz w:val="21"/>
                <w:szCs w:val="21"/>
              </w:rPr>
            </w:pPr>
            <w:r>
              <w:rPr>
                <w:rFonts w:ascii="Arial" w:hAnsi="Arial" w:eastAsia="宋体" w:cs="Arial"/>
                <w:sz w:val="21"/>
                <w:szCs w:val="21"/>
              </w:rPr>
              <w:t>3.新建、扩建、改建涉及重点重金属排放建设项目依照相关规定实行总量控制。</w:t>
            </w:r>
          </w:p>
          <w:p w14:paraId="677EA089">
            <w:pPr>
              <w:adjustRightInd w:val="0"/>
              <w:snapToGrid w:val="0"/>
              <w:jc w:val="left"/>
              <w:rPr>
                <w:rFonts w:ascii="Arial" w:hAnsi="Arial" w:eastAsia="宋体" w:cs="Arial"/>
                <w:sz w:val="21"/>
                <w:szCs w:val="21"/>
              </w:rPr>
            </w:pPr>
            <w:r>
              <w:rPr>
                <w:rFonts w:ascii="Arial" w:hAnsi="Arial" w:eastAsia="宋体" w:cs="Arial"/>
                <w:sz w:val="21"/>
                <w:szCs w:val="21"/>
              </w:rPr>
              <w:t>4.加强园区挥发性有机物排放企业精细化管控，无组织废气排放控制以及高效收集和治污设施建设，大力提升挥发性有机物排放收集率、去除率和治理设施运行率，严格控制挥发性有机污染物排放。采用全密闭、连续化、自动化等生产技术以及高效工艺与设备等，减少工艺过程无组织排放。</w:t>
            </w:r>
          </w:p>
          <w:p w14:paraId="7FE1A772">
            <w:pPr>
              <w:adjustRightInd w:val="0"/>
              <w:snapToGrid w:val="0"/>
              <w:jc w:val="left"/>
              <w:rPr>
                <w:rFonts w:ascii="Arial" w:hAnsi="Arial" w:eastAsia="宋体" w:cs="Arial"/>
                <w:sz w:val="21"/>
                <w:szCs w:val="21"/>
              </w:rPr>
            </w:pPr>
            <w:r>
              <w:rPr>
                <w:rFonts w:ascii="Arial" w:hAnsi="Arial" w:eastAsia="宋体" w:cs="Arial"/>
                <w:sz w:val="21"/>
                <w:szCs w:val="21"/>
              </w:rPr>
              <w:t>5.推进园区污水处理厂升级改造，实行“清污分流、雨污分流”，实现废水分类收集、分质处理，入园企业应在达到纳管标准后接入污水处理厂处理。</w:t>
            </w:r>
          </w:p>
          <w:p w14:paraId="0EE1AE0A">
            <w:pPr>
              <w:adjustRightInd w:val="0"/>
              <w:snapToGrid w:val="0"/>
              <w:jc w:val="left"/>
              <w:rPr>
                <w:rFonts w:ascii="Arial" w:hAnsi="Arial" w:eastAsia="宋体" w:cs="Arial"/>
                <w:sz w:val="21"/>
                <w:szCs w:val="21"/>
              </w:rPr>
            </w:pPr>
            <w:r>
              <w:rPr>
                <w:rFonts w:ascii="Arial" w:hAnsi="Arial" w:eastAsia="宋体" w:cs="Arial"/>
                <w:sz w:val="21"/>
                <w:szCs w:val="21"/>
              </w:rPr>
              <w:t>6.入园建设项目主要污染物排放应控制在区域环境承载能力范围内，并确保完成下达的主要污染物排放总量削减的约束性任务，保障环境质量达标。</w:t>
            </w:r>
          </w:p>
          <w:p w14:paraId="02DE5F39">
            <w:pPr>
              <w:adjustRightInd w:val="0"/>
              <w:snapToGrid w:val="0"/>
              <w:jc w:val="left"/>
              <w:rPr>
                <w:rFonts w:ascii="Arial" w:hAnsi="Arial" w:eastAsia="宋体" w:cs="Arial"/>
                <w:sz w:val="21"/>
                <w:szCs w:val="21"/>
              </w:rPr>
            </w:pPr>
            <w:r>
              <w:rPr>
                <w:rFonts w:ascii="Arial" w:hAnsi="Arial" w:eastAsia="宋体" w:cs="Arial"/>
                <w:sz w:val="21"/>
                <w:szCs w:val="21"/>
              </w:rPr>
              <w:t>7.园区污水处理厂执行《城镇污水处理厂污染物排放标准》（GB18918-2002）一级标准A标准。园区污水处理厂要保障出水水质稳定达标排放。</w:t>
            </w:r>
          </w:p>
          <w:p w14:paraId="27F7B9EB">
            <w:pPr>
              <w:adjustRightInd w:val="0"/>
              <w:snapToGrid w:val="0"/>
              <w:jc w:val="left"/>
              <w:rPr>
                <w:rFonts w:ascii="Arial" w:hAnsi="Arial" w:eastAsia="宋体" w:cs="Arial"/>
                <w:sz w:val="21"/>
                <w:szCs w:val="21"/>
              </w:rPr>
            </w:pPr>
            <w:r>
              <w:rPr>
                <w:rFonts w:ascii="Arial" w:hAnsi="Arial" w:eastAsia="宋体" w:cs="Arial"/>
                <w:sz w:val="21"/>
                <w:szCs w:val="21"/>
              </w:rPr>
              <w:t>8.提升危险废物处置和利用能力，推动工业固体废物依法纳入排污许可管理，禁止进口洋垃圾，严厉打击涉固体废物环境违法行为。</w:t>
            </w:r>
          </w:p>
        </w:tc>
        <w:tc>
          <w:tcPr>
            <w:tcW w:w="1857" w:type="pct"/>
            <w:tcBorders>
              <w:top w:val="single" w:color="auto" w:sz="4" w:space="0"/>
              <w:left w:val="single" w:color="auto" w:sz="4" w:space="0"/>
              <w:bottom w:val="single" w:color="auto" w:sz="4" w:space="0"/>
              <w:right w:val="single" w:color="auto" w:sz="4" w:space="0"/>
            </w:tcBorders>
            <w:vAlign w:val="center"/>
          </w:tcPr>
          <w:p w14:paraId="65A4264B">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14:paraId="655DE562">
            <w:pPr>
              <w:adjustRightInd w:val="0"/>
              <w:snapToGrid w:val="0"/>
              <w:jc w:val="left"/>
              <w:rPr>
                <w:rFonts w:ascii="Arial" w:hAnsi="Arial" w:eastAsia="宋体" w:cs="Arial"/>
                <w:sz w:val="21"/>
                <w:szCs w:val="21"/>
              </w:rPr>
            </w:pPr>
            <w:r>
              <w:rPr>
                <w:rFonts w:ascii="Arial" w:hAnsi="Arial" w:eastAsia="宋体" w:cs="Arial"/>
                <w:sz w:val="21"/>
                <w:szCs w:val="21"/>
              </w:rPr>
              <w:t>1.项目各污染物可达标排放，</w:t>
            </w:r>
            <w:r>
              <w:rPr>
                <w:rFonts w:hint="eastAsia" w:ascii="Arial" w:hAnsi="Arial" w:eastAsia="宋体" w:cs="Arial"/>
                <w:sz w:val="21"/>
                <w:szCs w:val="21"/>
              </w:rPr>
              <w:t>污染物排放符合园区总量控制要求</w:t>
            </w:r>
            <w:r>
              <w:rPr>
                <w:rFonts w:ascii="Arial" w:hAnsi="Arial" w:eastAsia="宋体" w:cs="Arial"/>
                <w:sz w:val="21"/>
                <w:szCs w:val="21"/>
              </w:rPr>
              <w:t>，根据预测，项目建设不造成区域环境质量降级。</w:t>
            </w:r>
          </w:p>
          <w:p w14:paraId="5E35CE25">
            <w:pPr>
              <w:adjustRightInd w:val="0"/>
              <w:snapToGrid w:val="0"/>
              <w:jc w:val="left"/>
              <w:rPr>
                <w:rFonts w:ascii="Arial" w:hAnsi="Arial" w:eastAsia="宋体" w:cs="Arial"/>
                <w:sz w:val="21"/>
                <w:szCs w:val="21"/>
              </w:rPr>
            </w:pPr>
            <w:r>
              <w:rPr>
                <w:rFonts w:ascii="Arial" w:hAnsi="Arial" w:eastAsia="宋体" w:cs="Arial"/>
                <w:sz w:val="21"/>
                <w:szCs w:val="21"/>
              </w:rPr>
              <w:t>2.项目不属于“两高”项目。</w:t>
            </w:r>
          </w:p>
          <w:p w14:paraId="513250B6">
            <w:pPr>
              <w:adjustRightInd w:val="0"/>
              <w:snapToGrid w:val="0"/>
              <w:jc w:val="left"/>
              <w:rPr>
                <w:rFonts w:ascii="Arial" w:hAnsi="Arial" w:eastAsia="宋体" w:cs="Arial"/>
                <w:sz w:val="21"/>
                <w:szCs w:val="21"/>
              </w:rPr>
            </w:pPr>
            <w:r>
              <w:rPr>
                <w:rFonts w:ascii="Arial" w:hAnsi="Arial" w:eastAsia="宋体" w:cs="Arial"/>
                <w:sz w:val="21"/>
                <w:szCs w:val="21"/>
              </w:rPr>
              <w:t>3.项目不排放重点重金属。</w:t>
            </w:r>
          </w:p>
          <w:p w14:paraId="124F25D8">
            <w:pPr>
              <w:adjustRightInd w:val="0"/>
              <w:snapToGrid w:val="0"/>
              <w:jc w:val="left"/>
              <w:rPr>
                <w:rFonts w:ascii="Arial" w:hAnsi="Arial" w:eastAsia="宋体" w:cs="Arial"/>
                <w:sz w:val="21"/>
                <w:szCs w:val="21"/>
              </w:rPr>
            </w:pPr>
            <w:r>
              <w:rPr>
                <w:rFonts w:ascii="Arial" w:hAnsi="Arial" w:eastAsia="宋体" w:cs="Arial"/>
                <w:sz w:val="21"/>
                <w:szCs w:val="21"/>
              </w:rPr>
              <w:t>4.项目采用全密闭、连续化、自动化等生产技术收集车间废气，设计已加强减少工艺过程无组织排放。</w:t>
            </w:r>
          </w:p>
          <w:p w14:paraId="016B8D24">
            <w:pPr>
              <w:adjustRightInd w:val="0"/>
              <w:snapToGrid w:val="0"/>
              <w:jc w:val="left"/>
              <w:rPr>
                <w:rFonts w:ascii="Arial" w:hAnsi="Arial" w:eastAsia="宋体" w:cs="Arial"/>
                <w:sz w:val="21"/>
                <w:szCs w:val="21"/>
              </w:rPr>
            </w:pPr>
            <w:r>
              <w:rPr>
                <w:rFonts w:ascii="Arial" w:hAnsi="Arial" w:eastAsia="宋体" w:cs="Arial"/>
                <w:sz w:val="21"/>
                <w:szCs w:val="21"/>
              </w:rPr>
              <w:t>5.项目实行“清污分流、雨污分流”，废水分类收集、分质处理，生活污水经预处理后排入大榄坪污水处理厂处理。</w:t>
            </w:r>
          </w:p>
          <w:p w14:paraId="16123E00">
            <w:pPr>
              <w:adjustRightInd w:val="0"/>
              <w:snapToGrid w:val="0"/>
              <w:jc w:val="left"/>
              <w:rPr>
                <w:rFonts w:ascii="Arial" w:hAnsi="Arial" w:eastAsia="宋体" w:cs="Arial"/>
                <w:sz w:val="21"/>
                <w:szCs w:val="21"/>
              </w:rPr>
            </w:pPr>
            <w:r>
              <w:rPr>
                <w:rFonts w:ascii="Arial" w:hAnsi="Arial" w:eastAsia="宋体" w:cs="Arial"/>
                <w:sz w:val="21"/>
                <w:szCs w:val="21"/>
              </w:rPr>
              <w:t>6.根据预测项目外排污染物在区域环境承载能力范围内。</w:t>
            </w:r>
          </w:p>
          <w:p w14:paraId="54E14803">
            <w:pPr>
              <w:adjustRightInd w:val="0"/>
              <w:snapToGrid w:val="0"/>
              <w:jc w:val="left"/>
              <w:rPr>
                <w:rFonts w:ascii="Arial" w:hAnsi="Arial" w:eastAsia="宋体" w:cs="Arial"/>
                <w:sz w:val="21"/>
                <w:szCs w:val="21"/>
              </w:rPr>
            </w:pPr>
            <w:r>
              <w:rPr>
                <w:rFonts w:ascii="Arial" w:hAnsi="Arial" w:eastAsia="宋体" w:cs="Arial"/>
                <w:sz w:val="21"/>
                <w:szCs w:val="21"/>
              </w:rPr>
              <w:t>7.项目</w:t>
            </w:r>
            <w:r>
              <w:rPr>
                <w:rFonts w:hint="eastAsia" w:ascii="Arial" w:hAnsi="Arial" w:eastAsia="宋体" w:cs="Arial"/>
                <w:sz w:val="21"/>
                <w:szCs w:val="21"/>
              </w:rPr>
              <w:t>不适用</w:t>
            </w:r>
            <w:r>
              <w:rPr>
                <w:rFonts w:ascii="Arial" w:hAnsi="Arial" w:eastAsia="宋体" w:cs="Arial"/>
                <w:sz w:val="21"/>
                <w:szCs w:val="21"/>
              </w:rPr>
              <w:t>。</w:t>
            </w:r>
          </w:p>
          <w:p w14:paraId="61948167">
            <w:pPr>
              <w:adjustRightInd w:val="0"/>
              <w:snapToGrid w:val="0"/>
              <w:jc w:val="left"/>
              <w:rPr>
                <w:rFonts w:ascii="Arial" w:hAnsi="Arial" w:eastAsia="宋体" w:cs="Arial"/>
                <w:sz w:val="21"/>
                <w:szCs w:val="21"/>
              </w:rPr>
            </w:pPr>
            <w:r>
              <w:rPr>
                <w:rFonts w:ascii="Arial" w:hAnsi="Arial" w:eastAsia="宋体" w:cs="Arial"/>
                <w:sz w:val="21"/>
                <w:szCs w:val="21"/>
              </w:rPr>
              <w:t>8.项目不使用洋垃圾，各类固体废物分类收集处置。</w:t>
            </w:r>
          </w:p>
        </w:tc>
      </w:tr>
      <w:tr w14:paraId="67407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op w:val="single" w:color="auto" w:sz="4" w:space="0"/>
              <w:left w:val="single" w:color="auto" w:sz="4" w:space="0"/>
              <w:bottom w:val="single" w:color="auto" w:sz="4" w:space="0"/>
              <w:right w:val="single" w:color="auto" w:sz="4" w:space="0"/>
            </w:tcBorders>
            <w:vAlign w:val="center"/>
          </w:tcPr>
          <w:p w14:paraId="2A14809A">
            <w:pPr>
              <w:adjustRightInd w:val="0"/>
              <w:snapToGrid w:val="0"/>
              <w:jc w:val="center"/>
              <w:rPr>
                <w:rFonts w:ascii="Arial" w:hAnsi="Arial" w:eastAsia="宋体" w:cs="Arial"/>
                <w:sz w:val="21"/>
                <w:szCs w:val="21"/>
              </w:rPr>
            </w:pPr>
            <w:r>
              <w:rPr>
                <w:rFonts w:ascii="Arial" w:hAnsi="Arial" w:eastAsia="宋体" w:cs="Arial"/>
                <w:sz w:val="21"/>
                <w:szCs w:val="21"/>
              </w:rPr>
              <w:t>环境风险防控</w:t>
            </w:r>
          </w:p>
        </w:tc>
        <w:tc>
          <w:tcPr>
            <w:tcW w:w="2735" w:type="pct"/>
            <w:gridSpan w:val="2"/>
            <w:tcBorders>
              <w:top w:val="single" w:color="auto" w:sz="4" w:space="0"/>
              <w:left w:val="single" w:color="auto" w:sz="4" w:space="0"/>
              <w:bottom w:val="single" w:color="auto" w:sz="4" w:space="0"/>
              <w:right w:val="single" w:color="auto" w:sz="4" w:space="0"/>
            </w:tcBorders>
            <w:vAlign w:val="center"/>
          </w:tcPr>
          <w:p w14:paraId="6F966910">
            <w:pPr>
              <w:adjustRightInd w:val="0"/>
              <w:snapToGrid w:val="0"/>
              <w:jc w:val="left"/>
              <w:rPr>
                <w:rFonts w:ascii="Arial" w:hAnsi="Arial" w:eastAsia="宋体" w:cs="Arial"/>
                <w:sz w:val="21"/>
                <w:szCs w:val="21"/>
              </w:rPr>
            </w:pPr>
            <w:r>
              <w:rPr>
                <w:rFonts w:ascii="Arial" w:hAnsi="Arial" w:eastAsia="宋体" w:cs="Arial"/>
                <w:sz w:val="21"/>
                <w:szCs w:val="21"/>
              </w:rPr>
              <w:t>1.建立污染源头、过程处理和最终排放的“三级防控”机制，开展环境风险评估，制定突发环境事件应急预案并备案，配备应急能力和物资，建设环境应急队伍，并定期演练。企业、园区与地方人民政府环境应急预案应当有机衔接。</w:t>
            </w:r>
          </w:p>
          <w:p w14:paraId="784971D6">
            <w:pPr>
              <w:adjustRightInd w:val="0"/>
              <w:snapToGrid w:val="0"/>
              <w:jc w:val="left"/>
              <w:rPr>
                <w:rFonts w:ascii="Arial" w:hAnsi="Arial" w:eastAsia="宋体" w:cs="Arial"/>
                <w:sz w:val="21"/>
                <w:szCs w:val="21"/>
              </w:rPr>
            </w:pPr>
            <w:r>
              <w:rPr>
                <w:rFonts w:ascii="Arial" w:hAnsi="Arial" w:eastAsia="宋体" w:cs="Arial"/>
                <w:sz w:val="21"/>
                <w:szCs w:val="21"/>
              </w:rPr>
              <w:t>2.涉及重大危险源的，需要建设危险化学品安全生产风险监测预警系统，以安全生产许可作为其前置条件。建立健全有毒有害化学物质环境管理制度，开展新污染物筛查、评估，推行重点行业重点化学物质生产使用信息调查和环境危害评估，识别有毒有害化学物质，建立新污染物清单。</w:t>
            </w:r>
          </w:p>
          <w:p w14:paraId="34A115A8">
            <w:pPr>
              <w:adjustRightInd w:val="0"/>
              <w:snapToGrid w:val="0"/>
              <w:jc w:val="left"/>
              <w:rPr>
                <w:rFonts w:ascii="Arial" w:hAnsi="Arial" w:eastAsia="宋体" w:cs="Arial"/>
                <w:sz w:val="21"/>
                <w:szCs w:val="21"/>
              </w:rPr>
            </w:pPr>
            <w:r>
              <w:rPr>
                <w:rFonts w:ascii="Arial" w:hAnsi="Arial" w:eastAsia="宋体" w:cs="Arial"/>
                <w:sz w:val="21"/>
                <w:szCs w:val="21"/>
              </w:rPr>
              <w:t>3.园区应设立事故应急池，防止事故状态下园区废水污染海洋环境，威胁海洋安全。</w:t>
            </w:r>
          </w:p>
          <w:p w14:paraId="22C88BB3">
            <w:pPr>
              <w:adjustRightInd w:val="0"/>
              <w:snapToGrid w:val="0"/>
              <w:jc w:val="left"/>
              <w:rPr>
                <w:rFonts w:ascii="Arial" w:hAnsi="Arial" w:eastAsia="宋体" w:cs="Arial"/>
                <w:sz w:val="21"/>
                <w:szCs w:val="21"/>
              </w:rPr>
            </w:pPr>
            <w:r>
              <w:rPr>
                <w:rFonts w:ascii="Arial" w:hAnsi="Arial" w:eastAsia="宋体" w:cs="Arial"/>
                <w:sz w:val="21"/>
                <w:szCs w:val="21"/>
              </w:rPr>
              <w:t>4.园区应积极参与区域污染联防联控，逐步建立一体化的综合防治体系。</w:t>
            </w:r>
          </w:p>
          <w:p w14:paraId="02A41850">
            <w:pPr>
              <w:adjustRightInd w:val="0"/>
              <w:snapToGrid w:val="0"/>
              <w:jc w:val="left"/>
              <w:rPr>
                <w:rFonts w:ascii="Arial" w:hAnsi="Arial" w:eastAsia="宋体" w:cs="Arial"/>
                <w:sz w:val="21"/>
                <w:szCs w:val="21"/>
              </w:rPr>
            </w:pPr>
            <w:r>
              <w:rPr>
                <w:rFonts w:ascii="Arial" w:hAnsi="Arial" w:eastAsia="宋体" w:cs="Arial"/>
                <w:sz w:val="21"/>
                <w:szCs w:val="21"/>
              </w:rPr>
              <w:t>5.土壤污染重点监管单位应当严格控制有毒有害物质排放，并按年度向生态环境主管部门报告排放情况；建立土壤污染隐患排查制度，保证持续有效防止有毒有害物质渗漏、流失、扬散；制定、实施自行监测方案，并将监测数据报生态环境主管部门。</w:t>
            </w:r>
          </w:p>
          <w:p w14:paraId="6C457712">
            <w:pPr>
              <w:adjustRightInd w:val="0"/>
              <w:snapToGrid w:val="0"/>
              <w:jc w:val="left"/>
              <w:rPr>
                <w:rFonts w:ascii="Arial" w:hAnsi="Arial" w:eastAsia="宋体" w:cs="Arial"/>
                <w:sz w:val="21"/>
                <w:szCs w:val="21"/>
              </w:rPr>
            </w:pPr>
            <w:r>
              <w:rPr>
                <w:rFonts w:ascii="Arial" w:hAnsi="Arial" w:eastAsia="宋体" w:cs="Arial"/>
                <w:sz w:val="21"/>
                <w:szCs w:val="21"/>
              </w:rPr>
              <w:t>6.涉重企业要采用新技术、新工艺，实现全面达标排放。坚决淘汰不符合国家产业政策的落后生产工艺装备。</w:t>
            </w:r>
          </w:p>
          <w:p w14:paraId="3FF5EEB8">
            <w:pPr>
              <w:adjustRightInd w:val="0"/>
              <w:snapToGrid w:val="0"/>
              <w:jc w:val="left"/>
              <w:rPr>
                <w:rFonts w:ascii="Arial" w:hAnsi="Arial" w:eastAsia="宋体" w:cs="Arial"/>
                <w:sz w:val="21"/>
                <w:szCs w:val="21"/>
              </w:rPr>
            </w:pPr>
            <w:r>
              <w:rPr>
                <w:rFonts w:ascii="Arial" w:hAnsi="Arial" w:eastAsia="宋体" w:cs="Arial"/>
                <w:sz w:val="21"/>
                <w:szCs w:val="21"/>
              </w:rPr>
              <w:t>7.开展环境风险评估，制定突发环境事件应急预案并备案，配备应急能力和物资，建设环境应急队伍，并定期演练。企业、园区与地方人民政府环境应急预案应当有机衔接。</w:t>
            </w:r>
          </w:p>
        </w:tc>
        <w:tc>
          <w:tcPr>
            <w:tcW w:w="1857" w:type="pct"/>
            <w:tcBorders>
              <w:top w:val="single" w:color="auto" w:sz="4" w:space="0"/>
              <w:left w:val="single" w:color="auto" w:sz="4" w:space="0"/>
              <w:bottom w:val="single" w:color="auto" w:sz="4" w:space="0"/>
              <w:right w:val="single" w:color="auto" w:sz="4" w:space="0"/>
            </w:tcBorders>
            <w:vAlign w:val="center"/>
          </w:tcPr>
          <w:p w14:paraId="58D3D917">
            <w:pPr>
              <w:adjustRightInd w:val="0"/>
              <w:snapToGrid w:val="0"/>
              <w:jc w:val="left"/>
              <w:rPr>
                <w:rFonts w:ascii="Arial" w:hAnsi="Arial" w:eastAsia="宋体" w:cs="Arial"/>
                <w:sz w:val="21"/>
                <w:szCs w:val="21"/>
              </w:rPr>
            </w:pPr>
            <w:r>
              <w:rPr>
                <w:rFonts w:ascii="Arial" w:hAnsi="Arial" w:eastAsia="宋体" w:cs="Arial"/>
                <w:b/>
                <w:sz w:val="21"/>
                <w:szCs w:val="21"/>
              </w:rPr>
              <w:t>符合</w:t>
            </w:r>
            <w:r>
              <w:rPr>
                <w:rFonts w:ascii="Arial" w:hAnsi="Arial" w:eastAsia="宋体" w:cs="Arial"/>
                <w:sz w:val="21"/>
                <w:szCs w:val="21"/>
              </w:rPr>
              <w:t>。</w:t>
            </w:r>
          </w:p>
          <w:p w14:paraId="523C35CD">
            <w:pPr>
              <w:adjustRightInd w:val="0"/>
              <w:snapToGrid w:val="0"/>
              <w:jc w:val="left"/>
              <w:rPr>
                <w:rFonts w:ascii="Arial" w:hAnsi="Arial" w:eastAsia="宋体" w:cs="Arial"/>
                <w:sz w:val="21"/>
                <w:szCs w:val="21"/>
              </w:rPr>
            </w:pPr>
            <w:r>
              <w:rPr>
                <w:rFonts w:ascii="Arial" w:hAnsi="Arial" w:eastAsia="宋体" w:cs="Arial"/>
                <w:sz w:val="21"/>
                <w:szCs w:val="21"/>
              </w:rPr>
              <w:t>1.企业已编制突发环境事件应急预案并备案，报告要求将项目增加的内容纳入全厂应急预案，企业、园区及地区环境应急预案进行有机衔接。</w:t>
            </w:r>
          </w:p>
          <w:p w14:paraId="6AE8C945">
            <w:pPr>
              <w:adjustRightInd w:val="0"/>
              <w:snapToGrid w:val="0"/>
              <w:jc w:val="left"/>
              <w:rPr>
                <w:rFonts w:ascii="Arial" w:hAnsi="Arial" w:eastAsia="宋体" w:cs="Arial"/>
                <w:sz w:val="21"/>
                <w:szCs w:val="21"/>
              </w:rPr>
            </w:pPr>
            <w:r>
              <w:rPr>
                <w:rFonts w:ascii="Arial" w:hAnsi="Arial" w:eastAsia="宋体" w:cs="Arial"/>
                <w:sz w:val="21"/>
                <w:szCs w:val="21"/>
              </w:rPr>
              <w:t>2.企业将根据项目建设内容另行编制应急预案，涉及重大危险源的，建设危险化学品安全生产风险监测预警系统，建立健全有毒有害化学物质环境管理制度。</w:t>
            </w:r>
          </w:p>
          <w:p w14:paraId="7F7E470F">
            <w:pPr>
              <w:adjustRightInd w:val="0"/>
              <w:snapToGrid w:val="0"/>
              <w:jc w:val="left"/>
              <w:rPr>
                <w:rFonts w:ascii="Arial" w:hAnsi="Arial" w:eastAsia="宋体" w:cs="Arial"/>
                <w:sz w:val="21"/>
                <w:szCs w:val="21"/>
              </w:rPr>
            </w:pPr>
            <w:r>
              <w:rPr>
                <w:rFonts w:ascii="Arial" w:hAnsi="Arial" w:eastAsia="宋体" w:cs="Arial"/>
                <w:sz w:val="21"/>
                <w:szCs w:val="21"/>
              </w:rPr>
              <w:t>3.本项目不涉及。</w:t>
            </w:r>
          </w:p>
          <w:p w14:paraId="2A791957">
            <w:pPr>
              <w:adjustRightInd w:val="0"/>
              <w:snapToGrid w:val="0"/>
              <w:jc w:val="left"/>
              <w:rPr>
                <w:rFonts w:ascii="Arial" w:hAnsi="Arial" w:eastAsia="宋体" w:cs="Arial"/>
                <w:sz w:val="21"/>
                <w:szCs w:val="21"/>
              </w:rPr>
            </w:pPr>
            <w:r>
              <w:rPr>
                <w:rFonts w:ascii="Arial" w:hAnsi="Arial" w:eastAsia="宋体" w:cs="Arial"/>
                <w:sz w:val="21"/>
                <w:szCs w:val="21"/>
              </w:rPr>
              <w:t>4.本项目不涉及。</w:t>
            </w:r>
          </w:p>
          <w:p w14:paraId="02CDE112">
            <w:pPr>
              <w:adjustRightInd w:val="0"/>
              <w:snapToGrid w:val="0"/>
              <w:jc w:val="left"/>
              <w:rPr>
                <w:rFonts w:ascii="Arial" w:hAnsi="Arial" w:eastAsia="宋体" w:cs="Arial"/>
                <w:sz w:val="21"/>
                <w:szCs w:val="21"/>
              </w:rPr>
            </w:pPr>
            <w:r>
              <w:rPr>
                <w:rFonts w:ascii="Arial" w:hAnsi="Arial" w:eastAsia="宋体" w:cs="Arial"/>
                <w:sz w:val="21"/>
                <w:szCs w:val="21"/>
              </w:rPr>
              <w:t>5.企业不属于土壤污染重点监管单位。</w:t>
            </w:r>
          </w:p>
          <w:p w14:paraId="2F402770">
            <w:pPr>
              <w:adjustRightInd w:val="0"/>
              <w:snapToGrid w:val="0"/>
              <w:jc w:val="left"/>
              <w:rPr>
                <w:rFonts w:ascii="Arial" w:hAnsi="Arial" w:eastAsia="宋体" w:cs="Arial"/>
                <w:sz w:val="21"/>
                <w:szCs w:val="21"/>
              </w:rPr>
            </w:pPr>
            <w:r>
              <w:rPr>
                <w:rFonts w:ascii="Arial" w:hAnsi="Arial" w:eastAsia="宋体" w:cs="Arial"/>
                <w:sz w:val="21"/>
                <w:szCs w:val="21"/>
              </w:rPr>
              <w:t>6.项目生产废水设有除重工艺（树脂除重），项目不使用国家产业政策的落后生产工艺装备。</w:t>
            </w:r>
          </w:p>
          <w:p w14:paraId="4B35BA7F">
            <w:pPr>
              <w:adjustRightInd w:val="0"/>
              <w:snapToGrid w:val="0"/>
              <w:jc w:val="left"/>
              <w:rPr>
                <w:rFonts w:ascii="Arial" w:hAnsi="Arial" w:eastAsia="宋体" w:cs="Arial"/>
                <w:sz w:val="21"/>
                <w:szCs w:val="21"/>
              </w:rPr>
            </w:pPr>
            <w:r>
              <w:rPr>
                <w:rFonts w:ascii="Arial" w:hAnsi="Arial" w:eastAsia="宋体" w:cs="Arial"/>
                <w:sz w:val="21"/>
                <w:szCs w:val="21"/>
              </w:rPr>
              <w:t>7.企业已编制突发环境事件应急预案并备案，报告要求将项目纳入全厂应急预案，企业、园区及地区环境应急预案进行有机衔接。</w:t>
            </w:r>
          </w:p>
        </w:tc>
      </w:tr>
    </w:tbl>
    <w:p w14:paraId="301DFEF1">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环境管理对策要求</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7656"/>
        <w:gridCol w:w="5006"/>
      </w:tblGrid>
      <w:tr w14:paraId="4A405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03" w:type="pct"/>
            <w:tcBorders>
              <w:top w:val="single" w:color="auto" w:sz="4" w:space="0"/>
              <w:left w:val="single" w:color="auto" w:sz="4" w:space="0"/>
              <w:bottom w:val="single" w:color="auto" w:sz="4" w:space="0"/>
              <w:right w:val="single" w:color="auto" w:sz="4" w:space="0"/>
            </w:tcBorders>
            <w:vAlign w:val="center"/>
          </w:tcPr>
          <w:p w14:paraId="09CA202C">
            <w:pPr>
              <w:adjustRightInd w:val="0"/>
              <w:snapToGrid w:val="0"/>
              <w:jc w:val="center"/>
              <w:rPr>
                <w:rFonts w:ascii="Arial" w:hAnsi="Arial" w:eastAsia="宋体" w:cs="Arial"/>
                <w:szCs w:val="21"/>
              </w:rPr>
            </w:pPr>
            <w:r>
              <w:rPr>
                <w:rFonts w:ascii="Arial" w:hAnsi="Arial" w:eastAsia="宋体" w:cs="Arial"/>
                <w:sz w:val="21"/>
                <w:szCs w:val="21"/>
              </w:rPr>
              <w:t>类别</w:t>
            </w:r>
          </w:p>
        </w:tc>
        <w:tc>
          <w:tcPr>
            <w:tcW w:w="2840" w:type="pct"/>
            <w:tcBorders>
              <w:top w:val="single" w:color="auto" w:sz="4" w:space="0"/>
              <w:left w:val="single" w:color="auto" w:sz="4" w:space="0"/>
              <w:bottom w:val="single" w:color="auto" w:sz="4" w:space="0"/>
              <w:right w:val="single" w:color="auto" w:sz="4" w:space="0"/>
            </w:tcBorders>
            <w:vAlign w:val="center"/>
          </w:tcPr>
          <w:p w14:paraId="2A40E970">
            <w:pPr>
              <w:adjustRightInd w:val="0"/>
              <w:snapToGrid w:val="0"/>
              <w:jc w:val="center"/>
              <w:rPr>
                <w:rFonts w:ascii="Arial" w:hAnsi="Arial" w:eastAsia="宋体" w:cs="Arial"/>
                <w:szCs w:val="21"/>
              </w:rPr>
            </w:pPr>
            <w:r>
              <w:rPr>
                <w:rFonts w:ascii="Arial" w:hAnsi="Arial" w:eastAsia="宋体" w:cs="Arial"/>
                <w:sz w:val="21"/>
                <w:szCs w:val="21"/>
              </w:rPr>
              <w:t>规划环评中的要求</w:t>
            </w:r>
          </w:p>
        </w:tc>
        <w:tc>
          <w:tcPr>
            <w:tcW w:w="1857" w:type="pct"/>
            <w:tcBorders>
              <w:top w:val="single" w:color="auto" w:sz="4" w:space="0"/>
              <w:left w:val="single" w:color="auto" w:sz="4" w:space="0"/>
              <w:bottom w:val="single" w:color="auto" w:sz="4" w:space="0"/>
              <w:right w:val="single" w:color="auto" w:sz="4" w:space="0"/>
            </w:tcBorders>
            <w:vAlign w:val="center"/>
          </w:tcPr>
          <w:p w14:paraId="17484309">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14:paraId="1045A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tcBorders>
              <w:top w:val="single" w:color="auto" w:sz="4" w:space="0"/>
              <w:left w:val="single" w:color="auto" w:sz="4" w:space="0"/>
              <w:bottom w:val="single" w:color="auto" w:sz="4" w:space="0"/>
              <w:right w:val="single" w:color="auto" w:sz="4" w:space="0"/>
            </w:tcBorders>
            <w:vAlign w:val="center"/>
          </w:tcPr>
          <w:p w14:paraId="229B8F6F">
            <w:pPr>
              <w:adjustRightInd w:val="0"/>
              <w:snapToGrid w:val="0"/>
              <w:jc w:val="center"/>
              <w:rPr>
                <w:rFonts w:ascii="Arial" w:hAnsi="Arial" w:eastAsia="宋体" w:cs="Arial"/>
                <w:sz w:val="21"/>
                <w:szCs w:val="21"/>
              </w:rPr>
            </w:pPr>
            <w:r>
              <w:rPr>
                <w:rFonts w:ascii="Arial" w:hAnsi="Arial" w:eastAsia="宋体" w:cs="Arial"/>
                <w:sz w:val="21"/>
                <w:szCs w:val="21"/>
              </w:rPr>
              <w:t>资源节约与碳减排措施</w:t>
            </w:r>
          </w:p>
        </w:tc>
        <w:tc>
          <w:tcPr>
            <w:tcW w:w="2840" w:type="pct"/>
            <w:tcBorders>
              <w:top w:val="single" w:color="auto" w:sz="4" w:space="0"/>
              <w:left w:val="single" w:color="auto" w:sz="4" w:space="0"/>
              <w:bottom w:val="single" w:color="auto" w:sz="4" w:space="0"/>
              <w:right w:val="single" w:color="auto" w:sz="4" w:space="0"/>
            </w:tcBorders>
            <w:vAlign w:val="center"/>
          </w:tcPr>
          <w:p w14:paraId="44DA4D12">
            <w:pPr>
              <w:adjustRightInd w:val="0"/>
              <w:snapToGrid w:val="0"/>
              <w:jc w:val="left"/>
              <w:rPr>
                <w:rFonts w:ascii="Arial" w:hAnsi="Arial" w:eastAsia="宋体" w:cs="Arial"/>
                <w:sz w:val="21"/>
                <w:szCs w:val="21"/>
              </w:rPr>
            </w:pPr>
            <w:r>
              <w:rPr>
                <w:rFonts w:ascii="Arial" w:hAnsi="Arial" w:eastAsia="宋体" w:cs="Arial"/>
                <w:sz w:val="21"/>
                <w:szCs w:val="21"/>
              </w:rPr>
              <w:t>为了减少碳排放量、建立低碳经济发展体系，评价建议入园企业采用先进的生产工艺和节能设备，采用电动机变频调速技术等降低动力消耗，通过对低位热能的有效利用进一步提高能源利用效率，对换热器进行除垢和防腐保温，从而减少碳排放量。</w:t>
            </w:r>
          </w:p>
        </w:tc>
        <w:tc>
          <w:tcPr>
            <w:tcW w:w="1857" w:type="pct"/>
            <w:tcBorders>
              <w:top w:val="single" w:color="auto" w:sz="4" w:space="0"/>
              <w:left w:val="single" w:color="auto" w:sz="4" w:space="0"/>
              <w:bottom w:val="single" w:color="auto" w:sz="4" w:space="0"/>
              <w:right w:val="single" w:color="auto" w:sz="4" w:space="0"/>
            </w:tcBorders>
            <w:vAlign w:val="center"/>
          </w:tcPr>
          <w:p w14:paraId="05CB8AC7">
            <w:pPr>
              <w:adjustRightInd w:val="0"/>
              <w:snapToGrid w:val="0"/>
              <w:jc w:val="left"/>
              <w:rPr>
                <w:rFonts w:ascii="Arial" w:hAnsi="Arial" w:eastAsia="宋体" w:cs="Arial"/>
                <w:sz w:val="21"/>
                <w:szCs w:val="21"/>
              </w:rPr>
            </w:pPr>
            <w:r>
              <w:rPr>
                <w:rFonts w:ascii="Arial" w:hAnsi="Arial" w:eastAsia="宋体" w:cs="Arial"/>
                <w:sz w:val="21"/>
                <w:szCs w:val="21"/>
              </w:rPr>
              <w:t>符合。</w:t>
            </w:r>
          </w:p>
          <w:p w14:paraId="6C97A299">
            <w:pPr>
              <w:adjustRightInd w:val="0"/>
              <w:snapToGrid w:val="0"/>
              <w:jc w:val="left"/>
              <w:rPr>
                <w:rFonts w:ascii="Arial" w:hAnsi="Arial" w:eastAsia="宋体" w:cs="Arial"/>
                <w:sz w:val="21"/>
                <w:szCs w:val="21"/>
              </w:rPr>
            </w:pPr>
            <w:r>
              <w:rPr>
                <w:rFonts w:ascii="Arial" w:hAnsi="Arial" w:eastAsia="宋体" w:cs="Arial"/>
                <w:sz w:val="21"/>
                <w:szCs w:val="21"/>
              </w:rPr>
              <w:t>项目生产工艺先进；项目不属于“两高”项目。</w:t>
            </w:r>
          </w:p>
        </w:tc>
      </w:tr>
      <w:tr w14:paraId="7E548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vMerge w:val="restart"/>
            <w:tcBorders>
              <w:top w:val="single" w:color="auto" w:sz="4" w:space="0"/>
              <w:left w:val="single" w:color="auto" w:sz="4" w:space="0"/>
              <w:bottom w:val="single" w:color="auto" w:sz="4" w:space="0"/>
              <w:right w:val="single" w:color="auto" w:sz="4" w:space="0"/>
            </w:tcBorders>
            <w:vAlign w:val="center"/>
          </w:tcPr>
          <w:p w14:paraId="5BC42D2B">
            <w:pPr>
              <w:adjustRightInd w:val="0"/>
              <w:snapToGrid w:val="0"/>
              <w:jc w:val="center"/>
              <w:rPr>
                <w:rFonts w:ascii="Arial" w:hAnsi="Arial" w:eastAsia="宋体" w:cs="Arial"/>
                <w:sz w:val="21"/>
                <w:szCs w:val="21"/>
              </w:rPr>
            </w:pPr>
            <w:r>
              <w:rPr>
                <w:rFonts w:ascii="Arial" w:hAnsi="Arial" w:eastAsia="宋体" w:cs="Arial"/>
                <w:sz w:val="21"/>
                <w:szCs w:val="21"/>
              </w:rPr>
              <w:t>大气环境污染防治措施</w:t>
            </w:r>
          </w:p>
        </w:tc>
        <w:tc>
          <w:tcPr>
            <w:tcW w:w="2840" w:type="pct"/>
            <w:tcBorders>
              <w:top w:val="single" w:color="auto" w:sz="4" w:space="0"/>
              <w:left w:val="single" w:color="auto" w:sz="4" w:space="0"/>
              <w:bottom w:val="single" w:color="auto" w:sz="4" w:space="0"/>
              <w:right w:val="single" w:color="auto" w:sz="4" w:space="0"/>
            </w:tcBorders>
            <w:vAlign w:val="center"/>
          </w:tcPr>
          <w:p w14:paraId="1005AC55">
            <w:pPr>
              <w:adjustRightInd w:val="0"/>
              <w:snapToGrid w:val="0"/>
              <w:jc w:val="left"/>
              <w:rPr>
                <w:rFonts w:ascii="Arial" w:hAnsi="Arial" w:eastAsia="宋体" w:cs="Arial"/>
                <w:sz w:val="21"/>
                <w:szCs w:val="21"/>
              </w:rPr>
            </w:pPr>
            <w:r>
              <w:rPr>
                <w:rFonts w:ascii="Arial" w:hAnsi="Arial" w:eastAsia="宋体" w:cs="Arial"/>
                <w:sz w:val="21"/>
                <w:szCs w:val="21"/>
              </w:rPr>
              <w:t>建议规划区优化能源消费结构，以“清洁”能源为主；加强脱硫、脱硝、高效除尘、柴油机（车）排放净化、环境监测等方面的技术研发，推进技术成果转化应用；发展循环经济。鼓励产业集聚发展，实施园区循环化改造，推进能源梯级利用、水资源循环利用、废物交换利用、土地节约集约利用，促进企业循环式生产、园区循环式发展、产业循环式组合，构建循环型工业体系；园区需严格控制挥发性有机物等的排放浓度和排放量，加大环境监测、信息、应急、监察等能力建设力度，达到标准化建设要求；园区要严格执行污染物排放总量控制计划，尽可能在有限的容量范围内引进更多生产工艺较先进、排污较少的项目。</w:t>
            </w:r>
          </w:p>
        </w:tc>
        <w:tc>
          <w:tcPr>
            <w:tcW w:w="1857" w:type="pct"/>
            <w:tcBorders>
              <w:top w:val="single" w:color="auto" w:sz="4" w:space="0"/>
              <w:left w:val="single" w:color="auto" w:sz="4" w:space="0"/>
              <w:bottom w:val="single" w:color="auto" w:sz="4" w:space="0"/>
              <w:right w:val="single" w:color="auto" w:sz="4" w:space="0"/>
            </w:tcBorders>
            <w:vAlign w:val="center"/>
          </w:tcPr>
          <w:p w14:paraId="44B0E6F6">
            <w:pPr>
              <w:adjustRightInd w:val="0"/>
              <w:snapToGrid w:val="0"/>
              <w:jc w:val="left"/>
              <w:rPr>
                <w:rFonts w:ascii="Arial" w:hAnsi="Arial" w:eastAsia="宋体" w:cs="Arial"/>
                <w:sz w:val="21"/>
                <w:szCs w:val="21"/>
              </w:rPr>
            </w:pPr>
            <w:r>
              <w:rPr>
                <w:rFonts w:ascii="Arial" w:hAnsi="Arial" w:eastAsia="宋体" w:cs="Arial"/>
                <w:sz w:val="21"/>
                <w:szCs w:val="21"/>
              </w:rPr>
              <w:t>符合。</w:t>
            </w:r>
          </w:p>
          <w:p w14:paraId="51993A0B">
            <w:pPr>
              <w:adjustRightInd w:val="0"/>
              <w:snapToGrid w:val="0"/>
              <w:jc w:val="left"/>
              <w:rPr>
                <w:rFonts w:ascii="Arial" w:hAnsi="Arial" w:eastAsia="宋体" w:cs="Arial"/>
                <w:sz w:val="21"/>
                <w:szCs w:val="21"/>
              </w:rPr>
            </w:pPr>
            <w:r>
              <w:rPr>
                <w:rFonts w:ascii="Arial" w:hAnsi="Arial" w:eastAsia="宋体" w:cs="Arial"/>
                <w:sz w:val="21"/>
                <w:szCs w:val="21"/>
              </w:rPr>
              <w:t>项目主要使用水、电等能源；各污染物可达标排放，排放总量符合园区要求。</w:t>
            </w:r>
          </w:p>
        </w:tc>
      </w:tr>
      <w:tr w14:paraId="397B0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BD362C8">
            <w:pPr>
              <w:widowControl/>
              <w:jc w:val="left"/>
              <w:rPr>
                <w:rFonts w:ascii="Arial" w:hAnsi="Arial" w:eastAsia="宋体" w:cs="Arial"/>
                <w:sz w:val="21"/>
                <w:szCs w:val="21"/>
              </w:rPr>
            </w:pPr>
          </w:p>
        </w:tc>
        <w:tc>
          <w:tcPr>
            <w:tcW w:w="2840" w:type="pct"/>
            <w:tcBorders>
              <w:top w:val="single" w:color="auto" w:sz="4" w:space="0"/>
              <w:left w:val="single" w:color="auto" w:sz="4" w:space="0"/>
              <w:bottom w:val="single" w:color="auto" w:sz="4" w:space="0"/>
              <w:right w:val="single" w:color="auto" w:sz="4" w:space="0"/>
            </w:tcBorders>
            <w:vAlign w:val="center"/>
          </w:tcPr>
          <w:p w14:paraId="47814F6C">
            <w:pPr>
              <w:adjustRightInd w:val="0"/>
              <w:snapToGrid w:val="0"/>
              <w:jc w:val="left"/>
              <w:rPr>
                <w:rFonts w:ascii="Arial" w:hAnsi="Arial" w:eastAsia="宋体" w:cs="Arial"/>
                <w:sz w:val="21"/>
                <w:szCs w:val="21"/>
              </w:rPr>
            </w:pPr>
            <w:r>
              <w:rPr>
                <w:rFonts w:ascii="Arial" w:hAnsi="Arial" w:eastAsia="宋体" w:cs="Arial"/>
                <w:sz w:val="21"/>
                <w:szCs w:val="21"/>
              </w:rPr>
              <w:t>规划区建设期加强施工扬尘监管，积极推进绿色施工，建设工程施工现场应全封闭设置围挡墙，严禁敞开式作业，施工现场道路应进行地面硬化；营运期企业所产生废气处理遵循“谁产生、谁处理”的原则，由各企业自行处理后达标排放。</w:t>
            </w:r>
          </w:p>
        </w:tc>
        <w:tc>
          <w:tcPr>
            <w:tcW w:w="1857" w:type="pct"/>
            <w:tcBorders>
              <w:top w:val="single" w:color="auto" w:sz="4" w:space="0"/>
              <w:left w:val="single" w:color="auto" w:sz="4" w:space="0"/>
              <w:bottom w:val="single" w:color="auto" w:sz="4" w:space="0"/>
              <w:right w:val="single" w:color="auto" w:sz="4" w:space="0"/>
            </w:tcBorders>
            <w:vAlign w:val="center"/>
          </w:tcPr>
          <w:p w14:paraId="46D0C7FD">
            <w:pPr>
              <w:adjustRightInd w:val="0"/>
              <w:snapToGrid w:val="0"/>
              <w:jc w:val="left"/>
              <w:rPr>
                <w:rFonts w:ascii="Arial" w:hAnsi="Arial" w:eastAsia="宋体" w:cs="Arial"/>
                <w:sz w:val="21"/>
                <w:szCs w:val="21"/>
              </w:rPr>
            </w:pPr>
            <w:r>
              <w:rPr>
                <w:rFonts w:ascii="Arial" w:hAnsi="Arial" w:eastAsia="宋体" w:cs="Arial"/>
                <w:sz w:val="21"/>
                <w:szCs w:val="21"/>
              </w:rPr>
              <w:t>符合。</w:t>
            </w:r>
          </w:p>
          <w:p w14:paraId="52950203">
            <w:pPr>
              <w:adjustRightInd w:val="0"/>
              <w:snapToGrid w:val="0"/>
              <w:jc w:val="left"/>
              <w:rPr>
                <w:rFonts w:ascii="Arial" w:hAnsi="Arial" w:eastAsia="宋体" w:cs="Arial"/>
                <w:sz w:val="21"/>
                <w:szCs w:val="21"/>
              </w:rPr>
            </w:pPr>
            <w:r>
              <w:rPr>
                <w:rFonts w:ascii="Arial" w:hAnsi="Arial" w:eastAsia="宋体" w:cs="Arial"/>
                <w:sz w:val="21"/>
                <w:szCs w:val="21"/>
              </w:rPr>
              <w:t>项目</w:t>
            </w:r>
            <w:r>
              <w:rPr>
                <w:rFonts w:hint="eastAsia" w:ascii="Arial" w:hAnsi="Arial" w:eastAsia="宋体" w:cs="Arial"/>
                <w:sz w:val="21"/>
                <w:szCs w:val="21"/>
              </w:rPr>
              <w:t>已完成施工</w:t>
            </w:r>
            <w:r>
              <w:rPr>
                <w:rFonts w:ascii="Arial" w:hAnsi="Arial" w:eastAsia="宋体" w:cs="Arial"/>
                <w:sz w:val="21"/>
                <w:szCs w:val="21"/>
              </w:rPr>
              <w:t>，</w:t>
            </w:r>
            <w:r>
              <w:rPr>
                <w:rFonts w:hint="eastAsia" w:ascii="Arial" w:hAnsi="Arial" w:eastAsia="宋体" w:cs="Arial"/>
                <w:sz w:val="21"/>
                <w:szCs w:val="21"/>
              </w:rPr>
              <w:t>厂区</w:t>
            </w:r>
            <w:r>
              <w:rPr>
                <w:rFonts w:ascii="Arial" w:hAnsi="Arial" w:eastAsia="宋体" w:cs="Arial"/>
                <w:sz w:val="21"/>
                <w:szCs w:val="21"/>
              </w:rPr>
              <w:t>道路已硬化；项目各大气污染物可达标排放。</w:t>
            </w:r>
          </w:p>
        </w:tc>
      </w:tr>
      <w:tr w14:paraId="4655D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3F3E9036">
            <w:pPr>
              <w:widowControl/>
              <w:jc w:val="left"/>
              <w:rPr>
                <w:rFonts w:ascii="Arial" w:hAnsi="Arial" w:eastAsia="宋体" w:cs="Arial"/>
                <w:sz w:val="21"/>
                <w:szCs w:val="21"/>
              </w:rPr>
            </w:pPr>
          </w:p>
        </w:tc>
        <w:tc>
          <w:tcPr>
            <w:tcW w:w="2840" w:type="pct"/>
            <w:tcBorders>
              <w:top w:val="single" w:color="auto" w:sz="4" w:space="0"/>
              <w:left w:val="single" w:color="auto" w:sz="4" w:space="0"/>
              <w:bottom w:val="single" w:color="auto" w:sz="4" w:space="0"/>
              <w:right w:val="single" w:color="auto" w:sz="4" w:space="0"/>
            </w:tcBorders>
            <w:vAlign w:val="center"/>
          </w:tcPr>
          <w:p w14:paraId="5E2F42E1">
            <w:pPr>
              <w:adjustRightInd w:val="0"/>
              <w:snapToGrid w:val="0"/>
              <w:jc w:val="left"/>
              <w:rPr>
                <w:rFonts w:ascii="Arial" w:hAnsi="Arial" w:eastAsia="宋体" w:cs="Arial"/>
                <w:sz w:val="21"/>
                <w:szCs w:val="21"/>
              </w:rPr>
            </w:pPr>
            <w:r>
              <w:rPr>
                <w:rFonts w:ascii="Arial" w:hAnsi="Arial" w:eastAsia="宋体" w:cs="Arial"/>
                <w:sz w:val="21"/>
                <w:szCs w:val="21"/>
              </w:rPr>
              <w:t>园区拟引进的产业，企业工艺过程严格控制，尽可能减少工艺废气的无组织排放，无组织排放的企业厂界监控点处污染物浓度必须达标；除尘必须采用高效除尘设备，且定期维护；加强重金属颗粒物烟气的收尘处理。</w:t>
            </w:r>
          </w:p>
        </w:tc>
        <w:tc>
          <w:tcPr>
            <w:tcW w:w="1857" w:type="pct"/>
            <w:tcBorders>
              <w:top w:val="single" w:color="auto" w:sz="4" w:space="0"/>
              <w:left w:val="single" w:color="auto" w:sz="4" w:space="0"/>
              <w:bottom w:val="single" w:color="auto" w:sz="4" w:space="0"/>
              <w:right w:val="single" w:color="auto" w:sz="4" w:space="0"/>
            </w:tcBorders>
            <w:vAlign w:val="center"/>
          </w:tcPr>
          <w:p w14:paraId="562594B8">
            <w:pPr>
              <w:adjustRightInd w:val="0"/>
              <w:snapToGrid w:val="0"/>
              <w:jc w:val="left"/>
              <w:rPr>
                <w:rFonts w:ascii="Arial" w:hAnsi="Arial" w:eastAsia="宋体" w:cs="Arial"/>
                <w:sz w:val="21"/>
                <w:szCs w:val="21"/>
              </w:rPr>
            </w:pPr>
            <w:r>
              <w:rPr>
                <w:rFonts w:ascii="Arial" w:hAnsi="Arial" w:eastAsia="宋体" w:cs="Arial"/>
                <w:sz w:val="21"/>
                <w:szCs w:val="21"/>
              </w:rPr>
              <w:t>符合。</w:t>
            </w:r>
          </w:p>
          <w:p w14:paraId="7AC72EA8">
            <w:pPr>
              <w:adjustRightInd w:val="0"/>
              <w:snapToGrid w:val="0"/>
              <w:jc w:val="left"/>
              <w:rPr>
                <w:rFonts w:ascii="Arial" w:hAnsi="Arial" w:eastAsia="宋体" w:cs="Arial"/>
                <w:sz w:val="21"/>
                <w:szCs w:val="21"/>
              </w:rPr>
            </w:pPr>
            <w:r>
              <w:rPr>
                <w:rFonts w:ascii="Arial" w:hAnsi="Arial" w:eastAsia="宋体" w:cs="Arial"/>
                <w:sz w:val="21"/>
                <w:szCs w:val="21"/>
              </w:rPr>
              <w:t>项目车间内废气均进行有组织收集，减少了无组织废气排放量，根据预测，厂界无组织废气可达标排放。</w:t>
            </w:r>
          </w:p>
        </w:tc>
      </w:tr>
      <w:tr w14:paraId="4B308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vMerge w:val="restart"/>
            <w:tcBorders>
              <w:top w:val="single" w:color="auto" w:sz="4" w:space="0"/>
              <w:left w:val="single" w:color="auto" w:sz="4" w:space="0"/>
              <w:bottom w:val="single" w:color="auto" w:sz="4" w:space="0"/>
              <w:right w:val="single" w:color="auto" w:sz="4" w:space="0"/>
            </w:tcBorders>
            <w:vAlign w:val="center"/>
          </w:tcPr>
          <w:p w14:paraId="674ECE4D">
            <w:pPr>
              <w:adjustRightInd w:val="0"/>
              <w:snapToGrid w:val="0"/>
              <w:jc w:val="center"/>
              <w:rPr>
                <w:rFonts w:ascii="Arial" w:hAnsi="Arial" w:eastAsia="宋体" w:cs="Arial"/>
                <w:sz w:val="21"/>
                <w:szCs w:val="21"/>
              </w:rPr>
            </w:pPr>
            <w:r>
              <w:rPr>
                <w:rFonts w:ascii="Arial" w:hAnsi="Arial" w:eastAsia="宋体" w:cs="Arial"/>
                <w:sz w:val="21"/>
                <w:szCs w:val="21"/>
              </w:rPr>
              <w:t>海洋环境污染防治措施</w:t>
            </w:r>
          </w:p>
        </w:tc>
        <w:tc>
          <w:tcPr>
            <w:tcW w:w="2840" w:type="pct"/>
            <w:tcBorders>
              <w:top w:val="single" w:color="auto" w:sz="4" w:space="0"/>
              <w:left w:val="single" w:color="auto" w:sz="4" w:space="0"/>
              <w:bottom w:val="single" w:color="auto" w:sz="4" w:space="0"/>
              <w:right w:val="single" w:color="auto" w:sz="4" w:space="0"/>
            </w:tcBorders>
            <w:vAlign w:val="center"/>
          </w:tcPr>
          <w:p w14:paraId="554D516A">
            <w:pPr>
              <w:adjustRightInd w:val="0"/>
              <w:snapToGrid w:val="0"/>
              <w:jc w:val="left"/>
              <w:rPr>
                <w:rFonts w:ascii="Arial" w:hAnsi="Arial" w:eastAsia="宋体" w:cs="Arial"/>
                <w:sz w:val="21"/>
                <w:szCs w:val="21"/>
              </w:rPr>
            </w:pPr>
            <w:r>
              <w:rPr>
                <w:rFonts w:ascii="Arial" w:hAnsi="Arial" w:eastAsia="宋体" w:cs="Arial"/>
                <w:sz w:val="21"/>
                <w:szCs w:val="21"/>
              </w:rPr>
              <w:t>完善排水系统并实行雨污分流，对规划范围内强化污水截流、收集，要尽快实现管网全覆盖、全收集、全处理，大幅提升园区污水收集处理能力。加强园区初期雨水收集处理设施建设，有效减少面源污染，有条件的企业要推进初期雨水收集、处理和资源化利用。</w:t>
            </w:r>
          </w:p>
        </w:tc>
        <w:tc>
          <w:tcPr>
            <w:tcW w:w="1857" w:type="pct"/>
            <w:tcBorders>
              <w:top w:val="single" w:color="auto" w:sz="4" w:space="0"/>
              <w:left w:val="single" w:color="auto" w:sz="4" w:space="0"/>
              <w:bottom w:val="single" w:color="auto" w:sz="4" w:space="0"/>
              <w:right w:val="single" w:color="auto" w:sz="4" w:space="0"/>
            </w:tcBorders>
            <w:vAlign w:val="center"/>
          </w:tcPr>
          <w:p w14:paraId="12392980">
            <w:pPr>
              <w:adjustRightInd w:val="0"/>
              <w:snapToGrid w:val="0"/>
              <w:jc w:val="left"/>
              <w:rPr>
                <w:rFonts w:ascii="Arial" w:hAnsi="Arial" w:eastAsia="宋体" w:cs="Arial"/>
                <w:sz w:val="21"/>
                <w:szCs w:val="21"/>
              </w:rPr>
            </w:pPr>
            <w:r>
              <w:rPr>
                <w:rFonts w:ascii="Arial" w:hAnsi="Arial" w:eastAsia="宋体" w:cs="Arial"/>
                <w:sz w:val="21"/>
                <w:szCs w:val="21"/>
              </w:rPr>
              <w:t>符合。</w:t>
            </w:r>
          </w:p>
          <w:p w14:paraId="35F9CCBF">
            <w:pPr>
              <w:adjustRightInd w:val="0"/>
              <w:snapToGrid w:val="0"/>
              <w:jc w:val="left"/>
              <w:rPr>
                <w:rFonts w:ascii="Arial" w:hAnsi="Arial" w:eastAsia="宋体" w:cs="Arial"/>
                <w:sz w:val="21"/>
                <w:szCs w:val="21"/>
                <w:highlight w:val="yellow"/>
              </w:rPr>
            </w:pPr>
            <w:r>
              <w:rPr>
                <w:rFonts w:ascii="Arial" w:hAnsi="Arial" w:eastAsia="宋体" w:cs="Arial"/>
                <w:sz w:val="21"/>
                <w:szCs w:val="21"/>
              </w:rPr>
              <w:t>项目执行雨污分流、清污分流，废水分质处理，厂区已设初期雨水收集池。</w:t>
            </w:r>
          </w:p>
        </w:tc>
      </w:tr>
      <w:tr w14:paraId="00026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08C32BF">
            <w:pPr>
              <w:widowControl/>
              <w:jc w:val="left"/>
              <w:rPr>
                <w:rFonts w:ascii="Arial" w:hAnsi="Arial" w:eastAsia="宋体" w:cs="Arial"/>
                <w:sz w:val="21"/>
                <w:szCs w:val="21"/>
              </w:rPr>
            </w:pPr>
          </w:p>
        </w:tc>
        <w:tc>
          <w:tcPr>
            <w:tcW w:w="2840" w:type="pct"/>
            <w:tcBorders>
              <w:top w:val="single" w:color="auto" w:sz="4" w:space="0"/>
              <w:left w:val="single" w:color="auto" w:sz="4" w:space="0"/>
              <w:bottom w:val="single" w:color="auto" w:sz="4" w:space="0"/>
              <w:right w:val="single" w:color="auto" w:sz="4" w:space="0"/>
            </w:tcBorders>
            <w:vAlign w:val="center"/>
          </w:tcPr>
          <w:p w14:paraId="3D838E19">
            <w:pPr>
              <w:adjustRightInd w:val="0"/>
              <w:snapToGrid w:val="0"/>
              <w:jc w:val="left"/>
              <w:rPr>
                <w:rFonts w:ascii="Arial" w:hAnsi="Arial" w:eastAsia="宋体" w:cs="Arial"/>
                <w:sz w:val="21"/>
                <w:szCs w:val="21"/>
              </w:rPr>
            </w:pPr>
            <w:r>
              <w:rPr>
                <w:rFonts w:ascii="Arial" w:hAnsi="Arial" w:eastAsia="宋体" w:cs="Arial"/>
                <w:sz w:val="21"/>
                <w:szCs w:val="21"/>
              </w:rPr>
              <w:t>加工区要创造各种条件，加强水资源的综合调配和管理，提高水资源的重复利用率，如在企业间调配利用较清洁的废水等，在企业层次上，要严格控制用水定额，按水质不同分质用水，提高新鲜水的重复利用率。为减少河流污染带，把规划区的排放总量控制在纳污的环境容量之内，必须实行园区、企业两个层次的排污总量控制。</w:t>
            </w:r>
          </w:p>
        </w:tc>
        <w:tc>
          <w:tcPr>
            <w:tcW w:w="1857" w:type="pct"/>
            <w:tcBorders>
              <w:top w:val="single" w:color="auto" w:sz="4" w:space="0"/>
              <w:left w:val="single" w:color="auto" w:sz="4" w:space="0"/>
              <w:bottom w:val="single" w:color="auto" w:sz="4" w:space="0"/>
              <w:right w:val="single" w:color="auto" w:sz="4" w:space="0"/>
            </w:tcBorders>
            <w:vAlign w:val="center"/>
          </w:tcPr>
          <w:p w14:paraId="7AEF1E35">
            <w:pPr>
              <w:adjustRightInd w:val="0"/>
              <w:snapToGrid w:val="0"/>
              <w:jc w:val="left"/>
              <w:rPr>
                <w:rFonts w:ascii="Arial" w:hAnsi="Arial" w:eastAsia="宋体" w:cs="Arial"/>
                <w:sz w:val="21"/>
                <w:szCs w:val="21"/>
              </w:rPr>
            </w:pPr>
            <w:r>
              <w:rPr>
                <w:rFonts w:ascii="Arial" w:hAnsi="Arial" w:eastAsia="宋体" w:cs="Arial"/>
                <w:sz w:val="21"/>
                <w:szCs w:val="21"/>
              </w:rPr>
              <w:t>符合。</w:t>
            </w:r>
          </w:p>
          <w:p w14:paraId="4266E23F">
            <w:pPr>
              <w:adjustRightInd w:val="0"/>
              <w:snapToGrid w:val="0"/>
              <w:jc w:val="left"/>
              <w:rPr>
                <w:rFonts w:ascii="Arial" w:hAnsi="Arial" w:eastAsia="宋体" w:cs="Arial"/>
                <w:sz w:val="21"/>
                <w:szCs w:val="21"/>
                <w:highlight w:val="yellow"/>
              </w:rPr>
            </w:pPr>
            <w:r>
              <w:rPr>
                <w:rFonts w:ascii="Arial" w:hAnsi="Arial" w:eastAsia="宋体" w:cs="Arial"/>
                <w:sz w:val="21"/>
                <w:szCs w:val="21"/>
              </w:rPr>
              <w:t>项目废水分质处理，</w:t>
            </w:r>
            <w:r>
              <w:rPr>
                <w:rFonts w:hint="eastAsia" w:ascii="Arial" w:hAnsi="Arial" w:eastAsia="宋体" w:cs="Arial"/>
                <w:sz w:val="21"/>
                <w:szCs w:val="21"/>
              </w:rPr>
              <w:t>生活污水排入大榄坪污水处理厂处理，</w:t>
            </w:r>
            <w:r>
              <w:rPr>
                <w:rFonts w:ascii="Arial" w:hAnsi="Arial" w:eastAsia="宋体" w:cs="Arial"/>
                <w:sz w:val="21"/>
                <w:szCs w:val="21"/>
              </w:rPr>
              <w:t>生产废水</w:t>
            </w:r>
            <w:r>
              <w:rPr>
                <w:rFonts w:hint="eastAsia" w:ascii="Arial" w:hAnsi="Arial" w:eastAsia="宋体" w:cs="Arial"/>
                <w:sz w:val="21"/>
                <w:szCs w:val="21"/>
              </w:rPr>
              <w:t>排放的COD、氨氮在纳污的环境容量之内</w:t>
            </w:r>
            <w:r>
              <w:rPr>
                <w:rFonts w:ascii="Arial" w:hAnsi="Arial" w:eastAsia="宋体" w:cs="Arial"/>
                <w:sz w:val="21"/>
                <w:szCs w:val="21"/>
              </w:rPr>
              <w:t>。</w:t>
            </w:r>
          </w:p>
        </w:tc>
      </w:tr>
      <w:tr w14:paraId="17AB0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768E88DC">
            <w:pPr>
              <w:widowControl/>
              <w:jc w:val="left"/>
              <w:rPr>
                <w:rFonts w:ascii="Arial" w:hAnsi="Arial" w:eastAsia="宋体" w:cs="Arial"/>
                <w:sz w:val="21"/>
                <w:szCs w:val="21"/>
              </w:rPr>
            </w:pPr>
          </w:p>
        </w:tc>
        <w:tc>
          <w:tcPr>
            <w:tcW w:w="2840" w:type="pct"/>
            <w:tcBorders>
              <w:top w:val="single" w:color="auto" w:sz="4" w:space="0"/>
              <w:left w:val="single" w:color="auto" w:sz="4" w:space="0"/>
              <w:bottom w:val="single" w:color="auto" w:sz="4" w:space="0"/>
              <w:right w:val="single" w:color="auto" w:sz="4" w:space="0"/>
            </w:tcBorders>
            <w:vAlign w:val="center"/>
          </w:tcPr>
          <w:p w14:paraId="55255FFA">
            <w:pPr>
              <w:adjustRightInd w:val="0"/>
              <w:snapToGrid w:val="0"/>
              <w:jc w:val="left"/>
              <w:rPr>
                <w:rFonts w:ascii="Arial" w:hAnsi="Arial" w:eastAsia="宋体" w:cs="Arial"/>
                <w:sz w:val="21"/>
                <w:szCs w:val="21"/>
              </w:rPr>
            </w:pPr>
            <w:r>
              <w:rPr>
                <w:rFonts w:ascii="Arial" w:hAnsi="Arial" w:eastAsia="宋体" w:cs="Arial"/>
                <w:sz w:val="21"/>
                <w:szCs w:val="21"/>
              </w:rPr>
              <w:t>新能源电池材料行业产生的废水主要包括三元前驱体合成母液和三元前驱体洗液、萃取反萃取废水、洗涤废水、蒸发浓缩废水、酸化烟气处理废水、杂排废水等，主要污染物为氨氮、溶解性总固体、硫酸盐、氯化物和重金属杂盐，产污环节含盐量大多在10000mg/L～200000mg/L。拟入驻的新能源电池材料产业项目应根据水处理工艺、纳污海域的水环境容量、环境保护目标、海洋生物保护状况等情况具体分析，在项目环境影响评价报告中确定含盐废水的排放限值，企业应配套高效的脱盐系统（如MVR技术+膜处理），提高生产废水循环利用率，实现脱盐率、排放浓度、排放量等均达到区内先进水平。</w:t>
            </w:r>
          </w:p>
        </w:tc>
        <w:tc>
          <w:tcPr>
            <w:tcW w:w="1857" w:type="pct"/>
            <w:tcBorders>
              <w:top w:val="single" w:color="auto" w:sz="4" w:space="0"/>
              <w:left w:val="single" w:color="auto" w:sz="4" w:space="0"/>
              <w:bottom w:val="single" w:color="auto" w:sz="4" w:space="0"/>
              <w:right w:val="single" w:color="auto" w:sz="4" w:space="0"/>
            </w:tcBorders>
            <w:vAlign w:val="center"/>
          </w:tcPr>
          <w:p w14:paraId="15DFCB6C">
            <w:pPr>
              <w:adjustRightInd w:val="0"/>
              <w:snapToGrid w:val="0"/>
              <w:jc w:val="left"/>
              <w:rPr>
                <w:rFonts w:ascii="Arial" w:hAnsi="Arial" w:eastAsia="宋体" w:cs="Arial"/>
                <w:sz w:val="21"/>
                <w:szCs w:val="21"/>
              </w:rPr>
            </w:pPr>
            <w:r>
              <w:rPr>
                <w:rFonts w:ascii="Arial" w:hAnsi="Arial" w:eastAsia="宋体" w:cs="Arial"/>
                <w:sz w:val="21"/>
                <w:szCs w:val="21"/>
              </w:rPr>
              <w:t>符合。</w:t>
            </w:r>
          </w:p>
          <w:p w14:paraId="458B9A4B">
            <w:pPr>
              <w:adjustRightInd w:val="0"/>
              <w:snapToGrid w:val="0"/>
              <w:jc w:val="left"/>
              <w:rPr>
                <w:rFonts w:ascii="Arial" w:hAnsi="Arial" w:eastAsia="宋体" w:cs="Arial"/>
                <w:sz w:val="21"/>
                <w:szCs w:val="21"/>
                <w:highlight w:val="yellow"/>
                <w:u w:val="single"/>
              </w:rPr>
            </w:pPr>
            <w:r>
              <w:rPr>
                <w:rFonts w:ascii="Arial" w:hAnsi="Arial" w:eastAsia="宋体" w:cs="Arial"/>
                <w:sz w:val="21"/>
                <w:szCs w:val="21"/>
              </w:rPr>
              <w:t>项目采用MVR技术+膜处理含盐废水，项目实施后经核算</w:t>
            </w:r>
            <w:r>
              <w:rPr>
                <w:rFonts w:hint="eastAsia" w:ascii="Arial" w:hAnsi="Arial" w:eastAsia="宋体" w:cs="Arial"/>
                <w:sz w:val="21"/>
                <w:szCs w:val="21"/>
              </w:rPr>
              <w:t>全厂盐回收率大于90%。近期，大榄坪污水处理厂仅处理生活污水，项目新增外排生产废水依托大榄坪污水处理厂深海排放管道排入A2排污区，</w:t>
            </w:r>
            <w:r>
              <w:rPr>
                <w:rFonts w:hint="eastAsia" w:ascii="Arial" w:hAnsi="Arial" w:eastAsia="宋体" w:cs="Arial"/>
                <w:sz w:val="21"/>
                <w:szCs w:val="21"/>
                <w:u w:val="single"/>
              </w:rPr>
              <w:t>本报告已明确废水含盐量排放限值为16700mg/L（详见排放标准），项目实施后厂区废水含盐量排放浓度低于该限值，符合要求</w:t>
            </w:r>
            <w:r>
              <w:rPr>
                <w:rFonts w:hint="eastAsia" w:ascii="Arial" w:hAnsi="Arial" w:eastAsia="宋体" w:cs="Arial"/>
                <w:sz w:val="21"/>
                <w:szCs w:val="21"/>
              </w:rPr>
              <w:t>；远期，待大榄坪污水处理厂升级改造可接纳生产废水后，厂区生产废水排入大榄坪污水处理厂处理后排海，符合规划环评要求。</w:t>
            </w:r>
          </w:p>
        </w:tc>
      </w:tr>
      <w:tr w14:paraId="503A8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tcBorders>
              <w:top w:val="single" w:color="auto" w:sz="4" w:space="0"/>
              <w:left w:val="single" w:color="auto" w:sz="4" w:space="0"/>
              <w:bottom w:val="single" w:color="auto" w:sz="4" w:space="0"/>
              <w:right w:val="single" w:color="auto" w:sz="4" w:space="0"/>
            </w:tcBorders>
            <w:vAlign w:val="center"/>
          </w:tcPr>
          <w:p w14:paraId="1668EF99">
            <w:pPr>
              <w:adjustRightInd w:val="0"/>
              <w:snapToGrid w:val="0"/>
              <w:jc w:val="center"/>
              <w:rPr>
                <w:rFonts w:ascii="Arial" w:hAnsi="Arial" w:eastAsia="宋体" w:cs="Arial"/>
                <w:sz w:val="21"/>
                <w:szCs w:val="21"/>
              </w:rPr>
            </w:pPr>
            <w:r>
              <w:rPr>
                <w:rFonts w:ascii="Arial" w:hAnsi="Arial" w:eastAsia="宋体" w:cs="Arial"/>
                <w:sz w:val="21"/>
                <w:szCs w:val="21"/>
              </w:rPr>
              <w:t>地下水环境污染防治措施</w:t>
            </w:r>
          </w:p>
        </w:tc>
        <w:tc>
          <w:tcPr>
            <w:tcW w:w="2840" w:type="pct"/>
            <w:tcBorders>
              <w:top w:val="single" w:color="auto" w:sz="4" w:space="0"/>
              <w:left w:val="single" w:color="auto" w:sz="4" w:space="0"/>
              <w:bottom w:val="single" w:color="auto" w:sz="4" w:space="0"/>
              <w:right w:val="single" w:color="auto" w:sz="4" w:space="0"/>
            </w:tcBorders>
            <w:vAlign w:val="center"/>
          </w:tcPr>
          <w:p w14:paraId="52BC9015">
            <w:pPr>
              <w:adjustRightInd w:val="0"/>
              <w:snapToGrid w:val="0"/>
              <w:jc w:val="left"/>
              <w:rPr>
                <w:rFonts w:ascii="Arial" w:hAnsi="Arial" w:eastAsia="宋体" w:cs="Arial"/>
                <w:sz w:val="21"/>
                <w:szCs w:val="21"/>
              </w:rPr>
            </w:pPr>
            <w:r>
              <w:rPr>
                <w:rFonts w:ascii="Arial" w:hAnsi="Arial" w:eastAsia="宋体" w:cs="Arial"/>
                <w:sz w:val="21"/>
                <w:szCs w:val="21"/>
              </w:rPr>
              <w:t>规划区入驻的项目用水均不取用地下水。建设项目场地污染防治对策应从以下方面考虑：</w:t>
            </w:r>
          </w:p>
          <w:p w14:paraId="26F044C1">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提出实施清洁生产及各类废物循环利用的具体方案，以及工艺、管道、设备、污水储存及处理构筑物应采取的控制措施，从源头控制污染物的排放。</w:t>
            </w:r>
          </w:p>
          <w:p w14:paraId="6A8A72C2">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根据建设项目的情况划分污染防治区，提出不同区域的地面防渗方案，给出具体的防渗材料及防渗标准要求，建立防渗设施的检漏系统。</w:t>
            </w:r>
          </w:p>
          <w:p w14:paraId="5C6163BA">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建立场地区地下水环境监控体系，包括建立地下水污染监控制度和环境管理体系、制定监测计划、配备先进的检测仪器和设备，以便及时发现问题，及时采取措施。</w:t>
            </w:r>
          </w:p>
          <w:p w14:paraId="1F3BBBF3">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制定地下水风险事故应急响应预案，明确风险事故状态下应采取的封闭、截流等措施，提出防止受污染的地下水扩散和对受污染的地下水进行治理的具体方案。</w:t>
            </w:r>
          </w:p>
          <w:p w14:paraId="51A629E6">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采用先进技术、改进生产工艺、采取闭路循环、把工业“三废”的污染消化在生产过程中。工业“三废”达标排放、合理布局，强化水资源的保护和管理，严禁渗坑渗井排放，所有排污沟、渠须全部硬化和密封，严禁下渗污染。</w:t>
            </w:r>
          </w:p>
          <w:p w14:paraId="6EA2477A">
            <w:pPr>
              <w:adjustRightInd w:val="0"/>
              <w:snapToGrid w:val="0"/>
              <w:jc w:val="left"/>
              <w:rPr>
                <w:rFonts w:ascii="Arial" w:hAnsi="Arial" w:eastAsia="宋体" w:cs="Arial"/>
                <w:sz w:val="21"/>
                <w:szCs w:val="21"/>
              </w:rPr>
            </w:pPr>
            <w:r>
              <w:rPr>
                <w:rFonts w:hint="eastAsia" w:ascii="宋体" w:hAnsi="宋体" w:eastAsia="宋体" w:cs="宋体"/>
                <w:sz w:val="21"/>
                <w:szCs w:val="21"/>
              </w:rPr>
              <w:t>⑥</w:t>
            </w:r>
            <w:r>
              <w:rPr>
                <w:rFonts w:ascii="Arial" w:hAnsi="Arial" w:eastAsia="宋体" w:cs="Arial"/>
                <w:sz w:val="21"/>
                <w:szCs w:val="21"/>
              </w:rPr>
              <w:t>企业需根据厂区生产情况设置相应的事故应急池。</w:t>
            </w:r>
          </w:p>
          <w:p w14:paraId="629CF4E0">
            <w:pPr>
              <w:adjustRightInd w:val="0"/>
              <w:snapToGrid w:val="0"/>
              <w:jc w:val="left"/>
              <w:rPr>
                <w:rFonts w:ascii="Arial" w:hAnsi="Arial" w:eastAsia="宋体" w:cs="Arial"/>
                <w:sz w:val="21"/>
                <w:szCs w:val="21"/>
              </w:rPr>
            </w:pPr>
            <w:r>
              <w:rPr>
                <w:rFonts w:hint="eastAsia" w:ascii="宋体" w:hAnsi="宋体" w:eastAsia="宋体" w:cs="宋体"/>
                <w:sz w:val="21"/>
                <w:szCs w:val="21"/>
              </w:rPr>
              <w:t>⑦</w:t>
            </w:r>
            <w:r>
              <w:rPr>
                <w:rFonts w:ascii="Arial" w:hAnsi="Arial" w:eastAsia="宋体" w:cs="Arial"/>
                <w:sz w:val="21"/>
                <w:szCs w:val="21"/>
              </w:rPr>
              <w:t>要求进入规划区的企业，其固体废物和原料堆场必须按照《一般工业固体废物贮存和填埋污染控制标准》（GB18599-2020）进行建设和管理，采用库房、包装工具（罐、桶、包装袋等）贮存的按《排污许可申请与核发技术规范 工业固体废物（试行）》（HJ1200-2021）的要求建设与管理。涉及危险废物贮存的应严格按照《危险废物贮存污染控制标准》中的有关管理要求执行，污水池和污水管网须做好防渗、防腐处理。</w:t>
            </w:r>
          </w:p>
        </w:tc>
        <w:tc>
          <w:tcPr>
            <w:tcW w:w="1857" w:type="pct"/>
            <w:tcBorders>
              <w:top w:val="single" w:color="auto" w:sz="4" w:space="0"/>
              <w:left w:val="single" w:color="auto" w:sz="4" w:space="0"/>
              <w:bottom w:val="single" w:color="auto" w:sz="4" w:space="0"/>
              <w:right w:val="single" w:color="auto" w:sz="4" w:space="0"/>
            </w:tcBorders>
            <w:vAlign w:val="center"/>
          </w:tcPr>
          <w:p w14:paraId="3A6B2265">
            <w:pPr>
              <w:adjustRightInd w:val="0"/>
              <w:snapToGrid w:val="0"/>
              <w:jc w:val="left"/>
              <w:rPr>
                <w:rFonts w:ascii="Arial" w:hAnsi="Arial" w:eastAsia="宋体" w:cs="Arial"/>
                <w:sz w:val="21"/>
                <w:szCs w:val="21"/>
              </w:rPr>
            </w:pPr>
            <w:r>
              <w:rPr>
                <w:rFonts w:ascii="Arial" w:hAnsi="Arial" w:eastAsia="宋体" w:cs="Arial"/>
                <w:sz w:val="21"/>
                <w:szCs w:val="21"/>
              </w:rPr>
              <w:t>符合。</w:t>
            </w:r>
          </w:p>
          <w:p w14:paraId="3B13618C">
            <w:pPr>
              <w:adjustRightInd w:val="0"/>
              <w:snapToGrid w:val="0"/>
              <w:jc w:val="left"/>
              <w:rPr>
                <w:rFonts w:ascii="Arial" w:hAnsi="Arial" w:eastAsia="宋体" w:cs="Arial"/>
                <w:sz w:val="21"/>
                <w:szCs w:val="21"/>
              </w:rPr>
            </w:pPr>
            <w:r>
              <w:rPr>
                <w:rFonts w:ascii="Arial" w:hAnsi="Arial" w:eastAsia="宋体" w:cs="Arial"/>
                <w:sz w:val="21"/>
                <w:szCs w:val="21"/>
              </w:rPr>
              <w:t>项目不取用地下水。</w:t>
            </w:r>
          </w:p>
          <w:p w14:paraId="7191FE11">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生产装置、设备、管道等多布置在地面，采用玻璃钢、PPH、PVC材质。</w:t>
            </w:r>
          </w:p>
          <w:p w14:paraId="08CCB396">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项目将根据分区防渗要求设置防渗设施。</w:t>
            </w:r>
          </w:p>
          <w:p w14:paraId="30123A10">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厂区</w:t>
            </w:r>
            <w:r>
              <w:rPr>
                <w:rFonts w:hint="eastAsia" w:ascii="Arial" w:hAnsi="Arial" w:eastAsia="宋体" w:cs="Arial"/>
                <w:sz w:val="21"/>
                <w:szCs w:val="21"/>
              </w:rPr>
              <w:t>已</w:t>
            </w:r>
            <w:r>
              <w:rPr>
                <w:rFonts w:ascii="Arial" w:hAnsi="Arial" w:eastAsia="宋体" w:cs="Arial"/>
                <w:sz w:val="21"/>
                <w:szCs w:val="21"/>
              </w:rPr>
              <w:t>建立4个地下水监控井，并按照自行监测要求进行地下水监测。</w:t>
            </w:r>
          </w:p>
          <w:p w14:paraId="464A56F9">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项目采取闭路循环，有效减少污染物排放，各类污染物可达标排放。</w:t>
            </w:r>
          </w:p>
          <w:p w14:paraId="2CF75C29">
            <w:pPr>
              <w:adjustRightInd w:val="0"/>
              <w:snapToGrid w:val="0"/>
              <w:jc w:val="left"/>
              <w:rPr>
                <w:rFonts w:ascii="Arial" w:hAnsi="Arial" w:eastAsia="宋体" w:cs="Arial"/>
                <w:sz w:val="21"/>
                <w:szCs w:val="21"/>
              </w:rPr>
            </w:pPr>
            <w:r>
              <w:rPr>
                <w:rFonts w:hint="eastAsia" w:ascii="宋体" w:hAnsi="宋体" w:eastAsia="宋体" w:cs="宋体"/>
                <w:sz w:val="21"/>
                <w:szCs w:val="21"/>
              </w:rPr>
              <w:t>⑥</w:t>
            </w:r>
            <w:r>
              <w:rPr>
                <w:rFonts w:ascii="Arial" w:hAnsi="Arial" w:eastAsia="宋体" w:cs="Arial"/>
                <w:sz w:val="21"/>
                <w:szCs w:val="21"/>
              </w:rPr>
              <w:t>厂区已设立事故应急池。</w:t>
            </w:r>
          </w:p>
          <w:p w14:paraId="2897523C">
            <w:pPr>
              <w:adjustRightInd w:val="0"/>
              <w:snapToGrid w:val="0"/>
              <w:jc w:val="left"/>
              <w:rPr>
                <w:rFonts w:ascii="Arial" w:hAnsi="Arial" w:eastAsia="宋体" w:cs="Arial"/>
                <w:sz w:val="21"/>
                <w:szCs w:val="21"/>
              </w:rPr>
            </w:pPr>
            <w:r>
              <w:rPr>
                <w:rFonts w:hint="eastAsia" w:ascii="宋体" w:hAnsi="宋体" w:eastAsia="宋体" w:cs="宋体"/>
                <w:sz w:val="21"/>
                <w:szCs w:val="21"/>
              </w:rPr>
              <w:t>⑦</w:t>
            </w:r>
            <w:r>
              <w:rPr>
                <w:rFonts w:ascii="Arial" w:hAnsi="Arial" w:eastAsia="宋体" w:cs="Arial"/>
                <w:sz w:val="21"/>
                <w:szCs w:val="21"/>
              </w:rPr>
              <w:t>厂区一般固废暂存间按</w:t>
            </w:r>
            <w:r>
              <w:rPr>
                <w:rFonts w:hint="eastAsia" w:ascii="Arial" w:hAnsi="Arial" w:eastAsia="宋体" w:cs="Arial"/>
                <w:sz w:val="21"/>
                <w:szCs w:val="21"/>
              </w:rPr>
              <w:t>HJ1035-2019的要求采取有效措施</w:t>
            </w:r>
            <w:r>
              <w:rPr>
                <w:rFonts w:ascii="Arial" w:hAnsi="Arial" w:eastAsia="宋体" w:cs="Arial"/>
                <w:sz w:val="21"/>
                <w:szCs w:val="21"/>
              </w:rPr>
              <w:t>；危险废物依托现有危废暂存间暂存。</w:t>
            </w:r>
          </w:p>
        </w:tc>
      </w:tr>
      <w:tr w14:paraId="23C90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tcBorders>
              <w:top w:val="single" w:color="auto" w:sz="4" w:space="0"/>
              <w:left w:val="single" w:color="auto" w:sz="4" w:space="0"/>
              <w:bottom w:val="single" w:color="auto" w:sz="4" w:space="0"/>
              <w:right w:val="single" w:color="auto" w:sz="4" w:space="0"/>
            </w:tcBorders>
            <w:vAlign w:val="center"/>
          </w:tcPr>
          <w:p w14:paraId="70D6E43C">
            <w:pPr>
              <w:adjustRightInd w:val="0"/>
              <w:snapToGrid w:val="0"/>
              <w:jc w:val="center"/>
              <w:rPr>
                <w:rFonts w:ascii="Arial" w:hAnsi="Arial" w:eastAsia="宋体" w:cs="Arial"/>
                <w:sz w:val="21"/>
                <w:szCs w:val="21"/>
              </w:rPr>
            </w:pPr>
            <w:r>
              <w:rPr>
                <w:rFonts w:ascii="Arial" w:hAnsi="Arial" w:eastAsia="宋体" w:cs="Arial"/>
                <w:sz w:val="21"/>
                <w:szCs w:val="21"/>
              </w:rPr>
              <w:t>土壤环境污染防治措施</w:t>
            </w:r>
          </w:p>
        </w:tc>
        <w:tc>
          <w:tcPr>
            <w:tcW w:w="2840" w:type="pct"/>
            <w:tcBorders>
              <w:top w:val="single" w:color="auto" w:sz="4" w:space="0"/>
              <w:left w:val="single" w:color="auto" w:sz="4" w:space="0"/>
              <w:bottom w:val="single" w:color="auto" w:sz="4" w:space="0"/>
              <w:right w:val="single" w:color="auto" w:sz="4" w:space="0"/>
            </w:tcBorders>
            <w:vAlign w:val="center"/>
          </w:tcPr>
          <w:p w14:paraId="7EFEBEF7">
            <w:pPr>
              <w:adjustRightInd w:val="0"/>
              <w:snapToGrid w:val="0"/>
              <w:jc w:val="left"/>
              <w:rPr>
                <w:rFonts w:ascii="Arial" w:hAnsi="Arial" w:eastAsia="宋体" w:cs="Arial"/>
                <w:sz w:val="21"/>
                <w:szCs w:val="21"/>
              </w:rPr>
            </w:pPr>
            <w:r>
              <w:rPr>
                <w:rFonts w:ascii="Arial" w:hAnsi="Arial" w:eastAsia="宋体" w:cs="Arial"/>
                <w:sz w:val="21"/>
                <w:szCs w:val="21"/>
              </w:rPr>
              <w:t>引进高新产业、限制落后传统产业；提倡使用清洁能源；入园企业凡存在有组织排放工艺尾气的，应采取分类分质治理措施，处理后的废气排放必须达到相应的国家排放标准；做好道路两旁绿化工作，建设防护绿化带，减缓汽车尾气扩散，减小公路扬尘的影响范围；加强对污水收集、输送和处理设施运行的管理，保证污水能经处理后达标排放；对临时堆放的垃圾，材料，产品等，应及时处理；规范管理危险废物和固体废物；鼓励对园区内企业实施清洁生产，鼓励土壤污染重点监管单位因地制宜实施管道化、密闭化改造，重点区域防腐防渗改造，以及物料、污水管线架空建设和改造。</w:t>
            </w:r>
          </w:p>
        </w:tc>
        <w:tc>
          <w:tcPr>
            <w:tcW w:w="1857" w:type="pct"/>
            <w:tcBorders>
              <w:top w:val="single" w:color="auto" w:sz="4" w:space="0"/>
              <w:left w:val="single" w:color="auto" w:sz="4" w:space="0"/>
              <w:bottom w:val="single" w:color="auto" w:sz="4" w:space="0"/>
              <w:right w:val="single" w:color="auto" w:sz="4" w:space="0"/>
            </w:tcBorders>
            <w:vAlign w:val="center"/>
          </w:tcPr>
          <w:p w14:paraId="0DF0FC99">
            <w:pPr>
              <w:adjustRightInd w:val="0"/>
              <w:snapToGrid w:val="0"/>
              <w:jc w:val="left"/>
              <w:rPr>
                <w:rFonts w:ascii="Arial" w:hAnsi="Arial" w:eastAsia="宋体" w:cs="Arial"/>
                <w:sz w:val="21"/>
                <w:szCs w:val="21"/>
              </w:rPr>
            </w:pPr>
            <w:r>
              <w:rPr>
                <w:rFonts w:ascii="Arial" w:hAnsi="Arial" w:eastAsia="宋体" w:cs="Arial"/>
                <w:sz w:val="21"/>
                <w:szCs w:val="21"/>
              </w:rPr>
              <w:t>符合。</w:t>
            </w:r>
          </w:p>
          <w:p w14:paraId="71173E97">
            <w:pPr>
              <w:adjustRightInd w:val="0"/>
              <w:snapToGrid w:val="0"/>
              <w:jc w:val="left"/>
              <w:rPr>
                <w:rFonts w:ascii="Arial" w:hAnsi="Arial" w:eastAsia="宋体" w:cs="Arial"/>
                <w:sz w:val="21"/>
                <w:szCs w:val="21"/>
              </w:rPr>
            </w:pPr>
            <w:r>
              <w:rPr>
                <w:rFonts w:ascii="Arial" w:hAnsi="Arial" w:eastAsia="宋体" w:cs="Arial"/>
                <w:sz w:val="21"/>
                <w:szCs w:val="21"/>
              </w:rPr>
              <w:t>项目主要使用水、电等能源；各废气污染物可达标排放；厂区道路及车间周围均设有绿化带；</w:t>
            </w:r>
            <w:r>
              <w:rPr>
                <w:rFonts w:hint="eastAsia" w:ascii="Arial" w:hAnsi="Arial" w:eastAsia="宋体" w:cs="Arial"/>
                <w:sz w:val="21"/>
                <w:szCs w:val="21"/>
              </w:rPr>
              <w:t>外排生产废水及生活污水均可达标排放</w:t>
            </w:r>
            <w:r>
              <w:rPr>
                <w:rFonts w:ascii="Arial" w:hAnsi="Arial" w:eastAsia="宋体" w:cs="Arial"/>
                <w:sz w:val="21"/>
                <w:szCs w:val="21"/>
              </w:rPr>
              <w:t>；危险废物依托现有危废暂存间暂存并及时处理。</w:t>
            </w:r>
          </w:p>
        </w:tc>
      </w:tr>
      <w:tr w14:paraId="46022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tcBorders>
              <w:top w:val="single" w:color="auto" w:sz="4" w:space="0"/>
              <w:left w:val="single" w:color="auto" w:sz="4" w:space="0"/>
              <w:bottom w:val="single" w:color="auto" w:sz="4" w:space="0"/>
              <w:right w:val="single" w:color="auto" w:sz="4" w:space="0"/>
            </w:tcBorders>
            <w:vAlign w:val="center"/>
          </w:tcPr>
          <w:p w14:paraId="72D8CB10">
            <w:pPr>
              <w:adjustRightInd w:val="0"/>
              <w:snapToGrid w:val="0"/>
              <w:jc w:val="center"/>
              <w:rPr>
                <w:rFonts w:ascii="Arial" w:hAnsi="Arial" w:eastAsia="宋体" w:cs="Arial"/>
                <w:sz w:val="21"/>
                <w:szCs w:val="21"/>
              </w:rPr>
            </w:pPr>
            <w:r>
              <w:rPr>
                <w:rFonts w:ascii="Arial" w:hAnsi="Arial" w:eastAsia="宋体" w:cs="Arial"/>
                <w:sz w:val="21"/>
                <w:szCs w:val="21"/>
              </w:rPr>
              <w:t>声环境污染防治措施</w:t>
            </w:r>
          </w:p>
        </w:tc>
        <w:tc>
          <w:tcPr>
            <w:tcW w:w="2840" w:type="pct"/>
            <w:tcBorders>
              <w:top w:val="single" w:color="auto" w:sz="4" w:space="0"/>
              <w:left w:val="single" w:color="auto" w:sz="4" w:space="0"/>
              <w:bottom w:val="single" w:color="auto" w:sz="4" w:space="0"/>
              <w:right w:val="single" w:color="auto" w:sz="4" w:space="0"/>
            </w:tcBorders>
            <w:vAlign w:val="center"/>
          </w:tcPr>
          <w:p w14:paraId="01F32458">
            <w:pPr>
              <w:adjustRightInd w:val="0"/>
              <w:snapToGrid w:val="0"/>
              <w:jc w:val="left"/>
              <w:rPr>
                <w:rFonts w:ascii="Arial" w:hAnsi="Arial" w:eastAsia="宋体" w:cs="Arial"/>
                <w:sz w:val="21"/>
                <w:szCs w:val="21"/>
              </w:rPr>
            </w:pPr>
            <w:r>
              <w:rPr>
                <w:rFonts w:ascii="Arial" w:hAnsi="Arial" w:eastAsia="宋体" w:cs="Arial"/>
                <w:sz w:val="21"/>
                <w:szCs w:val="21"/>
              </w:rPr>
              <w:t>将工业用地、公共设施用地等较嘈杂的用地与居住用地等需要安静的用地分隔开来，入园企业也要注意将生产区与办公区分离开来；运营噪声较大、昼夜连续生产、以噪声影响为主的项目，应考虑布设在周边敏感点的远端，远离敏感人群，并划定适当的防护距离；在工业园内主次干道等道路两侧设计合理的绿化带，可以有效地降低工业及交通噪声的影响范围及程度；对于具体项目应从工程选址、总图布置、设备选型、操作工艺等方面尽量减少声源对环境产生的影响。</w:t>
            </w:r>
          </w:p>
        </w:tc>
        <w:tc>
          <w:tcPr>
            <w:tcW w:w="1857" w:type="pct"/>
            <w:tcBorders>
              <w:top w:val="single" w:color="auto" w:sz="4" w:space="0"/>
              <w:left w:val="single" w:color="auto" w:sz="4" w:space="0"/>
              <w:bottom w:val="single" w:color="auto" w:sz="4" w:space="0"/>
              <w:right w:val="single" w:color="auto" w:sz="4" w:space="0"/>
            </w:tcBorders>
            <w:vAlign w:val="center"/>
          </w:tcPr>
          <w:p w14:paraId="67C5FD70">
            <w:pPr>
              <w:adjustRightInd w:val="0"/>
              <w:snapToGrid w:val="0"/>
              <w:jc w:val="left"/>
              <w:rPr>
                <w:rFonts w:ascii="Arial" w:hAnsi="Arial" w:eastAsia="宋体" w:cs="Arial"/>
                <w:sz w:val="21"/>
                <w:szCs w:val="21"/>
              </w:rPr>
            </w:pPr>
            <w:r>
              <w:rPr>
                <w:rFonts w:ascii="Arial" w:hAnsi="Arial" w:eastAsia="宋体" w:cs="Arial"/>
                <w:sz w:val="21"/>
                <w:szCs w:val="21"/>
              </w:rPr>
              <w:t>符合。</w:t>
            </w:r>
          </w:p>
          <w:p w14:paraId="319897BE">
            <w:pPr>
              <w:adjustRightInd w:val="0"/>
              <w:snapToGrid w:val="0"/>
              <w:jc w:val="left"/>
              <w:rPr>
                <w:rFonts w:ascii="Arial" w:hAnsi="Arial" w:eastAsia="宋体" w:cs="Arial"/>
                <w:sz w:val="21"/>
                <w:szCs w:val="21"/>
              </w:rPr>
            </w:pPr>
            <w:r>
              <w:rPr>
                <w:rFonts w:ascii="Arial" w:hAnsi="Arial" w:eastAsia="宋体" w:cs="Arial"/>
                <w:sz w:val="21"/>
                <w:szCs w:val="21"/>
              </w:rPr>
              <w:t>厂区生产区与办公区分开布置；运行噪声经建筑隔声、距离衰减后，各厂界噪声均达标。</w:t>
            </w:r>
          </w:p>
        </w:tc>
      </w:tr>
      <w:tr w14:paraId="3711E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tcBorders>
              <w:top w:val="single" w:color="auto" w:sz="4" w:space="0"/>
              <w:left w:val="single" w:color="auto" w:sz="4" w:space="0"/>
              <w:bottom w:val="single" w:color="auto" w:sz="4" w:space="0"/>
              <w:right w:val="single" w:color="auto" w:sz="4" w:space="0"/>
            </w:tcBorders>
            <w:vAlign w:val="center"/>
          </w:tcPr>
          <w:p w14:paraId="5C9DA958">
            <w:pPr>
              <w:adjustRightInd w:val="0"/>
              <w:snapToGrid w:val="0"/>
              <w:jc w:val="center"/>
              <w:rPr>
                <w:rFonts w:ascii="Arial" w:hAnsi="Arial" w:eastAsia="宋体" w:cs="Arial"/>
                <w:sz w:val="21"/>
                <w:szCs w:val="21"/>
              </w:rPr>
            </w:pPr>
            <w:r>
              <w:rPr>
                <w:rFonts w:ascii="Arial" w:hAnsi="Arial" w:eastAsia="宋体" w:cs="Arial"/>
                <w:sz w:val="21"/>
                <w:szCs w:val="21"/>
              </w:rPr>
              <w:t>固体废物管理及污染防治措施</w:t>
            </w:r>
          </w:p>
        </w:tc>
        <w:tc>
          <w:tcPr>
            <w:tcW w:w="2840" w:type="pct"/>
            <w:tcBorders>
              <w:top w:val="single" w:color="auto" w:sz="4" w:space="0"/>
              <w:left w:val="single" w:color="auto" w:sz="4" w:space="0"/>
              <w:bottom w:val="single" w:color="auto" w:sz="4" w:space="0"/>
              <w:right w:val="single" w:color="auto" w:sz="4" w:space="0"/>
            </w:tcBorders>
            <w:vAlign w:val="center"/>
          </w:tcPr>
          <w:p w14:paraId="27767AB9">
            <w:pPr>
              <w:adjustRightInd w:val="0"/>
              <w:snapToGrid w:val="0"/>
              <w:jc w:val="left"/>
              <w:rPr>
                <w:rFonts w:ascii="Arial" w:hAnsi="Arial" w:eastAsia="宋体" w:cs="Arial"/>
                <w:sz w:val="21"/>
                <w:szCs w:val="21"/>
              </w:rPr>
            </w:pPr>
            <w:r>
              <w:rPr>
                <w:rFonts w:ascii="Arial" w:hAnsi="Arial" w:eastAsia="宋体" w:cs="Arial"/>
                <w:sz w:val="21"/>
                <w:szCs w:val="21"/>
              </w:rPr>
              <w:t>固体废物根据不同的类别进行不同的处理处置。对于一般固体废物中可以综合利用的工业固体废物要进行综合利用；对不能综合利用的固体废物，送至规范的临时堆场或填埋场；危险废物应集中送至有资质的废物处置单位安全处置。建议建立园区内固体废物交换信息中心，鼓励和促进业间进行废物交换。</w:t>
            </w:r>
          </w:p>
        </w:tc>
        <w:tc>
          <w:tcPr>
            <w:tcW w:w="1857" w:type="pct"/>
            <w:tcBorders>
              <w:top w:val="single" w:color="auto" w:sz="4" w:space="0"/>
              <w:left w:val="single" w:color="auto" w:sz="4" w:space="0"/>
              <w:bottom w:val="single" w:color="auto" w:sz="4" w:space="0"/>
              <w:right w:val="single" w:color="auto" w:sz="4" w:space="0"/>
            </w:tcBorders>
            <w:vAlign w:val="center"/>
          </w:tcPr>
          <w:p w14:paraId="074ED850">
            <w:pPr>
              <w:adjustRightInd w:val="0"/>
              <w:snapToGrid w:val="0"/>
              <w:jc w:val="left"/>
              <w:rPr>
                <w:rFonts w:ascii="Arial" w:hAnsi="Arial" w:eastAsia="宋体" w:cs="Arial"/>
                <w:sz w:val="21"/>
                <w:szCs w:val="21"/>
              </w:rPr>
            </w:pPr>
            <w:r>
              <w:rPr>
                <w:rFonts w:ascii="Arial" w:hAnsi="Arial" w:eastAsia="宋体" w:cs="Arial"/>
                <w:sz w:val="21"/>
                <w:szCs w:val="21"/>
              </w:rPr>
              <w:t>符合。</w:t>
            </w:r>
          </w:p>
          <w:p w14:paraId="76CD2503">
            <w:pPr>
              <w:adjustRightInd w:val="0"/>
              <w:snapToGrid w:val="0"/>
              <w:jc w:val="left"/>
              <w:rPr>
                <w:rFonts w:ascii="Arial" w:hAnsi="Arial" w:eastAsia="宋体" w:cs="Arial"/>
                <w:sz w:val="21"/>
                <w:szCs w:val="21"/>
              </w:rPr>
            </w:pPr>
            <w:r>
              <w:rPr>
                <w:rFonts w:ascii="Arial" w:hAnsi="Arial" w:eastAsia="宋体" w:cs="Arial"/>
                <w:sz w:val="21"/>
                <w:szCs w:val="21"/>
              </w:rPr>
              <w:t>项目固体废物分类收集处置，可在厂区综合利用的固废先在厂区进行综合利用，不能利用的再委托处置；危险废物依托现有危废暂存间暂存并及时处理。</w:t>
            </w:r>
          </w:p>
        </w:tc>
      </w:tr>
      <w:tr w14:paraId="5361D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vMerge w:val="restart"/>
            <w:tcBorders>
              <w:top w:val="single" w:color="auto" w:sz="4" w:space="0"/>
              <w:left w:val="single" w:color="auto" w:sz="4" w:space="0"/>
              <w:bottom w:val="single" w:color="auto" w:sz="4" w:space="0"/>
              <w:right w:val="single" w:color="auto" w:sz="4" w:space="0"/>
            </w:tcBorders>
            <w:vAlign w:val="center"/>
          </w:tcPr>
          <w:p w14:paraId="45DFD270">
            <w:pPr>
              <w:adjustRightInd w:val="0"/>
              <w:snapToGrid w:val="0"/>
              <w:jc w:val="center"/>
              <w:rPr>
                <w:rFonts w:ascii="Arial" w:hAnsi="Arial" w:eastAsia="宋体" w:cs="Arial"/>
                <w:sz w:val="21"/>
                <w:szCs w:val="21"/>
              </w:rPr>
            </w:pPr>
            <w:r>
              <w:rPr>
                <w:rFonts w:ascii="Arial" w:hAnsi="Arial" w:eastAsia="宋体" w:cs="Arial"/>
                <w:sz w:val="21"/>
                <w:szCs w:val="21"/>
              </w:rPr>
              <w:t>生态功能修复和生物多样性保护对策和措施</w:t>
            </w:r>
          </w:p>
        </w:tc>
        <w:tc>
          <w:tcPr>
            <w:tcW w:w="2840" w:type="pct"/>
            <w:tcBorders>
              <w:top w:val="single" w:color="auto" w:sz="4" w:space="0"/>
              <w:left w:val="single" w:color="auto" w:sz="4" w:space="0"/>
              <w:bottom w:val="single" w:color="auto" w:sz="4" w:space="0"/>
              <w:right w:val="single" w:color="auto" w:sz="4" w:space="0"/>
            </w:tcBorders>
            <w:vAlign w:val="center"/>
          </w:tcPr>
          <w:p w14:paraId="3698FCA3">
            <w:pPr>
              <w:adjustRightInd w:val="0"/>
              <w:snapToGrid w:val="0"/>
              <w:jc w:val="left"/>
              <w:rPr>
                <w:rFonts w:ascii="Arial" w:hAnsi="Arial" w:eastAsia="宋体" w:cs="Arial"/>
                <w:sz w:val="21"/>
                <w:szCs w:val="21"/>
              </w:rPr>
            </w:pPr>
            <w:r>
              <w:rPr>
                <w:rFonts w:ascii="Arial" w:hAnsi="Arial" w:eastAsia="宋体" w:cs="Arial"/>
                <w:sz w:val="21"/>
                <w:szCs w:val="21"/>
              </w:rPr>
              <w:t>红树林的保护须严格执行国家及地方相应的保护管理办法和规定，加强管理，有效保护湿地生物多样性，加大可研投入，改善湿地红树林生长环境，加强宣传教育，提高人们的生态保护意识，通过广播、电视、报刊、杂志等多种形式加强宣传，普及红树林湿地的科学知识，强化沿海地区群众的生态保护意识和可持续发展观念，使培育和保护红树林湿地成为人们的自觉行动。</w:t>
            </w:r>
          </w:p>
        </w:tc>
        <w:tc>
          <w:tcPr>
            <w:tcW w:w="1857" w:type="pct"/>
            <w:tcBorders>
              <w:top w:val="single" w:color="auto" w:sz="4" w:space="0"/>
              <w:left w:val="single" w:color="auto" w:sz="4" w:space="0"/>
              <w:bottom w:val="single" w:color="auto" w:sz="4" w:space="0"/>
              <w:right w:val="single" w:color="auto" w:sz="4" w:space="0"/>
            </w:tcBorders>
            <w:vAlign w:val="center"/>
          </w:tcPr>
          <w:p w14:paraId="2620CCE9">
            <w:pPr>
              <w:adjustRightInd w:val="0"/>
              <w:snapToGrid w:val="0"/>
              <w:jc w:val="left"/>
              <w:rPr>
                <w:rFonts w:ascii="Arial" w:hAnsi="Arial" w:eastAsia="宋体" w:cs="Arial"/>
                <w:sz w:val="21"/>
                <w:szCs w:val="21"/>
              </w:rPr>
            </w:pPr>
            <w:r>
              <w:rPr>
                <w:rFonts w:ascii="Arial" w:hAnsi="Arial" w:eastAsia="宋体" w:cs="Arial"/>
                <w:sz w:val="21"/>
                <w:szCs w:val="21"/>
              </w:rPr>
              <w:t>不涉及</w:t>
            </w:r>
          </w:p>
        </w:tc>
      </w:tr>
      <w:tr w14:paraId="1585F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C4FADD4">
            <w:pPr>
              <w:widowControl/>
              <w:jc w:val="left"/>
              <w:rPr>
                <w:rFonts w:ascii="Arial" w:hAnsi="Arial" w:eastAsia="宋体" w:cs="Arial"/>
                <w:sz w:val="21"/>
                <w:szCs w:val="21"/>
              </w:rPr>
            </w:pPr>
          </w:p>
        </w:tc>
        <w:tc>
          <w:tcPr>
            <w:tcW w:w="2840" w:type="pct"/>
            <w:tcBorders>
              <w:top w:val="single" w:color="auto" w:sz="4" w:space="0"/>
              <w:left w:val="single" w:color="auto" w:sz="4" w:space="0"/>
              <w:bottom w:val="single" w:color="auto" w:sz="4" w:space="0"/>
              <w:right w:val="single" w:color="auto" w:sz="4" w:space="0"/>
            </w:tcBorders>
            <w:vAlign w:val="center"/>
          </w:tcPr>
          <w:p w14:paraId="47CC9A3F">
            <w:pPr>
              <w:adjustRightInd w:val="0"/>
              <w:snapToGrid w:val="0"/>
              <w:jc w:val="left"/>
              <w:rPr>
                <w:rFonts w:ascii="Arial" w:hAnsi="Arial" w:eastAsia="宋体" w:cs="Arial"/>
                <w:sz w:val="21"/>
                <w:szCs w:val="21"/>
              </w:rPr>
            </w:pPr>
            <w:r>
              <w:rPr>
                <w:rFonts w:ascii="Arial" w:hAnsi="Arial" w:eastAsia="宋体" w:cs="Arial"/>
                <w:sz w:val="21"/>
                <w:szCs w:val="21"/>
              </w:rPr>
              <w:t>规划的实施造成的生态破坏与污染问题也将给临近海域海洋渔业养殖带来压力，对此建立海洋生态补偿机制至关重要，主要包括资金补偿、政策补偿和资源补偿，其中资源补偿（生态补偿）的方式主要包括：增殖放流、人工鱼礁和人工鱼巢等。人工增殖放流可以补充经济水产生物幼体和饵料基础，直接提高港口码头周围海域渔业资源的数量和底栖生物量，修复和改善工程周围海域渔业生物种群结构。</w:t>
            </w:r>
          </w:p>
        </w:tc>
        <w:tc>
          <w:tcPr>
            <w:tcW w:w="1857" w:type="pct"/>
            <w:tcBorders>
              <w:top w:val="single" w:color="auto" w:sz="4" w:space="0"/>
              <w:left w:val="single" w:color="auto" w:sz="4" w:space="0"/>
              <w:bottom w:val="single" w:color="auto" w:sz="4" w:space="0"/>
              <w:right w:val="single" w:color="auto" w:sz="4" w:space="0"/>
            </w:tcBorders>
            <w:vAlign w:val="center"/>
          </w:tcPr>
          <w:p w14:paraId="0F464306">
            <w:pPr>
              <w:adjustRightInd w:val="0"/>
              <w:snapToGrid w:val="0"/>
              <w:jc w:val="left"/>
              <w:rPr>
                <w:rFonts w:ascii="Arial" w:hAnsi="Arial" w:eastAsia="宋体" w:cs="Arial"/>
                <w:sz w:val="21"/>
                <w:szCs w:val="21"/>
              </w:rPr>
            </w:pPr>
            <w:r>
              <w:rPr>
                <w:rFonts w:ascii="Arial" w:hAnsi="Arial" w:eastAsia="宋体" w:cs="Arial"/>
                <w:sz w:val="21"/>
                <w:szCs w:val="21"/>
              </w:rPr>
              <w:t>不涉及</w:t>
            </w:r>
          </w:p>
        </w:tc>
      </w:tr>
      <w:tr w14:paraId="62772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vMerge w:val="restart"/>
            <w:tcBorders>
              <w:top w:val="single" w:color="auto" w:sz="4" w:space="0"/>
              <w:left w:val="single" w:color="auto" w:sz="4" w:space="0"/>
              <w:bottom w:val="single" w:color="auto" w:sz="4" w:space="0"/>
              <w:right w:val="single" w:color="auto" w:sz="4" w:space="0"/>
            </w:tcBorders>
            <w:vAlign w:val="center"/>
          </w:tcPr>
          <w:p w14:paraId="4EB04BBA">
            <w:pPr>
              <w:adjustRightInd w:val="0"/>
              <w:snapToGrid w:val="0"/>
              <w:jc w:val="center"/>
              <w:rPr>
                <w:rFonts w:ascii="Arial" w:hAnsi="Arial" w:eastAsia="宋体" w:cs="Arial"/>
                <w:sz w:val="21"/>
                <w:szCs w:val="21"/>
              </w:rPr>
            </w:pPr>
            <w:r>
              <w:rPr>
                <w:rFonts w:ascii="Arial" w:hAnsi="Arial" w:eastAsia="宋体" w:cs="Arial"/>
                <w:sz w:val="21"/>
                <w:szCs w:val="21"/>
              </w:rPr>
              <w:t>环境风险防范对策</w:t>
            </w:r>
          </w:p>
        </w:tc>
        <w:tc>
          <w:tcPr>
            <w:tcW w:w="2840" w:type="pct"/>
            <w:tcBorders>
              <w:top w:val="single" w:color="auto" w:sz="4" w:space="0"/>
              <w:left w:val="single" w:color="auto" w:sz="4" w:space="0"/>
              <w:bottom w:val="single" w:color="auto" w:sz="4" w:space="0"/>
              <w:right w:val="single" w:color="auto" w:sz="4" w:space="0"/>
            </w:tcBorders>
            <w:vAlign w:val="center"/>
          </w:tcPr>
          <w:p w14:paraId="5C560C44">
            <w:pPr>
              <w:adjustRightInd w:val="0"/>
              <w:snapToGrid w:val="0"/>
              <w:jc w:val="left"/>
              <w:rPr>
                <w:rFonts w:ascii="Arial" w:hAnsi="Arial" w:eastAsia="宋体" w:cs="Arial"/>
                <w:sz w:val="21"/>
                <w:szCs w:val="21"/>
              </w:rPr>
            </w:pPr>
            <w:r>
              <w:rPr>
                <w:rFonts w:ascii="Arial" w:hAnsi="Arial" w:eastAsia="宋体" w:cs="Arial"/>
                <w:sz w:val="21"/>
                <w:szCs w:val="21"/>
              </w:rPr>
              <w:t>规划区主要的环境风险类型为泄漏，火灾、爆炸，火灾、爆炸引起的次生污染。对入驻的企业提出环境风险防范约束性要求，建立园区环境风险防控体系，积极采取区域联防联控对策措施，从而加强对园区环境风险的防范。</w:t>
            </w:r>
          </w:p>
        </w:tc>
        <w:tc>
          <w:tcPr>
            <w:tcW w:w="1857" w:type="pct"/>
            <w:vMerge w:val="restart"/>
            <w:tcBorders>
              <w:top w:val="single" w:color="auto" w:sz="4" w:space="0"/>
              <w:left w:val="single" w:color="auto" w:sz="4" w:space="0"/>
              <w:bottom w:val="single" w:color="auto" w:sz="4" w:space="0"/>
              <w:right w:val="single" w:color="auto" w:sz="4" w:space="0"/>
            </w:tcBorders>
            <w:vAlign w:val="center"/>
          </w:tcPr>
          <w:p w14:paraId="6C21638B">
            <w:pPr>
              <w:adjustRightInd w:val="0"/>
              <w:snapToGrid w:val="0"/>
              <w:jc w:val="left"/>
              <w:rPr>
                <w:rFonts w:ascii="Arial" w:hAnsi="Arial" w:eastAsia="宋体" w:cs="Arial"/>
                <w:sz w:val="21"/>
                <w:szCs w:val="21"/>
              </w:rPr>
            </w:pPr>
            <w:r>
              <w:rPr>
                <w:rFonts w:ascii="Arial" w:hAnsi="Arial" w:eastAsia="宋体" w:cs="Arial"/>
                <w:sz w:val="21"/>
                <w:szCs w:val="21"/>
              </w:rPr>
              <w:t>符合。</w:t>
            </w:r>
          </w:p>
          <w:p w14:paraId="57F4B957">
            <w:pPr>
              <w:adjustRightInd w:val="0"/>
              <w:snapToGrid w:val="0"/>
              <w:jc w:val="left"/>
              <w:rPr>
                <w:rFonts w:ascii="Arial" w:hAnsi="Arial" w:eastAsia="宋体" w:cs="Arial"/>
                <w:sz w:val="21"/>
                <w:szCs w:val="21"/>
              </w:rPr>
            </w:pPr>
            <w:r>
              <w:rPr>
                <w:rFonts w:ascii="Arial" w:hAnsi="Arial" w:eastAsia="宋体" w:cs="Arial"/>
                <w:sz w:val="21"/>
                <w:szCs w:val="21"/>
              </w:rPr>
              <w:t>厂区建立三级防控体系，按要求编制突发环境事件应急预案，配备应急物资。</w:t>
            </w:r>
          </w:p>
        </w:tc>
      </w:tr>
      <w:tr w14:paraId="3AA1A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F9B0BF3">
            <w:pPr>
              <w:widowControl/>
              <w:jc w:val="left"/>
              <w:rPr>
                <w:rFonts w:ascii="Arial" w:hAnsi="Arial" w:eastAsia="宋体" w:cs="Arial"/>
                <w:sz w:val="21"/>
                <w:szCs w:val="21"/>
              </w:rPr>
            </w:pPr>
          </w:p>
        </w:tc>
        <w:tc>
          <w:tcPr>
            <w:tcW w:w="2840" w:type="pct"/>
            <w:tcBorders>
              <w:top w:val="single" w:color="auto" w:sz="4" w:space="0"/>
              <w:left w:val="single" w:color="auto" w:sz="4" w:space="0"/>
              <w:bottom w:val="single" w:color="auto" w:sz="4" w:space="0"/>
              <w:right w:val="single" w:color="auto" w:sz="4" w:space="0"/>
            </w:tcBorders>
            <w:vAlign w:val="center"/>
          </w:tcPr>
          <w:p w14:paraId="4A262033">
            <w:pPr>
              <w:adjustRightInd w:val="0"/>
              <w:snapToGrid w:val="0"/>
              <w:jc w:val="left"/>
              <w:rPr>
                <w:rFonts w:ascii="Arial" w:hAnsi="Arial" w:eastAsia="宋体" w:cs="Arial"/>
                <w:sz w:val="21"/>
                <w:szCs w:val="21"/>
              </w:rPr>
            </w:pPr>
            <w:r>
              <w:rPr>
                <w:rFonts w:ascii="Arial" w:hAnsi="Arial" w:eastAsia="宋体" w:cs="Arial"/>
                <w:sz w:val="21"/>
                <w:szCs w:val="21"/>
              </w:rPr>
              <w:t>企业应及时制定“企业突发环境事件应急预案”，建立企业应急队伍，并向规划区管理部门报备；规划区应建立完整的环境风险应急体系，完善应急物资的管理，加强对企业风险防范措施的落实情况的监督管理等。当企业内部发生突发环境风险事件时，企业若是无法自行处理，应及时上报规划区，必要时启动应急预案。</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3AE23D6">
            <w:pPr>
              <w:widowControl/>
              <w:jc w:val="left"/>
              <w:rPr>
                <w:rFonts w:ascii="Arial" w:hAnsi="Arial" w:eastAsia="宋体" w:cs="Arial"/>
                <w:sz w:val="21"/>
                <w:szCs w:val="21"/>
              </w:rPr>
            </w:pPr>
          </w:p>
        </w:tc>
      </w:tr>
    </w:tbl>
    <w:p w14:paraId="662BFCB2">
      <w:pPr>
        <w:pStyle w:val="5"/>
        <w:spacing w:line="500" w:lineRule="exact"/>
        <w:ind w:firstLine="475" w:firstLineChars="194"/>
        <w:rPr>
          <w:szCs w:val="24"/>
          <w:highlight w:val="yellow"/>
        </w:rPr>
      </w:pPr>
    </w:p>
    <w:p w14:paraId="4FC779DA">
      <w:pPr>
        <w:pStyle w:val="5"/>
        <w:spacing w:line="500" w:lineRule="exact"/>
        <w:ind w:firstLine="475" w:firstLineChars="194"/>
        <w:rPr>
          <w:szCs w:val="24"/>
          <w:highlight w:val="yellow"/>
        </w:rPr>
        <w:sectPr>
          <w:pgSz w:w="16840" w:h="11907" w:orient="landscape"/>
          <w:pgMar w:top="1157" w:right="1678" w:bottom="1406" w:left="1899" w:header="1174" w:footer="1026" w:gutter="567"/>
          <w:cols w:space="720" w:num="1"/>
          <w:docGrid w:type="linesAndChars" w:linePitch="421" w:charSpace="-3161"/>
        </w:sectPr>
      </w:pPr>
    </w:p>
    <w:p w14:paraId="0E505561">
      <w:pPr>
        <w:pStyle w:val="5"/>
        <w:spacing w:line="500" w:lineRule="exact"/>
        <w:ind w:firstLine="0"/>
        <w:outlineLvl w:val="3"/>
        <w:rPr>
          <w:b/>
          <w:szCs w:val="24"/>
        </w:rPr>
      </w:pPr>
      <w:r>
        <w:rPr>
          <w:b/>
          <w:szCs w:val="24"/>
        </w:rPr>
        <w:t>1.5.</w:t>
      </w:r>
      <w:r>
        <w:rPr>
          <w:rFonts w:hint="eastAsia"/>
          <w:b/>
          <w:szCs w:val="24"/>
        </w:rPr>
        <w:t>2</w:t>
      </w:r>
      <w:r>
        <w:rPr>
          <w:b/>
          <w:szCs w:val="24"/>
        </w:rPr>
        <w:t>.2审查意见相关要求及符合性分析</w:t>
      </w:r>
    </w:p>
    <w:p w14:paraId="3AE82E33">
      <w:pPr>
        <w:pStyle w:val="5"/>
        <w:spacing w:line="500" w:lineRule="exact"/>
        <w:ind w:firstLine="475" w:firstLineChars="194"/>
        <w:rPr>
          <w:szCs w:val="24"/>
        </w:rPr>
      </w:pPr>
      <w:r>
        <w:rPr>
          <w:szCs w:val="24"/>
        </w:rPr>
        <w:t>1、对近期建设项目环评的意见</w:t>
      </w:r>
    </w:p>
    <w:p w14:paraId="78412AB3">
      <w:pPr>
        <w:pStyle w:val="5"/>
        <w:spacing w:line="500" w:lineRule="exact"/>
        <w:ind w:firstLine="475" w:firstLineChars="194"/>
        <w:rPr>
          <w:szCs w:val="24"/>
        </w:rPr>
      </w:pPr>
      <w:r>
        <w:rPr>
          <w:szCs w:val="24"/>
        </w:rPr>
        <w:t>规划包含的近期建设项目在开展环境影响评价时，应落实本次规划环境影响评价提出的各项要求；深入论证项目工程分析及污染物排放量核定；着重分析项目废水的水质、水量纳入园区集中污水处理厂的可行性；强化项目风险防范措施的环境可行性与园区风险防范措施的衔接性分析；重视项目对敏感环境保护目标的影响评价。规划协调性分析及环境现状调查及生态环境影响内容可适当简化。</w:t>
      </w:r>
    </w:p>
    <w:p w14:paraId="770FFC80">
      <w:pPr>
        <w:pStyle w:val="5"/>
        <w:spacing w:line="500" w:lineRule="exact"/>
        <w:ind w:firstLine="475" w:firstLineChars="194"/>
        <w:rPr>
          <w:szCs w:val="24"/>
        </w:rPr>
      </w:pPr>
      <w:r>
        <w:rPr>
          <w:szCs w:val="24"/>
        </w:rPr>
        <w:t>2、与审查意见符合性分析</w:t>
      </w:r>
    </w:p>
    <w:p w14:paraId="3B56B4DC">
      <w:pPr>
        <w:pStyle w:val="5"/>
        <w:spacing w:line="500" w:lineRule="exact"/>
        <w:ind w:firstLine="475" w:firstLineChars="194"/>
        <w:rPr>
          <w:szCs w:val="24"/>
        </w:rPr>
      </w:pPr>
      <w:r>
        <w:rPr>
          <w:szCs w:val="24"/>
        </w:rPr>
        <w:t>项目环评详细深入论证项目工程分析、核定污染物排放量；生活污水经处理后排入园区污水处理厂处理</w:t>
      </w:r>
      <w:r>
        <w:rPr>
          <w:rFonts w:hint="eastAsia"/>
          <w:szCs w:val="24"/>
        </w:rPr>
        <w:t>；项目变更后生产废水较变更前有所增加，但企业全厂生产废水排放量未超过一期一阶段项目环评，报告引用该项目环评的排水预测结论对海域影响进行分析论证</w:t>
      </w:r>
      <w:r>
        <w:rPr>
          <w:szCs w:val="24"/>
        </w:rPr>
        <w:t>；分析了风险防范措施及与园区的衔接性；根据预测，项目的建设对周边大气、水、声、土壤环境影响在可接受范围。</w:t>
      </w:r>
    </w:p>
    <w:p w14:paraId="0865273B">
      <w:pPr>
        <w:pStyle w:val="5"/>
        <w:spacing w:line="500" w:lineRule="exact"/>
        <w:ind w:firstLine="475" w:firstLineChars="194"/>
        <w:rPr>
          <w:szCs w:val="24"/>
        </w:rPr>
      </w:pPr>
      <w:r>
        <w:rPr>
          <w:szCs w:val="24"/>
        </w:rPr>
        <w:t>因此，项目符合规划环评审查意见的要求。</w:t>
      </w:r>
    </w:p>
    <w:p w14:paraId="2B9EA49A">
      <w:pPr>
        <w:pStyle w:val="5"/>
        <w:spacing w:line="500" w:lineRule="exact"/>
        <w:ind w:firstLine="0"/>
        <w:outlineLvl w:val="3"/>
        <w:rPr>
          <w:b/>
          <w:szCs w:val="24"/>
        </w:rPr>
      </w:pPr>
      <w:r>
        <w:rPr>
          <w:b/>
          <w:szCs w:val="24"/>
        </w:rPr>
        <w:t>1.5.</w:t>
      </w:r>
      <w:r>
        <w:rPr>
          <w:rFonts w:hint="eastAsia"/>
          <w:b/>
          <w:szCs w:val="24"/>
        </w:rPr>
        <w:t>2</w:t>
      </w:r>
      <w:r>
        <w:rPr>
          <w:b/>
          <w:szCs w:val="24"/>
        </w:rPr>
        <w:t>.3小结</w:t>
      </w:r>
    </w:p>
    <w:p w14:paraId="001D7B32">
      <w:pPr>
        <w:pStyle w:val="5"/>
        <w:spacing w:line="500" w:lineRule="exact"/>
        <w:ind w:firstLine="475" w:firstLineChars="194"/>
        <w:rPr>
          <w:szCs w:val="24"/>
        </w:rPr>
      </w:pPr>
      <w:r>
        <w:rPr>
          <w:szCs w:val="24"/>
        </w:rPr>
        <w:t>综上分析，项目符合大榄坪物流加工区规划环评及审查意见的相关要求。</w:t>
      </w:r>
    </w:p>
    <w:p w14:paraId="060BD913">
      <w:pPr>
        <w:keepNext/>
        <w:keepLines/>
        <w:numPr>
          <w:ilvl w:val="0"/>
          <w:numId w:val="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与《广西钦州石化产业园总体发展规划（2020-2035年）》符合性分析</w:t>
      </w:r>
    </w:p>
    <w:p w14:paraId="0F937251">
      <w:pPr>
        <w:pStyle w:val="5"/>
        <w:spacing w:line="500" w:lineRule="exact"/>
        <w:ind w:firstLine="475" w:firstLineChars="194"/>
        <w:rPr>
          <w:szCs w:val="24"/>
        </w:rPr>
      </w:pPr>
      <w:r>
        <w:rPr>
          <w:szCs w:val="24"/>
        </w:rPr>
        <w:t>项目布置于</w:t>
      </w:r>
      <w:r>
        <w:rPr>
          <w:rFonts w:hint="eastAsia"/>
          <w:szCs w:val="24"/>
        </w:rPr>
        <w:t>中伟</w:t>
      </w:r>
      <w:r>
        <w:rPr>
          <w:szCs w:val="24"/>
        </w:rPr>
        <w:t>2#地块，</w:t>
      </w:r>
      <w:r>
        <w:rPr>
          <w:rFonts w:hint="eastAsia"/>
          <w:szCs w:val="24"/>
        </w:rPr>
        <w:t>同时处于</w:t>
      </w:r>
      <w:r>
        <w:rPr>
          <w:szCs w:val="24"/>
        </w:rPr>
        <w:t>石化产业园区的鹿耳片区。</w:t>
      </w:r>
    </w:p>
    <w:p w14:paraId="2695490E">
      <w:pPr>
        <w:pStyle w:val="5"/>
        <w:spacing w:line="500" w:lineRule="exact"/>
        <w:ind w:firstLine="475" w:firstLineChars="194"/>
        <w:rPr>
          <w:szCs w:val="24"/>
        </w:rPr>
      </w:pPr>
      <w:r>
        <w:rPr>
          <w:szCs w:val="24"/>
        </w:rPr>
        <w:t>中伟公司主营三元前驱体、四氧化三钴等前驱体研发以及金属镍钴及电池材料综合循环利用，项目</w:t>
      </w:r>
      <w:r>
        <w:rPr>
          <w:rFonts w:hint="eastAsia"/>
          <w:szCs w:val="24"/>
        </w:rPr>
        <w:t>以硫酸钴晶体、液碱、氨水及双氧水为原辅料生产羟基钴，羟基钴属于钴酸锂类电池的原料之一</w:t>
      </w:r>
      <w:r>
        <w:rPr>
          <w:szCs w:val="24"/>
        </w:rPr>
        <w:t>。因此，项目属于</w:t>
      </w:r>
      <w:r>
        <w:rPr>
          <w:rFonts w:hint="eastAsia"/>
          <w:szCs w:val="24"/>
        </w:rPr>
        <w:t>特种电化学产品</w:t>
      </w:r>
      <w:r>
        <w:rPr>
          <w:szCs w:val="24"/>
        </w:rPr>
        <w:t>，符合石化产业园的主导产业。因此，项目符合石化产业园区规划，符合鹿耳片区的空间布局规划。</w:t>
      </w:r>
    </w:p>
    <w:p w14:paraId="48207783">
      <w:pPr>
        <w:keepNext/>
        <w:keepLines/>
        <w:numPr>
          <w:ilvl w:val="0"/>
          <w:numId w:val="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与《广西钦州石化产业园总体发展规划（2020-2035年）环境影响报告书》及审查意见符合性分析</w:t>
      </w:r>
    </w:p>
    <w:p w14:paraId="2095C17C">
      <w:pPr>
        <w:pStyle w:val="5"/>
        <w:spacing w:line="500" w:lineRule="exact"/>
        <w:ind w:firstLine="0"/>
        <w:outlineLvl w:val="3"/>
        <w:rPr>
          <w:b/>
          <w:szCs w:val="24"/>
        </w:rPr>
      </w:pPr>
      <w:r>
        <w:rPr>
          <w:b/>
          <w:szCs w:val="24"/>
        </w:rPr>
        <w:t>1.5.</w:t>
      </w:r>
      <w:r>
        <w:rPr>
          <w:rFonts w:hint="eastAsia"/>
          <w:b/>
          <w:szCs w:val="24"/>
        </w:rPr>
        <w:t>4</w:t>
      </w:r>
      <w:r>
        <w:rPr>
          <w:b/>
          <w:szCs w:val="24"/>
        </w:rPr>
        <w:t>.1规划环评相关要求及符合性分析</w:t>
      </w:r>
    </w:p>
    <w:p w14:paraId="2C2C6899">
      <w:pPr>
        <w:pStyle w:val="5"/>
        <w:spacing w:line="500" w:lineRule="exact"/>
        <w:ind w:firstLine="475" w:firstLineChars="194"/>
        <w:rPr>
          <w:bCs/>
          <w:szCs w:val="24"/>
        </w:rPr>
      </w:pPr>
      <w:r>
        <w:rPr>
          <w:bCs/>
          <w:szCs w:val="24"/>
        </w:rPr>
        <w:t>1、入园项目生态环境准入要求（见表1-</w:t>
      </w:r>
      <w:r>
        <w:rPr>
          <w:rFonts w:hint="eastAsia"/>
          <w:bCs/>
          <w:szCs w:val="24"/>
        </w:rPr>
        <w:t>36</w:t>
      </w:r>
      <w:r>
        <w:rPr>
          <w:bCs/>
          <w:szCs w:val="24"/>
        </w:rPr>
        <w:t>）</w:t>
      </w:r>
    </w:p>
    <w:p w14:paraId="3EB5720D">
      <w:pPr>
        <w:pStyle w:val="5"/>
        <w:spacing w:line="500" w:lineRule="exact"/>
        <w:ind w:firstLine="475" w:firstLineChars="194"/>
        <w:rPr>
          <w:szCs w:val="24"/>
        </w:rPr>
      </w:pPr>
      <w:r>
        <w:rPr>
          <w:bCs/>
          <w:szCs w:val="24"/>
        </w:rPr>
        <w:t>2、</w:t>
      </w:r>
      <w:r>
        <w:rPr>
          <w:szCs w:val="24"/>
        </w:rPr>
        <w:t>入园区内项目清单</w:t>
      </w:r>
      <w:r>
        <w:rPr>
          <w:bCs/>
          <w:szCs w:val="24"/>
        </w:rPr>
        <w:t>（见表1-</w:t>
      </w:r>
      <w:r>
        <w:rPr>
          <w:rFonts w:hint="eastAsia"/>
          <w:bCs/>
          <w:szCs w:val="24"/>
        </w:rPr>
        <w:t>37</w:t>
      </w:r>
      <w:r>
        <w:rPr>
          <w:bCs/>
          <w:szCs w:val="24"/>
        </w:rPr>
        <w:t>）</w:t>
      </w:r>
    </w:p>
    <w:p w14:paraId="51E5269A">
      <w:pPr>
        <w:pStyle w:val="5"/>
        <w:spacing w:line="500" w:lineRule="exact"/>
        <w:ind w:firstLine="475" w:firstLineChars="194"/>
        <w:rPr>
          <w:szCs w:val="24"/>
        </w:rPr>
      </w:pPr>
      <w:r>
        <w:rPr>
          <w:szCs w:val="24"/>
        </w:rPr>
        <w:t>根据表1-</w:t>
      </w:r>
      <w:r>
        <w:rPr>
          <w:rFonts w:hint="eastAsia"/>
          <w:szCs w:val="24"/>
        </w:rPr>
        <w:t>36</w:t>
      </w:r>
      <w:r>
        <w:rPr>
          <w:szCs w:val="24"/>
        </w:rPr>
        <w:t>、表1-</w:t>
      </w:r>
      <w:r>
        <w:rPr>
          <w:rFonts w:hint="eastAsia"/>
          <w:szCs w:val="24"/>
        </w:rPr>
        <w:t>37</w:t>
      </w:r>
      <w:r>
        <w:rPr>
          <w:szCs w:val="24"/>
        </w:rPr>
        <w:t>，项目符合园区规划环评相关要求。</w:t>
      </w:r>
    </w:p>
    <w:p w14:paraId="5F06BF87">
      <w:pPr>
        <w:pStyle w:val="5"/>
        <w:spacing w:line="500" w:lineRule="exact"/>
        <w:ind w:firstLine="475" w:firstLineChars="194"/>
        <w:rPr>
          <w:szCs w:val="24"/>
          <w:highlight w:val="yellow"/>
        </w:rPr>
      </w:pPr>
    </w:p>
    <w:p w14:paraId="5F7B80FC">
      <w:pPr>
        <w:pStyle w:val="5"/>
        <w:spacing w:line="500" w:lineRule="exact"/>
        <w:ind w:firstLine="475" w:firstLineChars="194"/>
        <w:rPr>
          <w:szCs w:val="24"/>
          <w:highlight w:val="yellow"/>
        </w:rPr>
        <w:sectPr>
          <w:pgSz w:w="11907" w:h="16840"/>
          <w:pgMar w:top="1678" w:right="1408" w:bottom="1901" w:left="1155" w:header="1174" w:footer="1029" w:gutter="567"/>
          <w:cols w:space="720" w:num="1"/>
          <w:docGrid w:type="linesAndChars" w:linePitch="421" w:charSpace="-3161"/>
        </w:sectPr>
      </w:pPr>
    </w:p>
    <w:p w14:paraId="7C791138">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入园项目生态环境准入要求符合性分析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8505"/>
        <w:gridCol w:w="4300"/>
      </w:tblGrid>
      <w:tr w14:paraId="0E160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50" w:type="pct"/>
            <w:tcBorders>
              <w:top w:val="single" w:color="auto" w:sz="4" w:space="0"/>
              <w:left w:val="single" w:color="auto" w:sz="4" w:space="0"/>
              <w:bottom w:val="single" w:color="auto" w:sz="4" w:space="0"/>
              <w:right w:val="single" w:color="auto" w:sz="4" w:space="0"/>
            </w:tcBorders>
            <w:vAlign w:val="center"/>
          </w:tcPr>
          <w:p w14:paraId="4B9698AA">
            <w:pPr>
              <w:adjustRightInd w:val="0"/>
              <w:snapToGrid w:val="0"/>
              <w:jc w:val="center"/>
              <w:rPr>
                <w:rFonts w:ascii="Arial" w:hAnsi="Arial" w:eastAsia="宋体" w:cs="Arial"/>
                <w:szCs w:val="21"/>
              </w:rPr>
            </w:pPr>
            <w:r>
              <w:rPr>
                <w:rFonts w:ascii="Arial" w:hAnsi="Arial" w:eastAsia="宋体" w:cs="Arial"/>
                <w:sz w:val="21"/>
                <w:szCs w:val="21"/>
              </w:rPr>
              <w:t>序号</w:t>
            </w:r>
          </w:p>
        </w:tc>
        <w:tc>
          <w:tcPr>
            <w:tcW w:w="3155" w:type="pct"/>
            <w:tcBorders>
              <w:top w:val="single" w:color="auto" w:sz="4" w:space="0"/>
              <w:left w:val="single" w:color="auto" w:sz="4" w:space="0"/>
              <w:bottom w:val="single" w:color="auto" w:sz="4" w:space="0"/>
              <w:right w:val="single" w:color="auto" w:sz="4" w:space="0"/>
            </w:tcBorders>
            <w:vAlign w:val="center"/>
          </w:tcPr>
          <w:p w14:paraId="6B6B8D65">
            <w:pPr>
              <w:adjustRightInd w:val="0"/>
              <w:snapToGrid w:val="0"/>
              <w:jc w:val="center"/>
              <w:rPr>
                <w:rFonts w:ascii="Arial" w:hAnsi="Arial" w:eastAsia="宋体" w:cs="Arial"/>
                <w:szCs w:val="21"/>
              </w:rPr>
            </w:pPr>
            <w:r>
              <w:rPr>
                <w:rFonts w:ascii="Arial" w:hAnsi="Arial" w:eastAsia="宋体" w:cs="Arial"/>
                <w:sz w:val="21"/>
                <w:szCs w:val="21"/>
              </w:rPr>
              <w:t>内容</w:t>
            </w:r>
          </w:p>
        </w:tc>
        <w:tc>
          <w:tcPr>
            <w:tcW w:w="1595" w:type="pct"/>
            <w:tcBorders>
              <w:top w:val="single" w:color="auto" w:sz="4" w:space="0"/>
              <w:left w:val="single" w:color="auto" w:sz="4" w:space="0"/>
              <w:bottom w:val="single" w:color="auto" w:sz="4" w:space="0"/>
              <w:right w:val="single" w:color="auto" w:sz="4" w:space="0"/>
            </w:tcBorders>
            <w:vAlign w:val="center"/>
          </w:tcPr>
          <w:p w14:paraId="181C3B27">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14:paraId="14738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14:paraId="7E9EC231">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3155" w:type="pct"/>
            <w:tcBorders>
              <w:top w:val="single" w:color="auto" w:sz="4" w:space="0"/>
              <w:left w:val="single" w:color="auto" w:sz="4" w:space="0"/>
              <w:bottom w:val="single" w:color="auto" w:sz="4" w:space="0"/>
              <w:right w:val="single" w:color="auto" w:sz="4" w:space="0"/>
            </w:tcBorders>
            <w:vAlign w:val="center"/>
          </w:tcPr>
          <w:p w14:paraId="2B8CDA3F">
            <w:pPr>
              <w:adjustRightInd w:val="0"/>
              <w:snapToGrid w:val="0"/>
              <w:jc w:val="left"/>
              <w:rPr>
                <w:rFonts w:ascii="Arial" w:hAnsi="Arial" w:eastAsia="宋体" w:cs="Arial"/>
                <w:sz w:val="21"/>
                <w:szCs w:val="21"/>
              </w:rPr>
            </w:pPr>
            <w:r>
              <w:rPr>
                <w:rFonts w:ascii="Arial" w:hAnsi="Arial" w:eastAsia="宋体" w:cs="Arial"/>
                <w:sz w:val="21"/>
                <w:szCs w:val="21"/>
              </w:rPr>
              <w:t>建设项目应为石化产业园区产业链范围内的项目，选址应符合石化产业园区规划的功能分区。</w:t>
            </w:r>
          </w:p>
        </w:tc>
        <w:tc>
          <w:tcPr>
            <w:tcW w:w="1595" w:type="pct"/>
            <w:tcBorders>
              <w:top w:val="single" w:color="auto" w:sz="4" w:space="0"/>
              <w:left w:val="single" w:color="auto" w:sz="4" w:space="0"/>
              <w:bottom w:val="single" w:color="auto" w:sz="4" w:space="0"/>
              <w:right w:val="single" w:color="auto" w:sz="4" w:space="0"/>
            </w:tcBorders>
            <w:vAlign w:val="center"/>
          </w:tcPr>
          <w:p w14:paraId="559D73E2">
            <w:pPr>
              <w:adjustRightInd w:val="0"/>
              <w:snapToGrid w:val="0"/>
              <w:jc w:val="left"/>
              <w:rPr>
                <w:rFonts w:ascii="Arial" w:hAnsi="Arial" w:eastAsia="宋体" w:cs="Arial"/>
                <w:sz w:val="21"/>
                <w:szCs w:val="21"/>
              </w:rPr>
            </w:pPr>
            <w:r>
              <w:rPr>
                <w:rFonts w:ascii="Arial" w:hAnsi="Arial" w:eastAsia="宋体" w:cs="Arial"/>
                <w:sz w:val="21"/>
                <w:szCs w:val="21"/>
              </w:rPr>
              <w:t>符合。项目符合石化产业园区的主导产业，位于鹿耳片区，符合该片区空间布局规划。</w:t>
            </w:r>
          </w:p>
        </w:tc>
      </w:tr>
      <w:tr w14:paraId="48406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14:paraId="2FE1FDD1">
            <w:pPr>
              <w:adjustRightInd w:val="0"/>
              <w:snapToGrid w:val="0"/>
              <w:jc w:val="center"/>
              <w:rPr>
                <w:rFonts w:ascii="Arial" w:hAnsi="Arial" w:eastAsia="宋体" w:cs="Arial"/>
                <w:sz w:val="21"/>
                <w:szCs w:val="21"/>
              </w:rPr>
            </w:pPr>
            <w:r>
              <w:rPr>
                <w:rFonts w:ascii="Arial" w:hAnsi="Arial" w:eastAsia="宋体" w:cs="Arial"/>
                <w:sz w:val="21"/>
                <w:szCs w:val="21"/>
              </w:rPr>
              <w:t>2</w:t>
            </w:r>
          </w:p>
        </w:tc>
        <w:tc>
          <w:tcPr>
            <w:tcW w:w="3155" w:type="pct"/>
            <w:tcBorders>
              <w:top w:val="single" w:color="auto" w:sz="4" w:space="0"/>
              <w:left w:val="single" w:color="auto" w:sz="4" w:space="0"/>
              <w:bottom w:val="single" w:color="auto" w:sz="4" w:space="0"/>
              <w:right w:val="single" w:color="auto" w:sz="4" w:space="0"/>
            </w:tcBorders>
            <w:vAlign w:val="center"/>
          </w:tcPr>
          <w:p w14:paraId="0BD3034F">
            <w:pPr>
              <w:adjustRightInd w:val="0"/>
              <w:snapToGrid w:val="0"/>
              <w:jc w:val="left"/>
              <w:rPr>
                <w:rFonts w:ascii="Arial" w:hAnsi="Arial" w:eastAsia="宋体" w:cs="Arial"/>
                <w:sz w:val="21"/>
                <w:szCs w:val="21"/>
              </w:rPr>
            </w:pPr>
            <w:r>
              <w:rPr>
                <w:rFonts w:ascii="Arial" w:hAnsi="Arial" w:eastAsia="宋体" w:cs="Arial"/>
                <w:sz w:val="21"/>
                <w:szCs w:val="21"/>
              </w:rPr>
              <w:t>建设项目污染防治和环境影响方面的准入要求：</w:t>
            </w:r>
          </w:p>
          <w:p w14:paraId="3932B302">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引进的项目必须符合国家的产业政策，积极引进国家鼓励类项目，不得引进限制类和淘汰类项目；禁止建设不符合国家产业政策和准入条件、布局不合理、环境容量不足的项目（含新建、改建、扩建、异地搬迁、技术改造项目），严格控制可能对环境产生影响项目的建设，限制发展、淘汰技术落后、高能耗、高污染的项目。</w:t>
            </w:r>
          </w:p>
          <w:p w14:paraId="690A2E3D">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园区实现集中供热，各企业不得自建供热锅炉（企业利用自产燃料气除外）； 采用雨污分流制，雨水监控达标后通过雨水管网就近排入水体，各企业废水预处理后纳入园区污水处理厂处理，涵盖了工业区内大型企业、港口各作业区的污水处理，并配套中水回用系统。</w:t>
            </w:r>
          </w:p>
        </w:tc>
        <w:tc>
          <w:tcPr>
            <w:tcW w:w="1595" w:type="pct"/>
            <w:tcBorders>
              <w:top w:val="single" w:color="auto" w:sz="4" w:space="0"/>
              <w:left w:val="single" w:color="auto" w:sz="4" w:space="0"/>
              <w:bottom w:val="single" w:color="auto" w:sz="4" w:space="0"/>
              <w:right w:val="single" w:color="auto" w:sz="4" w:space="0"/>
            </w:tcBorders>
            <w:vAlign w:val="center"/>
          </w:tcPr>
          <w:p w14:paraId="469CC42F">
            <w:pPr>
              <w:adjustRightInd w:val="0"/>
              <w:snapToGrid w:val="0"/>
              <w:jc w:val="left"/>
              <w:rPr>
                <w:rFonts w:ascii="Arial" w:hAnsi="Arial" w:eastAsia="宋体" w:cs="Arial"/>
                <w:sz w:val="21"/>
                <w:szCs w:val="21"/>
              </w:rPr>
            </w:pPr>
            <w:r>
              <w:rPr>
                <w:rFonts w:ascii="Arial" w:hAnsi="Arial" w:eastAsia="宋体" w:cs="Arial"/>
                <w:sz w:val="21"/>
                <w:szCs w:val="21"/>
              </w:rPr>
              <w:t>符合。</w:t>
            </w:r>
          </w:p>
          <w:p w14:paraId="071F19BE">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项目符合国家产业政策，不属于限制类和淘汰类项目；符合国家产业政策和准入条件，根据预测，项目建设不会导致区域环境质量降级。</w:t>
            </w:r>
          </w:p>
          <w:p w14:paraId="4F2B3942">
            <w:pPr>
              <w:adjustRightInd w:val="0"/>
              <w:snapToGrid w:val="0"/>
              <w:jc w:val="left"/>
              <w:rPr>
                <w:rFonts w:ascii="Arial" w:hAnsi="Arial" w:eastAsia="宋体" w:cs="Arial"/>
                <w:sz w:val="21"/>
                <w:szCs w:val="21"/>
                <w:highlight w:val="yellow"/>
              </w:rPr>
            </w:pPr>
            <w:r>
              <w:rPr>
                <w:rFonts w:hint="eastAsia" w:ascii="宋体" w:hAnsi="宋体" w:eastAsia="宋体" w:cs="宋体"/>
                <w:sz w:val="21"/>
                <w:szCs w:val="21"/>
              </w:rPr>
              <w:t>②</w:t>
            </w:r>
            <w:r>
              <w:rPr>
                <w:rFonts w:ascii="Arial" w:hAnsi="Arial" w:eastAsia="宋体" w:cs="Arial"/>
                <w:sz w:val="21"/>
                <w:szCs w:val="21"/>
              </w:rPr>
              <w:t>项目不涉及自建供热锅炉；采用雨污分流制，清洁雨水随园区雨水管网排入地表水体</w:t>
            </w:r>
            <w:r>
              <w:rPr>
                <w:rFonts w:hint="eastAsia" w:ascii="Arial" w:hAnsi="Arial" w:eastAsia="宋体" w:cs="Arial"/>
                <w:sz w:val="21"/>
                <w:szCs w:val="21"/>
              </w:rPr>
              <w:t>；大榄坪污水处理厂升级改造前，项目生产废水经处理达标后依托该污水处理厂深海排放管道排入A2排污区，污水厂升级改造后，废水排入污水厂处理</w:t>
            </w:r>
            <w:r>
              <w:rPr>
                <w:rFonts w:ascii="Arial" w:hAnsi="Arial" w:eastAsia="宋体" w:cs="Arial"/>
                <w:sz w:val="21"/>
                <w:szCs w:val="21"/>
              </w:rPr>
              <w:t>。</w:t>
            </w:r>
          </w:p>
        </w:tc>
      </w:tr>
      <w:tr w14:paraId="0D2F7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14:paraId="6A64FA66">
            <w:pPr>
              <w:adjustRightInd w:val="0"/>
              <w:snapToGrid w:val="0"/>
              <w:jc w:val="center"/>
              <w:rPr>
                <w:rFonts w:ascii="Arial" w:hAnsi="Arial" w:eastAsia="宋体" w:cs="Arial"/>
                <w:sz w:val="21"/>
                <w:szCs w:val="21"/>
              </w:rPr>
            </w:pPr>
            <w:r>
              <w:rPr>
                <w:rFonts w:ascii="Arial" w:hAnsi="Arial" w:eastAsia="宋体" w:cs="Arial"/>
                <w:sz w:val="21"/>
                <w:szCs w:val="21"/>
              </w:rPr>
              <w:t>3</w:t>
            </w:r>
          </w:p>
        </w:tc>
        <w:tc>
          <w:tcPr>
            <w:tcW w:w="3155" w:type="pct"/>
            <w:tcBorders>
              <w:top w:val="single" w:color="auto" w:sz="4" w:space="0"/>
              <w:left w:val="single" w:color="auto" w:sz="4" w:space="0"/>
              <w:bottom w:val="single" w:color="auto" w:sz="4" w:space="0"/>
              <w:right w:val="single" w:color="auto" w:sz="4" w:space="0"/>
            </w:tcBorders>
            <w:vAlign w:val="center"/>
          </w:tcPr>
          <w:p w14:paraId="3EE70CCC">
            <w:pPr>
              <w:adjustRightInd w:val="0"/>
              <w:snapToGrid w:val="0"/>
              <w:jc w:val="left"/>
              <w:rPr>
                <w:rFonts w:ascii="Arial" w:hAnsi="Arial" w:eastAsia="宋体" w:cs="Arial"/>
                <w:sz w:val="21"/>
                <w:szCs w:val="21"/>
              </w:rPr>
            </w:pPr>
            <w:r>
              <w:rPr>
                <w:rFonts w:ascii="Arial" w:hAnsi="Arial" w:eastAsia="宋体" w:cs="Arial"/>
                <w:sz w:val="21"/>
                <w:szCs w:val="21"/>
              </w:rPr>
              <w:t xml:space="preserve">挥发性有机物（VOCs）的治理应纳入企业的环保措施： </w:t>
            </w:r>
          </w:p>
          <w:p w14:paraId="40E2BD9C">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在油类（燃油、溶剂）的储存、运输过程中的VOCs污染防治技术措施包括：</w:t>
            </w:r>
          </w:p>
          <w:p w14:paraId="5590D8CC">
            <w:pPr>
              <w:adjustRightInd w:val="0"/>
              <w:snapToGrid w:val="0"/>
              <w:jc w:val="left"/>
              <w:rPr>
                <w:rFonts w:ascii="Arial" w:hAnsi="Arial" w:eastAsia="宋体" w:cs="Arial"/>
                <w:sz w:val="21"/>
                <w:szCs w:val="21"/>
              </w:rPr>
            </w:pPr>
            <w:r>
              <w:rPr>
                <w:rFonts w:ascii="Arial" w:hAnsi="Arial" w:eastAsia="宋体" w:cs="Arial"/>
                <w:sz w:val="21"/>
                <w:szCs w:val="21"/>
              </w:rPr>
              <w:t xml:space="preserve">储油库、加油站和油罐车宜配备相应的油气收集系统，储油库、加油站宜配备相应的油气回收系统； </w:t>
            </w:r>
          </w:p>
          <w:p w14:paraId="30D9DCC2">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油类（燃油、溶剂等）储罐宜采用高效密封的内（外）浮顶罐，当采用固定顶罐时，通过密闭排气系统将含VOCs气体输送至回收设备；</w:t>
            </w:r>
          </w:p>
          <w:p w14:paraId="30F6BF5E">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油类（燃油、溶剂等）运载工具（汽车油罐车、铁路油槽车、油轮等）在装载过程中排放的VOCs密闭收集输送至回收设备，也可返回储罐或送入气体管网。</w:t>
            </w:r>
          </w:p>
        </w:tc>
        <w:tc>
          <w:tcPr>
            <w:tcW w:w="1595" w:type="pct"/>
            <w:tcBorders>
              <w:top w:val="single" w:color="auto" w:sz="4" w:space="0"/>
              <w:left w:val="single" w:color="auto" w:sz="4" w:space="0"/>
              <w:bottom w:val="single" w:color="auto" w:sz="4" w:space="0"/>
              <w:right w:val="single" w:color="auto" w:sz="4" w:space="0"/>
            </w:tcBorders>
            <w:vAlign w:val="center"/>
          </w:tcPr>
          <w:p w14:paraId="0518382B">
            <w:pPr>
              <w:adjustRightInd w:val="0"/>
              <w:snapToGrid w:val="0"/>
              <w:jc w:val="left"/>
              <w:rPr>
                <w:rFonts w:ascii="Arial" w:hAnsi="Arial" w:eastAsia="宋体" w:cs="Arial"/>
                <w:sz w:val="21"/>
                <w:szCs w:val="21"/>
              </w:rPr>
            </w:pPr>
            <w:r>
              <w:rPr>
                <w:rFonts w:hint="eastAsia" w:ascii="Arial" w:hAnsi="Arial" w:eastAsia="宋体" w:cs="Arial"/>
                <w:sz w:val="21"/>
                <w:szCs w:val="21"/>
              </w:rPr>
              <w:t>企业危废暂存间产生的挥发性有机物经收集处理达标后有组织排放。</w:t>
            </w:r>
          </w:p>
        </w:tc>
      </w:tr>
      <w:tr w14:paraId="076D5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14:paraId="707D69A9">
            <w:pPr>
              <w:adjustRightInd w:val="0"/>
              <w:snapToGrid w:val="0"/>
              <w:jc w:val="center"/>
              <w:rPr>
                <w:rFonts w:ascii="Arial" w:hAnsi="Arial" w:eastAsia="宋体" w:cs="Arial"/>
                <w:sz w:val="21"/>
                <w:szCs w:val="21"/>
              </w:rPr>
            </w:pPr>
            <w:r>
              <w:rPr>
                <w:rFonts w:ascii="Arial" w:hAnsi="Arial" w:eastAsia="宋体" w:cs="Arial"/>
                <w:sz w:val="21"/>
                <w:szCs w:val="21"/>
              </w:rPr>
              <w:t>4</w:t>
            </w:r>
          </w:p>
        </w:tc>
        <w:tc>
          <w:tcPr>
            <w:tcW w:w="3155" w:type="pct"/>
            <w:tcBorders>
              <w:top w:val="single" w:color="auto" w:sz="4" w:space="0"/>
              <w:left w:val="single" w:color="auto" w:sz="4" w:space="0"/>
              <w:bottom w:val="single" w:color="auto" w:sz="4" w:space="0"/>
              <w:right w:val="single" w:color="auto" w:sz="4" w:space="0"/>
            </w:tcBorders>
            <w:vAlign w:val="center"/>
          </w:tcPr>
          <w:p w14:paraId="164B59F4">
            <w:pPr>
              <w:adjustRightInd w:val="0"/>
              <w:snapToGrid w:val="0"/>
              <w:jc w:val="left"/>
              <w:rPr>
                <w:rFonts w:ascii="Arial" w:hAnsi="Arial" w:eastAsia="宋体" w:cs="Arial"/>
                <w:sz w:val="21"/>
                <w:szCs w:val="21"/>
              </w:rPr>
            </w:pPr>
            <w:r>
              <w:rPr>
                <w:rFonts w:ascii="Arial" w:hAnsi="Arial" w:eastAsia="宋体" w:cs="Arial"/>
                <w:sz w:val="21"/>
                <w:szCs w:val="21"/>
              </w:rPr>
              <w:t>其他方面的准入条件：</w:t>
            </w:r>
          </w:p>
          <w:p w14:paraId="63C6AC4C">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按照《钦州港临海工业园区发展环境影响跟踪评价报告书》（北海市碧蓝海洋环境保护服务有限公司，2014年10月）的要求，要适当提高企业进入园区的门槛。进入园区的项目不仅要达到经济规模，采用工艺技术符合国家要求，而且还要求原料和产品对环境的友好性。入区必须进行环境影响评价和安全评价，并要求企业建立起切实可行的环境管理制度和清洁生产机制。入驻企业须强制通过清洁生产审计，必要的话入驻企业“三废”排放标准可参照国外先进水平严格要求。入驻企业投资强度应达到7000万元/ha，单位土地面积年工业增加值产出强度要达到15～18亿元/km</w:t>
            </w:r>
            <w:r>
              <w:rPr>
                <w:rFonts w:ascii="Arial" w:hAnsi="Arial" w:eastAsia="宋体" w:cs="Arial"/>
                <w:sz w:val="21"/>
                <w:szCs w:val="21"/>
                <w:vertAlign w:val="superscript"/>
              </w:rPr>
              <w:t>2</w:t>
            </w:r>
            <w:r>
              <w:rPr>
                <w:rFonts w:ascii="Arial" w:hAnsi="Arial" w:eastAsia="宋体" w:cs="Arial"/>
                <w:sz w:val="21"/>
                <w:szCs w:val="21"/>
              </w:rPr>
              <w:t xml:space="preserve">。 </w:t>
            </w:r>
          </w:p>
          <w:p w14:paraId="57CCC476">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 xml:space="preserve">工业技术的选择，要选择原料和能源消耗低、污染物排放少的工业技术，单位工业增加值的能耗、水耗和污染物排放量应达到同行业国际先进水平且必须低于地方制定的标准； </w:t>
            </w:r>
          </w:p>
          <w:p w14:paraId="6599CF70">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 xml:space="preserve">企业污染物排放浓度达到国家或地方规定的排放标准和总量指标； </w:t>
            </w:r>
          </w:p>
          <w:p w14:paraId="58B7DD18">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按照生态工业园区标准建设产业区，采用循环经济原则，将工业园内各企业的工业三废和有害排放物作为资源在企业间循环利用，变废为宝，化害为利。企业的清洁生产水平需达到国际先进水平，对于有助于循环经济“补链”的企业优先引进；</w:t>
            </w:r>
          </w:p>
          <w:p w14:paraId="20A9C0A8">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所有入园企业都必须依法进行环境影响评价。该规划中所包含的近期（一般为五年内）建设项目，对轻污染项目（不涉及热力设施，且挥发性有机物年排放量小于0.1吨、废水纳入管网），经请示环境主管部门的同意后，可以对大气环境、水环境、生态环境现状和评价专题内容可以适当简化。</w:t>
            </w:r>
          </w:p>
        </w:tc>
        <w:tc>
          <w:tcPr>
            <w:tcW w:w="1595" w:type="pct"/>
            <w:tcBorders>
              <w:top w:val="single" w:color="auto" w:sz="4" w:space="0"/>
              <w:left w:val="single" w:color="auto" w:sz="4" w:space="0"/>
              <w:bottom w:val="single" w:color="auto" w:sz="4" w:space="0"/>
              <w:right w:val="single" w:color="auto" w:sz="4" w:space="0"/>
            </w:tcBorders>
            <w:vAlign w:val="center"/>
          </w:tcPr>
          <w:p w14:paraId="2B50A5D4">
            <w:pPr>
              <w:adjustRightInd w:val="0"/>
              <w:snapToGrid w:val="0"/>
              <w:jc w:val="left"/>
              <w:rPr>
                <w:rFonts w:ascii="Arial" w:hAnsi="Arial" w:eastAsia="宋体" w:cs="Arial"/>
                <w:sz w:val="21"/>
                <w:szCs w:val="21"/>
              </w:rPr>
            </w:pPr>
            <w:r>
              <w:rPr>
                <w:rFonts w:ascii="Arial" w:hAnsi="Arial" w:eastAsia="宋体" w:cs="Arial"/>
                <w:sz w:val="21"/>
                <w:szCs w:val="21"/>
              </w:rPr>
              <w:t>符合。</w:t>
            </w:r>
          </w:p>
          <w:p w14:paraId="4FF683B7">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项目在现有厂区建设，不新增用地。</w:t>
            </w:r>
          </w:p>
          <w:p w14:paraId="3F27EB2E">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项目清洁生产可达到国际先进水平。</w:t>
            </w:r>
          </w:p>
          <w:p w14:paraId="79762C88">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各污染物排放浓度达到规定的排放标准，</w:t>
            </w:r>
            <w:r>
              <w:rPr>
                <w:rFonts w:hint="eastAsia" w:ascii="Arial" w:hAnsi="Arial" w:eastAsia="宋体" w:cs="Arial"/>
                <w:sz w:val="21"/>
                <w:szCs w:val="21"/>
              </w:rPr>
              <w:t>污染物排放符合总量控制的要求</w:t>
            </w:r>
            <w:r>
              <w:rPr>
                <w:rFonts w:ascii="Arial" w:hAnsi="Arial" w:eastAsia="宋体" w:cs="Arial"/>
                <w:sz w:val="21"/>
                <w:szCs w:val="21"/>
              </w:rPr>
              <w:t>。</w:t>
            </w:r>
          </w:p>
          <w:p w14:paraId="45976208">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项目清洁生产可达到国际先进水平。</w:t>
            </w:r>
          </w:p>
          <w:p w14:paraId="5B9893DD">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项目依法开展环评工作。</w:t>
            </w:r>
          </w:p>
        </w:tc>
      </w:tr>
    </w:tbl>
    <w:p w14:paraId="09FB3F65">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ascii="Arial" w:hAnsi="Arial" w:eastAsia="宋体" w:cs="Arial"/>
          <w:b/>
          <w:sz w:val="24"/>
        </w:rPr>
        <w:t>入园项目清单要求符合性分析</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6947"/>
        <w:gridCol w:w="5715"/>
      </w:tblGrid>
      <w:tr w14:paraId="52045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03" w:type="pct"/>
            <w:vAlign w:val="center"/>
          </w:tcPr>
          <w:p w14:paraId="06BBC23D">
            <w:pPr>
              <w:adjustRightInd w:val="0"/>
              <w:snapToGrid w:val="0"/>
              <w:jc w:val="center"/>
              <w:rPr>
                <w:rFonts w:ascii="Arial" w:hAnsi="Arial" w:eastAsia="宋体" w:cs="Arial"/>
                <w:szCs w:val="21"/>
              </w:rPr>
            </w:pPr>
            <w:r>
              <w:rPr>
                <w:rFonts w:ascii="Arial" w:hAnsi="Arial" w:eastAsia="宋体" w:cs="Arial"/>
                <w:sz w:val="21"/>
                <w:szCs w:val="21"/>
              </w:rPr>
              <w:t>类别</w:t>
            </w:r>
          </w:p>
        </w:tc>
        <w:tc>
          <w:tcPr>
            <w:tcW w:w="2577" w:type="pct"/>
            <w:vAlign w:val="center"/>
          </w:tcPr>
          <w:p w14:paraId="6C1748A4">
            <w:pPr>
              <w:adjustRightInd w:val="0"/>
              <w:snapToGrid w:val="0"/>
              <w:jc w:val="center"/>
              <w:rPr>
                <w:rFonts w:ascii="Arial" w:hAnsi="Arial" w:eastAsia="宋体" w:cs="Arial"/>
                <w:szCs w:val="21"/>
              </w:rPr>
            </w:pPr>
            <w:r>
              <w:rPr>
                <w:rFonts w:ascii="Arial" w:hAnsi="Arial" w:eastAsia="宋体" w:cs="Arial"/>
                <w:sz w:val="21"/>
                <w:szCs w:val="21"/>
              </w:rPr>
              <w:t>内容</w:t>
            </w:r>
          </w:p>
        </w:tc>
        <w:tc>
          <w:tcPr>
            <w:tcW w:w="2120" w:type="pct"/>
            <w:vAlign w:val="center"/>
          </w:tcPr>
          <w:p w14:paraId="544ABB68">
            <w:pPr>
              <w:adjustRightInd w:val="0"/>
              <w:snapToGrid w:val="0"/>
              <w:jc w:val="center"/>
              <w:rPr>
                <w:rFonts w:ascii="Arial" w:hAnsi="Arial" w:eastAsia="宋体" w:cs="Arial"/>
                <w:sz w:val="21"/>
                <w:szCs w:val="21"/>
              </w:rPr>
            </w:pPr>
            <w:r>
              <w:rPr>
                <w:rFonts w:ascii="Arial" w:hAnsi="Arial" w:eastAsia="宋体" w:cs="Arial"/>
                <w:sz w:val="21"/>
                <w:szCs w:val="21"/>
              </w:rPr>
              <w:t>本项目情况分析</w:t>
            </w:r>
          </w:p>
        </w:tc>
      </w:tr>
      <w:tr w14:paraId="47D84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vAlign w:val="center"/>
          </w:tcPr>
          <w:p w14:paraId="0C025332">
            <w:pPr>
              <w:adjustRightInd w:val="0"/>
              <w:snapToGrid w:val="0"/>
              <w:jc w:val="center"/>
              <w:rPr>
                <w:rFonts w:ascii="Arial" w:hAnsi="Arial" w:eastAsia="宋体" w:cs="Arial"/>
                <w:sz w:val="21"/>
                <w:szCs w:val="21"/>
              </w:rPr>
            </w:pPr>
            <w:r>
              <w:rPr>
                <w:rFonts w:ascii="Arial" w:hAnsi="Arial" w:eastAsia="宋体" w:cs="Arial"/>
                <w:sz w:val="21"/>
                <w:szCs w:val="21"/>
              </w:rPr>
              <w:t>正面清单</w:t>
            </w:r>
          </w:p>
        </w:tc>
        <w:tc>
          <w:tcPr>
            <w:tcW w:w="2577" w:type="pct"/>
            <w:vAlign w:val="center"/>
          </w:tcPr>
          <w:p w14:paraId="503E6946">
            <w:pPr>
              <w:adjustRightInd w:val="0"/>
              <w:snapToGrid w:val="0"/>
              <w:jc w:val="left"/>
              <w:rPr>
                <w:rFonts w:ascii="Arial" w:hAnsi="Arial" w:eastAsia="宋体" w:cs="Arial"/>
                <w:sz w:val="21"/>
                <w:szCs w:val="21"/>
              </w:rPr>
            </w:pPr>
            <w:r>
              <w:rPr>
                <w:rFonts w:ascii="Arial" w:hAnsi="Arial" w:eastAsia="宋体" w:cs="Arial"/>
                <w:sz w:val="21"/>
                <w:szCs w:val="21"/>
              </w:rPr>
              <w:t xml:space="preserve">根据规划在引进项目时，要严格把关，坚持发展高起点、高技术含量、高附加值的项目。主要引进原则应包含以下几方面： </w:t>
            </w:r>
          </w:p>
          <w:p w14:paraId="0559808B">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具有先进的生产技术水平；</w:t>
            </w:r>
            <w:r>
              <w:rPr>
                <w:rFonts w:hint="eastAsia" w:ascii="宋体" w:hAnsi="宋体" w:eastAsia="宋体" w:cs="宋体"/>
                <w:sz w:val="21"/>
                <w:szCs w:val="21"/>
              </w:rPr>
              <w:t>②</w:t>
            </w:r>
            <w:r>
              <w:rPr>
                <w:rFonts w:ascii="Arial" w:hAnsi="Arial" w:eastAsia="宋体" w:cs="Arial"/>
                <w:sz w:val="21"/>
                <w:szCs w:val="21"/>
              </w:rPr>
              <w:t xml:space="preserve">采用先进的环境保护技术； </w:t>
            </w:r>
          </w:p>
          <w:p w14:paraId="55A50D5E">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 xml:space="preserve">具备先进的环境管理水平； </w:t>
            </w:r>
          </w:p>
          <w:p w14:paraId="37FEA3D1">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 xml:space="preserve">符合国际先进清洁生产标准； </w:t>
            </w:r>
          </w:p>
          <w:p w14:paraId="3EDF6C82">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 xml:space="preserve">符合当地生态、环境保护的要求，达到环境污染物总量控制的目标； </w:t>
            </w:r>
          </w:p>
          <w:p w14:paraId="1C527A11">
            <w:pPr>
              <w:adjustRightInd w:val="0"/>
              <w:snapToGrid w:val="0"/>
              <w:jc w:val="left"/>
              <w:rPr>
                <w:rFonts w:ascii="Arial" w:hAnsi="Arial" w:eastAsia="宋体" w:cs="Arial"/>
                <w:sz w:val="21"/>
                <w:szCs w:val="21"/>
              </w:rPr>
            </w:pPr>
            <w:r>
              <w:rPr>
                <w:rFonts w:hint="eastAsia" w:ascii="宋体" w:hAnsi="宋体" w:eastAsia="宋体" w:cs="宋体"/>
                <w:sz w:val="21"/>
                <w:szCs w:val="21"/>
              </w:rPr>
              <w:t>⑥</w:t>
            </w:r>
            <w:r>
              <w:rPr>
                <w:rFonts w:ascii="Arial" w:hAnsi="Arial" w:eastAsia="宋体" w:cs="Arial"/>
                <w:sz w:val="21"/>
                <w:szCs w:val="21"/>
              </w:rPr>
              <w:t xml:space="preserve">有助于园区循环经济“补链”的企业优先引进； </w:t>
            </w:r>
          </w:p>
          <w:p w14:paraId="2321928E">
            <w:pPr>
              <w:adjustRightInd w:val="0"/>
              <w:snapToGrid w:val="0"/>
              <w:jc w:val="left"/>
              <w:rPr>
                <w:rFonts w:ascii="Arial" w:hAnsi="Arial" w:eastAsia="宋体" w:cs="Arial"/>
                <w:sz w:val="21"/>
                <w:szCs w:val="21"/>
              </w:rPr>
            </w:pPr>
            <w:r>
              <w:rPr>
                <w:rFonts w:hint="eastAsia" w:ascii="宋体" w:hAnsi="宋体" w:eastAsia="宋体" w:cs="宋体"/>
                <w:sz w:val="21"/>
                <w:szCs w:val="21"/>
              </w:rPr>
              <w:t>⑦</w:t>
            </w:r>
            <w:r>
              <w:rPr>
                <w:rFonts w:ascii="Arial" w:hAnsi="Arial" w:eastAsia="宋体" w:cs="Arial"/>
                <w:sz w:val="21"/>
                <w:szCs w:val="21"/>
              </w:rPr>
              <w:t>符合本园区产业发展规划的企业。</w:t>
            </w:r>
          </w:p>
        </w:tc>
        <w:tc>
          <w:tcPr>
            <w:tcW w:w="2120" w:type="pct"/>
            <w:vAlign w:val="center"/>
          </w:tcPr>
          <w:p w14:paraId="5A0003C9">
            <w:pPr>
              <w:adjustRightInd w:val="0"/>
              <w:snapToGrid w:val="0"/>
              <w:jc w:val="left"/>
              <w:rPr>
                <w:rFonts w:ascii="Arial" w:hAnsi="Arial" w:eastAsia="宋体" w:cs="Arial"/>
                <w:sz w:val="21"/>
                <w:szCs w:val="21"/>
              </w:rPr>
            </w:pPr>
            <w:r>
              <w:rPr>
                <w:rFonts w:ascii="Arial" w:hAnsi="Arial" w:eastAsia="宋体" w:cs="Arial"/>
                <w:sz w:val="21"/>
                <w:szCs w:val="21"/>
              </w:rPr>
              <w:t>符合。</w:t>
            </w:r>
          </w:p>
          <w:p w14:paraId="4D9E2AAF">
            <w:pPr>
              <w:adjustRightInd w:val="0"/>
              <w:snapToGrid w:val="0"/>
              <w:jc w:val="left"/>
              <w:rPr>
                <w:rFonts w:ascii="Arial" w:hAnsi="Arial" w:eastAsia="宋体" w:cs="Arial"/>
                <w:sz w:val="21"/>
                <w:szCs w:val="21"/>
              </w:rPr>
            </w:pPr>
            <w:r>
              <w:rPr>
                <w:rFonts w:ascii="Arial" w:hAnsi="Arial" w:eastAsia="宋体" w:cs="Arial"/>
                <w:sz w:val="21"/>
                <w:szCs w:val="21"/>
              </w:rPr>
              <w:t>项目采用先进的生产技术水平及环境保护技术，企业具备先进的环境管理水平；符合国际先进清洁生产标准；符合地方生态、环境保护的要求，污染物排放达到总量控制指标要求；符合园区产业发展规划。</w:t>
            </w:r>
          </w:p>
        </w:tc>
      </w:tr>
      <w:tr w14:paraId="6229D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3" w:type="pct"/>
            <w:vAlign w:val="center"/>
          </w:tcPr>
          <w:p w14:paraId="50408177">
            <w:pPr>
              <w:adjustRightInd w:val="0"/>
              <w:snapToGrid w:val="0"/>
              <w:jc w:val="center"/>
              <w:rPr>
                <w:rFonts w:ascii="Arial" w:hAnsi="Arial" w:eastAsia="宋体" w:cs="Arial"/>
                <w:sz w:val="21"/>
                <w:szCs w:val="21"/>
              </w:rPr>
            </w:pPr>
            <w:r>
              <w:rPr>
                <w:rFonts w:ascii="Arial" w:hAnsi="Arial" w:eastAsia="宋体" w:cs="Arial"/>
                <w:sz w:val="21"/>
                <w:szCs w:val="21"/>
              </w:rPr>
              <w:t>负面清单</w:t>
            </w:r>
          </w:p>
        </w:tc>
        <w:tc>
          <w:tcPr>
            <w:tcW w:w="2577" w:type="pct"/>
            <w:vAlign w:val="center"/>
          </w:tcPr>
          <w:p w14:paraId="55B3937D">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 xml:space="preserve">《市场准入负面清单（2019年版）》。 </w:t>
            </w:r>
          </w:p>
          <w:p w14:paraId="652DF368">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不符合园区的产业定位和产业发展规划的项目。</w:t>
            </w:r>
          </w:p>
          <w:p w14:paraId="2EDFC42F">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 xml:space="preserve">《产业结构调整指导目录（2019年本）》限制、淘汰类项目。 </w:t>
            </w:r>
          </w:p>
          <w:p w14:paraId="59760C06">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 xml:space="preserve">不符合地方产业指导名录规定的项目。 </w:t>
            </w:r>
          </w:p>
          <w:p w14:paraId="20B830ED">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 xml:space="preserve">工艺技术落后，不符合广西、钦州产业发展方向，不符合行业准入条件和有关规定，不利于地方产业结构优化升级，需要督促改造和禁止新建的装备及产品。 </w:t>
            </w:r>
          </w:p>
          <w:p w14:paraId="5539B968">
            <w:pPr>
              <w:adjustRightInd w:val="0"/>
              <w:snapToGrid w:val="0"/>
              <w:jc w:val="left"/>
              <w:rPr>
                <w:rFonts w:ascii="Arial" w:hAnsi="Arial" w:eastAsia="宋体" w:cs="Arial"/>
                <w:sz w:val="21"/>
                <w:szCs w:val="21"/>
              </w:rPr>
            </w:pPr>
            <w:r>
              <w:rPr>
                <w:rFonts w:hint="eastAsia" w:ascii="宋体" w:hAnsi="宋体" w:eastAsia="宋体" w:cs="宋体"/>
                <w:sz w:val="21"/>
                <w:szCs w:val="21"/>
              </w:rPr>
              <w:t>⑥</w:t>
            </w:r>
            <w:r>
              <w:rPr>
                <w:rFonts w:ascii="Arial" w:hAnsi="Arial" w:eastAsia="宋体" w:cs="Arial"/>
                <w:sz w:val="21"/>
                <w:szCs w:val="21"/>
              </w:rPr>
              <w:t>不符合国家、地方有关法律法规规定，严重浪费资源、污染环境、不具备安全生产条件，需要淘汰的落后工艺技术、装备及产品。</w:t>
            </w:r>
          </w:p>
        </w:tc>
        <w:tc>
          <w:tcPr>
            <w:tcW w:w="2120" w:type="pct"/>
            <w:vAlign w:val="center"/>
          </w:tcPr>
          <w:p w14:paraId="228AA54C">
            <w:pPr>
              <w:adjustRightInd w:val="0"/>
              <w:snapToGrid w:val="0"/>
              <w:jc w:val="left"/>
              <w:rPr>
                <w:rFonts w:ascii="Arial" w:hAnsi="Arial" w:eastAsia="宋体" w:cs="Arial"/>
                <w:sz w:val="21"/>
                <w:szCs w:val="21"/>
              </w:rPr>
            </w:pPr>
            <w:r>
              <w:rPr>
                <w:rFonts w:ascii="Arial" w:hAnsi="Arial" w:eastAsia="宋体" w:cs="Arial"/>
                <w:sz w:val="21"/>
                <w:szCs w:val="21"/>
              </w:rPr>
              <w:t>符合。</w:t>
            </w:r>
          </w:p>
          <w:p w14:paraId="3BF41845">
            <w:pPr>
              <w:adjustRightInd w:val="0"/>
              <w:snapToGrid w:val="0"/>
              <w:jc w:val="left"/>
              <w:rPr>
                <w:rFonts w:ascii="Arial" w:hAnsi="Arial" w:eastAsia="宋体" w:cs="Arial"/>
                <w:sz w:val="21"/>
                <w:szCs w:val="21"/>
              </w:rPr>
            </w:pPr>
            <w:r>
              <w:rPr>
                <w:rFonts w:hint="eastAsia" w:ascii="宋体" w:hAnsi="宋体" w:eastAsia="宋体" w:cs="宋体"/>
                <w:sz w:val="21"/>
                <w:szCs w:val="21"/>
              </w:rPr>
              <w:t>①</w:t>
            </w:r>
            <w:r>
              <w:rPr>
                <w:rFonts w:ascii="Arial" w:hAnsi="Arial" w:eastAsia="宋体" w:cs="Arial"/>
                <w:sz w:val="21"/>
                <w:szCs w:val="21"/>
              </w:rPr>
              <w:t xml:space="preserve">项目不属于《市场准入负面清单（2019年版）》内容。 </w:t>
            </w:r>
          </w:p>
          <w:p w14:paraId="1E53E9BB">
            <w:pPr>
              <w:adjustRightInd w:val="0"/>
              <w:snapToGrid w:val="0"/>
              <w:jc w:val="left"/>
              <w:rPr>
                <w:rFonts w:ascii="Arial" w:hAnsi="Arial" w:eastAsia="宋体" w:cs="Arial"/>
                <w:sz w:val="21"/>
                <w:szCs w:val="21"/>
              </w:rPr>
            </w:pPr>
            <w:r>
              <w:rPr>
                <w:rFonts w:hint="eastAsia" w:ascii="宋体" w:hAnsi="宋体" w:eastAsia="宋体" w:cs="宋体"/>
                <w:sz w:val="21"/>
                <w:szCs w:val="21"/>
              </w:rPr>
              <w:t>②</w:t>
            </w:r>
            <w:r>
              <w:rPr>
                <w:rFonts w:ascii="Arial" w:hAnsi="Arial" w:eastAsia="宋体" w:cs="Arial"/>
                <w:sz w:val="21"/>
                <w:szCs w:val="21"/>
              </w:rPr>
              <w:t>项目符合园区的产业定位和产业发展规划。</w:t>
            </w:r>
          </w:p>
          <w:p w14:paraId="143A7C89">
            <w:pPr>
              <w:adjustRightInd w:val="0"/>
              <w:snapToGrid w:val="0"/>
              <w:jc w:val="left"/>
              <w:rPr>
                <w:rFonts w:ascii="Arial" w:hAnsi="Arial" w:eastAsia="宋体" w:cs="Arial"/>
                <w:sz w:val="21"/>
                <w:szCs w:val="21"/>
              </w:rPr>
            </w:pPr>
            <w:r>
              <w:rPr>
                <w:rFonts w:hint="eastAsia" w:ascii="宋体" w:hAnsi="宋体" w:eastAsia="宋体" w:cs="宋体"/>
                <w:sz w:val="21"/>
                <w:szCs w:val="21"/>
              </w:rPr>
              <w:t>③</w:t>
            </w:r>
            <w:r>
              <w:rPr>
                <w:rFonts w:ascii="Arial" w:hAnsi="Arial" w:eastAsia="宋体" w:cs="Arial"/>
                <w:sz w:val="21"/>
                <w:szCs w:val="21"/>
              </w:rPr>
              <w:t>项目不属于《产业结构调整指导目录（2024年本）》鼓励、限制、淘汰类项目，为允许类。</w:t>
            </w:r>
          </w:p>
          <w:p w14:paraId="22C83FD4">
            <w:pPr>
              <w:adjustRightInd w:val="0"/>
              <w:snapToGrid w:val="0"/>
              <w:jc w:val="left"/>
              <w:rPr>
                <w:rFonts w:ascii="Arial" w:hAnsi="Arial" w:eastAsia="宋体" w:cs="Arial"/>
                <w:sz w:val="21"/>
                <w:szCs w:val="21"/>
              </w:rPr>
            </w:pPr>
            <w:r>
              <w:rPr>
                <w:rFonts w:hint="eastAsia" w:ascii="宋体" w:hAnsi="宋体" w:eastAsia="宋体" w:cs="宋体"/>
                <w:sz w:val="21"/>
                <w:szCs w:val="21"/>
              </w:rPr>
              <w:t>④</w:t>
            </w:r>
            <w:r>
              <w:rPr>
                <w:rFonts w:ascii="Arial" w:hAnsi="Arial" w:eastAsia="宋体" w:cs="Arial"/>
                <w:sz w:val="21"/>
                <w:szCs w:val="21"/>
              </w:rPr>
              <w:t>项目不属于《北钦防一体化产业协同发展限制布局清单（工业类2021年版）》的限制产业。</w:t>
            </w:r>
          </w:p>
          <w:p w14:paraId="77457A5C">
            <w:pPr>
              <w:adjustRightInd w:val="0"/>
              <w:snapToGrid w:val="0"/>
              <w:jc w:val="left"/>
              <w:rPr>
                <w:rFonts w:ascii="Arial" w:hAnsi="Arial" w:eastAsia="宋体" w:cs="Arial"/>
                <w:sz w:val="21"/>
                <w:szCs w:val="21"/>
              </w:rPr>
            </w:pPr>
            <w:r>
              <w:rPr>
                <w:rFonts w:hint="eastAsia" w:ascii="宋体" w:hAnsi="宋体" w:eastAsia="宋体" w:cs="宋体"/>
                <w:sz w:val="21"/>
                <w:szCs w:val="21"/>
              </w:rPr>
              <w:t>⑤</w:t>
            </w:r>
            <w:r>
              <w:rPr>
                <w:rFonts w:ascii="Arial" w:hAnsi="Arial" w:eastAsia="宋体" w:cs="Arial"/>
                <w:sz w:val="21"/>
                <w:szCs w:val="21"/>
              </w:rPr>
              <w:t>项目无落后工艺和设备，符合行业准入条件和有关规定。</w:t>
            </w:r>
          </w:p>
          <w:p w14:paraId="3F740D2A">
            <w:pPr>
              <w:adjustRightInd w:val="0"/>
              <w:snapToGrid w:val="0"/>
              <w:jc w:val="left"/>
              <w:rPr>
                <w:rFonts w:ascii="Arial" w:hAnsi="Arial" w:eastAsia="宋体" w:cs="Arial"/>
                <w:sz w:val="21"/>
                <w:szCs w:val="21"/>
              </w:rPr>
            </w:pPr>
            <w:r>
              <w:rPr>
                <w:rFonts w:hint="eastAsia" w:ascii="宋体" w:hAnsi="宋体" w:eastAsia="宋体" w:cs="宋体"/>
                <w:sz w:val="21"/>
                <w:szCs w:val="21"/>
              </w:rPr>
              <w:t>⑥</w:t>
            </w:r>
            <w:r>
              <w:rPr>
                <w:rFonts w:ascii="Arial" w:hAnsi="Arial" w:eastAsia="宋体" w:cs="Arial"/>
                <w:sz w:val="21"/>
                <w:szCs w:val="21"/>
              </w:rPr>
              <w:t>项目符合国家、地方有关法律法规规定，无落后工艺技术、装备及产品。</w:t>
            </w:r>
          </w:p>
        </w:tc>
      </w:tr>
    </w:tbl>
    <w:p w14:paraId="1E488ADC">
      <w:pPr>
        <w:pStyle w:val="5"/>
        <w:spacing w:line="500" w:lineRule="exact"/>
        <w:ind w:firstLine="0"/>
        <w:rPr>
          <w:szCs w:val="24"/>
          <w:highlight w:val="yellow"/>
        </w:rPr>
        <w:sectPr>
          <w:pgSz w:w="16840" w:h="11907" w:orient="landscape"/>
          <w:pgMar w:top="1157" w:right="1678" w:bottom="1406" w:left="1899" w:header="1174" w:footer="1026" w:gutter="567"/>
          <w:cols w:space="720" w:num="1"/>
          <w:docGrid w:type="linesAndChars" w:linePitch="421" w:charSpace="-3161"/>
        </w:sectPr>
      </w:pPr>
    </w:p>
    <w:p w14:paraId="6DEB225F">
      <w:pPr>
        <w:pStyle w:val="5"/>
        <w:spacing w:line="500" w:lineRule="exact"/>
        <w:ind w:firstLine="0"/>
        <w:outlineLvl w:val="3"/>
        <w:rPr>
          <w:b/>
          <w:szCs w:val="24"/>
        </w:rPr>
      </w:pPr>
      <w:r>
        <w:rPr>
          <w:b/>
          <w:szCs w:val="24"/>
        </w:rPr>
        <w:t>1.5.</w:t>
      </w:r>
      <w:r>
        <w:rPr>
          <w:rFonts w:hint="eastAsia"/>
          <w:b/>
          <w:szCs w:val="24"/>
        </w:rPr>
        <w:t>4</w:t>
      </w:r>
      <w:r>
        <w:rPr>
          <w:b/>
          <w:szCs w:val="24"/>
        </w:rPr>
        <w:t>.2审查意见相关要求及符合性分析</w:t>
      </w:r>
    </w:p>
    <w:p w14:paraId="70927E96">
      <w:pPr>
        <w:pStyle w:val="5"/>
        <w:adjustRightInd w:val="0"/>
        <w:snapToGrid w:val="0"/>
        <w:spacing w:line="500" w:lineRule="exact"/>
        <w:ind w:firstLine="490" w:firstLineChars="200"/>
        <w:rPr>
          <w:szCs w:val="24"/>
        </w:rPr>
      </w:pPr>
      <w:r>
        <w:rPr>
          <w:szCs w:val="24"/>
        </w:rPr>
        <w:t>1、对《规划》包含的近期建设项目环评的意见</w:t>
      </w:r>
    </w:p>
    <w:p w14:paraId="3F0F25DF">
      <w:pPr>
        <w:pStyle w:val="5"/>
        <w:adjustRightInd w:val="0"/>
        <w:snapToGrid w:val="0"/>
        <w:spacing w:line="500" w:lineRule="exact"/>
        <w:ind w:firstLine="490" w:firstLineChars="200"/>
        <w:rPr>
          <w:szCs w:val="24"/>
        </w:rPr>
      </w:pPr>
      <w:r>
        <w:rPr>
          <w:szCs w:val="24"/>
        </w:rPr>
        <w:t>《规划》所包含的近期建设项目在开展环境影响评价时，应落实《规划》环评提出的各项要求，重点开展工程分析、海域排污论证、化学品输送及仓储、危险废物处理处置、环境风险评价和环保措施的可行性论证，重点关注控制挥发性有机物排放的环保措施、应急体系建设等内容，强化以新带老、危险化学品输送及仓储污染防治、环境风险防范及应急设施建设等措施的落实。规划协调性分析及环境现状调查内容可适当简化。</w:t>
      </w:r>
    </w:p>
    <w:p w14:paraId="432CACB6">
      <w:pPr>
        <w:pStyle w:val="5"/>
        <w:adjustRightInd w:val="0"/>
        <w:snapToGrid w:val="0"/>
        <w:spacing w:line="500" w:lineRule="exact"/>
        <w:ind w:firstLine="490" w:firstLineChars="200"/>
        <w:rPr>
          <w:szCs w:val="24"/>
        </w:rPr>
      </w:pPr>
      <w:r>
        <w:rPr>
          <w:szCs w:val="24"/>
        </w:rPr>
        <w:t>2、与审查意见符合性分析</w:t>
      </w:r>
    </w:p>
    <w:p w14:paraId="23EA8DA6">
      <w:pPr>
        <w:pStyle w:val="5"/>
        <w:adjustRightInd w:val="0"/>
        <w:snapToGrid w:val="0"/>
        <w:spacing w:line="500" w:lineRule="exact"/>
        <w:ind w:firstLine="490" w:firstLineChars="200"/>
        <w:rPr>
          <w:szCs w:val="24"/>
        </w:rPr>
      </w:pPr>
      <w:r>
        <w:rPr>
          <w:rFonts w:hint="eastAsia"/>
          <w:szCs w:val="24"/>
        </w:rPr>
        <w:t>本报告</w:t>
      </w:r>
      <w:r>
        <w:rPr>
          <w:szCs w:val="24"/>
        </w:rPr>
        <w:t>深入论证</w:t>
      </w:r>
      <w:r>
        <w:rPr>
          <w:rFonts w:hint="eastAsia"/>
          <w:szCs w:val="24"/>
        </w:rPr>
        <w:t>了变更后的</w:t>
      </w:r>
      <w:r>
        <w:rPr>
          <w:szCs w:val="24"/>
        </w:rPr>
        <w:t>工程分析</w:t>
      </w:r>
      <w:r>
        <w:rPr>
          <w:rFonts w:hint="eastAsia"/>
          <w:szCs w:val="24"/>
        </w:rPr>
        <w:t>；项目生活污水经处理后排入园区污水处理厂处理；项目变更后生产废水较变更前有所增加，但企业全厂生产废水排放量未超过一期一阶段项目环评，报告引用该项目环评的排水预测结论对海域影响进行分析论证；</w:t>
      </w:r>
      <w:r>
        <w:rPr>
          <w:szCs w:val="24"/>
        </w:rPr>
        <w:t>对化学品输送及仓储、危险废物处理处置进行充分分析，按要求编制环境风险评价，提出应急体系建设；各环保措施进行了可行性论证；项目挥发性有机物排放量很小，报告提出了有效控制措施；报告提出了以新带老措施及环境风险防范及应急设施。</w:t>
      </w:r>
    </w:p>
    <w:p w14:paraId="7848D060">
      <w:pPr>
        <w:pStyle w:val="5"/>
        <w:adjustRightInd w:val="0"/>
        <w:snapToGrid w:val="0"/>
        <w:spacing w:line="500" w:lineRule="exact"/>
        <w:ind w:firstLine="490" w:firstLineChars="200"/>
        <w:rPr>
          <w:szCs w:val="24"/>
        </w:rPr>
      </w:pPr>
      <w:r>
        <w:rPr>
          <w:szCs w:val="24"/>
        </w:rPr>
        <w:t>因此，项目符合规划环评审查意见的要求。</w:t>
      </w:r>
    </w:p>
    <w:p w14:paraId="1C6EE01F">
      <w:pPr>
        <w:pStyle w:val="5"/>
        <w:spacing w:line="500" w:lineRule="exact"/>
        <w:ind w:firstLine="0"/>
        <w:outlineLvl w:val="3"/>
        <w:rPr>
          <w:b/>
          <w:szCs w:val="24"/>
        </w:rPr>
      </w:pPr>
      <w:r>
        <w:rPr>
          <w:b/>
          <w:szCs w:val="24"/>
        </w:rPr>
        <w:t>1.5.</w:t>
      </w:r>
      <w:r>
        <w:rPr>
          <w:rFonts w:hint="eastAsia"/>
          <w:b/>
          <w:szCs w:val="24"/>
        </w:rPr>
        <w:t>4</w:t>
      </w:r>
      <w:r>
        <w:rPr>
          <w:b/>
          <w:szCs w:val="24"/>
        </w:rPr>
        <w:t>.3小结</w:t>
      </w:r>
    </w:p>
    <w:p w14:paraId="6498D8CE">
      <w:pPr>
        <w:pStyle w:val="5"/>
        <w:spacing w:line="500" w:lineRule="exact"/>
        <w:ind w:firstLine="475" w:firstLineChars="194"/>
        <w:rPr>
          <w:szCs w:val="24"/>
          <w:u w:val="single"/>
        </w:rPr>
      </w:pPr>
      <w:r>
        <w:rPr>
          <w:szCs w:val="24"/>
        </w:rPr>
        <w:t>项目符合石化产业园规划环评及审查意见的相关要求。</w:t>
      </w:r>
    </w:p>
    <w:p w14:paraId="56C244FB">
      <w:pPr>
        <w:keepNext/>
        <w:keepLines/>
        <w:numPr>
          <w:ilvl w:val="0"/>
          <w:numId w:val="2"/>
        </w:numPr>
        <w:tabs>
          <w:tab w:val="left" w:pos="567"/>
        </w:tabs>
        <w:spacing w:before="210" w:after="210" w:line="500" w:lineRule="exact"/>
        <w:outlineLvl w:val="1"/>
        <w:rPr>
          <w:rFonts w:ascii="Arial" w:hAnsi="Arial" w:eastAsia="宋体" w:cs="Arial"/>
          <w:b/>
        </w:rPr>
      </w:pPr>
      <w:bookmarkStart w:id="244" w:name="_Toc182491374"/>
      <w:bookmarkStart w:id="245" w:name="_Toc166675355"/>
      <w:bookmarkStart w:id="246" w:name="_Toc154599058"/>
      <w:bookmarkStart w:id="247" w:name="_Toc185950211"/>
      <w:r>
        <w:rPr>
          <w:rFonts w:ascii="Arial" w:hAnsi="Arial" w:eastAsia="宋体" w:cs="Arial"/>
          <w:b/>
        </w:rPr>
        <w:t>与相关政策、规范符合性分析</w:t>
      </w:r>
      <w:bookmarkEnd w:id="244"/>
      <w:bookmarkEnd w:id="245"/>
      <w:bookmarkEnd w:id="246"/>
      <w:bookmarkEnd w:id="247"/>
    </w:p>
    <w:p w14:paraId="75DD2B78">
      <w:pPr>
        <w:keepNext/>
        <w:keepLines/>
        <w:numPr>
          <w:ilvl w:val="0"/>
          <w:numId w:val="10"/>
        </w:numPr>
        <w:spacing w:before="126" w:after="126" w:line="500" w:lineRule="exact"/>
        <w:outlineLvl w:val="2"/>
        <w:rPr>
          <w:rFonts w:ascii="Arial" w:hAnsi="Arial" w:eastAsia="宋体" w:cs="Arial"/>
          <w:b/>
          <w:bCs/>
          <w:sz w:val="24"/>
          <w:szCs w:val="24"/>
        </w:rPr>
      </w:pPr>
      <w:r>
        <w:rPr>
          <w:rFonts w:hint="eastAsia" w:ascii="Arial" w:hAnsi="Arial" w:eastAsia="宋体" w:cs="Arial"/>
          <w:b/>
          <w:bCs/>
          <w:sz w:val="24"/>
          <w:szCs w:val="24"/>
        </w:rPr>
        <w:t>生态环境分区管控</w:t>
      </w:r>
      <w:r>
        <w:rPr>
          <w:rFonts w:ascii="Arial" w:hAnsi="Arial" w:eastAsia="宋体" w:cs="Arial"/>
          <w:b/>
          <w:bCs/>
          <w:sz w:val="24"/>
          <w:szCs w:val="24"/>
        </w:rPr>
        <w:t>相符性分析</w:t>
      </w:r>
    </w:p>
    <w:p w14:paraId="40D99613">
      <w:pPr>
        <w:pStyle w:val="5"/>
        <w:spacing w:line="500" w:lineRule="exact"/>
        <w:ind w:firstLine="475" w:firstLineChars="194"/>
        <w:rPr>
          <w:szCs w:val="24"/>
        </w:rPr>
      </w:pPr>
      <w:r>
        <w:rPr>
          <w:szCs w:val="24"/>
        </w:rPr>
        <w:t>1、生态保护红线</w:t>
      </w:r>
    </w:p>
    <w:p w14:paraId="765F3DED">
      <w:pPr>
        <w:pStyle w:val="5"/>
        <w:spacing w:line="500" w:lineRule="exact"/>
        <w:ind w:firstLine="475" w:firstLineChars="194"/>
        <w:rPr>
          <w:szCs w:val="24"/>
        </w:rPr>
      </w:pPr>
      <w:r>
        <w:rPr>
          <w:szCs w:val="24"/>
        </w:rPr>
        <w:t>根据《生态保护红线划定指南》、《广西生态保护红线划定方案》对生态保护红线类型的划分要求，项目在原厂区内建设，不新增用地，用地不涉及生态敏感区/脆弱区、生物多样性保护区、水源涵养生态保护区、重要湿地保护区、自然与人文景观、林地保护区、集中式饮用水源保护区等环境敏感区。</w:t>
      </w:r>
    </w:p>
    <w:p w14:paraId="3ED7A3EF">
      <w:pPr>
        <w:pStyle w:val="5"/>
        <w:spacing w:line="500" w:lineRule="exact"/>
        <w:ind w:firstLine="475" w:firstLineChars="194"/>
        <w:rPr>
          <w:szCs w:val="24"/>
        </w:rPr>
      </w:pPr>
      <w:r>
        <w:rPr>
          <w:szCs w:val="24"/>
        </w:rPr>
        <w:t>根据</w:t>
      </w:r>
      <w:r>
        <w:rPr>
          <w:rFonts w:hint="eastAsia"/>
          <w:kern w:val="0"/>
          <w:szCs w:val="24"/>
          <w:u w:val="single"/>
        </w:rPr>
        <w:t>《钦州市生态环境局关于印发〈钦州市生态环境分区管控动态更新成果（2023版）〉的通知》</w:t>
      </w:r>
      <w:r>
        <w:rPr>
          <w:szCs w:val="24"/>
          <w:u w:val="single"/>
        </w:rPr>
        <w:t>，项目所在位置属</w:t>
      </w:r>
      <w:r>
        <w:rPr>
          <w:rFonts w:hint="eastAsia"/>
          <w:szCs w:val="24"/>
          <w:u w:val="single"/>
        </w:rPr>
        <w:t>广西钦州石化产业园重点管控单元</w:t>
      </w:r>
      <w:r>
        <w:rPr>
          <w:szCs w:val="24"/>
          <w:u w:val="single"/>
        </w:rPr>
        <w:t>，不在钦南区优先保护单元的范围内。</w:t>
      </w:r>
    </w:p>
    <w:p w14:paraId="71B8E4F5">
      <w:pPr>
        <w:pStyle w:val="5"/>
        <w:spacing w:line="500" w:lineRule="exact"/>
        <w:ind w:firstLine="475" w:firstLineChars="194"/>
        <w:rPr>
          <w:szCs w:val="24"/>
        </w:rPr>
      </w:pPr>
      <w:r>
        <w:rPr>
          <w:szCs w:val="24"/>
        </w:rPr>
        <w:t>因此，项目用地不涉及生态红线区，符合生态保护红线要求。</w:t>
      </w:r>
    </w:p>
    <w:p w14:paraId="5D3482BD">
      <w:pPr>
        <w:pStyle w:val="5"/>
        <w:spacing w:line="500" w:lineRule="exact"/>
        <w:ind w:firstLine="475" w:firstLineChars="194"/>
        <w:rPr>
          <w:szCs w:val="24"/>
        </w:rPr>
      </w:pPr>
      <w:r>
        <w:rPr>
          <w:szCs w:val="24"/>
        </w:rPr>
        <w:t>2、环境质量底线</w:t>
      </w:r>
    </w:p>
    <w:p w14:paraId="428870B1">
      <w:pPr>
        <w:pStyle w:val="5"/>
        <w:spacing w:line="500" w:lineRule="exact"/>
        <w:ind w:firstLine="475" w:firstLineChars="194"/>
        <w:rPr>
          <w:szCs w:val="24"/>
        </w:rPr>
      </w:pPr>
      <w:r>
        <w:rPr>
          <w:szCs w:val="24"/>
        </w:rPr>
        <w:t>根据下文&amp;3.2章节可知，项目所在区域大气环境质量、海水环境质量、声环境质量、土壤环境质量能够满足相应的标准要求。</w:t>
      </w:r>
    </w:p>
    <w:p w14:paraId="0757FC96">
      <w:pPr>
        <w:pStyle w:val="5"/>
        <w:spacing w:line="500" w:lineRule="exact"/>
        <w:ind w:firstLine="475" w:firstLineChars="194"/>
        <w:rPr>
          <w:szCs w:val="24"/>
        </w:rPr>
      </w:pPr>
      <w:r>
        <w:rPr>
          <w:rFonts w:hint="eastAsia"/>
          <w:szCs w:val="24"/>
        </w:rPr>
        <w:t>项目变更后生产废水较变更前有所增加，但企业全厂生产废水排放量未超过一期一阶段项目环评，根据引用的预测结论，地表水环境影响可接受</w:t>
      </w:r>
      <w:r>
        <w:rPr>
          <w:szCs w:val="24"/>
        </w:rPr>
        <w:t>；经预测排放的废气污染物的短期浓度贡献值、年均浓度贡献值均符合相应标准要求，大气环境影响可以接受；经预测项目1、5、10、30年排放的污染物对土壤中累积可以满足《土壤环境质量 建设用地土壤污染风险管控标准（试行）》（GB36600-2018）中第二类用地筛选值。</w:t>
      </w:r>
    </w:p>
    <w:p w14:paraId="5581C881">
      <w:pPr>
        <w:pStyle w:val="5"/>
        <w:spacing w:line="500" w:lineRule="exact"/>
        <w:ind w:firstLine="475" w:firstLineChars="194"/>
        <w:rPr>
          <w:szCs w:val="24"/>
        </w:rPr>
      </w:pPr>
      <w:r>
        <w:rPr>
          <w:szCs w:val="24"/>
        </w:rPr>
        <w:t>因此，项目符合环境质量底线要求。</w:t>
      </w:r>
    </w:p>
    <w:p w14:paraId="6EF5D7AD">
      <w:pPr>
        <w:pStyle w:val="5"/>
        <w:spacing w:line="500" w:lineRule="exact"/>
        <w:ind w:firstLine="475" w:firstLineChars="194"/>
        <w:rPr>
          <w:szCs w:val="24"/>
        </w:rPr>
      </w:pPr>
      <w:r>
        <w:rPr>
          <w:szCs w:val="24"/>
        </w:rPr>
        <w:t>3、资源利用上限</w:t>
      </w:r>
    </w:p>
    <w:p w14:paraId="685FE761">
      <w:pPr>
        <w:pStyle w:val="5"/>
        <w:spacing w:line="500" w:lineRule="exact"/>
        <w:ind w:firstLine="475" w:firstLineChars="194"/>
        <w:rPr>
          <w:szCs w:val="24"/>
        </w:rPr>
      </w:pPr>
      <w:r>
        <w:rPr>
          <w:szCs w:val="24"/>
        </w:rPr>
        <w:t>项目位于钦州港大榄坪物流加工区，同时也处于钦州石化产业园区，用地性质均为工业用地，项目在现有厂区内建设，不新增用地；项目营运过程中消耗原料氢氧化镍钴、硫酸、盐酸、液碱、二氧化硫等等，项目取水由工业园区供给，营运过程中消耗一定量的水、电等资源，资源消耗量相对于区域资源利用总量较少，符合资源利用上线要求。项目建成运行后通过内部管理、设备选择、原辅材料的选用和管理、资源回收利用、污染治理等多方面采取合理可行的防治措施，以“节约、降耗、减污”为目标，有效地控制污染。项目用水、电等不会突破区域的资源利用上线。</w:t>
      </w:r>
    </w:p>
    <w:p w14:paraId="423C64DB">
      <w:pPr>
        <w:pStyle w:val="5"/>
        <w:spacing w:line="500" w:lineRule="exact"/>
        <w:ind w:firstLine="475" w:firstLineChars="194"/>
        <w:rPr>
          <w:szCs w:val="24"/>
        </w:rPr>
      </w:pPr>
      <w:r>
        <w:rPr>
          <w:szCs w:val="24"/>
        </w:rPr>
        <w:t>4、环境准入负面清单</w:t>
      </w:r>
    </w:p>
    <w:p w14:paraId="21F5FFA0">
      <w:pPr>
        <w:pStyle w:val="5"/>
        <w:spacing w:line="500" w:lineRule="exact"/>
        <w:ind w:firstLine="475" w:firstLineChars="194"/>
        <w:rPr>
          <w:szCs w:val="24"/>
        </w:rPr>
      </w:pPr>
      <w:r>
        <w:rPr>
          <w:szCs w:val="24"/>
        </w:rPr>
        <w:t>（1）项目位于钦州市，</w:t>
      </w:r>
      <w:r>
        <w:rPr>
          <w:rFonts w:hint="eastAsia"/>
          <w:szCs w:val="24"/>
        </w:rPr>
        <w:t>未列入《广西壮族自治区重点生态功能区县产业准入负面清单调整方案》中负面清单行业内容</w:t>
      </w:r>
      <w:r>
        <w:rPr>
          <w:szCs w:val="24"/>
        </w:rPr>
        <w:t>。</w:t>
      </w:r>
    </w:p>
    <w:p w14:paraId="755C5D56">
      <w:pPr>
        <w:pStyle w:val="5"/>
        <w:spacing w:line="500" w:lineRule="exact"/>
        <w:ind w:firstLine="475" w:firstLineChars="194"/>
        <w:rPr>
          <w:szCs w:val="24"/>
        </w:rPr>
      </w:pPr>
      <w:r>
        <w:rPr>
          <w:szCs w:val="24"/>
        </w:rPr>
        <w:t>（2）项目的建设不涉及《广西壮族自治区生态环境厅等部门关于印发〈广西生态保护正面清单（2022）〉和〈广西生态保护禁止事项清单（2022）》的通知〉（桂环发〔2022〕54号）》中的负面清单事项内容。</w:t>
      </w:r>
    </w:p>
    <w:p w14:paraId="73759FA1">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（3）与</w:t>
      </w:r>
      <w:r>
        <w:rPr>
          <w:rFonts w:hint="eastAsia" w:ascii="Arial" w:hAnsi="Arial" w:eastAsia="宋体" w:cs="Arial"/>
          <w:spacing w:val="10"/>
          <w:sz w:val="24"/>
          <w:szCs w:val="24"/>
        </w:rPr>
        <w:t>《广西壮族自治区生态环境分区管控动态更新成果（2023年）》</w:t>
      </w:r>
      <w:r>
        <w:rPr>
          <w:rFonts w:ascii="Arial" w:hAnsi="Arial" w:eastAsia="宋体" w:cs="Arial"/>
          <w:spacing w:val="10"/>
          <w:sz w:val="24"/>
          <w:szCs w:val="24"/>
        </w:rPr>
        <w:t>相符性分析</w:t>
      </w:r>
    </w:p>
    <w:p w14:paraId="0279D934">
      <w:pPr>
        <w:pStyle w:val="5"/>
        <w:spacing w:line="500" w:lineRule="exact"/>
        <w:ind w:firstLine="475" w:firstLineChars="194"/>
        <w:rPr>
          <w:szCs w:val="24"/>
        </w:rPr>
      </w:pPr>
      <w:r>
        <w:rPr>
          <w:szCs w:val="24"/>
        </w:rPr>
        <w:t>项目位于钦州市钦州港，属</w:t>
      </w:r>
      <w:r>
        <w:rPr>
          <w:rFonts w:hint="eastAsia"/>
          <w:szCs w:val="24"/>
        </w:rPr>
        <w:t>于广西壮族自治区生态环境分区管控动态更新成果（2023年）</w:t>
      </w:r>
      <w:r>
        <w:rPr>
          <w:szCs w:val="24"/>
        </w:rPr>
        <w:t>中四大板块中的北部湾经济区。项目建设符合国家及地方产业政策，不涉及自然保护区、饮用水源保护区等生态保护目标，不在生态保护红线内，满足自治区和北部湾经济区生态环境总体准入及管控要求，项目建设符合</w:t>
      </w:r>
      <w:r>
        <w:rPr>
          <w:rFonts w:hint="eastAsia"/>
          <w:szCs w:val="24"/>
        </w:rPr>
        <w:t>广西壮族自治区生态环境分区管控动态更新成果（2023年）的</w:t>
      </w:r>
      <w:r>
        <w:rPr>
          <w:szCs w:val="24"/>
        </w:rPr>
        <w:t>要求，详见表1-</w:t>
      </w:r>
      <w:r>
        <w:rPr>
          <w:rFonts w:hint="eastAsia"/>
          <w:szCs w:val="24"/>
        </w:rPr>
        <w:t>43</w:t>
      </w:r>
      <w:r>
        <w:rPr>
          <w:szCs w:val="24"/>
        </w:rPr>
        <w:t>。</w:t>
      </w:r>
    </w:p>
    <w:p w14:paraId="178E6128">
      <w:pPr>
        <w:spacing w:line="500" w:lineRule="exact"/>
        <w:ind w:firstLine="490" w:firstLineChars="200"/>
        <w:rPr>
          <w:rFonts w:ascii="Arial" w:hAnsi="Arial" w:eastAsia="宋体" w:cs="Arial"/>
          <w:spacing w:val="10"/>
          <w:sz w:val="24"/>
          <w:szCs w:val="24"/>
          <w:highlight w:val="yellow"/>
        </w:rPr>
      </w:pPr>
    </w:p>
    <w:p w14:paraId="307DEBCE">
      <w:pPr>
        <w:spacing w:line="500" w:lineRule="exact"/>
        <w:ind w:firstLine="490" w:firstLineChars="200"/>
        <w:rPr>
          <w:rFonts w:ascii="Arial" w:hAnsi="Arial" w:eastAsia="宋体" w:cs="Arial"/>
          <w:spacing w:val="10"/>
          <w:sz w:val="24"/>
          <w:szCs w:val="24"/>
          <w:highlight w:val="yellow"/>
        </w:rPr>
        <w:sectPr>
          <w:pgSz w:w="11907" w:h="16840"/>
          <w:pgMar w:top="1678" w:right="1408" w:bottom="1901" w:left="1155" w:header="1174" w:footer="1029" w:gutter="567"/>
          <w:cols w:space="720" w:num="1"/>
          <w:docGrid w:type="linesAndChars" w:linePitch="421" w:charSpace="-3161"/>
        </w:sectPr>
      </w:pPr>
    </w:p>
    <w:p w14:paraId="33DE9A91">
      <w:pPr>
        <w:keepNext/>
        <w:keepLines/>
        <w:numPr>
          <w:ilvl w:val="0"/>
          <w:numId w:val="5"/>
        </w:numPr>
        <w:tabs>
          <w:tab w:val="left" w:pos="0"/>
        </w:tabs>
        <w:spacing w:line="500" w:lineRule="exact"/>
        <w:jc w:val="center"/>
        <w:outlineLvl w:val="4"/>
        <w:rPr>
          <w:rFonts w:ascii="Arial" w:hAnsi="Arial" w:eastAsia="宋体" w:cs="Arial"/>
          <w:b/>
          <w:sz w:val="24"/>
        </w:rPr>
      </w:pPr>
      <w:r>
        <w:rPr>
          <w:rFonts w:ascii="Arial" w:hAnsi="Arial" w:eastAsia="宋体" w:cs="Arial"/>
          <w:b/>
          <w:sz w:val="24"/>
        </w:rPr>
        <w:t>项目与</w:t>
      </w:r>
      <w:r>
        <w:rPr>
          <w:rFonts w:hint="eastAsia" w:ascii="Arial" w:hAnsi="Arial" w:eastAsia="宋体" w:cs="Arial"/>
          <w:b/>
          <w:sz w:val="24"/>
        </w:rPr>
        <w:t>《广西壮族自治区生态环境分区管控动态更新成果（2023年）》（北部湾经济区）</w:t>
      </w:r>
      <w:r>
        <w:rPr>
          <w:rFonts w:ascii="Arial" w:hAnsi="Arial" w:eastAsia="宋体" w:cs="Arial"/>
          <w:b/>
          <w:sz w:val="24"/>
        </w:rPr>
        <w:t>要求对比表</w:t>
      </w:r>
    </w:p>
    <w:tbl>
      <w:tblPr>
        <w:tblStyle w:val="88"/>
        <w:tblW w:w="5000" w:type="pct"/>
        <w:jc w:val="center"/>
        <w:tblLayout w:type="autofit"/>
        <w:tblCellMar>
          <w:top w:w="0" w:type="dxa"/>
          <w:left w:w="108" w:type="dxa"/>
          <w:bottom w:w="0" w:type="dxa"/>
          <w:right w:w="108" w:type="dxa"/>
        </w:tblCellMar>
      </w:tblPr>
      <w:tblGrid>
        <w:gridCol w:w="806"/>
        <w:gridCol w:w="741"/>
        <w:gridCol w:w="1111"/>
        <w:gridCol w:w="8648"/>
        <w:gridCol w:w="2173"/>
      </w:tblGrid>
      <w:tr w14:paraId="55D2BD2A">
        <w:tblPrEx>
          <w:tblCellMar>
            <w:top w:w="0" w:type="dxa"/>
            <w:left w:w="108" w:type="dxa"/>
            <w:bottom w:w="0" w:type="dxa"/>
            <w:right w:w="108" w:type="dxa"/>
          </w:tblCellMar>
        </w:tblPrEx>
        <w:trPr>
          <w:trHeight w:val="340" w:hRule="atLeast"/>
          <w:tblHeader/>
          <w:jc w:val="center"/>
        </w:trPr>
        <w:tc>
          <w:tcPr>
            <w:tcW w:w="299" w:type="pct"/>
            <w:tcBorders>
              <w:top w:val="single" w:color="auto" w:sz="4" w:space="0"/>
              <w:left w:val="single" w:color="auto" w:sz="4" w:space="0"/>
              <w:bottom w:val="single" w:color="auto" w:sz="4" w:space="0"/>
              <w:right w:val="single" w:color="auto" w:sz="4" w:space="0"/>
            </w:tcBorders>
            <w:vAlign w:val="center"/>
          </w:tcPr>
          <w:p w14:paraId="7DDC6A0A">
            <w:pPr>
              <w:adjustRightInd w:val="0"/>
              <w:snapToGrid w:val="0"/>
              <w:jc w:val="center"/>
              <w:rPr>
                <w:rFonts w:ascii="Arial" w:hAnsi="Arial" w:eastAsia="宋体" w:cs="Arial"/>
                <w:b/>
                <w:sz w:val="21"/>
                <w:szCs w:val="21"/>
              </w:rPr>
            </w:pPr>
            <w:r>
              <w:rPr>
                <w:rFonts w:ascii="Arial" w:hAnsi="Arial" w:eastAsia="宋体" w:cs="Arial"/>
                <w:b/>
                <w:sz w:val="21"/>
                <w:szCs w:val="21"/>
              </w:rPr>
              <w:t>适用分区</w:t>
            </w:r>
          </w:p>
        </w:tc>
        <w:tc>
          <w:tcPr>
            <w:tcW w:w="275" w:type="pct"/>
            <w:tcBorders>
              <w:top w:val="single" w:color="auto" w:sz="4" w:space="0"/>
              <w:left w:val="single" w:color="auto" w:sz="4" w:space="0"/>
              <w:bottom w:val="single" w:color="auto" w:sz="4" w:space="0"/>
              <w:right w:val="single" w:color="auto" w:sz="4" w:space="0"/>
            </w:tcBorders>
            <w:vAlign w:val="center"/>
          </w:tcPr>
          <w:p w14:paraId="0BDCF8C6">
            <w:pPr>
              <w:adjustRightInd w:val="0"/>
              <w:snapToGrid w:val="0"/>
              <w:jc w:val="center"/>
              <w:rPr>
                <w:rFonts w:ascii="Arial" w:hAnsi="Arial" w:eastAsia="宋体" w:cs="Arial"/>
                <w:b/>
                <w:sz w:val="21"/>
                <w:szCs w:val="21"/>
              </w:rPr>
            </w:pPr>
            <w:r>
              <w:rPr>
                <w:rFonts w:ascii="Arial" w:hAnsi="Arial" w:eastAsia="宋体" w:cs="Arial"/>
                <w:b/>
                <w:sz w:val="21"/>
                <w:szCs w:val="21"/>
              </w:rPr>
              <w:t>适用对象</w:t>
            </w:r>
          </w:p>
        </w:tc>
        <w:tc>
          <w:tcPr>
            <w:tcW w:w="412" w:type="pct"/>
            <w:tcBorders>
              <w:top w:val="single" w:color="auto" w:sz="4" w:space="0"/>
              <w:left w:val="single" w:color="auto" w:sz="4" w:space="0"/>
              <w:bottom w:val="single" w:color="auto" w:sz="4" w:space="0"/>
              <w:right w:val="single" w:color="auto" w:sz="4" w:space="0"/>
            </w:tcBorders>
            <w:vAlign w:val="center"/>
          </w:tcPr>
          <w:p w14:paraId="37407037">
            <w:pPr>
              <w:adjustRightInd w:val="0"/>
              <w:snapToGrid w:val="0"/>
              <w:jc w:val="center"/>
              <w:rPr>
                <w:rFonts w:ascii="Arial" w:hAnsi="Arial" w:eastAsia="宋体" w:cs="Arial"/>
                <w:b/>
                <w:sz w:val="21"/>
                <w:szCs w:val="21"/>
              </w:rPr>
            </w:pPr>
            <w:r>
              <w:rPr>
                <w:rFonts w:ascii="Arial" w:hAnsi="Arial" w:eastAsia="宋体" w:cs="Arial"/>
                <w:b/>
                <w:sz w:val="21"/>
                <w:szCs w:val="21"/>
              </w:rPr>
              <w:t>管控要求类别</w:t>
            </w:r>
          </w:p>
        </w:tc>
        <w:tc>
          <w:tcPr>
            <w:tcW w:w="3208" w:type="pct"/>
            <w:tcBorders>
              <w:top w:val="single" w:color="auto" w:sz="4" w:space="0"/>
              <w:left w:val="single" w:color="auto" w:sz="4" w:space="0"/>
              <w:bottom w:val="single" w:color="auto" w:sz="4" w:space="0"/>
              <w:right w:val="single" w:color="auto" w:sz="4" w:space="0"/>
            </w:tcBorders>
            <w:vAlign w:val="center"/>
          </w:tcPr>
          <w:p w14:paraId="3E1DAEDE">
            <w:pPr>
              <w:adjustRightInd w:val="0"/>
              <w:snapToGrid w:val="0"/>
              <w:jc w:val="center"/>
              <w:rPr>
                <w:rFonts w:ascii="Arial" w:hAnsi="Arial" w:eastAsia="宋体" w:cs="Arial"/>
                <w:b/>
                <w:sz w:val="21"/>
                <w:szCs w:val="21"/>
              </w:rPr>
            </w:pPr>
            <w:r>
              <w:rPr>
                <w:rFonts w:ascii="Arial" w:hAnsi="Arial" w:eastAsia="宋体" w:cs="Arial"/>
                <w:b/>
                <w:sz w:val="21"/>
                <w:szCs w:val="21"/>
              </w:rPr>
              <w:t>生态环境准入及管控要求</w:t>
            </w:r>
          </w:p>
        </w:tc>
        <w:tc>
          <w:tcPr>
            <w:tcW w:w="806" w:type="pct"/>
            <w:tcBorders>
              <w:top w:val="single" w:color="auto" w:sz="4" w:space="0"/>
              <w:left w:val="single" w:color="auto" w:sz="4" w:space="0"/>
              <w:bottom w:val="single" w:color="auto" w:sz="4" w:space="0"/>
              <w:right w:val="single" w:color="auto" w:sz="4" w:space="0"/>
            </w:tcBorders>
            <w:vAlign w:val="center"/>
          </w:tcPr>
          <w:p w14:paraId="13CA6008">
            <w:pPr>
              <w:adjustRightInd w:val="0"/>
              <w:snapToGrid w:val="0"/>
              <w:jc w:val="center"/>
              <w:rPr>
                <w:rFonts w:ascii="Arial" w:hAnsi="Arial" w:eastAsia="宋体" w:cs="Arial"/>
                <w:b/>
                <w:sz w:val="21"/>
                <w:szCs w:val="21"/>
              </w:rPr>
            </w:pPr>
            <w:r>
              <w:rPr>
                <w:rFonts w:ascii="Arial" w:hAnsi="Arial" w:eastAsia="宋体" w:cs="Arial"/>
                <w:b/>
                <w:sz w:val="21"/>
                <w:szCs w:val="21"/>
              </w:rPr>
              <w:t>项目情况</w:t>
            </w:r>
          </w:p>
        </w:tc>
      </w:tr>
      <w:tr w14:paraId="0A876980">
        <w:tblPrEx>
          <w:tblCellMar>
            <w:top w:w="0" w:type="dxa"/>
            <w:left w:w="108" w:type="dxa"/>
            <w:bottom w:w="0" w:type="dxa"/>
            <w:right w:w="108" w:type="dxa"/>
          </w:tblCellMar>
        </w:tblPrEx>
        <w:trPr>
          <w:trHeight w:val="340" w:hRule="atLeast"/>
          <w:jc w:val="center"/>
        </w:trPr>
        <w:tc>
          <w:tcPr>
            <w:tcW w:w="299" w:type="pct"/>
            <w:tcBorders>
              <w:top w:val="single" w:color="auto" w:sz="4" w:space="0"/>
              <w:left w:val="single" w:color="auto" w:sz="4" w:space="0"/>
              <w:bottom w:val="single" w:color="auto" w:sz="4" w:space="0"/>
              <w:right w:val="single" w:color="auto" w:sz="4" w:space="0"/>
            </w:tcBorders>
            <w:vAlign w:val="center"/>
          </w:tcPr>
          <w:p w14:paraId="10AFDF2F">
            <w:pPr>
              <w:adjustRightInd w:val="0"/>
              <w:snapToGrid w:val="0"/>
              <w:jc w:val="center"/>
              <w:rPr>
                <w:rFonts w:ascii="Arial" w:hAnsi="Arial" w:eastAsia="宋体" w:cs="Arial"/>
                <w:sz w:val="21"/>
                <w:szCs w:val="21"/>
              </w:rPr>
            </w:pPr>
            <w:r>
              <w:rPr>
                <w:rFonts w:ascii="Arial" w:hAnsi="Arial" w:eastAsia="宋体" w:cs="Arial"/>
                <w:sz w:val="21"/>
                <w:szCs w:val="21"/>
              </w:rPr>
              <w:t>自治区</w:t>
            </w:r>
          </w:p>
        </w:tc>
        <w:tc>
          <w:tcPr>
            <w:tcW w:w="275" w:type="pct"/>
            <w:tcBorders>
              <w:top w:val="single" w:color="auto" w:sz="4" w:space="0"/>
              <w:left w:val="single" w:color="auto" w:sz="4" w:space="0"/>
              <w:bottom w:val="single" w:color="auto" w:sz="4" w:space="0"/>
              <w:right w:val="single" w:color="auto" w:sz="4" w:space="0"/>
            </w:tcBorders>
            <w:vAlign w:val="center"/>
          </w:tcPr>
          <w:p w14:paraId="4611C944">
            <w:pPr>
              <w:adjustRightInd w:val="0"/>
              <w:snapToGrid w:val="0"/>
              <w:jc w:val="center"/>
              <w:rPr>
                <w:rFonts w:ascii="Arial" w:hAnsi="Arial" w:eastAsia="宋体" w:cs="Arial"/>
                <w:sz w:val="21"/>
                <w:szCs w:val="21"/>
              </w:rPr>
            </w:pPr>
            <w:r>
              <w:rPr>
                <w:rFonts w:ascii="Arial" w:hAnsi="Arial" w:eastAsia="宋体" w:cs="Arial"/>
                <w:sz w:val="21"/>
                <w:szCs w:val="21"/>
              </w:rPr>
              <w:t>全自治区</w:t>
            </w:r>
          </w:p>
        </w:tc>
        <w:tc>
          <w:tcPr>
            <w:tcW w:w="412" w:type="pct"/>
            <w:tcBorders>
              <w:top w:val="single" w:color="auto" w:sz="4" w:space="0"/>
              <w:left w:val="single" w:color="auto" w:sz="4" w:space="0"/>
              <w:bottom w:val="single" w:color="auto" w:sz="4" w:space="0"/>
              <w:right w:val="single" w:color="auto" w:sz="4" w:space="0"/>
            </w:tcBorders>
            <w:vAlign w:val="center"/>
          </w:tcPr>
          <w:p w14:paraId="33632293">
            <w:pPr>
              <w:adjustRightInd w:val="0"/>
              <w:snapToGrid w:val="0"/>
              <w:jc w:val="center"/>
              <w:rPr>
                <w:rFonts w:ascii="Arial" w:hAnsi="Arial" w:eastAsia="宋体" w:cs="Arial"/>
                <w:sz w:val="21"/>
                <w:szCs w:val="21"/>
              </w:rPr>
            </w:pPr>
            <w:r>
              <w:rPr>
                <w:rFonts w:ascii="Arial" w:hAnsi="Arial" w:eastAsia="宋体" w:cs="Arial"/>
                <w:sz w:val="21"/>
                <w:szCs w:val="21"/>
              </w:rPr>
              <w:t>空间布局约束</w:t>
            </w:r>
          </w:p>
        </w:tc>
        <w:tc>
          <w:tcPr>
            <w:tcW w:w="3208" w:type="pct"/>
            <w:tcBorders>
              <w:top w:val="single" w:color="auto" w:sz="4" w:space="0"/>
              <w:left w:val="single" w:color="auto" w:sz="4" w:space="0"/>
              <w:bottom w:val="single" w:color="auto" w:sz="4" w:space="0"/>
              <w:right w:val="single" w:color="auto" w:sz="4" w:space="0"/>
            </w:tcBorders>
            <w:vAlign w:val="center"/>
          </w:tcPr>
          <w:p w14:paraId="7D323851">
            <w:pPr>
              <w:adjustRightInd w:val="0"/>
              <w:snapToGrid w:val="0"/>
              <w:rPr>
                <w:rFonts w:ascii="Arial" w:hAnsi="Arial" w:eastAsia="宋体" w:cs="Arial"/>
                <w:sz w:val="21"/>
                <w:szCs w:val="21"/>
              </w:rPr>
            </w:pPr>
            <w:r>
              <w:rPr>
                <w:rFonts w:hint="eastAsia" w:ascii="Arial" w:hAnsi="Arial" w:eastAsia="宋体" w:cs="Arial"/>
                <w:sz w:val="21"/>
                <w:szCs w:val="21"/>
              </w:rPr>
              <w:t>1．新建、改建、扩建工业项目应按照国家、自治区相关行业建设项目环境影响评价文件审批原则入园。新建企业应符合批准实施的国土空间规划、“十四五”规划纲要和相关专项规划。</w:t>
            </w:r>
          </w:p>
          <w:p w14:paraId="0AA7703E">
            <w:pPr>
              <w:adjustRightInd w:val="0"/>
              <w:snapToGrid w:val="0"/>
              <w:rPr>
                <w:rFonts w:ascii="Arial" w:hAnsi="Arial" w:eastAsia="宋体" w:cs="Arial"/>
                <w:sz w:val="21"/>
                <w:szCs w:val="21"/>
              </w:rPr>
            </w:pPr>
            <w:r>
              <w:rPr>
                <w:rFonts w:hint="eastAsia" w:ascii="Arial" w:hAnsi="Arial" w:eastAsia="宋体" w:cs="Arial"/>
                <w:sz w:val="21"/>
                <w:szCs w:val="21"/>
              </w:rPr>
              <w:t>2．禁止新建、扩建现行《产业结构调整指导目录》《广西工业产业结构调整指导目录》明确的淘汰类、禁止类项目；禁止引入不符合现行《市场准入负面清单》禁止准入类事项。新建项目要严格落实国家有关产业重大生产力规划布局要求，并符合广西优化主导产业布局、新发展格局下广西重点产业布局规划、广西制造强区建设中长期规划及相关产业规划布局。</w:t>
            </w:r>
          </w:p>
          <w:p w14:paraId="5489B4E4">
            <w:pPr>
              <w:adjustRightInd w:val="0"/>
              <w:snapToGrid w:val="0"/>
              <w:rPr>
                <w:rFonts w:ascii="Arial" w:hAnsi="Arial" w:eastAsia="宋体" w:cs="Arial"/>
                <w:sz w:val="21"/>
                <w:szCs w:val="21"/>
              </w:rPr>
            </w:pPr>
            <w:r>
              <w:rPr>
                <w:rFonts w:hint="eastAsia" w:ascii="Arial" w:hAnsi="Arial" w:eastAsia="宋体" w:cs="Arial"/>
                <w:sz w:val="21"/>
                <w:szCs w:val="21"/>
              </w:rPr>
              <w:t>3．鼓励和引导新建涉挥发性有机物VOCs排放的工业企业入园区（含工业园区、工业集中区、工业集聚区）。未纳入《石化产业规划布局方案》的新建炼化项目一律不得建设。</w:t>
            </w:r>
          </w:p>
          <w:p w14:paraId="41ED7BC6">
            <w:pPr>
              <w:adjustRightInd w:val="0"/>
              <w:snapToGrid w:val="0"/>
              <w:rPr>
                <w:rFonts w:ascii="Arial" w:hAnsi="Arial" w:eastAsia="宋体" w:cs="Arial"/>
                <w:sz w:val="21"/>
                <w:szCs w:val="21"/>
              </w:rPr>
            </w:pPr>
            <w:r>
              <w:rPr>
                <w:rFonts w:hint="eastAsia" w:ascii="Arial" w:hAnsi="Arial" w:eastAsia="宋体" w:cs="Arial"/>
                <w:sz w:val="21"/>
                <w:szCs w:val="21"/>
              </w:rPr>
              <w:t>4．建设项目使用林地，应当按照《建设项目使用林地审核审批管理办法》审核和审批，严格保护和合理利用林地，促进生态林业和民生林业发展。公益林、天然林依据《中华人民共和国森林法》《中华人民共和国森林法实施条例》《国家级公益林管理办法》《国家级公益林区划界定办法》《天然林保护修复制度方案》等国家和自治区有关规定进行管理。</w:t>
            </w:r>
          </w:p>
          <w:p w14:paraId="4EB238D0">
            <w:pPr>
              <w:adjustRightInd w:val="0"/>
              <w:snapToGrid w:val="0"/>
              <w:rPr>
                <w:rFonts w:ascii="Arial" w:hAnsi="Arial" w:eastAsia="宋体" w:cs="Arial"/>
                <w:sz w:val="21"/>
                <w:szCs w:val="21"/>
              </w:rPr>
            </w:pPr>
            <w:r>
              <w:rPr>
                <w:rFonts w:hint="eastAsia" w:ascii="Arial" w:hAnsi="Arial" w:eastAsia="宋体" w:cs="Arial"/>
                <w:sz w:val="21"/>
                <w:szCs w:val="21"/>
              </w:rPr>
              <w:t>5．建设项目使用草地，应当按照《草原征占用审核审批管理规范》审核和审批，严格保护和合理利用草地。</w:t>
            </w:r>
          </w:p>
          <w:p w14:paraId="263A7442">
            <w:pPr>
              <w:adjustRightInd w:val="0"/>
              <w:snapToGrid w:val="0"/>
              <w:rPr>
                <w:rFonts w:ascii="Arial" w:hAnsi="Arial" w:eastAsia="宋体" w:cs="Arial"/>
                <w:sz w:val="21"/>
                <w:szCs w:val="21"/>
              </w:rPr>
            </w:pPr>
            <w:r>
              <w:rPr>
                <w:rFonts w:hint="eastAsia" w:ascii="Arial" w:hAnsi="Arial" w:eastAsia="宋体" w:cs="Arial"/>
                <w:sz w:val="21"/>
                <w:szCs w:val="21"/>
              </w:rPr>
              <w:t>6．严格执行能耗“双控”、碳排放强度、碳达峰和碳中和目标要求，新建项目能源利用效率应达到国内先进水平。</w:t>
            </w:r>
          </w:p>
          <w:p w14:paraId="2B8AC2A6">
            <w:pPr>
              <w:adjustRightInd w:val="0"/>
              <w:snapToGrid w:val="0"/>
              <w:rPr>
                <w:rFonts w:ascii="Arial" w:hAnsi="Arial" w:eastAsia="宋体" w:cs="Arial"/>
                <w:sz w:val="21"/>
                <w:szCs w:val="21"/>
              </w:rPr>
            </w:pPr>
            <w:r>
              <w:rPr>
                <w:rFonts w:hint="eastAsia" w:ascii="Arial" w:hAnsi="Arial" w:eastAsia="宋体" w:cs="Arial"/>
                <w:sz w:val="21"/>
                <w:szCs w:val="21"/>
              </w:rPr>
              <w:t>7．新建、改建、扩建“两高”项目须符合生态环境保护法律法规和相关法定规划，满足重点污染物排放总量控制、碳排放达峰目标、生态环境准入清单、相关规划环评和相应行业建设项目环境准入条件、环评文件审批原则要求。拟建、在建项目，应对照能效标杆水平建设实施；能效介于标杆水平和基准水平之间的存量项目，鼓励加强绿色低碳工艺技术装备应用，引导企业应改尽改、应提尽提；能效低于基准水平的存量项目，有序开展节能降碳技术改造或淘汰退出。</w:t>
            </w:r>
          </w:p>
          <w:p w14:paraId="055A1667">
            <w:pPr>
              <w:adjustRightInd w:val="0"/>
              <w:snapToGrid w:val="0"/>
              <w:rPr>
                <w:rFonts w:ascii="Arial" w:hAnsi="Arial" w:eastAsia="宋体" w:cs="Arial"/>
                <w:sz w:val="21"/>
                <w:szCs w:val="21"/>
              </w:rPr>
            </w:pPr>
            <w:r>
              <w:rPr>
                <w:rFonts w:hint="eastAsia" w:ascii="Arial" w:hAnsi="Arial" w:eastAsia="宋体" w:cs="Arial"/>
                <w:sz w:val="21"/>
                <w:szCs w:val="21"/>
              </w:rPr>
              <w:t>8．石化、煤化工、燃煤发电（含热电）、钢铁、有色金属冶炼、制浆造纸行业新增主要污染物排放量的建设项目，应满足区域、流域控制单元环境质量改善目标管理要求，主要污染物实行区域倍量削减或等量削减；市级生态环境主管部门审批的编制环境影响报告书的重点行业建设项目可参照执行。</w:t>
            </w:r>
          </w:p>
          <w:p w14:paraId="6C1A1474">
            <w:pPr>
              <w:adjustRightInd w:val="0"/>
              <w:snapToGrid w:val="0"/>
              <w:rPr>
                <w:rFonts w:ascii="Arial" w:hAnsi="Arial" w:eastAsia="宋体" w:cs="Arial"/>
                <w:sz w:val="21"/>
                <w:szCs w:val="21"/>
              </w:rPr>
            </w:pPr>
            <w:r>
              <w:rPr>
                <w:rFonts w:hint="eastAsia" w:ascii="Arial" w:hAnsi="Arial" w:eastAsia="宋体" w:cs="Arial"/>
                <w:sz w:val="21"/>
                <w:szCs w:val="21"/>
              </w:rPr>
              <w:t>9．依据国土空间规划和“三区三线”，明确减污降碳重点管控区域和相关管控要求，将碳达峰碳中和要求纳入“三线一单”（生态保护红线、环境质量底线、资源利用上线和生态环境准入清单）分区管控体系。</w:t>
            </w:r>
          </w:p>
          <w:p w14:paraId="3F8F9855">
            <w:pPr>
              <w:adjustRightInd w:val="0"/>
              <w:snapToGrid w:val="0"/>
              <w:rPr>
                <w:rFonts w:ascii="Arial" w:hAnsi="Arial" w:eastAsia="宋体" w:cs="Arial"/>
                <w:sz w:val="21"/>
                <w:szCs w:val="21"/>
              </w:rPr>
            </w:pPr>
            <w:r>
              <w:rPr>
                <w:rFonts w:hint="eastAsia" w:ascii="Arial" w:hAnsi="Arial" w:eastAsia="宋体" w:cs="Arial"/>
                <w:sz w:val="21"/>
                <w:szCs w:val="21"/>
              </w:rPr>
              <w:t>10．增强区域环境质量改善目标对能源和产业布局的引导作用。加大污染严重地区结构调整和布局优化力度，依法依规加快推动重点区域、重点流域落后和过剩产能退出。依法加快城市建成区重污染企业搬迁改造或关闭退出。</w:t>
            </w:r>
          </w:p>
          <w:p w14:paraId="02D3C7D4">
            <w:pPr>
              <w:adjustRightInd w:val="0"/>
              <w:snapToGrid w:val="0"/>
              <w:rPr>
                <w:rFonts w:ascii="Arial" w:hAnsi="Arial" w:eastAsia="宋体" w:cs="Arial"/>
                <w:sz w:val="21"/>
                <w:szCs w:val="21"/>
              </w:rPr>
            </w:pPr>
            <w:r>
              <w:rPr>
                <w:rFonts w:hint="eastAsia" w:ascii="Arial" w:hAnsi="Arial" w:eastAsia="宋体" w:cs="Arial"/>
                <w:sz w:val="21"/>
                <w:szCs w:val="21"/>
              </w:rPr>
              <w:t>11．严格执行《广西生态保护正面清单（2022）》和《广西生态保护禁止事项清单（2022）》。</w:t>
            </w:r>
          </w:p>
          <w:p w14:paraId="11A5C66B">
            <w:pPr>
              <w:adjustRightInd w:val="0"/>
              <w:snapToGrid w:val="0"/>
              <w:rPr>
                <w:rFonts w:ascii="Arial" w:hAnsi="Arial" w:eastAsia="宋体" w:cs="Arial"/>
                <w:sz w:val="21"/>
                <w:szCs w:val="21"/>
              </w:rPr>
            </w:pPr>
            <w:r>
              <w:rPr>
                <w:rFonts w:hint="eastAsia" w:ascii="Arial" w:hAnsi="Arial" w:eastAsia="宋体" w:cs="Arial"/>
                <w:sz w:val="21"/>
                <w:szCs w:val="21"/>
              </w:rPr>
              <w:t>12．“准入及管控要求”涉及跨省（市）界有协议或相关规定的，从其规定。</w:t>
            </w:r>
          </w:p>
          <w:p w14:paraId="1FB9A568">
            <w:pPr>
              <w:adjustRightInd w:val="0"/>
              <w:snapToGrid w:val="0"/>
              <w:rPr>
                <w:rFonts w:ascii="Arial" w:hAnsi="Arial" w:eastAsia="宋体" w:cs="Arial"/>
                <w:sz w:val="21"/>
                <w:szCs w:val="21"/>
              </w:rPr>
            </w:pPr>
            <w:r>
              <w:rPr>
                <w:rFonts w:hint="eastAsia" w:ascii="Arial" w:hAnsi="Arial" w:eastAsia="宋体" w:cs="Arial"/>
                <w:sz w:val="21"/>
                <w:szCs w:val="21"/>
              </w:rPr>
              <w:t>13．“准入及管控要求”规定依据的法规、规章等发生变更的，从其规定。</w:t>
            </w:r>
          </w:p>
        </w:tc>
        <w:tc>
          <w:tcPr>
            <w:tcW w:w="806" w:type="pct"/>
            <w:tcBorders>
              <w:top w:val="single" w:color="auto" w:sz="4" w:space="0"/>
              <w:left w:val="single" w:color="auto" w:sz="4" w:space="0"/>
              <w:bottom w:val="single" w:color="auto" w:sz="4" w:space="0"/>
              <w:right w:val="single" w:color="auto" w:sz="4" w:space="0"/>
            </w:tcBorders>
            <w:vAlign w:val="center"/>
          </w:tcPr>
          <w:p w14:paraId="300B498B">
            <w:pPr>
              <w:adjustRightInd w:val="0"/>
              <w:snapToGrid w:val="0"/>
              <w:rPr>
                <w:rFonts w:ascii="Arial" w:hAnsi="Arial" w:eastAsia="宋体" w:cs="Arial"/>
                <w:sz w:val="21"/>
                <w:szCs w:val="21"/>
              </w:rPr>
            </w:pPr>
            <w:r>
              <w:rPr>
                <w:rFonts w:ascii="Arial" w:hAnsi="Arial" w:eastAsia="宋体" w:cs="Arial"/>
                <w:b/>
                <w:sz w:val="21"/>
                <w:szCs w:val="21"/>
              </w:rPr>
              <w:t>相符</w:t>
            </w:r>
            <w:r>
              <w:rPr>
                <w:rFonts w:ascii="Arial" w:hAnsi="Arial" w:eastAsia="宋体" w:cs="Arial"/>
                <w:sz w:val="21"/>
                <w:szCs w:val="21"/>
              </w:rPr>
              <w:t>。</w:t>
            </w:r>
          </w:p>
          <w:p w14:paraId="3C112D44">
            <w:pPr>
              <w:adjustRightInd w:val="0"/>
              <w:snapToGrid w:val="0"/>
              <w:rPr>
                <w:rFonts w:ascii="Arial" w:hAnsi="Arial" w:eastAsia="宋体" w:cs="Arial"/>
                <w:sz w:val="21"/>
                <w:szCs w:val="21"/>
              </w:rPr>
            </w:pPr>
            <w:r>
              <w:rPr>
                <w:rFonts w:hint="eastAsia" w:ascii="Arial" w:hAnsi="Arial" w:eastAsia="宋体" w:cs="Arial"/>
                <w:sz w:val="21"/>
                <w:szCs w:val="21"/>
              </w:rPr>
              <w:t>1.项目处于</w:t>
            </w:r>
            <w:r>
              <w:rPr>
                <w:rFonts w:ascii="Arial" w:hAnsi="Arial" w:eastAsia="宋体" w:cs="Arial"/>
                <w:sz w:val="21"/>
                <w:szCs w:val="21"/>
              </w:rPr>
              <w:t>化工园内</w:t>
            </w:r>
            <w:r>
              <w:rPr>
                <w:rFonts w:hint="eastAsia" w:ascii="Arial" w:hAnsi="Arial" w:eastAsia="宋体" w:cs="Arial"/>
                <w:sz w:val="21"/>
                <w:szCs w:val="21"/>
              </w:rPr>
              <w:t>，在现有厂区内建设；</w:t>
            </w:r>
          </w:p>
          <w:p w14:paraId="7A026663">
            <w:pPr>
              <w:adjustRightInd w:val="0"/>
              <w:snapToGrid w:val="0"/>
              <w:rPr>
                <w:rFonts w:ascii="Arial" w:hAnsi="Arial" w:eastAsia="宋体" w:cs="Arial"/>
                <w:sz w:val="21"/>
                <w:szCs w:val="21"/>
              </w:rPr>
            </w:pPr>
            <w:r>
              <w:rPr>
                <w:rFonts w:hint="eastAsia" w:ascii="Arial" w:hAnsi="Arial" w:eastAsia="宋体" w:cs="Arial"/>
                <w:sz w:val="21"/>
                <w:szCs w:val="21"/>
              </w:rPr>
              <w:t>2.</w:t>
            </w:r>
            <w:r>
              <w:rPr>
                <w:rFonts w:ascii="Arial" w:hAnsi="Arial" w:eastAsia="宋体" w:cs="Arial"/>
                <w:sz w:val="21"/>
                <w:szCs w:val="21"/>
              </w:rPr>
              <w:t>项目不属于《产业结构调整指导目录2024年本》鼓励类、限制类、淘汰类项目，为允许类，不在《市场准入负面清单》内；</w:t>
            </w:r>
          </w:p>
          <w:p w14:paraId="491ED841">
            <w:pPr>
              <w:adjustRightInd w:val="0"/>
              <w:snapToGrid w:val="0"/>
              <w:rPr>
                <w:rFonts w:ascii="Arial" w:hAnsi="Arial" w:eastAsia="宋体" w:cs="Arial"/>
                <w:sz w:val="21"/>
                <w:szCs w:val="21"/>
              </w:rPr>
            </w:pPr>
            <w:r>
              <w:rPr>
                <w:rFonts w:hint="eastAsia" w:ascii="Arial" w:hAnsi="Arial" w:eastAsia="宋体" w:cs="Arial"/>
                <w:sz w:val="21"/>
                <w:szCs w:val="21"/>
              </w:rPr>
              <w:t>3.</w:t>
            </w:r>
            <w:r>
              <w:rPr>
                <w:rFonts w:ascii="Arial" w:hAnsi="Arial" w:eastAsia="宋体" w:cs="Arial"/>
                <w:sz w:val="21"/>
                <w:szCs w:val="21"/>
              </w:rPr>
              <w:t>项目</w:t>
            </w:r>
            <w:r>
              <w:rPr>
                <w:rFonts w:hint="eastAsia" w:ascii="Arial" w:hAnsi="Arial" w:eastAsia="宋体" w:cs="Arial"/>
                <w:sz w:val="21"/>
                <w:szCs w:val="21"/>
              </w:rPr>
              <w:t>处于</w:t>
            </w:r>
            <w:r>
              <w:rPr>
                <w:rFonts w:ascii="Arial" w:hAnsi="Arial" w:eastAsia="宋体" w:cs="Arial"/>
                <w:sz w:val="21"/>
                <w:szCs w:val="21"/>
              </w:rPr>
              <w:t>化工园内；</w:t>
            </w:r>
          </w:p>
          <w:p w14:paraId="3F5B0BDB">
            <w:pPr>
              <w:adjustRightInd w:val="0"/>
              <w:snapToGrid w:val="0"/>
              <w:rPr>
                <w:rFonts w:ascii="Arial" w:hAnsi="Arial" w:eastAsia="宋体" w:cs="Arial"/>
                <w:sz w:val="21"/>
                <w:szCs w:val="21"/>
              </w:rPr>
            </w:pPr>
            <w:r>
              <w:rPr>
                <w:rFonts w:hint="eastAsia" w:ascii="Arial" w:hAnsi="Arial" w:eastAsia="宋体" w:cs="Arial"/>
                <w:sz w:val="21"/>
                <w:szCs w:val="21"/>
              </w:rPr>
              <w:t>4及5.</w:t>
            </w:r>
            <w:r>
              <w:rPr>
                <w:rFonts w:ascii="Arial" w:hAnsi="Arial" w:eastAsia="宋体" w:cs="Arial"/>
                <w:sz w:val="21"/>
                <w:szCs w:val="21"/>
              </w:rPr>
              <w:t>项目用地属工业用地，不占用林地、草地；</w:t>
            </w:r>
          </w:p>
          <w:p w14:paraId="22E2AD06">
            <w:pPr>
              <w:adjustRightInd w:val="0"/>
              <w:snapToGrid w:val="0"/>
              <w:rPr>
                <w:rFonts w:ascii="Arial" w:hAnsi="Arial" w:eastAsia="宋体" w:cs="Arial"/>
                <w:sz w:val="21"/>
                <w:szCs w:val="21"/>
              </w:rPr>
            </w:pPr>
            <w:r>
              <w:rPr>
                <w:rFonts w:hint="eastAsia" w:ascii="Arial" w:hAnsi="Arial" w:eastAsia="宋体" w:cs="Arial"/>
                <w:sz w:val="21"/>
                <w:szCs w:val="21"/>
              </w:rPr>
              <w:t>6.</w:t>
            </w:r>
            <w:r>
              <w:rPr>
                <w:rFonts w:ascii="Arial" w:hAnsi="Arial" w:eastAsia="宋体" w:cs="Arial"/>
                <w:sz w:val="21"/>
                <w:szCs w:val="21"/>
              </w:rPr>
              <w:t>项目</w:t>
            </w:r>
            <w:r>
              <w:rPr>
                <w:rFonts w:hint="eastAsia" w:ascii="Arial" w:hAnsi="Arial" w:eastAsia="宋体" w:cs="Arial"/>
                <w:sz w:val="21"/>
                <w:szCs w:val="21"/>
              </w:rPr>
              <w:t>不属于“两高”项目</w:t>
            </w:r>
            <w:r>
              <w:rPr>
                <w:rFonts w:ascii="Arial" w:hAnsi="Arial" w:eastAsia="宋体" w:cs="Arial"/>
                <w:sz w:val="21"/>
                <w:szCs w:val="21"/>
              </w:rPr>
              <w:t>，能源利用效率达到国内先进水平</w:t>
            </w:r>
            <w:r>
              <w:rPr>
                <w:rFonts w:hint="eastAsia" w:ascii="Arial" w:hAnsi="Arial" w:eastAsia="宋体" w:cs="Arial"/>
                <w:sz w:val="21"/>
                <w:szCs w:val="21"/>
              </w:rPr>
              <w:t>；</w:t>
            </w:r>
          </w:p>
          <w:p w14:paraId="6D147833">
            <w:pPr>
              <w:adjustRightInd w:val="0"/>
              <w:snapToGrid w:val="0"/>
              <w:rPr>
                <w:rFonts w:ascii="Arial" w:hAnsi="Arial" w:eastAsia="宋体" w:cs="Arial"/>
                <w:sz w:val="21"/>
                <w:szCs w:val="21"/>
              </w:rPr>
            </w:pPr>
            <w:r>
              <w:rPr>
                <w:rFonts w:hint="eastAsia" w:ascii="Arial" w:hAnsi="Arial" w:eastAsia="宋体" w:cs="Arial"/>
                <w:sz w:val="21"/>
                <w:szCs w:val="21"/>
              </w:rPr>
              <w:t>7.项目不属于“两高”项目；</w:t>
            </w:r>
          </w:p>
          <w:p w14:paraId="45541F22">
            <w:pPr>
              <w:adjustRightInd w:val="0"/>
              <w:snapToGrid w:val="0"/>
              <w:rPr>
                <w:rFonts w:ascii="Arial" w:hAnsi="Arial" w:eastAsia="宋体" w:cs="Arial"/>
                <w:sz w:val="21"/>
                <w:szCs w:val="21"/>
              </w:rPr>
            </w:pPr>
            <w:r>
              <w:rPr>
                <w:rFonts w:hint="eastAsia" w:ascii="Arial" w:hAnsi="Arial" w:eastAsia="宋体" w:cs="Arial"/>
                <w:sz w:val="21"/>
                <w:szCs w:val="21"/>
              </w:rPr>
              <w:t>8.不适用；</w:t>
            </w:r>
          </w:p>
          <w:p w14:paraId="473B36B0">
            <w:pPr>
              <w:adjustRightInd w:val="0"/>
              <w:snapToGrid w:val="0"/>
              <w:rPr>
                <w:rFonts w:ascii="Arial" w:hAnsi="Arial" w:eastAsia="宋体" w:cs="Arial"/>
                <w:sz w:val="21"/>
                <w:szCs w:val="21"/>
              </w:rPr>
            </w:pPr>
            <w:r>
              <w:rPr>
                <w:rFonts w:hint="eastAsia" w:ascii="Arial" w:hAnsi="Arial" w:eastAsia="宋体" w:cs="Arial"/>
                <w:sz w:val="21"/>
                <w:szCs w:val="21"/>
              </w:rPr>
              <w:t>9.不适用；</w:t>
            </w:r>
          </w:p>
          <w:p w14:paraId="45ADE7E3">
            <w:pPr>
              <w:adjustRightInd w:val="0"/>
              <w:snapToGrid w:val="0"/>
              <w:rPr>
                <w:rFonts w:ascii="Arial" w:hAnsi="Arial" w:eastAsia="宋体" w:cs="Arial"/>
                <w:sz w:val="21"/>
                <w:szCs w:val="21"/>
              </w:rPr>
            </w:pPr>
            <w:r>
              <w:rPr>
                <w:rFonts w:hint="eastAsia" w:ascii="Arial" w:hAnsi="Arial" w:eastAsia="宋体" w:cs="Arial"/>
                <w:sz w:val="21"/>
                <w:szCs w:val="21"/>
              </w:rPr>
              <w:t>10.不适用；</w:t>
            </w:r>
          </w:p>
          <w:p w14:paraId="3BA5C329">
            <w:pPr>
              <w:adjustRightInd w:val="0"/>
              <w:snapToGrid w:val="0"/>
              <w:rPr>
                <w:rFonts w:ascii="Arial" w:hAnsi="Arial" w:eastAsia="宋体" w:cs="Arial"/>
                <w:sz w:val="21"/>
                <w:szCs w:val="21"/>
              </w:rPr>
            </w:pPr>
            <w:r>
              <w:rPr>
                <w:rFonts w:hint="eastAsia" w:ascii="Arial" w:hAnsi="Arial" w:eastAsia="宋体" w:cs="Arial"/>
                <w:sz w:val="21"/>
                <w:szCs w:val="21"/>
              </w:rPr>
              <w:t>11.项目不涉及广西生态保护禁止事项清单</w:t>
            </w:r>
            <w:r>
              <w:rPr>
                <w:rFonts w:hint="eastAsia" w:ascii="Arial" w:hAnsi="Arial" w:eastAsia="宋体" w:cs="Arial"/>
                <w:sz w:val="21"/>
                <w:szCs w:val="21"/>
                <w:lang w:eastAsia="zh-CN"/>
              </w:rPr>
              <w:t>中</w:t>
            </w:r>
            <w:r>
              <w:rPr>
                <w:rFonts w:hint="eastAsia" w:ascii="Arial" w:hAnsi="Arial" w:eastAsia="宋体" w:cs="Arial"/>
                <w:sz w:val="21"/>
                <w:szCs w:val="21"/>
              </w:rPr>
              <w:t>的负面清单事项；</w:t>
            </w:r>
          </w:p>
          <w:p w14:paraId="613CD19C">
            <w:pPr>
              <w:adjustRightInd w:val="0"/>
              <w:snapToGrid w:val="0"/>
              <w:rPr>
                <w:rFonts w:ascii="Arial" w:hAnsi="Arial" w:eastAsia="宋体" w:cs="Arial"/>
                <w:sz w:val="21"/>
                <w:szCs w:val="21"/>
              </w:rPr>
            </w:pPr>
            <w:r>
              <w:rPr>
                <w:rFonts w:hint="eastAsia" w:ascii="Arial" w:hAnsi="Arial" w:eastAsia="宋体" w:cs="Arial"/>
                <w:sz w:val="21"/>
                <w:szCs w:val="21"/>
              </w:rPr>
              <w:t>12.不涉及；</w:t>
            </w:r>
          </w:p>
          <w:p w14:paraId="75424614">
            <w:pPr>
              <w:adjustRightInd w:val="0"/>
              <w:snapToGrid w:val="0"/>
              <w:rPr>
                <w:rFonts w:ascii="Arial" w:hAnsi="Arial" w:eastAsia="宋体" w:cs="Arial"/>
                <w:sz w:val="21"/>
                <w:szCs w:val="21"/>
              </w:rPr>
            </w:pPr>
            <w:r>
              <w:rPr>
                <w:rFonts w:hint="eastAsia" w:ascii="Arial" w:hAnsi="Arial" w:eastAsia="宋体" w:cs="Arial"/>
                <w:sz w:val="21"/>
                <w:szCs w:val="21"/>
              </w:rPr>
              <w:t>13.不涉及；</w:t>
            </w:r>
          </w:p>
        </w:tc>
      </w:tr>
      <w:tr w14:paraId="2E1B6BB1">
        <w:tblPrEx>
          <w:tblCellMar>
            <w:top w:w="0" w:type="dxa"/>
            <w:left w:w="108" w:type="dxa"/>
            <w:bottom w:w="0" w:type="dxa"/>
            <w:right w:w="108" w:type="dxa"/>
          </w:tblCellMar>
        </w:tblPrEx>
        <w:trPr>
          <w:trHeight w:val="340" w:hRule="atLeast"/>
          <w:jc w:val="center"/>
        </w:trPr>
        <w:tc>
          <w:tcPr>
            <w:tcW w:w="299" w:type="pct"/>
            <w:vMerge w:val="restart"/>
            <w:tcBorders>
              <w:top w:val="single" w:color="auto" w:sz="4" w:space="0"/>
              <w:left w:val="single" w:color="auto" w:sz="4" w:space="0"/>
              <w:bottom w:val="single" w:color="auto" w:sz="4" w:space="0"/>
              <w:right w:val="single" w:color="auto" w:sz="4" w:space="0"/>
            </w:tcBorders>
            <w:vAlign w:val="center"/>
          </w:tcPr>
          <w:p w14:paraId="07E70D46">
            <w:pPr>
              <w:pStyle w:val="248"/>
              <w:adjustRightInd w:val="0"/>
              <w:snapToGrid w:val="0"/>
              <w:spacing w:line="240" w:lineRule="auto"/>
              <w:ind w:firstLine="0" w:firstLineChars="0"/>
              <w:rPr>
                <w:rFonts w:cs="Arial"/>
              </w:rPr>
            </w:pPr>
            <w:r>
              <w:rPr>
                <w:rFonts w:cs="Arial"/>
              </w:rPr>
              <w:t>北部湾经济区</w:t>
            </w:r>
          </w:p>
          <w:p w14:paraId="45F4EBA1">
            <w:pPr>
              <w:pStyle w:val="248"/>
              <w:adjustRightInd w:val="0"/>
              <w:snapToGrid w:val="0"/>
              <w:spacing w:line="240" w:lineRule="auto"/>
              <w:ind w:firstLine="0" w:firstLineChars="0"/>
              <w:rPr>
                <w:rFonts w:cs="Arial"/>
              </w:rPr>
            </w:pPr>
            <w:r>
              <w:rPr>
                <w:rFonts w:cs="Arial"/>
              </w:rPr>
              <w:t>全部分区</w:t>
            </w:r>
          </w:p>
        </w:tc>
        <w:tc>
          <w:tcPr>
            <w:tcW w:w="275" w:type="pct"/>
            <w:vMerge w:val="restart"/>
            <w:tcBorders>
              <w:top w:val="single" w:color="auto" w:sz="4" w:space="0"/>
              <w:left w:val="single" w:color="auto" w:sz="4" w:space="0"/>
              <w:bottom w:val="single" w:color="auto" w:sz="4" w:space="0"/>
              <w:right w:val="single" w:color="auto" w:sz="4" w:space="0"/>
            </w:tcBorders>
            <w:vAlign w:val="center"/>
          </w:tcPr>
          <w:p w14:paraId="600057FA">
            <w:pPr>
              <w:pStyle w:val="248"/>
              <w:adjustRightInd w:val="0"/>
              <w:snapToGrid w:val="0"/>
              <w:spacing w:line="240" w:lineRule="auto"/>
              <w:ind w:firstLine="0" w:firstLineChars="0"/>
              <w:rPr>
                <w:rFonts w:cs="Arial"/>
              </w:rPr>
            </w:pPr>
            <w:r>
              <w:rPr>
                <w:rFonts w:hint="eastAsia" w:cs="Arial"/>
              </w:rPr>
              <w:t>北部湾经济区（本清单适用于南宁市、北海市、钦州市、防城港市、玉林市、崇左市）</w:t>
            </w:r>
          </w:p>
        </w:tc>
        <w:tc>
          <w:tcPr>
            <w:tcW w:w="412" w:type="pct"/>
            <w:tcBorders>
              <w:top w:val="single" w:color="auto" w:sz="4" w:space="0"/>
              <w:left w:val="single" w:color="auto" w:sz="4" w:space="0"/>
              <w:bottom w:val="single" w:color="auto" w:sz="4" w:space="0"/>
              <w:right w:val="single" w:color="auto" w:sz="4" w:space="0"/>
            </w:tcBorders>
            <w:vAlign w:val="center"/>
          </w:tcPr>
          <w:p w14:paraId="083BFF85">
            <w:pPr>
              <w:pStyle w:val="248"/>
              <w:adjustRightInd w:val="0"/>
              <w:snapToGrid w:val="0"/>
              <w:spacing w:line="240" w:lineRule="auto"/>
              <w:ind w:firstLine="0" w:firstLineChars="0"/>
              <w:rPr>
                <w:rFonts w:cs="Arial"/>
              </w:rPr>
            </w:pPr>
            <w:r>
              <w:rPr>
                <w:rFonts w:cs="Arial"/>
              </w:rPr>
              <w:t>空间布局约束</w:t>
            </w:r>
          </w:p>
        </w:tc>
        <w:tc>
          <w:tcPr>
            <w:tcW w:w="3208" w:type="pct"/>
            <w:tcBorders>
              <w:top w:val="single" w:color="auto" w:sz="4" w:space="0"/>
              <w:left w:val="single" w:color="auto" w:sz="4" w:space="0"/>
              <w:bottom w:val="single" w:color="auto" w:sz="4" w:space="0"/>
              <w:right w:val="single" w:color="auto" w:sz="4" w:space="0"/>
            </w:tcBorders>
            <w:vAlign w:val="center"/>
          </w:tcPr>
          <w:p w14:paraId="00C641CD">
            <w:pPr>
              <w:adjustRightInd w:val="0"/>
              <w:snapToGrid w:val="0"/>
              <w:rPr>
                <w:rFonts w:ascii="Arial" w:hAnsi="Arial" w:eastAsia="宋体" w:cs="Arial"/>
                <w:sz w:val="21"/>
                <w:szCs w:val="21"/>
              </w:rPr>
            </w:pPr>
            <w:r>
              <w:rPr>
                <w:rFonts w:hint="eastAsia" w:ascii="Arial" w:hAnsi="Arial" w:eastAsia="宋体" w:cs="Arial"/>
                <w:sz w:val="21"/>
                <w:szCs w:val="21"/>
              </w:rPr>
              <w:t>1．坚持高质量发展和高水平保护并重，引领广西高质量发展的重要增长极和成为具有区域影响力和带动力的重要增长极，建设宜居宜业宜游蓝色生态湾区。</w:t>
            </w:r>
          </w:p>
          <w:p w14:paraId="50D6F697">
            <w:pPr>
              <w:adjustRightInd w:val="0"/>
              <w:snapToGrid w:val="0"/>
              <w:rPr>
                <w:rFonts w:ascii="Arial" w:hAnsi="Arial" w:eastAsia="宋体" w:cs="Arial"/>
                <w:sz w:val="21"/>
                <w:szCs w:val="21"/>
              </w:rPr>
            </w:pPr>
            <w:r>
              <w:rPr>
                <w:rFonts w:hint="eastAsia" w:ascii="Arial" w:hAnsi="Arial" w:eastAsia="宋体" w:cs="Arial"/>
                <w:sz w:val="21"/>
                <w:szCs w:val="21"/>
              </w:rPr>
              <w:t>2．实行严格的资源环境生态红线管控，合理开发和节约资源，加强对水源林、防护林、湿地等生态系统的保护与修复。</w:t>
            </w:r>
          </w:p>
          <w:p w14:paraId="61BEE3A2">
            <w:pPr>
              <w:adjustRightInd w:val="0"/>
              <w:snapToGrid w:val="0"/>
              <w:rPr>
                <w:rFonts w:ascii="Arial" w:hAnsi="Arial" w:eastAsia="宋体" w:cs="Arial"/>
                <w:sz w:val="21"/>
                <w:szCs w:val="21"/>
              </w:rPr>
            </w:pPr>
            <w:r>
              <w:rPr>
                <w:rFonts w:hint="eastAsia" w:ascii="Arial" w:hAnsi="Arial" w:eastAsia="宋体" w:cs="Arial"/>
                <w:sz w:val="21"/>
                <w:szCs w:val="21"/>
              </w:rPr>
              <w:t>3．加大滨海湿地保护和修复力度，对红树林、珊瑚礁、海草床等重要海洋生态系统实行最严格的保护措施，加强珍稀濒危物种及重要海洋生态系统的生境保护。加强沿海防护林体系建设，加强对防城江、北仑河、钦江等重要江河源头区、湖库型饮用水源地等区域水土流失预防。推进互花米草防治。</w:t>
            </w:r>
          </w:p>
          <w:p w14:paraId="732FAEEA">
            <w:pPr>
              <w:adjustRightInd w:val="0"/>
              <w:snapToGrid w:val="0"/>
              <w:rPr>
                <w:rFonts w:ascii="Arial" w:hAnsi="Arial" w:eastAsia="宋体" w:cs="Arial"/>
                <w:sz w:val="21"/>
                <w:szCs w:val="21"/>
              </w:rPr>
            </w:pPr>
            <w:r>
              <w:rPr>
                <w:rFonts w:hint="eastAsia" w:ascii="Arial" w:hAnsi="Arial" w:eastAsia="宋体" w:cs="Arial"/>
                <w:sz w:val="21"/>
                <w:szCs w:val="21"/>
              </w:rPr>
              <w:t>4．严格围填海管控，禁止在海域内实施连岛行动。保护北部湾自然岸线，严格控制岸线利用项目准入门槛。合理有序开发利用滩涂资源。</w:t>
            </w:r>
          </w:p>
          <w:p w14:paraId="07564AE3">
            <w:pPr>
              <w:adjustRightInd w:val="0"/>
              <w:snapToGrid w:val="0"/>
              <w:rPr>
                <w:rFonts w:ascii="Arial" w:hAnsi="Arial" w:eastAsia="宋体" w:cs="Arial"/>
                <w:sz w:val="21"/>
                <w:szCs w:val="21"/>
              </w:rPr>
            </w:pPr>
            <w:r>
              <w:rPr>
                <w:rFonts w:hint="eastAsia" w:ascii="Arial" w:hAnsi="Arial" w:eastAsia="宋体" w:cs="Arial"/>
                <w:sz w:val="21"/>
                <w:szCs w:val="21"/>
              </w:rPr>
              <w:t>5．南流江流域、廉州湾海域超过环境承载力的县市区严格区域主要污染物管控要求，新改扩“两高”、重点行业建设项目实行主要污染物区域削减方案。廉州湾沿岸新设排污口选址必须符合《中华人民共和国海洋环境保护法》《防治陆源污染物污染损害海洋环境管理条例》等有关规定。</w:t>
            </w:r>
          </w:p>
          <w:p w14:paraId="14838DF4">
            <w:pPr>
              <w:adjustRightInd w:val="0"/>
              <w:snapToGrid w:val="0"/>
              <w:rPr>
                <w:rFonts w:ascii="Arial" w:hAnsi="Arial" w:eastAsia="宋体" w:cs="Arial"/>
                <w:sz w:val="21"/>
                <w:szCs w:val="21"/>
              </w:rPr>
            </w:pPr>
            <w:r>
              <w:rPr>
                <w:rFonts w:hint="eastAsia" w:ascii="Arial" w:hAnsi="Arial" w:eastAsia="宋体" w:cs="Arial"/>
                <w:sz w:val="21"/>
                <w:szCs w:val="21"/>
              </w:rPr>
              <w:t>6．依法依规推动落后产能有序退出。</w:t>
            </w:r>
          </w:p>
          <w:p w14:paraId="15E998EB">
            <w:pPr>
              <w:adjustRightInd w:val="0"/>
              <w:snapToGrid w:val="0"/>
              <w:rPr>
                <w:rFonts w:ascii="Arial" w:hAnsi="Arial" w:eastAsia="宋体" w:cs="Arial"/>
                <w:sz w:val="21"/>
                <w:szCs w:val="21"/>
              </w:rPr>
            </w:pPr>
            <w:r>
              <w:rPr>
                <w:rFonts w:hint="eastAsia" w:ascii="Arial" w:hAnsi="Arial" w:eastAsia="宋体" w:cs="Arial"/>
                <w:sz w:val="21"/>
                <w:szCs w:val="21"/>
              </w:rPr>
              <w:t>7．严禁占用运河沿线两岸1公里范围内预留作为生态廊道的用地，科学规划平陆运河沿岸生态廊道空间和开发保护核心管制区。</w:t>
            </w:r>
          </w:p>
          <w:p w14:paraId="3D9C2997">
            <w:pPr>
              <w:adjustRightInd w:val="0"/>
              <w:snapToGrid w:val="0"/>
              <w:rPr>
                <w:rFonts w:ascii="Arial" w:hAnsi="Arial" w:eastAsia="宋体" w:cs="Arial"/>
                <w:sz w:val="21"/>
                <w:szCs w:val="21"/>
              </w:rPr>
            </w:pPr>
            <w:r>
              <w:rPr>
                <w:rFonts w:hint="eastAsia" w:ascii="Arial" w:hAnsi="Arial" w:eastAsia="宋体" w:cs="Arial"/>
                <w:sz w:val="21"/>
                <w:szCs w:val="21"/>
              </w:rPr>
              <w:t>8．执行平陆运河绿色工程防范管控重点清单、打造特色亮点清单，平陆运河绿色工程评估指标体系。</w:t>
            </w:r>
          </w:p>
        </w:tc>
        <w:tc>
          <w:tcPr>
            <w:tcW w:w="806" w:type="pct"/>
            <w:tcBorders>
              <w:top w:val="single" w:color="auto" w:sz="4" w:space="0"/>
              <w:left w:val="single" w:color="auto" w:sz="4" w:space="0"/>
              <w:bottom w:val="single" w:color="auto" w:sz="4" w:space="0"/>
              <w:right w:val="single" w:color="auto" w:sz="4" w:space="0"/>
            </w:tcBorders>
            <w:vAlign w:val="center"/>
          </w:tcPr>
          <w:p w14:paraId="2AF464DE">
            <w:pPr>
              <w:pStyle w:val="248"/>
              <w:adjustRightInd w:val="0"/>
              <w:snapToGrid w:val="0"/>
              <w:spacing w:line="240" w:lineRule="auto"/>
              <w:ind w:firstLine="0" w:firstLineChars="0"/>
              <w:jc w:val="both"/>
              <w:rPr>
                <w:rFonts w:cs="Arial"/>
              </w:rPr>
            </w:pPr>
            <w:r>
              <w:rPr>
                <w:rFonts w:cs="Arial"/>
                <w:b/>
              </w:rPr>
              <w:t>相符</w:t>
            </w:r>
            <w:r>
              <w:rPr>
                <w:rFonts w:cs="Arial"/>
              </w:rPr>
              <w:t>。</w:t>
            </w:r>
          </w:p>
          <w:p w14:paraId="7CCE5869">
            <w:pPr>
              <w:pStyle w:val="248"/>
              <w:adjustRightInd w:val="0"/>
              <w:snapToGrid w:val="0"/>
              <w:spacing w:line="240" w:lineRule="auto"/>
              <w:ind w:firstLine="0" w:firstLineChars="0"/>
              <w:jc w:val="both"/>
              <w:rPr>
                <w:rFonts w:cs="Arial"/>
              </w:rPr>
            </w:pPr>
            <w:r>
              <w:rPr>
                <w:rFonts w:hint="eastAsia" w:cs="Arial"/>
              </w:rPr>
              <w:t>1、2、3.不适用；</w:t>
            </w:r>
          </w:p>
          <w:p w14:paraId="1322A417">
            <w:pPr>
              <w:pStyle w:val="248"/>
              <w:adjustRightInd w:val="0"/>
              <w:snapToGrid w:val="0"/>
              <w:spacing w:line="240" w:lineRule="auto"/>
              <w:ind w:firstLine="0" w:firstLineChars="0"/>
              <w:jc w:val="both"/>
              <w:rPr>
                <w:rFonts w:cs="Arial"/>
              </w:rPr>
            </w:pPr>
            <w:r>
              <w:rPr>
                <w:rFonts w:hint="eastAsia" w:cs="Arial"/>
              </w:rPr>
              <w:t>4、7.</w:t>
            </w:r>
            <w:r>
              <w:rPr>
                <w:rFonts w:cs="Arial"/>
              </w:rPr>
              <w:t>项目同时位于钦州港大榄坪物流加工区和钦州石化产业园区内，</w:t>
            </w:r>
            <w:r>
              <w:rPr>
                <w:rFonts w:hint="eastAsia" w:cs="Arial"/>
              </w:rPr>
              <w:t>在现有厂区内建设，不涉及围填海、不占用岸线，不占用运河生态廊道用地；</w:t>
            </w:r>
          </w:p>
          <w:p w14:paraId="32FDC838">
            <w:pPr>
              <w:pStyle w:val="248"/>
              <w:adjustRightInd w:val="0"/>
              <w:snapToGrid w:val="0"/>
              <w:spacing w:line="240" w:lineRule="auto"/>
              <w:ind w:firstLine="0" w:firstLineChars="0"/>
              <w:jc w:val="both"/>
              <w:rPr>
                <w:rFonts w:cs="Arial"/>
              </w:rPr>
            </w:pPr>
            <w:r>
              <w:rPr>
                <w:rFonts w:hint="eastAsia" w:cs="Arial"/>
              </w:rPr>
              <w:t>5.不适用；</w:t>
            </w:r>
          </w:p>
          <w:p w14:paraId="4CF6D938">
            <w:pPr>
              <w:pStyle w:val="248"/>
              <w:adjustRightInd w:val="0"/>
              <w:snapToGrid w:val="0"/>
              <w:spacing w:line="240" w:lineRule="auto"/>
              <w:ind w:firstLine="0" w:firstLineChars="0"/>
              <w:jc w:val="both"/>
              <w:rPr>
                <w:rFonts w:cs="Arial"/>
              </w:rPr>
            </w:pPr>
            <w:r>
              <w:rPr>
                <w:rFonts w:hint="eastAsia" w:cs="Arial"/>
              </w:rPr>
              <w:t>6.不属于落后产能项目；</w:t>
            </w:r>
          </w:p>
          <w:p w14:paraId="34F8211F">
            <w:pPr>
              <w:pStyle w:val="248"/>
              <w:adjustRightInd w:val="0"/>
              <w:snapToGrid w:val="0"/>
              <w:spacing w:line="240" w:lineRule="auto"/>
              <w:ind w:firstLine="0" w:firstLineChars="0"/>
              <w:jc w:val="both"/>
              <w:rPr>
                <w:rFonts w:cs="Arial"/>
              </w:rPr>
            </w:pPr>
            <w:r>
              <w:rPr>
                <w:rFonts w:hint="eastAsia" w:cs="Arial"/>
              </w:rPr>
              <w:t>8.不适用。</w:t>
            </w:r>
          </w:p>
        </w:tc>
      </w:tr>
      <w:tr w14:paraId="4D42CB46">
        <w:tblPrEx>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CFF3F70">
            <w:pPr>
              <w:widowControl/>
              <w:jc w:val="left"/>
              <w:rPr>
                <w:rFonts w:ascii="Arial" w:hAnsi="Arial" w:eastAsia="宋体" w:cs="Arial"/>
                <w:sz w:val="21"/>
                <w:szCs w:val="21"/>
                <w:highlight w:val="yellow"/>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731993C">
            <w:pPr>
              <w:widowControl/>
              <w:jc w:val="left"/>
              <w:rPr>
                <w:rFonts w:ascii="Arial" w:hAnsi="Arial" w:eastAsia="宋体" w:cs="Arial"/>
                <w:sz w:val="21"/>
                <w:szCs w:val="21"/>
                <w:highlight w:val="yellow"/>
              </w:rPr>
            </w:pPr>
          </w:p>
        </w:tc>
        <w:tc>
          <w:tcPr>
            <w:tcW w:w="412" w:type="pct"/>
            <w:tcBorders>
              <w:top w:val="single" w:color="auto" w:sz="4" w:space="0"/>
              <w:left w:val="single" w:color="auto" w:sz="4" w:space="0"/>
              <w:bottom w:val="single" w:color="auto" w:sz="4" w:space="0"/>
              <w:right w:val="single" w:color="auto" w:sz="4" w:space="0"/>
            </w:tcBorders>
            <w:vAlign w:val="center"/>
          </w:tcPr>
          <w:p w14:paraId="64D05BDA">
            <w:pPr>
              <w:pStyle w:val="248"/>
              <w:adjustRightInd w:val="0"/>
              <w:snapToGrid w:val="0"/>
              <w:spacing w:line="240" w:lineRule="auto"/>
              <w:ind w:firstLine="0" w:firstLineChars="0"/>
              <w:rPr>
                <w:rFonts w:cs="Arial"/>
              </w:rPr>
            </w:pPr>
            <w:r>
              <w:rPr>
                <w:rFonts w:cs="Arial"/>
              </w:rPr>
              <w:t>污染物排放管控</w:t>
            </w:r>
          </w:p>
        </w:tc>
        <w:tc>
          <w:tcPr>
            <w:tcW w:w="3208" w:type="pct"/>
            <w:tcBorders>
              <w:top w:val="single" w:color="auto" w:sz="4" w:space="0"/>
              <w:left w:val="single" w:color="auto" w:sz="4" w:space="0"/>
              <w:bottom w:val="single" w:color="auto" w:sz="4" w:space="0"/>
              <w:right w:val="single" w:color="auto" w:sz="4" w:space="0"/>
            </w:tcBorders>
            <w:vAlign w:val="center"/>
          </w:tcPr>
          <w:p w14:paraId="286097DC">
            <w:pPr>
              <w:adjustRightInd w:val="0"/>
              <w:snapToGrid w:val="0"/>
              <w:rPr>
                <w:rFonts w:ascii="Arial" w:hAnsi="Arial" w:eastAsia="宋体" w:cs="Arial"/>
                <w:sz w:val="21"/>
                <w:szCs w:val="21"/>
              </w:rPr>
            </w:pPr>
            <w:r>
              <w:rPr>
                <w:rFonts w:hint="eastAsia" w:ascii="Arial" w:hAnsi="Arial" w:eastAsia="宋体" w:cs="Arial"/>
                <w:sz w:val="21"/>
                <w:szCs w:val="21"/>
              </w:rPr>
              <w:t>1．坚持陆海统筹，强化重大海域、入海河流、海岸带的生态环境统筹协同管控，开展北部湾沿海城市生态环境综合治理。推行河长制、湖长制，持续推进钦江、南流江、九洲江等流域综合治理，鼓励施行生态养殖和清洁生产，从源头控制生产、生活污水排放。推行湾长制，协同推进近岸海域污染治理，实施蓝色海湾整治行动和北部湾入海河流综合治理工程，严格控制水产养殖污染、港口码头船舶污染、采沙污染。</w:t>
            </w:r>
          </w:p>
          <w:p w14:paraId="1CAE8859">
            <w:pPr>
              <w:adjustRightInd w:val="0"/>
              <w:snapToGrid w:val="0"/>
              <w:rPr>
                <w:rFonts w:ascii="Arial" w:hAnsi="Arial" w:eastAsia="宋体" w:cs="Arial"/>
                <w:sz w:val="21"/>
                <w:szCs w:val="21"/>
              </w:rPr>
            </w:pPr>
            <w:r>
              <w:rPr>
                <w:rFonts w:hint="eastAsia" w:ascii="Arial" w:hAnsi="Arial" w:eastAsia="宋体" w:cs="Arial"/>
                <w:sz w:val="21"/>
                <w:szCs w:val="21"/>
              </w:rPr>
              <w:t>2．围绕建设蓝色海湾城市群，深入推进北钦防生态环境基础设施一体化，统筹推进北钦防三市生态环境齐保共治。加强港口码头环境保护基础设施建设，重点加强有色矿产、硫磺、煤等堆场配套环保设施建设。建立生态环境联防联治平台和机制，推动建立北部湾城市群跨行政区生态环境保护和生态补偿机制。</w:t>
            </w:r>
          </w:p>
          <w:p w14:paraId="6EB1855D">
            <w:pPr>
              <w:adjustRightInd w:val="0"/>
              <w:snapToGrid w:val="0"/>
              <w:rPr>
                <w:rFonts w:ascii="Arial" w:hAnsi="Arial" w:eastAsia="宋体" w:cs="Arial"/>
                <w:sz w:val="21"/>
                <w:szCs w:val="21"/>
              </w:rPr>
            </w:pPr>
            <w:r>
              <w:rPr>
                <w:rFonts w:hint="eastAsia" w:ascii="Arial" w:hAnsi="Arial" w:eastAsia="宋体" w:cs="Arial"/>
                <w:sz w:val="21"/>
                <w:szCs w:val="21"/>
              </w:rPr>
              <w:t>3．推进区域大气污染联防联控。共同开展重点行业污染整治和重污染天气联合应对，加强挥发性有机化合物（VOCs）和氮氧化物（NOx）协同控制，协同应对区域多污染物，联合开展空气污染综合治理，改善空气质量。严格城市空气质量达标管理，改善城市环境空气质量，对大气质量改善进度进行监督和考核。</w:t>
            </w:r>
          </w:p>
          <w:p w14:paraId="2B56221E">
            <w:pPr>
              <w:adjustRightInd w:val="0"/>
              <w:snapToGrid w:val="0"/>
              <w:rPr>
                <w:rFonts w:ascii="Arial" w:hAnsi="Arial" w:eastAsia="宋体" w:cs="Arial"/>
                <w:sz w:val="21"/>
                <w:szCs w:val="21"/>
              </w:rPr>
            </w:pPr>
            <w:r>
              <w:rPr>
                <w:rFonts w:hint="eastAsia" w:ascii="Arial" w:hAnsi="Arial" w:eastAsia="宋体" w:cs="Arial"/>
                <w:sz w:val="21"/>
                <w:szCs w:val="21"/>
              </w:rPr>
              <w:t>4．严格控制“两高”行业项目布局和建设，提升“两高”行业清洁生产和减污降碳水平。以碳达峰、碳中和愿景为导向，推动产业转型升级、能源结构优化。开展碳排放权、排污权交易试点。重点管控行业建设项目无主要污染物排放指标来源的，应提出有效的区域削减方案，确保项目投产后区域环境质量不恶化。</w:t>
            </w:r>
          </w:p>
          <w:p w14:paraId="2267B0F1">
            <w:pPr>
              <w:adjustRightInd w:val="0"/>
              <w:snapToGrid w:val="0"/>
              <w:rPr>
                <w:rFonts w:ascii="Arial" w:hAnsi="Arial" w:eastAsia="宋体" w:cs="Arial"/>
                <w:sz w:val="21"/>
                <w:szCs w:val="21"/>
              </w:rPr>
            </w:pPr>
            <w:r>
              <w:rPr>
                <w:rFonts w:hint="eastAsia" w:ascii="Arial" w:hAnsi="Arial" w:eastAsia="宋体" w:cs="Arial"/>
                <w:sz w:val="21"/>
                <w:szCs w:val="21"/>
              </w:rPr>
              <w:t>5．以平陆运河、北部湾港为重点，加强船舶和港口污染防治，加快淘汰老旧船舶，鼓励引导高能耗船舶技术改造升级和提前退出。推动新能源、清洁能源动力船舶应用，加快港口供电设施建设，提高船舶岸电设施使用率。</w:t>
            </w:r>
          </w:p>
          <w:p w14:paraId="7EFBD16F">
            <w:pPr>
              <w:adjustRightInd w:val="0"/>
              <w:snapToGrid w:val="0"/>
              <w:rPr>
                <w:rFonts w:ascii="Arial" w:hAnsi="Arial" w:eastAsia="宋体" w:cs="Arial"/>
                <w:sz w:val="21"/>
                <w:szCs w:val="21"/>
              </w:rPr>
            </w:pPr>
            <w:r>
              <w:rPr>
                <w:rFonts w:hint="eastAsia" w:ascii="Arial" w:hAnsi="Arial" w:eastAsia="宋体" w:cs="Arial"/>
                <w:sz w:val="21"/>
                <w:szCs w:val="21"/>
              </w:rPr>
              <w:t>6．平陆运河沿线城市实施生活污水集中处理设施能力提升全覆盖工程，开展城市污水处理设施差别化精准提标改造。</w:t>
            </w:r>
          </w:p>
        </w:tc>
        <w:tc>
          <w:tcPr>
            <w:tcW w:w="806" w:type="pct"/>
            <w:tcBorders>
              <w:top w:val="single" w:color="auto" w:sz="4" w:space="0"/>
              <w:left w:val="single" w:color="auto" w:sz="4" w:space="0"/>
              <w:bottom w:val="single" w:color="auto" w:sz="4" w:space="0"/>
              <w:right w:val="single" w:color="auto" w:sz="4" w:space="0"/>
            </w:tcBorders>
            <w:vAlign w:val="center"/>
          </w:tcPr>
          <w:p w14:paraId="1D9E7EE5">
            <w:pPr>
              <w:pStyle w:val="248"/>
              <w:widowControl w:val="0"/>
              <w:adjustRightInd w:val="0"/>
              <w:snapToGrid w:val="0"/>
              <w:spacing w:line="240" w:lineRule="auto"/>
              <w:ind w:firstLine="0" w:firstLineChars="0"/>
              <w:jc w:val="both"/>
              <w:rPr>
                <w:rFonts w:cs="Arial"/>
              </w:rPr>
            </w:pPr>
            <w:r>
              <w:rPr>
                <w:rFonts w:cs="Arial"/>
                <w:b/>
              </w:rPr>
              <w:t>相符</w:t>
            </w:r>
            <w:r>
              <w:rPr>
                <w:rFonts w:cs="Arial"/>
              </w:rPr>
              <w:t>。</w:t>
            </w:r>
          </w:p>
          <w:p w14:paraId="6476DC80">
            <w:pPr>
              <w:pStyle w:val="248"/>
              <w:widowControl w:val="0"/>
              <w:adjustRightInd w:val="0"/>
              <w:snapToGrid w:val="0"/>
              <w:spacing w:line="240" w:lineRule="auto"/>
              <w:ind w:firstLine="0" w:firstLineChars="0"/>
              <w:jc w:val="both"/>
              <w:rPr>
                <w:rFonts w:cs="Arial"/>
              </w:rPr>
            </w:pPr>
            <w:r>
              <w:rPr>
                <w:rFonts w:hint="eastAsia" w:cs="Arial"/>
              </w:rPr>
              <w:t>1、2.不适用；</w:t>
            </w:r>
          </w:p>
          <w:p w14:paraId="3EF5F504">
            <w:pPr>
              <w:pStyle w:val="248"/>
              <w:widowControl w:val="0"/>
              <w:adjustRightInd w:val="0"/>
              <w:snapToGrid w:val="0"/>
              <w:spacing w:line="240" w:lineRule="auto"/>
              <w:ind w:firstLine="0" w:firstLineChars="0"/>
              <w:jc w:val="both"/>
              <w:rPr>
                <w:rFonts w:cs="Arial"/>
              </w:rPr>
            </w:pPr>
            <w:r>
              <w:rPr>
                <w:rFonts w:hint="eastAsia" w:cs="Arial"/>
              </w:rPr>
              <w:t>3.项目不排放氮氧化物及挥发性有机物；</w:t>
            </w:r>
          </w:p>
          <w:p w14:paraId="7CC55E1C">
            <w:pPr>
              <w:pStyle w:val="248"/>
              <w:widowControl w:val="0"/>
              <w:adjustRightInd w:val="0"/>
              <w:snapToGrid w:val="0"/>
              <w:spacing w:line="240" w:lineRule="auto"/>
              <w:ind w:firstLine="0" w:firstLineChars="0"/>
              <w:jc w:val="both"/>
              <w:rPr>
                <w:rFonts w:cs="Arial"/>
              </w:rPr>
            </w:pPr>
            <w:r>
              <w:rPr>
                <w:rFonts w:hint="eastAsia" w:cs="Arial"/>
              </w:rPr>
              <w:t>4.项目不属于“两高”项目；</w:t>
            </w:r>
          </w:p>
          <w:p w14:paraId="3AB85933">
            <w:pPr>
              <w:pStyle w:val="248"/>
              <w:widowControl w:val="0"/>
              <w:adjustRightInd w:val="0"/>
              <w:snapToGrid w:val="0"/>
              <w:spacing w:line="240" w:lineRule="auto"/>
              <w:ind w:firstLine="0" w:firstLineChars="0"/>
              <w:jc w:val="both"/>
              <w:rPr>
                <w:rFonts w:cs="Arial"/>
              </w:rPr>
            </w:pPr>
            <w:r>
              <w:rPr>
                <w:rFonts w:hint="eastAsia" w:cs="Arial"/>
              </w:rPr>
              <w:t>5、6.不适用。</w:t>
            </w:r>
          </w:p>
        </w:tc>
      </w:tr>
      <w:tr w14:paraId="7DE8F03E">
        <w:tblPrEx>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167D1CCA">
            <w:pPr>
              <w:widowControl/>
              <w:jc w:val="left"/>
              <w:rPr>
                <w:rFonts w:ascii="Arial" w:hAnsi="Arial" w:eastAsia="宋体" w:cs="Arial"/>
                <w:sz w:val="21"/>
                <w:szCs w:val="21"/>
                <w:highlight w:val="yellow"/>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8C63B7C">
            <w:pPr>
              <w:widowControl/>
              <w:jc w:val="left"/>
              <w:rPr>
                <w:rFonts w:ascii="Arial" w:hAnsi="Arial" w:eastAsia="宋体" w:cs="Arial"/>
                <w:sz w:val="21"/>
                <w:szCs w:val="21"/>
                <w:highlight w:val="yellow"/>
              </w:rPr>
            </w:pPr>
          </w:p>
        </w:tc>
        <w:tc>
          <w:tcPr>
            <w:tcW w:w="412" w:type="pct"/>
            <w:tcBorders>
              <w:top w:val="single" w:color="auto" w:sz="4" w:space="0"/>
              <w:left w:val="single" w:color="auto" w:sz="4" w:space="0"/>
              <w:bottom w:val="single" w:color="auto" w:sz="4" w:space="0"/>
              <w:right w:val="single" w:color="auto" w:sz="4" w:space="0"/>
            </w:tcBorders>
            <w:vAlign w:val="center"/>
          </w:tcPr>
          <w:p w14:paraId="47E4F68A">
            <w:pPr>
              <w:pStyle w:val="248"/>
              <w:adjustRightInd w:val="0"/>
              <w:snapToGrid w:val="0"/>
              <w:spacing w:line="240" w:lineRule="auto"/>
              <w:ind w:firstLine="0" w:firstLineChars="0"/>
              <w:rPr>
                <w:rFonts w:cs="Arial"/>
              </w:rPr>
            </w:pPr>
            <w:r>
              <w:rPr>
                <w:rFonts w:cs="Arial"/>
              </w:rPr>
              <w:t>环境风险防控</w:t>
            </w:r>
          </w:p>
        </w:tc>
        <w:tc>
          <w:tcPr>
            <w:tcW w:w="3208" w:type="pct"/>
            <w:tcBorders>
              <w:top w:val="single" w:color="auto" w:sz="4" w:space="0"/>
              <w:left w:val="single" w:color="auto" w:sz="4" w:space="0"/>
              <w:bottom w:val="single" w:color="auto" w:sz="4" w:space="0"/>
              <w:right w:val="single" w:color="auto" w:sz="4" w:space="0"/>
            </w:tcBorders>
            <w:vAlign w:val="center"/>
          </w:tcPr>
          <w:p w14:paraId="35D2D497">
            <w:pPr>
              <w:adjustRightInd w:val="0"/>
              <w:snapToGrid w:val="0"/>
              <w:rPr>
                <w:rFonts w:ascii="Arial" w:hAnsi="Arial" w:eastAsia="宋体" w:cs="Arial"/>
                <w:sz w:val="21"/>
                <w:szCs w:val="21"/>
              </w:rPr>
            </w:pPr>
            <w:r>
              <w:rPr>
                <w:rFonts w:hint="eastAsia" w:ascii="Arial" w:hAnsi="Arial" w:eastAsia="宋体" w:cs="Arial"/>
                <w:sz w:val="21"/>
                <w:szCs w:val="21"/>
              </w:rPr>
              <w:t>1．强化沿海工业园区和沿海石油、石化、化工、冶炼及危化品储运等企业的环境风险防控。</w:t>
            </w:r>
          </w:p>
          <w:p w14:paraId="74327121">
            <w:pPr>
              <w:adjustRightInd w:val="0"/>
              <w:snapToGrid w:val="0"/>
              <w:rPr>
                <w:rFonts w:ascii="Arial" w:hAnsi="Arial" w:eastAsia="宋体" w:cs="Arial"/>
                <w:sz w:val="21"/>
                <w:szCs w:val="21"/>
              </w:rPr>
            </w:pPr>
            <w:r>
              <w:rPr>
                <w:rFonts w:hint="eastAsia" w:ascii="Arial" w:hAnsi="Arial" w:eastAsia="宋体" w:cs="Arial"/>
                <w:sz w:val="21"/>
                <w:szCs w:val="21"/>
              </w:rPr>
              <w:t>2．建立和完善海上溢油、危险化学品泄漏、赤潮应急反应预案，提升应对海洋突发环境事件能力，防范海上溢油、危险化学品泄漏等重大环境风险。加强海洋环境监测，实施海洋环境预警预报工程。</w:t>
            </w:r>
          </w:p>
          <w:p w14:paraId="4E2AFBBE">
            <w:pPr>
              <w:adjustRightInd w:val="0"/>
              <w:snapToGrid w:val="0"/>
              <w:rPr>
                <w:rFonts w:cs="Arial"/>
              </w:rPr>
            </w:pPr>
            <w:r>
              <w:rPr>
                <w:rFonts w:hint="eastAsia" w:ascii="Arial" w:hAnsi="Arial" w:eastAsia="宋体" w:cs="Arial"/>
                <w:sz w:val="21"/>
                <w:szCs w:val="21"/>
              </w:rPr>
              <w:t>3．实行严格的核污染监控管理，提升核安全治理能力，提高核设施安全水平，降低核安全风险，推进放射性污染防治，确保辐射环境质量保持良好，强化核辐射安全监管体系，消除核安全隐患。</w:t>
            </w:r>
          </w:p>
        </w:tc>
        <w:tc>
          <w:tcPr>
            <w:tcW w:w="806" w:type="pct"/>
            <w:tcBorders>
              <w:top w:val="single" w:color="auto" w:sz="4" w:space="0"/>
              <w:left w:val="single" w:color="auto" w:sz="4" w:space="0"/>
              <w:bottom w:val="single" w:color="auto" w:sz="4" w:space="0"/>
              <w:right w:val="single" w:color="auto" w:sz="4" w:space="0"/>
            </w:tcBorders>
            <w:vAlign w:val="center"/>
          </w:tcPr>
          <w:p w14:paraId="6208927F">
            <w:pPr>
              <w:pStyle w:val="248"/>
              <w:adjustRightInd w:val="0"/>
              <w:snapToGrid w:val="0"/>
              <w:spacing w:line="240" w:lineRule="auto"/>
              <w:ind w:firstLine="0" w:firstLineChars="0"/>
              <w:jc w:val="both"/>
              <w:rPr>
                <w:rFonts w:cs="Arial"/>
              </w:rPr>
            </w:pPr>
            <w:r>
              <w:rPr>
                <w:rFonts w:cs="Arial"/>
                <w:b/>
              </w:rPr>
              <w:t>相符</w:t>
            </w:r>
            <w:r>
              <w:rPr>
                <w:rFonts w:cs="Arial"/>
              </w:rPr>
              <w:t>。项目按要求设置风险防范措施</w:t>
            </w:r>
            <w:r>
              <w:rPr>
                <w:rFonts w:hint="eastAsia" w:cs="Arial"/>
              </w:rPr>
              <w:t>，编制突发环境事件应急预案；不涉及核污染。</w:t>
            </w:r>
          </w:p>
        </w:tc>
      </w:tr>
      <w:tr w14:paraId="12FCB415">
        <w:tblPrEx>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C55801E">
            <w:pPr>
              <w:widowControl/>
              <w:jc w:val="left"/>
              <w:rPr>
                <w:rFonts w:ascii="Arial" w:hAnsi="Arial" w:eastAsia="宋体" w:cs="Arial"/>
                <w:sz w:val="21"/>
                <w:szCs w:val="21"/>
                <w:highlight w:val="yellow"/>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720FA02">
            <w:pPr>
              <w:widowControl/>
              <w:jc w:val="left"/>
              <w:rPr>
                <w:rFonts w:ascii="Arial" w:hAnsi="Arial" w:eastAsia="宋体" w:cs="Arial"/>
                <w:sz w:val="21"/>
                <w:szCs w:val="21"/>
                <w:highlight w:val="yellow"/>
              </w:rPr>
            </w:pPr>
          </w:p>
        </w:tc>
        <w:tc>
          <w:tcPr>
            <w:tcW w:w="412" w:type="pct"/>
            <w:tcBorders>
              <w:top w:val="single" w:color="auto" w:sz="4" w:space="0"/>
              <w:left w:val="single" w:color="auto" w:sz="4" w:space="0"/>
              <w:bottom w:val="single" w:color="auto" w:sz="4" w:space="0"/>
              <w:right w:val="single" w:color="auto" w:sz="4" w:space="0"/>
            </w:tcBorders>
            <w:vAlign w:val="center"/>
          </w:tcPr>
          <w:p w14:paraId="3723E2FD">
            <w:pPr>
              <w:pStyle w:val="248"/>
              <w:adjustRightInd w:val="0"/>
              <w:snapToGrid w:val="0"/>
              <w:spacing w:line="240" w:lineRule="auto"/>
              <w:ind w:firstLine="0" w:firstLineChars="0"/>
              <w:rPr>
                <w:rFonts w:cs="Arial"/>
              </w:rPr>
            </w:pPr>
            <w:r>
              <w:rPr>
                <w:rFonts w:cs="Arial"/>
              </w:rPr>
              <w:t>资源开发利用效率要求</w:t>
            </w:r>
          </w:p>
        </w:tc>
        <w:tc>
          <w:tcPr>
            <w:tcW w:w="3208" w:type="pct"/>
            <w:tcBorders>
              <w:top w:val="single" w:color="auto" w:sz="4" w:space="0"/>
              <w:left w:val="single" w:color="auto" w:sz="4" w:space="0"/>
              <w:bottom w:val="single" w:color="auto" w:sz="4" w:space="0"/>
              <w:right w:val="single" w:color="auto" w:sz="4" w:space="0"/>
            </w:tcBorders>
            <w:vAlign w:val="center"/>
          </w:tcPr>
          <w:p w14:paraId="76C7C997">
            <w:pPr>
              <w:adjustRightInd w:val="0"/>
              <w:snapToGrid w:val="0"/>
              <w:rPr>
                <w:rFonts w:ascii="Arial" w:hAnsi="Arial" w:eastAsia="宋体" w:cs="Arial"/>
                <w:sz w:val="21"/>
                <w:szCs w:val="21"/>
              </w:rPr>
            </w:pPr>
            <w:r>
              <w:rPr>
                <w:rFonts w:hint="eastAsia" w:ascii="Arial" w:hAnsi="Arial" w:eastAsia="宋体" w:cs="Arial"/>
                <w:sz w:val="21"/>
                <w:szCs w:val="21"/>
              </w:rPr>
              <w:t>1．严格执行能耗“双控”，新建项目能源利用效率应达到国内先进水平。</w:t>
            </w:r>
          </w:p>
          <w:p w14:paraId="698DA335">
            <w:pPr>
              <w:adjustRightInd w:val="0"/>
              <w:snapToGrid w:val="0"/>
              <w:rPr>
                <w:rFonts w:ascii="Arial" w:hAnsi="Arial" w:eastAsia="宋体" w:cs="Arial"/>
                <w:sz w:val="21"/>
                <w:szCs w:val="21"/>
              </w:rPr>
            </w:pPr>
            <w:r>
              <w:rPr>
                <w:rFonts w:hint="eastAsia" w:ascii="Arial" w:hAnsi="Arial" w:eastAsia="宋体" w:cs="Arial"/>
                <w:sz w:val="21"/>
                <w:szCs w:val="21"/>
              </w:rPr>
              <w:t>2．实施水资源消耗总量和强度“双控”。</w:t>
            </w:r>
          </w:p>
        </w:tc>
        <w:tc>
          <w:tcPr>
            <w:tcW w:w="806" w:type="pct"/>
            <w:tcBorders>
              <w:top w:val="single" w:color="auto" w:sz="4" w:space="0"/>
              <w:left w:val="single" w:color="auto" w:sz="4" w:space="0"/>
              <w:bottom w:val="single" w:color="auto" w:sz="4" w:space="0"/>
              <w:right w:val="single" w:color="auto" w:sz="4" w:space="0"/>
            </w:tcBorders>
            <w:vAlign w:val="center"/>
          </w:tcPr>
          <w:p w14:paraId="79BB241B">
            <w:pPr>
              <w:pStyle w:val="248"/>
              <w:adjustRightInd w:val="0"/>
              <w:snapToGrid w:val="0"/>
              <w:spacing w:line="240" w:lineRule="auto"/>
              <w:ind w:firstLine="0" w:firstLineChars="0"/>
              <w:jc w:val="both"/>
              <w:rPr>
                <w:rFonts w:cs="Arial"/>
              </w:rPr>
            </w:pPr>
            <w:r>
              <w:rPr>
                <w:rFonts w:cs="Arial"/>
                <w:b/>
              </w:rPr>
              <w:t>相符</w:t>
            </w:r>
            <w:r>
              <w:rPr>
                <w:rFonts w:cs="Arial"/>
              </w:rPr>
              <w:t>。</w:t>
            </w:r>
          </w:p>
          <w:p w14:paraId="1B6529AE">
            <w:pPr>
              <w:pStyle w:val="248"/>
              <w:adjustRightInd w:val="0"/>
              <w:snapToGrid w:val="0"/>
              <w:spacing w:line="240" w:lineRule="auto"/>
              <w:ind w:firstLine="0" w:firstLineChars="0"/>
              <w:jc w:val="both"/>
              <w:rPr>
                <w:rFonts w:cs="Arial"/>
              </w:rPr>
            </w:pPr>
            <w:r>
              <w:rPr>
                <w:rFonts w:cs="Arial"/>
              </w:rPr>
              <w:t>项目</w:t>
            </w:r>
            <w:r>
              <w:rPr>
                <w:rFonts w:hint="eastAsia" w:cs="Arial"/>
              </w:rPr>
              <w:t>主要使用水和电能，水循环利用率高，能源利用效率可达到国内先进水平。</w:t>
            </w:r>
          </w:p>
        </w:tc>
      </w:tr>
    </w:tbl>
    <w:p w14:paraId="2C3B7783">
      <w:pPr>
        <w:spacing w:line="500" w:lineRule="exact"/>
        <w:ind w:firstLine="490" w:firstLineChars="200"/>
        <w:rPr>
          <w:rFonts w:ascii="Arial" w:hAnsi="Arial" w:eastAsia="宋体" w:cs="Arial"/>
          <w:spacing w:val="10"/>
          <w:sz w:val="24"/>
          <w:szCs w:val="24"/>
          <w:highlight w:val="yellow"/>
        </w:rPr>
        <w:sectPr>
          <w:footerReference r:id="rId15" w:type="default"/>
          <w:pgSz w:w="16840" w:h="11907" w:orient="landscape"/>
          <w:pgMar w:top="1157" w:right="1678" w:bottom="1406" w:left="1899" w:header="1174" w:footer="1026" w:gutter="567"/>
          <w:cols w:space="720" w:num="1"/>
          <w:docGrid w:type="linesAndChars" w:linePitch="421" w:charSpace="-3161"/>
        </w:sectPr>
      </w:pPr>
    </w:p>
    <w:p w14:paraId="10169DD2">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w:t>
      </w:r>
      <w:r>
        <w:rPr>
          <w:rFonts w:ascii="Arial" w:hAnsi="Arial" w:eastAsia="宋体" w:cs="Arial"/>
          <w:spacing w:val="10"/>
          <w:sz w:val="24"/>
          <w:szCs w:val="24"/>
          <w:u w:val="single"/>
        </w:rPr>
        <w:t>与</w:t>
      </w:r>
      <w:r>
        <w:rPr>
          <w:rFonts w:hint="eastAsia" w:ascii="Arial" w:hAnsi="Arial" w:eastAsia="宋体" w:cs="Arial"/>
          <w:spacing w:val="10"/>
          <w:sz w:val="24"/>
          <w:szCs w:val="24"/>
          <w:u w:val="single"/>
        </w:rPr>
        <w:t>钦州市生态环境分区管控动态更新成果</w:t>
      </w:r>
      <w:r>
        <w:rPr>
          <w:rFonts w:ascii="Arial" w:hAnsi="Arial" w:eastAsia="宋体" w:cs="Arial"/>
          <w:spacing w:val="10"/>
          <w:sz w:val="24"/>
          <w:szCs w:val="24"/>
          <w:u w:val="single"/>
        </w:rPr>
        <w:t>的相符性分析</w:t>
      </w:r>
    </w:p>
    <w:p w14:paraId="4EB12CBF">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kern w:val="0"/>
          <w:sz w:val="24"/>
          <w:szCs w:val="24"/>
          <w:u w:val="single"/>
        </w:rPr>
        <w:t>《钦州市生态环境局关于印发〈钦州市生态环境分区管控动态更新成果（2023版）〉的通知》</w:t>
      </w:r>
      <w:r>
        <w:rPr>
          <w:rFonts w:ascii="Arial" w:hAnsi="Arial" w:eastAsia="宋体" w:cs="Arial"/>
          <w:spacing w:val="10"/>
          <w:kern w:val="0"/>
          <w:sz w:val="24"/>
          <w:szCs w:val="24"/>
          <w:u w:val="single"/>
        </w:rPr>
        <w:t>，项目所在位置属</w:t>
      </w:r>
      <w:r>
        <w:rPr>
          <w:rFonts w:hint="eastAsia" w:ascii="Arial" w:hAnsi="Arial" w:eastAsia="宋体" w:cs="Arial"/>
          <w:spacing w:val="10"/>
          <w:kern w:val="0"/>
          <w:sz w:val="24"/>
          <w:szCs w:val="24"/>
          <w:u w:val="single"/>
        </w:rPr>
        <w:t>广西钦州石化产业园重点管控单元</w:t>
      </w:r>
      <w:r>
        <w:rPr>
          <w:rFonts w:ascii="Arial" w:hAnsi="Arial" w:eastAsia="宋体" w:cs="Arial"/>
          <w:spacing w:val="10"/>
          <w:kern w:val="0"/>
          <w:sz w:val="24"/>
          <w:szCs w:val="24"/>
          <w:u w:val="single"/>
        </w:rPr>
        <w:t>，</w:t>
      </w:r>
      <w:r>
        <w:rPr>
          <w:rFonts w:ascii="Arial" w:hAnsi="Arial" w:eastAsia="宋体" w:cs="Arial"/>
          <w:spacing w:val="10"/>
          <w:sz w:val="24"/>
          <w:szCs w:val="24"/>
          <w:u w:val="single"/>
        </w:rPr>
        <w:t>不涉及自然保护区、饮用水源保护区等生态保护目标，不在生态保护红线内，符合钦州市</w:t>
      </w:r>
      <w:r>
        <w:rPr>
          <w:rFonts w:hint="eastAsia" w:ascii="Arial" w:hAnsi="Arial" w:eastAsia="宋体" w:cs="Arial"/>
          <w:spacing w:val="10"/>
          <w:kern w:val="0"/>
          <w:sz w:val="24"/>
          <w:szCs w:val="24"/>
          <w:u w:val="single"/>
        </w:rPr>
        <w:t>生态环境分区管控</w:t>
      </w:r>
      <w:r>
        <w:rPr>
          <w:rFonts w:ascii="Arial" w:hAnsi="Arial" w:eastAsia="宋体" w:cs="Arial"/>
          <w:spacing w:val="10"/>
          <w:sz w:val="24"/>
          <w:szCs w:val="24"/>
          <w:u w:val="single"/>
        </w:rPr>
        <w:t>要求。</w:t>
      </w:r>
      <w:r>
        <w:rPr>
          <w:rFonts w:ascii="Arial" w:hAnsi="Arial" w:eastAsia="宋体" w:cs="Arial"/>
          <w:spacing w:val="10"/>
          <w:sz w:val="24"/>
          <w:szCs w:val="24"/>
        </w:rPr>
        <w:t>详见表1-</w:t>
      </w:r>
      <w:r>
        <w:rPr>
          <w:rFonts w:hint="eastAsia" w:ascii="Arial" w:hAnsi="Arial" w:eastAsia="宋体" w:cs="Arial"/>
          <w:spacing w:val="10"/>
          <w:sz w:val="24"/>
          <w:szCs w:val="24"/>
        </w:rPr>
        <w:t>39</w:t>
      </w:r>
      <w:r>
        <w:rPr>
          <w:rFonts w:ascii="Arial" w:hAnsi="Arial" w:eastAsia="宋体" w:cs="Arial"/>
          <w:spacing w:val="10"/>
          <w:sz w:val="24"/>
          <w:szCs w:val="24"/>
        </w:rPr>
        <w:t>、表1-</w:t>
      </w:r>
      <w:r>
        <w:rPr>
          <w:rFonts w:hint="eastAsia" w:ascii="Arial" w:hAnsi="Arial" w:eastAsia="宋体" w:cs="Arial"/>
          <w:spacing w:val="10"/>
          <w:sz w:val="24"/>
          <w:szCs w:val="24"/>
        </w:rPr>
        <w:t>40</w:t>
      </w:r>
      <w:r>
        <w:rPr>
          <w:rFonts w:ascii="Arial" w:hAnsi="Arial" w:eastAsia="宋体" w:cs="Arial"/>
          <w:spacing w:val="10"/>
          <w:sz w:val="24"/>
          <w:szCs w:val="24"/>
        </w:rPr>
        <w:t>。</w:t>
      </w:r>
    </w:p>
    <w:p w14:paraId="7E0E82B6">
      <w:pPr>
        <w:keepNext/>
        <w:keepLines/>
        <w:numPr>
          <w:ilvl w:val="0"/>
          <w:numId w:val="5"/>
        </w:numPr>
        <w:tabs>
          <w:tab w:val="left" w:pos="0"/>
        </w:tabs>
        <w:spacing w:line="500" w:lineRule="exact"/>
        <w:ind w:left="0" w:firstLine="0"/>
        <w:jc w:val="center"/>
        <w:outlineLvl w:val="4"/>
        <w:rPr>
          <w:rFonts w:ascii="Arial" w:hAnsi="Arial" w:eastAsia="宋体" w:cs="Arial"/>
          <w:b/>
          <w:sz w:val="24"/>
          <w:u w:val="single"/>
        </w:rPr>
      </w:pPr>
      <w:r>
        <w:rPr>
          <w:rFonts w:ascii="Arial" w:hAnsi="Arial" w:eastAsia="宋体" w:cs="Arial"/>
          <w:b/>
          <w:sz w:val="24"/>
          <w:u w:val="single"/>
        </w:rPr>
        <w:t>项目与钦州市生态环境</w:t>
      </w:r>
      <w:r>
        <w:rPr>
          <w:rFonts w:hint="eastAsia" w:ascii="Arial" w:hAnsi="Arial" w:eastAsia="宋体" w:cs="Arial"/>
          <w:b/>
          <w:sz w:val="24"/>
          <w:u w:val="single"/>
        </w:rPr>
        <w:t>分区管控动态更新成果的符合性分析</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5857"/>
        <w:gridCol w:w="2734"/>
      </w:tblGrid>
      <w:tr w14:paraId="04C0B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375" w:type="pct"/>
            <w:tcBorders>
              <w:top w:val="single" w:color="auto" w:sz="4" w:space="0"/>
              <w:left w:val="single" w:color="auto" w:sz="4" w:space="0"/>
              <w:bottom w:val="single" w:color="auto" w:sz="4" w:space="0"/>
              <w:right w:val="single" w:color="auto" w:sz="4" w:space="0"/>
            </w:tcBorders>
            <w:vAlign w:val="center"/>
          </w:tcPr>
          <w:p w14:paraId="0DB96C78">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管控</w:t>
            </w:r>
          </w:p>
          <w:p w14:paraId="1D82DDE2">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类别</w:t>
            </w:r>
          </w:p>
        </w:tc>
        <w:tc>
          <w:tcPr>
            <w:tcW w:w="3153" w:type="pct"/>
            <w:tcBorders>
              <w:top w:val="single" w:color="auto" w:sz="4" w:space="0"/>
              <w:left w:val="single" w:color="auto" w:sz="4" w:space="0"/>
              <w:bottom w:val="single" w:color="auto" w:sz="4" w:space="0"/>
              <w:right w:val="single" w:color="auto" w:sz="4" w:space="0"/>
            </w:tcBorders>
            <w:vAlign w:val="center"/>
          </w:tcPr>
          <w:p w14:paraId="4086F9F9">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生态环境准入及管控要求</w:t>
            </w:r>
          </w:p>
        </w:tc>
        <w:tc>
          <w:tcPr>
            <w:tcW w:w="1472" w:type="pct"/>
            <w:tcBorders>
              <w:top w:val="single" w:color="auto" w:sz="4" w:space="0"/>
              <w:left w:val="single" w:color="auto" w:sz="4" w:space="0"/>
              <w:bottom w:val="single" w:color="auto" w:sz="4" w:space="0"/>
              <w:right w:val="single" w:color="auto" w:sz="4" w:space="0"/>
            </w:tcBorders>
            <w:vAlign w:val="center"/>
          </w:tcPr>
          <w:p w14:paraId="15309B41">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项目情况</w:t>
            </w:r>
          </w:p>
        </w:tc>
      </w:tr>
      <w:tr w14:paraId="7C76E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restart"/>
            <w:tcBorders>
              <w:top w:val="single" w:color="auto" w:sz="4" w:space="0"/>
              <w:left w:val="single" w:color="auto" w:sz="4" w:space="0"/>
              <w:bottom w:val="single" w:color="auto" w:sz="4" w:space="0"/>
              <w:right w:val="single" w:color="auto" w:sz="4" w:space="0"/>
            </w:tcBorders>
            <w:vAlign w:val="center"/>
          </w:tcPr>
          <w:p w14:paraId="71766572">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空间布局约束 </w:t>
            </w:r>
          </w:p>
        </w:tc>
        <w:tc>
          <w:tcPr>
            <w:tcW w:w="3153" w:type="pct"/>
            <w:tcBorders>
              <w:top w:val="single" w:color="auto" w:sz="4" w:space="0"/>
              <w:left w:val="single" w:color="auto" w:sz="4" w:space="0"/>
              <w:bottom w:val="single" w:color="auto" w:sz="4" w:space="0"/>
              <w:right w:val="single" w:color="auto" w:sz="4" w:space="0"/>
            </w:tcBorders>
            <w:vAlign w:val="center"/>
          </w:tcPr>
          <w:p w14:paraId="661ECD22">
            <w:pPr>
              <w:widowControl/>
              <w:adjustRightInd w:val="0"/>
              <w:snapToGrid w:val="0"/>
              <w:jc w:val="left"/>
              <w:rPr>
                <w:rFonts w:ascii="Arial" w:hAnsi="Arial" w:eastAsia="宋体" w:cs="Arial"/>
                <w:kern w:val="0"/>
                <w:sz w:val="21"/>
                <w:szCs w:val="21"/>
                <w:u w:val="single"/>
              </w:rPr>
            </w:pPr>
            <w:r>
              <w:rPr>
                <w:rFonts w:hint="eastAsia" w:ascii="Arial" w:hAnsi="Arial" w:eastAsia="宋体" w:cs="Arial"/>
                <w:kern w:val="0"/>
                <w:sz w:val="21"/>
                <w:szCs w:val="21"/>
                <w:u w:val="single"/>
              </w:rPr>
              <w:t>1．自然保护地、水源保护区、公益林、天然林等具有法律地位，有管理条例、规定、办法的各类保护地，其管控要求原则上按照各类保护地的现行规定进行管理，重叠区域以最严格的要求进行管理。纳入生态保护红线管理的各类自然保护地，还应执行国家、自治区有关生态保护红线内各类开发活动的准入及管控规定和要求。</w:t>
            </w:r>
          </w:p>
        </w:tc>
        <w:tc>
          <w:tcPr>
            <w:tcW w:w="1472" w:type="pct"/>
            <w:tcBorders>
              <w:top w:val="single" w:color="auto" w:sz="4" w:space="0"/>
              <w:left w:val="single" w:color="auto" w:sz="4" w:space="0"/>
              <w:bottom w:val="single" w:color="auto" w:sz="4" w:space="0"/>
              <w:right w:val="single" w:color="auto" w:sz="4" w:space="0"/>
            </w:tcBorders>
            <w:vAlign w:val="center"/>
          </w:tcPr>
          <w:p w14:paraId="46B081F8">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相符。项目不涉及自然保护地、森林公园、湿地公园、水源保护区、风景名胜区、公益林、天然林等生态保护红线管理的各类自然保护地。</w:t>
            </w:r>
          </w:p>
        </w:tc>
      </w:tr>
      <w:tr w14:paraId="40D13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77A8A21B">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1B5FD947">
            <w:pPr>
              <w:widowControl/>
              <w:adjustRightInd w:val="0"/>
              <w:snapToGrid w:val="0"/>
              <w:jc w:val="left"/>
              <w:rPr>
                <w:rFonts w:ascii="Arial" w:hAnsi="Arial" w:eastAsia="宋体" w:cs="Arial"/>
                <w:kern w:val="0"/>
                <w:sz w:val="21"/>
                <w:szCs w:val="21"/>
                <w:u w:val="single"/>
              </w:rPr>
            </w:pPr>
            <w:r>
              <w:rPr>
                <w:rFonts w:ascii="Arial" w:hAnsi="Arial" w:eastAsia="宋体" w:cs="Arial"/>
                <w:kern w:val="0"/>
                <w:sz w:val="21"/>
                <w:szCs w:val="21"/>
                <w:u w:val="single"/>
              </w:rPr>
              <w:t>2.</w:t>
            </w:r>
            <w:r>
              <w:rPr>
                <w:rFonts w:hint="eastAsia"/>
                <w:u w:val="single"/>
              </w:rPr>
              <w:t xml:space="preserve"> </w:t>
            </w:r>
            <w:r>
              <w:rPr>
                <w:rFonts w:hint="eastAsia" w:ascii="Arial" w:hAnsi="Arial" w:eastAsia="宋体" w:cs="Arial"/>
                <w:kern w:val="0"/>
                <w:sz w:val="21"/>
                <w:szCs w:val="21"/>
                <w:u w:val="single"/>
              </w:rPr>
              <w:t>红树林依据《广西壮族自治区红树林资源保护条例》进行管理。开展红树林修复要依法依规进行，并符合红树林资源保护规划等相</w:t>
            </w:r>
          </w:p>
          <w:p w14:paraId="471F28D2">
            <w:pPr>
              <w:widowControl/>
              <w:adjustRightInd w:val="0"/>
              <w:snapToGrid w:val="0"/>
              <w:jc w:val="left"/>
              <w:rPr>
                <w:rFonts w:ascii="Arial" w:hAnsi="Arial" w:eastAsia="宋体" w:cs="Arial"/>
                <w:kern w:val="0"/>
                <w:sz w:val="21"/>
                <w:szCs w:val="21"/>
                <w:u w:val="single"/>
              </w:rPr>
            </w:pPr>
            <w:r>
              <w:rPr>
                <w:rFonts w:hint="eastAsia" w:ascii="Arial" w:hAnsi="Arial" w:eastAsia="宋体" w:cs="Arial"/>
                <w:kern w:val="0"/>
                <w:sz w:val="21"/>
                <w:szCs w:val="21"/>
                <w:u w:val="single"/>
              </w:rPr>
              <w:t>关要求。</w:t>
            </w:r>
            <w:r>
              <w:rPr>
                <w:rFonts w:ascii="Arial" w:hAnsi="Arial" w:eastAsia="宋体" w:cs="Arial"/>
                <w:kern w:val="0"/>
                <w:sz w:val="21"/>
                <w:szCs w:val="21"/>
                <w:u w:val="single"/>
              </w:rPr>
              <w:t xml:space="preserve"> </w:t>
            </w:r>
          </w:p>
        </w:tc>
        <w:tc>
          <w:tcPr>
            <w:tcW w:w="1472" w:type="pct"/>
            <w:tcBorders>
              <w:top w:val="single" w:color="auto" w:sz="4" w:space="0"/>
              <w:left w:val="single" w:color="auto" w:sz="4" w:space="0"/>
              <w:bottom w:val="single" w:color="auto" w:sz="4" w:space="0"/>
              <w:right w:val="single" w:color="auto" w:sz="4" w:space="0"/>
            </w:tcBorders>
            <w:vAlign w:val="center"/>
          </w:tcPr>
          <w:p w14:paraId="116DEAB1">
            <w:pPr>
              <w:adjustRightInd w:val="0"/>
              <w:snapToGrid w:val="0"/>
              <w:rPr>
                <w:rFonts w:ascii="Arial" w:hAnsi="Arial" w:eastAsia="宋体" w:cs="Arial"/>
                <w:sz w:val="21"/>
                <w:szCs w:val="21"/>
                <w:u w:val="single"/>
              </w:rPr>
            </w:pPr>
            <w:r>
              <w:rPr>
                <w:rFonts w:ascii="Arial" w:hAnsi="Arial" w:eastAsia="宋体" w:cs="Arial"/>
                <w:sz w:val="21"/>
                <w:szCs w:val="21"/>
                <w:u w:val="single"/>
              </w:rPr>
              <w:t>相符。项目用地范围不涉及红树林。</w:t>
            </w:r>
          </w:p>
        </w:tc>
      </w:tr>
      <w:tr w14:paraId="4FF4E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3587979F">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2DD0830F">
            <w:pPr>
              <w:widowControl/>
              <w:adjustRightInd w:val="0"/>
              <w:snapToGrid w:val="0"/>
              <w:jc w:val="left"/>
              <w:rPr>
                <w:rFonts w:ascii="Arial" w:hAnsi="Arial" w:eastAsia="宋体" w:cs="Arial"/>
                <w:kern w:val="0"/>
                <w:sz w:val="21"/>
                <w:szCs w:val="21"/>
                <w:u w:val="single"/>
              </w:rPr>
            </w:pPr>
            <w:r>
              <w:rPr>
                <w:rFonts w:ascii="Arial" w:hAnsi="Arial" w:eastAsia="宋体" w:cs="Arial"/>
                <w:kern w:val="0"/>
                <w:sz w:val="21"/>
                <w:szCs w:val="21"/>
                <w:u w:val="single"/>
              </w:rPr>
              <w:t>3.</w:t>
            </w:r>
            <w:r>
              <w:rPr>
                <w:rFonts w:hint="eastAsia"/>
                <w:u w:val="single"/>
              </w:rPr>
              <w:t xml:space="preserve"> </w:t>
            </w:r>
            <w:r>
              <w:rPr>
                <w:rFonts w:hint="eastAsia" w:ascii="Arial" w:hAnsi="Arial" w:eastAsia="宋体" w:cs="Arial"/>
                <w:kern w:val="0"/>
                <w:sz w:val="21"/>
                <w:szCs w:val="21"/>
                <w:u w:val="single"/>
              </w:rPr>
              <w:t>重要湿地依据《中华人民共和国湿地保护法》《国家湿地公园管理办法》《广西壮族自治区湿地保护条例》进行管理。</w:t>
            </w:r>
          </w:p>
        </w:tc>
        <w:tc>
          <w:tcPr>
            <w:tcW w:w="1472" w:type="pct"/>
            <w:tcBorders>
              <w:top w:val="single" w:color="auto" w:sz="4" w:space="0"/>
              <w:left w:val="single" w:color="auto" w:sz="4" w:space="0"/>
              <w:bottom w:val="single" w:color="auto" w:sz="4" w:space="0"/>
              <w:right w:val="single" w:color="auto" w:sz="4" w:space="0"/>
            </w:tcBorders>
            <w:vAlign w:val="center"/>
          </w:tcPr>
          <w:p w14:paraId="33409730">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相符。项目不涉及重要湿地。</w:t>
            </w:r>
          </w:p>
        </w:tc>
      </w:tr>
      <w:tr w14:paraId="302FF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0D7079B">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544B891E">
            <w:pPr>
              <w:adjustRightInd w:val="0"/>
              <w:snapToGrid w:val="0"/>
              <w:jc w:val="left"/>
              <w:rPr>
                <w:rFonts w:ascii="Arial" w:hAnsi="Arial" w:eastAsia="宋体" w:cs="Arial"/>
                <w:sz w:val="21"/>
                <w:szCs w:val="21"/>
                <w:u w:val="single"/>
              </w:rPr>
            </w:pPr>
            <w:r>
              <w:rPr>
                <w:rFonts w:ascii="Arial" w:hAnsi="Arial" w:eastAsia="宋体" w:cs="Arial"/>
                <w:sz w:val="21"/>
                <w:szCs w:val="21"/>
                <w:u w:val="single"/>
              </w:rPr>
              <w:t>4.</w:t>
            </w:r>
            <w:r>
              <w:rPr>
                <w:rFonts w:hint="eastAsia"/>
                <w:u w:val="single"/>
              </w:rPr>
              <w:t xml:space="preserve"> </w:t>
            </w:r>
            <w:r>
              <w:rPr>
                <w:rFonts w:hint="eastAsia" w:ascii="Arial" w:hAnsi="Arial" w:eastAsia="宋体" w:cs="Arial"/>
                <w:sz w:val="21"/>
                <w:szCs w:val="21"/>
                <w:u w:val="single"/>
              </w:rPr>
              <w:t>禁止城镇和工业发展占用自然保护区、湿地保护区及生态环境极为敏感地区，对已有的工业企业逐步搬迁，减缓城镇空间和生态空间叠加布局对生态空间的破坏和侵占程度。禁止在水源保护区、湿地、永久基本农田、陡坡区、地质灾害高易发区等地区建设和开发，严格限制自然保护区和湿地保护核心区人类活动；严格限制“两高”产业在十万大山、五皇山、六万大山、茅尾海等生物多样性保护区及水源涵养区等重点生态功能区的布局，鼓励发展生态保护型旅游业、生态农业，统筹推进特色农业和旅游业融合发展。</w:t>
            </w:r>
            <w:r>
              <w:rPr>
                <w:rFonts w:ascii="Arial" w:hAnsi="Arial" w:eastAsia="宋体" w:cs="Arial"/>
                <w:sz w:val="21"/>
                <w:szCs w:val="21"/>
                <w:u w:val="single"/>
              </w:rPr>
              <w:t xml:space="preserve"> </w:t>
            </w:r>
          </w:p>
        </w:tc>
        <w:tc>
          <w:tcPr>
            <w:tcW w:w="1472" w:type="pct"/>
            <w:tcBorders>
              <w:top w:val="single" w:color="auto" w:sz="4" w:space="0"/>
              <w:left w:val="single" w:color="auto" w:sz="4" w:space="0"/>
              <w:bottom w:val="single" w:color="auto" w:sz="4" w:space="0"/>
              <w:right w:val="single" w:color="auto" w:sz="4" w:space="0"/>
            </w:tcBorders>
            <w:vAlign w:val="center"/>
          </w:tcPr>
          <w:p w14:paraId="70D82C7F">
            <w:pPr>
              <w:adjustRightInd w:val="0"/>
              <w:snapToGrid w:val="0"/>
              <w:jc w:val="left"/>
              <w:rPr>
                <w:rFonts w:ascii="Arial" w:hAnsi="Arial" w:eastAsia="宋体" w:cs="Arial"/>
                <w:sz w:val="21"/>
                <w:szCs w:val="21"/>
                <w:u w:val="single"/>
              </w:rPr>
            </w:pPr>
            <w:r>
              <w:rPr>
                <w:rFonts w:ascii="Arial" w:hAnsi="Arial" w:eastAsia="宋体" w:cs="Arial"/>
                <w:sz w:val="21"/>
                <w:szCs w:val="21"/>
                <w:u w:val="single"/>
              </w:rPr>
              <w:t>相符。项目在现有厂区内建设，用地不占用自然保护区、湿地保护区及生态环境极为敏感地区；项目选址不在水源保护区、湿地、永久基本农田、陡坡区、地质灾害高易发区等地区；项目选址不在十万大山、五皇山、六万大山、茅尾海等生物多样性保护区及水源涵养区等重点生态功能。</w:t>
            </w:r>
          </w:p>
        </w:tc>
      </w:tr>
      <w:tr w14:paraId="6B8E7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3C62B7F1">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32377982">
            <w:pPr>
              <w:adjustRightInd w:val="0"/>
              <w:snapToGrid w:val="0"/>
              <w:jc w:val="left"/>
              <w:rPr>
                <w:rFonts w:ascii="Arial" w:hAnsi="Arial" w:eastAsia="宋体" w:cs="Arial"/>
                <w:sz w:val="21"/>
                <w:szCs w:val="21"/>
                <w:u w:val="single"/>
              </w:rPr>
            </w:pPr>
            <w:r>
              <w:rPr>
                <w:rFonts w:ascii="Arial" w:hAnsi="Arial" w:eastAsia="宋体" w:cs="Arial"/>
                <w:sz w:val="21"/>
                <w:szCs w:val="21"/>
                <w:u w:val="single"/>
              </w:rPr>
              <w:t>5.</w:t>
            </w:r>
            <w:r>
              <w:rPr>
                <w:rFonts w:hint="eastAsia"/>
                <w:u w:val="single"/>
              </w:rPr>
              <w:t xml:space="preserve"> </w:t>
            </w:r>
            <w:r>
              <w:rPr>
                <w:rFonts w:hint="eastAsia" w:ascii="Arial" w:hAnsi="Arial" w:eastAsia="宋体" w:cs="Arial"/>
                <w:sz w:val="21"/>
                <w:szCs w:val="21"/>
                <w:u w:val="single"/>
              </w:rPr>
              <w:t>以供给侧结构性改革为导向，坚持培育新增产能与淘汰落后产能相结合，严格审批，防止新增落后产能。严格控制“两高”和产能过剩行业新上项目，遏制高耗能产业无序发展和低水平扩张。</w:t>
            </w:r>
          </w:p>
        </w:tc>
        <w:tc>
          <w:tcPr>
            <w:tcW w:w="1472" w:type="pct"/>
            <w:tcBorders>
              <w:top w:val="single" w:color="auto" w:sz="4" w:space="0"/>
              <w:left w:val="single" w:color="auto" w:sz="4" w:space="0"/>
              <w:bottom w:val="single" w:color="auto" w:sz="4" w:space="0"/>
              <w:right w:val="single" w:color="auto" w:sz="4" w:space="0"/>
            </w:tcBorders>
            <w:vAlign w:val="center"/>
          </w:tcPr>
          <w:p w14:paraId="153D4BB8">
            <w:pPr>
              <w:adjustRightInd w:val="0"/>
              <w:snapToGrid w:val="0"/>
              <w:jc w:val="left"/>
              <w:rPr>
                <w:rFonts w:ascii="Arial" w:hAnsi="Arial" w:eastAsia="宋体" w:cs="Arial"/>
                <w:sz w:val="21"/>
                <w:szCs w:val="21"/>
                <w:u w:val="single"/>
              </w:rPr>
            </w:pPr>
            <w:r>
              <w:rPr>
                <w:rFonts w:ascii="Arial" w:hAnsi="Arial" w:eastAsia="宋体" w:cs="Arial"/>
                <w:sz w:val="21"/>
                <w:szCs w:val="21"/>
                <w:u w:val="single"/>
              </w:rPr>
              <w:t>相符。项目不属于产能过剩行业。</w:t>
            </w:r>
          </w:p>
        </w:tc>
      </w:tr>
      <w:tr w14:paraId="591C2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545E5AD1">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42CEDA78">
            <w:pPr>
              <w:adjustRightInd w:val="0"/>
              <w:snapToGrid w:val="0"/>
              <w:jc w:val="left"/>
              <w:rPr>
                <w:rFonts w:ascii="Arial" w:hAnsi="Arial" w:eastAsia="宋体" w:cs="Arial"/>
                <w:sz w:val="21"/>
                <w:szCs w:val="21"/>
                <w:u w:val="single"/>
              </w:rPr>
            </w:pPr>
            <w:r>
              <w:rPr>
                <w:rFonts w:ascii="Arial" w:hAnsi="Arial" w:eastAsia="宋体" w:cs="Arial"/>
                <w:sz w:val="21"/>
                <w:szCs w:val="21"/>
                <w:u w:val="single"/>
              </w:rPr>
              <w:t>6.</w:t>
            </w:r>
            <w:r>
              <w:rPr>
                <w:rFonts w:hint="eastAsia"/>
                <w:u w:val="single"/>
              </w:rPr>
              <w:t xml:space="preserve"> </w:t>
            </w:r>
            <w:r>
              <w:rPr>
                <w:rFonts w:hint="eastAsia" w:ascii="Arial" w:hAnsi="Arial" w:eastAsia="宋体" w:cs="Arial"/>
                <w:sz w:val="21"/>
                <w:szCs w:val="21"/>
                <w:u w:val="single"/>
              </w:rPr>
              <w:t>全市产业准入执行《广西壮族自治区人民政府办公厅关于印发北钦防一体化产业协同发展限制布局清单（工业类2021年版）的通知》（桂政办函〔2021〕4号）要求，限制布局炼铁、炼钢、铝冶炼、平板玻璃制造。</w:t>
            </w:r>
          </w:p>
        </w:tc>
        <w:tc>
          <w:tcPr>
            <w:tcW w:w="1472" w:type="pct"/>
            <w:tcBorders>
              <w:top w:val="single" w:color="auto" w:sz="4" w:space="0"/>
              <w:left w:val="single" w:color="auto" w:sz="4" w:space="0"/>
              <w:bottom w:val="single" w:color="auto" w:sz="4" w:space="0"/>
              <w:right w:val="single" w:color="auto" w:sz="4" w:space="0"/>
            </w:tcBorders>
            <w:vAlign w:val="center"/>
          </w:tcPr>
          <w:p w14:paraId="149FFF91">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相符。项目不属于其中的钦州市“全市”及“自贸区钦州港片区（钦州港经济技术开发区）”的限制产业。</w:t>
            </w:r>
          </w:p>
        </w:tc>
      </w:tr>
      <w:tr w14:paraId="0AA62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8E6E782">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3D4C337A">
            <w:pPr>
              <w:adjustRightInd w:val="0"/>
              <w:snapToGrid w:val="0"/>
              <w:jc w:val="left"/>
              <w:rPr>
                <w:rFonts w:ascii="Arial" w:hAnsi="Arial" w:eastAsia="宋体" w:cs="Arial"/>
                <w:sz w:val="21"/>
                <w:szCs w:val="21"/>
                <w:u w:val="single"/>
              </w:rPr>
            </w:pPr>
            <w:r>
              <w:rPr>
                <w:rFonts w:ascii="Arial" w:hAnsi="Arial" w:eastAsia="宋体" w:cs="Arial"/>
                <w:sz w:val="21"/>
                <w:szCs w:val="21"/>
                <w:u w:val="single"/>
              </w:rPr>
              <w:t>7.</w:t>
            </w:r>
            <w:r>
              <w:rPr>
                <w:rFonts w:hint="eastAsia"/>
                <w:u w:val="single"/>
              </w:rPr>
              <w:t xml:space="preserve"> </w:t>
            </w:r>
            <w:r>
              <w:rPr>
                <w:rFonts w:hint="eastAsia" w:ascii="Arial" w:hAnsi="Arial" w:eastAsia="宋体" w:cs="Arial"/>
                <w:sz w:val="21"/>
                <w:szCs w:val="21"/>
                <w:u w:val="single"/>
              </w:rPr>
              <w:t>新建、扩建的石化、化工、焦化项目应按照《关于加强高耗能、高排放建设项目生态环境源头防控的指导意见》布设在依法合规设</w:t>
            </w:r>
          </w:p>
          <w:p w14:paraId="2F5FB393">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立并经规划环评的产业园区。</w:t>
            </w:r>
          </w:p>
        </w:tc>
        <w:tc>
          <w:tcPr>
            <w:tcW w:w="1472" w:type="pct"/>
            <w:tcBorders>
              <w:top w:val="single" w:color="auto" w:sz="4" w:space="0"/>
              <w:left w:val="single" w:color="auto" w:sz="4" w:space="0"/>
              <w:bottom w:val="single" w:color="auto" w:sz="4" w:space="0"/>
              <w:right w:val="single" w:color="auto" w:sz="4" w:space="0"/>
            </w:tcBorders>
            <w:vAlign w:val="center"/>
          </w:tcPr>
          <w:p w14:paraId="0578E998">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相符。项目不属于“两高”项目。</w:t>
            </w:r>
          </w:p>
        </w:tc>
      </w:tr>
      <w:tr w14:paraId="29027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26E1D96">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7571D875">
            <w:pPr>
              <w:adjustRightInd w:val="0"/>
              <w:snapToGrid w:val="0"/>
              <w:jc w:val="left"/>
              <w:rPr>
                <w:rFonts w:ascii="Arial" w:hAnsi="Arial" w:eastAsia="宋体" w:cs="Arial"/>
                <w:sz w:val="21"/>
                <w:szCs w:val="21"/>
                <w:u w:val="single"/>
              </w:rPr>
            </w:pPr>
            <w:r>
              <w:rPr>
                <w:rFonts w:ascii="Arial" w:hAnsi="Arial" w:eastAsia="宋体" w:cs="Arial"/>
                <w:sz w:val="21"/>
                <w:szCs w:val="21"/>
                <w:u w:val="single"/>
              </w:rPr>
              <w:t>8.</w:t>
            </w:r>
            <w:r>
              <w:rPr>
                <w:rFonts w:hint="eastAsia"/>
                <w:u w:val="single"/>
              </w:rPr>
              <w:t xml:space="preserve"> </w:t>
            </w:r>
            <w:r>
              <w:rPr>
                <w:rFonts w:hint="eastAsia" w:ascii="Arial" w:hAnsi="Arial" w:eastAsia="宋体" w:cs="Arial"/>
                <w:sz w:val="21"/>
                <w:szCs w:val="21"/>
                <w:u w:val="single"/>
              </w:rPr>
              <w:t>禁止违法占用、损害自然岸线。海洋开发和海岸开发各类活动，大陆自然岸线保有率标准不低于 35%、无居民海岛岸线长度保有</w:t>
            </w:r>
          </w:p>
          <w:p w14:paraId="2B89FFF5">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率标准不低于 85%。</w:t>
            </w:r>
          </w:p>
        </w:tc>
        <w:tc>
          <w:tcPr>
            <w:tcW w:w="1472" w:type="pct"/>
            <w:tcBorders>
              <w:top w:val="single" w:color="auto" w:sz="4" w:space="0"/>
              <w:left w:val="single" w:color="auto" w:sz="4" w:space="0"/>
              <w:bottom w:val="single" w:color="auto" w:sz="4" w:space="0"/>
              <w:right w:val="single" w:color="auto" w:sz="4" w:space="0"/>
            </w:tcBorders>
            <w:vAlign w:val="center"/>
          </w:tcPr>
          <w:p w14:paraId="682D32CB">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相符。项目不涉及海洋开发和海岸开发。</w:t>
            </w:r>
          </w:p>
        </w:tc>
      </w:tr>
      <w:tr w14:paraId="66721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5EE6EEFF">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tcPr>
          <w:p w14:paraId="5C6B9BFB">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9. </w:t>
            </w:r>
            <w:r>
              <w:rPr>
                <w:rFonts w:hint="eastAsia" w:ascii="Arial" w:hAnsi="Arial" w:eastAsia="宋体" w:cs="Arial"/>
                <w:sz w:val="21"/>
                <w:szCs w:val="21"/>
                <w:u w:val="single"/>
              </w:rPr>
              <w:t>推进海域资源市场化配置，严控新增围填海造地，完善围填海总量管控，除国家重大战略项目外，全面停止新增围填海项目审批，</w:t>
            </w:r>
          </w:p>
          <w:p w14:paraId="274BC2E1">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全面清理非法占用海洋生态保护红线区域的围填海项目。</w:t>
            </w:r>
          </w:p>
        </w:tc>
        <w:tc>
          <w:tcPr>
            <w:tcW w:w="1472" w:type="pct"/>
            <w:tcBorders>
              <w:top w:val="single" w:color="auto" w:sz="4" w:space="0"/>
              <w:left w:val="single" w:color="auto" w:sz="4" w:space="0"/>
              <w:bottom w:val="single" w:color="auto" w:sz="4" w:space="0"/>
              <w:right w:val="single" w:color="auto" w:sz="4" w:space="0"/>
            </w:tcBorders>
            <w:vAlign w:val="center"/>
          </w:tcPr>
          <w:p w14:paraId="207FEB49">
            <w:pPr>
              <w:adjustRightInd w:val="0"/>
              <w:snapToGrid w:val="0"/>
              <w:rPr>
                <w:rFonts w:ascii="Arial" w:hAnsi="Arial" w:eastAsia="宋体" w:cs="Arial"/>
                <w:sz w:val="21"/>
                <w:szCs w:val="21"/>
                <w:u w:val="single"/>
              </w:rPr>
            </w:pPr>
            <w:r>
              <w:rPr>
                <w:rFonts w:ascii="Arial" w:hAnsi="Arial" w:eastAsia="宋体" w:cs="Arial"/>
                <w:sz w:val="21"/>
                <w:szCs w:val="21"/>
                <w:u w:val="single"/>
              </w:rPr>
              <w:t>相符。项目在现有厂区内建设，不新增用地，不涉及围填海造地。</w:t>
            </w:r>
          </w:p>
        </w:tc>
      </w:tr>
      <w:tr w14:paraId="0AD4B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41C9A134">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tcPr>
          <w:p w14:paraId="6F3A0E19">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10. </w:t>
            </w:r>
            <w:r>
              <w:rPr>
                <w:rFonts w:hint="eastAsia" w:ascii="Arial" w:hAnsi="Arial" w:eastAsia="宋体" w:cs="Arial"/>
                <w:sz w:val="21"/>
                <w:szCs w:val="21"/>
                <w:u w:val="single"/>
              </w:rPr>
              <w:t>科学论证在三娘湾海洋保护区、茅尾海中部海洋保护区及周边区域的开发利用活动，严格落实保护区管理要求。</w:t>
            </w:r>
          </w:p>
        </w:tc>
        <w:tc>
          <w:tcPr>
            <w:tcW w:w="1472" w:type="pct"/>
            <w:tcBorders>
              <w:top w:val="single" w:color="auto" w:sz="4" w:space="0"/>
              <w:left w:val="single" w:color="auto" w:sz="4" w:space="0"/>
              <w:bottom w:val="single" w:color="auto" w:sz="4" w:space="0"/>
              <w:right w:val="single" w:color="auto" w:sz="4" w:space="0"/>
            </w:tcBorders>
            <w:vAlign w:val="center"/>
          </w:tcPr>
          <w:p w14:paraId="213BB67E">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相符。项目不涉及三娘湾海洋保护区、茅尾海中部海洋保护区。</w:t>
            </w:r>
          </w:p>
        </w:tc>
      </w:tr>
      <w:tr w14:paraId="6892A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1DB0E721">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tcPr>
          <w:p w14:paraId="269FAAB1">
            <w:pPr>
              <w:adjustRightInd w:val="0"/>
              <w:snapToGrid w:val="0"/>
              <w:jc w:val="left"/>
              <w:rPr>
                <w:rFonts w:ascii="Arial" w:hAnsi="Arial" w:eastAsia="宋体" w:cs="Arial"/>
                <w:sz w:val="21"/>
                <w:szCs w:val="21"/>
                <w:u w:val="single"/>
              </w:rPr>
            </w:pPr>
            <w:r>
              <w:rPr>
                <w:rFonts w:ascii="Arial" w:hAnsi="Arial" w:eastAsia="宋体" w:cs="Arial"/>
                <w:sz w:val="21"/>
                <w:szCs w:val="21"/>
                <w:u w:val="single"/>
              </w:rPr>
              <w:t>11.</w:t>
            </w:r>
            <w:r>
              <w:rPr>
                <w:rFonts w:hint="eastAsia"/>
                <w:u w:val="single"/>
              </w:rPr>
              <w:t xml:space="preserve"> </w:t>
            </w:r>
            <w:r>
              <w:rPr>
                <w:rFonts w:hint="eastAsia" w:ascii="Arial" w:hAnsi="Arial" w:eastAsia="宋体" w:cs="Arial"/>
                <w:sz w:val="21"/>
                <w:szCs w:val="21"/>
                <w:u w:val="single"/>
              </w:rPr>
              <w:t>严格按照相关法律法规及国土空间规划等要求，规范设置和监管入海排污口。禁止采挖海砂、设置直排排污口及其他破坏河口生</w:t>
            </w:r>
          </w:p>
          <w:p w14:paraId="566409A3">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态功能的开发活动。</w:t>
            </w:r>
          </w:p>
        </w:tc>
        <w:tc>
          <w:tcPr>
            <w:tcW w:w="1472" w:type="pct"/>
            <w:tcBorders>
              <w:top w:val="single" w:color="auto" w:sz="4" w:space="0"/>
              <w:left w:val="single" w:color="auto" w:sz="4" w:space="0"/>
              <w:bottom w:val="single" w:color="auto" w:sz="4" w:space="0"/>
              <w:right w:val="single" w:color="auto" w:sz="4" w:space="0"/>
            </w:tcBorders>
            <w:vAlign w:val="center"/>
          </w:tcPr>
          <w:p w14:paraId="56D29B0A">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相符。项目不新增直排排污口。</w:t>
            </w:r>
          </w:p>
        </w:tc>
      </w:tr>
      <w:tr w14:paraId="4BAA3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5DFF93FF">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30DD906E">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12. </w:t>
            </w:r>
            <w:r>
              <w:rPr>
                <w:rFonts w:hint="eastAsia" w:ascii="Arial" w:hAnsi="Arial" w:eastAsia="宋体" w:cs="Arial"/>
                <w:sz w:val="21"/>
                <w:szCs w:val="21"/>
                <w:u w:val="single"/>
              </w:rPr>
              <w:t>严禁圈占沙滩和红树林，禁止红树林海岸带内陆采石等破坏性活动。对红树林、海草床、滨海湿地等重要海洋生态系统实行最严</w:t>
            </w:r>
          </w:p>
          <w:p w14:paraId="3EFA89ED">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格的保护措施，加强珍稀濒危物种及重要海洋生态系统的生境保护，加大滨海湿地的保护和修复力度。禁止红树林海岸带内陆采石等破坏性活动。禁止毁坏海岸防护设施、沿海防护林、沿海城镇园林和绿地。</w:t>
            </w:r>
          </w:p>
        </w:tc>
        <w:tc>
          <w:tcPr>
            <w:tcW w:w="1472" w:type="pct"/>
            <w:tcBorders>
              <w:top w:val="single" w:color="auto" w:sz="4" w:space="0"/>
              <w:left w:val="single" w:color="auto" w:sz="4" w:space="0"/>
              <w:bottom w:val="single" w:color="auto" w:sz="4" w:space="0"/>
              <w:right w:val="single" w:color="auto" w:sz="4" w:space="0"/>
            </w:tcBorders>
            <w:vAlign w:val="center"/>
          </w:tcPr>
          <w:p w14:paraId="2C8A2B41">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相符。项目不占用沙滩和红树林，不涉及红树林海岸带内陆采石等破坏性活动。</w:t>
            </w:r>
          </w:p>
        </w:tc>
      </w:tr>
      <w:tr w14:paraId="1E5D8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5BAD152C">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1A1230CC">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13. </w:t>
            </w:r>
            <w:r>
              <w:rPr>
                <w:rFonts w:hint="eastAsia" w:ascii="Arial" w:hAnsi="Arial" w:eastAsia="宋体" w:cs="Arial"/>
                <w:sz w:val="21"/>
                <w:szCs w:val="21"/>
                <w:u w:val="single"/>
              </w:rPr>
              <w:t>严格用途管制，坚持陆海统筹，严禁国家产业政策淘汰类、限制类项目在滨海湿地布局，实现山水林田湖草整体保护、系统修复、综合治理。</w:t>
            </w:r>
          </w:p>
        </w:tc>
        <w:tc>
          <w:tcPr>
            <w:tcW w:w="1472" w:type="pct"/>
            <w:tcBorders>
              <w:top w:val="single" w:color="auto" w:sz="4" w:space="0"/>
              <w:left w:val="single" w:color="auto" w:sz="4" w:space="0"/>
              <w:bottom w:val="single" w:color="auto" w:sz="4" w:space="0"/>
              <w:right w:val="single" w:color="auto" w:sz="4" w:space="0"/>
            </w:tcBorders>
            <w:vAlign w:val="center"/>
          </w:tcPr>
          <w:p w14:paraId="46E6C698">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相符。项目不涉及滨海湿地布局。</w:t>
            </w:r>
          </w:p>
        </w:tc>
      </w:tr>
      <w:tr w14:paraId="22ED8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662C2D5">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15D91590">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14．禁止在氮磷浓度严重超标的近岸海域新增或者扩大投饵、投肥海水养殖规模。</w:t>
            </w:r>
          </w:p>
        </w:tc>
        <w:tc>
          <w:tcPr>
            <w:tcW w:w="1472" w:type="pct"/>
            <w:tcBorders>
              <w:top w:val="single" w:color="auto" w:sz="4" w:space="0"/>
              <w:left w:val="single" w:color="auto" w:sz="4" w:space="0"/>
              <w:bottom w:val="single" w:color="auto" w:sz="4" w:space="0"/>
              <w:right w:val="single" w:color="auto" w:sz="4" w:space="0"/>
            </w:tcBorders>
            <w:vAlign w:val="center"/>
          </w:tcPr>
          <w:p w14:paraId="441CE0EC">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项目不属于养殖项目</w:t>
            </w:r>
          </w:p>
        </w:tc>
      </w:tr>
      <w:tr w14:paraId="786E5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E3906F6">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3CCCB241">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15．平陆运河沿线两岸原则上预留1公里作为生态廊道构建用地，将平陆运河沿线建设成为维护当地自然与文化特色的区域生物廊道、生境走廊、休闲绿道、风景廊道和绿色运河经济带等。</w:t>
            </w:r>
          </w:p>
        </w:tc>
        <w:tc>
          <w:tcPr>
            <w:tcW w:w="1472" w:type="pct"/>
            <w:tcBorders>
              <w:top w:val="single" w:color="auto" w:sz="4" w:space="0"/>
              <w:left w:val="single" w:color="auto" w:sz="4" w:space="0"/>
              <w:bottom w:val="single" w:color="auto" w:sz="4" w:space="0"/>
              <w:right w:val="single" w:color="auto" w:sz="4" w:space="0"/>
            </w:tcBorders>
            <w:vAlign w:val="center"/>
          </w:tcPr>
          <w:p w14:paraId="13DF4BDF">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项目部在平陆运河沿线两岸1公里范围</w:t>
            </w:r>
          </w:p>
        </w:tc>
      </w:tr>
      <w:tr w14:paraId="777B1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3D3913C1">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51B7AF0D">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16．禁止平陆运河建设违规占用环评批复范围之外的红树林，严格落实红树林生态恢复和管护要求。</w:t>
            </w:r>
          </w:p>
        </w:tc>
        <w:tc>
          <w:tcPr>
            <w:tcW w:w="1472" w:type="pct"/>
            <w:tcBorders>
              <w:top w:val="single" w:color="auto" w:sz="4" w:space="0"/>
              <w:left w:val="single" w:color="auto" w:sz="4" w:space="0"/>
              <w:bottom w:val="single" w:color="auto" w:sz="4" w:space="0"/>
              <w:right w:val="single" w:color="auto" w:sz="4" w:space="0"/>
            </w:tcBorders>
            <w:vAlign w:val="center"/>
          </w:tcPr>
          <w:p w14:paraId="0EC35AB2">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项目不属于平陆运河建设内容</w:t>
            </w:r>
          </w:p>
        </w:tc>
      </w:tr>
      <w:tr w14:paraId="24523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4757020B">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6FF63C3B">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17．除上述空间布局约束外，还应遵循国土空间规划管控要求。</w:t>
            </w:r>
          </w:p>
        </w:tc>
        <w:tc>
          <w:tcPr>
            <w:tcW w:w="1472" w:type="pct"/>
            <w:tcBorders>
              <w:top w:val="single" w:color="auto" w:sz="4" w:space="0"/>
              <w:left w:val="single" w:color="auto" w:sz="4" w:space="0"/>
              <w:bottom w:val="single" w:color="auto" w:sz="4" w:space="0"/>
              <w:right w:val="single" w:color="auto" w:sz="4" w:space="0"/>
            </w:tcBorders>
            <w:vAlign w:val="center"/>
          </w:tcPr>
          <w:p w14:paraId="54719446">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相符。项目在现有厂区内建设，厂区处于工业园区范围内</w:t>
            </w:r>
          </w:p>
        </w:tc>
      </w:tr>
      <w:tr w14:paraId="2AE58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restart"/>
            <w:tcBorders>
              <w:top w:val="single" w:color="auto" w:sz="4" w:space="0"/>
              <w:left w:val="single" w:color="auto" w:sz="4" w:space="0"/>
              <w:bottom w:val="single" w:color="auto" w:sz="4" w:space="0"/>
              <w:right w:val="single" w:color="auto" w:sz="4" w:space="0"/>
            </w:tcBorders>
            <w:vAlign w:val="center"/>
          </w:tcPr>
          <w:p w14:paraId="001D5304">
            <w:pPr>
              <w:adjustRightInd w:val="0"/>
              <w:snapToGrid w:val="0"/>
              <w:rPr>
                <w:rFonts w:ascii="Arial" w:hAnsi="Arial" w:eastAsia="宋体" w:cs="Arial"/>
                <w:sz w:val="21"/>
                <w:szCs w:val="21"/>
                <w:highlight w:val="yellow"/>
                <w:u w:val="single"/>
              </w:rPr>
            </w:pPr>
            <w:r>
              <w:rPr>
                <w:rFonts w:ascii="Arial" w:hAnsi="Arial" w:eastAsia="宋体" w:cs="Arial"/>
                <w:sz w:val="21"/>
                <w:szCs w:val="21"/>
                <w:u w:val="single"/>
              </w:rPr>
              <w:t xml:space="preserve">污染物排放管控 </w:t>
            </w:r>
          </w:p>
        </w:tc>
        <w:tc>
          <w:tcPr>
            <w:tcW w:w="3153" w:type="pct"/>
            <w:tcBorders>
              <w:top w:val="single" w:color="auto" w:sz="4" w:space="0"/>
              <w:left w:val="single" w:color="auto" w:sz="4" w:space="0"/>
              <w:bottom w:val="single" w:color="auto" w:sz="4" w:space="0"/>
              <w:right w:val="single" w:color="auto" w:sz="4" w:space="0"/>
            </w:tcBorders>
          </w:tcPr>
          <w:p w14:paraId="00066001">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 </w:t>
            </w:r>
            <w:r>
              <w:rPr>
                <w:rFonts w:hint="eastAsia" w:ascii="Arial" w:hAnsi="Arial" w:eastAsia="宋体" w:cs="Arial"/>
                <w:sz w:val="21"/>
                <w:szCs w:val="21"/>
                <w:u w:val="single"/>
              </w:rPr>
              <w:t>以有色金属、建材、制糖、石化化工、造纸等行业为重点，推进节能改造和污染物深度治理；新建、改建、扩建的制浆造纸、印染、</w:t>
            </w:r>
          </w:p>
          <w:p w14:paraId="0F9DA58A">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纺织、煤化工、石化、煤电等建设项目新增主要污染物排放应控制在区域总量的要求，确保环境质量达标。</w:t>
            </w:r>
          </w:p>
        </w:tc>
        <w:tc>
          <w:tcPr>
            <w:tcW w:w="1472" w:type="pct"/>
            <w:tcBorders>
              <w:top w:val="single" w:color="auto" w:sz="4" w:space="0"/>
              <w:left w:val="single" w:color="auto" w:sz="4" w:space="0"/>
              <w:bottom w:val="single" w:color="auto" w:sz="4" w:space="0"/>
              <w:right w:val="single" w:color="auto" w:sz="4" w:space="0"/>
            </w:tcBorders>
            <w:vAlign w:val="center"/>
          </w:tcPr>
          <w:p w14:paraId="2DE45033">
            <w:pPr>
              <w:adjustRightInd w:val="0"/>
              <w:snapToGrid w:val="0"/>
              <w:rPr>
                <w:rFonts w:ascii="Arial" w:hAnsi="Arial" w:eastAsia="宋体" w:cs="Arial"/>
                <w:sz w:val="21"/>
                <w:szCs w:val="21"/>
                <w:u w:val="single"/>
              </w:rPr>
            </w:pPr>
            <w:r>
              <w:rPr>
                <w:rFonts w:ascii="Arial" w:hAnsi="Arial" w:eastAsia="宋体" w:cs="Arial"/>
                <w:sz w:val="21"/>
                <w:szCs w:val="21"/>
                <w:u w:val="single"/>
              </w:rPr>
              <w:t>相符。项目污染物可达标排放，</w:t>
            </w:r>
            <w:r>
              <w:rPr>
                <w:rFonts w:hint="eastAsia" w:ascii="Arial" w:hAnsi="Arial" w:eastAsia="宋体" w:cs="Arial"/>
                <w:sz w:val="21"/>
                <w:szCs w:val="21"/>
                <w:u w:val="single"/>
              </w:rPr>
              <w:t>污染物排放符合总量控制的要求</w:t>
            </w:r>
            <w:r>
              <w:rPr>
                <w:rFonts w:ascii="Arial" w:hAnsi="Arial" w:eastAsia="宋体" w:cs="Arial"/>
                <w:sz w:val="21"/>
                <w:szCs w:val="21"/>
                <w:u w:val="single"/>
              </w:rPr>
              <w:t>。</w:t>
            </w:r>
          </w:p>
        </w:tc>
      </w:tr>
      <w:tr w14:paraId="5BC0C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427A8271">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tcPr>
          <w:p w14:paraId="70EB13E5">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2. </w:t>
            </w:r>
            <w:r>
              <w:rPr>
                <w:rFonts w:hint="eastAsia" w:ascii="Arial" w:hAnsi="Arial" w:eastAsia="宋体" w:cs="Arial"/>
                <w:sz w:val="21"/>
                <w:szCs w:val="21"/>
                <w:u w:val="single"/>
              </w:rPr>
              <w:t>持续加强工业集聚区污水集中处理设施建设，提高工业企业水循环利用率、污染物预处理能力及污染集中治理能力，补齐基础设施</w:t>
            </w:r>
          </w:p>
          <w:p w14:paraId="05673926">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短板，按照“清污分流、雨污分流”原则，实施废水分类收集、分质处理，入园企业在达到国家或地方规定的排放标准后接入园区集</w:t>
            </w:r>
          </w:p>
          <w:p w14:paraId="64080B25">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中式污水处理设施稳定达标排放；加快推进深海排放基础设施建设。</w:t>
            </w:r>
          </w:p>
        </w:tc>
        <w:tc>
          <w:tcPr>
            <w:tcW w:w="1472" w:type="pct"/>
            <w:tcBorders>
              <w:top w:val="single" w:color="auto" w:sz="4" w:space="0"/>
              <w:left w:val="single" w:color="auto" w:sz="4" w:space="0"/>
              <w:bottom w:val="single" w:color="auto" w:sz="4" w:space="0"/>
              <w:right w:val="single" w:color="auto" w:sz="4" w:space="0"/>
            </w:tcBorders>
            <w:vAlign w:val="center"/>
          </w:tcPr>
          <w:p w14:paraId="23A067F4">
            <w:pPr>
              <w:adjustRightInd w:val="0"/>
              <w:snapToGrid w:val="0"/>
              <w:jc w:val="left"/>
              <w:rPr>
                <w:rFonts w:ascii="Arial" w:hAnsi="Arial" w:eastAsia="宋体" w:cs="Arial"/>
                <w:sz w:val="21"/>
                <w:szCs w:val="21"/>
                <w:u w:val="single"/>
              </w:rPr>
            </w:pPr>
            <w:r>
              <w:rPr>
                <w:rFonts w:ascii="Arial" w:hAnsi="Arial" w:eastAsia="宋体" w:cs="Arial"/>
                <w:sz w:val="21"/>
                <w:szCs w:val="21"/>
                <w:u w:val="single"/>
              </w:rPr>
              <w:t>相符。项目按照“清污分流、雨污分流”原则，实施废水分类收集、分质处理。生活污水排入大榄坪污水处理厂</w:t>
            </w:r>
            <w:r>
              <w:rPr>
                <w:rFonts w:hint="eastAsia" w:ascii="Arial" w:hAnsi="Arial" w:eastAsia="宋体" w:cs="Arial"/>
                <w:sz w:val="21"/>
                <w:szCs w:val="21"/>
                <w:u w:val="single"/>
              </w:rPr>
              <w:t>；大榄坪污水处理厂升级改造前，项目生产废水经处理达标后依托该污水处理厂深海排放管道排入A2排污区，污水厂升级改造后，废水排入污水厂处理</w:t>
            </w:r>
            <w:r>
              <w:rPr>
                <w:rFonts w:ascii="Arial" w:hAnsi="Arial" w:eastAsia="宋体" w:cs="Arial"/>
                <w:sz w:val="21"/>
                <w:szCs w:val="21"/>
                <w:u w:val="single"/>
              </w:rPr>
              <w:t>。</w:t>
            </w:r>
          </w:p>
        </w:tc>
      </w:tr>
      <w:tr w14:paraId="579FD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DFEB60D">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tcPr>
          <w:p w14:paraId="7F9ACAF0">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3. </w:t>
            </w:r>
            <w:r>
              <w:rPr>
                <w:rFonts w:hint="eastAsia" w:ascii="Arial" w:hAnsi="Arial" w:eastAsia="宋体" w:cs="Arial"/>
                <w:sz w:val="21"/>
                <w:szCs w:val="21"/>
                <w:u w:val="single"/>
              </w:rPr>
              <w:t>开展陆海统筹流域治理，深化钦江、大风江、茅岭江、南流江等流域水环境综合整治，钦江、南流江流域切实开展截污、拔污、清</w:t>
            </w:r>
          </w:p>
          <w:p w14:paraId="70685E8F">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污、治污专项行动，以“控磷除氮”为重点，抓好养殖、生活、工业、农业面源等污染综合治理和河道生态修复，推进河流入海断面</w:t>
            </w:r>
          </w:p>
          <w:p w14:paraId="6F007A13">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水质持续改善，进一步削减入海河流总氮、总磷等的排海量。全面开展茅尾海、钦州湾等重点海域综合整治。严厉打击非法用海抽砂</w:t>
            </w:r>
          </w:p>
          <w:p w14:paraId="00581AED">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行为，优化茅尾海等海域养殖规划布局，整治非法养殖。完善钦州港区污水截流及雨污分流、海上水产养殖尾水整治。</w:t>
            </w:r>
          </w:p>
        </w:tc>
        <w:tc>
          <w:tcPr>
            <w:tcW w:w="1472" w:type="pct"/>
            <w:tcBorders>
              <w:top w:val="single" w:color="auto" w:sz="4" w:space="0"/>
              <w:left w:val="single" w:color="auto" w:sz="4" w:space="0"/>
              <w:bottom w:val="single" w:color="auto" w:sz="4" w:space="0"/>
              <w:right w:val="single" w:color="auto" w:sz="4" w:space="0"/>
            </w:tcBorders>
            <w:vAlign w:val="center"/>
          </w:tcPr>
          <w:p w14:paraId="4F0D987D">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相符。项目不涉及钦江、大风江、茅岭江、南流江等流域；项目不涉及海域养殖。</w:t>
            </w:r>
          </w:p>
        </w:tc>
      </w:tr>
      <w:tr w14:paraId="549F9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AB6F79C">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4845DC69">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4. </w:t>
            </w:r>
            <w:r>
              <w:rPr>
                <w:rFonts w:hint="eastAsia" w:ascii="Arial" w:hAnsi="Arial" w:eastAsia="宋体" w:cs="Arial"/>
                <w:sz w:val="21"/>
                <w:szCs w:val="21"/>
                <w:u w:val="single"/>
              </w:rPr>
              <w:t>完善城镇污水处理厂配套管网建设，加强乡镇级污水处理设施及配套管网建设和改造，实施雨污分流改造，持续开展入河排污口整</w:t>
            </w:r>
          </w:p>
          <w:p w14:paraId="3B257F96">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治，强化城镇生活污染源治理，建立健全生活污水收集、处理体系，推进城镇污水处理设施和服务向农村延伸，提高污水收集处理率，</w:t>
            </w:r>
          </w:p>
          <w:p w14:paraId="289C765C">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污水处理设施应增加脱氮、除磷工序。持续推进市、县级城市黑臭水体整治。</w:t>
            </w:r>
          </w:p>
        </w:tc>
        <w:tc>
          <w:tcPr>
            <w:tcW w:w="1472" w:type="pct"/>
            <w:tcBorders>
              <w:top w:val="single" w:color="auto" w:sz="4" w:space="0"/>
              <w:left w:val="single" w:color="auto" w:sz="4" w:space="0"/>
              <w:bottom w:val="single" w:color="auto" w:sz="4" w:space="0"/>
              <w:right w:val="single" w:color="auto" w:sz="4" w:space="0"/>
            </w:tcBorders>
            <w:vAlign w:val="center"/>
          </w:tcPr>
          <w:p w14:paraId="15756B3C">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14:paraId="763D4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AA4E5A1">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7309FE4B">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5. </w:t>
            </w:r>
            <w:r>
              <w:rPr>
                <w:rFonts w:hint="eastAsia" w:ascii="Arial" w:hAnsi="Arial" w:eastAsia="宋体" w:cs="Arial"/>
                <w:sz w:val="21"/>
                <w:szCs w:val="21"/>
                <w:u w:val="single"/>
              </w:rPr>
              <w:t>加强工业企业无组织废气排放控制，加强挥发性有机物（VOCs）排放企业综合防治，加快高效 VOCs 收集治理设施建设，大力提</w:t>
            </w:r>
          </w:p>
          <w:p w14:paraId="616D74E9">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升 VOCs 排放收集率、去除率和治理设施运行率。推进工业涂装、石化、包装印刷、木材加工、汽修等行业和油品储运销的 VOCs 综</w:t>
            </w:r>
          </w:p>
          <w:p w14:paraId="3F2AFD9D">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合治理。</w:t>
            </w:r>
          </w:p>
        </w:tc>
        <w:tc>
          <w:tcPr>
            <w:tcW w:w="1472" w:type="pct"/>
            <w:tcBorders>
              <w:top w:val="single" w:color="auto" w:sz="4" w:space="0"/>
              <w:left w:val="single" w:color="auto" w:sz="4" w:space="0"/>
              <w:bottom w:val="single" w:color="auto" w:sz="4" w:space="0"/>
              <w:right w:val="single" w:color="auto" w:sz="4" w:space="0"/>
            </w:tcBorders>
            <w:vAlign w:val="center"/>
          </w:tcPr>
          <w:p w14:paraId="6F504A3F">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项目不排放挥发性有机物。</w:t>
            </w:r>
          </w:p>
        </w:tc>
      </w:tr>
      <w:tr w14:paraId="19652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7E8FF47">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30961DF0">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6. </w:t>
            </w:r>
            <w:r>
              <w:rPr>
                <w:rFonts w:hint="eastAsia" w:ascii="Arial" w:hAnsi="Arial" w:eastAsia="宋体" w:cs="Arial"/>
                <w:sz w:val="21"/>
                <w:szCs w:val="21"/>
                <w:u w:val="single"/>
              </w:rPr>
              <w:t>完善园区集中供热设施，积极推广集中供热，有条件的工业聚集区建设集中喷涂工程中心，配备高效治污设施，替代企业独立喷涂</w:t>
            </w:r>
          </w:p>
          <w:p w14:paraId="0A073D2F">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工序。</w:t>
            </w:r>
          </w:p>
        </w:tc>
        <w:tc>
          <w:tcPr>
            <w:tcW w:w="1472" w:type="pct"/>
            <w:tcBorders>
              <w:top w:val="single" w:color="auto" w:sz="4" w:space="0"/>
              <w:left w:val="single" w:color="auto" w:sz="4" w:space="0"/>
              <w:bottom w:val="single" w:color="auto" w:sz="4" w:space="0"/>
              <w:right w:val="single" w:color="auto" w:sz="4" w:space="0"/>
            </w:tcBorders>
            <w:vAlign w:val="center"/>
          </w:tcPr>
          <w:p w14:paraId="52C2E201">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14:paraId="313FA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58A7D7AC">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3A09BA5A">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7. </w:t>
            </w:r>
            <w:r>
              <w:rPr>
                <w:rFonts w:hint="eastAsia" w:ascii="Arial" w:hAnsi="Arial" w:eastAsia="宋体" w:cs="Arial"/>
                <w:sz w:val="21"/>
                <w:szCs w:val="21"/>
                <w:u w:val="single"/>
              </w:rPr>
              <w:t>推进城镇生活垃圾处理基础设施扩能建设，强化渗滤液处理设施运营管理，防止渗滤液积存或违规倾倒垃圾渗滤液至市政管网；加</w:t>
            </w:r>
          </w:p>
          <w:p w14:paraId="223ED282">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强农村生活垃圾收运、处理体系建设，降低农村垃圾焚烧污染。</w:t>
            </w:r>
          </w:p>
        </w:tc>
        <w:tc>
          <w:tcPr>
            <w:tcW w:w="1472" w:type="pct"/>
            <w:tcBorders>
              <w:top w:val="single" w:color="auto" w:sz="4" w:space="0"/>
              <w:left w:val="single" w:color="auto" w:sz="4" w:space="0"/>
              <w:bottom w:val="single" w:color="auto" w:sz="4" w:space="0"/>
              <w:right w:val="single" w:color="auto" w:sz="4" w:space="0"/>
            </w:tcBorders>
            <w:vAlign w:val="center"/>
          </w:tcPr>
          <w:p w14:paraId="5F1E8776">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14:paraId="42424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7259B2A9">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7627EF0F">
            <w:pPr>
              <w:adjustRightInd w:val="0"/>
              <w:snapToGrid w:val="0"/>
              <w:jc w:val="left"/>
              <w:rPr>
                <w:rFonts w:ascii="Arial" w:hAnsi="Arial" w:eastAsia="宋体" w:cs="Arial"/>
                <w:sz w:val="21"/>
                <w:szCs w:val="21"/>
                <w:u w:val="single"/>
              </w:rPr>
            </w:pPr>
            <w:r>
              <w:rPr>
                <w:rFonts w:ascii="Arial" w:hAnsi="Arial" w:eastAsia="宋体" w:cs="Arial"/>
                <w:sz w:val="21"/>
                <w:szCs w:val="21"/>
                <w:u w:val="single"/>
              </w:rPr>
              <w:t>8. 新建、改建、扩建涉及重点重金属排放建设项目依照相关规定实行总量控制</w:t>
            </w:r>
            <w:r>
              <w:rPr>
                <w:rFonts w:hint="eastAsia" w:ascii="Arial" w:hAnsi="Arial" w:eastAsia="宋体" w:cs="Arial"/>
                <w:sz w:val="21"/>
                <w:szCs w:val="21"/>
                <w:u w:val="single"/>
              </w:rPr>
              <w:t>。</w:t>
            </w:r>
          </w:p>
        </w:tc>
        <w:tc>
          <w:tcPr>
            <w:tcW w:w="1472" w:type="pct"/>
            <w:tcBorders>
              <w:top w:val="single" w:color="auto" w:sz="4" w:space="0"/>
              <w:left w:val="single" w:color="auto" w:sz="4" w:space="0"/>
              <w:bottom w:val="single" w:color="auto" w:sz="4" w:space="0"/>
              <w:right w:val="single" w:color="auto" w:sz="4" w:space="0"/>
            </w:tcBorders>
            <w:vAlign w:val="center"/>
          </w:tcPr>
          <w:p w14:paraId="750B016A">
            <w:pPr>
              <w:adjustRightInd w:val="0"/>
              <w:snapToGrid w:val="0"/>
              <w:jc w:val="left"/>
              <w:rPr>
                <w:rFonts w:ascii="Arial" w:hAnsi="Arial" w:eastAsia="宋体" w:cs="Arial"/>
                <w:sz w:val="21"/>
                <w:szCs w:val="21"/>
                <w:u w:val="single"/>
              </w:rPr>
            </w:pPr>
            <w:r>
              <w:rPr>
                <w:rFonts w:ascii="Arial" w:hAnsi="Arial" w:eastAsia="宋体" w:cs="Arial"/>
                <w:sz w:val="21"/>
                <w:szCs w:val="21"/>
                <w:u w:val="single"/>
              </w:rPr>
              <w:t>项目不涉及重点重金属排放。</w:t>
            </w:r>
          </w:p>
        </w:tc>
      </w:tr>
      <w:tr w14:paraId="6CDDF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2A43A18">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71554BFC">
            <w:pPr>
              <w:adjustRightInd w:val="0"/>
              <w:snapToGrid w:val="0"/>
              <w:jc w:val="left"/>
              <w:rPr>
                <w:rFonts w:ascii="Arial" w:hAnsi="Arial" w:eastAsia="宋体" w:cs="Arial"/>
                <w:sz w:val="21"/>
                <w:szCs w:val="21"/>
                <w:u w:val="single"/>
              </w:rPr>
            </w:pPr>
            <w:r>
              <w:rPr>
                <w:rFonts w:ascii="Arial" w:hAnsi="Arial" w:eastAsia="宋体" w:cs="Arial"/>
                <w:sz w:val="21"/>
                <w:szCs w:val="21"/>
                <w:u w:val="single"/>
              </w:rPr>
              <w:t>9.</w:t>
            </w:r>
            <w:r>
              <w:rPr>
                <w:rFonts w:hint="eastAsia"/>
                <w:u w:val="single"/>
              </w:rPr>
              <w:t xml:space="preserve"> </w:t>
            </w:r>
            <w:r>
              <w:rPr>
                <w:rFonts w:hint="eastAsia" w:ascii="Arial" w:hAnsi="Arial" w:eastAsia="宋体" w:cs="Arial"/>
                <w:sz w:val="21"/>
                <w:szCs w:val="21"/>
                <w:u w:val="single"/>
              </w:rPr>
              <w:t>新建“两高”项目应采用先进适用的工艺技术和装备，单位产品物耗、能耗、水耗等达到清洁生产先进水平，依法制定并严格落实防治土壤与地下水污染的措施。按照《关于加强重点行业建设项目区域削减措施监督管理的通知》要求，依据区域环境质量改善目标，制定配套区域污染物削减方案，采取有效的污染物区域削减措施，腾出足够的环境容量。</w:t>
            </w:r>
          </w:p>
        </w:tc>
        <w:tc>
          <w:tcPr>
            <w:tcW w:w="1472" w:type="pct"/>
            <w:tcBorders>
              <w:top w:val="single" w:color="auto" w:sz="4" w:space="0"/>
              <w:left w:val="single" w:color="auto" w:sz="4" w:space="0"/>
              <w:bottom w:val="single" w:color="auto" w:sz="4" w:space="0"/>
              <w:right w:val="single" w:color="auto" w:sz="4" w:space="0"/>
            </w:tcBorders>
            <w:vAlign w:val="center"/>
          </w:tcPr>
          <w:p w14:paraId="7050F543">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相符。项目不属于“两高”项目。</w:t>
            </w:r>
          </w:p>
        </w:tc>
      </w:tr>
      <w:tr w14:paraId="35B0A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1BA779AE">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02F3C13C">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10. </w:t>
            </w:r>
            <w:r>
              <w:rPr>
                <w:rFonts w:hint="eastAsia" w:ascii="Arial" w:hAnsi="Arial" w:eastAsia="宋体" w:cs="Arial"/>
                <w:sz w:val="21"/>
                <w:szCs w:val="21"/>
                <w:u w:val="single"/>
              </w:rPr>
              <w:t>加强海陆联动，严格控制陆源污染物排放。规范入海排污口设置，全面清理非法或设置不合理的入海排污口。加快推进钦州港三</w:t>
            </w:r>
          </w:p>
          <w:p w14:paraId="5C48D70A">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墩作业区配套深海排放管道工程。</w:t>
            </w:r>
          </w:p>
        </w:tc>
        <w:tc>
          <w:tcPr>
            <w:tcW w:w="1472" w:type="pct"/>
            <w:tcBorders>
              <w:top w:val="single" w:color="auto" w:sz="4" w:space="0"/>
              <w:left w:val="single" w:color="auto" w:sz="4" w:space="0"/>
              <w:bottom w:val="single" w:color="auto" w:sz="4" w:space="0"/>
              <w:right w:val="single" w:color="auto" w:sz="4" w:space="0"/>
            </w:tcBorders>
            <w:vAlign w:val="center"/>
          </w:tcPr>
          <w:p w14:paraId="716E75F8">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相符。项目不新增入海排污口。</w:t>
            </w:r>
          </w:p>
        </w:tc>
      </w:tr>
      <w:tr w14:paraId="1AF34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55C51310">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04792A54">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11. </w:t>
            </w:r>
            <w:r>
              <w:rPr>
                <w:rFonts w:hint="eastAsia" w:ascii="Arial" w:hAnsi="Arial" w:eastAsia="宋体" w:cs="Arial"/>
                <w:sz w:val="21"/>
                <w:szCs w:val="21"/>
                <w:u w:val="single"/>
              </w:rPr>
              <w:t>积极治理船舶污染，推进与城市公共转运及处置设施的有效衔接，全面贯彻落实《广西北部湾港船舶污染物接收、转运、处置能</w:t>
            </w:r>
          </w:p>
          <w:p w14:paraId="37598001">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力评估及相应设施建设方案》，建设完善船舶污染物接收处理设施，提高含油污水、化学品洗舱水、船舶垃圾等接收处置能力及污染</w:t>
            </w:r>
          </w:p>
          <w:p w14:paraId="7F9075A2">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事故应急能力。加强钦州港码头和船舶修造厂等绿色岸电、环卫设施、污水处理设施建设使用。</w:t>
            </w:r>
          </w:p>
        </w:tc>
        <w:tc>
          <w:tcPr>
            <w:tcW w:w="1472" w:type="pct"/>
            <w:tcBorders>
              <w:top w:val="single" w:color="auto" w:sz="4" w:space="0"/>
              <w:left w:val="single" w:color="auto" w:sz="4" w:space="0"/>
              <w:bottom w:val="single" w:color="auto" w:sz="4" w:space="0"/>
              <w:right w:val="single" w:color="auto" w:sz="4" w:space="0"/>
            </w:tcBorders>
            <w:vAlign w:val="center"/>
          </w:tcPr>
          <w:p w14:paraId="63FDCECC">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项目不涉及船舶污染。</w:t>
            </w:r>
          </w:p>
        </w:tc>
      </w:tr>
      <w:tr w14:paraId="4A913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1FF0FE7">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3111B004">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12. </w:t>
            </w:r>
            <w:r>
              <w:rPr>
                <w:rFonts w:hint="eastAsia" w:ascii="Arial" w:hAnsi="Arial" w:eastAsia="宋体" w:cs="Arial"/>
                <w:sz w:val="21"/>
                <w:szCs w:val="21"/>
                <w:u w:val="single"/>
              </w:rPr>
              <w:t>加强港口码头环保基础设施处理和建设。完善堆场防风抑尘设施，降低扬尘污染。港区实行雨污分流和污水分质处理，防止堆场</w:t>
            </w:r>
          </w:p>
          <w:p w14:paraId="0E9A4B8C">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废水通过雨水沟直排入海，完善配套污水处理设施和管网建设，实现污水集中处理、回用或达标排放。</w:t>
            </w:r>
          </w:p>
        </w:tc>
        <w:tc>
          <w:tcPr>
            <w:tcW w:w="1472" w:type="pct"/>
            <w:tcBorders>
              <w:top w:val="single" w:color="auto" w:sz="4" w:space="0"/>
              <w:left w:val="single" w:color="auto" w:sz="4" w:space="0"/>
              <w:bottom w:val="single" w:color="auto" w:sz="4" w:space="0"/>
              <w:right w:val="single" w:color="auto" w:sz="4" w:space="0"/>
            </w:tcBorders>
            <w:vAlign w:val="center"/>
          </w:tcPr>
          <w:p w14:paraId="5050E5EB">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项目不涉及港口码头环保基础设施。</w:t>
            </w:r>
          </w:p>
        </w:tc>
      </w:tr>
      <w:tr w14:paraId="70DE2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40867039">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008C0A36">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13. </w:t>
            </w:r>
            <w:r>
              <w:rPr>
                <w:rFonts w:hint="eastAsia" w:ascii="Arial" w:hAnsi="Arial" w:eastAsia="宋体" w:cs="Arial"/>
                <w:sz w:val="21"/>
                <w:szCs w:val="21"/>
                <w:u w:val="single"/>
              </w:rPr>
              <w:t>污水离岸排放不得超过国家或者地方规定的排放标准。禁止向海域排放油类、酸液、碱液、剧毒废液和高、中水平放射性废水，</w:t>
            </w:r>
          </w:p>
          <w:p w14:paraId="17706262">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严格控制向海域排放含有不易降解的有机物和重金属的废水，排放低水平放射性废水应当符合国家放射性污染防治标准，其他污染物</w:t>
            </w:r>
          </w:p>
          <w:p w14:paraId="4D7AF5E3">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的排放应当符合国家或者地方标准。含病原体的医疗污水、生活污水和工业废水必须经过处理，符合国家有关排放标准后，方能排入</w:t>
            </w:r>
          </w:p>
          <w:p w14:paraId="0137D1DC">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海域。含有机物和营养物质的工业废水、生活污水，应当严格控制向海湾、半封闭海及其他自净能力较差的海域排放。向海域排放含</w:t>
            </w:r>
          </w:p>
          <w:p w14:paraId="557A8C2F">
            <w:pPr>
              <w:adjustRightInd w:val="0"/>
              <w:snapToGrid w:val="0"/>
              <w:jc w:val="left"/>
              <w:rPr>
                <w:rFonts w:ascii="Arial" w:hAnsi="Arial" w:eastAsia="宋体" w:cs="Arial"/>
                <w:sz w:val="21"/>
                <w:szCs w:val="21"/>
                <w:highlight w:val="yellow"/>
                <w:u w:val="single"/>
              </w:rPr>
            </w:pPr>
            <w:r>
              <w:rPr>
                <w:rFonts w:hint="eastAsia" w:ascii="Arial" w:hAnsi="Arial" w:eastAsia="宋体" w:cs="Arial"/>
                <w:sz w:val="21"/>
                <w:szCs w:val="21"/>
                <w:u w:val="single"/>
              </w:rPr>
              <w:t>热废水，必须采取有效措施，保证邻近渔业水域的水温符合国家海洋环境质量标准，避免热污染对水产资源的危害。</w:t>
            </w:r>
            <w:r>
              <w:rPr>
                <w:rFonts w:ascii="Arial" w:hAnsi="Arial" w:eastAsia="宋体" w:cs="Arial"/>
                <w:sz w:val="21"/>
                <w:szCs w:val="21"/>
                <w:u w:val="single"/>
              </w:rPr>
              <w:t xml:space="preserve"> </w:t>
            </w:r>
          </w:p>
        </w:tc>
        <w:tc>
          <w:tcPr>
            <w:tcW w:w="1472" w:type="pct"/>
            <w:tcBorders>
              <w:top w:val="single" w:color="auto" w:sz="4" w:space="0"/>
              <w:left w:val="single" w:color="auto" w:sz="4" w:space="0"/>
              <w:bottom w:val="single" w:color="auto" w:sz="4" w:space="0"/>
              <w:right w:val="single" w:color="auto" w:sz="4" w:space="0"/>
            </w:tcBorders>
            <w:vAlign w:val="center"/>
          </w:tcPr>
          <w:p w14:paraId="5960C7CE">
            <w:pPr>
              <w:adjustRightInd w:val="0"/>
              <w:snapToGrid w:val="0"/>
              <w:rPr>
                <w:rFonts w:ascii="Arial" w:hAnsi="Arial" w:eastAsia="宋体" w:cs="Arial"/>
                <w:sz w:val="21"/>
                <w:szCs w:val="21"/>
                <w:highlight w:val="yellow"/>
                <w:u w:val="single"/>
              </w:rPr>
            </w:pPr>
            <w:r>
              <w:rPr>
                <w:rFonts w:ascii="Arial" w:hAnsi="Arial" w:eastAsia="宋体" w:cs="Arial"/>
                <w:sz w:val="21"/>
                <w:szCs w:val="21"/>
                <w:u w:val="single"/>
              </w:rPr>
              <w:t>相符。</w:t>
            </w:r>
            <w:r>
              <w:rPr>
                <w:rFonts w:hint="eastAsia" w:ascii="Arial" w:hAnsi="Arial" w:eastAsia="宋体" w:cs="Arial"/>
                <w:sz w:val="21"/>
                <w:szCs w:val="21"/>
                <w:u w:val="single"/>
              </w:rPr>
              <w:t>大榄坪污水处理厂升级改造前，项目生产废水经处理达标后依托该污水处理厂深海排放管道排入A2排污区，污水厂升级改造后，废水排入污水厂处理。根据地表水环境影响评价，地表水环境影响可接受。</w:t>
            </w:r>
          </w:p>
        </w:tc>
      </w:tr>
      <w:tr w14:paraId="3BC1A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14D4A0C2">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3C27EC3F">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14. </w:t>
            </w:r>
            <w:r>
              <w:rPr>
                <w:rFonts w:hint="eastAsia" w:ascii="Arial" w:hAnsi="Arial" w:eastAsia="宋体" w:cs="Arial"/>
                <w:sz w:val="21"/>
                <w:szCs w:val="21"/>
                <w:u w:val="single"/>
              </w:rPr>
              <w:t>按照养殖容量控制养殖规模和养殖密度，发展健康、生态养殖方式，推动海水养殖环保设施建设，规范海水养殖尾水排放，加强</w:t>
            </w:r>
          </w:p>
          <w:p w14:paraId="629F0873">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对蓝圆鲹和二长棘鲷产卵场的保护。旅游休闲娱乐区的污水和垃圾应科学处置、达标排放，禁止直接排入海域。</w:t>
            </w:r>
          </w:p>
        </w:tc>
        <w:tc>
          <w:tcPr>
            <w:tcW w:w="1472" w:type="pct"/>
            <w:tcBorders>
              <w:top w:val="single" w:color="auto" w:sz="4" w:space="0"/>
              <w:left w:val="single" w:color="auto" w:sz="4" w:space="0"/>
              <w:bottom w:val="single" w:color="auto" w:sz="4" w:space="0"/>
              <w:right w:val="single" w:color="auto" w:sz="4" w:space="0"/>
            </w:tcBorders>
            <w:vAlign w:val="center"/>
          </w:tcPr>
          <w:p w14:paraId="0A13FC45">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14:paraId="48511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FB2E1E6">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5C90FC09">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15．推动造纸行业节能改造，加大有机废液、有机废物、生物质气体的回收利用，固体废物近零排放。</w:t>
            </w:r>
          </w:p>
        </w:tc>
        <w:tc>
          <w:tcPr>
            <w:tcW w:w="1472" w:type="pct"/>
            <w:tcBorders>
              <w:top w:val="single" w:color="auto" w:sz="4" w:space="0"/>
              <w:left w:val="single" w:color="auto" w:sz="4" w:space="0"/>
              <w:bottom w:val="single" w:color="auto" w:sz="4" w:space="0"/>
              <w:right w:val="single" w:color="auto" w:sz="4" w:space="0"/>
            </w:tcBorders>
            <w:vAlign w:val="center"/>
          </w:tcPr>
          <w:p w14:paraId="4121CA0C">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项目不属于造纸行业</w:t>
            </w:r>
          </w:p>
        </w:tc>
      </w:tr>
      <w:tr w14:paraId="749F1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restart"/>
            <w:tcBorders>
              <w:top w:val="single" w:color="auto" w:sz="4" w:space="0"/>
              <w:left w:val="single" w:color="auto" w:sz="4" w:space="0"/>
              <w:bottom w:val="single" w:color="auto" w:sz="4" w:space="0"/>
              <w:right w:val="single" w:color="auto" w:sz="4" w:space="0"/>
            </w:tcBorders>
            <w:vAlign w:val="center"/>
          </w:tcPr>
          <w:p w14:paraId="6977A9E5">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环境风险防控 </w:t>
            </w:r>
          </w:p>
        </w:tc>
        <w:tc>
          <w:tcPr>
            <w:tcW w:w="3153" w:type="pct"/>
            <w:tcBorders>
              <w:top w:val="single" w:color="auto" w:sz="4" w:space="0"/>
              <w:left w:val="single" w:color="auto" w:sz="4" w:space="0"/>
              <w:bottom w:val="single" w:color="auto" w:sz="4" w:space="0"/>
              <w:right w:val="single" w:color="auto" w:sz="4" w:space="0"/>
            </w:tcBorders>
            <w:vAlign w:val="center"/>
          </w:tcPr>
          <w:p w14:paraId="2EBD94C1">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 </w:t>
            </w:r>
            <w:r>
              <w:rPr>
                <w:rFonts w:hint="eastAsia" w:ascii="Arial" w:hAnsi="Arial" w:eastAsia="宋体" w:cs="Arial"/>
                <w:sz w:val="21"/>
                <w:szCs w:val="21"/>
                <w:u w:val="single"/>
              </w:rPr>
              <w:t>强化环境风险源精准化管理，健全企业突发环境事件风险评估制度，动态更新重点环境风险源管理目录清单，建立信息齐全、数据</w:t>
            </w:r>
          </w:p>
          <w:p w14:paraId="3A006C6E">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准确的风险源及敏感保护目标的数据库，准确掌握重点环境风险源分布情况，重点加强较大及以上风险等级风险源的环境风险防范和</w:t>
            </w:r>
          </w:p>
          <w:p w14:paraId="3D4C9A44">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应急预警管理。</w:t>
            </w:r>
          </w:p>
        </w:tc>
        <w:tc>
          <w:tcPr>
            <w:tcW w:w="1472" w:type="pct"/>
            <w:tcBorders>
              <w:top w:val="single" w:color="auto" w:sz="4" w:space="0"/>
              <w:left w:val="single" w:color="auto" w:sz="4" w:space="0"/>
              <w:bottom w:val="single" w:color="auto" w:sz="4" w:space="0"/>
              <w:right w:val="single" w:color="auto" w:sz="4" w:space="0"/>
            </w:tcBorders>
            <w:vAlign w:val="center"/>
          </w:tcPr>
          <w:p w14:paraId="3EC70888">
            <w:pPr>
              <w:adjustRightInd w:val="0"/>
              <w:snapToGrid w:val="0"/>
              <w:rPr>
                <w:rFonts w:ascii="Arial" w:hAnsi="Arial" w:eastAsia="宋体" w:cs="Arial"/>
                <w:sz w:val="21"/>
                <w:szCs w:val="21"/>
                <w:u w:val="single"/>
              </w:rPr>
            </w:pPr>
            <w:r>
              <w:rPr>
                <w:rFonts w:ascii="Arial" w:hAnsi="Arial" w:eastAsia="宋体" w:cs="Arial"/>
                <w:bCs/>
                <w:sz w:val="21"/>
                <w:szCs w:val="21"/>
                <w:u w:val="single"/>
              </w:rPr>
              <w:t>本</w:t>
            </w:r>
            <w:r>
              <w:rPr>
                <w:rFonts w:hint="eastAsia" w:ascii="Arial" w:hAnsi="Arial" w:eastAsia="宋体" w:cs="Arial"/>
                <w:bCs/>
                <w:sz w:val="21"/>
                <w:szCs w:val="21"/>
                <w:u w:val="single"/>
              </w:rPr>
              <w:t>报告</w:t>
            </w:r>
            <w:r>
              <w:rPr>
                <w:rFonts w:ascii="Arial" w:hAnsi="Arial" w:eastAsia="宋体" w:cs="Arial"/>
                <w:bCs/>
                <w:sz w:val="21"/>
                <w:szCs w:val="21"/>
                <w:u w:val="single"/>
              </w:rPr>
              <w:t>已要求项目编制突发环境事件应急预案并在当地行政主管部门备案，并与园区环境事件应急预案进行联动。</w:t>
            </w:r>
          </w:p>
        </w:tc>
      </w:tr>
      <w:tr w14:paraId="3CB41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173AA385">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3F9FE2D5">
            <w:pPr>
              <w:adjustRightInd w:val="0"/>
              <w:snapToGrid w:val="0"/>
              <w:jc w:val="left"/>
              <w:rPr>
                <w:rFonts w:ascii="Arial" w:hAnsi="Arial" w:eastAsia="宋体" w:cs="Arial"/>
                <w:sz w:val="21"/>
                <w:szCs w:val="21"/>
                <w:u w:val="single"/>
              </w:rPr>
            </w:pPr>
            <w:r>
              <w:rPr>
                <w:rFonts w:ascii="Arial" w:hAnsi="Arial" w:eastAsia="宋体" w:cs="Arial"/>
                <w:sz w:val="21"/>
                <w:szCs w:val="21"/>
                <w:u w:val="single"/>
              </w:rPr>
              <w:t>2. 选择涉重涉危企业、化工园区、集中式饮用水水源地等重要区域开展突发环境事件风险、环境健康风险评估，实施分类分级风险管控。</w:t>
            </w:r>
          </w:p>
        </w:tc>
        <w:tc>
          <w:tcPr>
            <w:tcW w:w="1472" w:type="pct"/>
            <w:tcBorders>
              <w:top w:val="single" w:color="auto" w:sz="4" w:space="0"/>
              <w:left w:val="single" w:color="auto" w:sz="4" w:space="0"/>
              <w:bottom w:val="single" w:color="auto" w:sz="4" w:space="0"/>
              <w:right w:val="single" w:color="auto" w:sz="4" w:space="0"/>
            </w:tcBorders>
            <w:vAlign w:val="center"/>
          </w:tcPr>
          <w:p w14:paraId="73CDE416">
            <w:pPr>
              <w:adjustRightInd w:val="0"/>
              <w:snapToGrid w:val="0"/>
              <w:rPr>
                <w:rFonts w:ascii="Arial" w:hAnsi="Arial" w:eastAsia="宋体" w:cs="Arial"/>
                <w:sz w:val="21"/>
                <w:szCs w:val="21"/>
                <w:u w:val="single"/>
              </w:rPr>
            </w:pPr>
            <w:r>
              <w:rPr>
                <w:rFonts w:ascii="Arial" w:hAnsi="Arial" w:eastAsia="宋体" w:cs="Arial"/>
                <w:sz w:val="21"/>
                <w:szCs w:val="21"/>
                <w:u w:val="single"/>
              </w:rPr>
              <w:t>项目所在园区已经开展突发环境事件风险等风险管控措施。</w:t>
            </w:r>
          </w:p>
        </w:tc>
      </w:tr>
      <w:tr w14:paraId="18340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2EE0ACF">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612194BE">
            <w:pPr>
              <w:adjustRightInd w:val="0"/>
              <w:snapToGrid w:val="0"/>
              <w:jc w:val="left"/>
              <w:rPr>
                <w:rFonts w:ascii="Arial" w:hAnsi="Arial" w:eastAsia="宋体" w:cs="Arial"/>
                <w:sz w:val="21"/>
                <w:szCs w:val="21"/>
                <w:u w:val="single"/>
              </w:rPr>
            </w:pPr>
            <w:r>
              <w:rPr>
                <w:rFonts w:ascii="Arial" w:hAnsi="Arial" w:eastAsia="宋体" w:cs="Arial"/>
                <w:sz w:val="21"/>
                <w:szCs w:val="21"/>
                <w:u w:val="single"/>
              </w:rPr>
              <w:t>3. 强化饮用水水源地环境风险排查，加强环境风险源管理，建立健 全饮用水水源地应急预案。推进县级及以上饮用水水源地自动监测 预警能力建设，实施水源地应急防护工程。加强大气污染防治协作和部门联动，建立健全大气污染联防联控机制。建立健全用地土壤 环境联动监督管理机制，实行联动监管</w:t>
            </w:r>
            <w:r>
              <w:rPr>
                <w:rFonts w:hint="eastAsia" w:ascii="Arial" w:hAnsi="Arial" w:eastAsia="宋体" w:cs="Arial"/>
                <w:sz w:val="21"/>
                <w:szCs w:val="21"/>
                <w:u w:val="single"/>
              </w:rPr>
              <w:t>。</w:t>
            </w:r>
          </w:p>
        </w:tc>
        <w:tc>
          <w:tcPr>
            <w:tcW w:w="1472" w:type="pct"/>
            <w:tcBorders>
              <w:top w:val="single" w:color="auto" w:sz="4" w:space="0"/>
              <w:left w:val="single" w:color="auto" w:sz="4" w:space="0"/>
              <w:bottom w:val="single" w:color="auto" w:sz="4" w:space="0"/>
              <w:right w:val="single" w:color="auto" w:sz="4" w:space="0"/>
            </w:tcBorders>
            <w:vAlign w:val="center"/>
          </w:tcPr>
          <w:p w14:paraId="60542C4A">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项目不涉及饮用水源地。</w:t>
            </w:r>
          </w:p>
        </w:tc>
      </w:tr>
      <w:tr w14:paraId="55742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1F48F620">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4D16EFE8">
            <w:pPr>
              <w:adjustRightInd w:val="0"/>
              <w:snapToGrid w:val="0"/>
              <w:jc w:val="left"/>
              <w:rPr>
                <w:rFonts w:ascii="Arial" w:hAnsi="Arial" w:eastAsia="宋体" w:cs="Arial"/>
                <w:sz w:val="21"/>
                <w:szCs w:val="21"/>
                <w:u w:val="single"/>
              </w:rPr>
            </w:pPr>
            <w:r>
              <w:rPr>
                <w:rFonts w:ascii="Arial" w:hAnsi="Arial" w:eastAsia="宋体" w:cs="Arial"/>
                <w:sz w:val="21"/>
                <w:szCs w:val="21"/>
                <w:u w:val="single"/>
              </w:rPr>
              <w:t>4. 严格建设项目环境准入，永久基本农田集中区域禁止规划新建可能造成土壤污染的建设项目；新（改、扩）建涉有毒有害物质可能造成防控土壤污染的建设项目，提出并落实污染防治要求。</w:t>
            </w:r>
          </w:p>
        </w:tc>
        <w:tc>
          <w:tcPr>
            <w:tcW w:w="1472" w:type="pct"/>
            <w:tcBorders>
              <w:top w:val="single" w:color="auto" w:sz="4" w:space="0"/>
              <w:left w:val="single" w:color="auto" w:sz="4" w:space="0"/>
              <w:bottom w:val="single" w:color="auto" w:sz="4" w:space="0"/>
              <w:right w:val="single" w:color="auto" w:sz="4" w:space="0"/>
            </w:tcBorders>
            <w:vAlign w:val="center"/>
          </w:tcPr>
          <w:p w14:paraId="03FE7FA9">
            <w:pPr>
              <w:adjustRightInd w:val="0"/>
              <w:snapToGrid w:val="0"/>
              <w:rPr>
                <w:rFonts w:ascii="Arial" w:hAnsi="Arial" w:eastAsia="宋体" w:cs="Arial"/>
                <w:sz w:val="21"/>
                <w:szCs w:val="21"/>
                <w:u w:val="single"/>
              </w:rPr>
            </w:pPr>
            <w:r>
              <w:rPr>
                <w:rFonts w:ascii="Arial" w:hAnsi="Arial" w:eastAsia="宋体" w:cs="Arial"/>
                <w:sz w:val="21"/>
                <w:szCs w:val="21"/>
                <w:u w:val="single"/>
              </w:rPr>
              <w:t>相符。项目选址不在永久基本农田集中区域，项目建成前后对土壤定期展开现状监测、跟踪监测，采取严格的环保措施，加强土壤污染风险管控。</w:t>
            </w:r>
          </w:p>
        </w:tc>
      </w:tr>
      <w:tr w14:paraId="0A8E2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49C8000">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62E7708A">
            <w:pPr>
              <w:adjustRightInd w:val="0"/>
              <w:snapToGrid w:val="0"/>
              <w:jc w:val="left"/>
              <w:rPr>
                <w:rFonts w:ascii="Arial" w:hAnsi="Arial" w:eastAsia="宋体" w:cs="Arial"/>
                <w:sz w:val="21"/>
                <w:szCs w:val="21"/>
                <w:u w:val="single"/>
              </w:rPr>
            </w:pPr>
            <w:r>
              <w:rPr>
                <w:rFonts w:ascii="Arial" w:hAnsi="Arial" w:eastAsia="宋体" w:cs="Arial"/>
                <w:sz w:val="21"/>
                <w:szCs w:val="21"/>
                <w:u w:val="single"/>
              </w:rPr>
              <w:t>5. 强化全域矿产资源开发监管，建立矿石生态环境动态监测网络，禁止矿山废水、废气、废渣的无序排放。</w:t>
            </w:r>
          </w:p>
        </w:tc>
        <w:tc>
          <w:tcPr>
            <w:tcW w:w="1472" w:type="pct"/>
            <w:tcBorders>
              <w:top w:val="single" w:color="auto" w:sz="4" w:space="0"/>
              <w:left w:val="single" w:color="auto" w:sz="4" w:space="0"/>
              <w:bottom w:val="single" w:color="auto" w:sz="4" w:space="0"/>
              <w:right w:val="single" w:color="auto" w:sz="4" w:space="0"/>
            </w:tcBorders>
            <w:vAlign w:val="center"/>
          </w:tcPr>
          <w:p w14:paraId="63D55797">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14:paraId="700AA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A69E23E">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1B191109">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6. </w:t>
            </w:r>
            <w:r>
              <w:rPr>
                <w:rFonts w:hint="eastAsia" w:ascii="Arial" w:hAnsi="Arial" w:eastAsia="宋体" w:cs="Arial"/>
                <w:sz w:val="21"/>
                <w:szCs w:val="21"/>
                <w:u w:val="single"/>
              </w:rPr>
              <w:t>严格管控涉海重大工程环境风险，全面排查陆域环境风险源、海上溢油、危险化学品泄漏等环境风险隐患，健全完善海上溢油及危</w:t>
            </w:r>
          </w:p>
          <w:p w14:paraId="2BAF35B3">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化品泄漏污染环境应急响应机制，完善分类分级的海上应急监测及处置预案，在石化基地、危化品储存区等邻近海域部署快速监测能</w:t>
            </w:r>
          </w:p>
          <w:p w14:paraId="7BABED0A">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力和应急处置物资设备。建立健全海洋生态补偿和生态损害赔偿制度。</w:t>
            </w:r>
            <w:r>
              <w:rPr>
                <w:rFonts w:ascii="Arial" w:hAnsi="Arial" w:eastAsia="宋体" w:cs="Arial"/>
                <w:sz w:val="21"/>
                <w:szCs w:val="21"/>
                <w:u w:val="single"/>
              </w:rPr>
              <w:t xml:space="preserve"> </w:t>
            </w:r>
          </w:p>
        </w:tc>
        <w:tc>
          <w:tcPr>
            <w:tcW w:w="1472" w:type="pct"/>
            <w:tcBorders>
              <w:top w:val="single" w:color="auto" w:sz="4" w:space="0"/>
              <w:left w:val="single" w:color="auto" w:sz="4" w:space="0"/>
              <w:bottom w:val="single" w:color="auto" w:sz="4" w:space="0"/>
              <w:right w:val="single" w:color="auto" w:sz="4" w:space="0"/>
            </w:tcBorders>
            <w:vAlign w:val="center"/>
          </w:tcPr>
          <w:p w14:paraId="0DB190BF">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14:paraId="06810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413BE93">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6482FBEB">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7. </w:t>
            </w:r>
            <w:r>
              <w:rPr>
                <w:rFonts w:hint="eastAsia" w:ascii="Arial" w:hAnsi="Arial" w:eastAsia="宋体" w:cs="Arial"/>
                <w:sz w:val="21"/>
                <w:szCs w:val="21"/>
                <w:u w:val="single"/>
              </w:rPr>
              <w:t>强化沿海工业园区和沿海石油、石化、化工、冶炼及危化品储运等企业的环境风险防控，加强企业和园区环境应急物资储备。</w:t>
            </w:r>
          </w:p>
        </w:tc>
        <w:tc>
          <w:tcPr>
            <w:tcW w:w="1472" w:type="pct"/>
            <w:tcBorders>
              <w:top w:val="single" w:color="auto" w:sz="4" w:space="0"/>
              <w:left w:val="single" w:color="auto" w:sz="4" w:space="0"/>
              <w:bottom w:val="single" w:color="auto" w:sz="4" w:space="0"/>
              <w:right w:val="single" w:color="auto" w:sz="4" w:space="0"/>
            </w:tcBorders>
            <w:vAlign w:val="center"/>
          </w:tcPr>
          <w:p w14:paraId="10076381">
            <w:pPr>
              <w:adjustRightInd w:val="0"/>
              <w:snapToGrid w:val="0"/>
              <w:rPr>
                <w:rFonts w:ascii="Arial" w:hAnsi="Arial" w:eastAsia="宋体" w:cs="Arial"/>
                <w:sz w:val="21"/>
                <w:szCs w:val="21"/>
                <w:u w:val="single"/>
              </w:rPr>
            </w:pPr>
            <w:r>
              <w:rPr>
                <w:rFonts w:ascii="Arial" w:hAnsi="Arial" w:eastAsia="宋体" w:cs="Arial"/>
                <w:sz w:val="21"/>
                <w:szCs w:val="21"/>
                <w:u w:val="single"/>
              </w:rPr>
              <w:t>相符。已要求建设单位在建设后期编制</w:t>
            </w:r>
            <w:r>
              <w:rPr>
                <w:rFonts w:ascii="Arial" w:hAnsi="Arial" w:eastAsia="宋体" w:cs="Arial"/>
                <w:bCs/>
                <w:sz w:val="21"/>
                <w:szCs w:val="21"/>
                <w:u w:val="single"/>
              </w:rPr>
              <w:t>应急预案</w:t>
            </w:r>
            <w:r>
              <w:rPr>
                <w:rFonts w:ascii="Arial" w:hAnsi="Arial" w:eastAsia="宋体" w:cs="Arial"/>
                <w:sz w:val="21"/>
                <w:szCs w:val="21"/>
                <w:u w:val="single"/>
              </w:rPr>
              <w:t>。</w:t>
            </w:r>
          </w:p>
        </w:tc>
      </w:tr>
      <w:tr w14:paraId="16132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1FC4A7C7">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56653C28">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8. </w:t>
            </w:r>
            <w:r>
              <w:rPr>
                <w:rFonts w:hint="eastAsia" w:ascii="Arial" w:hAnsi="Arial" w:eastAsia="宋体" w:cs="Arial"/>
                <w:sz w:val="21"/>
                <w:szCs w:val="21"/>
                <w:u w:val="single"/>
              </w:rPr>
              <w:t>加强海洋生态灾害应急体系建设，强化海水浴场、电厂取排水口等海洋生态灾害高风险区域的联防联控。</w:t>
            </w:r>
          </w:p>
        </w:tc>
        <w:tc>
          <w:tcPr>
            <w:tcW w:w="1472" w:type="pct"/>
            <w:tcBorders>
              <w:top w:val="single" w:color="auto" w:sz="4" w:space="0"/>
              <w:left w:val="single" w:color="auto" w:sz="4" w:space="0"/>
              <w:bottom w:val="single" w:color="auto" w:sz="4" w:space="0"/>
              <w:right w:val="single" w:color="auto" w:sz="4" w:space="0"/>
            </w:tcBorders>
            <w:vAlign w:val="center"/>
          </w:tcPr>
          <w:p w14:paraId="04C1B396">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14:paraId="3A02D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77EFB644">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4230429E">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9．加强倾倒区使用状况监督管理工作，做好废弃物向海洋倾倒活动的风险管控。</w:t>
            </w:r>
          </w:p>
        </w:tc>
        <w:tc>
          <w:tcPr>
            <w:tcW w:w="1472" w:type="pct"/>
            <w:tcBorders>
              <w:top w:val="single" w:color="auto" w:sz="4" w:space="0"/>
              <w:left w:val="single" w:color="auto" w:sz="4" w:space="0"/>
              <w:bottom w:val="single" w:color="auto" w:sz="4" w:space="0"/>
              <w:right w:val="single" w:color="auto" w:sz="4" w:space="0"/>
            </w:tcBorders>
            <w:vAlign w:val="center"/>
          </w:tcPr>
          <w:p w14:paraId="5078813D">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相符。项目各类固废分类妥善处置，不向外倾倒。</w:t>
            </w:r>
          </w:p>
        </w:tc>
      </w:tr>
      <w:tr w14:paraId="1CB17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restart"/>
            <w:tcBorders>
              <w:top w:val="single" w:color="auto" w:sz="4" w:space="0"/>
              <w:left w:val="single" w:color="auto" w:sz="4" w:space="0"/>
              <w:bottom w:val="single" w:color="auto" w:sz="4" w:space="0"/>
              <w:right w:val="single" w:color="auto" w:sz="4" w:space="0"/>
            </w:tcBorders>
            <w:vAlign w:val="center"/>
          </w:tcPr>
          <w:p w14:paraId="195F0EC5">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资源开发利用效率要求 </w:t>
            </w:r>
          </w:p>
        </w:tc>
        <w:tc>
          <w:tcPr>
            <w:tcW w:w="3153" w:type="pct"/>
            <w:tcBorders>
              <w:top w:val="single" w:color="auto" w:sz="4" w:space="0"/>
              <w:left w:val="single" w:color="auto" w:sz="4" w:space="0"/>
              <w:bottom w:val="single" w:color="auto" w:sz="4" w:space="0"/>
              <w:right w:val="single" w:color="auto" w:sz="4" w:space="0"/>
            </w:tcBorders>
            <w:vAlign w:val="center"/>
          </w:tcPr>
          <w:p w14:paraId="6EC669CA">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 </w:t>
            </w:r>
            <w:r>
              <w:rPr>
                <w:rFonts w:hint="eastAsia" w:ascii="Arial" w:hAnsi="Arial" w:eastAsia="宋体" w:cs="Arial"/>
                <w:sz w:val="21"/>
                <w:szCs w:val="21"/>
                <w:u w:val="single"/>
              </w:rPr>
              <w:t>能源：强化和完善能耗双控制度，严格落实《石化化工重点行业严格能效约束推动节能降碳行动方案（2021－2025 年）》等有关</w:t>
            </w:r>
          </w:p>
          <w:p w14:paraId="4CD55C80">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要求。推进绿色清洁能源生产，推进重点行业和重要领域绿色化改造，打造绿色园区和绿色企业，促进工业园区、产业集聚区低碳循</w:t>
            </w:r>
          </w:p>
          <w:p w14:paraId="304A668E">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环化发展。推动能源多元清洁发展，培育发展清洁能源和可再生能源产业，锂电池制造及风电、光伏发电、生物质发电等清洁能源产</w:t>
            </w:r>
          </w:p>
          <w:p w14:paraId="314D1713">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业发展要符合相应能源规划和国土空间规划的要求；推动能源清洁低碳安全高效利用，合理控制煤炭消费。落实国家碳排放达峰行动</w:t>
            </w:r>
          </w:p>
          <w:p w14:paraId="757B044C">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方案，降低碳排放强度。海洋石油勘探开发严格执行《中华人民共和国海洋石油勘探开发环境保护管理条例》要求。</w:t>
            </w:r>
          </w:p>
        </w:tc>
        <w:tc>
          <w:tcPr>
            <w:tcW w:w="1472" w:type="pct"/>
            <w:tcBorders>
              <w:top w:val="single" w:color="auto" w:sz="4" w:space="0"/>
              <w:left w:val="single" w:color="auto" w:sz="4" w:space="0"/>
              <w:bottom w:val="single" w:color="auto" w:sz="4" w:space="0"/>
              <w:right w:val="single" w:color="auto" w:sz="4" w:space="0"/>
            </w:tcBorders>
            <w:vAlign w:val="center"/>
          </w:tcPr>
          <w:p w14:paraId="0B60D3FE">
            <w:pPr>
              <w:adjustRightInd w:val="0"/>
              <w:snapToGrid w:val="0"/>
              <w:rPr>
                <w:rFonts w:ascii="Arial" w:hAnsi="Arial" w:eastAsia="宋体" w:cs="Arial"/>
                <w:sz w:val="21"/>
                <w:szCs w:val="21"/>
                <w:u w:val="single"/>
              </w:rPr>
            </w:pPr>
            <w:r>
              <w:rPr>
                <w:rFonts w:ascii="Arial" w:hAnsi="Arial" w:eastAsia="宋体" w:cs="Arial"/>
                <w:sz w:val="21"/>
                <w:szCs w:val="21"/>
                <w:u w:val="single"/>
              </w:rPr>
              <w:t>项目不属于列入自治区“两高”项目目录范围的项目。</w:t>
            </w:r>
          </w:p>
        </w:tc>
      </w:tr>
      <w:tr w14:paraId="518ED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05B76C3">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2FE7F853">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2. </w:t>
            </w:r>
            <w:r>
              <w:rPr>
                <w:rFonts w:hint="eastAsia" w:ascii="Arial" w:hAnsi="Arial" w:eastAsia="宋体" w:cs="Arial"/>
                <w:sz w:val="21"/>
                <w:szCs w:val="21"/>
                <w:u w:val="single"/>
              </w:rPr>
              <w:t>土地资源：严格执行自治区下达的土地资源利用总量及效率管控指标要求。突出节约集约用海原则，合理控制规模，优化空间布局，</w:t>
            </w:r>
          </w:p>
          <w:p w14:paraId="712E47B0">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提高海域空间资源的整体使用效能。</w:t>
            </w:r>
          </w:p>
        </w:tc>
        <w:tc>
          <w:tcPr>
            <w:tcW w:w="1472" w:type="pct"/>
            <w:tcBorders>
              <w:top w:val="single" w:color="auto" w:sz="4" w:space="0"/>
              <w:left w:val="single" w:color="auto" w:sz="4" w:space="0"/>
              <w:bottom w:val="single" w:color="auto" w:sz="4" w:space="0"/>
              <w:right w:val="single" w:color="auto" w:sz="4" w:space="0"/>
            </w:tcBorders>
            <w:vAlign w:val="center"/>
          </w:tcPr>
          <w:p w14:paraId="17812C57">
            <w:pPr>
              <w:adjustRightInd w:val="0"/>
              <w:snapToGrid w:val="0"/>
              <w:rPr>
                <w:rFonts w:ascii="Arial" w:hAnsi="Arial" w:eastAsia="宋体" w:cs="Arial"/>
                <w:sz w:val="21"/>
                <w:szCs w:val="21"/>
                <w:u w:val="single"/>
              </w:rPr>
            </w:pPr>
            <w:r>
              <w:rPr>
                <w:rFonts w:ascii="Arial" w:hAnsi="Arial" w:eastAsia="宋体" w:cs="Arial"/>
                <w:sz w:val="21"/>
                <w:szCs w:val="21"/>
                <w:u w:val="single"/>
              </w:rPr>
              <w:t>相符。项目不新增用地。</w:t>
            </w:r>
          </w:p>
        </w:tc>
      </w:tr>
      <w:tr w14:paraId="6C2A2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F5E7E42">
            <w:pPr>
              <w:widowControl/>
              <w:jc w:val="left"/>
              <w:rPr>
                <w:rFonts w:ascii="Arial" w:hAnsi="Arial" w:eastAsia="宋体" w:cs="Arial"/>
                <w:sz w:val="21"/>
                <w:szCs w:val="21"/>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171EA071">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3. </w:t>
            </w:r>
            <w:r>
              <w:rPr>
                <w:rFonts w:hint="eastAsia" w:ascii="Arial" w:hAnsi="Arial" w:eastAsia="宋体" w:cs="Arial"/>
                <w:sz w:val="21"/>
                <w:szCs w:val="21"/>
                <w:u w:val="single"/>
              </w:rPr>
              <w:t>水资源：实行水资源消耗总量和强度“双控”。严格用水总量指标管理，健全市、县（区、市）行政区域的用水总量控制指标体系，</w:t>
            </w:r>
          </w:p>
          <w:p w14:paraId="0CFDC946">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统筹生活、生产、生态用水，大力推进农业、工业、城镇等领域节水。严格按照地下水开发利用控制目标控制地下水资源开采。</w:t>
            </w:r>
          </w:p>
        </w:tc>
        <w:tc>
          <w:tcPr>
            <w:tcW w:w="1472" w:type="pct"/>
            <w:tcBorders>
              <w:top w:val="single" w:color="auto" w:sz="4" w:space="0"/>
              <w:left w:val="single" w:color="auto" w:sz="4" w:space="0"/>
              <w:bottom w:val="single" w:color="auto" w:sz="4" w:space="0"/>
              <w:right w:val="single" w:color="auto" w:sz="4" w:space="0"/>
            </w:tcBorders>
            <w:vAlign w:val="center"/>
          </w:tcPr>
          <w:p w14:paraId="7F1F3B12">
            <w:pPr>
              <w:adjustRightInd w:val="0"/>
              <w:snapToGrid w:val="0"/>
              <w:rPr>
                <w:rFonts w:ascii="Arial" w:hAnsi="Arial" w:eastAsia="宋体" w:cs="Arial"/>
                <w:sz w:val="21"/>
                <w:szCs w:val="21"/>
                <w:u w:val="single"/>
              </w:rPr>
            </w:pPr>
            <w:r>
              <w:rPr>
                <w:rFonts w:ascii="Arial" w:hAnsi="Arial" w:eastAsia="宋体" w:cs="Arial"/>
                <w:sz w:val="21"/>
                <w:szCs w:val="21"/>
                <w:u w:val="single"/>
              </w:rPr>
              <w:t>相符。项目采取相应的节水措施，最大限度的利用循环水，符合相关要求。</w:t>
            </w:r>
          </w:p>
        </w:tc>
      </w:tr>
      <w:tr w14:paraId="0F62E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934B290">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65B30711">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4. </w:t>
            </w:r>
            <w:r>
              <w:rPr>
                <w:rFonts w:hint="eastAsia" w:ascii="Arial" w:hAnsi="Arial" w:eastAsia="宋体" w:cs="Arial"/>
                <w:sz w:val="21"/>
                <w:szCs w:val="21"/>
                <w:u w:val="single"/>
              </w:rPr>
              <w:t>矿产资源：严格执行自治区、市、县矿产资源总体规划中关于矿产资源开发管控和矿产资源高效利用的目标要求。着力提高资源开</w:t>
            </w:r>
          </w:p>
          <w:p w14:paraId="2022FF54">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发利用效率和水平，加快发展绿色矿业；严格控制海岸线的开发建设、海砂开采活动，规范海砂资源开发秩序，加强海岸沙滩保护和</w:t>
            </w:r>
          </w:p>
          <w:p w14:paraId="79A9FF6C">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矿产开发监管。</w:t>
            </w:r>
          </w:p>
        </w:tc>
        <w:tc>
          <w:tcPr>
            <w:tcW w:w="1472" w:type="pct"/>
            <w:tcBorders>
              <w:top w:val="single" w:color="auto" w:sz="4" w:space="0"/>
              <w:left w:val="single" w:color="auto" w:sz="4" w:space="0"/>
              <w:bottom w:val="single" w:color="auto" w:sz="4" w:space="0"/>
              <w:right w:val="single" w:color="auto" w:sz="4" w:space="0"/>
            </w:tcBorders>
            <w:vAlign w:val="center"/>
          </w:tcPr>
          <w:p w14:paraId="09B8BE22">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14:paraId="6174D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0545E71">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1FB7F0D7">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5. </w:t>
            </w:r>
            <w:r>
              <w:rPr>
                <w:rFonts w:hint="eastAsia" w:ascii="Arial" w:hAnsi="Arial" w:eastAsia="宋体" w:cs="Arial"/>
                <w:sz w:val="21"/>
                <w:szCs w:val="21"/>
                <w:u w:val="single"/>
              </w:rPr>
              <w:t>岸线资源：涉及岸线开发的工业区和港区，应严格按照相关规划实施，控制占用岸线长度，提高岸线利用效率，加强污染防治。建</w:t>
            </w:r>
          </w:p>
          <w:p w14:paraId="6E9F2F23">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设海岸生态隔离带；有效保护自然岸线和典型海洋生态系统，提高海洋生态服务功能，增强海洋碳汇功能。合理控制滨海旅游开发强</w:t>
            </w:r>
          </w:p>
          <w:p w14:paraId="6BE0330B">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度，科学有序发展海洋生态旅游。规范海岛资源开发，科学规划海岛岸线开发，保护海岛自然岸线。</w:t>
            </w:r>
          </w:p>
        </w:tc>
        <w:tc>
          <w:tcPr>
            <w:tcW w:w="1472" w:type="pct"/>
            <w:tcBorders>
              <w:top w:val="single" w:color="auto" w:sz="4" w:space="0"/>
              <w:left w:val="single" w:color="auto" w:sz="4" w:space="0"/>
              <w:bottom w:val="single" w:color="auto" w:sz="4" w:space="0"/>
              <w:right w:val="single" w:color="auto" w:sz="4" w:space="0"/>
            </w:tcBorders>
            <w:vAlign w:val="center"/>
          </w:tcPr>
          <w:p w14:paraId="13132B67">
            <w:pPr>
              <w:adjustRightInd w:val="0"/>
              <w:snapToGrid w:val="0"/>
              <w:rPr>
                <w:rFonts w:ascii="Arial" w:hAnsi="Arial" w:eastAsia="宋体" w:cs="Arial"/>
                <w:sz w:val="21"/>
                <w:szCs w:val="21"/>
                <w:u w:val="single"/>
              </w:rPr>
            </w:pPr>
            <w:r>
              <w:rPr>
                <w:rFonts w:ascii="Arial" w:hAnsi="Arial" w:eastAsia="宋体" w:cs="Arial"/>
                <w:sz w:val="21"/>
                <w:szCs w:val="21"/>
                <w:u w:val="single"/>
              </w:rPr>
              <w:t>项目不涉及。</w:t>
            </w:r>
          </w:p>
        </w:tc>
      </w:tr>
      <w:tr w14:paraId="0402D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59B7A369">
            <w:pPr>
              <w:widowControl/>
              <w:jc w:val="left"/>
              <w:rPr>
                <w:rFonts w:ascii="Arial" w:hAnsi="Arial" w:eastAsia="宋体" w:cs="Arial"/>
                <w:sz w:val="21"/>
                <w:szCs w:val="21"/>
                <w:highlight w:val="yellow"/>
                <w:u w:val="single"/>
              </w:rPr>
            </w:pPr>
          </w:p>
        </w:tc>
        <w:tc>
          <w:tcPr>
            <w:tcW w:w="3153" w:type="pct"/>
            <w:tcBorders>
              <w:top w:val="single" w:color="auto" w:sz="4" w:space="0"/>
              <w:left w:val="single" w:color="auto" w:sz="4" w:space="0"/>
              <w:bottom w:val="single" w:color="auto" w:sz="4" w:space="0"/>
              <w:right w:val="single" w:color="auto" w:sz="4" w:space="0"/>
            </w:tcBorders>
            <w:vAlign w:val="center"/>
          </w:tcPr>
          <w:p w14:paraId="7504DA9E">
            <w:pPr>
              <w:adjustRightInd w:val="0"/>
              <w:snapToGrid w:val="0"/>
              <w:jc w:val="left"/>
              <w:rPr>
                <w:rFonts w:ascii="Arial" w:hAnsi="Arial" w:eastAsia="宋体" w:cs="Arial"/>
                <w:sz w:val="21"/>
                <w:szCs w:val="21"/>
                <w:u w:val="single"/>
              </w:rPr>
            </w:pPr>
            <w:r>
              <w:rPr>
                <w:rFonts w:ascii="Arial" w:hAnsi="Arial" w:eastAsia="宋体" w:cs="Arial"/>
                <w:sz w:val="21"/>
                <w:szCs w:val="21"/>
                <w:u w:val="single"/>
              </w:rPr>
              <w:t>6. 高污染燃料禁燃区：禁止新建、扩建燃用高污染燃料的项目和设施，已经建成的应逐步或依法限期改用天然气、电或其他清洁能源。</w:t>
            </w:r>
          </w:p>
        </w:tc>
        <w:tc>
          <w:tcPr>
            <w:tcW w:w="1472" w:type="pct"/>
            <w:tcBorders>
              <w:top w:val="single" w:color="auto" w:sz="4" w:space="0"/>
              <w:left w:val="single" w:color="auto" w:sz="4" w:space="0"/>
              <w:bottom w:val="single" w:color="auto" w:sz="4" w:space="0"/>
              <w:right w:val="single" w:color="auto" w:sz="4" w:space="0"/>
            </w:tcBorders>
            <w:vAlign w:val="center"/>
          </w:tcPr>
          <w:p w14:paraId="5643D9AE">
            <w:pPr>
              <w:adjustRightInd w:val="0"/>
              <w:snapToGrid w:val="0"/>
              <w:rPr>
                <w:rFonts w:ascii="Arial" w:hAnsi="Arial" w:eastAsia="宋体" w:cs="Arial"/>
                <w:sz w:val="21"/>
                <w:szCs w:val="21"/>
                <w:u w:val="single"/>
              </w:rPr>
            </w:pPr>
            <w:r>
              <w:rPr>
                <w:rFonts w:ascii="Arial" w:hAnsi="Arial" w:eastAsia="宋体" w:cs="Arial"/>
                <w:sz w:val="21"/>
                <w:szCs w:val="21"/>
                <w:u w:val="single"/>
              </w:rPr>
              <w:t>项目不在高污染燃料禁燃区。</w:t>
            </w:r>
          </w:p>
        </w:tc>
      </w:tr>
    </w:tbl>
    <w:p w14:paraId="7B5F216C">
      <w:pPr>
        <w:keepNext/>
        <w:keepLines/>
        <w:numPr>
          <w:ilvl w:val="0"/>
          <w:numId w:val="5"/>
        </w:numPr>
        <w:tabs>
          <w:tab w:val="left" w:pos="0"/>
        </w:tabs>
        <w:spacing w:line="500" w:lineRule="exact"/>
        <w:ind w:left="0" w:firstLine="0"/>
        <w:jc w:val="center"/>
        <w:outlineLvl w:val="4"/>
        <w:rPr>
          <w:rFonts w:ascii="Arial" w:hAnsi="Arial" w:eastAsia="宋体" w:cs="Arial"/>
          <w:b/>
          <w:sz w:val="24"/>
          <w:u w:val="single"/>
        </w:rPr>
      </w:pPr>
      <w:r>
        <w:rPr>
          <w:rFonts w:ascii="Arial" w:hAnsi="Arial" w:eastAsia="宋体" w:cs="Arial"/>
          <w:b/>
          <w:sz w:val="24"/>
          <w:u w:val="single"/>
        </w:rPr>
        <w:t>与</w:t>
      </w:r>
      <w:r>
        <w:rPr>
          <w:rFonts w:hint="eastAsia" w:ascii="Arial" w:hAnsi="Arial" w:eastAsia="宋体" w:cs="Arial"/>
          <w:b/>
          <w:sz w:val="24"/>
          <w:u w:val="single"/>
        </w:rPr>
        <w:t>石化产业园重点管控单元</w:t>
      </w:r>
      <w:r>
        <w:rPr>
          <w:rFonts w:ascii="Arial" w:hAnsi="Arial" w:eastAsia="宋体" w:cs="Arial"/>
          <w:b/>
          <w:sz w:val="24"/>
          <w:u w:val="single"/>
        </w:rPr>
        <w:t>生态环境</w:t>
      </w:r>
      <w:r>
        <w:rPr>
          <w:rFonts w:hint="eastAsia" w:ascii="Arial" w:hAnsi="Arial" w:eastAsia="宋体" w:cs="Arial"/>
          <w:b/>
          <w:sz w:val="24"/>
          <w:u w:val="single"/>
        </w:rPr>
        <w:t>分区管控</w:t>
      </w:r>
      <w:r>
        <w:rPr>
          <w:rFonts w:ascii="Arial" w:hAnsi="Arial" w:eastAsia="宋体" w:cs="Arial"/>
          <w:b/>
          <w:sz w:val="24"/>
          <w:u w:val="single"/>
        </w:rPr>
        <w:t>的相符性分析</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5565"/>
        <w:gridCol w:w="2341"/>
        <w:gridCol w:w="685"/>
      </w:tblGrid>
      <w:tr w14:paraId="599C0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75" w:type="pct"/>
            <w:tcBorders>
              <w:top w:val="single" w:color="auto" w:sz="4" w:space="0"/>
              <w:left w:val="single" w:color="auto" w:sz="4" w:space="0"/>
              <w:bottom w:val="single" w:color="auto" w:sz="4" w:space="0"/>
              <w:right w:val="single" w:color="auto" w:sz="4" w:space="0"/>
            </w:tcBorders>
            <w:vAlign w:val="center"/>
          </w:tcPr>
          <w:p w14:paraId="0B922998">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管控</w:t>
            </w:r>
          </w:p>
          <w:p w14:paraId="01525B5A">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类别</w:t>
            </w:r>
          </w:p>
        </w:tc>
        <w:tc>
          <w:tcPr>
            <w:tcW w:w="2996" w:type="pct"/>
            <w:tcBorders>
              <w:top w:val="single" w:color="auto" w:sz="4" w:space="0"/>
              <w:left w:val="single" w:color="auto" w:sz="4" w:space="0"/>
              <w:bottom w:val="single" w:color="auto" w:sz="4" w:space="0"/>
              <w:right w:val="single" w:color="auto" w:sz="4" w:space="0"/>
            </w:tcBorders>
            <w:vAlign w:val="center"/>
          </w:tcPr>
          <w:p w14:paraId="4F8748D6">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生态环境准入及管控要求</w:t>
            </w:r>
          </w:p>
        </w:tc>
        <w:tc>
          <w:tcPr>
            <w:tcW w:w="1260" w:type="pct"/>
            <w:tcBorders>
              <w:top w:val="single" w:color="auto" w:sz="4" w:space="0"/>
              <w:left w:val="single" w:color="auto" w:sz="4" w:space="0"/>
              <w:bottom w:val="single" w:color="auto" w:sz="4" w:space="0"/>
              <w:right w:val="single" w:color="auto" w:sz="4" w:space="0"/>
            </w:tcBorders>
            <w:vAlign w:val="center"/>
          </w:tcPr>
          <w:p w14:paraId="14021BFA">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项目情况</w:t>
            </w:r>
          </w:p>
        </w:tc>
        <w:tc>
          <w:tcPr>
            <w:tcW w:w="369" w:type="pct"/>
            <w:tcBorders>
              <w:top w:val="single" w:color="auto" w:sz="4" w:space="0"/>
              <w:left w:val="single" w:color="auto" w:sz="4" w:space="0"/>
              <w:bottom w:val="single" w:color="auto" w:sz="4" w:space="0"/>
              <w:right w:val="single" w:color="auto" w:sz="4" w:space="0"/>
            </w:tcBorders>
            <w:vAlign w:val="center"/>
          </w:tcPr>
          <w:p w14:paraId="2FF809C8">
            <w:pPr>
              <w:adjustRightInd w:val="0"/>
              <w:snapToGrid w:val="0"/>
              <w:jc w:val="center"/>
              <w:rPr>
                <w:rFonts w:ascii="Arial" w:hAnsi="Arial" w:eastAsia="宋体" w:cs="Arial"/>
                <w:bCs/>
                <w:sz w:val="21"/>
                <w:szCs w:val="21"/>
                <w:u w:val="single"/>
              </w:rPr>
            </w:pPr>
            <w:r>
              <w:rPr>
                <w:rFonts w:ascii="Arial" w:hAnsi="Arial" w:eastAsia="宋体" w:cs="Arial"/>
                <w:bCs/>
                <w:sz w:val="21"/>
                <w:szCs w:val="21"/>
                <w:u w:val="single"/>
              </w:rPr>
              <w:t>相符性</w:t>
            </w:r>
          </w:p>
        </w:tc>
      </w:tr>
      <w:tr w14:paraId="52056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tcBorders>
              <w:top w:val="single" w:color="auto" w:sz="4" w:space="0"/>
              <w:left w:val="single" w:color="auto" w:sz="4" w:space="0"/>
              <w:bottom w:val="single" w:color="auto" w:sz="4" w:space="0"/>
              <w:right w:val="single" w:color="auto" w:sz="4" w:space="0"/>
            </w:tcBorders>
            <w:vAlign w:val="center"/>
          </w:tcPr>
          <w:p w14:paraId="52CB657E">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空间布局约束 </w:t>
            </w:r>
          </w:p>
        </w:tc>
        <w:tc>
          <w:tcPr>
            <w:tcW w:w="2996" w:type="pct"/>
            <w:tcBorders>
              <w:top w:val="single" w:color="auto" w:sz="4" w:space="0"/>
              <w:left w:val="single" w:color="auto" w:sz="4" w:space="0"/>
              <w:bottom w:val="single" w:color="auto" w:sz="4" w:space="0"/>
              <w:right w:val="single" w:color="auto" w:sz="4" w:space="0"/>
            </w:tcBorders>
            <w:vAlign w:val="center"/>
          </w:tcPr>
          <w:p w14:paraId="600166B1">
            <w:pPr>
              <w:adjustRightInd w:val="0"/>
              <w:snapToGrid w:val="0"/>
              <w:jc w:val="left"/>
              <w:rPr>
                <w:rFonts w:ascii="Arial" w:hAnsi="Arial" w:eastAsia="宋体" w:cs="Arial"/>
                <w:sz w:val="21"/>
                <w:szCs w:val="21"/>
                <w:u w:val="single"/>
              </w:rPr>
            </w:pPr>
            <w:r>
              <w:rPr>
                <w:rFonts w:ascii="Arial" w:hAnsi="Arial" w:eastAsia="宋体" w:cs="Arial"/>
                <w:sz w:val="21"/>
                <w:szCs w:val="21"/>
                <w:u w:val="single"/>
              </w:rPr>
              <w:t xml:space="preserve">1. </w:t>
            </w:r>
            <w:r>
              <w:rPr>
                <w:rFonts w:hint="eastAsia" w:ascii="Arial" w:hAnsi="Arial" w:eastAsia="宋体" w:cs="Arial"/>
                <w:sz w:val="21"/>
                <w:szCs w:val="21"/>
                <w:u w:val="single"/>
              </w:rPr>
              <w:t>依据《国务院关于加强滨海湿地保护严格管控围填海的通知》，除国家重大战略项目外，原则上禁止新增围填海项目。三墩片区布局国家重大项目确需新增围填海的，须严格论证对中华白海豚等重点保护动物及其生境的影响，审慎决策，最大限度减轻不良环境影响。</w:t>
            </w:r>
          </w:p>
          <w:p w14:paraId="30CD7EED">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2．加强行业源头管控，严格执行《广西工业产业结构调整指导目录（2021年本）》，入园项目需符合国家产业政策、行业规范、地方发展规划和绿色发展等要求；建设项目应为石化产业园区产业链范围内的项目，选址应符合石化产业园区规划的功能分区。禁止引进不符合国家产业政策和相关行业准入条件，清洁生产水平不达标、装置单位产品能源消耗限额不达标、污染物排放不达标的项目。</w:t>
            </w:r>
          </w:p>
          <w:p w14:paraId="568B0FC8">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3．优化园区规划空间布局，对丙烯腈、苯乙烯、环氧丙烷等新引进项目加强源头风险管控；丙烯腈装置原则上应配套 MMA 装置同步建设，及时消耗丙烯腈装置产生的氢氰酸和废酸，降低环境风险。</w:t>
            </w:r>
          </w:p>
          <w:p w14:paraId="2FE942A6">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4．严格控制炼油规模，禁止建设未列入国家批准的相关规划的新建炼油及扩建一次炼油项目；新建石化和化工生产项目应符合《广西新建石化和化工生产项目准入管理办法（试行）》</w:t>
            </w:r>
          </w:p>
          <w:p w14:paraId="22AEAFBA">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《化工园区开发建设导则》（GB/T 42078-2022）相关要求。</w:t>
            </w:r>
          </w:p>
          <w:p w14:paraId="229828BF">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5．严格“两高”建设项目环境准入，新建、改建、扩建“两高”项目须符合生态环境保护法律法规和相关法定规划，满足重点污染物总量控制、相关规划环评和相应行业建设项目环境准入条件等要求。</w:t>
            </w:r>
          </w:p>
          <w:p w14:paraId="425FE760">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6．园区周边1公里范围内临近生态保护红线（广西茅尾海红树林自治区级自然保护区）生态环境敏感区域，应优化产业布局，控制开发强度，新建、改建、扩建项目要采取切实可行的环保措施，降低对周边生态环境敏感区域的影响。</w:t>
            </w:r>
          </w:p>
        </w:tc>
        <w:tc>
          <w:tcPr>
            <w:tcW w:w="1260" w:type="pct"/>
            <w:tcBorders>
              <w:top w:val="single" w:color="auto" w:sz="4" w:space="0"/>
              <w:left w:val="single" w:color="auto" w:sz="4" w:space="0"/>
              <w:bottom w:val="single" w:color="auto" w:sz="4" w:space="0"/>
              <w:right w:val="single" w:color="auto" w:sz="4" w:space="0"/>
            </w:tcBorders>
            <w:vAlign w:val="center"/>
          </w:tcPr>
          <w:p w14:paraId="743C2C5B">
            <w:pPr>
              <w:adjustRightInd w:val="0"/>
              <w:snapToGrid w:val="0"/>
              <w:rPr>
                <w:rFonts w:ascii="Arial" w:hAnsi="Arial" w:eastAsia="宋体" w:cs="Arial"/>
                <w:sz w:val="21"/>
                <w:szCs w:val="21"/>
                <w:u w:val="single"/>
              </w:rPr>
            </w:pPr>
            <w:r>
              <w:rPr>
                <w:rFonts w:ascii="Arial" w:hAnsi="Arial" w:eastAsia="宋体" w:cs="Arial"/>
                <w:sz w:val="21"/>
                <w:szCs w:val="21"/>
                <w:u w:val="single"/>
              </w:rPr>
              <w:t>1</w:t>
            </w:r>
            <w:r>
              <w:rPr>
                <w:rFonts w:hint="eastAsia" w:ascii="Arial" w:hAnsi="Arial" w:eastAsia="宋体" w:cs="Arial"/>
                <w:sz w:val="21"/>
                <w:szCs w:val="21"/>
                <w:u w:val="single"/>
              </w:rPr>
              <w:t>.</w:t>
            </w:r>
            <w:r>
              <w:rPr>
                <w:rFonts w:ascii="Arial" w:hAnsi="Arial" w:eastAsia="宋体" w:cs="Arial"/>
                <w:sz w:val="21"/>
                <w:szCs w:val="21"/>
                <w:u w:val="single"/>
              </w:rPr>
              <w:t>项目</w:t>
            </w:r>
            <w:r>
              <w:rPr>
                <w:rFonts w:hint="eastAsia" w:ascii="Arial" w:hAnsi="Arial" w:eastAsia="宋体" w:cs="Arial"/>
                <w:sz w:val="21"/>
                <w:szCs w:val="21"/>
                <w:u w:val="single"/>
              </w:rPr>
              <w:t>不涉及围填海。</w:t>
            </w:r>
          </w:p>
          <w:p w14:paraId="437EA122">
            <w:pPr>
              <w:adjustRightInd w:val="0"/>
              <w:snapToGrid w:val="0"/>
              <w:rPr>
                <w:rFonts w:ascii="Arial" w:hAnsi="Arial" w:eastAsia="宋体" w:cs="Arial"/>
                <w:sz w:val="21"/>
                <w:szCs w:val="21"/>
                <w:u w:val="single"/>
              </w:rPr>
            </w:pPr>
            <w:r>
              <w:rPr>
                <w:rFonts w:ascii="Arial" w:hAnsi="Arial" w:eastAsia="宋体" w:cs="Arial"/>
                <w:sz w:val="21"/>
                <w:szCs w:val="21"/>
                <w:u w:val="single"/>
              </w:rPr>
              <w:t>2</w:t>
            </w:r>
            <w:r>
              <w:rPr>
                <w:rFonts w:hint="eastAsia" w:ascii="Arial" w:hAnsi="Arial" w:eastAsia="宋体" w:cs="Arial"/>
                <w:sz w:val="21"/>
                <w:szCs w:val="21"/>
                <w:u w:val="single"/>
              </w:rPr>
              <w:t>.</w:t>
            </w:r>
            <w:r>
              <w:rPr>
                <w:rFonts w:ascii="Arial" w:hAnsi="Arial" w:eastAsia="宋体" w:cs="Arial"/>
                <w:sz w:val="21"/>
                <w:szCs w:val="21"/>
                <w:u w:val="single"/>
              </w:rPr>
              <w:t>项目</w:t>
            </w:r>
            <w:r>
              <w:rPr>
                <w:rFonts w:hint="eastAsia" w:ascii="Arial" w:hAnsi="Arial" w:eastAsia="宋体" w:cs="Arial"/>
                <w:sz w:val="21"/>
                <w:szCs w:val="21"/>
                <w:u w:val="single"/>
              </w:rPr>
              <w:t>符合石化产业园区规划及规划环评要求；清洁生产达国际先进水平；污染物均达标排放。</w:t>
            </w:r>
          </w:p>
          <w:p w14:paraId="6BF87BC7">
            <w:pPr>
              <w:adjustRightInd w:val="0"/>
              <w:snapToGrid w:val="0"/>
              <w:rPr>
                <w:rFonts w:ascii="Arial" w:hAnsi="Arial" w:eastAsia="宋体" w:cs="Arial"/>
                <w:sz w:val="21"/>
                <w:szCs w:val="21"/>
                <w:u w:val="single"/>
              </w:rPr>
            </w:pPr>
            <w:r>
              <w:rPr>
                <w:rFonts w:ascii="Arial" w:hAnsi="Arial" w:eastAsia="宋体" w:cs="Arial"/>
                <w:sz w:val="21"/>
                <w:szCs w:val="21"/>
                <w:u w:val="single"/>
              </w:rPr>
              <w:t>3</w:t>
            </w:r>
            <w:r>
              <w:rPr>
                <w:rFonts w:hint="eastAsia" w:ascii="Arial" w:hAnsi="Arial" w:eastAsia="宋体" w:cs="Arial"/>
                <w:sz w:val="21"/>
                <w:szCs w:val="21"/>
                <w:u w:val="single"/>
              </w:rPr>
              <w:t>.</w:t>
            </w:r>
            <w:r>
              <w:rPr>
                <w:rFonts w:ascii="Arial" w:hAnsi="Arial" w:eastAsia="宋体" w:cs="Arial"/>
                <w:sz w:val="21"/>
                <w:szCs w:val="21"/>
                <w:u w:val="single"/>
              </w:rPr>
              <w:t>项目不</w:t>
            </w:r>
            <w:r>
              <w:rPr>
                <w:rFonts w:hint="eastAsia" w:ascii="Arial" w:hAnsi="Arial" w:eastAsia="宋体" w:cs="Arial"/>
                <w:sz w:val="21"/>
                <w:szCs w:val="21"/>
                <w:u w:val="single"/>
              </w:rPr>
              <w:t>涉及</w:t>
            </w:r>
            <w:r>
              <w:rPr>
                <w:rFonts w:ascii="Arial" w:hAnsi="Arial" w:eastAsia="宋体" w:cs="Arial"/>
                <w:sz w:val="21"/>
                <w:szCs w:val="21"/>
                <w:u w:val="single"/>
              </w:rPr>
              <w:t>。</w:t>
            </w:r>
          </w:p>
          <w:p w14:paraId="36B166BF">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4. 项目符合《广西新建石化和化工生产项目准入管理办法（试行）》《化工园区开发建设导则》（GB/T 42078-2022）相关要求。</w:t>
            </w:r>
          </w:p>
          <w:p w14:paraId="4EBF8521">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5.项目不属于“两高”项目。</w:t>
            </w:r>
          </w:p>
          <w:p w14:paraId="2463115E">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6.项目不新增用地，对周边生态环境影响较小。</w:t>
            </w:r>
          </w:p>
        </w:tc>
        <w:tc>
          <w:tcPr>
            <w:tcW w:w="369" w:type="pct"/>
            <w:tcBorders>
              <w:top w:val="single" w:color="auto" w:sz="4" w:space="0"/>
              <w:left w:val="single" w:color="auto" w:sz="4" w:space="0"/>
              <w:bottom w:val="single" w:color="auto" w:sz="4" w:space="0"/>
              <w:right w:val="single" w:color="auto" w:sz="4" w:space="0"/>
            </w:tcBorders>
            <w:vAlign w:val="center"/>
          </w:tcPr>
          <w:p w14:paraId="079DF67A">
            <w:pPr>
              <w:adjustRightInd w:val="0"/>
              <w:snapToGrid w:val="0"/>
              <w:rPr>
                <w:rFonts w:ascii="Arial" w:hAnsi="Arial" w:eastAsia="宋体" w:cs="Arial"/>
                <w:sz w:val="21"/>
                <w:szCs w:val="21"/>
                <w:u w:val="single"/>
              </w:rPr>
            </w:pPr>
            <w:r>
              <w:rPr>
                <w:rFonts w:ascii="Arial" w:hAnsi="Arial" w:eastAsia="宋体" w:cs="Arial"/>
                <w:sz w:val="21"/>
                <w:szCs w:val="21"/>
                <w:u w:val="single"/>
              </w:rPr>
              <w:t>符合</w:t>
            </w:r>
          </w:p>
        </w:tc>
      </w:tr>
      <w:tr w14:paraId="0B4E1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tcBorders>
              <w:top w:val="single" w:color="auto" w:sz="4" w:space="0"/>
              <w:left w:val="single" w:color="auto" w:sz="4" w:space="0"/>
              <w:bottom w:val="single" w:color="auto" w:sz="4" w:space="0"/>
              <w:right w:val="single" w:color="auto" w:sz="4" w:space="0"/>
            </w:tcBorders>
            <w:vAlign w:val="center"/>
          </w:tcPr>
          <w:p w14:paraId="34C27CB8">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污染物排放管控 </w:t>
            </w:r>
          </w:p>
        </w:tc>
        <w:tc>
          <w:tcPr>
            <w:tcW w:w="2996" w:type="pct"/>
            <w:tcBorders>
              <w:top w:val="single" w:color="auto" w:sz="4" w:space="0"/>
              <w:left w:val="single" w:color="auto" w:sz="4" w:space="0"/>
              <w:bottom w:val="single" w:color="auto" w:sz="4" w:space="0"/>
              <w:right w:val="single" w:color="auto" w:sz="4" w:space="0"/>
            </w:tcBorders>
            <w:vAlign w:val="center"/>
          </w:tcPr>
          <w:p w14:paraId="24376C52">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1．大力推进低氮燃烧和烟气脱硝，有序推进园区集中供热。</w:t>
            </w:r>
          </w:p>
          <w:p w14:paraId="7D435895">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2．持续推进石化、化工等行业节能降碳改造；推动石化、化工等重点行业挥发性有机物（VOCs）污染防治。推动石化行业 VOCs 泄漏检测与修复行动、VOCs 削减和有毒有害原料替代。</w:t>
            </w:r>
          </w:p>
          <w:p w14:paraId="1BAA4152">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3．石化、化工行业全面推进行业达标排放改造，鼓励采用先进的清洁生产技术，提高原油的转化和利用效率；新建石化和化工生产项目污染物排放必须同时满足污染物排放标准和主要污染物总量控制要求，必须配套固废综合利用或无害化处理设施，危险废物必须按照国家及自治区相关危险废物的管理规定进行贮存、转移、安全处置。</w:t>
            </w:r>
          </w:p>
          <w:p w14:paraId="6D989D8F">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4．逐步完成工业集聚区集中式污水处理设施建设，确保已建污水处理设施稳定运行及达标排放。园区集中式污水处理设施总排口安装自动监控系统、视频监控系统，并与生态环境主管部门联网。按照“清污分流、雨污分流”原则，实施废水分类收集、分质处理。</w:t>
            </w:r>
          </w:p>
          <w:p w14:paraId="12E16EB0">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5．园区及园区企业排放水污染物，要满足国家或者地方规定的水污染物排放标准和重点水污染物排放总量控制指标。直接外排水环境的，执行国家或者地方规定的标准要求；经城镇污水集中处理设施处理后排放的，执行市政部门管理要求；经园区污水集中处理设施处理后排放的，执行园区管理部门相关要求。</w:t>
            </w:r>
          </w:p>
          <w:p w14:paraId="6D60139A">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6．鼓励建设高盐废水集中处理设施，回收固体盐类，降低外排水量和含盐浓度。</w:t>
            </w:r>
          </w:p>
          <w:p w14:paraId="19DCE798">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7．严格控制石油类、氨氮、总磷等污染物排放浓度及排放量，采取有效措施减少挥发性有机化合物（VOCs）、氮氧化物（NOx）等污染物排放量。</w:t>
            </w:r>
          </w:p>
        </w:tc>
        <w:tc>
          <w:tcPr>
            <w:tcW w:w="1260" w:type="pct"/>
            <w:tcBorders>
              <w:top w:val="single" w:color="auto" w:sz="4" w:space="0"/>
              <w:left w:val="single" w:color="auto" w:sz="4" w:space="0"/>
              <w:bottom w:val="single" w:color="auto" w:sz="4" w:space="0"/>
              <w:right w:val="single" w:color="auto" w:sz="4" w:space="0"/>
            </w:tcBorders>
            <w:vAlign w:val="center"/>
          </w:tcPr>
          <w:p w14:paraId="4AAD7461">
            <w:pPr>
              <w:adjustRightInd w:val="0"/>
              <w:snapToGrid w:val="0"/>
              <w:rPr>
                <w:rFonts w:ascii="Arial" w:hAnsi="Arial" w:eastAsia="宋体" w:cs="Arial"/>
                <w:sz w:val="21"/>
                <w:szCs w:val="21"/>
                <w:u w:val="single"/>
              </w:rPr>
            </w:pPr>
            <w:r>
              <w:rPr>
                <w:rFonts w:ascii="Arial" w:hAnsi="Arial" w:eastAsia="宋体" w:cs="Arial"/>
                <w:sz w:val="21"/>
                <w:szCs w:val="21"/>
                <w:u w:val="single"/>
              </w:rPr>
              <w:t>1</w:t>
            </w:r>
            <w:r>
              <w:rPr>
                <w:rFonts w:hint="eastAsia" w:ascii="Arial" w:hAnsi="Arial" w:eastAsia="宋体" w:cs="Arial"/>
                <w:sz w:val="21"/>
                <w:szCs w:val="21"/>
                <w:u w:val="single"/>
              </w:rPr>
              <w:t>.不涉及</w:t>
            </w:r>
            <w:r>
              <w:rPr>
                <w:rFonts w:ascii="Arial" w:hAnsi="Arial" w:eastAsia="宋体" w:cs="Arial"/>
                <w:sz w:val="21"/>
                <w:szCs w:val="21"/>
                <w:u w:val="single"/>
              </w:rPr>
              <w:t>；</w:t>
            </w:r>
          </w:p>
          <w:p w14:paraId="7B5695FC">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2.项目不排放挥发性有机物；</w:t>
            </w:r>
          </w:p>
          <w:p w14:paraId="43C4E234">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3.项目清洁生产可达到清洁生产国际先进水平；</w:t>
            </w:r>
          </w:p>
          <w:p w14:paraId="7326AFE4">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4.</w:t>
            </w:r>
            <w:r>
              <w:rPr>
                <w:rFonts w:ascii="Arial" w:hAnsi="Arial" w:eastAsia="宋体" w:cs="Arial"/>
                <w:sz w:val="21"/>
                <w:szCs w:val="21"/>
                <w:u w:val="single"/>
              </w:rPr>
              <w:t>项目废水实行“清污分流、雨污分流”，实现废水分类收集、分质处理，生产废水</w:t>
            </w:r>
            <w:r>
              <w:rPr>
                <w:rFonts w:hint="eastAsia" w:ascii="Arial" w:hAnsi="Arial" w:eastAsia="宋体" w:cs="Arial"/>
                <w:sz w:val="21"/>
                <w:szCs w:val="21"/>
                <w:u w:val="single"/>
              </w:rPr>
              <w:t>依托</w:t>
            </w:r>
            <w:r>
              <w:rPr>
                <w:rFonts w:ascii="Arial" w:hAnsi="Arial" w:eastAsia="宋体" w:cs="Arial"/>
                <w:sz w:val="21"/>
                <w:szCs w:val="21"/>
                <w:u w:val="single"/>
              </w:rPr>
              <w:t>现有排污管排放，生活污水经处理后排入园区污水处理厂；</w:t>
            </w:r>
          </w:p>
          <w:p w14:paraId="2E36B737">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5.项目废水污染物可达标排放，符合总量控制指标要求；</w:t>
            </w:r>
          </w:p>
          <w:p w14:paraId="041F765A">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6.项目已上高盐废水处理设施，盐排放浓度达标；</w:t>
            </w:r>
          </w:p>
          <w:p w14:paraId="460C051B">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7.项目不排放挥发性有机物、氮氧化物，石油类、氨氮、总磷可达标排放。</w:t>
            </w:r>
          </w:p>
        </w:tc>
        <w:tc>
          <w:tcPr>
            <w:tcW w:w="369" w:type="pct"/>
            <w:tcBorders>
              <w:top w:val="single" w:color="auto" w:sz="4" w:space="0"/>
              <w:left w:val="single" w:color="auto" w:sz="4" w:space="0"/>
              <w:bottom w:val="single" w:color="auto" w:sz="4" w:space="0"/>
              <w:right w:val="single" w:color="auto" w:sz="4" w:space="0"/>
            </w:tcBorders>
            <w:vAlign w:val="center"/>
          </w:tcPr>
          <w:p w14:paraId="562CAF4E">
            <w:pPr>
              <w:adjustRightInd w:val="0"/>
              <w:snapToGrid w:val="0"/>
              <w:rPr>
                <w:rFonts w:ascii="Arial" w:hAnsi="Arial" w:eastAsia="宋体" w:cs="Arial"/>
                <w:sz w:val="21"/>
                <w:szCs w:val="21"/>
                <w:u w:val="single"/>
              </w:rPr>
            </w:pPr>
            <w:r>
              <w:rPr>
                <w:rFonts w:ascii="Arial" w:hAnsi="Arial" w:eastAsia="宋体" w:cs="Arial"/>
                <w:sz w:val="21"/>
                <w:szCs w:val="21"/>
                <w:u w:val="single"/>
              </w:rPr>
              <w:t>符合</w:t>
            </w:r>
          </w:p>
        </w:tc>
      </w:tr>
      <w:tr w14:paraId="1DCE8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tcBorders>
              <w:top w:val="single" w:color="auto" w:sz="4" w:space="0"/>
              <w:left w:val="single" w:color="auto" w:sz="4" w:space="0"/>
              <w:bottom w:val="single" w:color="auto" w:sz="4" w:space="0"/>
              <w:right w:val="single" w:color="auto" w:sz="4" w:space="0"/>
            </w:tcBorders>
            <w:vAlign w:val="center"/>
          </w:tcPr>
          <w:p w14:paraId="4EADF9ED">
            <w:pPr>
              <w:adjustRightInd w:val="0"/>
              <w:snapToGrid w:val="0"/>
              <w:rPr>
                <w:rFonts w:ascii="Arial" w:hAnsi="Arial" w:eastAsia="宋体" w:cs="Arial"/>
                <w:sz w:val="21"/>
                <w:szCs w:val="21"/>
                <w:u w:val="single"/>
              </w:rPr>
            </w:pPr>
            <w:r>
              <w:rPr>
                <w:rFonts w:ascii="Arial" w:hAnsi="Arial" w:eastAsia="宋体" w:cs="Arial"/>
                <w:sz w:val="21"/>
                <w:szCs w:val="21"/>
                <w:u w:val="single"/>
              </w:rPr>
              <w:t>环境风险防控</w:t>
            </w:r>
          </w:p>
        </w:tc>
        <w:tc>
          <w:tcPr>
            <w:tcW w:w="2996" w:type="pct"/>
            <w:tcBorders>
              <w:top w:val="single" w:color="auto" w:sz="4" w:space="0"/>
              <w:left w:val="single" w:color="auto" w:sz="4" w:space="0"/>
              <w:bottom w:val="single" w:color="auto" w:sz="4" w:space="0"/>
              <w:right w:val="single" w:color="auto" w:sz="4" w:space="0"/>
            </w:tcBorders>
            <w:vAlign w:val="center"/>
          </w:tcPr>
          <w:p w14:paraId="0359C8FA">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1．建设项目应严格落实环境保护措施和环境风险防范措施，减缓对周边海域和陆域生态环境敏感区的不良环境影响。</w:t>
            </w:r>
          </w:p>
          <w:p w14:paraId="267FC410">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2．三墩片区实行封闭式管理。开展环境风险评估，制定突发环境事件应急预案并备案，配备应急能力和物资，建设环境应急队伍，并定期演练。企业、园区与地方人民政府环境应急预案应当有机衔接。</w:t>
            </w:r>
          </w:p>
          <w:p w14:paraId="0E9157DB">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3．土壤环境监管重点单位应当严格控制有毒有害物质排放，并按年度向所在地设区的市人民政府生态环境主管部门报告排放情况；建立土壤污染隐患排查制度，保证持续有效防止有毒有害物质渗漏、流失、扬散。</w:t>
            </w:r>
          </w:p>
        </w:tc>
        <w:tc>
          <w:tcPr>
            <w:tcW w:w="1260" w:type="pct"/>
            <w:tcBorders>
              <w:top w:val="single" w:color="auto" w:sz="4" w:space="0"/>
              <w:left w:val="single" w:color="auto" w:sz="4" w:space="0"/>
              <w:bottom w:val="single" w:color="auto" w:sz="4" w:space="0"/>
              <w:right w:val="single" w:color="auto" w:sz="4" w:space="0"/>
            </w:tcBorders>
            <w:vAlign w:val="center"/>
          </w:tcPr>
          <w:p w14:paraId="78E42F51">
            <w:pPr>
              <w:adjustRightInd w:val="0"/>
              <w:snapToGrid w:val="0"/>
              <w:rPr>
                <w:rFonts w:ascii="Arial" w:hAnsi="Arial" w:eastAsia="宋体" w:cs="Arial"/>
                <w:bCs/>
                <w:sz w:val="21"/>
                <w:szCs w:val="21"/>
                <w:u w:val="single"/>
              </w:rPr>
            </w:pPr>
            <w:r>
              <w:rPr>
                <w:rFonts w:ascii="Arial" w:hAnsi="Arial" w:eastAsia="宋体" w:cs="Arial"/>
                <w:bCs/>
                <w:sz w:val="21"/>
                <w:szCs w:val="21"/>
                <w:u w:val="single"/>
              </w:rPr>
              <w:t>1</w:t>
            </w:r>
            <w:r>
              <w:rPr>
                <w:rFonts w:hint="eastAsia" w:ascii="Arial" w:hAnsi="Arial" w:eastAsia="宋体" w:cs="Arial"/>
                <w:bCs/>
                <w:sz w:val="21"/>
                <w:szCs w:val="21"/>
                <w:u w:val="single"/>
              </w:rPr>
              <w:t>.</w:t>
            </w:r>
            <w:r>
              <w:rPr>
                <w:rFonts w:ascii="Arial" w:hAnsi="Arial" w:eastAsia="宋体" w:cs="Arial"/>
                <w:bCs/>
                <w:sz w:val="21"/>
                <w:szCs w:val="21"/>
                <w:u w:val="single"/>
              </w:rPr>
              <w:t>本</w:t>
            </w:r>
            <w:r>
              <w:rPr>
                <w:rFonts w:hint="eastAsia" w:ascii="Arial" w:hAnsi="Arial" w:eastAsia="宋体" w:cs="Arial"/>
                <w:bCs/>
                <w:sz w:val="21"/>
                <w:szCs w:val="21"/>
                <w:u w:val="single"/>
              </w:rPr>
              <w:t>报告</w:t>
            </w:r>
            <w:r>
              <w:rPr>
                <w:rFonts w:ascii="Arial" w:hAnsi="Arial" w:eastAsia="宋体" w:cs="Arial"/>
                <w:bCs/>
                <w:sz w:val="21"/>
                <w:szCs w:val="21"/>
                <w:u w:val="single"/>
              </w:rPr>
              <w:t>已要求项目编制突发环境事件应急预案，并与园区环境事件应急预案进行联动；</w:t>
            </w:r>
          </w:p>
          <w:p w14:paraId="64F8308F">
            <w:pPr>
              <w:adjustRightInd w:val="0"/>
              <w:snapToGrid w:val="0"/>
              <w:rPr>
                <w:rFonts w:ascii="Arial" w:hAnsi="Arial" w:eastAsia="宋体" w:cs="Arial"/>
                <w:bCs/>
                <w:sz w:val="21"/>
                <w:szCs w:val="21"/>
                <w:u w:val="single"/>
              </w:rPr>
            </w:pPr>
            <w:r>
              <w:rPr>
                <w:rFonts w:ascii="Arial" w:hAnsi="Arial" w:eastAsia="宋体" w:cs="Arial"/>
                <w:bCs/>
                <w:sz w:val="21"/>
                <w:szCs w:val="21"/>
                <w:u w:val="single"/>
              </w:rPr>
              <w:t>2</w:t>
            </w:r>
            <w:r>
              <w:rPr>
                <w:rFonts w:hint="eastAsia" w:ascii="Arial" w:hAnsi="Arial" w:eastAsia="宋体" w:cs="Arial"/>
                <w:bCs/>
                <w:sz w:val="21"/>
                <w:szCs w:val="21"/>
                <w:u w:val="single"/>
              </w:rPr>
              <w:t>.</w:t>
            </w:r>
            <w:r>
              <w:rPr>
                <w:rFonts w:hint="eastAsia" w:ascii="Arial" w:hAnsi="Arial" w:eastAsia="宋体" w:cs="Arial"/>
                <w:sz w:val="21"/>
                <w:szCs w:val="21"/>
                <w:u w:val="single"/>
              </w:rPr>
              <w:t>不涉及</w:t>
            </w:r>
            <w:r>
              <w:rPr>
                <w:rFonts w:ascii="Arial" w:hAnsi="Arial" w:eastAsia="宋体" w:cs="Arial"/>
                <w:sz w:val="21"/>
                <w:szCs w:val="21"/>
                <w:u w:val="single"/>
              </w:rPr>
              <w:t>；</w:t>
            </w:r>
          </w:p>
          <w:p w14:paraId="206BBACA">
            <w:pPr>
              <w:adjustRightInd w:val="0"/>
              <w:snapToGrid w:val="0"/>
              <w:rPr>
                <w:rFonts w:ascii="Arial" w:hAnsi="Arial" w:eastAsia="宋体" w:cs="Arial"/>
                <w:bCs/>
                <w:sz w:val="21"/>
                <w:szCs w:val="21"/>
                <w:u w:val="single"/>
              </w:rPr>
            </w:pPr>
            <w:r>
              <w:rPr>
                <w:rFonts w:ascii="Arial" w:hAnsi="Arial" w:eastAsia="宋体" w:cs="Arial"/>
                <w:bCs/>
                <w:sz w:val="21"/>
                <w:szCs w:val="21"/>
                <w:u w:val="single"/>
              </w:rPr>
              <w:t>3</w:t>
            </w:r>
            <w:r>
              <w:rPr>
                <w:rFonts w:hint="eastAsia" w:ascii="Arial" w:hAnsi="Arial" w:eastAsia="宋体" w:cs="Arial"/>
                <w:bCs/>
                <w:sz w:val="21"/>
                <w:szCs w:val="21"/>
                <w:u w:val="single"/>
              </w:rPr>
              <w:t>.企业不属于</w:t>
            </w:r>
            <w:r>
              <w:rPr>
                <w:rFonts w:hint="eastAsia" w:ascii="Arial" w:hAnsi="Arial" w:eastAsia="宋体" w:cs="Arial"/>
                <w:sz w:val="21"/>
                <w:szCs w:val="21"/>
                <w:u w:val="single"/>
              </w:rPr>
              <w:t>土壤环境监管重点单位</w:t>
            </w:r>
            <w:r>
              <w:rPr>
                <w:rFonts w:ascii="Arial" w:hAnsi="Arial" w:eastAsia="宋体" w:cs="Arial"/>
                <w:sz w:val="21"/>
                <w:szCs w:val="21"/>
                <w:u w:val="single"/>
              </w:rPr>
              <w:t>。</w:t>
            </w:r>
          </w:p>
        </w:tc>
        <w:tc>
          <w:tcPr>
            <w:tcW w:w="369" w:type="pct"/>
            <w:tcBorders>
              <w:top w:val="single" w:color="auto" w:sz="4" w:space="0"/>
              <w:left w:val="single" w:color="auto" w:sz="4" w:space="0"/>
              <w:bottom w:val="single" w:color="auto" w:sz="4" w:space="0"/>
              <w:right w:val="single" w:color="auto" w:sz="4" w:space="0"/>
            </w:tcBorders>
            <w:vAlign w:val="center"/>
          </w:tcPr>
          <w:p w14:paraId="5FE98CE1">
            <w:pPr>
              <w:adjustRightInd w:val="0"/>
              <w:snapToGrid w:val="0"/>
              <w:rPr>
                <w:rFonts w:ascii="Arial" w:hAnsi="Arial" w:eastAsia="宋体" w:cs="Arial"/>
                <w:sz w:val="21"/>
                <w:szCs w:val="21"/>
                <w:highlight w:val="yellow"/>
                <w:u w:val="single"/>
              </w:rPr>
            </w:pPr>
            <w:r>
              <w:rPr>
                <w:rFonts w:ascii="Arial" w:hAnsi="Arial" w:eastAsia="宋体" w:cs="Arial"/>
                <w:sz w:val="21"/>
                <w:szCs w:val="21"/>
                <w:u w:val="single"/>
              </w:rPr>
              <w:t>符合</w:t>
            </w:r>
          </w:p>
        </w:tc>
      </w:tr>
      <w:tr w14:paraId="2CABC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tcBorders>
              <w:top w:val="single" w:color="auto" w:sz="4" w:space="0"/>
              <w:left w:val="single" w:color="auto" w:sz="4" w:space="0"/>
              <w:bottom w:val="single" w:color="auto" w:sz="4" w:space="0"/>
              <w:right w:val="single" w:color="auto" w:sz="4" w:space="0"/>
            </w:tcBorders>
            <w:vAlign w:val="center"/>
          </w:tcPr>
          <w:p w14:paraId="17482AA9">
            <w:pPr>
              <w:adjustRightInd w:val="0"/>
              <w:snapToGrid w:val="0"/>
              <w:rPr>
                <w:rFonts w:ascii="Arial" w:hAnsi="Arial" w:eastAsia="宋体" w:cs="Arial"/>
                <w:sz w:val="21"/>
                <w:szCs w:val="21"/>
                <w:u w:val="single"/>
              </w:rPr>
            </w:pPr>
            <w:r>
              <w:rPr>
                <w:rFonts w:ascii="Arial" w:hAnsi="Arial" w:eastAsia="宋体" w:cs="Arial"/>
                <w:sz w:val="21"/>
                <w:szCs w:val="21"/>
                <w:u w:val="single"/>
              </w:rPr>
              <w:t xml:space="preserve">资源开发利用效率要求 </w:t>
            </w:r>
          </w:p>
        </w:tc>
        <w:tc>
          <w:tcPr>
            <w:tcW w:w="2996" w:type="pct"/>
            <w:tcBorders>
              <w:top w:val="single" w:color="auto" w:sz="4" w:space="0"/>
              <w:left w:val="single" w:color="auto" w:sz="4" w:space="0"/>
              <w:bottom w:val="single" w:color="auto" w:sz="4" w:space="0"/>
              <w:right w:val="single" w:color="auto" w:sz="4" w:space="0"/>
            </w:tcBorders>
            <w:vAlign w:val="center"/>
          </w:tcPr>
          <w:p w14:paraId="4699475F">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1．在禁燃区内，禁止销售、燃用高污染燃料；禁止新建、扩建燃用高污染燃料的设施，已建成的，应当在城市人民政府规定的期限内改用天然气、页岩气、液化石油气、电或者其他清洁能源。其余按照《钦州市人民政府关于划定高污染燃料禁燃区的通告》要求实施管理。</w:t>
            </w:r>
          </w:p>
          <w:p w14:paraId="0153E746">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2．加强水资源消耗总量与强度控制，推进节水减排，提升水资源利用效率和效益。</w:t>
            </w:r>
          </w:p>
          <w:p w14:paraId="0ADC2127">
            <w:pPr>
              <w:adjustRightInd w:val="0"/>
              <w:snapToGrid w:val="0"/>
              <w:jc w:val="left"/>
              <w:rPr>
                <w:rFonts w:ascii="Arial" w:hAnsi="Arial" w:eastAsia="宋体" w:cs="Arial"/>
                <w:sz w:val="21"/>
                <w:szCs w:val="21"/>
                <w:u w:val="single"/>
              </w:rPr>
            </w:pPr>
            <w:r>
              <w:rPr>
                <w:rFonts w:hint="eastAsia" w:ascii="Arial" w:hAnsi="Arial" w:eastAsia="宋体" w:cs="Arial"/>
                <w:sz w:val="21"/>
                <w:szCs w:val="21"/>
                <w:u w:val="single"/>
              </w:rPr>
              <w:t>3．坚持节约集约用地，提高土地利用效率。</w:t>
            </w:r>
          </w:p>
        </w:tc>
        <w:tc>
          <w:tcPr>
            <w:tcW w:w="1260" w:type="pct"/>
            <w:tcBorders>
              <w:top w:val="single" w:color="auto" w:sz="4" w:space="0"/>
              <w:left w:val="single" w:color="auto" w:sz="4" w:space="0"/>
              <w:bottom w:val="single" w:color="auto" w:sz="4" w:space="0"/>
              <w:right w:val="single" w:color="auto" w:sz="4" w:space="0"/>
            </w:tcBorders>
            <w:vAlign w:val="center"/>
          </w:tcPr>
          <w:p w14:paraId="39F09BE7">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1.</w:t>
            </w:r>
            <w:r>
              <w:rPr>
                <w:rFonts w:ascii="Arial" w:hAnsi="Arial" w:eastAsia="宋体" w:cs="Arial"/>
                <w:sz w:val="21"/>
                <w:szCs w:val="21"/>
                <w:u w:val="single"/>
              </w:rPr>
              <w:t xml:space="preserve"> 项目不在高污染燃料禁燃区</w:t>
            </w:r>
            <w:r>
              <w:rPr>
                <w:rFonts w:hint="eastAsia" w:ascii="Arial" w:hAnsi="Arial" w:eastAsia="宋体" w:cs="Arial"/>
                <w:sz w:val="21"/>
                <w:szCs w:val="21"/>
                <w:u w:val="single"/>
              </w:rPr>
              <w:t>；</w:t>
            </w:r>
          </w:p>
          <w:p w14:paraId="5E99BDE0">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2.项目用水量不大，废水经处理后，可再利用的先进行回用。</w:t>
            </w:r>
          </w:p>
          <w:p w14:paraId="4B163183">
            <w:pPr>
              <w:adjustRightInd w:val="0"/>
              <w:snapToGrid w:val="0"/>
              <w:rPr>
                <w:rFonts w:ascii="Arial" w:hAnsi="Arial" w:eastAsia="宋体" w:cs="Arial"/>
                <w:sz w:val="21"/>
                <w:szCs w:val="21"/>
                <w:u w:val="single"/>
              </w:rPr>
            </w:pPr>
            <w:r>
              <w:rPr>
                <w:rFonts w:hint="eastAsia" w:ascii="Arial" w:hAnsi="Arial" w:eastAsia="宋体" w:cs="Arial"/>
                <w:sz w:val="21"/>
                <w:szCs w:val="21"/>
                <w:u w:val="single"/>
              </w:rPr>
              <w:t>3.项目不新增用地。</w:t>
            </w:r>
          </w:p>
        </w:tc>
        <w:tc>
          <w:tcPr>
            <w:tcW w:w="369" w:type="pct"/>
            <w:tcBorders>
              <w:top w:val="single" w:color="auto" w:sz="4" w:space="0"/>
              <w:left w:val="single" w:color="auto" w:sz="4" w:space="0"/>
              <w:bottom w:val="single" w:color="auto" w:sz="4" w:space="0"/>
              <w:right w:val="single" w:color="auto" w:sz="4" w:space="0"/>
            </w:tcBorders>
            <w:vAlign w:val="center"/>
          </w:tcPr>
          <w:p w14:paraId="2D764116">
            <w:pPr>
              <w:adjustRightInd w:val="0"/>
              <w:snapToGrid w:val="0"/>
              <w:rPr>
                <w:rFonts w:ascii="Arial" w:hAnsi="Arial" w:eastAsia="宋体" w:cs="Arial"/>
                <w:sz w:val="21"/>
                <w:szCs w:val="21"/>
                <w:u w:val="single"/>
              </w:rPr>
            </w:pPr>
            <w:r>
              <w:rPr>
                <w:rFonts w:ascii="Arial" w:hAnsi="Arial" w:eastAsia="宋体" w:cs="Arial"/>
                <w:sz w:val="21"/>
                <w:szCs w:val="21"/>
                <w:u w:val="single"/>
              </w:rPr>
              <w:t>符合</w:t>
            </w:r>
          </w:p>
        </w:tc>
      </w:tr>
    </w:tbl>
    <w:p w14:paraId="544A17F5">
      <w:pPr>
        <w:pStyle w:val="5"/>
        <w:spacing w:line="500" w:lineRule="exact"/>
        <w:ind w:firstLine="475" w:firstLineChars="194"/>
        <w:rPr>
          <w:szCs w:val="24"/>
        </w:rPr>
      </w:pPr>
      <w:r>
        <w:rPr>
          <w:szCs w:val="24"/>
        </w:rPr>
        <w:t>因此，项目不属于环境准入负面清单范畴。</w:t>
      </w:r>
    </w:p>
    <w:p w14:paraId="3985E1E1">
      <w:pPr>
        <w:pStyle w:val="5"/>
        <w:spacing w:line="500" w:lineRule="exact"/>
        <w:ind w:firstLine="475" w:firstLineChars="194"/>
        <w:rPr>
          <w:szCs w:val="24"/>
        </w:rPr>
      </w:pPr>
      <w:r>
        <w:rPr>
          <w:szCs w:val="24"/>
        </w:rPr>
        <w:t>5、小结</w:t>
      </w:r>
    </w:p>
    <w:p w14:paraId="60374057">
      <w:pPr>
        <w:pStyle w:val="5"/>
        <w:spacing w:line="500" w:lineRule="exact"/>
        <w:ind w:firstLine="475" w:firstLineChars="194"/>
        <w:rPr>
          <w:szCs w:val="24"/>
        </w:rPr>
      </w:pPr>
      <w:r>
        <w:rPr>
          <w:szCs w:val="24"/>
        </w:rPr>
        <w:t>综上所述，项目不涉及生态保护红线、未超出环境质量底线及资源利用上线、未列入环境准入负面清单内，与</w:t>
      </w:r>
      <w:r>
        <w:rPr>
          <w:rFonts w:hint="eastAsia"/>
          <w:szCs w:val="24"/>
        </w:rPr>
        <w:t>生态环境分区管控</w:t>
      </w:r>
      <w:r>
        <w:rPr>
          <w:szCs w:val="24"/>
        </w:rPr>
        <w:t>相关要求相符。</w:t>
      </w:r>
    </w:p>
    <w:p w14:paraId="42AC2E02">
      <w:pPr>
        <w:keepNext/>
        <w:keepLines/>
        <w:numPr>
          <w:ilvl w:val="0"/>
          <w:numId w:val="10"/>
        </w:numPr>
        <w:spacing w:before="126" w:after="126" w:line="500" w:lineRule="exact"/>
        <w:outlineLvl w:val="2"/>
        <w:rPr>
          <w:rFonts w:ascii="Arial" w:hAnsi="Arial" w:eastAsia="宋体" w:cs="Arial"/>
          <w:b/>
          <w:bCs/>
          <w:sz w:val="24"/>
          <w:szCs w:val="24"/>
        </w:rPr>
      </w:pPr>
      <w:r>
        <w:rPr>
          <w:rFonts w:hint="eastAsia" w:ascii="Arial" w:hAnsi="Arial" w:eastAsia="宋体" w:cs="Arial"/>
          <w:b/>
          <w:bCs/>
          <w:sz w:val="24"/>
          <w:szCs w:val="24"/>
        </w:rPr>
        <w:t>与《地下水管理条例》相符性分析</w:t>
      </w:r>
    </w:p>
    <w:p w14:paraId="626DEBD9">
      <w:pPr>
        <w:pStyle w:val="5"/>
        <w:spacing w:line="500" w:lineRule="exact"/>
        <w:ind w:firstLine="475" w:firstLineChars="194"/>
        <w:rPr>
          <w:szCs w:val="24"/>
        </w:rPr>
      </w:pPr>
      <w:r>
        <w:rPr>
          <w:rFonts w:hint="eastAsia"/>
          <w:szCs w:val="24"/>
        </w:rPr>
        <w:t>项目不开采地下水，不使用地下水，项目符合《地下水管理条例》的相关要求，详见表1-41。</w:t>
      </w:r>
    </w:p>
    <w:p w14:paraId="2DFDDDF7">
      <w:pPr>
        <w:keepNext/>
        <w:keepLines/>
        <w:numPr>
          <w:ilvl w:val="0"/>
          <w:numId w:val="5"/>
        </w:numPr>
        <w:tabs>
          <w:tab w:val="left" w:pos="0"/>
        </w:tabs>
        <w:spacing w:line="500" w:lineRule="exact"/>
        <w:ind w:left="0" w:firstLine="0"/>
        <w:jc w:val="center"/>
        <w:outlineLvl w:val="4"/>
        <w:rPr>
          <w:rFonts w:ascii="Arial" w:hAnsi="Arial" w:eastAsia="宋体" w:cs="Arial"/>
          <w:b/>
          <w:sz w:val="24"/>
        </w:rPr>
      </w:pPr>
      <w:r>
        <w:rPr>
          <w:rFonts w:hint="eastAsia" w:ascii="Arial" w:hAnsi="Arial" w:eastAsia="宋体" w:cs="Arial"/>
          <w:b/>
          <w:sz w:val="24"/>
        </w:rPr>
        <w:t>与《地下水管理条例》相符性分析</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5178"/>
        <w:gridCol w:w="2998"/>
      </w:tblGrid>
      <w:tr w14:paraId="1816F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shd w:val="clear" w:color="auto" w:fill="auto"/>
            <w:vAlign w:val="center"/>
          </w:tcPr>
          <w:p w14:paraId="7F39296A">
            <w:pPr>
              <w:pStyle w:val="5"/>
              <w:spacing w:line="240" w:lineRule="exact"/>
              <w:ind w:firstLine="0"/>
              <w:jc w:val="center"/>
              <w:rPr>
                <w:sz w:val="21"/>
                <w:szCs w:val="21"/>
              </w:rPr>
            </w:pPr>
            <w:r>
              <w:rPr>
                <w:rFonts w:hint="eastAsia"/>
                <w:sz w:val="21"/>
                <w:szCs w:val="21"/>
              </w:rPr>
              <w:t>序号</w:t>
            </w:r>
          </w:p>
        </w:tc>
        <w:tc>
          <w:tcPr>
            <w:tcW w:w="5178" w:type="dxa"/>
            <w:shd w:val="clear" w:color="auto" w:fill="auto"/>
            <w:vAlign w:val="center"/>
          </w:tcPr>
          <w:p w14:paraId="4EF6BBCC">
            <w:pPr>
              <w:pStyle w:val="5"/>
              <w:spacing w:line="240" w:lineRule="exact"/>
              <w:ind w:firstLine="0"/>
              <w:jc w:val="center"/>
              <w:rPr>
                <w:sz w:val="21"/>
                <w:szCs w:val="21"/>
              </w:rPr>
            </w:pPr>
            <w:r>
              <w:rPr>
                <w:rFonts w:hint="eastAsia"/>
                <w:sz w:val="21"/>
                <w:szCs w:val="21"/>
              </w:rPr>
              <w:t>相关要求</w:t>
            </w:r>
          </w:p>
        </w:tc>
        <w:tc>
          <w:tcPr>
            <w:tcW w:w="2998" w:type="dxa"/>
            <w:shd w:val="clear" w:color="auto" w:fill="auto"/>
            <w:vAlign w:val="center"/>
          </w:tcPr>
          <w:p w14:paraId="6A8F5759">
            <w:pPr>
              <w:pStyle w:val="5"/>
              <w:spacing w:line="240" w:lineRule="exact"/>
              <w:ind w:firstLine="0"/>
              <w:jc w:val="center"/>
              <w:rPr>
                <w:sz w:val="21"/>
                <w:szCs w:val="21"/>
              </w:rPr>
            </w:pPr>
            <w:r>
              <w:rPr>
                <w:rFonts w:hint="eastAsia"/>
                <w:sz w:val="21"/>
                <w:szCs w:val="21"/>
              </w:rPr>
              <w:t>项目情况</w:t>
            </w:r>
          </w:p>
        </w:tc>
      </w:tr>
      <w:tr w14:paraId="006B9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shd w:val="clear" w:color="auto" w:fill="auto"/>
            <w:vAlign w:val="center"/>
          </w:tcPr>
          <w:p w14:paraId="43A181EA">
            <w:pPr>
              <w:pStyle w:val="5"/>
              <w:spacing w:line="240" w:lineRule="exact"/>
              <w:ind w:firstLine="0"/>
              <w:rPr>
                <w:sz w:val="21"/>
                <w:szCs w:val="21"/>
              </w:rPr>
            </w:pPr>
            <w:r>
              <w:rPr>
                <w:rFonts w:hint="eastAsia"/>
                <w:sz w:val="21"/>
                <w:szCs w:val="21"/>
              </w:rPr>
              <w:t>第四十条</w:t>
            </w:r>
          </w:p>
        </w:tc>
        <w:tc>
          <w:tcPr>
            <w:tcW w:w="5178" w:type="dxa"/>
            <w:shd w:val="clear" w:color="auto" w:fill="auto"/>
            <w:vAlign w:val="center"/>
          </w:tcPr>
          <w:p w14:paraId="2601D09E">
            <w:pPr>
              <w:pStyle w:val="5"/>
              <w:spacing w:line="240" w:lineRule="exact"/>
              <w:ind w:firstLine="0"/>
              <w:rPr>
                <w:sz w:val="21"/>
                <w:szCs w:val="21"/>
              </w:rPr>
            </w:pPr>
            <w:r>
              <w:rPr>
                <w:rFonts w:hint="eastAsia"/>
                <w:sz w:val="21"/>
                <w:szCs w:val="21"/>
              </w:rPr>
              <w:t>禁止下列污染或者可能污染地下水的行为：</w:t>
            </w:r>
          </w:p>
          <w:p w14:paraId="2EACF260">
            <w:pPr>
              <w:pStyle w:val="5"/>
              <w:spacing w:line="240" w:lineRule="exact"/>
              <w:ind w:firstLine="0"/>
              <w:rPr>
                <w:sz w:val="21"/>
                <w:szCs w:val="21"/>
              </w:rPr>
            </w:pPr>
            <w:r>
              <w:rPr>
                <w:rFonts w:hint="eastAsia"/>
                <w:sz w:val="21"/>
                <w:szCs w:val="21"/>
              </w:rPr>
              <w:t>（一）利用渗井、渗坑、裂隙、溶洞以及私设暗管等逃避监管的方式排放水污染物；</w:t>
            </w:r>
          </w:p>
          <w:p w14:paraId="3BDB1076">
            <w:pPr>
              <w:pStyle w:val="5"/>
              <w:spacing w:line="240" w:lineRule="exact"/>
              <w:ind w:firstLine="0"/>
              <w:rPr>
                <w:sz w:val="21"/>
                <w:szCs w:val="21"/>
              </w:rPr>
            </w:pPr>
            <w:r>
              <w:rPr>
                <w:rFonts w:hint="eastAsia"/>
                <w:sz w:val="21"/>
                <w:szCs w:val="21"/>
              </w:rPr>
              <w:t>（二）利用岩层孔隙、裂隙、溶洞、废弃矿坑等贮存石化原料及产品、农药、危险废物、城镇污水处理设施产生的污泥和处理后的污泥或者其他有毒有害物质；</w:t>
            </w:r>
          </w:p>
          <w:p w14:paraId="5E135290">
            <w:pPr>
              <w:pStyle w:val="5"/>
              <w:spacing w:line="240" w:lineRule="exact"/>
              <w:ind w:firstLine="0"/>
              <w:rPr>
                <w:sz w:val="21"/>
                <w:szCs w:val="21"/>
              </w:rPr>
            </w:pPr>
            <w:r>
              <w:rPr>
                <w:rFonts w:hint="eastAsia"/>
                <w:sz w:val="21"/>
                <w:szCs w:val="21"/>
              </w:rPr>
              <w:t>（三）利用无防渗漏措施的沟渠、坑塘等输送或者贮存含有毒污染物的废水、含病原体的污水和其他废弃物；</w:t>
            </w:r>
          </w:p>
          <w:p w14:paraId="26533408">
            <w:pPr>
              <w:pStyle w:val="5"/>
              <w:spacing w:line="240" w:lineRule="exact"/>
              <w:ind w:firstLine="0"/>
              <w:rPr>
                <w:sz w:val="21"/>
                <w:szCs w:val="21"/>
              </w:rPr>
            </w:pPr>
            <w:r>
              <w:rPr>
                <w:rFonts w:hint="eastAsia"/>
                <w:sz w:val="21"/>
                <w:szCs w:val="21"/>
              </w:rPr>
              <w:t>（四）法律、法规禁止的其他污染或者可能污染地下水的行为。</w:t>
            </w:r>
          </w:p>
        </w:tc>
        <w:tc>
          <w:tcPr>
            <w:tcW w:w="2998" w:type="dxa"/>
            <w:shd w:val="clear" w:color="auto" w:fill="auto"/>
            <w:vAlign w:val="center"/>
          </w:tcPr>
          <w:p w14:paraId="60FFE8F3">
            <w:pPr>
              <w:pStyle w:val="5"/>
              <w:spacing w:line="240" w:lineRule="exact"/>
              <w:ind w:firstLine="0"/>
              <w:rPr>
                <w:sz w:val="21"/>
                <w:szCs w:val="21"/>
              </w:rPr>
            </w:pPr>
            <w:r>
              <w:rPr>
                <w:rFonts w:hint="eastAsia"/>
                <w:sz w:val="21"/>
                <w:szCs w:val="21"/>
              </w:rPr>
              <w:t>符合。</w:t>
            </w:r>
          </w:p>
          <w:p w14:paraId="5498AE82">
            <w:pPr>
              <w:pStyle w:val="5"/>
              <w:spacing w:line="240" w:lineRule="exact"/>
              <w:ind w:firstLine="0"/>
              <w:rPr>
                <w:sz w:val="21"/>
                <w:szCs w:val="21"/>
              </w:rPr>
            </w:pPr>
            <w:r>
              <w:rPr>
                <w:rFonts w:hint="eastAsia"/>
                <w:sz w:val="21"/>
                <w:szCs w:val="21"/>
              </w:rPr>
              <w:t>项目生活污水经处理达标后排入大榄坪污水处理厂，生产废水经处理达标后，依托大榄坪污水处理厂的深海排放管道排入A2排污区，不向地下排水。项目物料贮存在相应仓库，不利用岩层孔隙、裂隙、溶洞、废弃矿坑等贮存。项目污水采用管道输送，不涉及使用无防渗漏措施的沟渠、坑塘。</w:t>
            </w:r>
          </w:p>
        </w:tc>
      </w:tr>
      <w:tr w14:paraId="630C6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shd w:val="clear" w:color="auto" w:fill="auto"/>
            <w:vAlign w:val="center"/>
          </w:tcPr>
          <w:p w14:paraId="39AE923E">
            <w:pPr>
              <w:pStyle w:val="5"/>
              <w:spacing w:line="240" w:lineRule="exact"/>
              <w:ind w:firstLine="0"/>
              <w:rPr>
                <w:sz w:val="21"/>
                <w:szCs w:val="21"/>
              </w:rPr>
            </w:pPr>
            <w:r>
              <w:rPr>
                <w:rFonts w:hint="eastAsia"/>
                <w:sz w:val="21"/>
                <w:szCs w:val="21"/>
              </w:rPr>
              <w:t>第四十一条</w:t>
            </w:r>
          </w:p>
        </w:tc>
        <w:tc>
          <w:tcPr>
            <w:tcW w:w="5178" w:type="dxa"/>
            <w:shd w:val="clear" w:color="auto" w:fill="auto"/>
            <w:vAlign w:val="center"/>
          </w:tcPr>
          <w:p w14:paraId="792D3541">
            <w:pPr>
              <w:pStyle w:val="5"/>
              <w:spacing w:line="240" w:lineRule="exact"/>
              <w:ind w:firstLine="0"/>
              <w:rPr>
                <w:sz w:val="21"/>
                <w:szCs w:val="21"/>
              </w:rPr>
            </w:pPr>
            <w:r>
              <w:rPr>
                <w:rFonts w:hint="eastAsia"/>
                <w:sz w:val="21"/>
                <w:szCs w:val="21"/>
              </w:rPr>
              <w:t>企业事业单位和其他生产经营者应当采取下列措施，防止地下水污染：</w:t>
            </w:r>
          </w:p>
          <w:p w14:paraId="5660F706">
            <w:pPr>
              <w:pStyle w:val="5"/>
              <w:spacing w:line="240" w:lineRule="exact"/>
              <w:ind w:firstLine="0"/>
              <w:rPr>
                <w:sz w:val="21"/>
                <w:szCs w:val="21"/>
              </w:rPr>
            </w:pPr>
            <w:r>
              <w:rPr>
                <w:rFonts w:hint="eastAsia"/>
                <w:sz w:val="21"/>
                <w:szCs w:val="21"/>
              </w:rPr>
              <w:t>（一）兴建地下工程设施或者进行地下勘探、采矿等活动，依法编制的环境影响评价文件中，应当包括地下水污染防治的内容，并采取防护性措施；</w:t>
            </w:r>
          </w:p>
          <w:p w14:paraId="60F1771F">
            <w:pPr>
              <w:pStyle w:val="5"/>
              <w:spacing w:line="240" w:lineRule="exact"/>
              <w:ind w:firstLine="0"/>
              <w:rPr>
                <w:sz w:val="21"/>
                <w:szCs w:val="21"/>
              </w:rPr>
            </w:pPr>
            <w:r>
              <w:rPr>
                <w:rFonts w:hint="eastAsia"/>
                <w:sz w:val="21"/>
                <w:szCs w:val="21"/>
              </w:rPr>
              <w:t>（二）化学品生产企业以及工业集聚区、矿山开采区、尾矿库、危险废物处置场、垃圾填埋场等的运营、管理单位，应当采取防渗漏等措施，并建设地下水水质监测井进行监测；</w:t>
            </w:r>
          </w:p>
          <w:p w14:paraId="2A73C737">
            <w:pPr>
              <w:pStyle w:val="5"/>
              <w:spacing w:line="240" w:lineRule="exact"/>
              <w:ind w:firstLine="0"/>
              <w:rPr>
                <w:sz w:val="21"/>
                <w:szCs w:val="21"/>
              </w:rPr>
            </w:pPr>
            <w:r>
              <w:rPr>
                <w:rFonts w:hint="eastAsia"/>
                <w:sz w:val="21"/>
                <w:szCs w:val="21"/>
              </w:rPr>
              <w:t>（三）加油站等的地下油罐应当使用双层罐或者采取建造防渗池等其他有效措施，并进行防渗漏监测；</w:t>
            </w:r>
          </w:p>
          <w:p w14:paraId="36AE527C">
            <w:pPr>
              <w:pStyle w:val="5"/>
              <w:spacing w:line="240" w:lineRule="exact"/>
              <w:ind w:firstLine="0"/>
              <w:rPr>
                <w:sz w:val="21"/>
                <w:szCs w:val="21"/>
              </w:rPr>
            </w:pPr>
            <w:r>
              <w:rPr>
                <w:rFonts w:hint="eastAsia"/>
                <w:sz w:val="21"/>
                <w:szCs w:val="21"/>
              </w:rPr>
              <w:t>（四）存放可溶性剧毒废渣的场所，应当采取防水、防渗漏、防流失的措施；</w:t>
            </w:r>
          </w:p>
          <w:p w14:paraId="589F4027">
            <w:pPr>
              <w:pStyle w:val="5"/>
              <w:spacing w:line="240" w:lineRule="exact"/>
              <w:ind w:firstLine="0"/>
              <w:rPr>
                <w:sz w:val="21"/>
                <w:szCs w:val="21"/>
              </w:rPr>
            </w:pPr>
            <w:r>
              <w:rPr>
                <w:rFonts w:hint="eastAsia"/>
                <w:sz w:val="21"/>
                <w:szCs w:val="21"/>
              </w:rPr>
              <w:t>（五）法律、法规规定应当采取的其他防止地下水污染的措施。</w:t>
            </w:r>
          </w:p>
          <w:p w14:paraId="706D0197">
            <w:pPr>
              <w:pStyle w:val="5"/>
              <w:spacing w:line="240" w:lineRule="exact"/>
              <w:ind w:firstLine="0"/>
              <w:rPr>
                <w:sz w:val="21"/>
                <w:szCs w:val="21"/>
              </w:rPr>
            </w:pPr>
            <w:r>
              <w:rPr>
                <w:rFonts w:hint="eastAsia"/>
                <w:sz w:val="21"/>
                <w:szCs w:val="21"/>
              </w:rPr>
              <w:t>根据前款第二项规定的企业事业单位和其他生产经营者排放有毒有害物质情况，地方人民政府生态环境主管部门应当按照国务院生态环境主管部门的规定，商有关部门确定并公布地下水污染防治重点排污单位名录。地下水污染防治重点排污单位应当依法安装水污染物排放自动监测设备，与生态环境主管部门的监控设备联网，并保证监测设备正常运行。</w:t>
            </w:r>
          </w:p>
        </w:tc>
        <w:tc>
          <w:tcPr>
            <w:tcW w:w="2998" w:type="dxa"/>
            <w:shd w:val="clear" w:color="auto" w:fill="auto"/>
            <w:vAlign w:val="center"/>
          </w:tcPr>
          <w:p w14:paraId="20E2ED80">
            <w:pPr>
              <w:pStyle w:val="5"/>
              <w:spacing w:line="240" w:lineRule="exact"/>
              <w:ind w:firstLine="0"/>
              <w:rPr>
                <w:sz w:val="21"/>
                <w:szCs w:val="21"/>
              </w:rPr>
            </w:pPr>
            <w:r>
              <w:rPr>
                <w:rFonts w:hint="eastAsia"/>
                <w:sz w:val="21"/>
                <w:szCs w:val="21"/>
              </w:rPr>
              <w:t>符合。</w:t>
            </w:r>
          </w:p>
          <w:p w14:paraId="3CBE13DA">
            <w:pPr>
              <w:pStyle w:val="5"/>
              <w:spacing w:line="240" w:lineRule="exact"/>
              <w:ind w:firstLine="0"/>
              <w:rPr>
                <w:sz w:val="21"/>
                <w:szCs w:val="21"/>
              </w:rPr>
            </w:pPr>
            <w:r>
              <w:rPr>
                <w:rFonts w:hint="eastAsia"/>
                <w:sz w:val="21"/>
                <w:szCs w:val="21"/>
              </w:rPr>
              <w:t>项目建设内容地下设施开挖深度较浅，未见地下水；项目按分区防渗要求设置地下水污染防治措施，厂区已建立4个地下水水质监测井；企业不属于地下水污染防治重点排污单位。</w:t>
            </w:r>
          </w:p>
        </w:tc>
      </w:tr>
      <w:tr w14:paraId="3116D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shd w:val="clear" w:color="auto" w:fill="auto"/>
            <w:vAlign w:val="center"/>
          </w:tcPr>
          <w:p w14:paraId="6F2080DC">
            <w:pPr>
              <w:pStyle w:val="5"/>
              <w:spacing w:line="240" w:lineRule="exact"/>
              <w:ind w:firstLine="0"/>
              <w:rPr>
                <w:sz w:val="21"/>
                <w:szCs w:val="21"/>
              </w:rPr>
            </w:pPr>
            <w:r>
              <w:rPr>
                <w:rFonts w:hint="eastAsia"/>
                <w:sz w:val="21"/>
                <w:szCs w:val="21"/>
              </w:rPr>
              <w:t>第四十二条</w:t>
            </w:r>
          </w:p>
        </w:tc>
        <w:tc>
          <w:tcPr>
            <w:tcW w:w="5178" w:type="dxa"/>
            <w:shd w:val="clear" w:color="auto" w:fill="auto"/>
            <w:vAlign w:val="center"/>
          </w:tcPr>
          <w:p w14:paraId="4CFC75CD">
            <w:pPr>
              <w:pStyle w:val="5"/>
              <w:spacing w:line="240" w:lineRule="exact"/>
              <w:ind w:firstLine="0"/>
              <w:rPr>
                <w:sz w:val="21"/>
                <w:szCs w:val="21"/>
              </w:rPr>
            </w:pPr>
            <w:r>
              <w:rPr>
                <w:rFonts w:hint="eastAsia"/>
                <w:sz w:val="21"/>
                <w:szCs w:val="21"/>
              </w:rPr>
              <w:t>在泉域保护范围以及岩溶强发育、存在较多落水洞和岩溶漏斗的区域内，不得新建、改建、扩建可能造成地下水污染的建设项目。</w:t>
            </w:r>
          </w:p>
        </w:tc>
        <w:tc>
          <w:tcPr>
            <w:tcW w:w="2998" w:type="dxa"/>
            <w:shd w:val="clear" w:color="auto" w:fill="auto"/>
            <w:vAlign w:val="center"/>
          </w:tcPr>
          <w:p w14:paraId="0C40194F">
            <w:pPr>
              <w:pStyle w:val="5"/>
              <w:spacing w:line="240" w:lineRule="exact"/>
              <w:ind w:firstLine="0"/>
              <w:rPr>
                <w:sz w:val="21"/>
                <w:szCs w:val="21"/>
              </w:rPr>
            </w:pPr>
            <w:r>
              <w:rPr>
                <w:rFonts w:hint="eastAsia"/>
                <w:sz w:val="21"/>
                <w:szCs w:val="21"/>
              </w:rPr>
              <w:t>符合。</w:t>
            </w:r>
          </w:p>
          <w:p w14:paraId="1217AB64">
            <w:pPr>
              <w:pStyle w:val="5"/>
              <w:spacing w:line="240" w:lineRule="exact"/>
              <w:ind w:firstLine="0"/>
              <w:rPr>
                <w:sz w:val="21"/>
                <w:szCs w:val="21"/>
              </w:rPr>
            </w:pPr>
            <w:r>
              <w:rPr>
                <w:rFonts w:hint="eastAsia"/>
                <w:sz w:val="21"/>
                <w:szCs w:val="21"/>
              </w:rPr>
              <w:t>项目所在地为滨海滩涂地貌为主，现状为填海区，地含水层主要为松散岩类孔隙水，岩性主要为淤泥质砂，不属于泉域保护范围以及岩溶强发育、存在较多落水洞和岩溶漏斗的区域。</w:t>
            </w:r>
          </w:p>
        </w:tc>
      </w:tr>
    </w:tbl>
    <w:p w14:paraId="554D2C62">
      <w:pPr>
        <w:keepNext/>
        <w:keepLines/>
        <w:numPr>
          <w:ilvl w:val="0"/>
          <w:numId w:val="10"/>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与《关于加强高耗能、高排放建设项目生态环境源头防控的指导意见》相符性分析</w:t>
      </w:r>
    </w:p>
    <w:p w14:paraId="0CAC9089">
      <w:pPr>
        <w:pStyle w:val="5"/>
        <w:spacing w:line="500" w:lineRule="exact"/>
        <w:ind w:firstLine="475" w:firstLineChars="194"/>
        <w:rPr>
          <w:szCs w:val="24"/>
        </w:rPr>
      </w:pPr>
      <w:r>
        <w:rPr>
          <w:szCs w:val="24"/>
        </w:rPr>
        <w:t>指导意见提出：</w:t>
      </w:r>
    </w:p>
    <w:p w14:paraId="53317E95">
      <w:pPr>
        <w:pStyle w:val="5"/>
        <w:spacing w:line="500" w:lineRule="exact"/>
        <w:ind w:firstLine="475" w:firstLineChars="194"/>
        <w:rPr>
          <w:szCs w:val="24"/>
        </w:rPr>
      </w:pPr>
      <w:r>
        <w:rPr>
          <w:szCs w:val="24"/>
        </w:rPr>
        <w:t>严把建设项目环境准入关。新建、改建、扩建“两高”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各级生态环境部门和行政审批部门要严格把关，对于不符合相关法律法规的，依法不予审批。新建“两高”项目应按照《关于加强重点行业建设项目区域削减措施监督管理的通知》要求，依据区域环境质量改善目标，制定配套区域污染物削减方案，采取有效的污染物区域削减措施，腾出足够的环境容量。</w:t>
      </w:r>
    </w:p>
    <w:p w14:paraId="2CD1F76B">
      <w:pPr>
        <w:pStyle w:val="5"/>
        <w:spacing w:line="500" w:lineRule="exact"/>
        <w:ind w:firstLine="475" w:firstLineChars="194"/>
        <w:rPr>
          <w:szCs w:val="24"/>
        </w:rPr>
      </w:pPr>
      <w:r>
        <w:rPr>
          <w:szCs w:val="24"/>
        </w:rPr>
        <w:t>项目不属于“两高”项目</w:t>
      </w:r>
      <w:r>
        <w:rPr>
          <w:rFonts w:hint="eastAsia"/>
          <w:szCs w:val="24"/>
        </w:rPr>
        <w:t>，项目不排放氮氧化物和挥发性有机物</w:t>
      </w:r>
      <w:r>
        <w:rPr>
          <w:szCs w:val="24"/>
        </w:rPr>
        <w:t>。项目位于钦州港大榄坪物流加工区，该园区已完成规划环评</w:t>
      </w:r>
      <w:r>
        <w:rPr>
          <w:rFonts w:hint="eastAsia"/>
          <w:szCs w:val="24"/>
        </w:rPr>
        <w:t>并取得审查意见</w:t>
      </w:r>
      <w:r>
        <w:rPr>
          <w:szCs w:val="24"/>
        </w:rPr>
        <w:t>，项目符合</w:t>
      </w:r>
      <w:r>
        <w:rPr>
          <w:rFonts w:hint="eastAsia"/>
          <w:szCs w:val="24"/>
        </w:rPr>
        <w:t>该园区</w:t>
      </w:r>
      <w:r>
        <w:rPr>
          <w:szCs w:val="24"/>
        </w:rPr>
        <w:t>规划环评要求；同时也处于广西钦州石化产业园，该园区已完成规划环评</w:t>
      </w:r>
      <w:r>
        <w:rPr>
          <w:rFonts w:hint="eastAsia"/>
          <w:szCs w:val="24"/>
        </w:rPr>
        <w:t>并取得审查意见</w:t>
      </w:r>
      <w:r>
        <w:rPr>
          <w:szCs w:val="24"/>
        </w:rPr>
        <w:t>，项目</w:t>
      </w:r>
      <w:r>
        <w:rPr>
          <w:rFonts w:hint="eastAsia"/>
          <w:szCs w:val="24"/>
        </w:rPr>
        <w:t>也</w:t>
      </w:r>
      <w:r>
        <w:rPr>
          <w:szCs w:val="24"/>
        </w:rPr>
        <w:t>符合</w:t>
      </w:r>
      <w:r>
        <w:rPr>
          <w:rFonts w:hint="eastAsia"/>
          <w:szCs w:val="24"/>
        </w:rPr>
        <w:t>该园区</w:t>
      </w:r>
      <w:r>
        <w:rPr>
          <w:szCs w:val="24"/>
        </w:rPr>
        <w:t>规划环评要求。因此，项目符合《关于加强高耗能、高排放建设项目生态环境源头防控的指导意见》（环环评〔2021〕45号）的要求。</w:t>
      </w:r>
    </w:p>
    <w:p w14:paraId="0E0D7CD2">
      <w:pPr>
        <w:keepNext/>
        <w:keepLines/>
        <w:numPr>
          <w:ilvl w:val="0"/>
          <w:numId w:val="10"/>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与《关于加强重点行业建设项目区域削减措施监督管理的通知》相符性分析</w:t>
      </w:r>
    </w:p>
    <w:p w14:paraId="367A3990">
      <w:pPr>
        <w:pStyle w:val="5"/>
        <w:spacing w:line="500" w:lineRule="exact"/>
        <w:ind w:firstLine="475" w:firstLineChars="194"/>
        <w:rPr>
          <w:szCs w:val="24"/>
        </w:rPr>
      </w:pPr>
      <w:r>
        <w:rPr>
          <w:szCs w:val="24"/>
        </w:rPr>
        <w:t>根据《关于加强重点行业建设项目区域削减措施监督管理的通知》，钦州市2022年、2023年属于达标区，项目主要污染物实行区域等量削减。项目不属于</w:t>
      </w:r>
      <w:r>
        <w:rPr>
          <w:rFonts w:hint="eastAsia"/>
          <w:szCs w:val="24"/>
        </w:rPr>
        <w:t>该通知所述的石化、煤化工、燃煤发电（含热电）、钢铁、有色金属冶炼、制浆造纸行业，项目也不属于</w:t>
      </w:r>
      <w:r>
        <w:rPr>
          <w:szCs w:val="24"/>
        </w:rPr>
        <w:t>“两高”项目，</w:t>
      </w:r>
      <w:r>
        <w:rPr>
          <w:rFonts w:hint="eastAsia"/>
          <w:szCs w:val="24"/>
        </w:rPr>
        <w:t>且不排放氮氧化物和挥发性有机物，故</w:t>
      </w:r>
      <w:r>
        <w:rPr>
          <w:szCs w:val="24"/>
        </w:rPr>
        <w:t>不</w:t>
      </w:r>
      <w:r>
        <w:rPr>
          <w:rFonts w:hint="eastAsia"/>
          <w:szCs w:val="24"/>
        </w:rPr>
        <w:t>需要</w:t>
      </w:r>
      <w:r>
        <w:rPr>
          <w:szCs w:val="24"/>
        </w:rPr>
        <w:t>进行区域</w:t>
      </w:r>
      <w:r>
        <w:rPr>
          <w:rFonts w:hint="eastAsia"/>
          <w:szCs w:val="24"/>
        </w:rPr>
        <w:t>削减</w:t>
      </w:r>
      <w:r>
        <w:rPr>
          <w:szCs w:val="24"/>
        </w:rPr>
        <w:t>。</w:t>
      </w:r>
    </w:p>
    <w:p w14:paraId="09FF28C6">
      <w:pPr>
        <w:keepNext/>
        <w:keepLines/>
        <w:numPr>
          <w:ilvl w:val="0"/>
          <w:numId w:val="10"/>
        </w:numPr>
        <w:spacing w:before="126" w:after="126" w:line="500" w:lineRule="exact"/>
        <w:outlineLvl w:val="2"/>
        <w:rPr>
          <w:rFonts w:ascii="Arial" w:hAnsi="Arial" w:eastAsia="宋体" w:cs="Arial"/>
          <w:b/>
          <w:bCs/>
          <w:sz w:val="24"/>
          <w:szCs w:val="24"/>
        </w:rPr>
      </w:pPr>
      <w:r>
        <w:rPr>
          <w:rFonts w:hint="eastAsia" w:ascii="Arial" w:hAnsi="Arial" w:eastAsia="宋体" w:cs="Arial"/>
          <w:b/>
          <w:bCs/>
          <w:sz w:val="24"/>
          <w:szCs w:val="24"/>
        </w:rPr>
        <w:t>与《广西壮族自治区高耗能、高排放建设项目主要污染物排放管理办法》相符性分析</w:t>
      </w:r>
    </w:p>
    <w:p w14:paraId="1CCBF725">
      <w:pPr>
        <w:pStyle w:val="5"/>
        <w:spacing w:line="500" w:lineRule="exact"/>
        <w:ind w:firstLine="475" w:firstLineChars="194"/>
        <w:rPr>
          <w:szCs w:val="24"/>
        </w:rPr>
      </w:pPr>
      <w:r>
        <w:rPr>
          <w:rFonts w:hint="eastAsia"/>
          <w:szCs w:val="24"/>
        </w:rPr>
        <w:t>《广西壮族自治区高耗能、高排放建设项目主要污染物排放管理办法》适用于列入广西“两高”项目管理目录的新建、改建和扩建建设项目新增主要污染物排放管理，项目不属于列入广西“两高”项目管理目录的项目。</w:t>
      </w:r>
    </w:p>
    <w:p w14:paraId="57D4F74B">
      <w:pPr>
        <w:keepNext/>
        <w:keepLines/>
        <w:numPr>
          <w:ilvl w:val="0"/>
          <w:numId w:val="10"/>
        </w:numPr>
        <w:spacing w:before="126" w:after="126" w:line="500" w:lineRule="exact"/>
        <w:outlineLvl w:val="2"/>
        <w:rPr>
          <w:rFonts w:ascii="Arial" w:hAnsi="Arial" w:eastAsia="宋体" w:cs="Arial"/>
          <w:b/>
          <w:bCs/>
          <w:sz w:val="24"/>
          <w:szCs w:val="24"/>
        </w:rPr>
      </w:pPr>
      <w:r>
        <w:rPr>
          <w:rFonts w:hint="eastAsia" w:ascii="Arial" w:hAnsi="Arial" w:eastAsia="宋体" w:cs="Arial"/>
          <w:b/>
          <w:bCs/>
          <w:sz w:val="24"/>
          <w:szCs w:val="24"/>
        </w:rPr>
        <w:t>与</w:t>
      </w:r>
      <w:r>
        <w:rPr>
          <w:rFonts w:ascii="Arial" w:hAnsi="Arial" w:eastAsia="宋体" w:cs="Arial"/>
          <w:b/>
          <w:bCs/>
          <w:sz w:val="24"/>
          <w:szCs w:val="24"/>
        </w:rPr>
        <w:t>《广西壮族自治区建设项目重金属污染物排放指标核定暂行办法》相符性分析</w:t>
      </w:r>
    </w:p>
    <w:p w14:paraId="201FE292">
      <w:pPr>
        <w:pStyle w:val="5"/>
        <w:spacing w:line="500" w:lineRule="exact"/>
        <w:ind w:firstLine="475" w:firstLineChars="194"/>
        <w:rPr>
          <w:szCs w:val="24"/>
          <w:highlight w:val="yellow"/>
        </w:rPr>
      </w:pPr>
      <w:r>
        <w:rPr>
          <w:szCs w:val="24"/>
        </w:rPr>
        <w:t>项目</w:t>
      </w:r>
      <w:r>
        <w:rPr>
          <w:rFonts w:hint="eastAsia"/>
          <w:szCs w:val="24"/>
        </w:rPr>
        <w:t>排放的</w:t>
      </w:r>
      <w:r>
        <w:rPr>
          <w:szCs w:val="24"/>
        </w:rPr>
        <w:t>主要大气污染物为颗粒物、</w:t>
      </w:r>
      <w:r>
        <w:rPr>
          <w:rFonts w:hint="eastAsia"/>
          <w:szCs w:val="24"/>
        </w:rPr>
        <w:t>氨、钴及其化合物</w:t>
      </w:r>
      <w:r>
        <w:rPr>
          <w:szCs w:val="24"/>
        </w:rPr>
        <w:t>，</w:t>
      </w:r>
      <w:r>
        <w:rPr>
          <w:rFonts w:hint="eastAsia"/>
          <w:szCs w:val="24"/>
        </w:rPr>
        <w:t>主要废水污染物为化学需氧量、氨氮、硫酸盐、钴，</w:t>
      </w:r>
      <w:r>
        <w:rPr>
          <w:szCs w:val="24"/>
        </w:rPr>
        <w:t>不排放重点重金属。</w:t>
      </w:r>
    </w:p>
    <w:p w14:paraId="0243CB37">
      <w:pPr>
        <w:keepNext/>
        <w:keepLines/>
        <w:numPr>
          <w:ilvl w:val="0"/>
          <w:numId w:val="10"/>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与《广西壮族自治区重金属污染防控工作方案》相符性分析</w:t>
      </w:r>
    </w:p>
    <w:p w14:paraId="7DD7BE17">
      <w:pPr>
        <w:pStyle w:val="5"/>
        <w:spacing w:line="500" w:lineRule="exact"/>
        <w:ind w:firstLine="475" w:firstLineChars="194"/>
        <w:rPr>
          <w:szCs w:val="24"/>
        </w:rPr>
      </w:pPr>
      <w:r>
        <w:rPr>
          <w:szCs w:val="24"/>
        </w:rPr>
        <w:t>项目符合《广西壮族自治区重金属污染防控工作方案》中的相关要求，详见表1-4</w:t>
      </w:r>
      <w:r>
        <w:rPr>
          <w:rFonts w:hint="eastAsia"/>
          <w:szCs w:val="24"/>
        </w:rPr>
        <w:t>2</w:t>
      </w:r>
      <w:r>
        <w:rPr>
          <w:szCs w:val="24"/>
        </w:rPr>
        <w:t>。</w:t>
      </w:r>
    </w:p>
    <w:p w14:paraId="58A472A4">
      <w:pPr>
        <w:pStyle w:val="5"/>
        <w:spacing w:line="500" w:lineRule="exact"/>
        <w:ind w:firstLine="475" w:firstLineChars="194"/>
        <w:rPr>
          <w:szCs w:val="24"/>
        </w:rPr>
      </w:pPr>
    </w:p>
    <w:p w14:paraId="37CED8EB">
      <w:pPr>
        <w:pStyle w:val="5"/>
        <w:spacing w:line="500" w:lineRule="exact"/>
        <w:ind w:firstLine="475" w:firstLineChars="194"/>
        <w:rPr>
          <w:szCs w:val="24"/>
        </w:rPr>
      </w:pPr>
    </w:p>
    <w:p w14:paraId="156472F6">
      <w:pPr>
        <w:keepNext/>
        <w:keepLines/>
        <w:numPr>
          <w:ilvl w:val="0"/>
          <w:numId w:val="5"/>
        </w:numPr>
        <w:tabs>
          <w:tab w:val="left" w:pos="0"/>
        </w:tabs>
        <w:spacing w:line="500" w:lineRule="exact"/>
        <w:ind w:left="0" w:firstLine="0"/>
        <w:jc w:val="center"/>
        <w:outlineLvl w:val="3"/>
        <w:rPr>
          <w:rFonts w:ascii="Arial" w:hAnsi="Arial" w:eastAsia="宋体" w:cs="Arial"/>
          <w:b/>
          <w:sz w:val="24"/>
        </w:rPr>
      </w:pPr>
      <w:r>
        <w:rPr>
          <w:rFonts w:ascii="Arial" w:hAnsi="Arial" w:eastAsia="宋体" w:cs="Arial"/>
          <w:b/>
          <w:sz w:val="24"/>
        </w:rPr>
        <w:t>与《广西壮族自治区重金属污染防控工作方案》相关要求符合性分析</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0"/>
        <w:gridCol w:w="5857"/>
        <w:gridCol w:w="2441"/>
      </w:tblGrid>
      <w:tr w14:paraId="2BC33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533" w:type="pct"/>
            <w:tcBorders>
              <w:top w:val="single" w:color="auto" w:sz="4" w:space="0"/>
              <w:left w:val="single" w:color="auto" w:sz="4" w:space="0"/>
              <w:bottom w:val="single" w:color="auto" w:sz="4" w:space="0"/>
              <w:right w:val="single" w:color="auto" w:sz="4" w:space="0"/>
            </w:tcBorders>
            <w:vAlign w:val="center"/>
          </w:tcPr>
          <w:p w14:paraId="499AF4B3">
            <w:pPr>
              <w:adjustRightInd w:val="0"/>
              <w:snapToGrid w:val="0"/>
              <w:jc w:val="center"/>
              <w:rPr>
                <w:rFonts w:ascii="Arial" w:hAnsi="Arial" w:eastAsia="宋体" w:cs="Arial"/>
                <w:bCs/>
                <w:sz w:val="21"/>
                <w:szCs w:val="21"/>
              </w:rPr>
            </w:pPr>
            <w:r>
              <w:rPr>
                <w:rFonts w:ascii="Arial" w:hAnsi="Arial" w:eastAsia="宋体" w:cs="Arial"/>
                <w:bCs/>
                <w:sz w:val="21"/>
                <w:szCs w:val="21"/>
              </w:rPr>
              <w:t>相关要求</w:t>
            </w:r>
          </w:p>
        </w:tc>
        <w:tc>
          <w:tcPr>
            <w:tcW w:w="3153" w:type="pct"/>
            <w:tcBorders>
              <w:top w:val="single" w:color="auto" w:sz="4" w:space="0"/>
              <w:left w:val="single" w:color="auto" w:sz="4" w:space="0"/>
              <w:bottom w:val="single" w:color="auto" w:sz="4" w:space="0"/>
              <w:right w:val="single" w:color="auto" w:sz="4" w:space="0"/>
            </w:tcBorders>
            <w:vAlign w:val="center"/>
          </w:tcPr>
          <w:p w14:paraId="58AA4CBE">
            <w:pPr>
              <w:adjustRightInd w:val="0"/>
              <w:snapToGrid w:val="0"/>
              <w:jc w:val="center"/>
              <w:rPr>
                <w:rFonts w:ascii="Arial" w:hAnsi="Arial" w:eastAsia="宋体" w:cs="Arial"/>
                <w:bCs/>
                <w:sz w:val="21"/>
                <w:szCs w:val="21"/>
              </w:rPr>
            </w:pPr>
            <w:r>
              <w:rPr>
                <w:rFonts w:ascii="Arial" w:hAnsi="Arial" w:eastAsia="宋体" w:cs="Arial"/>
                <w:bCs/>
                <w:sz w:val="21"/>
                <w:szCs w:val="21"/>
              </w:rPr>
              <w:t>内容</w:t>
            </w:r>
          </w:p>
        </w:tc>
        <w:tc>
          <w:tcPr>
            <w:tcW w:w="1314" w:type="pct"/>
            <w:tcBorders>
              <w:top w:val="single" w:color="auto" w:sz="4" w:space="0"/>
              <w:left w:val="single" w:color="auto" w:sz="4" w:space="0"/>
              <w:bottom w:val="single" w:color="auto" w:sz="4" w:space="0"/>
              <w:right w:val="single" w:color="auto" w:sz="4" w:space="0"/>
            </w:tcBorders>
            <w:vAlign w:val="center"/>
          </w:tcPr>
          <w:p w14:paraId="184F0D70">
            <w:pPr>
              <w:adjustRightInd w:val="0"/>
              <w:snapToGrid w:val="0"/>
              <w:jc w:val="center"/>
              <w:rPr>
                <w:rFonts w:ascii="Arial" w:hAnsi="Arial" w:eastAsia="宋体" w:cs="Arial"/>
                <w:bCs/>
                <w:sz w:val="21"/>
                <w:szCs w:val="21"/>
              </w:rPr>
            </w:pPr>
            <w:r>
              <w:rPr>
                <w:rFonts w:ascii="Arial" w:hAnsi="Arial" w:eastAsia="宋体" w:cs="Arial"/>
                <w:bCs/>
                <w:sz w:val="21"/>
                <w:szCs w:val="21"/>
              </w:rPr>
              <w:t>本项目情况</w:t>
            </w:r>
          </w:p>
        </w:tc>
      </w:tr>
      <w:tr w14:paraId="300A0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33" w:type="pct"/>
            <w:tcBorders>
              <w:top w:val="single" w:color="auto" w:sz="4" w:space="0"/>
              <w:left w:val="single" w:color="auto" w:sz="4" w:space="0"/>
              <w:bottom w:val="single" w:color="auto" w:sz="4" w:space="0"/>
              <w:right w:val="single" w:color="auto" w:sz="4" w:space="0"/>
            </w:tcBorders>
            <w:vAlign w:val="center"/>
          </w:tcPr>
          <w:p w14:paraId="7A4304C8">
            <w:pPr>
              <w:adjustRightInd w:val="0"/>
              <w:snapToGrid w:val="0"/>
              <w:rPr>
                <w:rFonts w:ascii="Arial" w:hAnsi="Arial" w:eastAsia="宋体" w:cs="Arial"/>
                <w:sz w:val="21"/>
                <w:szCs w:val="21"/>
              </w:rPr>
            </w:pPr>
            <w:r>
              <w:rPr>
                <w:rFonts w:ascii="Arial" w:hAnsi="Arial" w:eastAsia="宋体" w:cs="Arial"/>
                <w:sz w:val="21"/>
                <w:szCs w:val="21"/>
              </w:rPr>
              <w:t>严格环境准入管理</w:t>
            </w:r>
          </w:p>
        </w:tc>
        <w:tc>
          <w:tcPr>
            <w:tcW w:w="3153" w:type="pct"/>
            <w:tcBorders>
              <w:top w:val="single" w:color="auto" w:sz="4" w:space="0"/>
              <w:left w:val="single" w:color="auto" w:sz="4" w:space="0"/>
              <w:bottom w:val="single" w:color="auto" w:sz="4" w:space="0"/>
              <w:right w:val="single" w:color="auto" w:sz="4" w:space="0"/>
            </w:tcBorders>
            <w:vAlign w:val="center"/>
          </w:tcPr>
          <w:p w14:paraId="781B60A4">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重点行业的新、改、扩建建设项目应符合产业政策、区域环评、规划环评、“三线一单”和行业环境准入管控要求。重点区域的重点行业新、改、扩建建设项目应遵循重点重金属污染物排放“减量替代”原则，减量替代比例不低于1.2:1，其他区域执行“等量替代”要求。建设单位在提交环境影响评价文件时应明确重点重金属污染物排放总量及来源；无明确具体总量来源的，各级审批部门不得批准相关环境影响评价文件；总量来源应是国家核定的全口径清单削减量，原则上优先使用同一重点行业内企业削减的重点重金属污染物排放量。</w:t>
            </w:r>
          </w:p>
        </w:tc>
        <w:tc>
          <w:tcPr>
            <w:tcW w:w="1314" w:type="pct"/>
            <w:tcBorders>
              <w:top w:val="single" w:color="auto" w:sz="4" w:space="0"/>
              <w:left w:val="single" w:color="auto" w:sz="4" w:space="0"/>
              <w:bottom w:val="single" w:color="auto" w:sz="4" w:space="0"/>
              <w:right w:val="single" w:color="auto" w:sz="4" w:space="0"/>
            </w:tcBorders>
            <w:vAlign w:val="center"/>
          </w:tcPr>
          <w:p w14:paraId="4D577AAC">
            <w:pPr>
              <w:adjustRightInd w:val="0"/>
              <w:snapToGrid w:val="0"/>
              <w:rPr>
                <w:rFonts w:ascii="Arial" w:hAnsi="Arial" w:eastAsia="宋体" w:cs="Arial"/>
                <w:sz w:val="21"/>
                <w:szCs w:val="21"/>
              </w:rPr>
            </w:pPr>
            <w:r>
              <w:rPr>
                <w:rFonts w:ascii="Arial" w:hAnsi="Arial" w:eastAsia="宋体" w:cs="Arial"/>
                <w:sz w:val="21"/>
                <w:szCs w:val="21"/>
              </w:rPr>
              <w:t>项目位于钦州市，不属于重点区域，</w:t>
            </w:r>
            <w:r>
              <w:rPr>
                <w:rFonts w:ascii="Arial" w:hAnsi="Arial" w:eastAsia="宋体" w:cs="Arial"/>
                <w:kern w:val="0"/>
                <w:sz w:val="21"/>
                <w:szCs w:val="21"/>
              </w:rPr>
              <w:t>项目不涉及排放重点重金属。</w:t>
            </w:r>
          </w:p>
        </w:tc>
      </w:tr>
      <w:tr w14:paraId="35A9E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33" w:type="pct"/>
            <w:tcBorders>
              <w:top w:val="single" w:color="auto" w:sz="4" w:space="0"/>
              <w:left w:val="single" w:color="auto" w:sz="4" w:space="0"/>
              <w:bottom w:val="single" w:color="auto" w:sz="4" w:space="0"/>
              <w:right w:val="single" w:color="auto" w:sz="4" w:space="0"/>
            </w:tcBorders>
            <w:vAlign w:val="center"/>
          </w:tcPr>
          <w:p w14:paraId="0B820AB8">
            <w:pPr>
              <w:widowControl/>
              <w:adjustRightInd w:val="0"/>
              <w:snapToGrid w:val="0"/>
              <w:jc w:val="left"/>
              <w:rPr>
                <w:rFonts w:ascii="Arial" w:hAnsi="Arial" w:eastAsia="宋体" w:cs="Arial"/>
                <w:sz w:val="21"/>
                <w:szCs w:val="21"/>
              </w:rPr>
            </w:pPr>
            <w:r>
              <w:rPr>
                <w:rFonts w:ascii="Arial" w:hAnsi="Arial" w:eastAsia="宋体" w:cs="Arial"/>
                <w:sz w:val="21"/>
                <w:szCs w:val="21"/>
              </w:rPr>
              <w:t>优化产业结构和产业布局</w:t>
            </w:r>
          </w:p>
        </w:tc>
        <w:tc>
          <w:tcPr>
            <w:tcW w:w="3153" w:type="pct"/>
            <w:tcBorders>
              <w:top w:val="single" w:color="auto" w:sz="4" w:space="0"/>
              <w:left w:val="single" w:color="auto" w:sz="4" w:space="0"/>
              <w:bottom w:val="single" w:color="auto" w:sz="4" w:space="0"/>
              <w:right w:val="single" w:color="auto" w:sz="4" w:space="0"/>
            </w:tcBorders>
            <w:vAlign w:val="center"/>
          </w:tcPr>
          <w:p w14:paraId="16E1FB0E">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根据《产业结构调整指导目录》《限期淘汰产生严重污染环境的工业固体废物的落后生产工艺设备名录》等要求，依法淘汰涉重金属落后产能和化解过剩产能。严格执行生态环境保护等相关法规标准，推动经整改仍达不到要求的产能依法依规关闭退出。积极推动涉重金属产业集中优化发展，推进重有色金属冶炼、电镀、制革、铅蓄电池等重点行业企业入园管理；对于长期停工停产、没有生存能力和发展潜力的“僵尸企业”，加快实施关闭退出。新、改、扩建的重有色金属冶炼、电镀、制革企业应布设在依法合规设立并经规划环评的产业园区。</w:t>
            </w:r>
          </w:p>
        </w:tc>
        <w:tc>
          <w:tcPr>
            <w:tcW w:w="1314" w:type="pct"/>
            <w:tcBorders>
              <w:top w:val="single" w:color="auto" w:sz="4" w:space="0"/>
              <w:left w:val="single" w:color="auto" w:sz="4" w:space="0"/>
              <w:bottom w:val="single" w:color="auto" w:sz="4" w:space="0"/>
              <w:right w:val="single" w:color="auto" w:sz="4" w:space="0"/>
            </w:tcBorders>
            <w:vAlign w:val="center"/>
          </w:tcPr>
          <w:p w14:paraId="76690320">
            <w:pPr>
              <w:adjustRightInd w:val="0"/>
              <w:snapToGrid w:val="0"/>
              <w:rPr>
                <w:rFonts w:ascii="Arial" w:hAnsi="Arial" w:eastAsia="宋体" w:cs="Arial"/>
                <w:sz w:val="21"/>
                <w:szCs w:val="21"/>
              </w:rPr>
            </w:pPr>
            <w:r>
              <w:rPr>
                <w:rFonts w:ascii="Arial" w:hAnsi="Arial" w:eastAsia="宋体" w:cs="Arial"/>
                <w:sz w:val="21"/>
                <w:szCs w:val="21"/>
              </w:rPr>
              <w:t>符合。项目符合</w:t>
            </w:r>
            <w:r>
              <w:rPr>
                <w:rFonts w:ascii="Arial" w:hAnsi="Arial" w:eastAsia="宋体" w:cs="Arial"/>
                <w:kern w:val="0"/>
                <w:sz w:val="21"/>
                <w:szCs w:val="21"/>
              </w:rPr>
              <w:t>《产业结构调整指导目录》，不属于涉重金属落后产能；项目处于产业园区内，并符合园区规划。</w:t>
            </w:r>
          </w:p>
        </w:tc>
      </w:tr>
      <w:tr w14:paraId="34CF4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33" w:type="pct"/>
            <w:tcBorders>
              <w:top w:val="single" w:color="auto" w:sz="4" w:space="0"/>
              <w:left w:val="single" w:color="auto" w:sz="4" w:space="0"/>
              <w:bottom w:val="single" w:color="auto" w:sz="4" w:space="0"/>
              <w:right w:val="single" w:color="auto" w:sz="4" w:space="0"/>
            </w:tcBorders>
            <w:vAlign w:val="center"/>
          </w:tcPr>
          <w:p w14:paraId="523327F8">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推动重金属污染深度治理</w:t>
            </w:r>
          </w:p>
        </w:tc>
        <w:tc>
          <w:tcPr>
            <w:tcW w:w="3153" w:type="pct"/>
            <w:tcBorders>
              <w:top w:val="single" w:color="auto" w:sz="4" w:space="0"/>
              <w:left w:val="single" w:color="auto" w:sz="4" w:space="0"/>
              <w:bottom w:val="single" w:color="auto" w:sz="4" w:space="0"/>
              <w:right w:val="single" w:color="auto" w:sz="4" w:space="0"/>
            </w:tcBorders>
            <w:vAlign w:val="center"/>
          </w:tcPr>
          <w:p w14:paraId="0F9129C4">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重有色金属冶炼企业应加强生产车间低空逸散烟气收集处理，有效减少无组织排放；鼓励安装反渗透膜过滤纯化水装置替代钠离子交换树脂软水处理系统，降低水污染排放。重有色金属矿采选企业要按照规定完善废石堆场、排土场周边雨污分流设施，建设酸性废水收集与处理设施。采用洒水、旋风等简易除尘治理工艺的重有色金属矿采选企业，应加强废气收集，实施过滤除尘等颗粒物治理升级改造工程。开展电镀行业重金属污染综合整治，排查取缔非法电镀企业，开展专业电镀园区、专业电镀企业电镀废水分质分类处理和膜深度治理，提升电镀行业治污水平。</w:t>
            </w:r>
          </w:p>
        </w:tc>
        <w:tc>
          <w:tcPr>
            <w:tcW w:w="1314" w:type="pct"/>
            <w:tcBorders>
              <w:top w:val="single" w:color="auto" w:sz="4" w:space="0"/>
              <w:left w:val="single" w:color="auto" w:sz="4" w:space="0"/>
              <w:bottom w:val="single" w:color="auto" w:sz="4" w:space="0"/>
              <w:right w:val="single" w:color="auto" w:sz="4" w:space="0"/>
            </w:tcBorders>
            <w:vAlign w:val="center"/>
          </w:tcPr>
          <w:p w14:paraId="4EFC016B">
            <w:pPr>
              <w:adjustRightInd w:val="0"/>
              <w:snapToGrid w:val="0"/>
              <w:rPr>
                <w:rFonts w:ascii="Arial" w:hAnsi="Arial" w:eastAsia="宋体" w:cs="Arial"/>
                <w:kern w:val="0"/>
                <w:sz w:val="21"/>
                <w:szCs w:val="21"/>
              </w:rPr>
            </w:pPr>
            <w:r>
              <w:rPr>
                <w:rFonts w:ascii="Arial" w:hAnsi="Arial" w:eastAsia="宋体" w:cs="Arial"/>
                <w:kern w:val="0"/>
                <w:sz w:val="21"/>
                <w:szCs w:val="21"/>
              </w:rPr>
              <w:t>项目</w:t>
            </w:r>
            <w:r>
              <w:rPr>
                <w:rFonts w:hint="eastAsia" w:ascii="Arial" w:hAnsi="Arial" w:eastAsia="宋体" w:cs="Arial"/>
                <w:kern w:val="0"/>
                <w:sz w:val="21"/>
                <w:szCs w:val="21"/>
              </w:rPr>
              <w:t>不属于</w:t>
            </w:r>
            <w:r>
              <w:rPr>
                <w:rFonts w:ascii="Arial" w:hAnsi="Arial" w:eastAsia="宋体" w:cs="Arial"/>
                <w:kern w:val="0"/>
                <w:sz w:val="21"/>
                <w:szCs w:val="21"/>
              </w:rPr>
              <w:t>重有色金属冶炼</w:t>
            </w:r>
            <w:r>
              <w:rPr>
                <w:rFonts w:hint="eastAsia" w:ascii="Arial" w:hAnsi="Arial" w:eastAsia="宋体" w:cs="Arial"/>
                <w:kern w:val="0"/>
                <w:sz w:val="21"/>
                <w:szCs w:val="21"/>
              </w:rPr>
              <w:t>及</w:t>
            </w:r>
            <w:r>
              <w:rPr>
                <w:rFonts w:ascii="Arial" w:hAnsi="Arial" w:eastAsia="宋体" w:cs="Arial"/>
                <w:kern w:val="0"/>
                <w:sz w:val="21"/>
                <w:szCs w:val="21"/>
              </w:rPr>
              <w:t>不属于重有色金属矿采选</w:t>
            </w:r>
            <w:r>
              <w:rPr>
                <w:rFonts w:hint="eastAsia" w:ascii="Arial" w:hAnsi="Arial" w:eastAsia="宋体" w:cs="Arial"/>
                <w:kern w:val="0"/>
                <w:sz w:val="21"/>
                <w:szCs w:val="21"/>
              </w:rPr>
              <w:t>项目，也不属于电镀行业</w:t>
            </w:r>
            <w:r>
              <w:rPr>
                <w:rFonts w:ascii="Arial" w:hAnsi="Arial" w:eastAsia="宋体" w:cs="Arial"/>
                <w:kern w:val="0"/>
                <w:sz w:val="21"/>
                <w:szCs w:val="21"/>
              </w:rPr>
              <w:t>。</w:t>
            </w:r>
          </w:p>
        </w:tc>
      </w:tr>
      <w:tr w14:paraId="50B60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33" w:type="pct"/>
            <w:tcBorders>
              <w:top w:val="single" w:color="auto" w:sz="4" w:space="0"/>
              <w:left w:val="single" w:color="auto" w:sz="4" w:space="0"/>
              <w:bottom w:val="single" w:color="auto" w:sz="4" w:space="0"/>
              <w:right w:val="single" w:color="auto" w:sz="4" w:space="0"/>
            </w:tcBorders>
            <w:vAlign w:val="center"/>
          </w:tcPr>
          <w:p w14:paraId="10194048">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加强涉重金属固体废物环境管理</w:t>
            </w:r>
          </w:p>
        </w:tc>
        <w:tc>
          <w:tcPr>
            <w:tcW w:w="3153" w:type="pct"/>
            <w:tcBorders>
              <w:top w:val="single" w:color="auto" w:sz="4" w:space="0"/>
              <w:left w:val="single" w:color="auto" w:sz="4" w:space="0"/>
              <w:bottom w:val="single" w:color="auto" w:sz="4" w:space="0"/>
              <w:right w:val="single" w:color="auto" w:sz="4" w:space="0"/>
            </w:tcBorders>
            <w:vAlign w:val="center"/>
          </w:tcPr>
          <w:p w14:paraId="33C3BC5C">
            <w:pPr>
              <w:widowControl/>
              <w:adjustRightInd w:val="0"/>
              <w:snapToGrid w:val="0"/>
              <w:jc w:val="left"/>
              <w:rPr>
                <w:rFonts w:ascii="Arial" w:hAnsi="Arial" w:eastAsia="宋体" w:cs="Arial"/>
                <w:kern w:val="0"/>
                <w:sz w:val="21"/>
                <w:szCs w:val="21"/>
              </w:rPr>
            </w:pPr>
            <w:r>
              <w:rPr>
                <w:rFonts w:ascii="Arial" w:hAnsi="Arial" w:eastAsia="宋体" w:cs="Arial"/>
                <w:kern w:val="0"/>
                <w:sz w:val="21"/>
                <w:szCs w:val="21"/>
              </w:rPr>
              <w:t>加强涉重金属重点行业企业物料堆放场、废石场、废渣场和尾矿库等环境管理，完善防渗漏、防流失、防扬散等措施。严格废铅蓄电池、钢厂烟灰、冶炼灰渣等含重金属固体废物收集、贮存、转移、利用处置过程的环境管理，防范二次污染。</w:t>
            </w:r>
          </w:p>
        </w:tc>
        <w:tc>
          <w:tcPr>
            <w:tcW w:w="1314" w:type="pct"/>
            <w:tcBorders>
              <w:top w:val="single" w:color="auto" w:sz="4" w:space="0"/>
              <w:left w:val="single" w:color="auto" w:sz="4" w:space="0"/>
              <w:bottom w:val="single" w:color="auto" w:sz="4" w:space="0"/>
              <w:right w:val="single" w:color="auto" w:sz="4" w:space="0"/>
            </w:tcBorders>
            <w:vAlign w:val="center"/>
          </w:tcPr>
          <w:p w14:paraId="771DE3B8">
            <w:pPr>
              <w:adjustRightInd w:val="0"/>
              <w:snapToGrid w:val="0"/>
              <w:rPr>
                <w:rFonts w:ascii="Arial" w:hAnsi="Arial" w:eastAsia="宋体" w:cs="Arial"/>
                <w:kern w:val="0"/>
                <w:sz w:val="21"/>
                <w:szCs w:val="21"/>
              </w:rPr>
            </w:pPr>
            <w:r>
              <w:rPr>
                <w:rFonts w:ascii="Arial" w:hAnsi="Arial" w:eastAsia="宋体" w:cs="Arial"/>
                <w:kern w:val="0"/>
                <w:sz w:val="21"/>
                <w:szCs w:val="21"/>
              </w:rPr>
              <w:t>项目</w:t>
            </w:r>
            <w:r>
              <w:rPr>
                <w:rFonts w:hint="eastAsia" w:ascii="Arial" w:hAnsi="Arial" w:eastAsia="宋体" w:cs="Arial"/>
                <w:kern w:val="0"/>
                <w:sz w:val="21"/>
                <w:szCs w:val="21"/>
              </w:rPr>
              <w:t>物料主要为液态，</w:t>
            </w:r>
            <w:r>
              <w:rPr>
                <w:rFonts w:ascii="Arial" w:hAnsi="Arial" w:eastAsia="宋体" w:cs="Arial"/>
                <w:kern w:val="0"/>
                <w:sz w:val="21"/>
                <w:szCs w:val="21"/>
              </w:rPr>
              <w:t>不涉及相关物料堆放场、废石场、废渣场和尾矿库，也不产生冶炼灰渣。</w:t>
            </w:r>
          </w:p>
        </w:tc>
      </w:tr>
    </w:tbl>
    <w:p w14:paraId="719B2C51">
      <w:pPr>
        <w:keepNext/>
        <w:keepLines/>
        <w:numPr>
          <w:ilvl w:val="0"/>
          <w:numId w:val="2"/>
        </w:numPr>
        <w:tabs>
          <w:tab w:val="left" w:pos="567"/>
        </w:tabs>
        <w:spacing w:before="120" w:after="120" w:line="500" w:lineRule="exact"/>
        <w:ind w:left="398" w:hanging="398" w:hangingChars="150"/>
        <w:outlineLvl w:val="1"/>
        <w:rPr>
          <w:rFonts w:ascii="Arial" w:hAnsi="Arial" w:eastAsia="宋体" w:cs="Arial"/>
          <w:b/>
        </w:rPr>
      </w:pPr>
      <w:bookmarkStart w:id="248" w:name="_Toc182491375"/>
      <w:bookmarkStart w:id="249" w:name="_Toc166675356"/>
      <w:bookmarkStart w:id="250" w:name="_Toc154599059"/>
      <w:bookmarkStart w:id="251" w:name="_Toc185950212"/>
      <w:r>
        <w:rPr>
          <w:rFonts w:ascii="Arial" w:hAnsi="Arial" w:eastAsia="宋体" w:cs="Arial"/>
          <w:b/>
        </w:rPr>
        <w:t>选址合理性分析</w:t>
      </w:r>
      <w:bookmarkEnd w:id="248"/>
      <w:bookmarkEnd w:id="249"/>
      <w:bookmarkEnd w:id="250"/>
      <w:bookmarkEnd w:id="251"/>
    </w:p>
    <w:p w14:paraId="690000AE">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项目在中伟公司现有厂区内建设，不涉及自然保护区、生态功能保护区、风景名胜区、森林公园、饮用水水源保护区，不占用基本农田。项目处于大榄坪物流加工区，符合加工区修编后的规划环评及其审查意见的相关要求，同时也位于石化产业园区的鹿耳片区，也符合该园区规划环评及其审查意见的相关要求。</w:t>
      </w:r>
    </w:p>
    <w:p w14:paraId="40270AB9">
      <w:pPr>
        <w:spacing w:line="500" w:lineRule="exact"/>
        <w:ind w:firstLine="476"/>
        <w:rPr>
          <w:rFonts w:ascii="Arial" w:hAnsi="Arial" w:cs="Arial"/>
          <w:spacing w:val="10"/>
        </w:rPr>
      </w:pPr>
      <w:r>
        <w:rPr>
          <w:rFonts w:ascii="Arial" w:hAnsi="Arial" w:eastAsia="宋体" w:cs="Arial"/>
          <w:spacing w:val="10"/>
          <w:sz w:val="24"/>
          <w:szCs w:val="24"/>
        </w:rPr>
        <w:t>因此，项目选址合理。</w:t>
      </w:r>
      <w:bookmarkEnd w:id="216"/>
      <w:bookmarkEnd w:id="217"/>
      <w:bookmarkEnd w:id="218"/>
      <w:bookmarkEnd w:id="219"/>
      <w:bookmarkEnd w:id="220"/>
      <w:bookmarkEnd w:id="221"/>
    </w:p>
    <w:p w14:paraId="34D32A2F">
      <w:pPr>
        <w:pStyle w:val="3"/>
        <w:numPr>
          <w:ilvl w:val="0"/>
          <w:numId w:val="1"/>
        </w:numPr>
        <w:tabs>
          <w:tab w:val="left" w:pos="1931"/>
          <w:tab w:val="clear" w:pos="3065"/>
        </w:tabs>
        <w:ind w:left="1276"/>
        <w:rPr>
          <w:rFonts w:ascii="Arial" w:hAnsi="Arial" w:cs="Arial"/>
          <w:spacing w:val="10"/>
        </w:rPr>
      </w:pPr>
      <w:bookmarkStart w:id="252" w:name="_Toc185950213"/>
      <w:r>
        <w:rPr>
          <w:rFonts w:ascii="Arial" w:hAnsi="Arial" w:cs="Arial"/>
          <w:spacing w:val="10"/>
        </w:rPr>
        <w:t>建设项目工程分析</w:t>
      </w:r>
      <w:bookmarkEnd w:id="222"/>
      <w:bookmarkEnd w:id="223"/>
      <w:bookmarkEnd w:id="252"/>
    </w:p>
    <w:p w14:paraId="240611C9">
      <w:pPr>
        <w:pStyle w:val="4"/>
        <w:numPr>
          <w:ilvl w:val="1"/>
          <w:numId w:val="11"/>
        </w:numPr>
        <w:tabs>
          <w:tab w:val="left" w:pos="3217"/>
        </w:tabs>
        <w:spacing w:before="214" w:beforeLines="50" w:after="214" w:afterLines="50" w:line="500" w:lineRule="exact"/>
        <w:ind w:left="567"/>
        <w:rPr>
          <w:rFonts w:ascii="Arial" w:eastAsia="宋体" w:cs="Arial"/>
          <w:b/>
          <w:u w:val="single"/>
        </w:rPr>
      </w:pPr>
      <w:bookmarkStart w:id="253" w:name="_Toc185950214"/>
      <w:bookmarkStart w:id="254" w:name="_Toc182491377"/>
      <w:bookmarkStart w:id="255" w:name="_Toc166675358"/>
      <w:bookmarkStart w:id="256" w:name="_Toc104677242"/>
      <w:bookmarkStart w:id="257" w:name="_Toc1742954"/>
      <w:bookmarkStart w:id="258" w:name="_Toc311551330"/>
      <w:bookmarkStart w:id="259" w:name="_Toc104677253"/>
      <w:r>
        <w:rPr>
          <w:rFonts w:hint="eastAsia" w:ascii="Arial" w:eastAsia="宋体" w:cs="Arial"/>
          <w:b/>
          <w:u w:val="single"/>
        </w:rPr>
        <w:t>企业概况</w:t>
      </w:r>
      <w:bookmarkEnd w:id="253"/>
    </w:p>
    <w:p w14:paraId="17E51527">
      <w:pPr>
        <w:spacing w:line="500" w:lineRule="exact"/>
        <w:ind w:firstLine="490" w:firstLineChars="200"/>
        <w:rPr>
          <w:rFonts w:ascii="Arial" w:hAnsi="Arial" w:eastAsia="宋体" w:cs="Arial"/>
          <w:spacing w:val="10"/>
          <w:sz w:val="24"/>
          <w:szCs w:val="24"/>
          <w:u w:val="single"/>
        </w:rPr>
      </w:pPr>
      <w:r>
        <w:rPr>
          <w:rFonts w:hint="eastAsia" w:ascii="Arial" w:hAnsi="Arial" w:eastAsia="宋体" w:cs="Arial"/>
          <w:spacing w:val="10"/>
          <w:sz w:val="24"/>
          <w:u w:val="single"/>
        </w:rPr>
        <w:t>由概述可知，</w:t>
      </w:r>
      <w:r>
        <w:rPr>
          <w:rFonts w:hint="eastAsia" w:ascii="Arial" w:hAnsi="Arial" w:eastAsia="宋体" w:cs="Arial"/>
          <w:spacing w:val="10"/>
          <w:sz w:val="24"/>
          <w:szCs w:val="24"/>
          <w:u w:val="single"/>
        </w:rPr>
        <w:t>从2021年至2024年12月，广西中伟新能源科技有限公司相继完成10个项目的环评工作，审批情况见表2-1。企业各项目经过变更或技改之后，现今项目及其主要生产线的建设及验收情况见表2-2。</w:t>
      </w:r>
    </w:p>
    <w:p w14:paraId="4A69376F">
      <w:pPr>
        <w:keepNext/>
        <w:numPr>
          <w:ilvl w:val="0"/>
          <w:numId w:val="12"/>
        </w:numPr>
        <w:spacing w:line="480" w:lineRule="exact"/>
        <w:ind w:left="0" w:firstLine="0"/>
        <w:jc w:val="center"/>
        <w:outlineLvl w:val="5"/>
        <w:rPr>
          <w:rFonts w:ascii="Arial" w:hAnsi="Arial" w:eastAsia="宋体" w:cs="Arial"/>
          <w:b/>
          <w:spacing w:val="10"/>
          <w:sz w:val="24"/>
          <w:u w:val="single"/>
        </w:rPr>
      </w:pPr>
      <w:r>
        <w:rPr>
          <w:rFonts w:hint="eastAsia" w:ascii="Arial" w:hAnsi="Arial" w:eastAsia="宋体" w:cs="Arial"/>
          <w:b/>
          <w:spacing w:val="10"/>
          <w:sz w:val="24"/>
          <w:u w:val="single"/>
        </w:rPr>
        <w:t>企业环评项目审批情况</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5"/>
        <w:gridCol w:w="3368"/>
        <w:gridCol w:w="1833"/>
        <w:gridCol w:w="2072"/>
      </w:tblGrid>
      <w:tr w14:paraId="58082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85" w:type="pct"/>
            <w:vMerge w:val="restart"/>
            <w:vAlign w:val="center"/>
          </w:tcPr>
          <w:p w14:paraId="418074FE">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项目名称</w:t>
            </w:r>
          </w:p>
        </w:tc>
        <w:tc>
          <w:tcPr>
            <w:tcW w:w="3915" w:type="pct"/>
            <w:gridSpan w:val="3"/>
            <w:vAlign w:val="center"/>
          </w:tcPr>
          <w:p w14:paraId="7814FBAD">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环境影响评价情况</w:t>
            </w:r>
          </w:p>
        </w:tc>
      </w:tr>
      <w:tr w14:paraId="2C7C3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85" w:type="pct"/>
            <w:vMerge w:val="continue"/>
            <w:vAlign w:val="center"/>
          </w:tcPr>
          <w:p w14:paraId="4AC1498A">
            <w:pPr>
              <w:adjustRightInd w:val="0"/>
              <w:snapToGrid w:val="0"/>
              <w:jc w:val="center"/>
              <w:rPr>
                <w:rFonts w:ascii="Arial" w:hAnsi="Arial" w:eastAsia="宋体" w:cs="Arial"/>
                <w:spacing w:val="10"/>
                <w:sz w:val="21"/>
                <w:szCs w:val="21"/>
                <w:u w:val="single"/>
              </w:rPr>
            </w:pPr>
          </w:p>
        </w:tc>
        <w:tc>
          <w:tcPr>
            <w:tcW w:w="1813" w:type="pct"/>
            <w:vAlign w:val="center"/>
          </w:tcPr>
          <w:p w14:paraId="742F1848">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批准文号</w:t>
            </w:r>
          </w:p>
        </w:tc>
        <w:tc>
          <w:tcPr>
            <w:tcW w:w="987" w:type="pct"/>
            <w:vAlign w:val="center"/>
          </w:tcPr>
          <w:p w14:paraId="4DC38A9A">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批准时间</w:t>
            </w:r>
          </w:p>
        </w:tc>
        <w:tc>
          <w:tcPr>
            <w:tcW w:w="1116" w:type="pct"/>
            <w:vAlign w:val="center"/>
          </w:tcPr>
          <w:p w14:paraId="61A906F1">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审批单位</w:t>
            </w:r>
          </w:p>
        </w:tc>
      </w:tr>
      <w:tr w14:paraId="36055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33BB8798">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一阶段项目</w:t>
            </w:r>
          </w:p>
        </w:tc>
        <w:tc>
          <w:tcPr>
            <w:tcW w:w="1813" w:type="pct"/>
            <w:vAlign w:val="center"/>
          </w:tcPr>
          <w:p w14:paraId="3C4D9A9A">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钦港环管字〔2021〕19号</w:t>
            </w:r>
          </w:p>
        </w:tc>
        <w:tc>
          <w:tcPr>
            <w:tcW w:w="987" w:type="pct"/>
            <w:vAlign w:val="center"/>
          </w:tcPr>
          <w:p w14:paraId="0830CB42">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2021.7.22</w:t>
            </w:r>
          </w:p>
        </w:tc>
        <w:tc>
          <w:tcPr>
            <w:tcW w:w="1116" w:type="pct"/>
            <w:vAlign w:val="center"/>
          </w:tcPr>
          <w:p w14:paraId="52F25720">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59BA7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04F3CAF9">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二阶段项目</w:t>
            </w:r>
          </w:p>
        </w:tc>
        <w:tc>
          <w:tcPr>
            <w:tcW w:w="1813" w:type="pct"/>
            <w:vAlign w:val="center"/>
          </w:tcPr>
          <w:p w14:paraId="17BE5DB2">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钦港环管字〔2021〕20号</w:t>
            </w:r>
          </w:p>
        </w:tc>
        <w:tc>
          <w:tcPr>
            <w:tcW w:w="987" w:type="pct"/>
            <w:vAlign w:val="center"/>
          </w:tcPr>
          <w:p w14:paraId="7D1D21B8">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2021.7.28</w:t>
            </w:r>
          </w:p>
        </w:tc>
        <w:tc>
          <w:tcPr>
            <w:tcW w:w="1116" w:type="pct"/>
            <w:vAlign w:val="center"/>
          </w:tcPr>
          <w:p w14:paraId="61A3888D">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345D0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620F0519">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三阶段项目</w:t>
            </w:r>
          </w:p>
        </w:tc>
        <w:tc>
          <w:tcPr>
            <w:tcW w:w="1813" w:type="pct"/>
            <w:vAlign w:val="center"/>
          </w:tcPr>
          <w:p w14:paraId="75438172">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钦港环管字〔2021〕21号</w:t>
            </w:r>
          </w:p>
        </w:tc>
        <w:tc>
          <w:tcPr>
            <w:tcW w:w="987" w:type="pct"/>
            <w:vAlign w:val="center"/>
          </w:tcPr>
          <w:p w14:paraId="39C9EBCC">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2021.7.28</w:t>
            </w:r>
          </w:p>
        </w:tc>
        <w:tc>
          <w:tcPr>
            <w:tcW w:w="1116" w:type="pct"/>
            <w:vAlign w:val="center"/>
          </w:tcPr>
          <w:p w14:paraId="1267D4D8">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57CD5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70C3E63B">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一体化项目</w:t>
            </w:r>
          </w:p>
        </w:tc>
        <w:tc>
          <w:tcPr>
            <w:tcW w:w="1813" w:type="pct"/>
            <w:vAlign w:val="center"/>
          </w:tcPr>
          <w:p w14:paraId="2664651D">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自贸钦审批环〔2022〕25号</w:t>
            </w:r>
          </w:p>
        </w:tc>
        <w:tc>
          <w:tcPr>
            <w:tcW w:w="987" w:type="pct"/>
            <w:vAlign w:val="center"/>
          </w:tcPr>
          <w:p w14:paraId="7487D0CA">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2022.7.26</w:t>
            </w:r>
          </w:p>
        </w:tc>
        <w:tc>
          <w:tcPr>
            <w:tcW w:w="1116" w:type="pct"/>
            <w:vAlign w:val="center"/>
          </w:tcPr>
          <w:p w14:paraId="1961CB9F">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广西壮族自治区生态环境厅</w:t>
            </w:r>
          </w:p>
        </w:tc>
      </w:tr>
      <w:tr w14:paraId="3026B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7CAFB9ED">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燃气锅炉房项目</w:t>
            </w:r>
          </w:p>
        </w:tc>
        <w:tc>
          <w:tcPr>
            <w:tcW w:w="1813" w:type="pct"/>
            <w:vAlign w:val="center"/>
          </w:tcPr>
          <w:p w14:paraId="7C7CC057">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自贸钦审批环〔2023〕2号</w:t>
            </w:r>
          </w:p>
        </w:tc>
        <w:tc>
          <w:tcPr>
            <w:tcW w:w="987" w:type="pct"/>
            <w:vAlign w:val="center"/>
          </w:tcPr>
          <w:p w14:paraId="58EBC490">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2023.1.11</w:t>
            </w:r>
          </w:p>
        </w:tc>
        <w:tc>
          <w:tcPr>
            <w:tcW w:w="1116" w:type="pct"/>
            <w:vAlign w:val="center"/>
          </w:tcPr>
          <w:p w14:paraId="67E0A4FF">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6BDA1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59776057">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变电站项目</w:t>
            </w:r>
          </w:p>
        </w:tc>
        <w:tc>
          <w:tcPr>
            <w:tcW w:w="1813" w:type="pct"/>
            <w:vAlign w:val="center"/>
          </w:tcPr>
          <w:p w14:paraId="53B7C611">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自贸钦港审批环〔2021〕12号</w:t>
            </w:r>
          </w:p>
        </w:tc>
        <w:tc>
          <w:tcPr>
            <w:tcW w:w="987" w:type="pct"/>
            <w:vAlign w:val="center"/>
          </w:tcPr>
          <w:p w14:paraId="4C36598F">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2021.11.26</w:t>
            </w:r>
          </w:p>
        </w:tc>
        <w:tc>
          <w:tcPr>
            <w:tcW w:w="1116" w:type="pct"/>
            <w:vAlign w:val="center"/>
          </w:tcPr>
          <w:p w14:paraId="5C16A58E">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3D72F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283B2EAF">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MSP变更项目</w:t>
            </w:r>
          </w:p>
        </w:tc>
        <w:tc>
          <w:tcPr>
            <w:tcW w:w="1813" w:type="pct"/>
            <w:vAlign w:val="center"/>
          </w:tcPr>
          <w:p w14:paraId="017AC36C">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自贸钦审批环〔2024〕2号</w:t>
            </w:r>
          </w:p>
        </w:tc>
        <w:tc>
          <w:tcPr>
            <w:tcW w:w="987" w:type="pct"/>
            <w:vAlign w:val="center"/>
          </w:tcPr>
          <w:p w14:paraId="5DA7C386">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2024.1.10</w:t>
            </w:r>
          </w:p>
        </w:tc>
        <w:tc>
          <w:tcPr>
            <w:tcW w:w="1116" w:type="pct"/>
            <w:vAlign w:val="center"/>
          </w:tcPr>
          <w:p w14:paraId="0804DBDA">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686B8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7E50E2ED">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氨水项目</w:t>
            </w:r>
          </w:p>
        </w:tc>
        <w:tc>
          <w:tcPr>
            <w:tcW w:w="1813" w:type="pct"/>
            <w:vAlign w:val="center"/>
          </w:tcPr>
          <w:p w14:paraId="001EA4E6">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自贸钦审批环〔2024〕2</w:t>
            </w:r>
            <w:r>
              <w:rPr>
                <w:rFonts w:hint="eastAsia" w:ascii="Arial" w:hAnsi="Arial" w:eastAsia="宋体" w:cs="Arial"/>
                <w:spacing w:val="10"/>
                <w:sz w:val="21"/>
                <w:szCs w:val="21"/>
                <w:u w:val="single"/>
              </w:rPr>
              <w:t>0</w:t>
            </w:r>
            <w:r>
              <w:rPr>
                <w:rFonts w:ascii="Arial" w:hAnsi="Arial" w:eastAsia="宋体" w:cs="Arial"/>
                <w:spacing w:val="10"/>
                <w:sz w:val="21"/>
                <w:szCs w:val="21"/>
                <w:u w:val="single"/>
              </w:rPr>
              <w:t>号</w:t>
            </w:r>
          </w:p>
        </w:tc>
        <w:tc>
          <w:tcPr>
            <w:tcW w:w="987" w:type="pct"/>
            <w:vAlign w:val="center"/>
          </w:tcPr>
          <w:p w14:paraId="32A8B657">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2024.</w:t>
            </w:r>
            <w:r>
              <w:rPr>
                <w:rFonts w:hint="eastAsia" w:ascii="Arial" w:hAnsi="Arial" w:eastAsia="宋体" w:cs="Arial"/>
                <w:spacing w:val="10"/>
                <w:sz w:val="21"/>
                <w:szCs w:val="21"/>
                <w:u w:val="single"/>
              </w:rPr>
              <w:t>5.15</w:t>
            </w:r>
          </w:p>
        </w:tc>
        <w:tc>
          <w:tcPr>
            <w:tcW w:w="1116" w:type="pct"/>
            <w:vAlign w:val="center"/>
          </w:tcPr>
          <w:p w14:paraId="0D67F696">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钦州市生态环境局</w:t>
            </w:r>
          </w:p>
        </w:tc>
      </w:tr>
      <w:tr w14:paraId="18998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7FE2C667">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氢氧化钴技改项目</w:t>
            </w:r>
          </w:p>
        </w:tc>
        <w:tc>
          <w:tcPr>
            <w:tcW w:w="1813" w:type="pct"/>
            <w:vAlign w:val="center"/>
          </w:tcPr>
          <w:p w14:paraId="39E2506F">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w:t>
            </w:r>
            <w:r>
              <w:rPr>
                <w:rFonts w:hint="eastAsia" w:ascii="Arial" w:hAnsi="Arial" w:eastAsia="宋体" w:cs="Arial"/>
                <w:spacing w:val="10"/>
                <w:sz w:val="21"/>
                <w:szCs w:val="21"/>
                <w:u w:val="single"/>
              </w:rPr>
              <w:t>35</w:t>
            </w:r>
            <w:r>
              <w:rPr>
                <w:rFonts w:ascii="Arial" w:hAnsi="Arial" w:eastAsia="宋体" w:cs="Arial"/>
                <w:spacing w:val="10"/>
                <w:sz w:val="21"/>
                <w:szCs w:val="21"/>
                <w:u w:val="single"/>
              </w:rPr>
              <w:t>号</w:t>
            </w:r>
          </w:p>
        </w:tc>
        <w:tc>
          <w:tcPr>
            <w:tcW w:w="987" w:type="pct"/>
            <w:vAlign w:val="center"/>
          </w:tcPr>
          <w:p w14:paraId="3A348545">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2024.7.23</w:t>
            </w:r>
          </w:p>
        </w:tc>
        <w:tc>
          <w:tcPr>
            <w:tcW w:w="1116" w:type="pct"/>
            <w:vMerge w:val="restart"/>
            <w:vAlign w:val="center"/>
          </w:tcPr>
          <w:p w14:paraId="0BE984D5">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中国（广西）自由贸易试验区钦州港片区行政审批局</w:t>
            </w:r>
          </w:p>
        </w:tc>
      </w:tr>
      <w:tr w14:paraId="2CE43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vAlign w:val="center"/>
          </w:tcPr>
          <w:p w14:paraId="55E5F5C4">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一体化变更项目</w:t>
            </w:r>
          </w:p>
        </w:tc>
        <w:tc>
          <w:tcPr>
            <w:tcW w:w="1813" w:type="pct"/>
            <w:vAlign w:val="center"/>
          </w:tcPr>
          <w:p w14:paraId="72123D09">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自贸钦审批环〔2024〕</w:t>
            </w:r>
            <w:r>
              <w:rPr>
                <w:rFonts w:hint="eastAsia" w:ascii="Arial" w:hAnsi="Arial" w:eastAsia="宋体" w:cs="Arial"/>
                <w:spacing w:val="10"/>
                <w:sz w:val="21"/>
                <w:szCs w:val="21"/>
                <w:u w:val="single"/>
              </w:rPr>
              <w:t>54</w:t>
            </w:r>
            <w:r>
              <w:rPr>
                <w:rFonts w:ascii="Arial" w:hAnsi="Arial" w:eastAsia="宋体" w:cs="Arial"/>
                <w:spacing w:val="10"/>
                <w:sz w:val="21"/>
                <w:szCs w:val="21"/>
                <w:u w:val="single"/>
              </w:rPr>
              <w:t>号</w:t>
            </w:r>
          </w:p>
        </w:tc>
        <w:tc>
          <w:tcPr>
            <w:tcW w:w="987" w:type="pct"/>
            <w:vAlign w:val="center"/>
          </w:tcPr>
          <w:p w14:paraId="40BC847F">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2024.11.22</w:t>
            </w:r>
          </w:p>
        </w:tc>
        <w:tc>
          <w:tcPr>
            <w:tcW w:w="1116" w:type="pct"/>
            <w:vMerge w:val="continue"/>
            <w:vAlign w:val="center"/>
          </w:tcPr>
          <w:p w14:paraId="1B33CA4A">
            <w:pPr>
              <w:adjustRightInd w:val="0"/>
              <w:snapToGrid w:val="0"/>
              <w:jc w:val="center"/>
              <w:rPr>
                <w:rFonts w:ascii="Arial" w:hAnsi="Arial" w:eastAsia="宋体" w:cs="Arial"/>
                <w:spacing w:val="10"/>
                <w:sz w:val="21"/>
                <w:szCs w:val="21"/>
                <w:u w:val="single"/>
              </w:rPr>
            </w:pPr>
          </w:p>
        </w:tc>
      </w:tr>
    </w:tbl>
    <w:p w14:paraId="4B1E9938">
      <w:pPr>
        <w:keepNext/>
        <w:numPr>
          <w:ilvl w:val="0"/>
          <w:numId w:val="12"/>
        </w:numPr>
        <w:spacing w:line="480" w:lineRule="exact"/>
        <w:ind w:left="0" w:firstLine="0"/>
        <w:jc w:val="center"/>
        <w:outlineLvl w:val="5"/>
        <w:rPr>
          <w:rFonts w:ascii="Arial" w:hAnsi="Arial" w:eastAsia="宋体" w:cs="Arial"/>
          <w:b/>
          <w:spacing w:val="10"/>
          <w:sz w:val="24"/>
          <w:u w:val="single"/>
        </w:rPr>
      </w:pPr>
      <w:r>
        <w:rPr>
          <w:rFonts w:ascii="Arial" w:hAnsi="Arial" w:eastAsia="宋体" w:cs="Arial"/>
          <w:b/>
          <w:spacing w:val="10"/>
          <w:sz w:val="24"/>
          <w:u w:val="single"/>
        </w:rPr>
        <w:t>企业</w:t>
      </w:r>
      <w:r>
        <w:rPr>
          <w:rFonts w:hint="eastAsia" w:ascii="Arial" w:hAnsi="Arial" w:eastAsia="宋体" w:cs="Arial"/>
          <w:b/>
          <w:spacing w:val="10"/>
          <w:sz w:val="24"/>
          <w:u w:val="single"/>
        </w:rPr>
        <w:t>目前</w:t>
      </w:r>
      <w:r>
        <w:rPr>
          <w:rFonts w:ascii="Arial" w:hAnsi="Arial" w:eastAsia="宋体" w:cs="Arial"/>
          <w:b/>
          <w:spacing w:val="10"/>
          <w:sz w:val="24"/>
          <w:u w:val="single"/>
        </w:rPr>
        <w:t>各项目建设</w:t>
      </w:r>
      <w:r>
        <w:rPr>
          <w:rFonts w:hint="eastAsia" w:ascii="Arial" w:hAnsi="Arial" w:eastAsia="宋体" w:cs="Arial"/>
          <w:b/>
          <w:spacing w:val="10"/>
          <w:sz w:val="24"/>
          <w:u w:val="single"/>
        </w:rPr>
        <w:t>及验收情况表</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2"/>
        <w:gridCol w:w="1804"/>
        <w:gridCol w:w="1902"/>
        <w:gridCol w:w="2049"/>
        <w:gridCol w:w="1466"/>
        <w:gridCol w:w="1415"/>
      </w:tblGrid>
      <w:tr w14:paraId="1AC98E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trPr>
        <w:tc>
          <w:tcPr>
            <w:tcW w:w="351" w:type="pct"/>
            <w:vMerge w:val="restart"/>
            <w:vAlign w:val="center"/>
          </w:tcPr>
          <w:p w14:paraId="6FE8D9D9">
            <w:pPr>
              <w:pStyle w:val="5"/>
              <w:adjustRightInd w:val="0"/>
              <w:snapToGrid w:val="0"/>
              <w:spacing w:line="240" w:lineRule="auto"/>
              <w:ind w:firstLine="0"/>
              <w:jc w:val="center"/>
              <w:rPr>
                <w:b/>
                <w:sz w:val="18"/>
                <w:szCs w:val="18"/>
              </w:rPr>
            </w:pPr>
            <w:r>
              <w:rPr>
                <w:b/>
                <w:sz w:val="18"/>
                <w:szCs w:val="18"/>
              </w:rPr>
              <w:t>项目名称</w:t>
            </w:r>
          </w:p>
        </w:tc>
        <w:tc>
          <w:tcPr>
            <w:tcW w:w="1995" w:type="pct"/>
            <w:gridSpan w:val="2"/>
            <w:vAlign w:val="center"/>
          </w:tcPr>
          <w:p w14:paraId="52FA583C">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环评批复建设内容</w:t>
            </w:r>
          </w:p>
        </w:tc>
        <w:tc>
          <w:tcPr>
            <w:tcW w:w="1103" w:type="pct"/>
            <w:vMerge w:val="restart"/>
            <w:vAlign w:val="center"/>
          </w:tcPr>
          <w:p w14:paraId="6917E01E">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已建已验收</w:t>
            </w:r>
          </w:p>
        </w:tc>
        <w:tc>
          <w:tcPr>
            <w:tcW w:w="789" w:type="pct"/>
            <w:vMerge w:val="restart"/>
            <w:vAlign w:val="center"/>
          </w:tcPr>
          <w:p w14:paraId="53FDD56F">
            <w:pPr>
              <w:pStyle w:val="5"/>
              <w:adjustRightInd w:val="0"/>
              <w:snapToGrid w:val="0"/>
              <w:spacing w:line="240" w:lineRule="auto"/>
              <w:ind w:firstLine="0"/>
              <w:jc w:val="center"/>
              <w:rPr>
                <w:b/>
                <w:sz w:val="18"/>
                <w:szCs w:val="18"/>
              </w:rPr>
            </w:pPr>
            <w:r>
              <w:rPr>
                <w:b/>
                <w:sz w:val="18"/>
                <w:szCs w:val="18"/>
              </w:rPr>
              <w:t>已建未验收</w:t>
            </w:r>
          </w:p>
        </w:tc>
        <w:tc>
          <w:tcPr>
            <w:tcW w:w="762" w:type="pct"/>
            <w:vMerge w:val="restart"/>
            <w:vAlign w:val="center"/>
          </w:tcPr>
          <w:p w14:paraId="4BF1EACD">
            <w:pPr>
              <w:pStyle w:val="5"/>
              <w:adjustRightInd w:val="0"/>
              <w:snapToGrid w:val="0"/>
              <w:spacing w:line="240" w:lineRule="auto"/>
              <w:ind w:firstLine="0"/>
              <w:jc w:val="center"/>
              <w:rPr>
                <w:b/>
                <w:sz w:val="18"/>
                <w:szCs w:val="18"/>
              </w:rPr>
            </w:pPr>
            <w:r>
              <w:rPr>
                <w:b/>
                <w:sz w:val="18"/>
                <w:szCs w:val="18"/>
              </w:rPr>
              <w:t>未建</w:t>
            </w:r>
          </w:p>
        </w:tc>
      </w:tr>
      <w:tr w14:paraId="0F67AB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blHeader/>
        </w:trPr>
        <w:tc>
          <w:tcPr>
            <w:tcW w:w="351" w:type="pct"/>
            <w:vMerge w:val="continue"/>
            <w:vAlign w:val="center"/>
          </w:tcPr>
          <w:p w14:paraId="41687CF4">
            <w:pPr>
              <w:pStyle w:val="5"/>
              <w:adjustRightInd w:val="0"/>
              <w:snapToGrid w:val="0"/>
              <w:spacing w:line="240" w:lineRule="auto"/>
              <w:ind w:firstLine="0"/>
              <w:jc w:val="center"/>
              <w:rPr>
                <w:b/>
                <w:sz w:val="18"/>
                <w:szCs w:val="18"/>
              </w:rPr>
            </w:pPr>
          </w:p>
        </w:tc>
        <w:tc>
          <w:tcPr>
            <w:tcW w:w="971" w:type="pct"/>
            <w:vAlign w:val="center"/>
          </w:tcPr>
          <w:p w14:paraId="608E6253">
            <w:pPr>
              <w:pStyle w:val="942"/>
              <w:adjustRightInd w:val="0"/>
              <w:snapToGrid w:val="0"/>
              <w:jc w:val="center"/>
              <w:rPr>
                <w:rFonts w:ascii="Arial" w:hAnsi="Arial" w:cs="Arial"/>
                <w:b/>
                <w:sz w:val="18"/>
                <w:szCs w:val="18"/>
                <w:lang w:eastAsia="zh-CN"/>
              </w:rPr>
            </w:pPr>
            <w:r>
              <w:rPr>
                <w:rFonts w:ascii="Arial" w:hAnsi="Arial" w:cs="Arial"/>
                <w:b/>
                <w:sz w:val="18"/>
                <w:szCs w:val="18"/>
                <w:lang w:eastAsia="zh-CN"/>
              </w:rPr>
              <w:t>主要生产线</w:t>
            </w:r>
          </w:p>
        </w:tc>
        <w:tc>
          <w:tcPr>
            <w:tcW w:w="1024" w:type="pct"/>
            <w:vAlign w:val="center"/>
          </w:tcPr>
          <w:p w14:paraId="515EE125">
            <w:pPr>
              <w:pStyle w:val="942"/>
              <w:adjustRightInd w:val="0"/>
              <w:snapToGrid w:val="0"/>
              <w:jc w:val="center"/>
              <w:rPr>
                <w:rFonts w:ascii="Arial" w:hAnsi="Arial" w:cs="Arial"/>
                <w:b/>
                <w:sz w:val="18"/>
                <w:szCs w:val="18"/>
                <w:lang w:eastAsia="zh-CN"/>
              </w:rPr>
            </w:pPr>
            <w:r>
              <w:rPr>
                <w:rFonts w:hint="eastAsia" w:ascii="Arial" w:hAnsi="Arial" w:cs="Arial"/>
                <w:b/>
                <w:sz w:val="18"/>
                <w:szCs w:val="18"/>
                <w:lang w:eastAsia="zh-CN"/>
              </w:rPr>
              <w:t>主要产品产能</w:t>
            </w:r>
          </w:p>
        </w:tc>
        <w:tc>
          <w:tcPr>
            <w:tcW w:w="1103" w:type="pct"/>
            <w:vMerge w:val="continue"/>
            <w:vAlign w:val="center"/>
          </w:tcPr>
          <w:p w14:paraId="3FF01DDC">
            <w:pPr>
              <w:pStyle w:val="942"/>
              <w:adjustRightInd w:val="0"/>
              <w:snapToGrid w:val="0"/>
              <w:ind w:firstLine="361"/>
              <w:jc w:val="center"/>
              <w:rPr>
                <w:rFonts w:ascii="Arial" w:hAnsi="Arial" w:cs="Arial"/>
                <w:b/>
                <w:sz w:val="18"/>
                <w:szCs w:val="18"/>
                <w:lang w:eastAsia="zh-CN"/>
              </w:rPr>
            </w:pPr>
          </w:p>
        </w:tc>
        <w:tc>
          <w:tcPr>
            <w:tcW w:w="789" w:type="pct"/>
            <w:vMerge w:val="continue"/>
            <w:vAlign w:val="center"/>
          </w:tcPr>
          <w:p w14:paraId="79B65D75">
            <w:pPr>
              <w:pStyle w:val="5"/>
              <w:adjustRightInd w:val="0"/>
              <w:snapToGrid w:val="0"/>
              <w:spacing w:line="240" w:lineRule="auto"/>
              <w:ind w:firstLine="0"/>
              <w:jc w:val="center"/>
              <w:rPr>
                <w:b/>
                <w:sz w:val="18"/>
                <w:szCs w:val="18"/>
              </w:rPr>
            </w:pPr>
          </w:p>
        </w:tc>
        <w:tc>
          <w:tcPr>
            <w:tcW w:w="762" w:type="pct"/>
            <w:vMerge w:val="continue"/>
            <w:vAlign w:val="center"/>
          </w:tcPr>
          <w:p w14:paraId="642C37DB">
            <w:pPr>
              <w:pStyle w:val="5"/>
              <w:adjustRightInd w:val="0"/>
              <w:snapToGrid w:val="0"/>
              <w:spacing w:line="240" w:lineRule="auto"/>
              <w:ind w:firstLine="0"/>
              <w:jc w:val="center"/>
              <w:rPr>
                <w:b/>
                <w:sz w:val="18"/>
                <w:szCs w:val="18"/>
              </w:rPr>
            </w:pPr>
          </w:p>
        </w:tc>
      </w:tr>
      <w:tr w14:paraId="66B588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restart"/>
            <w:vAlign w:val="center"/>
          </w:tcPr>
          <w:p w14:paraId="171F6074">
            <w:pPr>
              <w:pStyle w:val="5"/>
              <w:adjustRightInd w:val="0"/>
              <w:snapToGrid w:val="0"/>
              <w:spacing w:line="240" w:lineRule="auto"/>
              <w:ind w:firstLine="0"/>
              <w:jc w:val="center"/>
              <w:rPr>
                <w:sz w:val="18"/>
                <w:szCs w:val="18"/>
              </w:rPr>
            </w:pPr>
            <w:r>
              <w:rPr>
                <w:sz w:val="18"/>
                <w:szCs w:val="18"/>
              </w:rPr>
              <w:t>一阶段项目</w:t>
            </w:r>
          </w:p>
        </w:tc>
        <w:tc>
          <w:tcPr>
            <w:tcW w:w="971" w:type="pct"/>
            <w:vAlign w:val="center"/>
          </w:tcPr>
          <w:p w14:paraId="29C3F9F7">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体生产线</w:t>
            </w:r>
          </w:p>
        </w:tc>
        <w:tc>
          <w:tcPr>
            <w:tcW w:w="1024" w:type="pct"/>
            <w:vAlign w:val="center"/>
          </w:tcPr>
          <w:p w14:paraId="5E593891">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1FDC0997">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p>
        </w:tc>
        <w:tc>
          <w:tcPr>
            <w:tcW w:w="789" w:type="pct"/>
            <w:vAlign w:val="center"/>
          </w:tcPr>
          <w:p w14:paraId="5768A372">
            <w:pPr>
              <w:pStyle w:val="5"/>
              <w:adjustRightInd w:val="0"/>
              <w:snapToGrid w:val="0"/>
              <w:spacing w:line="240" w:lineRule="auto"/>
              <w:ind w:firstLine="0"/>
              <w:jc w:val="center"/>
              <w:rPr>
                <w:sz w:val="18"/>
                <w:szCs w:val="18"/>
              </w:rPr>
            </w:pPr>
            <w:r>
              <w:rPr>
                <w:sz w:val="18"/>
                <w:szCs w:val="18"/>
              </w:rPr>
              <w:t>/</w:t>
            </w:r>
          </w:p>
        </w:tc>
        <w:tc>
          <w:tcPr>
            <w:tcW w:w="762" w:type="pct"/>
            <w:vAlign w:val="center"/>
          </w:tcPr>
          <w:p w14:paraId="64533217">
            <w:pPr>
              <w:pStyle w:val="5"/>
              <w:adjustRightInd w:val="0"/>
              <w:snapToGrid w:val="0"/>
              <w:spacing w:line="240" w:lineRule="auto"/>
              <w:ind w:firstLine="0"/>
              <w:jc w:val="center"/>
              <w:rPr>
                <w:sz w:val="18"/>
                <w:szCs w:val="18"/>
              </w:rPr>
            </w:pPr>
            <w:r>
              <w:rPr>
                <w:sz w:val="18"/>
                <w:szCs w:val="18"/>
              </w:rPr>
              <w:t>/</w:t>
            </w:r>
          </w:p>
        </w:tc>
      </w:tr>
      <w:tr w14:paraId="638E5F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continue"/>
            <w:vAlign w:val="center"/>
          </w:tcPr>
          <w:p w14:paraId="5D4FEDA2">
            <w:pPr>
              <w:pStyle w:val="5"/>
              <w:adjustRightInd w:val="0"/>
              <w:snapToGrid w:val="0"/>
              <w:spacing w:line="240" w:lineRule="auto"/>
              <w:ind w:firstLine="0"/>
              <w:jc w:val="center"/>
              <w:rPr>
                <w:sz w:val="18"/>
                <w:szCs w:val="18"/>
              </w:rPr>
            </w:pPr>
          </w:p>
        </w:tc>
        <w:tc>
          <w:tcPr>
            <w:tcW w:w="971" w:type="pct"/>
            <w:vAlign w:val="center"/>
          </w:tcPr>
          <w:p w14:paraId="5E5C42E8">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1024" w:type="pct"/>
            <w:vAlign w:val="center"/>
          </w:tcPr>
          <w:p w14:paraId="147F9D12">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溶液</w:t>
            </w:r>
            <w:r>
              <w:rPr>
                <w:rFonts w:ascii="Arial" w:hAnsi="Arial" w:cs="Arial"/>
                <w:spacing w:val="-3"/>
                <w:sz w:val="18"/>
                <w:szCs w:val="18"/>
                <w:lang w:eastAsia="zh-CN"/>
              </w:rPr>
              <w:t>：</w:t>
            </w:r>
            <w:r>
              <w:rPr>
                <w:rFonts w:ascii="Arial" w:hAnsi="Arial" w:cs="Arial"/>
                <w:sz w:val="18"/>
                <w:szCs w:val="18"/>
                <w:lang w:eastAsia="zh-CN"/>
              </w:rPr>
              <w:t>2.5万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7EB96665">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789" w:type="pct"/>
            <w:vAlign w:val="center"/>
          </w:tcPr>
          <w:p w14:paraId="299A2D00">
            <w:pPr>
              <w:pStyle w:val="5"/>
              <w:adjustRightInd w:val="0"/>
              <w:snapToGrid w:val="0"/>
              <w:spacing w:line="240" w:lineRule="auto"/>
              <w:ind w:firstLine="0"/>
              <w:jc w:val="center"/>
              <w:rPr>
                <w:spacing w:val="-3"/>
                <w:sz w:val="18"/>
                <w:szCs w:val="18"/>
              </w:rPr>
            </w:pPr>
            <w:r>
              <w:rPr>
                <w:sz w:val="18"/>
                <w:szCs w:val="18"/>
              </w:rPr>
              <w:t>/</w:t>
            </w:r>
          </w:p>
        </w:tc>
        <w:tc>
          <w:tcPr>
            <w:tcW w:w="762" w:type="pct"/>
            <w:vAlign w:val="center"/>
          </w:tcPr>
          <w:p w14:paraId="1ABD19AA">
            <w:pPr>
              <w:pStyle w:val="5"/>
              <w:adjustRightInd w:val="0"/>
              <w:snapToGrid w:val="0"/>
              <w:spacing w:line="240" w:lineRule="auto"/>
              <w:ind w:firstLine="0"/>
              <w:jc w:val="center"/>
              <w:rPr>
                <w:sz w:val="18"/>
                <w:szCs w:val="18"/>
              </w:rPr>
            </w:pPr>
            <w:r>
              <w:rPr>
                <w:sz w:val="18"/>
                <w:szCs w:val="18"/>
              </w:rPr>
              <w:t>/</w:t>
            </w:r>
          </w:p>
        </w:tc>
      </w:tr>
      <w:tr w14:paraId="1DBE89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restart"/>
            <w:vAlign w:val="center"/>
          </w:tcPr>
          <w:p w14:paraId="67E8376B">
            <w:pPr>
              <w:pStyle w:val="5"/>
              <w:adjustRightInd w:val="0"/>
              <w:snapToGrid w:val="0"/>
              <w:spacing w:line="240" w:lineRule="auto"/>
              <w:ind w:firstLine="0"/>
              <w:jc w:val="center"/>
              <w:rPr>
                <w:sz w:val="18"/>
                <w:szCs w:val="18"/>
              </w:rPr>
            </w:pPr>
            <w:r>
              <w:rPr>
                <w:sz w:val="18"/>
                <w:szCs w:val="18"/>
              </w:rPr>
              <w:t>二阶段项目</w:t>
            </w:r>
          </w:p>
        </w:tc>
        <w:tc>
          <w:tcPr>
            <w:tcW w:w="971" w:type="pct"/>
            <w:vAlign w:val="center"/>
          </w:tcPr>
          <w:p w14:paraId="52A2EDAB">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1024" w:type="pct"/>
            <w:vAlign w:val="center"/>
          </w:tcPr>
          <w:p w14:paraId="4F84A53E">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2EC4197C">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789" w:type="pct"/>
            <w:vAlign w:val="center"/>
          </w:tcPr>
          <w:p w14:paraId="34127B58">
            <w:pPr>
              <w:pStyle w:val="5"/>
              <w:adjustRightInd w:val="0"/>
              <w:snapToGrid w:val="0"/>
              <w:spacing w:line="240" w:lineRule="auto"/>
              <w:ind w:firstLine="0"/>
              <w:jc w:val="center"/>
              <w:rPr>
                <w:sz w:val="18"/>
                <w:szCs w:val="18"/>
              </w:rPr>
            </w:pPr>
            <w:r>
              <w:rPr>
                <w:sz w:val="18"/>
                <w:szCs w:val="18"/>
              </w:rPr>
              <w:t>/</w:t>
            </w:r>
          </w:p>
        </w:tc>
        <w:tc>
          <w:tcPr>
            <w:tcW w:w="762" w:type="pct"/>
            <w:vAlign w:val="center"/>
          </w:tcPr>
          <w:p w14:paraId="4412BBE1">
            <w:pPr>
              <w:pStyle w:val="5"/>
              <w:adjustRightInd w:val="0"/>
              <w:snapToGrid w:val="0"/>
              <w:spacing w:line="240" w:lineRule="auto"/>
              <w:ind w:firstLine="0"/>
              <w:jc w:val="center"/>
              <w:rPr>
                <w:sz w:val="18"/>
                <w:szCs w:val="18"/>
              </w:rPr>
            </w:pPr>
            <w:r>
              <w:rPr>
                <w:sz w:val="18"/>
                <w:szCs w:val="18"/>
              </w:rPr>
              <w:t>/</w:t>
            </w:r>
          </w:p>
        </w:tc>
      </w:tr>
      <w:tr w14:paraId="419774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continue"/>
            <w:vAlign w:val="center"/>
          </w:tcPr>
          <w:p w14:paraId="31B06FEB">
            <w:pPr>
              <w:pStyle w:val="5"/>
              <w:adjustRightInd w:val="0"/>
              <w:snapToGrid w:val="0"/>
              <w:spacing w:line="240" w:lineRule="auto"/>
              <w:ind w:firstLine="0"/>
              <w:jc w:val="center"/>
              <w:rPr>
                <w:sz w:val="18"/>
                <w:szCs w:val="18"/>
              </w:rPr>
            </w:pPr>
          </w:p>
        </w:tc>
        <w:tc>
          <w:tcPr>
            <w:tcW w:w="971" w:type="pct"/>
            <w:vAlign w:val="center"/>
          </w:tcPr>
          <w:p w14:paraId="58C267F5">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1×</w:t>
            </w:r>
            <w:r>
              <w:rPr>
                <w:rFonts w:ascii="Arial" w:hAnsi="Arial" w:cs="Arial"/>
                <w:sz w:val="18"/>
                <w:szCs w:val="18"/>
                <w:lang w:eastAsia="zh-CN"/>
              </w:rPr>
              <w:t>2</w:t>
            </w:r>
            <w:r>
              <w:rPr>
                <w:rFonts w:ascii="Arial" w:hAnsi="Arial" w:cs="Arial"/>
                <w:spacing w:val="-3"/>
                <w:sz w:val="18"/>
                <w:szCs w:val="18"/>
                <w:lang w:eastAsia="zh-CN"/>
              </w:rPr>
              <w:t>.</w:t>
            </w:r>
            <w:r>
              <w:rPr>
                <w:rFonts w:ascii="Arial" w:hAnsi="Arial" w:cs="Arial"/>
                <w:spacing w:val="-1"/>
                <w:sz w:val="18"/>
                <w:szCs w:val="18"/>
                <w:lang w:eastAsia="zh-CN"/>
              </w:rPr>
              <w:t>5</w:t>
            </w:r>
            <w:r>
              <w:rPr>
                <w:rFonts w:ascii="Arial" w:hAnsi="Arial" w:cs="Arial"/>
                <w:sz w:val="18"/>
                <w:szCs w:val="18"/>
                <w:lang w:eastAsia="zh-CN"/>
              </w:rPr>
              <w:t>万吨</w:t>
            </w:r>
            <w:r>
              <w:rPr>
                <w:rFonts w:ascii="Arial" w:hAnsi="Arial" w:cs="Arial"/>
                <w:spacing w:val="-2"/>
                <w:sz w:val="18"/>
                <w:szCs w:val="18"/>
                <w:lang w:eastAsia="zh-CN"/>
              </w:rPr>
              <w:t>/</w:t>
            </w:r>
            <w:r>
              <w:rPr>
                <w:rFonts w:ascii="Arial" w:hAnsi="Arial" w:cs="Arial"/>
                <w:spacing w:val="-3"/>
                <w:sz w:val="18"/>
                <w:szCs w:val="18"/>
                <w:lang w:eastAsia="zh-CN"/>
              </w:rPr>
              <w:t>年</w:t>
            </w:r>
            <w:r>
              <w:rPr>
                <w:rFonts w:ascii="Arial" w:hAnsi="Arial" w:cs="Arial"/>
                <w:sz w:val="18"/>
                <w:szCs w:val="18"/>
                <w:lang w:eastAsia="zh-CN"/>
              </w:rPr>
              <w:t>镍</w:t>
            </w:r>
            <w:r>
              <w:rPr>
                <w:rFonts w:ascii="Arial" w:hAnsi="Arial" w:cs="Arial"/>
                <w:spacing w:val="-3"/>
                <w:sz w:val="18"/>
                <w:szCs w:val="18"/>
                <w:lang w:eastAsia="zh-CN"/>
              </w:rPr>
              <w:t>豆</w:t>
            </w:r>
            <w:r>
              <w:rPr>
                <w:rFonts w:ascii="Arial" w:hAnsi="Arial" w:cs="Arial"/>
                <w:sz w:val="18"/>
                <w:szCs w:val="18"/>
                <w:lang w:eastAsia="zh-CN"/>
              </w:rPr>
              <w:t>镍</w:t>
            </w:r>
            <w:r>
              <w:rPr>
                <w:rFonts w:ascii="Arial" w:hAnsi="Arial" w:cs="Arial"/>
                <w:spacing w:val="-3"/>
                <w:sz w:val="18"/>
                <w:szCs w:val="18"/>
                <w:lang w:eastAsia="zh-CN"/>
              </w:rPr>
              <w:t>粉</w:t>
            </w:r>
            <w:r>
              <w:rPr>
                <w:rFonts w:ascii="Arial" w:hAnsi="Arial" w:cs="Arial"/>
                <w:sz w:val="18"/>
                <w:szCs w:val="18"/>
                <w:lang w:eastAsia="zh-CN"/>
              </w:rPr>
              <w:t>处</w:t>
            </w:r>
            <w:r>
              <w:rPr>
                <w:rFonts w:ascii="Arial" w:hAnsi="Arial" w:cs="Arial"/>
                <w:spacing w:val="-3"/>
                <w:sz w:val="18"/>
                <w:szCs w:val="18"/>
                <w:lang w:eastAsia="zh-CN"/>
              </w:rPr>
              <w:t>置线</w:t>
            </w:r>
          </w:p>
        </w:tc>
        <w:tc>
          <w:tcPr>
            <w:tcW w:w="1024" w:type="pct"/>
            <w:vAlign w:val="center"/>
          </w:tcPr>
          <w:p w14:paraId="351AF6D3">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溶液</w:t>
            </w:r>
            <w:r>
              <w:rPr>
                <w:rFonts w:ascii="Arial" w:hAnsi="Arial" w:cs="Arial"/>
                <w:spacing w:val="-3"/>
                <w:sz w:val="18"/>
                <w:szCs w:val="18"/>
                <w:lang w:eastAsia="zh-CN"/>
              </w:rPr>
              <w:t>：</w:t>
            </w:r>
            <w:r>
              <w:rPr>
                <w:rFonts w:ascii="Arial" w:hAnsi="Arial" w:cs="Arial"/>
                <w:sz w:val="18"/>
                <w:szCs w:val="18"/>
                <w:lang w:eastAsia="zh-CN"/>
              </w:rPr>
              <w:t>2</w:t>
            </w:r>
            <w:r>
              <w:rPr>
                <w:rFonts w:hint="eastAsia" w:ascii="Arial" w:hAnsi="Arial" w:cs="Arial"/>
                <w:sz w:val="18"/>
                <w:szCs w:val="18"/>
                <w:lang w:eastAsia="zh-CN"/>
              </w:rPr>
              <w:t>.</w:t>
            </w:r>
            <w:r>
              <w:rPr>
                <w:rFonts w:ascii="Arial" w:hAnsi="Arial" w:cs="Arial"/>
                <w:sz w:val="18"/>
                <w:szCs w:val="18"/>
                <w:lang w:eastAsia="zh-CN"/>
              </w:rPr>
              <w:t>5万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667BC7CE">
            <w:pPr>
              <w:pStyle w:val="942"/>
              <w:adjustRightInd w:val="0"/>
              <w:snapToGrid w:val="0"/>
              <w:jc w:val="center"/>
              <w:rPr>
                <w:rFonts w:ascii="Arial" w:hAnsi="Arial" w:cs="Arial"/>
                <w:sz w:val="18"/>
                <w:szCs w:val="18"/>
                <w:lang w:eastAsia="zh-CN"/>
              </w:rPr>
            </w:pPr>
            <w:r>
              <w:rPr>
                <w:rFonts w:ascii="Arial" w:hAnsi="Arial" w:cs="Arial"/>
                <w:sz w:val="18"/>
                <w:szCs w:val="18"/>
              </w:rPr>
              <w:t>/</w:t>
            </w:r>
          </w:p>
        </w:tc>
        <w:tc>
          <w:tcPr>
            <w:tcW w:w="789" w:type="pct"/>
            <w:vAlign w:val="center"/>
          </w:tcPr>
          <w:p w14:paraId="35AD0ACB">
            <w:pPr>
              <w:pStyle w:val="5"/>
              <w:adjustRightInd w:val="0"/>
              <w:snapToGrid w:val="0"/>
              <w:spacing w:line="240" w:lineRule="auto"/>
              <w:ind w:firstLine="0"/>
              <w:jc w:val="center"/>
              <w:rPr>
                <w:sz w:val="18"/>
                <w:szCs w:val="18"/>
              </w:rPr>
            </w:pPr>
            <w:r>
              <w:rPr>
                <w:spacing w:val="-3"/>
                <w:sz w:val="18"/>
                <w:szCs w:val="18"/>
              </w:rPr>
              <w:t>1×</w:t>
            </w:r>
            <w:r>
              <w:rPr>
                <w:sz w:val="18"/>
                <w:szCs w:val="18"/>
              </w:rPr>
              <w:t>2</w:t>
            </w:r>
            <w:r>
              <w:rPr>
                <w:spacing w:val="-3"/>
                <w:sz w:val="18"/>
                <w:szCs w:val="18"/>
              </w:rPr>
              <w:t>.</w:t>
            </w:r>
            <w:r>
              <w:rPr>
                <w:spacing w:val="-1"/>
                <w:sz w:val="18"/>
                <w:szCs w:val="18"/>
              </w:rPr>
              <w:t>5</w:t>
            </w:r>
            <w:r>
              <w:rPr>
                <w:sz w:val="18"/>
                <w:szCs w:val="18"/>
              </w:rPr>
              <w:t>万吨</w:t>
            </w:r>
            <w:r>
              <w:rPr>
                <w:spacing w:val="-2"/>
                <w:sz w:val="18"/>
                <w:szCs w:val="18"/>
              </w:rPr>
              <w:t>/</w:t>
            </w:r>
            <w:r>
              <w:rPr>
                <w:spacing w:val="-3"/>
                <w:sz w:val="18"/>
                <w:szCs w:val="18"/>
              </w:rPr>
              <w:t>年</w:t>
            </w:r>
            <w:r>
              <w:rPr>
                <w:sz w:val="18"/>
                <w:szCs w:val="18"/>
              </w:rPr>
              <w:t>镍</w:t>
            </w:r>
            <w:r>
              <w:rPr>
                <w:spacing w:val="-3"/>
                <w:sz w:val="18"/>
                <w:szCs w:val="18"/>
              </w:rPr>
              <w:t>豆</w:t>
            </w:r>
            <w:r>
              <w:rPr>
                <w:sz w:val="18"/>
                <w:szCs w:val="18"/>
              </w:rPr>
              <w:t>镍</w:t>
            </w:r>
            <w:r>
              <w:rPr>
                <w:spacing w:val="-3"/>
                <w:sz w:val="18"/>
                <w:szCs w:val="18"/>
              </w:rPr>
              <w:t>粉</w:t>
            </w:r>
            <w:r>
              <w:rPr>
                <w:sz w:val="18"/>
                <w:szCs w:val="18"/>
              </w:rPr>
              <w:t>处</w:t>
            </w:r>
            <w:r>
              <w:rPr>
                <w:spacing w:val="-3"/>
                <w:sz w:val="18"/>
                <w:szCs w:val="18"/>
              </w:rPr>
              <w:t>置线</w:t>
            </w:r>
            <w:r>
              <w:rPr>
                <w:rFonts w:hint="eastAsia"/>
                <w:b/>
                <w:spacing w:val="-3"/>
                <w:sz w:val="18"/>
                <w:szCs w:val="18"/>
              </w:rPr>
              <w:t>（发生变动）</w:t>
            </w:r>
          </w:p>
        </w:tc>
        <w:tc>
          <w:tcPr>
            <w:tcW w:w="762" w:type="pct"/>
            <w:vAlign w:val="center"/>
          </w:tcPr>
          <w:p w14:paraId="4A83E93C">
            <w:pPr>
              <w:pStyle w:val="5"/>
              <w:adjustRightInd w:val="0"/>
              <w:snapToGrid w:val="0"/>
              <w:spacing w:line="240" w:lineRule="auto"/>
              <w:ind w:firstLine="0"/>
              <w:jc w:val="center"/>
              <w:rPr>
                <w:sz w:val="18"/>
                <w:szCs w:val="18"/>
              </w:rPr>
            </w:pPr>
            <w:r>
              <w:rPr>
                <w:sz w:val="18"/>
                <w:szCs w:val="18"/>
              </w:rPr>
              <w:t>/</w:t>
            </w:r>
          </w:p>
        </w:tc>
      </w:tr>
      <w:tr w14:paraId="5B8A99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Align w:val="center"/>
          </w:tcPr>
          <w:p w14:paraId="6A56393D">
            <w:pPr>
              <w:pStyle w:val="5"/>
              <w:adjustRightInd w:val="0"/>
              <w:snapToGrid w:val="0"/>
              <w:spacing w:line="240" w:lineRule="auto"/>
              <w:ind w:firstLine="0"/>
              <w:jc w:val="center"/>
              <w:rPr>
                <w:sz w:val="18"/>
                <w:szCs w:val="18"/>
              </w:rPr>
            </w:pPr>
            <w:r>
              <w:rPr>
                <w:sz w:val="18"/>
                <w:szCs w:val="18"/>
              </w:rPr>
              <w:t>三阶段项目</w:t>
            </w:r>
          </w:p>
        </w:tc>
        <w:tc>
          <w:tcPr>
            <w:tcW w:w="971" w:type="pct"/>
            <w:vAlign w:val="center"/>
          </w:tcPr>
          <w:p w14:paraId="08DED5FF">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4</w:t>
            </w:r>
            <w:r>
              <w:rPr>
                <w:rFonts w:ascii="Arial" w:hAnsi="Arial" w:cs="Arial"/>
                <w:sz w:val="18"/>
                <w:szCs w:val="18"/>
                <w:lang w:eastAsia="zh-CN"/>
              </w:rPr>
              <w:t>×1.</w:t>
            </w:r>
            <w:r>
              <w:rPr>
                <w:rFonts w:ascii="Arial" w:hAnsi="Arial" w:cs="Arial"/>
                <w:spacing w:val="-3"/>
                <w:sz w:val="18"/>
                <w:szCs w:val="18"/>
                <w:lang w:eastAsia="zh-CN"/>
              </w:rPr>
              <w:t>5</w:t>
            </w:r>
            <w:r>
              <w:rPr>
                <w:rFonts w:ascii="Arial" w:hAnsi="Arial" w:cs="Arial"/>
                <w:sz w:val="18"/>
                <w:szCs w:val="18"/>
                <w:lang w:eastAsia="zh-CN"/>
              </w:rPr>
              <w:t>万吨</w:t>
            </w:r>
            <w:r>
              <w:rPr>
                <w:rFonts w:ascii="Arial" w:hAnsi="Arial" w:cs="Arial"/>
                <w:spacing w:val="-4"/>
                <w:sz w:val="18"/>
                <w:szCs w:val="18"/>
                <w:lang w:eastAsia="zh-CN"/>
              </w:rPr>
              <w:t>/</w:t>
            </w:r>
            <w:r>
              <w:rPr>
                <w:rFonts w:ascii="Arial" w:hAnsi="Arial" w:cs="Arial"/>
                <w:sz w:val="18"/>
                <w:szCs w:val="18"/>
                <w:lang w:eastAsia="zh-CN"/>
              </w:rPr>
              <w:t>年三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w:t>
            </w:r>
            <w:r>
              <w:rPr>
                <w:rFonts w:ascii="Arial" w:hAnsi="Arial" w:cs="Arial"/>
                <w:spacing w:val="-3"/>
                <w:sz w:val="18"/>
                <w:szCs w:val="18"/>
                <w:lang w:eastAsia="zh-CN"/>
              </w:rPr>
              <w:t>生</w:t>
            </w:r>
            <w:r>
              <w:rPr>
                <w:rFonts w:ascii="Arial" w:hAnsi="Arial" w:cs="Arial"/>
                <w:sz w:val="18"/>
                <w:szCs w:val="18"/>
                <w:lang w:eastAsia="zh-CN"/>
              </w:rPr>
              <w:t>产</w:t>
            </w:r>
            <w:r>
              <w:rPr>
                <w:rFonts w:ascii="Arial" w:hAnsi="Arial" w:cs="Arial"/>
                <w:spacing w:val="-3"/>
                <w:sz w:val="18"/>
                <w:szCs w:val="18"/>
                <w:lang w:eastAsia="zh-CN"/>
              </w:rPr>
              <w:t>线</w:t>
            </w:r>
          </w:p>
        </w:tc>
        <w:tc>
          <w:tcPr>
            <w:tcW w:w="1024" w:type="pct"/>
            <w:vAlign w:val="center"/>
          </w:tcPr>
          <w:p w14:paraId="67C43C46">
            <w:pPr>
              <w:pStyle w:val="942"/>
              <w:adjustRightInd w:val="0"/>
              <w:snapToGrid w:val="0"/>
              <w:jc w:val="center"/>
              <w:rPr>
                <w:rFonts w:ascii="Arial" w:hAnsi="Arial" w:cs="Arial"/>
                <w:sz w:val="18"/>
                <w:szCs w:val="18"/>
                <w:lang w:eastAsia="zh-CN"/>
              </w:rPr>
            </w:pPr>
            <w:r>
              <w:rPr>
                <w:rFonts w:ascii="Arial" w:hAnsi="Arial" w:cs="Arial"/>
                <w:sz w:val="18"/>
                <w:szCs w:val="18"/>
                <w:lang w:eastAsia="zh-CN"/>
              </w:rPr>
              <w:t>三</w:t>
            </w:r>
            <w:r>
              <w:rPr>
                <w:rFonts w:ascii="Arial" w:hAnsi="Arial" w:cs="Arial"/>
                <w:spacing w:val="-3"/>
                <w:sz w:val="18"/>
                <w:szCs w:val="18"/>
                <w:lang w:eastAsia="zh-CN"/>
              </w:rPr>
              <w:t>元</w:t>
            </w:r>
            <w:r>
              <w:rPr>
                <w:rFonts w:ascii="Arial" w:hAnsi="Arial" w:cs="Arial"/>
                <w:sz w:val="18"/>
                <w:szCs w:val="18"/>
                <w:lang w:eastAsia="zh-CN"/>
              </w:rPr>
              <w:t>前</w:t>
            </w:r>
            <w:r>
              <w:rPr>
                <w:rFonts w:ascii="Arial" w:hAnsi="Arial" w:cs="Arial"/>
                <w:spacing w:val="-3"/>
                <w:sz w:val="18"/>
                <w:szCs w:val="18"/>
                <w:lang w:eastAsia="zh-CN"/>
              </w:rPr>
              <w:t>驱</w:t>
            </w:r>
            <w:r>
              <w:rPr>
                <w:rFonts w:ascii="Arial" w:hAnsi="Arial" w:cs="Arial"/>
                <w:sz w:val="18"/>
                <w:szCs w:val="18"/>
                <w:lang w:eastAsia="zh-CN"/>
              </w:rPr>
              <w:t>体：6万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6E4942D0">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0B95094C">
            <w:pPr>
              <w:pStyle w:val="5"/>
              <w:adjustRightInd w:val="0"/>
              <w:snapToGrid w:val="0"/>
              <w:spacing w:line="240" w:lineRule="auto"/>
              <w:ind w:firstLine="0"/>
              <w:jc w:val="center"/>
              <w:rPr>
                <w:sz w:val="18"/>
                <w:szCs w:val="18"/>
              </w:rPr>
            </w:pPr>
            <w:r>
              <w:rPr>
                <w:spacing w:val="-3"/>
                <w:sz w:val="18"/>
                <w:szCs w:val="18"/>
              </w:rPr>
              <w:t>2</w:t>
            </w:r>
            <w:r>
              <w:rPr>
                <w:sz w:val="18"/>
                <w:szCs w:val="18"/>
              </w:rPr>
              <w:t>×1.</w:t>
            </w:r>
            <w:r>
              <w:rPr>
                <w:spacing w:val="-3"/>
                <w:sz w:val="18"/>
                <w:szCs w:val="18"/>
              </w:rPr>
              <w:t>5</w:t>
            </w:r>
            <w:r>
              <w:rPr>
                <w:sz w:val="18"/>
                <w:szCs w:val="18"/>
              </w:rPr>
              <w:t>万吨</w:t>
            </w:r>
            <w:r>
              <w:rPr>
                <w:spacing w:val="-4"/>
                <w:sz w:val="18"/>
                <w:szCs w:val="18"/>
              </w:rPr>
              <w:t>/</w:t>
            </w:r>
            <w:r>
              <w:rPr>
                <w:sz w:val="18"/>
                <w:szCs w:val="18"/>
              </w:rPr>
              <w:t>年三</w:t>
            </w:r>
            <w:r>
              <w:rPr>
                <w:spacing w:val="-3"/>
                <w:sz w:val="18"/>
                <w:szCs w:val="18"/>
              </w:rPr>
              <w:t>元</w:t>
            </w:r>
            <w:r>
              <w:rPr>
                <w:sz w:val="18"/>
                <w:szCs w:val="18"/>
              </w:rPr>
              <w:t>前</w:t>
            </w:r>
            <w:r>
              <w:rPr>
                <w:spacing w:val="-3"/>
                <w:sz w:val="18"/>
                <w:szCs w:val="18"/>
              </w:rPr>
              <w:t>驱</w:t>
            </w:r>
            <w:r>
              <w:rPr>
                <w:sz w:val="18"/>
                <w:szCs w:val="18"/>
              </w:rPr>
              <w:t>体</w:t>
            </w:r>
            <w:r>
              <w:rPr>
                <w:spacing w:val="-3"/>
                <w:sz w:val="18"/>
                <w:szCs w:val="18"/>
              </w:rPr>
              <w:t>生</w:t>
            </w:r>
            <w:r>
              <w:rPr>
                <w:sz w:val="18"/>
                <w:szCs w:val="18"/>
              </w:rPr>
              <w:t>产</w:t>
            </w:r>
            <w:r>
              <w:rPr>
                <w:spacing w:val="-3"/>
                <w:sz w:val="18"/>
                <w:szCs w:val="18"/>
              </w:rPr>
              <w:t>线</w:t>
            </w:r>
          </w:p>
        </w:tc>
        <w:tc>
          <w:tcPr>
            <w:tcW w:w="762" w:type="pct"/>
            <w:vAlign w:val="center"/>
          </w:tcPr>
          <w:p w14:paraId="6F925317">
            <w:pPr>
              <w:pStyle w:val="5"/>
              <w:adjustRightInd w:val="0"/>
              <w:snapToGrid w:val="0"/>
              <w:spacing w:line="240" w:lineRule="auto"/>
              <w:ind w:firstLine="0"/>
              <w:jc w:val="center"/>
              <w:rPr>
                <w:sz w:val="18"/>
                <w:szCs w:val="18"/>
              </w:rPr>
            </w:pPr>
            <w:r>
              <w:rPr>
                <w:spacing w:val="-3"/>
                <w:sz w:val="18"/>
                <w:szCs w:val="18"/>
              </w:rPr>
              <w:t>2</w:t>
            </w:r>
            <w:r>
              <w:rPr>
                <w:sz w:val="18"/>
                <w:szCs w:val="18"/>
              </w:rPr>
              <w:t>×1.</w:t>
            </w:r>
            <w:r>
              <w:rPr>
                <w:spacing w:val="-3"/>
                <w:sz w:val="18"/>
                <w:szCs w:val="18"/>
              </w:rPr>
              <w:t>5</w:t>
            </w:r>
            <w:r>
              <w:rPr>
                <w:sz w:val="18"/>
                <w:szCs w:val="18"/>
              </w:rPr>
              <w:t>万吨</w:t>
            </w:r>
            <w:r>
              <w:rPr>
                <w:spacing w:val="-4"/>
                <w:sz w:val="18"/>
                <w:szCs w:val="18"/>
              </w:rPr>
              <w:t>/</w:t>
            </w:r>
            <w:r>
              <w:rPr>
                <w:sz w:val="18"/>
                <w:szCs w:val="18"/>
              </w:rPr>
              <w:t>年三</w:t>
            </w:r>
            <w:r>
              <w:rPr>
                <w:spacing w:val="-3"/>
                <w:sz w:val="18"/>
                <w:szCs w:val="18"/>
              </w:rPr>
              <w:t>元</w:t>
            </w:r>
            <w:r>
              <w:rPr>
                <w:sz w:val="18"/>
                <w:szCs w:val="18"/>
              </w:rPr>
              <w:t>前</w:t>
            </w:r>
            <w:r>
              <w:rPr>
                <w:spacing w:val="-3"/>
                <w:sz w:val="18"/>
                <w:szCs w:val="18"/>
              </w:rPr>
              <w:t>驱</w:t>
            </w:r>
            <w:r>
              <w:rPr>
                <w:sz w:val="18"/>
                <w:szCs w:val="18"/>
              </w:rPr>
              <w:t>体</w:t>
            </w:r>
            <w:r>
              <w:rPr>
                <w:spacing w:val="-3"/>
                <w:sz w:val="18"/>
                <w:szCs w:val="18"/>
              </w:rPr>
              <w:t>生</w:t>
            </w:r>
            <w:r>
              <w:rPr>
                <w:sz w:val="18"/>
                <w:szCs w:val="18"/>
              </w:rPr>
              <w:t>产</w:t>
            </w:r>
            <w:r>
              <w:rPr>
                <w:spacing w:val="-3"/>
                <w:sz w:val="18"/>
                <w:szCs w:val="18"/>
              </w:rPr>
              <w:t>线</w:t>
            </w:r>
          </w:p>
        </w:tc>
      </w:tr>
      <w:tr w14:paraId="246E5C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Align w:val="center"/>
          </w:tcPr>
          <w:p w14:paraId="6F23756A">
            <w:pPr>
              <w:pStyle w:val="5"/>
              <w:adjustRightInd w:val="0"/>
              <w:snapToGrid w:val="0"/>
              <w:spacing w:line="240" w:lineRule="auto"/>
              <w:ind w:firstLine="0"/>
              <w:jc w:val="center"/>
              <w:rPr>
                <w:sz w:val="18"/>
                <w:szCs w:val="18"/>
              </w:rPr>
            </w:pPr>
            <w:r>
              <w:rPr>
                <w:sz w:val="18"/>
                <w:szCs w:val="18"/>
              </w:rPr>
              <w:t>燃气锅炉房项目</w:t>
            </w:r>
          </w:p>
        </w:tc>
        <w:tc>
          <w:tcPr>
            <w:tcW w:w="1995" w:type="pct"/>
            <w:gridSpan w:val="2"/>
            <w:vAlign w:val="center"/>
          </w:tcPr>
          <w:p w14:paraId="3E5C5F71">
            <w:pPr>
              <w:pStyle w:val="942"/>
              <w:adjustRightInd w:val="0"/>
              <w:snapToGrid w:val="0"/>
              <w:jc w:val="center"/>
              <w:rPr>
                <w:rFonts w:ascii="Arial" w:hAnsi="Arial" w:cs="Arial"/>
                <w:spacing w:val="-3"/>
                <w:sz w:val="18"/>
                <w:szCs w:val="18"/>
                <w:lang w:eastAsia="zh-CN"/>
              </w:rPr>
            </w:pPr>
            <w:r>
              <w:rPr>
                <w:rFonts w:ascii="Arial" w:hAnsi="Arial" w:cs="Arial"/>
                <w:sz w:val="18"/>
                <w:szCs w:val="18"/>
                <w:lang w:val="en-GB" w:eastAsia="zh-CN"/>
              </w:rPr>
              <w:t>2</w:t>
            </w:r>
            <w:r>
              <w:rPr>
                <w:rFonts w:ascii="Arial" w:hAnsi="Arial" w:cs="Arial"/>
                <w:spacing w:val="-3"/>
                <w:sz w:val="18"/>
                <w:szCs w:val="18"/>
                <w:lang w:eastAsia="zh-CN"/>
              </w:rPr>
              <w:t>×</w:t>
            </w:r>
            <w:r>
              <w:rPr>
                <w:rFonts w:ascii="Arial" w:hAnsi="Arial" w:cs="Arial"/>
                <w:sz w:val="18"/>
                <w:szCs w:val="18"/>
                <w:lang w:val="en-GB" w:eastAsia="zh-CN"/>
              </w:rPr>
              <w:t>20t/h燃气锅炉</w:t>
            </w:r>
          </w:p>
        </w:tc>
        <w:tc>
          <w:tcPr>
            <w:tcW w:w="1103" w:type="pct"/>
            <w:vAlign w:val="center"/>
          </w:tcPr>
          <w:p w14:paraId="78C6364F">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671E60BE">
            <w:pPr>
              <w:pStyle w:val="5"/>
              <w:adjustRightInd w:val="0"/>
              <w:snapToGrid w:val="0"/>
              <w:spacing w:line="240" w:lineRule="auto"/>
              <w:ind w:firstLine="0"/>
              <w:jc w:val="center"/>
              <w:rPr>
                <w:sz w:val="18"/>
                <w:szCs w:val="18"/>
              </w:rPr>
            </w:pPr>
            <w:r>
              <w:rPr>
                <w:sz w:val="18"/>
                <w:szCs w:val="18"/>
                <w:lang w:val="en-GB"/>
              </w:rPr>
              <w:t>1</w:t>
            </w:r>
            <w:r>
              <w:rPr>
                <w:spacing w:val="-3"/>
                <w:sz w:val="18"/>
                <w:szCs w:val="18"/>
              </w:rPr>
              <w:t>×</w:t>
            </w:r>
            <w:r>
              <w:rPr>
                <w:sz w:val="18"/>
                <w:szCs w:val="18"/>
                <w:lang w:val="en-GB"/>
              </w:rPr>
              <w:t>20t/h燃气锅炉</w:t>
            </w:r>
          </w:p>
        </w:tc>
        <w:tc>
          <w:tcPr>
            <w:tcW w:w="762" w:type="pct"/>
            <w:vAlign w:val="center"/>
          </w:tcPr>
          <w:p w14:paraId="13725688">
            <w:pPr>
              <w:pStyle w:val="5"/>
              <w:adjustRightInd w:val="0"/>
              <w:snapToGrid w:val="0"/>
              <w:spacing w:line="240" w:lineRule="auto"/>
              <w:ind w:firstLine="0"/>
              <w:jc w:val="center"/>
              <w:rPr>
                <w:sz w:val="18"/>
                <w:szCs w:val="18"/>
              </w:rPr>
            </w:pPr>
            <w:r>
              <w:rPr>
                <w:sz w:val="18"/>
                <w:szCs w:val="18"/>
                <w:lang w:val="en-GB"/>
              </w:rPr>
              <w:t>1</w:t>
            </w:r>
            <w:r>
              <w:rPr>
                <w:spacing w:val="-3"/>
                <w:sz w:val="18"/>
                <w:szCs w:val="18"/>
              </w:rPr>
              <w:t>×</w:t>
            </w:r>
            <w:r>
              <w:rPr>
                <w:sz w:val="18"/>
                <w:szCs w:val="18"/>
                <w:lang w:val="en-GB"/>
              </w:rPr>
              <w:t>20t/h燃气锅炉</w:t>
            </w:r>
          </w:p>
        </w:tc>
      </w:tr>
      <w:tr w14:paraId="14A613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Align w:val="center"/>
          </w:tcPr>
          <w:p w14:paraId="38DB895A">
            <w:pPr>
              <w:pStyle w:val="5"/>
              <w:adjustRightInd w:val="0"/>
              <w:snapToGrid w:val="0"/>
              <w:spacing w:line="240" w:lineRule="auto"/>
              <w:ind w:firstLine="0"/>
              <w:jc w:val="center"/>
              <w:rPr>
                <w:sz w:val="18"/>
                <w:szCs w:val="18"/>
              </w:rPr>
            </w:pPr>
            <w:r>
              <w:rPr>
                <w:sz w:val="18"/>
                <w:szCs w:val="18"/>
              </w:rPr>
              <w:t>变电站项目</w:t>
            </w:r>
          </w:p>
        </w:tc>
        <w:tc>
          <w:tcPr>
            <w:tcW w:w="1995" w:type="pct"/>
            <w:gridSpan w:val="2"/>
            <w:vAlign w:val="center"/>
          </w:tcPr>
          <w:p w14:paraId="5931026F">
            <w:pPr>
              <w:pStyle w:val="942"/>
              <w:adjustRightInd w:val="0"/>
              <w:snapToGrid w:val="0"/>
              <w:jc w:val="center"/>
              <w:rPr>
                <w:rFonts w:ascii="Arial" w:hAnsi="Arial" w:cs="Arial"/>
                <w:spacing w:val="-3"/>
                <w:sz w:val="18"/>
                <w:szCs w:val="18"/>
                <w:lang w:eastAsia="zh-CN"/>
              </w:rPr>
            </w:pPr>
            <w:r>
              <w:rPr>
                <w:rFonts w:ascii="Arial" w:hAnsi="Arial" w:cs="Arial"/>
                <w:sz w:val="18"/>
                <w:szCs w:val="18"/>
                <w:lang w:eastAsia="zh-CN"/>
              </w:rPr>
              <w:t>1座110kV变电站（户外式），主变容量2×63MVA；出线回路数110kV：1，10kV：21；无功补偿装置：4×6Mvar</w:t>
            </w:r>
          </w:p>
        </w:tc>
        <w:tc>
          <w:tcPr>
            <w:tcW w:w="1103" w:type="pct"/>
            <w:vAlign w:val="center"/>
          </w:tcPr>
          <w:p w14:paraId="483733C4">
            <w:pPr>
              <w:pStyle w:val="942"/>
              <w:adjustRightInd w:val="0"/>
              <w:snapToGrid w:val="0"/>
              <w:jc w:val="center"/>
              <w:rPr>
                <w:rFonts w:ascii="Arial" w:hAnsi="Arial" w:cs="Arial"/>
                <w:sz w:val="18"/>
                <w:szCs w:val="18"/>
                <w:lang w:eastAsia="zh-CN"/>
              </w:rPr>
            </w:pPr>
            <w:r>
              <w:rPr>
                <w:rFonts w:ascii="Arial" w:hAnsi="Arial" w:cs="Arial"/>
                <w:sz w:val="18"/>
                <w:szCs w:val="18"/>
                <w:lang w:eastAsia="zh-CN"/>
              </w:rPr>
              <w:t>1座110kV变电站（户外式），主变容量2×63MVA；出线回路数110kV：1，10kV：21；无功补偿装置：4×6Mvar</w:t>
            </w:r>
          </w:p>
        </w:tc>
        <w:tc>
          <w:tcPr>
            <w:tcW w:w="789" w:type="pct"/>
            <w:vAlign w:val="center"/>
          </w:tcPr>
          <w:p w14:paraId="08C9BF12">
            <w:pPr>
              <w:pStyle w:val="5"/>
              <w:adjustRightInd w:val="0"/>
              <w:snapToGrid w:val="0"/>
              <w:spacing w:line="240" w:lineRule="auto"/>
              <w:ind w:firstLine="0"/>
              <w:jc w:val="center"/>
              <w:rPr>
                <w:sz w:val="18"/>
                <w:szCs w:val="18"/>
              </w:rPr>
            </w:pPr>
            <w:r>
              <w:rPr>
                <w:sz w:val="18"/>
                <w:szCs w:val="18"/>
              </w:rPr>
              <w:t>/</w:t>
            </w:r>
          </w:p>
        </w:tc>
        <w:tc>
          <w:tcPr>
            <w:tcW w:w="762" w:type="pct"/>
            <w:vAlign w:val="center"/>
          </w:tcPr>
          <w:p w14:paraId="3EB3D959">
            <w:pPr>
              <w:pStyle w:val="5"/>
              <w:adjustRightInd w:val="0"/>
              <w:snapToGrid w:val="0"/>
              <w:spacing w:line="240" w:lineRule="auto"/>
              <w:ind w:firstLine="0"/>
              <w:jc w:val="center"/>
              <w:rPr>
                <w:sz w:val="18"/>
                <w:szCs w:val="18"/>
              </w:rPr>
            </w:pPr>
            <w:r>
              <w:rPr>
                <w:sz w:val="18"/>
                <w:szCs w:val="18"/>
              </w:rPr>
              <w:t>/</w:t>
            </w:r>
          </w:p>
        </w:tc>
      </w:tr>
      <w:tr w14:paraId="0B1127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Align w:val="center"/>
          </w:tcPr>
          <w:p w14:paraId="4257812E">
            <w:pPr>
              <w:pStyle w:val="5"/>
              <w:adjustRightInd w:val="0"/>
              <w:snapToGrid w:val="0"/>
              <w:spacing w:line="240" w:lineRule="auto"/>
              <w:ind w:firstLine="0"/>
              <w:jc w:val="center"/>
              <w:rPr>
                <w:sz w:val="18"/>
                <w:szCs w:val="18"/>
              </w:rPr>
            </w:pPr>
            <w:r>
              <w:rPr>
                <w:sz w:val="18"/>
                <w:szCs w:val="18"/>
              </w:rPr>
              <w:t>氨水项目</w:t>
            </w:r>
          </w:p>
        </w:tc>
        <w:tc>
          <w:tcPr>
            <w:tcW w:w="1995" w:type="pct"/>
            <w:gridSpan w:val="2"/>
            <w:vAlign w:val="center"/>
          </w:tcPr>
          <w:p w14:paraId="320394E2">
            <w:pPr>
              <w:pStyle w:val="942"/>
              <w:adjustRightInd w:val="0"/>
              <w:snapToGrid w:val="0"/>
              <w:jc w:val="center"/>
              <w:rPr>
                <w:rFonts w:ascii="Arial" w:hAnsi="Arial" w:cs="Arial"/>
                <w:sz w:val="18"/>
                <w:szCs w:val="18"/>
                <w:lang w:eastAsia="zh-CN"/>
              </w:rPr>
            </w:pPr>
            <w:r>
              <w:rPr>
                <w:rFonts w:ascii="Arial" w:hAnsi="Arial" w:cs="Arial"/>
                <w:sz w:val="18"/>
                <w:szCs w:val="18"/>
                <w:lang w:eastAsia="zh-CN"/>
              </w:rPr>
              <w:t>1条氨水制备生产线，设计年产21%氨水15万吨/年；1座柴油加油站</w:t>
            </w:r>
          </w:p>
        </w:tc>
        <w:tc>
          <w:tcPr>
            <w:tcW w:w="1103" w:type="pct"/>
            <w:vAlign w:val="center"/>
          </w:tcPr>
          <w:p w14:paraId="4E736D67">
            <w:pPr>
              <w:pStyle w:val="942"/>
              <w:adjustRightInd w:val="0"/>
              <w:snapToGrid w:val="0"/>
              <w:jc w:val="center"/>
              <w:rPr>
                <w:rFonts w:ascii="Arial" w:hAnsi="Arial" w:cs="Arial"/>
                <w:sz w:val="18"/>
                <w:szCs w:val="18"/>
                <w:lang w:eastAsia="zh-CN"/>
              </w:rPr>
            </w:pPr>
            <w:r>
              <w:rPr>
                <w:rFonts w:ascii="Arial" w:hAnsi="Arial" w:cs="Arial"/>
                <w:sz w:val="18"/>
                <w:szCs w:val="18"/>
                <w:lang w:eastAsia="zh-CN"/>
              </w:rPr>
              <w:t>1×15万t/a氨水制备线、1座柴油加油站</w:t>
            </w:r>
          </w:p>
        </w:tc>
        <w:tc>
          <w:tcPr>
            <w:tcW w:w="789" w:type="pct"/>
            <w:vAlign w:val="center"/>
          </w:tcPr>
          <w:p w14:paraId="3D38F750">
            <w:pPr>
              <w:pStyle w:val="5"/>
              <w:adjustRightInd w:val="0"/>
              <w:snapToGrid w:val="0"/>
              <w:spacing w:line="240" w:lineRule="auto"/>
              <w:ind w:firstLine="0"/>
              <w:jc w:val="center"/>
              <w:rPr>
                <w:sz w:val="18"/>
                <w:szCs w:val="18"/>
              </w:rPr>
            </w:pPr>
            <w:r>
              <w:rPr>
                <w:sz w:val="18"/>
                <w:szCs w:val="18"/>
              </w:rPr>
              <w:t>/</w:t>
            </w:r>
          </w:p>
        </w:tc>
        <w:tc>
          <w:tcPr>
            <w:tcW w:w="762" w:type="pct"/>
            <w:vAlign w:val="center"/>
          </w:tcPr>
          <w:p w14:paraId="4D748B4F">
            <w:pPr>
              <w:pStyle w:val="5"/>
              <w:adjustRightInd w:val="0"/>
              <w:snapToGrid w:val="0"/>
              <w:spacing w:line="240" w:lineRule="auto"/>
              <w:ind w:firstLine="0"/>
              <w:jc w:val="center"/>
              <w:rPr>
                <w:sz w:val="18"/>
                <w:szCs w:val="18"/>
              </w:rPr>
            </w:pPr>
            <w:r>
              <w:rPr>
                <w:sz w:val="18"/>
                <w:szCs w:val="18"/>
              </w:rPr>
              <w:t>/</w:t>
            </w:r>
          </w:p>
        </w:tc>
      </w:tr>
      <w:tr w14:paraId="1072C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Align w:val="center"/>
          </w:tcPr>
          <w:p w14:paraId="2C373FDE">
            <w:pPr>
              <w:pStyle w:val="5"/>
              <w:adjustRightInd w:val="0"/>
              <w:snapToGrid w:val="0"/>
              <w:spacing w:line="240" w:lineRule="auto"/>
              <w:ind w:firstLine="0"/>
              <w:jc w:val="center"/>
              <w:rPr>
                <w:sz w:val="18"/>
                <w:szCs w:val="18"/>
              </w:rPr>
            </w:pPr>
            <w:r>
              <w:rPr>
                <w:rFonts w:hint="eastAsia"/>
                <w:sz w:val="18"/>
                <w:szCs w:val="18"/>
              </w:rPr>
              <w:t>氢氧化钴技改项目</w:t>
            </w:r>
          </w:p>
        </w:tc>
        <w:tc>
          <w:tcPr>
            <w:tcW w:w="971" w:type="pct"/>
            <w:vAlign w:val="center"/>
          </w:tcPr>
          <w:p w14:paraId="5E99FB44">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1</w:t>
            </w:r>
            <w:r>
              <w:rPr>
                <w:rFonts w:ascii="Arial" w:hAnsi="Arial" w:cs="Arial"/>
                <w:sz w:val="18"/>
                <w:szCs w:val="18"/>
                <w:lang w:eastAsia="zh-CN"/>
              </w:rPr>
              <w:t>×</w:t>
            </w:r>
            <w:r>
              <w:rPr>
                <w:rFonts w:hint="eastAsia" w:ascii="Arial" w:hAnsi="Arial" w:cs="Arial"/>
                <w:sz w:val="18"/>
                <w:szCs w:val="18"/>
                <w:lang w:eastAsia="zh-CN"/>
              </w:rPr>
              <w:t>0.5万金吨/年氢氧化钴处置线（含0.2万吨/年电积钴工序）、1</w:t>
            </w:r>
            <w:r>
              <w:rPr>
                <w:rFonts w:ascii="Arial" w:hAnsi="Arial" w:cs="Arial"/>
                <w:sz w:val="18"/>
                <w:szCs w:val="18"/>
                <w:lang w:eastAsia="zh-CN"/>
              </w:rPr>
              <w:t>×</w:t>
            </w:r>
            <w:r>
              <w:rPr>
                <w:rFonts w:hint="eastAsia" w:ascii="Arial" w:hAnsi="Arial" w:cs="Arial"/>
                <w:sz w:val="18"/>
                <w:szCs w:val="18"/>
                <w:lang w:eastAsia="zh-CN"/>
              </w:rPr>
              <w:t>1.7万金吨氢氧化镍钴（MHP）生产线</w:t>
            </w:r>
          </w:p>
        </w:tc>
        <w:tc>
          <w:tcPr>
            <w:tcW w:w="1024" w:type="pct"/>
            <w:vAlign w:val="center"/>
          </w:tcPr>
          <w:p w14:paraId="544954D1">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硫酸钴：</w:t>
            </w:r>
            <w:r>
              <w:rPr>
                <w:rFonts w:hint="eastAsia" w:ascii="Arial" w:hAnsi="Arial" w:cs="Arial"/>
                <w:spacing w:val="-3"/>
                <w:sz w:val="18"/>
                <w:szCs w:val="18"/>
                <w:lang w:eastAsia="zh-CN"/>
              </w:rPr>
              <w:t>0.5</w:t>
            </w:r>
            <w:r>
              <w:rPr>
                <w:rFonts w:ascii="Arial" w:hAnsi="Arial" w:cs="Arial"/>
                <w:sz w:val="18"/>
                <w:szCs w:val="18"/>
                <w:lang w:eastAsia="zh-CN"/>
              </w:rPr>
              <w:t>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p w14:paraId="1C47AC19">
            <w:pPr>
              <w:pStyle w:val="942"/>
              <w:adjustRightInd w:val="0"/>
              <w:snapToGrid w:val="0"/>
              <w:jc w:val="center"/>
              <w:rPr>
                <w:rFonts w:ascii="Arial" w:hAnsi="Arial" w:cs="Arial"/>
                <w:spacing w:val="-3"/>
                <w:sz w:val="18"/>
                <w:szCs w:val="18"/>
                <w:lang w:eastAsia="zh-CN"/>
              </w:rPr>
            </w:pPr>
            <w:r>
              <w:rPr>
                <w:rFonts w:hint="eastAsia" w:ascii="Arial" w:hAnsi="Arial" w:cs="Arial"/>
                <w:spacing w:val="-3"/>
                <w:sz w:val="18"/>
                <w:szCs w:val="18"/>
                <w:lang w:eastAsia="zh-CN"/>
              </w:rPr>
              <w:t>钴板：0.2万</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p w14:paraId="04A1EA37">
            <w:pPr>
              <w:pStyle w:val="942"/>
              <w:adjustRightInd w:val="0"/>
              <w:snapToGrid w:val="0"/>
              <w:jc w:val="center"/>
              <w:rPr>
                <w:rFonts w:ascii="Arial" w:hAnsi="Arial" w:cs="Arial"/>
                <w:spacing w:val="-3"/>
                <w:sz w:val="18"/>
                <w:szCs w:val="18"/>
                <w:lang w:eastAsia="zh-CN"/>
              </w:rPr>
            </w:pPr>
            <w:r>
              <w:rPr>
                <w:rFonts w:hint="eastAsia" w:ascii="Arial" w:hAnsi="Arial" w:cs="Arial"/>
                <w:spacing w:val="-3"/>
                <w:sz w:val="18"/>
                <w:szCs w:val="18"/>
                <w:lang w:eastAsia="zh-CN"/>
              </w:rPr>
              <w:t>硫酸镍溶液：1.7万</w:t>
            </w:r>
            <w:r>
              <w:rPr>
                <w:rFonts w:ascii="Arial" w:hAnsi="Arial" w:cs="Arial"/>
                <w:spacing w:val="-3"/>
                <w:sz w:val="18"/>
                <w:szCs w:val="18"/>
                <w:lang w:eastAsia="zh-CN"/>
              </w:rPr>
              <w:t>金</w:t>
            </w:r>
            <w:r>
              <w:rPr>
                <w:rFonts w:ascii="Arial" w:hAnsi="Arial" w:cs="Arial"/>
                <w:sz w:val="18"/>
                <w:szCs w:val="18"/>
                <w:lang w:eastAsia="zh-CN"/>
              </w:rPr>
              <w:t>吨</w:t>
            </w:r>
            <w:r>
              <w:rPr>
                <w:rFonts w:ascii="Arial" w:hAnsi="Arial" w:cs="Arial"/>
                <w:spacing w:val="-2"/>
                <w:sz w:val="18"/>
                <w:szCs w:val="18"/>
                <w:lang w:eastAsia="zh-CN"/>
              </w:rPr>
              <w:t>/</w:t>
            </w:r>
            <w:r>
              <w:rPr>
                <w:rFonts w:ascii="Arial" w:hAnsi="Arial" w:cs="Arial"/>
                <w:spacing w:val="-3"/>
                <w:sz w:val="18"/>
                <w:szCs w:val="18"/>
                <w:lang w:eastAsia="zh-CN"/>
              </w:rPr>
              <w:t>年</w:t>
            </w:r>
          </w:p>
        </w:tc>
        <w:tc>
          <w:tcPr>
            <w:tcW w:w="1103" w:type="pct"/>
            <w:vAlign w:val="center"/>
          </w:tcPr>
          <w:p w14:paraId="52A2FD1F">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1</w:t>
            </w:r>
            <w:r>
              <w:rPr>
                <w:rFonts w:ascii="Arial" w:hAnsi="Arial" w:cs="Arial"/>
                <w:sz w:val="18"/>
                <w:szCs w:val="18"/>
                <w:lang w:eastAsia="zh-CN"/>
              </w:rPr>
              <w:t>×</w:t>
            </w:r>
            <w:r>
              <w:rPr>
                <w:rFonts w:hint="eastAsia" w:ascii="Arial" w:hAnsi="Arial" w:cs="Arial"/>
                <w:sz w:val="18"/>
                <w:szCs w:val="18"/>
                <w:lang w:eastAsia="zh-CN"/>
              </w:rPr>
              <w:t>0.5万金吨/年氢氧化钴处置线（含0.2万吨/年电积钴工序）、1</w:t>
            </w:r>
            <w:r>
              <w:rPr>
                <w:rFonts w:ascii="Arial" w:hAnsi="Arial" w:cs="Arial"/>
                <w:sz w:val="18"/>
                <w:szCs w:val="18"/>
                <w:lang w:eastAsia="zh-CN"/>
              </w:rPr>
              <w:t>×</w:t>
            </w:r>
            <w:r>
              <w:rPr>
                <w:rFonts w:hint="eastAsia" w:ascii="Arial" w:hAnsi="Arial" w:cs="Arial"/>
                <w:sz w:val="18"/>
                <w:szCs w:val="18"/>
                <w:lang w:eastAsia="zh-CN"/>
              </w:rPr>
              <w:t>1.7万金吨氢氧化镍钴（MHP）生产线</w:t>
            </w:r>
          </w:p>
        </w:tc>
        <w:tc>
          <w:tcPr>
            <w:tcW w:w="789" w:type="pct"/>
            <w:vAlign w:val="center"/>
          </w:tcPr>
          <w:p w14:paraId="51D5707E">
            <w:pPr>
              <w:pStyle w:val="5"/>
              <w:adjustRightInd w:val="0"/>
              <w:snapToGrid w:val="0"/>
              <w:spacing w:line="240" w:lineRule="auto"/>
              <w:ind w:firstLine="0"/>
              <w:jc w:val="center"/>
              <w:rPr>
                <w:spacing w:val="-3"/>
                <w:sz w:val="18"/>
                <w:szCs w:val="18"/>
              </w:rPr>
            </w:pPr>
            <w:r>
              <w:rPr>
                <w:sz w:val="18"/>
                <w:szCs w:val="18"/>
              </w:rPr>
              <w:t>/</w:t>
            </w:r>
          </w:p>
        </w:tc>
        <w:tc>
          <w:tcPr>
            <w:tcW w:w="762" w:type="pct"/>
            <w:vAlign w:val="center"/>
          </w:tcPr>
          <w:p w14:paraId="044970A3">
            <w:pPr>
              <w:pStyle w:val="5"/>
              <w:adjustRightInd w:val="0"/>
              <w:snapToGrid w:val="0"/>
              <w:spacing w:line="240" w:lineRule="auto"/>
              <w:ind w:firstLine="0"/>
              <w:jc w:val="center"/>
              <w:rPr>
                <w:sz w:val="18"/>
                <w:szCs w:val="18"/>
              </w:rPr>
            </w:pPr>
            <w:r>
              <w:rPr>
                <w:sz w:val="18"/>
                <w:szCs w:val="18"/>
              </w:rPr>
              <w:t>/</w:t>
            </w:r>
          </w:p>
        </w:tc>
      </w:tr>
      <w:tr w14:paraId="5FE90E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restart"/>
            <w:vAlign w:val="center"/>
          </w:tcPr>
          <w:p w14:paraId="1F7DAAD2">
            <w:pPr>
              <w:pStyle w:val="5"/>
              <w:adjustRightInd w:val="0"/>
              <w:snapToGrid w:val="0"/>
              <w:spacing w:line="240" w:lineRule="auto"/>
              <w:ind w:firstLine="0"/>
              <w:jc w:val="center"/>
              <w:rPr>
                <w:sz w:val="18"/>
                <w:szCs w:val="18"/>
              </w:rPr>
            </w:pPr>
            <w:r>
              <w:rPr>
                <w:sz w:val="18"/>
                <w:szCs w:val="18"/>
              </w:rPr>
              <w:t>一体化</w:t>
            </w:r>
            <w:r>
              <w:rPr>
                <w:rFonts w:hint="eastAsia"/>
                <w:sz w:val="18"/>
                <w:szCs w:val="18"/>
              </w:rPr>
              <w:t>变更</w:t>
            </w:r>
            <w:r>
              <w:rPr>
                <w:sz w:val="18"/>
                <w:szCs w:val="18"/>
              </w:rPr>
              <w:t>项目</w:t>
            </w:r>
          </w:p>
        </w:tc>
        <w:tc>
          <w:tcPr>
            <w:tcW w:w="971" w:type="pct"/>
            <w:vAlign w:val="center"/>
          </w:tcPr>
          <w:p w14:paraId="330EFB41">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ascii="Arial" w:hAnsi="Arial" w:cs="Arial"/>
                <w:spacing w:val="-3"/>
                <w:sz w:val="18"/>
                <w:szCs w:val="18"/>
                <w:lang w:eastAsia="zh-CN"/>
              </w:rPr>
              <w:t>×</w:t>
            </w:r>
            <w:r>
              <w:rPr>
                <w:rFonts w:hint="eastAsia" w:ascii="Arial" w:hAnsi="Arial" w:cs="Arial"/>
                <w:sz w:val="18"/>
                <w:szCs w:val="18"/>
                <w:lang w:eastAsia="zh-CN"/>
              </w:rPr>
              <w:t>8.2</w:t>
            </w:r>
            <w:r>
              <w:rPr>
                <w:rFonts w:ascii="Arial" w:hAnsi="Arial" w:cs="Arial"/>
                <w:sz w:val="18"/>
                <w:szCs w:val="18"/>
                <w:lang w:eastAsia="zh-CN"/>
              </w:rPr>
              <w:t>万金吨</w:t>
            </w:r>
            <w:r>
              <w:rPr>
                <w:rFonts w:hint="eastAsia" w:ascii="Arial" w:hAnsi="Arial" w:cs="Arial"/>
                <w:sz w:val="18"/>
                <w:szCs w:val="18"/>
                <w:lang w:eastAsia="zh-CN"/>
              </w:rPr>
              <w:t>/年火法</w:t>
            </w:r>
            <w:r>
              <w:rPr>
                <w:rFonts w:ascii="Arial" w:hAnsi="Arial" w:cs="Arial"/>
                <w:sz w:val="18"/>
                <w:szCs w:val="18"/>
                <w:lang w:eastAsia="zh-CN"/>
              </w:rPr>
              <w:t>生产线</w:t>
            </w:r>
          </w:p>
        </w:tc>
        <w:tc>
          <w:tcPr>
            <w:tcW w:w="1024" w:type="pct"/>
            <w:vAlign w:val="center"/>
          </w:tcPr>
          <w:p w14:paraId="60C9B298">
            <w:pPr>
              <w:pStyle w:val="942"/>
              <w:adjustRightInd w:val="0"/>
              <w:snapToGrid w:val="0"/>
              <w:jc w:val="center"/>
              <w:rPr>
                <w:rFonts w:ascii="Arial" w:hAnsi="Arial" w:cs="Arial"/>
                <w:spacing w:val="-3"/>
                <w:sz w:val="18"/>
                <w:szCs w:val="18"/>
                <w:lang w:eastAsia="zh-CN"/>
              </w:rPr>
            </w:pPr>
            <w:r>
              <w:rPr>
                <w:rFonts w:ascii="Arial" w:hAnsi="Arial" w:cs="Arial"/>
                <w:sz w:val="18"/>
                <w:szCs w:val="18"/>
              </w:rPr>
              <w:t>高冰镍</w:t>
            </w:r>
            <w:r>
              <w:rPr>
                <w:rFonts w:ascii="Arial" w:hAnsi="Arial" w:cs="Arial"/>
                <w:sz w:val="18"/>
                <w:szCs w:val="18"/>
                <w:lang w:eastAsia="zh-CN"/>
              </w:rPr>
              <w:t>：</w:t>
            </w:r>
            <w:r>
              <w:rPr>
                <w:rFonts w:hint="eastAsia" w:ascii="Arial" w:hAnsi="Arial" w:cs="Arial"/>
                <w:sz w:val="18"/>
                <w:szCs w:val="18"/>
                <w:lang w:eastAsia="zh-CN"/>
              </w:rPr>
              <w:t>8.2</w:t>
            </w:r>
            <w:r>
              <w:rPr>
                <w:rFonts w:ascii="Arial" w:hAnsi="Arial" w:cs="Arial"/>
                <w:sz w:val="18"/>
                <w:szCs w:val="18"/>
                <w:lang w:eastAsia="zh-CN"/>
              </w:rPr>
              <w:t>万金吨/年</w:t>
            </w:r>
          </w:p>
        </w:tc>
        <w:tc>
          <w:tcPr>
            <w:tcW w:w="1103" w:type="pct"/>
            <w:vAlign w:val="center"/>
          </w:tcPr>
          <w:p w14:paraId="34D56416">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796D64EC">
            <w:pPr>
              <w:pStyle w:val="5"/>
              <w:adjustRightInd w:val="0"/>
              <w:snapToGrid w:val="0"/>
              <w:spacing w:line="240" w:lineRule="auto"/>
              <w:ind w:firstLine="0"/>
              <w:jc w:val="center"/>
              <w:rPr>
                <w:sz w:val="18"/>
                <w:szCs w:val="18"/>
              </w:rPr>
            </w:pPr>
            <w:r>
              <w:rPr>
                <w:sz w:val="18"/>
                <w:szCs w:val="18"/>
              </w:rPr>
              <w:t>1</w:t>
            </w:r>
            <w:r>
              <w:rPr>
                <w:spacing w:val="-3"/>
                <w:sz w:val="18"/>
                <w:szCs w:val="18"/>
              </w:rPr>
              <w:t>×</w:t>
            </w:r>
            <w:r>
              <w:rPr>
                <w:rFonts w:hint="eastAsia"/>
                <w:sz w:val="18"/>
                <w:szCs w:val="18"/>
              </w:rPr>
              <w:t>8.2</w:t>
            </w:r>
            <w:r>
              <w:rPr>
                <w:sz w:val="18"/>
                <w:szCs w:val="18"/>
              </w:rPr>
              <w:t>万金吨高冰镍生产线</w:t>
            </w:r>
          </w:p>
        </w:tc>
        <w:tc>
          <w:tcPr>
            <w:tcW w:w="762" w:type="pct"/>
            <w:vAlign w:val="center"/>
          </w:tcPr>
          <w:p w14:paraId="74C5B621">
            <w:pPr>
              <w:pStyle w:val="5"/>
              <w:adjustRightInd w:val="0"/>
              <w:snapToGrid w:val="0"/>
              <w:spacing w:line="240" w:lineRule="auto"/>
              <w:ind w:firstLine="0"/>
              <w:jc w:val="center"/>
              <w:rPr>
                <w:sz w:val="18"/>
                <w:szCs w:val="18"/>
              </w:rPr>
            </w:pPr>
            <w:r>
              <w:rPr>
                <w:sz w:val="18"/>
                <w:szCs w:val="18"/>
              </w:rPr>
              <w:t>/</w:t>
            </w:r>
          </w:p>
        </w:tc>
      </w:tr>
      <w:tr w14:paraId="3368DE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continue"/>
            <w:vAlign w:val="center"/>
          </w:tcPr>
          <w:p w14:paraId="0AE57C23">
            <w:pPr>
              <w:pStyle w:val="5"/>
              <w:adjustRightInd w:val="0"/>
              <w:snapToGrid w:val="0"/>
              <w:spacing w:line="240" w:lineRule="auto"/>
              <w:ind w:firstLine="0"/>
              <w:jc w:val="center"/>
              <w:rPr>
                <w:sz w:val="18"/>
                <w:szCs w:val="18"/>
              </w:rPr>
            </w:pPr>
          </w:p>
        </w:tc>
        <w:tc>
          <w:tcPr>
            <w:tcW w:w="971" w:type="pct"/>
            <w:vAlign w:val="center"/>
          </w:tcPr>
          <w:p w14:paraId="20D80A68">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hint="eastAsia" w:ascii="Arial" w:hAnsi="Arial" w:cs="Arial"/>
                <w:sz w:val="18"/>
                <w:szCs w:val="18"/>
                <w:lang w:eastAsia="zh-CN"/>
              </w:rPr>
              <w:t>条</w:t>
            </w:r>
            <w:r>
              <w:rPr>
                <w:rFonts w:ascii="Arial" w:hAnsi="Arial" w:cs="Arial"/>
                <w:sz w:val="18"/>
                <w:szCs w:val="18"/>
                <w:lang w:eastAsia="zh-CN"/>
              </w:rPr>
              <w:t>吹炼渣生产线</w:t>
            </w:r>
          </w:p>
        </w:tc>
        <w:tc>
          <w:tcPr>
            <w:tcW w:w="1024" w:type="pct"/>
            <w:vAlign w:val="center"/>
          </w:tcPr>
          <w:p w14:paraId="1B13FA65">
            <w:pPr>
              <w:pStyle w:val="942"/>
              <w:adjustRightInd w:val="0"/>
              <w:snapToGrid w:val="0"/>
              <w:jc w:val="center"/>
              <w:rPr>
                <w:rFonts w:ascii="Arial" w:hAnsi="Arial" w:cs="Arial"/>
                <w:spacing w:val="-3"/>
                <w:sz w:val="18"/>
                <w:szCs w:val="18"/>
                <w:lang w:eastAsia="zh-CN"/>
              </w:rPr>
            </w:pPr>
            <w:r>
              <w:rPr>
                <w:rFonts w:hint="eastAsia" w:ascii="Arial" w:hAnsi="Arial" w:cs="Arial"/>
                <w:sz w:val="18"/>
                <w:szCs w:val="18"/>
                <w:lang w:eastAsia="zh-CN"/>
              </w:rPr>
              <w:t>富</w:t>
            </w:r>
            <w:r>
              <w:rPr>
                <w:rFonts w:ascii="Arial" w:hAnsi="Arial" w:cs="Arial"/>
                <w:sz w:val="18"/>
                <w:szCs w:val="18"/>
                <w:lang w:eastAsia="zh-CN"/>
              </w:rPr>
              <w:t>钴</w:t>
            </w:r>
            <w:r>
              <w:rPr>
                <w:rFonts w:hint="eastAsia" w:ascii="Arial" w:hAnsi="Arial" w:cs="Arial"/>
                <w:sz w:val="18"/>
                <w:szCs w:val="18"/>
                <w:lang w:eastAsia="zh-CN"/>
              </w:rPr>
              <w:t>中</w:t>
            </w:r>
            <w:r>
              <w:rPr>
                <w:rFonts w:ascii="Arial" w:hAnsi="Arial" w:cs="Arial"/>
                <w:sz w:val="18"/>
                <w:szCs w:val="18"/>
                <w:lang w:eastAsia="zh-CN"/>
              </w:rPr>
              <w:t>冰镍：0.</w:t>
            </w:r>
            <w:r>
              <w:rPr>
                <w:rFonts w:hint="eastAsia" w:ascii="Arial" w:hAnsi="Arial" w:cs="Arial"/>
                <w:sz w:val="18"/>
                <w:szCs w:val="18"/>
                <w:lang w:eastAsia="zh-CN"/>
              </w:rPr>
              <w:t>49</w:t>
            </w:r>
            <w:r>
              <w:rPr>
                <w:rFonts w:ascii="Arial" w:hAnsi="Arial" w:cs="Arial"/>
                <w:sz w:val="18"/>
                <w:szCs w:val="18"/>
                <w:lang w:eastAsia="zh-CN"/>
              </w:rPr>
              <w:t>万金吨/年</w:t>
            </w:r>
          </w:p>
        </w:tc>
        <w:tc>
          <w:tcPr>
            <w:tcW w:w="1103" w:type="pct"/>
            <w:vAlign w:val="center"/>
          </w:tcPr>
          <w:p w14:paraId="6879BA86">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20F58B9C">
            <w:pPr>
              <w:pStyle w:val="5"/>
              <w:adjustRightInd w:val="0"/>
              <w:snapToGrid w:val="0"/>
              <w:spacing w:line="240" w:lineRule="auto"/>
              <w:ind w:firstLine="0"/>
              <w:jc w:val="center"/>
              <w:rPr>
                <w:sz w:val="18"/>
                <w:szCs w:val="18"/>
              </w:rPr>
            </w:pPr>
            <w:r>
              <w:rPr>
                <w:sz w:val="18"/>
                <w:szCs w:val="18"/>
              </w:rPr>
              <w:t>1</w:t>
            </w:r>
            <w:r>
              <w:rPr>
                <w:rFonts w:hint="eastAsia"/>
                <w:spacing w:val="-3"/>
                <w:sz w:val="18"/>
                <w:szCs w:val="18"/>
              </w:rPr>
              <w:t>条</w:t>
            </w:r>
            <w:r>
              <w:rPr>
                <w:sz w:val="18"/>
                <w:szCs w:val="18"/>
              </w:rPr>
              <w:t>吹炼渣生产线</w:t>
            </w:r>
          </w:p>
        </w:tc>
        <w:tc>
          <w:tcPr>
            <w:tcW w:w="762" w:type="pct"/>
            <w:vAlign w:val="center"/>
          </w:tcPr>
          <w:p w14:paraId="06F9ACDA">
            <w:pPr>
              <w:pStyle w:val="5"/>
              <w:adjustRightInd w:val="0"/>
              <w:snapToGrid w:val="0"/>
              <w:spacing w:line="240" w:lineRule="auto"/>
              <w:ind w:firstLine="0"/>
              <w:jc w:val="center"/>
              <w:rPr>
                <w:sz w:val="18"/>
                <w:szCs w:val="18"/>
              </w:rPr>
            </w:pPr>
            <w:r>
              <w:rPr>
                <w:sz w:val="18"/>
                <w:szCs w:val="18"/>
              </w:rPr>
              <w:t>/</w:t>
            </w:r>
          </w:p>
        </w:tc>
      </w:tr>
      <w:tr w14:paraId="526EE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continue"/>
            <w:vAlign w:val="center"/>
          </w:tcPr>
          <w:p w14:paraId="591E0435">
            <w:pPr>
              <w:pStyle w:val="5"/>
              <w:adjustRightInd w:val="0"/>
              <w:snapToGrid w:val="0"/>
              <w:spacing w:line="240" w:lineRule="auto"/>
              <w:ind w:firstLine="0"/>
              <w:jc w:val="center"/>
              <w:rPr>
                <w:sz w:val="18"/>
                <w:szCs w:val="18"/>
              </w:rPr>
            </w:pPr>
          </w:p>
        </w:tc>
        <w:tc>
          <w:tcPr>
            <w:tcW w:w="971" w:type="pct"/>
            <w:vAlign w:val="center"/>
          </w:tcPr>
          <w:p w14:paraId="6F9440E3">
            <w:pPr>
              <w:pStyle w:val="942"/>
              <w:adjustRightInd w:val="0"/>
              <w:snapToGrid w:val="0"/>
              <w:jc w:val="center"/>
              <w:rPr>
                <w:rFonts w:ascii="Arial" w:hAnsi="Arial" w:cs="Arial"/>
                <w:sz w:val="18"/>
                <w:szCs w:val="18"/>
                <w:lang w:eastAsia="zh-CN"/>
              </w:rPr>
            </w:pPr>
            <w:r>
              <w:rPr>
                <w:rFonts w:ascii="Arial" w:hAnsi="Arial" w:cs="Arial"/>
                <w:sz w:val="18"/>
                <w:szCs w:val="18"/>
                <w:lang w:eastAsia="zh-CN"/>
              </w:rPr>
              <w:t>1</w:t>
            </w:r>
            <w:r>
              <w:rPr>
                <w:rFonts w:ascii="Arial" w:hAnsi="Arial" w:cs="Arial"/>
                <w:spacing w:val="-3"/>
                <w:sz w:val="18"/>
                <w:szCs w:val="18"/>
                <w:lang w:eastAsia="zh-CN"/>
              </w:rPr>
              <w:t>×</w:t>
            </w:r>
            <w:r>
              <w:rPr>
                <w:rFonts w:ascii="Arial" w:hAnsi="Arial" w:cs="Arial"/>
                <w:sz w:val="18"/>
                <w:szCs w:val="18"/>
                <w:lang w:eastAsia="zh-CN"/>
              </w:rPr>
              <w:t>15万t/a烟气制酸生产线</w:t>
            </w:r>
          </w:p>
        </w:tc>
        <w:tc>
          <w:tcPr>
            <w:tcW w:w="1024" w:type="pct"/>
            <w:vAlign w:val="center"/>
          </w:tcPr>
          <w:p w14:paraId="258A4A4A">
            <w:pPr>
              <w:pStyle w:val="942"/>
              <w:adjustRightInd w:val="0"/>
              <w:snapToGrid w:val="0"/>
              <w:jc w:val="center"/>
              <w:rPr>
                <w:rFonts w:ascii="Arial" w:hAnsi="Arial" w:cs="Arial"/>
                <w:spacing w:val="-3"/>
                <w:sz w:val="18"/>
                <w:szCs w:val="18"/>
                <w:lang w:eastAsia="zh-CN"/>
              </w:rPr>
            </w:pPr>
            <w:r>
              <w:rPr>
                <w:rFonts w:ascii="Arial" w:hAnsi="Arial" w:cs="Arial"/>
                <w:sz w:val="18"/>
                <w:szCs w:val="18"/>
                <w:lang w:eastAsia="zh-CN"/>
              </w:rPr>
              <w:t>硫酸：15万t/a</w:t>
            </w:r>
          </w:p>
        </w:tc>
        <w:tc>
          <w:tcPr>
            <w:tcW w:w="1103" w:type="pct"/>
            <w:vAlign w:val="center"/>
          </w:tcPr>
          <w:p w14:paraId="4550BC3E">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45527BAD">
            <w:pPr>
              <w:pStyle w:val="5"/>
              <w:adjustRightInd w:val="0"/>
              <w:snapToGrid w:val="0"/>
              <w:spacing w:line="240" w:lineRule="auto"/>
              <w:ind w:firstLine="0"/>
              <w:jc w:val="center"/>
              <w:rPr>
                <w:sz w:val="18"/>
                <w:szCs w:val="18"/>
              </w:rPr>
            </w:pPr>
            <w:r>
              <w:rPr>
                <w:sz w:val="18"/>
                <w:szCs w:val="18"/>
              </w:rPr>
              <w:t>1</w:t>
            </w:r>
            <w:r>
              <w:rPr>
                <w:spacing w:val="-3"/>
                <w:sz w:val="18"/>
                <w:szCs w:val="18"/>
              </w:rPr>
              <w:t>×</w:t>
            </w:r>
            <w:r>
              <w:rPr>
                <w:sz w:val="18"/>
                <w:szCs w:val="18"/>
              </w:rPr>
              <w:t>15万t/a烟气制酸生产线</w:t>
            </w:r>
          </w:p>
        </w:tc>
        <w:tc>
          <w:tcPr>
            <w:tcW w:w="762" w:type="pct"/>
            <w:vAlign w:val="center"/>
          </w:tcPr>
          <w:p w14:paraId="085F7DEF">
            <w:pPr>
              <w:pStyle w:val="5"/>
              <w:adjustRightInd w:val="0"/>
              <w:snapToGrid w:val="0"/>
              <w:spacing w:line="240" w:lineRule="auto"/>
              <w:ind w:firstLine="0"/>
              <w:jc w:val="center"/>
              <w:rPr>
                <w:sz w:val="18"/>
                <w:szCs w:val="18"/>
              </w:rPr>
            </w:pPr>
            <w:r>
              <w:rPr>
                <w:sz w:val="18"/>
                <w:szCs w:val="18"/>
              </w:rPr>
              <w:t>/</w:t>
            </w:r>
          </w:p>
        </w:tc>
      </w:tr>
      <w:tr w14:paraId="022417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40" w:hRule="atLeast"/>
        </w:trPr>
        <w:tc>
          <w:tcPr>
            <w:tcW w:w="351" w:type="pct"/>
            <w:vMerge w:val="continue"/>
            <w:vAlign w:val="center"/>
          </w:tcPr>
          <w:p w14:paraId="033C640A">
            <w:pPr>
              <w:pStyle w:val="5"/>
              <w:adjustRightInd w:val="0"/>
              <w:snapToGrid w:val="0"/>
              <w:spacing w:line="240" w:lineRule="auto"/>
              <w:ind w:firstLine="0"/>
              <w:jc w:val="center"/>
              <w:rPr>
                <w:sz w:val="18"/>
                <w:szCs w:val="18"/>
              </w:rPr>
            </w:pPr>
          </w:p>
        </w:tc>
        <w:tc>
          <w:tcPr>
            <w:tcW w:w="971" w:type="pct"/>
            <w:vAlign w:val="center"/>
          </w:tcPr>
          <w:p w14:paraId="3ED67E58">
            <w:pPr>
              <w:pStyle w:val="942"/>
              <w:adjustRightInd w:val="0"/>
              <w:snapToGrid w:val="0"/>
              <w:jc w:val="center"/>
              <w:rPr>
                <w:rFonts w:ascii="Arial" w:hAnsi="Arial" w:cs="Arial"/>
                <w:sz w:val="18"/>
                <w:szCs w:val="18"/>
                <w:lang w:eastAsia="zh-CN"/>
              </w:rPr>
            </w:pPr>
            <w:r>
              <w:rPr>
                <w:rFonts w:hint="eastAsia" w:ascii="Arial" w:hAnsi="Arial" w:cs="Arial"/>
                <w:sz w:val="18"/>
                <w:szCs w:val="18"/>
                <w:lang w:eastAsia="zh-CN"/>
              </w:rPr>
              <w:t>2×4万金吨/年MSP生产线（含1段电积铜工序、2段电积镍工序）</w:t>
            </w:r>
          </w:p>
        </w:tc>
        <w:tc>
          <w:tcPr>
            <w:tcW w:w="1024" w:type="pct"/>
            <w:vAlign w:val="center"/>
          </w:tcPr>
          <w:p w14:paraId="45B9BDFA">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硫酸镍</w:t>
            </w:r>
            <w:r>
              <w:rPr>
                <w:rFonts w:hint="eastAsia" w:ascii="Arial" w:hAnsi="Arial" w:cs="Arial"/>
                <w:spacing w:val="-3"/>
                <w:sz w:val="18"/>
                <w:szCs w:val="18"/>
                <w:lang w:eastAsia="zh-CN"/>
              </w:rPr>
              <w:t>晶体</w:t>
            </w:r>
            <w:r>
              <w:rPr>
                <w:rFonts w:ascii="Arial" w:hAnsi="Arial" w:cs="Arial"/>
                <w:spacing w:val="-3"/>
                <w:sz w:val="18"/>
                <w:szCs w:val="18"/>
                <w:lang w:eastAsia="zh-CN"/>
              </w:rPr>
              <w:t>：</w:t>
            </w:r>
            <w:r>
              <w:rPr>
                <w:rFonts w:hint="eastAsia" w:ascii="Arial" w:hAnsi="Arial" w:cs="Arial"/>
                <w:spacing w:val="-3"/>
                <w:sz w:val="18"/>
                <w:szCs w:val="18"/>
                <w:lang w:eastAsia="zh-CN"/>
              </w:rPr>
              <w:t>8</w:t>
            </w:r>
            <w:r>
              <w:rPr>
                <w:rFonts w:ascii="Arial" w:hAnsi="Arial" w:cs="Arial"/>
                <w:spacing w:val="-3"/>
                <w:sz w:val="18"/>
                <w:szCs w:val="18"/>
                <w:lang w:eastAsia="zh-CN"/>
              </w:rPr>
              <w:t>万金吨/年；</w:t>
            </w:r>
          </w:p>
          <w:p w14:paraId="01B9FFA8">
            <w:pPr>
              <w:pStyle w:val="942"/>
              <w:adjustRightInd w:val="0"/>
              <w:snapToGrid w:val="0"/>
              <w:jc w:val="center"/>
              <w:rPr>
                <w:rFonts w:ascii="Arial" w:hAnsi="Arial" w:cs="Arial"/>
                <w:spacing w:val="-3"/>
                <w:sz w:val="18"/>
                <w:szCs w:val="18"/>
                <w:lang w:eastAsia="zh-CN"/>
              </w:rPr>
            </w:pPr>
            <w:r>
              <w:rPr>
                <w:rFonts w:ascii="Arial" w:hAnsi="Arial" w:cs="Arial"/>
                <w:spacing w:val="-3"/>
                <w:sz w:val="18"/>
                <w:szCs w:val="18"/>
                <w:lang w:eastAsia="zh-CN"/>
              </w:rPr>
              <w:t>1号标准铜：1万吨/年；</w:t>
            </w:r>
          </w:p>
          <w:p w14:paraId="57918FB8">
            <w:pPr>
              <w:pStyle w:val="942"/>
              <w:adjustRightInd w:val="0"/>
              <w:snapToGrid w:val="0"/>
              <w:jc w:val="center"/>
              <w:rPr>
                <w:rFonts w:ascii="Arial" w:hAnsi="Arial" w:cs="Arial"/>
                <w:sz w:val="18"/>
                <w:szCs w:val="18"/>
                <w:lang w:eastAsia="zh-CN"/>
              </w:rPr>
            </w:pPr>
            <w:r>
              <w:rPr>
                <w:rFonts w:ascii="Arial" w:hAnsi="Arial" w:cs="Arial"/>
                <w:spacing w:val="-3"/>
                <w:sz w:val="18"/>
                <w:szCs w:val="18"/>
                <w:lang w:eastAsia="zh-CN"/>
              </w:rPr>
              <w:t>镍板：2.5万吨/年；</w:t>
            </w:r>
          </w:p>
        </w:tc>
        <w:tc>
          <w:tcPr>
            <w:tcW w:w="1103" w:type="pct"/>
            <w:vAlign w:val="center"/>
          </w:tcPr>
          <w:p w14:paraId="06436ED3">
            <w:pPr>
              <w:pStyle w:val="942"/>
              <w:adjustRightInd w:val="0"/>
              <w:snapToGrid w:val="0"/>
              <w:jc w:val="center"/>
              <w:rPr>
                <w:rFonts w:ascii="Arial" w:hAnsi="Arial" w:cs="Arial"/>
                <w:sz w:val="18"/>
                <w:szCs w:val="18"/>
                <w:lang w:eastAsia="zh-CN"/>
              </w:rPr>
            </w:pPr>
            <w:r>
              <w:rPr>
                <w:rFonts w:ascii="Arial" w:hAnsi="Arial" w:cs="Arial"/>
                <w:sz w:val="18"/>
                <w:szCs w:val="18"/>
                <w:lang w:eastAsia="zh-CN"/>
              </w:rPr>
              <w:t>/</w:t>
            </w:r>
          </w:p>
        </w:tc>
        <w:tc>
          <w:tcPr>
            <w:tcW w:w="789" w:type="pct"/>
            <w:vAlign w:val="center"/>
          </w:tcPr>
          <w:p w14:paraId="63FF4B20">
            <w:pPr>
              <w:pStyle w:val="5"/>
              <w:adjustRightInd w:val="0"/>
              <w:snapToGrid w:val="0"/>
              <w:spacing w:line="240" w:lineRule="auto"/>
              <w:ind w:firstLine="0"/>
              <w:jc w:val="center"/>
              <w:rPr>
                <w:sz w:val="18"/>
                <w:szCs w:val="18"/>
              </w:rPr>
            </w:pPr>
            <w:r>
              <w:rPr>
                <w:rFonts w:hint="eastAsia"/>
                <w:sz w:val="18"/>
                <w:szCs w:val="18"/>
              </w:rPr>
              <w:t>2×4万金吨/年MSP生产线（含1段电积铜工序、2段电积镍工序）</w:t>
            </w:r>
          </w:p>
        </w:tc>
        <w:tc>
          <w:tcPr>
            <w:tcW w:w="762" w:type="pct"/>
            <w:vAlign w:val="center"/>
          </w:tcPr>
          <w:p w14:paraId="53F1E67C">
            <w:pPr>
              <w:pStyle w:val="5"/>
              <w:adjustRightInd w:val="0"/>
              <w:snapToGrid w:val="0"/>
              <w:spacing w:line="240" w:lineRule="auto"/>
              <w:ind w:firstLine="0"/>
              <w:jc w:val="center"/>
              <w:rPr>
                <w:sz w:val="18"/>
                <w:szCs w:val="18"/>
              </w:rPr>
            </w:pPr>
            <w:r>
              <w:rPr>
                <w:sz w:val="18"/>
                <w:szCs w:val="18"/>
              </w:rPr>
              <w:t>/</w:t>
            </w:r>
          </w:p>
        </w:tc>
      </w:tr>
    </w:tbl>
    <w:p w14:paraId="3DA2F45B">
      <w:pPr>
        <w:keepNext/>
        <w:keepLines/>
        <w:numPr>
          <w:ilvl w:val="2"/>
          <w:numId w:val="1"/>
        </w:numPr>
        <w:tabs>
          <w:tab w:val="left" w:pos="1789"/>
        </w:tabs>
        <w:spacing w:before="120" w:after="120" w:line="400" w:lineRule="exact"/>
        <w:outlineLvl w:val="2"/>
        <w:rPr>
          <w:rFonts w:ascii="Arial" w:hAnsi="Arial" w:eastAsia="宋体" w:cs="Arial"/>
          <w:b/>
          <w:bCs/>
          <w:sz w:val="24"/>
          <w:u w:val="single"/>
        </w:rPr>
      </w:pPr>
      <w:r>
        <w:rPr>
          <w:rFonts w:hint="eastAsia" w:ascii="Arial" w:hAnsi="Arial" w:eastAsia="宋体" w:cs="Arial"/>
          <w:b/>
          <w:bCs/>
          <w:sz w:val="24"/>
          <w:u w:val="single"/>
        </w:rPr>
        <w:t>企业污染物排放情况</w:t>
      </w:r>
    </w:p>
    <w:p w14:paraId="2F851F67">
      <w:pPr>
        <w:pStyle w:val="5"/>
        <w:ind w:firstLine="0"/>
        <w:outlineLvl w:val="4"/>
        <w:rPr>
          <w:b/>
          <w:u w:val="single"/>
        </w:rPr>
      </w:pPr>
      <w:r>
        <w:rPr>
          <w:rFonts w:hint="eastAsia"/>
          <w:b/>
          <w:u w:val="single"/>
        </w:rPr>
        <w:t>2.1.1.1环保措施落实情况及污染物达标排放情况</w:t>
      </w:r>
    </w:p>
    <w:p w14:paraId="211282D1">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根据已验收项目相应的验收报告，并结合现场调查，已验收的建设内容基本落实了相应的环评及其批复要求的环保措施；厂区的危废暂存间已按《危险废物贮存污染控制标准》（GB18597-2023）的相关要求建设，并设有1套活性炭吸附装置处理暂存间废气。危废暂存间采用2.0mm的HDPE土工膜做人工防渗。</w:t>
      </w:r>
    </w:p>
    <w:p w14:paraId="5E3161F1">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已验收项目各有组织废气、厂界无组织废气均满足相应的排放标准要求；生产废水在车间设施排放口可达标排放，企业废水总排放口处废水各监测因子符合GB31573-2015表1污染排放限值；厂界噪声符合《工业企业厂界环境噪声排放标准》（GB12348-2008）要求。</w:t>
      </w:r>
    </w:p>
    <w:p w14:paraId="27874879">
      <w:pPr>
        <w:pStyle w:val="5"/>
        <w:ind w:firstLine="0"/>
        <w:outlineLvl w:val="4"/>
        <w:rPr>
          <w:b/>
          <w:u w:val="single"/>
        </w:rPr>
      </w:pPr>
      <w:r>
        <w:rPr>
          <w:rFonts w:hint="eastAsia"/>
          <w:b/>
          <w:u w:val="single"/>
        </w:rPr>
        <w:t>2.1.1.2污染物排放情况</w:t>
      </w:r>
    </w:p>
    <w:p w14:paraId="0BF40F58">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根据2024.11.22批复的一体化变更项目，一体化变更项目建成后，企业污染物排放情况见表2-3（包括原二阶段镍豆镍粉污染物排放量），企业废水总排口污染物排放情况见表2-4。其中，企业已验收建设内容的污染物排放量以验收监测数据统计，未验收建设内容的污染物排放量以相应环评报告中的数据统计。</w:t>
      </w:r>
    </w:p>
    <w:p w14:paraId="2CFD5E17">
      <w:pPr>
        <w:keepNext/>
        <w:numPr>
          <w:ilvl w:val="0"/>
          <w:numId w:val="12"/>
        </w:numPr>
        <w:spacing w:line="480" w:lineRule="exact"/>
        <w:ind w:left="0" w:firstLine="0"/>
        <w:jc w:val="center"/>
        <w:outlineLvl w:val="5"/>
        <w:rPr>
          <w:rFonts w:ascii="Arial" w:hAnsi="Arial" w:eastAsia="宋体" w:cs="Arial"/>
          <w:b/>
          <w:spacing w:val="10"/>
          <w:sz w:val="24"/>
          <w:u w:val="single"/>
        </w:rPr>
      </w:pPr>
      <w:r>
        <w:rPr>
          <w:rFonts w:hint="eastAsia" w:ascii="Arial" w:hAnsi="Arial" w:eastAsia="宋体" w:cs="Arial"/>
          <w:b/>
          <w:spacing w:val="10"/>
          <w:sz w:val="24"/>
          <w:u w:val="single"/>
        </w:rPr>
        <w:t>企业现有污染物排放情况</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2"/>
        <w:gridCol w:w="1887"/>
        <w:gridCol w:w="3308"/>
        <w:gridCol w:w="2791"/>
      </w:tblGrid>
      <w:tr w14:paraId="24458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717" w:type="pct"/>
            <w:gridSpan w:val="2"/>
            <w:vAlign w:val="center"/>
          </w:tcPr>
          <w:p w14:paraId="0F0F57E6">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类别</w:t>
            </w:r>
          </w:p>
        </w:tc>
        <w:tc>
          <w:tcPr>
            <w:tcW w:w="1781" w:type="pct"/>
            <w:vAlign w:val="center"/>
          </w:tcPr>
          <w:p w14:paraId="5AABC73A">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项目</w:t>
            </w:r>
          </w:p>
        </w:tc>
        <w:tc>
          <w:tcPr>
            <w:tcW w:w="1502" w:type="pct"/>
            <w:noWrap/>
            <w:vAlign w:val="center"/>
          </w:tcPr>
          <w:p w14:paraId="0B06F083">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排放量</w:t>
            </w:r>
            <w:r>
              <w:rPr>
                <w:rFonts w:hint="eastAsia" w:ascii="Arial" w:hAnsi="Arial" w:eastAsia="宋体" w:cs="Arial"/>
                <w:sz w:val="21"/>
                <w:szCs w:val="21"/>
                <w:u w:val="single"/>
              </w:rPr>
              <w:t>（t/a）</w:t>
            </w:r>
          </w:p>
        </w:tc>
      </w:tr>
      <w:tr w14:paraId="0AF3E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restart"/>
            <w:vAlign w:val="center"/>
          </w:tcPr>
          <w:p w14:paraId="1B9B5D01">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废气</w:t>
            </w:r>
          </w:p>
        </w:tc>
        <w:tc>
          <w:tcPr>
            <w:tcW w:w="1781" w:type="pct"/>
            <w:vAlign w:val="center"/>
          </w:tcPr>
          <w:p w14:paraId="324BA922">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SO</w:t>
            </w:r>
            <w:r>
              <w:rPr>
                <w:rFonts w:ascii="Arial" w:hAnsi="Arial" w:cs="Arial" w:eastAsiaTheme="minorEastAsia"/>
                <w:sz w:val="21"/>
                <w:szCs w:val="21"/>
                <w:u w:val="single"/>
                <w:vertAlign w:val="subscript"/>
              </w:rPr>
              <w:t>2</w:t>
            </w:r>
          </w:p>
        </w:tc>
        <w:tc>
          <w:tcPr>
            <w:tcW w:w="1502" w:type="pct"/>
            <w:noWrap/>
            <w:vAlign w:val="center"/>
          </w:tcPr>
          <w:p w14:paraId="1BA458E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127.2658</w:t>
            </w:r>
          </w:p>
        </w:tc>
      </w:tr>
      <w:tr w14:paraId="5A06A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491EB2D5">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39BF6C39">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NO</w:t>
            </w:r>
            <w:r>
              <w:rPr>
                <w:rFonts w:ascii="Arial" w:hAnsi="Arial" w:cs="Arial" w:eastAsiaTheme="minorEastAsia"/>
                <w:sz w:val="21"/>
                <w:szCs w:val="21"/>
                <w:u w:val="single"/>
                <w:vertAlign w:val="subscript"/>
              </w:rPr>
              <w:t>X</w:t>
            </w:r>
          </w:p>
        </w:tc>
        <w:tc>
          <w:tcPr>
            <w:tcW w:w="1502" w:type="pct"/>
            <w:noWrap/>
            <w:vAlign w:val="center"/>
          </w:tcPr>
          <w:p w14:paraId="7FA78E2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139.7473</w:t>
            </w:r>
          </w:p>
        </w:tc>
      </w:tr>
      <w:tr w14:paraId="0A08A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4D099FA8">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053EDC88">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颗粒物</w:t>
            </w:r>
          </w:p>
        </w:tc>
        <w:tc>
          <w:tcPr>
            <w:tcW w:w="1502" w:type="pct"/>
            <w:noWrap/>
            <w:vAlign w:val="center"/>
          </w:tcPr>
          <w:p w14:paraId="579F017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188.1816</w:t>
            </w:r>
          </w:p>
        </w:tc>
      </w:tr>
      <w:tr w14:paraId="7F03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0A246773">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31A151A3">
            <w:pPr>
              <w:adjustRightInd w:val="0"/>
              <w:snapToGrid w:val="0"/>
              <w:jc w:val="center"/>
              <w:rPr>
                <w:rFonts w:ascii="Arial" w:hAnsi="Arial" w:cs="Arial" w:eastAsiaTheme="minorEastAsia"/>
                <w:sz w:val="21"/>
                <w:szCs w:val="21"/>
                <w:u w:val="single"/>
              </w:rPr>
            </w:pPr>
            <w:r>
              <w:rPr>
                <w:rFonts w:hint="eastAsia" w:ascii="Arial" w:hAnsi="Arial" w:cs="Arial" w:eastAsiaTheme="minorEastAsia"/>
                <w:sz w:val="21"/>
                <w:szCs w:val="21"/>
                <w:u w:val="single"/>
              </w:rPr>
              <w:t>锰及其化合物</w:t>
            </w:r>
          </w:p>
        </w:tc>
        <w:tc>
          <w:tcPr>
            <w:tcW w:w="1502" w:type="pct"/>
            <w:noWrap/>
            <w:vAlign w:val="center"/>
          </w:tcPr>
          <w:p w14:paraId="14C5B029">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0.3465</w:t>
            </w:r>
          </w:p>
        </w:tc>
      </w:tr>
      <w:tr w14:paraId="71A2C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5121BF8D">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16BE6568">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镍及其化合物</w:t>
            </w:r>
          </w:p>
        </w:tc>
        <w:tc>
          <w:tcPr>
            <w:tcW w:w="1502" w:type="pct"/>
            <w:noWrap/>
            <w:vAlign w:val="center"/>
          </w:tcPr>
          <w:p w14:paraId="214510D0">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14.0797</w:t>
            </w:r>
          </w:p>
        </w:tc>
      </w:tr>
      <w:tr w14:paraId="29A59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0BC845CA">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1D29FC13">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铅及其化合物</w:t>
            </w:r>
          </w:p>
        </w:tc>
        <w:tc>
          <w:tcPr>
            <w:tcW w:w="1502" w:type="pct"/>
            <w:noWrap/>
            <w:vAlign w:val="center"/>
          </w:tcPr>
          <w:p w14:paraId="6EB82663">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0.0182</w:t>
            </w:r>
          </w:p>
        </w:tc>
      </w:tr>
      <w:tr w14:paraId="289EF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512DA7AA">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5F85F348">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铬及其化合物</w:t>
            </w:r>
          </w:p>
        </w:tc>
        <w:tc>
          <w:tcPr>
            <w:tcW w:w="1502" w:type="pct"/>
            <w:noWrap/>
            <w:vAlign w:val="center"/>
          </w:tcPr>
          <w:p w14:paraId="30D2F8C9">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0.1287</w:t>
            </w:r>
          </w:p>
        </w:tc>
      </w:tr>
      <w:tr w14:paraId="7704D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74CA6DF8">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14E9AFE5">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镉及其化合物</w:t>
            </w:r>
          </w:p>
        </w:tc>
        <w:tc>
          <w:tcPr>
            <w:tcW w:w="1502" w:type="pct"/>
            <w:noWrap/>
            <w:vAlign w:val="center"/>
          </w:tcPr>
          <w:p w14:paraId="640D8DC6">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0.0232</w:t>
            </w:r>
          </w:p>
        </w:tc>
      </w:tr>
      <w:tr w14:paraId="1418D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10C04792">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3B866F40">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汞及其化合物</w:t>
            </w:r>
          </w:p>
        </w:tc>
        <w:tc>
          <w:tcPr>
            <w:tcW w:w="1502" w:type="pct"/>
            <w:noWrap/>
            <w:vAlign w:val="center"/>
          </w:tcPr>
          <w:p w14:paraId="2F66C178">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0.0100</w:t>
            </w:r>
          </w:p>
        </w:tc>
      </w:tr>
      <w:tr w14:paraId="70273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18D203C3">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4BE710F4">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砷及其化合物</w:t>
            </w:r>
          </w:p>
        </w:tc>
        <w:tc>
          <w:tcPr>
            <w:tcW w:w="1502" w:type="pct"/>
            <w:noWrap/>
            <w:vAlign w:val="center"/>
          </w:tcPr>
          <w:p w14:paraId="7A82348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0.0233</w:t>
            </w:r>
          </w:p>
        </w:tc>
      </w:tr>
      <w:tr w14:paraId="7F7C8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2C4B992A">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6B3F97ED">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氟化物</w:t>
            </w:r>
          </w:p>
        </w:tc>
        <w:tc>
          <w:tcPr>
            <w:tcW w:w="1502" w:type="pct"/>
            <w:noWrap/>
            <w:vAlign w:val="center"/>
          </w:tcPr>
          <w:p w14:paraId="01B45DB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1.3606</w:t>
            </w:r>
          </w:p>
        </w:tc>
      </w:tr>
      <w:tr w14:paraId="04405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6681495E">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08E896B5">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硫化氢</w:t>
            </w:r>
          </w:p>
        </w:tc>
        <w:tc>
          <w:tcPr>
            <w:tcW w:w="1502" w:type="pct"/>
            <w:noWrap/>
            <w:vAlign w:val="center"/>
          </w:tcPr>
          <w:p w14:paraId="5DEA6562">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0.1265</w:t>
            </w:r>
          </w:p>
        </w:tc>
      </w:tr>
      <w:tr w14:paraId="277EC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32C927CA">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6A08304B">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硫酸雾</w:t>
            </w:r>
          </w:p>
        </w:tc>
        <w:tc>
          <w:tcPr>
            <w:tcW w:w="1502" w:type="pct"/>
            <w:noWrap/>
            <w:vAlign w:val="center"/>
          </w:tcPr>
          <w:p w14:paraId="5731AB20">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142.5801</w:t>
            </w:r>
          </w:p>
        </w:tc>
      </w:tr>
      <w:tr w14:paraId="6481E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4629D08E">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4D32C08F">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氯化氢</w:t>
            </w:r>
          </w:p>
        </w:tc>
        <w:tc>
          <w:tcPr>
            <w:tcW w:w="1502" w:type="pct"/>
            <w:noWrap/>
            <w:vAlign w:val="center"/>
          </w:tcPr>
          <w:p w14:paraId="2F121A26">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3.9466</w:t>
            </w:r>
          </w:p>
        </w:tc>
      </w:tr>
      <w:tr w14:paraId="0DEF8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65D623B0">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6323F439">
            <w:pPr>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非甲烷总烃</w:t>
            </w:r>
          </w:p>
        </w:tc>
        <w:tc>
          <w:tcPr>
            <w:tcW w:w="1502" w:type="pct"/>
            <w:noWrap/>
            <w:vAlign w:val="center"/>
          </w:tcPr>
          <w:p w14:paraId="755D0E03">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2.4760</w:t>
            </w:r>
          </w:p>
        </w:tc>
      </w:tr>
      <w:tr w14:paraId="5A611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39B7D0E4">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5BD5850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氨</w:t>
            </w:r>
          </w:p>
        </w:tc>
        <w:tc>
          <w:tcPr>
            <w:tcW w:w="1502" w:type="pct"/>
            <w:noWrap/>
            <w:vAlign w:val="center"/>
          </w:tcPr>
          <w:p w14:paraId="295C70D3">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45.8952</w:t>
            </w:r>
          </w:p>
        </w:tc>
      </w:tr>
      <w:tr w14:paraId="3C09F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restart"/>
            <w:vAlign w:val="center"/>
          </w:tcPr>
          <w:p w14:paraId="59224090">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废水</w:t>
            </w:r>
          </w:p>
        </w:tc>
        <w:tc>
          <w:tcPr>
            <w:tcW w:w="1016" w:type="pct"/>
            <w:vMerge w:val="restart"/>
            <w:vAlign w:val="center"/>
          </w:tcPr>
          <w:p w14:paraId="1213A730">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生产废水</w:t>
            </w:r>
          </w:p>
        </w:tc>
        <w:tc>
          <w:tcPr>
            <w:tcW w:w="1781" w:type="pct"/>
            <w:vAlign w:val="center"/>
          </w:tcPr>
          <w:p w14:paraId="17018BDF">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废水量</w:t>
            </w:r>
          </w:p>
        </w:tc>
        <w:tc>
          <w:tcPr>
            <w:tcW w:w="1502" w:type="pct"/>
            <w:noWrap/>
            <w:vAlign w:val="center"/>
          </w:tcPr>
          <w:p w14:paraId="315F9CAA">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2120900.34</w:t>
            </w:r>
          </w:p>
        </w:tc>
      </w:tr>
      <w:tr w14:paraId="522BB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6568F038">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05D484D1">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44F7EBB1">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全盐量</w:t>
            </w:r>
          </w:p>
        </w:tc>
        <w:tc>
          <w:tcPr>
            <w:tcW w:w="1502" w:type="pct"/>
            <w:noWrap/>
            <w:vAlign w:val="center"/>
          </w:tcPr>
          <w:p w14:paraId="7619ADC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15873.0080</w:t>
            </w:r>
          </w:p>
        </w:tc>
      </w:tr>
      <w:tr w14:paraId="7C5B3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72353DA7">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7F8B2800">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188A7D6A">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硫酸盐</w:t>
            </w:r>
          </w:p>
        </w:tc>
        <w:tc>
          <w:tcPr>
            <w:tcW w:w="1502" w:type="pct"/>
            <w:noWrap/>
            <w:vAlign w:val="center"/>
          </w:tcPr>
          <w:p w14:paraId="13FA1743">
            <w:pPr>
              <w:adjustRightInd w:val="0"/>
              <w:snapToGrid w:val="0"/>
              <w:jc w:val="center"/>
              <w:rPr>
                <w:rFonts w:ascii="Arial" w:hAnsi="Arial" w:eastAsia="宋体" w:cs="Arial"/>
                <w:sz w:val="21"/>
                <w:szCs w:val="21"/>
                <w:u w:val="single"/>
              </w:rPr>
            </w:pPr>
            <w:r>
              <w:rPr>
                <w:rFonts w:ascii="Arial" w:hAnsi="Arial" w:cs="Arial"/>
                <w:sz w:val="21"/>
                <w:szCs w:val="21"/>
                <w:u w:val="single"/>
              </w:rPr>
              <w:t>10014.7886</w:t>
            </w:r>
          </w:p>
        </w:tc>
      </w:tr>
      <w:tr w14:paraId="50E53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517FD14F">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2F8D984B">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661851DB">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氯化物</w:t>
            </w:r>
          </w:p>
        </w:tc>
        <w:tc>
          <w:tcPr>
            <w:tcW w:w="1502" w:type="pct"/>
            <w:noWrap/>
            <w:vAlign w:val="center"/>
          </w:tcPr>
          <w:p w14:paraId="4E092BE1">
            <w:pPr>
              <w:adjustRightInd w:val="0"/>
              <w:snapToGrid w:val="0"/>
              <w:jc w:val="center"/>
              <w:rPr>
                <w:rFonts w:ascii="Arial" w:hAnsi="Arial" w:eastAsia="宋体" w:cs="Arial"/>
                <w:sz w:val="21"/>
                <w:szCs w:val="21"/>
                <w:u w:val="single"/>
              </w:rPr>
            </w:pPr>
            <w:r>
              <w:rPr>
                <w:rFonts w:ascii="Arial" w:hAnsi="Arial" w:cs="Arial"/>
                <w:sz w:val="21"/>
                <w:szCs w:val="21"/>
                <w:u w:val="single"/>
              </w:rPr>
              <w:t>5858.2194</w:t>
            </w:r>
          </w:p>
        </w:tc>
      </w:tr>
      <w:tr w14:paraId="249A7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03998E89">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34FDDA50">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09ACFFEA">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COD</w:t>
            </w:r>
          </w:p>
        </w:tc>
        <w:tc>
          <w:tcPr>
            <w:tcW w:w="1502" w:type="pct"/>
            <w:noWrap/>
            <w:vAlign w:val="center"/>
          </w:tcPr>
          <w:p w14:paraId="4CE2671C">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58.6509</w:t>
            </w:r>
          </w:p>
        </w:tc>
      </w:tr>
      <w:tr w14:paraId="4E082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542247C7">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42289002">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29297A17">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氨氮</w:t>
            </w:r>
          </w:p>
        </w:tc>
        <w:tc>
          <w:tcPr>
            <w:tcW w:w="1502" w:type="pct"/>
            <w:noWrap/>
            <w:vAlign w:val="center"/>
          </w:tcPr>
          <w:p w14:paraId="373D8445">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6.0564</w:t>
            </w:r>
          </w:p>
        </w:tc>
      </w:tr>
      <w:tr w14:paraId="4F4E6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29238DF7">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5409FC6B">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1E257DD9">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pacing w:val="10"/>
                <w:sz w:val="21"/>
                <w:szCs w:val="21"/>
                <w:u w:val="single"/>
              </w:rPr>
              <w:t>镍</w:t>
            </w:r>
          </w:p>
        </w:tc>
        <w:tc>
          <w:tcPr>
            <w:tcW w:w="1502" w:type="pct"/>
            <w:noWrap/>
            <w:vAlign w:val="center"/>
          </w:tcPr>
          <w:p w14:paraId="1F59B3A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0.2502</w:t>
            </w:r>
          </w:p>
        </w:tc>
      </w:tr>
      <w:tr w14:paraId="1B8AD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0D9FDE1E">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4918DBD2">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59B5E699">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pacing w:val="10"/>
                <w:sz w:val="21"/>
                <w:szCs w:val="21"/>
                <w:u w:val="single"/>
              </w:rPr>
              <w:t>钴</w:t>
            </w:r>
          </w:p>
        </w:tc>
        <w:tc>
          <w:tcPr>
            <w:tcW w:w="1502" w:type="pct"/>
            <w:noWrap/>
            <w:vAlign w:val="center"/>
          </w:tcPr>
          <w:p w14:paraId="325C5738">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0.3061</w:t>
            </w:r>
          </w:p>
        </w:tc>
      </w:tr>
      <w:tr w14:paraId="174D2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3992480C">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3BE2CB94">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06A8B0BB">
            <w:pPr>
              <w:topLinePunct/>
              <w:autoSpaceDE w:val="0"/>
              <w:autoSpaceDN w:val="0"/>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锰</w:t>
            </w:r>
          </w:p>
        </w:tc>
        <w:tc>
          <w:tcPr>
            <w:tcW w:w="1502" w:type="pct"/>
            <w:noWrap/>
            <w:vAlign w:val="center"/>
          </w:tcPr>
          <w:p w14:paraId="10909FB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0.3215</w:t>
            </w:r>
          </w:p>
        </w:tc>
      </w:tr>
      <w:tr w14:paraId="7DB10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0557B96C">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1171287F">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3D2B55D2">
            <w:pPr>
              <w:topLinePunct/>
              <w:autoSpaceDE w:val="0"/>
              <w:autoSpaceDN w:val="0"/>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铜</w:t>
            </w:r>
          </w:p>
        </w:tc>
        <w:tc>
          <w:tcPr>
            <w:tcW w:w="1502" w:type="pct"/>
            <w:noWrap/>
            <w:vAlign w:val="center"/>
          </w:tcPr>
          <w:p w14:paraId="42883048">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0.0220</w:t>
            </w:r>
          </w:p>
        </w:tc>
      </w:tr>
      <w:tr w14:paraId="6F07A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0CAF56F1">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3DA71B9D">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4EDB3B7D">
            <w:pPr>
              <w:topLinePunct/>
              <w:autoSpaceDE w:val="0"/>
              <w:autoSpaceDN w:val="0"/>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石油类</w:t>
            </w:r>
          </w:p>
        </w:tc>
        <w:tc>
          <w:tcPr>
            <w:tcW w:w="1502" w:type="pct"/>
            <w:noWrap/>
            <w:vAlign w:val="center"/>
          </w:tcPr>
          <w:p w14:paraId="4B860200">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2.3282</w:t>
            </w:r>
          </w:p>
        </w:tc>
      </w:tr>
      <w:tr w14:paraId="3B7B3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12B0BA68">
            <w:pPr>
              <w:pStyle w:val="5"/>
              <w:adjustRightInd w:val="0"/>
              <w:snapToGrid w:val="0"/>
              <w:spacing w:line="240" w:lineRule="auto"/>
              <w:ind w:firstLine="0"/>
              <w:jc w:val="center"/>
              <w:rPr>
                <w:rFonts w:eastAsiaTheme="minorEastAsia"/>
                <w:sz w:val="21"/>
                <w:szCs w:val="21"/>
                <w:u w:val="single"/>
              </w:rPr>
            </w:pPr>
          </w:p>
        </w:tc>
        <w:tc>
          <w:tcPr>
            <w:tcW w:w="1016" w:type="pct"/>
            <w:vMerge w:val="restart"/>
            <w:vAlign w:val="center"/>
          </w:tcPr>
          <w:p w14:paraId="20EBEAD8">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生活污水</w:t>
            </w:r>
          </w:p>
        </w:tc>
        <w:tc>
          <w:tcPr>
            <w:tcW w:w="1781" w:type="pct"/>
            <w:vAlign w:val="center"/>
          </w:tcPr>
          <w:p w14:paraId="159D29C0">
            <w:pPr>
              <w:topLinePunct/>
              <w:autoSpaceDE w:val="0"/>
              <w:autoSpaceDN w:val="0"/>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废水量</w:t>
            </w:r>
          </w:p>
        </w:tc>
        <w:tc>
          <w:tcPr>
            <w:tcW w:w="1502" w:type="pct"/>
            <w:noWrap/>
            <w:vAlign w:val="center"/>
          </w:tcPr>
          <w:p w14:paraId="495776F4">
            <w:pPr>
              <w:pStyle w:val="5"/>
              <w:adjustRightInd w:val="0"/>
              <w:snapToGrid w:val="0"/>
              <w:spacing w:line="240" w:lineRule="auto"/>
              <w:ind w:firstLine="0"/>
              <w:jc w:val="center"/>
              <w:rPr>
                <w:sz w:val="21"/>
                <w:u w:val="single"/>
              </w:rPr>
            </w:pPr>
            <w:r>
              <w:rPr>
                <w:rFonts w:hint="eastAsia"/>
                <w:sz w:val="21"/>
                <w:u w:val="single"/>
              </w:rPr>
              <w:t>112045</w:t>
            </w:r>
          </w:p>
        </w:tc>
      </w:tr>
      <w:tr w14:paraId="2A3E8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0208DA56">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28ACC5A6">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072731D3">
            <w:pPr>
              <w:topLinePunct/>
              <w:autoSpaceDE w:val="0"/>
              <w:autoSpaceDN w:val="0"/>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COD</w:t>
            </w:r>
          </w:p>
        </w:tc>
        <w:tc>
          <w:tcPr>
            <w:tcW w:w="1502" w:type="pct"/>
            <w:noWrap/>
            <w:vAlign w:val="center"/>
          </w:tcPr>
          <w:p w14:paraId="05AF1ED5">
            <w:pPr>
              <w:pStyle w:val="5"/>
              <w:adjustRightInd w:val="0"/>
              <w:snapToGrid w:val="0"/>
              <w:spacing w:line="240" w:lineRule="auto"/>
              <w:ind w:firstLine="0"/>
              <w:jc w:val="center"/>
              <w:rPr>
                <w:sz w:val="21"/>
                <w:u w:val="single"/>
              </w:rPr>
            </w:pPr>
            <w:r>
              <w:rPr>
                <w:rFonts w:hint="eastAsia"/>
                <w:sz w:val="21"/>
                <w:u w:val="single"/>
              </w:rPr>
              <w:t>28.2869</w:t>
            </w:r>
          </w:p>
        </w:tc>
      </w:tr>
      <w:tr w14:paraId="0F09E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vAlign w:val="center"/>
          </w:tcPr>
          <w:p w14:paraId="3BD4B339">
            <w:pPr>
              <w:pStyle w:val="5"/>
              <w:adjustRightInd w:val="0"/>
              <w:snapToGrid w:val="0"/>
              <w:spacing w:line="240" w:lineRule="auto"/>
              <w:ind w:firstLine="0"/>
              <w:jc w:val="center"/>
              <w:rPr>
                <w:rFonts w:eastAsiaTheme="minorEastAsia"/>
                <w:sz w:val="21"/>
                <w:szCs w:val="21"/>
                <w:u w:val="single"/>
              </w:rPr>
            </w:pPr>
          </w:p>
        </w:tc>
        <w:tc>
          <w:tcPr>
            <w:tcW w:w="1016" w:type="pct"/>
            <w:vMerge w:val="continue"/>
            <w:vAlign w:val="center"/>
          </w:tcPr>
          <w:p w14:paraId="69EC5E6E">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2BEFA22A">
            <w:pPr>
              <w:topLinePunct/>
              <w:autoSpaceDE w:val="0"/>
              <w:autoSpaceDN w:val="0"/>
              <w:adjustRightInd w:val="0"/>
              <w:snapToGrid w:val="0"/>
              <w:jc w:val="center"/>
              <w:rPr>
                <w:rFonts w:ascii="Arial" w:hAnsi="Arial" w:eastAsia="宋体" w:cs="Arial"/>
                <w:sz w:val="21"/>
                <w:szCs w:val="21"/>
                <w:u w:val="single"/>
              </w:rPr>
            </w:pPr>
            <w:r>
              <w:rPr>
                <w:rFonts w:ascii="Arial" w:hAnsi="Arial" w:cs="Arial" w:eastAsiaTheme="minorEastAsia"/>
                <w:sz w:val="21"/>
                <w:szCs w:val="21"/>
                <w:u w:val="single"/>
              </w:rPr>
              <w:t>NH</w:t>
            </w:r>
            <w:r>
              <w:rPr>
                <w:rFonts w:ascii="Arial" w:hAnsi="Arial" w:cs="Arial" w:eastAsiaTheme="minorEastAsia"/>
                <w:sz w:val="21"/>
                <w:szCs w:val="21"/>
                <w:u w:val="single"/>
                <w:vertAlign w:val="subscript"/>
              </w:rPr>
              <w:t>3</w:t>
            </w:r>
            <w:r>
              <w:rPr>
                <w:rFonts w:ascii="Arial" w:hAnsi="Arial" w:cs="Arial" w:eastAsiaTheme="minorEastAsia"/>
                <w:sz w:val="21"/>
                <w:szCs w:val="21"/>
                <w:u w:val="single"/>
              </w:rPr>
              <w:t>-N</w:t>
            </w:r>
          </w:p>
        </w:tc>
        <w:tc>
          <w:tcPr>
            <w:tcW w:w="1502" w:type="pct"/>
            <w:noWrap/>
            <w:vAlign w:val="center"/>
          </w:tcPr>
          <w:p w14:paraId="232CF6EF">
            <w:pPr>
              <w:pStyle w:val="5"/>
              <w:adjustRightInd w:val="0"/>
              <w:snapToGrid w:val="0"/>
              <w:spacing w:line="240" w:lineRule="auto"/>
              <w:ind w:firstLine="0"/>
              <w:jc w:val="center"/>
              <w:rPr>
                <w:sz w:val="21"/>
                <w:u w:val="single"/>
              </w:rPr>
            </w:pPr>
            <w:r>
              <w:rPr>
                <w:rFonts w:hint="eastAsia"/>
                <w:sz w:val="21"/>
                <w:u w:val="single"/>
              </w:rPr>
              <w:t>2.7114</w:t>
            </w:r>
          </w:p>
        </w:tc>
      </w:tr>
      <w:tr w14:paraId="61CDF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restart"/>
            <w:vAlign w:val="center"/>
          </w:tcPr>
          <w:p w14:paraId="092A366D">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固废</w:t>
            </w:r>
          </w:p>
        </w:tc>
        <w:tc>
          <w:tcPr>
            <w:tcW w:w="1781" w:type="pct"/>
            <w:vAlign w:val="center"/>
          </w:tcPr>
          <w:p w14:paraId="337698FD">
            <w:pPr>
              <w:pStyle w:val="5"/>
              <w:adjustRightInd w:val="0"/>
              <w:snapToGrid w:val="0"/>
              <w:spacing w:line="240" w:lineRule="auto"/>
              <w:ind w:firstLine="0"/>
              <w:jc w:val="center"/>
              <w:rPr>
                <w:rFonts w:eastAsiaTheme="minorEastAsia"/>
                <w:sz w:val="21"/>
                <w:szCs w:val="21"/>
                <w:u w:val="single"/>
              </w:rPr>
            </w:pPr>
            <w:r>
              <w:rPr>
                <w:sz w:val="21"/>
                <w:szCs w:val="21"/>
                <w:u w:val="single"/>
              </w:rPr>
              <w:t>一般工业固废</w:t>
            </w:r>
          </w:p>
        </w:tc>
        <w:tc>
          <w:tcPr>
            <w:tcW w:w="1502" w:type="pct"/>
            <w:noWrap/>
            <w:vAlign w:val="center"/>
          </w:tcPr>
          <w:p w14:paraId="67D7EDE3">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445603.24</w:t>
            </w:r>
          </w:p>
        </w:tc>
      </w:tr>
      <w:tr w14:paraId="27CAA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36A370DA">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372D30D7">
            <w:pPr>
              <w:pStyle w:val="5"/>
              <w:adjustRightInd w:val="0"/>
              <w:snapToGrid w:val="0"/>
              <w:spacing w:line="240" w:lineRule="auto"/>
              <w:ind w:firstLine="0"/>
              <w:jc w:val="center"/>
              <w:rPr>
                <w:rFonts w:eastAsiaTheme="minorEastAsia"/>
                <w:sz w:val="21"/>
                <w:szCs w:val="21"/>
                <w:u w:val="single"/>
              </w:rPr>
            </w:pPr>
            <w:r>
              <w:rPr>
                <w:sz w:val="21"/>
                <w:szCs w:val="21"/>
                <w:u w:val="single"/>
              </w:rPr>
              <w:t>危险废物</w:t>
            </w:r>
          </w:p>
        </w:tc>
        <w:tc>
          <w:tcPr>
            <w:tcW w:w="1502" w:type="pct"/>
            <w:noWrap/>
            <w:vAlign w:val="center"/>
          </w:tcPr>
          <w:p w14:paraId="5BB7732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2270.372</w:t>
            </w:r>
          </w:p>
        </w:tc>
      </w:tr>
      <w:tr w14:paraId="17777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17" w:type="pct"/>
            <w:gridSpan w:val="2"/>
            <w:vMerge w:val="continue"/>
            <w:vAlign w:val="center"/>
          </w:tcPr>
          <w:p w14:paraId="2537C16C">
            <w:pPr>
              <w:pStyle w:val="5"/>
              <w:adjustRightInd w:val="0"/>
              <w:snapToGrid w:val="0"/>
              <w:spacing w:line="240" w:lineRule="auto"/>
              <w:ind w:firstLine="0"/>
              <w:jc w:val="center"/>
              <w:rPr>
                <w:rFonts w:eastAsiaTheme="minorEastAsia"/>
                <w:sz w:val="21"/>
                <w:szCs w:val="21"/>
                <w:u w:val="single"/>
              </w:rPr>
            </w:pPr>
          </w:p>
        </w:tc>
        <w:tc>
          <w:tcPr>
            <w:tcW w:w="1781" w:type="pct"/>
            <w:vAlign w:val="center"/>
          </w:tcPr>
          <w:p w14:paraId="67041D61">
            <w:pPr>
              <w:pStyle w:val="5"/>
              <w:adjustRightInd w:val="0"/>
              <w:snapToGrid w:val="0"/>
              <w:spacing w:line="240" w:lineRule="auto"/>
              <w:ind w:firstLine="0"/>
              <w:jc w:val="center"/>
              <w:rPr>
                <w:rFonts w:eastAsiaTheme="minorEastAsia"/>
                <w:sz w:val="21"/>
                <w:szCs w:val="21"/>
                <w:u w:val="single"/>
              </w:rPr>
            </w:pPr>
            <w:r>
              <w:rPr>
                <w:sz w:val="21"/>
                <w:szCs w:val="21"/>
                <w:u w:val="single"/>
              </w:rPr>
              <w:t>生活垃圾</w:t>
            </w:r>
          </w:p>
        </w:tc>
        <w:tc>
          <w:tcPr>
            <w:tcW w:w="1502" w:type="pct"/>
            <w:noWrap/>
            <w:vAlign w:val="center"/>
          </w:tcPr>
          <w:p w14:paraId="23E80794">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1721.87</w:t>
            </w:r>
          </w:p>
        </w:tc>
      </w:tr>
    </w:tbl>
    <w:p w14:paraId="5E157A73">
      <w:pPr>
        <w:keepNext/>
        <w:numPr>
          <w:ilvl w:val="0"/>
          <w:numId w:val="12"/>
        </w:numPr>
        <w:spacing w:line="480" w:lineRule="exact"/>
        <w:ind w:left="0" w:firstLine="0"/>
        <w:jc w:val="center"/>
        <w:outlineLvl w:val="5"/>
        <w:rPr>
          <w:rFonts w:ascii="Arial" w:hAnsi="Arial" w:eastAsia="宋体" w:cs="Arial"/>
          <w:b/>
          <w:spacing w:val="10"/>
          <w:sz w:val="24"/>
          <w:u w:val="single"/>
        </w:rPr>
      </w:pPr>
      <w:r>
        <w:rPr>
          <w:rFonts w:hint="eastAsia" w:ascii="Arial" w:hAnsi="Arial" w:eastAsia="宋体" w:cs="Arial"/>
          <w:b/>
          <w:spacing w:val="10"/>
          <w:sz w:val="24"/>
          <w:u w:val="single"/>
        </w:rPr>
        <w:t>企业废水总排口污染物排放情况</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2"/>
        <w:gridCol w:w="1984"/>
        <w:gridCol w:w="2120"/>
        <w:gridCol w:w="2942"/>
      </w:tblGrid>
      <w:tr w14:paraId="13D67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79077267">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污染物</w:t>
            </w:r>
          </w:p>
        </w:tc>
        <w:tc>
          <w:tcPr>
            <w:tcW w:w="1068" w:type="pct"/>
            <w:vAlign w:val="center"/>
          </w:tcPr>
          <w:p w14:paraId="2DBCD773">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排放标准</w:t>
            </w:r>
            <w:r>
              <w:rPr>
                <w:rFonts w:hint="eastAsia" w:ascii="Arial" w:hAnsi="Arial" w:eastAsia="宋体" w:cs="Arial"/>
                <w:spacing w:val="10"/>
                <w:sz w:val="21"/>
                <w:szCs w:val="21"/>
                <w:u w:val="single"/>
              </w:rPr>
              <w:t>（</w:t>
            </w:r>
            <w:r>
              <w:rPr>
                <w:rFonts w:ascii="Arial" w:hAnsi="Arial" w:eastAsia="宋体" w:cs="Arial"/>
                <w:spacing w:val="10"/>
                <w:sz w:val="21"/>
                <w:szCs w:val="21"/>
                <w:u w:val="single"/>
              </w:rPr>
              <w:t>mg/L</w:t>
            </w:r>
            <w:r>
              <w:rPr>
                <w:rFonts w:hint="eastAsia" w:ascii="Arial" w:hAnsi="Arial" w:eastAsia="宋体" w:cs="Arial"/>
                <w:spacing w:val="10"/>
                <w:sz w:val="21"/>
                <w:szCs w:val="21"/>
                <w:u w:val="single"/>
              </w:rPr>
              <w:t>）</w:t>
            </w:r>
          </w:p>
        </w:tc>
        <w:tc>
          <w:tcPr>
            <w:tcW w:w="1141" w:type="pct"/>
            <w:vAlign w:val="center"/>
          </w:tcPr>
          <w:p w14:paraId="40A21E56">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排放浓度</w:t>
            </w:r>
            <w:r>
              <w:rPr>
                <w:rFonts w:hint="eastAsia" w:ascii="Arial" w:hAnsi="Arial" w:eastAsia="宋体" w:cs="Arial"/>
                <w:spacing w:val="10"/>
                <w:sz w:val="21"/>
                <w:szCs w:val="21"/>
                <w:u w:val="single"/>
              </w:rPr>
              <w:t>（</w:t>
            </w:r>
            <w:r>
              <w:rPr>
                <w:rFonts w:ascii="Arial" w:hAnsi="Arial" w:eastAsia="宋体" w:cs="Arial"/>
                <w:spacing w:val="10"/>
                <w:sz w:val="21"/>
                <w:szCs w:val="21"/>
                <w:u w:val="single"/>
              </w:rPr>
              <w:t>mg/L</w:t>
            </w:r>
            <w:r>
              <w:rPr>
                <w:rFonts w:hint="eastAsia" w:ascii="Arial" w:hAnsi="Arial" w:eastAsia="宋体" w:cs="Arial"/>
                <w:spacing w:val="10"/>
                <w:sz w:val="21"/>
                <w:szCs w:val="21"/>
                <w:u w:val="single"/>
              </w:rPr>
              <w:t>）</w:t>
            </w:r>
          </w:p>
        </w:tc>
        <w:tc>
          <w:tcPr>
            <w:tcW w:w="1584" w:type="pct"/>
            <w:shd w:val="clear" w:color="auto" w:fill="auto"/>
            <w:vAlign w:val="center"/>
          </w:tcPr>
          <w:p w14:paraId="26728EA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排放量</w:t>
            </w:r>
            <w:r>
              <w:rPr>
                <w:rFonts w:hint="eastAsia" w:ascii="Arial" w:hAnsi="Arial" w:eastAsia="宋体" w:cs="Arial"/>
                <w:kern w:val="0"/>
                <w:sz w:val="21"/>
                <w:szCs w:val="21"/>
                <w:u w:val="single"/>
              </w:rPr>
              <w:t>（</w:t>
            </w:r>
            <w:r>
              <w:rPr>
                <w:rFonts w:ascii="Arial" w:hAnsi="Arial" w:eastAsia="宋体" w:cs="Arial"/>
                <w:kern w:val="0"/>
                <w:sz w:val="21"/>
                <w:szCs w:val="21"/>
                <w:u w:val="single"/>
              </w:rPr>
              <w:t>t/a</w:t>
            </w:r>
            <w:r>
              <w:rPr>
                <w:rFonts w:hint="eastAsia" w:ascii="Arial" w:hAnsi="Arial" w:eastAsia="宋体" w:cs="Arial"/>
                <w:kern w:val="0"/>
                <w:sz w:val="21"/>
                <w:szCs w:val="21"/>
                <w:u w:val="single"/>
              </w:rPr>
              <w:t>）</w:t>
            </w:r>
          </w:p>
        </w:tc>
      </w:tr>
      <w:tr w14:paraId="464E1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24D12D37">
            <w:pPr>
              <w:adjustRightInd w:val="0"/>
              <w:snapToGrid w:val="0"/>
              <w:jc w:val="center"/>
              <w:rPr>
                <w:rFonts w:ascii="Arial" w:hAnsi="Arial" w:cs="Arial" w:eastAsiaTheme="minorEastAsia"/>
                <w:spacing w:val="10"/>
                <w:sz w:val="21"/>
                <w:szCs w:val="21"/>
                <w:u w:val="single"/>
              </w:rPr>
            </w:pPr>
            <w:r>
              <w:rPr>
                <w:rFonts w:ascii="Arial" w:hAnsi="Arial" w:cs="Arial" w:eastAsiaTheme="minorEastAsia"/>
                <w:spacing w:val="10"/>
                <w:sz w:val="21"/>
                <w:szCs w:val="21"/>
                <w:u w:val="single"/>
              </w:rPr>
              <w:t>废水量</w:t>
            </w:r>
          </w:p>
        </w:tc>
        <w:tc>
          <w:tcPr>
            <w:tcW w:w="1068" w:type="pct"/>
            <w:vAlign w:val="center"/>
          </w:tcPr>
          <w:p w14:paraId="07C04BA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w:t>
            </w:r>
          </w:p>
        </w:tc>
        <w:tc>
          <w:tcPr>
            <w:tcW w:w="1141" w:type="pct"/>
            <w:vAlign w:val="center"/>
          </w:tcPr>
          <w:p w14:paraId="77233A1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w:t>
            </w:r>
          </w:p>
        </w:tc>
        <w:tc>
          <w:tcPr>
            <w:tcW w:w="1584" w:type="pct"/>
            <w:shd w:val="clear" w:color="auto" w:fill="auto"/>
            <w:vAlign w:val="center"/>
          </w:tcPr>
          <w:p w14:paraId="1D7901FD">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2120900.34</w:t>
            </w:r>
          </w:p>
        </w:tc>
      </w:tr>
      <w:tr w14:paraId="68ADE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3D7680FE">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COD</w:t>
            </w:r>
          </w:p>
        </w:tc>
        <w:tc>
          <w:tcPr>
            <w:tcW w:w="1068" w:type="pct"/>
            <w:vAlign w:val="center"/>
          </w:tcPr>
          <w:p w14:paraId="063F67B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50</w:t>
            </w:r>
          </w:p>
        </w:tc>
        <w:tc>
          <w:tcPr>
            <w:tcW w:w="1141" w:type="pct"/>
            <w:vAlign w:val="center"/>
          </w:tcPr>
          <w:p w14:paraId="497AB05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28</w:t>
            </w:r>
          </w:p>
        </w:tc>
        <w:tc>
          <w:tcPr>
            <w:tcW w:w="1584" w:type="pct"/>
            <w:shd w:val="clear" w:color="auto" w:fill="auto"/>
            <w:vAlign w:val="center"/>
          </w:tcPr>
          <w:p w14:paraId="02CC0A25">
            <w:pPr>
              <w:adjustRightInd w:val="0"/>
              <w:snapToGrid w:val="0"/>
              <w:jc w:val="center"/>
              <w:rPr>
                <w:rFonts w:ascii="Arial" w:hAnsi="Arial" w:eastAsia="宋体" w:cs="Arial"/>
                <w:sz w:val="21"/>
                <w:szCs w:val="21"/>
                <w:u w:val="single"/>
              </w:rPr>
            </w:pPr>
            <w:r>
              <w:rPr>
                <w:rFonts w:ascii="Arial" w:hAnsi="Arial" w:cs="Arial"/>
                <w:sz w:val="21"/>
                <w:szCs w:val="21"/>
                <w:u w:val="single"/>
              </w:rPr>
              <w:t>58.6509</w:t>
            </w:r>
          </w:p>
        </w:tc>
      </w:tr>
      <w:tr w14:paraId="1BB7D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73D0AF91">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氨氮</w:t>
            </w:r>
          </w:p>
        </w:tc>
        <w:tc>
          <w:tcPr>
            <w:tcW w:w="1068" w:type="pct"/>
            <w:vAlign w:val="center"/>
          </w:tcPr>
          <w:p w14:paraId="27EC37D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w:t>
            </w:r>
          </w:p>
        </w:tc>
        <w:tc>
          <w:tcPr>
            <w:tcW w:w="1141" w:type="pct"/>
            <w:vAlign w:val="center"/>
          </w:tcPr>
          <w:p w14:paraId="2C27688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2.8</w:t>
            </w:r>
            <w:r>
              <w:rPr>
                <w:rFonts w:hint="eastAsia" w:ascii="Arial" w:hAnsi="Arial" w:eastAsia="宋体" w:cs="Arial"/>
                <w:kern w:val="0"/>
                <w:sz w:val="21"/>
                <w:szCs w:val="21"/>
                <w:u w:val="single"/>
              </w:rPr>
              <w:t>6</w:t>
            </w:r>
          </w:p>
        </w:tc>
        <w:tc>
          <w:tcPr>
            <w:tcW w:w="1584" w:type="pct"/>
            <w:shd w:val="clear" w:color="auto" w:fill="auto"/>
            <w:vAlign w:val="center"/>
          </w:tcPr>
          <w:p w14:paraId="7EE1138C">
            <w:pPr>
              <w:adjustRightInd w:val="0"/>
              <w:snapToGrid w:val="0"/>
              <w:jc w:val="center"/>
              <w:rPr>
                <w:rFonts w:ascii="Arial" w:hAnsi="Arial" w:eastAsia="宋体" w:cs="Arial"/>
                <w:sz w:val="21"/>
                <w:szCs w:val="21"/>
                <w:u w:val="single"/>
              </w:rPr>
            </w:pPr>
            <w:r>
              <w:rPr>
                <w:rFonts w:ascii="Arial" w:hAnsi="Arial" w:cs="Arial"/>
                <w:sz w:val="21"/>
                <w:szCs w:val="21"/>
                <w:u w:val="single"/>
              </w:rPr>
              <w:t>6.0564</w:t>
            </w:r>
          </w:p>
        </w:tc>
      </w:tr>
      <w:tr w14:paraId="71240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76CA642E">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硫酸盐</w:t>
            </w:r>
          </w:p>
        </w:tc>
        <w:tc>
          <w:tcPr>
            <w:tcW w:w="1068" w:type="pct"/>
            <w:vAlign w:val="center"/>
          </w:tcPr>
          <w:p w14:paraId="4D722B0D">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w:t>
            </w:r>
          </w:p>
        </w:tc>
        <w:tc>
          <w:tcPr>
            <w:tcW w:w="1141" w:type="pct"/>
            <w:vAlign w:val="center"/>
          </w:tcPr>
          <w:p w14:paraId="2FEA72C2">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4722</w:t>
            </w:r>
          </w:p>
        </w:tc>
        <w:tc>
          <w:tcPr>
            <w:tcW w:w="1584" w:type="pct"/>
            <w:shd w:val="clear" w:color="auto" w:fill="auto"/>
            <w:vAlign w:val="center"/>
          </w:tcPr>
          <w:p w14:paraId="50413892">
            <w:pPr>
              <w:adjustRightInd w:val="0"/>
              <w:snapToGrid w:val="0"/>
              <w:jc w:val="center"/>
              <w:rPr>
                <w:rFonts w:ascii="Arial" w:hAnsi="Arial" w:eastAsia="宋体" w:cs="Arial"/>
                <w:sz w:val="21"/>
                <w:szCs w:val="21"/>
                <w:u w:val="single"/>
              </w:rPr>
            </w:pPr>
            <w:r>
              <w:rPr>
                <w:rFonts w:ascii="Arial" w:hAnsi="Arial" w:cs="Arial"/>
                <w:sz w:val="21"/>
                <w:szCs w:val="21"/>
                <w:u w:val="single"/>
              </w:rPr>
              <w:t>10014.7886</w:t>
            </w:r>
          </w:p>
        </w:tc>
      </w:tr>
      <w:tr w14:paraId="1D3D4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0E17E8E2">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氯化物</w:t>
            </w:r>
          </w:p>
        </w:tc>
        <w:tc>
          <w:tcPr>
            <w:tcW w:w="1068" w:type="pct"/>
            <w:vAlign w:val="center"/>
          </w:tcPr>
          <w:p w14:paraId="464DD2AF">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w:t>
            </w:r>
          </w:p>
        </w:tc>
        <w:tc>
          <w:tcPr>
            <w:tcW w:w="1141" w:type="pct"/>
            <w:vAlign w:val="center"/>
          </w:tcPr>
          <w:p w14:paraId="32986056">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2762</w:t>
            </w:r>
          </w:p>
        </w:tc>
        <w:tc>
          <w:tcPr>
            <w:tcW w:w="1584" w:type="pct"/>
            <w:shd w:val="clear" w:color="auto" w:fill="auto"/>
            <w:vAlign w:val="center"/>
          </w:tcPr>
          <w:p w14:paraId="1AB49823">
            <w:pPr>
              <w:adjustRightInd w:val="0"/>
              <w:snapToGrid w:val="0"/>
              <w:jc w:val="center"/>
              <w:rPr>
                <w:rFonts w:ascii="Arial" w:hAnsi="Arial" w:eastAsia="宋体" w:cs="Arial"/>
                <w:sz w:val="21"/>
                <w:szCs w:val="21"/>
                <w:u w:val="single"/>
              </w:rPr>
            </w:pPr>
            <w:r>
              <w:rPr>
                <w:rFonts w:ascii="Arial" w:hAnsi="Arial" w:cs="Arial"/>
                <w:sz w:val="21"/>
                <w:szCs w:val="21"/>
                <w:u w:val="single"/>
              </w:rPr>
              <w:t>5858.2194</w:t>
            </w:r>
          </w:p>
        </w:tc>
      </w:tr>
      <w:tr w14:paraId="23A6E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53201694">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全盐量</w:t>
            </w:r>
          </w:p>
        </w:tc>
        <w:tc>
          <w:tcPr>
            <w:tcW w:w="1068" w:type="pct"/>
            <w:vAlign w:val="center"/>
          </w:tcPr>
          <w:p w14:paraId="110F07A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16700</w:t>
            </w:r>
          </w:p>
        </w:tc>
        <w:tc>
          <w:tcPr>
            <w:tcW w:w="1141" w:type="pct"/>
            <w:vAlign w:val="center"/>
          </w:tcPr>
          <w:p w14:paraId="08A4797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w:t>
            </w:r>
            <w:r>
              <w:rPr>
                <w:rFonts w:hint="eastAsia" w:ascii="Arial" w:hAnsi="Arial" w:eastAsia="宋体" w:cs="Arial"/>
                <w:kern w:val="0"/>
                <w:sz w:val="21"/>
                <w:szCs w:val="21"/>
                <w:u w:val="single"/>
              </w:rPr>
              <w:t>484</w:t>
            </w:r>
          </w:p>
        </w:tc>
        <w:tc>
          <w:tcPr>
            <w:tcW w:w="1584" w:type="pct"/>
            <w:shd w:val="clear" w:color="auto" w:fill="auto"/>
            <w:vAlign w:val="center"/>
          </w:tcPr>
          <w:p w14:paraId="28D58D9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15873.0080</w:t>
            </w:r>
          </w:p>
        </w:tc>
      </w:tr>
      <w:tr w14:paraId="1EE74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54AFF634">
            <w:pPr>
              <w:adjustRightInd w:val="0"/>
              <w:snapToGrid w:val="0"/>
              <w:jc w:val="center"/>
              <w:rPr>
                <w:rFonts w:ascii="Arial" w:hAnsi="Arial" w:cs="Arial" w:eastAsiaTheme="minorEastAsia"/>
                <w:sz w:val="21"/>
                <w:szCs w:val="21"/>
                <w:u w:val="single"/>
              </w:rPr>
            </w:pPr>
            <w:r>
              <w:rPr>
                <w:rFonts w:ascii="Arial" w:hAnsi="Arial" w:eastAsia="宋体" w:cs="Arial"/>
                <w:spacing w:val="10"/>
                <w:sz w:val="21"/>
                <w:szCs w:val="21"/>
                <w:u w:val="single"/>
              </w:rPr>
              <w:t>镍</w:t>
            </w:r>
          </w:p>
        </w:tc>
        <w:tc>
          <w:tcPr>
            <w:tcW w:w="1068" w:type="pct"/>
            <w:vAlign w:val="center"/>
          </w:tcPr>
          <w:p w14:paraId="7D8507F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0.5</w:t>
            </w:r>
          </w:p>
        </w:tc>
        <w:tc>
          <w:tcPr>
            <w:tcW w:w="1141" w:type="pct"/>
            <w:vAlign w:val="center"/>
          </w:tcPr>
          <w:p w14:paraId="738FC88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0.12</w:t>
            </w:r>
          </w:p>
        </w:tc>
        <w:tc>
          <w:tcPr>
            <w:tcW w:w="1584" w:type="pct"/>
            <w:shd w:val="clear" w:color="auto" w:fill="auto"/>
            <w:vAlign w:val="center"/>
          </w:tcPr>
          <w:p w14:paraId="6E0DB50B">
            <w:pPr>
              <w:adjustRightInd w:val="0"/>
              <w:snapToGrid w:val="0"/>
              <w:jc w:val="center"/>
              <w:rPr>
                <w:rFonts w:ascii="Arial" w:hAnsi="Arial" w:eastAsia="宋体" w:cs="Arial"/>
                <w:sz w:val="21"/>
                <w:szCs w:val="21"/>
                <w:u w:val="single"/>
              </w:rPr>
            </w:pPr>
            <w:r>
              <w:rPr>
                <w:rFonts w:ascii="Arial" w:hAnsi="Arial" w:cs="Arial"/>
                <w:sz w:val="21"/>
                <w:szCs w:val="21"/>
                <w:u w:val="single"/>
              </w:rPr>
              <w:t>0.2502</w:t>
            </w:r>
          </w:p>
        </w:tc>
      </w:tr>
      <w:tr w14:paraId="29703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2AE28A25">
            <w:pPr>
              <w:adjustRightInd w:val="0"/>
              <w:snapToGrid w:val="0"/>
              <w:jc w:val="center"/>
              <w:rPr>
                <w:rFonts w:ascii="Arial" w:hAnsi="Arial" w:cs="Arial" w:eastAsiaTheme="minorEastAsia"/>
                <w:sz w:val="21"/>
                <w:szCs w:val="21"/>
                <w:u w:val="single"/>
              </w:rPr>
            </w:pPr>
            <w:r>
              <w:rPr>
                <w:rFonts w:ascii="Arial" w:hAnsi="Arial" w:eastAsia="宋体" w:cs="Arial"/>
                <w:spacing w:val="10"/>
                <w:sz w:val="21"/>
                <w:szCs w:val="21"/>
                <w:u w:val="single"/>
              </w:rPr>
              <w:t>钴</w:t>
            </w:r>
          </w:p>
        </w:tc>
        <w:tc>
          <w:tcPr>
            <w:tcW w:w="1068" w:type="pct"/>
            <w:vAlign w:val="center"/>
          </w:tcPr>
          <w:p w14:paraId="4FDA655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w:t>
            </w:r>
          </w:p>
        </w:tc>
        <w:tc>
          <w:tcPr>
            <w:tcW w:w="1141" w:type="pct"/>
            <w:vAlign w:val="center"/>
          </w:tcPr>
          <w:p w14:paraId="086E816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0.1</w:t>
            </w:r>
            <w:r>
              <w:rPr>
                <w:rFonts w:hint="eastAsia" w:ascii="Arial" w:hAnsi="Arial" w:eastAsia="宋体" w:cs="Arial"/>
                <w:kern w:val="0"/>
                <w:sz w:val="21"/>
                <w:szCs w:val="21"/>
                <w:u w:val="single"/>
              </w:rPr>
              <w:t>4</w:t>
            </w:r>
          </w:p>
        </w:tc>
        <w:tc>
          <w:tcPr>
            <w:tcW w:w="1584" w:type="pct"/>
            <w:shd w:val="clear" w:color="auto" w:fill="auto"/>
            <w:vAlign w:val="center"/>
          </w:tcPr>
          <w:p w14:paraId="12678BF0">
            <w:pPr>
              <w:adjustRightInd w:val="0"/>
              <w:snapToGrid w:val="0"/>
              <w:jc w:val="center"/>
              <w:rPr>
                <w:rFonts w:ascii="Arial" w:hAnsi="Arial" w:eastAsia="宋体" w:cs="Arial"/>
                <w:sz w:val="21"/>
                <w:szCs w:val="21"/>
                <w:u w:val="single"/>
              </w:rPr>
            </w:pPr>
            <w:r>
              <w:rPr>
                <w:rFonts w:ascii="Arial" w:hAnsi="Arial" w:cs="Arial"/>
                <w:sz w:val="21"/>
                <w:szCs w:val="21"/>
                <w:u w:val="single"/>
              </w:rPr>
              <w:t>0.3061</w:t>
            </w:r>
          </w:p>
        </w:tc>
      </w:tr>
      <w:tr w14:paraId="2C43F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508D9E53">
            <w:pPr>
              <w:adjustRightInd w:val="0"/>
              <w:snapToGrid w:val="0"/>
              <w:jc w:val="center"/>
              <w:rPr>
                <w:rFonts w:ascii="Arial" w:hAnsi="Arial" w:cs="Arial" w:eastAsiaTheme="minorEastAsia"/>
                <w:sz w:val="21"/>
                <w:szCs w:val="21"/>
                <w:u w:val="single"/>
              </w:rPr>
            </w:pPr>
            <w:r>
              <w:rPr>
                <w:rFonts w:ascii="Arial" w:hAnsi="Arial" w:eastAsia="宋体" w:cs="Arial"/>
                <w:spacing w:val="10"/>
                <w:sz w:val="21"/>
                <w:szCs w:val="21"/>
                <w:u w:val="single"/>
              </w:rPr>
              <w:t>锰</w:t>
            </w:r>
          </w:p>
        </w:tc>
        <w:tc>
          <w:tcPr>
            <w:tcW w:w="1068" w:type="pct"/>
            <w:vAlign w:val="center"/>
          </w:tcPr>
          <w:p w14:paraId="63FFAE0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w:t>
            </w:r>
          </w:p>
        </w:tc>
        <w:tc>
          <w:tcPr>
            <w:tcW w:w="1141" w:type="pct"/>
            <w:vAlign w:val="center"/>
          </w:tcPr>
          <w:p w14:paraId="62C4B84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0.15</w:t>
            </w:r>
          </w:p>
        </w:tc>
        <w:tc>
          <w:tcPr>
            <w:tcW w:w="1584" w:type="pct"/>
            <w:shd w:val="clear" w:color="auto" w:fill="auto"/>
            <w:vAlign w:val="center"/>
          </w:tcPr>
          <w:p w14:paraId="2FDF8026">
            <w:pPr>
              <w:adjustRightInd w:val="0"/>
              <w:snapToGrid w:val="0"/>
              <w:jc w:val="center"/>
              <w:rPr>
                <w:rFonts w:ascii="Arial" w:hAnsi="Arial" w:eastAsia="宋体" w:cs="Arial"/>
                <w:sz w:val="21"/>
                <w:szCs w:val="21"/>
                <w:u w:val="single"/>
              </w:rPr>
            </w:pPr>
            <w:r>
              <w:rPr>
                <w:rFonts w:ascii="Arial" w:hAnsi="Arial" w:cs="Arial"/>
                <w:sz w:val="21"/>
                <w:szCs w:val="21"/>
                <w:u w:val="single"/>
              </w:rPr>
              <w:t>0.3215</w:t>
            </w:r>
          </w:p>
        </w:tc>
      </w:tr>
      <w:tr w14:paraId="06384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464C4F7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铜</w:t>
            </w:r>
          </w:p>
        </w:tc>
        <w:tc>
          <w:tcPr>
            <w:tcW w:w="1068" w:type="pct"/>
            <w:vAlign w:val="center"/>
          </w:tcPr>
          <w:p w14:paraId="78919F9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0.5</w:t>
            </w:r>
          </w:p>
        </w:tc>
        <w:tc>
          <w:tcPr>
            <w:tcW w:w="1141" w:type="pct"/>
            <w:vAlign w:val="center"/>
          </w:tcPr>
          <w:p w14:paraId="05A4140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584" w:type="pct"/>
            <w:shd w:val="clear" w:color="auto" w:fill="auto"/>
            <w:vAlign w:val="center"/>
          </w:tcPr>
          <w:p w14:paraId="02A16F52">
            <w:pPr>
              <w:adjustRightInd w:val="0"/>
              <w:snapToGrid w:val="0"/>
              <w:jc w:val="center"/>
              <w:rPr>
                <w:rFonts w:ascii="Arial" w:hAnsi="Arial" w:eastAsia="宋体" w:cs="Arial"/>
                <w:sz w:val="21"/>
                <w:szCs w:val="21"/>
                <w:u w:val="single"/>
              </w:rPr>
            </w:pPr>
            <w:r>
              <w:rPr>
                <w:rFonts w:ascii="Arial" w:hAnsi="Arial" w:cs="Arial"/>
                <w:sz w:val="21"/>
                <w:szCs w:val="21"/>
                <w:u w:val="single"/>
              </w:rPr>
              <w:t>0.022</w:t>
            </w:r>
          </w:p>
        </w:tc>
      </w:tr>
      <w:tr w14:paraId="4A3C9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shd w:val="clear" w:color="auto" w:fill="auto"/>
            <w:vAlign w:val="center"/>
          </w:tcPr>
          <w:p w14:paraId="38D3B93B">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石油类</w:t>
            </w:r>
          </w:p>
        </w:tc>
        <w:tc>
          <w:tcPr>
            <w:tcW w:w="1068" w:type="pct"/>
            <w:vAlign w:val="center"/>
          </w:tcPr>
          <w:p w14:paraId="2D75F10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w:t>
            </w:r>
          </w:p>
        </w:tc>
        <w:tc>
          <w:tcPr>
            <w:tcW w:w="1141" w:type="pct"/>
            <w:vAlign w:val="center"/>
          </w:tcPr>
          <w:p w14:paraId="20AD6E7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1.10</w:t>
            </w:r>
          </w:p>
        </w:tc>
        <w:tc>
          <w:tcPr>
            <w:tcW w:w="1584" w:type="pct"/>
            <w:shd w:val="clear" w:color="auto" w:fill="auto"/>
            <w:vAlign w:val="center"/>
          </w:tcPr>
          <w:p w14:paraId="3873B6E7">
            <w:pPr>
              <w:adjustRightInd w:val="0"/>
              <w:snapToGrid w:val="0"/>
              <w:jc w:val="center"/>
              <w:rPr>
                <w:rFonts w:ascii="Arial" w:hAnsi="Arial" w:eastAsia="宋体" w:cs="Arial"/>
                <w:sz w:val="21"/>
                <w:szCs w:val="21"/>
                <w:u w:val="single"/>
              </w:rPr>
            </w:pPr>
            <w:r>
              <w:rPr>
                <w:rFonts w:ascii="Arial" w:hAnsi="Arial" w:cs="Arial"/>
                <w:sz w:val="21"/>
                <w:szCs w:val="21"/>
                <w:u w:val="single"/>
              </w:rPr>
              <w:t>2.3282</w:t>
            </w:r>
          </w:p>
        </w:tc>
      </w:tr>
    </w:tbl>
    <w:p w14:paraId="1163E3FD">
      <w:pPr>
        <w:keepNext/>
        <w:keepLines/>
        <w:numPr>
          <w:ilvl w:val="2"/>
          <w:numId w:val="11"/>
        </w:numPr>
        <w:tabs>
          <w:tab w:val="left" w:pos="1080"/>
          <w:tab w:val="left" w:pos="1789"/>
        </w:tabs>
        <w:spacing w:before="120" w:after="120" w:line="400" w:lineRule="exact"/>
        <w:outlineLvl w:val="2"/>
        <w:rPr>
          <w:rFonts w:ascii="Arial" w:hAnsi="Arial" w:eastAsia="宋体" w:cs="Arial"/>
          <w:b/>
          <w:bCs/>
          <w:sz w:val="24"/>
          <w:u w:val="single"/>
        </w:rPr>
      </w:pPr>
      <w:r>
        <w:rPr>
          <w:rFonts w:hint="eastAsia" w:ascii="Arial" w:hAnsi="Arial" w:eastAsia="宋体" w:cs="Arial"/>
          <w:b/>
          <w:bCs/>
          <w:sz w:val="24"/>
          <w:u w:val="single"/>
        </w:rPr>
        <w:t>排污许可制度执行情况</w:t>
      </w:r>
    </w:p>
    <w:p w14:paraId="402E1536">
      <w:pPr>
        <w:pStyle w:val="5"/>
        <w:spacing w:line="500" w:lineRule="exact"/>
        <w:ind w:firstLine="490" w:firstLineChars="200"/>
        <w:rPr>
          <w:u w:val="single"/>
        </w:rPr>
      </w:pPr>
      <w:r>
        <w:rPr>
          <w:rFonts w:hint="eastAsia"/>
          <w:u w:val="single"/>
        </w:rPr>
        <w:t>2022年1月14日，钦州市生态环境局为中伟公司核发了排污许可证，编号91450706MA5QABFE4T001V。近两年，企业根据相关规定对排污许可证办理了变更申请，2024年8月，钦州市生态环境局核发了最新的排污许可证。</w:t>
      </w:r>
      <w:r>
        <w:rPr>
          <w:u w:val="single"/>
        </w:rPr>
        <w:t>大气排放总许可量：颗粒物</w:t>
      </w:r>
      <w:r>
        <w:rPr>
          <w:rFonts w:hint="eastAsia"/>
          <w:u w:val="single"/>
        </w:rPr>
        <w:t>38.4651</w:t>
      </w:r>
      <w:r>
        <w:rPr>
          <w:u w:val="single"/>
        </w:rPr>
        <w:t>t/a</w:t>
      </w:r>
      <w:r>
        <w:rPr>
          <w:rFonts w:hint="eastAsia"/>
          <w:u w:val="single"/>
        </w:rPr>
        <w:t>、</w:t>
      </w:r>
      <w:r>
        <w:rPr>
          <w:u w:val="single"/>
        </w:rPr>
        <w:t>二氧化硫</w:t>
      </w:r>
      <w:r>
        <w:rPr>
          <w:rFonts w:hint="eastAsia"/>
          <w:u w:val="single"/>
        </w:rPr>
        <w:t>624</w:t>
      </w:r>
      <w:r>
        <w:rPr>
          <w:u w:val="single"/>
        </w:rPr>
        <w:t>t/a</w:t>
      </w:r>
      <w:r>
        <w:rPr>
          <w:rFonts w:hint="eastAsia"/>
          <w:u w:val="single"/>
        </w:rPr>
        <w:t>、</w:t>
      </w:r>
      <w:r>
        <w:rPr>
          <w:u w:val="single"/>
        </w:rPr>
        <w:t>氮氧化物22</w:t>
      </w:r>
      <w:r>
        <w:rPr>
          <w:rFonts w:hint="eastAsia"/>
          <w:u w:val="single"/>
        </w:rPr>
        <w:t>4.1455</w:t>
      </w:r>
      <w:r>
        <w:rPr>
          <w:u w:val="single"/>
        </w:rPr>
        <w:t>t/a</w:t>
      </w:r>
      <w:r>
        <w:rPr>
          <w:rFonts w:hint="eastAsia"/>
          <w:u w:val="single"/>
        </w:rPr>
        <w:t>、</w:t>
      </w:r>
      <w:r>
        <w:rPr>
          <w:u w:val="single"/>
        </w:rPr>
        <w:t>砷及其化合物0.0546t/a</w:t>
      </w:r>
      <w:r>
        <w:rPr>
          <w:rFonts w:hint="eastAsia"/>
          <w:u w:val="single"/>
        </w:rPr>
        <w:t>、</w:t>
      </w:r>
      <w:r>
        <w:rPr>
          <w:u w:val="single"/>
        </w:rPr>
        <w:t>铅及其化合物0.2522t/a</w:t>
      </w:r>
      <w:r>
        <w:rPr>
          <w:rFonts w:hint="eastAsia"/>
          <w:u w:val="single"/>
        </w:rPr>
        <w:t>、</w:t>
      </w:r>
      <w:r>
        <w:rPr>
          <w:u w:val="single"/>
        </w:rPr>
        <w:t>汞及其化合物0.0066t/a</w:t>
      </w:r>
      <w:r>
        <w:rPr>
          <w:rFonts w:hint="eastAsia"/>
          <w:u w:val="single"/>
        </w:rPr>
        <w:t>、</w:t>
      </w:r>
      <w:r>
        <w:rPr>
          <w:rFonts w:hint="eastAsia"/>
          <w:u w:val="single"/>
          <w:lang w:val="en-US" w:eastAsia="zh-CN"/>
        </w:rPr>
        <w:t>镉</w:t>
      </w:r>
      <w:r>
        <w:rPr>
          <w:rFonts w:hint="eastAsia"/>
          <w:u w:val="single"/>
        </w:rPr>
        <w:t>及其化合物0.0065t/a、铬及其化合物0.2674t/a</w:t>
      </w:r>
      <w:r>
        <w:rPr>
          <w:u w:val="single"/>
        </w:rPr>
        <w:t>；废水污染物排放总量：COD</w:t>
      </w:r>
      <w:r>
        <w:rPr>
          <w:u w:val="single"/>
          <w:vertAlign w:val="subscript"/>
        </w:rPr>
        <w:t>Cr</w:t>
      </w:r>
      <w:r>
        <w:rPr>
          <w:u w:val="single"/>
        </w:rPr>
        <w:t>104.1200t/a；氨氮29.9490t/a。</w:t>
      </w:r>
    </w:p>
    <w:p w14:paraId="42F08A37">
      <w:pPr>
        <w:pStyle w:val="5"/>
        <w:spacing w:line="500" w:lineRule="exact"/>
        <w:ind w:firstLine="490" w:firstLineChars="200"/>
        <w:rPr>
          <w:u w:val="single"/>
        </w:rPr>
      </w:pPr>
      <w:r>
        <w:rPr>
          <w:rFonts w:hint="eastAsia"/>
          <w:u w:val="single"/>
        </w:rPr>
        <w:t>企业按照排污许可证要求落实管理台账，按时上传执行报告，按排污许可要求开展自行监测并上传系统。</w:t>
      </w:r>
    </w:p>
    <w:p w14:paraId="20F33267">
      <w:pPr>
        <w:pStyle w:val="5"/>
        <w:spacing w:line="500" w:lineRule="exact"/>
        <w:ind w:firstLine="490" w:firstLineChars="200"/>
        <w:rPr>
          <w:u w:val="single"/>
        </w:rPr>
      </w:pPr>
      <w:r>
        <w:rPr>
          <w:rFonts w:hint="eastAsia"/>
          <w:u w:val="single"/>
        </w:rPr>
        <w:t>目前的排污许可证载明的工程内容包括一阶段及二阶段项目（含变更前的MSP生产线）、一体化项目、燃气锅炉项目、氢氧化钴技改项目。许可证中的大气排放总许可量仅包括主要排放口，即一体化的制酸烟气排放口及贫化炉排放口、3台燃气锅炉排放口（仅许可氮氧化物许排放量），一般排放口均没有污染物许可量。</w:t>
      </w:r>
    </w:p>
    <w:p w14:paraId="2CE16BC4">
      <w:pPr>
        <w:pStyle w:val="5"/>
        <w:spacing w:line="500" w:lineRule="exact"/>
        <w:ind w:firstLine="490" w:firstLineChars="200"/>
        <w:rPr>
          <w:u w:val="single"/>
        </w:rPr>
      </w:pPr>
      <w:r>
        <w:rPr>
          <w:rFonts w:hint="eastAsia"/>
          <w:u w:val="single"/>
        </w:rPr>
        <w:t>一体化项目发生重大变动，已重新编制环评报告并取得了批复，目前未进行环保验收，燃气锅炉项目也未验收。因此，本报告难以将已核发许可量的工程内容污染物实际排放量与许可量进行对比分析。</w:t>
      </w:r>
    </w:p>
    <w:p w14:paraId="5EF00994">
      <w:pPr>
        <w:keepNext/>
        <w:keepLines/>
        <w:numPr>
          <w:ilvl w:val="2"/>
          <w:numId w:val="11"/>
        </w:numPr>
        <w:tabs>
          <w:tab w:val="left" w:pos="1080"/>
          <w:tab w:val="left" w:pos="1789"/>
        </w:tabs>
        <w:spacing w:before="120" w:after="120" w:line="400" w:lineRule="exact"/>
        <w:outlineLvl w:val="2"/>
        <w:rPr>
          <w:rFonts w:ascii="Arial" w:hAnsi="Arial" w:eastAsia="宋体" w:cs="Arial"/>
          <w:b/>
          <w:bCs/>
          <w:sz w:val="24"/>
          <w:u w:val="single"/>
        </w:rPr>
      </w:pPr>
      <w:r>
        <w:rPr>
          <w:rFonts w:hint="eastAsia" w:ascii="Arial" w:hAnsi="Arial" w:eastAsia="宋体" w:cs="Arial"/>
          <w:b/>
          <w:bCs/>
          <w:sz w:val="24"/>
          <w:u w:val="single"/>
        </w:rPr>
        <w:t>环保投诉</w:t>
      </w:r>
    </w:p>
    <w:p w14:paraId="39AC68A1">
      <w:pPr>
        <w:pStyle w:val="5"/>
        <w:spacing w:line="500" w:lineRule="exact"/>
        <w:ind w:firstLine="490" w:firstLineChars="200"/>
        <w:rPr>
          <w:u w:val="single"/>
        </w:rPr>
      </w:pPr>
      <w:r>
        <w:rPr>
          <w:rFonts w:hint="eastAsia"/>
          <w:u w:val="single"/>
        </w:rPr>
        <w:t>据调查了解，二阶段项目未接到环保投诉。</w:t>
      </w:r>
    </w:p>
    <w:p w14:paraId="2636B79D">
      <w:pPr>
        <w:spacing w:line="500" w:lineRule="exact"/>
        <w:ind w:firstLine="476"/>
        <w:rPr>
          <w:rFonts w:ascii="Arial" w:hAnsi="Arial" w:eastAsia="宋体" w:cs="Arial"/>
          <w:spacing w:val="10"/>
          <w:sz w:val="24"/>
          <w:u w:val="single"/>
        </w:rPr>
      </w:pPr>
      <w:r>
        <w:rPr>
          <w:rFonts w:ascii="Arial" w:hAnsi="Arial" w:eastAsia="宋体" w:cs="Arial"/>
          <w:spacing w:val="10"/>
          <w:sz w:val="24"/>
          <w:u w:val="single"/>
        </w:rPr>
        <w:t>通过现场踏勘、资料收集和走访了解，2023年以来中伟公司接到的环保投诉及钦州市生态环境保护综合行政执法支队（以下简称“执法支队”）现场监察核实情况如下：</w:t>
      </w:r>
    </w:p>
    <w:p w14:paraId="1C2ED4AF">
      <w:pPr>
        <w:spacing w:line="500" w:lineRule="exact"/>
        <w:ind w:firstLine="476"/>
        <w:rPr>
          <w:rFonts w:ascii="Arial" w:hAnsi="Arial" w:eastAsia="宋体" w:cs="Arial"/>
          <w:spacing w:val="10"/>
          <w:sz w:val="24"/>
          <w:u w:val="single"/>
        </w:rPr>
      </w:pPr>
      <w:r>
        <w:rPr>
          <w:rFonts w:ascii="Arial" w:hAnsi="Arial" w:eastAsia="宋体" w:cs="Arial"/>
          <w:spacing w:val="10"/>
          <w:sz w:val="24"/>
          <w:u w:val="single"/>
        </w:rPr>
        <w:t>2023年7月，中伟公司接钦州港经济技术开发区生态环境局通知《关于钦州港鸡丁头中伟新能源科技有限公司每天释放二氧化硫的投诉》情况，中伟公司经现场排查，异味主要来源于新建一期（新能源一体化项目）厂区，经查明，导致本次厂区范围内出现间歇性异味现象的原因是电除尘防爆口腐蚀穿孔漏气，试生产期间负荷不稳定、不连续，烟气量波动变化较大。整改措施：处理富氧吹炼炉电除尘防爆口腐蚀穿孔漏气问题，更换不锈钢材质重新密封，该问题已于7月13日完成整改，共计更换5处；进一步调整与优化生产工艺，包括生产工艺设</w:t>
      </w:r>
      <w:r>
        <w:rPr>
          <w:rFonts w:hint="eastAsia" w:ascii="Arial" w:hAnsi="Arial" w:eastAsia="宋体" w:cs="Arial"/>
          <w:spacing w:val="10"/>
          <w:sz w:val="24"/>
          <w:u w:val="single"/>
          <w:lang w:val="en-US" w:eastAsia="zh-CN"/>
        </w:rPr>
        <w:t>备</w:t>
      </w:r>
      <w:r>
        <w:rPr>
          <w:rFonts w:ascii="Arial" w:hAnsi="Arial" w:eastAsia="宋体" w:cs="Arial"/>
          <w:spacing w:val="10"/>
          <w:sz w:val="24"/>
          <w:u w:val="single"/>
        </w:rPr>
        <w:t>隐患消除与技改、原辅料配比、工艺参数的控制、环保设施的控制等，确保生产的稳定性与连续性；全面排查梳理环保设备可能存在的问题，收集各运行参数，为后续设施升级改造提供依据，同时，试生产期间保障二氧化硫制酸的回收利用率，保障环保设各稳定运行及烟气指标稳定达标排放，已完成。</w:t>
      </w:r>
    </w:p>
    <w:p w14:paraId="4BA1FE76">
      <w:pPr>
        <w:spacing w:line="264" w:lineRule="auto"/>
        <w:ind w:firstLine="476"/>
        <w:jc w:val="center"/>
        <w:rPr>
          <w:rFonts w:ascii="Arial" w:hAnsi="Arial" w:eastAsia="宋体" w:cs="Arial"/>
          <w:spacing w:val="10"/>
          <w:sz w:val="24"/>
          <w:u w:val="single"/>
        </w:rPr>
      </w:pPr>
      <w:r>
        <w:rPr>
          <w:rFonts w:ascii="Arial" w:hAnsi="Arial" w:cs="Arial"/>
          <w:u w:val="single"/>
        </w:rPr>
        <w:drawing>
          <wp:inline distT="0" distB="0" distL="0" distR="0">
            <wp:extent cx="4307205" cy="5806440"/>
            <wp:effectExtent l="19050" t="19050" r="17145" b="2286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0"/>
                    <a:stretch>
                      <a:fillRect/>
                    </a:stretch>
                  </pic:blipFill>
                  <pic:spPr>
                    <a:xfrm>
                      <a:off x="0" y="0"/>
                      <a:ext cx="4307205" cy="5806440"/>
                    </a:xfrm>
                    <a:prstGeom prst="rect">
                      <a:avLst/>
                    </a:prstGeom>
                    <a:ln w="9525">
                      <a:solidFill>
                        <a:sysClr val="windowText" lastClr="000000"/>
                      </a:solidFill>
                    </a:ln>
                  </pic:spPr>
                </pic:pic>
              </a:graphicData>
            </a:graphic>
          </wp:inline>
        </w:drawing>
      </w:r>
    </w:p>
    <w:p w14:paraId="20ABDA3F">
      <w:pPr>
        <w:spacing w:line="264" w:lineRule="auto"/>
        <w:ind w:firstLine="476"/>
        <w:jc w:val="center"/>
        <w:rPr>
          <w:rFonts w:ascii="Arial" w:hAnsi="Arial" w:eastAsia="宋体" w:cs="Arial"/>
          <w:spacing w:val="10"/>
          <w:sz w:val="24"/>
          <w:u w:val="single"/>
        </w:rPr>
      </w:pPr>
      <w:r>
        <w:rPr>
          <w:rFonts w:ascii="Arial" w:hAnsi="Arial" w:cs="Arial"/>
          <w:u w:val="single"/>
        </w:rPr>
        <w:drawing>
          <wp:inline distT="0" distB="0" distL="0" distR="0">
            <wp:extent cx="4213860" cy="6515100"/>
            <wp:effectExtent l="19050" t="19050" r="15240" b="190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1"/>
                    <a:stretch>
                      <a:fillRect/>
                    </a:stretch>
                  </pic:blipFill>
                  <pic:spPr>
                    <a:xfrm>
                      <a:off x="0" y="0"/>
                      <a:ext cx="4214225" cy="6515665"/>
                    </a:xfrm>
                    <a:prstGeom prst="rect">
                      <a:avLst/>
                    </a:prstGeom>
                    <a:ln w="9525">
                      <a:solidFill>
                        <a:sysClr val="windowText" lastClr="000000"/>
                      </a:solidFill>
                    </a:ln>
                  </pic:spPr>
                </pic:pic>
              </a:graphicData>
            </a:graphic>
          </wp:inline>
        </w:drawing>
      </w:r>
    </w:p>
    <w:p w14:paraId="7BE07382">
      <w:pPr>
        <w:spacing w:line="264" w:lineRule="auto"/>
        <w:ind w:firstLine="476"/>
        <w:rPr>
          <w:rFonts w:ascii="Arial" w:hAnsi="Arial" w:eastAsia="宋体" w:cs="Arial"/>
          <w:spacing w:val="10"/>
          <w:sz w:val="24"/>
          <w:u w:val="single"/>
        </w:rPr>
      </w:pPr>
      <w:r>
        <w:rPr>
          <w:rFonts w:ascii="Arial" w:hAnsi="Arial" w:eastAsia="宋体" w:cs="Arial"/>
          <w:spacing w:val="10"/>
          <w:sz w:val="24"/>
          <w:u w:val="single"/>
        </w:rPr>
        <w:t>2023年8月1日，执法支队根据群众投诉的刺激气味及烟雾缭绕问题对中伟公司进行现场检查。检查时：企业正常生产，环保设施及设备正常工作，自动在线数据符合相关限值要求；对群众信访诉求对应点位实地检查，所标注的点位距离企业二氧化硫回用制酸车间约300米，现场未发现诉求中反映的强烈二氧化硫的刺激气味，企业出示的监督性监测报告为达标；信访诉求提供的建筑物（车间）及生产厂区大道烟雾缭绕的相片经现场比对核实，一方面是拍摄地点的建筑物（车间）正好遮挡了正在正常有组织排放的烟囱，和厂区内大量分布的厂内蒸汽管道疏水阀（既热蒸汽泄压阀）点位正常排放蒸汽冷凝水（</w:t>
      </w:r>
      <w:r>
        <w:rPr>
          <w:rFonts w:hint="eastAsia" w:ascii="Arial" w:hAnsi="Arial" w:eastAsia="宋体" w:cs="Arial"/>
          <w:spacing w:val="10"/>
          <w:sz w:val="24"/>
          <w:u w:val="single"/>
          <w:lang w:eastAsia="zh-CN"/>
        </w:rPr>
        <w:t>截至目前</w:t>
      </w:r>
      <w:r>
        <w:rPr>
          <w:rFonts w:ascii="Arial" w:hAnsi="Arial" w:eastAsia="宋体" w:cs="Arial"/>
          <w:spacing w:val="10"/>
          <w:sz w:val="24"/>
          <w:u w:val="single"/>
        </w:rPr>
        <w:t>投入使用有75处），热蒸汽泄压阀泄压排出的热蒸汽，现场湿度较大，易在符合的天气条件下，出现诉求中的建筑物（车间）烟雾缭绕的情况。处理意见或要求：强化环境保护设施设备的运维管理，确保污染物稳定达标排放；企业对群众信访诉求反映的情况进行排查，消除环境安全隐患；严格落实环境保护法律法规。</w:t>
      </w:r>
    </w:p>
    <w:p w14:paraId="6CBC2D26">
      <w:pPr>
        <w:spacing w:line="264" w:lineRule="auto"/>
        <w:ind w:firstLine="476"/>
        <w:rPr>
          <w:rFonts w:ascii="Arial" w:hAnsi="Arial" w:eastAsia="宋体" w:cs="Arial"/>
          <w:spacing w:val="10"/>
          <w:sz w:val="24"/>
          <w:u w:val="single"/>
        </w:rPr>
      </w:pPr>
      <w:r>
        <w:rPr>
          <w:rFonts w:ascii="Arial" w:hAnsi="Arial" w:eastAsia="宋体" w:cs="Arial"/>
          <w:spacing w:val="10"/>
          <w:sz w:val="24"/>
          <w:u w:val="single"/>
        </w:rPr>
        <w:t>2023年11月20日，中伟公司接到钦州港经济技术开发区生态环境局通知，因臭味问题收到群众投诉。中伟公司随即组织相关人员开展自查自纠工作，经现场排查，出现的臭味主要来源于MSP预浸车间二氧化硫废气逸散导致。主要原因是：MSP线产品原料端更换，由外购的硫化镍更换为公司一体化项目自产的硫化镍，因生产工艺参数正在调整和优化，生产负荷及工况不稳定，烟气量波动变化较大；原有的一级“液碱喷淋吸收塔”已技改为二级“水喷淋+液碱喷淋吸收塔”系统，目前正处于试运行阶段，设施处理参数正在调试优化。整改情况：调整优化生产工艺，包括生产工艺参数、环保设施的控制等，确保生产的稳定性；排查梳理尾气吸收装置可能存在的问题，收集运行参数，为后续设施升级改造提供依据；加大厂界无组织废气的监管，通过快速检测仪不定期对厂界废气进行抽检，出现异位问题及时排查、处理。已于2023年11月29日完成整改。</w:t>
      </w:r>
    </w:p>
    <w:p w14:paraId="0A1CEC71">
      <w:pPr>
        <w:spacing w:line="264" w:lineRule="auto"/>
        <w:jc w:val="center"/>
        <w:rPr>
          <w:rFonts w:ascii="Arial" w:hAnsi="Arial" w:eastAsia="宋体" w:cs="Arial"/>
          <w:spacing w:val="10"/>
          <w:sz w:val="24"/>
          <w:u w:val="single"/>
        </w:rPr>
      </w:pPr>
      <w:r>
        <w:rPr>
          <w:rFonts w:ascii="Arial" w:hAnsi="Arial" w:cs="Arial"/>
          <w:u w:val="single"/>
        </w:rPr>
        <w:drawing>
          <wp:inline distT="0" distB="0" distL="0" distR="0">
            <wp:extent cx="5486400" cy="5419725"/>
            <wp:effectExtent l="19050" t="19050" r="19050" b="285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2"/>
                    <a:stretch>
                      <a:fillRect/>
                    </a:stretch>
                  </pic:blipFill>
                  <pic:spPr>
                    <a:xfrm>
                      <a:off x="0" y="0"/>
                      <a:ext cx="5486400" cy="5419725"/>
                    </a:xfrm>
                    <a:prstGeom prst="rect">
                      <a:avLst/>
                    </a:prstGeom>
                    <a:ln w="9525">
                      <a:solidFill>
                        <a:sysClr val="windowText" lastClr="000000"/>
                      </a:solidFill>
                    </a:ln>
                  </pic:spPr>
                </pic:pic>
              </a:graphicData>
            </a:graphic>
          </wp:inline>
        </w:drawing>
      </w:r>
    </w:p>
    <w:p w14:paraId="12A7523E">
      <w:pPr>
        <w:pStyle w:val="4"/>
        <w:numPr>
          <w:ilvl w:val="1"/>
          <w:numId w:val="11"/>
        </w:numPr>
        <w:tabs>
          <w:tab w:val="left" w:pos="3217"/>
        </w:tabs>
        <w:spacing w:before="214" w:beforeLines="50" w:after="214" w:afterLines="50" w:line="500" w:lineRule="exact"/>
        <w:ind w:left="567"/>
        <w:rPr>
          <w:rFonts w:ascii="Arial" w:eastAsia="宋体" w:cs="Arial"/>
          <w:b/>
        </w:rPr>
      </w:pPr>
      <w:bookmarkStart w:id="260" w:name="_Toc185950215"/>
      <w:r>
        <w:rPr>
          <w:rFonts w:hint="eastAsia" w:ascii="Arial" w:eastAsia="宋体" w:cs="Arial"/>
          <w:b/>
        </w:rPr>
        <w:t>变更前项目</w:t>
      </w:r>
      <w:r>
        <w:rPr>
          <w:rFonts w:ascii="Arial" w:eastAsia="宋体" w:cs="Arial"/>
          <w:b/>
        </w:rPr>
        <w:t>概况</w:t>
      </w:r>
      <w:bookmarkEnd w:id="254"/>
      <w:bookmarkEnd w:id="260"/>
    </w:p>
    <w:p w14:paraId="380AC7ED">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二阶段项目于2021年7月28日取得环评批复（钦港环管字〔2021〕20号），原二阶段项目属于新建项目，主要新建4条1.5万吨/年三元前驱体生产线、1条2万金吨/年MSP生产线、1条2.5万吨/年镍豆镍粉处置线，配套建设相应的辅助工程、储运工程、公用工程、环保工程，年产6万金吨三元前驱体、2万金吨硫酸镍晶体、2.5万金吨硫酸镍溶液。2024年1月，针对一阶段、二阶段、三阶段项目的MSP生产线重新编制了广西中伟新能源项目一期一、二、三阶段MSP生产线变更项目环评报告，并已取得环评批复（自贸钦审批环〔2024〕2号）。2024年11月，针对一体化项目和MSP变更项目又重新编制了</w:t>
      </w:r>
      <w:r>
        <w:rPr>
          <w:rFonts w:hint="eastAsia" w:ascii="Arial" w:hAnsi="Arial" w:eastAsia="宋体" w:cs="Arial"/>
          <w:spacing w:val="10"/>
          <w:sz w:val="24"/>
          <w:szCs w:val="24"/>
          <w:u w:val="single"/>
        </w:rPr>
        <w:t>广西中伟新能源项目一期新能源材料一体化项目（重大变动），并已取得</w:t>
      </w:r>
      <w:r>
        <w:rPr>
          <w:rFonts w:hint="eastAsia" w:ascii="Arial" w:hAnsi="Arial" w:eastAsia="宋体" w:cs="Arial"/>
          <w:spacing w:val="10"/>
          <w:sz w:val="24"/>
          <w:u w:val="single"/>
        </w:rPr>
        <w:t>环评批复（自贸钦审批环〔2024〕54号）。因此，本报告不再把MSP生产线纳入变更前二阶段项目中。</w:t>
      </w:r>
    </w:p>
    <w:p w14:paraId="10A499CE">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u w:val="single"/>
        </w:rPr>
        <w:t>二阶段项目的三元前驱体生产线及相关配套工程于2023年12月开展验收监测，于2024年3月完成环保验收，企业排污许可证已包括该部分内容，其环保手续均已履行。</w:t>
      </w:r>
      <w:r>
        <w:rPr>
          <w:rFonts w:hint="eastAsia" w:ascii="Arial" w:hAnsi="Arial" w:eastAsia="宋体" w:cs="Arial"/>
          <w:spacing w:val="10"/>
          <w:sz w:val="24"/>
          <w:szCs w:val="24"/>
          <w:u w:val="single"/>
        </w:rPr>
        <w:t>镍豆镍粉处置线曾于2023年建成，但因企业订单量少，较少开机调试，未进行环保验收。</w:t>
      </w:r>
    </w:p>
    <w:p w14:paraId="15AD2AFC">
      <w:pPr>
        <w:keepNext/>
        <w:keepLines/>
        <w:numPr>
          <w:ilvl w:val="2"/>
          <w:numId w:val="1"/>
        </w:numPr>
        <w:tabs>
          <w:tab w:val="left" w:pos="1789"/>
        </w:tabs>
        <w:spacing w:before="120" w:after="120" w:line="400" w:lineRule="exact"/>
        <w:outlineLvl w:val="2"/>
        <w:rPr>
          <w:rFonts w:ascii="Arial" w:hAnsi="Arial" w:eastAsia="宋体" w:cs="Arial"/>
          <w:b/>
          <w:bCs/>
          <w:sz w:val="24"/>
        </w:rPr>
      </w:pPr>
      <w:r>
        <w:rPr>
          <w:rFonts w:hint="eastAsia" w:ascii="Arial" w:hAnsi="Arial" w:eastAsia="宋体" w:cs="Arial"/>
          <w:b/>
          <w:bCs/>
          <w:sz w:val="24"/>
        </w:rPr>
        <w:t>已验收的三元前驱体生产线概况</w:t>
      </w:r>
    </w:p>
    <w:p w14:paraId="2F56D366">
      <w:pPr>
        <w:pStyle w:val="5"/>
        <w:ind w:firstLine="0"/>
        <w:outlineLvl w:val="4"/>
        <w:rPr>
          <w:b/>
        </w:rPr>
      </w:pPr>
      <w:r>
        <w:rPr>
          <w:rFonts w:hint="eastAsia"/>
          <w:b/>
        </w:rPr>
        <w:t>2.2.1.1三元前驱体生产线生产工艺</w:t>
      </w:r>
    </w:p>
    <w:p w14:paraId="30F8BF54">
      <w:pPr>
        <w:pStyle w:val="5"/>
        <w:adjustRightInd w:val="0"/>
        <w:snapToGrid w:val="0"/>
        <w:spacing w:line="500" w:lineRule="exact"/>
      </w:pPr>
      <w:r>
        <w:rPr>
          <w:rFonts w:hint="eastAsia"/>
        </w:rPr>
        <w:t>二阶段三元前驱体共4条生产线，每条生产线在洁净车间内生产，采取车间内进出需换一次性鞋套，设置风淋门、换衣间、私物储藏柜等措施，防止携带污染物和异物进入车间。</w:t>
      </w:r>
    </w:p>
    <w:p w14:paraId="51D0DA19">
      <w:pPr>
        <w:pStyle w:val="5"/>
        <w:adjustRightInd w:val="0"/>
        <w:snapToGrid w:val="0"/>
        <w:spacing w:line="500" w:lineRule="exact"/>
      </w:pPr>
      <w:r>
        <w:rPr>
          <w:rFonts w:hint="eastAsia"/>
        </w:rPr>
        <w:t>1、配料调配</w:t>
      </w:r>
    </w:p>
    <w:p w14:paraId="544BD017">
      <w:pPr>
        <w:pStyle w:val="5"/>
        <w:adjustRightInd w:val="0"/>
        <w:snapToGrid w:val="0"/>
        <w:spacing w:line="500" w:lineRule="exact"/>
      </w:pPr>
      <w:r>
        <w:rPr>
          <w:rFonts w:hint="eastAsia"/>
        </w:rPr>
        <w:t>依托一阶段溶解车间，在常温下称取一定量外购的硫酸锰晶体投入溶解槽中溶解，同时泵入适量的纯水搅拌溶解。经溶解后的硫酸锰溶液与来自罐组</w:t>
      </w:r>
      <w:r>
        <w:t>一——</w:t>
      </w:r>
      <w:r>
        <w:rPr>
          <w:rFonts w:hint="eastAsia"/>
        </w:rPr>
        <w:t>本厂自产的硫酸镍溶液、硫酸钴溶液按比例（根据市场情况分为5、6、8系等，如8系中镍钴锰比例为8:1:1）通过管道泵入配液槽内调制成镍钴锰三元溶液。</w:t>
      </w:r>
    </w:p>
    <w:p w14:paraId="7B7AE87B">
      <w:pPr>
        <w:pStyle w:val="5"/>
        <w:adjustRightInd w:val="0"/>
        <w:snapToGrid w:val="0"/>
        <w:spacing w:line="500" w:lineRule="exact"/>
      </w:pPr>
      <w:r>
        <w:rPr>
          <w:rFonts w:hint="eastAsia"/>
        </w:rPr>
        <w:t>2、合成反应</w:t>
      </w:r>
    </w:p>
    <w:p w14:paraId="3535A6A1">
      <w:pPr>
        <w:pStyle w:val="5"/>
      </w:pPr>
      <w:r>
        <w:rPr>
          <w:rFonts w:hint="eastAsia"/>
        </w:rPr>
        <w:t>三元前驱体合成反应方程式为：</w:t>
      </w:r>
    </w:p>
    <w:p w14:paraId="66463059">
      <w:pPr>
        <w:pStyle w:val="5"/>
        <w:adjustRightInd w:val="0"/>
        <w:snapToGrid w:val="0"/>
        <w:spacing w:line="500" w:lineRule="exact"/>
      </w:pPr>
      <m:oMathPara>
        <m:oMath>
          <m:r>
            <m:rPr>
              <m:sty m:val="p"/>
            </m:rPr>
            <w:rPr>
              <w:rFonts w:ascii="Cambria Math" w:hAnsi="Cambria Math"/>
            </w:rPr>
            <m:t>xNiS</m:t>
          </m:r>
          <m:sSub>
            <m:sSubPr>
              <m:ctrlPr>
                <w:rPr>
                  <w:rFonts w:ascii="Cambria Math" w:hAnsi="Cambria Math"/>
                </w:rPr>
              </m:ctrlPr>
            </m:sSubPr>
            <m:e>
              <m:r>
                <m:rPr>
                  <m:sty m:val="p"/>
                </m:rPr>
                <w:rPr>
                  <w:rFonts w:ascii="Cambria Math" w:hAnsi="Cambria Math"/>
                </w:rPr>
                <m:t>O</m:t>
              </m:r>
              <m:ctrlPr>
                <w:rPr>
                  <w:rFonts w:ascii="Cambria Math" w:hAnsi="Cambria Math"/>
                </w:rPr>
              </m:ctrlPr>
            </m:e>
            <m:sub>
              <m:r>
                <m:rPr>
                  <m:sty m:val="p"/>
                </m:rPr>
                <w:rPr>
                  <w:rFonts w:ascii="Cambria Math" w:hAnsi="Cambria Math"/>
                </w:rPr>
                <m:t>4</m:t>
              </m:r>
              <m:ctrlPr>
                <w:rPr>
                  <w:rFonts w:ascii="Cambria Math" w:hAnsi="Cambria Math"/>
                </w:rPr>
              </m:ctrlPr>
            </m:sub>
          </m:sSub>
          <m:r>
            <m:rPr>
              <m:sty m:val="p"/>
            </m:rPr>
            <w:rPr>
              <w:rFonts w:ascii="Cambria Math" w:hAnsi="Cambria Math"/>
            </w:rPr>
            <m:t>+yCoS</m:t>
          </m:r>
          <m:sSub>
            <m:sSubPr>
              <m:ctrlPr>
                <w:rPr>
                  <w:rFonts w:ascii="Cambria Math" w:hAnsi="Cambria Math"/>
                </w:rPr>
              </m:ctrlPr>
            </m:sSubPr>
            <m:e>
              <m:r>
                <m:rPr>
                  <m:sty m:val="p"/>
                </m:rPr>
                <w:rPr>
                  <w:rFonts w:ascii="Cambria Math" w:hAnsi="Cambria Math"/>
                </w:rPr>
                <m:t>O</m:t>
              </m:r>
              <m:ctrlPr>
                <w:rPr>
                  <w:rFonts w:ascii="Cambria Math" w:hAnsi="Cambria Math"/>
                </w:rPr>
              </m:ctrlPr>
            </m:e>
            <m:sub>
              <m:r>
                <m:rPr/>
                <w:rPr>
                  <w:rFonts w:ascii="Cambria Math" w:hAnsi="Cambria Math"/>
                </w:rPr>
                <m:t>4</m:t>
              </m:r>
              <m:ctrlPr>
                <w:rPr>
                  <w:rFonts w:ascii="Cambria Math" w:hAnsi="Cambria Math"/>
                </w:rPr>
              </m:ctrlPr>
            </m:sub>
          </m:sSub>
          <m:r>
            <m:rPr>
              <m:sty m:val="p"/>
            </m:rPr>
            <w:rPr>
              <w:rFonts w:ascii="Cambria Math" w:hAnsi="Cambria Math"/>
            </w:rPr>
            <m:t>+</m:t>
          </m:r>
          <m:d>
            <m:dPr>
              <m:ctrlPr>
                <w:rPr>
                  <w:rFonts w:ascii="Cambria Math" w:hAnsi="Cambria Math"/>
                </w:rPr>
              </m:ctrlPr>
            </m:dPr>
            <m:e>
              <m:r>
                <m:rPr>
                  <m:sty m:val="p"/>
                </m:rPr>
                <w:rPr>
                  <w:rFonts w:ascii="Cambria Math" w:hAnsi="Cambria Math"/>
                </w:rPr>
                <m:t>1−x−y</m:t>
              </m:r>
              <m:ctrlPr>
                <w:rPr>
                  <w:rFonts w:ascii="Cambria Math" w:hAnsi="Cambria Math"/>
                </w:rPr>
              </m:ctrlPr>
            </m:e>
          </m:d>
          <m:r>
            <m:rPr>
              <m:sty m:val="p"/>
            </m:rPr>
            <w:rPr>
              <w:rFonts w:ascii="Cambria Math" w:hAnsi="Cambria Math"/>
            </w:rPr>
            <m:t>MnS</m:t>
          </m:r>
          <m:sSub>
            <m:sSubPr>
              <m:ctrlPr>
                <w:rPr>
                  <w:rFonts w:ascii="Cambria Math" w:hAnsi="Cambria Math"/>
                </w:rPr>
              </m:ctrlPr>
            </m:sSubPr>
            <m:e>
              <m:r>
                <m:rPr>
                  <m:sty m:val="p"/>
                </m:rPr>
                <w:rPr>
                  <w:rFonts w:ascii="Cambria Math" w:hAnsi="Cambria Math"/>
                </w:rPr>
                <m:t>O</m:t>
              </m:r>
              <m:ctrlPr>
                <w:rPr>
                  <w:rFonts w:ascii="Cambria Math" w:hAnsi="Cambria Math"/>
                </w:rPr>
              </m:ctrlPr>
            </m:e>
            <m:sub>
              <m:r>
                <m:rPr>
                  <m:sty m:val="p"/>
                </m:rPr>
                <w:rPr>
                  <w:rFonts w:ascii="Cambria Math" w:hAnsi="Cambria Math"/>
                </w:rPr>
                <m:t>4</m:t>
              </m:r>
              <m:ctrlPr>
                <w:rPr>
                  <w:rFonts w:ascii="Cambria Math" w:hAnsi="Cambria Math"/>
                </w:rPr>
              </m:ctrlPr>
            </m:sub>
          </m:sSub>
          <m:r>
            <m:rPr>
              <m:sty m:val="p"/>
            </m:rPr>
            <w:rPr>
              <w:rFonts w:ascii="Cambria Math" w:hAnsi="Cambria Math"/>
            </w:rPr>
            <m:t>+2NaOH</m:t>
          </m:r>
          <m:box>
            <m:boxPr>
              <m:opEmu m:val="1"/>
              <m:ctrlPr>
                <w:rPr>
                  <w:rFonts w:ascii="Cambria Math" w:hAnsi="Cambria Math"/>
                </w:rPr>
              </m:ctrlPr>
            </m:boxPr>
            <m:e>
              <m:groupChr>
                <m:groupChrPr>
                  <m:chr m:val="→"/>
                  <m:vertJc m:val="bot"/>
                  <m:ctrlPr>
                    <w:rPr>
                      <w:rFonts w:ascii="Cambria Math" w:hAnsi="Cambria Math"/>
                    </w:rPr>
                  </m:ctrlPr>
                </m:groupChrPr>
                <m:e>
                  <m:r>
                    <m:rPr>
                      <m:sty m:val="p"/>
                    </m:rPr>
                    <w:rPr>
                      <w:rFonts w:ascii="Cambria Math" w:hAnsi="Cambria Math"/>
                    </w:rPr>
                    <m:t>氨水</m:t>
                  </m:r>
                  <m:ctrlPr>
                    <w:rPr>
                      <w:rFonts w:ascii="Cambria Math" w:hAnsi="Cambria Math"/>
                    </w:rPr>
                  </m:ctrlPr>
                </m:e>
              </m:groupChr>
              <m:r>
                <m:rPr>
                  <m:sty m:val="p"/>
                </m:rPr>
                <w:rPr>
                  <w:rFonts w:ascii="Cambria Math" w:hAnsi="Cambria Math"/>
                </w:rPr>
                <m:t>N</m:t>
              </m:r>
              <m:sSub>
                <m:sSubPr>
                  <m:ctrlPr>
                    <w:rPr>
                      <w:rFonts w:ascii="Cambria Math" w:hAnsi="Cambria Math"/>
                    </w:rPr>
                  </m:ctrlPr>
                </m:sSubPr>
                <m:e>
                  <m:r>
                    <m:rPr>
                      <m:sty m:val="p"/>
                    </m:rPr>
                    <w:rPr>
                      <w:rFonts w:ascii="Cambria Math" w:hAnsi="Cambria Math"/>
                    </w:rPr>
                    <m:t>i</m:t>
                  </m:r>
                  <m:ctrlPr>
                    <w:rPr>
                      <w:rFonts w:ascii="Cambria Math" w:hAnsi="Cambria Math"/>
                    </w:rPr>
                  </m:ctrlPr>
                </m:e>
                <m:sub>
                  <m:r>
                    <m:rPr/>
                    <w:rPr>
                      <w:rFonts w:ascii="Cambria Math" w:hAnsi="Cambria Math"/>
                    </w:rPr>
                    <m:t>x</m:t>
                  </m:r>
                  <m:ctrlPr>
                    <w:rPr>
                      <w:rFonts w:ascii="Cambria Math" w:hAnsi="Cambria Math"/>
                    </w:rPr>
                  </m:ctrlPr>
                </m:sub>
              </m:sSub>
              <m:r>
                <m:rPr>
                  <m:sty m:val="p"/>
                </m:rPr>
                <w:rPr>
                  <w:rFonts w:ascii="Cambria Math" w:hAnsi="Cambria Math"/>
                </w:rPr>
                <m:t>C</m:t>
              </m:r>
              <m:sSub>
                <m:sSubPr>
                  <m:ctrlPr>
                    <w:rPr>
                      <w:rFonts w:ascii="Cambria Math" w:hAnsi="Cambria Math"/>
                    </w:rPr>
                  </m:ctrlPr>
                </m:sSubPr>
                <m:e>
                  <m:r>
                    <m:rPr>
                      <m:sty m:val="p"/>
                    </m:rPr>
                    <w:rPr>
                      <w:rFonts w:ascii="Cambria Math" w:hAnsi="Cambria Math"/>
                    </w:rPr>
                    <m:t>o</m:t>
                  </m:r>
                  <m:ctrlPr>
                    <w:rPr>
                      <w:rFonts w:ascii="Cambria Math" w:hAnsi="Cambria Math"/>
                    </w:rPr>
                  </m:ctrlPr>
                </m:e>
                <m:sub>
                  <m:r>
                    <m:rPr>
                      <m:sty m:val="p"/>
                    </m:rPr>
                    <w:rPr>
                      <w:rFonts w:ascii="Cambria Math" w:hAnsi="Cambria Math"/>
                    </w:rPr>
                    <m:t>y</m:t>
                  </m:r>
                  <m:ctrlPr>
                    <w:rPr>
                      <w:rFonts w:ascii="Cambria Math" w:hAnsi="Cambria Math"/>
                    </w:rPr>
                  </m:ctrlPr>
                </m:sub>
              </m:sSub>
              <m:r>
                <m:rPr>
                  <m:sty m:val="p"/>
                </m:rPr>
                <w:rPr>
                  <w:rFonts w:ascii="Cambria Math" w:hAnsi="Cambria Math"/>
                </w:rPr>
                <m:t>M</m:t>
              </m:r>
              <m:sSub>
                <m:sSubPr>
                  <m:ctrlPr>
                    <w:rPr>
                      <w:rFonts w:ascii="Cambria Math" w:hAnsi="Cambria Math"/>
                    </w:rPr>
                  </m:ctrlPr>
                </m:sSubPr>
                <m:e>
                  <m:r>
                    <m:rPr>
                      <m:sty m:val="p"/>
                    </m:rPr>
                    <w:rPr>
                      <w:rFonts w:ascii="Cambria Math" w:hAnsi="Cambria Math"/>
                    </w:rPr>
                    <m:t>n</m:t>
                  </m:r>
                  <m:ctrlPr>
                    <w:rPr>
                      <w:rFonts w:ascii="Cambria Math" w:hAnsi="Cambria Math"/>
                    </w:rPr>
                  </m:ctrlPr>
                </m:e>
                <m:sub>
                  <m:r>
                    <m:rPr>
                      <m:sty m:val="p"/>
                    </m:rPr>
                    <w:rPr>
                      <w:rFonts w:ascii="Cambria Math" w:hAnsi="Cambria Math"/>
                    </w:rPr>
                    <m:t>（1−x−y）</m:t>
                  </m:r>
                  <m:ctrlPr>
                    <w:rPr>
                      <w:rFonts w:ascii="Cambria Math" w:hAnsi="Cambria Math"/>
                    </w:rPr>
                  </m:ctrlPr>
                </m:sub>
              </m:sSub>
              <m:sSub>
                <m:sSubPr>
                  <m:ctrlPr>
                    <w:rPr>
                      <w:rFonts w:ascii="Cambria Math" w:hAnsi="Cambria Math"/>
                    </w:rPr>
                  </m:ctrlPr>
                </m:sSubPr>
                <m:e>
                  <m:r>
                    <m:rPr>
                      <m:sty m:val="p"/>
                    </m:rPr>
                    <w:rPr>
                      <w:rFonts w:ascii="Cambria Math" w:hAnsi="Cambria Math"/>
                    </w:rPr>
                    <m:t>（OH）</m:t>
                  </m:r>
                  <m:ctrlPr>
                    <w:rPr>
                      <w:rFonts w:ascii="Cambria Math" w:hAnsi="Cambria Math"/>
                    </w:rPr>
                  </m:ctrlPr>
                </m:e>
                <m:sub>
                  <m:r>
                    <m:rPr>
                      <m:sty m:val="p"/>
                    </m:rPr>
                    <w:rPr>
                      <w:rFonts w:ascii="Cambria Math" w:hAnsi="Cambria Math"/>
                    </w:rPr>
                    <m:t>2</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Na</m:t>
                  </m:r>
                  <m:ctrlPr>
                    <w:rPr>
                      <w:rFonts w:ascii="Cambria Math" w:hAnsi="Cambria Math"/>
                    </w:rPr>
                  </m:ctrlPr>
                </m:e>
                <m:sub>
                  <m:r>
                    <m:rPr>
                      <m:sty m:val="p"/>
                    </m:rPr>
                    <w:rPr>
                      <w:rFonts w:ascii="Cambria Math" w:hAnsi="Cambria Math"/>
                    </w:rPr>
                    <m:t>2</m:t>
                  </m:r>
                  <m:ctrlPr>
                    <w:rPr>
                      <w:rFonts w:ascii="Cambria Math" w:hAnsi="Cambria Math"/>
                    </w:rPr>
                  </m:ctrlPr>
                </m:sub>
              </m:sSub>
              <m:sSub>
                <m:sSubPr>
                  <m:ctrlPr>
                    <w:rPr>
                      <w:rFonts w:ascii="Cambria Math" w:hAnsi="Cambria Math"/>
                    </w:rPr>
                  </m:ctrlPr>
                </m:sSubPr>
                <m:e>
                  <m:r>
                    <m:rPr>
                      <m:sty m:val="p"/>
                    </m:rPr>
                    <w:rPr>
                      <w:rFonts w:ascii="Cambria Math" w:hAnsi="Cambria Math"/>
                    </w:rPr>
                    <m:t>SO</m:t>
                  </m:r>
                  <m:ctrlPr>
                    <w:rPr>
                      <w:rFonts w:ascii="Cambria Math" w:hAnsi="Cambria Math"/>
                    </w:rPr>
                  </m:ctrlPr>
                </m:e>
                <m:sub>
                  <m:r>
                    <m:rPr>
                      <m:sty m:val="p"/>
                    </m:rPr>
                    <w:rPr>
                      <w:rFonts w:ascii="Cambria Math" w:hAnsi="Cambria Math"/>
                    </w:rPr>
                    <m:t>4</m:t>
                  </m:r>
                  <m:ctrlPr>
                    <w:rPr>
                      <w:rFonts w:ascii="Cambria Math" w:hAnsi="Cambria Math"/>
                    </w:rPr>
                  </m:ctrlPr>
                </m:sub>
              </m:sSub>
              <m:ctrlPr>
                <w:rPr>
                  <w:rFonts w:ascii="Cambria Math" w:hAnsi="Cambria Math"/>
                </w:rPr>
              </m:ctrlPr>
            </m:e>
          </m:box>
        </m:oMath>
      </m:oMathPara>
    </w:p>
    <w:p w14:paraId="2DB9B993">
      <w:pPr>
        <w:pStyle w:val="5"/>
        <w:adjustRightInd w:val="0"/>
        <w:snapToGrid w:val="0"/>
        <w:spacing w:line="500" w:lineRule="exact"/>
      </w:pPr>
      <w:r>
        <w:t>产品为</w:t>
      </w:r>
      <w:r>
        <w:rPr>
          <w:rFonts w:hint="eastAsia"/>
        </w:rPr>
        <w:t>5、6、8系，如8系的NCM811中</w:t>
      </w:r>
      <m:oMath>
        <m:r>
          <m:rPr>
            <m:sty m:val="p"/>
          </m:rPr>
          <w:rPr>
            <w:rFonts w:ascii="Cambria Math" w:hAnsi="Cambria Math"/>
          </w:rPr>
          <m:t>x:y:</m:t>
        </m:r>
        <m:d>
          <m:dPr>
            <m:ctrlPr>
              <w:rPr>
                <w:rFonts w:ascii="Cambria Math" w:hAnsi="Cambria Math"/>
              </w:rPr>
            </m:ctrlPr>
          </m:dPr>
          <m:e>
            <m:r>
              <m:rPr>
                <m:sty m:val="p"/>
              </m:rPr>
              <w:rPr>
                <w:rFonts w:ascii="Cambria Math" w:hAnsi="Cambria Math"/>
              </w:rPr>
              <m:t>1−x−y</m:t>
            </m:r>
            <m:ctrlPr>
              <w:rPr>
                <w:rFonts w:ascii="Cambria Math" w:hAnsi="Cambria Math"/>
              </w:rPr>
            </m:ctrlPr>
          </m:e>
        </m:d>
        <m:r>
          <m:rPr/>
          <w:rPr>
            <w:rFonts w:ascii="Cambria Math" w:hAnsi="Cambria Math"/>
          </w:rPr>
          <m:t>=</m:t>
        </m:r>
        <m:r>
          <m:rPr>
            <m:sty m:val="p"/>
          </m:rPr>
          <w:rPr>
            <w:rFonts w:ascii="Cambria Math" w:hAnsi="Cambria Math"/>
          </w:rPr>
          <m:t>8:1:1</m:t>
        </m:r>
      </m:oMath>
      <w:r>
        <w:rPr>
          <w:rFonts w:hint="eastAsia"/>
        </w:rPr>
        <w:t>即Ni:Co:Mn=8:1:1。</w:t>
      </w:r>
    </w:p>
    <w:p w14:paraId="4910FDD1">
      <w:pPr>
        <w:pStyle w:val="5"/>
        <w:adjustRightInd w:val="0"/>
        <w:snapToGrid w:val="0"/>
        <w:spacing w:line="500" w:lineRule="exact"/>
      </w:pPr>
      <w:r>
        <w:rPr>
          <w:rFonts w:hint="eastAsia"/>
        </w:rPr>
        <w:t>在反应釜中加入硫酸钴溶液和32%液碱，同时加入21%氨水（络合剂）进行反应，生成氢氧化镍钴锰沉淀和含硫酸钠、氨的水溶液。先采用蒸汽夹套升温反应釜，温度控制在</w:t>
      </w:r>
      <w:r>
        <w:t>50</w:t>
      </w:r>
      <w:r>
        <w:rPr>
          <w:rFonts w:hint="eastAsia"/>
        </w:rPr>
        <w:t>℃～</w:t>
      </w:r>
      <w:r>
        <w:t>90</w:t>
      </w:r>
      <w:r>
        <w:rPr>
          <w:rFonts w:hint="eastAsia"/>
        </w:rPr>
        <w:t>℃之间，再将各原辅料按设定的流量泵至反应釜，按照比例控制原料的供给速度。在碱稍过量的情况下，反应得率接近</w:t>
      </w:r>
      <w:r>
        <w:t>100%</w:t>
      </w:r>
      <w:r>
        <w:rPr>
          <w:rFonts w:hint="eastAsia"/>
        </w:rPr>
        <w:t>，各金属离子与</w:t>
      </w:r>
      <w:r>
        <w:t>OH</w:t>
      </w:r>
      <w:r>
        <w:rPr>
          <w:rFonts w:hint="eastAsia"/>
          <w:vertAlign w:val="superscript"/>
        </w:rPr>
        <w:t>-</w:t>
      </w:r>
      <w:r>
        <w:rPr>
          <w:rFonts w:hint="eastAsia"/>
        </w:rPr>
        <w:t>反应生成各金属氢氧化物，反应过程中不断通入氮气进行防护，由于各氢氧化物溶解度较低，各金属析出生成三元复合材料。</w:t>
      </w:r>
    </w:p>
    <w:p w14:paraId="2BE6045B">
      <w:pPr>
        <w:pStyle w:val="5"/>
        <w:adjustRightInd w:val="0"/>
        <w:snapToGrid w:val="0"/>
        <w:spacing w:line="500" w:lineRule="exact"/>
      </w:pPr>
      <w:r>
        <w:t>反应好的浆料输送至陈化槽进行陈化，目的是可以使得反应进行的比较完全，而且有利于溶液继续沉积在相当一部分的小颗粒表面，使晶体进一步长大，而已经长大的晶体也可以被溶液中还存在的NH</w:t>
      </w:r>
      <w:r>
        <w:rPr>
          <w:vertAlign w:val="subscript"/>
        </w:rPr>
        <w:t>3</w:t>
      </w:r>
      <w:r>
        <w:t>·H</w:t>
      </w:r>
      <w:r>
        <w:rPr>
          <w:vertAlign w:val="subscript"/>
        </w:rPr>
        <w:t>2</w:t>
      </w:r>
      <w:r>
        <w:t>O磨掉边角，使晶体变得圆整、光滑，陈化到一定时间，沉淀产物会按照其固有的晶格规律进行定向重排，表现出较好的结晶性能。</w:t>
      </w:r>
    </w:p>
    <w:p w14:paraId="3241F133">
      <w:pPr>
        <w:pStyle w:val="5"/>
        <w:adjustRightInd w:val="0"/>
        <w:snapToGrid w:val="0"/>
        <w:spacing w:line="500" w:lineRule="exact"/>
      </w:pPr>
      <w:r>
        <w:rPr>
          <w:rFonts w:hint="eastAsia"/>
        </w:rPr>
        <w:t>合成工序的主要污染物为合成反应过程中挥发的含氨废气（G1-1）。单条三元前驱体生产线的一半的反应釜、</w:t>
      </w:r>
      <w:r>
        <w:t>陈化槽、</w:t>
      </w:r>
      <w:r>
        <w:rPr>
          <w:rFonts w:hint="eastAsia"/>
        </w:rPr>
        <w:t>压滤机、过滤机等含氨水槽罐产生的氨气进入氨喷淋吸收塔处理后经过1根30高排气筒排放；单条生产线反应-压滤工序设置2个氨喷淋吸收塔2根30m高排气筒；本项目三元前驱体生产线反应-压滤工序共设置8个氨喷淋吸收塔8根30m高排气筒。</w:t>
      </w:r>
    </w:p>
    <w:p w14:paraId="26CEF8B6">
      <w:pPr>
        <w:pStyle w:val="5"/>
        <w:adjustRightInd w:val="0"/>
        <w:snapToGrid w:val="0"/>
        <w:spacing w:line="500" w:lineRule="exact"/>
      </w:pPr>
      <w:r>
        <w:rPr>
          <w:rFonts w:hint="eastAsia"/>
        </w:rPr>
        <w:t>3、沉淀处理</w:t>
      </w:r>
    </w:p>
    <w:p w14:paraId="6D282705">
      <w:pPr>
        <w:pStyle w:val="5"/>
        <w:adjustRightInd w:val="0"/>
        <w:snapToGrid w:val="0"/>
        <w:spacing w:line="500" w:lineRule="exact"/>
      </w:pPr>
      <w:r>
        <w:rPr>
          <w:rFonts w:hint="eastAsia"/>
        </w:rPr>
        <w:t>陈化反应后的物料通过压滤机进行压滤，三元母液（W1-1）收集至母液槽暂存，再汇至水处理车间进行处理，滤渣转入离心机进行洗涤。压滤和洗涤过滤设备产生的氨气（G1-2）与合成反应废气（G1-1）一同处理。每条生产线配备1个20%硫酸储罐，定期使用硫酸对过滤设备进行清洗，每个硫酸储罐呼吸废气（G1-8）密闭收集后经吸收塔处理后各通过1根30m高排气筒排放。</w:t>
      </w:r>
    </w:p>
    <w:p w14:paraId="386DE0E7">
      <w:pPr>
        <w:pStyle w:val="5"/>
        <w:adjustRightInd w:val="0"/>
        <w:snapToGrid w:val="0"/>
        <w:spacing w:line="500" w:lineRule="exact"/>
      </w:pPr>
      <w:r>
        <w:rPr>
          <w:rFonts w:hint="eastAsia"/>
        </w:rPr>
        <w:t>离心机洗涤为一次洗涤方式，即连续补充水、脱水在离心机内同时进行。洗涤使用纯水洗涤，洗涤后的物料经离心和微孔过滤器过滤，洗涤产生的三元废水（W1-2）经超滤膜、RO反渗透制纯水。超滤膜、RO反渗透产生的纯水通过管道泵入纯水站进一步处理，产生的浓水汇入母液罐与三元母液（W1-1）一同处理。洗涤后的物料经离心和微孔过滤器过滤得到的滤料送至烘箱干燥。</w:t>
      </w:r>
    </w:p>
    <w:p w14:paraId="6A59E1F2">
      <w:pPr>
        <w:pStyle w:val="5"/>
        <w:adjustRightInd w:val="0"/>
        <w:snapToGrid w:val="0"/>
        <w:spacing w:line="500" w:lineRule="exact"/>
      </w:pPr>
      <w:r>
        <w:rPr>
          <w:rFonts w:hint="eastAsia"/>
        </w:rPr>
        <w:t>4、烘干</w:t>
      </w:r>
    </w:p>
    <w:p w14:paraId="153DED90">
      <w:pPr>
        <w:pStyle w:val="5"/>
        <w:adjustRightInd w:val="0"/>
        <w:snapToGrid w:val="0"/>
        <w:spacing w:line="500" w:lineRule="exact"/>
      </w:pPr>
      <w:r>
        <w:rPr>
          <w:rFonts w:hint="eastAsia"/>
        </w:rPr>
        <w:t>洗涤后的滤料进入自动化烘干机进行烘干，烘干机采用电源作为能源供热，烘干过程中产生的粉尘（G1-3）经密闭收集，单条三元前驱体生产线的一半的烘箱产生的废气进入吸收塔处理后经过1根30高排气筒排放；单条生产线烘干工序设置2个吸收塔2根30m高排气筒；本项目三元前驱体生产线烘干工序共设置8个吸收塔8根30m高排气筒。</w:t>
      </w:r>
    </w:p>
    <w:p w14:paraId="03CF6F54">
      <w:pPr>
        <w:pStyle w:val="5"/>
        <w:adjustRightInd w:val="0"/>
        <w:snapToGrid w:val="0"/>
        <w:spacing w:line="500" w:lineRule="exact"/>
      </w:pPr>
      <w:r>
        <w:rPr>
          <w:rFonts w:hint="eastAsia"/>
        </w:rPr>
        <w:t>已烘干的物料进入混批工序，少量未烘干的物料进入混批工序，少量未烘干的物料进入单独烘箱进一步烘干。项目设置3台单体烘箱（一线、二线、三线各配备1台），单体烘箱规模为1t，采用电源作为能源供热，烘干过程中产生的粉尘（G1-4）经密闭收集，废气进入吸收塔处理后经过1根35高排气筒排放；本项目三元前驱体生产线单体烘箱共设置3个吸收塔3根35m高排气筒。</w:t>
      </w:r>
    </w:p>
    <w:p w14:paraId="47EE9DF7">
      <w:pPr>
        <w:pStyle w:val="5"/>
        <w:adjustRightInd w:val="0"/>
        <w:snapToGrid w:val="0"/>
        <w:spacing w:line="500" w:lineRule="exact"/>
      </w:pPr>
      <w:r>
        <w:rPr>
          <w:rFonts w:hint="eastAsia"/>
        </w:rPr>
        <w:t>5、混批、除铁</w:t>
      </w:r>
    </w:p>
    <w:p w14:paraId="282EEC44">
      <w:pPr>
        <w:pStyle w:val="5"/>
        <w:spacing w:line="500" w:lineRule="exact"/>
        <w:ind w:firstLine="490" w:firstLineChars="200"/>
      </w:pPr>
      <w:r>
        <w:rPr>
          <w:rFonts w:hint="eastAsia"/>
        </w:rPr>
        <w:t>干燥后得到固体氢氧化镍钴锰（三元前驱体），再由气流输送至混合机混合后，进一步混合筛分并经电磁除铁机除铁，自动包装即可入库外售。混批、过筛除铁、包装过程产生粉尘，混合机、除铁机、包装机均为密闭结构，且在封闭操作间内作业，单条三元前驱体生产线的一半的混合机混批产生的粉尘（G1-5）、除铁机过筛除铁产生的粉尘（G1-6）和包装机包装产生的粉尘（G1-7）经密闭收集后，一同通过1台布袋除尘器处理，经布袋除尘器处理后的废气与烘干机烘干废气（G1-3）一同经吸收塔处理。单条生产线混批、过筛除铁、包装工序设置2个布袋除尘器；本项目三元前驱体生产线混批、过筛除铁、包装工序共设置8个布袋除尘器。过筛除铁产生的除铁渣（S1-1）主要成为镍、钴、锰，经收集后返回厂区内一体化项目吹炼炉进一步回收镍、钴、锰等金属，不按固废管理；布袋除尘器产生的收集粉尘（S1-2）经收集后返回混批工序回用。</w:t>
      </w:r>
    </w:p>
    <w:p w14:paraId="2B2AB6E2">
      <w:pPr>
        <w:pStyle w:val="5"/>
        <w:spacing w:line="500" w:lineRule="exact"/>
        <w:ind w:firstLine="490" w:firstLineChars="200"/>
      </w:pPr>
    </w:p>
    <w:p w14:paraId="20B6CF33">
      <w:pPr>
        <w:pStyle w:val="5"/>
        <w:adjustRightInd w:val="0"/>
        <w:snapToGrid w:val="0"/>
        <w:spacing w:line="240" w:lineRule="auto"/>
        <w:ind w:firstLine="0"/>
        <w:jc w:val="center"/>
        <w:rPr>
          <w:b/>
        </w:rPr>
      </w:pPr>
      <w:r>
        <w:object>
          <v:shape id="_x0000_i1026" o:spt="75" type="#_x0000_t75" style="height:554.85pt;width:450.05pt;" o:ole="t" filled="f" o:preferrelative="t" stroked="f" coordsize="21600,21600">
            <v:path/>
            <v:fill on="f" focussize="0,0"/>
            <v:stroke on="f" joinstyle="miter"/>
            <v:imagedata r:id="rId34" o:title=""/>
            <o:lock v:ext="edit" aspectratio="t"/>
            <w10:wrap type="none"/>
            <w10:anchorlock/>
          </v:shape>
          <o:OLEObject Type="Embed" ProgID="Visio.Drawing.11" ShapeID="_x0000_i1026" DrawAspect="Content" ObjectID="_1468075726" r:id="rId33">
            <o:LockedField>false</o:LockedField>
          </o:OLEObject>
        </w:object>
      </w:r>
    </w:p>
    <w:p w14:paraId="20379BDD">
      <w:pPr>
        <w:pStyle w:val="5"/>
        <w:adjustRightInd w:val="0"/>
        <w:snapToGrid w:val="0"/>
        <w:spacing w:line="240" w:lineRule="auto"/>
        <w:ind w:firstLine="0"/>
        <w:jc w:val="center"/>
        <w:rPr>
          <w:b/>
        </w:rPr>
      </w:pPr>
      <w:r>
        <w:rPr>
          <w:b/>
        </w:rPr>
        <w:t>图2.1-</w:t>
      </w:r>
      <w:r>
        <w:rPr>
          <w:rFonts w:hint="eastAsia"/>
          <w:b/>
        </w:rPr>
        <w:t>1</w:t>
      </w:r>
      <w:r>
        <w:rPr>
          <w:b/>
        </w:rPr>
        <w:t xml:space="preserve">  三元前驱体生产线工艺流程图</w:t>
      </w:r>
    </w:p>
    <w:p w14:paraId="106339F1">
      <w:pPr>
        <w:pStyle w:val="5"/>
        <w:ind w:firstLine="0"/>
        <w:outlineLvl w:val="4"/>
        <w:rPr>
          <w:b/>
        </w:rPr>
      </w:pPr>
      <w:r>
        <w:rPr>
          <w:rFonts w:hint="eastAsia"/>
          <w:b/>
        </w:rPr>
        <w:t>2.2.1.2三元前驱体生产线主要污染防治措施及污染源源强</w:t>
      </w:r>
    </w:p>
    <w:p w14:paraId="49B27F0F">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三元前驱体生产线已于2024年3月完成竣工环保验收（2023年12月开展监测），根据验收报告并结合现场踏勘，三元前驱体生产线已基本落实环评及其批复要求的环保措施。</w:t>
      </w:r>
      <w:r>
        <w:rPr>
          <w:rFonts w:ascii="Arial" w:hAnsi="Arial" w:eastAsia="宋体" w:cs="Arial"/>
          <w:spacing w:val="10"/>
          <w:sz w:val="24"/>
          <w:u w:val="single"/>
        </w:rPr>
        <w:t>根据《广西中伟新能源项目一期二阶段环境保护设施竣工验收监测报告》：</w:t>
      </w:r>
    </w:p>
    <w:p w14:paraId="5FC1383E">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（1）</w:t>
      </w:r>
      <w:r>
        <w:rPr>
          <w:rFonts w:ascii="Arial" w:hAnsi="Arial" w:eastAsia="宋体" w:cs="Arial"/>
          <w:spacing w:val="10"/>
          <w:sz w:val="24"/>
          <w:u w:val="single"/>
        </w:rPr>
        <w:t>4条1.5万t/a三元前驱体生产线，反应-压滤工序废气共8根排气筒，处理后的废气满足《无机化学工业污染物排放标准》（GB31573-2015）及修改单表3大气污染物排放限值要求；混批、过筛除铁、包装工序废气共8根排气筒，处理后的废气排放满足GB31573-2015及其修改单表3大气污染物排放限值要求；烘箱干燥废气共3根排气筒，处理后的废气满足GB31573-2015及其修改单表3大气污染物排放限值要求；配酸过程产生废气共4根35m高排气筒，处理后的废气满足GB31573-2015及其修改单表3大气污染物排放限值要求；母液罐、脱氨塔后的氨水罐等产生的氨气经处理后由经2根20m高排气筒排放，排放的污染物满足GB31573-2015及其修改单表3大气污染物排放限值要求；循环水处理车间挥发性气体的废水罐产生的废气经处理后由1根20m高排气筒排放，废气排放满足GB31573-2015及其修改单表3大气污染物排放限值要求；危废暂存间废气经处理后由1根20m高排气筒排放，非甲烷总烃满足《大气污染物综合排放标准》（GB16297-1996）表2二级标准要求。厂界上风向1个点、下风向3个点无组织废气颗粒物、硫酸雾、非甲烷总烃、氯化氢、氨、镍、钴、锰监测结果符合《无机化学工业污染物排放标准》（GB31573-2015）及修改单表5排放限值；臭气浓度监测结果符合《恶臭污染物排放标准》（GB14554-93）表1二级新改扩建企业浓度限值。</w:t>
      </w:r>
    </w:p>
    <w:p w14:paraId="12977B8B">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（2）</w:t>
      </w:r>
      <w:r>
        <w:rPr>
          <w:rFonts w:ascii="Arial" w:hAnsi="Arial" w:eastAsia="宋体" w:cs="Arial"/>
          <w:spacing w:val="10"/>
          <w:sz w:val="24"/>
          <w:u w:val="single"/>
        </w:rPr>
        <w:t>三元前驱生产车间设施排放口的总镍、总钴及总锰的监测结果符合GB31573-2015表1污染排放限值要求，企业废水总排放口处废水各监测因子符合GB31573-2015表1污染排放限值。</w:t>
      </w:r>
    </w:p>
    <w:p w14:paraId="586B2EE1">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（3）厂界噪声符合《工业企业厂界环境噪声排放标准》（GB12348-2008）要求。各类固体废物得以妥善处置。</w:t>
      </w:r>
    </w:p>
    <w:p w14:paraId="22F24E19">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根据验收报告并折算满负荷，核算了三元前驱体生产线主要污染源源强，详见表2-5。</w:t>
      </w:r>
    </w:p>
    <w:p w14:paraId="44AADF30">
      <w:pPr>
        <w:spacing w:line="500" w:lineRule="exact"/>
        <w:ind w:firstLine="490" w:firstLineChars="200"/>
        <w:rPr>
          <w:rFonts w:ascii="Arial" w:hAnsi="Arial" w:eastAsia="宋体" w:cs="Arial"/>
          <w:spacing w:val="10"/>
          <w:sz w:val="24"/>
          <w:u w:val="single"/>
        </w:rPr>
      </w:pPr>
    </w:p>
    <w:p w14:paraId="6A410090">
      <w:pPr>
        <w:keepNext/>
        <w:numPr>
          <w:ilvl w:val="0"/>
          <w:numId w:val="12"/>
        </w:numPr>
        <w:spacing w:line="480" w:lineRule="exact"/>
        <w:ind w:left="0" w:firstLine="0"/>
        <w:jc w:val="center"/>
        <w:outlineLvl w:val="5"/>
        <w:rPr>
          <w:rFonts w:ascii="Arial" w:hAnsi="Arial" w:eastAsia="宋体" w:cs="Arial"/>
          <w:b/>
          <w:spacing w:val="10"/>
          <w:sz w:val="24"/>
        </w:rPr>
      </w:pPr>
      <w:r>
        <w:rPr>
          <w:rFonts w:hint="eastAsia" w:ascii="Arial" w:hAnsi="Arial" w:eastAsia="宋体" w:cs="Arial"/>
          <w:b/>
          <w:spacing w:val="10"/>
          <w:sz w:val="24"/>
        </w:rPr>
        <w:t>三元前驱体主要污染防治措施及污染源强汇总表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825"/>
        <w:gridCol w:w="1133"/>
        <w:gridCol w:w="1560"/>
        <w:gridCol w:w="4927"/>
      </w:tblGrid>
      <w:tr w14:paraId="7C3A8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54" w:type="pct"/>
            <w:shd w:val="clear" w:color="auto" w:fill="auto"/>
            <w:vAlign w:val="center"/>
          </w:tcPr>
          <w:p w14:paraId="5ABF8321">
            <w:pPr>
              <w:adjustRightInd w:val="0"/>
              <w:snapToGrid w:val="0"/>
              <w:jc w:val="center"/>
              <w:rPr>
                <w:rFonts w:ascii="Arial" w:hAnsi="Arial" w:eastAsia="宋体" w:cs="Arial"/>
                <w:b/>
                <w:sz w:val="21"/>
                <w:szCs w:val="21"/>
              </w:rPr>
            </w:pPr>
            <w:r>
              <w:rPr>
                <w:rFonts w:ascii="Arial" w:hAnsi="Arial" w:eastAsia="宋体" w:cs="Arial"/>
                <w:b/>
                <w:sz w:val="21"/>
                <w:szCs w:val="21"/>
              </w:rPr>
              <w:t>类别</w:t>
            </w:r>
          </w:p>
        </w:tc>
        <w:tc>
          <w:tcPr>
            <w:tcW w:w="1054" w:type="pct"/>
            <w:gridSpan w:val="2"/>
            <w:shd w:val="clear" w:color="auto" w:fill="auto"/>
            <w:vAlign w:val="center"/>
          </w:tcPr>
          <w:p w14:paraId="00167BA2">
            <w:pPr>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840" w:type="pct"/>
            <w:shd w:val="clear" w:color="auto" w:fill="auto"/>
            <w:vAlign w:val="center"/>
          </w:tcPr>
          <w:p w14:paraId="7991A5E1">
            <w:pPr>
              <w:adjustRightInd w:val="0"/>
              <w:snapToGrid w:val="0"/>
              <w:jc w:val="center"/>
              <w:rPr>
                <w:rFonts w:ascii="Arial" w:hAnsi="Arial" w:eastAsia="宋体" w:cs="Arial"/>
                <w:b/>
                <w:sz w:val="21"/>
                <w:szCs w:val="21"/>
              </w:rPr>
            </w:pPr>
            <w:r>
              <w:rPr>
                <w:rFonts w:ascii="Arial" w:hAnsi="Arial" w:eastAsia="宋体" w:cs="Arial"/>
                <w:b/>
                <w:sz w:val="21"/>
                <w:szCs w:val="21"/>
              </w:rPr>
              <w:t>排放量</w:t>
            </w:r>
            <w:r>
              <w:rPr>
                <w:rFonts w:hint="eastAsia" w:ascii="Arial" w:hAnsi="Arial" w:eastAsia="宋体" w:cs="Arial"/>
                <w:b/>
                <w:sz w:val="21"/>
                <w:szCs w:val="21"/>
              </w:rPr>
              <w:t>（</w:t>
            </w:r>
            <w:r>
              <w:rPr>
                <w:rFonts w:ascii="Arial" w:hAnsi="Arial" w:eastAsia="宋体" w:cs="Arial"/>
                <w:sz w:val="21"/>
                <w:szCs w:val="21"/>
              </w:rPr>
              <w:t>t/a</w:t>
            </w:r>
            <w:r>
              <w:rPr>
                <w:rFonts w:hint="eastAsia" w:ascii="Arial" w:hAnsi="Arial" w:eastAsia="宋体" w:cs="Arial"/>
                <w:b/>
                <w:sz w:val="21"/>
                <w:szCs w:val="21"/>
              </w:rPr>
              <w:t>）</w:t>
            </w:r>
          </w:p>
        </w:tc>
        <w:tc>
          <w:tcPr>
            <w:tcW w:w="2652" w:type="pct"/>
            <w:shd w:val="clear" w:color="auto" w:fill="auto"/>
            <w:vAlign w:val="center"/>
          </w:tcPr>
          <w:p w14:paraId="63959323">
            <w:pPr>
              <w:adjustRightInd w:val="0"/>
              <w:snapToGrid w:val="0"/>
              <w:jc w:val="center"/>
              <w:rPr>
                <w:rFonts w:ascii="Arial" w:hAnsi="Arial" w:eastAsia="宋体" w:cs="Arial"/>
                <w:b/>
                <w:sz w:val="21"/>
                <w:szCs w:val="21"/>
              </w:rPr>
            </w:pPr>
            <w:r>
              <w:rPr>
                <w:rFonts w:hint="eastAsia" w:ascii="Arial" w:hAnsi="Arial" w:eastAsia="宋体" w:cs="Arial"/>
                <w:b/>
                <w:sz w:val="21"/>
                <w:szCs w:val="21"/>
              </w:rPr>
              <w:t>落实的主要污染防治措施</w:t>
            </w:r>
          </w:p>
        </w:tc>
      </w:tr>
      <w:tr w14:paraId="224E1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restart"/>
            <w:shd w:val="clear" w:color="auto" w:fill="auto"/>
            <w:vAlign w:val="center"/>
          </w:tcPr>
          <w:p w14:paraId="6CE5A91D">
            <w:pPr>
              <w:adjustRightInd w:val="0"/>
              <w:snapToGrid w:val="0"/>
              <w:jc w:val="center"/>
              <w:rPr>
                <w:rFonts w:ascii="Arial" w:hAnsi="Arial" w:eastAsia="宋体" w:cs="Arial"/>
                <w:sz w:val="21"/>
                <w:szCs w:val="21"/>
              </w:rPr>
            </w:pPr>
            <w:r>
              <w:rPr>
                <w:rFonts w:ascii="Arial" w:hAnsi="Arial" w:eastAsia="宋体" w:cs="Arial"/>
                <w:sz w:val="21"/>
                <w:szCs w:val="21"/>
              </w:rPr>
              <w:t>废气</w:t>
            </w:r>
          </w:p>
        </w:tc>
        <w:tc>
          <w:tcPr>
            <w:tcW w:w="1054" w:type="pct"/>
            <w:gridSpan w:val="2"/>
            <w:shd w:val="clear" w:color="auto" w:fill="auto"/>
            <w:vAlign w:val="center"/>
          </w:tcPr>
          <w:p w14:paraId="4195C156">
            <w:pPr>
              <w:pStyle w:val="469"/>
              <w:rPr>
                <w:rFonts w:ascii="Arial" w:hAnsi="Arial" w:cs="Arial"/>
                <w:sz w:val="21"/>
                <w:szCs w:val="21"/>
              </w:rPr>
            </w:pPr>
            <w:r>
              <w:rPr>
                <w:rFonts w:ascii="Arial" w:hAnsi="Arial" w:cs="Arial"/>
                <w:sz w:val="21"/>
                <w:szCs w:val="21"/>
              </w:rPr>
              <w:t>氨气</w:t>
            </w:r>
          </w:p>
        </w:tc>
        <w:tc>
          <w:tcPr>
            <w:tcW w:w="840" w:type="pct"/>
            <w:shd w:val="clear" w:color="auto" w:fill="auto"/>
            <w:vAlign w:val="center"/>
          </w:tcPr>
          <w:p w14:paraId="2926C733">
            <w:pPr>
              <w:pStyle w:val="5"/>
              <w:adjustRightInd w:val="0"/>
              <w:snapToGrid w:val="0"/>
              <w:spacing w:line="240" w:lineRule="auto"/>
              <w:ind w:firstLine="0"/>
              <w:jc w:val="center"/>
              <w:rPr>
                <w:sz w:val="21"/>
                <w:szCs w:val="21"/>
                <w:u w:val="single"/>
              </w:rPr>
            </w:pPr>
            <w:r>
              <w:rPr>
                <w:rFonts w:hint="eastAsia"/>
                <w:sz w:val="21"/>
                <w:szCs w:val="21"/>
                <w:u w:val="single"/>
              </w:rPr>
              <w:t>25.883</w:t>
            </w:r>
          </w:p>
        </w:tc>
        <w:tc>
          <w:tcPr>
            <w:tcW w:w="2652" w:type="pct"/>
            <w:vMerge w:val="restart"/>
            <w:shd w:val="clear" w:color="auto" w:fill="auto"/>
            <w:vAlign w:val="center"/>
          </w:tcPr>
          <w:p w14:paraId="4FB4C9E4">
            <w:pPr>
              <w:adjustRightInd w:val="0"/>
              <w:snapToGrid w:val="0"/>
              <w:jc w:val="left"/>
              <w:rPr>
                <w:rFonts w:ascii="Arial" w:hAnsi="Arial" w:eastAsia="宋体" w:cs="Arial"/>
                <w:sz w:val="21"/>
                <w:szCs w:val="21"/>
              </w:rPr>
            </w:pPr>
            <w:r>
              <w:rPr>
                <w:rFonts w:hint="eastAsia" w:ascii="Arial" w:hAnsi="Arial" w:eastAsia="宋体" w:cs="Arial"/>
                <w:sz w:val="21"/>
                <w:szCs w:val="21"/>
              </w:rPr>
              <w:t>①反应压滤工序产生的氨采用8套氨喷淋吸收塔处理后，分别由8根30m高排气筒排放；</w:t>
            </w:r>
          </w:p>
          <w:p w14:paraId="65B20BEA">
            <w:pPr>
              <w:adjustRightInd w:val="0"/>
              <w:snapToGrid w:val="0"/>
              <w:jc w:val="left"/>
              <w:rPr>
                <w:rFonts w:ascii="Arial" w:hAnsi="Arial" w:eastAsia="宋体" w:cs="Arial"/>
                <w:sz w:val="21"/>
                <w:szCs w:val="21"/>
              </w:rPr>
            </w:pPr>
            <w:r>
              <w:rPr>
                <w:rFonts w:hint="eastAsia" w:ascii="Arial" w:hAnsi="Arial" w:eastAsia="宋体" w:cs="Arial"/>
                <w:sz w:val="21"/>
                <w:szCs w:val="21"/>
              </w:rPr>
              <w:t>②干燥包装工序产生的颗粒物、钴及其化合物、锰及其化合物、镍及其化合物采用8套布袋除尘器+水喷淋洗涤塔处理装置处理后，分别由8根30m高排气筒排放；</w:t>
            </w:r>
          </w:p>
          <w:p w14:paraId="7A7FF2E9">
            <w:pPr>
              <w:adjustRightInd w:val="0"/>
              <w:snapToGrid w:val="0"/>
              <w:jc w:val="left"/>
              <w:rPr>
                <w:rFonts w:ascii="Arial" w:hAnsi="Arial" w:eastAsia="宋体" w:cs="Arial"/>
                <w:sz w:val="21"/>
                <w:szCs w:val="21"/>
              </w:rPr>
            </w:pPr>
            <w:r>
              <w:rPr>
                <w:rFonts w:hint="eastAsia" w:ascii="Arial" w:hAnsi="Arial" w:eastAsia="宋体" w:cs="Arial"/>
                <w:sz w:val="21"/>
                <w:szCs w:val="21"/>
              </w:rPr>
              <w:t>③单体烘箱产生的颗粒物、钴及其化合物、锰及其化合物、镍及其化合物采用3套水喷淋洗涤塔处理装置处理后，分别由3根30m高排气筒排放；</w:t>
            </w:r>
          </w:p>
          <w:p w14:paraId="1996CBDC">
            <w:pPr>
              <w:adjustRightInd w:val="0"/>
              <w:snapToGrid w:val="0"/>
              <w:jc w:val="left"/>
              <w:rPr>
                <w:rFonts w:ascii="Arial" w:hAnsi="Arial" w:eastAsia="宋体" w:cs="Arial"/>
                <w:sz w:val="21"/>
                <w:szCs w:val="21"/>
              </w:rPr>
            </w:pPr>
            <w:r>
              <w:rPr>
                <w:rFonts w:hint="eastAsia" w:ascii="Arial" w:hAnsi="Arial" w:eastAsia="宋体" w:cs="Arial"/>
                <w:sz w:val="21"/>
                <w:szCs w:val="21"/>
              </w:rPr>
              <w:t>④</w:t>
            </w:r>
            <w:r>
              <w:rPr>
                <w:rFonts w:hint="eastAsia" w:ascii="宋体" w:hAnsi="宋体" w:eastAsia="宋体" w:cs="宋体"/>
                <w:sz w:val="21"/>
                <w:szCs w:val="21"/>
              </w:rPr>
              <w:t>水处理车间母液罐产生的氨采用</w:t>
            </w:r>
            <w:r>
              <w:rPr>
                <w:rFonts w:hint="eastAsia" w:ascii="Arial" w:hAnsi="Arial" w:eastAsia="宋体" w:cs="Arial"/>
                <w:sz w:val="21"/>
                <w:szCs w:val="21"/>
              </w:rPr>
              <w:t>氨喷淋吸收塔处理后，由1根20m高排气筒排放</w:t>
            </w:r>
            <w:r>
              <w:rPr>
                <w:rFonts w:ascii="Arial" w:hAnsi="Arial" w:eastAsia="宋体" w:cs="Arial"/>
                <w:sz w:val="21"/>
                <w:szCs w:val="21"/>
              </w:rPr>
              <w:t>；</w:t>
            </w:r>
          </w:p>
          <w:p w14:paraId="49176A19">
            <w:pPr>
              <w:adjustRightInd w:val="0"/>
              <w:snapToGrid w:val="0"/>
              <w:jc w:val="left"/>
              <w:rPr>
                <w:rFonts w:ascii="宋体" w:hAnsi="宋体" w:eastAsia="宋体" w:cs="宋体"/>
                <w:sz w:val="21"/>
                <w:szCs w:val="21"/>
              </w:rPr>
            </w:pPr>
            <w:r>
              <w:rPr>
                <w:rFonts w:hint="eastAsia" w:ascii="Arial" w:hAnsi="Arial" w:eastAsia="宋体" w:cs="Arial"/>
                <w:sz w:val="21"/>
                <w:szCs w:val="21"/>
              </w:rPr>
              <w:t>⑤</w:t>
            </w:r>
            <w:r>
              <w:rPr>
                <w:rFonts w:hint="eastAsia" w:ascii="宋体" w:hAnsi="宋体" w:eastAsia="宋体" w:cs="宋体"/>
                <w:sz w:val="21"/>
                <w:szCs w:val="21"/>
              </w:rPr>
              <w:t>危废</w:t>
            </w:r>
            <w:r>
              <w:rPr>
                <w:rFonts w:ascii="Arial" w:hAnsi="Arial" w:eastAsia="宋体" w:cs="Arial"/>
                <w:sz w:val="21"/>
                <w:szCs w:val="21"/>
              </w:rPr>
              <w:t>暂存间产生的非甲烷总烃采用活性炭吸附装置处理后，由1根20m排气筒排放</w:t>
            </w:r>
            <w:r>
              <w:rPr>
                <w:rFonts w:hint="eastAsia" w:ascii="Arial" w:hAnsi="Arial" w:eastAsia="宋体" w:cs="Arial"/>
                <w:sz w:val="21"/>
                <w:szCs w:val="21"/>
              </w:rPr>
              <w:t>。</w:t>
            </w:r>
          </w:p>
        </w:tc>
      </w:tr>
      <w:tr w14:paraId="783D2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29C4BD66">
            <w:pPr>
              <w:adjustRightInd w:val="0"/>
              <w:snapToGrid w:val="0"/>
              <w:jc w:val="center"/>
              <w:rPr>
                <w:rFonts w:ascii="Arial" w:hAnsi="Arial" w:eastAsia="宋体" w:cs="Arial"/>
                <w:sz w:val="21"/>
                <w:szCs w:val="21"/>
              </w:rPr>
            </w:pPr>
          </w:p>
        </w:tc>
        <w:tc>
          <w:tcPr>
            <w:tcW w:w="1054" w:type="pct"/>
            <w:gridSpan w:val="2"/>
            <w:shd w:val="clear" w:color="auto" w:fill="auto"/>
            <w:vAlign w:val="center"/>
          </w:tcPr>
          <w:p w14:paraId="7BA2BEC7">
            <w:pPr>
              <w:pStyle w:val="469"/>
              <w:rPr>
                <w:rFonts w:ascii="Arial" w:hAnsi="Arial" w:cs="Arial"/>
                <w:sz w:val="21"/>
                <w:szCs w:val="21"/>
              </w:rPr>
            </w:pPr>
            <w:r>
              <w:rPr>
                <w:rFonts w:hint="eastAsia" w:ascii="Arial" w:hAnsi="Arial" w:cs="Arial"/>
                <w:sz w:val="21"/>
                <w:szCs w:val="21"/>
              </w:rPr>
              <w:t>颗粒物</w:t>
            </w:r>
          </w:p>
        </w:tc>
        <w:tc>
          <w:tcPr>
            <w:tcW w:w="840" w:type="pct"/>
            <w:shd w:val="clear" w:color="auto" w:fill="auto"/>
            <w:vAlign w:val="center"/>
          </w:tcPr>
          <w:p w14:paraId="2D7DD87F">
            <w:pPr>
              <w:pStyle w:val="5"/>
              <w:adjustRightInd w:val="0"/>
              <w:snapToGrid w:val="0"/>
              <w:spacing w:line="240" w:lineRule="auto"/>
              <w:ind w:firstLine="0"/>
              <w:jc w:val="center"/>
              <w:rPr>
                <w:sz w:val="21"/>
                <w:szCs w:val="21"/>
                <w:u w:val="single"/>
              </w:rPr>
            </w:pPr>
            <w:r>
              <w:rPr>
                <w:rFonts w:hint="eastAsia"/>
                <w:sz w:val="21"/>
                <w:szCs w:val="21"/>
                <w:u w:val="single"/>
              </w:rPr>
              <w:t>4.529</w:t>
            </w:r>
          </w:p>
        </w:tc>
        <w:tc>
          <w:tcPr>
            <w:tcW w:w="2652" w:type="pct"/>
            <w:vMerge w:val="continue"/>
            <w:shd w:val="clear" w:color="auto" w:fill="auto"/>
            <w:vAlign w:val="center"/>
          </w:tcPr>
          <w:p w14:paraId="4FE751E2">
            <w:pPr>
              <w:adjustRightInd w:val="0"/>
              <w:snapToGrid w:val="0"/>
              <w:jc w:val="center"/>
              <w:rPr>
                <w:rFonts w:ascii="Arial" w:hAnsi="Arial" w:eastAsia="宋体" w:cs="Arial"/>
                <w:sz w:val="21"/>
                <w:szCs w:val="21"/>
              </w:rPr>
            </w:pPr>
          </w:p>
        </w:tc>
      </w:tr>
      <w:tr w14:paraId="7FF33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5DB917F8">
            <w:pPr>
              <w:adjustRightInd w:val="0"/>
              <w:snapToGrid w:val="0"/>
              <w:jc w:val="center"/>
              <w:rPr>
                <w:rFonts w:ascii="Arial" w:hAnsi="Arial" w:eastAsia="宋体" w:cs="Arial"/>
                <w:sz w:val="21"/>
                <w:szCs w:val="21"/>
              </w:rPr>
            </w:pPr>
          </w:p>
        </w:tc>
        <w:tc>
          <w:tcPr>
            <w:tcW w:w="1054" w:type="pct"/>
            <w:gridSpan w:val="2"/>
            <w:shd w:val="clear" w:color="auto" w:fill="auto"/>
            <w:vAlign w:val="center"/>
          </w:tcPr>
          <w:p w14:paraId="20D977A9">
            <w:pPr>
              <w:pStyle w:val="469"/>
              <w:rPr>
                <w:rFonts w:ascii="Arial" w:hAnsi="Arial" w:cs="Arial"/>
                <w:sz w:val="21"/>
                <w:szCs w:val="21"/>
              </w:rPr>
            </w:pPr>
            <w:r>
              <w:rPr>
                <w:rFonts w:ascii="Arial" w:hAnsi="Arial" w:cs="Arial"/>
                <w:sz w:val="21"/>
                <w:szCs w:val="21"/>
              </w:rPr>
              <w:t>镍及其化合物</w:t>
            </w:r>
          </w:p>
        </w:tc>
        <w:tc>
          <w:tcPr>
            <w:tcW w:w="840" w:type="pct"/>
            <w:shd w:val="clear" w:color="auto" w:fill="auto"/>
            <w:vAlign w:val="center"/>
          </w:tcPr>
          <w:p w14:paraId="51D05DD1">
            <w:pPr>
              <w:pStyle w:val="5"/>
              <w:adjustRightInd w:val="0"/>
              <w:snapToGrid w:val="0"/>
              <w:spacing w:line="240" w:lineRule="auto"/>
              <w:ind w:firstLine="0"/>
              <w:jc w:val="center"/>
              <w:rPr>
                <w:sz w:val="21"/>
                <w:szCs w:val="21"/>
                <w:u w:val="single"/>
              </w:rPr>
            </w:pPr>
            <w:r>
              <w:rPr>
                <w:rFonts w:hint="eastAsia"/>
                <w:sz w:val="21"/>
                <w:szCs w:val="21"/>
                <w:u w:val="single"/>
              </w:rPr>
              <w:t>0.0369</w:t>
            </w:r>
          </w:p>
        </w:tc>
        <w:tc>
          <w:tcPr>
            <w:tcW w:w="2652" w:type="pct"/>
            <w:vMerge w:val="continue"/>
            <w:shd w:val="clear" w:color="auto" w:fill="auto"/>
            <w:vAlign w:val="center"/>
          </w:tcPr>
          <w:p w14:paraId="41AC0972">
            <w:pPr>
              <w:adjustRightInd w:val="0"/>
              <w:snapToGrid w:val="0"/>
              <w:jc w:val="center"/>
              <w:rPr>
                <w:rFonts w:ascii="Arial" w:hAnsi="Arial" w:eastAsia="宋体" w:cs="Arial"/>
                <w:sz w:val="21"/>
                <w:szCs w:val="21"/>
              </w:rPr>
            </w:pPr>
          </w:p>
        </w:tc>
      </w:tr>
      <w:tr w14:paraId="5BFCA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2FB29897">
            <w:pPr>
              <w:adjustRightInd w:val="0"/>
              <w:snapToGrid w:val="0"/>
              <w:jc w:val="center"/>
              <w:rPr>
                <w:rFonts w:ascii="Arial" w:hAnsi="Arial" w:eastAsia="宋体" w:cs="Arial"/>
                <w:sz w:val="21"/>
                <w:szCs w:val="21"/>
              </w:rPr>
            </w:pPr>
          </w:p>
        </w:tc>
        <w:tc>
          <w:tcPr>
            <w:tcW w:w="1054" w:type="pct"/>
            <w:gridSpan w:val="2"/>
            <w:shd w:val="clear" w:color="auto" w:fill="auto"/>
            <w:vAlign w:val="center"/>
          </w:tcPr>
          <w:p w14:paraId="71949B77">
            <w:pPr>
              <w:pStyle w:val="469"/>
              <w:rPr>
                <w:rFonts w:ascii="Arial" w:hAnsi="Arial" w:cs="Arial"/>
                <w:sz w:val="21"/>
                <w:szCs w:val="21"/>
              </w:rPr>
            </w:pPr>
            <w:r>
              <w:rPr>
                <w:rFonts w:ascii="Arial" w:hAnsi="Arial" w:cs="Arial"/>
                <w:sz w:val="21"/>
                <w:szCs w:val="21"/>
              </w:rPr>
              <w:t>钴及其化合物</w:t>
            </w:r>
          </w:p>
        </w:tc>
        <w:tc>
          <w:tcPr>
            <w:tcW w:w="840" w:type="pct"/>
            <w:shd w:val="clear" w:color="auto" w:fill="auto"/>
            <w:vAlign w:val="center"/>
          </w:tcPr>
          <w:p w14:paraId="6D1D106D">
            <w:pPr>
              <w:pStyle w:val="5"/>
              <w:adjustRightInd w:val="0"/>
              <w:snapToGrid w:val="0"/>
              <w:spacing w:line="240" w:lineRule="auto"/>
              <w:ind w:firstLine="0"/>
              <w:jc w:val="center"/>
              <w:rPr>
                <w:sz w:val="21"/>
                <w:szCs w:val="21"/>
                <w:u w:val="single"/>
              </w:rPr>
            </w:pPr>
            <w:r>
              <w:rPr>
                <w:rFonts w:hint="eastAsia"/>
                <w:sz w:val="21"/>
                <w:szCs w:val="21"/>
                <w:u w:val="single"/>
              </w:rPr>
              <w:t>0.0009</w:t>
            </w:r>
          </w:p>
        </w:tc>
        <w:tc>
          <w:tcPr>
            <w:tcW w:w="2652" w:type="pct"/>
            <w:vMerge w:val="continue"/>
            <w:shd w:val="clear" w:color="auto" w:fill="auto"/>
            <w:vAlign w:val="center"/>
          </w:tcPr>
          <w:p w14:paraId="0F0C0A88">
            <w:pPr>
              <w:adjustRightInd w:val="0"/>
              <w:snapToGrid w:val="0"/>
              <w:jc w:val="center"/>
              <w:rPr>
                <w:rFonts w:ascii="Arial" w:hAnsi="Arial" w:eastAsia="宋体" w:cs="Arial"/>
                <w:sz w:val="21"/>
                <w:szCs w:val="21"/>
              </w:rPr>
            </w:pPr>
          </w:p>
        </w:tc>
      </w:tr>
      <w:tr w14:paraId="491F5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071DE381">
            <w:pPr>
              <w:adjustRightInd w:val="0"/>
              <w:snapToGrid w:val="0"/>
              <w:jc w:val="center"/>
              <w:rPr>
                <w:rFonts w:ascii="Arial" w:hAnsi="Arial" w:eastAsia="宋体" w:cs="Arial"/>
                <w:sz w:val="21"/>
                <w:szCs w:val="21"/>
              </w:rPr>
            </w:pPr>
          </w:p>
        </w:tc>
        <w:tc>
          <w:tcPr>
            <w:tcW w:w="1054" w:type="pct"/>
            <w:gridSpan w:val="2"/>
            <w:shd w:val="clear" w:color="auto" w:fill="auto"/>
            <w:vAlign w:val="center"/>
          </w:tcPr>
          <w:p w14:paraId="20AD80B1">
            <w:pPr>
              <w:pStyle w:val="469"/>
              <w:rPr>
                <w:rFonts w:ascii="Arial" w:hAnsi="Arial" w:cs="Arial"/>
                <w:sz w:val="21"/>
                <w:szCs w:val="21"/>
              </w:rPr>
            </w:pPr>
            <w:r>
              <w:rPr>
                <w:rFonts w:ascii="Arial" w:hAnsi="Arial" w:cs="Arial"/>
                <w:sz w:val="21"/>
                <w:szCs w:val="21"/>
              </w:rPr>
              <w:t>锰及其化合物</w:t>
            </w:r>
          </w:p>
        </w:tc>
        <w:tc>
          <w:tcPr>
            <w:tcW w:w="840" w:type="pct"/>
            <w:shd w:val="clear" w:color="auto" w:fill="auto"/>
            <w:vAlign w:val="center"/>
          </w:tcPr>
          <w:p w14:paraId="3B2EBBF3">
            <w:pPr>
              <w:pStyle w:val="5"/>
              <w:adjustRightInd w:val="0"/>
              <w:snapToGrid w:val="0"/>
              <w:spacing w:line="240" w:lineRule="auto"/>
              <w:ind w:firstLine="0"/>
              <w:jc w:val="center"/>
              <w:rPr>
                <w:sz w:val="21"/>
                <w:szCs w:val="21"/>
                <w:u w:val="single"/>
              </w:rPr>
            </w:pPr>
            <w:r>
              <w:rPr>
                <w:rFonts w:hint="eastAsia"/>
                <w:sz w:val="21"/>
                <w:szCs w:val="21"/>
                <w:u w:val="single"/>
              </w:rPr>
              <w:t>0.2116</w:t>
            </w:r>
          </w:p>
        </w:tc>
        <w:tc>
          <w:tcPr>
            <w:tcW w:w="2652" w:type="pct"/>
            <w:vMerge w:val="continue"/>
            <w:shd w:val="clear" w:color="auto" w:fill="auto"/>
            <w:vAlign w:val="center"/>
          </w:tcPr>
          <w:p w14:paraId="0AED3538">
            <w:pPr>
              <w:adjustRightInd w:val="0"/>
              <w:snapToGrid w:val="0"/>
              <w:jc w:val="center"/>
              <w:rPr>
                <w:rFonts w:ascii="Arial" w:hAnsi="Arial" w:eastAsia="宋体" w:cs="Arial"/>
                <w:sz w:val="21"/>
                <w:szCs w:val="21"/>
              </w:rPr>
            </w:pPr>
          </w:p>
        </w:tc>
      </w:tr>
      <w:tr w14:paraId="63606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51E46A5E">
            <w:pPr>
              <w:adjustRightInd w:val="0"/>
              <w:snapToGrid w:val="0"/>
              <w:jc w:val="center"/>
              <w:rPr>
                <w:rFonts w:ascii="Arial" w:hAnsi="Arial" w:eastAsia="宋体" w:cs="Arial"/>
                <w:sz w:val="21"/>
                <w:szCs w:val="21"/>
              </w:rPr>
            </w:pPr>
          </w:p>
        </w:tc>
        <w:tc>
          <w:tcPr>
            <w:tcW w:w="1054" w:type="pct"/>
            <w:gridSpan w:val="2"/>
            <w:shd w:val="clear" w:color="auto" w:fill="auto"/>
            <w:vAlign w:val="center"/>
          </w:tcPr>
          <w:p w14:paraId="42D170DD">
            <w:pPr>
              <w:pStyle w:val="469"/>
              <w:rPr>
                <w:rFonts w:ascii="Arial" w:hAnsi="Arial" w:cs="Arial"/>
                <w:sz w:val="21"/>
                <w:szCs w:val="21"/>
              </w:rPr>
            </w:pPr>
            <w:r>
              <w:rPr>
                <w:rFonts w:ascii="Arial" w:hAnsi="Arial" w:cs="Arial"/>
                <w:sz w:val="21"/>
                <w:szCs w:val="21"/>
              </w:rPr>
              <w:t>硫酸雾</w:t>
            </w:r>
          </w:p>
        </w:tc>
        <w:tc>
          <w:tcPr>
            <w:tcW w:w="840" w:type="pct"/>
            <w:shd w:val="clear" w:color="auto" w:fill="auto"/>
            <w:vAlign w:val="center"/>
          </w:tcPr>
          <w:p w14:paraId="77E3AA85">
            <w:pPr>
              <w:pStyle w:val="5"/>
              <w:adjustRightInd w:val="0"/>
              <w:snapToGrid w:val="0"/>
              <w:spacing w:line="240" w:lineRule="auto"/>
              <w:ind w:firstLine="0"/>
              <w:jc w:val="center"/>
              <w:rPr>
                <w:sz w:val="21"/>
                <w:szCs w:val="21"/>
                <w:u w:val="single"/>
              </w:rPr>
            </w:pPr>
            <w:r>
              <w:rPr>
                <w:rFonts w:hint="eastAsia"/>
                <w:sz w:val="21"/>
                <w:szCs w:val="21"/>
                <w:u w:val="single"/>
              </w:rPr>
              <w:t>6.015</w:t>
            </w:r>
          </w:p>
        </w:tc>
        <w:tc>
          <w:tcPr>
            <w:tcW w:w="2652" w:type="pct"/>
            <w:vMerge w:val="continue"/>
            <w:shd w:val="clear" w:color="auto" w:fill="auto"/>
            <w:vAlign w:val="center"/>
          </w:tcPr>
          <w:p w14:paraId="7411A128">
            <w:pPr>
              <w:adjustRightInd w:val="0"/>
              <w:snapToGrid w:val="0"/>
              <w:jc w:val="center"/>
              <w:rPr>
                <w:rFonts w:ascii="Arial" w:hAnsi="Arial" w:eastAsia="宋体" w:cs="Arial"/>
                <w:sz w:val="21"/>
                <w:szCs w:val="21"/>
              </w:rPr>
            </w:pPr>
          </w:p>
        </w:tc>
      </w:tr>
      <w:tr w14:paraId="19E1D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04E84A89">
            <w:pPr>
              <w:adjustRightInd w:val="0"/>
              <w:snapToGrid w:val="0"/>
              <w:jc w:val="center"/>
              <w:rPr>
                <w:rFonts w:ascii="Arial" w:hAnsi="Arial" w:eastAsia="宋体" w:cs="Arial"/>
                <w:sz w:val="21"/>
                <w:szCs w:val="21"/>
              </w:rPr>
            </w:pPr>
          </w:p>
        </w:tc>
        <w:tc>
          <w:tcPr>
            <w:tcW w:w="1054" w:type="pct"/>
            <w:gridSpan w:val="2"/>
            <w:shd w:val="clear" w:color="auto" w:fill="auto"/>
            <w:vAlign w:val="center"/>
          </w:tcPr>
          <w:p w14:paraId="5E801048">
            <w:pPr>
              <w:pStyle w:val="469"/>
              <w:rPr>
                <w:rFonts w:ascii="Arial" w:hAnsi="Arial" w:cs="Arial"/>
                <w:sz w:val="21"/>
                <w:szCs w:val="21"/>
              </w:rPr>
            </w:pPr>
            <w:r>
              <w:rPr>
                <w:rFonts w:ascii="Arial" w:hAnsi="Arial" w:cs="Arial"/>
                <w:sz w:val="21"/>
                <w:szCs w:val="21"/>
              </w:rPr>
              <w:t>VOCs</w:t>
            </w:r>
          </w:p>
        </w:tc>
        <w:tc>
          <w:tcPr>
            <w:tcW w:w="840" w:type="pct"/>
            <w:shd w:val="clear" w:color="auto" w:fill="auto"/>
            <w:vAlign w:val="center"/>
          </w:tcPr>
          <w:p w14:paraId="71FD81EE">
            <w:pPr>
              <w:pStyle w:val="5"/>
              <w:adjustRightInd w:val="0"/>
              <w:snapToGrid w:val="0"/>
              <w:spacing w:line="240" w:lineRule="auto"/>
              <w:ind w:firstLine="0"/>
              <w:jc w:val="center"/>
              <w:rPr>
                <w:sz w:val="21"/>
                <w:szCs w:val="21"/>
                <w:u w:val="single"/>
              </w:rPr>
            </w:pPr>
            <w:r>
              <w:rPr>
                <w:rFonts w:hint="eastAsia"/>
                <w:sz w:val="21"/>
                <w:szCs w:val="21"/>
                <w:u w:val="single"/>
              </w:rPr>
              <w:t>0.729</w:t>
            </w:r>
          </w:p>
        </w:tc>
        <w:tc>
          <w:tcPr>
            <w:tcW w:w="2652" w:type="pct"/>
            <w:vMerge w:val="continue"/>
            <w:shd w:val="clear" w:color="auto" w:fill="auto"/>
            <w:vAlign w:val="center"/>
          </w:tcPr>
          <w:p w14:paraId="256E7742">
            <w:pPr>
              <w:adjustRightInd w:val="0"/>
              <w:snapToGrid w:val="0"/>
              <w:jc w:val="center"/>
              <w:rPr>
                <w:rFonts w:ascii="Arial" w:hAnsi="Arial" w:eastAsia="宋体" w:cs="Arial"/>
                <w:sz w:val="21"/>
                <w:szCs w:val="21"/>
              </w:rPr>
            </w:pPr>
          </w:p>
        </w:tc>
      </w:tr>
      <w:tr w14:paraId="6075D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restart"/>
            <w:shd w:val="clear" w:color="auto" w:fill="auto"/>
            <w:vAlign w:val="center"/>
          </w:tcPr>
          <w:p w14:paraId="075EFD4D">
            <w:pPr>
              <w:adjustRightInd w:val="0"/>
              <w:snapToGrid w:val="0"/>
              <w:jc w:val="center"/>
              <w:rPr>
                <w:rFonts w:ascii="Arial" w:hAnsi="Arial" w:eastAsia="宋体" w:cs="Arial"/>
                <w:sz w:val="21"/>
                <w:szCs w:val="21"/>
              </w:rPr>
            </w:pPr>
            <w:r>
              <w:rPr>
                <w:rFonts w:hint="eastAsia" w:ascii="Arial" w:hAnsi="Arial" w:eastAsia="宋体" w:cs="Arial"/>
                <w:sz w:val="21"/>
                <w:szCs w:val="21"/>
              </w:rPr>
              <w:t>废水</w:t>
            </w:r>
          </w:p>
        </w:tc>
        <w:tc>
          <w:tcPr>
            <w:tcW w:w="444" w:type="pct"/>
            <w:vMerge w:val="restart"/>
            <w:shd w:val="clear" w:color="auto" w:fill="auto"/>
            <w:vAlign w:val="center"/>
          </w:tcPr>
          <w:p w14:paraId="62281583">
            <w:pPr>
              <w:adjustRightInd w:val="0"/>
              <w:snapToGrid w:val="0"/>
              <w:jc w:val="center"/>
              <w:rPr>
                <w:rFonts w:ascii="Arial" w:hAnsi="Arial" w:eastAsia="宋体" w:cs="Arial"/>
                <w:sz w:val="21"/>
                <w:szCs w:val="21"/>
              </w:rPr>
            </w:pPr>
            <w:r>
              <w:rPr>
                <w:rFonts w:hint="eastAsia" w:ascii="Arial" w:hAnsi="Arial" w:eastAsia="宋体" w:cs="Arial"/>
                <w:sz w:val="21"/>
                <w:szCs w:val="21"/>
              </w:rPr>
              <w:t>生活污水</w:t>
            </w:r>
          </w:p>
        </w:tc>
        <w:tc>
          <w:tcPr>
            <w:tcW w:w="610" w:type="pct"/>
            <w:shd w:val="clear" w:color="auto" w:fill="auto"/>
            <w:vAlign w:val="center"/>
          </w:tcPr>
          <w:p w14:paraId="36CE38AD">
            <w:pPr>
              <w:adjustRightInd w:val="0"/>
              <w:snapToGrid w:val="0"/>
              <w:jc w:val="center"/>
              <w:rPr>
                <w:rFonts w:ascii="Arial" w:hAnsi="Arial" w:eastAsia="宋体" w:cs="Arial"/>
                <w:sz w:val="21"/>
                <w:szCs w:val="21"/>
              </w:rPr>
            </w:pPr>
            <w:r>
              <w:rPr>
                <w:rFonts w:hint="eastAsia" w:ascii="Arial" w:hAnsi="Arial" w:eastAsia="宋体" w:cs="Arial"/>
                <w:sz w:val="21"/>
                <w:szCs w:val="21"/>
              </w:rPr>
              <w:t>废水量</w:t>
            </w:r>
          </w:p>
        </w:tc>
        <w:tc>
          <w:tcPr>
            <w:tcW w:w="840" w:type="pct"/>
            <w:shd w:val="clear" w:color="auto" w:fill="auto"/>
            <w:vAlign w:val="center"/>
          </w:tcPr>
          <w:p w14:paraId="206128E1">
            <w:pPr>
              <w:adjustRightInd w:val="0"/>
              <w:snapToGrid w:val="0"/>
              <w:jc w:val="center"/>
              <w:rPr>
                <w:rFonts w:ascii="Arial" w:hAnsi="Arial" w:eastAsia="宋体" w:cs="Arial"/>
                <w:spacing w:val="10"/>
                <w:sz w:val="21"/>
              </w:rPr>
            </w:pPr>
            <w:r>
              <w:rPr>
                <w:rFonts w:hint="eastAsia" w:ascii="Arial" w:hAnsi="Arial" w:eastAsia="宋体" w:cs="Arial"/>
                <w:spacing w:val="10"/>
                <w:sz w:val="21"/>
              </w:rPr>
              <w:t>35244</w:t>
            </w:r>
          </w:p>
        </w:tc>
        <w:tc>
          <w:tcPr>
            <w:tcW w:w="2652" w:type="pct"/>
            <w:vMerge w:val="restart"/>
            <w:shd w:val="clear" w:color="auto" w:fill="auto"/>
            <w:vAlign w:val="center"/>
          </w:tcPr>
          <w:p w14:paraId="4A6A0605">
            <w:pPr>
              <w:adjustRightInd w:val="0"/>
              <w:snapToGrid w:val="0"/>
              <w:jc w:val="left"/>
              <w:rPr>
                <w:rFonts w:ascii="Arial" w:hAnsi="Arial" w:eastAsia="宋体" w:cs="Arial"/>
                <w:sz w:val="21"/>
                <w:szCs w:val="21"/>
              </w:rPr>
            </w:pPr>
            <w:r>
              <w:rPr>
                <w:rFonts w:hint="eastAsia" w:ascii="Arial" w:hAnsi="Arial" w:eastAsia="宋体" w:cs="Arial"/>
                <w:sz w:val="21"/>
                <w:szCs w:val="21"/>
              </w:rPr>
              <w:t>采用地埋式三级化粪池处理后，通过污水管道排入大榄坪污水处理厂处理</w:t>
            </w:r>
          </w:p>
        </w:tc>
      </w:tr>
      <w:tr w14:paraId="298DA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23A6F09E">
            <w:pPr>
              <w:adjustRightInd w:val="0"/>
              <w:snapToGrid w:val="0"/>
              <w:jc w:val="center"/>
              <w:rPr>
                <w:rFonts w:ascii="Arial" w:hAnsi="Arial" w:eastAsia="宋体" w:cs="Arial"/>
                <w:sz w:val="21"/>
                <w:szCs w:val="21"/>
              </w:rPr>
            </w:pPr>
          </w:p>
        </w:tc>
        <w:tc>
          <w:tcPr>
            <w:tcW w:w="444" w:type="pct"/>
            <w:vMerge w:val="continue"/>
            <w:shd w:val="clear" w:color="auto" w:fill="auto"/>
            <w:vAlign w:val="center"/>
          </w:tcPr>
          <w:p w14:paraId="56699691">
            <w:pPr>
              <w:adjustRightInd w:val="0"/>
              <w:snapToGrid w:val="0"/>
              <w:jc w:val="center"/>
              <w:rPr>
                <w:rFonts w:ascii="Arial" w:hAnsi="Arial" w:eastAsia="宋体" w:cs="Arial"/>
                <w:sz w:val="21"/>
                <w:szCs w:val="21"/>
              </w:rPr>
            </w:pPr>
          </w:p>
        </w:tc>
        <w:tc>
          <w:tcPr>
            <w:tcW w:w="610" w:type="pct"/>
            <w:shd w:val="clear" w:color="auto" w:fill="auto"/>
            <w:vAlign w:val="center"/>
          </w:tcPr>
          <w:p w14:paraId="2BC22938">
            <w:pPr>
              <w:pStyle w:val="5"/>
              <w:adjustRightInd w:val="0"/>
              <w:snapToGrid w:val="0"/>
              <w:spacing w:line="240" w:lineRule="auto"/>
              <w:ind w:firstLine="0"/>
              <w:jc w:val="center"/>
              <w:rPr>
                <w:sz w:val="21"/>
              </w:rPr>
            </w:pPr>
            <w:r>
              <w:rPr>
                <w:sz w:val="21"/>
              </w:rPr>
              <w:t>COD</w:t>
            </w:r>
          </w:p>
        </w:tc>
        <w:tc>
          <w:tcPr>
            <w:tcW w:w="840" w:type="pct"/>
            <w:shd w:val="clear" w:color="auto" w:fill="auto"/>
            <w:vAlign w:val="center"/>
          </w:tcPr>
          <w:p w14:paraId="52B41C70">
            <w:pPr>
              <w:adjustRightInd w:val="0"/>
              <w:snapToGrid w:val="0"/>
              <w:jc w:val="center"/>
              <w:rPr>
                <w:rFonts w:ascii="Arial" w:hAnsi="Arial" w:eastAsia="宋体" w:cs="Arial"/>
                <w:spacing w:val="10"/>
                <w:sz w:val="21"/>
              </w:rPr>
            </w:pPr>
            <w:r>
              <w:rPr>
                <w:rFonts w:hint="eastAsia" w:ascii="Arial" w:hAnsi="Arial" w:eastAsia="宋体" w:cs="Arial"/>
                <w:spacing w:val="10"/>
                <w:sz w:val="21"/>
              </w:rPr>
              <w:t>7.0488</w:t>
            </w:r>
          </w:p>
        </w:tc>
        <w:tc>
          <w:tcPr>
            <w:tcW w:w="2652" w:type="pct"/>
            <w:vMerge w:val="continue"/>
            <w:shd w:val="clear" w:color="auto" w:fill="auto"/>
            <w:vAlign w:val="center"/>
          </w:tcPr>
          <w:p w14:paraId="62B3DF62">
            <w:pPr>
              <w:adjustRightInd w:val="0"/>
              <w:snapToGrid w:val="0"/>
              <w:jc w:val="left"/>
              <w:rPr>
                <w:rFonts w:ascii="Arial" w:hAnsi="Arial" w:eastAsia="宋体" w:cs="Arial"/>
                <w:sz w:val="21"/>
                <w:szCs w:val="21"/>
              </w:rPr>
            </w:pPr>
          </w:p>
        </w:tc>
      </w:tr>
      <w:tr w14:paraId="4AB2C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3A177145">
            <w:pPr>
              <w:adjustRightInd w:val="0"/>
              <w:snapToGrid w:val="0"/>
              <w:jc w:val="center"/>
              <w:rPr>
                <w:rFonts w:ascii="Arial" w:hAnsi="Arial" w:eastAsia="宋体" w:cs="Arial"/>
                <w:sz w:val="21"/>
                <w:szCs w:val="21"/>
              </w:rPr>
            </w:pPr>
          </w:p>
        </w:tc>
        <w:tc>
          <w:tcPr>
            <w:tcW w:w="444" w:type="pct"/>
            <w:vMerge w:val="continue"/>
            <w:shd w:val="clear" w:color="auto" w:fill="auto"/>
            <w:vAlign w:val="center"/>
          </w:tcPr>
          <w:p w14:paraId="306139DC">
            <w:pPr>
              <w:adjustRightInd w:val="0"/>
              <w:snapToGrid w:val="0"/>
              <w:jc w:val="center"/>
              <w:rPr>
                <w:rFonts w:ascii="Arial" w:hAnsi="Arial" w:eastAsia="宋体" w:cs="Arial"/>
                <w:sz w:val="21"/>
                <w:szCs w:val="21"/>
              </w:rPr>
            </w:pPr>
          </w:p>
        </w:tc>
        <w:tc>
          <w:tcPr>
            <w:tcW w:w="610" w:type="pct"/>
            <w:shd w:val="clear" w:color="auto" w:fill="auto"/>
            <w:vAlign w:val="center"/>
          </w:tcPr>
          <w:p w14:paraId="1CF585F0">
            <w:pPr>
              <w:pStyle w:val="5"/>
              <w:adjustRightInd w:val="0"/>
              <w:snapToGrid w:val="0"/>
              <w:spacing w:line="240" w:lineRule="auto"/>
              <w:ind w:firstLine="0"/>
              <w:jc w:val="center"/>
              <w:rPr>
                <w:sz w:val="21"/>
                <w:vertAlign w:val="subscript"/>
              </w:rPr>
            </w:pPr>
            <w:r>
              <w:rPr>
                <w:sz w:val="21"/>
              </w:rPr>
              <w:t>BOD</w:t>
            </w:r>
            <w:r>
              <w:rPr>
                <w:rFonts w:hint="eastAsia"/>
                <w:sz w:val="21"/>
                <w:vertAlign w:val="subscript"/>
              </w:rPr>
              <w:t>5</w:t>
            </w:r>
          </w:p>
        </w:tc>
        <w:tc>
          <w:tcPr>
            <w:tcW w:w="840" w:type="pct"/>
            <w:shd w:val="clear" w:color="auto" w:fill="auto"/>
            <w:vAlign w:val="center"/>
          </w:tcPr>
          <w:p w14:paraId="122019F0">
            <w:pPr>
              <w:adjustRightInd w:val="0"/>
              <w:snapToGrid w:val="0"/>
              <w:jc w:val="center"/>
              <w:rPr>
                <w:rFonts w:ascii="Arial" w:hAnsi="Arial" w:eastAsia="宋体" w:cs="Arial"/>
                <w:spacing w:val="10"/>
                <w:sz w:val="21"/>
              </w:rPr>
            </w:pPr>
            <w:r>
              <w:rPr>
                <w:rFonts w:hint="eastAsia" w:ascii="Arial" w:hAnsi="Arial" w:eastAsia="宋体" w:cs="Arial"/>
                <w:spacing w:val="10"/>
                <w:sz w:val="21"/>
              </w:rPr>
              <w:t>2.8195</w:t>
            </w:r>
          </w:p>
        </w:tc>
        <w:tc>
          <w:tcPr>
            <w:tcW w:w="2652" w:type="pct"/>
            <w:vMerge w:val="continue"/>
            <w:shd w:val="clear" w:color="auto" w:fill="auto"/>
            <w:vAlign w:val="center"/>
          </w:tcPr>
          <w:p w14:paraId="748FC62E">
            <w:pPr>
              <w:adjustRightInd w:val="0"/>
              <w:snapToGrid w:val="0"/>
              <w:jc w:val="left"/>
              <w:rPr>
                <w:rFonts w:ascii="Arial" w:hAnsi="Arial" w:eastAsia="宋体" w:cs="Arial"/>
                <w:sz w:val="21"/>
                <w:szCs w:val="21"/>
              </w:rPr>
            </w:pPr>
          </w:p>
        </w:tc>
      </w:tr>
      <w:tr w14:paraId="0DE0C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46F687EA">
            <w:pPr>
              <w:adjustRightInd w:val="0"/>
              <w:snapToGrid w:val="0"/>
              <w:jc w:val="center"/>
              <w:rPr>
                <w:rFonts w:ascii="Arial" w:hAnsi="Arial" w:eastAsia="宋体" w:cs="Arial"/>
                <w:sz w:val="21"/>
                <w:szCs w:val="21"/>
              </w:rPr>
            </w:pPr>
          </w:p>
        </w:tc>
        <w:tc>
          <w:tcPr>
            <w:tcW w:w="444" w:type="pct"/>
            <w:vMerge w:val="continue"/>
            <w:shd w:val="clear" w:color="auto" w:fill="auto"/>
            <w:vAlign w:val="center"/>
          </w:tcPr>
          <w:p w14:paraId="7AC8EB6E">
            <w:pPr>
              <w:adjustRightInd w:val="0"/>
              <w:snapToGrid w:val="0"/>
              <w:jc w:val="center"/>
              <w:rPr>
                <w:rFonts w:ascii="Arial" w:hAnsi="Arial" w:eastAsia="宋体" w:cs="Arial"/>
                <w:sz w:val="21"/>
                <w:szCs w:val="21"/>
              </w:rPr>
            </w:pPr>
          </w:p>
        </w:tc>
        <w:tc>
          <w:tcPr>
            <w:tcW w:w="610" w:type="pct"/>
            <w:shd w:val="clear" w:color="auto" w:fill="auto"/>
            <w:vAlign w:val="center"/>
          </w:tcPr>
          <w:p w14:paraId="08FCC97C">
            <w:pPr>
              <w:pStyle w:val="5"/>
              <w:adjustRightInd w:val="0"/>
              <w:snapToGrid w:val="0"/>
              <w:spacing w:line="240" w:lineRule="auto"/>
              <w:ind w:firstLine="0"/>
              <w:jc w:val="center"/>
              <w:rPr>
                <w:sz w:val="21"/>
              </w:rPr>
            </w:pPr>
            <w:r>
              <w:rPr>
                <w:sz w:val="21"/>
              </w:rPr>
              <w:t>NH</w:t>
            </w:r>
            <w:r>
              <w:rPr>
                <w:sz w:val="21"/>
                <w:vertAlign w:val="subscript"/>
              </w:rPr>
              <w:t>3</w:t>
            </w:r>
            <w:r>
              <w:rPr>
                <w:sz w:val="21"/>
              </w:rPr>
              <w:t>-N</w:t>
            </w:r>
          </w:p>
        </w:tc>
        <w:tc>
          <w:tcPr>
            <w:tcW w:w="840" w:type="pct"/>
            <w:shd w:val="clear" w:color="auto" w:fill="auto"/>
            <w:vAlign w:val="center"/>
          </w:tcPr>
          <w:p w14:paraId="64CA4A86">
            <w:pPr>
              <w:adjustRightInd w:val="0"/>
              <w:snapToGrid w:val="0"/>
              <w:jc w:val="center"/>
              <w:rPr>
                <w:rFonts w:ascii="Arial" w:hAnsi="Arial" w:eastAsia="宋体" w:cs="Arial"/>
                <w:spacing w:val="10"/>
                <w:sz w:val="21"/>
              </w:rPr>
            </w:pPr>
            <w:r>
              <w:rPr>
                <w:rFonts w:hint="eastAsia" w:ascii="Arial" w:hAnsi="Arial" w:eastAsia="宋体" w:cs="Arial"/>
                <w:spacing w:val="10"/>
                <w:sz w:val="21"/>
              </w:rPr>
              <w:t>0.9974</w:t>
            </w:r>
          </w:p>
        </w:tc>
        <w:tc>
          <w:tcPr>
            <w:tcW w:w="2652" w:type="pct"/>
            <w:vMerge w:val="continue"/>
            <w:shd w:val="clear" w:color="auto" w:fill="auto"/>
            <w:vAlign w:val="center"/>
          </w:tcPr>
          <w:p w14:paraId="3F99E486">
            <w:pPr>
              <w:adjustRightInd w:val="0"/>
              <w:snapToGrid w:val="0"/>
              <w:jc w:val="left"/>
              <w:rPr>
                <w:rFonts w:ascii="Arial" w:hAnsi="Arial" w:eastAsia="宋体" w:cs="Arial"/>
                <w:sz w:val="21"/>
                <w:szCs w:val="21"/>
              </w:rPr>
            </w:pPr>
          </w:p>
        </w:tc>
      </w:tr>
      <w:tr w14:paraId="61C0A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0436E71C">
            <w:pPr>
              <w:adjustRightInd w:val="0"/>
              <w:snapToGrid w:val="0"/>
              <w:jc w:val="center"/>
              <w:rPr>
                <w:rFonts w:ascii="Arial" w:hAnsi="Arial" w:eastAsia="宋体" w:cs="Arial"/>
                <w:sz w:val="21"/>
                <w:szCs w:val="21"/>
              </w:rPr>
            </w:pPr>
          </w:p>
        </w:tc>
        <w:tc>
          <w:tcPr>
            <w:tcW w:w="444" w:type="pct"/>
            <w:vMerge w:val="restart"/>
            <w:shd w:val="clear" w:color="auto" w:fill="auto"/>
            <w:vAlign w:val="center"/>
          </w:tcPr>
          <w:p w14:paraId="494CDC56">
            <w:pPr>
              <w:adjustRightInd w:val="0"/>
              <w:snapToGrid w:val="0"/>
              <w:jc w:val="center"/>
              <w:rPr>
                <w:rFonts w:ascii="Arial" w:hAnsi="Arial" w:eastAsia="宋体" w:cs="Arial"/>
                <w:sz w:val="21"/>
                <w:szCs w:val="21"/>
              </w:rPr>
            </w:pPr>
            <w:r>
              <w:rPr>
                <w:rFonts w:hint="eastAsia" w:ascii="Arial" w:hAnsi="Arial" w:eastAsia="宋体" w:cs="Arial"/>
                <w:sz w:val="21"/>
                <w:szCs w:val="21"/>
              </w:rPr>
              <w:t>生产废水</w:t>
            </w:r>
          </w:p>
        </w:tc>
        <w:tc>
          <w:tcPr>
            <w:tcW w:w="610" w:type="pct"/>
            <w:shd w:val="clear" w:color="auto" w:fill="auto"/>
            <w:vAlign w:val="center"/>
          </w:tcPr>
          <w:p w14:paraId="24ADADC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废水量</w:t>
            </w:r>
          </w:p>
        </w:tc>
        <w:tc>
          <w:tcPr>
            <w:tcW w:w="840" w:type="pct"/>
            <w:shd w:val="clear" w:color="auto" w:fill="auto"/>
            <w:vAlign w:val="center"/>
          </w:tcPr>
          <w:p w14:paraId="35F17427">
            <w:pPr>
              <w:adjustRightInd w:val="0"/>
              <w:snapToGrid w:val="0"/>
              <w:jc w:val="center"/>
              <w:rPr>
                <w:rFonts w:ascii="Arial" w:hAnsi="Arial" w:eastAsia="宋体" w:cs="Arial"/>
                <w:sz w:val="21"/>
                <w:szCs w:val="21"/>
              </w:rPr>
            </w:pPr>
            <w:r>
              <w:rPr>
                <w:rFonts w:hint="eastAsia" w:ascii="Arial" w:hAnsi="Arial" w:eastAsia="宋体" w:cs="Arial"/>
                <w:sz w:val="21"/>
                <w:szCs w:val="21"/>
              </w:rPr>
              <w:t>59268</w:t>
            </w:r>
          </w:p>
        </w:tc>
        <w:tc>
          <w:tcPr>
            <w:tcW w:w="2652" w:type="pct"/>
            <w:vMerge w:val="restart"/>
            <w:shd w:val="clear" w:color="auto" w:fill="auto"/>
            <w:vAlign w:val="center"/>
          </w:tcPr>
          <w:p w14:paraId="0B01DE7A">
            <w:pPr>
              <w:adjustRightInd w:val="0"/>
              <w:snapToGrid w:val="0"/>
              <w:jc w:val="left"/>
              <w:rPr>
                <w:rFonts w:ascii="Arial" w:hAnsi="Arial" w:eastAsia="宋体" w:cs="Arial"/>
                <w:sz w:val="21"/>
                <w:szCs w:val="21"/>
              </w:rPr>
            </w:pPr>
            <w:r>
              <w:rPr>
                <w:rFonts w:hint="eastAsia" w:ascii="Arial" w:hAnsi="Arial" w:eastAsia="宋体" w:cs="Arial"/>
                <w:sz w:val="21"/>
                <w:szCs w:val="21"/>
              </w:rPr>
              <w:t>三元前驱体生产线三元洗水经超滤膜、RO反渗透处理后，三元洗水纯水通过管道送至纯水站进一步制纯水回用生产，三元洗水浓水与三元母液一同暂存母液罐，通过管道泵入S7污水处理车间；在S7污水处理车间经脱氨、陶瓷膜过滤处理后，通过管道泵入S8、S9污水处理车间；在S8、S9污水处理车间经4#~12#MVR处理，冷凝水通过管道送至纯水站进一步制纯水回用生产，MVR开路母液通过管道泵入厂区综合污水处理站，在综合污水处理站经臭氧催化氧化处理后排入废水总排口，满足</w:t>
            </w:r>
            <w:r>
              <w:rPr>
                <w:rFonts w:ascii="Arial" w:hAnsi="Arial" w:eastAsia="宋体" w:cs="Arial"/>
                <w:sz w:val="21"/>
                <w:szCs w:val="21"/>
              </w:rPr>
              <w:t>《无机化学工业污染物排放标准》（GB31573-2015）直接排放标准后外排</w:t>
            </w:r>
            <w:r>
              <w:rPr>
                <w:rFonts w:hint="eastAsia" w:ascii="Arial" w:hAnsi="Arial" w:eastAsia="宋体" w:cs="Arial"/>
                <w:sz w:val="21"/>
                <w:szCs w:val="21"/>
              </w:rPr>
              <w:t>。</w:t>
            </w:r>
          </w:p>
        </w:tc>
      </w:tr>
      <w:tr w14:paraId="470CA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37D7CC17">
            <w:pPr>
              <w:adjustRightInd w:val="0"/>
              <w:snapToGrid w:val="0"/>
              <w:jc w:val="center"/>
              <w:rPr>
                <w:rFonts w:ascii="Arial" w:hAnsi="Arial" w:eastAsia="宋体" w:cs="Arial"/>
                <w:sz w:val="21"/>
                <w:szCs w:val="21"/>
              </w:rPr>
            </w:pPr>
          </w:p>
        </w:tc>
        <w:tc>
          <w:tcPr>
            <w:tcW w:w="444" w:type="pct"/>
            <w:vMerge w:val="continue"/>
            <w:shd w:val="clear" w:color="auto" w:fill="auto"/>
            <w:vAlign w:val="center"/>
          </w:tcPr>
          <w:p w14:paraId="6CBD608D">
            <w:pPr>
              <w:adjustRightInd w:val="0"/>
              <w:snapToGrid w:val="0"/>
              <w:jc w:val="center"/>
              <w:rPr>
                <w:rFonts w:ascii="Arial" w:hAnsi="Arial" w:eastAsia="宋体" w:cs="Arial"/>
                <w:sz w:val="21"/>
                <w:szCs w:val="21"/>
              </w:rPr>
            </w:pPr>
          </w:p>
        </w:tc>
        <w:tc>
          <w:tcPr>
            <w:tcW w:w="610" w:type="pct"/>
            <w:shd w:val="clear" w:color="auto" w:fill="auto"/>
            <w:vAlign w:val="center"/>
          </w:tcPr>
          <w:p w14:paraId="382DE50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COD</w:t>
            </w:r>
          </w:p>
        </w:tc>
        <w:tc>
          <w:tcPr>
            <w:tcW w:w="840" w:type="pct"/>
            <w:shd w:val="clear" w:color="auto" w:fill="auto"/>
            <w:vAlign w:val="center"/>
          </w:tcPr>
          <w:p w14:paraId="53B81548">
            <w:pPr>
              <w:adjustRightInd w:val="0"/>
              <w:snapToGrid w:val="0"/>
              <w:jc w:val="center"/>
              <w:rPr>
                <w:rFonts w:ascii="Arial" w:hAnsi="Arial" w:eastAsia="宋体" w:cs="Arial"/>
                <w:sz w:val="21"/>
                <w:szCs w:val="21"/>
              </w:rPr>
            </w:pPr>
            <w:r>
              <w:rPr>
                <w:rFonts w:hint="eastAsia" w:ascii="Arial" w:hAnsi="Arial" w:eastAsia="宋体" w:cs="Arial"/>
                <w:sz w:val="21"/>
                <w:szCs w:val="21"/>
              </w:rPr>
              <w:t>2.2825</w:t>
            </w:r>
          </w:p>
        </w:tc>
        <w:tc>
          <w:tcPr>
            <w:tcW w:w="2652" w:type="pct"/>
            <w:vMerge w:val="continue"/>
            <w:shd w:val="clear" w:color="auto" w:fill="auto"/>
            <w:vAlign w:val="center"/>
          </w:tcPr>
          <w:p w14:paraId="58155FE5">
            <w:pPr>
              <w:adjustRightInd w:val="0"/>
              <w:snapToGrid w:val="0"/>
              <w:jc w:val="left"/>
              <w:rPr>
                <w:rFonts w:ascii="Arial" w:hAnsi="Arial" w:eastAsia="宋体" w:cs="Arial"/>
                <w:sz w:val="21"/>
                <w:szCs w:val="21"/>
              </w:rPr>
            </w:pPr>
          </w:p>
        </w:tc>
      </w:tr>
      <w:tr w14:paraId="3D77E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4C777AD6">
            <w:pPr>
              <w:adjustRightInd w:val="0"/>
              <w:snapToGrid w:val="0"/>
              <w:jc w:val="center"/>
              <w:rPr>
                <w:rFonts w:ascii="Arial" w:hAnsi="Arial" w:eastAsia="宋体" w:cs="Arial"/>
                <w:sz w:val="21"/>
                <w:szCs w:val="21"/>
              </w:rPr>
            </w:pPr>
          </w:p>
        </w:tc>
        <w:tc>
          <w:tcPr>
            <w:tcW w:w="444" w:type="pct"/>
            <w:vMerge w:val="continue"/>
            <w:shd w:val="clear" w:color="auto" w:fill="auto"/>
            <w:vAlign w:val="center"/>
          </w:tcPr>
          <w:p w14:paraId="1EB04560">
            <w:pPr>
              <w:adjustRightInd w:val="0"/>
              <w:snapToGrid w:val="0"/>
              <w:jc w:val="center"/>
              <w:rPr>
                <w:rFonts w:ascii="Arial" w:hAnsi="Arial" w:eastAsia="宋体" w:cs="Arial"/>
                <w:sz w:val="21"/>
                <w:szCs w:val="21"/>
              </w:rPr>
            </w:pPr>
          </w:p>
        </w:tc>
        <w:tc>
          <w:tcPr>
            <w:tcW w:w="610" w:type="pct"/>
            <w:shd w:val="clear" w:color="auto" w:fill="auto"/>
            <w:vAlign w:val="center"/>
          </w:tcPr>
          <w:p w14:paraId="6B62415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氨氮</w:t>
            </w:r>
          </w:p>
        </w:tc>
        <w:tc>
          <w:tcPr>
            <w:tcW w:w="840" w:type="pct"/>
            <w:shd w:val="clear" w:color="auto" w:fill="auto"/>
            <w:vAlign w:val="center"/>
          </w:tcPr>
          <w:p w14:paraId="3371EC7E">
            <w:pPr>
              <w:adjustRightInd w:val="0"/>
              <w:snapToGrid w:val="0"/>
              <w:jc w:val="center"/>
              <w:rPr>
                <w:rFonts w:ascii="Arial" w:hAnsi="Arial" w:eastAsia="宋体" w:cs="Arial"/>
                <w:sz w:val="21"/>
                <w:szCs w:val="21"/>
              </w:rPr>
            </w:pPr>
            <w:r>
              <w:rPr>
                <w:rFonts w:hint="eastAsia" w:ascii="Arial" w:hAnsi="Arial" w:eastAsia="宋体" w:cs="Arial"/>
                <w:sz w:val="21"/>
                <w:szCs w:val="21"/>
              </w:rPr>
              <w:t>0.3144</w:t>
            </w:r>
          </w:p>
        </w:tc>
        <w:tc>
          <w:tcPr>
            <w:tcW w:w="2652" w:type="pct"/>
            <w:vMerge w:val="continue"/>
            <w:shd w:val="clear" w:color="auto" w:fill="auto"/>
            <w:vAlign w:val="center"/>
          </w:tcPr>
          <w:p w14:paraId="348A6CAD">
            <w:pPr>
              <w:adjustRightInd w:val="0"/>
              <w:snapToGrid w:val="0"/>
              <w:jc w:val="left"/>
              <w:rPr>
                <w:rFonts w:ascii="Arial" w:hAnsi="Arial" w:eastAsia="宋体" w:cs="Arial"/>
                <w:sz w:val="21"/>
                <w:szCs w:val="21"/>
              </w:rPr>
            </w:pPr>
          </w:p>
        </w:tc>
      </w:tr>
      <w:tr w14:paraId="08C4D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3BD5FC1B">
            <w:pPr>
              <w:adjustRightInd w:val="0"/>
              <w:snapToGrid w:val="0"/>
              <w:jc w:val="center"/>
              <w:rPr>
                <w:rFonts w:ascii="Arial" w:hAnsi="Arial" w:eastAsia="宋体" w:cs="Arial"/>
                <w:sz w:val="21"/>
                <w:szCs w:val="21"/>
              </w:rPr>
            </w:pPr>
          </w:p>
        </w:tc>
        <w:tc>
          <w:tcPr>
            <w:tcW w:w="444" w:type="pct"/>
            <w:vMerge w:val="continue"/>
            <w:shd w:val="clear" w:color="auto" w:fill="auto"/>
            <w:vAlign w:val="center"/>
          </w:tcPr>
          <w:p w14:paraId="1B357C11">
            <w:pPr>
              <w:adjustRightInd w:val="0"/>
              <w:snapToGrid w:val="0"/>
              <w:jc w:val="center"/>
              <w:rPr>
                <w:rFonts w:ascii="Arial" w:hAnsi="Arial" w:eastAsia="宋体" w:cs="Arial"/>
                <w:sz w:val="21"/>
                <w:szCs w:val="21"/>
              </w:rPr>
            </w:pPr>
          </w:p>
        </w:tc>
        <w:tc>
          <w:tcPr>
            <w:tcW w:w="610" w:type="pct"/>
            <w:shd w:val="clear" w:color="auto" w:fill="auto"/>
            <w:vAlign w:val="center"/>
          </w:tcPr>
          <w:p w14:paraId="6DE54CF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硫酸盐</w:t>
            </w:r>
          </w:p>
        </w:tc>
        <w:tc>
          <w:tcPr>
            <w:tcW w:w="840" w:type="pct"/>
            <w:shd w:val="clear" w:color="auto" w:fill="auto"/>
            <w:vAlign w:val="center"/>
          </w:tcPr>
          <w:p w14:paraId="10C7D504">
            <w:pPr>
              <w:adjustRightInd w:val="0"/>
              <w:snapToGrid w:val="0"/>
              <w:jc w:val="center"/>
              <w:rPr>
                <w:rFonts w:ascii="Arial" w:hAnsi="Arial" w:eastAsia="宋体" w:cs="Arial"/>
                <w:sz w:val="21"/>
                <w:szCs w:val="21"/>
              </w:rPr>
            </w:pPr>
            <w:r>
              <w:rPr>
                <w:rFonts w:hint="eastAsia" w:ascii="Arial" w:hAnsi="Arial" w:eastAsia="宋体" w:cs="Arial"/>
                <w:sz w:val="21"/>
                <w:szCs w:val="21"/>
              </w:rPr>
              <w:t>3021.1622</w:t>
            </w:r>
          </w:p>
        </w:tc>
        <w:tc>
          <w:tcPr>
            <w:tcW w:w="2652" w:type="pct"/>
            <w:vMerge w:val="continue"/>
            <w:shd w:val="clear" w:color="auto" w:fill="auto"/>
            <w:vAlign w:val="center"/>
          </w:tcPr>
          <w:p w14:paraId="5D43B007">
            <w:pPr>
              <w:adjustRightInd w:val="0"/>
              <w:snapToGrid w:val="0"/>
              <w:jc w:val="left"/>
              <w:rPr>
                <w:rFonts w:ascii="Arial" w:hAnsi="Arial" w:eastAsia="宋体" w:cs="Arial"/>
                <w:sz w:val="21"/>
                <w:szCs w:val="21"/>
              </w:rPr>
            </w:pPr>
          </w:p>
        </w:tc>
      </w:tr>
      <w:tr w14:paraId="15F61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01A667AF">
            <w:pPr>
              <w:adjustRightInd w:val="0"/>
              <w:snapToGrid w:val="0"/>
              <w:jc w:val="center"/>
              <w:rPr>
                <w:rFonts w:ascii="Arial" w:hAnsi="Arial" w:eastAsia="宋体" w:cs="Arial"/>
                <w:sz w:val="21"/>
                <w:szCs w:val="21"/>
              </w:rPr>
            </w:pPr>
          </w:p>
        </w:tc>
        <w:tc>
          <w:tcPr>
            <w:tcW w:w="444" w:type="pct"/>
            <w:vMerge w:val="continue"/>
            <w:shd w:val="clear" w:color="auto" w:fill="auto"/>
            <w:vAlign w:val="center"/>
          </w:tcPr>
          <w:p w14:paraId="67E456ED">
            <w:pPr>
              <w:adjustRightInd w:val="0"/>
              <w:snapToGrid w:val="0"/>
              <w:jc w:val="center"/>
              <w:rPr>
                <w:rFonts w:ascii="Arial" w:hAnsi="Arial" w:eastAsia="宋体" w:cs="Arial"/>
                <w:sz w:val="21"/>
                <w:szCs w:val="21"/>
              </w:rPr>
            </w:pPr>
          </w:p>
        </w:tc>
        <w:tc>
          <w:tcPr>
            <w:tcW w:w="610" w:type="pct"/>
            <w:shd w:val="clear" w:color="auto" w:fill="auto"/>
            <w:vAlign w:val="center"/>
          </w:tcPr>
          <w:p w14:paraId="3DE79E5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镍</w:t>
            </w:r>
          </w:p>
        </w:tc>
        <w:tc>
          <w:tcPr>
            <w:tcW w:w="840" w:type="pct"/>
            <w:shd w:val="clear" w:color="auto" w:fill="auto"/>
            <w:vAlign w:val="center"/>
          </w:tcPr>
          <w:p w14:paraId="79B21F2F">
            <w:pPr>
              <w:adjustRightInd w:val="0"/>
              <w:snapToGrid w:val="0"/>
              <w:jc w:val="center"/>
              <w:rPr>
                <w:rFonts w:ascii="Arial" w:hAnsi="Arial" w:eastAsia="宋体" w:cs="Arial"/>
                <w:sz w:val="21"/>
                <w:szCs w:val="21"/>
              </w:rPr>
            </w:pPr>
            <w:r>
              <w:rPr>
                <w:rFonts w:hint="eastAsia" w:ascii="Arial" w:hAnsi="Arial" w:eastAsia="宋体" w:cs="Arial"/>
                <w:sz w:val="21"/>
                <w:szCs w:val="21"/>
              </w:rPr>
              <w:t>0.0279</w:t>
            </w:r>
          </w:p>
        </w:tc>
        <w:tc>
          <w:tcPr>
            <w:tcW w:w="2652" w:type="pct"/>
            <w:vMerge w:val="continue"/>
            <w:shd w:val="clear" w:color="auto" w:fill="auto"/>
            <w:vAlign w:val="center"/>
          </w:tcPr>
          <w:p w14:paraId="41633507">
            <w:pPr>
              <w:adjustRightInd w:val="0"/>
              <w:snapToGrid w:val="0"/>
              <w:jc w:val="left"/>
              <w:rPr>
                <w:rFonts w:ascii="Arial" w:hAnsi="Arial" w:eastAsia="宋体" w:cs="Arial"/>
                <w:sz w:val="21"/>
                <w:szCs w:val="21"/>
              </w:rPr>
            </w:pPr>
          </w:p>
        </w:tc>
      </w:tr>
      <w:tr w14:paraId="05445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1CE4C836">
            <w:pPr>
              <w:adjustRightInd w:val="0"/>
              <w:snapToGrid w:val="0"/>
              <w:jc w:val="center"/>
              <w:rPr>
                <w:rFonts w:ascii="Arial" w:hAnsi="Arial" w:eastAsia="宋体" w:cs="Arial"/>
                <w:sz w:val="21"/>
                <w:szCs w:val="21"/>
              </w:rPr>
            </w:pPr>
          </w:p>
        </w:tc>
        <w:tc>
          <w:tcPr>
            <w:tcW w:w="444" w:type="pct"/>
            <w:vMerge w:val="continue"/>
            <w:shd w:val="clear" w:color="auto" w:fill="auto"/>
            <w:vAlign w:val="center"/>
          </w:tcPr>
          <w:p w14:paraId="0FE17A70">
            <w:pPr>
              <w:adjustRightInd w:val="0"/>
              <w:snapToGrid w:val="0"/>
              <w:jc w:val="center"/>
              <w:rPr>
                <w:rFonts w:ascii="Arial" w:hAnsi="Arial" w:eastAsia="宋体" w:cs="Arial"/>
                <w:sz w:val="21"/>
                <w:szCs w:val="21"/>
              </w:rPr>
            </w:pPr>
          </w:p>
        </w:tc>
        <w:tc>
          <w:tcPr>
            <w:tcW w:w="610" w:type="pct"/>
            <w:shd w:val="clear" w:color="auto" w:fill="auto"/>
            <w:vAlign w:val="center"/>
          </w:tcPr>
          <w:p w14:paraId="5822E4B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钴</w:t>
            </w:r>
          </w:p>
        </w:tc>
        <w:tc>
          <w:tcPr>
            <w:tcW w:w="840" w:type="pct"/>
            <w:shd w:val="clear" w:color="auto" w:fill="auto"/>
            <w:vAlign w:val="center"/>
          </w:tcPr>
          <w:p w14:paraId="4DAD2C01">
            <w:pPr>
              <w:adjustRightInd w:val="0"/>
              <w:snapToGrid w:val="0"/>
              <w:jc w:val="center"/>
              <w:rPr>
                <w:rFonts w:ascii="Arial" w:hAnsi="Arial" w:eastAsia="宋体" w:cs="Arial"/>
                <w:sz w:val="21"/>
                <w:szCs w:val="21"/>
              </w:rPr>
            </w:pPr>
            <w:r>
              <w:rPr>
                <w:rFonts w:hint="eastAsia" w:ascii="Arial" w:hAnsi="Arial" w:eastAsia="宋体" w:cs="Arial"/>
                <w:sz w:val="21"/>
                <w:szCs w:val="21"/>
              </w:rPr>
              <w:t>0.0023</w:t>
            </w:r>
          </w:p>
        </w:tc>
        <w:tc>
          <w:tcPr>
            <w:tcW w:w="2652" w:type="pct"/>
            <w:vMerge w:val="continue"/>
            <w:shd w:val="clear" w:color="auto" w:fill="auto"/>
            <w:vAlign w:val="center"/>
          </w:tcPr>
          <w:p w14:paraId="077DEEF2">
            <w:pPr>
              <w:adjustRightInd w:val="0"/>
              <w:snapToGrid w:val="0"/>
              <w:jc w:val="left"/>
              <w:rPr>
                <w:rFonts w:ascii="Arial" w:hAnsi="Arial" w:eastAsia="宋体" w:cs="Arial"/>
                <w:sz w:val="21"/>
                <w:szCs w:val="21"/>
              </w:rPr>
            </w:pPr>
          </w:p>
        </w:tc>
      </w:tr>
      <w:tr w14:paraId="3CD02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2B0EBF0E">
            <w:pPr>
              <w:adjustRightInd w:val="0"/>
              <w:snapToGrid w:val="0"/>
              <w:jc w:val="center"/>
              <w:rPr>
                <w:rFonts w:ascii="Arial" w:hAnsi="Arial" w:eastAsia="宋体" w:cs="Arial"/>
                <w:sz w:val="21"/>
                <w:szCs w:val="21"/>
              </w:rPr>
            </w:pPr>
          </w:p>
        </w:tc>
        <w:tc>
          <w:tcPr>
            <w:tcW w:w="444" w:type="pct"/>
            <w:vMerge w:val="continue"/>
            <w:shd w:val="clear" w:color="auto" w:fill="auto"/>
            <w:vAlign w:val="center"/>
          </w:tcPr>
          <w:p w14:paraId="6FC454B9">
            <w:pPr>
              <w:adjustRightInd w:val="0"/>
              <w:snapToGrid w:val="0"/>
              <w:jc w:val="center"/>
              <w:rPr>
                <w:rFonts w:ascii="Arial" w:hAnsi="Arial" w:eastAsia="宋体" w:cs="Arial"/>
                <w:sz w:val="21"/>
                <w:szCs w:val="21"/>
              </w:rPr>
            </w:pPr>
          </w:p>
        </w:tc>
        <w:tc>
          <w:tcPr>
            <w:tcW w:w="610" w:type="pct"/>
            <w:shd w:val="clear" w:color="auto" w:fill="auto"/>
            <w:vAlign w:val="center"/>
          </w:tcPr>
          <w:p w14:paraId="59F338D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锰</w:t>
            </w:r>
          </w:p>
        </w:tc>
        <w:tc>
          <w:tcPr>
            <w:tcW w:w="840" w:type="pct"/>
            <w:shd w:val="clear" w:color="auto" w:fill="auto"/>
            <w:vAlign w:val="center"/>
          </w:tcPr>
          <w:p w14:paraId="62D85EDA">
            <w:pPr>
              <w:adjustRightInd w:val="0"/>
              <w:snapToGrid w:val="0"/>
              <w:jc w:val="center"/>
              <w:rPr>
                <w:rFonts w:ascii="Arial" w:hAnsi="Arial" w:eastAsia="宋体" w:cs="Arial"/>
                <w:sz w:val="21"/>
                <w:szCs w:val="21"/>
              </w:rPr>
            </w:pPr>
            <w:r>
              <w:rPr>
                <w:rFonts w:hint="eastAsia" w:ascii="Arial" w:hAnsi="Arial" w:eastAsia="宋体" w:cs="Arial"/>
                <w:sz w:val="21"/>
                <w:szCs w:val="21"/>
              </w:rPr>
              <w:t>0.0024</w:t>
            </w:r>
          </w:p>
        </w:tc>
        <w:tc>
          <w:tcPr>
            <w:tcW w:w="2652" w:type="pct"/>
            <w:vMerge w:val="continue"/>
            <w:shd w:val="clear" w:color="auto" w:fill="auto"/>
            <w:vAlign w:val="center"/>
          </w:tcPr>
          <w:p w14:paraId="21BBCDBA">
            <w:pPr>
              <w:adjustRightInd w:val="0"/>
              <w:snapToGrid w:val="0"/>
              <w:jc w:val="left"/>
              <w:rPr>
                <w:rFonts w:ascii="Arial" w:hAnsi="Arial" w:eastAsia="宋体" w:cs="Arial"/>
                <w:sz w:val="21"/>
                <w:szCs w:val="21"/>
              </w:rPr>
            </w:pPr>
          </w:p>
        </w:tc>
      </w:tr>
      <w:tr w14:paraId="14585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restart"/>
            <w:shd w:val="clear" w:color="auto" w:fill="auto"/>
            <w:vAlign w:val="center"/>
          </w:tcPr>
          <w:p w14:paraId="1983FF52">
            <w:pPr>
              <w:adjustRightInd w:val="0"/>
              <w:snapToGrid w:val="0"/>
              <w:jc w:val="center"/>
              <w:rPr>
                <w:rFonts w:ascii="Arial" w:hAnsi="Arial" w:eastAsia="宋体" w:cs="Arial"/>
                <w:sz w:val="21"/>
                <w:szCs w:val="21"/>
              </w:rPr>
            </w:pPr>
            <w:r>
              <w:rPr>
                <w:rFonts w:hint="eastAsia" w:ascii="Arial" w:hAnsi="Arial" w:eastAsia="宋体" w:cs="Arial"/>
                <w:sz w:val="21"/>
                <w:szCs w:val="21"/>
              </w:rPr>
              <w:t>固体废物</w:t>
            </w:r>
          </w:p>
        </w:tc>
        <w:tc>
          <w:tcPr>
            <w:tcW w:w="1054" w:type="pct"/>
            <w:gridSpan w:val="2"/>
            <w:shd w:val="clear" w:color="auto" w:fill="auto"/>
            <w:vAlign w:val="center"/>
          </w:tcPr>
          <w:p w14:paraId="77E6A8A7">
            <w:pPr>
              <w:adjustRightInd w:val="0"/>
              <w:snapToGrid w:val="0"/>
              <w:jc w:val="center"/>
              <w:rPr>
                <w:rFonts w:ascii="Arial" w:hAnsi="Arial" w:eastAsia="宋体" w:cs="Arial"/>
                <w:sz w:val="21"/>
                <w:szCs w:val="21"/>
              </w:rPr>
            </w:pPr>
            <w:r>
              <w:rPr>
                <w:rFonts w:hint="eastAsia" w:ascii="Arial" w:hAnsi="Arial" w:eastAsia="宋体" w:cs="Arial"/>
                <w:sz w:val="21"/>
                <w:szCs w:val="21"/>
              </w:rPr>
              <w:t>危险废物</w:t>
            </w:r>
          </w:p>
        </w:tc>
        <w:tc>
          <w:tcPr>
            <w:tcW w:w="840" w:type="pct"/>
            <w:shd w:val="clear" w:color="auto" w:fill="auto"/>
            <w:vAlign w:val="center"/>
          </w:tcPr>
          <w:p w14:paraId="66E113E3">
            <w:pPr>
              <w:adjustRightInd w:val="0"/>
              <w:snapToGrid w:val="0"/>
              <w:jc w:val="center"/>
              <w:rPr>
                <w:rFonts w:ascii="Arial" w:hAnsi="Arial" w:eastAsia="宋体" w:cs="Arial"/>
                <w:sz w:val="21"/>
                <w:szCs w:val="21"/>
              </w:rPr>
            </w:pPr>
            <w:r>
              <w:rPr>
                <w:rFonts w:hint="eastAsia" w:ascii="Arial" w:hAnsi="Arial" w:eastAsia="宋体" w:cs="Arial"/>
                <w:sz w:val="21"/>
                <w:szCs w:val="21"/>
              </w:rPr>
              <w:t>6.5</w:t>
            </w:r>
          </w:p>
        </w:tc>
        <w:tc>
          <w:tcPr>
            <w:tcW w:w="2652" w:type="pct"/>
            <w:shd w:val="clear" w:color="auto" w:fill="auto"/>
            <w:vAlign w:val="center"/>
          </w:tcPr>
          <w:p w14:paraId="63C4EA2B">
            <w:pPr>
              <w:adjustRightInd w:val="0"/>
              <w:snapToGrid w:val="0"/>
              <w:jc w:val="left"/>
              <w:rPr>
                <w:rFonts w:ascii="Arial" w:hAnsi="Arial" w:eastAsia="宋体" w:cs="Arial"/>
                <w:sz w:val="21"/>
                <w:szCs w:val="21"/>
              </w:rPr>
            </w:pPr>
            <w:r>
              <w:rPr>
                <w:rFonts w:hint="eastAsia" w:ascii="Arial" w:hAnsi="Arial" w:eastAsia="宋体" w:cs="Arial"/>
                <w:sz w:val="21"/>
                <w:szCs w:val="21"/>
              </w:rPr>
              <w:t>已按照GB18597-2023建设了800m</w:t>
            </w:r>
            <w:r>
              <w:rPr>
                <w:rFonts w:hint="eastAsia" w:ascii="Arial" w:hAnsi="Arial" w:eastAsia="宋体" w:cs="Arial"/>
                <w:sz w:val="21"/>
                <w:szCs w:val="21"/>
                <w:vertAlign w:val="superscript"/>
              </w:rPr>
              <w:t>2</w:t>
            </w:r>
            <w:r>
              <w:rPr>
                <w:rFonts w:hint="eastAsia" w:ascii="Arial" w:hAnsi="Arial" w:eastAsia="宋体" w:cs="Arial"/>
                <w:sz w:val="21"/>
                <w:szCs w:val="21"/>
              </w:rPr>
              <w:t>危险废物暂存间，设有1套活性炭吸附装置处理暂存间废气。废润滑油危废间暂存，定期委托具有相应资质单位回收处理。</w:t>
            </w:r>
          </w:p>
        </w:tc>
      </w:tr>
      <w:tr w14:paraId="7FC0F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1B838F53">
            <w:pPr>
              <w:adjustRightInd w:val="0"/>
              <w:snapToGrid w:val="0"/>
              <w:jc w:val="center"/>
              <w:rPr>
                <w:rFonts w:ascii="Arial" w:hAnsi="Arial" w:eastAsia="宋体" w:cs="Arial"/>
                <w:sz w:val="21"/>
                <w:szCs w:val="21"/>
              </w:rPr>
            </w:pPr>
          </w:p>
        </w:tc>
        <w:tc>
          <w:tcPr>
            <w:tcW w:w="1054" w:type="pct"/>
            <w:gridSpan w:val="2"/>
            <w:shd w:val="clear" w:color="auto" w:fill="auto"/>
            <w:vAlign w:val="center"/>
          </w:tcPr>
          <w:p w14:paraId="211E29E3">
            <w:pPr>
              <w:adjustRightInd w:val="0"/>
              <w:snapToGrid w:val="0"/>
              <w:jc w:val="center"/>
              <w:rPr>
                <w:rFonts w:ascii="Arial" w:hAnsi="Arial" w:eastAsia="宋体" w:cs="Arial"/>
                <w:sz w:val="21"/>
                <w:szCs w:val="21"/>
              </w:rPr>
            </w:pPr>
            <w:r>
              <w:rPr>
                <w:rFonts w:hint="eastAsia" w:ascii="Arial" w:hAnsi="Arial" w:eastAsia="宋体" w:cs="Arial"/>
                <w:sz w:val="21"/>
                <w:szCs w:val="21"/>
              </w:rPr>
              <w:t>一般固体废物</w:t>
            </w:r>
          </w:p>
        </w:tc>
        <w:tc>
          <w:tcPr>
            <w:tcW w:w="840" w:type="pct"/>
            <w:shd w:val="clear" w:color="auto" w:fill="auto"/>
            <w:vAlign w:val="center"/>
          </w:tcPr>
          <w:p w14:paraId="1D39AEED">
            <w:pPr>
              <w:adjustRightInd w:val="0"/>
              <w:snapToGrid w:val="0"/>
              <w:jc w:val="center"/>
              <w:rPr>
                <w:rFonts w:ascii="Arial" w:hAnsi="Arial" w:eastAsia="宋体" w:cs="Arial"/>
                <w:sz w:val="21"/>
                <w:szCs w:val="21"/>
              </w:rPr>
            </w:pPr>
            <w:r>
              <w:rPr>
                <w:rFonts w:hint="eastAsia" w:ascii="Arial" w:hAnsi="Arial" w:eastAsia="宋体" w:cs="Arial"/>
                <w:sz w:val="21"/>
                <w:szCs w:val="21"/>
              </w:rPr>
              <w:t>10.5</w:t>
            </w:r>
          </w:p>
        </w:tc>
        <w:tc>
          <w:tcPr>
            <w:tcW w:w="2652" w:type="pct"/>
            <w:shd w:val="clear" w:color="auto" w:fill="auto"/>
            <w:vAlign w:val="center"/>
          </w:tcPr>
          <w:p w14:paraId="48F87C2F">
            <w:pPr>
              <w:adjustRightInd w:val="0"/>
              <w:snapToGrid w:val="0"/>
              <w:jc w:val="left"/>
              <w:rPr>
                <w:rFonts w:ascii="Arial" w:hAnsi="Arial" w:eastAsia="宋体" w:cs="Arial"/>
                <w:sz w:val="21"/>
                <w:szCs w:val="21"/>
              </w:rPr>
            </w:pPr>
            <w:r>
              <w:rPr>
                <w:rFonts w:hint="eastAsia" w:ascii="Arial" w:hAnsi="Arial" w:eastAsia="宋体" w:cs="Arial"/>
                <w:sz w:val="21"/>
                <w:szCs w:val="21"/>
              </w:rPr>
              <w:t>废纳滤膜、反渗透膜、未沾染危险化学品或危险废物废包装袋等外售综合利用</w:t>
            </w:r>
          </w:p>
        </w:tc>
      </w:tr>
      <w:tr w14:paraId="774A8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4" w:type="pct"/>
            <w:vMerge w:val="continue"/>
            <w:shd w:val="clear" w:color="auto" w:fill="auto"/>
            <w:vAlign w:val="center"/>
          </w:tcPr>
          <w:p w14:paraId="2917C4F9">
            <w:pPr>
              <w:adjustRightInd w:val="0"/>
              <w:snapToGrid w:val="0"/>
              <w:jc w:val="center"/>
              <w:rPr>
                <w:rFonts w:ascii="Arial" w:hAnsi="Arial" w:eastAsia="宋体" w:cs="Arial"/>
                <w:sz w:val="21"/>
                <w:szCs w:val="21"/>
              </w:rPr>
            </w:pPr>
          </w:p>
        </w:tc>
        <w:tc>
          <w:tcPr>
            <w:tcW w:w="1054" w:type="pct"/>
            <w:gridSpan w:val="2"/>
            <w:shd w:val="clear" w:color="auto" w:fill="auto"/>
            <w:vAlign w:val="center"/>
          </w:tcPr>
          <w:p w14:paraId="0FEC4F04">
            <w:pPr>
              <w:adjustRightInd w:val="0"/>
              <w:snapToGrid w:val="0"/>
              <w:jc w:val="center"/>
              <w:rPr>
                <w:rFonts w:ascii="Arial" w:hAnsi="Arial" w:eastAsia="宋体" w:cs="Arial"/>
                <w:sz w:val="21"/>
                <w:szCs w:val="21"/>
              </w:rPr>
            </w:pPr>
            <w:r>
              <w:rPr>
                <w:rFonts w:hint="eastAsia" w:ascii="Arial" w:hAnsi="Arial" w:eastAsia="宋体" w:cs="Arial"/>
                <w:sz w:val="21"/>
                <w:szCs w:val="21"/>
              </w:rPr>
              <w:t>生活垃圾</w:t>
            </w:r>
          </w:p>
        </w:tc>
        <w:tc>
          <w:tcPr>
            <w:tcW w:w="840" w:type="pct"/>
            <w:shd w:val="clear" w:color="auto" w:fill="auto"/>
            <w:vAlign w:val="center"/>
          </w:tcPr>
          <w:p w14:paraId="779FF5A9">
            <w:pPr>
              <w:adjustRightInd w:val="0"/>
              <w:snapToGrid w:val="0"/>
              <w:jc w:val="center"/>
              <w:rPr>
                <w:rFonts w:ascii="Arial" w:hAnsi="Arial" w:eastAsia="宋体" w:cs="Arial"/>
                <w:sz w:val="21"/>
                <w:szCs w:val="21"/>
              </w:rPr>
            </w:pPr>
            <w:r>
              <w:rPr>
                <w:rFonts w:hint="eastAsia" w:ascii="Arial" w:hAnsi="Arial" w:eastAsia="宋体" w:cs="Arial"/>
                <w:sz w:val="21"/>
                <w:szCs w:val="21"/>
              </w:rPr>
              <w:t>165</w:t>
            </w:r>
          </w:p>
        </w:tc>
        <w:tc>
          <w:tcPr>
            <w:tcW w:w="2652" w:type="pct"/>
            <w:shd w:val="clear" w:color="auto" w:fill="auto"/>
            <w:vAlign w:val="center"/>
          </w:tcPr>
          <w:p w14:paraId="4EA050DA">
            <w:pPr>
              <w:adjustRightInd w:val="0"/>
              <w:snapToGrid w:val="0"/>
              <w:jc w:val="left"/>
              <w:rPr>
                <w:rFonts w:ascii="Arial" w:hAnsi="Arial" w:eastAsia="宋体" w:cs="Arial"/>
                <w:sz w:val="21"/>
                <w:szCs w:val="21"/>
              </w:rPr>
            </w:pPr>
            <w:r>
              <w:rPr>
                <w:rFonts w:hint="eastAsia" w:ascii="Arial" w:hAnsi="Arial" w:eastAsia="宋体" w:cs="Arial"/>
                <w:sz w:val="21"/>
                <w:szCs w:val="21"/>
              </w:rPr>
              <w:t>委托环卫部门处置</w:t>
            </w:r>
          </w:p>
        </w:tc>
      </w:tr>
    </w:tbl>
    <w:p w14:paraId="01951F58">
      <w:pPr>
        <w:keepNext/>
        <w:numPr>
          <w:ilvl w:val="0"/>
          <w:numId w:val="12"/>
        </w:numPr>
        <w:spacing w:line="480" w:lineRule="exact"/>
        <w:ind w:left="0" w:firstLine="0"/>
        <w:jc w:val="center"/>
        <w:outlineLvl w:val="5"/>
        <w:rPr>
          <w:rFonts w:ascii="Arial" w:hAnsi="Arial" w:eastAsia="宋体" w:cs="Arial"/>
          <w:b/>
          <w:spacing w:val="10"/>
          <w:sz w:val="24"/>
        </w:rPr>
      </w:pPr>
      <w:r>
        <w:rPr>
          <w:rFonts w:hint="eastAsia" w:ascii="Arial" w:hAnsi="Arial" w:eastAsia="宋体" w:cs="Arial"/>
          <w:b/>
          <w:spacing w:val="10"/>
          <w:sz w:val="24"/>
        </w:rPr>
        <w:t>三元前驱体主要设备噪声源强</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0"/>
        <w:gridCol w:w="2846"/>
        <w:gridCol w:w="1150"/>
        <w:gridCol w:w="1887"/>
        <w:gridCol w:w="2255"/>
      </w:tblGrid>
      <w:tr w14:paraId="19F8C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noWrap/>
            <w:vAlign w:val="center"/>
          </w:tcPr>
          <w:p w14:paraId="50E02A57">
            <w:pPr>
              <w:widowControl/>
              <w:adjustRightInd w:val="0"/>
              <w:snapToGrid w:val="0"/>
              <w:jc w:val="center"/>
              <w:textAlignment w:val="center"/>
              <w:rPr>
                <w:rFonts w:ascii="Arial" w:hAnsi="Arial" w:eastAsia="宋体" w:cs="Arial"/>
                <w:bCs/>
                <w:sz w:val="21"/>
                <w:szCs w:val="21"/>
              </w:rPr>
            </w:pPr>
            <w:r>
              <w:rPr>
                <w:rFonts w:hint="eastAsia" w:ascii="Arial" w:hAnsi="Arial" w:eastAsia="宋体" w:cs="Arial"/>
                <w:bCs/>
                <w:sz w:val="21"/>
                <w:szCs w:val="21"/>
              </w:rPr>
              <w:t>序号</w:t>
            </w:r>
          </w:p>
        </w:tc>
        <w:tc>
          <w:tcPr>
            <w:tcW w:w="1532" w:type="pct"/>
            <w:noWrap/>
            <w:vAlign w:val="center"/>
          </w:tcPr>
          <w:p w14:paraId="42C52E5D">
            <w:pPr>
              <w:widowControl/>
              <w:adjustRightInd w:val="0"/>
              <w:snapToGrid w:val="0"/>
              <w:jc w:val="center"/>
              <w:textAlignment w:val="center"/>
              <w:rPr>
                <w:rFonts w:ascii="Arial" w:hAnsi="Arial" w:eastAsia="宋体" w:cs="Arial"/>
                <w:bCs/>
                <w:sz w:val="21"/>
                <w:szCs w:val="21"/>
              </w:rPr>
            </w:pPr>
            <w:r>
              <w:rPr>
                <w:rFonts w:hint="eastAsia" w:ascii="Arial" w:hAnsi="Arial" w:eastAsia="宋体" w:cs="Arial"/>
                <w:bCs/>
                <w:sz w:val="21"/>
                <w:szCs w:val="21"/>
              </w:rPr>
              <w:t>设备名称</w:t>
            </w:r>
          </w:p>
        </w:tc>
        <w:tc>
          <w:tcPr>
            <w:tcW w:w="619" w:type="pct"/>
            <w:noWrap/>
            <w:vAlign w:val="center"/>
          </w:tcPr>
          <w:p w14:paraId="2190742A">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bCs/>
                <w:kern w:val="0"/>
                <w:sz w:val="21"/>
                <w:szCs w:val="21"/>
                <w:lang w:bidi="ar"/>
              </w:rPr>
              <w:t>数量</w:t>
            </w:r>
          </w:p>
        </w:tc>
        <w:tc>
          <w:tcPr>
            <w:tcW w:w="1016" w:type="pct"/>
            <w:vAlign w:val="center"/>
          </w:tcPr>
          <w:p w14:paraId="3DC52296">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bCs/>
                <w:kern w:val="0"/>
                <w:sz w:val="21"/>
                <w:szCs w:val="21"/>
                <w:lang w:bidi="ar"/>
              </w:rPr>
              <w:t>治理措施</w:t>
            </w:r>
          </w:p>
        </w:tc>
        <w:tc>
          <w:tcPr>
            <w:tcW w:w="1214" w:type="pct"/>
            <w:vAlign w:val="center"/>
          </w:tcPr>
          <w:p w14:paraId="4ECC983A">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sz w:val="21"/>
                <w:szCs w:val="24"/>
              </w:rPr>
              <w:t>降噪后噪声值</w:t>
            </w:r>
            <w:r>
              <w:rPr>
                <w:rFonts w:ascii="Arial" w:hAnsi="Arial" w:eastAsia="宋体" w:cs="Arial"/>
                <w:sz w:val="21"/>
                <w:szCs w:val="24"/>
                <w:lang w:val="zh-CN"/>
              </w:rPr>
              <w:t>dB(A)</w:t>
            </w:r>
          </w:p>
        </w:tc>
      </w:tr>
      <w:tr w14:paraId="09FD2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vAlign w:val="center"/>
          </w:tcPr>
          <w:p w14:paraId="788528DD">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w:t>
            </w:r>
          </w:p>
        </w:tc>
        <w:tc>
          <w:tcPr>
            <w:tcW w:w="1532" w:type="pct"/>
            <w:vAlign w:val="center"/>
          </w:tcPr>
          <w:p w14:paraId="277D9F72">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机泵</w:t>
            </w:r>
          </w:p>
        </w:tc>
        <w:tc>
          <w:tcPr>
            <w:tcW w:w="619" w:type="pct"/>
            <w:vAlign w:val="center"/>
          </w:tcPr>
          <w:p w14:paraId="195AA751">
            <w:pPr>
              <w:adjustRightInd w:val="0"/>
              <w:snapToGrid w:val="0"/>
              <w:jc w:val="center"/>
              <w:rPr>
                <w:rFonts w:ascii="Arial" w:hAnsi="Arial" w:eastAsia="宋体" w:cs="Arial"/>
                <w:sz w:val="21"/>
                <w:szCs w:val="22"/>
              </w:rPr>
            </w:pPr>
            <w:r>
              <w:rPr>
                <w:rFonts w:hint="eastAsia" w:ascii="Arial" w:hAnsi="Arial" w:eastAsia="宋体" w:cs="Arial"/>
                <w:sz w:val="21"/>
                <w:szCs w:val="22"/>
              </w:rPr>
              <w:t>900</w:t>
            </w:r>
          </w:p>
        </w:tc>
        <w:tc>
          <w:tcPr>
            <w:tcW w:w="1016" w:type="pct"/>
            <w:vMerge w:val="restart"/>
            <w:vAlign w:val="center"/>
          </w:tcPr>
          <w:p w14:paraId="45D18C2B">
            <w:pPr>
              <w:topLinePunct/>
              <w:autoSpaceDE w:val="0"/>
              <w:autoSpaceDN w:val="0"/>
              <w:adjustRightInd w:val="0"/>
              <w:snapToGrid w:val="0"/>
              <w:jc w:val="center"/>
              <w:rPr>
                <w:rFonts w:ascii="Arial" w:hAnsi="Arial" w:eastAsia="宋体" w:cs="Arial"/>
                <w:kern w:val="0"/>
                <w:sz w:val="21"/>
                <w:szCs w:val="21"/>
                <w:lang w:bidi="ar"/>
              </w:rPr>
            </w:pPr>
            <w:r>
              <w:rPr>
                <w:rFonts w:ascii="Arial" w:hAnsi="Arial" w:eastAsia="宋体" w:cs="Arial"/>
                <w:kern w:val="0"/>
                <w:sz w:val="21"/>
                <w:szCs w:val="21"/>
                <w:lang w:bidi="ar"/>
              </w:rPr>
              <w:t>基础减振</w:t>
            </w:r>
            <w:r>
              <w:rPr>
                <w:rFonts w:hint="eastAsia" w:ascii="Arial" w:hAnsi="Arial" w:eastAsia="宋体" w:cs="Arial"/>
                <w:kern w:val="0"/>
                <w:sz w:val="21"/>
                <w:szCs w:val="21"/>
                <w:lang w:bidi="ar"/>
              </w:rPr>
              <w:t>、</w:t>
            </w:r>
          </w:p>
          <w:p w14:paraId="12FB1AE0">
            <w:pPr>
              <w:topLinePunct/>
              <w:autoSpaceDE w:val="0"/>
              <w:autoSpaceDN w:val="0"/>
              <w:adjustRightInd w:val="0"/>
              <w:snapToGrid w:val="0"/>
              <w:jc w:val="center"/>
              <w:rPr>
                <w:rFonts w:ascii="Arial" w:hAnsi="Arial" w:eastAsia="宋体" w:cs="Arial"/>
                <w:sz w:val="21"/>
                <w:szCs w:val="24"/>
                <w:lang w:val="zh-CN"/>
              </w:rPr>
            </w:pPr>
            <w:r>
              <w:rPr>
                <w:rFonts w:ascii="Arial" w:hAnsi="Arial" w:eastAsia="宋体" w:cs="Arial"/>
                <w:kern w:val="0"/>
                <w:sz w:val="21"/>
                <w:szCs w:val="21"/>
                <w:lang w:bidi="ar"/>
              </w:rPr>
              <w:t>厂房隔声</w:t>
            </w:r>
          </w:p>
        </w:tc>
        <w:tc>
          <w:tcPr>
            <w:tcW w:w="1214" w:type="pct"/>
            <w:vAlign w:val="center"/>
          </w:tcPr>
          <w:p w14:paraId="4642C144">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r>
      <w:tr w14:paraId="4C595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vAlign w:val="center"/>
          </w:tcPr>
          <w:p w14:paraId="50168ED7">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2</w:t>
            </w:r>
          </w:p>
        </w:tc>
        <w:tc>
          <w:tcPr>
            <w:tcW w:w="1532" w:type="pct"/>
            <w:vAlign w:val="center"/>
          </w:tcPr>
          <w:p w14:paraId="0C72AA0C">
            <w:pPr>
              <w:topLinePunct/>
              <w:autoSpaceDE w:val="0"/>
              <w:autoSpaceDN w:val="0"/>
              <w:adjustRightInd w:val="0"/>
              <w:snapToGrid w:val="0"/>
              <w:jc w:val="center"/>
              <w:rPr>
                <w:rFonts w:ascii="Arial" w:hAnsi="Arial" w:eastAsia="宋体" w:cs="Arial"/>
                <w:sz w:val="21"/>
                <w:szCs w:val="24"/>
              </w:rPr>
            </w:pPr>
            <w:r>
              <w:rPr>
                <w:rFonts w:ascii="Arial" w:hAnsi="Arial" w:eastAsia="宋体" w:cs="Arial"/>
                <w:bCs/>
                <w:sz w:val="21"/>
                <w:szCs w:val="24"/>
              </w:rPr>
              <w:t>压滤机</w:t>
            </w:r>
          </w:p>
        </w:tc>
        <w:tc>
          <w:tcPr>
            <w:tcW w:w="619" w:type="pct"/>
            <w:vAlign w:val="center"/>
          </w:tcPr>
          <w:p w14:paraId="25F23CF7">
            <w:pPr>
              <w:adjustRightInd w:val="0"/>
              <w:snapToGrid w:val="0"/>
              <w:jc w:val="center"/>
              <w:rPr>
                <w:rFonts w:ascii="Arial" w:hAnsi="Arial" w:eastAsia="宋体" w:cs="Arial"/>
                <w:sz w:val="21"/>
                <w:szCs w:val="22"/>
              </w:rPr>
            </w:pPr>
            <w:r>
              <w:rPr>
                <w:rFonts w:hint="eastAsia" w:ascii="Arial" w:hAnsi="Arial" w:eastAsia="宋体" w:cs="Arial"/>
                <w:sz w:val="21"/>
                <w:szCs w:val="22"/>
              </w:rPr>
              <w:t>8</w:t>
            </w:r>
          </w:p>
        </w:tc>
        <w:tc>
          <w:tcPr>
            <w:tcW w:w="1016" w:type="pct"/>
            <w:vMerge w:val="continue"/>
            <w:vAlign w:val="center"/>
          </w:tcPr>
          <w:p w14:paraId="5919A8D2">
            <w:pPr>
              <w:topLinePunct/>
              <w:autoSpaceDE w:val="0"/>
              <w:autoSpaceDN w:val="0"/>
              <w:adjustRightInd w:val="0"/>
              <w:snapToGrid w:val="0"/>
              <w:jc w:val="center"/>
              <w:rPr>
                <w:rFonts w:ascii="Arial" w:hAnsi="Arial" w:eastAsia="宋体" w:cs="Arial"/>
                <w:sz w:val="21"/>
                <w:szCs w:val="24"/>
                <w:lang w:val="zh-CN"/>
              </w:rPr>
            </w:pPr>
          </w:p>
        </w:tc>
        <w:tc>
          <w:tcPr>
            <w:tcW w:w="1214" w:type="pct"/>
            <w:vAlign w:val="center"/>
          </w:tcPr>
          <w:p w14:paraId="486E5901">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70</w:t>
            </w:r>
          </w:p>
        </w:tc>
      </w:tr>
      <w:tr w14:paraId="4C629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vAlign w:val="center"/>
          </w:tcPr>
          <w:p w14:paraId="1A82796D">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w:t>
            </w:r>
          </w:p>
        </w:tc>
        <w:tc>
          <w:tcPr>
            <w:tcW w:w="1532" w:type="pct"/>
            <w:vAlign w:val="center"/>
          </w:tcPr>
          <w:p w14:paraId="1A791335">
            <w:pPr>
              <w:pStyle w:val="5"/>
              <w:adjustRightInd w:val="0"/>
              <w:snapToGrid w:val="0"/>
              <w:spacing w:line="240" w:lineRule="auto"/>
              <w:ind w:firstLine="0"/>
              <w:jc w:val="center"/>
              <w:rPr>
                <w:sz w:val="21"/>
                <w:szCs w:val="21"/>
              </w:rPr>
            </w:pPr>
            <w:r>
              <w:rPr>
                <w:sz w:val="21"/>
                <w:szCs w:val="21"/>
              </w:rPr>
              <w:t>超声波振动筛</w:t>
            </w:r>
          </w:p>
        </w:tc>
        <w:tc>
          <w:tcPr>
            <w:tcW w:w="619" w:type="pct"/>
            <w:vAlign w:val="center"/>
          </w:tcPr>
          <w:p w14:paraId="31E28C1B">
            <w:pPr>
              <w:pStyle w:val="5"/>
              <w:adjustRightInd w:val="0"/>
              <w:snapToGrid w:val="0"/>
              <w:spacing w:line="240" w:lineRule="auto"/>
              <w:ind w:firstLine="0"/>
              <w:jc w:val="center"/>
              <w:rPr>
                <w:sz w:val="21"/>
                <w:szCs w:val="21"/>
              </w:rPr>
            </w:pPr>
            <w:r>
              <w:rPr>
                <w:rFonts w:hint="eastAsia"/>
                <w:sz w:val="21"/>
                <w:szCs w:val="21"/>
              </w:rPr>
              <w:t>32</w:t>
            </w:r>
          </w:p>
        </w:tc>
        <w:tc>
          <w:tcPr>
            <w:tcW w:w="1016" w:type="pct"/>
            <w:vMerge w:val="continue"/>
            <w:vAlign w:val="center"/>
          </w:tcPr>
          <w:p w14:paraId="5B25B5F5">
            <w:pPr>
              <w:topLinePunct/>
              <w:autoSpaceDE w:val="0"/>
              <w:autoSpaceDN w:val="0"/>
              <w:adjustRightInd w:val="0"/>
              <w:snapToGrid w:val="0"/>
              <w:jc w:val="center"/>
              <w:rPr>
                <w:rFonts w:ascii="Arial" w:hAnsi="Arial" w:eastAsia="宋体" w:cs="Arial"/>
                <w:sz w:val="21"/>
                <w:szCs w:val="24"/>
              </w:rPr>
            </w:pPr>
          </w:p>
        </w:tc>
        <w:tc>
          <w:tcPr>
            <w:tcW w:w="1214" w:type="pct"/>
            <w:vAlign w:val="center"/>
          </w:tcPr>
          <w:p w14:paraId="50C26327">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80</w:t>
            </w:r>
          </w:p>
        </w:tc>
      </w:tr>
      <w:tr w14:paraId="3393E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vAlign w:val="center"/>
          </w:tcPr>
          <w:p w14:paraId="7E84D435">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4</w:t>
            </w:r>
          </w:p>
        </w:tc>
        <w:tc>
          <w:tcPr>
            <w:tcW w:w="1532" w:type="pct"/>
            <w:vAlign w:val="center"/>
          </w:tcPr>
          <w:p w14:paraId="48CDF3A8">
            <w:pPr>
              <w:pStyle w:val="5"/>
              <w:adjustRightInd w:val="0"/>
              <w:snapToGrid w:val="0"/>
              <w:spacing w:line="240" w:lineRule="auto"/>
              <w:ind w:firstLine="0"/>
              <w:jc w:val="center"/>
              <w:rPr>
                <w:sz w:val="21"/>
                <w:szCs w:val="21"/>
              </w:rPr>
            </w:pPr>
            <w:r>
              <w:rPr>
                <w:sz w:val="21"/>
                <w:szCs w:val="21"/>
              </w:rPr>
              <w:t>浓缩机</w:t>
            </w:r>
          </w:p>
        </w:tc>
        <w:tc>
          <w:tcPr>
            <w:tcW w:w="619" w:type="pct"/>
            <w:vAlign w:val="center"/>
          </w:tcPr>
          <w:p w14:paraId="20095E5B">
            <w:pPr>
              <w:pStyle w:val="5"/>
              <w:adjustRightInd w:val="0"/>
              <w:snapToGrid w:val="0"/>
              <w:spacing w:line="240" w:lineRule="auto"/>
              <w:ind w:firstLine="0"/>
              <w:jc w:val="center"/>
              <w:rPr>
                <w:sz w:val="21"/>
                <w:szCs w:val="21"/>
              </w:rPr>
            </w:pPr>
            <w:r>
              <w:rPr>
                <w:rFonts w:hint="eastAsia"/>
                <w:sz w:val="21"/>
                <w:szCs w:val="21"/>
              </w:rPr>
              <w:t>128</w:t>
            </w:r>
          </w:p>
        </w:tc>
        <w:tc>
          <w:tcPr>
            <w:tcW w:w="1016" w:type="pct"/>
            <w:vMerge w:val="continue"/>
            <w:vAlign w:val="center"/>
          </w:tcPr>
          <w:p w14:paraId="2275993C">
            <w:pPr>
              <w:topLinePunct/>
              <w:autoSpaceDE w:val="0"/>
              <w:autoSpaceDN w:val="0"/>
              <w:adjustRightInd w:val="0"/>
              <w:snapToGrid w:val="0"/>
              <w:jc w:val="center"/>
              <w:rPr>
                <w:rFonts w:ascii="Arial" w:hAnsi="Arial" w:eastAsia="宋体" w:cs="Arial"/>
                <w:sz w:val="21"/>
                <w:szCs w:val="24"/>
              </w:rPr>
            </w:pPr>
          </w:p>
        </w:tc>
        <w:tc>
          <w:tcPr>
            <w:tcW w:w="1214" w:type="pct"/>
            <w:vAlign w:val="center"/>
          </w:tcPr>
          <w:p w14:paraId="148453EA">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70</w:t>
            </w:r>
          </w:p>
        </w:tc>
      </w:tr>
      <w:tr w14:paraId="109E7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vAlign w:val="center"/>
          </w:tcPr>
          <w:p w14:paraId="4BDAAFEF">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5</w:t>
            </w:r>
          </w:p>
        </w:tc>
        <w:tc>
          <w:tcPr>
            <w:tcW w:w="1532" w:type="pct"/>
            <w:vAlign w:val="center"/>
          </w:tcPr>
          <w:p w14:paraId="1F9C4FE0">
            <w:pPr>
              <w:pStyle w:val="5"/>
              <w:adjustRightInd w:val="0"/>
              <w:snapToGrid w:val="0"/>
              <w:spacing w:line="240" w:lineRule="auto"/>
              <w:ind w:firstLine="0"/>
              <w:jc w:val="center"/>
              <w:rPr>
                <w:sz w:val="21"/>
                <w:szCs w:val="21"/>
              </w:rPr>
            </w:pPr>
            <w:r>
              <w:rPr>
                <w:sz w:val="21"/>
                <w:szCs w:val="21"/>
              </w:rPr>
              <w:t>连续式烘箱</w:t>
            </w:r>
          </w:p>
        </w:tc>
        <w:tc>
          <w:tcPr>
            <w:tcW w:w="619" w:type="pct"/>
            <w:vAlign w:val="center"/>
          </w:tcPr>
          <w:p w14:paraId="4AB0F501">
            <w:pPr>
              <w:pStyle w:val="5"/>
              <w:adjustRightInd w:val="0"/>
              <w:snapToGrid w:val="0"/>
              <w:spacing w:line="240" w:lineRule="auto"/>
              <w:ind w:firstLine="0"/>
              <w:jc w:val="center"/>
              <w:rPr>
                <w:sz w:val="21"/>
                <w:szCs w:val="21"/>
              </w:rPr>
            </w:pPr>
            <w:r>
              <w:rPr>
                <w:rFonts w:hint="eastAsia"/>
                <w:sz w:val="21"/>
                <w:szCs w:val="21"/>
              </w:rPr>
              <w:t>32</w:t>
            </w:r>
          </w:p>
        </w:tc>
        <w:tc>
          <w:tcPr>
            <w:tcW w:w="1016" w:type="pct"/>
            <w:vMerge w:val="continue"/>
            <w:vAlign w:val="center"/>
          </w:tcPr>
          <w:p w14:paraId="01B3FCC9">
            <w:pPr>
              <w:topLinePunct/>
              <w:autoSpaceDE w:val="0"/>
              <w:autoSpaceDN w:val="0"/>
              <w:adjustRightInd w:val="0"/>
              <w:snapToGrid w:val="0"/>
              <w:jc w:val="center"/>
              <w:rPr>
                <w:rFonts w:ascii="Arial" w:hAnsi="Arial" w:eastAsia="宋体" w:cs="Arial"/>
                <w:sz w:val="21"/>
                <w:szCs w:val="24"/>
              </w:rPr>
            </w:pPr>
          </w:p>
        </w:tc>
        <w:tc>
          <w:tcPr>
            <w:tcW w:w="1214" w:type="pct"/>
            <w:vAlign w:val="center"/>
          </w:tcPr>
          <w:p w14:paraId="70F56131">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65</w:t>
            </w:r>
          </w:p>
        </w:tc>
      </w:tr>
      <w:tr w14:paraId="15F6E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vAlign w:val="center"/>
          </w:tcPr>
          <w:p w14:paraId="2AE77CBB">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6</w:t>
            </w:r>
          </w:p>
        </w:tc>
        <w:tc>
          <w:tcPr>
            <w:tcW w:w="1532" w:type="pct"/>
            <w:vAlign w:val="center"/>
          </w:tcPr>
          <w:p w14:paraId="0DA8EB8D">
            <w:pPr>
              <w:pStyle w:val="5"/>
              <w:adjustRightInd w:val="0"/>
              <w:snapToGrid w:val="0"/>
              <w:spacing w:line="240" w:lineRule="auto"/>
              <w:ind w:firstLine="0"/>
              <w:jc w:val="center"/>
              <w:rPr>
                <w:sz w:val="21"/>
                <w:szCs w:val="21"/>
              </w:rPr>
            </w:pPr>
            <w:r>
              <w:rPr>
                <w:sz w:val="21"/>
                <w:szCs w:val="21"/>
              </w:rPr>
              <w:t>离心机</w:t>
            </w:r>
          </w:p>
        </w:tc>
        <w:tc>
          <w:tcPr>
            <w:tcW w:w="619" w:type="pct"/>
            <w:vAlign w:val="center"/>
          </w:tcPr>
          <w:p w14:paraId="24613CFE">
            <w:pPr>
              <w:pStyle w:val="5"/>
              <w:adjustRightInd w:val="0"/>
              <w:snapToGrid w:val="0"/>
              <w:spacing w:line="240" w:lineRule="auto"/>
              <w:ind w:firstLine="0"/>
              <w:jc w:val="center"/>
              <w:rPr>
                <w:sz w:val="21"/>
                <w:szCs w:val="21"/>
              </w:rPr>
            </w:pPr>
            <w:r>
              <w:rPr>
                <w:rFonts w:hint="eastAsia"/>
                <w:sz w:val="21"/>
                <w:szCs w:val="21"/>
              </w:rPr>
              <w:t>160</w:t>
            </w:r>
          </w:p>
        </w:tc>
        <w:tc>
          <w:tcPr>
            <w:tcW w:w="1016" w:type="pct"/>
            <w:vMerge w:val="continue"/>
            <w:vAlign w:val="center"/>
          </w:tcPr>
          <w:p w14:paraId="416D9BAA">
            <w:pPr>
              <w:topLinePunct/>
              <w:autoSpaceDE w:val="0"/>
              <w:autoSpaceDN w:val="0"/>
              <w:adjustRightInd w:val="0"/>
              <w:snapToGrid w:val="0"/>
              <w:jc w:val="center"/>
              <w:rPr>
                <w:rFonts w:ascii="Arial" w:hAnsi="Arial" w:eastAsia="宋体" w:cs="Arial"/>
                <w:sz w:val="21"/>
                <w:szCs w:val="24"/>
              </w:rPr>
            </w:pPr>
          </w:p>
        </w:tc>
        <w:tc>
          <w:tcPr>
            <w:tcW w:w="1214" w:type="pct"/>
            <w:vAlign w:val="center"/>
          </w:tcPr>
          <w:p w14:paraId="24F995DC">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90</w:t>
            </w:r>
          </w:p>
        </w:tc>
      </w:tr>
      <w:tr w14:paraId="60AEE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vAlign w:val="center"/>
          </w:tcPr>
          <w:p w14:paraId="3D44DA97">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7</w:t>
            </w:r>
          </w:p>
        </w:tc>
        <w:tc>
          <w:tcPr>
            <w:tcW w:w="1532" w:type="pct"/>
            <w:vAlign w:val="center"/>
          </w:tcPr>
          <w:p w14:paraId="1582AE1F">
            <w:pPr>
              <w:pStyle w:val="5"/>
              <w:adjustRightInd w:val="0"/>
              <w:snapToGrid w:val="0"/>
              <w:spacing w:line="240" w:lineRule="auto"/>
              <w:ind w:firstLine="0"/>
              <w:jc w:val="center"/>
              <w:rPr>
                <w:sz w:val="21"/>
                <w:szCs w:val="21"/>
              </w:rPr>
            </w:pPr>
            <w:r>
              <w:rPr>
                <w:sz w:val="21"/>
                <w:szCs w:val="21"/>
              </w:rPr>
              <w:t>冷却塔</w:t>
            </w:r>
          </w:p>
        </w:tc>
        <w:tc>
          <w:tcPr>
            <w:tcW w:w="619" w:type="pct"/>
            <w:vAlign w:val="center"/>
          </w:tcPr>
          <w:p w14:paraId="515E97E1">
            <w:pPr>
              <w:pStyle w:val="5"/>
              <w:adjustRightInd w:val="0"/>
              <w:snapToGrid w:val="0"/>
              <w:spacing w:line="240" w:lineRule="auto"/>
              <w:ind w:firstLine="0"/>
              <w:jc w:val="center"/>
              <w:rPr>
                <w:sz w:val="21"/>
                <w:szCs w:val="21"/>
              </w:rPr>
            </w:pPr>
            <w:r>
              <w:rPr>
                <w:rFonts w:hint="eastAsia"/>
                <w:sz w:val="21"/>
                <w:szCs w:val="21"/>
              </w:rPr>
              <w:t>8</w:t>
            </w:r>
          </w:p>
        </w:tc>
        <w:tc>
          <w:tcPr>
            <w:tcW w:w="1016" w:type="pct"/>
            <w:vMerge w:val="continue"/>
            <w:vAlign w:val="center"/>
          </w:tcPr>
          <w:p w14:paraId="34F56A8E">
            <w:pPr>
              <w:topLinePunct/>
              <w:autoSpaceDE w:val="0"/>
              <w:autoSpaceDN w:val="0"/>
              <w:adjustRightInd w:val="0"/>
              <w:snapToGrid w:val="0"/>
              <w:jc w:val="center"/>
              <w:rPr>
                <w:rFonts w:ascii="Arial" w:hAnsi="Arial" w:eastAsia="宋体" w:cs="Arial"/>
                <w:sz w:val="21"/>
                <w:szCs w:val="24"/>
              </w:rPr>
            </w:pPr>
          </w:p>
        </w:tc>
        <w:tc>
          <w:tcPr>
            <w:tcW w:w="1214" w:type="pct"/>
            <w:vAlign w:val="center"/>
          </w:tcPr>
          <w:p w14:paraId="46059EEE">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70</w:t>
            </w:r>
          </w:p>
        </w:tc>
      </w:tr>
    </w:tbl>
    <w:p w14:paraId="30BB8504">
      <w:pPr>
        <w:keepNext/>
        <w:keepLines/>
        <w:numPr>
          <w:ilvl w:val="2"/>
          <w:numId w:val="1"/>
        </w:numPr>
        <w:tabs>
          <w:tab w:val="left" w:pos="1789"/>
        </w:tabs>
        <w:spacing w:before="120" w:after="120" w:line="400" w:lineRule="exact"/>
        <w:outlineLvl w:val="2"/>
        <w:rPr>
          <w:rFonts w:ascii="Arial" w:hAnsi="Arial" w:eastAsia="宋体" w:cs="Arial"/>
          <w:b/>
          <w:bCs/>
          <w:sz w:val="24"/>
        </w:rPr>
      </w:pPr>
      <w:r>
        <w:rPr>
          <w:rFonts w:hint="eastAsia" w:ascii="Arial" w:hAnsi="Arial" w:eastAsia="宋体" w:cs="Arial"/>
          <w:b/>
          <w:bCs/>
          <w:sz w:val="24"/>
        </w:rPr>
        <w:t>未验收的镍豆镍粉处置线概况</w:t>
      </w:r>
    </w:p>
    <w:p w14:paraId="24EAC891">
      <w:pPr>
        <w:pStyle w:val="5"/>
        <w:ind w:firstLine="0"/>
        <w:outlineLvl w:val="4"/>
        <w:rPr>
          <w:b/>
        </w:rPr>
      </w:pPr>
      <w:r>
        <w:rPr>
          <w:rFonts w:hint="eastAsia"/>
          <w:b/>
        </w:rPr>
        <w:t>2.2.2.1镍豆镍粉处置线工艺</w:t>
      </w:r>
    </w:p>
    <w:p w14:paraId="5E1D1B8B">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镍豆镍粉为1条2.5万吨/年镍豆镍粉处置线，年处置镍豆（粉）50000吨，年产硫酸镍2.5万金吨，</w:t>
      </w:r>
      <w:r>
        <w:rPr>
          <w:rFonts w:ascii="Arial" w:hAnsi="Arial" w:eastAsia="宋体" w:cs="Arial"/>
          <w:spacing w:val="10"/>
          <w:sz w:val="24"/>
        </w:rPr>
        <w:t>其生产工艺流程</w:t>
      </w:r>
      <w:r>
        <w:rPr>
          <w:rFonts w:hint="eastAsia" w:ascii="Arial" w:hAnsi="Arial" w:eastAsia="宋体" w:cs="Arial"/>
          <w:spacing w:val="10"/>
          <w:sz w:val="24"/>
        </w:rPr>
        <w:t>如下</w:t>
      </w:r>
      <w:r>
        <w:rPr>
          <w:rFonts w:ascii="Arial" w:hAnsi="Arial" w:eastAsia="宋体" w:cs="Arial"/>
          <w:spacing w:val="10"/>
          <w:sz w:val="24"/>
        </w:rPr>
        <w:t>。</w:t>
      </w:r>
    </w:p>
    <w:p w14:paraId="1DB69E88">
      <w:pPr>
        <w:pStyle w:val="5"/>
        <w:spacing w:line="500" w:lineRule="exact"/>
        <w:ind w:firstLine="490" w:firstLineChars="200"/>
      </w:pPr>
      <w:r>
        <w:t>（1）浸出（酸浸）</w:t>
      </w:r>
    </w:p>
    <w:p w14:paraId="01EC84A0">
      <w:pPr>
        <w:pStyle w:val="5"/>
        <w:spacing w:line="500" w:lineRule="exact"/>
        <w:ind w:firstLine="490" w:firstLineChars="200"/>
      </w:pPr>
      <w:r>
        <w:t>吨袋金属镍豆，使用行车将吨袋镍豆运输至金属溶解槽投料口，吨袋下方开口从投料口投入金属溶解槽的中，镍豆粒径较大（长约2~5cm），金属溶解槽负压收集，投料后立即关闭投料口，基本无粉尘产生。将98%的浓硫酸、27.5%的双氧水、纯水按照一定比例通过管道加入金属溶解槽，此时有氢气和硫酸雾产生，反应时金属溶解槽全封闭，槽上端设置排气管，负压收集金属溶解槽废气，通过密闭管道输送至酸雾喷淋吸收塔进行吸收处理。待金属镍浸出到一定浓度后，一般溶解12-18h，控制浸出液终点pH值为2.0左右，然后进行过滤，浸出液经压滤机进行固液分离。过滤液进入浸出液中转槽，滤渣返回浸出工序。</w:t>
      </w:r>
    </w:p>
    <w:p w14:paraId="69A8B0F5">
      <w:pPr>
        <w:pStyle w:val="5"/>
        <w:spacing w:line="500" w:lineRule="exact"/>
        <w:ind w:firstLine="490" w:firstLineChars="200"/>
      </w:pPr>
      <w:r>
        <w:t>含有硫酸挥发性物料使用暗流压滤机，暗流压滤机适用于挥发性液体过滤，即通过密闭的管道将滤液与外界密闭隔离，没有无组织废气排放，废气全部通过密闭管道收集并至浸出工序尾气系统处理，压滤的滤液通过密闭管道输送至下一工序，明流压滤机是各板框无法封闭以及压滤的水通过水龙头直接排出设备外。暗流压滤机（隔膜压滤机）工作原理：滤液由泵打入滤板进液口，滤液充满过滤式，液体透过滤布，滤渣被滤布截留，进料停止后，通入压缩空气，将滤饼中水分进一步降低。隔膜压滤机最大特点是可以进行二次干燥压榨滤饼，即压缩空气通过滤饼，将滤饼中的水分离，吹风干燥法。压缩空气等进入接液罐，接液罐的废气并入酸雾喷淋吸收塔处理。</w:t>
      </w:r>
    </w:p>
    <w:p w14:paraId="0799A81D">
      <w:pPr>
        <w:pStyle w:val="5"/>
        <w:spacing w:line="500" w:lineRule="exact"/>
        <w:ind w:firstLine="490" w:firstLineChars="200"/>
      </w:pPr>
      <w:r>
        <w:t>镍豆粉酸浸反应方程式如下：</w:t>
      </w:r>
    </w:p>
    <w:p w14:paraId="2CD30361">
      <w:pPr>
        <w:pStyle w:val="5"/>
        <w:spacing w:line="500" w:lineRule="exact"/>
        <w:ind w:firstLine="490" w:firstLineChars="200"/>
      </w:pPr>
      <w:r>
        <w:t>Ni+H</w:t>
      </w:r>
      <w:r>
        <w:rPr>
          <w:vertAlign w:val="subscript"/>
        </w:rPr>
        <w:t>2</w:t>
      </w:r>
      <w:r>
        <w:t>SO</w:t>
      </w:r>
      <w:r>
        <w:rPr>
          <w:vertAlign w:val="subscript"/>
        </w:rPr>
        <w:t>4</w:t>
      </w:r>
      <w:r>
        <w:t>—NiSO</w:t>
      </w:r>
      <w:r>
        <w:rPr>
          <w:vertAlign w:val="subscript"/>
        </w:rPr>
        <w:t>4</w:t>
      </w:r>
      <w:r>
        <w:t>+H</w:t>
      </w:r>
      <w:r>
        <w:rPr>
          <w:vertAlign w:val="subscript"/>
        </w:rPr>
        <w:t>2</w:t>
      </w:r>
      <w:r>
        <w:t>↑</w:t>
      </w:r>
    </w:p>
    <w:p w14:paraId="36356579">
      <w:pPr>
        <w:pStyle w:val="5"/>
        <w:spacing w:line="500" w:lineRule="exact"/>
        <w:ind w:firstLine="490" w:firstLineChars="200"/>
      </w:pPr>
      <w:r>
        <w:t>（2）除铁除铜</w:t>
      </w:r>
    </w:p>
    <w:p w14:paraId="3982A681">
      <w:pPr>
        <w:pStyle w:val="5"/>
        <w:spacing w:line="500" w:lineRule="exact"/>
        <w:ind w:firstLine="490" w:firstLineChars="200"/>
      </w:pPr>
      <w:r>
        <w:t>中转槽溶液泵入净化槽进行除铁除铜，首先进行除铁，蒸汽加热温85</w:t>
      </w:r>
      <w:r>
        <w:rPr>
          <w:rFonts w:hint="eastAsia" w:ascii="宋体" w:hAnsi="宋体" w:cs="宋体"/>
        </w:rPr>
        <w:t>℃</w:t>
      </w:r>
      <w:r>
        <w:t>，加入27.5%双氧水将溶液中二价铁氧化成三价，再调整pH值至3.5，即加入32%液碱和水，水解沉淀去除铁离子，氢氧化铁Fe(OH)</w:t>
      </w:r>
      <w:r>
        <w:rPr>
          <w:vertAlign w:val="subscript"/>
        </w:rPr>
        <w:t>3</w:t>
      </w:r>
      <w:r>
        <w:t>开始沉淀的 pH 为2.2，完全沉淀时pH为3.5，此时氢氧化铁完全沉淀，除铁产生除铁渣。溶液再通过镍粉置换进行除铜，此时pH为3.5，除铜产生沉淀，除铜产生除铜渣，除铁除铜渣进行检测，高镍的除铁除铜渣直接至本生产线回用，低镍的除铁除铜渣（镍≤3.25%）委托有资质单位处置。净化除杂（除铁除铜）时镍粉投入量为 248.8t/a（0.75t/d），投入量较少，为人工投料，净化槽为负压收集废气，几乎不产生粉尘，净化除杂工序产生硫酸雾，净化槽投料镍粉后，全封闭，槽上端设置排气管，负压收集各槽废气，通过密闭管道输送至酸雾喷淋吸收塔进行吸收处理。含有硫酸挥发性物料的压滤机均为暗流压滤机，即通过密闭的管道将滤液与外界密闭隔离，没有无组织废气排放，全部通过密闭管道收集至并至净化除杂（除铁除铜）尾气系统处理。</w:t>
      </w:r>
    </w:p>
    <w:p w14:paraId="643A6AA5">
      <w:pPr>
        <w:pStyle w:val="5"/>
        <w:spacing w:line="500" w:lineRule="exact"/>
        <w:ind w:firstLine="490" w:firstLineChars="200"/>
      </w:pPr>
      <w:r>
        <w:t>除铁、除铜合格后，溶液经压滤机过滤和微孔过滤器精滤，制备出硫酸镍溶液产品，用泵将硫酸镍溶液泵入车间中间罐，然后再泵入厂区储罐。电池级硫酸镍溶液产品供前驱体合成使用。</w:t>
      </w:r>
    </w:p>
    <w:p w14:paraId="301A163B">
      <w:pPr>
        <w:pStyle w:val="5"/>
        <w:spacing w:line="500" w:lineRule="exact"/>
        <w:ind w:firstLine="490" w:firstLineChars="200"/>
      </w:pPr>
      <w:r>
        <w:t>原料镍豆镍粉无相应国家和行业标准，原料供应的多家企业标准为镍豆≥99.8%，镍粉≥99.7%，贵州中伟公司多年运行情况，其原料采购标准为镍豆≥99.8%，镍粉≥99.7%，多年采购镍豆镍粉实际平均值约为99.945%，杂质含量较少，除铁除铜渣产生量约为60t/a，少量的铁进入硫酸镍溶液中，在三元前驱体生产线进一步除铁。除铁除铜反应方程式如下：</w:t>
      </w:r>
    </w:p>
    <w:p w14:paraId="73D3AA8D">
      <w:pPr>
        <w:pStyle w:val="5"/>
        <w:spacing w:line="500" w:lineRule="exact"/>
        <w:ind w:firstLine="490" w:firstLineChars="200"/>
      </w:pPr>
      <w:r>
        <w:rPr>
          <w:rFonts w:hint="eastAsia" w:ascii="宋体" w:hAnsi="宋体" w:cs="宋体"/>
        </w:rPr>
        <w:t>①</w:t>
      </w:r>
      <w:r>
        <w:t>氧化除铁</w:t>
      </w:r>
    </w:p>
    <w:p w14:paraId="1A42CA40">
      <w:pPr>
        <w:pStyle w:val="5"/>
        <w:spacing w:line="500" w:lineRule="exact"/>
        <w:ind w:firstLine="490" w:firstLineChars="200"/>
      </w:pPr>
      <w:r>
        <w:t>2Fe</w:t>
      </w:r>
      <w:r>
        <w:rPr>
          <w:vertAlign w:val="superscript"/>
        </w:rPr>
        <w:t>2+</w:t>
      </w:r>
      <w:r>
        <w:t>+H</w:t>
      </w:r>
      <w:r>
        <w:rPr>
          <w:vertAlign w:val="subscript"/>
        </w:rPr>
        <w:t>2</w:t>
      </w:r>
      <w:r>
        <w:t>O</w:t>
      </w:r>
      <w:r>
        <w:rPr>
          <w:vertAlign w:val="subscript"/>
        </w:rPr>
        <w:t>2</w:t>
      </w:r>
      <w:r>
        <w:t>+2H</w:t>
      </w:r>
      <w:r>
        <w:rPr>
          <w:vertAlign w:val="superscript"/>
        </w:rPr>
        <w:t>+</w:t>
      </w:r>
      <w:r>
        <w:t>=2Fe</w:t>
      </w:r>
      <w:r>
        <w:rPr>
          <w:vertAlign w:val="superscript"/>
        </w:rPr>
        <w:t>3+</w:t>
      </w:r>
      <w:r>
        <w:t>+2H</w:t>
      </w:r>
      <w:r>
        <w:rPr>
          <w:vertAlign w:val="subscript"/>
        </w:rPr>
        <w:t>2</w:t>
      </w:r>
      <w:r>
        <w:t>O     氧化反应</w:t>
      </w:r>
    </w:p>
    <w:p w14:paraId="0F55C9CD">
      <w:pPr>
        <w:pStyle w:val="5"/>
        <w:spacing w:line="500" w:lineRule="exact"/>
        <w:ind w:firstLine="490" w:firstLineChars="200"/>
      </w:pPr>
      <w:r>
        <w:t>Fe</w:t>
      </w:r>
      <w:r>
        <w:rPr>
          <w:vertAlign w:val="superscript"/>
        </w:rPr>
        <w:t>3+</w:t>
      </w:r>
      <w:r>
        <w:t>+3NaOH=Fe(OH)</w:t>
      </w:r>
      <w:r>
        <w:rPr>
          <w:vertAlign w:val="subscript"/>
        </w:rPr>
        <w:t>3</w:t>
      </w:r>
      <w:r>
        <w:t>↓+3Na</w:t>
      </w:r>
      <w:r>
        <w:rPr>
          <w:vertAlign w:val="superscript"/>
        </w:rPr>
        <w:t>+</w:t>
      </w:r>
      <w:r>
        <w:t xml:space="preserve">    沉淀除铁</w:t>
      </w:r>
    </w:p>
    <w:p w14:paraId="692B7B10">
      <w:pPr>
        <w:pStyle w:val="5"/>
        <w:spacing w:line="500" w:lineRule="exact"/>
        <w:ind w:firstLine="490" w:firstLineChars="200"/>
      </w:pPr>
      <w:r>
        <w:t>Ni</w:t>
      </w:r>
      <w:r>
        <w:rPr>
          <w:vertAlign w:val="superscript"/>
        </w:rPr>
        <w:t>2+</w:t>
      </w:r>
      <w:r>
        <w:t>+NaOH=Ni(OH)</w:t>
      </w:r>
      <w:r>
        <w:rPr>
          <w:vertAlign w:val="subscript"/>
        </w:rPr>
        <w:t>2</w:t>
      </w:r>
      <w:r>
        <w:t>↓+2Na</w:t>
      </w:r>
      <w:r>
        <w:rPr>
          <w:vertAlign w:val="superscript"/>
        </w:rPr>
        <w:t>+</w:t>
      </w:r>
      <w:r>
        <w:tab/>
      </w:r>
      <w:r>
        <w:t xml:space="preserve">     沉淀除铁产生</w:t>
      </w:r>
    </w:p>
    <w:p w14:paraId="441CFA7E">
      <w:pPr>
        <w:pStyle w:val="5"/>
        <w:spacing w:line="500" w:lineRule="exact"/>
        <w:ind w:firstLine="490" w:firstLineChars="200"/>
        <w:rPr>
          <w:szCs w:val="24"/>
        </w:rPr>
      </w:pPr>
      <w:r>
        <w:rPr>
          <w:rFonts w:hint="eastAsia" w:ascii="宋体" w:hAnsi="宋体" w:cs="宋体"/>
          <w:szCs w:val="24"/>
        </w:rPr>
        <w:t>②</w:t>
      </w:r>
      <w:r>
        <w:rPr>
          <w:szCs w:val="24"/>
        </w:rPr>
        <w:t>置换除铜</w:t>
      </w:r>
    </w:p>
    <w:p w14:paraId="26C279E8">
      <w:pPr>
        <w:spacing w:line="500" w:lineRule="exact"/>
        <w:ind w:firstLine="450" w:firstLineChars="200"/>
        <w:rPr>
          <w:rFonts w:ascii="Arial" w:hAnsi="Arial" w:eastAsia="宋体" w:cs="Arial"/>
          <w:spacing w:val="10"/>
          <w:sz w:val="24"/>
          <w:szCs w:val="24"/>
        </w:rPr>
      </w:pPr>
      <w:r>
        <w:rPr>
          <w:rFonts w:ascii="Arial" w:hAnsi="Arial" w:eastAsia="宋体" w:cs="Arial"/>
          <w:sz w:val="24"/>
          <w:szCs w:val="24"/>
        </w:rPr>
        <w:t>Cu</w:t>
      </w:r>
      <w:r>
        <w:rPr>
          <w:rFonts w:ascii="Arial" w:hAnsi="Arial" w:eastAsia="宋体" w:cs="Arial"/>
          <w:sz w:val="24"/>
          <w:szCs w:val="24"/>
          <w:vertAlign w:val="superscript"/>
        </w:rPr>
        <w:t>2+</w:t>
      </w:r>
      <w:r>
        <w:rPr>
          <w:rFonts w:ascii="Arial" w:hAnsi="Arial" w:eastAsia="宋体" w:cs="Arial"/>
          <w:sz w:val="24"/>
          <w:szCs w:val="24"/>
        </w:rPr>
        <w:t>+Ni=Ni</w:t>
      </w:r>
      <w:r>
        <w:rPr>
          <w:rFonts w:ascii="Arial" w:hAnsi="Arial" w:eastAsia="宋体" w:cs="Arial"/>
          <w:sz w:val="24"/>
          <w:szCs w:val="24"/>
          <w:vertAlign w:val="superscript"/>
        </w:rPr>
        <w:t>2+</w:t>
      </w:r>
      <w:r>
        <w:rPr>
          <w:rFonts w:ascii="Arial" w:hAnsi="Arial" w:eastAsia="宋体" w:cs="Arial"/>
          <w:sz w:val="24"/>
          <w:szCs w:val="24"/>
        </w:rPr>
        <w:t>+Cu↓             还原除铜</w:t>
      </w:r>
    </w:p>
    <w:p w14:paraId="0DCB93B9">
      <w:pPr>
        <w:pStyle w:val="5"/>
        <w:adjustRightInd w:val="0"/>
        <w:snapToGrid w:val="0"/>
        <w:spacing w:line="240" w:lineRule="auto"/>
        <w:ind w:firstLine="0"/>
      </w:pPr>
      <w:r>
        <w:drawing>
          <wp:inline distT="0" distB="0" distL="0" distR="0">
            <wp:extent cx="5760720" cy="4881880"/>
            <wp:effectExtent l="0" t="0" r="0" b="0"/>
            <wp:docPr id="5" name="图片 5" descr="E:\微信聊天文件\WeChat Files\byghdea\FileStorage\Temp\ff32d396cade1b8d35636e45b398f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微信聊天文件\WeChat Files\byghdea\FileStorage\Temp\ff32d396cade1b8d35636e45b398f2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760720" cy="4881974"/>
                    </a:xfrm>
                    <a:prstGeom prst="rect">
                      <a:avLst/>
                    </a:prstGeom>
                    <a:noFill/>
                    <a:ln>
                      <a:noFill/>
                    </a:ln>
                  </pic:spPr>
                </pic:pic>
              </a:graphicData>
            </a:graphic>
          </wp:inline>
        </w:drawing>
      </w:r>
    </w:p>
    <w:p w14:paraId="55EEDCE6">
      <w:pPr>
        <w:pStyle w:val="5"/>
        <w:spacing w:line="500" w:lineRule="exact"/>
        <w:ind w:firstLine="0"/>
        <w:jc w:val="center"/>
        <w:rPr>
          <w:b/>
        </w:rPr>
      </w:pPr>
      <w:r>
        <w:rPr>
          <w:b/>
        </w:rPr>
        <w:t>图2.1-</w:t>
      </w:r>
      <w:r>
        <w:rPr>
          <w:rFonts w:hint="eastAsia"/>
          <w:b/>
        </w:rPr>
        <w:t>2</w:t>
      </w:r>
      <w:r>
        <w:rPr>
          <w:b/>
        </w:rPr>
        <w:t xml:space="preserve">  镍豆镍粉处置线工艺流程图</w:t>
      </w:r>
    </w:p>
    <w:p w14:paraId="479D4257">
      <w:pPr>
        <w:pStyle w:val="5"/>
        <w:ind w:firstLine="0"/>
        <w:outlineLvl w:val="4"/>
        <w:rPr>
          <w:b/>
          <w:u w:val="single"/>
        </w:rPr>
      </w:pPr>
      <w:r>
        <w:rPr>
          <w:rFonts w:hint="eastAsia"/>
          <w:b/>
          <w:u w:val="single"/>
        </w:rPr>
        <w:t>2.2.2.2主要生产设备</w:t>
      </w:r>
    </w:p>
    <w:p w14:paraId="7706D4D3">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原镍豆镍粉处置线主要生产设备见表2-7。</w:t>
      </w:r>
    </w:p>
    <w:p w14:paraId="5C1F9EF5">
      <w:pPr>
        <w:keepNext/>
        <w:numPr>
          <w:ilvl w:val="0"/>
          <w:numId w:val="12"/>
        </w:numPr>
        <w:spacing w:line="480" w:lineRule="exact"/>
        <w:ind w:left="0" w:firstLine="0"/>
        <w:jc w:val="center"/>
        <w:outlineLvl w:val="5"/>
        <w:rPr>
          <w:rFonts w:ascii="Arial" w:hAnsi="Arial" w:eastAsia="宋体" w:cs="Arial"/>
          <w:b/>
          <w:spacing w:val="10"/>
          <w:sz w:val="24"/>
          <w:u w:val="single"/>
        </w:rPr>
      </w:pPr>
      <w:r>
        <w:rPr>
          <w:rFonts w:hint="eastAsia" w:ascii="Arial" w:hAnsi="Arial" w:eastAsia="宋体" w:cs="Arial"/>
          <w:b/>
          <w:spacing w:val="10"/>
          <w:sz w:val="24"/>
          <w:u w:val="single"/>
        </w:rPr>
        <w:t>镍豆镍粉处置线主要设备表</w:t>
      </w:r>
    </w:p>
    <w:tbl>
      <w:tblPr>
        <w:tblStyle w:val="88"/>
        <w:tblW w:w="5000" w:type="pct"/>
        <w:tblInd w:w="0" w:type="dxa"/>
        <w:tblLayout w:type="autofit"/>
        <w:tblCellMar>
          <w:top w:w="0" w:type="dxa"/>
          <w:left w:w="108" w:type="dxa"/>
          <w:bottom w:w="0" w:type="dxa"/>
          <w:right w:w="108" w:type="dxa"/>
        </w:tblCellMar>
      </w:tblPr>
      <w:tblGrid>
        <w:gridCol w:w="1155"/>
        <w:gridCol w:w="3455"/>
        <w:gridCol w:w="3100"/>
        <w:gridCol w:w="1578"/>
      </w:tblGrid>
      <w:tr w14:paraId="7FF3CDFB">
        <w:tblPrEx>
          <w:tblCellMar>
            <w:top w:w="0" w:type="dxa"/>
            <w:left w:w="108" w:type="dxa"/>
            <w:bottom w:w="0" w:type="dxa"/>
            <w:right w:w="108" w:type="dxa"/>
          </w:tblCellMar>
        </w:tblPrEx>
        <w:trPr>
          <w:trHeight w:val="340"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20408">
            <w:pPr>
              <w:widowControl/>
              <w:adjustRightInd w:val="0"/>
              <w:snapToGrid w:val="0"/>
              <w:jc w:val="center"/>
              <w:textAlignment w:val="center"/>
              <w:rPr>
                <w:rFonts w:ascii="Arial" w:hAnsi="Arial" w:eastAsia="宋体" w:cs="Arial"/>
                <w:sz w:val="21"/>
                <w:szCs w:val="21"/>
                <w:u w:val="single"/>
              </w:rPr>
            </w:pPr>
          </w:p>
        </w:tc>
        <w:tc>
          <w:tcPr>
            <w:tcW w:w="18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17761">
            <w:pPr>
              <w:widowControl/>
              <w:adjustRightInd w:val="0"/>
              <w:snapToGrid w:val="0"/>
              <w:jc w:val="center"/>
              <w:textAlignment w:val="center"/>
              <w:rPr>
                <w:rFonts w:ascii="Arial" w:hAnsi="Arial" w:eastAsia="宋体" w:cs="Arial"/>
                <w:sz w:val="21"/>
                <w:szCs w:val="21"/>
                <w:u w:val="single"/>
              </w:rPr>
            </w:pPr>
          </w:p>
        </w:tc>
        <w:tc>
          <w:tcPr>
            <w:tcW w:w="16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DA13A">
            <w:pPr>
              <w:widowControl/>
              <w:adjustRightInd w:val="0"/>
              <w:snapToGrid w:val="0"/>
              <w:jc w:val="center"/>
              <w:textAlignment w:val="center"/>
              <w:rPr>
                <w:rFonts w:ascii="Arial" w:hAnsi="Arial" w:eastAsia="宋体" w:cs="Arial"/>
                <w:sz w:val="21"/>
                <w:szCs w:val="21"/>
                <w:u w:val="single"/>
              </w:rPr>
            </w:pPr>
          </w:p>
        </w:tc>
        <w:tc>
          <w:tcPr>
            <w:tcW w:w="849" w:type="pct"/>
            <w:tcBorders>
              <w:top w:val="single" w:color="000000" w:sz="4" w:space="0"/>
              <w:left w:val="single" w:color="000000" w:sz="4" w:space="0"/>
              <w:bottom w:val="single" w:color="000000" w:sz="4" w:space="0"/>
              <w:right w:val="single" w:color="000000" w:sz="4" w:space="0"/>
            </w:tcBorders>
            <w:vAlign w:val="center"/>
          </w:tcPr>
          <w:p w14:paraId="0C2EF182">
            <w:pPr>
              <w:widowControl/>
              <w:adjustRightInd w:val="0"/>
              <w:snapToGrid w:val="0"/>
              <w:jc w:val="center"/>
              <w:textAlignment w:val="center"/>
              <w:rPr>
                <w:rFonts w:ascii="Arial" w:hAnsi="Arial" w:eastAsia="宋体" w:cs="Arial"/>
                <w:kern w:val="0"/>
                <w:sz w:val="21"/>
                <w:szCs w:val="21"/>
                <w:u w:val="single"/>
                <w:lang w:bidi="ar"/>
              </w:rPr>
            </w:pPr>
          </w:p>
        </w:tc>
      </w:tr>
      <w:tr w14:paraId="20415039">
        <w:tblPrEx>
          <w:tblCellMar>
            <w:top w:w="0" w:type="dxa"/>
            <w:left w:w="108" w:type="dxa"/>
            <w:bottom w:w="0" w:type="dxa"/>
            <w:right w:w="108" w:type="dxa"/>
          </w:tblCellMar>
        </w:tblPrEx>
        <w:trPr>
          <w:trHeight w:val="340"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21A82">
            <w:pPr>
              <w:widowControl/>
              <w:adjustRightInd w:val="0"/>
              <w:snapToGrid w:val="0"/>
              <w:jc w:val="center"/>
              <w:textAlignment w:val="center"/>
              <w:rPr>
                <w:rFonts w:ascii="Arial" w:hAnsi="Arial" w:eastAsia="宋体" w:cs="Arial"/>
                <w:kern w:val="0"/>
                <w:sz w:val="21"/>
                <w:szCs w:val="21"/>
                <w:u w:val="single"/>
                <w:lang w:bidi="ar"/>
              </w:rPr>
            </w:pPr>
          </w:p>
        </w:tc>
        <w:tc>
          <w:tcPr>
            <w:tcW w:w="18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FBEAC">
            <w:pPr>
              <w:widowControl/>
              <w:adjustRightInd w:val="0"/>
              <w:snapToGrid w:val="0"/>
              <w:jc w:val="center"/>
              <w:textAlignment w:val="center"/>
              <w:rPr>
                <w:rFonts w:ascii="Arial" w:hAnsi="Arial" w:eastAsia="宋体" w:cs="Arial"/>
                <w:sz w:val="21"/>
                <w:szCs w:val="21"/>
                <w:u w:val="single"/>
              </w:rPr>
            </w:pPr>
          </w:p>
        </w:tc>
        <w:tc>
          <w:tcPr>
            <w:tcW w:w="16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2B756">
            <w:pPr>
              <w:widowControl/>
              <w:adjustRightInd w:val="0"/>
              <w:snapToGrid w:val="0"/>
              <w:jc w:val="center"/>
              <w:textAlignment w:val="center"/>
              <w:rPr>
                <w:rFonts w:ascii="Arial" w:hAnsi="Arial" w:eastAsia="宋体" w:cs="Arial"/>
                <w:sz w:val="21"/>
                <w:szCs w:val="21"/>
                <w:u w:val="single"/>
              </w:rPr>
            </w:pPr>
          </w:p>
        </w:tc>
        <w:tc>
          <w:tcPr>
            <w:tcW w:w="849" w:type="pct"/>
            <w:tcBorders>
              <w:top w:val="single" w:color="000000" w:sz="4" w:space="0"/>
              <w:left w:val="single" w:color="000000" w:sz="4" w:space="0"/>
              <w:bottom w:val="single" w:color="000000" w:sz="4" w:space="0"/>
              <w:right w:val="single" w:color="000000" w:sz="4" w:space="0"/>
            </w:tcBorders>
            <w:vAlign w:val="center"/>
          </w:tcPr>
          <w:p w14:paraId="05301279">
            <w:pPr>
              <w:widowControl/>
              <w:adjustRightInd w:val="0"/>
              <w:snapToGrid w:val="0"/>
              <w:jc w:val="center"/>
              <w:textAlignment w:val="center"/>
              <w:rPr>
                <w:rFonts w:ascii="Arial" w:hAnsi="Arial" w:eastAsia="宋体" w:cs="Arial"/>
                <w:sz w:val="21"/>
                <w:szCs w:val="21"/>
                <w:u w:val="single"/>
              </w:rPr>
            </w:pPr>
          </w:p>
        </w:tc>
      </w:tr>
      <w:tr w14:paraId="5F51C4C2">
        <w:tblPrEx>
          <w:tblCellMar>
            <w:top w:w="0" w:type="dxa"/>
            <w:left w:w="108" w:type="dxa"/>
            <w:bottom w:w="0" w:type="dxa"/>
            <w:right w:w="108" w:type="dxa"/>
          </w:tblCellMar>
        </w:tblPrEx>
        <w:trPr>
          <w:trHeight w:val="340"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F7141">
            <w:pPr>
              <w:widowControl/>
              <w:adjustRightInd w:val="0"/>
              <w:snapToGrid w:val="0"/>
              <w:jc w:val="center"/>
              <w:textAlignment w:val="center"/>
              <w:rPr>
                <w:rFonts w:ascii="Arial" w:hAnsi="Arial" w:eastAsia="宋体" w:cs="Arial"/>
                <w:kern w:val="0"/>
                <w:sz w:val="21"/>
                <w:szCs w:val="21"/>
                <w:u w:val="single"/>
                <w:lang w:bidi="ar"/>
              </w:rPr>
            </w:pPr>
          </w:p>
        </w:tc>
        <w:tc>
          <w:tcPr>
            <w:tcW w:w="18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87638">
            <w:pPr>
              <w:widowControl/>
              <w:adjustRightInd w:val="0"/>
              <w:snapToGrid w:val="0"/>
              <w:jc w:val="center"/>
              <w:textAlignment w:val="center"/>
              <w:rPr>
                <w:rFonts w:ascii="Arial" w:hAnsi="Arial" w:eastAsia="宋体" w:cs="Arial"/>
                <w:kern w:val="0"/>
                <w:sz w:val="21"/>
                <w:szCs w:val="21"/>
                <w:u w:val="single"/>
                <w:lang w:bidi="ar"/>
              </w:rPr>
            </w:pPr>
          </w:p>
        </w:tc>
        <w:tc>
          <w:tcPr>
            <w:tcW w:w="16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C379B">
            <w:pPr>
              <w:adjustRightInd w:val="0"/>
              <w:snapToGrid w:val="0"/>
              <w:jc w:val="center"/>
              <w:rPr>
                <w:rFonts w:ascii="Arial" w:hAnsi="Arial" w:eastAsia="宋体" w:cs="Arial"/>
                <w:sz w:val="21"/>
                <w:szCs w:val="21"/>
                <w:u w:val="single"/>
              </w:rPr>
            </w:pPr>
          </w:p>
        </w:tc>
        <w:tc>
          <w:tcPr>
            <w:tcW w:w="849" w:type="pct"/>
            <w:tcBorders>
              <w:top w:val="single" w:color="000000" w:sz="4" w:space="0"/>
              <w:left w:val="single" w:color="000000" w:sz="4" w:space="0"/>
              <w:bottom w:val="single" w:color="000000" w:sz="4" w:space="0"/>
              <w:right w:val="single" w:color="000000" w:sz="4" w:space="0"/>
            </w:tcBorders>
            <w:vAlign w:val="center"/>
          </w:tcPr>
          <w:p w14:paraId="0EEE196B">
            <w:pPr>
              <w:widowControl/>
              <w:adjustRightInd w:val="0"/>
              <w:snapToGrid w:val="0"/>
              <w:jc w:val="center"/>
              <w:textAlignment w:val="center"/>
              <w:rPr>
                <w:rFonts w:ascii="Arial" w:hAnsi="Arial" w:eastAsia="宋体" w:cs="Arial"/>
                <w:kern w:val="0"/>
                <w:sz w:val="21"/>
                <w:szCs w:val="21"/>
                <w:u w:val="single"/>
                <w:lang w:bidi="ar"/>
              </w:rPr>
            </w:pPr>
          </w:p>
        </w:tc>
      </w:tr>
      <w:tr w14:paraId="123A381F">
        <w:tblPrEx>
          <w:tblCellMar>
            <w:top w:w="0" w:type="dxa"/>
            <w:left w:w="108" w:type="dxa"/>
            <w:bottom w:w="0" w:type="dxa"/>
            <w:right w:w="108" w:type="dxa"/>
          </w:tblCellMar>
        </w:tblPrEx>
        <w:trPr>
          <w:trHeight w:val="340"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62ABB">
            <w:pPr>
              <w:widowControl/>
              <w:adjustRightInd w:val="0"/>
              <w:snapToGrid w:val="0"/>
              <w:jc w:val="center"/>
              <w:textAlignment w:val="center"/>
              <w:rPr>
                <w:rFonts w:ascii="Arial" w:hAnsi="Arial" w:eastAsia="宋体" w:cs="Arial"/>
                <w:kern w:val="0"/>
                <w:sz w:val="21"/>
                <w:szCs w:val="21"/>
                <w:u w:val="single"/>
                <w:lang w:bidi="ar"/>
              </w:rPr>
            </w:pPr>
          </w:p>
        </w:tc>
        <w:tc>
          <w:tcPr>
            <w:tcW w:w="18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22320">
            <w:pPr>
              <w:widowControl/>
              <w:adjustRightInd w:val="0"/>
              <w:snapToGrid w:val="0"/>
              <w:jc w:val="center"/>
              <w:textAlignment w:val="center"/>
              <w:rPr>
                <w:rFonts w:ascii="Arial" w:hAnsi="Arial" w:eastAsia="宋体" w:cs="Arial"/>
                <w:kern w:val="0"/>
                <w:sz w:val="21"/>
                <w:szCs w:val="21"/>
                <w:u w:val="single"/>
                <w:lang w:bidi="ar"/>
              </w:rPr>
            </w:pPr>
          </w:p>
        </w:tc>
        <w:tc>
          <w:tcPr>
            <w:tcW w:w="16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A3846">
            <w:pPr>
              <w:adjustRightInd w:val="0"/>
              <w:snapToGrid w:val="0"/>
              <w:jc w:val="center"/>
              <w:rPr>
                <w:rFonts w:ascii="Arial" w:hAnsi="Arial" w:eastAsia="宋体" w:cs="Arial"/>
                <w:sz w:val="21"/>
                <w:szCs w:val="21"/>
                <w:u w:val="single"/>
              </w:rPr>
            </w:pPr>
          </w:p>
        </w:tc>
        <w:tc>
          <w:tcPr>
            <w:tcW w:w="849" w:type="pct"/>
            <w:tcBorders>
              <w:top w:val="single" w:color="000000" w:sz="4" w:space="0"/>
              <w:left w:val="single" w:color="000000" w:sz="4" w:space="0"/>
              <w:bottom w:val="single" w:color="000000" w:sz="4" w:space="0"/>
              <w:right w:val="single" w:color="000000" w:sz="4" w:space="0"/>
            </w:tcBorders>
            <w:vAlign w:val="center"/>
          </w:tcPr>
          <w:p w14:paraId="336DB15E">
            <w:pPr>
              <w:widowControl/>
              <w:adjustRightInd w:val="0"/>
              <w:snapToGrid w:val="0"/>
              <w:jc w:val="center"/>
              <w:textAlignment w:val="center"/>
              <w:rPr>
                <w:rFonts w:ascii="Arial" w:hAnsi="Arial" w:eastAsia="宋体" w:cs="Arial"/>
                <w:kern w:val="0"/>
                <w:sz w:val="21"/>
                <w:szCs w:val="21"/>
                <w:u w:val="single"/>
                <w:lang w:bidi="ar"/>
              </w:rPr>
            </w:pPr>
          </w:p>
        </w:tc>
      </w:tr>
      <w:tr w14:paraId="510F3A75">
        <w:tblPrEx>
          <w:tblCellMar>
            <w:top w:w="0" w:type="dxa"/>
            <w:left w:w="108" w:type="dxa"/>
            <w:bottom w:w="0" w:type="dxa"/>
            <w:right w:w="108" w:type="dxa"/>
          </w:tblCellMar>
        </w:tblPrEx>
        <w:trPr>
          <w:trHeight w:val="340"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7AFFD">
            <w:pPr>
              <w:widowControl/>
              <w:adjustRightInd w:val="0"/>
              <w:snapToGrid w:val="0"/>
              <w:jc w:val="center"/>
              <w:textAlignment w:val="center"/>
              <w:rPr>
                <w:rFonts w:ascii="Arial" w:hAnsi="Arial" w:eastAsia="宋体" w:cs="Arial"/>
                <w:kern w:val="0"/>
                <w:sz w:val="21"/>
                <w:szCs w:val="21"/>
                <w:u w:val="single"/>
                <w:lang w:bidi="ar"/>
              </w:rPr>
            </w:pPr>
          </w:p>
        </w:tc>
        <w:tc>
          <w:tcPr>
            <w:tcW w:w="18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755A1">
            <w:pPr>
              <w:widowControl/>
              <w:adjustRightInd w:val="0"/>
              <w:snapToGrid w:val="0"/>
              <w:jc w:val="center"/>
              <w:textAlignment w:val="center"/>
              <w:rPr>
                <w:rFonts w:ascii="Arial" w:hAnsi="Arial" w:eastAsia="宋体" w:cs="Arial"/>
                <w:kern w:val="0"/>
                <w:sz w:val="21"/>
                <w:szCs w:val="21"/>
                <w:u w:val="single"/>
                <w:lang w:bidi="ar"/>
              </w:rPr>
            </w:pPr>
          </w:p>
        </w:tc>
        <w:tc>
          <w:tcPr>
            <w:tcW w:w="16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CB75C">
            <w:pPr>
              <w:widowControl/>
              <w:adjustRightInd w:val="0"/>
              <w:snapToGrid w:val="0"/>
              <w:jc w:val="center"/>
              <w:textAlignment w:val="center"/>
              <w:rPr>
                <w:rFonts w:ascii="Arial" w:hAnsi="Arial" w:eastAsia="宋体" w:cs="Arial"/>
                <w:kern w:val="0"/>
                <w:sz w:val="21"/>
                <w:szCs w:val="21"/>
                <w:u w:val="single"/>
                <w:lang w:bidi="ar"/>
              </w:rPr>
            </w:pPr>
          </w:p>
        </w:tc>
        <w:tc>
          <w:tcPr>
            <w:tcW w:w="849" w:type="pct"/>
            <w:tcBorders>
              <w:top w:val="single" w:color="000000" w:sz="4" w:space="0"/>
              <w:left w:val="single" w:color="000000" w:sz="4" w:space="0"/>
              <w:bottom w:val="single" w:color="000000" w:sz="4" w:space="0"/>
              <w:right w:val="single" w:color="000000" w:sz="4" w:space="0"/>
            </w:tcBorders>
            <w:vAlign w:val="center"/>
          </w:tcPr>
          <w:p w14:paraId="17B33544">
            <w:pPr>
              <w:widowControl/>
              <w:adjustRightInd w:val="0"/>
              <w:snapToGrid w:val="0"/>
              <w:jc w:val="center"/>
              <w:textAlignment w:val="center"/>
              <w:rPr>
                <w:rFonts w:ascii="Arial" w:hAnsi="Arial" w:eastAsia="宋体" w:cs="Arial"/>
                <w:kern w:val="0"/>
                <w:sz w:val="21"/>
                <w:szCs w:val="21"/>
                <w:u w:val="single"/>
                <w:lang w:bidi="ar"/>
              </w:rPr>
            </w:pPr>
          </w:p>
        </w:tc>
      </w:tr>
      <w:tr w14:paraId="4C656205">
        <w:tblPrEx>
          <w:tblCellMar>
            <w:top w:w="0" w:type="dxa"/>
            <w:left w:w="108" w:type="dxa"/>
            <w:bottom w:w="0" w:type="dxa"/>
            <w:right w:w="108" w:type="dxa"/>
          </w:tblCellMar>
        </w:tblPrEx>
        <w:trPr>
          <w:trHeight w:val="340"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282A7">
            <w:pPr>
              <w:widowControl/>
              <w:adjustRightInd w:val="0"/>
              <w:snapToGrid w:val="0"/>
              <w:jc w:val="center"/>
              <w:textAlignment w:val="center"/>
              <w:rPr>
                <w:rFonts w:ascii="Arial" w:hAnsi="Arial" w:eastAsia="宋体" w:cs="Arial"/>
                <w:kern w:val="0"/>
                <w:sz w:val="21"/>
                <w:szCs w:val="21"/>
                <w:u w:val="single"/>
                <w:lang w:bidi="ar"/>
              </w:rPr>
            </w:pPr>
          </w:p>
        </w:tc>
        <w:tc>
          <w:tcPr>
            <w:tcW w:w="18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B2CF1">
            <w:pPr>
              <w:widowControl/>
              <w:adjustRightInd w:val="0"/>
              <w:snapToGrid w:val="0"/>
              <w:jc w:val="center"/>
              <w:textAlignment w:val="center"/>
              <w:rPr>
                <w:rFonts w:ascii="Arial" w:hAnsi="Arial" w:eastAsia="宋体" w:cs="Arial"/>
                <w:sz w:val="21"/>
                <w:szCs w:val="21"/>
                <w:u w:val="single"/>
              </w:rPr>
            </w:pPr>
          </w:p>
        </w:tc>
        <w:tc>
          <w:tcPr>
            <w:tcW w:w="16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7DF16">
            <w:pPr>
              <w:adjustRightInd w:val="0"/>
              <w:snapToGrid w:val="0"/>
              <w:jc w:val="center"/>
              <w:rPr>
                <w:rFonts w:ascii="Arial" w:hAnsi="Arial" w:eastAsia="宋体" w:cs="Arial"/>
                <w:sz w:val="21"/>
                <w:szCs w:val="21"/>
                <w:u w:val="single"/>
              </w:rPr>
            </w:pPr>
          </w:p>
        </w:tc>
        <w:tc>
          <w:tcPr>
            <w:tcW w:w="849" w:type="pct"/>
            <w:tcBorders>
              <w:top w:val="single" w:color="000000" w:sz="4" w:space="0"/>
              <w:left w:val="single" w:color="000000" w:sz="4" w:space="0"/>
              <w:bottom w:val="single" w:color="000000" w:sz="4" w:space="0"/>
              <w:right w:val="single" w:color="000000" w:sz="4" w:space="0"/>
            </w:tcBorders>
            <w:vAlign w:val="center"/>
          </w:tcPr>
          <w:p w14:paraId="4CD6180C">
            <w:pPr>
              <w:widowControl/>
              <w:adjustRightInd w:val="0"/>
              <w:snapToGrid w:val="0"/>
              <w:jc w:val="center"/>
              <w:textAlignment w:val="center"/>
              <w:rPr>
                <w:rFonts w:ascii="Arial" w:hAnsi="Arial" w:eastAsia="宋体" w:cs="Arial"/>
                <w:kern w:val="0"/>
                <w:sz w:val="21"/>
                <w:szCs w:val="21"/>
                <w:u w:val="single"/>
                <w:lang w:bidi="ar"/>
              </w:rPr>
            </w:pPr>
          </w:p>
        </w:tc>
      </w:tr>
      <w:tr w14:paraId="6E6AF272">
        <w:tblPrEx>
          <w:tblCellMar>
            <w:top w:w="0" w:type="dxa"/>
            <w:left w:w="108" w:type="dxa"/>
            <w:bottom w:w="0" w:type="dxa"/>
            <w:right w:w="108" w:type="dxa"/>
          </w:tblCellMar>
        </w:tblPrEx>
        <w:trPr>
          <w:trHeight w:val="340"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E359A">
            <w:pPr>
              <w:widowControl/>
              <w:adjustRightInd w:val="0"/>
              <w:snapToGrid w:val="0"/>
              <w:jc w:val="center"/>
              <w:textAlignment w:val="center"/>
              <w:rPr>
                <w:rFonts w:ascii="Arial" w:hAnsi="Arial" w:eastAsia="宋体" w:cs="Arial"/>
                <w:kern w:val="0"/>
                <w:sz w:val="21"/>
                <w:szCs w:val="21"/>
                <w:u w:val="single"/>
                <w:lang w:bidi="ar"/>
              </w:rPr>
            </w:pPr>
          </w:p>
        </w:tc>
        <w:tc>
          <w:tcPr>
            <w:tcW w:w="18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B4257">
            <w:pPr>
              <w:widowControl/>
              <w:adjustRightInd w:val="0"/>
              <w:snapToGrid w:val="0"/>
              <w:jc w:val="center"/>
              <w:textAlignment w:val="center"/>
              <w:rPr>
                <w:rFonts w:ascii="Arial" w:hAnsi="Arial" w:eastAsia="宋体" w:cs="Arial"/>
                <w:sz w:val="21"/>
                <w:szCs w:val="21"/>
                <w:u w:val="single"/>
              </w:rPr>
            </w:pPr>
          </w:p>
        </w:tc>
        <w:tc>
          <w:tcPr>
            <w:tcW w:w="16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CE4F0">
            <w:pPr>
              <w:adjustRightInd w:val="0"/>
              <w:snapToGrid w:val="0"/>
              <w:jc w:val="center"/>
              <w:rPr>
                <w:rFonts w:ascii="Arial" w:hAnsi="Arial" w:eastAsia="宋体" w:cs="Arial"/>
                <w:sz w:val="21"/>
                <w:szCs w:val="21"/>
                <w:u w:val="single"/>
              </w:rPr>
            </w:pPr>
          </w:p>
        </w:tc>
        <w:tc>
          <w:tcPr>
            <w:tcW w:w="849" w:type="pct"/>
            <w:tcBorders>
              <w:top w:val="single" w:color="000000" w:sz="4" w:space="0"/>
              <w:left w:val="single" w:color="000000" w:sz="4" w:space="0"/>
              <w:bottom w:val="single" w:color="000000" w:sz="4" w:space="0"/>
              <w:right w:val="single" w:color="000000" w:sz="4" w:space="0"/>
            </w:tcBorders>
            <w:vAlign w:val="center"/>
          </w:tcPr>
          <w:p w14:paraId="41E7A327">
            <w:pPr>
              <w:widowControl/>
              <w:adjustRightInd w:val="0"/>
              <w:snapToGrid w:val="0"/>
              <w:jc w:val="center"/>
              <w:textAlignment w:val="center"/>
              <w:rPr>
                <w:rFonts w:ascii="Arial" w:hAnsi="Arial" w:eastAsia="宋体" w:cs="Arial"/>
                <w:kern w:val="0"/>
                <w:sz w:val="21"/>
                <w:szCs w:val="21"/>
                <w:u w:val="single"/>
                <w:lang w:bidi="ar"/>
              </w:rPr>
            </w:pPr>
          </w:p>
        </w:tc>
      </w:tr>
      <w:tr w14:paraId="1D241212">
        <w:tblPrEx>
          <w:tblCellMar>
            <w:top w:w="0" w:type="dxa"/>
            <w:left w:w="108" w:type="dxa"/>
            <w:bottom w:w="0" w:type="dxa"/>
            <w:right w:w="108" w:type="dxa"/>
          </w:tblCellMar>
        </w:tblPrEx>
        <w:trPr>
          <w:trHeight w:val="340"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3F31B">
            <w:pPr>
              <w:widowControl/>
              <w:adjustRightInd w:val="0"/>
              <w:snapToGrid w:val="0"/>
              <w:jc w:val="center"/>
              <w:textAlignment w:val="center"/>
              <w:rPr>
                <w:rFonts w:ascii="Arial" w:hAnsi="Arial" w:eastAsia="宋体" w:cs="Arial"/>
                <w:kern w:val="0"/>
                <w:sz w:val="21"/>
                <w:szCs w:val="21"/>
                <w:u w:val="single"/>
                <w:lang w:bidi="ar"/>
              </w:rPr>
            </w:pPr>
          </w:p>
        </w:tc>
        <w:tc>
          <w:tcPr>
            <w:tcW w:w="18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217AC">
            <w:pPr>
              <w:widowControl/>
              <w:adjustRightInd w:val="0"/>
              <w:snapToGrid w:val="0"/>
              <w:jc w:val="center"/>
              <w:textAlignment w:val="center"/>
              <w:rPr>
                <w:rFonts w:ascii="Arial" w:hAnsi="Arial" w:eastAsia="宋体" w:cs="Arial"/>
                <w:sz w:val="21"/>
                <w:szCs w:val="21"/>
                <w:u w:val="single"/>
              </w:rPr>
            </w:pPr>
          </w:p>
        </w:tc>
        <w:tc>
          <w:tcPr>
            <w:tcW w:w="16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2D230">
            <w:pPr>
              <w:widowControl/>
              <w:adjustRightInd w:val="0"/>
              <w:snapToGrid w:val="0"/>
              <w:jc w:val="center"/>
              <w:textAlignment w:val="center"/>
              <w:rPr>
                <w:rFonts w:ascii="Arial" w:hAnsi="Arial" w:eastAsia="宋体" w:cs="Arial"/>
                <w:sz w:val="21"/>
                <w:szCs w:val="21"/>
                <w:u w:val="single"/>
              </w:rPr>
            </w:pPr>
          </w:p>
        </w:tc>
        <w:tc>
          <w:tcPr>
            <w:tcW w:w="849" w:type="pct"/>
            <w:tcBorders>
              <w:top w:val="single" w:color="000000" w:sz="4" w:space="0"/>
              <w:left w:val="single" w:color="000000" w:sz="4" w:space="0"/>
              <w:bottom w:val="single" w:color="000000" w:sz="4" w:space="0"/>
              <w:right w:val="single" w:color="000000" w:sz="4" w:space="0"/>
            </w:tcBorders>
            <w:vAlign w:val="center"/>
          </w:tcPr>
          <w:p w14:paraId="5DC657D3">
            <w:pPr>
              <w:widowControl/>
              <w:adjustRightInd w:val="0"/>
              <w:snapToGrid w:val="0"/>
              <w:jc w:val="center"/>
              <w:textAlignment w:val="center"/>
              <w:rPr>
                <w:rFonts w:ascii="Arial" w:hAnsi="Arial" w:eastAsia="宋体" w:cs="Arial"/>
                <w:sz w:val="21"/>
                <w:szCs w:val="21"/>
                <w:u w:val="single"/>
              </w:rPr>
            </w:pPr>
          </w:p>
        </w:tc>
      </w:tr>
      <w:tr w14:paraId="341F916F">
        <w:tblPrEx>
          <w:tblCellMar>
            <w:top w:w="0" w:type="dxa"/>
            <w:left w:w="108" w:type="dxa"/>
            <w:bottom w:w="0" w:type="dxa"/>
            <w:right w:w="108" w:type="dxa"/>
          </w:tblCellMar>
        </w:tblPrEx>
        <w:trPr>
          <w:trHeight w:val="340" w:hRule="atLeast"/>
        </w:trPr>
        <w:tc>
          <w:tcPr>
            <w:tcW w:w="6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5FCE8">
            <w:pPr>
              <w:widowControl/>
              <w:adjustRightInd w:val="0"/>
              <w:snapToGrid w:val="0"/>
              <w:jc w:val="center"/>
              <w:textAlignment w:val="center"/>
              <w:rPr>
                <w:rFonts w:ascii="Arial" w:hAnsi="Arial" w:eastAsia="宋体" w:cs="Arial"/>
                <w:kern w:val="0"/>
                <w:sz w:val="21"/>
                <w:szCs w:val="21"/>
                <w:u w:val="single"/>
                <w:lang w:bidi="ar"/>
              </w:rPr>
            </w:pPr>
          </w:p>
        </w:tc>
        <w:tc>
          <w:tcPr>
            <w:tcW w:w="18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404E2">
            <w:pPr>
              <w:widowControl/>
              <w:adjustRightInd w:val="0"/>
              <w:snapToGrid w:val="0"/>
              <w:jc w:val="center"/>
              <w:textAlignment w:val="center"/>
              <w:rPr>
                <w:rFonts w:ascii="Arial" w:hAnsi="Arial" w:eastAsia="宋体" w:cs="Arial"/>
                <w:sz w:val="21"/>
                <w:szCs w:val="21"/>
                <w:u w:val="single"/>
              </w:rPr>
            </w:pPr>
          </w:p>
        </w:tc>
        <w:tc>
          <w:tcPr>
            <w:tcW w:w="16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C1935">
            <w:pPr>
              <w:adjustRightInd w:val="0"/>
              <w:snapToGrid w:val="0"/>
              <w:jc w:val="center"/>
              <w:rPr>
                <w:rFonts w:ascii="Arial" w:hAnsi="Arial" w:eastAsia="宋体" w:cs="Arial"/>
                <w:sz w:val="21"/>
                <w:szCs w:val="21"/>
                <w:u w:val="single"/>
              </w:rPr>
            </w:pPr>
          </w:p>
        </w:tc>
        <w:tc>
          <w:tcPr>
            <w:tcW w:w="849" w:type="pct"/>
            <w:tcBorders>
              <w:top w:val="single" w:color="000000" w:sz="4" w:space="0"/>
              <w:left w:val="single" w:color="000000" w:sz="4" w:space="0"/>
              <w:bottom w:val="single" w:color="000000" w:sz="4" w:space="0"/>
              <w:right w:val="single" w:color="000000" w:sz="4" w:space="0"/>
            </w:tcBorders>
            <w:vAlign w:val="center"/>
          </w:tcPr>
          <w:p w14:paraId="6F6FEE8D">
            <w:pPr>
              <w:widowControl/>
              <w:adjustRightInd w:val="0"/>
              <w:snapToGrid w:val="0"/>
              <w:jc w:val="center"/>
              <w:textAlignment w:val="center"/>
              <w:rPr>
                <w:rFonts w:ascii="Arial" w:hAnsi="Arial" w:eastAsia="宋体" w:cs="Arial"/>
                <w:kern w:val="0"/>
                <w:sz w:val="21"/>
                <w:szCs w:val="21"/>
                <w:u w:val="single"/>
                <w:lang w:bidi="ar"/>
              </w:rPr>
            </w:pPr>
          </w:p>
        </w:tc>
      </w:tr>
    </w:tbl>
    <w:p w14:paraId="3A1B0CB1">
      <w:pPr>
        <w:pStyle w:val="5"/>
        <w:ind w:firstLine="0"/>
        <w:outlineLvl w:val="4"/>
        <w:rPr>
          <w:b/>
        </w:rPr>
      </w:pPr>
      <w:r>
        <w:rPr>
          <w:rFonts w:hint="eastAsia"/>
          <w:b/>
        </w:rPr>
        <w:t>2.2.2.3镍豆镍粉处置线主要污染防治措施及污染源源强</w:t>
      </w:r>
    </w:p>
    <w:p w14:paraId="3AC2B313">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1、主要污染防治措施</w:t>
      </w:r>
    </w:p>
    <w:p w14:paraId="5A5CB266">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镍豆镍粉处置线废气、废水及固态废物污染防治措施见表2-8。</w:t>
      </w:r>
    </w:p>
    <w:p w14:paraId="3134CC5F">
      <w:pPr>
        <w:keepNext/>
        <w:numPr>
          <w:ilvl w:val="0"/>
          <w:numId w:val="12"/>
        </w:numPr>
        <w:spacing w:line="480" w:lineRule="exact"/>
        <w:ind w:left="0" w:firstLine="0"/>
        <w:jc w:val="center"/>
        <w:outlineLvl w:val="5"/>
        <w:rPr>
          <w:rFonts w:ascii="Arial" w:hAnsi="Arial" w:eastAsia="宋体" w:cs="Arial"/>
          <w:b/>
          <w:spacing w:val="10"/>
          <w:sz w:val="24"/>
          <w:u w:val="single"/>
        </w:rPr>
      </w:pPr>
      <w:r>
        <w:rPr>
          <w:rFonts w:hint="eastAsia" w:ascii="Arial" w:hAnsi="Arial" w:eastAsia="宋体" w:cs="Arial"/>
          <w:b/>
          <w:spacing w:val="10"/>
          <w:sz w:val="24"/>
          <w:u w:val="single"/>
        </w:rPr>
        <w:t>镍豆镍粉处置线主要污染防治措施</w:t>
      </w:r>
    </w:p>
    <w:tbl>
      <w:tblPr>
        <w:tblStyle w:val="88"/>
        <w:tblW w:w="5000" w:type="pct"/>
        <w:tblInd w:w="0" w:type="dxa"/>
        <w:tblLayout w:type="fixed"/>
        <w:tblCellMar>
          <w:top w:w="0" w:type="dxa"/>
          <w:left w:w="108" w:type="dxa"/>
          <w:bottom w:w="0" w:type="dxa"/>
          <w:right w:w="108" w:type="dxa"/>
        </w:tblCellMar>
      </w:tblPr>
      <w:tblGrid>
        <w:gridCol w:w="674"/>
        <w:gridCol w:w="4254"/>
        <w:gridCol w:w="4360"/>
      </w:tblGrid>
      <w:tr w14:paraId="6399D512">
        <w:tblPrEx>
          <w:tblCellMar>
            <w:top w:w="0" w:type="dxa"/>
            <w:left w:w="108" w:type="dxa"/>
            <w:bottom w:w="0" w:type="dxa"/>
            <w:right w:w="108" w:type="dxa"/>
          </w:tblCellMar>
        </w:tblPrEx>
        <w:trPr>
          <w:trHeight w:val="340" w:hRule="atLeast"/>
        </w:trPr>
        <w:tc>
          <w:tcPr>
            <w:tcW w:w="3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11FC5">
            <w:pPr>
              <w:widowControl/>
              <w:adjustRightInd w:val="0"/>
              <w:snapToGrid w:val="0"/>
              <w:jc w:val="center"/>
              <w:textAlignment w:val="center"/>
              <w:rPr>
                <w:rFonts w:ascii="Arial" w:hAnsi="Arial" w:eastAsia="宋体" w:cs="Arial"/>
                <w:sz w:val="21"/>
                <w:szCs w:val="21"/>
                <w:u w:val="single"/>
              </w:rPr>
            </w:pPr>
            <w:r>
              <w:rPr>
                <w:rFonts w:hint="eastAsia" w:ascii="Arial" w:hAnsi="Arial" w:eastAsia="宋体" w:cs="Arial"/>
                <w:sz w:val="21"/>
                <w:szCs w:val="21"/>
                <w:u w:val="single"/>
              </w:rPr>
              <w:t>类别</w:t>
            </w:r>
          </w:p>
        </w:tc>
        <w:tc>
          <w:tcPr>
            <w:tcW w:w="2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C9871">
            <w:pPr>
              <w:widowControl/>
              <w:adjustRightInd w:val="0"/>
              <w:snapToGrid w:val="0"/>
              <w:jc w:val="center"/>
              <w:textAlignment w:val="center"/>
              <w:rPr>
                <w:rFonts w:ascii="Arial" w:hAnsi="Arial" w:eastAsia="宋体" w:cs="Arial"/>
                <w:sz w:val="21"/>
                <w:szCs w:val="21"/>
                <w:u w:val="single"/>
              </w:rPr>
            </w:pPr>
            <w:r>
              <w:rPr>
                <w:rFonts w:hint="eastAsia" w:ascii="Arial" w:hAnsi="Arial" w:eastAsia="宋体" w:cs="Arial"/>
                <w:sz w:val="21"/>
                <w:szCs w:val="21"/>
                <w:u w:val="single"/>
              </w:rPr>
              <w:t>污染防治措施</w:t>
            </w:r>
          </w:p>
        </w:tc>
        <w:tc>
          <w:tcPr>
            <w:tcW w:w="2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0F2A8">
            <w:pPr>
              <w:widowControl/>
              <w:adjustRightInd w:val="0"/>
              <w:snapToGrid w:val="0"/>
              <w:jc w:val="center"/>
              <w:textAlignment w:val="center"/>
              <w:rPr>
                <w:rFonts w:ascii="Arial" w:hAnsi="Arial" w:eastAsia="宋体" w:cs="Arial"/>
                <w:sz w:val="21"/>
                <w:szCs w:val="21"/>
                <w:u w:val="single"/>
              </w:rPr>
            </w:pPr>
            <w:r>
              <w:rPr>
                <w:rFonts w:hint="eastAsia" w:ascii="Arial" w:hAnsi="Arial" w:eastAsia="宋体" w:cs="Arial"/>
                <w:sz w:val="21"/>
                <w:szCs w:val="21"/>
                <w:u w:val="single"/>
              </w:rPr>
              <w:t>说明</w:t>
            </w:r>
          </w:p>
        </w:tc>
      </w:tr>
      <w:tr w14:paraId="39338FEF">
        <w:tblPrEx>
          <w:tblCellMar>
            <w:top w:w="0" w:type="dxa"/>
            <w:left w:w="108" w:type="dxa"/>
            <w:bottom w:w="0" w:type="dxa"/>
            <w:right w:w="108" w:type="dxa"/>
          </w:tblCellMar>
        </w:tblPrEx>
        <w:trPr>
          <w:trHeight w:val="340" w:hRule="atLeast"/>
        </w:trPr>
        <w:tc>
          <w:tcPr>
            <w:tcW w:w="3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FFCAA">
            <w:pPr>
              <w:widowControl/>
              <w:adjustRightInd w:val="0"/>
              <w:snapToGrid w:val="0"/>
              <w:jc w:val="center"/>
              <w:textAlignment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废气</w:t>
            </w:r>
          </w:p>
        </w:tc>
        <w:tc>
          <w:tcPr>
            <w:tcW w:w="2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CD986">
            <w:pPr>
              <w:widowControl/>
              <w:adjustRightInd w:val="0"/>
              <w:snapToGrid w:val="0"/>
              <w:jc w:val="center"/>
              <w:textAlignment w:val="center"/>
              <w:rPr>
                <w:rFonts w:ascii="Arial" w:hAnsi="Arial" w:eastAsia="宋体" w:cs="Arial"/>
                <w:sz w:val="21"/>
                <w:szCs w:val="21"/>
                <w:u w:val="single"/>
              </w:rPr>
            </w:pPr>
            <w:r>
              <w:rPr>
                <w:rFonts w:hint="eastAsia" w:ascii="Arial" w:hAnsi="Arial" w:eastAsia="宋体" w:cs="Arial"/>
                <w:sz w:val="21"/>
                <w:szCs w:val="21"/>
                <w:u w:val="single"/>
              </w:rPr>
              <w:t>镍溶解废气经1套吸收塔处理后通过1根20m高排气筒排放；镍净化废气经1套吸收塔处理后通过1根20m高排气筒排放。</w:t>
            </w:r>
          </w:p>
        </w:tc>
        <w:tc>
          <w:tcPr>
            <w:tcW w:w="2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1ECBB">
            <w:pPr>
              <w:widowControl/>
              <w:adjustRightInd w:val="0"/>
              <w:snapToGrid w:val="0"/>
              <w:jc w:val="center"/>
              <w:textAlignment w:val="center"/>
              <w:rPr>
                <w:rFonts w:ascii="Arial" w:hAnsi="Arial" w:eastAsia="宋体" w:cs="Arial"/>
                <w:sz w:val="21"/>
                <w:szCs w:val="21"/>
                <w:u w:val="single"/>
              </w:rPr>
            </w:pPr>
            <w:r>
              <w:rPr>
                <w:rFonts w:hint="eastAsia" w:ascii="Arial" w:hAnsi="Arial" w:eastAsia="宋体" w:cs="Arial"/>
                <w:sz w:val="21"/>
                <w:szCs w:val="21"/>
                <w:u w:val="single"/>
              </w:rPr>
              <w:t>原环评镍溶解废气拟设4套吸收塔及4根20m高排气筒，实际仅建设了1套吸收塔及1根20m高排气筒；镍净化废气拟设2套吸收塔及2根20m高排气筒，实际仅建设了1套吸收塔及1根20m高排气筒</w:t>
            </w:r>
          </w:p>
        </w:tc>
      </w:tr>
      <w:tr w14:paraId="6B9E390B">
        <w:tblPrEx>
          <w:tblCellMar>
            <w:top w:w="0" w:type="dxa"/>
            <w:left w:w="108" w:type="dxa"/>
            <w:bottom w:w="0" w:type="dxa"/>
            <w:right w:w="108" w:type="dxa"/>
          </w:tblCellMar>
        </w:tblPrEx>
        <w:trPr>
          <w:trHeight w:val="340" w:hRule="atLeast"/>
        </w:trPr>
        <w:tc>
          <w:tcPr>
            <w:tcW w:w="3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5A10A">
            <w:pPr>
              <w:widowControl/>
              <w:adjustRightInd w:val="0"/>
              <w:snapToGrid w:val="0"/>
              <w:jc w:val="center"/>
              <w:textAlignment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废水</w:t>
            </w:r>
          </w:p>
        </w:tc>
        <w:tc>
          <w:tcPr>
            <w:tcW w:w="2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FAE9C">
            <w:pPr>
              <w:widowControl/>
              <w:adjustRightInd w:val="0"/>
              <w:snapToGrid w:val="0"/>
              <w:jc w:val="center"/>
              <w:textAlignment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镍豆镍粉处置线无生产废水排放；生活污水采用地埋式三级化粪池处理后，通过污水管道排入大榄坪污水处理厂处理；纯水站浓水与综合污水处理站处理后的废水一同排往厂区生产废水总排口。</w:t>
            </w:r>
          </w:p>
        </w:tc>
        <w:tc>
          <w:tcPr>
            <w:tcW w:w="2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A766E">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w:t>
            </w:r>
          </w:p>
        </w:tc>
      </w:tr>
      <w:tr w14:paraId="0B6EF80B">
        <w:tblPrEx>
          <w:tblCellMar>
            <w:top w:w="0" w:type="dxa"/>
            <w:left w:w="108" w:type="dxa"/>
            <w:bottom w:w="0" w:type="dxa"/>
            <w:right w:w="108" w:type="dxa"/>
          </w:tblCellMar>
        </w:tblPrEx>
        <w:trPr>
          <w:trHeight w:val="340" w:hRule="atLeast"/>
        </w:trPr>
        <w:tc>
          <w:tcPr>
            <w:tcW w:w="3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F4818">
            <w:pPr>
              <w:widowControl/>
              <w:adjustRightInd w:val="0"/>
              <w:snapToGrid w:val="0"/>
              <w:jc w:val="center"/>
              <w:textAlignment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固体废物</w:t>
            </w:r>
          </w:p>
        </w:tc>
        <w:tc>
          <w:tcPr>
            <w:tcW w:w="22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D862D">
            <w:pPr>
              <w:widowControl/>
              <w:adjustRightInd w:val="0"/>
              <w:snapToGrid w:val="0"/>
              <w:jc w:val="center"/>
              <w:textAlignment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低镍除铁除铜渣暂存于危废暂存间，委托有资质的单位处置；生活垃圾委托环卫部门处理。</w:t>
            </w:r>
          </w:p>
        </w:tc>
        <w:tc>
          <w:tcPr>
            <w:tcW w:w="2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154CC">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w:t>
            </w:r>
          </w:p>
        </w:tc>
      </w:tr>
    </w:tbl>
    <w:p w14:paraId="3B2E80FC">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2、污染源强</w:t>
      </w:r>
    </w:p>
    <w:p w14:paraId="021705DD">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根据二阶段项目环评报告，镍豆镍粉处置线无工艺废水排放，主要的废水为纯水站浓水和生活污水；主要废气为镍溶解和镍净化工序产生的硫酸雾；产生的固体废物为除铁除铜渣及生活垃圾。镍豆镍粉处置线污染源源强见表2-9、表2-10。</w:t>
      </w:r>
    </w:p>
    <w:p w14:paraId="4848993F">
      <w:pPr>
        <w:keepNext/>
        <w:numPr>
          <w:ilvl w:val="0"/>
          <w:numId w:val="12"/>
        </w:numPr>
        <w:spacing w:line="480" w:lineRule="exact"/>
        <w:ind w:left="0" w:firstLine="0"/>
        <w:jc w:val="center"/>
        <w:outlineLvl w:val="5"/>
        <w:rPr>
          <w:rFonts w:ascii="Arial" w:hAnsi="Arial" w:eastAsia="宋体" w:cs="Arial"/>
          <w:b/>
          <w:spacing w:val="10"/>
          <w:sz w:val="24"/>
        </w:rPr>
      </w:pPr>
      <w:r>
        <w:rPr>
          <w:rFonts w:hint="eastAsia" w:ascii="Arial" w:hAnsi="Arial" w:eastAsia="宋体" w:cs="Arial"/>
          <w:b/>
          <w:spacing w:val="10"/>
          <w:sz w:val="24"/>
        </w:rPr>
        <w:t>镍豆镍粉处置线主要污染防治措施及污染源强汇总表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702"/>
        <w:gridCol w:w="2552"/>
        <w:gridCol w:w="3650"/>
      </w:tblGrid>
      <w:tr w14:paraId="53A3C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45" w:type="pct"/>
            <w:shd w:val="clear" w:color="auto" w:fill="auto"/>
            <w:vAlign w:val="center"/>
          </w:tcPr>
          <w:p w14:paraId="242BD4F1">
            <w:pPr>
              <w:adjustRightInd w:val="0"/>
              <w:snapToGrid w:val="0"/>
              <w:jc w:val="center"/>
              <w:rPr>
                <w:rFonts w:ascii="Arial" w:hAnsi="Arial" w:eastAsia="宋体" w:cs="Arial"/>
                <w:b/>
                <w:sz w:val="21"/>
                <w:szCs w:val="21"/>
              </w:rPr>
            </w:pPr>
            <w:r>
              <w:rPr>
                <w:rFonts w:ascii="Arial" w:hAnsi="Arial" w:eastAsia="宋体" w:cs="Arial"/>
                <w:b/>
                <w:sz w:val="21"/>
                <w:szCs w:val="21"/>
              </w:rPr>
              <w:t>类别</w:t>
            </w:r>
          </w:p>
        </w:tc>
        <w:tc>
          <w:tcPr>
            <w:tcW w:w="2290" w:type="pct"/>
            <w:gridSpan w:val="2"/>
            <w:shd w:val="clear" w:color="auto" w:fill="auto"/>
            <w:vAlign w:val="center"/>
          </w:tcPr>
          <w:p w14:paraId="4094DDDE">
            <w:pPr>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1965" w:type="pct"/>
            <w:shd w:val="clear" w:color="auto" w:fill="auto"/>
            <w:vAlign w:val="center"/>
          </w:tcPr>
          <w:p w14:paraId="2A106FF5">
            <w:pPr>
              <w:adjustRightInd w:val="0"/>
              <w:snapToGrid w:val="0"/>
              <w:jc w:val="center"/>
              <w:rPr>
                <w:rFonts w:ascii="Arial" w:hAnsi="Arial" w:eastAsia="宋体" w:cs="Arial"/>
                <w:b/>
                <w:sz w:val="21"/>
                <w:szCs w:val="21"/>
              </w:rPr>
            </w:pPr>
            <w:r>
              <w:rPr>
                <w:rFonts w:ascii="Arial" w:hAnsi="Arial" w:eastAsia="宋体" w:cs="Arial"/>
                <w:b/>
                <w:sz w:val="21"/>
                <w:szCs w:val="21"/>
              </w:rPr>
              <w:t>排放量</w:t>
            </w:r>
            <w:r>
              <w:rPr>
                <w:rFonts w:hint="eastAsia" w:ascii="Arial" w:hAnsi="Arial" w:eastAsia="宋体" w:cs="Arial"/>
                <w:b/>
                <w:sz w:val="21"/>
                <w:szCs w:val="21"/>
              </w:rPr>
              <w:t>（</w:t>
            </w:r>
            <w:r>
              <w:rPr>
                <w:rFonts w:ascii="Arial" w:hAnsi="Arial" w:eastAsia="宋体" w:cs="Arial"/>
                <w:sz w:val="21"/>
                <w:szCs w:val="21"/>
              </w:rPr>
              <w:t>t/a</w:t>
            </w:r>
            <w:r>
              <w:rPr>
                <w:rFonts w:hint="eastAsia" w:ascii="Arial" w:hAnsi="Arial" w:eastAsia="宋体" w:cs="Arial"/>
                <w:b/>
                <w:sz w:val="21"/>
                <w:szCs w:val="21"/>
              </w:rPr>
              <w:t>）</w:t>
            </w:r>
          </w:p>
        </w:tc>
      </w:tr>
      <w:tr w14:paraId="63A51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shd w:val="clear" w:color="auto" w:fill="auto"/>
            <w:vAlign w:val="center"/>
          </w:tcPr>
          <w:p w14:paraId="4D74D4AA">
            <w:pPr>
              <w:adjustRightInd w:val="0"/>
              <w:snapToGrid w:val="0"/>
              <w:jc w:val="center"/>
              <w:rPr>
                <w:rFonts w:ascii="Arial" w:hAnsi="Arial" w:eastAsia="宋体" w:cs="Arial"/>
                <w:sz w:val="21"/>
                <w:szCs w:val="21"/>
              </w:rPr>
            </w:pPr>
            <w:r>
              <w:rPr>
                <w:rFonts w:ascii="Arial" w:hAnsi="Arial" w:eastAsia="宋体" w:cs="Arial"/>
                <w:sz w:val="21"/>
                <w:szCs w:val="21"/>
              </w:rPr>
              <w:t>废气</w:t>
            </w:r>
          </w:p>
        </w:tc>
        <w:tc>
          <w:tcPr>
            <w:tcW w:w="2290" w:type="pct"/>
            <w:gridSpan w:val="2"/>
            <w:shd w:val="clear" w:color="auto" w:fill="auto"/>
            <w:vAlign w:val="center"/>
          </w:tcPr>
          <w:p w14:paraId="160F4FF5">
            <w:pPr>
              <w:adjustRightInd w:val="0"/>
              <w:snapToGrid w:val="0"/>
              <w:jc w:val="center"/>
              <w:rPr>
                <w:rFonts w:ascii="Arial" w:hAnsi="Arial" w:eastAsia="宋体" w:cs="Arial"/>
                <w:sz w:val="21"/>
                <w:szCs w:val="21"/>
              </w:rPr>
            </w:pPr>
            <w:r>
              <w:rPr>
                <w:rFonts w:ascii="Arial" w:hAnsi="Arial" w:eastAsia="宋体" w:cs="Arial"/>
                <w:sz w:val="21"/>
                <w:szCs w:val="21"/>
              </w:rPr>
              <w:t>硫酸雾</w:t>
            </w:r>
          </w:p>
        </w:tc>
        <w:tc>
          <w:tcPr>
            <w:tcW w:w="1965" w:type="pct"/>
            <w:shd w:val="clear" w:color="auto" w:fill="auto"/>
            <w:vAlign w:val="center"/>
          </w:tcPr>
          <w:p w14:paraId="647B2771">
            <w:pPr>
              <w:adjustRightInd w:val="0"/>
              <w:snapToGrid w:val="0"/>
              <w:jc w:val="center"/>
              <w:rPr>
                <w:rFonts w:ascii="Arial" w:hAnsi="Arial" w:eastAsia="宋体" w:cs="Arial"/>
                <w:sz w:val="21"/>
                <w:szCs w:val="21"/>
              </w:rPr>
            </w:pPr>
            <w:r>
              <w:rPr>
                <w:rFonts w:hint="eastAsia" w:ascii="Arial" w:hAnsi="Arial" w:eastAsia="宋体" w:cs="Arial"/>
                <w:sz w:val="21"/>
                <w:szCs w:val="21"/>
              </w:rPr>
              <w:t>8.012</w:t>
            </w:r>
          </w:p>
        </w:tc>
      </w:tr>
      <w:tr w14:paraId="4A7BA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vMerge w:val="restart"/>
            <w:shd w:val="clear" w:color="auto" w:fill="auto"/>
            <w:vAlign w:val="center"/>
          </w:tcPr>
          <w:p w14:paraId="4F9C84E8">
            <w:pPr>
              <w:adjustRightInd w:val="0"/>
              <w:snapToGrid w:val="0"/>
              <w:jc w:val="center"/>
              <w:rPr>
                <w:rFonts w:ascii="Arial" w:hAnsi="Arial" w:eastAsia="宋体" w:cs="Arial"/>
                <w:sz w:val="21"/>
                <w:szCs w:val="21"/>
              </w:rPr>
            </w:pPr>
            <w:r>
              <w:rPr>
                <w:rFonts w:hint="eastAsia" w:ascii="Arial" w:hAnsi="Arial" w:eastAsia="宋体" w:cs="Arial"/>
                <w:sz w:val="21"/>
                <w:szCs w:val="21"/>
              </w:rPr>
              <w:t>废水</w:t>
            </w:r>
          </w:p>
        </w:tc>
        <w:tc>
          <w:tcPr>
            <w:tcW w:w="916" w:type="pct"/>
            <w:vMerge w:val="restart"/>
            <w:shd w:val="clear" w:color="auto" w:fill="auto"/>
            <w:vAlign w:val="center"/>
          </w:tcPr>
          <w:p w14:paraId="42A391F8">
            <w:pPr>
              <w:adjustRightInd w:val="0"/>
              <w:snapToGrid w:val="0"/>
              <w:jc w:val="center"/>
              <w:rPr>
                <w:rFonts w:ascii="Arial" w:hAnsi="Arial" w:eastAsia="宋体" w:cs="Arial"/>
                <w:sz w:val="21"/>
                <w:szCs w:val="21"/>
              </w:rPr>
            </w:pPr>
            <w:r>
              <w:rPr>
                <w:rFonts w:hint="eastAsia" w:ascii="Arial" w:hAnsi="Arial" w:eastAsia="宋体" w:cs="Arial"/>
                <w:sz w:val="21"/>
                <w:szCs w:val="21"/>
              </w:rPr>
              <w:t>生活污水</w:t>
            </w:r>
          </w:p>
        </w:tc>
        <w:tc>
          <w:tcPr>
            <w:tcW w:w="1373" w:type="pct"/>
            <w:shd w:val="clear" w:color="auto" w:fill="auto"/>
            <w:vAlign w:val="center"/>
          </w:tcPr>
          <w:p w14:paraId="1823C132">
            <w:pPr>
              <w:adjustRightInd w:val="0"/>
              <w:snapToGrid w:val="0"/>
              <w:jc w:val="center"/>
              <w:rPr>
                <w:rFonts w:ascii="Arial" w:hAnsi="Arial" w:eastAsia="宋体" w:cs="Arial"/>
                <w:sz w:val="21"/>
                <w:szCs w:val="21"/>
              </w:rPr>
            </w:pPr>
            <w:r>
              <w:rPr>
                <w:rFonts w:hint="eastAsia" w:ascii="Arial" w:hAnsi="Arial" w:eastAsia="宋体" w:cs="Arial"/>
                <w:sz w:val="21"/>
                <w:szCs w:val="21"/>
              </w:rPr>
              <w:t>废水量</w:t>
            </w:r>
          </w:p>
        </w:tc>
        <w:tc>
          <w:tcPr>
            <w:tcW w:w="1965" w:type="pct"/>
            <w:shd w:val="clear" w:color="auto" w:fill="auto"/>
            <w:vAlign w:val="center"/>
          </w:tcPr>
          <w:p w14:paraId="2EB7566F">
            <w:pPr>
              <w:adjustRightInd w:val="0"/>
              <w:snapToGrid w:val="0"/>
              <w:jc w:val="center"/>
              <w:rPr>
                <w:rFonts w:ascii="Arial" w:hAnsi="Arial" w:eastAsia="宋体" w:cs="Arial"/>
                <w:sz w:val="21"/>
                <w:szCs w:val="21"/>
              </w:rPr>
            </w:pPr>
            <w:r>
              <w:rPr>
                <w:rFonts w:hint="eastAsia" w:ascii="Arial" w:hAnsi="Arial" w:eastAsia="宋体" w:cs="Arial"/>
                <w:sz w:val="21"/>
                <w:szCs w:val="21"/>
              </w:rPr>
              <w:t>1584</w:t>
            </w:r>
          </w:p>
        </w:tc>
      </w:tr>
      <w:tr w14:paraId="37410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vMerge w:val="continue"/>
            <w:shd w:val="clear" w:color="auto" w:fill="auto"/>
            <w:vAlign w:val="center"/>
          </w:tcPr>
          <w:p w14:paraId="05C76446">
            <w:pPr>
              <w:adjustRightInd w:val="0"/>
              <w:snapToGrid w:val="0"/>
              <w:jc w:val="center"/>
              <w:rPr>
                <w:rFonts w:ascii="Arial" w:hAnsi="Arial" w:eastAsia="宋体" w:cs="Arial"/>
                <w:sz w:val="21"/>
                <w:szCs w:val="21"/>
              </w:rPr>
            </w:pPr>
          </w:p>
        </w:tc>
        <w:tc>
          <w:tcPr>
            <w:tcW w:w="916" w:type="pct"/>
            <w:vMerge w:val="continue"/>
            <w:shd w:val="clear" w:color="auto" w:fill="auto"/>
            <w:vAlign w:val="center"/>
          </w:tcPr>
          <w:p w14:paraId="4D5E79E4">
            <w:pPr>
              <w:adjustRightInd w:val="0"/>
              <w:snapToGrid w:val="0"/>
              <w:jc w:val="center"/>
              <w:rPr>
                <w:rFonts w:ascii="Arial" w:hAnsi="Arial" w:eastAsia="宋体" w:cs="Arial"/>
                <w:sz w:val="21"/>
                <w:szCs w:val="21"/>
              </w:rPr>
            </w:pPr>
          </w:p>
        </w:tc>
        <w:tc>
          <w:tcPr>
            <w:tcW w:w="1373" w:type="pct"/>
            <w:shd w:val="clear" w:color="auto" w:fill="auto"/>
            <w:vAlign w:val="center"/>
          </w:tcPr>
          <w:p w14:paraId="3C76FCF7">
            <w:pPr>
              <w:pStyle w:val="5"/>
              <w:adjustRightInd w:val="0"/>
              <w:snapToGrid w:val="0"/>
              <w:spacing w:line="240" w:lineRule="auto"/>
              <w:ind w:firstLine="0"/>
              <w:jc w:val="center"/>
              <w:rPr>
                <w:sz w:val="21"/>
              </w:rPr>
            </w:pPr>
            <w:r>
              <w:rPr>
                <w:sz w:val="21"/>
              </w:rPr>
              <w:t>COD</w:t>
            </w:r>
          </w:p>
        </w:tc>
        <w:tc>
          <w:tcPr>
            <w:tcW w:w="1965" w:type="pct"/>
            <w:shd w:val="clear" w:color="auto" w:fill="auto"/>
            <w:vAlign w:val="center"/>
          </w:tcPr>
          <w:p w14:paraId="3BD3611A">
            <w:pPr>
              <w:adjustRightInd w:val="0"/>
              <w:snapToGrid w:val="0"/>
              <w:jc w:val="center"/>
              <w:rPr>
                <w:rFonts w:ascii="Arial" w:hAnsi="Arial" w:eastAsia="宋体" w:cs="Arial"/>
                <w:sz w:val="21"/>
                <w:szCs w:val="21"/>
              </w:rPr>
            </w:pPr>
            <w:r>
              <w:rPr>
                <w:rFonts w:hint="eastAsia" w:ascii="Arial" w:hAnsi="Arial" w:eastAsia="宋体" w:cs="Arial"/>
                <w:sz w:val="21"/>
                <w:szCs w:val="21"/>
              </w:rPr>
              <w:t>0.451</w:t>
            </w:r>
          </w:p>
        </w:tc>
      </w:tr>
      <w:tr w14:paraId="25F02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vMerge w:val="continue"/>
            <w:shd w:val="clear" w:color="auto" w:fill="auto"/>
            <w:vAlign w:val="center"/>
          </w:tcPr>
          <w:p w14:paraId="549C7CDC">
            <w:pPr>
              <w:adjustRightInd w:val="0"/>
              <w:snapToGrid w:val="0"/>
              <w:jc w:val="center"/>
              <w:rPr>
                <w:rFonts w:ascii="Arial" w:hAnsi="Arial" w:eastAsia="宋体" w:cs="Arial"/>
                <w:sz w:val="21"/>
                <w:szCs w:val="21"/>
              </w:rPr>
            </w:pPr>
          </w:p>
        </w:tc>
        <w:tc>
          <w:tcPr>
            <w:tcW w:w="916" w:type="pct"/>
            <w:vMerge w:val="continue"/>
            <w:shd w:val="clear" w:color="auto" w:fill="auto"/>
            <w:vAlign w:val="center"/>
          </w:tcPr>
          <w:p w14:paraId="126EF48B">
            <w:pPr>
              <w:adjustRightInd w:val="0"/>
              <w:snapToGrid w:val="0"/>
              <w:jc w:val="center"/>
              <w:rPr>
                <w:rFonts w:ascii="Arial" w:hAnsi="Arial" w:eastAsia="宋体" w:cs="Arial"/>
                <w:sz w:val="21"/>
                <w:szCs w:val="21"/>
              </w:rPr>
            </w:pPr>
          </w:p>
        </w:tc>
        <w:tc>
          <w:tcPr>
            <w:tcW w:w="1373" w:type="pct"/>
            <w:shd w:val="clear" w:color="auto" w:fill="auto"/>
            <w:vAlign w:val="center"/>
          </w:tcPr>
          <w:p w14:paraId="45A82C32">
            <w:pPr>
              <w:pStyle w:val="5"/>
              <w:adjustRightInd w:val="0"/>
              <w:snapToGrid w:val="0"/>
              <w:spacing w:line="240" w:lineRule="auto"/>
              <w:ind w:firstLine="0"/>
              <w:jc w:val="center"/>
              <w:rPr>
                <w:sz w:val="21"/>
                <w:vertAlign w:val="subscript"/>
              </w:rPr>
            </w:pPr>
            <w:r>
              <w:rPr>
                <w:sz w:val="21"/>
              </w:rPr>
              <w:t>BOD</w:t>
            </w:r>
            <w:r>
              <w:rPr>
                <w:rFonts w:hint="eastAsia"/>
                <w:sz w:val="21"/>
                <w:vertAlign w:val="subscript"/>
              </w:rPr>
              <w:t>5</w:t>
            </w:r>
          </w:p>
        </w:tc>
        <w:tc>
          <w:tcPr>
            <w:tcW w:w="1965" w:type="pct"/>
            <w:shd w:val="clear" w:color="auto" w:fill="auto"/>
            <w:vAlign w:val="center"/>
          </w:tcPr>
          <w:p w14:paraId="5FB460BD">
            <w:pPr>
              <w:adjustRightInd w:val="0"/>
              <w:snapToGrid w:val="0"/>
              <w:jc w:val="center"/>
              <w:rPr>
                <w:rFonts w:ascii="Arial" w:hAnsi="Arial" w:eastAsia="宋体" w:cs="Arial"/>
                <w:sz w:val="21"/>
                <w:szCs w:val="21"/>
              </w:rPr>
            </w:pPr>
            <w:r>
              <w:rPr>
                <w:rFonts w:hint="eastAsia" w:ascii="Arial" w:hAnsi="Arial" w:eastAsia="宋体" w:cs="Arial"/>
                <w:sz w:val="21"/>
                <w:szCs w:val="21"/>
              </w:rPr>
              <w:t>0.158</w:t>
            </w:r>
          </w:p>
        </w:tc>
      </w:tr>
      <w:tr w14:paraId="34FCA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vMerge w:val="continue"/>
            <w:shd w:val="clear" w:color="auto" w:fill="auto"/>
            <w:vAlign w:val="center"/>
          </w:tcPr>
          <w:p w14:paraId="08F09013">
            <w:pPr>
              <w:adjustRightInd w:val="0"/>
              <w:snapToGrid w:val="0"/>
              <w:jc w:val="center"/>
              <w:rPr>
                <w:rFonts w:ascii="Arial" w:hAnsi="Arial" w:eastAsia="宋体" w:cs="Arial"/>
                <w:sz w:val="21"/>
                <w:szCs w:val="21"/>
              </w:rPr>
            </w:pPr>
          </w:p>
        </w:tc>
        <w:tc>
          <w:tcPr>
            <w:tcW w:w="916" w:type="pct"/>
            <w:vMerge w:val="continue"/>
            <w:shd w:val="clear" w:color="auto" w:fill="auto"/>
            <w:vAlign w:val="center"/>
          </w:tcPr>
          <w:p w14:paraId="0FD3EA18">
            <w:pPr>
              <w:adjustRightInd w:val="0"/>
              <w:snapToGrid w:val="0"/>
              <w:jc w:val="center"/>
              <w:rPr>
                <w:rFonts w:ascii="Arial" w:hAnsi="Arial" w:eastAsia="宋体" w:cs="Arial"/>
                <w:sz w:val="21"/>
                <w:szCs w:val="21"/>
              </w:rPr>
            </w:pPr>
          </w:p>
        </w:tc>
        <w:tc>
          <w:tcPr>
            <w:tcW w:w="1373" w:type="pct"/>
            <w:shd w:val="clear" w:color="auto" w:fill="auto"/>
            <w:vAlign w:val="center"/>
          </w:tcPr>
          <w:p w14:paraId="4FC84F3E">
            <w:pPr>
              <w:pStyle w:val="5"/>
              <w:adjustRightInd w:val="0"/>
              <w:snapToGrid w:val="0"/>
              <w:spacing w:line="240" w:lineRule="auto"/>
              <w:ind w:firstLine="0"/>
              <w:jc w:val="center"/>
              <w:rPr>
                <w:sz w:val="21"/>
              </w:rPr>
            </w:pPr>
            <w:r>
              <w:rPr>
                <w:sz w:val="21"/>
              </w:rPr>
              <w:t>NH</w:t>
            </w:r>
            <w:r>
              <w:rPr>
                <w:sz w:val="21"/>
                <w:vertAlign w:val="subscript"/>
              </w:rPr>
              <w:t>3</w:t>
            </w:r>
            <w:r>
              <w:rPr>
                <w:sz w:val="21"/>
              </w:rPr>
              <w:t>-N</w:t>
            </w:r>
          </w:p>
        </w:tc>
        <w:tc>
          <w:tcPr>
            <w:tcW w:w="1965" w:type="pct"/>
            <w:shd w:val="clear" w:color="auto" w:fill="auto"/>
            <w:vAlign w:val="center"/>
          </w:tcPr>
          <w:p w14:paraId="5294E406">
            <w:pPr>
              <w:adjustRightInd w:val="0"/>
              <w:snapToGrid w:val="0"/>
              <w:jc w:val="center"/>
              <w:rPr>
                <w:rFonts w:ascii="Arial" w:hAnsi="Arial" w:eastAsia="宋体" w:cs="Arial"/>
                <w:sz w:val="21"/>
                <w:szCs w:val="21"/>
              </w:rPr>
            </w:pPr>
            <w:r>
              <w:rPr>
                <w:rFonts w:hint="eastAsia" w:ascii="Arial" w:hAnsi="Arial" w:eastAsia="宋体" w:cs="Arial"/>
                <w:sz w:val="21"/>
                <w:szCs w:val="21"/>
              </w:rPr>
              <w:t>0.045</w:t>
            </w:r>
          </w:p>
        </w:tc>
      </w:tr>
      <w:tr w14:paraId="6B5B7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vMerge w:val="continue"/>
            <w:shd w:val="clear" w:color="auto" w:fill="auto"/>
            <w:vAlign w:val="center"/>
          </w:tcPr>
          <w:p w14:paraId="5B90356A">
            <w:pPr>
              <w:adjustRightInd w:val="0"/>
              <w:snapToGrid w:val="0"/>
              <w:jc w:val="center"/>
              <w:rPr>
                <w:rFonts w:ascii="Arial" w:hAnsi="Arial" w:eastAsia="宋体" w:cs="Arial"/>
                <w:sz w:val="21"/>
                <w:szCs w:val="21"/>
              </w:rPr>
            </w:pPr>
          </w:p>
        </w:tc>
        <w:tc>
          <w:tcPr>
            <w:tcW w:w="916" w:type="pct"/>
            <w:vMerge w:val="restart"/>
            <w:shd w:val="clear" w:color="auto" w:fill="auto"/>
            <w:vAlign w:val="center"/>
          </w:tcPr>
          <w:p w14:paraId="465E0AAF">
            <w:pPr>
              <w:adjustRightInd w:val="0"/>
              <w:snapToGrid w:val="0"/>
              <w:jc w:val="center"/>
              <w:rPr>
                <w:rFonts w:ascii="Arial" w:hAnsi="Arial" w:eastAsia="宋体" w:cs="Arial"/>
                <w:sz w:val="21"/>
                <w:szCs w:val="21"/>
              </w:rPr>
            </w:pPr>
            <w:r>
              <w:rPr>
                <w:rFonts w:hint="eastAsia" w:ascii="Arial" w:hAnsi="Arial" w:eastAsia="宋体" w:cs="Arial"/>
                <w:sz w:val="21"/>
                <w:szCs w:val="21"/>
              </w:rPr>
              <w:t>纯水站浓水</w:t>
            </w:r>
          </w:p>
        </w:tc>
        <w:tc>
          <w:tcPr>
            <w:tcW w:w="1373" w:type="pct"/>
            <w:shd w:val="clear" w:color="auto" w:fill="auto"/>
            <w:vAlign w:val="center"/>
          </w:tcPr>
          <w:p w14:paraId="20CCB9FC">
            <w:pPr>
              <w:adjustRightInd w:val="0"/>
              <w:snapToGrid w:val="0"/>
              <w:jc w:val="center"/>
              <w:rPr>
                <w:rFonts w:ascii="Arial" w:hAnsi="Arial" w:eastAsia="宋体" w:cs="Arial"/>
                <w:sz w:val="21"/>
                <w:szCs w:val="21"/>
              </w:rPr>
            </w:pPr>
            <w:r>
              <w:rPr>
                <w:rFonts w:hint="eastAsia" w:ascii="Arial" w:hAnsi="Arial" w:eastAsia="宋体" w:cs="Arial"/>
                <w:sz w:val="21"/>
                <w:szCs w:val="21"/>
              </w:rPr>
              <w:t>废水量</w:t>
            </w:r>
          </w:p>
        </w:tc>
        <w:tc>
          <w:tcPr>
            <w:tcW w:w="1965" w:type="pct"/>
            <w:shd w:val="clear" w:color="auto" w:fill="auto"/>
            <w:vAlign w:val="center"/>
          </w:tcPr>
          <w:p w14:paraId="6907CD4A">
            <w:pPr>
              <w:adjustRightInd w:val="0"/>
              <w:snapToGrid w:val="0"/>
              <w:jc w:val="center"/>
              <w:rPr>
                <w:rFonts w:ascii="Arial" w:hAnsi="Arial" w:eastAsia="宋体" w:cs="Arial"/>
                <w:sz w:val="21"/>
                <w:szCs w:val="21"/>
              </w:rPr>
            </w:pPr>
            <w:r>
              <w:rPr>
                <w:rFonts w:hint="eastAsia" w:ascii="Arial" w:hAnsi="Arial" w:eastAsia="宋体" w:cs="Arial"/>
                <w:sz w:val="21"/>
                <w:szCs w:val="21"/>
              </w:rPr>
              <w:t>144767.7</w:t>
            </w:r>
          </w:p>
        </w:tc>
      </w:tr>
      <w:tr w14:paraId="4BBF4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vMerge w:val="continue"/>
            <w:shd w:val="clear" w:color="auto" w:fill="auto"/>
            <w:vAlign w:val="center"/>
          </w:tcPr>
          <w:p w14:paraId="2F74B30A">
            <w:pPr>
              <w:adjustRightInd w:val="0"/>
              <w:snapToGrid w:val="0"/>
              <w:jc w:val="center"/>
              <w:rPr>
                <w:rFonts w:ascii="Arial" w:hAnsi="Arial" w:eastAsia="宋体" w:cs="Arial"/>
                <w:sz w:val="21"/>
                <w:szCs w:val="21"/>
              </w:rPr>
            </w:pPr>
          </w:p>
        </w:tc>
        <w:tc>
          <w:tcPr>
            <w:tcW w:w="916" w:type="pct"/>
            <w:vMerge w:val="continue"/>
            <w:shd w:val="clear" w:color="auto" w:fill="auto"/>
            <w:vAlign w:val="center"/>
          </w:tcPr>
          <w:p w14:paraId="2B0561D2">
            <w:pPr>
              <w:adjustRightInd w:val="0"/>
              <w:snapToGrid w:val="0"/>
              <w:jc w:val="center"/>
              <w:rPr>
                <w:rFonts w:ascii="Arial" w:hAnsi="Arial" w:eastAsia="宋体" w:cs="Arial"/>
                <w:sz w:val="21"/>
                <w:szCs w:val="21"/>
              </w:rPr>
            </w:pPr>
          </w:p>
        </w:tc>
        <w:tc>
          <w:tcPr>
            <w:tcW w:w="1373" w:type="pct"/>
            <w:shd w:val="clear" w:color="auto" w:fill="auto"/>
            <w:vAlign w:val="center"/>
          </w:tcPr>
          <w:p w14:paraId="0886914E">
            <w:pPr>
              <w:adjustRightInd w:val="0"/>
              <w:snapToGrid w:val="0"/>
              <w:jc w:val="center"/>
              <w:rPr>
                <w:rFonts w:ascii="Arial" w:hAnsi="Arial" w:eastAsia="宋体" w:cs="Arial"/>
                <w:sz w:val="21"/>
                <w:szCs w:val="21"/>
              </w:rPr>
            </w:pPr>
            <w:r>
              <w:rPr>
                <w:rFonts w:hint="eastAsia" w:ascii="Arial" w:hAnsi="Arial" w:eastAsia="宋体" w:cs="Arial"/>
                <w:sz w:val="21"/>
                <w:szCs w:val="21"/>
              </w:rPr>
              <w:t>含盐量</w:t>
            </w:r>
          </w:p>
        </w:tc>
        <w:tc>
          <w:tcPr>
            <w:tcW w:w="1965" w:type="pct"/>
            <w:shd w:val="clear" w:color="auto" w:fill="auto"/>
            <w:vAlign w:val="center"/>
          </w:tcPr>
          <w:p w14:paraId="2D8112E9">
            <w:pPr>
              <w:adjustRightInd w:val="0"/>
              <w:snapToGrid w:val="0"/>
              <w:jc w:val="center"/>
              <w:rPr>
                <w:rFonts w:ascii="Arial" w:hAnsi="Arial" w:eastAsia="宋体" w:cs="Arial"/>
                <w:sz w:val="21"/>
                <w:szCs w:val="21"/>
              </w:rPr>
            </w:pPr>
            <w:r>
              <w:rPr>
                <w:rFonts w:hint="eastAsia" w:ascii="Arial" w:hAnsi="Arial" w:eastAsia="宋体" w:cs="Arial"/>
                <w:sz w:val="21"/>
                <w:szCs w:val="21"/>
              </w:rPr>
              <w:t>37.6396</w:t>
            </w:r>
          </w:p>
        </w:tc>
      </w:tr>
      <w:tr w14:paraId="6D6BB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vMerge w:val="restart"/>
            <w:shd w:val="clear" w:color="auto" w:fill="auto"/>
            <w:vAlign w:val="center"/>
          </w:tcPr>
          <w:p w14:paraId="0477E521">
            <w:pPr>
              <w:adjustRightInd w:val="0"/>
              <w:snapToGrid w:val="0"/>
              <w:jc w:val="center"/>
              <w:rPr>
                <w:rFonts w:ascii="Arial" w:hAnsi="Arial" w:eastAsia="宋体" w:cs="Arial"/>
                <w:sz w:val="21"/>
                <w:szCs w:val="21"/>
              </w:rPr>
            </w:pPr>
            <w:r>
              <w:rPr>
                <w:rFonts w:hint="eastAsia" w:ascii="Arial" w:hAnsi="Arial" w:eastAsia="宋体" w:cs="Arial"/>
                <w:sz w:val="21"/>
                <w:szCs w:val="21"/>
              </w:rPr>
              <w:t>固体废物</w:t>
            </w:r>
          </w:p>
        </w:tc>
        <w:tc>
          <w:tcPr>
            <w:tcW w:w="916" w:type="pct"/>
            <w:shd w:val="clear" w:color="auto" w:fill="auto"/>
            <w:vAlign w:val="center"/>
          </w:tcPr>
          <w:p w14:paraId="069DD558">
            <w:pPr>
              <w:adjustRightInd w:val="0"/>
              <w:snapToGrid w:val="0"/>
              <w:jc w:val="center"/>
              <w:rPr>
                <w:rFonts w:ascii="Arial" w:hAnsi="Arial" w:eastAsia="宋体" w:cs="Arial"/>
                <w:sz w:val="21"/>
                <w:szCs w:val="21"/>
              </w:rPr>
            </w:pPr>
            <w:r>
              <w:rPr>
                <w:rFonts w:hint="eastAsia" w:ascii="Arial" w:hAnsi="Arial" w:eastAsia="宋体" w:cs="Arial"/>
                <w:sz w:val="21"/>
                <w:szCs w:val="21"/>
              </w:rPr>
              <w:t>危险废物</w:t>
            </w:r>
          </w:p>
        </w:tc>
        <w:tc>
          <w:tcPr>
            <w:tcW w:w="1373" w:type="pct"/>
            <w:shd w:val="clear" w:color="auto" w:fill="auto"/>
            <w:vAlign w:val="center"/>
          </w:tcPr>
          <w:p w14:paraId="700E46D7">
            <w:pPr>
              <w:adjustRightInd w:val="0"/>
              <w:snapToGrid w:val="0"/>
              <w:jc w:val="center"/>
              <w:rPr>
                <w:rFonts w:ascii="Arial" w:hAnsi="Arial" w:eastAsia="宋体" w:cs="Arial"/>
                <w:sz w:val="21"/>
                <w:szCs w:val="21"/>
              </w:rPr>
            </w:pPr>
            <w:r>
              <w:rPr>
                <w:rFonts w:hint="eastAsia" w:ascii="Arial" w:hAnsi="Arial" w:eastAsia="宋体" w:cs="Arial"/>
                <w:sz w:val="21"/>
                <w:szCs w:val="21"/>
              </w:rPr>
              <w:t>低镍除铁除铜渣</w:t>
            </w:r>
          </w:p>
        </w:tc>
        <w:tc>
          <w:tcPr>
            <w:tcW w:w="1965" w:type="pct"/>
            <w:shd w:val="clear" w:color="auto" w:fill="auto"/>
            <w:vAlign w:val="center"/>
          </w:tcPr>
          <w:p w14:paraId="6EC096F2">
            <w:pPr>
              <w:adjustRightInd w:val="0"/>
              <w:snapToGrid w:val="0"/>
              <w:jc w:val="center"/>
              <w:rPr>
                <w:rFonts w:ascii="Arial" w:hAnsi="Arial" w:eastAsia="宋体" w:cs="Arial"/>
                <w:sz w:val="21"/>
                <w:szCs w:val="21"/>
              </w:rPr>
            </w:pPr>
            <w:r>
              <w:rPr>
                <w:rFonts w:hint="eastAsia" w:ascii="Arial" w:hAnsi="Arial" w:eastAsia="宋体" w:cs="Arial"/>
                <w:sz w:val="21"/>
                <w:szCs w:val="21"/>
              </w:rPr>
              <w:t>60</w:t>
            </w:r>
          </w:p>
        </w:tc>
      </w:tr>
      <w:tr w14:paraId="7D7AC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vMerge w:val="continue"/>
            <w:shd w:val="clear" w:color="auto" w:fill="auto"/>
            <w:vAlign w:val="center"/>
          </w:tcPr>
          <w:p w14:paraId="57736821">
            <w:pPr>
              <w:adjustRightInd w:val="0"/>
              <w:snapToGrid w:val="0"/>
              <w:jc w:val="center"/>
              <w:rPr>
                <w:rFonts w:ascii="Arial" w:hAnsi="Arial" w:eastAsia="宋体" w:cs="Arial"/>
                <w:sz w:val="21"/>
                <w:szCs w:val="21"/>
              </w:rPr>
            </w:pPr>
          </w:p>
        </w:tc>
        <w:tc>
          <w:tcPr>
            <w:tcW w:w="2290" w:type="pct"/>
            <w:gridSpan w:val="2"/>
            <w:shd w:val="clear" w:color="auto" w:fill="auto"/>
            <w:vAlign w:val="center"/>
          </w:tcPr>
          <w:p w14:paraId="016EAD4F">
            <w:pPr>
              <w:adjustRightInd w:val="0"/>
              <w:snapToGrid w:val="0"/>
              <w:jc w:val="center"/>
              <w:rPr>
                <w:rFonts w:ascii="Arial" w:hAnsi="Arial" w:eastAsia="宋体" w:cs="Arial"/>
                <w:sz w:val="21"/>
                <w:szCs w:val="21"/>
              </w:rPr>
            </w:pPr>
            <w:r>
              <w:rPr>
                <w:rFonts w:hint="eastAsia" w:ascii="Arial" w:hAnsi="Arial" w:eastAsia="宋体" w:cs="Arial"/>
                <w:sz w:val="21"/>
                <w:szCs w:val="21"/>
              </w:rPr>
              <w:t>一般固体废物</w:t>
            </w:r>
          </w:p>
        </w:tc>
        <w:tc>
          <w:tcPr>
            <w:tcW w:w="1965" w:type="pct"/>
            <w:shd w:val="clear" w:color="auto" w:fill="auto"/>
            <w:vAlign w:val="center"/>
          </w:tcPr>
          <w:p w14:paraId="0DFB51B8">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r>
      <w:tr w14:paraId="4DD43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vMerge w:val="continue"/>
            <w:shd w:val="clear" w:color="auto" w:fill="auto"/>
            <w:vAlign w:val="center"/>
          </w:tcPr>
          <w:p w14:paraId="69EA4F2E">
            <w:pPr>
              <w:adjustRightInd w:val="0"/>
              <w:snapToGrid w:val="0"/>
              <w:jc w:val="center"/>
              <w:rPr>
                <w:rFonts w:ascii="Arial" w:hAnsi="Arial" w:eastAsia="宋体" w:cs="Arial"/>
                <w:sz w:val="21"/>
                <w:szCs w:val="21"/>
              </w:rPr>
            </w:pPr>
          </w:p>
        </w:tc>
        <w:tc>
          <w:tcPr>
            <w:tcW w:w="2290" w:type="pct"/>
            <w:gridSpan w:val="2"/>
            <w:shd w:val="clear" w:color="auto" w:fill="auto"/>
            <w:vAlign w:val="center"/>
          </w:tcPr>
          <w:p w14:paraId="5CEC906B">
            <w:pPr>
              <w:adjustRightInd w:val="0"/>
              <w:snapToGrid w:val="0"/>
              <w:jc w:val="center"/>
              <w:rPr>
                <w:rFonts w:ascii="Arial" w:hAnsi="Arial" w:eastAsia="宋体" w:cs="Arial"/>
                <w:sz w:val="21"/>
                <w:szCs w:val="21"/>
              </w:rPr>
            </w:pPr>
            <w:r>
              <w:rPr>
                <w:rFonts w:hint="eastAsia" w:ascii="Arial" w:hAnsi="Arial" w:eastAsia="宋体" w:cs="Arial"/>
                <w:sz w:val="21"/>
                <w:szCs w:val="21"/>
              </w:rPr>
              <w:t>生活垃圾</w:t>
            </w:r>
          </w:p>
        </w:tc>
        <w:tc>
          <w:tcPr>
            <w:tcW w:w="1965" w:type="pct"/>
            <w:shd w:val="clear" w:color="auto" w:fill="auto"/>
            <w:vAlign w:val="center"/>
          </w:tcPr>
          <w:p w14:paraId="7A6D4A9C">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r>
    </w:tbl>
    <w:p w14:paraId="6189AEF8">
      <w:pPr>
        <w:keepNext/>
        <w:numPr>
          <w:ilvl w:val="0"/>
          <w:numId w:val="12"/>
        </w:numPr>
        <w:spacing w:line="480" w:lineRule="exact"/>
        <w:ind w:left="0" w:firstLine="0"/>
        <w:jc w:val="center"/>
        <w:outlineLvl w:val="5"/>
        <w:rPr>
          <w:rFonts w:ascii="Arial" w:hAnsi="Arial" w:eastAsia="宋体" w:cs="Arial"/>
          <w:b/>
          <w:spacing w:val="10"/>
          <w:sz w:val="24"/>
        </w:rPr>
      </w:pPr>
      <w:bookmarkStart w:id="261" w:name="_Toc104677251"/>
      <w:r>
        <w:rPr>
          <w:rFonts w:hint="eastAsia" w:ascii="Arial" w:hAnsi="Arial" w:eastAsia="宋体" w:cs="Arial"/>
          <w:b/>
          <w:spacing w:val="10"/>
          <w:sz w:val="24"/>
        </w:rPr>
        <w:t>镍豆镍粉处置线主要设备噪声源强</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0"/>
        <w:gridCol w:w="2846"/>
        <w:gridCol w:w="1150"/>
        <w:gridCol w:w="1887"/>
        <w:gridCol w:w="2255"/>
      </w:tblGrid>
      <w:tr w14:paraId="03310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noWrap/>
            <w:vAlign w:val="center"/>
          </w:tcPr>
          <w:p w14:paraId="7A0A39B4">
            <w:pPr>
              <w:widowControl/>
              <w:adjustRightInd w:val="0"/>
              <w:snapToGrid w:val="0"/>
              <w:jc w:val="center"/>
              <w:textAlignment w:val="center"/>
              <w:rPr>
                <w:rFonts w:ascii="Arial" w:hAnsi="Arial" w:eastAsia="宋体" w:cs="Arial"/>
                <w:bCs/>
                <w:sz w:val="21"/>
                <w:szCs w:val="21"/>
              </w:rPr>
            </w:pPr>
            <w:r>
              <w:rPr>
                <w:rFonts w:hint="eastAsia" w:ascii="Arial" w:hAnsi="Arial" w:eastAsia="宋体" w:cs="Arial"/>
                <w:bCs/>
                <w:sz w:val="21"/>
                <w:szCs w:val="21"/>
              </w:rPr>
              <w:t>序号</w:t>
            </w:r>
          </w:p>
        </w:tc>
        <w:tc>
          <w:tcPr>
            <w:tcW w:w="1532" w:type="pct"/>
            <w:noWrap/>
            <w:vAlign w:val="center"/>
          </w:tcPr>
          <w:p w14:paraId="7554B7E2">
            <w:pPr>
              <w:widowControl/>
              <w:adjustRightInd w:val="0"/>
              <w:snapToGrid w:val="0"/>
              <w:jc w:val="center"/>
              <w:textAlignment w:val="center"/>
              <w:rPr>
                <w:rFonts w:ascii="Arial" w:hAnsi="Arial" w:eastAsia="宋体" w:cs="Arial"/>
                <w:bCs/>
                <w:sz w:val="21"/>
                <w:szCs w:val="21"/>
              </w:rPr>
            </w:pPr>
            <w:r>
              <w:rPr>
                <w:rFonts w:hint="eastAsia" w:ascii="Arial" w:hAnsi="Arial" w:eastAsia="宋体" w:cs="Arial"/>
                <w:bCs/>
                <w:sz w:val="21"/>
                <w:szCs w:val="21"/>
              </w:rPr>
              <w:t>设备名称</w:t>
            </w:r>
          </w:p>
        </w:tc>
        <w:tc>
          <w:tcPr>
            <w:tcW w:w="619" w:type="pct"/>
            <w:noWrap/>
            <w:vAlign w:val="center"/>
          </w:tcPr>
          <w:p w14:paraId="4E1F3EEE">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bCs/>
                <w:kern w:val="0"/>
                <w:sz w:val="21"/>
                <w:szCs w:val="21"/>
                <w:lang w:bidi="ar"/>
              </w:rPr>
              <w:t>数量</w:t>
            </w:r>
          </w:p>
        </w:tc>
        <w:tc>
          <w:tcPr>
            <w:tcW w:w="1016" w:type="pct"/>
            <w:vAlign w:val="center"/>
          </w:tcPr>
          <w:p w14:paraId="1FBE049C">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bCs/>
                <w:kern w:val="0"/>
                <w:sz w:val="21"/>
                <w:szCs w:val="21"/>
                <w:lang w:bidi="ar"/>
              </w:rPr>
              <w:t>治理措施</w:t>
            </w:r>
          </w:p>
        </w:tc>
        <w:tc>
          <w:tcPr>
            <w:tcW w:w="1214" w:type="pct"/>
            <w:vAlign w:val="center"/>
          </w:tcPr>
          <w:p w14:paraId="57C38779">
            <w:pPr>
              <w:widowControl/>
              <w:adjustRightInd w:val="0"/>
              <w:snapToGrid w:val="0"/>
              <w:jc w:val="center"/>
              <w:textAlignment w:val="center"/>
              <w:rPr>
                <w:rFonts w:ascii="Arial" w:hAnsi="Arial" w:eastAsia="宋体" w:cs="Arial"/>
                <w:bCs/>
                <w:kern w:val="0"/>
                <w:sz w:val="21"/>
                <w:szCs w:val="21"/>
                <w:lang w:bidi="ar"/>
              </w:rPr>
            </w:pPr>
            <w:r>
              <w:rPr>
                <w:rFonts w:ascii="Arial" w:hAnsi="Arial" w:eastAsia="宋体" w:cs="Arial"/>
                <w:sz w:val="21"/>
                <w:szCs w:val="24"/>
              </w:rPr>
              <w:t>降噪后噪声值</w:t>
            </w:r>
            <w:r>
              <w:rPr>
                <w:rFonts w:ascii="Arial" w:hAnsi="Arial" w:eastAsia="宋体" w:cs="Arial"/>
                <w:sz w:val="21"/>
                <w:szCs w:val="24"/>
                <w:lang w:val="zh-CN"/>
              </w:rPr>
              <w:t>dB(A)</w:t>
            </w:r>
          </w:p>
        </w:tc>
      </w:tr>
      <w:tr w14:paraId="48704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vAlign w:val="center"/>
          </w:tcPr>
          <w:p w14:paraId="0BBEC7B3">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w:t>
            </w:r>
          </w:p>
        </w:tc>
        <w:tc>
          <w:tcPr>
            <w:tcW w:w="1532" w:type="pct"/>
            <w:vAlign w:val="center"/>
          </w:tcPr>
          <w:p w14:paraId="30FFC285">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机泵</w:t>
            </w:r>
          </w:p>
        </w:tc>
        <w:tc>
          <w:tcPr>
            <w:tcW w:w="619" w:type="pct"/>
            <w:vAlign w:val="center"/>
          </w:tcPr>
          <w:p w14:paraId="5ED64464">
            <w:pPr>
              <w:adjustRightInd w:val="0"/>
              <w:snapToGrid w:val="0"/>
              <w:jc w:val="center"/>
              <w:rPr>
                <w:rFonts w:ascii="Arial" w:hAnsi="Arial" w:eastAsia="宋体" w:cs="Arial"/>
                <w:sz w:val="21"/>
                <w:szCs w:val="22"/>
              </w:rPr>
            </w:pPr>
            <w:r>
              <w:rPr>
                <w:rFonts w:hint="eastAsia" w:ascii="Arial" w:hAnsi="Arial" w:eastAsia="宋体" w:cs="Arial"/>
                <w:sz w:val="21"/>
                <w:szCs w:val="22"/>
              </w:rPr>
              <w:t>54</w:t>
            </w:r>
          </w:p>
        </w:tc>
        <w:tc>
          <w:tcPr>
            <w:tcW w:w="1016" w:type="pct"/>
            <w:vMerge w:val="restart"/>
            <w:vAlign w:val="center"/>
          </w:tcPr>
          <w:p w14:paraId="5D0AAA59">
            <w:pPr>
              <w:topLinePunct/>
              <w:autoSpaceDE w:val="0"/>
              <w:autoSpaceDN w:val="0"/>
              <w:adjustRightInd w:val="0"/>
              <w:snapToGrid w:val="0"/>
              <w:jc w:val="center"/>
              <w:rPr>
                <w:rFonts w:ascii="Arial" w:hAnsi="Arial" w:eastAsia="宋体" w:cs="Arial"/>
                <w:kern w:val="0"/>
                <w:sz w:val="21"/>
                <w:szCs w:val="21"/>
                <w:lang w:bidi="ar"/>
              </w:rPr>
            </w:pPr>
            <w:r>
              <w:rPr>
                <w:rFonts w:ascii="Arial" w:hAnsi="Arial" w:eastAsia="宋体" w:cs="Arial"/>
                <w:kern w:val="0"/>
                <w:sz w:val="21"/>
                <w:szCs w:val="21"/>
                <w:lang w:bidi="ar"/>
              </w:rPr>
              <w:t>基础减振</w:t>
            </w:r>
            <w:r>
              <w:rPr>
                <w:rFonts w:hint="eastAsia" w:ascii="Arial" w:hAnsi="Arial" w:eastAsia="宋体" w:cs="Arial"/>
                <w:kern w:val="0"/>
                <w:sz w:val="21"/>
                <w:szCs w:val="21"/>
                <w:lang w:bidi="ar"/>
              </w:rPr>
              <w:t>、</w:t>
            </w:r>
          </w:p>
          <w:p w14:paraId="7D35FDC8">
            <w:pPr>
              <w:topLinePunct/>
              <w:autoSpaceDE w:val="0"/>
              <w:autoSpaceDN w:val="0"/>
              <w:adjustRightInd w:val="0"/>
              <w:snapToGrid w:val="0"/>
              <w:jc w:val="center"/>
              <w:rPr>
                <w:rFonts w:ascii="Arial" w:hAnsi="Arial" w:eastAsia="宋体" w:cs="Arial"/>
                <w:sz w:val="21"/>
                <w:szCs w:val="24"/>
                <w:lang w:val="zh-CN"/>
              </w:rPr>
            </w:pPr>
            <w:r>
              <w:rPr>
                <w:rFonts w:ascii="Arial" w:hAnsi="Arial" w:eastAsia="宋体" w:cs="Arial"/>
                <w:kern w:val="0"/>
                <w:sz w:val="21"/>
                <w:szCs w:val="21"/>
                <w:lang w:bidi="ar"/>
              </w:rPr>
              <w:t>厂房隔声</w:t>
            </w:r>
          </w:p>
        </w:tc>
        <w:tc>
          <w:tcPr>
            <w:tcW w:w="1214" w:type="pct"/>
            <w:vAlign w:val="center"/>
          </w:tcPr>
          <w:p w14:paraId="1B55DF9D">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r>
      <w:tr w14:paraId="4E79E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vAlign w:val="center"/>
          </w:tcPr>
          <w:p w14:paraId="16E8C5C3">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2</w:t>
            </w:r>
          </w:p>
        </w:tc>
        <w:tc>
          <w:tcPr>
            <w:tcW w:w="1532" w:type="pct"/>
            <w:vAlign w:val="center"/>
          </w:tcPr>
          <w:p w14:paraId="7AF788B4">
            <w:pPr>
              <w:topLinePunct/>
              <w:autoSpaceDE w:val="0"/>
              <w:autoSpaceDN w:val="0"/>
              <w:adjustRightInd w:val="0"/>
              <w:snapToGrid w:val="0"/>
              <w:jc w:val="center"/>
              <w:rPr>
                <w:rFonts w:ascii="Arial" w:hAnsi="Arial" w:eastAsia="宋体" w:cs="Arial"/>
                <w:sz w:val="21"/>
                <w:szCs w:val="24"/>
              </w:rPr>
            </w:pPr>
            <w:r>
              <w:rPr>
                <w:rFonts w:ascii="Arial" w:hAnsi="Arial" w:eastAsia="宋体" w:cs="Arial"/>
                <w:bCs/>
                <w:sz w:val="21"/>
                <w:szCs w:val="24"/>
              </w:rPr>
              <w:t>压滤机</w:t>
            </w:r>
          </w:p>
        </w:tc>
        <w:tc>
          <w:tcPr>
            <w:tcW w:w="619" w:type="pct"/>
            <w:vAlign w:val="center"/>
          </w:tcPr>
          <w:p w14:paraId="05444A72">
            <w:pPr>
              <w:adjustRightInd w:val="0"/>
              <w:snapToGrid w:val="0"/>
              <w:jc w:val="center"/>
              <w:rPr>
                <w:rFonts w:ascii="Arial" w:hAnsi="Arial" w:eastAsia="宋体" w:cs="Arial"/>
                <w:sz w:val="21"/>
                <w:szCs w:val="22"/>
              </w:rPr>
            </w:pPr>
            <w:r>
              <w:rPr>
                <w:rFonts w:hint="eastAsia" w:ascii="Arial" w:hAnsi="Arial" w:eastAsia="宋体" w:cs="Arial"/>
                <w:sz w:val="21"/>
                <w:szCs w:val="22"/>
              </w:rPr>
              <w:t>3</w:t>
            </w:r>
          </w:p>
        </w:tc>
        <w:tc>
          <w:tcPr>
            <w:tcW w:w="1016" w:type="pct"/>
            <w:vMerge w:val="continue"/>
            <w:vAlign w:val="center"/>
          </w:tcPr>
          <w:p w14:paraId="27E89E01">
            <w:pPr>
              <w:topLinePunct/>
              <w:autoSpaceDE w:val="0"/>
              <w:autoSpaceDN w:val="0"/>
              <w:adjustRightInd w:val="0"/>
              <w:snapToGrid w:val="0"/>
              <w:jc w:val="center"/>
              <w:rPr>
                <w:rFonts w:ascii="Arial" w:hAnsi="Arial" w:eastAsia="宋体" w:cs="Arial"/>
                <w:sz w:val="21"/>
                <w:szCs w:val="24"/>
                <w:lang w:val="zh-CN"/>
              </w:rPr>
            </w:pPr>
          </w:p>
        </w:tc>
        <w:tc>
          <w:tcPr>
            <w:tcW w:w="1214" w:type="pct"/>
            <w:vAlign w:val="center"/>
          </w:tcPr>
          <w:p w14:paraId="220254BF">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70</w:t>
            </w:r>
          </w:p>
        </w:tc>
      </w:tr>
      <w:tr w14:paraId="7E683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9" w:type="pct"/>
            <w:vAlign w:val="center"/>
          </w:tcPr>
          <w:p w14:paraId="35E0CF2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w:t>
            </w:r>
          </w:p>
        </w:tc>
        <w:tc>
          <w:tcPr>
            <w:tcW w:w="1532" w:type="pct"/>
            <w:vAlign w:val="center"/>
          </w:tcPr>
          <w:p w14:paraId="0C78DB60">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风机</w:t>
            </w:r>
          </w:p>
        </w:tc>
        <w:tc>
          <w:tcPr>
            <w:tcW w:w="619" w:type="pct"/>
            <w:vAlign w:val="center"/>
          </w:tcPr>
          <w:p w14:paraId="1384A62E">
            <w:pPr>
              <w:adjustRightInd w:val="0"/>
              <w:snapToGrid w:val="0"/>
              <w:jc w:val="center"/>
              <w:rPr>
                <w:rFonts w:ascii="Arial" w:hAnsi="Arial" w:eastAsia="宋体" w:cs="Arial"/>
                <w:sz w:val="21"/>
                <w:szCs w:val="22"/>
              </w:rPr>
            </w:pPr>
            <w:r>
              <w:rPr>
                <w:rFonts w:hint="eastAsia" w:ascii="Arial" w:hAnsi="Arial" w:eastAsia="宋体" w:cs="Arial"/>
                <w:sz w:val="21"/>
                <w:szCs w:val="22"/>
              </w:rPr>
              <w:t>6</w:t>
            </w:r>
          </w:p>
        </w:tc>
        <w:tc>
          <w:tcPr>
            <w:tcW w:w="1016" w:type="pct"/>
            <w:vMerge w:val="continue"/>
            <w:vAlign w:val="center"/>
          </w:tcPr>
          <w:p w14:paraId="62E7DDF1">
            <w:pPr>
              <w:topLinePunct/>
              <w:autoSpaceDE w:val="0"/>
              <w:autoSpaceDN w:val="0"/>
              <w:adjustRightInd w:val="0"/>
              <w:snapToGrid w:val="0"/>
              <w:jc w:val="center"/>
              <w:rPr>
                <w:rFonts w:ascii="Arial" w:hAnsi="Arial" w:eastAsia="宋体" w:cs="Arial"/>
                <w:sz w:val="21"/>
                <w:szCs w:val="24"/>
              </w:rPr>
            </w:pPr>
          </w:p>
        </w:tc>
        <w:tc>
          <w:tcPr>
            <w:tcW w:w="1214" w:type="pct"/>
            <w:vAlign w:val="center"/>
          </w:tcPr>
          <w:p w14:paraId="743A5F55">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r>
    </w:tbl>
    <w:p w14:paraId="7F4FC44E">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hint="eastAsia" w:ascii="Arial" w:hAnsi="Arial" w:eastAsia="宋体" w:cs="Arial"/>
          <w:b/>
          <w:bCs/>
          <w:sz w:val="24"/>
        </w:rPr>
        <w:t>变更前项目大气防护距离</w:t>
      </w:r>
    </w:p>
    <w:p w14:paraId="322AE13E">
      <w:pPr>
        <w:spacing w:line="264" w:lineRule="auto"/>
        <w:ind w:firstLine="476"/>
        <w:rPr>
          <w:rFonts w:ascii="Arial" w:hAnsi="Arial" w:eastAsia="宋体" w:cs="Arial"/>
          <w:spacing w:val="10"/>
          <w:sz w:val="24"/>
        </w:rPr>
      </w:pPr>
      <w:r>
        <w:rPr>
          <w:rFonts w:hint="eastAsia" w:ascii="Arial" w:hAnsi="Arial" w:eastAsia="宋体" w:cs="Arial"/>
          <w:spacing w:val="10"/>
          <w:sz w:val="24"/>
        </w:rPr>
        <w:t>根据二阶段项目的环评报告及其批复，变更前无大气防护距离要求。</w:t>
      </w:r>
    </w:p>
    <w:p w14:paraId="320FD992">
      <w:pPr>
        <w:keepNext/>
        <w:keepLines/>
        <w:numPr>
          <w:ilvl w:val="2"/>
          <w:numId w:val="11"/>
        </w:numPr>
        <w:tabs>
          <w:tab w:val="left" w:pos="1080"/>
          <w:tab w:val="left" w:pos="1789"/>
        </w:tabs>
        <w:spacing w:before="120" w:after="120" w:line="400" w:lineRule="exact"/>
        <w:outlineLvl w:val="2"/>
        <w:rPr>
          <w:rFonts w:ascii="Arial" w:hAnsi="Arial" w:eastAsia="宋体" w:cs="Arial"/>
          <w:b/>
          <w:bCs/>
          <w:sz w:val="24"/>
          <w:u w:val="single"/>
        </w:rPr>
      </w:pPr>
      <w:r>
        <w:rPr>
          <w:rFonts w:hint="eastAsia" w:ascii="Arial" w:hAnsi="Arial" w:eastAsia="宋体" w:cs="Arial"/>
          <w:b/>
          <w:bCs/>
          <w:sz w:val="24"/>
          <w:u w:val="single"/>
        </w:rPr>
        <w:t>存在的环境问题及整改措施</w:t>
      </w:r>
    </w:p>
    <w:p w14:paraId="251A8BE9">
      <w:pPr>
        <w:pStyle w:val="5"/>
        <w:spacing w:line="500" w:lineRule="exact"/>
        <w:ind w:firstLine="490" w:firstLineChars="200"/>
        <w:rPr>
          <w:u w:val="single"/>
        </w:rPr>
      </w:pPr>
      <w:r>
        <w:rPr>
          <w:rFonts w:hint="eastAsia"/>
          <w:u w:val="single"/>
        </w:rPr>
        <w:t>目前，企业已将原镍豆镍粉处置线改造成羟基钴生产线并在调试，根据现场踏勘情况，存在主要环境问题：破碎工段投料粉尘未能有效收集、包装粉尘未能有效收集，导致无组织粉尘逸散较明显，车间内沉降粉尘较多，未及时清理。</w:t>
      </w:r>
    </w:p>
    <w:p w14:paraId="06762345">
      <w:pPr>
        <w:pStyle w:val="5"/>
        <w:spacing w:line="500" w:lineRule="exact"/>
        <w:ind w:firstLine="490" w:firstLineChars="200"/>
        <w:rPr>
          <w:u w:val="single"/>
        </w:rPr>
      </w:pPr>
      <w:r>
        <w:rPr>
          <w:rFonts w:hint="eastAsia"/>
          <w:u w:val="single"/>
        </w:rPr>
        <w:t>加强管理，投料作业时关门操作，人工投料时降低投料高度，以减小粉尘产生量；包装工段设置集气罩并接入已有的除尘设施；每天每班采用洗地机对破碎间、包装间及走廊地面进行拖洗，确保车间清洁。</w:t>
      </w:r>
    </w:p>
    <w:bookmarkEnd w:id="255"/>
    <w:bookmarkEnd w:id="256"/>
    <w:bookmarkEnd w:id="257"/>
    <w:bookmarkEnd w:id="258"/>
    <w:bookmarkEnd w:id="261"/>
    <w:p w14:paraId="7D33B553">
      <w:pPr>
        <w:pStyle w:val="4"/>
        <w:numPr>
          <w:ilvl w:val="1"/>
          <w:numId w:val="11"/>
        </w:numPr>
        <w:tabs>
          <w:tab w:val="left" w:pos="3217"/>
        </w:tabs>
        <w:spacing w:before="214" w:beforeLines="50" w:after="214" w:afterLines="50" w:line="500" w:lineRule="exact"/>
        <w:ind w:left="567"/>
        <w:rPr>
          <w:rFonts w:ascii="Arial" w:eastAsia="宋体" w:cs="Arial"/>
          <w:b/>
        </w:rPr>
      </w:pPr>
      <w:bookmarkStart w:id="262" w:name="_Toc185950216"/>
      <w:r>
        <w:rPr>
          <w:rFonts w:ascii="Arial" w:eastAsia="宋体" w:cs="Arial"/>
          <w:b/>
        </w:rPr>
        <w:t>变更工程概况</w:t>
      </w:r>
      <w:bookmarkEnd w:id="259"/>
      <w:bookmarkEnd w:id="262"/>
    </w:p>
    <w:p w14:paraId="43C03840">
      <w:pPr>
        <w:pStyle w:val="6"/>
        <w:numPr>
          <w:ilvl w:val="2"/>
          <w:numId w:val="11"/>
        </w:numPr>
        <w:tabs>
          <w:tab w:val="left" w:pos="1080"/>
        </w:tabs>
        <w:spacing w:line="400" w:lineRule="exact"/>
        <w:rPr>
          <w:rFonts w:ascii="Arial" w:hAnsi="Arial" w:eastAsia="宋体" w:cs="Arial"/>
        </w:rPr>
      </w:pPr>
      <w:r>
        <w:rPr>
          <w:rFonts w:ascii="Arial" w:hAnsi="Arial" w:eastAsia="宋体" w:cs="Arial"/>
        </w:rPr>
        <w:t>变更基本情况</w:t>
      </w:r>
    </w:p>
    <w:p w14:paraId="403AB5E8">
      <w:pPr>
        <w:pStyle w:val="5"/>
        <w:spacing w:line="500" w:lineRule="exact"/>
        <w:ind w:firstLine="490" w:firstLineChars="200"/>
        <w:rPr>
          <w:highlight w:val="yellow"/>
        </w:rPr>
      </w:pPr>
      <w:r>
        <w:t>1、项目名称：</w:t>
      </w:r>
      <w:r>
        <w:rPr>
          <w:rFonts w:hint="eastAsia"/>
        </w:rPr>
        <w:t>广西中伟新能源项目一期二阶段（重大变动）</w:t>
      </w:r>
    </w:p>
    <w:p w14:paraId="27616A23">
      <w:pPr>
        <w:pStyle w:val="5"/>
        <w:spacing w:line="500" w:lineRule="exact"/>
        <w:ind w:firstLine="490" w:firstLineChars="200"/>
      </w:pPr>
      <w:r>
        <w:t>2、建设单位：广西中伟新能源科技有限公司</w:t>
      </w:r>
    </w:p>
    <w:p w14:paraId="5F3186EC">
      <w:pPr>
        <w:pStyle w:val="5"/>
        <w:spacing w:line="500" w:lineRule="exact"/>
        <w:ind w:firstLine="490" w:firstLineChars="200"/>
      </w:pPr>
      <w:r>
        <w:t>3、项目性质：</w:t>
      </w:r>
      <w:r>
        <w:rPr>
          <w:rFonts w:hint="eastAsia"/>
        </w:rPr>
        <w:t>新建</w:t>
      </w:r>
      <w:r>
        <w:t>（重大变动）</w:t>
      </w:r>
    </w:p>
    <w:p w14:paraId="0A11ED25">
      <w:pPr>
        <w:pStyle w:val="5"/>
        <w:spacing w:line="500" w:lineRule="exact"/>
        <w:ind w:firstLine="490" w:firstLineChars="200"/>
      </w:pPr>
      <w:r>
        <w:t>4、建设地点：钦州市钦州港区陆海大道以东、淡水湾大街以北，中伟南部基地内，中心坐标东经108.671592，北纬21.704016。</w:t>
      </w:r>
    </w:p>
    <w:p w14:paraId="6CC35D03">
      <w:pPr>
        <w:pStyle w:val="5"/>
        <w:spacing w:line="500" w:lineRule="exact"/>
        <w:ind w:firstLine="490" w:firstLineChars="200"/>
      </w:pPr>
      <w:r>
        <w:t>5、主要变更内容：</w:t>
      </w:r>
      <w:r>
        <w:rPr>
          <w:rFonts w:hint="eastAsia"/>
        </w:rPr>
        <w:t>将现有广西中伟新能源项目一期二阶段1条2.5万吨/年镍豆镍粉处置线</w:t>
      </w:r>
      <w:r>
        <w:t>变更为</w:t>
      </w:r>
      <w:r>
        <w:rPr>
          <w:rFonts w:hint="eastAsia"/>
        </w:rPr>
        <w:t>1条1200吨/年</w:t>
      </w:r>
      <w:r>
        <w:t>羟基钴生产线。已验收的</w:t>
      </w:r>
      <w:r>
        <w:rPr>
          <w:rFonts w:hint="eastAsia"/>
        </w:rPr>
        <w:t>4条1.5万吨/年三元前驱体生产线及其他配套辅助设施不变</w:t>
      </w:r>
      <w:r>
        <w:t>。</w:t>
      </w:r>
    </w:p>
    <w:p w14:paraId="1DD41B40">
      <w:pPr>
        <w:pStyle w:val="5"/>
        <w:spacing w:line="500" w:lineRule="exact"/>
        <w:ind w:firstLine="490" w:firstLineChars="200"/>
      </w:pPr>
      <w:r>
        <w:t>6、用地面积：项目在现有中伟南部基地内建设，在现有X</w:t>
      </w:r>
      <w:r>
        <w:rPr>
          <w:rFonts w:hint="eastAsia"/>
        </w:rPr>
        <w:t>19车间</w:t>
      </w:r>
      <w:r>
        <w:t>内变更，不新增用地</w:t>
      </w:r>
      <w:r>
        <w:rPr>
          <w:rFonts w:hint="eastAsia"/>
        </w:rPr>
        <w:t>，</w:t>
      </w:r>
      <w:r>
        <w:t>X</w:t>
      </w:r>
      <w:r>
        <w:rPr>
          <w:rFonts w:hint="eastAsia"/>
        </w:rPr>
        <w:t>19车间占地面积1912.45m</w:t>
      </w:r>
      <w:r>
        <w:rPr>
          <w:rFonts w:hint="eastAsia"/>
          <w:vertAlign w:val="superscript"/>
        </w:rPr>
        <w:t>2</w:t>
      </w:r>
      <w:r>
        <w:rPr>
          <w:rFonts w:hint="eastAsia"/>
        </w:rPr>
        <w:t>。</w:t>
      </w:r>
    </w:p>
    <w:p w14:paraId="6D263419">
      <w:pPr>
        <w:pStyle w:val="5"/>
        <w:spacing w:line="500" w:lineRule="exact"/>
        <w:ind w:firstLine="490" w:firstLineChars="200"/>
      </w:pPr>
      <w:r>
        <w:t>7、工程投资：一期二阶段总投资</w:t>
      </w:r>
      <w:r>
        <w:rPr>
          <w:rFonts w:hint="eastAsia"/>
        </w:rPr>
        <w:t>260800万元，其中本</w:t>
      </w:r>
      <w:r>
        <w:t>项目（</w:t>
      </w:r>
      <w:r>
        <w:rPr>
          <w:rFonts w:hint="eastAsia"/>
        </w:rPr>
        <w:t>将镍豆镍粉处置线变更为羟基钴生产线</w:t>
      </w:r>
      <w:r>
        <w:t>）</w:t>
      </w:r>
      <w:r>
        <w:rPr>
          <w:rFonts w:hint="eastAsia"/>
        </w:rPr>
        <w:t>共</w:t>
      </w:r>
      <w:r>
        <w:t>投资</w:t>
      </w:r>
      <w:r>
        <w:rPr>
          <w:rFonts w:hint="eastAsia"/>
        </w:rPr>
        <w:t>1</w:t>
      </w:r>
      <w:r>
        <w:t>000</w:t>
      </w:r>
      <w:r>
        <w:rPr>
          <w:szCs w:val="24"/>
        </w:rPr>
        <w:t>万</w:t>
      </w:r>
      <w:r>
        <w:t>元，环保投资</w:t>
      </w:r>
      <w:r>
        <w:rPr>
          <w:rFonts w:hint="eastAsia"/>
        </w:rPr>
        <w:t>20</w:t>
      </w:r>
      <w:r>
        <w:t>0万元，占项目总投资的</w:t>
      </w:r>
      <w:r>
        <w:rPr>
          <w:rFonts w:hint="eastAsia"/>
        </w:rPr>
        <w:t>20</w:t>
      </w:r>
      <w:r>
        <w:t>%。</w:t>
      </w:r>
    </w:p>
    <w:p w14:paraId="6DA998B8">
      <w:pPr>
        <w:pStyle w:val="5"/>
        <w:spacing w:line="500" w:lineRule="exact"/>
        <w:ind w:firstLine="490" w:firstLineChars="200"/>
      </w:pPr>
      <w:r>
        <w:t>8、项目定员：项目变更前车间工作人员约</w:t>
      </w:r>
      <w:r>
        <w:rPr>
          <w:rFonts w:hint="eastAsia"/>
        </w:rPr>
        <w:t>30人，</w:t>
      </w:r>
      <w:r>
        <w:t>本次变更不新增员工。</w:t>
      </w:r>
    </w:p>
    <w:p w14:paraId="1E54AB94">
      <w:pPr>
        <w:pStyle w:val="5"/>
        <w:spacing w:line="500" w:lineRule="exact"/>
        <w:rPr>
          <w:u w:val="single"/>
        </w:rPr>
      </w:pPr>
      <w:r>
        <w:rPr>
          <w:u w:val="single"/>
        </w:rPr>
        <w:t>9、生产制度：生产运行体制按三班制连续生产，年生产天数330天，年工作日时间7920小时。</w:t>
      </w:r>
    </w:p>
    <w:p w14:paraId="3147136D">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u w:val="single"/>
        </w:rPr>
        <w:t>10、施工期：建设期</w:t>
      </w:r>
      <w:r>
        <w:rPr>
          <w:rFonts w:hint="eastAsia" w:ascii="Arial" w:hAnsi="Arial" w:eastAsia="宋体" w:cs="Arial"/>
          <w:spacing w:val="10"/>
          <w:sz w:val="24"/>
          <w:u w:val="single"/>
        </w:rPr>
        <w:t>6</w:t>
      </w:r>
      <w:r>
        <w:rPr>
          <w:rFonts w:ascii="Arial" w:hAnsi="Arial" w:eastAsia="宋体" w:cs="Arial"/>
          <w:spacing w:val="10"/>
          <w:sz w:val="24"/>
          <w:u w:val="single"/>
        </w:rPr>
        <w:t>个月，</w:t>
      </w:r>
      <w:r>
        <w:rPr>
          <w:rFonts w:hint="eastAsia" w:ascii="Arial" w:hAnsi="Arial" w:eastAsia="宋体" w:cs="Arial"/>
          <w:spacing w:val="10"/>
          <w:sz w:val="24"/>
          <w:u w:val="single"/>
        </w:rPr>
        <w:t>X19车间现阶段</w:t>
      </w:r>
      <w:r>
        <w:rPr>
          <w:rFonts w:ascii="Arial" w:hAnsi="Arial" w:eastAsia="宋体" w:cs="Arial"/>
          <w:spacing w:val="10"/>
          <w:sz w:val="24"/>
          <w:u w:val="single"/>
        </w:rPr>
        <w:t>现已</w:t>
      </w:r>
      <w:r>
        <w:rPr>
          <w:rFonts w:hint="eastAsia" w:ascii="Arial" w:hAnsi="Arial" w:eastAsia="宋体" w:cs="Arial"/>
          <w:spacing w:val="10"/>
          <w:sz w:val="24"/>
          <w:u w:val="single"/>
        </w:rPr>
        <w:t>按</w:t>
      </w:r>
      <w:r>
        <w:rPr>
          <w:rFonts w:ascii="Arial" w:hAnsi="Arial" w:eastAsia="宋体" w:cs="Arial"/>
          <w:spacing w:val="10"/>
          <w:sz w:val="24"/>
          <w:u w:val="single"/>
        </w:rPr>
        <w:t>变更后的羟基钴生产线安装设备，目前处于</w:t>
      </w:r>
      <w:r>
        <w:rPr>
          <w:rFonts w:hint="eastAsia" w:ascii="Arial" w:hAnsi="Arial" w:eastAsia="宋体" w:cs="Arial"/>
          <w:spacing w:val="10"/>
          <w:sz w:val="24"/>
          <w:u w:val="single"/>
        </w:rPr>
        <w:t>调试</w:t>
      </w:r>
      <w:r>
        <w:rPr>
          <w:rFonts w:ascii="Arial" w:hAnsi="Arial" w:eastAsia="宋体" w:cs="Arial"/>
          <w:spacing w:val="10"/>
          <w:sz w:val="24"/>
          <w:u w:val="single"/>
        </w:rPr>
        <w:t>阶段。</w:t>
      </w:r>
    </w:p>
    <w:p w14:paraId="0EC0FB17">
      <w:pPr>
        <w:pStyle w:val="5"/>
        <w:spacing w:line="500" w:lineRule="exact"/>
        <w:ind w:firstLine="490" w:firstLineChars="200"/>
      </w:pPr>
      <w:r>
        <w:t>11、产品方案：变更前镍豆镍粉处置线产品为硫酸镍溶液，设计产能为</w:t>
      </w:r>
      <w:r>
        <w:rPr>
          <w:rFonts w:hint="eastAsia"/>
        </w:rPr>
        <w:t>2.5万金t/a（按镍计）；变更后羟基钴生产线产品为羟基钴，设计产能为1200t/a。</w:t>
      </w:r>
    </w:p>
    <w:p w14:paraId="1C6D6791">
      <w:pPr>
        <w:pStyle w:val="6"/>
        <w:numPr>
          <w:ilvl w:val="2"/>
          <w:numId w:val="11"/>
        </w:numPr>
        <w:tabs>
          <w:tab w:val="left" w:pos="1080"/>
        </w:tabs>
        <w:spacing w:before="214" w:beforeLines="50" w:after="0" w:line="400" w:lineRule="exact"/>
        <w:ind w:left="571" w:hanging="570" w:hangingChars="253"/>
        <w:rPr>
          <w:rFonts w:ascii="Arial" w:hAnsi="Arial" w:eastAsia="宋体" w:cs="Arial"/>
        </w:rPr>
      </w:pPr>
      <w:r>
        <w:rPr>
          <w:rFonts w:ascii="Arial" w:hAnsi="Arial" w:eastAsia="宋体" w:cs="Arial"/>
        </w:rPr>
        <w:t>工程组成</w:t>
      </w:r>
    </w:p>
    <w:p w14:paraId="2C2AE0B9">
      <w:pPr>
        <w:pStyle w:val="5"/>
      </w:pPr>
      <w:r>
        <w:t>项目变更前后工程组成见表2-</w:t>
      </w:r>
      <w:r>
        <w:rPr>
          <w:rFonts w:hint="eastAsia"/>
        </w:rPr>
        <w:t>11</w:t>
      </w:r>
      <w:r>
        <w:t>。</w:t>
      </w:r>
    </w:p>
    <w:p w14:paraId="03FBD1C8">
      <w:pPr>
        <w:pStyle w:val="5"/>
        <w:keepNext/>
        <w:numPr>
          <w:ilvl w:val="0"/>
          <w:numId w:val="12"/>
        </w:numPr>
        <w:adjustRightInd w:val="0"/>
        <w:snapToGrid w:val="0"/>
        <w:spacing w:line="500" w:lineRule="exact"/>
        <w:ind w:left="0" w:firstLine="0"/>
        <w:jc w:val="center"/>
        <w:outlineLvl w:val="4"/>
        <w:rPr>
          <w:b/>
        </w:rPr>
      </w:pPr>
      <w:r>
        <w:rPr>
          <w:b/>
        </w:rPr>
        <w:t>变更前后工程组成</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485"/>
        <w:gridCol w:w="3189"/>
        <w:gridCol w:w="3262"/>
        <w:gridCol w:w="1871"/>
      </w:tblGrid>
      <w:tr w14:paraId="2F2B2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0" w:type="pct"/>
            <w:gridSpan w:val="2"/>
            <w:shd w:val="clear" w:color="auto" w:fill="auto"/>
            <w:vAlign w:val="center"/>
          </w:tcPr>
          <w:p w14:paraId="6EAB9E73">
            <w:pPr>
              <w:pStyle w:val="5"/>
              <w:adjustRightInd w:val="0"/>
              <w:snapToGrid w:val="0"/>
              <w:spacing w:line="240" w:lineRule="auto"/>
              <w:ind w:firstLine="0"/>
              <w:jc w:val="center"/>
              <w:rPr>
                <w:b/>
                <w:sz w:val="21"/>
                <w:szCs w:val="21"/>
              </w:rPr>
            </w:pPr>
            <w:r>
              <w:rPr>
                <w:b/>
                <w:sz w:val="21"/>
                <w:szCs w:val="21"/>
              </w:rPr>
              <w:t>类型</w:t>
            </w:r>
          </w:p>
        </w:tc>
        <w:tc>
          <w:tcPr>
            <w:tcW w:w="1717" w:type="pct"/>
            <w:shd w:val="clear" w:color="auto" w:fill="auto"/>
            <w:vAlign w:val="center"/>
          </w:tcPr>
          <w:p w14:paraId="48EA95D7">
            <w:pPr>
              <w:pStyle w:val="5"/>
              <w:adjustRightInd w:val="0"/>
              <w:snapToGrid w:val="0"/>
              <w:spacing w:line="240" w:lineRule="auto"/>
              <w:ind w:firstLine="0"/>
              <w:jc w:val="center"/>
              <w:rPr>
                <w:b/>
                <w:sz w:val="21"/>
                <w:szCs w:val="21"/>
              </w:rPr>
            </w:pPr>
            <w:r>
              <w:rPr>
                <w:b/>
                <w:sz w:val="21"/>
                <w:szCs w:val="21"/>
              </w:rPr>
              <w:t>原有工程</w:t>
            </w:r>
          </w:p>
        </w:tc>
        <w:tc>
          <w:tcPr>
            <w:tcW w:w="1756" w:type="pct"/>
            <w:shd w:val="clear" w:color="auto" w:fill="auto"/>
            <w:vAlign w:val="center"/>
          </w:tcPr>
          <w:p w14:paraId="6A8340E1">
            <w:pPr>
              <w:pStyle w:val="5"/>
              <w:adjustRightInd w:val="0"/>
              <w:snapToGrid w:val="0"/>
              <w:spacing w:line="240" w:lineRule="auto"/>
              <w:ind w:firstLine="0"/>
              <w:jc w:val="center"/>
              <w:rPr>
                <w:b/>
                <w:sz w:val="21"/>
                <w:szCs w:val="21"/>
              </w:rPr>
            </w:pPr>
            <w:r>
              <w:rPr>
                <w:b/>
                <w:sz w:val="21"/>
                <w:szCs w:val="21"/>
              </w:rPr>
              <w:t>变更工程</w:t>
            </w:r>
          </w:p>
        </w:tc>
        <w:tc>
          <w:tcPr>
            <w:tcW w:w="1007" w:type="pct"/>
            <w:shd w:val="clear" w:color="auto" w:fill="auto"/>
            <w:vAlign w:val="center"/>
          </w:tcPr>
          <w:p w14:paraId="485CE788">
            <w:pPr>
              <w:pStyle w:val="5"/>
              <w:adjustRightInd w:val="0"/>
              <w:snapToGrid w:val="0"/>
              <w:spacing w:line="240" w:lineRule="auto"/>
              <w:ind w:firstLine="0"/>
              <w:jc w:val="center"/>
              <w:rPr>
                <w:b/>
                <w:sz w:val="21"/>
                <w:szCs w:val="21"/>
              </w:rPr>
            </w:pPr>
            <w:r>
              <w:rPr>
                <w:b/>
                <w:sz w:val="21"/>
                <w:szCs w:val="21"/>
              </w:rPr>
              <w:t>变更前后对比</w:t>
            </w:r>
          </w:p>
        </w:tc>
      </w:tr>
      <w:tr w14:paraId="57CFA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0" w:type="pct"/>
            <w:gridSpan w:val="2"/>
            <w:shd w:val="clear" w:color="auto" w:fill="auto"/>
            <w:vAlign w:val="center"/>
          </w:tcPr>
          <w:p w14:paraId="2572900B">
            <w:pPr>
              <w:pStyle w:val="5"/>
              <w:adjustRightInd w:val="0"/>
              <w:snapToGrid w:val="0"/>
              <w:spacing w:line="240" w:lineRule="auto"/>
              <w:ind w:firstLine="0"/>
              <w:jc w:val="center"/>
              <w:rPr>
                <w:sz w:val="21"/>
                <w:szCs w:val="21"/>
              </w:rPr>
            </w:pPr>
            <w:r>
              <w:rPr>
                <w:sz w:val="21"/>
                <w:szCs w:val="21"/>
              </w:rPr>
              <w:t>主体工程</w:t>
            </w:r>
          </w:p>
        </w:tc>
        <w:tc>
          <w:tcPr>
            <w:tcW w:w="1717" w:type="pct"/>
            <w:shd w:val="clear" w:color="auto" w:fill="auto"/>
            <w:vAlign w:val="center"/>
          </w:tcPr>
          <w:p w14:paraId="370CBEE7">
            <w:pPr>
              <w:pStyle w:val="5"/>
              <w:adjustRightInd w:val="0"/>
              <w:snapToGrid w:val="0"/>
              <w:ind w:firstLine="0"/>
              <w:jc w:val="left"/>
              <w:rPr>
                <w:sz w:val="21"/>
                <w:szCs w:val="21"/>
              </w:rPr>
            </w:pPr>
            <w:r>
              <w:rPr>
                <w:sz w:val="21"/>
                <w:szCs w:val="21"/>
              </w:rPr>
              <w:t>X</w:t>
            </w:r>
            <w:r>
              <w:rPr>
                <w:rFonts w:hint="eastAsia"/>
                <w:sz w:val="21"/>
                <w:szCs w:val="21"/>
              </w:rPr>
              <w:t>19车间占地2683.35m</w:t>
            </w:r>
            <w:r>
              <w:rPr>
                <w:rFonts w:hint="eastAsia"/>
                <w:sz w:val="21"/>
                <w:szCs w:val="21"/>
                <w:vertAlign w:val="superscript"/>
              </w:rPr>
              <w:t>2</w:t>
            </w:r>
            <w:r>
              <w:rPr>
                <w:rFonts w:hint="eastAsia"/>
                <w:sz w:val="21"/>
                <w:szCs w:val="21"/>
              </w:rPr>
              <w:t>；</w:t>
            </w:r>
            <w:r>
              <w:rPr>
                <w:sz w:val="21"/>
                <w:szCs w:val="21"/>
              </w:rPr>
              <w:t>X</w:t>
            </w:r>
            <w:r>
              <w:rPr>
                <w:rFonts w:hint="eastAsia"/>
                <w:sz w:val="21"/>
                <w:szCs w:val="21"/>
              </w:rPr>
              <w:t>19车间内</w:t>
            </w:r>
            <w:r>
              <w:rPr>
                <w:sz w:val="21"/>
                <w:szCs w:val="21"/>
              </w:rPr>
              <w:t>新建</w:t>
            </w:r>
            <w:r>
              <w:rPr>
                <w:rFonts w:hint="eastAsia"/>
                <w:sz w:val="21"/>
                <w:szCs w:val="21"/>
              </w:rPr>
              <w:t>1条2.5万吨/年镍豆镍粉处置线，</w:t>
            </w:r>
            <w:r>
              <w:rPr>
                <w:sz w:val="21"/>
                <w:szCs w:val="21"/>
              </w:rPr>
              <w:t>设计</w:t>
            </w:r>
            <w:r>
              <w:rPr>
                <w:rFonts w:hint="eastAsia"/>
                <w:sz w:val="21"/>
                <w:szCs w:val="21"/>
              </w:rPr>
              <w:t>年产</w:t>
            </w:r>
            <w:r>
              <w:rPr>
                <w:sz w:val="21"/>
                <w:szCs w:val="21"/>
              </w:rPr>
              <w:t>硫酸镍溶液</w:t>
            </w:r>
            <w:r>
              <w:rPr>
                <w:rFonts w:hint="eastAsia"/>
                <w:sz w:val="21"/>
                <w:szCs w:val="21"/>
              </w:rPr>
              <w:t>2.5万金t（按镍计）。</w:t>
            </w:r>
          </w:p>
        </w:tc>
        <w:tc>
          <w:tcPr>
            <w:tcW w:w="1756" w:type="pct"/>
            <w:shd w:val="clear" w:color="auto" w:fill="auto"/>
            <w:vAlign w:val="center"/>
          </w:tcPr>
          <w:p w14:paraId="7F0473A3">
            <w:pPr>
              <w:pStyle w:val="5"/>
              <w:adjustRightInd w:val="0"/>
              <w:snapToGrid w:val="0"/>
              <w:spacing w:line="240" w:lineRule="auto"/>
              <w:ind w:firstLine="0"/>
              <w:jc w:val="left"/>
              <w:rPr>
                <w:sz w:val="21"/>
                <w:szCs w:val="21"/>
              </w:rPr>
            </w:pPr>
            <w:r>
              <w:rPr>
                <w:sz w:val="21"/>
                <w:szCs w:val="21"/>
              </w:rPr>
              <w:t>X</w:t>
            </w:r>
            <w:r>
              <w:rPr>
                <w:rFonts w:hint="eastAsia"/>
                <w:sz w:val="21"/>
                <w:szCs w:val="21"/>
              </w:rPr>
              <w:t>19车间占地2683.35m</w:t>
            </w:r>
            <w:r>
              <w:rPr>
                <w:rFonts w:hint="eastAsia"/>
                <w:sz w:val="21"/>
                <w:szCs w:val="21"/>
                <w:vertAlign w:val="superscript"/>
              </w:rPr>
              <w:t>2</w:t>
            </w:r>
            <w:r>
              <w:rPr>
                <w:rFonts w:hint="eastAsia"/>
                <w:sz w:val="21"/>
                <w:szCs w:val="21"/>
              </w:rPr>
              <w:t>；</w:t>
            </w:r>
            <w:r>
              <w:rPr>
                <w:sz w:val="21"/>
                <w:szCs w:val="21"/>
              </w:rPr>
              <w:t>X</w:t>
            </w:r>
            <w:r>
              <w:rPr>
                <w:rFonts w:hint="eastAsia"/>
                <w:sz w:val="21"/>
                <w:szCs w:val="21"/>
              </w:rPr>
              <w:t>19车间内新建1条1200顿/年</w:t>
            </w:r>
            <w:r>
              <w:rPr>
                <w:sz w:val="21"/>
                <w:szCs w:val="21"/>
              </w:rPr>
              <w:t>羟基钴生产线，设计年产羟基钴</w:t>
            </w:r>
            <w:r>
              <w:rPr>
                <w:rFonts w:hint="eastAsia"/>
                <w:sz w:val="21"/>
                <w:szCs w:val="21"/>
              </w:rPr>
              <w:t>1200t。</w:t>
            </w:r>
          </w:p>
        </w:tc>
        <w:tc>
          <w:tcPr>
            <w:tcW w:w="1007" w:type="pct"/>
            <w:shd w:val="clear" w:color="auto" w:fill="auto"/>
            <w:vAlign w:val="center"/>
          </w:tcPr>
          <w:p w14:paraId="68D53E9B">
            <w:pPr>
              <w:pStyle w:val="5"/>
              <w:adjustRightInd w:val="0"/>
              <w:snapToGrid w:val="0"/>
              <w:spacing w:line="240" w:lineRule="auto"/>
              <w:ind w:firstLine="0"/>
              <w:jc w:val="center"/>
              <w:rPr>
                <w:sz w:val="21"/>
                <w:szCs w:val="21"/>
              </w:rPr>
            </w:pPr>
            <w:r>
              <w:rPr>
                <w:sz w:val="21"/>
                <w:szCs w:val="21"/>
              </w:rPr>
              <w:t>利用</w:t>
            </w:r>
            <w:r>
              <w:rPr>
                <w:rFonts w:hint="eastAsia"/>
                <w:sz w:val="21"/>
                <w:szCs w:val="21"/>
              </w:rPr>
              <w:t>镍豆镍粉处置线现有设备进行改造，产品由硫酸镍溶液变更为羟基钴。</w:t>
            </w:r>
          </w:p>
        </w:tc>
      </w:tr>
      <w:tr w14:paraId="4E3F6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0" w:type="pct"/>
            <w:gridSpan w:val="2"/>
            <w:shd w:val="clear" w:color="auto" w:fill="auto"/>
            <w:vAlign w:val="center"/>
          </w:tcPr>
          <w:p w14:paraId="552DD4E3">
            <w:pPr>
              <w:pStyle w:val="5"/>
              <w:adjustRightInd w:val="0"/>
              <w:snapToGrid w:val="0"/>
              <w:spacing w:line="240" w:lineRule="auto"/>
              <w:ind w:firstLine="0"/>
              <w:jc w:val="center"/>
              <w:rPr>
                <w:sz w:val="21"/>
                <w:szCs w:val="21"/>
              </w:rPr>
            </w:pPr>
            <w:r>
              <w:rPr>
                <w:sz w:val="21"/>
                <w:szCs w:val="21"/>
              </w:rPr>
              <w:t>辅助工程</w:t>
            </w:r>
          </w:p>
        </w:tc>
        <w:tc>
          <w:tcPr>
            <w:tcW w:w="1717" w:type="pct"/>
            <w:shd w:val="clear" w:color="auto" w:fill="auto"/>
            <w:vAlign w:val="center"/>
          </w:tcPr>
          <w:p w14:paraId="5A4CDF28">
            <w:pPr>
              <w:pStyle w:val="5"/>
              <w:adjustRightInd w:val="0"/>
              <w:snapToGrid w:val="0"/>
              <w:spacing w:line="240" w:lineRule="auto"/>
              <w:ind w:firstLine="0"/>
              <w:jc w:val="left"/>
              <w:rPr>
                <w:sz w:val="21"/>
                <w:szCs w:val="21"/>
              </w:rPr>
            </w:pPr>
            <w:r>
              <w:rPr>
                <w:rFonts w:hint="eastAsia"/>
                <w:sz w:val="21"/>
                <w:szCs w:val="21"/>
              </w:rPr>
              <w:t>依托</w:t>
            </w:r>
            <w:r>
              <w:rPr>
                <w:sz w:val="21"/>
                <w:szCs w:val="21"/>
              </w:rPr>
              <w:t>厂区纯水站提供纯水。</w:t>
            </w:r>
          </w:p>
        </w:tc>
        <w:tc>
          <w:tcPr>
            <w:tcW w:w="1756" w:type="pct"/>
            <w:shd w:val="clear" w:color="auto" w:fill="auto"/>
            <w:vAlign w:val="center"/>
          </w:tcPr>
          <w:p w14:paraId="5219E170">
            <w:pPr>
              <w:pStyle w:val="5"/>
              <w:adjustRightInd w:val="0"/>
              <w:snapToGrid w:val="0"/>
              <w:spacing w:line="240" w:lineRule="auto"/>
              <w:ind w:firstLine="0"/>
              <w:jc w:val="left"/>
              <w:rPr>
                <w:sz w:val="21"/>
                <w:szCs w:val="21"/>
              </w:rPr>
            </w:pPr>
            <w:r>
              <w:rPr>
                <w:rFonts w:hint="eastAsia"/>
                <w:sz w:val="21"/>
                <w:szCs w:val="21"/>
              </w:rPr>
              <w:t>依托</w:t>
            </w:r>
            <w:r>
              <w:rPr>
                <w:sz w:val="21"/>
                <w:szCs w:val="21"/>
              </w:rPr>
              <w:t>厂区纯水站提供纯水。</w:t>
            </w:r>
          </w:p>
        </w:tc>
        <w:tc>
          <w:tcPr>
            <w:tcW w:w="1007" w:type="pct"/>
            <w:shd w:val="clear" w:color="auto" w:fill="auto"/>
            <w:vAlign w:val="center"/>
          </w:tcPr>
          <w:p w14:paraId="45EA72B5">
            <w:pPr>
              <w:pStyle w:val="5"/>
              <w:adjustRightInd w:val="0"/>
              <w:snapToGrid w:val="0"/>
              <w:spacing w:line="240" w:lineRule="auto"/>
              <w:ind w:firstLine="0"/>
              <w:jc w:val="center"/>
              <w:rPr>
                <w:sz w:val="21"/>
                <w:szCs w:val="21"/>
              </w:rPr>
            </w:pPr>
            <w:r>
              <w:rPr>
                <w:sz w:val="21"/>
                <w:szCs w:val="21"/>
              </w:rPr>
              <w:t>无变化</w:t>
            </w:r>
          </w:p>
        </w:tc>
      </w:tr>
      <w:tr w14:paraId="0E7AB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0" w:type="pct"/>
            <w:gridSpan w:val="2"/>
            <w:shd w:val="clear" w:color="auto" w:fill="auto"/>
            <w:vAlign w:val="center"/>
          </w:tcPr>
          <w:p w14:paraId="72831CE0">
            <w:pPr>
              <w:pStyle w:val="5"/>
              <w:adjustRightInd w:val="0"/>
              <w:snapToGrid w:val="0"/>
              <w:spacing w:line="240" w:lineRule="auto"/>
              <w:ind w:firstLine="0"/>
              <w:jc w:val="center"/>
              <w:rPr>
                <w:sz w:val="21"/>
                <w:szCs w:val="21"/>
              </w:rPr>
            </w:pPr>
            <w:r>
              <w:rPr>
                <w:sz w:val="21"/>
                <w:szCs w:val="21"/>
              </w:rPr>
              <w:t>储运工程</w:t>
            </w:r>
          </w:p>
        </w:tc>
        <w:tc>
          <w:tcPr>
            <w:tcW w:w="1717" w:type="pct"/>
            <w:shd w:val="clear" w:color="auto" w:fill="auto"/>
            <w:vAlign w:val="center"/>
          </w:tcPr>
          <w:p w14:paraId="2AF7C526">
            <w:pPr>
              <w:pStyle w:val="5"/>
              <w:adjustRightInd w:val="0"/>
              <w:snapToGrid w:val="0"/>
              <w:spacing w:line="240" w:lineRule="auto"/>
              <w:ind w:firstLine="0"/>
              <w:jc w:val="left"/>
              <w:rPr>
                <w:b/>
                <w:sz w:val="21"/>
                <w:szCs w:val="21"/>
              </w:rPr>
            </w:pPr>
            <w:r>
              <w:rPr>
                <w:rFonts w:hint="eastAsia"/>
                <w:b/>
                <w:sz w:val="21"/>
                <w:szCs w:val="21"/>
              </w:rPr>
              <w:t>车间中转槽：</w:t>
            </w:r>
          </w:p>
          <w:p w14:paraId="7E52FB5F">
            <w:pPr>
              <w:pStyle w:val="5"/>
              <w:adjustRightInd w:val="0"/>
              <w:snapToGrid w:val="0"/>
              <w:spacing w:line="240" w:lineRule="auto"/>
              <w:ind w:firstLine="0"/>
              <w:jc w:val="left"/>
              <w:rPr>
                <w:sz w:val="21"/>
                <w:szCs w:val="21"/>
              </w:rPr>
            </w:pPr>
            <w:r>
              <w:rPr>
                <w:rFonts w:hint="eastAsia"/>
                <w:sz w:val="21"/>
                <w:szCs w:val="21"/>
              </w:rPr>
              <w:t>X19车间南面：3个75m</w:t>
            </w:r>
            <w:r>
              <w:rPr>
                <w:rFonts w:hint="eastAsia"/>
                <w:sz w:val="21"/>
                <w:szCs w:val="21"/>
                <w:vertAlign w:val="superscript"/>
              </w:rPr>
              <w:t>3</w:t>
            </w:r>
            <w:r>
              <w:rPr>
                <w:rFonts w:hint="eastAsia"/>
                <w:sz w:val="21"/>
                <w:szCs w:val="21"/>
              </w:rPr>
              <w:t>纯水储罐。</w:t>
            </w:r>
          </w:p>
          <w:p w14:paraId="50827109">
            <w:pPr>
              <w:pStyle w:val="5"/>
              <w:adjustRightInd w:val="0"/>
              <w:snapToGrid w:val="0"/>
              <w:spacing w:line="240" w:lineRule="auto"/>
              <w:ind w:firstLine="0"/>
              <w:jc w:val="left"/>
              <w:rPr>
                <w:b/>
                <w:sz w:val="21"/>
                <w:szCs w:val="21"/>
              </w:rPr>
            </w:pPr>
            <w:r>
              <w:rPr>
                <w:rFonts w:hint="eastAsia"/>
                <w:b/>
                <w:sz w:val="21"/>
                <w:szCs w:val="21"/>
              </w:rPr>
              <w:t>厂区罐区：</w:t>
            </w:r>
          </w:p>
          <w:p w14:paraId="3737341F">
            <w:pPr>
              <w:pStyle w:val="5"/>
              <w:adjustRightInd w:val="0"/>
              <w:snapToGrid w:val="0"/>
              <w:spacing w:line="240" w:lineRule="auto"/>
              <w:ind w:firstLine="0"/>
              <w:jc w:val="left"/>
              <w:rPr>
                <w:b/>
                <w:sz w:val="21"/>
                <w:szCs w:val="21"/>
              </w:rPr>
            </w:pPr>
            <w:r>
              <w:rPr>
                <w:rFonts w:hint="eastAsia"/>
                <w:sz w:val="21"/>
                <w:szCs w:val="21"/>
              </w:rPr>
              <w:t>依托</w:t>
            </w:r>
            <w:r>
              <w:rPr>
                <w:sz w:val="21"/>
                <w:szCs w:val="21"/>
              </w:rPr>
              <w:t>厂区罐组十——</w:t>
            </w:r>
            <w:r>
              <w:rPr>
                <w:rFonts w:hint="eastAsia"/>
                <w:sz w:val="21"/>
                <w:szCs w:val="21"/>
              </w:rPr>
              <w:t>3个1000m</w:t>
            </w:r>
            <w:r>
              <w:rPr>
                <w:rFonts w:hint="eastAsia"/>
                <w:sz w:val="21"/>
                <w:szCs w:val="21"/>
                <w:vertAlign w:val="superscript"/>
              </w:rPr>
              <w:t>3</w:t>
            </w:r>
            <w:r>
              <w:rPr>
                <w:rFonts w:hint="eastAsia"/>
                <w:sz w:val="21"/>
                <w:szCs w:val="21"/>
              </w:rPr>
              <w:t>98%</w:t>
            </w:r>
            <w:r>
              <w:rPr>
                <w:sz w:val="21"/>
                <w:szCs w:val="21"/>
              </w:rPr>
              <w:t>硫酸储罐</w:t>
            </w:r>
            <w:r>
              <w:rPr>
                <w:rFonts w:hint="eastAsia"/>
                <w:sz w:val="21"/>
                <w:szCs w:val="21"/>
              </w:rPr>
              <w:t>；依托</w:t>
            </w:r>
            <w:r>
              <w:rPr>
                <w:sz w:val="21"/>
                <w:szCs w:val="21"/>
              </w:rPr>
              <w:t>厂区罐组九——</w:t>
            </w:r>
            <w:r>
              <w:rPr>
                <w:rFonts w:hint="eastAsia"/>
                <w:sz w:val="21"/>
                <w:szCs w:val="21"/>
              </w:rPr>
              <w:t>2个250m</w:t>
            </w:r>
            <w:r>
              <w:rPr>
                <w:rFonts w:hint="eastAsia"/>
                <w:sz w:val="21"/>
                <w:szCs w:val="21"/>
                <w:vertAlign w:val="superscript"/>
              </w:rPr>
              <w:t>3</w:t>
            </w:r>
            <w:r>
              <w:rPr>
                <w:rFonts w:hint="eastAsia"/>
                <w:sz w:val="21"/>
                <w:szCs w:val="21"/>
              </w:rPr>
              <w:t>27.5%</w:t>
            </w:r>
            <w:r>
              <w:rPr>
                <w:sz w:val="21"/>
                <w:szCs w:val="21"/>
              </w:rPr>
              <w:t>双氧水储罐</w:t>
            </w:r>
            <w:r>
              <w:rPr>
                <w:rFonts w:hint="eastAsia"/>
                <w:sz w:val="21"/>
                <w:szCs w:val="21"/>
              </w:rPr>
              <w:t>；依托</w:t>
            </w:r>
            <w:r>
              <w:rPr>
                <w:sz w:val="21"/>
                <w:szCs w:val="21"/>
              </w:rPr>
              <w:t>厂区罐组六——</w:t>
            </w:r>
            <w:r>
              <w:rPr>
                <w:rFonts w:hint="eastAsia"/>
                <w:sz w:val="21"/>
                <w:szCs w:val="21"/>
              </w:rPr>
              <w:t>8个2000m</w:t>
            </w:r>
            <w:r>
              <w:rPr>
                <w:rFonts w:hint="eastAsia"/>
                <w:sz w:val="21"/>
                <w:szCs w:val="21"/>
                <w:vertAlign w:val="superscript"/>
              </w:rPr>
              <w:t>3</w:t>
            </w:r>
            <w:r>
              <w:rPr>
                <w:rFonts w:hint="eastAsia"/>
                <w:sz w:val="21"/>
                <w:szCs w:val="21"/>
              </w:rPr>
              <w:t>32%</w:t>
            </w:r>
            <w:r>
              <w:rPr>
                <w:sz w:val="21"/>
                <w:szCs w:val="21"/>
              </w:rPr>
              <w:t>液碱储罐。</w:t>
            </w:r>
          </w:p>
        </w:tc>
        <w:tc>
          <w:tcPr>
            <w:tcW w:w="1756" w:type="pct"/>
            <w:shd w:val="clear" w:color="auto" w:fill="auto"/>
            <w:vAlign w:val="center"/>
          </w:tcPr>
          <w:p w14:paraId="5BD75889">
            <w:pPr>
              <w:pStyle w:val="5"/>
              <w:adjustRightInd w:val="0"/>
              <w:snapToGrid w:val="0"/>
              <w:spacing w:line="240" w:lineRule="auto"/>
              <w:ind w:firstLine="0"/>
              <w:jc w:val="left"/>
              <w:rPr>
                <w:b/>
                <w:sz w:val="21"/>
                <w:szCs w:val="21"/>
              </w:rPr>
            </w:pPr>
            <w:r>
              <w:rPr>
                <w:rFonts w:hint="eastAsia"/>
                <w:b/>
                <w:sz w:val="21"/>
                <w:szCs w:val="21"/>
              </w:rPr>
              <w:t>车间中转槽：</w:t>
            </w:r>
          </w:p>
          <w:p w14:paraId="6F6C6059">
            <w:pPr>
              <w:pStyle w:val="5"/>
              <w:adjustRightInd w:val="0"/>
              <w:snapToGrid w:val="0"/>
              <w:spacing w:line="240" w:lineRule="auto"/>
              <w:ind w:firstLine="0"/>
              <w:jc w:val="left"/>
              <w:rPr>
                <w:sz w:val="21"/>
                <w:szCs w:val="21"/>
              </w:rPr>
            </w:pPr>
            <w:r>
              <w:rPr>
                <w:rFonts w:hint="eastAsia"/>
                <w:sz w:val="21"/>
                <w:szCs w:val="21"/>
              </w:rPr>
              <w:t>X19车间南面：2个75m</w:t>
            </w:r>
            <w:r>
              <w:rPr>
                <w:rFonts w:hint="eastAsia"/>
                <w:sz w:val="21"/>
                <w:szCs w:val="21"/>
                <w:vertAlign w:val="superscript"/>
              </w:rPr>
              <w:t>3</w:t>
            </w:r>
            <w:r>
              <w:rPr>
                <w:rFonts w:hint="eastAsia"/>
                <w:sz w:val="21"/>
                <w:szCs w:val="21"/>
              </w:rPr>
              <w:t>纯水储罐，1个75m</w:t>
            </w:r>
            <w:r>
              <w:rPr>
                <w:rFonts w:hint="eastAsia"/>
                <w:sz w:val="21"/>
                <w:szCs w:val="21"/>
                <w:vertAlign w:val="superscript"/>
              </w:rPr>
              <w:t>3</w:t>
            </w:r>
            <w:r>
              <w:rPr>
                <w:rFonts w:hint="eastAsia"/>
                <w:sz w:val="21"/>
                <w:szCs w:val="21"/>
              </w:rPr>
              <w:t>洗水外排槽。</w:t>
            </w:r>
          </w:p>
          <w:p w14:paraId="2BB93BB5">
            <w:pPr>
              <w:pStyle w:val="5"/>
              <w:adjustRightInd w:val="0"/>
              <w:snapToGrid w:val="0"/>
              <w:spacing w:line="240" w:lineRule="auto"/>
              <w:ind w:firstLine="0"/>
              <w:jc w:val="left"/>
              <w:rPr>
                <w:b/>
                <w:sz w:val="21"/>
                <w:szCs w:val="21"/>
              </w:rPr>
            </w:pPr>
            <w:r>
              <w:rPr>
                <w:rFonts w:hint="eastAsia"/>
                <w:sz w:val="21"/>
                <w:szCs w:val="21"/>
              </w:rPr>
              <w:t>X19车间北面：2个35m</w:t>
            </w:r>
            <w:r>
              <w:rPr>
                <w:rFonts w:hint="eastAsia"/>
                <w:sz w:val="21"/>
                <w:szCs w:val="21"/>
                <w:vertAlign w:val="superscript"/>
              </w:rPr>
              <w:t>3</w:t>
            </w:r>
            <w:r>
              <w:rPr>
                <w:rFonts w:hint="eastAsia"/>
                <w:sz w:val="21"/>
                <w:szCs w:val="21"/>
              </w:rPr>
              <w:t>热水储罐；1个35m</w:t>
            </w:r>
            <w:r>
              <w:rPr>
                <w:rFonts w:hint="eastAsia"/>
                <w:sz w:val="21"/>
                <w:szCs w:val="21"/>
                <w:vertAlign w:val="superscript"/>
              </w:rPr>
              <w:t>3</w:t>
            </w:r>
            <w:r>
              <w:rPr>
                <w:rFonts w:hint="eastAsia"/>
                <w:sz w:val="21"/>
                <w:szCs w:val="21"/>
              </w:rPr>
              <w:t>32%液碱中间罐；2个35m</w:t>
            </w:r>
            <w:r>
              <w:rPr>
                <w:rFonts w:hint="eastAsia"/>
                <w:sz w:val="21"/>
                <w:szCs w:val="21"/>
                <w:vertAlign w:val="superscript"/>
              </w:rPr>
              <w:t>3</w:t>
            </w:r>
            <w:r>
              <w:rPr>
                <w:rFonts w:hint="eastAsia"/>
                <w:sz w:val="21"/>
                <w:szCs w:val="21"/>
              </w:rPr>
              <w:t>洗水中间罐；1个25m</w:t>
            </w:r>
            <w:r>
              <w:rPr>
                <w:rFonts w:hint="eastAsia"/>
                <w:sz w:val="21"/>
                <w:szCs w:val="21"/>
                <w:vertAlign w:val="superscript"/>
              </w:rPr>
              <w:t>3</w:t>
            </w:r>
            <w:r>
              <w:rPr>
                <w:rFonts w:hint="eastAsia"/>
                <w:sz w:val="21"/>
                <w:szCs w:val="21"/>
              </w:rPr>
              <w:t>配酸槽；1个15m</w:t>
            </w:r>
            <w:r>
              <w:rPr>
                <w:rFonts w:hint="eastAsia"/>
                <w:sz w:val="21"/>
                <w:szCs w:val="21"/>
                <w:vertAlign w:val="superscript"/>
              </w:rPr>
              <w:t>3</w:t>
            </w:r>
            <w:r>
              <w:rPr>
                <w:rFonts w:hint="eastAsia"/>
                <w:sz w:val="21"/>
                <w:szCs w:val="21"/>
              </w:rPr>
              <w:t>27.5%双氧水中间罐；1个13 m</w:t>
            </w:r>
            <w:r>
              <w:rPr>
                <w:rFonts w:hint="eastAsia"/>
                <w:sz w:val="21"/>
                <w:szCs w:val="21"/>
                <w:vertAlign w:val="superscript"/>
              </w:rPr>
              <w:t>3</w:t>
            </w:r>
            <w:r>
              <w:rPr>
                <w:rFonts w:hint="eastAsia"/>
                <w:sz w:val="21"/>
                <w:szCs w:val="21"/>
              </w:rPr>
              <w:t>21%氨水中间罐。</w:t>
            </w:r>
          </w:p>
          <w:p w14:paraId="7C344E84">
            <w:pPr>
              <w:pStyle w:val="5"/>
              <w:adjustRightInd w:val="0"/>
              <w:snapToGrid w:val="0"/>
              <w:spacing w:line="240" w:lineRule="auto"/>
              <w:ind w:firstLine="0"/>
              <w:jc w:val="left"/>
              <w:rPr>
                <w:b/>
                <w:sz w:val="21"/>
                <w:szCs w:val="21"/>
              </w:rPr>
            </w:pPr>
            <w:r>
              <w:rPr>
                <w:rFonts w:hint="eastAsia"/>
                <w:b/>
                <w:sz w:val="21"/>
                <w:szCs w:val="21"/>
              </w:rPr>
              <w:t>厂区罐区：</w:t>
            </w:r>
          </w:p>
          <w:p w14:paraId="7DB50DE4">
            <w:pPr>
              <w:pStyle w:val="5"/>
              <w:adjustRightInd w:val="0"/>
              <w:snapToGrid w:val="0"/>
              <w:spacing w:line="240" w:lineRule="auto"/>
              <w:ind w:firstLine="0"/>
              <w:jc w:val="left"/>
              <w:rPr>
                <w:b/>
                <w:sz w:val="21"/>
                <w:szCs w:val="21"/>
              </w:rPr>
            </w:pPr>
            <w:r>
              <w:rPr>
                <w:rFonts w:hint="eastAsia"/>
                <w:sz w:val="21"/>
                <w:szCs w:val="21"/>
              </w:rPr>
              <w:t>依托</w:t>
            </w:r>
            <w:r>
              <w:rPr>
                <w:sz w:val="21"/>
                <w:szCs w:val="21"/>
              </w:rPr>
              <w:t>厂区罐组九——</w:t>
            </w:r>
            <w:r>
              <w:rPr>
                <w:rFonts w:hint="eastAsia"/>
                <w:sz w:val="21"/>
                <w:szCs w:val="21"/>
              </w:rPr>
              <w:t>2个250m</w:t>
            </w:r>
            <w:r>
              <w:rPr>
                <w:rFonts w:hint="eastAsia"/>
                <w:sz w:val="21"/>
                <w:szCs w:val="21"/>
                <w:vertAlign w:val="superscript"/>
              </w:rPr>
              <w:t>3</w:t>
            </w:r>
            <w:r>
              <w:rPr>
                <w:rFonts w:hint="eastAsia"/>
                <w:sz w:val="21"/>
                <w:szCs w:val="21"/>
              </w:rPr>
              <w:t>27.5%</w:t>
            </w:r>
            <w:r>
              <w:rPr>
                <w:sz w:val="21"/>
                <w:szCs w:val="21"/>
              </w:rPr>
              <w:t>双氧水储罐</w:t>
            </w:r>
            <w:r>
              <w:rPr>
                <w:rFonts w:hint="eastAsia"/>
                <w:sz w:val="21"/>
                <w:szCs w:val="21"/>
              </w:rPr>
              <w:t>；依托</w:t>
            </w:r>
            <w:r>
              <w:rPr>
                <w:sz w:val="21"/>
                <w:szCs w:val="21"/>
              </w:rPr>
              <w:t>厂区罐组六——</w:t>
            </w:r>
            <w:r>
              <w:rPr>
                <w:rFonts w:hint="eastAsia"/>
                <w:sz w:val="21"/>
                <w:szCs w:val="21"/>
              </w:rPr>
              <w:t>8个2000m</w:t>
            </w:r>
            <w:r>
              <w:rPr>
                <w:rFonts w:hint="eastAsia"/>
                <w:sz w:val="21"/>
                <w:szCs w:val="21"/>
                <w:vertAlign w:val="superscript"/>
              </w:rPr>
              <w:t>3</w:t>
            </w:r>
            <w:r>
              <w:rPr>
                <w:rFonts w:hint="eastAsia"/>
                <w:sz w:val="21"/>
                <w:szCs w:val="21"/>
              </w:rPr>
              <w:t>32%</w:t>
            </w:r>
            <w:r>
              <w:rPr>
                <w:sz w:val="21"/>
                <w:szCs w:val="21"/>
              </w:rPr>
              <w:t>液碱储罐</w:t>
            </w:r>
            <w:r>
              <w:rPr>
                <w:rFonts w:hint="eastAsia"/>
                <w:sz w:val="21"/>
                <w:szCs w:val="21"/>
              </w:rPr>
              <w:t>；依托</w:t>
            </w:r>
            <w:r>
              <w:rPr>
                <w:sz w:val="21"/>
                <w:szCs w:val="21"/>
              </w:rPr>
              <w:t>厂区</w:t>
            </w:r>
            <w:r>
              <w:rPr>
                <w:rFonts w:hint="eastAsia"/>
                <w:sz w:val="21"/>
                <w:szCs w:val="21"/>
              </w:rPr>
              <w:t>罐组七——3个2000m</w:t>
            </w:r>
            <w:r>
              <w:rPr>
                <w:rFonts w:hint="eastAsia"/>
                <w:sz w:val="21"/>
                <w:szCs w:val="21"/>
                <w:vertAlign w:val="superscript"/>
              </w:rPr>
              <w:t>3</w:t>
            </w:r>
            <w:r>
              <w:rPr>
                <w:rFonts w:hint="eastAsia"/>
                <w:sz w:val="21"/>
                <w:szCs w:val="21"/>
              </w:rPr>
              <w:t>21%氨水储罐。</w:t>
            </w:r>
          </w:p>
        </w:tc>
        <w:tc>
          <w:tcPr>
            <w:tcW w:w="1007" w:type="pct"/>
            <w:shd w:val="clear" w:color="auto" w:fill="auto"/>
            <w:vAlign w:val="center"/>
          </w:tcPr>
          <w:p w14:paraId="25E2F26B">
            <w:pPr>
              <w:pStyle w:val="5"/>
              <w:adjustRightInd w:val="0"/>
              <w:snapToGrid w:val="0"/>
              <w:spacing w:line="240" w:lineRule="auto"/>
              <w:ind w:firstLine="0"/>
              <w:jc w:val="center"/>
              <w:rPr>
                <w:sz w:val="21"/>
                <w:szCs w:val="21"/>
              </w:rPr>
            </w:pPr>
            <w:r>
              <w:rPr>
                <w:rFonts w:hint="eastAsia"/>
                <w:sz w:val="21"/>
                <w:szCs w:val="21"/>
              </w:rPr>
              <w:t>X19车间北面新增2个35m</w:t>
            </w:r>
            <w:r>
              <w:rPr>
                <w:rFonts w:hint="eastAsia"/>
                <w:sz w:val="21"/>
                <w:szCs w:val="21"/>
                <w:vertAlign w:val="superscript"/>
              </w:rPr>
              <w:t>3</w:t>
            </w:r>
            <w:r>
              <w:rPr>
                <w:rFonts w:hint="eastAsia"/>
                <w:sz w:val="21"/>
                <w:szCs w:val="21"/>
              </w:rPr>
              <w:t>热水储罐，1个35m</w:t>
            </w:r>
            <w:r>
              <w:rPr>
                <w:rFonts w:hint="eastAsia"/>
                <w:sz w:val="21"/>
                <w:szCs w:val="21"/>
                <w:vertAlign w:val="superscript"/>
              </w:rPr>
              <w:t>3</w:t>
            </w:r>
            <w:r>
              <w:rPr>
                <w:rFonts w:hint="eastAsia"/>
                <w:sz w:val="21"/>
                <w:szCs w:val="21"/>
              </w:rPr>
              <w:t>32%液碱中间罐，2个35m</w:t>
            </w:r>
            <w:r>
              <w:rPr>
                <w:rFonts w:hint="eastAsia"/>
                <w:sz w:val="21"/>
                <w:szCs w:val="21"/>
                <w:vertAlign w:val="superscript"/>
              </w:rPr>
              <w:t>3</w:t>
            </w:r>
            <w:r>
              <w:rPr>
                <w:rFonts w:hint="eastAsia"/>
                <w:sz w:val="21"/>
                <w:szCs w:val="21"/>
              </w:rPr>
              <w:t>洗水中间罐，1个25m</w:t>
            </w:r>
            <w:r>
              <w:rPr>
                <w:rFonts w:hint="eastAsia"/>
                <w:sz w:val="21"/>
                <w:szCs w:val="21"/>
                <w:vertAlign w:val="superscript"/>
              </w:rPr>
              <w:t>3</w:t>
            </w:r>
            <w:r>
              <w:rPr>
                <w:rFonts w:hint="eastAsia"/>
                <w:sz w:val="21"/>
                <w:szCs w:val="21"/>
              </w:rPr>
              <w:t>配酸槽，1个15m</w:t>
            </w:r>
            <w:r>
              <w:rPr>
                <w:rFonts w:hint="eastAsia"/>
                <w:sz w:val="21"/>
                <w:szCs w:val="21"/>
                <w:vertAlign w:val="superscript"/>
              </w:rPr>
              <w:t>3</w:t>
            </w:r>
            <w:r>
              <w:rPr>
                <w:rFonts w:hint="eastAsia"/>
                <w:sz w:val="21"/>
                <w:szCs w:val="21"/>
              </w:rPr>
              <w:t>27.5%双氧水中间罐，1个13 m</w:t>
            </w:r>
            <w:r>
              <w:rPr>
                <w:rFonts w:hint="eastAsia"/>
                <w:sz w:val="21"/>
                <w:szCs w:val="21"/>
                <w:vertAlign w:val="superscript"/>
              </w:rPr>
              <w:t>3</w:t>
            </w:r>
            <w:r>
              <w:rPr>
                <w:rFonts w:hint="eastAsia"/>
                <w:sz w:val="21"/>
                <w:szCs w:val="21"/>
              </w:rPr>
              <w:t>21%氨水中间罐。</w:t>
            </w:r>
          </w:p>
        </w:tc>
      </w:tr>
      <w:tr w14:paraId="28602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0" w:type="pct"/>
            <w:gridSpan w:val="2"/>
            <w:shd w:val="clear" w:color="auto" w:fill="auto"/>
            <w:vAlign w:val="center"/>
          </w:tcPr>
          <w:p w14:paraId="161DCA09">
            <w:pPr>
              <w:pStyle w:val="5"/>
              <w:adjustRightInd w:val="0"/>
              <w:snapToGrid w:val="0"/>
              <w:spacing w:line="240" w:lineRule="auto"/>
              <w:ind w:firstLine="0"/>
              <w:jc w:val="center"/>
              <w:rPr>
                <w:sz w:val="21"/>
                <w:szCs w:val="21"/>
              </w:rPr>
            </w:pPr>
            <w:r>
              <w:rPr>
                <w:sz w:val="21"/>
                <w:szCs w:val="21"/>
              </w:rPr>
              <w:t>公用工程</w:t>
            </w:r>
          </w:p>
        </w:tc>
        <w:tc>
          <w:tcPr>
            <w:tcW w:w="1717" w:type="pct"/>
            <w:shd w:val="clear" w:color="auto" w:fill="auto"/>
            <w:vAlign w:val="center"/>
          </w:tcPr>
          <w:p w14:paraId="0FDC8095">
            <w:pPr>
              <w:pStyle w:val="5"/>
              <w:adjustRightInd w:val="0"/>
              <w:snapToGrid w:val="0"/>
              <w:spacing w:line="240" w:lineRule="auto"/>
              <w:ind w:firstLine="0"/>
              <w:jc w:val="left"/>
              <w:rPr>
                <w:sz w:val="21"/>
                <w:szCs w:val="21"/>
              </w:rPr>
            </w:pPr>
            <w:r>
              <w:rPr>
                <w:sz w:val="21"/>
                <w:szCs w:val="21"/>
              </w:rPr>
              <w:t>园区供应自来水；园区供电。</w:t>
            </w:r>
          </w:p>
        </w:tc>
        <w:tc>
          <w:tcPr>
            <w:tcW w:w="1756" w:type="pct"/>
            <w:shd w:val="clear" w:color="auto" w:fill="auto"/>
            <w:vAlign w:val="center"/>
          </w:tcPr>
          <w:p w14:paraId="193D8848">
            <w:pPr>
              <w:pStyle w:val="5"/>
              <w:adjustRightInd w:val="0"/>
              <w:snapToGrid w:val="0"/>
              <w:spacing w:line="240" w:lineRule="auto"/>
              <w:ind w:firstLine="0"/>
              <w:jc w:val="left"/>
              <w:rPr>
                <w:sz w:val="21"/>
                <w:szCs w:val="21"/>
              </w:rPr>
            </w:pPr>
            <w:r>
              <w:rPr>
                <w:sz w:val="21"/>
                <w:szCs w:val="21"/>
              </w:rPr>
              <w:t>园区供应自来水；园区供电；蒸汽近期依托现有工程燃气锅炉供给，远期依托园区蒸汽管网供给。</w:t>
            </w:r>
          </w:p>
        </w:tc>
        <w:tc>
          <w:tcPr>
            <w:tcW w:w="1007" w:type="pct"/>
            <w:shd w:val="clear" w:color="auto" w:fill="auto"/>
            <w:vAlign w:val="center"/>
          </w:tcPr>
          <w:p w14:paraId="68A1F5D0">
            <w:pPr>
              <w:pStyle w:val="5"/>
              <w:adjustRightInd w:val="0"/>
              <w:snapToGrid w:val="0"/>
              <w:spacing w:line="240" w:lineRule="auto"/>
              <w:ind w:firstLine="0"/>
              <w:jc w:val="center"/>
              <w:rPr>
                <w:sz w:val="21"/>
                <w:szCs w:val="21"/>
              </w:rPr>
            </w:pPr>
            <w:r>
              <w:rPr>
                <w:sz w:val="21"/>
                <w:szCs w:val="21"/>
              </w:rPr>
              <w:t>无变化</w:t>
            </w:r>
          </w:p>
        </w:tc>
      </w:tr>
      <w:tr w14:paraId="7F099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9" w:type="pct"/>
            <w:vMerge w:val="restart"/>
            <w:shd w:val="clear" w:color="auto" w:fill="auto"/>
            <w:vAlign w:val="center"/>
          </w:tcPr>
          <w:p w14:paraId="0CC1CB75">
            <w:pPr>
              <w:pStyle w:val="5"/>
              <w:adjustRightInd w:val="0"/>
              <w:snapToGrid w:val="0"/>
              <w:spacing w:line="240" w:lineRule="auto"/>
              <w:ind w:firstLine="0"/>
              <w:jc w:val="center"/>
              <w:rPr>
                <w:sz w:val="21"/>
                <w:szCs w:val="21"/>
              </w:rPr>
            </w:pPr>
            <w:r>
              <w:rPr>
                <w:sz w:val="21"/>
                <w:szCs w:val="21"/>
              </w:rPr>
              <w:t>环保工程</w:t>
            </w:r>
          </w:p>
        </w:tc>
        <w:tc>
          <w:tcPr>
            <w:tcW w:w="261" w:type="pct"/>
            <w:shd w:val="clear" w:color="auto" w:fill="auto"/>
            <w:vAlign w:val="center"/>
          </w:tcPr>
          <w:p w14:paraId="01A6F391">
            <w:pPr>
              <w:pStyle w:val="5"/>
              <w:adjustRightInd w:val="0"/>
              <w:snapToGrid w:val="0"/>
              <w:spacing w:line="240" w:lineRule="auto"/>
              <w:ind w:firstLine="0"/>
              <w:jc w:val="center"/>
              <w:rPr>
                <w:sz w:val="21"/>
                <w:szCs w:val="21"/>
              </w:rPr>
            </w:pPr>
            <w:r>
              <w:rPr>
                <w:sz w:val="21"/>
                <w:szCs w:val="21"/>
              </w:rPr>
              <w:t>废气</w:t>
            </w:r>
          </w:p>
        </w:tc>
        <w:tc>
          <w:tcPr>
            <w:tcW w:w="1717" w:type="pct"/>
            <w:shd w:val="clear" w:color="auto" w:fill="auto"/>
            <w:vAlign w:val="center"/>
          </w:tcPr>
          <w:p w14:paraId="7CDAADA8">
            <w:pPr>
              <w:pStyle w:val="5"/>
              <w:adjustRightInd w:val="0"/>
              <w:snapToGrid w:val="0"/>
              <w:ind w:firstLine="0"/>
              <w:jc w:val="left"/>
              <w:rPr>
                <w:b/>
                <w:sz w:val="21"/>
                <w:szCs w:val="21"/>
              </w:rPr>
            </w:pPr>
            <w:r>
              <w:rPr>
                <w:rFonts w:hint="eastAsia"/>
                <w:sz w:val="21"/>
                <w:szCs w:val="21"/>
              </w:rPr>
              <w:t>镍溶解车间废气经4套吸收塔处理后通过4根20m高排气筒排放；镍净化车间废气经2套吸收塔处理后通过2根20m高排气筒排放。</w:t>
            </w:r>
          </w:p>
        </w:tc>
        <w:tc>
          <w:tcPr>
            <w:tcW w:w="1756" w:type="pct"/>
            <w:shd w:val="clear" w:color="auto" w:fill="auto"/>
            <w:vAlign w:val="center"/>
          </w:tcPr>
          <w:p w14:paraId="6C44F7C5">
            <w:pPr>
              <w:pStyle w:val="5"/>
              <w:adjustRightInd w:val="0"/>
              <w:snapToGrid w:val="0"/>
              <w:spacing w:line="240" w:lineRule="auto"/>
              <w:ind w:firstLine="0"/>
              <w:jc w:val="left"/>
              <w:rPr>
                <w:sz w:val="21"/>
                <w:szCs w:val="21"/>
              </w:rPr>
            </w:pPr>
            <w:r>
              <w:rPr>
                <w:sz w:val="21"/>
                <w:szCs w:val="21"/>
              </w:rPr>
              <w:t>湿区反应、洗涤废气收集后经</w:t>
            </w:r>
            <w:r>
              <w:rPr>
                <w:rFonts w:hint="eastAsia"/>
                <w:sz w:val="21"/>
                <w:szCs w:val="21"/>
              </w:rPr>
              <w:t>1套吸收塔处理后通过现有1根20m高排气筒排放；干区破碎、包装粉尘收集后经布袋除尘器后，与干燥粉尘一同经水喷淋吸收塔处理后通过现有1根20m高排气筒排放。</w:t>
            </w:r>
          </w:p>
        </w:tc>
        <w:tc>
          <w:tcPr>
            <w:tcW w:w="1007" w:type="pct"/>
            <w:shd w:val="clear" w:color="auto" w:fill="auto"/>
            <w:vAlign w:val="center"/>
          </w:tcPr>
          <w:p w14:paraId="2CE241F8">
            <w:pPr>
              <w:pStyle w:val="5"/>
              <w:adjustRightInd w:val="0"/>
              <w:snapToGrid w:val="0"/>
              <w:spacing w:line="240" w:lineRule="auto"/>
              <w:ind w:firstLine="0"/>
              <w:jc w:val="left"/>
              <w:rPr>
                <w:sz w:val="21"/>
                <w:szCs w:val="21"/>
              </w:rPr>
            </w:pPr>
            <w:r>
              <w:rPr>
                <w:sz w:val="21"/>
                <w:szCs w:val="21"/>
              </w:rPr>
              <w:t>变更后减少</w:t>
            </w:r>
            <w:r>
              <w:rPr>
                <w:rFonts w:hint="eastAsia"/>
                <w:sz w:val="21"/>
                <w:szCs w:val="21"/>
              </w:rPr>
              <w:t>4套吸收塔和4根20m高排气筒（实际未建），新增1套布袋除尘器</w:t>
            </w:r>
          </w:p>
        </w:tc>
      </w:tr>
      <w:tr w14:paraId="034D8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9" w:type="pct"/>
            <w:vMerge w:val="continue"/>
            <w:shd w:val="clear" w:color="auto" w:fill="auto"/>
            <w:vAlign w:val="center"/>
          </w:tcPr>
          <w:p w14:paraId="2DAF56AC">
            <w:pPr>
              <w:pStyle w:val="5"/>
              <w:adjustRightInd w:val="0"/>
              <w:snapToGrid w:val="0"/>
              <w:spacing w:line="240" w:lineRule="auto"/>
              <w:ind w:firstLine="0"/>
              <w:jc w:val="center"/>
              <w:rPr>
                <w:sz w:val="21"/>
                <w:szCs w:val="21"/>
              </w:rPr>
            </w:pPr>
          </w:p>
        </w:tc>
        <w:tc>
          <w:tcPr>
            <w:tcW w:w="261" w:type="pct"/>
            <w:vMerge w:val="restart"/>
            <w:shd w:val="clear" w:color="auto" w:fill="auto"/>
            <w:vAlign w:val="center"/>
          </w:tcPr>
          <w:p w14:paraId="3A9CD4BC">
            <w:pPr>
              <w:pStyle w:val="5"/>
              <w:adjustRightInd w:val="0"/>
              <w:snapToGrid w:val="0"/>
              <w:spacing w:line="240" w:lineRule="auto"/>
              <w:ind w:firstLine="0"/>
              <w:jc w:val="center"/>
              <w:rPr>
                <w:sz w:val="21"/>
                <w:szCs w:val="21"/>
              </w:rPr>
            </w:pPr>
            <w:r>
              <w:rPr>
                <w:sz w:val="21"/>
                <w:szCs w:val="21"/>
              </w:rPr>
              <w:t>废水</w:t>
            </w:r>
          </w:p>
        </w:tc>
        <w:tc>
          <w:tcPr>
            <w:tcW w:w="1717" w:type="pct"/>
            <w:shd w:val="clear" w:color="auto" w:fill="auto"/>
            <w:vAlign w:val="center"/>
          </w:tcPr>
          <w:p w14:paraId="2D99F861">
            <w:pPr>
              <w:pStyle w:val="5"/>
              <w:adjustRightInd w:val="0"/>
              <w:snapToGrid w:val="0"/>
              <w:spacing w:line="240" w:lineRule="auto"/>
              <w:ind w:firstLine="0"/>
              <w:jc w:val="left"/>
              <w:rPr>
                <w:sz w:val="21"/>
                <w:szCs w:val="21"/>
              </w:rPr>
            </w:pPr>
            <w:r>
              <w:rPr>
                <w:rFonts w:hint="eastAsia"/>
                <w:sz w:val="21"/>
                <w:szCs w:val="21"/>
                <w:u w:val="single"/>
              </w:rPr>
              <w:t>镍豆镍粉处置线无</w:t>
            </w:r>
            <w:r>
              <w:rPr>
                <w:sz w:val="21"/>
                <w:szCs w:val="21"/>
                <w:u w:val="single"/>
              </w:rPr>
              <w:t>生产废水排放。</w:t>
            </w:r>
          </w:p>
        </w:tc>
        <w:tc>
          <w:tcPr>
            <w:tcW w:w="1756" w:type="pct"/>
            <w:shd w:val="clear" w:color="auto" w:fill="auto"/>
            <w:vAlign w:val="center"/>
          </w:tcPr>
          <w:p w14:paraId="06DA710A">
            <w:pPr>
              <w:pStyle w:val="5"/>
              <w:adjustRightInd w:val="0"/>
              <w:snapToGrid w:val="0"/>
              <w:spacing w:line="240" w:lineRule="auto"/>
              <w:ind w:firstLine="0"/>
              <w:jc w:val="left"/>
              <w:rPr>
                <w:sz w:val="21"/>
                <w:szCs w:val="21"/>
              </w:rPr>
            </w:pPr>
            <w:r>
              <w:rPr>
                <w:rFonts w:hint="eastAsia"/>
                <w:sz w:val="21"/>
                <w:szCs w:val="21"/>
                <w:u w:val="single"/>
              </w:rPr>
              <w:t>X19车间羟基钴生产线生产</w:t>
            </w:r>
            <w:r>
              <w:rPr>
                <w:sz w:val="21"/>
                <w:szCs w:val="21"/>
                <w:u w:val="single"/>
              </w:rPr>
              <w:t>废水和地面清洗废水经板框</w:t>
            </w:r>
            <w:r>
              <w:rPr>
                <w:rFonts w:hint="eastAsia"/>
                <w:sz w:val="21"/>
                <w:szCs w:val="21"/>
                <w:u w:val="single"/>
              </w:rPr>
              <w:t>压滤</w:t>
            </w:r>
            <w:r>
              <w:rPr>
                <w:sz w:val="21"/>
                <w:szCs w:val="21"/>
                <w:u w:val="single"/>
              </w:rPr>
              <w:t>、精密过滤器预处理后，</w:t>
            </w:r>
            <w:r>
              <w:rPr>
                <w:sz w:val="21"/>
                <w:szCs w:val="21"/>
              </w:rPr>
              <w:t>依托S</w:t>
            </w:r>
            <w:r>
              <w:rPr>
                <w:rFonts w:hint="eastAsia"/>
                <w:sz w:val="21"/>
                <w:szCs w:val="21"/>
              </w:rPr>
              <w:t>7污水处理车间脱氨、陶瓷膜过滤处理，</w:t>
            </w:r>
            <w:r>
              <w:rPr>
                <w:sz w:val="21"/>
                <w:szCs w:val="21"/>
              </w:rPr>
              <w:t>依托厂区S</w:t>
            </w:r>
            <w:r>
              <w:rPr>
                <w:rFonts w:hint="eastAsia"/>
                <w:sz w:val="21"/>
                <w:szCs w:val="21"/>
              </w:rPr>
              <w:t>8、S9污水处理车间的</w:t>
            </w:r>
            <w:r>
              <w:rPr>
                <w:sz w:val="21"/>
                <w:szCs w:val="21"/>
              </w:rPr>
              <w:t>9台60t/hMVR（4#~12#）</w:t>
            </w:r>
            <w:r>
              <w:rPr>
                <w:rFonts w:hint="eastAsia"/>
                <w:sz w:val="21"/>
                <w:szCs w:val="21"/>
              </w:rPr>
              <w:t>处理</w:t>
            </w:r>
            <w:r>
              <w:rPr>
                <w:sz w:val="21"/>
                <w:szCs w:val="21"/>
              </w:rPr>
              <w:t>，开路母液经厂区综合污水处理站臭氧催化氧化处理，通过A2排放口排放。</w:t>
            </w:r>
          </w:p>
        </w:tc>
        <w:tc>
          <w:tcPr>
            <w:tcW w:w="1007" w:type="pct"/>
            <w:shd w:val="clear" w:color="auto" w:fill="auto"/>
            <w:vAlign w:val="center"/>
          </w:tcPr>
          <w:p w14:paraId="052F5145">
            <w:pPr>
              <w:pStyle w:val="5"/>
              <w:adjustRightInd w:val="0"/>
              <w:snapToGrid w:val="0"/>
              <w:spacing w:line="240" w:lineRule="auto"/>
              <w:ind w:firstLine="0"/>
              <w:jc w:val="center"/>
              <w:rPr>
                <w:sz w:val="21"/>
                <w:szCs w:val="21"/>
              </w:rPr>
            </w:pPr>
            <w:r>
              <w:rPr>
                <w:sz w:val="21"/>
                <w:szCs w:val="21"/>
              </w:rPr>
              <w:t>新增生产废水</w:t>
            </w:r>
          </w:p>
        </w:tc>
      </w:tr>
      <w:tr w14:paraId="6D6C3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9" w:type="pct"/>
            <w:vMerge w:val="continue"/>
            <w:shd w:val="clear" w:color="auto" w:fill="auto"/>
            <w:vAlign w:val="center"/>
          </w:tcPr>
          <w:p w14:paraId="502347D2">
            <w:pPr>
              <w:pStyle w:val="5"/>
              <w:adjustRightInd w:val="0"/>
              <w:snapToGrid w:val="0"/>
              <w:spacing w:line="240" w:lineRule="auto"/>
              <w:ind w:firstLine="0"/>
              <w:jc w:val="center"/>
              <w:rPr>
                <w:sz w:val="21"/>
                <w:szCs w:val="21"/>
              </w:rPr>
            </w:pPr>
          </w:p>
        </w:tc>
        <w:tc>
          <w:tcPr>
            <w:tcW w:w="261" w:type="pct"/>
            <w:vMerge w:val="continue"/>
            <w:shd w:val="clear" w:color="auto" w:fill="auto"/>
            <w:vAlign w:val="center"/>
          </w:tcPr>
          <w:p w14:paraId="74871A94">
            <w:pPr>
              <w:pStyle w:val="5"/>
              <w:adjustRightInd w:val="0"/>
              <w:snapToGrid w:val="0"/>
              <w:spacing w:line="240" w:lineRule="auto"/>
              <w:ind w:firstLine="0"/>
              <w:jc w:val="center"/>
              <w:rPr>
                <w:sz w:val="21"/>
                <w:szCs w:val="21"/>
              </w:rPr>
            </w:pPr>
          </w:p>
        </w:tc>
        <w:tc>
          <w:tcPr>
            <w:tcW w:w="1717" w:type="pct"/>
            <w:shd w:val="clear" w:color="auto" w:fill="auto"/>
            <w:vAlign w:val="center"/>
          </w:tcPr>
          <w:p w14:paraId="7E13A80F">
            <w:pPr>
              <w:pStyle w:val="5"/>
              <w:adjustRightInd w:val="0"/>
              <w:snapToGrid w:val="0"/>
              <w:spacing w:line="240" w:lineRule="auto"/>
              <w:ind w:firstLine="0"/>
              <w:jc w:val="left"/>
              <w:rPr>
                <w:sz w:val="21"/>
                <w:szCs w:val="21"/>
                <w:u w:val="single"/>
              </w:rPr>
            </w:pPr>
            <w:r>
              <w:rPr>
                <w:rFonts w:hint="eastAsia"/>
                <w:sz w:val="21"/>
                <w:szCs w:val="21"/>
                <w:u w:val="single"/>
              </w:rPr>
              <w:t xml:space="preserve">生活污水采用地埋式三级化粪池处理后，通过污水管道排入大榄坪污水处理厂处理。 </w:t>
            </w:r>
          </w:p>
        </w:tc>
        <w:tc>
          <w:tcPr>
            <w:tcW w:w="1756" w:type="pct"/>
            <w:shd w:val="clear" w:color="auto" w:fill="auto"/>
            <w:vAlign w:val="center"/>
          </w:tcPr>
          <w:p w14:paraId="532330DF">
            <w:pPr>
              <w:pStyle w:val="5"/>
              <w:adjustRightInd w:val="0"/>
              <w:snapToGrid w:val="0"/>
              <w:spacing w:line="240" w:lineRule="auto"/>
              <w:ind w:firstLine="0"/>
              <w:jc w:val="left"/>
              <w:rPr>
                <w:sz w:val="21"/>
                <w:szCs w:val="21"/>
                <w:u w:val="single"/>
              </w:rPr>
            </w:pPr>
            <w:r>
              <w:rPr>
                <w:rFonts w:hint="eastAsia"/>
                <w:sz w:val="21"/>
                <w:szCs w:val="21"/>
                <w:u w:val="single"/>
              </w:rPr>
              <w:t xml:space="preserve">生活污水采用地埋式三级化粪池处理后，通过污水管道排入大榄坪污水处理厂处理。 </w:t>
            </w:r>
          </w:p>
        </w:tc>
        <w:tc>
          <w:tcPr>
            <w:tcW w:w="1007" w:type="pct"/>
            <w:shd w:val="clear" w:color="auto" w:fill="auto"/>
            <w:vAlign w:val="center"/>
          </w:tcPr>
          <w:p w14:paraId="0816CABC">
            <w:pPr>
              <w:pStyle w:val="5"/>
              <w:adjustRightInd w:val="0"/>
              <w:snapToGrid w:val="0"/>
              <w:spacing w:line="240" w:lineRule="auto"/>
              <w:ind w:firstLine="0"/>
              <w:jc w:val="center"/>
              <w:rPr>
                <w:sz w:val="21"/>
                <w:szCs w:val="21"/>
              </w:rPr>
            </w:pPr>
            <w:r>
              <w:rPr>
                <w:sz w:val="21"/>
                <w:szCs w:val="21"/>
              </w:rPr>
              <w:t>无变化</w:t>
            </w:r>
          </w:p>
        </w:tc>
      </w:tr>
      <w:tr w14:paraId="046AA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9" w:type="pct"/>
            <w:vMerge w:val="continue"/>
            <w:shd w:val="clear" w:color="auto" w:fill="auto"/>
            <w:vAlign w:val="center"/>
          </w:tcPr>
          <w:p w14:paraId="6C24461C">
            <w:pPr>
              <w:pStyle w:val="5"/>
              <w:adjustRightInd w:val="0"/>
              <w:snapToGrid w:val="0"/>
              <w:spacing w:line="240" w:lineRule="auto"/>
              <w:ind w:firstLine="0"/>
              <w:jc w:val="center"/>
              <w:rPr>
                <w:sz w:val="21"/>
                <w:szCs w:val="21"/>
              </w:rPr>
            </w:pPr>
          </w:p>
        </w:tc>
        <w:tc>
          <w:tcPr>
            <w:tcW w:w="261" w:type="pct"/>
            <w:vMerge w:val="continue"/>
            <w:shd w:val="clear" w:color="auto" w:fill="auto"/>
            <w:vAlign w:val="center"/>
          </w:tcPr>
          <w:p w14:paraId="46A28F24">
            <w:pPr>
              <w:pStyle w:val="5"/>
              <w:adjustRightInd w:val="0"/>
              <w:snapToGrid w:val="0"/>
              <w:spacing w:line="240" w:lineRule="auto"/>
              <w:ind w:firstLine="0"/>
              <w:jc w:val="center"/>
              <w:rPr>
                <w:sz w:val="21"/>
                <w:szCs w:val="21"/>
              </w:rPr>
            </w:pPr>
          </w:p>
        </w:tc>
        <w:tc>
          <w:tcPr>
            <w:tcW w:w="1717" w:type="pct"/>
            <w:shd w:val="clear" w:color="auto" w:fill="auto"/>
            <w:vAlign w:val="center"/>
          </w:tcPr>
          <w:p w14:paraId="655A325D">
            <w:pPr>
              <w:pStyle w:val="5"/>
              <w:adjustRightInd w:val="0"/>
              <w:snapToGrid w:val="0"/>
              <w:spacing w:line="240" w:lineRule="auto"/>
              <w:ind w:firstLine="0"/>
              <w:jc w:val="left"/>
              <w:rPr>
                <w:sz w:val="21"/>
                <w:szCs w:val="21"/>
                <w:u w:val="single"/>
              </w:rPr>
            </w:pPr>
            <w:r>
              <w:rPr>
                <w:rFonts w:hint="eastAsia"/>
                <w:sz w:val="21"/>
                <w:szCs w:val="21"/>
                <w:u w:val="single"/>
              </w:rPr>
              <w:t>纯水站浓水与综合污水处理站处理后的废水一同排往厂区生产废水总排口。</w:t>
            </w:r>
          </w:p>
        </w:tc>
        <w:tc>
          <w:tcPr>
            <w:tcW w:w="1756" w:type="pct"/>
            <w:shd w:val="clear" w:color="auto" w:fill="auto"/>
            <w:vAlign w:val="center"/>
          </w:tcPr>
          <w:p w14:paraId="504B1544">
            <w:pPr>
              <w:pStyle w:val="5"/>
              <w:adjustRightInd w:val="0"/>
              <w:snapToGrid w:val="0"/>
              <w:spacing w:line="240" w:lineRule="auto"/>
              <w:ind w:firstLine="0"/>
              <w:jc w:val="left"/>
              <w:rPr>
                <w:sz w:val="21"/>
                <w:szCs w:val="21"/>
                <w:u w:val="single"/>
              </w:rPr>
            </w:pPr>
            <w:r>
              <w:rPr>
                <w:rFonts w:hint="eastAsia"/>
                <w:sz w:val="21"/>
                <w:szCs w:val="21"/>
                <w:u w:val="single"/>
              </w:rPr>
              <w:t>纯水站浓水与综合污水处理站处理后的废水一同排往厂区生产废水总排口。</w:t>
            </w:r>
          </w:p>
        </w:tc>
        <w:tc>
          <w:tcPr>
            <w:tcW w:w="1007" w:type="pct"/>
            <w:shd w:val="clear" w:color="auto" w:fill="auto"/>
            <w:vAlign w:val="center"/>
          </w:tcPr>
          <w:p w14:paraId="6B7BB8BA">
            <w:pPr>
              <w:pStyle w:val="5"/>
              <w:adjustRightInd w:val="0"/>
              <w:snapToGrid w:val="0"/>
              <w:spacing w:line="240" w:lineRule="auto"/>
              <w:ind w:firstLine="0"/>
              <w:jc w:val="center"/>
              <w:rPr>
                <w:sz w:val="21"/>
                <w:szCs w:val="21"/>
              </w:rPr>
            </w:pPr>
            <w:r>
              <w:rPr>
                <w:sz w:val="21"/>
                <w:szCs w:val="21"/>
              </w:rPr>
              <w:t>无变化</w:t>
            </w:r>
          </w:p>
        </w:tc>
      </w:tr>
      <w:tr w14:paraId="09188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9" w:type="pct"/>
            <w:vMerge w:val="continue"/>
            <w:shd w:val="clear" w:color="auto" w:fill="auto"/>
            <w:vAlign w:val="center"/>
          </w:tcPr>
          <w:p w14:paraId="0BB1A8EC">
            <w:pPr>
              <w:pStyle w:val="5"/>
              <w:adjustRightInd w:val="0"/>
              <w:snapToGrid w:val="0"/>
              <w:spacing w:line="240" w:lineRule="auto"/>
              <w:ind w:firstLine="0"/>
              <w:jc w:val="center"/>
              <w:rPr>
                <w:sz w:val="21"/>
                <w:szCs w:val="21"/>
              </w:rPr>
            </w:pPr>
          </w:p>
        </w:tc>
        <w:tc>
          <w:tcPr>
            <w:tcW w:w="261" w:type="pct"/>
            <w:shd w:val="clear" w:color="auto" w:fill="auto"/>
            <w:vAlign w:val="center"/>
          </w:tcPr>
          <w:p w14:paraId="39AA10BE">
            <w:pPr>
              <w:pStyle w:val="5"/>
              <w:adjustRightInd w:val="0"/>
              <w:snapToGrid w:val="0"/>
              <w:spacing w:line="240" w:lineRule="auto"/>
              <w:ind w:firstLine="0"/>
              <w:jc w:val="center"/>
              <w:rPr>
                <w:sz w:val="21"/>
                <w:szCs w:val="21"/>
              </w:rPr>
            </w:pPr>
            <w:r>
              <w:rPr>
                <w:sz w:val="21"/>
                <w:szCs w:val="21"/>
              </w:rPr>
              <w:t>固废</w:t>
            </w:r>
          </w:p>
        </w:tc>
        <w:tc>
          <w:tcPr>
            <w:tcW w:w="1717" w:type="pct"/>
            <w:shd w:val="clear" w:color="auto" w:fill="auto"/>
            <w:vAlign w:val="center"/>
          </w:tcPr>
          <w:p w14:paraId="4C512CE7">
            <w:pPr>
              <w:pStyle w:val="5"/>
              <w:adjustRightInd w:val="0"/>
              <w:snapToGrid w:val="0"/>
              <w:spacing w:line="240" w:lineRule="auto"/>
              <w:ind w:firstLine="0"/>
              <w:jc w:val="left"/>
              <w:rPr>
                <w:sz w:val="21"/>
                <w:szCs w:val="21"/>
              </w:rPr>
            </w:pPr>
            <w:r>
              <w:rPr>
                <w:rFonts w:hint="eastAsia"/>
                <w:sz w:val="21"/>
                <w:szCs w:val="21"/>
              </w:rPr>
              <w:t>低镍除铁除铜渣</w:t>
            </w:r>
            <w:r>
              <w:rPr>
                <w:sz w:val="21"/>
                <w:szCs w:val="21"/>
              </w:rPr>
              <w:t>依托厂区现有800m</w:t>
            </w:r>
            <w:r>
              <w:rPr>
                <w:sz w:val="21"/>
                <w:szCs w:val="21"/>
                <w:vertAlign w:val="superscript"/>
              </w:rPr>
              <w:t>2</w:t>
            </w:r>
            <w:r>
              <w:rPr>
                <w:sz w:val="21"/>
                <w:szCs w:val="21"/>
              </w:rPr>
              <w:t>危废暂存间临时存放，委托处理。</w:t>
            </w:r>
          </w:p>
        </w:tc>
        <w:tc>
          <w:tcPr>
            <w:tcW w:w="1756" w:type="pct"/>
            <w:shd w:val="clear" w:color="auto" w:fill="auto"/>
            <w:vAlign w:val="center"/>
          </w:tcPr>
          <w:p w14:paraId="613478A0">
            <w:pPr>
              <w:pStyle w:val="5"/>
              <w:adjustRightInd w:val="0"/>
              <w:snapToGrid w:val="0"/>
              <w:spacing w:line="240" w:lineRule="auto"/>
              <w:ind w:firstLine="0"/>
              <w:jc w:val="left"/>
              <w:rPr>
                <w:sz w:val="21"/>
                <w:szCs w:val="21"/>
              </w:rPr>
            </w:pPr>
            <w:r>
              <w:rPr>
                <w:rFonts w:hint="eastAsia"/>
                <w:sz w:val="21"/>
                <w:szCs w:val="21"/>
              </w:rPr>
              <w:t>机械维修废润滑油</w:t>
            </w:r>
            <w:r>
              <w:rPr>
                <w:sz w:val="21"/>
                <w:szCs w:val="21"/>
              </w:rPr>
              <w:t>依托厂区现有800m</w:t>
            </w:r>
            <w:r>
              <w:rPr>
                <w:sz w:val="21"/>
                <w:szCs w:val="21"/>
                <w:vertAlign w:val="superscript"/>
              </w:rPr>
              <w:t>2</w:t>
            </w:r>
            <w:r>
              <w:rPr>
                <w:sz w:val="21"/>
                <w:szCs w:val="21"/>
              </w:rPr>
              <w:t>危废暂存间临时存放，委托处理。</w:t>
            </w:r>
          </w:p>
        </w:tc>
        <w:tc>
          <w:tcPr>
            <w:tcW w:w="1007" w:type="pct"/>
            <w:shd w:val="clear" w:color="auto" w:fill="auto"/>
            <w:vAlign w:val="center"/>
          </w:tcPr>
          <w:p w14:paraId="350482BE">
            <w:pPr>
              <w:pStyle w:val="5"/>
              <w:adjustRightInd w:val="0"/>
              <w:snapToGrid w:val="0"/>
              <w:spacing w:line="240" w:lineRule="auto"/>
              <w:ind w:firstLine="0"/>
              <w:jc w:val="center"/>
              <w:rPr>
                <w:sz w:val="21"/>
                <w:szCs w:val="21"/>
              </w:rPr>
            </w:pPr>
            <w:r>
              <w:rPr>
                <w:rFonts w:hint="eastAsia"/>
                <w:sz w:val="21"/>
                <w:szCs w:val="21"/>
              </w:rPr>
              <w:t>减少低镍除铁除铜渣产生，新增废润滑油。</w:t>
            </w:r>
          </w:p>
        </w:tc>
      </w:tr>
      <w:tr w14:paraId="28AD9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9" w:type="pct"/>
            <w:vMerge w:val="continue"/>
            <w:shd w:val="clear" w:color="auto" w:fill="auto"/>
            <w:vAlign w:val="center"/>
          </w:tcPr>
          <w:p w14:paraId="0DE96B93">
            <w:pPr>
              <w:pStyle w:val="5"/>
              <w:adjustRightInd w:val="0"/>
              <w:snapToGrid w:val="0"/>
              <w:spacing w:line="240" w:lineRule="auto"/>
              <w:ind w:firstLine="0"/>
              <w:jc w:val="center"/>
              <w:rPr>
                <w:sz w:val="21"/>
                <w:szCs w:val="21"/>
              </w:rPr>
            </w:pPr>
          </w:p>
        </w:tc>
        <w:tc>
          <w:tcPr>
            <w:tcW w:w="261" w:type="pct"/>
            <w:shd w:val="clear" w:color="auto" w:fill="auto"/>
            <w:vAlign w:val="center"/>
          </w:tcPr>
          <w:p w14:paraId="4ED08D11">
            <w:pPr>
              <w:pStyle w:val="5"/>
              <w:adjustRightInd w:val="0"/>
              <w:snapToGrid w:val="0"/>
              <w:spacing w:line="240" w:lineRule="auto"/>
              <w:ind w:firstLine="0"/>
              <w:jc w:val="center"/>
              <w:rPr>
                <w:sz w:val="21"/>
                <w:szCs w:val="21"/>
              </w:rPr>
            </w:pPr>
            <w:r>
              <w:rPr>
                <w:sz w:val="21"/>
                <w:szCs w:val="21"/>
              </w:rPr>
              <w:t>风险防范</w:t>
            </w:r>
          </w:p>
        </w:tc>
        <w:tc>
          <w:tcPr>
            <w:tcW w:w="1717" w:type="pct"/>
            <w:shd w:val="clear" w:color="auto" w:fill="auto"/>
            <w:vAlign w:val="center"/>
          </w:tcPr>
          <w:p w14:paraId="31C09487">
            <w:pPr>
              <w:pStyle w:val="5"/>
              <w:adjustRightInd w:val="0"/>
              <w:snapToGrid w:val="0"/>
              <w:spacing w:line="240" w:lineRule="auto"/>
              <w:ind w:firstLine="0"/>
              <w:jc w:val="left"/>
              <w:rPr>
                <w:sz w:val="21"/>
                <w:szCs w:val="21"/>
              </w:rPr>
            </w:pPr>
            <w:r>
              <w:rPr>
                <w:sz w:val="21"/>
                <w:szCs w:val="21"/>
              </w:rPr>
              <w:t>1、装置区围堰、罐区防火堤及其配套设施；</w:t>
            </w:r>
          </w:p>
          <w:p w14:paraId="440EC03B">
            <w:pPr>
              <w:pStyle w:val="5"/>
              <w:adjustRightInd w:val="0"/>
              <w:snapToGrid w:val="0"/>
              <w:spacing w:line="240" w:lineRule="auto"/>
              <w:ind w:firstLine="0"/>
              <w:jc w:val="left"/>
              <w:rPr>
                <w:sz w:val="21"/>
                <w:szCs w:val="21"/>
              </w:rPr>
            </w:pPr>
            <w:r>
              <w:rPr>
                <w:rFonts w:hint="eastAsia"/>
                <w:sz w:val="21"/>
                <w:szCs w:val="21"/>
              </w:rPr>
              <w:t>2</w:t>
            </w:r>
            <w:r>
              <w:rPr>
                <w:sz w:val="21"/>
                <w:szCs w:val="21"/>
              </w:rPr>
              <w:t>、厂区设有3个事故应急池，总容积1500m</w:t>
            </w:r>
            <w:r>
              <w:rPr>
                <w:sz w:val="21"/>
                <w:szCs w:val="21"/>
                <w:vertAlign w:val="superscript"/>
              </w:rPr>
              <w:t>3</w:t>
            </w:r>
            <w:r>
              <w:rPr>
                <w:sz w:val="21"/>
                <w:szCs w:val="21"/>
              </w:rPr>
              <w:t>，其中地块一的200m</w:t>
            </w:r>
            <w:r>
              <w:rPr>
                <w:sz w:val="21"/>
                <w:szCs w:val="21"/>
                <w:vertAlign w:val="superscript"/>
              </w:rPr>
              <w:t>3</w:t>
            </w:r>
            <w:r>
              <w:rPr>
                <w:sz w:val="21"/>
                <w:szCs w:val="21"/>
              </w:rPr>
              <w:t>，地块二的500m</w:t>
            </w:r>
            <w:r>
              <w:rPr>
                <w:sz w:val="21"/>
                <w:szCs w:val="21"/>
                <w:vertAlign w:val="superscript"/>
              </w:rPr>
              <w:t>3</w:t>
            </w:r>
            <w:r>
              <w:rPr>
                <w:sz w:val="21"/>
                <w:szCs w:val="21"/>
              </w:rPr>
              <w:t>，地块三的800m</w:t>
            </w:r>
            <w:r>
              <w:rPr>
                <w:sz w:val="21"/>
                <w:szCs w:val="21"/>
                <w:vertAlign w:val="superscript"/>
              </w:rPr>
              <w:t>3</w:t>
            </w:r>
            <w:r>
              <w:rPr>
                <w:sz w:val="21"/>
                <w:szCs w:val="21"/>
              </w:rPr>
              <w:t>；</w:t>
            </w:r>
          </w:p>
          <w:p w14:paraId="04F17253">
            <w:pPr>
              <w:pStyle w:val="5"/>
              <w:adjustRightInd w:val="0"/>
              <w:snapToGrid w:val="0"/>
              <w:spacing w:line="240" w:lineRule="auto"/>
              <w:ind w:firstLine="0"/>
              <w:jc w:val="left"/>
              <w:rPr>
                <w:sz w:val="21"/>
                <w:szCs w:val="21"/>
              </w:rPr>
            </w:pPr>
            <w:r>
              <w:rPr>
                <w:rFonts w:hint="eastAsia"/>
                <w:sz w:val="21"/>
                <w:szCs w:val="21"/>
              </w:rPr>
              <w:t>3</w:t>
            </w:r>
            <w:r>
              <w:rPr>
                <w:sz w:val="21"/>
                <w:szCs w:val="21"/>
              </w:rPr>
              <w:t>、厂区雨水和废水排口设置闸阀；</w:t>
            </w:r>
          </w:p>
          <w:p w14:paraId="3DBB9A4B">
            <w:pPr>
              <w:pStyle w:val="5"/>
              <w:adjustRightInd w:val="0"/>
              <w:snapToGrid w:val="0"/>
              <w:spacing w:line="240" w:lineRule="auto"/>
              <w:ind w:firstLine="0"/>
              <w:jc w:val="left"/>
              <w:rPr>
                <w:sz w:val="21"/>
                <w:szCs w:val="21"/>
              </w:rPr>
            </w:pPr>
            <w:r>
              <w:rPr>
                <w:rFonts w:hint="eastAsia"/>
                <w:sz w:val="21"/>
                <w:szCs w:val="21"/>
              </w:rPr>
              <w:t>4</w:t>
            </w:r>
            <w:r>
              <w:rPr>
                <w:sz w:val="21"/>
                <w:szCs w:val="21"/>
              </w:rPr>
              <w:t>、设有3个初期雨水池，总容积9000m</w:t>
            </w:r>
            <w:r>
              <w:rPr>
                <w:sz w:val="21"/>
                <w:szCs w:val="21"/>
                <w:vertAlign w:val="superscript"/>
              </w:rPr>
              <w:t>3</w:t>
            </w:r>
            <w:r>
              <w:rPr>
                <w:sz w:val="21"/>
                <w:szCs w:val="21"/>
              </w:rPr>
              <w:t>，其中地块一的1000m</w:t>
            </w:r>
            <w:r>
              <w:rPr>
                <w:sz w:val="21"/>
                <w:szCs w:val="21"/>
                <w:vertAlign w:val="superscript"/>
              </w:rPr>
              <w:t>3</w:t>
            </w:r>
            <w:r>
              <w:rPr>
                <w:sz w:val="21"/>
                <w:szCs w:val="21"/>
              </w:rPr>
              <w:t>，地块二的4500m</w:t>
            </w:r>
            <w:r>
              <w:rPr>
                <w:sz w:val="21"/>
                <w:szCs w:val="21"/>
                <w:vertAlign w:val="superscript"/>
              </w:rPr>
              <w:t>3</w:t>
            </w:r>
            <w:r>
              <w:rPr>
                <w:sz w:val="21"/>
                <w:szCs w:val="21"/>
              </w:rPr>
              <w:t>，地块三的3500m</w:t>
            </w:r>
            <w:r>
              <w:rPr>
                <w:sz w:val="21"/>
                <w:szCs w:val="21"/>
                <w:vertAlign w:val="superscript"/>
              </w:rPr>
              <w:t>3</w:t>
            </w:r>
            <w:r>
              <w:rPr>
                <w:sz w:val="21"/>
                <w:szCs w:val="21"/>
              </w:rPr>
              <w:t>；</w:t>
            </w:r>
          </w:p>
          <w:p w14:paraId="611AF54D">
            <w:pPr>
              <w:pStyle w:val="5"/>
              <w:adjustRightInd w:val="0"/>
              <w:snapToGrid w:val="0"/>
              <w:spacing w:line="240" w:lineRule="auto"/>
              <w:ind w:firstLine="0"/>
              <w:jc w:val="left"/>
              <w:rPr>
                <w:sz w:val="21"/>
                <w:szCs w:val="21"/>
              </w:rPr>
            </w:pPr>
            <w:r>
              <w:rPr>
                <w:rFonts w:hint="eastAsia"/>
                <w:sz w:val="21"/>
                <w:szCs w:val="21"/>
              </w:rPr>
              <w:t>5</w:t>
            </w:r>
            <w:r>
              <w:rPr>
                <w:sz w:val="21"/>
                <w:szCs w:val="21"/>
              </w:rPr>
              <w:t>、设置4个地下水监控井，分别为2#（一号地块西北角）、3#（一号地块东南角）、4#（二号地块东南角）、5#监控井（三号地块东南角）；</w:t>
            </w:r>
          </w:p>
          <w:p w14:paraId="624184CE">
            <w:pPr>
              <w:pStyle w:val="5"/>
              <w:adjustRightInd w:val="0"/>
              <w:snapToGrid w:val="0"/>
              <w:spacing w:line="240" w:lineRule="auto"/>
              <w:ind w:firstLine="0"/>
              <w:jc w:val="left"/>
              <w:rPr>
                <w:sz w:val="21"/>
                <w:szCs w:val="21"/>
              </w:rPr>
            </w:pPr>
            <w:r>
              <w:rPr>
                <w:rFonts w:hint="eastAsia"/>
                <w:sz w:val="21"/>
                <w:szCs w:val="21"/>
              </w:rPr>
              <w:t>6</w:t>
            </w:r>
            <w:r>
              <w:rPr>
                <w:sz w:val="21"/>
                <w:szCs w:val="21"/>
              </w:rPr>
              <w:t>、分区防渗；</w:t>
            </w:r>
          </w:p>
          <w:p w14:paraId="0690BA04">
            <w:pPr>
              <w:pStyle w:val="5"/>
              <w:adjustRightInd w:val="0"/>
              <w:snapToGrid w:val="0"/>
              <w:spacing w:line="240" w:lineRule="auto"/>
              <w:ind w:firstLine="0"/>
              <w:jc w:val="left"/>
              <w:rPr>
                <w:sz w:val="21"/>
                <w:szCs w:val="21"/>
              </w:rPr>
            </w:pPr>
            <w:r>
              <w:rPr>
                <w:rFonts w:hint="eastAsia"/>
                <w:sz w:val="21"/>
                <w:szCs w:val="21"/>
              </w:rPr>
              <w:t>7</w:t>
            </w:r>
            <w:r>
              <w:rPr>
                <w:sz w:val="21"/>
                <w:szCs w:val="21"/>
              </w:rPr>
              <w:t>、已委托编制了突发环境事件应急预案并在钦州市生态环境局备案成功。</w:t>
            </w:r>
          </w:p>
        </w:tc>
        <w:tc>
          <w:tcPr>
            <w:tcW w:w="1756" w:type="pct"/>
            <w:shd w:val="clear" w:color="auto" w:fill="auto"/>
            <w:vAlign w:val="center"/>
          </w:tcPr>
          <w:p w14:paraId="793CE37F">
            <w:pPr>
              <w:pStyle w:val="5"/>
              <w:adjustRightInd w:val="0"/>
              <w:snapToGrid w:val="0"/>
              <w:spacing w:line="240" w:lineRule="auto"/>
              <w:ind w:firstLine="0"/>
              <w:jc w:val="left"/>
              <w:rPr>
                <w:sz w:val="21"/>
                <w:szCs w:val="21"/>
              </w:rPr>
            </w:pPr>
            <w:r>
              <w:rPr>
                <w:sz w:val="21"/>
                <w:szCs w:val="21"/>
              </w:rPr>
              <w:t>1、装置区围堰、罐区防火堤及其配套设施；</w:t>
            </w:r>
          </w:p>
          <w:p w14:paraId="2FF07A3F">
            <w:pPr>
              <w:pStyle w:val="5"/>
              <w:adjustRightInd w:val="0"/>
              <w:snapToGrid w:val="0"/>
              <w:spacing w:line="240" w:lineRule="auto"/>
              <w:ind w:firstLine="0"/>
              <w:jc w:val="left"/>
              <w:rPr>
                <w:sz w:val="21"/>
                <w:szCs w:val="21"/>
              </w:rPr>
            </w:pPr>
            <w:r>
              <w:rPr>
                <w:rFonts w:hint="eastAsia"/>
                <w:sz w:val="21"/>
                <w:szCs w:val="21"/>
              </w:rPr>
              <w:t>2</w:t>
            </w:r>
            <w:r>
              <w:rPr>
                <w:sz w:val="21"/>
                <w:szCs w:val="21"/>
              </w:rPr>
              <w:t>、厂区设有3个事故应急池，总容积1500m</w:t>
            </w:r>
            <w:r>
              <w:rPr>
                <w:sz w:val="21"/>
                <w:szCs w:val="21"/>
                <w:vertAlign w:val="superscript"/>
              </w:rPr>
              <w:t>3</w:t>
            </w:r>
            <w:r>
              <w:rPr>
                <w:sz w:val="21"/>
                <w:szCs w:val="21"/>
              </w:rPr>
              <w:t>，其中地块一的200m</w:t>
            </w:r>
            <w:r>
              <w:rPr>
                <w:sz w:val="21"/>
                <w:szCs w:val="21"/>
                <w:vertAlign w:val="superscript"/>
              </w:rPr>
              <w:t>3</w:t>
            </w:r>
            <w:r>
              <w:rPr>
                <w:sz w:val="21"/>
                <w:szCs w:val="21"/>
              </w:rPr>
              <w:t>，地块二的500m</w:t>
            </w:r>
            <w:r>
              <w:rPr>
                <w:sz w:val="21"/>
                <w:szCs w:val="21"/>
                <w:vertAlign w:val="superscript"/>
              </w:rPr>
              <w:t>3</w:t>
            </w:r>
            <w:r>
              <w:rPr>
                <w:sz w:val="21"/>
                <w:szCs w:val="21"/>
              </w:rPr>
              <w:t>，地块三的800m</w:t>
            </w:r>
            <w:r>
              <w:rPr>
                <w:sz w:val="21"/>
                <w:szCs w:val="21"/>
                <w:vertAlign w:val="superscript"/>
              </w:rPr>
              <w:t>3</w:t>
            </w:r>
            <w:r>
              <w:rPr>
                <w:sz w:val="21"/>
                <w:szCs w:val="21"/>
              </w:rPr>
              <w:t>；</w:t>
            </w:r>
          </w:p>
          <w:p w14:paraId="378E8726">
            <w:pPr>
              <w:pStyle w:val="5"/>
              <w:adjustRightInd w:val="0"/>
              <w:snapToGrid w:val="0"/>
              <w:spacing w:line="240" w:lineRule="auto"/>
              <w:ind w:firstLine="0"/>
              <w:jc w:val="left"/>
              <w:rPr>
                <w:sz w:val="21"/>
                <w:szCs w:val="21"/>
              </w:rPr>
            </w:pPr>
            <w:r>
              <w:rPr>
                <w:rFonts w:hint="eastAsia"/>
                <w:sz w:val="21"/>
                <w:szCs w:val="21"/>
              </w:rPr>
              <w:t>3</w:t>
            </w:r>
            <w:r>
              <w:rPr>
                <w:sz w:val="21"/>
                <w:szCs w:val="21"/>
              </w:rPr>
              <w:t>、厂区雨水和废水排口设置闸阀；</w:t>
            </w:r>
          </w:p>
          <w:p w14:paraId="71E3827C">
            <w:pPr>
              <w:pStyle w:val="5"/>
              <w:adjustRightInd w:val="0"/>
              <w:snapToGrid w:val="0"/>
              <w:spacing w:line="240" w:lineRule="auto"/>
              <w:ind w:firstLine="0"/>
              <w:jc w:val="left"/>
              <w:rPr>
                <w:sz w:val="21"/>
                <w:szCs w:val="21"/>
              </w:rPr>
            </w:pPr>
            <w:r>
              <w:rPr>
                <w:rFonts w:hint="eastAsia"/>
                <w:sz w:val="21"/>
                <w:szCs w:val="21"/>
              </w:rPr>
              <w:t>4</w:t>
            </w:r>
            <w:r>
              <w:rPr>
                <w:sz w:val="21"/>
                <w:szCs w:val="21"/>
              </w:rPr>
              <w:t>、设有3个初期雨水池，总容积9000m</w:t>
            </w:r>
            <w:r>
              <w:rPr>
                <w:sz w:val="21"/>
                <w:szCs w:val="21"/>
                <w:vertAlign w:val="superscript"/>
              </w:rPr>
              <w:t>3</w:t>
            </w:r>
            <w:r>
              <w:rPr>
                <w:sz w:val="21"/>
                <w:szCs w:val="21"/>
              </w:rPr>
              <w:t>，其中地块一的1000m</w:t>
            </w:r>
            <w:r>
              <w:rPr>
                <w:sz w:val="21"/>
                <w:szCs w:val="21"/>
                <w:vertAlign w:val="superscript"/>
              </w:rPr>
              <w:t>3</w:t>
            </w:r>
            <w:r>
              <w:rPr>
                <w:sz w:val="21"/>
                <w:szCs w:val="21"/>
              </w:rPr>
              <w:t>，地块二的4500m</w:t>
            </w:r>
            <w:r>
              <w:rPr>
                <w:sz w:val="21"/>
                <w:szCs w:val="21"/>
                <w:vertAlign w:val="superscript"/>
              </w:rPr>
              <w:t>3</w:t>
            </w:r>
            <w:r>
              <w:rPr>
                <w:sz w:val="21"/>
                <w:szCs w:val="21"/>
              </w:rPr>
              <w:t>，地块三的3500m</w:t>
            </w:r>
            <w:r>
              <w:rPr>
                <w:sz w:val="21"/>
                <w:szCs w:val="21"/>
                <w:vertAlign w:val="superscript"/>
              </w:rPr>
              <w:t>3</w:t>
            </w:r>
            <w:r>
              <w:rPr>
                <w:sz w:val="21"/>
                <w:szCs w:val="21"/>
              </w:rPr>
              <w:t>；</w:t>
            </w:r>
          </w:p>
          <w:p w14:paraId="4011CC67">
            <w:pPr>
              <w:pStyle w:val="5"/>
              <w:adjustRightInd w:val="0"/>
              <w:snapToGrid w:val="0"/>
              <w:spacing w:line="240" w:lineRule="auto"/>
              <w:ind w:firstLine="0"/>
              <w:jc w:val="left"/>
              <w:rPr>
                <w:sz w:val="21"/>
                <w:szCs w:val="21"/>
              </w:rPr>
            </w:pPr>
            <w:r>
              <w:rPr>
                <w:rFonts w:hint="eastAsia"/>
                <w:sz w:val="21"/>
                <w:szCs w:val="21"/>
              </w:rPr>
              <w:t>5</w:t>
            </w:r>
            <w:r>
              <w:rPr>
                <w:sz w:val="21"/>
                <w:szCs w:val="21"/>
              </w:rPr>
              <w:t>、设置4个地下水监控井，分别为2#（一号地块西北角）、3#（一号地块东南角）、4#（二号地块东南角）、5#监控井（三号地块东南角）；</w:t>
            </w:r>
          </w:p>
          <w:p w14:paraId="05DB60EA">
            <w:pPr>
              <w:pStyle w:val="5"/>
              <w:adjustRightInd w:val="0"/>
              <w:snapToGrid w:val="0"/>
              <w:spacing w:line="240" w:lineRule="auto"/>
              <w:ind w:firstLine="0"/>
              <w:jc w:val="left"/>
              <w:rPr>
                <w:sz w:val="21"/>
                <w:szCs w:val="21"/>
              </w:rPr>
            </w:pPr>
            <w:r>
              <w:rPr>
                <w:rFonts w:hint="eastAsia"/>
                <w:sz w:val="21"/>
                <w:szCs w:val="21"/>
              </w:rPr>
              <w:t>6</w:t>
            </w:r>
            <w:r>
              <w:rPr>
                <w:sz w:val="21"/>
                <w:szCs w:val="21"/>
              </w:rPr>
              <w:t>、分区防渗；</w:t>
            </w:r>
          </w:p>
          <w:p w14:paraId="4C21AE26">
            <w:pPr>
              <w:pStyle w:val="5"/>
              <w:adjustRightInd w:val="0"/>
              <w:snapToGrid w:val="0"/>
              <w:spacing w:line="240" w:lineRule="auto"/>
              <w:ind w:firstLine="0"/>
              <w:jc w:val="left"/>
              <w:rPr>
                <w:sz w:val="21"/>
                <w:szCs w:val="21"/>
              </w:rPr>
            </w:pPr>
            <w:r>
              <w:rPr>
                <w:rFonts w:hint="eastAsia"/>
                <w:sz w:val="21"/>
                <w:szCs w:val="21"/>
              </w:rPr>
              <w:t>7</w:t>
            </w:r>
            <w:r>
              <w:rPr>
                <w:sz w:val="21"/>
                <w:szCs w:val="21"/>
              </w:rPr>
              <w:t>、已委托编制了突发环境事件应急预案并在钦州市生态环境局备案成功。</w:t>
            </w:r>
          </w:p>
        </w:tc>
        <w:tc>
          <w:tcPr>
            <w:tcW w:w="1007" w:type="pct"/>
            <w:shd w:val="clear" w:color="auto" w:fill="auto"/>
            <w:vAlign w:val="center"/>
          </w:tcPr>
          <w:p w14:paraId="4322CA09">
            <w:pPr>
              <w:pStyle w:val="5"/>
              <w:adjustRightInd w:val="0"/>
              <w:snapToGrid w:val="0"/>
              <w:spacing w:line="240" w:lineRule="auto"/>
              <w:ind w:firstLine="0"/>
              <w:jc w:val="center"/>
              <w:rPr>
                <w:sz w:val="21"/>
                <w:szCs w:val="21"/>
              </w:rPr>
            </w:pPr>
            <w:r>
              <w:rPr>
                <w:rFonts w:hint="eastAsia"/>
                <w:sz w:val="21"/>
                <w:szCs w:val="21"/>
              </w:rPr>
              <w:t>无变化</w:t>
            </w:r>
          </w:p>
        </w:tc>
      </w:tr>
      <w:tr w14:paraId="69529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0" w:type="pct"/>
            <w:gridSpan w:val="2"/>
            <w:shd w:val="clear" w:color="auto" w:fill="auto"/>
            <w:vAlign w:val="center"/>
          </w:tcPr>
          <w:p w14:paraId="26FEBC2E">
            <w:pPr>
              <w:pStyle w:val="5"/>
              <w:adjustRightInd w:val="0"/>
              <w:snapToGrid w:val="0"/>
              <w:spacing w:line="240" w:lineRule="auto"/>
              <w:ind w:firstLine="0"/>
              <w:jc w:val="center"/>
              <w:rPr>
                <w:sz w:val="21"/>
                <w:szCs w:val="21"/>
              </w:rPr>
            </w:pPr>
            <w:r>
              <w:rPr>
                <w:rFonts w:hint="eastAsia"/>
                <w:sz w:val="21"/>
                <w:szCs w:val="21"/>
              </w:rPr>
              <w:t>依托工程</w:t>
            </w:r>
          </w:p>
        </w:tc>
        <w:tc>
          <w:tcPr>
            <w:tcW w:w="1717" w:type="pct"/>
            <w:shd w:val="clear" w:color="auto" w:fill="auto"/>
            <w:vAlign w:val="center"/>
          </w:tcPr>
          <w:p w14:paraId="15860289">
            <w:pPr>
              <w:pStyle w:val="5"/>
              <w:adjustRightInd w:val="0"/>
              <w:snapToGrid w:val="0"/>
              <w:spacing w:line="240" w:lineRule="auto"/>
              <w:ind w:firstLine="0"/>
              <w:jc w:val="left"/>
              <w:rPr>
                <w:sz w:val="21"/>
                <w:szCs w:val="21"/>
              </w:rPr>
            </w:pPr>
            <w:r>
              <w:rPr>
                <w:rFonts w:hint="eastAsia"/>
                <w:sz w:val="21"/>
                <w:szCs w:val="21"/>
              </w:rPr>
              <w:t>1、依托</w:t>
            </w:r>
            <w:r>
              <w:rPr>
                <w:sz w:val="21"/>
                <w:szCs w:val="21"/>
              </w:rPr>
              <w:t>厂区</w:t>
            </w:r>
            <w:r>
              <w:rPr>
                <w:rFonts w:hint="eastAsia"/>
                <w:sz w:val="21"/>
                <w:szCs w:val="21"/>
              </w:rPr>
              <w:t>纯水站供给纯水；</w:t>
            </w:r>
          </w:p>
          <w:p w14:paraId="511C02BB">
            <w:pPr>
              <w:pStyle w:val="5"/>
              <w:adjustRightInd w:val="0"/>
              <w:snapToGrid w:val="0"/>
              <w:spacing w:line="240" w:lineRule="auto"/>
              <w:ind w:firstLine="0"/>
              <w:jc w:val="left"/>
              <w:rPr>
                <w:sz w:val="21"/>
                <w:szCs w:val="21"/>
              </w:rPr>
            </w:pPr>
            <w:r>
              <w:rPr>
                <w:rFonts w:hint="eastAsia"/>
                <w:sz w:val="21"/>
                <w:szCs w:val="21"/>
              </w:rPr>
              <w:t>2、依托</w:t>
            </w:r>
            <w:r>
              <w:rPr>
                <w:sz w:val="21"/>
                <w:szCs w:val="21"/>
              </w:rPr>
              <w:t>厂区</w:t>
            </w:r>
            <w:r>
              <w:rPr>
                <w:rFonts w:hint="eastAsia"/>
                <w:sz w:val="21"/>
                <w:szCs w:val="21"/>
              </w:rPr>
              <w:t>罐区；</w:t>
            </w:r>
          </w:p>
          <w:p w14:paraId="3AA1AC48">
            <w:pPr>
              <w:pStyle w:val="5"/>
              <w:adjustRightInd w:val="0"/>
              <w:snapToGrid w:val="0"/>
              <w:spacing w:line="240" w:lineRule="auto"/>
              <w:ind w:firstLine="0"/>
              <w:jc w:val="left"/>
              <w:rPr>
                <w:sz w:val="21"/>
                <w:szCs w:val="21"/>
              </w:rPr>
            </w:pPr>
            <w:r>
              <w:rPr>
                <w:rFonts w:hint="eastAsia"/>
                <w:sz w:val="21"/>
                <w:szCs w:val="21"/>
              </w:rPr>
              <w:t>3、依托</w:t>
            </w:r>
            <w:r>
              <w:rPr>
                <w:sz w:val="21"/>
                <w:szCs w:val="21"/>
              </w:rPr>
              <w:t>厂区</w:t>
            </w:r>
            <w:r>
              <w:rPr>
                <w:rFonts w:hint="eastAsia"/>
                <w:sz w:val="21"/>
                <w:szCs w:val="21"/>
              </w:rPr>
              <w:t>危废暂存间存放危险废物。</w:t>
            </w:r>
          </w:p>
        </w:tc>
        <w:tc>
          <w:tcPr>
            <w:tcW w:w="1756" w:type="pct"/>
            <w:shd w:val="clear" w:color="auto" w:fill="auto"/>
            <w:vAlign w:val="center"/>
          </w:tcPr>
          <w:p w14:paraId="675B12A8">
            <w:pPr>
              <w:pStyle w:val="5"/>
              <w:adjustRightInd w:val="0"/>
              <w:snapToGrid w:val="0"/>
              <w:spacing w:line="240" w:lineRule="auto"/>
              <w:ind w:firstLine="0"/>
              <w:jc w:val="left"/>
              <w:rPr>
                <w:sz w:val="21"/>
                <w:szCs w:val="21"/>
              </w:rPr>
            </w:pPr>
            <w:r>
              <w:rPr>
                <w:rFonts w:hint="eastAsia"/>
                <w:sz w:val="21"/>
                <w:szCs w:val="21"/>
              </w:rPr>
              <w:t>1、依托</w:t>
            </w:r>
            <w:r>
              <w:rPr>
                <w:sz w:val="21"/>
                <w:szCs w:val="21"/>
              </w:rPr>
              <w:t>厂区</w:t>
            </w:r>
            <w:r>
              <w:rPr>
                <w:rFonts w:hint="eastAsia"/>
                <w:sz w:val="21"/>
                <w:szCs w:val="21"/>
              </w:rPr>
              <w:t>纯水站供给纯水；</w:t>
            </w:r>
          </w:p>
          <w:p w14:paraId="2BE7A255">
            <w:pPr>
              <w:pStyle w:val="5"/>
              <w:adjustRightInd w:val="0"/>
              <w:snapToGrid w:val="0"/>
              <w:spacing w:line="240" w:lineRule="auto"/>
              <w:ind w:firstLine="0"/>
              <w:jc w:val="left"/>
              <w:rPr>
                <w:sz w:val="21"/>
                <w:szCs w:val="21"/>
              </w:rPr>
            </w:pPr>
            <w:r>
              <w:rPr>
                <w:rFonts w:hint="eastAsia"/>
                <w:sz w:val="21"/>
                <w:szCs w:val="21"/>
              </w:rPr>
              <w:t>2、依托</w:t>
            </w:r>
            <w:r>
              <w:rPr>
                <w:sz w:val="21"/>
                <w:szCs w:val="21"/>
              </w:rPr>
              <w:t>厂区</w:t>
            </w:r>
            <w:r>
              <w:rPr>
                <w:rFonts w:hint="eastAsia"/>
                <w:sz w:val="21"/>
                <w:szCs w:val="21"/>
              </w:rPr>
              <w:t>罐区；</w:t>
            </w:r>
          </w:p>
          <w:p w14:paraId="704B4E8C">
            <w:pPr>
              <w:pStyle w:val="5"/>
              <w:adjustRightInd w:val="0"/>
              <w:snapToGrid w:val="0"/>
              <w:spacing w:line="240" w:lineRule="auto"/>
              <w:ind w:firstLine="0"/>
              <w:jc w:val="left"/>
              <w:rPr>
                <w:sz w:val="21"/>
                <w:szCs w:val="21"/>
              </w:rPr>
            </w:pPr>
            <w:r>
              <w:rPr>
                <w:rFonts w:hint="eastAsia"/>
                <w:sz w:val="21"/>
                <w:szCs w:val="21"/>
              </w:rPr>
              <w:t>3、依托</w:t>
            </w:r>
            <w:r>
              <w:rPr>
                <w:sz w:val="21"/>
                <w:szCs w:val="21"/>
              </w:rPr>
              <w:t>厂区</w:t>
            </w:r>
            <w:r>
              <w:rPr>
                <w:rFonts w:hint="eastAsia"/>
                <w:sz w:val="21"/>
                <w:szCs w:val="21"/>
              </w:rPr>
              <w:t>危废暂存间存放危险废物。</w:t>
            </w:r>
          </w:p>
          <w:p w14:paraId="14114F7E">
            <w:pPr>
              <w:pStyle w:val="5"/>
              <w:adjustRightInd w:val="0"/>
              <w:snapToGrid w:val="0"/>
              <w:spacing w:line="240" w:lineRule="auto"/>
              <w:ind w:firstLine="0"/>
              <w:jc w:val="left"/>
              <w:rPr>
                <w:sz w:val="21"/>
                <w:szCs w:val="21"/>
              </w:rPr>
            </w:pPr>
            <w:r>
              <w:rPr>
                <w:rFonts w:hint="eastAsia"/>
                <w:sz w:val="21"/>
                <w:szCs w:val="21"/>
              </w:rPr>
              <w:t>4、依托厂区污水处理设施；</w:t>
            </w:r>
          </w:p>
          <w:p w14:paraId="77234759">
            <w:pPr>
              <w:pStyle w:val="5"/>
              <w:adjustRightInd w:val="0"/>
              <w:snapToGrid w:val="0"/>
              <w:spacing w:line="240" w:lineRule="auto"/>
              <w:ind w:firstLine="0"/>
              <w:jc w:val="left"/>
              <w:rPr>
                <w:sz w:val="21"/>
                <w:szCs w:val="21"/>
              </w:rPr>
            </w:pPr>
            <w:r>
              <w:rPr>
                <w:rFonts w:hint="eastAsia"/>
                <w:sz w:val="21"/>
                <w:szCs w:val="21"/>
              </w:rPr>
              <w:t>5、依托厂区</w:t>
            </w:r>
            <w:r>
              <w:rPr>
                <w:sz w:val="21"/>
                <w:szCs w:val="21"/>
              </w:rPr>
              <w:t>燃气锅炉供给蒸汽</w:t>
            </w:r>
            <w:r>
              <w:rPr>
                <w:rFonts w:hint="eastAsia"/>
                <w:sz w:val="21"/>
                <w:szCs w:val="21"/>
              </w:rPr>
              <w:t>。</w:t>
            </w:r>
          </w:p>
        </w:tc>
        <w:tc>
          <w:tcPr>
            <w:tcW w:w="1007" w:type="pct"/>
            <w:shd w:val="clear" w:color="auto" w:fill="auto"/>
            <w:vAlign w:val="center"/>
          </w:tcPr>
          <w:p w14:paraId="1F75127A">
            <w:pPr>
              <w:pStyle w:val="5"/>
              <w:adjustRightInd w:val="0"/>
              <w:snapToGrid w:val="0"/>
              <w:spacing w:line="240" w:lineRule="auto"/>
              <w:ind w:firstLine="0"/>
              <w:jc w:val="center"/>
              <w:rPr>
                <w:sz w:val="21"/>
                <w:szCs w:val="21"/>
              </w:rPr>
            </w:pPr>
            <w:r>
              <w:rPr>
                <w:rFonts w:hint="eastAsia"/>
                <w:sz w:val="21"/>
                <w:szCs w:val="21"/>
              </w:rPr>
              <w:t>增加依托锅炉供气、厂区污水处理站</w:t>
            </w:r>
          </w:p>
        </w:tc>
      </w:tr>
    </w:tbl>
    <w:p w14:paraId="1F81A229">
      <w:pPr>
        <w:pStyle w:val="5"/>
        <w:ind w:firstLine="0"/>
        <w:outlineLvl w:val="4"/>
        <w:rPr>
          <w:b/>
        </w:rPr>
      </w:pPr>
      <w:r>
        <w:rPr>
          <w:rFonts w:hint="eastAsia"/>
          <w:b/>
        </w:rPr>
        <w:t>2.3.2.1储运工程</w:t>
      </w:r>
    </w:p>
    <w:p w14:paraId="4B36C64D">
      <w:pPr>
        <w:pStyle w:val="5"/>
      </w:pPr>
      <w:r>
        <w:rPr>
          <w:rFonts w:hint="eastAsia"/>
        </w:rPr>
        <w:t>1、固态物料</w:t>
      </w:r>
    </w:p>
    <w:p w14:paraId="0F6255C9">
      <w:pPr>
        <w:pStyle w:val="5"/>
      </w:pPr>
      <w:r>
        <w:rPr>
          <w:rFonts w:hint="eastAsia"/>
        </w:rPr>
        <w:t>外购的羟基钴晶体原料采用袋装存放于X19车间内，产品羟基钴采用袋装存放X19车间内。项目变更后固态物料储存情况见表2-12。</w:t>
      </w:r>
    </w:p>
    <w:p w14:paraId="4A81C361">
      <w:pPr>
        <w:pStyle w:val="5"/>
        <w:keepNext/>
        <w:numPr>
          <w:ilvl w:val="0"/>
          <w:numId w:val="12"/>
        </w:numPr>
        <w:adjustRightInd w:val="0"/>
        <w:snapToGrid w:val="0"/>
        <w:spacing w:line="500" w:lineRule="exact"/>
        <w:ind w:left="0" w:firstLine="0"/>
        <w:jc w:val="center"/>
        <w:outlineLvl w:val="4"/>
      </w:pPr>
      <w:r>
        <w:rPr>
          <w:b/>
        </w:rPr>
        <w:t>变更后</w:t>
      </w:r>
      <w:r>
        <w:rPr>
          <w:rFonts w:hint="eastAsia"/>
          <w:b/>
        </w:rPr>
        <w:t>固态</w:t>
      </w:r>
      <w:r>
        <w:rPr>
          <w:b/>
        </w:rPr>
        <w:t>物料储存情况</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1"/>
        <w:gridCol w:w="1490"/>
        <w:gridCol w:w="721"/>
        <w:gridCol w:w="1181"/>
        <w:gridCol w:w="1425"/>
        <w:gridCol w:w="1531"/>
        <w:gridCol w:w="1529"/>
      </w:tblGrid>
      <w:tr w14:paraId="768B5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vAlign w:val="center"/>
          </w:tcPr>
          <w:p w14:paraId="6F314564">
            <w:pPr>
              <w:adjustRightInd w:val="0"/>
              <w:snapToGrid w:val="0"/>
              <w:jc w:val="center"/>
              <w:rPr>
                <w:rFonts w:ascii="Arial" w:hAnsi="Arial" w:eastAsia="宋体" w:cs="Arial"/>
                <w:sz w:val="21"/>
                <w:szCs w:val="21"/>
              </w:rPr>
            </w:pPr>
          </w:p>
        </w:tc>
        <w:tc>
          <w:tcPr>
            <w:tcW w:w="802" w:type="pct"/>
            <w:vAlign w:val="center"/>
          </w:tcPr>
          <w:p w14:paraId="503FEF69">
            <w:pPr>
              <w:adjustRightInd w:val="0"/>
              <w:snapToGrid w:val="0"/>
              <w:jc w:val="center"/>
              <w:rPr>
                <w:rFonts w:ascii="Arial" w:hAnsi="Arial" w:eastAsia="宋体" w:cs="Arial"/>
                <w:sz w:val="21"/>
                <w:szCs w:val="21"/>
              </w:rPr>
            </w:pPr>
          </w:p>
        </w:tc>
        <w:tc>
          <w:tcPr>
            <w:tcW w:w="388" w:type="pct"/>
            <w:vAlign w:val="center"/>
          </w:tcPr>
          <w:p w14:paraId="3FD06024">
            <w:pPr>
              <w:adjustRightInd w:val="0"/>
              <w:snapToGrid w:val="0"/>
              <w:jc w:val="center"/>
              <w:rPr>
                <w:rFonts w:ascii="Arial" w:hAnsi="Arial" w:eastAsia="宋体" w:cs="Arial"/>
                <w:sz w:val="21"/>
                <w:szCs w:val="21"/>
              </w:rPr>
            </w:pPr>
          </w:p>
        </w:tc>
        <w:tc>
          <w:tcPr>
            <w:tcW w:w="636" w:type="pct"/>
            <w:vAlign w:val="center"/>
          </w:tcPr>
          <w:p w14:paraId="38052C7B">
            <w:pPr>
              <w:adjustRightInd w:val="0"/>
              <w:snapToGrid w:val="0"/>
              <w:jc w:val="center"/>
              <w:rPr>
                <w:rFonts w:ascii="Arial" w:hAnsi="Arial" w:eastAsia="宋体" w:cs="Arial"/>
                <w:sz w:val="21"/>
                <w:szCs w:val="21"/>
              </w:rPr>
            </w:pPr>
          </w:p>
        </w:tc>
        <w:tc>
          <w:tcPr>
            <w:tcW w:w="767" w:type="pct"/>
            <w:vAlign w:val="center"/>
          </w:tcPr>
          <w:p w14:paraId="398837A3">
            <w:pPr>
              <w:adjustRightInd w:val="0"/>
              <w:snapToGrid w:val="0"/>
              <w:jc w:val="center"/>
              <w:rPr>
                <w:rFonts w:ascii="Arial" w:hAnsi="Arial" w:eastAsia="宋体" w:cs="Arial"/>
                <w:sz w:val="21"/>
                <w:szCs w:val="21"/>
              </w:rPr>
            </w:pPr>
          </w:p>
        </w:tc>
        <w:tc>
          <w:tcPr>
            <w:tcW w:w="824" w:type="pct"/>
            <w:vAlign w:val="center"/>
          </w:tcPr>
          <w:p w14:paraId="39CB3099">
            <w:pPr>
              <w:adjustRightInd w:val="0"/>
              <w:snapToGrid w:val="0"/>
              <w:jc w:val="center"/>
              <w:rPr>
                <w:rFonts w:ascii="Arial" w:hAnsi="Arial" w:eastAsia="宋体" w:cs="Arial"/>
                <w:sz w:val="21"/>
                <w:szCs w:val="21"/>
              </w:rPr>
            </w:pPr>
          </w:p>
        </w:tc>
        <w:tc>
          <w:tcPr>
            <w:tcW w:w="823" w:type="pct"/>
            <w:vAlign w:val="center"/>
          </w:tcPr>
          <w:p w14:paraId="431422E4">
            <w:pPr>
              <w:adjustRightInd w:val="0"/>
              <w:snapToGrid w:val="0"/>
              <w:jc w:val="center"/>
              <w:rPr>
                <w:rFonts w:ascii="Arial" w:hAnsi="Arial" w:eastAsia="宋体" w:cs="Arial"/>
                <w:sz w:val="21"/>
                <w:szCs w:val="21"/>
              </w:rPr>
            </w:pPr>
          </w:p>
        </w:tc>
      </w:tr>
      <w:tr w14:paraId="085D6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vAlign w:val="center"/>
          </w:tcPr>
          <w:p w14:paraId="5BD576A1">
            <w:pPr>
              <w:adjustRightInd w:val="0"/>
              <w:snapToGrid w:val="0"/>
              <w:jc w:val="center"/>
              <w:rPr>
                <w:rFonts w:ascii="Arial" w:hAnsi="Arial" w:eastAsia="宋体" w:cs="Arial"/>
                <w:sz w:val="21"/>
                <w:szCs w:val="21"/>
              </w:rPr>
            </w:pPr>
          </w:p>
        </w:tc>
        <w:tc>
          <w:tcPr>
            <w:tcW w:w="802" w:type="pct"/>
            <w:vAlign w:val="center"/>
          </w:tcPr>
          <w:p w14:paraId="2734D93A">
            <w:pPr>
              <w:adjustRightInd w:val="0"/>
              <w:snapToGrid w:val="0"/>
              <w:jc w:val="center"/>
              <w:rPr>
                <w:rFonts w:ascii="Arial" w:hAnsi="Arial" w:eastAsia="宋体" w:cs="Arial"/>
                <w:sz w:val="21"/>
                <w:szCs w:val="21"/>
              </w:rPr>
            </w:pPr>
          </w:p>
        </w:tc>
        <w:tc>
          <w:tcPr>
            <w:tcW w:w="388" w:type="pct"/>
            <w:vAlign w:val="center"/>
          </w:tcPr>
          <w:p w14:paraId="317E5EA3">
            <w:pPr>
              <w:adjustRightInd w:val="0"/>
              <w:snapToGrid w:val="0"/>
              <w:jc w:val="center"/>
              <w:rPr>
                <w:rFonts w:ascii="Arial" w:hAnsi="Arial" w:eastAsia="宋体" w:cs="Arial"/>
                <w:sz w:val="21"/>
                <w:szCs w:val="21"/>
              </w:rPr>
            </w:pPr>
          </w:p>
        </w:tc>
        <w:tc>
          <w:tcPr>
            <w:tcW w:w="636" w:type="pct"/>
            <w:vAlign w:val="center"/>
          </w:tcPr>
          <w:p w14:paraId="58016184">
            <w:pPr>
              <w:adjustRightInd w:val="0"/>
              <w:snapToGrid w:val="0"/>
              <w:jc w:val="center"/>
              <w:rPr>
                <w:rFonts w:ascii="Arial" w:hAnsi="Arial" w:eastAsia="宋体" w:cs="Arial"/>
                <w:sz w:val="21"/>
                <w:szCs w:val="21"/>
              </w:rPr>
            </w:pPr>
          </w:p>
        </w:tc>
        <w:tc>
          <w:tcPr>
            <w:tcW w:w="767" w:type="pct"/>
            <w:vAlign w:val="center"/>
          </w:tcPr>
          <w:p w14:paraId="4806D7AC">
            <w:pPr>
              <w:adjustRightInd w:val="0"/>
              <w:snapToGrid w:val="0"/>
              <w:jc w:val="center"/>
              <w:rPr>
                <w:rFonts w:ascii="Arial" w:hAnsi="Arial" w:eastAsia="宋体" w:cs="Arial"/>
                <w:sz w:val="21"/>
                <w:szCs w:val="21"/>
              </w:rPr>
            </w:pPr>
          </w:p>
        </w:tc>
        <w:tc>
          <w:tcPr>
            <w:tcW w:w="824" w:type="pct"/>
            <w:vAlign w:val="center"/>
          </w:tcPr>
          <w:p w14:paraId="498CCFB4">
            <w:pPr>
              <w:adjustRightInd w:val="0"/>
              <w:snapToGrid w:val="0"/>
              <w:jc w:val="center"/>
              <w:rPr>
                <w:rFonts w:ascii="Arial" w:hAnsi="Arial" w:eastAsia="宋体" w:cs="Arial"/>
                <w:sz w:val="21"/>
                <w:szCs w:val="21"/>
              </w:rPr>
            </w:pPr>
          </w:p>
        </w:tc>
        <w:tc>
          <w:tcPr>
            <w:tcW w:w="823" w:type="pct"/>
            <w:vAlign w:val="center"/>
          </w:tcPr>
          <w:p w14:paraId="3A090DA6">
            <w:pPr>
              <w:adjustRightInd w:val="0"/>
              <w:snapToGrid w:val="0"/>
              <w:jc w:val="center"/>
              <w:rPr>
                <w:rFonts w:ascii="Arial" w:hAnsi="Arial" w:eastAsia="宋体" w:cs="Arial"/>
                <w:sz w:val="21"/>
                <w:szCs w:val="21"/>
              </w:rPr>
            </w:pPr>
          </w:p>
        </w:tc>
      </w:tr>
      <w:tr w14:paraId="332B2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0" w:type="pct"/>
            <w:vAlign w:val="center"/>
          </w:tcPr>
          <w:p w14:paraId="02C3F361">
            <w:pPr>
              <w:adjustRightInd w:val="0"/>
              <w:snapToGrid w:val="0"/>
              <w:jc w:val="center"/>
              <w:rPr>
                <w:rFonts w:ascii="Arial" w:hAnsi="Arial" w:eastAsia="宋体" w:cs="Arial"/>
                <w:sz w:val="21"/>
                <w:szCs w:val="21"/>
              </w:rPr>
            </w:pPr>
          </w:p>
        </w:tc>
        <w:tc>
          <w:tcPr>
            <w:tcW w:w="802" w:type="pct"/>
            <w:vAlign w:val="center"/>
          </w:tcPr>
          <w:p w14:paraId="325C76D4">
            <w:pPr>
              <w:adjustRightInd w:val="0"/>
              <w:snapToGrid w:val="0"/>
              <w:jc w:val="center"/>
              <w:rPr>
                <w:rFonts w:ascii="Arial" w:hAnsi="Arial" w:eastAsia="宋体" w:cs="Arial"/>
                <w:sz w:val="21"/>
                <w:szCs w:val="21"/>
              </w:rPr>
            </w:pPr>
          </w:p>
        </w:tc>
        <w:tc>
          <w:tcPr>
            <w:tcW w:w="388" w:type="pct"/>
            <w:vAlign w:val="center"/>
          </w:tcPr>
          <w:p w14:paraId="20476B67">
            <w:pPr>
              <w:adjustRightInd w:val="0"/>
              <w:snapToGrid w:val="0"/>
              <w:jc w:val="center"/>
              <w:rPr>
                <w:rFonts w:ascii="Arial" w:hAnsi="Arial" w:eastAsia="宋体" w:cs="Arial"/>
                <w:sz w:val="21"/>
                <w:szCs w:val="21"/>
              </w:rPr>
            </w:pPr>
          </w:p>
        </w:tc>
        <w:tc>
          <w:tcPr>
            <w:tcW w:w="636" w:type="pct"/>
            <w:vAlign w:val="center"/>
          </w:tcPr>
          <w:p w14:paraId="6EF0045D">
            <w:pPr>
              <w:adjustRightInd w:val="0"/>
              <w:snapToGrid w:val="0"/>
              <w:jc w:val="center"/>
              <w:rPr>
                <w:rFonts w:ascii="Arial" w:hAnsi="Arial" w:eastAsia="宋体" w:cs="Arial"/>
                <w:sz w:val="21"/>
                <w:szCs w:val="21"/>
              </w:rPr>
            </w:pPr>
          </w:p>
        </w:tc>
        <w:tc>
          <w:tcPr>
            <w:tcW w:w="767" w:type="pct"/>
            <w:vAlign w:val="center"/>
          </w:tcPr>
          <w:p w14:paraId="08E45B99">
            <w:pPr>
              <w:adjustRightInd w:val="0"/>
              <w:snapToGrid w:val="0"/>
              <w:jc w:val="center"/>
              <w:rPr>
                <w:rFonts w:ascii="Arial" w:hAnsi="Arial" w:eastAsia="宋体" w:cs="Arial"/>
                <w:sz w:val="21"/>
                <w:szCs w:val="21"/>
              </w:rPr>
            </w:pPr>
          </w:p>
        </w:tc>
        <w:tc>
          <w:tcPr>
            <w:tcW w:w="824" w:type="pct"/>
            <w:vAlign w:val="center"/>
          </w:tcPr>
          <w:p w14:paraId="3B9AC124">
            <w:pPr>
              <w:adjustRightInd w:val="0"/>
              <w:snapToGrid w:val="0"/>
              <w:jc w:val="center"/>
              <w:rPr>
                <w:rFonts w:ascii="Arial" w:hAnsi="Arial" w:eastAsia="宋体" w:cs="Arial"/>
                <w:sz w:val="21"/>
                <w:szCs w:val="21"/>
              </w:rPr>
            </w:pPr>
          </w:p>
        </w:tc>
        <w:tc>
          <w:tcPr>
            <w:tcW w:w="823" w:type="pct"/>
            <w:vAlign w:val="center"/>
          </w:tcPr>
          <w:p w14:paraId="3AF063A3">
            <w:pPr>
              <w:adjustRightInd w:val="0"/>
              <w:snapToGrid w:val="0"/>
              <w:jc w:val="center"/>
              <w:rPr>
                <w:rFonts w:ascii="Arial" w:hAnsi="Arial" w:eastAsia="宋体" w:cs="Arial"/>
                <w:sz w:val="21"/>
                <w:szCs w:val="21"/>
              </w:rPr>
            </w:pPr>
          </w:p>
        </w:tc>
      </w:tr>
    </w:tbl>
    <w:p w14:paraId="1A12D220">
      <w:pPr>
        <w:pStyle w:val="5"/>
      </w:pPr>
      <w:r>
        <w:rPr>
          <w:rFonts w:hint="eastAsia"/>
        </w:rPr>
        <w:t>2、液态物料</w:t>
      </w:r>
    </w:p>
    <w:p w14:paraId="5F13E413">
      <w:pPr>
        <w:pStyle w:val="5"/>
        <w:rPr>
          <w:u w:val="single"/>
        </w:rPr>
      </w:pPr>
      <w:r>
        <w:rPr>
          <w:rFonts w:hint="eastAsia"/>
          <w:u w:val="single"/>
        </w:rPr>
        <w:t>项目使用的液态物料主要为27.5%双氧水、32%液碱、21%氨水、20%硫酸。液态物料依托厂区罐组储存，通过管道输送至车间旁的中转罐后供生产使用。</w:t>
      </w:r>
    </w:p>
    <w:p w14:paraId="19218D90">
      <w:pPr>
        <w:pStyle w:val="5"/>
        <w:rPr>
          <w:u w:val="single"/>
        </w:rPr>
      </w:pPr>
      <w:r>
        <w:rPr>
          <w:rFonts w:hint="eastAsia"/>
          <w:u w:val="single"/>
        </w:rPr>
        <w:t>外购的27.5%双氧水、32%液碱通过槽车输送至厂区罐组，在厂区内通过管道输送至X19车间中间罐，通过管道泵入车间内供生产；21%氨水由厂区内的氨水制备生产线通过管道输送至厂区罐组七，通过管道输送至X19车间西面的氨水中间罐，通过管道泵入车间内供生产；98%硫酸由厂区内的制酸生产线通过管道输送至厂区罐组十，通过管道输送至X19车间西面的配酸罐稀释至20%浓度后，通过管道泵入车间内供生产。项目变更后液态物料储存情况见表2-13。</w:t>
      </w:r>
    </w:p>
    <w:p w14:paraId="37408CED">
      <w:pPr>
        <w:pStyle w:val="5"/>
        <w:keepNext/>
        <w:numPr>
          <w:ilvl w:val="0"/>
          <w:numId w:val="12"/>
        </w:numPr>
        <w:adjustRightInd w:val="0"/>
        <w:snapToGrid w:val="0"/>
        <w:spacing w:line="500" w:lineRule="exact"/>
        <w:ind w:left="0" w:firstLine="0"/>
        <w:jc w:val="center"/>
        <w:outlineLvl w:val="4"/>
        <w:rPr>
          <w:u w:val="single"/>
        </w:rPr>
      </w:pPr>
      <w:r>
        <w:rPr>
          <w:b/>
          <w:u w:val="single"/>
        </w:rPr>
        <w:t>变更后</w:t>
      </w:r>
      <w:r>
        <w:rPr>
          <w:rFonts w:hint="eastAsia"/>
          <w:b/>
          <w:u w:val="single"/>
        </w:rPr>
        <w:t>液态</w:t>
      </w:r>
      <w:r>
        <w:rPr>
          <w:b/>
          <w:u w:val="single"/>
        </w:rPr>
        <w:t>物料储存情况</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161"/>
        <w:gridCol w:w="1161"/>
        <w:gridCol w:w="1161"/>
        <w:gridCol w:w="1161"/>
        <w:gridCol w:w="1161"/>
        <w:gridCol w:w="1161"/>
        <w:gridCol w:w="1161"/>
      </w:tblGrid>
      <w:tr w14:paraId="405A8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5" w:type="pct"/>
            <w:vAlign w:val="center"/>
          </w:tcPr>
          <w:p w14:paraId="426B421B">
            <w:pPr>
              <w:adjustRightInd w:val="0"/>
              <w:snapToGrid w:val="0"/>
              <w:jc w:val="center"/>
              <w:rPr>
                <w:rFonts w:ascii="Arial" w:hAnsi="Arial" w:eastAsia="宋体" w:cs="Arial"/>
                <w:sz w:val="21"/>
                <w:szCs w:val="21"/>
                <w:u w:val="single"/>
              </w:rPr>
            </w:pPr>
          </w:p>
        </w:tc>
        <w:tc>
          <w:tcPr>
            <w:tcW w:w="625" w:type="pct"/>
            <w:vAlign w:val="center"/>
          </w:tcPr>
          <w:p w14:paraId="27D3CFC4">
            <w:pPr>
              <w:adjustRightInd w:val="0"/>
              <w:snapToGrid w:val="0"/>
              <w:jc w:val="center"/>
              <w:rPr>
                <w:rFonts w:ascii="Arial" w:hAnsi="Arial" w:eastAsia="宋体" w:cs="Arial"/>
                <w:sz w:val="21"/>
                <w:szCs w:val="21"/>
                <w:u w:val="single"/>
              </w:rPr>
            </w:pPr>
          </w:p>
        </w:tc>
        <w:tc>
          <w:tcPr>
            <w:tcW w:w="625" w:type="pct"/>
            <w:vAlign w:val="center"/>
          </w:tcPr>
          <w:p w14:paraId="03D65066">
            <w:pPr>
              <w:adjustRightInd w:val="0"/>
              <w:snapToGrid w:val="0"/>
              <w:jc w:val="center"/>
              <w:rPr>
                <w:rFonts w:ascii="Arial" w:hAnsi="Arial" w:eastAsia="宋体" w:cs="Arial"/>
                <w:sz w:val="21"/>
                <w:szCs w:val="21"/>
                <w:u w:val="single"/>
              </w:rPr>
            </w:pPr>
          </w:p>
        </w:tc>
        <w:tc>
          <w:tcPr>
            <w:tcW w:w="625" w:type="pct"/>
            <w:vAlign w:val="center"/>
          </w:tcPr>
          <w:p w14:paraId="4FD70363">
            <w:pPr>
              <w:adjustRightInd w:val="0"/>
              <w:snapToGrid w:val="0"/>
              <w:jc w:val="center"/>
              <w:rPr>
                <w:rFonts w:ascii="Arial" w:hAnsi="Arial" w:eastAsia="宋体" w:cs="Arial"/>
                <w:sz w:val="21"/>
                <w:szCs w:val="21"/>
                <w:u w:val="single"/>
              </w:rPr>
            </w:pPr>
          </w:p>
        </w:tc>
        <w:tc>
          <w:tcPr>
            <w:tcW w:w="625" w:type="pct"/>
            <w:vAlign w:val="center"/>
          </w:tcPr>
          <w:p w14:paraId="06A9DEDC">
            <w:pPr>
              <w:adjustRightInd w:val="0"/>
              <w:snapToGrid w:val="0"/>
              <w:jc w:val="center"/>
              <w:rPr>
                <w:rFonts w:ascii="Arial" w:hAnsi="Arial" w:eastAsia="宋体" w:cs="Arial"/>
                <w:sz w:val="21"/>
                <w:szCs w:val="21"/>
                <w:u w:val="single"/>
              </w:rPr>
            </w:pPr>
          </w:p>
        </w:tc>
        <w:tc>
          <w:tcPr>
            <w:tcW w:w="625" w:type="pct"/>
            <w:vAlign w:val="center"/>
          </w:tcPr>
          <w:p w14:paraId="3DD754FF">
            <w:pPr>
              <w:adjustRightInd w:val="0"/>
              <w:snapToGrid w:val="0"/>
              <w:jc w:val="center"/>
              <w:rPr>
                <w:rFonts w:ascii="Arial" w:hAnsi="Arial" w:eastAsia="宋体" w:cs="Arial"/>
                <w:sz w:val="21"/>
                <w:szCs w:val="21"/>
                <w:u w:val="single"/>
              </w:rPr>
            </w:pPr>
          </w:p>
        </w:tc>
        <w:tc>
          <w:tcPr>
            <w:tcW w:w="625" w:type="pct"/>
            <w:vAlign w:val="center"/>
          </w:tcPr>
          <w:p w14:paraId="08E48186">
            <w:pPr>
              <w:adjustRightInd w:val="0"/>
              <w:snapToGrid w:val="0"/>
              <w:jc w:val="center"/>
              <w:rPr>
                <w:rFonts w:ascii="Arial" w:hAnsi="Arial" w:eastAsia="宋体" w:cs="Arial"/>
                <w:sz w:val="21"/>
                <w:szCs w:val="21"/>
                <w:u w:val="single"/>
              </w:rPr>
            </w:pPr>
          </w:p>
        </w:tc>
        <w:tc>
          <w:tcPr>
            <w:tcW w:w="625" w:type="pct"/>
            <w:vAlign w:val="center"/>
          </w:tcPr>
          <w:p w14:paraId="41499EB6">
            <w:pPr>
              <w:adjustRightInd w:val="0"/>
              <w:snapToGrid w:val="0"/>
              <w:jc w:val="center"/>
              <w:rPr>
                <w:rFonts w:ascii="Arial" w:hAnsi="Arial" w:eastAsia="宋体" w:cs="Arial"/>
                <w:sz w:val="21"/>
                <w:szCs w:val="21"/>
                <w:u w:val="single"/>
              </w:rPr>
            </w:pPr>
          </w:p>
        </w:tc>
      </w:tr>
      <w:tr w14:paraId="0192E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625" w:type="pct"/>
            <w:vAlign w:val="center"/>
          </w:tcPr>
          <w:p w14:paraId="6CC62EAE">
            <w:pPr>
              <w:adjustRightInd w:val="0"/>
              <w:snapToGrid w:val="0"/>
              <w:jc w:val="center"/>
              <w:rPr>
                <w:rFonts w:ascii="Arial" w:hAnsi="Arial" w:eastAsia="宋体" w:cs="Arial"/>
                <w:sz w:val="21"/>
                <w:szCs w:val="21"/>
                <w:u w:val="single"/>
              </w:rPr>
            </w:pPr>
          </w:p>
        </w:tc>
        <w:tc>
          <w:tcPr>
            <w:tcW w:w="625" w:type="pct"/>
            <w:vAlign w:val="center"/>
          </w:tcPr>
          <w:p w14:paraId="09F9C3F2">
            <w:pPr>
              <w:adjustRightInd w:val="0"/>
              <w:snapToGrid w:val="0"/>
              <w:jc w:val="center"/>
              <w:rPr>
                <w:rFonts w:ascii="Arial" w:hAnsi="Arial" w:eastAsia="宋体" w:cs="Arial"/>
                <w:sz w:val="21"/>
                <w:szCs w:val="21"/>
                <w:u w:val="single"/>
              </w:rPr>
            </w:pPr>
          </w:p>
        </w:tc>
        <w:tc>
          <w:tcPr>
            <w:tcW w:w="625" w:type="pct"/>
            <w:vAlign w:val="center"/>
          </w:tcPr>
          <w:p w14:paraId="4DDEE2C5">
            <w:pPr>
              <w:adjustRightInd w:val="0"/>
              <w:snapToGrid w:val="0"/>
              <w:jc w:val="center"/>
              <w:rPr>
                <w:rFonts w:ascii="Arial" w:hAnsi="Arial" w:eastAsia="宋体" w:cs="Arial"/>
                <w:sz w:val="21"/>
                <w:szCs w:val="21"/>
                <w:u w:val="single"/>
              </w:rPr>
            </w:pPr>
          </w:p>
        </w:tc>
        <w:tc>
          <w:tcPr>
            <w:tcW w:w="625" w:type="pct"/>
            <w:vAlign w:val="center"/>
          </w:tcPr>
          <w:p w14:paraId="7AAE80D2">
            <w:pPr>
              <w:adjustRightInd w:val="0"/>
              <w:snapToGrid w:val="0"/>
              <w:jc w:val="center"/>
              <w:rPr>
                <w:rFonts w:ascii="Arial" w:hAnsi="Arial" w:eastAsia="宋体" w:cs="Arial"/>
                <w:sz w:val="21"/>
                <w:szCs w:val="21"/>
                <w:u w:val="single"/>
              </w:rPr>
            </w:pPr>
          </w:p>
        </w:tc>
        <w:tc>
          <w:tcPr>
            <w:tcW w:w="625" w:type="pct"/>
            <w:vAlign w:val="center"/>
          </w:tcPr>
          <w:p w14:paraId="1390EFA7">
            <w:pPr>
              <w:adjustRightInd w:val="0"/>
              <w:snapToGrid w:val="0"/>
              <w:jc w:val="center"/>
              <w:rPr>
                <w:rFonts w:ascii="Arial" w:hAnsi="Arial" w:eastAsia="宋体" w:cs="Arial"/>
                <w:sz w:val="21"/>
                <w:szCs w:val="21"/>
                <w:u w:val="single"/>
              </w:rPr>
            </w:pPr>
          </w:p>
        </w:tc>
        <w:tc>
          <w:tcPr>
            <w:tcW w:w="625" w:type="pct"/>
            <w:vAlign w:val="center"/>
          </w:tcPr>
          <w:p w14:paraId="3A469AC8">
            <w:pPr>
              <w:adjustRightInd w:val="0"/>
              <w:snapToGrid w:val="0"/>
              <w:jc w:val="center"/>
              <w:rPr>
                <w:rFonts w:ascii="Arial" w:hAnsi="Arial" w:eastAsia="宋体" w:cs="Arial"/>
                <w:sz w:val="21"/>
                <w:szCs w:val="21"/>
                <w:u w:val="single"/>
              </w:rPr>
            </w:pPr>
          </w:p>
        </w:tc>
        <w:tc>
          <w:tcPr>
            <w:tcW w:w="625" w:type="pct"/>
            <w:vAlign w:val="center"/>
          </w:tcPr>
          <w:p w14:paraId="41ACBE93">
            <w:pPr>
              <w:adjustRightInd w:val="0"/>
              <w:snapToGrid w:val="0"/>
              <w:jc w:val="center"/>
              <w:rPr>
                <w:rFonts w:ascii="Arial" w:hAnsi="Arial" w:eastAsia="宋体" w:cs="Arial"/>
                <w:sz w:val="21"/>
                <w:szCs w:val="21"/>
                <w:u w:val="single"/>
              </w:rPr>
            </w:pPr>
          </w:p>
        </w:tc>
        <w:tc>
          <w:tcPr>
            <w:tcW w:w="625" w:type="pct"/>
            <w:vAlign w:val="center"/>
          </w:tcPr>
          <w:p w14:paraId="1B17F807">
            <w:pPr>
              <w:adjustRightInd w:val="0"/>
              <w:snapToGrid w:val="0"/>
              <w:jc w:val="center"/>
              <w:rPr>
                <w:rFonts w:ascii="Arial" w:hAnsi="Arial" w:eastAsia="宋体" w:cs="Arial"/>
                <w:sz w:val="21"/>
                <w:szCs w:val="21"/>
                <w:u w:val="single"/>
              </w:rPr>
            </w:pPr>
          </w:p>
        </w:tc>
      </w:tr>
      <w:tr w14:paraId="61CCE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5" w:type="pct"/>
            <w:vAlign w:val="center"/>
          </w:tcPr>
          <w:p w14:paraId="7C308A0F">
            <w:pPr>
              <w:adjustRightInd w:val="0"/>
              <w:snapToGrid w:val="0"/>
              <w:jc w:val="center"/>
              <w:rPr>
                <w:rFonts w:ascii="Arial" w:hAnsi="Arial" w:eastAsia="宋体" w:cs="Arial"/>
                <w:sz w:val="21"/>
                <w:szCs w:val="21"/>
                <w:u w:val="single"/>
              </w:rPr>
            </w:pPr>
          </w:p>
        </w:tc>
        <w:tc>
          <w:tcPr>
            <w:tcW w:w="625" w:type="pct"/>
            <w:vAlign w:val="center"/>
          </w:tcPr>
          <w:p w14:paraId="6D2D5D3B">
            <w:pPr>
              <w:adjustRightInd w:val="0"/>
              <w:snapToGrid w:val="0"/>
              <w:jc w:val="center"/>
              <w:rPr>
                <w:rFonts w:ascii="Arial" w:hAnsi="Arial" w:eastAsia="宋体" w:cs="Arial"/>
                <w:sz w:val="21"/>
                <w:szCs w:val="21"/>
                <w:u w:val="single"/>
              </w:rPr>
            </w:pPr>
          </w:p>
        </w:tc>
        <w:tc>
          <w:tcPr>
            <w:tcW w:w="625" w:type="pct"/>
            <w:vAlign w:val="center"/>
          </w:tcPr>
          <w:p w14:paraId="005E8883">
            <w:pPr>
              <w:adjustRightInd w:val="0"/>
              <w:snapToGrid w:val="0"/>
              <w:jc w:val="center"/>
              <w:rPr>
                <w:rFonts w:ascii="Arial" w:hAnsi="Arial" w:eastAsia="宋体" w:cs="Arial"/>
                <w:sz w:val="21"/>
                <w:szCs w:val="21"/>
                <w:highlight w:val="yellow"/>
                <w:u w:val="single"/>
              </w:rPr>
            </w:pPr>
          </w:p>
        </w:tc>
        <w:tc>
          <w:tcPr>
            <w:tcW w:w="625" w:type="pct"/>
            <w:vAlign w:val="center"/>
          </w:tcPr>
          <w:p w14:paraId="45A7C89B">
            <w:pPr>
              <w:adjustRightInd w:val="0"/>
              <w:snapToGrid w:val="0"/>
              <w:jc w:val="center"/>
              <w:rPr>
                <w:rFonts w:ascii="Arial" w:hAnsi="Arial" w:eastAsia="宋体" w:cs="Arial"/>
                <w:sz w:val="21"/>
                <w:szCs w:val="21"/>
                <w:u w:val="single"/>
              </w:rPr>
            </w:pPr>
          </w:p>
        </w:tc>
        <w:tc>
          <w:tcPr>
            <w:tcW w:w="625" w:type="pct"/>
            <w:vAlign w:val="center"/>
          </w:tcPr>
          <w:p w14:paraId="50C7B2EF">
            <w:pPr>
              <w:adjustRightInd w:val="0"/>
              <w:snapToGrid w:val="0"/>
              <w:jc w:val="center"/>
              <w:rPr>
                <w:rFonts w:ascii="Arial" w:hAnsi="Arial" w:eastAsia="宋体" w:cs="Arial"/>
                <w:sz w:val="21"/>
                <w:szCs w:val="21"/>
                <w:u w:val="single"/>
              </w:rPr>
            </w:pPr>
          </w:p>
        </w:tc>
        <w:tc>
          <w:tcPr>
            <w:tcW w:w="625" w:type="pct"/>
            <w:vAlign w:val="center"/>
          </w:tcPr>
          <w:p w14:paraId="18284DC6">
            <w:pPr>
              <w:adjustRightInd w:val="0"/>
              <w:snapToGrid w:val="0"/>
              <w:jc w:val="center"/>
              <w:rPr>
                <w:rFonts w:ascii="Arial" w:hAnsi="Arial" w:eastAsia="宋体" w:cs="Arial"/>
                <w:sz w:val="21"/>
                <w:szCs w:val="21"/>
                <w:u w:val="single"/>
              </w:rPr>
            </w:pPr>
          </w:p>
        </w:tc>
        <w:tc>
          <w:tcPr>
            <w:tcW w:w="625" w:type="pct"/>
            <w:vAlign w:val="center"/>
          </w:tcPr>
          <w:p w14:paraId="5D3C5B54">
            <w:pPr>
              <w:adjustRightInd w:val="0"/>
              <w:snapToGrid w:val="0"/>
              <w:jc w:val="center"/>
              <w:rPr>
                <w:rFonts w:ascii="Arial" w:hAnsi="Arial" w:eastAsia="宋体" w:cs="Arial"/>
                <w:sz w:val="21"/>
                <w:szCs w:val="21"/>
                <w:u w:val="single"/>
              </w:rPr>
            </w:pPr>
          </w:p>
        </w:tc>
        <w:tc>
          <w:tcPr>
            <w:tcW w:w="625" w:type="pct"/>
            <w:vAlign w:val="center"/>
          </w:tcPr>
          <w:p w14:paraId="6F887A68">
            <w:pPr>
              <w:adjustRightInd w:val="0"/>
              <w:snapToGrid w:val="0"/>
              <w:jc w:val="center"/>
              <w:rPr>
                <w:rFonts w:ascii="Arial" w:hAnsi="Arial" w:eastAsia="宋体" w:cs="Arial"/>
                <w:sz w:val="21"/>
                <w:szCs w:val="21"/>
                <w:u w:val="single"/>
              </w:rPr>
            </w:pPr>
          </w:p>
        </w:tc>
      </w:tr>
      <w:tr w14:paraId="3C4DF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5" w:type="pct"/>
            <w:vAlign w:val="center"/>
          </w:tcPr>
          <w:p w14:paraId="0BC46D8B">
            <w:pPr>
              <w:adjustRightInd w:val="0"/>
              <w:snapToGrid w:val="0"/>
              <w:jc w:val="center"/>
              <w:rPr>
                <w:rFonts w:ascii="Arial" w:hAnsi="Arial" w:eastAsia="宋体" w:cs="Arial"/>
                <w:sz w:val="21"/>
                <w:szCs w:val="21"/>
                <w:u w:val="single"/>
              </w:rPr>
            </w:pPr>
          </w:p>
        </w:tc>
        <w:tc>
          <w:tcPr>
            <w:tcW w:w="625" w:type="pct"/>
            <w:vAlign w:val="center"/>
          </w:tcPr>
          <w:p w14:paraId="09AB2300">
            <w:pPr>
              <w:adjustRightInd w:val="0"/>
              <w:snapToGrid w:val="0"/>
              <w:jc w:val="center"/>
              <w:rPr>
                <w:rFonts w:ascii="Arial" w:hAnsi="Arial" w:eastAsia="宋体" w:cs="Arial"/>
                <w:sz w:val="21"/>
                <w:szCs w:val="21"/>
                <w:u w:val="single"/>
              </w:rPr>
            </w:pPr>
          </w:p>
        </w:tc>
        <w:tc>
          <w:tcPr>
            <w:tcW w:w="625" w:type="pct"/>
            <w:vAlign w:val="center"/>
          </w:tcPr>
          <w:p w14:paraId="056A5EA4">
            <w:pPr>
              <w:adjustRightInd w:val="0"/>
              <w:snapToGrid w:val="0"/>
              <w:jc w:val="center"/>
              <w:rPr>
                <w:rFonts w:ascii="Arial" w:hAnsi="Arial" w:eastAsia="宋体" w:cs="Arial"/>
                <w:sz w:val="21"/>
                <w:szCs w:val="21"/>
                <w:highlight w:val="yellow"/>
                <w:u w:val="single"/>
              </w:rPr>
            </w:pPr>
          </w:p>
        </w:tc>
        <w:tc>
          <w:tcPr>
            <w:tcW w:w="625" w:type="pct"/>
            <w:vAlign w:val="center"/>
          </w:tcPr>
          <w:p w14:paraId="5CBD706D">
            <w:pPr>
              <w:adjustRightInd w:val="0"/>
              <w:snapToGrid w:val="0"/>
              <w:jc w:val="center"/>
              <w:rPr>
                <w:rFonts w:ascii="Arial" w:hAnsi="Arial" w:eastAsia="宋体" w:cs="Arial"/>
                <w:sz w:val="21"/>
                <w:szCs w:val="21"/>
                <w:u w:val="single"/>
              </w:rPr>
            </w:pPr>
          </w:p>
        </w:tc>
        <w:tc>
          <w:tcPr>
            <w:tcW w:w="625" w:type="pct"/>
            <w:vAlign w:val="center"/>
          </w:tcPr>
          <w:p w14:paraId="6A8EDDF0">
            <w:pPr>
              <w:adjustRightInd w:val="0"/>
              <w:snapToGrid w:val="0"/>
              <w:jc w:val="center"/>
              <w:rPr>
                <w:rFonts w:ascii="Arial" w:hAnsi="Arial" w:eastAsia="宋体" w:cs="Arial"/>
                <w:sz w:val="21"/>
                <w:szCs w:val="21"/>
                <w:u w:val="single"/>
              </w:rPr>
            </w:pPr>
          </w:p>
        </w:tc>
        <w:tc>
          <w:tcPr>
            <w:tcW w:w="625" w:type="pct"/>
            <w:vAlign w:val="center"/>
          </w:tcPr>
          <w:p w14:paraId="05E51FF3">
            <w:pPr>
              <w:adjustRightInd w:val="0"/>
              <w:snapToGrid w:val="0"/>
              <w:jc w:val="center"/>
              <w:rPr>
                <w:rFonts w:ascii="Arial" w:hAnsi="Arial" w:eastAsia="宋体" w:cs="Arial"/>
                <w:sz w:val="21"/>
                <w:szCs w:val="21"/>
                <w:u w:val="single"/>
              </w:rPr>
            </w:pPr>
          </w:p>
        </w:tc>
        <w:tc>
          <w:tcPr>
            <w:tcW w:w="625" w:type="pct"/>
            <w:vAlign w:val="center"/>
          </w:tcPr>
          <w:p w14:paraId="42076600">
            <w:pPr>
              <w:adjustRightInd w:val="0"/>
              <w:snapToGrid w:val="0"/>
              <w:jc w:val="center"/>
              <w:rPr>
                <w:rFonts w:ascii="Arial" w:hAnsi="Arial" w:eastAsia="宋体" w:cs="Arial"/>
                <w:sz w:val="21"/>
                <w:szCs w:val="21"/>
                <w:u w:val="single"/>
              </w:rPr>
            </w:pPr>
          </w:p>
        </w:tc>
        <w:tc>
          <w:tcPr>
            <w:tcW w:w="625" w:type="pct"/>
            <w:vAlign w:val="center"/>
          </w:tcPr>
          <w:p w14:paraId="30E0D4BC">
            <w:pPr>
              <w:adjustRightInd w:val="0"/>
              <w:snapToGrid w:val="0"/>
              <w:jc w:val="center"/>
              <w:rPr>
                <w:rFonts w:ascii="Arial" w:hAnsi="Arial" w:eastAsia="宋体" w:cs="Arial"/>
                <w:sz w:val="21"/>
                <w:szCs w:val="21"/>
                <w:u w:val="single"/>
              </w:rPr>
            </w:pPr>
          </w:p>
        </w:tc>
      </w:tr>
      <w:tr w14:paraId="3816A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5" w:type="pct"/>
            <w:vAlign w:val="center"/>
          </w:tcPr>
          <w:p w14:paraId="15D9D591">
            <w:pPr>
              <w:adjustRightInd w:val="0"/>
              <w:snapToGrid w:val="0"/>
              <w:jc w:val="center"/>
              <w:rPr>
                <w:rFonts w:ascii="Arial" w:hAnsi="Arial" w:eastAsia="宋体" w:cs="Arial"/>
                <w:sz w:val="21"/>
                <w:szCs w:val="21"/>
                <w:u w:val="single"/>
              </w:rPr>
            </w:pPr>
          </w:p>
        </w:tc>
        <w:tc>
          <w:tcPr>
            <w:tcW w:w="625" w:type="pct"/>
            <w:vAlign w:val="center"/>
          </w:tcPr>
          <w:p w14:paraId="60E2D718">
            <w:pPr>
              <w:adjustRightInd w:val="0"/>
              <w:snapToGrid w:val="0"/>
              <w:jc w:val="center"/>
              <w:rPr>
                <w:rFonts w:ascii="Arial" w:hAnsi="Arial" w:eastAsia="宋体" w:cs="Arial"/>
                <w:sz w:val="21"/>
                <w:szCs w:val="21"/>
                <w:u w:val="single"/>
              </w:rPr>
            </w:pPr>
          </w:p>
        </w:tc>
        <w:tc>
          <w:tcPr>
            <w:tcW w:w="625" w:type="pct"/>
            <w:vAlign w:val="center"/>
          </w:tcPr>
          <w:p w14:paraId="79628F21">
            <w:pPr>
              <w:adjustRightInd w:val="0"/>
              <w:snapToGrid w:val="0"/>
              <w:jc w:val="center"/>
              <w:rPr>
                <w:rFonts w:ascii="Arial" w:hAnsi="Arial" w:eastAsia="宋体" w:cs="Arial"/>
                <w:sz w:val="21"/>
                <w:szCs w:val="21"/>
                <w:highlight w:val="yellow"/>
                <w:u w:val="single"/>
              </w:rPr>
            </w:pPr>
          </w:p>
        </w:tc>
        <w:tc>
          <w:tcPr>
            <w:tcW w:w="625" w:type="pct"/>
            <w:vAlign w:val="center"/>
          </w:tcPr>
          <w:p w14:paraId="5519D5E7">
            <w:pPr>
              <w:adjustRightInd w:val="0"/>
              <w:snapToGrid w:val="0"/>
              <w:jc w:val="center"/>
              <w:rPr>
                <w:rFonts w:ascii="Arial" w:hAnsi="Arial" w:eastAsia="宋体" w:cs="Arial"/>
                <w:sz w:val="21"/>
                <w:szCs w:val="21"/>
                <w:u w:val="single"/>
              </w:rPr>
            </w:pPr>
          </w:p>
        </w:tc>
        <w:tc>
          <w:tcPr>
            <w:tcW w:w="625" w:type="pct"/>
            <w:vAlign w:val="center"/>
          </w:tcPr>
          <w:p w14:paraId="5B2FF4EE">
            <w:pPr>
              <w:adjustRightInd w:val="0"/>
              <w:snapToGrid w:val="0"/>
              <w:jc w:val="center"/>
              <w:rPr>
                <w:rFonts w:ascii="Arial" w:hAnsi="Arial" w:eastAsia="宋体" w:cs="Arial"/>
                <w:sz w:val="21"/>
                <w:szCs w:val="21"/>
                <w:u w:val="single"/>
              </w:rPr>
            </w:pPr>
          </w:p>
        </w:tc>
        <w:tc>
          <w:tcPr>
            <w:tcW w:w="625" w:type="pct"/>
            <w:vAlign w:val="center"/>
          </w:tcPr>
          <w:p w14:paraId="59D42B85">
            <w:pPr>
              <w:adjustRightInd w:val="0"/>
              <w:snapToGrid w:val="0"/>
              <w:jc w:val="center"/>
              <w:rPr>
                <w:rFonts w:ascii="Arial" w:hAnsi="Arial" w:eastAsia="宋体" w:cs="Arial"/>
                <w:sz w:val="21"/>
                <w:szCs w:val="21"/>
                <w:u w:val="single"/>
              </w:rPr>
            </w:pPr>
          </w:p>
        </w:tc>
        <w:tc>
          <w:tcPr>
            <w:tcW w:w="625" w:type="pct"/>
            <w:vAlign w:val="center"/>
          </w:tcPr>
          <w:p w14:paraId="3B967E16">
            <w:pPr>
              <w:adjustRightInd w:val="0"/>
              <w:snapToGrid w:val="0"/>
              <w:jc w:val="center"/>
              <w:rPr>
                <w:rFonts w:ascii="Arial" w:hAnsi="Arial" w:eastAsia="宋体" w:cs="Arial"/>
                <w:sz w:val="21"/>
                <w:szCs w:val="21"/>
                <w:u w:val="single"/>
              </w:rPr>
            </w:pPr>
          </w:p>
        </w:tc>
        <w:tc>
          <w:tcPr>
            <w:tcW w:w="625" w:type="pct"/>
            <w:vAlign w:val="center"/>
          </w:tcPr>
          <w:p w14:paraId="176FD3A2">
            <w:pPr>
              <w:adjustRightInd w:val="0"/>
              <w:snapToGrid w:val="0"/>
              <w:jc w:val="center"/>
              <w:rPr>
                <w:rFonts w:ascii="Arial" w:hAnsi="Arial" w:eastAsia="宋体" w:cs="Arial"/>
                <w:sz w:val="21"/>
                <w:szCs w:val="21"/>
                <w:u w:val="single"/>
              </w:rPr>
            </w:pPr>
          </w:p>
        </w:tc>
      </w:tr>
      <w:tr w14:paraId="0A14E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5" w:type="pct"/>
            <w:vAlign w:val="center"/>
          </w:tcPr>
          <w:p w14:paraId="57E45D6D">
            <w:pPr>
              <w:adjustRightInd w:val="0"/>
              <w:snapToGrid w:val="0"/>
              <w:jc w:val="center"/>
              <w:rPr>
                <w:rFonts w:ascii="Arial" w:hAnsi="Arial" w:eastAsia="宋体" w:cs="Arial"/>
                <w:sz w:val="21"/>
                <w:szCs w:val="21"/>
                <w:u w:val="single"/>
              </w:rPr>
            </w:pPr>
          </w:p>
        </w:tc>
        <w:tc>
          <w:tcPr>
            <w:tcW w:w="625" w:type="pct"/>
            <w:vAlign w:val="center"/>
          </w:tcPr>
          <w:p w14:paraId="6EE10D44">
            <w:pPr>
              <w:adjustRightInd w:val="0"/>
              <w:snapToGrid w:val="0"/>
              <w:jc w:val="center"/>
              <w:rPr>
                <w:rFonts w:ascii="Arial" w:hAnsi="Arial" w:eastAsia="宋体" w:cs="Arial"/>
                <w:sz w:val="21"/>
                <w:szCs w:val="21"/>
                <w:u w:val="single"/>
              </w:rPr>
            </w:pPr>
          </w:p>
        </w:tc>
        <w:tc>
          <w:tcPr>
            <w:tcW w:w="625" w:type="pct"/>
            <w:vAlign w:val="center"/>
          </w:tcPr>
          <w:p w14:paraId="4AC6CE68">
            <w:pPr>
              <w:adjustRightInd w:val="0"/>
              <w:snapToGrid w:val="0"/>
              <w:jc w:val="center"/>
              <w:rPr>
                <w:rFonts w:ascii="Arial" w:hAnsi="Arial" w:eastAsia="宋体" w:cs="Arial"/>
                <w:sz w:val="21"/>
                <w:szCs w:val="21"/>
                <w:highlight w:val="yellow"/>
                <w:u w:val="single"/>
              </w:rPr>
            </w:pPr>
          </w:p>
        </w:tc>
        <w:tc>
          <w:tcPr>
            <w:tcW w:w="625" w:type="pct"/>
            <w:vAlign w:val="center"/>
          </w:tcPr>
          <w:p w14:paraId="47E94A6A">
            <w:pPr>
              <w:adjustRightInd w:val="0"/>
              <w:snapToGrid w:val="0"/>
              <w:jc w:val="center"/>
              <w:rPr>
                <w:rFonts w:ascii="Arial" w:hAnsi="Arial" w:eastAsia="宋体" w:cs="Arial"/>
                <w:sz w:val="21"/>
                <w:szCs w:val="21"/>
                <w:u w:val="single"/>
              </w:rPr>
            </w:pPr>
          </w:p>
        </w:tc>
        <w:tc>
          <w:tcPr>
            <w:tcW w:w="625" w:type="pct"/>
            <w:vAlign w:val="center"/>
          </w:tcPr>
          <w:p w14:paraId="5BD8AE28">
            <w:pPr>
              <w:adjustRightInd w:val="0"/>
              <w:snapToGrid w:val="0"/>
              <w:jc w:val="center"/>
              <w:rPr>
                <w:rFonts w:ascii="Arial" w:hAnsi="Arial" w:eastAsia="宋体" w:cs="Arial"/>
                <w:sz w:val="21"/>
                <w:szCs w:val="21"/>
                <w:u w:val="single"/>
              </w:rPr>
            </w:pPr>
          </w:p>
        </w:tc>
        <w:tc>
          <w:tcPr>
            <w:tcW w:w="625" w:type="pct"/>
            <w:vAlign w:val="center"/>
          </w:tcPr>
          <w:p w14:paraId="229E12B8">
            <w:pPr>
              <w:adjustRightInd w:val="0"/>
              <w:snapToGrid w:val="0"/>
              <w:jc w:val="center"/>
              <w:rPr>
                <w:rFonts w:ascii="Arial" w:hAnsi="Arial" w:eastAsia="宋体" w:cs="Arial"/>
                <w:sz w:val="21"/>
                <w:szCs w:val="21"/>
                <w:u w:val="single"/>
              </w:rPr>
            </w:pPr>
          </w:p>
        </w:tc>
        <w:tc>
          <w:tcPr>
            <w:tcW w:w="625" w:type="pct"/>
            <w:vAlign w:val="center"/>
          </w:tcPr>
          <w:p w14:paraId="2540DCAF">
            <w:pPr>
              <w:adjustRightInd w:val="0"/>
              <w:snapToGrid w:val="0"/>
              <w:jc w:val="center"/>
              <w:rPr>
                <w:rFonts w:ascii="Arial" w:hAnsi="Arial" w:eastAsia="宋体" w:cs="Arial"/>
                <w:sz w:val="21"/>
                <w:szCs w:val="21"/>
                <w:u w:val="single"/>
              </w:rPr>
            </w:pPr>
          </w:p>
        </w:tc>
        <w:tc>
          <w:tcPr>
            <w:tcW w:w="625" w:type="pct"/>
            <w:vAlign w:val="center"/>
          </w:tcPr>
          <w:p w14:paraId="445EF61F">
            <w:pPr>
              <w:adjustRightInd w:val="0"/>
              <w:snapToGrid w:val="0"/>
              <w:jc w:val="center"/>
              <w:rPr>
                <w:rFonts w:ascii="Arial" w:hAnsi="Arial" w:eastAsia="宋体" w:cs="Arial"/>
                <w:sz w:val="21"/>
                <w:szCs w:val="21"/>
                <w:u w:val="single"/>
              </w:rPr>
            </w:pPr>
          </w:p>
        </w:tc>
      </w:tr>
      <w:tr w14:paraId="041C8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5" w:type="pct"/>
            <w:vAlign w:val="center"/>
          </w:tcPr>
          <w:p w14:paraId="5EF70EA8">
            <w:pPr>
              <w:adjustRightInd w:val="0"/>
              <w:snapToGrid w:val="0"/>
              <w:jc w:val="center"/>
              <w:rPr>
                <w:rFonts w:ascii="Arial" w:hAnsi="Arial" w:eastAsia="宋体" w:cs="Arial"/>
                <w:sz w:val="21"/>
                <w:szCs w:val="21"/>
                <w:u w:val="single"/>
              </w:rPr>
            </w:pPr>
          </w:p>
        </w:tc>
        <w:tc>
          <w:tcPr>
            <w:tcW w:w="625" w:type="pct"/>
            <w:vAlign w:val="center"/>
          </w:tcPr>
          <w:p w14:paraId="46FA2F87">
            <w:pPr>
              <w:adjustRightInd w:val="0"/>
              <w:snapToGrid w:val="0"/>
              <w:jc w:val="center"/>
              <w:rPr>
                <w:rFonts w:ascii="Arial" w:hAnsi="Arial" w:eastAsia="宋体" w:cs="Arial"/>
                <w:sz w:val="21"/>
                <w:szCs w:val="21"/>
                <w:u w:val="single"/>
              </w:rPr>
            </w:pPr>
          </w:p>
        </w:tc>
        <w:tc>
          <w:tcPr>
            <w:tcW w:w="625" w:type="pct"/>
            <w:vAlign w:val="center"/>
          </w:tcPr>
          <w:p w14:paraId="06FE287C">
            <w:pPr>
              <w:adjustRightInd w:val="0"/>
              <w:snapToGrid w:val="0"/>
              <w:jc w:val="center"/>
              <w:rPr>
                <w:rFonts w:ascii="Arial" w:hAnsi="Arial" w:eastAsia="宋体" w:cs="Arial"/>
                <w:sz w:val="21"/>
                <w:szCs w:val="21"/>
                <w:u w:val="single"/>
              </w:rPr>
            </w:pPr>
          </w:p>
        </w:tc>
        <w:tc>
          <w:tcPr>
            <w:tcW w:w="625" w:type="pct"/>
            <w:vAlign w:val="center"/>
          </w:tcPr>
          <w:p w14:paraId="5F63D9BD">
            <w:pPr>
              <w:adjustRightInd w:val="0"/>
              <w:snapToGrid w:val="0"/>
              <w:jc w:val="center"/>
              <w:rPr>
                <w:rFonts w:ascii="Arial" w:hAnsi="Arial" w:eastAsia="宋体" w:cs="Arial"/>
                <w:sz w:val="21"/>
                <w:szCs w:val="21"/>
                <w:u w:val="single"/>
              </w:rPr>
            </w:pPr>
          </w:p>
        </w:tc>
        <w:tc>
          <w:tcPr>
            <w:tcW w:w="625" w:type="pct"/>
            <w:vAlign w:val="center"/>
          </w:tcPr>
          <w:p w14:paraId="14A50673">
            <w:pPr>
              <w:adjustRightInd w:val="0"/>
              <w:snapToGrid w:val="0"/>
              <w:jc w:val="center"/>
              <w:rPr>
                <w:rFonts w:ascii="Arial" w:hAnsi="Arial" w:eastAsia="宋体" w:cs="Arial"/>
                <w:sz w:val="21"/>
                <w:szCs w:val="21"/>
                <w:u w:val="single"/>
              </w:rPr>
            </w:pPr>
          </w:p>
        </w:tc>
        <w:tc>
          <w:tcPr>
            <w:tcW w:w="625" w:type="pct"/>
            <w:vAlign w:val="center"/>
          </w:tcPr>
          <w:p w14:paraId="19F514A4">
            <w:pPr>
              <w:adjustRightInd w:val="0"/>
              <w:snapToGrid w:val="0"/>
              <w:jc w:val="center"/>
              <w:rPr>
                <w:rFonts w:ascii="Arial" w:hAnsi="Arial" w:eastAsia="宋体" w:cs="Arial"/>
                <w:sz w:val="21"/>
                <w:szCs w:val="21"/>
                <w:u w:val="single"/>
              </w:rPr>
            </w:pPr>
          </w:p>
        </w:tc>
        <w:tc>
          <w:tcPr>
            <w:tcW w:w="625" w:type="pct"/>
            <w:vAlign w:val="center"/>
          </w:tcPr>
          <w:p w14:paraId="6A258728">
            <w:pPr>
              <w:adjustRightInd w:val="0"/>
              <w:snapToGrid w:val="0"/>
              <w:jc w:val="center"/>
              <w:rPr>
                <w:rFonts w:ascii="Arial" w:hAnsi="Arial" w:eastAsia="宋体" w:cs="Arial"/>
                <w:sz w:val="21"/>
                <w:szCs w:val="21"/>
                <w:u w:val="single"/>
              </w:rPr>
            </w:pPr>
          </w:p>
        </w:tc>
        <w:tc>
          <w:tcPr>
            <w:tcW w:w="625" w:type="pct"/>
            <w:vAlign w:val="center"/>
          </w:tcPr>
          <w:p w14:paraId="3CBEF07C">
            <w:pPr>
              <w:adjustRightInd w:val="0"/>
              <w:snapToGrid w:val="0"/>
              <w:jc w:val="center"/>
              <w:rPr>
                <w:rFonts w:ascii="Arial" w:hAnsi="Arial" w:eastAsia="宋体" w:cs="Arial"/>
                <w:sz w:val="21"/>
                <w:szCs w:val="21"/>
                <w:u w:val="single"/>
              </w:rPr>
            </w:pPr>
          </w:p>
        </w:tc>
      </w:tr>
      <w:tr w14:paraId="2E495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5" w:type="pct"/>
            <w:vAlign w:val="center"/>
          </w:tcPr>
          <w:p w14:paraId="56959854">
            <w:pPr>
              <w:adjustRightInd w:val="0"/>
              <w:snapToGrid w:val="0"/>
              <w:jc w:val="center"/>
              <w:rPr>
                <w:rFonts w:ascii="Arial" w:hAnsi="Arial" w:eastAsia="宋体" w:cs="Arial"/>
                <w:sz w:val="21"/>
                <w:szCs w:val="21"/>
                <w:u w:val="single"/>
              </w:rPr>
            </w:pPr>
          </w:p>
        </w:tc>
        <w:tc>
          <w:tcPr>
            <w:tcW w:w="625" w:type="pct"/>
            <w:vAlign w:val="center"/>
          </w:tcPr>
          <w:p w14:paraId="4401B7F1">
            <w:pPr>
              <w:adjustRightInd w:val="0"/>
              <w:snapToGrid w:val="0"/>
              <w:jc w:val="center"/>
              <w:rPr>
                <w:rFonts w:ascii="Arial" w:hAnsi="Arial" w:eastAsia="宋体" w:cs="Arial"/>
                <w:sz w:val="21"/>
                <w:szCs w:val="21"/>
                <w:u w:val="single"/>
              </w:rPr>
            </w:pPr>
          </w:p>
        </w:tc>
        <w:tc>
          <w:tcPr>
            <w:tcW w:w="625" w:type="pct"/>
            <w:vAlign w:val="center"/>
          </w:tcPr>
          <w:p w14:paraId="10FA61D5">
            <w:pPr>
              <w:adjustRightInd w:val="0"/>
              <w:snapToGrid w:val="0"/>
              <w:jc w:val="center"/>
              <w:rPr>
                <w:rFonts w:ascii="Arial" w:hAnsi="Arial" w:eastAsia="宋体" w:cs="Arial"/>
                <w:sz w:val="21"/>
                <w:szCs w:val="21"/>
                <w:highlight w:val="yellow"/>
                <w:u w:val="single"/>
              </w:rPr>
            </w:pPr>
          </w:p>
        </w:tc>
        <w:tc>
          <w:tcPr>
            <w:tcW w:w="625" w:type="pct"/>
            <w:vAlign w:val="center"/>
          </w:tcPr>
          <w:p w14:paraId="7087F494">
            <w:pPr>
              <w:adjustRightInd w:val="0"/>
              <w:snapToGrid w:val="0"/>
              <w:jc w:val="center"/>
              <w:rPr>
                <w:rFonts w:ascii="Arial" w:hAnsi="Arial" w:eastAsia="宋体" w:cs="Arial"/>
                <w:sz w:val="21"/>
                <w:szCs w:val="21"/>
                <w:highlight w:val="yellow"/>
                <w:u w:val="single"/>
              </w:rPr>
            </w:pPr>
          </w:p>
        </w:tc>
        <w:tc>
          <w:tcPr>
            <w:tcW w:w="625" w:type="pct"/>
            <w:vAlign w:val="center"/>
          </w:tcPr>
          <w:p w14:paraId="2ABEC78E">
            <w:pPr>
              <w:adjustRightInd w:val="0"/>
              <w:snapToGrid w:val="0"/>
              <w:jc w:val="center"/>
              <w:rPr>
                <w:rFonts w:ascii="Arial" w:hAnsi="Arial" w:eastAsia="宋体" w:cs="Arial"/>
                <w:sz w:val="21"/>
                <w:szCs w:val="21"/>
                <w:u w:val="single"/>
              </w:rPr>
            </w:pPr>
          </w:p>
        </w:tc>
        <w:tc>
          <w:tcPr>
            <w:tcW w:w="625" w:type="pct"/>
            <w:vAlign w:val="center"/>
          </w:tcPr>
          <w:p w14:paraId="73FA5ABD">
            <w:pPr>
              <w:adjustRightInd w:val="0"/>
              <w:snapToGrid w:val="0"/>
              <w:jc w:val="center"/>
              <w:rPr>
                <w:rFonts w:ascii="Arial" w:hAnsi="Arial" w:eastAsia="宋体" w:cs="Arial"/>
                <w:sz w:val="21"/>
                <w:szCs w:val="21"/>
                <w:u w:val="single"/>
              </w:rPr>
            </w:pPr>
          </w:p>
        </w:tc>
        <w:tc>
          <w:tcPr>
            <w:tcW w:w="625" w:type="pct"/>
            <w:vAlign w:val="center"/>
          </w:tcPr>
          <w:p w14:paraId="667801CA">
            <w:pPr>
              <w:adjustRightInd w:val="0"/>
              <w:snapToGrid w:val="0"/>
              <w:jc w:val="center"/>
              <w:rPr>
                <w:rFonts w:ascii="Arial" w:hAnsi="Arial" w:eastAsia="宋体" w:cs="Arial"/>
                <w:sz w:val="21"/>
                <w:szCs w:val="21"/>
                <w:u w:val="single"/>
              </w:rPr>
            </w:pPr>
          </w:p>
        </w:tc>
        <w:tc>
          <w:tcPr>
            <w:tcW w:w="625" w:type="pct"/>
            <w:vAlign w:val="center"/>
          </w:tcPr>
          <w:p w14:paraId="24E98969">
            <w:pPr>
              <w:adjustRightInd w:val="0"/>
              <w:snapToGrid w:val="0"/>
              <w:jc w:val="center"/>
              <w:rPr>
                <w:rFonts w:ascii="Arial" w:hAnsi="Arial" w:eastAsia="宋体" w:cs="Arial"/>
                <w:sz w:val="21"/>
                <w:szCs w:val="21"/>
                <w:u w:val="single"/>
              </w:rPr>
            </w:pPr>
          </w:p>
        </w:tc>
      </w:tr>
      <w:tr w14:paraId="15768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5" w:type="pct"/>
            <w:vAlign w:val="center"/>
          </w:tcPr>
          <w:p w14:paraId="4DCCF762">
            <w:pPr>
              <w:adjustRightInd w:val="0"/>
              <w:snapToGrid w:val="0"/>
              <w:jc w:val="center"/>
              <w:rPr>
                <w:rFonts w:ascii="Arial" w:hAnsi="Arial" w:eastAsia="宋体" w:cs="Arial"/>
                <w:sz w:val="21"/>
                <w:szCs w:val="21"/>
                <w:u w:val="single"/>
              </w:rPr>
            </w:pPr>
          </w:p>
        </w:tc>
        <w:tc>
          <w:tcPr>
            <w:tcW w:w="625" w:type="pct"/>
            <w:vAlign w:val="center"/>
          </w:tcPr>
          <w:p w14:paraId="4B3B5466">
            <w:pPr>
              <w:adjustRightInd w:val="0"/>
              <w:snapToGrid w:val="0"/>
              <w:jc w:val="center"/>
              <w:rPr>
                <w:rFonts w:ascii="Arial" w:hAnsi="Arial" w:eastAsia="宋体" w:cs="Arial"/>
                <w:sz w:val="21"/>
                <w:szCs w:val="21"/>
                <w:u w:val="single"/>
              </w:rPr>
            </w:pPr>
          </w:p>
        </w:tc>
        <w:tc>
          <w:tcPr>
            <w:tcW w:w="625" w:type="pct"/>
            <w:vAlign w:val="center"/>
          </w:tcPr>
          <w:p w14:paraId="3E21B92D">
            <w:pPr>
              <w:adjustRightInd w:val="0"/>
              <w:snapToGrid w:val="0"/>
              <w:jc w:val="center"/>
              <w:rPr>
                <w:rFonts w:ascii="Arial" w:hAnsi="Arial" w:eastAsia="宋体" w:cs="Arial"/>
                <w:sz w:val="21"/>
                <w:szCs w:val="21"/>
                <w:highlight w:val="yellow"/>
                <w:u w:val="single"/>
              </w:rPr>
            </w:pPr>
          </w:p>
        </w:tc>
        <w:tc>
          <w:tcPr>
            <w:tcW w:w="625" w:type="pct"/>
            <w:vAlign w:val="center"/>
          </w:tcPr>
          <w:p w14:paraId="2EC9D14F">
            <w:pPr>
              <w:adjustRightInd w:val="0"/>
              <w:snapToGrid w:val="0"/>
              <w:jc w:val="center"/>
              <w:rPr>
                <w:rFonts w:ascii="Arial" w:hAnsi="Arial" w:eastAsia="宋体" w:cs="Arial"/>
                <w:sz w:val="21"/>
                <w:szCs w:val="21"/>
                <w:highlight w:val="yellow"/>
                <w:u w:val="single"/>
              </w:rPr>
            </w:pPr>
          </w:p>
        </w:tc>
        <w:tc>
          <w:tcPr>
            <w:tcW w:w="625" w:type="pct"/>
            <w:vAlign w:val="center"/>
          </w:tcPr>
          <w:p w14:paraId="0F6F9500">
            <w:pPr>
              <w:adjustRightInd w:val="0"/>
              <w:snapToGrid w:val="0"/>
              <w:jc w:val="center"/>
              <w:rPr>
                <w:rFonts w:ascii="Arial" w:hAnsi="Arial" w:eastAsia="宋体" w:cs="Arial"/>
                <w:sz w:val="21"/>
                <w:szCs w:val="21"/>
                <w:u w:val="single"/>
              </w:rPr>
            </w:pPr>
          </w:p>
        </w:tc>
        <w:tc>
          <w:tcPr>
            <w:tcW w:w="625" w:type="pct"/>
            <w:vAlign w:val="center"/>
          </w:tcPr>
          <w:p w14:paraId="46B3D78C">
            <w:pPr>
              <w:adjustRightInd w:val="0"/>
              <w:snapToGrid w:val="0"/>
              <w:jc w:val="center"/>
              <w:rPr>
                <w:rFonts w:ascii="Arial" w:hAnsi="Arial" w:eastAsia="宋体" w:cs="Arial"/>
                <w:sz w:val="21"/>
                <w:szCs w:val="21"/>
                <w:u w:val="single"/>
              </w:rPr>
            </w:pPr>
          </w:p>
        </w:tc>
        <w:tc>
          <w:tcPr>
            <w:tcW w:w="625" w:type="pct"/>
            <w:vAlign w:val="center"/>
          </w:tcPr>
          <w:p w14:paraId="7C60F8B0">
            <w:pPr>
              <w:adjustRightInd w:val="0"/>
              <w:snapToGrid w:val="0"/>
              <w:jc w:val="center"/>
              <w:rPr>
                <w:rFonts w:ascii="Arial" w:hAnsi="Arial" w:eastAsia="宋体" w:cs="Arial"/>
                <w:sz w:val="21"/>
                <w:szCs w:val="21"/>
                <w:u w:val="single"/>
              </w:rPr>
            </w:pPr>
          </w:p>
        </w:tc>
        <w:tc>
          <w:tcPr>
            <w:tcW w:w="625" w:type="pct"/>
            <w:vAlign w:val="center"/>
          </w:tcPr>
          <w:p w14:paraId="2F31682E">
            <w:pPr>
              <w:adjustRightInd w:val="0"/>
              <w:snapToGrid w:val="0"/>
              <w:jc w:val="center"/>
              <w:rPr>
                <w:rFonts w:ascii="Arial" w:hAnsi="Arial" w:eastAsia="宋体" w:cs="Arial"/>
                <w:sz w:val="21"/>
                <w:szCs w:val="21"/>
                <w:u w:val="single"/>
              </w:rPr>
            </w:pPr>
          </w:p>
        </w:tc>
      </w:tr>
    </w:tbl>
    <w:p w14:paraId="7FAA1A2A">
      <w:pPr>
        <w:pStyle w:val="5"/>
        <w:ind w:firstLine="0"/>
        <w:outlineLvl w:val="4"/>
        <w:rPr>
          <w:b/>
        </w:rPr>
      </w:pPr>
      <w:r>
        <w:rPr>
          <w:rFonts w:hint="eastAsia"/>
          <w:b/>
        </w:rPr>
        <w:t>2.3.2.2环保工程</w:t>
      </w:r>
    </w:p>
    <w:p w14:paraId="3BBACCE5">
      <w:pPr>
        <w:pStyle w:val="5"/>
      </w:pPr>
      <w:r>
        <w:rPr>
          <w:rFonts w:hint="eastAsia"/>
        </w:rPr>
        <w:t>1、废气</w:t>
      </w:r>
    </w:p>
    <w:p w14:paraId="08534EFA">
      <w:pPr>
        <w:pStyle w:val="5"/>
        <w:rPr>
          <w:u w:val="single"/>
        </w:rPr>
      </w:pPr>
      <w:r>
        <w:rPr>
          <w:rFonts w:hint="eastAsia"/>
          <w:u w:val="single"/>
        </w:rPr>
        <w:t>项目变更前已建1根20m高排气筒（DA145）并配套1台吸收塔处理变更前的溶解废气，变更后利用该排气筒及吸收塔处理反应、洗涤工序产生的氨气；项目变更前已建1根20m高排气筒（DA146）并配套1台吸收塔处理变更前的净化废气，变更后利用该排气筒及吸收塔，并新增1套布袋除尘装置处理干燥、破碎、包装粉尘。变更后项目废气处理措施见表2-14。</w:t>
      </w:r>
    </w:p>
    <w:p w14:paraId="7F0981DE">
      <w:pPr>
        <w:pStyle w:val="5"/>
        <w:keepNext/>
        <w:numPr>
          <w:ilvl w:val="0"/>
          <w:numId w:val="12"/>
        </w:numPr>
        <w:adjustRightInd w:val="0"/>
        <w:snapToGrid w:val="0"/>
        <w:spacing w:line="500" w:lineRule="exact"/>
        <w:ind w:left="0" w:firstLine="0"/>
        <w:jc w:val="center"/>
        <w:outlineLvl w:val="4"/>
        <w:rPr>
          <w:b/>
        </w:rPr>
      </w:pPr>
      <w:r>
        <w:rPr>
          <w:b/>
        </w:rPr>
        <w:t>项目变更后废气治理措施汇总表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990"/>
        <w:gridCol w:w="851"/>
        <w:gridCol w:w="1276"/>
        <w:gridCol w:w="1419"/>
        <w:gridCol w:w="1133"/>
        <w:gridCol w:w="1951"/>
      </w:tblGrid>
      <w:tr w14:paraId="4D072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vAlign w:val="center"/>
          </w:tcPr>
          <w:p w14:paraId="2AC8129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污染源</w:t>
            </w:r>
          </w:p>
        </w:tc>
        <w:tc>
          <w:tcPr>
            <w:tcW w:w="533" w:type="pct"/>
            <w:vAlign w:val="center"/>
          </w:tcPr>
          <w:p w14:paraId="587D145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排气筒编号</w:t>
            </w:r>
          </w:p>
        </w:tc>
        <w:tc>
          <w:tcPr>
            <w:tcW w:w="458" w:type="pct"/>
            <w:vAlign w:val="center"/>
          </w:tcPr>
          <w:p w14:paraId="5181913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污染因子</w:t>
            </w:r>
          </w:p>
        </w:tc>
        <w:tc>
          <w:tcPr>
            <w:tcW w:w="687" w:type="pct"/>
            <w:vAlign w:val="center"/>
          </w:tcPr>
          <w:p w14:paraId="72ACB56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处理措施</w:t>
            </w:r>
          </w:p>
        </w:tc>
        <w:tc>
          <w:tcPr>
            <w:tcW w:w="764" w:type="pct"/>
            <w:vAlign w:val="center"/>
          </w:tcPr>
          <w:p w14:paraId="66B7589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排气筒参数</w:t>
            </w:r>
          </w:p>
          <w:p w14:paraId="22CEEA4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（高度/内径/温度）</w:t>
            </w:r>
          </w:p>
        </w:tc>
        <w:tc>
          <w:tcPr>
            <w:tcW w:w="610" w:type="pct"/>
            <w:vAlign w:val="center"/>
          </w:tcPr>
          <w:p w14:paraId="76FE99E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风量</w:t>
            </w:r>
          </w:p>
          <w:p w14:paraId="20642E2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w:t>
            </w:r>
            <w:r>
              <w:rPr>
                <w:rFonts w:ascii="Arial" w:hAnsi="Arial" w:eastAsia="宋体" w:cs="Arial"/>
                <w:spacing w:val="10"/>
                <w:sz w:val="21"/>
                <w:szCs w:val="21"/>
                <w:vertAlign w:val="superscript"/>
              </w:rPr>
              <w:t>3</w:t>
            </w:r>
            <w:r>
              <w:rPr>
                <w:rFonts w:ascii="Arial" w:hAnsi="Arial" w:eastAsia="宋体" w:cs="Arial"/>
                <w:spacing w:val="10"/>
                <w:sz w:val="21"/>
                <w:szCs w:val="21"/>
              </w:rPr>
              <w:t>/h</w:t>
            </w:r>
          </w:p>
        </w:tc>
        <w:tc>
          <w:tcPr>
            <w:tcW w:w="1050" w:type="pct"/>
            <w:vAlign w:val="center"/>
          </w:tcPr>
          <w:p w14:paraId="3E4A8CC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备注</w:t>
            </w:r>
          </w:p>
        </w:tc>
      </w:tr>
      <w:tr w14:paraId="700C3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vAlign w:val="center"/>
          </w:tcPr>
          <w:p w14:paraId="2582645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反应、洗涤废气</w:t>
            </w:r>
          </w:p>
        </w:tc>
        <w:tc>
          <w:tcPr>
            <w:tcW w:w="533" w:type="pct"/>
            <w:vAlign w:val="center"/>
          </w:tcPr>
          <w:p w14:paraId="1651225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DA145</w:t>
            </w:r>
          </w:p>
        </w:tc>
        <w:tc>
          <w:tcPr>
            <w:tcW w:w="458" w:type="pct"/>
            <w:vAlign w:val="center"/>
          </w:tcPr>
          <w:p w14:paraId="419F6CA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氨气</w:t>
            </w:r>
          </w:p>
        </w:tc>
        <w:tc>
          <w:tcPr>
            <w:tcW w:w="687" w:type="pct"/>
            <w:vAlign w:val="center"/>
          </w:tcPr>
          <w:p w14:paraId="1C17FE9D">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吸收塔</w:t>
            </w:r>
          </w:p>
        </w:tc>
        <w:tc>
          <w:tcPr>
            <w:tcW w:w="764" w:type="pct"/>
            <w:vAlign w:val="center"/>
          </w:tcPr>
          <w:p w14:paraId="5F8F8C7F">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c>
          <w:tcPr>
            <w:tcW w:w="610" w:type="pct"/>
            <w:vAlign w:val="center"/>
          </w:tcPr>
          <w:p w14:paraId="210DDE92">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w:t>
            </w:r>
            <w:r>
              <w:rPr>
                <w:rFonts w:ascii="Arial" w:hAnsi="Arial" w:eastAsia="宋体" w:cs="Arial"/>
                <w:spacing w:val="10"/>
                <w:sz w:val="21"/>
                <w:szCs w:val="21"/>
              </w:rPr>
              <w:t>000</w:t>
            </w:r>
          </w:p>
        </w:tc>
        <w:tc>
          <w:tcPr>
            <w:tcW w:w="1050" w:type="pct"/>
            <w:vAlign w:val="center"/>
          </w:tcPr>
          <w:p w14:paraId="2C20593D">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利用变更前吸收塔和DA145排气筒</w:t>
            </w:r>
          </w:p>
        </w:tc>
      </w:tr>
      <w:tr w14:paraId="3B12D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vAlign w:val="center"/>
          </w:tcPr>
          <w:p w14:paraId="1F9789B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干燥、破碎、</w:t>
            </w:r>
          </w:p>
          <w:p w14:paraId="1389F36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包装粉尘</w:t>
            </w:r>
          </w:p>
        </w:tc>
        <w:tc>
          <w:tcPr>
            <w:tcW w:w="533" w:type="pct"/>
            <w:vAlign w:val="center"/>
          </w:tcPr>
          <w:p w14:paraId="2E4AFDA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DA146</w:t>
            </w:r>
          </w:p>
        </w:tc>
        <w:tc>
          <w:tcPr>
            <w:tcW w:w="458" w:type="pct"/>
            <w:vAlign w:val="center"/>
          </w:tcPr>
          <w:p w14:paraId="0DF0A2B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颗粒物</w:t>
            </w:r>
          </w:p>
        </w:tc>
        <w:tc>
          <w:tcPr>
            <w:tcW w:w="687" w:type="pct"/>
            <w:vAlign w:val="center"/>
          </w:tcPr>
          <w:p w14:paraId="63A00EAA">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脉冲布袋除尘器+吸收塔</w:t>
            </w:r>
          </w:p>
        </w:tc>
        <w:tc>
          <w:tcPr>
            <w:tcW w:w="764" w:type="pct"/>
            <w:vAlign w:val="center"/>
          </w:tcPr>
          <w:p w14:paraId="0E5F801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r>
              <w:rPr>
                <w:rFonts w:hint="eastAsia" w:ascii="Arial" w:hAnsi="Arial" w:eastAsia="宋体" w:cs="Arial"/>
                <w:spacing w:val="10"/>
                <w:sz w:val="21"/>
                <w:szCs w:val="21"/>
              </w:rPr>
              <w:t>1.1</w:t>
            </w:r>
            <w:r>
              <w:rPr>
                <w:rFonts w:ascii="Arial" w:hAnsi="Arial" w:eastAsia="宋体" w:cs="Arial"/>
                <w:spacing w:val="10"/>
                <w:sz w:val="21"/>
                <w:szCs w:val="21"/>
              </w:rPr>
              <w:t>/</w:t>
            </w:r>
            <w:r>
              <w:rPr>
                <w:rFonts w:hint="eastAsia" w:ascii="Arial" w:hAnsi="Arial" w:eastAsia="宋体" w:cs="Arial"/>
                <w:spacing w:val="10"/>
                <w:sz w:val="21"/>
                <w:szCs w:val="21"/>
              </w:rPr>
              <w:t>60</w:t>
            </w:r>
          </w:p>
        </w:tc>
        <w:tc>
          <w:tcPr>
            <w:tcW w:w="610" w:type="pct"/>
            <w:vAlign w:val="center"/>
          </w:tcPr>
          <w:p w14:paraId="00C13D7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w:t>
            </w:r>
            <w:r>
              <w:rPr>
                <w:rFonts w:ascii="Arial" w:hAnsi="Arial" w:eastAsia="宋体" w:cs="Arial"/>
                <w:spacing w:val="10"/>
                <w:sz w:val="21"/>
                <w:szCs w:val="21"/>
              </w:rPr>
              <w:t>00</w:t>
            </w:r>
          </w:p>
        </w:tc>
        <w:tc>
          <w:tcPr>
            <w:tcW w:w="1050" w:type="pct"/>
            <w:vAlign w:val="center"/>
          </w:tcPr>
          <w:p w14:paraId="105F8234">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利用变更前吸收塔和DA146排气筒，新增布袋除尘器</w:t>
            </w:r>
          </w:p>
        </w:tc>
      </w:tr>
      <w:tr w14:paraId="67007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vAlign w:val="center"/>
          </w:tcPr>
          <w:p w14:paraId="5BD281C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污水处理废气</w:t>
            </w:r>
          </w:p>
        </w:tc>
        <w:tc>
          <w:tcPr>
            <w:tcW w:w="533" w:type="pct"/>
            <w:vAlign w:val="center"/>
          </w:tcPr>
          <w:p w14:paraId="35CAB7C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w:t>
            </w:r>
            <w:r>
              <w:rPr>
                <w:rFonts w:hint="eastAsia" w:ascii="Arial" w:hAnsi="Arial" w:eastAsia="宋体" w:cs="Arial"/>
                <w:spacing w:val="10"/>
                <w:sz w:val="21"/>
                <w:szCs w:val="21"/>
              </w:rPr>
              <w:t>067</w:t>
            </w:r>
          </w:p>
        </w:tc>
        <w:tc>
          <w:tcPr>
            <w:tcW w:w="458" w:type="pct"/>
            <w:vAlign w:val="center"/>
          </w:tcPr>
          <w:p w14:paraId="3CF8C4A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氨气</w:t>
            </w:r>
          </w:p>
        </w:tc>
        <w:tc>
          <w:tcPr>
            <w:tcW w:w="687" w:type="pct"/>
            <w:vAlign w:val="center"/>
          </w:tcPr>
          <w:p w14:paraId="2E9DFEF5">
            <w:pPr>
              <w:adjustRightInd w:val="0"/>
              <w:snapToGrid w:val="0"/>
              <w:jc w:val="center"/>
              <w:rPr>
                <w:rFonts w:ascii="Arial" w:hAnsi="Arial" w:eastAsia="宋体" w:cs="Arial"/>
                <w:sz w:val="21"/>
                <w:szCs w:val="21"/>
              </w:rPr>
            </w:pPr>
            <w:r>
              <w:rPr>
                <w:rFonts w:hint="eastAsia" w:ascii="Arial" w:hAnsi="Arial" w:eastAsia="宋体" w:cs="Arial"/>
                <w:sz w:val="21"/>
                <w:szCs w:val="21"/>
              </w:rPr>
              <w:t>吸收塔</w:t>
            </w:r>
          </w:p>
        </w:tc>
        <w:tc>
          <w:tcPr>
            <w:tcW w:w="764" w:type="pct"/>
            <w:vAlign w:val="center"/>
          </w:tcPr>
          <w:p w14:paraId="7E4ADC3C">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20/0.6/25</w:t>
            </w:r>
          </w:p>
        </w:tc>
        <w:tc>
          <w:tcPr>
            <w:tcW w:w="610" w:type="pct"/>
            <w:vAlign w:val="center"/>
          </w:tcPr>
          <w:p w14:paraId="18EFE4D5">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13150</w:t>
            </w:r>
          </w:p>
        </w:tc>
        <w:tc>
          <w:tcPr>
            <w:tcW w:w="1050" w:type="pct"/>
            <w:vAlign w:val="center"/>
          </w:tcPr>
          <w:p w14:paraId="462A7CBF">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依托现有污水处理设施</w:t>
            </w:r>
          </w:p>
        </w:tc>
      </w:tr>
    </w:tbl>
    <w:p w14:paraId="18A80365">
      <w:pPr>
        <w:pStyle w:val="5"/>
        <w:spacing w:line="500" w:lineRule="exact"/>
      </w:pPr>
      <w:r>
        <w:rPr>
          <w:rFonts w:hint="eastAsia"/>
        </w:rPr>
        <w:t>2、废水</w:t>
      </w:r>
    </w:p>
    <w:p w14:paraId="0096ECA6">
      <w:pPr>
        <w:pStyle w:val="5"/>
        <w:spacing w:line="500" w:lineRule="exact"/>
      </w:pPr>
      <w:r>
        <w:rPr>
          <w:rFonts w:hint="eastAsia"/>
          <w:u w:val="single"/>
        </w:rPr>
        <w:t>项目变更后新增生产废水，经管道收集后的生产废水和经地沟收集后的车间清洗废水一同经在X19车间经板框压滤、精密过滤器预处理满足《无机化学工业污染物排放标准》（GB31573-2015）车间排放口要求后，</w:t>
      </w:r>
      <w:r>
        <w:rPr>
          <w:rFonts w:hint="eastAsia"/>
        </w:rPr>
        <w:t>通过管道泵入S7污水处理车间，经脱氨、陶瓷膜过滤处理后，通过管道泵入S8、S9污水处理车间，经4#~12#MVR处理，MVR处理后的开路母液通过管道泵入厂区综合污水处理站，经臭氧催化氧化处理后排入废水总排口，满足</w:t>
      </w:r>
      <w:r>
        <w:t>《无机化学工业污染物排放标准》（GB31573-2015）直接排放标准后外排</w:t>
      </w:r>
      <w:r>
        <w:rPr>
          <w:rFonts w:hint="eastAsia"/>
        </w:rPr>
        <w:t>。项目废水处理措施见图2.3-1。</w:t>
      </w:r>
    </w:p>
    <w:p w14:paraId="39013D33">
      <w:pPr>
        <w:pStyle w:val="5"/>
      </w:pPr>
    </w:p>
    <w:p w14:paraId="7F959D66">
      <w:pPr>
        <w:pStyle w:val="5"/>
        <w:wordWrap w:val="0"/>
        <w:jc w:val="right"/>
        <w:rPr>
          <w:u w:val="single"/>
        </w:rPr>
      </w:pPr>
      <w:r>
        <w:object>
          <v:shape id="_x0000_i1027" o:spt="75" type="#_x0000_t75" style="height:461.45pt;width:286.5pt;" o:ole="t" filled="f" o:preferrelative="t" stroked="f" coordsize="21600,21600">
            <v:path/>
            <v:fill on="f" focussize="0,0"/>
            <v:stroke on="f" joinstyle="miter"/>
            <v:imagedata r:id="rId37" o:title=""/>
            <o:lock v:ext="edit" aspectratio="t"/>
            <w10:wrap type="none"/>
            <w10:anchorlock/>
          </v:shape>
          <o:OLEObject Type="Embed" ProgID="Visio.Drawing.11" ShapeID="_x0000_i1027" DrawAspect="Content" ObjectID="_1468075727" r:id="rId36">
            <o:LockedField>false</o:LockedField>
          </o:OLEObject>
        </w:object>
      </w:r>
      <w:r>
        <w:rPr>
          <w:rFonts w:hint="eastAsia"/>
        </w:rPr>
        <w:t xml:space="preserve">   </w:t>
      </w:r>
    </w:p>
    <w:p w14:paraId="29C44F7D">
      <w:pPr>
        <w:pStyle w:val="5"/>
        <w:ind w:firstLine="0"/>
        <w:jc w:val="center"/>
        <w:rPr>
          <w:b/>
          <w:u w:val="single"/>
        </w:rPr>
      </w:pPr>
      <w:r>
        <w:rPr>
          <w:rFonts w:hint="eastAsia"/>
          <w:b/>
          <w:u w:val="single"/>
        </w:rPr>
        <w:t>图2.3-1  生产废水处理措施图</w:t>
      </w:r>
    </w:p>
    <w:p w14:paraId="6B2A2495">
      <w:pPr>
        <w:pStyle w:val="5"/>
        <w:spacing w:line="500" w:lineRule="exact"/>
      </w:pPr>
      <w:r>
        <w:rPr>
          <w:rFonts w:hint="eastAsia"/>
        </w:rPr>
        <w:t>3、固废</w:t>
      </w:r>
    </w:p>
    <w:p w14:paraId="4ACA4E7B">
      <w:pPr>
        <w:pStyle w:val="5"/>
        <w:spacing w:line="500" w:lineRule="exact"/>
      </w:pPr>
      <w:r>
        <w:rPr>
          <w:rFonts w:hint="eastAsia"/>
        </w:rPr>
        <w:t>项目变更后产生的危废暂存厂区危废暂存间，定期委托具有相应资质单位上门回收处理。</w:t>
      </w:r>
    </w:p>
    <w:p w14:paraId="4E31A351">
      <w:pPr>
        <w:pStyle w:val="5"/>
        <w:ind w:firstLine="0"/>
        <w:outlineLvl w:val="4"/>
        <w:rPr>
          <w:b/>
        </w:rPr>
      </w:pPr>
      <w:r>
        <w:rPr>
          <w:rFonts w:hint="eastAsia"/>
          <w:b/>
        </w:rPr>
        <w:t>2.3.2.3依托工程</w:t>
      </w:r>
    </w:p>
    <w:p w14:paraId="61534413">
      <w:pPr>
        <w:pStyle w:val="5"/>
        <w:spacing w:line="500" w:lineRule="exact"/>
      </w:pPr>
      <w:r>
        <w:rPr>
          <w:rFonts w:hint="eastAsia"/>
        </w:rPr>
        <w:t>1、纯水站</w:t>
      </w:r>
    </w:p>
    <w:p w14:paraId="52676B16">
      <w:pPr>
        <w:pStyle w:val="5"/>
        <w:spacing w:line="500" w:lineRule="exact"/>
      </w:pPr>
      <w:r>
        <w:rPr>
          <w:rFonts w:hint="eastAsia"/>
        </w:rPr>
        <w:t>厂区内现有1座纯水站为全厂供给纯水，纯水站规模为11000t/d。项目变更前全厂由纯水站供应的纯水需求量为10945.99t/d，其中X19车间镍豆镍粉处置线需求量为1023.6t/d（337788t/a）；变更后全厂由纯水站供应的纯水需求量为10073.12t/d，其中X19车间羟基钴生产线纯水需求量为139.58t/d（46060.83t/a），锅炉房新增纯水量为11.15t/a。变更后纯水站纯水供应量还剩余926.88t/d。</w:t>
      </w:r>
    </w:p>
    <w:p w14:paraId="64841131">
      <w:pPr>
        <w:pStyle w:val="5"/>
        <w:spacing w:line="500" w:lineRule="exact"/>
      </w:pPr>
      <w:r>
        <w:rPr>
          <w:rFonts w:hint="eastAsia"/>
        </w:rPr>
        <w:t>2、蒸汽</w:t>
      </w:r>
    </w:p>
    <w:p w14:paraId="39947BB6">
      <w:pPr>
        <w:pStyle w:val="5"/>
        <w:spacing w:line="500" w:lineRule="exact"/>
      </w:pPr>
      <w:r>
        <w:t>蒸汽近期依托现有工程燃气锅炉供给，远期依托园区蒸汽管网供给。</w:t>
      </w:r>
      <w:r>
        <w:rPr>
          <w:rFonts w:hint="eastAsia"/>
        </w:rPr>
        <w:t>厂区</w:t>
      </w:r>
      <w:r>
        <w:t>内已建3台20t/h燃气锅炉（两用一备），供气总规模为</w:t>
      </w:r>
      <w:r>
        <w:rPr>
          <w:rFonts w:hint="eastAsia"/>
        </w:rPr>
        <w:t>960</w:t>
      </w:r>
      <w:r>
        <w:t>t/d</w:t>
      </w:r>
      <w:r>
        <w:rPr>
          <w:rFonts w:hint="eastAsia"/>
        </w:rPr>
        <w:t>。</w:t>
      </w:r>
      <w:r>
        <w:t>项目</w:t>
      </w:r>
      <w:r>
        <w:rPr>
          <w:rFonts w:hint="eastAsia"/>
        </w:rPr>
        <w:t>变更</w:t>
      </w:r>
      <w:r>
        <w:t>前全厂蒸汽需求量为</w:t>
      </w:r>
      <w:r>
        <w:rPr>
          <w:rFonts w:hint="eastAsia"/>
        </w:rPr>
        <w:t>704t/d，变更后全厂蒸汽</w:t>
      </w:r>
      <w:r>
        <w:t>需求量为</w:t>
      </w:r>
      <w:r>
        <w:rPr>
          <w:rFonts w:hint="eastAsia"/>
        </w:rPr>
        <w:t>804.35t/d，其中X19车间羟基钴生产线蒸汽需求量为100.35t/d。</w:t>
      </w:r>
    </w:p>
    <w:p w14:paraId="105AD913">
      <w:pPr>
        <w:pStyle w:val="5"/>
        <w:spacing w:line="500" w:lineRule="exact"/>
      </w:pPr>
      <w:r>
        <w:rPr>
          <w:rFonts w:hint="eastAsia"/>
        </w:rPr>
        <w:t>3、罐区</w:t>
      </w:r>
    </w:p>
    <w:p w14:paraId="08466D38">
      <w:pPr>
        <w:pStyle w:val="5"/>
        <w:spacing w:line="500" w:lineRule="exact"/>
      </w:pPr>
      <w:r>
        <w:rPr>
          <w:rFonts w:hint="eastAsia"/>
        </w:rPr>
        <w:t>变更</w:t>
      </w:r>
      <w:r>
        <w:t>后项目</w:t>
      </w:r>
      <w:r>
        <w:rPr>
          <w:rFonts w:hint="eastAsia"/>
        </w:rPr>
        <w:t>依托</w:t>
      </w:r>
      <w:r>
        <w:t>厂区罐组九——</w:t>
      </w:r>
      <w:r>
        <w:rPr>
          <w:rFonts w:hint="eastAsia"/>
        </w:rPr>
        <w:t>2个250m</w:t>
      </w:r>
      <w:r>
        <w:rPr>
          <w:rFonts w:hint="eastAsia"/>
          <w:vertAlign w:val="superscript"/>
        </w:rPr>
        <w:t>3</w:t>
      </w:r>
      <w:r>
        <w:rPr>
          <w:rFonts w:hint="eastAsia"/>
        </w:rPr>
        <w:t>27.5%</w:t>
      </w:r>
      <w:r>
        <w:t>双氧水储罐</w:t>
      </w:r>
      <w:r>
        <w:rPr>
          <w:rFonts w:hint="eastAsia"/>
        </w:rPr>
        <w:t>、</w:t>
      </w:r>
      <w:r>
        <w:t>罐组六——</w:t>
      </w:r>
      <w:r>
        <w:rPr>
          <w:rFonts w:hint="eastAsia"/>
        </w:rPr>
        <w:t>8个2000m</w:t>
      </w:r>
      <w:r>
        <w:rPr>
          <w:rFonts w:hint="eastAsia"/>
          <w:vertAlign w:val="superscript"/>
        </w:rPr>
        <w:t>3</w:t>
      </w:r>
      <w:r>
        <w:rPr>
          <w:rFonts w:hint="eastAsia"/>
        </w:rPr>
        <w:t>32%</w:t>
      </w:r>
      <w:r>
        <w:t>液碱储罐、</w:t>
      </w:r>
      <w:r>
        <w:rPr>
          <w:rFonts w:hint="eastAsia"/>
        </w:rPr>
        <w:t>罐组七——3个2000m</w:t>
      </w:r>
      <w:r>
        <w:rPr>
          <w:rFonts w:hint="eastAsia"/>
          <w:vertAlign w:val="superscript"/>
        </w:rPr>
        <w:t>3</w:t>
      </w:r>
      <w:r>
        <w:rPr>
          <w:rFonts w:hint="eastAsia"/>
        </w:rPr>
        <w:t>21%氨水储罐。各罐组均设置围堰并进行防渗措施。</w:t>
      </w:r>
    </w:p>
    <w:p w14:paraId="10D8C37B">
      <w:pPr>
        <w:pStyle w:val="5"/>
        <w:spacing w:line="500" w:lineRule="exact"/>
      </w:pPr>
      <w:r>
        <w:rPr>
          <w:rFonts w:hint="eastAsia"/>
        </w:rPr>
        <w:t>4、污水处理设施</w:t>
      </w:r>
    </w:p>
    <w:p w14:paraId="66CFF9C2">
      <w:pPr>
        <w:pStyle w:val="5"/>
        <w:spacing w:line="500" w:lineRule="exact"/>
      </w:pPr>
      <w:r>
        <w:rPr>
          <w:rFonts w:hint="eastAsia"/>
        </w:rPr>
        <w:t>（1）S7污水处理车间</w:t>
      </w:r>
    </w:p>
    <w:p w14:paraId="53AD6A88">
      <w:pPr>
        <w:pStyle w:val="5"/>
        <w:spacing w:line="500" w:lineRule="exact"/>
      </w:pPr>
      <w:r>
        <w:rPr>
          <w:rFonts w:hint="eastAsia"/>
        </w:rPr>
        <w:t>S7污水处理车间位于地块二中部，内设1条脱氨、陶瓷膜过滤废水处置线。项目变更后经X19车间预处理后的生产废水依托厂区S7污水处理车间脱氨、陶瓷膜过滤处理。</w:t>
      </w:r>
    </w:p>
    <w:p w14:paraId="3EDCC231">
      <w:pPr>
        <w:pStyle w:val="5"/>
        <w:spacing w:line="500" w:lineRule="exact"/>
      </w:pPr>
      <w:r>
        <w:rPr>
          <w:rFonts w:hint="eastAsia"/>
        </w:rPr>
        <w:t>（2）S8、S9污水处理车间</w:t>
      </w:r>
    </w:p>
    <w:p w14:paraId="3612A306">
      <w:pPr>
        <w:pStyle w:val="5"/>
        <w:spacing w:line="500" w:lineRule="exact"/>
      </w:pPr>
      <w:r>
        <w:rPr>
          <w:rFonts w:hint="eastAsia"/>
        </w:rPr>
        <w:t>S8、S9污水处理车间位于地块二中部，内设11台60t/h的MVR处理装置。经S7污水处理车间脱氨、陶瓷膜过滤的生产废水依托S8、S9污水处理车间MVR处理。项目依托MVR处理废水情况见表2-15。</w:t>
      </w:r>
    </w:p>
    <w:p w14:paraId="0404F320">
      <w:pPr>
        <w:pStyle w:val="5"/>
        <w:spacing w:line="500" w:lineRule="exact"/>
      </w:pPr>
    </w:p>
    <w:p w14:paraId="4CEFD336">
      <w:pPr>
        <w:pStyle w:val="5"/>
        <w:spacing w:line="500" w:lineRule="exact"/>
      </w:pPr>
    </w:p>
    <w:p w14:paraId="2786AE7D">
      <w:pPr>
        <w:pStyle w:val="5"/>
        <w:spacing w:line="500" w:lineRule="exact"/>
      </w:pPr>
    </w:p>
    <w:p w14:paraId="74E0AC27">
      <w:pPr>
        <w:pStyle w:val="5"/>
        <w:keepNext/>
        <w:numPr>
          <w:ilvl w:val="0"/>
          <w:numId w:val="12"/>
        </w:numPr>
        <w:adjustRightInd w:val="0"/>
        <w:snapToGrid w:val="0"/>
        <w:spacing w:line="500" w:lineRule="exact"/>
        <w:ind w:left="0" w:firstLine="0"/>
        <w:jc w:val="center"/>
        <w:outlineLvl w:val="4"/>
        <w:rPr>
          <w:b/>
        </w:rPr>
      </w:pPr>
      <w:r>
        <w:rPr>
          <w:rFonts w:hint="eastAsia"/>
          <w:b/>
        </w:rPr>
        <w:t>依托</w:t>
      </w:r>
      <w:r>
        <w:rPr>
          <w:b/>
        </w:rPr>
        <w:t>MVR处理废水情况表（单位：t/d）</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109"/>
        <w:gridCol w:w="2191"/>
        <w:gridCol w:w="812"/>
        <w:gridCol w:w="1111"/>
        <w:gridCol w:w="992"/>
        <w:gridCol w:w="1111"/>
        <w:gridCol w:w="992"/>
      </w:tblGrid>
      <w:tr w14:paraId="00A4D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vMerge w:val="restart"/>
            <w:shd w:val="clear" w:color="auto" w:fill="auto"/>
            <w:vAlign w:val="center"/>
          </w:tcPr>
          <w:p w14:paraId="6A393D97">
            <w:pPr>
              <w:pStyle w:val="5"/>
              <w:adjustRightInd w:val="0"/>
              <w:snapToGrid w:val="0"/>
              <w:spacing w:line="240" w:lineRule="auto"/>
              <w:ind w:firstLine="0"/>
              <w:jc w:val="center"/>
              <w:rPr>
                <w:sz w:val="21"/>
                <w:szCs w:val="21"/>
              </w:rPr>
            </w:pPr>
            <w:r>
              <w:rPr>
                <w:sz w:val="21"/>
                <w:szCs w:val="21"/>
              </w:rPr>
              <w:t>编号</w:t>
            </w:r>
          </w:p>
        </w:tc>
        <w:tc>
          <w:tcPr>
            <w:tcW w:w="1109" w:type="dxa"/>
            <w:vMerge w:val="restart"/>
            <w:shd w:val="clear" w:color="auto" w:fill="auto"/>
            <w:vAlign w:val="center"/>
          </w:tcPr>
          <w:p w14:paraId="30FCB993">
            <w:pPr>
              <w:pStyle w:val="5"/>
              <w:adjustRightInd w:val="0"/>
              <w:snapToGrid w:val="0"/>
              <w:spacing w:line="240" w:lineRule="auto"/>
              <w:ind w:firstLine="0"/>
              <w:jc w:val="center"/>
              <w:rPr>
                <w:sz w:val="21"/>
                <w:szCs w:val="21"/>
              </w:rPr>
            </w:pPr>
            <w:r>
              <w:rPr>
                <w:sz w:val="21"/>
                <w:szCs w:val="21"/>
              </w:rPr>
              <w:t>位置</w:t>
            </w:r>
          </w:p>
        </w:tc>
        <w:tc>
          <w:tcPr>
            <w:tcW w:w="2191" w:type="dxa"/>
            <w:vMerge w:val="restart"/>
            <w:shd w:val="clear" w:color="auto" w:fill="auto"/>
            <w:vAlign w:val="center"/>
          </w:tcPr>
          <w:p w14:paraId="6A680F92">
            <w:pPr>
              <w:pStyle w:val="5"/>
              <w:adjustRightInd w:val="0"/>
              <w:snapToGrid w:val="0"/>
              <w:spacing w:line="240" w:lineRule="auto"/>
              <w:ind w:firstLine="0"/>
              <w:jc w:val="center"/>
              <w:rPr>
                <w:sz w:val="21"/>
                <w:szCs w:val="21"/>
              </w:rPr>
            </w:pPr>
            <w:r>
              <w:rPr>
                <w:sz w:val="21"/>
                <w:szCs w:val="21"/>
              </w:rPr>
              <w:t>处理范围</w:t>
            </w:r>
          </w:p>
        </w:tc>
        <w:tc>
          <w:tcPr>
            <w:tcW w:w="812" w:type="dxa"/>
            <w:vMerge w:val="restart"/>
            <w:shd w:val="clear" w:color="auto" w:fill="auto"/>
            <w:vAlign w:val="center"/>
          </w:tcPr>
          <w:p w14:paraId="352A45B5">
            <w:pPr>
              <w:pStyle w:val="5"/>
              <w:adjustRightInd w:val="0"/>
              <w:snapToGrid w:val="0"/>
              <w:spacing w:line="240" w:lineRule="auto"/>
              <w:ind w:firstLine="0"/>
              <w:jc w:val="center"/>
              <w:rPr>
                <w:sz w:val="21"/>
                <w:szCs w:val="21"/>
              </w:rPr>
            </w:pPr>
            <w:r>
              <w:rPr>
                <w:sz w:val="21"/>
                <w:szCs w:val="21"/>
              </w:rPr>
              <w:t>处理</w:t>
            </w:r>
          </w:p>
          <w:p w14:paraId="31C0F949">
            <w:pPr>
              <w:pStyle w:val="5"/>
              <w:adjustRightInd w:val="0"/>
              <w:snapToGrid w:val="0"/>
              <w:spacing w:line="240" w:lineRule="auto"/>
              <w:ind w:firstLine="0"/>
              <w:jc w:val="center"/>
              <w:rPr>
                <w:sz w:val="21"/>
                <w:szCs w:val="21"/>
              </w:rPr>
            </w:pPr>
            <w:r>
              <w:rPr>
                <w:sz w:val="21"/>
                <w:szCs w:val="21"/>
              </w:rPr>
              <w:t>规模</w:t>
            </w:r>
          </w:p>
        </w:tc>
        <w:tc>
          <w:tcPr>
            <w:tcW w:w="2103" w:type="dxa"/>
            <w:gridSpan w:val="2"/>
            <w:shd w:val="clear" w:color="auto" w:fill="auto"/>
            <w:vAlign w:val="center"/>
          </w:tcPr>
          <w:p w14:paraId="532838C4">
            <w:pPr>
              <w:pStyle w:val="5"/>
              <w:adjustRightInd w:val="0"/>
              <w:snapToGrid w:val="0"/>
              <w:spacing w:line="240" w:lineRule="auto"/>
              <w:ind w:firstLine="0"/>
              <w:jc w:val="center"/>
              <w:rPr>
                <w:sz w:val="21"/>
                <w:szCs w:val="21"/>
              </w:rPr>
            </w:pPr>
            <w:r>
              <w:rPr>
                <w:sz w:val="21"/>
                <w:szCs w:val="21"/>
              </w:rPr>
              <w:t>变更前</w:t>
            </w:r>
          </w:p>
        </w:tc>
        <w:tc>
          <w:tcPr>
            <w:tcW w:w="2103" w:type="dxa"/>
            <w:gridSpan w:val="2"/>
            <w:shd w:val="clear" w:color="auto" w:fill="auto"/>
            <w:vAlign w:val="center"/>
          </w:tcPr>
          <w:p w14:paraId="49168979">
            <w:pPr>
              <w:pStyle w:val="5"/>
              <w:adjustRightInd w:val="0"/>
              <w:snapToGrid w:val="0"/>
              <w:spacing w:line="240" w:lineRule="auto"/>
              <w:ind w:firstLine="0"/>
              <w:jc w:val="center"/>
              <w:rPr>
                <w:sz w:val="21"/>
                <w:szCs w:val="21"/>
              </w:rPr>
            </w:pPr>
            <w:r>
              <w:rPr>
                <w:sz w:val="21"/>
                <w:szCs w:val="21"/>
              </w:rPr>
              <w:t>变更后</w:t>
            </w:r>
          </w:p>
        </w:tc>
      </w:tr>
      <w:tr w14:paraId="66D2B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vMerge w:val="continue"/>
            <w:shd w:val="clear" w:color="auto" w:fill="auto"/>
            <w:vAlign w:val="center"/>
          </w:tcPr>
          <w:p w14:paraId="4E0EC68E">
            <w:pPr>
              <w:pStyle w:val="5"/>
              <w:adjustRightInd w:val="0"/>
              <w:snapToGrid w:val="0"/>
              <w:spacing w:line="240" w:lineRule="auto"/>
              <w:ind w:firstLine="0"/>
              <w:jc w:val="center"/>
              <w:rPr>
                <w:sz w:val="21"/>
                <w:szCs w:val="21"/>
              </w:rPr>
            </w:pPr>
          </w:p>
        </w:tc>
        <w:tc>
          <w:tcPr>
            <w:tcW w:w="1109" w:type="dxa"/>
            <w:vMerge w:val="continue"/>
            <w:shd w:val="clear" w:color="auto" w:fill="auto"/>
            <w:vAlign w:val="center"/>
          </w:tcPr>
          <w:p w14:paraId="27E40457">
            <w:pPr>
              <w:pStyle w:val="5"/>
              <w:adjustRightInd w:val="0"/>
              <w:snapToGrid w:val="0"/>
              <w:spacing w:line="240" w:lineRule="auto"/>
              <w:ind w:firstLine="0"/>
              <w:jc w:val="center"/>
              <w:rPr>
                <w:sz w:val="21"/>
                <w:szCs w:val="21"/>
              </w:rPr>
            </w:pPr>
          </w:p>
        </w:tc>
        <w:tc>
          <w:tcPr>
            <w:tcW w:w="2191" w:type="dxa"/>
            <w:vMerge w:val="continue"/>
            <w:shd w:val="clear" w:color="auto" w:fill="auto"/>
            <w:vAlign w:val="center"/>
          </w:tcPr>
          <w:p w14:paraId="718738DF">
            <w:pPr>
              <w:pStyle w:val="5"/>
              <w:adjustRightInd w:val="0"/>
              <w:snapToGrid w:val="0"/>
              <w:spacing w:line="240" w:lineRule="auto"/>
              <w:ind w:firstLine="0"/>
              <w:jc w:val="center"/>
              <w:rPr>
                <w:sz w:val="21"/>
                <w:szCs w:val="21"/>
              </w:rPr>
            </w:pPr>
          </w:p>
        </w:tc>
        <w:tc>
          <w:tcPr>
            <w:tcW w:w="812" w:type="dxa"/>
            <w:vMerge w:val="continue"/>
            <w:shd w:val="clear" w:color="auto" w:fill="auto"/>
            <w:vAlign w:val="center"/>
          </w:tcPr>
          <w:p w14:paraId="6B9DB6D9">
            <w:pPr>
              <w:pStyle w:val="5"/>
              <w:adjustRightInd w:val="0"/>
              <w:snapToGrid w:val="0"/>
              <w:spacing w:line="240" w:lineRule="auto"/>
              <w:ind w:firstLine="0"/>
              <w:jc w:val="center"/>
              <w:rPr>
                <w:sz w:val="21"/>
                <w:szCs w:val="21"/>
              </w:rPr>
            </w:pPr>
          </w:p>
        </w:tc>
        <w:tc>
          <w:tcPr>
            <w:tcW w:w="1111" w:type="dxa"/>
            <w:shd w:val="clear" w:color="auto" w:fill="auto"/>
            <w:vAlign w:val="center"/>
          </w:tcPr>
          <w:p w14:paraId="1C7C9C25">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14:paraId="737EEDE9">
            <w:pPr>
              <w:pStyle w:val="5"/>
              <w:adjustRightInd w:val="0"/>
              <w:snapToGrid w:val="0"/>
              <w:spacing w:line="240" w:lineRule="auto"/>
              <w:ind w:firstLine="0"/>
              <w:jc w:val="center"/>
              <w:rPr>
                <w:sz w:val="21"/>
                <w:szCs w:val="21"/>
              </w:rPr>
            </w:pPr>
            <w:r>
              <w:rPr>
                <w:sz w:val="21"/>
                <w:szCs w:val="21"/>
              </w:rPr>
              <w:t>余量</w:t>
            </w:r>
          </w:p>
        </w:tc>
        <w:tc>
          <w:tcPr>
            <w:tcW w:w="1111" w:type="dxa"/>
            <w:shd w:val="clear" w:color="auto" w:fill="auto"/>
            <w:vAlign w:val="center"/>
          </w:tcPr>
          <w:p w14:paraId="677A05DE">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14:paraId="4F400A29">
            <w:pPr>
              <w:pStyle w:val="5"/>
              <w:adjustRightInd w:val="0"/>
              <w:snapToGrid w:val="0"/>
              <w:spacing w:line="240" w:lineRule="auto"/>
              <w:ind w:firstLine="0"/>
              <w:jc w:val="center"/>
              <w:rPr>
                <w:sz w:val="21"/>
                <w:szCs w:val="21"/>
              </w:rPr>
            </w:pPr>
            <w:r>
              <w:rPr>
                <w:sz w:val="21"/>
                <w:szCs w:val="21"/>
              </w:rPr>
              <w:t>余量</w:t>
            </w:r>
          </w:p>
        </w:tc>
      </w:tr>
      <w:tr w14:paraId="1ECFF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shd w:val="clear" w:color="auto" w:fill="auto"/>
            <w:vAlign w:val="center"/>
          </w:tcPr>
          <w:p w14:paraId="3C052018">
            <w:pPr>
              <w:pStyle w:val="5"/>
              <w:adjustRightInd w:val="0"/>
              <w:snapToGrid w:val="0"/>
              <w:spacing w:line="240" w:lineRule="auto"/>
              <w:ind w:firstLine="0"/>
              <w:jc w:val="center"/>
              <w:rPr>
                <w:sz w:val="21"/>
                <w:szCs w:val="21"/>
              </w:rPr>
            </w:pPr>
            <w:r>
              <w:rPr>
                <w:sz w:val="21"/>
                <w:szCs w:val="21"/>
              </w:rPr>
              <w:t>4#~12#</w:t>
            </w:r>
          </w:p>
        </w:tc>
        <w:tc>
          <w:tcPr>
            <w:tcW w:w="1109" w:type="dxa"/>
            <w:shd w:val="clear" w:color="auto" w:fill="auto"/>
            <w:vAlign w:val="center"/>
          </w:tcPr>
          <w:p w14:paraId="2BAD193A">
            <w:pPr>
              <w:pStyle w:val="5"/>
              <w:adjustRightInd w:val="0"/>
              <w:snapToGrid w:val="0"/>
              <w:spacing w:line="240" w:lineRule="auto"/>
              <w:ind w:firstLine="0"/>
              <w:jc w:val="center"/>
              <w:rPr>
                <w:sz w:val="21"/>
                <w:szCs w:val="21"/>
              </w:rPr>
            </w:pPr>
            <w:r>
              <w:rPr>
                <w:sz w:val="21"/>
                <w:szCs w:val="21"/>
              </w:rPr>
              <w:t>S8、S9车间</w:t>
            </w:r>
          </w:p>
        </w:tc>
        <w:tc>
          <w:tcPr>
            <w:tcW w:w="2191" w:type="dxa"/>
            <w:shd w:val="clear" w:color="auto" w:fill="auto"/>
            <w:vAlign w:val="center"/>
          </w:tcPr>
          <w:p w14:paraId="2AAD9E1D">
            <w:pPr>
              <w:pStyle w:val="5"/>
              <w:adjustRightInd w:val="0"/>
              <w:snapToGrid w:val="0"/>
              <w:spacing w:line="240" w:lineRule="auto"/>
              <w:ind w:firstLine="0"/>
              <w:jc w:val="center"/>
              <w:rPr>
                <w:sz w:val="21"/>
                <w:szCs w:val="21"/>
              </w:rPr>
            </w:pPr>
            <w:r>
              <w:rPr>
                <w:sz w:val="21"/>
                <w:szCs w:val="21"/>
              </w:rPr>
              <w:t>三元前驱体C1~C6车间废水</w:t>
            </w:r>
            <w:r>
              <w:rPr>
                <w:rFonts w:hint="eastAsia"/>
                <w:sz w:val="21"/>
                <w:szCs w:val="21"/>
              </w:rPr>
              <w:t>、</w:t>
            </w:r>
            <w:r>
              <w:rPr>
                <w:sz w:val="21"/>
                <w:szCs w:val="21"/>
              </w:rPr>
              <w:t>MSP生产线X5萃取车间废水、羟基钴生产线X</w:t>
            </w:r>
            <w:r>
              <w:rPr>
                <w:rFonts w:hint="eastAsia"/>
                <w:sz w:val="21"/>
                <w:szCs w:val="21"/>
              </w:rPr>
              <w:t>19车间</w:t>
            </w:r>
            <w:r>
              <w:rPr>
                <w:sz w:val="21"/>
                <w:szCs w:val="21"/>
              </w:rPr>
              <w:t>生产废水</w:t>
            </w:r>
          </w:p>
        </w:tc>
        <w:tc>
          <w:tcPr>
            <w:tcW w:w="812" w:type="dxa"/>
            <w:shd w:val="clear" w:color="auto" w:fill="auto"/>
            <w:vAlign w:val="center"/>
          </w:tcPr>
          <w:p w14:paraId="6197826B">
            <w:pPr>
              <w:pStyle w:val="5"/>
              <w:adjustRightInd w:val="0"/>
              <w:snapToGrid w:val="0"/>
              <w:spacing w:line="240" w:lineRule="auto"/>
              <w:ind w:firstLine="0"/>
              <w:jc w:val="center"/>
              <w:rPr>
                <w:sz w:val="21"/>
                <w:szCs w:val="21"/>
              </w:rPr>
            </w:pPr>
            <w:r>
              <w:rPr>
                <w:sz w:val="21"/>
                <w:szCs w:val="21"/>
              </w:rPr>
              <w:t>12960</w:t>
            </w:r>
          </w:p>
        </w:tc>
        <w:tc>
          <w:tcPr>
            <w:tcW w:w="1111" w:type="dxa"/>
            <w:shd w:val="clear" w:color="auto" w:fill="auto"/>
            <w:vAlign w:val="center"/>
          </w:tcPr>
          <w:p w14:paraId="0C733271">
            <w:pPr>
              <w:pStyle w:val="5"/>
              <w:adjustRightInd w:val="0"/>
              <w:snapToGrid w:val="0"/>
              <w:spacing w:line="240" w:lineRule="auto"/>
              <w:ind w:firstLine="0"/>
              <w:jc w:val="center"/>
              <w:rPr>
                <w:sz w:val="21"/>
                <w:szCs w:val="21"/>
              </w:rPr>
            </w:pPr>
            <w:r>
              <w:rPr>
                <w:sz w:val="21"/>
                <w:szCs w:val="21"/>
              </w:rPr>
              <w:t>10898.52</w:t>
            </w:r>
          </w:p>
        </w:tc>
        <w:tc>
          <w:tcPr>
            <w:tcW w:w="992" w:type="dxa"/>
            <w:shd w:val="clear" w:color="auto" w:fill="auto"/>
            <w:vAlign w:val="center"/>
          </w:tcPr>
          <w:p w14:paraId="3A62DE49">
            <w:pPr>
              <w:pStyle w:val="5"/>
              <w:adjustRightInd w:val="0"/>
              <w:snapToGrid w:val="0"/>
              <w:spacing w:line="240" w:lineRule="auto"/>
              <w:ind w:firstLine="0"/>
              <w:jc w:val="center"/>
              <w:rPr>
                <w:sz w:val="21"/>
                <w:szCs w:val="21"/>
              </w:rPr>
            </w:pPr>
            <w:r>
              <w:rPr>
                <w:sz w:val="21"/>
                <w:szCs w:val="21"/>
              </w:rPr>
              <w:t>2061.48</w:t>
            </w:r>
          </w:p>
        </w:tc>
        <w:tc>
          <w:tcPr>
            <w:tcW w:w="1111" w:type="dxa"/>
            <w:shd w:val="clear" w:color="auto" w:fill="auto"/>
            <w:vAlign w:val="center"/>
          </w:tcPr>
          <w:p w14:paraId="7DF66A10">
            <w:pPr>
              <w:pStyle w:val="5"/>
              <w:adjustRightInd w:val="0"/>
              <w:snapToGrid w:val="0"/>
              <w:spacing w:line="240" w:lineRule="auto"/>
              <w:ind w:firstLine="0"/>
              <w:jc w:val="center"/>
              <w:rPr>
                <w:sz w:val="21"/>
                <w:szCs w:val="21"/>
              </w:rPr>
            </w:pPr>
            <w:r>
              <w:rPr>
                <w:rFonts w:hint="eastAsia"/>
                <w:sz w:val="21"/>
                <w:szCs w:val="21"/>
              </w:rPr>
              <w:t>11069.64</w:t>
            </w:r>
          </w:p>
        </w:tc>
        <w:tc>
          <w:tcPr>
            <w:tcW w:w="992" w:type="dxa"/>
            <w:shd w:val="clear" w:color="auto" w:fill="auto"/>
            <w:vAlign w:val="center"/>
          </w:tcPr>
          <w:p w14:paraId="714FD5F4">
            <w:pPr>
              <w:pStyle w:val="5"/>
              <w:adjustRightInd w:val="0"/>
              <w:snapToGrid w:val="0"/>
              <w:spacing w:line="240" w:lineRule="auto"/>
              <w:ind w:firstLine="0"/>
              <w:jc w:val="center"/>
              <w:rPr>
                <w:sz w:val="21"/>
                <w:szCs w:val="21"/>
              </w:rPr>
            </w:pPr>
            <w:r>
              <w:rPr>
                <w:rFonts w:hint="eastAsia"/>
                <w:sz w:val="21"/>
                <w:szCs w:val="21"/>
              </w:rPr>
              <w:t>1890.36</w:t>
            </w:r>
          </w:p>
        </w:tc>
      </w:tr>
    </w:tbl>
    <w:p w14:paraId="2A94BC2F">
      <w:pPr>
        <w:pStyle w:val="5"/>
        <w:spacing w:line="500" w:lineRule="exact"/>
        <w:ind w:firstLine="490" w:firstLineChars="200"/>
        <w:rPr>
          <w:szCs w:val="24"/>
        </w:rPr>
      </w:pPr>
      <w:r>
        <w:rPr>
          <w:szCs w:val="24"/>
        </w:rPr>
        <w:t>项目变更</w:t>
      </w:r>
      <w:r>
        <w:rPr>
          <w:rFonts w:hint="eastAsia"/>
          <w:szCs w:val="24"/>
        </w:rPr>
        <w:t>前</w:t>
      </w:r>
      <w:r>
        <w:rPr>
          <w:szCs w:val="24"/>
        </w:rPr>
        <w:t>S8、S9车间4#~12#MVR处理废水量为10898.52t/d，余量为2061.48t/d；项目变更后新增进入S8、S9车间4#~12#MVR处理废水量为</w:t>
      </w:r>
      <w:r>
        <w:rPr>
          <w:rFonts w:hint="eastAsia"/>
          <w:szCs w:val="24"/>
        </w:rPr>
        <w:t>171.12t/d，变更后合计11069.64</w:t>
      </w:r>
      <w:r>
        <w:rPr>
          <w:szCs w:val="24"/>
        </w:rPr>
        <w:t>t/d，尚有余量</w:t>
      </w:r>
      <w:r>
        <w:rPr>
          <w:rFonts w:hint="eastAsia"/>
          <w:szCs w:val="24"/>
        </w:rPr>
        <w:t>1890.36</w:t>
      </w:r>
      <w:r>
        <w:rPr>
          <w:szCs w:val="24"/>
        </w:rPr>
        <w:t>t/d。S8、S9车间的MVR污水处理规模可满足本项目变更后全厂污水处理。</w:t>
      </w:r>
    </w:p>
    <w:p w14:paraId="27041677">
      <w:pPr>
        <w:pStyle w:val="5"/>
        <w:spacing w:line="500" w:lineRule="exact"/>
        <w:ind w:firstLine="490" w:firstLineChars="200"/>
        <w:rPr>
          <w:szCs w:val="24"/>
          <w:u w:val="single"/>
        </w:rPr>
      </w:pPr>
      <w:r>
        <w:rPr>
          <w:rFonts w:hint="eastAsia"/>
          <w:szCs w:val="24"/>
          <w:u w:val="single"/>
        </w:rPr>
        <w:t>（3）综合污水处理站</w:t>
      </w:r>
    </w:p>
    <w:p w14:paraId="62DEA054">
      <w:pPr>
        <w:pStyle w:val="5"/>
        <w:spacing w:line="500" w:lineRule="exact"/>
        <w:ind w:firstLine="490" w:firstLineChars="200"/>
        <w:rPr>
          <w:szCs w:val="24"/>
          <w:u w:val="single"/>
        </w:rPr>
      </w:pPr>
      <w:r>
        <w:rPr>
          <w:rFonts w:hint="eastAsia"/>
          <w:szCs w:val="24"/>
          <w:u w:val="single"/>
        </w:rPr>
        <w:t>综合污水处理站位于地块三南面，内设1条臭氧催化氧化处理废水线，中伟全厂废水经综合污水处理站处理后，全厂废水总排口满足《无机化学工业污染物排放标准》（GB31573-2015）直接排放限值要求后，通过管道排入大榄坪污水处理厂排海管，经第八大街及四号路转入第十一大街，最终向西进入金鼓江，排放至A2排放区。综合污水处理站设计最大废水处理量为10000m</w:t>
      </w:r>
      <w:r>
        <w:rPr>
          <w:rFonts w:hint="eastAsia"/>
          <w:szCs w:val="24"/>
          <w:u w:val="single"/>
          <w:vertAlign w:val="superscript"/>
        </w:rPr>
        <w:t>3</w:t>
      </w:r>
      <w:r>
        <w:rPr>
          <w:rFonts w:hint="eastAsia"/>
          <w:szCs w:val="24"/>
          <w:u w:val="single"/>
        </w:rPr>
        <w:t>/d，目前已正常投入运行，现阶段污水处理量为1500~1800m</w:t>
      </w:r>
      <w:r>
        <w:rPr>
          <w:rFonts w:hint="eastAsia"/>
          <w:szCs w:val="24"/>
          <w:u w:val="single"/>
          <w:vertAlign w:val="superscript"/>
        </w:rPr>
        <w:t>3</w:t>
      </w:r>
      <w:r>
        <w:rPr>
          <w:rFonts w:hint="eastAsia"/>
          <w:szCs w:val="24"/>
          <w:u w:val="single"/>
        </w:rPr>
        <w:t>/d。本项目产生的生产废水</w:t>
      </w:r>
      <w:r>
        <w:rPr>
          <w:szCs w:val="24"/>
          <w:u w:val="single"/>
        </w:rPr>
        <w:t>经S</w:t>
      </w:r>
      <w:r>
        <w:rPr>
          <w:rFonts w:hint="eastAsia"/>
          <w:szCs w:val="24"/>
          <w:u w:val="single"/>
        </w:rPr>
        <w:t xml:space="preserve">8、S9污水处理车间处理后的冷凝水回用纯水站，开路母液依托厂区综合污水处理站臭氧催化氧化处理后外排，新增量为14.21t/d，项目设计的综合污水处理站污水处理规模可满足全厂污水处理。 </w:t>
      </w:r>
    </w:p>
    <w:p w14:paraId="11B9B333">
      <w:pPr>
        <w:pStyle w:val="5"/>
        <w:spacing w:line="500" w:lineRule="exact"/>
      </w:pPr>
      <w:r>
        <w:t>5</w:t>
      </w:r>
      <w:r>
        <w:rPr>
          <w:rFonts w:hint="eastAsia"/>
        </w:rPr>
        <w:t>、危废暂存间</w:t>
      </w:r>
    </w:p>
    <w:p w14:paraId="1C1C6899">
      <w:pPr>
        <w:pStyle w:val="5"/>
        <w:spacing w:line="500" w:lineRule="exact"/>
      </w:pPr>
      <w:r>
        <w:rPr>
          <w:rFonts w:hint="eastAsia"/>
        </w:rPr>
        <w:t>危废暂存间位于厂区地块二西面，</w:t>
      </w:r>
      <w:r>
        <w:t>面积约为800m</w:t>
      </w:r>
      <w:r>
        <w:rPr>
          <w:vertAlign w:val="superscript"/>
        </w:rPr>
        <w:t>2</w:t>
      </w:r>
      <w:r>
        <w:t>，按照危废类别分隔为六个区域，设计危废最大储存量约为1000t。危废暂存间已按照《危险废物贮存污染控制标准》(GB18597-2023)要求对暂存间内的危废暂存间进行防风、防雨、防晒、防渗漏处理。现有工程（含未建）产生的危废已占危废暂存容量241.89t，剩余容量758.11t。本项目新增的危险废物依托现有危废暂存间存放。</w:t>
      </w:r>
    </w:p>
    <w:p w14:paraId="08E56A7C">
      <w:pPr>
        <w:pStyle w:val="6"/>
        <w:numPr>
          <w:ilvl w:val="2"/>
          <w:numId w:val="11"/>
        </w:numPr>
        <w:tabs>
          <w:tab w:val="left" w:pos="1080"/>
        </w:tabs>
        <w:spacing w:line="400" w:lineRule="exact"/>
        <w:rPr>
          <w:rFonts w:ascii="Arial" w:hAnsi="Arial" w:eastAsia="宋体" w:cs="Arial"/>
          <w:u w:val="single"/>
        </w:rPr>
      </w:pPr>
      <w:r>
        <w:rPr>
          <w:rFonts w:ascii="Arial" w:hAnsi="Arial" w:eastAsia="宋体" w:cs="Arial"/>
          <w:u w:val="single"/>
        </w:rPr>
        <w:t>产品方案</w:t>
      </w:r>
    </w:p>
    <w:p w14:paraId="6432D3A9">
      <w:pPr>
        <w:pStyle w:val="5"/>
        <w:ind w:firstLine="0"/>
        <w:outlineLvl w:val="3"/>
        <w:rPr>
          <w:b/>
          <w:u w:val="single"/>
        </w:rPr>
      </w:pPr>
      <w:r>
        <w:rPr>
          <w:b/>
          <w:u w:val="single"/>
        </w:rPr>
        <w:t>2.2.</w:t>
      </w:r>
      <w:r>
        <w:rPr>
          <w:rFonts w:hint="eastAsia"/>
          <w:b/>
          <w:u w:val="single"/>
        </w:rPr>
        <w:t>3</w:t>
      </w:r>
      <w:r>
        <w:rPr>
          <w:b/>
          <w:u w:val="single"/>
        </w:rPr>
        <w:t>.1产品方案</w:t>
      </w:r>
    </w:p>
    <w:p w14:paraId="0CEEF894">
      <w:pPr>
        <w:pStyle w:val="5"/>
        <w:adjustRightInd w:val="0"/>
        <w:snapToGrid w:val="0"/>
        <w:spacing w:line="500" w:lineRule="exact"/>
        <w:rPr>
          <w:u w:val="single"/>
        </w:rPr>
      </w:pPr>
      <w:r>
        <w:rPr>
          <w:rFonts w:hint="eastAsia"/>
          <w:u w:val="single"/>
        </w:rPr>
        <w:t>项目</w:t>
      </w:r>
      <w:r>
        <w:rPr>
          <w:u w:val="single"/>
        </w:rPr>
        <w:t>变更前产品为硫酸镍溶液</w:t>
      </w:r>
      <w:r>
        <w:rPr>
          <w:rFonts w:hint="eastAsia"/>
          <w:u w:val="single"/>
        </w:rPr>
        <w:t>；</w:t>
      </w:r>
      <w:r>
        <w:rPr>
          <w:u w:val="single"/>
        </w:rPr>
        <w:t>项目变更后产品为羟基钴</w:t>
      </w:r>
      <w:r>
        <w:rPr>
          <w:rFonts w:hint="eastAsia"/>
          <w:u w:val="single"/>
        </w:rPr>
        <w:t>。</w:t>
      </w:r>
      <w:r>
        <w:rPr>
          <w:u w:val="single"/>
        </w:rPr>
        <w:t>项目变更前后产品方案见表2-</w:t>
      </w:r>
      <w:r>
        <w:rPr>
          <w:rFonts w:hint="eastAsia"/>
          <w:u w:val="single"/>
        </w:rPr>
        <w:t>16</w:t>
      </w:r>
      <w:r>
        <w:rPr>
          <w:u w:val="single"/>
        </w:rPr>
        <w:t>。</w:t>
      </w:r>
    </w:p>
    <w:p w14:paraId="46C2F4BF">
      <w:pPr>
        <w:pStyle w:val="5"/>
        <w:keepNext/>
        <w:numPr>
          <w:ilvl w:val="0"/>
          <w:numId w:val="12"/>
        </w:numPr>
        <w:adjustRightInd w:val="0"/>
        <w:snapToGrid w:val="0"/>
        <w:spacing w:line="500" w:lineRule="exact"/>
        <w:ind w:left="0" w:firstLine="0"/>
        <w:jc w:val="center"/>
        <w:outlineLvl w:val="4"/>
        <w:rPr>
          <w:b/>
          <w:u w:val="single"/>
        </w:rPr>
      </w:pPr>
      <w:r>
        <w:rPr>
          <w:b/>
          <w:u w:val="single"/>
        </w:rPr>
        <w:t>项目变更前后产品方案表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2"/>
        <w:gridCol w:w="1663"/>
        <w:gridCol w:w="2196"/>
        <w:gridCol w:w="1611"/>
        <w:gridCol w:w="1856"/>
      </w:tblGrid>
      <w:tr w14:paraId="60D74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vMerge w:val="restart"/>
            <w:shd w:val="clear" w:color="auto" w:fill="auto"/>
            <w:vAlign w:val="center"/>
          </w:tcPr>
          <w:p w14:paraId="403418F5">
            <w:pPr>
              <w:adjustRightInd w:val="0"/>
              <w:snapToGrid w:val="0"/>
              <w:jc w:val="center"/>
              <w:rPr>
                <w:rFonts w:ascii="Arial" w:hAnsi="Arial" w:eastAsia="宋体" w:cs="Arial"/>
                <w:spacing w:val="10"/>
                <w:sz w:val="21"/>
                <w:szCs w:val="21"/>
                <w:u w:val="single"/>
              </w:rPr>
            </w:pPr>
          </w:p>
        </w:tc>
        <w:tc>
          <w:tcPr>
            <w:tcW w:w="2077" w:type="pct"/>
            <w:gridSpan w:val="2"/>
            <w:shd w:val="clear" w:color="auto" w:fill="auto"/>
            <w:vAlign w:val="center"/>
          </w:tcPr>
          <w:p w14:paraId="29AE331E">
            <w:pPr>
              <w:adjustRightInd w:val="0"/>
              <w:snapToGrid w:val="0"/>
              <w:jc w:val="center"/>
              <w:rPr>
                <w:rFonts w:ascii="Arial" w:hAnsi="Arial" w:eastAsia="宋体" w:cs="Arial"/>
                <w:spacing w:val="10"/>
                <w:sz w:val="21"/>
                <w:szCs w:val="21"/>
                <w:u w:val="single"/>
              </w:rPr>
            </w:pPr>
          </w:p>
        </w:tc>
        <w:tc>
          <w:tcPr>
            <w:tcW w:w="1866" w:type="pct"/>
            <w:gridSpan w:val="2"/>
            <w:shd w:val="clear" w:color="auto" w:fill="auto"/>
            <w:vAlign w:val="center"/>
          </w:tcPr>
          <w:p w14:paraId="1AEBBDA6">
            <w:pPr>
              <w:adjustRightInd w:val="0"/>
              <w:snapToGrid w:val="0"/>
              <w:jc w:val="center"/>
              <w:rPr>
                <w:rFonts w:ascii="Arial" w:hAnsi="Arial" w:eastAsia="宋体" w:cs="Arial"/>
                <w:spacing w:val="10"/>
                <w:sz w:val="21"/>
                <w:szCs w:val="21"/>
                <w:u w:val="single"/>
              </w:rPr>
            </w:pPr>
          </w:p>
        </w:tc>
      </w:tr>
      <w:tr w14:paraId="13F88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vMerge w:val="continue"/>
            <w:shd w:val="clear" w:color="auto" w:fill="auto"/>
            <w:vAlign w:val="center"/>
          </w:tcPr>
          <w:p w14:paraId="3D128D04">
            <w:pPr>
              <w:adjustRightInd w:val="0"/>
              <w:snapToGrid w:val="0"/>
              <w:jc w:val="center"/>
              <w:rPr>
                <w:rFonts w:ascii="Arial" w:hAnsi="Arial" w:eastAsia="宋体" w:cs="Arial"/>
                <w:spacing w:val="10"/>
                <w:sz w:val="21"/>
                <w:szCs w:val="21"/>
                <w:u w:val="single"/>
              </w:rPr>
            </w:pPr>
          </w:p>
        </w:tc>
        <w:tc>
          <w:tcPr>
            <w:tcW w:w="895" w:type="pct"/>
            <w:shd w:val="clear" w:color="auto" w:fill="auto"/>
            <w:vAlign w:val="center"/>
          </w:tcPr>
          <w:p w14:paraId="0BB8B609">
            <w:pPr>
              <w:adjustRightInd w:val="0"/>
              <w:snapToGrid w:val="0"/>
              <w:jc w:val="center"/>
              <w:rPr>
                <w:rFonts w:ascii="Arial" w:hAnsi="Arial" w:eastAsia="宋体" w:cs="Arial"/>
                <w:spacing w:val="10"/>
                <w:sz w:val="21"/>
                <w:szCs w:val="21"/>
                <w:u w:val="single"/>
              </w:rPr>
            </w:pPr>
          </w:p>
        </w:tc>
        <w:tc>
          <w:tcPr>
            <w:tcW w:w="1182" w:type="pct"/>
            <w:shd w:val="clear" w:color="auto" w:fill="auto"/>
            <w:vAlign w:val="center"/>
          </w:tcPr>
          <w:p w14:paraId="482C3A1B">
            <w:pPr>
              <w:adjustRightInd w:val="0"/>
              <w:snapToGrid w:val="0"/>
              <w:jc w:val="center"/>
              <w:rPr>
                <w:rFonts w:ascii="Arial" w:hAnsi="Arial" w:eastAsia="宋体" w:cs="Arial"/>
                <w:spacing w:val="10"/>
                <w:sz w:val="21"/>
                <w:szCs w:val="21"/>
                <w:u w:val="single"/>
              </w:rPr>
            </w:pPr>
          </w:p>
        </w:tc>
        <w:tc>
          <w:tcPr>
            <w:tcW w:w="867" w:type="pct"/>
            <w:shd w:val="clear" w:color="auto" w:fill="auto"/>
            <w:vAlign w:val="center"/>
          </w:tcPr>
          <w:p w14:paraId="63BDF88B">
            <w:pPr>
              <w:adjustRightInd w:val="0"/>
              <w:snapToGrid w:val="0"/>
              <w:jc w:val="center"/>
              <w:rPr>
                <w:rFonts w:ascii="Arial" w:hAnsi="Arial" w:eastAsia="宋体" w:cs="Arial"/>
                <w:spacing w:val="10"/>
                <w:sz w:val="21"/>
                <w:szCs w:val="21"/>
                <w:u w:val="single"/>
              </w:rPr>
            </w:pPr>
          </w:p>
        </w:tc>
        <w:tc>
          <w:tcPr>
            <w:tcW w:w="999" w:type="pct"/>
            <w:vAlign w:val="center"/>
          </w:tcPr>
          <w:p w14:paraId="09F4EB6E">
            <w:pPr>
              <w:adjustRightInd w:val="0"/>
              <w:snapToGrid w:val="0"/>
              <w:jc w:val="center"/>
              <w:rPr>
                <w:rFonts w:ascii="Arial" w:hAnsi="Arial" w:eastAsia="宋体" w:cs="Arial"/>
                <w:spacing w:val="10"/>
                <w:sz w:val="21"/>
                <w:szCs w:val="21"/>
                <w:u w:val="single"/>
              </w:rPr>
            </w:pPr>
          </w:p>
        </w:tc>
      </w:tr>
      <w:tr w14:paraId="48885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shd w:val="clear" w:color="auto" w:fill="auto"/>
            <w:vAlign w:val="center"/>
          </w:tcPr>
          <w:p w14:paraId="3FC28447">
            <w:pPr>
              <w:adjustRightInd w:val="0"/>
              <w:snapToGrid w:val="0"/>
              <w:jc w:val="center"/>
              <w:rPr>
                <w:rFonts w:ascii="Arial" w:hAnsi="Arial" w:eastAsia="宋体" w:cs="Arial"/>
                <w:spacing w:val="10"/>
                <w:sz w:val="21"/>
                <w:szCs w:val="21"/>
                <w:u w:val="single"/>
              </w:rPr>
            </w:pPr>
          </w:p>
        </w:tc>
        <w:tc>
          <w:tcPr>
            <w:tcW w:w="895" w:type="pct"/>
            <w:shd w:val="clear" w:color="auto" w:fill="auto"/>
            <w:vAlign w:val="center"/>
          </w:tcPr>
          <w:p w14:paraId="24595FA7">
            <w:pPr>
              <w:adjustRightInd w:val="0"/>
              <w:snapToGrid w:val="0"/>
              <w:jc w:val="center"/>
              <w:rPr>
                <w:rFonts w:ascii="Arial" w:hAnsi="Arial" w:eastAsia="宋体" w:cs="Arial"/>
                <w:spacing w:val="10"/>
                <w:sz w:val="21"/>
                <w:szCs w:val="21"/>
                <w:u w:val="single"/>
              </w:rPr>
            </w:pPr>
          </w:p>
        </w:tc>
        <w:tc>
          <w:tcPr>
            <w:tcW w:w="1182" w:type="pct"/>
            <w:shd w:val="clear" w:color="auto" w:fill="auto"/>
            <w:vAlign w:val="center"/>
          </w:tcPr>
          <w:p w14:paraId="13B74491">
            <w:pPr>
              <w:adjustRightInd w:val="0"/>
              <w:snapToGrid w:val="0"/>
              <w:jc w:val="center"/>
              <w:rPr>
                <w:rFonts w:ascii="Arial" w:hAnsi="Arial" w:eastAsia="宋体" w:cs="Arial"/>
                <w:spacing w:val="10"/>
                <w:sz w:val="21"/>
                <w:szCs w:val="21"/>
                <w:u w:val="single"/>
              </w:rPr>
            </w:pPr>
          </w:p>
        </w:tc>
        <w:tc>
          <w:tcPr>
            <w:tcW w:w="867" w:type="pct"/>
            <w:shd w:val="clear" w:color="auto" w:fill="auto"/>
            <w:vAlign w:val="center"/>
          </w:tcPr>
          <w:p w14:paraId="78CE194F">
            <w:pPr>
              <w:adjustRightInd w:val="0"/>
              <w:snapToGrid w:val="0"/>
              <w:jc w:val="center"/>
              <w:rPr>
                <w:rFonts w:ascii="Arial" w:hAnsi="Arial" w:eastAsia="宋体" w:cs="Arial"/>
                <w:spacing w:val="10"/>
                <w:sz w:val="21"/>
                <w:szCs w:val="21"/>
                <w:u w:val="single"/>
              </w:rPr>
            </w:pPr>
          </w:p>
        </w:tc>
        <w:tc>
          <w:tcPr>
            <w:tcW w:w="999" w:type="pct"/>
            <w:vAlign w:val="center"/>
          </w:tcPr>
          <w:p w14:paraId="15ADD31A">
            <w:pPr>
              <w:adjustRightInd w:val="0"/>
              <w:snapToGrid w:val="0"/>
              <w:jc w:val="center"/>
              <w:rPr>
                <w:rFonts w:ascii="Arial" w:hAnsi="Arial" w:eastAsia="宋体" w:cs="Arial"/>
                <w:spacing w:val="10"/>
                <w:sz w:val="21"/>
                <w:szCs w:val="21"/>
                <w:u w:val="single"/>
              </w:rPr>
            </w:pPr>
          </w:p>
        </w:tc>
      </w:tr>
      <w:tr w14:paraId="323C3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shd w:val="clear" w:color="auto" w:fill="auto"/>
            <w:vAlign w:val="center"/>
          </w:tcPr>
          <w:p w14:paraId="31DA6670">
            <w:pPr>
              <w:adjustRightInd w:val="0"/>
              <w:snapToGrid w:val="0"/>
              <w:jc w:val="center"/>
              <w:rPr>
                <w:rFonts w:ascii="Arial" w:hAnsi="Arial" w:eastAsia="宋体" w:cs="Arial"/>
                <w:spacing w:val="10"/>
                <w:sz w:val="21"/>
                <w:szCs w:val="21"/>
                <w:u w:val="single"/>
              </w:rPr>
            </w:pPr>
          </w:p>
        </w:tc>
        <w:tc>
          <w:tcPr>
            <w:tcW w:w="895" w:type="pct"/>
            <w:shd w:val="clear" w:color="auto" w:fill="auto"/>
            <w:vAlign w:val="center"/>
          </w:tcPr>
          <w:p w14:paraId="22989C00">
            <w:pPr>
              <w:adjustRightInd w:val="0"/>
              <w:snapToGrid w:val="0"/>
              <w:jc w:val="center"/>
              <w:rPr>
                <w:rFonts w:ascii="Arial" w:hAnsi="Arial" w:eastAsia="宋体" w:cs="Arial"/>
                <w:spacing w:val="10"/>
                <w:sz w:val="21"/>
                <w:szCs w:val="21"/>
                <w:u w:val="single"/>
              </w:rPr>
            </w:pPr>
          </w:p>
        </w:tc>
        <w:tc>
          <w:tcPr>
            <w:tcW w:w="1182" w:type="pct"/>
            <w:shd w:val="clear" w:color="auto" w:fill="auto"/>
            <w:vAlign w:val="center"/>
          </w:tcPr>
          <w:p w14:paraId="53A56026">
            <w:pPr>
              <w:adjustRightInd w:val="0"/>
              <w:snapToGrid w:val="0"/>
              <w:jc w:val="center"/>
              <w:rPr>
                <w:rFonts w:ascii="Arial" w:hAnsi="Arial" w:eastAsia="宋体" w:cs="Arial"/>
                <w:spacing w:val="10"/>
                <w:sz w:val="21"/>
                <w:szCs w:val="21"/>
                <w:u w:val="single"/>
              </w:rPr>
            </w:pPr>
          </w:p>
        </w:tc>
        <w:tc>
          <w:tcPr>
            <w:tcW w:w="867" w:type="pct"/>
            <w:shd w:val="clear" w:color="auto" w:fill="auto"/>
            <w:vAlign w:val="center"/>
          </w:tcPr>
          <w:p w14:paraId="0A667BD5">
            <w:pPr>
              <w:adjustRightInd w:val="0"/>
              <w:snapToGrid w:val="0"/>
              <w:jc w:val="center"/>
              <w:rPr>
                <w:rFonts w:ascii="Arial" w:hAnsi="Arial" w:eastAsia="宋体" w:cs="Arial"/>
                <w:spacing w:val="10"/>
                <w:sz w:val="21"/>
                <w:szCs w:val="21"/>
                <w:u w:val="single"/>
              </w:rPr>
            </w:pPr>
          </w:p>
        </w:tc>
        <w:tc>
          <w:tcPr>
            <w:tcW w:w="999" w:type="pct"/>
            <w:vAlign w:val="center"/>
          </w:tcPr>
          <w:p w14:paraId="18A94EAE">
            <w:pPr>
              <w:adjustRightInd w:val="0"/>
              <w:snapToGrid w:val="0"/>
              <w:jc w:val="center"/>
              <w:rPr>
                <w:rFonts w:ascii="Arial" w:hAnsi="Arial" w:eastAsia="宋体" w:cs="Arial"/>
                <w:spacing w:val="10"/>
                <w:sz w:val="21"/>
                <w:szCs w:val="21"/>
                <w:u w:val="single"/>
              </w:rPr>
            </w:pPr>
          </w:p>
        </w:tc>
      </w:tr>
    </w:tbl>
    <w:p w14:paraId="4BA8E99F">
      <w:pPr>
        <w:pStyle w:val="5"/>
        <w:ind w:firstLine="0"/>
        <w:outlineLvl w:val="3"/>
        <w:rPr>
          <w:b/>
        </w:rPr>
      </w:pPr>
      <w:r>
        <w:rPr>
          <w:b/>
        </w:rPr>
        <w:t>2.2.</w:t>
      </w:r>
      <w:r>
        <w:rPr>
          <w:rFonts w:hint="eastAsia"/>
          <w:b/>
        </w:rPr>
        <w:t>3</w:t>
      </w:r>
      <w:r>
        <w:rPr>
          <w:b/>
        </w:rPr>
        <w:t>.2产品标准</w:t>
      </w:r>
    </w:p>
    <w:p w14:paraId="2A174B1C">
      <w:pPr>
        <w:pStyle w:val="5"/>
        <w:spacing w:line="500" w:lineRule="exact"/>
      </w:pPr>
      <w:r>
        <w:rPr>
          <w:rFonts w:hint="eastAsia"/>
        </w:rPr>
        <w:t>羟基钴又称羟基氧化钴，为钴的羟基氧化物，分子式为CoOOH，包含钴离子和羟基（-OH）基团，主要用于电池正极前驱体的材料，属制备前驱体所需的原料制造。</w:t>
      </w:r>
      <w:r>
        <w:t>项目产品标准见表2-</w:t>
      </w:r>
      <w:r>
        <w:rPr>
          <w:rFonts w:hint="eastAsia"/>
        </w:rPr>
        <w:t>17</w:t>
      </w:r>
      <w:r>
        <w:t>。</w:t>
      </w:r>
    </w:p>
    <w:p w14:paraId="5AA93C8C">
      <w:pPr>
        <w:pStyle w:val="5"/>
        <w:keepNext/>
        <w:numPr>
          <w:ilvl w:val="0"/>
          <w:numId w:val="12"/>
        </w:numPr>
        <w:spacing w:line="480" w:lineRule="exact"/>
        <w:ind w:left="0" w:firstLine="0"/>
        <w:jc w:val="center"/>
        <w:outlineLvl w:val="4"/>
        <w:rPr>
          <w:b/>
        </w:rPr>
      </w:pPr>
      <w:r>
        <w:rPr>
          <w:rFonts w:hint="eastAsia"/>
          <w:b/>
        </w:rPr>
        <w:t>羟基</w:t>
      </w:r>
      <w:r>
        <w:rPr>
          <w:b/>
        </w:rPr>
        <w:t>钴控制标准</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53"/>
        <w:gridCol w:w="1499"/>
        <w:gridCol w:w="1499"/>
        <w:gridCol w:w="1999"/>
        <w:gridCol w:w="1627"/>
        <w:gridCol w:w="1211"/>
      </w:tblGrid>
      <w:tr w14:paraId="6DAAC3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82" w:type="pct"/>
            <w:vAlign w:val="center"/>
          </w:tcPr>
          <w:p w14:paraId="2984BCB9">
            <w:pPr>
              <w:adjustRightInd w:val="0"/>
              <w:snapToGrid w:val="0"/>
              <w:jc w:val="center"/>
              <w:rPr>
                <w:rFonts w:ascii="Arial" w:hAnsi="Arial" w:eastAsia="宋体" w:cs="Arial"/>
                <w:sz w:val="21"/>
                <w:szCs w:val="21"/>
              </w:rPr>
            </w:pPr>
          </w:p>
        </w:tc>
        <w:tc>
          <w:tcPr>
            <w:tcW w:w="807" w:type="pct"/>
            <w:vAlign w:val="center"/>
          </w:tcPr>
          <w:p w14:paraId="6448D454">
            <w:pPr>
              <w:adjustRightInd w:val="0"/>
              <w:snapToGrid w:val="0"/>
              <w:jc w:val="center"/>
              <w:rPr>
                <w:rFonts w:ascii="Arial" w:hAnsi="Arial" w:eastAsia="宋体" w:cs="Arial"/>
                <w:sz w:val="21"/>
                <w:szCs w:val="21"/>
              </w:rPr>
            </w:pPr>
          </w:p>
        </w:tc>
        <w:tc>
          <w:tcPr>
            <w:tcW w:w="807" w:type="pct"/>
            <w:vAlign w:val="center"/>
          </w:tcPr>
          <w:p w14:paraId="59069386">
            <w:pPr>
              <w:adjustRightInd w:val="0"/>
              <w:snapToGrid w:val="0"/>
              <w:jc w:val="center"/>
              <w:rPr>
                <w:rFonts w:ascii="Arial" w:hAnsi="Arial" w:eastAsia="宋体" w:cs="Arial"/>
                <w:sz w:val="21"/>
                <w:szCs w:val="21"/>
              </w:rPr>
            </w:pPr>
          </w:p>
        </w:tc>
        <w:tc>
          <w:tcPr>
            <w:tcW w:w="1076" w:type="pct"/>
            <w:vAlign w:val="center"/>
          </w:tcPr>
          <w:p w14:paraId="6C5662EE">
            <w:pPr>
              <w:adjustRightInd w:val="0"/>
              <w:snapToGrid w:val="0"/>
              <w:jc w:val="center"/>
              <w:rPr>
                <w:rFonts w:ascii="Arial" w:hAnsi="Arial" w:eastAsia="宋体" w:cs="Arial"/>
                <w:sz w:val="21"/>
                <w:szCs w:val="21"/>
              </w:rPr>
            </w:pPr>
          </w:p>
        </w:tc>
        <w:tc>
          <w:tcPr>
            <w:tcW w:w="876" w:type="pct"/>
            <w:vAlign w:val="center"/>
          </w:tcPr>
          <w:p w14:paraId="491E29D7">
            <w:pPr>
              <w:adjustRightInd w:val="0"/>
              <w:snapToGrid w:val="0"/>
              <w:jc w:val="center"/>
              <w:rPr>
                <w:rFonts w:ascii="Arial" w:hAnsi="Arial" w:eastAsia="宋体" w:cs="Arial"/>
                <w:sz w:val="21"/>
                <w:szCs w:val="21"/>
              </w:rPr>
            </w:pPr>
          </w:p>
        </w:tc>
        <w:tc>
          <w:tcPr>
            <w:tcW w:w="652" w:type="pct"/>
            <w:vAlign w:val="center"/>
          </w:tcPr>
          <w:p w14:paraId="2537EDCE">
            <w:pPr>
              <w:adjustRightInd w:val="0"/>
              <w:snapToGrid w:val="0"/>
              <w:jc w:val="center"/>
              <w:rPr>
                <w:rFonts w:ascii="Arial" w:hAnsi="Arial" w:eastAsia="宋体" w:cs="Arial"/>
                <w:sz w:val="21"/>
                <w:szCs w:val="21"/>
              </w:rPr>
            </w:pPr>
          </w:p>
        </w:tc>
      </w:tr>
      <w:tr w14:paraId="62DC02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82" w:type="pct"/>
            <w:vAlign w:val="center"/>
          </w:tcPr>
          <w:p w14:paraId="4B15A438">
            <w:pPr>
              <w:adjustRightInd w:val="0"/>
              <w:snapToGrid w:val="0"/>
              <w:jc w:val="center"/>
              <w:rPr>
                <w:rFonts w:ascii="Arial" w:hAnsi="Arial" w:eastAsia="宋体" w:cs="Arial"/>
                <w:sz w:val="21"/>
                <w:szCs w:val="21"/>
              </w:rPr>
            </w:pPr>
          </w:p>
        </w:tc>
        <w:tc>
          <w:tcPr>
            <w:tcW w:w="807" w:type="pct"/>
            <w:vAlign w:val="center"/>
          </w:tcPr>
          <w:p w14:paraId="1849E5AB">
            <w:pPr>
              <w:adjustRightInd w:val="0"/>
              <w:snapToGrid w:val="0"/>
              <w:jc w:val="center"/>
              <w:rPr>
                <w:rFonts w:ascii="Arial" w:hAnsi="Arial" w:eastAsia="宋体" w:cs="Arial"/>
                <w:sz w:val="21"/>
                <w:szCs w:val="21"/>
              </w:rPr>
            </w:pPr>
          </w:p>
        </w:tc>
        <w:tc>
          <w:tcPr>
            <w:tcW w:w="807" w:type="pct"/>
            <w:vAlign w:val="center"/>
          </w:tcPr>
          <w:p w14:paraId="65FC851F">
            <w:pPr>
              <w:adjustRightInd w:val="0"/>
              <w:snapToGrid w:val="0"/>
              <w:jc w:val="center"/>
              <w:rPr>
                <w:rFonts w:ascii="Arial" w:hAnsi="Arial" w:eastAsia="宋体" w:cs="Arial"/>
                <w:sz w:val="21"/>
                <w:szCs w:val="21"/>
              </w:rPr>
            </w:pPr>
          </w:p>
        </w:tc>
        <w:tc>
          <w:tcPr>
            <w:tcW w:w="1076" w:type="pct"/>
            <w:vAlign w:val="center"/>
          </w:tcPr>
          <w:p w14:paraId="238BD25A">
            <w:pPr>
              <w:adjustRightInd w:val="0"/>
              <w:snapToGrid w:val="0"/>
              <w:jc w:val="center"/>
              <w:rPr>
                <w:rFonts w:ascii="Arial" w:hAnsi="Arial" w:eastAsia="宋体" w:cs="Arial"/>
                <w:sz w:val="21"/>
                <w:szCs w:val="21"/>
              </w:rPr>
            </w:pPr>
          </w:p>
        </w:tc>
        <w:tc>
          <w:tcPr>
            <w:tcW w:w="876" w:type="pct"/>
            <w:vAlign w:val="center"/>
          </w:tcPr>
          <w:p w14:paraId="4611833D">
            <w:pPr>
              <w:adjustRightInd w:val="0"/>
              <w:snapToGrid w:val="0"/>
              <w:jc w:val="center"/>
              <w:rPr>
                <w:rFonts w:ascii="Arial" w:hAnsi="Arial" w:eastAsia="宋体" w:cs="Arial"/>
                <w:sz w:val="21"/>
                <w:szCs w:val="21"/>
              </w:rPr>
            </w:pPr>
          </w:p>
        </w:tc>
        <w:tc>
          <w:tcPr>
            <w:tcW w:w="652" w:type="pct"/>
            <w:vAlign w:val="center"/>
          </w:tcPr>
          <w:p w14:paraId="28E48C02">
            <w:pPr>
              <w:adjustRightInd w:val="0"/>
              <w:snapToGrid w:val="0"/>
              <w:jc w:val="center"/>
              <w:rPr>
                <w:rFonts w:ascii="Arial" w:hAnsi="Arial" w:eastAsia="宋体" w:cs="Arial"/>
                <w:sz w:val="21"/>
                <w:szCs w:val="21"/>
              </w:rPr>
            </w:pPr>
          </w:p>
        </w:tc>
      </w:tr>
    </w:tbl>
    <w:p w14:paraId="2D4CE6FF">
      <w:pPr>
        <w:pStyle w:val="6"/>
        <w:numPr>
          <w:ilvl w:val="2"/>
          <w:numId w:val="11"/>
        </w:numPr>
        <w:tabs>
          <w:tab w:val="left" w:pos="1080"/>
        </w:tabs>
        <w:spacing w:line="400" w:lineRule="exact"/>
        <w:rPr>
          <w:rFonts w:ascii="Arial" w:hAnsi="Arial" w:eastAsia="宋体" w:cs="Arial"/>
        </w:rPr>
      </w:pPr>
      <w:r>
        <w:rPr>
          <w:rFonts w:ascii="Arial" w:hAnsi="Arial" w:eastAsia="宋体" w:cs="Arial"/>
        </w:rPr>
        <w:t>原辅材料</w:t>
      </w:r>
    </w:p>
    <w:p w14:paraId="7A468C44">
      <w:pPr>
        <w:pStyle w:val="5"/>
        <w:rPr>
          <w:u w:val="single"/>
        </w:rPr>
      </w:pPr>
      <w:r>
        <w:rPr>
          <w:rFonts w:hint="eastAsia"/>
          <w:u w:val="single"/>
        </w:rPr>
        <w:t>项目变更前主要原料为镍豆镍粉，辅料为双氧水、液碱、硫酸、纯水等；项目变更后主要原料为硫酸钴晶体，辅料为双氧水、液碱、氨水、硫酸、纯水等。</w:t>
      </w:r>
      <w:r>
        <w:rPr>
          <w:u w:val="single"/>
        </w:rPr>
        <w:t>项目变更前后主要原辅材料见表2-</w:t>
      </w:r>
      <w:r>
        <w:rPr>
          <w:rFonts w:hint="eastAsia"/>
          <w:u w:val="single"/>
        </w:rPr>
        <w:t>18</w:t>
      </w:r>
      <w:r>
        <w:rPr>
          <w:u w:val="single"/>
        </w:rPr>
        <w:t>。</w:t>
      </w:r>
    </w:p>
    <w:p w14:paraId="7F7FFF6A">
      <w:pPr>
        <w:pStyle w:val="5"/>
        <w:keepNext/>
        <w:numPr>
          <w:ilvl w:val="0"/>
          <w:numId w:val="12"/>
        </w:numPr>
        <w:adjustRightInd w:val="0"/>
        <w:snapToGrid w:val="0"/>
        <w:spacing w:line="500" w:lineRule="exact"/>
        <w:ind w:left="0" w:firstLine="0"/>
        <w:jc w:val="center"/>
        <w:outlineLvl w:val="4"/>
        <w:rPr>
          <w:b/>
          <w:u w:val="single"/>
        </w:rPr>
      </w:pPr>
      <w:r>
        <w:rPr>
          <w:b/>
          <w:u w:val="single"/>
        </w:rPr>
        <w:t>项目变更后原辅材料表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1596"/>
        <w:gridCol w:w="2333"/>
        <w:gridCol w:w="2333"/>
        <w:gridCol w:w="2313"/>
      </w:tblGrid>
      <w:tr w14:paraId="061AD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4" w:type="pct"/>
            <w:vAlign w:val="center"/>
          </w:tcPr>
          <w:p w14:paraId="6C76894E">
            <w:pPr>
              <w:adjustRightInd w:val="0"/>
              <w:snapToGrid w:val="0"/>
              <w:jc w:val="center"/>
              <w:rPr>
                <w:rFonts w:ascii="Arial" w:hAnsi="Arial" w:eastAsia="宋体" w:cs="Arial"/>
                <w:sz w:val="21"/>
                <w:szCs w:val="21"/>
                <w:u w:val="single"/>
              </w:rPr>
            </w:pPr>
          </w:p>
        </w:tc>
        <w:tc>
          <w:tcPr>
            <w:tcW w:w="859" w:type="pct"/>
            <w:vAlign w:val="center"/>
          </w:tcPr>
          <w:p w14:paraId="1A7E62A9">
            <w:pPr>
              <w:adjustRightInd w:val="0"/>
              <w:snapToGrid w:val="0"/>
              <w:jc w:val="center"/>
              <w:rPr>
                <w:rFonts w:ascii="Arial" w:hAnsi="Arial" w:eastAsia="宋体" w:cs="Arial"/>
                <w:sz w:val="21"/>
                <w:szCs w:val="21"/>
                <w:u w:val="single"/>
              </w:rPr>
            </w:pPr>
          </w:p>
        </w:tc>
        <w:tc>
          <w:tcPr>
            <w:tcW w:w="1256" w:type="pct"/>
            <w:vAlign w:val="center"/>
          </w:tcPr>
          <w:p w14:paraId="7D9BA177">
            <w:pPr>
              <w:adjustRightInd w:val="0"/>
              <w:snapToGrid w:val="0"/>
              <w:jc w:val="center"/>
              <w:rPr>
                <w:rFonts w:ascii="Arial" w:hAnsi="Arial" w:eastAsia="宋体" w:cs="Arial"/>
                <w:sz w:val="21"/>
                <w:szCs w:val="21"/>
                <w:u w:val="single"/>
              </w:rPr>
            </w:pPr>
          </w:p>
        </w:tc>
        <w:tc>
          <w:tcPr>
            <w:tcW w:w="1256" w:type="pct"/>
            <w:vAlign w:val="center"/>
          </w:tcPr>
          <w:p w14:paraId="568E5BA6">
            <w:pPr>
              <w:adjustRightInd w:val="0"/>
              <w:snapToGrid w:val="0"/>
              <w:jc w:val="center"/>
              <w:rPr>
                <w:rFonts w:ascii="Arial" w:hAnsi="Arial" w:eastAsia="宋体" w:cs="Arial"/>
                <w:sz w:val="21"/>
                <w:szCs w:val="21"/>
                <w:u w:val="single"/>
              </w:rPr>
            </w:pPr>
          </w:p>
        </w:tc>
        <w:tc>
          <w:tcPr>
            <w:tcW w:w="1246" w:type="pct"/>
            <w:vAlign w:val="center"/>
          </w:tcPr>
          <w:p w14:paraId="2E5ECE3E">
            <w:pPr>
              <w:adjustRightInd w:val="0"/>
              <w:snapToGrid w:val="0"/>
              <w:jc w:val="center"/>
              <w:rPr>
                <w:rFonts w:ascii="Arial" w:hAnsi="Arial" w:eastAsia="宋体" w:cs="Arial"/>
                <w:sz w:val="21"/>
                <w:szCs w:val="21"/>
                <w:u w:val="single"/>
              </w:rPr>
            </w:pPr>
          </w:p>
        </w:tc>
      </w:tr>
      <w:tr w14:paraId="57730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4" w:type="pct"/>
            <w:vAlign w:val="center"/>
          </w:tcPr>
          <w:p w14:paraId="4F0FEC7D">
            <w:pPr>
              <w:adjustRightInd w:val="0"/>
              <w:snapToGrid w:val="0"/>
              <w:jc w:val="center"/>
              <w:rPr>
                <w:rFonts w:ascii="Arial" w:hAnsi="Arial" w:eastAsia="宋体" w:cs="Arial"/>
                <w:sz w:val="21"/>
                <w:szCs w:val="21"/>
                <w:u w:val="single"/>
              </w:rPr>
            </w:pPr>
          </w:p>
        </w:tc>
        <w:tc>
          <w:tcPr>
            <w:tcW w:w="859" w:type="pct"/>
            <w:vAlign w:val="center"/>
          </w:tcPr>
          <w:p w14:paraId="30F05F1D">
            <w:pPr>
              <w:adjustRightInd w:val="0"/>
              <w:snapToGrid w:val="0"/>
              <w:jc w:val="center"/>
              <w:rPr>
                <w:rFonts w:ascii="Arial" w:hAnsi="Arial" w:eastAsia="宋体" w:cs="Arial"/>
                <w:sz w:val="21"/>
                <w:szCs w:val="21"/>
                <w:u w:val="single"/>
              </w:rPr>
            </w:pPr>
          </w:p>
        </w:tc>
        <w:tc>
          <w:tcPr>
            <w:tcW w:w="1256" w:type="pct"/>
            <w:vAlign w:val="center"/>
          </w:tcPr>
          <w:p w14:paraId="107D9E00">
            <w:pPr>
              <w:adjustRightInd w:val="0"/>
              <w:snapToGrid w:val="0"/>
              <w:jc w:val="center"/>
              <w:rPr>
                <w:rFonts w:ascii="Arial" w:hAnsi="Arial" w:eastAsia="宋体" w:cs="Arial"/>
                <w:sz w:val="21"/>
                <w:szCs w:val="21"/>
                <w:u w:val="single"/>
              </w:rPr>
            </w:pPr>
          </w:p>
        </w:tc>
        <w:tc>
          <w:tcPr>
            <w:tcW w:w="1256" w:type="pct"/>
            <w:vAlign w:val="center"/>
          </w:tcPr>
          <w:p w14:paraId="3E231DE6">
            <w:pPr>
              <w:adjustRightInd w:val="0"/>
              <w:snapToGrid w:val="0"/>
              <w:jc w:val="center"/>
              <w:rPr>
                <w:rFonts w:ascii="Arial" w:hAnsi="Arial" w:eastAsia="宋体" w:cs="Arial"/>
                <w:sz w:val="21"/>
                <w:szCs w:val="21"/>
                <w:u w:val="single"/>
              </w:rPr>
            </w:pPr>
          </w:p>
        </w:tc>
        <w:tc>
          <w:tcPr>
            <w:tcW w:w="1246" w:type="pct"/>
            <w:vAlign w:val="center"/>
          </w:tcPr>
          <w:p w14:paraId="643EC75C">
            <w:pPr>
              <w:adjustRightInd w:val="0"/>
              <w:snapToGrid w:val="0"/>
              <w:jc w:val="center"/>
              <w:rPr>
                <w:rFonts w:ascii="Arial" w:hAnsi="Arial" w:eastAsia="宋体" w:cs="Arial"/>
                <w:sz w:val="21"/>
                <w:szCs w:val="21"/>
                <w:u w:val="single"/>
              </w:rPr>
            </w:pPr>
          </w:p>
        </w:tc>
      </w:tr>
      <w:tr w14:paraId="65085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4" w:type="pct"/>
            <w:vAlign w:val="center"/>
          </w:tcPr>
          <w:p w14:paraId="72E886F2">
            <w:pPr>
              <w:adjustRightInd w:val="0"/>
              <w:snapToGrid w:val="0"/>
              <w:jc w:val="center"/>
              <w:rPr>
                <w:rFonts w:ascii="Arial" w:hAnsi="Arial" w:eastAsia="宋体" w:cs="Arial"/>
                <w:sz w:val="21"/>
                <w:szCs w:val="21"/>
                <w:u w:val="single"/>
              </w:rPr>
            </w:pPr>
          </w:p>
        </w:tc>
        <w:tc>
          <w:tcPr>
            <w:tcW w:w="859" w:type="pct"/>
            <w:vAlign w:val="center"/>
          </w:tcPr>
          <w:p w14:paraId="5D8DD412">
            <w:pPr>
              <w:adjustRightInd w:val="0"/>
              <w:snapToGrid w:val="0"/>
              <w:jc w:val="center"/>
              <w:rPr>
                <w:rFonts w:ascii="Arial" w:hAnsi="Arial" w:eastAsia="宋体" w:cs="Arial"/>
                <w:sz w:val="21"/>
                <w:szCs w:val="21"/>
                <w:u w:val="single"/>
              </w:rPr>
            </w:pPr>
          </w:p>
        </w:tc>
        <w:tc>
          <w:tcPr>
            <w:tcW w:w="1256" w:type="pct"/>
            <w:vAlign w:val="center"/>
          </w:tcPr>
          <w:p w14:paraId="250D8E95">
            <w:pPr>
              <w:adjustRightInd w:val="0"/>
              <w:snapToGrid w:val="0"/>
              <w:jc w:val="center"/>
              <w:rPr>
                <w:rFonts w:ascii="Arial" w:hAnsi="Arial" w:eastAsia="宋体" w:cs="Arial"/>
                <w:sz w:val="21"/>
                <w:szCs w:val="21"/>
                <w:u w:val="single"/>
              </w:rPr>
            </w:pPr>
          </w:p>
        </w:tc>
        <w:tc>
          <w:tcPr>
            <w:tcW w:w="1256" w:type="pct"/>
            <w:vAlign w:val="center"/>
          </w:tcPr>
          <w:p w14:paraId="1423AE04">
            <w:pPr>
              <w:adjustRightInd w:val="0"/>
              <w:snapToGrid w:val="0"/>
              <w:jc w:val="center"/>
              <w:rPr>
                <w:rFonts w:ascii="Arial" w:hAnsi="Arial" w:eastAsia="宋体" w:cs="Arial"/>
                <w:sz w:val="21"/>
                <w:szCs w:val="21"/>
                <w:u w:val="single"/>
              </w:rPr>
            </w:pPr>
          </w:p>
        </w:tc>
        <w:tc>
          <w:tcPr>
            <w:tcW w:w="1246" w:type="pct"/>
            <w:vAlign w:val="center"/>
          </w:tcPr>
          <w:p w14:paraId="37D798A9">
            <w:pPr>
              <w:adjustRightInd w:val="0"/>
              <w:snapToGrid w:val="0"/>
              <w:jc w:val="center"/>
              <w:rPr>
                <w:rFonts w:ascii="Arial" w:hAnsi="Arial" w:eastAsia="宋体" w:cs="Arial"/>
                <w:sz w:val="21"/>
                <w:szCs w:val="21"/>
                <w:u w:val="single"/>
              </w:rPr>
            </w:pPr>
          </w:p>
        </w:tc>
      </w:tr>
      <w:tr w14:paraId="0CC74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4" w:type="pct"/>
            <w:vAlign w:val="center"/>
          </w:tcPr>
          <w:p w14:paraId="0B0A0409">
            <w:pPr>
              <w:adjustRightInd w:val="0"/>
              <w:snapToGrid w:val="0"/>
              <w:jc w:val="center"/>
              <w:rPr>
                <w:rFonts w:ascii="Arial" w:hAnsi="Arial" w:eastAsia="宋体" w:cs="Arial"/>
                <w:sz w:val="21"/>
                <w:szCs w:val="21"/>
                <w:u w:val="single"/>
              </w:rPr>
            </w:pPr>
          </w:p>
        </w:tc>
        <w:tc>
          <w:tcPr>
            <w:tcW w:w="859" w:type="pct"/>
            <w:vAlign w:val="center"/>
          </w:tcPr>
          <w:p w14:paraId="1A49950E">
            <w:pPr>
              <w:adjustRightInd w:val="0"/>
              <w:snapToGrid w:val="0"/>
              <w:jc w:val="center"/>
              <w:rPr>
                <w:rFonts w:ascii="Arial" w:hAnsi="Arial" w:eastAsia="宋体" w:cs="Arial"/>
                <w:sz w:val="21"/>
                <w:szCs w:val="21"/>
                <w:u w:val="single"/>
              </w:rPr>
            </w:pPr>
          </w:p>
        </w:tc>
        <w:tc>
          <w:tcPr>
            <w:tcW w:w="1256" w:type="pct"/>
            <w:vAlign w:val="center"/>
          </w:tcPr>
          <w:p w14:paraId="13E7EE04">
            <w:pPr>
              <w:adjustRightInd w:val="0"/>
              <w:snapToGrid w:val="0"/>
              <w:jc w:val="center"/>
              <w:rPr>
                <w:rFonts w:ascii="Arial" w:hAnsi="Arial" w:eastAsia="宋体" w:cs="Arial"/>
                <w:sz w:val="21"/>
                <w:szCs w:val="21"/>
                <w:u w:val="single"/>
              </w:rPr>
            </w:pPr>
          </w:p>
        </w:tc>
        <w:tc>
          <w:tcPr>
            <w:tcW w:w="1256" w:type="pct"/>
            <w:vAlign w:val="center"/>
          </w:tcPr>
          <w:p w14:paraId="43A2BE35">
            <w:pPr>
              <w:adjustRightInd w:val="0"/>
              <w:snapToGrid w:val="0"/>
              <w:jc w:val="center"/>
              <w:rPr>
                <w:rFonts w:ascii="Arial" w:hAnsi="Arial" w:eastAsia="宋体" w:cs="Arial"/>
                <w:sz w:val="21"/>
                <w:szCs w:val="21"/>
                <w:u w:val="single"/>
              </w:rPr>
            </w:pPr>
          </w:p>
        </w:tc>
        <w:tc>
          <w:tcPr>
            <w:tcW w:w="1246" w:type="pct"/>
            <w:vAlign w:val="center"/>
          </w:tcPr>
          <w:p w14:paraId="5567DE48">
            <w:pPr>
              <w:adjustRightInd w:val="0"/>
              <w:snapToGrid w:val="0"/>
              <w:jc w:val="center"/>
              <w:rPr>
                <w:rFonts w:ascii="Arial" w:hAnsi="Arial" w:eastAsia="宋体" w:cs="Arial"/>
                <w:sz w:val="21"/>
                <w:szCs w:val="21"/>
                <w:u w:val="single"/>
              </w:rPr>
            </w:pPr>
          </w:p>
        </w:tc>
      </w:tr>
      <w:tr w14:paraId="63C19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4" w:type="pct"/>
            <w:vAlign w:val="center"/>
          </w:tcPr>
          <w:p w14:paraId="53073D79">
            <w:pPr>
              <w:adjustRightInd w:val="0"/>
              <w:snapToGrid w:val="0"/>
              <w:jc w:val="center"/>
              <w:rPr>
                <w:rFonts w:ascii="Arial" w:hAnsi="Arial" w:eastAsia="宋体" w:cs="Arial"/>
                <w:sz w:val="21"/>
                <w:szCs w:val="21"/>
                <w:u w:val="single"/>
              </w:rPr>
            </w:pPr>
          </w:p>
        </w:tc>
        <w:tc>
          <w:tcPr>
            <w:tcW w:w="859" w:type="pct"/>
            <w:vAlign w:val="center"/>
          </w:tcPr>
          <w:p w14:paraId="57CE34C1">
            <w:pPr>
              <w:adjustRightInd w:val="0"/>
              <w:snapToGrid w:val="0"/>
              <w:jc w:val="center"/>
              <w:rPr>
                <w:rFonts w:ascii="Arial" w:hAnsi="Arial" w:eastAsia="宋体" w:cs="Arial"/>
                <w:sz w:val="21"/>
                <w:szCs w:val="21"/>
                <w:u w:val="single"/>
              </w:rPr>
            </w:pPr>
          </w:p>
        </w:tc>
        <w:tc>
          <w:tcPr>
            <w:tcW w:w="1256" w:type="pct"/>
            <w:vAlign w:val="center"/>
          </w:tcPr>
          <w:p w14:paraId="1CCABC3D">
            <w:pPr>
              <w:adjustRightInd w:val="0"/>
              <w:snapToGrid w:val="0"/>
              <w:jc w:val="center"/>
              <w:rPr>
                <w:rFonts w:ascii="Arial" w:hAnsi="Arial" w:eastAsia="宋体" w:cs="Arial"/>
                <w:sz w:val="21"/>
                <w:szCs w:val="21"/>
                <w:u w:val="single"/>
              </w:rPr>
            </w:pPr>
          </w:p>
        </w:tc>
        <w:tc>
          <w:tcPr>
            <w:tcW w:w="1256" w:type="pct"/>
            <w:vAlign w:val="center"/>
          </w:tcPr>
          <w:p w14:paraId="28A427C2">
            <w:pPr>
              <w:adjustRightInd w:val="0"/>
              <w:snapToGrid w:val="0"/>
              <w:jc w:val="center"/>
              <w:rPr>
                <w:rFonts w:ascii="Arial" w:hAnsi="Arial" w:eastAsia="宋体" w:cs="Arial"/>
                <w:sz w:val="21"/>
                <w:szCs w:val="21"/>
                <w:u w:val="single"/>
              </w:rPr>
            </w:pPr>
          </w:p>
        </w:tc>
        <w:tc>
          <w:tcPr>
            <w:tcW w:w="1246" w:type="pct"/>
            <w:vAlign w:val="center"/>
          </w:tcPr>
          <w:p w14:paraId="3C960EC6">
            <w:pPr>
              <w:adjustRightInd w:val="0"/>
              <w:snapToGrid w:val="0"/>
              <w:jc w:val="center"/>
              <w:rPr>
                <w:rFonts w:ascii="Arial" w:hAnsi="Arial" w:eastAsia="宋体" w:cs="Arial"/>
                <w:sz w:val="21"/>
                <w:szCs w:val="21"/>
                <w:u w:val="single"/>
              </w:rPr>
            </w:pPr>
          </w:p>
        </w:tc>
      </w:tr>
      <w:tr w14:paraId="57F71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4" w:type="pct"/>
            <w:vAlign w:val="center"/>
          </w:tcPr>
          <w:p w14:paraId="15F780F0">
            <w:pPr>
              <w:adjustRightInd w:val="0"/>
              <w:snapToGrid w:val="0"/>
              <w:jc w:val="center"/>
              <w:rPr>
                <w:rFonts w:ascii="Arial" w:hAnsi="Arial" w:eastAsia="宋体" w:cs="Arial"/>
                <w:sz w:val="21"/>
                <w:szCs w:val="21"/>
                <w:u w:val="single"/>
              </w:rPr>
            </w:pPr>
          </w:p>
        </w:tc>
        <w:tc>
          <w:tcPr>
            <w:tcW w:w="859" w:type="pct"/>
            <w:vAlign w:val="center"/>
          </w:tcPr>
          <w:p w14:paraId="531A4111">
            <w:pPr>
              <w:adjustRightInd w:val="0"/>
              <w:snapToGrid w:val="0"/>
              <w:jc w:val="center"/>
              <w:rPr>
                <w:rFonts w:ascii="Arial" w:hAnsi="Arial" w:eastAsia="宋体" w:cs="Arial"/>
                <w:sz w:val="21"/>
                <w:szCs w:val="21"/>
                <w:u w:val="single"/>
              </w:rPr>
            </w:pPr>
          </w:p>
        </w:tc>
        <w:tc>
          <w:tcPr>
            <w:tcW w:w="1256" w:type="pct"/>
            <w:vAlign w:val="center"/>
          </w:tcPr>
          <w:p w14:paraId="313F06C3">
            <w:pPr>
              <w:adjustRightInd w:val="0"/>
              <w:snapToGrid w:val="0"/>
              <w:jc w:val="center"/>
              <w:rPr>
                <w:rFonts w:ascii="Arial" w:hAnsi="Arial" w:eastAsia="宋体" w:cs="Arial"/>
                <w:sz w:val="21"/>
                <w:szCs w:val="21"/>
                <w:u w:val="single"/>
              </w:rPr>
            </w:pPr>
          </w:p>
        </w:tc>
        <w:tc>
          <w:tcPr>
            <w:tcW w:w="1256" w:type="pct"/>
            <w:vAlign w:val="center"/>
          </w:tcPr>
          <w:p w14:paraId="59F33BA8">
            <w:pPr>
              <w:adjustRightInd w:val="0"/>
              <w:snapToGrid w:val="0"/>
              <w:jc w:val="center"/>
              <w:rPr>
                <w:rFonts w:ascii="Arial" w:hAnsi="Arial" w:eastAsia="宋体" w:cs="Arial"/>
                <w:sz w:val="21"/>
                <w:szCs w:val="21"/>
                <w:u w:val="single"/>
              </w:rPr>
            </w:pPr>
          </w:p>
        </w:tc>
        <w:tc>
          <w:tcPr>
            <w:tcW w:w="1246" w:type="pct"/>
            <w:vAlign w:val="center"/>
          </w:tcPr>
          <w:p w14:paraId="63448D8C">
            <w:pPr>
              <w:adjustRightInd w:val="0"/>
              <w:snapToGrid w:val="0"/>
              <w:jc w:val="center"/>
              <w:rPr>
                <w:rFonts w:ascii="Arial" w:hAnsi="Arial" w:eastAsia="宋体" w:cs="Arial"/>
                <w:sz w:val="21"/>
                <w:szCs w:val="21"/>
                <w:u w:val="single"/>
              </w:rPr>
            </w:pPr>
          </w:p>
        </w:tc>
      </w:tr>
      <w:tr w14:paraId="5B106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4" w:type="pct"/>
            <w:vAlign w:val="center"/>
          </w:tcPr>
          <w:p w14:paraId="3CE6716A">
            <w:pPr>
              <w:adjustRightInd w:val="0"/>
              <w:snapToGrid w:val="0"/>
              <w:jc w:val="center"/>
              <w:rPr>
                <w:rFonts w:ascii="Arial" w:hAnsi="Arial" w:eastAsia="宋体" w:cs="Arial"/>
                <w:sz w:val="21"/>
                <w:szCs w:val="21"/>
                <w:u w:val="single"/>
              </w:rPr>
            </w:pPr>
          </w:p>
        </w:tc>
        <w:tc>
          <w:tcPr>
            <w:tcW w:w="859" w:type="pct"/>
            <w:vAlign w:val="center"/>
          </w:tcPr>
          <w:p w14:paraId="6F99C107">
            <w:pPr>
              <w:adjustRightInd w:val="0"/>
              <w:snapToGrid w:val="0"/>
              <w:jc w:val="center"/>
              <w:rPr>
                <w:rFonts w:ascii="Arial" w:hAnsi="Arial" w:eastAsia="宋体" w:cs="Arial"/>
                <w:sz w:val="21"/>
                <w:szCs w:val="21"/>
                <w:u w:val="single"/>
              </w:rPr>
            </w:pPr>
          </w:p>
        </w:tc>
        <w:tc>
          <w:tcPr>
            <w:tcW w:w="1256" w:type="pct"/>
            <w:vAlign w:val="center"/>
          </w:tcPr>
          <w:p w14:paraId="788F1B5B">
            <w:pPr>
              <w:adjustRightInd w:val="0"/>
              <w:snapToGrid w:val="0"/>
              <w:jc w:val="center"/>
              <w:rPr>
                <w:rFonts w:ascii="Arial" w:hAnsi="Arial" w:eastAsia="宋体" w:cs="Arial"/>
                <w:sz w:val="21"/>
                <w:szCs w:val="21"/>
                <w:u w:val="single"/>
              </w:rPr>
            </w:pPr>
          </w:p>
        </w:tc>
        <w:tc>
          <w:tcPr>
            <w:tcW w:w="1256" w:type="pct"/>
            <w:vAlign w:val="center"/>
          </w:tcPr>
          <w:p w14:paraId="25196EF7">
            <w:pPr>
              <w:adjustRightInd w:val="0"/>
              <w:snapToGrid w:val="0"/>
              <w:jc w:val="center"/>
              <w:rPr>
                <w:rFonts w:ascii="Arial" w:hAnsi="Arial" w:eastAsia="宋体" w:cs="Arial"/>
                <w:sz w:val="21"/>
                <w:szCs w:val="21"/>
                <w:u w:val="single"/>
              </w:rPr>
            </w:pPr>
          </w:p>
        </w:tc>
        <w:tc>
          <w:tcPr>
            <w:tcW w:w="1246" w:type="pct"/>
            <w:vAlign w:val="center"/>
          </w:tcPr>
          <w:p w14:paraId="5BC2CBC7">
            <w:pPr>
              <w:adjustRightInd w:val="0"/>
              <w:snapToGrid w:val="0"/>
              <w:jc w:val="center"/>
              <w:rPr>
                <w:rFonts w:ascii="Arial" w:hAnsi="Arial" w:eastAsia="宋体" w:cs="Arial"/>
                <w:sz w:val="21"/>
                <w:szCs w:val="21"/>
                <w:u w:val="single"/>
              </w:rPr>
            </w:pPr>
          </w:p>
        </w:tc>
      </w:tr>
      <w:tr w14:paraId="2CD75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4" w:type="pct"/>
            <w:vAlign w:val="center"/>
          </w:tcPr>
          <w:p w14:paraId="1F526FE1">
            <w:pPr>
              <w:adjustRightInd w:val="0"/>
              <w:snapToGrid w:val="0"/>
              <w:jc w:val="center"/>
              <w:rPr>
                <w:rFonts w:ascii="Arial" w:hAnsi="Arial" w:eastAsia="宋体" w:cs="Arial"/>
                <w:sz w:val="21"/>
                <w:szCs w:val="21"/>
                <w:u w:val="single"/>
              </w:rPr>
            </w:pPr>
          </w:p>
        </w:tc>
        <w:tc>
          <w:tcPr>
            <w:tcW w:w="859" w:type="pct"/>
            <w:vAlign w:val="center"/>
          </w:tcPr>
          <w:p w14:paraId="389AD85D">
            <w:pPr>
              <w:adjustRightInd w:val="0"/>
              <w:snapToGrid w:val="0"/>
              <w:jc w:val="center"/>
              <w:rPr>
                <w:rFonts w:ascii="Arial" w:hAnsi="Arial" w:eastAsia="宋体" w:cs="Arial"/>
                <w:sz w:val="21"/>
                <w:szCs w:val="21"/>
                <w:u w:val="single"/>
              </w:rPr>
            </w:pPr>
          </w:p>
        </w:tc>
        <w:tc>
          <w:tcPr>
            <w:tcW w:w="1256" w:type="pct"/>
            <w:vAlign w:val="center"/>
          </w:tcPr>
          <w:p w14:paraId="276B4885">
            <w:pPr>
              <w:adjustRightInd w:val="0"/>
              <w:snapToGrid w:val="0"/>
              <w:jc w:val="center"/>
              <w:rPr>
                <w:rFonts w:ascii="Arial" w:hAnsi="Arial" w:eastAsia="宋体" w:cs="Arial"/>
                <w:sz w:val="21"/>
                <w:szCs w:val="21"/>
                <w:u w:val="single"/>
              </w:rPr>
            </w:pPr>
          </w:p>
        </w:tc>
        <w:tc>
          <w:tcPr>
            <w:tcW w:w="1256" w:type="pct"/>
            <w:vAlign w:val="center"/>
          </w:tcPr>
          <w:p w14:paraId="59C9DCE6">
            <w:pPr>
              <w:adjustRightInd w:val="0"/>
              <w:snapToGrid w:val="0"/>
              <w:jc w:val="center"/>
              <w:rPr>
                <w:rFonts w:ascii="Arial" w:hAnsi="Arial" w:eastAsia="宋体" w:cs="Arial"/>
                <w:sz w:val="21"/>
                <w:szCs w:val="21"/>
                <w:u w:val="single"/>
              </w:rPr>
            </w:pPr>
          </w:p>
        </w:tc>
        <w:tc>
          <w:tcPr>
            <w:tcW w:w="1246" w:type="pct"/>
            <w:vAlign w:val="center"/>
          </w:tcPr>
          <w:p w14:paraId="302C4171">
            <w:pPr>
              <w:adjustRightInd w:val="0"/>
              <w:snapToGrid w:val="0"/>
              <w:jc w:val="center"/>
              <w:rPr>
                <w:rFonts w:ascii="Arial" w:hAnsi="Arial" w:eastAsia="宋体" w:cs="Arial"/>
                <w:sz w:val="21"/>
                <w:szCs w:val="21"/>
                <w:u w:val="single"/>
              </w:rPr>
            </w:pPr>
          </w:p>
        </w:tc>
      </w:tr>
    </w:tbl>
    <w:p w14:paraId="5C19A845">
      <w:pPr>
        <w:pStyle w:val="5"/>
        <w:spacing w:line="500" w:lineRule="exact"/>
        <w:ind w:firstLine="490" w:firstLineChars="200"/>
        <w:rPr>
          <w:u w:val="single"/>
        </w:rPr>
      </w:pPr>
      <w:r>
        <w:rPr>
          <w:u w:val="single"/>
        </w:rPr>
        <w:t>1、</w:t>
      </w:r>
      <w:r>
        <w:rPr>
          <w:rFonts w:hint="eastAsia"/>
          <w:u w:val="single"/>
        </w:rPr>
        <w:t>硫酸钴</w:t>
      </w:r>
    </w:p>
    <w:p w14:paraId="5F594185">
      <w:pPr>
        <w:pStyle w:val="5"/>
        <w:spacing w:line="500" w:lineRule="exact"/>
        <w:ind w:firstLine="490" w:firstLineChars="200"/>
        <w:rPr>
          <w:u w:val="single"/>
        </w:rPr>
      </w:pPr>
      <w:r>
        <w:rPr>
          <w:rFonts w:hint="eastAsia"/>
          <w:u w:val="single"/>
        </w:rPr>
        <w:t>厂区内MSP生产线、氢氧化钴处置线和MHP生产线均产生硫酸钴溶液，年产生量为0.51万金t，正常生产下该部分硫酸钴溶液全部供三元前驱体生产线使用。由于现阶段三元前驱体产品受市场限制，三元前驱体生产负荷较低，厂内自产的硫酸钴溶液同时供三元前驱体和本项目使用；待三元前驱体生产线生产负荷正常后，厂内自产的硫酸钴溶液全部供应三元前驱体生产线，本项目羟基钴生产线使用的硫酸钴全部来源外购硫酸钴晶体，项目现有的MSP生产线、氢氧化钴生产线和MHP生产线产生的硫酸钴产能不变。项目变更前正常生产情况下全厂主要物料走向见图2.3-2，变更后正常生产情况下全厂主要物料走向见图2.3-3。</w:t>
      </w:r>
    </w:p>
    <w:p w14:paraId="7E337F14">
      <w:pPr>
        <w:pStyle w:val="5"/>
        <w:adjustRightInd w:val="0"/>
        <w:snapToGrid w:val="0"/>
        <w:spacing w:line="360" w:lineRule="auto"/>
        <w:ind w:firstLine="0"/>
        <w:jc w:val="center"/>
        <w:rPr>
          <w:b/>
          <w:u w:val="single"/>
        </w:rPr>
      </w:pPr>
    </w:p>
    <w:p w14:paraId="189F1476">
      <w:pPr>
        <w:pStyle w:val="5"/>
        <w:adjustRightInd w:val="0"/>
        <w:snapToGrid w:val="0"/>
        <w:spacing w:line="360" w:lineRule="auto"/>
        <w:ind w:firstLine="0"/>
        <w:jc w:val="center"/>
        <w:rPr>
          <w:b/>
          <w:u w:val="single"/>
        </w:rPr>
      </w:pPr>
      <w:r>
        <w:rPr>
          <w:rFonts w:hint="eastAsia"/>
          <w:b/>
          <w:u w:val="single"/>
        </w:rPr>
        <w:t>图2.3-2  项目变更前正常生产情况下全厂主要物料走向图</w:t>
      </w:r>
    </w:p>
    <w:p w14:paraId="29E09F74">
      <w:pPr>
        <w:pStyle w:val="5"/>
        <w:adjustRightInd w:val="0"/>
        <w:snapToGrid w:val="0"/>
        <w:spacing w:line="360" w:lineRule="auto"/>
        <w:ind w:firstLine="0"/>
        <w:rPr>
          <w:u w:val="single"/>
        </w:rPr>
      </w:pPr>
    </w:p>
    <w:p w14:paraId="2951DB8A">
      <w:pPr>
        <w:pStyle w:val="5"/>
        <w:adjustRightInd w:val="0"/>
        <w:snapToGrid w:val="0"/>
        <w:spacing w:line="360" w:lineRule="auto"/>
        <w:ind w:firstLine="0"/>
        <w:rPr>
          <w:u w:val="single"/>
        </w:rPr>
      </w:pPr>
    </w:p>
    <w:p w14:paraId="44601207">
      <w:pPr>
        <w:pStyle w:val="5"/>
        <w:spacing w:line="500" w:lineRule="exact"/>
        <w:ind w:firstLine="0"/>
        <w:jc w:val="center"/>
        <w:rPr>
          <w:b/>
          <w:u w:val="single"/>
        </w:rPr>
      </w:pPr>
      <w:r>
        <w:rPr>
          <w:rFonts w:hint="eastAsia"/>
          <w:b/>
          <w:u w:val="single"/>
        </w:rPr>
        <w:t>图2.3-3  项目变更后正常生产情况下全厂主要物料走向图</w:t>
      </w:r>
    </w:p>
    <w:p w14:paraId="34A068AA">
      <w:pPr>
        <w:pStyle w:val="5"/>
        <w:spacing w:line="500" w:lineRule="exact"/>
        <w:ind w:firstLine="490" w:firstLineChars="200"/>
        <w:rPr>
          <w:u w:val="single"/>
        </w:rPr>
      </w:pPr>
      <w:r>
        <w:rPr>
          <w:rFonts w:hint="eastAsia"/>
          <w:u w:val="single"/>
        </w:rPr>
        <w:t>硫酸钴</w:t>
      </w:r>
      <w:r>
        <w:rPr>
          <w:u w:val="single"/>
        </w:rPr>
        <w:t>晶体化学式为CoSO</w:t>
      </w:r>
      <w:r>
        <w:rPr>
          <w:u w:val="single"/>
          <w:vertAlign w:val="subscript"/>
        </w:rPr>
        <w:t>4</w:t>
      </w:r>
      <w:r>
        <w:rPr>
          <w:u w:val="single"/>
        </w:rPr>
        <w:t>•7H</w:t>
      </w:r>
      <w:r>
        <w:rPr>
          <w:u w:val="single"/>
          <w:vertAlign w:val="subscript"/>
        </w:rPr>
        <w:t>2</w:t>
      </w:r>
      <w:r>
        <w:rPr>
          <w:u w:val="single"/>
        </w:rPr>
        <w:t>O，为</w:t>
      </w:r>
      <w:r>
        <w:rPr>
          <w:rFonts w:hint="eastAsia"/>
          <w:u w:val="single"/>
        </w:rPr>
        <w:t>橘红色晶体，易溶于水，可溶于酒精。正常生产后项目使用的硫酸钴</w:t>
      </w:r>
      <w:r>
        <w:rPr>
          <w:u w:val="single"/>
        </w:rPr>
        <w:t>晶体来源外购，</w:t>
      </w:r>
      <w:r>
        <w:rPr>
          <w:rFonts w:hint="eastAsia"/>
          <w:u w:val="single"/>
        </w:rPr>
        <w:t>原料满足《精制硫酸钴》（GB26523-2022）中的优等品标准。硫酸钴</w:t>
      </w:r>
      <w:r>
        <w:rPr>
          <w:u w:val="single"/>
        </w:rPr>
        <w:t>晶体产品控制指标见表2-</w:t>
      </w:r>
      <w:r>
        <w:rPr>
          <w:rFonts w:hint="eastAsia"/>
          <w:u w:val="single"/>
        </w:rPr>
        <w:t>19</w:t>
      </w:r>
      <w:r>
        <w:rPr>
          <w:u w:val="single"/>
        </w:rPr>
        <w:t>。</w:t>
      </w:r>
    </w:p>
    <w:p w14:paraId="08DC1E99">
      <w:pPr>
        <w:pStyle w:val="5"/>
        <w:keepNext/>
        <w:numPr>
          <w:ilvl w:val="0"/>
          <w:numId w:val="12"/>
        </w:numPr>
        <w:spacing w:line="480" w:lineRule="exact"/>
        <w:ind w:left="0" w:firstLine="0"/>
        <w:jc w:val="center"/>
        <w:outlineLvl w:val="4"/>
        <w:rPr>
          <w:b/>
          <w:u w:val="single"/>
        </w:rPr>
      </w:pPr>
      <w:r>
        <w:rPr>
          <w:rFonts w:hint="eastAsia"/>
          <w:b/>
          <w:u w:val="single"/>
        </w:rPr>
        <w:t>硫酸钴</w:t>
      </w:r>
      <w:r>
        <w:rPr>
          <w:b/>
          <w:u w:val="single"/>
        </w:rPr>
        <w:t>晶体主要成分表（单位：%）</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888"/>
        <w:gridCol w:w="914"/>
        <w:gridCol w:w="914"/>
        <w:gridCol w:w="914"/>
        <w:gridCol w:w="1037"/>
        <w:gridCol w:w="1037"/>
        <w:gridCol w:w="914"/>
        <w:gridCol w:w="914"/>
        <w:gridCol w:w="1030"/>
      </w:tblGrid>
      <w:tr w14:paraId="1CFE1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1" w:type="pct"/>
            <w:shd w:val="clear" w:color="auto" w:fill="auto"/>
            <w:vAlign w:val="center"/>
          </w:tcPr>
          <w:p w14:paraId="7F8E8914">
            <w:pPr>
              <w:pStyle w:val="5"/>
              <w:adjustRightInd w:val="0"/>
              <w:snapToGrid w:val="0"/>
              <w:spacing w:line="240" w:lineRule="auto"/>
              <w:ind w:firstLine="0"/>
              <w:jc w:val="center"/>
              <w:rPr>
                <w:sz w:val="21"/>
                <w:szCs w:val="21"/>
                <w:u w:val="single"/>
              </w:rPr>
            </w:pPr>
          </w:p>
        </w:tc>
        <w:tc>
          <w:tcPr>
            <w:tcW w:w="478" w:type="pct"/>
            <w:shd w:val="clear" w:color="auto" w:fill="auto"/>
            <w:noWrap/>
            <w:vAlign w:val="center"/>
          </w:tcPr>
          <w:p w14:paraId="1A2DB8A2">
            <w:pPr>
              <w:adjustRightInd w:val="0"/>
              <w:snapToGrid w:val="0"/>
              <w:jc w:val="center"/>
              <w:rPr>
                <w:rFonts w:ascii="Arial" w:hAnsi="Arial" w:eastAsia="宋体" w:cs="Arial"/>
                <w:sz w:val="21"/>
                <w:szCs w:val="21"/>
                <w:u w:val="single"/>
              </w:rPr>
            </w:pPr>
          </w:p>
        </w:tc>
        <w:tc>
          <w:tcPr>
            <w:tcW w:w="492" w:type="pct"/>
            <w:shd w:val="clear" w:color="auto" w:fill="auto"/>
            <w:noWrap/>
            <w:vAlign w:val="center"/>
          </w:tcPr>
          <w:p w14:paraId="6710D5C6">
            <w:pPr>
              <w:adjustRightInd w:val="0"/>
              <w:snapToGrid w:val="0"/>
              <w:jc w:val="center"/>
              <w:rPr>
                <w:rFonts w:ascii="Arial" w:hAnsi="Arial" w:eastAsia="宋体" w:cs="Arial"/>
                <w:sz w:val="21"/>
                <w:szCs w:val="21"/>
                <w:u w:val="single"/>
              </w:rPr>
            </w:pPr>
          </w:p>
        </w:tc>
        <w:tc>
          <w:tcPr>
            <w:tcW w:w="492" w:type="pct"/>
            <w:shd w:val="clear" w:color="auto" w:fill="auto"/>
            <w:noWrap/>
            <w:vAlign w:val="center"/>
          </w:tcPr>
          <w:p w14:paraId="0BE5EC3E">
            <w:pPr>
              <w:adjustRightInd w:val="0"/>
              <w:snapToGrid w:val="0"/>
              <w:jc w:val="center"/>
              <w:rPr>
                <w:rFonts w:ascii="Arial" w:hAnsi="Arial" w:eastAsia="宋体" w:cs="Arial"/>
                <w:sz w:val="21"/>
                <w:szCs w:val="21"/>
                <w:u w:val="single"/>
              </w:rPr>
            </w:pPr>
          </w:p>
        </w:tc>
        <w:tc>
          <w:tcPr>
            <w:tcW w:w="492" w:type="pct"/>
            <w:shd w:val="clear" w:color="auto" w:fill="auto"/>
            <w:noWrap/>
            <w:vAlign w:val="center"/>
          </w:tcPr>
          <w:p w14:paraId="0EA4BBCD">
            <w:pPr>
              <w:adjustRightInd w:val="0"/>
              <w:snapToGrid w:val="0"/>
              <w:jc w:val="center"/>
              <w:rPr>
                <w:rFonts w:ascii="Arial" w:hAnsi="Arial" w:eastAsia="宋体" w:cs="Arial"/>
                <w:sz w:val="21"/>
                <w:szCs w:val="21"/>
                <w:u w:val="single"/>
              </w:rPr>
            </w:pPr>
          </w:p>
        </w:tc>
        <w:tc>
          <w:tcPr>
            <w:tcW w:w="558" w:type="pct"/>
            <w:shd w:val="clear" w:color="auto" w:fill="auto"/>
            <w:vAlign w:val="center"/>
          </w:tcPr>
          <w:p w14:paraId="60C56091">
            <w:pPr>
              <w:adjustRightInd w:val="0"/>
              <w:snapToGrid w:val="0"/>
              <w:jc w:val="center"/>
              <w:rPr>
                <w:rFonts w:ascii="Arial" w:hAnsi="Arial" w:eastAsia="宋体" w:cs="Arial"/>
                <w:sz w:val="21"/>
                <w:szCs w:val="21"/>
                <w:u w:val="single"/>
              </w:rPr>
            </w:pPr>
          </w:p>
        </w:tc>
        <w:tc>
          <w:tcPr>
            <w:tcW w:w="558" w:type="pct"/>
            <w:shd w:val="clear" w:color="auto" w:fill="auto"/>
            <w:vAlign w:val="center"/>
          </w:tcPr>
          <w:p w14:paraId="0F168441">
            <w:pPr>
              <w:adjustRightInd w:val="0"/>
              <w:snapToGrid w:val="0"/>
              <w:jc w:val="center"/>
              <w:rPr>
                <w:rFonts w:ascii="Arial" w:hAnsi="Arial" w:eastAsia="宋体" w:cs="Arial"/>
                <w:sz w:val="21"/>
                <w:szCs w:val="21"/>
                <w:u w:val="single"/>
              </w:rPr>
            </w:pPr>
          </w:p>
        </w:tc>
        <w:tc>
          <w:tcPr>
            <w:tcW w:w="492" w:type="pct"/>
            <w:shd w:val="clear" w:color="auto" w:fill="auto"/>
            <w:noWrap/>
            <w:vAlign w:val="center"/>
          </w:tcPr>
          <w:p w14:paraId="6DDC6277">
            <w:pPr>
              <w:adjustRightInd w:val="0"/>
              <w:snapToGrid w:val="0"/>
              <w:jc w:val="center"/>
              <w:rPr>
                <w:rFonts w:ascii="Arial" w:hAnsi="Arial" w:eastAsia="宋体" w:cs="Arial"/>
                <w:sz w:val="21"/>
                <w:szCs w:val="21"/>
                <w:u w:val="single"/>
              </w:rPr>
            </w:pPr>
          </w:p>
        </w:tc>
        <w:tc>
          <w:tcPr>
            <w:tcW w:w="492" w:type="pct"/>
            <w:shd w:val="clear" w:color="auto" w:fill="auto"/>
            <w:noWrap/>
            <w:vAlign w:val="center"/>
          </w:tcPr>
          <w:p w14:paraId="3ABA598E">
            <w:pPr>
              <w:adjustRightInd w:val="0"/>
              <w:snapToGrid w:val="0"/>
              <w:jc w:val="center"/>
              <w:rPr>
                <w:rFonts w:ascii="Arial" w:hAnsi="Arial" w:eastAsia="宋体" w:cs="Arial"/>
                <w:sz w:val="21"/>
                <w:szCs w:val="21"/>
                <w:u w:val="single"/>
              </w:rPr>
            </w:pPr>
          </w:p>
        </w:tc>
        <w:tc>
          <w:tcPr>
            <w:tcW w:w="554" w:type="pct"/>
            <w:shd w:val="clear" w:color="auto" w:fill="auto"/>
            <w:noWrap/>
            <w:vAlign w:val="center"/>
          </w:tcPr>
          <w:p w14:paraId="1A0A6CD6">
            <w:pPr>
              <w:adjustRightInd w:val="0"/>
              <w:snapToGrid w:val="0"/>
              <w:jc w:val="center"/>
              <w:rPr>
                <w:rFonts w:ascii="Arial" w:hAnsi="Arial" w:eastAsia="宋体" w:cs="Arial"/>
                <w:sz w:val="21"/>
                <w:szCs w:val="21"/>
                <w:u w:val="single"/>
              </w:rPr>
            </w:pPr>
          </w:p>
        </w:tc>
      </w:tr>
      <w:tr w14:paraId="1527C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1" w:type="pct"/>
            <w:shd w:val="clear" w:color="auto" w:fill="auto"/>
            <w:vAlign w:val="center"/>
          </w:tcPr>
          <w:p w14:paraId="5A980F73">
            <w:pPr>
              <w:pStyle w:val="5"/>
              <w:adjustRightInd w:val="0"/>
              <w:snapToGrid w:val="0"/>
              <w:spacing w:line="240" w:lineRule="auto"/>
              <w:ind w:firstLine="0"/>
              <w:jc w:val="center"/>
              <w:rPr>
                <w:sz w:val="21"/>
                <w:szCs w:val="21"/>
                <w:u w:val="single"/>
              </w:rPr>
            </w:pPr>
          </w:p>
        </w:tc>
        <w:tc>
          <w:tcPr>
            <w:tcW w:w="478" w:type="pct"/>
            <w:shd w:val="clear" w:color="auto" w:fill="auto"/>
            <w:noWrap/>
            <w:vAlign w:val="center"/>
          </w:tcPr>
          <w:p w14:paraId="169599C7">
            <w:pPr>
              <w:adjustRightInd w:val="0"/>
              <w:snapToGrid w:val="0"/>
              <w:jc w:val="center"/>
              <w:rPr>
                <w:rFonts w:ascii="Arial" w:hAnsi="Arial" w:eastAsia="宋体" w:cs="Arial"/>
                <w:sz w:val="21"/>
                <w:szCs w:val="21"/>
                <w:u w:val="single"/>
              </w:rPr>
            </w:pPr>
          </w:p>
        </w:tc>
        <w:tc>
          <w:tcPr>
            <w:tcW w:w="492" w:type="pct"/>
            <w:shd w:val="clear" w:color="auto" w:fill="auto"/>
            <w:noWrap/>
            <w:vAlign w:val="center"/>
          </w:tcPr>
          <w:p w14:paraId="04392975">
            <w:pPr>
              <w:adjustRightInd w:val="0"/>
              <w:snapToGrid w:val="0"/>
              <w:jc w:val="center"/>
              <w:rPr>
                <w:rFonts w:ascii="Arial" w:hAnsi="Arial" w:eastAsia="宋体" w:cs="Arial"/>
                <w:sz w:val="21"/>
                <w:szCs w:val="21"/>
                <w:u w:val="single"/>
              </w:rPr>
            </w:pPr>
          </w:p>
        </w:tc>
        <w:tc>
          <w:tcPr>
            <w:tcW w:w="492" w:type="pct"/>
            <w:shd w:val="clear" w:color="auto" w:fill="auto"/>
            <w:noWrap/>
            <w:vAlign w:val="center"/>
          </w:tcPr>
          <w:p w14:paraId="1FF82FE5">
            <w:pPr>
              <w:adjustRightInd w:val="0"/>
              <w:snapToGrid w:val="0"/>
              <w:jc w:val="center"/>
              <w:rPr>
                <w:rFonts w:ascii="Arial" w:hAnsi="Arial" w:eastAsia="宋体" w:cs="Arial"/>
                <w:sz w:val="21"/>
                <w:szCs w:val="21"/>
                <w:u w:val="single"/>
              </w:rPr>
            </w:pPr>
          </w:p>
        </w:tc>
        <w:tc>
          <w:tcPr>
            <w:tcW w:w="492" w:type="pct"/>
            <w:shd w:val="clear" w:color="auto" w:fill="auto"/>
            <w:noWrap/>
            <w:vAlign w:val="center"/>
          </w:tcPr>
          <w:p w14:paraId="0F52151F">
            <w:pPr>
              <w:adjustRightInd w:val="0"/>
              <w:snapToGrid w:val="0"/>
              <w:jc w:val="center"/>
              <w:rPr>
                <w:rFonts w:ascii="Arial" w:hAnsi="Arial" w:eastAsia="宋体" w:cs="Arial"/>
                <w:sz w:val="21"/>
                <w:szCs w:val="21"/>
                <w:u w:val="single"/>
              </w:rPr>
            </w:pPr>
          </w:p>
        </w:tc>
        <w:tc>
          <w:tcPr>
            <w:tcW w:w="558" w:type="pct"/>
            <w:shd w:val="clear" w:color="auto" w:fill="auto"/>
            <w:vAlign w:val="center"/>
          </w:tcPr>
          <w:p w14:paraId="5B011130">
            <w:pPr>
              <w:adjustRightInd w:val="0"/>
              <w:snapToGrid w:val="0"/>
              <w:jc w:val="center"/>
              <w:rPr>
                <w:rFonts w:ascii="Arial" w:hAnsi="Arial" w:eastAsia="宋体" w:cs="Arial"/>
                <w:sz w:val="21"/>
                <w:szCs w:val="21"/>
                <w:u w:val="single"/>
              </w:rPr>
            </w:pPr>
          </w:p>
        </w:tc>
        <w:tc>
          <w:tcPr>
            <w:tcW w:w="558" w:type="pct"/>
            <w:shd w:val="clear" w:color="auto" w:fill="auto"/>
            <w:vAlign w:val="center"/>
          </w:tcPr>
          <w:p w14:paraId="52FD50DA">
            <w:pPr>
              <w:adjustRightInd w:val="0"/>
              <w:snapToGrid w:val="0"/>
              <w:jc w:val="center"/>
              <w:rPr>
                <w:rFonts w:ascii="Arial" w:hAnsi="Arial" w:eastAsia="宋体" w:cs="Arial"/>
                <w:sz w:val="21"/>
                <w:szCs w:val="21"/>
                <w:u w:val="single"/>
              </w:rPr>
            </w:pPr>
          </w:p>
        </w:tc>
        <w:tc>
          <w:tcPr>
            <w:tcW w:w="492" w:type="pct"/>
            <w:shd w:val="clear" w:color="auto" w:fill="auto"/>
            <w:noWrap/>
            <w:vAlign w:val="center"/>
          </w:tcPr>
          <w:p w14:paraId="5B13A30B">
            <w:pPr>
              <w:adjustRightInd w:val="0"/>
              <w:snapToGrid w:val="0"/>
              <w:jc w:val="center"/>
              <w:rPr>
                <w:rFonts w:ascii="Arial" w:hAnsi="Arial" w:eastAsia="宋体" w:cs="Arial"/>
                <w:sz w:val="21"/>
                <w:szCs w:val="21"/>
                <w:u w:val="single"/>
              </w:rPr>
            </w:pPr>
          </w:p>
        </w:tc>
        <w:tc>
          <w:tcPr>
            <w:tcW w:w="492" w:type="pct"/>
            <w:shd w:val="clear" w:color="auto" w:fill="auto"/>
            <w:noWrap/>
            <w:vAlign w:val="center"/>
          </w:tcPr>
          <w:p w14:paraId="1B62D3C3">
            <w:pPr>
              <w:adjustRightInd w:val="0"/>
              <w:snapToGrid w:val="0"/>
              <w:jc w:val="center"/>
              <w:rPr>
                <w:rFonts w:ascii="Arial" w:hAnsi="Arial" w:eastAsia="宋体" w:cs="Arial"/>
                <w:sz w:val="21"/>
                <w:szCs w:val="21"/>
                <w:u w:val="single"/>
              </w:rPr>
            </w:pPr>
          </w:p>
        </w:tc>
        <w:tc>
          <w:tcPr>
            <w:tcW w:w="554" w:type="pct"/>
            <w:shd w:val="clear" w:color="auto" w:fill="auto"/>
            <w:noWrap/>
            <w:vAlign w:val="center"/>
          </w:tcPr>
          <w:p w14:paraId="39628F7F">
            <w:pPr>
              <w:adjustRightInd w:val="0"/>
              <w:snapToGrid w:val="0"/>
              <w:jc w:val="center"/>
              <w:rPr>
                <w:rFonts w:ascii="Arial" w:hAnsi="Arial" w:eastAsia="宋体" w:cs="Arial"/>
                <w:sz w:val="21"/>
                <w:szCs w:val="21"/>
                <w:u w:val="single"/>
              </w:rPr>
            </w:pPr>
          </w:p>
        </w:tc>
      </w:tr>
    </w:tbl>
    <w:p w14:paraId="3164EC0D">
      <w:pPr>
        <w:pStyle w:val="5"/>
        <w:spacing w:line="500" w:lineRule="exact"/>
        <w:ind w:firstLine="490" w:firstLineChars="200"/>
      </w:pPr>
      <w:r>
        <w:t>2、</w:t>
      </w:r>
      <w:r>
        <w:rPr>
          <w:rFonts w:hint="eastAsia"/>
        </w:rPr>
        <w:t>双氧水</w:t>
      </w:r>
    </w:p>
    <w:p w14:paraId="07C069D8">
      <w:pPr>
        <w:pStyle w:val="5"/>
        <w:spacing w:line="500" w:lineRule="exact"/>
        <w:ind w:firstLine="490" w:firstLineChars="200"/>
      </w:pPr>
      <w:r>
        <w:rPr>
          <w:rFonts w:hint="eastAsia"/>
        </w:rPr>
        <w:t>项目使用的双氧水来源外购，浓度为27.5%，通过槽车运输至厂区存于罐组九，通过管道输送至车间双氧水中间罐供生产使用。</w:t>
      </w:r>
    </w:p>
    <w:p w14:paraId="7BA94301">
      <w:pPr>
        <w:pStyle w:val="5"/>
        <w:spacing w:line="500" w:lineRule="exact"/>
        <w:ind w:firstLine="490" w:firstLineChars="200"/>
      </w:pPr>
      <w:r>
        <w:rPr>
          <w:rFonts w:hint="eastAsia"/>
        </w:rPr>
        <w:t>3、液碱</w:t>
      </w:r>
    </w:p>
    <w:p w14:paraId="277C7EC4">
      <w:pPr>
        <w:pStyle w:val="5"/>
        <w:spacing w:line="500" w:lineRule="exact"/>
        <w:ind w:firstLine="490" w:firstLineChars="200"/>
      </w:pPr>
      <w:r>
        <w:rPr>
          <w:rFonts w:hint="eastAsia"/>
        </w:rPr>
        <w:t>项目使用的液碱来源外购，浓度为32%，通过槽车运输至厂区存于罐组六，通过管道输送至车间液碱中间罐供生产使用。</w:t>
      </w:r>
    </w:p>
    <w:p w14:paraId="6E17F35A">
      <w:pPr>
        <w:pStyle w:val="5"/>
        <w:spacing w:line="500" w:lineRule="exact"/>
        <w:ind w:firstLine="490" w:firstLineChars="200"/>
      </w:pPr>
      <w:r>
        <w:rPr>
          <w:rFonts w:hint="eastAsia"/>
        </w:rPr>
        <w:t>4、氨水</w:t>
      </w:r>
    </w:p>
    <w:p w14:paraId="27DFAED8">
      <w:pPr>
        <w:pStyle w:val="5"/>
        <w:spacing w:line="500" w:lineRule="exact"/>
        <w:ind w:firstLine="490" w:firstLineChars="200"/>
      </w:pPr>
      <w:r>
        <w:rPr>
          <w:kern w:val="0"/>
          <w:szCs w:val="22"/>
          <w:lang w:bidi="ar"/>
        </w:rPr>
        <w:t>项目使用的氨水来源厂区内氨水制备生产线，浓度为</w:t>
      </w:r>
      <w:r>
        <w:rPr>
          <w:rFonts w:hint="eastAsia"/>
          <w:kern w:val="0"/>
          <w:szCs w:val="22"/>
          <w:lang w:bidi="ar"/>
        </w:rPr>
        <w:t>21%，氨水成品储存于罐组七。罐组七的氨水储罐</w:t>
      </w:r>
      <w:r>
        <w:rPr>
          <w:rFonts w:hint="eastAsia"/>
        </w:rPr>
        <w:t>通过管道输送至车间氨水中间罐供生产使用。</w:t>
      </w:r>
    </w:p>
    <w:p w14:paraId="4B4364B7">
      <w:pPr>
        <w:pStyle w:val="5"/>
        <w:spacing w:line="500" w:lineRule="exact"/>
        <w:ind w:firstLine="490" w:firstLineChars="200"/>
        <w:rPr>
          <w:kern w:val="0"/>
          <w:szCs w:val="22"/>
          <w:lang w:bidi="ar"/>
        </w:rPr>
      </w:pPr>
      <w:r>
        <w:rPr>
          <w:rFonts w:hint="eastAsia"/>
          <w:kern w:val="0"/>
          <w:szCs w:val="22"/>
          <w:lang w:bidi="ar"/>
        </w:rPr>
        <w:t>5、硫酸</w:t>
      </w:r>
    </w:p>
    <w:p w14:paraId="737BAEEC">
      <w:pPr>
        <w:pStyle w:val="5"/>
        <w:spacing w:line="500" w:lineRule="exact"/>
        <w:ind w:firstLine="490" w:firstLineChars="200"/>
        <w:rPr>
          <w:kern w:val="0"/>
          <w:szCs w:val="22"/>
          <w:lang w:bidi="ar"/>
        </w:rPr>
      </w:pPr>
      <w:r>
        <w:rPr>
          <w:rFonts w:hint="eastAsia"/>
          <w:kern w:val="0"/>
          <w:szCs w:val="22"/>
          <w:lang w:bidi="ar"/>
        </w:rPr>
        <w:t>项目使用硫酸用于洗涤精密过滤器，硫酸不直接参与生产。98%硫酸储罐于罐组十，</w:t>
      </w:r>
      <w:r>
        <w:rPr>
          <w:rFonts w:hint="eastAsia"/>
        </w:rPr>
        <w:t>通过管道输送至车间配酸罐，调配至20%浓度后供</w:t>
      </w:r>
      <w:r>
        <w:rPr>
          <w:rFonts w:hint="eastAsia"/>
          <w:kern w:val="0"/>
          <w:szCs w:val="22"/>
          <w:lang w:bidi="ar"/>
        </w:rPr>
        <w:t>精密过滤器洗涤使用。</w:t>
      </w:r>
    </w:p>
    <w:p w14:paraId="6AF289E5">
      <w:pPr>
        <w:pStyle w:val="6"/>
        <w:numPr>
          <w:ilvl w:val="2"/>
          <w:numId w:val="11"/>
        </w:numPr>
        <w:tabs>
          <w:tab w:val="left" w:pos="1080"/>
        </w:tabs>
        <w:spacing w:line="400" w:lineRule="exact"/>
        <w:rPr>
          <w:rFonts w:ascii="Arial" w:hAnsi="Arial" w:eastAsia="宋体" w:cs="Arial"/>
        </w:rPr>
      </w:pPr>
      <w:r>
        <w:rPr>
          <w:rFonts w:ascii="Arial" w:hAnsi="Arial" w:eastAsia="宋体" w:cs="Arial"/>
        </w:rPr>
        <w:t>主要生产设备</w:t>
      </w:r>
    </w:p>
    <w:p w14:paraId="75A10143">
      <w:pPr>
        <w:pStyle w:val="5"/>
        <w:rPr>
          <w:u w:val="single"/>
        </w:rPr>
      </w:pPr>
      <w:r>
        <w:rPr>
          <w:rFonts w:hint="eastAsia"/>
          <w:u w:val="single"/>
        </w:rPr>
        <w:t>项目湿区利用原金属溶解槽变更为溶解槽、储槽、陈化槽、洗水槽；利用原3套板框压滤机，同时新增5套；新增2台反应釜、6个浆化槽和2套精密过滤器，剩余不能利用的设备拆除外售。干区新增单体烘箱、气流磨、封包机、破碎机、上料机、包装机及其他辅助设备。现变更后的设备已安装完毕，目前处于调试试生产阶段。项目变更后主要设备见表2-20。</w:t>
      </w:r>
    </w:p>
    <w:p w14:paraId="3CBA56E9">
      <w:pPr>
        <w:pStyle w:val="5"/>
        <w:keepNext/>
        <w:numPr>
          <w:ilvl w:val="0"/>
          <w:numId w:val="12"/>
        </w:numPr>
        <w:spacing w:line="480" w:lineRule="exact"/>
        <w:ind w:left="0" w:firstLine="0"/>
        <w:jc w:val="center"/>
        <w:outlineLvl w:val="4"/>
        <w:rPr>
          <w:b/>
        </w:rPr>
      </w:pPr>
      <w:r>
        <w:rPr>
          <w:b/>
        </w:rPr>
        <w:t>主要设备表</w:t>
      </w:r>
    </w:p>
    <w:tbl>
      <w:tblPr>
        <w:tblStyle w:val="88"/>
        <w:tblW w:w="5000" w:type="pct"/>
        <w:tblInd w:w="0" w:type="dxa"/>
        <w:tblLayout w:type="autofit"/>
        <w:tblCellMar>
          <w:top w:w="0" w:type="dxa"/>
          <w:left w:w="108" w:type="dxa"/>
          <w:bottom w:w="0" w:type="dxa"/>
          <w:right w:w="108" w:type="dxa"/>
        </w:tblCellMar>
      </w:tblPr>
      <w:tblGrid>
        <w:gridCol w:w="1809"/>
        <w:gridCol w:w="1984"/>
        <w:gridCol w:w="2978"/>
        <w:gridCol w:w="708"/>
        <w:gridCol w:w="1809"/>
      </w:tblGrid>
      <w:tr w14:paraId="180D1F55">
        <w:tblPrEx>
          <w:tblCellMar>
            <w:top w:w="0" w:type="dxa"/>
            <w:left w:w="108" w:type="dxa"/>
            <w:bottom w:w="0" w:type="dxa"/>
            <w:right w:w="108" w:type="dxa"/>
          </w:tblCellMar>
        </w:tblPrEx>
        <w:trPr>
          <w:trHeight w:val="340" w:hRule="atLeast"/>
        </w:trPr>
        <w:tc>
          <w:tcPr>
            <w:tcW w:w="9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4EDF4">
            <w:pPr>
              <w:widowControl/>
              <w:adjustRightInd w:val="0"/>
              <w:snapToGrid w:val="0"/>
              <w:jc w:val="center"/>
              <w:textAlignment w:val="center"/>
              <w:rPr>
                <w:rFonts w:ascii="Arial" w:hAnsi="Arial" w:eastAsia="宋体" w:cs="Arial"/>
                <w:b/>
                <w:bCs/>
                <w:sz w:val="21"/>
                <w:szCs w:val="21"/>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98427">
            <w:pPr>
              <w:widowControl/>
              <w:adjustRightInd w:val="0"/>
              <w:snapToGrid w:val="0"/>
              <w:jc w:val="center"/>
              <w:textAlignment w:val="center"/>
              <w:rPr>
                <w:rFonts w:ascii="Arial" w:hAnsi="Arial" w:eastAsia="宋体" w:cs="Arial"/>
                <w:b/>
                <w:bCs/>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FB632">
            <w:pPr>
              <w:widowControl/>
              <w:adjustRightInd w:val="0"/>
              <w:snapToGrid w:val="0"/>
              <w:jc w:val="center"/>
              <w:textAlignment w:val="center"/>
              <w:rPr>
                <w:rFonts w:ascii="Arial" w:hAnsi="Arial" w:eastAsia="宋体" w:cs="Arial"/>
                <w:b/>
                <w:bCs/>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D508A">
            <w:pPr>
              <w:widowControl/>
              <w:adjustRightInd w:val="0"/>
              <w:snapToGrid w:val="0"/>
              <w:jc w:val="center"/>
              <w:textAlignment w:val="center"/>
              <w:rPr>
                <w:rFonts w:ascii="Arial" w:hAnsi="Arial" w:eastAsia="宋体" w:cs="Arial"/>
                <w:b/>
                <w:bCs/>
                <w:sz w:val="21"/>
                <w:szCs w:val="21"/>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636796B2">
            <w:pPr>
              <w:widowControl/>
              <w:adjustRightInd w:val="0"/>
              <w:snapToGrid w:val="0"/>
              <w:jc w:val="center"/>
              <w:textAlignment w:val="center"/>
              <w:rPr>
                <w:rFonts w:ascii="Arial" w:hAnsi="Arial" w:eastAsia="宋体" w:cs="Arial"/>
                <w:b/>
                <w:bCs/>
                <w:kern w:val="0"/>
                <w:sz w:val="21"/>
                <w:szCs w:val="21"/>
                <w:lang w:bidi="ar"/>
              </w:rPr>
            </w:pPr>
          </w:p>
        </w:tc>
      </w:tr>
      <w:tr w14:paraId="3757D3EC">
        <w:tblPrEx>
          <w:tblCellMar>
            <w:top w:w="0" w:type="dxa"/>
            <w:left w:w="108" w:type="dxa"/>
            <w:bottom w:w="0" w:type="dxa"/>
            <w:right w:w="108" w:type="dxa"/>
          </w:tblCellMar>
        </w:tblPrEx>
        <w:trPr>
          <w:trHeight w:val="340" w:hRule="atLeast"/>
        </w:trPr>
        <w:tc>
          <w:tcPr>
            <w:tcW w:w="974" w:type="pct"/>
            <w:vMerge w:val="restart"/>
            <w:tcBorders>
              <w:top w:val="single" w:color="000000" w:sz="4" w:space="0"/>
              <w:left w:val="single" w:color="000000" w:sz="4" w:space="0"/>
              <w:right w:val="single" w:color="000000" w:sz="4" w:space="0"/>
            </w:tcBorders>
            <w:shd w:val="clear" w:color="auto" w:fill="auto"/>
            <w:noWrap/>
            <w:vAlign w:val="center"/>
          </w:tcPr>
          <w:p w14:paraId="4A77AC3C">
            <w:pPr>
              <w:widowControl/>
              <w:adjustRightInd w:val="0"/>
              <w:snapToGrid w:val="0"/>
              <w:jc w:val="center"/>
              <w:textAlignment w:val="center"/>
              <w:rPr>
                <w:rFonts w:ascii="Arial" w:hAnsi="Arial" w:eastAsia="宋体" w:cs="Arial"/>
                <w:sz w:val="21"/>
                <w:szCs w:val="21"/>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76804">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E42B5">
            <w:pPr>
              <w:widowControl/>
              <w:adjustRightInd w:val="0"/>
              <w:snapToGrid w:val="0"/>
              <w:jc w:val="center"/>
              <w:textAlignment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21144">
            <w:pPr>
              <w:widowControl/>
              <w:adjustRightInd w:val="0"/>
              <w:snapToGrid w:val="0"/>
              <w:jc w:val="center"/>
              <w:textAlignment w:val="center"/>
              <w:rPr>
                <w:rFonts w:ascii="Arial" w:hAnsi="Arial" w:eastAsia="宋体" w:cs="Arial"/>
                <w:sz w:val="21"/>
                <w:szCs w:val="21"/>
              </w:rPr>
            </w:pPr>
          </w:p>
        </w:tc>
        <w:tc>
          <w:tcPr>
            <w:tcW w:w="974" w:type="pct"/>
            <w:vMerge w:val="restart"/>
            <w:tcBorders>
              <w:top w:val="single" w:color="000000" w:sz="4" w:space="0"/>
              <w:left w:val="single" w:color="000000" w:sz="4" w:space="0"/>
              <w:right w:val="single" w:color="000000" w:sz="4" w:space="0"/>
            </w:tcBorders>
            <w:vAlign w:val="center"/>
          </w:tcPr>
          <w:p w14:paraId="406D2CAE">
            <w:pPr>
              <w:adjustRightInd w:val="0"/>
              <w:snapToGrid w:val="0"/>
              <w:jc w:val="center"/>
              <w:textAlignment w:val="center"/>
              <w:rPr>
                <w:rFonts w:ascii="Arial" w:hAnsi="Arial" w:eastAsia="宋体" w:cs="Arial"/>
                <w:kern w:val="0"/>
                <w:sz w:val="21"/>
                <w:szCs w:val="21"/>
                <w:lang w:bidi="ar"/>
              </w:rPr>
            </w:pPr>
          </w:p>
        </w:tc>
      </w:tr>
      <w:tr w14:paraId="5BA8AEF5">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3F69CDDD">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B7BEA">
            <w:pPr>
              <w:widowControl/>
              <w:adjustRightInd w:val="0"/>
              <w:snapToGrid w:val="0"/>
              <w:jc w:val="center"/>
              <w:textAlignment w:val="center"/>
              <w:rPr>
                <w:rFonts w:ascii="Arial" w:hAnsi="Arial" w:eastAsia="宋体" w:cs="Arial"/>
                <w:kern w:val="0"/>
                <w:sz w:val="21"/>
                <w:szCs w:val="21"/>
                <w:lang w:bidi="ar"/>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D97AD">
            <w:pPr>
              <w:widowControl/>
              <w:adjustRightInd w:val="0"/>
              <w:snapToGrid w:val="0"/>
              <w:jc w:val="center"/>
              <w:textAlignment w:val="center"/>
              <w:rPr>
                <w:rFonts w:ascii="Arial" w:hAnsi="Arial" w:eastAsia="宋体" w:cs="Arial"/>
                <w:kern w:val="0"/>
                <w:sz w:val="21"/>
                <w:szCs w:val="21"/>
                <w:lang w:bidi="ar"/>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08F41">
            <w:pPr>
              <w:widowControl/>
              <w:adjustRightInd w:val="0"/>
              <w:snapToGrid w:val="0"/>
              <w:jc w:val="center"/>
              <w:textAlignment w:val="center"/>
              <w:rPr>
                <w:rFonts w:ascii="Arial" w:hAnsi="Arial" w:eastAsia="宋体" w:cs="Arial"/>
                <w:kern w:val="0"/>
                <w:sz w:val="21"/>
                <w:szCs w:val="21"/>
                <w:lang w:bidi="ar"/>
              </w:rPr>
            </w:pPr>
          </w:p>
        </w:tc>
        <w:tc>
          <w:tcPr>
            <w:tcW w:w="974" w:type="pct"/>
            <w:vMerge w:val="continue"/>
            <w:tcBorders>
              <w:left w:val="single" w:color="000000" w:sz="4" w:space="0"/>
              <w:right w:val="single" w:color="000000" w:sz="4" w:space="0"/>
            </w:tcBorders>
            <w:vAlign w:val="center"/>
          </w:tcPr>
          <w:p w14:paraId="1C148E6D">
            <w:pPr>
              <w:widowControl/>
              <w:adjustRightInd w:val="0"/>
              <w:snapToGrid w:val="0"/>
              <w:jc w:val="center"/>
              <w:textAlignment w:val="center"/>
              <w:rPr>
                <w:rFonts w:ascii="Arial" w:hAnsi="Arial" w:eastAsia="宋体" w:cs="Arial"/>
                <w:kern w:val="0"/>
                <w:sz w:val="21"/>
                <w:szCs w:val="21"/>
                <w:u w:val="single"/>
                <w:lang w:bidi="ar"/>
              </w:rPr>
            </w:pPr>
          </w:p>
        </w:tc>
      </w:tr>
      <w:tr w14:paraId="59E4721F">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714CD228">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72A9D">
            <w:pPr>
              <w:widowControl/>
              <w:adjustRightInd w:val="0"/>
              <w:snapToGrid w:val="0"/>
              <w:jc w:val="center"/>
              <w:textAlignment w:val="center"/>
              <w:rPr>
                <w:rFonts w:ascii="Arial" w:hAnsi="Arial" w:eastAsia="宋体" w:cs="Arial"/>
                <w:kern w:val="0"/>
                <w:sz w:val="21"/>
                <w:szCs w:val="21"/>
                <w:lang w:bidi="ar"/>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A9A09">
            <w:pPr>
              <w:widowControl/>
              <w:adjustRightInd w:val="0"/>
              <w:snapToGrid w:val="0"/>
              <w:jc w:val="center"/>
              <w:textAlignment w:val="center"/>
              <w:rPr>
                <w:rFonts w:ascii="Arial" w:hAnsi="Arial" w:eastAsia="宋体" w:cs="Arial"/>
                <w:kern w:val="0"/>
                <w:sz w:val="21"/>
                <w:szCs w:val="21"/>
                <w:lang w:bidi="ar"/>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40C4E">
            <w:pPr>
              <w:widowControl/>
              <w:adjustRightInd w:val="0"/>
              <w:snapToGrid w:val="0"/>
              <w:jc w:val="center"/>
              <w:textAlignment w:val="center"/>
              <w:rPr>
                <w:rFonts w:ascii="Arial" w:hAnsi="Arial" w:eastAsia="宋体" w:cs="Arial"/>
                <w:kern w:val="0"/>
                <w:sz w:val="21"/>
                <w:szCs w:val="21"/>
                <w:lang w:bidi="ar"/>
              </w:rPr>
            </w:pPr>
          </w:p>
        </w:tc>
        <w:tc>
          <w:tcPr>
            <w:tcW w:w="974" w:type="pct"/>
            <w:vMerge w:val="continue"/>
            <w:tcBorders>
              <w:left w:val="single" w:color="000000" w:sz="4" w:space="0"/>
              <w:right w:val="single" w:color="000000" w:sz="4" w:space="0"/>
            </w:tcBorders>
            <w:vAlign w:val="center"/>
          </w:tcPr>
          <w:p w14:paraId="6228FFA6">
            <w:pPr>
              <w:widowControl/>
              <w:adjustRightInd w:val="0"/>
              <w:snapToGrid w:val="0"/>
              <w:jc w:val="center"/>
              <w:textAlignment w:val="center"/>
              <w:rPr>
                <w:rFonts w:ascii="Arial" w:hAnsi="Arial" w:eastAsia="宋体" w:cs="Arial"/>
                <w:kern w:val="0"/>
                <w:sz w:val="21"/>
                <w:szCs w:val="21"/>
                <w:lang w:bidi="ar"/>
              </w:rPr>
            </w:pPr>
          </w:p>
        </w:tc>
      </w:tr>
      <w:tr w14:paraId="7DB95C1A">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2BFB01E7">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4D14F">
            <w:pPr>
              <w:widowControl/>
              <w:adjustRightInd w:val="0"/>
              <w:snapToGrid w:val="0"/>
              <w:jc w:val="center"/>
              <w:textAlignment w:val="center"/>
              <w:rPr>
                <w:rFonts w:ascii="Arial" w:hAnsi="Arial" w:eastAsia="宋体" w:cs="Arial"/>
                <w:kern w:val="0"/>
                <w:sz w:val="21"/>
                <w:szCs w:val="21"/>
                <w:lang w:bidi="ar"/>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EAE1A">
            <w:pPr>
              <w:widowControl/>
              <w:adjustRightInd w:val="0"/>
              <w:snapToGrid w:val="0"/>
              <w:jc w:val="center"/>
              <w:textAlignment w:val="center"/>
              <w:rPr>
                <w:rFonts w:ascii="Arial" w:hAnsi="Arial" w:eastAsia="宋体" w:cs="Arial"/>
                <w:kern w:val="0"/>
                <w:sz w:val="21"/>
                <w:szCs w:val="21"/>
                <w:lang w:bidi="ar"/>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9CC39">
            <w:pPr>
              <w:widowControl/>
              <w:adjustRightInd w:val="0"/>
              <w:snapToGrid w:val="0"/>
              <w:jc w:val="center"/>
              <w:textAlignment w:val="center"/>
              <w:rPr>
                <w:rFonts w:ascii="Arial" w:hAnsi="Arial" w:eastAsia="宋体" w:cs="Arial"/>
                <w:kern w:val="0"/>
                <w:sz w:val="21"/>
                <w:szCs w:val="21"/>
                <w:lang w:bidi="ar"/>
              </w:rPr>
            </w:pPr>
          </w:p>
        </w:tc>
        <w:tc>
          <w:tcPr>
            <w:tcW w:w="974" w:type="pct"/>
            <w:vMerge w:val="continue"/>
            <w:tcBorders>
              <w:left w:val="single" w:color="000000" w:sz="4" w:space="0"/>
              <w:bottom w:val="single" w:color="000000" w:sz="4" w:space="0"/>
              <w:right w:val="single" w:color="000000" w:sz="4" w:space="0"/>
            </w:tcBorders>
            <w:vAlign w:val="center"/>
          </w:tcPr>
          <w:p w14:paraId="2E2C8A10">
            <w:pPr>
              <w:widowControl/>
              <w:adjustRightInd w:val="0"/>
              <w:snapToGrid w:val="0"/>
              <w:jc w:val="center"/>
              <w:textAlignment w:val="center"/>
              <w:rPr>
                <w:rFonts w:ascii="Arial" w:hAnsi="Arial" w:eastAsia="宋体" w:cs="Arial"/>
                <w:kern w:val="0"/>
                <w:sz w:val="21"/>
                <w:szCs w:val="21"/>
                <w:lang w:bidi="ar"/>
              </w:rPr>
            </w:pPr>
          </w:p>
        </w:tc>
      </w:tr>
      <w:tr w14:paraId="4E0B95FF">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4B0F5EE9">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8E816">
            <w:pPr>
              <w:widowControl/>
              <w:adjustRightInd w:val="0"/>
              <w:snapToGrid w:val="0"/>
              <w:jc w:val="center"/>
              <w:textAlignment w:val="center"/>
              <w:rPr>
                <w:rFonts w:ascii="Arial" w:hAnsi="Arial" w:eastAsia="宋体" w:cs="Arial"/>
                <w:kern w:val="0"/>
                <w:sz w:val="21"/>
                <w:szCs w:val="21"/>
                <w:lang w:bidi="ar"/>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C6CDB">
            <w:pPr>
              <w:widowControl/>
              <w:adjustRightInd w:val="0"/>
              <w:snapToGrid w:val="0"/>
              <w:jc w:val="center"/>
              <w:textAlignment w:val="center"/>
              <w:rPr>
                <w:rFonts w:ascii="Arial" w:hAnsi="Arial" w:eastAsia="宋体" w:cs="Arial"/>
                <w:kern w:val="0"/>
                <w:sz w:val="21"/>
                <w:szCs w:val="21"/>
                <w:lang w:bidi="ar"/>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8F7BC">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3EA4A99C">
            <w:pPr>
              <w:widowControl/>
              <w:adjustRightInd w:val="0"/>
              <w:snapToGrid w:val="0"/>
              <w:jc w:val="center"/>
              <w:textAlignment w:val="center"/>
              <w:rPr>
                <w:rFonts w:ascii="Arial" w:hAnsi="Arial" w:eastAsia="宋体" w:cs="Arial"/>
                <w:kern w:val="0"/>
                <w:sz w:val="21"/>
                <w:szCs w:val="21"/>
                <w:lang w:bidi="ar"/>
              </w:rPr>
            </w:pPr>
          </w:p>
        </w:tc>
      </w:tr>
      <w:tr w14:paraId="7053B86B">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2D8626B0">
            <w:pPr>
              <w:widowControl/>
              <w:adjustRightInd w:val="0"/>
              <w:snapToGrid w:val="0"/>
              <w:jc w:val="center"/>
              <w:textAlignment w:val="center"/>
              <w:rPr>
                <w:rFonts w:ascii="Arial" w:hAnsi="Arial" w:eastAsia="宋体" w:cs="Arial"/>
                <w:sz w:val="21"/>
                <w:szCs w:val="21"/>
              </w:rPr>
            </w:pPr>
          </w:p>
        </w:tc>
        <w:tc>
          <w:tcPr>
            <w:tcW w:w="1068" w:type="pct"/>
            <w:vMerge w:val="restart"/>
            <w:tcBorders>
              <w:top w:val="single" w:color="000000" w:sz="4" w:space="0"/>
              <w:left w:val="single" w:color="000000" w:sz="4" w:space="0"/>
              <w:right w:val="single" w:color="000000" w:sz="4" w:space="0"/>
            </w:tcBorders>
            <w:shd w:val="clear" w:color="auto" w:fill="auto"/>
            <w:noWrap/>
            <w:vAlign w:val="center"/>
          </w:tcPr>
          <w:p w14:paraId="0E86F99E">
            <w:pPr>
              <w:widowControl/>
              <w:adjustRightInd w:val="0"/>
              <w:snapToGrid w:val="0"/>
              <w:jc w:val="center"/>
              <w:textAlignment w:val="center"/>
              <w:rPr>
                <w:rFonts w:ascii="Arial" w:hAnsi="Arial" w:eastAsia="宋体" w:cs="Arial"/>
                <w:sz w:val="21"/>
                <w:szCs w:val="21"/>
              </w:rPr>
            </w:pPr>
          </w:p>
        </w:tc>
        <w:tc>
          <w:tcPr>
            <w:tcW w:w="1603" w:type="pct"/>
            <w:vMerge w:val="restart"/>
            <w:tcBorders>
              <w:top w:val="single" w:color="000000" w:sz="4" w:space="0"/>
              <w:left w:val="single" w:color="000000" w:sz="4" w:space="0"/>
              <w:right w:val="single" w:color="000000" w:sz="4" w:space="0"/>
            </w:tcBorders>
            <w:shd w:val="clear" w:color="auto" w:fill="auto"/>
            <w:noWrap/>
            <w:vAlign w:val="center"/>
          </w:tcPr>
          <w:p w14:paraId="6B22E768">
            <w:pPr>
              <w:widowControl/>
              <w:adjustRightInd w:val="0"/>
              <w:snapToGrid w:val="0"/>
              <w:jc w:val="center"/>
              <w:textAlignment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465C9">
            <w:pPr>
              <w:widowControl/>
              <w:adjustRightInd w:val="0"/>
              <w:snapToGrid w:val="0"/>
              <w:jc w:val="center"/>
              <w:textAlignment w:val="center"/>
              <w:rPr>
                <w:rFonts w:ascii="Arial" w:hAnsi="Arial" w:eastAsia="宋体" w:cs="Arial"/>
                <w:sz w:val="21"/>
                <w:szCs w:val="21"/>
                <w:u w:val="single"/>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6A91A429">
            <w:pPr>
              <w:widowControl/>
              <w:adjustRightInd w:val="0"/>
              <w:snapToGrid w:val="0"/>
              <w:jc w:val="center"/>
              <w:textAlignment w:val="center"/>
              <w:rPr>
                <w:rFonts w:ascii="Arial" w:hAnsi="Arial" w:eastAsia="宋体" w:cs="Arial"/>
                <w:kern w:val="0"/>
                <w:sz w:val="21"/>
                <w:szCs w:val="21"/>
                <w:u w:val="single"/>
                <w:lang w:bidi="ar"/>
              </w:rPr>
            </w:pPr>
          </w:p>
        </w:tc>
      </w:tr>
      <w:tr w14:paraId="734781AA">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56D6E6EB">
            <w:pPr>
              <w:widowControl/>
              <w:adjustRightInd w:val="0"/>
              <w:snapToGrid w:val="0"/>
              <w:jc w:val="center"/>
              <w:textAlignment w:val="center"/>
              <w:rPr>
                <w:rFonts w:ascii="Arial" w:hAnsi="Arial" w:eastAsia="宋体" w:cs="Arial"/>
                <w:sz w:val="21"/>
                <w:szCs w:val="21"/>
              </w:rPr>
            </w:pPr>
          </w:p>
        </w:tc>
        <w:tc>
          <w:tcPr>
            <w:tcW w:w="1068" w:type="pct"/>
            <w:vMerge w:val="continue"/>
            <w:tcBorders>
              <w:left w:val="single" w:color="000000" w:sz="4" w:space="0"/>
              <w:bottom w:val="single" w:color="000000" w:sz="4" w:space="0"/>
              <w:right w:val="single" w:color="000000" w:sz="4" w:space="0"/>
            </w:tcBorders>
            <w:shd w:val="clear" w:color="auto" w:fill="auto"/>
            <w:noWrap/>
            <w:vAlign w:val="center"/>
          </w:tcPr>
          <w:p w14:paraId="0D659D91">
            <w:pPr>
              <w:widowControl/>
              <w:adjustRightInd w:val="0"/>
              <w:snapToGrid w:val="0"/>
              <w:jc w:val="center"/>
              <w:textAlignment w:val="center"/>
              <w:rPr>
                <w:rFonts w:ascii="Arial" w:hAnsi="Arial" w:eastAsia="宋体" w:cs="Arial"/>
                <w:kern w:val="0"/>
                <w:sz w:val="21"/>
                <w:szCs w:val="21"/>
                <w:lang w:bidi="ar"/>
              </w:rPr>
            </w:pPr>
          </w:p>
        </w:tc>
        <w:tc>
          <w:tcPr>
            <w:tcW w:w="1603" w:type="pct"/>
            <w:vMerge w:val="continue"/>
            <w:tcBorders>
              <w:left w:val="single" w:color="000000" w:sz="4" w:space="0"/>
              <w:bottom w:val="single" w:color="000000" w:sz="4" w:space="0"/>
              <w:right w:val="single" w:color="000000" w:sz="4" w:space="0"/>
            </w:tcBorders>
            <w:shd w:val="clear" w:color="auto" w:fill="auto"/>
            <w:noWrap/>
            <w:vAlign w:val="center"/>
          </w:tcPr>
          <w:p w14:paraId="0E5A6F23">
            <w:pPr>
              <w:widowControl/>
              <w:adjustRightInd w:val="0"/>
              <w:snapToGrid w:val="0"/>
              <w:jc w:val="center"/>
              <w:textAlignment w:val="center"/>
              <w:rPr>
                <w:rFonts w:ascii="Arial" w:hAnsi="Arial" w:eastAsia="宋体" w:cs="Arial"/>
                <w:kern w:val="0"/>
                <w:sz w:val="21"/>
                <w:szCs w:val="21"/>
                <w:lang w:bidi="ar"/>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652AE">
            <w:pPr>
              <w:widowControl/>
              <w:adjustRightInd w:val="0"/>
              <w:snapToGrid w:val="0"/>
              <w:jc w:val="center"/>
              <w:textAlignment w:val="center"/>
              <w:rPr>
                <w:rFonts w:ascii="Arial" w:hAnsi="Arial" w:eastAsia="宋体" w:cs="Arial"/>
                <w:kern w:val="0"/>
                <w:sz w:val="21"/>
                <w:szCs w:val="21"/>
                <w:u w:val="single"/>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767EA331">
            <w:pPr>
              <w:widowControl/>
              <w:adjustRightInd w:val="0"/>
              <w:snapToGrid w:val="0"/>
              <w:jc w:val="center"/>
              <w:textAlignment w:val="center"/>
              <w:rPr>
                <w:rFonts w:ascii="Arial" w:hAnsi="Arial" w:eastAsia="宋体" w:cs="Arial"/>
                <w:kern w:val="0"/>
                <w:sz w:val="21"/>
                <w:szCs w:val="21"/>
                <w:u w:val="single"/>
                <w:lang w:bidi="ar"/>
              </w:rPr>
            </w:pPr>
          </w:p>
        </w:tc>
      </w:tr>
      <w:tr w14:paraId="641F4E20">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19464222">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3D111">
            <w:pPr>
              <w:widowControl/>
              <w:adjustRightInd w:val="0"/>
              <w:snapToGrid w:val="0"/>
              <w:jc w:val="center"/>
              <w:textAlignment w:val="center"/>
              <w:rPr>
                <w:rFonts w:ascii="Arial" w:hAnsi="Arial" w:eastAsia="宋体" w:cs="Arial"/>
                <w:kern w:val="0"/>
                <w:sz w:val="21"/>
                <w:szCs w:val="21"/>
                <w:lang w:bidi="ar"/>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8544B">
            <w:pPr>
              <w:widowControl/>
              <w:adjustRightInd w:val="0"/>
              <w:snapToGrid w:val="0"/>
              <w:jc w:val="center"/>
              <w:textAlignment w:val="center"/>
              <w:rPr>
                <w:rFonts w:ascii="Arial" w:hAnsi="Arial" w:eastAsia="宋体" w:cs="Arial"/>
                <w:kern w:val="0"/>
                <w:sz w:val="21"/>
                <w:szCs w:val="21"/>
                <w:lang w:bidi="ar"/>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66FED">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4A20B728">
            <w:pPr>
              <w:widowControl/>
              <w:adjustRightInd w:val="0"/>
              <w:snapToGrid w:val="0"/>
              <w:jc w:val="center"/>
              <w:textAlignment w:val="center"/>
              <w:rPr>
                <w:rFonts w:ascii="Arial" w:hAnsi="Arial" w:eastAsia="宋体" w:cs="Arial"/>
                <w:kern w:val="0"/>
                <w:sz w:val="21"/>
                <w:szCs w:val="21"/>
                <w:lang w:bidi="ar"/>
              </w:rPr>
            </w:pPr>
          </w:p>
        </w:tc>
      </w:tr>
      <w:tr w14:paraId="1FDAA57F">
        <w:tblPrEx>
          <w:tblCellMar>
            <w:top w:w="0" w:type="dxa"/>
            <w:left w:w="108" w:type="dxa"/>
            <w:bottom w:w="0" w:type="dxa"/>
            <w:right w:w="108" w:type="dxa"/>
          </w:tblCellMar>
        </w:tblPrEx>
        <w:trPr>
          <w:trHeight w:val="340" w:hRule="atLeast"/>
        </w:trPr>
        <w:tc>
          <w:tcPr>
            <w:tcW w:w="974" w:type="pct"/>
            <w:vMerge w:val="continue"/>
            <w:tcBorders>
              <w:left w:val="single" w:color="000000" w:sz="4" w:space="0"/>
              <w:bottom w:val="single" w:color="000000" w:sz="4" w:space="0"/>
              <w:right w:val="single" w:color="000000" w:sz="4" w:space="0"/>
            </w:tcBorders>
            <w:shd w:val="clear" w:color="auto" w:fill="auto"/>
            <w:noWrap/>
            <w:vAlign w:val="center"/>
          </w:tcPr>
          <w:p w14:paraId="2004FE3D">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A311D">
            <w:pPr>
              <w:widowControl/>
              <w:adjustRightInd w:val="0"/>
              <w:snapToGrid w:val="0"/>
              <w:jc w:val="center"/>
              <w:textAlignment w:val="center"/>
              <w:rPr>
                <w:rFonts w:ascii="Arial" w:hAnsi="Arial" w:eastAsia="宋体" w:cs="Arial"/>
                <w:kern w:val="0"/>
                <w:sz w:val="21"/>
                <w:szCs w:val="21"/>
                <w:lang w:bidi="ar"/>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B2644">
            <w:pPr>
              <w:widowControl/>
              <w:adjustRightInd w:val="0"/>
              <w:snapToGrid w:val="0"/>
              <w:jc w:val="center"/>
              <w:textAlignment w:val="center"/>
              <w:rPr>
                <w:rFonts w:ascii="Arial" w:hAnsi="Arial" w:eastAsia="宋体" w:cs="Arial"/>
                <w:kern w:val="0"/>
                <w:sz w:val="21"/>
                <w:szCs w:val="21"/>
                <w:lang w:bidi="ar"/>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7B494">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0D375C3F">
            <w:pPr>
              <w:widowControl/>
              <w:adjustRightInd w:val="0"/>
              <w:snapToGrid w:val="0"/>
              <w:jc w:val="center"/>
              <w:textAlignment w:val="center"/>
              <w:rPr>
                <w:rFonts w:ascii="Arial" w:hAnsi="Arial" w:eastAsia="宋体" w:cs="Arial"/>
                <w:kern w:val="0"/>
                <w:sz w:val="21"/>
                <w:szCs w:val="21"/>
                <w:lang w:bidi="ar"/>
              </w:rPr>
            </w:pPr>
          </w:p>
        </w:tc>
      </w:tr>
      <w:tr w14:paraId="0EA35CE3">
        <w:tblPrEx>
          <w:tblCellMar>
            <w:top w:w="0" w:type="dxa"/>
            <w:left w:w="108" w:type="dxa"/>
            <w:bottom w:w="0" w:type="dxa"/>
            <w:right w:w="108" w:type="dxa"/>
          </w:tblCellMar>
        </w:tblPrEx>
        <w:trPr>
          <w:trHeight w:val="340" w:hRule="atLeast"/>
        </w:trPr>
        <w:tc>
          <w:tcPr>
            <w:tcW w:w="974" w:type="pct"/>
            <w:vMerge w:val="restart"/>
            <w:tcBorders>
              <w:top w:val="single" w:color="000000" w:sz="4" w:space="0"/>
              <w:left w:val="single" w:color="000000" w:sz="4" w:space="0"/>
              <w:right w:val="single" w:color="000000" w:sz="4" w:space="0"/>
            </w:tcBorders>
            <w:shd w:val="clear" w:color="auto" w:fill="auto"/>
            <w:noWrap/>
            <w:vAlign w:val="center"/>
          </w:tcPr>
          <w:p w14:paraId="220BACFD">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83410">
            <w:pPr>
              <w:widowControl/>
              <w:adjustRightInd w:val="0"/>
              <w:snapToGrid w:val="0"/>
              <w:jc w:val="center"/>
              <w:textAlignment w:val="center"/>
              <w:rPr>
                <w:rFonts w:ascii="Arial" w:hAnsi="Arial" w:eastAsia="宋体" w:cs="Arial"/>
                <w:kern w:val="0"/>
                <w:sz w:val="21"/>
                <w:szCs w:val="21"/>
                <w:lang w:bidi="ar"/>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20E99">
            <w:pPr>
              <w:widowControl/>
              <w:adjustRightInd w:val="0"/>
              <w:snapToGrid w:val="0"/>
              <w:jc w:val="center"/>
              <w:textAlignment w:val="center"/>
              <w:rPr>
                <w:rFonts w:ascii="Arial" w:hAnsi="Arial" w:eastAsia="宋体" w:cs="Arial"/>
                <w:kern w:val="0"/>
                <w:sz w:val="21"/>
                <w:szCs w:val="21"/>
                <w:lang w:bidi="ar"/>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6D3AE">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59939AB8">
            <w:pPr>
              <w:widowControl/>
              <w:adjustRightInd w:val="0"/>
              <w:snapToGrid w:val="0"/>
              <w:jc w:val="center"/>
              <w:textAlignment w:val="center"/>
              <w:rPr>
                <w:rFonts w:ascii="Arial" w:hAnsi="Arial" w:eastAsia="宋体" w:cs="Arial"/>
                <w:kern w:val="0"/>
                <w:sz w:val="21"/>
                <w:szCs w:val="21"/>
                <w:lang w:bidi="ar"/>
              </w:rPr>
            </w:pPr>
          </w:p>
        </w:tc>
      </w:tr>
      <w:tr w14:paraId="71AE73A0">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2C2F345A">
            <w:pPr>
              <w:widowControl/>
              <w:adjustRightInd w:val="0"/>
              <w:snapToGrid w:val="0"/>
              <w:jc w:val="center"/>
              <w:textAlignment w:val="center"/>
              <w:rPr>
                <w:rFonts w:ascii="Arial" w:hAnsi="Arial" w:eastAsia="宋体" w:cs="Arial"/>
                <w:sz w:val="21"/>
                <w:szCs w:val="21"/>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829E7">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C4827">
            <w:pPr>
              <w:widowControl/>
              <w:adjustRightInd w:val="0"/>
              <w:snapToGrid w:val="0"/>
              <w:jc w:val="center"/>
              <w:textAlignment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8D3B7">
            <w:pPr>
              <w:widowControl/>
              <w:adjustRightInd w:val="0"/>
              <w:snapToGrid w:val="0"/>
              <w:jc w:val="center"/>
              <w:textAlignment w:val="center"/>
              <w:rPr>
                <w:rFonts w:ascii="Arial" w:hAnsi="Arial" w:eastAsia="宋体" w:cs="Arial"/>
                <w:sz w:val="21"/>
                <w:szCs w:val="21"/>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647EDB43">
            <w:pPr>
              <w:widowControl/>
              <w:adjustRightInd w:val="0"/>
              <w:snapToGrid w:val="0"/>
              <w:jc w:val="center"/>
              <w:textAlignment w:val="center"/>
              <w:rPr>
                <w:rFonts w:ascii="Arial" w:hAnsi="Arial" w:eastAsia="宋体" w:cs="Arial"/>
                <w:kern w:val="0"/>
                <w:sz w:val="21"/>
                <w:szCs w:val="21"/>
                <w:lang w:bidi="ar"/>
              </w:rPr>
            </w:pPr>
          </w:p>
        </w:tc>
      </w:tr>
      <w:tr w14:paraId="64D43FAA">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4C96BC9B">
            <w:pPr>
              <w:widowControl/>
              <w:adjustRightInd w:val="0"/>
              <w:snapToGrid w:val="0"/>
              <w:jc w:val="center"/>
              <w:textAlignment w:val="center"/>
              <w:rPr>
                <w:rFonts w:ascii="Arial" w:hAnsi="Arial" w:eastAsia="宋体" w:cs="Arial"/>
                <w:sz w:val="21"/>
                <w:szCs w:val="21"/>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E6D56">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54CB8">
            <w:pPr>
              <w:widowControl/>
              <w:adjustRightInd w:val="0"/>
              <w:snapToGrid w:val="0"/>
              <w:jc w:val="center"/>
              <w:textAlignment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CE578">
            <w:pPr>
              <w:widowControl/>
              <w:adjustRightInd w:val="0"/>
              <w:snapToGrid w:val="0"/>
              <w:jc w:val="center"/>
              <w:textAlignment w:val="center"/>
              <w:rPr>
                <w:rFonts w:ascii="Arial" w:hAnsi="Arial" w:eastAsia="宋体" w:cs="Arial"/>
                <w:sz w:val="21"/>
                <w:szCs w:val="21"/>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621BF008">
            <w:pPr>
              <w:widowControl/>
              <w:adjustRightInd w:val="0"/>
              <w:snapToGrid w:val="0"/>
              <w:jc w:val="center"/>
              <w:textAlignment w:val="center"/>
              <w:rPr>
                <w:rFonts w:ascii="Arial" w:hAnsi="Arial" w:eastAsia="宋体" w:cs="Arial"/>
                <w:sz w:val="21"/>
                <w:szCs w:val="21"/>
              </w:rPr>
            </w:pPr>
          </w:p>
        </w:tc>
      </w:tr>
      <w:tr w14:paraId="794C6CEB">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3D9B5804">
            <w:pPr>
              <w:widowControl/>
              <w:adjustRightInd w:val="0"/>
              <w:snapToGrid w:val="0"/>
              <w:jc w:val="center"/>
              <w:textAlignment w:val="center"/>
              <w:rPr>
                <w:rFonts w:ascii="Arial" w:hAnsi="Arial" w:eastAsia="宋体" w:cs="Arial"/>
                <w:sz w:val="21"/>
                <w:szCs w:val="21"/>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C6394">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4DB3E">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B8F06">
            <w:pPr>
              <w:widowControl/>
              <w:adjustRightInd w:val="0"/>
              <w:snapToGrid w:val="0"/>
              <w:jc w:val="center"/>
              <w:textAlignment w:val="center"/>
              <w:rPr>
                <w:rFonts w:ascii="Arial" w:hAnsi="Arial" w:eastAsia="宋体" w:cs="Arial"/>
                <w:sz w:val="21"/>
                <w:szCs w:val="21"/>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62DAA72E">
            <w:pPr>
              <w:widowControl/>
              <w:adjustRightInd w:val="0"/>
              <w:snapToGrid w:val="0"/>
              <w:jc w:val="center"/>
              <w:textAlignment w:val="center"/>
              <w:rPr>
                <w:rFonts w:ascii="Arial" w:hAnsi="Arial" w:eastAsia="宋体" w:cs="Arial"/>
                <w:kern w:val="0"/>
                <w:sz w:val="21"/>
                <w:szCs w:val="21"/>
                <w:lang w:bidi="ar"/>
              </w:rPr>
            </w:pPr>
          </w:p>
        </w:tc>
      </w:tr>
      <w:tr w14:paraId="75938555">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03FB7214">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422BC">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56C5A">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A7B4F">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0EB94B89">
            <w:pPr>
              <w:widowControl/>
              <w:adjustRightInd w:val="0"/>
              <w:snapToGrid w:val="0"/>
              <w:jc w:val="center"/>
              <w:textAlignment w:val="center"/>
              <w:rPr>
                <w:rFonts w:ascii="Arial" w:hAnsi="Arial" w:eastAsia="宋体" w:cs="Arial"/>
                <w:sz w:val="21"/>
                <w:szCs w:val="21"/>
              </w:rPr>
            </w:pPr>
          </w:p>
        </w:tc>
      </w:tr>
      <w:tr w14:paraId="668BCDF0">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376F016B">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6434F">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0F494">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3CB85">
            <w:pPr>
              <w:widowControl/>
              <w:adjustRightInd w:val="0"/>
              <w:snapToGrid w:val="0"/>
              <w:jc w:val="center"/>
              <w:textAlignment w:val="center"/>
              <w:rPr>
                <w:rFonts w:ascii="Arial" w:hAnsi="Arial" w:eastAsia="宋体" w:cs="Arial"/>
                <w:sz w:val="21"/>
                <w:szCs w:val="21"/>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7C33B3F6">
            <w:pPr>
              <w:widowControl/>
              <w:adjustRightInd w:val="0"/>
              <w:snapToGrid w:val="0"/>
              <w:jc w:val="center"/>
              <w:textAlignment w:val="center"/>
              <w:rPr>
                <w:rFonts w:ascii="Arial" w:hAnsi="Arial" w:eastAsia="宋体" w:cs="Arial"/>
                <w:sz w:val="21"/>
                <w:szCs w:val="21"/>
              </w:rPr>
            </w:pPr>
          </w:p>
        </w:tc>
      </w:tr>
      <w:tr w14:paraId="753EF8A7">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1C686DD8">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AC265">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08F1B">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EE6BC">
            <w:pPr>
              <w:widowControl/>
              <w:adjustRightInd w:val="0"/>
              <w:snapToGrid w:val="0"/>
              <w:jc w:val="center"/>
              <w:textAlignment w:val="center"/>
              <w:rPr>
                <w:rFonts w:ascii="Arial" w:hAnsi="Arial" w:eastAsia="宋体" w:cs="Arial"/>
                <w:sz w:val="21"/>
                <w:szCs w:val="21"/>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13F691AB">
            <w:pPr>
              <w:widowControl/>
              <w:adjustRightInd w:val="0"/>
              <w:snapToGrid w:val="0"/>
              <w:jc w:val="center"/>
              <w:textAlignment w:val="center"/>
              <w:rPr>
                <w:rFonts w:ascii="Arial" w:hAnsi="Arial" w:eastAsia="宋体" w:cs="Arial"/>
                <w:kern w:val="0"/>
                <w:sz w:val="21"/>
                <w:szCs w:val="21"/>
                <w:lang w:bidi="ar"/>
              </w:rPr>
            </w:pPr>
          </w:p>
        </w:tc>
      </w:tr>
      <w:tr w14:paraId="145BD6D1">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0BD60CF7">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C2198">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19119">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82D7F">
            <w:pPr>
              <w:widowControl/>
              <w:adjustRightInd w:val="0"/>
              <w:snapToGrid w:val="0"/>
              <w:jc w:val="center"/>
              <w:textAlignment w:val="center"/>
              <w:rPr>
                <w:rFonts w:ascii="Arial" w:hAnsi="Arial" w:eastAsia="宋体" w:cs="Arial"/>
                <w:sz w:val="21"/>
                <w:szCs w:val="21"/>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73C62A90">
            <w:pPr>
              <w:widowControl/>
              <w:adjustRightInd w:val="0"/>
              <w:snapToGrid w:val="0"/>
              <w:jc w:val="center"/>
              <w:textAlignment w:val="center"/>
              <w:rPr>
                <w:rFonts w:ascii="Arial" w:hAnsi="Arial" w:eastAsia="宋体" w:cs="Arial"/>
                <w:sz w:val="21"/>
                <w:szCs w:val="21"/>
              </w:rPr>
            </w:pPr>
          </w:p>
        </w:tc>
      </w:tr>
      <w:tr w14:paraId="0CACC86D">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224CD72F">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7F5F2">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336E1">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D3A38">
            <w:pPr>
              <w:widowControl/>
              <w:adjustRightInd w:val="0"/>
              <w:snapToGrid w:val="0"/>
              <w:jc w:val="center"/>
              <w:textAlignment w:val="center"/>
              <w:rPr>
                <w:rFonts w:ascii="Arial" w:hAnsi="Arial" w:eastAsia="宋体" w:cs="Arial"/>
                <w:sz w:val="21"/>
                <w:szCs w:val="21"/>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21DF4026">
            <w:pPr>
              <w:widowControl/>
              <w:adjustRightInd w:val="0"/>
              <w:snapToGrid w:val="0"/>
              <w:jc w:val="center"/>
              <w:textAlignment w:val="center"/>
              <w:rPr>
                <w:rFonts w:ascii="Arial" w:hAnsi="Arial" w:eastAsia="宋体" w:cs="Arial"/>
                <w:sz w:val="21"/>
                <w:szCs w:val="21"/>
              </w:rPr>
            </w:pPr>
          </w:p>
        </w:tc>
      </w:tr>
      <w:tr w14:paraId="58AC1E9B">
        <w:tblPrEx>
          <w:tblCellMar>
            <w:top w:w="0" w:type="dxa"/>
            <w:left w:w="108" w:type="dxa"/>
            <w:bottom w:w="0" w:type="dxa"/>
            <w:right w:w="108" w:type="dxa"/>
          </w:tblCellMar>
        </w:tblPrEx>
        <w:trPr>
          <w:trHeight w:val="340" w:hRule="atLeast"/>
        </w:trPr>
        <w:tc>
          <w:tcPr>
            <w:tcW w:w="974" w:type="pct"/>
            <w:vMerge w:val="continue"/>
            <w:tcBorders>
              <w:left w:val="single" w:color="000000" w:sz="4" w:space="0"/>
              <w:bottom w:val="single" w:color="000000" w:sz="4" w:space="0"/>
              <w:right w:val="single" w:color="000000" w:sz="4" w:space="0"/>
            </w:tcBorders>
            <w:shd w:val="clear" w:color="auto" w:fill="auto"/>
            <w:noWrap/>
            <w:vAlign w:val="center"/>
          </w:tcPr>
          <w:p w14:paraId="5B91B02C">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0791F">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3A51B">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1C69D">
            <w:pPr>
              <w:widowControl/>
              <w:adjustRightInd w:val="0"/>
              <w:snapToGrid w:val="0"/>
              <w:jc w:val="center"/>
              <w:textAlignment w:val="center"/>
              <w:rPr>
                <w:rFonts w:ascii="Arial" w:hAnsi="Arial" w:eastAsia="宋体" w:cs="Arial"/>
                <w:sz w:val="21"/>
                <w:szCs w:val="21"/>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24DD4BA7">
            <w:pPr>
              <w:widowControl/>
              <w:adjustRightInd w:val="0"/>
              <w:snapToGrid w:val="0"/>
              <w:jc w:val="center"/>
              <w:textAlignment w:val="center"/>
              <w:rPr>
                <w:rFonts w:ascii="Arial" w:hAnsi="Arial" w:eastAsia="宋体" w:cs="Arial"/>
                <w:kern w:val="0"/>
                <w:sz w:val="21"/>
                <w:szCs w:val="21"/>
                <w:lang w:bidi="ar"/>
              </w:rPr>
            </w:pPr>
          </w:p>
        </w:tc>
      </w:tr>
      <w:tr w14:paraId="5FCF99F5">
        <w:tblPrEx>
          <w:tblCellMar>
            <w:top w:w="0" w:type="dxa"/>
            <w:left w:w="108" w:type="dxa"/>
            <w:bottom w:w="0" w:type="dxa"/>
            <w:right w:w="108" w:type="dxa"/>
          </w:tblCellMar>
        </w:tblPrEx>
        <w:trPr>
          <w:trHeight w:val="340" w:hRule="atLeast"/>
        </w:trPr>
        <w:tc>
          <w:tcPr>
            <w:tcW w:w="974" w:type="pct"/>
            <w:vMerge w:val="restart"/>
            <w:tcBorders>
              <w:top w:val="single" w:color="000000" w:sz="4" w:space="0"/>
              <w:left w:val="single" w:color="000000" w:sz="4" w:space="0"/>
              <w:right w:val="single" w:color="000000" w:sz="4" w:space="0"/>
            </w:tcBorders>
            <w:shd w:val="clear" w:color="auto" w:fill="auto"/>
            <w:noWrap/>
            <w:vAlign w:val="center"/>
          </w:tcPr>
          <w:p w14:paraId="5E1F1173">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D4D41">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9A6B4">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D3D67">
            <w:pPr>
              <w:widowControl/>
              <w:adjustRightInd w:val="0"/>
              <w:snapToGrid w:val="0"/>
              <w:jc w:val="center"/>
              <w:textAlignment w:val="center"/>
              <w:rPr>
                <w:rFonts w:ascii="Arial" w:hAnsi="Arial" w:eastAsia="宋体" w:cs="Arial"/>
                <w:sz w:val="21"/>
                <w:szCs w:val="21"/>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6369758D">
            <w:pPr>
              <w:widowControl/>
              <w:adjustRightInd w:val="0"/>
              <w:snapToGrid w:val="0"/>
              <w:jc w:val="center"/>
              <w:textAlignment w:val="center"/>
              <w:rPr>
                <w:rFonts w:ascii="Arial" w:hAnsi="Arial" w:eastAsia="宋体" w:cs="Arial"/>
                <w:sz w:val="21"/>
                <w:szCs w:val="21"/>
              </w:rPr>
            </w:pPr>
          </w:p>
        </w:tc>
      </w:tr>
      <w:tr w14:paraId="13D3ED33">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3A522FE2">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3CFCF">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828D0">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2B411">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29D2B76F">
            <w:pPr>
              <w:widowControl/>
              <w:adjustRightInd w:val="0"/>
              <w:snapToGrid w:val="0"/>
              <w:jc w:val="center"/>
              <w:textAlignment w:val="center"/>
              <w:rPr>
                <w:rFonts w:ascii="Arial" w:hAnsi="Arial" w:eastAsia="宋体" w:cs="Arial"/>
                <w:sz w:val="21"/>
                <w:szCs w:val="21"/>
                <w:u w:val="single"/>
              </w:rPr>
            </w:pPr>
          </w:p>
        </w:tc>
      </w:tr>
      <w:tr w14:paraId="436276CE">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443F8921">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C9B64">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23474">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319EA">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6D85DC54">
            <w:pPr>
              <w:widowControl/>
              <w:adjustRightInd w:val="0"/>
              <w:snapToGrid w:val="0"/>
              <w:jc w:val="center"/>
              <w:textAlignment w:val="center"/>
              <w:rPr>
                <w:rFonts w:ascii="Arial" w:hAnsi="Arial" w:eastAsia="宋体" w:cs="Arial"/>
                <w:sz w:val="21"/>
                <w:szCs w:val="21"/>
              </w:rPr>
            </w:pPr>
          </w:p>
        </w:tc>
      </w:tr>
      <w:tr w14:paraId="625BF3A7">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33749314">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B42BB">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BB8F4">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34B40">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311A8B3A">
            <w:pPr>
              <w:widowControl/>
              <w:adjustRightInd w:val="0"/>
              <w:snapToGrid w:val="0"/>
              <w:jc w:val="center"/>
              <w:textAlignment w:val="center"/>
              <w:rPr>
                <w:rFonts w:ascii="Arial" w:hAnsi="Arial" w:eastAsia="宋体" w:cs="Arial"/>
                <w:kern w:val="0"/>
                <w:sz w:val="21"/>
                <w:szCs w:val="21"/>
                <w:lang w:bidi="ar"/>
              </w:rPr>
            </w:pPr>
          </w:p>
        </w:tc>
      </w:tr>
      <w:tr w14:paraId="15DD21DF">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7C9F47B9">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F804B">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968ED">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B4854">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6A929EA5">
            <w:pPr>
              <w:widowControl/>
              <w:adjustRightInd w:val="0"/>
              <w:snapToGrid w:val="0"/>
              <w:jc w:val="center"/>
              <w:textAlignment w:val="center"/>
              <w:rPr>
                <w:rFonts w:ascii="Arial" w:hAnsi="Arial" w:eastAsia="宋体" w:cs="Arial"/>
                <w:kern w:val="0"/>
                <w:sz w:val="21"/>
                <w:szCs w:val="21"/>
                <w:u w:val="single"/>
                <w:lang w:bidi="ar"/>
              </w:rPr>
            </w:pPr>
          </w:p>
        </w:tc>
      </w:tr>
      <w:tr w14:paraId="369F7F6A">
        <w:tblPrEx>
          <w:tblCellMar>
            <w:top w:w="0" w:type="dxa"/>
            <w:left w:w="108" w:type="dxa"/>
            <w:bottom w:w="0" w:type="dxa"/>
            <w:right w:w="108" w:type="dxa"/>
          </w:tblCellMar>
        </w:tblPrEx>
        <w:trPr>
          <w:trHeight w:val="340" w:hRule="atLeast"/>
        </w:trPr>
        <w:tc>
          <w:tcPr>
            <w:tcW w:w="974" w:type="pct"/>
            <w:vMerge w:val="continue"/>
            <w:tcBorders>
              <w:left w:val="single" w:color="000000" w:sz="4" w:space="0"/>
              <w:right w:val="single" w:color="000000" w:sz="4" w:space="0"/>
            </w:tcBorders>
            <w:shd w:val="clear" w:color="auto" w:fill="auto"/>
            <w:noWrap/>
            <w:vAlign w:val="center"/>
          </w:tcPr>
          <w:p w14:paraId="5F691A23">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C9E69">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5F8FD">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DC965">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3E03E61B">
            <w:pPr>
              <w:widowControl/>
              <w:adjustRightInd w:val="0"/>
              <w:snapToGrid w:val="0"/>
              <w:jc w:val="center"/>
              <w:textAlignment w:val="center"/>
              <w:rPr>
                <w:rFonts w:ascii="Arial" w:hAnsi="Arial" w:eastAsia="宋体" w:cs="Arial"/>
                <w:kern w:val="0"/>
                <w:sz w:val="21"/>
                <w:szCs w:val="21"/>
                <w:lang w:bidi="ar"/>
              </w:rPr>
            </w:pPr>
          </w:p>
        </w:tc>
      </w:tr>
      <w:tr w14:paraId="68540BB4">
        <w:tblPrEx>
          <w:tblCellMar>
            <w:top w:w="0" w:type="dxa"/>
            <w:left w:w="108" w:type="dxa"/>
            <w:bottom w:w="0" w:type="dxa"/>
            <w:right w:w="108" w:type="dxa"/>
          </w:tblCellMar>
        </w:tblPrEx>
        <w:trPr>
          <w:trHeight w:val="340" w:hRule="atLeast"/>
        </w:trPr>
        <w:tc>
          <w:tcPr>
            <w:tcW w:w="974" w:type="pct"/>
            <w:vMerge w:val="continue"/>
            <w:tcBorders>
              <w:left w:val="single" w:color="000000" w:sz="4" w:space="0"/>
              <w:bottom w:val="single" w:color="000000" w:sz="4" w:space="0"/>
              <w:right w:val="single" w:color="000000" w:sz="4" w:space="0"/>
            </w:tcBorders>
            <w:shd w:val="clear" w:color="auto" w:fill="auto"/>
            <w:noWrap/>
            <w:vAlign w:val="center"/>
          </w:tcPr>
          <w:p w14:paraId="1FE7C4AD">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0D90C">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35DAE">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D9827">
            <w:pPr>
              <w:widowControl/>
              <w:adjustRightInd w:val="0"/>
              <w:snapToGrid w:val="0"/>
              <w:jc w:val="center"/>
              <w:textAlignment w:val="center"/>
              <w:rPr>
                <w:rFonts w:ascii="Arial" w:hAnsi="Arial" w:eastAsia="宋体" w:cs="Arial"/>
                <w:kern w:val="0"/>
                <w:sz w:val="21"/>
                <w:szCs w:val="21"/>
                <w:lang w:bidi="ar"/>
              </w:rPr>
            </w:pPr>
          </w:p>
        </w:tc>
        <w:tc>
          <w:tcPr>
            <w:tcW w:w="974" w:type="pct"/>
            <w:tcBorders>
              <w:top w:val="single" w:color="000000" w:sz="4" w:space="0"/>
              <w:left w:val="single" w:color="000000" w:sz="4" w:space="0"/>
              <w:bottom w:val="single" w:color="000000" w:sz="4" w:space="0"/>
              <w:right w:val="single" w:color="000000" w:sz="4" w:space="0"/>
            </w:tcBorders>
            <w:vAlign w:val="center"/>
          </w:tcPr>
          <w:p w14:paraId="2F72F5FF">
            <w:pPr>
              <w:widowControl/>
              <w:adjustRightInd w:val="0"/>
              <w:snapToGrid w:val="0"/>
              <w:jc w:val="center"/>
              <w:textAlignment w:val="center"/>
              <w:rPr>
                <w:rFonts w:ascii="Arial" w:hAnsi="Arial" w:eastAsia="宋体" w:cs="Arial"/>
                <w:kern w:val="0"/>
                <w:sz w:val="21"/>
                <w:szCs w:val="21"/>
                <w:lang w:bidi="ar"/>
              </w:rPr>
            </w:pPr>
          </w:p>
        </w:tc>
      </w:tr>
      <w:tr w14:paraId="71601157">
        <w:tblPrEx>
          <w:tblCellMar>
            <w:top w:w="0" w:type="dxa"/>
            <w:left w:w="108" w:type="dxa"/>
            <w:bottom w:w="0" w:type="dxa"/>
            <w:right w:w="108" w:type="dxa"/>
          </w:tblCellMar>
        </w:tblPrEx>
        <w:trPr>
          <w:trHeight w:val="340" w:hRule="atLeast"/>
        </w:trPr>
        <w:tc>
          <w:tcPr>
            <w:tcW w:w="974" w:type="pct"/>
            <w:vMerge w:val="restart"/>
            <w:tcBorders>
              <w:top w:val="single" w:color="000000" w:sz="4" w:space="0"/>
              <w:left w:val="single" w:color="000000" w:sz="4" w:space="0"/>
              <w:right w:val="single" w:color="000000" w:sz="4" w:space="0"/>
            </w:tcBorders>
            <w:shd w:val="clear" w:color="auto" w:fill="auto"/>
            <w:noWrap/>
            <w:vAlign w:val="center"/>
          </w:tcPr>
          <w:p w14:paraId="7B51F0F2">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57E16">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2C35F">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DE1E2">
            <w:pPr>
              <w:widowControl/>
              <w:adjustRightInd w:val="0"/>
              <w:snapToGrid w:val="0"/>
              <w:jc w:val="center"/>
              <w:textAlignment w:val="center"/>
              <w:rPr>
                <w:rFonts w:ascii="Arial" w:hAnsi="Arial" w:eastAsia="宋体" w:cs="Arial"/>
                <w:kern w:val="0"/>
                <w:sz w:val="21"/>
                <w:szCs w:val="21"/>
                <w:lang w:bidi="ar"/>
              </w:rPr>
            </w:pPr>
          </w:p>
        </w:tc>
        <w:tc>
          <w:tcPr>
            <w:tcW w:w="974" w:type="pct"/>
            <w:vMerge w:val="restart"/>
            <w:tcBorders>
              <w:top w:val="single" w:color="000000" w:sz="4" w:space="0"/>
              <w:left w:val="single" w:color="000000" w:sz="4" w:space="0"/>
              <w:right w:val="single" w:color="000000" w:sz="4" w:space="0"/>
            </w:tcBorders>
            <w:vAlign w:val="center"/>
          </w:tcPr>
          <w:p w14:paraId="442F9B27">
            <w:pPr>
              <w:adjustRightInd w:val="0"/>
              <w:snapToGrid w:val="0"/>
              <w:jc w:val="center"/>
              <w:textAlignment w:val="center"/>
              <w:rPr>
                <w:rFonts w:ascii="Arial" w:hAnsi="Arial" w:eastAsia="宋体" w:cs="Arial"/>
                <w:sz w:val="21"/>
                <w:szCs w:val="21"/>
              </w:rPr>
            </w:pPr>
          </w:p>
        </w:tc>
      </w:tr>
      <w:tr w14:paraId="094736E6">
        <w:tblPrEx>
          <w:tblCellMar>
            <w:top w:w="0" w:type="dxa"/>
            <w:left w:w="108" w:type="dxa"/>
            <w:bottom w:w="0" w:type="dxa"/>
            <w:right w:w="108" w:type="dxa"/>
          </w:tblCellMar>
        </w:tblPrEx>
        <w:trPr>
          <w:trHeight w:val="340" w:hRule="atLeast"/>
        </w:trPr>
        <w:tc>
          <w:tcPr>
            <w:tcW w:w="974" w:type="pct"/>
            <w:vMerge w:val="continue"/>
            <w:tcBorders>
              <w:left w:val="single" w:color="000000" w:sz="4" w:space="0"/>
              <w:bottom w:val="single" w:color="000000" w:sz="4" w:space="0"/>
              <w:right w:val="single" w:color="000000" w:sz="4" w:space="0"/>
            </w:tcBorders>
            <w:shd w:val="clear" w:color="auto" w:fill="auto"/>
            <w:noWrap/>
            <w:vAlign w:val="center"/>
          </w:tcPr>
          <w:p w14:paraId="0D861F35">
            <w:pPr>
              <w:widowControl/>
              <w:adjustRightInd w:val="0"/>
              <w:snapToGrid w:val="0"/>
              <w:jc w:val="center"/>
              <w:textAlignment w:val="center"/>
              <w:rPr>
                <w:rFonts w:ascii="Arial" w:hAnsi="Arial" w:eastAsia="宋体" w:cs="Arial"/>
                <w:kern w:val="0"/>
                <w:sz w:val="21"/>
                <w:szCs w:val="21"/>
                <w:lang w:bidi="ar"/>
              </w:rPr>
            </w:pPr>
          </w:p>
        </w:tc>
        <w:tc>
          <w:tcPr>
            <w:tcW w:w="10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7FD9B">
            <w:pPr>
              <w:widowControl/>
              <w:adjustRightInd w:val="0"/>
              <w:snapToGrid w:val="0"/>
              <w:jc w:val="center"/>
              <w:textAlignment w:val="center"/>
              <w:rPr>
                <w:rFonts w:ascii="Arial" w:hAnsi="Arial" w:eastAsia="宋体" w:cs="Arial"/>
                <w:sz w:val="21"/>
                <w:szCs w:val="21"/>
              </w:rPr>
            </w:pPr>
          </w:p>
        </w:tc>
        <w:tc>
          <w:tcPr>
            <w:tcW w:w="16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91CD8">
            <w:pPr>
              <w:adjustRightInd w:val="0"/>
              <w:snapToGrid w:val="0"/>
              <w:jc w:val="center"/>
              <w:rPr>
                <w:rFonts w:ascii="Arial" w:hAnsi="Arial" w:eastAsia="宋体" w:cs="Arial"/>
                <w:sz w:val="21"/>
                <w:szCs w:val="21"/>
              </w:rPr>
            </w:pP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455EC">
            <w:pPr>
              <w:widowControl/>
              <w:adjustRightInd w:val="0"/>
              <w:snapToGrid w:val="0"/>
              <w:jc w:val="center"/>
              <w:textAlignment w:val="center"/>
              <w:rPr>
                <w:rFonts w:ascii="Arial" w:hAnsi="Arial" w:eastAsia="宋体" w:cs="Arial"/>
                <w:kern w:val="0"/>
                <w:sz w:val="21"/>
                <w:szCs w:val="21"/>
                <w:lang w:bidi="ar"/>
              </w:rPr>
            </w:pPr>
          </w:p>
        </w:tc>
        <w:tc>
          <w:tcPr>
            <w:tcW w:w="974" w:type="pct"/>
            <w:vMerge w:val="continue"/>
            <w:tcBorders>
              <w:left w:val="single" w:color="000000" w:sz="4" w:space="0"/>
              <w:bottom w:val="single" w:color="000000" w:sz="4" w:space="0"/>
              <w:right w:val="single" w:color="000000" w:sz="4" w:space="0"/>
            </w:tcBorders>
            <w:vAlign w:val="center"/>
          </w:tcPr>
          <w:p w14:paraId="2C711534">
            <w:pPr>
              <w:widowControl/>
              <w:adjustRightInd w:val="0"/>
              <w:snapToGrid w:val="0"/>
              <w:jc w:val="center"/>
              <w:textAlignment w:val="center"/>
              <w:rPr>
                <w:rFonts w:ascii="Arial" w:hAnsi="Arial" w:eastAsia="宋体" w:cs="Arial"/>
                <w:sz w:val="21"/>
                <w:szCs w:val="21"/>
                <w:u w:val="single"/>
              </w:rPr>
            </w:pPr>
          </w:p>
        </w:tc>
      </w:tr>
    </w:tbl>
    <w:p w14:paraId="0C11C237">
      <w:pPr>
        <w:pStyle w:val="6"/>
        <w:numPr>
          <w:ilvl w:val="2"/>
          <w:numId w:val="11"/>
        </w:numPr>
        <w:tabs>
          <w:tab w:val="left" w:pos="1080"/>
        </w:tabs>
        <w:spacing w:line="400" w:lineRule="exact"/>
        <w:rPr>
          <w:rFonts w:ascii="Arial" w:hAnsi="Arial" w:eastAsia="宋体" w:cs="Arial"/>
        </w:rPr>
      </w:pPr>
      <w:r>
        <w:rPr>
          <w:rFonts w:ascii="Arial" w:hAnsi="Arial" w:eastAsia="宋体" w:cs="Arial"/>
        </w:rPr>
        <w:t>总平面布置</w:t>
      </w:r>
    </w:p>
    <w:p w14:paraId="20547559">
      <w:pPr>
        <w:pStyle w:val="5"/>
        <w:spacing w:line="500" w:lineRule="exact"/>
      </w:pPr>
      <w:r>
        <w:rPr>
          <w:rFonts w:hint="eastAsia"/>
        </w:rPr>
        <w:t>X19车间位于中伟南部基地地块二东北面，厂房呈南北走向砖混结构。</w:t>
      </w:r>
    </w:p>
    <w:p w14:paraId="6326A81A">
      <w:pPr>
        <w:pStyle w:val="5"/>
        <w:spacing w:line="500" w:lineRule="exact"/>
        <w:rPr>
          <w:u w:val="single"/>
        </w:rPr>
      </w:pPr>
      <w:r>
        <w:rPr>
          <w:rFonts w:hint="eastAsia"/>
          <w:u w:val="single"/>
        </w:rPr>
        <w:t>车间根据生产工艺划分为干区和湿区，其中干区包含烘干、破碎、包装等工段，湿区包含溶解、精密过滤、合成反应、板框压滤和车间污水预处理工段。车间北面为干区，共两层，其中一层布置控制间、打包间、空压机、破碎工序和成品中转区，二层主要布置烘箱；车间南面为湿区，共1层，主要布置溶解槽、洗水槽、浆化槽等各种槽罐、控制室和板框压滤机。</w:t>
      </w:r>
    </w:p>
    <w:p w14:paraId="5D0BE64E">
      <w:pPr>
        <w:pStyle w:val="5"/>
        <w:spacing w:line="500" w:lineRule="exact"/>
      </w:pPr>
      <w:r>
        <w:rPr>
          <w:rFonts w:hint="eastAsia"/>
        </w:rPr>
        <w:t>车间东面设置2个纯水槽和1个洗水外排槽，西面设置2个热水储槽、1个液碱储罐、2个洗水储罐、1个配酸槽、1个双氧水储罐和1个氨水储罐。</w:t>
      </w:r>
    </w:p>
    <w:p w14:paraId="2C8F17A7">
      <w:pPr>
        <w:pStyle w:val="5"/>
        <w:spacing w:line="500" w:lineRule="exact"/>
      </w:pPr>
      <w:r>
        <w:t>项目总平面布置图见附图2。</w:t>
      </w:r>
    </w:p>
    <w:p w14:paraId="088B28EE">
      <w:pPr>
        <w:pStyle w:val="4"/>
        <w:numPr>
          <w:ilvl w:val="1"/>
          <w:numId w:val="11"/>
        </w:numPr>
        <w:tabs>
          <w:tab w:val="left" w:pos="3217"/>
        </w:tabs>
        <w:spacing w:before="214" w:beforeLines="50" w:after="214" w:afterLines="50" w:line="500" w:lineRule="exact"/>
        <w:ind w:left="567"/>
        <w:rPr>
          <w:rFonts w:ascii="Arial" w:eastAsia="宋体" w:cs="Arial"/>
          <w:b/>
        </w:rPr>
      </w:pPr>
      <w:bookmarkStart w:id="263" w:name="_Toc185950217"/>
      <w:r>
        <w:rPr>
          <w:rFonts w:ascii="Arial" w:eastAsia="宋体" w:cs="Arial"/>
          <w:b/>
        </w:rPr>
        <w:t>项目工程分析</w:t>
      </w:r>
      <w:bookmarkEnd w:id="263"/>
    </w:p>
    <w:p w14:paraId="5DADDBF8">
      <w:pPr>
        <w:pStyle w:val="6"/>
        <w:numPr>
          <w:ilvl w:val="2"/>
          <w:numId w:val="11"/>
        </w:numPr>
        <w:tabs>
          <w:tab w:val="left" w:pos="1080"/>
        </w:tabs>
        <w:spacing w:line="400" w:lineRule="exact"/>
        <w:rPr>
          <w:rFonts w:ascii="Arial" w:hAnsi="Arial" w:eastAsia="宋体" w:cs="Arial"/>
        </w:rPr>
      </w:pPr>
      <w:r>
        <w:rPr>
          <w:rFonts w:ascii="Arial" w:hAnsi="Arial" w:eastAsia="宋体" w:cs="Arial"/>
        </w:rPr>
        <w:t>生产线工艺流程</w:t>
      </w:r>
    </w:p>
    <w:p w14:paraId="71DCAB0F">
      <w:pPr>
        <w:pStyle w:val="5"/>
        <w:snapToGrid w:val="0"/>
        <w:spacing w:line="500" w:lineRule="exact"/>
      </w:pPr>
      <w:r>
        <w:rPr>
          <w:rFonts w:hint="eastAsia"/>
        </w:rPr>
        <w:t>羟基钴</w:t>
      </w:r>
      <w:r>
        <w:t>生产线工艺流程见图2.</w:t>
      </w:r>
      <w:r>
        <w:rPr>
          <w:rFonts w:hint="eastAsia"/>
        </w:rPr>
        <w:t>4</w:t>
      </w:r>
      <w:r>
        <w:t>-1。</w:t>
      </w:r>
    </w:p>
    <w:p w14:paraId="399B42DB">
      <w:pPr>
        <w:pStyle w:val="5"/>
        <w:snapToGrid w:val="0"/>
        <w:spacing w:line="360" w:lineRule="auto"/>
        <w:ind w:firstLine="0"/>
      </w:pPr>
    </w:p>
    <w:p w14:paraId="14608E53">
      <w:pPr>
        <w:pStyle w:val="5"/>
        <w:snapToGrid w:val="0"/>
        <w:spacing w:line="360" w:lineRule="auto"/>
        <w:ind w:firstLine="0"/>
        <w:jc w:val="center"/>
      </w:pPr>
    </w:p>
    <w:p w14:paraId="5740B38F">
      <w:pPr>
        <w:pStyle w:val="5"/>
        <w:snapToGrid w:val="0"/>
        <w:spacing w:line="500" w:lineRule="exact"/>
        <w:jc w:val="center"/>
        <w:rPr>
          <w:b/>
          <w:u w:val="single"/>
        </w:rPr>
      </w:pPr>
      <w:r>
        <w:rPr>
          <w:rFonts w:hint="eastAsia"/>
          <w:b/>
          <w:u w:val="single"/>
        </w:rPr>
        <w:t>图2.4-1  羟基钴生产线工艺流程图</w:t>
      </w:r>
    </w:p>
    <w:p w14:paraId="683551A2">
      <w:pPr>
        <w:pStyle w:val="5"/>
        <w:adjustRightInd w:val="0"/>
        <w:snapToGrid w:val="0"/>
        <w:spacing w:line="500" w:lineRule="exact"/>
        <w:ind w:firstLine="490" w:firstLineChars="200"/>
        <w:rPr>
          <w:b/>
        </w:rPr>
      </w:pPr>
    </w:p>
    <w:p w14:paraId="6089A823">
      <w:pPr>
        <w:pStyle w:val="5"/>
        <w:adjustRightInd w:val="0"/>
        <w:snapToGrid w:val="0"/>
        <w:spacing w:line="500" w:lineRule="exact"/>
        <w:ind w:firstLine="490" w:firstLineChars="200"/>
        <w:rPr>
          <w:b/>
        </w:rPr>
      </w:pPr>
      <w:r>
        <w:rPr>
          <w:rFonts w:hint="eastAsia"/>
          <w:b/>
        </w:rPr>
        <w:t>主要工艺流程简述：</w:t>
      </w:r>
    </w:p>
    <w:p w14:paraId="1C044353">
      <w:pPr>
        <w:pStyle w:val="5"/>
        <w:adjustRightInd w:val="0"/>
        <w:snapToGrid w:val="0"/>
        <w:spacing w:line="500" w:lineRule="exact"/>
        <w:ind w:firstLine="490" w:firstLineChars="200"/>
        <w:rPr>
          <w:u w:val="single"/>
        </w:rPr>
      </w:pPr>
      <w:r>
        <w:rPr>
          <w:rFonts w:hint="eastAsia"/>
          <w:u w:val="single"/>
        </w:rPr>
        <w:t>X19车间内分为湿区和干区，其中溶解、精密过滤、合成反应、压滤洗涤等工序属于湿区，烘干、破碎、包装等工序属于干区。</w:t>
      </w:r>
    </w:p>
    <w:p w14:paraId="6A977D40">
      <w:pPr>
        <w:pStyle w:val="5"/>
        <w:adjustRightInd w:val="0"/>
        <w:snapToGrid w:val="0"/>
        <w:spacing w:line="500" w:lineRule="exact"/>
        <w:ind w:firstLine="490" w:firstLineChars="200"/>
      </w:pPr>
      <w:r>
        <w:rPr>
          <w:rFonts w:hint="eastAsia"/>
        </w:rPr>
        <w:t>1、溶解</w:t>
      </w:r>
    </w:p>
    <w:p w14:paraId="50ACDFA2">
      <w:pPr>
        <w:pStyle w:val="5"/>
        <w:adjustRightInd w:val="0"/>
        <w:snapToGrid w:val="0"/>
        <w:spacing w:line="500" w:lineRule="exact"/>
        <w:ind w:firstLine="490" w:firstLineChars="200"/>
        <w:rPr>
          <w:u w:val="single"/>
        </w:rPr>
      </w:pPr>
      <w:r>
        <w:rPr>
          <w:rFonts w:hint="eastAsia"/>
          <w:u w:val="single"/>
        </w:rPr>
        <w:t>项目正常生产后，外购的硫酸钴晶体通过人工投料方式加入纯水溶解得到硫酸钴溶液，溶液至于储槽备用。</w:t>
      </w:r>
    </w:p>
    <w:p w14:paraId="130C2C76">
      <w:pPr>
        <w:pStyle w:val="5"/>
        <w:adjustRightInd w:val="0"/>
        <w:snapToGrid w:val="0"/>
        <w:spacing w:line="500" w:lineRule="exact"/>
        <w:ind w:firstLine="490" w:firstLineChars="200"/>
        <w:rPr>
          <w:u w:val="single"/>
        </w:rPr>
      </w:pPr>
      <w:r>
        <w:rPr>
          <w:rFonts w:hint="eastAsia"/>
          <w:u w:val="single"/>
        </w:rPr>
        <w:t>2、精密过滤</w:t>
      </w:r>
    </w:p>
    <w:p w14:paraId="55125FD7">
      <w:pPr>
        <w:pStyle w:val="5"/>
        <w:adjustRightInd w:val="0"/>
        <w:snapToGrid w:val="0"/>
        <w:spacing w:line="500" w:lineRule="exact"/>
        <w:ind w:firstLine="490" w:firstLineChars="200"/>
        <w:rPr>
          <w:u w:val="single"/>
        </w:rPr>
      </w:pPr>
      <w:r>
        <w:rPr>
          <w:rFonts w:hint="eastAsia"/>
          <w:u w:val="single"/>
        </w:rPr>
        <w:t>溶解后的硫酸钴溶液通过管道经精密过滤器过滤，少量残渣返回溶解工序继续溶解。为防止堵塞，精密过滤器每3个月使用20%稀硫酸清洗一次，清洗后的硫酸与后续工序生产废水一同经板框压滤处理后，进入污水处理车间处理。</w:t>
      </w:r>
    </w:p>
    <w:p w14:paraId="3CF3A50E">
      <w:pPr>
        <w:pStyle w:val="5"/>
        <w:adjustRightInd w:val="0"/>
        <w:snapToGrid w:val="0"/>
        <w:spacing w:line="500" w:lineRule="exact"/>
        <w:ind w:firstLine="490" w:firstLineChars="200"/>
      </w:pPr>
      <w:r>
        <w:rPr>
          <w:rFonts w:hint="eastAsia"/>
        </w:rPr>
        <w:t>3、合成反应</w:t>
      </w:r>
    </w:p>
    <w:p w14:paraId="6A0FDDC7">
      <w:pPr>
        <w:pStyle w:val="5"/>
        <w:adjustRightInd w:val="0"/>
        <w:snapToGrid w:val="0"/>
        <w:spacing w:line="500" w:lineRule="exact"/>
        <w:ind w:firstLine="475" w:firstLineChars="194"/>
      </w:pPr>
      <w:r>
        <w:rPr>
          <w:rFonts w:hint="eastAsia"/>
        </w:rPr>
        <w:t>羟基钴合成反应方程式为：</w:t>
      </w:r>
    </w:p>
    <w:p w14:paraId="7DBC175F">
      <w:pPr>
        <w:pStyle w:val="5"/>
        <w:adjustRightInd w:val="0"/>
        <w:snapToGrid w:val="0"/>
        <w:spacing w:line="500" w:lineRule="exact"/>
        <w:ind w:firstLine="475" w:firstLineChars="194"/>
      </w:pPr>
      <w:r>
        <w:rPr>
          <w:rFonts w:hint="eastAsia"/>
        </w:rPr>
        <w:t>2CoSO</w:t>
      </w:r>
      <w:r>
        <w:rPr>
          <w:rFonts w:hint="eastAsia"/>
          <w:vertAlign w:val="subscript"/>
        </w:rPr>
        <w:t>4</w:t>
      </w:r>
      <w:r>
        <w:rPr>
          <w:rFonts w:hint="eastAsia"/>
        </w:rPr>
        <w:t>+4NaOH+H</w:t>
      </w:r>
      <w:r>
        <w:rPr>
          <w:rFonts w:hint="eastAsia"/>
          <w:vertAlign w:val="subscript"/>
        </w:rPr>
        <w:t>2</w:t>
      </w:r>
      <w:r>
        <w:rPr>
          <w:rFonts w:hint="eastAsia"/>
        </w:rPr>
        <w:t>O</w:t>
      </w:r>
      <w:r>
        <w:rPr>
          <w:rFonts w:hint="eastAsia"/>
          <w:vertAlign w:val="subscript"/>
        </w:rPr>
        <w:t>2</w:t>
      </w:r>
      <w:r>
        <w:rPr>
          <w:rFonts w:hint="eastAsia"/>
        </w:rPr>
        <w:t>=2CoOOH+2Na</w:t>
      </w:r>
      <w:r>
        <w:rPr>
          <w:rFonts w:hint="eastAsia"/>
          <w:vertAlign w:val="subscript"/>
        </w:rPr>
        <w:t>2</w:t>
      </w:r>
      <w:r>
        <w:rPr>
          <w:rFonts w:hint="eastAsia"/>
        </w:rPr>
        <w:t>SO</w:t>
      </w:r>
      <w:r>
        <w:rPr>
          <w:rFonts w:hint="eastAsia"/>
          <w:vertAlign w:val="subscript"/>
        </w:rPr>
        <w:t>4</w:t>
      </w:r>
      <w:r>
        <w:rPr>
          <w:rFonts w:hint="eastAsia"/>
        </w:rPr>
        <w:t>+2H</w:t>
      </w:r>
      <w:r>
        <w:rPr>
          <w:rFonts w:hint="eastAsia"/>
          <w:vertAlign w:val="subscript"/>
        </w:rPr>
        <w:t>2</w:t>
      </w:r>
      <w:r>
        <w:rPr>
          <w:rFonts w:hint="eastAsia"/>
        </w:rPr>
        <w:t>O</w:t>
      </w:r>
    </w:p>
    <w:p w14:paraId="33D98FEC">
      <w:pPr>
        <w:pStyle w:val="5"/>
        <w:adjustRightInd w:val="0"/>
        <w:snapToGrid w:val="0"/>
        <w:spacing w:line="500" w:lineRule="exact"/>
        <w:ind w:firstLine="490" w:firstLineChars="200"/>
      </w:pPr>
      <w:r>
        <w:rPr>
          <w:rFonts w:hint="eastAsia"/>
          <w:u w:val="single"/>
        </w:rPr>
        <w:t>在反应釜中通过管道泵入硫酸钴溶液和32%液碱，同时加入21%氨水（络合剂，不参与反应）、双氧水（氧化剂）进行反应。项目设置2个反应釜，2个反应釜交替进行合成反应，合成反应工序每天24小时连续生产。</w:t>
      </w:r>
      <w:r>
        <w:rPr>
          <w:rFonts w:hint="eastAsia"/>
        </w:rPr>
        <w:t>在反应釜进行合成反应后转入陈化槽进行陈化，具体操作为：先采用蒸汽夹套升温反应釜，温度控制在</w:t>
      </w:r>
      <w:r>
        <w:t>50</w:t>
      </w:r>
      <w:r>
        <w:rPr>
          <w:rFonts w:hint="eastAsia"/>
        </w:rPr>
        <w:t>℃～</w:t>
      </w:r>
      <w:r>
        <w:t>90</w:t>
      </w:r>
      <w:r>
        <w:rPr>
          <w:rFonts w:hint="eastAsia"/>
        </w:rPr>
        <w:t>℃之间，再将各原辅料按设定的流量泵至反应釜，按照比例控制原料的供给速度。</w:t>
      </w:r>
      <w:r>
        <w:rPr>
          <w:rFonts w:hint="eastAsia"/>
          <w:u w:val="single"/>
        </w:rPr>
        <w:t>在液碱和双氧水稍过量的情况下，转化率接近</w:t>
      </w:r>
      <w:r>
        <w:rPr>
          <w:u w:val="single"/>
        </w:rPr>
        <w:t>100%</w:t>
      </w:r>
      <w:r>
        <w:rPr>
          <w:rFonts w:hint="eastAsia"/>
          <w:u w:val="single"/>
        </w:rPr>
        <w:t>，钴金属离子与</w:t>
      </w:r>
      <w:r>
        <w:rPr>
          <w:u w:val="single"/>
        </w:rPr>
        <w:t>OH</w:t>
      </w:r>
      <w:r>
        <w:rPr>
          <w:rFonts w:hint="eastAsia"/>
          <w:u w:val="single"/>
          <w:vertAlign w:val="superscript"/>
        </w:rPr>
        <w:t>-</w:t>
      </w:r>
      <w:r>
        <w:rPr>
          <w:rFonts w:hint="eastAsia"/>
          <w:u w:val="single"/>
        </w:rPr>
        <w:t>、氧离子在反应釜完全反应生成钴金属氢氧化物和氧化物，转入陈化槽静置析出羟基钴料浆。</w:t>
      </w:r>
      <w:r>
        <w:rPr>
          <w:rFonts w:hint="eastAsia"/>
        </w:rPr>
        <w:t>合成反应挥发的氨气（G1-1）密闭收集，经吸收塔处理后通过1根20m高排气筒排放（DA145）。</w:t>
      </w:r>
    </w:p>
    <w:p w14:paraId="3C7326AD">
      <w:pPr>
        <w:pStyle w:val="5"/>
        <w:adjustRightInd w:val="0"/>
        <w:snapToGrid w:val="0"/>
        <w:spacing w:line="500" w:lineRule="exact"/>
        <w:ind w:firstLine="490" w:firstLineChars="200"/>
      </w:pPr>
      <w:r>
        <w:rPr>
          <w:rFonts w:hint="eastAsia"/>
        </w:rPr>
        <w:t>4、压滤洗涤</w:t>
      </w:r>
    </w:p>
    <w:p w14:paraId="289FA1CD">
      <w:pPr>
        <w:pStyle w:val="5"/>
        <w:adjustRightInd w:val="0"/>
        <w:snapToGrid w:val="0"/>
        <w:spacing w:line="500" w:lineRule="exact"/>
        <w:ind w:firstLine="490" w:firstLineChars="200"/>
      </w:pPr>
      <w:r>
        <w:rPr>
          <w:rFonts w:hint="eastAsia"/>
        </w:rPr>
        <w:t>羟基钴料浆通过板框压滤机压出母液（水、NH</w:t>
      </w:r>
      <w:r>
        <w:rPr>
          <w:rFonts w:hint="eastAsia"/>
          <w:vertAlign w:val="subscript"/>
        </w:rPr>
        <w:t>4</w:t>
      </w:r>
      <w:r>
        <w:rPr>
          <w:rFonts w:hint="eastAsia"/>
          <w:vertAlign w:val="superscript"/>
        </w:rPr>
        <w:t>+</w:t>
      </w:r>
      <w:r>
        <w:rPr>
          <w:rFonts w:hint="eastAsia"/>
        </w:rPr>
        <w:t>、Na</w:t>
      </w:r>
      <w:r>
        <w:rPr>
          <w:rFonts w:hint="eastAsia"/>
          <w:vertAlign w:val="superscript"/>
        </w:rPr>
        <w:t>+</w:t>
      </w:r>
      <w:r>
        <w:rPr>
          <w:rFonts w:hint="eastAsia"/>
        </w:rPr>
        <w:t>、SO</w:t>
      </w:r>
      <w:r>
        <w:rPr>
          <w:rFonts w:hint="eastAsia"/>
          <w:vertAlign w:val="subscript"/>
        </w:rPr>
        <w:t>4</w:t>
      </w:r>
      <w:r>
        <w:rPr>
          <w:rFonts w:hint="eastAsia"/>
          <w:vertAlign w:val="superscript"/>
        </w:rPr>
        <w:t>2-</w:t>
      </w:r>
      <w:r>
        <w:rPr>
          <w:rFonts w:hint="eastAsia"/>
        </w:rPr>
        <w:t>、OH</w:t>
      </w:r>
      <w:r>
        <w:rPr>
          <w:rFonts w:hint="eastAsia"/>
          <w:vertAlign w:val="superscript"/>
        </w:rPr>
        <w:t>-</w:t>
      </w:r>
      <w:r>
        <w:rPr>
          <w:rFonts w:hint="eastAsia"/>
        </w:rPr>
        <w:t>），截留下来滤渣（物料）使用经饱和蒸汽通过板式换热器加热后的纯水进行洗涤，母液和洗涤产生的洗水混合，混合后的生产废水（W1-1）通过管道在车间内经过板框压滤和精密过滤器预处理后输送至S</w:t>
      </w:r>
      <w:r>
        <w:t>7</w:t>
      </w:r>
      <w:r>
        <w:rPr>
          <w:rFonts w:hint="eastAsia"/>
        </w:rPr>
        <w:t>、S8、S9污水处理车间处理；洗涤干净的滤渣（物料）于板框卸料。</w:t>
      </w:r>
      <w:r>
        <w:rPr>
          <w:rFonts w:hint="eastAsia"/>
          <w:u w:val="single"/>
        </w:rPr>
        <w:t>为防止堵塞，精密过滤器每3个月使用20%稀硫酸清洗一次，清洗后的硫酸与生产废水一同经板框压滤处理后，进入污水处理车间处理</w:t>
      </w:r>
      <w:r>
        <w:rPr>
          <w:rFonts w:hint="eastAsia"/>
        </w:rPr>
        <w:t>。压滤挥发的氨气（G1-2）通过集气罩收集，与合成反应废气一同经吸收塔处理后通过1根20m高排气筒排放（DA145）。</w:t>
      </w:r>
    </w:p>
    <w:p w14:paraId="0F0EFEFB">
      <w:pPr>
        <w:pStyle w:val="5"/>
        <w:adjustRightInd w:val="0"/>
        <w:snapToGrid w:val="0"/>
        <w:spacing w:line="500" w:lineRule="exact"/>
        <w:ind w:firstLine="490" w:firstLineChars="200"/>
      </w:pPr>
      <w:r>
        <w:rPr>
          <w:rFonts w:hint="eastAsia"/>
        </w:rPr>
        <w:t>5、烘干</w:t>
      </w:r>
    </w:p>
    <w:p w14:paraId="4D589DED">
      <w:pPr>
        <w:pStyle w:val="5"/>
        <w:adjustRightInd w:val="0"/>
        <w:snapToGrid w:val="0"/>
        <w:spacing w:line="500" w:lineRule="exact"/>
        <w:ind w:firstLine="490" w:firstLineChars="200"/>
      </w:pPr>
      <w:r>
        <w:rPr>
          <w:rFonts w:hint="eastAsia"/>
          <w:u w:val="single"/>
        </w:rPr>
        <w:t>洗涤物料通过人工搬运方式进入单体烘箱进行干燥得干燥物料，</w:t>
      </w:r>
      <w:r>
        <w:rPr>
          <w:rFonts w:hint="eastAsia"/>
        </w:rPr>
        <w:t>单体烘箱采用电源作为能源供热，烘干在密闭操作间进行，烘干过程中产生的废气（G1-3）在单体烘箱内密闭收集，经吸收塔处理后通过1根20m高排气筒排放（DA146）。</w:t>
      </w:r>
    </w:p>
    <w:p w14:paraId="5BAF7685">
      <w:pPr>
        <w:pStyle w:val="5"/>
        <w:adjustRightInd w:val="0"/>
        <w:snapToGrid w:val="0"/>
        <w:spacing w:line="500" w:lineRule="exact"/>
        <w:ind w:firstLine="490" w:firstLineChars="200"/>
      </w:pPr>
      <w:r>
        <w:rPr>
          <w:rFonts w:hint="eastAsia"/>
        </w:rPr>
        <w:t>6、破碎</w:t>
      </w:r>
    </w:p>
    <w:p w14:paraId="7562BBF5">
      <w:pPr>
        <w:pStyle w:val="5"/>
        <w:adjustRightInd w:val="0"/>
        <w:snapToGrid w:val="0"/>
        <w:spacing w:line="500" w:lineRule="exact"/>
        <w:ind w:firstLine="490" w:firstLineChars="200"/>
      </w:pPr>
      <w:r>
        <w:rPr>
          <w:rFonts w:hint="eastAsia"/>
          <w:u w:val="single"/>
        </w:rPr>
        <w:t>干燥后的物料通过人工搬运方式送入辊机破碎得到粗破物料，</w:t>
      </w:r>
      <w:r>
        <w:rPr>
          <w:rFonts w:hint="eastAsia"/>
        </w:rPr>
        <w:t>粗破物料处理完毕后进入气流磨进行气流粉碎，得到破碎的羟基钴物料。破碎在密闭操作间进行，破碎粉尘（G1-4）在破碎间内密闭收集，经布袋除尘器处理后与烘干粉尘一同经吸收塔处理后通过1根20m高排气筒排放（DA146）。</w:t>
      </w:r>
    </w:p>
    <w:p w14:paraId="67D19891">
      <w:pPr>
        <w:pStyle w:val="5"/>
        <w:adjustRightInd w:val="0"/>
        <w:snapToGrid w:val="0"/>
        <w:spacing w:line="500" w:lineRule="exact"/>
        <w:ind w:firstLine="490" w:firstLineChars="200"/>
      </w:pPr>
      <w:r>
        <w:rPr>
          <w:rFonts w:hint="eastAsia"/>
        </w:rPr>
        <w:t>7、包装</w:t>
      </w:r>
    </w:p>
    <w:p w14:paraId="6ED6E889">
      <w:pPr>
        <w:pStyle w:val="5"/>
        <w:adjustRightInd w:val="0"/>
        <w:snapToGrid w:val="0"/>
        <w:spacing w:line="500" w:lineRule="exact"/>
        <w:ind w:firstLine="490" w:firstLineChars="200"/>
      </w:pPr>
      <w:r>
        <w:rPr>
          <w:rFonts w:hint="eastAsia"/>
          <w:u w:val="single"/>
        </w:rPr>
        <w:t>对破碎达标的物料通过人工分装进行真空包装，得羟基钴成品。</w:t>
      </w:r>
      <w:r>
        <w:rPr>
          <w:rFonts w:hint="eastAsia"/>
        </w:rPr>
        <w:t>破碎在密闭操作间进行，包装粉尘（G1-5）在包装间内密闭收集，与破碎粉尘一同经布袋除尘器、吸收塔处理后通过1根20m高排气筒排放（DA146）。</w:t>
      </w:r>
    </w:p>
    <w:p w14:paraId="45A3C542">
      <w:pPr>
        <w:pStyle w:val="6"/>
        <w:numPr>
          <w:ilvl w:val="2"/>
          <w:numId w:val="11"/>
        </w:numPr>
        <w:tabs>
          <w:tab w:val="left" w:pos="1080"/>
        </w:tabs>
        <w:spacing w:line="400" w:lineRule="exact"/>
        <w:rPr>
          <w:rFonts w:ascii="Arial" w:hAnsi="Arial" w:eastAsia="宋体" w:cs="Arial"/>
        </w:rPr>
      </w:pPr>
      <w:r>
        <w:rPr>
          <w:rFonts w:ascii="Arial" w:hAnsi="Arial" w:eastAsia="宋体" w:cs="Arial"/>
        </w:rPr>
        <w:t>物料平衡、水平衡、元素平衡</w:t>
      </w:r>
    </w:p>
    <w:p w14:paraId="220DCE43">
      <w:pPr>
        <w:pStyle w:val="6"/>
        <w:numPr>
          <w:ilvl w:val="2"/>
          <w:numId w:val="11"/>
        </w:numPr>
        <w:tabs>
          <w:tab w:val="left" w:pos="1080"/>
        </w:tabs>
        <w:spacing w:line="400" w:lineRule="exact"/>
        <w:rPr>
          <w:rFonts w:ascii="Arial" w:hAnsi="Arial" w:eastAsia="宋体" w:cs="Arial"/>
        </w:rPr>
      </w:pPr>
      <w:r>
        <w:rPr>
          <w:rFonts w:ascii="Arial" w:hAnsi="Arial" w:eastAsia="宋体" w:cs="Arial"/>
        </w:rPr>
        <w:t>污染源分析</w:t>
      </w:r>
    </w:p>
    <w:p w14:paraId="06AE959E">
      <w:pPr>
        <w:pStyle w:val="5"/>
      </w:pPr>
      <w:r>
        <w:t>项目污染因素见表2-</w:t>
      </w:r>
      <w:r>
        <w:rPr>
          <w:rFonts w:hint="eastAsia"/>
        </w:rPr>
        <w:t>25</w:t>
      </w:r>
      <w:r>
        <w:t>。</w:t>
      </w:r>
    </w:p>
    <w:p w14:paraId="72AE877E">
      <w:pPr>
        <w:pStyle w:val="5"/>
        <w:keepNext/>
        <w:numPr>
          <w:ilvl w:val="0"/>
          <w:numId w:val="12"/>
        </w:numPr>
        <w:spacing w:line="480" w:lineRule="exact"/>
        <w:ind w:left="0" w:firstLine="0"/>
        <w:jc w:val="center"/>
        <w:outlineLvl w:val="4"/>
        <w:rPr>
          <w:b/>
        </w:rPr>
      </w:pPr>
      <w:r>
        <w:rPr>
          <w:b/>
        </w:rPr>
        <w:t>项目污染因素汇总表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801"/>
        <w:gridCol w:w="1893"/>
        <w:gridCol w:w="2838"/>
        <w:gridCol w:w="3045"/>
      </w:tblGrid>
      <w:tr w14:paraId="377BB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shd w:val="clear" w:color="auto" w:fill="auto"/>
            <w:vAlign w:val="center"/>
          </w:tcPr>
          <w:p w14:paraId="2C90D659">
            <w:pPr>
              <w:pStyle w:val="5"/>
              <w:adjustRightInd w:val="0"/>
              <w:snapToGrid w:val="0"/>
              <w:spacing w:line="240" w:lineRule="auto"/>
              <w:ind w:firstLine="0"/>
              <w:jc w:val="center"/>
              <w:rPr>
                <w:sz w:val="21"/>
                <w:szCs w:val="21"/>
              </w:rPr>
            </w:pPr>
            <w:r>
              <w:rPr>
                <w:sz w:val="21"/>
                <w:szCs w:val="21"/>
              </w:rPr>
              <w:t>类别</w:t>
            </w:r>
          </w:p>
        </w:tc>
        <w:tc>
          <w:tcPr>
            <w:tcW w:w="431" w:type="pct"/>
            <w:shd w:val="clear" w:color="auto" w:fill="auto"/>
            <w:vAlign w:val="center"/>
          </w:tcPr>
          <w:p w14:paraId="4B7BEBA0">
            <w:pPr>
              <w:pStyle w:val="5"/>
              <w:adjustRightInd w:val="0"/>
              <w:snapToGrid w:val="0"/>
              <w:spacing w:line="240" w:lineRule="auto"/>
              <w:ind w:firstLine="0"/>
              <w:jc w:val="center"/>
              <w:rPr>
                <w:sz w:val="21"/>
                <w:szCs w:val="21"/>
              </w:rPr>
            </w:pPr>
            <w:r>
              <w:rPr>
                <w:sz w:val="21"/>
                <w:szCs w:val="21"/>
              </w:rPr>
              <w:t>序号</w:t>
            </w:r>
          </w:p>
        </w:tc>
        <w:tc>
          <w:tcPr>
            <w:tcW w:w="1019" w:type="pct"/>
            <w:shd w:val="clear" w:color="auto" w:fill="auto"/>
            <w:vAlign w:val="center"/>
          </w:tcPr>
          <w:p w14:paraId="6C0B240D">
            <w:pPr>
              <w:pStyle w:val="5"/>
              <w:adjustRightInd w:val="0"/>
              <w:snapToGrid w:val="0"/>
              <w:spacing w:line="240" w:lineRule="auto"/>
              <w:ind w:firstLine="0"/>
              <w:jc w:val="center"/>
              <w:rPr>
                <w:sz w:val="21"/>
                <w:szCs w:val="21"/>
              </w:rPr>
            </w:pPr>
            <w:r>
              <w:rPr>
                <w:sz w:val="21"/>
                <w:szCs w:val="21"/>
              </w:rPr>
              <w:t>名称</w:t>
            </w:r>
          </w:p>
        </w:tc>
        <w:tc>
          <w:tcPr>
            <w:tcW w:w="1528" w:type="pct"/>
            <w:shd w:val="clear" w:color="auto" w:fill="auto"/>
            <w:vAlign w:val="center"/>
          </w:tcPr>
          <w:p w14:paraId="0272F924">
            <w:pPr>
              <w:pStyle w:val="5"/>
              <w:adjustRightInd w:val="0"/>
              <w:snapToGrid w:val="0"/>
              <w:spacing w:line="240" w:lineRule="auto"/>
              <w:ind w:firstLine="0"/>
              <w:jc w:val="center"/>
              <w:rPr>
                <w:sz w:val="21"/>
                <w:szCs w:val="21"/>
              </w:rPr>
            </w:pPr>
            <w:r>
              <w:rPr>
                <w:sz w:val="21"/>
                <w:szCs w:val="21"/>
              </w:rPr>
              <w:t>产生环节、装置</w:t>
            </w:r>
          </w:p>
        </w:tc>
        <w:tc>
          <w:tcPr>
            <w:tcW w:w="1639" w:type="pct"/>
            <w:shd w:val="clear" w:color="auto" w:fill="auto"/>
            <w:vAlign w:val="center"/>
          </w:tcPr>
          <w:p w14:paraId="0FCC9BA5">
            <w:pPr>
              <w:pStyle w:val="5"/>
              <w:adjustRightInd w:val="0"/>
              <w:snapToGrid w:val="0"/>
              <w:spacing w:line="240" w:lineRule="auto"/>
              <w:ind w:firstLine="0"/>
              <w:jc w:val="center"/>
              <w:rPr>
                <w:sz w:val="21"/>
                <w:szCs w:val="21"/>
              </w:rPr>
            </w:pPr>
            <w:r>
              <w:rPr>
                <w:sz w:val="21"/>
                <w:szCs w:val="21"/>
              </w:rPr>
              <w:t>主要污染因子</w:t>
            </w:r>
          </w:p>
        </w:tc>
      </w:tr>
      <w:tr w14:paraId="3C8BD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restart"/>
            <w:shd w:val="clear" w:color="auto" w:fill="auto"/>
            <w:vAlign w:val="center"/>
          </w:tcPr>
          <w:p w14:paraId="209961D1">
            <w:pPr>
              <w:pStyle w:val="5"/>
              <w:adjustRightInd w:val="0"/>
              <w:snapToGrid w:val="0"/>
              <w:spacing w:line="240" w:lineRule="auto"/>
              <w:ind w:firstLine="0"/>
              <w:jc w:val="center"/>
              <w:rPr>
                <w:sz w:val="21"/>
                <w:szCs w:val="21"/>
              </w:rPr>
            </w:pPr>
            <w:r>
              <w:rPr>
                <w:sz w:val="21"/>
                <w:szCs w:val="21"/>
              </w:rPr>
              <w:t>废气</w:t>
            </w:r>
          </w:p>
        </w:tc>
        <w:tc>
          <w:tcPr>
            <w:tcW w:w="431" w:type="pct"/>
            <w:shd w:val="clear" w:color="auto" w:fill="auto"/>
            <w:vAlign w:val="center"/>
          </w:tcPr>
          <w:p w14:paraId="374A4DCB">
            <w:pPr>
              <w:pStyle w:val="5"/>
              <w:adjustRightInd w:val="0"/>
              <w:snapToGrid w:val="0"/>
              <w:spacing w:line="240" w:lineRule="auto"/>
              <w:ind w:firstLine="0"/>
              <w:jc w:val="center"/>
              <w:rPr>
                <w:sz w:val="21"/>
                <w:szCs w:val="21"/>
              </w:rPr>
            </w:pPr>
            <w:r>
              <w:rPr>
                <w:sz w:val="21"/>
                <w:szCs w:val="21"/>
              </w:rPr>
              <w:t>G1-1</w:t>
            </w:r>
          </w:p>
        </w:tc>
        <w:tc>
          <w:tcPr>
            <w:tcW w:w="1019" w:type="pct"/>
            <w:shd w:val="clear" w:color="auto" w:fill="auto"/>
            <w:vAlign w:val="center"/>
          </w:tcPr>
          <w:p w14:paraId="3897276F">
            <w:pPr>
              <w:pStyle w:val="5"/>
              <w:adjustRightInd w:val="0"/>
              <w:snapToGrid w:val="0"/>
              <w:spacing w:line="240" w:lineRule="auto"/>
              <w:ind w:firstLine="0"/>
              <w:jc w:val="center"/>
              <w:rPr>
                <w:sz w:val="21"/>
                <w:szCs w:val="21"/>
              </w:rPr>
            </w:pPr>
            <w:r>
              <w:rPr>
                <w:sz w:val="21"/>
                <w:szCs w:val="21"/>
              </w:rPr>
              <w:t>合成反应废气</w:t>
            </w:r>
          </w:p>
        </w:tc>
        <w:tc>
          <w:tcPr>
            <w:tcW w:w="1528" w:type="pct"/>
            <w:shd w:val="clear" w:color="auto" w:fill="auto"/>
            <w:vAlign w:val="center"/>
          </w:tcPr>
          <w:p w14:paraId="19D09A21">
            <w:pPr>
              <w:pStyle w:val="5"/>
              <w:adjustRightInd w:val="0"/>
              <w:snapToGrid w:val="0"/>
              <w:spacing w:line="240" w:lineRule="auto"/>
              <w:ind w:firstLine="0"/>
              <w:jc w:val="center"/>
              <w:rPr>
                <w:sz w:val="21"/>
                <w:szCs w:val="21"/>
              </w:rPr>
            </w:pPr>
            <w:r>
              <w:rPr>
                <w:sz w:val="21"/>
                <w:szCs w:val="21"/>
              </w:rPr>
              <w:t>反应釜</w:t>
            </w:r>
          </w:p>
        </w:tc>
        <w:tc>
          <w:tcPr>
            <w:tcW w:w="1639" w:type="pct"/>
            <w:shd w:val="clear" w:color="auto" w:fill="auto"/>
            <w:vAlign w:val="center"/>
          </w:tcPr>
          <w:p w14:paraId="72B59E6E">
            <w:pPr>
              <w:pStyle w:val="5"/>
              <w:adjustRightInd w:val="0"/>
              <w:snapToGrid w:val="0"/>
              <w:spacing w:line="240" w:lineRule="auto"/>
              <w:ind w:firstLine="0"/>
              <w:jc w:val="center"/>
              <w:rPr>
                <w:sz w:val="21"/>
                <w:szCs w:val="21"/>
              </w:rPr>
            </w:pPr>
            <w:r>
              <w:rPr>
                <w:sz w:val="21"/>
                <w:szCs w:val="21"/>
              </w:rPr>
              <w:t>氨气</w:t>
            </w:r>
          </w:p>
        </w:tc>
      </w:tr>
      <w:tr w14:paraId="242B6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5B98CC36">
            <w:pPr>
              <w:pStyle w:val="5"/>
              <w:adjustRightInd w:val="0"/>
              <w:snapToGrid w:val="0"/>
              <w:spacing w:line="240" w:lineRule="auto"/>
              <w:ind w:firstLine="0"/>
              <w:jc w:val="center"/>
              <w:rPr>
                <w:sz w:val="21"/>
                <w:szCs w:val="21"/>
              </w:rPr>
            </w:pPr>
          </w:p>
        </w:tc>
        <w:tc>
          <w:tcPr>
            <w:tcW w:w="431" w:type="pct"/>
            <w:shd w:val="clear" w:color="auto" w:fill="auto"/>
            <w:vAlign w:val="center"/>
          </w:tcPr>
          <w:p w14:paraId="0FDF2BA8">
            <w:pPr>
              <w:pStyle w:val="5"/>
              <w:adjustRightInd w:val="0"/>
              <w:snapToGrid w:val="0"/>
              <w:spacing w:line="240" w:lineRule="auto"/>
              <w:ind w:firstLine="0"/>
              <w:jc w:val="center"/>
              <w:rPr>
                <w:sz w:val="21"/>
                <w:szCs w:val="21"/>
              </w:rPr>
            </w:pPr>
            <w:r>
              <w:rPr>
                <w:sz w:val="21"/>
                <w:szCs w:val="21"/>
              </w:rPr>
              <w:t>G1-2</w:t>
            </w:r>
          </w:p>
        </w:tc>
        <w:tc>
          <w:tcPr>
            <w:tcW w:w="1019" w:type="pct"/>
            <w:shd w:val="clear" w:color="auto" w:fill="auto"/>
            <w:vAlign w:val="center"/>
          </w:tcPr>
          <w:p w14:paraId="7F9A7F0E">
            <w:pPr>
              <w:pStyle w:val="5"/>
              <w:adjustRightInd w:val="0"/>
              <w:snapToGrid w:val="0"/>
              <w:spacing w:line="240" w:lineRule="auto"/>
              <w:ind w:firstLine="0"/>
              <w:jc w:val="center"/>
              <w:rPr>
                <w:sz w:val="21"/>
                <w:szCs w:val="21"/>
              </w:rPr>
            </w:pPr>
            <w:r>
              <w:rPr>
                <w:sz w:val="21"/>
                <w:szCs w:val="21"/>
              </w:rPr>
              <w:t>压滤废气</w:t>
            </w:r>
          </w:p>
        </w:tc>
        <w:tc>
          <w:tcPr>
            <w:tcW w:w="1528" w:type="pct"/>
            <w:shd w:val="clear" w:color="auto" w:fill="auto"/>
            <w:vAlign w:val="center"/>
          </w:tcPr>
          <w:p w14:paraId="650930AC">
            <w:pPr>
              <w:pStyle w:val="5"/>
              <w:adjustRightInd w:val="0"/>
              <w:snapToGrid w:val="0"/>
              <w:spacing w:line="240" w:lineRule="auto"/>
              <w:ind w:firstLine="0"/>
              <w:jc w:val="center"/>
              <w:rPr>
                <w:sz w:val="21"/>
                <w:szCs w:val="21"/>
              </w:rPr>
            </w:pPr>
            <w:r>
              <w:rPr>
                <w:sz w:val="21"/>
                <w:szCs w:val="21"/>
              </w:rPr>
              <w:t>压滤机</w:t>
            </w:r>
          </w:p>
        </w:tc>
        <w:tc>
          <w:tcPr>
            <w:tcW w:w="1639" w:type="pct"/>
            <w:shd w:val="clear" w:color="auto" w:fill="auto"/>
            <w:vAlign w:val="center"/>
          </w:tcPr>
          <w:p w14:paraId="2C9D289A">
            <w:pPr>
              <w:pStyle w:val="5"/>
              <w:adjustRightInd w:val="0"/>
              <w:snapToGrid w:val="0"/>
              <w:spacing w:line="240" w:lineRule="auto"/>
              <w:ind w:firstLine="0"/>
              <w:jc w:val="center"/>
              <w:rPr>
                <w:sz w:val="21"/>
                <w:szCs w:val="21"/>
              </w:rPr>
            </w:pPr>
            <w:r>
              <w:rPr>
                <w:sz w:val="21"/>
                <w:szCs w:val="21"/>
              </w:rPr>
              <w:t>氨气</w:t>
            </w:r>
          </w:p>
        </w:tc>
      </w:tr>
      <w:tr w14:paraId="5D796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303EA99E">
            <w:pPr>
              <w:pStyle w:val="5"/>
              <w:adjustRightInd w:val="0"/>
              <w:snapToGrid w:val="0"/>
              <w:spacing w:line="240" w:lineRule="auto"/>
              <w:ind w:firstLine="0"/>
              <w:jc w:val="center"/>
              <w:rPr>
                <w:sz w:val="21"/>
                <w:szCs w:val="21"/>
              </w:rPr>
            </w:pPr>
          </w:p>
        </w:tc>
        <w:tc>
          <w:tcPr>
            <w:tcW w:w="431" w:type="pct"/>
            <w:shd w:val="clear" w:color="auto" w:fill="auto"/>
            <w:vAlign w:val="center"/>
          </w:tcPr>
          <w:p w14:paraId="6EFDE6EA">
            <w:pPr>
              <w:pStyle w:val="5"/>
              <w:adjustRightInd w:val="0"/>
              <w:snapToGrid w:val="0"/>
              <w:spacing w:line="240" w:lineRule="auto"/>
              <w:ind w:firstLine="0"/>
              <w:jc w:val="center"/>
              <w:rPr>
                <w:sz w:val="21"/>
                <w:szCs w:val="21"/>
              </w:rPr>
            </w:pPr>
            <w:r>
              <w:rPr>
                <w:sz w:val="21"/>
                <w:szCs w:val="21"/>
              </w:rPr>
              <w:t>G1-3</w:t>
            </w:r>
          </w:p>
        </w:tc>
        <w:tc>
          <w:tcPr>
            <w:tcW w:w="1019" w:type="pct"/>
            <w:shd w:val="clear" w:color="auto" w:fill="auto"/>
            <w:vAlign w:val="center"/>
          </w:tcPr>
          <w:p w14:paraId="1D909B04">
            <w:pPr>
              <w:pStyle w:val="5"/>
              <w:adjustRightInd w:val="0"/>
              <w:snapToGrid w:val="0"/>
              <w:spacing w:line="240" w:lineRule="auto"/>
              <w:ind w:firstLine="0"/>
              <w:jc w:val="center"/>
              <w:rPr>
                <w:sz w:val="21"/>
                <w:szCs w:val="21"/>
              </w:rPr>
            </w:pPr>
            <w:r>
              <w:rPr>
                <w:sz w:val="21"/>
                <w:szCs w:val="21"/>
              </w:rPr>
              <w:t>烘干粉尘</w:t>
            </w:r>
          </w:p>
        </w:tc>
        <w:tc>
          <w:tcPr>
            <w:tcW w:w="1528" w:type="pct"/>
            <w:shd w:val="clear" w:color="auto" w:fill="auto"/>
            <w:vAlign w:val="center"/>
          </w:tcPr>
          <w:p w14:paraId="4F97B39B">
            <w:pPr>
              <w:pStyle w:val="5"/>
              <w:adjustRightInd w:val="0"/>
              <w:snapToGrid w:val="0"/>
              <w:spacing w:line="240" w:lineRule="auto"/>
              <w:ind w:firstLine="0"/>
              <w:jc w:val="center"/>
              <w:rPr>
                <w:sz w:val="21"/>
                <w:szCs w:val="21"/>
              </w:rPr>
            </w:pPr>
            <w:r>
              <w:rPr>
                <w:sz w:val="21"/>
                <w:szCs w:val="21"/>
              </w:rPr>
              <w:t>烘箱</w:t>
            </w:r>
          </w:p>
        </w:tc>
        <w:tc>
          <w:tcPr>
            <w:tcW w:w="1639" w:type="pct"/>
            <w:shd w:val="clear" w:color="auto" w:fill="auto"/>
            <w:vAlign w:val="center"/>
          </w:tcPr>
          <w:p w14:paraId="09D22245">
            <w:pPr>
              <w:pStyle w:val="5"/>
              <w:adjustRightInd w:val="0"/>
              <w:snapToGrid w:val="0"/>
              <w:spacing w:line="240" w:lineRule="auto"/>
              <w:ind w:firstLine="0"/>
              <w:jc w:val="center"/>
              <w:rPr>
                <w:sz w:val="21"/>
                <w:szCs w:val="21"/>
              </w:rPr>
            </w:pPr>
            <w:r>
              <w:rPr>
                <w:sz w:val="21"/>
                <w:szCs w:val="21"/>
              </w:rPr>
              <w:t>颗粒物、钴及其化合物</w:t>
            </w:r>
          </w:p>
        </w:tc>
      </w:tr>
      <w:tr w14:paraId="025E4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5523753">
            <w:pPr>
              <w:pStyle w:val="5"/>
              <w:adjustRightInd w:val="0"/>
              <w:snapToGrid w:val="0"/>
              <w:spacing w:line="240" w:lineRule="auto"/>
              <w:ind w:firstLine="0"/>
              <w:jc w:val="center"/>
              <w:rPr>
                <w:sz w:val="21"/>
                <w:szCs w:val="21"/>
              </w:rPr>
            </w:pPr>
          </w:p>
        </w:tc>
        <w:tc>
          <w:tcPr>
            <w:tcW w:w="431" w:type="pct"/>
            <w:shd w:val="clear" w:color="auto" w:fill="auto"/>
            <w:vAlign w:val="center"/>
          </w:tcPr>
          <w:p w14:paraId="0E21369C">
            <w:pPr>
              <w:pStyle w:val="5"/>
              <w:adjustRightInd w:val="0"/>
              <w:snapToGrid w:val="0"/>
              <w:spacing w:line="240" w:lineRule="auto"/>
              <w:ind w:firstLine="0"/>
              <w:jc w:val="center"/>
              <w:rPr>
                <w:sz w:val="21"/>
                <w:szCs w:val="21"/>
              </w:rPr>
            </w:pPr>
            <w:r>
              <w:rPr>
                <w:sz w:val="21"/>
                <w:szCs w:val="21"/>
              </w:rPr>
              <w:t>G1-4</w:t>
            </w:r>
          </w:p>
        </w:tc>
        <w:tc>
          <w:tcPr>
            <w:tcW w:w="1019" w:type="pct"/>
            <w:shd w:val="clear" w:color="auto" w:fill="auto"/>
            <w:vAlign w:val="center"/>
          </w:tcPr>
          <w:p w14:paraId="2B38AEC7">
            <w:pPr>
              <w:pStyle w:val="5"/>
              <w:adjustRightInd w:val="0"/>
              <w:snapToGrid w:val="0"/>
              <w:spacing w:line="240" w:lineRule="auto"/>
              <w:ind w:firstLine="0"/>
              <w:jc w:val="center"/>
              <w:rPr>
                <w:sz w:val="21"/>
                <w:szCs w:val="21"/>
              </w:rPr>
            </w:pPr>
            <w:r>
              <w:rPr>
                <w:sz w:val="21"/>
                <w:szCs w:val="21"/>
              </w:rPr>
              <w:t>破碎粉尘</w:t>
            </w:r>
          </w:p>
        </w:tc>
        <w:tc>
          <w:tcPr>
            <w:tcW w:w="1528" w:type="pct"/>
            <w:shd w:val="clear" w:color="auto" w:fill="auto"/>
            <w:vAlign w:val="center"/>
          </w:tcPr>
          <w:p w14:paraId="3895D34C">
            <w:pPr>
              <w:pStyle w:val="5"/>
              <w:adjustRightInd w:val="0"/>
              <w:snapToGrid w:val="0"/>
              <w:spacing w:line="240" w:lineRule="auto"/>
              <w:ind w:firstLine="0"/>
              <w:jc w:val="center"/>
              <w:rPr>
                <w:sz w:val="21"/>
                <w:szCs w:val="21"/>
              </w:rPr>
            </w:pPr>
            <w:r>
              <w:rPr>
                <w:sz w:val="21"/>
                <w:szCs w:val="21"/>
              </w:rPr>
              <w:t>破碎间</w:t>
            </w:r>
          </w:p>
        </w:tc>
        <w:tc>
          <w:tcPr>
            <w:tcW w:w="1639" w:type="pct"/>
            <w:shd w:val="clear" w:color="auto" w:fill="auto"/>
            <w:vAlign w:val="center"/>
          </w:tcPr>
          <w:p w14:paraId="66D7DDA1">
            <w:pPr>
              <w:pStyle w:val="5"/>
              <w:adjustRightInd w:val="0"/>
              <w:snapToGrid w:val="0"/>
              <w:spacing w:line="240" w:lineRule="auto"/>
              <w:ind w:firstLine="0"/>
              <w:jc w:val="center"/>
              <w:rPr>
                <w:sz w:val="21"/>
                <w:szCs w:val="21"/>
              </w:rPr>
            </w:pPr>
            <w:r>
              <w:rPr>
                <w:sz w:val="21"/>
                <w:szCs w:val="21"/>
              </w:rPr>
              <w:t>颗粒物、钴及其化合物</w:t>
            </w:r>
          </w:p>
        </w:tc>
      </w:tr>
      <w:tr w14:paraId="53971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76C52E1D">
            <w:pPr>
              <w:pStyle w:val="5"/>
              <w:adjustRightInd w:val="0"/>
              <w:snapToGrid w:val="0"/>
              <w:spacing w:line="240" w:lineRule="auto"/>
              <w:ind w:firstLine="0"/>
              <w:jc w:val="center"/>
              <w:rPr>
                <w:sz w:val="21"/>
                <w:szCs w:val="21"/>
              </w:rPr>
            </w:pPr>
          </w:p>
        </w:tc>
        <w:tc>
          <w:tcPr>
            <w:tcW w:w="431" w:type="pct"/>
            <w:shd w:val="clear" w:color="auto" w:fill="auto"/>
            <w:vAlign w:val="center"/>
          </w:tcPr>
          <w:p w14:paraId="05870767">
            <w:pPr>
              <w:pStyle w:val="5"/>
              <w:adjustRightInd w:val="0"/>
              <w:snapToGrid w:val="0"/>
              <w:spacing w:line="240" w:lineRule="auto"/>
              <w:ind w:firstLine="0"/>
              <w:jc w:val="center"/>
              <w:rPr>
                <w:sz w:val="21"/>
                <w:szCs w:val="21"/>
              </w:rPr>
            </w:pPr>
            <w:r>
              <w:rPr>
                <w:sz w:val="21"/>
                <w:szCs w:val="21"/>
              </w:rPr>
              <w:t>G1-</w:t>
            </w:r>
            <w:r>
              <w:rPr>
                <w:rFonts w:hint="eastAsia"/>
                <w:sz w:val="21"/>
                <w:szCs w:val="21"/>
              </w:rPr>
              <w:t>5</w:t>
            </w:r>
          </w:p>
        </w:tc>
        <w:tc>
          <w:tcPr>
            <w:tcW w:w="1019" w:type="pct"/>
            <w:shd w:val="clear" w:color="auto" w:fill="auto"/>
            <w:vAlign w:val="center"/>
          </w:tcPr>
          <w:p w14:paraId="28339E03">
            <w:pPr>
              <w:pStyle w:val="5"/>
              <w:adjustRightInd w:val="0"/>
              <w:snapToGrid w:val="0"/>
              <w:spacing w:line="240" w:lineRule="auto"/>
              <w:ind w:firstLine="0"/>
              <w:jc w:val="center"/>
              <w:rPr>
                <w:sz w:val="21"/>
                <w:szCs w:val="21"/>
              </w:rPr>
            </w:pPr>
            <w:r>
              <w:rPr>
                <w:sz w:val="21"/>
                <w:szCs w:val="21"/>
              </w:rPr>
              <w:t>包装粉尘</w:t>
            </w:r>
          </w:p>
        </w:tc>
        <w:tc>
          <w:tcPr>
            <w:tcW w:w="1528" w:type="pct"/>
            <w:shd w:val="clear" w:color="auto" w:fill="auto"/>
            <w:vAlign w:val="center"/>
          </w:tcPr>
          <w:p w14:paraId="5F419747">
            <w:pPr>
              <w:pStyle w:val="5"/>
              <w:adjustRightInd w:val="0"/>
              <w:snapToGrid w:val="0"/>
              <w:spacing w:line="240" w:lineRule="auto"/>
              <w:ind w:firstLine="0"/>
              <w:jc w:val="center"/>
              <w:rPr>
                <w:sz w:val="21"/>
                <w:szCs w:val="21"/>
              </w:rPr>
            </w:pPr>
            <w:r>
              <w:rPr>
                <w:sz w:val="21"/>
                <w:szCs w:val="21"/>
              </w:rPr>
              <w:t>包装间</w:t>
            </w:r>
          </w:p>
        </w:tc>
        <w:tc>
          <w:tcPr>
            <w:tcW w:w="1639" w:type="pct"/>
            <w:shd w:val="clear" w:color="auto" w:fill="auto"/>
            <w:vAlign w:val="center"/>
          </w:tcPr>
          <w:p w14:paraId="725575DA">
            <w:pPr>
              <w:pStyle w:val="5"/>
              <w:adjustRightInd w:val="0"/>
              <w:snapToGrid w:val="0"/>
              <w:spacing w:line="240" w:lineRule="auto"/>
              <w:ind w:firstLine="0"/>
              <w:jc w:val="center"/>
              <w:rPr>
                <w:sz w:val="21"/>
                <w:szCs w:val="21"/>
              </w:rPr>
            </w:pPr>
            <w:r>
              <w:rPr>
                <w:sz w:val="21"/>
                <w:szCs w:val="21"/>
              </w:rPr>
              <w:t>颗粒物、钴及其化合物</w:t>
            </w:r>
          </w:p>
        </w:tc>
      </w:tr>
      <w:tr w14:paraId="1C752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676A0F6D">
            <w:pPr>
              <w:pStyle w:val="5"/>
              <w:adjustRightInd w:val="0"/>
              <w:snapToGrid w:val="0"/>
              <w:spacing w:line="240" w:lineRule="auto"/>
              <w:ind w:firstLine="0"/>
              <w:jc w:val="center"/>
              <w:rPr>
                <w:sz w:val="21"/>
                <w:szCs w:val="21"/>
              </w:rPr>
            </w:pPr>
          </w:p>
        </w:tc>
        <w:tc>
          <w:tcPr>
            <w:tcW w:w="431" w:type="pct"/>
            <w:shd w:val="clear" w:color="auto" w:fill="auto"/>
            <w:vAlign w:val="center"/>
          </w:tcPr>
          <w:p w14:paraId="6ADEB5D7">
            <w:pPr>
              <w:pStyle w:val="5"/>
              <w:adjustRightInd w:val="0"/>
              <w:snapToGrid w:val="0"/>
              <w:spacing w:line="240" w:lineRule="auto"/>
              <w:ind w:firstLine="0"/>
              <w:jc w:val="center"/>
              <w:rPr>
                <w:sz w:val="21"/>
                <w:szCs w:val="21"/>
              </w:rPr>
            </w:pPr>
            <w:r>
              <w:rPr>
                <w:sz w:val="21"/>
                <w:szCs w:val="21"/>
              </w:rPr>
              <w:t>G</w:t>
            </w:r>
            <w:r>
              <w:rPr>
                <w:rFonts w:hint="eastAsia"/>
                <w:sz w:val="21"/>
                <w:szCs w:val="21"/>
              </w:rPr>
              <w:t>1-6</w:t>
            </w:r>
          </w:p>
        </w:tc>
        <w:tc>
          <w:tcPr>
            <w:tcW w:w="1019" w:type="pct"/>
            <w:shd w:val="clear" w:color="auto" w:fill="auto"/>
            <w:vAlign w:val="center"/>
          </w:tcPr>
          <w:p w14:paraId="7CF2F2DC">
            <w:pPr>
              <w:pStyle w:val="5"/>
              <w:adjustRightInd w:val="0"/>
              <w:snapToGrid w:val="0"/>
              <w:spacing w:line="240" w:lineRule="auto"/>
              <w:ind w:firstLine="0"/>
              <w:jc w:val="center"/>
              <w:rPr>
                <w:sz w:val="21"/>
                <w:szCs w:val="21"/>
              </w:rPr>
            </w:pPr>
            <w:r>
              <w:rPr>
                <w:rFonts w:hint="eastAsia"/>
                <w:sz w:val="21"/>
                <w:szCs w:val="21"/>
              </w:rPr>
              <w:t>车间</w:t>
            </w:r>
            <w:r>
              <w:rPr>
                <w:sz w:val="21"/>
                <w:szCs w:val="21"/>
              </w:rPr>
              <w:t>无组织废气</w:t>
            </w:r>
          </w:p>
        </w:tc>
        <w:tc>
          <w:tcPr>
            <w:tcW w:w="1528" w:type="pct"/>
            <w:shd w:val="clear" w:color="auto" w:fill="auto"/>
            <w:vAlign w:val="center"/>
          </w:tcPr>
          <w:p w14:paraId="0F5BE892">
            <w:pPr>
              <w:pStyle w:val="5"/>
              <w:adjustRightInd w:val="0"/>
              <w:snapToGrid w:val="0"/>
              <w:ind w:firstLine="0"/>
              <w:jc w:val="center"/>
              <w:rPr>
                <w:sz w:val="21"/>
                <w:szCs w:val="21"/>
              </w:rPr>
            </w:pPr>
            <w:r>
              <w:rPr>
                <w:rFonts w:hint="eastAsia"/>
                <w:sz w:val="21"/>
                <w:szCs w:val="21"/>
              </w:rPr>
              <w:t>X19车间</w:t>
            </w:r>
          </w:p>
        </w:tc>
        <w:tc>
          <w:tcPr>
            <w:tcW w:w="1639" w:type="pct"/>
            <w:shd w:val="clear" w:color="auto" w:fill="auto"/>
            <w:vAlign w:val="center"/>
          </w:tcPr>
          <w:p w14:paraId="53F5EC40">
            <w:pPr>
              <w:pStyle w:val="5"/>
              <w:adjustRightInd w:val="0"/>
              <w:snapToGrid w:val="0"/>
              <w:spacing w:line="240" w:lineRule="auto"/>
              <w:ind w:firstLine="0"/>
              <w:jc w:val="center"/>
              <w:rPr>
                <w:sz w:val="21"/>
                <w:szCs w:val="21"/>
              </w:rPr>
            </w:pPr>
            <w:r>
              <w:rPr>
                <w:sz w:val="21"/>
                <w:szCs w:val="21"/>
              </w:rPr>
              <w:t>氨气</w:t>
            </w:r>
          </w:p>
        </w:tc>
      </w:tr>
      <w:tr w14:paraId="1503D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55EB018D">
            <w:pPr>
              <w:pStyle w:val="5"/>
              <w:adjustRightInd w:val="0"/>
              <w:snapToGrid w:val="0"/>
              <w:spacing w:line="240" w:lineRule="auto"/>
              <w:ind w:firstLine="0"/>
              <w:jc w:val="center"/>
              <w:rPr>
                <w:sz w:val="21"/>
                <w:szCs w:val="21"/>
              </w:rPr>
            </w:pPr>
          </w:p>
        </w:tc>
        <w:tc>
          <w:tcPr>
            <w:tcW w:w="431" w:type="pct"/>
            <w:shd w:val="clear" w:color="auto" w:fill="auto"/>
            <w:vAlign w:val="center"/>
          </w:tcPr>
          <w:p w14:paraId="33A774C3">
            <w:pPr>
              <w:pStyle w:val="5"/>
              <w:adjustRightInd w:val="0"/>
              <w:snapToGrid w:val="0"/>
              <w:spacing w:line="240" w:lineRule="auto"/>
              <w:ind w:firstLine="0"/>
              <w:jc w:val="center"/>
              <w:rPr>
                <w:sz w:val="21"/>
                <w:szCs w:val="21"/>
              </w:rPr>
            </w:pPr>
            <w:r>
              <w:rPr>
                <w:sz w:val="21"/>
                <w:szCs w:val="21"/>
              </w:rPr>
              <w:t>G</w:t>
            </w:r>
            <w:r>
              <w:rPr>
                <w:rFonts w:hint="eastAsia"/>
                <w:sz w:val="21"/>
                <w:szCs w:val="21"/>
              </w:rPr>
              <w:t>2-1</w:t>
            </w:r>
          </w:p>
        </w:tc>
        <w:tc>
          <w:tcPr>
            <w:tcW w:w="1019" w:type="pct"/>
            <w:shd w:val="clear" w:color="auto" w:fill="auto"/>
            <w:vAlign w:val="center"/>
          </w:tcPr>
          <w:p w14:paraId="3A371DF4">
            <w:pPr>
              <w:pStyle w:val="5"/>
              <w:adjustRightInd w:val="0"/>
              <w:snapToGrid w:val="0"/>
              <w:spacing w:line="240" w:lineRule="auto"/>
              <w:ind w:firstLine="0"/>
              <w:jc w:val="center"/>
              <w:rPr>
                <w:sz w:val="21"/>
                <w:szCs w:val="21"/>
              </w:rPr>
            </w:pPr>
            <w:r>
              <w:rPr>
                <w:sz w:val="21"/>
                <w:szCs w:val="21"/>
              </w:rPr>
              <w:t>运输废气</w:t>
            </w:r>
          </w:p>
        </w:tc>
        <w:tc>
          <w:tcPr>
            <w:tcW w:w="1528" w:type="pct"/>
            <w:shd w:val="clear" w:color="auto" w:fill="auto"/>
            <w:vAlign w:val="center"/>
          </w:tcPr>
          <w:p w14:paraId="6F84ED8F">
            <w:pPr>
              <w:pStyle w:val="5"/>
              <w:adjustRightInd w:val="0"/>
              <w:snapToGrid w:val="0"/>
              <w:ind w:firstLine="0"/>
              <w:jc w:val="center"/>
              <w:rPr>
                <w:sz w:val="21"/>
                <w:szCs w:val="21"/>
              </w:rPr>
            </w:pPr>
            <w:r>
              <w:rPr>
                <w:sz w:val="21"/>
                <w:szCs w:val="21"/>
              </w:rPr>
              <w:t>物料运输</w:t>
            </w:r>
          </w:p>
        </w:tc>
        <w:tc>
          <w:tcPr>
            <w:tcW w:w="1639" w:type="pct"/>
            <w:shd w:val="clear" w:color="auto" w:fill="auto"/>
            <w:vAlign w:val="center"/>
          </w:tcPr>
          <w:p w14:paraId="599A7192">
            <w:pPr>
              <w:pStyle w:val="5"/>
              <w:adjustRightInd w:val="0"/>
              <w:snapToGrid w:val="0"/>
              <w:spacing w:line="240" w:lineRule="auto"/>
              <w:ind w:firstLine="0"/>
              <w:jc w:val="center"/>
              <w:rPr>
                <w:sz w:val="21"/>
                <w:szCs w:val="21"/>
              </w:rPr>
            </w:pPr>
            <w:r>
              <w:rPr>
                <w:rFonts w:hint="eastAsia"/>
                <w:sz w:val="21"/>
                <w:szCs w:val="21"/>
              </w:rPr>
              <w:t>CO、THC</w:t>
            </w:r>
            <w:r>
              <w:rPr>
                <w:rFonts w:hint="eastAsia"/>
                <w:sz w:val="21"/>
                <w:szCs w:val="21"/>
              </w:rPr>
              <w:tab/>
            </w:r>
            <w:r>
              <w:rPr>
                <w:rFonts w:hint="eastAsia"/>
                <w:sz w:val="21"/>
                <w:szCs w:val="21"/>
              </w:rPr>
              <w:t>、NO</w:t>
            </w:r>
            <w:r>
              <w:rPr>
                <w:rFonts w:hint="eastAsia"/>
                <w:sz w:val="21"/>
                <w:szCs w:val="21"/>
                <w:vertAlign w:val="subscript"/>
              </w:rPr>
              <w:t>X</w:t>
            </w:r>
            <w:r>
              <w:rPr>
                <w:rFonts w:hint="eastAsia"/>
                <w:sz w:val="21"/>
                <w:szCs w:val="21"/>
              </w:rPr>
              <w:t>、颗粒物</w:t>
            </w:r>
          </w:p>
        </w:tc>
      </w:tr>
      <w:tr w14:paraId="3F448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4FD534DB">
            <w:pPr>
              <w:pStyle w:val="5"/>
              <w:adjustRightInd w:val="0"/>
              <w:snapToGrid w:val="0"/>
              <w:spacing w:line="240" w:lineRule="auto"/>
              <w:ind w:firstLine="0"/>
              <w:jc w:val="center"/>
              <w:rPr>
                <w:sz w:val="21"/>
                <w:szCs w:val="21"/>
              </w:rPr>
            </w:pPr>
          </w:p>
        </w:tc>
        <w:tc>
          <w:tcPr>
            <w:tcW w:w="431" w:type="pct"/>
            <w:shd w:val="clear" w:color="auto" w:fill="auto"/>
            <w:vAlign w:val="center"/>
          </w:tcPr>
          <w:p w14:paraId="415986DB">
            <w:pPr>
              <w:pStyle w:val="5"/>
              <w:adjustRightInd w:val="0"/>
              <w:snapToGrid w:val="0"/>
              <w:spacing w:line="240" w:lineRule="auto"/>
              <w:ind w:firstLine="0"/>
              <w:jc w:val="center"/>
              <w:rPr>
                <w:sz w:val="21"/>
                <w:szCs w:val="21"/>
              </w:rPr>
            </w:pPr>
            <w:r>
              <w:rPr>
                <w:sz w:val="21"/>
                <w:szCs w:val="21"/>
              </w:rPr>
              <w:t>G</w:t>
            </w:r>
            <w:r>
              <w:rPr>
                <w:rFonts w:hint="eastAsia"/>
                <w:sz w:val="21"/>
                <w:szCs w:val="21"/>
              </w:rPr>
              <w:t>3-1</w:t>
            </w:r>
          </w:p>
        </w:tc>
        <w:tc>
          <w:tcPr>
            <w:tcW w:w="1019" w:type="pct"/>
            <w:shd w:val="clear" w:color="auto" w:fill="auto"/>
            <w:vAlign w:val="center"/>
          </w:tcPr>
          <w:p w14:paraId="22975C79">
            <w:pPr>
              <w:pStyle w:val="5"/>
              <w:adjustRightInd w:val="0"/>
              <w:snapToGrid w:val="0"/>
              <w:spacing w:line="240" w:lineRule="auto"/>
              <w:ind w:firstLine="0"/>
              <w:jc w:val="center"/>
              <w:rPr>
                <w:sz w:val="21"/>
                <w:szCs w:val="21"/>
              </w:rPr>
            </w:pPr>
            <w:r>
              <w:rPr>
                <w:sz w:val="21"/>
                <w:szCs w:val="21"/>
              </w:rPr>
              <w:t>污水处理废气</w:t>
            </w:r>
          </w:p>
        </w:tc>
        <w:tc>
          <w:tcPr>
            <w:tcW w:w="1528" w:type="pct"/>
            <w:shd w:val="clear" w:color="auto" w:fill="auto"/>
            <w:vAlign w:val="center"/>
          </w:tcPr>
          <w:p w14:paraId="23C34A6D">
            <w:pPr>
              <w:pStyle w:val="5"/>
              <w:adjustRightInd w:val="0"/>
              <w:snapToGrid w:val="0"/>
              <w:ind w:firstLine="0"/>
              <w:jc w:val="center"/>
              <w:rPr>
                <w:sz w:val="21"/>
                <w:szCs w:val="21"/>
              </w:rPr>
            </w:pPr>
            <w:r>
              <w:rPr>
                <w:rFonts w:hint="eastAsia"/>
                <w:sz w:val="21"/>
                <w:szCs w:val="21"/>
              </w:rPr>
              <w:t>母液罐</w:t>
            </w:r>
          </w:p>
        </w:tc>
        <w:tc>
          <w:tcPr>
            <w:tcW w:w="1639" w:type="pct"/>
            <w:shd w:val="clear" w:color="auto" w:fill="auto"/>
            <w:vAlign w:val="center"/>
          </w:tcPr>
          <w:p w14:paraId="160B017B">
            <w:pPr>
              <w:pStyle w:val="5"/>
              <w:adjustRightInd w:val="0"/>
              <w:snapToGrid w:val="0"/>
              <w:spacing w:line="240" w:lineRule="auto"/>
              <w:ind w:firstLine="0"/>
              <w:jc w:val="center"/>
              <w:rPr>
                <w:sz w:val="21"/>
                <w:szCs w:val="21"/>
              </w:rPr>
            </w:pPr>
            <w:r>
              <w:rPr>
                <w:rFonts w:hint="eastAsia"/>
                <w:sz w:val="21"/>
                <w:szCs w:val="21"/>
              </w:rPr>
              <w:t>氨气</w:t>
            </w:r>
          </w:p>
        </w:tc>
      </w:tr>
      <w:tr w14:paraId="47322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restart"/>
            <w:shd w:val="clear" w:color="auto" w:fill="auto"/>
            <w:vAlign w:val="center"/>
          </w:tcPr>
          <w:p w14:paraId="425ED31A">
            <w:pPr>
              <w:pStyle w:val="5"/>
              <w:adjustRightInd w:val="0"/>
              <w:snapToGrid w:val="0"/>
              <w:spacing w:line="240" w:lineRule="auto"/>
              <w:ind w:firstLine="0"/>
              <w:jc w:val="center"/>
              <w:rPr>
                <w:sz w:val="21"/>
                <w:szCs w:val="21"/>
              </w:rPr>
            </w:pPr>
            <w:r>
              <w:rPr>
                <w:sz w:val="21"/>
                <w:szCs w:val="21"/>
              </w:rPr>
              <w:t>废水</w:t>
            </w:r>
          </w:p>
        </w:tc>
        <w:tc>
          <w:tcPr>
            <w:tcW w:w="431" w:type="pct"/>
            <w:shd w:val="clear" w:color="auto" w:fill="auto"/>
            <w:vAlign w:val="center"/>
          </w:tcPr>
          <w:p w14:paraId="4AD55799">
            <w:pPr>
              <w:pStyle w:val="5"/>
              <w:adjustRightInd w:val="0"/>
              <w:snapToGrid w:val="0"/>
              <w:spacing w:line="240" w:lineRule="auto"/>
              <w:ind w:firstLine="0"/>
              <w:jc w:val="center"/>
              <w:rPr>
                <w:sz w:val="21"/>
                <w:szCs w:val="21"/>
              </w:rPr>
            </w:pPr>
            <w:r>
              <w:rPr>
                <w:sz w:val="21"/>
                <w:szCs w:val="21"/>
              </w:rPr>
              <w:t>W1-1</w:t>
            </w:r>
          </w:p>
        </w:tc>
        <w:tc>
          <w:tcPr>
            <w:tcW w:w="1019" w:type="pct"/>
            <w:shd w:val="clear" w:color="auto" w:fill="auto"/>
            <w:vAlign w:val="center"/>
          </w:tcPr>
          <w:p w14:paraId="758E6989">
            <w:pPr>
              <w:pStyle w:val="5"/>
              <w:adjustRightInd w:val="0"/>
              <w:snapToGrid w:val="0"/>
              <w:spacing w:line="240" w:lineRule="auto"/>
              <w:ind w:firstLine="0"/>
              <w:jc w:val="center"/>
              <w:rPr>
                <w:sz w:val="21"/>
                <w:szCs w:val="21"/>
              </w:rPr>
            </w:pPr>
            <w:r>
              <w:rPr>
                <w:rFonts w:hint="eastAsia"/>
                <w:sz w:val="21"/>
                <w:szCs w:val="21"/>
              </w:rPr>
              <w:t>生产废水</w:t>
            </w:r>
          </w:p>
        </w:tc>
        <w:tc>
          <w:tcPr>
            <w:tcW w:w="1528" w:type="pct"/>
            <w:shd w:val="clear" w:color="auto" w:fill="auto"/>
            <w:vAlign w:val="center"/>
          </w:tcPr>
          <w:p w14:paraId="7373AE9E">
            <w:pPr>
              <w:pStyle w:val="5"/>
              <w:adjustRightInd w:val="0"/>
              <w:snapToGrid w:val="0"/>
              <w:spacing w:line="240" w:lineRule="auto"/>
              <w:ind w:firstLine="0"/>
              <w:jc w:val="center"/>
              <w:rPr>
                <w:sz w:val="21"/>
                <w:szCs w:val="21"/>
              </w:rPr>
            </w:pPr>
            <w:r>
              <w:rPr>
                <w:sz w:val="21"/>
                <w:szCs w:val="21"/>
              </w:rPr>
              <w:t>压滤洗涤</w:t>
            </w:r>
          </w:p>
        </w:tc>
        <w:tc>
          <w:tcPr>
            <w:tcW w:w="1639" w:type="pct"/>
            <w:shd w:val="clear" w:color="auto" w:fill="auto"/>
            <w:vAlign w:val="center"/>
          </w:tcPr>
          <w:p w14:paraId="37FEDB5C">
            <w:pPr>
              <w:pStyle w:val="5"/>
              <w:adjustRightInd w:val="0"/>
              <w:snapToGrid w:val="0"/>
              <w:spacing w:line="240" w:lineRule="auto"/>
              <w:ind w:firstLine="0"/>
              <w:jc w:val="center"/>
              <w:rPr>
                <w:sz w:val="21"/>
                <w:szCs w:val="21"/>
                <w:u w:val="single"/>
              </w:rPr>
            </w:pPr>
            <w:r>
              <w:rPr>
                <w:rFonts w:hint="eastAsia"/>
                <w:sz w:val="21"/>
                <w:szCs w:val="21"/>
                <w:u w:val="single"/>
              </w:rPr>
              <w:t>COD、氨氮、盐分、钴</w:t>
            </w:r>
          </w:p>
        </w:tc>
      </w:tr>
      <w:tr w14:paraId="4B6DD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6AA552AF">
            <w:pPr>
              <w:pStyle w:val="5"/>
              <w:adjustRightInd w:val="0"/>
              <w:snapToGrid w:val="0"/>
              <w:spacing w:line="240" w:lineRule="auto"/>
              <w:ind w:firstLine="0"/>
              <w:jc w:val="center"/>
              <w:rPr>
                <w:sz w:val="21"/>
                <w:szCs w:val="21"/>
              </w:rPr>
            </w:pPr>
          </w:p>
        </w:tc>
        <w:tc>
          <w:tcPr>
            <w:tcW w:w="431" w:type="pct"/>
            <w:shd w:val="clear" w:color="auto" w:fill="auto"/>
            <w:vAlign w:val="center"/>
          </w:tcPr>
          <w:p w14:paraId="6361F131">
            <w:pPr>
              <w:pStyle w:val="5"/>
              <w:adjustRightInd w:val="0"/>
              <w:snapToGrid w:val="0"/>
              <w:spacing w:line="240" w:lineRule="auto"/>
              <w:ind w:firstLine="0"/>
              <w:jc w:val="center"/>
              <w:rPr>
                <w:sz w:val="21"/>
                <w:szCs w:val="21"/>
                <w:u w:val="single"/>
              </w:rPr>
            </w:pPr>
            <w:r>
              <w:rPr>
                <w:sz w:val="21"/>
                <w:szCs w:val="21"/>
                <w:u w:val="single"/>
              </w:rPr>
              <w:t>W</w:t>
            </w:r>
            <w:r>
              <w:rPr>
                <w:rFonts w:hint="eastAsia"/>
                <w:sz w:val="21"/>
                <w:szCs w:val="21"/>
                <w:u w:val="single"/>
              </w:rPr>
              <w:t>1-2</w:t>
            </w:r>
          </w:p>
        </w:tc>
        <w:tc>
          <w:tcPr>
            <w:tcW w:w="1019" w:type="pct"/>
            <w:shd w:val="clear" w:color="auto" w:fill="auto"/>
            <w:vAlign w:val="center"/>
          </w:tcPr>
          <w:p w14:paraId="3F6EDB0A">
            <w:pPr>
              <w:pStyle w:val="5"/>
              <w:adjustRightInd w:val="0"/>
              <w:snapToGrid w:val="0"/>
              <w:spacing w:line="240" w:lineRule="auto"/>
              <w:ind w:firstLine="0"/>
              <w:jc w:val="center"/>
              <w:rPr>
                <w:sz w:val="21"/>
                <w:szCs w:val="21"/>
                <w:u w:val="single"/>
              </w:rPr>
            </w:pPr>
            <w:r>
              <w:rPr>
                <w:rFonts w:hint="eastAsia"/>
                <w:sz w:val="21"/>
                <w:szCs w:val="21"/>
                <w:u w:val="single"/>
              </w:rPr>
              <w:t>地面清洗废水</w:t>
            </w:r>
          </w:p>
        </w:tc>
        <w:tc>
          <w:tcPr>
            <w:tcW w:w="1528" w:type="pct"/>
            <w:shd w:val="clear" w:color="auto" w:fill="auto"/>
            <w:vAlign w:val="center"/>
          </w:tcPr>
          <w:p w14:paraId="1AD5DA3D">
            <w:pPr>
              <w:pStyle w:val="5"/>
              <w:adjustRightInd w:val="0"/>
              <w:snapToGrid w:val="0"/>
              <w:spacing w:line="240" w:lineRule="auto"/>
              <w:ind w:firstLine="0"/>
              <w:jc w:val="center"/>
              <w:rPr>
                <w:sz w:val="21"/>
                <w:szCs w:val="21"/>
                <w:u w:val="single"/>
              </w:rPr>
            </w:pPr>
            <w:r>
              <w:rPr>
                <w:sz w:val="21"/>
                <w:szCs w:val="21"/>
                <w:u w:val="single"/>
              </w:rPr>
              <w:t>地面清洗</w:t>
            </w:r>
          </w:p>
        </w:tc>
        <w:tc>
          <w:tcPr>
            <w:tcW w:w="1639" w:type="pct"/>
            <w:shd w:val="clear" w:color="auto" w:fill="auto"/>
            <w:vAlign w:val="center"/>
          </w:tcPr>
          <w:p w14:paraId="19221434">
            <w:pPr>
              <w:pStyle w:val="5"/>
              <w:adjustRightInd w:val="0"/>
              <w:snapToGrid w:val="0"/>
              <w:spacing w:line="240" w:lineRule="auto"/>
              <w:ind w:firstLine="0"/>
              <w:jc w:val="center"/>
              <w:rPr>
                <w:sz w:val="21"/>
                <w:szCs w:val="21"/>
                <w:u w:val="single"/>
              </w:rPr>
            </w:pPr>
            <w:r>
              <w:rPr>
                <w:sz w:val="21"/>
                <w:szCs w:val="21"/>
                <w:u w:val="single"/>
              </w:rPr>
              <w:t>钴</w:t>
            </w:r>
          </w:p>
        </w:tc>
      </w:tr>
      <w:tr w14:paraId="2ED68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4F10C770">
            <w:pPr>
              <w:pStyle w:val="5"/>
              <w:adjustRightInd w:val="0"/>
              <w:snapToGrid w:val="0"/>
              <w:spacing w:line="240" w:lineRule="auto"/>
              <w:ind w:firstLine="0"/>
              <w:jc w:val="center"/>
              <w:rPr>
                <w:sz w:val="21"/>
                <w:szCs w:val="21"/>
              </w:rPr>
            </w:pPr>
          </w:p>
        </w:tc>
        <w:tc>
          <w:tcPr>
            <w:tcW w:w="431" w:type="pct"/>
            <w:shd w:val="clear" w:color="auto" w:fill="auto"/>
            <w:vAlign w:val="center"/>
          </w:tcPr>
          <w:p w14:paraId="51BFF05F">
            <w:pPr>
              <w:pStyle w:val="5"/>
              <w:adjustRightInd w:val="0"/>
              <w:snapToGrid w:val="0"/>
              <w:spacing w:line="240" w:lineRule="auto"/>
              <w:ind w:firstLine="0"/>
              <w:jc w:val="center"/>
              <w:rPr>
                <w:sz w:val="21"/>
                <w:szCs w:val="21"/>
              </w:rPr>
            </w:pPr>
            <w:r>
              <w:rPr>
                <w:sz w:val="21"/>
                <w:szCs w:val="21"/>
              </w:rPr>
              <w:t>W</w:t>
            </w:r>
            <w:r>
              <w:rPr>
                <w:rFonts w:hint="eastAsia"/>
                <w:sz w:val="21"/>
                <w:szCs w:val="21"/>
              </w:rPr>
              <w:t>1</w:t>
            </w:r>
            <w:r>
              <w:rPr>
                <w:sz w:val="21"/>
                <w:szCs w:val="21"/>
              </w:rPr>
              <w:t>-</w:t>
            </w:r>
            <w:r>
              <w:rPr>
                <w:rFonts w:hint="eastAsia"/>
                <w:sz w:val="21"/>
                <w:szCs w:val="21"/>
              </w:rPr>
              <w:t>3</w:t>
            </w:r>
          </w:p>
        </w:tc>
        <w:tc>
          <w:tcPr>
            <w:tcW w:w="1019" w:type="pct"/>
            <w:shd w:val="clear" w:color="auto" w:fill="auto"/>
            <w:vAlign w:val="center"/>
          </w:tcPr>
          <w:p w14:paraId="4B7560CD">
            <w:pPr>
              <w:pStyle w:val="5"/>
              <w:adjustRightInd w:val="0"/>
              <w:snapToGrid w:val="0"/>
              <w:spacing w:line="240" w:lineRule="auto"/>
              <w:ind w:firstLine="0"/>
              <w:jc w:val="center"/>
              <w:rPr>
                <w:sz w:val="21"/>
                <w:szCs w:val="21"/>
              </w:rPr>
            </w:pPr>
            <w:r>
              <w:rPr>
                <w:sz w:val="21"/>
                <w:szCs w:val="21"/>
              </w:rPr>
              <w:t>喷淋废水</w:t>
            </w:r>
          </w:p>
        </w:tc>
        <w:tc>
          <w:tcPr>
            <w:tcW w:w="1528" w:type="pct"/>
            <w:shd w:val="clear" w:color="auto" w:fill="auto"/>
            <w:vAlign w:val="center"/>
          </w:tcPr>
          <w:p w14:paraId="710F6EB6">
            <w:pPr>
              <w:pStyle w:val="5"/>
              <w:adjustRightInd w:val="0"/>
              <w:snapToGrid w:val="0"/>
              <w:spacing w:line="240" w:lineRule="auto"/>
              <w:ind w:firstLine="0"/>
              <w:jc w:val="center"/>
              <w:rPr>
                <w:sz w:val="21"/>
                <w:szCs w:val="21"/>
              </w:rPr>
            </w:pPr>
            <w:r>
              <w:rPr>
                <w:sz w:val="21"/>
                <w:szCs w:val="21"/>
              </w:rPr>
              <w:t>吸收塔</w:t>
            </w:r>
          </w:p>
        </w:tc>
        <w:tc>
          <w:tcPr>
            <w:tcW w:w="1639" w:type="pct"/>
            <w:shd w:val="clear" w:color="auto" w:fill="auto"/>
            <w:vAlign w:val="center"/>
          </w:tcPr>
          <w:p w14:paraId="78173EF0">
            <w:pPr>
              <w:pStyle w:val="5"/>
              <w:adjustRightInd w:val="0"/>
              <w:snapToGrid w:val="0"/>
              <w:spacing w:line="240" w:lineRule="auto"/>
              <w:ind w:firstLine="0"/>
              <w:jc w:val="center"/>
              <w:rPr>
                <w:sz w:val="21"/>
                <w:szCs w:val="21"/>
              </w:rPr>
            </w:pPr>
            <w:r>
              <w:rPr>
                <w:sz w:val="21"/>
                <w:szCs w:val="21"/>
              </w:rPr>
              <w:t>盐分</w:t>
            </w:r>
          </w:p>
        </w:tc>
      </w:tr>
      <w:tr w14:paraId="32C27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766FAD3E">
            <w:pPr>
              <w:pStyle w:val="5"/>
              <w:adjustRightInd w:val="0"/>
              <w:snapToGrid w:val="0"/>
              <w:spacing w:line="240" w:lineRule="auto"/>
              <w:ind w:firstLine="0"/>
              <w:jc w:val="center"/>
              <w:rPr>
                <w:sz w:val="21"/>
                <w:szCs w:val="21"/>
              </w:rPr>
            </w:pPr>
          </w:p>
        </w:tc>
        <w:tc>
          <w:tcPr>
            <w:tcW w:w="431" w:type="pct"/>
            <w:shd w:val="clear" w:color="auto" w:fill="auto"/>
            <w:vAlign w:val="center"/>
          </w:tcPr>
          <w:p w14:paraId="355623F4">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-1</w:t>
            </w:r>
          </w:p>
        </w:tc>
        <w:tc>
          <w:tcPr>
            <w:tcW w:w="1019" w:type="pct"/>
            <w:shd w:val="clear" w:color="auto" w:fill="auto"/>
            <w:vAlign w:val="center"/>
          </w:tcPr>
          <w:p w14:paraId="44AE0801">
            <w:pPr>
              <w:pStyle w:val="5"/>
              <w:adjustRightInd w:val="0"/>
              <w:snapToGrid w:val="0"/>
              <w:spacing w:line="240" w:lineRule="auto"/>
              <w:ind w:firstLine="0"/>
              <w:jc w:val="center"/>
              <w:rPr>
                <w:sz w:val="21"/>
                <w:szCs w:val="21"/>
              </w:rPr>
            </w:pPr>
            <w:r>
              <w:rPr>
                <w:sz w:val="21"/>
                <w:szCs w:val="21"/>
              </w:rPr>
              <w:t>纯水站浓水</w:t>
            </w:r>
          </w:p>
        </w:tc>
        <w:tc>
          <w:tcPr>
            <w:tcW w:w="1528" w:type="pct"/>
            <w:shd w:val="clear" w:color="auto" w:fill="auto"/>
            <w:vAlign w:val="center"/>
          </w:tcPr>
          <w:p w14:paraId="6375E953">
            <w:pPr>
              <w:pStyle w:val="5"/>
              <w:adjustRightInd w:val="0"/>
              <w:snapToGrid w:val="0"/>
              <w:spacing w:line="240" w:lineRule="auto"/>
              <w:ind w:firstLine="0"/>
              <w:jc w:val="center"/>
              <w:rPr>
                <w:sz w:val="21"/>
                <w:szCs w:val="21"/>
              </w:rPr>
            </w:pPr>
            <w:r>
              <w:rPr>
                <w:sz w:val="21"/>
                <w:szCs w:val="21"/>
              </w:rPr>
              <w:t>纯水站</w:t>
            </w:r>
          </w:p>
        </w:tc>
        <w:tc>
          <w:tcPr>
            <w:tcW w:w="1639" w:type="pct"/>
            <w:shd w:val="clear" w:color="auto" w:fill="auto"/>
            <w:vAlign w:val="center"/>
          </w:tcPr>
          <w:p w14:paraId="3D8502A0">
            <w:pPr>
              <w:pStyle w:val="5"/>
              <w:adjustRightInd w:val="0"/>
              <w:snapToGrid w:val="0"/>
              <w:spacing w:line="240" w:lineRule="auto"/>
              <w:ind w:firstLine="0"/>
              <w:jc w:val="center"/>
              <w:rPr>
                <w:sz w:val="21"/>
                <w:szCs w:val="21"/>
              </w:rPr>
            </w:pPr>
            <w:r>
              <w:rPr>
                <w:sz w:val="21"/>
                <w:szCs w:val="21"/>
              </w:rPr>
              <w:t>盐分</w:t>
            </w:r>
          </w:p>
        </w:tc>
      </w:tr>
      <w:tr w14:paraId="6AA32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693817A8">
            <w:pPr>
              <w:pStyle w:val="5"/>
              <w:adjustRightInd w:val="0"/>
              <w:snapToGrid w:val="0"/>
              <w:spacing w:line="240" w:lineRule="auto"/>
              <w:ind w:firstLine="0"/>
              <w:jc w:val="center"/>
              <w:rPr>
                <w:sz w:val="21"/>
                <w:szCs w:val="21"/>
              </w:rPr>
            </w:pPr>
          </w:p>
        </w:tc>
        <w:tc>
          <w:tcPr>
            <w:tcW w:w="431" w:type="pct"/>
            <w:shd w:val="clear" w:color="auto" w:fill="auto"/>
            <w:vAlign w:val="center"/>
          </w:tcPr>
          <w:p w14:paraId="27F06BB0">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-2</w:t>
            </w:r>
          </w:p>
        </w:tc>
        <w:tc>
          <w:tcPr>
            <w:tcW w:w="1019" w:type="pct"/>
            <w:shd w:val="clear" w:color="auto" w:fill="auto"/>
            <w:vAlign w:val="center"/>
          </w:tcPr>
          <w:p w14:paraId="4D6008BE">
            <w:pPr>
              <w:pStyle w:val="5"/>
              <w:adjustRightInd w:val="0"/>
              <w:snapToGrid w:val="0"/>
              <w:spacing w:line="240" w:lineRule="auto"/>
              <w:ind w:firstLine="0"/>
              <w:jc w:val="center"/>
              <w:rPr>
                <w:sz w:val="21"/>
                <w:szCs w:val="21"/>
              </w:rPr>
            </w:pPr>
            <w:r>
              <w:rPr>
                <w:sz w:val="21"/>
                <w:szCs w:val="21"/>
              </w:rPr>
              <w:t>生活污水</w:t>
            </w:r>
          </w:p>
        </w:tc>
        <w:tc>
          <w:tcPr>
            <w:tcW w:w="1528" w:type="pct"/>
            <w:shd w:val="clear" w:color="auto" w:fill="auto"/>
            <w:vAlign w:val="center"/>
          </w:tcPr>
          <w:p w14:paraId="783C37A3">
            <w:pPr>
              <w:pStyle w:val="5"/>
              <w:adjustRightInd w:val="0"/>
              <w:snapToGrid w:val="0"/>
              <w:spacing w:line="240" w:lineRule="auto"/>
              <w:ind w:firstLine="0"/>
              <w:jc w:val="center"/>
              <w:rPr>
                <w:sz w:val="21"/>
                <w:szCs w:val="21"/>
              </w:rPr>
            </w:pPr>
            <w:r>
              <w:rPr>
                <w:sz w:val="21"/>
                <w:szCs w:val="21"/>
              </w:rPr>
              <w:t>员工生活</w:t>
            </w:r>
          </w:p>
        </w:tc>
        <w:tc>
          <w:tcPr>
            <w:tcW w:w="1639" w:type="pct"/>
            <w:shd w:val="clear" w:color="auto" w:fill="auto"/>
            <w:vAlign w:val="center"/>
          </w:tcPr>
          <w:p w14:paraId="392F6785">
            <w:pPr>
              <w:pStyle w:val="5"/>
              <w:adjustRightInd w:val="0"/>
              <w:snapToGrid w:val="0"/>
              <w:spacing w:line="240" w:lineRule="auto"/>
              <w:ind w:firstLine="0"/>
              <w:jc w:val="center"/>
              <w:rPr>
                <w:sz w:val="21"/>
                <w:szCs w:val="21"/>
              </w:rPr>
            </w:pPr>
            <w:r>
              <w:rPr>
                <w:sz w:val="21"/>
                <w:szCs w:val="21"/>
              </w:rPr>
              <w:t>COD、NH</w:t>
            </w:r>
            <w:r>
              <w:rPr>
                <w:sz w:val="21"/>
                <w:szCs w:val="21"/>
                <w:vertAlign w:val="subscript"/>
              </w:rPr>
              <w:t>3</w:t>
            </w:r>
            <w:r>
              <w:rPr>
                <w:sz w:val="21"/>
                <w:szCs w:val="21"/>
              </w:rPr>
              <w:t>-N</w:t>
            </w:r>
          </w:p>
        </w:tc>
      </w:tr>
      <w:tr w14:paraId="7AE56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0FAF7112">
            <w:pPr>
              <w:pStyle w:val="5"/>
              <w:adjustRightInd w:val="0"/>
              <w:snapToGrid w:val="0"/>
              <w:spacing w:line="240" w:lineRule="auto"/>
              <w:ind w:firstLine="0"/>
              <w:jc w:val="center"/>
              <w:rPr>
                <w:sz w:val="21"/>
                <w:szCs w:val="21"/>
              </w:rPr>
            </w:pPr>
          </w:p>
        </w:tc>
        <w:tc>
          <w:tcPr>
            <w:tcW w:w="431" w:type="pct"/>
            <w:shd w:val="clear" w:color="auto" w:fill="auto"/>
            <w:vAlign w:val="center"/>
          </w:tcPr>
          <w:p w14:paraId="58918525">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-3</w:t>
            </w:r>
          </w:p>
        </w:tc>
        <w:tc>
          <w:tcPr>
            <w:tcW w:w="1019" w:type="pct"/>
            <w:shd w:val="clear" w:color="auto" w:fill="auto"/>
            <w:vAlign w:val="center"/>
          </w:tcPr>
          <w:p w14:paraId="61ADD2D4">
            <w:pPr>
              <w:pStyle w:val="5"/>
              <w:adjustRightInd w:val="0"/>
              <w:snapToGrid w:val="0"/>
              <w:spacing w:line="240" w:lineRule="auto"/>
              <w:ind w:firstLine="0"/>
              <w:jc w:val="center"/>
              <w:rPr>
                <w:sz w:val="21"/>
                <w:szCs w:val="21"/>
              </w:rPr>
            </w:pPr>
            <w:r>
              <w:rPr>
                <w:sz w:val="21"/>
                <w:szCs w:val="21"/>
              </w:rPr>
              <w:t>初期雨水</w:t>
            </w:r>
          </w:p>
        </w:tc>
        <w:tc>
          <w:tcPr>
            <w:tcW w:w="1528" w:type="pct"/>
            <w:shd w:val="clear" w:color="auto" w:fill="auto"/>
            <w:vAlign w:val="center"/>
          </w:tcPr>
          <w:p w14:paraId="647DE88E">
            <w:pPr>
              <w:pStyle w:val="5"/>
              <w:adjustRightInd w:val="0"/>
              <w:snapToGrid w:val="0"/>
              <w:spacing w:line="240" w:lineRule="auto"/>
              <w:ind w:firstLine="0"/>
              <w:jc w:val="center"/>
              <w:rPr>
                <w:sz w:val="21"/>
                <w:szCs w:val="21"/>
              </w:rPr>
            </w:pPr>
            <w:r>
              <w:rPr>
                <w:sz w:val="21"/>
                <w:szCs w:val="21"/>
              </w:rPr>
              <w:t>装置区</w:t>
            </w:r>
          </w:p>
        </w:tc>
        <w:tc>
          <w:tcPr>
            <w:tcW w:w="1639" w:type="pct"/>
            <w:shd w:val="clear" w:color="auto" w:fill="auto"/>
            <w:vAlign w:val="center"/>
          </w:tcPr>
          <w:p w14:paraId="4D4F6BBF">
            <w:pPr>
              <w:pStyle w:val="5"/>
              <w:adjustRightInd w:val="0"/>
              <w:snapToGrid w:val="0"/>
              <w:spacing w:line="240" w:lineRule="auto"/>
              <w:ind w:firstLine="0"/>
              <w:jc w:val="center"/>
              <w:rPr>
                <w:sz w:val="21"/>
                <w:szCs w:val="21"/>
              </w:rPr>
            </w:pPr>
            <w:r>
              <w:rPr>
                <w:sz w:val="21"/>
                <w:szCs w:val="21"/>
              </w:rPr>
              <w:t xml:space="preserve">SS </w:t>
            </w:r>
          </w:p>
        </w:tc>
      </w:tr>
      <w:tr w14:paraId="75626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shd w:val="clear" w:color="auto" w:fill="auto"/>
            <w:vAlign w:val="center"/>
          </w:tcPr>
          <w:p w14:paraId="4DDD9F11">
            <w:pPr>
              <w:pStyle w:val="5"/>
              <w:adjustRightInd w:val="0"/>
              <w:snapToGrid w:val="0"/>
              <w:spacing w:line="240" w:lineRule="auto"/>
              <w:ind w:firstLine="0"/>
              <w:jc w:val="center"/>
              <w:rPr>
                <w:sz w:val="21"/>
                <w:szCs w:val="21"/>
              </w:rPr>
            </w:pPr>
            <w:r>
              <w:rPr>
                <w:sz w:val="21"/>
                <w:szCs w:val="21"/>
              </w:rPr>
              <w:t>噪声</w:t>
            </w:r>
          </w:p>
        </w:tc>
        <w:tc>
          <w:tcPr>
            <w:tcW w:w="431" w:type="pct"/>
            <w:shd w:val="clear" w:color="auto" w:fill="auto"/>
            <w:vAlign w:val="center"/>
          </w:tcPr>
          <w:p w14:paraId="4A2C2904">
            <w:pPr>
              <w:pStyle w:val="5"/>
              <w:adjustRightInd w:val="0"/>
              <w:snapToGrid w:val="0"/>
              <w:spacing w:line="240" w:lineRule="auto"/>
              <w:ind w:firstLine="0"/>
              <w:jc w:val="center"/>
              <w:rPr>
                <w:sz w:val="21"/>
                <w:szCs w:val="21"/>
              </w:rPr>
            </w:pPr>
            <w:r>
              <w:rPr>
                <w:sz w:val="21"/>
                <w:szCs w:val="21"/>
              </w:rPr>
              <w:t>N</w:t>
            </w:r>
          </w:p>
        </w:tc>
        <w:tc>
          <w:tcPr>
            <w:tcW w:w="1019" w:type="pct"/>
            <w:shd w:val="clear" w:color="auto" w:fill="auto"/>
            <w:vAlign w:val="center"/>
          </w:tcPr>
          <w:p w14:paraId="1B2E5021">
            <w:pPr>
              <w:pStyle w:val="5"/>
              <w:adjustRightInd w:val="0"/>
              <w:snapToGrid w:val="0"/>
              <w:spacing w:line="240" w:lineRule="auto"/>
              <w:ind w:firstLine="0"/>
              <w:jc w:val="center"/>
              <w:rPr>
                <w:sz w:val="21"/>
                <w:szCs w:val="21"/>
              </w:rPr>
            </w:pPr>
            <w:r>
              <w:rPr>
                <w:sz w:val="21"/>
                <w:szCs w:val="21"/>
              </w:rPr>
              <w:t>设备噪声</w:t>
            </w:r>
          </w:p>
        </w:tc>
        <w:tc>
          <w:tcPr>
            <w:tcW w:w="1528" w:type="pct"/>
            <w:shd w:val="clear" w:color="auto" w:fill="auto"/>
            <w:vAlign w:val="center"/>
          </w:tcPr>
          <w:p w14:paraId="5AC4B503">
            <w:pPr>
              <w:pStyle w:val="5"/>
              <w:adjustRightInd w:val="0"/>
              <w:snapToGrid w:val="0"/>
              <w:spacing w:line="240" w:lineRule="auto"/>
              <w:ind w:firstLine="0"/>
              <w:jc w:val="center"/>
              <w:rPr>
                <w:sz w:val="21"/>
                <w:szCs w:val="21"/>
              </w:rPr>
            </w:pPr>
            <w:r>
              <w:rPr>
                <w:sz w:val="21"/>
                <w:szCs w:val="21"/>
              </w:rPr>
              <w:t>生产设备</w:t>
            </w:r>
          </w:p>
        </w:tc>
        <w:tc>
          <w:tcPr>
            <w:tcW w:w="1639" w:type="pct"/>
            <w:shd w:val="clear" w:color="auto" w:fill="auto"/>
            <w:vAlign w:val="center"/>
          </w:tcPr>
          <w:p w14:paraId="476128AE">
            <w:pPr>
              <w:pStyle w:val="5"/>
              <w:adjustRightInd w:val="0"/>
              <w:snapToGrid w:val="0"/>
              <w:spacing w:line="240" w:lineRule="auto"/>
              <w:ind w:firstLine="0"/>
              <w:jc w:val="center"/>
              <w:rPr>
                <w:sz w:val="21"/>
                <w:szCs w:val="21"/>
              </w:rPr>
            </w:pPr>
            <w:r>
              <w:rPr>
                <w:sz w:val="21"/>
                <w:szCs w:val="21"/>
              </w:rPr>
              <w:t>噪声</w:t>
            </w:r>
          </w:p>
        </w:tc>
      </w:tr>
      <w:tr w14:paraId="77509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restart"/>
            <w:shd w:val="clear" w:color="auto" w:fill="auto"/>
            <w:vAlign w:val="center"/>
          </w:tcPr>
          <w:p w14:paraId="5B14DDB5">
            <w:pPr>
              <w:pStyle w:val="5"/>
              <w:adjustRightInd w:val="0"/>
              <w:snapToGrid w:val="0"/>
              <w:spacing w:line="240" w:lineRule="auto"/>
              <w:ind w:firstLine="0"/>
              <w:jc w:val="center"/>
              <w:rPr>
                <w:sz w:val="21"/>
                <w:szCs w:val="21"/>
              </w:rPr>
            </w:pPr>
            <w:r>
              <w:rPr>
                <w:sz w:val="21"/>
                <w:szCs w:val="21"/>
              </w:rPr>
              <w:t>固废</w:t>
            </w:r>
          </w:p>
        </w:tc>
        <w:tc>
          <w:tcPr>
            <w:tcW w:w="431" w:type="pct"/>
            <w:shd w:val="clear" w:color="auto" w:fill="auto"/>
            <w:vAlign w:val="center"/>
          </w:tcPr>
          <w:p w14:paraId="4A8A49C9">
            <w:pPr>
              <w:pStyle w:val="5"/>
              <w:adjustRightInd w:val="0"/>
              <w:snapToGrid w:val="0"/>
              <w:spacing w:line="240" w:lineRule="auto"/>
              <w:ind w:firstLine="0"/>
              <w:jc w:val="center"/>
              <w:rPr>
                <w:sz w:val="21"/>
                <w:szCs w:val="21"/>
              </w:rPr>
            </w:pPr>
            <w:r>
              <w:rPr>
                <w:sz w:val="21"/>
                <w:szCs w:val="21"/>
              </w:rPr>
              <w:t>S1-1</w:t>
            </w:r>
          </w:p>
        </w:tc>
        <w:tc>
          <w:tcPr>
            <w:tcW w:w="1019" w:type="pct"/>
            <w:shd w:val="clear" w:color="auto" w:fill="auto"/>
            <w:vAlign w:val="center"/>
          </w:tcPr>
          <w:p w14:paraId="363D867A">
            <w:pPr>
              <w:pStyle w:val="5"/>
              <w:adjustRightInd w:val="0"/>
              <w:snapToGrid w:val="0"/>
              <w:spacing w:line="240" w:lineRule="auto"/>
              <w:ind w:firstLine="0"/>
              <w:jc w:val="center"/>
              <w:rPr>
                <w:sz w:val="21"/>
                <w:szCs w:val="21"/>
              </w:rPr>
            </w:pPr>
            <w:r>
              <w:rPr>
                <w:rFonts w:hint="eastAsia"/>
                <w:sz w:val="21"/>
                <w:szCs w:val="21"/>
              </w:rPr>
              <w:t>收集粉尘</w:t>
            </w:r>
          </w:p>
        </w:tc>
        <w:tc>
          <w:tcPr>
            <w:tcW w:w="1528" w:type="pct"/>
            <w:shd w:val="clear" w:color="auto" w:fill="auto"/>
            <w:vAlign w:val="center"/>
          </w:tcPr>
          <w:p w14:paraId="715CC3B8">
            <w:pPr>
              <w:pStyle w:val="5"/>
              <w:adjustRightInd w:val="0"/>
              <w:snapToGrid w:val="0"/>
              <w:spacing w:line="240" w:lineRule="auto"/>
              <w:ind w:firstLine="0"/>
              <w:jc w:val="center"/>
              <w:rPr>
                <w:sz w:val="21"/>
                <w:szCs w:val="21"/>
              </w:rPr>
            </w:pPr>
            <w:r>
              <w:rPr>
                <w:sz w:val="21"/>
                <w:szCs w:val="21"/>
              </w:rPr>
              <w:t>布袋除尘器</w:t>
            </w:r>
          </w:p>
        </w:tc>
        <w:tc>
          <w:tcPr>
            <w:tcW w:w="1639" w:type="pct"/>
            <w:shd w:val="clear" w:color="auto" w:fill="auto"/>
            <w:vAlign w:val="center"/>
          </w:tcPr>
          <w:p w14:paraId="0ECD5C0A">
            <w:pPr>
              <w:pStyle w:val="5"/>
              <w:adjustRightInd w:val="0"/>
              <w:snapToGrid w:val="0"/>
              <w:spacing w:line="240" w:lineRule="auto"/>
              <w:ind w:firstLine="0"/>
              <w:jc w:val="center"/>
              <w:rPr>
                <w:sz w:val="21"/>
                <w:szCs w:val="21"/>
              </w:rPr>
            </w:pPr>
            <w:r>
              <w:rPr>
                <w:rFonts w:hint="eastAsia"/>
                <w:sz w:val="21"/>
                <w:szCs w:val="21"/>
              </w:rPr>
              <w:t>粉尘</w:t>
            </w:r>
          </w:p>
        </w:tc>
      </w:tr>
      <w:tr w14:paraId="1F54D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69EC52BD">
            <w:pPr>
              <w:pStyle w:val="5"/>
              <w:adjustRightInd w:val="0"/>
              <w:snapToGrid w:val="0"/>
              <w:spacing w:line="240" w:lineRule="auto"/>
              <w:ind w:firstLine="0"/>
              <w:jc w:val="center"/>
              <w:rPr>
                <w:sz w:val="21"/>
                <w:szCs w:val="21"/>
              </w:rPr>
            </w:pPr>
          </w:p>
        </w:tc>
        <w:tc>
          <w:tcPr>
            <w:tcW w:w="431" w:type="pct"/>
            <w:shd w:val="clear" w:color="auto" w:fill="auto"/>
            <w:vAlign w:val="center"/>
          </w:tcPr>
          <w:p w14:paraId="2A2F1812">
            <w:pPr>
              <w:pStyle w:val="5"/>
              <w:adjustRightInd w:val="0"/>
              <w:snapToGrid w:val="0"/>
              <w:spacing w:line="240" w:lineRule="auto"/>
              <w:ind w:firstLine="0"/>
              <w:jc w:val="center"/>
              <w:rPr>
                <w:sz w:val="21"/>
                <w:szCs w:val="21"/>
              </w:rPr>
            </w:pPr>
            <w:r>
              <w:rPr>
                <w:sz w:val="21"/>
                <w:szCs w:val="21"/>
              </w:rPr>
              <w:t>S</w:t>
            </w:r>
            <w:r>
              <w:rPr>
                <w:rFonts w:hint="eastAsia"/>
                <w:sz w:val="21"/>
                <w:szCs w:val="21"/>
              </w:rPr>
              <w:t>1-2</w:t>
            </w:r>
          </w:p>
        </w:tc>
        <w:tc>
          <w:tcPr>
            <w:tcW w:w="1019" w:type="pct"/>
            <w:shd w:val="clear" w:color="auto" w:fill="auto"/>
            <w:vAlign w:val="center"/>
          </w:tcPr>
          <w:p w14:paraId="6BBB243B">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c>
          <w:tcPr>
            <w:tcW w:w="1528" w:type="pct"/>
            <w:shd w:val="clear" w:color="auto" w:fill="auto"/>
            <w:vAlign w:val="center"/>
          </w:tcPr>
          <w:p w14:paraId="0569E665">
            <w:pPr>
              <w:pStyle w:val="5"/>
              <w:adjustRightInd w:val="0"/>
              <w:snapToGrid w:val="0"/>
              <w:spacing w:line="240" w:lineRule="auto"/>
              <w:ind w:firstLine="0"/>
              <w:jc w:val="center"/>
              <w:rPr>
                <w:sz w:val="21"/>
                <w:szCs w:val="21"/>
              </w:rPr>
            </w:pPr>
            <w:r>
              <w:rPr>
                <w:sz w:val="21"/>
                <w:szCs w:val="21"/>
              </w:rPr>
              <w:t>吸收塔</w:t>
            </w:r>
          </w:p>
        </w:tc>
        <w:tc>
          <w:tcPr>
            <w:tcW w:w="1639" w:type="pct"/>
            <w:shd w:val="clear" w:color="auto" w:fill="auto"/>
            <w:vAlign w:val="center"/>
          </w:tcPr>
          <w:p w14:paraId="4AB86704">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r>
      <w:tr w14:paraId="6D169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417A97C">
            <w:pPr>
              <w:pStyle w:val="5"/>
              <w:adjustRightInd w:val="0"/>
              <w:snapToGrid w:val="0"/>
              <w:spacing w:line="240" w:lineRule="auto"/>
              <w:ind w:firstLine="0"/>
              <w:jc w:val="center"/>
              <w:rPr>
                <w:sz w:val="21"/>
                <w:szCs w:val="21"/>
              </w:rPr>
            </w:pPr>
          </w:p>
        </w:tc>
        <w:tc>
          <w:tcPr>
            <w:tcW w:w="431" w:type="pct"/>
            <w:shd w:val="clear" w:color="auto" w:fill="auto"/>
            <w:vAlign w:val="center"/>
          </w:tcPr>
          <w:p w14:paraId="6ACDB025">
            <w:pPr>
              <w:pStyle w:val="5"/>
              <w:adjustRightInd w:val="0"/>
              <w:snapToGrid w:val="0"/>
              <w:spacing w:line="240" w:lineRule="auto"/>
              <w:ind w:firstLine="0"/>
              <w:jc w:val="center"/>
              <w:rPr>
                <w:sz w:val="21"/>
                <w:szCs w:val="21"/>
              </w:rPr>
            </w:pPr>
            <w:r>
              <w:rPr>
                <w:sz w:val="21"/>
                <w:szCs w:val="21"/>
              </w:rPr>
              <w:t>S</w:t>
            </w:r>
            <w:r>
              <w:rPr>
                <w:rFonts w:hint="eastAsia"/>
                <w:sz w:val="21"/>
                <w:szCs w:val="21"/>
              </w:rPr>
              <w:t>1-3</w:t>
            </w:r>
          </w:p>
        </w:tc>
        <w:tc>
          <w:tcPr>
            <w:tcW w:w="1019" w:type="pct"/>
            <w:shd w:val="clear" w:color="auto" w:fill="auto"/>
            <w:vAlign w:val="center"/>
          </w:tcPr>
          <w:p w14:paraId="6FEB5AD3">
            <w:pPr>
              <w:pStyle w:val="5"/>
              <w:adjustRightInd w:val="0"/>
              <w:snapToGrid w:val="0"/>
              <w:spacing w:line="240" w:lineRule="auto"/>
              <w:ind w:firstLine="0"/>
              <w:jc w:val="center"/>
              <w:rPr>
                <w:sz w:val="21"/>
                <w:szCs w:val="21"/>
              </w:rPr>
            </w:pPr>
            <w:r>
              <w:rPr>
                <w:sz w:val="21"/>
                <w:szCs w:val="21"/>
              </w:rPr>
              <w:t>微孔过滤膜</w:t>
            </w:r>
          </w:p>
        </w:tc>
        <w:tc>
          <w:tcPr>
            <w:tcW w:w="1528" w:type="pct"/>
            <w:shd w:val="clear" w:color="auto" w:fill="auto"/>
            <w:vAlign w:val="center"/>
          </w:tcPr>
          <w:p w14:paraId="33083356">
            <w:pPr>
              <w:pStyle w:val="5"/>
              <w:adjustRightInd w:val="0"/>
              <w:snapToGrid w:val="0"/>
              <w:spacing w:line="240" w:lineRule="auto"/>
              <w:ind w:firstLine="0"/>
              <w:jc w:val="center"/>
              <w:rPr>
                <w:sz w:val="21"/>
                <w:szCs w:val="21"/>
              </w:rPr>
            </w:pPr>
            <w:r>
              <w:rPr>
                <w:rFonts w:hint="eastAsia"/>
                <w:sz w:val="21"/>
                <w:szCs w:val="21"/>
              </w:rPr>
              <w:t>精密过滤器</w:t>
            </w:r>
          </w:p>
        </w:tc>
        <w:tc>
          <w:tcPr>
            <w:tcW w:w="1639" w:type="pct"/>
            <w:shd w:val="clear" w:color="auto" w:fill="auto"/>
            <w:vAlign w:val="center"/>
          </w:tcPr>
          <w:p w14:paraId="5CA62642">
            <w:pPr>
              <w:pStyle w:val="5"/>
              <w:adjustRightInd w:val="0"/>
              <w:snapToGrid w:val="0"/>
              <w:spacing w:line="240" w:lineRule="auto"/>
              <w:ind w:firstLine="0"/>
              <w:jc w:val="center"/>
              <w:rPr>
                <w:sz w:val="21"/>
                <w:szCs w:val="21"/>
              </w:rPr>
            </w:pPr>
            <w:r>
              <w:rPr>
                <w:sz w:val="21"/>
                <w:szCs w:val="21"/>
              </w:rPr>
              <w:t>微孔过滤膜</w:t>
            </w:r>
          </w:p>
        </w:tc>
      </w:tr>
      <w:tr w14:paraId="01CAB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7D5E1E2">
            <w:pPr>
              <w:pStyle w:val="5"/>
              <w:adjustRightInd w:val="0"/>
              <w:snapToGrid w:val="0"/>
              <w:spacing w:line="240" w:lineRule="auto"/>
              <w:ind w:firstLine="0"/>
              <w:jc w:val="center"/>
              <w:rPr>
                <w:sz w:val="21"/>
                <w:szCs w:val="21"/>
              </w:rPr>
            </w:pPr>
          </w:p>
        </w:tc>
        <w:tc>
          <w:tcPr>
            <w:tcW w:w="431" w:type="pct"/>
            <w:shd w:val="clear" w:color="auto" w:fill="auto"/>
            <w:vAlign w:val="center"/>
          </w:tcPr>
          <w:p w14:paraId="03474763">
            <w:pPr>
              <w:pStyle w:val="5"/>
              <w:adjustRightInd w:val="0"/>
              <w:snapToGrid w:val="0"/>
              <w:spacing w:line="240" w:lineRule="auto"/>
              <w:ind w:firstLine="0"/>
              <w:jc w:val="center"/>
              <w:rPr>
                <w:sz w:val="21"/>
                <w:szCs w:val="21"/>
              </w:rPr>
            </w:pPr>
            <w:r>
              <w:rPr>
                <w:sz w:val="21"/>
                <w:szCs w:val="21"/>
              </w:rPr>
              <w:t>S</w:t>
            </w:r>
            <w:r>
              <w:rPr>
                <w:rFonts w:hint="eastAsia"/>
                <w:sz w:val="21"/>
                <w:szCs w:val="21"/>
              </w:rPr>
              <w:t>1-4</w:t>
            </w:r>
          </w:p>
        </w:tc>
        <w:tc>
          <w:tcPr>
            <w:tcW w:w="1019" w:type="pct"/>
            <w:shd w:val="clear" w:color="auto" w:fill="auto"/>
            <w:vAlign w:val="center"/>
          </w:tcPr>
          <w:p w14:paraId="608A61DA">
            <w:pPr>
              <w:pStyle w:val="5"/>
              <w:adjustRightInd w:val="0"/>
              <w:snapToGrid w:val="0"/>
              <w:spacing w:line="240" w:lineRule="auto"/>
              <w:ind w:firstLine="0"/>
              <w:jc w:val="center"/>
              <w:rPr>
                <w:sz w:val="21"/>
                <w:szCs w:val="21"/>
              </w:rPr>
            </w:pPr>
            <w:r>
              <w:rPr>
                <w:sz w:val="21"/>
                <w:szCs w:val="21"/>
              </w:rPr>
              <w:t>滤渣</w:t>
            </w:r>
          </w:p>
        </w:tc>
        <w:tc>
          <w:tcPr>
            <w:tcW w:w="1528" w:type="pct"/>
            <w:shd w:val="clear" w:color="auto" w:fill="auto"/>
            <w:vAlign w:val="center"/>
          </w:tcPr>
          <w:p w14:paraId="37D8CD94">
            <w:pPr>
              <w:pStyle w:val="5"/>
              <w:adjustRightInd w:val="0"/>
              <w:snapToGrid w:val="0"/>
              <w:spacing w:line="240" w:lineRule="auto"/>
              <w:ind w:firstLine="0"/>
              <w:jc w:val="center"/>
              <w:rPr>
                <w:sz w:val="21"/>
                <w:szCs w:val="21"/>
              </w:rPr>
            </w:pPr>
            <w:r>
              <w:rPr>
                <w:rFonts w:hint="eastAsia"/>
                <w:sz w:val="21"/>
                <w:szCs w:val="21"/>
              </w:rPr>
              <w:t>板框压滤机、精密过滤器</w:t>
            </w:r>
          </w:p>
        </w:tc>
        <w:tc>
          <w:tcPr>
            <w:tcW w:w="1639" w:type="pct"/>
            <w:shd w:val="clear" w:color="auto" w:fill="auto"/>
            <w:vAlign w:val="center"/>
          </w:tcPr>
          <w:p w14:paraId="13536808">
            <w:pPr>
              <w:pStyle w:val="5"/>
              <w:adjustRightInd w:val="0"/>
              <w:snapToGrid w:val="0"/>
              <w:spacing w:line="240" w:lineRule="auto"/>
              <w:ind w:firstLine="0"/>
              <w:jc w:val="center"/>
              <w:rPr>
                <w:sz w:val="21"/>
                <w:szCs w:val="21"/>
              </w:rPr>
            </w:pPr>
            <w:r>
              <w:rPr>
                <w:sz w:val="21"/>
                <w:szCs w:val="21"/>
              </w:rPr>
              <w:t>滤渣</w:t>
            </w:r>
          </w:p>
        </w:tc>
      </w:tr>
      <w:tr w14:paraId="79F7E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58C4496F">
            <w:pPr>
              <w:pStyle w:val="5"/>
              <w:adjustRightInd w:val="0"/>
              <w:snapToGrid w:val="0"/>
              <w:spacing w:line="240" w:lineRule="auto"/>
              <w:ind w:firstLine="0"/>
              <w:jc w:val="center"/>
              <w:rPr>
                <w:sz w:val="21"/>
                <w:szCs w:val="21"/>
              </w:rPr>
            </w:pPr>
          </w:p>
        </w:tc>
        <w:tc>
          <w:tcPr>
            <w:tcW w:w="431" w:type="pct"/>
            <w:shd w:val="clear" w:color="auto" w:fill="auto"/>
            <w:vAlign w:val="center"/>
          </w:tcPr>
          <w:p w14:paraId="7D42141E">
            <w:pPr>
              <w:pStyle w:val="5"/>
              <w:adjustRightInd w:val="0"/>
              <w:snapToGrid w:val="0"/>
              <w:spacing w:line="240" w:lineRule="auto"/>
              <w:ind w:firstLine="0"/>
              <w:jc w:val="center"/>
              <w:rPr>
                <w:sz w:val="21"/>
                <w:szCs w:val="21"/>
                <w:u w:val="single"/>
              </w:rPr>
            </w:pPr>
            <w:r>
              <w:rPr>
                <w:sz w:val="21"/>
                <w:szCs w:val="21"/>
                <w:u w:val="single"/>
              </w:rPr>
              <w:t>S</w:t>
            </w:r>
            <w:r>
              <w:rPr>
                <w:rFonts w:hint="eastAsia"/>
                <w:sz w:val="21"/>
                <w:szCs w:val="21"/>
                <w:u w:val="single"/>
              </w:rPr>
              <w:t>1-5</w:t>
            </w:r>
          </w:p>
        </w:tc>
        <w:tc>
          <w:tcPr>
            <w:tcW w:w="1019" w:type="pct"/>
            <w:shd w:val="clear" w:color="auto" w:fill="auto"/>
            <w:vAlign w:val="center"/>
          </w:tcPr>
          <w:p w14:paraId="6B0AD036">
            <w:pPr>
              <w:pStyle w:val="5"/>
              <w:adjustRightInd w:val="0"/>
              <w:snapToGrid w:val="0"/>
              <w:spacing w:line="240" w:lineRule="auto"/>
              <w:ind w:firstLine="0"/>
              <w:jc w:val="center"/>
              <w:rPr>
                <w:sz w:val="21"/>
                <w:szCs w:val="21"/>
                <w:u w:val="single"/>
              </w:rPr>
            </w:pPr>
            <w:r>
              <w:rPr>
                <w:sz w:val="21"/>
                <w:szCs w:val="21"/>
                <w:u w:val="single"/>
              </w:rPr>
              <w:t>废包装袋</w:t>
            </w:r>
          </w:p>
        </w:tc>
        <w:tc>
          <w:tcPr>
            <w:tcW w:w="1528" w:type="pct"/>
            <w:shd w:val="clear" w:color="auto" w:fill="auto"/>
            <w:vAlign w:val="center"/>
          </w:tcPr>
          <w:p w14:paraId="18E297A3">
            <w:pPr>
              <w:pStyle w:val="5"/>
              <w:adjustRightInd w:val="0"/>
              <w:snapToGrid w:val="0"/>
              <w:spacing w:line="240" w:lineRule="auto"/>
              <w:ind w:firstLine="0"/>
              <w:jc w:val="center"/>
              <w:rPr>
                <w:sz w:val="21"/>
                <w:szCs w:val="21"/>
                <w:u w:val="single"/>
              </w:rPr>
            </w:pPr>
            <w:r>
              <w:rPr>
                <w:rFonts w:hint="eastAsia"/>
                <w:sz w:val="21"/>
                <w:szCs w:val="21"/>
                <w:u w:val="single"/>
              </w:rPr>
              <w:t>原料包装</w:t>
            </w:r>
          </w:p>
        </w:tc>
        <w:tc>
          <w:tcPr>
            <w:tcW w:w="1639" w:type="pct"/>
            <w:shd w:val="clear" w:color="auto" w:fill="auto"/>
            <w:vAlign w:val="center"/>
          </w:tcPr>
          <w:p w14:paraId="47E010F8">
            <w:pPr>
              <w:pStyle w:val="5"/>
              <w:adjustRightInd w:val="0"/>
              <w:snapToGrid w:val="0"/>
              <w:spacing w:line="240" w:lineRule="auto"/>
              <w:ind w:firstLine="0"/>
              <w:jc w:val="center"/>
              <w:rPr>
                <w:sz w:val="21"/>
                <w:szCs w:val="21"/>
                <w:u w:val="single"/>
              </w:rPr>
            </w:pPr>
            <w:r>
              <w:rPr>
                <w:sz w:val="21"/>
                <w:szCs w:val="21"/>
                <w:u w:val="single"/>
              </w:rPr>
              <w:t>废包装袋</w:t>
            </w:r>
          </w:p>
        </w:tc>
      </w:tr>
      <w:tr w14:paraId="5B801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35AF50CC">
            <w:pPr>
              <w:pStyle w:val="5"/>
              <w:adjustRightInd w:val="0"/>
              <w:snapToGrid w:val="0"/>
              <w:spacing w:line="240" w:lineRule="auto"/>
              <w:ind w:firstLine="0"/>
              <w:jc w:val="center"/>
              <w:rPr>
                <w:sz w:val="21"/>
                <w:szCs w:val="21"/>
              </w:rPr>
            </w:pPr>
          </w:p>
        </w:tc>
        <w:tc>
          <w:tcPr>
            <w:tcW w:w="431" w:type="pct"/>
            <w:shd w:val="clear" w:color="auto" w:fill="auto"/>
            <w:vAlign w:val="center"/>
          </w:tcPr>
          <w:p w14:paraId="21BB67B8">
            <w:pPr>
              <w:pStyle w:val="5"/>
              <w:adjustRightInd w:val="0"/>
              <w:snapToGrid w:val="0"/>
              <w:spacing w:line="240" w:lineRule="auto"/>
              <w:ind w:firstLine="0"/>
              <w:jc w:val="center"/>
              <w:rPr>
                <w:sz w:val="21"/>
                <w:szCs w:val="21"/>
                <w:u w:val="single"/>
              </w:rPr>
            </w:pPr>
            <w:r>
              <w:rPr>
                <w:rFonts w:hint="eastAsia"/>
                <w:sz w:val="21"/>
                <w:szCs w:val="21"/>
                <w:u w:val="single"/>
              </w:rPr>
              <w:t>S1-6</w:t>
            </w:r>
          </w:p>
        </w:tc>
        <w:tc>
          <w:tcPr>
            <w:tcW w:w="1019" w:type="pct"/>
            <w:shd w:val="clear" w:color="auto" w:fill="auto"/>
            <w:vAlign w:val="center"/>
          </w:tcPr>
          <w:p w14:paraId="2D86CDDE">
            <w:pPr>
              <w:pStyle w:val="5"/>
              <w:adjustRightInd w:val="0"/>
              <w:snapToGrid w:val="0"/>
              <w:spacing w:line="240" w:lineRule="auto"/>
              <w:ind w:firstLine="0"/>
              <w:jc w:val="center"/>
              <w:rPr>
                <w:sz w:val="21"/>
                <w:szCs w:val="21"/>
                <w:u w:val="single"/>
              </w:rPr>
            </w:pPr>
            <w:r>
              <w:rPr>
                <w:sz w:val="21"/>
                <w:szCs w:val="21"/>
                <w:u w:val="single"/>
              </w:rPr>
              <w:t>车间沉降粉尘</w:t>
            </w:r>
          </w:p>
        </w:tc>
        <w:tc>
          <w:tcPr>
            <w:tcW w:w="1528" w:type="pct"/>
            <w:shd w:val="clear" w:color="auto" w:fill="auto"/>
            <w:vAlign w:val="center"/>
          </w:tcPr>
          <w:p w14:paraId="27949731">
            <w:pPr>
              <w:pStyle w:val="5"/>
              <w:adjustRightInd w:val="0"/>
              <w:snapToGrid w:val="0"/>
              <w:spacing w:line="240" w:lineRule="auto"/>
              <w:ind w:firstLine="0"/>
              <w:jc w:val="center"/>
              <w:rPr>
                <w:sz w:val="21"/>
                <w:szCs w:val="21"/>
                <w:u w:val="single"/>
              </w:rPr>
            </w:pPr>
            <w:r>
              <w:rPr>
                <w:rFonts w:hint="eastAsia"/>
                <w:sz w:val="21"/>
                <w:szCs w:val="21"/>
                <w:u w:val="single"/>
              </w:rPr>
              <w:t>破碎、包装</w:t>
            </w:r>
          </w:p>
        </w:tc>
        <w:tc>
          <w:tcPr>
            <w:tcW w:w="1639" w:type="pct"/>
            <w:shd w:val="clear" w:color="auto" w:fill="auto"/>
            <w:vAlign w:val="center"/>
          </w:tcPr>
          <w:p w14:paraId="0A78E89A">
            <w:pPr>
              <w:pStyle w:val="5"/>
              <w:adjustRightInd w:val="0"/>
              <w:snapToGrid w:val="0"/>
              <w:spacing w:line="240" w:lineRule="auto"/>
              <w:ind w:firstLine="0"/>
              <w:jc w:val="center"/>
              <w:rPr>
                <w:sz w:val="21"/>
                <w:szCs w:val="21"/>
                <w:u w:val="single"/>
              </w:rPr>
            </w:pPr>
            <w:r>
              <w:rPr>
                <w:sz w:val="21"/>
                <w:szCs w:val="21"/>
                <w:u w:val="single"/>
              </w:rPr>
              <w:t>SS、钴</w:t>
            </w:r>
          </w:p>
        </w:tc>
      </w:tr>
      <w:tr w14:paraId="1E50E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5D43983B">
            <w:pPr>
              <w:pStyle w:val="5"/>
              <w:adjustRightInd w:val="0"/>
              <w:snapToGrid w:val="0"/>
              <w:spacing w:line="240" w:lineRule="auto"/>
              <w:ind w:firstLine="0"/>
              <w:jc w:val="center"/>
              <w:rPr>
                <w:sz w:val="21"/>
                <w:szCs w:val="21"/>
              </w:rPr>
            </w:pPr>
          </w:p>
        </w:tc>
        <w:tc>
          <w:tcPr>
            <w:tcW w:w="431" w:type="pct"/>
            <w:shd w:val="clear" w:color="auto" w:fill="auto"/>
            <w:vAlign w:val="center"/>
          </w:tcPr>
          <w:p w14:paraId="0533E947">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-1</w:t>
            </w:r>
          </w:p>
        </w:tc>
        <w:tc>
          <w:tcPr>
            <w:tcW w:w="1019" w:type="pct"/>
            <w:shd w:val="clear" w:color="auto" w:fill="auto"/>
            <w:vAlign w:val="center"/>
          </w:tcPr>
          <w:p w14:paraId="3388F41A">
            <w:pPr>
              <w:pStyle w:val="5"/>
              <w:adjustRightInd w:val="0"/>
              <w:snapToGrid w:val="0"/>
              <w:spacing w:line="240" w:lineRule="auto"/>
              <w:ind w:firstLine="0"/>
              <w:jc w:val="center"/>
              <w:rPr>
                <w:sz w:val="21"/>
                <w:szCs w:val="21"/>
              </w:rPr>
            </w:pPr>
            <w:r>
              <w:rPr>
                <w:sz w:val="21"/>
                <w:szCs w:val="21"/>
              </w:rPr>
              <w:t>废润滑油</w:t>
            </w:r>
          </w:p>
        </w:tc>
        <w:tc>
          <w:tcPr>
            <w:tcW w:w="1528" w:type="pct"/>
            <w:shd w:val="clear" w:color="auto" w:fill="auto"/>
            <w:vAlign w:val="center"/>
          </w:tcPr>
          <w:p w14:paraId="280962D6">
            <w:pPr>
              <w:pStyle w:val="5"/>
              <w:adjustRightInd w:val="0"/>
              <w:snapToGrid w:val="0"/>
              <w:spacing w:line="240" w:lineRule="auto"/>
              <w:ind w:firstLine="0"/>
              <w:jc w:val="center"/>
              <w:rPr>
                <w:sz w:val="21"/>
                <w:szCs w:val="21"/>
              </w:rPr>
            </w:pPr>
            <w:r>
              <w:rPr>
                <w:sz w:val="21"/>
                <w:szCs w:val="21"/>
              </w:rPr>
              <w:t>机械维修</w:t>
            </w:r>
          </w:p>
        </w:tc>
        <w:tc>
          <w:tcPr>
            <w:tcW w:w="1639" w:type="pct"/>
            <w:shd w:val="clear" w:color="auto" w:fill="auto"/>
            <w:vAlign w:val="center"/>
          </w:tcPr>
          <w:p w14:paraId="0B2179F9">
            <w:pPr>
              <w:pStyle w:val="5"/>
              <w:adjustRightInd w:val="0"/>
              <w:snapToGrid w:val="0"/>
              <w:spacing w:line="240" w:lineRule="auto"/>
              <w:ind w:firstLine="0"/>
              <w:jc w:val="center"/>
              <w:rPr>
                <w:sz w:val="21"/>
                <w:szCs w:val="21"/>
              </w:rPr>
            </w:pPr>
            <w:r>
              <w:rPr>
                <w:sz w:val="21"/>
                <w:szCs w:val="21"/>
              </w:rPr>
              <w:t>废润滑油</w:t>
            </w:r>
          </w:p>
        </w:tc>
      </w:tr>
      <w:tr w14:paraId="50EB6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214E52D0">
            <w:pPr>
              <w:pStyle w:val="5"/>
              <w:adjustRightInd w:val="0"/>
              <w:snapToGrid w:val="0"/>
              <w:spacing w:line="240" w:lineRule="auto"/>
              <w:ind w:firstLine="0"/>
              <w:jc w:val="center"/>
              <w:rPr>
                <w:sz w:val="21"/>
                <w:szCs w:val="21"/>
              </w:rPr>
            </w:pPr>
          </w:p>
        </w:tc>
        <w:tc>
          <w:tcPr>
            <w:tcW w:w="431" w:type="pct"/>
            <w:shd w:val="clear" w:color="auto" w:fill="auto"/>
            <w:vAlign w:val="center"/>
          </w:tcPr>
          <w:p w14:paraId="54CBB015">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-2</w:t>
            </w:r>
          </w:p>
        </w:tc>
        <w:tc>
          <w:tcPr>
            <w:tcW w:w="1019" w:type="pct"/>
            <w:shd w:val="clear" w:color="auto" w:fill="auto"/>
            <w:vAlign w:val="center"/>
          </w:tcPr>
          <w:p w14:paraId="252EEA26">
            <w:pPr>
              <w:pStyle w:val="5"/>
              <w:adjustRightInd w:val="0"/>
              <w:snapToGrid w:val="0"/>
              <w:spacing w:line="240" w:lineRule="auto"/>
              <w:ind w:firstLine="0"/>
              <w:jc w:val="center"/>
              <w:rPr>
                <w:sz w:val="21"/>
                <w:szCs w:val="21"/>
              </w:rPr>
            </w:pPr>
            <w:r>
              <w:rPr>
                <w:sz w:val="21"/>
                <w:szCs w:val="21"/>
              </w:rPr>
              <w:t>生活垃圾</w:t>
            </w:r>
          </w:p>
        </w:tc>
        <w:tc>
          <w:tcPr>
            <w:tcW w:w="1528" w:type="pct"/>
            <w:shd w:val="clear" w:color="auto" w:fill="auto"/>
            <w:vAlign w:val="center"/>
          </w:tcPr>
          <w:p w14:paraId="13D98973">
            <w:pPr>
              <w:pStyle w:val="5"/>
              <w:adjustRightInd w:val="0"/>
              <w:snapToGrid w:val="0"/>
              <w:spacing w:line="240" w:lineRule="auto"/>
              <w:ind w:firstLine="0"/>
              <w:jc w:val="center"/>
              <w:rPr>
                <w:sz w:val="21"/>
                <w:szCs w:val="21"/>
              </w:rPr>
            </w:pPr>
            <w:r>
              <w:rPr>
                <w:sz w:val="21"/>
                <w:szCs w:val="21"/>
              </w:rPr>
              <w:t>员工</w:t>
            </w:r>
          </w:p>
        </w:tc>
        <w:tc>
          <w:tcPr>
            <w:tcW w:w="1639" w:type="pct"/>
            <w:shd w:val="clear" w:color="auto" w:fill="auto"/>
            <w:vAlign w:val="center"/>
          </w:tcPr>
          <w:p w14:paraId="1B7ACBDC">
            <w:pPr>
              <w:pStyle w:val="5"/>
              <w:adjustRightInd w:val="0"/>
              <w:snapToGrid w:val="0"/>
              <w:spacing w:line="240" w:lineRule="auto"/>
              <w:ind w:firstLine="0"/>
              <w:jc w:val="center"/>
              <w:rPr>
                <w:sz w:val="21"/>
                <w:szCs w:val="21"/>
              </w:rPr>
            </w:pPr>
            <w:r>
              <w:rPr>
                <w:sz w:val="21"/>
                <w:szCs w:val="21"/>
              </w:rPr>
              <w:t>生活垃圾</w:t>
            </w:r>
          </w:p>
        </w:tc>
      </w:tr>
    </w:tbl>
    <w:p w14:paraId="0291ED74">
      <w:pPr>
        <w:pStyle w:val="5"/>
        <w:ind w:firstLine="0"/>
        <w:outlineLvl w:val="3"/>
        <w:rPr>
          <w:b/>
        </w:rPr>
      </w:pPr>
      <w:r>
        <w:rPr>
          <w:b/>
        </w:rPr>
        <w:t>2.3.3.5非正常工况排放</w:t>
      </w:r>
    </w:p>
    <w:p w14:paraId="334F3789">
      <w:pPr>
        <w:pStyle w:val="5"/>
        <w:spacing w:line="500" w:lineRule="exact"/>
        <w:ind w:firstLine="490" w:firstLineChars="200"/>
      </w:pPr>
      <w:r>
        <w:t>非正常工况包括生产设施非正常工况或污染防治（控制）设施非正常状况，其中生产设施非正常工况指开停炉（机）、设备检修、工艺设备运转异常，污染防治（控制）设施非正常状况指达不到应有治理效率或同步运转率等情况。本次评价主要考虑开停炉（机）及环保设施治理效率下降的污染物排放。</w:t>
      </w:r>
    </w:p>
    <w:p w14:paraId="011245B0">
      <w:pPr>
        <w:pStyle w:val="5"/>
        <w:spacing w:line="500" w:lineRule="exact"/>
        <w:ind w:firstLine="490" w:firstLineChars="200"/>
      </w:pPr>
      <w:r>
        <w:rPr>
          <w:szCs w:val="24"/>
        </w:rPr>
        <w:t>拟建项目装置区一般每年检修1次，</w:t>
      </w:r>
      <w:r>
        <w:t>检修完毕后重新开机。</w:t>
      </w:r>
    </w:p>
    <w:p w14:paraId="35081CEC">
      <w:pPr>
        <w:pStyle w:val="5"/>
        <w:spacing w:line="500" w:lineRule="exact"/>
        <w:ind w:firstLine="490" w:firstLineChars="200"/>
      </w:pPr>
      <w:r>
        <w:t>1、开车时</w:t>
      </w:r>
    </w:p>
    <w:p w14:paraId="134A551E">
      <w:pPr>
        <w:pStyle w:val="5"/>
        <w:spacing w:line="500" w:lineRule="exact"/>
        <w:ind w:firstLine="490" w:firstLineChars="200"/>
      </w:pPr>
      <w:r>
        <w:t>开车时，先启用废气、废水环保设施，再想反应釜中投加物料。开车时不会出现废水、废气、废液直排现象。</w:t>
      </w:r>
    </w:p>
    <w:p w14:paraId="25B0148A">
      <w:pPr>
        <w:pStyle w:val="5"/>
        <w:spacing w:line="500" w:lineRule="exact"/>
        <w:ind w:firstLine="490" w:firstLineChars="200"/>
      </w:pPr>
      <w:r>
        <w:t>2、停机时</w:t>
      </w:r>
    </w:p>
    <w:p w14:paraId="6F10A98A">
      <w:pPr>
        <w:pStyle w:val="5"/>
        <w:spacing w:line="500" w:lineRule="exact"/>
        <w:ind w:firstLine="490" w:firstLineChars="200"/>
      </w:pPr>
      <w:r>
        <w:t>停车时与开车时相反，主体装置停止进料，检测装置区采用清水清洗，装置停止运行。停车时，各污染治理设施晚于主体装置区停车，停车时不会出现废水、废气、废液直排现象。</w:t>
      </w:r>
    </w:p>
    <w:p w14:paraId="6D450C8D">
      <w:pPr>
        <w:pStyle w:val="5"/>
        <w:spacing w:line="500" w:lineRule="exact"/>
        <w:ind w:firstLine="490" w:firstLineChars="200"/>
      </w:pPr>
      <w:r>
        <w:t>3、环保设施发生故障</w:t>
      </w:r>
    </w:p>
    <w:p w14:paraId="0CFF77BC">
      <w:pPr>
        <w:pStyle w:val="5"/>
        <w:spacing w:line="500" w:lineRule="exact"/>
        <w:ind w:firstLine="490" w:firstLineChars="200"/>
      </w:pPr>
      <w:r>
        <w:t>（1）废气</w:t>
      </w:r>
    </w:p>
    <w:p w14:paraId="3FA11A2C">
      <w:pPr>
        <w:pStyle w:val="5"/>
        <w:spacing w:line="500" w:lineRule="exact"/>
        <w:ind w:firstLine="490" w:firstLineChars="200"/>
      </w:pPr>
      <w:r>
        <w:t>当废气环保设施出现故障情况下的污染物排放源强，非正常工况废气污染物排放源强见表2-</w:t>
      </w:r>
      <w:r>
        <w:rPr>
          <w:rFonts w:hint="eastAsia"/>
        </w:rPr>
        <w:t>59</w:t>
      </w:r>
      <w:r>
        <w:t>。</w:t>
      </w:r>
    </w:p>
    <w:p w14:paraId="2275F0A3">
      <w:pPr>
        <w:pStyle w:val="5"/>
        <w:keepNext/>
        <w:numPr>
          <w:ilvl w:val="0"/>
          <w:numId w:val="12"/>
        </w:numPr>
        <w:spacing w:line="480" w:lineRule="exact"/>
        <w:jc w:val="center"/>
        <w:outlineLvl w:val="4"/>
        <w:rPr>
          <w:b/>
        </w:rPr>
      </w:pPr>
      <w:r>
        <w:rPr>
          <w:b/>
        </w:rPr>
        <w:t>非正常工况废气污染物排放源强表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1243"/>
        <w:gridCol w:w="1401"/>
        <w:gridCol w:w="1553"/>
        <w:gridCol w:w="1189"/>
        <w:gridCol w:w="1109"/>
        <w:gridCol w:w="862"/>
        <w:gridCol w:w="841"/>
      </w:tblGrid>
      <w:tr w14:paraId="25581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pct"/>
            <w:vAlign w:val="center"/>
          </w:tcPr>
          <w:p w14:paraId="219D7136">
            <w:pPr>
              <w:pStyle w:val="1737"/>
              <w:adjustRightInd w:val="0"/>
              <w:snapToGrid w:val="0"/>
              <w:spacing w:line="240" w:lineRule="auto"/>
              <w:ind w:firstLine="0" w:firstLineChars="0"/>
              <w:jc w:val="center"/>
              <w:rPr>
                <w:sz w:val="21"/>
                <w:szCs w:val="21"/>
              </w:rPr>
            </w:pPr>
            <w:r>
              <w:rPr>
                <w:sz w:val="21"/>
                <w:szCs w:val="21"/>
              </w:rPr>
              <w:t>排气筒编号</w:t>
            </w:r>
          </w:p>
        </w:tc>
        <w:tc>
          <w:tcPr>
            <w:tcW w:w="669" w:type="pct"/>
            <w:vAlign w:val="center"/>
          </w:tcPr>
          <w:p w14:paraId="300CEFD9">
            <w:pPr>
              <w:pStyle w:val="1737"/>
              <w:adjustRightInd w:val="0"/>
              <w:snapToGrid w:val="0"/>
              <w:spacing w:line="240" w:lineRule="auto"/>
              <w:ind w:firstLine="0" w:firstLineChars="0"/>
              <w:jc w:val="center"/>
              <w:rPr>
                <w:sz w:val="21"/>
                <w:szCs w:val="21"/>
              </w:rPr>
            </w:pPr>
            <w:r>
              <w:rPr>
                <w:sz w:val="21"/>
                <w:szCs w:val="21"/>
              </w:rPr>
              <w:t>污染源</w:t>
            </w:r>
          </w:p>
        </w:tc>
        <w:tc>
          <w:tcPr>
            <w:tcW w:w="754" w:type="pct"/>
            <w:vAlign w:val="center"/>
          </w:tcPr>
          <w:p w14:paraId="7B5A1964">
            <w:pPr>
              <w:pStyle w:val="1737"/>
              <w:adjustRightInd w:val="0"/>
              <w:snapToGrid w:val="0"/>
              <w:spacing w:line="240" w:lineRule="auto"/>
              <w:ind w:firstLine="0" w:firstLineChars="0"/>
              <w:jc w:val="center"/>
              <w:rPr>
                <w:sz w:val="21"/>
                <w:szCs w:val="21"/>
              </w:rPr>
            </w:pPr>
            <w:r>
              <w:rPr>
                <w:sz w:val="21"/>
                <w:szCs w:val="21"/>
              </w:rPr>
              <w:t>非正常排放原因</w:t>
            </w:r>
          </w:p>
        </w:tc>
        <w:tc>
          <w:tcPr>
            <w:tcW w:w="836" w:type="pct"/>
            <w:vAlign w:val="center"/>
          </w:tcPr>
          <w:p w14:paraId="4A8D0F0F">
            <w:pPr>
              <w:pStyle w:val="1737"/>
              <w:adjustRightInd w:val="0"/>
              <w:snapToGrid w:val="0"/>
              <w:spacing w:line="240" w:lineRule="auto"/>
              <w:ind w:firstLine="0" w:firstLineChars="0"/>
              <w:jc w:val="center"/>
              <w:rPr>
                <w:sz w:val="21"/>
                <w:szCs w:val="21"/>
              </w:rPr>
            </w:pPr>
            <w:r>
              <w:rPr>
                <w:sz w:val="21"/>
                <w:szCs w:val="21"/>
              </w:rPr>
              <w:t>污染物</w:t>
            </w:r>
          </w:p>
        </w:tc>
        <w:tc>
          <w:tcPr>
            <w:tcW w:w="640" w:type="pct"/>
            <w:vAlign w:val="center"/>
          </w:tcPr>
          <w:p w14:paraId="2087847F">
            <w:pPr>
              <w:pStyle w:val="1737"/>
              <w:adjustRightInd w:val="0"/>
              <w:snapToGrid w:val="0"/>
              <w:spacing w:line="240" w:lineRule="auto"/>
              <w:ind w:firstLine="0" w:firstLineChars="0"/>
              <w:jc w:val="center"/>
              <w:rPr>
                <w:sz w:val="21"/>
                <w:szCs w:val="21"/>
              </w:rPr>
            </w:pPr>
            <w:r>
              <w:rPr>
                <w:sz w:val="21"/>
                <w:szCs w:val="21"/>
              </w:rPr>
              <w:t>非正常排放浓度（mg/m</w:t>
            </w:r>
            <w:r>
              <w:rPr>
                <w:sz w:val="21"/>
                <w:szCs w:val="21"/>
                <w:vertAlign w:val="superscript"/>
              </w:rPr>
              <w:t>3</w:t>
            </w:r>
            <w:r>
              <w:rPr>
                <w:sz w:val="21"/>
                <w:szCs w:val="21"/>
              </w:rPr>
              <w:t>）</w:t>
            </w:r>
          </w:p>
        </w:tc>
        <w:tc>
          <w:tcPr>
            <w:tcW w:w="597" w:type="pct"/>
            <w:vAlign w:val="center"/>
          </w:tcPr>
          <w:p w14:paraId="09F2D202">
            <w:pPr>
              <w:pStyle w:val="1737"/>
              <w:adjustRightInd w:val="0"/>
              <w:snapToGrid w:val="0"/>
              <w:spacing w:line="240" w:lineRule="auto"/>
              <w:ind w:firstLine="0" w:firstLineChars="0"/>
              <w:jc w:val="center"/>
              <w:rPr>
                <w:sz w:val="21"/>
                <w:szCs w:val="21"/>
              </w:rPr>
            </w:pPr>
            <w:r>
              <w:rPr>
                <w:sz w:val="21"/>
                <w:szCs w:val="21"/>
              </w:rPr>
              <w:t>非正常排放速率kg/h</w:t>
            </w:r>
          </w:p>
        </w:tc>
        <w:tc>
          <w:tcPr>
            <w:tcW w:w="464" w:type="pct"/>
            <w:vAlign w:val="center"/>
          </w:tcPr>
          <w:p w14:paraId="436F5059">
            <w:pPr>
              <w:pStyle w:val="1737"/>
              <w:adjustRightInd w:val="0"/>
              <w:snapToGrid w:val="0"/>
              <w:spacing w:line="240" w:lineRule="auto"/>
              <w:ind w:firstLine="0" w:firstLineChars="0"/>
              <w:jc w:val="center"/>
              <w:rPr>
                <w:sz w:val="21"/>
                <w:szCs w:val="21"/>
              </w:rPr>
            </w:pPr>
            <w:r>
              <w:rPr>
                <w:sz w:val="21"/>
                <w:szCs w:val="21"/>
              </w:rPr>
              <w:t>单次持续时间/h</w:t>
            </w:r>
          </w:p>
        </w:tc>
        <w:tc>
          <w:tcPr>
            <w:tcW w:w="453" w:type="pct"/>
            <w:vAlign w:val="center"/>
          </w:tcPr>
          <w:p w14:paraId="206A33F6">
            <w:pPr>
              <w:pStyle w:val="1737"/>
              <w:adjustRightInd w:val="0"/>
              <w:snapToGrid w:val="0"/>
              <w:spacing w:line="240" w:lineRule="auto"/>
              <w:ind w:firstLine="0" w:firstLineChars="0"/>
              <w:jc w:val="center"/>
              <w:rPr>
                <w:sz w:val="21"/>
                <w:szCs w:val="21"/>
              </w:rPr>
            </w:pPr>
            <w:r>
              <w:rPr>
                <w:sz w:val="21"/>
                <w:szCs w:val="21"/>
              </w:rPr>
              <w:t>年发生频次/次</w:t>
            </w:r>
          </w:p>
        </w:tc>
      </w:tr>
      <w:tr w14:paraId="731B1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pct"/>
            <w:vAlign w:val="center"/>
          </w:tcPr>
          <w:p w14:paraId="409FFF3E">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DA145</w:t>
            </w:r>
          </w:p>
        </w:tc>
        <w:tc>
          <w:tcPr>
            <w:tcW w:w="669" w:type="pct"/>
            <w:vAlign w:val="center"/>
          </w:tcPr>
          <w:p w14:paraId="550FCB68">
            <w:pPr>
              <w:adjustRightInd w:val="0"/>
              <w:snapToGrid w:val="0"/>
              <w:jc w:val="center"/>
              <w:rPr>
                <w:rFonts w:ascii="Arial" w:hAnsi="Arial" w:eastAsia="宋体" w:cs="Arial"/>
                <w:sz w:val="21"/>
                <w:szCs w:val="24"/>
              </w:rPr>
            </w:pPr>
            <w:r>
              <w:rPr>
                <w:rFonts w:hint="eastAsia" w:ascii="Arial" w:hAnsi="Arial" w:eastAsia="宋体" w:cs="Arial"/>
                <w:sz w:val="21"/>
                <w:szCs w:val="24"/>
              </w:rPr>
              <w:t>合成</w:t>
            </w:r>
            <w:r>
              <w:rPr>
                <w:rFonts w:ascii="Arial" w:hAnsi="Arial" w:eastAsia="宋体" w:cs="Arial"/>
                <w:sz w:val="21"/>
                <w:szCs w:val="24"/>
              </w:rPr>
              <w:t>反应废气、压滤废气</w:t>
            </w:r>
          </w:p>
        </w:tc>
        <w:tc>
          <w:tcPr>
            <w:tcW w:w="754" w:type="pct"/>
            <w:vAlign w:val="center"/>
          </w:tcPr>
          <w:p w14:paraId="59FB4579">
            <w:pPr>
              <w:pStyle w:val="1737"/>
              <w:adjustRightInd w:val="0"/>
              <w:snapToGrid w:val="0"/>
              <w:spacing w:line="240" w:lineRule="auto"/>
              <w:ind w:firstLine="0" w:firstLineChars="0"/>
              <w:jc w:val="center"/>
              <w:rPr>
                <w:sz w:val="21"/>
                <w:szCs w:val="21"/>
              </w:rPr>
            </w:pPr>
            <w:r>
              <w:rPr>
                <w:rFonts w:hint="eastAsia"/>
                <w:sz w:val="21"/>
                <w:szCs w:val="21"/>
              </w:rPr>
              <w:t>吸收塔</w:t>
            </w:r>
            <w:r>
              <w:rPr>
                <w:sz w:val="21"/>
                <w:szCs w:val="21"/>
              </w:rPr>
              <w:t>故障</w:t>
            </w:r>
          </w:p>
          <w:p w14:paraId="17A513FE">
            <w:pPr>
              <w:pStyle w:val="1737"/>
              <w:adjustRightInd w:val="0"/>
              <w:snapToGrid w:val="0"/>
              <w:spacing w:line="240" w:lineRule="auto"/>
              <w:ind w:firstLine="0" w:firstLineChars="0"/>
              <w:jc w:val="center"/>
              <w:rPr>
                <w:sz w:val="21"/>
                <w:szCs w:val="21"/>
              </w:rPr>
            </w:pPr>
            <w:r>
              <w:rPr>
                <w:sz w:val="21"/>
                <w:szCs w:val="21"/>
              </w:rPr>
              <w:t>效率降为</w:t>
            </w:r>
            <w:r>
              <w:rPr>
                <w:rFonts w:hint="eastAsia"/>
                <w:sz w:val="21"/>
                <w:szCs w:val="21"/>
              </w:rPr>
              <w:t>0</w:t>
            </w:r>
          </w:p>
        </w:tc>
        <w:tc>
          <w:tcPr>
            <w:tcW w:w="836" w:type="pct"/>
            <w:vAlign w:val="center"/>
          </w:tcPr>
          <w:p w14:paraId="32FCB35E">
            <w:pPr>
              <w:pStyle w:val="469"/>
              <w:rPr>
                <w:rFonts w:ascii="Arial" w:hAnsi="Arial" w:cs="Arial"/>
                <w:sz w:val="21"/>
                <w:szCs w:val="21"/>
              </w:rPr>
            </w:pPr>
            <w:r>
              <w:rPr>
                <w:rFonts w:ascii="Arial" w:hAnsi="Arial" w:cs="Arial"/>
                <w:sz w:val="21"/>
                <w:szCs w:val="21"/>
              </w:rPr>
              <w:t>氨气</w:t>
            </w:r>
          </w:p>
        </w:tc>
        <w:tc>
          <w:tcPr>
            <w:tcW w:w="640" w:type="pct"/>
            <w:vAlign w:val="center"/>
          </w:tcPr>
          <w:p w14:paraId="2379EA8D">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597" w:type="pct"/>
            <w:vAlign w:val="center"/>
          </w:tcPr>
          <w:p w14:paraId="1727EF0E">
            <w:pPr>
              <w:pStyle w:val="5"/>
              <w:adjustRightInd w:val="0"/>
              <w:snapToGrid w:val="0"/>
              <w:spacing w:line="240" w:lineRule="auto"/>
              <w:ind w:firstLine="0"/>
              <w:jc w:val="center"/>
              <w:rPr>
                <w:sz w:val="21"/>
                <w:szCs w:val="21"/>
              </w:rPr>
            </w:pPr>
            <w:r>
              <w:rPr>
                <w:rFonts w:hint="eastAsia"/>
                <w:sz w:val="21"/>
                <w:szCs w:val="21"/>
              </w:rPr>
              <w:t>2.682</w:t>
            </w:r>
          </w:p>
        </w:tc>
        <w:tc>
          <w:tcPr>
            <w:tcW w:w="464" w:type="pct"/>
            <w:vAlign w:val="center"/>
          </w:tcPr>
          <w:p w14:paraId="720A98AA">
            <w:pPr>
              <w:pStyle w:val="1737"/>
              <w:adjustRightInd w:val="0"/>
              <w:snapToGrid w:val="0"/>
              <w:spacing w:line="240" w:lineRule="auto"/>
              <w:ind w:firstLine="0" w:firstLineChars="0"/>
              <w:jc w:val="center"/>
              <w:rPr>
                <w:sz w:val="21"/>
                <w:szCs w:val="21"/>
              </w:rPr>
            </w:pPr>
            <w:r>
              <w:rPr>
                <w:sz w:val="21"/>
                <w:szCs w:val="21"/>
              </w:rPr>
              <w:t>1</w:t>
            </w:r>
          </w:p>
        </w:tc>
        <w:tc>
          <w:tcPr>
            <w:tcW w:w="453" w:type="pct"/>
            <w:vAlign w:val="center"/>
          </w:tcPr>
          <w:p w14:paraId="1B8FB4E3">
            <w:pPr>
              <w:pStyle w:val="1737"/>
              <w:adjustRightInd w:val="0"/>
              <w:snapToGrid w:val="0"/>
              <w:spacing w:line="240" w:lineRule="auto"/>
              <w:ind w:firstLine="0" w:firstLineChars="0"/>
              <w:jc w:val="center"/>
              <w:rPr>
                <w:sz w:val="21"/>
                <w:szCs w:val="21"/>
              </w:rPr>
            </w:pPr>
            <w:r>
              <w:rPr>
                <w:sz w:val="21"/>
                <w:szCs w:val="21"/>
              </w:rPr>
              <w:t>1</w:t>
            </w:r>
          </w:p>
        </w:tc>
      </w:tr>
      <w:tr w14:paraId="664E0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pct"/>
            <w:vMerge w:val="restart"/>
            <w:vAlign w:val="center"/>
          </w:tcPr>
          <w:p w14:paraId="7153C67F">
            <w:pPr>
              <w:pStyle w:val="41"/>
              <w:adjustRightInd w:val="0"/>
              <w:snapToGrid w:val="0"/>
              <w:spacing w:after="0"/>
              <w:ind w:firstLine="0" w:firstLineChars="0"/>
              <w:jc w:val="center"/>
              <w:rPr>
                <w:rFonts w:ascii="Arial" w:hAnsi="Arial" w:cs="Arial"/>
                <w:sz w:val="21"/>
                <w:szCs w:val="21"/>
                <w:u w:val="single"/>
              </w:rPr>
            </w:pPr>
            <w:r>
              <w:rPr>
                <w:rFonts w:ascii="Arial" w:hAnsi="Arial" w:cs="Arial"/>
                <w:sz w:val="21"/>
                <w:szCs w:val="21"/>
                <w:u w:val="single"/>
              </w:rPr>
              <w:t>DA146</w:t>
            </w:r>
          </w:p>
        </w:tc>
        <w:tc>
          <w:tcPr>
            <w:tcW w:w="669" w:type="pct"/>
            <w:vMerge w:val="restart"/>
            <w:vAlign w:val="center"/>
          </w:tcPr>
          <w:p w14:paraId="35F2F13F">
            <w:pPr>
              <w:adjustRightInd w:val="0"/>
              <w:snapToGrid w:val="0"/>
              <w:jc w:val="center"/>
              <w:rPr>
                <w:rFonts w:ascii="Arial" w:hAnsi="Arial" w:eastAsia="宋体" w:cs="Arial"/>
                <w:sz w:val="21"/>
                <w:szCs w:val="24"/>
                <w:u w:val="single"/>
              </w:rPr>
            </w:pPr>
            <w:r>
              <w:rPr>
                <w:rFonts w:hint="eastAsia" w:ascii="Arial" w:hAnsi="Arial" w:eastAsia="宋体" w:cs="Arial"/>
                <w:sz w:val="21"/>
                <w:szCs w:val="24"/>
                <w:u w:val="single"/>
              </w:rPr>
              <w:t>烘干粉尘、破碎粉尘、包装粉尘</w:t>
            </w:r>
          </w:p>
        </w:tc>
        <w:tc>
          <w:tcPr>
            <w:tcW w:w="754" w:type="pct"/>
            <w:vMerge w:val="restart"/>
            <w:vAlign w:val="center"/>
          </w:tcPr>
          <w:p w14:paraId="441DC225">
            <w:pPr>
              <w:pStyle w:val="1737"/>
              <w:adjustRightInd w:val="0"/>
              <w:snapToGrid w:val="0"/>
              <w:spacing w:line="240" w:lineRule="auto"/>
              <w:ind w:firstLine="0" w:firstLineChars="0"/>
              <w:jc w:val="center"/>
              <w:rPr>
                <w:sz w:val="21"/>
                <w:szCs w:val="21"/>
                <w:u w:val="single"/>
              </w:rPr>
            </w:pPr>
            <w:r>
              <w:rPr>
                <w:rFonts w:hint="eastAsia"/>
                <w:sz w:val="21"/>
                <w:szCs w:val="21"/>
                <w:u w:val="single"/>
              </w:rPr>
              <w:t>布袋除尘器</w:t>
            </w:r>
            <w:r>
              <w:rPr>
                <w:sz w:val="21"/>
                <w:szCs w:val="21"/>
                <w:u w:val="single"/>
              </w:rPr>
              <w:t>出现破损，除尘效率降为</w:t>
            </w:r>
            <w:r>
              <w:rPr>
                <w:rFonts w:hint="eastAsia"/>
                <w:sz w:val="21"/>
                <w:szCs w:val="21"/>
                <w:u w:val="single"/>
              </w:rPr>
              <w:t>90%；</w:t>
            </w:r>
            <w:r>
              <w:rPr>
                <w:sz w:val="21"/>
                <w:szCs w:val="21"/>
                <w:u w:val="single"/>
              </w:rPr>
              <w:t>吸收塔故障，效率降为</w:t>
            </w:r>
            <w:r>
              <w:rPr>
                <w:rFonts w:hint="eastAsia"/>
                <w:sz w:val="21"/>
                <w:szCs w:val="21"/>
                <w:u w:val="single"/>
              </w:rPr>
              <w:t>0</w:t>
            </w:r>
          </w:p>
        </w:tc>
        <w:tc>
          <w:tcPr>
            <w:tcW w:w="836" w:type="pct"/>
            <w:vAlign w:val="center"/>
          </w:tcPr>
          <w:p w14:paraId="44ADF17D">
            <w:pPr>
              <w:pStyle w:val="469"/>
              <w:rPr>
                <w:rFonts w:ascii="Arial" w:hAnsi="Arial" w:cs="Arial"/>
                <w:sz w:val="21"/>
                <w:szCs w:val="21"/>
                <w:u w:val="single"/>
              </w:rPr>
            </w:pPr>
            <w:r>
              <w:rPr>
                <w:rFonts w:hint="eastAsia" w:ascii="Arial" w:hAnsi="Arial" w:cs="Arial"/>
                <w:sz w:val="21"/>
                <w:szCs w:val="21"/>
                <w:u w:val="single"/>
              </w:rPr>
              <w:t>颗粒物</w:t>
            </w:r>
          </w:p>
        </w:tc>
        <w:tc>
          <w:tcPr>
            <w:tcW w:w="640" w:type="pct"/>
            <w:vAlign w:val="center"/>
          </w:tcPr>
          <w:p w14:paraId="60161F66">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45</w:t>
            </w:r>
          </w:p>
        </w:tc>
        <w:tc>
          <w:tcPr>
            <w:tcW w:w="597" w:type="pct"/>
            <w:vAlign w:val="center"/>
          </w:tcPr>
          <w:p w14:paraId="4BBF87D6">
            <w:pPr>
              <w:pStyle w:val="5"/>
              <w:adjustRightInd w:val="0"/>
              <w:snapToGrid w:val="0"/>
              <w:spacing w:line="240" w:lineRule="auto"/>
              <w:ind w:firstLine="0"/>
              <w:jc w:val="center"/>
              <w:rPr>
                <w:sz w:val="21"/>
                <w:szCs w:val="21"/>
                <w:u w:val="single"/>
              </w:rPr>
            </w:pPr>
            <w:r>
              <w:rPr>
                <w:rFonts w:hint="eastAsia"/>
                <w:sz w:val="21"/>
                <w:szCs w:val="21"/>
                <w:u w:val="single"/>
              </w:rPr>
              <w:t>2.0933</w:t>
            </w:r>
          </w:p>
        </w:tc>
        <w:tc>
          <w:tcPr>
            <w:tcW w:w="464" w:type="pct"/>
            <w:vAlign w:val="center"/>
          </w:tcPr>
          <w:p w14:paraId="0DCAF948">
            <w:pPr>
              <w:pStyle w:val="1737"/>
              <w:adjustRightInd w:val="0"/>
              <w:snapToGrid w:val="0"/>
              <w:spacing w:line="240" w:lineRule="auto"/>
              <w:ind w:firstLine="0" w:firstLineChars="0"/>
              <w:jc w:val="center"/>
              <w:rPr>
                <w:sz w:val="21"/>
                <w:szCs w:val="21"/>
                <w:u w:val="single"/>
              </w:rPr>
            </w:pPr>
            <w:r>
              <w:rPr>
                <w:sz w:val="21"/>
                <w:szCs w:val="21"/>
                <w:u w:val="single"/>
              </w:rPr>
              <w:t>1</w:t>
            </w:r>
          </w:p>
        </w:tc>
        <w:tc>
          <w:tcPr>
            <w:tcW w:w="453" w:type="pct"/>
            <w:vAlign w:val="center"/>
          </w:tcPr>
          <w:p w14:paraId="3EC9FF25">
            <w:pPr>
              <w:pStyle w:val="1737"/>
              <w:adjustRightInd w:val="0"/>
              <w:snapToGrid w:val="0"/>
              <w:spacing w:line="240" w:lineRule="auto"/>
              <w:ind w:firstLine="0" w:firstLineChars="0"/>
              <w:jc w:val="center"/>
              <w:rPr>
                <w:sz w:val="21"/>
                <w:szCs w:val="21"/>
                <w:u w:val="single"/>
              </w:rPr>
            </w:pPr>
            <w:r>
              <w:rPr>
                <w:sz w:val="21"/>
                <w:szCs w:val="21"/>
                <w:u w:val="single"/>
              </w:rPr>
              <w:t>1</w:t>
            </w:r>
          </w:p>
        </w:tc>
      </w:tr>
      <w:tr w14:paraId="3F76A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pct"/>
            <w:vMerge w:val="continue"/>
            <w:vAlign w:val="center"/>
          </w:tcPr>
          <w:p w14:paraId="5B52BBCF">
            <w:pPr>
              <w:pStyle w:val="41"/>
              <w:adjustRightInd w:val="0"/>
              <w:snapToGrid w:val="0"/>
              <w:spacing w:after="0"/>
              <w:ind w:firstLine="0" w:firstLineChars="0"/>
              <w:jc w:val="center"/>
              <w:rPr>
                <w:rFonts w:ascii="Arial" w:hAnsi="Arial" w:cs="Arial"/>
                <w:sz w:val="21"/>
                <w:szCs w:val="21"/>
                <w:u w:val="single"/>
              </w:rPr>
            </w:pPr>
          </w:p>
        </w:tc>
        <w:tc>
          <w:tcPr>
            <w:tcW w:w="669" w:type="pct"/>
            <w:vMerge w:val="continue"/>
            <w:vAlign w:val="center"/>
          </w:tcPr>
          <w:p w14:paraId="0FFBDAA1">
            <w:pPr>
              <w:adjustRightInd w:val="0"/>
              <w:snapToGrid w:val="0"/>
              <w:jc w:val="center"/>
              <w:rPr>
                <w:rFonts w:ascii="Arial" w:hAnsi="Arial" w:eastAsia="宋体" w:cs="Arial"/>
                <w:sz w:val="21"/>
                <w:szCs w:val="24"/>
                <w:u w:val="single"/>
              </w:rPr>
            </w:pPr>
          </w:p>
        </w:tc>
        <w:tc>
          <w:tcPr>
            <w:tcW w:w="754" w:type="pct"/>
            <w:vMerge w:val="continue"/>
            <w:vAlign w:val="center"/>
          </w:tcPr>
          <w:p w14:paraId="4BFF1194">
            <w:pPr>
              <w:pStyle w:val="1737"/>
              <w:adjustRightInd w:val="0"/>
              <w:snapToGrid w:val="0"/>
              <w:spacing w:line="240" w:lineRule="auto"/>
              <w:ind w:firstLine="0" w:firstLineChars="0"/>
              <w:jc w:val="center"/>
              <w:rPr>
                <w:sz w:val="21"/>
                <w:szCs w:val="21"/>
                <w:u w:val="single"/>
              </w:rPr>
            </w:pPr>
          </w:p>
        </w:tc>
        <w:tc>
          <w:tcPr>
            <w:tcW w:w="836" w:type="pct"/>
            <w:vAlign w:val="center"/>
          </w:tcPr>
          <w:p w14:paraId="1352325C">
            <w:pPr>
              <w:pStyle w:val="469"/>
              <w:rPr>
                <w:rFonts w:ascii="Arial" w:hAnsi="Arial" w:cs="Arial"/>
                <w:sz w:val="21"/>
                <w:szCs w:val="21"/>
                <w:u w:val="single"/>
              </w:rPr>
            </w:pPr>
            <w:r>
              <w:rPr>
                <w:rFonts w:hint="eastAsia" w:ascii="Arial" w:hAnsi="Arial" w:cs="Arial"/>
                <w:sz w:val="21"/>
                <w:szCs w:val="21"/>
                <w:u w:val="single"/>
              </w:rPr>
              <w:t>钴</w:t>
            </w:r>
          </w:p>
        </w:tc>
        <w:tc>
          <w:tcPr>
            <w:tcW w:w="640" w:type="pct"/>
            <w:vAlign w:val="center"/>
          </w:tcPr>
          <w:p w14:paraId="5362B3DC">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28</w:t>
            </w:r>
          </w:p>
        </w:tc>
        <w:tc>
          <w:tcPr>
            <w:tcW w:w="597" w:type="pct"/>
            <w:vAlign w:val="center"/>
          </w:tcPr>
          <w:p w14:paraId="0C9AE0DB">
            <w:pPr>
              <w:pStyle w:val="5"/>
              <w:adjustRightInd w:val="0"/>
              <w:snapToGrid w:val="0"/>
              <w:spacing w:line="240" w:lineRule="auto"/>
              <w:ind w:firstLine="0"/>
              <w:jc w:val="center"/>
              <w:rPr>
                <w:sz w:val="21"/>
                <w:szCs w:val="21"/>
                <w:u w:val="single"/>
              </w:rPr>
            </w:pPr>
            <w:r>
              <w:rPr>
                <w:rFonts w:hint="eastAsia"/>
                <w:sz w:val="21"/>
                <w:szCs w:val="21"/>
                <w:u w:val="single"/>
              </w:rPr>
              <w:t>1.2995</w:t>
            </w:r>
          </w:p>
        </w:tc>
        <w:tc>
          <w:tcPr>
            <w:tcW w:w="464" w:type="pct"/>
            <w:vAlign w:val="center"/>
          </w:tcPr>
          <w:p w14:paraId="2CB0F48C">
            <w:pPr>
              <w:pStyle w:val="1737"/>
              <w:adjustRightInd w:val="0"/>
              <w:snapToGrid w:val="0"/>
              <w:spacing w:line="240" w:lineRule="auto"/>
              <w:ind w:firstLine="0" w:firstLineChars="0"/>
              <w:jc w:val="center"/>
              <w:rPr>
                <w:sz w:val="21"/>
                <w:szCs w:val="21"/>
                <w:u w:val="single"/>
              </w:rPr>
            </w:pPr>
            <w:r>
              <w:rPr>
                <w:rFonts w:hint="eastAsia"/>
                <w:sz w:val="21"/>
                <w:szCs w:val="21"/>
                <w:u w:val="single"/>
              </w:rPr>
              <w:t>1</w:t>
            </w:r>
          </w:p>
        </w:tc>
        <w:tc>
          <w:tcPr>
            <w:tcW w:w="453" w:type="pct"/>
            <w:vAlign w:val="center"/>
          </w:tcPr>
          <w:p w14:paraId="1BA2612C">
            <w:pPr>
              <w:pStyle w:val="1737"/>
              <w:adjustRightInd w:val="0"/>
              <w:snapToGrid w:val="0"/>
              <w:spacing w:line="240" w:lineRule="auto"/>
              <w:ind w:firstLine="0" w:firstLineChars="0"/>
              <w:jc w:val="center"/>
              <w:rPr>
                <w:sz w:val="21"/>
                <w:szCs w:val="21"/>
                <w:u w:val="single"/>
              </w:rPr>
            </w:pPr>
            <w:r>
              <w:rPr>
                <w:rFonts w:hint="eastAsia"/>
                <w:sz w:val="21"/>
                <w:szCs w:val="21"/>
                <w:u w:val="single"/>
              </w:rPr>
              <w:t>1</w:t>
            </w:r>
          </w:p>
        </w:tc>
      </w:tr>
    </w:tbl>
    <w:p w14:paraId="45B096C0">
      <w:pPr>
        <w:pStyle w:val="5"/>
        <w:spacing w:line="500" w:lineRule="exact"/>
        <w:ind w:firstLine="490" w:firstLineChars="200"/>
      </w:pPr>
      <w:r>
        <w:t>（2）废水</w:t>
      </w:r>
    </w:p>
    <w:p w14:paraId="22940F6E">
      <w:pPr>
        <w:pStyle w:val="5"/>
        <w:spacing w:line="500" w:lineRule="exact"/>
        <w:ind w:firstLine="490" w:firstLineChars="200"/>
      </w:pPr>
      <w:r>
        <w:t>当污水处理站设施出现故障情况下的污染物排放源强，非正常工况废水污染物排放源强见表2-</w:t>
      </w:r>
      <w:r>
        <w:rPr>
          <w:rFonts w:hint="eastAsia"/>
        </w:rPr>
        <w:t>60</w:t>
      </w:r>
      <w:r>
        <w:t>。</w:t>
      </w:r>
    </w:p>
    <w:p w14:paraId="2520B3F9">
      <w:pPr>
        <w:pStyle w:val="5"/>
        <w:keepNext/>
        <w:numPr>
          <w:ilvl w:val="0"/>
          <w:numId w:val="12"/>
        </w:numPr>
        <w:spacing w:line="480" w:lineRule="exact"/>
        <w:jc w:val="center"/>
        <w:outlineLvl w:val="4"/>
        <w:rPr>
          <w:b/>
        </w:rPr>
      </w:pPr>
      <w:r>
        <w:rPr>
          <w:b/>
        </w:rPr>
        <w:t>非正常工况废水污染物排放源强表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702"/>
        <w:gridCol w:w="1521"/>
        <w:gridCol w:w="1544"/>
        <w:gridCol w:w="1293"/>
        <w:gridCol w:w="1003"/>
        <w:gridCol w:w="983"/>
      </w:tblGrid>
      <w:tr w14:paraId="66DFB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pct"/>
            <w:vAlign w:val="center"/>
          </w:tcPr>
          <w:p w14:paraId="72A51618">
            <w:pPr>
              <w:pStyle w:val="1737"/>
              <w:adjustRightInd w:val="0"/>
              <w:snapToGrid w:val="0"/>
              <w:spacing w:line="240" w:lineRule="auto"/>
              <w:ind w:firstLine="0" w:firstLineChars="0"/>
              <w:jc w:val="center"/>
              <w:rPr>
                <w:sz w:val="21"/>
                <w:szCs w:val="21"/>
              </w:rPr>
            </w:pPr>
            <w:r>
              <w:rPr>
                <w:sz w:val="21"/>
                <w:szCs w:val="21"/>
              </w:rPr>
              <w:t>污染源</w:t>
            </w:r>
          </w:p>
        </w:tc>
        <w:tc>
          <w:tcPr>
            <w:tcW w:w="916" w:type="pct"/>
            <w:vAlign w:val="center"/>
          </w:tcPr>
          <w:p w14:paraId="424D913A">
            <w:pPr>
              <w:pStyle w:val="1737"/>
              <w:adjustRightInd w:val="0"/>
              <w:snapToGrid w:val="0"/>
              <w:spacing w:line="240" w:lineRule="auto"/>
              <w:ind w:firstLine="0" w:firstLineChars="0"/>
              <w:jc w:val="center"/>
              <w:rPr>
                <w:sz w:val="21"/>
                <w:szCs w:val="21"/>
              </w:rPr>
            </w:pPr>
            <w:r>
              <w:rPr>
                <w:sz w:val="21"/>
                <w:szCs w:val="21"/>
              </w:rPr>
              <w:t>非正常排放原因</w:t>
            </w:r>
          </w:p>
        </w:tc>
        <w:tc>
          <w:tcPr>
            <w:tcW w:w="819" w:type="pct"/>
            <w:vAlign w:val="center"/>
          </w:tcPr>
          <w:p w14:paraId="34C93750">
            <w:pPr>
              <w:pStyle w:val="1737"/>
              <w:adjustRightInd w:val="0"/>
              <w:snapToGrid w:val="0"/>
              <w:spacing w:line="240" w:lineRule="auto"/>
              <w:ind w:firstLine="0" w:firstLineChars="0"/>
              <w:jc w:val="center"/>
              <w:rPr>
                <w:sz w:val="21"/>
                <w:szCs w:val="21"/>
              </w:rPr>
            </w:pPr>
            <w:r>
              <w:rPr>
                <w:sz w:val="21"/>
                <w:szCs w:val="21"/>
              </w:rPr>
              <w:t>污染物</w:t>
            </w:r>
          </w:p>
        </w:tc>
        <w:tc>
          <w:tcPr>
            <w:tcW w:w="831" w:type="pct"/>
            <w:vAlign w:val="center"/>
          </w:tcPr>
          <w:p w14:paraId="265BB85A">
            <w:pPr>
              <w:pStyle w:val="1737"/>
              <w:adjustRightInd w:val="0"/>
              <w:snapToGrid w:val="0"/>
              <w:spacing w:line="240" w:lineRule="auto"/>
              <w:ind w:firstLine="0" w:firstLineChars="0"/>
              <w:jc w:val="center"/>
              <w:rPr>
                <w:sz w:val="21"/>
                <w:szCs w:val="21"/>
              </w:rPr>
            </w:pPr>
            <w:r>
              <w:rPr>
                <w:sz w:val="21"/>
                <w:szCs w:val="21"/>
              </w:rPr>
              <w:t>非正常排放浓度（mg/L）</w:t>
            </w:r>
          </w:p>
        </w:tc>
        <w:tc>
          <w:tcPr>
            <w:tcW w:w="696" w:type="pct"/>
            <w:vAlign w:val="center"/>
          </w:tcPr>
          <w:p w14:paraId="27BC28B1">
            <w:pPr>
              <w:pStyle w:val="1737"/>
              <w:adjustRightInd w:val="0"/>
              <w:snapToGrid w:val="0"/>
              <w:spacing w:line="240" w:lineRule="auto"/>
              <w:ind w:firstLine="0" w:firstLineChars="0"/>
              <w:jc w:val="center"/>
              <w:rPr>
                <w:sz w:val="21"/>
                <w:szCs w:val="21"/>
              </w:rPr>
            </w:pPr>
            <w:r>
              <w:rPr>
                <w:sz w:val="21"/>
                <w:szCs w:val="21"/>
              </w:rPr>
              <w:t>非正常排放量（t/h）</w:t>
            </w:r>
          </w:p>
        </w:tc>
        <w:tc>
          <w:tcPr>
            <w:tcW w:w="540" w:type="pct"/>
            <w:vAlign w:val="center"/>
          </w:tcPr>
          <w:p w14:paraId="7871D987">
            <w:pPr>
              <w:pStyle w:val="1737"/>
              <w:adjustRightInd w:val="0"/>
              <w:snapToGrid w:val="0"/>
              <w:spacing w:line="240" w:lineRule="auto"/>
              <w:ind w:firstLine="0" w:firstLineChars="0"/>
              <w:jc w:val="center"/>
              <w:rPr>
                <w:sz w:val="21"/>
                <w:szCs w:val="21"/>
              </w:rPr>
            </w:pPr>
            <w:r>
              <w:rPr>
                <w:sz w:val="21"/>
                <w:szCs w:val="21"/>
              </w:rPr>
              <w:t>单次持续时间/h</w:t>
            </w:r>
          </w:p>
        </w:tc>
        <w:tc>
          <w:tcPr>
            <w:tcW w:w="529" w:type="pct"/>
            <w:vAlign w:val="center"/>
          </w:tcPr>
          <w:p w14:paraId="42B2F7F8">
            <w:pPr>
              <w:pStyle w:val="1737"/>
              <w:adjustRightInd w:val="0"/>
              <w:snapToGrid w:val="0"/>
              <w:spacing w:line="240" w:lineRule="auto"/>
              <w:ind w:firstLine="0" w:firstLineChars="0"/>
              <w:jc w:val="center"/>
              <w:rPr>
                <w:sz w:val="21"/>
                <w:szCs w:val="21"/>
              </w:rPr>
            </w:pPr>
            <w:r>
              <w:rPr>
                <w:sz w:val="21"/>
                <w:szCs w:val="21"/>
              </w:rPr>
              <w:t>年发生频次/次</w:t>
            </w:r>
          </w:p>
        </w:tc>
      </w:tr>
      <w:tr w14:paraId="3055C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pct"/>
            <w:vMerge w:val="restart"/>
            <w:vAlign w:val="center"/>
          </w:tcPr>
          <w:p w14:paraId="3050ACA3">
            <w:pPr>
              <w:pStyle w:val="1737"/>
              <w:adjustRightInd w:val="0"/>
              <w:snapToGrid w:val="0"/>
              <w:spacing w:line="240" w:lineRule="auto"/>
              <w:ind w:firstLine="0" w:firstLineChars="0"/>
              <w:jc w:val="center"/>
              <w:rPr>
                <w:sz w:val="21"/>
                <w:szCs w:val="21"/>
              </w:rPr>
            </w:pPr>
            <w:r>
              <w:rPr>
                <w:sz w:val="21"/>
                <w:szCs w:val="21"/>
              </w:rPr>
              <w:t>生产废水</w:t>
            </w:r>
          </w:p>
        </w:tc>
        <w:tc>
          <w:tcPr>
            <w:tcW w:w="916" w:type="pct"/>
            <w:vMerge w:val="restart"/>
            <w:vAlign w:val="center"/>
          </w:tcPr>
          <w:p w14:paraId="21FBAD07">
            <w:pPr>
              <w:pStyle w:val="1737"/>
              <w:adjustRightInd w:val="0"/>
              <w:snapToGrid w:val="0"/>
              <w:spacing w:line="240" w:lineRule="auto"/>
              <w:ind w:firstLine="0" w:firstLineChars="0"/>
              <w:jc w:val="center"/>
              <w:rPr>
                <w:sz w:val="21"/>
                <w:szCs w:val="21"/>
              </w:rPr>
            </w:pPr>
            <w:r>
              <w:rPr>
                <w:sz w:val="21"/>
                <w:szCs w:val="21"/>
              </w:rPr>
              <w:t>污水处理站出现故障，MVR母液直接排放</w:t>
            </w:r>
          </w:p>
        </w:tc>
        <w:tc>
          <w:tcPr>
            <w:tcW w:w="819" w:type="pct"/>
            <w:vAlign w:val="center"/>
          </w:tcPr>
          <w:p w14:paraId="4F29A7C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COD</w:t>
            </w:r>
          </w:p>
        </w:tc>
        <w:tc>
          <w:tcPr>
            <w:tcW w:w="831" w:type="pct"/>
            <w:vAlign w:val="center"/>
          </w:tcPr>
          <w:p w14:paraId="0C166D04">
            <w:pPr>
              <w:adjustRightInd w:val="0"/>
              <w:snapToGrid w:val="0"/>
              <w:jc w:val="center"/>
              <w:rPr>
                <w:rFonts w:ascii="Arial" w:hAnsi="Arial" w:eastAsia="宋体" w:cs="Arial"/>
                <w:sz w:val="21"/>
                <w:szCs w:val="21"/>
              </w:rPr>
            </w:pPr>
            <w:r>
              <w:rPr>
                <w:rFonts w:ascii="Arial" w:hAnsi="Arial" w:eastAsia="宋体" w:cs="Arial"/>
                <w:sz w:val="21"/>
                <w:szCs w:val="21"/>
              </w:rPr>
              <w:t>332</w:t>
            </w:r>
          </w:p>
        </w:tc>
        <w:tc>
          <w:tcPr>
            <w:tcW w:w="696" w:type="pct"/>
            <w:vMerge w:val="restart"/>
            <w:vAlign w:val="center"/>
          </w:tcPr>
          <w:p w14:paraId="5360DF42">
            <w:pPr>
              <w:adjustRightInd w:val="0"/>
              <w:snapToGrid w:val="0"/>
              <w:jc w:val="center"/>
              <w:rPr>
                <w:rFonts w:ascii="Arial" w:hAnsi="Arial" w:eastAsia="宋体" w:cs="Arial"/>
                <w:sz w:val="21"/>
                <w:szCs w:val="21"/>
              </w:rPr>
            </w:pPr>
            <w:r>
              <w:rPr>
                <w:rFonts w:ascii="Arial" w:hAnsi="Arial" w:eastAsia="宋体" w:cs="Arial"/>
                <w:sz w:val="21"/>
                <w:szCs w:val="21"/>
              </w:rPr>
              <w:t>6.67</w:t>
            </w:r>
          </w:p>
        </w:tc>
        <w:tc>
          <w:tcPr>
            <w:tcW w:w="540" w:type="pct"/>
            <w:vMerge w:val="restart"/>
            <w:vAlign w:val="center"/>
          </w:tcPr>
          <w:p w14:paraId="4661D8A5">
            <w:pPr>
              <w:pStyle w:val="1737"/>
              <w:adjustRightInd w:val="0"/>
              <w:snapToGrid w:val="0"/>
              <w:spacing w:line="240" w:lineRule="auto"/>
              <w:ind w:firstLine="0" w:firstLineChars="0"/>
              <w:jc w:val="center"/>
              <w:rPr>
                <w:sz w:val="21"/>
                <w:szCs w:val="21"/>
              </w:rPr>
            </w:pPr>
            <w:r>
              <w:rPr>
                <w:sz w:val="21"/>
                <w:szCs w:val="21"/>
              </w:rPr>
              <w:t>2</w:t>
            </w:r>
          </w:p>
        </w:tc>
        <w:tc>
          <w:tcPr>
            <w:tcW w:w="529" w:type="pct"/>
            <w:vMerge w:val="restart"/>
            <w:vAlign w:val="center"/>
          </w:tcPr>
          <w:p w14:paraId="32C0FA79">
            <w:pPr>
              <w:pStyle w:val="1737"/>
              <w:adjustRightInd w:val="0"/>
              <w:snapToGrid w:val="0"/>
              <w:spacing w:line="240" w:lineRule="auto"/>
              <w:ind w:firstLine="0" w:firstLineChars="0"/>
              <w:jc w:val="center"/>
              <w:rPr>
                <w:sz w:val="21"/>
                <w:szCs w:val="21"/>
              </w:rPr>
            </w:pPr>
            <w:r>
              <w:rPr>
                <w:sz w:val="21"/>
                <w:szCs w:val="21"/>
              </w:rPr>
              <w:t>1</w:t>
            </w:r>
          </w:p>
        </w:tc>
      </w:tr>
      <w:tr w14:paraId="19A25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pct"/>
            <w:vMerge w:val="continue"/>
            <w:vAlign w:val="center"/>
          </w:tcPr>
          <w:p w14:paraId="65C7E829">
            <w:pPr>
              <w:pStyle w:val="1737"/>
              <w:adjustRightInd w:val="0"/>
              <w:snapToGrid w:val="0"/>
              <w:spacing w:line="240" w:lineRule="auto"/>
              <w:ind w:firstLine="0" w:firstLineChars="0"/>
              <w:jc w:val="center"/>
              <w:rPr>
                <w:sz w:val="21"/>
                <w:szCs w:val="21"/>
              </w:rPr>
            </w:pPr>
          </w:p>
        </w:tc>
        <w:tc>
          <w:tcPr>
            <w:tcW w:w="916" w:type="pct"/>
            <w:vMerge w:val="continue"/>
            <w:vAlign w:val="center"/>
          </w:tcPr>
          <w:p w14:paraId="412257AB">
            <w:pPr>
              <w:pStyle w:val="1737"/>
              <w:adjustRightInd w:val="0"/>
              <w:snapToGrid w:val="0"/>
              <w:spacing w:line="240" w:lineRule="auto"/>
              <w:ind w:firstLine="0" w:firstLineChars="0"/>
              <w:jc w:val="center"/>
              <w:rPr>
                <w:sz w:val="21"/>
                <w:szCs w:val="21"/>
              </w:rPr>
            </w:pPr>
          </w:p>
        </w:tc>
        <w:tc>
          <w:tcPr>
            <w:tcW w:w="819" w:type="pct"/>
            <w:vAlign w:val="center"/>
          </w:tcPr>
          <w:p w14:paraId="5D8A0EB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氨氮</w:t>
            </w:r>
          </w:p>
        </w:tc>
        <w:tc>
          <w:tcPr>
            <w:tcW w:w="831" w:type="pct"/>
            <w:vAlign w:val="center"/>
          </w:tcPr>
          <w:p w14:paraId="14645DC7">
            <w:pPr>
              <w:adjustRightInd w:val="0"/>
              <w:snapToGrid w:val="0"/>
              <w:jc w:val="center"/>
              <w:rPr>
                <w:rFonts w:ascii="Arial" w:hAnsi="Arial" w:eastAsia="宋体" w:cs="Arial"/>
                <w:kern w:val="0"/>
                <w:sz w:val="21"/>
              </w:rPr>
            </w:pPr>
            <w:r>
              <w:rPr>
                <w:rFonts w:ascii="Arial" w:hAnsi="Arial" w:eastAsia="宋体" w:cs="Arial"/>
                <w:kern w:val="0"/>
                <w:sz w:val="21"/>
              </w:rPr>
              <w:t>52</w:t>
            </w:r>
          </w:p>
        </w:tc>
        <w:tc>
          <w:tcPr>
            <w:tcW w:w="696" w:type="pct"/>
            <w:vMerge w:val="continue"/>
            <w:vAlign w:val="center"/>
          </w:tcPr>
          <w:p w14:paraId="696E4B18">
            <w:pPr>
              <w:adjustRightInd w:val="0"/>
              <w:snapToGrid w:val="0"/>
              <w:jc w:val="center"/>
              <w:rPr>
                <w:rFonts w:ascii="Arial" w:hAnsi="Arial" w:eastAsia="宋体" w:cs="Arial"/>
                <w:sz w:val="21"/>
                <w:szCs w:val="21"/>
              </w:rPr>
            </w:pPr>
          </w:p>
        </w:tc>
        <w:tc>
          <w:tcPr>
            <w:tcW w:w="540" w:type="pct"/>
            <w:vMerge w:val="continue"/>
            <w:vAlign w:val="center"/>
          </w:tcPr>
          <w:p w14:paraId="4743D393">
            <w:pPr>
              <w:pStyle w:val="1737"/>
              <w:adjustRightInd w:val="0"/>
              <w:snapToGrid w:val="0"/>
              <w:spacing w:line="240" w:lineRule="auto"/>
              <w:ind w:firstLine="0" w:firstLineChars="0"/>
              <w:jc w:val="center"/>
              <w:rPr>
                <w:sz w:val="21"/>
                <w:szCs w:val="21"/>
              </w:rPr>
            </w:pPr>
          </w:p>
        </w:tc>
        <w:tc>
          <w:tcPr>
            <w:tcW w:w="529" w:type="pct"/>
            <w:vMerge w:val="continue"/>
            <w:vAlign w:val="center"/>
          </w:tcPr>
          <w:p w14:paraId="101891E9">
            <w:pPr>
              <w:pStyle w:val="1737"/>
              <w:adjustRightInd w:val="0"/>
              <w:snapToGrid w:val="0"/>
              <w:spacing w:line="240" w:lineRule="auto"/>
              <w:ind w:firstLine="0" w:firstLineChars="0"/>
              <w:jc w:val="center"/>
              <w:rPr>
                <w:sz w:val="21"/>
                <w:szCs w:val="21"/>
              </w:rPr>
            </w:pPr>
          </w:p>
        </w:tc>
      </w:tr>
      <w:tr w14:paraId="07360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pct"/>
            <w:vMerge w:val="continue"/>
            <w:vAlign w:val="center"/>
          </w:tcPr>
          <w:p w14:paraId="036AA774">
            <w:pPr>
              <w:pStyle w:val="1737"/>
              <w:adjustRightInd w:val="0"/>
              <w:snapToGrid w:val="0"/>
              <w:spacing w:line="240" w:lineRule="auto"/>
              <w:ind w:firstLine="0" w:firstLineChars="0"/>
              <w:jc w:val="center"/>
              <w:rPr>
                <w:sz w:val="21"/>
                <w:szCs w:val="21"/>
              </w:rPr>
            </w:pPr>
          </w:p>
        </w:tc>
        <w:tc>
          <w:tcPr>
            <w:tcW w:w="916" w:type="pct"/>
            <w:vMerge w:val="continue"/>
            <w:vAlign w:val="center"/>
          </w:tcPr>
          <w:p w14:paraId="2DA6BEF8">
            <w:pPr>
              <w:pStyle w:val="1737"/>
              <w:adjustRightInd w:val="0"/>
              <w:snapToGrid w:val="0"/>
              <w:spacing w:line="240" w:lineRule="auto"/>
              <w:ind w:firstLine="0" w:firstLineChars="0"/>
              <w:jc w:val="center"/>
              <w:rPr>
                <w:sz w:val="21"/>
                <w:szCs w:val="21"/>
              </w:rPr>
            </w:pPr>
          </w:p>
        </w:tc>
        <w:tc>
          <w:tcPr>
            <w:tcW w:w="819" w:type="pct"/>
            <w:vAlign w:val="center"/>
          </w:tcPr>
          <w:p w14:paraId="70F901E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硫酸盐</w:t>
            </w:r>
          </w:p>
        </w:tc>
        <w:tc>
          <w:tcPr>
            <w:tcW w:w="831" w:type="pct"/>
            <w:vAlign w:val="center"/>
          </w:tcPr>
          <w:p w14:paraId="1BCB5556">
            <w:pPr>
              <w:pStyle w:val="5"/>
              <w:adjustRightInd w:val="0"/>
              <w:snapToGrid w:val="0"/>
              <w:spacing w:line="240" w:lineRule="auto"/>
              <w:ind w:firstLine="0"/>
              <w:jc w:val="center"/>
              <w:rPr>
                <w:sz w:val="21"/>
                <w:szCs w:val="21"/>
              </w:rPr>
            </w:pPr>
            <w:r>
              <w:rPr>
                <w:rFonts w:hint="eastAsia"/>
                <w:sz w:val="21"/>
                <w:szCs w:val="21"/>
              </w:rPr>
              <w:t>18360</w:t>
            </w:r>
          </w:p>
        </w:tc>
        <w:tc>
          <w:tcPr>
            <w:tcW w:w="696" w:type="pct"/>
            <w:vMerge w:val="continue"/>
            <w:vAlign w:val="center"/>
          </w:tcPr>
          <w:p w14:paraId="62958A4C">
            <w:pPr>
              <w:pStyle w:val="5"/>
              <w:adjustRightInd w:val="0"/>
              <w:snapToGrid w:val="0"/>
              <w:spacing w:line="240" w:lineRule="auto"/>
              <w:ind w:firstLine="0"/>
              <w:jc w:val="center"/>
              <w:rPr>
                <w:sz w:val="21"/>
                <w:szCs w:val="21"/>
              </w:rPr>
            </w:pPr>
          </w:p>
        </w:tc>
        <w:tc>
          <w:tcPr>
            <w:tcW w:w="540" w:type="pct"/>
            <w:vMerge w:val="continue"/>
            <w:vAlign w:val="center"/>
          </w:tcPr>
          <w:p w14:paraId="1DE77F72">
            <w:pPr>
              <w:pStyle w:val="1737"/>
              <w:adjustRightInd w:val="0"/>
              <w:snapToGrid w:val="0"/>
              <w:spacing w:line="240" w:lineRule="auto"/>
              <w:ind w:firstLine="0" w:firstLineChars="0"/>
              <w:jc w:val="center"/>
              <w:rPr>
                <w:sz w:val="21"/>
                <w:szCs w:val="21"/>
              </w:rPr>
            </w:pPr>
          </w:p>
        </w:tc>
        <w:tc>
          <w:tcPr>
            <w:tcW w:w="529" w:type="pct"/>
            <w:vMerge w:val="continue"/>
            <w:vAlign w:val="center"/>
          </w:tcPr>
          <w:p w14:paraId="5510F93A">
            <w:pPr>
              <w:pStyle w:val="1737"/>
              <w:adjustRightInd w:val="0"/>
              <w:snapToGrid w:val="0"/>
              <w:spacing w:line="240" w:lineRule="auto"/>
              <w:ind w:firstLine="0" w:firstLineChars="0"/>
              <w:jc w:val="center"/>
              <w:rPr>
                <w:sz w:val="21"/>
                <w:szCs w:val="21"/>
              </w:rPr>
            </w:pPr>
          </w:p>
        </w:tc>
      </w:tr>
    </w:tbl>
    <w:p w14:paraId="3E56B76E">
      <w:pPr>
        <w:pStyle w:val="4"/>
        <w:numPr>
          <w:ilvl w:val="1"/>
          <w:numId w:val="11"/>
        </w:numPr>
        <w:tabs>
          <w:tab w:val="left" w:pos="3217"/>
        </w:tabs>
        <w:spacing w:before="214" w:beforeLines="50" w:after="214" w:afterLines="50" w:line="500" w:lineRule="exact"/>
        <w:ind w:left="567"/>
        <w:rPr>
          <w:rFonts w:ascii="Arial" w:eastAsia="宋体" w:cs="Arial"/>
          <w:b/>
        </w:rPr>
      </w:pPr>
      <w:bookmarkStart w:id="264" w:name="_Toc185950218"/>
      <w:bookmarkStart w:id="265" w:name="_Toc104677268"/>
      <w:r>
        <w:rPr>
          <w:rFonts w:ascii="Arial" w:eastAsia="宋体" w:cs="Arial"/>
          <w:b/>
        </w:rPr>
        <w:t>变更工程污染因素及污染源强汇总</w:t>
      </w:r>
      <w:bookmarkEnd w:id="264"/>
      <w:bookmarkEnd w:id="265"/>
    </w:p>
    <w:p w14:paraId="1FC7BB26">
      <w:pPr>
        <w:pStyle w:val="6"/>
        <w:numPr>
          <w:ilvl w:val="2"/>
          <w:numId w:val="11"/>
        </w:numPr>
        <w:tabs>
          <w:tab w:val="left" w:pos="1080"/>
        </w:tabs>
        <w:spacing w:line="400" w:lineRule="exact"/>
        <w:rPr>
          <w:rFonts w:ascii="Arial" w:hAnsi="Arial" w:eastAsia="宋体" w:cs="Arial"/>
        </w:rPr>
      </w:pPr>
      <w:bookmarkStart w:id="266" w:name="_Toc104677269"/>
      <w:r>
        <w:rPr>
          <w:rFonts w:ascii="Arial" w:hAnsi="Arial" w:eastAsia="宋体" w:cs="Arial"/>
        </w:rPr>
        <w:t>污染因素汇总</w:t>
      </w:r>
      <w:bookmarkEnd w:id="266"/>
    </w:p>
    <w:p w14:paraId="4C635F85">
      <w:pPr>
        <w:pStyle w:val="5"/>
        <w:spacing w:line="500" w:lineRule="exact"/>
        <w:ind w:firstLine="490" w:firstLineChars="200"/>
      </w:pPr>
      <w:r>
        <w:t>变更工程污染因素汇总见表2-</w:t>
      </w:r>
      <w:r>
        <w:rPr>
          <w:rFonts w:hint="eastAsia"/>
        </w:rPr>
        <w:t>61</w:t>
      </w:r>
      <w:r>
        <w:t>。</w:t>
      </w:r>
    </w:p>
    <w:p w14:paraId="1B544C6F">
      <w:pPr>
        <w:pStyle w:val="5"/>
        <w:keepNext/>
        <w:numPr>
          <w:ilvl w:val="0"/>
          <w:numId w:val="12"/>
        </w:numPr>
        <w:spacing w:line="480" w:lineRule="exact"/>
        <w:ind w:left="0" w:firstLine="0"/>
        <w:jc w:val="center"/>
        <w:outlineLvl w:val="4"/>
        <w:rPr>
          <w:b/>
        </w:rPr>
      </w:pPr>
      <w:r>
        <w:rPr>
          <w:b/>
        </w:rPr>
        <w:t>项目污染因素表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801"/>
        <w:gridCol w:w="1893"/>
        <w:gridCol w:w="2838"/>
        <w:gridCol w:w="3045"/>
      </w:tblGrid>
      <w:tr w14:paraId="6C47A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shd w:val="clear" w:color="auto" w:fill="auto"/>
            <w:vAlign w:val="center"/>
          </w:tcPr>
          <w:p w14:paraId="0C04ED02">
            <w:pPr>
              <w:pStyle w:val="5"/>
              <w:adjustRightInd w:val="0"/>
              <w:snapToGrid w:val="0"/>
              <w:spacing w:line="240" w:lineRule="auto"/>
              <w:ind w:firstLine="0"/>
              <w:jc w:val="center"/>
              <w:rPr>
                <w:sz w:val="21"/>
                <w:szCs w:val="21"/>
              </w:rPr>
            </w:pPr>
            <w:bookmarkStart w:id="267" w:name="_Toc104677270"/>
            <w:r>
              <w:rPr>
                <w:sz w:val="21"/>
                <w:szCs w:val="21"/>
              </w:rPr>
              <w:t>类别</w:t>
            </w:r>
          </w:p>
        </w:tc>
        <w:tc>
          <w:tcPr>
            <w:tcW w:w="431" w:type="pct"/>
            <w:shd w:val="clear" w:color="auto" w:fill="auto"/>
            <w:vAlign w:val="center"/>
          </w:tcPr>
          <w:p w14:paraId="34051F6C">
            <w:pPr>
              <w:pStyle w:val="5"/>
              <w:adjustRightInd w:val="0"/>
              <w:snapToGrid w:val="0"/>
              <w:spacing w:line="240" w:lineRule="auto"/>
              <w:ind w:firstLine="0"/>
              <w:jc w:val="center"/>
              <w:rPr>
                <w:sz w:val="21"/>
                <w:szCs w:val="21"/>
              </w:rPr>
            </w:pPr>
            <w:r>
              <w:rPr>
                <w:sz w:val="21"/>
                <w:szCs w:val="21"/>
              </w:rPr>
              <w:t>序号</w:t>
            </w:r>
          </w:p>
        </w:tc>
        <w:tc>
          <w:tcPr>
            <w:tcW w:w="1019" w:type="pct"/>
            <w:shd w:val="clear" w:color="auto" w:fill="auto"/>
            <w:vAlign w:val="center"/>
          </w:tcPr>
          <w:p w14:paraId="439346D4">
            <w:pPr>
              <w:pStyle w:val="5"/>
              <w:adjustRightInd w:val="0"/>
              <w:snapToGrid w:val="0"/>
              <w:spacing w:line="240" w:lineRule="auto"/>
              <w:ind w:firstLine="0"/>
              <w:jc w:val="center"/>
              <w:rPr>
                <w:sz w:val="21"/>
                <w:szCs w:val="21"/>
              </w:rPr>
            </w:pPr>
            <w:r>
              <w:rPr>
                <w:sz w:val="21"/>
                <w:szCs w:val="21"/>
              </w:rPr>
              <w:t>名称</w:t>
            </w:r>
          </w:p>
        </w:tc>
        <w:tc>
          <w:tcPr>
            <w:tcW w:w="1528" w:type="pct"/>
            <w:shd w:val="clear" w:color="auto" w:fill="auto"/>
            <w:vAlign w:val="center"/>
          </w:tcPr>
          <w:p w14:paraId="04110FA2">
            <w:pPr>
              <w:pStyle w:val="5"/>
              <w:adjustRightInd w:val="0"/>
              <w:snapToGrid w:val="0"/>
              <w:spacing w:line="240" w:lineRule="auto"/>
              <w:ind w:firstLine="0"/>
              <w:jc w:val="center"/>
              <w:rPr>
                <w:sz w:val="21"/>
                <w:szCs w:val="21"/>
              </w:rPr>
            </w:pPr>
            <w:r>
              <w:rPr>
                <w:sz w:val="21"/>
                <w:szCs w:val="21"/>
              </w:rPr>
              <w:t>产生环节、装置</w:t>
            </w:r>
          </w:p>
        </w:tc>
        <w:tc>
          <w:tcPr>
            <w:tcW w:w="1639" w:type="pct"/>
            <w:shd w:val="clear" w:color="auto" w:fill="auto"/>
            <w:vAlign w:val="center"/>
          </w:tcPr>
          <w:p w14:paraId="1D915A73">
            <w:pPr>
              <w:pStyle w:val="5"/>
              <w:adjustRightInd w:val="0"/>
              <w:snapToGrid w:val="0"/>
              <w:spacing w:line="240" w:lineRule="auto"/>
              <w:ind w:firstLine="0"/>
              <w:jc w:val="center"/>
              <w:rPr>
                <w:sz w:val="21"/>
                <w:szCs w:val="21"/>
              </w:rPr>
            </w:pPr>
            <w:r>
              <w:rPr>
                <w:sz w:val="21"/>
                <w:szCs w:val="21"/>
              </w:rPr>
              <w:t>主要污染因子</w:t>
            </w:r>
          </w:p>
        </w:tc>
      </w:tr>
      <w:tr w14:paraId="68D08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restart"/>
            <w:shd w:val="clear" w:color="auto" w:fill="auto"/>
            <w:vAlign w:val="center"/>
          </w:tcPr>
          <w:p w14:paraId="13162B62">
            <w:pPr>
              <w:pStyle w:val="5"/>
              <w:adjustRightInd w:val="0"/>
              <w:snapToGrid w:val="0"/>
              <w:spacing w:line="240" w:lineRule="auto"/>
              <w:ind w:firstLine="0"/>
              <w:jc w:val="center"/>
              <w:rPr>
                <w:sz w:val="21"/>
                <w:szCs w:val="21"/>
              </w:rPr>
            </w:pPr>
            <w:r>
              <w:rPr>
                <w:sz w:val="21"/>
                <w:szCs w:val="21"/>
              </w:rPr>
              <w:t>废气</w:t>
            </w:r>
          </w:p>
        </w:tc>
        <w:tc>
          <w:tcPr>
            <w:tcW w:w="431" w:type="pct"/>
            <w:shd w:val="clear" w:color="auto" w:fill="auto"/>
            <w:vAlign w:val="center"/>
          </w:tcPr>
          <w:p w14:paraId="548B0B38">
            <w:pPr>
              <w:pStyle w:val="5"/>
              <w:adjustRightInd w:val="0"/>
              <w:snapToGrid w:val="0"/>
              <w:spacing w:line="240" w:lineRule="auto"/>
              <w:ind w:firstLine="0"/>
              <w:jc w:val="center"/>
              <w:rPr>
                <w:sz w:val="21"/>
                <w:szCs w:val="21"/>
              </w:rPr>
            </w:pPr>
            <w:r>
              <w:rPr>
                <w:sz w:val="21"/>
                <w:szCs w:val="21"/>
              </w:rPr>
              <w:t>G1-1</w:t>
            </w:r>
          </w:p>
        </w:tc>
        <w:tc>
          <w:tcPr>
            <w:tcW w:w="1019" w:type="pct"/>
            <w:shd w:val="clear" w:color="auto" w:fill="auto"/>
            <w:vAlign w:val="center"/>
          </w:tcPr>
          <w:p w14:paraId="753A3B28">
            <w:pPr>
              <w:pStyle w:val="5"/>
              <w:adjustRightInd w:val="0"/>
              <w:snapToGrid w:val="0"/>
              <w:spacing w:line="240" w:lineRule="auto"/>
              <w:ind w:firstLine="0"/>
              <w:jc w:val="center"/>
              <w:rPr>
                <w:sz w:val="21"/>
                <w:szCs w:val="21"/>
              </w:rPr>
            </w:pPr>
            <w:r>
              <w:rPr>
                <w:sz w:val="21"/>
                <w:szCs w:val="21"/>
              </w:rPr>
              <w:t>合成反应废气</w:t>
            </w:r>
          </w:p>
        </w:tc>
        <w:tc>
          <w:tcPr>
            <w:tcW w:w="1528" w:type="pct"/>
            <w:shd w:val="clear" w:color="auto" w:fill="auto"/>
            <w:vAlign w:val="center"/>
          </w:tcPr>
          <w:p w14:paraId="55FC693D">
            <w:pPr>
              <w:pStyle w:val="5"/>
              <w:adjustRightInd w:val="0"/>
              <w:snapToGrid w:val="0"/>
              <w:spacing w:line="240" w:lineRule="auto"/>
              <w:ind w:firstLine="0"/>
              <w:jc w:val="center"/>
              <w:rPr>
                <w:sz w:val="21"/>
                <w:szCs w:val="21"/>
              </w:rPr>
            </w:pPr>
            <w:r>
              <w:rPr>
                <w:sz w:val="21"/>
                <w:szCs w:val="21"/>
              </w:rPr>
              <w:t>反应釜</w:t>
            </w:r>
          </w:p>
        </w:tc>
        <w:tc>
          <w:tcPr>
            <w:tcW w:w="1639" w:type="pct"/>
            <w:shd w:val="clear" w:color="auto" w:fill="auto"/>
            <w:vAlign w:val="center"/>
          </w:tcPr>
          <w:p w14:paraId="4F5E1ECD">
            <w:pPr>
              <w:pStyle w:val="5"/>
              <w:adjustRightInd w:val="0"/>
              <w:snapToGrid w:val="0"/>
              <w:spacing w:line="240" w:lineRule="auto"/>
              <w:ind w:firstLine="0"/>
              <w:jc w:val="center"/>
              <w:rPr>
                <w:sz w:val="21"/>
                <w:szCs w:val="21"/>
              </w:rPr>
            </w:pPr>
            <w:r>
              <w:rPr>
                <w:sz w:val="21"/>
                <w:szCs w:val="21"/>
              </w:rPr>
              <w:t>氨气</w:t>
            </w:r>
          </w:p>
        </w:tc>
      </w:tr>
      <w:tr w14:paraId="7E083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242DDE00">
            <w:pPr>
              <w:pStyle w:val="5"/>
              <w:adjustRightInd w:val="0"/>
              <w:snapToGrid w:val="0"/>
              <w:spacing w:line="240" w:lineRule="auto"/>
              <w:ind w:firstLine="0"/>
              <w:jc w:val="center"/>
              <w:rPr>
                <w:sz w:val="21"/>
                <w:szCs w:val="21"/>
              </w:rPr>
            </w:pPr>
          </w:p>
        </w:tc>
        <w:tc>
          <w:tcPr>
            <w:tcW w:w="431" w:type="pct"/>
            <w:shd w:val="clear" w:color="auto" w:fill="auto"/>
            <w:vAlign w:val="center"/>
          </w:tcPr>
          <w:p w14:paraId="0EAA5F40">
            <w:pPr>
              <w:pStyle w:val="5"/>
              <w:adjustRightInd w:val="0"/>
              <w:snapToGrid w:val="0"/>
              <w:spacing w:line="240" w:lineRule="auto"/>
              <w:ind w:firstLine="0"/>
              <w:jc w:val="center"/>
              <w:rPr>
                <w:sz w:val="21"/>
                <w:szCs w:val="21"/>
              </w:rPr>
            </w:pPr>
            <w:r>
              <w:rPr>
                <w:sz w:val="21"/>
                <w:szCs w:val="21"/>
              </w:rPr>
              <w:t>G1-2</w:t>
            </w:r>
          </w:p>
        </w:tc>
        <w:tc>
          <w:tcPr>
            <w:tcW w:w="1019" w:type="pct"/>
            <w:shd w:val="clear" w:color="auto" w:fill="auto"/>
            <w:vAlign w:val="center"/>
          </w:tcPr>
          <w:p w14:paraId="3914C509">
            <w:pPr>
              <w:pStyle w:val="5"/>
              <w:adjustRightInd w:val="0"/>
              <w:snapToGrid w:val="0"/>
              <w:spacing w:line="240" w:lineRule="auto"/>
              <w:ind w:firstLine="0"/>
              <w:jc w:val="center"/>
              <w:rPr>
                <w:sz w:val="21"/>
                <w:szCs w:val="21"/>
              </w:rPr>
            </w:pPr>
            <w:r>
              <w:rPr>
                <w:sz w:val="21"/>
                <w:szCs w:val="21"/>
              </w:rPr>
              <w:t>压滤废气</w:t>
            </w:r>
          </w:p>
        </w:tc>
        <w:tc>
          <w:tcPr>
            <w:tcW w:w="1528" w:type="pct"/>
            <w:shd w:val="clear" w:color="auto" w:fill="auto"/>
            <w:vAlign w:val="center"/>
          </w:tcPr>
          <w:p w14:paraId="6CD7B93E">
            <w:pPr>
              <w:pStyle w:val="5"/>
              <w:adjustRightInd w:val="0"/>
              <w:snapToGrid w:val="0"/>
              <w:spacing w:line="240" w:lineRule="auto"/>
              <w:ind w:firstLine="0"/>
              <w:jc w:val="center"/>
              <w:rPr>
                <w:sz w:val="21"/>
                <w:szCs w:val="21"/>
              </w:rPr>
            </w:pPr>
            <w:r>
              <w:rPr>
                <w:sz w:val="21"/>
                <w:szCs w:val="21"/>
              </w:rPr>
              <w:t>压滤机</w:t>
            </w:r>
          </w:p>
        </w:tc>
        <w:tc>
          <w:tcPr>
            <w:tcW w:w="1639" w:type="pct"/>
            <w:shd w:val="clear" w:color="auto" w:fill="auto"/>
            <w:vAlign w:val="center"/>
          </w:tcPr>
          <w:p w14:paraId="2AEA6A99">
            <w:pPr>
              <w:pStyle w:val="5"/>
              <w:adjustRightInd w:val="0"/>
              <w:snapToGrid w:val="0"/>
              <w:spacing w:line="240" w:lineRule="auto"/>
              <w:ind w:firstLine="0"/>
              <w:jc w:val="center"/>
              <w:rPr>
                <w:sz w:val="21"/>
                <w:szCs w:val="21"/>
              </w:rPr>
            </w:pPr>
            <w:r>
              <w:rPr>
                <w:sz w:val="21"/>
                <w:szCs w:val="21"/>
              </w:rPr>
              <w:t>氨气</w:t>
            </w:r>
          </w:p>
        </w:tc>
      </w:tr>
      <w:tr w14:paraId="2F6A3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C77629E">
            <w:pPr>
              <w:pStyle w:val="5"/>
              <w:adjustRightInd w:val="0"/>
              <w:snapToGrid w:val="0"/>
              <w:spacing w:line="240" w:lineRule="auto"/>
              <w:ind w:firstLine="0"/>
              <w:jc w:val="center"/>
              <w:rPr>
                <w:sz w:val="21"/>
                <w:szCs w:val="21"/>
              </w:rPr>
            </w:pPr>
          </w:p>
        </w:tc>
        <w:tc>
          <w:tcPr>
            <w:tcW w:w="431" w:type="pct"/>
            <w:shd w:val="clear" w:color="auto" w:fill="auto"/>
            <w:vAlign w:val="center"/>
          </w:tcPr>
          <w:p w14:paraId="2B0F1AF2">
            <w:pPr>
              <w:pStyle w:val="5"/>
              <w:adjustRightInd w:val="0"/>
              <w:snapToGrid w:val="0"/>
              <w:spacing w:line="240" w:lineRule="auto"/>
              <w:ind w:firstLine="0"/>
              <w:jc w:val="center"/>
              <w:rPr>
                <w:sz w:val="21"/>
                <w:szCs w:val="21"/>
              </w:rPr>
            </w:pPr>
            <w:r>
              <w:rPr>
                <w:sz w:val="21"/>
                <w:szCs w:val="21"/>
              </w:rPr>
              <w:t>G1-3</w:t>
            </w:r>
          </w:p>
        </w:tc>
        <w:tc>
          <w:tcPr>
            <w:tcW w:w="1019" w:type="pct"/>
            <w:shd w:val="clear" w:color="auto" w:fill="auto"/>
            <w:vAlign w:val="center"/>
          </w:tcPr>
          <w:p w14:paraId="7D897DB1">
            <w:pPr>
              <w:pStyle w:val="5"/>
              <w:adjustRightInd w:val="0"/>
              <w:snapToGrid w:val="0"/>
              <w:spacing w:line="240" w:lineRule="auto"/>
              <w:ind w:firstLine="0"/>
              <w:jc w:val="center"/>
              <w:rPr>
                <w:sz w:val="21"/>
                <w:szCs w:val="21"/>
              </w:rPr>
            </w:pPr>
            <w:r>
              <w:rPr>
                <w:sz w:val="21"/>
                <w:szCs w:val="21"/>
              </w:rPr>
              <w:t>烘干粉尘</w:t>
            </w:r>
          </w:p>
        </w:tc>
        <w:tc>
          <w:tcPr>
            <w:tcW w:w="1528" w:type="pct"/>
            <w:shd w:val="clear" w:color="auto" w:fill="auto"/>
            <w:vAlign w:val="center"/>
          </w:tcPr>
          <w:p w14:paraId="1EA7EFF4">
            <w:pPr>
              <w:pStyle w:val="5"/>
              <w:adjustRightInd w:val="0"/>
              <w:snapToGrid w:val="0"/>
              <w:spacing w:line="240" w:lineRule="auto"/>
              <w:ind w:firstLine="0"/>
              <w:jc w:val="center"/>
              <w:rPr>
                <w:sz w:val="21"/>
                <w:szCs w:val="21"/>
              </w:rPr>
            </w:pPr>
            <w:r>
              <w:rPr>
                <w:sz w:val="21"/>
                <w:szCs w:val="21"/>
              </w:rPr>
              <w:t>烘箱</w:t>
            </w:r>
          </w:p>
        </w:tc>
        <w:tc>
          <w:tcPr>
            <w:tcW w:w="1639" w:type="pct"/>
            <w:shd w:val="clear" w:color="auto" w:fill="auto"/>
            <w:vAlign w:val="center"/>
          </w:tcPr>
          <w:p w14:paraId="2BAD38D6">
            <w:pPr>
              <w:pStyle w:val="5"/>
              <w:adjustRightInd w:val="0"/>
              <w:snapToGrid w:val="0"/>
              <w:spacing w:line="240" w:lineRule="auto"/>
              <w:ind w:firstLine="0"/>
              <w:jc w:val="center"/>
              <w:rPr>
                <w:sz w:val="21"/>
                <w:szCs w:val="21"/>
              </w:rPr>
            </w:pPr>
            <w:r>
              <w:rPr>
                <w:sz w:val="21"/>
                <w:szCs w:val="21"/>
              </w:rPr>
              <w:t>颗粒物、钴及其化合物</w:t>
            </w:r>
          </w:p>
        </w:tc>
      </w:tr>
      <w:tr w14:paraId="27D34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7F4FC3B">
            <w:pPr>
              <w:pStyle w:val="5"/>
              <w:adjustRightInd w:val="0"/>
              <w:snapToGrid w:val="0"/>
              <w:spacing w:line="240" w:lineRule="auto"/>
              <w:ind w:firstLine="0"/>
              <w:jc w:val="center"/>
              <w:rPr>
                <w:sz w:val="21"/>
                <w:szCs w:val="21"/>
              </w:rPr>
            </w:pPr>
          </w:p>
        </w:tc>
        <w:tc>
          <w:tcPr>
            <w:tcW w:w="431" w:type="pct"/>
            <w:shd w:val="clear" w:color="auto" w:fill="auto"/>
            <w:vAlign w:val="center"/>
          </w:tcPr>
          <w:p w14:paraId="2C7D1A6F">
            <w:pPr>
              <w:pStyle w:val="5"/>
              <w:adjustRightInd w:val="0"/>
              <w:snapToGrid w:val="0"/>
              <w:spacing w:line="240" w:lineRule="auto"/>
              <w:ind w:firstLine="0"/>
              <w:jc w:val="center"/>
              <w:rPr>
                <w:sz w:val="21"/>
                <w:szCs w:val="21"/>
              </w:rPr>
            </w:pPr>
            <w:r>
              <w:rPr>
                <w:sz w:val="21"/>
                <w:szCs w:val="21"/>
              </w:rPr>
              <w:t>G1-4</w:t>
            </w:r>
          </w:p>
        </w:tc>
        <w:tc>
          <w:tcPr>
            <w:tcW w:w="1019" w:type="pct"/>
            <w:shd w:val="clear" w:color="auto" w:fill="auto"/>
            <w:vAlign w:val="center"/>
          </w:tcPr>
          <w:p w14:paraId="566BD43D">
            <w:pPr>
              <w:pStyle w:val="5"/>
              <w:adjustRightInd w:val="0"/>
              <w:snapToGrid w:val="0"/>
              <w:spacing w:line="240" w:lineRule="auto"/>
              <w:ind w:firstLine="0"/>
              <w:jc w:val="center"/>
              <w:rPr>
                <w:sz w:val="21"/>
                <w:szCs w:val="21"/>
              </w:rPr>
            </w:pPr>
            <w:r>
              <w:rPr>
                <w:sz w:val="21"/>
                <w:szCs w:val="21"/>
              </w:rPr>
              <w:t>破碎粉尘</w:t>
            </w:r>
          </w:p>
        </w:tc>
        <w:tc>
          <w:tcPr>
            <w:tcW w:w="1528" w:type="pct"/>
            <w:shd w:val="clear" w:color="auto" w:fill="auto"/>
            <w:vAlign w:val="center"/>
          </w:tcPr>
          <w:p w14:paraId="01B9FFAE">
            <w:pPr>
              <w:pStyle w:val="5"/>
              <w:adjustRightInd w:val="0"/>
              <w:snapToGrid w:val="0"/>
              <w:spacing w:line="240" w:lineRule="auto"/>
              <w:ind w:firstLine="0"/>
              <w:jc w:val="center"/>
              <w:rPr>
                <w:sz w:val="21"/>
                <w:szCs w:val="21"/>
              </w:rPr>
            </w:pPr>
            <w:r>
              <w:rPr>
                <w:sz w:val="21"/>
                <w:szCs w:val="21"/>
              </w:rPr>
              <w:t>破碎间</w:t>
            </w:r>
          </w:p>
        </w:tc>
        <w:tc>
          <w:tcPr>
            <w:tcW w:w="1639" w:type="pct"/>
            <w:shd w:val="clear" w:color="auto" w:fill="auto"/>
            <w:vAlign w:val="center"/>
          </w:tcPr>
          <w:p w14:paraId="57926FAE">
            <w:pPr>
              <w:pStyle w:val="5"/>
              <w:adjustRightInd w:val="0"/>
              <w:snapToGrid w:val="0"/>
              <w:spacing w:line="240" w:lineRule="auto"/>
              <w:ind w:firstLine="0"/>
              <w:jc w:val="center"/>
              <w:rPr>
                <w:sz w:val="21"/>
                <w:szCs w:val="21"/>
              </w:rPr>
            </w:pPr>
            <w:r>
              <w:rPr>
                <w:sz w:val="21"/>
                <w:szCs w:val="21"/>
              </w:rPr>
              <w:t>颗粒物、钴及其化合物</w:t>
            </w:r>
          </w:p>
        </w:tc>
      </w:tr>
      <w:tr w14:paraId="0A64B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7021A651">
            <w:pPr>
              <w:pStyle w:val="5"/>
              <w:adjustRightInd w:val="0"/>
              <w:snapToGrid w:val="0"/>
              <w:spacing w:line="240" w:lineRule="auto"/>
              <w:ind w:firstLine="0"/>
              <w:jc w:val="center"/>
              <w:rPr>
                <w:sz w:val="21"/>
                <w:szCs w:val="21"/>
              </w:rPr>
            </w:pPr>
          </w:p>
        </w:tc>
        <w:tc>
          <w:tcPr>
            <w:tcW w:w="431" w:type="pct"/>
            <w:shd w:val="clear" w:color="auto" w:fill="auto"/>
            <w:vAlign w:val="center"/>
          </w:tcPr>
          <w:p w14:paraId="55F6548E">
            <w:pPr>
              <w:pStyle w:val="5"/>
              <w:adjustRightInd w:val="0"/>
              <w:snapToGrid w:val="0"/>
              <w:spacing w:line="240" w:lineRule="auto"/>
              <w:ind w:firstLine="0"/>
              <w:jc w:val="center"/>
              <w:rPr>
                <w:sz w:val="21"/>
                <w:szCs w:val="21"/>
              </w:rPr>
            </w:pPr>
            <w:r>
              <w:rPr>
                <w:sz w:val="21"/>
                <w:szCs w:val="21"/>
              </w:rPr>
              <w:t>G1-</w:t>
            </w:r>
            <w:r>
              <w:rPr>
                <w:rFonts w:hint="eastAsia"/>
                <w:sz w:val="21"/>
                <w:szCs w:val="21"/>
              </w:rPr>
              <w:t>5</w:t>
            </w:r>
          </w:p>
        </w:tc>
        <w:tc>
          <w:tcPr>
            <w:tcW w:w="1019" w:type="pct"/>
            <w:shd w:val="clear" w:color="auto" w:fill="auto"/>
            <w:vAlign w:val="center"/>
          </w:tcPr>
          <w:p w14:paraId="6616B169">
            <w:pPr>
              <w:pStyle w:val="5"/>
              <w:adjustRightInd w:val="0"/>
              <w:snapToGrid w:val="0"/>
              <w:spacing w:line="240" w:lineRule="auto"/>
              <w:ind w:firstLine="0"/>
              <w:jc w:val="center"/>
              <w:rPr>
                <w:sz w:val="21"/>
                <w:szCs w:val="21"/>
              </w:rPr>
            </w:pPr>
            <w:r>
              <w:rPr>
                <w:sz w:val="21"/>
                <w:szCs w:val="21"/>
              </w:rPr>
              <w:t>包装粉尘</w:t>
            </w:r>
          </w:p>
        </w:tc>
        <w:tc>
          <w:tcPr>
            <w:tcW w:w="1528" w:type="pct"/>
            <w:shd w:val="clear" w:color="auto" w:fill="auto"/>
            <w:vAlign w:val="center"/>
          </w:tcPr>
          <w:p w14:paraId="0FA10395">
            <w:pPr>
              <w:pStyle w:val="5"/>
              <w:adjustRightInd w:val="0"/>
              <w:snapToGrid w:val="0"/>
              <w:spacing w:line="240" w:lineRule="auto"/>
              <w:ind w:firstLine="0"/>
              <w:jc w:val="center"/>
              <w:rPr>
                <w:sz w:val="21"/>
                <w:szCs w:val="21"/>
              </w:rPr>
            </w:pPr>
            <w:r>
              <w:rPr>
                <w:sz w:val="21"/>
                <w:szCs w:val="21"/>
              </w:rPr>
              <w:t>包装间</w:t>
            </w:r>
          </w:p>
        </w:tc>
        <w:tc>
          <w:tcPr>
            <w:tcW w:w="1639" w:type="pct"/>
            <w:shd w:val="clear" w:color="auto" w:fill="auto"/>
            <w:vAlign w:val="center"/>
          </w:tcPr>
          <w:p w14:paraId="2F1316F7">
            <w:pPr>
              <w:pStyle w:val="5"/>
              <w:adjustRightInd w:val="0"/>
              <w:snapToGrid w:val="0"/>
              <w:spacing w:line="240" w:lineRule="auto"/>
              <w:ind w:firstLine="0"/>
              <w:jc w:val="center"/>
              <w:rPr>
                <w:sz w:val="21"/>
                <w:szCs w:val="21"/>
              </w:rPr>
            </w:pPr>
            <w:r>
              <w:rPr>
                <w:sz w:val="21"/>
                <w:szCs w:val="21"/>
              </w:rPr>
              <w:t>颗粒物、钴及其化合物</w:t>
            </w:r>
          </w:p>
        </w:tc>
      </w:tr>
      <w:tr w14:paraId="55349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5606D2B9">
            <w:pPr>
              <w:pStyle w:val="5"/>
              <w:adjustRightInd w:val="0"/>
              <w:snapToGrid w:val="0"/>
              <w:spacing w:line="240" w:lineRule="auto"/>
              <w:ind w:firstLine="0"/>
              <w:jc w:val="center"/>
              <w:rPr>
                <w:sz w:val="21"/>
                <w:szCs w:val="21"/>
              </w:rPr>
            </w:pPr>
          </w:p>
        </w:tc>
        <w:tc>
          <w:tcPr>
            <w:tcW w:w="431" w:type="pct"/>
            <w:shd w:val="clear" w:color="auto" w:fill="auto"/>
            <w:vAlign w:val="center"/>
          </w:tcPr>
          <w:p w14:paraId="5ECEF7F2">
            <w:pPr>
              <w:pStyle w:val="5"/>
              <w:adjustRightInd w:val="0"/>
              <w:snapToGrid w:val="0"/>
              <w:spacing w:line="240" w:lineRule="auto"/>
              <w:ind w:firstLine="0"/>
              <w:jc w:val="center"/>
              <w:rPr>
                <w:sz w:val="21"/>
                <w:szCs w:val="21"/>
              </w:rPr>
            </w:pPr>
            <w:r>
              <w:rPr>
                <w:sz w:val="21"/>
                <w:szCs w:val="21"/>
              </w:rPr>
              <w:t>G</w:t>
            </w:r>
            <w:r>
              <w:rPr>
                <w:rFonts w:hint="eastAsia"/>
                <w:sz w:val="21"/>
                <w:szCs w:val="21"/>
              </w:rPr>
              <w:t>1-6</w:t>
            </w:r>
          </w:p>
        </w:tc>
        <w:tc>
          <w:tcPr>
            <w:tcW w:w="1019" w:type="pct"/>
            <w:shd w:val="clear" w:color="auto" w:fill="auto"/>
            <w:vAlign w:val="center"/>
          </w:tcPr>
          <w:p w14:paraId="450AD89A">
            <w:pPr>
              <w:pStyle w:val="5"/>
              <w:adjustRightInd w:val="0"/>
              <w:snapToGrid w:val="0"/>
              <w:spacing w:line="240" w:lineRule="auto"/>
              <w:ind w:firstLine="0"/>
              <w:jc w:val="center"/>
              <w:rPr>
                <w:sz w:val="21"/>
                <w:szCs w:val="21"/>
              </w:rPr>
            </w:pPr>
            <w:r>
              <w:rPr>
                <w:rFonts w:hint="eastAsia"/>
                <w:sz w:val="21"/>
                <w:szCs w:val="21"/>
              </w:rPr>
              <w:t>车间</w:t>
            </w:r>
            <w:r>
              <w:rPr>
                <w:sz w:val="21"/>
                <w:szCs w:val="21"/>
              </w:rPr>
              <w:t>无组织废气</w:t>
            </w:r>
          </w:p>
        </w:tc>
        <w:tc>
          <w:tcPr>
            <w:tcW w:w="1528" w:type="pct"/>
            <w:shd w:val="clear" w:color="auto" w:fill="auto"/>
            <w:vAlign w:val="center"/>
          </w:tcPr>
          <w:p w14:paraId="4C24760B">
            <w:pPr>
              <w:pStyle w:val="5"/>
              <w:adjustRightInd w:val="0"/>
              <w:snapToGrid w:val="0"/>
              <w:ind w:firstLine="0"/>
              <w:jc w:val="center"/>
              <w:rPr>
                <w:sz w:val="21"/>
                <w:szCs w:val="21"/>
              </w:rPr>
            </w:pPr>
            <w:r>
              <w:rPr>
                <w:rFonts w:hint="eastAsia"/>
                <w:sz w:val="21"/>
                <w:szCs w:val="21"/>
              </w:rPr>
              <w:t>X19车间</w:t>
            </w:r>
          </w:p>
        </w:tc>
        <w:tc>
          <w:tcPr>
            <w:tcW w:w="1639" w:type="pct"/>
            <w:shd w:val="clear" w:color="auto" w:fill="auto"/>
            <w:vAlign w:val="center"/>
          </w:tcPr>
          <w:p w14:paraId="2DD165A1">
            <w:pPr>
              <w:pStyle w:val="5"/>
              <w:adjustRightInd w:val="0"/>
              <w:snapToGrid w:val="0"/>
              <w:spacing w:line="240" w:lineRule="auto"/>
              <w:ind w:firstLine="0"/>
              <w:jc w:val="center"/>
              <w:rPr>
                <w:sz w:val="21"/>
                <w:szCs w:val="21"/>
              </w:rPr>
            </w:pPr>
            <w:r>
              <w:rPr>
                <w:sz w:val="21"/>
                <w:szCs w:val="21"/>
              </w:rPr>
              <w:t>氨气</w:t>
            </w:r>
          </w:p>
        </w:tc>
      </w:tr>
      <w:tr w14:paraId="6AE2A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5EC33C86">
            <w:pPr>
              <w:pStyle w:val="5"/>
              <w:adjustRightInd w:val="0"/>
              <w:snapToGrid w:val="0"/>
              <w:spacing w:line="240" w:lineRule="auto"/>
              <w:ind w:firstLine="0"/>
              <w:jc w:val="center"/>
              <w:rPr>
                <w:sz w:val="21"/>
                <w:szCs w:val="21"/>
              </w:rPr>
            </w:pPr>
          </w:p>
        </w:tc>
        <w:tc>
          <w:tcPr>
            <w:tcW w:w="431" w:type="pct"/>
            <w:shd w:val="clear" w:color="auto" w:fill="auto"/>
            <w:vAlign w:val="center"/>
          </w:tcPr>
          <w:p w14:paraId="02F5D5DF">
            <w:pPr>
              <w:pStyle w:val="5"/>
              <w:adjustRightInd w:val="0"/>
              <w:snapToGrid w:val="0"/>
              <w:spacing w:line="240" w:lineRule="auto"/>
              <w:ind w:firstLine="0"/>
              <w:jc w:val="center"/>
              <w:rPr>
                <w:sz w:val="21"/>
                <w:szCs w:val="21"/>
              </w:rPr>
            </w:pPr>
            <w:r>
              <w:rPr>
                <w:sz w:val="21"/>
                <w:szCs w:val="21"/>
              </w:rPr>
              <w:t>G</w:t>
            </w:r>
            <w:r>
              <w:rPr>
                <w:rFonts w:hint="eastAsia"/>
                <w:sz w:val="21"/>
                <w:szCs w:val="21"/>
              </w:rPr>
              <w:t>2-1</w:t>
            </w:r>
          </w:p>
        </w:tc>
        <w:tc>
          <w:tcPr>
            <w:tcW w:w="1019" w:type="pct"/>
            <w:shd w:val="clear" w:color="auto" w:fill="auto"/>
            <w:vAlign w:val="center"/>
          </w:tcPr>
          <w:p w14:paraId="2C1A82C9">
            <w:pPr>
              <w:pStyle w:val="5"/>
              <w:adjustRightInd w:val="0"/>
              <w:snapToGrid w:val="0"/>
              <w:spacing w:line="240" w:lineRule="auto"/>
              <w:ind w:firstLine="0"/>
              <w:jc w:val="center"/>
              <w:rPr>
                <w:sz w:val="21"/>
                <w:szCs w:val="21"/>
              </w:rPr>
            </w:pPr>
            <w:r>
              <w:rPr>
                <w:sz w:val="21"/>
                <w:szCs w:val="21"/>
              </w:rPr>
              <w:t>运输废气</w:t>
            </w:r>
          </w:p>
        </w:tc>
        <w:tc>
          <w:tcPr>
            <w:tcW w:w="1528" w:type="pct"/>
            <w:shd w:val="clear" w:color="auto" w:fill="auto"/>
            <w:vAlign w:val="center"/>
          </w:tcPr>
          <w:p w14:paraId="10182A66">
            <w:pPr>
              <w:pStyle w:val="5"/>
              <w:adjustRightInd w:val="0"/>
              <w:snapToGrid w:val="0"/>
              <w:ind w:firstLine="0"/>
              <w:jc w:val="center"/>
              <w:rPr>
                <w:sz w:val="21"/>
                <w:szCs w:val="21"/>
              </w:rPr>
            </w:pPr>
            <w:r>
              <w:rPr>
                <w:sz w:val="21"/>
                <w:szCs w:val="21"/>
              </w:rPr>
              <w:t>物料运输</w:t>
            </w:r>
          </w:p>
        </w:tc>
        <w:tc>
          <w:tcPr>
            <w:tcW w:w="1639" w:type="pct"/>
            <w:shd w:val="clear" w:color="auto" w:fill="auto"/>
            <w:vAlign w:val="center"/>
          </w:tcPr>
          <w:p w14:paraId="0A1F3937">
            <w:pPr>
              <w:pStyle w:val="5"/>
              <w:adjustRightInd w:val="0"/>
              <w:snapToGrid w:val="0"/>
              <w:spacing w:line="240" w:lineRule="auto"/>
              <w:ind w:firstLine="0"/>
              <w:jc w:val="center"/>
              <w:rPr>
                <w:sz w:val="21"/>
                <w:szCs w:val="21"/>
              </w:rPr>
            </w:pPr>
            <w:r>
              <w:rPr>
                <w:rFonts w:hint="eastAsia"/>
                <w:sz w:val="21"/>
                <w:szCs w:val="21"/>
              </w:rPr>
              <w:t>CO、THC</w:t>
            </w:r>
            <w:r>
              <w:rPr>
                <w:rFonts w:hint="eastAsia"/>
                <w:sz w:val="21"/>
                <w:szCs w:val="21"/>
              </w:rPr>
              <w:tab/>
            </w:r>
            <w:r>
              <w:rPr>
                <w:rFonts w:hint="eastAsia"/>
                <w:sz w:val="21"/>
                <w:szCs w:val="21"/>
              </w:rPr>
              <w:t>、NO</w:t>
            </w:r>
            <w:r>
              <w:rPr>
                <w:rFonts w:hint="eastAsia"/>
                <w:sz w:val="21"/>
                <w:szCs w:val="21"/>
                <w:vertAlign w:val="subscript"/>
              </w:rPr>
              <w:t>X</w:t>
            </w:r>
            <w:r>
              <w:rPr>
                <w:rFonts w:hint="eastAsia"/>
                <w:sz w:val="21"/>
                <w:szCs w:val="21"/>
              </w:rPr>
              <w:t>、颗粒物</w:t>
            </w:r>
          </w:p>
        </w:tc>
      </w:tr>
      <w:tr w14:paraId="7744B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377AF6C">
            <w:pPr>
              <w:pStyle w:val="5"/>
              <w:adjustRightInd w:val="0"/>
              <w:snapToGrid w:val="0"/>
              <w:spacing w:line="240" w:lineRule="auto"/>
              <w:ind w:firstLine="0"/>
              <w:jc w:val="center"/>
              <w:rPr>
                <w:sz w:val="21"/>
                <w:szCs w:val="21"/>
              </w:rPr>
            </w:pPr>
          </w:p>
        </w:tc>
        <w:tc>
          <w:tcPr>
            <w:tcW w:w="431" w:type="pct"/>
            <w:shd w:val="clear" w:color="auto" w:fill="auto"/>
            <w:vAlign w:val="center"/>
          </w:tcPr>
          <w:p w14:paraId="71917602">
            <w:pPr>
              <w:pStyle w:val="5"/>
              <w:adjustRightInd w:val="0"/>
              <w:snapToGrid w:val="0"/>
              <w:spacing w:line="240" w:lineRule="auto"/>
              <w:ind w:firstLine="0"/>
              <w:jc w:val="center"/>
              <w:rPr>
                <w:sz w:val="21"/>
                <w:szCs w:val="21"/>
              </w:rPr>
            </w:pPr>
            <w:r>
              <w:rPr>
                <w:sz w:val="21"/>
                <w:szCs w:val="21"/>
              </w:rPr>
              <w:t>G</w:t>
            </w:r>
            <w:r>
              <w:rPr>
                <w:rFonts w:hint="eastAsia"/>
                <w:sz w:val="21"/>
                <w:szCs w:val="21"/>
              </w:rPr>
              <w:t>3-1</w:t>
            </w:r>
          </w:p>
        </w:tc>
        <w:tc>
          <w:tcPr>
            <w:tcW w:w="1019" w:type="pct"/>
            <w:shd w:val="clear" w:color="auto" w:fill="auto"/>
            <w:vAlign w:val="center"/>
          </w:tcPr>
          <w:p w14:paraId="74691845">
            <w:pPr>
              <w:pStyle w:val="5"/>
              <w:adjustRightInd w:val="0"/>
              <w:snapToGrid w:val="0"/>
              <w:spacing w:line="240" w:lineRule="auto"/>
              <w:ind w:firstLine="0"/>
              <w:jc w:val="center"/>
              <w:rPr>
                <w:sz w:val="21"/>
                <w:szCs w:val="21"/>
              </w:rPr>
            </w:pPr>
            <w:r>
              <w:rPr>
                <w:sz w:val="21"/>
                <w:szCs w:val="21"/>
              </w:rPr>
              <w:t>污水处理废气</w:t>
            </w:r>
          </w:p>
        </w:tc>
        <w:tc>
          <w:tcPr>
            <w:tcW w:w="1528" w:type="pct"/>
            <w:shd w:val="clear" w:color="auto" w:fill="auto"/>
            <w:vAlign w:val="center"/>
          </w:tcPr>
          <w:p w14:paraId="7ED4FE7B">
            <w:pPr>
              <w:pStyle w:val="5"/>
              <w:adjustRightInd w:val="0"/>
              <w:snapToGrid w:val="0"/>
              <w:ind w:firstLine="0"/>
              <w:jc w:val="center"/>
              <w:rPr>
                <w:sz w:val="21"/>
                <w:szCs w:val="21"/>
              </w:rPr>
            </w:pPr>
            <w:r>
              <w:rPr>
                <w:rFonts w:hint="eastAsia"/>
                <w:sz w:val="21"/>
                <w:szCs w:val="21"/>
              </w:rPr>
              <w:t>母液罐</w:t>
            </w:r>
          </w:p>
        </w:tc>
        <w:tc>
          <w:tcPr>
            <w:tcW w:w="1639" w:type="pct"/>
            <w:shd w:val="clear" w:color="auto" w:fill="auto"/>
            <w:vAlign w:val="center"/>
          </w:tcPr>
          <w:p w14:paraId="4C33B8C8">
            <w:pPr>
              <w:pStyle w:val="5"/>
              <w:adjustRightInd w:val="0"/>
              <w:snapToGrid w:val="0"/>
              <w:spacing w:line="240" w:lineRule="auto"/>
              <w:ind w:firstLine="0"/>
              <w:jc w:val="center"/>
              <w:rPr>
                <w:sz w:val="21"/>
                <w:szCs w:val="21"/>
              </w:rPr>
            </w:pPr>
            <w:r>
              <w:rPr>
                <w:rFonts w:hint="eastAsia"/>
                <w:sz w:val="21"/>
                <w:szCs w:val="21"/>
              </w:rPr>
              <w:t>氨气</w:t>
            </w:r>
          </w:p>
        </w:tc>
      </w:tr>
      <w:tr w14:paraId="23059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restart"/>
            <w:shd w:val="clear" w:color="auto" w:fill="auto"/>
            <w:vAlign w:val="center"/>
          </w:tcPr>
          <w:p w14:paraId="21A68C4B">
            <w:pPr>
              <w:pStyle w:val="5"/>
              <w:adjustRightInd w:val="0"/>
              <w:snapToGrid w:val="0"/>
              <w:spacing w:line="240" w:lineRule="auto"/>
              <w:ind w:firstLine="0"/>
              <w:jc w:val="center"/>
              <w:rPr>
                <w:sz w:val="21"/>
                <w:szCs w:val="21"/>
              </w:rPr>
            </w:pPr>
            <w:r>
              <w:rPr>
                <w:sz w:val="21"/>
                <w:szCs w:val="21"/>
              </w:rPr>
              <w:t>废水</w:t>
            </w:r>
          </w:p>
        </w:tc>
        <w:tc>
          <w:tcPr>
            <w:tcW w:w="431" w:type="pct"/>
            <w:shd w:val="clear" w:color="auto" w:fill="auto"/>
            <w:vAlign w:val="center"/>
          </w:tcPr>
          <w:p w14:paraId="0D60D09F">
            <w:pPr>
              <w:pStyle w:val="5"/>
              <w:adjustRightInd w:val="0"/>
              <w:snapToGrid w:val="0"/>
              <w:spacing w:line="240" w:lineRule="auto"/>
              <w:ind w:firstLine="0"/>
              <w:jc w:val="center"/>
              <w:rPr>
                <w:sz w:val="21"/>
                <w:szCs w:val="21"/>
              </w:rPr>
            </w:pPr>
            <w:r>
              <w:rPr>
                <w:sz w:val="21"/>
                <w:szCs w:val="21"/>
              </w:rPr>
              <w:t>W1-1</w:t>
            </w:r>
          </w:p>
        </w:tc>
        <w:tc>
          <w:tcPr>
            <w:tcW w:w="1019" w:type="pct"/>
            <w:shd w:val="clear" w:color="auto" w:fill="auto"/>
            <w:vAlign w:val="center"/>
          </w:tcPr>
          <w:p w14:paraId="56302027">
            <w:pPr>
              <w:pStyle w:val="5"/>
              <w:adjustRightInd w:val="0"/>
              <w:snapToGrid w:val="0"/>
              <w:spacing w:line="240" w:lineRule="auto"/>
              <w:ind w:firstLine="0"/>
              <w:jc w:val="center"/>
              <w:rPr>
                <w:sz w:val="21"/>
                <w:szCs w:val="21"/>
              </w:rPr>
            </w:pPr>
            <w:r>
              <w:rPr>
                <w:rFonts w:hint="eastAsia"/>
                <w:sz w:val="21"/>
                <w:szCs w:val="21"/>
              </w:rPr>
              <w:t>生产废水</w:t>
            </w:r>
          </w:p>
        </w:tc>
        <w:tc>
          <w:tcPr>
            <w:tcW w:w="1528" w:type="pct"/>
            <w:shd w:val="clear" w:color="auto" w:fill="auto"/>
            <w:vAlign w:val="center"/>
          </w:tcPr>
          <w:p w14:paraId="0F4E6172">
            <w:pPr>
              <w:pStyle w:val="5"/>
              <w:adjustRightInd w:val="0"/>
              <w:snapToGrid w:val="0"/>
              <w:spacing w:line="240" w:lineRule="auto"/>
              <w:ind w:firstLine="0"/>
              <w:jc w:val="center"/>
              <w:rPr>
                <w:sz w:val="21"/>
                <w:szCs w:val="21"/>
              </w:rPr>
            </w:pPr>
            <w:r>
              <w:rPr>
                <w:sz w:val="21"/>
                <w:szCs w:val="21"/>
              </w:rPr>
              <w:t>压滤洗涤</w:t>
            </w:r>
          </w:p>
        </w:tc>
        <w:tc>
          <w:tcPr>
            <w:tcW w:w="1639" w:type="pct"/>
            <w:shd w:val="clear" w:color="auto" w:fill="auto"/>
            <w:vAlign w:val="center"/>
          </w:tcPr>
          <w:p w14:paraId="4CFD0DC2">
            <w:pPr>
              <w:pStyle w:val="5"/>
              <w:adjustRightInd w:val="0"/>
              <w:snapToGrid w:val="0"/>
              <w:spacing w:line="240" w:lineRule="auto"/>
              <w:ind w:firstLine="0"/>
              <w:jc w:val="center"/>
              <w:rPr>
                <w:sz w:val="21"/>
                <w:szCs w:val="21"/>
                <w:u w:val="single"/>
              </w:rPr>
            </w:pPr>
            <w:r>
              <w:rPr>
                <w:rFonts w:hint="eastAsia"/>
                <w:sz w:val="21"/>
                <w:szCs w:val="21"/>
                <w:u w:val="single"/>
              </w:rPr>
              <w:t>COD、氨氮、盐分、钴</w:t>
            </w:r>
          </w:p>
        </w:tc>
      </w:tr>
      <w:tr w14:paraId="7EF0F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29D4EF69">
            <w:pPr>
              <w:pStyle w:val="5"/>
              <w:adjustRightInd w:val="0"/>
              <w:snapToGrid w:val="0"/>
              <w:spacing w:line="240" w:lineRule="auto"/>
              <w:ind w:firstLine="0"/>
              <w:jc w:val="center"/>
              <w:rPr>
                <w:sz w:val="21"/>
                <w:szCs w:val="21"/>
              </w:rPr>
            </w:pPr>
          </w:p>
        </w:tc>
        <w:tc>
          <w:tcPr>
            <w:tcW w:w="431" w:type="pct"/>
            <w:shd w:val="clear" w:color="auto" w:fill="auto"/>
            <w:vAlign w:val="center"/>
          </w:tcPr>
          <w:p w14:paraId="68F15E57">
            <w:pPr>
              <w:pStyle w:val="5"/>
              <w:adjustRightInd w:val="0"/>
              <w:snapToGrid w:val="0"/>
              <w:spacing w:line="240" w:lineRule="auto"/>
              <w:ind w:firstLine="0"/>
              <w:jc w:val="center"/>
              <w:rPr>
                <w:sz w:val="21"/>
                <w:szCs w:val="21"/>
                <w:u w:val="single"/>
              </w:rPr>
            </w:pPr>
            <w:r>
              <w:rPr>
                <w:sz w:val="21"/>
                <w:szCs w:val="21"/>
                <w:u w:val="single"/>
              </w:rPr>
              <w:t>W</w:t>
            </w:r>
            <w:r>
              <w:rPr>
                <w:rFonts w:hint="eastAsia"/>
                <w:sz w:val="21"/>
                <w:szCs w:val="21"/>
                <w:u w:val="single"/>
              </w:rPr>
              <w:t>1-2</w:t>
            </w:r>
          </w:p>
        </w:tc>
        <w:tc>
          <w:tcPr>
            <w:tcW w:w="1019" w:type="pct"/>
            <w:shd w:val="clear" w:color="auto" w:fill="auto"/>
            <w:vAlign w:val="center"/>
          </w:tcPr>
          <w:p w14:paraId="0EBD2F96">
            <w:pPr>
              <w:pStyle w:val="5"/>
              <w:adjustRightInd w:val="0"/>
              <w:snapToGrid w:val="0"/>
              <w:spacing w:line="240" w:lineRule="auto"/>
              <w:ind w:firstLine="0"/>
              <w:jc w:val="center"/>
              <w:rPr>
                <w:sz w:val="21"/>
                <w:szCs w:val="21"/>
                <w:u w:val="single"/>
              </w:rPr>
            </w:pPr>
            <w:r>
              <w:rPr>
                <w:rFonts w:hint="eastAsia"/>
                <w:sz w:val="21"/>
                <w:szCs w:val="21"/>
                <w:u w:val="single"/>
              </w:rPr>
              <w:t>地面清洗废水</w:t>
            </w:r>
          </w:p>
        </w:tc>
        <w:tc>
          <w:tcPr>
            <w:tcW w:w="1528" w:type="pct"/>
            <w:shd w:val="clear" w:color="auto" w:fill="auto"/>
            <w:vAlign w:val="center"/>
          </w:tcPr>
          <w:p w14:paraId="0AD74A43">
            <w:pPr>
              <w:pStyle w:val="5"/>
              <w:adjustRightInd w:val="0"/>
              <w:snapToGrid w:val="0"/>
              <w:spacing w:line="240" w:lineRule="auto"/>
              <w:ind w:firstLine="0"/>
              <w:jc w:val="center"/>
              <w:rPr>
                <w:sz w:val="21"/>
                <w:szCs w:val="21"/>
                <w:u w:val="single"/>
              </w:rPr>
            </w:pPr>
            <w:r>
              <w:rPr>
                <w:sz w:val="21"/>
                <w:szCs w:val="21"/>
                <w:u w:val="single"/>
              </w:rPr>
              <w:t>地面清洗</w:t>
            </w:r>
          </w:p>
        </w:tc>
        <w:tc>
          <w:tcPr>
            <w:tcW w:w="1639" w:type="pct"/>
            <w:shd w:val="clear" w:color="auto" w:fill="auto"/>
            <w:vAlign w:val="center"/>
          </w:tcPr>
          <w:p w14:paraId="0048ABBC">
            <w:pPr>
              <w:pStyle w:val="5"/>
              <w:adjustRightInd w:val="0"/>
              <w:snapToGrid w:val="0"/>
              <w:spacing w:line="240" w:lineRule="auto"/>
              <w:ind w:firstLine="0"/>
              <w:jc w:val="center"/>
              <w:rPr>
                <w:sz w:val="21"/>
                <w:szCs w:val="21"/>
                <w:u w:val="single"/>
              </w:rPr>
            </w:pPr>
            <w:r>
              <w:rPr>
                <w:sz w:val="21"/>
                <w:szCs w:val="21"/>
                <w:u w:val="single"/>
              </w:rPr>
              <w:t>钴</w:t>
            </w:r>
          </w:p>
        </w:tc>
      </w:tr>
      <w:tr w14:paraId="45610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7C821996">
            <w:pPr>
              <w:pStyle w:val="5"/>
              <w:adjustRightInd w:val="0"/>
              <w:snapToGrid w:val="0"/>
              <w:spacing w:line="240" w:lineRule="auto"/>
              <w:ind w:firstLine="0"/>
              <w:jc w:val="center"/>
              <w:rPr>
                <w:sz w:val="21"/>
                <w:szCs w:val="21"/>
              </w:rPr>
            </w:pPr>
          </w:p>
        </w:tc>
        <w:tc>
          <w:tcPr>
            <w:tcW w:w="431" w:type="pct"/>
            <w:shd w:val="clear" w:color="auto" w:fill="auto"/>
            <w:vAlign w:val="center"/>
          </w:tcPr>
          <w:p w14:paraId="261C814F">
            <w:pPr>
              <w:pStyle w:val="5"/>
              <w:adjustRightInd w:val="0"/>
              <w:snapToGrid w:val="0"/>
              <w:spacing w:line="240" w:lineRule="auto"/>
              <w:ind w:firstLine="0"/>
              <w:jc w:val="center"/>
              <w:rPr>
                <w:sz w:val="21"/>
                <w:szCs w:val="21"/>
              </w:rPr>
            </w:pPr>
            <w:r>
              <w:rPr>
                <w:sz w:val="21"/>
                <w:szCs w:val="21"/>
              </w:rPr>
              <w:t>W</w:t>
            </w:r>
            <w:r>
              <w:rPr>
                <w:rFonts w:hint="eastAsia"/>
                <w:sz w:val="21"/>
                <w:szCs w:val="21"/>
              </w:rPr>
              <w:t>1</w:t>
            </w:r>
            <w:r>
              <w:rPr>
                <w:sz w:val="21"/>
                <w:szCs w:val="21"/>
              </w:rPr>
              <w:t>-</w:t>
            </w:r>
            <w:r>
              <w:rPr>
                <w:rFonts w:hint="eastAsia"/>
                <w:sz w:val="21"/>
                <w:szCs w:val="21"/>
              </w:rPr>
              <w:t>3</w:t>
            </w:r>
          </w:p>
        </w:tc>
        <w:tc>
          <w:tcPr>
            <w:tcW w:w="1019" w:type="pct"/>
            <w:shd w:val="clear" w:color="auto" w:fill="auto"/>
            <w:vAlign w:val="center"/>
          </w:tcPr>
          <w:p w14:paraId="2E998A3E">
            <w:pPr>
              <w:pStyle w:val="5"/>
              <w:adjustRightInd w:val="0"/>
              <w:snapToGrid w:val="0"/>
              <w:spacing w:line="240" w:lineRule="auto"/>
              <w:ind w:firstLine="0"/>
              <w:jc w:val="center"/>
              <w:rPr>
                <w:sz w:val="21"/>
                <w:szCs w:val="21"/>
              </w:rPr>
            </w:pPr>
            <w:r>
              <w:rPr>
                <w:sz w:val="21"/>
                <w:szCs w:val="21"/>
              </w:rPr>
              <w:t>喷淋废水</w:t>
            </w:r>
          </w:p>
        </w:tc>
        <w:tc>
          <w:tcPr>
            <w:tcW w:w="1528" w:type="pct"/>
            <w:shd w:val="clear" w:color="auto" w:fill="auto"/>
            <w:vAlign w:val="center"/>
          </w:tcPr>
          <w:p w14:paraId="53593E7E">
            <w:pPr>
              <w:pStyle w:val="5"/>
              <w:adjustRightInd w:val="0"/>
              <w:snapToGrid w:val="0"/>
              <w:spacing w:line="240" w:lineRule="auto"/>
              <w:ind w:firstLine="0"/>
              <w:jc w:val="center"/>
              <w:rPr>
                <w:sz w:val="21"/>
                <w:szCs w:val="21"/>
              </w:rPr>
            </w:pPr>
            <w:r>
              <w:rPr>
                <w:sz w:val="21"/>
                <w:szCs w:val="21"/>
              </w:rPr>
              <w:t>吸收塔</w:t>
            </w:r>
          </w:p>
        </w:tc>
        <w:tc>
          <w:tcPr>
            <w:tcW w:w="1639" w:type="pct"/>
            <w:shd w:val="clear" w:color="auto" w:fill="auto"/>
            <w:vAlign w:val="center"/>
          </w:tcPr>
          <w:p w14:paraId="21BF5D0A">
            <w:pPr>
              <w:pStyle w:val="5"/>
              <w:adjustRightInd w:val="0"/>
              <w:snapToGrid w:val="0"/>
              <w:spacing w:line="240" w:lineRule="auto"/>
              <w:ind w:firstLine="0"/>
              <w:jc w:val="center"/>
              <w:rPr>
                <w:sz w:val="21"/>
                <w:szCs w:val="21"/>
              </w:rPr>
            </w:pPr>
            <w:r>
              <w:rPr>
                <w:sz w:val="21"/>
                <w:szCs w:val="21"/>
              </w:rPr>
              <w:t>盐分</w:t>
            </w:r>
          </w:p>
        </w:tc>
      </w:tr>
      <w:tr w14:paraId="67C93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363E5E21">
            <w:pPr>
              <w:pStyle w:val="5"/>
              <w:adjustRightInd w:val="0"/>
              <w:snapToGrid w:val="0"/>
              <w:spacing w:line="240" w:lineRule="auto"/>
              <w:ind w:firstLine="0"/>
              <w:jc w:val="center"/>
              <w:rPr>
                <w:sz w:val="21"/>
                <w:szCs w:val="21"/>
              </w:rPr>
            </w:pPr>
          </w:p>
        </w:tc>
        <w:tc>
          <w:tcPr>
            <w:tcW w:w="431" w:type="pct"/>
            <w:shd w:val="clear" w:color="auto" w:fill="auto"/>
            <w:vAlign w:val="center"/>
          </w:tcPr>
          <w:p w14:paraId="11ADD5E2">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-1</w:t>
            </w:r>
          </w:p>
        </w:tc>
        <w:tc>
          <w:tcPr>
            <w:tcW w:w="1019" w:type="pct"/>
            <w:shd w:val="clear" w:color="auto" w:fill="auto"/>
            <w:vAlign w:val="center"/>
          </w:tcPr>
          <w:p w14:paraId="54F2F3ED">
            <w:pPr>
              <w:pStyle w:val="5"/>
              <w:adjustRightInd w:val="0"/>
              <w:snapToGrid w:val="0"/>
              <w:spacing w:line="240" w:lineRule="auto"/>
              <w:ind w:firstLine="0"/>
              <w:jc w:val="center"/>
              <w:rPr>
                <w:sz w:val="21"/>
                <w:szCs w:val="21"/>
              </w:rPr>
            </w:pPr>
            <w:r>
              <w:rPr>
                <w:sz w:val="21"/>
                <w:szCs w:val="21"/>
              </w:rPr>
              <w:t>纯水站浓水</w:t>
            </w:r>
          </w:p>
        </w:tc>
        <w:tc>
          <w:tcPr>
            <w:tcW w:w="1528" w:type="pct"/>
            <w:shd w:val="clear" w:color="auto" w:fill="auto"/>
            <w:vAlign w:val="center"/>
          </w:tcPr>
          <w:p w14:paraId="0784A71D">
            <w:pPr>
              <w:pStyle w:val="5"/>
              <w:adjustRightInd w:val="0"/>
              <w:snapToGrid w:val="0"/>
              <w:spacing w:line="240" w:lineRule="auto"/>
              <w:ind w:firstLine="0"/>
              <w:jc w:val="center"/>
              <w:rPr>
                <w:sz w:val="21"/>
                <w:szCs w:val="21"/>
              </w:rPr>
            </w:pPr>
            <w:r>
              <w:rPr>
                <w:sz w:val="21"/>
                <w:szCs w:val="21"/>
              </w:rPr>
              <w:t>纯水站</w:t>
            </w:r>
          </w:p>
        </w:tc>
        <w:tc>
          <w:tcPr>
            <w:tcW w:w="1639" w:type="pct"/>
            <w:shd w:val="clear" w:color="auto" w:fill="auto"/>
            <w:vAlign w:val="center"/>
          </w:tcPr>
          <w:p w14:paraId="070BB91D">
            <w:pPr>
              <w:pStyle w:val="5"/>
              <w:adjustRightInd w:val="0"/>
              <w:snapToGrid w:val="0"/>
              <w:spacing w:line="240" w:lineRule="auto"/>
              <w:ind w:firstLine="0"/>
              <w:jc w:val="center"/>
              <w:rPr>
                <w:sz w:val="21"/>
                <w:szCs w:val="21"/>
              </w:rPr>
            </w:pPr>
            <w:r>
              <w:rPr>
                <w:sz w:val="21"/>
                <w:szCs w:val="21"/>
              </w:rPr>
              <w:t>盐分</w:t>
            </w:r>
          </w:p>
        </w:tc>
      </w:tr>
      <w:tr w14:paraId="2BE05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2E150A2B">
            <w:pPr>
              <w:pStyle w:val="5"/>
              <w:adjustRightInd w:val="0"/>
              <w:snapToGrid w:val="0"/>
              <w:spacing w:line="240" w:lineRule="auto"/>
              <w:ind w:firstLine="0"/>
              <w:jc w:val="center"/>
              <w:rPr>
                <w:sz w:val="21"/>
                <w:szCs w:val="21"/>
              </w:rPr>
            </w:pPr>
          </w:p>
        </w:tc>
        <w:tc>
          <w:tcPr>
            <w:tcW w:w="431" w:type="pct"/>
            <w:shd w:val="clear" w:color="auto" w:fill="auto"/>
            <w:vAlign w:val="center"/>
          </w:tcPr>
          <w:p w14:paraId="7833EC55">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-2</w:t>
            </w:r>
          </w:p>
        </w:tc>
        <w:tc>
          <w:tcPr>
            <w:tcW w:w="1019" w:type="pct"/>
            <w:shd w:val="clear" w:color="auto" w:fill="auto"/>
            <w:vAlign w:val="center"/>
          </w:tcPr>
          <w:p w14:paraId="7AFE7B7A">
            <w:pPr>
              <w:pStyle w:val="5"/>
              <w:adjustRightInd w:val="0"/>
              <w:snapToGrid w:val="0"/>
              <w:spacing w:line="240" w:lineRule="auto"/>
              <w:ind w:firstLine="0"/>
              <w:jc w:val="center"/>
              <w:rPr>
                <w:sz w:val="21"/>
                <w:szCs w:val="21"/>
              </w:rPr>
            </w:pPr>
            <w:r>
              <w:rPr>
                <w:sz w:val="21"/>
                <w:szCs w:val="21"/>
              </w:rPr>
              <w:t>生活污水</w:t>
            </w:r>
          </w:p>
        </w:tc>
        <w:tc>
          <w:tcPr>
            <w:tcW w:w="1528" w:type="pct"/>
            <w:shd w:val="clear" w:color="auto" w:fill="auto"/>
            <w:vAlign w:val="center"/>
          </w:tcPr>
          <w:p w14:paraId="0FD3E83E">
            <w:pPr>
              <w:pStyle w:val="5"/>
              <w:adjustRightInd w:val="0"/>
              <w:snapToGrid w:val="0"/>
              <w:spacing w:line="240" w:lineRule="auto"/>
              <w:ind w:firstLine="0"/>
              <w:jc w:val="center"/>
              <w:rPr>
                <w:sz w:val="21"/>
                <w:szCs w:val="21"/>
              </w:rPr>
            </w:pPr>
            <w:r>
              <w:rPr>
                <w:sz w:val="21"/>
                <w:szCs w:val="21"/>
              </w:rPr>
              <w:t>员工生活</w:t>
            </w:r>
          </w:p>
        </w:tc>
        <w:tc>
          <w:tcPr>
            <w:tcW w:w="1639" w:type="pct"/>
            <w:shd w:val="clear" w:color="auto" w:fill="auto"/>
            <w:vAlign w:val="center"/>
          </w:tcPr>
          <w:p w14:paraId="4F813BCF">
            <w:pPr>
              <w:pStyle w:val="5"/>
              <w:adjustRightInd w:val="0"/>
              <w:snapToGrid w:val="0"/>
              <w:spacing w:line="240" w:lineRule="auto"/>
              <w:ind w:firstLine="0"/>
              <w:jc w:val="center"/>
              <w:rPr>
                <w:sz w:val="21"/>
                <w:szCs w:val="21"/>
              </w:rPr>
            </w:pPr>
            <w:r>
              <w:rPr>
                <w:sz w:val="21"/>
                <w:szCs w:val="21"/>
              </w:rPr>
              <w:t>COD、NH</w:t>
            </w:r>
            <w:r>
              <w:rPr>
                <w:sz w:val="21"/>
                <w:szCs w:val="21"/>
                <w:vertAlign w:val="subscript"/>
              </w:rPr>
              <w:t>3</w:t>
            </w:r>
            <w:r>
              <w:rPr>
                <w:sz w:val="21"/>
                <w:szCs w:val="21"/>
              </w:rPr>
              <w:t>-N</w:t>
            </w:r>
          </w:p>
        </w:tc>
      </w:tr>
      <w:tr w14:paraId="63D10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579A41BE">
            <w:pPr>
              <w:pStyle w:val="5"/>
              <w:adjustRightInd w:val="0"/>
              <w:snapToGrid w:val="0"/>
              <w:spacing w:line="240" w:lineRule="auto"/>
              <w:ind w:firstLine="0"/>
              <w:jc w:val="center"/>
              <w:rPr>
                <w:sz w:val="21"/>
                <w:szCs w:val="21"/>
              </w:rPr>
            </w:pPr>
          </w:p>
        </w:tc>
        <w:tc>
          <w:tcPr>
            <w:tcW w:w="431" w:type="pct"/>
            <w:shd w:val="clear" w:color="auto" w:fill="auto"/>
            <w:vAlign w:val="center"/>
          </w:tcPr>
          <w:p w14:paraId="53D8FE06">
            <w:pPr>
              <w:pStyle w:val="5"/>
              <w:adjustRightInd w:val="0"/>
              <w:snapToGrid w:val="0"/>
              <w:spacing w:line="240" w:lineRule="auto"/>
              <w:ind w:firstLine="0"/>
              <w:jc w:val="center"/>
              <w:rPr>
                <w:sz w:val="21"/>
                <w:szCs w:val="21"/>
              </w:rPr>
            </w:pPr>
            <w:r>
              <w:rPr>
                <w:sz w:val="21"/>
                <w:szCs w:val="21"/>
              </w:rPr>
              <w:t>W</w:t>
            </w:r>
            <w:r>
              <w:rPr>
                <w:rFonts w:hint="eastAsia"/>
                <w:sz w:val="21"/>
                <w:szCs w:val="21"/>
              </w:rPr>
              <w:t>2</w:t>
            </w:r>
            <w:r>
              <w:rPr>
                <w:sz w:val="21"/>
                <w:szCs w:val="21"/>
              </w:rPr>
              <w:t>-3</w:t>
            </w:r>
          </w:p>
        </w:tc>
        <w:tc>
          <w:tcPr>
            <w:tcW w:w="1019" w:type="pct"/>
            <w:shd w:val="clear" w:color="auto" w:fill="auto"/>
            <w:vAlign w:val="center"/>
          </w:tcPr>
          <w:p w14:paraId="46960A84">
            <w:pPr>
              <w:pStyle w:val="5"/>
              <w:adjustRightInd w:val="0"/>
              <w:snapToGrid w:val="0"/>
              <w:spacing w:line="240" w:lineRule="auto"/>
              <w:ind w:firstLine="0"/>
              <w:jc w:val="center"/>
              <w:rPr>
                <w:sz w:val="21"/>
                <w:szCs w:val="21"/>
              </w:rPr>
            </w:pPr>
            <w:r>
              <w:rPr>
                <w:sz w:val="21"/>
                <w:szCs w:val="21"/>
              </w:rPr>
              <w:t>初期雨水</w:t>
            </w:r>
          </w:p>
        </w:tc>
        <w:tc>
          <w:tcPr>
            <w:tcW w:w="1528" w:type="pct"/>
            <w:shd w:val="clear" w:color="auto" w:fill="auto"/>
            <w:vAlign w:val="center"/>
          </w:tcPr>
          <w:p w14:paraId="051E37BC">
            <w:pPr>
              <w:pStyle w:val="5"/>
              <w:adjustRightInd w:val="0"/>
              <w:snapToGrid w:val="0"/>
              <w:spacing w:line="240" w:lineRule="auto"/>
              <w:ind w:firstLine="0"/>
              <w:jc w:val="center"/>
              <w:rPr>
                <w:sz w:val="21"/>
                <w:szCs w:val="21"/>
              </w:rPr>
            </w:pPr>
            <w:r>
              <w:rPr>
                <w:sz w:val="21"/>
                <w:szCs w:val="21"/>
              </w:rPr>
              <w:t>装置区</w:t>
            </w:r>
          </w:p>
        </w:tc>
        <w:tc>
          <w:tcPr>
            <w:tcW w:w="1639" w:type="pct"/>
            <w:shd w:val="clear" w:color="auto" w:fill="auto"/>
            <w:vAlign w:val="center"/>
          </w:tcPr>
          <w:p w14:paraId="734CC93D">
            <w:pPr>
              <w:pStyle w:val="5"/>
              <w:adjustRightInd w:val="0"/>
              <w:snapToGrid w:val="0"/>
              <w:spacing w:line="240" w:lineRule="auto"/>
              <w:ind w:firstLine="0"/>
              <w:jc w:val="center"/>
              <w:rPr>
                <w:sz w:val="21"/>
                <w:szCs w:val="21"/>
              </w:rPr>
            </w:pPr>
            <w:r>
              <w:rPr>
                <w:sz w:val="21"/>
                <w:szCs w:val="21"/>
              </w:rPr>
              <w:t xml:space="preserve">SS </w:t>
            </w:r>
          </w:p>
        </w:tc>
      </w:tr>
      <w:tr w14:paraId="036D2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shd w:val="clear" w:color="auto" w:fill="auto"/>
            <w:vAlign w:val="center"/>
          </w:tcPr>
          <w:p w14:paraId="660DB5EB">
            <w:pPr>
              <w:pStyle w:val="5"/>
              <w:adjustRightInd w:val="0"/>
              <w:snapToGrid w:val="0"/>
              <w:spacing w:line="240" w:lineRule="auto"/>
              <w:ind w:firstLine="0"/>
              <w:jc w:val="center"/>
              <w:rPr>
                <w:sz w:val="21"/>
                <w:szCs w:val="21"/>
              </w:rPr>
            </w:pPr>
            <w:r>
              <w:rPr>
                <w:sz w:val="21"/>
                <w:szCs w:val="21"/>
              </w:rPr>
              <w:t>噪声</w:t>
            </w:r>
          </w:p>
        </w:tc>
        <w:tc>
          <w:tcPr>
            <w:tcW w:w="431" w:type="pct"/>
            <w:shd w:val="clear" w:color="auto" w:fill="auto"/>
            <w:vAlign w:val="center"/>
          </w:tcPr>
          <w:p w14:paraId="3708E205">
            <w:pPr>
              <w:pStyle w:val="5"/>
              <w:adjustRightInd w:val="0"/>
              <w:snapToGrid w:val="0"/>
              <w:spacing w:line="240" w:lineRule="auto"/>
              <w:ind w:firstLine="0"/>
              <w:jc w:val="center"/>
              <w:rPr>
                <w:sz w:val="21"/>
                <w:szCs w:val="21"/>
              </w:rPr>
            </w:pPr>
            <w:r>
              <w:rPr>
                <w:sz w:val="21"/>
                <w:szCs w:val="21"/>
              </w:rPr>
              <w:t>N</w:t>
            </w:r>
          </w:p>
        </w:tc>
        <w:tc>
          <w:tcPr>
            <w:tcW w:w="1019" w:type="pct"/>
            <w:shd w:val="clear" w:color="auto" w:fill="auto"/>
            <w:vAlign w:val="center"/>
          </w:tcPr>
          <w:p w14:paraId="6AD3B800">
            <w:pPr>
              <w:pStyle w:val="5"/>
              <w:adjustRightInd w:val="0"/>
              <w:snapToGrid w:val="0"/>
              <w:spacing w:line="240" w:lineRule="auto"/>
              <w:ind w:firstLine="0"/>
              <w:jc w:val="center"/>
              <w:rPr>
                <w:sz w:val="21"/>
                <w:szCs w:val="21"/>
              </w:rPr>
            </w:pPr>
            <w:r>
              <w:rPr>
                <w:sz w:val="21"/>
                <w:szCs w:val="21"/>
              </w:rPr>
              <w:t>设备噪声</w:t>
            </w:r>
          </w:p>
        </w:tc>
        <w:tc>
          <w:tcPr>
            <w:tcW w:w="1528" w:type="pct"/>
            <w:shd w:val="clear" w:color="auto" w:fill="auto"/>
            <w:vAlign w:val="center"/>
          </w:tcPr>
          <w:p w14:paraId="5746BE33">
            <w:pPr>
              <w:pStyle w:val="5"/>
              <w:adjustRightInd w:val="0"/>
              <w:snapToGrid w:val="0"/>
              <w:spacing w:line="240" w:lineRule="auto"/>
              <w:ind w:firstLine="0"/>
              <w:jc w:val="center"/>
              <w:rPr>
                <w:sz w:val="21"/>
                <w:szCs w:val="21"/>
              </w:rPr>
            </w:pPr>
            <w:r>
              <w:rPr>
                <w:sz w:val="21"/>
                <w:szCs w:val="21"/>
              </w:rPr>
              <w:t>生产设备</w:t>
            </w:r>
          </w:p>
        </w:tc>
        <w:tc>
          <w:tcPr>
            <w:tcW w:w="1639" w:type="pct"/>
            <w:shd w:val="clear" w:color="auto" w:fill="auto"/>
            <w:vAlign w:val="center"/>
          </w:tcPr>
          <w:p w14:paraId="4FFBA170">
            <w:pPr>
              <w:pStyle w:val="5"/>
              <w:adjustRightInd w:val="0"/>
              <w:snapToGrid w:val="0"/>
              <w:spacing w:line="240" w:lineRule="auto"/>
              <w:ind w:firstLine="0"/>
              <w:jc w:val="center"/>
              <w:rPr>
                <w:sz w:val="21"/>
                <w:szCs w:val="21"/>
              </w:rPr>
            </w:pPr>
            <w:r>
              <w:rPr>
                <w:sz w:val="21"/>
                <w:szCs w:val="21"/>
              </w:rPr>
              <w:t>噪声</w:t>
            </w:r>
          </w:p>
        </w:tc>
      </w:tr>
      <w:tr w14:paraId="082D2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restart"/>
            <w:shd w:val="clear" w:color="auto" w:fill="auto"/>
            <w:vAlign w:val="center"/>
          </w:tcPr>
          <w:p w14:paraId="0DE35E42">
            <w:pPr>
              <w:pStyle w:val="5"/>
              <w:adjustRightInd w:val="0"/>
              <w:snapToGrid w:val="0"/>
              <w:spacing w:line="240" w:lineRule="auto"/>
              <w:ind w:firstLine="0"/>
              <w:jc w:val="center"/>
              <w:rPr>
                <w:sz w:val="21"/>
                <w:szCs w:val="21"/>
              </w:rPr>
            </w:pPr>
            <w:r>
              <w:rPr>
                <w:sz w:val="21"/>
                <w:szCs w:val="21"/>
              </w:rPr>
              <w:t>固废</w:t>
            </w:r>
          </w:p>
        </w:tc>
        <w:tc>
          <w:tcPr>
            <w:tcW w:w="431" w:type="pct"/>
            <w:shd w:val="clear" w:color="auto" w:fill="auto"/>
            <w:vAlign w:val="center"/>
          </w:tcPr>
          <w:p w14:paraId="66A3D01B">
            <w:pPr>
              <w:pStyle w:val="5"/>
              <w:adjustRightInd w:val="0"/>
              <w:snapToGrid w:val="0"/>
              <w:spacing w:line="240" w:lineRule="auto"/>
              <w:ind w:firstLine="0"/>
              <w:jc w:val="center"/>
              <w:rPr>
                <w:sz w:val="21"/>
                <w:szCs w:val="21"/>
              </w:rPr>
            </w:pPr>
            <w:r>
              <w:rPr>
                <w:sz w:val="21"/>
                <w:szCs w:val="21"/>
              </w:rPr>
              <w:t>S1-1</w:t>
            </w:r>
          </w:p>
        </w:tc>
        <w:tc>
          <w:tcPr>
            <w:tcW w:w="1019" w:type="pct"/>
            <w:shd w:val="clear" w:color="auto" w:fill="auto"/>
            <w:vAlign w:val="center"/>
          </w:tcPr>
          <w:p w14:paraId="35739C9C">
            <w:pPr>
              <w:pStyle w:val="5"/>
              <w:adjustRightInd w:val="0"/>
              <w:snapToGrid w:val="0"/>
              <w:spacing w:line="240" w:lineRule="auto"/>
              <w:ind w:firstLine="0"/>
              <w:jc w:val="center"/>
              <w:rPr>
                <w:sz w:val="21"/>
                <w:szCs w:val="21"/>
              </w:rPr>
            </w:pPr>
            <w:r>
              <w:rPr>
                <w:rFonts w:hint="eastAsia"/>
                <w:sz w:val="21"/>
                <w:szCs w:val="21"/>
              </w:rPr>
              <w:t>收集粉尘</w:t>
            </w:r>
          </w:p>
        </w:tc>
        <w:tc>
          <w:tcPr>
            <w:tcW w:w="1528" w:type="pct"/>
            <w:shd w:val="clear" w:color="auto" w:fill="auto"/>
            <w:vAlign w:val="center"/>
          </w:tcPr>
          <w:p w14:paraId="2F4BEFBA">
            <w:pPr>
              <w:pStyle w:val="5"/>
              <w:adjustRightInd w:val="0"/>
              <w:snapToGrid w:val="0"/>
              <w:spacing w:line="240" w:lineRule="auto"/>
              <w:ind w:firstLine="0"/>
              <w:jc w:val="center"/>
              <w:rPr>
                <w:sz w:val="21"/>
                <w:szCs w:val="21"/>
              </w:rPr>
            </w:pPr>
            <w:r>
              <w:rPr>
                <w:sz w:val="21"/>
                <w:szCs w:val="21"/>
              </w:rPr>
              <w:t>布袋除尘器</w:t>
            </w:r>
          </w:p>
        </w:tc>
        <w:tc>
          <w:tcPr>
            <w:tcW w:w="1639" w:type="pct"/>
            <w:shd w:val="clear" w:color="auto" w:fill="auto"/>
            <w:vAlign w:val="center"/>
          </w:tcPr>
          <w:p w14:paraId="0F38915C">
            <w:pPr>
              <w:pStyle w:val="5"/>
              <w:adjustRightInd w:val="0"/>
              <w:snapToGrid w:val="0"/>
              <w:spacing w:line="240" w:lineRule="auto"/>
              <w:ind w:firstLine="0"/>
              <w:jc w:val="center"/>
              <w:rPr>
                <w:sz w:val="21"/>
                <w:szCs w:val="21"/>
              </w:rPr>
            </w:pPr>
            <w:r>
              <w:rPr>
                <w:rFonts w:hint="eastAsia"/>
                <w:sz w:val="21"/>
                <w:szCs w:val="21"/>
              </w:rPr>
              <w:t>粉尘</w:t>
            </w:r>
          </w:p>
        </w:tc>
      </w:tr>
      <w:tr w14:paraId="6C72A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46629D19">
            <w:pPr>
              <w:pStyle w:val="5"/>
              <w:adjustRightInd w:val="0"/>
              <w:snapToGrid w:val="0"/>
              <w:spacing w:line="240" w:lineRule="auto"/>
              <w:ind w:firstLine="0"/>
              <w:jc w:val="center"/>
              <w:rPr>
                <w:sz w:val="21"/>
                <w:szCs w:val="21"/>
              </w:rPr>
            </w:pPr>
          </w:p>
        </w:tc>
        <w:tc>
          <w:tcPr>
            <w:tcW w:w="431" w:type="pct"/>
            <w:shd w:val="clear" w:color="auto" w:fill="auto"/>
            <w:vAlign w:val="center"/>
          </w:tcPr>
          <w:p w14:paraId="5031AF08">
            <w:pPr>
              <w:pStyle w:val="5"/>
              <w:adjustRightInd w:val="0"/>
              <w:snapToGrid w:val="0"/>
              <w:spacing w:line="240" w:lineRule="auto"/>
              <w:ind w:firstLine="0"/>
              <w:jc w:val="center"/>
              <w:rPr>
                <w:sz w:val="21"/>
                <w:szCs w:val="21"/>
              </w:rPr>
            </w:pPr>
            <w:r>
              <w:rPr>
                <w:sz w:val="21"/>
                <w:szCs w:val="21"/>
              </w:rPr>
              <w:t>S</w:t>
            </w:r>
            <w:r>
              <w:rPr>
                <w:rFonts w:hint="eastAsia"/>
                <w:sz w:val="21"/>
                <w:szCs w:val="21"/>
              </w:rPr>
              <w:t>1-2</w:t>
            </w:r>
          </w:p>
        </w:tc>
        <w:tc>
          <w:tcPr>
            <w:tcW w:w="1019" w:type="pct"/>
            <w:shd w:val="clear" w:color="auto" w:fill="auto"/>
            <w:vAlign w:val="center"/>
          </w:tcPr>
          <w:p w14:paraId="1D14B5C7">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c>
          <w:tcPr>
            <w:tcW w:w="1528" w:type="pct"/>
            <w:shd w:val="clear" w:color="auto" w:fill="auto"/>
            <w:vAlign w:val="center"/>
          </w:tcPr>
          <w:p w14:paraId="3E8E4E0A">
            <w:pPr>
              <w:pStyle w:val="5"/>
              <w:adjustRightInd w:val="0"/>
              <w:snapToGrid w:val="0"/>
              <w:spacing w:line="240" w:lineRule="auto"/>
              <w:ind w:firstLine="0"/>
              <w:jc w:val="center"/>
              <w:rPr>
                <w:sz w:val="21"/>
                <w:szCs w:val="21"/>
              </w:rPr>
            </w:pPr>
            <w:r>
              <w:rPr>
                <w:sz w:val="21"/>
                <w:szCs w:val="21"/>
              </w:rPr>
              <w:t>吸收塔</w:t>
            </w:r>
          </w:p>
        </w:tc>
        <w:tc>
          <w:tcPr>
            <w:tcW w:w="1639" w:type="pct"/>
            <w:shd w:val="clear" w:color="auto" w:fill="auto"/>
            <w:vAlign w:val="center"/>
          </w:tcPr>
          <w:p w14:paraId="745498B1">
            <w:pPr>
              <w:pStyle w:val="5"/>
              <w:adjustRightInd w:val="0"/>
              <w:snapToGrid w:val="0"/>
              <w:spacing w:line="240" w:lineRule="auto"/>
              <w:ind w:firstLine="0"/>
              <w:jc w:val="center"/>
              <w:rPr>
                <w:sz w:val="21"/>
                <w:szCs w:val="21"/>
              </w:rPr>
            </w:pPr>
            <w:r>
              <w:rPr>
                <w:sz w:val="21"/>
                <w:szCs w:val="21"/>
              </w:rPr>
              <w:t>沉淀</w:t>
            </w:r>
            <w:r>
              <w:rPr>
                <w:rFonts w:hint="eastAsia"/>
                <w:sz w:val="21"/>
                <w:szCs w:val="21"/>
              </w:rPr>
              <w:t>渣</w:t>
            </w:r>
          </w:p>
        </w:tc>
      </w:tr>
      <w:tr w14:paraId="1958E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0687E945">
            <w:pPr>
              <w:pStyle w:val="5"/>
              <w:adjustRightInd w:val="0"/>
              <w:snapToGrid w:val="0"/>
              <w:spacing w:line="240" w:lineRule="auto"/>
              <w:ind w:firstLine="0"/>
              <w:jc w:val="center"/>
              <w:rPr>
                <w:sz w:val="21"/>
                <w:szCs w:val="21"/>
              </w:rPr>
            </w:pPr>
          </w:p>
        </w:tc>
        <w:tc>
          <w:tcPr>
            <w:tcW w:w="431" w:type="pct"/>
            <w:shd w:val="clear" w:color="auto" w:fill="auto"/>
            <w:vAlign w:val="center"/>
          </w:tcPr>
          <w:p w14:paraId="270CB324">
            <w:pPr>
              <w:pStyle w:val="5"/>
              <w:adjustRightInd w:val="0"/>
              <w:snapToGrid w:val="0"/>
              <w:spacing w:line="240" w:lineRule="auto"/>
              <w:ind w:firstLine="0"/>
              <w:jc w:val="center"/>
              <w:rPr>
                <w:sz w:val="21"/>
                <w:szCs w:val="21"/>
              </w:rPr>
            </w:pPr>
            <w:r>
              <w:rPr>
                <w:sz w:val="21"/>
                <w:szCs w:val="21"/>
              </w:rPr>
              <w:t>S</w:t>
            </w:r>
            <w:r>
              <w:rPr>
                <w:rFonts w:hint="eastAsia"/>
                <w:sz w:val="21"/>
                <w:szCs w:val="21"/>
              </w:rPr>
              <w:t>1-3</w:t>
            </w:r>
          </w:p>
        </w:tc>
        <w:tc>
          <w:tcPr>
            <w:tcW w:w="1019" w:type="pct"/>
            <w:shd w:val="clear" w:color="auto" w:fill="auto"/>
            <w:vAlign w:val="center"/>
          </w:tcPr>
          <w:p w14:paraId="2D4132F6">
            <w:pPr>
              <w:pStyle w:val="5"/>
              <w:adjustRightInd w:val="0"/>
              <w:snapToGrid w:val="0"/>
              <w:spacing w:line="240" w:lineRule="auto"/>
              <w:ind w:firstLine="0"/>
              <w:jc w:val="center"/>
              <w:rPr>
                <w:sz w:val="21"/>
                <w:szCs w:val="21"/>
              </w:rPr>
            </w:pPr>
            <w:r>
              <w:rPr>
                <w:sz w:val="21"/>
                <w:szCs w:val="21"/>
              </w:rPr>
              <w:t>微孔过滤膜</w:t>
            </w:r>
          </w:p>
        </w:tc>
        <w:tc>
          <w:tcPr>
            <w:tcW w:w="1528" w:type="pct"/>
            <w:shd w:val="clear" w:color="auto" w:fill="auto"/>
            <w:vAlign w:val="center"/>
          </w:tcPr>
          <w:p w14:paraId="394CDAC3">
            <w:pPr>
              <w:pStyle w:val="5"/>
              <w:adjustRightInd w:val="0"/>
              <w:snapToGrid w:val="0"/>
              <w:spacing w:line="240" w:lineRule="auto"/>
              <w:ind w:firstLine="0"/>
              <w:jc w:val="center"/>
              <w:rPr>
                <w:sz w:val="21"/>
                <w:szCs w:val="21"/>
              </w:rPr>
            </w:pPr>
            <w:r>
              <w:rPr>
                <w:rFonts w:hint="eastAsia"/>
                <w:sz w:val="21"/>
                <w:szCs w:val="21"/>
              </w:rPr>
              <w:t>精密过滤器</w:t>
            </w:r>
          </w:p>
        </w:tc>
        <w:tc>
          <w:tcPr>
            <w:tcW w:w="1639" w:type="pct"/>
            <w:shd w:val="clear" w:color="auto" w:fill="auto"/>
            <w:vAlign w:val="center"/>
          </w:tcPr>
          <w:p w14:paraId="54714B0C">
            <w:pPr>
              <w:pStyle w:val="5"/>
              <w:adjustRightInd w:val="0"/>
              <w:snapToGrid w:val="0"/>
              <w:spacing w:line="240" w:lineRule="auto"/>
              <w:ind w:firstLine="0"/>
              <w:jc w:val="center"/>
              <w:rPr>
                <w:sz w:val="21"/>
                <w:szCs w:val="21"/>
              </w:rPr>
            </w:pPr>
            <w:r>
              <w:rPr>
                <w:sz w:val="21"/>
                <w:szCs w:val="21"/>
              </w:rPr>
              <w:t>微孔过滤膜</w:t>
            </w:r>
          </w:p>
        </w:tc>
      </w:tr>
      <w:tr w14:paraId="5CA0E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03AB1834">
            <w:pPr>
              <w:pStyle w:val="5"/>
              <w:adjustRightInd w:val="0"/>
              <w:snapToGrid w:val="0"/>
              <w:spacing w:line="240" w:lineRule="auto"/>
              <w:ind w:firstLine="0"/>
              <w:jc w:val="center"/>
              <w:rPr>
                <w:sz w:val="21"/>
                <w:szCs w:val="21"/>
              </w:rPr>
            </w:pPr>
          </w:p>
        </w:tc>
        <w:tc>
          <w:tcPr>
            <w:tcW w:w="431" w:type="pct"/>
            <w:shd w:val="clear" w:color="auto" w:fill="auto"/>
            <w:vAlign w:val="center"/>
          </w:tcPr>
          <w:p w14:paraId="55CC243C">
            <w:pPr>
              <w:pStyle w:val="5"/>
              <w:adjustRightInd w:val="0"/>
              <w:snapToGrid w:val="0"/>
              <w:spacing w:line="240" w:lineRule="auto"/>
              <w:ind w:firstLine="0"/>
              <w:jc w:val="center"/>
              <w:rPr>
                <w:sz w:val="21"/>
                <w:szCs w:val="21"/>
              </w:rPr>
            </w:pPr>
            <w:r>
              <w:rPr>
                <w:sz w:val="21"/>
                <w:szCs w:val="21"/>
              </w:rPr>
              <w:t>S</w:t>
            </w:r>
            <w:r>
              <w:rPr>
                <w:rFonts w:hint="eastAsia"/>
                <w:sz w:val="21"/>
                <w:szCs w:val="21"/>
              </w:rPr>
              <w:t>1-4</w:t>
            </w:r>
          </w:p>
        </w:tc>
        <w:tc>
          <w:tcPr>
            <w:tcW w:w="1019" w:type="pct"/>
            <w:shd w:val="clear" w:color="auto" w:fill="auto"/>
            <w:vAlign w:val="center"/>
          </w:tcPr>
          <w:p w14:paraId="1396E51F">
            <w:pPr>
              <w:pStyle w:val="5"/>
              <w:adjustRightInd w:val="0"/>
              <w:snapToGrid w:val="0"/>
              <w:spacing w:line="240" w:lineRule="auto"/>
              <w:ind w:firstLine="0"/>
              <w:jc w:val="center"/>
              <w:rPr>
                <w:sz w:val="21"/>
                <w:szCs w:val="21"/>
              </w:rPr>
            </w:pPr>
            <w:r>
              <w:rPr>
                <w:sz w:val="21"/>
                <w:szCs w:val="21"/>
              </w:rPr>
              <w:t>滤渣</w:t>
            </w:r>
          </w:p>
        </w:tc>
        <w:tc>
          <w:tcPr>
            <w:tcW w:w="1528" w:type="pct"/>
            <w:shd w:val="clear" w:color="auto" w:fill="auto"/>
            <w:vAlign w:val="center"/>
          </w:tcPr>
          <w:p w14:paraId="1EE08924">
            <w:pPr>
              <w:pStyle w:val="5"/>
              <w:adjustRightInd w:val="0"/>
              <w:snapToGrid w:val="0"/>
              <w:spacing w:line="240" w:lineRule="auto"/>
              <w:ind w:firstLine="0"/>
              <w:jc w:val="center"/>
              <w:rPr>
                <w:sz w:val="21"/>
                <w:szCs w:val="21"/>
              </w:rPr>
            </w:pPr>
            <w:r>
              <w:rPr>
                <w:rFonts w:hint="eastAsia"/>
                <w:sz w:val="21"/>
                <w:szCs w:val="21"/>
              </w:rPr>
              <w:t>板框压滤机、精密过滤器</w:t>
            </w:r>
          </w:p>
        </w:tc>
        <w:tc>
          <w:tcPr>
            <w:tcW w:w="1639" w:type="pct"/>
            <w:shd w:val="clear" w:color="auto" w:fill="auto"/>
            <w:vAlign w:val="center"/>
          </w:tcPr>
          <w:p w14:paraId="26F9EA5E">
            <w:pPr>
              <w:pStyle w:val="5"/>
              <w:adjustRightInd w:val="0"/>
              <w:snapToGrid w:val="0"/>
              <w:spacing w:line="240" w:lineRule="auto"/>
              <w:ind w:firstLine="0"/>
              <w:jc w:val="center"/>
              <w:rPr>
                <w:sz w:val="21"/>
                <w:szCs w:val="21"/>
              </w:rPr>
            </w:pPr>
            <w:r>
              <w:rPr>
                <w:sz w:val="21"/>
                <w:szCs w:val="21"/>
              </w:rPr>
              <w:t>滤渣</w:t>
            </w:r>
          </w:p>
        </w:tc>
      </w:tr>
      <w:tr w14:paraId="5046A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249012AC">
            <w:pPr>
              <w:pStyle w:val="5"/>
              <w:adjustRightInd w:val="0"/>
              <w:snapToGrid w:val="0"/>
              <w:spacing w:line="240" w:lineRule="auto"/>
              <w:ind w:firstLine="0"/>
              <w:jc w:val="center"/>
              <w:rPr>
                <w:sz w:val="21"/>
                <w:szCs w:val="21"/>
              </w:rPr>
            </w:pPr>
          </w:p>
        </w:tc>
        <w:tc>
          <w:tcPr>
            <w:tcW w:w="431" w:type="pct"/>
            <w:shd w:val="clear" w:color="auto" w:fill="auto"/>
            <w:vAlign w:val="center"/>
          </w:tcPr>
          <w:p w14:paraId="4629120C">
            <w:pPr>
              <w:pStyle w:val="5"/>
              <w:adjustRightInd w:val="0"/>
              <w:snapToGrid w:val="0"/>
              <w:spacing w:line="240" w:lineRule="auto"/>
              <w:ind w:firstLine="0"/>
              <w:jc w:val="center"/>
              <w:rPr>
                <w:sz w:val="21"/>
                <w:szCs w:val="21"/>
                <w:u w:val="single"/>
              </w:rPr>
            </w:pPr>
            <w:r>
              <w:rPr>
                <w:sz w:val="21"/>
                <w:szCs w:val="21"/>
                <w:u w:val="single"/>
              </w:rPr>
              <w:t>S</w:t>
            </w:r>
            <w:r>
              <w:rPr>
                <w:rFonts w:hint="eastAsia"/>
                <w:sz w:val="21"/>
                <w:szCs w:val="21"/>
                <w:u w:val="single"/>
              </w:rPr>
              <w:t>1-5</w:t>
            </w:r>
          </w:p>
        </w:tc>
        <w:tc>
          <w:tcPr>
            <w:tcW w:w="1019" w:type="pct"/>
            <w:shd w:val="clear" w:color="auto" w:fill="auto"/>
            <w:vAlign w:val="center"/>
          </w:tcPr>
          <w:p w14:paraId="30A62DBA">
            <w:pPr>
              <w:pStyle w:val="5"/>
              <w:adjustRightInd w:val="0"/>
              <w:snapToGrid w:val="0"/>
              <w:spacing w:line="240" w:lineRule="auto"/>
              <w:ind w:firstLine="0"/>
              <w:jc w:val="center"/>
              <w:rPr>
                <w:sz w:val="21"/>
                <w:szCs w:val="21"/>
                <w:u w:val="single"/>
              </w:rPr>
            </w:pPr>
            <w:r>
              <w:rPr>
                <w:sz w:val="21"/>
                <w:szCs w:val="21"/>
                <w:u w:val="single"/>
              </w:rPr>
              <w:t>废包装袋</w:t>
            </w:r>
          </w:p>
        </w:tc>
        <w:tc>
          <w:tcPr>
            <w:tcW w:w="1528" w:type="pct"/>
            <w:shd w:val="clear" w:color="auto" w:fill="auto"/>
            <w:vAlign w:val="center"/>
          </w:tcPr>
          <w:p w14:paraId="72350A77">
            <w:pPr>
              <w:pStyle w:val="5"/>
              <w:adjustRightInd w:val="0"/>
              <w:snapToGrid w:val="0"/>
              <w:spacing w:line="240" w:lineRule="auto"/>
              <w:ind w:firstLine="0"/>
              <w:jc w:val="center"/>
              <w:rPr>
                <w:sz w:val="21"/>
                <w:szCs w:val="21"/>
                <w:u w:val="single"/>
              </w:rPr>
            </w:pPr>
            <w:r>
              <w:rPr>
                <w:rFonts w:hint="eastAsia"/>
                <w:sz w:val="21"/>
                <w:szCs w:val="21"/>
                <w:u w:val="single"/>
              </w:rPr>
              <w:t>原料包装</w:t>
            </w:r>
          </w:p>
        </w:tc>
        <w:tc>
          <w:tcPr>
            <w:tcW w:w="1639" w:type="pct"/>
            <w:shd w:val="clear" w:color="auto" w:fill="auto"/>
            <w:vAlign w:val="center"/>
          </w:tcPr>
          <w:p w14:paraId="77DF6586">
            <w:pPr>
              <w:pStyle w:val="5"/>
              <w:adjustRightInd w:val="0"/>
              <w:snapToGrid w:val="0"/>
              <w:spacing w:line="240" w:lineRule="auto"/>
              <w:ind w:firstLine="0"/>
              <w:jc w:val="center"/>
              <w:rPr>
                <w:sz w:val="21"/>
                <w:szCs w:val="21"/>
                <w:u w:val="single"/>
              </w:rPr>
            </w:pPr>
            <w:r>
              <w:rPr>
                <w:sz w:val="21"/>
                <w:szCs w:val="21"/>
                <w:u w:val="single"/>
              </w:rPr>
              <w:t>废包装袋</w:t>
            </w:r>
          </w:p>
        </w:tc>
      </w:tr>
      <w:tr w14:paraId="58640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428A6A3C">
            <w:pPr>
              <w:pStyle w:val="5"/>
              <w:adjustRightInd w:val="0"/>
              <w:snapToGrid w:val="0"/>
              <w:spacing w:line="240" w:lineRule="auto"/>
              <w:ind w:firstLine="0"/>
              <w:jc w:val="center"/>
              <w:rPr>
                <w:sz w:val="21"/>
                <w:szCs w:val="21"/>
              </w:rPr>
            </w:pPr>
          </w:p>
        </w:tc>
        <w:tc>
          <w:tcPr>
            <w:tcW w:w="431" w:type="pct"/>
            <w:shd w:val="clear" w:color="auto" w:fill="auto"/>
            <w:vAlign w:val="center"/>
          </w:tcPr>
          <w:p w14:paraId="531A482D">
            <w:pPr>
              <w:pStyle w:val="5"/>
              <w:adjustRightInd w:val="0"/>
              <w:snapToGrid w:val="0"/>
              <w:spacing w:line="240" w:lineRule="auto"/>
              <w:ind w:firstLine="0"/>
              <w:jc w:val="center"/>
              <w:rPr>
                <w:sz w:val="21"/>
                <w:szCs w:val="21"/>
                <w:u w:val="single"/>
              </w:rPr>
            </w:pPr>
            <w:r>
              <w:rPr>
                <w:rFonts w:hint="eastAsia"/>
                <w:sz w:val="21"/>
                <w:szCs w:val="21"/>
                <w:u w:val="single"/>
              </w:rPr>
              <w:t>S1-6</w:t>
            </w:r>
          </w:p>
        </w:tc>
        <w:tc>
          <w:tcPr>
            <w:tcW w:w="1019" w:type="pct"/>
            <w:shd w:val="clear" w:color="auto" w:fill="auto"/>
            <w:vAlign w:val="center"/>
          </w:tcPr>
          <w:p w14:paraId="324FD205">
            <w:pPr>
              <w:pStyle w:val="5"/>
              <w:adjustRightInd w:val="0"/>
              <w:snapToGrid w:val="0"/>
              <w:spacing w:line="240" w:lineRule="auto"/>
              <w:ind w:firstLine="0"/>
              <w:jc w:val="center"/>
              <w:rPr>
                <w:sz w:val="21"/>
                <w:szCs w:val="21"/>
                <w:u w:val="single"/>
              </w:rPr>
            </w:pPr>
            <w:r>
              <w:rPr>
                <w:sz w:val="21"/>
                <w:szCs w:val="21"/>
                <w:u w:val="single"/>
              </w:rPr>
              <w:t>车间沉降粉尘</w:t>
            </w:r>
          </w:p>
        </w:tc>
        <w:tc>
          <w:tcPr>
            <w:tcW w:w="1528" w:type="pct"/>
            <w:shd w:val="clear" w:color="auto" w:fill="auto"/>
            <w:vAlign w:val="center"/>
          </w:tcPr>
          <w:p w14:paraId="3B38E455">
            <w:pPr>
              <w:pStyle w:val="5"/>
              <w:adjustRightInd w:val="0"/>
              <w:snapToGrid w:val="0"/>
              <w:spacing w:line="240" w:lineRule="auto"/>
              <w:ind w:firstLine="0"/>
              <w:jc w:val="center"/>
              <w:rPr>
                <w:sz w:val="21"/>
                <w:szCs w:val="21"/>
                <w:u w:val="single"/>
              </w:rPr>
            </w:pPr>
            <w:r>
              <w:rPr>
                <w:rFonts w:hint="eastAsia"/>
                <w:sz w:val="21"/>
                <w:szCs w:val="21"/>
                <w:u w:val="single"/>
              </w:rPr>
              <w:t>破碎、包装</w:t>
            </w:r>
          </w:p>
        </w:tc>
        <w:tc>
          <w:tcPr>
            <w:tcW w:w="1639" w:type="pct"/>
            <w:shd w:val="clear" w:color="auto" w:fill="auto"/>
            <w:vAlign w:val="center"/>
          </w:tcPr>
          <w:p w14:paraId="109C548B">
            <w:pPr>
              <w:pStyle w:val="5"/>
              <w:adjustRightInd w:val="0"/>
              <w:snapToGrid w:val="0"/>
              <w:spacing w:line="240" w:lineRule="auto"/>
              <w:ind w:firstLine="0"/>
              <w:jc w:val="center"/>
              <w:rPr>
                <w:sz w:val="21"/>
                <w:szCs w:val="21"/>
                <w:u w:val="single"/>
              </w:rPr>
            </w:pPr>
            <w:r>
              <w:rPr>
                <w:sz w:val="21"/>
                <w:szCs w:val="21"/>
                <w:u w:val="single"/>
              </w:rPr>
              <w:t>SS、钴</w:t>
            </w:r>
          </w:p>
        </w:tc>
      </w:tr>
      <w:tr w14:paraId="0593C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14BBFB6">
            <w:pPr>
              <w:pStyle w:val="5"/>
              <w:adjustRightInd w:val="0"/>
              <w:snapToGrid w:val="0"/>
              <w:spacing w:line="240" w:lineRule="auto"/>
              <w:ind w:firstLine="0"/>
              <w:jc w:val="center"/>
              <w:rPr>
                <w:sz w:val="21"/>
                <w:szCs w:val="21"/>
              </w:rPr>
            </w:pPr>
          </w:p>
        </w:tc>
        <w:tc>
          <w:tcPr>
            <w:tcW w:w="431" w:type="pct"/>
            <w:shd w:val="clear" w:color="auto" w:fill="auto"/>
            <w:vAlign w:val="center"/>
          </w:tcPr>
          <w:p w14:paraId="2206552D">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-1</w:t>
            </w:r>
          </w:p>
        </w:tc>
        <w:tc>
          <w:tcPr>
            <w:tcW w:w="1019" w:type="pct"/>
            <w:shd w:val="clear" w:color="auto" w:fill="auto"/>
            <w:vAlign w:val="center"/>
          </w:tcPr>
          <w:p w14:paraId="67FE71B1">
            <w:pPr>
              <w:pStyle w:val="5"/>
              <w:adjustRightInd w:val="0"/>
              <w:snapToGrid w:val="0"/>
              <w:spacing w:line="240" w:lineRule="auto"/>
              <w:ind w:firstLine="0"/>
              <w:jc w:val="center"/>
              <w:rPr>
                <w:sz w:val="21"/>
                <w:szCs w:val="21"/>
              </w:rPr>
            </w:pPr>
            <w:r>
              <w:rPr>
                <w:sz w:val="21"/>
                <w:szCs w:val="21"/>
              </w:rPr>
              <w:t>废润滑油</w:t>
            </w:r>
          </w:p>
        </w:tc>
        <w:tc>
          <w:tcPr>
            <w:tcW w:w="1528" w:type="pct"/>
            <w:shd w:val="clear" w:color="auto" w:fill="auto"/>
            <w:vAlign w:val="center"/>
          </w:tcPr>
          <w:p w14:paraId="275C850B">
            <w:pPr>
              <w:pStyle w:val="5"/>
              <w:adjustRightInd w:val="0"/>
              <w:snapToGrid w:val="0"/>
              <w:spacing w:line="240" w:lineRule="auto"/>
              <w:ind w:firstLine="0"/>
              <w:jc w:val="center"/>
              <w:rPr>
                <w:sz w:val="21"/>
                <w:szCs w:val="21"/>
              </w:rPr>
            </w:pPr>
            <w:r>
              <w:rPr>
                <w:sz w:val="21"/>
                <w:szCs w:val="21"/>
              </w:rPr>
              <w:t>机械维修</w:t>
            </w:r>
          </w:p>
        </w:tc>
        <w:tc>
          <w:tcPr>
            <w:tcW w:w="1639" w:type="pct"/>
            <w:shd w:val="clear" w:color="auto" w:fill="auto"/>
            <w:vAlign w:val="center"/>
          </w:tcPr>
          <w:p w14:paraId="2368C67F">
            <w:pPr>
              <w:pStyle w:val="5"/>
              <w:adjustRightInd w:val="0"/>
              <w:snapToGrid w:val="0"/>
              <w:spacing w:line="240" w:lineRule="auto"/>
              <w:ind w:firstLine="0"/>
              <w:jc w:val="center"/>
              <w:rPr>
                <w:sz w:val="21"/>
                <w:szCs w:val="21"/>
              </w:rPr>
            </w:pPr>
            <w:r>
              <w:rPr>
                <w:sz w:val="21"/>
                <w:szCs w:val="21"/>
              </w:rPr>
              <w:t>废润滑油</w:t>
            </w:r>
          </w:p>
        </w:tc>
      </w:tr>
      <w:tr w14:paraId="54882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3" w:type="pct"/>
            <w:vMerge w:val="continue"/>
            <w:shd w:val="clear" w:color="auto" w:fill="auto"/>
            <w:vAlign w:val="center"/>
          </w:tcPr>
          <w:p w14:paraId="11036DFD">
            <w:pPr>
              <w:pStyle w:val="5"/>
              <w:adjustRightInd w:val="0"/>
              <w:snapToGrid w:val="0"/>
              <w:spacing w:line="240" w:lineRule="auto"/>
              <w:ind w:firstLine="0"/>
              <w:jc w:val="center"/>
              <w:rPr>
                <w:sz w:val="21"/>
                <w:szCs w:val="21"/>
              </w:rPr>
            </w:pPr>
          </w:p>
        </w:tc>
        <w:tc>
          <w:tcPr>
            <w:tcW w:w="431" w:type="pct"/>
            <w:shd w:val="clear" w:color="auto" w:fill="auto"/>
            <w:vAlign w:val="center"/>
          </w:tcPr>
          <w:p w14:paraId="4B9F43CC">
            <w:pPr>
              <w:pStyle w:val="5"/>
              <w:adjustRightInd w:val="0"/>
              <w:snapToGrid w:val="0"/>
              <w:spacing w:line="240" w:lineRule="auto"/>
              <w:ind w:firstLine="0"/>
              <w:jc w:val="center"/>
              <w:rPr>
                <w:sz w:val="21"/>
                <w:szCs w:val="21"/>
              </w:rPr>
            </w:pPr>
            <w:r>
              <w:rPr>
                <w:sz w:val="21"/>
                <w:szCs w:val="21"/>
              </w:rPr>
              <w:t>S</w:t>
            </w:r>
            <w:r>
              <w:rPr>
                <w:rFonts w:hint="eastAsia"/>
                <w:sz w:val="21"/>
                <w:szCs w:val="21"/>
              </w:rPr>
              <w:t>2</w:t>
            </w:r>
            <w:r>
              <w:rPr>
                <w:sz w:val="21"/>
                <w:szCs w:val="21"/>
              </w:rPr>
              <w:t>-2</w:t>
            </w:r>
          </w:p>
        </w:tc>
        <w:tc>
          <w:tcPr>
            <w:tcW w:w="1019" w:type="pct"/>
            <w:shd w:val="clear" w:color="auto" w:fill="auto"/>
            <w:vAlign w:val="center"/>
          </w:tcPr>
          <w:p w14:paraId="37F8CE7D">
            <w:pPr>
              <w:pStyle w:val="5"/>
              <w:adjustRightInd w:val="0"/>
              <w:snapToGrid w:val="0"/>
              <w:spacing w:line="240" w:lineRule="auto"/>
              <w:ind w:firstLine="0"/>
              <w:jc w:val="center"/>
              <w:rPr>
                <w:sz w:val="21"/>
                <w:szCs w:val="21"/>
              </w:rPr>
            </w:pPr>
            <w:r>
              <w:rPr>
                <w:sz w:val="21"/>
                <w:szCs w:val="21"/>
              </w:rPr>
              <w:t>生活垃圾</w:t>
            </w:r>
          </w:p>
        </w:tc>
        <w:tc>
          <w:tcPr>
            <w:tcW w:w="1528" w:type="pct"/>
            <w:shd w:val="clear" w:color="auto" w:fill="auto"/>
            <w:vAlign w:val="center"/>
          </w:tcPr>
          <w:p w14:paraId="5F166208">
            <w:pPr>
              <w:pStyle w:val="5"/>
              <w:adjustRightInd w:val="0"/>
              <w:snapToGrid w:val="0"/>
              <w:spacing w:line="240" w:lineRule="auto"/>
              <w:ind w:firstLine="0"/>
              <w:jc w:val="center"/>
              <w:rPr>
                <w:sz w:val="21"/>
                <w:szCs w:val="21"/>
              </w:rPr>
            </w:pPr>
            <w:r>
              <w:rPr>
                <w:sz w:val="21"/>
                <w:szCs w:val="21"/>
              </w:rPr>
              <w:t>员工</w:t>
            </w:r>
          </w:p>
        </w:tc>
        <w:tc>
          <w:tcPr>
            <w:tcW w:w="1639" w:type="pct"/>
            <w:shd w:val="clear" w:color="auto" w:fill="auto"/>
            <w:vAlign w:val="center"/>
          </w:tcPr>
          <w:p w14:paraId="78BBB7D3">
            <w:pPr>
              <w:pStyle w:val="5"/>
              <w:adjustRightInd w:val="0"/>
              <w:snapToGrid w:val="0"/>
              <w:spacing w:line="240" w:lineRule="auto"/>
              <w:ind w:firstLine="0"/>
              <w:jc w:val="center"/>
              <w:rPr>
                <w:sz w:val="21"/>
                <w:szCs w:val="21"/>
              </w:rPr>
            </w:pPr>
            <w:r>
              <w:rPr>
                <w:sz w:val="21"/>
                <w:szCs w:val="21"/>
              </w:rPr>
              <w:t>生活垃圾</w:t>
            </w:r>
          </w:p>
        </w:tc>
      </w:tr>
    </w:tbl>
    <w:p w14:paraId="057CCB10">
      <w:pPr>
        <w:pStyle w:val="6"/>
        <w:numPr>
          <w:ilvl w:val="2"/>
          <w:numId w:val="11"/>
        </w:numPr>
        <w:tabs>
          <w:tab w:val="left" w:pos="1080"/>
        </w:tabs>
        <w:spacing w:line="400" w:lineRule="exact"/>
        <w:rPr>
          <w:rFonts w:ascii="Arial" w:hAnsi="Arial" w:eastAsia="宋体" w:cs="Arial"/>
        </w:rPr>
      </w:pPr>
      <w:r>
        <w:rPr>
          <w:rFonts w:ascii="Arial" w:hAnsi="Arial" w:eastAsia="宋体" w:cs="Arial"/>
        </w:rPr>
        <w:t>大气污染源强汇总</w:t>
      </w:r>
      <w:bookmarkEnd w:id="267"/>
    </w:p>
    <w:p w14:paraId="1F86E34E">
      <w:pPr>
        <w:pStyle w:val="5"/>
        <w:spacing w:line="500" w:lineRule="exact"/>
        <w:ind w:firstLine="0"/>
        <w:outlineLvl w:val="3"/>
        <w:rPr>
          <w:b/>
        </w:rPr>
      </w:pPr>
      <w:r>
        <w:rPr>
          <w:b/>
        </w:rPr>
        <w:t>2.</w:t>
      </w:r>
      <w:r>
        <w:rPr>
          <w:rFonts w:hint="eastAsia"/>
          <w:b/>
        </w:rPr>
        <w:t>5</w:t>
      </w:r>
      <w:r>
        <w:rPr>
          <w:b/>
        </w:rPr>
        <w:t>.2.1项目变更前大气污染源强汇总</w:t>
      </w:r>
    </w:p>
    <w:p w14:paraId="14CAED8C">
      <w:pPr>
        <w:pStyle w:val="5"/>
        <w:spacing w:line="500" w:lineRule="exact"/>
        <w:ind w:firstLine="490" w:firstLineChars="200"/>
      </w:pPr>
      <w:r>
        <w:t>项目变更前废气</w:t>
      </w:r>
      <w:r>
        <w:rPr>
          <w:rFonts w:hint="eastAsia"/>
        </w:rPr>
        <w:t>排放情况</w:t>
      </w:r>
      <w:r>
        <w:t>见表2-</w:t>
      </w:r>
      <w:r>
        <w:rPr>
          <w:rFonts w:hint="eastAsia"/>
        </w:rPr>
        <w:t>62</w:t>
      </w:r>
      <w:r>
        <w:t>，汇总见表</w:t>
      </w:r>
      <w:r>
        <w:rPr>
          <w:rFonts w:hint="eastAsia"/>
        </w:rPr>
        <w:t>2-63</w:t>
      </w:r>
      <w:r>
        <w:t>。</w:t>
      </w:r>
    </w:p>
    <w:p w14:paraId="4807CEE7">
      <w:pPr>
        <w:pStyle w:val="5"/>
        <w:keepNext/>
        <w:numPr>
          <w:ilvl w:val="0"/>
          <w:numId w:val="12"/>
        </w:numPr>
        <w:adjustRightInd w:val="0"/>
        <w:snapToGrid w:val="0"/>
        <w:spacing w:line="500" w:lineRule="exact"/>
        <w:ind w:left="0" w:firstLine="0"/>
        <w:jc w:val="center"/>
        <w:outlineLvl w:val="4"/>
        <w:rPr>
          <w:b/>
        </w:rPr>
      </w:pPr>
      <w:r>
        <w:rPr>
          <w:b/>
        </w:rPr>
        <w:t>项目变更前废气</w:t>
      </w:r>
      <w:r>
        <w:rPr>
          <w:rFonts w:hint="eastAsia"/>
          <w:b/>
        </w:rPr>
        <w:t>排放情况</w:t>
      </w:r>
      <w:r>
        <w:rPr>
          <w:b/>
        </w:rPr>
        <w:t>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870"/>
        <w:gridCol w:w="842"/>
        <w:gridCol w:w="1427"/>
        <w:gridCol w:w="780"/>
        <w:gridCol w:w="922"/>
        <w:gridCol w:w="935"/>
        <w:gridCol w:w="1150"/>
        <w:gridCol w:w="1297"/>
      </w:tblGrid>
      <w:tr w14:paraId="7BB9A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4" w:type="pct"/>
            <w:vMerge w:val="restart"/>
            <w:vAlign w:val="center"/>
          </w:tcPr>
          <w:p w14:paraId="6E9952D9">
            <w:pPr>
              <w:adjustRightInd w:val="0"/>
              <w:snapToGrid w:val="0"/>
              <w:jc w:val="center"/>
              <w:rPr>
                <w:rFonts w:ascii="Arial" w:hAnsi="Arial" w:eastAsia="宋体" w:cs="Arial"/>
                <w:sz w:val="21"/>
                <w:szCs w:val="24"/>
              </w:rPr>
            </w:pPr>
            <w:r>
              <w:rPr>
                <w:rFonts w:ascii="Arial" w:hAnsi="Arial" w:eastAsia="宋体" w:cs="Arial"/>
                <w:sz w:val="21"/>
                <w:szCs w:val="24"/>
              </w:rPr>
              <w:t>污染源</w:t>
            </w:r>
          </w:p>
        </w:tc>
        <w:tc>
          <w:tcPr>
            <w:tcW w:w="468" w:type="pct"/>
            <w:vMerge w:val="restart"/>
            <w:vAlign w:val="center"/>
          </w:tcPr>
          <w:p w14:paraId="0B0C545C">
            <w:pPr>
              <w:adjustRightInd w:val="0"/>
              <w:snapToGrid w:val="0"/>
              <w:jc w:val="center"/>
              <w:rPr>
                <w:rFonts w:ascii="Arial" w:hAnsi="Arial" w:eastAsia="宋体" w:cs="Arial"/>
                <w:sz w:val="21"/>
                <w:szCs w:val="24"/>
              </w:rPr>
            </w:pPr>
            <w:r>
              <w:rPr>
                <w:rFonts w:ascii="Arial" w:hAnsi="Arial" w:eastAsia="宋体" w:cs="Arial"/>
                <w:sz w:val="21"/>
                <w:szCs w:val="24"/>
              </w:rPr>
              <w:t>排气筒编号</w:t>
            </w:r>
          </w:p>
        </w:tc>
        <w:tc>
          <w:tcPr>
            <w:tcW w:w="453" w:type="pct"/>
            <w:vMerge w:val="restart"/>
            <w:vAlign w:val="center"/>
          </w:tcPr>
          <w:p w14:paraId="730CF4E8">
            <w:pPr>
              <w:adjustRightInd w:val="0"/>
              <w:snapToGrid w:val="0"/>
              <w:jc w:val="center"/>
              <w:rPr>
                <w:rFonts w:ascii="Arial" w:hAnsi="Arial" w:eastAsia="宋体" w:cs="Arial"/>
                <w:sz w:val="21"/>
                <w:szCs w:val="24"/>
              </w:rPr>
            </w:pPr>
            <w:r>
              <w:rPr>
                <w:rFonts w:ascii="Arial" w:hAnsi="Arial" w:eastAsia="宋体" w:cs="Arial"/>
                <w:sz w:val="21"/>
                <w:szCs w:val="24"/>
              </w:rPr>
              <w:t>烟气量</w:t>
            </w:r>
          </w:p>
          <w:p w14:paraId="531C5DEB">
            <w:pPr>
              <w:adjustRightInd w:val="0"/>
              <w:snapToGrid w:val="0"/>
              <w:jc w:val="center"/>
              <w:rPr>
                <w:rFonts w:ascii="Arial" w:hAnsi="Arial" w:eastAsia="宋体" w:cs="Arial"/>
                <w:sz w:val="21"/>
                <w:szCs w:val="24"/>
              </w:rPr>
            </w:pPr>
            <w:r>
              <w:rPr>
                <w:rFonts w:ascii="Arial" w:hAnsi="Arial" w:eastAsia="宋体" w:cs="Arial"/>
                <w:sz w:val="21"/>
                <w:szCs w:val="24"/>
              </w:rPr>
              <w:t>Nm</w:t>
            </w:r>
            <w:r>
              <w:rPr>
                <w:rFonts w:ascii="Arial" w:hAnsi="Arial" w:eastAsia="宋体" w:cs="Arial"/>
                <w:sz w:val="21"/>
                <w:szCs w:val="24"/>
                <w:vertAlign w:val="superscript"/>
              </w:rPr>
              <w:t>3</w:t>
            </w:r>
            <w:r>
              <w:rPr>
                <w:rFonts w:ascii="Arial" w:hAnsi="Arial" w:eastAsia="宋体" w:cs="Arial"/>
                <w:sz w:val="21"/>
                <w:szCs w:val="24"/>
              </w:rPr>
              <w:t>/h</w:t>
            </w:r>
          </w:p>
        </w:tc>
        <w:tc>
          <w:tcPr>
            <w:tcW w:w="768" w:type="pct"/>
            <w:vMerge w:val="restart"/>
            <w:vAlign w:val="center"/>
          </w:tcPr>
          <w:p w14:paraId="024BE11C">
            <w:pPr>
              <w:adjustRightInd w:val="0"/>
              <w:snapToGrid w:val="0"/>
              <w:jc w:val="center"/>
              <w:rPr>
                <w:rFonts w:ascii="Arial" w:hAnsi="Arial" w:eastAsia="宋体" w:cs="Arial"/>
                <w:sz w:val="21"/>
                <w:szCs w:val="24"/>
              </w:rPr>
            </w:pPr>
            <w:r>
              <w:rPr>
                <w:rFonts w:ascii="Arial" w:hAnsi="Arial" w:eastAsia="宋体" w:cs="Arial"/>
                <w:sz w:val="21"/>
                <w:szCs w:val="24"/>
              </w:rPr>
              <w:t>污染物</w:t>
            </w:r>
          </w:p>
        </w:tc>
        <w:tc>
          <w:tcPr>
            <w:tcW w:w="1419" w:type="pct"/>
            <w:gridSpan w:val="3"/>
            <w:vAlign w:val="center"/>
          </w:tcPr>
          <w:p w14:paraId="34078F64">
            <w:pPr>
              <w:widowControl/>
              <w:adjustRightInd w:val="0"/>
              <w:snapToGrid w:val="0"/>
              <w:jc w:val="center"/>
              <w:rPr>
                <w:rFonts w:ascii="Arial" w:hAnsi="Arial" w:eastAsia="宋体" w:cs="Arial"/>
                <w:kern w:val="0"/>
                <w:sz w:val="21"/>
              </w:rPr>
            </w:pPr>
            <w:r>
              <w:rPr>
                <w:rFonts w:ascii="Arial" w:hAnsi="Arial" w:eastAsia="宋体" w:cs="Arial"/>
                <w:kern w:val="0"/>
                <w:sz w:val="21"/>
              </w:rPr>
              <w:t>排放情况</w:t>
            </w:r>
          </w:p>
        </w:tc>
        <w:tc>
          <w:tcPr>
            <w:tcW w:w="619" w:type="pct"/>
            <w:vMerge w:val="restart"/>
            <w:vAlign w:val="center"/>
          </w:tcPr>
          <w:p w14:paraId="2114CD38">
            <w:pPr>
              <w:widowControl/>
              <w:adjustRightInd w:val="0"/>
              <w:snapToGrid w:val="0"/>
              <w:jc w:val="center"/>
              <w:rPr>
                <w:rFonts w:ascii="Arial" w:hAnsi="Arial" w:eastAsia="宋体" w:cs="Arial"/>
                <w:kern w:val="0"/>
                <w:sz w:val="21"/>
              </w:rPr>
            </w:pPr>
            <w:r>
              <w:rPr>
                <w:rFonts w:ascii="Arial" w:hAnsi="Arial" w:eastAsia="宋体" w:cs="Arial"/>
                <w:kern w:val="0"/>
                <w:sz w:val="21"/>
              </w:rPr>
              <w:t>治理措施</w:t>
            </w:r>
          </w:p>
        </w:tc>
        <w:tc>
          <w:tcPr>
            <w:tcW w:w="698" w:type="pct"/>
            <w:vMerge w:val="restart"/>
            <w:vAlign w:val="center"/>
          </w:tcPr>
          <w:p w14:paraId="36119850">
            <w:pPr>
              <w:widowControl/>
              <w:adjustRightInd w:val="0"/>
              <w:snapToGrid w:val="0"/>
              <w:jc w:val="center"/>
              <w:rPr>
                <w:rFonts w:ascii="Arial" w:hAnsi="Arial" w:eastAsia="宋体" w:cs="Arial"/>
                <w:kern w:val="0"/>
                <w:sz w:val="21"/>
              </w:rPr>
            </w:pPr>
            <w:r>
              <w:rPr>
                <w:rFonts w:ascii="Arial" w:hAnsi="Arial" w:eastAsia="宋体" w:cs="Arial"/>
                <w:kern w:val="0"/>
                <w:sz w:val="21"/>
              </w:rPr>
              <w:t>排气筒参数</w:t>
            </w:r>
          </w:p>
          <w:p w14:paraId="5C0D0D07">
            <w:pPr>
              <w:widowControl/>
              <w:adjustRightInd w:val="0"/>
              <w:snapToGrid w:val="0"/>
              <w:jc w:val="center"/>
              <w:rPr>
                <w:rFonts w:ascii="Arial" w:hAnsi="Arial" w:eastAsia="宋体" w:cs="Arial"/>
                <w:kern w:val="0"/>
                <w:sz w:val="21"/>
              </w:rPr>
            </w:pPr>
            <w:r>
              <w:rPr>
                <w:rFonts w:ascii="Arial" w:hAnsi="Arial" w:eastAsia="宋体" w:cs="Arial"/>
                <w:kern w:val="0"/>
                <w:sz w:val="21"/>
              </w:rPr>
              <w:t>高/内径/温度</w:t>
            </w:r>
          </w:p>
        </w:tc>
      </w:tr>
      <w:tr w14:paraId="49857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4" w:type="pct"/>
            <w:vMerge w:val="continue"/>
            <w:vAlign w:val="center"/>
          </w:tcPr>
          <w:p w14:paraId="1C8E73FB">
            <w:pPr>
              <w:adjustRightInd w:val="0"/>
              <w:snapToGrid w:val="0"/>
              <w:jc w:val="center"/>
              <w:rPr>
                <w:rFonts w:ascii="Arial" w:hAnsi="Arial" w:eastAsia="宋体" w:cs="Arial"/>
                <w:sz w:val="21"/>
                <w:szCs w:val="24"/>
              </w:rPr>
            </w:pPr>
          </w:p>
        </w:tc>
        <w:tc>
          <w:tcPr>
            <w:tcW w:w="468" w:type="pct"/>
            <w:vMerge w:val="continue"/>
            <w:vAlign w:val="center"/>
          </w:tcPr>
          <w:p w14:paraId="2004290C">
            <w:pPr>
              <w:adjustRightInd w:val="0"/>
              <w:snapToGrid w:val="0"/>
              <w:jc w:val="center"/>
              <w:rPr>
                <w:rFonts w:ascii="Arial" w:hAnsi="Arial" w:eastAsia="宋体" w:cs="Arial"/>
                <w:sz w:val="21"/>
                <w:szCs w:val="24"/>
              </w:rPr>
            </w:pPr>
          </w:p>
        </w:tc>
        <w:tc>
          <w:tcPr>
            <w:tcW w:w="453" w:type="pct"/>
            <w:vMerge w:val="continue"/>
            <w:vAlign w:val="center"/>
          </w:tcPr>
          <w:p w14:paraId="5AA76210">
            <w:pPr>
              <w:adjustRightInd w:val="0"/>
              <w:snapToGrid w:val="0"/>
              <w:jc w:val="center"/>
              <w:rPr>
                <w:rFonts w:ascii="Arial" w:hAnsi="Arial" w:eastAsia="宋体" w:cs="Arial"/>
                <w:sz w:val="21"/>
                <w:szCs w:val="24"/>
              </w:rPr>
            </w:pPr>
          </w:p>
        </w:tc>
        <w:tc>
          <w:tcPr>
            <w:tcW w:w="768" w:type="pct"/>
            <w:vMerge w:val="continue"/>
            <w:vAlign w:val="center"/>
          </w:tcPr>
          <w:p w14:paraId="6269DC33">
            <w:pPr>
              <w:adjustRightInd w:val="0"/>
              <w:snapToGrid w:val="0"/>
              <w:jc w:val="center"/>
              <w:rPr>
                <w:rFonts w:ascii="Arial" w:hAnsi="Arial" w:eastAsia="宋体" w:cs="Arial"/>
                <w:sz w:val="21"/>
                <w:szCs w:val="24"/>
              </w:rPr>
            </w:pPr>
          </w:p>
        </w:tc>
        <w:tc>
          <w:tcPr>
            <w:tcW w:w="420" w:type="pct"/>
            <w:vAlign w:val="center"/>
          </w:tcPr>
          <w:p w14:paraId="123168F2">
            <w:pPr>
              <w:widowControl/>
              <w:adjustRightInd w:val="0"/>
              <w:snapToGrid w:val="0"/>
              <w:jc w:val="center"/>
              <w:rPr>
                <w:rFonts w:ascii="Arial" w:hAnsi="Arial" w:eastAsia="宋体" w:cs="Arial"/>
                <w:kern w:val="0"/>
                <w:sz w:val="21"/>
              </w:rPr>
            </w:pPr>
            <w:r>
              <w:rPr>
                <w:rFonts w:ascii="Arial" w:hAnsi="Arial" w:eastAsia="宋体" w:cs="Arial"/>
                <w:kern w:val="0"/>
                <w:sz w:val="21"/>
              </w:rPr>
              <w:t>mg/m</w:t>
            </w:r>
            <w:r>
              <w:rPr>
                <w:rFonts w:ascii="Arial" w:hAnsi="Arial" w:eastAsia="宋体" w:cs="Arial"/>
                <w:kern w:val="0"/>
                <w:sz w:val="21"/>
                <w:vertAlign w:val="superscript"/>
              </w:rPr>
              <w:t>3</w:t>
            </w:r>
          </w:p>
        </w:tc>
        <w:tc>
          <w:tcPr>
            <w:tcW w:w="496" w:type="pct"/>
            <w:vAlign w:val="center"/>
          </w:tcPr>
          <w:p w14:paraId="0C93CC48">
            <w:pPr>
              <w:widowControl/>
              <w:adjustRightInd w:val="0"/>
              <w:snapToGrid w:val="0"/>
              <w:jc w:val="center"/>
              <w:rPr>
                <w:rFonts w:ascii="Arial" w:hAnsi="Arial" w:eastAsia="宋体" w:cs="Arial"/>
                <w:kern w:val="0"/>
                <w:sz w:val="21"/>
              </w:rPr>
            </w:pPr>
            <w:r>
              <w:rPr>
                <w:rFonts w:ascii="Arial" w:hAnsi="Arial" w:eastAsia="宋体" w:cs="Arial"/>
                <w:kern w:val="0"/>
                <w:sz w:val="21"/>
              </w:rPr>
              <w:t>kg/h</w:t>
            </w:r>
          </w:p>
        </w:tc>
        <w:tc>
          <w:tcPr>
            <w:tcW w:w="503" w:type="pct"/>
            <w:vAlign w:val="center"/>
          </w:tcPr>
          <w:p w14:paraId="1D109AC2">
            <w:pPr>
              <w:widowControl/>
              <w:adjustRightInd w:val="0"/>
              <w:snapToGrid w:val="0"/>
              <w:jc w:val="center"/>
              <w:rPr>
                <w:rFonts w:ascii="Arial" w:hAnsi="Arial" w:eastAsia="宋体" w:cs="Arial"/>
                <w:kern w:val="0"/>
                <w:sz w:val="21"/>
              </w:rPr>
            </w:pPr>
            <w:r>
              <w:rPr>
                <w:rFonts w:ascii="Arial" w:hAnsi="Arial" w:eastAsia="宋体" w:cs="Arial"/>
                <w:kern w:val="0"/>
                <w:sz w:val="21"/>
              </w:rPr>
              <w:t>t/a</w:t>
            </w:r>
          </w:p>
        </w:tc>
        <w:tc>
          <w:tcPr>
            <w:tcW w:w="619" w:type="pct"/>
            <w:vMerge w:val="continue"/>
            <w:vAlign w:val="center"/>
          </w:tcPr>
          <w:p w14:paraId="210DCB96">
            <w:pPr>
              <w:widowControl/>
              <w:adjustRightInd w:val="0"/>
              <w:snapToGrid w:val="0"/>
              <w:jc w:val="center"/>
              <w:rPr>
                <w:rFonts w:ascii="Arial" w:hAnsi="Arial" w:eastAsia="宋体" w:cs="Arial"/>
                <w:kern w:val="0"/>
                <w:sz w:val="21"/>
              </w:rPr>
            </w:pPr>
          </w:p>
        </w:tc>
        <w:tc>
          <w:tcPr>
            <w:tcW w:w="698" w:type="pct"/>
            <w:vMerge w:val="continue"/>
            <w:vAlign w:val="center"/>
          </w:tcPr>
          <w:p w14:paraId="2947FB6E">
            <w:pPr>
              <w:widowControl/>
              <w:adjustRightInd w:val="0"/>
              <w:snapToGrid w:val="0"/>
              <w:jc w:val="center"/>
              <w:rPr>
                <w:rFonts w:ascii="Arial" w:hAnsi="Arial" w:eastAsia="宋体" w:cs="Arial"/>
                <w:kern w:val="0"/>
                <w:sz w:val="21"/>
              </w:rPr>
            </w:pPr>
          </w:p>
        </w:tc>
      </w:tr>
      <w:tr w14:paraId="66218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4" w:type="pct"/>
            <w:vMerge w:val="restart"/>
            <w:vAlign w:val="center"/>
          </w:tcPr>
          <w:p w14:paraId="215E887E">
            <w:pPr>
              <w:adjustRightInd w:val="0"/>
              <w:snapToGrid w:val="0"/>
              <w:jc w:val="center"/>
              <w:rPr>
                <w:rFonts w:ascii="Arial" w:hAnsi="Arial" w:eastAsia="宋体" w:cs="Arial"/>
                <w:sz w:val="21"/>
                <w:szCs w:val="24"/>
              </w:rPr>
            </w:pPr>
            <w:r>
              <w:rPr>
                <w:rFonts w:ascii="Arial" w:hAnsi="Arial" w:eastAsia="宋体" w:cs="Arial"/>
                <w:sz w:val="21"/>
                <w:szCs w:val="24"/>
              </w:rPr>
              <w:t>溶解废气</w:t>
            </w:r>
          </w:p>
        </w:tc>
        <w:tc>
          <w:tcPr>
            <w:tcW w:w="468" w:type="pct"/>
            <w:vAlign w:val="center"/>
          </w:tcPr>
          <w:p w14:paraId="42A71394">
            <w:pPr>
              <w:adjustRightInd w:val="0"/>
              <w:snapToGrid w:val="0"/>
              <w:jc w:val="center"/>
              <w:rPr>
                <w:rFonts w:ascii="Arial" w:hAnsi="Arial" w:eastAsia="宋体" w:cs="Arial"/>
                <w:sz w:val="21"/>
                <w:szCs w:val="24"/>
              </w:rPr>
            </w:pPr>
            <w:r>
              <w:rPr>
                <w:rFonts w:hint="eastAsia" w:ascii="Arial" w:hAnsi="Arial" w:eastAsia="宋体" w:cs="Arial"/>
                <w:sz w:val="21"/>
                <w:szCs w:val="24"/>
              </w:rPr>
              <w:t>1-1#</w:t>
            </w:r>
          </w:p>
        </w:tc>
        <w:tc>
          <w:tcPr>
            <w:tcW w:w="453" w:type="pct"/>
            <w:vAlign w:val="center"/>
          </w:tcPr>
          <w:p w14:paraId="1EA6EB63">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47000</w:t>
            </w:r>
          </w:p>
        </w:tc>
        <w:tc>
          <w:tcPr>
            <w:tcW w:w="768" w:type="pct"/>
            <w:vAlign w:val="center"/>
          </w:tcPr>
          <w:p w14:paraId="04A0E78C">
            <w:pPr>
              <w:adjustRightInd w:val="0"/>
              <w:snapToGrid w:val="0"/>
              <w:jc w:val="center"/>
              <w:rPr>
                <w:rFonts w:ascii="宋体" w:hAnsi="宋体" w:eastAsia="宋体" w:cs="Arial"/>
                <w:bCs/>
                <w:sz w:val="21"/>
                <w:szCs w:val="21"/>
              </w:rPr>
            </w:pPr>
            <w:r>
              <w:rPr>
                <w:rFonts w:ascii="宋体" w:hAnsi="宋体" w:eastAsia="宋体" w:cs="Arial"/>
                <w:bCs/>
                <w:sz w:val="21"/>
                <w:szCs w:val="21"/>
              </w:rPr>
              <w:t>硫酸雾</w:t>
            </w:r>
          </w:p>
        </w:tc>
        <w:tc>
          <w:tcPr>
            <w:tcW w:w="420" w:type="pct"/>
            <w:vAlign w:val="center"/>
          </w:tcPr>
          <w:p w14:paraId="2BDF8A47">
            <w:pPr>
              <w:widowControl/>
              <w:adjustRightInd w:val="0"/>
              <w:snapToGrid w:val="0"/>
              <w:jc w:val="center"/>
              <w:rPr>
                <w:rFonts w:ascii="Arial" w:hAnsi="Arial" w:cs="Arial"/>
                <w:kern w:val="0"/>
                <w:sz w:val="21"/>
              </w:rPr>
            </w:pPr>
            <w:r>
              <w:rPr>
                <w:rFonts w:hint="eastAsia" w:ascii="Arial" w:hAnsi="Arial" w:cs="Arial"/>
                <w:kern w:val="0"/>
                <w:sz w:val="21"/>
              </w:rPr>
              <w:t>4.2</w:t>
            </w:r>
          </w:p>
        </w:tc>
        <w:tc>
          <w:tcPr>
            <w:tcW w:w="496" w:type="pct"/>
            <w:vAlign w:val="center"/>
          </w:tcPr>
          <w:p w14:paraId="39C883E9">
            <w:pPr>
              <w:widowControl/>
              <w:adjustRightInd w:val="0"/>
              <w:snapToGrid w:val="0"/>
              <w:jc w:val="center"/>
              <w:rPr>
                <w:rFonts w:ascii="Arial" w:hAnsi="Arial" w:cs="Arial"/>
                <w:kern w:val="0"/>
                <w:sz w:val="21"/>
              </w:rPr>
            </w:pPr>
            <w:r>
              <w:rPr>
                <w:rFonts w:hint="eastAsia" w:ascii="Arial" w:hAnsi="Arial" w:cs="Arial"/>
                <w:kern w:val="0"/>
                <w:sz w:val="21"/>
              </w:rPr>
              <w:t>0.196</w:t>
            </w:r>
          </w:p>
        </w:tc>
        <w:tc>
          <w:tcPr>
            <w:tcW w:w="503" w:type="pct"/>
            <w:vAlign w:val="center"/>
          </w:tcPr>
          <w:p w14:paraId="5C794B5F">
            <w:pPr>
              <w:widowControl/>
              <w:adjustRightInd w:val="0"/>
              <w:snapToGrid w:val="0"/>
              <w:jc w:val="center"/>
              <w:rPr>
                <w:rFonts w:ascii="Arial" w:hAnsi="Arial" w:cs="Arial"/>
                <w:kern w:val="0"/>
                <w:sz w:val="21"/>
              </w:rPr>
            </w:pPr>
            <w:r>
              <w:rPr>
                <w:rFonts w:hint="eastAsia" w:ascii="Arial" w:hAnsi="Arial" w:cs="Arial"/>
                <w:kern w:val="0"/>
                <w:sz w:val="21"/>
              </w:rPr>
              <w:t>1.552</w:t>
            </w:r>
          </w:p>
        </w:tc>
        <w:tc>
          <w:tcPr>
            <w:tcW w:w="619" w:type="pct"/>
            <w:vAlign w:val="center"/>
          </w:tcPr>
          <w:p w14:paraId="344D7186">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698" w:type="pct"/>
            <w:vAlign w:val="center"/>
          </w:tcPr>
          <w:p w14:paraId="1A08FEBE">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r>
      <w:tr w14:paraId="5AD65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4" w:type="pct"/>
            <w:vMerge w:val="continue"/>
            <w:vAlign w:val="center"/>
          </w:tcPr>
          <w:p w14:paraId="2FA20299">
            <w:pPr>
              <w:adjustRightInd w:val="0"/>
              <w:snapToGrid w:val="0"/>
              <w:jc w:val="center"/>
              <w:rPr>
                <w:rFonts w:ascii="Arial" w:hAnsi="Arial" w:eastAsia="宋体" w:cs="Arial"/>
                <w:sz w:val="21"/>
                <w:szCs w:val="24"/>
              </w:rPr>
            </w:pPr>
          </w:p>
        </w:tc>
        <w:tc>
          <w:tcPr>
            <w:tcW w:w="468" w:type="pct"/>
            <w:vAlign w:val="center"/>
          </w:tcPr>
          <w:p w14:paraId="754A85EA">
            <w:pPr>
              <w:adjustRightInd w:val="0"/>
              <w:snapToGrid w:val="0"/>
              <w:jc w:val="center"/>
              <w:rPr>
                <w:rFonts w:ascii="Arial" w:hAnsi="Arial" w:eastAsia="宋体" w:cs="Arial"/>
                <w:sz w:val="21"/>
                <w:szCs w:val="24"/>
              </w:rPr>
            </w:pPr>
            <w:r>
              <w:rPr>
                <w:rFonts w:hint="eastAsia" w:ascii="Arial" w:hAnsi="Arial" w:eastAsia="宋体" w:cs="Arial"/>
                <w:sz w:val="21"/>
                <w:szCs w:val="24"/>
              </w:rPr>
              <w:t>1-2#</w:t>
            </w:r>
          </w:p>
        </w:tc>
        <w:tc>
          <w:tcPr>
            <w:tcW w:w="453" w:type="pct"/>
            <w:vAlign w:val="center"/>
          </w:tcPr>
          <w:p w14:paraId="4700562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47000</w:t>
            </w:r>
          </w:p>
        </w:tc>
        <w:tc>
          <w:tcPr>
            <w:tcW w:w="768" w:type="pct"/>
            <w:vAlign w:val="center"/>
          </w:tcPr>
          <w:p w14:paraId="72F5B842">
            <w:pPr>
              <w:adjustRightInd w:val="0"/>
              <w:snapToGrid w:val="0"/>
              <w:jc w:val="center"/>
              <w:rPr>
                <w:rFonts w:ascii="宋体" w:hAnsi="宋体" w:eastAsia="宋体" w:cs="Arial"/>
                <w:bCs/>
                <w:sz w:val="21"/>
                <w:szCs w:val="21"/>
              </w:rPr>
            </w:pPr>
            <w:r>
              <w:rPr>
                <w:rFonts w:ascii="宋体" w:hAnsi="宋体" w:eastAsia="宋体" w:cs="Arial"/>
                <w:bCs/>
                <w:sz w:val="21"/>
                <w:szCs w:val="21"/>
              </w:rPr>
              <w:t>硫酸雾</w:t>
            </w:r>
          </w:p>
        </w:tc>
        <w:tc>
          <w:tcPr>
            <w:tcW w:w="420" w:type="pct"/>
            <w:vAlign w:val="center"/>
          </w:tcPr>
          <w:p w14:paraId="57AAAE9E">
            <w:pPr>
              <w:widowControl/>
              <w:adjustRightInd w:val="0"/>
              <w:snapToGrid w:val="0"/>
              <w:jc w:val="center"/>
              <w:rPr>
                <w:rFonts w:ascii="Arial" w:hAnsi="Arial" w:cs="Arial"/>
                <w:kern w:val="0"/>
                <w:sz w:val="21"/>
              </w:rPr>
            </w:pPr>
            <w:r>
              <w:rPr>
                <w:rFonts w:hint="eastAsia" w:ascii="Arial" w:hAnsi="Arial" w:cs="Arial"/>
                <w:kern w:val="0"/>
                <w:sz w:val="21"/>
              </w:rPr>
              <w:t>4.2</w:t>
            </w:r>
          </w:p>
        </w:tc>
        <w:tc>
          <w:tcPr>
            <w:tcW w:w="496" w:type="pct"/>
            <w:vAlign w:val="center"/>
          </w:tcPr>
          <w:p w14:paraId="49F9B9F1">
            <w:pPr>
              <w:widowControl/>
              <w:adjustRightInd w:val="0"/>
              <w:snapToGrid w:val="0"/>
              <w:jc w:val="center"/>
              <w:rPr>
                <w:rFonts w:ascii="Arial" w:hAnsi="Arial" w:cs="Arial"/>
                <w:kern w:val="0"/>
                <w:sz w:val="21"/>
              </w:rPr>
            </w:pPr>
            <w:r>
              <w:rPr>
                <w:rFonts w:hint="eastAsia" w:ascii="Arial" w:hAnsi="Arial" w:cs="Arial"/>
                <w:kern w:val="0"/>
                <w:sz w:val="21"/>
              </w:rPr>
              <w:t>0.196</w:t>
            </w:r>
          </w:p>
        </w:tc>
        <w:tc>
          <w:tcPr>
            <w:tcW w:w="503" w:type="pct"/>
            <w:vAlign w:val="center"/>
          </w:tcPr>
          <w:p w14:paraId="0C5F2487">
            <w:pPr>
              <w:widowControl/>
              <w:adjustRightInd w:val="0"/>
              <w:snapToGrid w:val="0"/>
              <w:jc w:val="center"/>
              <w:rPr>
                <w:rFonts w:ascii="Arial" w:hAnsi="Arial" w:cs="Arial"/>
                <w:kern w:val="0"/>
                <w:sz w:val="21"/>
              </w:rPr>
            </w:pPr>
            <w:r>
              <w:rPr>
                <w:rFonts w:hint="eastAsia" w:ascii="Arial" w:hAnsi="Arial" w:cs="Arial"/>
                <w:kern w:val="0"/>
                <w:sz w:val="21"/>
              </w:rPr>
              <w:t>1.552</w:t>
            </w:r>
          </w:p>
        </w:tc>
        <w:tc>
          <w:tcPr>
            <w:tcW w:w="619" w:type="pct"/>
            <w:vAlign w:val="center"/>
          </w:tcPr>
          <w:p w14:paraId="3908F794">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698" w:type="pct"/>
            <w:vAlign w:val="center"/>
          </w:tcPr>
          <w:p w14:paraId="280ECCDF">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r>
      <w:tr w14:paraId="0E0D0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4" w:type="pct"/>
            <w:vMerge w:val="continue"/>
            <w:vAlign w:val="center"/>
          </w:tcPr>
          <w:p w14:paraId="6B6B7297">
            <w:pPr>
              <w:adjustRightInd w:val="0"/>
              <w:snapToGrid w:val="0"/>
              <w:jc w:val="center"/>
              <w:rPr>
                <w:rFonts w:ascii="Arial" w:hAnsi="Arial" w:eastAsia="宋体" w:cs="Arial"/>
                <w:sz w:val="21"/>
                <w:szCs w:val="24"/>
              </w:rPr>
            </w:pPr>
          </w:p>
        </w:tc>
        <w:tc>
          <w:tcPr>
            <w:tcW w:w="468" w:type="pct"/>
            <w:vAlign w:val="center"/>
          </w:tcPr>
          <w:p w14:paraId="14180C69">
            <w:pPr>
              <w:adjustRightInd w:val="0"/>
              <w:snapToGrid w:val="0"/>
              <w:jc w:val="center"/>
              <w:rPr>
                <w:rFonts w:ascii="Arial" w:hAnsi="Arial" w:eastAsia="宋体" w:cs="Arial"/>
                <w:sz w:val="21"/>
                <w:szCs w:val="24"/>
              </w:rPr>
            </w:pPr>
            <w:r>
              <w:rPr>
                <w:rFonts w:hint="eastAsia" w:ascii="Arial" w:hAnsi="Arial" w:eastAsia="宋体" w:cs="Arial"/>
                <w:sz w:val="21"/>
                <w:szCs w:val="24"/>
              </w:rPr>
              <w:t>1-3#</w:t>
            </w:r>
          </w:p>
        </w:tc>
        <w:tc>
          <w:tcPr>
            <w:tcW w:w="453" w:type="pct"/>
            <w:vAlign w:val="center"/>
          </w:tcPr>
          <w:p w14:paraId="79A0CDDD">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47000</w:t>
            </w:r>
          </w:p>
        </w:tc>
        <w:tc>
          <w:tcPr>
            <w:tcW w:w="768" w:type="pct"/>
            <w:vAlign w:val="center"/>
          </w:tcPr>
          <w:p w14:paraId="2906A08E">
            <w:pPr>
              <w:adjustRightInd w:val="0"/>
              <w:snapToGrid w:val="0"/>
              <w:jc w:val="center"/>
              <w:rPr>
                <w:rFonts w:ascii="宋体" w:hAnsi="宋体" w:eastAsia="宋体" w:cs="Arial"/>
                <w:bCs/>
                <w:sz w:val="21"/>
                <w:szCs w:val="21"/>
              </w:rPr>
            </w:pPr>
            <w:r>
              <w:rPr>
                <w:rFonts w:ascii="宋体" w:hAnsi="宋体" w:eastAsia="宋体" w:cs="Arial"/>
                <w:bCs/>
                <w:sz w:val="21"/>
                <w:szCs w:val="21"/>
              </w:rPr>
              <w:t>硫酸雾</w:t>
            </w:r>
          </w:p>
        </w:tc>
        <w:tc>
          <w:tcPr>
            <w:tcW w:w="420" w:type="pct"/>
            <w:vAlign w:val="center"/>
          </w:tcPr>
          <w:p w14:paraId="7E4A386E">
            <w:pPr>
              <w:widowControl/>
              <w:adjustRightInd w:val="0"/>
              <w:snapToGrid w:val="0"/>
              <w:jc w:val="center"/>
              <w:rPr>
                <w:rFonts w:ascii="Arial" w:hAnsi="Arial" w:cs="Arial"/>
                <w:kern w:val="0"/>
                <w:sz w:val="21"/>
              </w:rPr>
            </w:pPr>
            <w:r>
              <w:rPr>
                <w:rFonts w:hint="eastAsia" w:ascii="Arial" w:hAnsi="Arial" w:cs="Arial"/>
                <w:kern w:val="0"/>
                <w:sz w:val="21"/>
              </w:rPr>
              <w:t>4.2</w:t>
            </w:r>
          </w:p>
        </w:tc>
        <w:tc>
          <w:tcPr>
            <w:tcW w:w="496" w:type="pct"/>
            <w:vAlign w:val="center"/>
          </w:tcPr>
          <w:p w14:paraId="0063D3CB">
            <w:pPr>
              <w:widowControl/>
              <w:adjustRightInd w:val="0"/>
              <w:snapToGrid w:val="0"/>
              <w:jc w:val="center"/>
              <w:rPr>
                <w:rFonts w:ascii="Arial" w:hAnsi="Arial" w:cs="Arial"/>
                <w:kern w:val="0"/>
                <w:sz w:val="21"/>
              </w:rPr>
            </w:pPr>
            <w:r>
              <w:rPr>
                <w:rFonts w:hint="eastAsia" w:ascii="Arial" w:hAnsi="Arial" w:cs="Arial"/>
                <w:kern w:val="0"/>
                <w:sz w:val="21"/>
              </w:rPr>
              <w:t>0.196</w:t>
            </w:r>
          </w:p>
        </w:tc>
        <w:tc>
          <w:tcPr>
            <w:tcW w:w="503" w:type="pct"/>
            <w:vAlign w:val="center"/>
          </w:tcPr>
          <w:p w14:paraId="10C0C1BB">
            <w:pPr>
              <w:widowControl/>
              <w:adjustRightInd w:val="0"/>
              <w:snapToGrid w:val="0"/>
              <w:jc w:val="center"/>
              <w:rPr>
                <w:rFonts w:ascii="Arial" w:hAnsi="Arial" w:cs="Arial"/>
                <w:kern w:val="0"/>
                <w:sz w:val="21"/>
              </w:rPr>
            </w:pPr>
            <w:r>
              <w:rPr>
                <w:rFonts w:hint="eastAsia" w:ascii="Arial" w:hAnsi="Arial" w:cs="Arial"/>
                <w:kern w:val="0"/>
                <w:sz w:val="21"/>
              </w:rPr>
              <w:t>1.552</w:t>
            </w:r>
          </w:p>
        </w:tc>
        <w:tc>
          <w:tcPr>
            <w:tcW w:w="619" w:type="pct"/>
            <w:vAlign w:val="center"/>
          </w:tcPr>
          <w:p w14:paraId="4DD4D224">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698" w:type="pct"/>
            <w:vAlign w:val="center"/>
          </w:tcPr>
          <w:p w14:paraId="788E818D">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r>
      <w:tr w14:paraId="16B4F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4" w:type="pct"/>
            <w:vMerge w:val="continue"/>
            <w:vAlign w:val="center"/>
          </w:tcPr>
          <w:p w14:paraId="24A320AC">
            <w:pPr>
              <w:adjustRightInd w:val="0"/>
              <w:snapToGrid w:val="0"/>
              <w:jc w:val="center"/>
              <w:rPr>
                <w:rFonts w:ascii="Arial" w:hAnsi="Arial" w:eastAsia="宋体" w:cs="Arial"/>
                <w:sz w:val="21"/>
                <w:szCs w:val="24"/>
              </w:rPr>
            </w:pPr>
          </w:p>
        </w:tc>
        <w:tc>
          <w:tcPr>
            <w:tcW w:w="468" w:type="pct"/>
            <w:vAlign w:val="center"/>
          </w:tcPr>
          <w:p w14:paraId="2129329D">
            <w:pPr>
              <w:adjustRightInd w:val="0"/>
              <w:snapToGrid w:val="0"/>
              <w:jc w:val="center"/>
              <w:rPr>
                <w:rFonts w:ascii="Arial" w:hAnsi="Arial" w:eastAsia="宋体" w:cs="Arial"/>
                <w:sz w:val="21"/>
                <w:szCs w:val="24"/>
              </w:rPr>
            </w:pPr>
            <w:r>
              <w:rPr>
                <w:rFonts w:hint="eastAsia" w:ascii="Arial" w:hAnsi="Arial" w:eastAsia="宋体" w:cs="Arial"/>
                <w:sz w:val="21"/>
                <w:szCs w:val="24"/>
              </w:rPr>
              <w:t>1-4#</w:t>
            </w:r>
          </w:p>
        </w:tc>
        <w:tc>
          <w:tcPr>
            <w:tcW w:w="453" w:type="pct"/>
            <w:vAlign w:val="center"/>
          </w:tcPr>
          <w:p w14:paraId="4487797E">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47000</w:t>
            </w:r>
          </w:p>
        </w:tc>
        <w:tc>
          <w:tcPr>
            <w:tcW w:w="768" w:type="pct"/>
            <w:vAlign w:val="center"/>
          </w:tcPr>
          <w:p w14:paraId="1C4CA30E">
            <w:pPr>
              <w:adjustRightInd w:val="0"/>
              <w:snapToGrid w:val="0"/>
              <w:jc w:val="center"/>
              <w:rPr>
                <w:rFonts w:ascii="宋体" w:hAnsi="宋体" w:eastAsia="宋体" w:cs="Arial"/>
                <w:bCs/>
                <w:sz w:val="21"/>
                <w:szCs w:val="21"/>
              </w:rPr>
            </w:pPr>
            <w:r>
              <w:rPr>
                <w:rFonts w:ascii="宋体" w:hAnsi="宋体" w:eastAsia="宋体" w:cs="Arial"/>
                <w:bCs/>
                <w:sz w:val="21"/>
                <w:szCs w:val="21"/>
              </w:rPr>
              <w:t>硫酸雾</w:t>
            </w:r>
          </w:p>
        </w:tc>
        <w:tc>
          <w:tcPr>
            <w:tcW w:w="420" w:type="pct"/>
            <w:vAlign w:val="center"/>
          </w:tcPr>
          <w:p w14:paraId="4318001D">
            <w:pPr>
              <w:widowControl/>
              <w:adjustRightInd w:val="0"/>
              <w:snapToGrid w:val="0"/>
              <w:jc w:val="center"/>
              <w:rPr>
                <w:rFonts w:ascii="Arial" w:hAnsi="Arial" w:cs="Arial"/>
                <w:kern w:val="0"/>
                <w:sz w:val="21"/>
              </w:rPr>
            </w:pPr>
            <w:r>
              <w:rPr>
                <w:rFonts w:hint="eastAsia" w:ascii="Arial" w:hAnsi="Arial" w:cs="Arial"/>
                <w:kern w:val="0"/>
                <w:sz w:val="21"/>
              </w:rPr>
              <w:t>4.2</w:t>
            </w:r>
          </w:p>
        </w:tc>
        <w:tc>
          <w:tcPr>
            <w:tcW w:w="496" w:type="pct"/>
            <w:vAlign w:val="center"/>
          </w:tcPr>
          <w:p w14:paraId="0AC942F0">
            <w:pPr>
              <w:widowControl/>
              <w:adjustRightInd w:val="0"/>
              <w:snapToGrid w:val="0"/>
              <w:jc w:val="center"/>
              <w:rPr>
                <w:rFonts w:ascii="Arial" w:hAnsi="Arial" w:cs="Arial"/>
                <w:kern w:val="0"/>
                <w:sz w:val="21"/>
              </w:rPr>
            </w:pPr>
            <w:r>
              <w:rPr>
                <w:rFonts w:hint="eastAsia" w:ascii="Arial" w:hAnsi="Arial" w:cs="Arial"/>
                <w:kern w:val="0"/>
                <w:sz w:val="21"/>
              </w:rPr>
              <w:t>0.196</w:t>
            </w:r>
          </w:p>
        </w:tc>
        <w:tc>
          <w:tcPr>
            <w:tcW w:w="503" w:type="pct"/>
            <w:vAlign w:val="center"/>
          </w:tcPr>
          <w:p w14:paraId="6619A1F7">
            <w:pPr>
              <w:widowControl/>
              <w:adjustRightInd w:val="0"/>
              <w:snapToGrid w:val="0"/>
              <w:jc w:val="center"/>
              <w:rPr>
                <w:rFonts w:ascii="Arial" w:hAnsi="Arial" w:cs="Arial"/>
                <w:kern w:val="0"/>
                <w:sz w:val="21"/>
              </w:rPr>
            </w:pPr>
            <w:r>
              <w:rPr>
                <w:rFonts w:hint="eastAsia" w:ascii="Arial" w:hAnsi="Arial" w:cs="Arial"/>
                <w:kern w:val="0"/>
                <w:sz w:val="21"/>
              </w:rPr>
              <w:t>1.552</w:t>
            </w:r>
          </w:p>
        </w:tc>
        <w:tc>
          <w:tcPr>
            <w:tcW w:w="619" w:type="pct"/>
            <w:vAlign w:val="center"/>
          </w:tcPr>
          <w:p w14:paraId="00676417">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698" w:type="pct"/>
            <w:vAlign w:val="center"/>
          </w:tcPr>
          <w:p w14:paraId="1977744A">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r>
      <w:tr w14:paraId="03F31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4" w:type="pct"/>
            <w:vMerge w:val="restart"/>
            <w:vAlign w:val="center"/>
          </w:tcPr>
          <w:p w14:paraId="3825E892">
            <w:pPr>
              <w:adjustRightInd w:val="0"/>
              <w:snapToGrid w:val="0"/>
              <w:jc w:val="center"/>
              <w:rPr>
                <w:rFonts w:ascii="Arial" w:hAnsi="Arial" w:eastAsia="宋体" w:cs="Arial"/>
                <w:sz w:val="21"/>
                <w:szCs w:val="24"/>
              </w:rPr>
            </w:pPr>
            <w:r>
              <w:rPr>
                <w:rFonts w:ascii="Arial" w:hAnsi="Arial" w:eastAsia="宋体" w:cs="Arial"/>
                <w:sz w:val="21"/>
                <w:szCs w:val="24"/>
              </w:rPr>
              <w:t>净化废气</w:t>
            </w:r>
          </w:p>
        </w:tc>
        <w:tc>
          <w:tcPr>
            <w:tcW w:w="468" w:type="pct"/>
            <w:vAlign w:val="center"/>
          </w:tcPr>
          <w:p w14:paraId="215804F6">
            <w:pPr>
              <w:adjustRightInd w:val="0"/>
              <w:snapToGrid w:val="0"/>
              <w:jc w:val="center"/>
              <w:rPr>
                <w:rFonts w:ascii="Arial" w:hAnsi="Arial" w:eastAsia="宋体" w:cs="Arial"/>
                <w:sz w:val="21"/>
                <w:szCs w:val="24"/>
              </w:rPr>
            </w:pPr>
            <w:r>
              <w:rPr>
                <w:rFonts w:hint="eastAsia" w:ascii="Arial" w:hAnsi="Arial" w:eastAsia="宋体" w:cs="Arial"/>
                <w:sz w:val="21"/>
                <w:szCs w:val="24"/>
              </w:rPr>
              <w:t>1-5#</w:t>
            </w:r>
          </w:p>
        </w:tc>
        <w:tc>
          <w:tcPr>
            <w:tcW w:w="453" w:type="pct"/>
            <w:vAlign w:val="center"/>
          </w:tcPr>
          <w:p w14:paraId="48C307D7">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17500</w:t>
            </w:r>
          </w:p>
        </w:tc>
        <w:tc>
          <w:tcPr>
            <w:tcW w:w="768" w:type="pct"/>
            <w:vAlign w:val="center"/>
          </w:tcPr>
          <w:p w14:paraId="7D109EF7">
            <w:pPr>
              <w:adjustRightInd w:val="0"/>
              <w:snapToGrid w:val="0"/>
              <w:jc w:val="center"/>
              <w:rPr>
                <w:rFonts w:ascii="Arial" w:hAnsi="Arial" w:eastAsia="宋体" w:cs="Arial"/>
                <w:sz w:val="21"/>
                <w:szCs w:val="21"/>
              </w:rPr>
            </w:pPr>
            <w:r>
              <w:rPr>
                <w:rFonts w:ascii="Arial" w:hAnsi="Arial" w:eastAsia="宋体" w:cs="Arial"/>
                <w:sz w:val="21"/>
                <w:szCs w:val="21"/>
              </w:rPr>
              <w:t>硫酸雾</w:t>
            </w:r>
          </w:p>
        </w:tc>
        <w:tc>
          <w:tcPr>
            <w:tcW w:w="420" w:type="pct"/>
            <w:vAlign w:val="center"/>
          </w:tcPr>
          <w:p w14:paraId="01AF5E19">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6.5</w:t>
            </w:r>
          </w:p>
        </w:tc>
        <w:tc>
          <w:tcPr>
            <w:tcW w:w="496" w:type="pct"/>
            <w:vAlign w:val="center"/>
          </w:tcPr>
          <w:p w14:paraId="3FB99C01">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0.114</w:t>
            </w:r>
          </w:p>
        </w:tc>
        <w:tc>
          <w:tcPr>
            <w:tcW w:w="503" w:type="pct"/>
            <w:vAlign w:val="center"/>
          </w:tcPr>
          <w:p w14:paraId="4EA2B1AD">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0.902</w:t>
            </w:r>
          </w:p>
        </w:tc>
        <w:tc>
          <w:tcPr>
            <w:tcW w:w="619" w:type="pct"/>
            <w:vAlign w:val="center"/>
          </w:tcPr>
          <w:p w14:paraId="52870620">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698" w:type="pct"/>
            <w:vAlign w:val="center"/>
          </w:tcPr>
          <w:p w14:paraId="2102D005">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0.7</w:t>
            </w:r>
            <w:r>
              <w:rPr>
                <w:rFonts w:ascii="Arial" w:hAnsi="Arial" w:eastAsia="宋体" w:cs="Arial"/>
                <w:spacing w:val="10"/>
                <w:sz w:val="21"/>
                <w:szCs w:val="21"/>
              </w:rPr>
              <w:t>/25</w:t>
            </w:r>
          </w:p>
        </w:tc>
      </w:tr>
      <w:tr w14:paraId="0B606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4" w:type="pct"/>
            <w:vMerge w:val="continue"/>
            <w:vAlign w:val="center"/>
          </w:tcPr>
          <w:p w14:paraId="1F4D6957">
            <w:pPr>
              <w:adjustRightInd w:val="0"/>
              <w:snapToGrid w:val="0"/>
              <w:jc w:val="center"/>
              <w:rPr>
                <w:rFonts w:ascii="Arial" w:hAnsi="Arial" w:eastAsia="宋体" w:cs="Arial"/>
                <w:sz w:val="21"/>
                <w:szCs w:val="24"/>
              </w:rPr>
            </w:pPr>
          </w:p>
        </w:tc>
        <w:tc>
          <w:tcPr>
            <w:tcW w:w="468" w:type="pct"/>
            <w:vAlign w:val="center"/>
          </w:tcPr>
          <w:p w14:paraId="77CEEB98">
            <w:pPr>
              <w:adjustRightInd w:val="0"/>
              <w:snapToGrid w:val="0"/>
              <w:jc w:val="center"/>
              <w:rPr>
                <w:rFonts w:ascii="Arial" w:hAnsi="Arial" w:eastAsia="宋体" w:cs="Arial"/>
                <w:sz w:val="21"/>
                <w:szCs w:val="24"/>
              </w:rPr>
            </w:pPr>
            <w:r>
              <w:rPr>
                <w:rFonts w:hint="eastAsia" w:ascii="Arial" w:hAnsi="Arial" w:eastAsia="宋体" w:cs="Arial"/>
                <w:sz w:val="21"/>
                <w:szCs w:val="24"/>
              </w:rPr>
              <w:t>1-6#</w:t>
            </w:r>
          </w:p>
        </w:tc>
        <w:tc>
          <w:tcPr>
            <w:tcW w:w="453" w:type="pct"/>
            <w:vAlign w:val="center"/>
          </w:tcPr>
          <w:p w14:paraId="583120E0">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17500</w:t>
            </w:r>
          </w:p>
        </w:tc>
        <w:tc>
          <w:tcPr>
            <w:tcW w:w="768" w:type="pct"/>
            <w:vAlign w:val="center"/>
          </w:tcPr>
          <w:p w14:paraId="6FC7188C">
            <w:pPr>
              <w:adjustRightInd w:val="0"/>
              <w:snapToGrid w:val="0"/>
              <w:jc w:val="center"/>
              <w:rPr>
                <w:rFonts w:ascii="Arial" w:hAnsi="Arial" w:eastAsia="宋体" w:cs="Arial"/>
                <w:sz w:val="21"/>
                <w:szCs w:val="21"/>
              </w:rPr>
            </w:pPr>
            <w:r>
              <w:rPr>
                <w:rFonts w:ascii="Arial" w:hAnsi="Arial" w:eastAsia="宋体" w:cs="Arial"/>
                <w:sz w:val="21"/>
                <w:szCs w:val="21"/>
              </w:rPr>
              <w:t>硫酸雾</w:t>
            </w:r>
          </w:p>
        </w:tc>
        <w:tc>
          <w:tcPr>
            <w:tcW w:w="420" w:type="pct"/>
            <w:vAlign w:val="center"/>
          </w:tcPr>
          <w:p w14:paraId="4405B7A2">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6.5</w:t>
            </w:r>
          </w:p>
        </w:tc>
        <w:tc>
          <w:tcPr>
            <w:tcW w:w="496" w:type="pct"/>
            <w:vAlign w:val="center"/>
          </w:tcPr>
          <w:p w14:paraId="2A629699">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0.114</w:t>
            </w:r>
          </w:p>
        </w:tc>
        <w:tc>
          <w:tcPr>
            <w:tcW w:w="503" w:type="pct"/>
            <w:vAlign w:val="center"/>
          </w:tcPr>
          <w:p w14:paraId="23382FC5">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0.902</w:t>
            </w:r>
          </w:p>
        </w:tc>
        <w:tc>
          <w:tcPr>
            <w:tcW w:w="619" w:type="pct"/>
            <w:vAlign w:val="center"/>
          </w:tcPr>
          <w:p w14:paraId="3D8D5748">
            <w:pPr>
              <w:widowControl/>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698" w:type="pct"/>
            <w:vAlign w:val="center"/>
          </w:tcPr>
          <w:p w14:paraId="725A4044">
            <w:pPr>
              <w:widowControl/>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0.7</w:t>
            </w:r>
            <w:r>
              <w:rPr>
                <w:rFonts w:ascii="Arial" w:hAnsi="Arial" w:eastAsia="宋体" w:cs="Arial"/>
                <w:spacing w:val="10"/>
                <w:sz w:val="21"/>
                <w:szCs w:val="21"/>
              </w:rPr>
              <w:t>/25</w:t>
            </w:r>
          </w:p>
        </w:tc>
      </w:tr>
    </w:tbl>
    <w:p w14:paraId="0D204E4F">
      <w:pPr>
        <w:pStyle w:val="5"/>
        <w:keepNext/>
        <w:numPr>
          <w:ilvl w:val="0"/>
          <w:numId w:val="12"/>
        </w:numPr>
        <w:adjustRightInd w:val="0"/>
        <w:snapToGrid w:val="0"/>
        <w:spacing w:line="500" w:lineRule="exact"/>
        <w:ind w:left="0" w:firstLine="0"/>
        <w:jc w:val="center"/>
        <w:outlineLvl w:val="4"/>
        <w:rPr>
          <w:b/>
        </w:rPr>
      </w:pPr>
      <w:r>
        <w:rPr>
          <w:b/>
        </w:rPr>
        <w:t>项目变更前废气汇总表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5"/>
        <w:gridCol w:w="4337"/>
        <w:gridCol w:w="3456"/>
      </w:tblGrid>
      <w:tr w14:paraId="4B4EF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05" w:type="pct"/>
            <w:vAlign w:val="center"/>
          </w:tcPr>
          <w:p w14:paraId="2B68E1E6">
            <w:pPr>
              <w:adjustRightInd w:val="0"/>
              <w:snapToGrid w:val="0"/>
              <w:jc w:val="center"/>
              <w:rPr>
                <w:rFonts w:ascii="Arial" w:hAnsi="Arial" w:eastAsia="宋体" w:cs="Arial"/>
                <w:sz w:val="21"/>
                <w:szCs w:val="24"/>
              </w:rPr>
            </w:pPr>
            <w:r>
              <w:rPr>
                <w:rFonts w:ascii="Arial" w:hAnsi="Arial" w:eastAsia="宋体" w:cs="Arial"/>
                <w:sz w:val="21"/>
                <w:szCs w:val="24"/>
              </w:rPr>
              <w:t>序号</w:t>
            </w:r>
          </w:p>
        </w:tc>
        <w:tc>
          <w:tcPr>
            <w:tcW w:w="2335" w:type="pct"/>
            <w:vAlign w:val="center"/>
          </w:tcPr>
          <w:p w14:paraId="71AF0D0B">
            <w:pPr>
              <w:adjustRightInd w:val="0"/>
              <w:snapToGrid w:val="0"/>
              <w:jc w:val="center"/>
              <w:rPr>
                <w:rFonts w:ascii="Arial" w:hAnsi="Arial" w:eastAsia="宋体" w:cs="Arial"/>
                <w:sz w:val="21"/>
                <w:szCs w:val="24"/>
              </w:rPr>
            </w:pPr>
            <w:r>
              <w:rPr>
                <w:rFonts w:ascii="Arial" w:hAnsi="Arial" w:eastAsia="宋体" w:cs="Arial"/>
                <w:sz w:val="21"/>
                <w:szCs w:val="24"/>
              </w:rPr>
              <w:t>污染物</w:t>
            </w:r>
          </w:p>
        </w:tc>
        <w:tc>
          <w:tcPr>
            <w:tcW w:w="1860" w:type="pct"/>
            <w:vAlign w:val="center"/>
          </w:tcPr>
          <w:p w14:paraId="63944CB0">
            <w:pPr>
              <w:widowControl/>
              <w:adjustRightInd w:val="0"/>
              <w:snapToGrid w:val="0"/>
              <w:jc w:val="center"/>
              <w:rPr>
                <w:rFonts w:ascii="Arial" w:hAnsi="Arial" w:eastAsia="宋体" w:cs="Arial"/>
                <w:kern w:val="0"/>
                <w:sz w:val="21"/>
              </w:rPr>
            </w:pPr>
            <w:r>
              <w:rPr>
                <w:rFonts w:ascii="Arial" w:hAnsi="Arial" w:eastAsia="宋体" w:cs="Arial"/>
                <w:kern w:val="0"/>
                <w:sz w:val="21"/>
              </w:rPr>
              <w:t>排放量（t/a）</w:t>
            </w:r>
          </w:p>
        </w:tc>
      </w:tr>
      <w:tr w14:paraId="50A0F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05" w:type="pct"/>
            <w:vAlign w:val="center"/>
          </w:tcPr>
          <w:p w14:paraId="2FB8C7ED">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2335" w:type="pct"/>
            <w:vAlign w:val="center"/>
          </w:tcPr>
          <w:p w14:paraId="5EDA8D83">
            <w:pPr>
              <w:adjustRightInd w:val="0"/>
              <w:snapToGrid w:val="0"/>
              <w:jc w:val="center"/>
              <w:rPr>
                <w:rFonts w:ascii="Arial" w:hAnsi="Arial" w:eastAsia="宋体" w:cs="Arial"/>
                <w:sz w:val="21"/>
                <w:szCs w:val="24"/>
              </w:rPr>
            </w:pPr>
            <w:r>
              <w:rPr>
                <w:rFonts w:ascii="Arial" w:hAnsi="Arial" w:eastAsia="宋体" w:cs="Arial"/>
                <w:sz w:val="21"/>
                <w:szCs w:val="21"/>
              </w:rPr>
              <w:t>硫酸雾</w:t>
            </w:r>
          </w:p>
        </w:tc>
        <w:tc>
          <w:tcPr>
            <w:tcW w:w="1860" w:type="pct"/>
            <w:vAlign w:val="center"/>
          </w:tcPr>
          <w:p w14:paraId="0173C032">
            <w:pPr>
              <w:widowControl/>
              <w:adjustRightInd w:val="0"/>
              <w:snapToGrid w:val="0"/>
              <w:jc w:val="center"/>
              <w:rPr>
                <w:rFonts w:ascii="Arial" w:hAnsi="Arial" w:eastAsia="宋体" w:cs="Arial"/>
                <w:kern w:val="0"/>
                <w:sz w:val="21"/>
              </w:rPr>
            </w:pPr>
            <w:r>
              <w:rPr>
                <w:rFonts w:hint="eastAsia" w:ascii="Arial" w:hAnsi="Arial" w:eastAsia="宋体" w:cs="Arial"/>
                <w:kern w:val="0"/>
                <w:sz w:val="21"/>
              </w:rPr>
              <w:t>8.012</w:t>
            </w:r>
          </w:p>
        </w:tc>
      </w:tr>
    </w:tbl>
    <w:p w14:paraId="4B235E13">
      <w:pPr>
        <w:pStyle w:val="5"/>
        <w:spacing w:line="500" w:lineRule="exact"/>
        <w:ind w:firstLine="490" w:firstLineChars="200"/>
        <w:rPr>
          <w:highlight w:val="yellow"/>
        </w:rPr>
      </w:pPr>
    </w:p>
    <w:p w14:paraId="1A610E95">
      <w:pPr>
        <w:pStyle w:val="5"/>
        <w:spacing w:line="500" w:lineRule="exact"/>
        <w:ind w:firstLine="0"/>
        <w:outlineLvl w:val="3"/>
        <w:rPr>
          <w:b/>
          <w:highlight w:val="yellow"/>
        </w:rPr>
        <w:sectPr>
          <w:footerReference r:id="rId16" w:type="default"/>
          <w:pgSz w:w="11907" w:h="16840"/>
          <w:pgMar w:top="1678" w:right="1134" w:bottom="1899" w:left="1134" w:header="1134" w:footer="1134" w:gutter="567"/>
          <w:cols w:space="720" w:num="1"/>
          <w:docGrid w:type="linesAndChars" w:linePitch="428" w:charSpace="-3161"/>
        </w:sectPr>
      </w:pPr>
      <w:bookmarkStart w:id="268" w:name="_Toc104677271"/>
    </w:p>
    <w:p w14:paraId="047EBFA7">
      <w:pPr>
        <w:pStyle w:val="5"/>
        <w:spacing w:line="500" w:lineRule="exact"/>
        <w:ind w:firstLine="0"/>
        <w:outlineLvl w:val="3"/>
        <w:rPr>
          <w:b/>
        </w:rPr>
      </w:pPr>
      <w:r>
        <w:rPr>
          <w:b/>
        </w:rPr>
        <w:t>2.</w:t>
      </w:r>
      <w:r>
        <w:rPr>
          <w:rFonts w:hint="eastAsia"/>
          <w:b/>
        </w:rPr>
        <w:t>5</w:t>
      </w:r>
      <w:r>
        <w:rPr>
          <w:b/>
        </w:rPr>
        <w:t>.2.2项目变更后大气污染源强汇总</w:t>
      </w:r>
    </w:p>
    <w:p w14:paraId="0D8B186D">
      <w:pPr>
        <w:pStyle w:val="5"/>
        <w:keepNext/>
        <w:numPr>
          <w:ilvl w:val="0"/>
          <w:numId w:val="12"/>
        </w:numPr>
        <w:adjustRightInd w:val="0"/>
        <w:snapToGrid w:val="0"/>
        <w:spacing w:line="480" w:lineRule="exact"/>
        <w:ind w:left="0" w:firstLine="0"/>
        <w:jc w:val="center"/>
        <w:outlineLvl w:val="4"/>
        <w:rPr>
          <w:b/>
        </w:rPr>
      </w:pPr>
      <w:r>
        <w:rPr>
          <w:b/>
        </w:rPr>
        <w:t>项目变更后废气污染源强核算结果及相关参数一览表</w:t>
      </w:r>
    </w:p>
    <w:tbl>
      <w:tblPr>
        <w:tblStyle w:val="88"/>
        <w:tblW w:w="48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2182"/>
        <w:gridCol w:w="849"/>
        <w:gridCol w:w="1275"/>
        <w:gridCol w:w="852"/>
        <w:gridCol w:w="849"/>
        <w:gridCol w:w="993"/>
        <w:gridCol w:w="1134"/>
        <w:gridCol w:w="708"/>
        <w:gridCol w:w="1273"/>
        <w:gridCol w:w="763"/>
        <w:gridCol w:w="890"/>
        <w:gridCol w:w="1106"/>
        <w:gridCol w:w="671"/>
      </w:tblGrid>
      <w:tr w14:paraId="5B1BC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Merge w:val="restart"/>
            <w:vAlign w:val="center"/>
          </w:tcPr>
          <w:p w14:paraId="2C34CE43">
            <w:pPr>
              <w:adjustRightInd w:val="0"/>
              <w:snapToGrid w:val="0"/>
              <w:jc w:val="center"/>
              <w:rPr>
                <w:rFonts w:ascii="Arial" w:hAnsi="Arial" w:eastAsia="宋体" w:cs="Arial"/>
                <w:sz w:val="21"/>
                <w:szCs w:val="21"/>
              </w:rPr>
            </w:pPr>
            <w:r>
              <w:rPr>
                <w:rFonts w:ascii="Arial" w:hAnsi="Arial" w:eastAsia="宋体" w:cs="Arial"/>
                <w:sz w:val="21"/>
                <w:szCs w:val="21"/>
              </w:rPr>
              <w:t>工段</w:t>
            </w:r>
          </w:p>
        </w:tc>
        <w:tc>
          <w:tcPr>
            <w:tcW w:w="758" w:type="pct"/>
            <w:vMerge w:val="restart"/>
            <w:vAlign w:val="center"/>
          </w:tcPr>
          <w:p w14:paraId="00D9B0D1">
            <w:pPr>
              <w:adjustRightInd w:val="0"/>
              <w:snapToGrid w:val="0"/>
              <w:jc w:val="center"/>
              <w:rPr>
                <w:rFonts w:ascii="Arial" w:hAnsi="Arial" w:eastAsia="宋体" w:cs="Arial"/>
                <w:sz w:val="21"/>
                <w:szCs w:val="21"/>
              </w:rPr>
            </w:pPr>
            <w:r>
              <w:rPr>
                <w:rFonts w:ascii="Arial" w:hAnsi="Arial" w:eastAsia="宋体" w:cs="Arial"/>
                <w:sz w:val="21"/>
                <w:szCs w:val="21"/>
              </w:rPr>
              <w:t>污染源</w:t>
            </w:r>
          </w:p>
        </w:tc>
        <w:tc>
          <w:tcPr>
            <w:tcW w:w="295" w:type="pct"/>
            <w:vMerge w:val="restart"/>
            <w:vAlign w:val="center"/>
          </w:tcPr>
          <w:p w14:paraId="3A60F88D">
            <w:pPr>
              <w:adjustRightInd w:val="0"/>
              <w:snapToGrid w:val="0"/>
              <w:jc w:val="center"/>
              <w:rPr>
                <w:rFonts w:ascii="Arial" w:hAnsi="Arial" w:eastAsia="宋体" w:cs="Arial"/>
                <w:sz w:val="21"/>
                <w:szCs w:val="21"/>
              </w:rPr>
            </w:pPr>
            <w:r>
              <w:rPr>
                <w:rFonts w:ascii="Arial" w:hAnsi="Arial" w:eastAsia="宋体" w:cs="Arial"/>
                <w:sz w:val="21"/>
                <w:szCs w:val="21"/>
              </w:rPr>
              <w:t>污染</w:t>
            </w:r>
          </w:p>
          <w:p w14:paraId="352BFCA9">
            <w:pPr>
              <w:adjustRightInd w:val="0"/>
              <w:snapToGrid w:val="0"/>
              <w:jc w:val="center"/>
              <w:rPr>
                <w:rFonts w:ascii="Arial" w:hAnsi="Arial" w:eastAsia="宋体" w:cs="Arial"/>
                <w:sz w:val="21"/>
                <w:szCs w:val="21"/>
              </w:rPr>
            </w:pPr>
            <w:r>
              <w:rPr>
                <w:rFonts w:ascii="Arial" w:hAnsi="Arial" w:eastAsia="宋体" w:cs="Arial"/>
                <w:sz w:val="21"/>
                <w:szCs w:val="21"/>
              </w:rPr>
              <w:t>因子</w:t>
            </w:r>
          </w:p>
        </w:tc>
        <w:tc>
          <w:tcPr>
            <w:tcW w:w="1379" w:type="pct"/>
            <w:gridSpan w:val="4"/>
            <w:vAlign w:val="center"/>
          </w:tcPr>
          <w:p w14:paraId="7388B09D">
            <w:pPr>
              <w:adjustRightInd w:val="0"/>
              <w:snapToGrid w:val="0"/>
              <w:jc w:val="center"/>
              <w:rPr>
                <w:rFonts w:ascii="Arial" w:hAnsi="Arial" w:eastAsia="宋体" w:cs="Arial"/>
                <w:sz w:val="21"/>
                <w:szCs w:val="21"/>
              </w:rPr>
            </w:pPr>
            <w:r>
              <w:rPr>
                <w:rFonts w:ascii="Arial" w:hAnsi="Arial" w:eastAsia="宋体" w:cs="Arial"/>
                <w:sz w:val="21"/>
                <w:szCs w:val="21"/>
              </w:rPr>
              <w:t>污染产生情况</w:t>
            </w:r>
          </w:p>
        </w:tc>
        <w:tc>
          <w:tcPr>
            <w:tcW w:w="640" w:type="pct"/>
            <w:gridSpan w:val="2"/>
            <w:vAlign w:val="center"/>
          </w:tcPr>
          <w:p w14:paraId="5DEC7357">
            <w:pPr>
              <w:adjustRightInd w:val="0"/>
              <w:snapToGrid w:val="0"/>
              <w:jc w:val="center"/>
              <w:rPr>
                <w:rFonts w:ascii="Arial" w:hAnsi="Arial" w:eastAsia="宋体" w:cs="Arial"/>
                <w:sz w:val="21"/>
                <w:szCs w:val="21"/>
              </w:rPr>
            </w:pPr>
            <w:r>
              <w:rPr>
                <w:rFonts w:ascii="Arial" w:hAnsi="Arial" w:eastAsia="宋体" w:cs="Arial"/>
                <w:sz w:val="21"/>
                <w:szCs w:val="21"/>
              </w:rPr>
              <w:t>治理措施</w:t>
            </w:r>
          </w:p>
        </w:tc>
        <w:tc>
          <w:tcPr>
            <w:tcW w:w="1400" w:type="pct"/>
            <w:gridSpan w:val="4"/>
            <w:vAlign w:val="center"/>
          </w:tcPr>
          <w:p w14:paraId="5311B7A2">
            <w:pPr>
              <w:adjustRightInd w:val="0"/>
              <w:snapToGrid w:val="0"/>
              <w:jc w:val="center"/>
              <w:rPr>
                <w:rFonts w:ascii="Arial" w:hAnsi="Arial" w:eastAsia="宋体" w:cs="Arial"/>
                <w:sz w:val="21"/>
                <w:szCs w:val="21"/>
              </w:rPr>
            </w:pPr>
            <w:r>
              <w:rPr>
                <w:rFonts w:ascii="Arial" w:hAnsi="Arial" w:eastAsia="宋体" w:cs="Arial"/>
                <w:sz w:val="21"/>
                <w:szCs w:val="21"/>
              </w:rPr>
              <w:t>污染排放情况</w:t>
            </w:r>
          </w:p>
        </w:tc>
        <w:tc>
          <w:tcPr>
            <w:tcW w:w="233" w:type="pct"/>
            <w:vMerge w:val="restart"/>
            <w:vAlign w:val="center"/>
          </w:tcPr>
          <w:p w14:paraId="69BE9253">
            <w:pPr>
              <w:adjustRightInd w:val="0"/>
              <w:snapToGrid w:val="0"/>
              <w:jc w:val="center"/>
              <w:rPr>
                <w:rFonts w:ascii="Arial" w:hAnsi="Arial" w:eastAsia="宋体" w:cs="Arial"/>
                <w:sz w:val="21"/>
                <w:szCs w:val="21"/>
              </w:rPr>
            </w:pPr>
            <w:r>
              <w:rPr>
                <w:rFonts w:ascii="Arial" w:hAnsi="Arial" w:eastAsia="宋体" w:cs="Arial"/>
                <w:sz w:val="21"/>
                <w:szCs w:val="21"/>
              </w:rPr>
              <w:t>排放</w:t>
            </w:r>
          </w:p>
          <w:p w14:paraId="4F005723">
            <w:pPr>
              <w:adjustRightInd w:val="0"/>
              <w:snapToGrid w:val="0"/>
              <w:jc w:val="center"/>
              <w:rPr>
                <w:rFonts w:ascii="Arial" w:hAnsi="Arial" w:eastAsia="宋体" w:cs="Arial"/>
                <w:sz w:val="21"/>
                <w:szCs w:val="21"/>
              </w:rPr>
            </w:pPr>
            <w:r>
              <w:rPr>
                <w:rFonts w:ascii="Arial" w:hAnsi="Arial" w:eastAsia="宋体" w:cs="Arial"/>
                <w:sz w:val="21"/>
                <w:szCs w:val="21"/>
              </w:rPr>
              <w:t>时间(h)</w:t>
            </w:r>
          </w:p>
        </w:tc>
      </w:tr>
      <w:tr w14:paraId="3ABE0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Merge w:val="continue"/>
            <w:vAlign w:val="center"/>
          </w:tcPr>
          <w:p w14:paraId="532864B6">
            <w:pPr>
              <w:adjustRightInd w:val="0"/>
              <w:snapToGrid w:val="0"/>
              <w:jc w:val="center"/>
              <w:rPr>
                <w:rFonts w:ascii="Arial" w:hAnsi="Arial" w:eastAsia="宋体" w:cs="Arial"/>
                <w:sz w:val="21"/>
                <w:szCs w:val="21"/>
              </w:rPr>
            </w:pPr>
          </w:p>
        </w:tc>
        <w:tc>
          <w:tcPr>
            <w:tcW w:w="758" w:type="pct"/>
            <w:vMerge w:val="continue"/>
            <w:vAlign w:val="center"/>
          </w:tcPr>
          <w:p w14:paraId="4FAC7814">
            <w:pPr>
              <w:adjustRightInd w:val="0"/>
              <w:snapToGrid w:val="0"/>
              <w:jc w:val="center"/>
              <w:rPr>
                <w:rFonts w:ascii="Arial" w:hAnsi="Arial" w:eastAsia="宋体" w:cs="Arial"/>
                <w:sz w:val="21"/>
                <w:szCs w:val="21"/>
              </w:rPr>
            </w:pPr>
          </w:p>
        </w:tc>
        <w:tc>
          <w:tcPr>
            <w:tcW w:w="295" w:type="pct"/>
            <w:vMerge w:val="continue"/>
            <w:vAlign w:val="center"/>
          </w:tcPr>
          <w:p w14:paraId="26876891">
            <w:pPr>
              <w:adjustRightInd w:val="0"/>
              <w:snapToGrid w:val="0"/>
              <w:jc w:val="center"/>
              <w:rPr>
                <w:rFonts w:ascii="Arial" w:hAnsi="Arial" w:eastAsia="宋体" w:cs="Arial"/>
                <w:sz w:val="21"/>
                <w:szCs w:val="21"/>
              </w:rPr>
            </w:pPr>
          </w:p>
        </w:tc>
        <w:tc>
          <w:tcPr>
            <w:tcW w:w="443" w:type="pct"/>
            <w:vAlign w:val="center"/>
          </w:tcPr>
          <w:p w14:paraId="33C3393A">
            <w:pPr>
              <w:adjustRightInd w:val="0"/>
              <w:snapToGrid w:val="0"/>
              <w:jc w:val="center"/>
              <w:rPr>
                <w:rFonts w:ascii="Arial" w:hAnsi="Arial" w:eastAsia="宋体" w:cs="Arial"/>
                <w:sz w:val="21"/>
                <w:szCs w:val="21"/>
              </w:rPr>
            </w:pPr>
            <w:r>
              <w:rPr>
                <w:rFonts w:ascii="Arial" w:hAnsi="Arial" w:eastAsia="宋体" w:cs="Arial"/>
                <w:sz w:val="21"/>
                <w:szCs w:val="21"/>
              </w:rPr>
              <w:t>核算方法</w:t>
            </w:r>
          </w:p>
        </w:tc>
        <w:tc>
          <w:tcPr>
            <w:tcW w:w="296" w:type="pct"/>
            <w:vAlign w:val="center"/>
          </w:tcPr>
          <w:p w14:paraId="63772289">
            <w:pPr>
              <w:adjustRightInd w:val="0"/>
              <w:snapToGrid w:val="0"/>
              <w:jc w:val="center"/>
              <w:rPr>
                <w:rFonts w:ascii="Arial" w:hAnsi="Arial" w:eastAsia="宋体" w:cs="Arial"/>
                <w:sz w:val="21"/>
                <w:szCs w:val="21"/>
              </w:rPr>
            </w:pPr>
            <w:r>
              <w:rPr>
                <w:rFonts w:ascii="Arial" w:hAnsi="Arial" w:eastAsia="宋体" w:cs="Arial"/>
                <w:sz w:val="21"/>
                <w:szCs w:val="21"/>
              </w:rPr>
              <w:t>产生气量</w:t>
            </w:r>
          </w:p>
          <w:p w14:paraId="6C74D202">
            <w:pPr>
              <w:adjustRightInd w:val="0"/>
              <w:snapToGrid w:val="0"/>
              <w:jc w:val="center"/>
              <w:rPr>
                <w:rFonts w:ascii="Arial" w:hAnsi="Arial" w:eastAsia="宋体" w:cs="Arial"/>
                <w:sz w:val="21"/>
                <w:szCs w:val="21"/>
              </w:rPr>
            </w:pPr>
            <w:r>
              <w:rPr>
                <w:rFonts w:ascii="Arial" w:hAnsi="Arial" w:eastAsia="宋体" w:cs="Arial"/>
                <w:sz w:val="21"/>
                <w:szCs w:val="21"/>
              </w:rPr>
              <w:t>Nm</w:t>
            </w:r>
            <w:r>
              <w:rPr>
                <w:rFonts w:ascii="Arial" w:hAnsi="Arial" w:eastAsia="宋体" w:cs="Arial"/>
                <w:sz w:val="21"/>
                <w:szCs w:val="21"/>
                <w:vertAlign w:val="superscript"/>
              </w:rPr>
              <w:t>3</w:t>
            </w:r>
            <w:r>
              <w:rPr>
                <w:rFonts w:ascii="Arial" w:hAnsi="Arial" w:eastAsia="宋体" w:cs="Arial"/>
                <w:sz w:val="21"/>
                <w:szCs w:val="21"/>
              </w:rPr>
              <w:t>/h</w:t>
            </w:r>
          </w:p>
        </w:tc>
        <w:tc>
          <w:tcPr>
            <w:tcW w:w="295" w:type="pct"/>
            <w:vAlign w:val="center"/>
          </w:tcPr>
          <w:p w14:paraId="58A99AAD">
            <w:pPr>
              <w:adjustRightInd w:val="0"/>
              <w:snapToGrid w:val="0"/>
              <w:jc w:val="center"/>
              <w:rPr>
                <w:rFonts w:ascii="Arial" w:hAnsi="Arial" w:eastAsia="宋体" w:cs="Arial"/>
                <w:sz w:val="21"/>
                <w:szCs w:val="21"/>
              </w:rPr>
            </w:pPr>
            <w:r>
              <w:rPr>
                <w:rFonts w:ascii="Arial" w:hAnsi="Arial" w:eastAsia="宋体" w:cs="Arial"/>
                <w:sz w:val="21"/>
                <w:szCs w:val="21"/>
              </w:rPr>
              <w:t>mg/m</w:t>
            </w:r>
            <w:r>
              <w:rPr>
                <w:rFonts w:ascii="Arial" w:hAnsi="Arial" w:eastAsia="宋体" w:cs="Arial"/>
                <w:sz w:val="21"/>
                <w:szCs w:val="21"/>
                <w:vertAlign w:val="superscript"/>
              </w:rPr>
              <w:t>3</w:t>
            </w:r>
          </w:p>
        </w:tc>
        <w:tc>
          <w:tcPr>
            <w:tcW w:w="345" w:type="pct"/>
            <w:vAlign w:val="center"/>
          </w:tcPr>
          <w:p w14:paraId="7D9FB3BD">
            <w:pPr>
              <w:adjustRightInd w:val="0"/>
              <w:snapToGrid w:val="0"/>
              <w:jc w:val="center"/>
              <w:rPr>
                <w:rFonts w:ascii="Arial" w:hAnsi="Arial" w:eastAsia="宋体" w:cs="Arial"/>
                <w:sz w:val="21"/>
                <w:szCs w:val="21"/>
              </w:rPr>
            </w:pPr>
            <w:r>
              <w:rPr>
                <w:rFonts w:ascii="Arial" w:hAnsi="Arial" w:eastAsia="宋体" w:cs="Arial"/>
                <w:sz w:val="21"/>
                <w:szCs w:val="21"/>
              </w:rPr>
              <w:t>kg/h</w:t>
            </w:r>
          </w:p>
        </w:tc>
        <w:tc>
          <w:tcPr>
            <w:tcW w:w="394" w:type="pct"/>
            <w:vAlign w:val="center"/>
          </w:tcPr>
          <w:p w14:paraId="72BF5224">
            <w:pPr>
              <w:adjustRightInd w:val="0"/>
              <w:snapToGrid w:val="0"/>
              <w:jc w:val="center"/>
              <w:rPr>
                <w:rFonts w:ascii="Arial" w:hAnsi="Arial" w:eastAsia="宋体" w:cs="Arial"/>
                <w:sz w:val="21"/>
                <w:szCs w:val="21"/>
              </w:rPr>
            </w:pPr>
            <w:r>
              <w:rPr>
                <w:rFonts w:ascii="Arial" w:hAnsi="Arial" w:eastAsia="宋体" w:cs="Arial"/>
                <w:sz w:val="21"/>
                <w:szCs w:val="21"/>
              </w:rPr>
              <w:t>工艺</w:t>
            </w:r>
          </w:p>
        </w:tc>
        <w:tc>
          <w:tcPr>
            <w:tcW w:w="246" w:type="pct"/>
            <w:vAlign w:val="center"/>
          </w:tcPr>
          <w:p w14:paraId="30BF3247">
            <w:pPr>
              <w:adjustRightInd w:val="0"/>
              <w:snapToGrid w:val="0"/>
              <w:jc w:val="center"/>
              <w:rPr>
                <w:rFonts w:ascii="Arial" w:hAnsi="Arial" w:eastAsia="宋体" w:cs="Arial"/>
                <w:sz w:val="21"/>
                <w:szCs w:val="21"/>
              </w:rPr>
            </w:pPr>
            <w:r>
              <w:rPr>
                <w:rFonts w:ascii="Arial" w:hAnsi="Arial" w:eastAsia="宋体" w:cs="Arial"/>
                <w:sz w:val="21"/>
                <w:szCs w:val="21"/>
              </w:rPr>
              <w:t>效率</w:t>
            </w:r>
          </w:p>
        </w:tc>
        <w:tc>
          <w:tcPr>
            <w:tcW w:w="442" w:type="pct"/>
            <w:vAlign w:val="center"/>
          </w:tcPr>
          <w:p w14:paraId="31F8A9BB">
            <w:pPr>
              <w:adjustRightInd w:val="0"/>
              <w:snapToGrid w:val="0"/>
              <w:jc w:val="center"/>
              <w:rPr>
                <w:rFonts w:ascii="Arial" w:hAnsi="Arial" w:eastAsia="宋体" w:cs="Arial"/>
                <w:sz w:val="21"/>
                <w:szCs w:val="21"/>
              </w:rPr>
            </w:pPr>
            <w:r>
              <w:rPr>
                <w:rFonts w:ascii="Arial" w:hAnsi="Arial" w:eastAsia="宋体" w:cs="Arial"/>
                <w:sz w:val="21"/>
                <w:szCs w:val="21"/>
              </w:rPr>
              <w:t>核算方法</w:t>
            </w:r>
          </w:p>
        </w:tc>
        <w:tc>
          <w:tcPr>
            <w:tcW w:w="265" w:type="pct"/>
            <w:vAlign w:val="center"/>
          </w:tcPr>
          <w:p w14:paraId="2B943FE7">
            <w:pPr>
              <w:adjustRightInd w:val="0"/>
              <w:snapToGrid w:val="0"/>
              <w:jc w:val="center"/>
              <w:rPr>
                <w:rFonts w:ascii="Arial" w:hAnsi="Arial" w:eastAsia="宋体" w:cs="Arial"/>
                <w:sz w:val="21"/>
                <w:szCs w:val="21"/>
              </w:rPr>
            </w:pPr>
            <w:r>
              <w:rPr>
                <w:rFonts w:ascii="Arial" w:hAnsi="Arial" w:eastAsia="宋体" w:cs="Arial"/>
                <w:sz w:val="21"/>
                <w:szCs w:val="21"/>
              </w:rPr>
              <w:t>排放气量</w:t>
            </w:r>
          </w:p>
          <w:p w14:paraId="71645A01">
            <w:pPr>
              <w:adjustRightInd w:val="0"/>
              <w:snapToGrid w:val="0"/>
              <w:jc w:val="center"/>
              <w:rPr>
                <w:rFonts w:ascii="Arial" w:hAnsi="Arial" w:eastAsia="宋体" w:cs="Arial"/>
                <w:sz w:val="21"/>
                <w:szCs w:val="21"/>
              </w:rPr>
            </w:pPr>
            <w:r>
              <w:rPr>
                <w:rFonts w:ascii="Arial" w:hAnsi="Arial" w:eastAsia="宋体" w:cs="Arial"/>
                <w:sz w:val="21"/>
                <w:szCs w:val="21"/>
              </w:rPr>
              <w:t>m</w:t>
            </w:r>
            <w:r>
              <w:rPr>
                <w:rFonts w:ascii="Arial" w:hAnsi="Arial" w:eastAsia="宋体" w:cs="Arial"/>
                <w:sz w:val="21"/>
                <w:szCs w:val="21"/>
                <w:vertAlign w:val="superscript"/>
              </w:rPr>
              <w:t>3</w:t>
            </w:r>
            <w:r>
              <w:rPr>
                <w:rFonts w:ascii="Arial" w:hAnsi="Arial" w:eastAsia="宋体" w:cs="Arial"/>
                <w:sz w:val="21"/>
                <w:szCs w:val="21"/>
              </w:rPr>
              <w:t>/h</w:t>
            </w:r>
          </w:p>
        </w:tc>
        <w:tc>
          <w:tcPr>
            <w:tcW w:w="309" w:type="pct"/>
            <w:vAlign w:val="center"/>
          </w:tcPr>
          <w:p w14:paraId="31DDD771">
            <w:pPr>
              <w:adjustRightInd w:val="0"/>
              <w:snapToGrid w:val="0"/>
              <w:jc w:val="center"/>
              <w:rPr>
                <w:rFonts w:ascii="Arial" w:hAnsi="Arial" w:eastAsia="宋体" w:cs="Arial"/>
                <w:sz w:val="21"/>
                <w:szCs w:val="21"/>
              </w:rPr>
            </w:pPr>
            <w:r>
              <w:rPr>
                <w:rFonts w:ascii="Arial" w:hAnsi="Arial" w:eastAsia="宋体" w:cs="Arial"/>
                <w:sz w:val="21"/>
                <w:szCs w:val="21"/>
              </w:rPr>
              <w:t>mg/m</w:t>
            </w:r>
            <w:r>
              <w:rPr>
                <w:rFonts w:ascii="Arial" w:hAnsi="Arial" w:eastAsia="宋体" w:cs="Arial"/>
                <w:sz w:val="21"/>
                <w:szCs w:val="21"/>
                <w:vertAlign w:val="superscript"/>
              </w:rPr>
              <w:t>3</w:t>
            </w:r>
          </w:p>
        </w:tc>
        <w:tc>
          <w:tcPr>
            <w:tcW w:w="384" w:type="pct"/>
            <w:vAlign w:val="center"/>
          </w:tcPr>
          <w:p w14:paraId="269EE64A">
            <w:pPr>
              <w:adjustRightInd w:val="0"/>
              <w:snapToGrid w:val="0"/>
              <w:jc w:val="center"/>
              <w:rPr>
                <w:rFonts w:ascii="Arial" w:hAnsi="Arial" w:eastAsia="宋体" w:cs="Arial"/>
                <w:sz w:val="21"/>
                <w:szCs w:val="21"/>
              </w:rPr>
            </w:pPr>
            <w:r>
              <w:rPr>
                <w:rFonts w:ascii="Arial" w:hAnsi="Arial" w:eastAsia="宋体" w:cs="Arial"/>
                <w:sz w:val="21"/>
                <w:szCs w:val="21"/>
              </w:rPr>
              <w:t>kg/h</w:t>
            </w:r>
          </w:p>
        </w:tc>
        <w:tc>
          <w:tcPr>
            <w:tcW w:w="233" w:type="pct"/>
            <w:vMerge w:val="continue"/>
            <w:vAlign w:val="center"/>
          </w:tcPr>
          <w:p w14:paraId="38F56F5D">
            <w:pPr>
              <w:adjustRightInd w:val="0"/>
              <w:snapToGrid w:val="0"/>
              <w:jc w:val="center"/>
              <w:rPr>
                <w:rFonts w:ascii="Arial" w:hAnsi="Arial" w:eastAsia="宋体" w:cs="Arial"/>
                <w:sz w:val="21"/>
                <w:szCs w:val="21"/>
              </w:rPr>
            </w:pPr>
          </w:p>
        </w:tc>
      </w:tr>
      <w:tr w14:paraId="3397D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Align w:val="center"/>
          </w:tcPr>
          <w:p w14:paraId="27C7D58B">
            <w:pPr>
              <w:pStyle w:val="5"/>
              <w:adjustRightInd w:val="0"/>
              <w:snapToGrid w:val="0"/>
              <w:spacing w:line="240" w:lineRule="auto"/>
              <w:ind w:firstLine="0"/>
              <w:jc w:val="center"/>
              <w:rPr>
                <w:sz w:val="21"/>
                <w:szCs w:val="21"/>
              </w:rPr>
            </w:pPr>
            <w:r>
              <w:rPr>
                <w:rFonts w:hint="eastAsia"/>
                <w:sz w:val="21"/>
                <w:szCs w:val="24"/>
              </w:rPr>
              <w:t>合成、</w:t>
            </w:r>
            <w:r>
              <w:rPr>
                <w:sz w:val="21"/>
                <w:szCs w:val="24"/>
              </w:rPr>
              <w:t>压滤</w:t>
            </w:r>
          </w:p>
        </w:tc>
        <w:tc>
          <w:tcPr>
            <w:tcW w:w="758" w:type="pct"/>
            <w:vAlign w:val="center"/>
          </w:tcPr>
          <w:p w14:paraId="385803A6">
            <w:pPr>
              <w:pStyle w:val="5"/>
              <w:adjustRightInd w:val="0"/>
              <w:snapToGrid w:val="0"/>
              <w:spacing w:line="240" w:lineRule="auto"/>
              <w:ind w:firstLine="0"/>
              <w:jc w:val="center"/>
              <w:rPr>
                <w:sz w:val="21"/>
                <w:szCs w:val="21"/>
              </w:rPr>
            </w:pPr>
            <w:r>
              <w:rPr>
                <w:sz w:val="21"/>
                <w:szCs w:val="21"/>
              </w:rPr>
              <w:t>G1-</w:t>
            </w:r>
            <w:r>
              <w:rPr>
                <w:rFonts w:hint="eastAsia"/>
                <w:sz w:val="21"/>
                <w:szCs w:val="21"/>
              </w:rPr>
              <w:t>1合成反应</w:t>
            </w:r>
            <w:r>
              <w:rPr>
                <w:sz w:val="21"/>
                <w:szCs w:val="21"/>
              </w:rPr>
              <w:t>废气</w:t>
            </w:r>
          </w:p>
          <w:p w14:paraId="2390BC17">
            <w:pPr>
              <w:pStyle w:val="5"/>
              <w:adjustRightInd w:val="0"/>
              <w:snapToGrid w:val="0"/>
              <w:spacing w:line="240" w:lineRule="auto"/>
              <w:ind w:firstLine="0"/>
              <w:jc w:val="center"/>
              <w:rPr>
                <w:sz w:val="21"/>
                <w:szCs w:val="21"/>
              </w:rPr>
            </w:pPr>
            <w:r>
              <w:rPr>
                <w:rFonts w:hint="eastAsia"/>
                <w:sz w:val="21"/>
                <w:szCs w:val="21"/>
              </w:rPr>
              <w:t>G1-2压滤废气</w:t>
            </w:r>
          </w:p>
        </w:tc>
        <w:tc>
          <w:tcPr>
            <w:tcW w:w="295" w:type="pct"/>
            <w:vAlign w:val="center"/>
          </w:tcPr>
          <w:p w14:paraId="028C8E75">
            <w:pPr>
              <w:pStyle w:val="469"/>
              <w:rPr>
                <w:rFonts w:ascii="Arial" w:hAnsi="Arial" w:cs="Arial"/>
                <w:sz w:val="21"/>
                <w:szCs w:val="21"/>
              </w:rPr>
            </w:pPr>
            <w:r>
              <w:rPr>
                <w:rFonts w:hint="eastAsia" w:ascii="Arial" w:hAnsi="Arial" w:cs="Arial"/>
                <w:sz w:val="21"/>
                <w:szCs w:val="21"/>
              </w:rPr>
              <w:t>氨气</w:t>
            </w:r>
          </w:p>
        </w:tc>
        <w:tc>
          <w:tcPr>
            <w:tcW w:w="443" w:type="pct"/>
            <w:vAlign w:val="center"/>
          </w:tcPr>
          <w:p w14:paraId="6541D8A5">
            <w:pPr>
              <w:adjustRightInd w:val="0"/>
              <w:snapToGrid w:val="0"/>
              <w:jc w:val="center"/>
              <w:rPr>
                <w:rFonts w:ascii="Arial" w:hAnsi="Arial" w:eastAsia="宋体" w:cs="Arial"/>
                <w:sz w:val="21"/>
                <w:szCs w:val="21"/>
              </w:rPr>
            </w:pPr>
            <w:r>
              <w:rPr>
                <w:rFonts w:hint="eastAsia" w:ascii="Arial" w:hAnsi="Arial" w:eastAsia="宋体" w:cs="Arial"/>
                <w:sz w:val="21"/>
                <w:szCs w:val="21"/>
              </w:rPr>
              <w:t>类比</w:t>
            </w:r>
            <w:r>
              <w:rPr>
                <w:rFonts w:ascii="Arial" w:hAnsi="Arial" w:eastAsia="宋体" w:cs="Arial"/>
                <w:sz w:val="21"/>
                <w:szCs w:val="21"/>
              </w:rPr>
              <w:t>法</w:t>
            </w:r>
          </w:p>
        </w:tc>
        <w:tc>
          <w:tcPr>
            <w:tcW w:w="296" w:type="pct"/>
            <w:vAlign w:val="center"/>
          </w:tcPr>
          <w:p w14:paraId="2A213059">
            <w:pPr>
              <w:adjustRightInd w:val="0"/>
              <w:snapToGrid w:val="0"/>
              <w:jc w:val="center"/>
              <w:rPr>
                <w:rFonts w:ascii="Arial" w:hAnsi="Arial" w:eastAsia="宋体" w:cs="Arial"/>
                <w:sz w:val="21"/>
                <w:szCs w:val="21"/>
              </w:rPr>
            </w:pPr>
            <w:r>
              <w:rPr>
                <w:rFonts w:hint="eastAsia" w:ascii="Arial" w:hAnsi="Arial" w:eastAsia="宋体" w:cs="Arial"/>
                <w:sz w:val="21"/>
                <w:szCs w:val="21"/>
              </w:rPr>
              <w:t>47000</w:t>
            </w:r>
          </w:p>
        </w:tc>
        <w:tc>
          <w:tcPr>
            <w:tcW w:w="295" w:type="pct"/>
            <w:vAlign w:val="center"/>
          </w:tcPr>
          <w:p w14:paraId="5648A138">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345" w:type="pct"/>
            <w:vAlign w:val="center"/>
          </w:tcPr>
          <w:p w14:paraId="3B5DC7D9">
            <w:pPr>
              <w:adjustRightInd w:val="0"/>
              <w:snapToGrid w:val="0"/>
              <w:jc w:val="center"/>
              <w:rPr>
                <w:rFonts w:ascii="Arial" w:hAnsi="Arial" w:cs="Arial"/>
                <w:sz w:val="21"/>
                <w:szCs w:val="22"/>
              </w:rPr>
            </w:pPr>
            <w:r>
              <w:rPr>
                <w:rFonts w:hint="eastAsia" w:ascii="Arial" w:hAnsi="Arial" w:cs="Arial"/>
                <w:sz w:val="21"/>
                <w:szCs w:val="21"/>
              </w:rPr>
              <w:t>2.682</w:t>
            </w:r>
          </w:p>
        </w:tc>
        <w:tc>
          <w:tcPr>
            <w:tcW w:w="394" w:type="pct"/>
            <w:vAlign w:val="center"/>
          </w:tcPr>
          <w:p w14:paraId="17C895E5">
            <w:pPr>
              <w:adjustRightInd w:val="0"/>
              <w:snapToGrid w:val="0"/>
              <w:jc w:val="center"/>
              <w:rPr>
                <w:rFonts w:ascii="Arial" w:hAnsi="Arial" w:eastAsia="宋体" w:cs="Arial"/>
                <w:sz w:val="21"/>
                <w:szCs w:val="21"/>
              </w:rPr>
            </w:pPr>
            <w:r>
              <w:rPr>
                <w:rFonts w:hint="eastAsia" w:ascii="Arial" w:hAnsi="Arial" w:eastAsia="宋体" w:cs="Arial"/>
                <w:sz w:val="21"/>
                <w:szCs w:val="21"/>
              </w:rPr>
              <w:t>吸收塔</w:t>
            </w:r>
          </w:p>
        </w:tc>
        <w:tc>
          <w:tcPr>
            <w:tcW w:w="246" w:type="pct"/>
            <w:vAlign w:val="center"/>
          </w:tcPr>
          <w:p w14:paraId="052B1F4D">
            <w:pPr>
              <w:adjustRightInd w:val="0"/>
              <w:snapToGrid w:val="0"/>
              <w:jc w:val="center"/>
              <w:rPr>
                <w:rFonts w:ascii="Arial" w:hAnsi="Arial" w:eastAsia="宋体" w:cs="Arial"/>
                <w:sz w:val="21"/>
                <w:szCs w:val="21"/>
              </w:rPr>
            </w:pPr>
            <w:r>
              <w:rPr>
                <w:rFonts w:hint="eastAsia" w:ascii="Arial" w:hAnsi="Arial" w:eastAsia="宋体" w:cs="Arial"/>
                <w:sz w:val="21"/>
                <w:szCs w:val="21"/>
              </w:rPr>
              <w:t>90%</w:t>
            </w:r>
          </w:p>
        </w:tc>
        <w:tc>
          <w:tcPr>
            <w:tcW w:w="442" w:type="pct"/>
            <w:vAlign w:val="center"/>
          </w:tcPr>
          <w:p w14:paraId="625C8DC9">
            <w:pPr>
              <w:adjustRightInd w:val="0"/>
              <w:snapToGrid w:val="0"/>
              <w:jc w:val="center"/>
              <w:rPr>
                <w:rFonts w:ascii="Arial" w:hAnsi="Arial" w:eastAsia="宋体" w:cs="Arial"/>
                <w:sz w:val="21"/>
                <w:szCs w:val="21"/>
              </w:rPr>
            </w:pPr>
            <w:r>
              <w:rPr>
                <w:rFonts w:hint="eastAsia" w:ascii="Arial" w:hAnsi="Arial" w:eastAsia="宋体" w:cs="Arial"/>
                <w:sz w:val="21"/>
                <w:szCs w:val="21"/>
              </w:rPr>
              <w:t>类比</w:t>
            </w:r>
            <w:r>
              <w:rPr>
                <w:rFonts w:ascii="Arial" w:hAnsi="Arial" w:eastAsia="宋体" w:cs="Arial"/>
                <w:sz w:val="21"/>
                <w:szCs w:val="21"/>
              </w:rPr>
              <w:t>法</w:t>
            </w:r>
          </w:p>
        </w:tc>
        <w:tc>
          <w:tcPr>
            <w:tcW w:w="265" w:type="pct"/>
            <w:vAlign w:val="center"/>
          </w:tcPr>
          <w:p w14:paraId="13B8366F">
            <w:pPr>
              <w:adjustRightInd w:val="0"/>
              <w:snapToGrid w:val="0"/>
              <w:jc w:val="center"/>
              <w:rPr>
                <w:rFonts w:ascii="Arial" w:hAnsi="Arial" w:eastAsia="宋体" w:cs="Arial"/>
                <w:sz w:val="21"/>
                <w:szCs w:val="21"/>
              </w:rPr>
            </w:pPr>
            <w:r>
              <w:rPr>
                <w:rFonts w:hint="eastAsia" w:ascii="Arial" w:hAnsi="Arial" w:eastAsia="宋体" w:cs="Arial"/>
                <w:sz w:val="21"/>
                <w:szCs w:val="21"/>
              </w:rPr>
              <w:t>47000</w:t>
            </w:r>
          </w:p>
        </w:tc>
        <w:tc>
          <w:tcPr>
            <w:tcW w:w="309" w:type="pct"/>
            <w:vAlign w:val="center"/>
          </w:tcPr>
          <w:p w14:paraId="1D0CEEB5">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384" w:type="pct"/>
            <w:vAlign w:val="center"/>
          </w:tcPr>
          <w:p w14:paraId="142E59F1">
            <w:pPr>
              <w:adjustRightInd w:val="0"/>
              <w:snapToGrid w:val="0"/>
              <w:jc w:val="center"/>
              <w:rPr>
                <w:rFonts w:ascii="Arial" w:hAnsi="Arial" w:cs="Arial"/>
                <w:sz w:val="21"/>
                <w:szCs w:val="22"/>
              </w:rPr>
            </w:pPr>
            <w:r>
              <w:rPr>
                <w:rFonts w:hint="eastAsia" w:ascii="Arial" w:hAnsi="Arial" w:cs="Arial"/>
                <w:sz w:val="21"/>
                <w:szCs w:val="21"/>
              </w:rPr>
              <w:t>0.2682</w:t>
            </w:r>
          </w:p>
        </w:tc>
        <w:tc>
          <w:tcPr>
            <w:tcW w:w="233" w:type="pct"/>
            <w:vAlign w:val="center"/>
          </w:tcPr>
          <w:p w14:paraId="513D3144">
            <w:pPr>
              <w:adjustRightInd w:val="0"/>
              <w:snapToGrid w:val="0"/>
              <w:jc w:val="center"/>
              <w:rPr>
                <w:rFonts w:ascii="Arial" w:hAnsi="Arial" w:eastAsia="宋体" w:cs="Arial"/>
                <w:sz w:val="21"/>
                <w:szCs w:val="21"/>
              </w:rPr>
            </w:pPr>
            <w:r>
              <w:rPr>
                <w:rFonts w:ascii="Arial" w:hAnsi="Arial" w:eastAsia="宋体" w:cs="Arial"/>
                <w:sz w:val="21"/>
                <w:szCs w:val="21"/>
              </w:rPr>
              <w:t>7920</w:t>
            </w:r>
          </w:p>
        </w:tc>
      </w:tr>
      <w:tr w14:paraId="547AA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Merge w:val="restart"/>
            <w:vAlign w:val="center"/>
          </w:tcPr>
          <w:p w14:paraId="63659EF8">
            <w:pPr>
              <w:pStyle w:val="5"/>
              <w:adjustRightInd w:val="0"/>
              <w:snapToGrid w:val="0"/>
              <w:spacing w:line="240" w:lineRule="auto"/>
              <w:ind w:firstLine="0"/>
              <w:jc w:val="center"/>
              <w:rPr>
                <w:sz w:val="21"/>
                <w:szCs w:val="21"/>
              </w:rPr>
            </w:pPr>
            <w:r>
              <w:rPr>
                <w:rFonts w:hint="eastAsia"/>
                <w:sz w:val="21"/>
                <w:szCs w:val="21"/>
              </w:rPr>
              <w:t>烘干</w:t>
            </w:r>
            <w:r>
              <w:rPr>
                <w:sz w:val="21"/>
                <w:szCs w:val="21"/>
              </w:rPr>
              <w:t>、破碎、包装</w:t>
            </w:r>
          </w:p>
        </w:tc>
        <w:tc>
          <w:tcPr>
            <w:tcW w:w="758" w:type="pct"/>
            <w:vMerge w:val="restart"/>
            <w:vAlign w:val="center"/>
          </w:tcPr>
          <w:p w14:paraId="4C907027">
            <w:pPr>
              <w:pStyle w:val="5"/>
              <w:adjustRightInd w:val="0"/>
              <w:snapToGrid w:val="0"/>
              <w:spacing w:line="240" w:lineRule="auto"/>
              <w:ind w:firstLine="0"/>
              <w:jc w:val="center"/>
              <w:rPr>
                <w:sz w:val="21"/>
                <w:szCs w:val="21"/>
              </w:rPr>
            </w:pPr>
            <w:r>
              <w:rPr>
                <w:sz w:val="21"/>
                <w:szCs w:val="21"/>
              </w:rPr>
              <w:t>G1-</w:t>
            </w:r>
            <w:r>
              <w:rPr>
                <w:rFonts w:hint="eastAsia"/>
                <w:sz w:val="21"/>
                <w:szCs w:val="21"/>
              </w:rPr>
              <w:t>3烘干粉尘</w:t>
            </w:r>
          </w:p>
          <w:p w14:paraId="5C2B5CC3">
            <w:pPr>
              <w:pStyle w:val="5"/>
              <w:adjustRightInd w:val="0"/>
              <w:snapToGrid w:val="0"/>
              <w:spacing w:line="240" w:lineRule="auto"/>
              <w:ind w:firstLine="0"/>
              <w:jc w:val="center"/>
              <w:rPr>
                <w:sz w:val="21"/>
                <w:szCs w:val="21"/>
              </w:rPr>
            </w:pPr>
            <w:r>
              <w:rPr>
                <w:rFonts w:hint="eastAsia"/>
                <w:sz w:val="21"/>
                <w:szCs w:val="21"/>
              </w:rPr>
              <w:t>G1-4破碎粉尘</w:t>
            </w:r>
          </w:p>
          <w:p w14:paraId="06928174">
            <w:pPr>
              <w:pStyle w:val="5"/>
              <w:adjustRightInd w:val="0"/>
              <w:snapToGrid w:val="0"/>
              <w:spacing w:line="240" w:lineRule="auto"/>
              <w:ind w:firstLine="0"/>
              <w:jc w:val="center"/>
              <w:rPr>
                <w:sz w:val="21"/>
                <w:szCs w:val="21"/>
              </w:rPr>
            </w:pPr>
            <w:r>
              <w:rPr>
                <w:rFonts w:hint="eastAsia"/>
                <w:sz w:val="21"/>
                <w:szCs w:val="21"/>
              </w:rPr>
              <w:t>G1-5包装粉尘</w:t>
            </w:r>
          </w:p>
        </w:tc>
        <w:tc>
          <w:tcPr>
            <w:tcW w:w="295" w:type="pct"/>
            <w:vAlign w:val="center"/>
          </w:tcPr>
          <w:p w14:paraId="3D7D0619">
            <w:pPr>
              <w:pStyle w:val="469"/>
              <w:rPr>
                <w:rFonts w:ascii="Arial" w:hAnsi="Arial" w:cs="Arial"/>
                <w:sz w:val="21"/>
                <w:szCs w:val="21"/>
              </w:rPr>
            </w:pPr>
            <w:r>
              <w:rPr>
                <w:rFonts w:ascii="Arial" w:hAnsi="Arial" w:cs="Arial"/>
                <w:sz w:val="21"/>
                <w:szCs w:val="21"/>
              </w:rPr>
              <w:t>颗粒物</w:t>
            </w:r>
          </w:p>
        </w:tc>
        <w:tc>
          <w:tcPr>
            <w:tcW w:w="443" w:type="pct"/>
            <w:vAlign w:val="center"/>
          </w:tcPr>
          <w:p w14:paraId="005FC773">
            <w:pPr>
              <w:adjustRightInd w:val="0"/>
              <w:snapToGrid w:val="0"/>
              <w:jc w:val="center"/>
              <w:rPr>
                <w:rFonts w:ascii="Arial" w:hAnsi="Arial" w:eastAsia="宋体" w:cs="Arial"/>
                <w:sz w:val="21"/>
                <w:szCs w:val="21"/>
              </w:rPr>
            </w:pPr>
            <w:r>
              <w:rPr>
                <w:rFonts w:hint="eastAsia" w:ascii="Arial" w:hAnsi="Arial" w:eastAsia="宋体" w:cs="Arial"/>
                <w:sz w:val="21"/>
                <w:szCs w:val="21"/>
              </w:rPr>
              <w:t>类比</w:t>
            </w:r>
            <w:r>
              <w:rPr>
                <w:rFonts w:ascii="Arial" w:hAnsi="Arial" w:eastAsia="宋体" w:cs="Arial"/>
                <w:sz w:val="21"/>
                <w:szCs w:val="21"/>
              </w:rPr>
              <w:t>法</w:t>
            </w:r>
          </w:p>
        </w:tc>
        <w:tc>
          <w:tcPr>
            <w:tcW w:w="296" w:type="pct"/>
            <w:vMerge w:val="restart"/>
            <w:vAlign w:val="center"/>
          </w:tcPr>
          <w:p w14:paraId="75733C7F">
            <w:pPr>
              <w:adjustRightInd w:val="0"/>
              <w:snapToGrid w:val="0"/>
              <w:jc w:val="center"/>
              <w:rPr>
                <w:rFonts w:ascii="Arial" w:hAnsi="Arial" w:eastAsia="宋体" w:cs="Arial"/>
                <w:sz w:val="21"/>
                <w:szCs w:val="21"/>
              </w:rPr>
            </w:pPr>
            <w:r>
              <w:rPr>
                <w:rFonts w:hint="eastAsia" w:ascii="Arial" w:hAnsi="Arial" w:eastAsia="宋体" w:cs="Arial"/>
                <w:sz w:val="21"/>
                <w:szCs w:val="21"/>
              </w:rPr>
              <w:t>47000</w:t>
            </w:r>
          </w:p>
        </w:tc>
        <w:tc>
          <w:tcPr>
            <w:tcW w:w="295" w:type="pct"/>
            <w:vAlign w:val="center"/>
          </w:tcPr>
          <w:p w14:paraId="60E4DD68">
            <w:pPr>
              <w:adjustRightInd w:val="0"/>
              <w:snapToGrid w:val="0"/>
              <w:jc w:val="center"/>
              <w:rPr>
                <w:rFonts w:ascii="Arial" w:hAnsi="Arial" w:eastAsia="宋体" w:cs="Arial"/>
                <w:kern w:val="0"/>
                <w:sz w:val="21"/>
              </w:rPr>
            </w:pPr>
            <w:r>
              <w:rPr>
                <w:rFonts w:hint="eastAsia" w:ascii="Arial" w:hAnsi="Arial" w:eastAsia="宋体" w:cs="Arial"/>
                <w:kern w:val="0"/>
                <w:sz w:val="21"/>
              </w:rPr>
              <w:t>47</w:t>
            </w:r>
          </w:p>
        </w:tc>
        <w:tc>
          <w:tcPr>
            <w:tcW w:w="345" w:type="pct"/>
            <w:vAlign w:val="center"/>
          </w:tcPr>
          <w:p w14:paraId="470EBE04">
            <w:pPr>
              <w:adjustRightInd w:val="0"/>
              <w:snapToGrid w:val="0"/>
              <w:jc w:val="center"/>
              <w:rPr>
                <w:rFonts w:ascii="Arial" w:hAnsi="Arial" w:cs="Arial"/>
                <w:sz w:val="21"/>
                <w:szCs w:val="22"/>
              </w:rPr>
            </w:pPr>
            <w:r>
              <w:rPr>
                <w:rFonts w:hint="eastAsia" w:ascii="Arial" w:hAnsi="Arial" w:cs="Arial"/>
                <w:sz w:val="21"/>
                <w:szCs w:val="22"/>
              </w:rPr>
              <w:t>2.2152</w:t>
            </w:r>
          </w:p>
        </w:tc>
        <w:tc>
          <w:tcPr>
            <w:tcW w:w="394" w:type="pct"/>
            <w:vMerge w:val="restart"/>
            <w:vAlign w:val="center"/>
          </w:tcPr>
          <w:p w14:paraId="1B9C7420">
            <w:pPr>
              <w:adjustRightInd w:val="0"/>
              <w:snapToGrid w:val="0"/>
              <w:jc w:val="center"/>
              <w:rPr>
                <w:rFonts w:ascii="Arial" w:hAnsi="Arial" w:eastAsia="宋体" w:cs="Arial"/>
                <w:sz w:val="21"/>
                <w:szCs w:val="21"/>
              </w:rPr>
            </w:pPr>
            <w:r>
              <w:rPr>
                <w:rFonts w:ascii="Arial" w:hAnsi="Arial" w:eastAsia="宋体" w:cs="Arial"/>
                <w:sz w:val="21"/>
                <w:szCs w:val="21"/>
              </w:rPr>
              <w:t>布袋除尘器</w:t>
            </w:r>
            <w:r>
              <w:rPr>
                <w:rFonts w:hint="eastAsia" w:ascii="Arial" w:hAnsi="Arial" w:eastAsia="宋体" w:cs="Arial"/>
                <w:sz w:val="21"/>
                <w:szCs w:val="21"/>
              </w:rPr>
              <w:t>+</w:t>
            </w:r>
            <w:r>
              <w:rPr>
                <w:rFonts w:ascii="Arial" w:hAnsi="Arial" w:eastAsia="宋体" w:cs="Arial"/>
                <w:sz w:val="21"/>
                <w:szCs w:val="21"/>
              </w:rPr>
              <w:t>吸收塔</w:t>
            </w:r>
          </w:p>
        </w:tc>
        <w:tc>
          <w:tcPr>
            <w:tcW w:w="246" w:type="pct"/>
            <w:vAlign w:val="center"/>
          </w:tcPr>
          <w:p w14:paraId="5C1FACD7">
            <w:pPr>
              <w:adjustRightInd w:val="0"/>
              <w:snapToGrid w:val="0"/>
              <w:jc w:val="center"/>
              <w:rPr>
                <w:rFonts w:ascii="Arial" w:hAnsi="Arial" w:eastAsia="宋体" w:cs="Arial"/>
                <w:sz w:val="21"/>
                <w:szCs w:val="21"/>
              </w:rPr>
            </w:pPr>
            <w:r>
              <w:rPr>
                <w:rFonts w:hint="eastAsia" w:ascii="Arial" w:hAnsi="Arial" w:eastAsia="宋体" w:cs="Arial"/>
                <w:sz w:val="21"/>
                <w:szCs w:val="21"/>
              </w:rPr>
              <w:t>91%</w:t>
            </w:r>
          </w:p>
        </w:tc>
        <w:tc>
          <w:tcPr>
            <w:tcW w:w="442" w:type="pct"/>
            <w:vAlign w:val="center"/>
          </w:tcPr>
          <w:p w14:paraId="46369D4E">
            <w:pPr>
              <w:adjustRightInd w:val="0"/>
              <w:snapToGrid w:val="0"/>
              <w:jc w:val="center"/>
              <w:rPr>
                <w:rFonts w:ascii="Arial" w:hAnsi="Arial" w:eastAsia="宋体" w:cs="Arial"/>
                <w:sz w:val="21"/>
                <w:szCs w:val="21"/>
              </w:rPr>
            </w:pPr>
            <w:r>
              <w:rPr>
                <w:rFonts w:hint="eastAsia" w:ascii="Arial" w:hAnsi="Arial" w:eastAsia="宋体" w:cs="Arial"/>
                <w:sz w:val="21"/>
                <w:szCs w:val="21"/>
              </w:rPr>
              <w:t>类比</w:t>
            </w:r>
            <w:r>
              <w:rPr>
                <w:rFonts w:ascii="Arial" w:hAnsi="Arial" w:eastAsia="宋体" w:cs="Arial"/>
                <w:sz w:val="21"/>
                <w:szCs w:val="21"/>
              </w:rPr>
              <w:t>法</w:t>
            </w:r>
          </w:p>
        </w:tc>
        <w:tc>
          <w:tcPr>
            <w:tcW w:w="265" w:type="pct"/>
            <w:vMerge w:val="restart"/>
            <w:vAlign w:val="center"/>
          </w:tcPr>
          <w:p w14:paraId="383D9413">
            <w:pPr>
              <w:adjustRightInd w:val="0"/>
              <w:snapToGrid w:val="0"/>
              <w:jc w:val="center"/>
              <w:rPr>
                <w:rFonts w:ascii="Arial" w:hAnsi="Arial" w:eastAsia="宋体" w:cs="Arial"/>
                <w:sz w:val="21"/>
                <w:szCs w:val="21"/>
              </w:rPr>
            </w:pPr>
            <w:r>
              <w:rPr>
                <w:rFonts w:hint="eastAsia" w:ascii="Arial" w:hAnsi="Arial" w:eastAsia="宋体" w:cs="Arial"/>
                <w:sz w:val="21"/>
                <w:szCs w:val="21"/>
              </w:rPr>
              <w:t>47000</w:t>
            </w:r>
          </w:p>
        </w:tc>
        <w:tc>
          <w:tcPr>
            <w:tcW w:w="309" w:type="pct"/>
            <w:vAlign w:val="center"/>
          </w:tcPr>
          <w:p w14:paraId="2D667578">
            <w:pPr>
              <w:adjustRightInd w:val="0"/>
              <w:snapToGrid w:val="0"/>
              <w:jc w:val="center"/>
              <w:rPr>
                <w:rFonts w:ascii="Arial" w:hAnsi="Arial" w:eastAsia="宋体" w:cs="Arial"/>
                <w:kern w:val="0"/>
                <w:sz w:val="21"/>
              </w:rPr>
            </w:pPr>
            <w:r>
              <w:rPr>
                <w:rFonts w:hint="eastAsia" w:ascii="Arial" w:hAnsi="Arial" w:eastAsia="宋体" w:cs="Arial"/>
                <w:kern w:val="0"/>
                <w:sz w:val="21"/>
              </w:rPr>
              <w:t>4.43</w:t>
            </w:r>
          </w:p>
        </w:tc>
        <w:tc>
          <w:tcPr>
            <w:tcW w:w="384" w:type="pct"/>
            <w:vAlign w:val="center"/>
          </w:tcPr>
          <w:p w14:paraId="4EB54AE5">
            <w:pPr>
              <w:adjustRightInd w:val="0"/>
              <w:snapToGrid w:val="0"/>
              <w:jc w:val="center"/>
              <w:rPr>
                <w:rFonts w:ascii="Arial" w:hAnsi="Arial" w:cs="Arial"/>
                <w:sz w:val="21"/>
                <w:szCs w:val="22"/>
              </w:rPr>
            </w:pPr>
            <w:r>
              <w:rPr>
                <w:rFonts w:hint="eastAsia" w:ascii="Arial" w:hAnsi="Arial" w:cs="Arial"/>
                <w:sz w:val="21"/>
                <w:szCs w:val="22"/>
              </w:rPr>
              <w:t>0.2081</w:t>
            </w:r>
          </w:p>
        </w:tc>
        <w:tc>
          <w:tcPr>
            <w:tcW w:w="233" w:type="pct"/>
            <w:vMerge w:val="restart"/>
            <w:vAlign w:val="center"/>
          </w:tcPr>
          <w:p w14:paraId="1C0705EA">
            <w:pPr>
              <w:adjustRightInd w:val="0"/>
              <w:snapToGrid w:val="0"/>
              <w:jc w:val="center"/>
              <w:rPr>
                <w:rFonts w:ascii="Arial" w:hAnsi="Arial" w:eastAsia="宋体" w:cs="Arial"/>
                <w:sz w:val="21"/>
                <w:szCs w:val="21"/>
              </w:rPr>
            </w:pPr>
            <w:r>
              <w:rPr>
                <w:rFonts w:ascii="Arial" w:hAnsi="Arial" w:eastAsia="宋体" w:cs="Arial"/>
                <w:sz w:val="21"/>
                <w:szCs w:val="21"/>
              </w:rPr>
              <w:t>7920</w:t>
            </w:r>
          </w:p>
        </w:tc>
      </w:tr>
      <w:tr w14:paraId="3ECC4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Merge w:val="continue"/>
            <w:vAlign w:val="center"/>
          </w:tcPr>
          <w:p w14:paraId="00D3648C">
            <w:pPr>
              <w:pStyle w:val="5"/>
              <w:adjustRightInd w:val="0"/>
              <w:snapToGrid w:val="0"/>
              <w:spacing w:line="240" w:lineRule="auto"/>
              <w:ind w:firstLine="0"/>
              <w:jc w:val="center"/>
              <w:rPr>
                <w:sz w:val="21"/>
                <w:szCs w:val="21"/>
              </w:rPr>
            </w:pPr>
          </w:p>
        </w:tc>
        <w:tc>
          <w:tcPr>
            <w:tcW w:w="758" w:type="pct"/>
            <w:vMerge w:val="continue"/>
            <w:vAlign w:val="center"/>
          </w:tcPr>
          <w:p w14:paraId="48C4F97E">
            <w:pPr>
              <w:pStyle w:val="5"/>
              <w:adjustRightInd w:val="0"/>
              <w:snapToGrid w:val="0"/>
              <w:spacing w:line="240" w:lineRule="auto"/>
              <w:ind w:firstLine="0"/>
              <w:jc w:val="center"/>
              <w:rPr>
                <w:sz w:val="21"/>
                <w:szCs w:val="21"/>
              </w:rPr>
            </w:pPr>
          </w:p>
        </w:tc>
        <w:tc>
          <w:tcPr>
            <w:tcW w:w="295" w:type="pct"/>
            <w:vAlign w:val="center"/>
          </w:tcPr>
          <w:p w14:paraId="47A43E2D">
            <w:pPr>
              <w:pStyle w:val="469"/>
              <w:rPr>
                <w:rFonts w:ascii="Arial" w:hAnsi="Arial" w:cs="Arial"/>
                <w:sz w:val="21"/>
                <w:szCs w:val="21"/>
              </w:rPr>
            </w:pPr>
            <w:r>
              <w:rPr>
                <w:rFonts w:ascii="Arial" w:hAnsi="Arial" w:cs="Arial"/>
                <w:sz w:val="21"/>
                <w:szCs w:val="21"/>
              </w:rPr>
              <w:t>钴</w:t>
            </w:r>
          </w:p>
        </w:tc>
        <w:tc>
          <w:tcPr>
            <w:tcW w:w="443" w:type="pct"/>
            <w:vAlign w:val="center"/>
          </w:tcPr>
          <w:p w14:paraId="02F21CC4">
            <w:pPr>
              <w:adjustRightInd w:val="0"/>
              <w:snapToGrid w:val="0"/>
              <w:jc w:val="center"/>
              <w:rPr>
                <w:rFonts w:ascii="Arial" w:hAnsi="Arial" w:eastAsia="宋体" w:cs="Arial"/>
                <w:sz w:val="21"/>
                <w:szCs w:val="21"/>
              </w:rPr>
            </w:pPr>
            <w:r>
              <w:rPr>
                <w:rFonts w:hint="eastAsia" w:ascii="Arial" w:hAnsi="Arial" w:eastAsia="宋体" w:cs="Arial"/>
                <w:sz w:val="21"/>
                <w:szCs w:val="21"/>
              </w:rPr>
              <w:t>类比法</w:t>
            </w:r>
          </w:p>
        </w:tc>
        <w:tc>
          <w:tcPr>
            <w:tcW w:w="296" w:type="pct"/>
            <w:vMerge w:val="continue"/>
            <w:vAlign w:val="center"/>
          </w:tcPr>
          <w:p w14:paraId="1D464B92">
            <w:pPr>
              <w:adjustRightInd w:val="0"/>
              <w:snapToGrid w:val="0"/>
              <w:jc w:val="center"/>
              <w:rPr>
                <w:rFonts w:ascii="Arial" w:hAnsi="Arial" w:eastAsia="宋体" w:cs="Arial"/>
                <w:sz w:val="21"/>
                <w:szCs w:val="21"/>
              </w:rPr>
            </w:pPr>
          </w:p>
        </w:tc>
        <w:tc>
          <w:tcPr>
            <w:tcW w:w="295" w:type="pct"/>
            <w:vAlign w:val="center"/>
          </w:tcPr>
          <w:p w14:paraId="2CCDD4A4">
            <w:pPr>
              <w:adjustRightInd w:val="0"/>
              <w:snapToGrid w:val="0"/>
              <w:jc w:val="center"/>
              <w:rPr>
                <w:rFonts w:ascii="Arial" w:hAnsi="Arial" w:eastAsia="宋体" w:cs="Arial"/>
                <w:kern w:val="0"/>
                <w:sz w:val="21"/>
              </w:rPr>
            </w:pPr>
            <w:r>
              <w:rPr>
                <w:rFonts w:hint="eastAsia" w:ascii="Arial" w:hAnsi="Arial" w:eastAsia="宋体" w:cs="Arial"/>
                <w:kern w:val="0"/>
                <w:sz w:val="21"/>
              </w:rPr>
              <w:t>29</w:t>
            </w:r>
          </w:p>
        </w:tc>
        <w:tc>
          <w:tcPr>
            <w:tcW w:w="345" w:type="pct"/>
            <w:vAlign w:val="center"/>
          </w:tcPr>
          <w:p w14:paraId="6F6375AF">
            <w:pPr>
              <w:adjustRightInd w:val="0"/>
              <w:snapToGrid w:val="0"/>
              <w:jc w:val="center"/>
              <w:rPr>
                <w:rFonts w:ascii="Arial" w:hAnsi="Arial" w:cs="Arial"/>
                <w:sz w:val="21"/>
                <w:szCs w:val="21"/>
              </w:rPr>
            </w:pPr>
            <w:r>
              <w:rPr>
                <w:rFonts w:hint="eastAsia" w:ascii="Arial" w:hAnsi="Arial" w:cs="Arial"/>
                <w:sz w:val="21"/>
                <w:szCs w:val="21"/>
              </w:rPr>
              <w:t>1.3847</w:t>
            </w:r>
          </w:p>
        </w:tc>
        <w:tc>
          <w:tcPr>
            <w:tcW w:w="394" w:type="pct"/>
            <w:vMerge w:val="continue"/>
            <w:vAlign w:val="center"/>
          </w:tcPr>
          <w:p w14:paraId="55A6C02C">
            <w:pPr>
              <w:adjustRightInd w:val="0"/>
              <w:snapToGrid w:val="0"/>
              <w:jc w:val="center"/>
              <w:rPr>
                <w:rFonts w:ascii="Arial" w:hAnsi="Arial" w:eastAsia="宋体" w:cs="Arial"/>
                <w:sz w:val="21"/>
                <w:szCs w:val="21"/>
              </w:rPr>
            </w:pPr>
          </w:p>
        </w:tc>
        <w:tc>
          <w:tcPr>
            <w:tcW w:w="246" w:type="pct"/>
            <w:vAlign w:val="center"/>
          </w:tcPr>
          <w:p w14:paraId="79272CBA">
            <w:pPr>
              <w:adjustRightInd w:val="0"/>
              <w:snapToGrid w:val="0"/>
              <w:jc w:val="center"/>
              <w:rPr>
                <w:rFonts w:ascii="Arial" w:hAnsi="Arial" w:eastAsia="宋体" w:cs="Arial"/>
                <w:sz w:val="21"/>
                <w:szCs w:val="21"/>
              </w:rPr>
            </w:pPr>
            <w:r>
              <w:rPr>
                <w:rFonts w:hint="eastAsia" w:ascii="Arial" w:hAnsi="Arial" w:eastAsia="宋体" w:cs="Arial"/>
                <w:sz w:val="21"/>
                <w:szCs w:val="21"/>
              </w:rPr>
              <w:t>91%</w:t>
            </w:r>
          </w:p>
        </w:tc>
        <w:tc>
          <w:tcPr>
            <w:tcW w:w="442" w:type="pct"/>
            <w:vAlign w:val="center"/>
          </w:tcPr>
          <w:p w14:paraId="6EEBC61E">
            <w:pPr>
              <w:adjustRightInd w:val="0"/>
              <w:snapToGrid w:val="0"/>
              <w:jc w:val="center"/>
              <w:rPr>
                <w:rFonts w:ascii="Arial" w:hAnsi="Arial" w:eastAsia="宋体" w:cs="Arial"/>
                <w:sz w:val="21"/>
                <w:szCs w:val="21"/>
              </w:rPr>
            </w:pPr>
            <w:r>
              <w:rPr>
                <w:rFonts w:hint="eastAsia" w:ascii="Arial" w:hAnsi="Arial" w:eastAsia="宋体" w:cs="Arial"/>
                <w:sz w:val="21"/>
                <w:szCs w:val="21"/>
              </w:rPr>
              <w:t>类比法</w:t>
            </w:r>
          </w:p>
        </w:tc>
        <w:tc>
          <w:tcPr>
            <w:tcW w:w="265" w:type="pct"/>
            <w:vMerge w:val="continue"/>
            <w:vAlign w:val="center"/>
          </w:tcPr>
          <w:p w14:paraId="661C5220">
            <w:pPr>
              <w:adjustRightInd w:val="0"/>
              <w:snapToGrid w:val="0"/>
              <w:jc w:val="center"/>
              <w:rPr>
                <w:rFonts w:ascii="Arial" w:hAnsi="Arial" w:eastAsia="宋体" w:cs="Arial"/>
                <w:sz w:val="21"/>
                <w:szCs w:val="21"/>
              </w:rPr>
            </w:pPr>
          </w:p>
        </w:tc>
        <w:tc>
          <w:tcPr>
            <w:tcW w:w="309" w:type="pct"/>
            <w:vAlign w:val="center"/>
          </w:tcPr>
          <w:p w14:paraId="67877EBF">
            <w:pPr>
              <w:adjustRightInd w:val="0"/>
              <w:snapToGrid w:val="0"/>
              <w:jc w:val="center"/>
              <w:rPr>
                <w:rFonts w:ascii="Arial" w:hAnsi="Arial" w:eastAsia="宋体" w:cs="Arial"/>
                <w:kern w:val="0"/>
                <w:sz w:val="21"/>
              </w:rPr>
            </w:pPr>
            <w:r>
              <w:rPr>
                <w:rFonts w:hint="eastAsia" w:ascii="Arial" w:hAnsi="Arial" w:eastAsia="宋体" w:cs="Arial"/>
                <w:kern w:val="0"/>
                <w:sz w:val="21"/>
              </w:rPr>
              <w:t>2.77</w:t>
            </w:r>
          </w:p>
        </w:tc>
        <w:tc>
          <w:tcPr>
            <w:tcW w:w="384" w:type="pct"/>
            <w:vAlign w:val="center"/>
          </w:tcPr>
          <w:p w14:paraId="54165F85">
            <w:pPr>
              <w:adjustRightInd w:val="0"/>
              <w:snapToGrid w:val="0"/>
              <w:jc w:val="center"/>
              <w:rPr>
                <w:rFonts w:ascii="Arial" w:hAnsi="Arial" w:cs="Arial"/>
                <w:sz w:val="21"/>
                <w:szCs w:val="21"/>
              </w:rPr>
            </w:pPr>
            <w:r>
              <w:rPr>
                <w:rFonts w:hint="eastAsia" w:ascii="Arial" w:hAnsi="Arial" w:cs="Arial"/>
                <w:sz w:val="21"/>
                <w:szCs w:val="21"/>
              </w:rPr>
              <w:t>0.1301</w:t>
            </w:r>
          </w:p>
        </w:tc>
        <w:tc>
          <w:tcPr>
            <w:tcW w:w="233" w:type="pct"/>
            <w:vMerge w:val="continue"/>
            <w:vAlign w:val="center"/>
          </w:tcPr>
          <w:p w14:paraId="795B4E00">
            <w:pPr>
              <w:adjustRightInd w:val="0"/>
              <w:snapToGrid w:val="0"/>
              <w:jc w:val="center"/>
              <w:rPr>
                <w:rFonts w:ascii="Arial" w:hAnsi="Arial" w:eastAsia="宋体" w:cs="Arial"/>
                <w:sz w:val="21"/>
                <w:szCs w:val="21"/>
              </w:rPr>
            </w:pPr>
          </w:p>
        </w:tc>
      </w:tr>
      <w:tr w14:paraId="223DE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vAlign w:val="center"/>
          </w:tcPr>
          <w:p w14:paraId="3E4ACF20">
            <w:pPr>
              <w:pStyle w:val="5"/>
              <w:adjustRightInd w:val="0"/>
              <w:snapToGrid w:val="0"/>
              <w:spacing w:line="240" w:lineRule="auto"/>
              <w:ind w:firstLine="0"/>
              <w:jc w:val="center"/>
              <w:rPr>
                <w:sz w:val="21"/>
                <w:szCs w:val="21"/>
              </w:rPr>
            </w:pPr>
            <w:r>
              <w:rPr>
                <w:sz w:val="21"/>
                <w:szCs w:val="21"/>
              </w:rPr>
              <w:t>污水处理</w:t>
            </w:r>
          </w:p>
        </w:tc>
        <w:tc>
          <w:tcPr>
            <w:tcW w:w="758" w:type="pct"/>
            <w:vAlign w:val="center"/>
          </w:tcPr>
          <w:p w14:paraId="56F8DB16">
            <w:pPr>
              <w:pStyle w:val="5"/>
              <w:adjustRightInd w:val="0"/>
              <w:snapToGrid w:val="0"/>
              <w:spacing w:line="240" w:lineRule="auto"/>
              <w:ind w:firstLine="0"/>
              <w:jc w:val="center"/>
              <w:rPr>
                <w:sz w:val="21"/>
                <w:szCs w:val="21"/>
              </w:rPr>
            </w:pPr>
            <w:r>
              <w:rPr>
                <w:sz w:val="21"/>
                <w:szCs w:val="21"/>
              </w:rPr>
              <w:t>G</w:t>
            </w:r>
            <w:r>
              <w:rPr>
                <w:rFonts w:hint="eastAsia"/>
                <w:sz w:val="21"/>
                <w:szCs w:val="21"/>
              </w:rPr>
              <w:t>3-1母液罐废气</w:t>
            </w:r>
          </w:p>
        </w:tc>
        <w:tc>
          <w:tcPr>
            <w:tcW w:w="295" w:type="pct"/>
            <w:vAlign w:val="center"/>
          </w:tcPr>
          <w:p w14:paraId="23F9BA61">
            <w:pPr>
              <w:pStyle w:val="469"/>
              <w:rPr>
                <w:rFonts w:ascii="Arial" w:hAnsi="Arial" w:cs="Arial"/>
                <w:sz w:val="21"/>
                <w:szCs w:val="21"/>
              </w:rPr>
            </w:pPr>
            <w:r>
              <w:rPr>
                <w:rFonts w:ascii="Arial" w:hAnsi="Arial" w:cs="Arial"/>
                <w:sz w:val="21"/>
                <w:szCs w:val="21"/>
              </w:rPr>
              <w:t>氨气</w:t>
            </w:r>
          </w:p>
        </w:tc>
        <w:tc>
          <w:tcPr>
            <w:tcW w:w="443" w:type="pct"/>
            <w:vAlign w:val="center"/>
          </w:tcPr>
          <w:p w14:paraId="3E6FD77B">
            <w:pPr>
              <w:adjustRightInd w:val="0"/>
              <w:snapToGrid w:val="0"/>
              <w:jc w:val="center"/>
              <w:rPr>
                <w:rFonts w:ascii="Arial" w:hAnsi="Arial" w:eastAsia="宋体" w:cs="Arial"/>
                <w:sz w:val="21"/>
                <w:szCs w:val="21"/>
              </w:rPr>
            </w:pPr>
            <w:r>
              <w:rPr>
                <w:rFonts w:hint="eastAsia" w:ascii="Arial" w:hAnsi="Arial" w:eastAsia="宋体" w:cs="Arial"/>
                <w:sz w:val="21"/>
                <w:szCs w:val="21"/>
              </w:rPr>
              <w:t>类比法</w:t>
            </w:r>
          </w:p>
        </w:tc>
        <w:tc>
          <w:tcPr>
            <w:tcW w:w="296" w:type="pct"/>
            <w:vAlign w:val="center"/>
          </w:tcPr>
          <w:p w14:paraId="63AA6505">
            <w:pPr>
              <w:adjustRightInd w:val="0"/>
              <w:snapToGrid w:val="0"/>
              <w:jc w:val="center"/>
              <w:rPr>
                <w:rFonts w:ascii="Arial" w:hAnsi="Arial" w:eastAsia="宋体" w:cs="Arial"/>
                <w:kern w:val="0"/>
                <w:sz w:val="21"/>
              </w:rPr>
            </w:pPr>
            <w:r>
              <w:rPr>
                <w:rFonts w:hint="eastAsia" w:ascii="Arial" w:hAnsi="Arial" w:eastAsia="宋体" w:cs="Arial"/>
                <w:kern w:val="0"/>
                <w:sz w:val="21"/>
              </w:rPr>
              <w:t>13000</w:t>
            </w:r>
          </w:p>
        </w:tc>
        <w:tc>
          <w:tcPr>
            <w:tcW w:w="295" w:type="pct"/>
            <w:vAlign w:val="center"/>
          </w:tcPr>
          <w:p w14:paraId="1AF25AC5">
            <w:pPr>
              <w:adjustRightInd w:val="0"/>
              <w:snapToGrid w:val="0"/>
              <w:jc w:val="center"/>
              <w:rPr>
                <w:rFonts w:ascii="Arial" w:hAnsi="Arial" w:eastAsia="宋体" w:cs="Arial"/>
                <w:kern w:val="0"/>
                <w:sz w:val="21"/>
              </w:rPr>
            </w:pPr>
            <w:r>
              <w:rPr>
                <w:rFonts w:hint="eastAsia" w:ascii="Arial" w:hAnsi="Arial" w:eastAsia="宋体" w:cs="Arial"/>
                <w:kern w:val="0"/>
                <w:sz w:val="21"/>
              </w:rPr>
              <w:t>3.58</w:t>
            </w:r>
          </w:p>
        </w:tc>
        <w:tc>
          <w:tcPr>
            <w:tcW w:w="345" w:type="pct"/>
            <w:vAlign w:val="center"/>
          </w:tcPr>
          <w:p w14:paraId="5E90E4E6">
            <w:pPr>
              <w:pStyle w:val="5"/>
              <w:adjustRightInd w:val="0"/>
              <w:snapToGrid w:val="0"/>
              <w:spacing w:line="240" w:lineRule="auto"/>
              <w:ind w:firstLine="0"/>
              <w:jc w:val="center"/>
              <w:rPr>
                <w:sz w:val="21"/>
                <w:szCs w:val="21"/>
              </w:rPr>
            </w:pPr>
            <w:r>
              <w:rPr>
                <w:rFonts w:hint="eastAsia"/>
                <w:sz w:val="21"/>
                <w:szCs w:val="21"/>
              </w:rPr>
              <w:t>0.0466</w:t>
            </w:r>
          </w:p>
        </w:tc>
        <w:tc>
          <w:tcPr>
            <w:tcW w:w="394" w:type="pct"/>
            <w:vAlign w:val="center"/>
          </w:tcPr>
          <w:p w14:paraId="77AA2145">
            <w:pPr>
              <w:adjustRightInd w:val="0"/>
              <w:snapToGrid w:val="0"/>
              <w:jc w:val="center"/>
              <w:rPr>
                <w:rFonts w:ascii="Arial" w:hAnsi="Arial" w:eastAsia="宋体" w:cs="Arial"/>
                <w:sz w:val="21"/>
                <w:szCs w:val="21"/>
              </w:rPr>
            </w:pPr>
            <w:r>
              <w:rPr>
                <w:rFonts w:ascii="Arial" w:hAnsi="Arial" w:eastAsia="宋体" w:cs="Arial"/>
                <w:sz w:val="21"/>
                <w:szCs w:val="21"/>
              </w:rPr>
              <w:t>吸收塔</w:t>
            </w:r>
          </w:p>
        </w:tc>
        <w:tc>
          <w:tcPr>
            <w:tcW w:w="246" w:type="pct"/>
            <w:vAlign w:val="center"/>
          </w:tcPr>
          <w:p w14:paraId="54CB4C7A">
            <w:pPr>
              <w:adjustRightInd w:val="0"/>
              <w:snapToGrid w:val="0"/>
              <w:jc w:val="center"/>
              <w:rPr>
                <w:rFonts w:ascii="Arial" w:hAnsi="Arial" w:eastAsia="宋体" w:cs="Arial"/>
                <w:sz w:val="21"/>
                <w:szCs w:val="21"/>
              </w:rPr>
            </w:pPr>
            <w:r>
              <w:rPr>
                <w:rFonts w:hint="eastAsia" w:ascii="Arial" w:hAnsi="Arial" w:eastAsia="宋体" w:cs="Arial"/>
                <w:sz w:val="21"/>
                <w:szCs w:val="21"/>
              </w:rPr>
              <w:t>90%</w:t>
            </w:r>
          </w:p>
        </w:tc>
        <w:tc>
          <w:tcPr>
            <w:tcW w:w="442" w:type="pct"/>
            <w:vAlign w:val="center"/>
          </w:tcPr>
          <w:p w14:paraId="1641BA44">
            <w:pPr>
              <w:adjustRightInd w:val="0"/>
              <w:snapToGrid w:val="0"/>
              <w:jc w:val="center"/>
              <w:rPr>
                <w:rFonts w:ascii="Arial" w:hAnsi="Arial" w:eastAsia="宋体" w:cs="Arial"/>
                <w:sz w:val="21"/>
                <w:szCs w:val="21"/>
              </w:rPr>
            </w:pPr>
            <w:r>
              <w:rPr>
                <w:rFonts w:hint="eastAsia" w:ascii="Arial" w:hAnsi="Arial" w:eastAsia="宋体" w:cs="Arial"/>
                <w:sz w:val="21"/>
                <w:szCs w:val="21"/>
              </w:rPr>
              <w:t>类比法</w:t>
            </w:r>
          </w:p>
        </w:tc>
        <w:tc>
          <w:tcPr>
            <w:tcW w:w="265" w:type="pct"/>
            <w:vAlign w:val="center"/>
          </w:tcPr>
          <w:p w14:paraId="7293834A">
            <w:pPr>
              <w:adjustRightInd w:val="0"/>
              <w:snapToGrid w:val="0"/>
              <w:jc w:val="center"/>
              <w:rPr>
                <w:rFonts w:ascii="Arial" w:hAnsi="Arial" w:eastAsia="宋体" w:cs="Arial"/>
                <w:kern w:val="0"/>
                <w:sz w:val="21"/>
              </w:rPr>
            </w:pPr>
            <w:r>
              <w:rPr>
                <w:rFonts w:hint="eastAsia" w:ascii="Arial" w:hAnsi="Arial" w:eastAsia="宋体" w:cs="Arial"/>
                <w:kern w:val="0"/>
                <w:sz w:val="21"/>
              </w:rPr>
              <w:t>13000</w:t>
            </w:r>
          </w:p>
        </w:tc>
        <w:tc>
          <w:tcPr>
            <w:tcW w:w="309" w:type="pct"/>
            <w:vAlign w:val="center"/>
          </w:tcPr>
          <w:p w14:paraId="20209DC1">
            <w:pPr>
              <w:adjustRightInd w:val="0"/>
              <w:snapToGrid w:val="0"/>
              <w:jc w:val="center"/>
              <w:rPr>
                <w:rFonts w:ascii="Arial" w:hAnsi="Arial" w:eastAsia="宋体" w:cs="Arial"/>
                <w:kern w:val="0"/>
                <w:sz w:val="21"/>
              </w:rPr>
            </w:pPr>
            <w:r>
              <w:rPr>
                <w:rFonts w:hint="eastAsia" w:ascii="Arial" w:hAnsi="Arial" w:eastAsia="宋体" w:cs="Arial"/>
                <w:kern w:val="0"/>
                <w:sz w:val="21"/>
              </w:rPr>
              <w:t>0.36</w:t>
            </w:r>
          </w:p>
        </w:tc>
        <w:tc>
          <w:tcPr>
            <w:tcW w:w="384" w:type="pct"/>
            <w:vAlign w:val="center"/>
          </w:tcPr>
          <w:p w14:paraId="1E50AFEF">
            <w:pPr>
              <w:pStyle w:val="5"/>
              <w:adjustRightInd w:val="0"/>
              <w:snapToGrid w:val="0"/>
              <w:spacing w:line="240" w:lineRule="auto"/>
              <w:ind w:firstLine="0"/>
              <w:jc w:val="center"/>
              <w:rPr>
                <w:sz w:val="21"/>
                <w:szCs w:val="21"/>
              </w:rPr>
            </w:pPr>
            <w:r>
              <w:rPr>
                <w:rFonts w:hint="eastAsia"/>
                <w:sz w:val="21"/>
                <w:szCs w:val="21"/>
              </w:rPr>
              <w:t>0.0047</w:t>
            </w:r>
          </w:p>
        </w:tc>
        <w:tc>
          <w:tcPr>
            <w:tcW w:w="233" w:type="pct"/>
            <w:vAlign w:val="center"/>
          </w:tcPr>
          <w:p w14:paraId="187A2DDB">
            <w:pPr>
              <w:adjustRightInd w:val="0"/>
              <w:snapToGrid w:val="0"/>
              <w:jc w:val="center"/>
              <w:rPr>
                <w:rFonts w:ascii="Arial" w:hAnsi="Arial" w:eastAsia="宋体" w:cs="Arial"/>
                <w:sz w:val="21"/>
                <w:szCs w:val="21"/>
              </w:rPr>
            </w:pPr>
            <w:r>
              <w:rPr>
                <w:rFonts w:hint="eastAsia" w:ascii="Arial" w:hAnsi="Arial" w:eastAsia="宋体" w:cs="Arial"/>
                <w:sz w:val="21"/>
                <w:szCs w:val="21"/>
              </w:rPr>
              <w:t>7920</w:t>
            </w:r>
          </w:p>
        </w:tc>
      </w:tr>
      <w:tr w14:paraId="18AA9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3" w:type="pct"/>
            <w:gridSpan w:val="2"/>
            <w:vAlign w:val="center"/>
          </w:tcPr>
          <w:p w14:paraId="3D22326C">
            <w:pPr>
              <w:pStyle w:val="5"/>
              <w:adjustRightInd w:val="0"/>
              <w:snapToGrid w:val="0"/>
              <w:spacing w:line="240" w:lineRule="auto"/>
              <w:ind w:firstLine="0"/>
              <w:jc w:val="center"/>
              <w:rPr>
                <w:sz w:val="21"/>
                <w:szCs w:val="21"/>
              </w:rPr>
            </w:pPr>
            <w:r>
              <w:rPr>
                <w:rFonts w:hint="eastAsia"/>
                <w:sz w:val="21"/>
                <w:szCs w:val="21"/>
              </w:rPr>
              <w:t>X19车间</w:t>
            </w:r>
            <w:r>
              <w:rPr>
                <w:sz w:val="21"/>
                <w:szCs w:val="21"/>
              </w:rPr>
              <w:t>无组织废气</w:t>
            </w:r>
          </w:p>
        </w:tc>
        <w:tc>
          <w:tcPr>
            <w:tcW w:w="295" w:type="pct"/>
            <w:vAlign w:val="center"/>
          </w:tcPr>
          <w:p w14:paraId="63F52523">
            <w:pPr>
              <w:pStyle w:val="469"/>
              <w:rPr>
                <w:rFonts w:ascii="Arial" w:hAnsi="Arial" w:cs="Arial"/>
                <w:sz w:val="21"/>
                <w:szCs w:val="21"/>
              </w:rPr>
            </w:pPr>
            <w:r>
              <w:rPr>
                <w:rFonts w:hint="eastAsia" w:ascii="Arial" w:hAnsi="Arial" w:cs="Arial"/>
                <w:sz w:val="21"/>
                <w:szCs w:val="21"/>
              </w:rPr>
              <w:t>氨气</w:t>
            </w:r>
          </w:p>
        </w:tc>
        <w:tc>
          <w:tcPr>
            <w:tcW w:w="443" w:type="pct"/>
            <w:vAlign w:val="center"/>
          </w:tcPr>
          <w:p w14:paraId="4E9E89A1">
            <w:pPr>
              <w:adjustRightInd w:val="0"/>
              <w:snapToGrid w:val="0"/>
              <w:jc w:val="center"/>
              <w:rPr>
                <w:rFonts w:ascii="Arial" w:hAnsi="Arial" w:eastAsia="宋体" w:cs="Arial"/>
                <w:sz w:val="21"/>
                <w:szCs w:val="21"/>
              </w:rPr>
            </w:pPr>
            <w:r>
              <w:rPr>
                <w:rFonts w:ascii="Arial" w:hAnsi="Arial" w:eastAsia="宋体" w:cs="Arial"/>
                <w:sz w:val="21"/>
                <w:szCs w:val="21"/>
              </w:rPr>
              <w:t>产污系数法</w:t>
            </w:r>
          </w:p>
        </w:tc>
        <w:tc>
          <w:tcPr>
            <w:tcW w:w="296" w:type="pct"/>
            <w:vAlign w:val="center"/>
          </w:tcPr>
          <w:p w14:paraId="3312BE21">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295" w:type="pct"/>
            <w:vAlign w:val="center"/>
          </w:tcPr>
          <w:p w14:paraId="7114CD41">
            <w:pPr>
              <w:adjustRightInd w:val="0"/>
              <w:snapToGrid w:val="0"/>
              <w:jc w:val="center"/>
              <w:rPr>
                <w:rFonts w:ascii="Arial" w:hAnsi="Arial" w:eastAsia="宋体" w:cs="Arial"/>
                <w:kern w:val="0"/>
                <w:sz w:val="21"/>
              </w:rPr>
            </w:pPr>
            <w:r>
              <w:rPr>
                <w:rFonts w:ascii="Arial" w:hAnsi="Arial" w:eastAsia="宋体" w:cs="Arial"/>
                <w:sz w:val="21"/>
                <w:szCs w:val="21"/>
              </w:rPr>
              <w:t>/</w:t>
            </w:r>
          </w:p>
        </w:tc>
        <w:tc>
          <w:tcPr>
            <w:tcW w:w="345" w:type="pct"/>
            <w:vAlign w:val="center"/>
          </w:tcPr>
          <w:p w14:paraId="46132B94">
            <w:pPr>
              <w:adjustRightInd w:val="0"/>
              <w:snapToGrid w:val="0"/>
              <w:jc w:val="center"/>
              <w:rPr>
                <w:rFonts w:ascii="Arial" w:hAnsi="Arial" w:cs="Arial"/>
                <w:sz w:val="21"/>
                <w:szCs w:val="22"/>
              </w:rPr>
            </w:pPr>
            <w:r>
              <w:rPr>
                <w:rFonts w:ascii="Arial" w:hAnsi="Arial" w:eastAsia="宋体" w:cs="Arial"/>
                <w:sz w:val="21"/>
                <w:szCs w:val="21"/>
              </w:rPr>
              <w:t>0.</w:t>
            </w:r>
            <w:r>
              <w:rPr>
                <w:rFonts w:hint="eastAsia" w:ascii="Arial" w:hAnsi="Arial" w:eastAsia="宋体" w:cs="Arial"/>
                <w:sz w:val="21"/>
                <w:szCs w:val="21"/>
              </w:rPr>
              <w:t>2167</w:t>
            </w:r>
          </w:p>
        </w:tc>
        <w:tc>
          <w:tcPr>
            <w:tcW w:w="394" w:type="pct"/>
            <w:vAlign w:val="center"/>
          </w:tcPr>
          <w:p w14:paraId="687B9512">
            <w:pPr>
              <w:adjustRightInd w:val="0"/>
              <w:snapToGrid w:val="0"/>
              <w:jc w:val="center"/>
              <w:rPr>
                <w:rFonts w:ascii="Arial" w:hAnsi="Arial" w:eastAsia="宋体" w:cs="Arial"/>
                <w:sz w:val="21"/>
                <w:szCs w:val="21"/>
              </w:rPr>
            </w:pPr>
            <w:r>
              <w:rPr>
                <w:rFonts w:ascii="Arial" w:hAnsi="Arial" w:eastAsia="宋体" w:cs="Arial"/>
                <w:sz w:val="21"/>
                <w:szCs w:val="21"/>
              </w:rPr>
              <w:t>无</w:t>
            </w:r>
          </w:p>
        </w:tc>
        <w:tc>
          <w:tcPr>
            <w:tcW w:w="246" w:type="pct"/>
            <w:vAlign w:val="center"/>
          </w:tcPr>
          <w:p w14:paraId="6812B83E">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442" w:type="pct"/>
            <w:vAlign w:val="center"/>
          </w:tcPr>
          <w:p w14:paraId="31330129">
            <w:pPr>
              <w:adjustRightInd w:val="0"/>
              <w:snapToGrid w:val="0"/>
              <w:jc w:val="center"/>
              <w:rPr>
                <w:rFonts w:ascii="Arial" w:hAnsi="Arial" w:eastAsia="宋体" w:cs="Arial"/>
                <w:sz w:val="21"/>
                <w:szCs w:val="21"/>
              </w:rPr>
            </w:pPr>
            <w:r>
              <w:rPr>
                <w:rFonts w:ascii="Arial" w:hAnsi="Arial" w:eastAsia="宋体" w:cs="Arial"/>
                <w:sz w:val="21"/>
                <w:szCs w:val="21"/>
              </w:rPr>
              <w:t>排污系数法</w:t>
            </w:r>
          </w:p>
        </w:tc>
        <w:tc>
          <w:tcPr>
            <w:tcW w:w="265" w:type="pct"/>
            <w:vAlign w:val="center"/>
          </w:tcPr>
          <w:p w14:paraId="0CC0452F">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09" w:type="pct"/>
            <w:vAlign w:val="center"/>
          </w:tcPr>
          <w:p w14:paraId="472AD3E5">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84" w:type="pct"/>
            <w:vAlign w:val="center"/>
          </w:tcPr>
          <w:p w14:paraId="510FDE65">
            <w:pPr>
              <w:adjustRightInd w:val="0"/>
              <w:snapToGrid w:val="0"/>
              <w:jc w:val="center"/>
              <w:rPr>
                <w:rFonts w:ascii="Arial" w:hAnsi="Arial" w:eastAsia="宋体" w:cs="Arial"/>
                <w:kern w:val="0"/>
                <w:sz w:val="21"/>
              </w:rPr>
            </w:pPr>
            <w:r>
              <w:rPr>
                <w:rFonts w:hint="eastAsia" w:ascii="Arial" w:hAnsi="Arial" w:eastAsia="宋体" w:cs="Arial"/>
                <w:sz w:val="21"/>
                <w:szCs w:val="21"/>
              </w:rPr>
              <w:t>0.2167</w:t>
            </w:r>
          </w:p>
        </w:tc>
        <w:tc>
          <w:tcPr>
            <w:tcW w:w="233" w:type="pct"/>
            <w:vAlign w:val="center"/>
          </w:tcPr>
          <w:p w14:paraId="68D3993D">
            <w:pPr>
              <w:adjustRightInd w:val="0"/>
              <w:snapToGrid w:val="0"/>
              <w:jc w:val="center"/>
              <w:rPr>
                <w:rFonts w:ascii="Arial" w:hAnsi="Arial" w:eastAsia="宋体" w:cs="Arial"/>
                <w:sz w:val="21"/>
                <w:szCs w:val="21"/>
              </w:rPr>
            </w:pPr>
            <w:r>
              <w:rPr>
                <w:rFonts w:ascii="Arial" w:hAnsi="Arial" w:eastAsia="宋体" w:cs="Arial"/>
                <w:sz w:val="21"/>
                <w:szCs w:val="21"/>
              </w:rPr>
              <w:t>7920</w:t>
            </w:r>
          </w:p>
        </w:tc>
      </w:tr>
    </w:tbl>
    <w:p w14:paraId="645A4736">
      <w:pPr>
        <w:pStyle w:val="5"/>
        <w:spacing w:line="500" w:lineRule="exact"/>
        <w:ind w:firstLine="0"/>
        <w:rPr>
          <w:b/>
          <w:highlight w:val="yellow"/>
        </w:rPr>
      </w:pPr>
    </w:p>
    <w:p w14:paraId="766ACF1C">
      <w:pPr>
        <w:pStyle w:val="5"/>
        <w:keepNext/>
        <w:numPr>
          <w:ilvl w:val="0"/>
          <w:numId w:val="12"/>
        </w:numPr>
        <w:spacing w:line="480" w:lineRule="exact"/>
        <w:jc w:val="center"/>
        <w:outlineLvl w:val="4"/>
        <w:rPr>
          <w:b/>
        </w:rPr>
      </w:pPr>
      <w:r>
        <w:rPr>
          <w:b/>
        </w:rPr>
        <w:t>项目变更后有组织废气汇总表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1756"/>
        <w:gridCol w:w="1135"/>
        <w:gridCol w:w="991"/>
        <w:gridCol w:w="852"/>
        <w:gridCol w:w="991"/>
        <w:gridCol w:w="994"/>
        <w:gridCol w:w="1278"/>
        <w:gridCol w:w="852"/>
        <w:gridCol w:w="849"/>
        <w:gridCol w:w="991"/>
        <w:gridCol w:w="994"/>
        <w:gridCol w:w="852"/>
        <w:gridCol w:w="1349"/>
      </w:tblGrid>
      <w:tr w14:paraId="4EC62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306" w:type="pct"/>
            <w:vMerge w:val="restart"/>
            <w:vAlign w:val="center"/>
          </w:tcPr>
          <w:p w14:paraId="7A9865F8">
            <w:pPr>
              <w:adjustRightInd w:val="0"/>
              <w:snapToGrid w:val="0"/>
              <w:jc w:val="center"/>
              <w:rPr>
                <w:rFonts w:ascii="Arial" w:hAnsi="Arial" w:eastAsia="宋体" w:cs="Arial"/>
                <w:sz w:val="21"/>
                <w:szCs w:val="24"/>
              </w:rPr>
            </w:pPr>
            <w:r>
              <w:rPr>
                <w:rFonts w:ascii="Arial" w:hAnsi="Arial" w:eastAsia="宋体" w:cs="Arial"/>
                <w:sz w:val="21"/>
                <w:szCs w:val="24"/>
              </w:rPr>
              <w:t>排气筒编号</w:t>
            </w:r>
          </w:p>
        </w:tc>
        <w:tc>
          <w:tcPr>
            <w:tcW w:w="594" w:type="pct"/>
            <w:vMerge w:val="restart"/>
            <w:vAlign w:val="center"/>
          </w:tcPr>
          <w:p w14:paraId="438CE496">
            <w:pPr>
              <w:adjustRightInd w:val="0"/>
              <w:snapToGrid w:val="0"/>
              <w:jc w:val="center"/>
              <w:rPr>
                <w:rFonts w:ascii="Arial" w:hAnsi="Arial" w:eastAsia="宋体" w:cs="Arial"/>
                <w:sz w:val="21"/>
                <w:szCs w:val="24"/>
              </w:rPr>
            </w:pPr>
            <w:r>
              <w:rPr>
                <w:rFonts w:ascii="Arial" w:hAnsi="Arial" w:eastAsia="宋体" w:cs="Arial"/>
                <w:sz w:val="21"/>
                <w:szCs w:val="24"/>
              </w:rPr>
              <w:t>废气来源</w:t>
            </w:r>
          </w:p>
        </w:tc>
        <w:tc>
          <w:tcPr>
            <w:tcW w:w="384" w:type="pct"/>
            <w:vMerge w:val="restart"/>
            <w:vAlign w:val="center"/>
          </w:tcPr>
          <w:p w14:paraId="0F2A3453">
            <w:pPr>
              <w:adjustRightInd w:val="0"/>
              <w:snapToGrid w:val="0"/>
              <w:jc w:val="center"/>
              <w:rPr>
                <w:rFonts w:ascii="Arial" w:hAnsi="Arial" w:eastAsia="宋体" w:cs="Arial"/>
                <w:sz w:val="21"/>
                <w:szCs w:val="24"/>
              </w:rPr>
            </w:pPr>
            <w:r>
              <w:rPr>
                <w:rFonts w:ascii="Arial" w:hAnsi="Arial" w:eastAsia="宋体" w:cs="Arial"/>
                <w:sz w:val="21"/>
                <w:szCs w:val="24"/>
              </w:rPr>
              <w:t>烟气量</w:t>
            </w:r>
          </w:p>
          <w:p w14:paraId="612601DB">
            <w:pPr>
              <w:adjustRightInd w:val="0"/>
              <w:snapToGrid w:val="0"/>
              <w:jc w:val="center"/>
              <w:rPr>
                <w:rFonts w:ascii="Arial" w:hAnsi="Arial" w:eastAsia="宋体" w:cs="Arial"/>
                <w:sz w:val="21"/>
                <w:szCs w:val="24"/>
              </w:rPr>
            </w:pPr>
            <w:r>
              <w:rPr>
                <w:rFonts w:ascii="Arial" w:hAnsi="Arial" w:eastAsia="宋体" w:cs="Arial"/>
                <w:sz w:val="21"/>
                <w:szCs w:val="24"/>
              </w:rPr>
              <w:t>Nm</w:t>
            </w:r>
            <w:r>
              <w:rPr>
                <w:rFonts w:ascii="Arial" w:hAnsi="Arial" w:eastAsia="宋体" w:cs="Arial"/>
                <w:sz w:val="21"/>
                <w:szCs w:val="24"/>
                <w:vertAlign w:val="superscript"/>
              </w:rPr>
              <w:t>3</w:t>
            </w:r>
            <w:r>
              <w:rPr>
                <w:rFonts w:ascii="Arial" w:hAnsi="Arial" w:eastAsia="宋体" w:cs="Arial"/>
                <w:sz w:val="21"/>
                <w:szCs w:val="24"/>
              </w:rPr>
              <w:t>/h</w:t>
            </w:r>
          </w:p>
        </w:tc>
        <w:tc>
          <w:tcPr>
            <w:tcW w:w="335" w:type="pct"/>
            <w:vMerge w:val="restart"/>
            <w:vAlign w:val="center"/>
          </w:tcPr>
          <w:p w14:paraId="0A22271F">
            <w:pPr>
              <w:adjustRightInd w:val="0"/>
              <w:snapToGrid w:val="0"/>
              <w:jc w:val="center"/>
              <w:rPr>
                <w:rFonts w:ascii="Arial" w:hAnsi="Arial" w:eastAsia="宋体" w:cs="Arial"/>
                <w:sz w:val="21"/>
                <w:szCs w:val="24"/>
              </w:rPr>
            </w:pPr>
            <w:r>
              <w:rPr>
                <w:rFonts w:ascii="Arial" w:hAnsi="Arial" w:eastAsia="宋体" w:cs="Arial"/>
                <w:sz w:val="21"/>
                <w:szCs w:val="24"/>
              </w:rPr>
              <w:t>污染物</w:t>
            </w:r>
          </w:p>
        </w:tc>
        <w:tc>
          <w:tcPr>
            <w:tcW w:w="959" w:type="pct"/>
            <w:gridSpan w:val="3"/>
            <w:vAlign w:val="center"/>
          </w:tcPr>
          <w:p w14:paraId="5B438DB4">
            <w:pPr>
              <w:widowControl/>
              <w:adjustRightInd w:val="0"/>
              <w:snapToGrid w:val="0"/>
              <w:jc w:val="center"/>
              <w:rPr>
                <w:rFonts w:ascii="Arial" w:hAnsi="Arial" w:eastAsia="宋体" w:cs="Arial"/>
                <w:kern w:val="0"/>
                <w:sz w:val="21"/>
              </w:rPr>
            </w:pPr>
            <w:r>
              <w:rPr>
                <w:rFonts w:ascii="Arial" w:hAnsi="Arial" w:eastAsia="宋体" w:cs="Arial"/>
                <w:kern w:val="0"/>
                <w:sz w:val="21"/>
              </w:rPr>
              <w:t>产生情况</w:t>
            </w:r>
          </w:p>
        </w:tc>
        <w:tc>
          <w:tcPr>
            <w:tcW w:w="720" w:type="pct"/>
            <w:gridSpan w:val="2"/>
            <w:vAlign w:val="center"/>
          </w:tcPr>
          <w:p w14:paraId="49A00A22">
            <w:pPr>
              <w:widowControl/>
              <w:adjustRightInd w:val="0"/>
              <w:snapToGrid w:val="0"/>
              <w:jc w:val="center"/>
              <w:rPr>
                <w:rFonts w:ascii="Arial" w:hAnsi="Arial" w:eastAsia="宋体" w:cs="Arial"/>
                <w:kern w:val="0"/>
                <w:sz w:val="21"/>
              </w:rPr>
            </w:pPr>
            <w:r>
              <w:rPr>
                <w:rFonts w:ascii="Arial" w:hAnsi="Arial" w:eastAsia="宋体" w:cs="Arial"/>
                <w:kern w:val="0"/>
                <w:sz w:val="21"/>
              </w:rPr>
              <w:t>治理措施</w:t>
            </w:r>
          </w:p>
        </w:tc>
        <w:tc>
          <w:tcPr>
            <w:tcW w:w="958" w:type="pct"/>
            <w:gridSpan w:val="3"/>
            <w:vAlign w:val="center"/>
          </w:tcPr>
          <w:p w14:paraId="1BB188BB">
            <w:pPr>
              <w:widowControl/>
              <w:adjustRightInd w:val="0"/>
              <w:snapToGrid w:val="0"/>
              <w:jc w:val="center"/>
              <w:rPr>
                <w:rFonts w:ascii="Arial" w:hAnsi="Arial" w:eastAsia="宋体" w:cs="Arial"/>
                <w:kern w:val="0"/>
                <w:sz w:val="21"/>
              </w:rPr>
            </w:pPr>
            <w:r>
              <w:rPr>
                <w:rFonts w:ascii="Arial" w:hAnsi="Arial" w:eastAsia="宋体" w:cs="Arial"/>
                <w:kern w:val="0"/>
                <w:sz w:val="21"/>
              </w:rPr>
              <w:t>排放情况</w:t>
            </w:r>
          </w:p>
        </w:tc>
        <w:tc>
          <w:tcPr>
            <w:tcW w:w="288" w:type="pct"/>
            <w:vMerge w:val="restart"/>
            <w:vAlign w:val="center"/>
          </w:tcPr>
          <w:p w14:paraId="04D72143">
            <w:pPr>
              <w:widowControl/>
              <w:adjustRightInd w:val="0"/>
              <w:snapToGrid w:val="0"/>
              <w:jc w:val="center"/>
              <w:rPr>
                <w:rFonts w:ascii="Arial" w:hAnsi="Arial" w:eastAsia="宋体" w:cs="Arial"/>
                <w:kern w:val="0"/>
                <w:sz w:val="21"/>
              </w:rPr>
            </w:pPr>
            <w:r>
              <w:rPr>
                <w:rFonts w:ascii="Arial" w:hAnsi="Arial" w:eastAsia="宋体" w:cs="Arial"/>
                <w:kern w:val="0"/>
                <w:sz w:val="21"/>
              </w:rPr>
              <w:t>标准</w:t>
            </w:r>
          </w:p>
          <w:p w14:paraId="4C23CB13">
            <w:pPr>
              <w:widowControl/>
              <w:adjustRightInd w:val="0"/>
              <w:snapToGrid w:val="0"/>
              <w:jc w:val="center"/>
              <w:rPr>
                <w:rFonts w:ascii="Arial" w:hAnsi="Arial" w:eastAsia="宋体" w:cs="Arial"/>
                <w:kern w:val="0"/>
                <w:sz w:val="21"/>
              </w:rPr>
            </w:pPr>
            <w:r>
              <w:rPr>
                <w:rFonts w:ascii="Arial" w:hAnsi="Arial" w:eastAsia="宋体" w:cs="Arial"/>
                <w:kern w:val="0"/>
                <w:sz w:val="21"/>
              </w:rPr>
              <w:t>mg/m</w:t>
            </w:r>
            <w:r>
              <w:rPr>
                <w:rFonts w:ascii="Arial" w:hAnsi="Arial" w:eastAsia="宋体" w:cs="Arial"/>
                <w:kern w:val="0"/>
                <w:sz w:val="21"/>
                <w:vertAlign w:val="superscript"/>
              </w:rPr>
              <w:t>3</w:t>
            </w:r>
          </w:p>
        </w:tc>
        <w:tc>
          <w:tcPr>
            <w:tcW w:w="456" w:type="pct"/>
            <w:vMerge w:val="restart"/>
            <w:vAlign w:val="center"/>
          </w:tcPr>
          <w:p w14:paraId="14327989">
            <w:pPr>
              <w:widowControl/>
              <w:adjustRightInd w:val="0"/>
              <w:snapToGrid w:val="0"/>
              <w:jc w:val="center"/>
              <w:rPr>
                <w:rFonts w:ascii="Arial" w:hAnsi="Arial" w:eastAsia="宋体" w:cs="Arial"/>
                <w:kern w:val="0"/>
                <w:sz w:val="21"/>
              </w:rPr>
            </w:pPr>
            <w:r>
              <w:rPr>
                <w:rFonts w:ascii="Arial" w:hAnsi="Arial" w:eastAsia="宋体" w:cs="Arial"/>
                <w:kern w:val="0"/>
                <w:sz w:val="21"/>
              </w:rPr>
              <w:t>排气筒参数</w:t>
            </w:r>
          </w:p>
          <w:p w14:paraId="6F6D4A3E">
            <w:pPr>
              <w:widowControl/>
              <w:adjustRightInd w:val="0"/>
              <w:snapToGrid w:val="0"/>
              <w:jc w:val="center"/>
              <w:rPr>
                <w:rFonts w:ascii="Arial" w:hAnsi="Arial" w:eastAsia="宋体" w:cs="Arial"/>
                <w:kern w:val="0"/>
                <w:sz w:val="21"/>
              </w:rPr>
            </w:pPr>
            <w:r>
              <w:rPr>
                <w:rFonts w:ascii="Arial" w:hAnsi="Arial" w:eastAsia="宋体" w:cs="Arial"/>
                <w:kern w:val="0"/>
                <w:sz w:val="21"/>
              </w:rPr>
              <w:t>高/内径/温度</w:t>
            </w:r>
          </w:p>
        </w:tc>
      </w:tr>
      <w:tr w14:paraId="781D0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306" w:type="pct"/>
            <w:vMerge w:val="continue"/>
            <w:vAlign w:val="center"/>
          </w:tcPr>
          <w:p w14:paraId="22A0797A">
            <w:pPr>
              <w:adjustRightInd w:val="0"/>
              <w:snapToGrid w:val="0"/>
              <w:jc w:val="center"/>
              <w:rPr>
                <w:rFonts w:ascii="Arial" w:hAnsi="Arial" w:eastAsia="宋体" w:cs="Arial"/>
                <w:sz w:val="21"/>
                <w:szCs w:val="24"/>
              </w:rPr>
            </w:pPr>
          </w:p>
        </w:tc>
        <w:tc>
          <w:tcPr>
            <w:tcW w:w="594" w:type="pct"/>
            <w:vMerge w:val="continue"/>
            <w:vAlign w:val="center"/>
          </w:tcPr>
          <w:p w14:paraId="0160FB11">
            <w:pPr>
              <w:adjustRightInd w:val="0"/>
              <w:snapToGrid w:val="0"/>
              <w:jc w:val="center"/>
              <w:rPr>
                <w:rFonts w:ascii="Arial" w:hAnsi="Arial" w:eastAsia="宋体" w:cs="Arial"/>
                <w:sz w:val="21"/>
                <w:szCs w:val="24"/>
              </w:rPr>
            </w:pPr>
          </w:p>
        </w:tc>
        <w:tc>
          <w:tcPr>
            <w:tcW w:w="384" w:type="pct"/>
            <w:vMerge w:val="continue"/>
            <w:vAlign w:val="center"/>
          </w:tcPr>
          <w:p w14:paraId="008C6211">
            <w:pPr>
              <w:adjustRightInd w:val="0"/>
              <w:snapToGrid w:val="0"/>
              <w:jc w:val="center"/>
              <w:rPr>
                <w:rFonts w:ascii="Arial" w:hAnsi="Arial" w:eastAsia="宋体" w:cs="Arial"/>
                <w:sz w:val="21"/>
                <w:szCs w:val="24"/>
              </w:rPr>
            </w:pPr>
          </w:p>
        </w:tc>
        <w:tc>
          <w:tcPr>
            <w:tcW w:w="335" w:type="pct"/>
            <w:vMerge w:val="continue"/>
            <w:vAlign w:val="center"/>
          </w:tcPr>
          <w:p w14:paraId="249AE412">
            <w:pPr>
              <w:adjustRightInd w:val="0"/>
              <w:snapToGrid w:val="0"/>
              <w:jc w:val="center"/>
              <w:rPr>
                <w:rFonts w:ascii="Arial" w:hAnsi="Arial" w:eastAsia="宋体" w:cs="Arial"/>
                <w:sz w:val="21"/>
                <w:szCs w:val="24"/>
              </w:rPr>
            </w:pPr>
          </w:p>
        </w:tc>
        <w:tc>
          <w:tcPr>
            <w:tcW w:w="288" w:type="pct"/>
            <w:vAlign w:val="center"/>
          </w:tcPr>
          <w:p w14:paraId="652C46DC">
            <w:pPr>
              <w:widowControl/>
              <w:adjustRightInd w:val="0"/>
              <w:snapToGrid w:val="0"/>
              <w:jc w:val="center"/>
              <w:rPr>
                <w:rFonts w:ascii="Arial" w:hAnsi="Arial" w:eastAsia="宋体" w:cs="Arial"/>
                <w:kern w:val="0"/>
                <w:sz w:val="21"/>
              </w:rPr>
            </w:pPr>
            <w:r>
              <w:rPr>
                <w:rFonts w:ascii="Arial" w:hAnsi="Arial" w:eastAsia="宋体" w:cs="Arial"/>
                <w:kern w:val="0"/>
                <w:sz w:val="21"/>
              </w:rPr>
              <w:t>mg/m</w:t>
            </w:r>
            <w:r>
              <w:rPr>
                <w:rFonts w:ascii="Arial" w:hAnsi="Arial" w:eastAsia="宋体" w:cs="Arial"/>
                <w:kern w:val="0"/>
                <w:sz w:val="21"/>
                <w:vertAlign w:val="superscript"/>
              </w:rPr>
              <w:t>3</w:t>
            </w:r>
          </w:p>
        </w:tc>
        <w:tc>
          <w:tcPr>
            <w:tcW w:w="335" w:type="pct"/>
            <w:vAlign w:val="center"/>
          </w:tcPr>
          <w:p w14:paraId="6EA75FF1">
            <w:pPr>
              <w:widowControl/>
              <w:adjustRightInd w:val="0"/>
              <w:snapToGrid w:val="0"/>
              <w:jc w:val="center"/>
              <w:rPr>
                <w:rFonts w:ascii="Arial" w:hAnsi="Arial" w:eastAsia="宋体" w:cs="Arial"/>
                <w:kern w:val="0"/>
                <w:sz w:val="21"/>
              </w:rPr>
            </w:pPr>
            <w:r>
              <w:rPr>
                <w:rFonts w:ascii="Arial" w:hAnsi="Arial" w:eastAsia="宋体" w:cs="Arial"/>
                <w:kern w:val="0"/>
                <w:sz w:val="21"/>
              </w:rPr>
              <w:t>kg/h</w:t>
            </w:r>
          </w:p>
        </w:tc>
        <w:tc>
          <w:tcPr>
            <w:tcW w:w="336" w:type="pct"/>
            <w:vAlign w:val="center"/>
          </w:tcPr>
          <w:p w14:paraId="26188601">
            <w:pPr>
              <w:widowControl/>
              <w:adjustRightInd w:val="0"/>
              <w:snapToGrid w:val="0"/>
              <w:jc w:val="center"/>
              <w:rPr>
                <w:rFonts w:ascii="Arial" w:hAnsi="Arial" w:eastAsia="宋体" w:cs="Arial"/>
                <w:kern w:val="0"/>
                <w:sz w:val="21"/>
              </w:rPr>
            </w:pPr>
            <w:r>
              <w:rPr>
                <w:rFonts w:ascii="Arial" w:hAnsi="Arial" w:eastAsia="宋体" w:cs="Arial"/>
                <w:kern w:val="0"/>
                <w:sz w:val="21"/>
              </w:rPr>
              <w:t>t/a</w:t>
            </w:r>
          </w:p>
        </w:tc>
        <w:tc>
          <w:tcPr>
            <w:tcW w:w="432" w:type="pct"/>
            <w:vAlign w:val="center"/>
          </w:tcPr>
          <w:p w14:paraId="15D9AC1B">
            <w:pPr>
              <w:widowControl/>
              <w:adjustRightInd w:val="0"/>
              <w:snapToGrid w:val="0"/>
              <w:jc w:val="center"/>
              <w:rPr>
                <w:rFonts w:ascii="Arial" w:hAnsi="Arial" w:eastAsia="宋体" w:cs="Arial"/>
                <w:kern w:val="0"/>
                <w:sz w:val="21"/>
              </w:rPr>
            </w:pPr>
            <w:r>
              <w:rPr>
                <w:rFonts w:ascii="Arial" w:hAnsi="Arial" w:eastAsia="宋体" w:cs="Arial"/>
                <w:kern w:val="0"/>
                <w:sz w:val="21"/>
              </w:rPr>
              <w:t>工艺</w:t>
            </w:r>
          </w:p>
        </w:tc>
        <w:tc>
          <w:tcPr>
            <w:tcW w:w="288" w:type="pct"/>
            <w:vAlign w:val="center"/>
          </w:tcPr>
          <w:p w14:paraId="5AAC562F">
            <w:pPr>
              <w:widowControl/>
              <w:adjustRightInd w:val="0"/>
              <w:snapToGrid w:val="0"/>
              <w:jc w:val="center"/>
              <w:rPr>
                <w:rFonts w:ascii="Arial" w:hAnsi="Arial" w:eastAsia="宋体" w:cs="Arial"/>
                <w:kern w:val="0"/>
                <w:sz w:val="21"/>
              </w:rPr>
            </w:pPr>
            <w:r>
              <w:rPr>
                <w:rFonts w:ascii="Arial" w:hAnsi="Arial" w:eastAsia="宋体" w:cs="Arial"/>
                <w:kern w:val="0"/>
                <w:sz w:val="21"/>
              </w:rPr>
              <w:t>效率</w:t>
            </w:r>
          </w:p>
        </w:tc>
        <w:tc>
          <w:tcPr>
            <w:tcW w:w="287" w:type="pct"/>
            <w:vAlign w:val="center"/>
          </w:tcPr>
          <w:p w14:paraId="207322C4">
            <w:pPr>
              <w:widowControl/>
              <w:adjustRightInd w:val="0"/>
              <w:snapToGrid w:val="0"/>
              <w:jc w:val="center"/>
              <w:rPr>
                <w:rFonts w:ascii="Arial" w:hAnsi="Arial" w:eastAsia="宋体" w:cs="Arial"/>
                <w:kern w:val="0"/>
                <w:sz w:val="21"/>
              </w:rPr>
            </w:pPr>
            <w:r>
              <w:rPr>
                <w:rFonts w:ascii="Arial" w:hAnsi="Arial" w:eastAsia="宋体" w:cs="Arial"/>
                <w:kern w:val="0"/>
                <w:sz w:val="21"/>
              </w:rPr>
              <w:t>mg/m</w:t>
            </w:r>
            <w:r>
              <w:rPr>
                <w:rFonts w:ascii="Arial" w:hAnsi="Arial" w:eastAsia="宋体" w:cs="Arial"/>
                <w:kern w:val="0"/>
                <w:sz w:val="21"/>
                <w:vertAlign w:val="superscript"/>
              </w:rPr>
              <w:t>3</w:t>
            </w:r>
          </w:p>
        </w:tc>
        <w:tc>
          <w:tcPr>
            <w:tcW w:w="335" w:type="pct"/>
            <w:vAlign w:val="center"/>
          </w:tcPr>
          <w:p w14:paraId="7C097CEF">
            <w:pPr>
              <w:widowControl/>
              <w:adjustRightInd w:val="0"/>
              <w:snapToGrid w:val="0"/>
              <w:jc w:val="center"/>
              <w:rPr>
                <w:rFonts w:ascii="Arial" w:hAnsi="Arial" w:eastAsia="宋体" w:cs="Arial"/>
                <w:kern w:val="0"/>
                <w:sz w:val="21"/>
              </w:rPr>
            </w:pPr>
            <w:r>
              <w:rPr>
                <w:rFonts w:ascii="Arial" w:hAnsi="Arial" w:eastAsia="宋体" w:cs="Arial"/>
                <w:kern w:val="0"/>
                <w:sz w:val="21"/>
              </w:rPr>
              <w:t>kg/h</w:t>
            </w:r>
          </w:p>
        </w:tc>
        <w:tc>
          <w:tcPr>
            <w:tcW w:w="336" w:type="pct"/>
            <w:vAlign w:val="center"/>
          </w:tcPr>
          <w:p w14:paraId="130AE4D2">
            <w:pPr>
              <w:widowControl/>
              <w:adjustRightInd w:val="0"/>
              <w:snapToGrid w:val="0"/>
              <w:jc w:val="center"/>
              <w:rPr>
                <w:rFonts w:ascii="Arial" w:hAnsi="Arial" w:eastAsia="宋体" w:cs="Arial"/>
                <w:kern w:val="0"/>
                <w:sz w:val="21"/>
              </w:rPr>
            </w:pPr>
            <w:r>
              <w:rPr>
                <w:rFonts w:ascii="Arial" w:hAnsi="Arial" w:eastAsia="宋体" w:cs="Arial"/>
                <w:kern w:val="0"/>
                <w:sz w:val="21"/>
              </w:rPr>
              <w:t>t/a</w:t>
            </w:r>
          </w:p>
        </w:tc>
        <w:tc>
          <w:tcPr>
            <w:tcW w:w="288" w:type="pct"/>
            <w:vMerge w:val="continue"/>
            <w:vAlign w:val="center"/>
          </w:tcPr>
          <w:p w14:paraId="23F919D8">
            <w:pPr>
              <w:widowControl/>
              <w:adjustRightInd w:val="0"/>
              <w:snapToGrid w:val="0"/>
              <w:jc w:val="center"/>
              <w:rPr>
                <w:rFonts w:ascii="Arial" w:hAnsi="Arial" w:eastAsia="宋体" w:cs="Arial"/>
                <w:kern w:val="0"/>
                <w:sz w:val="21"/>
              </w:rPr>
            </w:pPr>
          </w:p>
        </w:tc>
        <w:tc>
          <w:tcPr>
            <w:tcW w:w="456" w:type="pct"/>
            <w:vMerge w:val="continue"/>
            <w:vAlign w:val="center"/>
          </w:tcPr>
          <w:p w14:paraId="266126DF">
            <w:pPr>
              <w:widowControl/>
              <w:adjustRightInd w:val="0"/>
              <w:snapToGrid w:val="0"/>
              <w:jc w:val="center"/>
              <w:rPr>
                <w:rFonts w:ascii="Arial" w:hAnsi="Arial" w:eastAsia="宋体" w:cs="Arial"/>
                <w:kern w:val="0"/>
                <w:sz w:val="21"/>
              </w:rPr>
            </w:pPr>
          </w:p>
        </w:tc>
      </w:tr>
      <w:tr w14:paraId="621D7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06" w:type="pct"/>
            <w:vAlign w:val="center"/>
          </w:tcPr>
          <w:p w14:paraId="0C2460FF">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DA145</w:t>
            </w:r>
          </w:p>
        </w:tc>
        <w:tc>
          <w:tcPr>
            <w:tcW w:w="594" w:type="pct"/>
            <w:vAlign w:val="center"/>
          </w:tcPr>
          <w:p w14:paraId="6AA9BE1F">
            <w:pPr>
              <w:adjustRightInd w:val="0"/>
              <w:snapToGrid w:val="0"/>
              <w:jc w:val="center"/>
              <w:rPr>
                <w:rFonts w:ascii="Arial" w:hAnsi="Arial" w:eastAsia="宋体" w:cs="Arial"/>
                <w:sz w:val="21"/>
                <w:szCs w:val="24"/>
              </w:rPr>
            </w:pPr>
            <w:r>
              <w:rPr>
                <w:rFonts w:hint="eastAsia" w:ascii="Arial" w:hAnsi="Arial" w:eastAsia="宋体" w:cs="Arial"/>
                <w:sz w:val="21"/>
                <w:szCs w:val="24"/>
              </w:rPr>
              <w:t>合成</w:t>
            </w:r>
            <w:r>
              <w:rPr>
                <w:rFonts w:ascii="Arial" w:hAnsi="Arial" w:eastAsia="宋体" w:cs="Arial"/>
                <w:sz w:val="21"/>
                <w:szCs w:val="24"/>
              </w:rPr>
              <w:t>反应废气、压滤废气</w:t>
            </w:r>
          </w:p>
        </w:tc>
        <w:tc>
          <w:tcPr>
            <w:tcW w:w="384" w:type="pct"/>
            <w:vAlign w:val="center"/>
          </w:tcPr>
          <w:p w14:paraId="0CEFA0E7">
            <w:pPr>
              <w:adjustRightInd w:val="0"/>
              <w:snapToGrid w:val="0"/>
              <w:jc w:val="center"/>
              <w:rPr>
                <w:rFonts w:ascii="Arial" w:hAnsi="Arial" w:eastAsia="宋体" w:cs="Arial"/>
                <w:sz w:val="21"/>
                <w:szCs w:val="24"/>
              </w:rPr>
            </w:pPr>
            <w:r>
              <w:rPr>
                <w:rFonts w:hint="eastAsia" w:ascii="Arial" w:hAnsi="Arial" w:eastAsia="宋体" w:cs="Arial"/>
                <w:sz w:val="21"/>
                <w:szCs w:val="24"/>
              </w:rPr>
              <w:t>47</w:t>
            </w:r>
            <w:r>
              <w:rPr>
                <w:rFonts w:ascii="Arial" w:hAnsi="Arial" w:eastAsia="宋体" w:cs="Arial"/>
                <w:sz w:val="21"/>
                <w:szCs w:val="24"/>
              </w:rPr>
              <w:t>000</w:t>
            </w:r>
          </w:p>
        </w:tc>
        <w:tc>
          <w:tcPr>
            <w:tcW w:w="335" w:type="pct"/>
            <w:vAlign w:val="center"/>
          </w:tcPr>
          <w:p w14:paraId="5FFC7823">
            <w:pPr>
              <w:pStyle w:val="469"/>
              <w:rPr>
                <w:rFonts w:ascii="Arial" w:hAnsi="Arial" w:cs="Arial"/>
                <w:sz w:val="21"/>
                <w:szCs w:val="21"/>
              </w:rPr>
            </w:pPr>
            <w:r>
              <w:rPr>
                <w:rFonts w:ascii="Arial" w:hAnsi="Arial" w:cs="Arial"/>
                <w:sz w:val="21"/>
                <w:szCs w:val="21"/>
              </w:rPr>
              <w:t>氨气</w:t>
            </w:r>
          </w:p>
        </w:tc>
        <w:tc>
          <w:tcPr>
            <w:tcW w:w="288" w:type="pct"/>
            <w:vAlign w:val="center"/>
          </w:tcPr>
          <w:p w14:paraId="7399B5B9">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335" w:type="pct"/>
            <w:vAlign w:val="center"/>
          </w:tcPr>
          <w:p w14:paraId="6ADD6055">
            <w:pPr>
              <w:pStyle w:val="5"/>
              <w:adjustRightInd w:val="0"/>
              <w:snapToGrid w:val="0"/>
              <w:spacing w:line="240" w:lineRule="auto"/>
              <w:ind w:firstLine="0"/>
              <w:jc w:val="center"/>
              <w:rPr>
                <w:sz w:val="21"/>
                <w:szCs w:val="21"/>
              </w:rPr>
            </w:pPr>
            <w:r>
              <w:rPr>
                <w:rFonts w:hint="eastAsia"/>
                <w:sz w:val="21"/>
                <w:szCs w:val="21"/>
              </w:rPr>
              <w:t>2.682</w:t>
            </w:r>
          </w:p>
        </w:tc>
        <w:tc>
          <w:tcPr>
            <w:tcW w:w="336" w:type="pct"/>
            <w:vAlign w:val="center"/>
          </w:tcPr>
          <w:p w14:paraId="49C58CE5">
            <w:pPr>
              <w:pStyle w:val="5"/>
              <w:adjustRightInd w:val="0"/>
              <w:snapToGrid w:val="0"/>
              <w:spacing w:line="240" w:lineRule="auto"/>
              <w:ind w:firstLine="0"/>
              <w:jc w:val="center"/>
              <w:rPr>
                <w:sz w:val="21"/>
                <w:szCs w:val="21"/>
              </w:rPr>
            </w:pPr>
            <w:r>
              <w:rPr>
                <w:rFonts w:hint="eastAsia"/>
                <w:sz w:val="21"/>
                <w:szCs w:val="21"/>
              </w:rPr>
              <w:t>21.239</w:t>
            </w:r>
          </w:p>
        </w:tc>
        <w:tc>
          <w:tcPr>
            <w:tcW w:w="432" w:type="pct"/>
            <w:vAlign w:val="center"/>
          </w:tcPr>
          <w:p w14:paraId="3ABB1C50">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吸收塔</w:t>
            </w:r>
          </w:p>
        </w:tc>
        <w:tc>
          <w:tcPr>
            <w:tcW w:w="288" w:type="pct"/>
            <w:vAlign w:val="center"/>
          </w:tcPr>
          <w:p w14:paraId="3739EADA">
            <w:pPr>
              <w:widowControl/>
              <w:adjustRightInd w:val="0"/>
              <w:snapToGrid w:val="0"/>
              <w:jc w:val="center"/>
              <w:rPr>
                <w:rFonts w:ascii="Arial" w:hAnsi="Arial" w:eastAsia="宋体" w:cs="Arial"/>
                <w:kern w:val="0"/>
                <w:sz w:val="21"/>
              </w:rPr>
            </w:pPr>
            <w:r>
              <w:rPr>
                <w:rFonts w:ascii="Arial" w:hAnsi="Arial" w:eastAsia="宋体" w:cs="Arial"/>
                <w:sz w:val="21"/>
                <w:szCs w:val="21"/>
              </w:rPr>
              <w:t>9</w:t>
            </w:r>
            <w:r>
              <w:rPr>
                <w:rFonts w:hint="eastAsia" w:ascii="Arial" w:hAnsi="Arial" w:eastAsia="宋体" w:cs="Arial"/>
                <w:sz w:val="21"/>
                <w:szCs w:val="21"/>
              </w:rPr>
              <w:t>0</w:t>
            </w:r>
            <w:r>
              <w:rPr>
                <w:rFonts w:ascii="Arial" w:hAnsi="Arial" w:eastAsia="宋体" w:cs="Arial"/>
                <w:sz w:val="21"/>
                <w:szCs w:val="21"/>
              </w:rPr>
              <w:t>%</w:t>
            </w:r>
          </w:p>
        </w:tc>
        <w:tc>
          <w:tcPr>
            <w:tcW w:w="287" w:type="pct"/>
            <w:vAlign w:val="center"/>
          </w:tcPr>
          <w:p w14:paraId="43F3731A">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335" w:type="pct"/>
            <w:vAlign w:val="center"/>
          </w:tcPr>
          <w:p w14:paraId="6D939857">
            <w:pPr>
              <w:pStyle w:val="5"/>
              <w:adjustRightInd w:val="0"/>
              <w:snapToGrid w:val="0"/>
              <w:spacing w:line="240" w:lineRule="auto"/>
              <w:ind w:firstLine="0"/>
              <w:jc w:val="center"/>
              <w:rPr>
                <w:sz w:val="21"/>
                <w:szCs w:val="21"/>
              </w:rPr>
            </w:pPr>
            <w:r>
              <w:rPr>
                <w:rFonts w:hint="eastAsia"/>
                <w:sz w:val="21"/>
                <w:szCs w:val="21"/>
              </w:rPr>
              <w:t>0.2682</w:t>
            </w:r>
          </w:p>
        </w:tc>
        <w:tc>
          <w:tcPr>
            <w:tcW w:w="336" w:type="pct"/>
            <w:vAlign w:val="center"/>
          </w:tcPr>
          <w:p w14:paraId="52483106">
            <w:pPr>
              <w:pStyle w:val="5"/>
              <w:adjustRightInd w:val="0"/>
              <w:snapToGrid w:val="0"/>
              <w:spacing w:line="240" w:lineRule="auto"/>
              <w:ind w:firstLine="0"/>
              <w:jc w:val="center"/>
              <w:rPr>
                <w:sz w:val="21"/>
                <w:szCs w:val="21"/>
              </w:rPr>
            </w:pPr>
            <w:r>
              <w:rPr>
                <w:rFonts w:hint="eastAsia"/>
                <w:sz w:val="21"/>
                <w:szCs w:val="21"/>
              </w:rPr>
              <w:t>2.1239</w:t>
            </w:r>
          </w:p>
        </w:tc>
        <w:tc>
          <w:tcPr>
            <w:tcW w:w="288" w:type="pct"/>
            <w:vAlign w:val="center"/>
          </w:tcPr>
          <w:p w14:paraId="368D90EA">
            <w:pPr>
              <w:widowControl/>
              <w:adjustRightInd w:val="0"/>
              <w:snapToGrid w:val="0"/>
              <w:jc w:val="center"/>
              <w:rPr>
                <w:rFonts w:ascii="Arial" w:hAnsi="Arial" w:eastAsia="宋体" w:cs="Arial"/>
                <w:kern w:val="0"/>
                <w:sz w:val="21"/>
              </w:rPr>
            </w:pPr>
            <w:r>
              <w:rPr>
                <w:rFonts w:ascii="Arial" w:hAnsi="Arial" w:eastAsia="宋体" w:cs="Arial"/>
                <w:kern w:val="0"/>
                <w:sz w:val="21"/>
              </w:rPr>
              <w:t>20</w:t>
            </w:r>
          </w:p>
        </w:tc>
        <w:tc>
          <w:tcPr>
            <w:tcW w:w="456" w:type="pct"/>
            <w:vAlign w:val="center"/>
          </w:tcPr>
          <w:p w14:paraId="6FFD43C3">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r>
      <w:tr w14:paraId="66D80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06" w:type="pct"/>
            <w:vMerge w:val="restart"/>
            <w:vAlign w:val="center"/>
          </w:tcPr>
          <w:p w14:paraId="1FBC2F52">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DA146</w:t>
            </w:r>
          </w:p>
        </w:tc>
        <w:tc>
          <w:tcPr>
            <w:tcW w:w="594" w:type="pct"/>
            <w:vMerge w:val="restart"/>
            <w:vAlign w:val="center"/>
          </w:tcPr>
          <w:p w14:paraId="117011D7">
            <w:pPr>
              <w:adjustRightInd w:val="0"/>
              <w:snapToGrid w:val="0"/>
              <w:jc w:val="center"/>
              <w:rPr>
                <w:rFonts w:ascii="Arial" w:hAnsi="Arial" w:eastAsia="宋体" w:cs="Arial"/>
                <w:sz w:val="21"/>
                <w:szCs w:val="24"/>
              </w:rPr>
            </w:pPr>
            <w:r>
              <w:rPr>
                <w:rFonts w:hint="eastAsia" w:ascii="Arial" w:hAnsi="Arial" w:eastAsia="宋体" w:cs="Arial"/>
                <w:sz w:val="21"/>
                <w:szCs w:val="24"/>
              </w:rPr>
              <w:t>烘干粉尘、破碎粉尘、包装粉尘</w:t>
            </w:r>
          </w:p>
        </w:tc>
        <w:tc>
          <w:tcPr>
            <w:tcW w:w="384" w:type="pct"/>
            <w:vMerge w:val="restart"/>
            <w:vAlign w:val="center"/>
          </w:tcPr>
          <w:p w14:paraId="13692FAA">
            <w:pPr>
              <w:widowControl/>
              <w:adjustRightInd w:val="0"/>
              <w:snapToGrid w:val="0"/>
              <w:jc w:val="center"/>
              <w:rPr>
                <w:rFonts w:ascii="Arial" w:hAnsi="Arial" w:eastAsia="宋体" w:cs="Arial"/>
                <w:kern w:val="0"/>
                <w:sz w:val="21"/>
              </w:rPr>
            </w:pPr>
            <w:r>
              <w:rPr>
                <w:rFonts w:ascii="Arial" w:hAnsi="Arial" w:eastAsia="宋体" w:cs="Arial"/>
                <w:kern w:val="0"/>
                <w:sz w:val="21"/>
              </w:rPr>
              <w:t>47000</w:t>
            </w:r>
          </w:p>
        </w:tc>
        <w:tc>
          <w:tcPr>
            <w:tcW w:w="335" w:type="pct"/>
            <w:vAlign w:val="center"/>
          </w:tcPr>
          <w:p w14:paraId="455635F8">
            <w:pPr>
              <w:pStyle w:val="469"/>
              <w:rPr>
                <w:rFonts w:ascii="Arial" w:hAnsi="Arial" w:cs="Arial"/>
                <w:sz w:val="21"/>
                <w:szCs w:val="21"/>
              </w:rPr>
            </w:pPr>
            <w:r>
              <w:rPr>
                <w:rFonts w:hint="eastAsia" w:ascii="Arial" w:hAnsi="Arial" w:cs="Arial"/>
                <w:sz w:val="21"/>
                <w:szCs w:val="21"/>
              </w:rPr>
              <w:t>颗粒物</w:t>
            </w:r>
          </w:p>
        </w:tc>
        <w:tc>
          <w:tcPr>
            <w:tcW w:w="288" w:type="pct"/>
            <w:vAlign w:val="center"/>
          </w:tcPr>
          <w:p w14:paraId="17614130">
            <w:pPr>
              <w:adjustRightInd w:val="0"/>
              <w:snapToGrid w:val="0"/>
              <w:jc w:val="center"/>
              <w:rPr>
                <w:rFonts w:ascii="Arial" w:hAnsi="Arial" w:eastAsia="宋体" w:cs="Arial"/>
                <w:kern w:val="0"/>
                <w:sz w:val="21"/>
              </w:rPr>
            </w:pPr>
            <w:r>
              <w:rPr>
                <w:rFonts w:hint="eastAsia" w:ascii="Arial" w:hAnsi="Arial" w:eastAsia="宋体" w:cs="Arial"/>
                <w:kern w:val="0"/>
                <w:sz w:val="21"/>
              </w:rPr>
              <w:t>47</w:t>
            </w:r>
          </w:p>
        </w:tc>
        <w:tc>
          <w:tcPr>
            <w:tcW w:w="335" w:type="pct"/>
            <w:vAlign w:val="center"/>
          </w:tcPr>
          <w:p w14:paraId="090E9CF7">
            <w:pPr>
              <w:pStyle w:val="5"/>
              <w:adjustRightInd w:val="0"/>
              <w:snapToGrid w:val="0"/>
              <w:spacing w:line="240" w:lineRule="auto"/>
              <w:ind w:firstLine="0"/>
              <w:jc w:val="center"/>
              <w:rPr>
                <w:sz w:val="21"/>
                <w:szCs w:val="21"/>
              </w:rPr>
            </w:pPr>
            <w:r>
              <w:rPr>
                <w:rFonts w:hint="eastAsia"/>
                <w:sz w:val="21"/>
                <w:szCs w:val="21"/>
              </w:rPr>
              <w:t>2.2152</w:t>
            </w:r>
          </w:p>
        </w:tc>
        <w:tc>
          <w:tcPr>
            <w:tcW w:w="336" w:type="pct"/>
            <w:vAlign w:val="center"/>
          </w:tcPr>
          <w:p w14:paraId="10A870FF">
            <w:pPr>
              <w:pStyle w:val="5"/>
              <w:adjustRightInd w:val="0"/>
              <w:snapToGrid w:val="0"/>
              <w:spacing w:line="240" w:lineRule="auto"/>
              <w:ind w:firstLine="0"/>
              <w:jc w:val="center"/>
              <w:rPr>
                <w:sz w:val="21"/>
                <w:szCs w:val="21"/>
              </w:rPr>
            </w:pPr>
            <w:r>
              <w:rPr>
                <w:rFonts w:hint="eastAsia"/>
                <w:sz w:val="21"/>
                <w:szCs w:val="21"/>
              </w:rPr>
              <w:t>17.5446</w:t>
            </w:r>
          </w:p>
        </w:tc>
        <w:tc>
          <w:tcPr>
            <w:tcW w:w="432" w:type="pct"/>
            <w:vMerge w:val="restart"/>
            <w:vAlign w:val="center"/>
          </w:tcPr>
          <w:p w14:paraId="2903A222">
            <w:pPr>
              <w:adjustRightInd w:val="0"/>
              <w:snapToGrid w:val="0"/>
              <w:jc w:val="center"/>
              <w:rPr>
                <w:rFonts w:ascii="Arial" w:hAnsi="Arial" w:eastAsia="宋体" w:cs="Arial"/>
                <w:spacing w:val="10"/>
                <w:sz w:val="21"/>
                <w:szCs w:val="21"/>
              </w:rPr>
            </w:pPr>
            <w:r>
              <w:rPr>
                <w:rFonts w:ascii="Arial" w:hAnsi="Arial" w:eastAsia="宋体" w:cs="Arial"/>
                <w:kern w:val="0"/>
                <w:sz w:val="21"/>
              </w:rPr>
              <w:t>布袋除尘器</w:t>
            </w:r>
            <w:r>
              <w:rPr>
                <w:rFonts w:hint="eastAsia" w:ascii="Arial" w:hAnsi="Arial" w:eastAsia="宋体" w:cs="Arial"/>
                <w:kern w:val="0"/>
                <w:sz w:val="21"/>
              </w:rPr>
              <w:t>+</w:t>
            </w:r>
            <w:r>
              <w:rPr>
                <w:rFonts w:ascii="Arial" w:hAnsi="Arial" w:eastAsia="宋体" w:cs="Arial"/>
                <w:kern w:val="0"/>
                <w:sz w:val="21"/>
              </w:rPr>
              <w:t>吸收塔</w:t>
            </w:r>
          </w:p>
        </w:tc>
        <w:tc>
          <w:tcPr>
            <w:tcW w:w="288" w:type="pct"/>
            <w:vAlign w:val="center"/>
          </w:tcPr>
          <w:p w14:paraId="0B6FAE5F">
            <w:pPr>
              <w:widowControl/>
              <w:adjustRightInd w:val="0"/>
              <w:snapToGrid w:val="0"/>
              <w:jc w:val="center"/>
              <w:rPr>
                <w:rFonts w:ascii="Arial" w:hAnsi="Arial" w:eastAsia="宋体" w:cs="Arial"/>
                <w:kern w:val="0"/>
                <w:sz w:val="21"/>
              </w:rPr>
            </w:pPr>
            <w:r>
              <w:rPr>
                <w:rFonts w:ascii="Arial" w:hAnsi="Arial" w:eastAsia="宋体" w:cs="Arial"/>
                <w:sz w:val="21"/>
                <w:szCs w:val="21"/>
              </w:rPr>
              <w:t>9</w:t>
            </w:r>
            <w:r>
              <w:rPr>
                <w:rFonts w:hint="eastAsia" w:ascii="Arial" w:hAnsi="Arial" w:eastAsia="宋体" w:cs="Arial"/>
                <w:sz w:val="21"/>
                <w:szCs w:val="21"/>
              </w:rPr>
              <w:t>1</w:t>
            </w:r>
            <w:r>
              <w:rPr>
                <w:rFonts w:ascii="Arial" w:hAnsi="Arial" w:eastAsia="宋体" w:cs="Arial"/>
                <w:sz w:val="21"/>
                <w:szCs w:val="21"/>
              </w:rPr>
              <w:t>%</w:t>
            </w:r>
          </w:p>
        </w:tc>
        <w:tc>
          <w:tcPr>
            <w:tcW w:w="287" w:type="pct"/>
            <w:vAlign w:val="center"/>
          </w:tcPr>
          <w:p w14:paraId="568138F1">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4.45</w:t>
            </w:r>
          </w:p>
        </w:tc>
        <w:tc>
          <w:tcPr>
            <w:tcW w:w="335" w:type="pct"/>
            <w:vAlign w:val="center"/>
          </w:tcPr>
          <w:p w14:paraId="36726BDD">
            <w:pPr>
              <w:pStyle w:val="5"/>
              <w:adjustRightInd w:val="0"/>
              <w:snapToGrid w:val="0"/>
              <w:spacing w:line="240" w:lineRule="auto"/>
              <w:ind w:firstLine="0"/>
              <w:jc w:val="center"/>
              <w:rPr>
                <w:sz w:val="21"/>
                <w:szCs w:val="21"/>
                <w:u w:val="single"/>
              </w:rPr>
            </w:pPr>
            <w:r>
              <w:rPr>
                <w:rFonts w:hint="eastAsia"/>
                <w:sz w:val="21"/>
                <w:szCs w:val="21"/>
                <w:u w:val="single"/>
              </w:rPr>
              <w:t>0.2093</w:t>
            </w:r>
          </w:p>
        </w:tc>
        <w:tc>
          <w:tcPr>
            <w:tcW w:w="336" w:type="pct"/>
            <w:vAlign w:val="center"/>
          </w:tcPr>
          <w:p w14:paraId="5EA0CFDB">
            <w:pPr>
              <w:pStyle w:val="5"/>
              <w:adjustRightInd w:val="0"/>
              <w:snapToGrid w:val="0"/>
              <w:spacing w:line="240" w:lineRule="auto"/>
              <w:ind w:firstLine="0"/>
              <w:jc w:val="center"/>
              <w:rPr>
                <w:sz w:val="21"/>
                <w:szCs w:val="21"/>
                <w:u w:val="single"/>
              </w:rPr>
            </w:pPr>
            <w:r>
              <w:rPr>
                <w:rFonts w:hint="eastAsia"/>
                <w:sz w:val="21"/>
                <w:szCs w:val="21"/>
                <w:u w:val="single"/>
              </w:rPr>
              <w:t>1.6579</w:t>
            </w:r>
          </w:p>
        </w:tc>
        <w:tc>
          <w:tcPr>
            <w:tcW w:w="288" w:type="pct"/>
            <w:vAlign w:val="center"/>
          </w:tcPr>
          <w:p w14:paraId="5A52E4D7">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30</w:t>
            </w:r>
          </w:p>
        </w:tc>
        <w:tc>
          <w:tcPr>
            <w:tcW w:w="456" w:type="pct"/>
            <w:vMerge w:val="restart"/>
            <w:vAlign w:val="center"/>
          </w:tcPr>
          <w:p w14:paraId="3921F59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r>
              <w:rPr>
                <w:rFonts w:hint="eastAsia" w:ascii="Arial" w:hAnsi="Arial" w:eastAsia="宋体" w:cs="Arial"/>
                <w:spacing w:val="10"/>
                <w:sz w:val="21"/>
                <w:szCs w:val="21"/>
              </w:rPr>
              <w:t>1.1</w:t>
            </w:r>
            <w:r>
              <w:rPr>
                <w:rFonts w:ascii="Arial" w:hAnsi="Arial" w:eastAsia="宋体" w:cs="Arial"/>
                <w:spacing w:val="10"/>
                <w:sz w:val="21"/>
                <w:szCs w:val="21"/>
              </w:rPr>
              <w:t>/</w:t>
            </w:r>
            <w:r>
              <w:rPr>
                <w:rFonts w:hint="eastAsia" w:ascii="Arial" w:hAnsi="Arial" w:eastAsia="宋体" w:cs="Arial"/>
                <w:spacing w:val="10"/>
                <w:sz w:val="21"/>
                <w:szCs w:val="21"/>
              </w:rPr>
              <w:t>60</w:t>
            </w:r>
          </w:p>
        </w:tc>
      </w:tr>
      <w:tr w14:paraId="01B8F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06" w:type="pct"/>
            <w:vMerge w:val="continue"/>
            <w:vAlign w:val="center"/>
          </w:tcPr>
          <w:p w14:paraId="09403509">
            <w:pPr>
              <w:pStyle w:val="41"/>
              <w:adjustRightInd w:val="0"/>
              <w:snapToGrid w:val="0"/>
              <w:spacing w:after="0"/>
              <w:ind w:firstLine="0" w:firstLineChars="0"/>
              <w:jc w:val="center"/>
              <w:rPr>
                <w:rFonts w:ascii="Arial" w:hAnsi="Arial" w:cs="Arial"/>
                <w:sz w:val="21"/>
                <w:szCs w:val="21"/>
              </w:rPr>
            </w:pPr>
          </w:p>
        </w:tc>
        <w:tc>
          <w:tcPr>
            <w:tcW w:w="594" w:type="pct"/>
            <w:vMerge w:val="continue"/>
            <w:vAlign w:val="center"/>
          </w:tcPr>
          <w:p w14:paraId="7F3F43B4">
            <w:pPr>
              <w:adjustRightInd w:val="0"/>
              <w:snapToGrid w:val="0"/>
              <w:jc w:val="center"/>
              <w:rPr>
                <w:rFonts w:ascii="Arial" w:hAnsi="Arial" w:eastAsia="宋体" w:cs="Arial"/>
                <w:sz w:val="21"/>
                <w:szCs w:val="24"/>
              </w:rPr>
            </w:pPr>
          </w:p>
        </w:tc>
        <w:tc>
          <w:tcPr>
            <w:tcW w:w="384" w:type="pct"/>
            <w:vMerge w:val="continue"/>
            <w:vAlign w:val="center"/>
          </w:tcPr>
          <w:p w14:paraId="39153B64">
            <w:pPr>
              <w:widowControl/>
              <w:adjustRightInd w:val="0"/>
              <w:snapToGrid w:val="0"/>
              <w:jc w:val="center"/>
              <w:rPr>
                <w:rFonts w:ascii="Arial" w:hAnsi="Arial" w:eastAsia="宋体" w:cs="Arial"/>
                <w:kern w:val="0"/>
                <w:sz w:val="21"/>
              </w:rPr>
            </w:pPr>
          </w:p>
        </w:tc>
        <w:tc>
          <w:tcPr>
            <w:tcW w:w="335" w:type="pct"/>
            <w:vAlign w:val="center"/>
          </w:tcPr>
          <w:p w14:paraId="7E942D7C">
            <w:pPr>
              <w:pStyle w:val="469"/>
              <w:rPr>
                <w:rFonts w:ascii="Arial" w:hAnsi="Arial" w:cs="Arial"/>
                <w:sz w:val="21"/>
                <w:szCs w:val="21"/>
              </w:rPr>
            </w:pPr>
            <w:r>
              <w:rPr>
                <w:rFonts w:hint="eastAsia" w:ascii="Arial" w:hAnsi="Arial" w:cs="Arial"/>
                <w:sz w:val="21"/>
                <w:szCs w:val="21"/>
              </w:rPr>
              <w:t>钴</w:t>
            </w:r>
          </w:p>
        </w:tc>
        <w:tc>
          <w:tcPr>
            <w:tcW w:w="288" w:type="pct"/>
            <w:vAlign w:val="center"/>
          </w:tcPr>
          <w:p w14:paraId="15A1FD2A">
            <w:pPr>
              <w:adjustRightInd w:val="0"/>
              <w:snapToGrid w:val="0"/>
              <w:jc w:val="center"/>
              <w:rPr>
                <w:rFonts w:ascii="Arial" w:hAnsi="Arial" w:eastAsia="宋体" w:cs="Arial"/>
                <w:kern w:val="0"/>
                <w:sz w:val="21"/>
              </w:rPr>
            </w:pPr>
            <w:r>
              <w:rPr>
                <w:rFonts w:hint="eastAsia" w:ascii="Arial" w:hAnsi="Arial" w:eastAsia="宋体" w:cs="Arial"/>
                <w:kern w:val="0"/>
                <w:sz w:val="21"/>
              </w:rPr>
              <w:t>29</w:t>
            </w:r>
          </w:p>
        </w:tc>
        <w:tc>
          <w:tcPr>
            <w:tcW w:w="335" w:type="pct"/>
            <w:vAlign w:val="center"/>
          </w:tcPr>
          <w:p w14:paraId="0279E557">
            <w:pPr>
              <w:pStyle w:val="5"/>
              <w:adjustRightInd w:val="0"/>
              <w:snapToGrid w:val="0"/>
              <w:spacing w:line="240" w:lineRule="auto"/>
              <w:ind w:firstLine="0"/>
              <w:jc w:val="center"/>
              <w:rPr>
                <w:sz w:val="21"/>
                <w:szCs w:val="21"/>
              </w:rPr>
            </w:pPr>
            <w:r>
              <w:rPr>
                <w:rFonts w:hint="eastAsia"/>
                <w:sz w:val="21"/>
                <w:szCs w:val="21"/>
              </w:rPr>
              <w:t>1.3847</w:t>
            </w:r>
          </w:p>
        </w:tc>
        <w:tc>
          <w:tcPr>
            <w:tcW w:w="336" w:type="pct"/>
            <w:vAlign w:val="center"/>
          </w:tcPr>
          <w:p w14:paraId="195FED1C">
            <w:pPr>
              <w:pStyle w:val="5"/>
              <w:adjustRightInd w:val="0"/>
              <w:snapToGrid w:val="0"/>
              <w:spacing w:line="240" w:lineRule="auto"/>
              <w:ind w:firstLine="0"/>
              <w:jc w:val="center"/>
              <w:rPr>
                <w:sz w:val="21"/>
                <w:szCs w:val="21"/>
              </w:rPr>
            </w:pPr>
            <w:r>
              <w:rPr>
                <w:rFonts w:hint="eastAsia"/>
                <w:sz w:val="21"/>
                <w:szCs w:val="21"/>
              </w:rPr>
              <w:t>10.9671</w:t>
            </w:r>
          </w:p>
        </w:tc>
        <w:tc>
          <w:tcPr>
            <w:tcW w:w="432" w:type="pct"/>
            <w:vMerge w:val="continue"/>
            <w:vAlign w:val="center"/>
          </w:tcPr>
          <w:p w14:paraId="10180EFD">
            <w:pPr>
              <w:adjustRightInd w:val="0"/>
              <w:snapToGrid w:val="0"/>
              <w:jc w:val="center"/>
              <w:rPr>
                <w:rFonts w:ascii="Arial" w:hAnsi="Arial" w:eastAsia="宋体" w:cs="Arial"/>
                <w:kern w:val="0"/>
                <w:sz w:val="21"/>
              </w:rPr>
            </w:pPr>
          </w:p>
        </w:tc>
        <w:tc>
          <w:tcPr>
            <w:tcW w:w="288" w:type="pct"/>
            <w:vAlign w:val="center"/>
          </w:tcPr>
          <w:p w14:paraId="0603B2CA">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91%</w:t>
            </w:r>
          </w:p>
        </w:tc>
        <w:tc>
          <w:tcPr>
            <w:tcW w:w="287" w:type="pct"/>
            <w:vAlign w:val="center"/>
          </w:tcPr>
          <w:p w14:paraId="56EEAFAC">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2.76</w:t>
            </w:r>
          </w:p>
        </w:tc>
        <w:tc>
          <w:tcPr>
            <w:tcW w:w="335" w:type="pct"/>
            <w:vAlign w:val="center"/>
          </w:tcPr>
          <w:p w14:paraId="1DD62D7B">
            <w:pPr>
              <w:pStyle w:val="5"/>
              <w:adjustRightInd w:val="0"/>
              <w:snapToGrid w:val="0"/>
              <w:spacing w:line="240" w:lineRule="auto"/>
              <w:ind w:firstLine="0"/>
              <w:jc w:val="center"/>
              <w:rPr>
                <w:sz w:val="21"/>
                <w:szCs w:val="21"/>
                <w:u w:val="single"/>
              </w:rPr>
            </w:pPr>
            <w:r>
              <w:rPr>
                <w:rFonts w:hint="eastAsia"/>
                <w:sz w:val="21"/>
                <w:szCs w:val="21"/>
                <w:u w:val="single"/>
              </w:rPr>
              <w:t>0.1299</w:t>
            </w:r>
          </w:p>
        </w:tc>
        <w:tc>
          <w:tcPr>
            <w:tcW w:w="336" w:type="pct"/>
            <w:vAlign w:val="center"/>
          </w:tcPr>
          <w:p w14:paraId="3C9B92EA">
            <w:pPr>
              <w:pStyle w:val="5"/>
              <w:adjustRightInd w:val="0"/>
              <w:snapToGrid w:val="0"/>
              <w:spacing w:line="240" w:lineRule="auto"/>
              <w:ind w:firstLine="0"/>
              <w:jc w:val="center"/>
              <w:rPr>
                <w:sz w:val="21"/>
                <w:szCs w:val="21"/>
                <w:u w:val="single"/>
              </w:rPr>
            </w:pPr>
            <w:r>
              <w:rPr>
                <w:rFonts w:hint="eastAsia"/>
                <w:sz w:val="21"/>
                <w:szCs w:val="21"/>
                <w:u w:val="single"/>
              </w:rPr>
              <w:t>1.0292</w:t>
            </w:r>
          </w:p>
        </w:tc>
        <w:tc>
          <w:tcPr>
            <w:tcW w:w="288" w:type="pct"/>
            <w:vAlign w:val="center"/>
          </w:tcPr>
          <w:p w14:paraId="375FDC92">
            <w:pPr>
              <w:widowControl/>
              <w:adjustRightInd w:val="0"/>
              <w:snapToGrid w:val="0"/>
              <w:jc w:val="center"/>
              <w:rPr>
                <w:rFonts w:ascii="Arial" w:hAnsi="Arial" w:eastAsia="宋体" w:cs="Arial"/>
                <w:kern w:val="0"/>
                <w:sz w:val="21"/>
              </w:rPr>
            </w:pPr>
            <w:r>
              <w:rPr>
                <w:rFonts w:hint="eastAsia" w:ascii="Arial" w:hAnsi="Arial" w:eastAsia="宋体" w:cs="Arial"/>
                <w:kern w:val="0"/>
                <w:sz w:val="21"/>
              </w:rPr>
              <w:t>5</w:t>
            </w:r>
          </w:p>
        </w:tc>
        <w:tc>
          <w:tcPr>
            <w:tcW w:w="456" w:type="pct"/>
            <w:vMerge w:val="continue"/>
            <w:vAlign w:val="center"/>
          </w:tcPr>
          <w:p w14:paraId="739DA467">
            <w:pPr>
              <w:adjustRightInd w:val="0"/>
              <w:snapToGrid w:val="0"/>
              <w:jc w:val="center"/>
              <w:rPr>
                <w:rFonts w:ascii="Arial" w:hAnsi="Arial" w:eastAsia="宋体" w:cs="Arial"/>
                <w:spacing w:val="10"/>
                <w:sz w:val="21"/>
                <w:szCs w:val="21"/>
              </w:rPr>
            </w:pPr>
          </w:p>
        </w:tc>
      </w:tr>
      <w:tr w14:paraId="5630E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06" w:type="pct"/>
            <w:vAlign w:val="center"/>
          </w:tcPr>
          <w:p w14:paraId="309C0A38">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w:t>
            </w:r>
            <w:r>
              <w:rPr>
                <w:rFonts w:hint="eastAsia" w:ascii="Arial" w:hAnsi="Arial" w:cs="Arial"/>
                <w:sz w:val="21"/>
                <w:szCs w:val="21"/>
              </w:rPr>
              <w:t>067</w:t>
            </w:r>
          </w:p>
        </w:tc>
        <w:tc>
          <w:tcPr>
            <w:tcW w:w="594" w:type="pct"/>
            <w:vAlign w:val="center"/>
          </w:tcPr>
          <w:p w14:paraId="6D40CF2D">
            <w:pPr>
              <w:adjustRightInd w:val="0"/>
              <w:snapToGrid w:val="0"/>
              <w:jc w:val="center"/>
              <w:rPr>
                <w:rFonts w:ascii="Arial" w:hAnsi="Arial" w:eastAsia="宋体" w:cs="Arial"/>
                <w:sz w:val="21"/>
                <w:szCs w:val="24"/>
              </w:rPr>
            </w:pPr>
            <w:r>
              <w:rPr>
                <w:rFonts w:hint="eastAsia" w:ascii="Arial" w:hAnsi="Arial" w:eastAsia="宋体" w:cs="Arial"/>
                <w:sz w:val="21"/>
                <w:szCs w:val="24"/>
              </w:rPr>
              <w:t>母液罐</w:t>
            </w:r>
            <w:r>
              <w:rPr>
                <w:rFonts w:ascii="Arial" w:hAnsi="Arial" w:eastAsia="宋体" w:cs="Arial"/>
                <w:sz w:val="21"/>
                <w:szCs w:val="24"/>
              </w:rPr>
              <w:t>废气</w:t>
            </w:r>
          </w:p>
        </w:tc>
        <w:tc>
          <w:tcPr>
            <w:tcW w:w="384" w:type="pct"/>
            <w:vAlign w:val="center"/>
          </w:tcPr>
          <w:p w14:paraId="6A58D11B">
            <w:pPr>
              <w:widowControl/>
              <w:adjustRightInd w:val="0"/>
              <w:snapToGrid w:val="0"/>
              <w:jc w:val="center"/>
              <w:rPr>
                <w:rFonts w:ascii="Arial" w:hAnsi="Arial" w:eastAsia="宋体" w:cs="Arial"/>
                <w:kern w:val="0"/>
                <w:sz w:val="21"/>
              </w:rPr>
            </w:pPr>
            <w:r>
              <w:rPr>
                <w:rFonts w:hint="eastAsia" w:ascii="Arial" w:hAnsi="Arial" w:eastAsia="宋体" w:cs="Arial"/>
                <w:kern w:val="0"/>
                <w:sz w:val="21"/>
              </w:rPr>
              <w:t>13000</w:t>
            </w:r>
          </w:p>
        </w:tc>
        <w:tc>
          <w:tcPr>
            <w:tcW w:w="335" w:type="pct"/>
            <w:vAlign w:val="center"/>
          </w:tcPr>
          <w:p w14:paraId="6C5AD80A">
            <w:pPr>
              <w:pStyle w:val="469"/>
              <w:rPr>
                <w:rFonts w:ascii="Arial" w:hAnsi="Arial" w:cs="Arial"/>
                <w:sz w:val="21"/>
                <w:szCs w:val="21"/>
              </w:rPr>
            </w:pPr>
            <w:r>
              <w:rPr>
                <w:rFonts w:ascii="Arial" w:hAnsi="Arial" w:cs="Arial"/>
                <w:sz w:val="21"/>
                <w:szCs w:val="21"/>
              </w:rPr>
              <w:t>氨气</w:t>
            </w:r>
          </w:p>
        </w:tc>
        <w:tc>
          <w:tcPr>
            <w:tcW w:w="288" w:type="pct"/>
            <w:vAlign w:val="center"/>
          </w:tcPr>
          <w:p w14:paraId="741EF2AA">
            <w:pPr>
              <w:adjustRightInd w:val="0"/>
              <w:snapToGrid w:val="0"/>
              <w:jc w:val="center"/>
              <w:rPr>
                <w:rFonts w:ascii="Arial" w:hAnsi="Arial" w:eastAsia="宋体" w:cs="Arial"/>
                <w:kern w:val="0"/>
                <w:sz w:val="21"/>
              </w:rPr>
            </w:pPr>
            <w:r>
              <w:rPr>
                <w:rFonts w:hint="eastAsia" w:ascii="Arial" w:hAnsi="Arial" w:eastAsia="宋体" w:cs="Arial"/>
                <w:kern w:val="0"/>
                <w:sz w:val="21"/>
              </w:rPr>
              <w:t>3.58</w:t>
            </w:r>
          </w:p>
        </w:tc>
        <w:tc>
          <w:tcPr>
            <w:tcW w:w="335" w:type="pct"/>
            <w:vAlign w:val="center"/>
          </w:tcPr>
          <w:p w14:paraId="6250477C">
            <w:pPr>
              <w:pStyle w:val="5"/>
              <w:adjustRightInd w:val="0"/>
              <w:snapToGrid w:val="0"/>
              <w:spacing w:line="240" w:lineRule="auto"/>
              <w:ind w:firstLine="0"/>
              <w:jc w:val="center"/>
              <w:rPr>
                <w:sz w:val="21"/>
                <w:szCs w:val="21"/>
              </w:rPr>
            </w:pPr>
            <w:r>
              <w:rPr>
                <w:rFonts w:hint="eastAsia"/>
                <w:sz w:val="21"/>
                <w:szCs w:val="21"/>
              </w:rPr>
              <w:t>0.0466</w:t>
            </w:r>
          </w:p>
        </w:tc>
        <w:tc>
          <w:tcPr>
            <w:tcW w:w="336" w:type="pct"/>
            <w:vAlign w:val="center"/>
          </w:tcPr>
          <w:p w14:paraId="3CD35742">
            <w:pPr>
              <w:pStyle w:val="5"/>
              <w:adjustRightInd w:val="0"/>
              <w:snapToGrid w:val="0"/>
              <w:spacing w:line="240" w:lineRule="auto"/>
              <w:ind w:firstLine="0"/>
              <w:jc w:val="center"/>
              <w:rPr>
                <w:sz w:val="21"/>
                <w:szCs w:val="21"/>
              </w:rPr>
            </w:pPr>
            <w:r>
              <w:rPr>
                <w:rFonts w:hint="eastAsia"/>
                <w:sz w:val="21"/>
                <w:szCs w:val="21"/>
              </w:rPr>
              <w:t>0.369</w:t>
            </w:r>
          </w:p>
        </w:tc>
        <w:tc>
          <w:tcPr>
            <w:tcW w:w="432" w:type="pct"/>
            <w:vAlign w:val="center"/>
          </w:tcPr>
          <w:p w14:paraId="12C75872">
            <w:pPr>
              <w:adjustRightInd w:val="0"/>
              <w:snapToGrid w:val="0"/>
              <w:jc w:val="center"/>
              <w:rPr>
                <w:rFonts w:ascii="Arial" w:hAnsi="Arial" w:eastAsia="宋体" w:cs="Arial"/>
                <w:kern w:val="0"/>
                <w:sz w:val="21"/>
              </w:rPr>
            </w:pPr>
            <w:r>
              <w:rPr>
                <w:rFonts w:ascii="Arial" w:hAnsi="Arial" w:eastAsia="宋体" w:cs="Arial"/>
                <w:kern w:val="0"/>
                <w:sz w:val="21"/>
              </w:rPr>
              <w:t>吸收塔</w:t>
            </w:r>
          </w:p>
        </w:tc>
        <w:tc>
          <w:tcPr>
            <w:tcW w:w="288" w:type="pct"/>
            <w:vAlign w:val="center"/>
          </w:tcPr>
          <w:p w14:paraId="0498BC40">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90%</w:t>
            </w:r>
          </w:p>
        </w:tc>
        <w:tc>
          <w:tcPr>
            <w:tcW w:w="287" w:type="pct"/>
            <w:vAlign w:val="center"/>
          </w:tcPr>
          <w:p w14:paraId="727A8484">
            <w:pPr>
              <w:adjustRightInd w:val="0"/>
              <w:snapToGrid w:val="0"/>
              <w:jc w:val="center"/>
              <w:rPr>
                <w:rFonts w:ascii="Arial" w:hAnsi="Arial" w:eastAsia="宋体" w:cs="Arial"/>
                <w:kern w:val="0"/>
                <w:sz w:val="21"/>
              </w:rPr>
            </w:pPr>
            <w:r>
              <w:rPr>
                <w:rFonts w:hint="eastAsia" w:ascii="Arial" w:hAnsi="Arial" w:eastAsia="宋体" w:cs="Arial"/>
                <w:kern w:val="0"/>
                <w:sz w:val="21"/>
              </w:rPr>
              <w:t>0.36</w:t>
            </w:r>
          </w:p>
        </w:tc>
        <w:tc>
          <w:tcPr>
            <w:tcW w:w="335" w:type="pct"/>
            <w:vAlign w:val="center"/>
          </w:tcPr>
          <w:p w14:paraId="613AAEAB">
            <w:pPr>
              <w:pStyle w:val="5"/>
              <w:adjustRightInd w:val="0"/>
              <w:snapToGrid w:val="0"/>
              <w:spacing w:line="240" w:lineRule="auto"/>
              <w:ind w:firstLine="0"/>
              <w:jc w:val="center"/>
              <w:rPr>
                <w:sz w:val="21"/>
                <w:szCs w:val="21"/>
              </w:rPr>
            </w:pPr>
            <w:r>
              <w:rPr>
                <w:rFonts w:hint="eastAsia"/>
                <w:sz w:val="21"/>
                <w:szCs w:val="21"/>
              </w:rPr>
              <w:t>0.0047</w:t>
            </w:r>
          </w:p>
        </w:tc>
        <w:tc>
          <w:tcPr>
            <w:tcW w:w="336" w:type="pct"/>
            <w:vAlign w:val="center"/>
          </w:tcPr>
          <w:p w14:paraId="234BB38F">
            <w:pPr>
              <w:pStyle w:val="5"/>
              <w:adjustRightInd w:val="0"/>
              <w:snapToGrid w:val="0"/>
              <w:spacing w:line="240" w:lineRule="auto"/>
              <w:ind w:firstLine="0"/>
              <w:jc w:val="center"/>
              <w:rPr>
                <w:sz w:val="21"/>
                <w:szCs w:val="21"/>
              </w:rPr>
            </w:pPr>
            <w:r>
              <w:rPr>
                <w:rFonts w:hint="eastAsia"/>
                <w:sz w:val="21"/>
                <w:szCs w:val="21"/>
              </w:rPr>
              <w:t>0.0369</w:t>
            </w:r>
          </w:p>
        </w:tc>
        <w:tc>
          <w:tcPr>
            <w:tcW w:w="288" w:type="pct"/>
            <w:vAlign w:val="center"/>
          </w:tcPr>
          <w:p w14:paraId="2A343BD5">
            <w:pPr>
              <w:widowControl/>
              <w:adjustRightInd w:val="0"/>
              <w:snapToGrid w:val="0"/>
              <w:jc w:val="center"/>
              <w:rPr>
                <w:rFonts w:ascii="Arial" w:hAnsi="Arial" w:eastAsia="宋体" w:cs="Arial"/>
                <w:kern w:val="0"/>
                <w:sz w:val="21"/>
              </w:rPr>
            </w:pPr>
            <w:r>
              <w:rPr>
                <w:rFonts w:ascii="Arial" w:hAnsi="Arial" w:eastAsia="宋体" w:cs="Arial"/>
                <w:kern w:val="0"/>
                <w:sz w:val="21"/>
              </w:rPr>
              <w:t>20</w:t>
            </w:r>
          </w:p>
        </w:tc>
        <w:tc>
          <w:tcPr>
            <w:tcW w:w="456" w:type="pct"/>
            <w:vAlign w:val="center"/>
          </w:tcPr>
          <w:p w14:paraId="30E82DC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0.6</w:t>
            </w:r>
            <w:r>
              <w:rPr>
                <w:rFonts w:ascii="Arial" w:hAnsi="Arial" w:eastAsia="宋体" w:cs="Arial"/>
                <w:spacing w:val="10"/>
                <w:sz w:val="21"/>
                <w:szCs w:val="21"/>
              </w:rPr>
              <w:t>/25</w:t>
            </w:r>
          </w:p>
        </w:tc>
      </w:tr>
    </w:tbl>
    <w:p w14:paraId="2CD3523F">
      <w:pPr>
        <w:pStyle w:val="5"/>
        <w:spacing w:line="500" w:lineRule="exact"/>
        <w:ind w:firstLine="490" w:firstLineChars="200"/>
        <w:rPr>
          <w:b/>
          <w:highlight w:val="yellow"/>
        </w:rPr>
      </w:pPr>
    </w:p>
    <w:p w14:paraId="274354C7">
      <w:pPr>
        <w:pStyle w:val="5"/>
        <w:spacing w:line="500" w:lineRule="exact"/>
        <w:ind w:firstLine="0"/>
        <w:outlineLvl w:val="3"/>
        <w:rPr>
          <w:b/>
          <w:highlight w:val="yellow"/>
        </w:rPr>
        <w:sectPr>
          <w:pgSz w:w="16840" w:h="11907" w:orient="landscape"/>
          <w:pgMar w:top="1134" w:right="1134" w:bottom="1134" w:left="1134" w:header="1134" w:footer="1134" w:gutter="567"/>
          <w:cols w:space="720" w:num="1"/>
          <w:docGrid w:type="linesAndChars" w:linePitch="428" w:charSpace="-3161"/>
        </w:sectPr>
      </w:pPr>
    </w:p>
    <w:p w14:paraId="23E11EAF">
      <w:pPr>
        <w:pStyle w:val="5"/>
        <w:keepNext/>
        <w:numPr>
          <w:ilvl w:val="0"/>
          <w:numId w:val="12"/>
        </w:numPr>
        <w:spacing w:line="480" w:lineRule="exact"/>
        <w:ind w:left="0" w:firstLine="0"/>
        <w:jc w:val="center"/>
        <w:outlineLvl w:val="4"/>
        <w:rPr>
          <w:b/>
        </w:rPr>
      </w:pPr>
      <w:r>
        <w:rPr>
          <w:b/>
        </w:rPr>
        <w:t>项目变更后无组织废气汇总表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0"/>
        <w:gridCol w:w="1536"/>
        <w:gridCol w:w="1828"/>
        <w:gridCol w:w="1375"/>
        <w:gridCol w:w="2259"/>
      </w:tblGrid>
      <w:tr w14:paraId="3371F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shd w:val="clear" w:color="auto" w:fill="auto"/>
            <w:vAlign w:val="center"/>
          </w:tcPr>
          <w:p w14:paraId="0E62F2E6">
            <w:pPr>
              <w:pStyle w:val="5"/>
              <w:adjustRightInd w:val="0"/>
              <w:snapToGrid w:val="0"/>
              <w:spacing w:line="240" w:lineRule="auto"/>
              <w:ind w:firstLine="0"/>
              <w:jc w:val="center"/>
              <w:rPr>
                <w:sz w:val="21"/>
                <w:szCs w:val="21"/>
              </w:rPr>
            </w:pPr>
            <w:r>
              <w:rPr>
                <w:sz w:val="21"/>
                <w:szCs w:val="21"/>
              </w:rPr>
              <w:t>无组织源</w:t>
            </w:r>
          </w:p>
        </w:tc>
        <w:tc>
          <w:tcPr>
            <w:tcW w:w="827" w:type="pct"/>
            <w:shd w:val="clear" w:color="auto" w:fill="auto"/>
            <w:vAlign w:val="center"/>
          </w:tcPr>
          <w:p w14:paraId="050D146F">
            <w:pPr>
              <w:pStyle w:val="5"/>
              <w:adjustRightInd w:val="0"/>
              <w:snapToGrid w:val="0"/>
              <w:spacing w:line="240" w:lineRule="auto"/>
              <w:ind w:firstLine="0"/>
              <w:jc w:val="center"/>
              <w:rPr>
                <w:sz w:val="21"/>
                <w:szCs w:val="21"/>
              </w:rPr>
            </w:pPr>
            <w:r>
              <w:rPr>
                <w:sz w:val="21"/>
                <w:szCs w:val="21"/>
              </w:rPr>
              <w:t>污染物</w:t>
            </w:r>
          </w:p>
        </w:tc>
        <w:tc>
          <w:tcPr>
            <w:tcW w:w="984" w:type="pct"/>
            <w:shd w:val="clear" w:color="auto" w:fill="auto"/>
            <w:vAlign w:val="center"/>
          </w:tcPr>
          <w:p w14:paraId="61D5A69C">
            <w:pPr>
              <w:pStyle w:val="5"/>
              <w:adjustRightInd w:val="0"/>
              <w:snapToGrid w:val="0"/>
              <w:spacing w:line="240" w:lineRule="auto"/>
              <w:ind w:firstLine="0"/>
              <w:jc w:val="center"/>
              <w:rPr>
                <w:sz w:val="21"/>
                <w:szCs w:val="21"/>
              </w:rPr>
            </w:pPr>
            <w:r>
              <w:rPr>
                <w:sz w:val="21"/>
                <w:szCs w:val="21"/>
              </w:rPr>
              <w:t>排放速度kg/h</w:t>
            </w:r>
          </w:p>
        </w:tc>
        <w:tc>
          <w:tcPr>
            <w:tcW w:w="740" w:type="pct"/>
            <w:shd w:val="clear" w:color="auto" w:fill="auto"/>
            <w:vAlign w:val="center"/>
          </w:tcPr>
          <w:p w14:paraId="5C65A907">
            <w:pPr>
              <w:pStyle w:val="5"/>
              <w:adjustRightInd w:val="0"/>
              <w:snapToGrid w:val="0"/>
              <w:spacing w:line="240" w:lineRule="auto"/>
              <w:ind w:firstLine="0"/>
              <w:jc w:val="center"/>
              <w:rPr>
                <w:sz w:val="21"/>
                <w:szCs w:val="21"/>
              </w:rPr>
            </w:pPr>
            <w:r>
              <w:rPr>
                <w:sz w:val="21"/>
                <w:szCs w:val="21"/>
              </w:rPr>
              <w:t>排放量t/a</w:t>
            </w:r>
          </w:p>
        </w:tc>
        <w:tc>
          <w:tcPr>
            <w:tcW w:w="1216" w:type="pct"/>
            <w:shd w:val="clear" w:color="auto" w:fill="auto"/>
            <w:vAlign w:val="center"/>
          </w:tcPr>
          <w:p w14:paraId="43126322">
            <w:pPr>
              <w:pStyle w:val="5"/>
              <w:adjustRightInd w:val="0"/>
              <w:snapToGrid w:val="0"/>
              <w:spacing w:line="240" w:lineRule="auto"/>
              <w:ind w:firstLine="0"/>
              <w:jc w:val="center"/>
              <w:rPr>
                <w:sz w:val="21"/>
                <w:szCs w:val="21"/>
              </w:rPr>
            </w:pPr>
            <w:r>
              <w:rPr>
                <w:sz w:val="21"/>
                <w:szCs w:val="21"/>
              </w:rPr>
              <w:t>排放源参数m</w:t>
            </w:r>
          </w:p>
        </w:tc>
      </w:tr>
      <w:tr w14:paraId="551CB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shd w:val="clear" w:color="auto" w:fill="auto"/>
            <w:vAlign w:val="center"/>
          </w:tcPr>
          <w:p w14:paraId="36283629">
            <w:pPr>
              <w:pStyle w:val="5"/>
              <w:adjustRightInd w:val="0"/>
              <w:snapToGrid w:val="0"/>
              <w:spacing w:line="240" w:lineRule="auto"/>
              <w:ind w:firstLine="0"/>
              <w:jc w:val="center"/>
              <w:rPr>
                <w:sz w:val="21"/>
                <w:szCs w:val="21"/>
              </w:rPr>
            </w:pPr>
            <w:r>
              <w:rPr>
                <w:sz w:val="21"/>
                <w:szCs w:val="21"/>
              </w:rPr>
              <w:t>X</w:t>
            </w:r>
            <w:r>
              <w:rPr>
                <w:rFonts w:hint="eastAsia"/>
                <w:sz w:val="21"/>
                <w:szCs w:val="21"/>
              </w:rPr>
              <w:t>19车间</w:t>
            </w:r>
          </w:p>
        </w:tc>
        <w:tc>
          <w:tcPr>
            <w:tcW w:w="827" w:type="pct"/>
            <w:shd w:val="clear" w:color="auto" w:fill="auto"/>
            <w:vAlign w:val="center"/>
          </w:tcPr>
          <w:p w14:paraId="3FB294CB">
            <w:pPr>
              <w:pStyle w:val="5"/>
              <w:adjustRightInd w:val="0"/>
              <w:snapToGrid w:val="0"/>
              <w:spacing w:line="240" w:lineRule="auto"/>
              <w:ind w:firstLine="0"/>
              <w:jc w:val="center"/>
              <w:rPr>
                <w:sz w:val="21"/>
                <w:szCs w:val="21"/>
              </w:rPr>
            </w:pPr>
            <w:r>
              <w:rPr>
                <w:sz w:val="21"/>
                <w:szCs w:val="21"/>
              </w:rPr>
              <w:t>氨气</w:t>
            </w:r>
          </w:p>
        </w:tc>
        <w:tc>
          <w:tcPr>
            <w:tcW w:w="984" w:type="pct"/>
            <w:shd w:val="clear" w:color="auto" w:fill="auto"/>
            <w:vAlign w:val="center"/>
          </w:tcPr>
          <w:p w14:paraId="4102F7AD">
            <w:pPr>
              <w:pStyle w:val="5"/>
              <w:adjustRightInd w:val="0"/>
              <w:snapToGrid w:val="0"/>
              <w:spacing w:line="240" w:lineRule="auto"/>
              <w:ind w:firstLine="0"/>
              <w:jc w:val="center"/>
              <w:rPr>
                <w:sz w:val="21"/>
                <w:szCs w:val="21"/>
              </w:rPr>
            </w:pPr>
            <w:r>
              <w:rPr>
                <w:rFonts w:hint="eastAsia"/>
                <w:sz w:val="21"/>
                <w:szCs w:val="21"/>
              </w:rPr>
              <w:t>0.2167</w:t>
            </w:r>
          </w:p>
        </w:tc>
        <w:tc>
          <w:tcPr>
            <w:tcW w:w="740" w:type="pct"/>
            <w:shd w:val="clear" w:color="auto" w:fill="auto"/>
            <w:vAlign w:val="center"/>
          </w:tcPr>
          <w:p w14:paraId="29E49013">
            <w:pPr>
              <w:pStyle w:val="5"/>
              <w:adjustRightInd w:val="0"/>
              <w:snapToGrid w:val="0"/>
              <w:spacing w:line="240" w:lineRule="auto"/>
              <w:ind w:firstLine="0"/>
              <w:jc w:val="center"/>
              <w:rPr>
                <w:sz w:val="21"/>
                <w:szCs w:val="21"/>
              </w:rPr>
            </w:pPr>
            <w:r>
              <w:rPr>
                <w:rFonts w:hint="eastAsia"/>
                <w:sz w:val="21"/>
                <w:szCs w:val="21"/>
              </w:rPr>
              <w:t>1.1791</w:t>
            </w:r>
          </w:p>
        </w:tc>
        <w:tc>
          <w:tcPr>
            <w:tcW w:w="1216" w:type="pct"/>
            <w:shd w:val="clear" w:color="auto" w:fill="auto"/>
            <w:vAlign w:val="center"/>
          </w:tcPr>
          <w:p w14:paraId="4077F5C7">
            <w:pPr>
              <w:pStyle w:val="5"/>
              <w:adjustRightInd w:val="0"/>
              <w:snapToGrid w:val="0"/>
              <w:spacing w:line="240" w:lineRule="auto"/>
              <w:ind w:firstLine="0"/>
              <w:jc w:val="center"/>
              <w:rPr>
                <w:sz w:val="21"/>
                <w:szCs w:val="21"/>
              </w:rPr>
            </w:pPr>
            <w:r>
              <w:rPr>
                <w:rFonts w:hint="eastAsia"/>
                <w:sz w:val="21"/>
                <w:szCs w:val="21"/>
              </w:rPr>
              <w:t>85</w:t>
            </w:r>
            <w:r>
              <w:rPr>
                <w:sz w:val="21"/>
                <w:szCs w:val="21"/>
              </w:rPr>
              <w:t>×</w:t>
            </w:r>
            <w:r>
              <w:rPr>
                <w:rFonts w:hint="eastAsia"/>
                <w:sz w:val="21"/>
                <w:szCs w:val="21"/>
              </w:rPr>
              <w:t>22.5</w:t>
            </w:r>
            <w:r>
              <w:rPr>
                <w:sz w:val="21"/>
                <w:szCs w:val="21"/>
              </w:rPr>
              <w:t>×</w:t>
            </w:r>
            <w:r>
              <w:rPr>
                <w:rFonts w:hint="eastAsia"/>
                <w:sz w:val="21"/>
                <w:szCs w:val="21"/>
              </w:rPr>
              <w:t>13.2</w:t>
            </w:r>
          </w:p>
        </w:tc>
      </w:tr>
    </w:tbl>
    <w:p w14:paraId="4A416AF8">
      <w:pPr>
        <w:pStyle w:val="5"/>
        <w:keepNext/>
        <w:numPr>
          <w:ilvl w:val="0"/>
          <w:numId w:val="12"/>
        </w:numPr>
        <w:adjustRightInd w:val="0"/>
        <w:snapToGrid w:val="0"/>
        <w:spacing w:line="500" w:lineRule="exact"/>
        <w:ind w:left="0" w:firstLine="0"/>
        <w:jc w:val="center"/>
        <w:outlineLvl w:val="4"/>
        <w:rPr>
          <w:b/>
        </w:rPr>
      </w:pPr>
      <w:r>
        <w:rPr>
          <w:b/>
        </w:rPr>
        <w:t>项目变更后废气汇总表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5"/>
        <w:gridCol w:w="4337"/>
        <w:gridCol w:w="3456"/>
      </w:tblGrid>
      <w:tr w14:paraId="2175D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05" w:type="pct"/>
            <w:vAlign w:val="center"/>
          </w:tcPr>
          <w:p w14:paraId="4AB1863B">
            <w:pPr>
              <w:adjustRightInd w:val="0"/>
              <w:snapToGrid w:val="0"/>
              <w:jc w:val="center"/>
              <w:rPr>
                <w:rFonts w:ascii="Arial" w:hAnsi="Arial" w:eastAsia="宋体" w:cs="Arial"/>
                <w:sz w:val="21"/>
                <w:szCs w:val="24"/>
              </w:rPr>
            </w:pPr>
            <w:r>
              <w:rPr>
                <w:rFonts w:ascii="Arial" w:hAnsi="Arial" w:eastAsia="宋体" w:cs="Arial"/>
                <w:sz w:val="21"/>
                <w:szCs w:val="24"/>
              </w:rPr>
              <w:t>序号</w:t>
            </w:r>
          </w:p>
        </w:tc>
        <w:tc>
          <w:tcPr>
            <w:tcW w:w="2335" w:type="pct"/>
            <w:vAlign w:val="center"/>
          </w:tcPr>
          <w:p w14:paraId="177772FB">
            <w:pPr>
              <w:adjustRightInd w:val="0"/>
              <w:snapToGrid w:val="0"/>
              <w:jc w:val="center"/>
              <w:rPr>
                <w:rFonts w:ascii="Arial" w:hAnsi="Arial" w:eastAsia="宋体" w:cs="Arial"/>
                <w:sz w:val="21"/>
                <w:szCs w:val="24"/>
              </w:rPr>
            </w:pPr>
            <w:r>
              <w:rPr>
                <w:rFonts w:ascii="Arial" w:hAnsi="Arial" w:eastAsia="宋体" w:cs="Arial"/>
                <w:sz w:val="21"/>
                <w:szCs w:val="24"/>
              </w:rPr>
              <w:t>污染物</w:t>
            </w:r>
          </w:p>
        </w:tc>
        <w:tc>
          <w:tcPr>
            <w:tcW w:w="1860" w:type="pct"/>
            <w:vAlign w:val="center"/>
          </w:tcPr>
          <w:p w14:paraId="5C82D016">
            <w:pPr>
              <w:widowControl/>
              <w:adjustRightInd w:val="0"/>
              <w:snapToGrid w:val="0"/>
              <w:jc w:val="center"/>
              <w:rPr>
                <w:rFonts w:ascii="Arial" w:hAnsi="Arial" w:eastAsia="宋体" w:cs="Arial"/>
                <w:kern w:val="0"/>
                <w:sz w:val="21"/>
              </w:rPr>
            </w:pPr>
            <w:r>
              <w:rPr>
                <w:rFonts w:ascii="Arial" w:hAnsi="Arial" w:eastAsia="宋体" w:cs="Arial"/>
                <w:kern w:val="0"/>
                <w:sz w:val="21"/>
              </w:rPr>
              <w:t>排放量（t/a）</w:t>
            </w:r>
          </w:p>
        </w:tc>
      </w:tr>
      <w:tr w14:paraId="2D939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05" w:type="pct"/>
            <w:vAlign w:val="center"/>
          </w:tcPr>
          <w:p w14:paraId="40092D4C">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2335" w:type="pct"/>
            <w:vAlign w:val="center"/>
          </w:tcPr>
          <w:p w14:paraId="3B1B82E5">
            <w:pPr>
              <w:adjustRightInd w:val="0"/>
              <w:snapToGrid w:val="0"/>
              <w:jc w:val="center"/>
              <w:rPr>
                <w:rFonts w:ascii="Arial" w:hAnsi="Arial" w:eastAsia="宋体" w:cs="Arial"/>
                <w:sz w:val="21"/>
                <w:szCs w:val="24"/>
              </w:rPr>
            </w:pPr>
            <w:r>
              <w:rPr>
                <w:rFonts w:ascii="Arial" w:hAnsi="Arial" w:eastAsia="宋体" w:cs="Arial"/>
                <w:sz w:val="21"/>
                <w:szCs w:val="24"/>
              </w:rPr>
              <w:t>颗粒物</w:t>
            </w:r>
          </w:p>
        </w:tc>
        <w:tc>
          <w:tcPr>
            <w:tcW w:w="1860" w:type="pct"/>
            <w:vAlign w:val="center"/>
          </w:tcPr>
          <w:p w14:paraId="29794D34">
            <w:pPr>
              <w:pStyle w:val="5"/>
              <w:adjustRightInd w:val="0"/>
              <w:snapToGrid w:val="0"/>
              <w:spacing w:line="240" w:lineRule="auto"/>
              <w:ind w:firstLine="0"/>
              <w:jc w:val="center"/>
              <w:rPr>
                <w:sz w:val="21"/>
                <w:szCs w:val="21"/>
                <w:u w:val="single"/>
              </w:rPr>
            </w:pPr>
            <w:r>
              <w:rPr>
                <w:rFonts w:hint="eastAsia"/>
                <w:sz w:val="21"/>
                <w:szCs w:val="21"/>
                <w:u w:val="single"/>
              </w:rPr>
              <w:t>1.6579</w:t>
            </w:r>
          </w:p>
        </w:tc>
      </w:tr>
      <w:tr w14:paraId="2D594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05" w:type="pct"/>
            <w:vAlign w:val="center"/>
          </w:tcPr>
          <w:p w14:paraId="133C3EED">
            <w:pPr>
              <w:adjustRightInd w:val="0"/>
              <w:snapToGrid w:val="0"/>
              <w:jc w:val="center"/>
              <w:rPr>
                <w:rFonts w:ascii="Arial" w:hAnsi="Arial" w:eastAsia="宋体" w:cs="Arial"/>
                <w:sz w:val="21"/>
                <w:szCs w:val="21"/>
              </w:rPr>
            </w:pPr>
            <w:r>
              <w:rPr>
                <w:rFonts w:hint="eastAsia" w:ascii="Arial" w:hAnsi="Arial" w:eastAsia="宋体" w:cs="Arial"/>
                <w:sz w:val="21"/>
                <w:szCs w:val="21"/>
              </w:rPr>
              <w:t>2</w:t>
            </w:r>
          </w:p>
        </w:tc>
        <w:tc>
          <w:tcPr>
            <w:tcW w:w="2335" w:type="pct"/>
            <w:vAlign w:val="center"/>
          </w:tcPr>
          <w:p w14:paraId="0946D448">
            <w:pPr>
              <w:adjustRightInd w:val="0"/>
              <w:snapToGrid w:val="0"/>
              <w:jc w:val="center"/>
              <w:rPr>
                <w:rFonts w:ascii="Arial" w:hAnsi="Arial" w:eastAsia="宋体" w:cs="Arial"/>
                <w:sz w:val="21"/>
                <w:szCs w:val="24"/>
              </w:rPr>
            </w:pPr>
            <w:r>
              <w:rPr>
                <w:rFonts w:ascii="Arial" w:hAnsi="Arial" w:eastAsia="宋体" w:cs="Arial"/>
                <w:sz w:val="21"/>
                <w:szCs w:val="24"/>
              </w:rPr>
              <w:t>钴及其化合物</w:t>
            </w:r>
          </w:p>
        </w:tc>
        <w:tc>
          <w:tcPr>
            <w:tcW w:w="1860" w:type="pct"/>
            <w:vAlign w:val="center"/>
          </w:tcPr>
          <w:p w14:paraId="7D4A7AE3">
            <w:pPr>
              <w:pStyle w:val="5"/>
              <w:adjustRightInd w:val="0"/>
              <w:snapToGrid w:val="0"/>
              <w:spacing w:line="240" w:lineRule="auto"/>
              <w:ind w:firstLine="0"/>
              <w:jc w:val="center"/>
              <w:rPr>
                <w:sz w:val="21"/>
                <w:szCs w:val="21"/>
                <w:u w:val="single"/>
              </w:rPr>
            </w:pPr>
            <w:r>
              <w:rPr>
                <w:rFonts w:hint="eastAsia"/>
                <w:sz w:val="21"/>
                <w:szCs w:val="21"/>
                <w:u w:val="single"/>
              </w:rPr>
              <w:t>1.0292</w:t>
            </w:r>
          </w:p>
        </w:tc>
      </w:tr>
      <w:tr w14:paraId="5CB16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05" w:type="pct"/>
            <w:vAlign w:val="center"/>
          </w:tcPr>
          <w:p w14:paraId="5425B4E9">
            <w:pPr>
              <w:adjustRightInd w:val="0"/>
              <w:snapToGrid w:val="0"/>
              <w:jc w:val="center"/>
              <w:rPr>
                <w:rFonts w:ascii="Arial" w:hAnsi="Arial" w:eastAsia="宋体" w:cs="Arial"/>
                <w:sz w:val="21"/>
                <w:szCs w:val="21"/>
              </w:rPr>
            </w:pPr>
            <w:r>
              <w:rPr>
                <w:rFonts w:hint="eastAsia" w:ascii="Arial" w:hAnsi="Arial" w:eastAsia="宋体" w:cs="Arial"/>
                <w:sz w:val="21"/>
                <w:szCs w:val="21"/>
              </w:rPr>
              <w:t>3</w:t>
            </w:r>
          </w:p>
        </w:tc>
        <w:tc>
          <w:tcPr>
            <w:tcW w:w="2335" w:type="pct"/>
            <w:vAlign w:val="center"/>
          </w:tcPr>
          <w:p w14:paraId="459A2184">
            <w:pPr>
              <w:adjustRightInd w:val="0"/>
              <w:snapToGrid w:val="0"/>
              <w:jc w:val="center"/>
              <w:rPr>
                <w:rFonts w:ascii="Arial" w:hAnsi="Arial" w:eastAsia="宋体" w:cs="Arial"/>
                <w:sz w:val="21"/>
                <w:szCs w:val="24"/>
              </w:rPr>
            </w:pPr>
            <w:r>
              <w:rPr>
                <w:rFonts w:ascii="Arial" w:hAnsi="Arial" w:eastAsia="宋体" w:cs="Arial"/>
                <w:sz w:val="21"/>
                <w:szCs w:val="24"/>
              </w:rPr>
              <w:t>氨气</w:t>
            </w:r>
          </w:p>
        </w:tc>
        <w:tc>
          <w:tcPr>
            <w:tcW w:w="1860" w:type="pct"/>
            <w:vAlign w:val="center"/>
          </w:tcPr>
          <w:p w14:paraId="45049ABF">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r>
    </w:tbl>
    <w:p w14:paraId="1D4BC32B">
      <w:pPr>
        <w:pStyle w:val="5"/>
        <w:spacing w:line="500" w:lineRule="exact"/>
        <w:ind w:firstLine="0"/>
        <w:outlineLvl w:val="3"/>
        <w:rPr>
          <w:b/>
        </w:rPr>
      </w:pPr>
      <w:r>
        <w:rPr>
          <w:b/>
        </w:rPr>
        <w:t>2.</w:t>
      </w:r>
      <w:r>
        <w:rPr>
          <w:rFonts w:hint="eastAsia"/>
          <w:b/>
        </w:rPr>
        <w:t>5</w:t>
      </w:r>
      <w:r>
        <w:rPr>
          <w:b/>
        </w:rPr>
        <w:t>.2.3项目变更前后大气污染源强对比</w:t>
      </w:r>
    </w:p>
    <w:p w14:paraId="7E8B029D">
      <w:pPr>
        <w:pStyle w:val="5"/>
        <w:keepNext/>
        <w:numPr>
          <w:ilvl w:val="0"/>
          <w:numId w:val="12"/>
        </w:numPr>
        <w:spacing w:line="480" w:lineRule="exact"/>
        <w:ind w:left="0" w:firstLine="0"/>
        <w:jc w:val="center"/>
        <w:outlineLvl w:val="4"/>
        <w:rPr>
          <w:b/>
        </w:rPr>
      </w:pPr>
      <w:r>
        <w:rPr>
          <w:b/>
        </w:rPr>
        <w:t>项目变更前后废气对比表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1846"/>
        <w:gridCol w:w="810"/>
        <w:gridCol w:w="1854"/>
        <w:gridCol w:w="1854"/>
        <w:gridCol w:w="2114"/>
      </w:tblGrid>
      <w:tr w14:paraId="65A5E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36" w:type="pct"/>
            <w:tcBorders>
              <w:top w:val="single" w:color="auto" w:sz="4" w:space="0"/>
              <w:left w:val="single" w:color="auto" w:sz="4" w:space="0"/>
              <w:bottom w:val="single" w:color="auto" w:sz="4" w:space="0"/>
              <w:right w:val="single" w:color="auto" w:sz="4" w:space="0"/>
            </w:tcBorders>
            <w:vAlign w:val="center"/>
          </w:tcPr>
          <w:p w14:paraId="35F03181">
            <w:pPr>
              <w:adjustRightInd w:val="0"/>
              <w:snapToGrid w:val="0"/>
              <w:jc w:val="center"/>
              <w:rPr>
                <w:rFonts w:ascii="Arial" w:hAnsi="Arial" w:eastAsia="宋体" w:cs="Arial"/>
                <w:b/>
                <w:sz w:val="21"/>
                <w:szCs w:val="21"/>
              </w:rPr>
            </w:pPr>
            <w:r>
              <w:rPr>
                <w:rFonts w:ascii="Arial" w:hAnsi="Arial" w:eastAsia="宋体" w:cs="Arial"/>
                <w:b/>
                <w:sz w:val="21"/>
                <w:szCs w:val="21"/>
              </w:rPr>
              <w:t>类别</w:t>
            </w:r>
          </w:p>
        </w:tc>
        <w:tc>
          <w:tcPr>
            <w:tcW w:w="994" w:type="pct"/>
            <w:tcBorders>
              <w:top w:val="single" w:color="auto" w:sz="4" w:space="0"/>
              <w:left w:val="single" w:color="auto" w:sz="4" w:space="0"/>
              <w:bottom w:val="single" w:color="auto" w:sz="4" w:space="0"/>
              <w:right w:val="single" w:color="auto" w:sz="4" w:space="0"/>
            </w:tcBorders>
            <w:vAlign w:val="center"/>
          </w:tcPr>
          <w:p w14:paraId="5AA7EE10">
            <w:pPr>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436" w:type="pct"/>
            <w:tcBorders>
              <w:top w:val="single" w:color="auto" w:sz="4" w:space="0"/>
              <w:left w:val="single" w:color="auto" w:sz="4" w:space="0"/>
              <w:bottom w:val="single" w:color="auto" w:sz="4" w:space="0"/>
              <w:right w:val="single" w:color="auto" w:sz="4" w:space="0"/>
            </w:tcBorders>
            <w:vAlign w:val="center"/>
          </w:tcPr>
          <w:p w14:paraId="7764D199">
            <w:pPr>
              <w:adjustRightInd w:val="0"/>
              <w:snapToGrid w:val="0"/>
              <w:jc w:val="center"/>
              <w:rPr>
                <w:rFonts w:ascii="Arial" w:hAnsi="Arial" w:eastAsia="宋体" w:cs="Arial"/>
                <w:b/>
                <w:sz w:val="21"/>
                <w:szCs w:val="21"/>
              </w:rPr>
            </w:pPr>
            <w:r>
              <w:rPr>
                <w:rFonts w:ascii="Arial" w:hAnsi="Arial" w:eastAsia="宋体" w:cs="Arial"/>
                <w:b/>
                <w:sz w:val="21"/>
                <w:szCs w:val="21"/>
              </w:rPr>
              <w:t>单位</w:t>
            </w:r>
          </w:p>
        </w:tc>
        <w:tc>
          <w:tcPr>
            <w:tcW w:w="998" w:type="pct"/>
            <w:tcBorders>
              <w:top w:val="single" w:color="auto" w:sz="4" w:space="0"/>
              <w:left w:val="single" w:color="auto" w:sz="4" w:space="0"/>
              <w:bottom w:val="single" w:color="auto" w:sz="4" w:space="0"/>
              <w:right w:val="single" w:color="auto" w:sz="4" w:space="0"/>
            </w:tcBorders>
            <w:vAlign w:val="center"/>
          </w:tcPr>
          <w:p w14:paraId="71C9C919">
            <w:pPr>
              <w:adjustRightInd w:val="0"/>
              <w:snapToGrid w:val="0"/>
              <w:jc w:val="center"/>
              <w:rPr>
                <w:rFonts w:ascii="Arial" w:hAnsi="Arial" w:eastAsia="宋体" w:cs="Arial"/>
                <w:b/>
                <w:sz w:val="21"/>
                <w:szCs w:val="21"/>
              </w:rPr>
            </w:pPr>
            <w:r>
              <w:rPr>
                <w:rFonts w:ascii="Arial" w:hAnsi="Arial" w:eastAsia="宋体" w:cs="Arial"/>
                <w:b/>
                <w:sz w:val="21"/>
                <w:szCs w:val="21"/>
              </w:rPr>
              <w:t>变更前排放量</w:t>
            </w:r>
          </w:p>
        </w:tc>
        <w:tc>
          <w:tcPr>
            <w:tcW w:w="998" w:type="pct"/>
            <w:tcBorders>
              <w:top w:val="single" w:color="auto" w:sz="4" w:space="0"/>
              <w:left w:val="single" w:color="auto" w:sz="4" w:space="0"/>
              <w:bottom w:val="single" w:color="auto" w:sz="4" w:space="0"/>
              <w:right w:val="single" w:color="auto" w:sz="4" w:space="0"/>
            </w:tcBorders>
            <w:vAlign w:val="center"/>
          </w:tcPr>
          <w:p w14:paraId="6534C149">
            <w:pPr>
              <w:adjustRightInd w:val="0"/>
              <w:snapToGrid w:val="0"/>
              <w:jc w:val="center"/>
              <w:rPr>
                <w:rFonts w:ascii="Arial" w:hAnsi="Arial" w:eastAsia="宋体" w:cs="Arial"/>
                <w:b/>
                <w:sz w:val="21"/>
                <w:szCs w:val="21"/>
              </w:rPr>
            </w:pPr>
            <w:r>
              <w:rPr>
                <w:rFonts w:ascii="Arial" w:hAnsi="Arial" w:eastAsia="宋体" w:cs="Arial"/>
                <w:b/>
                <w:sz w:val="21"/>
                <w:szCs w:val="21"/>
              </w:rPr>
              <w:t>变更后排放量</w:t>
            </w:r>
          </w:p>
        </w:tc>
        <w:tc>
          <w:tcPr>
            <w:tcW w:w="1138" w:type="pct"/>
            <w:tcBorders>
              <w:top w:val="single" w:color="auto" w:sz="4" w:space="0"/>
              <w:left w:val="single" w:color="auto" w:sz="4" w:space="0"/>
              <w:bottom w:val="single" w:color="auto" w:sz="4" w:space="0"/>
              <w:right w:val="single" w:color="auto" w:sz="4" w:space="0"/>
            </w:tcBorders>
            <w:vAlign w:val="center"/>
          </w:tcPr>
          <w:p w14:paraId="33E7FB71">
            <w:pPr>
              <w:adjustRightInd w:val="0"/>
              <w:snapToGrid w:val="0"/>
              <w:jc w:val="center"/>
              <w:rPr>
                <w:rFonts w:ascii="Arial" w:hAnsi="Arial" w:eastAsia="宋体" w:cs="Arial"/>
                <w:b/>
                <w:sz w:val="21"/>
                <w:szCs w:val="21"/>
              </w:rPr>
            </w:pPr>
            <w:r>
              <w:rPr>
                <w:rFonts w:ascii="Arial" w:hAnsi="Arial" w:eastAsia="宋体" w:cs="Arial"/>
                <w:b/>
                <w:sz w:val="21"/>
                <w:szCs w:val="21"/>
              </w:rPr>
              <w:t>变更前后增减量</w:t>
            </w:r>
          </w:p>
        </w:tc>
      </w:tr>
      <w:tr w14:paraId="43E83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6" w:type="pct"/>
            <w:vMerge w:val="restart"/>
            <w:tcBorders>
              <w:top w:val="single" w:color="auto" w:sz="4" w:space="0"/>
              <w:left w:val="single" w:color="auto" w:sz="4" w:space="0"/>
              <w:right w:val="single" w:color="auto" w:sz="4" w:space="0"/>
            </w:tcBorders>
            <w:vAlign w:val="center"/>
          </w:tcPr>
          <w:p w14:paraId="2812FACF">
            <w:pPr>
              <w:adjustRightInd w:val="0"/>
              <w:snapToGrid w:val="0"/>
              <w:jc w:val="center"/>
              <w:rPr>
                <w:rFonts w:ascii="Arial" w:hAnsi="Arial" w:eastAsia="宋体" w:cs="Arial"/>
                <w:sz w:val="21"/>
                <w:szCs w:val="21"/>
              </w:rPr>
            </w:pPr>
            <w:r>
              <w:rPr>
                <w:rFonts w:ascii="Arial" w:hAnsi="Arial" w:eastAsia="宋体" w:cs="Arial"/>
                <w:sz w:val="21"/>
                <w:szCs w:val="21"/>
              </w:rPr>
              <w:t>废气</w:t>
            </w:r>
          </w:p>
        </w:tc>
        <w:tc>
          <w:tcPr>
            <w:tcW w:w="994" w:type="pct"/>
            <w:tcBorders>
              <w:top w:val="single" w:color="auto" w:sz="4" w:space="0"/>
              <w:left w:val="single" w:color="auto" w:sz="4" w:space="0"/>
              <w:bottom w:val="single" w:color="auto" w:sz="4" w:space="0"/>
              <w:right w:val="single" w:color="auto" w:sz="4" w:space="0"/>
            </w:tcBorders>
            <w:vAlign w:val="center"/>
          </w:tcPr>
          <w:p w14:paraId="7B2C96BC">
            <w:pPr>
              <w:adjustRightInd w:val="0"/>
              <w:snapToGrid w:val="0"/>
              <w:jc w:val="center"/>
              <w:rPr>
                <w:rFonts w:ascii="Arial" w:hAnsi="Arial" w:eastAsia="宋体" w:cs="Arial"/>
                <w:sz w:val="21"/>
                <w:szCs w:val="24"/>
              </w:rPr>
            </w:pPr>
            <w:r>
              <w:rPr>
                <w:rFonts w:ascii="Arial" w:hAnsi="Arial" w:eastAsia="宋体" w:cs="Arial"/>
                <w:sz w:val="21"/>
                <w:szCs w:val="24"/>
              </w:rPr>
              <w:t>颗粒物</w:t>
            </w:r>
          </w:p>
        </w:tc>
        <w:tc>
          <w:tcPr>
            <w:tcW w:w="436" w:type="pct"/>
            <w:tcBorders>
              <w:top w:val="single" w:color="auto" w:sz="4" w:space="0"/>
              <w:left w:val="single" w:color="auto" w:sz="4" w:space="0"/>
              <w:bottom w:val="single" w:color="auto" w:sz="4" w:space="0"/>
              <w:right w:val="single" w:color="auto" w:sz="4" w:space="0"/>
            </w:tcBorders>
            <w:vAlign w:val="center"/>
          </w:tcPr>
          <w:p w14:paraId="789FABB2">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998" w:type="pct"/>
            <w:tcBorders>
              <w:top w:val="single" w:color="auto" w:sz="4" w:space="0"/>
              <w:left w:val="single" w:color="auto" w:sz="4" w:space="0"/>
              <w:bottom w:val="single" w:color="auto" w:sz="4" w:space="0"/>
              <w:right w:val="single" w:color="auto" w:sz="4" w:space="0"/>
            </w:tcBorders>
            <w:vAlign w:val="center"/>
          </w:tcPr>
          <w:p w14:paraId="208AC02E">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998" w:type="pct"/>
            <w:tcBorders>
              <w:top w:val="single" w:color="auto" w:sz="4" w:space="0"/>
              <w:left w:val="single" w:color="auto" w:sz="4" w:space="0"/>
              <w:bottom w:val="single" w:color="auto" w:sz="4" w:space="0"/>
              <w:right w:val="single" w:color="auto" w:sz="4" w:space="0"/>
            </w:tcBorders>
            <w:vAlign w:val="center"/>
          </w:tcPr>
          <w:p w14:paraId="05FB6993">
            <w:pPr>
              <w:pStyle w:val="5"/>
              <w:adjustRightInd w:val="0"/>
              <w:snapToGrid w:val="0"/>
              <w:spacing w:line="240" w:lineRule="auto"/>
              <w:ind w:firstLine="0"/>
              <w:jc w:val="center"/>
              <w:rPr>
                <w:sz w:val="21"/>
                <w:szCs w:val="21"/>
                <w:u w:val="single"/>
              </w:rPr>
            </w:pPr>
            <w:r>
              <w:rPr>
                <w:rFonts w:hint="eastAsia"/>
                <w:sz w:val="21"/>
                <w:szCs w:val="21"/>
                <w:u w:val="single"/>
              </w:rPr>
              <w:t>1.6579</w:t>
            </w:r>
          </w:p>
        </w:tc>
        <w:tc>
          <w:tcPr>
            <w:tcW w:w="1138" w:type="pct"/>
            <w:tcBorders>
              <w:top w:val="single" w:color="auto" w:sz="4" w:space="0"/>
              <w:left w:val="single" w:color="auto" w:sz="4" w:space="0"/>
              <w:bottom w:val="single" w:color="auto" w:sz="4" w:space="0"/>
              <w:right w:val="single" w:color="auto" w:sz="4" w:space="0"/>
            </w:tcBorders>
            <w:vAlign w:val="center"/>
          </w:tcPr>
          <w:p w14:paraId="190DDD1C">
            <w:pPr>
              <w:pStyle w:val="5"/>
              <w:adjustRightInd w:val="0"/>
              <w:snapToGrid w:val="0"/>
              <w:spacing w:line="240" w:lineRule="auto"/>
              <w:ind w:firstLine="0"/>
              <w:jc w:val="center"/>
              <w:rPr>
                <w:sz w:val="21"/>
                <w:szCs w:val="21"/>
                <w:u w:val="single"/>
              </w:rPr>
            </w:pPr>
            <w:r>
              <w:rPr>
                <w:rFonts w:hint="eastAsia"/>
                <w:sz w:val="21"/>
                <w:szCs w:val="21"/>
                <w:u w:val="single"/>
              </w:rPr>
              <w:t>+1.6579</w:t>
            </w:r>
          </w:p>
        </w:tc>
      </w:tr>
      <w:tr w14:paraId="73763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6" w:type="pct"/>
            <w:vMerge w:val="continue"/>
            <w:tcBorders>
              <w:top w:val="single" w:color="auto" w:sz="4" w:space="0"/>
              <w:left w:val="single" w:color="auto" w:sz="4" w:space="0"/>
              <w:right w:val="single" w:color="auto" w:sz="4" w:space="0"/>
            </w:tcBorders>
            <w:vAlign w:val="center"/>
          </w:tcPr>
          <w:p w14:paraId="3DB42394">
            <w:pPr>
              <w:adjustRightInd w:val="0"/>
              <w:snapToGrid w:val="0"/>
              <w:jc w:val="center"/>
              <w:rPr>
                <w:rFonts w:ascii="Arial" w:hAnsi="Arial" w:eastAsia="宋体" w:cs="Arial"/>
                <w:sz w:val="21"/>
                <w:szCs w:val="21"/>
              </w:rPr>
            </w:pPr>
          </w:p>
        </w:tc>
        <w:tc>
          <w:tcPr>
            <w:tcW w:w="994" w:type="pct"/>
            <w:tcBorders>
              <w:top w:val="single" w:color="auto" w:sz="4" w:space="0"/>
              <w:left w:val="single" w:color="auto" w:sz="4" w:space="0"/>
              <w:bottom w:val="single" w:color="auto" w:sz="4" w:space="0"/>
              <w:right w:val="single" w:color="auto" w:sz="4" w:space="0"/>
            </w:tcBorders>
            <w:vAlign w:val="center"/>
          </w:tcPr>
          <w:p w14:paraId="42C5CB7E">
            <w:pPr>
              <w:adjustRightInd w:val="0"/>
              <w:snapToGrid w:val="0"/>
              <w:jc w:val="center"/>
              <w:rPr>
                <w:rFonts w:ascii="Arial" w:hAnsi="Arial" w:eastAsia="宋体" w:cs="Arial"/>
                <w:sz w:val="21"/>
                <w:szCs w:val="24"/>
              </w:rPr>
            </w:pPr>
            <w:r>
              <w:rPr>
                <w:rFonts w:ascii="Arial" w:hAnsi="Arial" w:eastAsia="宋体" w:cs="Arial"/>
                <w:sz w:val="21"/>
                <w:szCs w:val="24"/>
              </w:rPr>
              <w:t>钴及其化合物</w:t>
            </w:r>
          </w:p>
        </w:tc>
        <w:tc>
          <w:tcPr>
            <w:tcW w:w="436" w:type="pct"/>
            <w:tcBorders>
              <w:top w:val="single" w:color="auto" w:sz="4" w:space="0"/>
              <w:left w:val="single" w:color="auto" w:sz="4" w:space="0"/>
              <w:bottom w:val="single" w:color="auto" w:sz="4" w:space="0"/>
              <w:right w:val="single" w:color="auto" w:sz="4" w:space="0"/>
            </w:tcBorders>
            <w:vAlign w:val="center"/>
          </w:tcPr>
          <w:p w14:paraId="391C7BBD">
            <w:pPr>
              <w:adjustRightInd w:val="0"/>
              <w:snapToGrid w:val="0"/>
              <w:jc w:val="center"/>
              <w:rPr>
                <w:rFonts w:ascii="Arial" w:hAnsi="Arial" w:eastAsia="宋体" w:cs="Arial"/>
                <w:sz w:val="21"/>
                <w:szCs w:val="21"/>
              </w:rPr>
            </w:pPr>
            <w:r>
              <w:rPr>
                <w:rFonts w:ascii="Arial" w:hAnsi="Arial" w:eastAsia="宋体" w:cs="Arial"/>
                <w:sz w:val="21"/>
                <w:szCs w:val="21"/>
              </w:rPr>
              <w:t>t</w:t>
            </w:r>
            <w:r>
              <w:rPr>
                <w:rFonts w:hint="eastAsia" w:ascii="Arial" w:hAnsi="Arial" w:eastAsia="宋体" w:cs="Arial"/>
                <w:sz w:val="21"/>
                <w:szCs w:val="21"/>
              </w:rPr>
              <w:t>/a</w:t>
            </w:r>
          </w:p>
        </w:tc>
        <w:tc>
          <w:tcPr>
            <w:tcW w:w="998" w:type="pct"/>
            <w:tcBorders>
              <w:top w:val="single" w:color="auto" w:sz="4" w:space="0"/>
              <w:left w:val="single" w:color="auto" w:sz="4" w:space="0"/>
              <w:bottom w:val="single" w:color="auto" w:sz="4" w:space="0"/>
              <w:right w:val="single" w:color="auto" w:sz="4" w:space="0"/>
            </w:tcBorders>
            <w:vAlign w:val="center"/>
          </w:tcPr>
          <w:p w14:paraId="14C3C8C5">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998" w:type="pct"/>
            <w:tcBorders>
              <w:top w:val="single" w:color="auto" w:sz="4" w:space="0"/>
              <w:left w:val="single" w:color="auto" w:sz="4" w:space="0"/>
              <w:bottom w:val="single" w:color="auto" w:sz="4" w:space="0"/>
              <w:right w:val="single" w:color="auto" w:sz="4" w:space="0"/>
            </w:tcBorders>
            <w:vAlign w:val="center"/>
          </w:tcPr>
          <w:p w14:paraId="35F9EF81">
            <w:pPr>
              <w:pStyle w:val="5"/>
              <w:adjustRightInd w:val="0"/>
              <w:snapToGrid w:val="0"/>
              <w:spacing w:line="240" w:lineRule="auto"/>
              <w:ind w:firstLine="0"/>
              <w:jc w:val="center"/>
              <w:rPr>
                <w:sz w:val="21"/>
                <w:szCs w:val="21"/>
                <w:u w:val="single"/>
              </w:rPr>
            </w:pPr>
            <w:r>
              <w:rPr>
                <w:rFonts w:hint="eastAsia"/>
                <w:sz w:val="21"/>
                <w:szCs w:val="21"/>
                <w:u w:val="single"/>
              </w:rPr>
              <w:t>1.0292</w:t>
            </w:r>
          </w:p>
        </w:tc>
        <w:tc>
          <w:tcPr>
            <w:tcW w:w="1138" w:type="pct"/>
            <w:tcBorders>
              <w:top w:val="single" w:color="auto" w:sz="4" w:space="0"/>
              <w:left w:val="single" w:color="auto" w:sz="4" w:space="0"/>
              <w:bottom w:val="single" w:color="auto" w:sz="4" w:space="0"/>
              <w:right w:val="single" w:color="auto" w:sz="4" w:space="0"/>
            </w:tcBorders>
            <w:vAlign w:val="center"/>
          </w:tcPr>
          <w:p w14:paraId="5065FBB5">
            <w:pPr>
              <w:pStyle w:val="5"/>
              <w:adjustRightInd w:val="0"/>
              <w:snapToGrid w:val="0"/>
              <w:spacing w:line="240" w:lineRule="auto"/>
              <w:ind w:firstLine="0"/>
              <w:jc w:val="center"/>
              <w:rPr>
                <w:sz w:val="21"/>
                <w:szCs w:val="21"/>
                <w:u w:val="single"/>
              </w:rPr>
            </w:pPr>
            <w:r>
              <w:rPr>
                <w:rFonts w:hint="eastAsia"/>
                <w:sz w:val="21"/>
                <w:szCs w:val="21"/>
                <w:u w:val="single"/>
              </w:rPr>
              <w:t>+1.0292</w:t>
            </w:r>
          </w:p>
        </w:tc>
      </w:tr>
      <w:tr w14:paraId="1E942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6" w:type="pct"/>
            <w:vMerge w:val="continue"/>
            <w:tcBorders>
              <w:left w:val="single" w:color="auto" w:sz="4" w:space="0"/>
              <w:right w:val="single" w:color="auto" w:sz="4" w:space="0"/>
            </w:tcBorders>
            <w:vAlign w:val="center"/>
          </w:tcPr>
          <w:p w14:paraId="1878AFF4">
            <w:pPr>
              <w:widowControl/>
              <w:jc w:val="left"/>
              <w:rPr>
                <w:rFonts w:ascii="Arial" w:hAnsi="Arial" w:eastAsia="宋体" w:cs="Arial"/>
                <w:sz w:val="21"/>
                <w:szCs w:val="21"/>
              </w:rPr>
            </w:pPr>
          </w:p>
        </w:tc>
        <w:tc>
          <w:tcPr>
            <w:tcW w:w="994" w:type="pct"/>
            <w:tcBorders>
              <w:top w:val="single" w:color="auto" w:sz="4" w:space="0"/>
              <w:left w:val="single" w:color="auto" w:sz="4" w:space="0"/>
              <w:bottom w:val="single" w:color="auto" w:sz="4" w:space="0"/>
              <w:right w:val="single" w:color="auto" w:sz="4" w:space="0"/>
            </w:tcBorders>
            <w:vAlign w:val="center"/>
          </w:tcPr>
          <w:p w14:paraId="6902D3F8">
            <w:pPr>
              <w:adjustRightInd w:val="0"/>
              <w:snapToGrid w:val="0"/>
              <w:jc w:val="center"/>
              <w:rPr>
                <w:rFonts w:ascii="Arial" w:hAnsi="Arial" w:eastAsia="宋体" w:cs="Arial"/>
                <w:sz w:val="21"/>
                <w:szCs w:val="24"/>
              </w:rPr>
            </w:pPr>
            <w:r>
              <w:rPr>
                <w:rFonts w:ascii="Arial" w:hAnsi="Arial" w:eastAsia="宋体" w:cs="Arial"/>
                <w:sz w:val="21"/>
                <w:szCs w:val="24"/>
              </w:rPr>
              <w:t>氨气</w:t>
            </w:r>
          </w:p>
        </w:tc>
        <w:tc>
          <w:tcPr>
            <w:tcW w:w="436" w:type="pct"/>
            <w:tcBorders>
              <w:top w:val="single" w:color="auto" w:sz="4" w:space="0"/>
              <w:left w:val="single" w:color="auto" w:sz="4" w:space="0"/>
              <w:bottom w:val="single" w:color="auto" w:sz="4" w:space="0"/>
              <w:right w:val="single" w:color="auto" w:sz="4" w:space="0"/>
            </w:tcBorders>
            <w:vAlign w:val="center"/>
          </w:tcPr>
          <w:p w14:paraId="2C8AB101">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998" w:type="pct"/>
            <w:tcBorders>
              <w:top w:val="single" w:color="auto" w:sz="4" w:space="0"/>
              <w:left w:val="single" w:color="auto" w:sz="4" w:space="0"/>
              <w:bottom w:val="single" w:color="auto" w:sz="4" w:space="0"/>
              <w:right w:val="single" w:color="auto" w:sz="4" w:space="0"/>
            </w:tcBorders>
            <w:vAlign w:val="center"/>
          </w:tcPr>
          <w:p w14:paraId="5FB53A05">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998" w:type="pct"/>
            <w:tcBorders>
              <w:top w:val="single" w:color="auto" w:sz="4" w:space="0"/>
              <w:left w:val="single" w:color="auto" w:sz="4" w:space="0"/>
              <w:bottom w:val="single" w:color="auto" w:sz="4" w:space="0"/>
              <w:right w:val="single" w:color="auto" w:sz="4" w:space="0"/>
            </w:tcBorders>
            <w:vAlign w:val="center"/>
          </w:tcPr>
          <w:p w14:paraId="467FB6AB">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c>
          <w:tcPr>
            <w:tcW w:w="1138" w:type="pct"/>
            <w:tcBorders>
              <w:top w:val="single" w:color="auto" w:sz="4" w:space="0"/>
              <w:left w:val="single" w:color="auto" w:sz="4" w:space="0"/>
              <w:bottom w:val="single" w:color="auto" w:sz="4" w:space="0"/>
              <w:right w:val="single" w:color="auto" w:sz="4" w:space="0"/>
            </w:tcBorders>
            <w:vAlign w:val="center"/>
          </w:tcPr>
          <w:p w14:paraId="2C8FAAB2">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r>
      <w:tr w14:paraId="05CF4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6" w:type="pct"/>
            <w:vMerge w:val="continue"/>
            <w:tcBorders>
              <w:left w:val="single" w:color="auto" w:sz="4" w:space="0"/>
              <w:right w:val="single" w:color="auto" w:sz="4" w:space="0"/>
            </w:tcBorders>
            <w:vAlign w:val="center"/>
          </w:tcPr>
          <w:p w14:paraId="3510E3B0">
            <w:pPr>
              <w:widowControl/>
              <w:jc w:val="left"/>
              <w:rPr>
                <w:rFonts w:ascii="Arial" w:hAnsi="Arial" w:eastAsia="宋体" w:cs="Arial"/>
                <w:sz w:val="21"/>
                <w:szCs w:val="21"/>
              </w:rPr>
            </w:pPr>
          </w:p>
        </w:tc>
        <w:tc>
          <w:tcPr>
            <w:tcW w:w="994" w:type="pct"/>
            <w:tcBorders>
              <w:top w:val="single" w:color="auto" w:sz="4" w:space="0"/>
              <w:left w:val="single" w:color="auto" w:sz="4" w:space="0"/>
              <w:bottom w:val="single" w:color="auto" w:sz="4" w:space="0"/>
              <w:right w:val="single" w:color="auto" w:sz="4" w:space="0"/>
            </w:tcBorders>
            <w:vAlign w:val="center"/>
          </w:tcPr>
          <w:p w14:paraId="63FBB618">
            <w:pPr>
              <w:adjustRightInd w:val="0"/>
              <w:snapToGrid w:val="0"/>
              <w:jc w:val="center"/>
              <w:rPr>
                <w:rFonts w:ascii="Arial" w:hAnsi="Arial" w:eastAsia="宋体" w:cs="Arial"/>
                <w:sz w:val="21"/>
                <w:szCs w:val="21"/>
              </w:rPr>
            </w:pPr>
            <w:r>
              <w:rPr>
                <w:rFonts w:ascii="Arial" w:hAnsi="Arial" w:eastAsia="宋体" w:cs="Arial"/>
                <w:sz w:val="21"/>
                <w:szCs w:val="21"/>
              </w:rPr>
              <w:t>硫酸雾</w:t>
            </w:r>
          </w:p>
        </w:tc>
        <w:tc>
          <w:tcPr>
            <w:tcW w:w="436" w:type="pct"/>
            <w:tcBorders>
              <w:top w:val="single" w:color="auto" w:sz="4" w:space="0"/>
              <w:left w:val="single" w:color="auto" w:sz="4" w:space="0"/>
              <w:bottom w:val="single" w:color="auto" w:sz="4" w:space="0"/>
              <w:right w:val="single" w:color="auto" w:sz="4" w:space="0"/>
            </w:tcBorders>
            <w:vAlign w:val="center"/>
          </w:tcPr>
          <w:p w14:paraId="4A85AAC8">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998" w:type="pct"/>
            <w:tcBorders>
              <w:top w:val="single" w:color="auto" w:sz="4" w:space="0"/>
              <w:left w:val="single" w:color="auto" w:sz="4" w:space="0"/>
              <w:bottom w:val="single" w:color="auto" w:sz="4" w:space="0"/>
              <w:right w:val="single" w:color="auto" w:sz="4" w:space="0"/>
            </w:tcBorders>
            <w:vAlign w:val="center"/>
          </w:tcPr>
          <w:p w14:paraId="04F5A25C">
            <w:pPr>
              <w:adjustRightInd w:val="0"/>
              <w:snapToGrid w:val="0"/>
              <w:jc w:val="center"/>
              <w:rPr>
                <w:rFonts w:ascii="Arial" w:hAnsi="Arial" w:eastAsia="宋体" w:cs="Arial"/>
                <w:sz w:val="21"/>
                <w:szCs w:val="21"/>
              </w:rPr>
            </w:pPr>
            <w:r>
              <w:rPr>
                <w:rFonts w:ascii="Arial" w:hAnsi="Arial" w:eastAsia="宋体" w:cs="Arial"/>
                <w:sz w:val="21"/>
                <w:szCs w:val="21"/>
              </w:rPr>
              <w:t>8.012</w:t>
            </w:r>
          </w:p>
        </w:tc>
        <w:tc>
          <w:tcPr>
            <w:tcW w:w="998" w:type="pct"/>
            <w:tcBorders>
              <w:top w:val="single" w:color="auto" w:sz="4" w:space="0"/>
              <w:left w:val="single" w:color="auto" w:sz="4" w:space="0"/>
              <w:bottom w:val="single" w:color="auto" w:sz="4" w:space="0"/>
              <w:right w:val="single" w:color="auto" w:sz="4" w:space="0"/>
            </w:tcBorders>
            <w:vAlign w:val="center"/>
          </w:tcPr>
          <w:p w14:paraId="5E6265E2">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1138" w:type="pct"/>
            <w:tcBorders>
              <w:top w:val="single" w:color="auto" w:sz="4" w:space="0"/>
              <w:left w:val="single" w:color="auto" w:sz="4" w:space="0"/>
              <w:bottom w:val="single" w:color="auto" w:sz="4" w:space="0"/>
              <w:right w:val="single" w:color="auto" w:sz="4" w:space="0"/>
            </w:tcBorders>
            <w:vAlign w:val="center"/>
          </w:tcPr>
          <w:p w14:paraId="7FEB6D5C">
            <w:pPr>
              <w:adjustRightInd w:val="0"/>
              <w:snapToGrid w:val="0"/>
              <w:jc w:val="center"/>
              <w:rPr>
                <w:rFonts w:ascii="Arial" w:hAnsi="Arial" w:eastAsia="宋体" w:cs="Arial"/>
                <w:sz w:val="21"/>
                <w:szCs w:val="21"/>
              </w:rPr>
            </w:pPr>
            <w:r>
              <w:rPr>
                <w:rFonts w:ascii="Arial" w:hAnsi="Arial" w:eastAsia="宋体" w:cs="Arial"/>
                <w:sz w:val="21"/>
                <w:szCs w:val="21"/>
              </w:rPr>
              <w:t>-8.012</w:t>
            </w:r>
          </w:p>
        </w:tc>
      </w:tr>
    </w:tbl>
    <w:p w14:paraId="7D2D46B8">
      <w:pPr>
        <w:pStyle w:val="6"/>
        <w:numPr>
          <w:ilvl w:val="2"/>
          <w:numId w:val="11"/>
        </w:numPr>
        <w:tabs>
          <w:tab w:val="left" w:pos="1080"/>
        </w:tabs>
        <w:spacing w:line="400" w:lineRule="exact"/>
        <w:rPr>
          <w:rFonts w:ascii="Arial" w:hAnsi="Arial" w:eastAsia="宋体" w:cs="Arial"/>
        </w:rPr>
      </w:pPr>
      <w:r>
        <w:rPr>
          <w:rFonts w:ascii="Arial" w:hAnsi="Arial" w:eastAsia="宋体" w:cs="Arial"/>
        </w:rPr>
        <w:t>废水污染源强汇总</w:t>
      </w:r>
      <w:bookmarkEnd w:id="268"/>
    </w:p>
    <w:p w14:paraId="4CFEEC24">
      <w:pPr>
        <w:pStyle w:val="5"/>
        <w:spacing w:line="500" w:lineRule="exact"/>
        <w:ind w:firstLine="0"/>
        <w:outlineLvl w:val="3"/>
        <w:rPr>
          <w:b/>
        </w:rPr>
      </w:pPr>
      <w:r>
        <w:rPr>
          <w:b/>
        </w:rPr>
        <w:t>2.</w:t>
      </w:r>
      <w:r>
        <w:rPr>
          <w:rFonts w:hint="eastAsia"/>
          <w:b/>
        </w:rPr>
        <w:t>5</w:t>
      </w:r>
      <w:r>
        <w:rPr>
          <w:b/>
        </w:rPr>
        <w:t>.3.1项目变更前废水源强汇总</w:t>
      </w:r>
    </w:p>
    <w:p w14:paraId="6AB5FF1C">
      <w:pPr>
        <w:pStyle w:val="5"/>
        <w:spacing w:line="500" w:lineRule="exact"/>
        <w:ind w:firstLine="490" w:firstLineChars="200"/>
      </w:pPr>
      <w:r>
        <w:t>1、生产废水</w:t>
      </w:r>
    </w:p>
    <w:p w14:paraId="6308D3CD">
      <w:pPr>
        <w:pStyle w:val="5"/>
        <w:spacing w:line="500" w:lineRule="exact"/>
        <w:ind w:firstLine="490" w:firstLineChars="200"/>
      </w:pPr>
      <w:r>
        <w:rPr>
          <w:rFonts w:hint="eastAsia"/>
        </w:rPr>
        <w:t>X19车间镍豆镍粉处置线变更前无生产废水排放。依托的纯水站</w:t>
      </w:r>
      <w:r>
        <w:t>浓水与综合污水处理站处理后的废水一同排入厂区总排口，依托大榄坪污水处理厂排海管道排入A2排污区。</w:t>
      </w:r>
    </w:p>
    <w:p w14:paraId="64B23843">
      <w:pPr>
        <w:pStyle w:val="5"/>
        <w:keepNext/>
        <w:numPr>
          <w:ilvl w:val="0"/>
          <w:numId w:val="12"/>
        </w:numPr>
        <w:spacing w:line="480" w:lineRule="exact"/>
        <w:ind w:left="0" w:firstLine="0"/>
        <w:jc w:val="center"/>
        <w:outlineLvl w:val="4"/>
        <w:rPr>
          <w:b/>
        </w:rPr>
      </w:pPr>
      <w:r>
        <w:rPr>
          <w:b/>
        </w:rPr>
        <w:t>项目变更前生产废水排放表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92"/>
        <w:gridCol w:w="2502"/>
        <w:gridCol w:w="2092"/>
        <w:gridCol w:w="1702"/>
      </w:tblGrid>
      <w:tr w14:paraId="473A1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611" w:type="pct"/>
            <w:vAlign w:val="center"/>
          </w:tcPr>
          <w:p w14:paraId="2425458C">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废水类别</w:t>
            </w:r>
          </w:p>
        </w:tc>
        <w:tc>
          <w:tcPr>
            <w:tcW w:w="1347" w:type="pct"/>
            <w:vAlign w:val="center"/>
          </w:tcPr>
          <w:p w14:paraId="44E9D238">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1126" w:type="pct"/>
            <w:vAlign w:val="center"/>
          </w:tcPr>
          <w:p w14:paraId="59327753">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排放浓度mg/L</w:t>
            </w:r>
          </w:p>
        </w:tc>
        <w:tc>
          <w:tcPr>
            <w:tcW w:w="916" w:type="pct"/>
            <w:vAlign w:val="center"/>
          </w:tcPr>
          <w:p w14:paraId="001881D9">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排放量t/a</w:t>
            </w:r>
          </w:p>
        </w:tc>
      </w:tr>
      <w:tr w14:paraId="4118C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restart"/>
            <w:vAlign w:val="center"/>
          </w:tcPr>
          <w:p w14:paraId="1B391EE6">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4"/>
              </w:rPr>
              <w:t>纯水站供X</w:t>
            </w:r>
            <w:r>
              <w:rPr>
                <w:rFonts w:hint="eastAsia" w:ascii="Arial" w:hAnsi="Arial" w:eastAsia="宋体" w:cs="Arial"/>
                <w:sz w:val="21"/>
                <w:szCs w:val="24"/>
              </w:rPr>
              <w:t>19车间镍豆镍粉</w:t>
            </w:r>
            <w:r>
              <w:rPr>
                <w:rFonts w:ascii="Arial" w:hAnsi="Arial" w:eastAsia="宋体" w:cs="Arial"/>
                <w:sz w:val="21"/>
                <w:szCs w:val="24"/>
              </w:rPr>
              <w:t>处置线产生的浓水</w:t>
            </w:r>
          </w:p>
        </w:tc>
        <w:tc>
          <w:tcPr>
            <w:tcW w:w="1347" w:type="pct"/>
            <w:vAlign w:val="center"/>
          </w:tcPr>
          <w:p w14:paraId="796329AE">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1126" w:type="pct"/>
            <w:vAlign w:val="center"/>
          </w:tcPr>
          <w:p w14:paraId="6C42E707">
            <w:pPr>
              <w:adjustRightInd w:val="0"/>
              <w:snapToGrid w:val="0"/>
              <w:jc w:val="center"/>
              <w:rPr>
                <w:rFonts w:ascii="Arial" w:hAnsi="Arial" w:eastAsia="宋体" w:cs="Arial"/>
                <w:sz w:val="21"/>
                <w:szCs w:val="21"/>
              </w:rPr>
            </w:pPr>
            <w:r>
              <w:rPr>
                <w:rFonts w:ascii="Arial" w:hAnsi="Arial" w:cs="Arial"/>
                <w:sz w:val="21"/>
                <w:szCs w:val="21"/>
              </w:rPr>
              <w:t>/</w:t>
            </w:r>
          </w:p>
        </w:tc>
        <w:tc>
          <w:tcPr>
            <w:tcW w:w="916" w:type="pct"/>
            <w:vAlign w:val="center"/>
          </w:tcPr>
          <w:p w14:paraId="5DA5EA42">
            <w:pPr>
              <w:adjustRightInd w:val="0"/>
              <w:snapToGrid w:val="0"/>
              <w:jc w:val="center"/>
              <w:rPr>
                <w:rFonts w:ascii="Arial" w:hAnsi="Arial" w:eastAsia="宋体" w:cs="Arial"/>
                <w:sz w:val="21"/>
                <w:szCs w:val="21"/>
                <w:highlight w:val="yellow"/>
              </w:rPr>
            </w:pPr>
            <w:r>
              <w:rPr>
                <w:rFonts w:ascii="Arial" w:hAnsi="Arial" w:eastAsia="宋体" w:cs="Arial"/>
                <w:sz w:val="21"/>
                <w:szCs w:val="21"/>
              </w:rPr>
              <w:t>144767.7</w:t>
            </w:r>
          </w:p>
        </w:tc>
      </w:tr>
      <w:tr w14:paraId="40A3F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6E0D8063">
            <w:pPr>
              <w:topLinePunct/>
              <w:autoSpaceDE w:val="0"/>
              <w:autoSpaceDN w:val="0"/>
              <w:adjustRightInd w:val="0"/>
              <w:snapToGrid w:val="0"/>
              <w:jc w:val="center"/>
              <w:rPr>
                <w:rFonts w:ascii="Arial" w:hAnsi="Arial" w:eastAsia="宋体" w:cs="Arial"/>
                <w:sz w:val="21"/>
                <w:szCs w:val="24"/>
              </w:rPr>
            </w:pPr>
          </w:p>
        </w:tc>
        <w:tc>
          <w:tcPr>
            <w:tcW w:w="1347" w:type="pct"/>
            <w:vAlign w:val="center"/>
          </w:tcPr>
          <w:p w14:paraId="17034FBA">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1126" w:type="pct"/>
            <w:vAlign w:val="center"/>
          </w:tcPr>
          <w:p w14:paraId="75164C7D">
            <w:pPr>
              <w:adjustRightInd w:val="0"/>
              <w:snapToGrid w:val="0"/>
              <w:jc w:val="center"/>
              <w:rPr>
                <w:rFonts w:ascii="Arial" w:hAnsi="Arial" w:eastAsia="宋体" w:cs="Arial"/>
                <w:sz w:val="21"/>
                <w:szCs w:val="21"/>
              </w:rPr>
            </w:pPr>
            <w:r>
              <w:rPr>
                <w:rFonts w:ascii="Arial" w:hAnsi="Arial" w:eastAsia="宋体" w:cs="Arial"/>
                <w:sz w:val="21"/>
                <w:szCs w:val="21"/>
              </w:rPr>
              <w:t>200</w:t>
            </w:r>
          </w:p>
        </w:tc>
        <w:tc>
          <w:tcPr>
            <w:tcW w:w="916" w:type="pct"/>
            <w:vAlign w:val="center"/>
          </w:tcPr>
          <w:p w14:paraId="738140E8">
            <w:pPr>
              <w:adjustRightInd w:val="0"/>
              <w:snapToGrid w:val="0"/>
              <w:jc w:val="center"/>
              <w:rPr>
                <w:rFonts w:ascii="Arial" w:hAnsi="Arial" w:eastAsia="宋体" w:cs="Arial"/>
                <w:sz w:val="21"/>
                <w:szCs w:val="21"/>
              </w:rPr>
            </w:pPr>
            <w:r>
              <w:rPr>
                <w:rFonts w:hint="eastAsia" w:ascii="Arial" w:hAnsi="Arial" w:eastAsia="宋体" w:cs="Arial"/>
                <w:sz w:val="21"/>
                <w:szCs w:val="21"/>
              </w:rPr>
              <w:t>28.9535</w:t>
            </w:r>
          </w:p>
        </w:tc>
      </w:tr>
      <w:tr w14:paraId="60D36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6DDCEB58">
            <w:pPr>
              <w:topLinePunct/>
              <w:autoSpaceDE w:val="0"/>
              <w:autoSpaceDN w:val="0"/>
              <w:adjustRightInd w:val="0"/>
              <w:snapToGrid w:val="0"/>
              <w:jc w:val="center"/>
              <w:rPr>
                <w:rFonts w:ascii="Arial" w:hAnsi="Arial" w:eastAsia="宋体" w:cs="Arial"/>
                <w:sz w:val="21"/>
                <w:szCs w:val="24"/>
              </w:rPr>
            </w:pPr>
          </w:p>
        </w:tc>
        <w:tc>
          <w:tcPr>
            <w:tcW w:w="1347" w:type="pct"/>
            <w:vAlign w:val="center"/>
          </w:tcPr>
          <w:p w14:paraId="4F3D8C19">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1126" w:type="pct"/>
            <w:vAlign w:val="center"/>
          </w:tcPr>
          <w:p w14:paraId="0734821D">
            <w:pPr>
              <w:adjustRightInd w:val="0"/>
              <w:snapToGrid w:val="0"/>
              <w:jc w:val="center"/>
              <w:rPr>
                <w:rFonts w:ascii="Arial" w:hAnsi="Arial" w:eastAsia="宋体" w:cs="Arial"/>
                <w:sz w:val="21"/>
                <w:szCs w:val="21"/>
              </w:rPr>
            </w:pPr>
            <w:r>
              <w:rPr>
                <w:rFonts w:ascii="Arial" w:hAnsi="Arial" w:eastAsia="宋体" w:cs="Arial"/>
                <w:sz w:val="21"/>
                <w:szCs w:val="21"/>
              </w:rPr>
              <w:t>60</w:t>
            </w:r>
          </w:p>
        </w:tc>
        <w:tc>
          <w:tcPr>
            <w:tcW w:w="916" w:type="pct"/>
            <w:vAlign w:val="center"/>
          </w:tcPr>
          <w:p w14:paraId="04703CA6">
            <w:pPr>
              <w:adjustRightInd w:val="0"/>
              <w:snapToGrid w:val="0"/>
              <w:jc w:val="center"/>
              <w:rPr>
                <w:rFonts w:ascii="Arial" w:hAnsi="Arial" w:eastAsia="宋体" w:cs="Arial"/>
                <w:sz w:val="21"/>
                <w:szCs w:val="21"/>
              </w:rPr>
            </w:pPr>
            <w:r>
              <w:rPr>
                <w:rFonts w:hint="eastAsia" w:ascii="Arial" w:hAnsi="Arial" w:eastAsia="宋体" w:cs="Arial"/>
                <w:sz w:val="21"/>
                <w:szCs w:val="21"/>
              </w:rPr>
              <w:t>8.6861</w:t>
            </w:r>
          </w:p>
        </w:tc>
      </w:tr>
      <w:tr w14:paraId="7E197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288707E6">
            <w:pPr>
              <w:topLinePunct/>
              <w:autoSpaceDE w:val="0"/>
              <w:autoSpaceDN w:val="0"/>
              <w:adjustRightInd w:val="0"/>
              <w:snapToGrid w:val="0"/>
              <w:jc w:val="center"/>
              <w:rPr>
                <w:rFonts w:ascii="Arial" w:hAnsi="Arial" w:eastAsia="宋体" w:cs="Arial"/>
                <w:sz w:val="21"/>
                <w:szCs w:val="24"/>
              </w:rPr>
            </w:pPr>
          </w:p>
        </w:tc>
        <w:tc>
          <w:tcPr>
            <w:tcW w:w="1347" w:type="pct"/>
            <w:vAlign w:val="center"/>
          </w:tcPr>
          <w:p w14:paraId="5F46C850">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1126" w:type="pct"/>
            <w:vAlign w:val="center"/>
          </w:tcPr>
          <w:p w14:paraId="397F8306">
            <w:pPr>
              <w:adjustRightInd w:val="0"/>
              <w:snapToGrid w:val="0"/>
              <w:jc w:val="center"/>
              <w:rPr>
                <w:rFonts w:ascii="Arial" w:hAnsi="Arial" w:eastAsia="宋体" w:cs="Arial"/>
                <w:sz w:val="21"/>
                <w:szCs w:val="21"/>
              </w:rPr>
            </w:pPr>
            <w:r>
              <w:rPr>
                <w:rFonts w:ascii="Arial" w:hAnsi="Arial" w:eastAsia="宋体" w:cs="Arial"/>
                <w:sz w:val="21"/>
                <w:szCs w:val="21"/>
              </w:rPr>
              <w:t>260</w:t>
            </w:r>
          </w:p>
        </w:tc>
        <w:tc>
          <w:tcPr>
            <w:tcW w:w="916" w:type="pct"/>
            <w:vAlign w:val="center"/>
          </w:tcPr>
          <w:p w14:paraId="6BD24E79">
            <w:pPr>
              <w:adjustRightInd w:val="0"/>
              <w:snapToGrid w:val="0"/>
              <w:jc w:val="center"/>
              <w:rPr>
                <w:rFonts w:ascii="Arial" w:hAnsi="Arial" w:cs="Arial"/>
                <w:sz w:val="21"/>
                <w:szCs w:val="21"/>
              </w:rPr>
            </w:pPr>
            <w:r>
              <w:rPr>
                <w:rFonts w:hint="eastAsia" w:ascii="Arial" w:hAnsi="Arial" w:cs="Arial"/>
                <w:sz w:val="21"/>
                <w:szCs w:val="21"/>
              </w:rPr>
              <w:t>37.6396</w:t>
            </w:r>
          </w:p>
        </w:tc>
      </w:tr>
    </w:tbl>
    <w:p w14:paraId="32996944">
      <w:pPr>
        <w:pStyle w:val="5"/>
        <w:spacing w:line="500" w:lineRule="exact"/>
        <w:ind w:firstLine="490" w:firstLineChars="200"/>
      </w:pPr>
      <w:r>
        <w:t>2、生活污水</w:t>
      </w:r>
    </w:p>
    <w:p w14:paraId="42681FA8">
      <w:pPr>
        <w:pStyle w:val="5"/>
        <w:spacing w:line="500" w:lineRule="exact"/>
        <w:ind w:firstLine="490" w:firstLineChars="200"/>
      </w:pPr>
      <w:r>
        <w:t>生活污水经地埋式三级化粪池处理后排入园区污水管道，排向大榄坪污水处理厂处理。</w:t>
      </w:r>
    </w:p>
    <w:p w14:paraId="2F935496">
      <w:pPr>
        <w:pStyle w:val="5"/>
        <w:keepNext/>
        <w:numPr>
          <w:ilvl w:val="0"/>
          <w:numId w:val="12"/>
        </w:numPr>
        <w:spacing w:line="480" w:lineRule="exact"/>
        <w:ind w:left="0" w:firstLine="0"/>
        <w:jc w:val="center"/>
        <w:outlineLvl w:val="4"/>
        <w:rPr>
          <w:b/>
        </w:rPr>
      </w:pPr>
      <w:r>
        <w:rPr>
          <w:b/>
        </w:rPr>
        <w:t>项目变更前生活污水排放表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8"/>
        <w:gridCol w:w="4237"/>
        <w:gridCol w:w="3273"/>
      </w:tblGrid>
      <w:tr w14:paraId="0184A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pct"/>
            <w:shd w:val="clear" w:color="auto" w:fill="auto"/>
            <w:vAlign w:val="center"/>
          </w:tcPr>
          <w:p w14:paraId="4220CF31">
            <w:pPr>
              <w:pStyle w:val="5"/>
              <w:adjustRightInd w:val="0"/>
              <w:snapToGrid w:val="0"/>
              <w:spacing w:line="240" w:lineRule="auto"/>
              <w:ind w:firstLine="0"/>
              <w:jc w:val="center"/>
              <w:rPr>
                <w:sz w:val="21"/>
              </w:rPr>
            </w:pPr>
            <w:r>
              <w:rPr>
                <w:sz w:val="21"/>
              </w:rPr>
              <w:t>项目</w:t>
            </w:r>
          </w:p>
        </w:tc>
        <w:tc>
          <w:tcPr>
            <w:tcW w:w="2281" w:type="pct"/>
            <w:shd w:val="clear" w:color="auto" w:fill="auto"/>
            <w:vAlign w:val="center"/>
          </w:tcPr>
          <w:p w14:paraId="7FB95653">
            <w:pPr>
              <w:pStyle w:val="5"/>
              <w:adjustRightInd w:val="0"/>
              <w:snapToGrid w:val="0"/>
              <w:spacing w:line="240" w:lineRule="auto"/>
              <w:ind w:firstLine="0"/>
              <w:jc w:val="center"/>
              <w:rPr>
                <w:sz w:val="21"/>
              </w:rPr>
            </w:pPr>
            <w:r>
              <w:rPr>
                <w:sz w:val="21"/>
              </w:rPr>
              <w:t>排放浓度（mg/L）</w:t>
            </w:r>
          </w:p>
        </w:tc>
        <w:tc>
          <w:tcPr>
            <w:tcW w:w="1762" w:type="pct"/>
            <w:shd w:val="clear" w:color="auto" w:fill="auto"/>
            <w:vAlign w:val="center"/>
          </w:tcPr>
          <w:p w14:paraId="0431B1F5">
            <w:pPr>
              <w:pStyle w:val="5"/>
              <w:adjustRightInd w:val="0"/>
              <w:snapToGrid w:val="0"/>
              <w:spacing w:line="240" w:lineRule="auto"/>
              <w:ind w:firstLine="0"/>
              <w:jc w:val="center"/>
              <w:rPr>
                <w:sz w:val="21"/>
              </w:rPr>
            </w:pPr>
            <w:r>
              <w:rPr>
                <w:sz w:val="21"/>
              </w:rPr>
              <w:t>排放量（t/a）</w:t>
            </w:r>
          </w:p>
        </w:tc>
      </w:tr>
      <w:tr w14:paraId="73C46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pct"/>
            <w:shd w:val="clear" w:color="auto" w:fill="auto"/>
            <w:vAlign w:val="center"/>
          </w:tcPr>
          <w:p w14:paraId="58AB5BF2">
            <w:pPr>
              <w:pStyle w:val="5"/>
              <w:adjustRightInd w:val="0"/>
              <w:snapToGrid w:val="0"/>
              <w:spacing w:line="240" w:lineRule="auto"/>
              <w:ind w:firstLine="0"/>
              <w:jc w:val="center"/>
              <w:rPr>
                <w:sz w:val="21"/>
              </w:rPr>
            </w:pPr>
            <w:r>
              <w:rPr>
                <w:sz w:val="21"/>
              </w:rPr>
              <w:t>水量</w:t>
            </w:r>
          </w:p>
        </w:tc>
        <w:tc>
          <w:tcPr>
            <w:tcW w:w="2281" w:type="pct"/>
            <w:shd w:val="clear" w:color="auto" w:fill="auto"/>
            <w:vAlign w:val="center"/>
          </w:tcPr>
          <w:p w14:paraId="40F32F01">
            <w:pPr>
              <w:pStyle w:val="5"/>
              <w:adjustRightInd w:val="0"/>
              <w:snapToGrid w:val="0"/>
              <w:spacing w:line="240" w:lineRule="auto"/>
              <w:ind w:firstLine="0"/>
              <w:jc w:val="center"/>
              <w:rPr>
                <w:sz w:val="21"/>
              </w:rPr>
            </w:pPr>
            <w:r>
              <w:rPr>
                <w:sz w:val="21"/>
              </w:rPr>
              <w:t>/</w:t>
            </w:r>
          </w:p>
        </w:tc>
        <w:tc>
          <w:tcPr>
            <w:tcW w:w="1762" w:type="pct"/>
            <w:shd w:val="clear" w:color="auto" w:fill="auto"/>
            <w:vAlign w:val="center"/>
          </w:tcPr>
          <w:p w14:paraId="4C5F015E">
            <w:pPr>
              <w:pStyle w:val="5"/>
              <w:adjustRightInd w:val="0"/>
              <w:snapToGrid w:val="0"/>
              <w:spacing w:line="240" w:lineRule="auto"/>
              <w:ind w:firstLine="0"/>
              <w:jc w:val="center"/>
              <w:rPr>
                <w:sz w:val="21"/>
              </w:rPr>
            </w:pPr>
            <w:r>
              <w:rPr>
                <w:rFonts w:hint="eastAsia"/>
                <w:sz w:val="21"/>
              </w:rPr>
              <w:t>1584</w:t>
            </w:r>
          </w:p>
        </w:tc>
      </w:tr>
      <w:tr w14:paraId="44072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pct"/>
            <w:shd w:val="clear" w:color="auto" w:fill="auto"/>
            <w:vAlign w:val="center"/>
          </w:tcPr>
          <w:p w14:paraId="4FFD92B9">
            <w:pPr>
              <w:pStyle w:val="5"/>
              <w:adjustRightInd w:val="0"/>
              <w:snapToGrid w:val="0"/>
              <w:spacing w:line="240" w:lineRule="auto"/>
              <w:ind w:firstLine="0"/>
              <w:jc w:val="center"/>
              <w:rPr>
                <w:sz w:val="21"/>
              </w:rPr>
            </w:pPr>
            <w:r>
              <w:rPr>
                <w:sz w:val="21"/>
              </w:rPr>
              <w:t>COD</w:t>
            </w:r>
          </w:p>
        </w:tc>
        <w:tc>
          <w:tcPr>
            <w:tcW w:w="2281" w:type="pct"/>
            <w:shd w:val="clear" w:color="auto" w:fill="auto"/>
            <w:vAlign w:val="center"/>
          </w:tcPr>
          <w:p w14:paraId="4DF2AB6F">
            <w:pPr>
              <w:pStyle w:val="5"/>
              <w:adjustRightInd w:val="0"/>
              <w:snapToGrid w:val="0"/>
              <w:spacing w:line="240" w:lineRule="auto"/>
              <w:ind w:firstLine="0"/>
              <w:jc w:val="center"/>
              <w:rPr>
                <w:sz w:val="21"/>
              </w:rPr>
            </w:pPr>
            <w:r>
              <w:rPr>
                <w:sz w:val="21"/>
              </w:rPr>
              <w:t>200</w:t>
            </w:r>
          </w:p>
        </w:tc>
        <w:tc>
          <w:tcPr>
            <w:tcW w:w="1762" w:type="pct"/>
            <w:shd w:val="clear" w:color="auto" w:fill="auto"/>
            <w:vAlign w:val="center"/>
          </w:tcPr>
          <w:p w14:paraId="71A78E33">
            <w:pPr>
              <w:pStyle w:val="5"/>
              <w:adjustRightInd w:val="0"/>
              <w:snapToGrid w:val="0"/>
              <w:spacing w:line="240" w:lineRule="auto"/>
              <w:ind w:firstLine="0"/>
              <w:jc w:val="center"/>
              <w:rPr>
                <w:sz w:val="21"/>
              </w:rPr>
            </w:pPr>
            <w:r>
              <w:rPr>
                <w:rFonts w:hint="eastAsia"/>
                <w:sz w:val="21"/>
              </w:rPr>
              <w:t>0.317</w:t>
            </w:r>
          </w:p>
        </w:tc>
      </w:tr>
      <w:tr w14:paraId="62368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pct"/>
            <w:shd w:val="clear" w:color="auto" w:fill="auto"/>
            <w:vAlign w:val="center"/>
          </w:tcPr>
          <w:p w14:paraId="60BBD3D7">
            <w:pPr>
              <w:pStyle w:val="5"/>
              <w:adjustRightInd w:val="0"/>
              <w:snapToGrid w:val="0"/>
              <w:spacing w:line="240" w:lineRule="auto"/>
              <w:ind w:firstLine="0"/>
              <w:jc w:val="center"/>
              <w:rPr>
                <w:sz w:val="21"/>
              </w:rPr>
            </w:pPr>
            <w:r>
              <w:rPr>
                <w:sz w:val="21"/>
              </w:rPr>
              <w:t>BOD</w:t>
            </w:r>
          </w:p>
        </w:tc>
        <w:tc>
          <w:tcPr>
            <w:tcW w:w="2281" w:type="pct"/>
            <w:shd w:val="clear" w:color="auto" w:fill="auto"/>
            <w:vAlign w:val="center"/>
          </w:tcPr>
          <w:p w14:paraId="20BAC037">
            <w:pPr>
              <w:pStyle w:val="5"/>
              <w:adjustRightInd w:val="0"/>
              <w:snapToGrid w:val="0"/>
              <w:spacing w:line="240" w:lineRule="auto"/>
              <w:ind w:firstLine="0"/>
              <w:jc w:val="center"/>
              <w:rPr>
                <w:sz w:val="21"/>
              </w:rPr>
            </w:pPr>
            <w:r>
              <w:rPr>
                <w:sz w:val="21"/>
              </w:rPr>
              <w:t>80</w:t>
            </w:r>
          </w:p>
        </w:tc>
        <w:tc>
          <w:tcPr>
            <w:tcW w:w="1762" w:type="pct"/>
            <w:shd w:val="clear" w:color="auto" w:fill="auto"/>
            <w:vAlign w:val="center"/>
          </w:tcPr>
          <w:p w14:paraId="376CC10B">
            <w:pPr>
              <w:pStyle w:val="5"/>
              <w:adjustRightInd w:val="0"/>
              <w:snapToGrid w:val="0"/>
              <w:spacing w:line="240" w:lineRule="auto"/>
              <w:ind w:firstLine="0"/>
              <w:jc w:val="center"/>
              <w:rPr>
                <w:sz w:val="21"/>
              </w:rPr>
            </w:pPr>
            <w:r>
              <w:rPr>
                <w:rFonts w:hint="eastAsia"/>
                <w:sz w:val="21"/>
              </w:rPr>
              <w:t>0.127</w:t>
            </w:r>
          </w:p>
        </w:tc>
      </w:tr>
      <w:tr w14:paraId="24EA8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pct"/>
            <w:shd w:val="clear" w:color="auto" w:fill="auto"/>
            <w:vAlign w:val="center"/>
          </w:tcPr>
          <w:p w14:paraId="61B04BFE">
            <w:pPr>
              <w:pStyle w:val="5"/>
              <w:adjustRightInd w:val="0"/>
              <w:snapToGrid w:val="0"/>
              <w:spacing w:line="240" w:lineRule="auto"/>
              <w:ind w:firstLine="0"/>
              <w:jc w:val="center"/>
              <w:rPr>
                <w:sz w:val="21"/>
              </w:rPr>
            </w:pPr>
            <w:r>
              <w:rPr>
                <w:sz w:val="21"/>
              </w:rPr>
              <w:t>NH</w:t>
            </w:r>
            <w:r>
              <w:rPr>
                <w:sz w:val="21"/>
                <w:vertAlign w:val="subscript"/>
              </w:rPr>
              <w:t>3</w:t>
            </w:r>
            <w:r>
              <w:rPr>
                <w:sz w:val="21"/>
              </w:rPr>
              <w:t>-N</w:t>
            </w:r>
          </w:p>
        </w:tc>
        <w:tc>
          <w:tcPr>
            <w:tcW w:w="2281" w:type="pct"/>
            <w:shd w:val="clear" w:color="auto" w:fill="auto"/>
            <w:vAlign w:val="center"/>
          </w:tcPr>
          <w:p w14:paraId="43604510">
            <w:pPr>
              <w:pStyle w:val="5"/>
              <w:adjustRightInd w:val="0"/>
              <w:snapToGrid w:val="0"/>
              <w:spacing w:line="240" w:lineRule="auto"/>
              <w:ind w:firstLine="0"/>
              <w:jc w:val="center"/>
              <w:rPr>
                <w:sz w:val="21"/>
              </w:rPr>
            </w:pPr>
            <w:r>
              <w:rPr>
                <w:sz w:val="21"/>
              </w:rPr>
              <w:t>28.3</w:t>
            </w:r>
          </w:p>
        </w:tc>
        <w:tc>
          <w:tcPr>
            <w:tcW w:w="1762" w:type="pct"/>
            <w:shd w:val="clear" w:color="auto" w:fill="auto"/>
            <w:vAlign w:val="center"/>
          </w:tcPr>
          <w:p w14:paraId="5F463EF8">
            <w:pPr>
              <w:pStyle w:val="5"/>
              <w:adjustRightInd w:val="0"/>
              <w:snapToGrid w:val="0"/>
              <w:spacing w:line="240" w:lineRule="auto"/>
              <w:ind w:firstLine="0"/>
              <w:jc w:val="center"/>
              <w:rPr>
                <w:sz w:val="21"/>
              </w:rPr>
            </w:pPr>
            <w:r>
              <w:rPr>
                <w:rFonts w:hint="eastAsia"/>
                <w:sz w:val="21"/>
              </w:rPr>
              <w:t>0.045</w:t>
            </w:r>
          </w:p>
        </w:tc>
      </w:tr>
    </w:tbl>
    <w:p w14:paraId="54448CCC">
      <w:pPr>
        <w:pStyle w:val="5"/>
        <w:spacing w:line="500" w:lineRule="exact"/>
        <w:ind w:firstLine="0"/>
        <w:outlineLvl w:val="3"/>
        <w:rPr>
          <w:b/>
        </w:rPr>
      </w:pPr>
      <w:r>
        <w:rPr>
          <w:b/>
        </w:rPr>
        <w:t>2.</w:t>
      </w:r>
      <w:r>
        <w:rPr>
          <w:rFonts w:hint="eastAsia"/>
          <w:b/>
        </w:rPr>
        <w:t>5</w:t>
      </w:r>
      <w:r>
        <w:rPr>
          <w:b/>
        </w:rPr>
        <w:t>.3.2项目变更后废水源强汇总</w:t>
      </w:r>
    </w:p>
    <w:p w14:paraId="64DA5702">
      <w:pPr>
        <w:pStyle w:val="5"/>
        <w:spacing w:line="500" w:lineRule="exact"/>
        <w:ind w:firstLine="490" w:firstLineChars="200"/>
      </w:pPr>
      <w:r>
        <w:t>1、生产线废水</w:t>
      </w:r>
    </w:p>
    <w:p w14:paraId="2748CCF5">
      <w:pPr>
        <w:pStyle w:val="5"/>
        <w:spacing w:line="500" w:lineRule="exact"/>
        <w:ind w:firstLine="490" w:firstLineChars="200"/>
      </w:pPr>
      <w:r>
        <w:t>羟基钴生产线</w:t>
      </w:r>
      <w:r>
        <w:rPr>
          <w:rFonts w:hint="eastAsia"/>
        </w:rPr>
        <w:t>生产废水在X19车间经板框压滤预处理后，通过管道泵入S7污水处理车间，经脱氨、陶瓷膜过滤处理后，通过管道泵入S8、S9污水处理车间，经4#~12#MVR处理，MVR处理后的开路母液通过管道泵入厂区综合污水处理站，经臭氧催化氧化处理后排入废水总排口</w:t>
      </w:r>
      <w:r>
        <w:t>，依托大榄坪污水处理厂排海管道排入A2排污区。</w:t>
      </w:r>
    </w:p>
    <w:p w14:paraId="2EEB95B1">
      <w:pPr>
        <w:pStyle w:val="5"/>
        <w:keepNext/>
        <w:numPr>
          <w:ilvl w:val="0"/>
          <w:numId w:val="12"/>
        </w:numPr>
        <w:spacing w:line="480" w:lineRule="exact"/>
        <w:ind w:left="0" w:firstLine="0"/>
        <w:jc w:val="center"/>
        <w:outlineLvl w:val="4"/>
        <w:rPr>
          <w:b/>
        </w:rPr>
      </w:pPr>
      <w:r>
        <w:rPr>
          <w:b/>
        </w:rPr>
        <w:t>项目变更后生产废水排放表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92"/>
        <w:gridCol w:w="2502"/>
        <w:gridCol w:w="2092"/>
        <w:gridCol w:w="1702"/>
      </w:tblGrid>
      <w:tr w14:paraId="4FDAD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611" w:type="pct"/>
            <w:vAlign w:val="center"/>
          </w:tcPr>
          <w:p w14:paraId="1EDA741B">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废水类别</w:t>
            </w:r>
          </w:p>
        </w:tc>
        <w:tc>
          <w:tcPr>
            <w:tcW w:w="1347" w:type="pct"/>
            <w:vAlign w:val="center"/>
          </w:tcPr>
          <w:p w14:paraId="3DA4EA41">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1126" w:type="pct"/>
            <w:vAlign w:val="center"/>
          </w:tcPr>
          <w:p w14:paraId="7ABB8D29">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排放浓度mg/L</w:t>
            </w:r>
          </w:p>
        </w:tc>
        <w:tc>
          <w:tcPr>
            <w:tcW w:w="916" w:type="pct"/>
            <w:vAlign w:val="center"/>
          </w:tcPr>
          <w:p w14:paraId="08235E07">
            <w:pPr>
              <w:topLinePunct/>
              <w:autoSpaceDE w:val="0"/>
              <w:autoSpaceDN w:val="0"/>
              <w:adjustRightInd w:val="0"/>
              <w:snapToGrid w:val="0"/>
              <w:jc w:val="center"/>
              <w:rPr>
                <w:rFonts w:ascii="Arial" w:hAnsi="Arial" w:eastAsia="宋体" w:cs="Arial"/>
                <w:b/>
                <w:sz w:val="21"/>
                <w:szCs w:val="21"/>
              </w:rPr>
            </w:pPr>
            <w:r>
              <w:rPr>
                <w:rFonts w:ascii="Arial" w:hAnsi="Arial" w:eastAsia="宋体" w:cs="Arial"/>
                <w:b/>
                <w:sz w:val="21"/>
                <w:szCs w:val="21"/>
              </w:rPr>
              <w:t>排放量t/a</w:t>
            </w:r>
          </w:p>
        </w:tc>
      </w:tr>
      <w:tr w14:paraId="18704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restart"/>
            <w:vAlign w:val="center"/>
          </w:tcPr>
          <w:p w14:paraId="1978395B">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羟基钴</w:t>
            </w:r>
            <w:r>
              <w:rPr>
                <w:rFonts w:ascii="Arial" w:hAnsi="Arial" w:eastAsia="宋体" w:cs="Arial"/>
                <w:sz w:val="21"/>
                <w:szCs w:val="24"/>
              </w:rPr>
              <w:t>生产线</w:t>
            </w:r>
            <w:r>
              <w:rPr>
                <w:rFonts w:hint="eastAsia" w:ascii="Arial" w:hAnsi="Arial" w:eastAsia="宋体" w:cs="Arial"/>
                <w:sz w:val="21"/>
                <w:szCs w:val="24"/>
              </w:rPr>
              <w:t>生产</w:t>
            </w:r>
            <w:r>
              <w:rPr>
                <w:rFonts w:ascii="Arial" w:hAnsi="Arial" w:eastAsia="宋体" w:cs="Arial"/>
                <w:sz w:val="21"/>
                <w:szCs w:val="24"/>
              </w:rPr>
              <w:t>废水MVR开路母液</w:t>
            </w:r>
          </w:p>
        </w:tc>
        <w:tc>
          <w:tcPr>
            <w:tcW w:w="1347" w:type="pct"/>
            <w:vAlign w:val="center"/>
          </w:tcPr>
          <w:p w14:paraId="343D1DA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废水量</w:t>
            </w:r>
          </w:p>
        </w:tc>
        <w:tc>
          <w:tcPr>
            <w:tcW w:w="1126" w:type="pct"/>
            <w:vAlign w:val="center"/>
          </w:tcPr>
          <w:p w14:paraId="27A7F925">
            <w:pPr>
              <w:adjustRightInd w:val="0"/>
              <w:snapToGrid w:val="0"/>
              <w:jc w:val="center"/>
              <w:rPr>
                <w:rFonts w:ascii="Arial" w:hAnsi="Arial" w:eastAsia="宋体" w:cs="Arial"/>
                <w:sz w:val="21"/>
                <w:szCs w:val="21"/>
              </w:rPr>
            </w:pPr>
            <w:r>
              <w:rPr>
                <w:rFonts w:ascii="Arial" w:hAnsi="Arial" w:cs="Arial"/>
                <w:sz w:val="21"/>
                <w:szCs w:val="21"/>
              </w:rPr>
              <w:t>/</w:t>
            </w:r>
          </w:p>
        </w:tc>
        <w:tc>
          <w:tcPr>
            <w:tcW w:w="916" w:type="pct"/>
            <w:vAlign w:val="center"/>
          </w:tcPr>
          <w:p w14:paraId="720DD9FA">
            <w:pPr>
              <w:adjustRightInd w:val="0"/>
              <w:snapToGrid w:val="0"/>
              <w:jc w:val="center"/>
              <w:rPr>
                <w:rFonts w:ascii="Arial" w:hAnsi="Arial" w:eastAsia="宋体" w:cs="Arial"/>
                <w:sz w:val="21"/>
                <w:szCs w:val="21"/>
              </w:rPr>
            </w:pPr>
            <w:r>
              <w:rPr>
                <w:rFonts w:hint="eastAsia" w:ascii="Arial" w:hAnsi="Arial" w:eastAsia="宋体" w:cs="Arial"/>
                <w:sz w:val="21"/>
                <w:szCs w:val="21"/>
              </w:rPr>
              <w:t>4690</w:t>
            </w:r>
          </w:p>
        </w:tc>
      </w:tr>
      <w:tr w14:paraId="78DE8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277A6FFE">
            <w:pPr>
              <w:topLinePunct/>
              <w:autoSpaceDE w:val="0"/>
              <w:autoSpaceDN w:val="0"/>
              <w:adjustRightInd w:val="0"/>
              <w:snapToGrid w:val="0"/>
              <w:jc w:val="center"/>
              <w:rPr>
                <w:rFonts w:ascii="Arial" w:hAnsi="Arial" w:eastAsia="宋体" w:cs="Arial"/>
                <w:sz w:val="21"/>
                <w:szCs w:val="21"/>
              </w:rPr>
            </w:pPr>
          </w:p>
        </w:tc>
        <w:tc>
          <w:tcPr>
            <w:tcW w:w="1347" w:type="pct"/>
            <w:vAlign w:val="center"/>
          </w:tcPr>
          <w:p w14:paraId="1F273DF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COD</w:t>
            </w:r>
          </w:p>
        </w:tc>
        <w:tc>
          <w:tcPr>
            <w:tcW w:w="1126" w:type="pct"/>
            <w:vAlign w:val="center"/>
          </w:tcPr>
          <w:p w14:paraId="3F7FF1C9">
            <w:pPr>
              <w:adjustRightInd w:val="0"/>
              <w:snapToGrid w:val="0"/>
              <w:jc w:val="center"/>
              <w:rPr>
                <w:rFonts w:ascii="Arial" w:hAnsi="Arial" w:eastAsia="宋体" w:cs="Arial"/>
                <w:sz w:val="21"/>
                <w:szCs w:val="21"/>
              </w:rPr>
            </w:pPr>
            <w:r>
              <w:rPr>
                <w:rFonts w:ascii="Arial" w:hAnsi="Arial" w:eastAsia="宋体" w:cs="Arial"/>
                <w:sz w:val="21"/>
                <w:szCs w:val="21"/>
              </w:rPr>
              <w:t>38.5</w:t>
            </w:r>
          </w:p>
        </w:tc>
        <w:tc>
          <w:tcPr>
            <w:tcW w:w="916" w:type="pct"/>
            <w:vAlign w:val="center"/>
          </w:tcPr>
          <w:p w14:paraId="2A6B7E71">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r>
      <w:tr w14:paraId="75F42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0BFD1F70">
            <w:pPr>
              <w:topLinePunct/>
              <w:autoSpaceDE w:val="0"/>
              <w:autoSpaceDN w:val="0"/>
              <w:adjustRightInd w:val="0"/>
              <w:snapToGrid w:val="0"/>
              <w:jc w:val="center"/>
              <w:rPr>
                <w:rFonts w:ascii="Arial" w:hAnsi="Arial" w:eastAsia="宋体" w:cs="Arial"/>
                <w:sz w:val="21"/>
                <w:szCs w:val="21"/>
              </w:rPr>
            </w:pPr>
          </w:p>
        </w:tc>
        <w:tc>
          <w:tcPr>
            <w:tcW w:w="1347" w:type="pct"/>
            <w:vAlign w:val="center"/>
          </w:tcPr>
          <w:p w14:paraId="08ABB4F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氨氮</w:t>
            </w:r>
          </w:p>
        </w:tc>
        <w:tc>
          <w:tcPr>
            <w:tcW w:w="1126" w:type="pct"/>
            <w:vAlign w:val="center"/>
          </w:tcPr>
          <w:p w14:paraId="3E4A9185">
            <w:pPr>
              <w:adjustRightInd w:val="0"/>
              <w:snapToGrid w:val="0"/>
              <w:jc w:val="center"/>
              <w:rPr>
                <w:rFonts w:ascii="Arial" w:hAnsi="Arial" w:eastAsia="宋体" w:cs="Arial"/>
                <w:sz w:val="21"/>
                <w:szCs w:val="21"/>
              </w:rPr>
            </w:pPr>
            <w:r>
              <w:rPr>
                <w:rFonts w:ascii="Arial" w:hAnsi="Arial" w:eastAsia="宋体" w:cs="Arial"/>
                <w:sz w:val="21"/>
                <w:szCs w:val="21"/>
              </w:rPr>
              <w:t>5.3</w:t>
            </w:r>
          </w:p>
        </w:tc>
        <w:tc>
          <w:tcPr>
            <w:tcW w:w="916" w:type="pct"/>
            <w:vAlign w:val="center"/>
          </w:tcPr>
          <w:p w14:paraId="4DBD65B8">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r>
      <w:tr w14:paraId="68E5A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3342DBCE">
            <w:pPr>
              <w:topLinePunct/>
              <w:autoSpaceDE w:val="0"/>
              <w:autoSpaceDN w:val="0"/>
              <w:adjustRightInd w:val="0"/>
              <w:snapToGrid w:val="0"/>
              <w:jc w:val="center"/>
              <w:rPr>
                <w:rFonts w:ascii="Arial" w:hAnsi="Arial" w:eastAsia="宋体" w:cs="Arial"/>
                <w:sz w:val="21"/>
                <w:szCs w:val="21"/>
              </w:rPr>
            </w:pPr>
          </w:p>
        </w:tc>
        <w:tc>
          <w:tcPr>
            <w:tcW w:w="1347" w:type="pct"/>
            <w:vAlign w:val="center"/>
          </w:tcPr>
          <w:p w14:paraId="26F73BB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硫酸盐</w:t>
            </w:r>
          </w:p>
        </w:tc>
        <w:tc>
          <w:tcPr>
            <w:tcW w:w="1126" w:type="pct"/>
            <w:vAlign w:val="center"/>
          </w:tcPr>
          <w:p w14:paraId="75B99E35">
            <w:pPr>
              <w:adjustRightInd w:val="0"/>
              <w:snapToGrid w:val="0"/>
              <w:jc w:val="center"/>
              <w:rPr>
                <w:rFonts w:ascii="Arial" w:hAnsi="Arial" w:eastAsia="宋体" w:cs="Arial"/>
                <w:sz w:val="21"/>
                <w:szCs w:val="21"/>
              </w:rPr>
            </w:pPr>
            <w:r>
              <w:rPr>
                <w:rFonts w:hint="eastAsia" w:ascii="Arial" w:hAnsi="Arial" w:eastAsia="宋体" w:cs="Arial"/>
                <w:sz w:val="21"/>
                <w:szCs w:val="21"/>
              </w:rPr>
              <w:t>18360</w:t>
            </w:r>
          </w:p>
        </w:tc>
        <w:tc>
          <w:tcPr>
            <w:tcW w:w="916" w:type="pct"/>
            <w:vAlign w:val="center"/>
          </w:tcPr>
          <w:p w14:paraId="6CF75E33">
            <w:pPr>
              <w:adjustRightInd w:val="0"/>
              <w:snapToGrid w:val="0"/>
              <w:jc w:val="center"/>
              <w:rPr>
                <w:rFonts w:ascii="Arial" w:hAnsi="Arial" w:eastAsia="宋体" w:cs="Arial"/>
                <w:sz w:val="21"/>
                <w:szCs w:val="21"/>
              </w:rPr>
            </w:pPr>
            <w:r>
              <w:rPr>
                <w:rFonts w:hint="eastAsia" w:ascii="Arial" w:hAnsi="Arial" w:eastAsia="宋体" w:cs="Arial"/>
                <w:sz w:val="21"/>
                <w:szCs w:val="21"/>
              </w:rPr>
              <w:t>86.1084</w:t>
            </w:r>
          </w:p>
        </w:tc>
      </w:tr>
      <w:tr w14:paraId="07254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4DA8B2D8">
            <w:pPr>
              <w:topLinePunct/>
              <w:autoSpaceDE w:val="0"/>
              <w:autoSpaceDN w:val="0"/>
              <w:adjustRightInd w:val="0"/>
              <w:snapToGrid w:val="0"/>
              <w:jc w:val="center"/>
              <w:rPr>
                <w:rFonts w:ascii="Arial" w:hAnsi="Arial" w:eastAsia="宋体" w:cs="Arial"/>
                <w:sz w:val="21"/>
                <w:szCs w:val="21"/>
              </w:rPr>
            </w:pPr>
          </w:p>
        </w:tc>
        <w:tc>
          <w:tcPr>
            <w:tcW w:w="1347" w:type="pct"/>
            <w:vAlign w:val="center"/>
          </w:tcPr>
          <w:p w14:paraId="5BE1D4E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钴</w:t>
            </w:r>
          </w:p>
        </w:tc>
        <w:tc>
          <w:tcPr>
            <w:tcW w:w="1126" w:type="pct"/>
            <w:vAlign w:val="center"/>
          </w:tcPr>
          <w:p w14:paraId="01B13986">
            <w:pPr>
              <w:adjustRightInd w:val="0"/>
              <w:snapToGrid w:val="0"/>
              <w:jc w:val="center"/>
              <w:rPr>
                <w:rFonts w:ascii="Arial" w:hAnsi="Arial" w:eastAsia="宋体" w:cs="Arial"/>
                <w:sz w:val="21"/>
                <w:szCs w:val="21"/>
              </w:rPr>
            </w:pPr>
            <w:r>
              <w:rPr>
                <w:rFonts w:hint="eastAsia" w:ascii="Arial" w:hAnsi="Arial" w:eastAsia="宋体" w:cs="Arial"/>
                <w:sz w:val="21"/>
                <w:szCs w:val="21"/>
              </w:rPr>
              <w:t>0.13</w:t>
            </w:r>
          </w:p>
        </w:tc>
        <w:tc>
          <w:tcPr>
            <w:tcW w:w="916" w:type="pct"/>
            <w:vAlign w:val="center"/>
          </w:tcPr>
          <w:p w14:paraId="06F8857A">
            <w:pPr>
              <w:adjustRightInd w:val="0"/>
              <w:snapToGrid w:val="0"/>
              <w:jc w:val="center"/>
              <w:rPr>
                <w:rFonts w:ascii="Arial" w:hAnsi="Arial" w:eastAsia="宋体" w:cs="Arial"/>
                <w:sz w:val="21"/>
                <w:szCs w:val="21"/>
              </w:rPr>
            </w:pPr>
            <w:r>
              <w:rPr>
                <w:rFonts w:hint="eastAsia" w:ascii="Arial" w:hAnsi="Arial" w:eastAsia="宋体" w:cs="Arial"/>
                <w:sz w:val="21"/>
                <w:szCs w:val="21"/>
              </w:rPr>
              <w:t>0.0006</w:t>
            </w:r>
          </w:p>
        </w:tc>
      </w:tr>
      <w:tr w14:paraId="23660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restart"/>
            <w:vAlign w:val="center"/>
          </w:tcPr>
          <w:p w14:paraId="3CB55A23">
            <w:pPr>
              <w:topLinePunct/>
              <w:autoSpaceDE w:val="0"/>
              <w:autoSpaceDN w:val="0"/>
              <w:adjustRightInd w:val="0"/>
              <w:snapToGrid w:val="0"/>
              <w:jc w:val="center"/>
              <w:rPr>
                <w:rFonts w:ascii="Arial" w:hAnsi="Arial" w:eastAsia="宋体" w:cs="Arial"/>
                <w:sz w:val="21"/>
                <w:szCs w:val="21"/>
                <w:highlight w:val="yellow"/>
              </w:rPr>
            </w:pPr>
            <w:r>
              <w:rPr>
                <w:rFonts w:ascii="Arial" w:hAnsi="Arial" w:eastAsia="宋体" w:cs="Arial"/>
                <w:sz w:val="21"/>
                <w:szCs w:val="24"/>
              </w:rPr>
              <w:t>纯水站供</w:t>
            </w:r>
            <w:r>
              <w:rPr>
                <w:rFonts w:hint="eastAsia" w:ascii="Arial" w:hAnsi="Arial" w:eastAsia="宋体" w:cs="Arial"/>
                <w:sz w:val="21"/>
                <w:szCs w:val="24"/>
              </w:rPr>
              <w:t>本项目</w:t>
            </w:r>
            <w:r>
              <w:rPr>
                <w:rFonts w:ascii="Arial" w:hAnsi="Arial" w:eastAsia="宋体" w:cs="Arial"/>
                <w:sz w:val="21"/>
                <w:szCs w:val="24"/>
              </w:rPr>
              <w:t>产生的浓水</w:t>
            </w:r>
          </w:p>
        </w:tc>
        <w:tc>
          <w:tcPr>
            <w:tcW w:w="1347" w:type="pct"/>
            <w:vAlign w:val="center"/>
          </w:tcPr>
          <w:p w14:paraId="144FD034">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1126" w:type="pct"/>
            <w:vAlign w:val="center"/>
          </w:tcPr>
          <w:p w14:paraId="54F32585">
            <w:pPr>
              <w:adjustRightInd w:val="0"/>
              <w:snapToGrid w:val="0"/>
              <w:jc w:val="center"/>
              <w:rPr>
                <w:rFonts w:ascii="Arial" w:hAnsi="Arial" w:eastAsia="宋体" w:cs="Arial"/>
                <w:sz w:val="21"/>
                <w:szCs w:val="21"/>
              </w:rPr>
            </w:pPr>
            <w:r>
              <w:rPr>
                <w:rFonts w:ascii="Arial" w:hAnsi="Arial" w:cs="Arial"/>
                <w:sz w:val="21"/>
                <w:szCs w:val="21"/>
              </w:rPr>
              <w:t>/</w:t>
            </w:r>
          </w:p>
        </w:tc>
        <w:tc>
          <w:tcPr>
            <w:tcW w:w="916" w:type="pct"/>
            <w:vAlign w:val="center"/>
          </w:tcPr>
          <w:p w14:paraId="0EF335DD">
            <w:pPr>
              <w:adjustRightInd w:val="0"/>
              <w:snapToGrid w:val="0"/>
              <w:jc w:val="center"/>
              <w:rPr>
                <w:rFonts w:ascii="Arial" w:hAnsi="Arial" w:eastAsia="宋体" w:cs="Arial"/>
                <w:sz w:val="21"/>
                <w:szCs w:val="21"/>
              </w:rPr>
            </w:pPr>
            <w:r>
              <w:rPr>
                <w:rFonts w:hint="eastAsia" w:ascii="Arial" w:hAnsi="Arial" w:eastAsia="宋体" w:cs="Arial"/>
                <w:sz w:val="21"/>
                <w:szCs w:val="21"/>
              </w:rPr>
              <w:t>21364.2</w:t>
            </w:r>
          </w:p>
        </w:tc>
      </w:tr>
      <w:tr w14:paraId="2A3B1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1CBCC218">
            <w:pPr>
              <w:topLinePunct/>
              <w:autoSpaceDE w:val="0"/>
              <w:autoSpaceDN w:val="0"/>
              <w:adjustRightInd w:val="0"/>
              <w:snapToGrid w:val="0"/>
              <w:jc w:val="center"/>
              <w:rPr>
                <w:rFonts w:ascii="Arial" w:hAnsi="Arial" w:eastAsia="宋体" w:cs="Arial"/>
                <w:sz w:val="21"/>
                <w:szCs w:val="24"/>
                <w:highlight w:val="yellow"/>
              </w:rPr>
            </w:pPr>
          </w:p>
        </w:tc>
        <w:tc>
          <w:tcPr>
            <w:tcW w:w="1347" w:type="pct"/>
            <w:vAlign w:val="center"/>
          </w:tcPr>
          <w:p w14:paraId="106ED077">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1126" w:type="pct"/>
            <w:vAlign w:val="center"/>
          </w:tcPr>
          <w:p w14:paraId="06400C1F">
            <w:pPr>
              <w:adjustRightInd w:val="0"/>
              <w:snapToGrid w:val="0"/>
              <w:jc w:val="center"/>
              <w:rPr>
                <w:rFonts w:ascii="Arial" w:hAnsi="Arial" w:eastAsia="宋体" w:cs="Arial"/>
                <w:sz w:val="21"/>
                <w:szCs w:val="21"/>
              </w:rPr>
            </w:pPr>
            <w:r>
              <w:rPr>
                <w:rFonts w:ascii="Arial" w:hAnsi="Arial" w:eastAsia="宋体" w:cs="Arial"/>
                <w:sz w:val="21"/>
                <w:szCs w:val="21"/>
              </w:rPr>
              <w:t>200</w:t>
            </w:r>
          </w:p>
        </w:tc>
        <w:tc>
          <w:tcPr>
            <w:tcW w:w="916" w:type="pct"/>
            <w:vAlign w:val="center"/>
          </w:tcPr>
          <w:p w14:paraId="621DBF27">
            <w:pPr>
              <w:adjustRightInd w:val="0"/>
              <w:snapToGrid w:val="0"/>
              <w:jc w:val="center"/>
              <w:rPr>
                <w:rFonts w:ascii="Arial" w:hAnsi="Arial" w:eastAsia="宋体" w:cs="Arial"/>
                <w:sz w:val="21"/>
                <w:szCs w:val="21"/>
              </w:rPr>
            </w:pPr>
            <w:r>
              <w:rPr>
                <w:rFonts w:hint="eastAsia" w:ascii="Arial" w:hAnsi="Arial" w:eastAsia="宋体" w:cs="Arial"/>
                <w:sz w:val="21"/>
                <w:szCs w:val="21"/>
              </w:rPr>
              <w:t>4.2728</w:t>
            </w:r>
          </w:p>
        </w:tc>
      </w:tr>
      <w:tr w14:paraId="3A089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37D57D12">
            <w:pPr>
              <w:topLinePunct/>
              <w:autoSpaceDE w:val="0"/>
              <w:autoSpaceDN w:val="0"/>
              <w:adjustRightInd w:val="0"/>
              <w:snapToGrid w:val="0"/>
              <w:jc w:val="center"/>
              <w:rPr>
                <w:rFonts w:ascii="Arial" w:hAnsi="Arial" w:eastAsia="宋体" w:cs="Arial"/>
                <w:sz w:val="21"/>
                <w:szCs w:val="24"/>
                <w:highlight w:val="yellow"/>
              </w:rPr>
            </w:pPr>
          </w:p>
        </w:tc>
        <w:tc>
          <w:tcPr>
            <w:tcW w:w="1347" w:type="pct"/>
            <w:vAlign w:val="center"/>
          </w:tcPr>
          <w:p w14:paraId="142BF77B">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1126" w:type="pct"/>
            <w:vAlign w:val="center"/>
          </w:tcPr>
          <w:p w14:paraId="75C1D849">
            <w:pPr>
              <w:adjustRightInd w:val="0"/>
              <w:snapToGrid w:val="0"/>
              <w:jc w:val="center"/>
              <w:rPr>
                <w:rFonts w:ascii="Arial" w:hAnsi="Arial" w:eastAsia="宋体" w:cs="Arial"/>
                <w:sz w:val="21"/>
                <w:szCs w:val="21"/>
              </w:rPr>
            </w:pPr>
            <w:r>
              <w:rPr>
                <w:rFonts w:ascii="Arial" w:hAnsi="Arial" w:eastAsia="宋体" w:cs="Arial"/>
                <w:sz w:val="21"/>
                <w:szCs w:val="21"/>
              </w:rPr>
              <w:t>60</w:t>
            </w:r>
          </w:p>
        </w:tc>
        <w:tc>
          <w:tcPr>
            <w:tcW w:w="916" w:type="pct"/>
            <w:vAlign w:val="center"/>
          </w:tcPr>
          <w:p w14:paraId="289367F9">
            <w:pPr>
              <w:adjustRightInd w:val="0"/>
              <w:snapToGrid w:val="0"/>
              <w:jc w:val="center"/>
              <w:rPr>
                <w:rFonts w:ascii="Arial" w:hAnsi="Arial" w:eastAsia="宋体" w:cs="Arial"/>
                <w:sz w:val="21"/>
                <w:szCs w:val="21"/>
              </w:rPr>
            </w:pPr>
            <w:r>
              <w:rPr>
                <w:rFonts w:hint="eastAsia" w:ascii="Arial" w:hAnsi="Arial" w:eastAsia="宋体" w:cs="Arial"/>
                <w:sz w:val="21"/>
                <w:szCs w:val="21"/>
              </w:rPr>
              <w:t>1.2819</w:t>
            </w:r>
          </w:p>
        </w:tc>
      </w:tr>
      <w:tr w14:paraId="2348B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762C1817">
            <w:pPr>
              <w:topLinePunct/>
              <w:autoSpaceDE w:val="0"/>
              <w:autoSpaceDN w:val="0"/>
              <w:adjustRightInd w:val="0"/>
              <w:snapToGrid w:val="0"/>
              <w:jc w:val="center"/>
              <w:rPr>
                <w:rFonts w:ascii="Arial" w:hAnsi="Arial" w:eastAsia="宋体" w:cs="Arial"/>
                <w:sz w:val="21"/>
                <w:szCs w:val="24"/>
                <w:highlight w:val="yellow"/>
              </w:rPr>
            </w:pPr>
          </w:p>
        </w:tc>
        <w:tc>
          <w:tcPr>
            <w:tcW w:w="1347" w:type="pct"/>
            <w:vAlign w:val="center"/>
          </w:tcPr>
          <w:p w14:paraId="14A51714">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1126" w:type="pct"/>
            <w:vAlign w:val="center"/>
          </w:tcPr>
          <w:p w14:paraId="1C732353">
            <w:pPr>
              <w:adjustRightInd w:val="0"/>
              <w:snapToGrid w:val="0"/>
              <w:jc w:val="center"/>
              <w:rPr>
                <w:rFonts w:ascii="Arial" w:hAnsi="Arial" w:eastAsia="宋体" w:cs="Arial"/>
                <w:sz w:val="21"/>
                <w:szCs w:val="21"/>
              </w:rPr>
            </w:pPr>
            <w:r>
              <w:rPr>
                <w:rFonts w:ascii="Arial" w:hAnsi="Arial" w:eastAsia="宋体" w:cs="Arial"/>
                <w:sz w:val="21"/>
                <w:szCs w:val="21"/>
              </w:rPr>
              <w:t>260</w:t>
            </w:r>
          </w:p>
        </w:tc>
        <w:tc>
          <w:tcPr>
            <w:tcW w:w="916" w:type="pct"/>
            <w:vAlign w:val="center"/>
          </w:tcPr>
          <w:p w14:paraId="081EDE74">
            <w:pPr>
              <w:adjustRightInd w:val="0"/>
              <w:snapToGrid w:val="0"/>
              <w:jc w:val="center"/>
              <w:rPr>
                <w:rFonts w:ascii="Arial" w:hAnsi="Arial" w:cs="Arial"/>
                <w:sz w:val="21"/>
                <w:szCs w:val="21"/>
              </w:rPr>
            </w:pPr>
            <w:r>
              <w:rPr>
                <w:rFonts w:hint="eastAsia" w:ascii="Arial" w:hAnsi="Arial" w:cs="Arial"/>
                <w:sz w:val="21"/>
                <w:szCs w:val="21"/>
              </w:rPr>
              <w:t>5.5547</w:t>
            </w:r>
          </w:p>
        </w:tc>
      </w:tr>
      <w:tr w14:paraId="6F408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restart"/>
            <w:vAlign w:val="center"/>
          </w:tcPr>
          <w:p w14:paraId="389D2AB5">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合计</w:t>
            </w:r>
          </w:p>
        </w:tc>
        <w:tc>
          <w:tcPr>
            <w:tcW w:w="1347" w:type="pct"/>
            <w:vAlign w:val="center"/>
          </w:tcPr>
          <w:p w14:paraId="007C4317">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1126" w:type="pct"/>
            <w:vAlign w:val="center"/>
          </w:tcPr>
          <w:p w14:paraId="3A267AF5">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916" w:type="pct"/>
            <w:vAlign w:val="center"/>
          </w:tcPr>
          <w:p w14:paraId="7147EC48">
            <w:pPr>
              <w:adjustRightInd w:val="0"/>
              <w:snapToGrid w:val="0"/>
              <w:jc w:val="center"/>
              <w:rPr>
                <w:rFonts w:ascii="Arial" w:hAnsi="Arial" w:eastAsia="宋体" w:cs="Arial"/>
                <w:sz w:val="21"/>
                <w:szCs w:val="21"/>
              </w:rPr>
            </w:pPr>
            <w:r>
              <w:rPr>
                <w:rFonts w:hint="eastAsia" w:ascii="Arial" w:hAnsi="Arial" w:eastAsia="宋体" w:cs="Arial"/>
                <w:sz w:val="21"/>
                <w:szCs w:val="21"/>
              </w:rPr>
              <w:t>26054.2</w:t>
            </w:r>
          </w:p>
        </w:tc>
      </w:tr>
      <w:tr w14:paraId="01A16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19470AFB">
            <w:pPr>
              <w:topLinePunct/>
              <w:autoSpaceDE w:val="0"/>
              <w:autoSpaceDN w:val="0"/>
              <w:adjustRightInd w:val="0"/>
              <w:snapToGrid w:val="0"/>
              <w:jc w:val="center"/>
              <w:rPr>
                <w:rFonts w:ascii="Arial" w:hAnsi="Arial" w:eastAsia="宋体" w:cs="Arial"/>
                <w:sz w:val="21"/>
                <w:szCs w:val="21"/>
              </w:rPr>
            </w:pPr>
          </w:p>
        </w:tc>
        <w:tc>
          <w:tcPr>
            <w:tcW w:w="1347" w:type="pct"/>
            <w:vAlign w:val="center"/>
          </w:tcPr>
          <w:p w14:paraId="557D0C95">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1126" w:type="pct"/>
            <w:vAlign w:val="center"/>
          </w:tcPr>
          <w:p w14:paraId="3958A252">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916" w:type="pct"/>
            <w:vAlign w:val="center"/>
          </w:tcPr>
          <w:p w14:paraId="1857F6BD">
            <w:pPr>
              <w:adjustRightInd w:val="0"/>
              <w:snapToGrid w:val="0"/>
              <w:jc w:val="center"/>
              <w:rPr>
                <w:rFonts w:ascii="Arial" w:hAnsi="Arial" w:eastAsia="宋体" w:cs="Arial"/>
                <w:sz w:val="21"/>
                <w:szCs w:val="21"/>
              </w:rPr>
            </w:pPr>
            <w:r>
              <w:rPr>
                <w:rFonts w:hint="eastAsia" w:ascii="Arial" w:hAnsi="Arial" w:eastAsia="宋体" w:cs="Arial"/>
                <w:sz w:val="21"/>
                <w:szCs w:val="21"/>
              </w:rPr>
              <w:t>90.3812</w:t>
            </w:r>
          </w:p>
        </w:tc>
      </w:tr>
      <w:tr w14:paraId="7EEA5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27FB7F58">
            <w:pPr>
              <w:topLinePunct/>
              <w:autoSpaceDE w:val="0"/>
              <w:autoSpaceDN w:val="0"/>
              <w:adjustRightInd w:val="0"/>
              <w:snapToGrid w:val="0"/>
              <w:jc w:val="center"/>
              <w:rPr>
                <w:rFonts w:ascii="Arial" w:hAnsi="Arial" w:eastAsia="宋体" w:cs="Arial"/>
                <w:sz w:val="21"/>
                <w:szCs w:val="21"/>
              </w:rPr>
            </w:pPr>
          </w:p>
        </w:tc>
        <w:tc>
          <w:tcPr>
            <w:tcW w:w="1347" w:type="pct"/>
            <w:vAlign w:val="center"/>
          </w:tcPr>
          <w:p w14:paraId="76512517">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1126" w:type="pct"/>
            <w:vAlign w:val="center"/>
          </w:tcPr>
          <w:p w14:paraId="2208CBB2">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916" w:type="pct"/>
            <w:vAlign w:val="center"/>
          </w:tcPr>
          <w:p w14:paraId="467B2FEC">
            <w:pPr>
              <w:adjustRightInd w:val="0"/>
              <w:snapToGrid w:val="0"/>
              <w:jc w:val="center"/>
              <w:rPr>
                <w:rFonts w:ascii="Arial" w:hAnsi="Arial" w:eastAsia="宋体" w:cs="Arial"/>
                <w:sz w:val="21"/>
                <w:szCs w:val="21"/>
              </w:rPr>
            </w:pPr>
            <w:r>
              <w:rPr>
                <w:rFonts w:hint="eastAsia" w:ascii="Arial" w:hAnsi="Arial" w:eastAsia="宋体" w:cs="Arial"/>
                <w:sz w:val="21"/>
                <w:szCs w:val="21"/>
              </w:rPr>
              <w:t>1.2819</w:t>
            </w:r>
          </w:p>
        </w:tc>
      </w:tr>
      <w:tr w14:paraId="18952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7FF63BA5">
            <w:pPr>
              <w:topLinePunct/>
              <w:autoSpaceDE w:val="0"/>
              <w:autoSpaceDN w:val="0"/>
              <w:adjustRightInd w:val="0"/>
              <w:snapToGrid w:val="0"/>
              <w:jc w:val="center"/>
              <w:rPr>
                <w:rFonts w:ascii="Arial" w:hAnsi="Arial" w:eastAsia="宋体" w:cs="Arial"/>
                <w:sz w:val="21"/>
                <w:szCs w:val="21"/>
              </w:rPr>
            </w:pPr>
          </w:p>
        </w:tc>
        <w:tc>
          <w:tcPr>
            <w:tcW w:w="1347" w:type="pct"/>
            <w:vAlign w:val="center"/>
          </w:tcPr>
          <w:p w14:paraId="245B24CD">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1126" w:type="pct"/>
            <w:vAlign w:val="center"/>
          </w:tcPr>
          <w:p w14:paraId="579F89B0">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916" w:type="pct"/>
            <w:vAlign w:val="center"/>
          </w:tcPr>
          <w:p w14:paraId="1E720E24">
            <w:pPr>
              <w:adjustRightInd w:val="0"/>
              <w:snapToGrid w:val="0"/>
              <w:jc w:val="center"/>
              <w:rPr>
                <w:rFonts w:ascii="Arial" w:hAnsi="Arial" w:eastAsia="宋体" w:cs="Arial"/>
                <w:sz w:val="21"/>
                <w:szCs w:val="21"/>
              </w:rPr>
            </w:pPr>
            <w:r>
              <w:rPr>
                <w:rFonts w:hint="eastAsia" w:ascii="Arial" w:hAnsi="Arial" w:eastAsia="宋体" w:cs="Arial"/>
                <w:sz w:val="21"/>
                <w:szCs w:val="21"/>
              </w:rPr>
              <w:t>91.6631</w:t>
            </w:r>
          </w:p>
        </w:tc>
      </w:tr>
      <w:tr w14:paraId="44F77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2E4A4DB5">
            <w:pPr>
              <w:topLinePunct/>
              <w:autoSpaceDE w:val="0"/>
              <w:autoSpaceDN w:val="0"/>
              <w:adjustRightInd w:val="0"/>
              <w:snapToGrid w:val="0"/>
              <w:jc w:val="center"/>
              <w:rPr>
                <w:rFonts w:ascii="Arial" w:hAnsi="Arial" w:eastAsia="宋体" w:cs="Arial"/>
                <w:sz w:val="21"/>
                <w:szCs w:val="21"/>
              </w:rPr>
            </w:pPr>
          </w:p>
        </w:tc>
        <w:tc>
          <w:tcPr>
            <w:tcW w:w="1347" w:type="pct"/>
            <w:vAlign w:val="center"/>
          </w:tcPr>
          <w:p w14:paraId="7393E70D">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1126" w:type="pct"/>
            <w:vAlign w:val="center"/>
          </w:tcPr>
          <w:p w14:paraId="0C13D6CF">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916" w:type="pct"/>
            <w:vAlign w:val="center"/>
          </w:tcPr>
          <w:p w14:paraId="70248B0E">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r>
      <w:tr w14:paraId="1700E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64F6F61D">
            <w:pPr>
              <w:topLinePunct/>
              <w:autoSpaceDE w:val="0"/>
              <w:autoSpaceDN w:val="0"/>
              <w:adjustRightInd w:val="0"/>
              <w:snapToGrid w:val="0"/>
              <w:jc w:val="center"/>
              <w:rPr>
                <w:rFonts w:ascii="Arial" w:hAnsi="Arial" w:eastAsia="宋体" w:cs="Arial"/>
                <w:sz w:val="21"/>
                <w:szCs w:val="21"/>
              </w:rPr>
            </w:pPr>
          </w:p>
        </w:tc>
        <w:tc>
          <w:tcPr>
            <w:tcW w:w="1347" w:type="pct"/>
            <w:vAlign w:val="center"/>
          </w:tcPr>
          <w:p w14:paraId="714CABDF">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氨氮</w:t>
            </w:r>
          </w:p>
        </w:tc>
        <w:tc>
          <w:tcPr>
            <w:tcW w:w="1126" w:type="pct"/>
            <w:vAlign w:val="center"/>
          </w:tcPr>
          <w:p w14:paraId="256A7516">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916" w:type="pct"/>
            <w:vAlign w:val="center"/>
          </w:tcPr>
          <w:p w14:paraId="001A9634">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r>
      <w:tr w14:paraId="5B0E8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11" w:type="pct"/>
            <w:vMerge w:val="continue"/>
            <w:vAlign w:val="center"/>
          </w:tcPr>
          <w:p w14:paraId="18C7F764">
            <w:pPr>
              <w:topLinePunct/>
              <w:autoSpaceDE w:val="0"/>
              <w:autoSpaceDN w:val="0"/>
              <w:adjustRightInd w:val="0"/>
              <w:snapToGrid w:val="0"/>
              <w:jc w:val="center"/>
              <w:rPr>
                <w:rFonts w:ascii="Arial" w:hAnsi="Arial" w:eastAsia="宋体" w:cs="Arial"/>
                <w:sz w:val="21"/>
                <w:szCs w:val="21"/>
              </w:rPr>
            </w:pPr>
          </w:p>
        </w:tc>
        <w:tc>
          <w:tcPr>
            <w:tcW w:w="1347" w:type="pct"/>
            <w:vAlign w:val="center"/>
          </w:tcPr>
          <w:p w14:paraId="4A6A671D">
            <w:pPr>
              <w:topLinePunct/>
              <w:autoSpaceDE w:val="0"/>
              <w:autoSpaceDN w:val="0"/>
              <w:adjustRightInd w:val="0"/>
              <w:snapToGrid w:val="0"/>
              <w:jc w:val="center"/>
              <w:rPr>
                <w:rFonts w:ascii="Arial" w:hAnsi="Arial" w:eastAsia="宋体" w:cs="Arial"/>
                <w:sz w:val="21"/>
                <w:szCs w:val="21"/>
              </w:rPr>
            </w:pPr>
            <w:r>
              <w:rPr>
                <w:rFonts w:ascii="Arial" w:hAnsi="Arial" w:eastAsia="宋体" w:cs="Arial"/>
                <w:spacing w:val="10"/>
                <w:sz w:val="21"/>
                <w:szCs w:val="21"/>
              </w:rPr>
              <w:t>钴</w:t>
            </w:r>
          </w:p>
        </w:tc>
        <w:tc>
          <w:tcPr>
            <w:tcW w:w="1126" w:type="pct"/>
            <w:vAlign w:val="center"/>
          </w:tcPr>
          <w:p w14:paraId="6F02A0E0">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w:t>
            </w:r>
          </w:p>
        </w:tc>
        <w:tc>
          <w:tcPr>
            <w:tcW w:w="916" w:type="pct"/>
            <w:vAlign w:val="center"/>
          </w:tcPr>
          <w:p w14:paraId="52E29F85">
            <w:pPr>
              <w:adjustRightInd w:val="0"/>
              <w:snapToGrid w:val="0"/>
              <w:jc w:val="center"/>
              <w:rPr>
                <w:rFonts w:ascii="Arial" w:hAnsi="Arial" w:eastAsia="宋体" w:cs="Arial"/>
                <w:sz w:val="21"/>
                <w:szCs w:val="21"/>
              </w:rPr>
            </w:pPr>
            <w:r>
              <w:rPr>
                <w:rFonts w:hint="eastAsia" w:ascii="Arial" w:hAnsi="Arial" w:eastAsia="宋体" w:cs="Arial"/>
                <w:sz w:val="21"/>
                <w:szCs w:val="21"/>
              </w:rPr>
              <w:t>0.0006</w:t>
            </w:r>
          </w:p>
        </w:tc>
      </w:tr>
    </w:tbl>
    <w:p w14:paraId="58144E2B">
      <w:pPr>
        <w:pStyle w:val="5"/>
        <w:spacing w:line="500" w:lineRule="exact"/>
        <w:ind w:firstLine="490" w:firstLineChars="200"/>
      </w:pPr>
      <w:r>
        <w:t>2、生活污水</w:t>
      </w:r>
    </w:p>
    <w:p w14:paraId="1E07A668">
      <w:pPr>
        <w:pStyle w:val="5"/>
        <w:spacing w:line="500" w:lineRule="exact"/>
        <w:ind w:firstLine="490" w:firstLineChars="200"/>
      </w:pPr>
      <w:r>
        <w:t>生活污水经地埋式三级化粪池处理后排入园区污水管道，排向大榄坪污水处理厂处理。</w:t>
      </w:r>
    </w:p>
    <w:p w14:paraId="2687B501">
      <w:pPr>
        <w:pStyle w:val="5"/>
        <w:keepNext/>
        <w:numPr>
          <w:ilvl w:val="0"/>
          <w:numId w:val="12"/>
        </w:numPr>
        <w:spacing w:line="480" w:lineRule="exact"/>
        <w:ind w:left="0" w:firstLine="0"/>
        <w:jc w:val="center"/>
        <w:outlineLvl w:val="4"/>
        <w:rPr>
          <w:b/>
        </w:rPr>
      </w:pPr>
      <w:r>
        <w:rPr>
          <w:b/>
        </w:rPr>
        <w:t>项目变更后生活污水排放表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8"/>
        <w:gridCol w:w="4237"/>
        <w:gridCol w:w="3273"/>
      </w:tblGrid>
      <w:tr w14:paraId="23905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pct"/>
            <w:shd w:val="clear" w:color="auto" w:fill="auto"/>
            <w:vAlign w:val="center"/>
          </w:tcPr>
          <w:p w14:paraId="3F37BD4E">
            <w:pPr>
              <w:pStyle w:val="5"/>
              <w:adjustRightInd w:val="0"/>
              <w:snapToGrid w:val="0"/>
              <w:spacing w:line="240" w:lineRule="auto"/>
              <w:ind w:firstLine="0"/>
              <w:jc w:val="center"/>
              <w:rPr>
                <w:sz w:val="21"/>
              </w:rPr>
            </w:pPr>
            <w:r>
              <w:rPr>
                <w:sz w:val="21"/>
              </w:rPr>
              <w:t>项目</w:t>
            </w:r>
          </w:p>
        </w:tc>
        <w:tc>
          <w:tcPr>
            <w:tcW w:w="2281" w:type="pct"/>
            <w:shd w:val="clear" w:color="auto" w:fill="auto"/>
            <w:vAlign w:val="center"/>
          </w:tcPr>
          <w:p w14:paraId="58664049">
            <w:pPr>
              <w:pStyle w:val="5"/>
              <w:adjustRightInd w:val="0"/>
              <w:snapToGrid w:val="0"/>
              <w:spacing w:line="240" w:lineRule="auto"/>
              <w:ind w:firstLine="0"/>
              <w:jc w:val="center"/>
              <w:rPr>
                <w:sz w:val="21"/>
              </w:rPr>
            </w:pPr>
            <w:r>
              <w:rPr>
                <w:sz w:val="21"/>
              </w:rPr>
              <w:t>排放浓度（mg/L）</w:t>
            </w:r>
          </w:p>
        </w:tc>
        <w:tc>
          <w:tcPr>
            <w:tcW w:w="1762" w:type="pct"/>
            <w:shd w:val="clear" w:color="auto" w:fill="auto"/>
            <w:vAlign w:val="center"/>
          </w:tcPr>
          <w:p w14:paraId="65BD2063">
            <w:pPr>
              <w:pStyle w:val="5"/>
              <w:adjustRightInd w:val="0"/>
              <w:snapToGrid w:val="0"/>
              <w:spacing w:line="240" w:lineRule="auto"/>
              <w:ind w:firstLine="0"/>
              <w:jc w:val="center"/>
              <w:rPr>
                <w:sz w:val="21"/>
              </w:rPr>
            </w:pPr>
            <w:r>
              <w:rPr>
                <w:sz w:val="21"/>
              </w:rPr>
              <w:t>排放量（t/a）</w:t>
            </w:r>
          </w:p>
        </w:tc>
      </w:tr>
      <w:tr w14:paraId="6CF8B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pct"/>
            <w:shd w:val="clear" w:color="auto" w:fill="auto"/>
            <w:vAlign w:val="center"/>
          </w:tcPr>
          <w:p w14:paraId="736936F6">
            <w:pPr>
              <w:pStyle w:val="5"/>
              <w:adjustRightInd w:val="0"/>
              <w:snapToGrid w:val="0"/>
              <w:spacing w:line="240" w:lineRule="auto"/>
              <w:ind w:firstLine="0"/>
              <w:jc w:val="center"/>
              <w:rPr>
                <w:sz w:val="21"/>
              </w:rPr>
            </w:pPr>
            <w:r>
              <w:rPr>
                <w:sz w:val="21"/>
              </w:rPr>
              <w:t>水量</w:t>
            </w:r>
          </w:p>
        </w:tc>
        <w:tc>
          <w:tcPr>
            <w:tcW w:w="2281" w:type="pct"/>
            <w:shd w:val="clear" w:color="auto" w:fill="auto"/>
            <w:vAlign w:val="center"/>
          </w:tcPr>
          <w:p w14:paraId="266E6B03">
            <w:pPr>
              <w:pStyle w:val="5"/>
              <w:adjustRightInd w:val="0"/>
              <w:snapToGrid w:val="0"/>
              <w:spacing w:line="240" w:lineRule="auto"/>
              <w:ind w:firstLine="0"/>
              <w:jc w:val="center"/>
              <w:rPr>
                <w:sz w:val="21"/>
              </w:rPr>
            </w:pPr>
            <w:r>
              <w:rPr>
                <w:sz w:val="21"/>
              </w:rPr>
              <w:t>/</w:t>
            </w:r>
          </w:p>
        </w:tc>
        <w:tc>
          <w:tcPr>
            <w:tcW w:w="1762" w:type="pct"/>
            <w:shd w:val="clear" w:color="auto" w:fill="auto"/>
            <w:vAlign w:val="center"/>
          </w:tcPr>
          <w:p w14:paraId="750C1E70">
            <w:pPr>
              <w:pStyle w:val="5"/>
              <w:adjustRightInd w:val="0"/>
              <w:snapToGrid w:val="0"/>
              <w:spacing w:line="240" w:lineRule="auto"/>
              <w:ind w:firstLine="0"/>
              <w:jc w:val="center"/>
              <w:rPr>
                <w:sz w:val="21"/>
              </w:rPr>
            </w:pPr>
            <w:r>
              <w:rPr>
                <w:rFonts w:hint="eastAsia"/>
                <w:sz w:val="21"/>
              </w:rPr>
              <w:t>1584</w:t>
            </w:r>
          </w:p>
        </w:tc>
      </w:tr>
      <w:tr w14:paraId="009F6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pct"/>
            <w:shd w:val="clear" w:color="auto" w:fill="auto"/>
            <w:vAlign w:val="center"/>
          </w:tcPr>
          <w:p w14:paraId="1BE14C93">
            <w:pPr>
              <w:pStyle w:val="5"/>
              <w:adjustRightInd w:val="0"/>
              <w:snapToGrid w:val="0"/>
              <w:spacing w:line="240" w:lineRule="auto"/>
              <w:ind w:firstLine="0"/>
              <w:jc w:val="center"/>
              <w:rPr>
                <w:sz w:val="21"/>
              </w:rPr>
            </w:pPr>
            <w:r>
              <w:rPr>
                <w:sz w:val="21"/>
              </w:rPr>
              <w:t>COD</w:t>
            </w:r>
          </w:p>
        </w:tc>
        <w:tc>
          <w:tcPr>
            <w:tcW w:w="2281" w:type="pct"/>
            <w:shd w:val="clear" w:color="auto" w:fill="auto"/>
            <w:vAlign w:val="center"/>
          </w:tcPr>
          <w:p w14:paraId="2D436292">
            <w:pPr>
              <w:pStyle w:val="5"/>
              <w:adjustRightInd w:val="0"/>
              <w:snapToGrid w:val="0"/>
              <w:spacing w:line="240" w:lineRule="auto"/>
              <w:ind w:firstLine="0"/>
              <w:jc w:val="center"/>
              <w:rPr>
                <w:sz w:val="21"/>
              </w:rPr>
            </w:pPr>
            <w:r>
              <w:rPr>
                <w:sz w:val="21"/>
              </w:rPr>
              <w:t>200</w:t>
            </w:r>
          </w:p>
        </w:tc>
        <w:tc>
          <w:tcPr>
            <w:tcW w:w="1762" w:type="pct"/>
            <w:shd w:val="clear" w:color="auto" w:fill="auto"/>
            <w:vAlign w:val="center"/>
          </w:tcPr>
          <w:p w14:paraId="0D29333D">
            <w:pPr>
              <w:pStyle w:val="5"/>
              <w:adjustRightInd w:val="0"/>
              <w:snapToGrid w:val="0"/>
              <w:spacing w:line="240" w:lineRule="auto"/>
              <w:ind w:firstLine="0"/>
              <w:jc w:val="center"/>
              <w:rPr>
                <w:sz w:val="21"/>
              </w:rPr>
            </w:pPr>
            <w:r>
              <w:rPr>
                <w:rFonts w:hint="eastAsia"/>
                <w:sz w:val="21"/>
              </w:rPr>
              <w:t>0.317</w:t>
            </w:r>
          </w:p>
        </w:tc>
      </w:tr>
      <w:tr w14:paraId="3F44F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pct"/>
            <w:shd w:val="clear" w:color="auto" w:fill="auto"/>
            <w:vAlign w:val="center"/>
          </w:tcPr>
          <w:p w14:paraId="7E51959F">
            <w:pPr>
              <w:pStyle w:val="5"/>
              <w:adjustRightInd w:val="0"/>
              <w:snapToGrid w:val="0"/>
              <w:spacing w:line="240" w:lineRule="auto"/>
              <w:ind w:firstLine="0"/>
              <w:jc w:val="center"/>
              <w:rPr>
                <w:sz w:val="21"/>
              </w:rPr>
            </w:pPr>
            <w:r>
              <w:rPr>
                <w:sz w:val="21"/>
              </w:rPr>
              <w:t>BOD</w:t>
            </w:r>
          </w:p>
        </w:tc>
        <w:tc>
          <w:tcPr>
            <w:tcW w:w="2281" w:type="pct"/>
            <w:shd w:val="clear" w:color="auto" w:fill="auto"/>
            <w:vAlign w:val="center"/>
          </w:tcPr>
          <w:p w14:paraId="1AE600F5">
            <w:pPr>
              <w:pStyle w:val="5"/>
              <w:adjustRightInd w:val="0"/>
              <w:snapToGrid w:val="0"/>
              <w:spacing w:line="240" w:lineRule="auto"/>
              <w:ind w:firstLine="0"/>
              <w:jc w:val="center"/>
              <w:rPr>
                <w:sz w:val="21"/>
              </w:rPr>
            </w:pPr>
            <w:r>
              <w:rPr>
                <w:sz w:val="21"/>
              </w:rPr>
              <w:t>80</w:t>
            </w:r>
          </w:p>
        </w:tc>
        <w:tc>
          <w:tcPr>
            <w:tcW w:w="1762" w:type="pct"/>
            <w:shd w:val="clear" w:color="auto" w:fill="auto"/>
            <w:vAlign w:val="center"/>
          </w:tcPr>
          <w:p w14:paraId="04BF7054">
            <w:pPr>
              <w:pStyle w:val="5"/>
              <w:adjustRightInd w:val="0"/>
              <w:snapToGrid w:val="0"/>
              <w:spacing w:line="240" w:lineRule="auto"/>
              <w:ind w:firstLine="0"/>
              <w:jc w:val="center"/>
              <w:rPr>
                <w:sz w:val="21"/>
              </w:rPr>
            </w:pPr>
            <w:r>
              <w:rPr>
                <w:rFonts w:hint="eastAsia"/>
                <w:sz w:val="21"/>
              </w:rPr>
              <w:t>0.127</w:t>
            </w:r>
          </w:p>
        </w:tc>
      </w:tr>
      <w:tr w14:paraId="7E863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 w:type="pct"/>
            <w:shd w:val="clear" w:color="auto" w:fill="auto"/>
            <w:vAlign w:val="center"/>
          </w:tcPr>
          <w:p w14:paraId="53F539EB">
            <w:pPr>
              <w:pStyle w:val="5"/>
              <w:adjustRightInd w:val="0"/>
              <w:snapToGrid w:val="0"/>
              <w:spacing w:line="240" w:lineRule="auto"/>
              <w:ind w:firstLine="0"/>
              <w:jc w:val="center"/>
              <w:rPr>
                <w:sz w:val="21"/>
              </w:rPr>
            </w:pPr>
            <w:r>
              <w:rPr>
                <w:sz w:val="21"/>
              </w:rPr>
              <w:t>NH</w:t>
            </w:r>
            <w:r>
              <w:rPr>
                <w:sz w:val="21"/>
                <w:vertAlign w:val="subscript"/>
              </w:rPr>
              <w:t>3</w:t>
            </w:r>
            <w:r>
              <w:rPr>
                <w:sz w:val="21"/>
              </w:rPr>
              <w:t>-N</w:t>
            </w:r>
          </w:p>
        </w:tc>
        <w:tc>
          <w:tcPr>
            <w:tcW w:w="2281" w:type="pct"/>
            <w:shd w:val="clear" w:color="auto" w:fill="auto"/>
            <w:vAlign w:val="center"/>
          </w:tcPr>
          <w:p w14:paraId="01BBD7D3">
            <w:pPr>
              <w:pStyle w:val="5"/>
              <w:adjustRightInd w:val="0"/>
              <w:snapToGrid w:val="0"/>
              <w:spacing w:line="240" w:lineRule="auto"/>
              <w:ind w:firstLine="0"/>
              <w:jc w:val="center"/>
              <w:rPr>
                <w:sz w:val="21"/>
              </w:rPr>
            </w:pPr>
            <w:r>
              <w:rPr>
                <w:sz w:val="21"/>
              </w:rPr>
              <w:t>28.3</w:t>
            </w:r>
          </w:p>
        </w:tc>
        <w:tc>
          <w:tcPr>
            <w:tcW w:w="1762" w:type="pct"/>
            <w:shd w:val="clear" w:color="auto" w:fill="auto"/>
            <w:vAlign w:val="center"/>
          </w:tcPr>
          <w:p w14:paraId="1E5358E6">
            <w:pPr>
              <w:pStyle w:val="5"/>
              <w:adjustRightInd w:val="0"/>
              <w:snapToGrid w:val="0"/>
              <w:spacing w:line="240" w:lineRule="auto"/>
              <w:ind w:firstLine="0"/>
              <w:jc w:val="center"/>
              <w:rPr>
                <w:sz w:val="21"/>
              </w:rPr>
            </w:pPr>
            <w:r>
              <w:rPr>
                <w:rFonts w:hint="eastAsia"/>
                <w:sz w:val="21"/>
              </w:rPr>
              <w:t>0.045</w:t>
            </w:r>
          </w:p>
        </w:tc>
      </w:tr>
    </w:tbl>
    <w:p w14:paraId="7F42014E">
      <w:pPr>
        <w:pStyle w:val="5"/>
        <w:spacing w:line="500" w:lineRule="exact"/>
        <w:ind w:firstLine="0"/>
        <w:outlineLvl w:val="3"/>
        <w:rPr>
          <w:b/>
          <w:highlight w:val="yellow"/>
        </w:rPr>
      </w:pPr>
      <w:r>
        <w:rPr>
          <w:b/>
        </w:rPr>
        <w:t>2.</w:t>
      </w:r>
      <w:r>
        <w:rPr>
          <w:rFonts w:hint="eastAsia"/>
          <w:b/>
        </w:rPr>
        <w:t>5</w:t>
      </w:r>
      <w:r>
        <w:rPr>
          <w:b/>
        </w:rPr>
        <w:t>.3.3项目变更前后废水污染物源强对比</w:t>
      </w:r>
    </w:p>
    <w:p w14:paraId="223906F2">
      <w:pPr>
        <w:pStyle w:val="5"/>
        <w:keepNext/>
        <w:numPr>
          <w:ilvl w:val="0"/>
          <w:numId w:val="12"/>
        </w:numPr>
        <w:spacing w:line="480" w:lineRule="exact"/>
        <w:ind w:left="0" w:firstLine="0"/>
        <w:jc w:val="center"/>
        <w:outlineLvl w:val="4"/>
        <w:rPr>
          <w:b/>
        </w:rPr>
      </w:pPr>
      <w:r>
        <w:rPr>
          <w:b/>
        </w:rPr>
        <w:t>项目变更前后废水源强对比表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8"/>
        <w:gridCol w:w="1378"/>
        <w:gridCol w:w="702"/>
        <w:gridCol w:w="1605"/>
        <w:gridCol w:w="1605"/>
        <w:gridCol w:w="1830"/>
      </w:tblGrid>
      <w:tr w14:paraId="4AD25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167" w:type="pct"/>
            <w:tcBorders>
              <w:top w:val="single" w:color="auto" w:sz="4" w:space="0"/>
              <w:left w:val="single" w:color="auto" w:sz="4" w:space="0"/>
              <w:bottom w:val="single" w:color="auto" w:sz="4" w:space="0"/>
              <w:right w:val="single" w:color="auto" w:sz="4" w:space="0"/>
            </w:tcBorders>
            <w:vAlign w:val="center"/>
          </w:tcPr>
          <w:p w14:paraId="00CC4444">
            <w:pPr>
              <w:adjustRightInd w:val="0"/>
              <w:snapToGrid w:val="0"/>
              <w:jc w:val="center"/>
              <w:rPr>
                <w:rFonts w:ascii="Arial" w:hAnsi="Arial" w:eastAsia="宋体" w:cs="Arial"/>
                <w:b/>
                <w:sz w:val="21"/>
                <w:szCs w:val="21"/>
              </w:rPr>
            </w:pPr>
            <w:r>
              <w:rPr>
                <w:rFonts w:ascii="Arial" w:hAnsi="Arial" w:eastAsia="宋体" w:cs="Arial"/>
                <w:b/>
                <w:sz w:val="21"/>
                <w:szCs w:val="21"/>
              </w:rPr>
              <w:t>类别</w:t>
            </w:r>
          </w:p>
        </w:tc>
        <w:tc>
          <w:tcPr>
            <w:tcW w:w="742" w:type="pct"/>
            <w:tcBorders>
              <w:top w:val="single" w:color="auto" w:sz="4" w:space="0"/>
              <w:left w:val="single" w:color="auto" w:sz="4" w:space="0"/>
              <w:bottom w:val="single" w:color="auto" w:sz="4" w:space="0"/>
              <w:right w:val="single" w:color="auto" w:sz="4" w:space="0"/>
            </w:tcBorders>
            <w:vAlign w:val="center"/>
          </w:tcPr>
          <w:p w14:paraId="376389B8">
            <w:pPr>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378" w:type="pct"/>
            <w:tcBorders>
              <w:top w:val="single" w:color="auto" w:sz="4" w:space="0"/>
              <w:left w:val="single" w:color="auto" w:sz="4" w:space="0"/>
              <w:bottom w:val="single" w:color="auto" w:sz="4" w:space="0"/>
              <w:right w:val="single" w:color="auto" w:sz="4" w:space="0"/>
            </w:tcBorders>
            <w:vAlign w:val="center"/>
          </w:tcPr>
          <w:p w14:paraId="00A72759">
            <w:pPr>
              <w:adjustRightInd w:val="0"/>
              <w:snapToGrid w:val="0"/>
              <w:jc w:val="center"/>
              <w:rPr>
                <w:rFonts w:ascii="Arial" w:hAnsi="Arial" w:eastAsia="宋体" w:cs="Arial"/>
                <w:b/>
                <w:sz w:val="21"/>
                <w:szCs w:val="21"/>
              </w:rPr>
            </w:pPr>
            <w:r>
              <w:rPr>
                <w:rFonts w:ascii="Arial" w:hAnsi="Arial" w:eastAsia="宋体" w:cs="Arial"/>
                <w:b/>
                <w:sz w:val="21"/>
                <w:szCs w:val="21"/>
              </w:rPr>
              <w:t>单位</w:t>
            </w:r>
          </w:p>
        </w:tc>
        <w:tc>
          <w:tcPr>
            <w:tcW w:w="864" w:type="pct"/>
            <w:tcBorders>
              <w:top w:val="single" w:color="auto" w:sz="4" w:space="0"/>
              <w:left w:val="single" w:color="auto" w:sz="4" w:space="0"/>
              <w:bottom w:val="single" w:color="auto" w:sz="4" w:space="0"/>
              <w:right w:val="single" w:color="auto" w:sz="4" w:space="0"/>
            </w:tcBorders>
            <w:vAlign w:val="center"/>
          </w:tcPr>
          <w:p w14:paraId="279D358F">
            <w:pPr>
              <w:adjustRightInd w:val="0"/>
              <w:snapToGrid w:val="0"/>
              <w:jc w:val="center"/>
              <w:rPr>
                <w:rFonts w:ascii="Arial" w:hAnsi="Arial" w:eastAsia="宋体" w:cs="Arial"/>
                <w:b/>
                <w:sz w:val="21"/>
                <w:szCs w:val="21"/>
              </w:rPr>
            </w:pPr>
            <w:r>
              <w:rPr>
                <w:rFonts w:ascii="Arial" w:hAnsi="Arial" w:eastAsia="宋体" w:cs="Arial"/>
                <w:b/>
                <w:sz w:val="21"/>
                <w:szCs w:val="21"/>
              </w:rPr>
              <w:t>变更前排放量</w:t>
            </w:r>
          </w:p>
        </w:tc>
        <w:tc>
          <w:tcPr>
            <w:tcW w:w="864" w:type="pct"/>
            <w:tcBorders>
              <w:top w:val="single" w:color="auto" w:sz="4" w:space="0"/>
              <w:left w:val="single" w:color="auto" w:sz="4" w:space="0"/>
              <w:bottom w:val="single" w:color="auto" w:sz="4" w:space="0"/>
              <w:right w:val="single" w:color="auto" w:sz="4" w:space="0"/>
            </w:tcBorders>
            <w:vAlign w:val="center"/>
          </w:tcPr>
          <w:p w14:paraId="551C7994">
            <w:pPr>
              <w:adjustRightInd w:val="0"/>
              <w:snapToGrid w:val="0"/>
              <w:jc w:val="center"/>
              <w:rPr>
                <w:rFonts w:ascii="Arial" w:hAnsi="Arial" w:eastAsia="宋体" w:cs="Arial"/>
                <w:b/>
                <w:sz w:val="21"/>
                <w:szCs w:val="21"/>
              </w:rPr>
            </w:pPr>
            <w:r>
              <w:rPr>
                <w:rFonts w:ascii="Arial" w:hAnsi="Arial" w:eastAsia="宋体" w:cs="Arial"/>
                <w:b/>
                <w:sz w:val="21"/>
                <w:szCs w:val="21"/>
              </w:rPr>
              <w:t>变更后排放量</w:t>
            </w:r>
          </w:p>
        </w:tc>
        <w:tc>
          <w:tcPr>
            <w:tcW w:w="985" w:type="pct"/>
            <w:tcBorders>
              <w:top w:val="single" w:color="auto" w:sz="4" w:space="0"/>
              <w:left w:val="single" w:color="auto" w:sz="4" w:space="0"/>
              <w:bottom w:val="single" w:color="auto" w:sz="4" w:space="0"/>
              <w:right w:val="single" w:color="auto" w:sz="4" w:space="0"/>
            </w:tcBorders>
            <w:vAlign w:val="center"/>
          </w:tcPr>
          <w:p w14:paraId="407104CF">
            <w:pPr>
              <w:adjustRightInd w:val="0"/>
              <w:snapToGrid w:val="0"/>
              <w:jc w:val="center"/>
              <w:rPr>
                <w:rFonts w:ascii="Arial" w:hAnsi="Arial" w:eastAsia="宋体" w:cs="Arial"/>
                <w:b/>
                <w:sz w:val="21"/>
                <w:szCs w:val="21"/>
              </w:rPr>
            </w:pPr>
            <w:r>
              <w:rPr>
                <w:rFonts w:ascii="Arial" w:hAnsi="Arial" w:eastAsia="宋体" w:cs="Arial"/>
                <w:b/>
                <w:sz w:val="21"/>
                <w:szCs w:val="21"/>
              </w:rPr>
              <w:t>变更前后增减量</w:t>
            </w:r>
          </w:p>
        </w:tc>
      </w:tr>
      <w:tr w14:paraId="22C36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restart"/>
            <w:tcBorders>
              <w:left w:val="single" w:color="auto" w:sz="4" w:space="0"/>
              <w:right w:val="single" w:color="auto" w:sz="4" w:space="0"/>
            </w:tcBorders>
            <w:vAlign w:val="center"/>
          </w:tcPr>
          <w:p w14:paraId="02CE0C8A">
            <w:pPr>
              <w:widowControl/>
              <w:adjustRightInd w:val="0"/>
              <w:snapToGrid w:val="0"/>
              <w:jc w:val="center"/>
              <w:rPr>
                <w:rFonts w:ascii="Arial" w:hAnsi="Arial" w:eastAsia="宋体" w:cs="Arial"/>
                <w:sz w:val="21"/>
                <w:szCs w:val="21"/>
                <w:u w:val="single"/>
              </w:rPr>
            </w:pPr>
            <w:r>
              <w:rPr>
                <w:rFonts w:ascii="Arial" w:hAnsi="Arial" w:eastAsia="宋体" w:cs="Arial"/>
                <w:sz w:val="21"/>
                <w:szCs w:val="21"/>
                <w:u w:val="single"/>
              </w:rPr>
              <w:t>生产废水</w:t>
            </w:r>
          </w:p>
          <w:p w14:paraId="35C3C5C7">
            <w:pPr>
              <w:widowControl/>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（MVR开路母液）</w:t>
            </w:r>
          </w:p>
        </w:tc>
        <w:tc>
          <w:tcPr>
            <w:tcW w:w="742" w:type="pct"/>
            <w:tcBorders>
              <w:top w:val="single" w:color="auto" w:sz="4" w:space="0"/>
              <w:left w:val="single" w:color="auto" w:sz="4" w:space="0"/>
              <w:bottom w:val="single" w:color="auto" w:sz="4" w:space="0"/>
              <w:right w:val="single" w:color="auto" w:sz="4" w:space="0"/>
            </w:tcBorders>
            <w:vAlign w:val="center"/>
          </w:tcPr>
          <w:p w14:paraId="32872D40">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废水量</w:t>
            </w:r>
          </w:p>
        </w:tc>
        <w:tc>
          <w:tcPr>
            <w:tcW w:w="378" w:type="pct"/>
            <w:tcBorders>
              <w:top w:val="single" w:color="auto" w:sz="4" w:space="0"/>
              <w:left w:val="single" w:color="auto" w:sz="4" w:space="0"/>
              <w:bottom w:val="single" w:color="auto" w:sz="4" w:space="0"/>
              <w:right w:val="single" w:color="auto" w:sz="4" w:space="0"/>
            </w:tcBorders>
            <w:vAlign w:val="center"/>
          </w:tcPr>
          <w:p w14:paraId="06DFC573">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864" w:type="pct"/>
            <w:tcBorders>
              <w:top w:val="single" w:color="auto" w:sz="4" w:space="0"/>
              <w:left w:val="single" w:color="auto" w:sz="4" w:space="0"/>
              <w:bottom w:val="single" w:color="auto" w:sz="4" w:space="0"/>
              <w:right w:val="single" w:color="auto" w:sz="4" w:space="0"/>
            </w:tcBorders>
            <w:vAlign w:val="center"/>
          </w:tcPr>
          <w:p w14:paraId="51A66E0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864" w:type="pct"/>
            <w:tcBorders>
              <w:top w:val="single" w:color="auto" w:sz="4" w:space="0"/>
              <w:left w:val="single" w:color="auto" w:sz="4" w:space="0"/>
              <w:bottom w:val="single" w:color="auto" w:sz="4" w:space="0"/>
              <w:right w:val="single" w:color="auto" w:sz="4" w:space="0"/>
            </w:tcBorders>
            <w:vAlign w:val="center"/>
          </w:tcPr>
          <w:p w14:paraId="78D88EB5">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4690</w:t>
            </w:r>
          </w:p>
        </w:tc>
        <w:tc>
          <w:tcPr>
            <w:tcW w:w="985" w:type="pct"/>
            <w:tcBorders>
              <w:top w:val="single" w:color="auto" w:sz="4" w:space="0"/>
              <w:left w:val="single" w:color="auto" w:sz="4" w:space="0"/>
              <w:bottom w:val="single" w:color="auto" w:sz="4" w:space="0"/>
              <w:right w:val="single" w:color="auto" w:sz="4" w:space="0"/>
            </w:tcBorders>
            <w:vAlign w:val="center"/>
          </w:tcPr>
          <w:p w14:paraId="26E7B97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+4690</w:t>
            </w:r>
          </w:p>
        </w:tc>
      </w:tr>
      <w:tr w14:paraId="63A57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continue"/>
            <w:tcBorders>
              <w:left w:val="single" w:color="auto" w:sz="4" w:space="0"/>
              <w:right w:val="single" w:color="auto" w:sz="4" w:space="0"/>
            </w:tcBorders>
            <w:vAlign w:val="center"/>
          </w:tcPr>
          <w:p w14:paraId="3CD67BD7">
            <w:pPr>
              <w:widowControl/>
              <w:adjustRightInd w:val="0"/>
              <w:snapToGrid w:val="0"/>
              <w:jc w:val="center"/>
              <w:rPr>
                <w:rFonts w:ascii="Arial" w:hAnsi="Arial" w:eastAsia="宋体" w:cs="Arial"/>
                <w:sz w:val="21"/>
                <w:szCs w:val="21"/>
                <w:u w:val="single"/>
              </w:rPr>
            </w:pPr>
          </w:p>
        </w:tc>
        <w:tc>
          <w:tcPr>
            <w:tcW w:w="742" w:type="pct"/>
            <w:tcBorders>
              <w:top w:val="single" w:color="auto" w:sz="4" w:space="0"/>
              <w:left w:val="single" w:color="auto" w:sz="4" w:space="0"/>
              <w:bottom w:val="single" w:color="auto" w:sz="4" w:space="0"/>
              <w:right w:val="single" w:color="auto" w:sz="4" w:space="0"/>
            </w:tcBorders>
            <w:vAlign w:val="center"/>
          </w:tcPr>
          <w:p w14:paraId="0B59BEB3">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COD</w:t>
            </w:r>
          </w:p>
        </w:tc>
        <w:tc>
          <w:tcPr>
            <w:tcW w:w="378" w:type="pct"/>
            <w:tcBorders>
              <w:top w:val="single" w:color="auto" w:sz="4" w:space="0"/>
              <w:left w:val="single" w:color="auto" w:sz="4" w:space="0"/>
              <w:bottom w:val="single" w:color="auto" w:sz="4" w:space="0"/>
              <w:right w:val="single" w:color="auto" w:sz="4" w:space="0"/>
            </w:tcBorders>
            <w:vAlign w:val="center"/>
          </w:tcPr>
          <w:p w14:paraId="0CF59978">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864" w:type="pct"/>
            <w:tcBorders>
              <w:top w:val="single" w:color="auto" w:sz="4" w:space="0"/>
              <w:left w:val="single" w:color="auto" w:sz="4" w:space="0"/>
              <w:bottom w:val="single" w:color="auto" w:sz="4" w:space="0"/>
              <w:right w:val="single" w:color="auto" w:sz="4" w:space="0"/>
            </w:tcBorders>
            <w:vAlign w:val="center"/>
          </w:tcPr>
          <w:p w14:paraId="450D4C29">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864" w:type="pct"/>
            <w:tcBorders>
              <w:top w:val="single" w:color="auto" w:sz="4" w:space="0"/>
              <w:left w:val="single" w:color="auto" w:sz="4" w:space="0"/>
              <w:bottom w:val="single" w:color="auto" w:sz="4" w:space="0"/>
              <w:right w:val="single" w:color="auto" w:sz="4" w:space="0"/>
            </w:tcBorders>
            <w:vAlign w:val="center"/>
          </w:tcPr>
          <w:p w14:paraId="2A2FAA3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0.1806</w:t>
            </w:r>
          </w:p>
        </w:tc>
        <w:tc>
          <w:tcPr>
            <w:tcW w:w="985" w:type="pct"/>
            <w:tcBorders>
              <w:top w:val="single" w:color="auto" w:sz="4" w:space="0"/>
              <w:left w:val="single" w:color="auto" w:sz="4" w:space="0"/>
              <w:bottom w:val="single" w:color="auto" w:sz="4" w:space="0"/>
              <w:right w:val="single" w:color="auto" w:sz="4" w:space="0"/>
            </w:tcBorders>
            <w:vAlign w:val="center"/>
          </w:tcPr>
          <w:p w14:paraId="01A2F534">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+0.1806</w:t>
            </w:r>
          </w:p>
        </w:tc>
      </w:tr>
      <w:tr w14:paraId="5E28D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continue"/>
            <w:tcBorders>
              <w:left w:val="single" w:color="auto" w:sz="4" w:space="0"/>
              <w:right w:val="single" w:color="auto" w:sz="4" w:space="0"/>
            </w:tcBorders>
            <w:vAlign w:val="center"/>
          </w:tcPr>
          <w:p w14:paraId="5DA6FB3F">
            <w:pPr>
              <w:widowControl/>
              <w:adjustRightInd w:val="0"/>
              <w:snapToGrid w:val="0"/>
              <w:jc w:val="center"/>
              <w:rPr>
                <w:rFonts w:ascii="Arial" w:hAnsi="Arial" w:eastAsia="宋体" w:cs="Arial"/>
                <w:sz w:val="21"/>
                <w:szCs w:val="21"/>
                <w:u w:val="single"/>
              </w:rPr>
            </w:pPr>
          </w:p>
        </w:tc>
        <w:tc>
          <w:tcPr>
            <w:tcW w:w="742" w:type="pct"/>
            <w:tcBorders>
              <w:top w:val="single" w:color="auto" w:sz="4" w:space="0"/>
              <w:left w:val="single" w:color="auto" w:sz="4" w:space="0"/>
              <w:bottom w:val="single" w:color="auto" w:sz="4" w:space="0"/>
              <w:right w:val="single" w:color="auto" w:sz="4" w:space="0"/>
            </w:tcBorders>
            <w:vAlign w:val="center"/>
          </w:tcPr>
          <w:p w14:paraId="6A017707">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氨氮</w:t>
            </w:r>
          </w:p>
        </w:tc>
        <w:tc>
          <w:tcPr>
            <w:tcW w:w="378" w:type="pct"/>
            <w:tcBorders>
              <w:top w:val="single" w:color="auto" w:sz="4" w:space="0"/>
              <w:left w:val="single" w:color="auto" w:sz="4" w:space="0"/>
              <w:bottom w:val="single" w:color="auto" w:sz="4" w:space="0"/>
              <w:right w:val="single" w:color="auto" w:sz="4" w:space="0"/>
            </w:tcBorders>
            <w:vAlign w:val="center"/>
          </w:tcPr>
          <w:p w14:paraId="55402AE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864" w:type="pct"/>
            <w:tcBorders>
              <w:top w:val="single" w:color="auto" w:sz="4" w:space="0"/>
              <w:left w:val="single" w:color="auto" w:sz="4" w:space="0"/>
              <w:bottom w:val="single" w:color="auto" w:sz="4" w:space="0"/>
              <w:right w:val="single" w:color="auto" w:sz="4" w:space="0"/>
            </w:tcBorders>
            <w:vAlign w:val="center"/>
          </w:tcPr>
          <w:p w14:paraId="19BA8DDA">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864" w:type="pct"/>
            <w:tcBorders>
              <w:top w:val="single" w:color="auto" w:sz="4" w:space="0"/>
              <w:left w:val="single" w:color="auto" w:sz="4" w:space="0"/>
              <w:bottom w:val="single" w:color="auto" w:sz="4" w:space="0"/>
              <w:right w:val="single" w:color="auto" w:sz="4" w:space="0"/>
            </w:tcBorders>
            <w:vAlign w:val="center"/>
          </w:tcPr>
          <w:p w14:paraId="24E0A4E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0.0249</w:t>
            </w:r>
          </w:p>
        </w:tc>
        <w:tc>
          <w:tcPr>
            <w:tcW w:w="985" w:type="pct"/>
            <w:tcBorders>
              <w:top w:val="single" w:color="auto" w:sz="4" w:space="0"/>
              <w:left w:val="single" w:color="auto" w:sz="4" w:space="0"/>
              <w:bottom w:val="single" w:color="auto" w:sz="4" w:space="0"/>
              <w:right w:val="single" w:color="auto" w:sz="4" w:space="0"/>
            </w:tcBorders>
            <w:vAlign w:val="center"/>
          </w:tcPr>
          <w:p w14:paraId="59243C44">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+0.0249</w:t>
            </w:r>
          </w:p>
        </w:tc>
      </w:tr>
      <w:tr w14:paraId="6632E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continue"/>
            <w:tcBorders>
              <w:left w:val="single" w:color="auto" w:sz="4" w:space="0"/>
              <w:right w:val="single" w:color="auto" w:sz="4" w:space="0"/>
            </w:tcBorders>
            <w:vAlign w:val="center"/>
          </w:tcPr>
          <w:p w14:paraId="5F9605D9">
            <w:pPr>
              <w:widowControl/>
              <w:adjustRightInd w:val="0"/>
              <w:snapToGrid w:val="0"/>
              <w:jc w:val="center"/>
              <w:rPr>
                <w:rFonts w:ascii="Arial" w:hAnsi="Arial" w:eastAsia="宋体" w:cs="Arial"/>
                <w:sz w:val="21"/>
                <w:szCs w:val="21"/>
                <w:u w:val="single"/>
              </w:rPr>
            </w:pPr>
          </w:p>
        </w:tc>
        <w:tc>
          <w:tcPr>
            <w:tcW w:w="742" w:type="pct"/>
            <w:tcBorders>
              <w:top w:val="single" w:color="auto" w:sz="4" w:space="0"/>
              <w:left w:val="single" w:color="auto" w:sz="4" w:space="0"/>
              <w:bottom w:val="single" w:color="auto" w:sz="4" w:space="0"/>
              <w:right w:val="single" w:color="auto" w:sz="4" w:space="0"/>
            </w:tcBorders>
            <w:vAlign w:val="center"/>
          </w:tcPr>
          <w:p w14:paraId="196B3E6F">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硫酸盐</w:t>
            </w:r>
          </w:p>
        </w:tc>
        <w:tc>
          <w:tcPr>
            <w:tcW w:w="378" w:type="pct"/>
            <w:tcBorders>
              <w:top w:val="single" w:color="auto" w:sz="4" w:space="0"/>
              <w:left w:val="single" w:color="auto" w:sz="4" w:space="0"/>
              <w:bottom w:val="single" w:color="auto" w:sz="4" w:space="0"/>
              <w:right w:val="single" w:color="auto" w:sz="4" w:space="0"/>
            </w:tcBorders>
            <w:vAlign w:val="center"/>
          </w:tcPr>
          <w:p w14:paraId="4246F1A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864" w:type="pct"/>
            <w:tcBorders>
              <w:top w:val="single" w:color="auto" w:sz="4" w:space="0"/>
              <w:left w:val="single" w:color="auto" w:sz="4" w:space="0"/>
              <w:bottom w:val="single" w:color="auto" w:sz="4" w:space="0"/>
              <w:right w:val="single" w:color="auto" w:sz="4" w:space="0"/>
            </w:tcBorders>
            <w:vAlign w:val="center"/>
          </w:tcPr>
          <w:p w14:paraId="36B27362">
            <w:pPr>
              <w:adjustRightInd w:val="0"/>
              <w:snapToGrid w:val="0"/>
              <w:jc w:val="center"/>
              <w:rPr>
                <w:rFonts w:ascii="Arial" w:hAnsi="Arial" w:cs="Arial"/>
                <w:sz w:val="21"/>
                <w:szCs w:val="21"/>
                <w:u w:val="single"/>
              </w:rPr>
            </w:pPr>
            <w:r>
              <w:rPr>
                <w:rFonts w:hint="eastAsia" w:ascii="Arial" w:hAnsi="Arial" w:cs="Arial"/>
                <w:sz w:val="21"/>
                <w:szCs w:val="21"/>
                <w:u w:val="single"/>
              </w:rPr>
              <w:t>0</w:t>
            </w:r>
          </w:p>
        </w:tc>
        <w:tc>
          <w:tcPr>
            <w:tcW w:w="864" w:type="pct"/>
            <w:tcBorders>
              <w:top w:val="single" w:color="auto" w:sz="4" w:space="0"/>
              <w:left w:val="single" w:color="auto" w:sz="4" w:space="0"/>
              <w:bottom w:val="single" w:color="auto" w:sz="4" w:space="0"/>
              <w:right w:val="single" w:color="auto" w:sz="4" w:space="0"/>
            </w:tcBorders>
            <w:vAlign w:val="center"/>
          </w:tcPr>
          <w:p w14:paraId="770141E7">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86.1084</w:t>
            </w:r>
          </w:p>
        </w:tc>
        <w:tc>
          <w:tcPr>
            <w:tcW w:w="985" w:type="pct"/>
            <w:tcBorders>
              <w:top w:val="single" w:color="auto" w:sz="4" w:space="0"/>
              <w:left w:val="single" w:color="auto" w:sz="4" w:space="0"/>
              <w:bottom w:val="single" w:color="auto" w:sz="4" w:space="0"/>
              <w:right w:val="single" w:color="auto" w:sz="4" w:space="0"/>
            </w:tcBorders>
            <w:vAlign w:val="center"/>
          </w:tcPr>
          <w:p w14:paraId="064A29D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+86.1084</w:t>
            </w:r>
          </w:p>
        </w:tc>
      </w:tr>
      <w:tr w14:paraId="594A6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continue"/>
            <w:tcBorders>
              <w:left w:val="single" w:color="auto" w:sz="4" w:space="0"/>
              <w:right w:val="single" w:color="auto" w:sz="4" w:space="0"/>
            </w:tcBorders>
            <w:vAlign w:val="center"/>
          </w:tcPr>
          <w:p w14:paraId="495A4E78">
            <w:pPr>
              <w:widowControl/>
              <w:adjustRightInd w:val="0"/>
              <w:snapToGrid w:val="0"/>
              <w:jc w:val="center"/>
              <w:rPr>
                <w:rFonts w:ascii="Arial" w:hAnsi="Arial" w:eastAsia="宋体" w:cs="Arial"/>
                <w:sz w:val="21"/>
                <w:szCs w:val="21"/>
                <w:u w:val="single"/>
              </w:rPr>
            </w:pPr>
          </w:p>
        </w:tc>
        <w:tc>
          <w:tcPr>
            <w:tcW w:w="742" w:type="pct"/>
            <w:tcBorders>
              <w:top w:val="single" w:color="auto" w:sz="4" w:space="0"/>
              <w:left w:val="single" w:color="auto" w:sz="4" w:space="0"/>
              <w:bottom w:val="single" w:color="auto" w:sz="4" w:space="0"/>
              <w:right w:val="single" w:color="auto" w:sz="4" w:space="0"/>
            </w:tcBorders>
            <w:vAlign w:val="center"/>
          </w:tcPr>
          <w:p w14:paraId="28813C5E">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钴</w:t>
            </w:r>
          </w:p>
        </w:tc>
        <w:tc>
          <w:tcPr>
            <w:tcW w:w="378" w:type="pct"/>
            <w:tcBorders>
              <w:top w:val="single" w:color="auto" w:sz="4" w:space="0"/>
              <w:left w:val="single" w:color="auto" w:sz="4" w:space="0"/>
              <w:bottom w:val="single" w:color="auto" w:sz="4" w:space="0"/>
              <w:right w:val="single" w:color="auto" w:sz="4" w:space="0"/>
            </w:tcBorders>
            <w:vAlign w:val="center"/>
          </w:tcPr>
          <w:p w14:paraId="00F5B5C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864" w:type="pct"/>
            <w:tcBorders>
              <w:top w:val="single" w:color="auto" w:sz="4" w:space="0"/>
              <w:left w:val="single" w:color="auto" w:sz="4" w:space="0"/>
              <w:bottom w:val="single" w:color="auto" w:sz="4" w:space="0"/>
              <w:right w:val="single" w:color="auto" w:sz="4" w:space="0"/>
            </w:tcBorders>
            <w:vAlign w:val="center"/>
          </w:tcPr>
          <w:p w14:paraId="6D4B1550">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864" w:type="pct"/>
            <w:tcBorders>
              <w:top w:val="single" w:color="auto" w:sz="4" w:space="0"/>
              <w:left w:val="single" w:color="auto" w:sz="4" w:space="0"/>
              <w:bottom w:val="single" w:color="auto" w:sz="4" w:space="0"/>
              <w:right w:val="single" w:color="auto" w:sz="4" w:space="0"/>
            </w:tcBorders>
            <w:vAlign w:val="center"/>
          </w:tcPr>
          <w:p w14:paraId="747D9A97">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0.0006</w:t>
            </w:r>
          </w:p>
        </w:tc>
        <w:tc>
          <w:tcPr>
            <w:tcW w:w="985" w:type="pct"/>
            <w:tcBorders>
              <w:top w:val="single" w:color="auto" w:sz="4" w:space="0"/>
              <w:left w:val="single" w:color="auto" w:sz="4" w:space="0"/>
              <w:bottom w:val="single" w:color="auto" w:sz="4" w:space="0"/>
              <w:right w:val="single" w:color="auto" w:sz="4" w:space="0"/>
            </w:tcBorders>
            <w:vAlign w:val="center"/>
          </w:tcPr>
          <w:p w14:paraId="11A09A4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+0.0006</w:t>
            </w:r>
          </w:p>
        </w:tc>
      </w:tr>
      <w:tr w14:paraId="4D7F2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restart"/>
            <w:tcBorders>
              <w:left w:val="single" w:color="auto" w:sz="4" w:space="0"/>
              <w:right w:val="single" w:color="auto" w:sz="4" w:space="0"/>
            </w:tcBorders>
            <w:vAlign w:val="center"/>
          </w:tcPr>
          <w:p w14:paraId="1715AC07">
            <w:pPr>
              <w:widowControl/>
              <w:adjustRightInd w:val="0"/>
              <w:snapToGrid w:val="0"/>
              <w:jc w:val="center"/>
              <w:rPr>
                <w:rFonts w:ascii="Arial" w:hAnsi="Arial" w:eastAsia="宋体" w:cs="Arial"/>
                <w:sz w:val="21"/>
                <w:szCs w:val="21"/>
                <w:u w:val="single"/>
              </w:rPr>
            </w:pPr>
            <w:r>
              <w:rPr>
                <w:rFonts w:ascii="Arial" w:hAnsi="Arial" w:eastAsia="宋体" w:cs="Arial"/>
                <w:sz w:val="21"/>
                <w:szCs w:val="21"/>
                <w:u w:val="single"/>
              </w:rPr>
              <w:t>纯水站浓水</w:t>
            </w:r>
          </w:p>
        </w:tc>
        <w:tc>
          <w:tcPr>
            <w:tcW w:w="742" w:type="pct"/>
            <w:tcBorders>
              <w:top w:val="single" w:color="auto" w:sz="4" w:space="0"/>
              <w:left w:val="single" w:color="auto" w:sz="4" w:space="0"/>
              <w:bottom w:val="single" w:color="auto" w:sz="4" w:space="0"/>
              <w:right w:val="single" w:color="auto" w:sz="4" w:space="0"/>
            </w:tcBorders>
            <w:vAlign w:val="center"/>
          </w:tcPr>
          <w:p w14:paraId="35755040">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废水量</w:t>
            </w:r>
          </w:p>
        </w:tc>
        <w:tc>
          <w:tcPr>
            <w:tcW w:w="378" w:type="pct"/>
            <w:tcBorders>
              <w:top w:val="single" w:color="auto" w:sz="4" w:space="0"/>
              <w:left w:val="single" w:color="auto" w:sz="4" w:space="0"/>
              <w:bottom w:val="single" w:color="auto" w:sz="4" w:space="0"/>
              <w:right w:val="single" w:color="auto" w:sz="4" w:space="0"/>
            </w:tcBorders>
            <w:vAlign w:val="center"/>
          </w:tcPr>
          <w:p w14:paraId="70947A9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864" w:type="pct"/>
            <w:tcBorders>
              <w:top w:val="single" w:color="auto" w:sz="4" w:space="0"/>
              <w:left w:val="single" w:color="auto" w:sz="4" w:space="0"/>
              <w:bottom w:val="single" w:color="auto" w:sz="4" w:space="0"/>
              <w:right w:val="single" w:color="auto" w:sz="4" w:space="0"/>
            </w:tcBorders>
            <w:vAlign w:val="center"/>
          </w:tcPr>
          <w:p w14:paraId="0B2F0C48">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144767.7</w:t>
            </w:r>
          </w:p>
        </w:tc>
        <w:tc>
          <w:tcPr>
            <w:tcW w:w="864" w:type="pct"/>
            <w:tcBorders>
              <w:top w:val="single" w:color="auto" w:sz="4" w:space="0"/>
              <w:left w:val="single" w:color="auto" w:sz="4" w:space="0"/>
              <w:bottom w:val="single" w:color="auto" w:sz="4" w:space="0"/>
              <w:right w:val="single" w:color="auto" w:sz="4" w:space="0"/>
            </w:tcBorders>
            <w:vAlign w:val="center"/>
          </w:tcPr>
          <w:p w14:paraId="26F6E686">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21364.2</w:t>
            </w:r>
          </w:p>
        </w:tc>
        <w:tc>
          <w:tcPr>
            <w:tcW w:w="985" w:type="pct"/>
            <w:tcBorders>
              <w:top w:val="single" w:color="auto" w:sz="4" w:space="0"/>
              <w:left w:val="single" w:color="auto" w:sz="4" w:space="0"/>
              <w:bottom w:val="single" w:color="auto" w:sz="4" w:space="0"/>
              <w:right w:val="single" w:color="auto" w:sz="4" w:space="0"/>
            </w:tcBorders>
            <w:vAlign w:val="center"/>
          </w:tcPr>
          <w:p w14:paraId="68F65747">
            <w:pPr>
              <w:adjustRightInd w:val="0"/>
              <w:snapToGrid w:val="0"/>
              <w:jc w:val="center"/>
              <w:rPr>
                <w:rFonts w:ascii="Arial" w:hAnsi="Arial" w:eastAsia="宋体" w:cs="Arial"/>
                <w:sz w:val="21"/>
                <w:szCs w:val="21"/>
                <w:u w:val="single"/>
              </w:rPr>
            </w:pPr>
            <w:r>
              <w:rPr>
                <w:rFonts w:ascii="Arial" w:hAnsi="Arial" w:cs="Arial"/>
                <w:sz w:val="21"/>
                <w:szCs w:val="21"/>
                <w:u w:val="single"/>
              </w:rPr>
              <w:t>-123403.5</w:t>
            </w:r>
          </w:p>
        </w:tc>
      </w:tr>
      <w:tr w14:paraId="03022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continue"/>
            <w:tcBorders>
              <w:left w:val="single" w:color="auto" w:sz="4" w:space="0"/>
              <w:right w:val="single" w:color="auto" w:sz="4" w:space="0"/>
            </w:tcBorders>
            <w:vAlign w:val="center"/>
          </w:tcPr>
          <w:p w14:paraId="22D1EEA4">
            <w:pPr>
              <w:widowControl/>
              <w:adjustRightInd w:val="0"/>
              <w:snapToGrid w:val="0"/>
              <w:jc w:val="center"/>
              <w:rPr>
                <w:rFonts w:ascii="Arial" w:hAnsi="Arial" w:eastAsia="宋体" w:cs="Arial"/>
                <w:sz w:val="21"/>
                <w:szCs w:val="21"/>
                <w:u w:val="single"/>
              </w:rPr>
            </w:pPr>
          </w:p>
        </w:tc>
        <w:tc>
          <w:tcPr>
            <w:tcW w:w="742" w:type="pct"/>
            <w:tcBorders>
              <w:top w:val="single" w:color="auto" w:sz="4" w:space="0"/>
              <w:left w:val="single" w:color="auto" w:sz="4" w:space="0"/>
              <w:bottom w:val="single" w:color="auto" w:sz="4" w:space="0"/>
              <w:right w:val="single" w:color="auto" w:sz="4" w:space="0"/>
            </w:tcBorders>
            <w:vAlign w:val="center"/>
          </w:tcPr>
          <w:p w14:paraId="6ABCDD6C">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硫酸盐</w:t>
            </w:r>
          </w:p>
        </w:tc>
        <w:tc>
          <w:tcPr>
            <w:tcW w:w="378" w:type="pct"/>
            <w:tcBorders>
              <w:top w:val="single" w:color="auto" w:sz="4" w:space="0"/>
              <w:left w:val="single" w:color="auto" w:sz="4" w:space="0"/>
              <w:bottom w:val="single" w:color="auto" w:sz="4" w:space="0"/>
              <w:right w:val="single" w:color="auto" w:sz="4" w:space="0"/>
            </w:tcBorders>
            <w:vAlign w:val="center"/>
          </w:tcPr>
          <w:p w14:paraId="6A875BE3">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864" w:type="pct"/>
            <w:tcBorders>
              <w:top w:val="single" w:color="auto" w:sz="4" w:space="0"/>
              <w:left w:val="single" w:color="auto" w:sz="4" w:space="0"/>
              <w:bottom w:val="single" w:color="auto" w:sz="4" w:space="0"/>
              <w:right w:val="single" w:color="auto" w:sz="4" w:space="0"/>
            </w:tcBorders>
            <w:vAlign w:val="center"/>
          </w:tcPr>
          <w:p w14:paraId="65DD03A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28.9535</w:t>
            </w:r>
          </w:p>
        </w:tc>
        <w:tc>
          <w:tcPr>
            <w:tcW w:w="864" w:type="pct"/>
            <w:tcBorders>
              <w:top w:val="single" w:color="auto" w:sz="4" w:space="0"/>
              <w:left w:val="single" w:color="auto" w:sz="4" w:space="0"/>
              <w:bottom w:val="single" w:color="auto" w:sz="4" w:space="0"/>
              <w:right w:val="single" w:color="auto" w:sz="4" w:space="0"/>
            </w:tcBorders>
            <w:vAlign w:val="center"/>
          </w:tcPr>
          <w:p w14:paraId="6AE13477">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4.2728</w:t>
            </w:r>
          </w:p>
        </w:tc>
        <w:tc>
          <w:tcPr>
            <w:tcW w:w="985" w:type="pct"/>
            <w:tcBorders>
              <w:top w:val="single" w:color="auto" w:sz="4" w:space="0"/>
              <w:left w:val="single" w:color="auto" w:sz="4" w:space="0"/>
              <w:bottom w:val="single" w:color="auto" w:sz="4" w:space="0"/>
              <w:right w:val="single" w:color="auto" w:sz="4" w:space="0"/>
            </w:tcBorders>
            <w:vAlign w:val="center"/>
          </w:tcPr>
          <w:p w14:paraId="5CA6B888">
            <w:pPr>
              <w:adjustRightInd w:val="0"/>
              <w:snapToGrid w:val="0"/>
              <w:jc w:val="center"/>
              <w:rPr>
                <w:rFonts w:ascii="Arial" w:hAnsi="Arial" w:eastAsia="宋体" w:cs="Arial"/>
                <w:sz w:val="21"/>
                <w:szCs w:val="21"/>
                <w:u w:val="single"/>
              </w:rPr>
            </w:pPr>
            <w:r>
              <w:rPr>
                <w:rFonts w:ascii="Arial" w:hAnsi="Arial" w:cs="Arial"/>
                <w:sz w:val="21"/>
                <w:szCs w:val="21"/>
                <w:u w:val="single"/>
              </w:rPr>
              <w:t>-24.6807</w:t>
            </w:r>
          </w:p>
        </w:tc>
      </w:tr>
      <w:tr w14:paraId="0F7B5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continue"/>
            <w:tcBorders>
              <w:left w:val="single" w:color="auto" w:sz="4" w:space="0"/>
              <w:right w:val="single" w:color="auto" w:sz="4" w:space="0"/>
            </w:tcBorders>
            <w:vAlign w:val="center"/>
          </w:tcPr>
          <w:p w14:paraId="052A0136">
            <w:pPr>
              <w:widowControl/>
              <w:adjustRightInd w:val="0"/>
              <w:snapToGrid w:val="0"/>
              <w:jc w:val="center"/>
              <w:rPr>
                <w:rFonts w:ascii="Arial" w:hAnsi="Arial" w:eastAsia="宋体" w:cs="Arial"/>
                <w:sz w:val="21"/>
                <w:szCs w:val="21"/>
                <w:u w:val="single"/>
              </w:rPr>
            </w:pPr>
          </w:p>
        </w:tc>
        <w:tc>
          <w:tcPr>
            <w:tcW w:w="742" w:type="pct"/>
            <w:tcBorders>
              <w:top w:val="single" w:color="auto" w:sz="4" w:space="0"/>
              <w:left w:val="single" w:color="auto" w:sz="4" w:space="0"/>
              <w:bottom w:val="single" w:color="auto" w:sz="4" w:space="0"/>
              <w:right w:val="single" w:color="auto" w:sz="4" w:space="0"/>
            </w:tcBorders>
            <w:vAlign w:val="center"/>
          </w:tcPr>
          <w:p w14:paraId="377D3A3B">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氯化物</w:t>
            </w:r>
          </w:p>
        </w:tc>
        <w:tc>
          <w:tcPr>
            <w:tcW w:w="378" w:type="pct"/>
            <w:tcBorders>
              <w:top w:val="single" w:color="auto" w:sz="4" w:space="0"/>
              <w:left w:val="single" w:color="auto" w:sz="4" w:space="0"/>
              <w:bottom w:val="single" w:color="auto" w:sz="4" w:space="0"/>
              <w:right w:val="single" w:color="auto" w:sz="4" w:space="0"/>
            </w:tcBorders>
            <w:vAlign w:val="center"/>
          </w:tcPr>
          <w:p w14:paraId="5A2FAA1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864" w:type="pct"/>
            <w:tcBorders>
              <w:top w:val="single" w:color="auto" w:sz="4" w:space="0"/>
              <w:left w:val="single" w:color="auto" w:sz="4" w:space="0"/>
              <w:bottom w:val="single" w:color="auto" w:sz="4" w:space="0"/>
              <w:right w:val="single" w:color="auto" w:sz="4" w:space="0"/>
            </w:tcBorders>
            <w:vAlign w:val="center"/>
          </w:tcPr>
          <w:p w14:paraId="719CF58A">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8.6861</w:t>
            </w:r>
          </w:p>
        </w:tc>
        <w:tc>
          <w:tcPr>
            <w:tcW w:w="864" w:type="pct"/>
            <w:tcBorders>
              <w:top w:val="single" w:color="auto" w:sz="4" w:space="0"/>
              <w:left w:val="single" w:color="auto" w:sz="4" w:space="0"/>
              <w:bottom w:val="single" w:color="auto" w:sz="4" w:space="0"/>
              <w:right w:val="single" w:color="auto" w:sz="4" w:space="0"/>
            </w:tcBorders>
            <w:vAlign w:val="center"/>
          </w:tcPr>
          <w:p w14:paraId="2D84B063">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1.2819</w:t>
            </w:r>
          </w:p>
        </w:tc>
        <w:tc>
          <w:tcPr>
            <w:tcW w:w="985" w:type="pct"/>
            <w:tcBorders>
              <w:top w:val="single" w:color="auto" w:sz="4" w:space="0"/>
              <w:left w:val="single" w:color="auto" w:sz="4" w:space="0"/>
              <w:bottom w:val="single" w:color="auto" w:sz="4" w:space="0"/>
              <w:right w:val="single" w:color="auto" w:sz="4" w:space="0"/>
            </w:tcBorders>
            <w:vAlign w:val="center"/>
          </w:tcPr>
          <w:p w14:paraId="566F862D">
            <w:pPr>
              <w:adjustRightInd w:val="0"/>
              <w:snapToGrid w:val="0"/>
              <w:jc w:val="center"/>
              <w:rPr>
                <w:rFonts w:ascii="Arial" w:hAnsi="Arial" w:eastAsia="宋体" w:cs="Arial"/>
                <w:sz w:val="21"/>
                <w:szCs w:val="21"/>
                <w:u w:val="single"/>
              </w:rPr>
            </w:pPr>
            <w:r>
              <w:rPr>
                <w:rFonts w:ascii="Arial" w:hAnsi="Arial" w:cs="Arial"/>
                <w:sz w:val="21"/>
                <w:szCs w:val="21"/>
                <w:u w:val="single"/>
              </w:rPr>
              <w:t>-7.4042</w:t>
            </w:r>
          </w:p>
        </w:tc>
      </w:tr>
      <w:tr w14:paraId="6D971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continue"/>
            <w:tcBorders>
              <w:left w:val="single" w:color="auto" w:sz="4" w:space="0"/>
              <w:right w:val="single" w:color="auto" w:sz="4" w:space="0"/>
            </w:tcBorders>
            <w:vAlign w:val="center"/>
          </w:tcPr>
          <w:p w14:paraId="0B14A503">
            <w:pPr>
              <w:widowControl/>
              <w:adjustRightInd w:val="0"/>
              <w:snapToGrid w:val="0"/>
              <w:jc w:val="center"/>
              <w:rPr>
                <w:rFonts w:ascii="Arial" w:hAnsi="Arial" w:eastAsia="宋体" w:cs="Arial"/>
                <w:sz w:val="21"/>
                <w:szCs w:val="21"/>
                <w:u w:val="single"/>
              </w:rPr>
            </w:pPr>
          </w:p>
        </w:tc>
        <w:tc>
          <w:tcPr>
            <w:tcW w:w="742" w:type="pct"/>
            <w:tcBorders>
              <w:top w:val="single" w:color="auto" w:sz="4" w:space="0"/>
              <w:left w:val="single" w:color="auto" w:sz="4" w:space="0"/>
              <w:bottom w:val="single" w:color="auto" w:sz="4" w:space="0"/>
              <w:right w:val="single" w:color="auto" w:sz="4" w:space="0"/>
            </w:tcBorders>
            <w:vAlign w:val="center"/>
          </w:tcPr>
          <w:p w14:paraId="320B2547">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全盐量</w:t>
            </w:r>
          </w:p>
        </w:tc>
        <w:tc>
          <w:tcPr>
            <w:tcW w:w="378" w:type="pct"/>
            <w:tcBorders>
              <w:top w:val="single" w:color="auto" w:sz="4" w:space="0"/>
              <w:left w:val="single" w:color="auto" w:sz="4" w:space="0"/>
              <w:bottom w:val="single" w:color="auto" w:sz="4" w:space="0"/>
              <w:right w:val="single" w:color="auto" w:sz="4" w:space="0"/>
            </w:tcBorders>
            <w:vAlign w:val="center"/>
          </w:tcPr>
          <w:p w14:paraId="70A1EFA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t/a</w:t>
            </w:r>
          </w:p>
        </w:tc>
        <w:tc>
          <w:tcPr>
            <w:tcW w:w="864" w:type="pct"/>
            <w:tcBorders>
              <w:top w:val="single" w:color="auto" w:sz="4" w:space="0"/>
              <w:left w:val="single" w:color="auto" w:sz="4" w:space="0"/>
              <w:bottom w:val="single" w:color="auto" w:sz="4" w:space="0"/>
              <w:right w:val="single" w:color="auto" w:sz="4" w:space="0"/>
            </w:tcBorders>
            <w:vAlign w:val="center"/>
          </w:tcPr>
          <w:p w14:paraId="0F74CCB7">
            <w:pPr>
              <w:adjustRightInd w:val="0"/>
              <w:snapToGrid w:val="0"/>
              <w:jc w:val="center"/>
              <w:rPr>
                <w:rFonts w:ascii="Arial" w:hAnsi="Arial" w:cs="Arial"/>
                <w:sz w:val="21"/>
                <w:szCs w:val="21"/>
                <w:u w:val="single"/>
              </w:rPr>
            </w:pPr>
            <w:r>
              <w:rPr>
                <w:rFonts w:hint="eastAsia" w:ascii="Arial" w:hAnsi="Arial" w:cs="Arial"/>
                <w:sz w:val="21"/>
                <w:szCs w:val="21"/>
                <w:u w:val="single"/>
              </w:rPr>
              <w:t>37.6396</w:t>
            </w:r>
          </w:p>
        </w:tc>
        <w:tc>
          <w:tcPr>
            <w:tcW w:w="864" w:type="pct"/>
            <w:tcBorders>
              <w:top w:val="single" w:color="auto" w:sz="4" w:space="0"/>
              <w:left w:val="single" w:color="auto" w:sz="4" w:space="0"/>
              <w:bottom w:val="single" w:color="auto" w:sz="4" w:space="0"/>
              <w:right w:val="single" w:color="auto" w:sz="4" w:space="0"/>
            </w:tcBorders>
            <w:vAlign w:val="center"/>
          </w:tcPr>
          <w:p w14:paraId="0EDE4E8B">
            <w:pPr>
              <w:adjustRightInd w:val="0"/>
              <w:snapToGrid w:val="0"/>
              <w:jc w:val="center"/>
              <w:rPr>
                <w:rFonts w:ascii="Arial" w:hAnsi="Arial" w:cs="Arial"/>
                <w:sz w:val="21"/>
                <w:szCs w:val="21"/>
                <w:u w:val="single"/>
              </w:rPr>
            </w:pPr>
            <w:r>
              <w:rPr>
                <w:rFonts w:hint="eastAsia" w:ascii="Arial" w:hAnsi="Arial" w:cs="Arial"/>
                <w:sz w:val="21"/>
                <w:szCs w:val="21"/>
                <w:u w:val="single"/>
              </w:rPr>
              <w:t>5.5547</w:t>
            </w:r>
          </w:p>
        </w:tc>
        <w:tc>
          <w:tcPr>
            <w:tcW w:w="985" w:type="pct"/>
            <w:tcBorders>
              <w:top w:val="single" w:color="auto" w:sz="4" w:space="0"/>
              <w:left w:val="single" w:color="auto" w:sz="4" w:space="0"/>
              <w:bottom w:val="single" w:color="auto" w:sz="4" w:space="0"/>
              <w:right w:val="single" w:color="auto" w:sz="4" w:space="0"/>
            </w:tcBorders>
            <w:vAlign w:val="center"/>
          </w:tcPr>
          <w:p w14:paraId="0177D79B">
            <w:pPr>
              <w:adjustRightInd w:val="0"/>
              <w:snapToGrid w:val="0"/>
              <w:jc w:val="center"/>
              <w:rPr>
                <w:rFonts w:ascii="Arial" w:hAnsi="Arial" w:eastAsia="宋体" w:cs="Arial"/>
                <w:sz w:val="21"/>
                <w:szCs w:val="21"/>
                <w:u w:val="single"/>
              </w:rPr>
            </w:pPr>
            <w:r>
              <w:rPr>
                <w:rFonts w:ascii="Arial" w:hAnsi="Arial" w:cs="Arial"/>
                <w:sz w:val="21"/>
                <w:szCs w:val="21"/>
                <w:u w:val="single"/>
              </w:rPr>
              <w:t>-32.0849</w:t>
            </w:r>
          </w:p>
        </w:tc>
      </w:tr>
      <w:tr w14:paraId="353AD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restart"/>
            <w:tcBorders>
              <w:left w:val="single" w:color="auto" w:sz="4" w:space="0"/>
              <w:right w:val="single" w:color="auto" w:sz="4" w:space="0"/>
            </w:tcBorders>
            <w:vAlign w:val="center"/>
          </w:tcPr>
          <w:p w14:paraId="583881AC">
            <w:pPr>
              <w:widowControl/>
              <w:adjustRightInd w:val="0"/>
              <w:snapToGrid w:val="0"/>
              <w:jc w:val="center"/>
              <w:rPr>
                <w:rFonts w:ascii="Arial" w:hAnsi="Arial" w:eastAsia="宋体" w:cs="Arial"/>
                <w:sz w:val="21"/>
                <w:szCs w:val="21"/>
              </w:rPr>
            </w:pPr>
            <w:r>
              <w:rPr>
                <w:rFonts w:ascii="Arial" w:hAnsi="Arial" w:eastAsia="宋体" w:cs="Arial"/>
                <w:sz w:val="21"/>
                <w:szCs w:val="21"/>
              </w:rPr>
              <w:t>生活污水</w:t>
            </w:r>
          </w:p>
        </w:tc>
        <w:tc>
          <w:tcPr>
            <w:tcW w:w="742" w:type="pct"/>
            <w:tcBorders>
              <w:top w:val="single" w:color="auto" w:sz="4" w:space="0"/>
              <w:left w:val="single" w:color="auto" w:sz="4" w:space="0"/>
              <w:bottom w:val="single" w:color="auto" w:sz="4" w:space="0"/>
              <w:right w:val="single" w:color="auto" w:sz="4" w:space="0"/>
            </w:tcBorders>
            <w:vAlign w:val="center"/>
          </w:tcPr>
          <w:p w14:paraId="0AD383C5">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378" w:type="pct"/>
            <w:tcBorders>
              <w:top w:val="single" w:color="auto" w:sz="4" w:space="0"/>
              <w:left w:val="single" w:color="auto" w:sz="4" w:space="0"/>
              <w:bottom w:val="single" w:color="auto" w:sz="4" w:space="0"/>
              <w:right w:val="single" w:color="auto" w:sz="4" w:space="0"/>
            </w:tcBorders>
            <w:vAlign w:val="center"/>
          </w:tcPr>
          <w:p w14:paraId="6F72DFB3">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864" w:type="pct"/>
            <w:tcBorders>
              <w:top w:val="single" w:color="auto" w:sz="4" w:space="0"/>
              <w:left w:val="single" w:color="auto" w:sz="4" w:space="0"/>
              <w:bottom w:val="single" w:color="auto" w:sz="4" w:space="0"/>
              <w:right w:val="single" w:color="auto" w:sz="4" w:space="0"/>
            </w:tcBorders>
            <w:vAlign w:val="center"/>
          </w:tcPr>
          <w:p w14:paraId="24FCCCA4">
            <w:pPr>
              <w:pStyle w:val="5"/>
              <w:adjustRightInd w:val="0"/>
              <w:snapToGrid w:val="0"/>
              <w:spacing w:line="240" w:lineRule="auto"/>
              <w:ind w:firstLine="0"/>
              <w:jc w:val="center"/>
              <w:rPr>
                <w:sz w:val="21"/>
              </w:rPr>
            </w:pPr>
            <w:r>
              <w:rPr>
                <w:rFonts w:hint="eastAsia"/>
                <w:sz w:val="21"/>
              </w:rPr>
              <w:t>1584</w:t>
            </w:r>
          </w:p>
        </w:tc>
        <w:tc>
          <w:tcPr>
            <w:tcW w:w="864" w:type="pct"/>
            <w:tcBorders>
              <w:top w:val="single" w:color="auto" w:sz="4" w:space="0"/>
              <w:left w:val="single" w:color="auto" w:sz="4" w:space="0"/>
              <w:bottom w:val="single" w:color="auto" w:sz="4" w:space="0"/>
              <w:right w:val="single" w:color="auto" w:sz="4" w:space="0"/>
            </w:tcBorders>
            <w:vAlign w:val="center"/>
          </w:tcPr>
          <w:p w14:paraId="114377BD">
            <w:pPr>
              <w:pStyle w:val="5"/>
              <w:adjustRightInd w:val="0"/>
              <w:snapToGrid w:val="0"/>
              <w:spacing w:line="240" w:lineRule="auto"/>
              <w:ind w:firstLine="0"/>
              <w:jc w:val="center"/>
              <w:rPr>
                <w:sz w:val="21"/>
              </w:rPr>
            </w:pPr>
            <w:r>
              <w:rPr>
                <w:rFonts w:hint="eastAsia"/>
                <w:sz w:val="21"/>
              </w:rPr>
              <w:t>1584</w:t>
            </w:r>
          </w:p>
        </w:tc>
        <w:tc>
          <w:tcPr>
            <w:tcW w:w="985" w:type="pct"/>
            <w:tcBorders>
              <w:top w:val="single" w:color="auto" w:sz="4" w:space="0"/>
              <w:left w:val="single" w:color="auto" w:sz="4" w:space="0"/>
              <w:bottom w:val="single" w:color="auto" w:sz="4" w:space="0"/>
              <w:right w:val="single" w:color="auto" w:sz="4" w:space="0"/>
            </w:tcBorders>
            <w:vAlign w:val="center"/>
          </w:tcPr>
          <w:p w14:paraId="64553E10">
            <w:pPr>
              <w:adjustRightInd w:val="0"/>
              <w:snapToGrid w:val="0"/>
              <w:jc w:val="center"/>
              <w:rPr>
                <w:rFonts w:ascii="Arial" w:hAnsi="Arial" w:eastAsia="宋体" w:cs="Arial"/>
                <w:sz w:val="21"/>
                <w:szCs w:val="21"/>
              </w:rPr>
            </w:pPr>
            <w:r>
              <w:rPr>
                <w:rFonts w:ascii="Arial" w:hAnsi="Arial" w:eastAsia="宋体" w:cs="Arial"/>
                <w:sz w:val="21"/>
                <w:szCs w:val="21"/>
              </w:rPr>
              <w:t>0</w:t>
            </w:r>
          </w:p>
        </w:tc>
      </w:tr>
      <w:tr w14:paraId="71E87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continue"/>
            <w:tcBorders>
              <w:left w:val="single" w:color="auto" w:sz="4" w:space="0"/>
              <w:right w:val="single" w:color="auto" w:sz="4" w:space="0"/>
            </w:tcBorders>
            <w:vAlign w:val="center"/>
          </w:tcPr>
          <w:p w14:paraId="2CB192D7">
            <w:pPr>
              <w:widowControl/>
              <w:adjustRightInd w:val="0"/>
              <w:snapToGrid w:val="0"/>
              <w:jc w:val="center"/>
              <w:rPr>
                <w:rFonts w:ascii="Arial" w:hAnsi="Arial" w:eastAsia="宋体" w:cs="Arial"/>
                <w:sz w:val="21"/>
                <w:szCs w:val="21"/>
              </w:rPr>
            </w:pPr>
          </w:p>
        </w:tc>
        <w:tc>
          <w:tcPr>
            <w:tcW w:w="742" w:type="pct"/>
            <w:tcBorders>
              <w:top w:val="single" w:color="auto" w:sz="4" w:space="0"/>
              <w:left w:val="single" w:color="auto" w:sz="4" w:space="0"/>
              <w:bottom w:val="single" w:color="auto" w:sz="4" w:space="0"/>
              <w:right w:val="single" w:color="auto" w:sz="4" w:space="0"/>
            </w:tcBorders>
            <w:vAlign w:val="center"/>
          </w:tcPr>
          <w:p w14:paraId="335B00F9">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378" w:type="pct"/>
            <w:tcBorders>
              <w:top w:val="single" w:color="auto" w:sz="4" w:space="0"/>
              <w:left w:val="single" w:color="auto" w:sz="4" w:space="0"/>
              <w:bottom w:val="single" w:color="auto" w:sz="4" w:space="0"/>
              <w:right w:val="single" w:color="auto" w:sz="4" w:space="0"/>
            </w:tcBorders>
            <w:vAlign w:val="center"/>
          </w:tcPr>
          <w:p w14:paraId="45411325">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864" w:type="pct"/>
            <w:tcBorders>
              <w:top w:val="single" w:color="auto" w:sz="4" w:space="0"/>
              <w:left w:val="single" w:color="auto" w:sz="4" w:space="0"/>
              <w:bottom w:val="single" w:color="auto" w:sz="4" w:space="0"/>
              <w:right w:val="single" w:color="auto" w:sz="4" w:space="0"/>
            </w:tcBorders>
            <w:vAlign w:val="center"/>
          </w:tcPr>
          <w:p w14:paraId="6C883F3E">
            <w:pPr>
              <w:pStyle w:val="5"/>
              <w:adjustRightInd w:val="0"/>
              <w:snapToGrid w:val="0"/>
              <w:spacing w:line="240" w:lineRule="auto"/>
              <w:ind w:firstLine="0"/>
              <w:jc w:val="center"/>
              <w:rPr>
                <w:sz w:val="21"/>
              </w:rPr>
            </w:pPr>
            <w:r>
              <w:rPr>
                <w:rFonts w:hint="eastAsia"/>
                <w:sz w:val="21"/>
              </w:rPr>
              <w:t>0.317</w:t>
            </w:r>
          </w:p>
        </w:tc>
        <w:tc>
          <w:tcPr>
            <w:tcW w:w="864" w:type="pct"/>
            <w:tcBorders>
              <w:top w:val="single" w:color="auto" w:sz="4" w:space="0"/>
              <w:left w:val="single" w:color="auto" w:sz="4" w:space="0"/>
              <w:bottom w:val="single" w:color="auto" w:sz="4" w:space="0"/>
              <w:right w:val="single" w:color="auto" w:sz="4" w:space="0"/>
            </w:tcBorders>
            <w:vAlign w:val="center"/>
          </w:tcPr>
          <w:p w14:paraId="41EF0E55">
            <w:pPr>
              <w:pStyle w:val="5"/>
              <w:adjustRightInd w:val="0"/>
              <w:snapToGrid w:val="0"/>
              <w:spacing w:line="240" w:lineRule="auto"/>
              <w:ind w:firstLine="0"/>
              <w:jc w:val="center"/>
              <w:rPr>
                <w:sz w:val="21"/>
              </w:rPr>
            </w:pPr>
            <w:r>
              <w:rPr>
                <w:rFonts w:hint="eastAsia"/>
                <w:sz w:val="21"/>
              </w:rPr>
              <w:t>0.317</w:t>
            </w:r>
          </w:p>
        </w:tc>
        <w:tc>
          <w:tcPr>
            <w:tcW w:w="985" w:type="pct"/>
            <w:tcBorders>
              <w:top w:val="single" w:color="auto" w:sz="4" w:space="0"/>
              <w:left w:val="single" w:color="auto" w:sz="4" w:space="0"/>
              <w:bottom w:val="single" w:color="auto" w:sz="4" w:space="0"/>
              <w:right w:val="single" w:color="auto" w:sz="4" w:space="0"/>
            </w:tcBorders>
            <w:vAlign w:val="center"/>
          </w:tcPr>
          <w:p w14:paraId="0B05A06F">
            <w:pPr>
              <w:adjustRightInd w:val="0"/>
              <w:snapToGrid w:val="0"/>
              <w:jc w:val="center"/>
              <w:rPr>
                <w:rFonts w:ascii="Arial" w:hAnsi="Arial" w:eastAsia="宋体" w:cs="Arial"/>
                <w:sz w:val="21"/>
                <w:szCs w:val="21"/>
              </w:rPr>
            </w:pPr>
            <w:r>
              <w:rPr>
                <w:rFonts w:ascii="Arial" w:hAnsi="Arial" w:eastAsia="宋体" w:cs="Arial"/>
                <w:sz w:val="21"/>
                <w:szCs w:val="21"/>
              </w:rPr>
              <w:t>0</w:t>
            </w:r>
          </w:p>
        </w:tc>
      </w:tr>
      <w:tr w14:paraId="2DD38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continue"/>
            <w:tcBorders>
              <w:left w:val="single" w:color="auto" w:sz="4" w:space="0"/>
              <w:right w:val="single" w:color="auto" w:sz="4" w:space="0"/>
            </w:tcBorders>
            <w:vAlign w:val="center"/>
          </w:tcPr>
          <w:p w14:paraId="7DF92B45">
            <w:pPr>
              <w:widowControl/>
              <w:adjustRightInd w:val="0"/>
              <w:snapToGrid w:val="0"/>
              <w:jc w:val="center"/>
              <w:rPr>
                <w:rFonts w:ascii="Arial" w:hAnsi="Arial" w:eastAsia="宋体" w:cs="Arial"/>
                <w:sz w:val="21"/>
                <w:szCs w:val="21"/>
              </w:rPr>
            </w:pPr>
          </w:p>
        </w:tc>
        <w:tc>
          <w:tcPr>
            <w:tcW w:w="742" w:type="pct"/>
            <w:tcBorders>
              <w:top w:val="single" w:color="auto" w:sz="4" w:space="0"/>
              <w:left w:val="single" w:color="auto" w:sz="4" w:space="0"/>
              <w:bottom w:val="single" w:color="auto" w:sz="4" w:space="0"/>
              <w:right w:val="single" w:color="auto" w:sz="4" w:space="0"/>
            </w:tcBorders>
            <w:vAlign w:val="center"/>
          </w:tcPr>
          <w:p w14:paraId="5AFDFA04">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BOD</w:t>
            </w:r>
          </w:p>
        </w:tc>
        <w:tc>
          <w:tcPr>
            <w:tcW w:w="378" w:type="pct"/>
            <w:tcBorders>
              <w:top w:val="single" w:color="auto" w:sz="4" w:space="0"/>
              <w:left w:val="single" w:color="auto" w:sz="4" w:space="0"/>
              <w:bottom w:val="single" w:color="auto" w:sz="4" w:space="0"/>
              <w:right w:val="single" w:color="auto" w:sz="4" w:space="0"/>
            </w:tcBorders>
            <w:vAlign w:val="center"/>
          </w:tcPr>
          <w:p w14:paraId="5C6D4058">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864" w:type="pct"/>
            <w:tcBorders>
              <w:top w:val="single" w:color="auto" w:sz="4" w:space="0"/>
              <w:left w:val="single" w:color="auto" w:sz="4" w:space="0"/>
              <w:bottom w:val="single" w:color="auto" w:sz="4" w:space="0"/>
              <w:right w:val="single" w:color="auto" w:sz="4" w:space="0"/>
            </w:tcBorders>
            <w:vAlign w:val="center"/>
          </w:tcPr>
          <w:p w14:paraId="664A6874">
            <w:pPr>
              <w:pStyle w:val="5"/>
              <w:adjustRightInd w:val="0"/>
              <w:snapToGrid w:val="0"/>
              <w:spacing w:line="240" w:lineRule="auto"/>
              <w:ind w:firstLine="0"/>
              <w:jc w:val="center"/>
              <w:rPr>
                <w:sz w:val="21"/>
              </w:rPr>
            </w:pPr>
            <w:r>
              <w:rPr>
                <w:rFonts w:hint="eastAsia"/>
                <w:sz w:val="21"/>
              </w:rPr>
              <w:t>0.127</w:t>
            </w:r>
          </w:p>
        </w:tc>
        <w:tc>
          <w:tcPr>
            <w:tcW w:w="864" w:type="pct"/>
            <w:tcBorders>
              <w:top w:val="single" w:color="auto" w:sz="4" w:space="0"/>
              <w:left w:val="single" w:color="auto" w:sz="4" w:space="0"/>
              <w:bottom w:val="single" w:color="auto" w:sz="4" w:space="0"/>
              <w:right w:val="single" w:color="auto" w:sz="4" w:space="0"/>
            </w:tcBorders>
            <w:vAlign w:val="center"/>
          </w:tcPr>
          <w:p w14:paraId="4F9606FA">
            <w:pPr>
              <w:pStyle w:val="5"/>
              <w:adjustRightInd w:val="0"/>
              <w:snapToGrid w:val="0"/>
              <w:spacing w:line="240" w:lineRule="auto"/>
              <w:ind w:firstLine="0"/>
              <w:jc w:val="center"/>
              <w:rPr>
                <w:sz w:val="21"/>
              </w:rPr>
            </w:pPr>
            <w:r>
              <w:rPr>
                <w:rFonts w:hint="eastAsia"/>
                <w:sz w:val="21"/>
              </w:rPr>
              <w:t>0.127</w:t>
            </w:r>
          </w:p>
        </w:tc>
        <w:tc>
          <w:tcPr>
            <w:tcW w:w="985" w:type="pct"/>
            <w:tcBorders>
              <w:top w:val="single" w:color="auto" w:sz="4" w:space="0"/>
              <w:left w:val="single" w:color="auto" w:sz="4" w:space="0"/>
              <w:bottom w:val="single" w:color="auto" w:sz="4" w:space="0"/>
              <w:right w:val="single" w:color="auto" w:sz="4" w:space="0"/>
            </w:tcBorders>
            <w:vAlign w:val="center"/>
          </w:tcPr>
          <w:p w14:paraId="499680AF">
            <w:pPr>
              <w:adjustRightInd w:val="0"/>
              <w:snapToGrid w:val="0"/>
              <w:jc w:val="center"/>
              <w:rPr>
                <w:rFonts w:ascii="Arial" w:hAnsi="Arial" w:eastAsia="宋体" w:cs="Arial"/>
                <w:sz w:val="21"/>
                <w:szCs w:val="21"/>
              </w:rPr>
            </w:pPr>
            <w:r>
              <w:rPr>
                <w:rFonts w:ascii="Arial" w:hAnsi="Arial" w:eastAsia="宋体" w:cs="Arial"/>
                <w:sz w:val="21"/>
                <w:szCs w:val="21"/>
              </w:rPr>
              <w:t>0</w:t>
            </w:r>
          </w:p>
        </w:tc>
      </w:tr>
      <w:tr w14:paraId="3062A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7" w:type="pct"/>
            <w:vMerge w:val="continue"/>
            <w:tcBorders>
              <w:left w:val="single" w:color="auto" w:sz="4" w:space="0"/>
              <w:right w:val="single" w:color="auto" w:sz="4" w:space="0"/>
            </w:tcBorders>
            <w:vAlign w:val="center"/>
          </w:tcPr>
          <w:p w14:paraId="2704EF9D">
            <w:pPr>
              <w:widowControl/>
              <w:adjustRightInd w:val="0"/>
              <w:snapToGrid w:val="0"/>
              <w:jc w:val="center"/>
              <w:rPr>
                <w:rFonts w:ascii="Arial" w:hAnsi="Arial" w:eastAsia="宋体" w:cs="Arial"/>
                <w:sz w:val="21"/>
                <w:szCs w:val="21"/>
              </w:rPr>
            </w:pPr>
          </w:p>
        </w:tc>
        <w:tc>
          <w:tcPr>
            <w:tcW w:w="742" w:type="pct"/>
            <w:tcBorders>
              <w:top w:val="single" w:color="auto" w:sz="4" w:space="0"/>
              <w:left w:val="single" w:color="auto" w:sz="4" w:space="0"/>
              <w:bottom w:val="single" w:color="auto" w:sz="4" w:space="0"/>
              <w:right w:val="single" w:color="auto" w:sz="4" w:space="0"/>
            </w:tcBorders>
            <w:vAlign w:val="center"/>
          </w:tcPr>
          <w:p w14:paraId="03693261">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NH</w:t>
            </w:r>
            <w:r>
              <w:rPr>
                <w:rFonts w:ascii="Arial" w:hAnsi="Arial" w:eastAsia="宋体" w:cs="Arial"/>
                <w:sz w:val="21"/>
                <w:szCs w:val="21"/>
                <w:vertAlign w:val="subscript"/>
              </w:rPr>
              <w:t>3</w:t>
            </w:r>
            <w:r>
              <w:rPr>
                <w:rFonts w:ascii="Arial" w:hAnsi="Arial" w:eastAsia="宋体" w:cs="Arial"/>
                <w:sz w:val="21"/>
                <w:szCs w:val="21"/>
              </w:rPr>
              <w:t>-N</w:t>
            </w:r>
          </w:p>
        </w:tc>
        <w:tc>
          <w:tcPr>
            <w:tcW w:w="378" w:type="pct"/>
            <w:tcBorders>
              <w:top w:val="single" w:color="auto" w:sz="4" w:space="0"/>
              <w:left w:val="single" w:color="auto" w:sz="4" w:space="0"/>
              <w:bottom w:val="single" w:color="auto" w:sz="4" w:space="0"/>
              <w:right w:val="single" w:color="auto" w:sz="4" w:space="0"/>
            </w:tcBorders>
            <w:vAlign w:val="center"/>
          </w:tcPr>
          <w:p w14:paraId="75BE6CA1">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864" w:type="pct"/>
            <w:tcBorders>
              <w:top w:val="single" w:color="auto" w:sz="4" w:space="0"/>
              <w:left w:val="single" w:color="auto" w:sz="4" w:space="0"/>
              <w:bottom w:val="single" w:color="auto" w:sz="4" w:space="0"/>
              <w:right w:val="single" w:color="auto" w:sz="4" w:space="0"/>
            </w:tcBorders>
            <w:vAlign w:val="center"/>
          </w:tcPr>
          <w:p w14:paraId="255A61F0">
            <w:pPr>
              <w:pStyle w:val="5"/>
              <w:adjustRightInd w:val="0"/>
              <w:snapToGrid w:val="0"/>
              <w:spacing w:line="240" w:lineRule="auto"/>
              <w:ind w:firstLine="0"/>
              <w:jc w:val="center"/>
              <w:rPr>
                <w:sz w:val="21"/>
              </w:rPr>
            </w:pPr>
            <w:r>
              <w:rPr>
                <w:rFonts w:hint="eastAsia"/>
                <w:sz w:val="21"/>
              </w:rPr>
              <w:t>0.045</w:t>
            </w:r>
          </w:p>
        </w:tc>
        <w:tc>
          <w:tcPr>
            <w:tcW w:w="864" w:type="pct"/>
            <w:tcBorders>
              <w:top w:val="single" w:color="auto" w:sz="4" w:space="0"/>
              <w:left w:val="single" w:color="auto" w:sz="4" w:space="0"/>
              <w:bottom w:val="single" w:color="auto" w:sz="4" w:space="0"/>
              <w:right w:val="single" w:color="auto" w:sz="4" w:space="0"/>
            </w:tcBorders>
            <w:vAlign w:val="center"/>
          </w:tcPr>
          <w:p w14:paraId="176BFAFF">
            <w:pPr>
              <w:pStyle w:val="5"/>
              <w:adjustRightInd w:val="0"/>
              <w:snapToGrid w:val="0"/>
              <w:spacing w:line="240" w:lineRule="auto"/>
              <w:ind w:firstLine="0"/>
              <w:jc w:val="center"/>
              <w:rPr>
                <w:sz w:val="21"/>
              </w:rPr>
            </w:pPr>
            <w:r>
              <w:rPr>
                <w:rFonts w:hint="eastAsia"/>
                <w:sz w:val="21"/>
              </w:rPr>
              <w:t>0.045</w:t>
            </w:r>
          </w:p>
        </w:tc>
        <w:tc>
          <w:tcPr>
            <w:tcW w:w="985" w:type="pct"/>
            <w:tcBorders>
              <w:top w:val="single" w:color="auto" w:sz="4" w:space="0"/>
              <w:left w:val="single" w:color="auto" w:sz="4" w:space="0"/>
              <w:bottom w:val="single" w:color="auto" w:sz="4" w:space="0"/>
              <w:right w:val="single" w:color="auto" w:sz="4" w:space="0"/>
            </w:tcBorders>
            <w:vAlign w:val="center"/>
          </w:tcPr>
          <w:p w14:paraId="2488D511">
            <w:pPr>
              <w:adjustRightInd w:val="0"/>
              <w:snapToGrid w:val="0"/>
              <w:jc w:val="center"/>
              <w:rPr>
                <w:rFonts w:ascii="Arial" w:hAnsi="Arial" w:eastAsia="宋体" w:cs="Arial"/>
                <w:sz w:val="21"/>
                <w:szCs w:val="21"/>
              </w:rPr>
            </w:pPr>
            <w:r>
              <w:rPr>
                <w:rFonts w:ascii="Arial" w:hAnsi="Arial" w:eastAsia="宋体" w:cs="Arial"/>
                <w:sz w:val="21"/>
                <w:szCs w:val="21"/>
              </w:rPr>
              <w:t>0</w:t>
            </w:r>
          </w:p>
        </w:tc>
      </w:tr>
    </w:tbl>
    <w:p w14:paraId="544C663C">
      <w:pPr>
        <w:pStyle w:val="5"/>
        <w:spacing w:line="500" w:lineRule="exact"/>
        <w:ind w:firstLine="0"/>
        <w:outlineLvl w:val="3"/>
        <w:rPr>
          <w:b/>
        </w:rPr>
      </w:pPr>
      <w:bookmarkStart w:id="269" w:name="_Toc104677272"/>
      <w:r>
        <w:rPr>
          <w:b/>
        </w:rPr>
        <w:t>2.</w:t>
      </w:r>
      <w:r>
        <w:rPr>
          <w:rFonts w:hint="eastAsia"/>
          <w:b/>
        </w:rPr>
        <w:t>5</w:t>
      </w:r>
      <w:r>
        <w:rPr>
          <w:b/>
        </w:rPr>
        <w:t>.3.4项目变更后全厂废水总排口情况</w:t>
      </w:r>
    </w:p>
    <w:p w14:paraId="11FAE3B1">
      <w:pPr>
        <w:pStyle w:val="5"/>
        <w:spacing w:line="500" w:lineRule="exact"/>
        <w:ind w:firstLine="490" w:firstLineChars="200"/>
      </w:pPr>
      <w:r>
        <w:t>项目变更后全厂废水总排口情况见表2-</w:t>
      </w:r>
      <w:r>
        <w:rPr>
          <w:rFonts w:hint="eastAsia"/>
        </w:rPr>
        <w:t>74</w:t>
      </w:r>
      <w:r>
        <w:t>。</w:t>
      </w:r>
    </w:p>
    <w:p w14:paraId="03B19D7F">
      <w:pPr>
        <w:pStyle w:val="5"/>
        <w:spacing w:line="500" w:lineRule="exact"/>
        <w:ind w:firstLine="0"/>
        <w:outlineLvl w:val="3"/>
        <w:rPr>
          <w:b/>
          <w:highlight w:val="yellow"/>
        </w:rPr>
        <w:sectPr>
          <w:pgSz w:w="11907" w:h="16840"/>
          <w:pgMar w:top="1678" w:right="1134" w:bottom="1899" w:left="1134" w:header="1134" w:footer="1134" w:gutter="567"/>
          <w:cols w:space="720" w:num="1"/>
          <w:docGrid w:type="linesAndChars" w:linePitch="428" w:charSpace="-3161"/>
        </w:sectPr>
      </w:pPr>
    </w:p>
    <w:p w14:paraId="7FD26FB2">
      <w:pPr>
        <w:pStyle w:val="5"/>
        <w:keepNext/>
        <w:numPr>
          <w:ilvl w:val="0"/>
          <w:numId w:val="12"/>
        </w:numPr>
        <w:spacing w:line="480" w:lineRule="exact"/>
        <w:jc w:val="center"/>
        <w:outlineLvl w:val="4"/>
        <w:rPr>
          <w:b/>
        </w:rPr>
      </w:pPr>
      <w:r>
        <w:rPr>
          <w:b/>
        </w:rPr>
        <w:t>全厂废水总排口排放情况表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1"/>
        <w:gridCol w:w="894"/>
        <w:gridCol w:w="1340"/>
        <w:gridCol w:w="1739"/>
        <w:gridCol w:w="1739"/>
        <w:gridCol w:w="882"/>
        <w:gridCol w:w="882"/>
        <w:gridCol w:w="1442"/>
        <w:gridCol w:w="1739"/>
        <w:gridCol w:w="1731"/>
      </w:tblGrid>
      <w:tr w14:paraId="4D942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4713EA8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项目</w:t>
            </w:r>
          </w:p>
        </w:tc>
        <w:tc>
          <w:tcPr>
            <w:tcW w:w="829" w:type="pct"/>
            <w:gridSpan w:val="2"/>
            <w:shd w:val="clear" w:color="auto" w:fill="auto"/>
            <w:vAlign w:val="center"/>
          </w:tcPr>
          <w:p w14:paraId="62187E5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变更前排放口情况</w:t>
            </w:r>
          </w:p>
        </w:tc>
        <w:tc>
          <w:tcPr>
            <w:tcW w:w="645" w:type="pct"/>
            <w:vMerge w:val="restart"/>
            <w:vAlign w:val="center"/>
          </w:tcPr>
          <w:p w14:paraId="60B3351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本项目变更前</w:t>
            </w:r>
          </w:p>
          <w:p w14:paraId="560834E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排放量</w:t>
            </w:r>
          </w:p>
          <w:p w14:paraId="13E3612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t/a</w:t>
            </w:r>
          </w:p>
        </w:tc>
        <w:tc>
          <w:tcPr>
            <w:tcW w:w="645" w:type="pct"/>
            <w:vMerge w:val="restart"/>
            <w:vAlign w:val="center"/>
          </w:tcPr>
          <w:p w14:paraId="15140FE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本项目变更后</w:t>
            </w:r>
          </w:p>
          <w:p w14:paraId="3DB3FEB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排放量</w:t>
            </w:r>
          </w:p>
          <w:p w14:paraId="3D3FA9D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t/a</w:t>
            </w:r>
          </w:p>
        </w:tc>
        <w:tc>
          <w:tcPr>
            <w:tcW w:w="1189" w:type="pct"/>
            <w:gridSpan w:val="3"/>
            <w:vAlign w:val="center"/>
          </w:tcPr>
          <w:p w14:paraId="4E638482">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变更</w:t>
            </w:r>
            <w:r>
              <w:rPr>
                <w:rFonts w:ascii="Arial" w:hAnsi="Arial" w:eastAsia="宋体" w:cs="Arial"/>
                <w:spacing w:val="10"/>
                <w:sz w:val="21"/>
                <w:szCs w:val="21"/>
              </w:rPr>
              <w:t>后排放口情况</w:t>
            </w:r>
          </w:p>
        </w:tc>
        <w:tc>
          <w:tcPr>
            <w:tcW w:w="645" w:type="pct"/>
            <w:vMerge w:val="restart"/>
            <w:vAlign w:val="center"/>
          </w:tcPr>
          <w:p w14:paraId="5ADF3C2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变更前后对比</w:t>
            </w:r>
          </w:p>
          <w:p w14:paraId="41147918">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t/a</w:t>
            </w:r>
          </w:p>
        </w:tc>
        <w:tc>
          <w:tcPr>
            <w:tcW w:w="642" w:type="pct"/>
            <w:vMerge w:val="restart"/>
            <w:vAlign w:val="center"/>
          </w:tcPr>
          <w:p w14:paraId="4976530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原环评全厂</w:t>
            </w:r>
          </w:p>
          <w:p w14:paraId="5B5C0E0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排放量</w:t>
            </w:r>
          </w:p>
          <w:p w14:paraId="7594191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t/a</w:t>
            </w:r>
          </w:p>
        </w:tc>
      </w:tr>
      <w:tr w14:paraId="2A43E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46E2E07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污染物</w:t>
            </w:r>
          </w:p>
        </w:tc>
        <w:tc>
          <w:tcPr>
            <w:tcW w:w="332" w:type="pct"/>
            <w:shd w:val="clear" w:color="auto" w:fill="auto"/>
            <w:vAlign w:val="center"/>
          </w:tcPr>
          <w:p w14:paraId="08CAFBC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w:t>
            </w:r>
          </w:p>
          <w:p w14:paraId="6E297EA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浓度</w:t>
            </w:r>
          </w:p>
          <w:p w14:paraId="48ED589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mg/L</w:t>
            </w:r>
          </w:p>
        </w:tc>
        <w:tc>
          <w:tcPr>
            <w:tcW w:w="497" w:type="pct"/>
            <w:shd w:val="clear" w:color="auto" w:fill="auto"/>
            <w:vAlign w:val="center"/>
          </w:tcPr>
          <w:p w14:paraId="546D477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排放量</w:t>
            </w:r>
          </w:p>
          <w:p w14:paraId="7F5C790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t/a</w:t>
            </w:r>
          </w:p>
        </w:tc>
        <w:tc>
          <w:tcPr>
            <w:tcW w:w="645" w:type="pct"/>
            <w:vMerge w:val="continue"/>
            <w:shd w:val="clear" w:color="auto" w:fill="auto"/>
            <w:vAlign w:val="center"/>
          </w:tcPr>
          <w:p w14:paraId="199CBE1E">
            <w:pPr>
              <w:adjustRightInd w:val="0"/>
              <w:snapToGrid w:val="0"/>
              <w:jc w:val="center"/>
              <w:rPr>
                <w:rFonts w:ascii="Arial" w:hAnsi="Arial" w:eastAsia="宋体" w:cs="Arial"/>
                <w:spacing w:val="10"/>
                <w:sz w:val="21"/>
                <w:szCs w:val="21"/>
              </w:rPr>
            </w:pPr>
          </w:p>
        </w:tc>
        <w:tc>
          <w:tcPr>
            <w:tcW w:w="645" w:type="pct"/>
            <w:vMerge w:val="continue"/>
            <w:shd w:val="clear" w:color="auto" w:fill="auto"/>
            <w:vAlign w:val="center"/>
          </w:tcPr>
          <w:p w14:paraId="2D364902">
            <w:pPr>
              <w:adjustRightInd w:val="0"/>
              <w:snapToGrid w:val="0"/>
              <w:jc w:val="center"/>
              <w:rPr>
                <w:rFonts w:ascii="Arial" w:hAnsi="Arial" w:eastAsia="宋体" w:cs="Arial"/>
                <w:spacing w:val="10"/>
                <w:sz w:val="21"/>
                <w:szCs w:val="21"/>
              </w:rPr>
            </w:pPr>
          </w:p>
        </w:tc>
        <w:tc>
          <w:tcPr>
            <w:tcW w:w="327" w:type="pct"/>
            <w:shd w:val="clear" w:color="auto" w:fill="auto"/>
            <w:vAlign w:val="center"/>
          </w:tcPr>
          <w:p w14:paraId="169BAFD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w:t>
            </w:r>
          </w:p>
          <w:p w14:paraId="6DB583F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标准</w:t>
            </w:r>
          </w:p>
          <w:p w14:paraId="6794E27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mg/L</w:t>
            </w:r>
          </w:p>
        </w:tc>
        <w:tc>
          <w:tcPr>
            <w:tcW w:w="327" w:type="pct"/>
            <w:shd w:val="clear" w:color="auto" w:fill="auto"/>
            <w:vAlign w:val="center"/>
          </w:tcPr>
          <w:p w14:paraId="55C1B92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排放</w:t>
            </w:r>
          </w:p>
          <w:p w14:paraId="03E86AD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浓度</w:t>
            </w:r>
          </w:p>
          <w:p w14:paraId="0657FFB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mg/L</w:t>
            </w:r>
          </w:p>
        </w:tc>
        <w:tc>
          <w:tcPr>
            <w:tcW w:w="535" w:type="pct"/>
            <w:shd w:val="clear" w:color="auto" w:fill="auto"/>
            <w:vAlign w:val="center"/>
          </w:tcPr>
          <w:p w14:paraId="78F9029D">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排放量</w:t>
            </w:r>
          </w:p>
          <w:p w14:paraId="03E62EA9">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t/a</w:t>
            </w:r>
          </w:p>
        </w:tc>
        <w:tc>
          <w:tcPr>
            <w:tcW w:w="645" w:type="pct"/>
            <w:vMerge w:val="continue"/>
            <w:vAlign w:val="center"/>
          </w:tcPr>
          <w:p w14:paraId="3098B2FB">
            <w:pPr>
              <w:adjustRightInd w:val="0"/>
              <w:snapToGrid w:val="0"/>
              <w:jc w:val="center"/>
              <w:rPr>
                <w:rFonts w:ascii="Arial" w:hAnsi="Arial" w:eastAsia="宋体" w:cs="Arial"/>
                <w:spacing w:val="10"/>
                <w:sz w:val="21"/>
                <w:szCs w:val="21"/>
              </w:rPr>
            </w:pPr>
          </w:p>
        </w:tc>
        <w:tc>
          <w:tcPr>
            <w:tcW w:w="642" w:type="pct"/>
            <w:vMerge w:val="continue"/>
            <w:vAlign w:val="center"/>
          </w:tcPr>
          <w:p w14:paraId="6D1719C1">
            <w:pPr>
              <w:adjustRightInd w:val="0"/>
              <w:snapToGrid w:val="0"/>
              <w:jc w:val="center"/>
              <w:rPr>
                <w:rFonts w:ascii="Arial" w:hAnsi="Arial" w:eastAsia="宋体" w:cs="Arial"/>
                <w:spacing w:val="10"/>
                <w:sz w:val="21"/>
                <w:szCs w:val="21"/>
              </w:rPr>
            </w:pPr>
          </w:p>
        </w:tc>
      </w:tr>
      <w:tr w14:paraId="3996F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092AC94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废水量</w:t>
            </w:r>
          </w:p>
        </w:tc>
        <w:tc>
          <w:tcPr>
            <w:tcW w:w="332" w:type="pct"/>
            <w:shd w:val="clear" w:color="auto" w:fill="auto"/>
            <w:vAlign w:val="center"/>
          </w:tcPr>
          <w:p w14:paraId="49780CEB">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w:t>
            </w:r>
          </w:p>
        </w:tc>
        <w:tc>
          <w:tcPr>
            <w:tcW w:w="497" w:type="pct"/>
            <w:shd w:val="clear" w:color="auto" w:fill="auto"/>
            <w:vAlign w:val="center"/>
          </w:tcPr>
          <w:p w14:paraId="1D947DB2">
            <w:pPr>
              <w:adjustRightInd w:val="0"/>
              <w:snapToGrid w:val="0"/>
              <w:jc w:val="center"/>
              <w:rPr>
                <w:rFonts w:ascii="Arial" w:hAnsi="Arial" w:eastAsia="宋体" w:cs="Arial"/>
                <w:sz w:val="21"/>
                <w:szCs w:val="21"/>
              </w:rPr>
            </w:pPr>
            <w:r>
              <w:rPr>
                <w:rFonts w:ascii="Arial" w:hAnsi="Arial" w:eastAsia="宋体" w:cs="Arial"/>
                <w:sz w:val="21"/>
                <w:szCs w:val="21"/>
              </w:rPr>
              <w:t>2120900.34</w:t>
            </w:r>
          </w:p>
        </w:tc>
        <w:tc>
          <w:tcPr>
            <w:tcW w:w="645" w:type="pct"/>
            <w:shd w:val="clear" w:color="auto" w:fill="auto"/>
            <w:vAlign w:val="center"/>
          </w:tcPr>
          <w:p w14:paraId="64A6E5D6">
            <w:pPr>
              <w:adjustRightInd w:val="0"/>
              <w:snapToGrid w:val="0"/>
              <w:jc w:val="center"/>
              <w:rPr>
                <w:rFonts w:ascii="Arial" w:hAnsi="Arial" w:eastAsia="宋体" w:cs="Arial"/>
                <w:sz w:val="21"/>
                <w:szCs w:val="21"/>
              </w:rPr>
            </w:pPr>
            <w:r>
              <w:rPr>
                <w:rFonts w:hint="eastAsia" w:ascii="Arial" w:hAnsi="Arial" w:eastAsia="宋体" w:cs="Arial"/>
                <w:sz w:val="21"/>
                <w:szCs w:val="21"/>
              </w:rPr>
              <w:t>144767.7</w:t>
            </w:r>
          </w:p>
        </w:tc>
        <w:tc>
          <w:tcPr>
            <w:tcW w:w="645" w:type="pct"/>
            <w:shd w:val="clear" w:color="auto" w:fill="auto"/>
            <w:vAlign w:val="center"/>
          </w:tcPr>
          <w:p w14:paraId="71CC2A37">
            <w:pPr>
              <w:adjustRightInd w:val="0"/>
              <w:snapToGrid w:val="0"/>
              <w:jc w:val="center"/>
              <w:rPr>
                <w:rFonts w:ascii="Arial" w:hAnsi="Arial" w:eastAsia="宋体" w:cs="Arial"/>
                <w:sz w:val="21"/>
                <w:szCs w:val="21"/>
              </w:rPr>
            </w:pPr>
            <w:r>
              <w:rPr>
                <w:rFonts w:hint="eastAsia" w:ascii="Arial" w:hAnsi="Arial" w:eastAsia="宋体" w:cs="Arial"/>
                <w:sz w:val="21"/>
                <w:szCs w:val="21"/>
              </w:rPr>
              <w:t>26054.2</w:t>
            </w:r>
          </w:p>
        </w:tc>
        <w:tc>
          <w:tcPr>
            <w:tcW w:w="327" w:type="pct"/>
            <w:shd w:val="clear" w:color="auto" w:fill="auto"/>
            <w:vAlign w:val="center"/>
          </w:tcPr>
          <w:p w14:paraId="407C7A44">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w:t>
            </w:r>
          </w:p>
        </w:tc>
        <w:tc>
          <w:tcPr>
            <w:tcW w:w="327" w:type="pct"/>
            <w:shd w:val="clear" w:color="auto" w:fill="auto"/>
            <w:vAlign w:val="center"/>
          </w:tcPr>
          <w:p w14:paraId="026B46F8">
            <w:pPr>
              <w:adjustRightInd w:val="0"/>
              <w:snapToGrid w:val="0"/>
              <w:jc w:val="center"/>
              <w:rPr>
                <w:rFonts w:ascii="Arial" w:hAnsi="Arial" w:eastAsia="宋体" w:cs="Arial"/>
                <w:sz w:val="21"/>
                <w:szCs w:val="21"/>
              </w:rPr>
            </w:pPr>
            <w:r>
              <w:rPr>
                <w:rFonts w:ascii="Arial" w:hAnsi="Arial" w:cs="Arial"/>
                <w:sz w:val="21"/>
                <w:szCs w:val="21"/>
              </w:rPr>
              <w:t>/</w:t>
            </w:r>
          </w:p>
        </w:tc>
        <w:tc>
          <w:tcPr>
            <w:tcW w:w="535" w:type="pct"/>
            <w:shd w:val="clear" w:color="auto" w:fill="auto"/>
            <w:vAlign w:val="center"/>
          </w:tcPr>
          <w:p w14:paraId="688E3769">
            <w:pPr>
              <w:adjustRightInd w:val="0"/>
              <w:snapToGrid w:val="0"/>
              <w:jc w:val="center"/>
              <w:rPr>
                <w:rFonts w:ascii="Arial" w:hAnsi="Arial" w:eastAsia="宋体" w:cs="Arial"/>
                <w:sz w:val="21"/>
                <w:szCs w:val="21"/>
              </w:rPr>
            </w:pPr>
            <w:r>
              <w:rPr>
                <w:rFonts w:hint="eastAsia" w:ascii="Arial" w:hAnsi="Arial" w:cs="Arial"/>
                <w:sz w:val="21"/>
                <w:szCs w:val="21"/>
              </w:rPr>
              <w:t>2002186.84</w:t>
            </w:r>
          </w:p>
        </w:tc>
        <w:tc>
          <w:tcPr>
            <w:tcW w:w="645" w:type="pct"/>
            <w:vAlign w:val="center"/>
          </w:tcPr>
          <w:p w14:paraId="32F0B481">
            <w:pPr>
              <w:adjustRightInd w:val="0"/>
              <w:snapToGrid w:val="0"/>
              <w:jc w:val="center"/>
              <w:rPr>
                <w:rFonts w:ascii="Arial" w:hAnsi="Arial" w:eastAsia="宋体" w:cs="Arial"/>
                <w:sz w:val="21"/>
                <w:szCs w:val="21"/>
              </w:rPr>
            </w:pPr>
            <w:r>
              <w:rPr>
                <w:rFonts w:ascii="Arial" w:hAnsi="Arial" w:cs="Arial"/>
                <w:sz w:val="21"/>
                <w:szCs w:val="21"/>
              </w:rPr>
              <w:t>-118713.5</w:t>
            </w:r>
          </w:p>
        </w:tc>
        <w:tc>
          <w:tcPr>
            <w:tcW w:w="642" w:type="pct"/>
            <w:vAlign w:val="center"/>
          </w:tcPr>
          <w:p w14:paraId="57497EEC">
            <w:pPr>
              <w:adjustRightInd w:val="0"/>
              <w:snapToGrid w:val="0"/>
              <w:jc w:val="center"/>
              <w:rPr>
                <w:rFonts w:ascii="Arial" w:hAnsi="Arial" w:cs="Arial"/>
                <w:sz w:val="21"/>
                <w:szCs w:val="21"/>
              </w:rPr>
            </w:pPr>
            <w:r>
              <w:rPr>
                <w:rFonts w:ascii="Arial" w:hAnsi="Arial" w:cs="Arial"/>
                <w:sz w:val="21"/>
                <w:szCs w:val="21"/>
              </w:rPr>
              <w:t>3615711</w:t>
            </w:r>
          </w:p>
        </w:tc>
      </w:tr>
      <w:tr w14:paraId="065FC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6F966D10">
            <w:pPr>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332" w:type="pct"/>
            <w:shd w:val="clear" w:color="auto" w:fill="auto"/>
            <w:vAlign w:val="center"/>
          </w:tcPr>
          <w:p w14:paraId="78E30395">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28</w:t>
            </w:r>
          </w:p>
        </w:tc>
        <w:tc>
          <w:tcPr>
            <w:tcW w:w="497" w:type="pct"/>
            <w:shd w:val="clear" w:color="auto" w:fill="auto"/>
            <w:vAlign w:val="center"/>
          </w:tcPr>
          <w:p w14:paraId="380D663D">
            <w:pPr>
              <w:adjustRightInd w:val="0"/>
              <w:snapToGrid w:val="0"/>
              <w:jc w:val="center"/>
              <w:rPr>
                <w:rFonts w:ascii="Arial" w:hAnsi="Arial" w:eastAsia="宋体" w:cs="Arial"/>
                <w:sz w:val="21"/>
                <w:szCs w:val="21"/>
              </w:rPr>
            </w:pPr>
            <w:r>
              <w:rPr>
                <w:rFonts w:ascii="Arial" w:hAnsi="Arial" w:cs="Arial"/>
                <w:sz w:val="21"/>
                <w:szCs w:val="21"/>
              </w:rPr>
              <w:t>58.6509</w:t>
            </w:r>
          </w:p>
        </w:tc>
        <w:tc>
          <w:tcPr>
            <w:tcW w:w="645" w:type="pct"/>
            <w:shd w:val="clear" w:color="auto" w:fill="auto"/>
            <w:vAlign w:val="center"/>
          </w:tcPr>
          <w:p w14:paraId="7517F66B">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645" w:type="pct"/>
            <w:shd w:val="clear" w:color="auto" w:fill="auto"/>
            <w:vAlign w:val="center"/>
          </w:tcPr>
          <w:p w14:paraId="335552EB">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c>
          <w:tcPr>
            <w:tcW w:w="327" w:type="pct"/>
            <w:shd w:val="clear" w:color="auto" w:fill="auto"/>
            <w:vAlign w:val="center"/>
          </w:tcPr>
          <w:p w14:paraId="6B5AD883">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50</w:t>
            </w:r>
          </w:p>
        </w:tc>
        <w:tc>
          <w:tcPr>
            <w:tcW w:w="327" w:type="pct"/>
            <w:shd w:val="clear" w:color="auto" w:fill="auto"/>
            <w:vAlign w:val="center"/>
          </w:tcPr>
          <w:p w14:paraId="1730FCF3">
            <w:pPr>
              <w:adjustRightInd w:val="0"/>
              <w:snapToGrid w:val="0"/>
              <w:jc w:val="center"/>
              <w:rPr>
                <w:rFonts w:ascii="Arial" w:hAnsi="Arial" w:eastAsia="宋体" w:cs="Arial"/>
                <w:sz w:val="21"/>
                <w:szCs w:val="21"/>
              </w:rPr>
            </w:pPr>
            <w:r>
              <w:rPr>
                <w:rFonts w:hint="eastAsia" w:ascii="Arial" w:hAnsi="Arial" w:cs="Arial"/>
                <w:sz w:val="21"/>
                <w:szCs w:val="21"/>
              </w:rPr>
              <w:t>29</w:t>
            </w:r>
          </w:p>
        </w:tc>
        <w:tc>
          <w:tcPr>
            <w:tcW w:w="535" w:type="pct"/>
            <w:shd w:val="clear" w:color="auto" w:fill="auto"/>
            <w:vAlign w:val="center"/>
          </w:tcPr>
          <w:p w14:paraId="4D64A45C">
            <w:pPr>
              <w:adjustRightInd w:val="0"/>
              <w:snapToGrid w:val="0"/>
              <w:jc w:val="center"/>
              <w:rPr>
                <w:rFonts w:ascii="Arial" w:hAnsi="Arial" w:eastAsia="宋体" w:cs="Arial"/>
                <w:sz w:val="21"/>
                <w:szCs w:val="21"/>
              </w:rPr>
            </w:pPr>
            <w:r>
              <w:rPr>
                <w:rFonts w:ascii="Arial" w:hAnsi="Arial" w:cs="Arial"/>
                <w:sz w:val="21"/>
                <w:szCs w:val="21"/>
              </w:rPr>
              <w:t>58.8315</w:t>
            </w:r>
          </w:p>
        </w:tc>
        <w:tc>
          <w:tcPr>
            <w:tcW w:w="645" w:type="pct"/>
            <w:vAlign w:val="center"/>
          </w:tcPr>
          <w:p w14:paraId="29022C19">
            <w:pPr>
              <w:adjustRightInd w:val="0"/>
              <w:snapToGrid w:val="0"/>
              <w:jc w:val="center"/>
              <w:rPr>
                <w:rFonts w:ascii="Arial" w:hAnsi="Arial" w:eastAsia="宋体" w:cs="Arial"/>
                <w:sz w:val="21"/>
                <w:szCs w:val="21"/>
              </w:rPr>
            </w:pPr>
            <w:r>
              <w:rPr>
                <w:rFonts w:hint="eastAsia" w:ascii="Arial" w:hAnsi="Arial" w:cs="Arial"/>
                <w:sz w:val="21"/>
                <w:szCs w:val="21"/>
              </w:rPr>
              <w:t>+</w:t>
            </w:r>
            <w:r>
              <w:rPr>
                <w:rFonts w:ascii="Arial" w:hAnsi="Arial" w:cs="Arial"/>
                <w:sz w:val="21"/>
                <w:szCs w:val="21"/>
              </w:rPr>
              <w:t>0.1806</w:t>
            </w:r>
          </w:p>
        </w:tc>
        <w:tc>
          <w:tcPr>
            <w:tcW w:w="642" w:type="pct"/>
            <w:vAlign w:val="center"/>
          </w:tcPr>
          <w:p w14:paraId="53628A48">
            <w:pPr>
              <w:adjustRightInd w:val="0"/>
              <w:snapToGrid w:val="0"/>
              <w:jc w:val="center"/>
              <w:rPr>
                <w:rFonts w:ascii="Arial" w:hAnsi="Arial" w:cs="Arial"/>
                <w:sz w:val="21"/>
                <w:szCs w:val="21"/>
              </w:rPr>
            </w:pPr>
            <w:r>
              <w:rPr>
                <w:rFonts w:ascii="Arial" w:hAnsi="Arial" w:cs="Arial"/>
                <w:sz w:val="21"/>
                <w:szCs w:val="21"/>
              </w:rPr>
              <w:t>122.831</w:t>
            </w:r>
          </w:p>
        </w:tc>
      </w:tr>
      <w:tr w14:paraId="04696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2332F9B3">
            <w:pPr>
              <w:adjustRightInd w:val="0"/>
              <w:snapToGrid w:val="0"/>
              <w:jc w:val="center"/>
              <w:rPr>
                <w:rFonts w:ascii="Arial" w:hAnsi="Arial" w:eastAsia="宋体" w:cs="Arial"/>
                <w:sz w:val="21"/>
                <w:szCs w:val="21"/>
              </w:rPr>
            </w:pPr>
            <w:r>
              <w:rPr>
                <w:rFonts w:ascii="Arial" w:hAnsi="Arial" w:eastAsia="宋体" w:cs="Arial"/>
                <w:sz w:val="21"/>
                <w:szCs w:val="21"/>
              </w:rPr>
              <w:t>氨氮</w:t>
            </w:r>
          </w:p>
        </w:tc>
        <w:tc>
          <w:tcPr>
            <w:tcW w:w="332" w:type="pct"/>
            <w:shd w:val="clear" w:color="auto" w:fill="auto"/>
            <w:vAlign w:val="center"/>
          </w:tcPr>
          <w:p w14:paraId="75A2076A">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2.8</w:t>
            </w:r>
            <w:r>
              <w:rPr>
                <w:rFonts w:hint="eastAsia" w:ascii="Arial" w:hAnsi="Arial" w:eastAsia="宋体" w:cs="Arial"/>
                <w:kern w:val="0"/>
                <w:sz w:val="21"/>
                <w:szCs w:val="21"/>
              </w:rPr>
              <w:t>6</w:t>
            </w:r>
          </w:p>
        </w:tc>
        <w:tc>
          <w:tcPr>
            <w:tcW w:w="497" w:type="pct"/>
            <w:shd w:val="clear" w:color="auto" w:fill="auto"/>
            <w:vAlign w:val="center"/>
          </w:tcPr>
          <w:p w14:paraId="640360F8">
            <w:pPr>
              <w:adjustRightInd w:val="0"/>
              <w:snapToGrid w:val="0"/>
              <w:jc w:val="center"/>
              <w:rPr>
                <w:rFonts w:ascii="Arial" w:hAnsi="Arial" w:eastAsia="宋体" w:cs="Arial"/>
                <w:sz w:val="21"/>
                <w:szCs w:val="21"/>
              </w:rPr>
            </w:pPr>
            <w:r>
              <w:rPr>
                <w:rFonts w:ascii="Arial" w:hAnsi="Arial" w:cs="Arial"/>
                <w:sz w:val="21"/>
                <w:szCs w:val="21"/>
              </w:rPr>
              <w:t>6.0564</w:t>
            </w:r>
          </w:p>
        </w:tc>
        <w:tc>
          <w:tcPr>
            <w:tcW w:w="645" w:type="pct"/>
            <w:shd w:val="clear" w:color="auto" w:fill="auto"/>
            <w:vAlign w:val="center"/>
          </w:tcPr>
          <w:p w14:paraId="70AC06D9">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645" w:type="pct"/>
            <w:shd w:val="clear" w:color="auto" w:fill="auto"/>
            <w:vAlign w:val="center"/>
          </w:tcPr>
          <w:p w14:paraId="128F9D3C">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c>
          <w:tcPr>
            <w:tcW w:w="327" w:type="pct"/>
            <w:shd w:val="clear" w:color="auto" w:fill="auto"/>
            <w:vAlign w:val="center"/>
          </w:tcPr>
          <w:p w14:paraId="2A8FB794">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10</w:t>
            </w:r>
          </w:p>
        </w:tc>
        <w:tc>
          <w:tcPr>
            <w:tcW w:w="327" w:type="pct"/>
            <w:shd w:val="clear" w:color="auto" w:fill="auto"/>
            <w:vAlign w:val="center"/>
          </w:tcPr>
          <w:p w14:paraId="668265C1">
            <w:pPr>
              <w:adjustRightInd w:val="0"/>
              <w:snapToGrid w:val="0"/>
              <w:jc w:val="center"/>
              <w:rPr>
                <w:rFonts w:ascii="Arial" w:hAnsi="Arial" w:eastAsia="宋体" w:cs="Arial"/>
                <w:sz w:val="21"/>
                <w:szCs w:val="21"/>
              </w:rPr>
            </w:pPr>
            <w:r>
              <w:rPr>
                <w:rFonts w:ascii="Arial" w:hAnsi="Arial" w:cs="Arial"/>
                <w:sz w:val="21"/>
                <w:szCs w:val="21"/>
              </w:rPr>
              <w:t>3.0</w:t>
            </w:r>
            <w:r>
              <w:rPr>
                <w:rFonts w:hint="eastAsia" w:ascii="Arial" w:hAnsi="Arial" w:cs="Arial"/>
                <w:sz w:val="21"/>
                <w:szCs w:val="21"/>
              </w:rPr>
              <w:t>4</w:t>
            </w:r>
          </w:p>
        </w:tc>
        <w:tc>
          <w:tcPr>
            <w:tcW w:w="535" w:type="pct"/>
            <w:shd w:val="clear" w:color="auto" w:fill="auto"/>
            <w:vAlign w:val="center"/>
          </w:tcPr>
          <w:p w14:paraId="338697C6">
            <w:pPr>
              <w:adjustRightInd w:val="0"/>
              <w:snapToGrid w:val="0"/>
              <w:jc w:val="center"/>
              <w:rPr>
                <w:rFonts w:ascii="Arial" w:hAnsi="Arial" w:eastAsia="宋体" w:cs="Arial"/>
                <w:sz w:val="21"/>
                <w:szCs w:val="21"/>
              </w:rPr>
            </w:pPr>
            <w:r>
              <w:rPr>
                <w:rFonts w:ascii="Arial" w:hAnsi="Arial" w:cs="Arial"/>
                <w:sz w:val="21"/>
                <w:szCs w:val="21"/>
              </w:rPr>
              <w:t>6.0813</w:t>
            </w:r>
          </w:p>
        </w:tc>
        <w:tc>
          <w:tcPr>
            <w:tcW w:w="645" w:type="pct"/>
            <w:vAlign w:val="center"/>
          </w:tcPr>
          <w:p w14:paraId="4D7947AB">
            <w:pPr>
              <w:adjustRightInd w:val="0"/>
              <w:snapToGrid w:val="0"/>
              <w:jc w:val="center"/>
              <w:rPr>
                <w:rFonts w:ascii="Arial" w:hAnsi="Arial" w:eastAsia="宋体" w:cs="Arial"/>
                <w:sz w:val="21"/>
                <w:szCs w:val="21"/>
              </w:rPr>
            </w:pPr>
            <w:r>
              <w:rPr>
                <w:rFonts w:hint="eastAsia" w:ascii="Arial" w:hAnsi="Arial" w:cs="Arial"/>
                <w:sz w:val="21"/>
                <w:szCs w:val="21"/>
              </w:rPr>
              <w:t>+</w:t>
            </w:r>
            <w:r>
              <w:rPr>
                <w:rFonts w:ascii="Arial" w:hAnsi="Arial" w:cs="Arial"/>
                <w:sz w:val="21"/>
                <w:szCs w:val="21"/>
              </w:rPr>
              <w:t>0.0249</w:t>
            </w:r>
          </w:p>
        </w:tc>
        <w:tc>
          <w:tcPr>
            <w:tcW w:w="642" w:type="pct"/>
            <w:vAlign w:val="center"/>
          </w:tcPr>
          <w:p w14:paraId="40BF4290">
            <w:pPr>
              <w:adjustRightInd w:val="0"/>
              <w:snapToGrid w:val="0"/>
              <w:jc w:val="center"/>
              <w:rPr>
                <w:rFonts w:ascii="Arial" w:hAnsi="Arial" w:cs="Arial"/>
                <w:sz w:val="21"/>
                <w:szCs w:val="21"/>
              </w:rPr>
            </w:pPr>
            <w:r>
              <w:rPr>
                <w:rFonts w:ascii="Arial" w:hAnsi="Arial" w:cs="Arial"/>
                <w:sz w:val="21"/>
                <w:szCs w:val="21"/>
              </w:rPr>
              <w:t>31.899</w:t>
            </w:r>
          </w:p>
        </w:tc>
      </w:tr>
      <w:tr w14:paraId="67DCA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5AA81385">
            <w:pPr>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332" w:type="pct"/>
            <w:shd w:val="clear" w:color="auto" w:fill="auto"/>
            <w:vAlign w:val="center"/>
          </w:tcPr>
          <w:p w14:paraId="7D01BDEA">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4722</w:t>
            </w:r>
          </w:p>
        </w:tc>
        <w:tc>
          <w:tcPr>
            <w:tcW w:w="497" w:type="pct"/>
            <w:shd w:val="clear" w:color="auto" w:fill="auto"/>
            <w:vAlign w:val="center"/>
          </w:tcPr>
          <w:p w14:paraId="46DFA9BA">
            <w:pPr>
              <w:adjustRightInd w:val="0"/>
              <w:snapToGrid w:val="0"/>
              <w:jc w:val="center"/>
              <w:rPr>
                <w:rFonts w:ascii="Arial" w:hAnsi="Arial" w:eastAsia="宋体" w:cs="Arial"/>
                <w:sz w:val="21"/>
                <w:szCs w:val="21"/>
              </w:rPr>
            </w:pPr>
            <w:r>
              <w:rPr>
                <w:rFonts w:ascii="Arial" w:hAnsi="Arial" w:cs="Arial"/>
                <w:sz w:val="21"/>
                <w:szCs w:val="21"/>
              </w:rPr>
              <w:t>10014.7886</w:t>
            </w:r>
          </w:p>
        </w:tc>
        <w:tc>
          <w:tcPr>
            <w:tcW w:w="645" w:type="pct"/>
            <w:shd w:val="clear" w:color="auto" w:fill="auto"/>
            <w:vAlign w:val="center"/>
          </w:tcPr>
          <w:p w14:paraId="0D7F17D2">
            <w:pPr>
              <w:adjustRightInd w:val="0"/>
              <w:snapToGrid w:val="0"/>
              <w:jc w:val="center"/>
              <w:rPr>
                <w:rFonts w:ascii="Arial" w:hAnsi="Arial" w:eastAsia="宋体" w:cs="Arial"/>
                <w:sz w:val="21"/>
                <w:szCs w:val="21"/>
              </w:rPr>
            </w:pPr>
            <w:r>
              <w:rPr>
                <w:rFonts w:hint="eastAsia" w:ascii="Arial" w:hAnsi="Arial" w:eastAsia="宋体" w:cs="Arial"/>
                <w:sz w:val="21"/>
                <w:szCs w:val="21"/>
              </w:rPr>
              <w:t>28.9535</w:t>
            </w:r>
          </w:p>
        </w:tc>
        <w:tc>
          <w:tcPr>
            <w:tcW w:w="645" w:type="pct"/>
            <w:shd w:val="clear" w:color="auto" w:fill="auto"/>
            <w:vAlign w:val="center"/>
          </w:tcPr>
          <w:p w14:paraId="5FC17F32">
            <w:pPr>
              <w:adjustRightInd w:val="0"/>
              <w:snapToGrid w:val="0"/>
              <w:jc w:val="center"/>
              <w:rPr>
                <w:rFonts w:ascii="Arial" w:hAnsi="Arial" w:eastAsia="宋体" w:cs="Arial"/>
                <w:sz w:val="21"/>
                <w:szCs w:val="21"/>
              </w:rPr>
            </w:pPr>
            <w:r>
              <w:rPr>
                <w:rFonts w:hint="eastAsia" w:ascii="Arial" w:hAnsi="Arial" w:eastAsia="宋体" w:cs="Arial"/>
                <w:sz w:val="21"/>
                <w:szCs w:val="21"/>
              </w:rPr>
              <w:t>90.3812</w:t>
            </w:r>
          </w:p>
        </w:tc>
        <w:tc>
          <w:tcPr>
            <w:tcW w:w="327" w:type="pct"/>
            <w:shd w:val="clear" w:color="auto" w:fill="auto"/>
            <w:vAlign w:val="center"/>
          </w:tcPr>
          <w:p w14:paraId="1D398BF0">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w:t>
            </w:r>
          </w:p>
        </w:tc>
        <w:tc>
          <w:tcPr>
            <w:tcW w:w="327" w:type="pct"/>
            <w:shd w:val="clear" w:color="auto" w:fill="auto"/>
            <w:vAlign w:val="center"/>
          </w:tcPr>
          <w:p w14:paraId="43BA49CF">
            <w:pPr>
              <w:adjustRightInd w:val="0"/>
              <w:snapToGrid w:val="0"/>
              <w:jc w:val="center"/>
              <w:rPr>
                <w:rFonts w:ascii="Arial" w:hAnsi="Arial" w:eastAsia="宋体" w:cs="Arial"/>
                <w:sz w:val="21"/>
                <w:szCs w:val="21"/>
              </w:rPr>
            </w:pPr>
            <w:r>
              <w:rPr>
                <w:rFonts w:hint="eastAsia" w:ascii="Arial" w:hAnsi="Arial" w:cs="Arial"/>
                <w:sz w:val="21"/>
                <w:szCs w:val="21"/>
              </w:rPr>
              <w:t>5033</w:t>
            </w:r>
          </w:p>
        </w:tc>
        <w:tc>
          <w:tcPr>
            <w:tcW w:w="535" w:type="pct"/>
            <w:shd w:val="clear" w:color="auto" w:fill="auto"/>
            <w:vAlign w:val="center"/>
          </w:tcPr>
          <w:p w14:paraId="5CAE58F3">
            <w:pPr>
              <w:adjustRightInd w:val="0"/>
              <w:snapToGrid w:val="0"/>
              <w:jc w:val="center"/>
              <w:rPr>
                <w:rFonts w:ascii="Arial" w:hAnsi="Arial" w:eastAsia="宋体" w:cs="Arial"/>
                <w:sz w:val="21"/>
                <w:szCs w:val="21"/>
              </w:rPr>
            </w:pPr>
            <w:r>
              <w:rPr>
                <w:rFonts w:hint="eastAsia" w:ascii="Arial" w:hAnsi="Arial" w:eastAsia="宋体" w:cs="Arial"/>
                <w:sz w:val="21"/>
                <w:szCs w:val="21"/>
              </w:rPr>
              <w:t>10076.2163</w:t>
            </w:r>
          </w:p>
        </w:tc>
        <w:tc>
          <w:tcPr>
            <w:tcW w:w="645" w:type="pct"/>
            <w:vAlign w:val="center"/>
          </w:tcPr>
          <w:p w14:paraId="27973872">
            <w:pPr>
              <w:adjustRightInd w:val="0"/>
              <w:snapToGrid w:val="0"/>
              <w:jc w:val="center"/>
              <w:rPr>
                <w:rFonts w:ascii="Arial" w:hAnsi="Arial" w:eastAsia="宋体" w:cs="Arial"/>
                <w:sz w:val="21"/>
                <w:szCs w:val="21"/>
              </w:rPr>
            </w:pPr>
            <w:r>
              <w:rPr>
                <w:rFonts w:hint="eastAsia" w:ascii="Arial" w:hAnsi="Arial" w:cs="Arial"/>
                <w:sz w:val="21"/>
                <w:szCs w:val="21"/>
              </w:rPr>
              <w:t>+</w:t>
            </w:r>
            <w:r>
              <w:rPr>
                <w:rFonts w:ascii="Arial" w:hAnsi="Arial" w:cs="Arial"/>
                <w:sz w:val="21"/>
                <w:szCs w:val="21"/>
              </w:rPr>
              <w:t>61.4277</w:t>
            </w:r>
          </w:p>
        </w:tc>
        <w:tc>
          <w:tcPr>
            <w:tcW w:w="642" w:type="pct"/>
            <w:vAlign w:val="center"/>
          </w:tcPr>
          <w:p w14:paraId="6F5D42E8">
            <w:pPr>
              <w:adjustRightInd w:val="0"/>
              <w:snapToGrid w:val="0"/>
              <w:jc w:val="center"/>
              <w:rPr>
                <w:rFonts w:ascii="Arial" w:hAnsi="Arial" w:cs="Arial"/>
                <w:sz w:val="21"/>
                <w:szCs w:val="21"/>
              </w:rPr>
            </w:pPr>
            <w:r>
              <w:rPr>
                <w:rFonts w:ascii="Arial" w:hAnsi="Arial" w:cs="Arial"/>
                <w:sz w:val="21"/>
                <w:szCs w:val="21"/>
              </w:rPr>
              <w:t>/</w:t>
            </w:r>
          </w:p>
        </w:tc>
      </w:tr>
      <w:tr w14:paraId="4BBFA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16377E41">
            <w:pPr>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332" w:type="pct"/>
            <w:shd w:val="clear" w:color="auto" w:fill="auto"/>
            <w:vAlign w:val="center"/>
          </w:tcPr>
          <w:p w14:paraId="69F33C1B">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2762</w:t>
            </w:r>
          </w:p>
        </w:tc>
        <w:tc>
          <w:tcPr>
            <w:tcW w:w="497" w:type="pct"/>
            <w:shd w:val="clear" w:color="auto" w:fill="auto"/>
            <w:vAlign w:val="center"/>
          </w:tcPr>
          <w:p w14:paraId="3355D65D">
            <w:pPr>
              <w:adjustRightInd w:val="0"/>
              <w:snapToGrid w:val="0"/>
              <w:jc w:val="center"/>
              <w:rPr>
                <w:rFonts w:ascii="Arial" w:hAnsi="Arial" w:eastAsia="宋体" w:cs="Arial"/>
                <w:sz w:val="21"/>
                <w:szCs w:val="21"/>
              </w:rPr>
            </w:pPr>
            <w:r>
              <w:rPr>
                <w:rFonts w:ascii="Arial" w:hAnsi="Arial" w:cs="Arial"/>
                <w:sz w:val="21"/>
                <w:szCs w:val="21"/>
              </w:rPr>
              <w:t>5858.2194</w:t>
            </w:r>
          </w:p>
        </w:tc>
        <w:tc>
          <w:tcPr>
            <w:tcW w:w="645" w:type="pct"/>
            <w:shd w:val="clear" w:color="auto" w:fill="auto"/>
            <w:vAlign w:val="center"/>
          </w:tcPr>
          <w:p w14:paraId="7F0D7F9A">
            <w:pPr>
              <w:adjustRightInd w:val="0"/>
              <w:snapToGrid w:val="0"/>
              <w:jc w:val="center"/>
              <w:rPr>
                <w:rFonts w:ascii="Arial" w:hAnsi="Arial" w:eastAsia="宋体" w:cs="Arial"/>
                <w:sz w:val="21"/>
                <w:szCs w:val="21"/>
              </w:rPr>
            </w:pPr>
            <w:r>
              <w:rPr>
                <w:rFonts w:hint="eastAsia" w:ascii="Arial" w:hAnsi="Arial" w:eastAsia="宋体" w:cs="Arial"/>
                <w:sz w:val="21"/>
                <w:szCs w:val="21"/>
              </w:rPr>
              <w:t>8.6861</w:t>
            </w:r>
          </w:p>
        </w:tc>
        <w:tc>
          <w:tcPr>
            <w:tcW w:w="645" w:type="pct"/>
            <w:shd w:val="clear" w:color="auto" w:fill="auto"/>
            <w:vAlign w:val="center"/>
          </w:tcPr>
          <w:p w14:paraId="43E544A3">
            <w:pPr>
              <w:adjustRightInd w:val="0"/>
              <w:snapToGrid w:val="0"/>
              <w:jc w:val="center"/>
              <w:rPr>
                <w:rFonts w:ascii="Arial" w:hAnsi="Arial" w:eastAsia="宋体" w:cs="Arial"/>
                <w:sz w:val="21"/>
                <w:szCs w:val="21"/>
              </w:rPr>
            </w:pPr>
            <w:r>
              <w:rPr>
                <w:rFonts w:hint="eastAsia" w:ascii="Arial" w:hAnsi="Arial" w:eastAsia="宋体" w:cs="Arial"/>
                <w:sz w:val="21"/>
                <w:szCs w:val="21"/>
              </w:rPr>
              <w:t>1.2819</w:t>
            </w:r>
          </w:p>
        </w:tc>
        <w:tc>
          <w:tcPr>
            <w:tcW w:w="327" w:type="pct"/>
            <w:shd w:val="clear" w:color="auto" w:fill="auto"/>
            <w:vAlign w:val="center"/>
          </w:tcPr>
          <w:p w14:paraId="4D86E746">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w:t>
            </w:r>
          </w:p>
        </w:tc>
        <w:tc>
          <w:tcPr>
            <w:tcW w:w="327" w:type="pct"/>
            <w:shd w:val="clear" w:color="auto" w:fill="auto"/>
            <w:vAlign w:val="center"/>
          </w:tcPr>
          <w:p w14:paraId="4B633BE6">
            <w:pPr>
              <w:adjustRightInd w:val="0"/>
              <w:snapToGrid w:val="0"/>
              <w:jc w:val="center"/>
              <w:rPr>
                <w:rFonts w:ascii="Arial" w:hAnsi="Arial" w:eastAsia="宋体" w:cs="Arial"/>
                <w:sz w:val="21"/>
                <w:szCs w:val="21"/>
              </w:rPr>
            </w:pPr>
            <w:r>
              <w:rPr>
                <w:rFonts w:hint="eastAsia" w:ascii="Arial" w:hAnsi="Arial" w:cs="Arial"/>
                <w:sz w:val="21"/>
                <w:szCs w:val="21"/>
              </w:rPr>
              <w:t>2922</w:t>
            </w:r>
          </w:p>
        </w:tc>
        <w:tc>
          <w:tcPr>
            <w:tcW w:w="535" w:type="pct"/>
            <w:shd w:val="clear" w:color="auto" w:fill="auto"/>
            <w:vAlign w:val="center"/>
          </w:tcPr>
          <w:p w14:paraId="38FDCDBB">
            <w:pPr>
              <w:adjustRightInd w:val="0"/>
              <w:snapToGrid w:val="0"/>
              <w:jc w:val="center"/>
              <w:rPr>
                <w:rFonts w:ascii="Arial" w:hAnsi="Arial" w:eastAsia="宋体" w:cs="Arial"/>
                <w:sz w:val="21"/>
                <w:szCs w:val="21"/>
              </w:rPr>
            </w:pPr>
            <w:r>
              <w:rPr>
                <w:rFonts w:hint="eastAsia" w:ascii="Arial" w:hAnsi="Arial" w:eastAsia="宋体" w:cs="Arial"/>
                <w:sz w:val="21"/>
                <w:szCs w:val="21"/>
              </w:rPr>
              <w:t>5850.8152</w:t>
            </w:r>
          </w:p>
        </w:tc>
        <w:tc>
          <w:tcPr>
            <w:tcW w:w="645" w:type="pct"/>
            <w:vAlign w:val="center"/>
          </w:tcPr>
          <w:p w14:paraId="7BCA5D57">
            <w:pPr>
              <w:adjustRightInd w:val="0"/>
              <w:snapToGrid w:val="0"/>
              <w:jc w:val="center"/>
              <w:rPr>
                <w:rFonts w:ascii="Arial" w:hAnsi="Arial" w:eastAsia="宋体" w:cs="Arial"/>
                <w:sz w:val="21"/>
                <w:szCs w:val="21"/>
              </w:rPr>
            </w:pPr>
            <w:r>
              <w:rPr>
                <w:rFonts w:ascii="Arial" w:hAnsi="Arial" w:cs="Arial"/>
                <w:sz w:val="21"/>
                <w:szCs w:val="21"/>
              </w:rPr>
              <w:t>-7.4042</w:t>
            </w:r>
          </w:p>
        </w:tc>
        <w:tc>
          <w:tcPr>
            <w:tcW w:w="642" w:type="pct"/>
            <w:vAlign w:val="center"/>
          </w:tcPr>
          <w:p w14:paraId="1D6BCDB7">
            <w:pPr>
              <w:adjustRightInd w:val="0"/>
              <w:snapToGrid w:val="0"/>
              <w:jc w:val="center"/>
              <w:rPr>
                <w:rFonts w:ascii="Arial" w:hAnsi="Arial" w:cs="Arial"/>
                <w:sz w:val="21"/>
                <w:szCs w:val="21"/>
              </w:rPr>
            </w:pPr>
            <w:r>
              <w:rPr>
                <w:rFonts w:ascii="Arial" w:hAnsi="Arial" w:cs="Arial"/>
                <w:sz w:val="21"/>
                <w:szCs w:val="21"/>
              </w:rPr>
              <w:t>/</w:t>
            </w:r>
          </w:p>
        </w:tc>
      </w:tr>
      <w:tr w14:paraId="2EAAF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12DFA3B6">
            <w:pPr>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332" w:type="pct"/>
            <w:shd w:val="clear" w:color="auto" w:fill="auto"/>
            <w:vAlign w:val="center"/>
          </w:tcPr>
          <w:p w14:paraId="28982DBF">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7</w:t>
            </w:r>
            <w:r>
              <w:rPr>
                <w:rFonts w:hint="eastAsia" w:ascii="Arial" w:hAnsi="Arial" w:eastAsia="宋体" w:cs="Arial"/>
                <w:kern w:val="0"/>
                <w:sz w:val="21"/>
                <w:szCs w:val="21"/>
              </w:rPr>
              <w:t>484</w:t>
            </w:r>
          </w:p>
        </w:tc>
        <w:tc>
          <w:tcPr>
            <w:tcW w:w="497" w:type="pct"/>
            <w:shd w:val="clear" w:color="auto" w:fill="auto"/>
            <w:vAlign w:val="center"/>
          </w:tcPr>
          <w:p w14:paraId="711FCDCD">
            <w:pPr>
              <w:adjustRightInd w:val="0"/>
              <w:snapToGrid w:val="0"/>
              <w:jc w:val="center"/>
              <w:rPr>
                <w:rFonts w:ascii="Arial" w:hAnsi="Arial" w:eastAsia="宋体" w:cs="Arial"/>
                <w:sz w:val="21"/>
                <w:szCs w:val="21"/>
              </w:rPr>
            </w:pPr>
            <w:r>
              <w:rPr>
                <w:rFonts w:hint="eastAsia" w:ascii="Arial" w:hAnsi="Arial" w:cs="Arial"/>
                <w:sz w:val="21"/>
                <w:szCs w:val="21"/>
              </w:rPr>
              <w:t>15873.008</w:t>
            </w:r>
          </w:p>
        </w:tc>
        <w:tc>
          <w:tcPr>
            <w:tcW w:w="645" w:type="pct"/>
            <w:shd w:val="clear" w:color="auto" w:fill="auto"/>
            <w:vAlign w:val="center"/>
          </w:tcPr>
          <w:p w14:paraId="6C27345F">
            <w:pPr>
              <w:adjustRightInd w:val="0"/>
              <w:snapToGrid w:val="0"/>
              <w:jc w:val="center"/>
              <w:rPr>
                <w:rFonts w:ascii="Arial" w:hAnsi="Arial" w:eastAsia="宋体" w:cs="Arial"/>
                <w:sz w:val="21"/>
                <w:szCs w:val="21"/>
              </w:rPr>
            </w:pPr>
            <w:r>
              <w:rPr>
                <w:rFonts w:hint="eastAsia" w:ascii="Arial" w:hAnsi="Arial" w:eastAsia="宋体" w:cs="Arial"/>
                <w:sz w:val="21"/>
                <w:szCs w:val="21"/>
              </w:rPr>
              <w:t>37.6396</w:t>
            </w:r>
          </w:p>
        </w:tc>
        <w:tc>
          <w:tcPr>
            <w:tcW w:w="645" w:type="pct"/>
            <w:shd w:val="clear" w:color="auto" w:fill="auto"/>
            <w:vAlign w:val="center"/>
          </w:tcPr>
          <w:p w14:paraId="371106F1">
            <w:pPr>
              <w:adjustRightInd w:val="0"/>
              <w:snapToGrid w:val="0"/>
              <w:jc w:val="center"/>
              <w:rPr>
                <w:rFonts w:ascii="Arial" w:hAnsi="Arial" w:eastAsia="宋体" w:cs="Arial"/>
                <w:sz w:val="21"/>
                <w:szCs w:val="21"/>
              </w:rPr>
            </w:pPr>
            <w:r>
              <w:rPr>
                <w:rFonts w:hint="eastAsia" w:ascii="Arial" w:hAnsi="Arial" w:eastAsia="宋体" w:cs="Arial"/>
                <w:sz w:val="21"/>
                <w:szCs w:val="21"/>
              </w:rPr>
              <w:t>91.6631</w:t>
            </w:r>
          </w:p>
        </w:tc>
        <w:tc>
          <w:tcPr>
            <w:tcW w:w="327" w:type="pct"/>
            <w:shd w:val="clear" w:color="auto" w:fill="auto"/>
            <w:vAlign w:val="center"/>
          </w:tcPr>
          <w:p w14:paraId="23440AB8">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16700</w:t>
            </w:r>
          </w:p>
        </w:tc>
        <w:tc>
          <w:tcPr>
            <w:tcW w:w="327" w:type="pct"/>
            <w:shd w:val="clear" w:color="auto" w:fill="auto"/>
            <w:vAlign w:val="center"/>
          </w:tcPr>
          <w:p w14:paraId="045BED0B">
            <w:pPr>
              <w:adjustRightInd w:val="0"/>
              <w:snapToGrid w:val="0"/>
              <w:jc w:val="center"/>
              <w:rPr>
                <w:rFonts w:ascii="Arial" w:hAnsi="Arial" w:eastAsia="宋体" w:cs="Arial"/>
                <w:sz w:val="21"/>
                <w:szCs w:val="21"/>
              </w:rPr>
            </w:pPr>
            <w:r>
              <w:rPr>
                <w:rFonts w:hint="eastAsia" w:ascii="Arial" w:hAnsi="Arial" w:cs="Arial"/>
                <w:sz w:val="21"/>
                <w:szCs w:val="21"/>
              </w:rPr>
              <w:t>7952</w:t>
            </w:r>
          </w:p>
        </w:tc>
        <w:tc>
          <w:tcPr>
            <w:tcW w:w="535" w:type="pct"/>
            <w:shd w:val="clear" w:color="auto" w:fill="auto"/>
            <w:vAlign w:val="center"/>
          </w:tcPr>
          <w:p w14:paraId="55A17B50">
            <w:pPr>
              <w:adjustRightInd w:val="0"/>
              <w:snapToGrid w:val="0"/>
              <w:jc w:val="center"/>
              <w:rPr>
                <w:rFonts w:ascii="Arial" w:hAnsi="Arial" w:eastAsia="宋体" w:cs="Arial"/>
                <w:sz w:val="21"/>
                <w:szCs w:val="21"/>
              </w:rPr>
            </w:pPr>
            <w:r>
              <w:rPr>
                <w:rFonts w:ascii="Arial" w:hAnsi="Arial" w:cs="Arial"/>
                <w:sz w:val="21"/>
                <w:szCs w:val="21"/>
              </w:rPr>
              <w:t>159</w:t>
            </w:r>
            <w:r>
              <w:rPr>
                <w:rFonts w:hint="eastAsia" w:ascii="Arial" w:hAnsi="Arial" w:cs="Arial"/>
                <w:sz w:val="21"/>
                <w:szCs w:val="21"/>
              </w:rPr>
              <w:t>27.0315</w:t>
            </w:r>
          </w:p>
        </w:tc>
        <w:tc>
          <w:tcPr>
            <w:tcW w:w="645" w:type="pct"/>
            <w:vAlign w:val="center"/>
          </w:tcPr>
          <w:p w14:paraId="2F048E5F">
            <w:pPr>
              <w:adjustRightInd w:val="0"/>
              <w:snapToGrid w:val="0"/>
              <w:jc w:val="center"/>
              <w:rPr>
                <w:rFonts w:ascii="Arial" w:hAnsi="Arial" w:eastAsia="宋体" w:cs="Arial"/>
                <w:sz w:val="21"/>
                <w:szCs w:val="21"/>
              </w:rPr>
            </w:pPr>
            <w:r>
              <w:rPr>
                <w:rFonts w:hint="eastAsia" w:ascii="Arial" w:hAnsi="Arial" w:cs="Arial"/>
                <w:sz w:val="21"/>
                <w:szCs w:val="21"/>
              </w:rPr>
              <w:t>+</w:t>
            </w:r>
            <w:r>
              <w:rPr>
                <w:rFonts w:ascii="Arial" w:hAnsi="Arial" w:cs="Arial"/>
                <w:sz w:val="21"/>
                <w:szCs w:val="21"/>
              </w:rPr>
              <w:t>54.0235</w:t>
            </w:r>
          </w:p>
        </w:tc>
        <w:tc>
          <w:tcPr>
            <w:tcW w:w="642" w:type="pct"/>
            <w:vAlign w:val="center"/>
          </w:tcPr>
          <w:p w14:paraId="5CD691F9">
            <w:pPr>
              <w:adjustRightInd w:val="0"/>
              <w:snapToGrid w:val="0"/>
              <w:jc w:val="center"/>
              <w:rPr>
                <w:rFonts w:ascii="Arial" w:hAnsi="Arial" w:cs="Arial"/>
                <w:sz w:val="21"/>
                <w:szCs w:val="21"/>
              </w:rPr>
            </w:pPr>
            <w:r>
              <w:rPr>
                <w:rFonts w:ascii="Arial" w:hAnsi="Arial" w:cs="Arial"/>
                <w:sz w:val="21"/>
                <w:szCs w:val="21"/>
              </w:rPr>
              <w:t>60486.344</w:t>
            </w:r>
          </w:p>
        </w:tc>
      </w:tr>
      <w:tr w14:paraId="0607C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6FF4B806">
            <w:pPr>
              <w:adjustRightInd w:val="0"/>
              <w:snapToGrid w:val="0"/>
              <w:jc w:val="center"/>
              <w:rPr>
                <w:rFonts w:ascii="Arial" w:hAnsi="Arial" w:eastAsia="宋体" w:cs="Arial"/>
                <w:sz w:val="21"/>
                <w:szCs w:val="21"/>
              </w:rPr>
            </w:pPr>
            <w:r>
              <w:rPr>
                <w:rFonts w:ascii="Arial" w:hAnsi="Arial" w:eastAsia="宋体" w:cs="Arial"/>
                <w:spacing w:val="10"/>
                <w:sz w:val="21"/>
                <w:szCs w:val="21"/>
              </w:rPr>
              <w:t>镍</w:t>
            </w:r>
          </w:p>
        </w:tc>
        <w:tc>
          <w:tcPr>
            <w:tcW w:w="332" w:type="pct"/>
            <w:shd w:val="clear" w:color="auto" w:fill="auto"/>
            <w:vAlign w:val="center"/>
          </w:tcPr>
          <w:p w14:paraId="1A44A1FD">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0.12</w:t>
            </w:r>
          </w:p>
        </w:tc>
        <w:tc>
          <w:tcPr>
            <w:tcW w:w="497" w:type="pct"/>
            <w:shd w:val="clear" w:color="auto" w:fill="auto"/>
            <w:vAlign w:val="center"/>
          </w:tcPr>
          <w:p w14:paraId="56071849">
            <w:pPr>
              <w:adjustRightInd w:val="0"/>
              <w:snapToGrid w:val="0"/>
              <w:jc w:val="center"/>
              <w:rPr>
                <w:rFonts w:ascii="Arial" w:hAnsi="Arial" w:eastAsia="宋体" w:cs="Arial"/>
                <w:sz w:val="21"/>
                <w:szCs w:val="21"/>
              </w:rPr>
            </w:pPr>
            <w:r>
              <w:rPr>
                <w:rFonts w:ascii="Arial" w:hAnsi="Arial" w:cs="Arial"/>
                <w:sz w:val="21"/>
                <w:szCs w:val="21"/>
              </w:rPr>
              <w:t>0.2502</w:t>
            </w:r>
          </w:p>
        </w:tc>
        <w:tc>
          <w:tcPr>
            <w:tcW w:w="645" w:type="pct"/>
            <w:shd w:val="clear" w:color="auto" w:fill="auto"/>
            <w:vAlign w:val="center"/>
          </w:tcPr>
          <w:p w14:paraId="693B9D41">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645" w:type="pct"/>
            <w:shd w:val="clear" w:color="auto" w:fill="auto"/>
            <w:vAlign w:val="center"/>
          </w:tcPr>
          <w:p w14:paraId="2F0CC6AB">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327" w:type="pct"/>
            <w:shd w:val="clear" w:color="auto" w:fill="auto"/>
            <w:vAlign w:val="center"/>
          </w:tcPr>
          <w:p w14:paraId="182E51DC">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w:t>
            </w:r>
          </w:p>
        </w:tc>
        <w:tc>
          <w:tcPr>
            <w:tcW w:w="327" w:type="pct"/>
            <w:shd w:val="clear" w:color="auto" w:fill="auto"/>
            <w:vAlign w:val="center"/>
          </w:tcPr>
          <w:p w14:paraId="44072031">
            <w:pPr>
              <w:adjustRightInd w:val="0"/>
              <w:snapToGrid w:val="0"/>
              <w:jc w:val="center"/>
              <w:rPr>
                <w:rFonts w:ascii="Arial" w:hAnsi="Arial" w:eastAsia="宋体" w:cs="Arial"/>
                <w:sz w:val="21"/>
                <w:szCs w:val="21"/>
              </w:rPr>
            </w:pPr>
            <w:r>
              <w:rPr>
                <w:rFonts w:ascii="Arial" w:hAnsi="Arial" w:cs="Arial"/>
                <w:sz w:val="21"/>
                <w:szCs w:val="21"/>
              </w:rPr>
              <w:t>0.1</w:t>
            </w:r>
            <w:r>
              <w:rPr>
                <w:rFonts w:hint="eastAsia" w:ascii="Arial" w:hAnsi="Arial" w:cs="Arial"/>
                <w:sz w:val="21"/>
                <w:szCs w:val="21"/>
              </w:rPr>
              <w:t>2</w:t>
            </w:r>
          </w:p>
        </w:tc>
        <w:tc>
          <w:tcPr>
            <w:tcW w:w="535" w:type="pct"/>
            <w:shd w:val="clear" w:color="auto" w:fill="auto"/>
            <w:vAlign w:val="center"/>
          </w:tcPr>
          <w:p w14:paraId="606AC546">
            <w:pPr>
              <w:adjustRightInd w:val="0"/>
              <w:snapToGrid w:val="0"/>
              <w:jc w:val="center"/>
              <w:rPr>
                <w:rFonts w:ascii="Arial" w:hAnsi="Arial" w:eastAsia="宋体" w:cs="Arial"/>
                <w:sz w:val="21"/>
                <w:szCs w:val="21"/>
              </w:rPr>
            </w:pPr>
            <w:r>
              <w:rPr>
                <w:rFonts w:ascii="Arial" w:hAnsi="Arial" w:cs="Arial"/>
                <w:sz w:val="21"/>
                <w:szCs w:val="21"/>
              </w:rPr>
              <w:t>0.2502</w:t>
            </w:r>
          </w:p>
        </w:tc>
        <w:tc>
          <w:tcPr>
            <w:tcW w:w="645" w:type="pct"/>
            <w:vAlign w:val="center"/>
          </w:tcPr>
          <w:p w14:paraId="7B1F0796">
            <w:pPr>
              <w:adjustRightInd w:val="0"/>
              <w:snapToGrid w:val="0"/>
              <w:jc w:val="center"/>
              <w:rPr>
                <w:rFonts w:ascii="Arial" w:hAnsi="Arial" w:eastAsia="宋体" w:cs="Arial"/>
                <w:sz w:val="21"/>
                <w:szCs w:val="21"/>
              </w:rPr>
            </w:pPr>
            <w:r>
              <w:rPr>
                <w:rFonts w:ascii="Arial" w:hAnsi="Arial" w:cs="Arial"/>
                <w:sz w:val="21"/>
                <w:szCs w:val="21"/>
              </w:rPr>
              <w:t>0</w:t>
            </w:r>
          </w:p>
        </w:tc>
        <w:tc>
          <w:tcPr>
            <w:tcW w:w="642" w:type="pct"/>
            <w:vAlign w:val="center"/>
          </w:tcPr>
          <w:p w14:paraId="7072FAAD">
            <w:pPr>
              <w:adjustRightInd w:val="0"/>
              <w:snapToGrid w:val="0"/>
              <w:jc w:val="center"/>
              <w:rPr>
                <w:rFonts w:ascii="Arial" w:hAnsi="Arial" w:cs="Arial"/>
                <w:sz w:val="21"/>
                <w:szCs w:val="21"/>
              </w:rPr>
            </w:pPr>
            <w:r>
              <w:rPr>
                <w:rFonts w:ascii="Arial" w:hAnsi="Arial" w:cs="Arial"/>
                <w:sz w:val="21"/>
                <w:szCs w:val="21"/>
              </w:rPr>
              <w:t>0.23</w:t>
            </w:r>
          </w:p>
        </w:tc>
      </w:tr>
      <w:tr w14:paraId="1148F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72B7A1C7">
            <w:pPr>
              <w:adjustRightInd w:val="0"/>
              <w:snapToGrid w:val="0"/>
              <w:jc w:val="center"/>
              <w:rPr>
                <w:rFonts w:ascii="Arial" w:hAnsi="Arial" w:eastAsia="宋体" w:cs="Arial"/>
                <w:sz w:val="21"/>
                <w:szCs w:val="21"/>
              </w:rPr>
            </w:pPr>
            <w:r>
              <w:rPr>
                <w:rFonts w:ascii="Arial" w:hAnsi="Arial" w:eastAsia="宋体" w:cs="Arial"/>
                <w:spacing w:val="10"/>
                <w:sz w:val="21"/>
                <w:szCs w:val="21"/>
              </w:rPr>
              <w:t>钴</w:t>
            </w:r>
          </w:p>
        </w:tc>
        <w:tc>
          <w:tcPr>
            <w:tcW w:w="332" w:type="pct"/>
            <w:shd w:val="clear" w:color="auto" w:fill="auto"/>
            <w:vAlign w:val="center"/>
          </w:tcPr>
          <w:p w14:paraId="09C63A25">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0.1</w:t>
            </w:r>
            <w:r>
              <w:rPr>
                <w:rFonts w:hint="eastAsia" w:ascii="Arial" w:hAnsi="Arial" w:eastAsia="宋体" w:cs="Arial"/>
                <w:kern w:val="0"/>
                <w:sz w:val="21"/>
                <w:szCs w:val="21"/>
              </w:rPr>
              <w:t>4</w:t>
            </w:r>
          </w:p>
        </w:tc>
        <w:tc>
          <w:tcPr>
            <w:tcW w:w="497" w:type="pct"/>
            <w:shd w:val="clear" w:color="auto" w:fill="auto"/>
            <w:vAlign w:val="center"/>
          </w:tcPr>
          <w:p w14:paraId="14B151D2">
            <w:pPr>
              <w:adjustRightInd w:val="0"/>
              <w:snapToGrid w:val="0"/>
              <w:jc w:val="center"/>
              <w:rPr>
                <w:rFonts w:ascii="Arial" w:hAnsi="Arial" w:eastAsia="宋体" w:cs="Arial"/>
                <w:sz w:val="21"/>
                <w:szCs w:val="21"/>
              </w:rPr>
            </w:pPr>
            <w:r>
              <w:rPr>
                <w:rFonts w:ascii="Arial" w:hAnsi="Arial" w:cs="Arial"/>
                <w:sz w:val="21"/>
                <w:szCs w:val="21"/>
              </w:rPr>
              <w:t>0.3061</w:t>
            </w:r>
          </w:p>
        </w:tc>
        <w:tc>
          <w:tcPr>
            <w:tcW w:w="645" w:type="pct"/>
            <w:shd w:val="clear" w:color="auto" w:fill="auto"/>
            <w:vAlign w:val="center"/>
          </w:tcPr>
          <w:p w14:paraId="719C977D">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645" w:type="pct"/>
            <w:shd w:val="clear" w:color="auto" w:fill="auto"/>
            <w:vAlign w:val="center"/>
          </w:tcPr>
          <w:p w14:paraId="1F6C8B13">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0.0006</w:t>
            </w:r>
          </w:p>
        </w:tc>
        <w:tc>
          <w:tcPr>
            <w:tcW w:w="327" w:type="pct"/>
            <w:shd w:val="clear" w:color="auto" w:fill="auto"/>
            <w:vAlign w:val="center"/>
          </w:tcPr>
          <w:p w14:paraId="22202AB3">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w:t>
            </w:r>
          </w:p>
        </w:tc>
        <w:tc>
          <w:tcPr>
            <w:tcW w:w="327" w:type="pct"/>
            <w:shd w:val="clear" w:color="auto" w:fill="auto"/>
            <w:vAlign w:val="center"/>
          </w:tcPr>
          <w:p w14:paraId="4712E3DA">
            <w:pPr>
              <w:adjustRightInd w:val="0"/>
              <w:snapToGrid w:val="0"/>
              <w:jc w:val="center"/>
              <w:rPr>
                <w:rFonts w:ascii="Arial" w:hAnsi="Arial" w:eastAsia="宋体" w:cs="Arial"/>
                <w:sz w:val="21"/>
                <w:szCs w:val="21"/>
              </w:rPr>
            </w:pPr>
            <w:r>
              <w:rPr>
                <w:rFonts w:ascii="Arial" w:hAnsi="Arial" w:cs="Arial"/>
                <w:sz w:val="21"/>
                <w:szCs w:val="21"/>
              </w:rPr>
              <w:t>0.15</w:t>
            </w:r>
          </w:p>
        </w:tc>
        <w:tc>
          <w:tcPr>
            <w:tcW w:w="535" w:type="pct"/>
            <w:shd w:val="clear" w:color="auto" w:fill="auto"/>
            <w:vAlign w:val="center"/>
          </w:tcPr>
          <w:p w14:paraId="3ABBFF55">
            <w:pPr>
              <w:adjustRightInd w:val="0"/>
              <w:snapToGrid w:val="0"/>
              <w:jc w:val="center"/>
              <w:rPr>
                <w:rFonts w:ascii="Arial" w:hAnsi="Arial" w:eastAsia="宋体" w:cs="Arial"/>
                <w:sz w:val="21"/>
                <w:szCs w:val="21"/>
              </w:rPr>
            </w:pPr>
            <w:r>
              <w:rPr>
                <w:rFonts w:ascii="Arial" w:hAnsi="Arial" w:cs="Arial"/>
                <w:sz w:val="21"/>
                <w:szCs w:val="21"/>
              </w:rPr>
              <w:t>0.3067</w:t>
            </w:r>
          </w:p>
        </w:tc>
        <w:tc>
          <w:tcPr>
            <w:tcW w:w="645" w:type="pct"/>
            <w:vAlign w:val="center"/>
          </w:tcPr>
          <w:p w14:paraId="593F3140">
            <w:pPr>
              <w:adjustRightInd w:val="0"/>
              <w:snapToGrid w:val="0"/>
              <w:jc w:val="center"/>
              <w:rPr>
                <w:rFonts w:ascii="Arial" w:hAnsi="Arial" w:eastAsia="宋体" w:cs="Arial"/>
                <w:sz w:val="21"/>
                <w:szCs w:val="21"/>
              </w:rPr>
            </w:pPr>
            <w:r>
              <w:rPr>
                <w:rFonts w:hint="eastAsia" w:ascii="Arial" w:hAnsi="Arial" w:cs="Arial"/>
                <w:sz w:val="21"/>
                <w:szCs w:val="21"/>
              </w:rPr>
              <w:t>+</w:t>
            </w:r>
            <w:r>
              <w:rPr>
                <w:rFonts w:ascii="Arial" w:hAnsi="Arial" w:cs="Arial"/>
                <w:sz w:val="21"/>
                <w:szCs w:val="21"/>
              </w:rPr>
              <w:t>0.0006</w:t>
            </w:r>
          </w:p>
        </w:tc>
        <w:tc>
          <w:tcPr>
            <w:tcW w:w="642" w:type="pct"/>
            <w:vAlign w:val="center"/>
          </w:tcPr>
          <w:p w14:paraId="68514821">
            <w:pPr>
              <w:adjustRightInd w:val="0"/>
              <w:snapToGrid w:val="0"/>
              <w:jc w:val="center"/>
              <w:rPr>
                <w:rFonts w:ascii="Arial" w:hAnsi="Arial" w:cs="Arial"/>
                <w:sz w:val="21"/>
                <w:szCs w:val="21"/>
              </w:rPr>
            </w:pPr>
            <w:r>
              <w:rPr>
                <w:rFonts w:ascii="Arial" w:hAnsi="Arial" w:cs="Arial"/>
                <w:sz w:val="21"/>
                <w:szCs w:val="21"/>
              </w:rPr>
              <w:t>0.38</w:t>
            </w:r>
          </w:p>
        </w:tc>
      </w:tr>
      <w:tr w14:paraId="72D7C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3779B548">
            <w:pPr>
              <w:adjustRightInd w:val="0"/>
              <w:snapToGrid w:val="0"/>
              <w:jc w:val="center"/>
              <w:rPr>
                <w:rFonts w:ascii="Arial" w:hAnsi="Arial" w:eastAsia="宋体" w:cs="Arial"/>
                <w:sz w:val="21"/>
                <w:szCs w:val="21"/>
              </w:rPr>
            </w:pPr>
            <w:r>
              <w:rPr>
                <w:rFonts w:ascii="Arial" w:hAnsi="Arial" w:eastAsia="宋体" w:cs="Arial"/>
                <w:spacing w:val="10"/>
                <w:sz w:val="21"/>
                <w:szCs w:val="21"/>
              </w:rPr>
              <w:t>锰</w:t>
            </w:r>
          </w:p>
        </w:tc>
        <w:tc>
          <w:tcPr>
            <w:tcW w:w="332" w:type="pct"/>
            <w:shd w:val="clear" w:color="auto" w:fill="auto"/>
            <w:vAlign w:val="center"/>
          </w:tcPr>
          <w:p w14:paraId="532C6538">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0.15</w:t>
            </w:r>
          </w:p>
        </w:tc>
        <w:tc>
          <w:tcPr>
            <w:tcW w:w="497" w:type="pct"/>
            <w:shd w:val="clear" w:color="auto" w:fill="auto"/>
            <w:vAlign w:val="center"/>
          </w:tcPr>
          <w:p w14:paraId="6933FBEB">
            <w:pPr>
              <w:adjustRightInd w:val="0"/>
              <w:snapToGrid w:val="0"/>
              <w:jc w:val="center"/>
              <w:rPr>
                <w:rFonts w:ascii="Arial" w:hAnsi="Arial" w:eastAsia="宋体" w:cs="Arial"/>
                <w:sz w:val="21"/>
                <w:szCs w:val="21"/>
              </w:rPr>
            </w:pPr>
            <w:r>
              <w:rPr>
                <w:rFonts w:ascii="Arial" w:hAnsi="Arial" w:cs="Arial"/>
                <w:sz w:val="21"/>
                <w:szCs w:val="21"/>
              </w:rPr>
              <w:t>0.3215</w:t>
            </w:r>
          </w:p>
        </w:tc>
        <w:tc>
          <w:tcPr>
            <w:tcW w:w="645" w:type="pct"/>
            <w:shd w:val="clear" w:color="auto" w:fill="auto"/>
            <w:vAlign w:val="center"/>
          </w:tcPr>
          <w:p w14:paraId="0A5459C4">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645" w:type="pct"/>
            <w:shd w:val="clear" w:color="auto" w:fill="auto"/>
            <w:vAlign w:val="center"/>
          </w:tcPr>
          <w:p w14:paraId="61045D30">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327" w:type="pct"/>
            <w:shd w:val="clear" w:color="auto" w:fill="auto"/>
            <w:vAlign w:val="center"/>
          </w:tcPr>
          <w:p w14:paraId="7F77E1FC">
            <w:pPr>
              <w:widowControl/>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w:t>
            </w:r>
          </w:p>
        </w:tc>
        <w:tc>
          <w:tcPr>
            <w:tcW w:w="327" w:type="pct"/>
            <w:shd w:val="clear" w:color="auto" w:fill="auto"/>
            <w:vAlign w:val="center"/>
          </w:tcPr>
          <w:p w14:paraId="352581CD">
            <w:pPr>
              <w:adjustRightInd w:val="0"/>
              <w:snapToGrid w:val="0"/>
              <w:jc w:val="center"/>
              <w:rPr>
                <w:rFonts w:ascii="Arial" w:hAnsi="Arial" w:eastAsia="宋体" w:cs="Arial"/>
                <w:sz w:val="21"/>
                <w:szCs w:val="21"/>
              </w:rPr>
            </w:pPr>
            <w:r>
              <w:rPr>
                <w:rFonts w:ascii="Arial" w:hAnsi="Arial" w:cs="Arial"/>
                <w:sz w:val="21"/>
                <w:szCs w:val="21"/>
              </w:rPr>
              <w:t>0.16</w:t>
            </w:r>
          </w:p>
        </w:tc>
        <w:tc>
          <w:tcPr>
            <w:tcW w:w="535" w:type="pct"/>
            <w:shd w:val="clear" w:color="auto" w:fill="auto"/>
            <w:vAlign w:val="center"/>
          </w:tcPr>
          <w:p w14:paraId="7AF155AF">
            <w:pPr>
              <w:adjustRightInd w:val="0"/>
              <w:snapToGrid w:val="0"/>
              <w:jc w:val="center"/>
              <w:rPr>
                <w:rFonts w:ascii="Arial" w:hAnsi="Arial" w:eastAsia="宋体" w:cs="Arial"/>
                <w:sz w:val="21"/>
                <w:szCs w:val="21"/>
              </w:rPr>
            </w:pPr>
            <w:r>
              <w:rPr>
                <w:rFonts w:ascii="Arial" w:hAnsi="Arial" w:cs="Arial"/>
                <w:sz w:val="21"/>
                <w:szCs w:val="21"/>
              </w:rPr>
              <w:t>0.3215</w:t>
            </w:r>
          </w:p>
        </w:tc>
        <w:tc>
          <w:tcPr>
            <w:tcW w:w="645" w:type="pct"/>
            <w:vAlign w:val="center"/>
          </w:tcPr>
          <w:p w14:paraId="17710DF7">
            <w:pPr>
              <w:adjustRightInd w:val="0"/>
              <w:snapToGrid w:val="0"/>
              <w:jc w:val="center"/>
              <w:rPr>
                <w:rFonts w:ascii="Arial" w:hAnsi="Arial" w:eastAsia="宋体" w:cs="Arial"/>
                <w:sz w:val="21"/>
                <w:szCs w:val="21"/>
              </w:rPr>
            </w:pPr>
            <w:r>
              <w:rPr>
                <w:rFonts w:ascii="Arial" w:hAnsi="Arial" w:cs="Arial"/>
                <w:sz w:val="21"/>
                <w:szCs w:val="21"/>
              </w:rPr>
              <w:t>0</w:t>
            </w:r>
          </w:p>
        </w:tc>
        <w:tc>
          <w:tcPr>
            <w:tcW w:w="642" w:type="pct"/>
            <w:vAlign w:val="center"/>
          </w:tcPr>
          <w:p w14:paraId="67318C14">
            <w:pPr>
              <w:adjustRightInd w:val="0"/>
              <w:snapToGrid w:val="0"/>
              <w:jc w:val="center"/>
              <w:rPr>
                <w:rFonts w:ascii="Arial" w:hAnsi="Arial" w:cs="Arial"/>
                <w:sz w:val="21"/>
                <w:szCs w:val="21"/>
              </w:rPr>
            </w:pPr>
            <w:r>
              <w:rPr>
                <w:rFonts w:ascii="Arial" w:hAnsi="Arial" w:cs="Arial"/>
                <w:sz w:val="21"/>
                <w:szCs w:val="21"/>
              </w:rPr>
              <w:t>0.632</w:t>
            </w:r>
          </w:p>
        </w:tc>
      </w:tr>
      <w:tr w14:paraId="4FE0B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5A59A6D0">
            <w:pPr>
              <w:adjustRightInd w:val="0"/>
              <w:snapToGrid w:val="0"/>
              <w:jc w:val="center"/>
              <w:rPr>
                <w:rFonts w:ascii="Arial" w:hAnsi="Arial" w:eastAsia="宋体" w:cs="Arial"/>
                <w:sz w:val="21"/>
                <w:szCs w:val="21"/>
              </w:rPr>
            </w:pPr>
            <w:r>
              <w:rPr>
                <w:rFonts w:ascii="Arial" w:hAnsi="Arial" w:eastAsia="宋体" w:cs="Arial"/>
                <w:sz w:val="21"/>
                <w:szCs w:val="21"/>
              </w:rPr>
              <w:t>铜</w:t>
            </w:r>
          </w:p>
        </w:tc>
        <w:tc>
          <w:tcPr>
            <w:tcW w:w="332" w:type="pct"/>
            <w:shd w:val="clear" w:color="auto" w:fill="auto"/>
            <w:vAlign w:val="center"/>
          </w:tcPr>
          <w:p w14:paraId="3C616024">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0.01</w:t>
            </w:r>
          </w:p>
        </w:tc>
        <w:tc>
          <w:tcPr>
            <w:tcW w:w="497" w:type="pct"/>
            <w:shd w:val="clear" w:color="auto" w:fill="auto"/>
            <w:vAlign w:val="center"/>
          </w:tcPr>
          <w:p w14:paraId="7EB2121A">
            <w:pPr>
              <w:adjustRightInd w:val="0"/>
              <w:snapToGrid w:val="0"/>
              <w:jc w:val="center"/>
              <w:rPr>
                <w:rFonts w:ascii="Arial" w:hAnsi="Arial" w:eastAsia="宋体" w:cs="Arial"/>
                <w:sz w:val="21"/>
                <w:szCs w:val="21"/>
              </w:rPr>
            </w:pPr>
            <w:r>
              <w:rPr>
                <w:rFonts w:ascii="Arial" w:hAnsi="Arial" w:cs="Arial"/>
                <w:sz w:val="21"/>
                <w:szCs w:val="21"/>
              </w:rPr>
              <w:t>0.022</w:t>
            </w:r>
          </w:p>
        </w:tc>
        <w:tc>
          <w:tcPr>
            <w:tcW w:w="645" w:type="pct"/>
            <w:shd w:val="clear" w:color="auto" w:fill="auto"/>
            <w:vAlign w:val="center"/>
          </w:tcPr>
          <w:p w14:paraId="106D6529">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645" w:type="pct"/>
            <w:shd w:val="clear" w:color="auto" w:fill="auto"/>
            <w:vAlign w:val="center"/>
          </w:tcPr>
          <w:p w14:paraId="4FCE9728">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327" w:type="pct"/>
            <w:shd w:val="clear" w:color="auto" w:fill="auto"/>
            <w:vAlign w:val="center"/>
          </w:tcPr>
          <w:p w14:paraId="4389BB63">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0.5</w:t>
            </w:r>
          </w:p>
        </w:tc>
        <w:tc>
          <w:tcPr>
            <w:tcW w:w="327" w:type="pct"/>
            <w:shd w:val="clear" w:color="auto" w:fill="auto"/>
            <w:vAlign w:val="center"/>
          </w:tcPr>
          <w:p w14:paraId="15E6A759">
            <w:pPr>
              <w:adjustRightInd w:val="0"/>
              <w:snapToGrid w:val="0"/>
              <w:jc w:val="center"/>
              <w:rPr>
                <w:rFonts w:ascii="Arial" w:hAnsi="Arial" w:eastAsia="宋体" w:cs="Arial"/>
                <w:sz w:val="21"/>
                <w:szCs w:val="21"/>
              </w:rPr>
            </w:pPr>
            <w:r>
              <w:rPr>
                <w:rFonts w:ascii="Arial" w:hAnsi="Arial" w:cs="Arial"/>
                <w:sz w:val="21"/>
                <w:szCs w:val="21"/>
              </w:rPr>
              <w:t>0.01</w:t>
            </w:r>
          </w:p>
        </w:tc>
        <w:tc>
          <w:tcPr>
            <w:tcW w:w="535" w:type="pct"/>
            <w:shd w:val="clear" w:color="auto" w:fill="auto"/>
            <w:vAlign w:val="center"/>
          </w:tcPr>
          <w:p w14:paraId="4CAEC7C4">
            <w:pPr>
              <w:adjustRightInd w:val="0"/>
              <w:snapToGrid w:val="0"/>
              <w:jc w:val="center"/>
              <w:rPr>
                <w:rFonts w:ascii="Arial" w:hAnsi="Arial" w:eastAsia="宋体" w:cs="Arial"/>
                <w:sz w:val="21"/>
                <w:szCs w:val="21"/>
              </w:rPr>
            </w:pPr>
            <w:r>
              <w:rPr>
                <w:rFonts w:ascii="Arial" w:hAnsi="Arial" w:cs="Arial"/>
                <w:sz w:val="21"/>
                <w:szCs w:val="21"/>
              </w:rPr>
              <w:t>0.022</w:t>
            </w:r>
          </w:p>
        </w:tc>
        <w:tc>
          <w:tcPr>
            <w:tcW w:w="645" w:type="pct"/>
            <w:vAlign w:val="center"/>
          </w:tcPr>
          <w:p w14:paraId="68327A26">
            <w:pPr>
              <w:adjustRightInd w:val="0"/>
              <w:snapToGrid w:val="0"/>
              <w:jc w:val="center"/>
              <w:rPr>
                <w:rFonts w:ascii="Arial" w:hAnsi="Arial" w:eastAsia="宋体" w:cs="Arial"/>
                <w:sz w:val="21"/>
                <w:szCs w:val="21"/>
              </w:rPr>
            </w:pPr>
            <w:r>
              <w:rPr>
                <w:rFonts w:ascii="Arial" w:hAnsi="Arial" w:cs="Arial"/>
                <w:sz w:val="21"/>
                <w:szCs w:val="21"/>
              </w:rPr>
              <w:t>0</w:t>
            </w:r>
          </w:p>
        </w:tc>
        <w:tc>
          <w:tcPr>
            <w:tcW w:w="642" w:type="pct"/>
            <w:vAlign w:val="center"/>
          </w:tcPr>
          <w:p w14:paraId="7384FCBC">
            <w:pPr>
              <w:adjustRightInd w:val="0"/>
              <w:snapToGrid w:val="0"/>
              <w:jc w:val="center"/>
              <w:rPr>
                <w:rFonts w:ascii="Arial" w:hAnsi="Arial" w:cs="Arial"/>
                <w:sz w:val="21"/>
                <w:szCs w:val="21"/>
              </w:rPr>
            </w:pPr>
            <w:r>
              <w:rPr>
                <w:rFonts w:ascii="Arial" w:hAnsi="Arial" w:cs="Arial"/>
                <w:sz w:val="21"/>
                <w:szCs w:val="21"/>
              </w:rPr>
              <w:t>0.18</w:t>
            </w:r>
          </w:p>
        </w:tc>
      </w:tr>
      <w:tr w14:paraId="4FC12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5" w:type="pct"/>
            <w:shd w:val="clear" w:color="auto" w:fill="auto"/>
            <w:vAlign w:val="center"/>
          </w:tcPr>
          <w:p w14:paraId="7C0A0D1F">
            <w:pPr>
              <w:adjustRightInd w:val="0"/>
              <w:snapToGrid w:val="0"/>
              <w:jc w:val="center"/>
              <w:rPr>
                <w:rFonts w:ascii="Arial" w:hAnsi="Arial" w:eastAsia="宋体" w:cs="Arial"/>
                <w:sz w:val="21"/>
                <w:szCs w:val="21"/>
              </w:rPr>
            </w:pPr>
            <w:r>
              <w:rPr>
                <w:rFonts w:ascii="Arial" w:hAnsi="Arial" w:eastAsia="宋体" w:cs="Arial"/>
                <w:sz w:val="21"/>
                <w:szCs w:val="21"/>
              </w:rPr>
              <w:t>石油类</w:t>
            </w:r>
          </w:p>
        </w:tc>
        <w:tc>
          <w:tcPr>
            <w:tcW w:w="332" w:type="pct"/>
            <w:shd w:val="clear" w:color="auto" w:fill="auto"/>
            <w:vAlign w:val="center"/>
          </w:tcPr>
          <w:p w14:paraId="28A65BD8">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1.10</w:t>
            </w:r>
          </w:p>
        </w:tc>
        <w:tc>
          <w:tcPr>
            <w:tcW w:w="497" w:type="pct"/>
            <w:shd w:val="clear" w:color="auto" w:fill="auto"/>
            <w:vAlign w:val="center"/>
          </w:tcPr>
          <w:p w14:paraId="111E316F">
            <w:pPr>
              <w:adjustRightInd w:val="0"/>
              <w:snapToGrid w:val="0"/>
              <w:jc w:val="center"/>
              <w:rPr>
                <w:rFonts w:ascii="Arial" w:hAnsi="Arial" w:eastAsia="宋体" w:cs="Arial"/>
                <w:sz w:val="21"/>
                <w:szCs w:val="21"/>
              </w:rPr>
            </w:pPr>
            <w:r>
              <w:rPr>
                <w:rFonts w:ascii="Arial" w:hAnsi="Arial" w:cs="Arial"/>
                <w:sz w:val="21"/>
                <w:szCs w:val="21"/>
              </w:rPr>
              <w:t>2.3282</w:t>
            </w:r>
          </w:p>
        </w:tc>
        <w:tc>
          <w:tcPr>
            <w:tcW w:w="645" w:type="pct"/>
            <w:shd w:val="clear" w:color="auto" w:fill="auto"/>
            <w:vAlign w:val="center"/>
          </w:tcPr>
          <w:p w14:paraId="4E5B1922">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645" w:type="pct"/>
            <w:shd w:val="clear" w:color="auto" w:fill="auto"/>
            <w:vAlign w:val="center"/>
          </w:tcPr>
          <w:p w14:paraId="17E014D5">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327" w:type="pct"/>
            <w:shd w:val="clear" w:color="auto" w:fill="auto"/>
            <w:vAlign w:val="center"/>
          </w:tcPr>
          <w:p w14:paraId="0A8BDCF0">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3</w:t>
            </w:r>
          </w:p>
        </w:tc>
        <w:tc>
          <w:tcPr>
            <w:tcW w:w="327" w:type="pct"/>
            <w:shd w:val="clear" w:color="auto" w:fill="auto"/>
            <w:vAlign w:val="center"/>
          </w:tcPr>
          <w:p w14:paraId="32A7A773">
            <w:pPr>
              <w:adjustRightInd w:val="0"/>
              <w:snapToGrid w:val="0"/>
              <w:jc w:val="center"/>
              <w:rPr>
                <w:rFonts w:ascii="Arial" w:hAnsi="Arial" w:eastAsia="宋体" w:cs="Arial"/>
                <w:sz w:val="21"/>
                <w:szCs w:val="21"/>
              </w:rPr>
            </w:pPr>
            <w:r>
              <w:rPr>
                <w:rFonts w:ascii="Arial" w:hAnsi="Arial" w:cs="Arial"/>
                <w:sz w:val="21"/>
                <w:szCs w:val="21"/>
              </w:rPr>
              <w:t>1.1</w:t>
            </w:r>
            <w:r>
              <w:rPr>
                <w:rFonts w:hint="eastAsia" w:ascii="Arial" w:hAnsi="Arial" w:cs="Arial"/>
                <w:sz w:val="21"/>
                <w:szCs w:val="21"/>
              </w:rPr>
              <w:t>6</w:t>
            </w:r>
          </w:p>
        </w:tc>
        <w:tc>
          <w:tcPr>
            <w:tcW w:w="535" w:type="pct"/>
            <w:shd w:val="clear" w:color="auto" w:fill="auto"/>
            <w:vAlign w:val="center"/>
          </w:tcPr>
          <w:p w14:paraId="64CFAC75">
            <w:pPr>
              <w:adjustRightInd w:val="0"/>
              <w:snapToGrid w:val="0"/>
              <w:jc w:val="center"/>
              <w:rPr>
                <w:rFonts w:ascii="Arial" w:hAnsi="Arial" w:eastAsia="宋体" w:cs="Arial"/>
                <w:sz w:val="21"/>
                <w:szCs w:val="21"/>
              </w:rPr>
            </w:pPr>
            <w:r>
              <w:rPr>
                <w:rFonts w:ascii="Arial" w:hAnsi="Arial" w:cs="Arial"/>
                <w:sz w:val="21"/>
                <w:szCs w:val="21"/>
              </w:rPr>
              <w:t>2.3282</w:t>
            </w:r>
          </w:p>
        </w:tc>
        <w:tc>
          <w:tcPr>
            <w:tcW w:w="645" w:type="pct"/>
            <w:vAlign w:val="center"/>
          </w:tcPr>
          <w:p w14:paraId="0E1801DD">
            <w:pPr>
              <w:adjustRightInd w:val="0"/>
              <w:snapToGrid w:val="0"/>
              <w:jc w:val="center"/>
              <w:rPr>
                <w:rFonts w:ascii="Arial" w:hAnsi="Arial" w:eastAsia="宋体" w:cs="Arial"/>
                <w:sz w:val="21"/>
                <w:szCs w:val="21"/>
              </w:rPr>
            </w:pPr>
            <w:r>
              <w:rPr>
                <w:rFonts w:ascii="Arial" w:hAnsi="Arial" w:cs="Arial"/>
                <w:sz w:val="21"/>
                <w:szCs w:val="21"/>
              </w:rPr>
              <w:t>0</w:t>
            </w:r>
          </w:p>
        </w:tc>
        <w:tc>
          <w:tcPr>
            <w:tcW w:w="642" w:type="pct"/>
            <w:vAlign w:val="center"/>
          </w:tcPr>
          <w:p w14:paraId="4A0C2A57">
            <w:pPr>
              <w:adjustRightInd w:val="0"/>
              <w:snapToGrid w:val="0"/>
              <w:jc w:val="center"/>
              <w:rPr>
                <w:rFonts w:ascii="Arial" w:hAnsi="Arial" w:cs="Arial"/>
                <w:sz w:val="21"/>
                <w:szCs w:val="21"/>
              </w:rPr>
            </w:pPr>
            <w:r>
              <w:rPr>
                <w:rFonts w:ascii="Arial" w:hAnsi="Arial" w:cs="Arial"/>
                <w:sz w:val="21"/>
                <w:szCs w:val="21"/>
              </w:rPr>
              <w:t>4.556</w:t>
            </w:r>
          </w:p>
        </w:tc>
      </w:tr>
    </w:tbl>
    <w:p w14:paraId="402DD36E">
      <w:pPr>
        <w:pStyle w:val="5"/>
        <w:spacing w:line="500" w:lineRule="exact"/>
        <w:ind w:firstLine="490" w:firstLineChars="200"/>
      </w:pPr>
      <w:r>
        <w:t>根据上表可知，项目变更后废水总排放口满足《无机化学工业污染物排放标准》（GB31573-2015）直接排放限值要求。</w:t>
      </w:r>
    </w:p>
    <w:p w14:paraId="39150172">
      <w:pPr>
        <w:pStyle w:val="5"/>
        <w:spacing w:line="500" w:lineRule="exact"/>
        <w:ind w:firstLine="490" w:firstLineChars="200"/>
      </w:pPr>
    </w:p>
    <w:p w14:paraId="336DBB7D">
      <w:pPr>
        <w:pStyle w:val="5"/>
        <w:spacing w:line="500" w:lineRule="exact"/>
        <w:ind w:firstLine="490" w:firstLineChars="200"/>
        <w:rPr>
          <w:highlight w:val="yellow"/>
        </w:rPr>
        <w:sectPr>
          <w:pgSz w:w="16840" w:h="11907" w:orient="landscape"/>
          <w:pgMar w:top="1134" w:right="1678" w:bottom="1134" w:left="1899" w:header="1134" w:footer="1134" w:gutter="567"/>
          <w:cols w:space="720" w:num="1"/>
          <w:docGrid w:type="linesAndChars" w:linePitch="428" w:charSpace="-3161"/>
        </w:sectPr>
      </w:pPr>
    </w:p>
    <w:p w14:paraId="78F3080D">
      <w:pPr>
        <w:pStyle w:val="5"/>
        <w:spacing w:line="500" w:lineRule="exact"/>
        <w:ind w:firstLine="0"/>
        <w:outlineLvl w:val="3"/>
        <w:rPr>
          <w:b/>
        </w:rPr>
      </w:pPr>
      <w:r>
        <w:rPr>
          <w:b/>
        </w:rPr>
        <w:t>2.4.3.</w:t>
      </w:r>
      <w:r>
        <w:rPr>
          <w:rFonts w:hint="eastAsia"/>
          <w:b/>
        </w:rPr>
        <w:t>5项目实施后全厂高盐废水盐回收率</w:t>
      </w:r>
    </w:p>
    <w:p w14:paraId="1E88C041">
      <w:pPr>
        <w:pStyle w:val="5"/>
      </w:pPr>
      <w:r>
        <w:rPr>
          <w:rFonts w:hint="eastAsia"/>
        </w:rPr>
        <w:t>根据《广西中伟新能源项目一期新能源材料一体化项目（重大变动）环境影响报告书（报批稿）》（以下简称“一体化项目变更”）对本项目变更前全厂全盐产生、排放量核算，全厂高盐废水全盐产生量为257702.2638t/a，全盐排放量为15873.008t/a，全厂盐回收率为93.8%。</w:t>
      </w:r>
    </w:p>
    <w:p w14:paraId="7F4435E2">
      <w:pPr>
        <w:pStyle w:val="5"/>
      </w:pPr>
      <w:r>
        <w:rPr>
          <w:rFonts w:hint="eastAsia"/>
        </w:rPr>
        <w:t>根据上文工程分析可知，羟基钴生产线高盐废水中全盐产生量为1230.12t/a，排放量为86.1084t/a；本项目实施后，全厂高盐废水中全盐产生量为258932.3838t/a，排放量为15953.4454t/a，盐回收率93.8%，满足盐回收率＞90%的要求。</w:t>
      </w:r>
    </w:p>
    <w:p w14:paraId="76D408BF">
      <w:pPr>
        <w:pStyle w:val="6"/>
        <w:numPr>
          <w:ilvl w:val="2"/>
          <w:numId w:val="11"/>
        </w:numPr>
        <w:tabs>
          <w:tab w:val="left" w:pos="1080"/>
        </w:tabs>
        <w:spacing w:line="400" w:lineRule="exact"/>
        <w:rPr>
          <w:rFonts w:ascii="Arial" w:hAnsi="Arial" w:eastAsia="宋体" w:cs="Arial"/>
        </w:rPr>
      </w:pPr>
      <w:r>
        <w:rPr>
          <w:rFonts w:ascii="Arial" w:hAnsi="Arial" w:eastAsia="宋体" w:cs="Arial"/>
        </w:rPr>
        <w:t>噪声污染源强汇总</w:t>
      </w:r>
      <w:bookmarkEnd w:id="269"/>
    </w:p>
    <w:p w14:paraId="3F608C16">
      <w:pPr>
        <w:pStyle w:val="5"/>
        <w:keepNext/>
        <w:numPr>
          <w:ilvl w:val="0"/>
          <w:numId w:val="12"/>
        </w:numPr>
        <w:adjustRightInd w:val="0"/>
        <w:snapToGrid w:val="0"/>
        <w:spacing w:line="480" w:lineRule="exact"/>
        <w:ind w:left="0" w:firstLine="0"/>
        <w:jc w:val="center"/>
        <w:outlineLvl w:val="4"/>
        <w:rPr>
          <w:b/>
        </w:rPr>
      </w:pPr>
      <w:r>
        <w:rPr>
          <w:b/>
        </w:rPr>
        <w:t>项目变更前后噪声源</w:t>
      </w:r>
    </w:p>
    <w:tbl>
      <w:tblPr>
        <w:tblStyle w:val="88"/>
        <w:tblW w:w="5000" w:type="pct"/>
        <w:tblInd w:w="0" w:type="dxa"/>
        <w:tblLayout w:type="autofit"/>
        <w:tblCellMar>
          <w:top w:w="0" w:type="dxa"/>
          <w:left w:w="108" w:type="dxa"/>
          <w:bottom w:w="0" w:type="dxa"/>
          <w:right w:w="108" w:type="dxa"/>
        </w:tblCellMar>
      </w:tblPr>
      <w:tblGrid>
        <w:gridCol w:w="674"/>
        <w:gridCol w:w="1418"/>
        <w:gridCol w:w="712"/>
        <w:gridCol w:w="1273"/>
        <w:gridCol w:w="1276"/>
        <w:gridCol w:w="990"/>
        <w:gridCol w:w="1561"/>
        <w:gridCol w:w="1384"/>
      </w:tblGrid>
      <w:tr w14:paraId="4813B956">
        <w:tblPrEx>
          <w:tblCellMar>
            <w:top w:w="0" w:type="dxa"/>
            <w:left w:w="108" w:type="dxa"/>
            <w:bottom w:w="0" w:type="dxa"/>
            <w:right w:w="108" w:type="dxa"/>
          </w:tblCellMar>
        </w:tblPrEx>
        <w:trPr>
          <w:trHeight w:val="340" w:hRule="atLeast"/>
        </w:trPr>
        <w:tc>
          <w:tcPr>
            <w:tcW w:w="363" w:type="pct"/>
            <w:vMerge w:val="restart"/>
            <w:tcBorders>
              <w:top w:val="single" w:color="000000" w:sz="4" w:space="0"/>
              <w:left w:val="single" w:color="000000" w:sz="4" w:space="0"/>
              <w:right w:val="single" w:color="000000" w:sz="4" w:space="0"/>
            </w:tcBorders>
            <w:noWrap/>
            <w:vAlign w:val="center"/>
          </w:tcPr>
          <w:p w14:paraId="75EAF5D7">
            <w:pPr>
              <w:adjustRightInd w:val="0"/>
              <w:snapToGrid w:val="0"/>
              <w:jc w:val="center"/>
              <w:textAlignment w:val="center"/>
              <w:rPr>
                <w:rFonts w:ascii="Arial" w:hAnsi="Arial" w:eastAsia="宋体" w:cs="Arial"/>
                <w:b/>
                <w:bCs/>
                <w:kern w:val="0"/>
                <w:sz w:val="21"/>
                <w:szCs w:val="21"/>
                <w:lang w:bidi="ar"/>
              </w:rPr>
            </w:pPr>
            <w:r>
              <w:rPr>
                <w:rFonts w:ascii="Arial" w:hAnsi="Arial" w:eastAsia="宋体" w:cs="Arial"/>
                <w:b/>
                <w:bCs/>
                <w:kern w:val="0"/>
                <w:sz w:val="21"/>
                <w:szCs w:val="21"/>
                <w:lang w:bidi="ar"/>
              </w:rPr>
              <w:t>序号</w:t>
            </w:r>
          </w:p>
        </w:tc>
        <w:tc>
          <w:tcPr>
            <w:tcW w:w="763" w:type="pct"/>
            <w:vMerge w:val="restart"/>
            <w:tcBorders>
              <w:top w:val="single" w:color="000000" w:sz="4" w:space="0"/>
              <w:left w:val="single" w:color="000000" w:sz="4" w:space="0"/>
              <w:right w:val="single" w:color="000000" w:sz="4" w:space="0"/>
            </w:tcBorders>
            <w:noWrap/>
            <w:vAlign w:val="center"/>
          </w:tcPr>
          <w:p w14:paraId="51E62EBE">
            <w:pPr>
              <w:adjustRightInd w:val="0"/>
              <w:snapToGrid w:val="0"/>
              <w:jc w:val="center"/>
              <w:textAlignment w:val="center"/>
              <w:rPr>
                <w:rFonts w:ascii="Arial" w:hAnsi="Arial" w:eastAsia="宋体" w:cs="Arial"/>
                <w:b/>
                <w:bCs/>
                <w:kern w:val="0"/>
                <w:sz w:val="21"/>
                <w:szCs w:val="21"/>
                <w:lang w:bidi="ar"/>
              </w:rPr>
            </w:pPr>
            <w:r>
              <w:rPr>
                <w:rFonts w:ascii="Arial" w:hAnsi="Arial" w:eastAsia="宋体" w:cs="Arial"/>
                <w:b/>
                <w:bCs/>
                <w:kern w:val="0"/>
                <w:sz w:val="21"/>
                <w:szCs w:val="21"/>
                <w:lang w:bidi="ar"/>
              </w:rPr>
              <w:t>设备名称</w:t>
            </w:r>
          </w:p>
        </w:tc>
        <w:tc>
          <w:tcPr>
            <w:tcW w:w="1755" w:type="pct"/>
            <w:gridSpan w:val="3"/>
            <w:tcBorders>
              <w:top w:val="single" w:color="000000" w:sz="4" w:space="0"/>
              <w:left w:val="single" w:color="000000" w:sz="4" w:space="0"/>
              <w:bottom w:val="single" w:color="000000" w:sz="4" w:space="0"/>
              <w:right w:val="single" w:color="000000" w:sz="4" w:space="0"/>
            </w:tcBorders>
            <w:noWrap/>
            <w:vAlign w:val="center"/>
          </w:tcPr>
          <w:p w14:paraId="069C0FC2">
            <w:pPr>
              <w:widowControl/>
              <w:adjustRightInd w:val="0"/>
              <w:snapToGrid w:val="0"/>
              <w:jc w:val="center"/>
              <w:textAlignment w:val="center"/>
              <w:rPr>
                <w:rFonts w:ascii="Arial" w:hAnsi="Arial" w:eastAsia="宋体" w:cs="Arial"/>
                <w:b/>
                <w:sz w:val="21"/>
                <w:szCs w:val="24"/>
              </w:rPr>
            </w:pPr>
            <w:r>
              <w:rPr>
                <w:rFonts w:ascii="Arial" w:hAnsi="Arial" w:eastAsia="宋体" w:cs="Arial"/>
                <w:b/>
                <w:sz w:val="21"/>
                <w:szCs w:val="24"/>
              </w:rPr>
              <w:t>变更前</w:t>
            </w:r>
          </w:p>
        </w:tc>
        <w:tc>
          <w:tcPr>
            <w:tcW w:w="2118" w:type="pct"/>
            <w:gridSpan w:val="3"/>
            <w:tcBorders>
              <w:top w:val="single" w:color="000000" w:sz="4" w:space="0"/>
              <w:left w:val="single" w:color="000000" w:sz="4" w:space="0"/>
              <w:bottom w:val="single" w:color="000000" w:sz="4" w:space="0"/>
              <w:right w:val="single" w:color="000000" w:sz="4" w:space="0"/>
            </w:tcBorders>
            <w:vAlign w:val="center"/>
          </w:tcPr>
          <w:p w14:paraId="2C154C10">
            <w:pPr>
              <w:widowControl/>
              <w:adjustRightInd w:val="0"/>
              <w:snapToGrid w:val="0"/>
              <w:jc w:val="center"/>
              <w:textAlignment w:val="center"/>
              <w:rPr>
                <w:rFonts w:ascii="Arial" w:hAnsi="Arial" w:eastAsia="宋体" w:cs="Arial"/>
                <w:b/>
                <w:sz w:val="21"/>
                <w:szCs w:val="24"/>
              </w:rPr>
            </w:pPr>
            <w:r>
              <w:rPr>
                <w:rFonts w:ascii="Arial" w:hAnsi="Arial" w:eastAsia="宋体" w:cs="Arial"/>
                <w:b/>
                <w:sz w:val="21"/>
                <w:szCs w:val="24"/>
              </w:rPr>
              <w:t>变更后</w:t>
            </w:r>
          </w:p>
        </w:tc>
      </w:tr>
      <w:tr w14:paraId="7039714B">
        <w:tblPrEx>
          <w:tblCellMar>
            <w:top w:w="0" w:type="dxa"/>
            <w:left w:w="108" w:type="dxa"/>
            <w:bottom w:w="0" w:type="dxa"/>
            <w:right w:w="108" w:type="dxa"/>
          </w:tblCellMar>
        </w:tblPrEx>
        <w:trPr>
          <w:trHeight w:val="340" w:hRule="atLeast"/>
        </w:trPr>
        <w:tc>
          <w:tcPr>
            <w:tcW w:w="363" w:type="pct"/>
            <w:vMerge w:val="continue"/>
            <w:tcBorders>
              <w:left w:val="single" w:color="000000" w:sz="4" w:space="0"/>
              <w:bottom w:val="single" w:color="000000" w:sz="4" w:space="0"/>
              <w:right w:val="single" w:color="000000" w:sz="4" w:space="0"/>
            </w:tcBorders>
            <w:noWrap/>
            <w:vAlign w:val="center"/>
          </w:tcPr>
          <w:p w14:paraId="37B9E292">
            <w:pPr>
              <w:widowControl/>
              <w:adjustRightInd w:val="0"/>
              <w:snapToGrid w:val="0"/>
              <w:jc w:val="center"/>
              <w:textAlignment w:val="center"/>
              <w:rPr>
                <w:rFonts w:ascii="Arial" w:hAnsi="Arial" w:eastAsia="宋体" w:cs="Arial"/>
                <w:b/>
                <w:bCs/>
                <w:sz w:val="21"/>
                <w:szCs w:val="21"/>
              </w:rPr>
            </w:pPr>
          </w:p>
        </w:tc>
        <w:tc>
          <w:tcPr>
            <w:tcW w:w="763" w:type="pct"/>
            <w:vMerge w:val="continue"/>
            <w:tcBorders>
              <w:left w:val="single" w:color="000000" w:sz="4" w:space="0"/>
              <w:bottom w:val="single" w:color="000000" w:sz="4" w:space="0"/>
              <w:right w:val="single" w:color="000000" w:sz="4" w:space="0"/>
            </w:tcBorders>
            <w:noWrap/>
            <w:vAlign w:val="center"/>
          </w:tcPr>
          <w:p w14:paraId="7135DC12">
            <w:pPr>
              <w:widowControl/>
              <w:adjustRightInd w:val="0"/>
              <w:snapToGrid w:val="0"/>
              <w:jc w:val="center"/>
              <w:textAlignment w:val="center"/>
              <w:rPr>
                <w:rFonts w:ascii="Arial" w:hAnsi="Arial" w:eastAsia="宋体" w:cs="Arial"/>
                <w:b/>
                <w:bCs/>
                <w:sz w:val="21"/>
                <w:szCs w:val="21"/>
              </w:rPr>
            </w:pPr>
          </w:p>
        </w:tc>
        <w:tc>
          <w:tcPr>
            <w:tcW w:w="383" w:type="pct"/>
            <w:tcBorders>
              <w:top w:val="single" w:color="000000" w:sz="4" w:space="0"/>
              <w:left w:val="single" w:color="000000" w:sz="4" w:space="0"/>
              <w:bottom w:val="single" w:color="000000" w:sz="4" w:space="0"/>
              <w:right w:val="single" w:color="000000" w:sz="4" w:space="0"/>
            </w:tcBorders>
            <w:noWrap/>
            <w:vAlign w:val="center"/>
          </w:tcPr>
          <w:p w14:paraId="3A4880FF">
            <w:pPr>
              <w:widowControl/>
              <w:adjustRightInd w:val="0"/>
              <w:snapToGrid w:val="0"/>
              <w:jc w:val="center"/>
              <w:textAlignment w:val="center"/>
              <w:rPr>
                <w:rFonts w:ascii="Arial" w:hAnsi="Arial" w:eastAsia="宋体" w:cs="Arial"/>
                <w:b/>
                <w:bCs/>
                <w:kern w:val="0"/>
                <w:sz w:val="21"/>
                <w:szCs w:val="21"/>
                <w:lang w:bidi="ar"/>
              </w:rPr>
            </w:pPr>
            <w:r>
              <w:rPr>
                <w:rFonts w:ascii="Arial" w:hAnsi="Arial" w:eastAsia="宋体" w:cs="Arial"/>
                <w:b/>
                <w:bCs/>
                <w:kern w:val="0"/>
                <w:sz w:val="21"/>
                <w:szCs w:val="21"/>
                <w:lang w:bidi="ar"/>
              </w:rPr>
              <w:t>数量</w:t>
            </w:r>
          </w:p>
        </w:tc>
        <w:tc>
          <w:tcPr>
            <w:tcW w:w="685" w:type="pct"/>
            <w:tcBorders>
              <w:top w:val="single" w:color="000000" w:sz="4" w:space="0"/>
              <w:left w:val="single" w:color="000000" w:sz="4" w:space="0"/>
              <w:bottom w:val="single" w:color="000000" w:sz="4" w:space="0"/>
              <w:right w:val="single" w:color="000000" w:sz="4" w:space="0"/>
            </w:tcBorders>
            <w:vAlign w:val="center"/>
          </w:tcPr>
          <w:p w14:paraId="0A898431">
            <w:pPr>
              <w:widowControl/>
              <w:adjustRightInd w:val="0"/>
              <w:snapToGrid w:val="0"/>
              <w:jc w:val="center"/>
              <w:textAlignment w:val="center"/>
              <w:rPr>
                <w:rFonts w:ascii="Arial" w:hAnsi="Arial" w:eastAsia="宋体" w:cs="Arial"/>
                <w:b/>
                <w:bCs/>
                <w:kern w:val="0"/>
                <w:sz w:val="21"/>
                <w:szCs w:val="21"/>
                <w:lang w:bidi="ar"/>
              </w:rPr>
            </w:pPr>
            <w:r>
              <w:rPr>
                <w:rFonts w:ascii="Arial" w:hAnsi="Arial" w:eastAsia="宋体" w:cs="Arial"/>
                <w:b/>
                <w:bCs/>
                <w:kern w:val="0"/>
                <w:sz w:val="21"/>
                <w:szCs w:val="21"/>
                <w:lang w:bidi="ar"/>
              </w:rPr>
              <w:t>治理措施</w:t>
            </w:r>
          </w:p>
        </w:tc>
        <w:tc>
          <w:tcPr>
            <w:tcW w:w="687" w:type="pct"/>
            <w:tcBorders>
              <w:top w:val="single" w:color="000000" w:sz="4" w:space="0"/>
              <w:left w:val="single" w:color="000000" w:sz="4" w:space="0"/>
              <w:bottom w:val="single" w:color="000000" w:sz="4" w:space="0"/>
              <w:right w:val="single" w:color="000000" w:sz="4" w:space="0"/>
            </w:tcBorders>
            <w:vAlign w:val="center"/>
          </w:tcPr>
          <w:p w14:paraId="58A0FF33">
            <w:pPr>
              <w:widowControl/>
              <w:adjustRightInd w:val="0"/>
              <w:snapToGrid w:val="0"/>
              <w:jc w:val="center"/>
              <w:textAlignment w:val="center"/>
              <w:rPr>
                <w:rFonts w:ascii="Arial" w:hAnsi="Arial" w:eastAsia="宋体" w:cs="Arial"/>
                <w:b/>
                <w:bCs/>
                <w:kern w:val="0"/>
                <w:sz w:val="21"/>
                <w:szCs w:val="21"/>
                <w:lang w:bidi="ar"/>
              </w:rPr>
            </w:pPr>
            <w:r>
              <w:rPr>
                <w:rFonts w:ascii="Arial" w:hAnsi="Arial" w:eastAsia="宋体" w:cs="Arial"/>
                <w:b/>
                <w:sz w:val="21"/>
                <w:szCs w:val="24"/>
              </w:rPr>
              <w:t>降噪后噪声值</w:t>
            </w:r>
            <w:r>
              <w:rPr>
                <w:rFonts w:ascii="Arial" w:hAnsi="Arial" w:eastAsia="宋体" w:cs="Arial"/>
                <w:b/>
                <w:sz w:val="21"/>
                <w:szCs w:val="24"/>
                <w:lang w:val="zh-CN"/>
              </w:rPr>
              <w:t>dB(A)</w:t>
            </w:r>
          </w:p>
        </w:tc>
        <w:tc>
          <w:tcPr>
            <w:tcW w:w="533" w:type="pct"/>
            <w:tcBorders>
              <w:top w:val="single" w:color="000000" w:sz="4" w:space="0"/>
              <w:left w:val="single" w:color="000000" w:sz="4" w:space="0"/>
              <w:bottom w:val="single" w:color="000000" w:sz="4" w:space="0"/>
              <w:right w:val="single" w:color="000000" w:sz="4" w:space="0"/>
            </w:tcBorders>
            <w:vAlign w:val="center"/>
          </w:tcPr>
          <w:p w14:paraId="336B3898">
            <w:pPr>
              <w:widowControl/>
              <w:adjustRightInd w:val="0"/>
              <w:snapToGrid w:val="0"/>
              <w:jc w:val="center"/>
              <w:textAlignment w:val="center"/>
              <w:rPr>
                <w:rFonts w:ascii="Arial" w:hAnsi="Arial" w:eastAsia="宋体" w:cs="Arial"/>
                <w:b/>
                <w:sz w:val="21"/>
                <w:szCs w:val="24"/>
              </w:rPr>
            </w:pPr>
            <w:r>
              <w:rPr>
                <w:rFonts w:ascii="Arial" w:hAnsi="Arial" w:eastAsia="宋体" w:cs="Arial"/>
                <w:b/>
                <w:bCs/>
                <w:kern w:val="0"/>
                <w:sz w:val="21"/>
                <w:szCs w:val="21"/>
                <w:lang w:bidi="ar"/>
              </w:rPr>
              <w:t>数量</w:t>
            </w:r>
          </w:p>
        </w:tc>
        <w:tc>
          <w:tcPr>
            <w:tcW w:w="840" w:type="pct"/>
            <w:tcBorders>
              <w:top w:val="single" w:color="000000" w:sz="4" w:space="0"/>
              <w:left w:val="single" w:color="000000" w:sz="4" w:space="0"/>
              <w:bottom w:val="single" w:color="000000" w:sz="4" w:space="0"/>
              <w:right w:val="single" w:color="000000" w:sz="4" w:space="0"/>
            </w:tcBorders>
            <w:vAlign w:val="center"/>
          </w:tcPr>
          <w:p w14:paraId="3366FCBB">
            <w:pPr>
              <w:widowControl/>
              <w:adjustRightInd w:val="0"/>
              <w:snapToGrid w:val="0"/>
              <w:jc w:val="center"/>
              <w:textAlignment w:val="center"/>
              <w:rPr>
                <w:rFonts w:ascii="Arial" w:hAnsi="Arial" w:eastAsia="宋体" w:cs="Arial"/>
                <w:b/>
                <w:sz w:val="21"/>
                <w:szCs w:val="24"/>
              </w:rPr>
            </w:pPr>
            <w:r>
              <w:rPr>
                <w:rFonts w:ascii="Arial" w:hAnsi="Arial" w:eastAsia="宋体" w:cs="Arial"/>
                <w:b/>
                <w:bCs/>
                <w:kern w:val="0"/>
                <w:sz w:val="21"/>
                <w:szCs w:val="21"/>
                <w:lang w:bidi="ar"/>
              </w:rPr>
              <w:t>治理措施</w:t>
            </w:r>
          </w:p>
        </w:tc>
        <w:tc>
          <w:tcPr>
            <w:tcW w:w="745" w:type="pct"/>
            <w:tcBorders>
              <w:top w:val="single" w:color="000000" w:sz="4" w:space="0"/>
              <w:left w:val="single" w:color="000000" w:sz="4" w:space="0"/>
              <w:bottom w:val="single" w:color="000000" w:sz="4" w:space="0"/>
              <w:right w:val="single" w:color="000000" w:sz="4" w:space="0"/>
            </w:tcBorders>
            <w:vAlign w:val="center"/>
          </w:tcPr>
          <w:p w14:paraId="10FA5FCA">
            <w:pPr>
              <w:widowControl/>
              <w:adjustRightInd w:val="0"/>
              <w:snapToGrid w:val="0"/>
              <w:jc w:val="center"/>
              <w:textAlignment w:val="center"/>
              <w:rPr>
                <w:rFonts w:ascii="Arial" w:hAnsi="Arial" w:eastAsia="宋体" w:cs="Arial"/>
                <w:b/>
                <w:sz w:val="21"/>
                <w:szCs w:val="24"/>
              </w:rPr>
            </w:pPr>
            <w:r>
              <w:rPr>
                <w:rFonts w:ascii="Arial" w:hAnsi="Arial" w:eastAsia="宋体" w:cs="Arial"/>
                <w:b/>
                <w:sz w:val="21"/>
                <w:szCs w:val="24"/>
              </w:rPr>
              <w:t>降噪后噪声值</w:t>
            </w:r>
            <w:r>
              <w:rPr>
                <w:rFonts w:ascii="Arial" w:hAnsi="Arial" w:eastAsia="宋体" w:cs="Arial"/>
                <w:b/>
                <w:sz w:val="21"/>
                <w:szCs w:val="24"/>
                <w:lang w:val="zh-CN"/>
              </w:rPr>
              <w:t>dB(A)</w:t>
            </w:r>
          </w:p>
        </w:tc>
      </w:tr>
      <w:tr w14:paraId="5A2E7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Align w:val="center"/>
          </w:tcPr>
          <w:p w14:paraId="66BC2AD4">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w:t>
            </w:r>
          </w:p>
        </w:tc>
        <w:tc>
          <w:tcPr>
            <w:tcW w:w="763" w:type="pct"/>
            <w:vAlign w:val="center"/>
          </w:tcPr>
          <w:p w14:paraId="5BC3E619">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机泵</w:t>
            </w:r>
          </w:p>
        </w:tc>
        <w:tc>
          <w:tcPr>
            <w:tcW w:w="383" w:type="pct"/>
            <w:vAlign w:val="center"/>
          </w:tcPr>
          <w:p w14:paraId="055F3A2E">
            <w:pPr>
              <w:adjustRightInd w:val="0"/>
              <w:snapToGrid w:val="0"/>
              <w:jc w:val="center"/>
              <w:rPr>
                <w:rFonts w:ascii="Arial" w:hAnsi="Arial" w:eastAsia="宋体" w:cs="Arial"/>
                <w:sz w:val="21"/>
                <w:szCs w:val="22"/>
              </w:rPr>
            </w:pPr>
            <w:r>
              <w:rPr>
                <w:rFonts w:hint="eastAsia" w:ascii="Arial" w:hAnsi="Arial" w:eastAsia="宋体" w:cs="Arial"/>
                <w:sz w:val="21"/>
                <w:szCs w:val="22"/>
              </w:rPr>
              <w:t>54</w:t>
            </w:r>
          </w:p>
        </w:tc>
        <w:tc>
          <w:tcPr>
            <w:tcW w:w="685" w:type="pct"/>
            <w:vMerge w:val="restart"/>
            <w:vAlign w:val="center"/>
          </w:tcPr>
          <w:p w14:paraId="3147BC2C">
            <w:pPr>
              <w:topLinePunct/>
              <w:autoSpaceDE w:val="0"/>
              <w:autoSpaceDN w:val="0"/>
              <w:adjustRightInd w:val="0"/>
              <w:snapToGrid w:val="0"/>
              <w:jc w:val="center"/>
              <w:rPr>
                <w:rFonts w:ascii="Arial" w:hAnsi="Arial" w:eastAsia="宋体" w:cs="Arial"/>
                <w:sz w:val="21"/>
                <w:szCs w:val="24"/>
                <w:lang w:val="zh-CN"/>
              </w:rPr>
            </w:pPr>
            <w:r>
              <w:rPr>
                <w:rFonts w:ascii="Arial" w:hAnsi="Arial" w:eastAsia="宋体" w:cs="Arial"/>
                <w:kern w:val="0"/>
                <w:sz w:val="21"/>
                <w:szCs w:val="21"/>
                <w:lang w:bidi="ar"/>
              </w:rPr>
              <w:t>基础减振、厂房隔声</w:t>
            </w:r>
          </w:p>
        </w:tc>
        <w:tc>
          <w:tcPr>
            <w:tcW w:w="687" w:type="pct"/>
            <w:vAlign w:val="center"/>
          </w:tcPr>
          <w:p w14:paraId="280AA613">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c>
          <w:tcPr>
            <w:tcW w:w="533" w:type="pct"/>
            <w:vAlign w:val="center"/>
          </w:tcPr>
          <w:p w14:paraId="3B91E252">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44</w:t>
            </w:r>
          </w:p>
        </w:tc>
        <w:tc>
          <w:tcPr>
            <w:tcW w:w="840" w:type="pct"/>
            <w:vMerge w:val="restart"/>
            <w:vAlign w:val="center"/>
          </w:tcPr>
          <w:p w14:paraId="66A43F33">
            <w:pPr>
              <w:topLinePunct/>
              <w:autoSpaceDE w:val="0"/>
              <w:autoSpaceDN w:val="0"/>
              <w:adjustRightInd w:val="0"/>
              <w:snapToGrid w:val="0"/>
              <w:jc w:val="center"/>
              <w:rPr>
                <w:rFonts w:ascii="Arial" w:hAnsi="Arial" w:eastAsia="宋体" w:cs="Arial"/>
                <w:sz w:val="21"/>
                <w:szCs w:val="24"/>
              </w:rPr>
            </w:pPr>
            <w:r>
              <w:rPr>
                <w:rFonts w:ascii="Arial" w:hAnsi="Arial" w:eastAsia="宋体" w:cs="Arial"/>
                <w:kern w:val="0"/>
                <w:sz w:val="21"/>
                <w:szCs w:val="21"/>
                <w:lang w:bidi="ar"/>
              </w:rPr>
              <w:t>基础减振、厂房隔声</w:t>
            </w:r>
          </w:p>
        </w:tc>
        <w:tc>
          <w:tcPr>
            <w:tcW w:w="745" w:type="pct"/>
            <w:vAlign w:val="center"/>
          </w:tcPr>
          <w:p w14:paraId="46197872">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r>
      <w:tr w14:paraId="60126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Align w:val="center"/>
          </w:tcPr>
          <w:p w14:paraId="447DCC01">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2</w:t>
            </w:r>
          </w:p>
        </w:tc>
        <w:tc>
          <w:tcPr>
            <w:tcW w:w="763" w:type="pct"/>
            <w:vAlign w:val="center"/>
          </w:tcPr>
          <w:p w14:paraId="290810E4">
            <w:pPr>
              <w:topLinePunct/>
              <w:autoSpaceDE w:val="0"/>
              <w:autoSpaceDN w:val="0"/>
              <w:adjustRightInd w:val="0"/>
              <w:snapToGrid w:val="0"/>
              <w:jc w:val="center"/>
              <w:rPr>
                <w:rFonts w:ascii="Arial" w:hAnsi="Arial" w:eastAsia="宋体" w:cs="Arial"/>
                <w:sz w:val="21"/>
                <w:szCs w:val="24"/>
              </w:rPr>
            </w:pPr>
            <w:r>
              <w:rPr>
                <w:rFonts w:ascii="Arial" w:hAnsi="Arial" w:eastAsia="宋体" w:cs="Arial"/>
                <w:bCs/>
                <w:sz w:val="21"/>
                <w:szCs w:val="24"/>
              </w:rPr>
              <w:t>板框压滤机</w:t>
            </w:r>
          </w:p>
        </w:tc>
        <w:tc>
          <w:tcPr>
            <w:tcW w:w="383" w:type="pct"/>
            <w:vAlign w:val="center"/>
          </w:tcPr>
          <w:p w14:paraId="357CBC17">
            <w:pPr>
              <w:adjustRightInd w:val="0"/>
              <w:snapToGrid w:val="0"/>
              <w:jc w:val="center"/>
              <w:rPr>
                <w:rFonts w:ascii="Arial" w:hAnsi="Arial" w:eastAsia="宋体" w:cs="Arial"/>
                <w:sz w:val="21"/>
                <w:szCs w:val="22"/>
              </w:rPr>
            </w:pPr>
            <w:r>
              <w:rPr>
                <w:rFonts w:hint="eastAsia" w:ascii="Arial" w:hAnsi="Arial" w:eastAsia="宋体" w:cs="Arial"/>
                <w:sz w:val="21"/>
                <w:szCs w:val="22"/>
              </w:rPr>
              <w:t>3</w:t>
            </w:r>
          </w:p>
        </w:tc>
        <w:tc>
          <w:tcPr>
            <w:tcW w:w="685" w:type="pct"/>
            <w:vMerge w:val="continue"/>
            <w:vAlign w:val="center"/>
          </w:tcPr>
          <w:p w14:paraId="0D48A037">
            <w:pPr>
              <w:topLinePunct/>
              <w:autoSpaceDE w:val="0"/>
              <w:autoSpaceDN w:val="0"/>
              <w:adjustRightInd w:val="0"/>
              <w:snapToGrid w:val="0"/>
              <w:jc w:val="center"/>
              <w:rPr>
                <w:rFonts w:ascii="Arial" w:hAnsi="Arial" w:eastAsia="宋体" w:cs="Arial"/>
                <w:sz w:val="21"/>
                <w:szCs w:val="24"/>
                <w:lang w:val="zh-CN"/>
              </w:rPr>
            </w:pPr>
          </w:p>
        </w:tc>
        <w:tc>
          <w:tcPr>
            <w:tcW w:w="687" w:type="pct"/>
            <w:vAlign w:val="center"/>
          </w:tcPr>
          <w:p w14:paraId="36371A00">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70</w:t>
            </w:r>
          </w:p>
        </w:tc>
        <w:tc>
          <w:tcPr>
            <w:tcW w:w="533" w:type="pct"/>
            <w:vAlign w:val="center"/>
          </w:tcPr>
          <w:p w14:paraId="7AED386E">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8</w:t>
            </w:r>
          </w:p>
        </w:tc>
        <w:tc>
          <w:tcPr>
            <w:tcW w:w="840" w:type="pct"/>
            <w:vMerge w:val="continue"/>
            <w:vAlign w:val="center"/>
          </w:tcPr>
          <w:p w14:paraId="799ACA45">
            <w:pPr>
              <w:topLinePunct/>
              <w:autoSpaceDE w:val="0"/>
              <w:autoSpaceDN w:val="0"/>
              <w:adjustRightInd w:val="0"/>
              <w:snapToGrid w:val="0"/>
              <w:jc w:val="center"/>
              <w:rPr>
                <w:rFonts w:ascii="Arial" w:hAnsi="Arial" w:eastAsia="宋体" w:cs="Arial"/>
                <w:sz w:val="21"/>
                <w:szCs w:val="24"/>
              </w:rPr>
            </w:pPr>
          </w:p>
        </w:tc>
        <w:tc>
          <w:tcPr>
            <w:tcW w:w="745" w:type="pct"/>
            <w:vAlign w:val="center"/>
          </w:tcPr>
          <w:p w14:paraId="424EB213">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70</w:t>
            </w:r>
          </w:p>
        </w:tc>
      </w:tr>
      <w:tr w14:paraId="7BA29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Align w:val="center"/>
          </w:tcPr>
          <w:p w14:paraId="3D821F6B">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w:t>
            </w:r>
          </w:p>
        </w:tc>
        <w:tc>
          <w:tcPr>
            <w:tcW w:w="763" w:type="pct"/>
            <w:vAlign w:val="center"/>
          </w:tcPr>
          <w:p w14:paraId="43FC185F">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风机</w:t>
            </w:r>
          </w:p>
        </w:tc>
        <w:tc>
          <w:tcPr>
            <w:tcW w:w="383" w:type="pct"/>
            <w:vAlign w:val="center"/>
          </w:tcPr>
          <w:p w14:paraId="393FDFCF">
            <w:pPr>
              <w:adjustRightInd w:val="0"/>
              <w:snapToGrid w:val="0"/>
              <w:jc w:val="center"/>
              <w:rPr>
                <w:rFonts w:ascii="Arial" w:hAnsi="Arial" w:eastAsia="宋体" w:cs="Arial"/>
                <w:sz w:val="21"/>
                <w:szCs w:val="22"/>
              </w:rPr>
            </w:pPr>
            <w:r>
              <w:rPr>
                <w:rFonts w:hint="eastAsia" w:ascii="Arial" w:hAnsi="Arial" w:eastAsia="宋体" w:cs="Arial"/>
                <w:sz w:val="21"/>
                <w:szCs w:val="22"/>
              </w:rPr>
              <w:t>6</w:t>
            </w:r>
          </w:p>
        </w:tc>
        <w:tc>
          <w:tcPr>
            <w:tcW w:w="685" w:type="pct"/>
            <w:vMerge w:val="continue"/>
            <w:vAlign w:val="center"/>
          </w:tcPr>
          <w:p w14:paraId="6279E63C">
            <w:pPr>
              <w:topLinePunct/>
              <w:autoSpaceDE w:val="0"/>
              <w:autoSpaceDN w:val="0"/>
              <w:adjustRightInd w:val="0"/>
              <w:snapToGrid w:val="0"/>
              <w:jc w:val="center"/>
              <w:rPr>
                <w:rFonts w:ascii="Arial" w:hAnsi="Arial" w:eastAsia="宋体" w:cs="Arial"/>
                <w:sz w:val="21"/>
                <w:szCs w:val="24"/>
              </w:rPr>
            </w:pPr>
          </w:p>
        </w:tc>
        <w:tc>
          <w:tcPr>
            <w:tcW w:w="687" w:type="pct"/>
            <w:vAlign w:val="center"/>
          </w:tcPr>
          <w:p w14:paraId="7982640F">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c>
          <w:tcPr>
            <w:tcW w:w="533" w:type="pct"/>
            <w:vAlign w:val="center"/>
          </w:tcPr>
          <w:p w14:paraId="1A45929B">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2</w:t>
            </w:r>
          </w:p>
        </w:tc>
        <w:tc>
          <w:tcPr>
            <w:tcW w:w="840" w:type="pct"/>
            <w:vMerge w:val="continue"/>
            <w:vAlign w:val="center"/>
          </w:tcPr>
          <w:p w14:paraId="7A160139">
            <w:pPr>
              <w:topLinePunct/>
              <w:autoSpaceDE w:val="0"/>
              <w:autoSpaceDN w:val="0"/>
              <w:adjustRightInd w:val="0"/>
              <w:snapToGrid w:val="0"/>
              <w:jc w:val="center"/>
              <w:rPr>
                <w:rFonts w:ascii="Arial" w:hAnsi="Arial" w:eastAsia="宋体" w:cs="Arial"/>
                <w:sz w:val="21"/>
                <w:szCs w:val="24"/>
              </w:rPr>
            </w:pPr>
          </w:p>
        </w:tc>
        <w:tc>
          <w:tcPr>
            <w:tcW w:w="745" w:type="pct"/>
            <w:vAlign w:val="center"/>
          </w:tcPr>
          <w:p w14:paraId="3939DB66">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75</w:t>
            </w:r>
          </w:p>
        </w:tc>
      </w:tr>
      <w:tr w14:paraId="117DD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Align w:val="center"/>
          </w:tcPr>
          <w:p w14:paraId="286A9414">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w:t>
            </w:r>
          </w:p>
        </w:tc>
        <w:tc>
          <w:tcPr>
            <w:tcW w:w="763" w:type="pct"/>
            <w:vAlign w:val="center"/>
          </w:tcPr>
          <w:p w14:paraId="1BBF7971">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kern w:val="0"/>
                <w:sz w:val="21"/>
                <w:szCs w:val="21"/>
              </w:rPr>
              <w:t>烘箱</w:t>
            </w:r>
          </w:p>
        </w:tc>
        <w:tc>
          <w:tcPr>
            <w:tcW w:w="383" w:type="pct"/>
            <w:vAlign w:val="center"/>
          </w:tcPr>
          <w:p w14:paraId="1BA2A40B">
            <w:pPr>
              <w:adjustRightInd w:val="0"/>
              <w:snapToGrid w:val="0"/>
              <w:jc w:val="center"/>
              <w:rPr>
                <w:rFonts w:ascii="Arial" w:hAnsi="Arial" w:cs="Arial"/>
                <w:sz w:val="21"/>
                <w:szCs w:val="22"/>
              </w:rPr>
            </w:pPr>
            <w:r>
              <w:rPr>
                <w:rFonts w:hint="eastAsia" w:ascii="Arial" w:hAnsi="Arial" w:cs="Arial"/>
                <w:sz w:val="21"/>
                <w:szCs w:val="22"/>
              </w:rPr>
              <w:t>0</w:t>
            </w:r>
          </w:p>
        </w:tc>
        <w:tc>
          <w:tcPr>
            <w:tcW w:w="685" w:type="pct"/>
            <w:vAlign w:val="center"/>
          </w:tcPr>
          <w:p w14:paraId="497BF21E">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687" w:type="pct"/>
            <w:vAlign w:val="center"/>
          </w:tcPr>
          <w:p w14:paraId="3304449D">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533" w:type="pct"/>
            <w:vAlign w:val="center"/>
          </w:tcPr>
          <w:p w14:paraId="45C8FB19">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8</w:t>
            </w:r>
          </w:p>
        </w:tc>
        <w:tc>
          <w:tcPr>
            <w:tcW w:w="840" w:type="pct"/>
            <w:vMerge w:val="continue"/>
            <w:vAlign w:val="center"/>
          </w:tcPr>
          <w:p w14:paraId="4A55D389">
            <w:pPr>
              <w:topLinePunct/>
              <w:autoSpaceDE w:val="0"/>
              <w:autoSpaceDN w:val="0"/>
              <w:adjustRightInd w:val="0"/>
              <w:snapToGrid w:val="0"/>
              <w:jc w:val="center"/>
              <w:rPr>
                <w:rFonts w:ascii="Arial" w:hAnsi="Arial" w:eastAsia="宋体" w:cs="Arial"/>
                <w:sz w:val="21"/>
                <w:szCs w:val="24"/>
              </w:rPr>
            </w:pPr>
          </w:p>
        </w:tc>
        <w:tc>
          <w:tcPr>
            <w:tcW w:w="745" w:type="pct"/>
            <w:vAlign w:val="center"/>
          </w:tcPr>
          <w:p w14:paraId="59A1065C">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65</w:t>
            </w:r>
          </w:p>
        </w:tc>
      </w:tr>
      <w:tr w14:paraId="03777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Align w:val="center"/>
          </w:tcPr>
          <w:p w14:paraId="24C312A4">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5</w:t>
            </w:r>
          </w:p>
        </w:tc>
        <w:tc>
          <w:tcPr>
            <w:tcW w:w="763" w:type="pct"/>
            <w:vAlign w:val="center"/>
          </w:tcPr>
          <w:p w14:paraId="6AAEE090">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对辊机</w:t>
            </w:r>
          </w:p>
        </w:tc>
        <w:tc>
          <w:tcPr>
            <w:tcW w:w="383" w:type="pct"/>
            <w:vAlign w:val="center"/>
          </w:tcPr>
          <w:p w14:paraId="51E9DCFD">
            <w:pPr>
              <w:adjustRightInd w:val="0"/>
              <w:snapToGrid w:val="0"/>
              <w:jc w:val="center"/>
              <w:rPr>
                <w:rFonts w:ascii="Arial" w:hAnsi="Arial" w:eastAsia="宋体" w:cs="Arial"/>
                <w:sz w:val="21"/>
                <w:szCs w:val="22"/>
              </w:rPr>
            </w:pPr>
            <w:r>
              <w:rPr>
                <w:rFonts w:hint="eastAsia" w:ascii="Arial" w:hAnsi="Arial" w:eastAsia="宋体" w:cs="Arial"/>
                <w:sz w:val="21"/>
                <w:szCs w:val="22"/>
              </w:rPr>
              <w:t>0</w:t>
            </w:r>
          </w:p>
        </w:tc>
        <w:tc>
          <w:tcPr>
            <w:tcW w:w="685" w:type="pct"/>
            <w:vAlign w:val="center"/>
          </w:tcPr>
          <w:p w14:paraId="13CFA63C">
            <w:pPr>
              <w:topLinePunct/>
              <w:autoSpaceDE w:val="0"/>
              <w:autoSpaceDN w:val="0"/>
              <w:adjustRightInd w:val="0"/>
              <w:snapToGrid w:val="0"/>
              <w:jc w:val="center"/>
              <w:rPr>
                <w:rFonts w:ascii="Arial" w:hAnsi="Arial" w:eastAsia="宋体" w:cs="Arial"/>
                <w:bCs/>
                <w:kern w:val="0"/>
                <w:sz w:val="21"/>
                <w:szCs w:val="21"/>
                <w:lang w:bidi="ar"/>
              </w:rPr>
            </w:pPr>
            <w:r>
              <w:rPr>
                <w:rFonts w:hint="eastAsia" w:ascii="Arial" w:hAnsi="Arial" w:eastAsia="宋体" w:cs="Arial"/>
                <w:bCs/>
                <w:kern w:val="0"/>
                <w:sz w:val="21"/>
                <w:szCs w:val="21"/>
                <w:lang w:bidi="ar"/>
              </w:rPr>
              <w:t>/</w:t>
            </w:r>
          </w:p>
        </w:tc>
        <w:tc>
          <w:tcPr>
            <w:tcW w:w="687" w:type="pct"/>
            <w:vAlign w:val="center"/>
          </w:tcPr>
          <w:p w14:paraId="20291AD9">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533" w:type="pct"/>
            <w:vAlign w:val="center"/>
          </w:tcPr>
          <w:p w14:paraId="63F7C282">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1</w:t>
            </w:r>
          </w:p>
        </w:tc>
        <w:tc>
          <w:tcPr>
            <w:tcW w:w="840" w:type="pct"/>
            <w:vMerge w:val="continue"/>
            <w:vAlign w:val="center"/>
          </w:tcPr>
          <w:p w14:paraId="32EDE09A">
            <w:pPr>
              <w:topLinePunct/>
              <w:autoSpaceDE w:val="0"/>
              <w:autoSpaceDN w:val="0"/>
              <w:adjustRightInd w:val="0"/>
              <w:snapToGrid w:val="0"/>
              <w:jc w:val="center"/>
              <w:rPr>
                <w:rFonts w:ascii="Arial" w:hAnsi="Arial" w:eastAsia="宋体" w:cs="Arial"/>
                <w:bCs/>
                <w:kern w:val="0"/>
                <w:sz w:val="21"/>
                <w:szCs w:val="21"/>
                <w:lang w:bidi="ar"/>
              </w:rPr>
            </w:pPr>
          </w:p>
        </w:tc>
        <w:tc>
          <w:tcPr>
            <w:tcW w:w="745" w:type="pct"/>
            <w:vAlign w:val="center"/>
          </w:tcPr>
          <w:p w14:paraId="6ACE3295">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90</w:t>
            </w:r>
          </w:p>
        </w:tc>
      </w:tr>
      <w:tr w14:paraId="10783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Align w:val="center"/>
          </w:tcPr>
          <w:p w14:paraId="195BDE75">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6</w:t>
            </w:r>
          </w:p>
        </w:tc>
        <w:tc>
          <w:tcPr>
            <w:tcW w:w="763" w:type="pct"/>
            <w:vAlign w:val="center"/>
          </w:tcPr>
          <w:p w14:paraId="7471EECA">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气流磨</w:t>
            </w:r>
          </w:p>
        </w:tc>
        <w:tc>
          <w:tcPr>
            <w:tcW w:w="383" w:type="pct"/>
            <w:vAlign w:val="center"/>
          </w:tcPr>
          <w:p w14:paraId="51E2B5BD">
            <w:pPr>
              <w:adjustRightInd w:val="0"/>
              <w:snapToGrid w:val="0"/>
              <w:jc w:val="center"/>
              <w:rPr>
                <w:rFonts w:ascii="Arial" w:hAnsi="Arial" w:eastAsia="宋体" w:cs="Arial"/>
                <w:sz w:val="21"/>
                <w:szCs w:val="22"/>
              </w:rPr>
            </w:pPr>
            <w:r>
              <w:rPr>
                <w:rFonts w:hint="eastAsia" w:ascii="Arial" w:hAnsi="Arial" w:eastAsia="宋体" w:cs="Arial"/>
                <w:sz w:val="21"/>
                <w:szCs w:val="22"/>
              </w:rPr>
              <w:t>0</w:t>
            </w:r>
          </w:p>
        </w:tc>
        <w:tc>
          <w:tcPr>
            <w:tcW w:w="685" w:type="pct"/>
            <w:vAlign w:val="center"/>
          </w:tcPr>
          <w:p w14:paraId="01630555">
            <w:pPr>
              <w:topLinePunct/>
              <w:autoSpaceDE w:val="0"/>
              <w:autoSpaceDN w:val="0"/>
              <w:adjustRightInd w:val="0"/>
              <w:snapToGrid w:val="0"/>
              <w:jc w:val="center"/>
              <w:rPr>
                <w:rFonts w:ascii="Arial" w:hAnsi="Arial" w:eastAsia="宋体" w:cs="Arial"/>
                <w:bCs/>
                <w:kern w:val="0"/>
                <w:sz w:val="21"/>
                <w:szCs w:val="21"/>
                <w:lang w:bidi="ar"/>
              </w:rPr>
            </w:pPr>
            <w:r>
              <w:rPr>
                <w:rFonts w:hint="eastAsia" w:ascii="Arial" w:hAnsi="Arial" w:eastAsia="宋体" w:cs="Arial"/>
                <w:bCs/>
                <w:kern w:val="0"/>
                <w:sz w:val="21"/>
                <w:szCs w:val="21"/>
                <w:lang w:bidi="ar"/>
              </w:rPr>
              <w:t>/</w:t>
            </w:r>
          </w:p>
        </w:tc>
        <w:tc>
          <w:tcPr>
            <w:tcW w:w="687" w:type="pct"/>
            <w:vAlign w:val="center"/>
          </w:tcPr>
          <w:p w14:paraId="4ED0300C">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533" w:type="pct"/>
            <w:vAlign w:val="center"/>
          </w:tcPr>
          <w:p w14:paraId="23D00F9C">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1</w:t>
            </w:r>
          </w:p>
        </w:tc>
        <w:tc>
          <w:tcPr>
            <w:tcW w:w="840" w:type="pct"/>
            <w:vMerge w:val="continue"/>
            <w:vAlign w:val="center"/>
          </w:tcPr>
          <w:p w14:paraId="7FF38B0A">
            <w:pPr>
              <w:topLinePunct/>
              <w:autoSpaceDE w:val="0"/>
              <w:autoSpaceDN w:val="0"/>
              <w:adjustRightInd w:val="0"/>
              <w:snapToGrid w:val="0"/>
              <w:jc w:val="center"/>
              <w:rPr>
                <w:rFonts w:ascii="Arial" w:hAnsi="Arial" w:eastAsia="宋体" w:cs="Arial"/>
                <w:bCs/>
                <w:kern w:val="0"/>
                <w:sz w:val="21"/>
                <w:szCs w:val="21"/>
                <w:lang w:bidi="ar"/>
              </w:rPr>
            </w:pPr>
          </w:p>
        </w:tc>
        <w:tc>
          <w:tcPr>
            <w:tcW w:w="745" w:type="pct"/>
            <w:vAlign w:val="center"/>
          </w:tcPr>
          <w:p w14:paraId="3D2A07C1">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100</w:t>
            </w:r>
          </w:p>
        </w:tc>
      </w:tr>
      <w:tr w14:paraId="147CA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Align w:val="center"/>
          </w:tcPr>
          <w:p w14:paraId="6F5C99A0">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7</w:t>
            </w:r>
          </w:p>
        </w:tc>
        <w:tc>
          <w:tcPr>
            <w:tcW w:w="763" w:type="pct"/>
            <w:vAlign w:val="center"/>
          </w:tcPr>
          <w:p w14:paraId="4E7E81B1">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空压机</w:t>
            </w:r>
          </w:p>
        </w:tc>
        <w:tc>
          <w:tcPr>
            <w:tcW w:w="383" w:type="pct"/>
            <w:vAlign w:val="center"/>
          </w:tcPr>
          <w:p w14:paraId="664232CC">
            <w:pPr>
              <w:adjustRightInd w:val="0"/>
              <w:snapToGrid w:val="0"/>
              <w:jc w:val="center"/>
              <w:rPr>
                <w:rFonts w:ascii="Arial" w:hAnsi="Arial" w:eastAsia="宋体" w:cs="Arial"/>
                <w:sz w:val="21"/>
                <w:szCs w:val="22"/>
              </w:rPr>
            </w:pPr>
            <w:r>
              <w:rPr>
                <w:rFonts w:hint="eastAsia" w:ascii="Arial" w:hAnsi="Arial" w:eastAsia="宋体" w:cs="Arial"/>
                <w:sz w:val="21"/>
                <w:szCs w:val="22"/>
              </w:rPr>
              <w:t>0</w:t>
            </w:r>
          </w:p>
        </w:tc>
        <w:tc>
          <w:tcPr>
            <w:tcW w:w="685" w:type="pct"/>
            <w:vAlign w:val="center"/>
          </w:tcPr>
          <w:p w14:paraId="14A3B19A">
            <w:pPr>
              <w:topLinePunct/>
              <w:autoSpaceDE w:val="0"/>
              <w:autoSpaceDN w:val="0"/>
              <w:adjustRightInd w:val="0"/>
              <w:snapToGrid w:val="0"/>
              <w:jc w:val="center"/>
              <w:rPr>
                <w:rFonts w:ascii="Arial" w:hAnsi="Arial" w:eastAsia="宋体" w:cs="Arial"/>
                <w:bCs/>
                <w:kern w:val="0"/>
                <w:sz w:val="21"/>
                <w:szCs w:val="21"/>
                <w:lang w:bidi="ar"/>
              </w:rPr>
            </w:pPr>
            <w:r>
              <w:rPr>
                <w:rFonts w:hint="eastAsia" w:ascii="Arial" w:hAnsi="Arial" w:eastAsia="宋体" w:cs="Arial"/>
                <w:bCs/>
                <w:kern w:val="0"/>
                <w:sz w:val="21"/>
                <w:szCs w:val="21"/>
                <w:lang w:bidi="ar"/>
              </w:rPr>
              <w:t>/</w:t>
            </w:r>
          </w:p>
        </w:tc>
        <w:tc>
          <w:tcPr>
            <w:tcW w:w="687" w:type="pct"/>
            <w:vAlign w:val="center"/>
          </w:tcPr>
          <w:p w14:paraId="66E10D3A">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533" w:type="pct"/>
            <w:vAlign w:val="center"/>
          </w:tcPr>
          <w:p w14:paraId="62C55152">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11</w:t>
            </w:r>
          </w:p>
        </w:tc>
        <w:tc>
          <w:tcPr>
            <w:tcW w:w="840" w:type="pct"/>
            <w:vMerge w:val="continue"/>
            <w:vAlign w:val="center"/>
          </w:tcPr>
          <w:p w14:paraId="46CD9C2B">
            <w:pPr>
              <w:topLinePunct/>
              <w:autoSpaceDE w:val="0"/>
              <w:autoSpaceDN w:val="0"/>
              <w:adjustRightInd w:val="0"/>
              <w:snapToGrid w:val="0"/>
              <w:jc w:val="center"/>
              <w:rPr>
                <w:rFonts w:ascii="Arial" w:hAnsi="Arial" w:eastAsia="宋体" w:cs="Arial"/>
                <w:bCs/>
                <w:kern w:val="0"/>
                <w:sz w:val="21"/>
                <w:szCs w:val="21"/>
                <w:lang w:bidi="ar"/>
              </w:rPr>
            </w:pPr>
          </w:p>
        </w:tc>
        <w:tc>
          <w:tcPr>
            <w:tcW w:w="745" w:type="pct"/>
            <w:vAlign w:val="center"/>
          </w:tcPr>
          <w:p w14:paraId="58ECEE3E">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80</w:t>
            </w:r>
          </w:p>
        </w:tc>
      </w:tr>
      <w:tr w14:paraId="371E0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Align w:val="center"/>
          </w:tcPr>
          <w:p w14:paraId="0DCA15F9">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8</w:t>
            </w:r>
          </w:p>
        </w:tc>
        <w:tc>
          <w:tcPr>
            <w:tcW w:w="763" w:type="pct"/>
            <w:vAlign w:val="center"/>
          </w:tcPr>
          <w:p w14:paraId="1CB9B7F8">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包装机</w:t>
            </w:r>
          </w:p>
        </w:tc>
        <w:tc>
          <w:tcPr>
            <w:tcW w:w="383" w:type="pct"/>
            <w:vAlign w:val="center"/>
          </w:tcPr>
          <w:p w14:paraId="1BD355A6">
            <w:pPr>
              <w:adjustRightInd w:val="0"/>
              <w:snapToGrid w:val="0"/>
              <w:jc w:val="center"/>
              <w:rPr>
                <w:rFonts w:ascii="Arial" w:hAnsi="Arial" w:eastAsia="宋体" w:cs="Arial"/>
                <w:sz w:val="21"/>
                <w:szCs w:val="22"/>
              </w:rPr>
            </w:pPr>
            <w:r>
              <w:rPr>
                <w:rFonts w:hint="eastAsia" w:ascii="Arial" w:hAnsi="Arial" w:eastAsia="宋体" w:cs="Arial"/>
                <w:sz w:val="21"/>
                <w:szCs w:val="22"/>
              </w:rPr>
              <w:t>0</w:t>
            </w:r>
          </w:p>
        </w:tc>
        <w:tc>
          <w:tcPr>
            <w:tcW w:w="685" w:type="pct"/>
            <w:vAlign w:val="center"/>
          </w:tcPr>
          <w:p w14:paraId="15898FC2">
            <w:pPr>
              <w:topLinePunct/>
              <w:autoSpaceDE w:val="0"/>
              <w:autoSpaceDN w:val="0"/>
              <w:adjustRightInd w:val="0"/>
              <w:snapToGrid w:val="0"/>
              <w:jc w:val="center"/>
              <w:rPr>
                <w:rFonts w:ascii="Arial" w:hAnsi="Arial" w:eastAsia="宋体" w:cs="Arial"/>
                <w:bCs/>
                <w:kern w:val="0"/>
                <w:sz w:val="21"/>
                <w:szCs w:val="21"/>
                <w:lang w:bidi="ar"/>
              </w:rPr>
            </w:pPr>
            <w:r>
              <w:rPr>
                <w:rFonts w:hint="eastAsia" w:ascii="Arial" w:hAnsi="Arial" w:eastAsia="宋体" w:cs="Arial"/>
                <w:bCs/>
                <w:kern w:val="0"/>
                <w:sz w:val="21"/>
                <w:szCs w:val="21"/>
                <w:lang w:bidi="ar"/>
              </w:rPr>
              <w:t>/</w:t>
            </w:r>
          </w:p>
        </w:tc>
        <w:tc>
          <w:tcPr>
            <w:tcW w:w="687" w:type="pct"/>
            <w:vAlign w:val="center"/>
          </w:tcPr>
          <w:p w14:paraId="595CBFC5">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533" w:type="pct"/>
            <w:vAlign w:val="center"/>
          </w:tcPr>
          <w:p w14:paraId="5635CE8B">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2</w:t>
            </w:r>
          </w:p>
        </w:tc>
        <w:tc>
          <w:tcPr>
            <w:tcW w:w="840" w:type="pct"/>
            <w:vMerge w:val="continue"/>
            <w:vAlign w:val="center"/>
          </w:tcPr>
          <w:p w14:paraId="69418C80">
            <w:pPr>
              <w:topLinePunct/>
              <w:autoSpaceDE w:val="0"/>
              <w:autoSpaceDN w:val="0"/>
              <w:adjustRightInd w:val="0"/>
              <w:snapToGrid w:val="0"/>
              <w:jc w:val="center"/>
              <w:rPr>
                <w:rFonts w:ascii="Arial" w:hAnsi="Arial" w:eastAsia="宋体" w:cs="Arial"/>
                <w:bCs/>
                <w:kern w:val="0"/>
                <w:sz w:val="21"/>
                <w:szCs w:val="21"/>
                <w:lang w:bidi="ar"/>
              </w:rPr>
            </w:pPr>
          </w:p>
        </w:tc>
        <w:tc>
          <w:tcPr>
            <w:tcW w:w="745" w:type="pct"/>
            <w:vAlign w:val="center"/>
          </w:tcPr>
          <w:p w14:paraId="12B7FAD2">
            <w:pPr>
              <w:topLinePunct/>
              <w:autoSpaceDE w:val="0"/>
              <w:autoSpaceDN w:val="0"/>
              <w:adjustRightInd w:val="0"/>
              <w:snapToGrid w:val="0"/>
              <w:jc w:val="center"/>
              <w:rPr>
                <w:rFonts w:ascii="Arial" w:hAnsi="Arial" w:eastAsia="宋体" w:cs="Arial"/>
                <w:sz w:val="21"/>
                <w:szCs w:val="24"/>
              </w:rPr>
            </w:pPr>
            <w:r>
              <w:rPr>
                <w:rFonts w:hint="eastAsia" w:ascii="Arial" w:hAnsi="Arial" w:eastAsia="宋体" w:cs="Arial"/>
                <w:sz w:val="21"/>
                <w:szCs w:val="24"/>
              </w:rPr>
              <w:t>70</w:t>
            </w:r>
          </w:p>
        </w:tc>
      </w:tr>
    </w:tbl>
    <w:p w14:paraId="16382762">
      <w:pPr>
        <w:pStyle w:val="6"/>
        <w:numPr>
          <w:ilvl w:val="2"/>
          <w:numId w:val="11"/>
        </w:numPr>
        <w:tabs>
          <w:tab w:val="left" w:pos="1080"/>
        </w:tabs>
        <w:spacing w:line="400" w:lineRule="exact"/>
        <w:rPr>
          <w:rFonts w:ascii="Arial" w:hAnsi="Arial" w:eastAsia="宋体" w:cs="Arial"/>
        </w:rPr>
      </w:pPr>
      <w:r>
        <w:rPr>
          <w:rFonts w:ascii="Arial" w:hAnsi="Arial" w:eastAsia="宋体" w:cs="Arial"/>
        </w:rPr>
        <w:t>固废污染源强汇总</w:t>
      </w:r>
    </w:p>
    <w:p w14:paraId="034BA622">
      <w:pPr>
        <w:pStyle w:val="5"/>
        <w:spacing w:line="500" w:lineRule="exact"/>
        <w:ind w:firstLine="0"/>
        <w:outlineLvl w:val="3"/>
        <w:rPr>
          <w:b/>
        </w:rPr>
      </w:pPr>
      <w:r>
        <w:rPr>
          <w:b/>
        </w:rPr>
        <w:t>2.</w:t>
      </w:r>
      <w:r>
        <w:rPr>
          <w:rFonts w:hint="eastAsia"/>
          <w:b/>
        </w:rPr>
        <w:t>5</w:t>
      </w:r>
      <w:r>
        <w:rPr>
          <w:b/>
        </w:rPr>
        <w:t>.5.1项目变更前后固废源强汇总</w:t>
      </w:r>
    </w:p>
    <w:p w14:paraId="08311D6D">
      <w:pPr>
        <w:pStyle w:val="5"/>
        <w:keepNext/>
        <w:numPr>
          <w:ilvl w:val="0"/>
          <w:numId w:val="12"/>
        </w:numPr>
        <w:spacing w:line="480" w:lineRule="exact"/>
        <w:ind w:left="0" w:firstLine="0"/>
        <w:jc w:val="center"/>
        <w:outlineLvl w:val="4"/>
        <w:rPr>
          <w:b/>
        </w:rPr>
      </w:pPr>
      <w:r>
        <w:rPr>
          <w:b/>
        </w:rPr>
        <w:t>项目变更前后固废源强汇总表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
        <w:gridCol w:w="1900"/>
        <w:gridCol w:w="834"/>
        <w:gridCol w:w="1908"/>
        <w:gridCol w:w="1906"/>
        <w:gridCol w:w="1906"/>
      </w:tblGrid>
      <w:tr w14:paraId="24F94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49" w:type="pct"/>
            <w:tcBorders>
              <w:top w:val="single" w:color="auto" w:sz="4" w:space="0"/>
              <w:left w:val="single" w:color="auto" w:sz="4" w:space="0"/>
              <w:bottom w:val="single" w:color="auto" w:sz="4" w:space="0"/>
              <w:right w:val="single" w:color="auto" w:sz="4" w:space="0"/>
            </w:tcBorders>
            <w:vAlign w:val="center"/>
          </w:tcPr>
          <w:p w14:paraId="5F42A57B">
            <w:pPr>
              <w:adjustRightInd w:val="0"/>
              <w:snapToGrid w:val="0"/>
              <w:jc w:val="center"/>
              <w:rPr>
                <w:rFonts w:ascii="Arial" w:hAnsi="Arial" w:eastAsia="宋体" w:cs="Arial"/>
                <w:b/>
                <w:sz w:val="21"/>
                <w:szCs w:val="21"/>
              </w:rPr>
            </w:pPr>
            <w:r>
              <w:rPr>
                <w:rFonts w:ascii="Arial" w:hAnsi="Arial" w:eastAsia="宋体" w:cs="Arial"/>
                <w:b/>
                <w:sz w:val="21"/>
                <w:szCs w:val="21"/>
              </w:rPr>
              <w:t>类别</w:t>
            </w:r>
          </w:p>
        </w:tc>
        <w:tc>
          <w:tcPr>
            <w:tcW w:w="1023" w:type="pct"/>
            <w:tcBorders>
              <w:top w:val="single" w:color="auto" w:sz="4" w:space="0"/>
              <w:left w:val="single" w:color="auto" w:sz="4" w:space="0"/>
              <w:bottom w:val="single" w:color="auto" w:sz="4" w:space="0"/>
              <w:right w:val="single" w:color="auto" w:sz="4" w:space="0"/>
            </w:tcBorders>
            <w:vAlign w:val="center"/>
          </w:tcPr>
          <w:p w14:paraId="1AD34A13">
            <w:pPr>
              <w:adjustRightInd w:val="0"/>
              <w:snapToGrid w:val="0"/>
              <w:jc w:val="center"/>
              <w:rPr>
                <w:rFonts w:ascii="Arial" w:hAnsi="Arial" w:eastAsia="宋体" w:cs="Arial"/>
                <w:b/>
                <w:sz w:val="21"/>
                <w:szCs w:val="21"/>
              </w:rPr>
            </w:pPr>
            <w:r>
              <w:rPr>
                <w:rFonts w:ascii="Arial" w:hAnsi="Arial" w:eastAsia="宋体" w:cs="Arial"/>
                <w:b/>
                <w:sz w:val="21"/>
                <w:szCs w:val="21"/>
              </w:rPr>
              <w:t>污染物名称</w:t>
            </w:r>
          </w:p>
        </w:tc>
        <w:tc>
          <w:tcPr>
            <w:tcW w:w="449" w:type="pct"/>
            <w:tcBorders>
              <w:top w:val="single" w:color="auto" w:sz="4" w:space="0"/>
              <w:left w:val="single" w:color="auto" w:sz="4" w:space="0"/>
              <w:bottom w:val="single" w:color="auto" w:sz="4" w:space="0"/>
              <w:right w:val="single" w:color="auto" w:sz="4" w:space="0"/>
            </w:tcBorders>
            <w:vAlign w:val="center"/>
          </w:tcPr>
          <w:p w14:paraId="36CD82C2">
            <w:pPr>
              <w:adjustRightInd w:val="0"/>
              <w:snapToGrid w:val="0"/>
              <w:jc w:val="center"/>
              <w:rPr>
                <w:rFonts w:ascii="Arial" w:hAnsi="Arial" w:eastAsia="宋体" w:cs="Arial"/>
                <w:b/>
                <w:sz w:val="21"/>
                <w:szCs w:val="21"/>
              </w:rPr>
            </w:pPr>
            <w:r>
              <w:rPr>
                <w:rFonts w:ascii="Arial" w:hAnsi="Arial" w:eastAsia="宋体" w:cs="Arial"/>
                <w:b/>
                <w:sz w:val="21"/>
                <w:szCs w:val="21"/>
              </w:rPr>
              <w:t>单位</w:t>
            </w:r>
          </w:p>
        </w:tc>
        <w:tc>
          <w:tcPr>
            <w:tcW w:w="1027" w:type="pct"/>
            <w:tcBorders>
              <w:top w:val="single" w:color="auto" w:sz="4" w:space="0"/>
              <w:left w:val="single" w:color="auto" w:sz="4" w:space="0"/>
              <w:bottom w:val="single" w:color="auto" w:sz="4" w:space="0"/>
              <w:right w:val="single" w:color="auto" w:sz="4" w:space="0"/>
            </w:tcBorders>
            <w:vAlign w:val="center"/>
          </w:tcPr>
          <w:p w14:paraId="051E2DBD">
            <w:pPr>
              <w:adjustRightInd w:val="0"/>
              <w:snapToGrid w:val="0"/>
              <w:jc w:val="center"/>
              <w:rPr>
                <w:rFonts w:ascii="Arial" w:hAnsi="Arial" w:eastAsia="宋体" w:cs="Arial"/>
                <w:b/>
                <w:sz w:val="21"/>
                <w:szCs w:val="21"/>
              </w:rPr>
            </w:pPr>
            <w:r>
              <w:rPr>
                <w:rFonts w:ascii="Arial" w:hAnsi="Arial" w:eastAsia="宋体" w:cs="Arial"/>
                <w:b/>
                <w:sz w:val="21"/>
                <w:szCs w:val="21"/>
              </w:rPr>
              <w:t>变更前排放量</w:t>
            </w:r>
          </w:p>
        </w:tc>
        <w:tc>
          <w:tcPr>
            <w:tcW w:w="1026" w:type="pct"/>
            <w:tcBorders>
              <w:top w:val="single" w:color="auto" w:sz="4" w:space="0"/>
              <w:left w:val="single" w:color="auto" w:sz="4" w:space="0"/>
              <w:bottom w:val="single" w:color="auto" w:sz="4" w:space="0"/>
              <w:right w:val="single" w:color="auto" w:sz="4" w:space="0"/>
            </w:tcBorders>
            <w:vAlign w:val="center"/>
          </w:tcPr>
          <w:p w14:paraId="71CD564B">
            <w:pPr>
              <w:adjustRightInd w:val="0"/>
              <w:snapToGrid w:val="0"/>
              <w:jc w:val="center"/>
              <w:rPr>
                <w:rFonts w:ascii="Arial" w:hAnsi="Arial" w:eastAsia="宋体" w:cs="Arial"/>
                <w:b/>
                <w:sz w:val="21"/>
                <w:szCs w:val="21"/>
              </w:rPr>
            </w:pPr>
            <w:r>
              <w:rPr>
                <w:rFonts w:ascii="Arial" w:hAnsi="Arial" w:eastAsia="宋体" w:cs="Arial"/>
                <w:b/>
                <w:sz w:val="21"/>
                <w:szCs w:val="21"/>
              </w:rPr>
              <w:t>变更后排放量</w:t>
            </w:r>
          </w:p>
        </w:tc>
        <w:tc>
          <w:tcPr>
            <w:tcW w:w="1026" w:type="pct"/>
            <w:tcBorders>
              <w:top w:val="single" w:color="auto" w:sz="4" w:space="0"/>
              <w:left w:val="single" w:color="auto" w:sz="4" w:space="0"/>
              <w:bottom w:val="single" w:color="auto" w:sz="4" w:space="0"/>
              <w:right w:val="single" w:color="auto" w:sz="4" w:space="0"/>
            </w:tcBorders>
            <w:vAlign w:val="center"/>
          </w:tcPr>
          <w:p w14:paraId="6D7462A5">
            <w:pPr>
              <w:adjustRightInd w:val="0"/>
              <w:snapToGrid w:val="0"/>
              <w:jc w:val="center"/>
              <w:rPr>
                <w:rFonts w:ascii="Arial" w:hAnsi="Arial" w:eastAsia="宋体" w:cs="Arial"/>
                <w:b/>
                <w:sz w:val="21"/>
                <w:szCs w:val="21"/>
              </w:rPr>
            </w:pPr>
            <w:r>
              <w:rPr>
                <w:rFonts w:ascii="Arial" w:hAnsi="Arial" w:eastAsia="宋体" w:cs="Arial"/>
                <w:b/>
                <w:sz w:val="21"/>
                <w:szCs w:val="21"/>
              </w:rPr>
              <w:t>变更前后对比</w:t>
            </w:r>
          </w:p>
        </w:tc>
      </w:tr>
      <w:tr w14:paraId="5F681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9" w:type="pct"/>
            <w:vMerge w:val="restart"/>
            <w:tcBorders>
              <w:top w:val="single" w:color="auto" w:sz="4" w:space="0"/>
              <w:left w:val="single" w:color="auto" w:sz="4" w:space="0"/>
              <w:right w:val="single" w:color="auto" w:sz="4" w:space="0"/>
            </w:tcBorders>
            <w:vAlign w:val="center"/>
          </w:tcPr>
          <w:p w14:paraId="0A2F7770">
            <w:pPr>
              <w:adjustRightInd w:val="0"/>
              <w:snapToGrid w:val="0"/>
              <w:jc w:val="center"/>
              <w:rPr>
                <w:rFonts w:ascii="Arial" w:hAnsi="Arial" w:eastAsia="宋体" w:cs="Arial"/>
                <w:sz w:val="21"/>
                <w:szCs w:val="21"/>
              </w:rPr>
            </w:pPr>
            <w:r>
              <w:rPr>
                <w:rFonts w:ascii="Arial" w:hAnsi="Arial" w:eastAsia="宋体" w:cs="Arial"/>
                <w:sz w:val="21"/>
                <w:szCs w:val="21"/>
              </w:rPr>
              <w:t>固废</w:t>
            </w:r>
          </w:p>
        </w:tc>
        <w:tc>
          <w:tcPr>
            <w:tcW w:w="1023" w:type="pct"/>
            <w:tcBorders>
              <w:top w:val="single" w:color="auto" w:sz="4" w:space="0"/>
              <w:left w:val="single" w:color="auto" w:sz="4" w:space="0"/>
              <w:bottom w:val="single" w:color="auto" w:sz="4" w:space="0"/>
              <w:right w:val="single" w:color="auto" w:sz="4" w:space="0"/>
            </w:tcBorders>
            <w:vAlign w:val="center"/>
          </w:tcPr>
          <w:p w14:paraId="5A05A99A">
            <w:pPr>
              <w:adjustRightInd w:val="0"/>
              <w:snapToGrid w:val="0"/>
              <w:jc w:val="center"/>
              <w:rPr>
                <w:rFonts w:ascii="Arial" w:hAnsi="Arial" w:eastAsia="宋体" w:cs="Arial"/>
                <w:sz w:val="21"/>
                <w:szCs w:val="21"/>
              </w:rPr>
            </w:pPr>
            <w:r>
              <w:rPr>
                <w:rFonts w:ascii="Arial" w:hAnsi="Arial" w:eastAsia="宋体" w:cs="Arial"/>
                <w:sz w:val="21"/>
                <w:szCs w:val="21"/>
              </w:rPr>
              <w:t>一般工业固废</w:t>
            </w:r>
          </w:p>
        </w:tc>
        <w:tc>
          <w:tcPr>
            <w:tcW w:w="449" w:type="pct"/>
            <w:tcBorders>
              <w:top w:val="single" w:color="auto" w:sz="4" w:space="0"/>
              <w:left w:val="single" w:color="auto" w:sz="4" w:space="0"/>
              <w:bottom w:val="single" w:color="auto" w:sz="4" w:space="0"/>
              <w:right w:val="single" w:color="auto" w:sz="4" w:space="0"/>
            </w:tcBorders>
            <w:vAlign w:val="center"/>
          </w:tcPr>
          <w:p w14:paraId="26484F57">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027" w:type="pct"/>
            <w:tcBorders>
              <w:top w:val="single" w:color="auto" w:sz="4" w:space="0"/>
              <w:left w:val="single" w:color="auto" w:sz="4" w:space="0"/>
              <w:bottom w:val="single" w:color="auto" w:sz="4" w:space="0"/>
              <w:right w:val="single" w:color="auto" w:sz="4" w:space="0"/>
            </w:tcBorders>
            <w:vAlign w:val="center"/>
          </w:tcPr>
          <w:p w14:paraId="3F1880A4">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1026" w:type="pct"/>
            <w:tcBorders>
              <w:top w:val="single" w:color="auto" w:sz="4" w:space="0"/>
              <w:left w:val="single" w:color="auto" w:sz="4" w:space="0"/>
              <w:bottom w:val="single" w:color="auto" w:sz="4" w:space="0"/>
              <w:right w:val="single" w:color="auto" w:sz="4" w:space="0"/>
            </w:tcBorders>
            <w:vAlign w:val="center"/>
          </w:tcPr>
          <w:p w14:paraId="2A0BEAB9">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29.74</w:t>
            </w:r>
          </w:p>
        </w:tc>
        <w:tc>
          <w:tcPr>
            <w:tcW w:w="1026" w:type="pct"/>
            <w:tcBorders>
              <w:top w:val="single" w:color="auto" w:sz="4" w:space="0"/>
              <w:left w:val="single" w:color="auto" w:sz="4" w:space="0"/>
              <w:bottom w:val="single" w:color="auto" w:sz="4" w:space="0"/>
              <w:right w:val="single" w:color="auto" w:sz="4" w:space="0"/>
            </w:tcBorders>
            <w:vAlign w:val="center"/>
          </w:tcPr>
          <w:p w14:paraId="26387833">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+29.74</w:t>
            </w:r>
          </w:p>
        </w:tc>
      </w:tr>
      <w:tr w14:paraId="56D90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9" w:type="pct"/>
            <w:vMerge w:val="continue"/>
            <w:tcBorders>
              <w:left w:val="single" w:color="auto" w:sz="4" w:space="0"/>
              <w:right w:val="single" w:color="auto" w:sz="4" w:space="0"/>
            </w:tcBorders>
            <w:vAlign w:val="center"/>
          </w:tcPr>
          <w:p w14:paraId="365A2F64">
            <w:pPr>
              <w:adjustRightInd w:val="0"/>
              <w:snapToGrid w:val="0"/>
              <w:jc w:val="center"/>
              <w:rPr>
                <w:rFonts w:ascii="Arial" w:hAnsi="Arial" w:eastAsia="宋体" w:cs="Arial"/>
                <w:sz w:val="21"/>
                <w:szCs w:val="21"/>
              </w:rPr>
            </w:pPr>
          </w:p>
        </w:tc>
        <w:tc>
          <w:tcPr>
            <w:tcW w:w="1023" w:type="pct"/>
            <w:tcBorders>
              <w:top w:val="single" w:color="auto" w:sz="4" w:space="0"/>
              <w:left w:val="single" w:color="auto" w:sz="4" w:space="0"/>
              <w:bottom w:val="single" w:color="auto" w:sz="4" w:space="0"/>
              <w:right w:val="single" w:color="auto" w:sz="4" w:space="0"/>
            </w:tcBorders>
            <w:vAlign w:val="center"/>
          </w:tcPr>
          <w:p w14:paraId="3CD8E6C5">
            <w:pPr>
              <w:adjustRightInd w:val="0"/>
              <w:snapToGrid w:val="0"/>
              <w:jc w:val="center"/>
              <w:rPr>
                <w:rFonts w:ascii="Arial" w:hAnsi="Arial" w:eastAsia="宋体" w:cs="Arial"/>
                <w:sz w:val="21"/>
                <w:szCs w:val="21"/>
              </w:rPr>
            </w:pPr>
            <w:r>
              <w:rPr>
                <w:rFonts w:ascii="Arial" w:hAnsi="Arial" w:eastAsia="宋体" w:cs="Arial"/>
                <w:sz w:val="21"/>
                <w:szCs w:val="21"/>
              </w:rPr>
              <w:t>危险废物</w:t>
            </w:r>
          </w:p>
        </w:tc>
        <w:tc>
          <w:tcPr>
            <w:tcW w:w="449" w:type="pct"/>
            <w:tcBorders>
              <w:top w:val="single" w:color="auto" w:sz="4" w:space="0"/>
              <w:left w:val="single" w:color="auto" w:sz="4" w:space="0"/>
              <w:bottom w:val="single" w:color="auto" w:sz="4" w:space="0"/>
              <w:right w:val="single" w:color="auto" w:sz="4" w:space="0"/>
            </w:tcBorders>
            <w:vAlign w:val="center"/>
          </w:tcPr>
          <w:p w14:paraId="6819EC6E">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027" w:type="pct"/>
            <w:tcBorders>
              <w:top w:val="single" w:color="auto" w:sz="4" w:space="0"/>
              <w:left w:val="single" w:color="auto" w:sz="4" w:space="0"/>
              <w:bottom w:val="single" w:color="auto" w:sz="4" w:space="0"/>
              <w:right w:val="single" w:color="auto" w:sz="4" w:space="0"/>
            </w:tcBorders>
            <w:vAlign w:val="center"/>
          </w:tcPr>
          <w:p w14:paraId="45902222">
            <w:pPr>
              <w:adjustRightInd w:val="0"/>
              <w:snapToGrid w:val="0"/>
              <w:jc w:val="center"/>
              <w:rPr>
                <w:rFonts w:ascii="Arial" w:hAnsi="Arial" w:eastAsia="宋体" w:cs="Arial"/>
                <w:sz w:val="21"/>
                <w:szCs w:val="21"/>
              </w:rPr>
            </w:pPr>
            <w:r>
              <w:rPr>
                <w:rFonts w:hint="eastAsia" w:ascii="Arial" w:hAnsi="Arial" w:eastAsia="宋体" w:cs="Arial"/>
                <w:sz w:val="21"/>
                <w:szCs w:val="21"/>
              </w:rPr>
              <w:t>60</w:t>
            </w:r>
          </w:p>
        </w:tc>
        <w:tc>
          <w:tcPr>
            <w:tcW w:w="1026" w:type="pct"/>
            <w:tcBorders>
              <w:top w:val="single" w:color="auto" w:sz="4" w:space="0"/>
              <w:left w:val="single" w:color="auto" w:sz="4" w:space="0"/>
              <w:bottom w:val="single" w:color="auto" w:sz="4" w:space="0"/>
              <w:right w:val="single" w:color="auto" w:sz="4" w:space="0"/>
            </w:tcBorders>
            <w:vAlign w:val="center"/>
          </w:tcPr>
          <w:p w14:paraId="457A5AF4">
            <w:pPr>
              <w:adjustRightInd w:val="0"/>
              <w:snapToGrid w:val="0"/>
              <w:jc w:val="center"/>
              <w:rPr>
                <w:rFonts w:ascii="Arial" w:hAnsi="Arial" w:eastAsia="宋体" w:cs="Arial"/>
                <w:sz w:val="21"/>
                <w:szCs w:val="21"/>
              </w:rPr>
            </w:pPr>
            <w:r>
              <w:rPr>
                <w:rFonts w:hint="eastAsia" w:ascii="Arial" w:hAnsi="Arial" w:eastAsia="宋体" w:cs="Arial"/>
                <w:sz w:val="21"/>
                <w:szCs w:val="21"/>
              </w:rPr>
              <w:t>0.5</w:t>
            </w:r>
          </w:p>
        </w:tc>
        <w:tc>
          <w:tcPr>
            <w:tcW w:w="1026" w:type="pct"/>
            <w:tcBorders>
              <w:top w:val="single" w:color="auto" w:sz="4" w:space="0"/>
              <w:left w:val="single" w:color="auto" w:sz="4" w:space="0"/>
              <w:bottom w:val="single" w:color="auto" w:sz="4" w:space="0"/>
              <w:right w:val="single" w:color="auto" w:sz="4" w:space="0"/>
            </w:tcBorders>
            <w:vAlign w:val="center"/>
          </w:tcPr>
          <w:p w14:paraId="02000C00">
            <w:pPr>
              <w:adjustRightInd w:val="0"/>
              <w:snapToGrid w:val="0"/>
              <w:jc w:val="center"/>
              <w:rPr>
                <w:rFonts w:ascii="Arial" w:hAnsi="Arial" w:eastAsia="宋体" w:cs="Arial"/>
                <w:sz w:val="21"/>
                <w:szCs w:val="21"/>
              </w:rPr>
            </w:pPr>
            <w:r>
              <w:rPr>
                <w:rFonts w:hint="eastAsia" w:ascii="Arial" w:hAnsi="Arial" w:eastAsia="宋体" w:cs="Arial"/>
                <w:sz w:val="21"/>
                <w:szCs w:val="21"/>
              </w:rPr>
              <w:t>-59.5</w:t>
            </w:r>
          </w:p>
        </w:tc>
      </w:tr>
      <w:tr w14:paraId="64FAA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9" w:type="pct"/>
            <w:vMerge w:val="continue"/>
            <w:tcBorders>
              <w:left w:val="single" w:color="auto" w:sz="4" w:space="0"/>
              <w:bottom w:val="single" w:color="auto" w:sz="4" w:space="0"/>
              <w:right w:val="single" w:color="auto" w:sz="4" w:space="0"/>
            </w:tcBorders>
            <w:vAlign w:val="center"/>
          </w:tcPr>
          <w:p w14:paraId="5F33B881">
            <w:pPr>
              <w:adjustRightInd w:val="0"/>
              <w:snapToGrid w:val="0"/>
              <w:jc w:val="center"/>
              <w:rPr>
                <w:rFonts w:ascii="Arial" w:hAnsi="Arial" w:eastAsia="宋体" w:cs="Arial"/>
                <w:sz w:val="21"/>
                <w:szCs w:val="21"/>
              </w:rPr>
            </w:pPr>
          </w:p>
        </w:tc>
        <w:tc>
          <w:tcPr>
            <w:tcW w:w="1023" w:type="pct"/>
            <w:tcBorders>
              <w:top w:val="single" w:color="auto" w:sz="4" w:space="0"/>
              <w:left w:val="single" w:color="auto" w:sz="4" w:space="0"/>
              <w:bottom w:val="single" w:color="auto" w:sz="4" w:space="0"/>
              <w:right w:val="single" w:color="auto" w:sz="4" w:space="0"/>
            </w:tcBorders>
            <w:vAlign w:val="center"/>
          </w:tcPr>
          <w:p w14:paraId="5E3A0C65">
            <w:pPr>
              <w:adjustRightInd w:val="0"/>
              <w:snapToGrid w:val="0"/>
              <w:jc w:val="center"/>
              <w:rPr>
                <w:rFonts w:ascii="Arial" w:hAnsi="Arial" w:eastAsia="宋体" w:cs="Arial"/>
                <w:sz w:val="21"/>
                <w:szCs w:val="21"/>
              </w:rPr>
            </w:pPr>
            <w:r>
              <w:rPr>
                <w:rFonts w:ascii="Arial" w:hAnsi="Arial" w:eastAsia="宋体" w:cs="Arial"/>
                <w:sz w:val="21"/>
                <w:szCs w:val="21"/>
              </w:rPr>
              <w:t>生活垃圾</w:t>
            </w:r>
          </w:p>
        </w:tc>
        <w:tc>
          <w:tcPr>
            <w:tcW w:w="449" w:type="pct"/>
            <w:tcBorders>
              <w:top w:val="single" w:color="auto" w:sz="4" w:space="0"/>
              <w:left w:val="single" w:color="auto" w:sz="4" w:space="0"/>
              <w:bottom w:val="single" w:color="auto" w:sz="4" w:space="0"/>
              <w:right w:val="single" w:color="auto" w:sz="4" w:space="0"/>
            </w:tcBorders>
            <w:vAlign w:val="center"/>
          </w:tcPr>
          <w:p w14:paraId="73FA6F3B">
            <w:pPr>
              <w:adjustRightInd w:val="0"/>
              <w:snapToGrid w:val="0"/>
              <w:jc w:val="center"/>
              <w:rPr>
                <w:rFonts w:ascii="Arial" w:hAnsi="Arial" w:eastAsia="宋体" w:cs="Arial"/>
                <w:sz w:val="21"/>
                <w:szCs w:val="21"/>
              </w:rPr>
            </w:pPr>
            <w:r>
              <w:rPr>
                <w:rFonts w:ascii="Arial" w:hAnsi="Arial" w:eastAsia="宋体" w:cs="Arial"/>
                <w:sz w:val="21"/>
                <w:szCs w:val="21"/>
              </w:rPr>
              <w:t>t/a</w:t>
            </w:r>
          </w:p>
        </w:tc>
        <w:tc>
          <w:tcPr>
            <w:tcW w:w="1027" w:type="pct"/>
            <w:tcBorders>
              <w:top w:val="single" w:color="auto" w:sz="4" w:space="0"/>
              <w:left w:val="single" w:color="auto" w:sz="4" w:space="0"/>
              <w:bottom w:val="single" w:color="auto" w:sz="4" w:space="0"/>
              <w:right w:val="single" w:color="auto" w:sz="4" w:space="0"/>
            </w:tcBorders>
            <w:vAlign w:val="center"/>
          </w:tcPr>
          <w:p w14:paraId="698A23E4">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1026" w:type="pct"/>
            <w:tcBorders>
              <w:top w:val="single" w:color="auto" w:sz="4" w:space="0"/>
              <w:left w:val="single" w:color="auto" w:sz="4" w:space="0"/>
              <w:bottom w:val="single" w:color="auto" w:sz="4" w:space="0"/>
              <w:right w:val="single" w:color="auto" w:sz="4" w:space="0"/>
            </w:tcBorders>
            <w:vAlign w:val="center"/>
          </w:tcPr>
          <w:p w14:paraId="738FCC99">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1026" w:type="pct"/>
            <w:tcBorders>
              <w:top w:val="single" w:color="auto" w:sz="4" w:space="0"/>
              <w:left w:val="single" w:color="auto" w:sz="4" w:space="0"/>
              <w:bottom w:val="single" w:color="auto" w:sz="4" w:space="0"/>
              <w:right w:val="single" w:color="auto" w:sz="4" w:space="0"/>
            </w:tcBorders>
            <w:vAlign w:val="center"/>
          </w:tcPr>
          <w:p w14:paraId="6EA90390">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r>
    </w:tbl>
    <w:p w14:paraId="7DE94BD6">
      <w:pPr>
        <w:pStyle w:val="5"/>
        <w:spacing w:line="500" w:lineRule="exact"/>
        <w:ind w:firstLine="0"/>
        <w:outlineLvl w:val="3"/>
        <w:rPr>
          <w:b/>
        </w:rPr>
      </w:pPr>
      <w:r>
        <w:rPr>
          <w:b/>
        </w:rPr>
        <w:t>2.</w:t>
      </w:r>
      <w:r>
        <w:rPr>
          <w:rFonts w:hint="eastAsia"/>
          <w:b/>
        </w:rPr>
        <w:t>5</w:t>
      </w:r>
      <w:r>
        <w:rPr>
          <w:b/>
        </w:rPr>
        <w:t>.5.2项目变更后危废产生情况汇总</w:t>
      </w:r>
    </w:p>
    <w:p w14:paraId="7A0F5390">
      <w:pPr>
        <w:pStyle w:val="5"/>
        <w:adjustRightInd w:val="0"/>
        <w:snapToGrid w:val="0"/>
        <w:spacing w:line="500" w:lineRule="exact"/>
        <w:ind w:firstLine="490" w:firstLineChars="200"/>
        <w:rPr>
          <w:b/>
        </w:rPr>
      </w:pPr>
    </w:p>
    <w:p w14:paraId="3905C136">
      <w:pPr>
        <w:pStyle w:val="5"/>
        <w:keepNext/>
        <w:numPr>
          <w:ilvl w:val="0"/>
          <w:numId w:val="12"/>
        </w:numPr>
        <w:adjustRightInd w:val="0"/>
        <w:snapToGrid w:val="0"/>
        <w:spacing w:line="480" w:lineRule="exact"/>
        <w:ind w:left="0" w:firstLine="0"/>
        <w:jc w:val="center"/>
        <w:outlineLvl w:val="4"/>
        <w:rPr>
          <w:b/>
        </w:rPr>
      </w:pPr>
      <w:r>
        <w:rPr>
          <w:b/>
        </w:rPr>
        <w:t>项目变更后危废排放情况</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3"/>
        <w:gridCol w:w="689"/>
        <w:gridCol w:w="676"/>
        <w:gridCol w:w="1215"/>
        <w:gridCol w:w="736"/>
        <w:gridCol w:w="737"/>
        <w:gridCol w:w="726"/>
        <w:gridCol w:w="411"/>
        <w:gridCol w:w="726"/>
        <w:gridCol w:w="856"/>
        <w:gridCol w:w="732"/>
        <w:gridCol w:w="648"/>
        <w:gridCol w:w="723"/>
      </w:tblGrid>
      <w:tr w14:paraId="316DC7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Align w:val="center"/>
          </w:tcPr>
          <w:p w14:paraId="2CD1FEDF">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序号</w:t>
            </w:r>
          </w:p>
        </w:tc>
        <w:tc>
          <w:tcPr>
            <w:tcW w:w="371" w:type="pct"/>
            <w:vAlign w:val="center"/>
          </w:tcPr>
          <w:p w14:paraId="0F2B8B14">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危险废物</w:t>
            </w:r>
          </w:p>
          <w:p w14:paraId="14833E7B">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名称</w:t>
            </w:r>
          </w:p>
        </w:tc>
        <w:tc>
          <w:tcPr>
            <w:tcW w:w="364" w:type="pct"/>
            <w:vAlign w:val="center"/>
          </w:tcPr>
          <w:p w14:paraId="0A00C1B7">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危废类别</w:t>
            </w:r>
          </w:p>
        </w:tc>
        <w:tc>
          <w:tcPr>
            <w:tcW w:w="654" w:type="pct"/>
            <w:vAlign w:val="center"/>
          </w:tcPr>
          <w:p w14:paraId="5A143277">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危险废物</w:t>
            </w:r>
          </w:p>
          <w:p w14:paraId="53E0E6C8">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代码</w:t>
            </w:r>
          </w:p>
        </w:tc>
        <w:tc>
          <w:tcPr>
            <w:tcW w:w="396" w:type="pct"/>
            <w:vAlign w:val="center"/>
          </w:tcPr>
          <w:p w14:paraId="7602618B">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变更前排</w:t>
            </w:r>
          </w:p>
          <w:p w14:paraId="5464F7FF">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放量（t/a）</w:t>
            </w:r>
          </w:p>
        </w:tc>
        <w:tc>
          <w:tcPr>
            <w:tcW w:w="397" w:type="pct"/>
            <w:vAlign w:val="center"/>
          </w:tcPr>
          <w:p w14:paraId="408ADE0F">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变更后排</w:t>
            </w:r>
          </w:p>
          <w:p w14:paraId="2A75B8EC">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放量（t/a）</w:t>
            </w:r>
          </w:p>
        </w:tc>
        <w:tc>
          <w:tcPr>
            <w:tcW w:w="391" w:type="pct"/>
            <w:vAlign w:val="center"/>
          </w:tcPr>
          <w:p w14:paraId="0143F68D">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产生工序</w:t>
            </w:r>
          </w:p>
          <w:p w14:paraId="27563745">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及装置</w:t>
            </w:r>
          </w:p>
        </w:tc>
        <w:tc>
          <w:tcPr>
            <w:tcW w:w="221" w:type="pct"/>
            <w:vAlign w:val="center"/>
          </w:tcPr>
          <w:p w14:paraId="319326D0">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形态</w:t>
            </w:r>
          </w:p>
        </w:tc>
        <w:tc>
          <w:tcPr>
            <w:tcW w:w="391" w:type="pct"/>
            <w:vAlign w:val="center"/>
          </w:tcPr>
          <w:p w14:paraId="7544C93F">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主要成分</w:t>
            </w:r>
          </w:p>
        </w:tc>
        <w:tc>
          <w:tcPr>
            <w:tcW w:w="461" w:type="pct"/>
            <w:vAlign w:val="center"/>
          </w:tcPr>
          <w:p w14:paraId="6AE9699C">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有害成分</w:t>
            </w:r>
          </w:p>
        </w:tc>
        <w:tc>
          <w:tcPr>
            <w:tcW w:w="394" w:type="pct"/>
            <w:vAlign w:val="center"/>
          </w:tcPr>
          <w:p w14:paraId="178587AD">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产废周期</w:t>
            </w:r>
          </w:p>
        </w:tc>
        <w:tc>
          <w:tcPr>
            <w:tcW w:w="349" w:type="pct"/>
            <w:vAlign w:val="center"/>
          </w:tcPr>
          <w:p w14:paraId="78B2B104">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危险特性</w:t>
            </w:r>
          </w:p>
        </w:tc>
        <w:tc>
          <w:tcPr>
            <w:tcW w:w="390" w:type="pct"/>
            <w:vAlign w:val="center"/>
          </w:tcPr>
          <w:p w14:paraId="7A3DD6FE">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防治措施</w:t>
            </w:r>
          </w:p>
        </w:tc>
      </w:tr>
      <w:tr w14:paraId="5CEEB6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Align w:val="center"/>
          </w:tcPr>
          <w:p w14:paraId="5B99FB72">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1</w:t>
            </w:r>
          </w:p>
        </w:tc>
        <w:tc>
          <w:tcPr>
            <w:tcW w:w="371" w:type="pct"/>
            <w:vAlign w:val="center"/>
          </w:tcPr>
          <w:p w14:paraId="3D503628">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废润滑油</w:t>
            </w:r>
          </w:p>
        </w:tc>
        <w:tc>
          <w:tcPr>
            <w:tcW w:w="364" w:type="pct"/>
            <w:vAlign w:val="center"/>
          </w:tcPr>
          <w:p w14:paraId="493A6C08">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HW08</w:t>
            </w:r>
          </w:p>
        </w:tc>
        <w:tc>
          <w:tcPr>
            <w:tcW w:w="654" w:type="pct"/>
            <w:vAlign w:val="center"/>
          </w:tcPr>
          <w:p w14:paraId="614F3E07">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900-214-08</w:t>
            </w:r>
          </w:p>
        </w:tc>
        <w:tc>
          <w:tcPr>
            <w:tcW w:w="396" w:type="pct"/>
            <w:vAlign w:val="center"/>
          </w:tcPr>
          <w:p w14:paraId="380B8B8E">
            <w:pPr>
              <w:topLinePunct/>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w:t>
            </w:r>
          </w:p>
        </w:tc>
        <w:tc>
          <w:tcPr>
            <w:tcW w:w="397" w:type="pct"/>
            <w:vAlign w:val="center"/>
          </w:tcPr>
          <w:p w14:paraId="2DF5877A">
            <w:pPr>
              <w:topLinePunct/>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0.5</w:t>
            </w:r>
          </w:p>
        </w:tc>
        <w:tc>
          <w:tcPr>
            <w:tcW w:w="391" w:type="pct"/>
            <w:vAlign w:val="center"/>
          </w:tcPr>
          <w:p w14:paraId="3F5B1256">
            <w:pPr>
              <w:topLinePunct/>
              <w:adjustRightInd w:val="0"/>
              <w:snapToGrid w:val="0"/>
              <w:jc w:val="center"/>
              <w:rPr>
                <w:rFonts w:ascii="Arial" w:hAnsi="Arial" w:eastAsia="宋体" w:cs="Arial"/>
                <w:kern w:val="0"/>
                <w:sz w:val="21"/>
                <w:szCs w:val="21"/>
              </w:rPr>
            </w:pPr>
            <w:r>
              <w:rPr>
                <w:rFonts w:ascii="Arial" w:hAnsi="Arial" w:eastAsia="宋体" w:cs="Arial"/>
                <w:sz w:val="21"/>
                <w:szCs w:val="21"/>
              </w:rPr>
              <w:t>设备维修</w:t>
            </w:r>
          </w:p>
        </w:tc>
        <w:tc>
          <w:tcPr>
            <w:tcW w:w="221" w:type="pct"/>
            <w:vAlign w:val="center"/>
          </w:tcPr>
          <w:p w14:paraId="23DB3DDE">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液态</w:t>
            </w:r>
          </w:p>
        </w:tc>
        <w:tc>
          <w:tcPr>
            <w:tcW w:w="391" w:type="pct"/>
            <w:vAlign w:val="center"/>
          </w:tcPr>
          <w:p w14:paraId="2CE13236">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润滑油</w:t>
            </w:r>
          </w:p>
        </w:tc>
        <w:tc>
          <w:tcPr>
            <w:tcW w:w="461" w:type="pct"/>
            <w:vAlign w:val="center"/>
          </w:tcPr>
          <w:p w14:paraId="564FFCCF">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废油</w:t>
            </w:r>
          </w:p>
        </w:tc>
        <w:tc>
          <w:tcPr>
            <w:tcW w:w="394" w:type="pct"/>
            <w:vAlign w:val="center"/>
          </w:tcPr>
          <w:p w14:paraId="55A27E12">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1次/半年</w:t>
            </w:r>
          </w:p>
        </w:tc>
        <w:tc>
          <w:tcPr>
            <w:tcW w:w="349" w:type="pct"/>
            <w:vAlign w:val="center"/>
          </w:tcPr>
          <w:p w14:paraId="55CB4F74">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T、I</w:t>
            </w:r>
          </w:p>
        </w:tc>
        <w:tc>
          <w:tcPr>
            <w:tcW w:w="390" w:type="pct"/>
            <w:vAlign w:val="center"/>
          </w:tcPr>
          <w:p w14:paraId="73B409F3">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危废间暂存，委托处置</w:t>
            </w:r>
          </w:p>
        </w:tc>
      </w:tr>
    </w:tbl>
    <w:p w14:paraId="4CD467BC">
      <w:pPr>
        <w:pStyle w:val="5"/>
        <w:adjustRightInd w:val="0"/>
        <w:snapToGrid w:val="0"/>
        <w:spacing w:line="240" w:lineRule="auto"/>
        <w:ind w:firstLine="0"/>
        <w:rPr>
          <w:b/>
          <w:sz w:val="21"/>
        </w:rPr>
      </w:pPr>
      <w:r>
        <w:rPr>
          <w:b/>
          <w:sz w:val="21"/>
        </w:rPr>
        <w:t>*T：对生态环境和人体健康具有有害影响的毒性，I：易燃性。</w:t>
      </w:r>
    </w:p>
    <w:p w14:paraId="0B9C873E">
      <w:pPr>
        <w:pStyle w:val="6"/>
        <w:numPr>
          <w:ilvl w:val="2"/>
          <w:numId w:val="11"/>
        </w:numPr>
        <w:tabs>
          <w:tab w:val="left" w:pos="1080"/>
        </w:tabs>
        <w:spacing w:line="400" w:lineRule="exact"/>
        <w:rPr>
          <w:rFonts w:ascii="Arial" w:hAnsi="Arial" w:eastAsia="宋体" w:cs="Arial"/>
        </w:rPr>
      </w:pPr>
      <w:bookmarkStart w:id="270" w:name="_Toc104677274"/>
      <w:r>
        <w:rPr>
          <w:rFonts w:ascii="Arial" w:hAnsi="Arial" w:eastAsia="宋体" w:cs="Arial"/>
        </w:rPr>
        <w:t>项目污染源强汇总</w:t>
      </w:r>
      <w:bookmarkEnd w:id="270"/>
    </w:p>
    <w:p w14:paraId="0EFD173D">
      <w:pPr>
        <w:pStyle w:val="5"/>
        <w:keepNext/>
        <w:numPr>
          <w:ilvl w:val="0"/>
          <w:numId w:val="12"/>
        </w:numPr>
        <w:spacing w:line="480" w:lineRule="exact"/>
        <w:ind w:left="0" w:firstLine="0"/>
        <w:jc w:val="center"/>
        <w:outlineLvl w:val="4"/>
        <w:rPr>
          <w:b/>
        </w:rPr>
      </w:pPr>
      <w:r>
        <w:rPr>
          <w:b/>
        </w:rPr>
        <w:t>项目变更前后污染源强汇总表（t/a）</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1319"/>
        <w:gridCol w:w="1845"/>
        <w:gridCol w:w="1698"/>
        <w:gridCol w:w="1698"/>
        <w:gridCol w:w="1936"/>
      </w:tblGrid>
      <w:tr w14:paraId="1CCC5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6" w:type="pct"/>
            <w:gridSpan w:val="2"/>
            <w:shd w:val="clear" w:color="auto" w:fill="auto"/>
            <w:vAlign w:val="center"/>
          </w:tcPr>
          <w:p w14:paraId="1E713E1A">
            <w:pPr>
              <w:pStyle w:val="5"/>
              <w:adjustRightInd w:val="0"/>
              <w:snapToGrid w:val="0"/>
              <w:spacing w:line="240" w:lineRule="auto"/>
              <w:ind w:firstLine="0"/>
              <w:jc w:val="center"/>
              <w:rPr>
                <w:sz w:val="21"/>
                <w:szCs w:val="21"/>
                <w:u w:val="single"/>
              </w:rPr>
            </w:pPr>
            <w:r>
              <w:rPr>
                <w:sz w:val="21"/>
                <w:szCs w:val="21"/>
                <w:u w:val="single"/>
              </w:rPr>
              <w:t>类别</w:t>
            </w:r>
          </w:p>
        </w:tc>
        <w:tc>
          <w:tcPr>
            <w:tcW w:w="993" w:type="pct"/>
            <w:shd w:val="clear" w:color="auto" w:fill="auto"/>
            <w:vAlign w:val="center"/>
          </w:tcPr>
          <w:p w14:paraId="79683519">
            <w:pPr>
              <w:pStyle w:val="5"/>
              <w:adjustRightInd w:val="0"/>
              <w:snapToGrid w:val="0"/>
              <w:spacing w:line="240" w:lineRule="auto"/>
              <w:ind w:firstLine="0"/>
              <w:jc w:val="center"/>
              <w:rPr>
                <w:sz w:val="21"/>
                <w:szCs w:val="21"/>
                <w:u w:val="single"/>
              </w:rPr>
            </w:pPr>
            <w:r>
              <w:rPr>
                <w:sz w:val="21"/>
                <w:szCs w:val="21"/>
                <w:u w:val="single"/>
              </w:rPr>
              <w:t>项目</w:t>
            </w:r>
          </w:p>
        </w:tc>
        <w:tc>
          <w:tcPr>
            <w:tcW w:w="914" w:type="pct"/>
            <w:shd w:val="clear" w:color="auto" w:fill="auto"/>
            <w:noWrap/>
            <w:vAlign w:val="center"/>
          </w:tcPr>
          <w:p w14:paraId="2DC9EF2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变更前排放量</w:t>
            </w:r>
          </w:p>
        </w:tc>
        <w:tc>
          <w:tcPr>
            <w:tcW w:w="914" w:type="pct"/>
            <w:shd w:val="clear" w:color="auto" w:fill="auto"/>
            <w:noWrap/>
            <w:vAlign w:val="center"/>
          </w:tcPr>
          <w:p w14:paraId="36E77FF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变更后排放量</w:t>
            </w:r>
          </w:p>
        </w:tc>
        <w:tc>
          <w:tcPr>
            <w:tcW w:w="1042" w:type="pct"/>
            <w:shd w:val="clear" w:color="auto" w:fill="auto"/>
            <w:noWrap/>
            <w:vAlign w:val="center"/>
          </w:tcPr>
          <w:p w14:paraId="6A24B1F8">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变更前后增减量</w:t>
            </w:r>
          </w:p>
        </w:tc>
      </w:tr>
      <w:tr w14:paraId="11EAB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6" w:type="pct"/>
            <w:gridSpan w:val="2"/>
            <w:vMerge w:val="restart"/>
            <w:shd w:val="clear" w:color="auto" w:fill="auto"/>
            <w:vAlign w:val="center"/>
          </w:tcPr>
          <w:p w14:paraId="66B3E233">
            <w:pPr>
              <w:pStyle w:val="5"/>
              <w:adjustRightInd w:val="0"/>
              <w:snapToGrid w:val="0"/>
              <w:spacing w:line="240" w:lineRule="auto"/>
              <w:ind w:firstLine="0"/>
              <w:jc w:val="center"/>
              <w:rPr>
                <w:sz w:val="21"/>
                <w:szCs w:val="21"/>
                <w:u w:val="single"/>
              </w:rPr>
            </w:pPr>
            <w:r>
              <w:rPr>
                <w:sz w:val="21"/>
                <w:szCs w:val="21"/>
                <w:u w:val="single"/>
              </w:rPr>
              <w:t>废气</w:t>
            </w:r>
          </w:p>
        </w:tc>
        <w:tc>
          <w:tcPr>
            <w:tcW w:w="993" w:type="pct"/>
            <w:shd w:val="clear" w:color="auto" w:fill="auto"/>
            <w:vAlign w:val="center"/>
          </w:tcPr>
          <w:p w14:paraId="1DF9A9C1">
            <w:pPr>
              <w:adjustRightInd w:val="0"/>
              <w:snapToGrid w:val="0"/>
              <w:jc w:val="center"/>
              <w:rPr>
                <w:rFonts w:ascii="Arial" w:hAnsi="Arial" w:eastAsia="宋体" w:cs="Arial"/>
                <w:sz w:val="21"/>
                <w:szCs w:val="24"/>
                <w:u w:val="single"/>
              </w:rPr>
            </w:pPr>
            <w:r>
              <w:rPr>
                <w:rFonts w:ascii="Arial" w:hAnsi="Arial" w:eastAsia="宋体" w:cs="Arial"/>
                <w:sz w:val="21"/>
                <w:szCs w:val="24"/>
                <w:u w:val="single"/>
              </w:rPr>
              <w:t>颗粒物</w:t>
            </w:r>
          </w:p>
        </w:tc>
        <w:tc>
          <w:tcPr>
            <w:tcW w:w="914" w:type="pct"/>
            <w:shd w:val="clear" w:color="auto" w:fill="auto"/>
            <w:noWrap/>
            <w:vAlign w:val="center"/>
          </w:tcPr>
          <w:p w14:paraId="0DF201D2">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c>
          <w:tcPr>
            <w:tcW w:w="914" w:type="pct"/>
            <w:shd w:val="clear" w:color="auto" w:fill="auto"/>
            <w:noWrap/>
            <w:vAlign w:val="center"/>
          </w:tcPr>
          <w:p w14:paraId="183C8B51">
            <w:pPr>
              <w:pStyle w:val="5"/>
              <w:adjustRightInd w:val="0"/>
              <w:snapToGrid w:val="0"/>
              <w:spacing w:line="240" w:lineRule="auto"/>
              <w:ind w:firstLine="0"/>
              <w:jc w:val="center"/>
              <w:rPr>
                <w:sz w:val="21"/>
                <w:szCs w:val="21"/>
                <w:u w:val="single"/>
              </w:rPr>
            </w:pPr>
            <w:r>
              <w:rPr>
                <w:rFonts w:hint="eastAsia"/>
                <w:sz w:val="21"/>
                <w:szCs w:val="21"/>
                <w:u w:val="single"/>
              </w:rPr>
              <w:t>1.6579</w:t>
            </w:r>
          </w:p>
        </w:tc>
        <w:tc>
          <w:tcPr>
            <w:tcW w:w="1042" w:type="pct"/>
            <w:shd w:val="clear" w:color="auto" w:fill="auto"/>
            <w:noWrap/>
            <w:vAlign w:val="center"/>
          </w:tcPr>
          <w:p w14:paraId="65B9547A">
            <w:pPr>
              <w:pStyle w:val="5"/>
              <w:adjustRightInd w:val="0"/>
              <w:snapToGrid w:val="0"/>
              <w:spacing w:line="240" w:lineRule="auto"/>
              <w:ind w:firstLine="0"/>
              <w:jc w:val="center"/>
              <w:rPr>
                <w:sz w:val="21"/>
                <w:szCs w:val="21"/>
                <w:u w:val="single"/>
              </w:rPr>
            </w:pPr>
            <w:r>
              <w:rPr>
                <w:rFonts w:hint="eastAsia"/>
                <w:sz w:val="21"/>
                <w:szCs w:val="21"/>
                <w:u w:val="single"/>
              </w:rPr>
              <w:t>+1.6579</w:t>
            </w:r>
          </w:p>
        </w:tc>
      </w:tr>
      <w:tr w14:paraId="49023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6" w:type="pct"/>
            <w:gridSpan w:val="2"/>
            <w:vMerge w:val="continue"/>
            <w:shd w:val="clear" w:color="auto" w:fill="auto"/>
            <w:vAlign w:val="center"/>
          </w:tcPr>
          <w:p w14:paraId="73E3AE52">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00A36D43">
            <w:pPr>
              <w:adjustRightInd w:val="0"/>
              <w:snapToGrid w:val="0"/>
              <w:jc w:val="center"/>
              <w:rPr>
                <w:rFonts w:ascii="Arial" w:hAnsi="Arial" w:eastAsia="宋体" w:cs="Arial"/>
                <w:sz w:val="21"/>
                <w:szCs w:val="24"/>
                <w:u w:val="single"/>
              </w:rPr>
            </w:pPr>
            <w:r>
              <w:rPr>
                <w:rFonts w:ascii="Arial" w:hAnsi="Arial" w:eastAsia="宋体" w:cs="Arial"/>
                <w:sz w:val="21"/>
                <w:szCs w:val="24"/>
                <w:u w:val="single"/>
              </w:rPr>
              <w:t>钴及其化合物</w:t>
            </w:r>
          </w:p>
        </w:tc>
        <w:tc>
          <w:tcPr>
            <w:tcW w:w="914" w:type="pct"/>
            <w:shd w:val="clear" w:color="auto" w:fill="auto"/>
            <w:noWrap/>
            <w:vAlign w:val="center"/>
          </w:tcPr>
          <w:p w14:paraId="18A3655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914" w:type="pct"/>
            <w:shd w:val="clear" w:color="auto" w:fill="auto"/>
            <w:noWrap/>
            <w:vAlign w:val="center"/>
          </w:tcPr>
          <w:p w14:paraId="4F740882">
            <w:pPr>
              <w:pStyle w:val="5"/>
              <w:adjustRightInd w:val="0"/>
              <w:snapToGrid w:val="0"/>
              <w:spacing w:line="240" w:lineRule="auto"/>
              <w:ind w:firstLine="0"/>
              <w:jc w:val="center"/>
              <w:rPr>
                <w:sz w:val="21"/>
                <w:szCs w:val="21"/>
                <w:u w:val="single"/>
              </w:rPr>
            </w:pPr>
            <w:r>
              <w:rPr>
                <w:rFonts w:hint="eastAsia"/>
                <w:sz w:val="21"/>
                <w:szCs w:val="21"/>
                <w:u w:val="single"/>
              </w:rPr>
              <w:t>1.0292</w:t>
            </w:r>
          </w:p>
        </w:tc>
        <w:tc>
          <w:tcPr>
            <w:tcW w:w="1042" w:type="pct"/>
            <w:shd w:val="clear" w:color="auto" w:fill="auto"/>
            <w:noWrap/>
            <w:vAlign w:val="center"/>
          </w:tcPr>
          <w:p w14:paraId="31774E43">
            <w:pPr>
              <w:pStyle w:val="5"/>
              <w:adjustRightInd w:val="0"/>
              <w:snapToGrid w:val="0"/>
              <w:spacing w:line="240" w:lineRule="auto"/>
              <w:ind w:firstLine="0"/>
              <w:jc w:val="center"/>
              <w:rPr>
                <w:sz w:val="21"/>
                <w:szCs w:val="21"/>
                <w:u w:val="single"/>
              </w:rPr>
            </w:pPr>
            <w:r>
              <w:rPr>
                <w:rFonts w:hint="eastAsia"/>
                <w:sz w:val="21"/>
                <w:szCs w:val="21"/>
                <w:u w:val="single"/>
              </w:rPr>
              <w:t>+1.0292</w:t>
            </w:r>
          </w:p>
        </w:tc>
      </w:tr>
      <w:tr w14:paraId="419DA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6" w:type="pct"/>
            <w:gridSpan w:val="2"/>
            <w:vMerge w:val="continue"/>
            <w:shd w:val="clear" w:color="auto" w:fill="auto"/>
            <w:vAlign w:val="center"/>
          </w:tcPr>
          <w:p w14:paraId="75596A10">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0246D06B">
            <w:pPr>
              <w:adjustRightInd w:val="0"/>
              <w:snapToGrid w:val="0"/>
              <w:jc w:val="center"/>
              <w:rPr>
                <w:rFonts w:ascii="Arial" w:hAnsi="Arial" w:eastAsia="宋体" w:cs="Arial"/>
                <w:sz w:val="21"/>
                <w:szCs w:val="24"/>
                <w:u w:val="single"/>
              </w:rPr>
            </w:pPr>
            <w:r>
              <w:rPr>
                <w:rFonts w:ascii="Arial" w:hAnsi="Arial" w:eastAsia="宋体" w:cs="Arial"/>
                <w:sz w:val="21"/>
                <w:szCs w:val="24"/>
                <w:u w:val="single"/>
              </w:rPr>
              <w:t>氨气</w:t>
            </w:r>
          </w:p>
        </w:tc>
        <w:tc>
          <w:tcPr>
            <w:tcW w:w="914" w:type="pct"/>
            <w:shd w:val="clear" w:color="auto" w:fill="auto"/>
            <w:noWrap/>
            <w:vAlign w:val="center"/>
          </w:tcPr>
          <w:p w14:paraId="71B63BD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c>
          <w:tcPr>
            <w:tcW w:w="914" w:type="pct"/>
            <w:shd w:val="clear" w:color="auto" w:fill="auto"/>
            <w:noWrap/>
            <w:vAlign w:val="center"/>
          </w:tcPr>
          <w:p w14:paraId="77236074">
            <w:pPr>
              <w:widowControl/>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3.3399</w:t>
            </w:r>
          </w:p>
        </w:tc>
        <w:tc>
          <w:tcPr>
            <w:tcW w:w="1042" w:type="pct"/>
            <w:shd w:val="clear" w:color="auto" w:fill="auto"/>
            <w:noWrap/>
            <w:vAlign w:val="center"/>
          </w:tcPr>
          <w:p w14:paraId="23384AE3">
            <w:pPr>
              <w:widowControl/>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+3.3399</w:t>
            </w:r>
          </w:p>
        </w:tc>
      </w:tr>
      <w:tr w14:paraId="46168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6" w:type="pct"/>
            <w:gridSpan w:val="2"/>
            <w:vMerge w:val="continue"/>
            <w:shd w:val="clear" w:color="auto" w:fill="auto"/>
            <w:vAlign w:val="center"/>
          </w:tcPr>
          <w:p w14:paraId="5901A35F">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2EE56854">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硫酸雾</w:t>
            </w:r>
          </w:p>
        </w:tc>
        <w:tc>
          <w:tcPr>
            <w:tcW w:w="914" w:type="pct"/>
            <w:shd w:val="clear" w:color="auto" w:fill="auto"/>
            <w:noWrap/>
            <w:vAlign w:val="center"/>
          </w:tcPr>
          <w:p w14:paraId="31E018D0">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8.012</w:t>
            </w:r>
          </w:p>
        </w:tc>
        <w:tc>
          <w:tcPr>
            <w:tcW w:w="914" w:type="pct"/>
            <w:shd w:val="clear" w:color="auto" w:fill="auto"/>
            <w:noWrap/>
            <w:vAlign w:val="center"/>
          </w:tcPr>
          <w:p w14:paraId="7D24A32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c>
          <w:tcPr>
            <w:tcW w:w="1042" w:type="pct"/>
            <w:shd w:val="clear" w:color="auto" w:fill="auto"/>
            <w:noWrap/>
            <w:vAlign w:val="center"/>
          </w:tcPr>
          <w:p w14:paraId="0194D75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-8.012</w:t>
            </w:r>
          </w:p>
        </w:tc>
      </w:tr>
      <w:tr w14:paraId="77CD6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restart"/>
            <w:shd w:val="clear" w:color="auto" w:fill="auto"/>
            <w:vAlign w:val="center"/>
          </w:tcPr>
          <w:p w14:paraId="696CBFA4">
            <w:pPr>
              <w:pStyle w:val="5"/>
              <w:adjustRightInd w:val="0"/>
              <w:snapToGrid w:val="0"/>
              <w:spacing w:line="240" w:lineRule="auto"/>
              <w:ind w:firstLine="0"/>
              <w:jc w:val="center"/>
              <w:rPr>
                <w:sz w:val="21"/>
                <w:szCs w:val="21"/>
                <w:u w:val="single"/>
              </w:rPr>
            </w:pPr>
            <w:r>
              <w:rPr>
                <w:sz w:val="21"/>
                <w:szCs w:val="21"/>
                <w:u w:val="single"/>
              </w:rPr>
              <w:t>废水</w:t>
            </w:r>
          </w:p>
        </w:tc>
        <w:tc>
          <w:tcPr>
            <w:tcW w:w="710" w:type="pct"/>
            <w:vMerge w:val="restart"/>
            <w:shd w:val="clear" w:color="auto" w:fill="auto"/>
            <w:vAlign w:val="center"/>
          </w:tcPr>
          <w:p w14:paraId="0C00F91B">
            <w:pPr>
              <w:pStyle w:val="5"/>
              <w:adjustRightInd w:val="0"/>
              <w:snapToGrid w:val="0"/>
              <w:spacing w:line="240" w:lineRule="auto"/>
              <w:ind w:firstLine="0"/>
              <w:jc w:val="center"/>
              <w:rPr>
                <w:sz w:val="21"/>
                <w:szCs w:val="21"/>
                <w:u w:val="single"/>
              </w:rPr>
            </w:pPr>
            <w:r>
              <w:rPr>
                <w:sz w:val="21"/>
                <w:szCs w:val="21"/>
                <w:u w:val="single"/>
              </w:rPr>
              <w:t>生产废水</w:t>
            </w:r>
          </w:p>
        </w:tc>
        <w:tc>
          <w:tcPr>
            <w:tcW w:w="993" w:type="pct"/>
            <w:shd w:val="clear" w:color="auto" w:fill="auto"/>
            <w:vAlign w:val="center"/>
          </w:tcPr>
          <w:p w14:paraId="1C614452">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废水量</w:t>
            </w:r>
          </w:p>
        </w:tc>
        <w:tc>
          <w:tcPr>
            <w:tcW w:w="914" w:type="pct"/>
            <w:shd w:val="clear" w:color="auto" w:fill="auto"/>
            <w:noWrap/>
            <w:vAlign w:val="center"/>
          </w:tcPr>
          <w:p w14:paraId="5A86CA84">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144767.7</w:t>
            </w:r>
          </w:p>
        </w:tc>
        <w:tc>
          <w:tcPr>
            <w:tcW w:w="914" w:type="pct"/>
            <w:shd w:val="clear" w:color="auto" w:fill="auto"/>
            <w:noWrap/>
            <w:vAlign w:val="center"/>
          </w:tcPr>
          <w:p w14:paraId="001403CC">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26054.2</w:t>
            </w:r>
          </w:p>
        </w:tc>
        <w:tc>
          <w:tcPr>
            <w:tcW w:w="1042" w:type="pct"/>
            <w:shd w:val="clear" w:color="auto" w:fill="auto"/>
            <w:noWrap/>
            <w:vAlign w:val="center"/>
          </w:tcPr>
          <w:p w14:paraId="1AE2546C">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-118713.5</w:t>
            </w:r>
          </w:p>
        </w:tc>
      </w:tr>
      <w:tr w14:paraId="60AAD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1DD8F434">
            <w:pPr>
              <w:pStyle w:val="5"/>
              <w:adjustRightInd w:val="0"/>
              <w:snapToGrid w:val="0"/>
              <w:spacing w:line="240" w:lineRule="auto"/>
              <w:ind w:firstLine="0"/>
              <w:jc w:val="center"/>
              <w:rPr>
                <w:sz w:val="21"/>
                <w:szCs w:val="21"/>
                <w:u w:val="single"/>
              </w:rPr>
            </w:pPr>
          </w:p>
        </w:tc>
        <w:tc>
          <w:tcPr>
            <w:tcW w:w="710" w:type="pct"/>
            <w:vMerge w:val="continue"/>
            <w:shd w:val="clear" w:color="auto" w:fill="auto"/>
            <w:vAlign w:val="center"/>
          </w:tcPr>
          <w:p w14:paraId="271D3D0B">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27BB93C8">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硫酸盐</w:t>
            </w:r>
          </w:p>
        </w:tc>
        <w:tc>
          <w:tcPr>
            <w:tcW w:w="914" w:type="pct"/>
            <w:shd w:val="clear" w:color="auto" w:fill="auto"/>
            <w:noWrap/>
            <w:vAlign w:val="center"/>
          </w:tcPr>
          <w:p w14:paraId="62212FC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28.9535</w:t>
            </w:r>
          </w:p>
        </w:tc>
        <w:tc>
          <w:tcPr>
            <w:tcW w:w="914" w:type="pct"/>
            <w:shd w:val="clear" w:color="auto" w:fill="auto"/>
            <w:noWrap/>
            <w:vAlign w:val="center"/>
          </w:tcPr>
          <w:p w14:paraId="2E31DF9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90.3812</w:t>
            </w:r>
          </w:p>
        </w:tc>
        <w:tc>
          <w:tcPr>
            <w:tcW w:w="1042" w:type="pct"/>
            <w:shd w:val="clear" w:color="auto" w:fill="auto"/>
            <w:noWrap/>
            <w:vAlign w:val="center"/>
          </w:tcPr>
          <w:p w14:paraId="4A5CAECD">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+61.4277</w:t>
            </w:r>
          </w:p>
        </w:tc>
      </w:tr>
      <w:tr w14:paraId="2A2C3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1548FA6A">
            <w:pPr>
              <w:pStyle w:val="5"/>
              <w:adjustRightInd w:val="0"/>
              <w:snapToGrid w:val="0"/>
              <w:spacing w:line="240" w:lineRule="auto"/>
              <w:ind w:firstLine="0"/>
              <w:jc w:val="center"/>
              <w:rPr>
                <w:sz w:val="21"/>
                <w:szCs w:val="21"/>
                <w:u w:val="single"/>
              </w:rPr>
            </w:pPr>
          </w:p>
        </w:tc>
        <w:tc>
          <w:tcPr>
            <w:tcW w:w="710" w:type="pct"/>
            <w:vMerge w:val="continue"/>
            <w:shd w:val="clear" w:color="auto" w:fill="auto"/>
            <w:vAlign w:val="center"/>
          </w:tcPr>
          <w:p w14:paraId="2BBB79BE">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523A4191">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氯化物</w:t>
            </w:r>
          </w:p>
        </w:tc>
        <w:tc>
          <w:tcPr>
            <w:tcW w:w="914" w:type="pct"/>
            <w:shd w:val="clear" w:color="auto" w:fill="auto"/>
            <w:noWrap/>
            <w:vAlign w:val="center"/>
          </w:tcPr>
          <w:p w14:paraId="1FF245D3">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8.6861</w:t>
            </w:r>
          </w:p>
        </w:tc>
        <w:tc>
          <w:tcPr>
            <w:tcW w:w="914" w:type="pct"/>
            <w:shd w:val="clear" w:color="auto" w:fill="auto"/>
            <w:noWrap/>
            <w:vAlign w:val="center"/>
          </w:tcPr>
          <w:p w14:paraId="2C6D6394">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1.2819</w:t>
            </w:r>
          </w:p>
        </w:tc>
        <w:tc>
          <w:tcPr>
            <w:tcW w:w="1042" w:type="pct"/>
            <w:shd w:val="clear" w:color="auto" w:fill="auto"/>
            <w:noWrap/>
            <w:vAlign w:val="center"/>
          </w:tcPr>
          <w:p w14:paraId="7B91F9E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-7.4042</w:t>
            </w:r>
          </w:p>
        </w:tc>
      </w:tr>
      <w:tr w14:paraId="260B8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7DBED488">
            <w:pPr>
              <w:pStyle w:val="5"/>
              <w:adjustRightInd w:val="0"/>
              <w:snapToGrid w:val="0"/>
              <w:spacing w:line="240" w:lineRule="auto"/>
              <w:ind w:firstLine="0"/>
              <w:jc w:val="center"/>
              <w:rPr>
                <w:sz w:val="21"/>
                <w:szCs w:val="21"/>
                <w:u w:val="single"/>
              </w:rPr>
            </w:pPr>
          </w:p>
        </w:tc>
        <w:tc>
          <w:tcPr>
            <w:tcW w:w="710" w:type="pct"/>
            <w:vMerge w:val="continue"/>
            <w:shd w:val="clear" w:color="auto" w:fill="auto"/>
            <w:vAlign w:val="center"/>
          </w:tcPr>
          <w:p w14:paraId="1CEC6FBA">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3586F209">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全盐量</w:t>
            </w:r>
          </w:p>
        </w:tc>
        <w:tc>
          <w:tcPr>
            <w:tcW w:w="914" w:type="pct"/>
            <w:shd w:val="clear" w:color="auto" w:fill="auto"/>
            <w:noWrap/>
            <w:vAlign w:val="center"/>
          </w:tcPr>
          <w:p w14:paraId="15001758">
            <w:pPr>
              <w:adjustRightInd w:val="0"/>
              <w:snapToGrid w:val="0"/>
              <w:jc w:val="center"/>
              <w:rPr>
                <w:rFonts w:ascii="Arial" w:hAnsi="Arial" w:cs="Arial"/>
                <w:sz w:val="21"/>
                <w:szCs w:val="21"/>
                <w:u w:val="single"/>
              </w:rPr>
            </w:pPr>
            <w:r>
              <w:rPr>
                <w:rFonts w:hint="eastAsia" w:ascii="Arial" w:hAnsi="Arial" w:cs="Arial"/>
                <w:sz w:val="21"/>
                <w:szCs w:val="21"/>
                <w:u w:val="single"/>
              </w:rPr>
              <w:t>37.6396</w:t>
            </w:r>
          </w:p>
        </w:tc>
        <w:tc>
          <w:tcPr>
            <w:tcW w:w="914" w:type="pct"/>
            <w:shd w:val="clear" w:color="auto" w:fill="auto"/>
            <w:noWrap/>
            <w:vAlign w:val="center"/>
          </w:tcPr>
          <w:p w14:paraId="3F8C36CD">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91.6631</w:t>
            </w:r>
          </w:p>
        </w:tc>
        <w:tc>
          <w:tcPr>
            <w:tcW w:w="1042" w:type="pct"/>
            <w:shd w:val="clear" w:color="auto" w:fill="auto"/>
            <w:noWrap/>
            <w:vAlign w:val="center"/>
          </w:tcPr>
          <w:p w14:paraId="011F3A48">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+54.0235</w:t>
            </w:r>
          </w:p>
        </w:tc>
      </w:tr>
      <w:tr w14:paraId="081DE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24418F26">
            <w:pPr>
              <w:pStyle w:val="5"/>
              <w:adjustRightInd w:val="0"/>
              <w:snapToGrid w:val="0"/>
              <w:spacing w:line="240" w:lineRule="auto"/>
              <w:ind w:firstLine="0"/>
              <w:jc w:val="center"/>
              <w:rPr>
                <w:sz w:val="21"/>
                <w:szCs w:val="21"/>
                <w:u w:val="single"/>
              </w:rPr>
            </w:pPr>
          </w:p>
        </w:tc>
        <w:tc>
          <w:tcPr>
            <w:tcW w:w="710" w:type="pct"/>
            <w:vMerge w:val="continue"/>
            <w:shd w:val="clear" w:color="auto" w:fill="auto"/>
            <w:vAlign w:val="center"/>
          </w:tcPr>
          <w:p w14:paraId="021D63A3">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3C84103C">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COD</w:t>
            </w:r>
          </w:p>
        </w:tc>
        <w:tc>
          <w:tcPr>
            <w:tcW w:w="914" w:type="pct"/>
            <w:shd w:val="clear" w:color="auto" w:fill="auto"/>
            <w:noWrap/>
            <w:vAlign w:val="center"/>
          </w:tcPr>
          <w:p w14:paraId="316FAFD8">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914" w:type="pct"/>
            <w:shd w:val="clear" w:color="auto" w:fill="auto"/>
            <w:noWrap/>
            <w:vAlign w:val="center"/>
          </w:tcPr>
          <w:p w14:paraId="24B9C2B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0.1806</w:t>
            </w:r>
          </w:p>
        </w:tc>
        <w:tc>
          <w:tcPr>
            <w:tcW w:w="1042" w:type="pct"/>
            <w:shd w:val="clear" w:color="auto" w:fill="auto"/>
            <w:noWrap/>
            <w:vAlign w:val="center"/>
          </w:tcPr>
          <w:p w14:paraId="056ED63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+0.1806</w:t>
            </w:r>
          </w:p>
        </w:tc>
      </w:tr>
      <w:tr w14:paraId="2075B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7F78E4D2">
            <w:pPr>
              <w:pStyle w:val="5"/>
              <w:adjustRightInd w:val="0"/>
              <w:snapToGrid w:val="0"/>
              <w:spacing w:line="240" w:lineRule="auto"/>
              <w:ind w:firstLine="0"/>
              <w:jc w:val="center"/>
              <w:rPr>
                <w:sz w:val="21"/>
                <w:szCs w:val="21"/>
                <w:u w:val="single"/>
              </w:rPr>
            </w:pPr>
          </w:p>
        </w:tc>
        <w:tc>
          <w:tcPr>
            <w:tcW w:w="710" w:type="pct"/>
            <w:vMerge w:val="continue"/>
            <w:shd w:val="clear" w:color="auto" w:fill="auto"/>
            <w:vAlign w:val="center"/>
          </w:tcPr>
          <w:p w14:paraId="5BEF53C2">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076D22E8">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氨氮</w:t>
            </w:r>
          </w:p>
        </w:tc>
        <w:tc>
          <w:tcPr>
            <w:tcW w:w="914" w:type="pct"/>
            <w:shd w:val="clear" w:color="auto" w:fill="auto"/>
            <w:noWrap/>
            <w:vAlign w:val="center"/>
          </w:tcPr>
          <w:p w14:paraId="00E0C134">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914" w:type="pct"/>
            <w:shd w:val="clear" w:color="auto" w:fill="auto"/>
            <w:noWrap/>
            <w:vAlign w:val="center"/>
          </w:tcPr>
          <w:p w14:paraId="49608DB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0.0249</w:t>
            </w:r>
          </w:p>
        </w:tc>
        <w:tc>
          <w:tcPr>
            <w:tcW w:w="1042" w:type="pct"/>
            <w:shd w:val="clear" w:color="auto" w:fill="auto"/>
            <w:noWrap/>
            <w:vAlign w:val="center"/>
          </w:tcPr>
          <w:p w14:paraId="182A0E5D">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+0.0249</w:t>
            </w:r>
          </w:p>
        </w:tc>
      </w:tr>
      <w:tr w14:paraId="1C9FF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5E627BBF">
            <w:pPr>
              <w:pStyle w:val="5"/>
              <w:adjustRightInd w:val="0"/>
              <w:snapToGrid w:val="0"/>
              <w:spacing w:line="240" w:lineRule="auto"/>
              <w:ind w:firstLine="0"/>
              <w:jc w:val="center"/>
              <w:rPr>
                <w:sz w:val="21"/>
                <w:szCs w:val="21"/>
                <w:u w:val="single"/>
              </w:rPr>
            </w:pPr>
          </w:p>
        </w:tc>
        <w:tc>
          <w:tcPr>
            <w:tcW w:w="710" w:type="pct"/>
            <w:vMerge w:val="continue"/>
            <w:shd w:val="clear" w:color="auto" w:fill="auto"/>
            <w:vAlign w:val="center"/>
          </w:tcPr>
          <w:p w14:paraId="0332248F">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35B13114">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pacing w:val="10"/>
                <w:sz w:val="21"/>
                <w:szCs w:val="21"/>
                <w:u w:val="single"/>
              </w:rPr>
              <w:t>钴</w:t>
            </w:r>
          </w:p>
        </w:tc>
        <w:tc>
          <w:tcPr>
            <w:tcW w:w="914" w:type="pct"/>
            <w:shd w:val="clear" w:color="auto" w:fill="auto"/>
            <w:noWrap/>
            <w:vAlign w:val="center"/>
          </w:tcPr>
          <w:p w14:paraId="69B4AFC5">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914" w:type="pct"/>
            <w:shd w:val="clear" w:color="auto" w:fill="auto"/>
            <w:noWrap/>
            <w:vAlign w:val="center"/>
          </w:tcPr>
          <w:p w14:paraId="53C811CD">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0.0006</w:t>
            </w:r>
          </w:p>
        </w:tc>
        <w:tc>
          <w:tcPr>
            <w:tcW w:w="1042" w:type="pct"/>
            <w:shd w:val="clear" w:color="auto" w:fill="auto"/>
            <w:noWrap/>
            <w:vAlign w:val="center"/>
          </w:tcPr>
          <w:p w14:paraId="3D5FBB44">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+0.0006</w:t>
            </w:r>
          </w:p>
        </w:tc>
      </w:tr>
      <w:tr w14:paraId="5FE51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40157C97">
            <w:pPr>
              <w:pStyle w:val="5"/>
              <w:adjustRightInd w:val="0"/>
              <w:snapToGrid w:val="0"/>
              <w:spacing w:line="240" w:lineRule="auto"/>
              <w:ind w:firstLine="0"/>
              <w:jc w:val="center"/>
              <w:rPr>
                <w:sz w:val="21"/>
                <w:szCs w:val="21"/>
                <w:u w:val="single"/>
              </w:rPr>
            </w:pPr>
          </w:p>
        </w:tc>
        <w:tc>
          <w:tcPr>
            <w:tcW w:w="710" w:type="pct"/>
            <w:vMerge w:val="restart"/>
            <w:shd w:val="clear" w:color="auto" w:fill="auto"/>
            <w:vAlign w:val="center"/>
          </w:tcPr>
          <w:p w14:paraId="13598D37">
            <w:pPr>
              <w:pStyle w:val="5"/>
              <w:adjustRightInd w:val="0"/>
              <w:snapToGrid w:val="0"/>
              <w:spacing w:line="240" w:lineRule="auto"/>
              <w:ind w:firstLine="0"/>
              <w:jc w:val="center"/>
              <w:rPr>
                <w:sz w:val="21"/>
                <w:szCs w:val="21"/>
                <w:u w:val="single"/>
              </w:rPr>
            </w:pPr>
            <w:r>
              <w:rPr>
                <w:sz w:val="21"/>
                <w:szCs w:val="21"/>
                <w:u w:val="single"/>
              </w:rPr>
              <w:t>生活污水</w:t>
            </w:r>
          </w:p>
        </w:tc>
        <w:tc>
          <w:tcPr>
            <w:tcW w:w="993" w:type="pct"/>
            <w:shd w:val="clear" w:color="auto" w:fill="auto"/>
            <w:vAlign w:val="center"/>
          </w:tcPr>
          <w:p w14:paraId="6D8B4115">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废水量</w:t>
            </w:r>
          </w:p>
        </w:tc>
        <w:tc>
          <w:tcPr>
            <w:tcW w:w="914" w:type="pct"/>
            <w:shd w:val="clear" w:color="auto" w:fill="auto"/>
            <w:noWrap/>
            <w:vAlign w:val="center"/>
          </w:tcPr>
          <w:p w14:paraId="124CB51F">
            <w:pPr>
              <w:pStyle w:val="5"/>
              <w:adjustRightInd w:val="0"/>
              <w:snapToGrid w:val="0"/>
              <w:spacing w:line="240" w:lineRule="auto"/>
              <w:ind w:firstLine="0"/>
              <w:jc w:val="center"/>
              <w:rPr>
                <w:sz w:val="21"/>
                <w:u w:val="single"/>
              </w:rPr>
            </w:pPr>
            <w:r>
              <w:rPr>
                <w:rFonts w:hint="eastAsia"/>
                <w:sz w:val="21"/>
                <w:u w:val="single"/>
              </w:rPr>
              <w:t>1584</w:t>
            </w:r>
          </w:p>
        </w:tc>
        <w:tc>
          <w:tcPr>
            <w:tcW w:w="914" w:type="pct"/>
            <w:shd w:val="clear" w:color="auto" w:fill="auto"/>
            <w:noWrap/>
            <w:vAlign w:val="center"/>
          </w:tcPr>
          <w:p w14:paraId="23CD2EB8">
            <w:pPr>
              <w:pStyle w:val="5"/>
              <w:adjustRightInd w:val="0"/>
              <w:snapToGrid w:val="0"/>
              <w:spacing w:line="240" w:lineRule="auto"/>
              <w:ind w:firstLine="0"/>
              <w:jc w:val="center"/>
              <w:rPr>
                <w:sz w:val="21"/>
                <w:u w:val="single"/>
              </w:rPr>
            </w:pPr>
            <w:r>
              <w:rPr>
                <w:rFonts w:hint="eastAsia"/>
                <w:sz w:val="21"/>
                <w:u w:val="single"/>
              </w:rPr>
              <w:t>1584</w:t>
            </w:r>
          </w:p>
        </w:tc>
        <w:tc>
          <w:tcPr>
            <w:tcW w:w="1042" w:type="pct"/>
            <w:shd w:val="clear" w:color="auto" w:fill="auto"/>
            <w:noWrap/>
            <w:vAlign w:val="center"/>
          </w:tcPr>
          <w:p w14:paraId="11861520">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r>
      <w:tr w14:paraId="30BFE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73891D10">
            <w:pPr>
              <w:pStyle w:val="5"/>
              <w:adjustRightInd w:val="0"/>
              <w:snapToGrid w:val="0"/>
              <w:spacing w:line="240" w:lineRule="auto"/>
              <w:ind w:firstLine="0"/>
              <w:jc w:val="center"/>
              <w:rPr>
                <w:sz w:val="21"/>
                <w:szCs w:val="21"/>
                <w:u w:val="single"/>
              </w:rPr>
            </w:pPr>
          </w:p>
        </w:tc>
        <w:tc>
          <w:tcPr>
            <w:tcW w:w="710" w:type="pct"/>
            <w:vMerge w:val="continue"/>
            <w:shd w:val="clear" w:color="auto" w:fill="auto"/>
            <w:vAlign w:val="center"/>
          </w:tcPr>
          <w:p w14:paraId="6E2CEC51">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4C72C2DB">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COD</w:t>
            </w:r>
          </w:p>
        </w:tc>
        <w:tc>
          <w:tcPr>
            <w:tcW w:w="914" w:type="pct"/>
            <w:shd w:val="clear" w:color="auto" w:fill="auto"/>
            <w:noWrap/>
            <w:vAlign w:val="center"/>
          </w:tcPr>
          <w:p w14:paraId="69AA26E5">
            <w:pPr>
              <w:pStyle w:val="5"/>
              <w:adjustRightInd w:val="0"/>
              <w:snapToGrid w:val="0"/>
              <w:spacing w:line="240" w:lineRule="auto"/>
              <w:ind w:firstLine="0"/>
              <w:jc w:val="center"/>
              <w:rPr>
                <w:sz w:val="21"/>
                <w:u w:val="single"/>
              </w:rPr>
            </w:pPr>
            <w:r>
              <w:rPr>
                <w:rFonts w:hint="eastAsia"/>
                <w:sz w:val="21"/>
                <w:u w:val="single"/>
              </w:rPr>
              <w:t>0.317</w:t>
            </w:r>
          </w:p>
        </w:tc>
        <w:tc>
          <w:tcPr>
            <w:tcW w:w="914" w:type="pct"/>
            <w:shd w:val="clear" w:color="auto" w:fill="auto"/>
            <w:noWrap/>
            <w:vAlign w:val="center"/>
          </w:tcPr>
          <w:p w14:paraId="3FA30924">
            <w:pPr>
              <w:pStyle w:val="5"/>
              <w:adjustRightInd w:val="0"/>
              <w:snapToGrid w:val="0"/>
              <w:spacing w:line="240" w:lineRule="auto"/>
              <w:ind w:firstLine="0"/>
              <w:jc w:val="center"/>
              <w:rPr>
                <w:sz w:val="21"/>
                <w:u w:val="single"/>
              </w:rPr>
            </w:pPr>
            <w:r>
              <w:rPr>
                <w:rFonts w:hint="eastAsia"/>
                <w:sz w:val="21"/>
                <w:u w:val="single"/>
              </w:rPr>
              <w:t>0.317</w:t>
            </w:r>
          </w:p>
        </w:tc>
        <w:tc>
          <w:tcPr>
            <w:tcW w:w="1042" w:type="pct"/>
            <w:shd w:val="clear" w:color="auto" w:fill="auto"/>
            <w:noWrap/>
            <w:vAlign w:val="center"/>
          </w:tcPr>
          <w:p w14:paraId="6CA27DC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r>
      <w:tr w14:paraId="63824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4D99B45A">
            <w:pPr>
              <w:pStyle w:val="5"/>
              <w:adjustRightInd w:val="0"/>
              <w:snapToGrid w:val="0"/>
              <w:spacing w:line="240" w:lineRule="auto"/>
              <w:ind w:firstLine="0"/>
              <w:jc w:val="center"/>
              <w:rPr>
                <w:sz w:val="21"/>
                <w:szCs w:val="21"/>
                <w:u w:val="single"/>
              </w:rPr>
            </w:pPr>
          </w:p>
        </w:tc>
        <w:tc>
          <w:tcPr>
            <w:tcW w:w="710" w:type="pct"/>
            <w:vMerge w:val="continue"/>
            <w:shd w:val="clear" w:color="auto" w:fill="auto"/>
            <w:vAlign w:val="center"/>
          </w:tcPr>
          <w:p w14:paraId="1CA8B691">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0F70924D">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BOD</w:t>
            </w:r>
          </w:p>
        </w:tc>
        <w:tc>
          <w:tcPr>
            <w:tcW w:w="914" w:type="pct"/>
            <w:shd w:val="clear" w:color="auto" w:fill="auto"/>
            <w:noWrap/>
            <w:vAlign w:val="center"/>
          </w:tcPr>
          <w:p w14:paraId="6CA93B3C">
            <w:pPr>
              <w:pStyle w:val="5"/>
              <w:adjustRightInd w:val="0"/>
              <w:snapToGrid w:val="0"/>
              <w:spacing w:line="240" w:lineRule="auto"/>
              <w:ind w:firstLine="0"/>
              <w:jc w:val="center"/>
              <w:rPr>
                <w:sz w:val="21"/>
                <w:u w:val="single"/>
              </w:rPr>
            </w:pPr>
            <w:r>
              <w:rPr>
                <w:rFonts w:hint="eastAsia"/>
                <w:sz w:val="21"/>
                <w:u w:val="single"/>
              </w:rPr>
              <w:t>0.127</w:t>
            </w:r>
          </w:p>
        </w:tc>
        <w:tc>
          <w:tcPr>
            <w:tcW w:w="914" w:type="pct"/>
            <w:shd w:val="clear" w:color="auto" w:fill="auto"/>
            <w:noWrap/>
            <w:vAlign w:val="center"/>
          </w:tcPr>
          <w:p w14:paraId="33524D88">
            <w:pPr>
              <w:pStyle w:val="5"/>
              <w:adjustRightInd w:val="0"/>
              <w:snapToGrid w:val="0"/>
              <w:spacing w:line="240" w:lineRule="auto"/>
              <w:ind w:firstLine="0"/>
              <w:jc w:val="center"/>
              <w:rPr>
                <w:sz w:val="21"/>
                <w:u w:val="single"/>
              </w:rPr>
            </w:pPr>
            <w:r>
              <w:rPr>
                <w:rFonts w:hint="eastAsia"/>
                <w:sz w:val="21"/>
                <w:u w:val="single"/>
              </w:rPr>
              <w:t>0.127</w:t>
            </w:r>
          </w:p>
        </w:tc>
        <w:tc>
          <w:tcPr>
            <w:tcW w:w="1042" w:type="pct"/>
            <w:shd w:val="clear" w:color="auto" w:fill="auto"/>
            <w:noWrap/>
            <w:vAlign w:val="center"/>
          </w:tcPr>
          <w:p w14:paraId="77752110">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r>
      <w:tr w14:paraId="5A4CC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1804317B">
            <w:pPr>
              <w:pStyle w:val="5"/>
              <w:adjustRightInd w:val="0"/>
              <w:snapToGrid w:val="0"/>
              <w:spacing w:line="240" w:lineRule="auto"/>
              <w:ind w:firstLine="0"/>
              <w:jc w:val="center"/>
              <w:rPr>
                <w:sz w:val="21"/>
                <w:szCs w:val="21"/>
                <w:u w:val="single"/>
              </w:rPr>
            </w:pPr>
          </w:p>
        </w:tc>
        <w:tc>
          <w:tcPr>
            <w:tcW w:w="710" w:type="pct"/>
            <w:vMerge w:val="continue"/>
            <w:shd w:val="clear" w:color="auto" w:fill="auto"/>
            <w:vAlign w:val="center"/>
          </w:tcPr>
          <w:p w14:paraId="73EB04A9">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1A1EC474">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NH</w:t>
            </w:r>
            <w:r>
              <w:rPr>
                <w:rFonts w:ascii="Arial" w:hAnsi="Arial" w:eastAsia="宋体" w:cs="Arial"/>
                <w:sz w:val="21"/>
                <w:szCs w:val="21"/>
                <w:u w:val="single"/>
                <w:vertAlign w:val="subscript"/>
              </w:rPr>
              <w:t>3</w:t>
            </w:r>
            <w:r>
              <w:rPr>
                <w:rFonts w:ascii="Arial" w:hAnsi="Arial" w:eastAsia="宋体" w:cs="Arial"/>
                <w:sz w:val="21"/>
                <w:szCs w:val="21"/>
                <w:u w:val="single"/>
              </w:rPr>
              <w:t>-N</w:t>
            </w:r>
          </w:p>
        </w:tc>
        <w:tc>
          <w:tcPr>
            <w:tcW w:w="914" w:type="pct"/>
            <w:shd w:val="clear" w:color="auto" w:fill="auto"/>
            <w:noWrap/>
            <w:vAlign w:val="center"/>
          </w:tcPr>
          <w:p w14:paraId="29634FC3">
            <w:pPr>
              <w:pStyle w:val="5"/>
              <w:adjustRightInd w:val="0"/>
              <w:snapToGrid w:val="0"/>
              <w:spacing w:line="240" w:lineRule="auto"/>
              <w:ind w:firstLine="0"/>
              <w:jc w:val="center"/>
              <w:rPr>
                <w:sz w:val="21"/>
                <w:u w:val="single"/>
              </w:rPr>
            </w:pPr>
            <w:r>
              <w:rPr>
                <w:rFonts w:hint="eastAsia"/>
                <w:sz w:val="21"/>
                <w:u w:val="single"/>
              </w:rPr>
              <w:t>0.045</w:t>
            </w:r>
          </w:p>
        </w:tc>
        <w:tc>
          <w:tcPr>
            <w:tcW w:w="914" w:type="pct"/>
            <w:shd w:val="clear" w:color="auto" w:fill="auto"/>
            <w:noWrap/>
            <w:vAlign w:val="center"/>
          </w:tcPr>
          <w:p w14:paraId="61F7B977">
            <w:pPr>
              <w:pStyle w:val="5"/>
              <w:adjustRightInd w:val="0"/>
              <w:snapToGrid w:val="0"/>
              <w:spacing w:line="240" w:lineRule="auto"/>
              <w:ind w:firstLine="0"/>
              <w:jc w:val="center"/>
              <w:rPr>
                <w:sz w:val="21"/>
                <w:u w:val="single"/>
              </w:rPr>
            </w:pPr>
            <w:r>
              <w:rPr>
                <w:rFonts w:hint="eastAsia"/>
                <w:sz w:val="21"/>
                <w:u w:val="single"/>
              </w:rPr>
              <w:t>0.045</w:t>
            </w:r>
          </w:p>
        </w:tc>
        <w:tc>
          <w:tcPr>
            <w:tcW w:w="1042" w:type="pct"/>
            <w:shd w:val="clear" w:color="auto" w:fill="auto"/>
            <w:noWrap/>
            <w:vAlign w:val="center"/>
          </w:tcPr>
          <w:p w14:paraId="7792EAF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w:t>
            </w:r>
          </w:p>
        </w:tc>
      </w:tr>
      <w:tr w14:paraId="61138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6" w:type="pct"/>
            <w:gridSpan w:val="2"/>
            <w:vMerge w:val="restart"/>
            <w:shd w:val="clear" w:color="auto" w:fill="auto"/>
            <w:vAlign w:val="center"/>
          </w:tcPr>
          <w:p w14:paraId="4F46F719">
            <w:pPr>
              <w:pStyle w:val="5"/>
              <w:adjustRightInd w:val="0"/>
              <w:snapToGrid w:val="0"/>
              <w:spacing w:line="240" w:lineRule="auto"/>
              <w:ind w:firstLine="0"/>
              <w:jc w:val="center"/>
              <w:rPr>
                <w:sz w:val="21"/>
                <w:szCs w:val="21"/>
                <w:u w:val="single"/>
              </w:rPr>
            </w:pPr>
            <w:r>
              <w:rPr>
                <w:sz w:val="21"/>
                <w:szCs w:val="21"/>
                <w:u w:val="single"/>
              </w:rPr>
              <w:t>固废</w:t>
            </w:r>
          </w:p>
        </w:tc>
        <w:tc>
          <w:tcPr>
            <w:tcW w:w="993" w:type="pct"/>
            <w:shd w:val="clear" w:color="auto" w:fill="auto"/>
            <w:vAlign w:val="center"/>
          </w:tcPr>
          <w:p w14:paraId="70825258">
            <w:pPr>
              <w:pStyle w:val="5"/>
              <w:adjustRightInd w:val="0"/>
              <w:snapToGrid w:val="0"/>
              <w:spacing w:line="240" w:lineRule="auto"/>
              <w:ind w:firstLine="0"/>
              <w:jc w:val="center"/>
              <w:rPr>
                <w:sz w:val="21"/>
                <w:szCs w:val="21"/>
                <w:u w:val="single"/>
              </w:rPr>
            </w:pPr>
            <w:r>
              <w:rPr>
                <w:sz w:val="21"/>
                <w:szCs w:val="21"/>
                <w:u w:val="single"/>
              </w:rPr>
              <w:t>一般工业固废</w:t>
            </w:r>
          </w:p>
        </w:tc>
        <w:tc>
          <w:tcPr>
            <w:tcW w:w="914" w:type="pct"/>
            <w:shd w:val="clear" w:color="auto" w:fill="auto"/>
            <w:noWrap/>
            <w:vAlign w:val="center"/>
          </w:tcPr>
          <w:p w14:paraId="529DF91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c>
          <w:tcPr>
            <w:tcW w:w="914" w:type="pct"/>
            <w:shd w:val="clear" w:color="auto" w:fill="auto"/>
            <w:noWrap/>
            <w:vAlign w:val="center"/>
          </w:tcPr>
          <w:p w14:paraId="116AFD8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29.74</w:t>
            </w:r>
          </w:p>
        </w:tc>
        <w:tc>
          <w:tcPr>
            <w:tcW w:w="1042" w:type="pct"/>
            <w:shd w:val="clear" w:color="auto" w:fill="auto"/>
            <w:noWrap/>
            <w:vAlign w:val="center"/>
          </w:tcPr>
          <w:p w14:paraId="508D8AD2">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+29.74</w:t>
            </w:r>
          </w:p>
        </w:tc>
      </w:tr>
      <w:tr w14:paraId="21075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6" w:type="pct"/>
            <w:gridSpan w:val="2"/>
            <w:vMerge w:val="continue"/>
            <w:shd w:val="clear" w:color="auto" w:fill="auto"/>
            <w:vAlign w:val="center"/>
          </w:tcPr>
          <w:p w14:paraId="44F5C9A8">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24460E6B">
            <w:pPr>
              <w:pStyle w:val="5"/>
              <w:adjustRightInd w:val="0"/>
              <w:snapToGrid w:val="0"/>
              <w:spacing w:line="240" w:lineRule="auto"/>
              <w:ind w:firstLine="0"/>
              <w:jc w:val="center"/>
              <w:rPr>
                <w:sz w:val="21"/>
                <w:szCs w:val="21"/>
                <w:u w:val="single"/>
              </w:rPr>
            </w:pPr>
            <w:r>
              <w:rPr>
                <w:sz w:val="21"/>
                <w:szCs w:val="21"/>
                <w:u w:val="single"/>
              </w:rPr>
              <w:t>危险废物</w:t>
            </w:r>
          </w:p>
        </w:tc>
        <w:tc>
          <w:tcPr>
            <w:tcW w:w="914" w:type="pct"/>
            <w:shd w:val="clear" w:color="auto" w:fill="auto"/>
            <w:noWrap/>
            <w:vAlign w:val="center"/>
          </w:tcPr>
          <w:p w14:paraId="2EA3F74A">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60</w:t>
            </w:r>
          </w:p>
        </w:tc>
        <w:tc>
          <w:tcPr>
            <w:tcW w:w="914" w:type="pct"/>
            <w:shd w:val="clear" w:color="auto" w:fill="auto"/>
            <w:noWrap/>
            <w:vAlign w:val="center"/>
          </w:tcPr>
          <w:p w14:paraId="6352923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0.5</w:t>
            </w:r>
          </w:p>
        </w:tc>
        <w:tc>
          <w:tcPr>
            <w:tcW w:w="1042" w:type="pct"/>
            <w:shd w:val="clear" w:color="auto" w:fill="auto"/>
            <w:noWrap/>
            <w:vAlign w:val="center"/>
          </w:tcPr>
          <w:p w14:paraId="71C155D9">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-59.5</w:t>
            </w:r>
          </w:p>
        </w:tc>
      </w:tr>
      <w:tr w14:paraId="2D48A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6" w:type="pct"/>
            <w:gridSpan w:val="2"/>
            <w:vMerge w:val="continue"/>
            <w:shd w:val="clear" w:color="auto" w:fill="auto"/>
            <w:vAlign w:val="center"/>
          </w:tcPr>
          <w:p w14:paraId="31139959">
            <w:pPr>
              <w:pStyle w:val="5"/>
              <w:adjustRightInd w:val="0"/>
              <w:snapToGrid w:val="0"/>
              <w:spacing w:line="240" w:lineRule="auto"/>
              <w:ind w:firstLine="0"/>
              <w:jc w:val="center"/>
              <w:rPr>
                <w:sz w:val="21"/>
                <w:szCs w:val="21"/>
                <w:u w:val="single"/>
              </w:rPr>
            </w:pPr>
          </w:p>
        </w:tc>
        <w:tc>
          <w:tcPr>
            <w:tcW w:w="993" w:type="pct"/>
            <w:shd w:val="clear" w:color="auto" w:fill="auto"/>
            <w:vAlign w:val="center"/>
          </w:tcPr>
          <w:p w14:paraId="57EEC625">
            <w:pPr>
              <w:pStyle w:val="5"/>
              <w:adjustRightInd w:val="0"/>
              <w:snapToGrid w:val="0"/>
              <w:spacing w:line="240" w:lineRule="auto"/>
              <w:ind w:firstLine="0"/>
              <w:jc w:val="center"/>
              <w:rPr>
                <w:sz w:val="21"/>
                <w:szCs w:val="21"/>
                <w:u w:val="single"/>
              </w:rPr>
            </w:pPr>
            <w:r>
              <w:rPr>
                <w:sz w:val="21"/>
                <w:szCs w:val="21"/>
                <w:u w:val="single"/>
              </w:rPr>
              <w:t>生活垃圾</w:t>
            </w:r>
          </w:p>
        </w:tc>
        <w:tc>
          <w:tcPr>
            <w:tcW w:w="914" w:type="pct"/>
            <w:shd w:val="clear" w:color="auto" w:fill="auto"/>
            <w:noWrap/>
            <w:vAlign w:val="center"/>
          </w:tcPr>
          <w:p w14:paraId="7E3458F9">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10</w:t>
            </w:r>
          </w:p>
        </w:tc>
        <w:tc>
          <w:tcPr>
            <w:tcW w:w="914" w:type="pct"/>
            <w:shd w:val="clear" w:color="auto" w:fill="auto"/>
            <w:noWrap/>
            <w:vAlign w:val="center"/>
          </w:tcPr>
          <w:p w14:paraId="39463900">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10</w:t>
            </w:r>
          </w:p>
        </w:tc>
        <w:tc>
          <w:tcPr>
            <w:tcW w:w="1042" w:type="pct"/>
            <w:shd w:val="clear" w:color="auto" w:fill="auto"/>
            <w:noWrap/>
            <w:vAlign w:val="center"/>
          </w:tcPr>
          <w:p w14:paraId="5605883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w:t>
            </w:r>
          </w:p>
        </w:tc>
      </w:tr>
    </w:tbl>
    <w:p w14:paraId="57DB084E">
      <w:pPr>
        <w:pStyle w:val="4"/>
        <w:numPr>
          <w:ilvl w:val="1"/>
          <w:numId w:val="11"/>
        </w:numPr>
        <w:tabs>
          <w:tab w:val="left" w:pos="3217"/>
        </w:tabs>
        <w:spacing w:before="214" w:beforeLines="50" w:after="214" w:afterLines="50" w:line="500" w:lineRule="exact"/>
        <w:ind w:left="567"/>
        <w:rPr>
          <w:rFonts w:ascii="Arial" w:eastAsia="宋体" w:cs="Arial"/>
          <w:b/>
          <w:u w:val="single"/>
        </w:rPr>
      </w:pPr>
      <w:bookmarkStart w:id="271" w:name="_Toc185950219"/>
      <w:r>
        <w:rPr>
          <w:rFonts w:hint="eastAsia" w:ascii="Arial" w:eastAsia="宋体" w:cs="Arial"/>
          <w:b/>
          <w:u w:val="single"/>
        </w:rPr>
        <w:t>全厂污染源</w:t>
      </w:r>
      <w:r>
        <w:rPr>
          <w:rFonts w:ascii="Arial" w:eastAsia="宋体" w:cs="Arial"/>
          <w:b/>
          <w:u w:val="single"/>
        </w:rPr>
        <w:t>汇总</w:t>
      </w:r>
      <w:bookmarkEnd w:id="271"/>
    </w:p>
    <w:p w14:paraId="08DA6BF6">
      <w:pPr>
        <w:pStyle w:val="5"/>
        <w:rPr>
          <w:u w:val="single"/>
        </w:rPr>
      </w:pPr>
      <w:r>
        <w:rPr>
          <w:rFonts w:hint="eastAsia"/>
          <w:u w:val="single"/>
        </w:rPr>
        <w:t>本项目实施后，二阶段的镍豆镍粉生产线将被羟基钴生产线替代，全厂“以新带老”削减量为原镍豆镍粉生产线排放的污染源。全厂“三本账”见表2-79。</w:t>
      </w:r>
    </w:p>
    <w:p w14:paraId="3E6C64C1">
      <w:pPr>
        <w:pStyle w:val="5"/>
        <w:keepNext/>
        <w:numPr>
          <w:ilvl w:val="0"/>
          <w:numId w:val="12"/>
        </w:numPr>
        <w:spacing w:line="480" w:lineRule="exact"/>
        <w:ind w:left="0" w:firstLine="0"/>
        <w:jc w:val="center"/>
        <w:outlineLvl w:val="4"/>
        <w:rPr>
          <w:b/>
          <w:u w:val="single"/>
        </w:rPr>
      </w:pPr>
      <w:r>
        <w:rPr>
          <w:rFonts w:hint="eastAsia"/>
          <w:b/>
          <w:u w:val="single"/>
        </w:rPr>
        <w:t>全厂</w:t>
      </w:r>
      <w:r>
        <w:rPr>
          <w:b/>
          <w:u w:val="single"/>
        </w:rPr>
        <w:t>污染源汇总表（t/a）</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02"/>
        <w:gridCol w:w="1812"/>
        <w:gridCol w:w="1457"/>
        <w:gridCol w:w="1001"/>
        <w:gridCol w:w="1152"/>
        <w:gridCol w:w="1457"/>
        <w:gridCol w:w="1101"/>
      </w:tblGrid>
      <w:tr w14:paraId="60244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restart"/>
            <w:vAlign w:val="center"/>
          </w:tcPr>
          <w:p w14:paraId="5F621647">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项目</w:t>
            </w:r>
          </w:p>
        </w:tc>
        <w:tc>
          <w:tcPr>
            <w:tcW w:w="998" w:type="pct"/>
            <w:vMerge w:val="restart"/>
            <w:vAlign w:val="center"/>
          </w:tcPr>
          <w:p w14:paraId="50FD9DA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污染物名称</w:t>
            </w:r>
          </w:p>
        </w:tc>
        <w:tc>
          <w:tcPr>
            <w:tcW w:w="802" w:type="pct"/>
            <w:vMerge w:val="restart"/>
            <w:vAlign w:val="center"/>
          </w:tcPr>
          <w:p w14:paraId="2C95CCD0">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现有工程</w:t>
            </w:r>
          </w:p>
          <w:p w14:paraId="09DF036F">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排放量</w:t>
            </w:r>
          </w:p>
        </w:tc>
        <w:tc>
          <w:tcPr>
            <w:tcW w:w="551" w:type="pct"/>
            <w:vMerge w:val="restart"/>
            <w:vAlign w:val="center"/>
          </w:tcPr>
          <w:p w14:paraId="4B9371D2">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本项目</w:t>
            </w:r>
          </w:p>
          <w:p w14:paraId="72825D7A">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排放量</w:t>
            </w:r>
          </w:p>
        </w:tc>
        <w:tc>
          <w:tcPr>
            <w:tcW w:w="634" w:type="pct"/>
            <w:vMerge w:val="restart"/>
            <w:vAlign w:val="center"/>
          </w:tcPr>
          <w:p w14:paraId="0E490982">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以新带老</w:t>
            </w:r>
          </w:p>
          <w:p w14:paraId="22FE8131">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削减量</w:t>
            </w:r>
          </w:p>
        </w:tc>
        <w:tc>
          <w:tcPr>
            <w:tcW w:w="802" w:type="pct"/>
            <w:vMerge w:val="restart"/>
            <w:vAlign w:val="center"/>
          </w:tcPr>
          <w:p w14:paraId="18AEFAC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全厂</w:t>
            </w:r>
          </w:p>
          <w:p w14:paraId="0BD7BD8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排放量</w:t>
            </w:r>
          </w:p>
        </w:tc>
        <w:tc>
          <w:tcPr>
            <w:tcW w:w="606" w:type="pct"/>
            <w:vMerge w:val="restart"/>
            <w:vAlign w:val="center"/>
          </w:tcPr>
          <w:p w14:paraId="6E8E829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全厂排放</w:t>
            </w:r>
          </w:p>
          <w:p w14:paraId="6C359F11">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增减量</w:t>
            </w:r>
          </w:p>
        </w:tc>
      </w:tr>
      <w:tr w14:paraId="42743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6BCC9092">
            <w:pPr>
              <w:adjustRightInd w:val="0"/>
              <w:snapToGrid w:val="0"/>
              <w:jc w:val="center"/>
              <w:rPr>
                <w:rFonts w:ascii="Arial" w:hAnsi="Arial" w:cs="Arial" w:eastAsiaTheme="minorEastAsia"/>
                <w:sz w:val="21"/>
                <w:szCs w:val="21"/>
                <w:u w:val="single"/>
              </w:rPr>
            </w:pPr>
          </w:p>
        </w:tc>
        <w:tc>
          <w:tcPr>
            <w:tcW w:w="998" w:type="pct"/>
            <w:vMerge w:val="continue"/>
            <w:vAlign w:val="center"/>
          </w:tcPr>
          <w:p w14:paraId="21D31718">
            <w:pPr>
              <w:adjustRightInd w:val="0"/>
              <w:snapToGrid w:val="0"/>
              <w:jc w:val="center"/>
              <w:rPr>
                <w:rFonts w:ascii="Arial" w:hAnsi="Arial" w:cs="Arial" w:eastAsiaTheme="minorEastAsia"/>
                <w:sz w:val="21"/>
                <w:szCs w:val="21"/>
                <w:u w:val="single"/>
              </w:rPr>
            </w:pPr>
          </w:p>
        </w:tc>
        <w:tc>
          <w:tcPr>
            <w:tcW w:w="802" w:type="pct"/>
            <w:vMerge w:val="continue"/>
            <w:vAlign w:val="center"/>
          </w:tcPr>
          <w:p w14:paraId="3A29B67B">
            <w:pPr>
              <w:adjustRightInd w:val="0"/>
              <w:snapToGrid w:val="0"/>
              <w:jc w:val="center"/>
              <w:rPr>
                <w:rFonts w:ascii="Arial" w:hAnsi="Arial" w:cs="Arial" w:eastAsiaTheme="minorEastAsia"/>
                <w:sz w:val="21"/>
                <w:szCs w:val="21"/>
                <w:u w:val="single"/>
              </w:rPr>
            </w:pPr>
          </w:p>
        </w:tc>
        <w:tc>
          <w:tcPr>
            <w:tcW w:w="551" w:type="pct"/>
            <w:vMerge w:val="continue"/>
            <w:shd w:val="clear" w:color="auto" w:fill="auto"/>
            <w:vAlign w:val="center"/>
          </w:tcPr>
          <w:p w14:paraId="6D4A6073">
            <w:pPr>
              <w:adjustRightInd w:val="0"/>
              <w:snapToGrid w:val="0"/>
              <w:jc w:val="center"/>
              <w:rPr>
                <w:rFonts w:ascii="Arial" w:hAnsi="Arial" w:cs="Arial" w:eastAsiaTheme="minorEastAsia"/>
                <w:sz w:val="21"/>
                <w:szCs w:val="21"/>
                <w:u w:val="single"/>
              </w:rPr>
            </w:pPr>
          </w:p>
        </w:tc>
        <w:tc>
          <w:tcPr>
            <w:tcW w:w="634" w:type="pct"/>
            <w:vMerge w:val="continue"/>
            <w:vAlign w:val="center"/>
          </w:tcPr>
          <w:p w14:paraId="59631ED3">
            <w:pPr>
              <w:adjustRightInd w:val="0"/>
              <w:snapToGrid w:val="0"/>
              <w:jc w:val="center"/>
              <w:rPr>
                <w:rFonts w:ascii="Arial" w:hAnsi="Arial" w:cs="Arial" w:eastAsiaTheme="minorEastAsia"/>
                <w:sz w:val="21"/>
                <w:szCs w:val="21"/>
                <w:u w:val="single"/>
              </w:rPr>
            </w:pPr>
          </w:p>
        </w:tc>
        <w:tc>
          <w:tcPr>
            <w:tcW w:w="802" w:type="pct"/>
            <w:vMerge w:val="continue"/>
            <w:vAlign w:val="center"/>
          </w:tcPr>
          <w:p w14:paraId="4AA27904">
            <w:pPr>
              <w:adjustRightInd w:val="0"/>
              <w:snapToGrid w:val="0"/>
              <w:jc w:val="center"/>
              <w:rPr>
                <w:rFonts w:ascii="Arial" w:hAnsi="Arial" w:cs="Arial" w:eastAsiaTheme="minorEastAsia"/>
                <w:sz w:val="21"/>
                <w:szCs w:val="21"/>
                <w:u w:val="single"/>
              </w:rPr>
            </w:pPr>
          </w:p>
        </w:tc>
        <w:tc>
          <w:tcPr>
            <w:tcW w:w="606" w:type="pct"/>
            <w:vMerge w:val="continue"/>
            <w:vAlign w:val="center"/>
          </w:tcPr>
          <w:p w14:paraId="56096BAA">
            <w:pPr>
              <w:adjustRightInd w:val="0"/>
              <w:snapToGrid w:val="0"/>
              <w:jc w:val="center"/>
              <w:rPr>
                <w:rFonts w:ascii="Arial" w:hAnsi="Arial" w:cs="Arial" w:eastAsiaTheme="minorEastAsia"/>
                <w:sz w:val="21"/>
                <w:szCs w:val="21"/>
                <w:u w:val="single"/>
              </w:rPr>
            </w:pPr>
          </w:p>
        </w:tc>
      </w:tr>
      <w:tr w14:paraId="49C5D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restart"/>
            <w:vAlign w:val="center"/>
          </w:tcPr>
          <w:p w14:paraId="7E8C6BD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废气</w:t>
            </w:r>
          </w:p>
        </w:tc>
        <w:tc>
          <w:tcPr>
            <w:tcW w:w="998" w:type="pct"/>
            <w:vAlign w:val="center"/>
          </w:tcPr>
          <w:p w14:paraId="6C11F630">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SO</w:t>
            </w:r>
            <w:r>
              <w:rPr>
                <w:rFonts w:ascii="Arial" w:hAnsi="Arial" w:cs="Arial" w:eastAsiaTheme="minorEastAsia"/>
                <w:sz w:val="21"/>
                <w:szCs w:val="21"/>
                <w:u w:val="single"/>
                <w:vertAlign w:val="subscript"/>
              </w:rPr>
              <w:t>2</w:t>
            </w:r>
          </w:p>
        </w:tc>
        <w:tc>
          <w:tcPr>
            <w:tcW w:w="802" w:type="pct"/>
            <w:vAlign w:val="center"/>
          </w:tcPr>
          <w:p w14:paraId="081E7C9D">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127.2658</w:t>
            </w:r>
          </w:p>
        </w:tc>
        <w:tc>
          <w:tcPr>
            <w:tcW w:w="551" w:type="pct"/>
            <w:shd w:val="clear" w:color="auto" w:fill="auto"/>
            <w:vAlign w:val="center"/>
          </w:tcPr>
          <w:p w14:paraId="149F392D">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3B613848">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1BB90032">
            <w:pPr>
              <w:adjustRightInd w:val="0"/>
              <w:snapToGrid w:val="0"/>
              <w:jc w:val="center"/>
              <w:rPr>
                <w:rFonts w:ascii="Arial" w:hAnsi="Arial" w:eastAsia="宋体" w:cs="Arial"/>
                <w:sz w:val="21"/>
                <w:szCs w:val="21"/>
                <w:u w:val="single"/>
              </w:rPr>
            </w:pPr>
            <w:r>
              <w:rPr>
                <w:rFonts w:ascii="Arial" w:hAnsi="Arial" w:cs="Arial"/>
                <w:sz w:val="21"/>
                <w:szCs w:val="21"/>
                <w:u w:val="single"/>
              </w:rPr>
              <w:t>127.2658</w:t>
            </w:r>
          </w:p>
        </w:tc>
        <w:tc>
          <w:tcPr>
            <w:tcW w:w="606" w:type="pct"/>
            <w:vAlign w:val="center"/>
          </w:tcPr>
          <w:p w14:paraId="23493012">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4E5C0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4587EAEF">
            <w:pPr>
              <w:adjustRightInd w:val="0"/>
              <w:snapToGrid w:val="0"/>
              <w:jc w:val="center"/>
              <w:rPr>
                <w:rFonts w:ascii="Arial" w:hAnsi="Arial" w:cs="Arial" w:eastAsiaTheme="minorEastAsia"/>
                <w:sz w:val="21"/>
                <w:szCs w:val="21"/>
                <w:u w:val="single"/>
              </w:rPr>
            </w:pPr>
          </w:p>
        </w:tc>
        <w:tc>
          <w:tcPr>
            <w:tcW w:w="998" w:type="pct"/>
            <w:vAlign w:val="center"/>
          </w:tcPr>
          <w:p w14:paraId="0A4CBF8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NO</w:t>
            </w:r>
            <w:r>
              <w:rPr>
                <w:rFonts w:ascii="Arial" w:hAnsi="Arial" w:cs="Arial" w:eastAsiaTheme="minorEastAsia"/>
                <w:sz w:val="21"/>
                <w:szCs w:val="21"/>
                <w:u w:val="single"/>
                <w:vertAlign w:val="subscript"/>
              </w:rPr>
              <w:t>X</w:t>
            </w:r>
          </w:p>
        </w:tc>
        <w:tc>
          <w:tcPr>
            <w:tcW w:w="802" w:type="pct"/>
            <w:vAlign w:val="center"/>
          </w:tcPr>
          <w:p w14:paraId="3D5D26D7">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139.7473</w:t>
            </w:r>
          </w:p>
        </w:tc>
        <w:tc>
          <w:tcPr>
            <w:tcW w:w="551" w:type="pct"/>
            <w:shd w:val="clear" w:color="auto" w:fill="auto"/>
            <w:vAlign w:val="center"/>
          </w:tcPr>
          <w:p w14:paraId="39A7DCC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77CE5E04">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42F9AC79">
            <w:pPr>
              <w:adjustRightInd w:val="0"/>
              <w:snapToGrid w:val="0"/>
              <w:jc w:val="center"/>
              <w:rPr>
                <w:rFonts w:ascii="Arial" w:hAnsi="Arial" w:eastAsia="宋体" w:cs="Arial"/>
                <w:sz w:val="21"/>
                <w:szCs w:val="21"/>
                <w:u w:val="single"/>
              </w:rPr>
            </w:pPr>
            <w:r>
              <w:rPr>
                <w:rFonts w:ascii="Arial" w:hAnsi="Arial" w:cs="Arial"/>
                <w:sz w:val="21"/>
                <w:szCs w:val="21"/>
                <w:u w:val="single"/>
              </w:rPr>
              <w:t>139.7473</w:t>
            </w:r>
          </w:p>
        </w:tc>
        <w:tc>
          <w:tcPr>
            <w:tcW w:w="606" w:type="pct"/>
            <w:vAlign w:val="center"/>
          </w:tcPr>
          <w:p w14:paraId="7F5A82E2">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5061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3C377004">
            <w:pPr>
              <w:adjustRightInd w:val="0"/>
              <w:snapToGrid w:val="0"/>
              <w:jc w:val="center"/>
              <w:rPr>
                <w:rFonts w:ascii="Arial" w:hAnsi="Arial" w:cs="Arial" w:eastAsiaTheme="minorEastAsia"/>
                <w:sz w:val="21"/>
                <w:szCs w:val="21"/>
                <w:u w:val="single"/>
              </w:rPr>
            </w:pPr>
          </w:p>
        </w:tc>
        <w:tc>
          <w:tcPr>
            <w:tcW w:w="998" w:type="pct"/>
            <w:vAlign w:val="center"/>
          </w:tcPr>
          <w:p w14:paraId="35D1105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颗粒物</w:t>
            </w:r>
          </w:p>
        </w:tc>
        <w:tc>
          <w:tcPr>
            <w:tcW w:w="802" w:type="pct"/>
            <w:vAlign w:val="center"/>
          </w:tcPr>
          <w:p w14:paraId="306C86A3">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188.1816</w:t>
            </w:r>
          </w:p>
        </w:tc>
        <w:tc>
          <w:tcPr>
            <w:tcW w:w="551" w:type="pct"/>
            <w:shd w:val="clear" w:color="auto" w:fill="auto"/>
            <w:vAlign w:val="center"/>
          </w:tcPr>
          <w:p w14:paraId="4E75FB6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1.6579</w:t>
            </w:r>
          </w:p>
        </w:tc>
        <w:tc>
          <w:tcPr>
            <w:tcW w:w="634" w:type="pct"/>
            <w:vAlign w:val="center"/>
          </w:tcPr>
          <w:p w14:paraId="1F3B40C4">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3F307393">
            <w:pPr>
              <w:adjustRightInd w:val="0"/>
              <w:snapToGrid w:val="0"/>
              <w:jc w:val="center"/>
              <w:rPr>
                <w:rFonts w:ascii="Arial" w:hAnsi="Arial" w:eastAsia="宋体" w:cs="Arial"/>
                <w:sz w:val="21"/>
                <w:szCs w:val="21"/>
                <w:u w:val="single"/>
              </w:rPr>
            </w:pPr>
            <w:r>
              <w:rPr>
                <w:rFonts w:ascii="Arial" w:hAnsi="Arial" w:cs="Arial"/>
                <w:sz w:val="21"/>
                <w:szCs w:val="21"/>
                <w:u w:val="single"/>
              </w:rPr>
              <w:t>189.8395</w:t>
            </w:r>
          </w:p>
        </w:tc>
        <w:tc>
          <w:tcPr>
            <w:tcW w:w="606" w:type="pct"/>
            <w:vAlign w:val="center"/>
          </w:tcPr>
          <w:p w14:paraId="40CE961C">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1.6579</w:t>
            </w:r>
          </w:p>
        </w:tc>
      </w:tr>
      <w:tr w14:paraId="4CD22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47FE5203">
            <w:pPr>
              <w:adjustRightInd w:val="0"/>
              <w:snapToGrid w:val="0"/>
              <w:jc w:val="center"/>
              <w:rPr>
                <w:rFonts w:ascii="Arial" w:hAnsi="Arial" w:cs="Arial" w:eastAsiaTheme="minorEastAsia"/>
                <w:sz w:val="21"/>
                <w:szCs w:val="21"/>
                <w:u w:val="single"/>
              </w:rPr>
            </w:pPr>
          </w:p>
        </w:tc>
        <w:tc>
          <w:tcPr>
            <w:tcW w:w="998" w:type="pct"/>
            <w:vAlign w:val="center"/>
          </w:tcPr>
          <w:p w14:paraId="029D23BF">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锰及其化合物</w:t>
            </w:r>
          </w:p>
        </w:tc>
        <w:tc>
          <w:tcPr>
            <w:tcW w:w="802" w:type="pct"/>
            <w:vAlign w:val="center"/>
          </w:tcPr>
          <w:p w14:paraId="61710404">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0.3465</w:t>
            </w:r>
          </w:p>
        </w:tc>
        <w:tc>
          <w:tcPr>
            <w:tcW w:w="551" w:type="pct"/>
            <w:shd w:val="clear" w:color="auto" w:fill="auto"/>
            <w:vAlign w:val="center"/>
          </w:tcPr>
          <w:p w14:paraId="47B3FF0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5F4C47E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0C701D67">
            <w:pPr>
              <w:adjustRightInd w:val="0"/>
              <w:snapToGrid w:val="0"/>
              <w:jc w:val="center"/>
              <w:rPr>
                <w:rFonts w:ascii="Arial" w:hAnsi="Arial" w:eastAsia="宋体" w:cs="Arial"/>
                <w:sz w:val="21"/>
                <w:szCs w:val="21"/>
                <w:u w:val="single"/>
              </w:rPr>
            </w:pPr>
            <w:r>
              <w:rPr>
                <w:rFonts w:ascii="Arial" w:hAnsi="Arial" w:cs="Arial"/>
                <w:sz w:val="21"/>
                <w:szCs w:val="21"/>
                <w:u w:val="single"/>
              </w:rPr>
              <w:t>0.3465</w:t>
            </w:r>
          </w:p>
        </w:tc>
        <w:tc>
          <w:tcPr>
            <w:tcW w:w="606" w:type="pct"/>
            <w:vAlign w:val="center"/>
          </w:tcPr>
          <w:p w14:paraId="4424A4C7">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24975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36414910">
            <w:pPr>
              <w:adjustRightInd w:val="0"/>
              <w:snapToGrid w:val="0"/>
              <w:jc w:val="center"/>
              <w:rPr>
                <w:rFonts w:ascii="Arial" w:hAnsi="Arial" w:cs="Arial" w:eastAsiaTheme="minorEastAsia"/>
                <w:sz w:val="21"/>
                <w:szCs w:val="21"/>
                <w:u w:val="single"/>
              </w:rPr>
            </w:pPr>
          </w:p>
        </w:tc>
        <w:tc>
          <w:tcPr>
            <w:tcW w:w="998" w:type="pct"/>
            <w:vAlign w:val="center"/>
          </w:tcPr>
          <w:p w14:paraId="019CBBD0">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镍及其化合物</w:t>
            </w:r>
          </w:p>
        </w:tc>
        <w:tc>
          <w:tcPr>
            <w:tcW w:w="802" w:type="pct"/>
            <w:vAlign w:val="center"/>
          </w:tcPr>
          <w:p w14:paraId="74DDDB9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14.0797</w:t>
            </w:r>
          </w:p>
        </w:tc>
        <w:tc>
          <w:tcPr>
            <w:tcW w:w="551" w:type="pct"/>
            <w:shd w:val="clear" w:color="auto" w:fill="auto"/>
            <w:vAlign w:val="center"/>
          </w:tcPr>
          <w:p w14:paraId="7E3E6FE5">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3C579E8D">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086A5288">
            <w:pPr>
              <w:adjustRightInd w:val="0"/>
              <w:snapToGrid w:val="0"/>
              <w:jc w:val="center"/>
              <w:rPr>
                <w:rFonts w:ascii="Arial" w:hAnsi="Arial" w:eastAsia="宋体" w:cs="Arial"/>
                <w:sz w:val="21"/>
                <w:szCs w:val="21"/>
                <w:u w:val="single"/>
              </w:rPr>
            </w:pPr>
            <w:r>
              <w:rPr>
                <w:rFonts w:ascii="Arial" w:hAnsi="Arial" w:cs="Arial"/>
                <w:sz w:val="21"/>
                <w:szCs w:val="21"/>
                <w:u w:val="single"/>
              </w:rPr>
              <w:t>14.0797</w:t>
            </w:r>
          </w:p>
        </w:tc>
        <w:tc>
          <w:tcPr>
            <w:tcW w:w="606" w:type="pct"/>
            <w:vAlign w:val="center"/>
          </w:tcPr>
          <w:p w14:paraId="71ECCD92">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78AE5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5C70D9A6">
            <w:pPr>
              <w:adjustRightInd w:val="0"/>
              <w:snapToGrid w:val="0"/>
              <w:jc w:val="center"/>
              <w:rPr>
                <w:rFonts w:ascii="Arial" w:hAnsi="Arial" w:cs="Arial" w:eastAsiaTheme="minorEastAsia"/>
                <w:sz w:val="21"/>
                <w:szCs w:val="21"/>
                <w:u w:val="single"/>
              </w:rPr>
            </w:pPr>
          </w:p>
        </w:tc>
        <w:tc>
          <w:tcPr>
            <w:tcW w:w="998" w:type="pct"/>
            <w:vAlign w:val="center"/>
          </w:tcPr>
          <w:p w14:paraId="705AA70B">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铅及其化合物</w:t>
            </w:r>
          </w:p>
        </w:tc>
        <w:tc>
          <w:tcPr>
            <w:tcW w:w="802" w:type="pct"/>
            <w:vAlign w:val="center"/>
          </w:tcPr>
          <w:p w14:paraId="60C746DB">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0.0182</w:t>
            </w:r>
          </w:p>
        </w:tc>
        <w:tc>
          <w:tcPr>
            <w:tcW w:w="551" w:type="pct"/>
            <w:shd w:val="clear" w:color="auto" w:fill="auto"/>
            <w:vAlign w:val="center"/>
          </w:tcPr>
          <w:p w14:paraId="57F6351F">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1B60BFE1">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69ADD781">
            <w:pPr>
              <w:adjustRightInd w:val="0"/>
              <w:snapToGrid w:val="0"/>
              <w:jc w:val="center"/>
              <w:rPr>
                <w:rFonts w:ascii="Arial" w:hAnsi="Arial" w:eastAsia="宋体" w:cs="Arial"/>
                <w:sz w:val="21"/>
                <w:szCs w:val="21"/>
                <w:u w:val="single"/>
              </w:rPr>
            </w:pPr>
            <w:r>
              <w:rPr>
                <w:rFonts w:ascii="Arial" w:hAnsi="Arial" w:cs="Arial"/>
                <w:sz w:val="21"/>
                <w:szCs w:val="21"/>
                <w:u w:val="single"/>
              </w:rPr>
              <w:t>0.0182</w:t>
            </w:r>
          </w:p>
        </w:tc>
        <w:tc>
          <w:tcPr>
            <w:tcW w:w="606" w:type="pct"/>
            <w:vAlign w:val="center"/>
          </w:tcPr>
          <w:p w14:paraId="4D31559E">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6E351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53F913D1">
            <w:pPr>
              <w:adjustRightInd w:val="0"/>
              <w:snapToGrid w:val="0"/>
              <w:jc w:val="center"/>
              <w:rPr>
                <w:rFonts w:ascii="Arial" w:hAnsi="Arial" w:cs="Arial" w:eastAsiaTheme="minorEastAsia"/>
                <w:sz w:val="21"/>
                <w:szCs w:val="21"/>
                <w:u w:val="single"/>
              </w:rPr>
            </w:pPr>
          </w:p>
        </w:tc>
        <w:tc>
          <w:tcPr>
            <w:tcW w:w="998" w:type="pct"/>
            <w:vAlign w:val="center"/>
          </w:tcPr>
          <w:p w14:paraId="157A1C5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铬及其化合物</w:t>
            </w:r>
          </w:p>
        </w:tc>
        <w:tc>
          <w:tcPr>
            <w:tcW w:w="802" w:type="pct"/>
            <w:vAlign w:val="center"/>
          </w:tcPr>
          <w:p w14:paraId="089EAA53">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0.1287</w:t>
            </w:r>
          </w:p>
        </w:tc>
        <w:tc>
          <w:tcPr>
            <w:tcW w:w="551" w:type="pct"/>
            <w:shd w:val="clear" w:color="auto" w:fill="auto"/>
            <w:vAlign w:val="center"/>
          </w:tcPr>
          <w:p w14:paraId="49F8EEC5">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6DECD361">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31762BF2">
            <w:pPr>
              <w:adjustRightInd w:val="0"/>
              <w:snapToGrid w:val="0"/>
              <w:jc w:val="center"/>
              <w:rPr>
                <w:rFonts w:ascii="Arial" w:hAnsi="Arial" w:eastAsia="宋体" w:cs="Arial"/>
                <w:sz w:val="21"/>
                <w:szCs w:val="21"/>
                <w:u w:val="single"/>
              </w:rPr>
            </w:pPr>
            <w:r>
              <w:rPr>
                <w:rFonts w:ascii="Arial" w:hAnsi="Arial" w:cs="Arial"/>
                <w:sz w:val="21"/>
                <w:szCs w:val="21"/>
                <w:u w:val="single"/>
              </w:rPr>
              <w:t>0.1287</w:t>
            </w:r>
          </w:p>
        </w:tc>
        <w:tc>
          <w:tcPr>
            <w:tcW w:w="606" w:type="pct"/>
            <w:vAlign w:val="center"/>
          </w:tcPr>
          <w:p w14:paraId="1D80B88F">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4F181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04DB1389">
            <w:pPr>
              <w:adjustRightInd w:val="0"/>
              <w:snapToGrid w:val="0"/>
              <w:jc w:val="center"/>
              <w:rPr>
                <w:rFonts w:ascii="Arial" w:hAnsi="Arial" w:cs="Arial" w:eastAsiaTheme="minorEastAsia"/>
                <w:sz w:val="21"/>
                <w:szCs w:val="21"/>
                <w:u w:val="single"/>
              </w:rPr>
            </w:pPr>
          </w:p>
        </w:tc>
        <w:tc>
          <w:tcPr>
            <w:tcW w:w="998" w:type="pct"/>
            <w:vAlign w:val="center"/>
          </w:tcPr>
          <w:p w14:paraId="6389281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镉及其化合物</w:t>
            </w:r>
          </w:p>
        </w:tc>
        <w:tc>
          <w:tcPr>
            <w:tcW w:w="802" w:type="pct"/>
            <w:vAlign w:val="center"/>
          </w:tcPr>
          <w:p w14:paraId="1FD3D27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0.0232</w:t>
            </w:r>
          </w:p>
        </w:tc>
        <w:tc>
          <w:tcPr>
            <w:tcW w:w="551" w:type="pct"/>
            <w:shd w:val="clear" w:color="auto" w:fill="auto"/>
            <w:vAlign w:val="center"/>
          </w:tcPr>
          <w:p w14:paraId="1C3E36D0">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19C98EA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64723BE9">
            <w:pPr>
              <w:adjustRightInd w:val="0"/>
              <w:snapToGrid w:val="0"/>
              <w:jc w:val="center"/>
              <w:rPr>
                <w:rFonts w:ascii="Arial" w:hAnsi="Arial" w:eastAsia="宋体" w:cs="Arial"/>
                <w:sz w:val="21"/>
                <w:szCs w:val="21"/>
                <w:u w:val="single"/>
              </w:rPr>
            </w:pPr>
            <w:r>
              <w:rPr>
                <w:rFonts w:ascii="Arial" w:hAnsi="Arial" w:cs="Arial"/>
                <w:sz w:val="21"/>
                <w:szCs w:val="21"/>
                <w:u w:val="single"/>
              </w:rPr>
              <w:t>0.0232</w:t>
            </w:r>
          </w:p>
        </w:tc>
        <w:tc>
          <w:tcPr>
            <w:tcW w:w="606" w:type="pct"/>
            <w:vAlign w:val="center"/>
          </w:tcPr>
          <w:p w14:paraId="0D715009">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0ACFA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6B081D93">
            <w:pPr>
              <w:adjustRightInd w:val="0"/>
              <w:snapToGrid w:val="0"/>
              <w:jc w:val="center"/>
              <w:rPr>
                <w:rFonts w:ascii="Arial" w:hAnsi="Arial" w:cs="Arial" w:eastAsiaTheme="minorEastAsia"/>
                <w:sz w:val="21"/>
                <w:szCs w:val="21"/>
                <w:u w:val="single"/>
              </w:rPr>
            </w:pPr>
          </w:p>
        </w:tc>
        <w:tc>
          <w:tcPr>
            <w:tcW w:w="998" w:type="pct"/>
            <w:vAlign w:val="center"/>
          </w:tcPr>
          <w:p w14:paraId="31637A47">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汞及其化合物</w:t>
            </w:r>
          </w:p>
        </w:tc>
        <w:tc>
          <w:tcPr>
            <w:tcW w:w="802" w:type="pct"/>
            <w:vAlign w:val="center"/>
          </w:tcPr>
          <w:p w14:paraId="5056C298">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0.0100</w:t>
            </w:r>
          </w:p>
        </w:tc>
        <w:tc>
          <w:tcPr>
            <w:tcW w:w="551" w:type="pct"/>
            <w:shd w:val="clear" w:color="auto" w:fill="auto"/>
            <w:vAlign w:val="center"/>
          </w:tcPr>
          <w:p w14:paraId="2B742207">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214A341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36BD567C">
            <w:pPr>
              <w:adjustRightInd w:val="0"/>
              <w:snapToGrid w:val="0"/>
              <w:jc w:val="center"/>
              <w:rPr>
                <w:rFonts w:ascii="Arial" w:hAnsi="Arial" w:eastAsia="宋体" w:cs="Arial"/>
                <w:sz w:val="21"/>
                <w:szCs w:val="21"/>
                <w:u w:val="single"/>
              </w:rPr>
            </w:pPr>
            <w:r>
              <w:rPr>
                <w:rFonts w:ascii="Arial" w:hAnsi="Arial" w:cs="Arial"/>
                <w:sz w:val="21"/>
                <w:szCs w:val="21"/>
                <w:u w:val="single"/>
              </w:rPr>
              <w:t>0.01</w:t>
            </w:r>
          </w:p>
        </w:tc>
        <w:tc>
          <w:tcPr>
            <w:tcW w:w="606" w:type="pct"/>
            <w:vAlign w:val="center"/>
          </w:tcPr>
          <w:p w14:paraId="18AB9DC1">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0A175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5C105430">
            <w:pPr>
              <w:adjustRightInd w:val="0"/>
              <w:snapToGrid w:val="0"/>
              <w:jc w:val="center"/>
              <w:rPr>
                <w:rFonts w:ascii="Arial" w:hAnsi="Arial" w:cs="Arial" w:eastAsiaTheme="minorEastAsia"/>
                <w:sz w:val="21"/>
                <w:szCs w:val="21"/>
                <w:u w:val="single"/>
              </w:rPr>
            </w:pPr>
          </w:p>
        </w:tc>
        <w:tc>
          <w:tcPr>
            <w:tcW w:w="998" w:type="pct"/>
            <w:vAlign w:val="center"/>
          </w:tcPr>
          <w:p w14:paraId="797AAB12">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砷及其化合物</w:t>
            </w:r>
          </w:p>
        </w:tc>
        <w:tc>
          <w:tcPr>
            <w:tcW w:w="802" w:type="pct"/>
            <w:vAlign w:val="center"/>
          </w:tcPr>
          <w:p w14:paraId="7201D87B">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0.0233</w:t>
            </w:r>
          </w:p>
        </w:tc>
        <w:tc>
          <w:tcPr>
            <w:tcW w:w="551" w:type="pct"/>
            <w:shd w:val="clear" w:color="auto" w:fill="auto"/>
            <w:vAlign w:val="center"/>
          </w:tcPr>
          <w:p w14:paraId="4BDAEC21">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28A19B2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5ACA4052">
            <w:pPr>
              <w:adjustRightInd w:val="0"/>
              <w:snapToGrid w:val="0"/>
              <w:jc w:val="center"/>
              <w:rPr>
                <w:rFonts w:ascii="Arial" w:hAnsi="Arial" w:eastAsia="宋体" w:cs="Arial"/>
                <w:sz w:val="21"/>
                <w:szCs w:val="21"/>
                <w:u w:val="single"/>
              </w:rPr>
            </w:pPr>
            <w:r>
              <w:rPr>
                <w:rFonts w:ascii="Arial" w:hAnsi="Arial" w:cs="Arial"/>
                <w:sz w:val="21"/>
                <w:szCs w:val="21"/>
                <w:u w:val="single"/>
              </w:rPr>
              <w:t>0.0233</w:t>
            </w:r>
          </w:p>
        </w:tc>
        <w:tc>
          <w:tcPr>
            <w:tcW w:w="606" w:type="pct"/>
            <w:vAlign w:val="center"/>
          </w:tcPr>
          <w:p w14:paraId="1C126E1F">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4AB80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3C738BFA">
            <w:pPr>
              <w:adjustRightInd w:val="0"/>
              <w:snapToGrid w:val="0"/>
              <w:jc w:val="center"/>
              <w:rPr>
                <w:rFonts w:ascii="Arial" w:hAnsi="Arial" w:cs="Arial" w:eastAsiaTheme="minorEastAsia"/>
                <w:sz w:val="21"/>
                <w:szCs w:val="21"/>
                <w:u w:val="single"/>
              </w:rPr>
            </w:pPr>
          </w:p>
        </w:tc>
        <w:tc>
          <w:tcPr>
            <w:tcW w:w="998" w:type="pct"/>
            <w:vAlign w:val="center"/>
          </w:tcPr>
          <w:p w14:paraId="37CDD222">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氟化物</w:t>
            </w:r>
          </w:p>
        </w:tc>
        <w:tc>
          <w:tcPr>
            <w:tcW w:w="802" w:type="pct"/>
            <w:vAlign w:val="center"/>
          </w:tcPr>
          <w:p w14:paraId="6E0333C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1.3606</w:t>
            </w:r>
          </w:p>
        </w:tc>
        <w:tc>
          <w:tcPr>
            <w:tcW w:w="551" w:type="pct"/>
            <w:shd w:val="clear" w:color="auto" w:fill="auto"/>
            <w:vAlign w:val="center"/>
          </w:tcPr>
          <w:p w14:paraId="0BE703F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388FA8BE">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7A495996">
            <w:pPr>
              <w:adjustRightInd w:val="0"/>
              <w:snapToGrid w:val="0"/>
              <w:jc w:val="center"/>
              <w:rPr>
                <w:rFonts w:ascii="Arial" w:hAnsi="Arial" w:eastAsia="宋体" w:cs="Arial"/>
                <w:sz w:val="21"/>
                <w:szCs w:val="21"/>
                <w:u w:val="single"/>
              </w:rPr>
            </w:pPr>
            <w:r>
              <w:rPr>
                <w:rFonts w:ascii="Arial" w:hAnsi="Arial" w:cs="Arial"/>
                <w:sz w:val="21"/>
                <w:szCs w:val="21"/>
                <w:u w:val="single"/>
              </w:rPr>
              <w:t>1.3606</w:t>
            </w:r>
          </w:p>
        </w:tc>
        <w:tc>
          <w:tcPr>
            <w:tcW w:w="606" w:type="pct"/>
            <w:vAlign w:val="center"/>
          </w:tcPr>
          <w:p w14:paraId="6AFEC427">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67222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10B1366B">
            <w:pPr>
              <w:adjustRightInd w:val="0"/>
              <w:snapToGrid w:val="0"/>
              <w:jc w:val="center"/>
              <w:rPr>
                <w:rFonts w:ascii="Arial" w:hAnsi="Arial" w:cs="Arial" w:eastAsiaTheme="minorEastAsia"/>
                <w:sz w:val="21"/>
                <w:szCs w:val="21"/>
                <w:u w:val="single"/>
              </w:rPr>
            </w:pPr>
          </w:p>
        </w:tc>
        <w:tc>
          <w:tcPr>
            <w:tcW w:w="998" w:type="pct"/>
            <w:vAlign w:val="center"/>
          </w:tcPr>
          <w:p w14:paraId="7981649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硫化氢</w:t>
            </w:r>
          </w:p>
        </w:tc>
        <w:tc>
          <w:tcPr>
            <w:tcW w:w="802" w:type="pct"/>
            <w:vAlign w:val="center"/>
          </w:tcPr>
          <w:p w14:paraId="73FDA84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0.1265</w:t>
            </w:r>
          </w:p>
        </w:tc>
        <w:tc>
          <w:tcPr>
            <w:tcW w:w="551" w:type="pct"/>
            <w:shd w:val="clear" w:color="auto" w:fill="auto"/>
            <w:vAlign w:val="center"/>
          </w:tcPr>
          <w:p w14:paraId="652DDCD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2B7E5311">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28456BAC">
            <w:pPr>
              <w:adjustRightInd w:val="0"/>
              <w:snapToGrid w:val="0"/>
              <w:jc w:val="center"/>
              <w:rPr>
                <w:rFonts w:ascii="Arial" w:hAnsi="Arial" w:eastAsia="宋体" w:cs="Arial"/>
                <w:sz w:val="21"/>
                <w:szCs w:val="21"/>
                <w:u w:val="single"/>
              </w:rPr>
            </w:pPr>
            <w:r>
              <w:rPr>
                <w:rFonts w:ascii="Arial" w:hAnsi="Arial" w:cs="Arial"/>
                <w:sz w:val="21"/>
                <w:szCs w:val="21"/>
                <w:u w:val="single"/>
              </w:rPr>
              <w:t>0.1265</w:t>
            </w:r>
          </w:p>
        </w:tc>
        <w:tc>
          <w:tcPr>
            <w:tcW w:w="606" w:type="pct"/>
            <w:vAlign w:val="center"/>
          </w:tcPr>
          <w:p w14:paraId="0A407DAE">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5EC40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2458B273">
            <w:pPr>
              <w:adjustRightInd w:val="0"/>
              <w:snapToGrid w:val="0"/>
              <w:jc w:val="center"/>
              <w:rPr>
                <w:rFonts w:ascii="Arial" w:hAnsi="Arial" w:cs="Arial" w:eastAsiaTheme="minorEastAsia"/>
                <w:sz w:val="21"/>
                <w:szCs w:val="21"/>
                <w:u w:val="single"/>
              </w:rPr>
            </w:pPr>
          </w:p>
        </w:tc>
        <w:tc>
          <w:tcPr>
            <w:tcW w:w="998" w:type="pct"/>
            <w:vAlign w:val="center"/>
          </w:tcPr>
          <w:p w14:paraId="79C2ABC2">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硫酸雾</w:t>
            </w:r>
          </w:p>
        </w:tc>
        <w:tc>
          <w:tcPr>
            <w:tcW w:w="802" w:type="pct"/>
            <w:vAlign w:val="center"/>
          </w:tcPr>
          <w:p w14:paraId="3C442458">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142.5801</w:t>
            </w:r>
          </w:p>
        </w:tc>
        <w:tc>
          <w:tcPr>
            <w:tcW w:w="551" w:type="pct"/>
            <w:shd w:val="clear" w:color="auto" w:fill="auto"/>
            <w:vAlign w:val="center"/>
          </w:tcPr>
          <w:p w14:paraId="1D3308FB">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49EC43D3">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8.012</w:t>
            </w:r>
          </w:p>
        </w:tc>
        <w:tc>
          <w:tcPr>
            <w:tcW w:w="802" w:type="pct"/>
            <w:vAlign w:val="center"/>
          </w:tcPr>
          <w:p w14:paraId="07F2C9CD">
            <w:pPr>
              <w:adjustRightInd w:val="0"/>
              <w:snapToGrid w:val="0"/>
              <w:jc w:val="center"/>
              <w:rPr>
                <w:rFonts w:ascii="Arial" w:hAnsi="Arial" w:eastAsia="宋体" w:cs="Arial"/>
                <w:sz w:val="21"/>
                <w:szCs w:val="21"/>
                <w:u w:val="single"/>
              </w:rPr>
            </w:pPr>
            <w:r>
              <w:rPr>
                <w:rFonts w:ascii="Arial" w:hAnsi="Arial" w:cs="Arial"/>
                <w:sz w:val="21"/>
                <w:szCs w:val="21"/>
                <w:u w:val="single"/>
              </w:rPr>
              <w:t>134.5681</w:t>
            </w:r>
          </w:p>
        </w:tc>
        <w:tc>
          <w:tcPr>
            <w:tcW w:w="606" w:type="pct"/>
            <w:vAlign w:val="center"/>
          </w:tcPr>
          <w:p w14:paraId="08347047">
            <w:pPr>
              <w:adjustRightInd w:val="0"/>
              <w:snapToGrid w:val="0"/>
              <w:jc w:val="center"/>
              <w:rPr>
                <w:rFonts w:ascii="Arial" w:hAnsi="Arial" w:eastAsia="宋体" w:cs="Arial"/>
                <w:sz w:val="21"/>
                <w:szCs w:val="21"/>
                <w:u w:val="single"/>
              </w:rPr>
            </w:pPr>
            <w:r>
              <w:rPr>
                <w:rFonts w:ascii="Arial" w:hAnsi="Arial" w:cs="Arial"/>
                <w:sz w:val="21"/>
                <w:szCs w:val="21"/>
                <w:u w:val="single"/>
              </w:rPr>
              <w:t>-8.012</w:t>
            </w:r>
          </w:p>
        </w:tc>
      </w:tr>
      <w:tr w14:paraId="3BC09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2237E9A7">
            <w:pPr>
              <w:adjustRightInd w:val="0"/>
              <w:snapToGrid w:val="0"/>
              <w:jc w:val="center"/>
              <w:rPr>
                <w:rFonts w:ascii="Arial" w:hAnsi="Arial" w:cs="Arial" w:eastAsiaTheme="minorEastAsia"/>
                <w:sz w:val="21"/>
                <w:szCs w:val="21"/>
                <w:u w:val="single"/>
              </w:rPr>
            </w:pPr>
          </w:p>
        </w:tc>
        <w:tc>
          <w:tcPr>
            <w:tcW w:w="998" w:type="pct"/>
            <w:vAlign w:val="center"/>
          </w:tcPr>
          <w:p w14:paraId="560B7685">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氯化氢</w:t>
            </w:r>
          </w:p>
        </w:tc>
        <w:tc>
          <w:tcPr>
            <w:tcW w:w="802" w:type="pct"/>
            <w:vAlign w:val="center"/>
          </w:tcPr>
          <w:p w14:paraId="10CEB7C4">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3.9466</w:t>
            </w:r>
          </w:p>
        </w:tc>
        <w:tc>
          <w:tcPr>
            <w:tcW w:w="551" w:type="pct"/>
            <w:shd w:val="clear" w:color="auto" w:fill="auto"/>
            <w:vAlign w:val="center"/>
          </w:tcPr>
          <w:p w14:paraId="656C9FCF">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133BBE97">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760B5A07">
            <w:pPr>
              <w:adjustRightInd w:val="0"/>
              <w:snapToGrid w:val="0"/>
              <w:jc w:val="center"/>
              <w:rPr>
                <w:rFonts w:ascii="Arial" w:hAnsi="Arial" w:eastAsia="宋体" w:cs="Arial"/>
                <w:sz w:val="21"/>
                <w:szCs w:val="21"/>
                <w:u w:val="single"/>
              </w:rPr>
            </w:pPr>
            <w:r>
              <w:rPr>
                <w:rFonts w:ascii="Arial" w:hAnsi="Arial" w:cs="Arial"/>
                <w:sz w:val="21"/>
                <w:szCs w:val="21"/>
                <w:u w:val="single"/>
              </w:rPr>
              <w:t>3.9466</w:t>
            </w:r>
          </w:p>
        </w:tc>
        <w:tc>
          <w:tcPr>
            <w:tcW w:w="606" w:type="pct"/>
            <w:vAlign w:val="center"/>
          </w:tcPr>
          <w:p w14:paraId="2C89C112">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076E6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65DBE630">
            <w:pPr>
              <w:adjustRightInd w:val="0"/>
              <w:snapToGrid w:val="0"/>
              <w:jc w:val="center"/>
              <w:rPr>
                <w:rFonts w:ascii="Arial" w:hAnsi="Arial" w:cs="Arial" w:eastAsiaTheme="minorEastAsia"/>
                <w:sz w:val="21"/>
                <w:szCs w:val="21"/>
                <w:u w:val="single"/>
              </w:rPr>
            </w:pPr>
          </w:p>
        </w:tc>
        <w:tc>
          <w:tcPr>
            <w:tcW w:w="998" w:type="pct"/>
            <w:vAlign w:val="center"/>
          </w:tcPr>
          <w:p w14:paraId="401AB76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非甲烷总烃</w:t>
            </w:r>
          </w:p>
        </w:tc>
        <w:tc>
          <w:tcPr>
            <w:tcW w:w="802" w:type="pct"/>
            <w:vAlign w:val="center"/>
          </w:tcPr>
          <w:p w14:paraId="5BFA967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2.4760</w:t>
            </w:r>
          </w:p>
        </w:tc>
        <w:tc>
          <w:tcPr>
            <w:tcW w:w="551" w:type="pct"/>
            <w:shd w:val="clear" w:color="auto" w:fill="auto"/>
            <w:vAlign w:val="center"/>
          </w:tcPr>
          <w:p w14:paraId="376B98AB">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634" w:type="pct"/>
            <w:vAlign w:val="center"/>
          </w:tcPr>
          <w:p w14:paraId="35CCA380">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06A93501">
            <w:pPr>
              <w:adjustRightInd w:val="0"/>
              <w:snapToGrid w:val="0"/>
              <w:jc w:val="center"/>
              <w:rPr>
                <w:rFonts w:ascii="Arial" w:hAnsi="Arial" w:eastAsia="宋体" w:cs="Arial"/>
                <w:sz w:val="21"/>
                <w:szCs w:val="21"/>
                <w:u w:val="single"/>
              </w:rPr>
            </w:pPr>
            <w:r>
              <w:rPr>
                <w:rFonts w:ascii="Arial" w:hAnsi="Arial" w:cs="Arial"/>
                <w:sz w:val="21"/>
                <w:szCs w:val="21"/>
                <w:u w:val="single"/>
              </w:rPr>
              <w:t>2.476</w:t>
            </w:r>
          </w:p>
        </w:tc>
        <w:tc>
          <w:tcPr>
            <w:tcW w:w="606" w:type="pct"/>
            <w:vAlign w:val="center"/>
          </w:tcPr>
          <w:p w14:paraId="24631020">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6D742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32893452">
            <w:pPr>
              <w:adjustRightInd w:val="0"/>
              <w:snapToGrid w:val="0"/>
              <w:jc w:val="center"/>
              <w:rPr>
                <w:rFonts w:ascii="Arial" w:hAnsi="Arial" w:cs="Arial" w:eastAsiaTheme="minorEastAsia"/>
                <w:sz w:val="21"/>
                <w:szCs w:val="21"/>
                <w:u w:val="single"/>
              </w:rPr>
            </w:pPr>
          </w:p>
        </w:tc>
        <w:tc>
          <w:tcPr>
            <w:tcW w:w="998" w:type="pct"/>
            <w:vAlign w:val="center"/>
          </w:tcPr>
          <w:p w14:paraId="54A8ECCE">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氨</w:t>
            </w:r>
          </w:p>
        </w:tc>
        <w:tc>
          <w:tcPr>
            <w:tcW w:w="802" w:type="pct"/>
            <w:vAlign w:val="center"/>
          </w:tcPr>
          <w:p w14:paraId="6F916B75">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45.8952</w:t>
            </w:r>
          </w:p>
        </w:tc>
        <w:tc>
          <w:tcPr>
            <w:tcW w:w="551" w:type="pct"/>
            <w:shd w:val="clear" w:color="auto" w:fill="auto"/>
            <w:vAlign w:val="center"/>
          </w:tcPr>
          <w:p w14:paraId="38D4526D">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3.3399</w:t>
            </w:r>
          </w:p>
        </w:tc>
        <w:tc>
          <w:tcPr>
            <w:tcW w:w="634" w:type="pct"/>
            <w:vAlign w:val="center"/>
          </w:tcPr>
          <w:p w14:paraId="446B013B">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581B01E9">
            <w:pPr>
              <w:adjustRightInd w:val="0"/>
              <w:snapToGrid w:val="0"/>
              <w:jc w:val="center"/>
              <w:rPr>
                <w:rFonts w:ascii="Arial" w:hAnsi="Arial" w:eastAsia="宋体" w:cs="Arial"/>
                <w:sz w:val="21"/>
                <w:szCs w:val="21"/>
                <w:u w:val="single"/>
              </w:rPr>
            </w:pPr>
            <w:r>
              <w:rPr>
                <w:rFonts w:ascii="Arial" w:hAnsi="Arial" w:cs="Arial"/>
                <w:sz w:val="21"/>
                <w:szCs w:val="21"/>
                <w:u w:val="single"/>
              </w:rPr>
              <w:t>49.2351</w:t>
            </w:r>
          </w:p>
        </w:tc>
        <w:tc>
          <w:tcPr>
            <w:tcW w:w="606" w:type="pct"/>
            <w:vAlign w:val="center"/>
          </w:tcPr>
          <w:p w14:paraId="1F251A71">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3.3399</w:t>
            </w:r>
          </w:p>
        </w:tc>
      </w:tr>
      <w:tr w14:paraId="68D4F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restart"/>
            <w:vAlign w:val="center"/>
          </w:tcPr>
          <w:p w14:paraId="1D5D8183">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生产废水</w:t>
            </w:r>
          </w:p>
        </w:tc>
        <w:tc>
          <w:tcPr>
            <w:tcW w:w="998" w:type="pct"/>
            <w:vAlign w:val="center"/>
          </w:tcPr>
          <w:p w14:paraId="273E500A">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废水量</w:t>
            </w:r>
          </w:p>
        </w:tc>
        <w:tc>
          <w:tcPr>
            <w:tcW w:w="802" w:type="pct"/>
            <w:vAlign w:val="center"/>
          </w:tcPr>
          <w:p w14:paraId="1C91541F">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2120900.34</w:t>
            </w:r>
          </w:p>
        </w:tc>
        <w:tc>
          <w:tcPr>
            <w:tcW w:w="551" w:type="pct"/>
            <w:shd w:val="clear" w:color="auto" w:fill="auto"/>
            <w:vAlign w:val="center"/>
          </w:tcPr>
          <w:p w14:paraId="0E54DD7D">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26054.2</w:t>
            </w:r>
          </w:p>
        </w:tc>
        <w:tc>
          <w:tcPr>
            <w:tcW w:w="634" w:type="pct"/>
            <w:vAlign w:val="center"/>
          </w:tcPr>
          <w:p w14:paraId="68C1CF0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144767.7</w:t>
            </w:r>
          </w:p>
        </w:tc>
        <w:tc>
          <w:tcPr>
            <w:tcW w:w="802" w:type="pct"/>
            <w:vAlign w:val="center"/>
          </w:tcPr>
          <w:p w14:paraId="6E30892C">
            <w:pPr>
              <w:adjustRightInd w:val="0"/>
              <w:snapToGrid w:val="0"/>
              <w:jc w:val="center"/>
              <w:rPr>
                <w:rFonts w:ascii="Arial" w:hAnsi="Arial" w:eastAsia="宋体" w:cs="Arial"/>
                <w:sz w:val="21"/>
                <w:szCs w:val="21"/>
                <w:u w:val="single"/>
              </w:rPr>
            </w:pPr>
            <w:r>
              <w:rPr>
                <w:rFonts w:ascii="Arial" w:hAnsi="Arial" w:cs="Arial"/>
                <w:sz w:val="21"/>
                <w:szCs w:val="21"/>
                <w:u w:val="single"/>
              </w:rPr>
              <w:t>2002186.84</w:t>
            </w:r>
          </w:p>
        </w:tc>
        <w:tc>
          <w:tcPr>
            <w:tcW w:w="606" w:type="pct"/>
            <w:vAlign w:val="center"/>
          </w:tcPr>
          <w:p w14:paraId="570B5551">
            <w:pPr>
              <w:adjustRightInd w:val="0"/>
              <w:snapToGrid w:val="0"/>
              <w:jc w:val="center"/>
              <w:rPr>
                <w:rFonts w:ascii="Arial" w:hAnsi="Arial" w:eastAsia="宋体" w:cs="Arial"/>
                <w:sz w:val="21"/>
                <w:szCs w:val="21"/>
                <w:u w:val="single"/>
              </w:rPr>
            </w:pPr>
            <w:r>
              <w:rPr>
                <w:rFonts w:ascii="Arial" w:hAnsi="Arial" w:cs="Arial"/>
                <w:sz w:val="21"/>
                <w:szCs w:val="21"/>
                <w:u w:val="single"/>
              </w:rPr>
              <w:t>-118713.5</w:t>
            </w:r>
          </w:p>
        </w:tc>
      </w:tr>
      <w:tr w14:paraId="7EA24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4D8178C8">
            <w:pPr>
              <w:adjustRightInd w:val="0"/>
              <w:snapToGrid w:val="0"/>
              <w:jc w:val="center"/>
              <w:rPr>
                <w:rFonts w:ascii="Arial" w:hAnsi="Arial" w:cs="Arial" w:eastAsiaTheme="minorEastAsia"/>
                <w:sz w:val="21"/>
                <w:szCs w:val="21"/>
                <w:u w:val="single"/>
              </w:rPr>
            </w:pPr>
          </w:p>
        </w:tc>
        <w:tc>
          <w:tcPr>
            <w:tcW w:w="998" w:type="pct"/>
            <w:vAlign w:val="center"/>
          </w:tcPr>
          <w:p w14:paraId="7B037C06">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全盐量</w:t>
            </w:r>
          </w:p>
        </w:tc>
        <w:tc>
          <w:tcPr>
            <w:tcW w:w="802" w:type="pct"/>
            <w:vAlign w:val="center"/>
          </w:tcPr>
          <w:p w14:paraId="4FB9FD8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15873.0080</w:t>
            </w:r>
          </w:p>
        </w:tc>
        <w:tc>
          <w:tcPr>
            <w:tcW w:w="551" w:type="pct"/>
            <w:shd w:val="clear" w:color="auto" w:fill="auto"/>
            <w:vAlign w:val="center"/>
          </w:tcPr>
          <w:p w14:paraId="2D40B801">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91.6631</w:t>
            </w:r>
          </w:p>
        </w:tc>
        <w:tc>
          <w:tcPr>
            <w:tcW w:w="634" w:type="pct"/>
            <w:vAlign w:val="center"/>
          </w:tcPr>
          <w:p w14:paraId="26DFD788">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37.6396</w:t>
            </w:r>
          </w:p>
        </w:tc>
        <w:tc>
          <w:tcPr>
            <w:tcW w:w="802" w:type="pct"/>
            <w:vAlign w:val="center"/>
          </w:tcPr>
          <w:p w14:paraId="745C35B9">
            <w:pPr>
              <w:adjustRightInd w:val="0"/>
              <w:snapToGrid w:val="0"/>
              <w:jc w:val="center"/>
              <w:rPr>
                <w:rFonts w:ascii="Arial" w:hAnsi="Arial" w:eastAsia="宋体" w:cs="Arial"/>
                <w:sz w:val="21"/>
                <w:szCs w:val="21"/>
                <w:u w:val="single"/>
              </w:rPr>
            </w:pPr>
            <w:r>
              <w:rPr>
                <w:rFonts w:ascii="Arial" w:hAnsi="Arial" w:cs="Arial"/>
                <w:sz w:val="21"/>
                <w:szCs w:val="21"/>
                <w:u w:val="single"/>
              </w:rPr>
              <w:t>15927.0315</w:t>
            </w:r>
          </w:p>
        </w:tc>
        <w:tc>
          <w:tcPr>
            <w:tcW w:w="606" w:type="pct"/>
            <w:vAlign w:val="center"/>
          </w:tcPr>
          <w:p w14:paraId="1085F8B0">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54.0235</w:t>
            </w:r>
          </w:p>
        </w:tc>
      </w:tr>
      <w:tr w14:paraId="7BE51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31E92AD5">
            <w:pPr>
              <w:adjustRightInd w:val="0"/>
              <w:snapToGrid w:val="0"/>
              <w:jc w:val="center"/>
              <w:rPr>
                <w:rFonts w:ascii="Arial" w:hAnsi="Arial" w:cs="Arial" w:eastAsiaTheme="minorEastAsia"/>
                <w:sz w:val="21"/>
                <w:szCs w:val="21"/>
                <w:u w:val="single"/>
              </w:rPr>
            </w:pPr>
          </w:p>
        </w:tc>
        <w:tc>
          <w:tcPr>
            <w:tcW w:w="998" w:type="pct"/>
            <w:vAlign w:val="center"/>
          </w:tcPr>
          <w:p w14:paraId="591CF323">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硫酸盐</w:t>
            </w:r>
          </w:p>
        </w:tc>
        <w:tc>
          <w:tcPr>
            <w:tcW w:w="802" w:type="pct"/>
            <w:vAlign w:val="center"/>
          </w:tcPr>
          <w:p w14:paraId="46A863AD">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10014.7886</w:t>
            </w:r>
          </w:p>
        </w:tc>
        <w:tc>
          <w:tcPr>
            <w:tcW w:w="551" w:type="pct"/>
            <w:shd w:val="clear" w:color="auto" w:fill="auto"/>
            <w:vAlign w:val="center"/>
          </w:tcPr>
          <w:p w14:paraId="4504B525">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90.3812</w:t>
            </w:r>
          </w:p>
        </w:tc>
        <w:tc>
          <w:tcPr>
            <w:tcW w:w="634" w:type="pct"/>
            <w:vAlign w:val="center"/>
          </w:tcPr>
          <w:p w14:paraId="60A6295A">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28.9535</w:t>
            </w:r>
          </w:p>
        </w:tc>
        <w:tc>
          <w:tcPr>
            <w:tcW w:w="802" w:type="pct"/>
            <w:vAlign w:val="center"/>
          </w:tcPr>
          <w:p w14:paraId="618D4486">
            <w:pPr>
              <w:adjustRightInd w:val="0"/>
              <w:snapToGrid w:val="0"/>
              <w:jc w:val="center"/>
              <w:rPr>
                <w:rFonts w:ascii="Arial" w:hAnsi="Arial" w:eastAsia="宋体" w:cs="Arial"/>
                <w:sz w:val="21"/>
                <w:szCs w:val="21"/>
                <w:u w:val="single"/>
              </w:rPr>
            </w:pPr>
            <w:r>
              <w:rPr>
                <w:rFonts w:ascii="Arial" w:hAnsi="Arial" w:cs="Arial"/>
                <w:sz w:val="21"/>
                <w:szCs w:val="21"/>
                <w:u w:val="single"/>
              </w:rPr>
              <w:t>10076.2163</w:t>
            </w:r>
          </w:p>
        </w:tc>
        <w:tc>
          <w:tcPr>
            <w:tcW w:w="606" w:type="pct"/>
            <w:vAlign w:val="center"/>
          </w:tcPr>
          <w:p w14:paraId="038AB8ED">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61.4277</w:t>
            </w:r>
          </w:p>
        </w:tc>
      </w:tr>
      <w:tr w14:paraId="177D7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1E23059C">
            <w:pPr>
              <w:adjustRightInd w:val="0"/>
              <w:snapToGrid w:val="0"/>
              <w:jc w:val="center"/>
              <w:rPr>
                <w:rFonts w:ascii="Arial" w:hAnsi="Arial" w:cs="Arial" w:eastAsiaTheme="minorEastAsia"/>
                <w:sz w:val="21"/>
                <w:szCs w:val="21"/>
                <w:u w:val="single"/>
              </w:rPr>
            </w:pPr>
          </w:p>
        </w:tc>
        <w:tc>
          <w:tcPr>
            <w:tcW w:w="998" w:type="pct"/>
            <w:vAlign w:val="center"/>
          </w:tcPr>
          <w:p w14:paraId="409AFCD3">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氯化物</w:t>
            </w:r>
          </w:p>
        </w:tc>
        <w:tc>
          <w:tcPr>
            <w:tcW w:w="802" w:type="pct"/>
            <w:vAlign w:val="center"/>
          </w:tcPr>
          <w:p w14:paraId="14E20B9D">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5858.2194</w:t>
            </w:r>
          </w:p>
        </w:tc>
        <w:tc>
          <w:tcPr>
            <w:tcW w:w="551" w:type="pct"/>
            <w:shd w:val="clear" w:color="auto" w:fill="auto"/>
            <w:vAlign w:val="center"/>
          </w:tcPr>
          <w:p w14:paraId="3EE43B2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1.2819</w:t>
            </w:r>
          </w:p>
        </w:tc>
        <w:tc>
          <w:tcPr>
            <w:tcW w:w="634" w:type="pct"/>
            <w:vAlign w:val="center"/>
          </w:tcPr>
          <w:p w14:paraId="54BE656A">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8.6861</w:t>
            </w:r>
          </w:p>
        </w:tc>
        <w:tc>
          <w:tcPr>
            <w:tcW w:w="802" w:type="pct"/>
            <w:vAlign w:val="center"/>
          </w:tcPr>
          <w:p w14:paraId="27458553">
            <w:pPr>
              <w:adjustRightInd w:val="0"/>
              <w:snapToGrid w:val="0"/>
              <w:jc w:val="center"/>
              <w:rPr>
                <w:rFonts w:ascii="Arial" w:hAnsi="Arial" w:eastAsia="宋体" w:cs="Arial"/>
                <w:sz w:val="21"/>
                <w:szCs w:val="21"/>
                <w:u w:val="single"/>
              </w:rPr>
            </w:pPr>
            <w:r>
              <w:rPr>
                <w:rFonts w:ascii="Arial" w:hAnsi="Arial" w:cs="Arial"/>
                <w:sz w:val="21"/>
                <w:szCs w:val="21"/>
                <w:u w:val="single"/>
              </w:rPr>
              <w:t>5850.8152</w:t>
            </w:r>
          </w:p>
        </w:tc>
        <w:tc>
          <w:tcPr>
            <w:tcW w:w="606" w:type="pct"/>
            <w:vAlign w:val="center"/>
          </w:tcPr>
          <w:p w14:paraId="3118979F">
            <w:pPr>
              <w:adjustRightInd w:val="0"/>
              <w:snapToGrid w:val="0"/>
              <w:jc w:val="center"/>
              <w:rPr>
                <w:rFonts w:ascii="Arial" w:hAnsi="Arial" w:eastAsia="宋体" w:cs="Arial"/>
                <w:sz w:val="21"/>
                <w:szCs w:val="21"/>
                <w:u w:val="single"/>
              </w:rPr>
            </w:pPr>
            <w:r>
              <w:rPr>
                <w:rFonts w:ascii="Arial" w:hAnsi="Arial" w:cs="Arial"/>
                <w:sz w:val="21"/>
                <w:szCs w:val="21"/>
                <w:u w:val="single"/>
              </w:rPr>
              <w:t>-7.4042</w:t>
            </w:r>
          </w:p>
        </w:tc>
      </w:tr>
      <w:tr w14:paraId="6AEFE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43B52739">
            <w:pPr>
              <w:adjustRightInd w:val="0"/>
              <w:snapToGrid w:val="0"/>
              <w:jc w:val="center"/>
              <w:rPr>
                <w:rFonts w:ascii="Arial" w:hAnsi="Arial" w:cs="Arial" w:eastAsiaTheme="minorEastAsia"/>
                <w:sz w:val="21"/>
                <w:szCs w:val="21"/>
                <w:u w:val="single"/>
              </w:rPr>
            </w:pPr>
          </w:p>
        </w:tc>
        <w:tc>
          <w:tcPr>
            <w:tcW w:w="998" w:type="pct"/>
            <w:vAlign w:val="center"/>
          </w:tcPr>
          <w:p w14:paraId="17AE9970">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COD</w:t>
            </w:r>
          </w:p>
        </w:tc>
        <w:tc>
          <w:tcPr>
            <w:tcW w:w="802" w:type="pct"/>
            <w:vAlign w:val="center"/>
          </w:tcPr>
          <w:p w14:paraId="20412E7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58.6509</w:t>
            </w:r>
          </w:p>
        </w:tc>
        <w:tc>
          <w:tcPr>
            <w:tcW w:w="551" w:type="pct"/>
            <w:shd w:val="clear" w:color="auto" w:fill="auto"/>
            <w:vAlign w:val="center"/>
          </w:tcPr>
          <w:p w14:paraId="7FA0375C">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0.1806</w:t>
            </w:r>
          </w:p>
        </w:tc>
        <w:tc>
          <w:tcPr>
            <w:tcW w:w="634" w:type="pct"/>
            <w:vAlign w:val="center"/>
          </w:tcPr>
          <w:p w14:paraId="4078C41A">
            <w:pPr>
              <w:adjustRightInd w:val="0"/>
              <w:snapToGrid w:val="0"/>
              <w:jc w:val="center"/>
              <w:rPr>
                <w:rFonts w:ascii="Arial" w:hAnsi="Arial" w:cs="Arial" w:eastAsiaTheme="minorEastAsia"/>
                <w:sz w:val="21"/>
                <w:szCs w:val="21"/>
                <w:u w:val="single"/>
              </w:rPr>
            </w:pPr>
            <w:r>
              <w:rPr>
                <w:rFonts w:hint="eastAsia" w:ascii="Arial" w:hAnsi="Arial" w:cs="Arial" w:eastAsiaTheme="minorEastAsia"/>
                <w:sz w:val="21"/>
                <w:szCs w:val="21"/>
                <w:u w:val="single"/>
              </w:rPr>
              <w:t>0</w:t>
            </w:r>
          </w:p>
        </w:tc>
        <w:tc>
          <w:tcPr>
            <w:tcW w:w="802" w:type="pct"/>
            <w:vAlign w:val="center"/>
          </w:tcPr>
          <w:p w14:paraId="7407E0B3">
            <w:pPr>
              <w:adjustRightInd w:val="0"/>
              <w:snapToGrid w:val="0"/>
              <w:jc w:val="center"/>
              <w:rPr>
                <w:rFonts w:ascii="Arial" w:hAnsi="Arial" w:eastAsia="宋体" w:cs="Arial"/>
                <w:sz w:val="21"/>
                <w:szCs w:val="21"/>
                <w:u w:val="single"/>
              </w:rPr>
            </w:pPr>
            <w:r>
              <w:rPr>
                <w:rFonts w:ascii="Arial" w:hAnsi="Arial" w:cs="Arial"/>
                <w:sz w:val="21"/>
                <w:szCs w:val="21"/>
                <w:u w:val="single"/>
              </w:rPr>
              <w:t>58.8315</w:t>
            </w:r>
          </w:p>
        </w:tc>
        <w:tc>
          <w:tcPr>
            <w:tcW w:w="606" w:type="pct"/>
            <w:vAlign w:val="center"/>
          </w:tcPr>
          <w:p w14:paraId="6D442943">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0.1806</w:t>
            </w:r>
          </w:p>
        </w:tc>
      </w:tr>
      <w:tr w14:paraId="1F4C5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0FA9118F">
            <w:pPr>
              <w:adjustRightInd w:val="0"/>
              <w:snapToGrid w:val="0"/>
              <w:jc w:val="center"/>
              <w:rPr>
                <w:rFonts w:ascii="Arial" w:hAnsi="Arial" w:cs="Arial" w:eastAsiaTheme="minorEastAsia"/>
                <w:sz w:val="21"/>
                <w:szCs w:val="21"/>
                <w:u w:val="single"/>
              </w:rPr>
            </w:pPr>
          </w:p>
        </w:tc>
        <w:tc>
          <w:tcPr>
            <w:tcW w:w="998" w:type="pct"/>
            <w:vAlign w:val="center"/>
          </w:tcPr>
          <w:p w14:paraId="64135C82">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氨氮</w:t>
            </w:r>
          </w:p>
        </w:tc>
        <w:tc>
          <w:tcPr>
            <w:tcW w:w="802" w:type="pct"/>
            <w:vAlign w:val="center"/>
          </w:tcPr>
          <w:p w14:paraId="55D0E4F5">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6.0564</w:t>
            </w:r>
          </w:p>
        </w:tc>
        <w:tc>
          <w:tcPr>
            <w:tcW w:w="551" w:type="pct"/>
            <w:shd w:val="clear" w:color="auto" w:fill="auto"/>
            <w:vAlign w:val="center"/>
          </w:tcPr>
          <w:p w14:paraId="49EC5CE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0.0249</w:t>
            </w:r>
          </w:p>
        </w:tc>
        <w:tc>
          <w:tcPr>
            <w:tcW w:w="634" w:type="pct"/>
            <w:vAlign w:val="center"/>
          </w:tcPr>
          <w:p w14:paraId="0BB4D1DA">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32E35A0F">
            <w:pPr>
              <w:adjustRightInd w:val="0"/>
              <w:snapToGrid w:val="0"/>
              <w:jc w:val="center"/>
              <w:rPr>
                <w:rFonts w:ascii="Arial" w:hAnsi="Arial" w:eastAsia="宋体" w:cs="Arial"/>
                <w:sz w:val="21"/>
                <w:szCs w:val="21"/>
                <w:u w:val="single"/>
              </w:rPr>
            </w:pPr>
            <w:r>
              <w:rPr>
                <w:rFonts w:ascii="Arial" w:hAnsi="Arial" w:cs="Arial"/>
                <w:sz w:val="21"/>
                <w:szCs w:val="21"/>
                <w:u w:val="single"/>
              </w:rPr>
              <w:t>6.0813</w:t>
            </w:r>
          </w:p>
        </w:tc>
        <w:tc>
          <w:tcPr>
            <w:tcW w:w="606" w:type="pct"/>
            <w:vAlign w:val="center"/>
          </w:tcPr>
          <w:p w14:paraId="5702BE53">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0.0249</w:t>
            </w:r>
          </w:p>
        </w:tc>
      </w:tr>
      <w:tr w14:paraId="470C2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4FBC3CE4">
            <w:pPr>
              <w:adjustRightInd w:val="0"/>
              <w:snapToGrid w:val="0"/>
              <w:jc w:val="center"/>
              <w:rPr>
                <w:rFonts w:ascii="Arial" w:hAnsi="Arial" w:cs="Arial" w:eastAsiaTheme="minorEastAsia"/>
                <w:sz w:val="21"/>
                <w:szCs w:val="21"/>
                <w:u w:val="single"/>
              </w:rPr>
            </w:pPr>
          </w:p>
        </w:tc>
        <w:tc>
          <w:tcPr>
            <w:tcW w:w="998" w:type="pct"/>
            <w:vAlign w:val="center"/>
          </w:tcPr>
          <w:p w14:paraId="0378D0F9">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pacing w:val="10"/>
                <w:sz w:val="21"/>
                <w:szCs w:val="21"/>
                <w:u w:val="single"/>
              </w:rPr>
              <w:t>镍</w:t>
            </w:r>
          </w:p>
        </w:tc>
        <w:tc>
          <w:tcPr>
            <w:tcW w:w="802" w:type="pct"/>
            <w:vAlign w:val="center"/>
          </w:tcPr>
          <w:p w14:paraId="4CF5814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0.2502</w:t>
            </w:r>
          </w:p>
        </w:tc>
        <w:tc>
          <w:tcPr>
            <w:tcW w:w="551" w:type="pct"/>
            <w:shd w:val="clear" w:color="auto" w:fill="auto"/>
            <w:vAlign w:val="center"/>
          </w:tcPr>
          <w:p w14:paraId="016D49B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34" w:type="pct"/>
            <w:vAlign w:val="center"/>
          </w:tcPr>
          <w:p w14:paraId="58B127C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802" w:type="pct"/>
            <w:vAlign w:val="center"/>
          </w:tcPr>
          <w:p w14:paraId="1F4ED4C8">
            <w:pPr>
              <w:adjustRightInd w:val="0"/>
              <w:snapToGrid w:val="0"/>
              <w:jc w:val="center"/>
              <w:rPr>
                <w:rFonts w:ascii="Arial" w:hAnsi="Arial" w:eastAsia="宋体" w:cs="Arial"/>
                <w:sz w:val="21"/>
                <w:szCs w:val="21"/>
                <w:u w:val="single"/>
              </w:rPr>
            </w:pPr>
            <w:r>
              <w:rPr>
                <w:rFonts w:ascii="Arial" w:hAnsi="Arial" w:cs="Arial"/>
                <w:sz w:val="21"/>
                <w:szCs w:val="21"/>
                <w:u w:val="single"/>
              </w:rPr>
              <w:t>0.2502</w:t>
            </w:r>
          </w:p>
        </w:tc>
        <w:tc>
          <w:tcPr>
            <w:tcW w:w="606" w:type="pct"/>
            <w:vAlign w:val="center"/>
          </w:tcPr>
          <w:p w14:paraId="2E45CE68">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68D49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38120D66">
            <w:pPr>
              <w:adjustRightInd w:val="0"/>
              <w:snapToGrid w:val="0"/>
              <w:jc w:val="center"/>
              <w:rPr>
                <w:rFonts w:ascii="Arial" w:hAnsi="Arial" w:cs="Arial" w:eastAsiaTheme="minorEastAsia"/>
                <w:sz w:val="21"/>
                <w:szCs w:val="21"/>
                <w:u w:val="single"/>
              </w:rPr>
            </w:pPr>
          </w:p>
        </w:tc>
        <w:tc>
          <w:tcPr>
            <w:tcW w:w="998" w:type="pct"/>
            <w:vAlign w:val="center"/>
          </w:tcPr>
          <w:p w14:paraId="2798CE2F">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pacing w:val="10"/>
                <w:sz w:val="21"/>
                <w:szCs w:val="21"/>
                <w:u w:val="single"/>
              </w:rPr>
              <w:t>钴</w:t>
            </w:r>
          </w:p>
        </w:tc>
        <w:tc>
          <w:tcPr>
            <w:tcW w:w="802" w:type="pct"/>
            <w:vAlign w:val="center"/>
          </w:tcPr>
          <w:p w14:paraId="2C2AA988">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0.3061</w:t>
            </w:r>
          </w:p>
        </w:tc>
        <w:tc>
          <w:tcPr>
            <w:tcW w:w="551" w:type="pct"/>
            <w:shd w:val="clear" w:color="auto" w:fill="auto"/>
            <w:vAlign w:val="center"/>
          </w:tcPr>
          <w:p w14:paraId="7BB692A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0.0006</w:t>
            </w:r>
          </w:p>
        </w:tc>
        <w:tc>
          <w:tcPr>
            <w:tcW w:w="634" w:type="pct"/>
            <w:vAlign w:val="center"/>
          </w:tcPr>
          <w:p w14:paraId="262619F8">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1EBF0335">
            <w:pPr>
              <w:adjustRightInd w:val="0"/>
              <w:snapToGrid w:val="0"/>
              <w:jc w:val="center"/>
              <w:rPr>
                <w:rFonts w:ascii="Arial" w:hAnsi="Arial" w:eastAsia="宋体" w:cs="Arial"/>
                <w:sz w:val="21"/>
                <w:szCs w:val="21"/>
                <w:u w:val="single"/>
              </w:rPr>
            </w:pPr>
            <w:r>
              <w:rPr>
                <w:rFonts w:ascii="Arial" w:hAnsi="Arial" w:cs="Arial"/>
                <w:sz w:val="21"/>
                <w:szCs w:val="21"/>
                <w:u w:val="single"/>
              </w:rPr>
              <w:t>0.3067</w:t>
            </w:r>
          </w:p>
        </w:tc>
        <w:tc>
          <w:tcPr>
            <w:tcW w:w="606" w:type="pct"/>
            <w:vAlign w:val="center"/>
          </w:tcPr>
          <w:p w14:paraId="20EAC001">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0.0006</w:t>
            </w:r>
          </w:p>
        </w:tc>
      </w:tr>
      <w:tr w14:paraId="78F96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3FED9577">
            <w:pPr>
              <w:adjustRightInd w:val="0"/>
              <w:snapToGrid w:val="0"/>
              <w:jc w:val="center"/>
              <w:rPr>
                <w:rFonts w:ascii="Arial" w:hAnsi="Arial" w:cs="Arial" w:eastAsiaTheme="minorEastAsia"/>
                <w:sz w:val="21"/>
                <w:szCs w:val="21"/>
                <w:u w:val="single"/>
              </w:rPr>
            </w:pPr>
          </w:p>
        </w:tc>
        <w:tc>
          <w:tcPr>
            <w:tcW w:w="998" w:type="pct"/>
            <w:vAlign w:val="center"/>
          </w:tcPr>
          <w:p w14:paraId="188BD9D0">
            <w:pPr>
              <w:topLinePunct/>
              <w:autoSpaceDE w:val="0"/>
              <w:autoSpaceDN w:val="0"/>
              <w:adjustRightInd w:val="0"/>
              <w:snapToGrid w:val="0"/>
              <w:jc w:val="center"/>
              <w:rPr>
                <w:rFonts w:ascii="Arial" w:hAnsi="Arial" w:cs="Arial" w:eastAsiaTheme="minorEastAsia"/>
                <w:spacing w:val="10"/>
                <w:sz w:val="21"/>
                <w:szCs w:val="21"/>
                <w:u w:val="single"/>
              </w:rPr>
            </w:pPr>
            <w:r>
              <w:rPr>
                <w:rFonts w:ascii="Arial" w:hAnsi="Arial" w:cs="Arial" w:eastAsiaTheme="minorEastAsia"/>
                <w:spacing w:val="10"/>
                <w:sz w:val="21"/>
                <w:szCs w:val="21"/>
                <w:u w:val="single"/>
              </w:rPr>
              <w:t>锰</w:t>
            </w:r>
          </w:p>
        </w:tc>
        <w:tc>
          <w:tcPr>
            <w:tcW w:w="802" w:type="pct"/>
            <w:vAlign w:val="center"/>
          </w:tcPr>
          <w:p w14:paraId="482FC366">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0.3215</w:t>
            </w:r>
          </w:p>
        </w:tc>
        <w:tc>
          <w:tcPr>
            <w:tcW w:w="551" w:type="pct"/>
            <w:shd w:val="clear" w:color="auto" w:fill="auto"/>
            <w:vAlign w:val="center"/>
          </w:tcPr>
          <w:p w14:paraId="6B67FAC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34" w:type="pct"/>
            <w:vAlign w:val="center"/>
          </w:tcPr>
          <w:p w14:paraId="0F0D165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802" w:type="pct"/>
            <w:vAlign w:val="center"/>
          </w:tcPr>
          <w:p w14:paraId="041DC984">
            <w:pPr>
              <w:adjustRightInd w:val="0"/>
              <w:snapToGrid w:val="0"/>
              <w:jc w:val="center"/>
              <w:rPr>
                <w:rFonts w:ascii="Arial" w:hAnsi="Arial" w:eastAsia="宋体" w:cs="Arial"/>
                <w:sz w:val="21"/>
                <w:szCs w:val="21"/>
                <w:u w:val="single"/>
              </w:rPr>
            </w:pPr>
            <w:r>
              <w:rPr>
                <w:rFonts w:ascii="Arial" w:hAnsi="Arial" w:cs="Arial"/>
                <w:sz w:val="21"/>
                <w:szCs w:val="21"/>
                <w:u w:val="single"/>
              </w:rPr>
              <w:t>0.3215</w:t>
            </w:r>
          </w:p>
        </w:tc>
        <w:tc>
          <w:tcPr>
            <w:tcW w:w="606" w:type="pct"/>
            <w:vAlign w:val="center"/>
          </w:tcPr>
          <w:p w14:paraId="05C88740">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1334C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122C3D4B">
            <w:pPr>
              <w:adjustRightInd w:val="0"/>
              <w:snapToGrid w:val="0"/>
              <w:jc w:val="center"/>
              <w:rPr>
                <w:rFonts w:ascii="Arial" w:hAnsi="Arial" w:cs="Arial" w:eastAsiaTheme="minorEastAsia"/>
                <w:sz w:val="21"/>
                <w:szCs w:val="21"/>
                <w:u w:val="single"/>
              </w:rPr>
            </w:pPr>
          </w:p>
        </w:tc>
        <w:tc>
          <w:tcPr>
            <w:tcW w:w="998" w:type="pct"/>
            <w:vAlign w:val="center"/>
          </w:tcPr>
          <w:p w14:paraId="46383033">
            <w:pPr>
              <w:topLinePunct/>
              <w:autoSpaceDE w:val="0"/>
              <w:autoSpaceDN w:val="0"/>
              <w:adjustRightInd w:val="0"/>
              <w:snapToGrid w:val="0"/>
              <w:jc w:val="center"/>
              <w:rPr>
                <w:rFonts w:ascii="Arial" w:hAnsi="Arial" w:cs="Arial" w:eastAsiaTheme="minorEastAsia"/>
                <w:spacing w:val="10"/>
                <w:sz w:val="21"/>
                <w:szCs w:val="21"/>
                <w:u w:val="single"/>
              </w:rPr>
            </w:pPr>
            <w:r>
              <w:rPr>
                <w:rFonts w:ascii="Arial" w:hAnsi="Arial" w:cs="Arial" w:eastAsiaTheme="minorEastAsia"/>
                <w:spacing w:val="10"/>
                <w:sz w:val="21"/>
                <w:szCs w:val="21"/>
                <w:u w:val="single"/>
              </w:rPr>
              <w:t>铜</w:t>
            </w:r>
          </w:p>
        </w:tc>
        <w:tc>
          <w:tcPr>
            <w:tcW w:w="802" w:type="pct"/>
            <w:vAlign w:val="center"/>
          </w:tcPr>
          <w:p w14:paraId="749DF914">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0.0220</w:t>
            </w:r>
          </w:p>
        </w:tc>
        <w:tc>
          <w:tcPr>
            <w:tcW w:w="551" w:type="pct"/>
            <w:shd w:val="clear" w:color="auto" w:fill="auto"/>
            <w:vAlign w:val="center"/>
          </w:tcPr>
          <w:p w14:paraId="6B696B5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34" w:type="pct"/>
            <w:vAlign w:val="center"/>
          </w:tcPr>
          <w:p w14:paraId="4647411E">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369A0061">
            <w:pPr>
              <w:adjustRightInd w:val="0"/>
              <w:snapToGrid w:val="0"/>
              <w:jc w:val="center"/>
              <w:rPr>
                <w:rFonts w:ascii="Arial" w:hAnsi="Arial" w:eastAsia="宋体" w:cs="Arial"/>
                <w:sz w:val="21"/>
                <w:szCs w:val="21"/>
                <w:u w:val="single"/>
              </w:rPr>
            </w:pPr>
            <w:r>
              <w:rPr>
                <w:rFonts w:ascii="Arial" w:hAnsi="Arial" w:cs="Arial"/>
                <w:sz w:val="21"/>
                <w:szCs w:val="21"/>
                <w:u w:val="single"/>
              </w:rPr>
              <w:t>0.022</w:t>
            </w:r>
          </w:p>
        </w:tc>
        <w:tc>
          <w:tcPr>
            <w:tcW w:w="606" w:type="pct"/>
            <w:vAlign w:val="center"/>
          </w:tcPr>
          <w:p w14:paraId="4D0D52F8">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27BED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6A462D15">
            <w:pPr>
              <w:adjustRightInd w:val="0"/>
              <w:snapToGrid w:val="0"/>
              <w:jc w:val="center"/>
              <w:rPr>
                <w:rFonts w:ascii="Arial" w:hAnsi="Arial" w:cs="Arial" w:eastAsiaTheme="minorEastAsia"/>
                <w:sz w:val="21"/>
                <w:szCs w:val="21"/>
                <w:u w:val="single"/>
              </w:rPr>
            </w:pPr>
          </w:p>
        </w:tc>
        <w:tc>
          <w:tcPr>
            <w:tcW w:w="998" w:type="pct"/>
            <w:vAlign w:val="center"/>
          </w:tcPr>
          <w:p w14:paraId="213C6F66">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石油类</w:t>
            </w:r>
          </w:p>
        </w:tc>
        <w:tc>
          <w:tcPr>
            <w:tcW w:w="802" w:type="pct"/>
            <w:vAlign w:val="center"/>
          </w:tcPr>
          <w:p w14:paraId="268A5DB2">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2.3282</w:t>
            </w:r>
          </w:p>
        </w:tc>
        <w:tc>
          <w:tcPr>
            <w:tcW w:w="551" w:type="pct"/>
            <w:shd w:val="clear" w:color="auto" w:fill="auto"/>
            <w:vAlign w:val="center"/>
          </w:tcPr>
          <w:p w14:paraId="25392DA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634" w:type="pct"/>
            <w:vAlign w:val="center"/>
          </w:tcPr>
          <w:p w14:paraId="1D9893F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802" w:type="pct"/>
            <w:vAlign w:val="center"/>
          </w:tcPr>
          <w:p w14:paraId="01723F95">
            <w:pPr>
              <w:adjustRightInd w:val="0"/>
              <w:snapToGrid w:val="0"/>
              <w:jc w:val="center"/>
              <w:rPr>
                <w:rFonts w:ascii="Arial" w:hAnsi="Arial" w:eastAsia="宋体" w:cs="Arial"/>
                <w:sz w:val="21"/>
                <w:szCs w:val="21"/>
                <w:u w:val="single"/>
              </w:rPr>
            </w:pPr>
            <w:r>
              <w:rPr>
                <w:rFonts w:ascii="Arial" w:hAnsi="Arial" w:cs="Arial"/>
                <w:sz w:val="21"/>
                <w:szCs w:val="21"/>
                <w:u w:val="single"/>
              </w:rPr>
              <w:t>2.3282</w:t>
            </w:r>
          </w:p>
        </w:tc>
        <w:tc>
          <w:tcPr>
            <w:tcW w:w="606" w:type="pct"/>
            <w:vAlign w:val="center"/>
          </w:tcPr>
          <w:p w14:paraId="16FDF579">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6CE70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restart"/>
            <w:vAlign w:val="center"/>
          </w:tcPr>
          <w:p w14:paraId="5FED3538">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生活污水</w:t>
            </w:r>
          </w:p>
        </w:tc>
        <w:tc>
          <w:tcPr>
            <w:tcW w:w="998" w:type="pct"/>
            <w:vAlign w:val="center"/>
          </w:tcPr>
          <w:p w14:paraId="2A1F922E">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废水量</w:t>
            </w:r>
          </w:p>
        </w:tc>
        <w:tc>
          <w:tcPr>
            <w:tcW w:w="802" w:type="pct"/>
            <w:vAlign w:val="center"/>
          </w:tcPr>
          <w:p w14:paraId="1837AF01">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112045</w:t>
            </w:r>
          </w:p>
        </w:tc>
        <w:tc>
          <w:tcPr>
            <w:tcW w:w="551" w:type="pct"/>
            <w:shd w:val="clear" w:color="auto" w:fill="auto"/>
            <w:vAlign w:val="center"/>
          </w:tcPr>
          <w:p w14:paraId="2B4166FF">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1584</w:t>
            </w:r>
          </w:p>
        </w:tc>
        <w:tc>
          <w:tcPr>
            <w:tcW w:w="634" w:type="pct"/>
            <w:vAlign w:val="center"/>
          </w:tcPr>
          <w:p w14:paraId="07190FDE">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1584</w:t>
            </w:r>
          </w:p>
        </w:tc>
        <w:tc>
          <w:tcPr>
            <w:tcW w:w="802" w:type="pct"/>
            <w:vAlign w:val="center"/>
          </w:tcPr>
          <w:p w14:paraId="67827935">
            <w:pPr>
              <w:adjustRightInd w:val="0"/>
              <w:snapToGrid w:val="0"/>
              <w:jc w:val="center"/>
              <w:rPr>
                <w:rFonts w:ascii="Arial" w:hAnsi="Arial" w:eastAsia="宋体" w:cs="Arial"/>
                <w:sz w:val="21"/>
                <w:szCs w:val="21"/>
                <w:u w:val="single"/>
              </w:rPr>
            </w:pPr>
            <w:r>
              <w:rPr>
                <w:rFonts w:ascii="Arial" w:hAnsi="Arial" w:cs="Arial"/>
                <w:sz w:val="21"/>
                <w:szCs w:val="21"/>
                <w:u w:val="single"/>
              </w:rPr>
              <w:t>112045</w:t>
            </w:r>
          </w:p>
        </w:tc>
        <w:tc>
          <w:tcPr>
            <w:tcW w:w="606" w:type="pct"/>
            <w:vAlign w:val="center"/>
          </w:tcPr>
          <w:p w14:paraId="1370E3FD">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308D1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76D53958">
            <w:pPr>
              <w:adjustRightInd w:val="0"/>
              <w:snapToGrid w:val="0"/>
              <w:jc w:val="center"/>
              <w:rPr>
                <w:rFonts w:ascii="Arial" w:hAnsi="Arial" w:cs="Arial" w:eastAsiaTheme="minorEastAsia"/>
                <w:sz w:val="21"/>
                <w:szCs w:val="21"/>
                <w:u w:val="single"/>
              </w:rPr>
            </w:pPr>
          </w:p>
        </w:tc>
        <w:tc>
          <w:tcPr>
            <w:tcW w:w="998" w:type="pct"/>
            <w:vAlign w:val="center"/>
          </w:tcPr>
          <w:p w14:paraId="6D05CD31">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COD</w:t>
            </w:r>
          </w:p>
        </w:tc>
        <w:tc>
          <w:tcPr>
            <w:tcW w:w="802" w:type="pct"/>
            <w:vAlign w:val="center"/>
          </w:tcPr>
          <w:p w14:paraId="129DC41E">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28.2869</w:t>
            </w:r>
          </w:p>
        </w:tc>
        <w:tc>
          <w:tcPr>
            <w:tcW w:w="551" w:type="pct"/>
            <w:shd w:val="clear" w:color="auto" w:fill="auto"/>
            <w:vAlign w:val="center"/>
          </w:tcPr>
          <w:p w14:paraId="49797B5B">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0.451</w:t>
            </w:r>
          </w:p>
        </w:tc>
        <w:tc>
          <w:tcPr>
            <w:tcW w:w="634" w:type="pct"/>
            <w:vAlign w:val="center"/>
          </w:tcPr>
          <w:p w14:paraId="547E1E56">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0.451</w:t>
            </w:r>
          </w:p>
        </w:tc>
        <w:tc>
          <w:tcPr>
            <w:tcW w:w="802" w:type="pct"/>
            <w:vAlign w:val="center"/>
          </w:tcPr>
          <w:p w14:paraId="055E9FA3">
            <w:pPr>
              <w:adjustRightInd w:val="0"/>
              <w:snapToGrid w:val="0"/>
              <w:jc w:val="center"/>
              <w:rPr>
                <w:rFonts w:ascii="Arial" w:hAnsi="Arial" w:eastAsia="宋体" w:cs="Arial"/>
                <w:sz w:val="21"/>
                <w:szCs w:val="21"/>
                <w:u w:val="single"/>
              </w:rPr>
            </w:pPr>
            <w:r>
              <w:rPr>
                <w:rFonts w:ascii="Arial" w:hAnsi="Arial" w:cs="Arial"/>
                <w:sz w:val="21"/>
                <w:szCs w:val="21"/>
                <w:u w:val="single"/>
              </w:rPr>
              <w:t>28.2869</w:t>
            </w:r>
          </w:p>
        </w:tc>
        <w:tc>
          <w:tcPr>
            <w:tcW w:w="606" w:type="pct"/>
            <w:vAlign w:val="center"/>
          </w:tcPr>
          <w:p w14:paraId="1A1EF441">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07DAD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2F0769AF">
            <w:pPr>
              <w:adjustRightInd w:val="0"/>
              <w:snapToGrid w:val="0"/>
              <w:jc w:val="center"/>
              <w:rPr>
                <w:rFonts w:ascii="Arial" w:hAnsi="Arial" w:cs="Arial" w:eastAsiaTheme="minorEastAsia"/>
                <w:sz w:val="21"/>
                <w:szCs w:val="21"/>
                <w:u w:val="single"/>
              </w:rPr>
            </w:pPr>
          </w:p>
        </w:tc>
        <w:tc>
          <w:tcPr>
            <w:tcW w:w="998" w:type="pct"/>
            <w:vAlign w:val="center"/>
          </w:tcPr>
          <w:p w14:paraId="4A6E32DE">
            <w:pPr>
              <w:topLinePunct/>
              <w:autoSpaceDE w:val="0"/>
              <w:autoSpaceDN w:val="0"/>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NH</w:t>
            </w:r>
            <w:r>
              <w:rPr>
                <w:rFonts w:ascii="Arial" w:hAnsi="Arial" w:cs="Arial" w:eastAsiaTheme="minorEastAsia"/>
                <w:sz w:val="21"/>
                <w:szCs w:val="21"/>
                <w:u w:val="single"/>
                <w:vertAlign w:val="subscript"/>
              </w:rPr>
              <w:t>3</w:t>
            </w:r>
            <w:r>
              <w:rPr>
                <w:rFonts w:ascii="Arial" w:hAnsi="Arial" w:cs="Arial" w:eastAsiaTheme="minorEastAsia"/>
                <w:sz w:val="21"/>
                <w:szCs w:val="21"/>
                <w:u w:val="single"/>
              </w:rPr>
              <w:t>-N</w:t>
            </w:r>
          </w:p>
        </w:tc>
        <w:tc>
          <w:tcPr>
            <w:tcW w:w="802" w:type="pct"/>
            <w:vAlign w:val="center"/>
          </w:tcPr>
          <w:p w14:paraId="00A255C1">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2.7114</w:t>
            </w:r>
          </w:p>
        </w:tc>
        <w:tc>
          <w:tcPr>
            <w:tcW w:w="551" w:type="pct"/>
            <w:shd w:val="clear" w:color="auto" w:fill="auto"/>
            <w:vAlign w:val="center"/>
          </w:tcPr>
          <w:p w14:paraId="6EC07E30">
            <w:pPr>
              <w:adjustRightInd w:val="0"/>
              <w:snapToGrid w:val="0"/>
              <w:jc w:val="center"/>
              <w:rPr>
                <w:rFonts w:ascii="Arial" w:hAnsi="Arial" w:cs="Arial" w:eastAsiaTheme="minorEastAsia"/>
                <w:sz w:val="21"/>
                <w:szCs w:val="21"/>
                <w:u w:val="single"/>
              </w:rPr>
            </w:pPr>
            <w:r>
              <w:rPr>
                <w:rFonts w:hint="eastAsia" w:ascii="Arial" w:hAnsi="Arial" w:cs="Arial" w:eastAsiaTheme="minorEastAsia"/>
                <w:sz w:val="21"/>
                <w:szCs w:val="21"/>
                <w:u w:val="single"/>
              </w:rPr>
              <w:t>0.045</w:t>
            </w:r>
          </w:p>
        </w:tc>
        <w:tc>
          <w:tcPr>
            <w:tcW w:w="634" w:type="pct"/>
            <w:vAlign w:val="center"/>
          </w:tcPr>
          <w:p w14:paraId="69B5F6AA">
            <w:pPr>
              <w:adjustRightInd w:val="0"/>
              <w:snapToGrid w:val="0"/>
              <w:jc w:val="center"/>
              <w:rPr>
                <w:rFonts w:ascii="Arial" w:hAnsi="Arial" w:cs="Arial" w:eastAsiaTheme="minorEastAsia"/>
                <w:sz w:val="21"/>
                <w:szCs w:val="21"/>
                <w:u w:val="single"/>
              </w:rPr>
            </w:pPr>
            <w:r>
              <w:rPr>
                <w:rFonts w:hint="eastAsia" w:ascii="Arial" w:hAnsi="Arial" w:cs="Arial" w:eastAsiaTheme="minorEastAsia"/>
                <w:sz w:val="21"/>
                <w:szCs w:val="21"/>
                <w:u w:val="single"/>
              </w:rPr>
              <w:t>0.045</w:t>
            </w:r>
          </w:p>
        </w:tc>
        <w:tc>
          <w:tcPr>
            <w:tcW w:w="802" w:type="pct"/>
            <w:vAlign w:val="center"/>
          </w:tcPr>
          <w:p w14:paraId="04C4CD79">
            <w:pPr>
              <w:adjustRightInd w:val="0"/>
              <w:snapToGrid w:val="0"/>
              <w:jc w:val="center"/>
              <w:rPr>
                <w:rFonts w:ascii="Arial" w:hAnsi="Arial" w:eastAsia="宋体" w:cs="Arial"/>
                <w:sz w:val="21"/>
                <w:szCs w:val="21"/>
                <w:u w:val="single"/>
              </w:rPr>
            </w:pPr>
            <w:r>
              <w:rPr>
                <w:rFonts w:ascii="Arial" w:hAnsi="Arial" w:cs="Arial"/>
                <w:sz w:val="21"/>
                <w:szCs w:val="21"/>
                <w:u w:val="single"/>
              </w:rPr>
              <w:t>2.7114</w:t>
            </w:r>
          </w:p>
        </w:tc>
        <w:tc>
          <w:tcPr>
            <w:tcW w:w="606" w:type="pct"/>
            <w:vAlign w:val="center"/>
          </w:tcPr>
          <w:p w14:paraId="0D0B5C26">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r w14:paraId="0B9F0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restart"/>
            <w:vAlign w:val="center"/>
          </w:tcPr>
          <w:p w14:paraId="70C3C704">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固废</w:t>
            </w:r>
          </w:p>
        </w:tc>
        <w:tc>
          <w:tcPr>
            <w:tcW w:w="998" w:type="pct"/>
            <w:vAlign w:val="center"/>
          </w:tcPr>
          <w:p w14:paraId="21B6D0E0">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一般工业固废</w:t>
            </w:r>
          </w:p>
        </w:tc>
        <w:tc>
          <w:tcPr>
            <w:tcW w:w="802" w:type="pct"/>
            <w:vAlign w:val="center"/>
          </w:tcPr>
          <w:p w14:paraId="7D77F4EB">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445603.24</w:t>
            </w:r>
          </w:p>
        </w:tc>
        <w:tc>
          <w:tcPr>
            <w:tcW w:w="551" w:type="pct"/>
            <w:vAlign w:val="center"/>
          </w:tcPr>
          <w:p w14:paraId="7DFBC983">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29.74</w:t>
            </w:r>
          </w:p>
        </w:tc>
        <w:tc>
          <w:tcPr>
            <w:tcW w:w="634" w:type="pct"/>
            <w:vAlign w:val="center"/>
          </w:tcPr>
          <w:p w14:paraId="3F6EA764">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0</w:t>
            </w:r>
          </w:p>
        </w:tc>
        <w:tc>
          <w:tcPr>
            <w:tcW w:w="802" w:type="pct"/>
            <w:vAlign w:val="center"/>
          </w:tcPr>
          <w:p w14:paraId="13188A76">
            <w:pPr>
              <w:adjustRightInd w:val="0"/>
              <w:snapToGrid w:val="0"/>
              <w:jc w:val="center"/>
              <w:rPr>
                <w:rFonts w:ascii="Arial" w:hAnsi="Arial" w:eastAsia="宋体" w:cs="Arial"/>
                <w:sz w:val="21"/>
                <w:szCs w:val="21"/>
                <w:u w:val="single"/>
              </w:rPr>
            </w:pPr>
            <w:r>
              <w:rPr>
                <w:rFonts w:ascii="Arial" w:hAnsi="Arial" w:cs="Arial"/>
                <w:sz w:val="21"/>
                <w:szCs w:val="21"/>
                <w:u w:val="single"/>
              </w:rPr>
              <w:t>445632.98</w:t>
            </w:r>
          </w:p>
        </w:tc>
        <w:tc>
          <w:tcPr>
            <w:tcW w:w="606" w:type="pct"/>
            <w:vAlign w:val="center"/>
          </w:tcPr>
          <w:p w14:paraId="2F849042">
            <w:pPr>
              <w:adjustRightInd w:val="0"/>
              <w:snapToGrid w:val="0"/>
              <w:jc w:val="center"/>
              <w:rPr>
                <w:rFonts w:ascii="Arial" w:hAnsi="Arial" w:eastAsia="宋体" w:cs="Arial"/>
                <w:sz w:val="21"/>
                <w:szCs w:val="21"/>
                <w:u w:val="single"/>
              </w:rPr>
            </w:pPr>
            <w:r>
              <w:rPr>
                <w:rFonts w:hint="eastAsia" w:ascii="Arial" w:hAnsi="Arial" w:cs="Arial"/>
                <w:sz w:val="21"/>
                <w:szCs w:val="21"/>
                <w:u w:val="single"/>
              </w:rPr>
              <w:t>+</w:t>
            </w:r>
            <w:r>
              <w:rPr>
                <w:rFonts w:ascii="Arial" w:hAnsi="Arial" w:cs="Arial"/>
                <w:sz w:val="21"/>
                <w:szCs w:val="21"/>
                <w:u w:val="single"/>
              </w:rPr>
              <w:t>29.74</w:t>
            </w:r>
          </w:p>
        </w:tc>
      </w:tr>
      <w:tr w14:paraId="165FE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6DF93295">
            <w:pPr>
              <w:adjustRightInd w:val="0"/>
              <w:snapToGrid w:val="0"/>
              <w:jc w:val="center"/>
              <w:rPr>
                <w:rFonts w:ascii="Arial" w:hAnsi="Arial" w:cs="Arial" w:eastAsiaTheme="minorEastAsia"/>
                <w:sz w:val="21"/>
                <w:szCs w:val="21"/>
                <w:u w:val="single"/>
              </w:rPr>
            </w:pPr>
          </w:p>
        </w:tc>
        <w:tc>
          <w:tcPr>
            <w:tcW w:w="998" w:type="pct"/>
            <w:vAlign w:val="center"/>
          </w:tcPr>
          <w:p w14:paraId="0C166190">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危险废物</w:t>
            </w:r>
          </w:p>
        </w:tc>
        <w:tc>
          <w:tcPr>
            <w:tcW w:w="802" w:type="pct"/>
            <w:vAlign w:val="center"/>
          </w:tcPr>
          <w:p w14:paraId="51A98649">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2270.372</w:t>
            </w:r>
          </w:p>
        </w:tc>
        <w:tc>
          <w:tcPr>
            <w:tcW w:w="551" w:type="pct"/>
            <w:vAlign w:val="center"/>
          </w:tcPr>
          <w:p w14:paraId="6F918877">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0.5</w:t>
            </w:r>
          </w:p>
        </w:tc>
        <w:tc>
          <w:tcPr>
            <w:tcW w:w="634" w:type="pct"/>
            <w:vAlign w:val="center"/>
          </w:tcPr>
          <w:p w14:paraId="3D2D374A">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60</w:t>
            </w:r>
          </w:p>
        </w:tc>
        <w:tc>
          <w:tcPr>
            <w:tcW w:w="802" w:type="pct"/>
            <w:vAlign w:val="center"/>
          </w:tcPr>
          <w:p w14:paraId="0AAEE7AE">
            <w:pPr>
              <w:adjustRightInd w:val="0"/>
              <w:snapToGrid w:val="0"/>
              <w:jc w:val="center"/>
              <w:rPr>
                <w:rFonts w:ascii="Arial" w:hAnsi="Arial" w:eastAsia="宋体" w:cs="Arial"/>
                <w:sz w:val="21"/>
                <w:szCs w:val="21"/>
                <w:u w:val="single"/>
              </w:rPr>
            </w:pPr>
            <w:r>
              <w:rPr>
                <w:rFonts w:ascii="Arial" w:hAnsi="Arial" w:cs="Arial"/>
                <w:sz w:val="21"/>
                <w:szCs w:val="21"/>
                <w:u w:val="single"/>
              </w:rPr>
              <w:t>2210.872</w:t>
            </w:r>
          </w:p>
        </w:tc>
        <w:tc>
          <w:tcPr>
            <w:tcW w:w="606" w:type="pct"/>
            <w:vAlign w:val="center"/>
          </w:tcPr>
          <w:p w14:paraId="72FAB0DC">
            <w:pPr>
              <w:adjustRightInd w:val="0"/>
              <w:snapToGrid w:val="0"/>
              <w:jc w:val="center"/>
              <w:rPr>
                <w:rFonts w:ascii="Arial" w:hAnsi="Arial" w:eastAsia="宋体" w:cs="Arial"/>
                <w:sz w:val="21"/>
                <w:szCs w:val="21"/>
                <w:u w:val="single"/>
              </w:rPr>
            </w:pPr>
            <w:r>
              <w:rPr>
                <w:rFonts w:ascii="Arial" w:hAnsi="Arial" w:cs="Arial"/>
                <w:sz w:val="21"/>
                <w:szCs w:val="21"/>
                <w:u w:val="single"/>
              </w:rPr>
              <w:t>-59.5</w:t>
            </w:r>
          </w:p>
        </w:tc>
      </w:tr>
      <w:tr w14:paraId="1AA2D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607" w:type="pct"/>
            <w:vMerge w:val="continue"/>
            <w:vAlign w:val="center"/>
          </w:tcPr>
          <w:p w14:paraId="77227356">
            <w:pPr>
              <w:adjustRightInd w:val="0"/>
              <w:snapToGrid w:val="0"/>
              <w:jc w:val="center"/>
              <w:rPr>
                <w:rFonts w:ascii="Arial" w:hAnsi="Arial" w:cs="Arial" w:eastAsiaTheme="minorEastAsia"/>
                <w:sz w:val="21"/>
                <w:szCs w:val="21"/>
                <w:u w:val="single"/>
              </w:rPr>
            </w:pPr>
          </w:p>
        </w:tc>
        <w:tc>
          <w:tcPr>
            <w:tcW w:w="998" w:type="pct"/>
            <w:vAlign w:val="center"/>
          </w:tcPr>
          <w:p w14:paraId="7FAFA1AD">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生活垃圾</w:t>
            </w:r>
          </w:p>
        </w:tc>
        <w:tc>
          <w:tcPr>
            <w:tcW w:w="802" w:type="pct"/>
            <w:vAlign w:val="center"/>
          </w:tcPr>
          <w:p w14:paraId="0FDA585F">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1721.87</w:t>
            </w:r>
          </w:p>
        </w:tc>
        <w:tc>
          <w:tcPr>
            <w:tcW w:w="551" w:type="pct"/>
            <w:vAlign w:val="center"/>
          </w:tcPr>
          <w:p w14:paraId="467CE4FE">
            <w:pPr>
              <w:pStyle w:val="5"/>
              <w:adjustRightInd w:val="0"/>
              <w:snapToGrid w:val="0"/>
              <w:spacing w:line="240" w:lineRule="auto"/>
              <w:ind w:firstLine="0"/>
              <w:jc w:val="center"/>
              <w:rPr>
                <w:rFonts w:eastAsiaTheme="minorEastAsia"/>
                <w:sz w:val="21"/>
                <w:szCs w:val="21"/>
                <w:u w:val="single"/>
              </w:rPr>
            </w:pPr>
            <w:r>
              <w:rPr>
                <w:rFonts w:eastAsiaTheme="minorEastAsia"/>
                <w:sz w:val="21"/>
                <w:szCs w:val="21"/>
                <w:u w:val="single"/>
              </w:rPr>
              <w:t>10</w:t>
            </w:r>
          </w:p>
        </w:tc>
        <w:tc>
          <w:tcPr>
            <w:tcW w:w="634" w:type="pct"/>
            <w:vAlign w:val="center"/>
          </w:tcPr>
          <w:p w14:paraId="4069ABC1">
            <w:pPr>
              <w:adjustRightInd w:val="0"/>
              <w:snapToGrid w:val="0"/>
              <w:jc w:val="center"/>
              <w:rPr>
                <w:rFonts w:ascii="Arial" w:hAnsi="Arial" w:cs="Arial" w:eastAsiaTheme="minorEastAsia"/>
                <w:sz w:val="21"/>
                <w:szCs w:val="21"/>
                <w:u w:val="single"/>
              </w:rPr>
            </w:pPr>
            <w:r>
              <w:rPr>
                <w:rFonts w:ascii="Arial" w:hAnsi="Arial" w:cs="Arial" w:eastAsiaTheme="minorEastAsia"/>
                <w:sz w:val="21"/>
                <w:szCs w:val="21"/>
                <w:u w:val="single"/>
              </w:rPr>
              <w:t>10</w:t>
            </w:r>
          </w:p>
        </w:tc>
        <w:tc>
          <w:tcPr>
            <w:tcW w:w="802" w:type="pct"/>
            <w:vAlign w:val="center"/>
          </w:tcPr>
          <w:p w14:paraId="30EEEFE5">
            <w:pPr>
              <w:adjustRightInd w:val="0"/>
              <w:snapToGrid w:val="0"/>
              <w:jc w:val="center"/>
              <w:rPr>
                <w:rFonts w:ascii="Arial" w:hAnsi="Arial" w:eastAsia="宋体" w:cs="Arial"/>
                <w:sz w:val="21"/>
                <w:szCs w:val="21"/>
                <w:u w:val="single"/>
              </w:rPr>
            </w:pPr>
            <w:r>
              <w:rPr>
                <w:rFonts w:ascii="Arial" w:hAnsi="Arial" w:cs="Arial"/>
                <w:sz w:val="21"/>
                <w:szCs w:val="21"/>
                <w:u w:val="single"/>
              </w:rPr>
              <w:t>1721.87</w:t>
            </w:r>
          </w:p>
        </w:tc>
        <w:tc>
          <w:tcPr>
            <w:tcW w:w="606" w:type="pct"/>
            <w:vAlign w:val="center"/>
          </w:tcPr>
          <w:p w14:paraId="5975E36E">
            <w:pPr>
              <w:adjustRightInd w:val="0"/>
              <w:snapToGrid w:val="0"/>
              <w:jc w:val="center"/>
              <w:rPr>
                <w:rFonts w:ascii="Arial" w:hAnsi="Arial" w:eastAsia="宋体" w:cs="Arial"/>
                <w:sz w:val="21"/>
                <w:szCs w:val="21"/>
                <w:u w:val="single"/>
              </w:rPr>
            </w:pPr>
            <w:r>
              <w:rPr>
                <w:rFonts w:ascii="Arial" w:hAnsi="Arial" w:cs="Arial"/>
                <w:sz w:val="21"/>
                <w:szCs w:val="21"/>
                <w:u w:val="single"/>
              </w:rPr>
              <w:t>0</w:t>
            </w:r>
          </w:p>
        </w:tc>
      </w:tr>
    </w:tbl>
    <w:p w14:paraId="745811F7">
      <w:pPr>
        <w:pStyle w:val="4"/>
        <w:numPr>
          <w:ilvl w:val="1"/>
          <w:numId w:val="11"/>
        </w:numPr>
        <w:tabs>
          <w:tab w:val="left" w:pos="3217"/>
        </w:tabs>
        <w:spacing w:before="214" w:beforeLines="50" w:after="214" w:afterLines="50" w:line="500" w:lineRule="exact"/>
        <w:ind w:left="567"/>
        <w:rPr>
          <w:rFonts w:ascii="Arial" w:eastAsia="宋体" w:cs="Arial"/>
          <w:b/>
        </w:rPr>
      </w:pPr>
      <w:bookmarkStart w:id="272" w:name="_Toc185950220"/>
      <w:r>
        <w:rPr>
          <w:rFonts w:hint="eastAsia" w:ascii="Arial" w:eastAsia="宋体" w:cs="Arial"/>
          <w:b/>
        </w:rPr>
        <w:t>项目</w:t>
      </w:r>
      <w:r>
        <w:rPr>
          <w:rFonts w:ascii="Arial" w:eastAsia="宋体" w:cs="Arial"/>
          <w:b/>
        </w:rPr>
        <w:t>水平衡</w:t>
      </w:r>
      <w:bookmarkEnd w:id="272"/>
    </w:p>
    <w:p w14:paraId="71B639C6">
      <w:pPr>
        <w:pStyle w:val="5"/>
        <w:adjustRightInd w:val="0"/>
        <w:snapToGrid w:val="0"/>
        <w:ind w:firstLine="0"/>
        <w:jc w:val="center"/>
      </w:pPr>
    </w:p>
    <w:p w14:paraId="76D3434F">
      <w:pPr>
        <w:pStyle w:val="5"/>
        <w:ind w:firstLine="0"/>
        <w:jc w:val="center"/>
        <w:rPr>
          <w:u w:val="single"/>
        </w:rPr>
      </w:pPr>
      <w:r>
        <w:rPr>
          <w:b/>
          <w:u w:val="single"/>
        </w:rPr>
        <w:t>图2.</w:t>
      </w:r>
      <w:r>
        <w:rPr>
          <w:rFonts w:hint="eastAsia"/>
          <w:b/>
          <w:u w:val="single"/>
        </w:rPr>
        <w:t>7</w:t>
      </w:r>
      <w:r>
        <w:rPr>
          <w:b/>
          <w:u w:val="single"/>
        </w:rPr>
        <w:t>-1  本项目水平衡图（t</w:t>
      </w:r>
      <w:r>
        <w:rPr>
          <w:rFonts w:hint="eastAsia"/>
          <w:b/>
          <w:u w:val="single"/>
        </w:rPr>
        <w:t>/d</w:t>
      </w:r>
      <w:r>
        <w:rPr>
          <w:b/>
          <w:u w:val="single"/>
        </w:rPr>
        <w:t>）</w:t>
      </w:r>
    </w:p>
    <w:p w14:paraId="2FCE922D">
      <w:pPr>
        <w:pStyle w:val="5"/>
        <w:spacing w:line="500" w:lineRule="exact"/>
        <w:ind w:firstLine="490" w:firstLineChars="200"/>
        <w:sectPr>
          <w:footerReference r:id="rId17" w:type="default"/>
          <w:pgSz w:w="11907" w:h="16840"/>
          <w:pgMar w:top="1678" w:right="1134" w:bottom="1899" w:left="1134" w:header="1134" w:footer="1134" w:gutter="567"/>
          <w:cols w:space="720" w:num="1"/>
          <w:docGrid w:type="linesAndChars" w:linePitch="428" w:charSpace="-3161"/>
        </w:sectPr>
      </w:pPr>
    </w:p>
    <w:p w14:paraId="616A2A07">
      <w:pPr>
        <w:pStyle w:val="5"/>
        <w:keepNext/>
        <w:numPr>
          <w:ilvl w:val="0"/>
          <w:numId w:val="12"/>
        </w:numPr>
        <w:spacing w:line="480" w:lineRule="exact"/>
        <w:ind w:left="0" w:firstLine="0"/>
        <w:jc w:val="center"/>
        <w:outlineLvl w:val="4"/>
        <w:rPr>
          <w:b/>
          <w:u w:val="single"/>
        </w:rPr>
      </w:pPr>
      <w:r>
        <w:rPr>
          <w:rFonts w:hint="eastAsia"/>
          <w:b/>
          <w:u w:val="single"/>
        </w:rPr>
        <w:t>本项目</w:t>
      </w:r>
      <w:r>
        <w:rPr>
          <w:b/>
          <w:u w:val="single"/>
        </w:rPr>
        <w:t>水平衡表</w:t>
      </w:r>
    </w:p>
    <w:tbl>
      <w:tblPr>
        <w:tblStyle w:val="88"/>
        <w:tblW w:w="5000" w:type="pct"/>
        <w:tblInd w:w="0" w:type="dxa"/>
        <w:tblLayout w:type="autofit"/>
        <w:tblCellMar>
          <w:top w:w="0" w:type="dxa"/>
          <w:left w:w="108" w:type="dxa"/>
          <w:bottom w:w="0" w:type="dxa"/>
          <w:right w:w="108" w:type="dxa"/>
        </w:tblCellMar>
      </w:tblPr>
      <w:tblGrid>
        <w:gridCol w:w="1655"/>
        <w:gridCol w:w="838"/>
        <w:gridCol w:w="852"/>
        <w:gridCol w:w="852"/>
        <w:gridCol w:w="852"/>
        <w:gridCol w:w="1046"/>
        <w:gridCol w:w="739"/>
        <w:gridCol w:w="852"/>
        <w:gridCol w:w="852"/>
        <w:gridCol w:w="1043"/>
        <w:gridCol w:w="852"/>
        <w:gridCol w:w="1062"/>
        <w:gridCol w:w="838"/>
        <w:gridCol w:w="1146"/>
      </w:tblGrid>
      <w:tr w14:paraId="08D1815F">
        <w:tblPrEx>
          <w:tblCellMar>
            <w:top w:w="0" w:type="dxa"/>
            <w:left w:w="108" w:type="dxa"/>
            <w:bottom w:w="0" w:type="dxa"/>
            <w:right w:w="108" w:type="dxa"/>
          </w:tblCellMar>
        </w:tblPrEx>
        <w:trPr>
          <w:trHeight w:val="340" w:hRule="atLeast"/>
        </w:trPr>
        <w:tc>
          <w:tcPr>
            <w:tcW w:w="614" w:type="pct"/>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14:paraId="40DB4A53">
            <w:pPr>
              <w:widowControl/>
              <w:adjustRightInd w:val="0"/>
              <w:snapToGrid w:val="0"/>
              <w:jc w:val="center"/>
              <w:rPr>
                <w:rFonts w:ascii="Arial" w:hAnsi="Arial" w:eastAsia="宋体" w:cs="Arial"/>
                <w:kern w:val="0"/>
                <w:sz w:val="21"/>
                <w:szCs w:val="21"/>
                <w:u w:val="single"/>
              </w:rPr>
            </w:pPr>
          </w:p>
        </w:tc>
        <w:tc>
          <w:tcPr>
            <w:tcW w:w="1647" w:type="pct"/>
            <w:gridSpan w:val="5"/>
            <w:tcBorders>
              <w:top w:val="single" w:color="auto" w:sz="8" w:space="0"/>
              <w:left w:val="nil"/>
              <w:bottom w:val="single" w:color="auto" w:sz="8" w:space="0"/>
              <w:right w:val="single" w:color="000000" w:sz="8" w:space="0"/>
            </w:tcBorders>
            <w:shd w:val="clear" w:color="auto" w:fill="auto"/>
            <w:noWrap/>
            <w:vAlign w:val="center"/>
          </w:tcPr>
          <w:p w14:paraId="37BF2EB1">
            <w:pPr>
              <w:widowControl/>
              <w:adjustRightInd w:val="0"/>
              <w:snapToGrid w:val="0"/>
              <w:jc w:val="center"/>
              <w:rPr>
                <w:rFonts w:ascii="Arial" w:hAnsi="Arial" w:eastAsia="宋体" w:cs="Arial"/>
                <w:kern w:val="0"/>
                <w:sz w:val="21"/>
                <w:szCs w:val="21"/>
                <w:u w:val="single"/>
              </w:rPr>
            </w:pPr>
          </w:p>
        </w:tc>
        <w:tc>
          <w:tcPr>
            <w:tcW w:w="2739" w:type="pct"/>
            <w:gridSpan w:val="8"/>
            <w:tcBorders>
              <w:top w:val="single" w:color="auto" w:sz="8" w:space="0"/>
              <w:left w:val="nil"/>
              <w:bottom w:val="single" w:color="auto" w:sz="8" w:space="0"/>
              <w:right w:val="single" w:color="000000" w:sz="8" w:space="0"/>
            </w:tcBorders>
            <w:shd w:val="clear" w:color="auto" w:fill="auto"/>
            <w:vAlign w:val="center"/>
          </w:tcPr>
          <w:p w14:paraId="3C6EFC4A">
            <w:pPr>
              <w:widowControl/>
              <w:adjustRightInd w:val="0"/>
              <w:snapToGrid w:val="0"/>
              <w:jc w:val="center"/>
              <w:rPr>
                <w:rFonts w:ascii="Arial" w:hAnsi="Arial" w:eastAsia="宋体" w:cs="Arial"/>
                <w:kern w:val="0"/>
                <w:sz w:val="21"/>
                <w:szCs w:val="21"/>
                <w:u w:val="single"/>
              </w:rPr>
            </w:pPr>
          </w:p>
        </w:tc>
      </w:tr>
      <w:tr w14:paraId="308A850D">
        <w:tblPrEx>
          <w:tblCellMar>
            <w:top w:w="0" w:type="dxa"/>
            <w:left w:w="108" w:type="dxa"/>
            <w:bottom w:w="0" w:type="dxa"/>
            <w:right w:w="108" w:type="dxa"/>
          </w:tblCellMar>
        </w:tblPrEx>
        <w:trPr>
          <w:trHeight w:val="340" w:hRule="atLeast"/>
        </w:trPr>
        <w:tc>
          <w:tcPr>
            <w:tcW w:w="614" w:type="pct"/>
            <w:vMerge w:val="continue"/>
            <w:tcBorders>
              <w:top w:val="single" w:color="auto" w:sz="8" w:space="0"/>
              <w:left w:val="single" w:color="auto" w:sz="8" w:space="0"/>
              <w:bottom w:val="single" w:color="000000" w:sz="8" w:space="0"/>
              <w:right w:val="single" w:color="auto" w:sz="8" w:space="0"/>
            </w:tcBorders>
            <w:shd w:val="clear" w:color="auto" w:fill="auto"/>
            <w:vAlign w:val="center"/>
          </w:tcPr>
          <w:p w14:paraId="685CCEDC">
            <w:pPr>
              <w:widowControl/>
              <w:adjustRightInd w:val="0"/>
              <w:snapToGrid w:val="0"/>
              <w:jc w:val="center"/>
              <w:rPr>
                <w:rFonts w:ascii="Arial" w:hAnsi="Arial" w:eastAsia="宋体" w:cs="Arial"/>
                <w:kern w:val="0"/>
                <w:sz w:val="21"/>
                <w:szCs w:val="21"/>
                <w:u w:val="single"/>
              </w:rPr>
            </w:pPr>
          </w:p>
        </w:tc>
        <w:tc>
          <w:tcPr>
            <w:tcW w:w="311" w:type="pct"/>
            <w:vMerge w:val="restart"/>
            <w:tcBorders>
              <w:top w:val="nil"/>
              <w:left w:val="single" w:color="auto" w:sz="8" w:space="0"/>
              <w:bottom w:val="single" w:color="000000" w:sz="8" w:space="0"/>
              <w:right w:val="single" w:color="auto" w:sz="8" w:space="0"/>
            </w:tcBorders>
            <w:shd w:val="clear" w:color="auto" w:fill="auto"/>
            <w:noWrap/>
            <w:vAlign w:val="center"/>
          </w:tcPr>
          <w:p w14:paraId="4B78B459">
            <w:pPr>
              <w:widowControl/>
              <w:adjustRightInd w:val="0"/>
              <w:snapToGrid w:val="0"/>
              <w:jc w:val="center"/>
              <w:rPr>
                <w:rFonts w:ascii="Arial" w:hAnsi="Arial" w:eastAsia="宋体" w:cs="Arial"/>
                <w:kern w:val="0"/>
                <w:sz w:val="21"/>
                <w:szCs w:val="21"/>
                <w:u w:val="single"/>
              </w:rPr>
            </w:pPr>
          </w:p>
        </w:tc>
        <w:tc>
          <w:tcPr>
            <w:tcW w:w="316" w:type="pct"/>
            <w:vMerge w:val="restart"/>
            <w:tcBorders>
              <w:top w:val="nil"/>
              <w:left w:val="single" w:color="auto" w:sz="8" w:space="0"/>
              <w:bottom w:val="single" w:color="000000" w:sz="8" w:space="0"/>
              <w:right w:val="single" w:color="auto" w:sz="8" w:space="0"/>
            </w:tcBorders>
            <w:shd w:val="clear" w:color="auto" w:fill="auto"/>
            <w:noWrap/>
            <w:vAlign w:val="center"/>
          </w:tcPr>
          <w:p w14:paraId="70AB9FC8">
            <w:pPr>
              <w:widowControl/>
              <w:adjustRightInd w:val="0"/>
              <w:snapToGrid w:val="0"/>
              <w:jc w:val="center"/>
              <w:rPr>
                <w:rFonts w:ascii="Arial" w:hAnsi="Arial" w:eastAsia="宋体" w:cs="Arial"/>
                <w:kern w:val="0"/>
                <w:sz w:val="21"/>
                <w:szCs w:val="21"/>
                <w:u w:val="single"/>
              </w:rPr>
            </w:pPr>
          </w:p>
        </w:tc>
        <w:tc>
          <w:tcPr>
            <w:tcW w:w="316" w:type="pct"/>
            <w:vMerge w:val="restart"/>
            <w:tcBorders>
              <w:top w:val="nil"/>
              <w:left w:val="single" w:color="auto" w:sz="8" w:space="0"/>
              <w:bottom w:val="single" w:color="000000" w:sz="8" w:space="0"/>
              <w:right w:val="single" w:color="auto" w:sz="8" w:space="0"/>
            </w:tcBorders>
            <w:shd w:val="clear" w:color="auto" w:fill="auto"/>
            <w:noWrap/>
            <w:vAlign w:val="center"/>
          </w:tcPr>
          <w:p w14:paraId="031DB99D">
            <w:pPr>
              <w:widowControl/>
              <w:adjustRightInd w:val="0"/>
              <w:snapToGrid w:val="0"/>
              <w:jc w:val="center"/>
              <w:rPr>
                <w:rFonts w:ascii="Arial" w:hAnsi="Arial" w:eastAsia="宋体" w:cs="Arial"/>
                <w:kern w:val="0"/>
                <w:sz w:val="21"/>
                <w:szCs w:val="21"/>
                <w:u w:val="single"/>
              </w:rPr>
            </w:pPr>
          </w:p>
        </w:tc>
        <w:tc>
          <w:tcPr>
            <w:tcW w:w="316" w:type="pct"/>
            <w:vMerge w:val="restart"/>
            <w:tcBorders>
              <w:top w:val="nil"/>
              <w:left w:val="single" w:color="auto" w:sz="8" w:space="0"/>
              <w:bottom w:val="single" w:color="000000" w:sz="8" w:space="0"/>
              <w:right w:val="single" w:color="auto" w:sz="8" w:space="0"/>
            </w:tcBorders>
            <w:shd w:val="clear" w:color="auto" w:fill="auto"/>
            <w:noWrap/>
            <w:vAlign w:val="center"/>
          </w:tcPr>
          <w:p w14:paraId="26667C8D">
            <w:pPr>
              <w:widowControl/>
              <w:adjustRightInd w:val="0"/>
              <w:snapToGrid w:val="0"/>
              <w:jc w:val="center"/>
              <w:rPr>
                <w:rFonts w:ascii="Arial" w:hAnsi="Arial" w:eastAsia="宋体" w:cs="Arial"/>
                <w:kern w:val="0"/>
                <w:sz w:val="21"/>
                <w:szCs w:val="21"/>
                <w:u w:val="single"/>
              </w:rPr>
            </w:pPr>
          </w:p>
        </w:tc>
        <w:tc>
          <w:tcPr>
            <w:tcW w:w="387" w:type="pct"/>
            <w:vMerge w:val="restart"/>
            <w:tcBorders>
              <w:top w:val="nil"/>
              <w:left w:val="single" w:color="auto" w:sz="8" w:space="0"/>
              <w:bottom w:val="single" w:color="000000" w:sz="8" w:space="0"/>
              <w:right w:val="single" w:color="auto" w:sz="8" w:space="0"/>
            </w:tcBorders>
            <w:shd w:val="clear" w:color="auto" w:fill="auto"/>
            <w:noWrap/>
            <w:vAlign w:val="center"/>
          </w:tcPr>
          <w:p w14:paraId="44C4EFC3">
            <w:pPr>
              <w:widowControl/>
              <w:adjustRightInd w:val="0"/>
              <w:snapToGrid w:val="0"/>
              <w:jc w:val="center"/>
              <w:rPr>
                <w:rFonts w:ascii="Arial" w:hAnsi="Arial" w:eastAsia="宋体" w:cs="Arial"/>
                <w:kern w:val="0"/>
                <w:sz w:val="21"/>
                <w:szCs w:val="21"/>
                <w:u w:val="single"/>
              </w:rPr>
            </w:pPr>
          </w:p>
        </w:tc>
        <w:tc>
          <w:tcPr>
            <w:tcW w:w="274" w:type="pct"/>
            <w:vMerge w:val="restart"/>
            <w:tcBorders>
              <w:top w:val="nil"/>
              <w:left w:val="single" w:color="auto" w:sz="8" w:space="0"/>
              <w:bottom w:val="single" w:color="000000" w:sz="8" w:space="0"/>
              <w:right w:val="single" w:color="auto" w:sz="8" w:space="0"/>
            </w:tcBorders>
            <w:shd w:val="clear" w:color="auto" w:fill="auto"/>
            <w:noWrap/>
            <w:vAlign w:val="center"/>
          </w:tcPr>
          <w:p w14:paraId="522EE1B5">
            <w:pPr>
              <w:widowControl/>
              <w:adjustRightInd w:val="0"/>
              <w:snapToGrid w:val="0"/>
              <w:jc w:val="center"/>
              <w:rPr>
                <w:rFonts w:ascii="Arial" w:hAnsi="Arial" w:eastAsia="宋体" w:cs="Arial"/>
                <w:kern w:val="0"/>
                <w:sz w:val="21"/>
                <w:szCs w:val="21"/>
                <w:u w:val="single"/>
              </w:rPr>
            </w:pPr>
          </w:p>
        </w:tc>
        <w:tc>
          <w:tcPr>
            <w:tcW w:w="316" w:type="pct"/>
            <w:vMerge w:val="restart"/>
            <w:tcBorders>
              <w:top w:val="nil"/>
              <w:left w:val="single" w:color="auto" w:sz="8" w:space="0"/>
              <w:bottom w:val="single" w:color="000000" w:sz="8" w:space="0"/>
              <w:right w:val="single" w:color="auto" w:sz="8" w:space="0"/>
            </w:tcBorders>
            <w:shd w:val="clear" w:color="auto" w:fill="auto"/>
            <w:noWrap/>
            <w:vAlign w:val="center"/>
          </w:tcPr>
          <w:p w14:paraId="6B95BCBC">
            <w:pPr>
              <w:widowControl/>
              <w:adjustRightInd w:val="0"/>
              <w:snapToGrid w:val="0"/>
              <w:jc w:val="center"/>
              <w:rPr>
                <w:rFonts w:ascii="Arial" w:hAnsi="Arial" w:eastAsia="宋体" w:cs="Arial"/>
                <w:kern w:val="0"/>
                <w:sz w:val="21"/>
                <w:szCs w:val="21"/>
                <w:u w:val="single"/>
              </w:rPr>
            </w:pPr>
          </w:p>
        </w:tc>
        <w:tc>
          <w:tcPr>
            <w:tcW w:w="316" w:type="pct"/>
            <w:vMerge w:val="restart"/>
            <w:tcBorders>
              <w:top w:val="nil"/>
              <w:left w:val="single" w:color="auto" w:sz="8" w:space="0"/>
              <w:right w:val="single" w:color="auto" w:sz="8" w:space="0"/>
            </w:tcBorders>
            <w:shd w:val="clear" w:color="auto" w:fill="auto"/>
            <w:noWrap/>
            <w:vAlign w:val="center"/>
          </w:tcPr>
          <w:p w14:paraId="6A766C49">
            <w:pPr>
              <w:widowControl/>
              <w:adjustRightInd w:val="0"/>
              <w:snapToGrid w:val="0"/>
              <w:jc w:val="center"/>
              <w:rPr>
                <w:rFonts w:ascii="Arial" w:hAnsi="Arial" w:eastAsia="宋体" w:cs="Arial"/>
                <w:kern w:val="0"/>
                <w:sz w:val="21"/>
                <w:szCs w:val="21"/>
                <w:u w:val="single"/>
              </w:rPr>
            </w:pPr>
          </w:p>
        </w:tc>
        <w:tc>
          <w:tcPr>
            <w:tcW w:w="1097" w:type="pct"/>
            <w:gridSpan w:val="3"/>
            <w:tcBorders>
              <w:top w:val="single" w:color="auto" w:sz="8" w:space="0"/>
              <w:left w:val="nil"/>
              <w:bottom w:val="single" w:color="auto" w:sz="8" w:space="0"/>
              <w:right w:val="single" w:color="000000" w:sz="8" w:space="0"/>
            </w:tcBorders>
            <w:shd w:val="clear" w:color="auto" w:fill="auto"/>
            <w:vAlign w:val="center"/>
          </w:tcPr>
          <w:p w14:paraId="5C250D40">
            <w:pPr>
              <w:widowControl/>
              <w:adjustRightInd w:val="0"/>
              <w:snapToGrid w:val="0"/>
              <w:jc w:val="center"/>
              <w:rPr>
                <w:rFonts w:ascii="Arial" w:hAnsi="Arial" w:eastAsia="宋体" w:cs="Arial"/>
                <w:kern w:val="0"/>
                <w:sz w:val="21"/>
                <w:szCs w:val="21"/>
                <w:u w:val="single"/>
              </w:rPr>
            </w:pPr>
          </w:p>
        </w:tc>
        <w:tc>
          <w:tcPr>
            <w:tcW w:w="736" w:type="pct"/>
            <w:gridSpan w:val="2"/>
            <w:tcBorders>
              <w:top w:val="single" w:color="auto" w:sz="8" w:space="0"/>
              <w:left w:val="nil"/>
              <w:bottom w:val="single" w:color="auto" w:sz="8" w:space="0"/>
              <w:right w:val="single" w:color="000000" w:sz="8" w:space="0"/>
            </w:tcBorders>
            <w:shd w:val="clear" w:color="auto" w:fill="auto"/>
            <w:vAlign w:val="center"/>
          </w:tcPr>
          <w:p w14:paraId="147A3D33">
            <w:pPr>
              <w:widowControl/>
              <w:adjustRightInd w:val="0"/>
              <w:snapToGrid w:val="0"/>
              <w:jc w:val="center"/>
              <w:rPr>
                <w:rFonts w:ascii="Arial" w:hAnsi="Arial" w:eastAsia="宋体" w:cs="Arial"/>
                <w:kern w:val="0"/>
                <w:sz w:val="21"/>
                <w:szCs w:val="21"/>
                <w:u w:val="single"/>
              </w:rPr>
            </w:pPr>
          </w:p>
        </w:tc>
      </w:tr>
      <w:tr w14:paraId="6B2C06F9">
        <w:tblPrEx>
          <w:tblCellMar>
            <w:top w:w="0" w:type="dxa"/>
            <w:left w:w="108" w:type="dxa"/>
            <w:bottom w:w="0" w:type="dxa"/>
            <w:right w:w="108" w:type="dxa"/>
          </w:tblCellMar>
        </w:tblPrEx>
        <w:trPr>
          <w:trHeight w:val="340" w:hRule="atLeast"/>
        </w:trPr>
        <w:tc>
          <w:tcPr>
            <w:tcW w:w="614" w:type="pct"/>
            <w:vMerge w:val="continue"/>
            <w:tcBorders>
              <w:top w:val="single" w:color="auto" w:sz="8" w:space="0"/>
              <w:left w:val="single" w:color="auto" w:sz="8" w:space="0"/>
              <w:bottom w:val="single" w:color="000000" w:sz="8" w:space="0"/>
              <w:right w:val="single" w:color="auto" w:sz="8" w:space="0"/>
            </w:tcBorders>
            <w:shd w:val="clear" w:color="auto" w:fill="auto"/>
            <w:vAlign w:val="center"/>
          </w:tcPr>
          <w:p w14:paraId="4D1F0E0D">
            <w:pPr>
              <w:widowControl/>
              <w:adjustRightInd w:val="0"/>
              <w:snapToGrid w:val="0"/>
              <w:jc w:val="center"/>
              <w:rPr>
                <w:rFonts w:ascii="Arial" w:hAnsi="Arial" w:eastAsia="宋体" w:cs="Arial"/>
                <w:kern w:val="0"/>
                <w:sz w:val="21"/>
                <w:szCs w:val="21"/>
                <w:u w:val="single"/>
              </w:rPr>
            </w:pPr>
          </w:p>
        </w:tc>
        <w:tc>
          <w:tcPr>
            <w:tcW w:w="311" w:type="pct"/>
            <w:vMerge w:val="continue"/>
            <w:tcBorders>
              <w:top w:val="nil"/>
              <w:left w:val="single" w:color="auto" w:sz="8" w:space="0"/>
              <w:bottom w:val="single" w:color="000000" w:sz="8" w:space="0"/>
              <w:right w:val="single" w:color="auto" w:sz="8" w:space="0"/>
            </w:tcBorders>
            <w:shd w:val="clear" w:color="auto" w:fill="auto"/>
            <w:vAlign w:val="center"/>
          </w:tcPr>
          <w:p w14:paraId="3B6AE9C1">
            <w:pPr>
              <w:widowControl/>
              <w:adjustRightInd w:val="0"/>
              <w:snapToGrid w:val="0"/>
              <w:jc w:val="center"/>
              <w:rPr>
                <w:rFonts w:ascii="Arial" w:hAnsi="Arial" w:eastAsia="宋体" w:cs="Arial"/>
                <w:kern w:val="0"/>
                <w:sz w:val="21"/>
                <w:szCs w:val="21"/>
                <w:u w:val="single"/>
              </w:rPr>
            </w:pPr>
          </w:p>
        </w:tc>
        <w:tc>
          <w:tcPr>
            <w:tcW w:w="316" w:type="pct"/>
            <w:vMerge w:val="continue"/>
            <w:tcBorders>
              <w:top w:val="nil"/>
              <w:left w:val="single" w:color="auto" w:sz="8" w:space="0"/>
              <w:bottom w:val="single" w:color="000000" w:sz="8" w:space="0"/>
              <w:right w:val="single" w:color="auto" w:sz="8" w:space="0"/>
            </w:tcBorders>
            <w:shd w:val="clear" w:color="auto" w:fill="auto"/>
            <w:vAlign w:val="center"/>
          </w:tcPr>
          <w:p w14:paraId="0F967393">
            <w:pPr>
              <w:widowControl/>
              <w:adjustRightInd w:val="0"/>
              <w:snapToGrid w:val="0"/>
              <w:jc w:val="center"/>
              <w:rPr>
                <w:rFonts w:ascii="Arial" w:hAnsi="Arial" w:eastAsia="宋体" w:cs="Arial"/>
                <w:kern w:val="0"/>
                <w:sz w:val="21"/>
                <w:szCs w:val="21"/>
                <w:u w:val="single"/>
              </w:rPr>
            </w:pPr>
          </w:p>
        </w:tc>
        <w:tc>
          <w:tcPr>
            <w:tcW w:w="316" w:type="pct"/>
            <w:vMerge w:val="continue"/>
            <w:tcBorders>
              <w:top w:val="nil"/>
              <w:left w:val="single" w:color="auto" w:sz="8" w:space="0"/>
              <w:bottom w:val="single" w:color="000000" w:sz="8" w:space="0"/>
              <w:right w:val="single" w:color="auto" w:sz="8" w:space="0"/>
            </w:tcBorders>
            <w:shd w:val="clear" w:color="auto" w:fill="auto"/>
            <w:vAlign w:val="center"/>
          </w:tcPr>
          <w:p w14:paraId="19DC7571">
            <w:pPr>
              <w:widowControl/>
              <w:adjustRightInd w:val="0"/>
              <w:snapToGrid w:val="0"/>
              <w:jc w:val="center"/>
              <w:rPr>
                <w:rFonts w:ascii="Arial" w:hAnsi="Arial" w:eastAsia="宋体" w:cs="Arial"/>
                <w:kern w:val="0"/>
                <w:sz w:val="21"/>
                <w:szCs w:val="21"/>
                <w:u w:val="single"/>
              </w:rPr>
            </w:pPr>
          </w:p>
        </w:tc>
        <w:tc>
          <w:tcPr>
            <w:tcW w:w="316" w:type="pct"/>
            <w:vMerge w:val="continue"/>
            <w:tcBorders>
              <w:top w:val="nil"/>
              <w:left w:val="single" w:color="auto" w:sz="8" w:space="0"/>
              <w:bottom w:val="single" w:color="000000" w:sz="8" w:space="0"/>
              <w:right w:val="single" w:color="auto" w:sz="8" w:space="0"/>
            </w:tcBorders>
            <w:shd w:val="clear" w:color="auto" w:fill="auto"/>
            <w:vAlign w:val="center"/>
          </w:tcPr>
          <w:p w14:paraId="39923BE1">
            <w:pPr>
              <w:widowControl/>
              <w:adjustRightInd w:val="0"/>
              <w:snapToGrid w:val="0"/>
              <w:jc w:val="center"/>
              <w:rPr>
                <w:rFonts w:ascii="Arial" w:hAnsi="Arial" w:eastAsia="宋体" w:cs="Arial"/>
                <w:kern w:val="0"/>
                <w:sz w:val="21"/>
                <w:szCs w:val="21"/>
                <w:u w:val="single"/>
              </w:rPr>
            </w:pPr>
          </w:p>
        </w:tc>
        <w:tc>
          <w:tcPr>
            <w:tcW w:w="387" w:type="pct"/>
            <w:vMerge w:val="continue"/>
            <w:tcBorders>
              <w:top w:val="nil"/>
              <w:left w:val="single" w:color="auto" w:sz="8" w:space="0"/>
              <w:bottom w:val="single" w:color="000000" w:sz="8" w:space="0"/>
              <w:right w:val="single" w:color="auto" w:sz="8" w:space="0"/>
            </w:tcBorders>
            <w:shd w:val="clear" w:color="auto" w:fill="auto"/>
            <w:vAlign w:val="center"/>
          </w:tcPr>
          <w:p w14:paraId="3A0FF9AF">
            <w:pPr>
              <w:widowControl/>
              <w:adjustRightInd w:val="0"/>
              <w:snapToGrid w:val="0"/>
              <w:jc w:val="center"/>
              <w:rPr>
                <w:rFonts w:ascii="Arial" w:hAnsi="Arial" w:eastAsia="宋体" w:cs="Arial"/>
                <w:kern w:val="0"/>
                <w:sz w:val="21"/>
                <w:szCs w:val="21"/>
                <w:u w:val="single"/>
              </w:rPr>
            </w:pPr>
          </w:p>
        </w:tc>
        <w:tc>
          <w:tcPr>
            <w:tcW w:w="274" w:type="pct"/>
            <w:vMerge w:val="continue"/>
            <w:tcBorders>
              <w:top w:val="nil"/>
              <w:left w:val="single" w:color="auto" w:sz="8" w:space="0"/>
              <w:bottom w:val="single" w:color="000000" w:sz="8" w:space="0"/>
              <w:right w:val="single" w:color="auto" w:sz="8" w:space="0"/>
            </w:tcBorders>
            <w:shd w:val="clear" w:color="auto" w:fill="auto"/>
            <w:vAlign w:val="center"/>
          </w:tcPr>
          <w:p w14:paraId="11EA8B57">
            <w:pPr>
              <w:widowControl/>
              <w:adjustRightInd w:val="0"/>
              <w:snapToGrid w:val="0"/>
              <w:jc w:val="center"/>
              <w:rPr>
                <w:rFonts w:ascii="Arial" w:hAnsi="Arial" w:eastAsia="宋体" w:cs="Arial"/>
                <w:kern w:val="0"/>
                <w:sz w:val="21"/>
                <w:szCs w:val="21"/>
                <w:u w:val="single"/>
              </w:rPr>
            </w:pPr>
          </w:p>
        </w:tc>
        <w:tc>
          <w:tcPr>
            <w:tcW w:w="316" w:type="pct"/>
            <w:vMerge w:val="continue"/>
            <w:tcBorders>
              <w:top w:val="nil"/>
              <w:left w:val="single" w:color="auto" w:sz="8" w:space="0"/>
              <w:bottom w:val="single" w:color="000000" w:sz="8" w:space="0"/>
              <w:right w:val="single" w:color="auto" w:sz="8" w:space="0"/>
            </w:tcBorders>
            <w:shd w:val="clear" w:color="auto" w:fill="auto"/>
            <w:vAlign w:val="center"/>
          </w:tcPr>
          <w:p w14:paraId="6DF03722">
            <w:pPr>
              <w:widowControl/>
              <w:adjustRightInd w:val="0"/>
              <w:snapToGrid w:val="0"/>
              <w:jc w:val="center"/>
              <w:rPr>
                <w:rFonts w:ascii="Arial" w:hAnsi="Arial" w:eastAsia="宋体" w:cs="Arial"/>
                <w:kern w:val="0"/>
                <w:sz w:val="21"/>
                <w:szCs w:val="21"/>
                <w:u w:val="single"/>
              </w:rPr>
            </w:pPr>
          </w:p>
        </w:tc>
        <w:tc>
          <w:tcPr>
            <w:tcW w:w="316" w:type="pct"/>
            <w:vMerge w:val="continue"/>
            <w:tcBorders>
              <w:left w:val="single" w:color="auto" w:sz="8" w:space="0"/>
              <w:bottom w:val="single" w:color="000000" w:sz="8" w:space="0"/>
              <w:right w:val="single" w:color="auto" w:sz="8" w:space="0"/>
            </w:tcBorders>
            <w:shd w:val="clear" w:color="auto" w:fill="auto"/>
            <w:vAlign w:val="center"/>
          </w:tcPr>
          <w:p w14:paraId="33800BD6">
            <w:pPr>
              <w:widowControl/>
              <w:adjustRightInd w:val="0"/>
              <w:snapToGrid w:val="0"/>
              <w:jc w:val="center"/>
              <w:rPr>
                <w:rFonts w:ascii="Arial" w:hAnsi="Arial" w:eastAsia="宋体" w:cs="Arial"/>
                <w:kern w:val="0"/>
                <w:sz w:val="21"/>
                <w:szCs w:val="21"/>
                <w:u w:val="single"/>
              </w:rPr>
            </w:pPr>
          </w:p>
        </w:tc>
        <w:tc>
          <w:tcPr>
            <w:tcW w:w="387" w:type="pct"/>
            <w:tcBorders>
              <w:top w:val="nil"/>
              <w:left w:val="nil"/>
              <w:bottom w:val="single" w:color="auto" w:sz="8" w:space="0"/>
              <w:right w:val="single" w:color="auto" w:sz="8" w:space="0"/>
            </w:tcBorders>
            <w:shd w:val="clear" w:color="auto" w:fill="auto"/>
            <w:vAlign w:val="center"/>
          </w:tcPr>
          <w:p w14:paraId="5252ED94">
            <w:pPr>
              <w:widowControl/>
              <w:adjustRightInd w:val="0"/>
              <w:snapToGrid w:val="0"/>
              <w:jc w:val="center"/>
              <w:rPr>
                <w:rFonts w:ascii="Arial" w:hAnsi="Arial" w:eastAsia="宋体" w:cs="Arial"/>
                <w:kern w:val="0"/>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527122A0">
            <w:pPr>
              <w:widowControl/>
              <w:adjustRightInd w:val="0"/>
              <w:snapToGrid w:val="0"/>
              <w:jc w:val="center"/>
              <w:rPr>
                <w:rFonts w:ascii="Arial" w:hAnsi="Arial" w:eastAsia="宋体" w:cs="Arial"/>
                <w:kern w:val="0"/>
                <w:sz w:val="21"/>
                <w:szCs w:val="21"/>
                <w:u w:val="single"/>
              </w:rPr>
            </w:pPr>
          </w:p>
        </w:tc>
        <w:tc>
          <w:tcPr>
            <w:tcW w:w="394" w:type="pct"/>
            <w:tcBorders>
              <w:top w:val="nil"/>
              <w:left w:val="nil"/>
              <w:bottom w:val="single" w:color="auto" w:sz="8" w:space="0"/>
              <w:right w:val="single" w:color="auto" w:sz="8" w:space="0"/>
            </w:tcBorders>
            <w:shd w:val="clear" w:color="auto" w:fill="auto"/>
            <w:vAlign w:val="center"/>
          </w:tcPr>
          <w:p w14:paraId="11CBC0A0">
            <w:pPr>
              <w:widowControl/>
              <w:adjustRightInd w:val="0"/>
              <w:snapToGrid w:val="0"/>
              <w:jc w:val="center"/>
              <w:rPr>
                <w:rFonts w:ascii="Arial" w:hAnsi="Arial" w:eastAsia="宋体" w:cs="Arial"/>
                <w:kern w:val="0"/>
                <w:sz w:val="21"/>
                <w:szCs w:val="21"/>
                <w:u w:val="single"/>
              </w:rPr>
            </w:pPr>
          </w:p>
        </w:tc>
        <w:tc>
          <w:tcPr>
            <w:tcW w:w="311" w:type="pct"/>
            <w:tcBorders>
              <w:top w:val="nil"/>
              <w:left w:val="nil"/>
              <w:bottom w:val="single" w:color="auto" w:sz="8" w:space="0"/>
              <w:right w:val="single" w:color="auto" w:sz="8" w:space="0"/>
            </w:tcBorders>
            <w:shd w:val="clear" w:color="auto" w:fill="auto"/>
            <w:vAlign w:val="center"/>
          </w:tcPr>
          <w:p w14:paraId="50A96C1A">
            <w:pPr>
              <w:widowControl/>
              <w:adjustRightInd w:val="0"/>
              <w:snapToGrid w:val="0"/>
              <w:jc w:val="center"/>
              <w:rPr>
                <w:rFonts w:ascii="Arial" w:hAnsi="Arial" w:eastAsia="宋体" w:cs="Arial"/>
                <w:kern w:val="0"/>
                <w:sz w:val="21"/>
                <w:szCs w:val="21"/>
                <w:u w:val="single"/>
              </w:rPr>
            </w:pPr>
          </w:p>
        </w:tc>
        <w:tc>
          <w:tcPr>
            <w:tcW w:w="424" w:type="pct"/>
            <w:tcBorders>
              <w:top w:val="nil"/>
              <w:left w:val="nil"/>
              <w:bottom w:val="single" w:color="auto" w:sz="8" w:space="0"/>
              <w:right w:val="single" w:color="auto" w:sz="8" w:space="0"/>
            </w:tcBorders>
            <w:shd w:val="clear" w:color="auto" w:fill="auto"/>
            <w:noWrap/>
            <w:vAlign w:val="center"/>
          </w:tcPr>
          <w:p w14:paraId="0EA50135">
            <w:pPr>
              <w:widowControl/>
              <w:adjustRightInd w:val="0"/>
              <w:snapToGrid w:val="0"/>
              <w:jc w:val="center"/>
              <w:rPr>
                <w:rFonts w:ascii="Arial" w:hAnsi="Arial" w:eastAsia="宋体" w:cs="Arial"/>
                <w:kern w:val="0"/>
                <w:sz w:val="21"/>
                <w:szCs w:val="21"/>
                <w:u w:val="single"/>
              </w:rPr>
            </w:pPr>
          </w:p>
        </w:tc>
      </w:tr>
      <w:tr w14:paraId="1558BB8E">
        <w:tblPrEx>
          <w:tblCellMar>
            <w:top w:w="0" w:type="dxa"/>
            <w:left w:w="108" w:type="dxa"/>
            <w:bottom w:w="0" w:type="dxa"/>
            <w:right w:w="108" w:type="dxa"/>
          </w:tblCellMar>
        </w:tblPrEx>
        <w:trPr>
          <w:trHeight w:val="340" w:hRule="atLeast"/>
        </w:trPr>
        <w:tc>
          <w:tcPr>
            <w:tcW w:w="614" w:type="pct"/>
            <w:tcBorders>
              <w:top w:val="nil"/>
              <w:left w:val="single" w:color="auto" w:sz="8" w:space="0"/>
              <w:bottom w:val="single" w:color="auto" w:sz="8" w:space="0"/>
              <w:right w:val="single" w:color="auto" w:sz="8" w:space="0"/>
            </w:tcBorders>
            <w:shd w:val="clear" w:color="auto" w:fill="auto"/>
            <w:vAlign w:val="center"/>
          </w:tcPr>
          <w:p w14:paraId="116EEC0C">
            <w:pPr>
              <w:widowControl/>
              <w:adjustRightInd w:val="0"/>
              <w:snapToGrid w:val="0"/>
              <w:jc w:val="center"/>
              <w:rPr>
                <w:rFonts w:ascii="Arial" w:hAnsi="Arial" w:eastAsia="宋体" w:cs="Arial"/>
                <w:kern w:val="0"/>
                <w:sz w:val="21"/>
                <w:szCs w:val="21"/>
                <w:u w:val="single"/>
              </w:rPr>
            </w:pPr>
          </w:p>
        </w:tc>
        <w:tc>
          <w:tcPr>
            <w:tcW w:w="311" w:type="pct"/>
            <w:tcBorders>
              <w:top w:val="nil"/>
              <w:left w:val="nil"/>
              <w:bottom w:val="single" w:color="auto" w:sz="8" w:space="0"/>
              <w:right w:val="single" w:color="auto" w:sz="8" w:space="0"/>
            </w:tcBorders>
            <w:shd w:val="clear" w:color="auto" w:fill="auto"/>
            <w:vAlign w:val="center"/>
          </w:tcPr>
          <w:p w14:paraId="67624A72">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40CED932">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5A6F2E93">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765AAE51">
            <w:pPr>
              <w:adjustRightInd w:val="0"/>
              <w:snapToGrid w:val="0"/>
              <w:jc w:val="center"/>
              <w:rPr>
                <w:rFonts w:ascii="Arial" w:hAnsi="Arial" w:eastAsia="宋体" w:cs="Arial"/>
                <w:sz w:val="21"/>
                <w:szCs w:val="21"/>
                <w:u w:val="single"/>
              </w:rPr>
            </w:pPr>
          </w:p>
        </w:tc>
        <w:tc>
          <w:tcPr>
            <w:tcW w:w="387" w:type="pct"/>
            <w:tcBorders>
              <w:top w:val="nil"/>
              <w:left w:val="nil"/>
              <w:bottom w:val="single" w:color="auto" w:sz="8" w:space="0"/>
              <w:right w:val="single" w:color="auto" w:sz="8" w:space="0"/>
            </w:tcBorders>
            <w:shd w:val="clear" w:color="auto" w:fill="auto"/>
            <w:vAlign w:val="center"/>
          </w:tcPr>
          <w:p w14:paraId="0FDE4F5E">
            <w:pPr>
              <w:adjustRightInd w:val="0"/>
              <w:snapToGrid w:val="0"/>
              <w:jc w:val="center"/>
              <w:rPr>
                <w:rFonts w:ascii="Arial" w:hAnsi="Arial" w:eastAsia="宋体" w:cs="Arial"/>
                <w:sz w:val="21"/>
                <w:szCs w:val="21"/>
                <w:u w:val="single"/>
              </w:rPr>
            </w:pPr>
          </w:p>
        </w:tc>
        <w:tc>
          <w:tcPr>
            <w:tcW w:w="274" w:type="pct"/>
            <w:tcBorders>
              <w:top w:val="nil"/>
              <w:left w:val="nil"/>
              <w:bottom w:val="single" w:color="auto" w:sz="8" w:space="0"/>
              <w:right w:val="single" w:color="auto" w:sz="8" w:space="0"/>
            </w:tcBorders>
            <w:shd w:val="clear" w:color="auto" w:fill="auto"/>
            <w:vAlign w:val="center"/>
          </w:tcPr>
          <w:p w14:paraId="5E977907">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740ADE00">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5FF3ABBF">
            <w:pPr>
              <w:adjustRightInd w:val="0"/>
              <w:snapToGrid w:val="0"/>
              <w:jc w:val="center"/>
              <w:rPr>
                <w:rFonts w:ascii="Arial" w:hAnsi="Arial" w:eastAsia="宋体" w:cs="Arial"/>
                <w:sz w:val="21"/>
                <w:szCs w:val="21"/>
                <w:u w:val="single"/>
              </w:rPr>
            </w:pPr>
          </w:p>
        </w:tc>
        <w:tc>
          <w:tcPr>
            <w:tcW w:w="387" w:type="pct"/>
            <w:tcBorders>
              <w:top w:val="nil"/>
              <w:left w:val="nil"/>
              <w:bottom w:val="single" w:color="auto" w:sz="8" w:space="0"/>
              <w:right w:val="single" w:color="auto" w:sz="8" w:space="0"/>
            </w:tcBorders>
            <w:shd w:val="clear" w:color="auto" w:fill="auto"/>
            <w:vAlign w:val="center"/>
          </w:tcPr>
          <w:p w14:paraId="2210A112">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72FFEB7B">
            <w:pPr>
              <w:adjustRightInd w:val="0"/>
              <w:snapToGrid w:val="0"/>
              <w:jc w:val="center"/>
              <w:rPr>
                <w:rFonts w:ascii="Arial" w:hAnsi="Arial" w:eastAsia="宋体" w:cs="Arial"/>
                <w:sz w:val="21"/>
                <w:szCs w:val="21"/>
                <w:u w:val="single"/>
              </w:rPr>
            </w:pPr>
          </w:p>
        </w:tc>
        <w:tc>
          <w:tcPr>
            <w:tcW w:w="394" w:type="pct"/>
            <w:tcBorders>
              <w:top w:val="nil"/>
              <w:left w:val="nil"/>
              <w:bottom w:val="single" w:color="auto" w:sz="8" w:space="0"/>
              <w:right w:val="single" w:color="auto" w:sz="8" w:space="0"/>
            </w:tcBorders>
            <w:shd w:val="clear" w:color="auto" w:fill="auto"/>
            <w:vAlign w:val="center"/>
          </w:tcPr>
          <w:p w14:paraId="5EF9B382">
            <w:pPr>
              <w:adjustRightInd w:val="0"/>
              <w:snapToGrid w:val="0"/>
              <w:jc w:val="center"/>
              <w:rPr>
                <w:rFonts w:ascii="Arial" w:hAnsi="Arial" w:eastAsia="宋体" w:cs="Arial"/>
                <w:sz w:val="21"/>
                <w:szCs w:val="21"/>
                <w:u w:val="single"/>
              </w:rPr>
            </w:pPr>
          </w:p>
        </w:tc>
        <w:tc>
          <w:tcPr>
            <w:tcW w:w="311" w:type="pct"/>
            <w:tcBorders>
              <w:top w:val="nil"/>
              <w:left w:val="nil"/>
              <w:bottom w:val="single" w:color="auto" w:sz="8" w:space="0"/>
              <w:right w:val="single" w:color="auto" w:sz="8" w:space="0"/>
            </w:tcBorders>
            <w:shd w:val="clear" w:color="auto" w:fill="auto"/>
            <w:vAlign w:val="center"/>
          </w:tcPr>
          <w:p w14:paraId="2C687CBC">
            <w:pPr>
              <w:adjustRightInd w:val="0"/>
              <w:snapToGrid w:val="0"/>
              <w:jc w:val="center"/>
              <w:rPr>
                <w:rFonts w:ascii="Arial" w:hAnsi="Arial" w:eastAsia="宋体" w:cs="Arial"/>
                <w:sz w:val="21"/>
                <w:szCs w:val="21"/>
                <w:u w:val="single"/>
              </w:rPr>
            </w:pPr>
          </w:p>
        </w:tc>
        <w:tc>
          <w:tcPr>
            <w:tcW w:w="424" w:type="pct"/>
            <w:tcBorders>
              <w:top w:val="nil"/>
              <w:left w:val="nil"/>
              <w:bottom w:val="single" w:color="auto" w:sz="8" w:space="0"/>
              <w:right w:val="single" w:color="auto" w:sz="8" w:space="0"/>
            </w:tcBorders>
            <w:shd w:val="clear" w:color="auto" w:fill="auto"/>
            <w:noWrap/>
            <w:vAlign w:val="center"/>
          </w:tcPr>
          <w:p w14:paraId="3F861176">
            <w:pPr>
              <w:adjustRightInd w:val="0"/>
              <w:snapToGrid w:val="0"/>
              <w:jc w:val="center"/>
              <w:rPr>
                <w:rFonts w:ascii="Arial" w:hAnsi="Arial" w:eastAsia="宋体" w:cs="Arial"/>
                <w:sz w:val="21"/>
                <w:szCs w:val="21"/>
                <w:u w:val="single"/>
              </w:rPr>
            </w:pPr>
          </w:p>
        </w:tc>
      </w:tr>
      <w:tr w14:paraId="60B5ED4F">
        <w:tblPrEx>
          <w:tblCellMar>
            <w:top w:w="0" w:type="dxa"/>
            <w:left w:w="108" w:type="dxa"/>
            <w:bottom w:w="0" w:type="dxa"/>
            <w:right w:w="108" w:type="dxa"/>
          </w:tblCellMar>
        </w:tblPrEx>
        <w:trPr>
          <w:trHeight w:val="340" w:hRule="atLeast"/>
        </w:trPr>
        <w:tc>
          <w:tcPr>
            <w:tcW w:w="614" w:type="pct"/>
            <w:tcBorders>
              <w:top w:val="nil"/>
              <w:left w:val="single" w:color="auto" w:sz="8" w:space="0"/>
              <w:bottom w:val="single" w:color="auto" w:sz="8" w:space="0"/>
              <w:right w:val="single" w:color="auto" w:sz="8" w:space="0"/>
            </w:tcBorders>
            <w:shd w:val="clear" w:color="auto" w:fill="auto"/>
            <w:noWrap/>
            <w:vAlign w:val="center"/>
          </w:tcPr>
          <w:p w14:paraId="081FE858">
            <w:pPr>
              <w:widowControl/>
              <w:adjustRightInd w:val="0"/>
              <w:snapToGrid w:val="0"/>
              <w:jc w:val="center"/>
              <w:rPr>
                <w:rFonts w:ascii="Arial" w:hAnsi="Arial" w:eastAsia="宋体" w:cs="Arial"/>
                <w:kern w:val="0"/>
                <w:sz w:val="21"/>
                <w:szCs w:val="21"/>
                <w:u w:val="single"/>
              </w:rPr>
            </w:pPr>
          </w:p>
        </w:tc>
        <w:tc>
          <w:tcPr>
            <w:tcW w:w="311" w:type="pct"/>
            <w:tcBorders>
              <w:top w:val="nil"/>
              <w:left w:val="nil"/>
              <w:bottom w:val="single" w:color="auto" w:sz="8" w:space="0"/>
              <w:right w:val="single" w:color="auto" w:sz="8" w:space="0"/>
            </w:tcBorders>
            <w:shd w:val="clear" w:color="auto" w:fill="auto"/>
            <w:noWrap/>
            <w:vAlign w:val="center"/>
          </w:tcPr>
          <w:p w14:paraId="4B211C75">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504D9FF3">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4CFE1940">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4B1B7C46">
            <w:pPr>
              <w:adjustRightInd w:val="0"/>
              <w:snapToGrid w:val="0"/>
              <w:jc w:val="center"/>
              <w:rPr>
                <w:rFonts w:ascii="Arial" w:hAnsi="Arial" w:eastAsia="宋体" w:cs="Arial"/>
                <w:sz w:val="21"/>
                <w:szCs w:val="21"/>
                <w:u w:val="single"/>
              </w:rPr>
            </w:pPr>
          </w:p>
        </w:tc>
        <w:tc>
          <w:tcPr>
            <w:tcW w:w="387" w:type="pct"/>
            <w:tcBorders>
              <w:top w:val="nil"/>
              <w:left w:val="nil"/>
              <w:bottom w:val="single" w:color="auto" w:sz="8" w:space="0"/>
              <w:right w:val="single" w:color="auto" w:sz="8" w:space="0"/>
            </w:tcBorders>
            <w:shd w:val="clear" w:color="auto" w:fill="auto"/>
            <w:noWrap/>
            <w:vAlign w:val="center"/>
          </w:tcPr>
          <w:p w14:paraId="787B62F7">
            <w:pPr>
              <w:adjustRightInd w:val="0"/>
              <w:snapToGrid w:val="0"/>
              <w:jc w:val="center"/>
              <w:rPr>
                <w:rFonts w:ascii="Arial" w:hAnsi="Arial" w:eastAsia="宋体" w:cs="Arial"/>
                <w:sz w:val="21"/>
                <w:szCs w:val="21"/>
                <w:u w:val="single"/>
              </w:rPr>
            </w:pPr>
          </w:p>
        </w:tc>
        <w:tc>
          <w:tcPr>
            <w:tcW w:w="274" w:type="pct"/>
            <w:tcBorders>
              <w:top w:val="nil"/>
              <w:left w:val="nil"/>
              <w:bottom w:val="single" w:color="auto" w:sz="8" w:space="0"/>
              <w:right w:val="single" w:color="auto" w:sz="8" w:space="0"/>
            </w:tcBorders>
            <w:shd w:val="clear" w:color="auto" w:fill="auto"/>
            <w:noWrap/>
            <w:vAlign w:val="center"/>
          </w:tcPr>
          <w:p w14:paraId="3090A042">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3760C7A3">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16D792E2">
            <w:pPr>
              <w:adjustRightInd w:val="0"/>
              <w:snapToGrid w:val="0"/>
              <w:jc w:val="center"/>
              <w:rPr>
                <w:rFonts w:ascii="Arial" w:hAnsi="Arial" w:eastAsia="宋体" w:cs="Arial"/>
                <w:sz w:val="21"/>
                <w:szCs w:val="21"/>
                <w:u w:val="single"/>
              </w:rPr>
            </w:pPr>
          </w:p>
        </w:tc>
        <w:tc>
          <w:tcPr>
            <w:tcW w:w="387" w:type="pct"/>
            <w:tcBorders>
              <w:top w:val="nil"/>
              <w:left w:val="nil"/>
              <w:bottom w:val="single" w:color="auto" w:sz="8" w:space="0"/>
              <w:right w:val="single" w:color="auto" w:sz="8" w:space="0"/>
            </w:tcBorders>
            <w:shd w:val="clear" w:color="auto" w:fill="auto"/>
            <w:vAlign w:val="center"/>
          </w:tcPr>
          <w:p w14:paraId="672A9355">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67631CA9">
            <w:pPr>
              <w:adjustRightInd w:val="0"/>
              <w:snapToGrid w:val="0"/>
              <w:jc w:val="center"/>
              <w:rPr>
                <w:rFonts w:ascii="Arial" w:hAnsi="Arial" w:eastAsia="宋体" w:cs="Arial"/>
                <w:sz w:val="21"/>
                <w:szCs w:val="21"/>
                <w:u w:val="single"/>
              </w:rPr>
            </w:pPr>
          </w:p>
        </w:tc>
        <w:tc>
          <w:tcPr>
            <w:tcW w:w="394" w:type="pct"/>
            <w:tcBorders>
              <w:top w:val="nil"/>
              <w:left w:val="nil"/>
              <w:bottom w:val="single" w:color="auto" w:sz="8" w:space="0"/>
              <w:right w:val="single" w:color="auto" w:sz="8" w:space="0"/>
            </w:tcBorders>
            <w:shd w:val="clear" w:color="auto" w:fill="auto"/>
            <w:vAlign w:val="center"/>
          </w:tcPr>
          <w:p w14:paraId="604F781A">
            <w:pPr>
              <w:adjustRightInd w:val="0"/>
              <w:snapToGrid w:val="0"/>
              <w:jc w:val="center"/>
              <w:rPr>
                <w:rFonts w:ascii="Arial" w:hAnsi="Arial" w:eastAsia="宋体" w:cs="Arial"/>
                <w:sz w:val="21"/>
                <w:szCs w:val="21"/>
                <w:u w:val="single"/>
              </w:rPr>
            </w:pPr>
          </w:p>
        </w:tc>
        <w:tc>
          <w:tcPr>
            <w:tcW w:w="311" w:type="pct"/>
            <w:tcBorders>
              <w:top w:val="nil"/>
              <w:left w:val="nil"/>
              <w:bottom w:val="single" w:color="auto" w:sz="8" w:space="0"/>
              <w:right w:val="single" w:color="auto" w:sz="8" w:space="0"/>
            </w:tcBorders>
            <w:shd w:val="clear" w:color="auto" w:fill="auto"/>
            <w:vAlign w:val="center"/>
          </w:tcPr>
          <w:p w14:paraId="63BF6F2F">
            <w:pPr>
              <w:adjustRightInd w:val="0"/>
              <w:snapToGrid w:val="0"/>
              <w:jc w:val="center"/>
              <w:rPr>
                <w:rFonts w:ascii="Arial" w:hAnsi="Arial" w:eastAsia="宋体" w:cs="Arial"/>
                <w:sz w:val="21"/>
                <w:szCs w:val="21"/>
                <w:u w:val="single"/>
              </w:rPr>
            </w:pPr>
          </w:p>
        </w:tc>
        <w:tc>
          <w:tcPr>
            <w:tcW w:w="424" w:type="pct"/>
            <w:tcBorders>
              <w:top w:val="nil"/>
              <w:left w:val="nil"/>
              <w:bottom w:val="single" w:color="auto" w:sz="8" w:space="0"/>
              <w:right w:val="single" w:color="auto" w:sz="8" w:space="0"/>
            </w:tcBorders>
            <w:shd w:val="clear" w:color="auto" w:fill="auto"/>
            <w:noWrap/>
            <w:vAlign w:val="center"/>
          </w:tcPr>
          <w:p w14:paraId="421953F0">
            <w:pPr>
              <w:adjustRightInd w:val="0"/>
              <w:snapToGrid w:val="0"/>
              <w:jc w:val="center"/>
              <w:rPr>
                <w:rFonts w:ascii="Arial" w:hAnsi="Arial" w:eastAsia="宋体" w:cs="Arial"/>
                <w:sz w:val="21"/>
                <w:szCs w:val="21"/>
                <w:u w:val="single"/>
              </w:rPr>
            </w:pPr>
          </w:p>
        </w:tc>
      </w:tr>
      <w:tr w14:paraId="684F3BDD">
        <w:tblPrEx>
          <w:tblCellMar>
            <w:top w:w="0" w:type="dxa"/>
            <w:left w:w="108" w:type="dxa"/>
            <w:bottom w:w="0" w:type="dxa"/>
            <w:right w:w="108" w:type="dxa"/>
          </w:tblCellMar>
        </w:tblPrEx>
        <w:trPr>
          <w:trHeight w:val="340" w:hRule="atLeast"/>
        </w:trPr>
        <w:tc>
          <w:tcPr>
            <w:tcW w:w="614" w:type="pct"/>
            <w:tcBorders>
              <w:top w:val="nil"/>
              <w:left w:val="single" w:color="auto" w:sz="8" w:space="0"/>
              <w:bottom w:val="single" w:color="auto" w:sz="8" w:space="0"/>
              <w:right w:val="single" w:color="auto" w:sz="8" w:space="0"/>
            </w:tcBorders>
            <w:shd w:val="clear" w:color="auto" w:fill="auto"/>
            <w:noWrap/>
            <w:vAlign w:val="center"/>
          </w:tcPr>
          <w:p w14:paraId="3E5DE8B5">
            <w:pPr>
              <w:widowControl/>
              <w:adjustRightInd w:val="0"/>
              <w:snapToGrid w:val="0"/>
              <w:jc w:val="center"/>
              <w:rPr>
                <w:rFonts w:ascii="Arial" w:hAnsi="Arial" w:eastAsia="宋体" w:cs="Arial"/>
                <w:kern w:val="0"/>
                <w:sz w:val="21"/>
                <w:szCs w:val="21"/>
                <w:u w:val="single"/>
              </w:rPr>
            </w:pPr>
          </w:p>
        </w:tc>
        <w:tc>
          <w:tcPr>
            <w:tcW w:w="311" w:type="pct"/>
            <w:tcBorders>
              <w:top w:val="nil"/>
              <w:left w:val="nil"/>
              <w:bottom w:val="single" w:color="auto" w:sz="8" w:space="0"/>
              <w:right w:val="single" w:color="auto" w:sz="8" w:space="0"/>
            </w:tcBorders>
            <w:shd w:val="clear" w:color="auto" w:fill="auto"/>
            <w:noWrap/>
            <w:vAlign w:val="center"/>
          </w:tcPr>
          <w:p w14:paraId="33B54F02">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4DA4BEBE">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44364FA5">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729A57DC">
            <w:pPr>
              <w:adjustRightInd w:val="0"/>
              <w:snapToGrid w:val="0"/>
              <w:jc w:val="center"/>
              <w:rPr>
                <w:rFonts w:ascii="Arial" w:hAnsi="Arial" w:eastAsia="宋体" w:cs="Arial"/>
                <w:sz w:val="21"/>
                <w:szCs w:val="21"/>
                <w:u w:val="single"/>
              </w:rPr>
            </w:pPr>
          </w:p>
        </w:tc>
        <w:tc>
          <w:tcPr>
            <w:tcW w:w="387" w:type="pct"/>
            <w:tcBorders>
              <w:top w:val="nil"/>
              <w:left w:val="nil"/>
              <w:bottom w:val="single" w:color="auto" w:sz="8" w:space="0"/>
              <w:right w:val="single" w:color="auto" w:sz="8" w:space="0"/>
            </w:tcBorders>
            <w:shd w:val="clear" w:color="auto" w:fill="auto"/>
            <w:noWrap/>
            <w:vAlign w:val="center"/>
          </w:tcPr>
          <w:p w14:paraId="26299AD8">
            <w:pPr>
              <w:adjustRightInd w:val="0"/>
              <w:snapToGrid w:val="0"/>
              <w:jc w:val="center"/>
              <w:rPr>
                <w:rFonts w:ascii="Arial" w:hAnsi="Arial" w:eastAsia="宋体" w:cs="Arial"/>
                <w:sz w:val="21"/>
                <w:szCs w:val="21"/>
                <w:u w:val="single"/>
              </w:rPr>
            </w:pPr>
          </w:p>
        </w:tc>
        <w:tc>
          <w:tcPr>
            <w:tcW w:w="274" w:type="pct"/>
            <w:tcBorders>
              <w:top w:val="nil"/>
              <w:left w:val="nil"/>
              <w:bottom w:val="single" w:color="auto" w:sz="8" w:space="0"/>
              <w:right w:val="single" w:color="auto" w:sz="8" w:space="0"/>
            </w:tcBorders>
            <w:shd w:val="clear" w:color="auto" w:fill="auto"/>
            <w:noWrap/>
            <w:vAlign w:val="center"/>
          </w:tcPr>
          <w:p w14:paraId="25261721">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41520B7B">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038F33E5">
            <w:pPr>
              <w:adjustRightInd w:val="0"/>
              <w:snapToGrid w:val="0"/>
              <w:jc w:val="center"/>
              <w:rPr>
                <w:rFonts w:ascii="Arial" w:hAnsi="Arial" w:eastAsia="宋体" w:cs="Arial"/>
                <w:sz w:val="21"/>
                <w:szCs w:val="21"/>
                <w:u w:val="single"/>
              </w:rPr>
            </w:pPr>
          </w:p>
        </w:tc>
        <w:tc>
          <w:tcPr>
            <w:tcW w:w="387" w:type="pct"/>
            <w:tcBorders>
              <w:top w:val="nil"/>
              <w:left w:val="nil"/>
              <w:bottom w:val="single" w:color="auto" w:sz="8" w:space="0"/>
              <w:right w:val="single" w:color="auto" w:sz="8" w:space="0"/>
            </w:tcBorders>
            <w:shd w:val="clear" w:color="auto" w:fill="auto"/>
            <w:vAlign w:val="center"/>
          </w:tcPr>
          <w:p w14:paraId="27C6933D">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080B43BC">
            <w:pPr>
              <w:adjustRightInd w:val="0"/>
              <w:snapToGrid w:val="0"/>
              <w:jc w:val="center"/>
              <w:rPr>
                <w:rFonts w:ascii="Arial" w:hAnsi="Arial" w:eastAsia="宋体" w:cs="Arial"/>
                <w:sz w:val="21"/>
                <w:szCs w:val="21"/>
                <w:u w:val="single"/>
              </w:rPr>
            </w:pPr>
          </w:p>
        </w:tc>
        <w:tc>
          <w:tcPr>
            <w:tcW w:w="394" w:type="pct"/>
            <w:tcBorders>
              <w:top w:val="nil"/>
              <w:left w:val="nil"/>
              <w:bottom w:val="single" w:color="auto" w:sz="8" w:space="0"/>
              <w:right w:val="single" w:color="auto" w:sz="8" w:space="0"/>
            </w:tcBorders>
            <w:shd w:val="clear" w:color="auto" w:fill="auto"/>
            <w:vAlign w:val="center"/>
          </w:tcPr>
          <w:p w14:paraId="33323C18">
            <w:pPr>
              <w:adjustRightInd w:val="0"/>
              <w:snapToGrid w:val="0"/>
              <w:jc w:val="center"/>
              <w:rPr>
                <w:rFonts w:ascii="Arial" w:hAnsi="Arial" w:eastAsia="宋体" w:cs="Arial"/>
                <w:sz w:val="21"/>
                <w:szCs w:val="21"/>
                <w:u w:val="single"/>
              </w:rPr>
            </w:pPr>
          </w:p>
        </w:tc>
        <w:tc>
          <w:tcPr>
            <w:tcW w:w="311" w:type="pct"/>
            <w:tcBorders>
              <w:top w:val="nil"/>
              <w:left w:val="nil"/>
              <w:bottom w:val="single" w:color="auto" w:sz="8" w:space="0"/>
              <w:right w:val="single" w:color="auto" w:sz="8" w:space="0"/>
            </w:tcBorders>
            <w:shd w:val="clear" w:color="auto" w:fill="auto"/>
            <w:vAlign w:val="center"/>
          </w:tcPr>
          <w:p w14:paraId="2938326C">
            <w:pPr>
              <w:adjustRightInd w:val="0"/>
              <w:snapToGrid w:val="0"/>
              <w:jc w:val="center"/>
              <w:rPr>
                <w:rFonts w:ascii="Arial" w:hAnsi="Arial" w:eastAsia="宋体" w:cs="Arial"/>
                <w:sz w:val="21"/>
                <w:szCs w:val="21"/>
                <w:u w:val="single"/>
              </w:rPr>
            </w:pPr>
          </w:p>
        </w:tc>
        <w:tc>
          <w:tcPr>
            <w:tcW w:w="424" w:type="pct"/>
            <w:tcBorders>
              <w:top w:val="nil"/>
              <w:left w:val="nil"/>
              <w:bottom w:val="single" w:color="auto" w:sz="8" w:space="0"/>
              <w:right w:val="single" w:color="auto" w:sz="8" w:space="0"/>
            </w:tcBorders>
            <w:shd w:val="clear" w:color="auto" w:fill="auto"/>
            <w:noWrap/>
            <w:vAlign w:val="center"/>
          </w:tcPr>
          <w:p w14:paraId="6BF31A92">
            <w:pPr>
              <w:adjustRightInd w:val="0"/>
              <w:snapToGrid w:val="0"/>
              <w:jc w:val="center"/>
              <w:rPr>
                <w:rFonts w:ascii="Arial" w:hAnsi="Arial" w:eastAsia="宋体" w:cs="Arial"/>
                <w:sz w:val="21"/>
                <w:szCs w:val="21"/>
                <w:u w:val="single"/>
              </w:rPr>
            </w:pPr>
          </w:p>
        </w:tc>
      </w:tr>
      <w:tr w14:paraId="133B51A5">
        <w:tblPrEx>
          <w:tblCellMar>
            <w:top w:w="0" w:type="dxa"/>
            <w:left w:w="108" w:type="dxa"/>
            <w:bottom w:w="0" w:type="dxa"/>
            <w:right w:w="108" w:type="dxa"/>
          </w:tblCellMar>
        </w:tblPrEx>
        <w:trPr>
          <w:trHeight w:val="340" w:hRule="atLeast"/>
        </w:trPr>
        <w:tc>
          <w:tcPr>
            <w:tcW w:w="614" w:type="pct"/>
            <w:tcBorders>
              <w:top w:val="nil"/>
              <w:left w:val="single" w:color="auto" w:sz="8" w:space="0"/>
              <w:bottom w:val="single" w:color="auto" w:sz="8" w:space="0"/>
              <w:right w:val="single" w:color="auto" w:sz="8" w:space="0"/>
            </w:tcBorders>
            <w:shd w:val="clear" w:color="auto" w:fill="auto"/>
            <w:noWrap/>
            <w:vAlign w:val="center"/>
          </w:tcPr>
          <w:p w14:paraId="42B86B9F">
            <w:pPr>
              <w:widowControl/>
              <w:adjustRightInd w:val="0"/>
              <w:snapToGrid w:val="0"/>
              <w:jc w:val="center"/>
              <w:rPr>
                <w:rFonts w:ascii="Arial" w:hAnsi="Arial" w:eastAsia="宋体" w:cs="Arial"/>
                <w:kern w:val="0"/>
                <w:sz w:val="21"/>
                <w:szCs w:val="21"/>
                <w:u w:val="single"/>
              </w:rPr>
            </w:pPr>
          </w:p>
        </w:tc>
        <w:tc>
          <w:tcPr>
            <w:tcW w:w="311" w:type="pct"/>
            <w:tcBorders>
              <w:top w:val="nil"/>
              <w:left w:val="nil"/>
              <w:bottom w:val="single" w:color="auto" w:sz="8" w:space="0"/>
              <w:right w:val="single" w:color="auto" w:sz="8" w:space="0"/>
            </w:tcBorders>
            <w:shd w:val="clear" w:color="auto" w:fill="auto"/>
            <w:noWrap/>
            <w:vAlign w:val="center"/>
          </w:tcPr>
          <w:p w14:paraId="3805808A">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4620F670">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799B0B63">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4C10D9F6">
            <w:pPr>
              <w:adjustRightInd w:val="0"/>
              <w:snapToGrid w:val="0"/>
              <w:jc w:val="center"/>
              <w:rPr>
                <w:rFonts w:ascii="Arial" w:hAnsi="Arial" w:eastAsia="宋体" w:cs="Arial"/>
                <w:sz w:val="21"/>
                <w:szCs w:val="21"/>
                <w:u w:val="single"/>
              </w:rPr>
            </w:pPr>
          </w:p>
        </w:tc>
        <w:tc>
          <w:tcPr>
            <w:tcW w:w="387" w:type="pct"/>
            <w:tcBorders>
              <w:top w:val="nil"/>
              <w:left w:val="nil"/>
              <w:bottom w:val="single" w:color="auto" w:sz="8" w:space="0"/>
              <w:right w:val="single" w:color="auto" w:sz="8" w:space="0"/>
            </w:tcBorders>
            <w:shd w:val="clear" w:color="auto" w:fill="auto"/>
            <w:noWrap/>
            <w:vAlign w:val="center"/>
          </w:tcPr>
          <w:p w14:paraId="3D869C17">
            <w:pPr>
              <w:adjustRightInd w:val="0"/>
              <w:snapToGrid w:val="0"/>
              <w:jc w:val="center"/>
              <w:rPr>
                <w:rFonts w:ascii="Arial" w:hAnsi="Arial" w:eastAsia="宋体" w:cs="Arial"/>
                <w:sz w:val="21"/>
                <w:szCs w:val="21"/>
                <w:u w:val="single"/>
              </w:rPr>
            </w:pPr>
          </w:p>
        </w:tc>
        <w:tc>
          <w:tcPr>
            <w:tcW w:w="274" w:type="pct"/>
            <w:tcBorders>
              <w:top w:val="nil"/>
              <w:left w:val="nil"/>
              <w:bottom w:val="single" w:color="auto" w:sz="8" w:space="0"/>
              <w:right w:val="single" w:color="auto" w:sz="8" w:space="0"/>
            </w:tcBorders>
            <w:shd w:val="clear" w:color="auto" w:fill="auto"/>
            <w:noWrap/>
            <w:vAlign w:val="center"/>
          </w:tcPr>
          <w:p w14:paraId="701F0382">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70D6744E">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6E38CBB2">
            <w:pPr>
              <w:adjustRightInd w:val="0"/>
              <w:snapToGrid w:val="0"/>
              <w:jc w:val="center"/>
              <w:rPr>
                <w:rFonts w:ascii="Arial" w:hAnsi="Arial" w:eastAsia="宋体" w:cs="Arial"/>
                <w:sz w:val="21"/>
                <w:szCs w:val="21"/>
                <w:u w:val="single"/>
              </w:rPr>
            </w:pPr>
          </w:p>
        </w:tc>
        <w:tc>
          <w:tcPr>
            <w:tcW w:w="387" w:type="pct"/>
            <w:tcBorders>
              <w:top w:val="nil"/>
              <w:left w:val="nil"/>
              <w:bottom w:val="single" w:color="auto" w:sz="8" w:space="0"/>
              <w:right w:val="single" w:color="auto" w:sz="8" w:space="0"/>
            </w:tcBorders>
            <w:shd w:val="clear" w:color="auto" w:fill="auto"/>
            <w:vAlign w:val="center"/>
          </w:tcPr>
          <w:p w14:paraId="13EB5325">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45E16013">
            <w:pPr>
              <w:adjustRightInd w:val="0"/>
              <w:snapToGrid w:val="0"/>
              <w:jc w:val="center"/>
              <w:rPr>
                <w:rFonts w:ascii="Arial" w:hAnsi="Arial" w:eastAsia="宋体" w:cs="Arial"/>
                <w:sz w:val="21"/>
                <w:szCs w:val="21"/>
                <w:u w:val="single"/>
              </w:rPr>
            </w:pPr>
          </w:p>
        </w:tc>
        <w:tc>
          <w:tcPr>
            <w:tcW w:w="394" w:type="pct"/>
            <w:tcBorders>
              <w:top w:val="nil"/>
              <w:left w:val="nil"/>
              <w:bottom w:val="single" w:color="auto" w:sz="8" w:space="0"/>
              <w:right w:val="single" w:color="auto" w:sz="8" w:space="0"/>
            </w:tcBorders>
            <w:shd w:val="clear" w:color="auto" w:fill="auto"/>
            <w:vAlign w:val="center"/>
          </w:tcPr>
          <w:p w14:paraId="722F8421">
            <w:pPr>
              <w:adjustRightInd w:val="0"/>
              <w:snapToGrid w:val="0"/>
              <w:jc w:val="center"/>
              <w:rPr>
                <w:rFonts w:ascii="Arial" w:hAnsi="Arial" w:eastAsia="宋体" w:cs="Arial"/>
                <w:sz w:val="21"/>
                <w:szCs w:val="21"/>
                <w:u w:val="single"/>
              </w:rPr>
            </w:pPr>
          </w:p>
        </w:tc>
        <w:tc>
          <w:tcPr>
            <w:tcW w:w="311" w:type="pct"/>
            <w:tcBorders>
              <w:top w:val="nil"/>
              <w:left w:val="nil"/>
              <w:bottom w:val="single" w:color="auto" w:sz="8" w:space="0"/>
              <w:right w:val="single" w:color="auto" w:sz="8" w:space="0"/>
            </w:tcBorders>
            <w:shd w:val="clear" w:color="auto" w:fill="auto"/>
            <w:vAlign w:val="center"/>
          </w:tcPr>
          <w:p w14:paraId="23ECCDEA">
            <w:pPr>
              <w:adjustRightInd w:val="0"/>
              <w:snapToGrid w:val="0"/>
              <w:jc w:val="center"/>
              <w:rPr>
                <w:rFonts w:ascii="Arial" w:hAnsi="Arial" w:eastAsia="宋体" w:cs="Arial"/>
                <w:sz w:val="21"/>
                <w:szCs w:val="21"/>
                <w:u w:val="single"/>
              </w:rPr>
            </w:pPr>
          </w:p>
        </w:tc>
        <w:tc>
          <w:tcPr>
            <w:tcW w:w="424" w:type="pct"/>
            <w:tcBorders>
              <w:top w:val="nil"/>
              <w:left w:val="nil"/>
              <w:bottom w:val="single" w:color="auto" w:sz="8" w:space="0"/>
              <w:right w:val="single" w:color="auto" w:sz="8" w:space="0"/>
            </w:tcBorders>
            <w:shd w:val="clear" w:color="auto" w:fill="auto"/>
            <w:noWrap/>
            <w:vAlign w:val="center"/>
          </w:tcPr>
          <w:p w14:paraId="4EA46173">
            <w:pPr>
              <w:adjustRightInd w:val="0"/>
              <w:snapToGrid w:val="0"/>
              <w:jc w:val="center"/>
              <w:rPr>
                <w:rFonts w:ascii="Arial" w:hAnsi="Arial" w:eastAsia="宋体" w:cs="Arial"/>
                <w:sz w:val="21"/>
                <w:szCs w:val="21"/>
                <w:u w:val="single"/>
              </w:rPr>
            </w:pPr>
          </w:p>
        </w:tc>
      </w:tr>
      <w:tr w14:paraId="4A6E44CC">
        <w:tblPrEx>
          <w:tblCellMar>
            <w:top w:w="0" w:type="dxa"/>
            <w:left w:w="108" w:type="dxa"/>
            <w:bottom w:w="0" w:type="dxa"/>
            <w:right w:w="108" w:type="dxa"/>
          </w:tblCellMar>
        </w:tblPrEx>
        <w:trPr>
          <w:trHeight w:val="340" w:hRule="atLeast"/>
        </w:trPr>
        <w:tc>
          <w:tcPr>
            <w:tcW w:w="614" w:type="pct"/>
            <w:tcBorders>
              <w:top w:val="nil"/>
              <w:left w:val="single" w:color="auto" w:sz="8" w:space="0"/>
              <w:bottom w:val="single" w:color="auto" w:sz="8" w:space="0"/>
              <w:right w:val="single" w:color="auto" w:sz="8" w:space="0"/>
            </w:tcBorders>
            <w:shd w:val="clear" w:color="auto" w:fill="auto"/>
            <w:noWrap/>
            <w:vAlign w:val="center"/>
          </w:tcPr>
          <w:p w14:paraId="65B7EAC0">
            <w:pPr>
              <w:widowControl/>
              <w:adjustRightInd w:val="0"/>
              <w:snapToGrid w:val="0"/>
              <w:jc w:val="center"/>
              <w:rPr>
                <w:rFonts w:ascii="Arial" w:hAnsi="Arial" w:eastAsia="宋体" w:cs="Arial"/>
                <w:kern w:val="0"/>
                <w:sz w:val="21"/>
                <w:szCs w:val="21"/>
                <w:u w:val="single"/>
              </w:rPr>
            </w:pPr>
          </w:p>
        </w:tc>
        <w:tc>
          <w:tcPr>
            <w:tcW w:w="311" w:type="pct"/>
            <w:tcBorders>
              <w:top w:val="nil"/>
              <w:left w:val="nil"/>
              <w:bottom w:val="single" w:color="auto" w:sz="8" w:space="0"/>
              <w:right w:val="single" w:color="auto" w:sz="8" w:space="0"/>
            </w:tcBorders>
            <w:shd w:val="clear" w:color="auto" w:fill="auto"/>
            <w:noWrap/>
            <w:vAlign w:val="center"/>
          </w:tcPr>
          <w:p w14:paraId="5BB5B059">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643B360C">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4E9563E4">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5426137E">
            <w:pPr>
              <w:adjustRightInd w:val="0"/>
              <w:snapToGrid w:val="0"/>
              <w:jc w:val="center"/>
              <w:rPr>
                <w:rFonts w:ascii="Arial" w:hAnsi="Arial" w:eastAsia="宋体" w:cs="Arial"/>
                <w:sz w:val="21"/>
                <w:szCs w:val="21"/>
                <w:u w:val="single"/>
              </w:rPr>
            </w:pPr>
          </w:p>
        </w:tc>
        <w:tc>
          <w:tcPr>
            <w:tcW w:w="387" w:type="pct"/>
            <w:tcBorders>
              <w:top w:val="nil"/>
              <w:left w:val="nil"/>
              <w:bottom w:val="single" w:color="auto" w:sz="8" w:space="0"/>
              <w:right w:val="single" w:color="auto" w:sz="8" w:space="0"/>
            </w:tcBorders>
            <w:shd w:val="clear" w:color="auto" w:fill="auto"/>
            <w:noWrap/>
            <w:vAlign w:val="center"/>
          </w:tcPr>
          <w:p w14:paraId="53C6B7AB">
            <w:pPr>
              <w:adjustRightInd w:val="0"/>
              <w:snapToGrid w:val="0"/>
              <w:jc w:val="center"/>
              <w:rPr>
                <w:rFonts w:ascii="Arial" w:hAnsi="Arial" w:eastAsia="宋体" w:cs="Arial"/>
                <w:sz w:val="21"/>
                <w:szCs w:val="21"/>
                <w:u w:val="single"/>
              </w:rPr>
            </w:pPr>
          </w:p>
        </w:tc>
        <w:tc>
          <w:tcPr>
            <w:tcW w:w="274" w:type="pct"/>
            <w:tcBorders>
              <w:top w:val="nil"/>
              <w:left w:val="nil"/>
              <w:bottom w:val="single" w:color="auto" w:sz="8" w:space="0"/>
              <w:right w:val="single" w:color="auto" w:sz="8" w:space="0"/>
            </w:tcBorders>
            <w:shd w:val="clear" w:color="auto" w:fill="auto"/>
            <w:noWrap/>
            <w:vAlign w:val="center"/>
          </w:tcPr>
          <w:p w14:paraId="0980EE5F">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32455E6C">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2A4419A5">
            <w:pPr>
              <w:adjustRightInd w:val="0"/>
              <w:snapToGrid w:val="0"/>
              <w:jc w:val="center"/>
              <w:rPr>
                <w:rFonts w:ascii="Arial" w:hAnsi="Arial" w:eastAsia="宋体" w:cs="Arial"/>
                <w:sz w:val="21"/>
                <w:szCs w:val="21"/>
                <w:u w:val="single"/>
              </w:rPr>
            </w:pPr>
          </w:p>
        </w:tc>
        <w:tc>
          <w:tcPr>
            <w:tcW w:w="387" w:type="pct"/>
            <w:tcBorders>
              <w:top w:val="nil"/>
              <w:left w:val="nil"/>
              <w:bottom w:val="single" w:color="auto" w:sz="8" w:space="0"/>
              <w:right w:val="single" w:color="auto" w:sz="8" w:space="0"/>
            </w:tcBorders>
            <w:shd w:val="clear" w:color="auto" w:fill="auto"/>
            <w:vAlign w:val="center"/>
          </w:tcPr>
          <w:p w14:paraId="1198A291">
            <w:pPr>
              <w:adjustRightInd w:val="0"/>
              <w:snapToGrid w:val="0"/>
              <w:jc w:val="center"/>
              <w:rPr>
                <w:rFonts w:ascii="Arial" w:hAnsi="Arial" w:eastAsia="宋体" w:cs="Arial"/>
                <w:sz w:val="21"/>
                <w:szCs w:val="21"/>
                <w:u w:val="single"/>
              </w:rPr>
            </w:pPr>
          </w:p>
        </w:tc>
        <w:tc>
          <w:tcPr>
            <w:tcW w:w="316" w:type="pct"/>
            <w:tcBorders>
              <w:top w:val="nil"/>
              <w:left w:val="nil"/>
              <w:bottom w:val="single" w:color="auto" w:sz="8" w:space="0"/>
              <w:right w:val="single" w:color="auto" w:sz="8" w:space="0"/>
            </w:tcBorders>
            <w:shd w:val="clear" w:color="auto" w:fill="auto"/>
            <w:vAlign w:val="center"/>
          </w:tcPr>
          <w:p w14:paraId="27A13D10">
            <w:pPr>
              <w:adjustRightInd w:val="0"/>
              <w:snapToGrid w:val="0"/>
              <w:jc w:val="center"/>
              <w:rPr>
                <w:rFonts w:ascii="Arial" w:hAnsi="Arial" w:eastAsia="宋体" w:cs="Arial"/>
                <w:sz w:val="21"/>
                <w:szCs w:val="21"/>
                <w:u w:val="single"/>
              </w:rPr>
            </w:pPr>
          </w:p>
        </w:tc>
        <w:tc>
          <w:tcPr>
            <w:tcW w:w="394" w:type="pct"/>
            <w:tcBorders>
              <w:top w:val="nil"/>
              <w:left w:val="nil"/>
              <w:bottom w:val="single" w:color="auto" w:sz="8" w:space="0"/>
              <w:right w:val="single" w:color="auto" w:sz="8" w:space="0"/>
            </w:tcBorders>
            <w:shd w:val="clear" w:color="auto" w:fill="auto"/>
            <w:vAlign w:val="center"/>
          </w:tcPr>
          <w:p w14:paraId="6FB064FA">
            <w:pPr>
              <w:adjustRightInd w:val="0"/>
              <w:snapToGrid w:val="0"/>
              <w:jc w:val="center"/>
              <w:rPr>
                <w:rFonts w:ascii="Arial" w:hAnsi="Arial" w:eastAsia="宋体" w:cs="Arial"/>
                <w:sz w:val="21"/>
                <w:szCs w:val="21"/>
                <w:u w:val="single"/>
              </w:rPr>
            </w:pPr>
          </w:p>
        </w:tc>
        <w:tc>
          <w:tcPr>
            <w:tcW w:w="311" w:type="pct"/>
            <w:tcBorders>
              <w:top w:val="nil"/>
              <w:left w:val="nil"/>
              <w:bottom w:val="single" w:color="auto" w:sz="8" w:space="0"/>
              <w:right w:val="single" w:color="auto" w:sz="8" w:space="0"/>
            </w:tcBorders>
            <w:shd w:val="clear" w:color="auto" w:fill="auto"/>
            <w:vAlign w:val="center"/>
          </w:tcPr>
          <w:p w14:paraId="5D1EC6AD">
            <w:pPr>
              <w:adjustRightInd w:val="0"/>
              <w:snapToGrid w:val="0"/>
              <w:jc w:val="center"/>
              <w:rPr>
                <w:rFonts w:ascii="Arial" w:hAnsi="Arial" w:eastAsia="宋体" w:cs="Arial"/>
                <w:sz w:val="21"/>
                <w:szCs w:val="21"/>
                <w:u w:val="single"/>
              </w:rPr>
            </w:pPr>
          </w:p>
        </w:tc>
        <w:tc>
          <w:tcPr>
            <w:tcW w:w="424" w:type="pct"/>
            <w:tcBorders>
              <w:top w:val="nil"/>
              <w:left w:val="nil"/>
              <w:bottom w:val="single" w:color="auto" w:sz="8" w:space="0"/>
              <w:right w:val="single" w:color="auto" w:sz="8" w:space="0"/>
            </w:tcBorders>
            <w:shd w:val="clear" w:color="auto" w:fill="auto"/>
            <w:noWrap/>
            <w:vAlign w:val="center"/>
          </w:tcPr>
          <w:p w14:paraId="00B8BE6E">
            <w:pPr>
              <w:adjustRightInd w:val="0"/>
              <w:snapToGrid w:val="0"/>
              <w:jc w:val="center"/>
              <w:rPr>
                <w:rFonts w:ascii="Arial" w:hAnsi="Arial" w:eastAsia="宋体" w:cs="Arial"/>
                <w:sz w:val="21"/>
                <w:szCs w:val="21"/>
                <w:u w:val="single"/>
              </w:rPr>
            </w:pPr>
          </w:p>
        </w:tc>
      </w:tr>
      <w:tr w14:paraId="0CFC37ED">
        <w:tblPrEx>
          <w:tblCellMar>
            <w:top w:w="0" w:type="dxa"/>
            <w:left w:w="108" w:type="dxa"/>
            <w:bottom w:w="0" w:type="dxa"/>
            <w:right w:w="108" w:type="dxa"/>
          </w:tblCellMar>
        </w:tblPrEx>
        <w:trPr>
          <w:trHeight w:val="340" w:hRule="atLeast"/>
        </w:trPr>
        <w:tc>
          <w:tcPr>
            <w:tcW w:w="614" w:type="pct"/>
            <w:tcBorders>
              <w:top w:val="nil"/>
              <w:left w:val="single" w:color="auto" w:sz="8" w:space="0"/>
              <w:bottom w:val="single" w:color="auto" w:sz="8" w:space="0"/>
              <w:right w:val="single" w:color="auto" w:sz="8" w:space="0"/>
            </w:tcBorders>
            <w:shd w:val="clear" w:color="auto" w:fill="auto"/>
            <w:noWrap/>
            <w:vAlign w:val="center"/>
          </w:tcPr>
          <w:p w14:paraId="035220DA">
            <w:pPr>
              <w:widowControl/>
              <w:adjustRightInd w:val="0"/>
              <w:snapToGrid w:val="0"/>
              <w:jc w:val="center"/>
              <w:rPr>
                <w:rFonts w:ascii="Arial" w:hAnsi="Arial" w:eastAsia="宋体" w:cs="Arial"/>
                <w:kern w:val="0"/>
                <w:sz w:val="21"/>
                <w:szCs w:val="21"/>
                <w:u w:val="single"/>
              </w:rPr>
            </w:pPr>
          </w:p>
        </w:tc>
        <w:tc>
          <w:tcPr>
            <w:tcW w:w="311" w:type="pct"/>
            <w:tcBorders>
              <w:top w:val="nil"/>
              <w:left w:val="nil"/>
              <w:bottom w:val="single" w:color="auto" w:sz="8" w:space="0"/>
              <w:right w:val="single" w:color="auto" w:sz="8" w:space="0"/>
            </w:tcBorders>
            <w:shd w:val="clear" w:color="auto" w:fill="auto"/>
            <w:noWrap/>
            <w:vAlign w:val="center"/>
          </w:tcPr>
          <w:p w14:paraId="00C308DE">
            <w:pPr>
              <w:widowControl/>
              <w:adjustRightInd w:val="0"/>
              <w:snapToGrid w:val="0"/>
              <w:jc w:val="center"/>
              <w:rPr>
                <w:rFonts w:ascii="Arial" w:hAnsi="Arial" w:eastAsia="宋体" w:cs="Arial"/>
                <w:kern w:val="0"/>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5537CC92">
            <w:pPr>
              <w:widowControl/>
              <w:adjustRightInd w:val="0"/>
              <w:snapToGrid w:val="0"/>
              <w:jc w:val="center"/>
              <w:rPr>
                <w:rFonts w:ascii="Arial" w:hAnsi="Arial" w:eastAsia="宋体" w:cs="Arial"/>
                <w:kern w:val="0"/>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58AFD60C">
            <w:pPr>
              <w:widowControl/>
              <w:adjustRightInd w:val="0"/>
              <w:snapToGrid w:val="0"/>
              <w:jc w:val="center"/>
              <w:rPr>
                <w:rFonts w:ascii="Arial" w:hAnsi="Arial" w:eastAsia="宋体" w:cs="Arial"/>
                <w:kern w:val="0"/>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6CB36F5C">
            <w:pPr>
              <w:widowControl/>
              <w:adjustRightInd w:val="0"/>
              <w:snapToGrid w:val="0"/>
              <w:jc w:val="center"/>
              <w:rPr>
                <w:rFonts w:ascii="Arial" w:hAnsi="Arial" w:eastAsia="宋体" w:cs="Arial"/>
                <w:kern w:val="0"/>
                <w:sz w:val="21"/>
                <w:szCs w:val="21"/>
                <w:u w:val="single"/>
              </w:rPr>
            </w:pPr>
          </w:p>
        </w:tc>
        <w:tc>
          <w:tcPr>
            <w:tcW w:w="387" w:type="pct"/>
            <w:tcBorders>
              <w:top w:val="nil"/>
              <w:left w:val="nil"/>
              <w:bottom w:val="single" w:color="auto" w:sz="8" w:space="0"/>
              <w:right w:val="single" w:color="auto" w:sz="8" w:space="0"/>
            </w:tcBorders>
            <w:shd w:val="clear" w:color="auto" w:fill="auto"/>
            <w:noWrap/>
            <w:vAlign w:val="center"/>
          </w:tcPr>
          <w:p w14:paraId="3AC416EE">
            <w:pPr>
              <w:widowControl/>
              <w:adjustRightInd w:val="0"/>
              <w:snapToGrid w:val="0"/>
              <w:jc w:val="center"/>
              <w:rPr>
                <w:rFonts w:ascii="Arial" w:hAnsi="Arial" w:eastAsia="宋体" w:cs="Arial"/>
                <w:kern w:val="0"/>
                <w:sz w:val="21"/>
                <w:szCs w:val="21"/>
                <w:u w:val="single"/>
              </w:rPr>
            </w:pPr>
          </w:p>
        </w:tc>
        <w:tc>
          <w:tcPr>
            <w:tcW w:w="274" w:type="pct"/>
            <w:tcBorders>
              <w:top w:val="nil"/>
              <w:left w:val="nil"/>
              <w:bottom w:val="single" w:color="auto" w:sz="8" w:space="0"/>
              <w:right w:val="single" w:color="auto" w:sz="8" w:space="0"/>
            </w:tcBorders>
            <w:shd w:val="clear" w:color="auto" w:fill="auto"/>
            <w:noWrap/>
            <w:vAlign w:val="center"/>
          </w:tcPr>
          <w:p w14:paraId="0FB081B4">
            <w:pPr>
              <w:widowControl/>
              <w:adjustRightInd w:val="0"/>
              <w:snapToGrid w:val="0"/>
              <w:jc w:val="center"/>
              <w:rPr>
                <w:rFonts w:ascii="Arial" w:hAnsi="Arial" w:eastAsia="宋体" w:cs="Arial"/>
                <w:kern w:val="0"/>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016C96AF">
            <w:pPr>
              <w:widowControl/>
              <w:adjustRightInd w:val="0"/>
              <w:snapToGrid w:val="0"/>
              <w:jc w:val="center"/>
              <w:rPr>
                <w:rFonts w:ascii="Arial" w:hAnsi="Arial" w:eastAsia="宋体" w:cs="Arial"/>
                <w:kern w:val="0"/>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3DDD6535">
            <w:pPr>
              <w:widowControl/>
              <w:adjustRightInd w:val="0"/>
              <w:snapToGrid w:val="0"/>
              <w:jc w:val="center"/>
              <w:rPr>
                <w:rFonts w:ascii="Arial" w:hAnsi="Arial" w:eastAsia="宋体" w:cs="Arial"/>
                <w:kern w:val="0"/>
                <w:sz w:val="21"/>
                <w:szCs w:val="21"/>
                <w:u w:val="single"/>
              </w:rPr>
            </w:pPr>
          </w:p>
        </w:tc>
        <w:tc>
          <w:tcPr>
            <w:tcW w:w="387" w:type="pct"/>
            <w:tcBorders>
              <w:top w:val="nil"/>
              <w:left w:val="nil"/>
              <w:bottom w:val="single" w:color="auto" w:sz="8" w:space="0"/>
              <w:right w:val="single" w:color="auto" w:sz="8" w:space="0"/>
            </w:tcBorders>
            <w:shd w:val="clear" w:color="auto" w:fill="auto"/>
            <w:noWrap/>
            <w:vAlign w:val="center"/>
          </w:tcPr>
          <w:p w14:paraId="71806D7B">
            <w:pPr>
              <w:widowControl/>
              <w:adjustRightInd w:val="0"/>
              <w:snapToGrid w:val="0"/>
              <w:jc w:val="center"/>
              <w:rPr>
                <w:rFonts w:ascii="Arial" w:hAnsi="Arial" w:eastAsia="宋体" w:cs="Arial"/>
                <w:kern w:val="0"/>
                <w:sz w:val="21"/>
                <w:szCs w:val="21"/>
                <w:u w:val="single"/>
              </w:rPr>
            </w:pPr>
          </w:p>
        </w:tc>
        <w:tc>
          <w:tcPr>
            <w:tcW w:w="316" w:type="pct"/>
            <w:tcBorders>
              <w:top w:val="nil"/>
              <w:left w:val="nil"/>
              <w:bottom w:val="single" w:color="auto" w:sz="8" w:space="0"/>
              <w:right w:val="single" w:color="auto" w:sz="8" w:space="0"/>
            </w:tcBorders>
            <w:shd w:val="clear" w:color="auto" w:fill="auto"/>
            <w:noWrap/>
            <w:vAlign w:val="center"/>
          </w:tcPr>
          <w:p w14:paraId="66F4FB12">
            <w:pPr>
              <w:widowControl/>
              <w:adjustRightInd w:val="0"/>
              <w:snapToGrid w:val="0"/>
              <w:jc w:val="center"/>
              <w:rPr>
                <w:rFonts w:ascii="Arial" w:hAnsi="Arial" w:eastAsia="宋体" w:cs="Arial"/>
                <w:kern w:val="0"/>
                <w:sz w:val="21"/>
                <w:szCs w:val="21"/>
                <w:u w:val="single"/>
              </w:rPr>
            </w:pPr>
          </w:p>
        </w:tc>
        <w:tc>
          <w:tcPr>
            <w:tcW w:w="394" w:type="pct"/>
            <w:tcBorders>
              <w:top w:val="nil"/>
              <w:left w:val="nil"/>
              <w:bottom w:val="single" w:color="auto" w:sz="8" w:space="0"/>
              <w:right w:val="single" w:color="auto" w:sz="8" w:space="0"/>
            </w:tcBorders>
            <w:shd w:val="clear" w:color="auto" w:fill="auto"/>
            <w:noWrap/>
            <w:vAlign w:val="center"/>
          </w:tcPr>
          <w:p w14:paraId="5F50D740">
            <w:pPr>
              <w:widowControl/>
              <w:adjustRightInd w:val="0"/>
              <w:snapToGrid w:val="0"/>
              <w:jc w:val="center"/>
              <w:rPr>
                <w:rFonts w:ascii="Arial" w:hAnsi="Arial" w:eastAsia="宋体" w:cs="Arial"/>
                <w:kern w:val="0"/>
                <w:sz w:val="21"/>
                <w:szCs w:val="21"/>
                <w:u w:val="single"/>
              </w:rPr>
            </w:pPr>
          </w:p>
        </w:tc>
        <w:tc>
          <w:tcPr>
            <w:tcW w:w="311" w:type="pct"/>
            <w:tcBorders>
              <w:top w:val="nil"/>
              <w:left w:val="nil"/>
              <w:bottom w:val="single" w:color="auto" w:sz="8" w:space="0"/>
              <w:right w:val="single" w:color="auto" w:sz="8" w:space="0"/>
            </w:tcBorders>
            <w:shd w:val="clear" w:color="auto" w:fill="auto"/>
            <w:noWrap/>
            <w:vAlign w:val="center"/>
          </w:tcPr>
          <w:p w14:paraId="3B5E99CD">
            <w:pPr>
              <w:widowControl/>
              <w:adjustRightInd w:val="0"/>
              <w:snapToGrid w:val="0"/>
              <w:jc w:val="center"/>
              <w:rPr>
                <w:rFonts w:ascii="Arial" w:hAnsi="Arial" w:eastAsia="宋体" w:cs="Arial"/>
                <w:kern w:val="0"/>
                <w:sz w:val="21"/>
                <w:szCs w:val="21"/>
                <w:u w:val="single"/>
              </w:rPr>
            </w:pPr>
          </w:p>
        </w:tc>
        <w:tc>
          <w:tcPr>
            <w:tcW w:w="424" w:type="pct"/>
            <w:tcBorders>
              <w:top w:val="nil"/>
              <w:left w:val="nil"/>
              <w:bottom w:val="single" w:color="auto" w:sz="8" w:space="0"/>
              <w:right w:val="single" w:color="auto" w:sz="8" w:space="0"/>
            </w:tcBorders>
            <w:shd w:val="clear" w:color="auto" w:fill="auto"/>
            <w:noWrap/>
            <w:vAlign w:val="center"/>
          </w:tcPr>
          <w:p w14:paraId="373F285D">
            <w:pPr>
              <w:widowControl/>
              <w:adjustRightInd w:val="0"/>
              <w:snapToGrid w:val="0"/>
              <w:jc w:val="center"/>
              <w:rPr>
                <w:rFonts w:ascii="Arial" w:hAnsi="Arial" w:eastAsia="宋体" w:cs="Arial"/>
                <w:kern w:val="0"/>
                <w:sz w:val="21"/>
                <w:szCs w:val="21"/>
                <w:u w:val="single"/>
              </w:rPr>
            </w:pPr>
          </w:p>
        </w:tc>
      </w:tr>
    </w:tbl>
    <w:p w14:paraId="42FA4528">
      <w:pPr>
        <w:pStyle w:val="5"/>
        <w:spacing w:line="500" w:lineRule="exact"/>
        <w:ind w:firstLine="490" w:firstLineChars="200"/>
      </w:pPr>
    </w:p>
    <w:p w14:paraId="229B72D0">
      <w:pPr>
        <w:pStyle w:val="5"/>
        <w:rPr>
          <w:highlight w:val="yellow"/>
        </w:rPr>
        <w:sectPr>
          <w:pgSz w:w="16840" w:h="11907" w:orient="landscape"/>
          <w:pgMar w:top="1134" w:right="1678" w:bottom="1134" w:left="1899" w:header="1134" w:footer="1134" w:gutter="567"/>
          <w:cols w:space="720" w:num="1"/>
          <w:docGrid w:type="linesAndChars" w:linePitch="428" w:charSpace="-3161"/>
        </w:sectPr>
      </w:pPr>
    </w:p>
    <w:p w14:paraId="12805E2E">
      <w:pPr>
        <w:pStyle w:val="4"/>
        <w:numPr>
          <w:ilvl w:val="1"/>
          <w:numId w:val="11"/>
        </w:numPr>
        <w:tabs>
          <w:tab w:val="left" w:pos="3217"/>
        </w:tabs>
        <w:spacing w:before="214" w:beforeLines="50" w:after="214" w:afterLines="50" w:line="500" w:lineRule="exact"/>
        <w:ind w:left="567"/>
        <w:rPr>
          <w:rFonts w:ascii="Arial" w:eastAsia="宋体" w:cs="Arial"/>
          <w:b/>
        </w:rPr>
      </w:pPr>
      <w:bookmarkStart w:id="273" w:name="_Toc185950221"/>
      <w:r>
        <w:rPr>
          <w:rFonts w:ascii="Arial" w:eastAsia="宋体" w:cs="Arial"/>
          <w:b/>
        </w:rPr>
        <w:t>变更后全厂水平衡</w:t>
      </w:r>
      <w:bookmarkEnd w:id="273"/>
    </w:p>
    <w:p w14:paraId="61A9C2C1">
      <w:pPr>
        <w:pStyle w:val="5"/>
        <w:keepNext/>
        <w:numPr>
          <w:ilvl w:val="0"/>
          <w:numId w:val="12"/>
        </w:numPr>
        <w:spacing w:line="480" w:lineRule="exact"/>
        <w:ind w:left="0" w:firstLine="0"/>
        <w:jc w:val="center"/>
        <w:outlineLvl w:val="4"/>
        <w:rPr>
          <w:b/>
          <w:u w:val="single"/>
        </w:rPr>
      </w:pPr>
      <w:r>
        <w:rPr>
          <w:b/>
          <w:u w:val="single"/>
        </w:rPr>
        <w:t>项目变更全厂水平衡表</w:t>
      </w:r>
    </w:p>
    <w:tbl>
      <w:tblPr>
        <w:tblStyle w:val="88"/>
        <w:tblW w:w="5000" w:type="pct"/>
        <w:tblInd w:w="0" w:type="dxa"/>
        <w:tblLayout w:type="autofit"/>
        <w:tblCellMar>
          <w:top w:w="0" w:type="dxa"/>
          <w:left w:w="108" w:type="dxa"/>
          <w:bottom w:w="0" w:type="dxa"/>
          <w:right w:w="108" w:type="dxa"/>
        </w:tblCellMar>
      </w:tblPr>
      <w:tblGrid>
        <w:gridCol w:w="1882"/>
        <w:gridCol w:w="1096"/>
        <w:gridCol w:w="1096"/>
        <w:gridCol w:w="863"/>
        <w:gridCol w:w="1096"/>
        <w:gridCol w:w="1055"/>
        <w:gridCol w:w="978"/>
        <w:gridCol w:w="863"/>
        <w:gridCol w:w="1096"/>
        <w:gridCol w:w="1055"/>
        <w:gridCol w:w="1096"/>
        <w:gridCol w:w="851"/>
        <w:gridCol w:w="1190"/>
        <w:gridCol w:w="1628"/>
        <w:gridCol w:w="1542"/>
        <w:gridCol w:w="1056"/>
        <w:gridCol w:w="864"/>
        <w:gridCol w:w="1146"/>
      </w:tblGrid>
      <w:tr w14:paraId="19C13579">
        <w:tblPrEx>
          <w:tblCellMar>
            <w:top w:w="0" w:type="dxa"/>
            <w:left w:w="108" w:type="dxa"/>
            <w:bottom w:w="0" w:type="dxa"/>
            <w:right w:w="108" w:type="dxa"/>
          </w:tblCellMar>
        </w:tblPrEx>
        <w:trPr>
          <w:trHeight w:val="340" w:hRule="atLeast"/>
        </w:trPr>
        <w:tc>
          <w:tcPr>
            <w:tcW w:w="460" w:type="pct"/>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14:paraId="48A16138">
            <w:pPr>
              <w:widowControl/>
              <w:adjustRightInd w:val="0"/>
              <w:snapToGrid w:val="0"/>
              <w:jc w:val="center"/>
              <w:rPr>
                <w:rFonts w:ascii="Arial" w:hAnsi="Arial" w:eastAsia="宋体" w:cs="Arial"/>
                <w:kern w:val="0"/>
                <w:sz w:val="21"/>
                <w:szCs w:val="21"/>
                <w:u w:val="single"/>
              </w:rPr>
            </w:pPr>
          </w:p>
        </w:tc>
        <w:tc>
          <w:tcPr>
            <w:tcW w:w="1273" w:type="pct"/>
            <w:gridSpan w:val="5"/>
            <w:tcBorders>
              <w:top w:val="single" w:color="auto" w:sz="8" w:space="0"/>
              <w:left w:val="nil"/>
              <w:bottom w:val="single" w:color="auto" w:sz="8" w:space="0"/>
              <w:right w:val="single" w:color="000000" w:sz="8" w:space="0"/>
            </w:tcBorders>
            <w:shd w:val="clear" w:color="auto" w:fill="auto"/>
            <w:noWrap/>
            <w:vAlign w:val="center"/>
          </w:tcPr>
          <w:p w14:paraId="721B8BE4">
            <w:pPr>
              <w:widowControl/>
              <w:adjustRightInd w:val="0"/>
              <w:snapToGrid w:val="0"/>
              <w:jc w:val="center"/>
              <w:rPr>
                <w:rFonts w:ascii="Arial" w:hAnsi="Arial" w:eastAsia="宋体" w:cs="Arial"/>
                <w:kern w:val="0"/>
                <w:sz w:val="21"/>
                <w:szCs w:val="21"/>
                <w:u w:val="single"/>
              </w:rPr>
            </w:pPr>
          </w:p>
        </w:tc>
        <w:tc>
          <w:tcPr>
            <w:tcW w:w="3267" w:type="pct"/>
            <w:gridSpan w:val="12"/>
            <w:tcBorders>
              <w:top w:val="single" w:color="auto" w:sz="8" w:space="0"/>
              <w:left w:val="nil"/>
              <w:bottom w:val="single" w:color="auto" w:sz="8" w:space="0"/>
              <w:right w:val="single" w:color="000000" w:sz="8" w:space="0"/>
            </w:tcBorders>
            <w:shd w:val="clear" w:color="auto" w:fill="auto"/>
            <w:vAlign w:val="center"/>
          </w:tcPr>
          <w:p w14:paraId="25D28EE9">
            <w:pPr>
              <w:widowControl/>
              <w:adjustRightInd w:val="0"/>
              <w:snapToGrid w:val="0"/>
              <w:jc w:val="center"/>
              <w:rPr>
                <w:rFonts w:ascii="Arial" w:hAnsi="Arial" w:eastAsia="宋体" w:cs="Arial"/>
                <w:kern w:val="0"/>
                <w:sz w:val="21"/>
                <w:szCs w:val="21"/>
                <w:u w:val="single"/>
              </w:rPr>
            </w:pPr>
          </w:p>
        </w:tc>
      </w:tr>
      <w:tr w14:paraId="7651EDB0">
        <w:tblPrEx>
          <w:tblCellMar>
            <w:top w:w="0" w:type="dxa"/>
            <w:left w:w="108" w:type="dxa"/>
            <w:bottom w:w="0" w:type="dxa"/>
            <w:right w:w="108" w:type="dxa"/>
          </w:tblCellMar>
        </w:tblPrEx>
        <w:trPr>
          <w:trHeight w:val="340" w:hRule="atLeast"/>
        </w:trPr>
        <w:tc>
          <w:tcPr>
            <w:tcW w:w="460" w:type="pct"/>
            <w:vMerge w:val="continue"/>
            <w:tcBorders>
              <w:top w:val="single" w:color="auto" w:sz="8" w:space="0"/>
              <w:left w:val="single" w:color="auto" w:sz="8" w:space="0"/>
              <w:bottom w:val="single" w:color="000000" w:sz="8" w:space="0"/>
              <w:right w:val="single" w:color="auto" w:sz="8" w:space="0"/>
            </w:tcBorders>
            <w:shd w:val="clear" w:color="auto" w:fill="auto"/>
            <w:vAlign w:val="center"/>
          </w:tcPr>
          <w:p w14:paraId="242D189C">
            <w:pPr>
              <w:widowControl/>
              <w:adjustRightInd w:val="0"/>
              <w:snapToGrid w:val="0"/>
              <w:jc w:val="center"/>
              <w:rPr>
                <w:rFonts w:ascii="Arial" w:hAnsi="Arial" w:eastAsia="宋体" w:cs="Arial"/>
                <w:kern w:val="0"/>
                <w:sz w:val="21"/>
                <w:szCs w:val="21"/>
                <w:u w:val="single"/>
              </w:rPr>
            </w:pPr>
          </w:p>
        </w:tc>
        <w:tc>
          <w:tcPr>
            <w:tcW w:w="268" w:type="pct"/>
            <w:vMerge w:val="restart"/>
            <w:tcBorders>
              <w:top w:val="nil"/>
              <w:left w:val="single" w:color="auto" w:sz="8" w:space="0"/>
              <w:bottom w:val="single" w:color="000000" w:sz="8" w:space="0"/>
              <w:right w:val="single" w:color="auto" w:sz="8" w:space="0"/>
            </w:tcBorders>
            <w:shd w:val="clear" w:color="auto" w:fill="auto"/>
            <w:noWrap/>
            <w:vAlign w:val="center"/>
          </w:tcPr>
          <w:p w14:paraId="7115CE3E">
            <w:pPr>
              <w:widowControl/>
              <w:adjustRightInd w:val="0"/>
              <w:snapToGrid w:val="0"/>
              <w:jc w:val="center"/>
              <w:rPr>
                <w:rFonts w:ascii="Arial" w:hAnsi="Arial" w:eastAsia="宋体" w:cs="Arial"/>
                <w:kern w:val="0"/>
                <w:sz w:val="21"/>
                <w:szCs w:val="21"/>
                <w:u w:val="single"/>
              </w:rPr>
            </w:pPr>
          </w:p>
        </w:tc>
        <w:tc>
          <w:tcPr>
            <w:tcW w:w="268" w:type="pct"/>
            <w:vMerge w:val="restart"/>
            <w:tcBorders>
              <w:top w:val="nil"/>
              <w:left w:val="single" w:color="auto" w:sz="8" w:space="0"/>
              <w:bottom w:val="single" w:color="000000" w:sz="8" w:space="0"/>
              <w:right w:val="single" w:color="auto" w:sz="8" w:space="0"/>
            </w:tcBorders>
            <w:shd w:val="clear" w:color="auto" w:fill="auto"/>
            <w:noWrap/>
            <w:vAlign w:val="center"/>
          </w:tcPr>
          <w:p w14:paraId="6C961BDA">
            <w:pPr>
              <w:widowControl/>
              <w:adjustRightInd w:val="0"/>
              <w:snapToGrid w:val="0"/>
              <w:jc w:val="center"/>
              <w:rPr>
                <w:rFonts w:ascii="Arial" w:hAnsi="Arial" w:eastAsia="宋体" w:cs="Arial"/>
                <w:kern w:val="0"/>
                <w:sz w:val="21"/>
                <w:szCs w:val="21"/>
                <w:u w:val="single"/>
              </w:rPr>
            </w:pPr>
          </w:p>
        </w:tc>
        <w:tc>
          <w:tcPr>
            <w:tcW w:w="211" w:type="pct"/>
            <w:vMerge w:val="restart"/>
            <w:tcBorders>
              <w:top w:val="nil"/>
              <w:left w:val="single" w:color="auto" w:sz="8" w:space="0"/>
              <w:bottom w:val="single" w:color="000000" w:sz="8" w:space="0"/>
              <w:right w:val="single" w:color="auto" w:sz="8" w:space="0"/>
            </w:tcBorders>
            <w:shd w:val="clear" w:color="auto" w:fill="auto"/>
            <w:noWrap/>
            <w:vAlign w:val="center"/>
          </w:tcPr>
          <w:p w14:paraId="55B779CC">
            <w:pPr>
              <w:widowControl/>
              <w:adjustRightInd w:val="0"/>
              <w:snapToGrid w:val="0"/>
              <w:jc w:val="center"/>
              <w:rPr>
                <w:rFonts w:ascii="Arial" w:hAnsi="Arial" w:eastAsia="宋体" w:cs="Arial"/>
                <w:kern w:val="0"/>
                <w:sz w:val="21"/>
                <w:szCs w:val="21"/>
                <w:u w:val="single"/>
              </w:rPr>
            </w:pPr>
          </w:p>
        </w:tc>
        <w:tc>
          <w:tcPr>
            <w:tcW w:w="268" w:type="pct"/>
            <w:vMerge w:val="restart"/>
            <w:tcBorders>
              <w:top w:val="nil"/>
              <w:left w:val="single" w:color="auto" w:sz="8" w:space="0"/>
              <w:bottom w:val="single" w:color="000000" w:sz="8" w:space="0"/>
              <w:right w:val="single" w:color="auto" w:sz="8" w:space="0"/>
            </w:tcBorders>
            <w:shd w:val="clear" w:color="auto" w:fill="auto"/>
            <w:noWrap/>
            <w:vAlign w:val="center"/>
          </w:tcPr>
          <w:p w14:paraId="7AC86DD5">
            <w:pPr>
              <w:widowControl/>
              <w:adjustRightInd w:val="0"/>
              <w:snapToGrid w:val="0"/>
              <w:jc w:val="center"/>
              <w:rPr>
                <w:rFonts w:ascii="Arial" w:hAnsi="Arial" w:eastAsia="宋体" w:cs="Arial"/>
                <w:kern w:val="0"/>
                <w:sz w:val="21"/>
                <w:szCs w:val="21"/>
                <w:u w:val="single"/>
              </w:rPr>
            </w:pPr>
          </w:p>
        </w:tc>
        <w:tc>
          <w:tcPr>
            <w:tcW w:w="258" w:type="pct"/>
            <w:vMerge w:val="restart"/>
            <w:tcBorders>
              <w:top w:val="nil"/>
              <w:left w:val="single" w:color="auto" w:sz="8" w:space="0"/>
              <w:bottom w:val="single" w:color="000000" w:sz="8" w:space="0"/>
              <w:right w:val="single" w:color="auto" w:sz="8" w:space="0"/>
            </w:tcBorders>
            <w:shd w:val="clear" w:color="auto" w:fill="auto"/>
            <w:noWrap/>
            <w:vAlign w:val="center"/>
          </w:tcPr>
          <w:p w14:paraId="762A85B4">
            <w:pPr>
              <w:widowControl/>
              <w:adjustRightInd w:val="0"/>
              <w:snapToGrid w:val="0"/>
              <w:jc w:val="center"/>
              <w:rPr>
                <w:rFonts w:ascii="Arial" w:hAnsi="Arial" w:eastAsia="宋体" w:cs="Arial"/>
                <w:kern w:val="0"/>
                <w:sz w:val="21"/>
                <w:szCs w:val="21"/>
                <w:u w:val="single"/>
              </w:rPr>
            </w:pPr>
          </w:p>
        </w:tc>
        <w:tc>
          <w:tcPr>
            <w:tcW w:w="239" w:type="pct"/>
            <w:vMerge w:val="restart"/>
            <w:tcBorders>
              <w:top w:val="nil"/>
              <w:left w:val="single" w:color="auto" w:sz="8" w:space="0"/>
              <w:bottom w:val="single" w:color="000000" w:sz="8" w:space="0"/>
              <w:right w:val="single" w:color="auto" w:sz="8" w:space="0"/>
            </w:tcBorders>
            <w:shd w:val="clear" w:color="auto" w:fill="auto"/>
            <w:noWrap/>
            <w:vAlign w:val="center"/>
          </w:tcPr>
          <w:p w14:paraId="58583802">
            <w:pPr>
              <w:widowControl/>
              <w:adjustRightInd w:val="0"/>
              <w:snapToGrid w:val="0"/>
              <w:jc w:val="center"/>
              <w:rPr>
                <w:rFonts w:ascii="Arial" w:hAnsi="Arial" w:eastAsia="宋体" w:cs="Arial"/>
                <w:kern w:val="0"/>
                <w:sz w:val="21"/>
                <w:szCs w:val="21"/>
                <w:u w:val="single"/>
              </w:rPr>
            </w:pPr>
          </w:p>
        </w:tc>
        <w:tc>
          <w:tcPr>
            <w:tcW w:w="211" w:type="pct"/>
            <w:vMerge w:val="restart"/>
            <w:tcBorders>
              <w:top w:val="nil"/>
              <w:left w:val="single" w:color="auto" w:sz="8" w:space="0"/>
              <w:bottom w:val="single" w:color="000000" w:sz="8" w:space="0"/>
              <w:right w:val="single" w:color="auto" w:sz="8" w:space="0"/>
            </w:tcBorders>
            <w:shd w:val="clear" w:color="auto" w:fill="auto"/>
            <w:noWrap/>
            <w:vAlign w:val="center"/>
          </w:tcPr>
          <w:p w14:paraId="4B699B0A">
            <w:pPr>
              <w:widowControl/>
              <w:adjustRightInd w:val="0"/>
              <w:snapToGrid w:val="0"/>
              <w:jc w:val="center"/>
              <w:rPr>
                <w:rFonts w:ascii="Arial" w:hAnsi="Arial" w:eastAsia="宋体" w:cs="Arial"/>
                <w:kern w:val="0"/>
                <w:sz w:val="21"/>
                <w:szCs w:val="21"/>
                <w:u w:val="single"/>
              </w:rPr>
            </w:pPr>
          </w:p>
        </w:tc>
        <w:tc>
          <w:tcPr>
            <w:tcW w:w="268" w:type="pct"/>
            <w:vMerge w:val="restart"/>
            <w:tcBorders>
              <w:top w:val="nil"/>
              <w:left w:val="single" w:color="auto" w:sz="8" w:space="0"/>
              <w:bottom w:val="single" w:color="000000" w:sz="8" w:space="0"/>
              <w:right w:val="single" w:color="auto" w:sz="8" w:space="0"/>
            </w:tcBorders>
            <w:shd w:val="clear" w:color="auto" w:fill="auto"/>
            <w:noWrap/>
            <w:vAlign w:val="center"/>
          </w:tcPr>
          <w:p w14:paraId="2D6DA135">
            <w:pPr>
              <w:widowControl/>
              <w:adjustRightInd w:val="0"/>
              <w:snapToGrid w:val="0"/>
              <w:jc w:val="center"/>
              <w:rPr>
                <w:rFonts w:ascii="Arial" w:hAnsi="Arial" w:eastAsia="宋体" w:cs="Arial"/>
                <w:kern w:val="0"/>
                <w:sz w:val="21"/>
                <w:szCs w:val="21"/>
                <w:u w:val="single"/>
              </w:rPr>
            </w:pPr>
          </w:p>
        </w:tc>
        <w:tc>
          <w:tcPr>
            <w:tcW w:w="258" w:type="pct"/>
            <w:vMerge w:val="restart"/>
            <w:tcBorders>
              <w:top w:val="nil"/>
              <w:left w:val="single" w:color="auto" w:sz="8" w:space="0"/>
              <w:bottom w:val="single" w:color="000000" w:sz="8" w:space="0"/>
              <w:right w:val="single" w:color="auto" w:sz="8" w:space="0"/>
            </w:tcBorders>
            <w:shd w:val="clear" w:color="auto" w:fill="auto"/>
            <w:noWrap/>
            <w:vAlign w:val="center"/>
          </w:tcPr>
          <w:p w14:paraId="61CE282C">
            <w:pPr>
              <w:widowControl/>
              <w:adjustRightInd w:val="0"/>
              <w:snapToGrid w:val="0"/>
              <w:jc w:val="center"/>
              <w:rPr>
                <w:rFonts w:ascii="Arial" w:hAnsi="Arial" w:eastAsia="宋体" w:cs="Arial"/>
                <w:kern w:val="0"/>
                <w:sz w:val="21"/>
                <w:szCs w:val="21"/>
                <w:u w:val="single"/>
              </w:rPr>
            </w:pPr>
          </w:p>
        </w:tc>
        <w:tc>
          <w:tcPr>
            <w:tcW w:w="1800" w:type="pct"/>
            <w:gridSpan w:val="6"/>
            <w:tcBorders>
              <w:top w:val="single" w:color="auto" w:sz="8" w:space="0"/>
              <w:left w:val="nil"/>
              <w:bottom w:val="single" w:color="auto" w:sz="8" w:space="0"/>
              <w:right w:val="single" w:color="000000" w:sz="8" w:space="0"/>
            </w:tcBorders>
            <w:shd w:val="clear" w:color="auto" w:fill="auto"/>
            <w:vAlign w:val="center"/>
          </w:tcPr>
          <w:p w14:paraId="3CE8097C">
            <w:pPr>
              <w:widowControl/>
              <w:adjustRightInd w:val="0"/>
              <w:snapToGrid w:val="0"/>
              <w:jc w:val="center"/>
              <w:rPr>
                <w:rFonts w:ascii="Arial" w:hAnsi="Arial" w:eastAsia="宋体" w:cs="Arial"/>
                <w:kern w:val="0"/>
                <w:sz w:val="21"/>
                <w:szCs w:val="21"/>
                <w:u w:val="single"/>
              </w:rPr>
            </w:pPr>
          </w:p>
        </w:tc>
        <w:tc>
          <w:tcPr>
            <w:tcW w:w="491" w:type="pct"/>
            <w:gridSpan w:val="2"/>
            <w:tcBorders>
              <w:top w:val="single" w:color="auto" w:sz="8" w:space="0"/>
              <w:left w:val="nil"/>
              <w:bottom w:val="single" w:color="auto" w:sz="8" w:space="0"/>
              <w:right w:val="single" w:color="000000" w:sz="8" w:space="0"/>
            </w:tcBorders>
            <w:shd w:val="clear" w:color="auto" w:fill="auto"/>
            <w:vAlign w:val="center"/>
          </w:tcPr>
          <w:p w14:paraId="2CC0AA4C">
            <w:pPr>
              <w:widowControl/>
              <w:adjustRightInd w:val="0"/>
              <w:snapToGrid w:val="0"/>
              <w:jc w:val="center"/>
              <w:rPr>
                <w:rFonts w:ascii="Arial" w:hAnsi="Arial" w:eastAsia="宋体" w:cs="Arial"/>
                <w:kern w:val="0"/>
                <w:sz w:val="21"/>
                <w:szCs w:val="21"/>
                <w:u w:val="single"/>
              </w:rPr>
            </w:pPr>
          </w:p>
        </w:tc>
      </w:tr>
      <w:tr w14:paraId="07945E2E">
        <w:tblPrEx>
          <w:tblCellMar>
            <w:top w:w="0" w:type="dxa"/>
            <w:left w:w="108" w:type="dxa"/>
            <w:bottom w:w="0" w:type="dxa"/>
            <w:right w:w="108" w:type="dxa"/>
          </w:tblCellMar>
        </w:tblPrEx>
        <w:trPr>
          <w:trHeight w:val="340" w:hRule="atLeast"/>
        </w:trPr>
        <w:tc>
          <w:tcPr>
            <w:tcW w:w="460" w:type="pct"/>
            <w:vMerge w:val="continue"/>
            <w:tcBorders>
              <w:top w:val="single" w:color="auto" w:sz="8" w:space="0"/>
              <w:left w:val="single" w:color="auto" w:sz="8" w:space="0"/>
              <w:bottom w:val="single" w:color="000000" w:sz="8" w:space="0"/>
              <w:right w:val="single" w:color="auto" w:sz="8" w:space="0"/>
            </w:tcBorders>
            <w:shd w:val="clear" w:color="auto" w:fill="auto"/>
            <w:vAlign w:val="center"/>
          </w:tcPr>
          <w:p w14:paraId="40186F1A">
            <w:pPr>
              <w:widowControl/>
              <w:adjustRightInd w:val="0"/>
              <w:snapToGrid w:val="0"/>
              <w:jc w:val="center"/>
              <w:rPr>
                <w:rFonts w:ascii="Arial" w:hAnsi="Arial" w:eastAsia="宋体" w:cs="Arial"/>
                <w:kern w:val="0"/>
                <w:sz w:val="21"/>
                <w:szCs w:val="21"/>
                <w:u w:val="single"/>
              </w:rPr>
            </w:pPr>
          </w:p>
        </w:tc>
        <w:tc>
          <w:tcPr>
            <w:tcW w:w="268" w:type="pct"/>
            <w:vMerge w:val="continue"/>
            <w:tcBorders>
              <w:top w:val="nil"/>
              <w:left w:val="single" w:color="auto" w:sz="8" w:space="0"/>
              <w:bottom w:val="single" w:color="000000" w:sz="8" w:space="0"/>
              <w:right w:val="single" w:color="auto" w:sz="8" w:space="0"/>
            </w:tcBorders>
            <w:shd w:val="clear" w:color="auto" w:fill="auto"/>
            <w:vAlign w:val="center"/>
          </w:tcPr>
          <w:p w14:paraId="046AFD29">
            <w:pPr>
              <w:widowControl/>
              <w:adjustRightInd w:val="0"/>
              <w:snapToGrid w:val="0"/>
              <w:jc w:val="center"/>
              <w:rPr>
                <w:rFonts w:ascii="Arial" w:hAnsi="Arial" w:eastAsia="宋体" w:cs="Arial"/>
                <w:kern w:val="0"/>
                <w:sz w:val="21"/>
                <w:szCs w:val="21"/>
                <w:u w:val="single"/>
              </w:rPr>
            </w:pPr>
          </w:p>
        </w:tc>
        <w:tc>
          <w:tcPr>
            <w:tcW w:w="268" w:type="pct"/>
            <w:vMerge w:val="continue"/>
            <w:tcBorders>
              <w:top w:val="nil"/>
              <w:left w:val="single" w:color="auto" w:sz="8" w:space="0"/>
              <w:bottom w:val="single" w:color="000000" w:sz="8" w:space="0"/>
              <w:right w:val="single" w:color="auto" w:sz="8" w:space="0"/>
            </w:tcBorders>
            <w:shd w:val="clear" w:color="auto" w:fill="auto"/>
            <w:vAlign w:val="center"/>
          </w:tcPr>
          <w:p w14:paraId="177EB0AA">
            <w:pPr>
              <w:widowControl/>
              <w:adjustRightInd w:val="0"/>
              <w:snapToGrid w:val="0"/>
              <w:jc w:val="center"/>
              <w:rPr>
                <w:rFonts w:ascii="Arial" w:hAnsi="Arial" w:eastAsia="宋体" w:cs="Arial"/>
                <w:kern w:val="0"/>
                <w:sz w:val="21"/>
                <w:szCs w:val="21"/>
                <w:u w:val="single"/>
              </w:rPr>
            </w:pPr>
          </w:p>
        </w:tc>
        <w:tc>
          <w:tcPr>
            <w:tcW w:w="211" w:type="pct"/>
            <w:vMerge w:val="continue"/>
            <w:tcBorders>
              <w:top w:val="nil"/>
              <w:left w:val="single" w:color="auto" w:sz="8" w:space="0"/>
              <w:bottom w:val="single" w:color="000000" w:sz="8" w:space="0"/>
              <w:right w:val="single" w:color="auto" w:sz="8" w:space="0"/>
            </w:tcBorders>
            <w:shd w:val="clear" w:color="auto" w:fill="auto"/>
            <w:vAlign w:val="center"/>
          </w:tcPr>
          <w:p w14:paraId="724C2805">
            <w:pPr>
              <w:widowControl/>
              <w:adjustRightInd w:val="0"/>
              <w:snapToGrid w:val="0"/>
              <w:jc w:val="center"/>
              <w:rPr>
                <w:rFonts w:ascii="Arial" w:hAnsi="Arial" w:eastAsia="宋体" w:cs="Arial"/>
                <w:kern w:val="0"/>
                <w:sz w:val="21"/>
                <w:szCs w:val="21"/>
                <w:u w:val="single"/>
              </w:rPr>
            </w:pPr>
          </w:p>
        </w:tc>
        <w:tc>
          <w:tcPr>
            <w:tcW w:w="268" w:type="pct"/>
            <w:vMerge w:val="continue"/>
            <w:tcBorders>
              <w:top w:val="nil"/>
              <w:left w:val="single" w:color="auto" w:sz="8" w:space="0"/>
              <w:bottom w:val="single" w:color="000000" w:sz="8" w:space="0"/>
              <w:right w:val="single" w:color="auto" w:sz="8" w:space="0"/>
            </w:tcBorders>
            <w:shd w:val="clear" w:color="auto" w:fill="auto"/>
            <w:vAlign w:val="center"/>
          </w:tcPr>
          <w:p w14:paraId="6EA845D8">
            <w:pPr>
              <w:widowControl/>
              <w:adjustRightInd w:val="0"/>
              <w:snapToGrid w:val="0"/>
              <w:jc w:val="center"/>
              <w:rPr>
                <w:rFonts w:ascii="Arial" w:hAnsi="Arial" w:eastAsia="宋体" w:cs="Arial"/>
                <w:kern w:val="0"/>
                <w:sz w:val="21"/>
                <w:szCs w:val="21"/>
                <w:u w:val="single"/>
              </w:rPr>
            </w:pPr>
          </w:p>
        </w:tc>
        <w:tc>
          <w:tcPr>
            <w:tcW w:w="258" w:type="pct"/>
            <w:vMerge w:val="continue"/>
            <w:tcBorders>
              <w:top w:val="nil"/>
              <w:left w:val="single" w:color="auto" w:sz="8" w:space="0"/>
              <w:bottom w:val="single" w:color="000000" w:sz="8" w:space="0"/>
              <w:right w:val="single" w:color="auto" w:sz="8" w:space="0"/>
            </w:tcBorders>
            <w:shd w:val="clear" w:color="auto" w:fill="auto"/>
            <w:vAlign w:val="center"/>
          </w:tcPr>
          <w:p w14:paraId="488C5D63">
            <w:pPr>
              <w:widowControl/>
              <w:adjustRightInd w:val="0"/>
              <w:snapToGrid w:val="0"/>
              <w:jc w:val="center"/>
              <w:rPr>
                <w:rFonts w:ascii="Arial" w:hAnsi="Arial" w:eastAsia="宋体" w:cs="Arial"/>
                <w:kern w:val="0"/>
                <w:sz w:val="21"/>
                <w:szCs w:val="21"/>
                <w:u w:val="single"/>
              </w:rPr>
            </w:pPr>
          </w:p>
        </w:tc>
        <w:tc>
          <w:tcPr>
            <w:tcW w:w="239" w:type="pct"/>
            <w:vMerge w:val="continue"/>
            <w:tcBorders>
              <w:top w:val="nil"/>
              <w:left w:val="single" w:color="auto" w:sz="8" w:space="0"/>
              <w:bottom w:val="single" w:color="000000" w:sz="8" w:space="0"/>
              <w:right w:val="single" w:color="auto" w:sz="8" w:space="0"/>
            </w:tcBorders>
            <w:shd w:val="clear" w:color="auto" w:fill="auto"/>
            <w:vAlign w:val="center"/>
          </w:tcPr>
          <w:p w14:paraId="4BE78AC9">
            <w:pPr>
              <w:widowControl/>
              <w:adjustRightInd w:val="0"/>
              <w:snapToGrid w:val="0"/>
              <w:jc w:val="center"/>
              <w:rPr>
                <w:rFonts w:ascii="Arial" w:hAnsi="Arial" w:eastAsia="宋体" w:cs="Arial"/>
                <w:kern w:val="0"/>
                <w:sz w:val="21"/>
                <w:szCs w:val="21"/>
                <w:u w:val="single"/>
              </w:rPr>
            </w:pPr>
          </w:p>
        </w:tc>
        <w:tc>
          <w:tcPr>
            <w:tcW w:w="211" w:type="pct"/>
            <w:vMerge w:val="continue"/>
            <w:tcBorders>
              <w:top w:val="nil"/>
              <w:left w:val="single" w:color="auto" w:sz="8" w:space="0"/>
              <w:bottom w:val="single" w:color="000000" w:sz="8" w:space="0"/>
              <w:right w:val="single" w:color="auto" w:sz="8" w:space="0"/>
            </w:tcBorders>
            <w:shd w:val="clear" w:color="auto" w:fill="auto"/>
            <w:vAlign w:val="center"/>
          </w:tcPr>
          <w:p w14:paraId="0CC42979">
            <w:pPr>
              <w:widowControl/>
              <w:adjustRightInd w:val="0"/>
              <w:snapToGrid w:val="0"/>
              <w:jc w:val="center"/>
              <w:rPr>
                <w:rFonts w:ascii="Arial" w:hAnsi="Arial" w:eastAsia="宋体" w:cs="Arial"/>
                <w:kern w:val="0"/>
                <w:sz w:val="21"/>
                <w:szCs w:val="21"/>
                <w:u w:val="single"/>
              </w:rPr>
            </w:pPr>
          </w:p>
        </w:tc>
        <w:tc>
          <w:tcPr>
            <w:tcW w:w="268" w:type="pct"/>
            <w:vMerge w:val="continue"/>
            <w:tcBorders>
              <w:top w:val="nil"/>
              <w:left w:val="single" w:color="auto" w:sz="8" w:space="0"/>
              <w:bottom w:val="single" w:color="000000" w:sz="8" w:space="0"/>
              <w:right w:val="single" w:color="auto" w:sz="8" w:space="0"/>
            </w:tcBorders>
            <w:shd w:val="clear" w:color="auto" w:fill="auto"/>
            <w:vAlign w:val="center"/>
          </w:tcPr>
          <w:p w14:paraId="5C77C260">
            <w:pPr>
              <w:widowControl/>
              <w:adjustRightInd w:val="0"/>
              <w:snapToGrid w:val="0"/>
              <w:jc w:val="center"/>
              <w:rPr>
                <w:rFonts w:ascii="Arial" w:hAnsi="Arial" w:eastAsia="宋体" w:cs="Arial"/>
                <w:kern w:val="0"/>
                <w:sz w:val="21"/>
                <w:szCs w:val="21"/>
                <w:u w:val="single"/>
              </w:rPr>
            </w:pPr>
          </w:p>
        </w:tc>
        <w:tc>
          <w:tcPr>
            <w:tcW w:w="258" w:type="pct"/>
            <w:vMerge w:val="continue"/>
            <w:tcBorders>
              <w:top w:val="nil"/>
              <w:left w:val="single" w:color="auto" w:sz="8" w:space="0"/>
              <w:bottom w:val="single" w:color="000000" w:sz="8" w:space="0"/>
              <w:right w:val="single" w:color="auto" w:sz="8" w:space="0"/>
            </w:tcBorders>
            <w:shd w:val="clear" w:color="auto" w:fill="auto"/>
            <w:vAlign w:val="center"/>
          </w:tcPr>
          <w:p w14:paraId="7968B849">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4172B970">
            <w:pPr>
              <w:widowControl/>
              <w:adjustRightInd w:val="0"/>
              <w:snapToGrid w:val="0"/>
              <w:jc w:val="center"/>
              <w:rPr>
                <w:rFonts w:ascii="Arial" w:hAnsi="Arial" w:eastAsia="宋体" w:cs="Arial"/>
                <w:kern w:val="0"/>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6940CD56">
            <w:pPr>
              <w:widowControl/>
              <w:adjustRightInd w:val="0"/>
              <w:snapToGrid w:val="0"/>
              <w:jc w:val="center"/>
              <w:rPr>
                <w:rFonts w:ascii="Arial" w:hAnsi="Arial" w:eastAsia="宋体" w:cs="Arial"/>
                <w:kern w:val="0"/>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7612394D">
            <w:pPr>
              <w:widowControl/>
              <w:adjustRightInd w:val="0"/>
              <w:snapToGrid w:val="0"/>
              <w:jc w:val="center"/>
              <w:rPr>
                <w:rFonts w:ascii="Arial" w:hAnsi="Arial" w:eastAsia="宋体" w:cs="Arial"/>
                <w:kern w:val="0"/>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342D2FBE">
            <w:pPr>
              <w:widowControl/>
              <w:adjustRightInd w:val="0"/>
              <w:snapToGrid w:val="0"/>
              <w:jc w:val="center"/>
              <w:rPr>
                <w:rFonts w:ascii="Arial" w:hAnsi="Arial" w:eastAsia="宋体" w:cs="Arial"/>
                <w:kern w:val="0"/>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448D4DBC">
            <w:pPr>
              <w:widowControl/>
              <w:adjustRightInd w:val="0"/>
              <w:snapToGrid w:val="0"/>
              <w:jc w:val="center"/>
              <w:rPr>
                <w:rFonts w:ascii="Arial" w:hAnsi="Arial" w:eastAsia="宋体" w:cs="Arial"/>
                <w:kern w:val="0"/>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7BEC0A99">
            <w:pPr>
              <w:widowControl/>
              <w:adjustRightInd w:val="0"/>
              <w:snapToGrid w:val="0"/>
              <w:jc w:val="center"/>
              <w:rPr>
                <w:rFonts w:ascii="Arial" w:hAnsi="Arial" w:eastAsia="宋体" w:cs="Arial"/>
                <w:kern w:val="0"/>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295F7F9A">
            <w:pPr>
              <w:widowControl/>
              <w:adjustRightInd w:val="0"/>
              <w:snapToGrid w:val="0"/>
              <w:jc w:val="center"/>
              <w:rPr>
                <w:rFonts w:ascii="Arial" w:hAnsi="Arial" w:eastAsia="宋体" w:cs="Arial"/>
                <w:kern w:val="0"/>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4FAEFFB3">
            <w:pPr>
              <w:widowControl/>
              <w:adjustRightInd w:val="0"/>
              <w:snapToGrid w:val="0"/>
              <w:jc w:val="center"/>
              <w:rPr>
                <w:rFonts w:ascii="Arial" w:hAnsi="Arial" w:eastAsia="宋体" w:cs="Arial"/>
                <w:kern w:val="0"/>
                <w:sz w:val="21"/>
                <w:szCs w:val="21"/>
                <w:u w:val="single"/>
              </w:rPr>
            </w:pPr>
          </w:p>
        </w:tc>
      </w:tr>
      <w:tr w14:paraId="70D5B256">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vAlign w:val="center"/>
          </w:tcPr>
          <w:p w14:paraId="7B69294B">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0C6211AB">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294C847F">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7783B887">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134AFC52">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3EBE9135">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vAlign w:val="center"/>
          </w:tcPr>
          <w:p w14:paraId="2FD579AB">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2BA95FAD">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1BC83F6D">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6C35E853">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6B1EAD0A">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12E14043">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666B05E8">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32CE7EA2">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36DCCF2A">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50044E95">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5047792D">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6100A563">
            <w:pPr>
              <w:adjustRightInd w:val="0"/>
              <w:snapToGrid w:val="0"/>
              <w:jc w:val="center"/>
              <w:rPr>
                <w:rFonts w:ascii="Arial" w:hAnsi="Arial" w:eastAsia="宋体" w:cs="Arial"/>
                <w:sz w:val="21"/>
                <w:szCs w:val="21"/>
                <w:u w:val="single"/>
              </w:rPr>
            </w:pPr>
          </w:p>
        </w:tc>
      </w:tr>
      <w:tr w14:paraId="125CBC62">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vAlign w:val="center"/>
          </w:tcPr>
          <w:p w14:paraId="5127723F">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7156AF07">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25859F13">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12345560">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7CBC0390">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53E19449">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vAlign w:val="center"/>
          </w:tcPr>
          <w:p w14:paraId="1002A0CB">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4FDF5147">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453E0036">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769AF546">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31C08095">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41119B3C">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5B7D3519">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6D6AD3ED">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36510EC1">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5EAFCC11">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19348CBB">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1007B2A2">
            <w:pPr>
              <w:adjustRightInd w:val="0"/>
              <w:snapToGrid w:val="0"/>
              <w:jc w:val="center"/>
              <w:rPr>
                <w:rFonts w:ascii="Arial" w:hAnsi="Arial" w:eastAsia="宋体" w:cs="Arial"/>
                <w:sz w:val="21"/>
                <w:szCs w:val="21"/>
                <w:u w:val="single"/>
              </w:rPr>
            </w:pPr>
          </w:p>
        </w:tc>
      </w:tr>
      <w:tr w14:paraId="03C77CD8">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0AB3B2AD">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ADA5DBB">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64AA255">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484250B9">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31FABBD">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610C4607">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2EE7689D">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7EA5225A">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023D64D">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19E10857">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6909A634">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323A065D">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7712DFB8">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2A1D900E">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4B2C2674">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77CC00E9">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684BE380">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4263A541">
            <w:pPr>
              <w:adjustRightInd w:val="0"/>
              <w:snapToGrid w:val="0"/>
              <w:jc w:val="center"/>
              <w:rPr>
                <w:rFonts w:ascii="Arial" w:hAnsi="Arial" w:eastAsia="宋体" w:cs="Arial"/>
                <w:sz w:val="21"/>
                <w:szCs w:val="21"/>
                <w:u w:val="single"/>
              </w:rPr>
            </w:pPr>
          </w:p>
        </w:tc>
      </w:tr>
      <w:tr w14:paraId="3C365004">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170D0FDC">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B2636E6">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414F670">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233EFB49">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423AD5C5">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6627AD86">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1B38C80C">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6C5F2A15">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9DE4A89">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7FDE3A9D">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0B7B98DE">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1FA42BA1">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782A950E">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14A52490">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1E786023">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0B0CDE8F">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07C2BE23">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5505024E">
            <w:pPr>
              <w:adjustRightInd w:val="0"/>
              <w:snapToGrid w:val="0"/>
              <w:jc w:val="center"/>
              <w:rPr>
                <w:rFonts w:ascii="Arial" w:hAnsi="Arial" w:eastAsia="宋体" w:cs="Arial"/>
                <w:sz w:val="21"/>
                <w:szCs w:val="21"/>
                <w:u w:val="single"/>
              </w:rPr>
            </w:pPr>
          </w:p>
        </w:tc>
      </w:tr>
      <w:tr w14:paraId="6783494E">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0AA86F97">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7ACDA7ED">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EB03884">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0974FEE4">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863299F">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3F40ACD3">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2F33025B">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52EE1F85">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43C0F94">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5F2E6792">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12483ED5">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789F2F57">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0DE82521">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1DE514AB">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7856A801">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2F781DEF">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2E211F22">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47B435DD">
            <w:pPr>
              <w:adjustRightInd w:val="0"/>
              <w:snapToGrid w:val="0"/>
              <w:jc w:val="center"/>
              <w:rPr>
                <w:rFonts w:ascii="Arial" w:hAnsi="Arial" w:eastAsia="宋体" w:cs="Arial"/>
                <w:sz w:val="21"/>
                <w:szCs w:val="21"/>
                <w:u w:val="single"/>
              </w:rPr>
            </w:pPr>
          </w:p>
        </w:tc>
      </w:tr>
      <w:tr w14:paraId="33ECABAE">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32A0365D">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47525F62">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E220506">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3A278987">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9D3CB6C">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6D2FBDBB">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5B8EA46B">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0A4695E2">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0F0BFFD">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3F02324A">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52501181">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64BC6CC9">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2BA63C94">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236EC046">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6AD31458">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3EC068C8">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7680A163">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3FBC3FE9">
            <w:pPr>
              <w:adjustRightInd w:val="0"/>
              <w:snapToGrid w:val="0"/>
              <w:jc w:val="center"/>
              <w:rPr>
                <w:rFonts w:ascii="Arial" w:hAnsi="Arial" w:eastAsia="宋体" w:cs="Arial"/>
                <w:sz w:val="21"/>
                <w:szCs w:val="21"/>
                <w:u w:val="single"/>
              </w:rPr>
            </w:pPr>
          </w:p>
        </w:tc>
      </w:tr>
      <w:tr w14:paraId="55DF0955">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19830A7B">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335C31C">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08AEC60">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7C9B0B98">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318B58F">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45FA2C28">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297CC204">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322BD1DF">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61F1740">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01CBD7C8">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0421CBDB">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1F964CE1">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641026AC">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5AA8885C">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0E841AED">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7D099FFB">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754B4EA0">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6514466F">
            <w:pPr>
              <w:adjustRightInd w:val="0"/>
              <w:snapToGrid w:val="0"/>
              <w:jc w:val="center"/>
              <w:rPr>
                <w:rFonts w:ascii="Arial" w:hAnsi="Arial" w:eastAsia="宋体" w:cs="Arial"/>
                <w:sz w:val="21"/>
                <w:szCs w:val="21"/>
                <w:u w:val="single"/>
              </w:rPr>
            </w:pPr>
          </w:p>
        </w:tc>
      </w:tr>
      <w:tr w14:paraId="275C32F7">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6875E921">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0E7D7C5F">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7F18F2C5">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7B265A7C">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096A4F0C">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4E67268C">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663EA29F">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0BF19ED5">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4F670887">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3EBEF0E5">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3E2C5077">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4517C5D0">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3C0C9B92">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4AB9162A">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39943934">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0663419B">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28D89640">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1808DEE8">
            <w:pPr>
              <w:adjustRightInd w:val="0"/>
              <w:snapToGrid w:val="0"/>
              <w:jc w:val="center"/>
              <w:rPr>
                <w:rFonts w:ascii="Arial" w:hAnsi="Arial" w:eastAsia="宋体" w:cs="Arial"/>
                <w:sz w:val="21"/>
                <w:szCs w:val="21"/>
                <w:u w:val="single"/>
              </w:rPr>
            </w:pPr>
          </w:p>
        </w:tc>
      </w:tr>
      <w:tr w14:paraId="30274065">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171BE88D">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4B53341">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67C09C5">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6F8FBD81">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7865F020">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79B9FBF9">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6F048580">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1B827E0E">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782AB0FB">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18D47B7B">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2A91DF8C">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3939CABD">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79237612">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60758055">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16C91705">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3B84E200">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73DEE2E7">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48B3AE01">
            <w:pPr>
              <w:adjustRightInd w:val="0"/>
              <w:snapToGrid w:val="0"/>
              <w:jc w:val="center"/>
              <w:rPr>
                <w:rFonts w:ascii="Arial" w:hAnsi="Arial" w:eastAsia="宋体" w:cs="Arial"/>
                <w:sz w:val="21"/>
                <w:szCs w:val="21"/>
                <w:u w:val="single"/>
              </w:rPr>
            </w:pPr>
          </w:p>
        </w:tc>
      </w:tr>
      <w:tr w14:paraId="154AEEE7">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6CDE28F9">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1D6C0D6">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46B08644">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7D1BC534">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D694850">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3B07F89C">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3BD94074">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188A7C6F">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3D45D15">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5503AF4B">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0968A0B9">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0DEA8FD5">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7A9CA1D0">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65F894AF">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0C6CDB9D">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4731C7F0">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5BD01AFA">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59A7CC06">
            <w:pPr>
              <w:adjustRightInd w:val="0"/>
              <w:snapToGrid w:val="0"/>
              <w:jc w:val="center"/>
              <w:rPr>
                <w:rFonts w:ascii="Arial" w:hAnsi="Arial" w:eastAsia="宋体" w:cs="Arial"/>
                <w:sz w:val="21"/>
                <w:szCs w:val="21"/>
                <w:u w:val="single"/>
              </w:rPr>
            </w:pPr>
          </w:p>
        </w:tc>
      </w:tr>
      <w:tr w14:paraId="4E0D8E53">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76BBDCE5">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0163A40">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0FC562E0">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226ED2A4">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09397F3">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09390BDD">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6C88D4CE">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5858D387">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2B7C313">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3EC3925C">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6FD2A0D2">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7E708A7A">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3E7D63A1">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6B63F452">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74A0F003">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5D24979A">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5FD8DA2B">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1D367AB1">
            <w:pPr>
              <w:adjustRightInd w:val="0"/>
              <w:snapToGrid w:val="0"/>
              <w:jc w:val="center"/>
              <w:rPr>
                <w:rFonts w:ascii="Arial" w:hAnsi="Arial" w:eastAsia="宋体" w:cs="Arial"/>
                <w:sz w:val="21"/>
                <w:szCs w:val="21"/>
                <w:u w:val="single"/>
              </w:rPr>
            </w:pPr>
          </w:p>
        </w:tc>
      </w:tr>
      <w:tr w14:paraId="132B2ABA">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7919DE91">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707C4766">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ACC1574">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325FF7A8">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6ACACE4">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49717DE5">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21F79695">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3258842F">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08D3BF71">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3E6406A7">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1E5FFBC7">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634AC33A">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46308247">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4E02C172">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5AC42295">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316F84BF">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1E446C54">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41FC9D4B">
            <w:pPr>
              <w:adjustRightInd w:val="0"/>
              <w:snapToGrid w:val="0"/>
              <w:jc w:val="center"/>
              <w:rPr>
                <w:rFonts w:ascii="Arial" w:hAnsi="Arial" w:eastAsia="宋体" w:cs="Arial"/>
                <w:sz w:val="21"/>
                <w:szCs w:val="21"/>
                <w:u w:val="single"/>
              </w:rPr>
            </w:pPr>
          </w:p>
        </w:tc>
      </w:tr>
      <w:tr w14:paraId="64CD64FC">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7A12EB4C">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42D9B89F">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58C88E6">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6B6CB0ED">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43CC57FA">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1157F09C">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75B63B87">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6B16A659">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EF88B5B">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000718F9">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2B55C60D">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149BA00B">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31577367">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02F3131C">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4230C0BC">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635EC28A">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455A1B99">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2CE192E7">
            <w:pPr>
              <w:adjustRightInd w:val="0"/>
              <w:snapToGrid w:val="0"/>
              <w:jc w:val="center"/>
              <w:rPr>
                <w:rFonts w:ascii="Arial" w:hAnsi="Arial" w:eastAsia="宋体" w:cs="Arial"/>
                <w:sz w:val="21"/>
                <w:szCs w:val="21"/>
                <w:u w:val="single"/>
              </w:rPr>
            </w:pPr>
          </w:p>
        </w:tc>
      </w:tr>
      <w:tr w14:paraId="586D4E77">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36A7F2CF">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41AD22D">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73FE0686">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734D3E62">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755F319B">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5FFEF8D3">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539C97AF">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3973F708">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0D8BB4F">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05969188">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7C59BAFC">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196758AD">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2CC19388">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1945821B">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1A9CF40B">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124B003F">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625537D8">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7A4C33D4">
            <w:pPr>
              <w:adjustRightInd w:val="0"/>
              <w:snapToGrid w:val="0"/>
              <w:jc w:val="center"/>
              <w:rPr>
                <w:rFonts w:ascii="Arial" w:hAnsi="Arial" w:eastAsia="宋体" w:cs="Arial"/>
                <w:sz w:val="21"/>
                <w:szCs w:val="21"/>
                <w:u w:val="single"/>
              </w:rPr>
            </w:pPr>
          </w:p>
        </w:tc>
      </w:tr>
      <w:tr w14:paraId="18304E07">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74680E35">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6F6056F">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73B48AB">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785F9DB0">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0731536A">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0A59C155">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305A99B8">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1EC7F865">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7890F848">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6C91C7D5">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2FAC22F4">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79C5A5C1">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2E74E961">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562A0946">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25B2B6DF">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541E46D4">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2890073D">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387268EE">
            <w:pPr>
              <w:adjustRightInd w:val="0"/>
              <w:snapToGrid w:val="0"/>
              <w:jc w:val="center"/>
              <w:rPr>
                <w:rFonts w:ascii="Arial" w:hAnsi="Arial" w:eastAsia="宋体" w:cs="Arial"/>
                <w:sz w:val="21"/>
                <w:szCs w:val="21"/>
                <w:u w:val="single"/>
              </w:rPr>
            </w:pPr>
          </w:p>
        </w:tc>
      </w:tr>
      <w:tr w14:paraId="5AC48E9A">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102E14AC">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2DBD1D1">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60D15C4">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4F08EE0C">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4A12724">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55674F51">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775ABBF3">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6EE95E33">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09CFAD5D">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7F3A6C5F">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7F5C836D">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1B2AE3D0">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577255BD">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58500FD2">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127BD52A">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33AD78FC">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21073563">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2C97E8A3">
            <w:pPr>
              <w:adjustRightInd w:val="0"/>
              <w:snapToGrid w:val="0"/>
              <w:jc w:val="center"/>
              <w:rPr>
                <w:rFonts w:ascii="Arial" w:hAnsi="Arial" w:eastAsia="宋体" w:cs="Arial"/>
                <w:sz w:val="21"/>
                <w:szCs w:val="21"/>
                <w:u w:val="single"/>
              </w:rPr>
            </w:pPr>
          </w:p>
        </w:tc>
      </w:tr>
      <w:tr w14:paraId="39F227D5">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419F9E89">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391B986">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88715A9">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6156AEE9">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5811B87">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5509DFAF">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76D72E03">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380D2971">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BFBB3BB">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322B0B6A">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3861AC5D">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161E30DF">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1F45A09F">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4D2FC3C9">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3C76CF8F">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35057D1D">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2E9D850C">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6C05EA15">
            <w:pPr>
              <w:adjustRightInd w:val="0"/>
              <w:snapToGrid w:val="0"/>
              <w:jc w:val="center"/>
              <w:rPr>
                <w:rFonts w:ascii="Arial" w:hAnsi="Arial" w:eastAsia="宋体" w:cs="Arial"/>
                <w:sz w:val="21"/>
                <w:szCs w:val="21"/>
                <w:u w:val="single"/>
              </w:rPr>
            </w:pPr>
          </w:p>
        </w:tc>
      </w:tr>
      <w:tr w14:paraId="13FFE2E1">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19EEE821">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7D4BF3FB">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5DBD4A6">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3D79D6DF">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0634F871">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392BA8D8">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5AF93D3C">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26AF0DAD">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4AC6863">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052D5CD5">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384F1A11">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4DA7CAFA">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3922B9A1">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0438230B">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78A51065">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6F72E3C1">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25986710">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62B6A5B4">
            <w:pPr>
              <w:adjustRightInd w:val="0"/>
              <w:snapToGrid w:val="0"/>
              <w:jc w:val="center"/>
              <w:rPr>
                <w:rFonts w:ascii="Arial" w:hAnsi="Arial" w:eastAsia="宋体" w:cs="Arial"/>
                <w:sz w:val="21"/>
                <w:szCs w:val="21"/>
                <w:u w:val="single"/>
              </w:rPr>
            </w:pPr>
          </w:p>
        </w:tc>
      </w:tr>
      <w:tr w14:paraId="3AE04692">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5AAF8836">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B095B7B">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1074BAF">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1FEF55CA">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BBAD85C">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0A0B212F">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6804C0CB">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196518D8">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676DBED">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28DFFB8D">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33C20BA4">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36456DFE">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209973D4">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39FD5B97">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47AF85F3">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33B289CE">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635D6519">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10FC51F1">
            <w:pPr>
              <w:adjustRightInd w:val="0"/>
              <w:snapToGrid w:val="0"/>
              <w:jc w:val="center"/>
              <w:rPr>
                <w:rFonts w:ascii="Arial" w:hAnsi="Arial" w:eastAsia="宋体" w:cs="Arial"/>
                <w:sz w:val="21"/>
                <w:szCs w:val="21"/>
                <w:u w:val="single"/>
              </w:rPr>
            </w:pPr>
          </w:p>
        </w:tc>
      </w:tr>
      <w:tr w14:paraId="39686922">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49001579">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234492E8">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8C4A0DB">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4A5BAB7A">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9CE50D2">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3AFF588A">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70F46E36">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6C3503C7">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48DED45E">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2785E35B">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566FDF4B">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1CD613CB">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5BC21A87">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40808755">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1DD49D00">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0097C9AB">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5A204F3B">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248C676C">
            <w:pPr>
              <w:adjustRightInd w:val="0"/>
              <w:snapToGrid w:val="0"/>
              <w:jc w:val="center"/>
              <w:rPr>
                <w:rFonts w:ascii="Arial" w:hAnsi="Arial" w:eastAsia="宋体" w:cs="Arial"/>
                <w:sz w:val="21"/>
                <w:szCs w:val="21"/>
                <w:u w:val="single"/>
              </w:rPr>
            </w:pPr>
          </w:p>
        </w:tc>
      </w:tr>
      <w:tr w14:paraId="2D1221A5">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75962174">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B8E52C2">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E099A71">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1176C336">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42BA026">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68AB87C0">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1783C890">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35B200CC">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08D56CB4">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7EB7D9A7">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6E25D892">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3CF25173">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372B7EB9">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1AA93FCC">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6A013E9D">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4CCBEE24">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467BC481">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152E5225">
            <w:pPr>
              <w:adjustRightInd w:val="0"/>
              <w:snapToGrid w:val="0"/>
              <w:jc w:val="center"/>
              <w:rPr>
                <w:rFonts w:ascii="Arial" w:hAnsi="Arial" w:eastAsia="宋体" w:cs="Arial"/>
                <w:sz w:val="21"/>
                <w:szCs w:val="21"/>
                <w:u w:val="single"/>
              </w:rPr>
            </w:pPr>
          </w:p>
        </w:tc>
      </w:tr>
      <w:tr w14:paraId="5BC1C6EB">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2BA1865E">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EAC8C4D">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C8F631A">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53D9C379">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642CC981">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253B3DD2">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6CBF609A">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04E9E072">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B54297E">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06C88378">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vAlign w:val="center"/>
          </w:tcPr>
          <w:p w14:paraId="55684B04">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vAlign w:val="center"/>
          </w:tcPr>
          <w:p w14:paraId="1D12A9AE">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vAlign w:val="center"/>
          </w:tcPr>
          <w:p w14:paraId="700427CA">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vAlign w:val="center"/>
          </w:tcPr>
          <w:p w14:paraId="6A775755">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vAlign w:val="center"/>
          </w:tcPr>
          <w:p w14:paraId="7F5E47E5">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vAlign w:val="center"/>
          </w:tcPr>
          <w:p w14:paraId="5EF90B3C">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vAlign w:val="center"/>
          </w:tcPr>
          <w:p w14:paraId="1330DE22">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54C66FF4">
            <w:pPr>
              <w:adjustRightInd w:val="0"/>
              <w:snapToGrid w:val="0"/>
              <w:jc w:val="center"/>
              <w:rPr>
                <w:rFonts w:ascii="Arial" w:hAnsi="Arial" w:eastAsia="宋体" w:cs="Arial"/>
                <w:sz w:val="21"/>
                <w:szCs w:val="21"/>
                <w:u w:val="single"/>
              </w:rPr>
            </w:pPr>
          </w:p>
        </w:tc>
      </w:tr>
      <w:tr w14:paraId="345AD107">
        <w:tblPrEx>
          <w:tblCellMar>
            <w:top w:w="0" w:type="dxa"/>
            <w:left w:w="108" w:type="dxa"/>
            <w:bottom w:w="0" w:type="dxa"/>
            <w:right w:w="108" w:type="dxa"/>
          </w:tblCellMar>
        </w:tblPrEx>
        <w:trPr>
          <w:trHeight w:val="340" w:hRule="atLeast"/>
        </w:trPr>
        <w:tc>
          <w:tcPr>
            <w:tcW w:w="460" w:type="pct"/>
            <w:tcBorders>
              <w:top w:val="nil"/>
              <w:left w:val="single" w:color="auto" w:sz="8" w:space="0"/>
              <w:bottom w:val="single" w:color="auto" w:sz="8" w:space="0"/>
              <w:right w:val="single" w:color="auto" w:sz="8" w:space="0"/>
            </w:tcBorders>
            <w:shd w:val="clear" w:color="auto" w:fill="auto"/>
            <w:noWrap/>
            <w:vAlign w:val="center"/>
          </w:tcPr>
          <w:p w14:paraId="33F91910">
            <w:pPr>
              <w:widowControl/>
              <w:adjustRightInd w:val="0"/>
              <w:snapToGrid w:val="0"/>
              <w:jc w:val="center"/>
              <w:rPr>
                <w:rFonts w:ascii="Arial" w:hAnsi="Arial" w:eastAsia="宋体" w:cs="Arial"/>
                <w:kern w:val="0"/>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76433FAB">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0CEE808E">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34C67DC3">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3DD361D4">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715CE07F">
            <w:pPr>
              <w:adjustRightInd w:val="0"/>
              <w:snapToGrid w:val="0"/>
              <w:jc w:val="center"/>
              <w:rPr>
                <w:rFonts w:ascii="Arial" w:hAnsi="Arial" w:eastAsia="宋体" w:cs="Arial"/>
                <w:sz w:val="21"/>
                <w:szCs w:val="21"/>
                <w:u w:val="single"/>
              </w:rPr>
            </w:pPr>
          </w:p>
        </w:tc>
        <w:tc>
          <w:tcPr>
            <w:tcW w:w="239" w:type="pct"/>
            <w:tcBorders>
              <w:top w:val="nil"/>
              <w:left w:val="nil"/>
              <w:bottom w:val="single" w:color="auto" w:sz="8" w:space="0"/>
              <w:right w:val="single" w:color="auto" w:sz="8" w:space="0"/>
            </w:tcBorders>
            <w:shd w:val="clear" w:color="auto" w:fill="auto"/>
            <w:noWrap/>
            <w:vAlign w:val="center"/>
          </w:tcPr>
          <w:p w14:paraId="131D6A37">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6A80800B">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5EBD0B73">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156D125F">
            <w:pPr>
              <w:adjustRightInd w:val="0"/>
              <w:snapToGrid w:val="0"/>
              <w:jc w:val="center"/>
              <w:rPr>
                <w:rFonts w:ascii="Arial" w:hAnsi="Arial" w:eastAsia="宋体" w:cs="Arial"/>
                <w:sz w:val="21"/>
                <w:szCs w:val="21"/>
                <w:u w:val="single"/>
              </w:rPr>
            </w:pPr>
          </w:p>
        </w:tc>
        <w:tc>
          <w:tcPr>
            <w:tcW w:w="268" w:type="pct"/>
            <w:tcBorders>
              <w:top w:val="nil"/>
              <w:left w:val="nil"/>
              <w:bottom w:val="single" w:color="auto" w:sz="8" w:space="0"/>
              <w:right w:val="single" w:color="auto" w:sz="8" w:space="0"/>
            </w:tcBorders>
            <w:shd w:val="clear" w:color="auto" w:fill="auto"/>
            <w:noWrap/>
            <w:vAlign w:val="center"/>
          </w:tcPr>
          <w:p w14:paraId="146686F4">
            <w:pPr>
              <w:adjustRightInd w:val="0"/>
              <w:snapToGrid w:val="0"/>
              <w:jc w:val="center"/>
              <w:rPr>
                <w:rFonts w:ascii="Arial" w:hAnsi="Arial" w:eastAsia="宋体" w:cs="Arial"/>
                <w:sz w:val="21"/>
                <w:szCs w:val="21"/>
                <w:u w:val="single"/>
              </w:rPr>
            </w:pPr>
          </w:p>
        </w:tc>
        <w:tc>
          <w:tcPr>
            <w:tcW w:w="208" w:type="pct"/>
            <w:tcBorders>
              <w:top w:val="nil"/>
              <w:left w:val="nil"/>
              <w:bottom w:val="single" w:color="auto" w:sz="8" w:space="0"/>
              <w:right w:val="single" w:color="auto" w:sz="8" w:space="0"/>
            </w:tcBorders>
            <w:shd w:val="clear" w:color="auto" w:fill="auto"/>
            <w:noWrap/>
            <w:vAlign w:val="center"/>
          </w:tcPr>
          <w:p w14:paraId="3C53FA36">
            <w:pPr>
              <w:adjustRightInd w:val="0"/>
              <w:snapToGrid w:val="0"/>
              <w:jc w:val="center"/>
              <w:rPr>
                <w:rFonts w:ascii="Arial" w:hAnsi="Arial" w:eastAsia="宋体" w:cs="Arial"/>
                <w:sz w:val="21"/>
                <w:szCs w:val="21"/>
                <w:u w:val="single"/>
              </w:rPr>
            </w:pPr>
          </w:p>
        </w:tc>
        <w:tc>
          <w:tcPr>
            <w:tcW w:w="291" w:type="pct"/>
            <w:tcBorders>
              <w:top w:val="nil"/>
              <w:left w:val="nil"/>
              <w:bottom w:val="single" w:color="auto" w:sz="8" w:space="0"/>
              <w:right w:val="single" w:color="auto" w:sz="8" w:space="0"/>
            </w:tcBorders>
            <w:shd w:val="clear" w:color="auto" w:fill="auto"/>
            <w:noWrap/>
            <w:vAlign w:val="center"/>
          </w:tcPr>
          <w:p w14:paraId="7CB2AC9A">
            <w:pPr>
              <w:adjustRightInd w:val="0"/>
              <w:snapToGrid w:val="0"/>
              <w:jc w:val="center"/>
              <w:rPr>
                <w:rFonts w:ascii="Arial" w:hAnsi="Arial" w:eastAsia="宋体" w:cs="Arial"/>
                <w:sz w:val="21"/>
                <w:szCs w:val="21"/>
                <w:u w:val="single"/>
              </w:rPr>
            </w:pPr>
          </w:p>
        </w:tc>
        <w:tc>
          <w:tcPr>
            <w:tcW w:w="398" w:type="pct"/>
            <w:tcBorders>
              <w:top w:val="nil"/>
              <w:left w:val="nil"/>
              <w:bottom w:val="single" w:color="auto" w:sz="8" w:space="0"/>
              <w:right w:val="single" w:color="auto" w:sz="8" w:space="0"/>
            </w:tcBorders>
            <w:shd w:val="clear" w:color="auto" w:fill="auto"/>
            <w:noWrap/>
            <w:vAlign w:val="center"/>
          </w:tcPr>
          <w:p w14:paraId="6D94789E">
            <w:pPr>
              <w:adjustRightInd w:val="0"/>
              <w:snapToGrid w:val="0"/>
              <w:jc w:val="center"/>
              <w:rPr>
                <w:rFonts w:ascii="Arial" w:hAnsi="Arial" w:eastAsia="宋体" w:cs="Arial"/>
                <w:sz w:val="21"/>
                <w:szCs w:val="21"/>
                <w:u w:val="single"/>
              </w:rPr>
            </w:pPr>
          </w:p>
        </w:tc>
        <w:tc>
          <w:tcPr>
            <w:tcW w:w="377" w:type="pct"/>
            <w:tcBorders>
              <w:top w:val="nil"/>
              <w:left w:val="nil"/>
              <w:bottom w:val="single" w:color="auto" w:sz="8" w:space="0"/>
              <w:right w:val="single" w:color="auto" w:sz="8" w:space="0"/>
            </w:tcBorders>
            <w:shd w:val="clear" w:color="auto" w:fill="auto"/>
            <w:noWrap/>
            <w:vAlign w:val="center"/>
          </w:tcPr>
          <w:p w14:paraId="73E43C28">
            <w:pPr>
              <w:adjustRightInd w:val="0"/>
              <w:snapToGrid w:val="0"/>
              <w:jc w:val="center"/>
              <w:rPr>
                <w:rFonts w:ascii="Arial" w:hAnsi="Arial" w:eastAsia="宋体" w:cs="Arial"/>
                <w:sz w:val="21"/>
                <w:szCs w:val="21"/>
                <w:u w:val="single"/>
              </w:rPr>
            </w:pPr>
          </w:p>
        </w:tc>
        <w:tc>
          <w:tcPr>
            <w:tcW w:w="258" w:type="pct"/>
            <w:tcBorders>
              <w:top w:val="nil"/>
              <w:left w:val="nil"/>
              <w:bottom w:val="single" w:color="auto" w:sz="8" w:space="0"/>
              <w:right w:val="single" w:color="auto" w:sz="8" w:space="0"/>
            </w:tcBorders>
            <w:shd w:val="clear" w:color="auto" w:fill="auto"/>
            <w:noWrap/>
            <w:vAlign w:val="center"/>
          </w:tcPr>
          <w:p w14:paraId="15E4C6FD">
            <w:pPr>
              <w:adjustRightInd w:val="0"/>
              <w:snapToGrid w:val="0"/>
              <w:jc w:val="center"/>
              <w:rPr>
                <w:rFonts w:ascii="Arial" w:hAnsi="Arial" w:eastAsia="宋体" w:cs="Arial"/>
                <w:sz w:val="21"/>
                <w:szCs w:val="21"/>
                <w:u w:val="single"/>
              </w:rPr>
            </w:pPr>
          </w:p>
        </w:tc>
        <w:tc>
          <w:tcPr>
            <w:tcW w:w="211" w:type="pct"/>
            <w:tcBorders>
              <w:top w:val="nil"/>
              <w:left w:val="nil"/>
              <w:bottom w:val="single" w:color="auto" w:sz="8" w:space="0"/>
              <w:right w:val="single" w:color="auto" w:sz="8" w:space="0"/>
            </w:tcBorders>
            <w:shd w:val="clear" w:color="auto" w:fill="auto"/>
            <w:noWrap/>
            <w:vAlign w:val="center"/>
          </w:tcPr>
          <w:p w14:paraId="04B2A684">
            <w:pPr>
              <w:adjustRightInd w:val="0"/>
              <w:snapToGrid w:val="0"/>
              <w:jc w:val="center"/>
              <w:rPr>
                <w:rFonts w:ascii="Arial" w:hAnsi="Arial" w:eastAsia="宋体" w:cs="Arial"/>
                <w:sz w:val="21"/>
                <w:szCs w:val="21"/>
                <w:u w:val="single"/>
              </w:rPr>
            </w:pPr>
          </w:p>
        </w:tc>
        <w:tc>
          <w:tcPr>
            <w:tcW w:w="280" w:type="pct"/>
            <w:tcBorders>
              <w:top w:val="nil"/>
              <w:left w:val="nil"/>
              <w:bottom w:val="single" w:color="auto" w:sz="8" w:space="0"/>
              <w:right w:val="single" w:color="auto" w:sz="8" w:space="0"/>
            </w:tcBorders>
            <w:shd w:val="clear" w:color="auto" w:fill="auto"/>
            <w:noWrap/>
            <w:vAlign w:val="center"/>
          </w:tcPr>
          <w:p w14:paraId="54AAB7D2">
            <w:pPr>
              <w:adjustRightInd w:val="0"/>
              <w:snapToGrid w:val="0"/>
              <w:jc w:val="center"/>
              <w:rPr>
                <w:rFonts w:ascii="Arial" w:hAnsi="Arial" w:eastAsia="宋体" w:cs="Arial"/>
                <w:sz w:val="21"/>
                <w:szCs w:val="21"/>
                <w:u w:val="single"/>
              </w:rPr>
            </w:pPr>
          </w:p>
        </w:tc>
      </w:tr>
    </w:tbl>
    <w:p w14:paraId="30249273">
      <w:pPr>
        <w:pStyle w:val="5"/>
        <w:spacing w:line="500" w:lineRule="exact"/>
        <w:ind w:firstLine="490" w:firstLineChars="200"/>
        <w:rPr>
          <w:highlight w:val="yellow"/>
        </w:rPr>
        <w:sectPr>
          <w:pgSz w:w="23814" w:h="16839" w:orient="landscape"/>
          <w:pgMar w:top="1134" w:right="1678" w:bottom="1134" w:left="1899" w:header="1134" w:footer="1134" w:gutter="567"/>
          <w:cols w:space="720" w:num="1"/>
          <w:docGrid w:type="linesAndChars" w:linePitch="428" w:charSpace="-3161"/>
        </w:sectPr>
      </w:pPr>
    </w:p>
    <w:p w14:paraId="117D7B1A">
      <w:pPr>
        <w:pStyle w:val="5"/>
        <w:adjustRightInd w:val="0"/>
        <w:snapToGrid w:val="0"/>
        <w:spacing w:line="240" w:lineRule="auto"/>
        <w:ind w:firstLine="0"/>
        <w:jc w:val="center"/>
      </w:pPr>
    </w:p>
    <w:p w14:paraId="15E84FCB">
      <w:pPr>
        <w:pStyle w:val="5"/>
        <w:spacing w:line="500" w:lineRule="exact"/>
        <w:ind w:firstLine="0"/>
        <w:jc w:val="center"/>
        <w:rPr>
          <w:b/>
          <w:u w:val="single"/>
        </w:rPr>
      </w:pPr>
      <w:r>
        <w:rPr>
          <w:b/>
          <w:u w:val="single"/>
        </w:rPr>
        <w:t>图2.</w:t>
      </w:r>
      <w:r>
        <w:rPr>
          <w:rFonts w:hint="eastAsia"/>
          <w:b/>
          <w:u w:val="single"/>
        </w:rPr>
        <w:t>8</w:t>
      </w:r>
      <w:r>
        <w:rPr>
          <w:b/>
          <w:u w:val="single"/>
        </w:rPr>
        <w:t>-1  项目变更后全厂水平衡图（单位：m</w:t>
      </w:r>
      <w:r>
        <w:rPr>
          <w:rFonts w:hint="eastAsia"/>
          <w:b/>
          <w:u w:val="single"/>
          <w:vertAlign w:val="superscript"/>
        </w:rPr>
        <w:t>3</w:t>
      </w:r>
      <w:r>
        <w:rPr>
          <w:rFonts w:hint="eastAsia"/>
          <w:b/>
          <w:u w:val="single"/>
        </w:rPr>
        <w:t>/d</w:t>
      </w:r>
      <w:r>
        <w:rPr>
          <w:b/>
          <w:u w:val="single"/>
        </w:rPr>
        <w:t>）</w:t>
      </w:r>
    </w:p>
    <w:p w14:paraId="695A8D7E">
      <w:pPr>
        <w:pStyle w:val="5"/>
        <w:spacing w:line="500" w:lineRule="exact"/>
        <w:ind w:firstLine="490" w:firstLineChars="200"/>
        <w:jc w:val="center"/>
        <w:rPr>
          <w:highlight w:val="yellow"/>
        </w:rPr>
        <w:sectPr>
          <w:pgSz w:w="16839" w:h="23814"/>
          <w:pgMar w:top="1678" w:right="1134" w:bottom="1899" w:left="1134" w:header="1134" w:footer="1134" w:gutter="567"/>
          <w:cols w:space="720" w:num="1"/>
          <w:docGrid w:type="linesAndChars" w:linePitch="428" w:charSpace="-3161"/>
        </w:sectPr>
      </w:pPr>
    </w:p>
    <w:p w14:paraId="0643AFB2">
      <w:pPr>
        <w:pStyle w:val="4"/>
        <w:numPr>
          <w:ilvl w:val="1"/>
          <w:numId w:val="11"/>
        </w:numPr>
        <w:tabs>
          <w:tab w:val="left" w:pos="3217"/>
        </w:tabs>
        <w:spacing w:before="214" w:beforeLines="50" w:after="214" w:afterLines="50" w:line="500" w:lineRule="exact"/>
        <w:ind w:left="567"/>
        <w:rPr>
          <w:rFonts w:ascii="Arial" w:eastAsia="宋体" w:cs="Arial"/>
          <w:b/>
        </w:rPr>
      </w:pPr>
      <w:bookmarkStart w:id="274" w:name="_Toc185950222"/>
      <w:r>
        <w:rPr>
          <w:rFonts w:ascii="Arial" w:eastAsia="宋体" w:cs="Arial"/>
          <w:b/>
        </w:rPr>
        <w:t>总量控制</w:t>
      </w:r>
      <w:bookmarkEnd w:id="274"/>
    </w:p>
    <w:p w14:paraId="6DB7E87F">
      <w:pPr>
        <w:pStyle w:val="5"/>
        <w:adjustRightInd w:val="0"/>
        <w:snapToGrid w:val="0"/>
        <w:spacing w:line="500" w:lineRule="exact"/>
        <w:ind w:firstLine="490" w:firstLineChars="200"/>
      </w:pPr>
      <w:r>
        <w:t>本项目外排废水新增COD</w:t>
      </w:r>
      <w:r>
        <w:rPr>
          <w:rFonts w:hint="eastAsia"/>
        </w:rPr>
        <w:t xml:space="preserve"> 0.1806</w:t>
      </w:r>
      <w:r>
        <w:t>t/a</w:t>
      </w:r>
      <w:r>
        <w:rPr>
          <w:rFonts w:hint="eastAsia"/>
        </w:rPr>
        <w:t>、</w:t>
      </w:r>
      <w:r>
        <w:t>氨氮0.</w:t>
      </w:r>
      <w:r>
        <w:rPr>
          <w:rFonts w:hint="eastAsia"/>
        </w:rPr>
        <w:t>0249</w:t>
      </w:r>
      <w:r>
        <w:t>t/a</w:t>
      </w:r>
      <w:r>
        <w:rPr>
          <w:rFonts w:hint="eastAsia"/>
        </w:rPr>
        <w:t>；</w:t>
      </w:r>
      <w:r>
        <w:t>外排废气不含有机废气、氮氧化物。</w:t>
      </w:r>
    </w:p>
    <w:p w14:paraId="435F501D">
      <w:pPr>
        <w:pStyle w:val="4"/>
        <w:numPr>
          <w:ilvl w:val="1"/>
          <w:numId w:val="11"/>
        </w:numPr>
        <w:tabs>
          <w:tab w:val="left" w:pos="709"/>
          <w:tab w:val="left" w:pos="3217"/>
        </w:tabs>
        <w:spacing w:before="214" w:beforeLines="50" w:after="214" w:afterLines="50" w:line="500" w:lineRule="exact"/>
        <w:ind w:left="567"/>
        <w:rPr>
          <w:rFonts w:ascii="Arial" w:eastAsia="宋体" w:cs="Arial"/>
          <w:b/>
        </w:rPr>
      </w:pPr>
      <w:bookmarkStart w:id="275" w:name="_Toc185950223"/>
      <w:r>
        <w:rPr>
          <w:rFonts w:ascii="Arial" w:eastAsia="宋体" w:cs="Arial"/>
          <w:b/>
        </w:rPr>
        <w:t>清洁生产</w:t>
      </w:r>
      <w:bookmarkEnd w:id="275"/>
    </w:p>
    <w:p w14:paraId="3A914BAA">
      <w:pPr>
        <w:pStyle w:val="5"/>
        <w:adjustRightInd w:val="0"/>
        <w:snapToGrid w:val="0"/>
        <w:spacing w:line="500" w:lineRule="exact"/>
        <w:ind w:firstLine="490" w:firstLineChars="200"/>
      </w:pPr>
      <w:r>
        <w:t>清洁生产是将可持续发展的思想应用于环境保护的一种整体预防的战略。它是以节能、降耗、减污及增效为主要目标，以技术、管理为手段，通过产品的开发设计、原料的充分使用、良好的企业管理、合理的工艺流程、有效的物料循环以及综合利用等途径，实现工业生产中包括生产、产品和消费的全过程控制，使污染物的产生量和排放量最小化的一种综合性措施，其目的是使生产和消费过程产生的废物资源化、最小化、无害化，从而使企业获得最大的环境效益和经济效益。</w:t>
      </w:r>
    </w:p>
    <w:p w14:paraId="73109E82">
      <w:pPr>
        <w:pStyle w:val="5"/>
        <w:adjustRightInd w:val="0"/>
        <w:snapToGrid w:val="0"/>
        <w:spacing w:line="500" w:lineRule="exact"/>
        <w:ind w:firstLine="490" w:firstLineChars="200"/>
      </w:pPr>
      <w:r>
        <w:t xml:space="preserve">2003 年 1 月 1 日施行的《中华人民共和国清洁生产促进法》中明确规定： 清洁生产是指不断采取改进设计、使用清洁的能源和原料、采用先进的工艺技术与设备、改善管理、综合利用等措施，从源头削减污染，提高资源利用率，减少或者避免生产、服务和产品使用过程中污染物的产生和排放，以减轻或者消除对 人类健康和环境的危害。 </w:t>
      </w:r>
    </w:p>
    <w:p w14:paraId="5F9DD4B1">
      <w:pPr>
        <w:pStyle w:val="5"/>
        <w:adjustRightInd w:val="0"/>
        <w:snapToGrid w:val="0"/>
        <w:spacing w:line="500" w:lineRule="exact"/>
        <w:ind w:firstLine="490" w:firstLineChars="200"/>
      </w:pPr>
      <w:r>
        <w:t xml:space="preserve">对于工业企业来说，应在生产、产品和服务中最大限度地做到： </w:t>
      </w:r>
    </w:p>
    <w:p w14:paraId="44F560B1">
      <w:pPr>
        <w:pStyle w:val="5"/>
        <w:adjustRightInd w:val="0"/>
        <w:snapToGrid w:val="0"/>
        <w:spacing w:line="500" w:lineRule="exact"/>
        <w:ind w:firstLine="490" w:firstLineChars="200"/>
      </w:pPr>
      <w:r>
        <w:t xml:space="preserve">1、节约能源，利用可再生资源，利用清洁能源，开发新能源，实施各种节能技术和措施，节约原材料，利用无毒和无害原材料，减少使用稀有原材料，现场循环物料、废弃物。 </w:t>
      </w:r>
    </w:p>
    <w:p w14:paraId="148B50B4">
      <w:pPr>
        <w:pStyle w:val="5"/>
        <w:adjustRightInd w:val="0"/>
        <w:snapToGrid w:val="0"/>
        <w:spacing w:line="500" w:lineRule="exact"/>
        <w:ind w:firstLine="490" w:firstLineChars="200"/>
      </w:pPr>
      <w:r>
        <w:t xml:space="preserve">2、采用高效、少废或无废的生产技术和工艺，减少副产品，提高产品质量，合理安排生产制度。 </w:t>
      </w:r>
    </w:p>
    <w:p w14:paraId="3FA3BA2B">
      <w:pPr>
        <w:pStyle w:val="5"/>
        <w:adjustRightInd w:val="0"/>
        <w:snapToGrid w:val="0"/>
        <w:spacing w:line="500" w:lineRule="exact"/>
        <w:ind w:firstLine="490" w:firstLineChars="200"/>
      </w:pPr>
      <w:r>
        <w:t>3、建立和执行完善的环保制度，树立良好的企业形象。</w:t>
      </w:r>
    </w:p>
    <w:p w14:paraId="0729E6FB">
      <w:pPr>
        <w:pStyle w:val="5"/>
        <w:adjustRightInd w:val="0"/>
        <w:snapToGrid w:val="0"/>
        <w:spacing w:line="500" w:lineRule="exact"/>
        <w:ind w:firstLine="490" w:firstLineChars="200"/>
      </w:pPr>
      <w:r>
        <w:rPr>
          <w:rFonts w:hint="eastAsia"/>
        </w:rPr>
        <w:t>本项目清洁生产主要冲资源能源消耗、工艺技术与装备和污染控制进行分析。</w:t>
      </w:r>
    </w:p>
    <w:p w14:paraId="6D8ED91D">
      <w:pPr>
        <w:pStyle w:val="5"/>
        <w:adjustRightInd w:val="0"/>
        <w:snapToGrid w:val="0"/>
        <w:spacing w:line="500" w:lineRule="exact"/>
        <w:ind w:firstLine="490" w:firstLineChars="200"/>
      </w:pPr>
      <w:r>
        <w:t>1、资源和能源消耗</w:t>
      </w:r>
    </w:p>
    <w:p w14:paraId="1C2C14A4">
      <w:pPr>
        <w:pStyle w:val="5"/>
        <w:adjustRightInd w:val="0"/>
        <w:snapToGrid w:val="0"/>
        <w:spacing w:line="500" w:lineRule="exact"/>
        <w:ind w:firstLine="490" w:firstLineChars="200"/>
      </w:pPr>
      <w:r>
        <w:rPr>
          <w:rFonts w:hint="eastAsia"/>
        </w:rPr>
        <w:t>羟基钴</w:t>
      </w:r>
      <w:r>
        <w:t>生产线主要能源消耗为水、电、蒸汽。</w:t>
      </w:r>
    </w:p>
    <w:p w14:paraId="622088A8">
      <w:pPr>
        <w:pStyle w:val="5"/>
        <w:keepNext/>
        <w:numPr>
          <w:ilvl w:val="0"/>
          <w:numId w:val="12"/>
        </w:numPr>
        <w:spacing w:line="480" w:lineRule="exact"/>
        <w:ind w:left="0" w:firstLine="0"/>
        <w:jc w:val="center"/>
        <w:outlineLvl w:val="4"/>
        <w:rPr>
          <w:b/>
        </w:rPr>
      </w:pPr>
      <w:r>
        <w:rPr>
          <w:rFonts w:hint="eastAsia"/>
          <w:b/>
        </w:rPr>
        <w:t>羟基钴</w:t>
      </w:r>
      <w:r>
        <w:rPr>
          <w:b/>
        </w:rPr>
        <w:t>生产线能耗指标表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9"/>
        <w:gridCol w:w="799"/>
        <w:gridCol w:w="2236"/>
        <w:gridCol w:w="2801"/>
        <w:gridCol w:w="2358"/>
      </w:tblGrid>
      <w:tr w14:paraId="35A9F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Align w:val="center"/>
          </w:tcPr>
          <w:p w14:paraId="15276DE6">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444" w:type="pct"/>
            <w:vAlign w:val="center"/>
          </w:tcPr>
          <w:p w14:paraId="24AFD45E">
            <w:pPr>
              <w:spacing w:line="240" w:lineRule="exact"/>
              <w:jc w:val="center"/>
              <w:rPr>
                <w:rFonts w:ascii="Arial" w:hAnsi="Arial" w:eastAsia="宋体" w:cs="Arial"/>
                <w:sz w:val="21"/>
                <w:szCs w:val="21"/>
              </w:rPr>
            </w:pPr>
            <w:r>
              <w:rPr>
                <w:rFonts w:ascii="Arial" w:hAnsi="Arial" w:eastAsia="宋体" w:cs="Arial"/>
                <w:sz w:val="21"/>
                <w:szCs w:val="21"/>
              </w:rPr>
              <w:t>名称</w:t>
            </w:r>
          </w:p>
        </w:tc>
        <w:tc>
          <w:tcPr>
            <w:tcW w:w="1243" w:type="pct"/>
            <w:vAlign w:val="center"/>
          </w:tcPr>
          <w:p w14:paraId="0872DC64">
            <w:pPr>
              <w:spacing w:line="240" w:lineRule="exact"/>
              <w:jc w:val="center"/>
              <w:rPr>
                <w:rFonts w:ascii="Arial" w:hAnsi="Arial" w:eastAsia="宋体" w:cs="Arial"/>
                <w:sz w:val="21"/>
                <w:szCs w:val="21"/>
              </w:rPr>
            </w:pPr>
            <w:r>
              <w:rPr>
                <w:rFonts w:ascii="Arial" w:hAnsi="Arial" w:eastAsia="宋体" w:cs="Arial"/>
                <w:sz w:val="21"/>
                <w:szCs w:val="21"/>
              </w:rPr>
              <w:t>数量</w:t>
            </w:r>
          </w:p>
        </w:tc>
        <w:tc>
          <w:tcPr>
            <w:tcW w:w="1557" w:type="pct"/>
            <w:vAlign w:val="center"/>
          </w:tcPr>
          <w:p w14:paraId="397D8B52">
            <w:pPr>
              <w:spacing w:line="240" w:lineRule="exact"/>
              <w:jc w:val="center"/>
              <w:rPr>
                <w:rFonts w:ascii="Arial" w:hAnsi="Arial" w:eastAsia="宋体" w:cs="Arial"/>
                <w:sz w:val="21"/>
                <w:szCs w:val="21"/>
              </w:rPr>
            </w:pPr>
            <w:r>
              <w:rPr>
                <w:rFonts w:ascii="Arial" w:hAnsi="Arial" w:eastAsia="宋体" w:cs="Arial"/>
                <w:sz w:val="21"/>
                <w:szCs w:val="21"/>
              </w:rPr>
              <w:t>折算系数</w:t>
            </w:r>
          </w:p>
        </w:tc>
        <w:tc>
          <w:tcPr>
            <w:tcW w:w="1311" w:type="pct"/>
            <w:vAlign w:val="center"/>
          </w:tcPr>
          <w:p w14:paraId="20569BF6">
            <w:pPr>
              <w:spacing w:line="240" w:lineRule="exact"/>
              <w:jc w:val="center"/>
              <w:rPr>
                <w:rFonts w:ascii="Arial" w:hAnsi="Arial" w:eastAsia="宋体" w:cs="Arial"/>
                <w:sz w:val="21"/>
                <w:szCs w:val="21"/>
              </w:rPr>
            </w:pPr>
            <w:r>
              <w:rPr>
                <w:rFonts w:ascii="Arial" w:hAnsi="Arial" w:eastAsia="宋体" w:cs="Arial"/>
                <w:sz w:val="21"/>
                <w:szCs w:val="21"/>
              </w:rPr>
              <w:t>折合标煤量（t/a）</w:t>
            </w:r>
          </w:p>
        </w:tc>
      </w:tr>
      <w:tr w14:paraId="3E481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Align w:val="center"/>
          </w:tcPr>
          <w:p w14:paraId="548F4A04">
            <w:pPr>
              <w:spacing w:line="240" w:lineRule="exact"/>
              <w:jc w:val="center"/>
              <w:rPr>
                <w:rFonts w:ascii="Arial" w:hAnsi="Arial" w:eastAsia="宋体" w:cs="Arial"/>
                <w:sz w:val="21"/>
                <w:szCs w:val="21"/>
              </w:rPr>
            </w:pPr>
            <w:r>
              <w:rPr>
                <w:rFonts w:ascii="Arial" w:hAnsi="Arial" w:eastAsia="宋体" w:cs="Arial"/>
                <w:sz w:val="21"/>
                <w:szCs w:val="21"/>
              </w:rPr>
              <w:t>1</w:t>
            </w:r>
          </w:p>
        </w:tc>
        <w:tc>
          <w:tcPr>
            <w:tcW w:w="444" w:type="pct"/>
            <w:vAlign w:val="center"/>
          </w:tcPr>
          <w:p w14:paraId="18174EB4">
            <w:pPr>
              <w:spacing w:line="240" w:lineRule="exact"/>
              <w:jc w:val="center"/>
              <w:rPr>
                <w:rFonts w:ascii="Arial" w:hAnsi="Arial" w:eastAsia="宋体" w:cs="Arial"/>
                <w:sz w:val="21"/>
                <w:szCs w:val="21"/>
              </w:rPr>
            </w:pPr>
            <w:r>
              <w:rPr>
                <w:rFonts w:ascii="Arial" w:hAnsi="Arial" w:eastAsia="宋体" w:cs="Arial"/>
                <w:sz w:val="21"/>
                <w:szCs w:val="21"/>
              </w:rPr>
              <w:t>水</w:t>
            </w:r>
          </w:p>
        </w:tc>
        <w:tc>
          <w:tcPr>
            <w:tcW w:w="1243" w:type="pct"/>
            <w:vAlign w:val="center"/>
          </w:tcPr>
          <w:p w14:paraId="5132FB4C">
            <w:pPr>
              <w:spacing w:line="240" w:lineRule="exact"/>
              <w:jc w:val="center"/>
              <w:rPr>
                <w:rFonts w:ascii="Arial" w:hAnsi="Arial" w:eastAsia="宋体" w:cs="Arial"/>
                <w:sz w:val="21"/>
                <w:szCs w:val="21"/>
              </w:rPr>
            </w:pPr>
            <w:r>
              <w:rPr>
                <w:rFonts w:hint="eastAsia" w:ascii="Arial" w:hAnsi="Arial" w:eastAsia="宋体" w:cs="Arial"/>
                <w:sz w:val="21"/>
                <w:szCs w:val="21"/>
              </w:rPr>
              <w:t>30254.4</w:t>
            </w:r>
            <w:r>
              <w:rPr>
                <w:rFonts w:ascii="Arial" w:hAnsi="Arial" w:eastAsia="宋体" w:cs="Arial"/>
                <w:sz w:val="21"/>
                <w:szCs w:val="21"/>
              </w:rPr>
              <w:t>m</w:t>
            </w:r>
            <w:r>
              <w:rPr>
                <w:rFonts w:ascii="Arial" w:hAnsi="Arial" w:eastAsia="宋体" w:cs="Arial"/>
                <w:b/>
                <w:bCs/>
                <w:sz w:val="21"/>
                <w:szCs w:val="21"/>
                <w:vertAlign w:val="superscript"/>
              </w:rPr>
              <w:t>3</w:t>
            </w:r>
            <w:r>
              <w:rPr>
                <w:rFonts w:ascii="Arial" w:hAnsi="Arial" w:eastAsia="宋体" w:cs="Arial"/>
                <w:sz w:val="21"/>
                <w:szCs w:val="21"/>
              </w:rPr>
              <w:t>/a</w:t>
            </w:r>
          </w:p>
        </w:tc>
        <w:tc>
          <w:tcPr>
            <w:tcW w:w="1557" w:type="pct"/>
            <w:vAlign w:val="center"/>
          </w:tcPr>
          <w:p w14:paraId="2BDF7D62">
            <w:pPr>
              <w:spacing w:line="240" w:lineRule="exact"/>
              <w:jc w:val="center"/>
              <w:rPr>
                <w:rFonts w:ascii="Arial" w:hAnsi="Arial" w:eastAsia="宋体" w:cs="Arial"/>
                <w:sz w:val="21"/>
                <w:szCs w:val="21"/>
              </w:rPr>
            </w:pPr>
            <w:r>
              <w:rPr>
                <w:rFonts w:ascii="Arial" w:hAnsi="Arial" w:eastAsia="宋体" w:cs="Arial"/>
                <w:sz w:val="21"/>
                <w:szCs w:val="21"/>
              </w:rPr>
              <w:t>0.0857kgce/t</w:t>
            </w:r>
          </w:p>
        </w:tc>
        <w:tc>
          <w:tcPr>
            <w:tcW w:w="1311" w:type="pct"/>
            <w:vAlign w:val="center"/>
          </w:tcPr>
          <w:p w14:paraId="37D9EC39">
            <w:pPr>
              <w:spacing w:line="240" w:lineRule="exact"/>
              <w:jc w:val="center"/>
              <w:rPr>
                <w:rFonts w:ascii="Arial" w:hAnsi="Arial" w:eastAsia="宋体" w:cs="Arial"/>
                <w:sz w:val="21"/>
                <w:szCs w:val="21"/>
              </w:rPr>
            </w:pPr>
            <w:r>
              <w:rPr>
                <w:rFonts w:hint="eastAsia" w:ascii="Arial" w:hAnsi="Arial" w:eastAsia="宋体" w:cs="Arial"/>
                <w:sz w:val="21"/>
                <w:szCs w:val="21"/>
              </w:rPr>
              <w:t>2.593</w:t>
            </w:r>
          </w:p>
        </w:tc>
      </w:tr>
      <w:tr w14:paraId="2F592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Align w:val="center"/>
          </w:tcPr>
          <w:p w14:paraId="6E6BFFAB">
            <w:pPr>
              <w:spacing w:line="240" w:lineRule="exact"/>
              <w:jc w:val="center"/>
              <w:rPr>
                <w:rFonts w:ascii="Arial" w:hAnsi="Arial" w:eastAsia="宋体" w:cs="Arial"/>
                <w:sz w:val="21"/>
                <w:szCs w:val="21"/>
              </w:rPr>
            </w:pPr>
            <w:r>
              <w:rPr>
                <w:rFonts w:ascii="Arial" w:hAnsi="Arial" w:eastAsia="宋体" w:cs="Arial"/>
                <w:sz w:val="21"/>
                <w:szCs w:val="21"/>
              </w:rPr>
              <w:t>2</w:t>
            </w:r>
          </w:p>
        </w:tc>
        <w:tc>
          <w:tcPr>
            <w:tcW w:w="444" w:type="pct"/>
            <w:vAlign w:val="center"/>
          </w:tcPr>
          <w:p w14:paraId="403C3EFA">
            <w:pPr>
              <w:spacing w:line="240" w:lineRule="exact"/>
              <w:jc w:val="center"/>
              <w:rPr>
                <w:rFonts w:ascii="Arial" w:hAnsi="Arial" w:eastAsia="宋体" w:cs="Arial"/>
                <w:sz w:val="21"/>
                <w:szCs w:val="21"/>
              </w:rPr>
            </w:pPr>
            <w:r>
              <w:rPr>
                <w:rFonts w:ascii="Arial" w:hAnsi="Arial" w:eastAsia="宋体" w:cs="Arial"/>
                <w:sz w:val="21"/>
                <w:szCs w:val="21"/>
              </w:rPr>
              <w:t>电</w:t>
            </w:r>
          </w:p>
        </w:tc>
        <w:tc>
          <w:tcPr>
            <w:tcW w:w="1243" w:type="pct"/>
            <w:vAlign w:val="center"/>
          </w:tcPr>
          <w:p w14:paraId="6248E066">
            <w:pPr>
              <w:spacing w:line="240" w:lineRule="exact"/>
              <w:jc w:val="center"/>
              <w:rPr>
                <w:rFonts w:ascii="Arial" w:hAnsi="Arial" w:eastAsia="宋体" w:cs="Arial"/>
                <w:sz w:val="21"/>
                <w:szCs w:val="21"/>
              </w:rPr>
            </w:pPr>
            <w:r>
              <w:rPr>
                <w:rFonts w:hint="eastAsia" w:ascii="Arial" w:hAnsi="Arial" w:eastAsia="宋体" w:cs="Arial"/>
                <w:sz w:val="21"/>
                <w:szCs w:val="21"/>
              </w:rPr>
              <w:t>860</w:t>
            </w:r>
            <w:r>
              <w:rPr>
                <w:rFonts w:ascii="Arial" w:hAnsi="Arial" w:eastAsia="宋体" w:cs="Arial"/>
                <w:sz w:val="21"/>
                <w:szCs w:val="21"/>
              </w:rPr>
              <w:t>万kW·h/a</w:t>
            </w:r>
          </w:p>
        </w:tc>
        <w:tc>
          <w:tcPr>
            <w:tcW w:w="1557" w:type="pct"/>
            <w:vAlign w:val="center"/>
          </w:tcPr>
          <w:p w14:paraId="20D59242">
            <w:pPr>
              <w:spacing w:line="240" w:lineRule="exact"/>
              <w:jc w:val="center"/>
              <w:rPr>
                <w:rFonts w:ascii="Arial" w:hAnsi="Arial" w:eastAsia="宋体" w:cs="Arial"/>
                <w:sz w:val="21"/>
                <w:szCs w:val="21"/>
              </w:rPr>
            </w:pPr>
            <w:r>
              <w:rPr>
                <w:rFonts w:ascii="Arial" w:hAnsi="Arial" w:eastAsia="宋体" w:cs="Arial"/>
                <w:sz w:val="21"/>
                <w:szCs w:val="21"/>
              </w:rPr>
              <w:t>0.1229kgce/（kW·h）</w:t>
            </w:r>
          </w:p>
        </w:tc>
        <w:tc>
          <w:tcPr>
            <w:tcW w:w="1311" w:type="pct"/>
            <w:vAlign w:val="center"/>
          </w:tcPr>
          <w:p w14:paraId="3C58A25A">
            <w:pPr>
              <w:spacing w:line="240" w:lineRule="exact"/>
              <w:jc w:val="center"/>
              <w:rPr>
                <w:rFonts w:ascii="Arial" w:hAnsi="Arial" w:eastAsia="宋体" w:cs="Arial"/>
                <w:sz w:val="21"/>
                <w:szCs w:val="21"/>
              </w:rPr>
            </w:pPr>
            <w:r>
              <w:rPr>
                <w:rFonts w:hint="eastAsia" w:ascii="Arial" w:hAnsi="Arial" w:eastAsia="宋体" w:cs="Arial"/>
                <w:sz w:val="21"/>
                <w:szCs w:val="21"/>
              </w:rPr>
              <w:t>1056.94</w:t>
            </w:r>
          </w:p>
        </w:tc>
      </w:tr>
      <w:tr w14:paraId="680AB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Align w:val="center"/>
          </w:tcPr>
          <w:p w14:paraId="0B76EBA5">
            <w:pPr>
              <w:spacing w:line="240" w:lineRule="exact"/>
              <w:jc w:val="center"/>
              <w:rPr>
                <w:rFonts w:ascii="Arial" w:hAnsi="Arial" w:eastAsia="宋体" w:cs="Arial"/>
                <w:sz w:val="21"/>
                <w:szCs w:val="21"/>
              </w:rPr>
            </w:pPr>
            <w:r>
              <w:rPr>
                <w:rFonts w:ascii="Arial" w:hAnsi="Arial" w:eastAsia="宋体" w:cs="Arial"/>
                <w:sz w:val="21"/>
                <w:szCs w:val="21"/>
              </w:rPr>
              <w:t>3</w:t>
            </w:r>
          </w:p>
        </w:tc>
        <w:tc>
          <w:tcPr>
            <w:tcW w:w="444" w:type="pct"/>
            <w:vAlign w:val="center"/>
          </w:tcPr>
          <w:p w14:paraId="6C3AC54C">
            <w:pPr>
              <w:spacing w:line="240" w:lineRule="exact"/>
              <w:jc w:val="center"/>
              <w:rPr>
                <w:rFonts w:ascii="Arial" w:hAnsi="Arial" w:eastAsia="宋体" w:cs="Arial"/>
                <w:sz w:val="21"/>
                <w:szCs w:val="21"/>
              </w:rPr>
            </w:pPr>
            <w:r>
              <w:rPr>
                <w:rFonts w:ascii="Arial" w:hAnsi="Arial" w:eastAsia="宋体" w:cs="Arial"/>
                <w:sz w:val="21"/>
                <w:szCs w:val="21"/>
              </w:rPr>
              <w:t>蒸汽</w:t>
            </w:r>
          </w:p>
        </w:tc>
        <w:tc>
          <w:tcPr>
            <w:tcW w:w="1243" w:type="pct"/>
            <w:vAlign w:val="center"/>
          </w:tcPr>
          <w:p w14:paraId="25AFE2D5">
            <w:pPr>
              <w:spacing w:line="240" w:lineRule="exact"/>
              <w:jc w:val="center"/>
              <w:rPr>
                <w:rFonts w:ascii="Arial" w:hAnsi="Arial" w:eastAsia="宋体" w:cs="Arial"/>
                <w:sz w:val="21"/>
                <w:szCs w:val="21"/>
              </w:rPr>
            </w:pPr>
            <w:r>
              <w:rPr>
                <w:rFonts w:hint="eastAsia" w:ascii="Arial" w:hAnsi="Arial" w:eastAsia="宋体" w:cs="Arial"/>
                <w:sz w:val="21"/>
                <w:szCs w:val="21"/>
              </w:rPr>
              <w:t>33115.5</w:t>
            </w:r>
            <w:r>
              <w:rPr>
                <w:rFonts w:ascii="Arial" w:hAnsi="Arial" w:eastAsia="宋体" w:cs="Arial"/>
                <w:sz w:val="21"/>
                <w:szCs w:val="21"/>
              </w:rPr>
              <w:t xml:space="preserve"> t/a</w:t>
            </w:r>
          </w:p>
        </w:tc>
        <w:tc>
          <w:tcPr>
            <w:tcW w:w="1557" w:type="pct"/>
            <w:vAlign w:val="center"/>
          </w:tcPr>
          <w:p w14:paraId="679DC058">
            <w:pPr>
              <w:spacing w:line="240" w:lineRule="exact"/>
              <w:jc w:val="center"/>
              <w:rPr>
                <w:rFonts w:ascii="Arial" w:hAnsi="Arial" w:eastAsia="宋体" w:cs="Arial"/>
                <w:sz w:val="21"/>
                <w:szCs w:val="21"/>
              </w:rPr>
            </w:pPr>
            <w:r>
              <w:rPr>
                <w:rFonts w:ascii="Arial" w:hAnsi="Arial" w:eastAsia="宋体" w:cs="Arial"/>
                <w:sz w:val="21"/>
                <w:szCs w:val="21"/>
              </w:rPr>
              <w:t>0.1086 kgce/t</w:t>
            </w:r>
          </w:p>
        </w:tc>
        <w:tc>
          <w:tcPr>
            <w:tcW w:w="1311" w:type="pct"/>
            <w:vAlign w:val="center"/>
          </w:tcPr>
          <w:p w14:paraId="29E8EE4D">
            <w:pPr>
              <w:spacing w:line="240" w:lineRule="exact"/>
              <w:jc w:val="center"/>
              <w:rPr>
                <w:rFonts w:ascii="Arial" w:hAnsi="Arial" w:eastAsia="宋体" w:cs="Arial"/>
                <w:sz w:val="21"/>
                <w:szCs w:val="21"/>
              </w:rPr>
            </w:pPr>
            <w:r>
              <w:rPr>
                <w:rFonts w:hint="eastAsia" w:ascii="Arial" w:hAnsi="Arial" w:eastAsia="宋体" w:cs="Arial"/>
                <w:sz w:val="21"/>
                <w:szCs w:val="21"/>
              </w:rPr>
              <w:t>3.596</w:t>
            </w:r>
          </w:p>
        </w:tc>
      </w:tr>
      <w:tr w14:paraId="7CEDE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Align w:val="center"/>
          </w:tcPr>
          <w:p w14:paraId="7EFD4427">
            <w:pPr>
              <w:spacing w:line="240" w:lineRule="exact"/>
              <w:jc w:val="center"/>
              <w:rPr>
                <w:rFonts w:ascii="Arial" w:hAnsi="Arial" w:eastAsia="宋体" w:cs="Arial"/>
                <w:sz w:val="21"/>
                <w:szCs w:val="21"/>
              </w:rPr>
            </w:pPr>
            <w:r>
              <w:rPr>
                <w:rFonts w:ascii="Arial" w:hAnsi="Arial" w:eastAsia="宋体" w:cs="Arial"/>
                <w:sz w:val="21"/>
                <w:szCs w:val="21"/>
              </w:rPr>
              <w:t>合计</w:t>
            </w:r>
          </w:p>
        </w:tc>
        <w:tc>
          <w:tcPr>
            <w:tcW w:w="444" w:type="pct"/>
            <w:vAlign w:val="center"/>
          </w:tcPr>
          <w:p w14:paraId="552C7764">
            <w:pPr>
              <w:spacing w:line="240" w:lineRule="exact"/>
              <w:jc w:val="center"/>
              <w:rPr>
                <w:rFonts w:ascii="Arial" w:hAnsi="Arial" w:eastAsia="宋体" w:cs="Arial"/>
                <w:sz w:val="21"/>
                <w:szCs w:val="21"/>
              </w:rPr>
            </w:pPr>
            <w:r>
              <w:rPr>
                <w:rFonts w:ascii="Arial" w:hAnsi="Arial" w:eastAsia="宋体" w:cs="Arial"/>
                <w:sz w:val="21"/>
                <w:szCs w:val="21"/>
              </w:rPr>
              <w:t>—</w:t>
            </w:r>
          </w:p>
        </w:tc>
        <w:tc>
          <w:tcPr>
            <w:tcW w:w="1243" w:type="pct"/>
            <w:vAlign w:val="center"/>
          </w:tcPr>
          <w:p w14:paraId="25ED0E79">
            <w:pPr>
              <w:spacing w:line="240" w:lineRule="exact"/>
              <w:jc w:val="center"/>
              <w:rPr>
                <w:rFonts w:ascii="Arial" w:hAnsi="Arial" w:eastAsia="宋体" w:cs="Arial"/>
                <w:sz w:val="21"/>
                <w:szCs w:val="21"/>
              </w:rPr>
            </w:pPr>
            <w:r>
              <w:rPr>
                <w:rFonts w:ascii="Arial" w:hAnsi="Arial" w:eastAsia="宋体" w:cs="Arial"/>
                <w:sz w:val="21"/>
                <w:szCs w:val="21"/>
              </w:rPr>
              <w:t>—</w:t>
            </w:r>
          </w:p>
        </w:tc>
        <w:tc>
          <w:tcPr>
            <w:tcW w:w="1557" w:type="pct"/>
            <w:vAlign w:val="center"/>
          </w:tcPr>
          <w:p w14:paraId="1250F4F4">
            <w:pPr>
              <w:spacing w:line="240" w:lineRule="exact"/>
              <w:jc w:val="center"/>
              <w:rPr>
                <w:rFonts w:ascii="Arial" w:hAnsi="Arial" w:eastAsia="宋体" w:cs="Arial"/>
                <w:sz w:val="21"/>
                <w:szCs w:val="21"/>
              </w:rPr>
            </w:pPr>
            <w:r>
              <w:rPr>
                <w:rFonts w:ascii="Arial" w:hAnsi="Arial" w:eastAsia="宋体" w:cs="Arial"/>
                <w:sz w:val="21"/>
                <w:szCs w:val="21"/>
              </w:rPr>
              <w:t>—</w:t>
            </w:r>
          </w:p>
        </w:tc>
        <w:tc>
          <w:tcPr>
            <w:tcW w:w="1311" w:type="pct"/>
            <w:vAlign w:val="center"/>
          </w:tcPr>
          <w:p w14:paraId="46D1E292">
            <w:pPr>
              <w:spacing w:line="240" w:lineRule="exact"/>
              <w:jc w:val="center"/>
              <w:rPr>
                <w:rFonts w:ascii="Arial" w:hAnsi="Arial" w:eastAsia="宋体" w:cs="Arial"/>
                <w:sz w:val="21"/>
                <w:szCs w:val="21"/>
              </w:rPr>
            </w:pPr>
            <w:r>
              <w:rPr>
                <w:rFonts w:hint="eastAsia" w:ascii="Arial" w:hAnsi="Arial" w:eastAsia="宋体" w:cs="Arial"/>
                <w:sz w:val="21"/>
                <w:szCs w:val="21"/>
              </w:rPr>
              <w:t>1063.129</w:t>
            </w:r>
          </w:p>
        </w:tc>
      </w:tr>
    </w:tbl>
    <w:p w14:paraId="4D095685">
      <w:pPr>
        <w:pStyle w:val="5"/>
        <w:adjustRightInd w:val="0"/>
        <w:snapToGrid w:val="0"/>
        <w:spacing w:line="500" w:lineRule="exact"/>
        <w:ind w:firstLine="490" w:firstLineChars="200"/>
        <w:rPr>
          <w:bCs/>
          <w:kern w:val="0"/>
        </w:rPr>
      </w:pPr>
      <w:r>
        <w:rPr>
          <w:rFonts w:hint="eastAsia"/>
          <w:bCs/>
          <w:kern w:val="0"/>
        </w:rPr>
        <w:t>根据上表可知，本项目</w:t>
      </w:r>
      <w:r>
        <w:t>资源和能源消耗</w:t>
      </w:r>
      <w:r>
        <w:rPr>
          <w:rFonts w:hint="eastAsia"/>
        </w:rPr>
        <w:t>折合标煤量1063.129t/a。</w:t>
      </w:r>
    </w:p>
    <w:p w14:paraId="7A490541">
      <w:pPr>
        <w:pStyle w:val="5"/>
        <w:adjustRightInd w:val="0"/>
        <w:snapToGrid w:val="0"/>
        <w:spacing w:line="500" w:lineRule="exact"/>
        <w:ind w:firstLine="490" w:firstLineChars="200"/>
        <w:rPr>
          <w:bCs/>
          <w:kern w:val="0"/>
        </w:rPr>
      </w:pPr>
      <w:r>
        <w:rPr>
          <w:bCs/>
          <w:kern w:val="0"/>
        </w:rPr>
        <w:t>2、工艺技术与装备</w:t>
      </w:r>
    </w:p>
    <w:p w14:paraId="5E5B7FC1">
      <w:pPr>
        <w:pStyle w:val="5"/>
        <w:adjustRightInd w:val="0"/>
        <w:snapToGrid w:val="0"/>
        <w:spacing w:line="500" w:lineRule="exact"/>
        <w:ind w:firstLine="490" w:firstLineChars="200"/>
        <w:rPr>
          <w:bCs/>
          <w:kern w:val="0"/>
        </w:rPr>
      </w:pPr>
      <w:r>
        <w:rPr>
          <w:rFonts w:hint="eastAsia"/>
        </w:rPr>
        <w:t>羟基钴</w:t>
      </w:r>
      <w:r>
        <w:t>生产线</w:t>
      </w:r>
      <w:r>
        <w:rPr>
          <w:bCs/>
          <w:kern w:val="0"/>
        </w:rPr>
        <w:t>生产装置密闭性较好，装置产生的废气全部收集、处理后排放，减少污染物排放，</w:t>
      </w:r>
      <w:r>
        <w:t>同时减少无组织废气排放量</w:t>
      </w:r>
      <w:r>
        <w:rPr>
          <w:bCs/>
          <w:kern w:val="0"/>
        </w:rPr>
        <w:t>。因此，拟建项目所采取的工艺技术及装备可达到清洁生产国际先进水平。</w:t>
      </w:r>
    </w:p>
    <w:p w14:paraId="7740F3BD">
      <w:pPr>
        <w:pStyle w:val="5"/>
        <w:adjustRightInd w:val="0"/>
        <w:snapToGrid w:val="0"/>
        <w:spacing w:line="500" w:lineRule="exact"/>
        <w:ind w:firstLine="490" w:firstLineChars="200"/>
      </w:pPr>
      <w:r>
        <w:t>3、污染控制</w:t>
      </w:r>
    </w:p>
    <w:p w14:paraId="11D397B1">
      <w:pPr>
        <w:pStyle w:val="5"/>
        <w:adjustRightInd w:val="0"/>
        <w:snapToGrid w:val="0"/>
        <w:spacing w:line="500" w:lineRule="exact"/>
        <w:ind w:firstLine="490" w:firstLineChars="200"/>
      </w:pPr>
      <w:r>
        <w:rPr>
          <w:rFonts w:hint="eastAsia"/>
        </w:rPr>
        <w:t>羟基钴</w:t>
      </w:r>
      <w:r>
        <w:t>生产线废气经收集、处理后通过达标排放；</w:t>
      </w:r>
      <w:r>
        <w:rPr>
          <w:kern w:val="0"/>
        </w:rPr>
        <w:t>运营期噪声主要来自泵机、风机、烘箱、对辊机、气流磨、空压机、包装机等，经减震降噪、距离衰减可达标排放；产生的各类固体废物分类收集处理，处置率达100%。</w:t>
      </w:r>
    </w:p>
    <w:p w14:paraId="7D6F28DB">
      <w:pPr>
        <w:pStyle w:val="5"/>
        <w:adjustRightInd w:val="0"/>
        <w:snapToGrid w:val="0"/>
        <w:spacing w:line="500" w:lineRule="exact"/>
        <w:ind w:firstLine="490" w:firstLineChars="200"/>
        <w:rPr>
          <w:kern w:val="0"/>
        </w:rPr>
      </w:pPr>
      <w:r>
        <w:rPr>
          <w:rFonts w:hint="eastAsia"/>
        </w:rPr>
        <w:t>羟基钴</w:t>
      </w:r>
      <w:r>
        <w:t>生产线</w:t>
      </w:r>
      <w:r>
        <w:rPr>
          <w:bCs/>
          <w:kern w:val="0"/>
        </w:rPr>
        <w:t>在能耗、工艺技术与装备、污染控制等方面</w:t>
      </w:r>
      <w:r>
        <w:rPr>
          <w:kern w:val="0"/>
        </w:rPr>
        <w:t>较好地贯彻了清洁生产的原则，从源头控制了污染物的产生与排放量，其清洁生产总体水平为国际同行业先进水平。</w:t>
      </w:r>
    </w:p>
    <w:p w14:paraId="2C7F454F">
      <w:pPr>
        <w:pStyle w:val="5"/>
        <w:adjustRightInd w:val="0"/>
        <w:snapToGrid w:val="0"/>
        <w:spacing w:line="500" w:lineRule="exact"/>
        <w:ind w:firstLine="490" w:firstLineChars="200"/>
        <w:rPr>
          <w:kern w:val="0"/>
        </w:rPr>
      </w:pPr>
    </w:p>
    <w:bookmarkEnd w:id="224"/>
    <w:p w14:paraId="2992A2F8">
      <w:pPr>
        <w:pStyle w:val="3"/>
        <w:numPr>
          <w:ilvl w:val="0"/>
          <w:numId w:val="1"/>
        </w:numPr>
        <w:tabs>
          <w:tab w:val="left" w:pos="1931"/>
          <w:tab w:val="clear" w:pos="3065"/>
        </w:tabs>
        <w:ind w:left="1276"/>
        <w:rPr>
          <w:rFonts w:ascii="Arial" w:hAnsi="Arial" w:cs="Arial"/>
          <w:spacing w:val="10"/>
        </w:rPr>
      </w:pPr>
      <w:bookmarkStart w:id="276" w:name="_Toc185950224"/>
      <w:bookmarkStart w:id="277" w:name="_Toc182491385"/>
      <w:bookmarkStart w:id="278" w:name="_Toc166675366"/>
      <w:bookmarkStart w:id="279" w:name="_Toc1742959"/>
      <w:bookmarkStart w:id="280" w:name="_Toc104677293"/>
      <w:r>
        <w:rPr>
          <w:rFonts w:ascii="Arial" w:hAnsi="Arial" w:cs="Arial"/>
          <w:spacing w:val="10"/>
        </w:rPr>
        <w:t>环境现状调查与评价</w:t>
      </w:r>
      <w:bookmarkEnd w:id="276"/>
      <w:bookmarkEnd w:id="277"/>
      <w:bookmarkEnd w:id="278"/>
    </w:p>
    <w:p w14:paraId="7982D191">
      <w:pPr>
        <w:keepNext/>
        <w:keepLines/>
        <w:numPr>
          <w:ilvl w:val="1"/>
          <w:numId w:val="11"/>
        </w:numPr>
        <w:tabs>
          <w:tab w:val="left" w:pos="567"/>
          <w:tab w:val="left" w:pos="3217"/>
        </w:tabs>
        <w:spacing w:before="214" w:beforeLines="50" w:after="214" w:afterLines="50" w:line="500" w:lineRule="exact"/>
        <w:ind w:left="567"/>
        <w:outlineLvl w:val="1"/>
        <w:rPr>
          <w:rFonts w:ascii="Arial" w:hAnsi="Arial" w:eastAsia="宋体" w:cs="Arial"/>
          <w:b/>
        </w:rPr>
      </w:pPr>
      <w:bookmarkStart w:id="281" w:name="_Toc154599068"/>
      <w:bookmarkStart w:id="282" w:name="_Toc182491386"/>
      <w:bookmarkStart w:id="283" w:name="_Toc166675367"/>
      <w:bookmarkStart w:id="284" w:name="_Toc185950225"/>
      <w:r>
        <w:rPr>
          <w:rFonts w:ascii="Arial" w:hAnsi="Arial" w:eastAsia="宋体" w:cs="Arial"/>
          <w:b/>
        </w:rPr>
        <w:t>区域环境概况</w:t>
      </w:r>
      <w:bookmarkEnd w:id="281"/>
      <w:bookmarkEnd w:id="282"/>
      <w:bookmarkEnd w:id="283"/>
      <w:bookmarkEnd w:id="284"/>
    </w:p>
    <w:p w14:paraId="2AAEA0D6">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ascii="Arial" w:hAnsi="Arial" w:eastAsia="宋体" w:cs="Arial"/>
          <w:b/>
          <w:bCs/>
          <w:sz w:val="24"/>
        </w:rPr>
        <w:t>地理位置</w:t>
      </w:r>
    </w:p>
    <w:p w14:paraId="085D00A5">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钦州市位于广西南部，濒临北部湾畔，地理坐标北纬21°34′52″～22°28′01″，东经108°10′55″~109°09′12″。东与合浦、玉林相连，西与防城、上思接壤，北与邕宁毗邻，陆地总面积10843km</w:t>
      </w:r>
      <w:r>
        <w:rPr>
          <w:rFonts w:ascii="Arial" w:hAnsi="Arial" w:eastAsia="宋体" w:cs="Arial"/>
          <w:spacing w:val="10"/>
          <w:sz w:val="24"/>
          <w:vertAlign w:val="superscript"/>
        </w:rPr>
        <w:t>2</w:t>
      </w:r>
      <w:r>
        <w:rPr>
          <w:rFonts w:ascii="Arial" w:hAnsi="Arial" w:eastAsia="宋体" w:cs="Arial"/>
          <w:spacing w:val="10"/>
          <w:sz w:val="24"/>
        </w:rPr>
        <w:t>。</w:t>
      </w:r>
    </w:p>
    <w:p w14:paraId="72EE77AE">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钦州湾位于中国南海北部湾湾顶，背靠大西南、面向东南亚，水、陆、空交通发达，钦州港西起与防城港交界的龙门、东至与北海交界的大风江的港口陆域和海域。</w:t>
      </w:r>
    </w:p>
    <w:p w14:paraId="417241D3">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项目位于钦州市钦州港大榄坪物流加工区，中伟南部基地2#地块内，中心坐标东经108.</w:t>
      </w:r>
      <w:r>
        <w:rPr>
          <w:rFonts w:hint="eastAsia" w:ascii="Arial" w:hAnsi="Arial" w:eastAsia="宋体" w:cs="Arial"/>
          <w:spacing w:val="10"/>
          <w:sz w:val="24"/>
        </w:rPr>
        <w:t>672694</w:t>
      </w:r>
      <w:r>
        <w:rPr>
          <w:rFonts w:ascii="Arial" w:hAnsi="Arial" w:eastAsia="宋体" w:cs="Arial"/>
          <w:spacing w:val="10"/>
          <w:sz w:val="24"/>
        </w:rPr>
        <w:t>，北纬21.</w:t>
      </w:r>
      <w:r>
        <w:rPr>
          <w:rFonts w:hint="eastAsia" w:ascii="Arial" w:hAnsi="Arial" w:eastAsia="宋体" w:cs="Arial"/>
          <w:spacing w:val="10"/>
          <w:sz w:val="24"/>
        </w:rPr>
        <w:t>707490</w:t>
      </w:r>
      <w:r>
        <w:rPr>
          <w:rFonts w:ascii="Arial" w:hAnsi="Arial" w:eastAsia="宋体" w:cs="Arial"/>
          <w:spacing w:val="10"/>
          <w:sz w:val="24"/>
        </w:rPr>
        <w:t>。厂区东面为企业后期预留用地（现为空地及未造陆的水域）；南面为空地及大榄坪污水处理厂；西面紧邻陆海大道，道路西面为空地；北面紧邻鸡墩头村；项目具体地理位置详见附图1。</w:t>
      </w:r>
    </w:p>
    <w:p w14:paraId="57541FFB">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ascii="Arial" w:hAnsi="Arial" w:eastAsia="宋体" w:cs="Arial"/>
          <w:b/>
          <w:bCs/>
          <w:sz w:val="24"/>
        </w:rPr>
        <w:t>自然环境概况</w:t>
      </w:r>
    </w:p>
    <w:p w14:paraId="515BC257">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地形地貌</w:t>
      </w:r>
    </w:p>
    <w:p w14:paraId="483B5B7F">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湾口朝南，东、北、西三面丘陵环抱，是一个半封闭的天然海湾。该湾由内湾（茅尾海）、龙门水道和外湾（狭义的钦州湾）构成，其特点是，中间狭窄、两端宽阔。钦州湾口门宽25km，纵深39km，自南向北逐渐减小，在北纬21°42′～21°48′自西向东发育成龙门港～茅尾海、金鼓江、鹿耳环江等海汊，并以龙门港～茅尾海为主，实为钦州湾的内湾，全湾岸线长336km。海湾面积约为380km</w:t>
      </w:r>
      <w:r>
        <w:rPr>
          <w:rFonts w:ascii="Arial" w:hAnsi="Arial" w:eastAsia="宋体" w:cs="Arial"/>
          <w:spacing w:val="10"/>
          <w:sz w:val="24"/>
          <w:vertAlign w:val="superscript"/>
        </w:rPr>
        <w:t>2</w:t>
      </w:r>
      <w:r>
        <w:rPr>
          <w:rFonts w:ascii="Arial" w:hAnsi="Arial" w:eastAsia="宋体" w:cs="Arial"/>
          <w:spacing w:val="10"/>
          <w:sz w:val="24"/>
        </w:rPr>
        <w:t>，其中滩涂面积为200km</w:t>
      </w:r>
      <w:r>
        <w:rPr>
          <w:rFonts w:ascii="Arial" w:hAnsi="Arial" w:eastAsia="宋体" w:cs="Arial"/>
          <w:spacing w:val="10"/>
          <w:sz w:val="24"/>
          <w:vertAlign w:val="superscript"/>
        </w:rPr>
        <w:t>2</w:t>
      </w:r>
      <w:r>
        <w:rPr>
          <w:rFonts w:ascii="Arial" w:hAnsi="Arial" w:eastAsia="宋体" w:cs="Arial"/>
          <w:spacing w:val="10"/>
          <w:sz w:val="24"/>
        </w:rPr>
        <w:t>。钦州市两条主要江河钦江和茅岭江，分别从东北、西北向汇入茅尾海。整个海湾呈低山丘陵、微斜平原及海漫滩地貌。钦州湾由于受地质构造影响以及海水长期浸蚀，基本上没有大片宽阔平坦陆域，湾内大多为砂砾质岩岸。</w:t>
      </w:r>
    </w:p>
    <w:p w14:paraId="2831F373">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地质构造</w:t>
      </w:r>
    </w:p>
    <w:p w14:paraId="1F55543A">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钦州湾港区的构造体系有：</w:t>
      </w:r>
    </w:p>
    <w:p w14:paraId="278CF98E">
      <w:pPr>
        <w:spacing w:line="500" w:lineRule="exact"/>
        <w:ind w:firstLine="490" w:firstLineChars="200"/>
        <w:rPr>
          <w:rFonts w:ascii="Arial" w:hAnsi="Arial" w:eastAsia="宋体" w:cs="Arial"/>
          <w:spacing w:val="10"/>
          <w:sz w:val="24"/>
        </w:rPr>
      </w:pPr>
      <w:r>
        <w:rPr>
          <w:rFonts w:ascii="Arial" w:hAnsi="Arial" w:eastAsia="宋体" w:cs="Arial"/>
          <w:spacing w:val="10"/>
          <w:sz w:val="24"/>
        </w:rPr>
        <w:t>（1）新华夏构造体系</w:t>
      </w:r>
    </w:p>
    <w:p w14:paraId="664E972C">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钦州向斜盆地，分布于规划港区北部，形态较完整，呈椭圆状，向斜轴向北东，由侏罗系组成，西北翼陡，倾角 30~36°，东南翼较缓，倾角 10~20°。</w:t>
      </w:r>
    </w:p>
    <w:p w14:paraId="700A63F9">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鸡钉头向斜盆地，分布于大红排航道段一带，由侏罗系组成，仅出露东北段扬起端，中部据大红排航道段地质钻探成果，该向斜已延至大红排航道一带。</w:t>
      </w:r>
    </w:p>
    <w:p w14:paraId="59AA445C">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③</w:t>
      </w:r>
      <w:r>
        <w:rPr>
          <w:rFonts w:ascii="Arial" w:hAnsi="Arial" w:eastAsia="宋体" w:cs="Arial"/>
          <w:spacing w:val="10"/>
          <w:sz w:val="24"/>
        </w:rPr>
        <w:t>断裂构造主要沿向斜盆地两翼分布，有一条断裂越港区，走向北东，倾向北西，倾角 50°左右，属压扭性断裂。在龙门~六墩一带从东西两侧的岩层走向错移看，该段海域存在一条北西向张扭性横断裂。</w:t>
      </w:r>
    </w:p>
    <w:p w14:paraId="740D75D4">
      <w:pPr>
        <w:spacing w:line="500" w:lineRule="exact"/>
        <w:ind w:firstLine="490" w:firstLineChars="200"/>
        <w:rPr>
          <w:rFonts w:ascii="Arial" w:hAnsi="Arial" w:eastAsia="宋体" w:cs="Arial"/>
          <w:spacing w:val="10"/>
          <w:sz w:val="24"/>
        </w:rPr>
      </w:pPr>
      <w:r>
        <w:rPr>
          <w:rFonts w:ascii="Arial" w:hAnsi="Arial" w:eastAsia="宋体" w:cs="Arial"/>
          <w:spacing w:val="10"/>
          <w:sz w:val="24"/>
        </w:rPr>
        <w:t>（2）华夏构造体系</w:t>
      </w:r>
    </w:p>
    <w:p w14:paraId="436E423F">
      <w:pPr>
        <w:spacing w:line="500" w:lineRule="exact"/>
        <w:ind w:firstLine="490" w:firstLineChars="200"/>
        <w:rPr>
          <w:rFonts w:ascii="Arial" w:hAnsi="Arial" w:eastAsia="宋体" w:cs="Arial"/>
          <w:spacing w:val="10"/>
          <w:sz w:val="24"/>
        </w:rPr>
      </w:pPr>
      <w:r>
        <w:rPr>
          <w:rFonts w:ascii="Arial" w:hAnsi="Arial" w:eastAsia="宋体" w:cs="Arial"/>
          <w:spacing w:val="10"/>
          <w:sz w:val="24"/>
        </w:rPr>
        <w:t>主要有那丽背斜，由志留系组成，由于变新华夏构造体系断裂切割，形态不甚完整。轴向北东，两翼倾角较陡，为 50~60°，翼部的次级褶皱发育。该背斜出露于新华夏构造体系的两个向斜盆地之间，与其伴生的断裂多被新华夏构造体系的断裂利用改造，归属于新华夏构造体系成分之中。</w:t>
      </w:r>
    </w:p>
    <w:p w14:paraId="77F04B04">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地层岩性</w:t>
      </w:r>
    </w:p>
    <w:p w14:paraId="587ADA61">
      <w:pPr>
        <w:spacing w:line="500" w:lineRule="exact"/>
        <w:ind w:firstLine="490" w:firstLineChars="200"/>
        <w:rPr>
          <w:rFonts w:ascii="Arial" w:hAnsi="Arial" w:eastAsia="宋体" w:cs="Arial"/>
          <w:spacing w:val="10"/>
          <w:sz w:val="24"/>
        </w:rPr>
      </w:pPr>
      <w:r>
        <w:rPr>
          <w:rFonts w:ascii="Arial" w:hAnsi="Arial" w:eastAsia="宋体" w:cs="Arial"/>
          <w:spacing w:val="10"/>
          <w:sz w:val="24"/>
        </w:rPr>
        <w:t>据区域地质资料和交通</w:t>
      </w:r>
      <w:r>
        <w:rPr>
          <w:rFonts w:hint="eastAsia" w:ascii="Arial" w:hAnsi="Arial" w:eastAsia="宋体" w:cs="Arial"/>
          <w:spacing w:val="10"/>
          <w:sz w:val="24"/>
          <w:lang w:val="en-US" w:eastAsia="zh-CN"/>
        </w:rPr>
        <w:t>运输</w:t>
      </w:r>
      <w:r>
        <w:rPr>
          <w:rFonts w:ascii="Arial" w:hAnsi="Arial" w:eastAsia="宋体" w:cs="Arial"/>
          <w:spacing w:val="10"/>
          <w:sz w:val="24"/>
        </w:rPr>
        <w:t>部第三勘察设计院地质钻探成果，区域地层岩性有第四系、侏罗系和志留系，从上至下分述如下：</w:t>
      </w:r>
    </w:p>
    <w:p w14:paraId="7C1893E0">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第四系全新统海相沉积层(Q</w:t>
      </w:r>
      <w:r>
        <w:rPr>
          <w:rFonts w:ascii="Arial" w:hAnsi="Arial" w:eastAsia="宋体" w:cs="Arial"/>
          <w:spacing w:val="10"/>
          <w:sz w:val="24"/>
          <w:vertAlign w:val="superscript"/>
        </w:rPr>
        <w:t>bn</w:t>
      </w:r>
      <w:r>
        <w:rPr>
          <w:rFonts w:ascii="Arial" w:hAnsi="Arial" w:eastAsia="宋体" w:cs="Arial"/>
          <w:spacing w:val="10"/>
          <w:sz w:val="24"/>
          <w:vertAlign w:val="subscript"/>
        </w:rPr>
        <w:t>4</w:t>
      </w:r>
      <w:r>
        <w:rPr>
          <w:rFonts w:ascii="Arial" w:hAnsi="Arial" w:eastAsia="宋体" w:cs="Arial"/>
          <w:spacing w:val="10"/>
          <w:sz w:val="24"/>
        </w:rPr>
        <w:t>)，分布于钦州湾海底一带，为中一粉砂混淤泥及贝壳，厚度 0.7-10m；</w:t>
      </w:r>
    </w:p>
    <w:p w14:paraId="55EDF401">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第四系全新统海漫滩堆积(Q</w:t>
      </w:r>
      <w:r>
        <w:rPr>
          <w:rFonts w:ascii="Arial" w:hAnsi="Arial" w:eastAsia="宋体" w:cs="Arial"/>
          <w:spacing w:val="10"/>
          <w:sz w:val="24"/>
          <w:vertAlign w:val="superscript"/>
        </w:rPr>
        <w:t>bn</w:t>
      </w:r>
      <w:r>
        <w:rPr>
          <w:rFonts w:ascii="Arial" w:hAnsi="Arial" w:eastAsia="宋体" w:cs="Arial"/>
          <w:spacing w:val="10"/>
          <w:sz w:val="24"/>
          <w:vertAlign w:val="subscript"/>
        </w:rPr>
        <w:t>4</w:t>
      </w:r>
      <w:r>
        <w:rPr>
          <w:rFonts w:ascii="Arial" w:hAnsi="Arial" w:eastAsia="宋体" w:cs="Arial"/>
          <w:spacing w:val="10"/>
          <w:sz w:val="24"/>
        </w:rPr>
        <w:t>)，分布于钦州湾海滨沿岸—带，为砂混淤泥及贝壳；</w:t>
      </w:r>
    </w:p>
    <w:p w14:paraId="24B6BF7A">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③</w:t>
      </w:r>
      <w:r>
        <w:rPr>
          <w:rFonts w:ascii="Arial" w:hAnsi="Arial" w:eastAsia="宋体" w:cs="Arial"/>
          <w:spacing w:val="10"/>
          <w:sz w:val="24"/>
        </w:rPr>
        <w:t>侏罗系(J)，紫红色泥质粉砂岩夹砂岩及泥岩，局部为黄色、浅黄色；</w:t>
      </w:r>
    </w:p>
    <w:p w14:paraId="11DC817E">
      <w:pPr>
        <w:spacing w:line="500" w:lineRule="exact"/>
        <w:ind w:firstLine="490" w:firstLineChars="200"/>
        <w:rPr>
          <w:rFonts w:ascii="Arial" w:hAnsi="Arial" w:eastAsia="宋体" w:cs="Arial"/>
          <w:b/>
          <w:bCs/>
          <w:sz w:val="24"/>
          <w:szCs w:val="24"/>
        </w:rPr>
      </w:pPr>
      <w:r>
        <w:rPr>
          <w:rFonts w:hint="eastAsia" w:ascii="宋体" w:hAnsi="宋体" w:eastAsia="宋体" w:cs="宋体"/>
          <w:spacing w:val="10"/>
          <w:sz w:val="24"/>
        </w:rPr>
        <w:t>④</w:t>
      </w:r>
      <w:r>
        <w:rPr>
          <w:rFonts w:ascii="Arial" w:hAnsi="Arial" w:eastAsia="宋体" w:cs="Arial"/>
          <w:spacing w:val="10"/>
          <w:sz w:val="24"/>
        </w:rPr>
        <w:t>志留系(S)，黄色、灰黄色砂岩、粉砂岩、泥质粉砂岩和页岩。</w:t>
      </w:r>
    </w:p>
    <w:p w14:paraId="53606DE7">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海洋水文特征</w:t>
      </w:r>
    </w:p>
    <w:p w14:paraId="35651A6C">
      <w:pPr>
        <w:spacing w:line="500" w:lineRule="exact"/>
        <w:ind w:firstLine="490" w:firstLineChars="200"/>
        <w:rPr>
          <w:rFonts w:ascii="Arial" w:hAnsi="Arial" w:eastAsia="宋体" w:cs="Arial"/>
          <w:spacing w:val="10"/>
          <w:sz w:val="24"/>
        </w:rPr>
      </w:pPr>
      <w:r>
        <w:rPr>
          <w:rFonts w:ascii="Arial" w:hAnsi="Arial" w:eastAsia="宋体" w:cs="Arial"/>
          <w:spacing w:val="10"/>
          <w:sz w:val="24"/>
        </w:rPr>
        <w:t>1、余流</w:t>
      </w:r>
    </w:p>
    <w:p w14:paraId="02B38378">
      <w:pPr>
        <w:spacing w:line="500" w:lineRule="exact"/>
        <w:ind w:firstLine="490" w:firstLineChars="200"/>
        <w:rPr>
          <w:rFonts w:ascii="Arial" w:hAnsi="Arial" w:eastAsia="宋体" w:cs="Arial"/>
          <w:spacing w:val="10"/>
          <w:sz w:val="24"/>
        </w:rPr>
      </w:pPr>
      <w:r>
        <w:rPr>
          <w:rFonts w:ascii="Arial" w:hAnsi="Arial" w:eastAsia="宋体" w:cs="Arial"/>
          <w:spacing w:val="10"/>
          <w:sz w:val="24"/>
        </w:rPr>
        <w:t>广西近岸海域余流系统受风和外海水、地形以及径流的影响。其中，风场对余流系统影响最大，偏北风时，海流流向偏南；偏南风时，海流流向偏北。冬季主干流偏向与湾口东部，势力较弱，夏季主干流偏向于西部，势力较强。总的趋势是冬、夏季为逆时针方向环流，夏、秋季为顺时针方向环流。广西北部湾近岸海域冬、夏两季环流模式见图3.1-1及图3.1-2。</w:t>
      </w:r>
    </w:p>
    <w:p w14:paraId="3BC74B17">
      <w:pPr>
        <w:rPr>
          <w:rFonts w:ascii="Arial" w:hAnsi="Arial" w:eastAsia="宋体" w:cs="Arial"/>
          <w:spacing w:val="10"/>
          <w:sz w:val="24"/>
        </w:rPr>
      </w:pPr>
      <w:r>
        <w:rPr>
          <w:rFonts w:ascii="Arial" w:hAnsi="Arial" w:eastAsia="宋体" w:cs="Arial"/>
          <w:spacing w:val="10"/>
          <w:sz w:val="24"/>
        </w:rPr>
        <w:drawing>
          <wp:inline distT="0" distB="0" distL="114300" distR="114300">
            <wp:extent cx="5267325" cy="2573020"/>
            <wp:effectExtent l="0" t="0" r="9525" b="17780"/>
            <wp:docPr id="241"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38"/>
                    <pic:cNvPicPr>
                      <a:picLocks noChangeAspect="1"/>
                    </pic:cNvPicPr>
                  </pic:nvPicPr>
                  <pic:blipFill>
                    <a:blip r:embed="rId38"/>
                    <a:stretch>
                      <a:fillRect/>
                    </a:stretch>
                  </pic:blipFill>
                  <pic:spPr>
                    <a:xfrm>
                      <a:off x="0" y="0"/>
                      <a:ext cx="5267325" cy="2573020"/>
                    </a:xfrm>
                    <a:prstGeom prst="rect">
                      <a:avLst/>
                    </a:prstGeom>
                    <a:noFill/>
                    <a:ln>
                      <a:noFill/>
                    </a:ln>
                  </pic:spPr>
                </pic:pic>
              </a:graphicData>
            </a:graphic>
          </wp:inline>
        </w:drawing>
      </w:r>
    </w:p>
    <w:p w14:paraId="6798898C">
      <w:pPr>
        <w:adjustRightInd w:val="0"/>
        <w:snapToGrid w:val="0"/>
        <w:spacing w:line="500" w:lineRule="exact"/>
        <w:jc w:val="center"/>
        <w:rPr>
          <w:rFonts w:ascii="Arial" w:hAnsi="Arial" w:eastAsia="宋体" w:cs="Arial"/>
          <w:b/>
          <w:spacing w:val="10"/>
          <w:sz w:val="24"/>
        </w:rPr>
      </w:pPr>
      <w:r>
        <w:rPr>
          <w:rFonts w:ascii="Arial" w:hAnsi="Arial" w:eastAsia="宋体" w:cs="Arial"/>
          <w:b/>
          <w:spacing w:val="10"/>
          <w:sz w:val="24"/>
        </w:rPr>
        <w:t>图3.1-1  广西北部湾近岸海域冬季环流模式</w:t>
      </w:r>
    </w:p>
    <w:p w14:paraId="61E1A8AF">
      <w:pPr>
        <w:rPr>
          <w:rFonts w:ascii="Arial" w:hAnsi="Arial" w:eastAsia="宋体" w:cs="Arial"/>
          <w:spacing w:val="10"/>
          <w:sz w:val="24"/>
        </w:rPr>
      </w:pPr>
      <w:r>
        <w:rPr>
          <w:rFonts w:ascii="Arial" w:hAnsi="Arial" w:eastAsia="宋体" w:cs="Arial"/>
          <w:spacing w:val="10"/>
          <w:sz w:val="24"/>
        </w:rPr>
        <w:drawing>
          <wp:inline distT="0" distB="0" distL="114300" distR="114300">
            <wp:extent cx="5194300" cy="2512060"/>
            <wp:effectExtent l="0" t="0" r="6350" b="2540"/>
            <wp:docPr id="242"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3"/>
                    <pic:cNvPicPr>
                      <a:picLocks noChangeAspect="1"/>
                    </pic:cNvPicPr>
                  </pic:nvPicPr>
                  <pic:blipFill>
                    <a:blip r:embed="rId39"/>
                    <a:stretch>
                      <a:fillRect/>
                    </a:stretch>
                  </pic:blipFill>
                  <pic:spPr>
                    <a:xfrm>
                      <a:off x="0" y="0"/>
                      <a:ext cx="5194300" cy="2512060"/>
                    </a:xfrm>
                    <a:prstGeom prst="rect">
                      <a:avLst/>
                    </a:prstGeom>
                    <a:noFill/>
                    <a:ln>
                      <a:noFill/>
                    </a:ln>
                  </pic:spPr>
                </pic:pic>
              </a:graphicData>
            </a:graphic>
          </wp:inline>
        </w:drawing>
      </w:r>
    </w:p>
    <w:p w14:paraId="29111FD6">
      <w:pPr>
        <w:adjustRightInd w:val="0"/>
        <w:snapToGrid w:val="0"/>
        <w:spacing w:line="500" w:lineRule="exact"/>
        <w:jc w:val="center"/>
        <w:rPr>
          <w:rFonts w:ascii="Arial" w:hAnsi="Arial" w:eastAsia="宋体" w:cs="Arial"/>
          <w:b/>
          <w:spacing w:val="10"/>
          <w:sz w:val="24"/>
        </w:rPr>
      </w:pPr>
      <w:r>
        <w:rPr>
          <w:rFonts w:ascii="Arial" w:hAnsi="Arial" w:eastAsia="宋体" w:cs="Arial"/>
          <w:b/>
          <w:spacing w:val="10"/>
          <w:sz w:val="24"/>
        </w:rPr>
        <w:t>图3.1-2  广西北部湾近岸海域夏季环流模式</w:t>
      </w:r>
    </w:p>
    <w:p w14:paraId="10FF1B8D">
      <w:pPr>
        <w:spacing w:line="500" w:lineRule="exact"/>
        <w:ind w:firstLine="490" w:firstLineChars="200"/>
        <w:rPr>
          <w:rFonts w:ascii="Arial" w:hAnsi="Arial" w:eastAsia="宋体" w:cs="Arial"/>
          <w:spacing w:val="10"/>
          <w:sz w:val="24"/>
        </w:rPr>
      </w:pPr>
      <w:r>
        <w:rPr>
          <w:rFonts w:ascii="Arial" w:hAnsi="Arial" w:eastAsia="宋体" w:cs="Arial"/>
          <w:spacing w:val="10"/>
          <w:sz w:val="24"/>
        </w:rPr>
        <w:t>2、波浪</w:t>
      </w:r>
    </w:p>
    <w:p w14:paraId="25D0BCA7">
      <w:pPr>
        <w:spacing w:line="500" w:lineRule="exact"/>
        <w:ind w:firstLine="490" w:firstLineChars="200"/>
        <w:rPr>
          <w:rFonts w:ascii="Arial" w:hAnsi="Arial" w:eastAsia="宋体" w:cs="Arial"/>
          <w:spacing w:val="10"/>
          <w:sz w:val="24"/>
        </w:rPr>
      </w:pPr>
      <w:r>
        <w:rPr>
          <w:rFonts w:ascii="Arial" w:hAnsi="Arial" w:eastAsia="宋体" w:cs="Arial"/>
          <w:spacing w:val="10"/>
          <w:sz w:val="24"/>
        </w:rPr>
        <w:t>广西近岸海域夏半年盛行南-东南风，冬半年盛行北-东北风，4月、5月和9月为季风过渡期，风向不稳定。波浪随季节变化十分明显，以西南偏南向为主，其次为东北向。多年平均波高为0.3-0.6m，其中夏季0.50-0.72m，冬季0.40-0.58m，春季0.35-0.51m，秋季0.45-0.50m。常见浪为0-3级，占全年波浪频率的96%。5-6级的波浪仅占0.07-0.09%，多出现于台风季节。最大实测波高4.1-5.0m，多年波浪平均周期1.8-3.4s；最大波浪周期为8.7s。</w:t>
      </w:r>
    </w:p>
    <w:p w14:paraId="53E210A2">
      <w:pPr>
        <w:spacing w:line="500" w:lineRule="exact"/>
        <w:ind w:firstLine="490" w:firstLineChars="200"/>
        <w:rPr>
          <w:rFonts w:ascii="Arial" w:hAnsi="Arial" w:eastAsia="宋体" w:cs="Arial"/>
          <w:spacing w:val="10"/>
          <w:sz w:val="24"/>
        </w:rPr>
      </w:pPr>
      <w:r>
        <w:rPr>
          <w:rFonts w:ascii="Arial" w:hAnsi="Arial" w:eastAsia="宋体" w:cs="Arial"/>
          <w:spacing w:val="10"/>
          <w:sz w:val="24"/>
        </w:rPr>
        <w:t>3、海湾潮流和泥沙特征</w:t>
      </w:r>
    </w:p>
    <w:p w14:paraId="22A4F902">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潮汐属于正规日潮类型，平均潮差2.40m，为强潮型海湾。该湾潮流的运动形式，属往复流性质，落潮流速明显大于涨潮流速，涨落潮流方向与深槽走向一致。一年中，全日潮的时间约为60%~70%，涨潮平均流速0.08~0.28m/s，落潮平均流速0.09~0.55m/s。整个钦州湾涨潮方向指北。落潮流由茅尾海向外，涨落潮流均与航道走向大体一致，落潮潮流可将携带的泥沙向外海推移。</w:t>
      </w:r>
    </w:p>
    <w:p w14:paraId="2DF1999E">
      <w:pPr>
        <w:spacing w:line="500" w:lineRule="exact"/>
        <w:ind w:firstLine="490" w:firstLineChars="200"/>
        <w:rPr>
          <w:rFonts w:ascii="Arial" w:hAnsi="Arial" w:eastAsia="宋体" w:cs="Arial"/>
          <w:spacing w:val="10"/>
          <w:sz w:val="24"/>
        </w:rPr>
      </w:pPr>
      <w:r>
        <w:rPr>
          <w:rFonts w:ascii="Arial" w:hAnsi="Arial" w:eastAsia="宋体" w:cs="Arial"/>
          <w:spacing w:val="10"/>
          <w:sz w:val="24"/>
        </w:rPr>
        <w:t>茅尾海的纳潮量大，潮汐通道潮流强劲，无大的风浪，最大涨潮流速为100cm/s，最大落潮流速为170cm/s。基岩上无淤积物覆盖，深槽水深达10m~20m。</w:t>
      </w:r>
    </w:p>
    <w:p w14:paraId="289F1EB6">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的余流场大体稳定，潮余流场是基本的，但其变化也十分明显。钦州湾海域泥沙来源大致包括陆相径流来沙、波浪侵蚀海岸来沙及海相来沙等三个方面，其中主要为陆相径流来沙，其次为波浪侵蚀海岸来沙，再者为海相来沙。</w:t>
      </w:r>
    </w:p>
    <w:p w14:paraId="7B69FD90">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湾入海河流主要有钦江、茅岭江，其次还有金鼓江、鹿耳环江等小溪注入。钦州湾岸线曲折，岛屿星罗棋布，港汊众多。海域沉积物中的部分泥沙是来源于波浪对海岸线母岩侵蚀或片流切割母岩而带来的产物；海相来沙甚微。海区含沙量较小，海水含沙量主要与水动力条件下底质细颗粒物质的再掀起悬浮和河流输沙的运移有关。来自钦州、茅岭江及其周围沿岸的细粒级泥沙（细粉砂以上粒级）在潮流作用下，一部分在内湾低能区沉积；另一部分在落潮流作用下，经湾颈部向外湾输移。由于湾口波浪作用强烈，海岸侵蚀较严重。</w:t>
      </w:r>
    </w:p>
    <w:p w14:paraId="2C316829">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地下水水文特征</w:t>
      </w:r>
    </w:p>
    <w:p w14:paraId="7E75C7A1">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根据广西富吉工程技术有限公司2021年5月编制的《广西中伟新能源科技有限公司北部湾产业基地三元项目（一期一阶段）地下水环境影响评价专题报告》（以下简称一期工程地下水专题报告）：</w:t>
      </w:r>
    </w:p>
    <w:p w14:paraId="07786A6C">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1、地形地貌</w:t>
      </w:r>
    </w:p>
    <w:p w14:paraId="31975952">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港属滨海滩涂地貌，地势为北高南低，大部分区域为低山丘陵谷和浅滩。北部多为丘陵，丘陵山体不大，多为孤丘，坡度较小，平均高程为16～27m；南部为沿海涂滩，为填海区，地势平坦，地形起伏不大，地面高程4.04～6.25m。</w:t>
      </w:r>
    </w:p>
    <w:p w14:paraId="164A7F73">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rPr>
        <w:t>项目区位于钦州港经济开发区内。建设项目所在区域原始地貌上属滨海滩涂地貌，现状场地所在地及周边区域为填海区，场地地势平坦，地形起伏不大。建设场地现状已经进行平整，现状地面高程4.38～6.25m。场地距南侧钦州湾直线距离约4.5km。</w:t>
      </w:r>
    </w:p>
    <w:p w14:paraId="43081E64">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2、区域地质构造</w:t>
      </w:r>
    </w:p>
    <w:p w14:paraId="2982C456">
      <w:pPr>
        <w:spacing w:line="500" w:lineRule="exact"/>
        <w:ind w:firstLine="490" w:firstLineChars="200"/>
        <w:rPr>
          <w:rFonts w:ascii="Arial" w:hAnsi="Arial" w:eastAsia="宋体" w:cs="Arial"/>
          <w:spacing w:val="10"/>
          <w:sz w:val="24"/>
        </w:rPr>
      </w:pPr>
      <w:r>
        <w:rPr>
          <w:rFonts w:ascii="Arial" w:hAnsi="Arial" w:eastAsia="宋体" w:cs="Arial"/>
          <w:spacing w:val="10"/>
          <w:sz w:val="24"/>
        </w:rPr>
        <w:t>评估区属于华南褶皱系中的钦州残余地槽，古生代以来，经受了加里东、华力西—印支、燕山、喜马拉雅等多期构造运动，形成了一系列的褶皱、断裂和多个构造盆地。评估区最近的构造为位于评估区北部的那丽背斜和坪上村逆断层。</w:t>
      </w:r>
    </w:p>
    <w:p w14:paraId="18B2E133">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那丽背斜：据区域资料，那丽背斜长度约 76km,宽度约 4～13km,倾角35～75°，组成的地层为</w:t>
      </w:r>
      <w:r>
        <w:rPr>
          <w:rFonts w:ascii="Arial" w:hAnsi="Arial" w:eastAsia="Times New Roman" w:cs="Arial"/>
          <w:spacing w:val="-4"/>
          <w:kern w:val="0"/>
          <w:sz w:val="22"/>
          <w:szCs w:val="22"/>
        </w:rPr>
        <w:t>S</w:t>
      </w:r>
      <w:r>
        <w:rPr>
          <w:rFonts w:ascii="Arial" w:hAnsi="Arial" w:eastAsia="Times New Roman" w:cs="Arial"/>
          <w:spacing w:val="-4"/>
          <w:kern w:val="0"/>
          <w:position w:val="-2"/>
          <w:sz w:val="16"/>
          <w:szCs w:val="22"/>
        </w:rPr>
        <w:t>1</w:t>
      </w:r>
      <w:r>
        <w:rPr>
          <w:rFonts w:ascii="Arial" w:hAnsi="Arial" w:eastAsia="Times New Roman" w:cs="Arial"/>
          <w:spacing w:val="-4"/>
          <w:kern w:val="0"/>
          <w:sz w:val="22"/>
          <w:szCs w:val="22"/>
        </w:rPr>
        <w:t>ln</w:t>
      </w:r>
      <w:r>
        <w:rPr>
          <w:rFonts w:ascii="Arial" w:hAnsi="Arial" w:eastAsia="Times New Roman" w:cs="Arial"/>
          <w:spacing w:val="-4"/>
          <w:kern w:val="0"/>
          <w:position w:val="11"/>
          <w:sz w:val="16"/>
          <w:szCs w:val="22"/>
        </w:rPr>
        <w:t>b</w:t>
      </w:r>
      <w:r>
        <w:rPr>
          <w:rFonts w:ascii="Arial" w:hAnsi="Arial" w:eastAsia="宋体" w:cs="Arial"/>
          <w:spacing w:val="-4"/>
          <w:kern w:val="0"/>
          <w:sz w:val="22"/>
          <w:szCs w:val="22"/>
        </w:rPr>
        <w:t>、</w:t>
      </w:r>
      <w:r>
        <w:rPr>
          <w:rFonts w:ascii="Arial" w:hAnsi="Arial" w:eastAsia="Times New Roman" w:cs="Arial"/>
          <w:spacing w:val="-4"/>
          <w:kern w:val="0"/>
          <w:sz w:val="22"/>
          <w:szCs w:val="22"/>
        </w:rPr>
        <w:t>S</w:t>
      </w:r>
      <w:r>
        <w:rPr>
          <w:rFonts w:ascii="Arial" w:hAnsi="Arial" w:eastAsia="Times New Roman" w:cs="Arial"/>
          <w:spacing w:val="-4"/>
          <w:kern w:val="0"/>
          <w:position w:val="-2"/>
          <w:sz w:val="16"/>
          <w:szCs w:val="22"/>
        </w:rPr>
        <w:t>1</w:t>
      </w:r>
      <w:r>
        <w:rPr>
          <w:rFonts w:ascii="Arial" w:hAnsi="Arial" w:eastAsia="Times New Roman" w:cs="Arial"/>
          <w:spacing w:val="-4"/>
          <w:kern w:val="0"/>
          <w:sz w:val="22"/>
          <w:szCs w:val="22"/>
        </w:rPr>
        <w:t>ln</w:t>
      </w:r>
      <w:r>
        <w:rPr>
          <w:rFonts w:ascii="Arial" w:hAnsi="Arial" w:eastAsia="Times New Roman" w:cs="Arial"/>
          <w:spacing w:val="-4"/>
          <w:kern w:val="0"/>
          <w:position w:val="11"/>
          <w:sz w:val="16"/>
          <w:szCs w:val="22"/>
        </w:rPr>
        <w:t>e</w:t>
      </w:r>
      <w:r>
        <w:rPr>
          <w:rFonts w:ascii="Arial" w:hAnsi="Arial" w:eastAsia="宋体" w:cs="Arial"/>
          <w:spacing w:val="-4"/>
          <w:kern w:val="0"/>
          <w:sz w:val="22"/>
          <w:szCs w:val="22"/>
        </w:rPr>
        <w:t>，</w:t>
      </w:r>
      <w:r>
        <w:rPr>
          <w:rFonts w:ascii="Arial" w:hAnsi="Arial" w:eastAsia="宋体" w:cs="Arial"/>
          <w:spacing w:val="10"/>
          <w:sz w:val="24"/>
        </w:rPr>
        <w:t>轴向略呈反“S”，次级褶皱发育，呈紧密线状，倾角较陡，局部倒转，该背斜距离评估区 6.5～8.0km，距离较远，对评估区没有影响。</w:t>
      </w:r>
    </w:p>
    <w:p w14:paraId="21761FB8">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坪上村逆断层：坪上村逆断层倾向北西向，倾角 46～80°，切割寒武系地层，断</w:t>
      </w:r>
    </w:p>
    <w:p w14:paraId="4BABA68B">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rPr>
        <w:t>层延伸长度约23km，断裂带岩石挤压破碎，硅化，强烈拖褶，具斜冲擦痕，为逆断层，该断裂距离评估区距离 5.5～6.0km，距离较远，对评估区没有影响。评估区内无断裂构造穿过，详见下图。</w:t>
      </w:r>
    </w:p>
    <w:p w14:paraId="1320EE07">
      <w:pPr>
        <w:rPr>
          <w:rFonts w:ascii="Arial" w:hAnsi="Arial" w:eastAsia="宋体" w:cs="Arial"/>
          <w:spacing w:val="10"/>
          <w:sz w:val="24"/>
          <w:lang w:val="zh-CN"/>
        </w:rPr>
      </w:pPr>
      <w:r>
        <w:rPr>
          <w:rFonts w:ascii="Arial" w:hAnsi="Arial" w:cs="Arial"/>
          <w:sz w:val="20"/>
        </w:rPr>
        <w:drawing>
          <wp:inline distT="0" distB="0" distL="114300" distR="114300">
            <wp:extent cx="5574030" cy="3832860"/>
            <wp:effectExtent l="0" t="0" r="7620" b="15240"/>
            <wp:docPr id="243" name="image6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668.jpeg"/>
                    <pic:cNvPicPr>
                      <a:picLocks noChangeAspect="1"/>
                    </pic:cNvPicPr>
                  </pic:nvPicPr>
                  <pic:blipFill>
                    <a:blip r:embed="rId40"/>
                    <a:stretch>
                      <a:fillRect/>
                    </a:stretch>
                  </pic:blipFill>
                  <pic:spPr>
                    <a:xfrm>
                      <a:off x="0" y="0"/>
                      <a:ext cx="5574030" cy="3832860"/>
                    </a:xfrm>
                    <a:prstGeom prst="rect">
                      <a:avLst/>
                    </a:prstGeom>
                    <a:noFill/>
                    <a:ln>
                      <a:noFill/>
                    </a:ln>
                  </pic:spPr>
                </pic:pic>
              </a:graphicData>
            </a:graphic>
          </wp:inline>
        </w:drawing>
      </w:r>
    </w:p>
    <w:p w14:paraId="7158399D">
      <w:pPr>
        <w:jc w:val="center"/>
        <w:rPr>
          <w:rFonts w:ascii="Arial" w:hAnsi="Arial" w:eastAsia="宋体" w:cs="Arial"/>
          <w:spacing w:val="10"/>
          <w:sz w:val="32"/>
          <w:lang w:val="zh-CN"/>
        </w:rPr>
      </w:pPr>
      <w:r>
        <w:rPr>
          <w:rFonts w:ascii="Arial" w:hAnsi="Arial" w:eastAsia="宋体" w:cs="Arial"/>
          <w:b/>
          <w:sz w:val="24"/>
        </w:rPr>
        <w:t>图3.1-3  区域地质构造</w:t>
      </w:r>
    </w:p>
    <w:p w14:paraId="60A72947">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3、区域地层岩性</w:t>
      </w:r>
    </w:p>
    <w:p w14:paraId="07E782B4">
      <w:pPr>
        <w:spacing w:line="500" w:lineRule="exact"/>
        <w:ind w:firstLine="490" w:firstLineChars="200"/>
        <w:rPr>
          <w:rFonts w:ascii="Arial" w:hAnsi="Arial" w:eastAsia="宋体" w:cs="Arial"/>
          <w:spacing w:val="10"/>
          <w:sz w:val="24"/>
        </w:rPr>
      </w:pPr>
      <w:r>
        <w:rPr>
          <w:rFonts w:ascii="Arial" w:hAnsi="Arial" w:eastAsia="宋体" w:cs="Arial"/>
          <w:spacing w:val="10"/>
          <w:sz w:val="24"/>
        </w:rPr>
        <w:t>区域内出露的地层有：志留系、侏罗系及第四系。现由老到新分述如下：</w:t>
      </w:r>
    </w:p>
    <w:p w14:paraId="578DFB2C">
      <w:pPr>
        <w:spacing w:line="500" w:lineRule="exact"/>
        <w:ind w:firstLine="490" w:firstLineChars="200"/>
        <w:rPr>
          <w:rFonts w:ascii="Arial" w:hAnsi="Arial" w:eastAsia="宋体" w:cs="Arial"/>
          <w:spacing w:val="10"/>
          <w:sz w:val="24"/>
        </w:rPr>
      </w:pPr>
      <w:r>
        <w:rPr>
          <w:rFonts w:ascii="Arial" w:hAnsi="Arial" w:eastAsia="宋体" w:cs="Arial"/>
          <w:spacing w:val="10"/>
          <w:sz w:val="24"/>
        </w:rPr>
        <w:t>志留系下统连滩群第三组（S1ln</w:t>
      </w:r>
      <w:r>
        <w:rPr>
          <w:rFonts w:ascii="Arial" w:hAnsi="Arial" w:eastAsia="宋体" w:cs="Arial"/>
          <w:spacing w:val="10"/>
          <w:sz w:val="24"/>
          <w:vertAlign w:val="superscript"/>
        </w:rPr>
        <w:t>c</w:t>
      </w:r>
      <w:r>
        <w:rPr>
          <w:rFonts w:ascii="Arial" w:hAnsi="Arial" w:eastAsia="宋体" w:cs="Arial"/>
          <w:spacing w:val="10"/>
          <w:sz w:val="24"/>
        </w:rPr>
        <w:t>）、第四组（S1ln</w:t>
      </w:r>
      <w:r>
        <w:rPr>
          <w:rFonts w:ascii="Arial" w:hAnsi="Arial" w:eastAsia="宋体" w:cs="Arial"/>
          <w:spacing w:val="10"/>
          <w:sz w:val="24"/>
          <w:vertAlign w:val="superscript"/>
        </w:rPr>
        <w:t>d</w:t>
      </w:r>
      <w:r>
        <w:rPr>
          <w:rFonts w:ascii="Arial" w:hAnsi="Arial" w:eastAsia="宋体" w:cs="Arial"/>
          <w:spacing w:val="10"/>
          <w:sz w:val="24"/>
        </w:rPr>
        <w:t>）、第五组（S1ln</w:t>
      </w:r>
      <w:r>
        <w:rPr>
          <w:rFonts w:ascii="Arial" w:hAnsi="Arial" w:eastAsia="宋体" w:cs="Arial"/>
          <w:spacing w:val="10"/>
          <w:sz w:val="24"/>
          <w:vertAlign w:val="superscript"/>
        </w:rPr>
        <w:t>e</w:t>
      </w:r>
      <w:r>
        <w:rPr>
          <w:rFonts w:ascii="Arial" w:hAnsi="Arial" w:eastAsia="宋体" w:cs="Arial"/>
          <w:spacing w:val="10"/>
          <w:sz w:val="24"/>
        </w:rPr>
        <w:t>）：砂岩夹粉砂岩、泥岩、页岩。</w:t>
      </w:r>
    </w:p>
    <w:p w14:paraId="7CE9A145">
      <w:pPr>
        <w:spacing w:line="500" w:lineRule="exact"/>
        <w:ind w:firstLine="490" w:firstLineChars="200"/>
        <w:rPr>
          <w:rFonts w:ascii="Arial" w:hAnsi="Arial" w:eastAsia="宋体" w:cs="Arial"/>
          <w:spacing w:val="10"/>
          <w:sz w:val="24"/>
        </w:rPr>
      </w:pPr>
      <w:r>
        <w:rPr>
          <w:rFonts w:ascii="Arial" w:hAnsi="Arial" w:eastAsia="宋体" w:cs="Arial"/>
          <w:spacing w:val="10"/>
          <w:sz w:val="24"/>
        </w:rPr>
        <w:t>侏罗系下统（J1）：泥岩、粉砂岩、砂岩、砾岩；中统（J2）：砂岩夹粉砂岩。第四系(Q)全新统：砂、砂砾、亚粘土、亚砂土、淤泥。</w:t>
      </w:r>
    </w:p>
    <w:p w14:paraId="29DCCF8D">
      <w:pPr>
        <w:spacing w:line="500" w:lineRule="exact"/>
        <w:ind w:firstLine="490" w:firstLineChars="200"/>
        <w:rPr>
          <w:rFonts w:ascii="Arial" w:hAnsi="Arial" w:eastAsia="宋体" w:cs="Arial"/>
          <w:spacing w:val="10"/>
          <w:sz w:val="24"/>
        </w:rPr>
      </w:pPr>
      <w:r>
        <w:rPr>
          <w:rFonts w:ascii="Arial" w:hAnsi="Arial" w:eastAsia="宋体" w:cs="Arial"/>
          <w:spacing w:val="10"/>
          <w:sz w:val="24"/>
        </w:rPr>
        <w:t>4、区域水文地质单元划分</w:t>
      </w:r>
    </w:p>
    <w:p w14:paraId="171314E3">
      <w:pPr>
        <w:spacing w:line="500" w:lineRule="exact"/>
        <w:ind w:firstLine="490" w:firstLineChars="200"/>
        <w:rPr>
          <w:rFonts w:ascii="Arial" w:hAnsi="Arial" w:eastAsia="宋体" w:cs="Arial"/>
          <w:spacing w:val="10"/>
          <w:sz w:val="24"/>
        </w:rPr>
      </w:pPr>
      <w:r>
        <w:rPr>
          <w:rFonts w:ascii="Arial" w:hAnsi="Arial" w:eastAsia="宋体" w:cs="Arial"/>
          <w:spacing w:val="10"/>
          <w:sz w:val="24"/>
        </w:rPr>
        <w:t>评价区为一相对完整、较简单的水文地质单元，总体呈由西北向东北展布、从东北向东南展布地带，以金鼓江、鹿耳环江以及钦州湾为水文地质单元边界。共由两个次级水文地质单元铁大坡顶水文地质单元I</w:t>
      </w:r>
      <w:r>
        <w:rPr>
          <w:rFonts w:ascii="Arial" w:hAnsi="Arial" w:eastAsia="宋体" w:cs="Arial"/>
          <w:spacing w:val="10"/>
          <w:sz w:val="24"/>
          <w:vertAlign w:val="subscript"/>
        </w:rPr>
        <w:t>1</w:t>
      </w:r>
      <w:r>
        <w:rPr>
          <w:rFonts w:ascii="Arial" w:hAnsi="Arial" w:eastAsia="宋体" w:cs="Arial"/>
          <w:spacing w:val="10"/>
          <w:sz w:val="24"/>
        </w:rPr>
        <w:t>、香炉墩水文地质单元I</w:t>
      </w:r>
      <w:r>
        <w:rPr>
          <w:rFonts w:ascii="Arial" w:hAnsi="Arial" w:eastAsia="宋体" w:cs="Arial"/>
          <w:spacing w:val="10"/>
          <w:sz w:val="24"/>
          <w:vertAlign w:val="subscript"/>
        </w:rPr>
        <w:t>2</w:t>
      </w:r>
      <w:r>
        <w:rPr>
          <w:rFonts w:ascii="Arial" w:hAnsi="Arial" w:eastAsia="宋体" w:cs="Arial"/>
          <w:spacing w:val="10"/>
          <w:sz w:val="24"/>
        </w:rPr>
        <w:t>组成。</w:t>
      </w:r>
    </w:p>
    <w:p w14:paraId="521518F0">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rPr>
        <w:t>测区属于香炉墩水文地质单元I</w:t>
      </w:r>
      <w:r>
        <w:rPr>
          <w:rFonts w:ascii="Arial" w:hAnsi="Arial" w:eastAsia="宋体" w:cs="Arial"/>
          <w:spacing w:val="10"/>
          <w:sz w:val="24"/>
          <w:vertAlign w:val="subscript"/>
        </w:rPr>
        <w:t>2</w:t>
      </w:r>
      <w:r>
        <w:rPr>
          <w:rFonts w:ascii="Arial" w:hAnsi="Arial" w:eastAsia="宋体" w:cs="Arial"/>
          <w:spacing w:val="10"/>
          <w:sz w:val="24"/>
        </w:rPr>
        <w:t>，地下水总体由北往南径流最终排泄至钦州湾，局部地下水排泄至西侧、西南侧金鼓江，项目区地下水由西北向东南径流，排泄至鹿耳环江。评价区以淡水湾-鲎泊潭-大坑一带地下水分水岭为调查边界，分水岭以北的河流为排泄边界1，分水岭以南的西侧金鼓江为排泄边界2、东侧鹿耳环江为排泄边界3以及南侧钦州湾作为排泄边界4。地下水露头为评价区补给边界，地下水补给、径流、排泄系统独立完整。</w:t>
      </w:r>
    </w:p>
    <w:p w14:paraId="0E6A8C2D">
      <w:pPr>
        <w:adjustRightInd w:val="0"/>
        <w:snapToGrid w:val="0"/>
        <w:spacing w:line="500" w:lineRule="exact"/>
        <w:ind w:firstLine="490" w:firstLineChars="200"/>
        <w:rPr>
          <w:rFonts w:ascii="Arial" w:hAnsi="Arial" w:eastAsia="宋体" w:cs="Arial"/>
          <w:spacing w:val="10"/>
          <w:sz w:val="24"/>
          <w:szCs w:val="24"/>
          <w:lang w:val="zh-CN"/>
        </w:rPr>
      </w:pPr>
      <w:r>
        <w:rPr>
          <w:rFonts w:ascii="Arial" w:hAnsi="Arial" w:eastAsia="宋体" w:cs="Arial"/>
          <w:spacing w:val="10"/>
          <w:sz w:val="24"/>
          <w:szCs w:val="24"/>
          <w:lang w:val="zh-CN"/>
        </w:rPr>
        <w:t>5、区域含水层划分及其富水性</w:t>
      </w:r>
    </w:p>
    <w:p w14:paraId="28905DC9">
      <w:pPr>
        <w:autoSpaceDE w:val="0"/>
        <w:autoSpaceDN w:val="0"/>
        <w:adjustRightInd w:val="0"/>
        <w:snapToGrid w:val="0"/>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根据地层岩性及其组合特征、含水特征的差异，测区内含水岩层划分为松散岩类孔隙水、碎屑岩类裂隙孔隙水和构造裂隙水。</w:t>
      </w:r>
    </w:p>
    <w:p w14:paraId="456AADC7">
      <w:pPr>
        <w:adjustRightInd w:val="0"/>
        <w:snapToGrid w:val="0"/>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松散岩类孔隙水：主要赋存于第四系素填土及淤泥质砂中，结构疏松，具透水和贮水条件，含孔隙水，为建设项目的主要含水层。根据区域水文地质计算资料，单井涌水量小于100m</w:t>
      </w:r>
      <w:r>
        <w:rPr>
          <w:rFonts w:ascii="Arial" w:hAnsi="Arial" w:eastAsia="宋体" w:cs="Arial"/>
          <w:spacing w:val="10"/>
          <w:kern w:val="0"/>
          <w:sz w:val="24"/>
          <w:szCs w:val="24"/>
          <w:vertAlign w:val="superscript"/>
        </w:rPr>
        <w:t>3</w:t>
      </w:r>
      <w:r>
        <w:rPr>
          <w:rFonts w:ascii="Arial" w:hAnsi="Arial" w:eastAsia="宋体" w:cs="Arial"/>
          <w:spacing w:val="10"/>
          <w:kern w:val="0"/>
          <w:sz w:val="24"/>
          <w:szCs w:val="24"/>
        </w:rPr>
        <w:t>/d，水量贫乏，富水性弱。</w:t>
      </w:r>
    </w:p>
    <w:p w14:paraId="28998941">
      <w:pPr>
        <w:adjustRightInd w:val="0"/>
        <w:snapToGrid w:val="0"/>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碎屑岩类裂隙孔隙水：该类型地下水主要赋存于侏罗系上统（J1）及中统那荡组（J2）碎屑岩类砂岩、泥岩、泥质粉砂岩裂隙中,区内地质构造较发育。呈块状分布于调查区内，地貌上属低山地貌区，主要接受大气降雨补给。根据区域水文地质统计计算资料，单井涌水量小于100m</w:t>
      </w:r>
      <w:r>
        <w:rPr>
          <w:rFonts w:ascii="Arial" w:hAnsi="Arial" w:eastAsia="宋体" w:cs="Arial"/>
          <w:spacing w:val="10"/>
          <w:kern w:val="0"/>
          <w:sz w:val="24"/>
          <w:szCs w:val="24"/>
          <w:vertAlign w:val="superscript"/>
        </w:rPr>
        <w:t>3</w:t>
      </w:r>
      <w:r>
        <w:rPr>
          <w:rFonts w:ascii="Arial" w:hAnsi="Arial" w:eastAsia="宋体" w:cs="Arial"/>
          <w:spacing w:val="10"/>
          <w:kern w:val="0"/>
          <w:sz w:val="24"/>
          <w:szCs w:val="24"/>
        </w:rPr>
        <w:t>/d，水量贫乏，富水性弱。</w:t>
      </w:r>
    </w:p>
    <w:p w14:paraId="253353EA">
      <w:pPr>
        <w:adjustRightInd w:val="0"/>
        <w:snapToGrid w:val="0"/>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构造裂隙水：主要分布于调查区北侧及东侧边缘地带，地貌上多为低ft地貌区，含</w:t>
      </w:r>
    </w:p>
    <w:p w14:paraId="3D26EE8E">
      <w:pPr>
        <w:adjustRightInd w:val="0"/>
        <w:snapToGrid w:val="0"/>
        <w:spacing w:line="500" w:lineRule="exact"/>
        <w:ind w:firstLine="490" w:firstLineChars="200"/>
        <w:rPr>
          <w:rFonts w:ascii="Arial" w:hAnsi="Arial" w:eastAsia="宋体" w:cs="Arial"/>
          <w:spacing w:val="10"/>
          <w:sz w:val="24"/>
          <w:szCs w:val="24"/>
          <w:lang w:val="zh-CN"/>
        </w:rPr>
      </w:pPr>
      <w:r>
        <w:rPr>
          <w:rFonts w:ascii="Arial" w:hAnsi="Arial" w:eastAsia="宋体" w:cs="Arial"/>
          <w:spacing w:val="10"/>
          <w:kern w:val="0"/>
          <w:sz w:val="24"/>
          <w:szCs w:val="24"/>
        </w:rPr>
        <w:t>水岩组为志留系连滩群第三组（S1ln</w:t>
      </w:r>
      <w:r>
        <w:rPr>
          <w:rFonts w:ascii="Arial" w:hAnsi="Arial" w:eastAsia="宋体" w:cs="Arial"/>
          <w:spacing w:val="10"/>
          <w:kern w:val="0"/>
          <w:sz w:val="24"/>
          <w:szCs w:val="24"/>
          <w:vertAlign w:val="superscript"/>
        </w:rPr>
        <w:t>c</w:t>
      </w:r>
      <w:r>
        <w:rPr>
          <w:rFonts w:ascii="Arial" w:hAnsi="Arial" w:eastAsia="宋体" w:cs="Arial"/>
          <w:spacing w:val="10"/>
          <w:kern w:val="0"/>
          <w:sz w:val="24"/>
          <w:szCs w:val="24"/>
        </w:rPr>
        <w:t>）、第四组（S</w:t>
      </w:r>
      <w:r>
        <w:rPr>
          <w:rFonts w:ascii="Arial" w:hAnsi="Arial" w:eastAsia="宋体" w:cs="Arial"/>
          <w:spacing w:val="10"/>
          <w:kern w:val="0"/>
          <w:sz w:val="24"/>
          <w:szCs w:val="24"/>
          <w:vertAlign w:val="subscript"/>
        </w:rPr>
        <w:t>1</w:t>
      </w:r>
      <w:r>
        <w:rPr>
          <w:rFonts w:ascii="Arial" w:hAnsi="Arial" w:eastAsia="宋体" w:cs="Arial"/>
          <w:spacing w:val="10"/>
          <w:kern w:val="0"/>
          <w:sz w:val="24"/>
          <w:szCs w:val="24"/>
        </w:rPr>
        <w:t>ln</w:t>
      </w:r>
      <w:r>
        <w:rPr>
          <w:rFonts w:ascii="Arial" w:hAnsi="Arial" w:eastAsia="宋体" w:cs="Arial"/>
          <w:spacing w:val="10"/>
          <w:kern w:val="0"/>
          <w:sz w:val="24"/>
          <w:szCs w:val="24"/>
          <w:vertAlign w:val="superscript"/>
        </w:rPr>
        <w:t>d</w:t>
      </w:r>
      <w:r>
        <w:rPr>
          <w:rFonts w:ascii="Arial" w:hAnsi="Arial" w:eastAsia="宋体" w:cs="Arial"/>
          <w:spacing w:val="10"/>
          <w:kern w:val="0"/>
          <w:sz w:val="24"/>
          <w:szCs w:val="24"/>
        </w:rPr>
        <w:t>）、第五组（S</w:t>
      </w:r>
      <w:r>
        <w:rPr>
          <w:rFonts w:ascii="Arial" w:hAnsi="Arial" w:eastAsia="宋体" w:cs="Arial"/>
          <w:spacing w:val="10"/>
          <w:kern w:val="0"/>
          <w:sz w:val="24"/>
          <w:szCs w:val="24"/>
          <w:vertAlign w:val="subscript"/>
        </w:rPr>
        <w:t>1</w:t>
      </w:r>
      <w:r>
        <w:rPr>
          <w:rFonts w:ascii="Arial" w:hAnsi="Arial" w:eastAsia="宋体" w:cs="Arial"/>
          <w:spacing w:val="10"/>
          <w:kern w:val="0"/>
          <w:sz w:val="24"/>
          <w:szCs w:val="24"/>
        </w:rPr>
        <w:t>ln</w:t>
      </w:r>
      <w:r>
        <w:rPr>
          <w:rFonts w:ascii="Arial" w:hAnsi="Arial" w:eastAsia="宋体" w:cs="Arial"/>
          <w:spacing w:val="10"/>
          <w:kern w:val="0"/>
          <w:sz w:val="24"/>
          <w:szCs w:val="24"/>
          <w:vertAlign w:val="superscript"/>
        </w:rPr>
        <w:t>e</w:t>
      </w:r>
      <w:r>
        <w:rPr>
          <w:rFonts w:ascii="Arial" w:hAnsi="Arial" w:eastAsia="宋体" w:cs="Arial"/>
          <w:spacing w:val="10"/>
          <w:kern w:val="0"/>
          <w:sz w:val="24"/>
          <w:szCs w:val="24"/>
        </w:rPr>
        <w:t>）泥质粉砂岩，区内地质构造较发育。地下水主要赋存于下伏泥质粉砂岩构造节理裂隙中。区内地下水径流模数＜6L/s·km，水量贫乏，富水性弱。</w:t>
      </w:r>
    </w:p>
    <w:p w14:paraId="199AA06B">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6、区域地下水的补给、径流、排泄条件</w:t>
      </w:r>
    </w:p>
    <w:p w14:paraId="5C08F2C0">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项目所在区域为回填区，补给来源主要为大气降雨，海水涨潮也会对近岸局部地下水补给产生影响。孔隙水主要沿孔隙作层流运动，以蒸发排泄为主，其次以下降泉或线状排泄排入海域，人工开采也是较重要的排泄方式。地下水径流排泄过程受到海水涨落潮影响，地下水位作小幅变动。</w:t>
      </w:r>
    </w:p>
    <w:p w14:paraId="5E558D55">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碎屑岩类裂隙孔隙水、构造裂隙水的补给来源亦主要为大气降雨，测区低山区覆盖层较薄，基岩裂隙发育，但地形坡度较陡，降雨不易留存补给地下水。构造裂隙水通常作隙流运动，就近排入附近的河流、溪沟之中。</w:t>
      </w:r>
    </w:p>
    <w:p w14:paraId="131BF110">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7、区域地下水动态特征</w:t>
      </w:r>
    </w:p>
    <w:p w14:paraId="31FBBDF7">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调查区内地下水动态以气象型为主：地下水受降雨补给控制，地下水位降雨则升，无雨则降，且年变幅较大；流量与降雨有较大的关系，大雨后流量剧增，</w:t>
      </w:r>
      <w:r>
        <w:rPr>
          <w:rFonts w:hint="eastAsia" w:ascii="Arial" w:hAnsi="Arial" w:eastAsia="宋体" w:cs="Arial"/>
          <w:spacing w:val="10"/>
          <w:sz w:val="24"/>
          <w:lang w:val="zh-CN"/>
        </w:rPr>
        <w:t>其他</w:t>
      </w:r>
      <w:r>
        <w:rPr>
          <w:rFonts w:ascii="Arial" w:hAnsi="Arial" w:eastAsia="宋体" w:cs="Arial"/>
          <w:spacing w:val="10"/>
          <w:sz w:val="24"/>
          <w:lang w:val="zh-CN"/>
        </w:rPr>
        <w:t>时段流量又逐渐减少。地下水位变化对降雨反应较灵敏，水位上升与降雨量成正相关。调查区内属低ft地貌区，地下水水位埋深较小，一般＜10m，年内地下水水位变幅也相对较小。</w:t>
      </w:r>
      <w:r>
        <w:rPr>
          <w:rFonts w:ascii="Arial" w:hAnsi="Arial" w:eastAsia="宋体" w:cs="Arial"/>
          <w:spacing w:val="10"/>
          <w:sz w:val="24"/>
        </w:rPr>
        <w:t>近海区</w:t>
      </w:r>
      <w:r>
        <w:rPr>
          <w:rFonts w:ascii="Arial" w:hAnsi="Arial" w:eastAsia="宋体" w:cs="Arial"/>
          <w:spacing w:val="10"/>
          <w:sz w:val="24"/>
          <w:lang w:val="zh-CN"/>
        </w:rPr>
        <w:t>地下水位受潮汐涨落影响</w:t>
      </w:r>
      <w:r>
        <w:rPr>
          <w:rFonts w:ascii="Arial" w:hAnsi="Arial" w:eastAsia="宋体" w:cs="Arial"/>
          <w:spacing w:val="10"/>
          <w:sz w:val="24"/>
        </w:rPr>
        <w:t>较明显</w:t>
      </w:r>
      <w:r>
        <w:rPr>
          <w:rFonts w:ascii="Arial" w:hAnsi="Arial" w:eastAsia="宋体" w:cs="Arial"/>
          <w:spacing w:val="10"/>
          <w:sz w:val="24"/>
          <w:lang w:val="zh-CN"/>
        </w:rPr>
        <w:t>，对</w:t>
      </w:r>
      <w:r>
        <w:rPr>
          <w:rFonts w:ascii="Arial" w:hAnsi="Arial" w:eastAsia="宋体" w:cs="Arial"/>
          <w:spacing w:val="10"/>
          <w:sz w:val="24"/>
        </w:rPr>
        <w:t>近海区</w:t>
      </w:r>
      <w:r>
        <w:rPr>
          <w:rFonts w:ascii="Arial" w:hAnsi="Arial" w:eastAsia="宋体" w:cs="Arial"/>
          <w:spacing w:val="10"/>
          <w:sz w:val="24"/>
          <w:lang w:val="zh-CN"/>
        </w:rPr>
        <w:t>地下水径流及排泄有一定的影响。</w:t>
      </w:r>
    </w:p>
    <w:p w14:paraId="21B38DB1">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根据地区经验及类比工程，枯水期泉流量和溪沟流量变小，丰水期泉流量和溪沟排泄的地下水量增大，年变化系数2.1-14倍。</w:t>
      </w:r>
    </w:p>
    <w:p w14:paraId="004F746E">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8、区域地下水化学类型</w:t>
      </w:r>
    </w:p>
    <w:p w14:paraId="03324B20">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测区地下水主要为矿化度极低的中性－弱酸性极软水。区域地下水主要以HCO</w:t>
      </w:r>
      <w:r>
        <w:rPr>
          <w:rFonts w:ascii="Arial" w:hAnsi="Arial" w:eastAsia="宋体" w:cs="Arial"/>
          <w:spacing w:val="10"/>
          <w:sz w:val="24"/>
          <w:vertAlign w:val="subscript"/>
          <w:lang w:val="zh-CN"/>
        </w:rPr>
        <w:t>3</w:t>
      </w:r>
      <w:r>
        <w:rPr>
          <w:rFonts w:ascii="Arial" w:hAnsi="Arial" w:eastAsia="宋体" w:cs="Arial"/>
          <w:spacing w:val="10"/>
          <w:sz w:val="24"/>
          <w:lang w:val="zh-CN"/>
        </w:rPr>
        <w:t>·Cl－Na·Ca(或 Ca·Na)型为主，其次为Cl－Na型、HCO</w:t>
      </w:r>
      <w:r>
        <w:rPr>
          <w:rFonts w:ascii="Arial" w:hAnsi="Arial" w:eastAsia="宋体" w:cs="Arial"/>
          <w:spacing w:val="10"/>
          <w:sz w:val="24"/>
          <w:vertAlign w:val="subscript"/>
          <w:lang w:val="zh-CN"/>
        </w:rPr>
        <w:t>3</w:t>
      </w:r>
      <w:r>
        <w:rPr>
          <w:rFonts w:ascii="Arial" w:hAnsi="Arial" w:eastAsia="宋体" w:cs="Arial"/>
          <w:spacing w:val="10"/>
          <w:sz w:val="24"/>
          <w:lang w:val="zh-CN"/>
        </w:rPr>
        <w:t>－Na Ca（或 Ca）型。水质以弱酸性水为主，硬度一般0.42～7.56 德度，矿化度0.016-0.309g/L，矿化度和总硬度都比较低。</w:t>
      </w:r>
    </w:p>
    <w:p w14:paraId="3B78AFB7">
      <w:pPr>
        <w:spacing w:line="500" w:lineRule="exact"/>
        <w:ind w:firstLine="490" w:firstLineChars="200"/>
        <w:rPr>
          <w:rFonts w:ascii="Arial" w:hAnsi="Arial" w:eastAsia="宋体" w:cs="Arial"/>
          <w:spacing w:val="10"/>
          <w:sz w:val="24"/>
          <w:lang w:val="zh-CN"/>
        </w:rPr>
      </w:pPr>
      <w:r>
        <w:rPr>
          <w:rFonts w:ascii="Arial" w:hAnsi="Arial" w:eastAsia="宋体" w:cs="Arial"/>
          <w:spacing w:val="10"/>
          <w:sz w:val="24"/>
          <w:lang w:val="zh-CN"/>
        </w:rPr>
        <w:t>项目区为填海区域，现场地内地下水与原海域海水关系密切。因此本项目地下水氯离子、钠离子、溶解性总固体等因子浓度含量较高，与区域非填海区的地下水化学类型有所不同。</w:t>
      </w:r>
    </w:p>
    <w:p w14:paraId="1FF9E453">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气象条件</w:t>
      </w:r>
    </w:p>
    <w:p w14:paraId="50B90A6F">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项目所在区域属南亚热带海洋气候，季风盛行，冬无严寒夏无酷暑，热量丰富，干湿分明，</w:t>
      </w:r>
      <w:r>
        <w:rPr>
          <w:rFonts w:hint="eastAsia" w:ascii="Arial" w:hAnsi="Arial" w:eastAsia="宋体" w:cs="Arial"/>
          <w:spacing w:val="10"/>
          <w:sz w:val="24"/>
          <w:u w:val="single"/>
        </w:rPr>
        <w:t>据钦州气象站（59632）统计的气象资料</w:t>
      </w:r>
      <w:r>
        <w:rPr>
          <w:rFonts w:hint="eastAsia" w:ascii="Arial" w:hAnsi="Arial" w:eastAsia="宋体" w:cs="Arial"/>
          <w:spacing w:val="10"/>
          <w:sz w:val="24"/>
        </w:rPr>
        <w:t xml:space="preserve">，本地气候特征如下： </w:t>
      </w:r>
    </w:p>
    <w:p w14:paraId="65D22CB3">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1、气温</w:t>
      </w:r>
    </w:p>
    <w:p w14:paraId="4B09A9D7">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u w:val="single"/>
        </w:rPr>
        <w:t>近20年钦州年平均气温为22.9℃，累年极端最高气温为37.9℃，累年极端最低气温为1.6℃；</w:t>
      </w:r>
      <w:r>
        <w:rPr>
          <w:rFonts w:hint="eastAsia" w:ascii="Arial" w:hAnsi="Arial" w:eastAsia="宋体" w:cs="Arial"/>
          <w:spacing w:val="10"/>
          <w:sz w:val="24"/>
        </w:rPr>
        <w:t>钦州气象站07月气温最高（28.84℃），01月气温最低（14.07℃）。</w:t>
      </w:r>
    </w:p>
    <w:p w14:paraId="4CC57CA3">
      <w:pPr>
        <w:spacing w:line="500" w:lineRule="exact"/>
        <w:ind w:firstLine="490" w:firstLineChars="200"/>
        <w:rPr>
          <w:rFonts w:ascii="Arial" w:hAnsi="Arial" w:eastAsia="宋体" w:cs="Arial"/>
          <w:spacing w:val="10"/>
          <w:sz w:val="24"/>
        </w:rPr>
      </w:pPr>
      <w:r>
        <w:rPr>
          <w:rFonts w:ascii="Arial" w:hAnsi="Arial" w:eastAsia="宋体" w:cs="Arial"/>
          <w:spacing w:val="10"/>
          <w:sz w:val="24"/>
        </w:rPr>
        <w:t>2、风况与相对湿度</w:t>
      </w:r>
    </w:p>
    <w:p w14:paraId="4F4B69C2">
      <w:pPr>
        <w:spacing w:line="500" w:lineRule="exact"/>
        <w:ind w:firstLine="490" w:firstLineChars="200"/>
        <w:rPr>
          <w:rFonts w:ascii="Arial" w:hAnsi="Arial" w:eastAsia="宋体" w:cs="Arial"/>
          <w:spacing w:val="10"/>
          <w:sz w:val="24"/>
        </w:rPr>
      </w:pPr>
      <w:r>
        <w:rPr>
          <w:rFonts w:ascii="Arial" w:hAnsi="Arial" w:eastAsia="宋体" w:cs="Arial"/>
          <w:spacing w:val="10"/>
          <w:sz w:val="24"/>
        </w:rPr>
        <w:t>当地气候风显著，每年5－8月多偏向南向风，其中以6、7月份为最多，9月至翌年4月多偏北向风。钦州年主导风向为北风，频率为16.7%。多年平均风速2.1m/s，极大风速6.9m/s。区域相对湿度以春季3月和雨季6~8月为最大，10月到次年1月为相对湿度低值期。本地区多年平均相对湿度为77.4%。</w:t>
      </w:r>
    </w:p>
    <w:p w14:paraId="1B250A93">
      <w:pPr>
        <w:spacing w:line="500" w:lineRule="exact"/>
        <w:ind w:firstLine="490" w:firstLineChars="200"/>
        <w:rPr>
          <w:rFonts w:ascii="Arial" w:hAnsi="Arial" w:eastAsia="宋体" w:cs="Arial"/>
          <w:spacing w:val="10"/>
          <w:sz w:val="24"/>
        </w:rPr>
      </w:pPr>
      <w:r>
        <w:rPr>
          <w:rFonts w:ascii="Arial" w:hAnsi="Arial" w:eastAsia="宋体" w:cs="Arial"/>
          <w:spacing w:val="10"/>
          <w:sz w:val="24"/>
        </w:rPr>
        <w:t>3、降雨</w:t>
      </w:r>
    </w:p>
    <w:p w14:paraId="77136DBC">
      <w:pPr>
        <w:spacing w:line="500" w:lineRule="exact"/>
        <w:ind w:firstLine="490" w:firstLineChars="200"/>
        <w:rPr>
          <w:rFonts w:ascii="Arial" w:hAnsi="Arial" w:eastAsia="宋体" w:cs="Arial"/>
          <w:spacing w:val="10"/>
          <w:sz w:val="24"/>
        </w:rPr>
      </w:pPr>
      <w:r>
        <w:rPr>
          <w:rFonts w:ascii="Arial" w:hAnsi="Arial" w:eastAsia="宋体" w:cs="Arial"/>
          <w:spacing w:val="10"/>
          <w:sz w:val="24"/>
        </w:rPr>
        <w:t>钦州市濒临海洋，夏秋两季常受热带风暴的影响，雨量充沛。据统计，钦州市多年平均降雨量为1764.5mm。年内降雨多集中在汛期4～9月份，这段时间的雨量一般可占全年总降雨量的80%以上，月最大降雨量多出现在七、八月份。由于多种因素的影响，降雨量年际变化较大，变差系数CV值约为0.2，最大与最小雨量差值在1000mm以上。灵山县灵东水库1961年降雨量为2434.3mm，而1989年降雨量仅为866.2mm，差值为1568.1mm。钦州市水面蒸发以七月份最大，二月份最小。钦南、钦北区多年平均水面蒸发量为860.2mm；灵山县多年平均水面蒸发量为875.9mm；浦北县多年平均水面蒸发量为848.0。全市陆面蒸发量为870.0mm。</w:t>
      </w:r>
    </w:p>
    <w:p w14:paraId="3F65B850">
      <w:pPr>
        <w:numPr>
          <w:ilvl w:val="0"/>
          <w:numId w:val="13"/>
        </w:numPr>
        <w:spacing w:line="500" w:lineRule="exact"/>
        <w:outlineLvl w:val="3"/>
        <w:rPr>
          <w:rFonts w:ascii="Arial" w:hAnsi="Arial" w:eastAsia="宋体" w:cs="Arial"/>
          <w:b/>
          <w:spacing w:val="10"/>
          <w:sz w:val="24"/>
        </w:rPr>
      </w:pPr>
      <w:r>
        <w:rPr>
          <w:rFonts w:ascii="Arial" w:hAnsi="Arial" w:eastAsia="宋体" w:cs="Arial"/>
          <w:b/>
          <w:spacing w:val="10"/>
          <w:sz w:val="24"/>
        </w:rPr>
        <w:t>动植物资源</w:t>
      </w:r>
    </w:p>
    <w:p w14:paraId="3C5CA802">
      <w:pPr>
        <w:spacing w:line="500" w:lineRule="exact"/>
        <w:ind w:firstLine="480"/>
        <w:rPr>
          <w:rFonts w:ascii="Arial" w:hAnsi="Arial" w:eastAsia="宋体" w:cs="Arial"/>
          <w:spacing w:val="10"/>
          <w:sz w:val="24"/>
        </w:rPr>
      </w:pPr>
      <w:r>
        <w:rPr>
          <w:rFonts w:ascii="Arial" w:hAnsi="Arial" w:eastAsia="宋体" w:cs="Arial"/>
          <w:spacing w:val="10"/>
          <w:sz w:val="24"/>
        </w:rPr>
        <w:t>钦州港内陆现存的野生动物为常见的广布种，鸟类主要有大山雀、麻雀、了哥、燕子、画眉；爬行类主要有蜈蚣、南草蜥、蜗牛等；昆虫类主要有蜜蜂、蜻蜓、蝗、蝴蝶、蝉、蜘蛛、黑蜂、地老虎、蟋蟀等。</w:t>
      </w:r>
    </w:p>
    <w:p w14:paraId="49A6317D">
      <w:pPr>
        <w:spacing w:line="500" w:lineRule="exact"/>
        <w:ind w:firstLine="480"/>
        <w:rPr>
          <w:rFonts w:ascii="Arial" w:hAnsi="Arial" w:eastAsia="宋体" w:cs="Arial"/>
          <w:spacing w:val="10"/>
          <w:sz w:val="24"/>
        </w:rPr>
      </w:pPr>
      <w:r>
        <w:rPr>
          <w:rFonts w:ascii="Arial" w:hAnsi="Arial" w:eastAsia="宋体" w:cs="Arial"/>
          <w:spacing w:val="10"/>
          <w:sz w:val="24"/>
        </w:rPr>
        <w:t>钦州湾所在区域森林植被以松杉和天然阔叶林为主。由于土壤、气候、地形条件的不同，植被分布有区域性差异：东、西北部地区以桃金娘芒箕群落为主，草类以绒草为主，覆盖率80～90%，乔木以松杉为主；南部、中部地区以灌木、岗松及低草群落的鸭嘴草为主，覆盖率50～60%，乔木以松为主；沿海地区以矮生鹧鸪草群落为主，覆盖率30～40%，乔木以松为主。</w:t>
      </w:r>
    </w:p>
    <w:p w14:paraId="07C55D4F">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ascii="Arial" w:hAnsi="Arial" w:eastAsia="宋体" w:cs="Arial"/>
          <w:b/>
          <w:bCs/>
          <w:sz w:val="24"/>
        </w:rPr>
        <w:t>自然保护区、风景名胜区及文物古迹</w:t>
      </w:r>
    </w:p>
    <w:p w14:paraId="39994B75">
      <w:pPr>
        <w:spacing w:line="500" w:lineRule="exact"/>
        <w:ind w:firstLine="480"/>
        <w:rPr>
          <w:rFonts w:ascii="Arial" w:hAnsi="Arial" w:eastAsia="宋体" w:cs="Arial"/>
          <w:spacing w:val="10"/>
          <w:sz w:val="24"/>
        </w:rPr>
      </w:pPr>
      <w:r>
        <w:rPr>
          <w:rFonts w:ascii="Arial" w:hAnsi="Arial" w:eastAsia="宋体" w:cs="Arial"/>
          <w:spacing w:val="10"/>
          <w:sz w:val="24"/>
        </w:rPr>
        <w:t>厂区周边不涉及风景名胜区及文物古迹，周边的自然保护区主要是广西茅尾海红树林自治区级自然保护区。根据《广西红树林资源保护规划（2020~2030年）》，厂区周边不涉及其他红树林保护小区，水井环及麻蓝头岛的红树林区为限制开发建设的红树林区域。</w:t>
      </w:r>
    </w:p>
    <w:p w14:paraId="48F0A457">
      <w:pPr>
        <w:numPr>
          <w:ilvl w:val="0"/>
          <w:numId w:val="14"/>
        </w:numPr>
        <w:spacing w:line="500" w:lineRule="exact"/>
        <w:outlineLvl w:val="3"/>
        <w:rPr>
          <w:rFonts w:ascii="Arial" w:hAnsi="Arial" w:eastAsia="宋体" w:cs="Arial"/>
          <w:b/>
          <w:spacing w:val="10"/>
          <w:sz w:val="24"/>
        </w:rPr>
      </w:pPr>
      <w:r>
        <w:rPr>
          <w:rFonts w:ascii="Arial" w:hAnsi="Arial" w:eastAsia="宋体" w:cs="Arial"/>
          <w:b/>
          <w:spacing w:val="10"/>
          <w:sz w:val="24"/>
        </w:rPr>
        <w:t>茅尾海红树林自然保护区</w:t>
      </w:r>
    </w:p>
    <w:p w14:paraId="52DD7977">
      <w:pPr>
        <w:spacing w:line="500" w:lineRule="exact"/>
        <w:ind w:firstLine="480"/>
        <w:rPr>
          <w:rFonts w:ascii="Arial" w:hAnsi="Arial" w:eastAsia="宋体" w:cs="Arial"/>
          <w:spacing w:val="10"/>
          <w:sz w:val="24"/>
        </w:rPr>
      </w:pPr>
      <w:r>
        <w:rPr>
          <w:rFonts w:ascii="Arial" w:hAnsi="Arial" w:eastAsia="宋体" w:cs="Arial"/>
          <w:spacing w:val="10"/>
          <w:sz w:val="24"/>
        </w:rPr>
        <w:t>根据广西壮族自治区人民政府发布的《广西壮族自治区人民政府关于同意广西茅尾海红树林自治区级自然保护区范围与功能区调整的批复》（桂政函〔2020〕14号），同意调整广西茅尾海红树林自治区级自然保护区（以下简称保护区）范围与功能区。调整后，保护区范围涉及康熙岭片、坚心围片、七十二泾片和大风江片4个片区，地理坐标为东经108°28′35″~108°54′26″、北纬21°44′13″~21°53′49″。保护区总面积5010.05公顷，其中核心区面积2153.2公顷、缓冲区面积1386.13公顷、实验区面积1470.72公顷。</w:t>
      </w:r>
    </w:p>
    <w:p w14:paraId="1589BE99">
      <w:pPr>
        <w:spacing w:line="500" w:lineRule="exact"/>
        <w:ind w:firstLine="480"/>
        <w:rPr>
          <w:rFonts w:ascii="Arial" w:hAnsi="Arial" w:eastAsia="宋体" w:cs="Arial"/>
          <w:spacing w:val="10"/>
          <w:sz w:val="24"/>
        </w:rPr>
      </w:pPr>
      <w:r>
        <w:rPr>
          <w:rFonts w:ascii="Arial" w:hAnsi="Arial" w:eastAsia="宋体" w:cs="Arial"/>
          <w:spacing w:val="10"/>
          <w:sz w:val="24"/>
        </w:rPr>
        <w:t>距项目较近的是七十二泾片区，该片区位于钦州港建成区西侧、松飞大岭以南，总面积217.42hm</w:t>
      </w:r>
      <w:r>
        <w:rPr>
          <w:rFonts w:ascii="Arial" w:hAnsi="Arial" w:eastAsia="宋体" w:cs="Arial"/>
          <w:spacing w:val="10"/>
          <w:sz w:val="24"/>
          <w:vertAlign w:val="superscript"/>
        </w:rPr>
        <w:t>2</w:t>
      </w:r>
      <w:r>
        <w:rPr>
          <w:rFonts w:ascii="Arial" w:hAnsi="Arial" w:eastAsia="宋体" w:cs="Arial"/>
          <w:spacing w:val="10"/>
          <w:sz w:val="24"/>
        </w:rPr>
        <w:t>，其中核心区面积96.81hm</w:t>
      </w:r>
      <w:r>
        <w:rPr>
          <w:rFonts w:ascii="Arial" w:hAnsi="Arial" w:eastAsia="宋体" w:cs="Arial"/>
          <w:spacing w:val="10"/>
          <w:sz w:val="24"/>
          <w:vertAlign w:val="superscript"/>
        </w:rPr>
        <w:t>2</w:t>
      </w:r>
      <w:r>
        <w:rPr>
          <w:rFonts w:ascii="Arial" w:hAnsi="Arial" w:eastAsia="宋体" w:cs="Arial"/>
          <w:spacing w:val="10"/>
          <w:sz w:val="24"/>
        </w:rPr>
        <w:t>，缓冲区面积56.40hm</w:t>
      </w:r>
      <w:r>
        <w:rPr>
          <w:rFonts w:ascii="Arial" w:hAnsi="Arial" w:eastAsia="宋体" w:cs="Arial"/>
          <w:spacing w:val="10"/>
          <w:sz w:val="24"/>
          <w:vertAlign w:val="superscript"/>
        </w:rPr>
        <w:t>2</w:t>
      </w:r>
      <w:r>
        <w:rPr>
          <w:rFonts w:ascii="Arial" w:hAnsi="Arial" w:eastAsia="宋体" w:cs="Arial"/>
          <w:spacing w:val="10"/>
          <w:sz w:val="24"/>
        </w:rPr>
        <w:t>，实验区面积64.21hm</w:t>
      </w:r>
      <w:r>
        <w:rPr>
          <w:rFonts w:ascii="Arial" w:hAnsi="Arial" w:eastAsia="宋体" w:cs="Arial"/>
          <w:spacing w:val="10"/>
          <w:sz w:val="24"/>
          <w:vertAlign w:val="superscript"/>
        </w:rPr>
        <w:t>2</w:t>
      </w:r>
      <w:r>
        <w:rPr>
          <w:rFonts w:ascii="Arial" w:hAnsi="Arial" w:eastAsia="宋体" w:cs="Arial"/>
          <w:spacing w:val="10"/>
          <w:sz w:val="24"/>
        </w:rPr>
        <w:t>。</w:t>
      </w:r>
    </w:p>
    <w:p w14:paraId="6061AA6E">
      <w:pPr>
        <w:spacing w:line="500" w:lineRule="exact"/>
        <w:ind w:firstLine="480"/>
        <w:rPr>
          <w:rFonts w:ascii="Arial" w:hAnsi="Arial" w:eastAsia="宋体" w:cs="Arial"/>
          <w:spacing w:val="10"/>
          <w:sz w:val="24"/>
        </w:rPr>
      </w:pPr>
      <w:r>
        <w:rPr>
          <w:rFonts w:ascii="Arial" w:hAnsi="Arial" w:eastAsia="宋体" w:cs="Arial"/>
          <w:spacing w:val="10"/>
          <w:sz w:val="24"/>
        </w:rPr>
        <w:t>茅尾海红树林自治区级自然保护区保护区类型属于自然生态系统类海洋与海岸生态系统类型的自治区级自然保护区，自然保护区主要保护对象为红树林湿地生态系统。茅尾海红树林自治区级自然保护区是以保护红树林湿地生态系统为主，全面保护红树林生境、红树林湿地景观、湿地水禽等自然资源和自然环境，集保护、科研、教育、生态旅游和可持续利用等多功能于一体的综合性自然保护区。</w:t>
      </w:r>
    </w:p>
    <w:p w14:paraId="1DD4164E">
      <w:pPr>
        <w:spacing w:line="500" w:lineRule="exact"/>
        <w:ind w:firstLine="480"/>
        <w:rPr>
          <w:rFonts w:ascii="Arial" w:hAnsi="Arial" w:eastAsia="宋体" w:cs="Arial"/>
          <w:spacing w:val="10"/>
          <w:sz w:val="24"/>
        </w:rPr>
      </w:pPr>
      <w:r>
        <w:rPr>
          <w:rFonts w:ascii="Arial" w:hAnsi="Arial" w:eastAsia="宋体" w:cs="Arial"/>
          <w:spacing w:val="10"/>
          <w:sz w:val="24"/>
        </w:rPr>
        <w:t>根据广西茅尾海红树林自治区级自然保护区范围与功能区调整图，项目</w:t>
      </w:r>
      <w:r>
        <w:rPr>
          <w:rFonts w:hint="eastAsia" w:ascii="Arial" w:hAnsi="Arial" w:eastAsia="宋体" w:cs="Arial"/>
          <w:spacing w:val="10"/>
          <w:sz w:val="24"/>
        </w:rPr>
        <w:t>厂区</w:t>
      </w:r>
      <w:r>
        <w:rPr>
          <w:rFonts w:ascii="Arial" w:hAnsi="Arial" w:eastAsia="宋体" w:cs="Arial"/>
          <w:spacing w:val="10"/>
          <w:sz w:val="24"/>
        </w:rPr>
        <w:t>与七十二泾片区最近距离约</w:t>
      </w:r>
      <w:r>
        <w:rPr>
          <w:rFonts w:hint="eastAsia" w:ascii="Arial" w:hAnsi="Arial" w:eastAsia="宋体" w:cs="Arial"/>
          <w:spacing w:val="10"/>
          <w:sz w:val="24"/>
        </w:rPr>
        <w:t>8.2</w:t>
      </w:r>
      <w:r>
        <w:rPr>
          <w:rFonts w:ascii="Arial" w:hAnsi="Arial" w:eastAsia="宋体" w:cs="Arial"/>
          <w:spacing w:val="10"/>
          <w:sz w:val="24"/>
        </w:rPr>
        <w:t>km。</w:t>
      </w:r>
    </w:p>
    <w:p w14:paraId="6C6867BB">
      <w:pPr>
        <w:numPr>
          <w:ilvl w:val="0"/>
          <w:numId w:val="14"/>
        </w:numPr>
        <w:spacing w:line="500" w:lineRule="exact"/>
        <w:outlineLvl w:val="3"/>
        <w:rPr>
          <w:rFonts w:ascii="Arial" w:hAnsi="Arial" w:eastAsia="宋体" w:cs="Arial"/>
          <w:b/>
          <w:spacing w:val="10"/>
          <w:sz w:val="24"/>
        </w:rPr>
      </w:pPr>
      <w:r>
        <w:rPr>
          <w:rFonts w:ascii="Arial" w:hAnsi="Arial" w:eastAsia="宋体" w:cs="Arial"/>
          <w:b/>
          <w:spacing w:val="10"/>
          <w:sz w:val="24"/>
        </w:rPr>
        <w:t>七十二泾旅游风景区</w:t>
      </w:r>
    </w:p>
    <w:p w14:paraId="7C605004">
      <w:pPr>
        <w:spacing w:line="500" w:lineRule="exact"/>
        <w:ind w:firstLine="480"/>
        <w:rPr>
          <w:rFonts w:ascii="Arial" w:hAnsi="Arial" w:eastAsia="宋体" w:cs="Arial"/>
          <w:spacing w:val="10"/>
          <w:sz w:val="24"/>
        </w:rPr>
      </w:pPr>
      <w:r>
        <w:rPr>
          <w:rFonts w:ascii="Arial" w:hAnsi="Arial" w:eastAsia="宋体" w:cs="Arial"/>
          <w:spacing w:val="10"/>
          <w:sz w:val="24"/>
        </w:rPr>
        <w:t>七十二泾旅游风景区位于钦州港经济技术开发区西北部，钦州著名的茅尾海内，距钦州市区约 25 公里，北起钦江出海口——沙井港，南至钦州湾内海的门户——三墩，是集自然景观和人文景观于一体的综合性生态旅游胜地。</w:t>
      </w:r>
    </w:p>
    <w:p w14:paraId="15EA96A0">
      <w:pPr>
        <w:spacing w:line="500" w:lineRule="exact"/>
        <w:ind w:firstLine="480"/>
        <w:rPr>
          <w:rFonts w:ascii="Arial" w:hAnsi="Arial" w:eastAsia="宋体" w:cs="Arial"/>
          <w:spacing w:val="10"/>
          <w:sz w:val="24"/>
        </w:rPr>
      </w:pPr>
      <w:r>
        <w:rPr>
          <w:rFonts w:ascii="Arial" w:hAnsi="Arial" w:eastAsia="宋体" w:cs="Arial"/>
          <w:spacing w:val="10"/>
          <w:sz w:val="24"/>
        </w:rPr>
        <w:t>七十二泾是龙门港内海中的一片小岛群，长宽跨度约为 10 公里，共有大小岛屿 100多个，总面积约 9.8km 2 。各个岛屿表面风化强烈，多由志留系与侏罗粉砂岩和页岩构成，这些小岛屿使这一片海域形成无数环往复、曲折多变的水道，这些水道，被称为“泾”，“七十二泾”，是形容其多。自明清以来七十二泾就一直是钦州八景之一，古有“南国蓬莱”之称，今人们称之为“小澎湖”，可与中国台湾省的澎湖列岛相媲美。七十二泾区内还有近万亩连片生长的，被誉为海底活化石的红树林，青翠的红树林与湛蓝的海水相辉映，景色非常别致。</w:t>
      </w:r>
    </w:p>
    <w:p w14:paraId="63A144A0">
      <w:pPr>
        <w:spacing w:line="500" w:lineRule="exact"/>
        <w:ind w:firstLine="480"/>
        <w:rPr>
          <w:rFonts w:ascii="Arial" w:hAnsi="Arial" w:eastAsia="宋体" w:cs="Arial"/>
          <w:spacing w:val="10"/>
          <w:sz w:val="24"/>
        </w:rPr>
      </w:pPr>
      <w:r>
        <w:rPr>
          <w:rFonts w:ascii="Arial" w:hAnsi="Arial" w:eastAsia="宋体" w:cs="Arial"/>
          <w:spacing w:val="10"/>
          <w:sz w:val="24"/>
        </w:rPr>
        <w:t>岛上既有军港，也有颇具规模的渔港，所产大蚝、青蟹、对虾、石斑鱼是为“四大名产”，远销海内外。此外还有世界上最大的孙中山铜像以及仙岛公园、亚公山、鳄鱼石、麻兰岛、六墩岛等许多景点。</w:t>
      </w:r>
    </w:p>
    <w:p w14:paraId="3CD2996C">
      <w:pPr>
        <w:spacing w:line="500" w:lineRule="exact"/>
        <w:ind w:firstLine="480"/>
        <w:rPr>
          <w:rFonts w:ascii="Arial" w:hAnsi="Arial" w:eastAsia="宋体" w:cs="Arial"/>
          <w:spacing w:val="10"/>
          <w:sz w:val="24"/>
        </w:rPr>
      </w:pPr>
      <w:r>
        <w:rPr>
          <w:rFonts w:ascii="Arial" w:hAnsi="Arial" w:eastAsia="宋体" w:cs="Arial"/>
          <w:spacing w:val="10"/>
          <w:sz w:val="24"/>
        </w:rPr>
        <w:t>项目位于七十二泾旅游风景区东南面约8.</w:t>
      </w:r>
      <w:r>
        <w:rPr>
          <w:rFonts w:hint="eastAsia" w:ascii="Arial" w:hAnsi="Arial" w:eastAsia="宋体" w:cs="Arial"/>
          <w:spacing w:val="10"/>
          <w:sz w:val="24"/>
        </w:rPr>
        <w:t>2</w:t>
      </w:r>
      <w:r>
        <w:rPr>
          <w:rFonts w:ascii="Arial" w:hAnsi="Arial" w:eastAsia="宋体" w:cs="Arial"/>
          <w:spacing w:val="10"/>
          <w:sz w:val="24"/>
        </w:rPr>
        <w:t>km。</w:t>
      </w:r>
    </w:p>
    <w:p w14:paraId="7654A244">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ascii="Arial" w:hAnsi="Arial" w:eastAsia="宋体" w:cs="Arial"/>
          <w:b/>
          <w:bCs/>
          <w:sz w:val="24"/>
        </w:rPr>
        <w:t>周边饮用水源调查</w:t>
      </w:r>
    </w:p>
    <w:p w14:paraId="27E20955">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据调查，项目周边居民饮用水为自来水，由钦州港水厂供水，水源为金窝水库。</w:t>
      </w:r>
    </w:p>
    <w:p w14:paraId="258CDAD2">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1、金窝水库饮用水水源保护区概况</w:t>
      </w:r>
    </w:p>
    <w:p w14:paraId="27B37512">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根据《广西壮族自治区人民政府关于同意调整钦州市有关饮用水水源保护区的批复》（桂政函〔2020〕87号），钦州市金窝水库饮用水水源保护区范围如下：</w:t>
      </w:r>
    </w:p>
    <w:p w14:paraId="2A9EF1A8">
      <w:pPr>
        <w:adjustRightInd w:val="0"/>
        <w:snapToGrid w:val="0"/>
        <w:spacing w:line="500" w:lineRule="exact"/>
        <w:ind w:firstLine="476"/>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一级保护区</w:t>
      </w:r>
    </w:p>
    <w:p w14:paraId="2EA983C3">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水域范围：金窝水库钦州沿海工业园区取水口半径1380米范围内多年平均水位对应的高程线以下的全部水域；金窝水库第三水厂取水口半径300米范围内多年平均水位对应的高程线以下的全部水域；企山水库多年平均水位对应的高程线以下的全部水域。水域面积：0.6平方公里。</w:t>
      </w:r>
    </w:p>
    <w:p w14:paraId="38309F7D">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陆域范围：一级保护区水域外200米范围内的陆域，但不超过流域分水岭范围。陆域面积：2.67平方公里。</w:t>
      </w:r>
    </w:p>
    <w:p w14:paraId="3C635B79">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一级保护区总面积：3.27平方公里。</w:t>
      </w:r>
    </w:p>
    <w:p w14:paraId="4AB8FB5C">
      <w:pPr>
        <w:adjustRightInd w:val="0"/>
        <w:snapToGrid w:val="0"/>
        <w:spacing w:line="500" w:lineRule="exact"/>
        <w:ind w:firstLine="476"/>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二级保护区</w:t>
      </w:r>
    </w:p>
    <w:p w14:paraId="358FE06C">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水域范围：金窝水库一级保护区水域外多年平均水位对应的高程线以下的全部水域。水域面积：5.41平方公里。</w:t>
      </w:r>
    </w:p>
    <w:p w14:paraId="6BA16D91">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陆域范围：金窝水库、企山水库全部汇水区域(一级保护区陆域除外)；大风江连通渠长度为金窝水库与该连通渠交汇口向上延伸2000米，宽度为该连通渠水域沿岸纵深200米的陆域。陆域面积：22.09平方公里。</w:t>
      </w:r>
    </w:p>
    <w:p w14:paraId="2AF547D1">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二级保护区总面积：27.5平方公里。</w:t>
      </w:r>
    </w:p>
    <w:p w14:paraId="1ED0E562">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2、项目与金窝水库水源保护区位置关系</w:t>
      </w:r>
    </w:p>
    <w:p w14:paraId="4EFCACE1">
      <w:pPr>
        <w:adjustRightInd w:val="0"/>
        <w:snapToGrid w:val="0"/>
        <w:spacing w:line="500" w:lineRule="exact"/>
        <w:ind w:firstLine="476"/>
        <w:rPr>
          <w:rFonts w:ascii="Arial" w:hAnsi="Arial" w:eastAsia="宋体" w:cs="Arial"/>
          <w:spacing w:val="10"/>
          <w:sz w:val="24"/>
        </w:rPr>
      </w:pPr>
      <w:r>
        <w:rPr>
          <w:rFonts w:ascii="Arial" w:hAnsi="Arial" w:eastAsia="宋体" w:cs="Arial"/>
          <w:spacing w:val="10"/>
          <w:sz w:val="24"/>
        </w:rPr>
        <w:t>项目位于金窝水库西南面，与金窝水库水源保护区最近距离约4km，与金窝水库无水力联系。</w:t>
      </w:r>
    </w:p>
    <w:p w14:paraId="4E810A21">
      <w:pPr>
        <w:keepNext/>
        <w:keepLines/>
        <w:numPr>
          <w:ilvl w:val="2"/>
          <w:numId w:val="11"/>
        </w:numPr>
        <w:tabs>
          <w:tab w:val="left" w:pos="1080"/>
          <w:tab w:val="left" w:pos="1789"/>
        </w:tabs>
        <w:spacing w:before="120" w:after="120" w:line="400" w:lineRule="exact"/>
        <w:outlineLvl w:val="2"/>
        <w:rPr>
          <w:rFonts w:ascii="Arial" w:hAnsi="Arial" w:eastAsia="宋体" w:cs="Arial"/>
          <w:b/>
          <w:bCs/>
          <w:sz w:val="24"/>
        </w:rPr>
      </w:pPr>
      <w:r>
        <w:rPr>
          <w:rFonts w:ascii="Arial" w:hAnsi="Arial" w:eastAsia="宋体" w:cs="Arial"/>
          <w:b/>
          <w:bCs/>
          <w:sz w:val="24"/>
        </w:rPr>
        <w:t>区域现状污染源调查</w:t>
      </w:r>
    </w:p>
    <w:p w14:paraId="476E7E63">
      <w:pPr>
        <w:numPr>
          <w:ilvl w:val="0"/>
          <w:numId w:val="15"/>
        </w:numPr>
        <w:spacing w:line="500" w:lineRule="exact"/>
        <w:outlineLvl w:val="3"/>
        <w:rPr>
          <w:rFonts w:ascii="Arial" w:hAnsi="Arial" w:eastAsia="宋体" w:cs="Arial"/>
          <w:b/>
          <w:spacing w:val="10"/>
          <w:sz w:val="24"/>
        </w:rPr>
      </w:pPr>
      <w:r>
        <w:rPr>
          <w:rFonts w:ascii="Arial" w:hAnsi="Arial" w:eastAsia="宋体" w:cs="Arial"/>
          <w:b/>
          <w:spacing w:val="10"/>
          <w:sz w:val="24"/>
        </w:rPr>
        <w:t>大气污染源调查</w:t>
      </w:r>
    </w:p>
    <w:p w14:paraId="74F3731B">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1、现有污染源</w:t>
      </w:r>
    </w:p>
    <w:p w14:paraId="3A93B62A">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项目</w:t>
      </w:r>
      <w:r>
        <w:rPr>
          <w:rFonts w:hint="eastAsia" w:ascii="Arial" w:hAnsi="Arial" w:eastAsia="宋体" w:cs="Arial"/>
          <w:spacing w:val="10"/>
          <w:kern w:val="0"/>
          <w:sz w:val="24"/>
          <w:szCs w:val="24"/>
        </w:rPr>
        <w:t>属新建项目，不调查现有污染源</w:t>
      </w:r>
      <w:r>
        <w:rPr>
          <w:rFonts w:ascii="Arial" w:hAnsi="Arial" w:eastAsia="宋体" w:cs="Arial"/>
          <w:spacing w:val="10"/>
          <w:kern w:val="0"/>
          <w:sz w:val="24"/>
          <w:szCs w:val="24"/>
        </w:rPr>
        <w:t>。</w:t>
      </w:r>
    </w:p>
    <w:p w14:paraId="4FC03DB4">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2、被替代污染源</w:t>
      </w:r>
    </w:p>
    <w:p w14:paraId="1D0BF111">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区域无削减污染源。</w:t>
      </w:r>
    </w:p>
    <w:p w14:paraId="6E2BE85F">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3、评价范围与项目排放污染物有关的在建、拟建项目污染源</w:t>
      </w:r>
    </w:p>
    <w:p w14:paraId="257E847E">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目前，项目大气评价范围内与项目排放同类污染物的在建、拟建项目主要有：中伟的</w:t>
      </w:r>
      <w:r>
        <w:rPr>
          <w:rFonts w:hint="eastAsia" w:ascii="Arial" w:hAnsi="Arial" w:eastAsia="宋体" w:cs="Arial"/>
          <w:spacing w:val="10"/>
          <w:kern w:val="0"/>
          <w:sz w:val="24"/>
          <w:szCs w:val="24"/>
        </w:rPr>
        <w:t>一阶段项目、</w:t>
      </w:r>
      <w:r>
        <w:rPr>
          <w:rFonts w:ascii="Arial" w:hAnsi="Arial" w:eastAsia="宋体" w:cs="Arial"/>
          <w:spacing w:val="10"/>
          <w:kern w:val="0"/>
          <w:sz w:val="24"/>
          <w:szCs w:val="24"/>
        </w:rPr>
        <w:t>三阶段项目、一体化</w:t>
      </w:r>
      <w:r>
        <w:rPr>
          <w:rFonts w:hint="eastAsia" w:ascii="Arial" w:hAnsi="Arial" w:eastAsia="宋体" w:cs="Arial"/>
          <w:spacing w:val="10"/>
          <w:kern w:val="0"/>
          <w:sz w:val="24"/>
          <w:szCs w:val="24"/>
        </w:rPr>
        <w:t>变更</w:t>
      </w:r>
      <w:r>
        <w:rPr>
          <w:rFonts w:ascii="Arial" w:hAnsi="Arial" w:eastAsia="宋体" w:cs="Arial"/>
          <w:spacing w:val="10"/>
          <w:kern w:val="0"/>
          <w:sz w:val="24"/>
          <w:szCs w:val="24"/>
        </w:rPr>
        <w:t>项目、燃气锅炉项目、</w:t>
      </w:r>
      <w:r>
        <w:rPr>
          <w:rFonts w:hint="eastAsia" w:ascii="Arial" w:hAnsi="Arial" w:eastAsia="宋体" w:cs="Arial"/>
          <w:spacing w:val="10"/>
          <w:kern w:val="0"/>
          <w:sz w:val="24"/>
          <w:szCs w:val="24"/>
        </w:rPr>
        <w:t>氨水项目、氢氧化钴技改项目</w:t>
      </w:r>
      <w:r>
        <w:rPr>
          <w:rFonts w:ascii="Arial" w:hAnsi="Arial" w:eastAsia="宋体" w:cs="Arial"/>
          <w:spacing w:val="10"/>
          <w:kern w:val="0"/>
          <w:sz w:val="24"/>
          <w:szCs w:val="24"/>
        </w:rPr>
        <w:t>；广西金桂浆纸业有限公司年产75万吨化机浆扩建项目；广西格派电池新材料有限公司格派新能源电池材料一体化项目（一期）</w:t>
      </w:r>
      <w:r>
        <w:rPr>
          <w:rFonts w:hint="eastAsia" w:ascii="Arial" w:hAnsi="Arial" w:eastAsia="宋体" w:cs="Arial"/>
          <w:spacing w:val="10"/>
          <w:kern w:val="0"/>
          <w:sz w:val="24"/>
          <w:szCs w:val="24"/>
        </w:rPr>
        <w:t>、广西自贸区元禾新材料有限公司年产10万吨玻璃基板原材料碳酸镁项目</w:t>
      </w:r>
      <w:r>
        <w:rPr>
          <w:rFonts w:ascii="Arial" w:hAnsi="Arial" w:eastAsia="宋体" w:cs="Arial"/>
          <w:spacing w:val="10"/>
          <w:kern w:val="0"/>
          <w:sz w:val="24"/>
          <w:szCs w:val="24"/>
        </w:rPr>
        <w:t>，其污染源详见表4-1</w:t>
      </w:r>
      <w:r>
        <w:rPr>
          <w:rFonts w:hint="eastAsia" w:ascii="Arial" w:hAnsi="Arial" w:eastAsia="宋体" w:cs="Arial"/>
          <w:spacing w:val="10"/>
          <w:kern w:val="0"/>
          <w:sz w:val="24"/>
          <w:szCs w:val="24"/>
        </w:rPr>
        <w:t>0、表4-11</w:t>
      </w:r>
      <w:r>
        <w:rPr>
          <w:rFonts w:ascii="Arial" w:hAnsi="Arial" w:eastAsia="宋体" w:cs="Arial"/>
          <w:spacing w:val="10"/>
          <w:kern w:val="0"/>
          <w:sz w:val="24"/>
          <w:szCs w:val="24"/>
        </w:rPr>
        <w:t>。</w:t>
      </w:r>
    </w:p>
    <w:p w14:paraId="01AD928B">
      <w:pPr>
        <w:numPr>
          <w:ilvl w:val="0"/>
          <w:numId w:val="15"/>
        </w:numPr>
        <w:spacing w:line="500" w:lineRule="exact"/>
        <w:outlineLvl w:val="3"/>
        <w:rPr>
          <w:rFonts w:ascii="Arial" w:hAnsi="Arial" w:eastAsia="宋体" w:cs="Arial"/>
          <w:b/>
          <w:spacing w:val="10"/>
          <w:sz w:val="24"/>
        </w:rPr>
      </w:pPr>
      <w:r>
        <w:rPr>
          <w:rFonts w:ascii="Arial" w:hAnsi="Arial" w:eastAsia="宋体" w:cs="Arial"/>
          <w:b/>
          <w:spacing w:val="10"/>
          <w:sz w:val="24"/>
        </w:rPr>
        <w:t>水污染源调查</w:t>
      </w:r>
    </w:p>
    <w:p w14:paraId="7ADB9DE2">
      <w:pPr>
        <w:spacing w:line="500" w:lineRule="exact"/>
        <w:ind w:firstLine="490" w:firstLineChars="200"/>
        <w:rPr>
          <w:rFonts w:ascii="Arial" w:hAnsi="Arial" w:eastAsia="宋体" w:cs="Arial"/>
          <w:spacing w:val="10"/>
          <w:kern w:val="0"/>
          <w:sz w:val="24"/>
          <w:szCs w:val="24"/>
        </w:rPr>
      </w:pPr>
      <w:r>
        <w:rPr>
          <w:rFonts w:ascii="Arial" w:hAnsi="Arial" w:eastAsia="宋体" w:cs="Arial"/>
          <w:spacing w:val="10"/>
          <w:kern w:val="0"/>
          <w:sz w:val="24"/>
          <w:szCs w:val="24"/>
        </w:rPr>
        <w:t>根据调查，评价范围内现状主要企业有广西中伟新能源科技有限公司、广西金桂浆纸业有限公司、大榄坪污水处理厂等企业。其现状污染物排放情况具体详见表3-1。</w:t>
      </w:r>
    </w:p>
    <w:p w14:paraId="5644DA91">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区域企业废水污染源排放情况</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4327"/>
        <w:gridCol w:w="1800"/>
        <w:gridCol w:w="1123"/>
        <w:gridCol w:w="1083"/>
      </w:tblGrid>
      <w:tr w14:paraId="7EDDA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shd w:val="clear" w:color="auto" w:fill="auto"/>
            <w:vAlign w:val="center"/>
          </w:tcPr>
          <w:p w14:paraId="2A81D9FF">
            <w:pPr>
              <w:topLinePunct/>
              <w:autoSpaceDE w:val="0"/>
              <w:autoSpaceDN w:val="0"/>
              <w:adjustRightInd w:val="0"/>
              <w:snapToGrid w:val="0"/>
              <w:jc w:val="center"/>
              <w:rPr>
                <w:rFonts w:ascii="Arial" w:hAnsi="Arial" w:eastAsia="宋体" w:cs="Arial"/>
                <w:b/>
                <w:bCs/>
                <w:sz w:val="21"/>
                <w:szCs w:val="24"/>
              </w:rPr>
            </w:pPr>
            <w:r>
              <w:rPr>
                <w:rFonts w:ascii="Arial" w:hAnsi="Arial" w:eastAsia="宋体" w:cs="Arial"/>
                <w:b/>
                <w:bCs/>
                <w:sz w:val="21"/>
                <w:szCs w:val="24"/>
              </w:rPr>
              <w:t>序号</w:t>
            </w:r>
          </w:p>
        </w:tc>
        <w:tc>
          <w:tcPr>
            <w:tcW w:w="4536" w:type="dxa"/>
            <w:shd w:val="clear" w:color="auto" w:fill="auto"/>
            <w:vAlign w:val="center"/>
          </w:tcPr>
          <w:p w14:paraId="5294E600">
            <w:pPr>
              <w:topLinePunct/>
              <w:autoSpaceDE w:val="0"/>
              <w:autoSpaceDN w:val="0"/>
              <w:adjustRightInd w:val="0"/>
              <w:snapToGrid w:val="0"/>
              <w:jc w:val="center"/>
              <w:rPr>
                <w:rFonts w:ascii="Arial" w:hAnsi="Arial" w:eastAsia="宋体" w:cs="Arial"/>
                <w:b/>
                <w:bCs/>
                <w:sz w:val="21"/>
                <w:szCs w:val="24"/>
              </w:rPr>
            </w:pPr>
            <w:r>
              <w:rPr>
                <w:rFonts w:ascii="Arial" w:hAnsi="Arial" w:eastAsia="宋体" w:cs="Arial"/>
                <w:b/>
                <w:bCs/>
                <w:sz w:val="21"/>
                <w:szCs w:val="24"/>
              </w:rPr>
              <w:t>企业名称</w:t>
            </w:r>
          </w:p>
        </w:tc>
        <w:tc>
          <w:tcPr>
            <w:tcW w:w="1843" w:type="dxa"/>
            <w:shd w:val="clear" w:color="auto" w:fill="auto"/>
            <w:vAlign w:val="center"/>
          </w:tcPr>
          <w:p w14:paraId="35486A16">
            <w:pPr>
              <w:topLinePunct/>
              <w:autoSpaceDE w:val="0"/>
              <w:autoSpaceDN w:val="0"/>
              <w:adjustRightInd w:val="0"/>
              <w:snapToGrid w:val="0"/>
              <w:jc w:val="center"/>
              <w:rPr>
                <w:rFonts w:ascii="Arial" w:hAnsi="Arial" w:eastAsia="宋体" w:cs="Arial"/>
                <w:b/>
                <w:bCs/>
                <w:sz w:val="21"/>
                <w:szCs w:val="24"/>
              </w:rPr>
            </w:pPr>
            <w:r>
              <w:rPr>
                <w:rFonts w:ascii="Arial" w:hAnsi="Arial" w:eastAsia="宋体" w:cs="Arial"/>
                <w:b/>
                <w:bCs/>
                <w:sz w:val="21"/>
                <w:szCs w:val="24"/>
              </w:rPr>
              <w:t>废水量（万吨/年）</w:t>
            </w:r>
          </w:p>
        </w:tc>
        <w:tc>
          <w:tcPr>
            <w:tcW w:w="1134" w:type="dxa"/>
            <w:shd w:val="clear" w:color="auto" w:fill="auto"/>
            <w:vAlign w:val="center"/>
          </w:tcPr>
          <w:p w14:paraId="361AB0E6">
            <w:pPr>
              <w:topLinePunct/>
              <w:autoSpaceDE w:val="0"/>
              <w:autoSpaceDN w:val="0"/>
              <w:adjustRightInd w:val="0"/>
              <w:snapToGrid w:val="0"/>
              <w:jc w:val="center"/>
              <w:rPr>
                <w:rFonts w:ascii="Arial" w:hAnsi="Arial" w:eastAsia="宋体" w:cs="Arial"/>
                <w:b/>
                <w:bCs/>
                <w:sz w:val="21"/>
                <w:szCs w:val="24"/>
              </w:rPr>
            </w:pPr>
            <w:r>
              <w:rPr>
                <w:rFonts w:ascii="Arial" w:hAnsi="Arial" w:eastAsia="宋体" w:cs="Arial"/>
                <w:b/>
                <w:bCs/>
                <w:sz w:val="21"/>
                <w:szCs w:val="24"/>
              </w:rPr>
              <w:t>COD（t/a）</w:t>
            </w:r>
          </w:p>
        </w:tc>
        <w:tc>
          <w:tcPr>
            <w:tcW w:w="1098" w:type="dxa"/>
            <w:shd w:val="clear" w:color="auto" w:fill="auto"/>
            <w:vAlign w:val="center"/>
          </w:tcPr>
          <w:p w14:paraId="39013867">
            <w:pPr>
              <w:topLinePunct/>
              <w:autoSpaceDE w:val="0"/>
              <w:autoSpaceDN w:val="0"/>
              <w:adjustRightInd w:val="0"/>
              <w:snapToGrid w:val="0"/>
              <w:jc w:val="center"/>
              <w:rPr>
                <w:rFonts w:ascii="Arial" w:hAnsi="Arial" w:eastAsia="宋体" w:cs="Arial"/>
                <w:b/>
                <w:bCs/>
                <w:sz w:val="21"/>
                <w:szCs w:val="24"/>
              </w:rPr>
            </w:pPr>
            <w:r>
              <w:rPr>
                <w:rFonts w:ascii="Arial" w:hAnsi="Arial" w:eastAsia="宋体" w:cs="Arial"/>
                <w:b/>
                <w:bCs/>
                <w:sz w:val="21"/>
                <w:szCs w:val="24"/>
              </w:rPr>
              <w:t>氨氮（t/a）</w:t>
            </w:r>
          </w:p>
        </w:tc>
      </w:tr>
      <w:tr w14:paraId="21007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shd w:val="clear" w:color="auto" w:fill="auto"/>
            <w:vAlign w:val="center"/>
          </w:tcPr>
          <w:p w14:paraId="1771D34C">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w:t>
            </w:r>
          </w:p>
        </w:tc>
        <w:tc>
          <w:tcPr>
            <w:tcW w:w="4536" w:type="dxa"/>
            <w:shd w:val="clear" w:color="auto" w:fill="auto"/>
            <w:vAlign w:val="center"/>
          </w:tcPr>
          <w:p w14:paraId="04C3D252">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广西天宜环境科技有限公司（一期）</w:t>
            </w:r>
          </w:p>
        </w:tc>
        <w:tc>
          <w:tcPr>
            <w:tcW w:w="1843" w:type="dxa"/>
            <w:shd w:val="clear" w:color="auto" w:fill="auto"/>
            <w:vAlign w:val="center"/>
          </w:tcPr>
          <w:p w14:paraId="676840B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1575</w:t>
            </w:r>
          </w:p>
        </w:tc>
        <w:tc>
          <w:tcPr>
            <w:tcW w:w="1134" w:type="dxa"/>
            <w:shd w:val="clear" w:color="auto" w:fill="auto"/>
            <w:vAlign w:val="center"/>
          </w:tcPr>
          <w:p w14:paraId="2588B8A1">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882</w:t>
            </w:r>
          </w:p>
        </w:tc>
        <w:tc>
          <w:tcPr>
            <w:tcW w:w="1098" w:type="dxa"/>
            <w:shd w:val="clear" w:color="auto" w:fill="auto"/>
            <w:vAlign w:val="center"/>
          </w:tcPr>
          <w:p w14:paraId="091FB8C8">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96</w:t>
            </w:r>
          </w:p>
        </w:tc>
      </w:tr>
      <w:tr w14:paraId="0D930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shd w:val="clear" w:color="auto" w:fill="auto"/>
            <w:vAlign w:val="center"/>
          </w:tcPr>
          <w:p w14:paraId="2AF9A81D">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2</w:t>
            </w:r>
          </w:p>
        </w:tc>
        <w:tc>
          <w:tcPr>
            <w:tcW w:w="4536" w:type="dxa"/>
            <w:shd w:val="clear" w:color="auto" w:fill="auto"/>
            <w:vAlign w:val="center"/>
          </w:tcPr>
          <w:p w14:paraId="46B32219">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广西天宜环境科技有限公司（二期）</w:t>
            </w:r>
          </w:p>
        </w:tc>
        <w:tc>
          <w:tcPr>
            <w:tcW w:w="1843" w:type="dxa"/>
            <w:shd w:val="clear" w:color="auto" w:fill="auto"/>
            <w:vAlign w:val="center"/>
          </w:tcPr>
          <w:p w14:paraId="612FF072">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875</w:t>
            </w:r>
          </w:p>
        </w:tc>
        <w:tc>
          <w:tcPr>
            <w:tcW w:w="1134" w:type="dxa"/>
            <w:shd w:val="clear" w:color="auto" w:fill="auto"/>
            <w:vAlign w:val="center"/>
          </w:tcPr>
          <w:p w14:paraId="07283DA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475.8</w:t>
            </w:r>
          </w:p>
        </w:tc>
        <w:tc>
          <w:tcPr>
            <w:tcW w:w="1098" w:type="dxa"/>
            <w:shd w:val="clear" w:color="auto" w:fill="auto"/>
            <w:vAlign w:val="center"/>
          </w:tcPr>
          <w:p w14:paraId="2DD2DDC8">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56.5</w:t>
            </w:r>
          </w:p>
        </w:tc>
      </w:tr>
      <w:tr w14:paraId="2892B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shd w:val="clear" w:color="auto" w:fill="auto"/>
            <w:vAlign w:val="center"/>
          </w:tcPr>
          <w:p w14:paraId="5BFAD231">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w:t>
            </w:r>
          </w:p>
        </w:tc>
        <w:tc>
          <w:tcPr>
            <w:tcW w:w="4536" w:type="dxa"/>
            <w:shd w:val="clear" w:color="auto" w:fill="auto"/>
            <w:vAlign w:val="center"/>
          </w:tcPr>
          <w:p w14:paraId="405E8994">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钦州胜科水务有限公司</w:t>
            </w:r>
          </w:p>
        </w:tc>
        <w:tc>
          <w:tcPr>
            <w:tcW w:w="1843" w:type="dxa"/>
            <w:shd w:val="clear" w:color="auto" w:fill="auto"/>
            <w:vAlign w:val="center"/>
          </w:tcPr>
          <w:p w14:paraId="05D0BC33">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w:t>
            </w:r>
          </w:p>
        </w:tc>
        <w:tc>
          <w:tcPr>
            <w:tcW w:w="1134" w:type="dxa"/>
            <w:shd w:val="clear" w:color="auto" w:fill="auto"/>
            <w:vAlign w:val="center"/>
          </w:tcPr>
          <w:p w14:paraId="33D0A44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574.5</w:t>
            </w:r>
          </w:p>
        </w:tc>
        <w:tc>
          <w:tcPr>
            <w:tcW w:w="1098" w:type="dxa"/>
            <w:shd w:val="clear" w:color="auto" w:fill="auto"/>
            <w:vAlign w:val="center"/>
          </w:tcPr>
          <w:p w14:paraId="663C0B84">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82.125</w:t>
            </w:r>
          </w:p>
        </w:tc>
      </w:tr>
      <w:tr w14:paraId="136F5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shd w:val="clear" w:color="auto" w:fill="auto"/>
            <w:vAlign w:val="center"/>
          </w:tcPr>
          <w:p w14:paraId="1F65786F">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w:t>
            </w:r>
          </w:p>
        </w:tc>
        <w:tc>
          <w:tcPr>
            <w:tcW w:w="4536" w:type="dxa"/>
            <w:shd w:val="clear" w:color="auto" w:fill="auto"/>
            <w:vAlign w:val="center"/>
          </w:tcPr>
          <w:p w14:paraId="12C9F7F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广西恒逸环境科技有限公司</w:t>
            </w:r>
          </w:p>
        </w:tc>
        <w:tc>
          <w:tcPr>
            <w:tcW w:w="1843" w:type="dxa"/>
            <w:shd w:val="clear" w:color="auto" w:fill="auto"/>
            <w:vAlign w:val="center"/>
          </w:tcPr>
          <w:p w14:paraId="693B918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438</w:t>
            </w:r>
          </w:p>
        </w:tc>
        <w:tc>
          <w:tcPr>
            <w:tcW w:w="1134" w:type="dxa"/>
            <w:shd w:val="clear" w:color="auto" w:fill="auto"/>
            <w:vAlign w:val="center"/>
          </w:tcPr>
          <w:p w14:paraId="2D4BDCF6">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438</w:t>
            </w:r>
          </w:p>
        </w:tc>
        <w:tc>
          <w:tcPr>
            <w:tcW w:w="1098" w:type="dxa"/>
            <w:shd w:val="clear" w:color="auto" w:fill="auto"/>
            <w:vAlign w:val="center"/>
          </w:tcPr>
          <w:p w14:paraId="5268A42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35.04</w:t>
            </w:r>
          </w:p>
        </w:tc>
      </w:tr>
      <w:tr w14:paraId="4E2EB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shd w:val="clear" w:color="auto" w:fill="auto"/>
            <w:vAlign w:val="center"/>
          </w:tcPr>
          <w:p w14:paraId="31993311">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5</w:t>
            </w:r>
          </w:p>
        </w:tc>
        <w:tc>
          <w:tcPr>
            <w:tcW w:w="4536" w:type="dxa"/>
            <w:shd w:val="clear" w:color="auto" w:fill="auto"/>
            <w:vAlign w:val="center"/>
          </w:tcPr>
          <w:p w14:paraId="5D48E645">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三墩污水处理厂</w:t>
            </w:r>
          </w:p>
        </w:tc>
        <w:tc>
          <w:tcPr>
            <w:tcW w:w="1843" w:type="dxa"/>
            <w:shd w:val="clear" w:color="auto" w:fill="auto"/>
            <w:vAlign w:val="center"/>
          </w:tcPr>
          <w:p w14:paraId="50B6CFC3">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1576.8</w:t>
            </w:r>
          </w:p>
        </w:tc>
        <w:tc>
          <w:tcPr>
            <w:tcW w:w="1134" w:type="dxa"/>
            <w:shd w:val="clear" w:color="auto" w:fill="auto"/>
            <w:vAlign w:val="center"/>
          </w:tcPr>
          <w:p w14:paraId="104D5EDC">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946.1</w:t>
            </w:r>
          </w:p>
        </w:tc>
        <w:tc>
          <w:tcPr>
            <w:tcW w:w="1098" w:type="dxa"/>
            <w:shd w:val="clear" w:color="auto" w:fill="auto"/>
            <w:vAlign w:val="center"/>
          </w:tcPr>
          <w:p w14:paraId="033CCA6F">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126.1</w:t>
            </w:r>
          </w:p>
        </w:tc>
      </w:tr>
      <w:tr w14:paraId="2054E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shd w:val="clear" w:color="auto" w:fill="auto"/>
            <w:vAlign w:val="center"/>
          </w:tcPr>
          <w:p w14:paraId="70B2CC21">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6</w:t>
            </w:r>
          </w:p>
        </w:tc>
        <w:tc>
          <w:tcPr>
            <w:tcW w:w="4536" w:type="dxa"/>
            <w:shd w:val="clear" w:color="auto" w:fill="auto"/>
            <w:vAlign w:val="center"/>
          </w:tcPr>
          <w:p w14:paraId="164DF6B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广西金桂浆纸业有限公司</w:t>
            </w:r>
          </w:p>
        </w:tc>
        <w:tc>
          <w:tcPr>
            <w:tcW w:w="1843" w:type="dxa"/>
            <w:shd w:val="clear" w:color="auto" w:fill="auto"/>
            <w:vAlign w:val="center"/>
          </w:tcPr>
          <w:p w14:paraId="47FF881A">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2910.618</w:t>
            </w:r>
          </w:p>
        </w:tc>
        <w:tc>
          <w:tcPr>
            <w:tcW w:w="1134" w:type="dxa"/>
            <w:shd w:val="clear" w:color="auto" w:fill="auto"/>
            <w:vAlign w:val="center"/>
          </w:tcPr>
          <w:p w14:paraId="31152650">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1940.8</w:t>
            </w:r>
          </w:p>
        </w:tc>
        <w:tc>
          <w:tcPr>
            <w:tcW w:w="1098" w:type="dxa"/>
            <w:shd w:val="clear" w:color="auto" w:fill="auto"/>
            <w:vAlign w:val="center"/>
          </w:tcPr>
          <w:p w14:paraId="136B8EE0">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37.8</w:t>
            </w:r>
          </w:p>
        </w:tc>
      </w:tr>
      <w:tr w14:paraId="6EC0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shd w:val="clear" w:color="auto" w:fill="auto"/>
            <w:vAlign w:val="center"/>
          </w:tcPr>
          <w:p w14:paraId="7492F563">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w:t>
            </w:r>
          </w:p>
        </w:tc>
        <w:tc>
          <w:tcPr>
            <w:tcW w:w="4536" w:type="dxa"/>
            <w:shd w:val="clear" w:color="auto" w:fill="auto"/>
            <w:vAlign w:val="center"/>
          </w:tcPr>
          <w:p w14:paraId="44DCD080">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大榄坪污水处理厂</w:t>
            </w:r>
          </w:p>
        </w:tc>
        <w:tc>
          <w:tcPr>
            <w:tcW w:w="1843" w:type="dxa"/>
            <w:shd w:val="clear" w:color="auto" w:fill="auto"/>
            <w:vAlign w:val="center"/>
          </w:tcPr>
          <w:p w14:paraId="663789F3">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1825</w:t>
            </w:r>
          </w:p>
        </w:tc>
        <w:tc>
          <w:tcPr>
            <w:tcW w:w="1134" w:type="dxa"/>
            <w:shd w:val="clear" w:color="auto" w:fill="auto"/>
            <w:vAlign w:val="center"/>
          </w:tcPr>
          <w:p w14:paraId="7BB42C1B">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1825</w:t>
            </w:r>
          </w:p>
        </w:tc>
        <w:tc>
          <w:tcPr>
            <w:tcW w:w="1098" w:type="dxa"/>
            <w:shd w:val="clear" w:color="auto" w:fill="auto"/>
            <w:vAlign w:val="center"/>
          </w:tcPr>
          <w:p w14:paraId="4A0CF92D">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456</w:t>
            </w:r>
          </w:p>
        </w:tc>
      </w:tr>
      <w:tr w14:paraId="5BF2A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5" w:type="dxa"/>
            <w:shd w:val="clear" w:color="auto" w:fill="auto"/>
            <w:vAlign w:val="center"/>
          </w:tcPr>
          <w:p w14:paraId="57C407BF">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8</w:t>
            </w:r>
          </w:p>
        </w:tc>
        <w:tc>
          <w:tcPr>
            <w:tcW w:w="4536" w:type="dxa"/>
            <w:shd w:val="clear" w:color="auto" w:fill="auto"/>
            <w:vAlign w:val="center"/>
          </w:tcPr>
          <w:p w14:paraId="166A1D68">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广西中伟新能源科技有限公司</w:t>
            </w:r>
          </w:p>
        </w:tc>
        <w:tc>
          <w:tcPr>
            <w:tcW w:w="1843" w:type="dxa"/>
            <w:shd w:val="clear" w:color="auto" w:fill="auto"/>
            <w:vAlign w:val="center"/>
          </w:tcPr>
          <w:p w14:paraId="7FF6CB49">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361.571</w:t>
            </w:r>
          </w:p>
        </w:tc>
        <w:tc>
          <w:tcPr>
            <w:tcW w:w="1134" w:type="dxa"/>
            <w:shd w:val="clear" w:color="auto" w:fill="auto"/>
            <w:vAlign w:val="center"/>
          </w:tcPr>
          <w:p w14:paraId="39E1ABAD">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122.831</w:t>
            </w:r>
          </w:p>
        </w:tc>
        <w:tc>
          <w:tcPr>
            <w:tcW w:w="1098" w:type="dxa"/>
            <w:shd w:val="clear" w:color="auto" w:fill="auto"/>
            <w:vAlign w:val="center"/>
          </w:tcPr>
          <w:p w14:paraId="2183E4F1">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31.899</w:t>
            </w:r>
          </w:p>
        </w:tc>
      </w:tr>
    </w:tbl>
    <w:p w14:paraId="0686B129">
      <w:pPr>
        <w:keepNext/>
        <w:keepLines/>
        <w:numPr>
          <w:ilvl w:val="1"/>
          <w:numId w:val="11"/>
        </w:numPr>
        <w:tabs>
          <w:tab w:val="left" w:pos="567"/>
          <w:tab w:val="left" w:pos="3217"/>
        </w:tabs>
        <w:spacing w:before="214" w:beforeLines="50" w:after="214" w:afterLines="50" w:line="500" w:lineRule="exact"/>
        <w:ind w:left="567"/>
        <w:outlineLvl w:val="1"/>
        <w:rPr>
          <w:rFonts w:ascii="Arial" w:hAnsi="Arial" w:eastAsia="宋体" w:cs="Arial"/>
          <w:b/>
        </w:rPr>
      </w:pPr>
      <w:bookmarkStart w:id="285" w:name="_Toc182491387"/>
      <w:bookmarkStart w:id="286" w:name="_Toc154599069"/>
      <w:bookmarkStart w:id="287" w:name="_Toc166675368"/>
      <w:bookmarkStart w:id="288" w:name="_Toc185950226"/>
      <w:r>
        <w:rPr>
          <w:rFonts w:ascii="Arial" w:hAnsi="Arial" w:eastAsia="宋体" w:cs="Arial"/>
          <w:b/>
        </w:rPr>
        <w:t>环境质量现状监测与评价</w:t>
      </w:r>
      <w:bookmarkEnd w:id="285"/>
      <w:bookmarkEnd w:id="286"/>
      <w:bookmarkEnd w:id="287"/>
      <w:bookmarkEnd w:id="288"/>
    </w:p>
    <w:p w14:paraId="78471602">
      <w:pPr>
        <w:numPr>
          <w:ilvl w:val="2"/>
          <w:numId w:val="17"/>
        </w:numPr>
        <w:spacing w:line="500" w:lineRule="exact"/>
        <w:ind w:left="564" w:leftChars="213" w:firstLine="0"/>
        <w:outlineLvl w:val="2"/>
        <w:rPr>
          <w:rFonts w:ascii="Arial" w:hAnsi="Arial" w:eastAsia="宋体" w:cs="Arial"/>
          <w:b/>
          <w:spacing w:val="10"/>
          <w:sz w:val="24"/>
        </w:rPr>
      </w:pPr>
      <w:r>
        <w:rPr>
          <w:rFonts w:ascii="Arial" w:hAnsi="Arial" w:eastAsia="宋体" w:cs="Arial"/>
          <w:b/>
          <w:spacing w:val="10"/>
          <w:sz w:val="24"/>
        </w:rPr>
        <w:t>环境空气质量现状调查与评价</w:t>
      </w:r>
    </w:p>
    <w:p w14:paraId="5A2439B2">
      <w:pPr>
        <w:numPr>
          <w:ilvl w:val="3"/>
          <w:numId w:val="18"/>
        </w:numPr>
        <w:spacing w:line="500" w:lineRule="exact"/>
        <w:ind w:left="0" w:firstLine="0"/>
        <w:outlineLvl w:val="3"/>
        <w:rPr>
          <w:rFonts w:ascii="Arial" w:hAnsi="Arial" w:eastAsia="宋体" w:cs="Arial"/>
          <w:b/>
          <w:spacing w:val="10"/>
          <w:sz w:val="24"/>
        </w:rPr>
      </w:pPr>
      <w:r>
        <w:rPr>
          <w:rFonts w:ascii="Arial" w:hAnsi="Arial" w:eastAsia="宋体" w:cs="Arial"/>
          <w:b/>
          <w:spacing w:val="10"/>
          <w:sz w:val="24"/>
        </w:rPr>
        <w:t>项目所在区域达标区判定</w:t>
      </w:r>
    </w:p>
    <w:p w14:paraId="3AC63BF4">
      <w:pPr>
        <w:spacing w:line="500" w:lineRule="exact"/>
        <w:ind w:firstLine="490" w:firstLineChars="200"/>
        <w:rPr>
          <w:rFonts w:ascii="Arial" w:hAnsi="Arial" w:eastAsia="宋体" w:cs="Arial"/>
          <w:spacing w:val="10"/>
          <w:kern w:val="0"/>
          <w:sz w:val="24"/>
          <w:szCs w:val="21"/>
        </w:rPr>
      </w:pPr>
      <w:r>
        <w:rPr>
          <w:rFonts w:ascii="Arial" w:hAnsi="Arial" w:eastAsia="宋体" w:cs="Arial"/>
          <w:spacing w:val="10"/>
          <w:kern w:val="0"/>
          <w:sz w:val="24"/>
          <w:szCs w:val="21"/>
        </w:rPr>
        <w:t>根据</w:t>
      </w:r>
      <w:r>
        <w:rPr>
          <w:rFonts w:ascii="Arial" w:hAnsi="Arial" w:eastAsia="宋体" w:cs="Arial"/>
          <w:spacing w:val="10"/>
          <w:kern w:val="0"/>
          <w:sz w:val="24"/>
          <w:szCs w:val="24"/>
        </w:rPr>
        <w:t>《自治区生态环境厅关于通报2022年设区城市及各县（市、区）环境空气质量的函》（桂环函〔2023〕13号），2022年钦州市二氧化硫、二氧化氮、可吸入颗粒物（PM</w:t>
      </w:r>
      <w:r>
        <w:rPr>
          <w:rFonts w:ascii="Arial" w:hAnsi="Arial" w:eastAsia="宋体" w:cs="Arial"/>
          <w:spacing w:val="10"/>
          <w:kern w:val="0"/>
          <w:sz w:val="24"/>
          <w:szCs w:val="24"/>
          <w:vertAlign w:val="subscript"/>
        </w:rPr>
        <w:t>10</w:t>
      </w:r>
      <w:r>
        <w:rPr>
          <w:rFonts w:ascii="Arial" w:hAnsi="Arial" w:eastAsia="宋体" w:cs="Arial"/>
          <w:spacing w:val="10"/>
          <w:kern w:val="0"/>
          <w:sz w:val="24"/>
          <w:szCs w:val="24"/>
        </w:rPr>
        <w:t>）、细颗粒物（PM</w:t>
      </w:r>
      <w:r>
        <w:rPr>
          <w:rFonts w:ascii="Arial" w:hAnsi="Arial" w:eastAsia="宋体" w:cs="Arial"/>
          <w:spacing w:val="10"/>
          <w:kern w:val="0"/>
          <w:sz w:val="24"/>
          <w:szCs w:val="24"/>
          <w:vertAlign w:val="subscript"/>
        </w:rPr>
        <w:t>2.5</w:t>
      </w:r>
      <w:r>
        <w:rPr>
          <w:rFonts w:ascii="Arial" w:hAnsi="Arial" w:eastAsia="宋体" w:cs="Arial"/>
          <w:spacing w:val="10"/>
          <w:kern w:val="0"/>
          <w:sz w:val="24"/>
          <w:szCs w:val="24"/>
        </w:rPr>
        <w:t>）、一氧化碳、臭氧浓度年评价指标均符合《环境空气质量标准》（GB3095-2012）二级标准。因此，项目所在区域属于达标区</w:t>
      </w:r>
      <w:r>
        <w:rPr>
          <w:rFonts w:ascii="Arial" w:hAnsi="Arial" w:eastAsia="宋体" w:cs="Arial"/>
          <w:spacing w:val="10"/>
          <w:kern w:val="0"/>
          <w:sz w:val="24"/>
          <w:szCs w:val="21"/>
        </w:rPr>
        <w:t>。</w:t>
      </w:r>
    </w:p>
    <w:p w14:paraId="61F6D4C2">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区域空气质量现状评价表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7"/>
        <w:gridCol w:w="2957"/>
        <w:gridCol w:w="1389"/>
        <w:gridCol w:w="1302"/>
        <w:gridCol w:w="1113"/>
        <w:gridCol w:w="1335"/>
      </w:tblGrid>
      <w:tr w14:paraId="53AFC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op w:val="single" w:color="auto" w:sz="4" w:space="0"/>
              <w:left w:val="single" w:color="auto" w:sz="4" w:space="0"/>
              <w:bottom w:val="single" w:color="auto" w:sz="4" w:space="0"/>
              <w:right w:val="single" w:color="auto" w:sz="4" w:space="0"/>
            </w:tcBorders>
            <w:vAlign w:val="center"/>
          </w:tcPr>
          <w:p w14:paraId="554CFD81">
            <w:pPr>
              <w:autoSpaceDE w:val="0"/>
              <w:autoSpaceDN w:val="0"/>
              <w:adjustRightInd w:val="0"/>
              <w:snapToGrid w:val="0"/>
              <w:jc w:val="center"/>
              <w:rPr>
                <w:rFonts w:ascii="Arial" w:hAnsi="Arial" w:eastAsia="宋体" w:cs="Arial"/>
                <w:sz w:val="21"/>
                <w:szCs w:val="21"/>
              </w:rPr>
            </w:pPr>
          </w:p>
        </w:tc>
        <w:tc>
          <w:tcPr>
            <w:tcW w:w="1644" w:type="pct"/>
            <w:tcBorders>
              <w:top w:val="single" w:color="auto" w:sz="4" w:space="0"/>
              <w:left w:val="single" w:color="auto" w:sz="4" w:space="0"/>
              <w:bottom w:val="single" w:color="auto" w:sz="4" w:space="0"/>
              <w:right w:val="single" w:color="auto" w:sz="4" w:space="0"/>
            </w:tcBorders>
            <w:vAlign w:val="center"/>
          </w:tcPr>
          <w:p w14:paraId="05A60E57">
            <w:pPr>
              <w:autoSpaceDE w:val="0"/>
              <w:autoSpaceDN w:val="0"/>
              <w:adjustRightInd w:val="0"/>
              <w:snapToGrid w:val="0"/>
              <w:jc w:val="center"/>
              <w:rPr>
                <w:rFonts w:ascii="Arial" w:hAnsi="Arial" w:eastAsia="宋体" w:cs="Arial"/>
                <w:sz w:val="21"/>
                <w:szCs w:val="21"/>
              </w:rPr>
            </w:pPr>
          </w:p>
        </w:tc>
        <w:tc>
          <w:tcPr>
            <w:tcW w:w="772" w:type="pct"/>
            <w:tcBorders>
              <w:top w:val="single" w:color="auto" w:sz="4" w:space="0"/>
              <w:left w:val="single" w:color="auto" w:sz="4" w:space="0"/>
              <w:bottom w:val="single" w:color="auto" w:sz="4" w:space="0"/>
              <w:right w:val="single" w:color="auto" w:sz="4" w:space="0"/>
            </w:tcBorders>
            <w:vAlign w:val="center"/>
          </w:tcPr>
          <w:p w14:paraId="3FA758DF">
            <w:pPr>
              <w:autoSpaceDE w:val="0"/>
              <w:autoSpaceDN w:val="0"/>
              <w:adjustRightInd w:val="0"/>
              <w:snapToGrid w:val="0"/>
              <w:jc w:val="center"/>
              <w:rPr>
                <w:rFonts w:ascii="Arial" w:hAnsi="Arial" w:eastAsia="宋体" w:cs="Arial"/>
                <w:sz w:val="21"/>
                <w:szCs w:val="21"/>
              </w:rPr>
            </w:pPr>
          </w:p>
        </w:tc>
        <w:tc>
          <w:tcPr>
            <w:tcW w:w="724" w:type="pct"/>
            <w:tcBorders>
              <w:top w:val="single" w:color="auto" w:sz="4" w:space="0"/>
              <w:left w:val="single" w:color="auto" w:sz="4" w:space="0"/>
              <w:bottom w:val="single" w:color="auto" w:sz="4" w:space="0"/>
              <w:right w:val="single" w:color="auto" w:sz="4" w:space="0"/>
            </w:tcBorders>
            <w:vAlign w:val="center"/>
          </w:tcPr>
          <w:p w14:paraId="120928C6">
            <w:pPr>
              <w:autoSpaceDE w:val="0"/>
              <w:autoSpaceDN w:val="0"/>
              <w:adjustRightInd w:val="0"/>
              <w:snapToGrid w:val="0"/>
              <w:jc w:val="center"/>
              <w:rPr>
                <w:rFonts w:ascii="Arial" w:hAnsi="Arial" w:eastAsia="宋体" w:cs="Arial"/>
                <w:sz w:val="21"/>
                <w:szCs w:val="21"/>
              </w:rPr>
            </w:pPr>
          </w:p>
        </w:tc>
        <w:tc>
          <w:tcPr>
            <w:tcW w:w="619" w:type="pct"/>
            <w:tcBorders>
              <w:top w:val="single" w:color="auto" w:sz="4" w:space="0"/>
              <w:left w:val="single" w:color="auto" w:sz="4" w:space="0"/>
              <w:bottom w:val="single" w:color="auto" w:sz="4" w:space="0"/>
              <w:right w:val="single" w:color="auto" w:sz="4" w:space="0"/>
            </w:tcBorders>
            <w:vAlign w:val="center"/>
          </w:tcPr>
          <w:p w14:paraId="046DEB88">
            <w:pPr>
              <w:autoSpaceDE w:val="0"/>
              <w:autoSpaceDN w:val="0"/>
              <w:adjustRightInd w:val="0"/>
              <w:snapToGrid w:val="0"/>
              <w:jc w:val="center"/>
              <w:rPr>
                <w:rFonts w:ascii="Arial" w:hAnsi="Arial" w:eastAsia="宋体" w:cs="Arial"/>
                <w:sz w:val="21"/>
                <w:szCs w:val="21"/>
              </w:rPr>
            </w:pPr>
          </w:p>
        </w:tc>
        <w:tc>
          <w:tcPr>
            <w:tcW w:w="742" w:type="pct"/>
            <w:tcBorders>
              <w:top w:val="single" w:color="auto" w:sz="4" w:space="0"/>
              <w:left w:val="single" w:color="auto" w:sz="4" w:space="0"/>
              <w:bottom w:val="single" w:color="auto" w:sz="4" w:space="0"/>
              <w:right w:val="single" w:color="auto" w:sz="4" w:space="0"/>
            </w:tcBorders>
            <w:vAlign w:val="center"/>
          </w:tcPr>
          <w:p w14:paraId="07F16B58">
            <w:pPr>
              <w:autoSpaceDE w:val="0"/>
              <w:autoSpaceDN w:val="0"/>
              <w:adjustRightInd w:val="0"/>
              <w:snapToGrid w:val="0"/>
              <w:jc w:val="center"/>
              <w:rPr>
                <w:rFonts w:ascii="Arial" w:hAnsi="Arial" w:eastAsia="宋体" w:cs="Arial"/>
                <w:sz w:val="21"/>
                <w:szCs w:val="21"/>
              </w:rPr>
            </w:pPr>
          </w:p>
        </w:tc>
      </w:tr>
      <w:tr w14:paraId="74E1E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op w:val="single" w:color="auto" w:sz="4" w:space="0"/>
              <w:left w:val="single" w:color="auto" w:sz="4" w:space="0"/>
              <w:bottom w:val="single" w:color="auto" w:sz="4" w:space="0"/>
              <w:right w:val="single" w:color="auto" w:sz="4" w:space="0"/>
            </w:tcBorders>
            <w:vAlign w:val="center"/>
          </w:tcPr>
          <w:p w14:paraId="19393BC9">
            <w:pPr>
              <w:autoSpaceDE w:val="0"/>
              <w:autoSpaceDN w:val="0"/>
              <w:adjustRightInd w:val="0"/>
              <w:snapToGrid w:val="0"/>
              <w:jc w:val="center"/>
              <w:rPr>
                <w:rFonts w:ascii="Arial" w:hAnsi="Arial" w:eastAsia="宋体" w:cs="Arial"/>
                <w:sz w:val="21"/>
                <w:szCs w:val="21"/>
              </w:rPr>
            </w:pPr>
          </w:p>
        </w:tc>
        <w:tc>
          <w:tcPr>
            <w:tcW w:w="1644" w:type="pct"/>
            <w:tcBorders>
              <w:top w:val="single" w:color="auto" w:sz="4" w:space="0"/>
              <w:left w:val="single" w:color="auto" w:sz="4" w:space="0"/>
              <w:bottom w:val="single" w:color="auto" w:sz="4" w:space="0"/>
              <w:right w:val="single" w:color="auto" w:sz="4" w:space="0"/>
            </w:tcBorders>
            <w:vAlign w:val="center"/>
          </w:tcPr>
          <w:p w14:paraId="43B757E6">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14:paraId="6BB3F023">
            <w:pPr>
              <w:autoSpaceDE w:val="0"/>
              <w:autoSpaceDN w:val="0"/>
              <w:adjustRightInd w:val="0"/>
              <w:snapToGrid w:val="0"/>
              <w:jc w:val="center"/>
              <w:rPr>
                <w:rFonts w:ascii="Arial" w:hAnsi="Arial" w:eastAsia="宋体" w:cs="Arial"/>
                <w:sz w:val="21"/>
                <w:szCs w:val="21"/>
              </w:rPr>
            </w:pPr>
          </w:p>
        </w:tc>
        <w:tc>
          <w:tcPr>
            <w:tcW w:w="724" w:type="pct"/>
            <w:tcBorders>
              <w:top w:val="single" w:color="auto" w:sz="4" w:space="0"/>
              <w:left w:val="single" w:color="auto" w:sz="4" w:space="0"/>
              <w:bottom w:val="single" w:color="auto" w:sz="4" w:space="0"/>
              <w:right w:val="single" w:color="auto" w:sz="4" w:space="0"/>
            </w:tcBorders>
            <w:vAlign w:val="center"/>
          </w:tcPr>
          <w:p w14:paraId="711069E5">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14:paraId="1DBB67B6">
            <w:pPr>
              <w:autoSpaceDE w:val="0"/>
              <w:autoSpaceDN w:val="0"/>
              <w:adjustRightInd w:val="0"/>
              <w:snapToGrid w:val="0"/>
              <w:jc w:val="center"/>
              <w:rPr>
                <w:rFonts w:ascii="Arial" w:hAnsi="Arial" w:eastAsia="宋体" w:cs="Arial"/>
                <w:sz w:val="21"/>
                <w:szCs w:val="21"/>
              </w:rPr>
            </w:pPr>
          </w:p>
        </w:tc>
        <w:tc>
          <w:tcPr>
            <w:tcW w:w="742" w:type="pct"/>
            <w:tcBorders>
              <w:top w:val="single" w:color="auto" w:sz="4" w:space="0"/>
              <w:left w:val="single" w:color="auto" w:sz="4" w:space="0"/>
              <w:bottom w:val="single" w:color="auto" w:sz="4" w:space="0"/>
              <w:right w:val="single" w:color="auto" w:sz="4" w:space="0"/>
            </w:tcBorders>
            <w:vAlign w:val="center"/>
          </w:tcPr>
          <w:p w14:paraId="39866BC9">
            <w:pPr>
              <w:autoSpaceDE w:val="0"/>
              <w:autoSpaceDN w:val="0"/>
              <w:adjustRightInd w:val="0"/>
              <w:snapToGrid w:val="0"/>
              <w:jc w:val="center"/>
              <w:rPr>
                <w:rFonts w:ascii="Arial" w:hAnsi="Arial" w:eastAsia="宋体" w:cs="Arial"/>
                <w:sz w:val="21"/>
                <w:szCs w:val="21"/>
              </w:rPr>
            </w:pPr>
          </w:p>
        </w:tc>
      </w:tr>
      <w:tr w14:paraId="4C84B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op w:val="single" w:color="auto" w:sz="4" w:space="0"/>
              <w:left w:val="single" w:color="auto" w:sz="4" w:space="0"/>
              <w:bottom w:val="single" w:color="auto" w:sz="4" w:space="0"/>
              <w:right w:val="single" w:color="auto" w:sz="4" w:space="0"/>
            </w:tcBorders>
            <w:vAlign w:val="center"/>
          </w:tcPr>
          <w:p w14:paraId="186D75B9">
            <w:pPr>
              <w:autoSpaceDE w:val="0"/>
              <w:autoSpaceDN w:val="0"/>
              <w:adjustRightInd w:val="0"/>
              <w:snapToGrid w:val="0"/>
              <w:jc w:val="center"/>
              <w:rPr>
                <w:rFonts w:ascii="Arial" w:hAnsi="Arial" w:eastAsia="宋体" w:cs="Arial"/>
                <w:sz w:val="21"/>
                <w:szCs w:val="21"/>
              </w:rPr>
            </w:pPr>
          </w:p>
        </w:tc>
        <w:tc>
          <w:tcPr>
            <w:tcW w:w="1644" w:type="pct"/>
            <w:tcBorders>
              <w:top w:val="single" w:color="auto" w:sz="4" w:space="0"/>
              <w:left w:val="single" w:color="auto" w:sz="4" w:space="0"/>
              <w:bottom w:val="single" w:color="auto" w:sz="4" w:space="0"/>
              <w:right w:val="single" w:color="auto" w:sz="4" w:space="0"/>
            </w:tcBorders>
            <w:vAlign w:val="center"/>
          </w:tcPr>
          <w:p w14:paraId="3A4A061C">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14:paraId="44D93A16">
            <w:pPr>
              <w:autoSpaceDE w:val="0"/>
              <w:autoSpaceDN w:val="0"/>
              <w:adjustRightInd w:val="0"/>
              <w:snapToGrid w:val="0"/>
              <w:jc w:val="center"/>
              <w:rPr>
                <w:rFonts w:ascii="Arial" w:hAnsi="Arial" w:eastAsia="宋体" w:cs="Arial"/>
                <w:sz w:val="21"/>
                <w:szCs w:val="21"/>
              </w:rPr>
            </w:pPr>
          </w:p>
        </w:tc>
        <w:tc>
          <w:tcPr>
            <w:tcW w:w="724" w:type="pct"/>
            <w:tcBorders>
              <w:top w:val="single" w:color="auto" w:sz="4" w:space="0"/>
              <w:left w:val="single" w:color="auto" w:sz="4" w:space="0"/>
              <w:bottom w:val="single" w:color="auto" w:sz="4" w:space="0"/>
              <w:right w:val="single" w:color="auto" w:sz="4" w:space="0"/>
            </w:tcBorders>
            <w:vAlign w:val="center"/>
          </w:tcPr>
          <w:p w14:paraId="5C9636A2">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14:paraId="09BABA20">
            <w:pPr>
              <w:autoSpaceDE w:val="0"/>
              <w:autoSpaceDN w:val="0"/>
              <w:adjustRightInd w:val="0"/>
              <w:snapToGrid w:val="0"/>
              <w:jc w:val="center"/>
              <w:rPr>
                <w:rFonts w:ascii="Arial" w:hAnsi="Arial" w:eastAsia="宋体" w:cs="Arial"/>
                <w:sz w:val="21"/>
                <w:szCs w:val="21"/>
              </w:rPr>
            </w:pPr>
          </w:p>
        </w:tc>
        <w:tc>
          <w:tcPr>
            <w:tcW w:w="742" w:type="pct"/>
            <w:tcBorders>
              <w:top w:val="single" w:color="auto" w:sz="4" w:space="0"/>
              <w:left w:val="single" w:color="auto" w:sz="4" w:space="0"/>
              <w:bottom w:val="single" w:color="auto" w:sz="4" w:space="0"/>
              <w:right w:val="single" w:color="auto" w:sz="4" w:space="0"/>
            </w:tcBorders>
            <w:vAlign w:val="center"/>
          </w:tcPr>
          <w:p w14:paraId="5B8305DC">
            <w:pPr>
              <w:autoSpaceDE w:val="0"/>
              <w:autoSpaceDN w:val="0"/>
              <w:adjustRightInd w:val="0"/>
              <w:snapToGrid w:val="0"/>
              <w:jc w:val="center"/>
              <w:rPr>
                <w:rFonts w:ascii="Arial" w:hAnsi="Arial" w:eastAsia="宋体" w:cs="Arial"/>
                <w:sz w:val="21"/>
                <w:szCs w:val="21"/>
              </w:rPr>
            </w:pPr>
          </w:p>
        </w:tc>
      </w:tr>
      <w:tr w14:paraId="6381D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op w:val="single" w:color="auto" w:sz="4" w:space="0"/>
              <w:left w:val="single" w:color="auto" w:sz="4" w:space="0"/>
              <w:bottom w:val="single" w:color="auto" w:sz="4" w:space="0"/>
              <w:right w:val="single" w:color="auto" w:sz="4" w:space="0"/>
            </w:tcBorders>
            <w:vAlign w:val="center"/>
          </w:tcPr>
          <w:p w14:paraId="1A8120B1">
            <w:pPr>
              <w:autoSpaceDE w:val="0"/>
              <w:autoSpaceDN w:val="0"/>
              <w:adjustRightInd w:val="0"/>
              <w:snapToGrid w:val="0"/>
              <w:jc w:val="center"/>
              <w:rPr>
                <w:rFonts w:ascii="Arial" w:hAnsi="Arial" w:eastAsia="宋体" w:cs="Arial"/>
                <w:sz w:val="21"/>
                <w:szCs w:val="21"/>
              </w:rPr>
            </w:pPr>
          </w:p>
        </w:tc>
        <w:tc>
          <w:tcPr>
            <w:tcW w:w="1644" w:type="pct"/>
            <w:tcBorders>
              <w:top w:val="single" w:color="auto" w:sz="4" w:space="0"/>
              <w:left w:val="single" w:color="auto" w:sz="4" w:space="0"/>
              <w:bottom w:val="single" w:color="auto" w:sz="4" w:space="0"/>
              <w:right w:val="single" w:color="auto" w:sz="4" w:space="0"/>
            </w:tcBorders>
            <w:vAlign w:val="center"/>
          </w:tcPr>
          <w:p w14:paraId="66CFE2B1">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14:paraId="50388993">
            <w:pPr>
              <w:autoSpaceDE w:val="0"/>
              <w:autoSpaceDN w:val="0"/>
              <w:adjustRightInd w:val="0"/>
              <w:snapToGrid w:val="0"/>
              <w:jc w:val="center"/>
              <w:rPr>
                <w:rFonts w:ascii="Arial" w:hAnsi="Arial" w:eastAsia="宋体" w:cs="Arial"/>
                <w:sz w:val="21"/>
                <w:szCs w:val="21"/>
              </w:rPr>
            </w:pPr>
          </w:p>
        </w:tc>
        <w:tc>
          <w:tcPr>
            <w:tcW w:w="724" w:type="pct"/>
            <w:tcBorders>
              <w:top w:val="single" w:color="auto" w:sz="4" w:space="0"/>
              <w:left w:val="single" w:color="auto" w:sz="4" w:space="0"/>
              <w:bottom w:val="single" w:color="auto" w:sz="4" w:space="0"/>
              <w:right w:val="single" w:color="auto" w:sz="4" w:space="0"/>
            </w:tcBorders>
            <w:vAlign w:val="center"/>
          </w:tcPr>
          <w:p w14:paraId="2402AE1C">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14:paraId="15DE3C9E">
            <w:pPr>
              <w:autoSpaceDE w:val="0"/>
              <w:autoSpaceDN w:val="0"/>
              <w:adjustRightInd w:val="0"/>
              <w:snapToGrid w:val="0"/>
              <w:jc w:val="center"/>
              <w:rPr>
                <w:rFonts w:ascii="Arial" w:hAnsi="Arial" w:eastAsia="宋体" w:cs="Arial"/>
                <w:sz w:val="21"/>
                <w:szCs w:val="21"/>
              </w:rPr>
            </w:pPr>
          </w:p>
        </w:tc>
        <w:tc>
          <w:tcPr>
            <w:tcW w:w="742" w:type="pct"/>
            <w:tcBorders>
              <w:top w:val="single" w:color="auto" w:sz="4" w:space="0"/>
              <w:left w:val="single" w:color="auto" w:sz="4" w:space="0"/>
              <w:bottom w:val="single" w:color="auto" w:sz="4" w:space="0"/>
              <w:right w:val="single" w:color="auto" w:sz="4" w:space="0"/>
            </w:tcBorders>
            <w:vAlign w:val="center"/>
          </w:tcPr>
          <w:p w14:paraId="09C84814">
            <w:pPr>
              <w:autoSpaceDE w:val="0"/>
              <w:autoSpaceDN w:val="0"/>
              <w:adjustRightInd w:val="0"/>
              <w:snapToGrid w:val="0"/>
              <w:jc w:val="center"/>
              <w:rPr>
                <w:rFonts w:ascii="Arial" w:hAnsi="Arial" w:eastAsia="宋体" w:cs="Arial"/>
                <w:sz w:val="21"/>
                <w:szCs w:val="21"/>
              </w:rPr>
            </w:pPr>
          </w:p>
        </w:tc>
      </w:tr>
      <w:tr w14:paraId="4065D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op w:val="single" w:color="auto" w:sz="4" w:space="0"/>
              <w:left w:val="single" w:color="auto" w:sz="4" w:space="0"/>
              <w:bottom w:val="single" w:color="auto" w:sz="4" w:space="0"/>
              <w:right w:val="single" w:color="auto" w:sz="4" w:space="0"/>
            </w:tcBorders>
            <w:vAlign w:val="center"/>
          </w:tcPr>
          <w:p w14:paraId="06194F10">
            <w:pPr>
              <w:autoSpaceDE w:val="0"/>
              <w:autoSpaceDN w:val="0"/>
              <w:adjustRightInd w:val="0"/>
              <w:snapToGrid w:val="0"/>
              <w:jc w:val="center"/>
              <w:rPr>
                <w:rFonts w:ascii="Arial" w:hAnsi="Arial" w:eastAsia="宋体" w:cs="Arial"/>
                <w:sz w:val="21"/>
                <w:szCs w:val="21"/>
              </w:rPr>
            </w:pPr>
          </w:p>
        </w:tc>
        <w:tc>
          <w:tcPr>
            <w:tcW w:w="1644" w:type="pct"/>
            <w:tcBorders>
              <w:top w:val="single" w:color="auto" w:sz="4" w:space="0"/>
              <w:left w:val="single" w:color="auto" w:sz="4" w:space="0"/>
              <w:bottom w:val="single" w:color="auto" w:sz="4" w:space="0"/>
              <w:right w:val="single" w:color="auto" w:sz="4" w:space="0"/>
            </w:tcBorders>
            <w:vAlign w:val="center"/>
          </w:tcPr>
          <w:p w14:paraId="13FAD595">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14:paraId="18E07485">
            <w:pPr>
              <w:autoSpaceDE w:val="0"/>
              <w:autoSpaceDN w:val="0"/>
              <w:adjustRightInd w:val="0"/>
              <w:snapToGrid w:val="0"/>
              <w:jc w:val="center"/>
              <w:rPr>
                <w:rFonts w:ascii="Arial" w:hAnsi="Arial" w:eastAsia="宋体" w:cs="Arial"/>
                <w:sz w:val="21"/>
                <w:szCs w:val="21"/>
              </w:rPr>
            </w:pPr>
          </w:p>
        </w:tc>
        <w:tc>
          <w:tcPr>
            <w:tcW w:w="724" w:type="pct"/>
            <w:tcBorders>
              <w:top w:val="single" w:color="auto" w:sz="4" w:space="0"/>
              <w:left w:val="single" w:color="auto" w:sz="4" w:space="0"/>
              <w:bottom w:val="single" w:color="auto" w:sz="4" w:space="0"/>
              <w:right w:val="single" w:color="auto" w:sz="4" w:space="0"/>
            </w:tcBorders>
            <w:vAlign w:val="center"/>
          </w:tcPr>
          <w:p w14:paraId="75E2DF6A">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14:paraId="1BA1E231">
            <w:pPr>
              <w:autoSpaceDE w:val="0"/>
              <w:autoSpaceDN w:val="0"/>
              <w:adjustRightInd w:val="0"/>
              <w:snapToGrid w:val="0"/>
              <w:jc w:val="center"/>
              <w:rPr>
                <w:rFonts w:ascii="Arial" w:hAnsi="Arial" w:eastAsia="宋体" w:cs="Arial"/>
                <w:sz w:val="21"/>
                <w:szCs w:val="21"/>
              </w:rPr>
            </w:pPr>
          </w:p>
        </w:tc>
        <w:tc>
          <w:tcPr>
            <w:tcW w:w="742" w:type="pct"/>
            <w:tcBorders>
              <w:top w:val="single" w:color="auto" w:sz="4" w:space="0"/>
              <w:left w:val="single" w:color="auto" w:sz="4" w:space="0"/>
              <w:bottom w:val="single" w:color="auto" w:sz="4" w:space="0"/>
              <w:right w:val="single" w:color="auto" w:sz="4" w:space="0"/>
            </w:tcBorders>
            <w:vAlign w:val="center"/>
          </w:tcPr>
          <w:p w14:paraId="2C6F2EDE">
            <w:pPr>
              <w:autoSpaceDE w:val="0"/>
              <w:autoSpaceDN w:val="0"/>
              <w:adjustRightInd w:val="0"/>
              <w:snapToGrid w:val="0"/>
              <w:jc w:val="center"/>
              <w:rPr>
                <w:rFonts w:ascii="Arial" w:hAnsi="Arial" w:eastAsia="宋体" w:cs="Arial"/>
                <w:sz w:val="21"/>
                <w:szCs w:val="21"/>
              </w:rPr>
            </w:pPr>
          </w:p>
        </w:tc>
      </w:tr>
      <w:tr w14:paraId="64870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op w:val="single" w:color="auto" w:sz="4" w:space="0"/>
              <w:left w:val="single" w:color="auto" w:sz="4" w:space="0"/>
              <w:bottom w:val="single" w:color="auto" w:sz="4" w:space="0"/>
              <w:right w:val="single" w:color="auto" w:sz="4" w:space="0"/>
            </w:tcBorders>
            <w:vAlign w:val="center"/>
          </w:tcPr>
          <w:p w14:paraId="1DCC2EA1">
            <w:pPr>
              <w:autoSpaceDE w:val="0"/>
              <w:autoSpaceDN w:val="0"/>
              <w:adjustRightInd w:val="0"/>
              <w:snapToGrid w:val="0"/>
              <w:jc w:val="center"/>
              <w:rPr>
                <w:rFonts w:ascii="Arial" w:hAnsi="Arial" w:eastAsia="宋体" w:cs="Arial"/>
                <w:sz w:val="21"/>
                <w:szCs w:val="21"/>
              </w:rPr>
            </w:pPr>
          </w:p>
        </w:tc>
        <w:tc>
          <w:tcPr>
            <w:tcW w:w="1644" w:type="pct"/>
            <w:tcBorders>
              <w:top w:val="single" w:color="auto" w:sz="4" w:space="0"/>
              <w:left w:val="single" w:color="auto" w:sz="4" w:space="0"/>
              <w:bottom w:val="single" w:color="auto" w:sz="4" w:space="0"/>
              <w:right w:val="single" w:color="auto" w:sz="4" w:space="0"/>
            </w:tcBorders>
            <w:vAlign w:val="center"/>
          </w:tcPr>
          <w:p w14:paraId="3D2587F1">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14:paraId="63DCFDE4">
            <w:pPr>
              <w:autoSpaceDE w:val="0"/>
              <w:autoSpaceDN w:val="0"/>
              <w:adjustRightInd w:val="0"/>
              <w:snapToGrid w:val="0"/>
              <w:jc w:val="center"/>
              <w:rPr>
                <w:rFonts w:ascii="Arial" w:hAnsi="Arial" w:eastAsia="宋体" w:cs="Arial"/>
                <w:sz w:val="21"/>
                <w:szCs w:val="21"/>
              </w:rPr>
            </w:pPr>
          </w:p>
        </w:tc>
        <w:tc>
          <w:tcPr>
            <w:tcW w:w="724" w:type="pct"/>
            <w:tcBorders>
              <w:top w:val="single" w:color="auto" w:sz="4" w:space="0"/>
              <w:left w:val="single" w:color="auto" w:sz="4" w:space="0"/>
              <w:bottom w:val="single" w:color="auto" w:sz="4" w:space="0"/>
              <w:right w:val="single" w:color="auto" w:sz="4" w:space="0"/>
            </w:tcBorders>
            <w:vAlign w:val="center"/>
          </w:tcPr>
          <w:p w14:paraId="30050FC3">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14:paraId="4D3A6FF3">
            <w:pPr>
              <w:autoSpaceDE w:val="0"/>
              <w:autoSpaceDN w:val="0"/>
              <w:adjustRightInd w:val="0"/>
              <w:snapToGrid w:val="0"/>
              <w:jc w:val="center"/>
              <w:rPr>
                <w:rFonts w:ascii="Arial" w:hAnsi="Arial" w:eastAsia="宋体" w:cs="Arial"/>
                <w:sz w:val="21"/>
                <w:szCs w:val="21"/>
              </w:rPr>
            </w:pPr>
          </w:p>
        </w:tc>
        <w:tc>
          <w:tcPr>
            <w:tcW w:w="742" w:type="pct"/>
            <w:tcBorders>
              <w:top w:val="single" w:color="auto" w:sz="4" w:space="0"/>
              <w:left w:val="single" w:color="auto" w:sz="4" w:space="0"/>
              <w:bottom w:val="single" w:color="auto" w:sz="4" w:space="0"/>
              <w:right w:val="single" w:color="auto" w:sz="4" w:space="0"/>
            </w:tcBorders>
            <w:vAlign w:val="center"/>
          </w:tcPr>
          <w:p w14:paraId="55E59B63">
            <w:pPr>
              <w:autoSpaceDE w:val="0"/>
              <w:autoSpaceDN w:val="0"/>
              <w:adjustRightInd w:val="0"/>
              <w:snapToGrid w:val="0"/>
              <w:jc w:val="center"/>
              <w:rPr>
                <w:rFonts w:ascii="Arial" w:hAnsi="Arial" w:eastAsia="宋体" w:cs="Arial"/>
                <w:sz w:val="21"/>
                <w:szCs w:val="21"/>
              </w:rPr>
            </w:pPr>
          </w:p>
        </w:tc>
      </w:tr>
      <w:tr w14:paraId="43130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op w:val="single" w:color="auto" w:sz="4" w:space="0"/>
              <w:left w:val="single" w:color="auto" w:sz="4" w:space="0"/>
              <w:bottom w:val="single" w:color="auto" w:sz="4" w:space="0"/>
              <w:right w:val="single" w:color="auto" w:sz="4" w:space="0"/>
            </w:tcBorders>
            <w:vAlign w:val="center"/>
          </w:tcPr>
          <w:p w14:paraId="2AB8ED33">
            <w:pPr>
              <w:autoSpaceDE w:val="0"/>
              <w:autoSpaceDN w:val="0"/>
              <w:adjustRightInd w:val="0"/>
              <w:snapToGrid w:val="0"/>
              <w:jc w:val="center"/>
              <w:rPr>
                <w:rFonts w:ascii="Arial" w:hAnsi="Arial" w:eastAsia="宋体" w:cs="Arial"/>
                <w:sz w:val="21"/>
                <w:szCs w:val="21"/>
              </w:rPr>
            </w:pPr>
          </w:p>
        </w:tc>
        <w:tc>
          <w:tcPr>
            <w:tcW w:w="1644" w:type="pct"/>
            <w:tcBorders>
              <w:top w:val="single" w:color="auto" w:sz="4" w:space="0"/>
              <w:left w:val="single" w:color="auto" w:sz="4" w:space="0"/>
              <w:bottom w:val="single" w:color="auto" w:sz="4" w:space="0"/>
              <w:right w:val="single" w:color="auto" w:sz="4" w:space="0"/>
            </w:tcBorders>
            <w:vAlign w:val="center"/>
          </w:tcPr>
          <w:p w14:paraId="13707ABF">
            <w:pPr>
              <w:autoSpaceDE w:val="0"/>
              <w:autoSpaceDN w:val="0"/>
              <w:adjustRightInd w:val="0"/>
              <w:snapToGrid w:val="0"/>
              <w:jc w:val="center"/>
              <w:rPr>
                <w:rFonts w:ascii="Arial" w:hAnsi="Arial" w:eastAsia="宋体" w:cs="Arial"/>
                <w:sz w:val="21"/>
                <w:szCs w:val="21"/>
              </w:rPr>
            </w:pPr>
          </w:p>
        </w:tc>
        <w:tc>
          <w:tcPr>
            <w:tcW w:w="1389" w:type="dxa"/>
            <w:tcBorders>
              <w:top w:val="single" w:color="auto" w:sz="4" w:space="0"/>
              <w:left w:val="single" w:color="auto" w:sz="4" w:space="0"/>
              <w:bottom w:val="single" w:color="auto" w:sz="4" w:space="0"/>
              <w:right w:val="single" w:color="auto" w:sz="4" w:space="0"/>
            </w:tcBorders>
            <w:vAlign w:val="center"/>
          </w:tcPr>
          <w:p w14:paraId="5D21B439">
            <w:pPr>
              <w:autoSpaceDE w:val="0"/>
              <w:autoSpaceDN w:val="0"/>
              <w:adjustRightInd w:val="0"/>
              <w:snapToGrid w:val="0"/>
              <w:jc w:val="center"/>
              <w:rPr>
                <w:rFonts w:ascii="Arial" w:hAnsi="Arial" w:eastAsia="宋体" w:cs="Arial"/>
                <w:sz w:val="21"/>
                <w:szCs w:val="21"/>
              </w:rPr>
            </w:pPr>
          </w:p>
        </w:tc>
        <w:tc>
          <w:tcPr>
            <w:tcW w:w="724" w:type="pct"/>
            <w:tcBorders>
              <w:top w:val="single" w:color="auto" w:sz="4" w:space="0"/>
              <w:left w:val="single" w:color="auto" w:sz="4" w:space="0"/>
              <w:bottom w:val="single" w:color="auto" w:sz="4" w:space="0"/>
              <w:right w:val="single" w:color="auto" w:sz="4" w:space="0"/>
            </w:tcBorders>
            <w:vAlign w:val="center"/>
          </w:tcPr>
          <w:p w14:paraId="710BC971">
            <w:pPr>
              <w:autoSpaceDE w:val="0"/>
              <w:autoSpaceDN w:val="0"/>
              <w:adjustRightInd w:val="0"/>
              <w:snapToGrid w:val="0"/>
              <w:jc w:val="center"/>
              <w:rPr>
                <w:rFonts w:ascii="Arial" w:hAnsi="Arial" w:eastAsia="宋体" w:cs="Arial"/>
                <w:sz w:val="21"/>
                <w:szCs w:val="21"/>
              </w:rPr>
            </w:pPr>
          </w:p>
        </w:tc>
        <w:tc>
          <w:tcPr>
            <w:tcW w:w="1113" w:type="dxa"/>
            <w:tcBorders>
              <w:top w:val="single" w:color="auto" w:sz="4" w:space="0"/>
              <w:left w:val="single" w:color="auto" w:sz="4" w:space="0"/>
              <w:bottom w:val="single" w:color="auto" w:sz="4" w:space="0"/>
              <w:right w:val="single" w:color="auto" w:sz="4" w:space="0"/>
            </w:tcBorders>
            <w:vAlign w:val="center"/>
          </w:tcPr>
          <w:p w14:paraId="6C3BF2FA">
            <w:pPr>
              <w:autoSpaceDE w:val="0"/>
              <w:autoSpaceDN w:val="0"/>
              <w:adjustRightInd w:val="0"/>
              <w:snapToGrid w:val="0"/>
              <w:jc w:val="center"/>
              <w:rPr>
                <w:rFonts w:ascii="Arial" w:hAnsi="Arial" w:eastAsia="宋体" w:cs="Arial"/>
                <w:sz w:val="21"/>
                <w:szCs w:val="21"/>
              </w:rPr>
            </w:pPr>
          </w:p>
        </w:tc>
        <w:tc>
          <w:tcPr>
            <w:tcW w:w="742" w:type="pct"/>
            <w:tcBorders>
              <w:top w:val="single" w:color="auto" w:sz="4" w:space="0"/>
              <w:left w:val="single" w:color="auto" w:sz="4" w:space="0"/>
              <w:bottom w:val="single" w:color="auto" w:sz="4" w:space="0"/>
              <w:right w:val="single" w:color="auto" w:sz="4" w:space="0"/>
            </w:tcBorders>
            <w:vAlign w:val="center"/>
          </w:tcPr>
          <w:p w14:paraId="52E555A2">
            <w:pPr>
              <w:autoSpaceDE w:val="0"/>
              <w:autoSpaceDN w:val="0"/>
              <w:adjustRightInd w:val="0"/>
              <w:snapToGrid w:val="0"/>
              <w:jc w:val="center"/>
              <w:rPr>
                <w:rFonts w:ascii="Arial" w:hAnsi="Arial" w:eastAsia="宋体" w:cs="Arial"/>
                <w:sz w:val="21"/>
                <w:szCs w:val="21"/>
              </w:rPr>
            </w:pPr>
          </w:p>
        </w:tc>
      </w:tr>
    </w:tbl>
    <w:p w14:paraId="4C3D2913">
      <w:pPr>
        <w:numPr>
          <w:ilvl w:val="3"/>
          <w:numId w:val="18"/>
        </w:numPr>
        <w:spacing w:line="500" w:lineRule="exact"/>
        <w:ind w:left="0" w:firstLine="0"/>
        <w:outlineLvl w:val="3"/>
        <w:rPr>
          <w:rFonts w:ascii="Arial" w:hAnsi="Arial" w:eastAsia="宋体" w:cs="Arial"/>
          <w:b/>
          <w:spacing w:val="10"/>
          <w:sz w:val="24"/>
        </w:rPr>
      </w:pPr>
      <w:r>
        <w:rPr>
          <w:rFonts w:ascii="Arial" w:hAnsi="Arial" w:eastAsia="宋体" w:cs="Arial"/>
          <w:b/>
          <w:spacing w:val="10"/>
          <w:sz w:val="24"/>
        </w:rPr>
        <w:t>基本污染物环境质量现状</w:t>
      </w:r>
    </w:p>
    <w:p w14:paraId="615D9BC9">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项目引用钦州市常规监测站港区一小站点2022年逐日的监测数据作为区域基本污染物环境质量现状数据，数据来源于广西壮族自治区生态环境厅网站——数据中心公布的空气质量。项目与该站点距离约8.3km，两地所处区域地理位置邻近，地形、气候条件相近。监测数据满足《环境空气质量评价技术规范（试行）》（HJ663-2013）中数据有效性、数据完整性的要求。基本污染物环境质量现状见表3-3。</w:t>
      </w:r>
    </w:p>
    <w:p w14:paraId="5F2E5EB6">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基本污染物环境质量现状</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0"/>
        <w:gridCol w:w="804"/>
        <w:gridCol w:w="692"/>
        <w:gridCol w:w="685"/>
        <w:gridCol w:w="1498"/>
        <w:gridCol w:w="937"/>
        <w:gridCol w:w="919"/>
        <w:gridCol w:w="824"/>
        <w:gridCol w:w="800"/>
        <w:gridCol w:w="761"/>
        <w:gridCol w:w="673"/>
      </w:tblGrid>
      <w:tr w14:paraId="1C397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22" w:type="pct"/>
            <w:vMerge w:val="restart"/>
            <w:vAlign w:val="center"/>
          </w:tcPr>
          <w:p w14:paraId="10F44D27">
            <w:pPr>
              <w:widowControl/>
              <w:adjustRightInd w:val="0"/>
              <w:snapToGrid w:val="0"/>
              <w:jc w:val="center"/>
              <w:rPr>
                <w:rFonts w:ascii="Arial" w:hAnsi="Arial" w:eastAsia="宋体" w:cs="Arial"/>
                <w:bCs/>
                <w:kern w:val="0"/>
                <w:sz w:val="18"/>
                <w:szCs w:val="18"/>
              </w:rPr>
            </w:pPr>
          </w:p>
        </w:tc>
        <w:tc>
          <w:tcPr>
            <w:tcW w:w="832" w:type="pct"/>
            <w:gridSpan w:val="2"/>
            <w:vAlign w:val="center"/>
          </w:tcPr>
          <w:p w14:paraId="07408D44">
            <w:pPr>
              <w:widowControl/>
              <w:adjustRightInd w:val="0"/>
              <w:snapToGrid w:val="0"/>
              <w:jc w:val="center"/>
              <w:rPr>
                <w:rFonts w:ascii="Arial" w:hAnsi="Arial" w:eastAsia="宋体" w:cs="Arial"/>
                <w:bCs/>
                <w:kern w:val="0"/>
                <w:sz w:val="18"/>
                <w:szCs w:val="18"/>
              </w:rPr>
            </w:pPr>
          </w:p>
        </w:tc>
        <w:tc>
          <w:tcPr>
            <w:tcW w:w="381" w:type="pct"/>
            <w:vMerge w:val="restart"/>
            <w:vAlign w:val="center"/>
          </w:tcPr>
          <w:p w14:paraId="527810BD">
            <w:pPr>
              <w:widowControl/>
              <w:adjustRightInd w:val="0"/>
              <w:snapToGrid w:val="0"/>
              <w:jc w:val="center"/>
              <w:rPr>
                <w:rFonts w:ascii="Arial" w:hAnsi="Arial" w:eastAsia="宋体" w:cs="Arial"/>
                <w:bCs/>
                <w:kern w:val="0"/>
                <w:sz w:val="18"/>
                <w:szCs w:val="18"/>
              </w:rPr>
            </w:pPr>
          </w:p>
        </w:tc>
        <w:tc>
          <w:tcPr>
            <w:tcW w:w="833" w:type="pct"/>
            <w:vMerge w:val="restart"/>
            <w:vAlign w:val="center"/>
          </w:tcPr>
          <w:p w14:paraId="632714D9">
            <w:pPr>
              <w:widowControl/>
              <w:adjustRightInd w:val="0"/>
              <w:snapToGrid w:val="0"/>
              <w:jc w:val="center"/>
              <w:rPr>
                <w:rFonts w:ascii="Arial" w:hAnsi="Arial" w:eastAsia="宋体" w:cs="Arial"/>
                <w:bCs/>
                <w:kern w:val="0"/>
                <w:sz w:val="18"/>
                <w:szCs w:val="18"/>
              </w:rPr>
            </w:pPr>
          </w:p>
        </w:tc>
        <w:tc>
          <w:tcPr>
            <w:tcW w:w="521" w:type="pct"/>
            <w:vMerge w:val="restart"/>
            <w:vAlign w:val="center"/>
          </w:tcPr>
          <w:p w14:paraId="6D57C223">
            <w:pPr>
              <w:widowControl/>
              <w:adjustRightInd w:val="0"/>
              <w:snapToGrid w:val="0"/>
              <w:jc w:val="center"/>
              <w:rPr>
                <w:rFonts w:ascii="Arial" w:hAnsi="Arial" w:eastAsia="宋体" w:cs="Arial"/>
                <w:bCs/>
                <w:kern w:val="0"/>
                <w:sz w:val="18"/>
                <w:szCs w:val="18"/>
              </w:rPr>
            </w:pPr>
          </w:p>
        </w:tc>
        <w:tc>
          <w:tcPr>
            <w:tcW w:w="511" w:type="pct"/>
            <w:vMerge w:val="restart"/>
            <w:vAlign w:val="center"/>
          </w:tcPr>
          <w:p w14:paraId="5ABFBBD7">
            <w:pPr>
              <w:widowControl/>
              <w:adjustRightInd w:val="0"/>
              <w:snapToGrid w:val="0"/>
              <w:jc w:val="center"/>
              <w:rPr>
                <w:rFonts w:ascii="Arial" w:hAnsi="Arial" w:eastAsia="宋体" w:cs="Arial"/>
                <w:bCs/>
                <w:kern w:val="0"/>
                <w:sz w:val="18"/>
                <w:szCs w:val="18"/>
              </w:rPr>
            </w:pPr>
          </w:p>
        </w:tc>
        <w:tc>
          <w:tcPr>
            <w:tcW w:w="458" w:type="pct"/>
            <w:vMerge w:val="restart"/>
            <w:vAlign w:val="center"/>
          </w:tcPr>
          <w:p w14:paraId="0895FC27">
            <w:pPr>
              <w:widowControl/>
              <w:adjustRightInd w:val="0"/>
              <w:snapToGrid w:val="0"/>
              <w:jc w:val="center"/>
              <w:rPr>
                <w:rFonts w:ascii="Arial" w:hAnsi="Arial" w:eastAsia="宋体" w:cs="Arial"/>
                <w:bCs/>
                <w:sz w:val="18"/>
                <w:szCs w:val="18"/>
              </w:rPr>
            </w:pPr>
          </w:p>
        </w:tc>
        <w:tc>
          <w:tcPr>
            <w:tcW w:w="445" w:type="pct"/>
            <w:vMerge w:val="restart"/>
            <w:vAlign w:val="center"/>
          </w:tcPr>
          <w:p w14:paraId="7CF71DDC">
            <w:pPr>
              <w:widowControl/>
              <w:adjustRightInd w:val="0"/>
              <w:snapToGrid w:val="0"/>
              <w:jc w:val="center"/>
              <w:rPr>
                <w:rFonts w:ascii="Arial" w:hAnsi="Arial" w:eastAsia="宋体" w:cs="Arial"/>
                <w:bCs/>
                <w:sz w:val="18"/>
                <w:szCs w:val="18"/>
              </w:rPr>
            </w:pPr>
          </w:p>
        </w:tc>
        <w:tc>
          <w:tcPr>
            <w:tcW w:w="423" w:type="pct"/>
            <w:vMerge w:val="restart"/>
            <w:vAlign w:val="center"/>
          </w:tcPr>
          <w:p w14:paraId="2F417BE1">
            <w:pPr>
              <w:widowControl/>
              <w:adjustRightInd w:val="0"/>
              <w:snapToGrid w:val="0"/>
              <w:jc w:val="center"/>
              <w:rPr>
                <w:rFonts w:ascii="Arial" w:hAnsi="Arial" w:eastAsia="宋体" w:cs="Arial"/>
                <w:bCs/>
                <w:sz w:val="18"/>
                <w:szCs w:val="18"/>
              </w:rPr>
            </w:pPr>
          </w:p>
        </w:tc>
        <w:tc>
          <w:tcPr>
            <w:tcW w:w="374" w:type="pct"/>
            <w:vMerge w:val="restart"/>
            <w:vAlign w:val="center"/>
          </w:tcPr>
          <w:p w14:paraId="7E3A436C">
            <w:pPr>
              <w:widowControl/>
              <w:adjustRightInd w:val="0"/>
              <w:snapToGrid w:val="0"/>
              <w:jc w:val="center"/>
              <w:rPr>
                <w:rFonts w:ascii="Arial" w:hAnsi="Arial" w:eastAsia="宋体" w:cs="Arial"/>
                <w:bCs/>
                <w:sz w:val="18"/>
                <w:szCs w:val="18"/>
              </w:rPr>
            </w:pPr>
          </w:p>
        </w:tc>
      </w:tr>
      <w:tr w14:paraId="5F33A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22" w:type="pct"/>
            <w:vMerge w:val="continue"/>
            <w:vAlign w:val="center"/>
          </w:tcPr>
          <w:p w14:paraId="641E3CEC">
            <w:pPr>
              <w:widowControl/>
              <w:jc w:val="left"/>
              <w:rPr>
                <w:rFonts w:ascii="Arial" w:hAnsi="Arial" w:eastAsia="宋体" w:cs="Arial"/>
                <w:bCs/>
                <w:kern w:val="0"/>
                <w:sz w:val="18"/>
                <w:szCs w:val="18"/>
              </w:rPr>
            </w:pPr>
          </w:p>
        </w:tc>
        <w:tc>
          <w:tcPr>
            <w:tcW w:w="447" w:type="pct"/>
            <w:vAlign w:val="center"/>
          </w:tcPr>
          <w:p w14:paraId="77140631">
            <w:pPr>
              <w:adjustRightInd w:val="0"/>
              <w:snapToGrid w:val="0"/>
              <w:jc w:val="center"/>
              <w:rPr>
                <w:rFonts w:ascii="Arial" w:hAnsi="Arial" w:eastAsia="宋体" w:cs="Arial"/>
                <w:bCs/>
                <w:kern w:val="0"/>
                <w:sz w:val="18"/>
                <w:szCs w:val="18"/>
              </w:rPr>
            </w:pPr>
          </w:p>
        </w:tc>
        <w:tc>
          <w:tcPr>
            <w:tcW w:w="385" w:type="pct"/>
            <w:vAlign w:val="center"/>
          </w:tcPr>
          <w:p w14:paraId="563E8B8C">
            <w:pPr>
              <w:adjustRightInd w:val="0"/>
              <w:snapToGrid w:val="0"/>
              <w:jc w:val="center"/>
              <w:rPr>
                <w:rFonts w:ascii="Arial" w:hAnsi="Arial" w:eastAsia="宋体" w:cs="Arial"/>
                <w:bCs/>
                <w:kern w:val="0"/>
                <w:sz w:val="18"/>
                <w:szCs w:val="18"/>
              </w:rPr>
            </w:pPr>
          </w:p>
        </w:tc>
        <w:tc>
          <w:tcPr>
            <w:tcW w:w="381" w:type="pct"/>
            <w:vMerge w:val="continue"/>
            <w:vAlign w:val="center"/>
          </w:tcPr>
          <w:p w14:paraId="387C5C8A">
            <w:pPr>
              <w:widowControl/>
              <w:jc w:val="left"/>
              <w:rPr>
                <w:rFonts w:ascii="Arial" w:hAnsi="Arial" w:eastAsia="宋体" w:cs="Arial"/>
                <w:bCs/>
                <w:kern w:val="0"/>
                <w:sz w:val="18"/>
                <w:szCs w:val="18"/>
              </w:rPr>
            </w:pPr>
          </w:p>
        </w:tc>
        <w:tc>
          <w:tcPr>
            <w:tcW w:w="833" w:type="pct"/>
            <w:vMerge w:val="continue"/>
            <w:vAlign w:val="center"/>
          </w:tcPr>
          <w:p w14:paraId="15F6FC71">
            <w:pPr>
              <w:widowControl/>
              <w:jc w:val="left"/>
              <w:rPr>
                <w:rFonts w:ascii="Arial" w:hAnsi="Arial" w:eastAsia="宋体" w:cs="Arial"/>
                <w:bCs/>
                <w:kern w:val="0"/>
                <w:sz w:val="18"/>
                <w:szCs w:val="18"/>
              </w:rPr>
            </w:pPr>
          </w:p>
        </w:tc>
        <w:tc>
          <w:tcPr>
            <w:tcW w:w="521" w:type="pct"/>
            <w:vMerge w:val="continue"/>
            <w:vAlign w:val="center"/>
          </w:tcPr>
          <w:p w14:paraId="3F3F3A84">
            <w:pPr>
              <w:widowControl/>
              <w:jc w:val="left"/>
              <w:rPr>
                <w:rFonts w:ascii="Arial" w:hAnsi="Arial" w:eastAsia="宋体" w:cs="Arial"/>
                <w:bCs/>
                <w:kern w:val="0"/>
                <w:sz w:val="18"/>
                <w:szCs w:val="18"/>
              </w:rPr>
            </w:pPr>
          </w:p>
        </w:tc>
        <w:tc>
          <w:tcPr>
            <w:tcW w:w="511" w:type="pct"/>
            <w:vMerge w:val="continue"/>
            <w:vAlign w:val="center"/>
          </w:tcPr>
          <w:p w14:paraId="77B4AE05">
            <w:pPr>
              <w:widowControl/>
              <w:jc w:val="left"/>
              <w:rPr>
                <w:rFonts w:ascii="Arial" w:hAnsi="Arial" w:eastAsia="宋体" w:cs="Arial"/>
                <w:bCs/>
                <w:kern w:val="0"/>
                <w:sz w:val="18"/>
                <w:szCs w:val="18"/>
              </w:rPr>
            </w:pPr>
          </w:p>
        </w:tc>
        <w:tc>
          <w:tcPr>
            <w:tcW w:w="458" w:type="pct"/>
            <w:vMerge w:val="continue"/>
            <w:vAlign w:val="center"/>
          </w:tcPr>
          <w:p w14:paraId="6984EE60">
            <w:pPr>
              <w:widowControl/>
              <w:jc w:val="left"/>
              <w:rPr>
                <w:rFonts w:ascii="Arial" w:hAnsi="Arial" w:eastAsia="宋体" w:cs="Arial"/>
                <w:bCs/>
                <w:sz w:val="18"/>
                <w:szCs w:val="18"/>
              </w:rPr>
            </w:pPr>
          </w:p>
        </w:tc>
        <w:tc>
          <w:tcPr>
            <w:tcW w:w="445" w:type="pct"/>
            <w:vMerge w:val="continue"/>
            <w:vAlign w:val="center"/>
          </w:tcPr>
          <w:p w14:paraId="2BB9BCC2">
            <w:pPr>
              <w:widowControl/>
              <w:jc w:val="left"/>
              <w:rPr>
                <w:rFonts w:ascii="Arial" w:hAnsi="Arial" w:eastAsia="宋体" w:cs="Arial"/>
                <w:bCs/>
                <w:sz w:val="18"/>
                <w:szCs w:val="18"/>
              </w:rPr>
            </w:pPr>
          </w:p>
        </w:tc>
        <w:tc>
          <w:tcPr>
            <w:tcW w:w="423" w:type="pct"/>
            <w:vMerge w:val="continue"/>
            <w:vAlign w:val="center"/>
          </w:tcPr>
          <w:p w14:paraId="0F8B16D3">
            <w:pPr>
              <w:widowControl/>
              <w:jc w:val="left"/>
              <w:rPr>
                <w:rFonts w:ascii="Arial" w:hAnsi="Arial" w:eastAsia="宋体" w:cs="Arial"/>
                <w:bCs/>
                <w:sz w:val="18"/>
                <w:szCs w:val="18"/>
              </w:rPr>
            </w:pPr>
          </w:p>
        </w:tc>
        <w:tc>
          <w:tcPr>
            <w:tcW w:w="374" w:type="pct"/>
            <w:vMerge w:val="continue"/>
            <w:vAlign w:val="center"/>
          </w:tcPr>
          <w:p w14:paraId="65F766E7">
            <w:pPr>
              <w:widowControl/>
              <w:jc w:val="left"/>
              <w:rPr>
                <w:rFonts w:ascii="Arial" w:hAnsi="Arial" w:eastAsia="宋体" w:cs="Arial"/>
                <w:bCs/>
                <w:sz w:val="18"/>
                <w:szCs w:val="18"/>
              </w:rPr>
            </w:pPr>
          </w:p>
        </w:tc>
      </w:tr>
      <w:tr w14:paraId="56327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Merge w:val="restart"/>
            <w:vAlign w:val="center"/>
          </w:tcPr>
          <w:p w14:paraId="5C67928B">
            <w:pPr>
              <w:widowControl/>
              <w:adjustRightInd w:val="0"/>
              <w:snapToGrid w:val="0"/>
              <w:jc w:val="center"/>
              <w:rPr>
                <w:rFonts w:ascii="Arial" w:hAnsi="Arial" w:eastAsia="宋体" w:cs="Arial"/>
                <w:bCs/>
                <w:kern w:val="0"/>
                <w:sz w:val="18"/>
                <w:szCs w:val="18"/>
              </w:rPr>
            </w:pPr>
          </w:p>
        </w:tc>
        <w:tc>
          <w:tcPr>
            <w:tcW w:w="447" w:type="pct"/>
            <w:vMerge w:val="restart"/>
            <w:vAlign w:val="center"/>
          </w:tcPr>
          <w:p w14:paraId="0C6DD1E4">
            <w:pPr>
              <w:widowControl/>
              <w:adjustRightInd w:val="0"/>
              <w:snapToGrid w:val="0"/>
              <w:jc w:val="center"/>
              <w:rPr>
                <w:rFonts w:ascii="Arial" w:hAnsi="Arial" w:eastAsia="宋体" w:cs="Arial"/>
                <w:bCs/>
                <w:kern w:val="0"/>
                <w:sz w:val="18"/>
                <w:szCs w:val="18"/>
              </w:rPr>
            </w:pPr>
          </w:p>
        </w:tc>
        <w:tc>
          <w:tcPr>
            <w:tcW w:w="385" w:type="pct"/>
            <w:vMerge w:val="restart"/>
            <w:vAlign w:val="center"/>
          </w:tcPr>
          <w:p w14:paraId="6C19C0D0">
            <w:pPr>
              <w:widowControl/>
              <w:adjustRightInd w:val="0"/>
              <w:snapToGrid w:val="0"/>
              <w:jc w:val="center"/>
              <w:rPr>
                <w:rFonts w:ascii="Arial" w:hAnsi="Arial" w:eastAsia="宋体" w:cs="Arial"/>
                <w:bCs/>
                <w:kern w:val="0"/>
                <w:sz w:val="18"/>
                <w:szCs w:val="18"/>
              </w:rPr>
            </w:pPr>
          </w:p>
        </w:tc>
        <w:tc>
          <w:tcPr>
            <w:tcW w:w="381" w:type="pct"/>
            <w:vMerge w:val="restart"/>
            <w:vAlign w:val="center"/>
          </w:tcPr>
          <w:p w14:paraId="3306D31D">
            <w:pPr>
              <w:widowControl/>
              <w:adjustRightInd w:val="0"/>
              <w:snapToGrid w:val="0"/>
              <w:jc w:val="center"/>
              <w:rPr>
                <w:rFonts w:ascii="Arial" w:hAnsi="Arial" w:eastAsia="宋体" w:cs="Arial"/>
                <w:bCs/>
                <w:kern w:val="0"/>
                <w:sz w:val="18"/>
                <w:szCs w:val="18"/>
              </w:rPr>
            </w:pPr>
          </w:p>
        </w:tc>
        <w:tc>
          <w:tcPr>
            <w:tcW w:w="833" w:type="pct"/>
            <w:vAlign w:val="center"/>
          </w:tcPr>
          <w:p w14:paraId="27DDDA93">
            <w:pPr>
              <w:widowControl/>
              <w:adjustRightInd w:val="0"/>
              <w:snapToGrid w:val="0"/>
              <w:jc w:val="center"/>
              <w:rPr>
                <w:rFonts w:ascii="Arial" w:hAnsi="Arial" w:eastAsia="宋体" w:cs="Arial"/>
                <w:bCs/>
                <w:kern w:val="0"/>
                <w:sz w:val="18"/>
                <w:szCs w:val="18"/>
              </w:rPr>
            </w:pPr>
          </w:p>
        </w:tc>
        <w:tc>
          <w:tcPr>
            <w:tcW w:w="521" w:type="pct"/>
            <w:vAlign w:val="center"/>
          </w:tcPr>
          <w:p w14:paraId="0517077B">
            <w:pPr>
              <w:widowControl/>
              <w:adjustRightInd w:val="0"/>
              <w:snapToGrid w:val="0"/>
              <w:jc w:val="center"/>
              <w:rPr>
                <w:rFonts w:ascii="Arial" w:hAnsi="Arial" w:eastAsia="宋体" w:cs="Arial"/>
                <w:bCs/>
                <w:kern w:val="0"/>
                <w:sz w:val="18"/>
                <w:szCs w:val="18"/>
              </w:rPr>
            </w:pPr>
          </w:p>
        </w:tc>
        <w:tc>
          <w:tcPr>
            <w:tcW w:w="511" w:type="pct"/>
            <w:vAlign w:val="center"/>
          </w:tcPr>
          <w:p w14:paraId="5F86B77F">
            <w:pPr>
              <w:widowControl/>
              <w:adjustRightInd w:val="0"/>
              <w:snapToGrid w:val="0"/>
              <w:jc w:val="center"/>
              <w:rPr>
                <w:rFonts w:ascii="Arial" w:hAnsi="Arial" w:eastAsia="宋体" w:cs="Arial"/>
                <w:bCs/>
                <w:kern w:val="0"/>
                <w:sz w:val="18"/>
                <w:szCs w:val="18"/>
              </w:rPr>
            </w:pPr>
          </w:p>
        </w:tc>
        <w:tc>
          <w:tcPr>
            <w:tcW w:w="458" w:type="pct"/>
            <w:vAlign w:val="center"/>
          </w:tcPr>
          <w:p w14:paraId="4E3A7DB8">
            <w:pPr>
              <w:widowControl/>
              <w:adjustRightInd w:val="0"/>
              <w:snapToGrid w:val="0"/>
              <w:jc w:val="center"/>
              <w:rPr>
                <w:rFonts w:ascii="Arial" w:hAnsi="Arial" w:eastAsia="宋体" w:cs="Arial"/>
                <w:bCs/>
                <w:kern w:val="0"/>
                <w:sz w:val="18"/>
                <w:szCs w:val="18"/>
              </w:rPr>
            </w:pPr>
          </w:p>
        </w:tc>
        <w:tc>
          <w:tcPr>
            <w:tcW w:w="445" w:type="pct"/>
            <w:vAlign w:val="center"/>
          </w:tcPr>
          <w:p w14:paraId="34F5DBFA">
            <w:pPr>
              <w:widowControl/>
              <w:adjustRightInd w:val="0"/>
              <w:snapToGrid w:val="0"/>
              <w:jc w:val="center"/>
              <w:rPr>
                <w:rFonts w:ascii="Arial" w:hAnsi="Arial" w:eastAsia="宋体" w:cs="Arial"/>
                <w:bCs/>
                <w:kern w:val="0"/>
                <w:sz w:val="18"/>
                <w:szCs w:val="18"/>
              </w:rPr>
            </w:pPr>
          </w:p>
        </w:tc>
        <w:tc>
          <w:tcPr>
            <w:tcW w:w="423" w:type="pct"/>
            <w:vAlign w:val="center"/>
          </w:tcPr>
          <w:p w14:paraId="5704E162">
            <w:pPr>
              <w:widowControl/>
              <w:adjustRightInd w:val="0"/>
              <w:snapToGrid w:val="0"/>
              <w:jc w:val="center"/>
              <w:rPr>
                <w:rFonts w:ascii="Arial" w:hAnsi="Arial" w:eastAsia="宋体" w:cs="Arial"/>
                <w:bCs/>
                <w:kern w:val="0"/>
                <w:sz w:val="18"/>
                <w:szCs w:val="18"/>
              </w:rPr>
            </w:pPr>
          </w:p>
        </w:tc>
        <w:tc>
          <w:tcPr>
            <w:tcW w:w="374" w:type="pct"/>
            <w:vAlign w:val="center"/>
          </w:tcPr>
          <w:p w14:paraId="71474517">
            <w:pPr>
              <w:adjustRightInd w:val="0"/>
              <w:snapToGrid w:val="0"/>
              <w:jc w:val="center"/>
              <w:rPr>
                <w:rFonts w:ascii="Arial" w:hAnsi="Arial" w:eastAsia="宋体" w:cs="Arial"/>
                <w:bCs/>
                <w:sz w:val="18"/>
                <w:szCs w:val="18"/>
              </w:rPr>
            </w:pPr>
          </w:p>
        </w:tc>
      </w:tr>
      <w:tr w14:paraId="284B4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Merge w:val="continue"/>
            <w:vAlign w:val="center"/>
          </w:tcPr>
          <w:p w14:paraId="6827D690">
            <w:pPr>
              <w:widowControl/>
              <w:jc w:val="left"/>
              <w:rPr>
                <w:rFonts w:ascii="Arial" w:hAnsi="Arial" w:eastAsia="宋体" w:cs="Arial"/>
                <w:bCs/>
                <w:kern w:val="0"/>
                <w:sz w:val="18"/>
                <w:szCs w:val="18"/>
              </w:rPr>
            </w:pPr>
          </w:p>
        </w:tc>
        <w:tc>
          <w:tcPr>
            <w:tcW w:w="447" w:type="pct"/>
            <w:vMerge w:val="continue"/>
            <w:vAlign w:val="center"/>
          </w:tcPr>
          <w:p w14:paraId="5B5F4028">
            <w:pPr>
              <w:widowControl/>
              <w:jc w:val="left"/>
              <w:rPr>
                <w:rFonts w:ascii="Arial" w:hAnsi="Arial" w:eastAsia="宋体" w:cs="Arial"/>
                <w:bCs/>
                <w:kern w:val="0"/>
                <w:sz w:val="18"/>
                <w:szCs w:val="18"/>
              </w:rPr>
            </w:pPr>
          </w:p>
        </w:tc>
        <w:tc>
          <w:tcPr>
            <w:tcW w:w="385" w:type="pct"/>
            <w:vMerge w:val="continue"/>
            <w:vAlign w:val="center"/>
          </w:tcPr>
          <w:p w14:paraId="702D234F">
            <w:pPr>
              <w:widowControl/>
              <w:jc w:val="left"/>
              <w:rPr>
                <w:rFonts w:ascii="Arial" w:hAnsi="Arial" w:eastAsia="宋体" w:cs="Arial"/>
                <w:bCs/>
                <w:kern w:val="0"/>
                <w:sz w:val="18"/>
                <w:szCs w:val="18"/>
              </w:rPr>
            </w:pPr>
          </w:p>
        </w:tc>
        <w:tc>
          <w:tcPr>
            <w:tcW w:w="381" w:type="pct"/>
            <w:vMerge w:val="continue"/>
            <w:vAlign w:val="center"/>
          </w:tcPr>
          <w:p w14:paraId="0EB0734E">
            <w:pPr>
              <w:widowControl/>
              <w:jc w:val="left"/>
              <w:rPr>
                <w:rFonts w:ascii="Arial" w:hAnsi="Arial" w:eastAsia="宋体" w:cs="Arial"/>
                <w:bCs/>
                <w:kern w:val="0"/>
                <w:sz w:val="18"/>
                <w:szCs w:val="18"/>
              </w:rPr>
            </w:pPr>
          </w:p>
        </w:tc>
        <w:tc>
          <w:tcPr>
            <w:tcW w:w="833" w:type="pct"/>
            <w:vAlign w:val="center"/>
          </w:tcPr>
          <w:p w14:paraId="22443681">
            <w:pPr>
              <w:widowControl/>
              <w:adjustRightInd w:val="0"/>
              <w:snapToGrid w:val="0"/>
              <w:jc w:val="center"/>
              <w:rPr>
                <w:rFonts w:ascii="Arial" w:hAnsi="Arial" w:eastAsia="宋体" w:cs="Arial"/>
                <w:bCs/>
                <w:kern w:val="0"/>
                <w:sz w:val="18"/>
                <w:szCs w:val="18"/>
              </w:rPr>
            </w:pPr>
          </w:p>
        </w:tc>
        <w:tc>
          <w:tcPr>
            <w:tcW w:w="521" w:type="pct"/>
            <w:vAlign w:val="center"/>
          </w:tcPr>
          <w:p w14:paraId="2DEBAB10">
            <w:pPr>
              <w:widowControl/>
              <w:adjustRightInd w:val="0"/>
              <w:snapToGrid w:val="0"/>
              <w:jc w:val="center"/>
              <w:rPr>
                <w:rFonts w:ascii="Arial" w:hAnsi="Arial" w:eastAsia="宋体" w:cs="Arial"/>
                <w:bCs/>
                <w:kern w:val="0"/>
                <w:sz w:val="18"/>
                <w:szCs w:val="18"/>
              </w:rPr>
            </w:pPr>
          </w:p>
        </w:tc>
        <w:tc>
          <w:tcPr>
            <w:tcW w:w="511" w:type="pct"/>
            <w:vAlign w:val="center"/>
          </w:tcPr>
          <w:p w14:paraId="450E4121">
            <w:pPr>
              <w:widowControl/>
              <w:adjustRightInd w:val="0"/>
              <w:snapToGrid w:val="0"/>
              <w:jc w:val="center"/>
              <w:rPr>
                <w:rFonts w:ascii="Arial" w:hAnsi="Arial" w:eastAsia="宋体" w:cs="Arial"/>
                <w:bCs/>
                <w:kern w:val="0"/>
                <w:sz w:val="18"/>
                <w:szCs w:val="18"/>
              </w:rPr>
            </w:pPr>
          </w:p>
        </w:tc>
        <w:tc>
          <w:tcPr>
            <w:tcW w:w="458" w:type="pct"/>
            <w:vAlign w:val="center"/>
          </w:tcPr>
          <w:p w14:paraId="4EE5714B">
            <w:pPr>
              <w:widowControl/>
              <w:adjustRightInd w:val="0"/>
              <w:snapToGrid w:val="0"/>
              <w:jc w:val="center"/>
              <w:rPr>
                <w:rFonts w:ascii="Arial" w:hAnsi="Arial" w:eastAsia="宋体" w:cs="Arial"/>
                <w:bCs/>
                <w:kern w:val="0"/>
                <w:sz w:val="18"/>
                <w:szCs w:val="18"/>
              </w:rPr>
            </w:pPr>
          </w:p>
        </w:tc>
        <w:tc>
          <w:tcPr>
            <w:tcW w:w="445" w:type="pct"/>
            <w:vAlign w:val="center"/>
          </w:tcPr>
          <w:p w14:paraId="53383013">
            <w:pPr>
              <w:widowControl/>
              <w:adjustRightInd w:val="0"/>
              <w:snapToGrid w:val="0"/>
              <w:jc w:val="center"/>
              <w:rPr>
                <w:rFonts w:ascii="Arial" w:hAnsi="Arial" w:eastAsia="宋体" w:cs="Arial"/>
                <w:bCs/>
                <w:kern w:val="0"/>
                <w:sz w:val="18"/>
                <w:szCs w:val="18"/>
              </w:rPr>
            </w:pPr>
          </w:p>
        </w:tc>
        <w:tc>
          <w:tcPr>
            <w:tcW w:w="423" w:type="pct"/>
            <w:vAlign w:val="center"/>
          </w:tcPr>
          <w:p w14:paraId="2D991CF9">
            <w:pPr>
              <w:widowControl/>
              <w:adjustRightInd w:val="0"/>
              <w:snapToGrid w:val="0"/>
              <w:jc w:val="center"/>
              <w:rPr>
                <w:rFonts w:ascii="Arial" w:hAnsi="Arial" w:eastAsia="宋体" w:cs="Arial"/>
                <w:bCs/>
                <w:kern w:val="0"/>
                <w:sz w:val="18"/>
                <w:szCs w:val="18"/>
              </w:rPr>
            </w:pPr>
          </w:p>
        </w:tc>
        <w:tc>
          <w:tcPr>
            <w:tcW w:w="374" w:type="pct"/>
            <w:vAlign w:val="center"/>
          </w:tcPr>
          <w:p w14:paraId="65F94EA7">
            <w:pPr>
              <w:adjustRightInd w:val="0"/>
              <w:snapToGrid w:val="0"/>
              <w:jc w:val="center"/>
              <w:rPr>
                <w:rFonts w:ascii="Arial" w:hAnsi="Arial" w:eastAsia="宋体" w:cs="Arial"/>
                <w:bCs/>
                <w:sz w:val="18"/>
                <w:szCs w:val="18"/>
              </w:rPr>
            </w:pPr>
          </w:p>
        </w:tc>
      </w:tr>
      <w:tr w14:paraId="7ACD6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Merge w:val="continue"/>
            <w:vAlign w:val="center"/>
          </w:tcPr>
          <w:p w14:paraId="69F539B2">
            <w:pPr>
              <w:widowControl/>
              <w:jc w:val="left"/>
              <w:rPr>
                <w:rFonts w:ascii="Arial" w:hAnsi="Arial" w:eastAsia="宋体" w:cs="Arial"/>
                <w:bCs/>
                <w:kern w:val="0"/>
                <w:sz w:val="18"/>
                <w:szCs w:val="18"/>
              </w:rPr>
            </w:pPr>
          </w:p>
        </w:tc>
        <w:tc>
          <w:tcPr>
            <w:tcW w:w="447" w:type="pct"/>
            <w:vMerge w:val="continue"/>
            <w:vAlign w:val="center"/>
          </w:tcPr>
          <w:p w14:paraId="7FB35666">
            <w:pPr>
              <w:widowControl/>
              <w:jc w:val="left"/>
              <w:rPr>
                <w:rFonts w:ascii="Arial" w:hAnsi="Arial" w:eastAsia="宋体" w:cs="Arial"/>
                <w:bCs/>
                <w:kern w:val="0"/>
                <w:sz w:val="18"/>
                <w:szCs w:val="18"/>
              </w:rPr>
            </w:pPr>
          </w:p>
        </w:tc>
        <w:tc>
          <w:tcPr>
            <w:tcW w:w="385" w:type="pct"/>
            <w:vMerge w:val="continue"/>
            <w:vAlign w:val="center"/>
          </w:tcPr>
          <w:p w14:paraId="1E06871C">
            <w:pPr>
              <w:widowControl/>
              <w:jc w:val="left"/>
              <w:rPr>
                <w:rFonts w:ascii="Arial" w:hAnsi="Arial" w:eastAsia="宋体" w:cs="Arial"/>
                <w:bCs/>
                <w:kern w:val="0"/>
                <w:sz w:val="18"/>
                <w:szCs w:val="18"/>
              </w:rPr>
            </w:pPr>
          </w:p>
        </w:tc>
        <w:tc>
          <w:tcPr>
            <w:tcW w:w="381" w:type="pct"/>
            <w:vMerge w:val="restart"/>
            <w:vAlign w:val="center"/>
          </w:tcPr>
          <w:p w14:paraId="7B7A00FB">
            <w:pPr>
              <w:widowControl/>
              <w:adjustRightInd w:val="0"/>
              <w:snapToGrid w:val="0"/>
              <w:jc w:val="center"/>
              <w:rPr>
                <w:rFonts w:ascii="Arial" w:hAnsi="Arial" w:eastAsia="宋体" w:cs="Arial"/>
                <w:bCs/>
                <w:kern w:val="0"/>
                <w:sz w:val="18"/>
                <w:szCs w:val="18"/>
              </w:rPr>
            </w:pPr>
          </w:p>
        </w:tc>
        <w:tc>
          <w:tcPr>
            <w:tcW w:w="833" w:type="pct"/>
            <w:vAlign w:val="center"/>
          </w:tcPr>
          <w:p w14:paraId="128485C9">
            <w:pPr>
              <w:widowControl/>
              <w:adjustRightInd w:val="0"/>
              <w:snapToGrid w:val="0"/>
              <w:jc w:val="center"/>
              <w:rPr>
                <w:rFonts w:ascii="Arial" w:hAnsi="Arial" w:eastAsia="宋体" w:cs="Arial"/>
                <w:bCs/>
                <w:kern w:val="0"/>
                <w:sz w:val="18"/>
                <w:szCs w:val="18"/>
              </w:rPr>
            </w:pPr>
          </w:p>
        </w:tc>
        <w:tc>
          <w:tcPr>
            <w:tcW w:w="521" w:type="pct"/>
            <w:vAlign w:val="center"/>
          </w:tcPr>
          <w:p w14:paraId="010D3961">
            <w:pPr>
              <w:widowControl/>
              <w:adjustRightInd w:val="0"/>
              <w:snapToGrid w:val="0"/>
              <w:jc w:val="center"/>
              <w:rPr>
                <w:rFonts w:ascii="Arial" w:hAnsi="Arial" w:eastAsia="宋体" w:cs="Arial"/>
                <w:bCs/>
                <w:kern w:val="0"/>
                <w:sz w:val="18"/>
                <w:szCs w:val="18"/>
              </w:rPr>
            </w:pPr>
          </w:p>
        </w:tc>
        <w:tc>
          <w:tcPr>
            <w:tcW w:w="511" w:type="pct"/>
            <w:vAlign w:val="center"/>
          </w:tcPr>
          <w:p w14:paraId="735EEB0B">
            <w:pPr>
              <w:widowControl/>
              <w:adjustRightInd w:val="0"/>
              <w:snapToGrid w:val="0"/>
              <w:jc w:val="center"/>
              <w:rPr>
                <w:rFonts w:ascii="Arial" w:hAnsi="Arial" w:eastAsia="宋体" w:cs="Arial"/>
                <w:bCs/>
                <w:kern w:val="0"/>
                <w:sz w:val="18"/>
                <w:szCs w:val="18"/>
              </w:rPr>
            </w:pPr>
          </w:p>
        </w:tc>
        <w:tc>
          <w:tcPr>
            <w:tcW w:w="458" w:type="pct"/>
            <w:vAlign w:val="center"/>
          </w:tcPr>
          <w:p w14:paraId="1B6BF6AB">
            <w:pPr>
              <w:widowControl/>
              <w:adjustRightInd w:val="0"/>
              <w:snapToGrid w:val="0"/>
              <w:jc w:val="center"/>
              <w:rPr>
                <w:rFonts w:ascii="Arial" w:hAnsi="Arial" w:eastAsia="宋体" w:cs="Arial"/>
                <w:bCs/>
                <w:kern w:val="0"/>
                <w:sz w:val="18"/>
                <w:szCs w:val="18"/>
              </w:rPr>
            </w:pPr>
          </w:p>
        </w:tc>
        <w:tc>
          <w:tcPr>
            <w:tcW w:w="445" w:type="pct"/>
            <w:vAlign w:val="center"/>
          </w:tcPr>
          <w:p w14:paraId="17E2ABE8">
            <w:pPr>
              <w:widowControl/>
              <w:adjustRightInd w:val="0"/>
              <w:snapToGrid w:val="0"/>
              <w:jc w:val="center"/>
              <w:rPr>
                <w:rFonts w:ascii="Arial" w:hAnsi="Arial" w:eastAsia="宋体" w:cs="Arial"/>
                <w:bCs/>
                <w:kern w:val="0"/>
                <w:sz w:val="18"/>
                <w:szCs w:val="18"/>
              </w:rPr>
            </w:pPr>
          </w:p>
        </w:tc>
        <w:tc>
          <w:tcPr>
            <w:tcW w:w="423" w:type="pct"/>
            <w:vAlign w:val="center"/>
          </w:tcPr>
          <w:p w14:paraId="6DE99615">
            <w:pPr>
              <w:widowControl/>
              <w:adjustRightInd w:val="0"/>
              <w:snapToGrid w:val="0"/>
              <w:jc w:val="center"/>
              <w:rPr>
                <w:rFonts w:ascii="Arial" w:hAnsi="Arial" w:eastAsia="宋体" w:cs="Arial"/>
                <w:bCs/>
                <w:kern w:val="0"/>
                <w:sz w:val="18"/>
                <w:szCs w:val="18"/>
              </w:rPr>
            </w:pPr>
          </w:p>
        </w:tc>
        <w:tc>
          <w:tcPr>
            <w:tcW w:w="374" w:type="pct"/>
            <w:vAlign w:val="center"/>
          </w:tcPr>
          <w:p w14:paraId="352F8350">
            <w:pPr>
              <w:adjustRightInd w:val="0"/>
              <w:snapToGrid w:val="0"/>
              <w:jc w:val="center"/>
              <w:rPr>
                <w:rFonts w:ascii="Arial" w:hAnsi="Arial" w:eastAsia="宋体" w:cs="Arial"/>
                <w:bCs/>
                <w:sz w:val="18"/>
                <w:szCs w:val="18"/>
              </w:rPr>
            </w:pPr>
          </w:p>
        </w:tc>
      </w:tr>
      <w:tr w14:paraId="1F4FC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Merge w:val="continue"/>
            <w:vAlign w:val="center"/>
          </w:tcPr>
          <w:p w14:paraId="35BECB70">
            <w:pPr>
              <w:widowControl/>
              <w:jc w:val="left"/>
              <w:rPr>
                <w:rFonts w:ascii="Arial" w:hAnsi="Arial" w:eastAsia="宋体" w:cs="Arial"/>
                <w:bCs/>
                <w:kern w:val="0"/>
                <w:sz w:val="18"/>
                <w:szCs w:val="18"/>
              </w:rPr>
            </w:pPr>
          </w:p>
        </w:tc>
        <w:tc>
          <w:tcPr>
            <w:tcW w:w="447" w:type="pct"/>
            <w:vMerge w:val="continue"/>
            <w:vAlign w:val="center"/>
          </w:tcPr>
          <w:p w14:paraId="738F48A6">
            <w:pPr>
              <w:widowControl/>
              <w:jc w:val="left"/>
              <w:rPr>
                <w:rFonts w:ascii="Arial" w:hAnsi="Arial" w:eastAsia="宋体" w:cs="Arial"/>
                <w:bCs/>
                <w:kern w:val="0"/>
                <w:sz w:val="18"/>
                <w:szCs w:val="18"/>
              </w:rPr>
            </w:pPr>
          </w:p>
        </w:tc>
        <w:tc>
          <w:tcPr>
            <w:tcW w:w="385" w:type="pct"/>
            <w:vMerge w:val="continue"/>
            <w:vAlign w:val="center"/>
          </w:tcPr>
          <w:p w14:paraId="5AE2F4A6">
            <w:pPr>
              <w:widowControl/>
              <w:jc w:val="left"/>
              <w:rPr>
                <w:rFonts w:ascii="Arial" w:hAnsi="Arial" w:eastAsia="宋体" w:cs="Arial"/>
                <w:bCs/>
                <w:kern w:val="0"/>
                <w:sz w:val="18"/>
                <w:szCs w:val="18"/>
              </w:rPr>
            </w:pPr>
          </w:p>
        </w:tc>
        <w:tc>
          <w:tcPr>
            <w:tcW w:w="381" w:type="pct"/>
            <w:vMerge w:val="continue"/>
            <w:vAlign w:val="center"/>
          </w:tcPr>
          <w:p w14:paraId="4FD07752">
            <w:pPr>
              <w:widowControl/>
              <w:jc w:val="left"/>
              <w:rPr>
                <w:rFonts w:ascii="Arial" w:hAnsi="Arial" w:eastAsia="宋体" w:cs="Arial"/>
                <w:bCs/>
                <w:kern w:val="0"/>
                <w:sz w:val="18"/>
                <w:szCs w:val="18"/>
              </w:rPr>
            </w:pPr>
          </w:p>
        </w:tc>
        <w:tc>
          <w:tcPr>
            <w:tcW w:w="833" w:type="pct"/>
            <w:vAlign w:val="center"/>
          </w:tcPr>
          <w:p w14:paraId="0B7E57AA">
            <w:pPr>
              <w:widowControl/>
              <w:adjustRightInd w:val="0"/>
              <w:snapToGrid w:val="0"/>
              <w:jc w:val="center"/>
              <w:rPr>
                <w:rFonts w:ascii="Arial" w:hAnsi="Arial" w:eastAsia="宋体" w:cs="Arial"/>
                <w:bCs/>
                <w:kern w:val="0"/>
                <w:sz w:val="18"/>
                <w:szCs w:val="18"/>
              </w:rPr>
            </w:pPr>
          </w:p>
        </w:tc>
        <w:tc>
          <w:tcPr>
            <w:tcW w:w="521" w:type="pct"/>
            <w:vAlign w:val="center"/>
          </w:tcPr>
          <w:p w14:paraId="08F5C431">
            <w:pPr>
              <w:widowControl/>
              <w:adjustRightInd w:val="0"/>
              <w:snapToGrid w:val="0"/>
              <w:jc w:val="center"/>
              <w:rPr>
                <w:rFonts w:ascii="Arial" w:hAnsi="Arial" w:eastAsia="宋体" w:cs="Arial"/>
                <w:bCs/>
                <w:kern w:val="0"/>
                <w:sz w:val="18"/>
                <w:szCs w:val="18"/>
              </w:rPr>
            </w:pPr>
          </w:p>
        </w:tc>
        <w:tc>
          <w:tcPr>
            <w:tcW w:w="511" w:type="pct"/>
            <w:vAlign w:val="center"/>
          </w:tcPr>
          <w:p w14:paraId="57743E74">
            <w:pPr>
              <w:widowControl/>
              <w:adjustRightInd w:val="0"/>
              <w:snapToGrid w:val="0"/>
              <w:jc w:val="center"/>
              <w:rPr>
                <w:rFonts w:ascii="Arial" w:hAnsi="Arial" w:eastAsia="宋体" w:cs="Arial"/>
                <w:bCs/>
                <w:kern w:val="0"/>
                <w:sz w:val="18"/>
                <w:szCs w:val="18"/>
              </w:rPr>
            </w:pPr>
          </w:p>
        </w:tc>
        <w:tc>
          <w:tcPr>
            <w:tcW w:w="458" w:type="pct"/>
            <w:vAlign w:val="center"/>
          </w:tcPr>
          <w:p w14:paraId="218CB9E4">
            <w:pPr>
              <w:widowControl/>
              <w:adjustRightInd w:val="0"/>
              <w:snapToGrid w:val="0"/>
              <w:jc w:val="center"/>
              <w:rPr>
                <w:rFonts w:ascii="Arial" w:hAnsi="Arial" w:eastAsia="宋体" w:cs="Arial"/>
                <w:bCs/>
                <w:kern w:val="0"/>
                <w:sz w:val="18"/>
                <w:szCs w:val="18"/>
              </w:rPr>
            </w:pPr>
          </w:p>
        </w:tc>
        <w:tc>
          <w:tcPr>
            <w:tcW w:w="445" w:type="pct"/>
            <w:vAlign w:val="center"/>
          </w:tcPr>
          <w:p w14:paraId="2EC419D3">
            <w:pPr>
              <w:widowControl/>
              <w:adjustRightInd w:val="0"/>
              <w:snapToGrid w:val="0"/>
              <w:jc w:val="center"/>
              <w:rPr>
                <w:rFonts w:ascii="Arial" w:hAnsi="Arial" w:eastAsia="宋体" w:cs="Arial"/>
                <w:bCs/>
                <w:kern w:val="0"/>
                <w:sz w:val="18"/>
                <w:szCs w:val="18"/>
              </w:rPr>
            </w:pPr>
          </w:p>
        </w:tc>
        <w:tc>
          <w:tcPr>
            <w:tcW w:w="423" w:type="pct"/>
            <w:vAlign w:val="center"/>
          </w:tcPr>
          <w:p w14:paraId="341F7DC2">
            <w:pPr>
              <w:widowControl/>
              <w:adjustRightInd w:val="0"/>
              <w:snapToGrid w:val="0"/>
              <w:jc w:val="center"/>
              <w:rPr>
                <w:rFonts w:ascii="Arial" w:hAnsi="Arial" w:eastAsia="宋体" w:cs="Arial"/>
                <w:bCs/>
                <w:kern w:val="0"/>
                <w:sz w:val="18"/>
                <w:szCs w:val="18"/>
              </w:rPr>
            </w:pPr>
          </w:p>
        </w:tc>
        <w:tc>
          <w:tcPr>
            <w:tcW w:w="374" w:type="pct"/>
            <w:vAlign w:val="center"/>
          </w:tcPr>
          <w:p w14:paraId="3728479B">
            <w:pPr>
              <w:adjustRightInd w:val="0"/>
              <w:snapToGrid w:val="0"/>
              <w:jc w:val="center"/>
              <w:rPr>
                <w:rFonts w:ascii="Arial" w:hAnsi="Arial" w:eastAsia="宋体" w:cs="Arial"/>
                <w:bCs/>
                <w:sz w:val="18"/>
                <w:szCs w:val="18"/>
              </w:rPr>
            </w:pPr>
          </w:p>
        </w:tc>
      </w:tr>
      <w:tr w14:paraId="5A31F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Merge w:val="continue"/>
            <w:vAlign w:val="center"/>
          </w:tcPr>
          <w:p w14:paraId="5395A47B">
            <w:pPr>
              <w:widowControl/>
              <w:jc w:val="left"/>
              <w:rPr>
                <w:rFonts w:ascii="Arial" w:hAnsi="Arial" w:eastAsia="宋体" w:cs="Arial"/>
                <w:bCs/>
                <w:kern w:val="0"/>
                <w:sz w:val="18"/>
                <w:szCs w:val="18"/>
              </w:rPr>
            </w:pPr>
          </w:p>
        </w:tc>
        <w:tc>
          <w:tcPr>
            <w:tcW w:w="447" w:type="pct"/>
            <w:vMerge w:val="continue"/>
            <w:vAlign w:val="center"/>
          </w:tcPr>
          <w:p w14:paraId="2ED3D914">
            <w:pPr>
              <w:widowControl/>
              <w:jc w:val="left"/>
              <w:rPr>
                <w:rFonts w:ascii="Arial" w:hAnsi="Arial" w:eastAsia="宋体" w:cs="Arial"/>
                <w:bCs/>
                <w:kern w:val="0"/>
                <w:sz w:val="18"/>
                <w:szCs w:val="18"/>
              </w:rPr>
            </w:pPr>
          </w:p>
        </w:tc>
        <w:tc>
          <w:tcPr>
            <w:tcW w:w="385" w:type="pct"/>
            <w:vMerge w:val="continue"/>
            <w:vAlign w:val="center"/>
          </w:tcPr>
          <w:p w14:paraId="103B984E">
            <w:pPr>
              <w:widowControl/>
              <w:jc w:val="left"/>
              <w:rPr>
                <w:rFonts w:ascii="Arial" w:hAnsi="Arial" w:eastAsia="宋体" w:cs="Arial"/>
                <w:bCs/>
                <w:kern w:val="0"/>
                <w:sz w:val="18"/>
                <w:szCs w:val="18"/>
              </w:rPr>
            </w:pPr>
          </w:p>
        </w:tc>
        <w:tc>
          <w:tcPr>
            <w:tcW w:w="381" w:type="pct"/>
            <w:vAlign w:val="center"/>
          </w:tcPr>
          <w:p w14:paraId="594E991D">
            <w:pPr>
              <w:widowControl/>
              <w:adjustRightInd w:val="0"/>
              <w:snapToGrid w:val="0"/>
              <w:jc w:val="center"/>
              <w:rPr>
                <w:rFonts w:ascii="Arial" w:hAnsi="Arial" w:eastAsia="宋体" w:cs="Arial"/>
                <w:bCs/>
                <w:kern w:val="0"/>
                <w:sz w:val="18"/>
                <w:szCs w:val="18"/>
              </w:rPr>
            </w:pPr>
          </w:p>
        </w:tc>
        <w:tc>
          <w:tcPr>
            <w:tcW w:w="833" w:type="pct"/>
            <w:vAlign w:val="center"/>
          </w:tcPr>
          <w:p w14:paraId="3754D0E4">
            <w:pPr>
              <w:widowControl/>
              <w:adjustRightInd w:val="0"/>
              <w:snapToGrid w:val="0"/>
              <w:jc w:val="center"/>
              <w:rPr>
                <w:rFonts w:ascii="Arial" w:hAnsi="Arial" w:eastAsia="宋体" w:cs="Arial"/>
                <w:bCs/>
                <w:kern w:val="0"/>
                <w:sz w:val="18"/>
                <w:szCs w:val="18"/>
              </w:rPr>
            </w:pPr>
          </w:p>
        </w:tc>
        <w:tc>
          <w:tcPr>
            <w:tcW w:w="521" w:type="pct"/>
            <w:vAlign w:val="center"/>
          </w:tcPr>
          <w:p w14:paraId="4BDE8F1F">
            <w:pPr>
              <w:widowControl/>
              <w:adjustRightInd w:val="0"/>
              <w:snapToGrid w:val="0"/>
              <w:jc w:val="center"/>
              <w:rPr>
                <w:rFonts w:ascii="Arial" w:hAnsi="Arial" w:eastAsia="宋体" w:cs="Arial"/>
                <w:bCs/>
                <w:kern w:val="0"/>
                <w:sz w:val="18"/>
                <w:szCs w:val="18"/>
              </w:rPr>
            </w:pPr>
          </w:p>
        </w:tc>
        <w:tc>
          <w:tcPr>
            <w:tcW w:w="511" w:type="pct"/>
            <w:vAlign w:val="center"/>
          </w:tcPr>
          <w:p w14:paraId="34257F5D">
            <w:pPr>
              <w:widowControl/>
              <w:adjustRightInd w:val="0"/>
              <w:snapToGrid w:val="0"/>
              <w:jc w:val="center"/>
              <w:rPr>
                <w:rFonts w:ascii="Arial" w:hAnsi="Arial" w:eastAsia="宋体" w:cs="Arial"/>
                <w:bCs/>
                <w:kern w:val="0"/>
                <w:sz w:val="18"/>
                <w:szCs w:val="18"/>
              </w:rPr>
            </w:pPr>
          </w:p>
        </w:tc>
        <w:tc>
          <w:tcPr>
            <w:tcW w:w="458" w:type="pct"/>
            <w:vAlign w:val="center"/>
          </w:tcPr>
          <w:p w14:paraId="1D93EA3B">
            <w:pPr>
              <w:widowControl/>
              <w:adjustRightInd w:val="0"/>
              <w:snapToGrid w:val="0"/>
              <w:jc w:val="center"/>
              <w:rPr>
                <w:rFonts w:ascii="Arial" w:hAnsi="Arial" w:eastAsia="宋体" w:cs="Arial"/>
                <w:bCs/>
                <w:kern w:val="0"/>
                <w:sz w:val="18"/>
                <w:szCs w:val="18"/>
              </w:rPr>
            </w:pPr>
          </w:p>
        </w:tc>
        <w:tc>
          <w:tcPr>
            <w:tcW w:w="445" w:type="pct"/>
            <w:vAlign w:val="center"/>
          </w:tcPr>
          <w:p w14:paraId="4E8D8BEF">
            <w:pPr>
              <w:widowControl/>
              <w:adjustRightInd w:val="0"/>
              <w:snapToGrid w:val="0"/>
              <w:jc w:val="center"/>
              <w:rPr>
                <w:rFonts w:ascii="Arial" w:hAnsi="Arial" w:eastAsia="宋体" w:cs="Arial"/>
                <w:bCs/>
                <w:kern w:val="0"/>
                <w:sz w:val="18"/>
                <w:szCs w:val="18"/>
              </w:rPr>
            </w:pPr>
          </w:p>
        </w:tc>
        <w:tc>
          <w:tcPr>
            <w:tcW w:w="423" w:type="pct"/>
            <w:vAlign w:val="center"/>
          </w:tcPr>
          <w:p w14:paraId="273E3A00">
            <w:pPr>
              <w:widowControl/>
              <w:adjustRightInd w:val="0"/>
              <w:snapToGrid w:val="0"/>
              <w:jc w:val="center"/>
              <w:rPr>
                <w:rFonts w:ascii="Arial" w:hAnsi="Arial" w:eastAsia="宋体" w:cs="Arial"/>
                <w:bCs/>
                <w:kern w:val="0"/>
                <w:sz w:val="18"/>
                <w:szCs w:val="18"/>
              </w:rPr>
            </w:pPr>
          </w:p>
        </w:tc>
        <w:tc>
          <w:tcPr>
            <w:tcW w:w="374" w:type="pct"/>
            <w:vAlign w:val="center"/>
          </w:tcPr>
          <w:p w14:paraId="1943D43D">
            <w:pPr>
              <w:adjustRightInd w:val="0"/>
              <w:snapToGrid w:val="0"/>
              <w:jc w:val="center"/>
              <w:rPr>
                <w:rFonts w:ascii="Arial" w:hAnsi="Arial" w:eastAsia="宋体" w:cs="Arial"/>
                <w:bCs/>
                <w:sz w:val="18"/>
                <w:szCs w:val="18"/>
              </w:rPr>
            </w:pPr>
          </w:p>
        </w:tc>
      </w:tr>
      <w:tr w14:paraId="17E7D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Merge w:val="continue"/>
            <w:vAlign w:val="center"/>
          </w:tcPr>
          <w:p w14:paraId="490B2820">
            <w:pPr>
              <w:widowControl/>
              <w:jc w:val="left"/>
              <w:rPr>
                <w:rFonts w:ascii="Arial" w:hAnsi="Arial" w:eastAsia="宋体" w:cs="Arial"/>
                <w:bCs/>
                <w:kern w:val="0"/>
                <w:sz w:val="18"/>
                <w:szCs w:val="18"/>
              </w:rPr>
            </w:pPr>
          </w:p>
        </w:tc>
        <w:tc>
          <w:tcPr>
            <w:tcW w:w="447" w:type="pct"/>
            <w:vMerge w:val="continue"/>
            <w:vAlign w:val="center"/>
          </w:tcPr>
          <w:p w14:paraId="4C0F1EED">
            <w:pPr>
              <w:widowControl/>
              <w:jc w:val="left"/>
              <w:rPr>
                <w:rFonts w:ascii="Arial" w:hAnsi="Arial" w:eastAsia="宋体" w:cs="Arial"/>
                <w:bCs/>
                <w:kern w:val="0"/>
                <w:sz w:val="18"/>
                <w:szCs w:val="18"/>
              </w:rPr>
            </w:pPr>
          </w:p>
        </w:tc>
        <w:tc>
          <w:tcPr>
            <w:tcW w:w="385" w:type="pct"/>
            <w:vMerge w:val="continue"/>
            <w:vAlign w:val="center"/>
          </w:tcPr>
          <w:p w14:paraId="7B2258FD">
            <w:pPr>
              <w:widowControl/>
              <w:jc w:val="left"/>
              <w:rPr>
                <w:rFonts w:ascii="Arial" w:hAnsi="Arial" w:eastAsia="宋体" w:cs="Arial"/>
                <w:bCs/>
                <w:kern w:val="0"/>
                <w:sz w:val="18"/>
                <w:szCs w:val="18"/>
              </w:rPr>
            </w:pPr>
          </w:p>
        </w:tc>
        <w:tc>
          <w:tcPr>
            <w:tcW w:w="381" w:type="pct"/>
            <w:vAlign w:val="center"/>
          </w:tcPr>
          <w:p w14:paraId="6FBCDB84">
            <w:pPr>
              <w:widowControl/>
              <w:adjustRightInd w:val="0"/>
              <w:snapToGrid w:val="0"/>
              <w:jc w:val="center"/>
              <w:rPr>
                <w:rFonts w:ascii="Arial" w:hAnsi="Arial" w:eastAsia="宋体" w:cs="Arial"/>
                <w:bCs/>
                <w:kern w:val="0"/>
                <w:sz w:val="18"/>
                <w:szCs w:val="18"/>
              </w:rPr>
            </w:pPr>
          </w:p>
        </w:tc>
        <w:tc>
          <w:tcPr>
            <w:tcW w:w="833" w:type="pct"/>
            <w:vAlign w:val="center"/>
          </w:tcPr>
          <w:p w14:paraId="3B3E4FAA">
            <w:pPr>
              <w:widowControl/>
              <w:adjustRightInd w:val="0"/>
              <w:snapToGrid w:val="0"/>
              <w:jc w:val="center"/>
              <w:rPr>
                <w:rFonts w:ascii="Arial" w:hAnsi="Arial" w:eastAsia="宋体" w:cs="Arial"/>
                <w:bCs/>
                <w:kern w:val="0"/>
                <w:sz w:val="18"/>
                <w:szCs w:val="18"/>
              </w:rPr>
            </w:pPr>
          </w:p>
        </w:tc>
        <w:tc>
          <w:tcPr>
            <w:tcW w:w="521" w:type="pct"/>
            <w:vAlign w:val="center"/>
          </w:tcPr>
          <w:p w14:paraId="6082F835">
            <w:pPr>
              <w:widowControl/>
              <w:adjustRightInd w:val="0"/>
              <w:snapToGrid w:val="0"/>
              <w:jc w:val="center"/>
              <w:rPr>
                <w:rFonts w:ascii="Arial" w:hAnsi="Arial" w:eastAsia="宋体" w:cs="Arial"/>
                <w:bCs/>
                <w:kern w:val="0"/>
                <w:sz w:val="18"/>
                <w:szCs w:val="18"/>
              </w:rPr>
            </w:pPr>
          </w:p>
        </w:tc>
        <w:tc>
          <w:tcPr>
            <w:tcW w:w="511" w:type="pct"/>
            <w:vAlign w:val="center"/>
          </w:tcPr>
          <w:p w14:paraId="1B790616">
            <w:pPr>
              <w:widowControl/>
              <w:adjustRightInd w:val="0"/>
              <w:snapToGrid w:val="0"/>
              <w:jc w:val="center"/>
              <w:rPr>
                <w:rFonts w:ascii="Arial" w:hAnsi="Arial" w:eastAsia="宋体" w:cs="Arial"/>
                <w:bCs/>
                <w:kern w:val="0"/>
                <w:sz w:val="18"/>
                <w:szCs w:val="18"/>
              </w:rPr>
            </w:pPr>
          </w:p>
        </w:tc>
        <w:tc>
          <w:tcPr>
            <w:tcW w:w="458" w:type="pct"/>
            <w:vAlign w:val="center"/>
          </w:tcPr>
          <w:p w14:paraId="0CEB4500">
            <w:pPr>
              <w:widowControl/>
              <w:adjustRightInd w:val="0"/>
              <w:snapToGrid w:val="0"/>
              <w:jc w:val="center"/>
              <w:rPr>
                <w:rFonts w:ascii="Arial" w:hAnsi="Arial" w:eastAsia="宋体" w:cs="Arial"/>
                <w:bCs/>
                <w:kern w:val="0"/>
                <w:sz w:val="18"/>
                <w:szCs w:val="18"/>
              </w:rPr>
            </w:pPr>
          </w:p>
        </w:tc>
        <w:tc>
          <w:tcPr>
            <w:tcW w:w="445" w:type="pct"/>
            <w:vAlign w:val="center"/>
          </w:tcPr>
          <w:p w14:paraId="38C2BDA8">
            <w:pPr>
              <w:widowControl/>
              <w:adjustRightInd w:val="0"/>
              <w:snapToGrid w:val="0"/>
              <w:jc w:val="center"/>
              <w:rPr>
                <w:rFonts w:ascii="Arial" w:hAnsi="Arial" w:eastAsia="宋体" w:cs="Arial"/>
                <w:bCs/>
                <w:kern w:val="0"/>
                <w:sz w:val="18"/>
                <w:szCs w:val="18"/>
              </w:rPr>
            </w:pPr>
          </w:p>
        </w:tc>
        <w:tc>
          <w:tcPr>
            <w:tcW w:w="423" w:type="pct"/>
            <w:vAlign w:val="center"/>
          </w:tcPr>
          <w:p w14:paraId="21F2B9C3">
            <w:pPr>
              <w:widowControl/>
              <w:adjustRightInd w:val="0"/>
              <w:snapToGrid w:val="0"/>
              <w:jc w:val="center"/>
              <w:rPr>
                <w:rFonts w:ascii="Arial" w:hAnsi="Arial" w:eastAsia="宋体" w:cs="Arial"/>
                <w:bCs/>
                <w:kern w:val="0"/>
                <w:sz w:val="18"/>
                <w:szCs w:val="18"/>
              </w:rPr>
            </w:pPr>
          </w:p>
        </w:tc>
        <w:tc>
          <w:tcPr>
            <w:tcW w:w="374" w:type="pct"/>
            <w:vAlign w:val="center"/>
          </w:tcPr>
          <w:p w14:paraId="77CD3E9C">
            <w:pPr>
              <w:adjustRightInd w:val="0"/>
              <w:snapToGrid w:val="0"/>
              <w:jc w:val="center"/>
              <w:rPr>
                <w:rFonts w:ascii="Arial" w:hAnsi="Arial" w:eastAsia="宋体" w:cs="Arial"/>
                <w:bCs/>
                <w:sz w:val="18"/>
                <w:szCs w:val="18"/>
              </w:rPr>
            </w:pPr>
          </w:p>
        </w:tc>
      </w:tr>
      <w:tr w14:paraId="6A2D8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Merge w:val="continue"/>
            <w:vAlign w:val="center"/>
          </w:tcPr>
          <w:p w14:paraId="35773DCC">
            <w:pPr>
              <w:widowControl/>
              <w:jc w:val="left"/>
              <w:rPr>
                <w:rFonts w:ascii="Arial" w:hAnsi="Arial" w:eastAsia="宋体" w:cs="Arial"/>
                <w:bCs/>
                <w:kern w:val="0"/>
                <w:sz w:val="18"/>
                <w:szCs w:val="18"/>
              </w:rPr>
            </w:pPr>
          </w:p>
        </w:tc>
        <w:tc>
          <w:tcPr>
            <w:tcW w:w="447" w:type="pct"/>
            <w:vMerge w:val="continue"/>
            <w:vAlign w:val="center"/>
          </w:tcPr>
          <w:p w14:paraId="3A8A8956">
            <w:pPr>
              <w:widowControl/>
              <w:jc w:val="left"/>
              <w:rPr>
                <w:rFonts w:ascii="Arial" w:hAnsi="Arial" w:eastAsia="宋体" w:cs="Arial"/>
                <w:bCs/>
                <w:kern w:val="0"/>
                <w:sz w:val="18"/>
                <w:szCs w:val="18"/>
              </w:rPr>
            </w:pPr>
          </w:p>
        </w:tc>
        <w:tc>
          <w:tcPr>
            <w:tcW w:w="385" w:type="pct"/>
            <w:vMerge w:val="continue"/>
            <w:vAlign w:val="center"/>
          </w:tcPr>
          <w:p w14:paraId="6FC373FE">
            <w:pPr>
              <w:widowControl/>
              <w:jc w:val="left"/>
              <w:rPr>
                <w:rFonts w:ascii="Arial" w:hAnsi="Arial" w:eastAsia="宋体" w:cs="Arial"/>
                <w:bCs/>
                <w:kern w:val="0"/>
                <w:sz w:val="18"/>
                <w:szCs w:val="18"/>
              </w:rPr>
            </w:pPr>
          </w:p>
        </w:tc>
        <w:tc>
          <w:tcPr>
            <w:tcW w:w="381" w:type="pct"/>
            <w:vMerge w:val="restart"/>
            <w:vAlign w:val="center"/>
          </w:tcPr>
          <w:p w14:paraId="3845C99D">
            <w:pPr>
              <w:widowControl/>
              <w:adjustRightInd w:val="0"/>
              <w:snapToGrid w:val="0"/>
              <w:jc w:val="center"/>
              <w:rPr>
                <w:rFonts w:ascii="Arial" w:hAnsi="Arial" w:eastAsia="宋体" w:cs="Arial"/>
                <w:bCs/>
                <w:sz w:val="18"/>
                <w:szCs w:val="18"/>
              </w:rPr>
            </w:pPr>
          </w:p>
        </w:tc>
        <w:tc>
          <w:tcPr>
            <w:tcW w:w="833" w:type="pct"/>
            <w:vAlign w:val="center"/>
          </w:tcPr>
          <w:p w14:paraId="68546D11">
            <w:pPr>
              <w:widowControl/>
              <w:adjustRightInd w:val="0"/>
              <w:snapToGrid w:val="0"/>
              <w:jc w:val="center"/>
              <w:rPr>
                <w:rFonts w:ascii="Arial" w:hAnsi="Arial" w:eastAsia="宋体" w:cs="Arial"/>
                <w:bCs/>
                <w:kern w:val="0"/>
                <w:sz w:val="18"/>
                <w:szCs w:val="18"/>
              </w:rPr>
            </w:pPr>
          </w:p>
        </w:tc>
        <w:tc>
          <w:tcPr>
            <w:tcW w:w="521" w:type="pct"/>
            <w:vAlign w:val="center"/>
          </w:tcPr>
          <w:p w14:paraId="09E907A3">
            <w:pPr>
              <w:widowControl/>
              <w:adjustRightInd w:val="0"/>
              <w:snapToGrid w:val="0"/>
              <w:jc w:val="center"/>
              <w:rPr>
                <w:rFonts w:ascii="Arial" w:hAnsi="Arial" w:eastAsia="宋体" w:cs="Arial"/>
                <w:bCs/>
                <w:kern w:val="0"/>
                <w:sz w:val="18"/>
                <w:szCs w:val="18"/>
              </w:rPr>
            </w:pPr>
          </w:p>
        </w:tc>
        <w:tc>
          <w:tcPr>
            <w:tcW w:w="511" w:type="pct"/>
            <w:vAlign w:val="center"/>
          </w:tcPr>
          <w:p w14:paraId="4BD69F41">
            <w:pPr>
              <w:widowControl/>
              <w:adjustRightInd w:val="0"/>
              <w:snapToGrid w:val="0"/>
              <w:jc w:val="center"/>
              <w:rPr>
                <w:rFonts w:ascii="Arial" w:hAnsi="Arial" w:eastAsia="宋体" w:cs="Arial"/>
                <w:bCs/>
                <w:kern w:val="0"/>
                <w:sz w:val="18"/>
                <w:szCs w:val="18"/>
              </w:rPr>
            </w:pPr>
          </w:p>
        </w:tc>
        <w:tc>
          <w:tcPr>
            <w:tcW w:w="458" w:type="pct"/>
            <w:vAlign w:val="center"/>
          </w:tcPr>
          <w:p w14:paraId="03A84C72">
            <w:pPr>
              <w:widowControl/>
              <w:adjustRightInd w:val="0"/>
              <w:snapToGrid w:val="0"/>
              <w:jc w:val="center"/>
              <w:rPr>
                <w:rFonts w:ascii="Arial" w:hAnsi="Arial" w:eastAsia="宋体" w:cs="Arial"/>
                <w:bCs/>
                <w:kern w:val="0"/>
                <w:sz w:val="18"/>
                <w:szCs w:val="18"/>
              </w:rPr>
            </w:pPr>
          </w:p>
        </w:tc>
        <w:tc>
          <w:tcPr>
            <w:tcW w:w="445" w:type="pct"/>
            <w:vAlign w:val="center"/>
          </w:tcPr>
          <w:p w14:paraId="6A895DFE">
            <w:pPr>
              <w:widowControl/>
              <w:adjustRightInd w:val="0"/>
              <w:snapToGrid w:val="0"/>
              <w:jc w:val="center"/>
              <w:rPr>
                <w:rFonts w:ascii="Arial" w:hAnsi="Arial" w:eastAsia="宋体" w:cs="Arial"/>
                <w:bCs/>
                <w:kern w:val="0"/>
                <w:sz w:val="18"/>
                <w:szCs w:val="18"/>
              </w:rPr>
            </w:pPr>
          </w:p>
        </w:tc>
        <w:tc>
          <w:tcPr>
            <w:tcW w:w="423" w:type="pct"/>
            <w:vAlign w:val="center"/>
          </w:tcPr>
          <w:p w14:paraId="32E7DC66">
            <w:pPr>
              <w:widowControl/>
              <w:adjustRightInd w:val="0"/>
              <w:snapToGrid w:val="0"/>
              <w:jc w:val="center"/>
              <w:rPr>
                <w:rFonts w:ascii="Arial" w:hAnsi="Arial" w:eastAsia="宋体" w:cs="Arial"/>
                <w:bCs/>
                <w:kern w:val="0"/>
                <w:sz w:val="18"/>
                <w:szCs w:val="18"/>
              </w:rPr>
            </w:pPr>
          </w:p>
        </w:tc>
        <w:tc>
          <w:tcPr>
            <w:tcW w:w="374" w:type="pct"/>
            <w:vAlign w:val="center"/>
          </w:tcPr>
          <w:p w14:paraId="03FF09F4">
            <w:pPr>
              <w:adjustRightInd w:val="0"/>
              <w:snapToGrid w:val="0"/>
              <w:jc w:val="center"/>
              <w:rPr>
                <w:rFonts w:ascii="Arial" w:hAnsi="Arial" w:eastAsia="宋体" w:cs="Arial"/>
                <w:bCs/>
                <w:sz w:val="18"/>
                <w:szCs w:val="18"/>
              </w:rPr>
            </w:pPr>
          </w:p>
        </w:tc>
      </w:tr>
      <w:tr w14:paraId="51518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Merge w:val="continue"/>
            <w:vAlign w:val="center"/>
          </w:tcPr>
          <w:p w14:paraId="6ECA02E3">
            <w:pPr>
              <w:widowControl/>
              <w:jc w:val="left"/>
              <w:rPr>
                <w:rFonts w:ascii="Arial" w:hAnsi="Arial" w:eastAsia="宋体" w:cs="Arial"/>
                <w:bCs/>
                <w:kern w:val="0"/>
                <w:sz w:val="18"/>
                <w:szCs w:val="18"/>
              </w:rPr>
            </w:pPr>
          </w:p>
        </w:tc>
        <w:tc>
          <w:tcPr>
            <w:tcW w:w="447" w:type="pct"/>
            <w:vMerge w:val="continue"/>
            <w:vAlign w:val="center"/>
          </w:tcPr>
          <w:p w14:paraId="56DDC0B0">
            <w:pPr>
              <w:widowControl/>
              <w:jc w:val="left"/>
              <w:rPr>
                <w:rFonts w:ascii="Arial" w:hAnsi="Arial" w:eastAsia="宋体" w:cs="Arial"/>
                <w:bCs/>
                <w:kern w:val="0"/>
                <w:sz w:val="18"/>
                <w:szCs w:val="18"/>
              </w:rPr>
            </w:pPr>
          </w:p>
        </w:tc>
        <w:tc>
          <w:tcPr>
            <w:tcW w:w="385" w:type="pct"/>
            <w:vMerge w:val="continue"/>
            <w:vAlign w:val="center"/>
          </w:tcPr>
          <w:p w14:paraId="14361474">
            <w:pPr>
              <w:widowControl/>
              <w:jc w:val="left"/>
              <w:rPr>
                <w:rFonts w:ascii="Arial" w:hAnsi="Arial" w:eastAsia="宋体" w:cs="Arial"/>
                <w:bCs/>
                <w:kern w:val="0"/>
                <w:sz w:val="18"/>
                <w:szCs w:val="18"/>
              </w:rPr>
            </w:pPr>
          </w:p>
        </w:tc>
        <w:tc>
          <w:tcPr>
            <w:tcW w:w="381" w:type="pct"/>
            <w:vMerge w:val="continue"/>
            <w:vAlign w:val="center"/>
          </w:tcPr>
          <w:p w14:paraId="79BB6AEC">
            <w:pPr>
              <w:widowControl/>
              <w:jc w:val="left"/>
              <w:rPr>
                <w:rFonts w:ascii="Arial" w:hAnsi="Arial" w:eastAsia="宋体" w:cs="Arial"/>
                <w:bCs/>
                <w:sz w:val="18"/>
                <w:szCs w:val="18"/>
              </w:rPr>
            </w:pPr>
          </w:p>
        </w:tc>
        <w:tc>
          <w:tcPr>
            <w:tcW w:w="833" w:type="pct"/>
            <w:vAlign w:val="center"/>
          </w:tcPr>
          <w:p w14:paraId="2601D633">
            <w:pPr>
              <w:widowControl/>
              <w:adjustRightInd w:val="0"/>
              <w:snapToGrid w:val="0"/>
              <w:jc w:val="center"/>
              <w:rPr>
                <w:rFonts w:ascii="Arial" w:hAnsi="Arial" w:eastAsia="宋体" w:cs="Arial"/>
                <w:bCs/>
                <w:kern w:val="0"/>
                <w:sz w:val="18"/>
                <w:szCs w:val="18"/>
              </w:rPr>
            </w:pPr>
          </w:p>
        </w:tc>
        <w:tc>
          <w:tcPr>
            <w:tcW w:w="521" w:type="pct"/>
            <w:vAlign w:val="center"/>
          </w:tcPr>
          <w:p w14:paraId="2F831CBF">
            <w:pPr>
              <w:widowControl/>
              <w:adjustRightInd w:val="0"/>
              <w:snapToGrid w:val="0"/>
              <w:jc w:val="center"/>
              <w:rPr>
                <w:rFonts w:ascii="Arial" w:hAnsi="Arial" w:eastAsia="宋体" w:cs="Arial"/>
                <w:bCs/>
                <w:kern w:val="0"/>
                <w:sz w:val="18"/>
                <w:szCs w:val="18"/>
              </w:rPr>
            </w:pPr>
          </w:p>
        </w:tc>
        <w:tc>
          <w:tcPr>
            <w:tcW w:w="511" w:type="pct"/>
            <w:vAlign w:val="center"/>
          </w:tcPr>
          <w:p w14:paraId="53F2AA65">
            <w:pPr>
              <w:widowControl/>
              <w:adjustRightInd w:val="0"/>
              <w:snapToGrid w:val="0"/>
              <w:jc w:val="center"/>
              <w:rPr>
                <w:rFonts w:ascii="Arial" w:hAnsi="Arial" w:eastAsia="宋体" w:cs="Arial"/>
                <w:bCs/>
                <w:kern w:val="0"/>
                <w:sz w:val="18"/>
                <w:szCs w:val="18"/>
              </w:rPr>
            </w:pPr>
          </w:p>
        </w:tc>
        <w:tc>
          <w:tcPr>
            <w:tcW w:w="458" w:type="pct"/>
            <w:vAlign w:val="center"/>
          </w:tcPr>
          <w:p w14:paraId="1F7FCAD2">
            <w:pPr>
              <w:widowControl/>
              <w:adjustRightInd w:val="0"/>
              <w:snapToGrid w:val="0"/>
              <w:jc w:val="center"/>
              <w:rPr>
                <w:rFonts w:ascii="Arial" w:hAnsi="Arial" w:eastAsia="宋体" w:cs="Arial"/>
                <w:bCs/>
                <w:kern w:val="0"/>
                <w:sz w:val="18"/>
                <w:szCs w:val="18"/>
              </w:rPr>
            </w:pPr>
          </w:p>
        </w:tc>
        <w:tc>
          <w:tcPr>
            <w:tcW w:w="445" w:type="pct"/>
            <w:vAlign w:val="center"/>
          </w:tcPr>
          <w:p w14:paraId="0494A3DF">
            <w:pPr>
              <w:widowControl/>
              <w:adjustRightInd w:val="0"/>
              <w:snapToGrid w:val="0"/>
              <w:jc w:val="center"/>
              <w:rPr>
                <w:rFonts w:ascii="Arial" w:hAnsi="Arial" w:eastAsia="宋体" w:cs="Arial"/>
                <w:bCs/>
                <w:kern w:val="0"/>
                <w:sz w:val="18"/>
                <w:szCs w:val="18"/>
              </w:rPr>
            </w:pPr>
          </w:p>
        </w:tc>
        <w:tc>
          <w:tcPr>
            <w:tcW w:w="423" w:type="pct"/>
            <w:vAlign w:val="center"/>
          </w:tcPr>
          <w:p w14:paraId="555F63B9">
            <w:pPr>
              <w:widowControl/>
              <w:adjustRightInd w:val="0"/>
              <w:snapToGrid w:val="0"/>
              <w:jc w:val="center"/>
              <w:rPr>
                <w:rFonts w:ascii="Arial" w:hAnsi="Arial" w:eastAsia="宋体" w:cs="Arial"/>
                <w:bCs/>
                <w:kern w:val="0"/>
                <w:sz w:val="18"/>
                <w:szCs w:val="18"/>
              </w:rPr>
            </w:pPr>
          </w:p>
        </w:tc>
        <w:tc>
          <w:tcPr>
            <w:tcW w:w="374" w:type="pct"/>
            <w:vAlign w:val="center"/>
          </w:tcPr>
          <w:p w14:paraId="47819583">
            <w:pPr>
              <w:adjustRightInd w:val="0"/>
              <w:snapToGrid w:val="0"/>
              <w:jc w:val="center"/>
              <w:rPr>
                <w:rFonts w:ascii="Arial" w:hAnsi="Arial" w:eastAsia="宋体" w:cs="Arial"/>
                <w:bCs/>
                <w:sz w:val="18"/>
                <w:szCs w:val="18"/>
              </w:rPr>
            </w:pPr>
          </w:p>
        </w:tc>
      </w:tr>
      <w:tr w14:paraId="14FC2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Merge w:val="continue"/>
            <w:vAlign w:val="center"/>
          </w:tcPr>
          <w:p w14:paraId="407E1591">
            <w:pPr>
              <w:widowControl/>
              <w:jc w:val="left"/>
              <w:rPr>
                <w:rFonts w:ascii="Arial" w:hAnsi="Arial" w:eastAsia="宋体" w:cs="Arial"/>
                <w:bCs/>
                <w:kern w:val="0"/>
                <w:sz w:val="18"/>
                <w:szCs w:val="18"/>
              </w:rPr>
            </w:pPr>
          </w:p>
        </w:tc>
        <w:tc>
          <w:tcPr>
            <w:tcW w:w="447" w:type="pct"/>
            <w:vMerge w:val="continue"/>
            <w:vAlign w:val="center"/>
          </w:tcPr>
          <w:p w14:paraId="400E3CDC">
            <w:pPr>
              <w:widowControl/>
              <w:jc w:val="left"/>
              <w:rPr>
                <w:rFonts w:ascii="Arial" w:hAnsi="Arial" w:eastAsia="宋体" w:cs="Arial"/>
                <w:bCs/>
                <w:kern w:val="0"/>
                <w:sz w:val="18"/>
                <w:szCs w:val="18"/>
              </w:rPr>
            </w:pPr>
          </w:p>
        </w:tc>
        <w:tc>
          <w:tcPr>
            <w:tcW w:w="385" w:type="pct"/>
            <w:vMerge w:val="continue"/>
            <w:vAlign w:val="center"/>
          </w:tcPr>
          <w:p w14:paraId="7D418DF3">
            <w:pPr>
              <w:widowControl/>
              <w:jc w:val="left"/>
              <w:rPr>
                <w:rFonts w:ascii="Arial" w:hAnsi="Arial" w:eastAsia="宋体" w:cs="Arial"/>
                <w:bCs/>
                <w:kern w:val="0"/>
                <w:sz w:val="18"/>
                <w:szCs w:val="18"/>
              </w:rPr>
            </w:pPr>
          </w:p>
        </w:tc>
        <w:tc>
          <w:tcPr>
            <w:tcW w:w="381" w:type="pct"/>
            <w:vMerge w:val="restart"/>
            <w:vAlign w:val="center"/>
          </w:tcPr>
          <w:p w14:paraId="56EF8ECC">
            <w:pPr>
              <w:widowControl/>
              <w:adjustRightInd w:val="0"/>
              <w:snapToGrid w:val="0"/>
              <w:jc w:val="center"/>
              <w:rPr>
                <w:rFonts w:ascii="Arial" w:hAnsi="Arial" w:eastAsia="宋体" w:cs="Arial"/>
                <w:bCs/>
                <w:sz w:val="18"/>
                <w:szCs w:val="18"/>
              </w:rPr>
            </w:pPr>
          </w:p>
        </w:tc>
        <w:tc>
          <w:tcPr>
            <w:tcW w:w="833" w:type="pct"/>
            <w:vAlign w:val="center"/>
          </w:tcPr>
          <w:p w14:paraId="3F461B20">
            <w:pPr>
              <w:widowControl/>
              <w:adjustRightInd w:val="0"/>
              <w:snapToGrid w:val="0"/>
              <w:jc w:val="center"/>
              <w:rPr>
                <w:rFonts w:ascii="Arial" w:hAnsi="Arial" w:eastAsia="宋体" w:cs="Arial"/>
                <w:bCs/>
                <w:kern w:val="0"/>
                <w:sz w:val="18"/>
                <w:szCs w:val="18"/>
              </w:rPr>
            </w:pPr>
          </w:p>
        </w:tc>
        <w:tc>
          <w:tcPr>
            <w:tcW w:w="521" w:type="pct"/>
            <w:vAlign w:val="center"/>
          </w:tcPr>
          <w:p w14:paraId="7F8B6D7E">
            <w:pPr>
              <w:widowControl/>
              <w:adjustRightInd w:val="0"/>
              <w:snapToGrid w:val="0"/>
              <w:jc w:val="center"/>
              <w:rPr>
                <w:rFonts w:ascii="Arial" w:hAnsi="Arial" w:eastAsia="宋体" w:cs="Arial"/>
                <w:bCs/>
                <w:kern w:val="0"/>
                <w:sz w:val="18"/>
                <w:szCs w:val="18"/>
              </w:rPr>
            </w:pPr>
          </w:p>
        </w:tc>
        <w:tc>
          <w:tcPr>
            <w:tcW w:w="511" w:type="pct"/>
            <w:vAlign w:val="center"/>
          </w:tcPr>
          <w:p w14:paraId="22F476EF">
            <w:pPr>
              <w:widowControl/>
              <w:adjustRightInd w:val="0"/>
              <w:snapToGrid w:val="0"/>
              <w:jc w:val="center"/>
              <w:rPr>
                <w:rFonts w:ascii="Arial" w:hAnsi="Arial" w:eastAsia="宋体" w:cs="Arial"/>
                <w:bCs/>
                <w:kern w:val="0"/>
                <w:sz w:val="18"/>
                <w:szCs w:val="18"/>
              </w:rPr>
            </w:pPr>
          </w:p>
        </w:tc>
        <w:tc>
          <w:tcPr>
            <w:tcW w:w="458" w:type="pct"/>
            <w:vAlign w:val="center"/>
          </w:tcPr>
          <w:p w14:paraId="1783618E">
            <w:pPr>
              <w:widowControl/>
              <w:adjustRightInd w:val="0"/>
              <w:snapToGrid w:val="0"/>
              <w:jc w:val="center"/>
              <w:rPr>
                <w:rFonts w:ascii="Arial" w:hAnsi="Arial" w:eastAsia="宋体" w:cs="Arial"/>
                <w:bCs/>
                <w:kern w:val="0"/>
                <w:sz w:val="18"/>
                <w:szCs w:val="18"/>
              </w:rPr>
            </w:pPr>
          </w:p>
        </w:tc>
        <w:tc>
          <w:tcPr>
            <w:tcW w:w="445" w:type="pct"/>
            <w:vAlign w:val="center"/>
          </w:tcPr>
          <w:p w14:paraId="264236F1">
            <w:pPr>
              <w:widowControl/>
              <w:adjustRightInd w:val="0"/>
              <w:snapToGrid w:val="0"/>
              <w:jc w:val="center"/>
              <w:rPr>
                <w:rFonts w:ascii="Arial" w:hAnsi="Arial" w:eastAsia="宋体" w:cs="Arial"/>
                <w:bCs/>
                <w:kern w:val="0"/>
                <w:sz w:val="18"/>
                <w:szCs w:val="18"/>
              </w:rPr>
            </w:pPr>
          </w:p>
        </w:tc>
        <w:tc>
          <w:tcPr>
            <w:tcW w:w="423" w:type="pct"/>
            <w:vAlign w:val="center"/>
          </w:tcPr>
          <w:p w14:paraId="5542716C">
            <w:pPr>
              <w:widowControl/>
              <w:adjustRightInd w:val="0"/>
              <w:snapToGrid w:val="0"/>
              <w:jc w:val="center"/>
              <w:rPr>
                <w:rFonts w:ascii="Arial" w:hAnsi="Arial" w:eastAsia="宋体" w:cs="Arial"/>
                <w:bCs/>
                <w:kern w:val="0"/>
                <w:sz w:val="18"/>
                <w:szCs w:val="18"/>
              </w:rPr>
            </w:pPr>
          </w:p>
        </w:tc>
        <w:tc>
          <w:tcPr>
            <w:tcW w:w="374" w:type="pct"/>
            <w:vAlign w:val="center"/>
          </w:tcPr>
          <w:p w14:paraId="71062D13">
            <w:pPr>
              <w:adjustRightInd w:val="0"/>
              <w:snapToGrid w:val="0"/>
              <w:jc w:val="center"/>
              <w:rPr>
                <w:rFonts w:ascii="Arial" w:hAnsi="Arial" w:eastAsia="宋体" w:cs="Arial"/>
                <w:bCs/>
                <w:sz w:val="18"/>
                <w:szCs w:val="18"/>
              </w:rPr>
            </w:pPr>
          </w:p>
        </w:tc>
      </w:tr>
      <w:tr w14:paraId="73BB5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 w:type="pct"/>
            <w:vMerge w:val="continue"/>
            <w:vAlign w:val="center"/>
          </w:tcPr>
          <w:p w14:paraId="2785E54D">
            <w:pPr>
              <w:widowControl/>
              <w:jc w:val="left"/>
              <w:rPr>
                <w:rFonts w:ascii="Arial" w:hAnsi="Arial" w:eastAsia="宋体" w:cs="Arial"/>
                <w:bCs/>
                <w:kern w:val="0"/>
                <w:sz w:val="18"/>
                <w:szCs w:val="18"/>
              </w:rPr>
            </w:pPr>
          </w:p>
        </w:tc>
        <w:tc>
          <w:tcPr>
            <w:tcW w:w="447" w:type="pct"/>
            <w:vMerge w:val="continue"/>
            <w:vAlign w:val="center"/>
          </w:tcPr>
          <w:p w14:paraId="56BA9017">
            <w:pPr>
              <w:widowControl/>
              <w:jc w:val="left"/>
              <w:rPr>
                <w:rFonts w:ascii="Arial" w:hAnsi="Arial" w:eastAsia="宋体" w:cs="Arial"/>
                <w:bCs/>
                <w:kern w:val="0"/>
                <w:sz w:val="18"/>
                <w:szCs w:val="18"/>
              </w:rPr>
            </w:pPr>
          </w:p>
        </w:tc>
        <w:tc>
          <w:tcPr>
            <w:tcW w:w="385" w:type="pct"/>
            <w:vMerge w:val="continue"/>
            <w:vAlign w:val="center"/>
          </w:tcPr>
          <w:p w14:paraId="4E36A962">
            <w:pPr>
              <w:widowControl/>
              <w:jc w:val="left"/>
              <w:rPr>
                <w:rFonts w:ascii="Arial" w:hAnsi="Arial" w:eastAsia="宋体" w:cs="Arial"/>
                <w:bCs/>
                <w:kern w:val="0"/>
                <w:sz w:val="18"/>
                <w:szCs w:val="18"/>
              </w:rPr>
            </w:pPr>
          </w:p>
        </w:tc>
        <w:tc>
          <w:tcPr>
            <w:tcW w:w="381" w:type="pct"/>
            <w:vMerge w:val="continue"/>
            <w:vAlign w:val="center"/>
          </w:tcPr>
          <w:p w14:paraId="220CE514">
            <w:pPr>
              <w:widowControl/>
              <w:jc w:val="left"/>
              <w:rPr>
                <w:rFonts w:ascii="Arial" w:hAnsi="Arial" w:eastAsia="宋体" w:cs="Arial"/>
                <w:bCs/>
                <w:sz w:val="18"/>
                <w:szCs w:val="18"/>
              </w:rPr>
            </w:pPr>
          </w:p>
        </w:tc>
        <w:tc>
          <w:tcPr>
            <w:tcW w:w="833" w:type="pct"/>
            <w:vAlign w:val="center"/>
          </w:tcPr>
          <w:p w14:paraId="63BCE6E3">
            <w:pPr>
              <w:widowControl/>
              <w:adjustRightInd w:val="0"/>
              <w:snapToGrid w:val="0"/>
              <w:jc w:val="center"/>
              <w:rPr>
                <w:rFonts w:ascii="Arial" w:hAnsi="Arial" w:eastAsia="宋体" w:cs="Arial"/>
                <w:bCs/>
                <w:kern w:val="0"/>
                <w:sz w:val="18"/>
                <w:szCs w:val="18"/>
              </w:rPr>
            </w:pPr>
          </w:p>
        </w:tc>
        <w:tc>
          <w:tcPr>
            <w:tcW w:w="521" w:type="pct"/>
            <w:vAlign w:val="center"/>
          </w:tcPr>
          <w:p w14:paraId="60F27C43">
            <w:pPr>
              <w:widowControl/>
              <w:adjustRightInd w:val="0"/>
              <w:snapToGrid w:val="0"/>
              <w:jc w:val="center"/>
              <w:rPr>
                <w:rFonts w:ascii="Arial" w:hAnsi="Arial" w:eastAsia="宋体" w:cs="Arial"/>
                <w:bCs/>
                <w:kern w:val="0"/>
                <w:sz w:val="18"/>
                <w:szCs w:val="18"/>
              </w:rPr>
            </w:pPr>
          </w:p>
        </w:tc>
        <w:tc>
          <w:tcPr>
            <w:tcW w:w="511" w:type="pct"/>
            <w:vAlign w:val="center"/>
          </w:tcPr>
          <w:p w14:paraId="51960276">
            <w:pPr>
              <w:widowControl/>
              <w:adjustRightInd w:val="0"/>
              <w:snapToGrid w:val="0"/>
              <w:jc w:val="center"/>
              <w:rPr>
                <w:rFonts w:ascii="Arial" w:hAnsi="Arial" w:eastAsia="宋体" w:cs="Arial"/>
                <w:bCs/>
                <w:kern w:val="0"/>
                <w:sz w:val="18"/>
                <w:szCs w:val="18"/>
              </w:rPr>
            </w:pPr>
          </w:p>
        </w:tc>
        <w:tc>
          <w:tcPr>
            <w:tcW w:w="458" w:type="pct"/>
            <w:vAlign w:val="center"/>
          </w:tcPr>
          <w:p w14:paraId="02E946D5">
            <w:pPr>
              <w:widowControl/>
              <w:adjustRightInd w:val="0"/>
              <w:snapToGrid w:val="0"/>
              <w:jc w:val="center"/>
              <w:rPr>
                <w:rFonts w:ascii="Arial" w:hAnsi="Arial" w:eastAsia="宋体" w:cs="Arial"/>
                <w:bCs/>
                <w:kern w:val="0"/>
                <w:sz w:val="18"/>
                <w:szCs w:val="18"/>
              </w:rPr>
            </w:pPr>
          </w:p>
        </w:tc>
        <w:tc>
          <w:tcPr>
            <w:tcW w:w="445" w:type="pct"/>
            <w:vAlign w:val="center"/>
          </w:tcPr>
          <w:p w14:paraId="4A4F0450">
            <w:pPr>
              <w:widowControl/>
              <w:adjustRightInd w:val="0"/>
              <w:snapToGrid w:val="0"/>
              <w:jc w:val="center"/>
              <w:rPr>
                <w:rFonts w:ascii="Arial" w:hAnsi="Arial" w:eastAsia="宋体" w:cs="Arial"/>
                <w:bCs/>
                <w:kern w:val="0"/>
                <w:sz w:val="18"/>
                <w:szCs w:val="18"/>
              </w:rPr>
            </w:pPr>
          </w:p>
        </w:tc>
        <w:tc>
          <w:tcPr>
            <w:tcW w:w="423" w:type="pct"/>
            <w:vAlign w:val="center"/>
          </w:tcPr>
          <w:p w14:paraId="54654DFA">
            <w:pPr>
              <w:widowControl/>
              <w:adjustRightInd w:val="0"/>
              <w:snapToGrid w:val="0"/>
              <w:jc w:val="center"/>
              <w:rPr>
                <w:rFonts w:ascii="Arial" w:hAnsi="Arial" w:eastAsia="宋体" w:cs="Arial"/>
                <w:bCs/>
                <w:kern w:val="0"/>
                <w:sz w:val="18"/>
                <w:szCs w:val="18"/>
              </w:rPr>
            </w:pPr>
          </w:p>
        </w:tc>
        <w:tc>
          <w:tcPr>
            <w:tcW w:w="374" w:type="pct"/>
            <w:vAlign w:val="center"/>
          </w:tcPr>
          <w:p w14:paraId="4D6D434A">
            <w:pPr>
              <w:adjustRightInd w:val="0"/>
              <w:snapToGrid w:val="0"/>
              <w:jc w:val="center"/>
              <w:rPr>
                <w:rFonts w:ascii="Arial" w:hAnsi="Arial" w:eastAsia="宋体" w:cs="Arial"/>
                <w:bCs/>
                <w:sz w:val="18"/>
                <w:szCs w:val="18"/>
              </w:rPr>
            </w:pPr>
          </w:p>
        </w:tc>
      </w:tr>
    </w:tbl>
    <w:p w14:paraId="74BAFEDB">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港区一小站点2021年~2023年基本污染物现状浓度见表3-4。</w:t>
      </w:r>
    </w:p>
    <w:p w14:paraId="44D012AA">
      <w:pPr>
        <w:keepNext/>
        <w:keepLines/>
        <w:numPr>
          <w:ilvl w:val="0"/>
          <w:numId w:val="16"/>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港区一小近3年基本污染物现状浓度</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
        <w:gridCol w:w="3110"/>
        <w:gridCol w:w="1732"/>
        <w:gridCol w:w="1700"/>
        <w:gridCol w:w="1523"/>
      </w:tblGrid>
      <w:tr w14:paraId="6A400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16" w:type="pct"/>
            <w:vMerge w:val="restart"/>
            <w:vAlign w:val="center"/>
          </w:tcPr>
          <w:p w14:paraId="7D68EE61">
            <w:pPr>
              <w:widowControl/>
              <w:adjustRightInd w:val="0"/>
              <w:snapToGrid w:val="0"/>
              <w:jc w:val="center"/>
              <w:rPr>
                <w:rFonts w:ascii="Arial" w:hAnsi="Arial" w:eastAsia="宋体" w:cs="Arial"/>
                <w:bCs/>
                <w:kern w:val="0"/>
                <w:sz w:val="21"/>
                <w:szCs w:val="21"/>
              </w:rPr>
            </w:pPr>
          </w:p>
        </w:tc>
        <w:tc>
          <w:tcPr>
            <w:tcW w:w="1729" w:type="pct"/>
            <w:vMerge w:val="restart"/>
            <w:vAlign w:val="center"/>
          </w:tcPr>
          <w:p w14:paraId="3D8DEB49">
            <w:pPr>
              <w:widowControl/>
              <w:adjustRightInd w:val="0"/>
              <w:snapToGrid w:val="0"/>
              <w:jc w:val="center"/>
              <w:rPr>
                <w:rFonts w:ascii="Arial" w:hAnsi="Arial" w:eastAsia="宋体" w:cs="Arial"/>
                <w:bCs/>
                <w:kern w:val="0"/>
                <w:sz w:val="21"/>
                <w:szCs w:val="21"/>
              </w:rPr>
            </w:pPr>
          </w:p>
        </w:tc>
        <w:tc>
          <w:tcPr>
            <w:tcW w:w="2755" w:type="pct"/>
            <w:gridSpan w:val="3"/>
            <w:vAlign w:val="center"/>
          </w:tcPr>
          <w:p w14:paraId="088826AA">
            <w:pPr>
              <w:widowControl/>
              <w:adjustRightInd w:val="0"/>
              <w:snapToGrid w:val="0"/>
              <w:jc w:val="center"/>
              <w:rPr>
                <w:rFonts w:ascii="Arial" w:hAnsi="Arial" w:eastAsia="宋体" w:cs="Arial"/>
                <w:bCs/>
                <w:sz w:val="21"/>
                <w:szCs w:val="21"/>
              </w:rPr>
            </w:pPr>
          </w:p>
        </w:tc>
      </w:tr>
      <w:tr w14:paraId="6DB06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16" w:type="pct"/>
            <w:vMerge w:val="continue"/>
            <w:vAlign w:val="center"/>
          </w:tcPr>
          <w:p w14:paraId="35030E0C">
            <w:pPr>
              <w:widowControl/>
              <w:adjustRightInd w:val="0"/>
              <w:snapToGrid w:val="0"/>
              <w:jc w:val="center"/>
              <w:rPr>
                <w:rFonts w:ascii="Arial" w:hAnsi="Arial" w:eastAsia="宋体" w:cs="Arial"/>
                <w:bCs/>
                <w:sz w:val="21"/>
                <w:szCs w:val="21"/>
              </w:rPr>
            </w:pPr>
          </w:p>
        </w:tc>
        <w:tc>
          <w:tcPr>
            <w:tcW w:w="1729" w:type="pct"/>
            <w:vMerge w:val="continue"/>
            <w:vAlign w:val="center"/>
          </w:tcPr>
          <w:p w14:paraId="513EA319">
            <w:pPr>
              <w:widowControl/>
              <w:adjustRightInd w:val="0"/>
              <w:snapToGrid w:val="0"/>
              <w:jc w:val="center"/>
              <w:rPr>
                <w:rFonts w:ascii="Arial" w:hAnsi="Arial" w:eastAsia="宋体" w:cs="Arial"/>
                <w:bCs/>
                <w:kern w:val="0"/>
                <w:sz w:val="21"/>
                <w:szCs w:val="21"/>
              </w:rPr>
            </w:pPr>
          </w:p>
        </w:tc>
        <w:tc>
          <w:tcPr>
            <w:tcW w:w="963" w:type="pct"/>
            <w:vAlign w:val="center"/>
          </w:tcPr>
          <w:p w14:paraId="6B03CD85">
            <w:pPr>
              <w:widowControl/>
              <w:adjustRightInd w:val="0"/>
              <w:snapToGrid w:val="0"/>
              <w:jc w:val="center"/>
              <w:rPr>
                <w:rFonts w:ascii="Arial" w:hAnsi="Arial" w:eastAsia="宋体" w:cs="Arial"/>
                <w:bCs/>
                <w:kern w:val="0"/>
                <w:sz w:val="21"/>
                <w:szCs w:val="21"/>
              </w:rPr>
            </w:pPr>
          </w:p>
        </w:tc>
        <w:tc>
          <w:tcPr>
            <w:tcW w:w="945" w:type="pct"/>
            <w:vAlign w:val="center"/>
          </w:tcPr>
          <w:p w14:paraId="0BF0668C">
            <w:pPr>
              <w:widowControl/>
              <w:adjustRightInd w:val="0"/>
              <w:snapToGrid w:val="0"/>
              <w:jc w:val="center"/>
              <w:rPr>
                <w:rFonts w:ascii="Arial" w:hAnsi="Arial" w:eastAsia="宋体" w:cs="Arial"/>
                <w:bCs/>
                <w:kern w:val="0"/>
                <w:sz w:val="21"/>
                <w:szCs w:val="21"/>
              </w:rPr>
            </w:pPr>
          </w:p>
        </w:tc>
        <w:tc>
          <w:tcPr>
            <w:tcW w:w="847" w:type="pct"/>
            <w:vAlign w:val="center"/>
          </w:tcPr>
          <w:p w14:paraId="209ACCD2">
            <w:pPr>
              <w:widowControl/>
              <w:adjustRightInd w:val="0"/>
              <w:snapToGrid w:val="0"/>
              <w:jc w:val="center"/>
              <w:rPr>
                <w:rFonts w:ascii="Arial" w:hAnsi="Arial" w:eastAsia="宋体" w:cs="Arial"/>
                <w:bCs/>
                <w:sz w:val="21"/>
                <w:szCs w:val="21"/>
              </w:rPr>
            </w:pPr>
          </w:p>
        </w:tc>
      </w:tr>
      <w:tr w14:paraId="3FDC7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restart"/>
            <w:vAlign w:val="center"/>
          </w:tcPr>
          <w:p w14:paraId="230AEA58">
            <w:pPr>
              <w:widowControl/>
              <w:adjustRightInd w:val="0"/>
              <w:snapToGrid w:val="0"/>
              <w:jc w:val="center"/>
              <w:rPr>
                <w:rFonts w:ascii="Arial" w:hAnsi="Arial" w:eastAsia="宋体" w:cs="Arial"/>
                <w:bCs/>
                <w:kern w:val="0"/>
                <w:sz w:val="21"/>
                <w:szCs w:val="21"/>
              </w:rPr>
            </w:pPr>
          </w:p>
        </w:tc>
        <w:tc>
          <w:tcPr>
            <w:tcW w:w="1729" w:type="pct"/>
            <w:vAlign w:val="center"/>
          </w:tcPr>
          <w:p w14:paraId="74CD05F6">
            <w:pPr>
              <w:widowControl/>
              <w:adjustRightInd w:val="0"/>
              <w:snapToGrid w:val="0"/>
              <w:jc w:val="center"/>
              <w:rPr>
                <w:rFonts w:ascii="Arial" w:hAnsi="Arial" w:eastAsia="宋体" w:cs="Arial"/>
                <w:bCs/>
                <w:kern w:val="0"/>
                <w:sz w:val="21"/>
                <w:szCs w:val="21"/>
              </w:rPr>
            </w:pPr>
          </w:p>
        </w:tc>
        <w:tc>
          <w:tcPr>
            <w:tcW w:w="963" w:type="pct"/>
            <w:vAlign w:val="center"/>
          </w:tcPr>
          <w:p w14:paraId="786A9FF5">
            <w:pPr>
              <w:widowControl/>
              <w:adjustRightInd w:val="0"/>
              <w:snapToGrid w:val="0"/>
              <w:jc w:val="center"/>
              <w:rPr>
                <w:rFonts w:ascii="Arial" w:hAnsi="Arial" w:eastAsia="宋体" w:cs="Arial"/>
                <w:bCs/>
                <w:kern w:val="0"/>
                <w:sz w:val="21"/>
                <w:szCs w:val="21"/>
              </w:rPr>
            </w:pPr>
          </w:p>
        </w:tc>
        <w:tc>
          <w:tcPr>
            <w:tcW w:w="945" w:type="pct"/>
            <w:vAlign w:val="center"/>
          </w:tcPr>
          <w:p w14:paraId="2D8761EE">
            <w:pPr>
              <w:widowControl/>
              <w:adjustRightInd w:val="0"/>
              <w:snapToGrid w:val="0"/>
              <w:jc w:val="center"/>
              <w:rPr>
                <w:rFonts w:ascii="Arial" w:hAnsi="Arial" w:eastAsia="宋体" w:cs="Arial"/>
                <w:bCs/>
                <w:kern w:val="0"/>
                <w:sz w:val="21"/>
                <w:szCs w:val="21"/>
              </w:rPr>
            </w:pPr>
          </w:p>
        </w:tc>
        <w:tc>
          <w:tcPr>
            <w:tcW w:w="847" w:type="pct"/>
            <w:vAlign w:val="center"/>
          </w:tcPr>
          <w:p w14:paraId="3DC4BEE7">
            <w:pPr>
              <w:widowControl/>
              <w:adjustRightInd w:val="0"/>
              <w:snapToGrid w:val="0"/>
              <w:jc w:val="center"/>
              <w:rPr>
                <w:rFonts w:ascii="Arial" w:hAnsi="Arial" w:eastAsia="宋体" w:cs="Arial"/>
                <w:bCs/>
                <w:kern w:val="0"/>
                <w:sz w:val="21"/>
                <w:szCs w:val="21"/>
              </w:rPr>
            </w:pPr>
          </w:p>
        </w:tc>
      </w:tr>
      <w:tr w14:paraId="3C4AE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vAlign w:val="center"/>
          </w:tcPr>
          <w:p w14:paraId="08ABEED5">
            <w:pPr>
              <w:widowControl/>
              <w:jc w:val="left"/>
              <w:rPr>
                <w:rFonts w:ascii="Arial" w:hAnsi="Arial" w:eastAsia="宋体" w:cs="Arial"/>
                <w:bCs/>
                <w:kern w:val="0"/>
                <w:sz w:val="21"/>
                <w:szCs w:val="21"/>
              </w:rPr>
            </w:pPr>
          </w:p>
        </w:tc>
        <w:tc>
          <w:tcPr>
            <w:tcW w:w="1729" w:type="pct"/>
            <w:vAlign w:val="center"/>
          </w:tcPr>
          <w:p w14:paraId="46F6239E">
            <w:pPr>
              <w:widowControl/>
              <w:adjustRightInd w:val="0"/>
              <w:snapToGrid w:val="0"/>
              <w:jc w:val="center"/>
              <w:rPr>
                <w:rFonts w:ascii="Arial" w:hAnsi="Arial" w:eastAsia="宋体" w:cs="Arial"/>
                <w:bCs/>
                <w:kern w:val="0"/>
                <w:sz w:val="21"/>
                <w:szCs w:val="21"/>
              </w:rPr>
            </w:pPr>
          </w:p>
        </w:tc>
        <w:tc>
          <w:tcPr>
            <w:tcW w:w="963" w:type="pct"/>
            <w:vAlign w:val="center"/>
          </w:tcPr>
          <w:p w14:paraId="6BC12DC0">
            <w:pPr>
              <w:widowControl/>
              <w:adjustRightInd w:val="0"/>
              <w:snapToGrid w:val="0"/>
              <w:jc w:val="center"/>
              <w:rPr>
                <w:rFonts w:ascii="Arial" w:hAnsi="Arial" w:eastAsia="宋体" w:cs="Arial"/>
                <w:bCs/>
                <w:kern w:val="0"/>
                <w:sz w:val="21"/>
                <w:szCs w:val="21"/>
              </w:rPr>
            </w:pPr>
          </w:p>
        </w:tc>
        <w:tc>
          <w:tcPr>
            <w:tcW w:w="945" w:type="pct"/>
            <w:vAlign w:val="center"/>
          </w:tcPr>
          <w:p w14:paraId="6D051848">
            <w:pPr>
              <w:widowControl/>
              <w:adjustRightInd w:val="0"/>
              <w:snapToGrid w:val="0"/>
              <w:jc w:val="center"/>
              <w:rPr>
                <w:rFonts w:ascii="Arial" w:hAnsi="Arial" w:eastAsia="宋体" w:cs="Arial"/>
                <w:bCs/>
                <w:kern w:val="0"/>
                <w:sz w:val="21"/>
                <w:szCs w:val="21"/>
              </w:rPr>
            </w:pPr>
          </w:p>
        </w:tc>
        <w:tc>
          <w:tcPr>
            <w:tcW w:w="847" w:type="pct"/>
            <w:vAlign w:val="center"/>
          </w:tcPr>
          <w:p w14:paraId="778173F8">
            <w:pPr>
              <w:widowControl/>
              <w:adjustRightInd w:val="0"/>
              <w:snapToGrid w:val="0"/>
              <w:jc w:val="center"/>
              <w:rPr>
                <w:rFonts w:ascii="Arial" w:hAnsi="Arial" w:eastAsia="宋体" w:cs="Arial"/>
                <w:bCs/>
                <w:kern w:val="0"/>
                <w:sz w:val="21"/>
                <w:szCs w:val="21"/>
              </w:rPr>
            </w:pPr>
          </w:p>
        </w:tc>
      </w:tr>
      <w:tr w14:paraId="00839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restart"/>
            <w:vAlign w:val="center"/>
          </w:tcPr>
          <w:p w14:paraId="2199480C">
            <w:pPr>
              <w:widowControl/>
              <w:adjustRightInd w:val="0"/>
              <w:snapToGrid w:val="0"/>
              <w:jc w:val="center"/>
              <w:rPr>
                <w:rFonts w:ascii="Arial" w:hAnsi="Arial" w:eastAsia="宋体" w:cs="Arial"/>
                <w:bCs/>
                <w:kern w:val="0"/>
                <w:sz w:val="21"/>
                <w:szCs w:val="21"/>
              </w:rPr>
            </w:pPr>
          </w:p>
        </w:tc>
        <w:tc>
          <w:tcPr>
            <w:tcW w:w="1729" w:type="pct"/>
            <w:vAlign w:val="center"/>
          </w:tcPr>
          <w:p w14:paraId="106DCA3B">
            <w:pPr>
              <w:widowControl/>
              <w:adjustRightInd w:val="0"/>
              <w:snapToGrid w:val="0"/>
              <w:jc w:val="center"/>
              <w:rPr>
                <w:rFonts w:ascii="Arial" w:hAnsi="Arial" w:eastAsia="宋体" w:cs="Arial"/>
                <w:bCs/>
                <w:kern w:val="0"/>
                <w:sz w:val="21"/>
                <w:szCs w:val="21"/>
              </w:rPr>
            </w:pPr>
          </w:p>
        </w:tc>
        <w:tc>
          <w:tcPr>
            <w:tcW w:w="963" w:type="pct"/>
            <w:vAlign w:val="center"/>
          </w:tcPr>
          <w:p w14:paraId="5EF3F30D">
            <w:pPr>
              <w:widowControl/>
              <w:adjustRightInd w:val="0"/>
              <w:snapToGrid w:val="0"/>
              <w:jc w:val="center"/>
              <w:rPr>
                <w:rFonts w:ascii="Arial" w:hAnsi="Arial" w:eastAsia="宋体" w:cs="Arial"/>
                <w:bCs/>
                <w:kern w:val="0"/>
                <w:sz w:val="21"/>
                <w:szCs w:val="21"/>
              </w:rPr>
            </w:pPr>
          </w:p>
        </w:tc>
        <w:tc>
          <w:tcPr>
            <w:tcW w:w="945" w:type="pct"/>
            <w:vAlign w:val="center"/>
          </w:tcPr>
          <w:p w14:paraId="4FC02DB6">
            <w:pPr>
              <w:widowControl/>
              <w:adjustRightInd w:val="0"/>
              <w:snapToGrid w:val="0"/>
              <w:jc w:val="center"/>
              <w:rPr>
                <w:rFonts w:ascii="Arial" w:hAnsi="Arial" w:eastAsia="宋体" w:cs="Arial"/>
                <w:bCs/>
                <w:kern w:val="0"/>
                <w:sz w:val="21"/>
                <w:szCs w:val="21"/>
              </w:rPr>
            </w:pPr>
          </w:p>
        </w:tc>
        <w:tc>
          <w:tcPr>
            <w:tcW w:w="847" w:type="pct"/>
            <w:vAlign w:val="center"/>
          </w:tcPr>
          <w:p w14:paraId="1AA67FDA">
            <w:pPr>
              <w:widowControl/>
              <w:adjustRightInd w:val="0"/>
              <w:snapToGrid w:val="0"/>
              <w:jc w:val="center"/>
              <w:rPr>
                <w:rFonts w:ascii="Arial" w:hAnsi="Arial" w:eastAsia="宋体" w:cs="Arial"/>
                <w:bCs/>
                <w:kern w:val="0"/>
                <w:sz w:val="21"/>
                <w:szCs w:val="21"/>
              </w:rPr>
            </w:pPr>
          </w:p>
        </w:tc>
      </w:tr>
      <w:tr w14:paraId="12A9C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vAlign w:val="center"/>
          </w:tcPr>
          <w:p w14:paraId="52EF742D">
            <w:pPr>
              <w:widowControl/>
              <w:jc w:val="left"/>
              <w:rPr>
                <w:rFonts w:ascii="Arial" w:hAnsi="Arial" w:eastAsia="宋体" w:cs="Arial"/>
                <w:bCs/>
                <w:kern w:val="0"/>
                <w:sz w:val="21"/>
                <w:szCs w:val="21"/>
              </w:rPr>
            </w:pPr>
          </w:p>
        </w:tc>
        <w:tc>
          <w:tcPr>
            <w:tcW w:w="1729" w:type="pct"/>
            <w:vAlign w:val="center"/>
          </w:tcPr>
          <w:p w14:paraId="4748D30A">
            <w:pPr>
              <w:widowControl/>
              <w:adjustRightInd w:val="0"/>
              <w:snapToGrid w:val="0"/>
              <w:jc w:val="center"/>
              <w:rPr>
                <w:rFonts w:ascii="Arial" w:hAnsi="Arial" w:eastAsia="宋体" w:cs="Arial"/>
                <w:bCs/>
                <w:kern w:val="0"/>
                <w:sz w:val="21"/>
                <w:szCs w:val="21"/>
              </w:rPr>
            </w:pPr>
          </w:p>
        </w:tc>
        <w:tc>
          <w:tcPr>
            <w:tcW w:w="963" w:type="pct"/>
            <w:vAlign w:val="center"/>
          </w:tcPr>
          <w:p w14:paraId="4FD51321">
            <w:pPr>
              <w:widowControl/>
              <w:adjustRightInd w:val="0"/>
              <w:snapToGrid w:val="0"/>
              <w:jc w:val="center"/>
              <w:rPr>
                <w:rFonts w:ascii="Arial" w:hAnsi="Arial" w:eastAsia="宋体" w:cs="Arial"/>
                <w:bCs/>
                <w:kern w:val="0"/>
                <w:sz w:val="21"/>
                <w:szCs w:val="21"/>
              </w:rPr>
            </w:pPr>
          </w:p>
        </w:tc>
        <w:tc>
          <w:tcPr>
            <w:tcW w:w="945" w:type="pct"/>
            <w:vAlign w:val="center"/>
          </w:tcPr>
          <w:p w14:paraId="3C4BB36D">
            <w:pPr>
              <w:widowControl/>
              <w:adjustRightInd w:val="0"/>
              <w:snapToGrid w:val="0"/>
              <w:jc w:val="center"/>
              <w:rPr>
                <w:rFonts w:ascii="Arial" w:hAnsi="Arial" w:eastAsia="宋体" w:cs="Arial"/>
                <w:bCs/>
                <w:kern w:val="0"/>
                <w:sz w:val="21"/>
                <w:szCs w:val="21"/>
              </w:rPr>
            </w:pPr>
          </w:p>
        </w:tc>
        <w:tc>
          <w:tcPr>
            <w:tcW w:w="847" w:type="pct"/>
            <w:vAlign w:val="center"/>
          </w:tcPr>
          <w:p w14:paraId="3F2F3FA7">
            <w:pPr>
              <w:widowControl/>
              <w:adjustRightInd w:val="0"/>
              <w:snapToGrid w:val="0"/>
              <w:jc w:val="center"/>
              <w:rPr>
                <w:rFonts w:ascii="Arial" w:hAnsi="Arial" w:eastAsia="宋体" w:cs="Arial"/>
                <w:bCs/>
                <w:kern w:val="0"/>
                <w:sz w:val="21"/>
                <w:szCs w:val="21"/>
              </w:rPr>
            </w:pPr>
          </w:p>
        </w:tc>
      </w:tr>
      <w:tr w14:paraId="53244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167BDB5E">
            <w:pPr>
              <w:widowControl/>
              <w:adjustRightInd w:val="0"/>
              <w:snapToGrid w:val="0"/>
              <w:jc w:val="center"/>
              <w:rPr>
                <w:rFonts w:ascii="Arial" w:hAnsi="Arial" w:eastAsia="宋体" w:cs="Arial"/>
                <w:bCs/>
                <w:kern w:val="0"/>
                <w:sz w:val="21"/>
                <w:szCs w:val="21"/>
              </w:rPr>
            </w:pPr>
          </w:p>
        </w:tc>
        <w:tc>
          <w:tcPr>
            <w:tcW w:w="1729" w:type="pct"/>
            <w:vAlign w:val="center"/>
          </w:tcPr>
          <w:p w14:paraId="289B54BB">
            <w:pPr>
              <w:widowControl/>
              <w:adjustRightInd w:val="0"/>
              <w:snapToGrid w:val="0"/>
              <w:jc w:val="center"/>
              <w:rPr>
                <w:rFonts w:ascii="Arial" w:hAnsi="Arial" w:eastAsia="宋体" w:cs="Arial"/>
                <w:bCs/>
                <w:kern w:val="0"/>
                <w:sz w:val="21"/>
                <w:szCs w:val="21"/>
              </w:rPr>
            </w:pPr>
          </w:p>
        </w:tc>
        <w:tc>
          <w:tcPr>
            <w:tcW w:w="963" w:type="pct"/>
            <w:vAlign w:val="center"/>
          </w:tcPr>
          <w:p w14:paraId="6A0E4A85">
            <w:pPr>
              <w:widowControl/>
              <w:adjustRightInd w:val="0"/>
              <w:snapToGrid w:val="0"/>
              <w:jc w:val="center"/>
              <w:rPr>
                <w:rFonts w:ascii="Arial" w:hAnsi="Arial" w:eastAsia="宋体" w:cs="Arial"/>
                <w:bCs/>
                <w:kern w:val="0"/>
                <w:sz w:val="21"/>
                <w:szCs w:val="21"/>
              </w:rPr>
            </w:pPr>
          </w:p>
        </w:tc>
        <w:tc>
          <w:tcPr>
            <w:tcW w:w="945" w:type="pct"/>
            <w:vAlign w:val="center"/>
          </w:tcPr>
          <w:p w14:paraId="414DC02F">
            <w:pPr>
              <w:widowControl/>
              <w:adjustRightInd w:val="0"/>
              <w:snapToGrid w:val="0"/>
              <w:jc w:val="center"/>
              <w:rPr>
                <w:rFonts w:ascii="Arial" w:hAnsi="Arial" w:eastAsia="宋体" w:cs="Arial"/>
                <w:bCs/>
                <w:kern w:val="0"/>
                <w:sz w:val="21"/>
                <w:szCs w:val="21"/>
              </w:rPr>
            </w:pPr>
          </w:p>
        </w:tc>
        <w:tc>
          <w:tcPr>
            <w:tcW w:w="847" w:type="pct"/>
            <w:vAlign w:val="center"/>
          </w:tcPr>
          <w:p w14:paraId="5ED2AC2E">
            <w:pPr>
              <w:widowControl/>
              <w:adjustRightInd w:val="0"/>
              <w:snapToGrid w:val="0"/>
              <w:jc w:val="center"/>
              <w:rPr>
                <w:rFonts w:ascii="Arial" w:hAnsi="Arial" w:eastAsia="宋体" w:cs="Arial"/>
                <w:bCs/>
                <w:kern w:val="0"/>
                <w:sz w:val="21"/>
                <w:szCs w:val="21"/>
              </w:rPr>
            </w:pPr>
          </w:p>
        </w:tc>
      </w:tr>
      <w:tr w14:paraId="020C7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323CE9FF">
            <w:pPr>
              <w:widowControl/>
              <w:adjustRightInd w:val="0"/>
              <w:snapToGrid w:val="0"/>
              <w:jc w:val="center"/>
              <w:rPr>
                <w:rFonts w:ascii="Arial" w:hAnsi="Arial" w:eastAsia="宋体" w:cs="Arial"/>
                <w:bCs/>
                <w:kern w:val="0"/>
                <w:sz w:val="21"/>
                <w:szCs w:val="21"/>
              </w:rPr>
            </w:pPr>
          </w:p>
        </w:tc>
        <w:tc>
          <w:tcPr>
            <w:tcW w:w="1729" w:type="pct"/>
            <w:vAlign w:val="center"/>
          </w:tcPr>
          <w:p w14:paraId="65E9A7D6">
            <w:pPr>
              <w:widowControl/>
              <w:adjustRightInd w:val="0"/>
              <w:snapToGrid w:val="0"/>
              <w:jc w:val="center"/>
              <w:rPr>
                <w:rFonts w:ascii="Arial" w:hAnsi="Arial" w:eastAsia="宋体" w:cs="Arial"/>
                <w:bCs/>
                <w:kern w:val="0"/>
                <w:sz w:val="21"/>
                <w:szCs w:val="21"/>
              </w:rPr>
            </w:pPr>
          </w:p>
        </w:tc>
        <w:tc>
          <w:tcPr>
            <w:tcW w:w="963" w:type="pct"/>
            <w:vAlign w:val="center"/>
          </w:tcPr>
          <w:p w14:paraId="4FD8B287">
            <w:pPr>
              <w:widowControl/>
              <w:adjustRightInd w:val="0"/>
              <w:snapToGrid w:val="0"/>
              <w:jc w:val="center"/>
              <w:rPr>
                <w:rFonts w:ascii="Arial" w:hAnsi="Arial" w:eastAsia="宋体" w:cs="Arial"/>
                <w:bCs/>
                <w:kern w:val="0"/>
                <w:sz w:val="21"/>
                <w:szCs w:val="21"/>
              </w:rPr>
            </w:pPr>
          </w:p>
        </w:tc>
        <w:tc>
          <w:tcPr>
            <w:tcW w:w="945" w:type="pct"/>
            <w:vAlign w:val="center"/>
          </w:tcPr>
          <w:p w14:paraId="4745D390">
            <w:pPr>
              <w:widowControl/>
              <w:adjustRightInd w:val="0"/>
              <w:snapToGrid w:val="0"/>
              <w:jc w:val="center"/>
              <w:rPr>
                <w:rFonts w:ascii="Arial" w:hAnsi="Arial" w:eastAsia="宋体" w:cs="Arial"/>
                <w:bCs/>
                <w:kern w:val="0"/>
                <w:sz w:val="21"/>
                <w:szCs w:val="21"/>
              </w:rPr>
            </w:pPr>
          </w:p>
        </w:tc>
        <w:tc>
          <w:tcPr>
            <w:tcW w:w="847" w:type="pct"/>
            <w:vAlign w:val="center"/>
          </w:tcPr>
          <w:p w14:paraId="5CD21214">
            <w:pPr>
              <w:widowControl/>
              <w:adjustRightInd w:val="0"/>
              <w:snapToGrid w:val="0"/>
              <w:jc w:val="center"/>
              <w:rPr>
                <w:rFonts w:ascii="Arial" w:hAnsi="Arial" w:eastAsia="宋体" w:cs="Arial"/>
                <w:bCs/>
                <w:kern w:val="0"/>
                <w:sz w:val="21"/>
                <w:szCs w:val="21"/>
              </w:rPr>
            </w:pPr>
          </w:p>
        </w:tc>
      </w:tr>
      <w:tr w14:paraId="10A6E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restart"/>
            <w:vAlign w:val="center"/>
          </w:tcPr>
          <w:p w14:paraId="3236FDFB">
            <w:pPr>
              <w:widowControl/>
              <w:adjustRightInd w:val="0"/>
              <w:snapToGrid w:val="0"/>
              <w:jc w:val="center"/>
              <w:rPr>
                <w:rFonts w:ascii="Arial" w:hAnsi="Arial" w:eastAsia="宋体" w:cs="Arial"/>
                <w:bCs/>
                <w:sz w:val="21"/>
                <w:szCs w:val="21"/>
              </w:rPr>
            </w:pPr>
          </w:p>
        </w:tc>
        <w:tc>
          <w:tcPr>
            <w:tcW w:w="1729" w:type="pct"/>
            <w:vAlign w:val="center"/>
          </w:tcPr>
          <w:p w14:paraId="02BA450E">
            <w:pPr>
              <w:widowControl/>
              <w:adjustRightInd w:val="0"/>
              <w:snapToGrid w:val="0"/>
              <w:jc w:val="center"/>
              <w:rPr>
                <w:rFonts w:ascii="Arial" w:hAnsi="Arial" w:eastAsia="宋体" w:cs="Arial"/>
                <w:bCs/>
                <w:kern w:val="0"/>
                <w:sz w:val="21"/>
                <w:szCs w:val="21"/>
              </w:rPr>
            </w:pPr>
          </w:p>
        </w:tc>
        <w:tc>
          <w:tcPr>
            <w:tcW w:w="963" w:type="pct"/>
            <w:vAlign w:val="center"/>
          </w:tcPr>
          <w:p w14:paraId="3EF7DD6A">
            <w:pPr>
              <w:widowControl/>
              <w:adjustRightInd w:val="0"/>
              <w:snapToGrid w:val="0"/>
              <w:jc w:val="center"/>
              <w:rPr>
                <w:rFonts w:ascii="Arial" w:hAnsi="Arial" w:eastAsia="宋体" w:cs="Arial"/>
                <w:bCs/>
                <w:kern w:val="0"/>
                <w:sz w:val="21"/>
                <w:szCs w:val="21"/>
              </w:rPr>
            </w:pPr>
          </w:p>
        </w:tc>
        <w:tc>
          <w:tcPr>
            <w:tcW w:w="945" w:type="pct"/>
            <w:vAlign w:val="center"/>
          </w:tcPr>
          <w:p w14:paraId="45F5EF3F">
            <w:pPr>
              <w:widowControl/>
              <w:adjustRightInd w:val="0"/>
              <w:snapToGrid w:val="0"/>
              <w:jc w:val="center"/>
              <w:rPr>
                <w:rFonts w:ascii="Arial" w:hAnsi="Arial" w:eastAsia="宋体" w:cs="Arial"/>
                <w:bCs/>
                <w:kern w:val="0"/>
                <w:sz w:val="21"/>
                <w:szCs w:val="21"/>
              </w:rPr>
            </w:pPr>
          </w:p>
        </w:tc>
        <w:tc>
          <w:tcPr>
            <w:tcW w:w="847" w:type="pct"/>
            <w:vAlign w:val="center"/>
          </w:tcPr>
          <w:p w14:paraId="06E81629">
            <w:pPr>
              <w:widowControl/>
              <w:adjustRightInd w:val="0"/>
              <w:snapToGrid w:val="0"/>
              <w:jc w:val="center"/>
              <w:rPr>
                <w:rFonts w:ascii="Arial" w:hAnsi="Arial" w:eastAsia="宋体" w:cs="Arial"/>
                <w:bCs/>
                <w:kern w:val="0"/>
                <w:sz w:val="21"/>
                <w:szCs w:val="21"/>
              </w:rPr>
            </w:pPr>
          </w:p>
        </w:tc>
      </w:tr>
      <w:tr w14:paraId="19441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vAlign w:val="center"/>
          </w:tcPr>
          <w:p w14:paraId="6E046EF4">
            <w:pPr>
              <w:widowControl/>
              <w:jc w:val="left"/>
              <w:rPr>
                <w:rFonts w:ascii="Arial" w:hAnsi="Arial" w:eastAsia="宋体" w:cs="Arial"/>
                <w:bCs/>
                <w:sz w:val="21"/>
                <w:szCs w:val="21"/>
              </w:rPr>
            </w:pPr>
          </w:p>
        </w:tc>
        <w:tc>
          <w:tcPr>
            <w:tcW w:w="1729" w:type="pct"/>
            <w:vAlign w:val="center"/>
          </w:tcPr>
          <w:p w14:paraId="3B217BC1">
            <w:pPr>
              <w:widowControl/>
              <w:adjustRightInd w:val="0"/>
              <w:snapToGrid w:val="0"/>
              <w:jc w:val="center"/>
              <w:rPr>
                <w:rFonts w:ascii="Arial" w:hAnsi="Arial" w:eastAsia="宋体" w:cs="Arial"/>
                <w:bCs/>
                <w:kern w:val="0"/>
                <w:sz w:val="21"/>
                <w:szCs w:val="21"/>
              </w:rPr>
            </w:pPr>
          </w:p>
        </w:tc>
        <w:tc>
          <w:tcPr>
            <w:tcW w:w="963" w:type="pct"/>
            <w:vAlign w:val="center"/>
          </w:tcPr>
          <w:p w14:paraId="0E95715C">
            <w:pPr>
              <w:widowControl/>
              <w:adjustRightInd w:val="0"/>
              <w:snapToGrid w:val="0"/>
              <w:jc w:val="center"/>
              <w:rPr>
                <w:rFonts w:ascii="Arial" w:hAnsi="Arial" w:eastAsia="宋体" w:cs="Arial"/>
                <w:bCs/>
                <w:kern w:val="0"/>
                <w:sz w:val="21"/>
                <w:szCs w:val="21"/>
              </w:rPr>
            </w:pPr>
          </w:p>
        </w:tc>
        <w:tc>
          <w:tcPr>
            <w:tcW w:w="945" w:type="pct"/>
            <w:vAlign w:val="center"/>
          </w:tcPr>
          <w:p w14:paraId="162A8C86">
            <w:pPr>
              <w:widowControl/>
              <w:adjustRightInd w:val="0"/>
              <w:snapToGrid w:val="0"/>
              <w:jc w:val="center"/>
              <w:rPr>
                <w:rFonts w:ascii="Arial" w:hAnsi="Arial" w:eastAsia="宋体" w:cs="Arial"/>
                <w:bCs/>
                <w:kern w:val="0"/>
                <w:sz w:val="21"/>
                <w:szCs w:val="21"/>
              </w:rPr>
            </w:pPr>
          </w:p>
        </w:tc>
        <w:tc>
          <w:tcPr>
            <w:tcW w:w="847" w:type="pct"/>
            <w:vAlign w:val="center"/>
          </w:tcPr>
          <w:p w14:paraId="795DA9B2">
            <w:pPr>
              <w:widowControl/>
              <w:adjustRightInd w:val="0"/>
              <w:snapToGrid w:val="0"/>
              <w:jc w:val="center"/>
              <w:rPr>
                <w:rFonts w:ascii="Arial" w:hAnsi="Arial" w:eastAsia="宋体" w:cs="Arial"/>
                <w:bCs/>
                <w:kern w:val="0"/>
                <w:sz w:val="21"/>
                <w:szCs w:val="21"/>
              </w:rPr>
            </w:pPr>
          </w:p>
        </w:tc>
      </w:tr>
      <w:tr w14:paraId="51156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restart"/>
            <w:vAlign w:val="center"/>
          </w:tcPr>
          <w:p w14:paraId="64BE9430">
            <w:pPr>
              <w:widowControl/>
              <w:adjustRightInd w:val="0"/>
              <w:snapToGrid w:val="0"/>
              <w:jc w:val="center"/>
              <w:rPr>
                <w:rFonts w:ascii="Arial" w:hAnsi="Arial" w:eastAsia="宋体" w:cs="Arial"/>
                <w:bCs/>
                <w:sz w:val="21"/>
                <w:szCs w:val="21"/>
              </w:rPr>
            </w:pPr>
          </w:p>
        </w:tc>
        <w:tc>
          <w:tcPr>
            <w:tcW w:w="1729" w:type="pct"/>
            <w:vAlign w:val="center"/>
          </w:tcPr>
          <w:p w14:paraId="7E47DF62">
            <w:pPr>
              <w:widowControl/>
              <w:adjustRightInd w:val="0"/>
              <w:snapToGrid w:val="0"/>
              <w:jc w:val="center"/>
              <w:rPr>
                <w:rFonts w:ascii="Arial" w:hAnsi="Arial" w:eastAsia="宋体" w:cs="Arial"/>
                <w:bCs/>
                <w:kern w:val="0"/>
                <w:sz w:val="21"/>
                <w:szCs w:val="21"/>
              </w:rPr>
            </w:pPr>
          </w:p>
        </w:tc>
        <w:tc>
          <w:tcPr>
            <w:tcW w:w="963" w:type="pct"/>
            <w:vAlign w:val="center"/>
          </w:tcPr>
          <w:p w14:paraId="2651ACA9">
            <w:pPr>
              <w:widowControl/>
              <w:adjustRightInd w:val="0"/>
              <w:snapToGrid w:val="0"/>
              <w:jc w:val="center"/>
              <w:rPr>
                <w:rFonts w:ascii="Arial" w:hAnsi="Arial" w:eastAsia="宋体" w:cs="Arial"/>
                <w:bCs/>
                <w:kern w:val="0"/>
                <w:sz w:val="21"/>
                <w:szCs w:val="21"/>
              </w:rPr>
            </w:pPr>
          </w:p>
        </w:tc>
        <w:tc>
          <w:tcPr>
            <w:tcW w:w="945" w:type="pct"/>
            <w:vAlign w:val="center"/>
          </w:tcPr>
          <w:p w14:paraId="2659A530">
            <w:pPr>
              <w:widowControl/>
              <w:adjustRightInd w:val="0"/>
              <w:snapToGrid w:val="0"/>
              <w:jc w:val="center"/>
              <w:rPr>
                <w:rFonts w:ascii="Arial" w:hAnsi="Arial" w:eastAsia="宋体" w:cs="Arial"/>
                <w:bCs/>
                <w:kern w:val="0"/>
                <w:sz w:val="21"/>
                <w:szCs w:val="21"/>
              </w:rPr>
            </w:pPr>
          </w:p>
        </w:tc>
        <w:tc>
          <w:tcPr>
            <w:tcW w:w="847" w:type="pct"/>
            <w:vAlign w:val="center"/>
          </w:tcPr>
          <w:p w14:paraId="5822FB73">
            <w:pPr>
              <w:widowControl/>
              <w:adjustRightInd w:val="0"/>
              <w:snapToGrid w:val="0"/>
              <w:jc w:val="center"/>
              <w:rPr>
                <w:rFonts w:ascii="Arial" w:hAnsi="Arial" w:eastAsia="宋体" w:cs="Arial"/>
                <w:bCs/>
                <w:kern w:val="0"/>
                <w:sz w:val="21"/>
                <w:szCs w:val="21"/>
              </w:rPr>
            </w:pPr>
          </w:p>
        </w:tc>
      </w:tr>
      <w:tr w14:paraId="2CEED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Merge w:val="continue"/>
            <w:vAlign w:val="center"/>
          </w:tcPr>
          <w:p w14:paraId="3C7F7ED3">
            <w:pPr>
              <w:widowControl/>
              <w:jc w:val="left"/>
              <w:rPr>
                <w:rFonts w:ascii="Arial" w:hAnsi="Arial" w:eastAsia="宋体" w:cs="Arial"/>
                <w:bCs/>
                <w:sz w:val="21"/>
                <w:szCs w:val="21"/>
              </w:rPr>
            </w:pPr>
          </w:p>
        </w:tc>
        <w:tc>
          <w:tcPr>
            <w:tcW w:w="1729" w:type="pct"/>
            <w:vAlign w:val="center"/>
          </w:tcPr>
          <w:p w14:paraId="02312EC3">
            <w:pPr>
              <w:widowControl/>
              <w:adjustRightInd w:val="0"/>
              <w:snapToGrid w:val="0"/>
              <w:jc w:val="center"/>
              <w:rPr>
                <w:rFonts w:ascii="Arial" w:hAnsi="Arial" w:eastAsia="宋体" w:cs="Arial"/>
                <w:bCs/>
                <w:kern w:val="0"/>
                <w:sz w:val="21"/>
                <w:szCs w:val="21"/>
              </w:rPr>
            </w:pPr>
          </w:p>
        </w:tc>
        <w:tc>
          <w:tcPr>
            <w:tcW w:w="963" w:type="pct"/>
            <w:vAlign w:val="center"/>
          </w:tcPr>
          <w:p w14:paraId="33DB949B">
            <w:pPr>
              <w:widowControl/>
              <w:adjustRightInd w:val="0"/>
              <w:snapToGrid w:val="0"/>
              <w:jc w:val="center"/>
              <w:rPr>
                <w:rFonts w:ascii="Arial" w:hAnsi="Arial" w:eastAsia="宋体" w:cs="Arial"/>
                <w:bCs/>
                <w:kern w:val="0"/>
                <w:sz w:val="21"/>
                <w:szCs w:val="21"/>
              </w:rPr>
            </w:pPr>
          </w:p>
        </w:tc>
        <w:tc>
          <w:tcPr>
            <w:tcW w:w="945" w:type="pct"/>
            <w:vAlign w:val="center"/>
          </w:tcPr>
          <w:p w14:paraId="09E0C6C5">
            <w:pPr>
              <w:widowControl/>
              <w:adjustRightInd w:val="0"/>
              <w:snapToGrid w:val="0"/>
              <w:jc w:val="center"/>
              <w:rPr>
                <w:rFonts w:ascii="Arial" w:hAnsi="Arial" w:eastAsia="宋体" w:cs="Arial"/>
                <w:bCs/>
                <w:kern w:val="0"/>
                <w:sz w:val="21"/>
                <w:szCs w:val="21"/>
              </w:rPr>
            </w:pPr>
          </w:p>
        </w:tc>
        <w:tc>
          <w:tcPr>
            <w:tcW w:w="847" w:type="pct"/>
            <w:vAlign w:val="center"/>
          </w:tcPr>
          <w:p w14:paraId="0F36307D">
            <w:pPr>
              <w:widowControl/>
              <w:adjustRightInd w:val="0"/>
              <w:snapToGrid w:val="0"/>
              <w:jc w:val="center"/>
              <w:rPr>
                <w:rFonts w:ascii="Arial" w:hAnsi="Arial" w:eastAsia="宋体" w:cs="Arial"/>
                <w:bCs/>
                <w:kern w:val="0"/>
                <w:sz w:val="21"/>
                <w:szCs w:val="21"/>
              </w:rPr>
            </w:pPr>
          </w:p>
        </w:tc>
      </w:tr>
    </w:tbl>
    <w:p w14:paraId="610971BB">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由表3-4可知，港区一小站点近3年SO</w:t>
      </w:r>
      <w:r>
        <w:rPr>
          <w:rFonts w:hint="eastAsia" w:ascii="Arial" w:hAnsi="Arial" w:eastAsia="宋体" w:cs="Arial"/>
          <w:spacing w:val="10"/>
          <w:sz w:val="24"/>
          <w:vertAlign w:val="subscript"/>
        </w:rPr>
        <w:t>2</w:t>
      </w:r>
      <w:r>
        <w:rPr>
          <w:rFonts w:hint="eastAsia" w:ascii="Arial" w:hAnsi="Arial" w:eastAsia="宋体" w:cs="Arial"/>
          <w:spacing w:val="10"/>
          <w:sz w:val="24"/>
        </w:rPr>
        <w:t>日均百分位数浓度有所下降，2022年和2023年不变；NO</w:t>
      </w:r>
      <w:r>
        <w:rPr>
          <w:rFonts w:hint="eastAsia" w:ascii="Arial" w:hAnsi="Arial" w:eastAsia="宋体" w:cs="Arial"/>
          <w:spacing w:val="10"/>
          <w:sz w:val="24"/>
          <w:vertAlign w:val="subscript"/>
        </w:rPr>
        <w:t>2</w:t>
      </w:r>
      <w:r>
        <w:rPr>
          <w:rFonts w:hint="eastAsia" w:ascii="Arial" w:hAnsi="Arial" w:eastAsia="宋体" w:cs="Arial"/>
          <w:spacing w:val="10"/>
          <w:sz w:val="24"/>
        </w:rPr>
        <w:t>、PM</w:t>
      </w:r>
      <w:r>
        <w:rPr>
          <w:rFonts w:hint="eastAsia" w:ascii="Arial" w:hAnsi="Arial" w:eastAsia="宋体" w:cs="Arial"/>
          <w:spacing w:val="10"/>
          <w:sz w:val="24"/>
          <w:vertAlign w:val="subscript"/>
        </w:rPr>
        <w:t>10</w:t>
      </w:r>
      <w:r>
        <w:rPr>
          <w:rFonts w:hint="eastAsia" w:ascii="Arial" w:hAnsi="Arial" w:eastAsia="宋体" w:cs="Arial"/>
          <w:spacing w:val="10"/>
          <w:sz w:val="24"/>
        </w:rPr>
        <w:t>、PM</w:t>
      </w:r>
      <w:r>
        <w:rPr>
          <w:rFonts w:hint="eastAsia" w:ascii="Arial" w:hAnsi="Arial" w:eastAsia="宋体" w:cs="Arial"/>
          <w:spacing w:val="10"/>
          <w:sz w:val="24"/>
          <w:vertAlign w:val="subscript"/>
        </w:rPr>
        <w:t>2.5</w:t>
      </w:r>
      <w:r>
        <w:rPr>
          <w:rFonts w:hint="eastAsia" w:ascii="Arial" w:hAnsi="Arial" w:eastAsia="宋体" w:cs="Arial"/>
          <w:spacing w:val="10"/>
          <w:sz w:val="24"/>
        </w:rPr>
        <w:t>和CO日均百分位数浓度变化较小，O</w:t>
      </w:r>
      <w:r>
        <w:rPr>
          <w:rFonts w:hint="eastAsia" w:ascii="Arial" w:hAnsi="Arial" w:eastAsia="宋体" w:cs="Arial"/>
          <w:spacing w:val="10"/>
          <w:sz w:val="24"/>
          <w:vertAlign w:val="subscript"/>
        </w:rPr>
        <w:t>3</w:t>
      </w:r>
      <w:r>
        <w:rPr>
          <w:rFonts w:hint="eastAsia" w:ascii="Arial" w:hAnsi="Arial" w:eastAsia="宋体" w:cs="Arial"/>
          <w:spacing w:val="10"/>
          <w:sz w:val="24"/>
        </w:rPr>
        <w:t>日最大8小时均值百分位数浓度略有增加，2022年和2023年差异较小。总体来看，2022年和2023年6项基本污染物浓度变化较小。因此，本报告以2022年现状浓度作为背景值预测，数据可行。</w:t>
      </w:r>
    </w:p>
    <w:p w14:paraId="425D105D">
      <w:pPr>
        <w:numPr>
          <w:ilvl w:val="3"/>
          <w:numId w:val="18"/>
        </w:numPr>
        <w:spacing w:line="500" w:lineRule="exact"/>
        <w:ind w:left="0" w:firstLine="0"/>
        <w:outlineLvl w:val="3"/>
        <w:rPr>
          <w:rFonts w:ascii="Arial" w:hAnsi="Arial" w:eastAsia="宋体" w:cs="Arial"/>
          <w:b/>
          <w:spacing w:val="10"/>
          <w:sz w:val="24"/>
        </w:rPr>
      </w:pPr>
      <w:r>
        <w:rPr>
          <w:rFonts w:ascii="Arial" w:hAnsi="Arial" w:eastAsia="宋体" w:cs="Arial"/>
          <w:b/>
          <w:spacing w:val="10"/>
          <w:sz w:val="24"/>
        </w:rPr>
        <w:t>其他污染物环境质量现状</w:t>
      </w:r>
    </w:p>
    <w:p w14:paraId="07499C2D">
      <w:pPr>
        <w:spacing w:line="500" w:lineRule="exact"/>
        <w:ind w:firstLine="490" w:firstLineChars="200"/>
        <w:rPr>
          <w:rFonts w:ascii="Arial" w:hAnsi="Arial" w:eastAsia="宋体" w:cs="Arial"/>
          <w:sz w:val="24"/>
        </w:rPr>
      </w:pPr>
      <w:r>
        <w:rPr>
          <w:rFonts w:ascii="Arial" w:hAnsi="Arial" w:eastAsia="宋体" w:cs="Arial"/>
          <w:spacing w:val="10"/>
          <w:sz w:val="24"/>
        </w:rPr>
        <w:t>根据《环境影响评价技术导则-大气环境》（HJ2.2-2018）对其他污染物进行补充监测，项目需要补充监测的因子</w:t>
      </w:r>
      <w:r>
        <w:rPr>
          <w:rFonts w:hint="eastAsia" w:ascii="Arial" w:hAnsi="Arial" w:eastAsia="宋体" w:cs="Arial"/>
          <w:spacing w:val="10"/>
          <w:sz w:val="24"/>
        </w:rPr>
        <w:t>为</w:t>
      </w:r>
      <w:r>
        <w:rPr>
          <w:rFonts w:ascii="Arial" w:hAnsi="Arial" w:eastAsia="宋体" w:cs="Arial"/>
          <w:spacing w:val="10"/>
          <w:sz w:val="24"/>
        </w:rPr>
        <w:t>氨</w:t>
      </w:r>
      <w:r>
        <w:rPr>
          <w:rFonts w:hint="eastAsia" w:ascii="Arial" w:hAnsi="Arial" w:eastAsia="宋体" w:cs="Arial"/>
          <w:spacing w:val="10"/>
          <w:sz w:val="24"/>
        </w:rPr>
        <w:t>、TSP（钴暂无质量标准及监测方法，未开展现状监测）</w:t>
      </w:r>
      <w:r>
        <w:rPr>
          <w:rFonts w:ascii="Arial" w:hAnsi="Arial" w:eastAsia="宋体" w:cs="Arial"/>
          <w:spacing w:val="10"/>
          <w:sz w:val="24"/>
        </w:rPr>
        <w:t>，</w:t>
      </w:r>
      <w:r>
        <w:rPr>
          <w:rFonts w:hint="eastAsia" w:ascii="Arial" w:hAnsi="Arial" w:eastAsia="宋体" w:cs="Arial"/>
          <w:spacing w:val="10"/>
          <w:sz w:val="24"/>
        </w:rPr>
        <w:t>通过</w:t>
      </w:r>
      <w:r>
        <w:rPr>
          <w:rFonts w:ascii="Arial" w:hAnsi="Arial" w:eastAsia="宋体" w:cs="Arial"/>
          <w:spacing w:val="10"/>
          <w:sz w:val="24"/>
        </w:rPr>
        <w:t>引用现有</w:t>
      </w:r>
      <w:r>
        <w:rPr>
          <w:rFonts w:hint="eastAsia" w:ascii="Arial" w:hAnsi="Arial" w:eastAsia="宋体" w:cs="Arial"/>
          <w:spacing w:val="10"/>
          <w:sz w:val="24"/>
        </w:rPr>
        <w:t>监测</w:t>
      </w:r>
      <w:r>
        <w:rPr>
          <w:rFonts w:ascii="Arial" w:hAnsi="Arial" w:eastAsia="宋体" w:cs="Arial"/>
          <w:spacing w:val="10"/>
          <w:sz w:val="24"/>
        </w:rPr>
        <w:t>数据</w:t>
      </w:r>
      <w:r>
        <w:rPr>
          <w:rFonts w:hint="eastAsia" w:ascii="Arial" w:hAnsi="Arial" w:eastAsia="宋体" w:cs="Arial"/>
          <w:spacing w:val="10"/>
          <w:sz w:val="24"/>
        </w:rPr>
        <w:t>进行评价</w:t>
      </w:r>
      <w:r>
        <w:rPr>
          <w:rFonts w:ascii="Arial" w:hAnsi="Arial" w:eastAsia="宋体" w:cs="Arial"/>
          <w:spacing w:val="10"/>
          <w:sz w:val="24"/>
        </w:rPr>
        <w:t>，</w:t>
      </w:r>
      <w:r>
        <w:rPr>
          <w:rFonts w:ascii="Arial" w:hAnsi="Arial" w:eastAsia="宋体" w:cs="Arial"/>
          <w:sz w:val="24"/>
        </w:rPr>
        <w:t>详见表3-</w:t>
      </w:r>
      <w:r>
        <w:rPr>
          <w:rFonts w:hint="eastAsia" w:ascii="Arial" w:hAnsi="Arial" w:eastAsia="宋体" w:cs="Arial"/>
          <w:sz w:val="24"/>
        </w:rPr>
        <w:t>5</w:t>
      </w:r>
      <w:r>
        <w:rPr>
          <w:rFonts w:ascii="Arial" w:hAnsi="Arial" w:eastAsia="宋体" w:cs="Arial"/>
          <w:sz w:val="24"/>
        </w:rPr>
        <w:t>。</w:t>
      </w:r>
    </w:p>
    <w:p w14:paraId="2DF91C67">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环境空气补充监测因子引用数据来源</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275"/>
        <w:gridCol w:w="1701"/>
        <w:gridCol w:w="1674"/>
        <w:gridCol w:w="3240"/>
      </w:tblGrid>
      <w:tr w14:paraId="11771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Align w:val="center"/>
          </w:tcPr>
          <w:p w14:paraId="48C35BC8">
            <w:pPr>
              <w:widowControl/>
              <w:adjustRightInd w:val="0"/>
              <w:snapToGrid w:val="0"/>
              <w:jc w:val="center"/>
              <w:rPr>
                <w:rFonts w:ascii="Arial" w:hAnsi="Arial" w:eastAsia="宋体" w:cs="Arial"/>
                <w:bCs/>
                <w:kern w:val="0"/>
                <w:sz w:val="21"/>
                <w:szCs w:val="21"/>
              </w:rPr>
            </w:pPr>
          </w:p>
        </w:tc>
        <w:tc>
          <w:tcPr>
            <w:tcW w:w="709" w:type="pct"/>
            <w:vAlign w:val="center"/>
          </w:tcPr>
          <w:p w14:paraId="09A4E29F">
            <w:pPr>
              <w:widowControl/>
              <w:adjustRightInd w:val="0"/>
              <w:snapToGrid w:val="0"/>
              <w:jc w:val="center"/>
              <w:rPr>
                <w:rFonts w:ascii="Arial" w:hAnsi="Arial" w:eastAsia="宋体" w:cs="Arial"/>
                <w:bCs/>
                <w:kern w:val="0"/>
                <w:sz w:val="21"/>
                <w:szCs w:val="21"/>
              </w:rPr>
            </w:pPr>
          </w:p>
        </w:tc>
        <w:tc>
          <w:tcPr>
            <w:tcW w:w="946" w:type="pct"/>
            <w:vAlign w:val="center"/>
          </w:tcPr>
          <w:p w14:paraId="1596B4DF">
            <w:pPr>
              <w:widowControl/>
              <w:adjustRightInd w:val="0"/>
              <w:snapToGrid w:val="0"/>
              <w:jc w:val="center"/>
              <w:rPr>
                <w:rFonts w:ascii="Arial" w:hAnsi="Arial" w:eastAsia="宋体" w:cs="Arial"/>
                <w:bCs/>
                <w:kern w:val="0"/>
                <w:sz w:val="21"/>
                <w:szCs w:val="21"/>
              </w:rPr>
            </w:pPr>
          </w:p>
        </w:tc>
        <w:tc>
          <w:tcPr>
            <w:tcW w:w="931" w:type="pct"/>
            <w:vAlign w:val="center"/>
          </w:tcPr>
          <w:p w14:paraId="51A590F3">
            <w:pPr>
              <w:widowControl/>
              <w:adjustRightInd w:val="0"/>
              <w:snapToGrid w:val="0"/>
              <w:jc w:val="center"/>
              <w:rPr>
                <w:rFonts w:ascii="Arial" w:hAnsi="Arial" w:eastAsia="宋体" w:cs="Arial"/>
                <w:bCs/>
                <w:kern w:val="0"/>
                <w:sz w:val="21"/>
                <w:szCs w:val="21"/>
              </w:rPr>
            </w:pPr>
          </w:p>
        </w:tc>
        <w:tc>
          <w:tcPr>
            <w:tcW w:w="1802" w:type="pct"/>
            <w:vAlign w:val="center"/>
          </w:tcPr>
          <w:p w14:paraId="57B68E1F">
            <w:pPr>
              <w:widowControl/>
              <w:adjustRightInd w:val="0"/>
              <w:snapToGrid w:val="0"/>
              <w:jc w:val="center"/>
              <w:rPr>
                <w:rFonts w:ascii="Arial" w:hAnsi="Arial" w:eastAsia="宋体" w:cs="Arial"/>
                <w:bCs/>
                <w:kern w:val="0"/>
                <w:sz w:val="21"/>
                <w:szCs w:val="21"/>
              </w:rPr>
            </w:pPr>
          </w:p>
        </w:tc>
      </w:tr>
      <w:tr w14:paraId="4BB9A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Align w:val="center"/>
          </w:tcPr>
          <w:p w14:paraId="21E9E72D">
            <w:pPr>
              <w:widowControl/>
              <w:adjustRightInd w:val="0"/>
              <w:snapToGrid w:val="0"/>
              <w:jc w:val="center"/>
              <w:rPr>
                <w:rFonts w:ascii="Arial" w:hAnsi="Arial" w:eastAsia="宋体" w:cs="Arial"/>
                <w:bCs/>
                <w:kern w:val="0"/>
                <w:sz w:val="21"/>
                <w:szCs w:val="21"/>
                <w:u w:val="single"/>
              </w:rPr>
            </w:pPr>
          </w:p>
        </w:tc>
        <w:tc>
          <w:tcPr>
            <w:tcW w:w="709" w:type="pct"/>
            <w:vAlign w:val="center"/>
          </w:tcPr>
          <w:p w14:paraId="25567FF7">
            <w:pPr>
              <w:widowControl/>
              <w:adjustRightInd w:val="0"/>
              <w:snapToGrid w:val="0"/>
              <w:jc w:val="center"/>
              <w:rPr>
                <w:rFonts w:ascii="Arial" w:hAnsi="Arial" w:eastAsia="宋体" w:cs="Arial"/>
                <w:bCs/>
                <w:kern w:val="0"/>
                <w:sz w:val="21"/>
                <w:szCs w:val="21"/>
                <w:u w:val="single"/>
              </w:rPr>
            </w:pPr>
          </w:p>
        </w:tc>
        <w:tc>
          <w:tcPr>
            <w:tcW w:w="946" w:type="pct"/>
            <w:vAlign w:val="center"/>
          </w:tcPr>
          <w:p w14:paraId="0277FFAD">
            <w:pPr>
              <w:widowControl/>
              <w:adjustRightInd w:val="0"/>
              <w:snapToGrid w:val="0"/>
              <w:jc w:val="center"/>
              <w:rPr>
                <w:rFonts w:ascii="Arial" w:hAnsi="Arial" w:eastAsia="宋体" w:cs="Arial"/>
                <w:bCs/>
                <w:kern w:val="0"/>
                <w:sz w:val="21"/>
                <w:szCs w:val="21"/>
                <w:u w:val="single"/>
              </w:rPr>
            </w:pPr>
          </w:p>
        </w:tc>
        <w:tc>
          <w:tcPr>
            <w:tcW w:w="931" w:type="pct"/>
            <w:vAlign w:val="center"/>
          </w:tcPr>
          <w:p w14:paraId="50983443">
            <w:pPr>
              <w:adjustRightInd w:val="0"/>
              <w:snapToGrid w:val="0"/>
              <w:jc w:val="center"/>
              <w:rPr>
                <w:rFonts w:ascii="Arial" w:hAnsi="Arial" w:eastAsia="宋体" w:cs="Arial"/>
                <w:bCs/>
                <w:kern w:val="0"/>
                <w:sz w:val="21"/>
                <w:szCs w:val="21"/>
                <w:u w:val="single"/>
              </w:rPr>
            </w:pPr>
          </w:p>
        </w:tc>
        <w:tc>
          <w:tcPr>
            <w:tcW w:w="1802" w:type="pct"/>
            <w:vAlign w:val="center"/>
          </w:tcPr>
          <w:p w14:paraId="7A19D2D1">
            <w:pPr>
              <w:adjustRightInd w:val="0"/>
              <w:snapToGrid w:val="0"/>
              <w:jc w:val="center"/>
              <w:rPr>
                <w:rFonts w:ascii="Arial" w:hAnsi="Arial" w:eastAsia="宋体" w:cs="Arial"/>
                <w:bCs/>
                <w:kern w:val="0"/>
                <w:sz w:val="21"/>
                <w:szCs w:val="21"/>
                <w:u w:val="single"/>
              </w:rPr>
            </w:pPr>
          </w:p>
        </w:tc>
      </w:tr>
      <w:tr w14:paraId="4CCE6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Align w:val="center"/>
          </w:tcPr>
          <w:p w14:paraId="2BAFE3D7">
            <w:pPr>
              <w:widowControl/>
              <w:adjustRightInd w:val="0"/>
              <w:snapToGrid w:val="0"/>
              <w:jc w:val="center"/>
              <w:rPr>
                <w:rFonts w:ascii="Arial" w:hAnsi="Arial" w:eastAsia="宋体" w:cs="Arial"/>
                <w:bCs/>
                <w:kern w:val="0"/>
                <w:sz w:val="21"/>
                <w:szCs w:val="21"/>
              </w:rPr>
            </w:pPr>
          </w:p>
        </w:tc>
        <w:tc>
          <w:tcPr>
            <w:tcW w:w="709" w:type="pct"/>
            <w:vAlign w:val="center"/>
          </w:tcPr>
          <w:p w14:paraId="15C46D99">
            <w:pPr>
              <w:widowControl/>
              <w:adjustRightInd w:val="0"/>
              <w:snapToGrid w:val="0"/>
              <w:jc w:val="center"/>
              <w:rPr>
                <w:rFonts w:ascii="Arial" w:hAnsi="Arial" w:eastAsia="宋体" w:cs="Arial"/>
                <w:bCs/>
                <w:kern w:val="0"/>
                <w:sz w:val="21"/>
                <w:szCs w:val="21"/>
              </w:rPr>
            </w:pPr>
          </w:p>
        </w:tc>
        <w:tc>
          <w:tcPr>
            <w:tcW w:w="946" w:type="pct"/>
            <w:vAlign w:val="center"/>
          </w:tcPr>
          <w:p w14:paraId="2BAD4CCB">
            <w:pPr>
              <w:widowControl/>
              <w:adjustRightInd w:val="0"/>
              <w:snapToGrid w:val="0"/>
              <w:jc w:val="center"/>
              <w:rPr>
                <w:rFonts w:ascii="Arial" w:hAnsi="Arial" w:eastAsia="宋体" w:cs="Arial"/>
                <w:bCs/>
                <w:kern w:val="0"/>
                <w:sz w:val="21"/>
                <w:szCs w:val="21"/>
              </w:rPr>
            </w:pPr>
          </w:p>
        </w:tc>
        <w:tc>
          <w:tcPr>
            <w:tcW w:w="931" w:type="pct"/>
            <w:vAlign w:val="center"/>
          </w:tcPr>
          <w:p w14:paraId="3267C2CA">
            <w:pPr>
              <w:adjustRightInd w:val="0"/>
              <w:snapToGrid w:val="0"/>
              <w:jc w:val="center"/>
              <w:rPr>
                <w:rFonts w:ascii="Arial" w:hAnsi="Arial" w:eastAsia="宋体" w:cs="Arial"/>
                <w:bCs/>
                <w:kern w:val="0"/>
                <w:sz w:val="21"/>
                <w:szCs w:val="21"/>
              </w:rPr>
            </w:pPr>
          </w:p>
        </w:tc>
        <w:tc>
          <w:tcPr>
            <w:tcW w:w="1802" w:type="pct"/>
            <w:vAlign w:val="center"/>
          </w:tcPr>
          <w:p w14:paraId="51A89E51">
            <w:pPr>
              <w:adjustRightInd w:val="0"/>
              <w:snapToGrid w:val="0"/>
              <w:jc w:val="center"/>
              <w:rPr>
                <w:rFonts w:ascii="Arial" w:hAnsi="Arial" w:eastAsia="宋体" w:cs="Arial"/>
                <w:bCs/>
                <w:kern w:val="0"/>
                <w:sz w:val="21"/>
                <w:szCs w:val="21"/>
              </w:rPr>
            </w:pPr>
          </w:p>
        </w:tc>
      </w:tr>
    </w:tbl>
    <w:p w14:paraId="258F1032">
      <w:pPr>
        <w:spacing w:line="500" w:lineRule="exact"/>
        <w:ind w:firstLine="490" w:firstLineChars="200"/>
        <w:rPr>
          <w:rFonts w:ascii="Arial" w:hAnsi="Arial" w:eastAsia="宋体" w:cs="Arial"/>
          <w:spacing w:val="10"/>
          <w:sz w:val="24"/>
        </w:rPr>
      </w:pPr>
      <w:r>
        <w:rPr>
          <w:rFonts w:ascii="Arial" w:hAnsi="Arial" w:eastAsia="宋体" w:cs="Arial"/>
          <w:spacing w:val="10"/>
          <w:sz w:val="24"/>
        </w:rPr>
        <w:t>1、补充监测基本信息</w:t>
      </w:r>
    </w:p>
    <w:p w14:paraId="7C6D0F80">
      <w:pPr>
        <w:spacing w:line="500" w:lineRule="exact"/>
        <w:ind w:firstLine="490" w:firstLineChars="200"/>
        <w:rPr>
          <w:rFonts w:ascii="Arial" w:hAnsi="Arial" w:eastAsia="宋体" w:cs="Arial"/>
          <w:spacing w:val="10"/>
          <w:sz w:val="24"/>
        </w:rPr>
      </w:pPr>
      <w:r>
        <w:rPr>
          <w:rFonts w:ascii="Arial" w:hAnsi="Arial" w:eastAsia="宋体" w:cs="Arial"/>
          <w:spacing w:val="10"/>
          <w:sz w:val="24"/>
        </w:rPr>
        <w:t>引用的监测点位基本信息详见表3-</w:t>
      </w:r>
      <w:r>
        <w:rPr>
          <w:rFonts w:hint="eastAsia" w:ascii="Arial" w:hAnsi="Arial" w:eastAsia="宋体" w:cs="Arial"/>
          <w:spacing w:val="10"/>
          <w:sz w:val="24"/>
        </w:rPr>
        <w:t>6</w:t>
      </w:r>
      <w:r>
        <w:rPr>
          <w:rFonts w:ascii="Arial" w:hAnsi="Arial" w:eastAsia="宋体" w:cs="Arial"/>
          <w:spacing w:val="10"/>
          <w:sz w:val="24"/>
        </w:rPr>
        <w:t>。</w:t>
      </w:r>
    </w:p>
    <w:p w14:paraId="7EF88A52">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其他污染物补充监测点位基本信息</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962"/>
        <w:gridCol w:w="739"/>
        <w:gridCol w:w="872"/>
        <w:gridCol w:w="1536"/>
        <w:gridCol w:w="1984"/>
        <w:gridCol w:w="1133"/>
        <w:gridCol w:w="949"/>
      </w:tblGrid>
      <w:tr w14:paraId="2958B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5" w:type="pct"/>
            <w:vMerge w:val="restart"/>
            <w:vAlign w:val="center"/>
          </w:tcPr>
          <w:p w14:paraId="1FDF707D">
            <w:pPr>
              <w:widowControl/>
              <w:adjustRightInd w:val="0"/>
              <w:snapToGrid w:val="0"/>
              <w:jc w:val="center"/>
              <w:rPr>
                <w:rFonts w:ascii="Arial" w:hAnsi="Arial" w:eastAsia="宋体" w:cs="Arial"/>
                <w:bCs/>
                <w:kern w:val="0"/>
                <w:sz w:val="21"/>
                <w:szCs w:val="21"/>
              </w:rPr>
            </w:pPr>
          </w:p>
        </w:tc>
        <w:tc>
          <w:tcPr>
            <w:tcW w:w="535" w:type="pct"/>
            <w:vMerge w:val="restart"/>
            <w:vAlign w:val="center"/>
          </w:tcPr>
          <w:p w14:paraId="59EB3942">
            <w:pPr>
              <w:widowControl/>
              <w:adjustRightInd w:val="0"/>
              <w:snapToGrid w:val="0"/>
              <w:jc w:val="center"/>
              <w:rPr>
                <w:rFonts w:ascii="Arial" w:hAnsi="Arial" w:eastAsia="宋体" w:cs="Arial"/>
                <w:bCs/>
                <w:kern w:val="0"/>
                <w:sz w:val="21"/>
                <w:szCs w:val="21"/>
              </w:rPr>
            </w:pPr>
          </w:p>
        </w:tc>
        <w:tc>
          <w:tcPr>
            <w:tcW w:w="896" w:type="pct"/>
            <w:gridSpan w:val="2"/>
            <w:vAlign w:val="center"/>
          </w:tcPr>
          <w:p w14:paraId="30008E9E">
            <w:pPr>
              <w:widowControl/>
              <w:adjustRightInd w:val="0"/>
              <w:snapToGrid w:val="0"/>
              <w:jc w:val="center"/>
              <w:rPr>
                <w:rFonts w:ascii="Arial" w:hAnsi="Arial" w:eastAsia="宋体" w:cs="Arial"/>
                <w:bCs/>
                <w:kern w:val="0"/>
                <w:sz w:val="21"/>
                <w:szCs w:val="21"/>
              </w:rPr>
            </w:pPr>
          </w:p>
        </w:tc>
        <w:tc>
          <w:tcPr>
            <w:tcW w:w="854" w:type="pct"/>
            <w:vMerge w:val="restart"/>
            <w:vAlign w:val="center"/>
          </w:tcPr>
          <w:p w14:paraId="206BFD9F">
            <w:pPr>
              <w:widowControl/>
              <w:adjustRightInd w:val="0"/>
              <w:snapToGrid w:val="0"/>
              <w:jc w:val="center"/>
              <w:rPr>
                <w:rFonts w:ascii="Arial" w:hAnsi="Arial" w:eastAsia="宋体" w:cs="Arial"/>
                <w:bCs/>
                <w:kern w:val="0"/>
                <w:sz w:val="21"/>
                <w:szCs w:val="21"/>
              </w:rPr>
            </w:pPr>
          </w:p>
        </w:tc>
        <w:tc>
          <w:tcPr>
            <w:tcW w:w="1103" w:type="pct"/>
            <w:vMerge w:val="restart"/>
            <w:vAlign w:val="center"/>
          </w:tcPr>
          <w:p w14:paraId="69ED7568">
            <w:pPr>
              <w:widowControl/>
              <w:adjustRightInd w:val="0"/>
              <w:snapToGrid w:val="0"/>
              <w:jc w:val="center"/>
              <w:rPr>
                <w:rFonts w:ascii="Arial" w:hAnsi="Arial" w:eastAsia="宋体" w:cs="Arial"/>
                <w:bCs/>
                <w:sz w:val="21"/>
                <w:szCs w:val="21"/>
              </w:rPr>
            </w:pPr>
          </w:p>
        </w:tc>
        <w:tc>
          <w:tcPr>
            <w:tcW w:w="630" w:type="pct"/>
            <w:vMerge w:val="restart"/>
            <w:vAlign w:val="center"/>
          </w:tcPr>
          <w:p w14:paraId="55BDFCE8">
            <w:pPr>
              <w:widowControl/>
              <w:adjustRightInd w:val="0"/>
              <w:snapToGrid w:val="0"/>
              <w:jc w:val="center"/>
              <w:rPr>
                <w:rFonts w:ascii="Arial" w:hAnsi="Arial" w:eastAsia="宋体" w:cs="Arial"/>
                <w:bCs/>
                <w:sz w:val="21"/>
                <w:szCs w:val="21"/>
              </w:rPr>
            </w:pPr>
          </w:p>
        </w:tc>
        <w:tc>
          <w:tcPr>
            <w:tcW w:w="527" w:type="pct"/>
            <w:vMerge w:val="restart"/>
            <w:vAlign w:val="center"/>
          </w:tcPr>
          <w:p w14:paraId="749C4039">
            <w:pPr>
              <w:widowControl/>
              <w:adjustRightInd w:val="0"/>
              <w:snapToGrid w:val="0"/>
              <w:jc w:val="center"/>
              <w:rPr>
                <w:rFonts w:ascii="Arial" w:hAnsi="Arial" w:eastAsia="宋体" w:cs="Arial"/>
                <w:bCs/>
                <w:sz w:val="21"/>
                <w:szCs w:val="21"/>
              </w:rPr>
            </w:pPr>
          </w:p>
        </w:tc>
      </w:tr>
      <w:tr w14:paraId="6D2A7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5" w:type="pct"/>
            <w:vMerge w:val="continue"/>
            <w:vAlign w:val="center"/>
          </w:tcPr>
          <w:p w14:paraId="4ACF8809">
            <w:pPr>
              <w:widowControl/>
              <w:adjustRightInd w:val="0"/>
              <w:snapToGrid w:val="0"/>
              <w:jc w:val="center"/>
              <w:rPr>
                <w:rFonts w:ascii="Arial" w:hAnsi="Arial" w:eastAsia="宋体" w:cs="Arial"/>
                <w:bCs/>
                <w:kern w:val="0"/>
                <w:sz w:val="21"/>
                <w:szCs w:val="21"/>
              </w:rPr>
            </w:pPr>
          </w:p>
        </w:tc>
        <w:tc>
          <w:tcPr>
            <w:tcW w:w="535" w:type="pct"/>
            <w:vMerge w:val="continue"/>
            <w:vAlign w:val="center"/>
          </w:tcPr>
          <w:p w14:paraId="16A291E5">
            <w:pPr>
              <w:widowControl/>
              <w:adjustRightInd w:val="0"/>
              <w:snapToGrid w:val="0"/>
              <w:jc w:val="center"/>
              <w:rPr>
                <w:rFonts w:ascii="Arial" w:hAnsi="Arial" w:eastAsia="宋体" w:cs="Arial"/>
                <w:bCs/>
                <w:kern w:val="0"/>
                <w:sz w:val="21"/>
                <w:szCs w:val="21"/>
              </w:rPr>
            </w:pPr>
          </w:p>
        </w:tc>
        <w:tc>
          <w:tcPr>
            <w:tcW w:w="411" w:type="pct"/>
            <w:vAlign w:val="center"/>
          </w:tcPr>
          <w:p w14:paraId="75C3C2BF">
            <w:pPr>
              <w:adjustRightInd w:val="0"/>
              <w:snapToGrid w:val="0"/>
              <w:jc w:val="center"/>
              <w:rPr>
                <w:rFonts w:ascii="Arial" w:hAnsi="Arial" w:eastAsia="宋体" w:cs="Arial"/>
                <w:bCs/>
                <w:kern w:val="0"/>
                <w:sz w:val="21"/>
                <w:szCs w:val="21"/>
              </w:rPr>
            </w:pPr>
          </w:p>
        </w:tc>
        <w:tc>
          <w:tcPr>
            <w:tcW w:w="485" w:type="pct"/>
            <w:vAlign w:val="center"/>
          </w:tcPr>
          <w:p w14:paraId="7213214E">
            <w:pPr>
              <w:adjustRightInd w:val="0"/>
              <w:snapToGrid w:val="0"/>
              <w:jc w:val="center"/>
              <w:rPr>
                <w:rFonts w:ascii="Arial" w:hAnsi="Arial" w:eastAsia="宋体" w:cs="Arial"/>
                <w:bCs/>
                <w:kern w:val="0"/>
                <w:sz w:val="21"/>
                <w:szCs w:val="21"/>
              </w:rPr>
            </w:pPr>
          </w:p>
        </w:tc>
        <w:tc>
          <w:tcPr>
            <w:tcW w:w="854" w:type="pct"/>
            <w:vMerge w:val="continue"/>
            <w:vAlign w:val="center"/>
          </w:tcPr>
          <w:p w14:paraId="62F19A5B">
            <w:pPr>
              <w:widowControl/>
              <w:adjustRightInd w:val="0"/>
              <w:snapToGrid w:val="0"/>
              <w:jc w:val="center"/>
              <w:rPr>
                <w:rFonts w:ascii="Arial" w:hAnsi="Arial" w:eastAsia="宋体" w:cs="Arial"/>
                <w:bCs/>
                <w:kern w:val="0"/>
                <w:sz w:val="21"/>
                <w:szCs w:val="21"/>
              </w:rPr>
            </w:pPr>
          </w:p>
        </w:tc>
        <w:tc>
          <w:tcPr>
            <w:tcW w:w="1103" w:type="pct"/>
            <w:vMerge w:val="continue"/>
            <w:vAlign w:val="center"/>
          </w:tcPr>
          <w:p w14:paraId="69BB79FC">
            <w:pPr>
              <w:widowControl/>
              <w:adjustRightInd w:val="0"/>
              <w:snapToGrid w:val="0"/>
              <w:jc w:val="center"/>
              <w:rPr>
                <w:rFonts w:ascii="Arial" w:hAnsi="Arial" w:eastAsia="宋体" w:cs="Arial"/>
                <w:bCs/>
                <w:sz w:val="21"/>
                <w:szCs w:val="21"/>
              </w:rPr>
            </w:pPr>
          </w:p>
        </w:tc>
        <w:tc>
          <w:tcPr>
            <w:tcW w:w="630" w:type="pct"/>
            <w:vMerge w:val="continue"/>
            <w:vAlign w:val="center"/>
          </w:tcPr>
          <w:p w14:paraId="5843AC16">
            <w:pPr>
              <w:widowControl/>
              <w:adjustRightInd w:val="0"/>
              <w:snapToGrid w:val="0"/>
              <w:jc w:val="center"/>
              <w:rPr>
                <w:rFonts w:ascii="Arial" w:hAnsi="Arial" w:eastAsia="宋体" w:cs="Arial"/>
                <w:bCs/>
                <w:sz w:val="21"/>
                <w:szCs w:val="21"/>
              </w:rPr>
            </w:pPr>
          </w:p>
        </w:tc>
        <w:tc>
          <w:tcPr>
            <w:tcW w:w="527" w:type="pct"/>
            <w:vMerge w:val="continue"/>
            <w:vAlign w:val="center"/>
          </w:tcPr>
          <w:p w14:paraId="372DA547">
            <w:pPr>
              <w:widowControl/>
              <w:adjustRightInd w:val="0"/>
              <w:snapToGrid w:val="0"/>
              <w:jc w:val="center"/>
              <w:rPr>
                <w:rFonts w:ascii="Arial" w:hAnsi="Arial" w:eastAsia="宋体" w:cs="Arial"/>
                <w:bCs/>
                <w:sz w:val="21"/>
                <w:szCs w:val="21"/>
              </w:rPr>
            </w:pPr>
          </w:p>
        </w:tc>
      </w:tr>
      <w:tr w14:paraId="7EB99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5" w:type="pct"/>
            <w:vAlign w:val="center"/>
          </w:tcPr>
          <w:p w14:paraId="10B4E516">
            <w:pPr>
              <w:widowControl/>
              <w:adjustRightInd w:val="0"/>
              <w:snapToGrid w:val="0"/>
              <w:jc w:val="center"/>
              <w:rPr>
                <w:rFonts w:ascii="Arial" w:hAnsi="Arial" w:eastAsia="宋体" w:cs="Arial"/>
                <w:bCs/>
                <w:kern w:val="0"/>
                <w:sz w:val="21"/>
                <w:szCs w:val="21"/>
              </w:rPr>
            </w:pPr>
          </w:p>
        </w:tc>
        <w:tc>
          <w:tcPr>
            <w:tcW w:w="535" w:type="pct"/>
            <w:vAlign w:val="center"/>
          </w:tcPr>
          <w:p w14:paraId="06C5362B">
            <w:pPr>
              <w:widowControl/>
              <w:adjustRightInd w:val="0"/>
              <w:snapToGrid w:val="0"/>
              <w:jc w:val="center"/>
              <w:rPr>
                <w:rFonts w:ascii="Arial" w:hAnsi="Arial" w:eastAsia="宋体" w:cs="Arial"/>
                <w:bCs/>
                <w:kern w:val="0"/>
                <w:sz w:val="21"/>
                <w:szCs w:val="21"/>
              </w:rPr>
            </w:pPr>
          </w:p>
        </w:tc>
        <w:tc>
          <w:tcPr>
            <w:tcW w:w="411" w:type="pct"/>
            <w:vAlign w:val="center"/>
          </w:tcPr>
          <w:p w14:paraId="56BBB370">
            <w:pPr>
              <w:adjustRightInd w:val="0"/>
              <w:snapToGrid w:val="0"/>
              <w:jc w:val="center"/>
              <w:rPr>
                <w:rFonts w:ascii="Arial" w:hAnsi="Arial" w:eastAsia="等线" w:cs="Arial"/>
                <w:sz w:val="21"/>
                <w:szCs w:val="21"/>
                <w:u w:val="single"/>
              </w:rPr>
            </w:pPr>
          </w:p>
        </w:tc>
        <w:tc>
          <w:tcPr>
            <w:tcW w:w="485" w:type="pct"/>
            <w:vAlign w:val="center"/>
          </w:tcPr>
          <w:p w14:paraId="79DFA2C8">
            <w:pPr>
              <w:adjustRightInd w:val="0"/>
              <w:snapToGrid w:val="0"/>
              <w:jc w:val="center"/>
              <w:rPr>
                <w:rFonts w:ascii="Arial" w:hAnsi="Arial" w:eastAsia="等线" w:cs="Arial"/>
                <w:sz w:val="21"/>
                <w:szCs w:val="21"/>
                <w:u w:val="single"/>
              </w:rPr>
            </w:pPr>
          </w:p>
        </w:tc>
        <w:tc>
          <w:tcPr>
            <w:tcW w:w="854" w:type="pct"/>
            <w:vAlign w:val="center"/>
          </w:tcPr>
          <w:p w14:paraId="1374BD5B">
            <w:pPr>
              <w:widowControl/>
              <w:adjustRightInd w:val="0"/>
              <w:snapToGrid w:val="0"/>
              <w:jc w:val="center"/>
              <w:rPr>
                <w:rFonts w:ascii="Arial" w:hAnsi="Arial" w:eastAsia="宋体" w:cs="Arial"/>
                <w:bCs/>
                <w:kern w:val="0"/>
                <w:sz w:val="21"/>
                <w:szCs w:val="21"/>
                <w:u w:val="single"/>
              </w:rPr>
            </w:pPr>
          </w:p>
        </w:tc>
        <w:tc>
          <w:tcPr>
            <w:tcW w:w="1103" w:type="pct"/>
            <w:vAlign w:val="center"/>
          </w:tcPr>
          <w:p w14:paraId="009118B7">
            <w:pPr>
              <w:adjustRightInd w:val="0"/>
              <w:snapToGrid w:val="0"/>
              <w:jc w:val="center"/>
              <w:rPr>
                <w:rFonts w:ascii="Arial" w:hAnsi="Arial" w:eastAsia="宋体" w:cs="Arial"/>
                <w:bCs/>
                <w:kern w:val="0"/>
                <w:sz w:val="21"/>
                <w:szCs w:val="21"/>
                <w:u w:val="single"/>
              </w:rPr>
            </w:pPr>
          </w:p>
        </w:tc>
        <w:tc>
          <w:tcPr>
            <w:tcW w:w="630" w:type="pct"/>
            <w:vAlign w:val="center"/>
          </w:tcPr>
          <w:p w14:paraId="596DD0FD">
            <w:pPr>
              <w:adjustRightInd w:val="0"/>
              <w:snapToGrid w:val="0"/>
              <w:jc w:val="center"/>
              <w:rPr>
                <w:rFonts w:ascii="Arial" w:hAnsi="Arial" w:eastAsia="宋体" w:cs="Arial"/>
                <w:bCs/>
                <w:sz w:val="21"/>
                <w:szCs w:val="21"/>
                <w:u w:val="single"/>
              </w:rPr>
            </w:pPr>
          </w:p>
        </w:tc>
        <w:tc>
          <w:tcPr>
            <w:tcW w:w="527" w:type="pct"/>
            <w:vAlign w:val="center"/>
          </w:tcPr>
          <w:p w14:paraId="64F74FB4">
            <w:pPr>
              <w:adjustRightInd w:val="0"/>
              <w:snapToGrid w:val="0"/>
              <w:jc w:val="center"/>
              <w:rPr>
                <w:rFonts w:ascii="Arial" w:hAnsi="Arial" w:eastAsia="宋体" w:cs="Arial"/>
                <w:sz w:val="21"/>
                <w:szCs w:val="21"/>
                <w:u w:val="single"/>
              </w:rPr>
            </w:pPr>
          </w:p>
        </w:tc>
      </w:tr>
      <w:tr w14:paraId="34BD2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5" w:type="pct"/>
            <w:vAlign w:val="center"/>
          </w:tcPr>
          <w:p w14:paraId="2FF784BE">
            <w:pPr>
              <w:widowControl/>
              <w:adjustRightInd w:val="0"/>
              <w:snapToGrid w:val="0"/>
              <w:jc w:val="center"/>
              <w:rPr>
                <w:rFonts w:ascii="Arial" w:hAnsi="Arial" w:eastAsia="宋体" w:cs="Arial"/>
                <w:bCs/>
                <w:kern w:val="0"/>
                <w:sz w:val="21"/>
                <w:szCs w:val="21"/>
              </w:rPr>
            </w:pPr>
          </w:p>
        </w:tc>
        <w:tc>
          <w:tcPr>
            <w:tcW w:w="535" w:type="pct"/>
            <w:vAlign w:val="center"/>
          </w:tcPr>
          <w:p w14:paraId="45AC3CAC">
            <w:pPr>
              <w:widowControl/>
              <w:adjustRightInd w:val="0"/>
              <w:snapToGrid w:val="0"/>
              <w:jc w:val="center"/>
              <w:rPr>
                <w:rFonts w:ascii="Arial" w:hAnsi="Arial" w:eastAsia="宋体" w:cs="Arial"/>
                <w:bCs/>
                <w:kern w:val="0"/>
                <w:sz w:val="21"/>
                <w:szCs w:val="21"/>
              </w:rPr>
            </w:pPr>
          </w:p>
        </w:tc>
        <w:tc>
          <w:tcPr>
            <w:tcW w:w="411" w:type="pct"/>
            <w:vAlign w:val="center"/>
          </w:tcPr>
          <w:p w14:paraId="7BA06F8B">
            <w:pPr>
              <w:adjustRightInd w:val="0"/>
              <w:snapToGrid w:val="0"/>
              <w:jc w:val="center"/>
              <w:rPr>
                <w:rFonts w:ascii="Arial" w:hAnsi="Arial" w:cs="Arial"/>
                <w:sz w:val="21"/>
              </w:rPr>
            </w:pPr>
          </w:p>
        </w:tc>
        <w:tc>
          <w:tcPr>
            <w:tcW w:w="485" w:type="pct"/>
            <w:vAlign w:val="center"/>
          </w:tcPr>
          <w:p w14:paraId="54E41843">
            <w:pPr>
              <w:adjustRightInd w:val="0"/>
              <w:snapToGrid w:val="0"/>
              <w:jc w:val="center"/>
              <w:rPr>
                <w:rFonts w:ascii="Arial" w:hAnsi="Arial" w:cs="Arial"/>
                <w:sz w:val="21"/>
              </w:rPr>
            </w:pPr>
          </w:p>
        </w:tc>
        <w:tc>
          <w:tcPr>
            <w:tcW w:w="854" w:type="pct"/>
            <w:vAlign w:val="center"/>
          </w:tcPr>
          <w:p w14:paraId="4D83AA6A">
            <w:pPr>
              <w:widowControl/>
              <w:adjustRightInd w:val="0"/>
              <w:snapToGrid w:val="0"/>
              <w:jc w:val="center"/>
              <w:rPr>
                <w:rFonts w:ascii="Arial" w:hAnsi="Arial" w:eastAsia="宋体" w:cs="Arial"/>
                <w:bCs/>
                <w:kern w:val="0"/>
                <w:sz w:val="21"/>
                <w:szCs w:val="21"/>
              </w:rPr>
            </w:pPr>
          </w:p>
        </w:tc>
        <w:tc>
          <w:tcPr>
            <w:tcW w:w="1103" w:type="pct"/>
            <w:vAlign w:val="center"/>
          </w:tcPr>
          <w:p w14:paraId="4F2D89CF">
            <w:pPr>
              <w:adjustRightInd w:val="0"/>
              <w:snapToGrid w:val="0"/>
              <w:jc w:val="center"/>
              <w:rPr>
                <w:rFonts w:ascii="Arial" w:hAnsi="Arial" w:eastAsia="宋体" w:cs="Arial"/>
                <w:bCs/>
                <w:kern w:val="0"/>
                <w:sz w:val="21"/>
                <w:szCs w:val="21"/>
              </w:rPr>
            </w:pPr>
          </w:p>
        </w:tc>
        <w:tc>
          <w:tcPr>
            <w:tcW w:w="630" w:type="pct"/>
            <w:vAlign w:val="center"/>
          </w:tcPr>
          <w:p w14:paraId="210CBA38">
            <w:pPr>
              <w:adjustRightInd w:val="0"/>
              <w:snapToGrid w:val="0"/>
              <w:jc w:val="center"/>
              <w:rPr>
                <w:rFonts w:ascii="Arial" w:hAnsi="Arial" w:eastAsia="宋体" w:cs="Arial"/>
                <w:bCs/>
                <w:sz w:val="21"/>
                <w:szCs w:val="21"/>
              </w:rPr>
            </w:pPr>
          </w:p>
        </w:tc>
        <w:tc>
          <w:tcPr>
            <w:tcW w:w="527" w:type="pct"/>
            <w:vAlign w:val="center"/>
          </w:tcPr>
          <w:p w14:paraId="0050BF07">
            <w:pPr>
              <w:adjustRightInd w:val="0"/>
              <w:snapToGrid w:val="0"/>
              <w:jc w:val="center"/>
              <w:rPr>
                <w:rFonts w:ascii="Arial" w:hAnsi="Arial" w:eastAsia="宋体" w:cs="Arial"/>
                <w:sz w:val="21"/>
                <w:szCs w:val="21"/>
              </w:rPr>
            </w:pPr>
          </w:p>
        </w:tc>
      </w:tr>
    </w:tbl>
    <w:p w14:paraId="580EFBD1">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rPr>
        <w:t>2、采样频率及时间</w:t>
      </w:r>
    </w:p>
    <w:p w14:paraId="51DF5478">
      <w:pPr>
        <w:spacing w:line="500" w:lineRule="exact"/>
        <w:ind w:firstLine="490" w:firstLineChars="200"/>
        <w:rPr>
          <w:rFonts w:ascii="Arial" w:hAnsi="Arial" w:eastAsia="宋体" w:cs="Arial"/>
          <w:spacing w:val="10"/>
          <w:sz w:val="24"/>
        </w:rPr>
      </w:pPr>
      <w:r>
        <w:rPr>
          <w:rFonts w:ascii="Arial" w:hAnsi="Arial" w:eastAsia="宋体" w:cs="Arial"/>
          <w:spacing w:val="10"/>
          <w:sz w:val="24"/>
        </w:rPr>
        <w:t>氨小时浓度采样时间1小时，每天监测4次，监测时间为当天02:00、08:00、14:00、20:00时</w:t>
      </w:r>
      <w:r>
        <w:rPr>
          <w:rFonts w:hint="eastAsia" w:ascii="Arial" w:hAnsi="Arial" w:eastAsia="宋体" w:cs="Arial"/>
          <w:spacing w:val="10"/>
          <w:sz w:val="24"/>
        </w:rPr>
        <w:t>，TSP日均值采样时间24h，</w:t>
      </w:r>
      <w:r>
        <w:rPr>
          <w:rFonts w:ascii="Arial" w:hAnsi="Arial" w:eastAsia="宋体" w:cs="Arial"/>
          <w:spacing w:val="10"/>
          <w:sz w:val="24"/>
        </w:rPr>
        <w:t>采样7天。同时观测气温、气压、湿度、风向、风速等气象要素。</w:t>
      </w:r>
    </w:p>
    <w:p w14:paraId="7FB86DBC">
      <w:pPr>
        <w:spacing w:line="500" w:lineRule="exact"/>
        <w:ind w:firstLine="490" w:firstLineChars="200"/>
        <w:rPr>
          <w:rFonts w:ascii="Arial" w:hAnsi="Arial" w:eastAsia="宋体" w:cs="Arial"/>
          <w:spacing w:val="10"/>
          <w:sz w:val="24"/>
        </w:rPr>
      </w:pPr>
      <w:r>
        <w:rPr>
          <w:rFonts w:ascii="Arial" w:hAnsi="Arial" w:eastAsia="宋体" w:cs="Arial"/>
          <w:spacing w:val="10"/>
          <w:sz w:val="24"/>
        </w:rPr>
        <w:t>3、评价标准</w:t>
      </w:r>
    </w:p>
    <w:p w14:paraId="6156C5F2">
      <w:pPr>
        <w:spacing w:line="500" w:lineRule="exact"/>
        <w:ind w:firstLine="490" w:firstLineChars="200"/>
        <w:rPr>
          <w:rFonts w:ascii="Arial" w:hAnsi="Arial" w:eastAsia="宋体" w:cs="Arial"/>
          <w:spacing w:val="10"/>
          <w:sz w:val="24"/>
        </w:rPr>
      </w:pPr>
      <w:r>
        <w:rPr>
          <w:rFonts w:ascii="Arial" w:hAnsi="Arial" w:eastAsia="宋体" w:cs="Arial"/>
          <w:spacing w:val="10"/>
          <w:sz w:val="24"/>
        </w:rPr>
        <w:t>评价标准包括《环境影响评价技术导则-大气环境》（HJ2.2-2018）附录D</w:t>
      </w:r>
      <w:r>
        <w:rPr>
          <w:rFonts w:hint="eastAsia" w:ascii="Arial" w:hAnsi="Arial" w:eastAsia="宋体" w:cs="Arial"/>
          <w:spacing w:val="10"/>
          <w:sz w:val="24"/>
        </w:rPr>
        <w:t>、《环境空气质量标准》（GB3095-2012）及其修改单的二级标准</w:t>
      </w:r>
      <w:r>
        <w:rPr>
          <w:rFonts w:ascii="Arial" w:hAnsi="Arial" w:eastAsia="宋体" w:cs="Arial"/>
          <w:spacing w:val="10"/>
          <w:sz w:val="24"/>
        </w:rPr>
        <w:t>。</w:t>
      </w:r>
    </w:p>
    <w:p w14:paraId="58F4D078">
      <w:pPr>
        <w:spacing w:line="500" w:lineRule="exact"/>
        <w:ind w:firstLine="490" w:firstLineChars="200"/>
        <w:rPr>
          <w:rFonts w:ascii="Arial" w:hAnsi="Arial" w:eastAsia="宋体" w:cs="Arial"/>
          <w:spacing w:val="10"/>
          <w:sz w:val="24"/>
        </w:rPr>
      </w:pPr>
      <w:r>
        <w:rPr>
          <w:rFonts w:ascii="Arial" w:hAnsi="Arial" w:eastAsia="宋体" w:cs="Arial"/>
          <w:spacing w:val="10"/>
          <w:sz w:val="24"/>
        </w:rPr>
        <w:t>4、监测结果</w:t>
      </w:r>
    </w:p>
    <w:p w14:paraId="42EE7997">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其他污染物环境质量现状（监测结果）表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7"/>
        <w:gridCol w:w="710"/>
        <w:gridCol w:w="707"/>
        <w:gridCol w:w="869"/>
        <w:gridCol w:w="1038"/>
        <w:gridCol w:w="1095"/>
        <w:gridCol w:w="1559"/>
        <w:gridCol w:w="942"/>
        <w:gridCol w:w="826"/>
        <w:gridCol w:w="730"/>
      </w:tblGrid>
      <w:tr w14:paraId="46EFA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7" w:type="pct"/>
            <w:vMerge w:val="restart"/>
            <w:vAlign w:val="center"/>
          </w:tcPr>
          <w:p w14:paraId="51BB6235">
            <w:pPr>
              <w:widowControl/>
              <w:adjustRightInd w:val="0"/>
              <w:snapToGrid w:val="0"/>
              <w:jc w:val="center"/>
              <w:rPr>
                <w:rFonts w:ascii="Arial" w:hAnsi="Arial" w:eastAsia="宋体" w:cs="Arial"/>
                <w:bCs/>
                <w:kern w:val="0"/>
                <w:sz w:val="21"/>
                <w:szCs w:val="21"/>
              </w:rPr>
            </w:pPr>
          </w:p>
        </w:tc>
        <w:tc>
          <w:tcPr>
            <w:tcW w:w="788" w:type="pct"/>
            <w:gridSpan w:val="2"/>
            <w:vAlign w:val="center"/>
          </w:tcPr>
          <w:p w14:paraId="1CB3689E">
            <w:pPr>
              <w:widowControl/>
              <w:adjustRightInd w:val="0"/>
              <w:snapToGrid w:val="0"/>
              <w:jc w:val="center"/>
              <w:rPr>
                <w:rFonts w:ascii="Arial" w:hAnsi="Arial" w:eastAsia="宋体" w:cs="Arial"/>
                <w:bCs/>
                <w:kern w:val="0"/>
                <w:sz w:val="21"/>
                <w:szCs w:val="21"/>
              </w:rPr>
            </w:pPr>
          </w:p>
        </w:tc>
        <w:tc>
          <w:tcPr>
            <w:tcW w:w="483" w:type="pct"/>
            <w:vMerge w:val="restart"/>
            <w:vAlign w:val="center"/>
          </w:tcPr>
          <w:p w14:paraId="29C13550">
            <w:pPr>
              <w:widowControl/>
              <w:adjustRightInd w:val="0"/>
              <w:snapToGrid w:val="0"/>
              <w:jc w:val="center"/>
              <w:rPr>
                <w:rFonts w:ascii="Arial" w:hAnsi="Arial" w:eastAsia="宋体" w:cs="Arial"/>
                <w:bCs/>
                <w:kern w:val="0"/>
                <w:sz w:val="21"/>
                <w:szCs w:val="21"/>
              </w:rPr>
            </w:pPr>
          </w:p>
        </w:tc>
        <w:tc>
          <w:tcPr>
            <w:tcW w:w="577" w:type="pct"/>
            <w:vMerge w:val="restart"/>
            <w:vAlign w:val="center"/>
          </w:tcPr>
          <w:p w14:paraId="1A73AE9A">
            <w:pPr>
              <w:widowControl/>
              <w:adjustRightInd w:val="0"/>
              <w:snapToGrid w:val="0"/>
              <w:jc w:val="center"/>
              <w:rPr>
                <w:rFonts w:ascii="Arial" w:hAnsi="Arial" w:eastAsia="宋体" w:cs="Arial"/>
                <w:bCs/>
                <w:kern w:val="0"/>
                <w:sz w:val="21"/>
                <w:szCs w:val="21"/>
              </w:rPr>
            </w:pPr>
          </w:p>
        </w:tc>
        <w:tc>
          <w:tcPr>
            <w:tcW w:w="609" w:type="pct"/>
            <w:vMerge w:val="restart"/>
            <w:vAlign w:val="center"/>
          </w:tcPr>
          <w:p w14:paraId="46C754B2">
            <w:pPr>
              <w:widowControl/>
              <w:adjustRightInd w:val="0"/>
              <w:snapToGrid w:val="0"/>
              <w:jc w:val="center"/>
              <w:rPr>
                <w:rFonts w:ascii="Arial" w:hAnsi="Arial" w:eastAsia="宋体" w:cs="Arial"/>
                <w:bCs/>
                <w:kern w:val="0"/>
                <w:sz w:val="21"/>
                <w:szCs w:val="21"/>
              </w:rPr>
            </w:pPr>
          </w:p>
        </w:tc>
        <w:tc>
          <w:tcPr>
            <w:tcW w:w="867" w:type="pct"/>
            <w:vMerge w:val="restart"/>
            <w:vAlign w:val="center"/>
          </w:tcPr>
          <w:p w14:paraId="680918BD">
            <w:pPr>
              <w:widowControl/>
              <w:adjustRightInd w:val="0"/>
              <w:snapToGrid w:val="0"/>
              <w:jc w:val="center"/>
              <w:rPr>
                <w:rFonts w:ascii="Arial" w:hAnsi="Arial" w:eastAsia="宋体" w:cs="Arial"/>
                <w:bCs/>
                <w:kern w:val="0"/>
                <w:sz w:val="21"/>
                <w:szCs w:val="21"/>
              </w:rPr>
            </w:pPr>
          </w:p>
        </w:tc>
        <w:tc>
          <w:tcPr>
            <w:tcW w:w="524" w:type="pct"/>
            <w:vMerge w:val="restart"/>
            <w:vAlign w:val="center"/>
          </w:tcPr>
          <w:p w14:paraId="4006EFF7">
            <w:pPr>
              <w:widowControl/>
              <w:adjustRightInd w:val="0"/>
              <w:snapToGrid w:val="0"/>
              <w:jc w:val="center"/>
              <w:rPr>
                <w:rFonts w:ascii="Arial" w:hAnsi="Arial" w:eastAsia="宋体" w:cs="Arial"/>
                <w:bCs/>
                <w:sz w:val="21"/>
                <w:szCs w:val="21"/>
              </w:rPr>
            </w:pPr>
          </w:p>
        </w:tc>
        <w:tc>
          <w:tcPr>
            <w:tcW w:w="459" w:type="pct"/>
            <w:vMerge w:val="restart"/>
            <w:vAlign w:val="center"/>
          </w:tcPr>
          <w:p w14:paraId="6530A062">
            <w:pPr>
              <w:widowControl/>
              <w:adjustRightInd w:val="0"/>
              <w:snapToGrid w:val="0"/>
              <w:jc w:val="center"/>
              <w:rPr>
                <w:rFonts w:ascii="Arial" w:hAnsi="Arial" w:eastAsia="宋体" w:cs="Arial"/>
                <w:bCs/>
                <w:sz w:val="21"/>
                <w:szCs w:val="21"/>
              </w:rPr>
            </w:pPr>
          </w:p>
        </w:tc>
        <w:tc>
          <w:tcPr>
            <w:tcW w:w="406" w:type="pct"/>
            <w:vMerge w:val="restart"/>
            <w:vAlign w:val="center"/>
          </w:tcPr>
          <w:p w14:paraId="1585BEA6">
            <w:pPr>
              <w:widowControl/>
              <w:adjustRightInd w:val="0"/>
              <w:snapToGrid w:val="0"/>
              <w:jc w:val="center"/>
              <w:rPr>
                <w:rFonts w:ascii="Arial" w:hAnsi="Arial" w:eastAsia="宋体" w:cs="Arial"/>
                <w:bCs/>
                <w:sz w:val="21"/>
                <w:szCs w:val="21"/>
              </w:rPr>
            </w:pPr>
          </w:p>
        </w:tc>
      </w:tr>
      <w:tr w14:paraId="512AC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7" w:type="pct"/>
            <w:vMerge w:val="continue"/>
            <w:vAlign w:val="center"/>
          </w:tcPr>
          <w:p w14:paraId="720512A7">
            <w:pPr>
              <w:widowControl/>
              <w:adjustRightInd w:val="0"/>
              <w:snapToGrid w:val="0"/>
              <w:jc w:val="center"/>
              <w:rPr>
                <w:rFonts w:ascii="Arial" w:hAnsi="Arial" w:eastAsia="宋体" w:cs="Arial"/>
                <w:bCs/>
                <w:kern w:val="0"/>
                <w:sz w:val="21"/>
                <w:szCs w:val="21"/>
              </w:rPr>
            </w:pPr>
          </w:p>
        </w:tc>
        <w:tc>
          <w:tcPr>
            <w:tcW w:w="395" w:type="pct"/>
            <w:vAlign w:val="center"/>
          </w:tcPr>
          <w:p w14:paraId="47A97C31">
            <w:pPr>
              <w:adjustRightInd w:val="0"/>
              <w:snapToGrid w:val="0"/>
              <w:jc w:val="center"/>
              <w:rPr>
                <w:rFonts w:ascii="Arial" w:hAnsi="Arial" w:eastAsia="宋体" w:cs="Arial"/>
                <w:bCs/>
                <w:kern w:val="0"/>
                <w:sz w:val="21"/>
                <w:szCs w:val="21"/>
              </w:rPr>
            </w:pPr>
          </w:p>
        </w:tc>
        <w:tc>
          <w:tcPr>
            <w:tcW w:w="393" w:type="pct"/>
            <w:vAlign w:val="center"/>
          </w:tcPr>
          <w:p w14:paraId="4C0E3074">
            <w:pPr>
              <w:adjustRightInd w:val="0"/>
              <w:snapToGrid w:val="0"/>
              <w:jc w:val="center"/>
              <w:rPr>
                <w:rFonts w:ascii="Arial" w:hAnsi="Arial" w:eastAsia="宋体" w:cs="Arial"/>
                <w:bCs/>
                <w:kern w:val="0"/>
                <w:sz w:val="21"/>
                <w:szCs w:val="21"/>
              </w:rPr>
            </w:pPr>
          </w:p>
        </w:tc>
        <w:tc>
          <w:tcPr>
            <w:tcW w:w="483" w:type="pct"/>
            <w:vMerge w:val="continue"/>
            <w:vAlign w:val="center"/>
          </w:tcPr>
          <w:p w14:paraId="5765A503">
            <w:pPr>
              <w:widowControl/>
              <w:adjustRightInd w:val="0"/>
              <w:snapToGrid w:val="0"/>
              <w:jc w:val="center"/>
              <w:rPr>
                <w:rFonts w:ascii="Arial" w:hAnsi="Arial" w:eastAsia="宋体" w:cs="Arial"/>
                <w:bCs/>
                <w:kern w:val="0"/>
                <w:sz w:val="21"/>
                <w:szCs w:val="21"/>
              </w:rPr>
            </w:pPr>
          </w:p>
        </w:tc>
        <w:tc>
          <w:tcPr>
            <w:tcW w:w="577" w:type="pct"/>
            <w:vMerge w:val="continue"/>
            <w:vAlign w:val="center"/>
          </w:tcPr>
          <w:p w14:paraId="717839E1">
            <w:pPr>
              <w:widowControl/>
              <w:adjustRightInd w:val="0"/>
              <w:snapToGrid w:val="0"/>
              <w:jc w:val="center"/>
              <w:rPr>
                <w:rFonts w:ascii="Arial" w:hAnsi="Arial" w:eastAsia="宋体" w:cs="Arial"/>
                <w:bCs/>
                <w:kern w:val="0"/>
                <w:sz w:val="21"/>
                <w:szCs w:val="21"/>
              </w:rPr>
            </w:pPr>
          </w:p>
        </w:tc>
        <w:tc>
          <w:tcPr>
            <w:tcW w:w="609" w:type="pct"/>
            <w:vMerge w:val="continue"/>
            <w:vAlign w:val="center"/>
          </w:tcPr>
          <w:p w14:paraId="2C516C1E">
            <w:pPr>
              <w:widowControl/>
              <w:adjustRightInd w:val="0"/>
              <w:snapToGrid w:val="0"/>
              <w:jc w:val="center"/>
              <w:rPr>
                <w:rFonts w:ascii="Arial" w:hAnsi="Arial" w:eastAsia="宋体" w:cs="Arial"/>
                <w:bCs/>
                <w:kern w:val="0"/>
                <w:sz w:val="21"/>
                <w:szCs w:val="21"/>
              </w:rPr>
            </w:pPr>
          </w:p>
        </w:tc>
        <w:tc>
          <w:tcPr>
            <w:tcW w:w="867" w:type="pct"/>
            <w:vMerge w:val="continue"/>
            <w:vAlign w:val="center"/>
          </w:tcPr>
          <w:p w14:paraId="4AAD8CA5">
            <w:pPr>
              <w:widowControl/>
              <w:adjustRightInd w:val="0"/>
              <w:snapToGrid w:val="0"/>
              <w:jc w:val="center"/>
              <w:rPr>
                <w:rFonts w:ascii="Arial" w:hAnsi="Arial" w:eastAsia="宋体" w:cs="Arial"/>
                <w:bCs/>
                <w:kern w:val="0"/>
                <w:sz w:val="21"/>
                <w:szCs w:val="21"/>
              </w:rPr>
            </w:pPr>
          </w:p>
        </w:tc>
        <w:tc>
          <w:tcPr>
            <w:tcW w:w="524" w:type="pct"/>
            <w:vMerge w:val="continue"/>
            <w:vAlign w:val="center"/>
          </w:tcPr>
          <w:p w14:paraId="7EF9764C">
            <w:pPr>
              <w:widowControl/>
              <w:adjustRightInd w:val="0"/>
              <w:snapToGrid w:val="0"/>
              <w:jc w:val="center"/>
              <w:rPr>
                <w:rFonts w:ascii="Arial" w:hAnsi="Arial" w:eastAsia="宋体" w:cs="Arial"/>
                <w:bCs/>
                <w:sz w:val="21"/>
                <w:szCs w:val="21"/>
              </w:rPr>
            </w:pPr>
          </w:p>
        </w:tc>
        <w:tc>
          <w:tcPr>
            <w:tcW w:w="459" w:type="pct"/>
            <w:vMerge w:val="continue"/>
            <w:vAlign w:val="center"/>
          </w:tcPr>
          <w:p w14:paraId="433C3214">
            <w:pPr>
              <w:widowControl/>
              <w:adjustRightInd w:val="0"/>
              <w:snapToGrid w:val="0"/>
              <w:jc w:val="center"/>
              <w:rPr>
                <w:rFonts w:ascii="Arial" w:hAnsi="Arial" w:eastAsia="宋体" w:cs="Arial"/>
                <w:bCs/>
                <w:sz w:val="21"/>
                <w:szCs w:val="21"/>
              </w:rPr>
            </w:pPr>
          </w:p>
        </w:tc>
        <w:tc>
          <w:tcPr>
            <w:tcW w:w="406" w:type="pct"/>
            <w:vMerge w:val="continue"/>
            <w:vAlign w:val="center"/>
          </w:tcPr>
          <w:p w14:paraId="7759F577">
            <w:pPr>
              <w:widowControl/>
              <w:adjustRightInd w:val="0"/>
              <w:snapToGrid w:val="0"/>
              <w:jc w:val="center"/>
              <w:rPr>
                <w:rFonts w:ascii="Arial" w:hAnsi="Arial" w:eastAsia="宋体" w:cs="Arial"/>
                <w:bCs/>
                <w:sz w:val="21"/>
                <w:szCs w:val="21"/>
              </w:rPr>
            </w:pPr>
          </w:p>
        </w:tc>
      </w:tr>
      <w:tr w14:paraId="35460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7" w:type="pct"/>
            <w:vAlign w:val="center"/>
          </w:tcPr>
          <w:p w14:paraId="71E1A3F8">
            <w:pPr>
              <w:widowControl/>
              <w:adjustRightInd w:val="0"/>
              <w:snapToGrid w:val="0"/>
              <w:jc w:val="center"/>
              <w:rPr>
                <w:rFonts w:ascii="Arial" w:hAnsi="Arial" w:eastAsia="宋体" w:cs="Arial"/>
                <w:bCs/>
                <w:kern w:val="0"/>
                <w:sz w:val="21"/>
                <w:szCs w:val="21"/>
                <w:u w:val="single"/>
              </w:rPr>
            </w:pPr>
          </w:p>
        </w:tc>
        <w:tc>
          <w:tcPr>
            <w:tcW w:w="395" w:type="pct"/>
            <w:vAlign w:val="center"/>
          </w:tcPr>
          <w:p w14:paraId="785C5E39">
            <w:pPr>
              <w:adjustRightInd w:val="0"/>
              <w:snapToGrid w:val="0"/>
              <w:jc w:val="center"/>
              <w:rPr>
                <w:rFonts w:ascii="Arial" w:hAnsi="Arial" w:eastAsia="等线" w:cs="Arial"/>
                <w:sz w:val="21"/>
                <w:szCs w:val="21"/>
                <w:u w:val="single"/>
              </w:rPr>
            </w:pPr>
          </w:p>
        </w:tc>
        <w:tc>
          <w:tcPr>
            <w:tcW w:w="393" w:type="pct"/>
            <w:vAlign w:val="center"/>
          </w:tcPr>
          <w:p w14:paraId="0A9797BD">
            <w:pPr>
              <w:adjustRightInd w:val="0"/>
              <w:snapToGrid w:val="0"/>
              <w:jc w:val="center"/>
              <w:rPr>
                <w:rFonts w:ascii="Arial" w:hAnsi="Arial" w:eastAsia="等线" w:cs="Arial"/>
                <w:sz w:val="21"/>
                <w:szCs w:val="21"/>
                <w:u w:val="single"/>
              </w:rPr>
            </w:pPr>
          </w:p>
        </w:tc>
        <w:tc>
          <w:tcPr>
            <w:tcW w:w="483" w:type="pct"/>
            <w:tcBorders>
              <w:top w:val="single" w:color="auto" w:sz="4" w:space="0"/>
              <w:left w:val="single" w:color="auto" w:sz="4" w:space="0"/>
              <w:bottom w:val="single" w:color="auto" w:sz="4" w:space="0"/>
              <w:right w:val="single" w:color="auto" w:sz="4" w:space="0"/>
            </w:tcBorders>
            <w:vAlign w:val="center"/>
          </w:tcPr>
          <w:p w14:paraId="74A4D7D8">
            <w:pPr>
              <w:spacing w:line="240" w:lineRule="exact"/>
              <w:jc w:val="center"/>
              <w:rPr>
                <w:rFonts w:ascii="Arial" w:hAnsi="Arial" w:eastAsia="宋体" w:cs="Arial"/>
                <w:bCs/>
                <w:kern w:val="0"/>
                <w:sz w:val="21"/>
                <w:szCs w:val="21"/>
                <w:u w:val="single"/>
              </w:rPr>
            </w:pPr>
          </w:p>
        </w:tc>
        <w:tc>
          <w:tcPr>
            <w:tcW w:w="577" w:type="pct"/>
            <w:tcBorders>
              <w:top w:val="single" w:color="auto" w:sz="4" w:space="0"/>
              <w:left w:val="single" w:color="auto" w:sz="4" w:space="0"/>
              <w:bottom w:val="single" w:color="auto" w:sz="4" w:space="0"/>
              <w:right w:val="single" w:color="auto" w:sz="4" w:space="0"/>
            </w:tcBorders>
            <w:vAlign w:val="center"/>
          </w:tcPr>
          <w:p w14:paraId="72F95D6C">
            <w:pPr>
              <w:autoSpaceDE w:val="0"/>
              <w:autoSpaceDN w:val="0"/>
              <w:adjustRightInd w:val="0"/>
              <w:snapToGrid w:val="0"/>
              <w:spacing w:line="240" w:lineRule="exact"/>
              <w:jc w:val="center"/>
              <w:rPr>
                <w:rFonts w:ascii="Arial" w:hAnsi="Arial" w:eastAsia="宋体" w:cs="Arial"/>
                <w:bCs/>
                <w:kern w:val="0"/>
                <w:sz w:val="21"/>
                <w:szCs w:val="21"/>
                <w:u w:val="single"/>
              </w:rPr>
            </w:pPr>
          </w:p>
        </w:tc>
        <w:tc>
          <w:tcPr>
            <w:tcW w:w="609" w:type="pct"/>
            <w:tcBorders>
              <w:top w:val="single" w:color="auto" w:sz="4" w:space="0"/>
              <w:left w:val="single" w:color="auto" w:sz="4" w:space="0"/>
              <w:bottom w:val="single" w:color="auto" w:sz="4" w:space="0"/>
              <w:right w:val="single" w:color="auto" w:sz="4" w:space="0"/>
            </w:tcBorders>
            <w:vAlign w:val="center"/>
          </w:tcPr>
          <w:p w14:paraId="6381DE0F">
            <w:pPr>
              <w:spacing w:line="240" w:lineRule="exact"/>
              <w:jc w:val="center"/>
              <w:rPr>
                <w:rFonts w:ascii="Arial" w:hAnsi="Arial" w:eastAsia="宋体" w:cs="Arial"/>
                <w:bCs/>
                <w:kern w:val="0"/>
                <w:sz w:val="21"/>
                <w:szCs w:val="21"/>
                <w:u w:val="single"/>
              </w:rPr>
            </w:pPr>
          </w:p>
        </w:tc>
        <w:tc>
          <w:tcPr>
            <w:tcW w:w="867" w:type="pct"/>
            <w:tcBorders>
              <w:top w:val="single" w:color="auto" w:sz="4" w:space="0"/>
              <w:left w:val="single" w:color="auto" w:sz="4" w:space="0"/>
              <w:bottom w:val="single" w:color="auto" w:sz="4" w:space="0"/>
              <w:right w:val="single" w:color="auto" w:sz="4" w:space="0"/>
            </w:tcBorders>
            <w:vAlign w:val="center"/>
          </w:tcPr>
          <w:p w14:paraId="0830DFF6">
            <w:pPr>
              <w:spacing w:line="240" w:lineRule="exact"/>
              <w:jc w:val="center"/>
              <w:rPr>
                <w:rFonts w:ascii="Arial" w:hAnsi="Arial" w:eastAsia="宋体" w:cs="Arial"/>
                <w:bCs/>
                <w:kern w:val="0"/>
                <w:sz w:val="21"/>
                <w:szCs w:val="21"/>
                <w:u w:val="single"/>
              </w:rPr>
            </w:pPr>
          </w:p>
        </w:tc>
        <w:tc>
          <w:tcPr>
            <w:tcW w:w="524" w:type="pct"/>
            <w:tcBorders>
              <w:top w:val="single" w:color="auto" w:sz="4" w:space="0"/>
              <w:left w:val="single" w:color="auto" w:sz="4" w:space="0"/>
              <w:bottom w:val="single" w:color="auto" w:sz="4" w:space="0"/>
              <w:right w:val="single" w:color="auto" w:sz="4" w:space="0"/>
            </w:tcBorders>
            <w:vAlign w:val="center"/>
          </w:tcPr>
          <w:p w14:paraId="560C932B">
            <w:pPr>
              <w:spacing w:line="240" w:lineRule="exact"/>
              <w:jc w:val="center"/>
              <w:rPr>
                <w:rFonts w:ascii="Arial" w:hAnsi="Arial" w:eastAsia="宋体" w:cs="Arial"/>
                <w:bCs/>
                <w:kern w:val="0"/>
                <w:sz w:val="21"/>
                <w:szCs w:val="21"/>
                <w:u w:val="single"/>
              </w:rPr>
            </w:pPr>
          </w:p>
        </w:tc>
        <w:tc>
          <w:tcPr>
            <w:tcW w:w="459" w:type="pct"/>
            <w:tcBorders>
              <w:top w:val="single" w:color="auto" w:sz="4" w:space="0"/>
              <w:left w:val="single" w:color="auto" w:sz="4" w:space="0"/>
              <w:bottom w:val="single" w:color="auto" w:sz="4" w:space="0"/>
              <w:right w:val="single" w:color="auto" w:sz="4" w:space="0"/>
            </w:tcBorders>
            <w:vAlign w:val="center"/>
          </w:tcPr>
          <w:p w14:paraId="3B76B84E">
            <w:pPr>
              <w:widowControl/>
              <w:adjustRightInd w:val="0"/>
              <w:snapToGrid w:val="0"/>
              <w:jc w:val="center"/>
              <w:rPr>
                <w:rFonts w:ascii="Arial" w:hAnsi="Arial" w:eastAsia="宋体" w:cs="Arial"/>
                <w:bCs/>
                <w:sz w:val="21"/>
                <w:szCs w:val="21"/>
                <w:u w:val="single"/>
              </w:rPr>
            </w:pPr>
          </w:p>
        </w:tc>
        <w:tc>
          <w:tcPr>
            <w:tcW w:w="406" w:type="pct"/>
            <w:tcBorders>
              <w:top w:val="single" w:color="auto" w:sz="4" w:space="0"/>
              <w:left w:val="single" w:color="auto" w:sz="4" w:space="0"/>
              <w:bottom w:val="single" w:color="auto" w:sz="4" w:space="0"/>
              <w:right w:val="single" w:color="auto" w:sz="4" w:space="0"/>
            </w:tcBorders>
            <w:vAlign w:val="center"/>
          </w:tcPr>
          <w:p w14:paraId="54896073">
            <w:pPr>
              <w:spacing w:line="240" w:lineRule="exact"/>
              <w:jc w:val="center"/>
              <w:rPr>
                <w:rFonts w:ascii="Arial" w:hAnsi="Arial" w:eastAsia="宋体" w:cs="Arial"/>
                <w:bCs/>
                <w:kern w:val="0"/>
                <w:sz w:val="21"/>
                <w:szCs w:val="21"/>
                <w:u w:val="single"/>
              </w:rPr>
            </w:pPr>
          </w:p>
        </w:tc>
      </w:tr>
      <w:tr w14:paraId="6E5D4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7" w:type="pct"/>
            <w:vAlign w:val="center"/>
          </w:tcPr>
          <w:p w14:paraId="5B6D57B8">
            <w:pPr>
              <w:widowControl/>
              <w:adjustRightInd w:val="0"/>
              <w:snapToGrid w:val="0"/>
              <w:jc w:val="center"/>
              <w:rPr>
                <w:rFonts w:ascii="Arial" w:hAnsi="Arial" w:eastAsia="宋体" w:cs="Arial"/>
                <w:bCs/>
                <w:kern w:val="0"/>
                <w:sz w:val="21"/>
                <w:szCs w:val="21"/>
              </w:rPr>
            </w:pPr>
          </w:p>
        </w:tc>
        <w:tc>
          <w:tcPr>
            <w:tcW w:w="395" w:type="pct"/>
            <w:vAlign w:val="center"/>
          </w:tcPr>
          <w:p w14:paraId="0CCB19D2">
            <w:pPr>
              <w:adjustRightInd w:val="0"/>
              <w:snapToGrid w:val="0"/>
              <w:jc w:val="center"/>
              <w:rPr>
                <w:rFonts w:ascii="Arial" w:hAnsi="Arial" w:eastAsia="宋体" w:cs="Arial"/>
                <w:bCs/>
                <w:kern w:val="0"/>
                <w:sz w:val="21"/>
                <w:szCs w:val="21"/>
              </w:rPr>
            </w:pPr>
          </w:p>
        </w:tc>
        <w:tc>
          <w:tcPr>
            <w:tcW w:w="393" w:type="pct"/>
            <w:vAlign w:val="center"/>
          </w:tcPr>
          <w:p w14:paraId="66AA36F2">
            <w:pPr>
              <w:adjustRightInd w:val="0"/>
              <w:snapToGrid w:val="0"/>
              <w:jc w:val="center"/>
              <w:rPr>
                <w:rFonts w:ascii="Arial" w:hAnsi="Arial" w:eastAsia="宋体" w:cs="Arial"/>
                <w:bCs/>
                <w:kern w:val="0"/>
                <w:sz w:val="21"/>
                <w:szCs w:val="21"/>
              </w:rPr>
            </w:pPr>
          </w:p>
        </w:tc>
        <w:tc>
          <w:tcPr>
            <w:tcW w:w="483" w:type="pct"/>
            <w:tcBorders>
              <w:top w:val="single" w:color="auto" w:sz="4" w:space="0"/>
              <w:left w:val="single" w:color="auto" w:sz="4" w:space="0"/>
              <w:bottom w:val="single" w:color="auto" w:sz="4" w:space="0"/>
              <w:right w:val="single" w:color="auto" w:sz="4" w:space="0"/>
            </w:tcBorders>
            <w:vAlign w:val="center"/>
          </w:tcPr>
          <w:p w14:paraId="2B0AE1D1">
            <w:pPr>
              <w:spacing w:line="240" w:lineRule="exact"/>
              <w:jc w:val="center"/>
              <w:rPr>
                <w:rFonts w:ascii="Arial" w:hAnsi="Arial" w:eastAsia="宋体" w:cs="Arial"/>
                <w:bCs/>
                <w:kern w:val="0"/>
                <w:sz w:val="21"/>
                <w:szCs w:val="21"/>
              </w:rPr>
            </w:pPr>
          </w:p>
        </w:tc>
        <w:tc>
          <w:tcPr>
            <w:tcW w:w="577" w:type="pct"/>
            <w:tcBorders>
              <w:top w:val="single" w:color="auto" w:sz="4" w:space="0"/>
              <w:left w:val="single" w:color="auto" w:sz="4" w:space="0"/>
              <w:bottom w:val="single" w:color="auto" w:sz="4" w:space="0"/>
              <w:right w:val="single" w:color="auto" w:sz="4" w:space="0"/>
            </w:tcBorders>
            <w:vAlign w:val="center"/>
          </w:tcPr>
          <w:p w14:paraId="5B85EB16">
            <w:pPr>
              <w:autoSpaceDE w:val="0"/>
              <w:autoSpaceDN w:val="0"/>
              <w:adjustRightInd w:val="0"/>
              <w:snapToGrid w:val="0"/>
              <w:spacing w:line="240" w:lineRule="exact"/>
              <w:jc w:val="center"/>
              <w:rPr>
                <w:rFonts w:ascii="Arial" w:hAnsi="Arial" w:eastAsia="宋体" w:cs="Arial"/>
                <w:bCs/>
                <w:kern w:val="0"/>
                <w:sz w:val="21"/>
                <w:szCs w:val="21"/>
              </w:rPr>
            </w:pPr>
          </w:p>
        </w:tc>
        <w:tc>
          <w:tcPr>
            <w:tcW w:w="609" w:type="pct"/>
            <w:tcBorders>
              <w:top w:val="single" w:color="auto" w:sz="4" w:space="0"/>
              <w:left w:val="single" w:color="auto" w:sz="4" w:space="0"/>
              <w:bottom w:val="single" w:color="auto" w:sz="4" w:space="0"/>
              <w:right w:val="single" w:color="auto" w:sz="4" w:space="0"/>
            </w:tcBorders>
            <w:vAlign w:val="center"/>
          </w:tcPr>
          <w:p w14:paraId="3B9894DE">
            <w:pPr>
              <w:spacing w:line="240" w:lineRule="exact"/>
              <w:jc w:val="center"/>
              <w:rPr>
                <w:rFonts w:ascii="Arial" w:hAnsi="Arial" w:eastAsia="宋体" w:cs="Arial"/>
                <w:bCs/>
                <w:kern w:val="0"/>
                <w:sz w:val="21"/>
                <w:szCs w:val="21"/>
              </w:rPr>
            </w:pPr>
          </w:p>
        </w:tc>
        <w:tc>
          <w:tcPr>
            <w:tcW w:w="867" w:type="pct"/>
            <w:tcBorders>
              <w:top w:val="single" w:color="auto" w:sz="4" w:space="0"/>
              <w:left w:val="single" w:color="auto" w:sz="4" w:space="0"/>
              <w:bottom w:val="single" w:color="auto" w:sz="4" w:space="0"/>
              <w:right w:val="single" w:color="auto" w:sz="4" w:space="0"/>
            </w:tcBorders>
            <w:vAlign w:val="center"/>
          </w:tcPr>
          <w:p w14:paraId="6793D55F">
            <w:pPr>
              <w:spacing w:line="240" w:lineRule="exact"/>
              <w:jc w:val="center"/>
              <w:rPr>
                <w:rFonts w:ascii="Arial" w:hAnsi="Arial" w:eastAsia="宋体" w:cs="Arial"/>
                <w:bCs/>
                <w:kern w:val="0"/>
                <w:sz w:val="21"/>
                <w:szCs w:val="21"/>
              </w:rPr>
            </w:pPr>
          </w:p>
        </w:tc>
        <w:tc>
          <w:tcPr>
            <w:tcW w:w="524" w:type="pct"/>
            <w:tcBorders>
              <w:top w:val="single" w:color="auto" w:sz="4" w:space="0"/>
              <w:left w:val="single" w:color="auto" w:sz="4" w:space="0"/>
              <w:bottom w:val="single" w:color="auto" w:sz="4" w:space="0"/>
              <w:right w:val="single" w:color="auto" w:sz="4" w:space="0"/>
            </w:tcBorders>
            <w:vAlign w:val="center"/>
          </w:tcPr>
          <w:p w14:paraId="2D6D9DB7">
            <w:pPr>
              <w:spacing w:line="240" w:lineRule="exact"/>
              <w:jc w:val="center"/>
              <w:rPr>
                <w:rFonts w:ascii="Arial" w:hAnsi="Arial" w:eastAsia="宋体" w:cs="Arial"/>
                <w:bCs/>
                <w:kern w:val="0"/>
                <w:sz w:val="21"/>
                <w:szCs w:val="21"/>
              </w:rPr>
            </w:pPr>
          </w:p>
        </w:tc>
        <w:tc>
          <w:tcPr>
            <w:tcW w:w="459" w:type="pct"/>
            <w:tcBorders>
              <w:top w:val="single" w:color="auto" w:sz="4" w:space="0"/>
              <w:left w:val="single" w:color="auto" w:sz="4" w:space="0"/>
              <w:bottom w:val="single" w:color="auto" w:sz="4" w:space="0"/>
              <w:right w:val="single" w:color="auto" w:sz="4" w:space="0"/>
            </w:tcBorders>
            <w:vAlign w:val="center"/>
          </w:tcPr>
          <w:p w14:paraId="61484727">
            <w:pPr>
              <w:widowControl/>
              <w:adjustRightInd w:val="0"/>
              <w:snapToGrid w:val="0"/>
              <w:jc w:val="center"/>
              <w:rPr>
                <w:rFonts w:ascii="Arial" w:hAnsi="Arial" w:eastAsia="宋体" w:cs="Arial"/>
                <w:bCs/>
                <w:sz w:val="21"/>
                <w:szCs w:val="21"/>
              </w:rPr>
            </w:pPr>
          </w:p>
        </w:tc>
        <w:tc>
          <w:tcPr>
            <w:tcW w:w="406" w:type="pct"/>
            <w:tcBorders>
              <w:top w:val="single" w:color="auto" w:sz="4" w:space="0"/>
              <w:left w:val="single" w:color="auto" w:sz="4" w:space="0"/>
              <w:bottom w:val="single" w:color="auto" w:sz="4" w:space="0"/>
              <w:right w:val="single" w:color="auto" w:sz="4" w:space="0"/>
            </w:tcBorders>
            <w:vAlign w:val="center"/>
          </w:tcPr>
          <w:p w14:paraId="2CDE7C8F">
            <w:pPr>
              <w:spacing w:line="240" w:lineRule="exact"/>
              <w:jc w:val="center"/>
              <w:rPr>
                <w:rFonts w:ascii="Arial" w:hAnsi="Arial" w:eastAsia="宋体" w:cs="Arial"/>
                <w:bCs/>
                <w:kern w:val="0"/>
                <w:sz w:val="21"/>
                <w:szCs w:val="21"/>
              </w:rPr>
            </w:pPr>
          </w:p>
        </w:tc>
      </w:tr>
    </w:tbl>
    <w:p w14:paraId="0BA6B21B">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根据表3-</w:t>
      </w:r>
      <w:r>
        <w:rPr>
          <w:rFonts w:hint="eastAsia" w:ascii="Arial" w:hAnsi="Arial" w:eastAsia="宋体" w:cs="Arial"/>
          <w:spacing w:val="10"/>
          <w:sz w:val="24"/>
          <w:szCs w:val="24"/>
        </w:rPr>
        <w:t>7</w:t>
      </w:r>
      <w:r>
        <w:rPr>
          <w:rFonts w:ascii="Arial" w:hAnsi="Arial" w:eastAsia="宋体" w:cs="Arial"/>
          <w:spacing w:val="10"/>
          <w:sz w:val="24"/>
          <w:szCs w:val="24"/>
        </w:rPr>
        <w:t>，</w:t>
      </w:r>
      <w:r>
        <w:rPr>
          <w:rFonts w:ascii="Arial" w:hAnsi="Arial" w:eastAsia="宋体" w:cs="Arial"/>
          <w:spacing w:val="10"/>
          <w:sz w:val="24"/>
        </w:rPr>
        <w:t>补充监测的</w:t>
      </w:r>
      <w:r>
        <w:rPr>
          <w:rFonts w:hint="eastAsia" w:ascii="Arial" w:hAnsi="Arial" w:eastAsia="宋体" w:cs="Arial"/>
          <w:spacing w:val="10"/>
          <w:sz w:val="24"/>
        </w:rPr>
        <w:t>氨1小时平均浓度</w:t>
      </w:r>
      <w:r>
        <w:rPr>
          <w:rFonts w:ascii="Arial" w:hAnsi="Arial" w:eastAsia="宋体" w:cs="Arial"/>
          <w:spacing w:val="10"/>
          <w:sz w:val="24"/>
        </w:rPr>
        <w:t>符合《环境影响评价技术导则 大气环境》（HJ2.2-2018）附录D的浓度限值要求</w:t>
      </w:r>
      <w:r>
        <w:rPr>
          <w:rFonts w:hint="eastAsia" w:ascii="Arial" w:hAnsi="Arial" w:eastAsia="宋体" w:cs="Arial"/>
          <w:spacing w:val="10"/>
          <w:sz w:val="24"/>
        </w:rPr>
        <w:t>，TSP日平均浓度符合《环境空气质量标准》（GB3095-2012）及其修改单的二级标准要求</w:t>
      </w:r>
      <w:r>
        <w:rPr>
          <w:rFonts w:ascii="Arial" w:hAnsi="Arial" w:eastAsia="宋体" w:cs="Arial"/>
          <w:spacing w:val="10"/>
          <w:sz w:val="24"/>
        </w:rPr>
        <w:t>。</w:t>
      </w:r>
    </w:p>
    <w:p w14:paraId="150B5B80">
      <w:pPr>
        <w:numPr>
          <w:ilvl w:val="3"/>
          <w:numId w:val="18"/>
        </w:numPr>
        <w:spacing w:line="500" w:lineRule="exact"/>
        <w:ind w:left="0" w:firstLine="0"/>
        <w:outlineLvl w:val="3"/>
        <w:rPr>
          <w:rFonts w:ascii="Arial" w:hAnsi="Arial" w:eastAsia="宋体" w:cs="Arial"/>
          <w:b/>
          <w:spacing w:val="10"/>
          <w:sz w:val="24"/>
        </w:rPr>
      </w:pPr>
      <w:r>
        <w:rPr>
          <w:rFonts w:ascii="Arial" w:hAnsi="Arial" w:eastAsia="宋体" w:cs="Arial"/>
          <w:b/>
          <w:spacing w:val="10"/>
          <w:sz w:val="24"/>
        </w:rPr>
        <w:t>评价结论</w:t>
      </w:r>
    </w:p>
    <w:p w14:paraId="6FC1FEFC">
      <w:pPr>
        <w:spacing w:line="500" w:lineRule="exact"/>
        <w:ind w:firstLine="490" w:firstLineChars="200"/>
        <w:rPr>
          <w:rFonts w:ascii="Arial" w:hAnsi="Arial" w:eastAsia="宋体" w:cs="Arial"/>
          <w:spacing w:val="10"/>
          <w:sz w:val="24"/>
        </w:rPr>
      </w:pPr>
      <w:r>
        <w:rPr>
          <w:rFonts w:ascii="Arial" w:hAnsi="Arial" w:eastAsia="宋体" w:cs="Arial"/>
          <w:spacing w:val="10"/>
          <w:sz w:val="24"/>
        </w:rPr>
        <w:t>本次评价选取2022年作为评价基准年。根据桂环函〔2023〕13号，钦州市为达标区，各项基本污染物均能达到《环境空气质量标准》（GB3095-2012）中的二级标准要求。</w:t>
      </w:r>
    </w:p>
    <w:p w14:paraId="00600050">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根据补充监测因子的监测结果，</w:t>
      </w:r>
      <w:r>
        <w:rPr>
          <w:rFonts w:hint="eastAsia" w:ascii="Arial" w:hAnsi="Arial" w:eastAsia="宋体" w:cs="Arial"/>
          <w:spacing w:val="10"/>
          <w:sz w:val="24"/>
        </w:rPr>
        <w:t>氨1小时平均浓度</w:t>
      </w:r>
      <w:r>
        <w:rPr>
          <w:rFonts w:ascii="Arial" w:hAnsi="Arial" w:eastAsia="宋体" w:cs="Arial"/>
          <w:spacing w:val="10"/>
          <w:sz w:val="24"/>
        </w:rPr>
        <w:t>符合《环境影响评价技术导则 大气环境》（HJ2.2-2018）附录D的浓度限值要求</w:t>
      </w:r>
      <w:r>
        <w:rPr>
          <w:rFonts w:hint="eastAsia" w:ascii="Arial" w:hAnsi="Arial" w:eastAsia="宋体" w:cs="Arial"/>
          <w:spacing w:val="10"/>
          <w:sz w:val="24"/>
        </w:rPr>
        <w:t>，TSP日平均浓度符合《环境空气质量标准》（GB3095-2012）及其修改单的二级标准要求</w:t>
      </w:r>
      <w:r>
        <w:rPr>
          <w:rFonts w:ascii="Arial" w:hAnsi="Arial" w:eastAsia="宋体" w:cs="Arial"/>
          <w:spacing w:val="10"/>
          <w:sz w:val="24"/>
        </w:rPr>
        <w:t>。</w:t>
      </w:r>
    </w:p>
    <w:p w14:paraId="7DF8ACCA">
      <w:pPr>
        <w:numPr>
          <w:ilvl w:val="2"/>
          <w:numId w:val="17"/>
        </w:numPr>
        <w:spacing w:line="500" w:lineRule="exact"/>
        <w:ind w:left="564" w:leftChars="213" w:firstLine="0"/>
        <w:outlineLvl w:val="2"/>
        <w:rPr>
          <w:rFonts w:ascii="Arial" w:hAnsi="Arial" w:eastAsia="宋体" w:cs="Arial"/>
          <w:b/>
          <w:spacing w:val="10"/>
          <w:sz w:val="24"/>
        </w:rPr>
      </w:pPr>
      <w:r>
        <w:rPr>
          <w:rFonts w:hint="eastAsia" w:ascii="Arial" w:hAnsi="Arial" w:eastAsia="宋体" w:cs="Arial"/>
          <w:b/>
          <w:spacing w:val="10"/>
          <w:sz w:val="24"/>
        </w:rPr>
        <w:t>地表水环境现状调查</w:t>
      </w:r>
      <w:r>
        <w:rPr>
          <w:rFonts w:ascii="Arial" w:hAnsi="Arial" w:eastAsia="宋体" w:cs="Arial"/>
          <w:b/>
          <w:spacing w:val="10"/>
          <w:sz w:val="24"/>
        </w:rPr>
        <w:t>与评价</w:t>
      </w:r>
    </w:p>
    <w:p w14:paraId="4809B646">
      <w:pPr>
        <w:spacing w:line="500" w:lineRule="exact"/>
        <w:ind w:firstLine="490" w:firstLineChars="200"/>
        <w:rPr>
          <w:rFonts w:ascii="Arial" w:hAnsi="Arial" w:eastAsia="宋体" w:cs="Arial"/>
          <w:b/>
          <w:spacing w:val="10"/>
          <w:sz w:val="24"/>
        </w:rPr>
      </w:pPr>
      <w:r>
        <w:rPr>
          <w:rFonts w:hint="eastAsia" w:ascii="Arial" w:hAnsi="Arial" w:eastAsia="宋体" w:cs="Arial"/>
          <w:spacing w:val="10"/>
          <w:sz w:val="24"/>
        </w:rPr>
        <w:t>项目地表水环境影响评价工作等级为三级A，本报告引用《钦州港大榄坪物流加工区总体规划修编（2022-2035）环境影响报告书》中的排污区A2区域H2（E108.65126°，N21.63548°）的海水监测结果进行评价。</w:t>
      </w:r>
    </w:p>
    <w:p w14:paraId="37A26B14">
      <w:pPr>
        <w:keepNext/>
        <w:keepLines/>
        <w:numPr>
          <w:ilvl w:val="0"/>
          <w:numId w:val="16"/>
        </w:numPr>
        <w:spacing w:line="500" w:lineRule="exact"/>
        <w:jc w:val="center"/>
        <w:outlineLvl w:val="4"/>
        <w:rPr>
          <w:rFonts w:ascii="Arial" w:hAnsi="Arial" w:eastAsia="宋体" w:cs="Arial"/>
          <w:b/>
          <w:sz w:val="24"/>
          <w:szCs w:val="24"/>
        </w:rPr>
      </w:pPr>
      <w:r>
        <w:rPr>
          <w:rFonts w:hint="eastAsia" w:ascii="Arial" w:hAnsi="Arial" w:eastAsia="宋体" w:cs="Arial"/>
          <w:b/>
          <w:sz w:val="24"/>
          <w:szCs w:val="24"/>
        </w:rPr>
        <w:t>水环境质量</w:t>
      </w:r>
      <w:r>
        <w:rPr>
          <w:rFonts w:ascii="Arial" w:hAnsi="Arial" w:eastAsia="宋体" w:cs="Arial"/>
          <w:b/>
          <w:sz w:val="24"/>
          <w:szCs w:val="24"/>
        </w:rPr>
        <w:t>引用数据</w:t>
      </w:r>
      <w:r>
        <w:rPr>
          <w:rFonts w:hint="eastAsia" w:ascii="Arial" w:hAnsi="Arial" w:eastAsia="宋体" w:cs="Arial"/>
          <w:b/>
          <w:sz w:val="24"/>
          <w:szCs w:val="24"/>
        </w:rPr>
        <w:t>详情</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3"/>
        <w:gridCol w:w="3261"/>
        <w:gridCol w:w="1844"/>
        <w:gridCol w:w="1417"/>
        <w:gridCol w:w="1228"/>
      </w:tblGrid>
      <w:tr w14:paraId="2317C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1" w:type="pct"/>
            <w:vAlign w:val="center"/>
          </w:tcPr>
          <w:p w14:paraId="6CF2BB53">
            <w:pPr>
              <w:widowControl/>
              <w:adjustRightInd w:val="0"/>
              <w:snapToGrid w:val="0"/>
              <w:jc w:val="center"/>
              <w:rPr>
                <w:rFonts w:ascii="Arial" w:hAnsi="Arial" w:eastAsia="宋体" w:cs="Arial"/>
                <w:bCs/>
                <w:kern w:val="0"/>
                <w:sz w:val="21"/>
                <w:szCs w:val="21"/>
              </w:rPr>
            </w:pPr>
          </w:p>
        </w:tc>
        <w:tc>
          <w:tcPr>
            <w:tcW w:w="1813" w:type="pct"/>
            <w:vAlign w:val="center"/>
          </w:tcPr>
          <w:p w14:paraId="37094FEC">
            <w:pPr>
              <w:widowControl/>
              <w:adjustRightInd w:val="0"/>
              <w:snapToGrid w:val="0"/>
              <w:jc w:val="center"/>
              <w:rPr>
                <w:rFonts w:ascii="Arial" w:hAnsi="Arial" w:eastAsia="宋体" w:cs="Arial"/>
                <w:bCs/>
                <w:kern w:val="0"/>
                <w:sz w:val="21"/>
                <w:szCs w:val="21"/>
              </w:rPr>
            </w:pPr>
          </w:p>
        </w:tc>
        <w:tc>
          <w:tcPr>
            <w:tcW w:w="1025" w:type="pct"/>
            <w:vAlign w:val="center"/>
          </w:tcPr>
          <w:p w14:paraId="7B4BD271">
            <w:pPr>
              <w:widowControl/>
              <w:adjustRightInd w:val="0"/>
              <w:snapToGrid w:val="0"/>
              <w:jc w:val="center"/>
              <w:rPr>
                <w:rFonts w:ascii="Arial" w:hAnsi="Arial" w:eastAsia="宋体" w:cs="Arial"/>
                <w:bCs/>
                <w:kern w:val="0"/>
                <w:sz w:val="21"/>
                <w:szCs w:val="21"/>
              </w:rPr>
            </w:pPr>
          </w:p>
        </w:tc>
        <w:tc>
          <w:tcPr>
            <w:tcW w:w="788" w:type="pct"/>
            <w:vAlign w:val="center"/>
          </w:tcPr>
          <w:p w14:paraId="26D544B8">
            <w:pPr>
              <w:widowControl/>
              <w:adjustRightInd w:val="0"/>
              <w:snapToGrid w:val="0"/>
              <w:jc w:val="center"/>
              <w:rPr>
                <w:rFonts w:ascii="Arial" w:hAnsi="Arial" w:eastAsia="宋体" w:cs="Arial"/>
                <w:bCs/>
                <w:kern w:val="0"/>
                <w:sz w:val="21"/>
                <w:szCs w:val="21"/>
              </w:rPr>
            </w:pPr>
          </w:p>
        </w:tc>
        <w:tc>
          <w:tcPr>
            <w:tcW w:w="683" w:type="pct"/>
            <w:vAlign w:val="center"/>
          </w:tcPr>
          <w:p w14:paraId="5EBA107F">
            <w:pPr>
              <w:widowControl/>
              <w:adjustRightInd w:val="0"/>
              <w:snapToGrid w:val="0"/>
              <w:jc w:val="center"/>
              <w:rPr>
                <w:rFonts w:ascii="Arial" w:hAnsi="Arial" w:eastAsia="宋体" w:cs="Arial"/>
                <w:bCs/>
                <w:kern w:val="0"/>
                <w:sz w:val="21"/>
                <w:szCs w:val="21"/>
              </w:rPr>
            </w:pPr>
          </w:p>
        </w:tc>
      </w:tr>
      <w:tr w14:paraId="06D75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1" w:type="pct"/>
            <w:vAlign w:val="center"/>
          </w:tcPr>
          <w:p w14:paraId="624110E4">
            <w:pPr>
              <w:widowControl/>
              <w:adjustRightInd w:val="0"/>
              <w:snapToGrid w:val="0"/>
              <w:jc w:val="center"/>
              <w:rPr>
                <w:rFonts w:ascii="Arial" w:hAnsi="Arial" w:eastAsia="宋体" w:cs="Arial"/>
                <w:bCs/>
                <w:kern w:val="0"/>
                <w:sz w:val="21"/>
                <w:szCs w:val="21"/>
              </w:rPr>
            </w:pPr>
          </w:p>
        </w:tc>
        <w:tc>
          <w:tcPr>
            <w:tcW w:w="1813" w:type="pct"/>
            <w:vAlign w:val="center"/>
          </w:tcPr>
          <w:p w14:paraId="7531EB38">
            <w:pPr>
              <w:widowControl/>
              <w:adjustRightInd w:val="0"/>
              <w:snapToGrid w:val="0"/>
              <w:jc w:val="center"/>
              <w:rPr>
                <w:rFonts w:ascii="Arial" w:hAnsi="Arial" w:eastAsia="宋体" w:cs="Arial"/>
                <w:bCs/>
                <w:kern w:val="0"/>
                <w:sz w:val="21"/>
                <w:szCs w:val="21"/>
              </w:rPr>
            </w:pPr>
          </w:p>
        </w:tc>
        <w:tc>
          <w:tcPr>
            <w:tcW w:w="1025" w:type="pct"/>
            <w:vAlign w:val="center"/>
          </w:tcPr>
          <w:p w14:paraId="1719AEDE">
            <w:pPr>
              <w:adjustRightInd w:val="0"/>
              <w:snapToGrid w:val="0"/>
              <w:jc w:val="center"/>
              <w:rPr>
                <w:rFonts w:ascii="Arial" w:hAnsi="Arial" w:eastAsia="宋体" w:cs="Arial"/>
                <w:bCs/>
                <w:kern w:val="0"/>
                <w:sz w:val="21"/>
                <w:szCs w:val="21"/>
              </w:rPr>
            </w:pPr>
          </w:p>
        </w:tc>
        <w:tc>
          <w:tcPr>
            <w:tcW w:w="788" w:type="pct"/>
            <w:vAlign w:val="center"/>
          </w:tcPr>
          <w:p w14:paraId="4F56474D">
            <w:pPr>
              <w:adjustRightInd w:val="0"/>
              <w:snapToGrid w:val="0"/>
              <w:jc w:val="center"/>
              <w:rPr>
                <w:rFonts w:ascii="Arial" w:hAnsi="Arial" w:eastAsia="宋体" w:cs="Arial"/>
                <w:bCs/>
                <w:kern w:val="0"/>
                <w:sz w:val="21"/>
                <w:szCs w:val="21"/>
              </w:rPr>
            </w:pPr>
          </w:p>
        </w:tc>
        <w:tc>
          <w:tcPr>
            <w:tcW w:w="683" w:type="pct"/>
            <w:vAlign w:val="center"/>
          </w:tcPr>
          <w:p w14:paraId="3BFA27D8">
            <w:pPr>
              <w:adjustRightInd w:val="0"/>
              <w:snapToGrid w:val="0"/>
              <w:jc w:val="center"/>
              <w:rPr>
                <w:rFonts w:ascii="Arial" w:hAnsi="Arial" w:eastAsia="宋体" w:cs="Arial"/>
                <w:bCs/>
                <w:kern w:val="0"/>
                <w:sz w:val="21"/>
                <w:szCs w:val="21"/>
              </w:rPr>
            </w:pPr>
          </w:p>
        </w:tc>
      </w:tr>
    </w:tbl>
    <w:p w14:paraId="0F6E665C">
      <w:pPr>
        <w:keepNext/>
        <w:keepLines/>
        <w:numPr>
          <w:ilvl w:val="0"/>
          <w:numId w:val="16"/>
        </w:numPr>
        <w:spacing w:line="500" w:lineRule="exact"/>
        <w:jc w:val="center"/>
        <w:outlineLvl w:val="4"/>
        <w:rPr>
          <w:rFonts w:ascii="Arial" w:hAnsi="Arial" w:eastAsia="宋体" w:cs="Arial"/>
          <w:b/>
          <w:sz w:val="24"/>
          <w:szCs w:val="24"/>
        </w:rPr>
      </w:pPr>
      <w:r>
        <w:rPr>
          <w:rFonts w:hint="eastAsia" w:ascii="Arial" w:hAnsi="Arial" w:eastAsia="宋体" w:cs="Arial"/>
          <w:b/>
          <w:sz w:val="24"/>
          <w:szCs w:val="24"/>
        </w:rPr>
        <w:t>海水环境质量监测结果</w:t>
      </w:r>
    </w:p>
    <w:tbl>
      <w:tblPr>
        <w:tblStyle w:val="88"/>
        <w:tblW w:w="5000" w:type="pct"/>
        <w:tblInd w:w="0" w:type="dxa"/>
        <w:tblLayout w:type="autofit"/>
        <w:tblCellMar>
          <w:top w:w="0" w:type="dxa"/>
          <w:left w:w="0" w:type="dxa"/>
          <w:bottom w:w="0" w:type="dxa"/>
          <w:right w:w="0" w:type="dxa"/>
        </w:tblCellMar>
      </w:tblPr>
      <w:tblGrid>
        <w:gridCol w:w="2883"/>
        <w:gridCol w:w="1725"/>
        <w:gridCol w:w="1723"/>
        <w:gridCol w:w="2452"/>
      </w:tblGrid>
      <w:tr w14:paraId="28D0CC32">
        <w:tblPrEx>
          <w:tblCellMar>
            <w:top w:w="0" w:type="dxa"/>
            <w:left w:w="0" w:type="dxa"/>
            <w:bottom w:w="0" w:type="dxa"/>
            <w:right w:w="0" w:type="dxa"/>
          </w:tblCellMar>
        </w:tblPrEx>
        <w:trPr>
          <w:trHeight w:val="340" w:hRule="atLeast"/>
        </w:trPr>
        <w:tc>
          <w:tcPr>
            <w:tcW w:w="1641" w:type="pct"/>
            <w:vMerge w:val="restart"/>
            <w:tcBorders>
              <w:top w:val="single" w:color="000000" w:sz="2" w:space="0"/>
              <w:left w:val="single" w:color="000000" w:sz="2" w:space="0"/>
              <w:right w:val="single" w:color="000000" w:sz="2" w:space="0"/>
            </w:tcBorders>
            <w:vAlign w:val="center"/>
          </w:tcPr>
          <w:p w14:paraId="195982CF">
            <w:pPr>
              <w:adjustRightInd w:val="0"/>
              <w:snapToGrid w:val="0"/>
              <w:ind w:right="-20"/>
              <w:jc w:val="center"/>
              <w:rPr>
                <w:rFonts w:ascii="Arial" w:hAnsi="Arial" w:eastAsia="宋体" w:cs="Arial"/>
                <w:bCs/>
                <w:kern w:val="0"/>
                <w:sz w:val="21"/>
                <w:szCs w:val="21"/>
              </w:rPr>
            </w:pPr>
          </w:p>
        </w:tc>
        <w:tc>
          <w:tcPr>
            <w:tcW w:w="1963" w:type="pct"/>
            <w:gridSpan w:val="2"/>
            <w:tcBorders>
              <w:top w:val="single" w:color="000000" w:sz="2" w:space="0"/>
              <w:left w:val="single" w:color="000000" w:sz="2" w:space="0"/>
              <w:bottom w:val="single" w:color="000000" w:sz="2" w:space="0"/>
              <w:right w:val="single" w:color="000000" w:sz="2" w:space="0"/>
            </w:tcBorders>
            <w:vAlign w:val="center"/>
          </w:tcPr>
          <w:p w14:paraId="19FBF932">
            <w:pPr>
              <w:adjustRightInd w:val="0"/>
              <w:snapToGrid w:val="0"/>
              <w:ind w:right="-20"/>
              <w:jc w:val="center"/>
              <w:rPr>
                <w:rFonts w:ascii="Arial" w:hAnsi="Arial" w:eastAsia="宋体" w:cs="Arial"/>
                <w:bCs/>
                <w:kern w:val="0"/>
                <w:sz w:val="21"/>
                <w:szCs w:val="21"/>
              </w:rPr>
            </w:pPr>
          </w:p>
        </w:tc>
        <w:tc>
          <w:tcPr>
            <w:tcW w:w="1396" w:type="pct"/>
            <w:vMerge w:val="restart"/>
            <w:tcBorders>
              <w:top w:val="single" w:color="000000" w:sz="2" w:space="0"/>
              <w:left w:val="single" w:color="000000" w:sz="2" w:space="0"/>
              <w:right w:val="single" w:color="000000" w:sz="2" w:space="0"/>
            </w:tcBorders>
            <w:vAlign w:val="center"/>
          </w:tcPr>
          <w:p w14:paraId="7293BD44">
            <w:pPr>
              <w:adjustRightInd w:val="0"/>
              <w:snapToGrid w:val="0"/>
              <w:ind w:left="796" w:right="92" w:hanging="629"/>
              <w:jc w:val="center"/>
              <w:rPr>
                <w:rFonts w:ascii="Arial" w:hAnsi="Arial" w:eastAsia="宋体" w:cs="Arial"/>
                <w:bCs/>
                <w:kern w:val="0"/>
                <w:sz w:val="21"/>
                <w:szCs w:val="21"/>
              </w:rPr>
            </w:pPr>
          </w:p>
        </w:tc>
      </w:tr>
      <w:tr w14:paraId="25DF10D7">
        <w:tblPrEx>
          <w:tblCellMar>
            <w:top w:w="0" w:type="dxa"/>
            <w:left w:w="0" w:type="dxa"/>
            <w:bottom w:w="0" w:type="dxa"/>
            <w:right w:w="0" w:type="dxa"/>
          </w:tblCellMar>
        </w:tblPrEx>
        <w:trPr>
          <w:trHeight w:val="340" w:hRule="atLeast"/>
        </w:trPr>
        <w:tc>
          <w:tcPr>
            <w:tcW w:w="1641" w:type="pct"/>
            <w:vMerge w:val="continue"/>
            <w:tcBorders>
              <w:left w:val="single" w:color="000000" w:sz="2" w:space="0"/>
              <w:bottom w:val="single" w:color="000000" w:sz="2" w:space="0"/>
              <w:right w:val="single" w:color="000000" w:sz="2" w:space="0"/>
            </w:tcBorders>
            <w:vAlign w:val="center"/>
          </w:tcPr>
          <w:p w14:paraId="6D36629E">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5A723A0A">
            <w:pPr>
              <w:adjustRightInd w:val="0"/>
              <w:snapToGrid w:val="0"/>
              <w:spacing w:line="334" w:lineRule="exact"/>
              <w:ind w:left="243" w:right="224"/>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6B29682C">
            <w:pPr>
              <w:adjustRightInd w:val="0"/>
              <w:snapToGrid w:val="0"/>
              <w:spacing w:line="334" w:lineRule="exact"/>
              <w:ind w:left="243" w:right="224"/>
              <w:jc w:val="center"/>
              <w:rPr>
                <w:rFonts w:ascii="Arial" w:hAnsi="Arial" w:eastAsia="宋体" w:cs="Arial"/>
                <w:bCs/>
                <w:kern w:val="0"/>
                <w:sz w:val="21"/>
                <w:szCs w:val="21"/>
              </w:rPr>
            </w:pPr>
          </w:p>
        </w:tc>
        <w:tc>
          <w:tcPr>
            <w:tcW w:w="1396" w:type="pct"/>
            <w:vMerge w:val="continue"/>
            <w:tcBorders>
              <w:left w:val="single" w:color="000000" w:sz="2" w:space="0"/>
              <w:bottom w:val="single" w:color="000000" w:sz="2" w:space="0"/>
              <w:right w:val="single" w:color="000000" w:sz="2" w:space="0"/>
            </w:tcBorders>
            <w:vAlign w:val="center"/>
          </w:tcPr>
          <w:p w14:paraId="2E8E5852">
            <w:pPr>
              <w:adjustRightInd w:val="0"/>
              <w:snapToGrid w:val="0"/>
              <w:jc w:val="center"/>
              <w:rPr>
                <w:rFonts w:ascii="Arial" w:hAnsi="Arial" w:eastAsia="宋体" w:cs="Arial"/>
                <w:bCs/>
                <w:kern w:val="0"/>
                <w:sz w:val="21"/>
                <w:szCs w:val="21"/>
              </w:rPr>
            </w:pPr>
          </w:p>
        </w:tc>
      </w:tr>
      <w:tr w14:paraId="22618C6C">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7995D3C8">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03EA8B08">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57E4709F">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71C15EDF">
            <w:pPr>
              <w:adjustRightInd w:val="0"/>
              <w:snapToGrid w:val="0"/>
              <w:jc w:val="center"/>
              <w:rPr>
                <w:rFonts w:ascii="Arial" w:hAnsi="Arial" w:eastAsia="宋体" w:cs="Arial"/>
                <w:bCs/>
                <w:kern w:val="0"/>
                <w:sz w:val="21"/>
                <w:szCs w:val="21"/>
              </w:rPr>
            </w:pPr>
          </w:p>
        </w:tc>
      </w:tr>
      <w:tr w14:paraId="6FC5E647">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1354C502">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361692ED">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1B0F6697">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38DF7630">
            <w:pPr>
              <w:adjustRightInd w:val="0"/>
              <w:snapToGrid w:val="0"/>
              <w:jc w:val="center"/>
              <w:rPr>
                <w:rFonts w:ascii="Arial" w:hAnsi="Arial" w:eastAsia="宋体" w:cs="Arial"/>
                <w:bCs/>
                <w:kern w:val="0"/>
                <w:sz w:val="21"/>
                <w:szCs w:val="21"/>
              </w:rPr>
            </w:pPr>
          </w:p>
        </w:tc>
      </w:tr>
      <w:tr w14:paraId="7AC53BE1">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16201FA4">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696A9524">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38E8799E">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498E7FAF">
            <w:pPr>
              <w:adjustRightInd w:val="0"/>
              <w:snapToGrid w:val="0"/>
              <w:jc w:val="center"/>
              <w:rPr>
                <w:rFonts w:ascii="Arial" w:hAnsi="Arial" w:eastAsia="宋体" w:cs="Arial"/>
                <w:bCs/>
                <w:kern w:val="0"/>
                <w:sz w:val="21"/>
                <w:szCs w:val="21"/>
              </w:rPr>
            </w:pPr>
          </w:p>
        </w:tc>
      </w:tr>
      <w:tr w14:paraId="56AFDB45">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7B9728BC">
            <w:pPr>
              <w:adjustRightInd w:val="0"/>
              <w:snapToGrid w:val="0"/>
              <w:ind w:left="275" w:right="-2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7102BA31">
            <w:pPr>
              <w:adjustRightInd w:val="0"/>
              <w:snapToGrid w:val="0"/>
              <w:ind w:left="477" w:right="455"/>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10ADDA6C">
            <w:pPr>
              <w:adjustRightInd w:val="0"/>
              <w:snapToGrid w:val="0"/>
              <w:ind w:left="477" w:right="455"/>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78A11502">
            <w:pPr>
              <w:adjustRightInd w:val="0"/>
              <w:snapToGrid w:val="0"/>
              <w:ind w:left="104" w:right="-20"/>
              <w:jc w:val="center"/>
              <w:rPr>
                <w:rFonts w:ascii="Arial" w:hAnsi="Arial" w:eastAsia="宋体" w:cs="Arial"/>
                <w:bCs/>
                <w:kern w:val="0"/>
                <w:sz w:val="21"/>
                <w:szCs w:val="21"/>
              </w:rPr>
            </w:pPr>
          </w:p>
        </w:tc>
      </w:tr>
      <w:tr w14:paraId="18849D61">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337BD57C">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30B9D3B5">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63FBA28A">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47977587">
            <w:pPr>
              <w:adjustRightInd w:val="0"/>
              <w:snapToGrid w:val="0"/>
              <w:jc w:val="center"/>
              <w:rPr>
                <w:rFonts w:ascii="Arial" w:hAnsi="Arial" w:eastAsia="宋体" w:cs="Arial"/>
                <w:bCs/>
                <w:kern w:val="0"/>
                <w:sz w:val="21"/>
                <w:szCs w:val="21"/>
              </w:rPr>
            </w:pPr>
          </w:p>
        </w:tc>
      </w:tr>
      <w:tr w14:paraId="77BAD1DF">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329643D8">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49B57263">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50F20D4A">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70F4BB1A">
            <w:pPr>
              <w:adjustRightInd w:val="0"/>
              <w:snapToGrid w:val="0"/>
              <w:jc w:val="center"/>
              <w:rPr>
                <w:rFonts w:ascii="Arial" w:hAnsi="Arial" w:eastAsia="宋体" w:cs="Arial"/>
                <w:bCs/>
                <w:kern w:val="0"/>
                <w:sz w:val="21"/>
                <w:szCs w:val="21"/>
              </w:rPr>
            </w:pPr>
          </w:p>
        </w:tc>
      </w:tr>
      <w:tr w14:paraId="32170E17">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55125AE9">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3C368312">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124F2EFF">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02CA9DDE">
            <w:pPr>
              <w:adjustRightInd w:val="0"/>
              <w:snapToGrid w:val="0"/>
              <w:jc w:val="center"/>
              <w:rPr>
                <w:rFonts w:ascii="Arial" w:hAnsi="Arial" w:eastAsia="宋体" w:cs="Arial"/>
                <w:bCs/>
                <w:kern w:val="0"/>
                <w:sz w:val="21"/>
                <w:szCs w:val="21"/>
              </w:rPr>
            </w:pPr>
          </w:p>
        </w:tc>
      </w:tr>
      <w:tr w14:paraId="66DAE4C4">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398443ED">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222EB517">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74E5EC99">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33B2A118">
            <w:pPr>
              <w:adjustRightInd w:val="0"/>
              <w:snapToGrid w:val="0"/>
              <w:jc w:val="center"/>
              <w:rPr>
                <w:rFonts w:ascii="Arial" w:hAnsi="Arial" w:eastAsia="宋体" w:cs="Arial"/>
                <w:bCs/>
                <w:kern w:val="0"/>
                <w:sz w:val="21"/>
                <w:szCs w:val="21"/>
              </w:rPr>
            </w:pPr>
          </w:p>
        </w:tc>
      </w:tr>
      <w:tr w14:paraId="34EB87C1">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7687253E">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39ACA6E5">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2F8B8445">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165E262F">
            <w:pPr>
              <w:adjustRightInd w:val="0"/>
              <w:snapToGrid w:val="0"/>
              <w:jc w:val="center"/>
              <w:rPr>
                <w:rFonts w:ascii="Arial" w:hAnsi="Arial" w:eastAsia="宋体" w:cs="Arial"/>
                <w:bCs/>
                <w:kern w:val="0"/>
                <w:sz w:val="21"/>
                <w:szCs w:val="21"/>
              </w:rPr>
            </w:pPr>
          </w:p>
        </w:tc>
      </w:tr>
      <w:tr w14:paraId="11E9E588">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4AC3D72C">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56228794">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05B81562">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0218F133">
            <w:pPr>
              <w:adjustRightInd w:val="0"/>
              <w:snapToGrid w:val="0"/>
              <w:jc w:val="center"/>
              <w:rPr>
                <w:rFonts w:ascii="Arial" w:hAnsi="Arial" w:eastAsia="宋体" w:cs="Arial"/>
                <w:bCs/>
                <w:kern w:val="0"/>
                <w:sz w:val="21"/>
                <w:szCs w:val="21"/>
              </w:rPr>
            </w:pPr>
          </w:p>
        </w:tc>
      </w:tr>
      <w:tr w14:paraId="0E157545">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55174822">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793713E5">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51032656">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00E28BAF">
            <w:pPr>
              <w:adjustRightInd w:val="0"/>
              <w:snapToGrid w:val="0"/>
              <w:jc w:val="center"/>
              <w:rPr>
                <w:rFonts w:ascii="Arial" w:hAnsi="Arial" w:eastAsia="宋体" w:cs="Arial"/>
                <w:bCs/>
                <w:kern w:val="0"/>
                <w:sz w:val="21"/>
                <w:szCs w:val="21"/>
              </w:rPr>
            </w:pPr>
          </w:p>
        </w:tc>
      </w:tr>
      <w:tr w14:paraId="2CA190B6">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6840907D">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0FF3E823">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1B1D44E8">
            <w:pPr>
              <w:adjustRightInd w:val="0"/>
              <w:snapToGrid w:val="0"/>
              <w:jc w:val="center"/>
              <w:rPr>
                <w:rFonts w:ascii="Arial" w:hAnsi="Arial" w:eastAsia="宋体" w:cs="Arial"/>
                <w:bCs/>
                <w:kern w:val="0"/>
                <w:sz w:val="21"/>
                <w:szCs w:val="21"/>
              </w:rPr>
            </w:pPr>
          </w:p>
        </w:tc>
        <w:tc>
          <w:tcPr>
            <w:tcW w:w="1396" w:type="pct"/>
            <w:vMerge w:val="restart"/>
            <w:tcBorders>
              <w:top w:val="single" w:color="000000" w:sz="2" w:space="0"/>
              <w:left w:val="single" w:color="000000" w:sz="2" w:space="0"/>
              <w:right w:val="single" w:color="000000" w:sz="2" w:space="0"/>
            </w:tcBorders>
            <w:vAlign w:val="center"/>
          </w:tcPr>
          <w:p w14:paraId="4CE948FB">
            <w:pPr>
              <w:adjustRightInd w:val="0"/>
              <w:snapToGrid w:val="0"/>
              <w:jc w:val="center"/>
              <w:rPr>
                <w:rFonts w:ascii="Arial" w:hAnsi="Arial" w:eastAsia="宋体" w:cs="Arial"/>
                <w:bCs/>
                <w:kern w:val="0"/>
                <w:sz w:val="21"/>
                <w:szCs w:val="21"/>
              </w:rPr>
            </w:pPr>
          </w:p>
        </w:tc>
      </w:tr>
      <w:tr w14:paraId="778CAA6D">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4D39738D">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3012D578">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5D942FFD">
            <w:pPr>
              <w:adjustRightInd w:val="0"/>
              <w:snapToGrid w:val="0"/>
              <w:jc w:val="center"/>
              <w:rPr>
                <w:rFonts w:ascii="Arial" w:hAnsi="Arial" w:eastAsia="宋体" w:cs="Arial"/>
                <w:bCs/>
                <w:kern w:val="0"/>
                <w:sz w:val="21"/>
                <w:szCs w:val="21"/>
              </w:rPr>
            </w:pPr>
          </w:p>
        </w:tc>
        <w:tc>
          <w:tcPr>
            <w:tcW w:w="1396" w:type="pct"/>
            <w:vMerge w:val="continue"/>
            <w:tcBorders>
              <w:left w:val="single" w:color="000000" w:sz="2" w:space="0"/>
              <w:right w:val="single" w:color="000000" w:sz="2" w:space="0"/>
            </w:tcBorders>
            <w:vAlign w:val="center"/>
          </w:tcPr>
          <w:p w14:paraId="1901DD1F">
            <w:pPr>
              <w:adjustRightInd w:val="0"/>
              <w:snapToGrid w:val="0"/>
              <w:jc w:val="center"/>
              <w:rPr>
                <w:rFonts w:ascii="Arial" w:hAnsi="Arial" w:eastAsia="宋体" w:cs="Arial"/>
                <w:bCs/>
                <w:kern w:val="0"/>
                <w:sz w:val="21"/>
                <w:szCs w:val="21"/>
              </w:rPr>
            </w:pPr>
          </w:p>
        </w:tc>
      </w:tr>
      <w:tr w14:paraId="11B96E88">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6A731254">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5B930EBC">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33A9238E">
            <w:pPr>
              <w:adjustRightInd w:val="0"/>
              <w:snapToGrid w:val="0"/>
              <w:jc w:val="center"/>
              <w:rPr>
                <w:rFonts w:ascii="Arial" w:hAnsi="Arial" w:eastAsia="宋体" w:cs="Arial"/>
                <w:bCs/>
                <w:kern w:val="0"/>
                <w:sz w:val="21"/>
                <w:szCs w:val="21"/>
              </w:rPr>
            </w:pPr>
          </w:p>
        </w:tc>
        <w:tc>
          <w:tcPr>
            <w:tcW w:w="1396" w:type="pct"/>
            <w:vMerge w:val="continue"/>
            <w:tcBorders>
              <w:left w:val="single" w:color="000000" w:sz="2" w:space="0"/>
              <w:bottom w:val="single" w:color="000000" w:sz="2" w:space="0"/>
              <w:right w:val="single" w:color="000000" w:sz="2" w:space="0"/>
            </w:tcBorders>
            <w:vAlign w:val="center"/>
          </w:tcPr>
          <w:p w14:paraId="7AC5CF95">
            <w:pPr>
              <w:adjustRightInd w:val="0"/>
              <w:snapToGrid w:val="0"/>
              <w:jc w:val="center"/>
              <w:rPr>
                <w:rFonts w:ascii="Arial" w:hAnsi="Arial" w:eastAsia="宋体" w:cs="Arial"/>
                <w:bCs/>
                <w:kern w:val="0"/>
                <w:sz w:val="21"/>
                <w:szCs w:val="21"/>
              </w:rPr>
            </w:pPr>
          </w:p>
        </w:tc>
      </w:tr>
      <w:tr w14:paraId="7A0E28A9">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11D2245C">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45C9A5CD">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63EA9525">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396886F5">
            <w:pPr>
              <w:adjustRightInd w:val="0"/>
              <w:snapToGrid w:val="0"/>
              <w:jc w:val="center"/>
              <w:rPr>
                <w:rFonts w:ascii="Arial" w:hAnsi="Arial" w:eastAsia="宋体" w:cs="Arial"/>
                <w:bCs/>
                <w:kern w:val="0"/>
                <w:sz w:val="21"/>
                <w:szCs w:val="21"/>
              </w:rPr>
            </w:pPr>
          </w:p>
        </w:tc>
      </w:tr>
      <w:tr w14:paraId="31DE0726">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0C3ADC6D">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4926ECFB">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755E398A">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3AD2539A">
            <w:pPr>
              <w:adjustRightInd w:val="0"/>
              <w:snapToGrid w:val="0"/>
              <w:jc w:val="center"/>
              <w:rPr>
                <w:rFonts w:ascii="Arial" w:hAnsi="Arial" w:eastAsia="宋体" w:cs="Arial"/>
                <w:bCs/>
                <w:kern w:val="0"/>
                <w:sz w:val="21"/>
                <w:szCs w:val="21"/>
              </w:rPr>
            </w:pPr>
          </w:p>
        </w:tc>
      </w:tr>
      <w:tr w14:paraId="5028FDDB">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2DC50C3B">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7B72FB96">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052AA6A0">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504708CA">
            <w:pPr>
              <w:adjustRightInd w:val="0"/>
              <w:snapToGrid w:val="0"/>
              <w:jc w:val="center"/>
              <w:rPr>
                <w:rFonts w:ascii="Arial" w:hAnsi="Arial" w:eastAsia="宋体" w:cs="Arial"/>
                <w:bCs/>
                <w:kern w:val="0"/>
                <w:sz w:val="21"/>
                <w:szCs w:val="21"/>
              </w:rPr>
            </w:pPr>
          </w:p>
        </w:tc>
      </w:tr>
      <w:tr w14:paraId="3C74D59F">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4F9F978B">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3885994C">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7856BE5D">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32D1FA1C">
            <w:pPr>
              <w:adjustRightInd w:val="0"/>
              <w:snapToGrid w:val="0"/>
              <w:jc w:val="center"/>
              <w:rPr>
                <w:rFonts w:ascii="Arial" w:hAnsi="Arial" w:eastAsia="宋体" w:cs="Arial"/>
                <w:bCs/>
                <w:kern w:val="0"/>
                <w:sz w:val="21"/>
                <w:szCs w:val="21"/>
              </w:rPr>
            </w:pPr>
          </w:p>
        </w:tc>
      </w:tr>
      <w:tr w14:paraId="24E46C44">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6933F93E">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09EDC07B">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00FDD2F4">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24928AD2">
            <w:pPr>
              <w:adjustRightInd w:val="0"/>
              <w:snapToGrid w:val="0"/>
              <w:jc w:val="center"/>
              <w:rPr>
                <w:rFonts w:ascii="Arial" w:hAnsi="Arial" w:eastAsia="宋体" w:cs="Arial"/>
                <w:bCs/>
                <w:kern w:val="0"/>
                <w:sz w:val="21"/>
                <w:szCs w:val="21"/>
              </w:rPr>
            </w:pPr>
          </w:p>
        </w:tc>
      </w:tr>
      <w:tr w14:paraId="29EE3094">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6A1A20BD">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0766E56B">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117BE123">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5878B615">
            <w:pPr>
              <w:adjustRightInd w:val="0"/>
              <w:snapToGrid w:val="0"/>
              <w:jc w:val="center"/>
              <w:rPr>
                <w:rFonts w:ascii="Arial" w:hAnsi="Arial" w:eastAsia="宋体" w:cs="Arial"/>
                <w:bCs/>
                <w:kern w:val="0"/>
                <w:sz w:val="21"/>
                <w:szCs w:val="21"/>
              </w:rPr>
            </w:pPr>
          </w:p>
        </w:tc>
      </w:tr>
      <w:tr w14:paraId="29DE023E">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31CA554A">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3A36C236">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61C572A6">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6ECC2CC2">
            <w:pPr>
              <w:adjustRightInd w:val="0"/>
              <w:snapToGrid w:val="0"/>
              <w:jc w:val="center"/>
              <w:rPr>
                <w:rFonts w:ascii="Arial" w:hAnsi="Arial" w:eastAsia="宋体" w:cs="Arial"/>
                <w:bCs/>
                <w:kern w:val="0"/>
                <w:sz w:val="21"/>
                <w:szCs w:val="21"/>
              </w:rPr>
            </w:pPr>
          </w:p>
        </w:tc>
      </w:tr>
      <w:tr w14:paraId="6F4FA8DC">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4508D06D">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7E30BF82">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2F2FDD3B">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5A46F5C7">
            <w:pPr>
              <w:adjustRightInd w:val="0"/>
              <w:snapToGrid w:val="0"/>
              <w:jc w:val="center"/>
              <w:rPr>
                <w:rFonts w:ascii="Arial" w:hAnsi="Arial" w:eastAsia="宋体" w:cs="Arial"/>
                <w:bCs/>
                <w:kern w:val="0"/>
                <w:sz w:val="21"/>
                <w:szCs w:val="21"/>
              </w:rPr>
            </w:pPr>
          </w:p>
        </w:tc>
      </w:tr>
      <w:tr w14:paraId="20E7A005">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5E0DEA65">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56E602E0">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51093194">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68BFCB50">
            <w:pPr>
              <w:adjustRightInd w:val="0"/>
              <w:snapToGrid w:val="0"/>
              <w:jc w:val="center"/>
              <w:rPr>
                <w:rFonts w:ascii="Arial" w:hAnsi="Arial" w:eastAsia="宋体" w:cs="Arial"/>
                <w:bCs/>
                <w:kern w:val="0"/>
                <w:sz w:val="21"/>
                <w:szCs w:val="21"/>
              </w:rPr>
            </w:pPr>
          </w:p>
        </w:tc>
      </w:tr>
      <w:tr w14:paraId="1DC6A83B">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70F29F21">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26CFA17C">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0672EC7D">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01E7341B">
            <w:pPr>
              <w:adjustRightInd w:val="0"/>
              <w:snapToGrid w:val="0"/>
              <w:jc w:val="center"/>
              <w:rPr>
                <w:rFonts w:ascii="Arial" w:hAnsi="Arial" w:eastAsia="宋体" w:cs="Arial"/>
                <w:bCs/>
                <w:kern w:val="0"/>
                <w:sz w:val="21"/>
                <w:szCs w:val="21"/>
              </w:rPr>
            </w:pPr>
          </w:p>
        </w:tc>
      </w:tr>
      <w:tr w14:paraId="71AA29A9">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6930B0A8">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0BF609FB">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78E999B4">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34BA7F15">
            <w:pPr>
              <w:adjustRightInd w:val="0"/>
              <w:snapToGrid w:val="0"/>
              <w:jc w:val="center"/>
              <w:rPr>
                <w:rFonts w:ascii="Arial" w:hAnsi="Arial" w:eastAsia="宋体" w:cs="Arial"/>
                <w:bCs/>
                <w:kern w:val="0"/>
                <w:sz w:val="21"/>
                <w:szCs w:val="21"/>
              </w:rPr>
            </w:pPr>
          </w:p>
        </w:tc>
      </w:tr>
      <w:tr w14:paraId="1BAFB586">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280D1ADA">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19CBEAC0">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3EF97B27">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03F651E0">
            <w:pPr>
              <w:adjustRightInd w:val="0"/>
              <w:snapToGrid w:val="0"/>
              <w:jc w:val="center"/>
              <w:rPr>
                <w:rFonts w:ascii="Arial" w:hAnsi="Arial" w:eastAsia="宋体" w:cs="Arial"/>
                <w:bCs/>
                <w:kern w:val="0"/>
                <w:sz w:val="21"/>
                <w:szCs w:val="21"/>
              </w:rPr>
            </w:pPr>
          </w:p>
        </w:tc>
      </w:tr>
      <w:tr w14:paraId="1D5E823E">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3ED3A388">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583567AE">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13D75ECC">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485C70C1">
            <w:pPr>
              <w:adjustRightInd w:val="0"/>
              <w:snapToGrid w:val="0"/>
              <w:jc w:val="center"/>
              <w:rPr>
                <w:rFonts w:ascii="Arial" w:hAnsi="Arial" w:eastAsia="宋体" w:cs="Arial"/>
                <w:bCs/>
                <w:kern w:val="0"/>
                <w:sz w:val="21"/>
                <w:szCs w:val="21"/>
              </w:rPr>
            </w:pPr>
          </w:p>
        </w:tc>
      </w:tr>
      <w:tr w14:paraId="6DC934A0">
        <w:tblPrEx>
          <w:tblCellMar>
            <w:top w:w="0" w:type="dxa"/>
            <w:left w:w="0" w:type="dxa"/>
            <w:bottom w:w="0" w:type="dxa"/>
            <w:right w:w="0" w:type="dxa"/>
          </w:tblCellMar>
        </w:tblPrEx>
        <w:trPr>
          <w:trHeight w:val="340" w:hRule="atLeast"/>
        </w:trPr>
        <w:tc>
          <w:tcPr>
            <w:tcW w:w="1641" w:type="pct"/>
            <w:tcBorders>
              <w:top w:val="single" w:color="000000" w:sz="2" w:space="0"/>
              <w:left w:val="single" w:color="000000" w:sz="2" w:space="0"/>
              <w:bottom w:val="single" w:color="000000" w:sz="2" w:space="0"/>
              <w:right w:val="single" w:color="000000" w:sz="2" w:space="0"/>
            </w:tcBorders>
            <w:vAlign w:val="center"/>
          </w:tcPr>
          <w:p w14:paraId="4DB74E1A">
            <w:pPr>
              <w:adjustRightInd w:val="0"/>
              <w:snapToGrid w:val="0"/>
              <w:jc w:val="center"/>
              <w:rPr>
                <w:rFonts w:ascii="Arial" w:hAnsi="Arial" w:eastAsia="宋体" w:cs="Arial"/>
                <w:bCs/>
                <w:kern w:val="0"/>
                <w:sz w:val="21"/>
                <w:szCs w:val="21"/>
              </w:rPr>
            </w:pPr>
          </w:p>
        </w:tc>
        <w:tc>
          <w:tcPr>
            <w:tcW w:w="982" w:type="pct"/>
            <w:tcBorders>
              <w:top w:val="single" w:color="000000" w:sz="2" w:space="0"/>
              <w:left w:val="single" w:color="000000" w:sz="2" w:space="0"/>
              <w:bottom w:val="single" w:color="000000" w:sz="2" w:space="0"/>
              <w:right w:val="single" w:color="000000" w:sz="2" w:space="0"/>
            </w:tcBorders>
            <w:vAlign w:val="center"/>
          </w:tcPr>
          <w:p w14:paraId="0C3C2386">
            <w:pPr>
              <w:adjustRightInd w:val="0"/>
              <w:snapToGrid w:val="0"/>
              <w:jc w:val="center"/>
              <w:rPr>
                <w:rFonts w:ascii="Arial" w:hAnsi="Arial" w:eastAsia="宋体" w:cs="Arial"/>
                <w:bCs/>
                <w:kern w:val="0"/>
                <w:sz w:val="21"/>
                <w:szCs w:val="21"/>
              </w:rPr>
            </w:pPr>
          </w:p>
        </w:tc>
        <w:tc>
          <w:tcPr>
            <w:tcW w:w="981" w:type="pct"/>
            <w:tcBorders>
              <w:top w:val="single" w:color="000000" w:sz="2" w:space="0"/>
              <w:left w:val="single" w:color="000000" w:sz="2" w:space="0"/>
              <w:bottom w:val="single" w:color="000000" w:sz="2" w:space="0"/>
              <w:right w:val="single" w:color="000000" w:sz="2" w:space="0"/>
            </w:tcBorders>
            <w:vAlign w:val="center"/>
          </w:tcPr>
          <w:p w14:paraId="7A2B8A9E">
            <w:pPr>
              <w:adjustRightInd w:val="0"/>
              <w:snapToGrid w:val="0"/>
              <w:jc w:val="center"/>
              <w:rPr>
                <w:rFonts w:ascii="Arial" w:hAnsi="Arial" w:eastAsia="宋体" w:cs="Arial"/>
                <w:bCs/>
                <w:kern w:val="0"/>
                <w:sz w:val="21"/>
                <w:szCs w:val="21"/>
              </w:rPr>
            </w:pPr>
          </w:p>
        </w:tc>
        <w:tc>
          <w:tcPr>
            <w:tcW w:w="1396" w:type="pct"/>
            <w:tcBorders>
              <w:top w:val="single" w:color="000000" w:sz="2" w:space="0"/>
              <w:left w:val="single" w:color="000000" w:sz="2" w:space="0"/>
              <w:bottom w:val="single" w:color="000000" w:sz="2" w:space="0"/>
              <w:right w:val="single" w:color="000000" w:sz="2" w:space="0"/>
            </w:tcBorders>
            <w:vAlign w:val="center"/>
          </w:tcPr>
          <w:p w14:paraId="7371BF6A">
            <w:pPr>
              <w:adjustRightInd w:val="0"/>
              <w:snapToGrid w:val="0"/>
              <w:jc w:val="center"/>
              <w:rPr>
                <w:rFonts w:ascii="Arial" w:hAnsi="Arial" w:eastAsia="宋体" w:cs="Arial"/>
                <w:bCs/>
                <w:kern w:val="0"/>
                <w:sz w:val="21"/>
                <w:szCs w:val="21"/>
              </w:rPr>
            </w:pPr>
          </w:p>
        </w:tc>
      </w:tr>
    </w:tbl>
    <w:p w14:paraId="5AF4C659">
      <w:pPr>
        <w:spacing w:line="500" w:lineRule="exact"/>
        <w:ind w:firstLine="490" w:firstLineChars="200"/>
        <w:rPr>
          <w:rFonts w:ascii="Arial" w:hAnsi="Arial" w:eastAsia="宋体" w:cs="Arial"/>
          <w:b/>
          <w:spacing w:val="10"/>
          <w:sz w:val="24"/>
        </w:rPr>
      </w:pPr>
      <w:r>
        <w:rPr>
          <w:rFonts w:hint="eastAsia" w:ascii="Arial" w:hAnsi="Arial" w:eastAsia="宋体" w:cs="Arial"/>
          <w:spacing w:val="10"/>
          <w:sz w:val="24"/>
        </w:rPr>
        <w:t>根据表3-9，海水监测点位pH值和无机氮能满足《海水水质标准》（GB3097-1997）三类标准限值要求，BOD</w:t>
      </w:r>
      <w:r>
        <w:rPr>
          <w:rFonts w:hint="eastAsia" w:ascii="Arial" w:hAnsi="Arial" w:eastAsia="宋体" w:cs="Arial"/>
          <w:spacing w:val="10"/>
          <w:sz w:val="24"/>
          <w:vertAlign w:val="subscript"/>
        </w:rPr>
        <w:t>5</w:t>
      </w:r>
      <w:r>
        <w:rPr>
          <w:rFonts w:hint="eastAsia" w:ascii="Arial" w:hAnsi="Arial" w:eastAsia="宋体" w:cs="Arial"/>
          <w:spacing w:val="10"/>
          <w:sz w:val="24"/>
        </w:rPr>
        <w:t>能满足《海水水质标准》（GB3097-1997）二类标准限值要求，其余监测因子可满足《海水水质标准》（GB3097-1997）一类标准限值要求。</w:t>
      </w:r>
    </w:p>
    <w:p w14:paraId="7B6A37A5">
      <w:pPr>
        <w:numPr>
          <w:ilvl w:val="2"/>
          <w:numId w:val="17"/>
        </w:numPr>
        <w:spacing w:line="500" w:lineRule="exact"/>
        <w:ind w:left="564" w:leftChars="213" w:firstLine="0"/>
        <w:outlineLvl w:val="2"/>
        <w:rPr>
          <w:rFonts w:ascii="Arial" w:hAnsi="Arial" w:eastAsia="宋体" w:cs="Arial"/>
          <w:b/>
          <w:spacing w:val="10"/>
          <w:sz w:val="24"/>
        </w:rPr>
      </w:pPr>
      <w:r>
        <w:rPr>
          <w:rFonts w:ascii="Arial" w:hAnsi="Arial" w:eastAsia="宋体" w:cs="Arial"/>
          <w:b/>
          <w:spacing w:val="10"/>
          <w:sz w:val="24"/>
        </w:rPr>
        <w:t>地下水环境质量现状调查与评价</w:t>
      </w:r>
    </w:p>
    <w:p w14:paraId="34E5A3B0">
      <w:pPr>
        <w:spacing w:line="500" w:lineRule="exact"/>
        <w:jc w:val="left"/>
        <w:outlineLvl w:val="3"/>
        <w:rPr>
          <w:rFonts w:ascii="Arial" w:hAnsi="Arial" w:eastAsia="宋体" w:cs="Arial"/>
          <w:b/>
          <w:spacing w:val="10"/>
          <w:sz w:val="24"/>
        </w:rPr>
      </w:pPr>
      <w:r>
        <w:rPr>
          <w:rFonts w:ascii="Arial" w:hAnsi="Arial" w:eastAsia="宋体" w:cs="Arial"/>
          <w:b/>
          <w:spacing w:val="10"/>
          <w:sz w:val="24"/>
        </w:rPr>
        <w:t>3.2.3.1 场地包气带污染现状调查</w:t>
      </w:r>
    </w:p>
    <w:p w14:paraId="68C55C65">
      <w:pPr>
        <w:spacing w:line="500" w:lineRule="exact"/>
        <w:ind w:firstLine="490" w:firstLineChars="200"/>
        <w:rPr>
          <w:rFonts w:ascii="Arial" w:hAnsi="Arial" w:eastAsia="宋体" w:cs="Arial"/>
          <w:spacing w:val="10"/>
          <w:sz w:val="24"/>
        </w:rPr>
      </w:pPr>
      <w:r>
        <w:rPr>
          <w:rFonts w:ascii="Arial" w:hAnsi="Arial" w:eastAsia="宋体" w:cs="Arial"/>
          <w:spacing w:val="10"/>
          <w:sz w:val="24"/>
        </w:rPr>
        <w:t>引用广西恒沁检测科技有限公司于2022年5月19日对已建污水处理站旁土壤包气带进行采样分析。</w:t>
      </w:r>
    </w:p>
    <w:p w14:paraId="76767723">
      <w:pPr>
        <w:spacing w:line="500" w:lineRule="exact"/>
        <w:ind w:firstLine="490" w:firstLineChars="200"/>
        <w:rPr>
          <w:rFonts w:ascii="Arial" w:hAnsi="Arial" w:eastAsia="宋体" w:cs="Arial"/>
          <w:spacing w:val="10"/>
          <w:sz w:val="24"/>
        </w:rPr>
      </w:pPr>
      <w:r>
        <w:rPr>
          <w:rFonts w:ascii="Arial" w:hAnsi="Arial" w:eastAsia="宋体" w:cs="Arial"/>
          <w:spacing w:val="10"/>
          <w:sz w:val="24"/>
        </w:rPr>
        <w:t>1、监测点布设：已建污水处理站旁（108.668375°，21.706434°）；</w:t>
      </w:r>
    </w:p>
    <w:p w14:paraId="39C581DC">
      <w:pPr>
        <w:spacing w:line="500" w:lineRule="exact"/>
        <w:ind w:firstLine="490" w:firstLineChars="200"/>
        <w:rPr>
          <w:rFonts w:ascii="Arial" w:hAnsi="Arial" w:eastAsia="宋体" w:cs="Arial"/>
          <w:bCs/>
          <w:spacing w:val="10"/>
          <w:sz w:val="24"/>
        </w:rPr>
      </w:pPr>
      <w:r>
        <w:rPr>
          <w:rFonts w:ascii="Arial" w:hAnsi="Arial" w:eastAsia="宋体" w:cs="Arial"/>
          <w:spacing w:val="10"/>
          <w:sz w:val="24"/>
        </w:rPr>
        <w:t>2、监测因子：</w:t>
      </w:r>
      <w:r>
        <w:rPr>
          <w:rFonts w:ascii="Arial" w:hAnsi="Arial" w:eastAsia="宋体" w:cs="Arial"/>
          <w:bCs/>
          <w:spacing w:val="10"/>
          <w:sz w:val="24"/>
        </w:rPr>
        <w:t>汞、镍、钴、砷、六价铬、铅、镉、氟化物；</w:t>
      </w:r>
    </w:p>
    <w:p w14:paraId="6913B068">
      <w:pPr>
        <w:spacing w:line="500" w:lineRule="exact"/>
        <w:ind w:firstLine="490" w:firstLineChars="200"/>
        <w:rPr>
          <w:rFonts w:ascii="Arial" w:hAnsi="Arial" w:eastAsia="宋体" w:cs="Arial"/>
          <w:spacing w:val="10"/>
          <w:sz w:val="24"/>
        </w:rPr>
      </w:pPr>
      <w:r>
        <w:rPr>
          <w:rFonts w:ascii="Arial" w:hAnsi="Arial" w:eastAsia="宋体" w:cs="Arial"/>
          <w:bCs/>
          <w:spacing w:val="10"/>
          <w:sz w:val="24"/>
        </w:rPr>
        <w:t>3、采样深度：0~0.2m；</w:t>
      </w:r>
    </w:p>
    <w:p w14:paraId="33637DAB">
      <w:pPr>
        <w:spacing w:line="500" w:lineRule="exact"/>
        <w:ind w:firstLine="490" w:firstLineChars="200"/>
        <w:rPr>
          <w:rFonts w:ascii="Arial" w:hAnsi="Arial" w:eastAsia="宋体" w:cs="Arial"/>
          <w:spacing w:val="10"/>
          <w:sz w:val="24"/>
        </w:rPr>
      </w:pPr>
      <w:r>
        <w:rPr>
          <w:rFonts w:ascii="Arial" w:hAnsi="Arial" w:eastAsia="宋体" w:cs="Arial"/>
          <w:spacing w:val="10"/>
          <w:sz w:val="24"/>
        </w:rPr>
        <w:t>4、监测时间：2022年5月19日，监测1天，采样一次；</w:t>
      </w:r>
    </w:p>
    <w:p w14:paraId="0AD8D494">
      <w:pPr>
        <w:spacing w:line="500" w:lineRule="exact"/>
        <w:ind w:firstLine="490" w:firstLineChars="200"/>
        <w:rPr>
          <w:rFonts w:ascii="Arial" w:hAnsi="Arial" w:eastAsia="宋体" w:cs="Arial"/>
          <w:spacing w:val="10"/>
          <w:sz w:val="24"/>
        </w:rPr>
      </w:pPr>
      <w:r>
        <w:rPr>
          <w:rFonts w:ascii="Arial" w:hAnsi="Arial" w:eastAsia="宋体" w:cs="Arial"/>
          <w:spacing w:val="10"/>
          <w:sz w:val="24"/>
        </w:rPr>
        <w:t>5、监测结果：监测结果见表3-</w:t>
      </w:r>
      <w:r>
        <w:rPr>
          <w:rFonts w:hint="eastAsia" w:ascii="Arial" w:hAnsi="Arial" w:eastAsia="宋体" w:cs="Arial"/>
          <w:spacing w:val="10"/>
          <w:sz w:val="24"/>
        </w:rPr>
        <w:t>10</w:t>
      </w:r>
      <w:r>
        <w:rPr>
          <w:rFonts w:ascii="Arial" w:hAnsi="Arial" w:eastAsia="宋体" w:cs="Arial"/>
          <w:spacing w:val="10"/>
          <w:sz w:val="24"/>
        </w:rPr>
        <w:t>。</w:t>
      </w:r>
    </w:p>
    <w:p w14:paraId="3B5FE1DF">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厂区包气带污染现状监测结果 单位：mg/L</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96"/>
        <w:gridCol w:w="4497"/>
      </w:tblGrid>
      <w:tr w14:paraId="2FD50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6868F303">
            <w:pPr>
              <w:adjustRightInd w:val="0"/>
              <w:snapToGrid w:val="0"/>
              <w:jc w:val="center"/>
              <w:rPr>
                <w:rFonts w:ascii="Arial" w:hAnsi="Arial" w:eastAsia="宋体" w:cs="Arial"/>
                <w:sz w:val="21"/>
              </w:rPr>
            </w:pPr>
          </w:p>
        </w:tc>
        <w:tc>
          <w:tcPr>
            <w:tcW w:w="2500" w:type="pct"/>
            <w:vAlign w:val="center"/>
          </w:tcPr>
          <w:p w14:paraId="1D3FB37A">
            <w:pPr>
              <w:adjustRightInd w:val="0"/>
              <w:snapToGrid w:val="0"/>
              <w:jc w:val="center"/>
              <w:rPr>
                <w:rFonts w:ascii="Arial" w:hAnsi="Arial" w:eastAsia="宋体" w:cs="Arial"/>
                <w:sz w:val="21"/>
              </w:rPr>
            </w:pPr>
          </w:p>
        </w:tc>
      </w:tr>
      <w:tr w14:paraId="41030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1B548CB6">
            <w:pPr>
              <w:adjustRightInd w:val="0"/>
              <w:snapToGrid w:val="0"/>
              <w:jc w:val="center"/>
              <w:rPr>
                <w:rFonts w:ascii="Arial" w:hAnsi="Arial" w:eastAsia="宋体" w:cs="Arial"/>
                <w:sz w:val="21"/>
                <w:szCs w:val="21"/>
              </w:rPr>
            </w:pPr>
          </w:p>
        </w:tc>
        <w:tc>
          <w:tcPr>
            <w:tcW w:w="2500" w:type="pct"/>
            <w:vAlign w:val="center"/>
          </w:tcPr>
          <w:p w14:paraId="15A6F49E">
            <w:pPr>
              <w:adjustRightInd w:val="0"/>
              <w:snapToGrid w:val="0"/>
              <w:jc w:val="center"/>
              <w:rPr>
                <w:rFonts w:ascii="Arial" w:hAnsi="Arial" w:eastAsia="宋体" w:cs="Arial"/>
                <w:sz w:val="21"/>
                <w:szCs w:val="21"/>
              </w:rPr>
            </w:pPr>
          </w:p>
        </w:tc>
      </w:tr>
      <w:tr w14:paraId="64952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2BCAB7F4">
            <w:pPr>
              <w:adjustRightInd w:val="0"/>
              <w:snapToGrid w:val="0"/>
              <w:jc w:val="center"/>
              <w:rPr>
                <w:rFonts w:ascii="Arial" w:hAnsi="Arial" w:eastAsia="宋体" w:cs="Arial"/>
                <w:sz w:val="21"/>
                <w:szCs w:val="21"/>
              </w:rPr>
            </w:pPr>
          </w:p>
        </w:tc>
        <w:tc>
          <w:tcPr>
            <w:tcW w:w="2500" w:type="pct"/>
            <w:vAlign w:val="center"/>
          </w:tcPr>
          <w:p w14:paraId="1AFFDB84">
            <w:pPr>
              <w:adjustRightInd w:val="0"/>
              <w:snapToGrid w:val="0"/>
              <w:jc w:val="center"/>
              <w:rPr>
                <w:rFonts w:ascii="Arial" w:hAnsi="Arial" w:eastAsia="宋体" w:cs="Arial"/>
                <w:sz w:val="21"/>
                <w:szCs w:val="21"/>
              </w:rPr>
            </w:pPr>
          </w:p>
        </w:tc>
      </w:tr>
      <w:tr w14:paraId="23E34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485B85FD">
            <w:pPr>
              <w:adjustRightInd w:val="0"/>
              <w:snapToGrid w:val="0"/>
              <w:jc w:val="center"/>
              <w:rPr>
                <w:rFonts w:ascii="Arial" w:hAnsi="Arial" w:eastAsia="宋体" w:cs="Arial"/>
                <w:sz w:val="21"/>
                <w:szCs w:val="21"/>
              </w:rPr>
            </w:pPr>
          </w:p>
        </w:tc>
        <w:tc>
          <w:tcPr>
            <w:tcW w:w="2500" w:type="pct"/>
            <w:vAlign w:val="center"/>
          </w:tcPr>
          <w:p w14:paraId="7A302408">
            <w:pPr>
              <w:adjustRightInd w:val="0"/>
              <w:snapToGrid w:val="0"/>
              <w:jc w:val="center"/>
              <w:rPr>
                <w:rFonts w:ascii="Arial" w:hAnsi="Arial" w:eastAsia="宋体" w:cs="Arial"/>
                <w:sz w:val="21"/>
                <w:szCs w:val="21"/>
              </w:rPr>
            </w:pPr>
          </w:p>
        </w:tc>
      </w:tr>
      <w:tr w14:paraId="56A6F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6042F978">
            <w:pPr>
              <w:adjustRightInd w:val="0"/>
              <w:snapToGrid w:val="0"/>
              <w:jc w:val="center"/>
              <w:rPr>
                <w:rFonts w:ascii="Arial" w:hAnsi="Arial" w:eastAsia="宋体" w:cs="Arial"/>
                <w:sz w:val="21"/>
                <w:szCs w:val="21"/>
              </w:rPr>
            </w:pPr>
          </w:p>
        </w:tc>
        <w:tc>
          <w:tcPr>
            <w:tcW w:w="2500" w:type="pct"/>
            <w:vAlign w:val="center"/>
          </w:tcPr>
          <w:p w14:paraId="04694C76">
            <w:pPr>
              <w:adjustRightInd w:val="0"/>
              <w:snapToGrid w:val="0"/>
              <w:jc w:val="center"/>
              <w:rPr>
                <w:rFonts w:ascii="Arial" w:hAnsi="Arial" w:eastAsia="宋体" w:cs="Arial"/>
                <w:sz w:val="21"/>
                <w:szCs w:val="21"/>
              </w:rPr>
            </w:pPr>
          </w:p>
        </w:tc>
      </w:tr>
      <w:tr w14:paraId="37937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5DB21C13">
            <w:pPr>
              <w:adjustRightInd w:val="0"/>
              <w:snapToGrid w:val="0"/>
              <w:jc w:val="center"/>
              <w:rPr>
                <w:rFonts w:ascii="Arial" w:hAnsi="Arial" w:eastAsia="宋体" w:cs="Arial"/>
                <w:sz w:val="21"/>
                <w:szCs w:val="21"/>
              </w:rPr>
            </w:pPr>
          </w:p>
        </w:tc>
        <w:tc>
          <w:tcPr>
            <w:tcW w:w="2500" w:type="pct"/>
            <w:vAlign w:val="center"/>
          </w:tcPr>
          <w:p w14:paraId="14EBDD3F">
            <w:pPr>
              <w:adjustRightInd w:val="0"/>
              <w:snapToGrid w:val="0"/>
              <w:jc w:val="center"/>
              <w:rPr>
                <w:rFonts w:ascii="Arial" w:hAnsi="Arial" w:eastAsia="宋体" w:cs="Arial"/>
                <w:sz w:val="21"/>
                <w:szCs w:val="21"/>
              </w:rPr>
            </w:pPr>
          </w:p>
        </w:tc>
      </w:tr>
      <w:tr w14:paraId="1DB2C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2EBA703E">
            <w:pPr>
              <w:adjustRightInd w:val="0"/>
              <w:snapToGrid w:val="0"/>
              <w:jc w:val="center"/>
              <w:rPr>
                <w:rFonts w:ascii="Arial" w:hAnsi="Arial" w:eastAsia="宋体" w:cs="Arial"/>
                <w:sz w:val="21"/>
                <w:szCs w:val="21"/>
              </w:rPr>
            </w:pPr>
          </w:p>
        </w:tc>
        <w:tc>
          <w:tcPr>
            <w:tcW w:w="2500" w:type="pct"/>
            <w:vAlign w:val="center"/>
          </w:tcPr>
          <w:p w14:paraId="4170C142">
            <w:pPr>
              <w:adjustRightInd w:val="0"/>
              <w:snapToGrid w:val="0"/>
              <w:jc w:val="center"/>
              <w:rPr>
                <w:rFonts w:ascii="Arial" w:hAnsi="Arial" w:eastAsia="宋体" w:cs="Arial"/>
                <w:sz w:val="21"/>
                <w:szCs w:val="21"/>
              </w:rPr>
            </w:pPr>
          </w:p>
        </w:tc>
      </w:tr>
      <w:tr w14:paraId="4ACC9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6E7378C6">
            <w:pPr>
              <w:adjustRightInd w:val="0"/>
              <w:snapToGrid w:val="0"/>
              <w:jc w:val="center"/>
              <w:rPr>
                <w:rFonts w:ascii="Arial" w:hAnsi="Arial" w:eastAsia="宋体" w:cs="Arial"/>
                <w:sz w:val="21"/>
                <w:szCs w:val="21"/>
              </w:rPr>
            </w:pPr>
          </w:p>
        </w:tc>
        <w:tc>
          <w:tcPr>
            <w:tcW w:w="2500" w:type="pct"/>
            <w:vAlign w:val="center"/>
          </w:tcPr>
          <w:p w14:paraId="5EED25B6">
            <w:pPr>
              <w:adjustRightInd w:val="0"/>
              <w:snapToGrid w:val="0"/>
              <w:jc w:val="center"/>
              <w:rPr>
                <w:rFonts w:ascii="Arial" w:hAnsi="Arial" w:eastAsia="宋体" w:cs="Arial"/>
                <w:sz w:val="21"/>
                <w:szCs w:val="21"/>
              </w:rPr>
            </w:pPr>
          </w:p>
        </w:tc>
      </w:tr>
      <w:tr w14:paraId="5BE95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252115D5">
            <w:pPr>
              <w:adjustRightInd w:val="0"/>
              <w:snapToGrid w:val="0"/>
              <w:jc w:val="center"/>
              <w:rPr>
                <w:rFonts w:ascii="Arial" w:hAnsi="Arial" w:eastAsia="宋体" w:cs="Arial"/>
                <w:sz w:val="21"/>
                <w:szCs w:val="21"/>
              </w:rPr>
            </w:pPr>
          </w:p>
        </w:tc>
        <w:tc>
          <w:tcPr>
            <w:tcW w:w="2500" w:type="pct"/>
            <w:vAlign w:val="center"/>
          </w:tcPr>
          <w:p w14:paraId="014F57D6">
            <w:pPr>
              <w:adjustRightInd w:val="0"/>
              <w:snapToGrid w:val="0"/>
              <w:jc w:val="center"/>
              <w:rPr>
                <w:rFonts w:ascii="Arial" w:hAnsi="Arial" w:eastAsia="宋体" w:cs="Arial"/>
                <w:sz w:val="21"/>
                <w:szCs w:val="21"/>
              </w:rPr>
            </w:pPr>
          </w:p>
        </w:tc>
      </w:tr>
    </w:tbl>
    <w:p w14:paraId="229BBBD7">
      <w:pPr>
        <w:spacing w:line="500" w:lineRule="exact"/>
        <w:jc w:val="left"/>
        <w:outlineLvl w:val="3"/>
        <w:rPr>
          <w:rFonts w:ascii="Arial" w:hAnsi="Arial" w:eastAsia="宋体" w:cs="Arial"/>
          <w:b/>
          <w:spacing w:val="10"/>
          <w:sz w:val="24"/>
        </w:rPr>
      </w:pPr>
      <w:r>
        <w:rPr>
          <w:rFonts w:ascii="Arial" w:hAnsi="Arial" w:eastAsia="宋体" w:cs="Arial"/>
          <w:b/>
          <w:spacing w:val="10"/>
          <w:sz w:val="24"/>
        </w:rPr>
        <w:t>3.2.3.2 地下水开发现状</w:t>
      </w:r>
    </w:p>
    <w:p w14:paraId="4B81DF3A">
      <w:pPr>
        <w:spacing w:line="500" w:lineRule="exact"/>
        <w:ind w:firstLine="490" w:firstLineChars="200"/>
        <w:rPr>
          <w:rFonts w:ascii="Arial" w:hAnsi="Arial" w:eastAsia="宋体" w:cs="Arial"/>
          <w:spacing w:val="10"/>
          <w:sz w:val="24"/>
        </w:rPr>
      </w:pPr>
      <w:r>
        <w:rPr>
          <w:rFonts w:ascii="Arial" w:hAnsi="Arial" w:eastAsia="宋体" w:cs="Arial"/>
          <w:spacing w:val="10"/>
          <w:sz w:val="24"/>
        </w:rPr>
        <w:t>据调查，厂区周边除分布了硫磺山村、鸡墩头村、过路山村等村庄外，主要是金桂浆纸业、格派电池、力顺公司、大榄坪污水处理厂、祥龙物流、中石油库区、北部湾国际云仓等企业单位。区域用水水源为钦州港自来水厂及钦州港第二水厂，不涉及地下水开采。</w:t>
      </w:r>
    </w:p>
    <w:p w14:paraId="505D8FC8">
      <w:pPr>
        <w:spacing w:line="500" w:lineRule="exact"/>
        <w:jc w:val="left"/>
        <w:outlineLvl w:val="3"/>
        <w:rPr>
          <w:rFonts w:ascii="Arial" w:hAnsi="Arial" w:eastAsia="宋体" w:cs="Arial"/>
          <w:b/>
          <w:spacing w:val="10"/>
          <w:sz w:val="24"/>
        </w:rPr>
      </w:pPr>
      <w:r>
        <w:rPr>
          <w:rFonts w:ascii="Arial" w:hAnsi="Arial" w:eastAsia="宋体" w:cs="Arial"/>
          <w:b/>
          <w:spacing w:val="10"/>
          <w:sz w:val="24"/>
        </w:rPr>
        <w:t>3.2.3.3地下水敏感性调查</w:t>
      </w:r>
    </w:p>
    <w:p w14:paraId="3061D216">
      <w:pPr>
        <w:spacing w:line="500" w:lineRule="exact"/>
        <w:ind w:firstLine="490" w:firstLineChars="200"/>
        <w:rPr>
          <w:rFonts w:ascii="Arial" w:hAnsi="Arial" w:eastAsia="宋体" w:cs="Arial"/>
          <w:spacing w:val="10"/>
          <w:sz w:val="24"/>
        </w:rPr>
      </w:pPr>
      <w:r>
        <w:rPr>
          <w:rFonts w:ascii="Arial" w:hAnsi="Arial" w:eastAsia="宋体" w:cs="Arial"/>
          <w:spacing w:val="10"/>
          <w:sz w:val="24"/>
        </w:rPr>
        <w:t>厂区周边居民日常生活用水引自市政自来水生活给水管网，不涉及地下水开采，评价范围不涉及集中式饮用水水源、分散式饮用水水源、特殊地下水资源，厂区地下水下游向东南径流，排泄至鹿耳环江，不涉及其他补给径流区。因此，区域地下水敏感程度为不敏感。</w:t>
      </w:r>
    </w:p>
    <w:p w14:paraId="33C55515">
      <w:pPr>
        <w:spacing w:line="500" w:lineRule="exact"/>
        <w:jc w:val="left"/>
        <w:outlineLvl w:val="3"/>
        <w:rPr>
          <w:rFonts w:ascii="Arial" w:hAnsi="Arial" w:eastAsia="宋体" w:cs="Arial"/>
          <w:b/>
          <w:spacing w:val="10"/>
          <w:sz w:val="24"/>
        </w:rPr>
      </w:pPr>
      <w:r>
        <w:rPr>
          <w:rFonts w:ascii="Arial" w:hAnsi="Arial" w:eastAsia="宋体" w:cs="Arial"/>
          <w:b/>
          <w:spacing w:val="10"/>
          <w:sz w:val="24"/>
        </w:rPr>
        <w:t>3.2.3.4 地下水环境质量</w:t>
      </w:r>
    </w:p>
    <w:p w14:paraId="345DDE39">
      <w:pPr>
        <w:spacing w:line="500" w:lineRule="exact"/>
        <w:ind w:firstLine="490" w:firstLineChars="200"/>
        <w:rPr>
          <w:rFonts w:ascii="Arial" w:hAnsi="Arial" w:eastAsia="宋体" w:cs="Arial"/>
          <w:spacing w:val="10"/>
          <w:sz w:val="24"/>
        </w:rPr>
      </w:pPr>
      <w:r>
        <w:rPr>
          <w:rFonts w:ascii="Arial" w:hAnsi="Arial" w:eastAsia="宋体" w:cs="Arial"/>
          <w:spacing w:val="10"/>
          <w:sz w:val="24"/>
        </w:rPr>
        <w:t>1、地下水水位调查</w:t>
      </w:r>
    </w:p>
    <w:p w14:paraId="1022F126">
      <w:pPr>
        <w:spacing w:line="500" w:lineRule="exact"/>
        <w:ind w:firstLine="490" w:firstLineChars="200"/>
        <w:rPr>
          <w:rFonts w:ascii="Arial" w:hAnsi="Arial" w:eastAsia="宋体" w:cs="Arial"/>
          <w:spacing w:val="10"/>
          <w:sz w:val="24"/>
        </w:rPr>
      </w:pPr>
      <w:r>
        <w:rPr>
          <w:rFonts w:ascii="Arial" w:hAnsi="Arial" w:eastAsia="宋体" w:cs="Arial"/>
          <w:spacing w:val="10"/>
          <w:sz w:val="24"/>
        </w:rPr>
        <w:t>本次评价</w:t>
      </w:r>
      <w:r>
        <w:rPr>
          <w:rFonts w:hint="eastAsia" w:ascii="Arial" w:hAnsi="Arial" w:eastAsia="宋体" w:cs="Arial"/>
          <w:spacing w:val="10"/>
          <w:sz w:val="24"/>
        </w:rPr>
        <w:t>于</w:t>
      </w:r>
      <w:r>
        <w:rPr>
          <w:rFonts w:ascii="Arial" w:hAnsi="Arial" w:eastAsia="宋体" w:cs="Arial"/>
          <w:spacing w:val="10"/>
          <w:sz w:val="24"/>
        </w:rPr>
        <w:t>2022年5月9日</w:t>
      </w:r>
      <w:r>
        <w:rPr>
          <w:rFonts w:hint="eastAsia" w:ascii="Arial" w:hAnsi="Arial" w:eastAsia="宋体" w:cs="Arial"/>
          <w:spacing w:val="10"/>
          <w:sz w:val="24"/>
        </w:rPr>
        <w:t>对厂区内及周边</w:t>
      </w:r>
      <w:r>
        <w:rPr>
          <w:rFonts w:ascii="Arial" w:hAnsi="Arial" w:eastAsia="宋体" w:cs="Arial"/>
          <w:spacing w:val="10"/>
          <w:sz w:val="24"/>
        </w:rPr>
        <w:t>地下水水位调查，厂区位于</w:t>
      </w:r>
      <w:r>
        <w:rPr>
          <w:rFonts w:hint="eastAsia" w:ascii="Arial" w:hAnsi="Arial" w:eastAsia="宋体" w:cs="Arial"/>
          <w:spacing w:val="10"/>
          <w:sz w:val="24"/>
        </w:rPr>
        <w:t>属香炉墩水文地质单元。</w:t>
      </w:r>
      <w:r>
        <w:rPr>
          <w:rFonts w:ascii="Arial" w:hAnsi="Arial" w:eastAsia="宋体" w:cs="Arial"/>
          <w:spacing w:val="10"/>
          <w:sz w:val="24"/>
        </w:rPr>
        <w:t>地下水水位监测点位及水位调查结果见表3-</w:t>
      </w:r>
      <w:r>
        <w:rPr>
          <w:rFonts w:hint="eastAsia" w:ascii="Arial" w:hAnsi="Arial" w:eastAsia="宋体" w:cs="Arial"/>
          <w:spacing w:val="10"/>
          <w:sz w:val="24"/>
        </w:rPr>
        <w:t>11</w:t>
      </w:r>
      <w:r>
        <w:rPr>
          <w:rFonts w:ascii="Arial" w:hAnsi="Arial" w:eastAsia="宋体" w:cs="Arial"/>
          <w:spacing w:val="10"/>
          <w:sz w:val="24"/>
        </w:rPr>
        <w:t>。</w:t>
      </w:r>
    </w:p>
    <w:p w14:paraId="2789FA60">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地下水水位监测点位情况表</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601"/>
        <w:gridCol w:w="1649"/>
        <w:gridCol w:w="1817"/>
        <w:gridCol w:w="1320"/>
        <w:gridCol w:w="1606"/>
      </w:tblGrid>
      <w:tr w14:paraId="614BCF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1446" w:type="pct"/>
            <w:vMerge w:val="restart"/>
            <w:vAlign w:val="center"/>
          </w:tcPr>
          <w:p w14:paraId="7356F7DC">
            <w:pPr>
              <w:adjustRightInd w:val="0"/>
              <w:snapToGrid w:val="0"/>
              <w:jc w:val="center"/>
              <w:rPr>
                <w:rFonts w:ascii="Arial" w:hAnsi="Arial" w:eastAsia="宋体" w:cs="Arial"/>
                <w:sz w:val="21"/>
                <w:szCs w:val="21"/>
              </w:rPr>
            </w:pPr>
          </w:p>
        </w:tc>
        <w:tc>
          <w:tcPr>
            <w:tcW w:w="1927" w:type="pct"/>
            <w:gridSpan w:val="2"/>
            <w:vAlign w:val="center"/>
          </w:tcPr>
          <w:p w14:paraId="6A6F9B98">
            <w:pPr>
              <w:adjustRightInd w:val="0"/>
              <w:snapToGrid w:val="0"/>
              <w:jc w:val="center"/>
              <w:rPr>
                <w:rFonts w:ascii="Arial" w:hAnsi="Arial" w:eastAsia="宋体" w:cs="Arial"/>
                <w:sz w:val="21"/>
                <w:szCs w:val="21"/>
              </w:rPr>
            </w:pPr>
          </w:p>
        </w:tc>
        <w:tc>
          <w:tcPr>
            <w:tcW w:w="1627" w:type="pct"/>
            <w:gridSpan w:val="2"/>
            <w:tcBorders>
              <w:bottom w:val="single" w:color="000000" w:sz="2" w:space="0"/>
            </w:tcBorders>
            <w:vAlign w:val="center"/>
          </w:tcPr>
          <w:p w14:paraId="56B10CFB">
            <w:pPr>
              <w:adjustRightInd w:val="0"/>
              <w:snapToGrid w:val="0"/>
              <w:jc w:val="center"/>
              <w:rPr>
                <w:rFonts w:ascii="Arial" w:hAnsi="Arial" w:eastAsia="宋体" w:cs="Arial"/>
                <w:sz w:val="21"/>
                <w:szCs w:val="21"/>
              </w:rPr>
            </w:pPr>
          </w:p>
        </w:tc>
      </w:tr>
      <w:tr w14:paraId="2CAB3B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1446" w:type="pct"/>
            <w:vMerge w:val="continue"/>
            <w:vAlign w:val="center"/>
          </w:tcPr>
          <w:p w14:paraId="3458C573">
            <w:pPr>
              <w:adjustRightInd w:val="0"/>
              <w:snapToGrid w:val="0"/>
              <w:jc w:val="center"/>
              <w:rPr>
                <w:rFonts w:ascii="Arial" w:hAnsi="Arial" w:eastAsia="宋体" w:cs="Arial"/>
                <w:sz w:val="21"/>
                <w:szCs w:val="21"/>
              </w:rPr>
            </w:pPr>
          </w:p>
        </w:tc>
        <w:tc>
          <w:tcPr>
            <w:tcW w:w="917" w:type="pct"/>
            <w:vAlign w:val="center"/>
          </w:tcPr>
          <w:p w14:paraId="4C9B9229">
            <w:pPr>
              <w:adjustRightInd w:val="0"/>
              <w:snapToGrid w:val="0"/>
              <w:jc w:val="center"/>
              <w:rPr>
                <w:rFonts w:ascii="Arial" w:hAnsi="Arial" w:eastAsia="宋体" w:cs="Arial"/>
                <w:sz w:val="21"/>
                <w:szCs w:val="21"/>
              </w:rPr>
            </w:pPr>
          </w:p>
        </w:tc>
        <w:tc>
          <w:tcPr>
            <w:tcW w:w="1010" w:type="pct"/>
            <w:vAlign w:val="center"/>
          </w:tcPr>
          <w:p w14:paraId="07431061">
            <w:pPr>
              <w:adjustRightInd w:val="0"/>
              <w:snapToGrid w:val="0"/>
              <w:jc w:val="center"/>
              <w:rPr>
                <w:rFonts w:ascii="Arial" w:hAnsi="Arial" w:eastAsia="宋体" w:cs="Arial"/>
                <w:sz w:val="21"/>
                <w:szCs w:val="21"/>
              </w:rPr>
            </w:pPr>
          </w:p>
        </w:tc>
        <w:tc>
          <w:tcPr>
            <w:tcW w:w="734" w:type="pct"/>
            <w:tcBorders>
              <w:top w:val="single" w:color="000000" w:sz="2" w:space="0"/>
              <w:right w:val="single" w:color="000000" w:sz="2" w:space="0"/>
            </w:tcBorders>
            <w:vAlign w:val="center"/>
          </w:tcPr>
          <w:p w14:paraId="32D818C7">
            <w:pPr>
              <w:adjustRightInd w:val="0"/>
              <w:snapToGrid w:val="0"/>
              <w:jc w:val="center"/>
              <w:rPr>
                <w:rFonts w:ascii="Arial" w:hAnsi="Arial" w:eastAsia="宋体" w:cs="Arial"/>
                <w:sz w:val="21"/>
                <w:szCs w:val="21"/>
              </w:rPr>
            </w:pPr>
          </w:p>
        </w:tc>
        <w:tc>
          <w:tcPr>
            <w:tcW w:w="893" w:type="pct"/>
            <w:tcBorders>
              <w:top w:val="single" w:color="000000" w:sz="2" w:space="0"/>
              <w:left w:val="single" w:color="000000" w:sz="2" w:space="0"/>
            </w:tcBorders>
            <w:vAlign w:val="center"/>
          </w:tcPr>
          <w:p w14:paraId="273B6555">
            <w:pPr>
              <w:adjustRightInd w:val="0"/>
              <w:snapToGrid w:val="0"/>
              <w:jc w:val="center"/>
              <w:rPr>
                <w:rFonts w:ascii="Arial" w:hAnsi="Arial" w:eastAsia="宋体" w:cs="Arial"/>
                <w:sz w:val="21"/>
                <w:szCs w:val="21"/>
              </w:rPr>
            </w:pPr>
          </w:p>
        </w:tc>
      </w:tr>
      <w:tr w14:paraId="19B0B0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46" w:type="pct"/>
            <w:vAlign w:val="center"/>
          </w:tcPr>
          <w:p w14:paraId="4027E3D2">
            <w:pPr>
              <w:adjustRightInd w:val="0"/>
              <w:snapToGrid w:val="0"/>
              <w:jc w:val="center"/>
              <w:rPr>
                <w:rFonts w:ascii="Arial" w:hAnsi="Arial" w:eastAsia="宋体" w:cs="Arial"/>
                <w:sz w:val="21"/>
                <w:szCs w:val="21"/>
              </w:rPr>
            </w:pPr>
          </w:p>
        </w:tc>
        <w:tc>
          <w:tcPr>
            <w:tcW w:w="917" w:type="pct"/>
            <w:vAlign w:val="center"/>
          </w:tcPr>
          <w:p w14:paraId="555BC382">
            <w:pPr>
              <w:adjustRightInd w:val="0"/>
              <w:snapToGrid w:val="0"/>
              <w:jc w:val="center"/>
              <w:rPr>
                <w:rFonts w:ascii="Arial" w:hAnsi="Arial" w:eastAsia="宋体" w:cs="Arial"/>
                <w:sz w:val="21"/>
                <w:szCs w:val="21"/>
              </w:rPr>
            </w:pPr>
          </w:p>
        </w:tc>
        <w:tc>
          <w:tcPr>
            <w:tcW w:w="1010" w:type="pct"/>
            <w:vAlign w:val="center"/>
          </w:tcPr>
          <w:p w14:paraId="3C68325C">
            <w:pPr>
              <w:adjustRightInd w:val="0"/>
              <w:snapToGrid w:val="0"/>
              <w:jc w:val="center"/>
              <w:rPr>
                <w:rFonts w:ascii="Arial" w:hAnsi="Arial" w:eastAsia="宋体" w:cs="Arial"/>
                <w:sz w:val="21"/>
                <w:szCs w:val="21"/>
              </w:rPr>
            </w:pPr>
          </w:p>
        </w:tc>
        <w:tc>
          <w:tcPr>
            <w:tcW w:w="734" w:type="pct"/>
            <w:tcBorders>
              <w:top w:val="single" w:color="000000" w:sz="2" w:space="0"/>
              <w:bottom w:val="single" w:color="000000" w:sz="2" w:space="0"/>
            </w:tcBorders>
            <w:vAlign w:val="center"/>
          </w:tcPr>
          <w:p w14:paraId="0460CEFD">
            <w:pPr>
              <w:adjustRightInd w:val="0"/>
              <w:snapToGrid w:val="0"/>
              <w:jc w:val="center"/>
              <w:rPr>
                <w:rFonts w:ascii="Arial" w:hAnsi="Arial" w:eastAsia="宋体" w:cs="Arial"/>
                <w:sz w:val="21"/>
                <w:szCs w:val="21"/>
              </w:rPr>
            </w:pPr>
          </w:p>
        </w:tc>
        <w:tc>
          <w:tcPr>
            <w:tcW w:w="893" w:type="pct"/>
            <w:tcBorders>
              <w:top w:val="single" w:color="000000" w:sz="2" w:space="0"/>
              <w:bottom w:val="single" w:color="000000" w:sz="2" w:space="0"/>
            </w:tcBorders>
            <w:vAlign w:val="center"/>
          </w:tcPr>
          <w:p w14:paraId="10F1720A">
            <w:pPr>
              <w:adjustRightInd w:val="0"/>
              <w:snapToGrid w:val="0"/>
              <w:jc w:val="center"/>
              <w:rPr>
                <w:rFonts w:ascii="Arial" w:hAnsi="Arial" w:eastAsia="宋体" w:cs="Arial"/>
                <w:sz w:val="21"/>
                <w:szCs w:val="21"/>
              </w:rPr>
            </w:pPr>
          </w:p>
        </w:tc>
      </w:tr>
      <w:tr w14:paraId="05C008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46" w:type="pct"/>
            <w:vAlign w:val="center"/>
          </w:tcPr>
          <w:p w14:paraId="2A81CA93">
            <w:pPr>
              <w:adjustRightInd w:val="0"/>
              <w:snapToGrid w:val="0"/>
              <w:jc w:val="center"/>
              <w:rPr>
                <w:rFonts w:ascii="Arial" w:hAnsi="Arial" w:eastAsia="宋体" w:cs="Arial"/>
                <w:sz w:val="21"/>
                <w:szCs w:val="21"/>
              </w:rPr>
            </w:pPr>
          </w:p>
        </w:tc>
        <w:tc>
          <w:tcPr>
            <w:tcW w:w="917" w:type="pct"/>
            <w:vAlign w:val="center"/>
          </w:tcPr>
          <w:p w14:paraId="504530E2">
            <w:pPr>
              <w:adjustRightInd w:val="0"/>
              <w:snapToGrid w:val="0"/>
              <w:jc w:val="center"/>
              <w:rPr>
                <w:rFonts w:ascii="Arial" w:hAnsi="Arial" w:eastAsia="宋体" w:cs="Arial"/>
                <w:sz w:val="21"/>
                <w:szCs w:val="21"/>
              </w:rPr>
            </w:pPr>
          </w:p>
        </w:tc>
        <w:tc>
          <w:tcPr>
            <w:tcW w:w="1010" w:type="pct"/>
            <w:vAlign w:val="center"/>
          </w:tcPr>
          <w:p w14:paraId="097132E2">
            <w:pPr>
              <w:adjustRightInd w:val="0"/>
              <w:snapToGrid w:val="0"/>
              <w:jc w:val="center"/>
              <w:rPr>
                <w:rFonts w:ascii="Arial" w:hAnsi="Arial" w:eastAsia="宋体" w:cs="Arial"/>
                <w:sz w:val="21"/>
                <w:szCs w:val="21"/>
              </w:rPr>
            </w:pPr>
          </w:p>
        </w:tc>
        <w:tc>
          <w:tcPr>
            <w:tcW w:w="734" w:type="pct"/>
            <w:tcBorders>
              <w:top w:val="single" w:color="000000" w:sz="2" w:space="0"/>
              <w:bottom w:val="single" w:color="000000" w:sz="2" w:space="0"/>
            </w:tcBorders>
            <w:vAlign w:val="center"/>
          </w:tcPr>
          <w:p w14:paraId="56B9C757">
            <w:pPr>
              <w:adjustRightInd w:val="0"/>
              <w:snapToGrid w:val="0"/>
              <w:jc w:val="center"/>
              <w:rPr>
                <w:rFonts w:ascii="Arial" w:hAnsi="Arial" w:eastAsia="宋体" w:cs="Arial"/>
                <w:sz w:val="21"/>
                <w:szCs w:val="21"/>
              </w:rPr>
            </w:pPr>
          </w:p>
        </w:tc>
        <w:tc>
          <w:tcPr>
            <w:tcW w:w="893" w:type="pct"/>
            <w:tcBorders>
              <w:top w:val="single" w:color="000000" w:sz="2" w:space="0"/>
              <w:bottom w:val="single" w:color="000000" w:sz="2" w:space="0"/>
            </w:tcBorders>
            <w:vAlign w:val="center"/>
          </w:tcPr>
          <w:p w14:paraId="30213A22">
            <w:pPr>
              <w:adjustRightInd w:val="0"/>
              <w:snapToGrid w:val="0"/>
              <w:jc w:val="center"/>
              <w:rPr>
                <w:rFonts w:ascii="Arial" w:hAnsi="Arial" w:eastAsia="宋体" w:cs="Arial"/>
                <w:sz w:val="21"/>
                <w:szCs w:val="21"/>
              </w:rPr>
            </w:pPr>
          </w:p>
        </w:tc>
      </w:tr>
      <w:tr w14:paraId="428B8A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46" w:type="pct"/>
            <w:vAlign w:val="center"/>
          </w:tcPr>
          <w:p w14:paraId="3322B554">
            <w:pPr>
              <w:adjustRightInd w:val="0"/>
              <w:snapToGrid w:val="0"/>
              <w:jc w:val="center"/>
              <w:rPr>
                <w:rFonts w:ascii="Arial" w:hAnsi="Arial" w:eastAsia="宋体" w:cs="Arial"/>
                <w:sz w:val="21"/>
                <w:szCs w:val="21"/>
              </w:rPr>
            </w:pPr>
          </w:p>
        </w:tc>
        <w:tc>
          <w:tcPr>
            <w:tcW w:w="917" w:type="pct"/>
            <w:vAlign w:val="center"/>
          </w:tcPr>
          <w:p w14:paraId="55931375">
            <w:pPr>
              <w:adjustRightInd w:val="0"/>
              <w:snapToGrid w:val="0"/>
              <w:jc w:val="center"/>
              <w:rPr>
                <w:rFonts w:ascii="Arial" w:hAnsi="Arial" w:eastAsia="宋体" w:cs="Arial"/>
                <w:sz w:val="21"/>
                <w:szCs w:val="21"/>
              </w:rPr>
            </w:pPr>
          </w:p>
        </w:tc>
        <w:tc>
          <w:tcPr>
            <w:tcW w:w="1010" w:type="pct"/>
            <w:vAlign w:val="center"/>
          </w:tcPr>
          <w:p w14:paraId="065E5556">
            <w:pPr>
              <w:adjustRightInd w:val="0"/>
              <w:snapToGrid w:val="0"/>
              <w:jc w:val="center"/>
              <w:rPr>
                <w:rFonts w:ascii="Arial" w:hAnsi="Arial" w:eastAsia="宋体" w:cs="Arial"/>
                <w:sz w:val="21"/>
                <w:szCs w:val="21"/>
              </w:rPr>
            </w:pPr>
          </w:p>
        </w:tc>
        <w:tc>
          <w:tcPr>
            <w:tcW w:w="734" w:type="pct"/>
            <w:tcBorders>
              <w:top w:val="single" w:color="000000" w:sz="2" w:space="0"/>
              <w:bottom w:val="single" w:color="000000" w:sz="2" w:space="0"/>
            </w:tcBorders>
            <w:vAlign w:val="center"/>
          </w:tcPr>
          <w:p w14:paraId="6BFC71F2">
            <w:pPr>
              <w:adjustRightInd w:val="0"/>
              <w:snapToGrid w:val="0"/>
              <w:jc w:val="center"/>
              <w:rPr>
                <w:rFonts w:ascii="Arial" w:hAnsi="Arial" w:eastAsia="宋体" w:cs="Arial"/>
                <w:sz w:val="21"/>
                <w:szCs w:val="21"/>
              </w:rPr>
            </w:pPr>
          </w:p>
        </w:tc>
        <w:tc>
          <w:tcPr>
            <w:tcW w:w="893" w:type="pct"/>
            <w:tcBorders>
              <w:top w:val="single" w:color="000000" w:sz="2" w:space="0"/>
              <w:bottom w:val="single" w:color="000000" w:sz="2" w:space="0"/>
            </w:tcBorders>
            <w:vAlign w:val="center"/>
          </w:tcPr>
          <w:p w14:paraId="4EAC4979">
            <w:pPr>
              <w:adjustRightInd w:val="0"/>
              <w:snapToGrid w:val="0"/>
              <w:jc w:val="center"/>
              <w:rPr>
                <w:rFonts w:ascii="Arial" w:hAnsi="Arial" w:eastAsia="宋体" w:cs="Arial"/>
                <w:sz w:val="21"/>
                <w:szCs w:val="21"/>
              </w:rPr>
            </w:pPr>
          </w:p>
        </w:tc>
      </w:tr>
      <w:tr w14:paraId="6E3D41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46" w:type="pct"/>
            <w:vAlign w:val="center"/>
          </w:tcPr>
          <w:p w14:paraId="7E5A1273">
            <w:pPr>
              <w:adjustRightInd w:val="0"/>
              <w:snapToGrid w:val="0"/>
              <w:jc w:val="center"/>
              <w:rPr>
                <w:rFonts w:ascii="Arial" w:hAnsi="Arial" w:eastAsia="宋体" w:cs="Arial"/>
                <w:sz w:val="21"/>
                <w:szCs w:val="21"/>
              </w:rPr>
            </w:pPr>
          </w:p>
        </w:tc>
        <w:tc>
          <w:tcPr>
            <w:tcW w:w="917" w:type="pct"/>
            <w:vAlign w:val="center"/>
          </w:tcPr>
          <w:p w14:paraId="6082B665">
            <w:pPr>
              <w:adjustRightInd w:val="0"/>
              <w:snapToGrid w:val="0"/>
              <w:jc w:val="center"/>
              <w:rPr>
                <w:rFonts w:ascii="Arial" w:hAnsi="Arial" w:eastAsia="宋体" w:cs="Arial"/>
                <w:sz w:val="21"/>
                <w:szCs w:val="21"/>
              </w:rPr>
            </w:pPr>
          </w:p>
        </w:tc>
        <w:tc>
          <w:tcPr>
            <w:tcW w:w="1010" w:type="pct"/>
            <w:vAlign w:val="center"/>
          </w:tcPr>
          <w:p w14:paraId="119C1AD5">
            <w:pPr>
              <w:adjustRightInd w:val="0"/>
              <w:snapToGrid w:val="0"/>
              <w:jc w:val="center"/>
              <w:rPr>
                <w:rFonts w:ascii="Arial" w:hAnsi="Arial" w:eastAsia="宋体" w:cs="Arial"/>
                <w:sz w:val="21"/>
                <w:szCs w:val="21"/>
              </w:rPr>
            </w:pPr>
          </w:p>
        </w:tc>
        <w:tc>
          <w:tcPr>
            <w:tcW w:w="734" w:type="pct"/>
            <w:tcBorders>
              <w:top w:val="single" w:color="000000" w:sz="2" w:space="0"/>
              <w:bottom w:val="single" w:color="000000" w:sz="2" w:space="0"/>
            </w:tcBorders>
            <w:vAlign w:val="center"/>
          </w:tcPr>
          <w:p w14:paraId="2CBE2490">
            <w:pPr>
              <w:adjustRightInd w:val="0"/>
              <w:snapToGrid w:val="0"/>
              <w:jc w:val="center"/>
              <w:rPr>
                <w:rFonts w:ascii="Arial" w:hAnsi="Arial" w:eastAsia="宋体" w:cs="Arial"/>
                <w:sz w:val="21"/>
                <w:szCs w:val="21"/>
              </w:rPr>
            </w:pPr>
          </w:p>
        </w:tc>
        <w:tc>
          <w:tcPr>
            <w:tcW w:w="893" w:type="pct"/>
            <w:tcBorders>
              <w:top w:val="single" w:color="000000" w:sz="2" w:space="0"/>
              <w:bottom w:val="single" w:color="000000" w:sz="2" w:space="0"/>
            </w:tcBorders>
            <w:vAlign w:val="center"/>
          </w:tcPr>
          <w:p w14:paraId="158D7138">
            <w:pPr>
              <w:adjustRightInd w:val="0"/>
              <w:snapToGrid w:val="0"/>
              <w:jc w:val="center"/>
              <w:rPr>
                <w:rFonts w:ascii="Arial" w:hAnsi="Arial" w:eastAsia="宋体" w:cs="Arial"/>
                <w:sz w:val="21"/>
                <w:szCs w:val="21"/>
              </w:rPr>
            </w:pPr>
          </w:p>
        </w:tc>
      </w:tr>
      <w:tr w14:paraId="6127F9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46" w:type="pct"/>
            <w:vAlign w:val="center"/>
          </w:tcPr>
          <w:p w14:paraId="3EF60D35">
            <w:pPr>
              <w:adjustRightInd w:val="0"/>
              <w:snapToGrid w:val="0"/>
              <w:jc w:val="center"/>
              <w:rPr>
                <w:rFonts w:ascii="Arial" w:hAnsi="Arial" w:eastAsia="宋体" w:cs="Arial"/>
                <w:sz w:val="21"/>
                <w:szCs w:val="21"/>
              </w:rPr>
            </w:pPr>
          </w:p>
        </w:tc>
        <w:tc>
          <w:tcPr>
            <w:tcW w:w="917" w:type="pct"/>
            <w:vAlign w:val="center"/>
          </w:tcPr>
          <w:p w14:paraId="0065709E">
            <w:pPr>
              <w:adjustRightInd w:val="0"/>
              <w:snapToGrid w:val="0"/>
              <w:jc w:val="center"/>
              <w:rPr>
                <w:rFonts w:ascii="Arial" w:hAnsi="Arial" w:eastAsia="宋体" w:cs="Arial"/>
                <w:sz w:val="21"/>
                <w:szCs w:val="21"/>
              </w:rPr>
            </w:pPr>
          </w:p>
        </w:tc>
        <w:tc>
          <w:tcPr>
            <w:tcW w:w="1010" w:type="pct"/>
            <w:vAlign w:val="center"/>
          </w:tcPr>
          <w:p w14:paraId="4E9E0004">
            <w:pPr>
              <w:adjustRightInd w:val="0"/>
              <w:snapToGrid w:val="0"/>
              <w:jc w:val="center"/>
              <w:rPr>
                <w:rFonts w:ascii="Arial" w:hAnsi="Arial" w:eastAsia="宋体" w:cs="Arial"/>
                <w:sz w:val="21"/>
                <w:szCs w:val="21"/>
              </w:rPr>
            </w:pPr>
          </w:p>
        </w:tc>
        <w:tc>
          <w:tcPr>
            <w:tcW w:w="734" w:type="pct"/>
            <w:tcBorders>
              <w:top w:val="single" w:color="000000" w:sz="2" w:space="0"/>
              <w:bottom w:val="single" w:color="000000" w:sz="2" w:space="0"/>
            </w:tcBorders>
            <w:vAlign w:val="center"/>
          </w:tcPr>
          <w:p w14:paraId="1E737026">
            <w:pPr>
              <w:adjustRightInd w:val="0"/>
              <w:snapToGrid w:val="0"/>
              <w:jc w:val="center"/>
              <w:rPr>
                <w:rFonts w:ascii="Arial" w:hAnsi="Arial" w:eastAsia="宋体" w:cs="Arial"/>
                <w:sz w:val="21"/>
                <w:szCs w:val="21"/>
              </w:rPr>
            </w:pPr>
          </w:p>
        </w:tc>
        <w:tc>
          <w:tcPr>
            <w:tcW w:w="893" w:type="pct"/>
            <w:tcBorders>
              <w:top w:val="single" w:color="000000" w:sz="2" w:space="0"/>
              <w:bottom w:val="single" w:color="000000" w:sz="2" w:space="0"/>
            </w:tcBorders>
            <w:vAlign w:val="center"/>
          </w:tcPr>
          <w:p w14:paraId="4DA229BC">
            <w:pPr>
              <w:adjustRightInd w:val="0"/>
              <w:snapToGrid w:val="0"/>
              <w:jc w:val="center"/>
              <w:rPr>
                <w:rFonts w:ascii="Arial" w:hAnsi="Arial" w:eastAsia="宋体" w:cs="Arial"/>
                <w:sz w:val="21"/>
                <w:szCs w:val="21"/>
              </w:rPr>
            </w:pPr>
          </w:p>
        </w:tc>
      </w:tr>
      <w:tr w14:paraId="74848C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46" w:type="pct"/>
            <w:vAlign w:val="center"/>
          </w:tcPr>
          <w:p w14:paraId="559C568E">
            <w:pPr>
              <w:adjustRightInd w:val="0"/>
              <w:snapToGrid w:val="0"/>
              <w:jc w:val="center"/>
              <w:rPr>
                <w:rFonts w:ascii="Arial" w:hAnsi="Arial" w:eastAsia="宋体" w:cs="Arial"/>
                <w:sz w:val="21"/>
                <w:szCs w:val="21"/>
              </w:rPr>
            </w:pPr>
          </w:p>
        </w:tc>
        <w:tc>
          <w:tcPr>
            <w:tcW w:w="917" w:type="pct"/>
            <w:vAlign w:val="center"/>
          </w:tcPr>
          <w:p w14:paraId="69B16D5C">
            <w:pPr>
              <w:adjustRightInd w:val="0"/>
              <w:snapToGrid w:val="0"/>
              <w:jc w:val="center"/>
              <w:rPr>
                <w:rFonts w:ascii="Arial" w:hAnsi="Arial" w:eastAsia="宋体" w:cs="Arial"/>
                <w:sz w:val="21"/>
                <w:szCs w:val="21"/>
              </w:rPr>
            </w:pPr>
          </w:p>
        </w:tc>
        <w:tc>
          <w:tcPr>
            <w:tcW w:w="1010" w:type="pct"/>
            <w:vAlign w:val="center"/>
          </w:tcPr>
          <w:p w14:paraId="56BD5237">
            <w:pPr>
              <w:adjustRightInd w:val="0"/>
              <w:snapToGrid w:val="0"/>
              <w:jc w:val="center"/>
              <w:rPr>
                <w:rFonts w:ascii="Arial" w:hAnsi="Arial" w:eastAsia="宋体" w:cs="Arial"/>
                <w:sz w:val="21"/>
                <w:szCs w:val="21"/>
              </w:rPr>
            </w:pPr>
          </w:p>
        </w:tc>
        <w:tc>
          <w:tcPr>
            <w:tcW w:w="734" w:type="pct"/>
            <w:tcBorders>
              <w:top w:val="single" w:color="000000" w:sz="2" w:space="0"/>
              <w:bottom w:val="single" w:color="000000" w:sz="2" w:space="0"/>
            </w:tcBorders>
            <w:vAlign w:val="center"/>
          </w:tcPr>
          <w:p w14:paraId="3807E21F">
            <w:pPr>
              <w:adjustRightInd w:val="0"/>
              <w:snapToGrid w:val="0"/>
              <w:jc w:val="center"/>
              <w:rPr>
                <w:rFonts w:ascii="Arial" w:hAnsi="Arial" w:eastAsia="宋体" w:cs="Arial"/>
                <w:sz w:val="21"/>
                <w:szCs w:val="21"/>
              </w:rPr>
            </w:pPr>
          </w:p>
        </w:tc>
        <w:tc>
          <w:tcPr>
            <w:tcW w:w="893" w:type="pct"/>
            <w:tcBorders>
              <w:top w:val="single" w:color="000000" w:sz="2" w:space="0"/>
              <w:bottom w:val="single" w:color="000000" w:sz="2" w:space="0"/>
            </w:tcBorders>
            <w:vAlign w:val="center"/>
          </w:tcPr>
          <w:p w14:paraId="217A8672">
            <w:pPr>
              <w:adjustRightInd w:val="0"/>
              <w:snapToGrid w:val="0"/>
              <w:jc w:val="center"/>
              <w:rPr>
                <w:rFonts w:ascii="Arial" w:hAnsi="Arial" w:eastAsia="宋体" w:cs="Arial"/>
                <w:sz w:val="21"/>
                <w:szCs w:val="21"/>
              </w:rPr>
            </w:pPr>
          </w:p>
        </w:tc>
      </w:tr>
      <w:tr w14:paraId="7F8E44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46" w:type="pct"/>
            <w:vAlign w:val="center"/>
          </w:tcPr>
          <w:p w14:paraId="1C07F584">
            <w:pPr>
              <w:adjustRightInd w:val="0"/>
              <w:snapToGrid w:val="0"/>
              <w:jc w:val="center"/>
              <w:rPr>
                <w:rFonts w:ascii="Arial" w:hAnsi="Arial" w:eastAsia="宋体" w:cs="Arial"/>
                <w:sz w:val="21"/>
                <w:szCs w:val="21"/>
              </w:rPr>
            </w:pPr>
          </w:p>
        </w:tc>
        <w:tc>
          <w:tcPr>
            <w:tcW w:w="917" w:type="pct"/>
            <w:vAlign w:val="center"/>
          </w:tcPr>
          <w:p w14:paraId="7862869E">
            <w:pPr>
              <w:adjustRightInd w:val="0"/>
              <w:snapToGrid w:val="0"/>
              <w:jc w:val="center"/>
              <w:rPr>
                <w:rFonts w:ascii="Arial" w:hAnsi="Arial" w:eastAsia="宋体" w:cs="Arial"/>
                <w:sz w:val="21"/>
                <w:szCs w:val="21"/>
              </w:rPr>
            </w:pPr>
          </w:p>
        </w:tc>
        <w:tc>
          <w:tcPr>
            <w:tcW w:w="1010" w:type="pct"/>
            <w:vAlign w:val="center"/>
          </w:tcPr>
          <w:p w14:paraId="76D3480B">
            <w:pPr>
              <w:adjustRightInd w:val="0"/>
              <w:snapToGrid w:val="0"/>
              <w:jc w:val="center"/>
              <w:rPr>
                <w:rFonts w:ascii="Arial" w:hAnsi="Arial" w:eastAsia="宋体" w:cs="Arial"/>
                <w:sz w:val="21"/>
                <w:szCs w:val="21"/>
              </w:rPr>
            </w:pPr>
          </w:p>
        </w:tc>
        <w:tc>
          <w:tcPr>
            <w:tcW w:w="734" w:type="pct"/>
            <w:tcBorders>
              <w:top w:val="single" w:color="000000" w:sz="2" w:space="0"/>
              <w:bottom w:val="single" w:color="000000" w:sz="2" w:space="0"/>
            </w:tcBorders>
            <w:vAlign w:val="center"/>
          </w:tcPr>
          <w:p w14:paraId="227FB686">
            <w:pPr>
              <w:adjustRightInd w:val="0"/>
              <w:snapToGrid w:val="0"/>
              <w:jc w:val="center"/>
              <w:rPr>
                <w:rFonts w:ascii="Arial" w:hAnsi="Arial" w:eastAsia="宋体" w:cs="Arial"/>
                <w:sz w:val="21"/>
                <w:szCs w:val="21"/>
              </w:rPr>
            </w:pPr>
          </w:p>
        </w:tc>
        <w:tc>
          <w:tcPr>
            <w:tcW w:w="893" w:type="pct"/>
            <w:tcBorders>
              <w:top w:val="single" w:color="000000" w:sz="2" w:space="0"/>
              <w:bottom w:val="single" w:color="000000" w:sz="2" w:space="0"/>
            </w:tcBorders>
            <w:vAlign w:val="center"/>
          </w:tcPr>
          <w:p w14:paraId="1889F525">
            <w:pPr>
              <w:adjustRightInd w:val="0"/>
              <w:snapToGrid w:val="0"/>
              <w:jc w:val="center"/>
              <w:rPr>
                <w:rFonts w:ascii="Arial" w:hAnsi="Arial" w:eastAsia="宋体" w:cs="Arial"/>
                <w:sz w:val="21"/>
                <w:szCs w:val="21"/>
              </w:rPr>
            </w:pPr>
          </w:p>
        </w:tc>
      </w:tr>
      <w:tr w14:paraId="122936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46" w:type="pct"/>
            <w:vAlign w:val="center"/>
          </w:tcPr>
          <w:p w14:paraId="0FE0846A">
            <w:pPr>
              <w:adjustRightInd w:val="0"/>
              <w:snapToGrid w:val="0"/>
              <w:jc w:val="center"/>
              <w:rPr>
                <w:rFonts w:ascii="Arial" w:hAnsi="Arial" w:eastAsia="宋体" w:cs="Arial"/>
                <w:sz w:val="21"/>
                <w:szCs w:val="21"/>
              </w:rPr>
            </w:pPr>
          </w:p>
        </w:tc>
        <w:tc>
          <w:tcPr>
            <w:tcW w:w="917" w:type="pct"/>
            <w:vAlign w:val="center"/>
          </w:tcPr>
          <w:p w14:paraId="3344A303">
            <w:pPr>
              <w:adjustRightInd w:val="0"/>
              <w:snapToGrid w:val="0"/>
              <w:jc w:val="center"/>
              <w:rPr>
                <w:rFonts w:ascii="Arial" w:hAnsi="Arial" w:eastAsia="宋体" w:cs="Arial"/>
                <w:sz w:val="21"/>
                <w:szCs w:val="21"/>
              </w:rPr>
            </w:pPr>
          </w:p>
        </w:tc>
        <w:tc>
          <w:tcPr>
            <w:tcW w:w="1010" w:type="pct"/>
            <w:vAlign w:val="center"/>
          </w:tcPr>
          <w:p w14:paraId="6B2E6F06">
            <w:pPr>
              <w:adjustRightInd w:val="0"/>
              <w:snapToGrid w:val="0"/>
              <w:jc w:val="center"/>
              <w:rPr>
                <w:rFonts w:ascii="Arial" w:hAnsi="Arial" w:eastAsia="宋体" w:cs="Arial"/>
                <w:sz w:val="21"/>
                <w:szCs w:val="21"/>
              </w:rPr>
            </w:pPr>
          </w:p>
        </w:tc>
        <w:tc>
          <w:tcPr>
            <w:tcW w:w="734" w:type="pct"/>
            <w:tcBorders>
              <w:top w:val="single" w:color="000000" w:sz="2" w:space="0"/>
              <w:bottom w:val="single" w:color="000000" w:sz="2" w:space="0"/>
            </w:tcBorders>
            <w:vAlign w:val="center"/>
          </w:tcPr>
          <w:p w14:paraId="6F661736">
            <w:pPr>
              <w:adjustRightInd w:val="0"/>
              <w:snapToGrid w:val="0"/>
              <w:jc w:val="center"/>
              <w:rPr>
                <w:rFonts w:ascii="Arial" w:hAnsi="Arial" w:eastAsia="宋体" w:cs="Arial"/>
                <w:sz w:val="21"/>
                <w:szCs w:val="21"/>
              </w:rPr>
            </w:pPr>
          </w:p>
        </w:tc>
        <w:tc>
          <w:tcPr>
            <w:tcW w:w="893" w:type="pct"/>
            <w:tcBorders>
              <w:top w:val="single" w:color="000000" w:sz="2" w:space="0"/>
              <w:bottom w:val="single" w:color="000000" w:sz="2" w:space="0"/>
            </w:tcBorders>
            <w:vAlign w:val="center"/>
          </w:tcPr>
          <w:p w14:paraId="3A957152">
            <w:pPr>
              <w:adjustRightInd w:val="0"/>
              <w:snapToGrid w:val="0"/>
              <w:jc w:val="center"/>
              <w:rPr>
                <w:rFonts w:ascii="Arial" w:hAnsi="Arial" w:eastAsia="宋体" w:cs="Arial"/>
                <w:sz w:val="21"/>
                <w:szCs w:val="21"/>
              </w:rPr>
            </w:pPr>
          </w:p>
        </w:tc>
      </w:tr>
      <w:tr w14:paraId="6F7CA4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46" w:type="pct"/>
            <w:vAlign w:val="center"/>
          </w:tcPr>
          <w:p w14:paraId="522157D0">
            <w:pPr>
              <w:adjustRightInd w:val="0"/>
              <w:snapToGrid w:val="0"/>
              <w:jc w:val="center"/>
              <w:rPr>
                <w:rFonts w:ascii="Arial" w:hAnsi="Arial" w:eastAsia="宋体" w:cs="Arial"/>
                <w:sz w:val="21"/>
                <w:szCs w:val="21"/>
              </w:rPr>
            </w:pPr>
          </w:p>
        </w:tc>
        <w:tc>
          <w:tcPr>
            <w:tcW w:w="917" w:type="pct"/>
            <w:vAlign w:val="center"/>
          </w:tcPr>
          <w:p w14:paraId="6432AF89">
            <w:pPr>
              <w:adjustRightInd w:val="0"/>
              <w:snapToGrid w:val="0"/>
              <w:jc w:val="center"/>
              <w:rPr>
                <w:rFonts w:ascii="Arial" w:hAnsi="Arial" w:eastAsia="宋体" w:cs="Arial"/>
                <w:sz w:val="21"/>
                <w:szCs w:val="21"/>
              </w:rPr>
            </w:pPr>
          </w:p>
        </w:tc>
        <w:tc>
          <w:tcPr>
            <w:tcW w:w="1010" w:type="pct"/>
            <w:vAlign w:val="center"/>
          </w:tcPr>
          <w:p w14:paraId="078506F8">
            <w:pPr>
              <w:adjustRightInd w:val="0"/>
              <w:snapToGrid w:val="0"/>
              <w:jc w:val="center"/>
              <w:rPr>
                <w:rFonts w:ascii="Arial" w:hAnsi="Arial" w:eastAsia="宋体" w:cs="Arial"/>
                <w:sz w:val="21"/>
                <w:szCs w:val="21"/>
              </w:rPr>
            </w:pPr>
          </w:p>
        </w:tc>
        <w:tc>
          <w:tcPr>
            <w:tcW w:w="734" w:type="pct"/>
            <w:tcBorders>
              <w:top w:val="single" w:color="000000" w:sz="2" w:space="0"/>
              <w:bottom w:val="single" w:color="000000" w:sz="2" w:space="0"/>
            </w:tcBorders>
            <w:vAlign w:val="center"/>
          </w:tcPr>
          <w:p w14:paraId="156916A9">
            <w:pPr>
              <w:adjustRightInd w:val="0"/>
              <w:snapToGrid w:val="0"/>
              <w:jc w:val="center"/>
              <w:rPr>
                <w:rFonts w:ascii="Arial" w:hAnsi="Arial" w:eastAsia="宋体" w:cs="Arial"/>
                <w:sz w:val="21"/>
                <w:szCs w:val="21"/>
              </w:rPr>
            </w:pPr>
          </w:p>
        </w:tc>
        <w:tc>
          <w:tcPr>
            <w:tcW w:w="893" w:type="pct"/>
            <w:tcBorders>
              <w:top w:val="single" w:color="000000" w:sz="2" w:space="0"/>
              <w:bottom w:val="single" w:color="000000" w:sz="2" w:space="0"/>
            </w:tcBorders>
            <w:vAlign w:val="center"/>
          </w:tcPr>
          <w:p w14:paraId="7B971E91">
            <w:pPr>
              <w:adjustRightInd w:val="0"/>
              <w:snapToGrid w:val="0"/>
              <w:jc w:val="center"/>
              <w:rPr>
                <w:rFonts w:ascii="Arial" w:hAnsi="Arial" w:eastAsia="宋体" w:cs="Arial"/>
                <w:sz w:val="21"/>
                <w:szCs w:val="21"/>
              </w:rPr>
            </w:pPr>
          </w:p>
        </w:tc>
      </w:tr>
      <w:tr w14:paraId="1F5C2F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46" w:type="pct"/>
            <w:vAlign w:val="center"/>
          </w:tcPr>
          <w:p w14:paraId="1BB8E38A">
            <w:pPr>
              <w:adjustRightInd w:val="0"/>
              <w:snapToGrid w:val="0"/>
              <w:jc w:val="center"/>
              <w:rPr>
                <w:rFonts w:ascii="Arial" w:hAnsi="Arial" w:eastAsia="宋体" w:cs="Arial"/>
                <w:sz w:val="21"/>
                <w:szCs w:val="21"/>
              </w:rPr>
            </w:pPr>
          </w:p>
        </w:tc>
        <w:tc>
          <w:tcPr>
            <w:tcW w:w="917" w:type="pct"/>
            <w:vAlign w:val="center"/>
          </w:tcPr>
          <w:p w14:paraId="1EFDE174">
            <w:pPr>
              <w:adjustRightInd w:val="0"/>
              <w:snapToGrid w:val="0"/>
              <w:jc w:val="center"/>
              <w:rPr>
                <w:rFonts w:ascii="Arial" w:hAnsi="Arial" w:eastAsia="宋体" w:cs="Arial"/>
                <w:sz w:val="21"/>
                <w:szCs w:val="21"/>
              </w:rPr>
            </w:pPr>
          </w:p>
        </w:tc>
        <w:tc>
          <w:tcPr>
            <w:tcW w:w="1010" w:type="pct"/>
            <w:vAlign w:val="center"/>
          </w:tcPr>
          <w:p w14:paraId="0CBEDB16">
            <w:pPr>
              <w:adjustRightInd w:val="0"/>
              <w:snapToGrid w:val="0"/>
              <w:jc w:val="center"/>
              <w:rPr>
                <w:rFonts w:ascii="Arial" w:hAnsi="Arial" w:eastAsia="宋体" w:cs="Arial"/>
                <w:sz w:val="21"/>
                <w:szCs w:val="21"/>
              </w:rPr>
            </w:pPr>
          </w:p>
        </w:tc>
        <w:tc>
          <w:tcPr>
            <w:tcW w:w="734" w:type="pct"/>
            <w:tcBorders>
              <w:top w:val="single" w:color="000000" w:sz="2" w:space="0"/>
              <w:bottom w:val="single" w:color="000000" w:sz="2" w:space="0"/>
            </w:tcBorders>
            <w:vAlign w:val="center"/>
          </w:tcPr>
          <w:p w14:paraId="10E79A76">
            <w:pPr>
              <w:adjustRightInd w:val="0"/>
              <w:snapToGrid w:val="0"/>
              <w:jc w:val="center"/>
              <w:rPr>
                <w:rFonts w:ascii="Arial" w:hAnsi="Arial" w:eastAsia="宋体" w:cs="Arial"/>
                <w:sz w:val="21"/>
                <w:szCs w:val="21"/>
              </w:rPr>
            </w:pPr>
          </w:p>
        </w:tc>
        <w:tc>
          <w:tcPr>
            <w:tcW w:w="893" w:type="pct"/>
            <w:tcBorders>
              <w:top w:val="single" w:color="000000" w:sz="2" w:space="0"/>
              <w:bottom w:val="single" w:color="000000" w:sz="2" w:space="0"/>
            </w:tcBorders>
            <w:vAlign w:val="center"/>
          </w:tcPr>
          <w:p w14:paraId="201D4E93">
            <w:pPr>
              <w:adjustRightInd w:val="0"/>
              <w:snapToGrid w:val="0"/>
              <w:jc w:val="center"/>
              <w:rPr>
                <w:rFonts w:ascii="Arial" w:hAnsi="Arial" w:eastAsia="宋体" w:cs="Arial"/>
                <w:sz w:val="21"/>
                <w:szCs w:val="21"/>
              </w:rPr>
            </w:pPr>
          </w:p>
        </w:tc>
      </w:tr>
    </w:tbl>
    <w:p w14:paraId="2E9AE463">
      <w:pPr>
        <w:spacing w:line="500" w:lineRule="exact"/>
        <w:ind w:firstLine="490" w:firstLineChars="200"/>
        <w:rPr>
          <w:rFonts w:ascii="Arial" w:hAnsi="Arial" w:eastAsia="宋体" w:cs="Arial"/>
          <w:spacing w:val="10"/>
          <w:sz w:val="24"/>
        </w:rPr>
      </w:pPr>
      <w:r>
        <w:rPr>
          <w:rFonts w:ascii="Arial" w:hAnsi="Arial" w:eastAsia="宋体" w:cs="Arial"/>
          <w:spacing w:val="10"/>
          <w:sz w:val="24"/>
        </w:rPr>
        <w:t>2、地下水水质调查</w:t>
      </w:r>
    </w:p>
    <w:p w14:paraId="073881B6">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u w:val="single"/>
        </w:rPr>
        <w:t>地下水监测数据引用一体化项目环评报告及广西恒沁检测科技有限公司监测报告（报告编号HQHJ22091926）中的监测数据，监测时间在近</w:t>
      </w:r>
      <w:r>
        <w:rPr>
          <w:rFonts w:hint="eastAsia" w:ascii="Arial" w:hAnsi="Arial" w:eastAsia="宋体" w:cs="Arial"/>
          <w:spacing w:val="10"/>
          <w:sz w:val="24"/>
          <w:u w:val="single"/>
        </w:rPr>
        <w:t>3年内，</w:t>
      </w:r>
      <w:r>
        <w:rPr>
          <w:rFonts w:ascii="Arial" w:hAnsi="Arial" w:eastAsia="宋体" w:cs="Arial"/>
          <w:spacing w:val="10"/>
          <w:sz w:val="24"/>
          <w:u w:val="single"/>
        </w:rPr>
        <w:t>监测点位分布符合</w:t>
      </w:r>
      <w:r>
        <w:rPr>
          <w:rFonts w:hint="eastAsia" w:ascii="Arial" w:hAnsi="Arial" w:eastAsia="宋体" w:cs="Arial"/>
          <w:spacing w:val="10"/>
          <w:sz w:val="24"/>
          <w:u w:val="single"/>
        </w:rPr>
        <w:t>HJ610-2016地下水二级评价现状监测点</w:t>
      </w:r>
      <w:r>
        <w:rPr>
          <w:rFonts w:ascii="Arial" w:hAnsi="Arial" w:eastAsia="宋体" w:cs="Arial"/>
          <w:spacing w:val="10"/>
          <w:sz w:val="24"/>
          <w:u w:val="single"/>
        </w:rPr>
        <w:t>布点要求。</w:t>
      </w:r>
    </w:p>
    <w:p w14:paraId="1DD4CB22">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地下水水质监测引用数据来源</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4"/>
        <w:gridCol w:w="1921"/>
        <w:gridCol w:w="4908"/>
      </w:tblGrid>
      <w:tr w14:paraId="064DF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3" w:type="pct"/>
            <w:vAlign w:val="center"/>
          </w:tcPr>
          <w:p w14:paraId="07818AAE">
            <w:pPr>
              <w:adjustRightInd w:val="0"/>
              <w:snapToGrid w:val="0"/>
              <w:jc w:val="center"/>
              <w:rPr>
                <w:rFonts w:ascii="Arial" w:hAnsi="Arial" w:eastAsia="宋体" w:cs="Arial"/>
                <w:spacing w:val="10"/>
                <w:sz w:val="21"/>
                <w:szCs w:val="21"/>
                <w:u w:val="single"/>
              </w:rPr>
            </w:pPr>
          </w:p>
        </w:tc>
        <w:tc>
          <w:tcPr>
            <w:tcW w:w="1068" w:type="pct"/>
            <w:vAlign w:val="center"/>
          </w:tcPr>
          <w:p w14:paraId="0FB1F8F3">
            <w:pPr>
              <w:adjustRightInd w:val="0"/>
              <w:snapToGrid w:val="0"/>
              <w:jc w:val="center"/>
              <w:rPr>
                <w:rFonts w:ascii="Arial" w:hAnsi="Arial" w:eastAsia="宋体" w:cs="Arial"/>
                <w:spacing w:val="10"/>
                <w:sz w:val="21"/>
                <w:szCs w:val="21"/>
                <w:u w:val="single"/>
              </w:rPr>
            </w:pPr>
          </w:p>
        </w:tc>
        <w:tc>
          <w:tcPr>
            <w:tcW w:w="2729" w:type="pct"/>
            <w:vAlign w:val="center"/>
          </w:tcPr>
          <w:p w14:paraId="39A83D8C">
            <w:pPr>
              <w:adjustRightInd w:val="0"/>
              <w:snapToGrid w:val="0"/>
              <w:jc w:val="center"/>
              <w:rPr>
                <w:rFonts w:ascii="Arial" w:hAnsi="Arial" w:eastAsia="宋体" w:cs="Arial"/>
                <w:spacing w:val="10"/>
                <w:sz w:val="21"/>
                <w:szCs w:val="21"/>
                <w:u w:val="single"/>
              </w:rPr>
            </w:pPr>
          </w:p>
        </w:tc>
      </w:tr>
      <w:tr w14:paraId="3948A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3" w:type="pct"/>
            <w:vAlign w:val="center"/>
          </w:tcPr>
          <w:p w14:paraId="77304309">
            <w:pPr>
              <w:adjustRightInd w:val="0"/>
              <w:snapToGrid w:val="0"/>
              <w:jc w:val="center"/>
              <w:rPr>
                <w:rFonts w:ascii="Arial" w:hAnsi="Arial" w:eastAsia="宋体" w:cs="Arial"/>
                <w:spacing w:val="10"/>
                <w:sz w:val="21"/>
                <w:szCs w:val="21"/>
                <w:u w:val="single"/>
              </w:rPr>
            </w:pPr>
          </w:p>
        </w:tc>
        <w:tc>
          <w:tcPr>
            <w:tcW w:w="1068" w:type="pct"/>
            <w:vAlign w:val="center"/>
          </w:tcPr>
          <w:p w14:paraId="1188A576">
            <w:pPr>
              <w:adjustRightInd w:val="0"/>
              <w:snapToGrid w:val="0"/>
              <w:jc w:val="center"/>
              <w:rPr>
                <w:rFonts w:ascii="Arial" w:hAnsi="Arial" w:eastAsia="宋体" w:cs="Arial"/>
                <w:spacing w:val="10"/>
                <w:sz w:val="21"/>
                <w:szCs w:val="21"/>
                <w:u w:val="single"/>
              </w:rPr>
            </w:pPr>
          </w:p>
        </w:tc>
        <w:tc>
          <w:tcPr>
            <w:tcW w:w="2729" w:type="pct"/>
            <w:vAlign w:val="center"/>
          </w:tcPr>
          <w:p w14:paraId="424056A4">
            <w:pPr>
              <w:adjustRightInd w:val="0"/>
              <w:snapToGrid w:val="0"/>
              <w:jc w:val="center"/>
              <w:rPr>
                <w:rFonts w:ascii="Arial" w:hAnsi="Arial" w:eastAsia="宋体" w:cs="Arial"/>
                <w:spacing w:val="10"/>
                <w:sz w:val="21"/>
                <w:szCs w:val="21"/>
                <w:u w:val="single"/>
              </w:rPr>
            </w:pPr>
          </w:p>
        </w:tc>
      </w:tr>
      <w:tr w14:paraId="5F813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3" w:type="pct"/>
            <w:vAlign w:val="center"/>
          </w:tcPr>
          <w:p w14:paraId="32A02828">
            <w:pPr>
              <w:adjustRightInd w:val="0"/>
              <w:snapToGrid w:val="0"/>
              <w:jc w:val="center"/>
              <w:rPr>
                <w:rFonts w:ascii="Arial" w:hAnsi="Arial" w:eastAsia="宋体" w:cs="Arial"/>
                <w:spacing w:val="10"/>
                <w:sz w:val="21"/>
                <w:szCs w:val="21"/>
                <w:u w:val="single"/>
              </w:rPr>
            </w:pPr>
          </w:p>
        </w:tc>
        <w:tc>
          <w:tcPr>
            <w:tcW w:w="1068" w:type="pct"/>
            <w:vAlign w:val="center"/>
          </w:tcPr>
          <w:p w14:paraId="4531653E">
            <w:pPr>
              <w:adjustRightInd w:val="0"/>
              <w:snapToGrid w:val="0"/>
              <w:jc w:val="center"/>
              <w:rPr>
                <w:rFonts w:ascii="Arial" w:hAnsi="Arial" w:eastAsia="宋体" w:cs="Arial"/>
                <w:spacing w:val="10"/>
                <w:sz w:val="21"/>
                <w:szCs w:val="21"/>
                <w:u w:val="single"/>
              </w:rPr>
            </w:pPr>
          </w:p>
        </w:tc>
        <w:tc>
          <w:tcPr>
            <w:tcW w:w="2729" w:type="pct"/>
            <w:vAlign w:val="center"/>
          </w:tcPr>
          <w:p w14:paraId="1305C5C8">
            <w:pPr>
              <w:adjustRightInd w:val="0"/>
              <w:snapToGrid w:val="0"/>
              <w:jc w:val="center"/>
              <w:rPr>
                <w:rFonts w:ascii="Arial" w:hAnsi="Arial" w:eastAsia="宋体" w:cs="Arial"/>
                <w:spacing w:val="10"/>
                <w:sz w:val="21"/>
                <w:szCs w:val="21"/>
                <w:u w:val="single"/>
              </w:rPr>
            </w:pPr>
          </w:p>
        </w:tc>
      </w:tr>
      <w:tr w14:paraId="39354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3" w:type="pct"/>
            <w:vAlign w:val="center"/>
          </w:tcPr>
          <w:p w14:paraId="4DA0E43E">
            <w:pPr>
              <w:adjustRightInd w:val="0"/>
              <w:snapToGrid w:val="0"/>
              <w:jc w:val="center"/>
              <w:rPr>
                <w:rFonts w:ascii="Arial" w:hAnsi="Arial" w:eastAsia="宋体" w:cs="Arial"/>
                <w:spacing w:val="10"/>
                <w:sz w:val="21"/>
                <w:szCs w:val="21"/>
                <w:u w:val="single"/>
              </w:rPr>
            </w:pPr>
          </w:p>
        </w:tc>
        <w:tc>
          <w:tcPr>
            <w:tcW w:w="1068" w:type="pct"/>
            <w:vAlign w:val="center"/>
          </w:tcPr>
          <w:p w14:paraId="3060EDE0">
            <w:pPr>
              <w:adjustRightInd w:val="0"/>
              <w:snapToGrid w:val="0"/>
              <w:jc w:val="center"/>
              <w:rPr>
                <w:rFonts w:ascii="Arial" w:hAnsi="Arial" w:eastAsia="宋体" w:cs="Arial"/>
                <w:spacing w:val="10"/>
                <w:sz w:val="21"/>
                <w:szCs w:val="21"/>
                <w:u w:val="single"/>
              </w:rPr>
            </w:pPr>
          </w:p>
        </w:tc>
        <w:tc>
          <w:tcPr>
            <w:tcW w:w="2729" w:type="pct"/>
            <w:vAlign w:val="center"/>
          </w:tcPr>
          <w:p w14:paraId="11926B91">
            <w:pPr>
              <w:adjustRightInd w:val="0"/>
              <w:snapToGrid w:val="0"/>
              <w:jc w:val="center"/>
              <w:rPr>
                <w:rFonts w:ascii="Arial" w:hAnsi="Arial" w:eastAsia="宋体" w:cs="Arial"/>
                <w:spacing w:val="10"/>
                <w:sz w:val="21"/>
                <w:szCs w:val="21"/>
                <w:u w:val="single"/>
              </w:rPr>
            </w:pPr>
          </w:p>
        </w:tc>
      </w:tr>
      <w:tr w14:paraId="040EC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3" w:type="pct"/>
            <w:vAlign w:val="center"/>
          </w:tcPr>
          <w:p w14:paraId="4D05E107">
            <w:pPr>
              <w:adjustRightInd w:val="0"/>
              <w:snapToGrid w:val="0"/>
              <w:jc w:val="center"/>
              <w:rPr>
                <w:rFonts w:ascii="Arial" w:hAnsi="Arial" w:eastAsia="宋体" w:cs="Arial"/>
                <w:spacing w:val="10"/>
                <w:sz w:val="21"/>
                <w:szCs w:val="21"/>
                <w:u w:val="single"/>
              </w:rPr>
            </w:pPr>
          </w:p>
        </w:tc>
        <w:tc>
          <w:tcPr>
            <w:tcW w:w="1068" w:type="pct"/>
            <w:vAlign w:val="center"/>
          </w:tcPr>
          <w:p w14:paraId="7596B5F6">
            <w:pPr>
              <w:adjustRightInd w:val="0"/>
              <w:snapToGrid w:val="0"/>
              <w:jc w:val="center"/>
              <w:rPr>
                <w:rFonts w:ascii="Arial" w:hAnsi="Arial" w:eastAsia="宋体" w:cs="Arial"/>
                <w:spacing w:val="10"/>
                <w:sz w:val="21"/>
                <w:szCs w:val="21"/>
                <w:u w:val="single"/>
              </w:rPr>
            </w:pPr>
          </w:p>
        </w:tc>
        <w:tc>
          <w:tcPr>
            <w:tcW w:w="2729" w:type="pct"/>
            <w:vAlign w:val="center"/>
          </w:tcPr>
          <w:p w14:paraId="31CF9834">
            <w:pPr>
              <w:adjustRightInd w:val="0"/>
              <w:snapToGrid w:val="0"/>
              <w:jc w:val="center"/>
              <w:rPr>
                <w:rFonts w:ascii="Arial" w:hAnsi="Arial" w:eastAsia="宋体" w:cs="Arial"/>
                <w:spacing w:val="10"/>
                <w:sz w:val="21"/>
                <w:szCs w:val="21"/>
                <w:u w:val="single"/>
              </w:rPr>
            </w:pPr>
          </w:p>
        </w:tc>
      </w:tr>
    </w:tbl>
    <w:p w14:paraId="457C6E8B">
      <w:pPr>
        <w:numPr>
          <w:ilvl w:val="0"/>
          <w:numId w:val="19"/>
        </w:numPr>
        <w:spacing w:line="500" w:lineRule="exact"/>
        <w:rPr>
          <w:rFonts w:ascii="Arial" w:hAnsi="Arial" w:eastAsia="宋体" w:cs="Arial"/>
          <w:spacing w:val="10"/>
          <w:sz w:val="24"/>
          <w:szCs w:val="24"/>
          <w:u w:val="single"/>
        </w:rPr>
      </w:pPr>
      <w:r>
        <w:rPr>
          <w:rFonts w:ascii="Arial" w:hAnsi="Arial" w:eastAsia="宋体" w:cs="Arial"/>
          <w:spacing w:val="10"/>
          <w:sz w:val="24"/>
          <w:szCs w:val="24"/>
        </w:rPr>
        <w:t xml:space="preserve"> </w:t>
      </w:r>
      <w:r>
        <w:rPr>
          <w:rFonts w:ascii="Arial" w:hAnsi="Arial" w:eastAsia="宋体" w:cs="Arial"/>
          <w:spacing w:val="10"/>
          <w:sz w:val="24"/>
          <w:szCs w:val="24"/>
          <w:u w:val="single"/>
        </w:rPr>
        <w:t>监测点位</w:t>
      </w:r>
    </w:p>
    <w:p w14:paraId="51A996FF">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项目</w:t>
      </w:r>
      <w:r>
        <w:rPr>
          <w:rFonts w:ascii="Arial" w:hAnsi="Arial" w:eastAsia="宋体" w:cs="Arial"/>
          <w:spacing w:val="10"/>
          <w:sz w:val="24"/>
          <w:u w:val="single"/>
        </w:rPr>
        <w:t>设5个地下水水质监测点位，具体见表3-</w:t>
      </w:r>
      <w:r>
        <w:rPr>
          <w:rFonts w:hint="eastAsia" w:ascii="Arial" w:hAnsi="Arial" w:eastAsia="宋体" w:cs="Arial"/>
          <w:spacing w:val="10"/>
          <w:sz w:val="24"/>
          <w:u w:val="single"/>
        </w:rPr>
        <w:t>13</w:t>
      </w:r>
      <w:r>
        <w:rPr>
          <w:rFonts w:ascii="Arial" w:hAnsi="Arial" w:eastAsia="宋体" w:cs="Arial"/>
          <w:spacing w:val="10"/>
          <w:sz w:val="24"/>
          <w:u w:val="single"/>
        </w:rPr>
        <w:t>。</w:t>
      </w:r>
    </w:p>
    <w:p w14:paraId="72129FEE">
      <w:pPr>
        <w:keepNext/>
        <w:keepLines/>
        <w:numPr>
          <w:ilvl w:val="0"/>
          <w:numId w:val="16"/>
        </w:numPr>
        <w:spacing w:line="500" w:lineRule="exact"/>
        <w:ind w:left="0" w:firstLine="0"/>
        <w:jc w:val="center"/>
        <w:outlineLvl w:val="4"/>
        <w:rPr>
          <w:rFonts w:ascii="Arial" w:hAnsi="Arial" w:eastAsia="宋体" w:cs="Arial"/>
          <w:b/>
          <w:sz w:val="24"/>
          <w:szCs w:val="24"/>
          <w:u w:val="single"/>
        </w:rPr>
      </w:pPr>
      <w:r>
        <w:rPr>
          <w:rFonts w:ascii="Arial" w:hAnsi="Arial" w:eastAsia="宋体" w:cs="Arial"/>
          <w:b/>
          <w:sz w:val="24"/>
          <w:szCs w:val="24"/>
          <w:u w:val="single"/>
        </w:rPr>
        <w:t>地下水监测点位表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2547"/>
        <w:gridCol w:w="1020"/>
        <w:gridCol w:w="2356"/>
        <w:gridCol w:w="2354"/>
      </w:tblGrid>
      <w:tr w14:paraId="2D4BC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8" w:type="pct"/>
            <w:shd w:val="clear" w:color="auto" w:fill="auto"/>
            <w:vAlign w:val="center"/>
          </w:tcPr>
          <w:p w14:paraId="4F8E71DC">
            <w:pPr>
              <w:adjustRightInd w:val="0"/>
              <w:snapToGrid w:val="0"/>
              <w:jc w:val="center"/>
              <w:rPr>
                <w:rFonts w:ascii="Arial" w:hAnsi="Arial" w:eastAsia="宋体" w:cs="Arial"/>
                <w:spacing w:val="10"/>
                <w:sz w:val="21"/>
                <w:szCs w:val="21"/>
                <w:u w:val="single"/>
              </w:rPr>
            </w:pPr>
          </w:p>
        </w:tc>
        <w:tc>
          <w:tcPr>
            <w:tcW w:w="1416" w:type="pct"/>
            <w:shd w:val="clear" w:color="auto" w:fill="auto"/>
            <w:vAlign w:val="center"/>
          </w:tcPr>
          <w:p w14:paraId="26B2DD44">
            <w:pPr>
              <w:adjustRightInd w:val="0"/>
              <w:snapToGrid w:val="0"/>
              <w:jc w:val="center"/>
              <w:rPr>
                <w:rFonts w:ascii="Arial" w:hAnsi="Arial" w:eastAsia="宋体" w:cs="Arial"/>
                <w:spacing w:val="10"/>
                <w:sz w:val="21"/>
                <w:szCs w:val="21"/>
                <w:u w:val="single"/>
              </w:rPr>
            </w:pPr>
          </w:p>
        </w:tc>
        <w:tc>
          <w:tcPr>
            <w:tcW w:w="567" w:type="pct"/>
            <w:shd w:val="clear" w:color="auto" w:fill="auto"/>
            <w:vAlign w:val="center"/>
          </w:tcPr>
          <w:p w14:paraId="36DF3319">
            <w:pPr>
              <w:adjustRightInd w:val="0"/>
              <w:snapToGrid w:val="0"/>
              <w:jc w:val="center"/>
              <w:rPr>
                <w:rFonts w:ascii="Arial" w:hAnsi="Arial" w:eastAsia="宋体" w:cs="Arial"/>
                <w:spacing w:val="10"/>
                <w:sz w:val="21"/>
                <w:szCs w:val="21"/>
                <w:u w:val="single"/>
              </w:rPr>
            </w:pPr>
          </w:p>
        </w:tc>
        <w:tc>
          <w:tcPr>
            <w:tcW w:w="1310" w:type="pct"/>
            <w:shd w:val="clear" w:color="auto" w:fill="auto"/>
            <w:vAlign w:val="center"/>
          </w:tcPr>
          <w:p w14:paraId="2BB8252B">
            <w:pPr>
              <w:adjustRightInd w:val="0"/>
              <w:snapToGrid w:val="0"/>
              <w:jc w:val="center"/>
              <w:rPr>
                <w:rFonts w:ascii="Arial" w:hAnsi="Arial" w:eastAsia="宋体" w:cs="Arial"/>
                <w:spacing w:val="10"/>
                <w:sz w:val="21"/>
                <w:szCs w:val="21"/>
                <w:u w:val="single"/>
              </w:rPr>
            </w:pPr>
          </w:p>
        </w:tc>
        <w:tc>
          <w:tcPr>
            <w:tcW w:w="1309" w:type="pct"/>
            <w:shd w:val="clear" w:color="auto" w:fill="auto"/>
            <w:vAlign w:val="center"/>
          </w:tcPr>
          <w:p w14:paraId="5276A95A">
            <w:pPr>
              <w:adjustRightInd w:val="0"/>
              <w:snapToGrid w:val="0"/>
              <w:jc w:val="center"/>
              <w:rPr>
                <w:rFonts w:ascii="Arial" w:hAnsi="Arial" w:eastAsia="宋体" w:cs="Arial"/>
                <w:spacing w:val="10"/>
                <w:sz w:val="21"/>
                <w:szCs w:val="21"/>
                <w:u w:val="single"/>
              </w:rPr>
            </w:pPr>
          </w:p>
        </w:tc>
      </w:tr>
      <w:tr w14:paraId="1E3BA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8" w:type="pct"/>
            <w:shd w:val="clear" w:color="auto" w:fill="auto"/>
            <w:vAlign w:val="center"/>
          </w:tcPr>
          <w:p w14:paraId="50182967">
            <w:pPr>
              <w:adjustRightInd w:val="0"/>
              <w:snapToGrid w:val="0"/>
              <w:jc w:val="center"/>
              <w:rPr>
                <w:rFonts w:ascii="Arial" w:hAnsi="Arial" w:eastAsia="宋体" w:cs="Arial"/>
                <w:spacing w:val="10"/>
                <w:sz w:val="21"/>
                <w:szCs w:val="21"/>
                <w:u w:val="single"/>
              </w:rPr>
            </w:pPr>
          </w:p>
        </w:tc>
        <w:tc>
          <w:tcPr>
            <w:tcW w:w="1416" w:type="pct"/>
            <w:shd w:val="clear" w:color="auto" w:fill="auto"/>
            <w:vAlign w:val="center"/>
          </w:tcPr>
          <w:p w14:paraId="49F93633">
            <w:pPr>
              <w:adjustRightInd w:val="0"/>
              <w:snapToGrid w:val="0"/>
              <w:jc w:val="center"/>
              <w:rPr>
                <w:rFonts w:ascii="Arial" w:hAnsi="Arial" w:eastAsia="宋体" w:cs="Arial"/>
                <w:spacing w:val="10"/>
                <w:sz w:val="21"/>
                <w:szCs w:val="21"/>
                <w:u w:val="single"/>
              </w:rPr>
            </w:pPr>
          </w:p>
        </w:tc>
        <w:tc>
          <w:tcPr>
            <w:tcW w:w="567" w:type="pct"/>
            <w:shd w:val="clear" w:color="auto" w:fill="auto"/>
            <w:vAlign w:val="center"/>
          </w:tcPr>
          <w:p w14:paraId="78A11DF0">
            <w:pPr>
              <w:adjustRightInd w:val="0"/>
              <w:snapToGrid w:val="0"/>
              <w:jc w:val="center"/>
              <w:rPr>
                <w:rFonts w:ascii="Arial" w:hAnsi="Arial" w:eastAsia="宋体" w:cs="Arial"/>
                <w:spacing w:val="10"/>
                <w:sz w:val="21"/>
                <w:szCs w:val="21"/>
                <w:u w:val="single"/>
              </w:rPr>
            </w:pPr>
          </w:p>
        </w:tc>
        <w:tc>
          <w:tcPr>
            <w:tcW w:w="1310" w:type="pct"/>
            <w:shd w:val="clear" w:color="auto" w:fill="auto"/>
            <w:vAlign w:val="center"/>
          </w:tcPr>
          <w:p w14:paraId="5806711A">
            <w:pPr>
              <w:adjustRightInd w:val="0"/>
              <w:snapToGrid w:val="0"/>
              <w:jc w:val="center"/>
              <w:rPr>
                <w:rFonts w:ascii="Arial" w:hAnsi="Arial" w:eastAsia="宋体" w:cs="Arial"/>
                <w:spacing w:val="10"/>
                <w:sz w:val="21"/>
                <w:szCs w:val="21"/>
                <w:u w:val="single"/>
              </w:rPr>
            </w:pPr>
          </w:p>
        </w:tc>
        <w:tc>
          <w:tcPr>
            <w:tcW w:w="1309" w:type="pct"/>
            <w:shd w:val="clear" w:color="auto" w:fill="auto"/>
            <w:vAlign w:val="center"/>
          </w:tcPr>
          <w:p w14:paraId="0A2DE876">
            <w:pPr>
              <w:adjustRightInd w:val="0"/>
              <w:snapToGrid w:val="0"/>
              <w:jc w:val="center"/>
              <w:rPr>
                <w:rFonts w:ascii="Arial" w:hAnsi="Arial" w:eastAsia="宋体" w:cs="Arial"/>
                <w:spacing w:val="10"/>
                <w:sz w:val="21"/>
                <w:szCs w:val="21"/>
                <w:u w:val="single"/>
              </w:rPr>
            </w:pPr>
          </w:p>
        </w:tc>
      </w:tr>
      <w:tr w14:paraId="5488D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8" w:type="pct"/>
            <w:shd w:val="clear" w:color="auto" w:fill="auto"/>
            <w:vAlign w:val="center"/>
          </w:tcPr>
          <w:p w14:paraId="727E5E14">
            <w:pPr>
              <w:adjustRightInd w:val="0"/>
              <w:snapToGrid w:val="0"/>
              <w:jc w:val="center"/>
              <w:rPr>
                <w:rFonts w:ascii="Arial" w:hAnsi="Arial" w:eastAsia="宋体" w:cs="Arial"/>
                <w:spacing w:val="10"/>
                <w:sz w:val="21"/>
                <w:szCs w:val="21"/>
                <w:u w:val="single"/>
              </w:rPr>
            </w:pPr>
          </w:p>
        </w:tc>
        <w:tc>
          <w:tcPr>
            <w:tcW w:w="1416" w:type="pct"/>
            <w:shd w:val="clear" w:color="auto" w:fill="auto"/>
            <w:vAlign w:val="center"/>
          </w:tcPr>
          <w:p w14:paraId="74EC0D43">
            <w:pPr>
              <w:adjustRightInd w:val="0"/>
              <w:snapToGrid w:val="0"/>
              <w:jc w:val="center"/>
              <w:rPr>
                <w:rFonts w:ascii="Arial" w:hAnsi="Arial" w:eastAsia="宋体" w:cs="Arial"/>
                <w:spacing w:val="10"/>
                <w:sz w:val="21"/>
                <w:szCs w:val="21"/>
                <w:u w:val="single"/>
              </w:rPr>
            </w:pPr>
          </w:p>
        </w:tc>
        <w:tc>
          <w:tcPr>
            <w:tcW w:w="567" w:type="pct"/>
            <w:shd w:val="clear" w:color="auto" w:fill="auto"/>
            <w:vAlign w:val="center"/>
          </w:tcPr>
          <w:p w14:paraId="1EC5C80A">
            <w:pPr>
              <w:adjustRightInd w:val="0"/>
              <w:snapToGrid w:val="0"/>
              <w:jc w:val="center"/>
              <w:rPr>
                <w:rFonts w:ascii="Arial" w:hAnsi="Arial" w:eastAsia="宋体" w:cs="Arial"/>
                <w:spacing w:val="10"/>
                <w:sz w:val="21"/>
                <w:szCs w:val="21"/>
                <w:u w:val="single"/>
              </w:rPr>
            </w:pPr>
          </w:p>
        </w:tc>
        <w:tc>
          <w:tcPr>
            <w:tcW w:w="1310" w:type="pct"/>
            <w:shd w:val="clear" w:color="auto" w:fill="auto"/>
            <w:vAlign w:val="center"/>
          </w:tcPr>
          <w:p w14:paraId="2497F57C">
            <w:pPr>
              <w:adjustRightInd w:val="0"/>
              <w:snapToGrid w:val="0"/>
              <w:jc w:val="center"/>
              <w:rPr>
                <w:rFonts w:ascii="Arial" w:hAnsi="Arial" w:eastAsia="宋体" w:cs="Arial"/>
                <w:spacing w:val="10"/>
                <w:sz w:val="21"/>
                <w:szCs w:val="21"/>
                <w:u w:val="single"/>
              </w:rPr>
            </w:pPr>
          </w:p>
        </w:tc>
        <w:tc>
          <w:tcPr>
            <w:tcW w:w="1309" w:type="pct"/>
            <w:shd w:val="clear" w:color="auto" w:fill="auto"/>
            <w:vAlign w:val="center"/>
          </w:tcPr>
          <w:p w14:paraId="74B16551">
            <w:pPr>
              <w:adjustRightInd w:val="0"/>
              <w:snapToGrid w:val="0"/>
              <w:jc w:val="center"/>
              <w:rPr>
                <w:rFonts w:ascii="Arial" w:hAnsi="Arial" w:eastAsia="宋体" w:cs="Arial"/>
                <w:spacing w:val="10"/>
                <w:sz w:val="21"/>
                <w:szCs w:val="21"/>
                <w:u w:val="single"/>
              </w:rPr>
            </w:pPr>
          </w:p>
        </w:tc>
      </w:tr>
      <w:tr w14:paraId="6B496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8" w:type="pct"/>
            <w:shd w:val="clear" w:color="auto" w:fill="auto"/>
            <w:vAlign w:val="center"/>
          </w:tcPr>
          <w:p w14:paraId="2154AA99">
            <w:pPr>
              <w:adjustRightInd w:val="0"/>
              <w:snapToGrid w:val="0"/>
              <w:jc w:val="center"/>
              <w:rPr>
                <w:rFonts w:ascii="Arial" w:hAnsi="Arial" w:eastAsia="宋体" w:cs="Arial"/>
                <w:spacing w:val="10"/>
                <w:sz w:val="21"/>
                <w:szCs w:val="21"/>
                <w:u w:val="single"/>
              </w:rPr>
            </w:pPr>
          </w:p>
        </w:tc>
        <w:tc>
          <w:tcPr>
            <w:tcW w:w="1416" w:type="pct"/>
            <w:shd w:val="clear" w:color="auto" w:fill="auto"/>
            <w:vAlign w:val="center"/>
          </w:tcPr>
          <w:p w14:paraId="48217650">
            <w:pPr>
              <w:adjustRightInd w:val="0"/>
              <w:snapToGrid w:val="0"/>
              <w:jc w:val="center"/>
              <w:rPr>
                <w:rFonts w:ascii="Arial" w:hAnsi="Arial" w:eastAsia="宋体" w:cs="Arial"/>
                <w:spacing w:val="10"/>
                <w:sz w:val="21"/>
                <w:szCs w:val="21"/>
                <w:u w:val="single"/>
              </w:rPr>
            </w:pPr>
          </w:p>
        </w:tc>
        <w:tc>
          <w:tcPr>
            <w:tcW w:w="567" w:type="pct"/>
            <w:shd w:val="clear" w:color="auto" w:fill="auto"/>
            <w:vAlign w:val="center"/>
          </w:tcPr>
          <w:p w14:paraId="46C4C6E2">
            <w:pPr>
              <w:adjustRightInd w:val="0"/>
              <w:snapToGrid w:val="0"/>
              <w:jc w:val="center"/>
              <w:rPr>
                <w:rFonts w:ascii="Arial" w:hAnsi="Arial" w:eastAsia="宋体" w:cs="Arial"/>
                <w:spacing w:val="10"/>
                <w:sz w:val="21"/>
                <w:szCs w:val="21"/>
                <w:u w:val="single"/>
              </w:rPr>
            </w:pPr>
          </w:p>
        </w:tc>
        <w:tc>
          <w:tcPr>
            <w:tcW w:w="1310" w:type="pct"/>
            <w:shd w:val="clear" w:color="auto" w:fill="auto"/>
            <w:vAlign w:val="center"/>
          </w:tcPr>
          <w:p w14:paraId="060EB48E">
            <w:pPr>
              <w:adjustRightInd w:val="0"/>
              <w:snapToGrid w:val="0"/>
              <w:jc w:val="center"/>
              <w:rPr>
                <w:rFonts w:ascii="Arial" w:hAnsi="Arial" w:eastAsia="宋体" w:cs="Arial"/>
                <w:spacing w:val="10"/>
                <w:sz w:val="21"/>
                <w:szCs w:val="21"/>
                <w:u w:val="single"/>
              </w:rPr>
            </w:pPr>
          </w:p>
        </w:tc>
        <w:tc>
          <w:tcPr>
            <w:tcW w:w="1309" w:type="pct"/>
            <w:shd w:val="clear" w:color="auto" w:fill="auto"/>
            <w:vAlign w:val="center"/>
          </w:tcPr>
          <w:p w14:paraId="7D316700">
            <w:pPr>
              <w:adjustRightInd w:val="0"/>
              <w:snapToGrid w:val="0"/>
              <w:jc w:val="center"/>
              <w:rPr>
                <w:rFonts w:ascii="Arial" w:hAnsi="Arial" w:eastAsia="宋体" w:cs="Arial"/>
                <w:spacing w:val="10"/>
                <w:sz w:val="21"/>
                <w:szCs w:val="21"/>
                <w:u w:val="single"/>
              </w:rPr>
            </w:pPr>
          </w:p>
        </w:tc>
      </w:tr>
      <w:tr w14:paraId="11BDA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8" w:type="pct"/>
            <w:shd w:val="clear" w:color="auto" w:fill="auto"/>
            <w:vAlign w:val="center"/>
          </w:tcPr>
          <w:p w14:paraId="7ADED8D8">
            <w:pPr>
              <w:adjustRightInd w:val="0"/>
              <w:snapToGrid w:val="0"/>
              <w:jc w:val="center"/>
              <w:rPr>
                <w:rFonts w:ascii="Arial" w:hAnsi="Arial" w:eastAsia="宋体" w:cs="Arial"/>
                <w:spacing w:val="10"/>
                <w:sz w:val="21"/>
                <w:szCs w:val="21"/>
                <w:u w:val="single"/>
              </w:rPr>
            </w:pPr>
          </w:p>
        </w:tc>
        <w:tc>
          <w:tcPr>
            <w:tcW w:w="1416" w:type="pct"/>
            <w:shd w:val="clear" w:color="auto" w:fill="auto"/>
            <w:vAlign w:val="center"/>
          </w:tcPr>
          <w:p w14:paraId="5231CC7B">
            <w:pPr>
              <w:adjustRightInd w:val="0"/>
              <w:snapToGrid w:val="0"/>
              <w:jc w:val="center"/>
              <w:rPr>
                <w:rFonts w:ascii="Arial" w:hAnsi="Arial" w:eastAsia="宋体" w:cs="Arial"/>
                <w:spacing w:val="10"/>
                <w:sz w:val="21"/>
                <w:szCs w:val="21"/>
                <w:u w:val="single"/>
              </w:rPr>
            </w:pPr>
          </w:p>
        </w:tc>
        <w:tc>
          <w:tcPr>
            <w:tcW w:w="567" w:type="pct"/>
            <w:shd w:val="clear" w:color="auto" w:fill="auto"/>
            <w:vAlign w:val="center"/>
          </w:tcPr>
          <w:p w14:paraId="5B7E67D1">
            <w:pPr>
              <w:adjustRightInd w:val="0"/>
              <w:snapToGrid w:val="0"/>
              <w:jc w:val="center"/>
              <w:rPr>
                <w:rFonts w:ascii="Arial" w:hAnsi="Arial" w:eastAsia="宋体" w:cs="Arial"/>
                <w:spacing w:val="10"/>
                <w:sz w:val="21"/>
                <w:szCs w:val="21"/>
                <w:u w:val="single"/>
              </w:rPr>
            </w:pPr>
          </w:p>
        </w:tc>
        <w:tc>
          <w:tcPr>
            <w:tcW w:w="1310" w:type="pct"/>
            <w:shd w:val="clear" w:color="auto" w:fill="auto"/>
            <w:vAlign w:val="center"/>
          </w:tcPr>
          <w:p w14:paraId="1B61B4AA">
            <w:pPr>
              <w:adjustRightInd w:val="0"/>
              <w:snapToGrid w:val="0"/>
              <w:jc w:val="center"/>
              <w:rPr>
                <w:rFonts w:ascii="Arial" w:hAnsi="Arial" w:eastAsia="宋体" w:cs="Arial"/>
                <w:spacing w:val="10"/>
                <w:sz w:val="21"/>
                <w:szCs w:val="21"/>
                <w:u w:val="single"/>
              </w:rPr>
            </w:pPr>
          </w:p>
        </w:tc>
        <w:tc>
          <w:tcPr>
            <w:tcW w:w="1309" w:type="pct"/>
            <w:shd w:val="clear" w:color="auto" w:fill="auto"/>
            <w:vAlign w:val="center"/>
          </w:tcPr>
          <w:p w14:paraId="0E5C9B47">
            <w:pPr>
              <w:adjustRightInd w:val="0"/>
              <w:snapToGrid w:val="0"/>
              <w:jc w:val="center"/>
              <w:rPr>
                <w:rFonts w:ascii="Arial" w:hAnsi="Arial" w:eastAsia="宋体" w:cs="Arial"/>
                <w:spacing w:val="10"/>
                <w:sz w:val="21"/>
                <w:szCs w:val="21"/>
                <w:u w:val="single"/>
              </w:rPr>
            </w:pPr>
          </w:p>
        </w:tc>
      </w:tr>
      <w:tr w14:paraId="1C8E1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8" w:type="pct"/>
            <w:shd w:val="clear" w:color="auto" w:fill="auto"/>
            <w:vAlign w:val="center"/>
          </w:tcPr>
          <w:p w14:paraId="345B4E55">
            <w:pPr>
              <w:adjustRightInd w:val="0"/>
              <w:snapToGrid w:val="0"/>
              <w:jc w:val="center"/>
              <w:rPr>
                <w:rFonts w:ascii="Arial" w:hAnsi="Arial" w:eastAsia="宋体" w:cs="Arial"/>
                <w:spacing w:val="10"/>
                <w:sz w:val="21"/>
                <w:szCs w:val="21"/>
                <w:u w:val="single"/>
              </w:rPr>
            </w:pPr>
          </w:p>
        </w:tc>
        <w:tc>
          <w:tcPr>
            <w:tcW w:w="1416" w:type="pct"/>
            <w:shd w:val="clear" w:color="auto" w:fill="auto"/>
            <w:vAlign w:val="center"/>
          </w:tcPr>
          <w:p w14:paraId="2DD8ECF2">
            <w:pPr>
              <w:adjustRightInd w:val="0"/>
              <w:snapToGrid w:val="0"/>
              <w:jc w:val="center"/>
              <w:rPr>
                <w:rFonts w:ascii="Arial" w:hAnsi="Arial" w:eastAsia="宋体" w:cs="Arial"/>
                <w:spacing w:val="10"/>
                <w:sz w:val="21"/>
                <w:szCs w:val="21"/>
                <w:u w:val="single"/>
              </w:rPr>
            </w:pPr>
          </w:p>
        </w:tc>
        <w:tc>
          <w:tcPr>
            <w:tcW w:w="567" w:type="pct"/>
            <w:shd w:val="clear" w:color="auto" w:fill="auto"/>
            <w:vAlign w:val="center"/>
          </w:tcPr>
          <w:p w14:paraId="7606C020">
            <w:pPr>
              <w:adjustRightInd w:val="0"/>
              <w:snapToGrid w:val="0"/>
              <w:jc w:val="center"/>
              <w:rPr>
                <w:rFonts w:ascii="Arial" w:hAnsi="Arial" w:eastAsia="宋体" w:cs="Arial"/>
                <w:spacing w:val="10"/>
                <w:sz w:val="21"/>
                <w:szCs w:val="21"/>
                <w:u w:val="single"/>
              </w:rPr>
            </w:pPr>
          </w:p>
        </w:tc>
        <w:tc>
          <w:tcPr>
            <w:tcW w:w="1310" w:type="pct"/>
            <w:shd w:val="clear" w:color="auto" w:fill="auto"/>
            <w:vAlign w:val="center"/>
          </w:tcPr>
          <w:p w14:paraId="7C057F03">
            <w:pPr>
              <w:adjustRightInd w:val="0"/>
              <w:snapToGrid w:val="0"/>
              <w:jc w:val="center"/>
              <w:rPr>
                <w:rFonts w:ascii="Arial" w:hAnsi="Arial" w:eastAsia="宋体" w:cs="Arial"/>
                <w:spacing w:val="10"/>
                <w:sz w:val="21"/>
                <w:szCs w:val="21"/>
                <w:u w:val="single"/>
              </w:rPr>
            </w:pPr>
          </w:p>
        </w:tc>
        <w:tc>
          <w:tcPr>
            <w:tcW w:w="1309" w:type="pct"/>
            <w:shd w:val="clear" w:color="auto" w:fill="auto"/>
            <w:vAlign w:val="center"/>
          </w:tcPr>
          <w:p w14:paraId="79E68BCD">
            <w:pPr>
              <w:adjustRightInd w:val="0"/>
              <w:snapToGrid w:val="0"/>
              <w:jc w:val="center"/>
              <w:rPr>
                <w:rFonts w:ascii="Arial" w:hAnsi="Arial" w:eastAsia="宋体" w:cs="Arial"/>
                <w:spacing w:val="10"/>
                <w:sz w:val="21"/>
                <w:szCs w:val="21"/>
                <w:u w:val="single"/>
              </w:rPr>
            </w:pPr>
          </w:p>
        </w:tc>
      </w:tr>
    </w:tbl>
    <w:p w14:paraId="134BE404">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监测因子：</w:t>
      </w:r>
    </w:p>
    <w:p w14:paraId="61773070">
      <w:pPr>
        <w:spacing w:line="500" w:lineRule="exact"/>
        <w:ind w:firstLine="490" w:firstLineChars="200"/>
        <w:rPr>
          <w:rFonts w:ascii="Arial" w:hAnsi="Arial" w:eastAsia="宋体" w:cs="Arial"/>
          <w:spacing w:val="10"/>
          <w:sz w:val="24"/>
        </w:rPr>
      </w:pPr>
      <w:r>
        <w:rPr>
          <w:rFonts w:ascii="Arial" w:hAnsi="Arial" w:eastAsia="宋体" w:cs="Arial"/>
          <w:spacing w:val="10"/>
          <w:sz w:val="24"/>
        </w:rPr>
        <w:t>八大离子：K</w:t>
      </w:r>
      <w:r>
        <w:rPr>
          <w:rFonts w:ascii="Arial" w:hAnsi="Arial" w:eastAsia="宋体" w:cs="Arial"/>
          <w:spacing w:val="10"/>
          <w:sz w:val="24"/>
          <w:vertAlign w:val="superscript"/>
        </w:rPr>
        <w:t>+</w:t>
      </w:r>
      <w:r>
        <w:rPr>
          <w:rFonts w:ascii="Arial" w:hAnsi="Arial" w:eastAsia="宋体" w:cs="Arial"/>
          <w:spacing w:val="10"/>
          <w:sz w:val="24"/>
        </w:rPr>
        <w:t>、Na</w:t>
      </w:r>
      <w:r>
        <w:rPr>
          <w:rFonts w:ascii="Arial" w:hAnsi="Arial" w:eastAsia="宋体" w:cs="Arial"/>
          <w:spacing w:val="10"/>
          <w:sz w:val="24"/>
          <w:vertAlign w:val="superscript"/>
        </w:rPr>
        <w:t>+</w:t>
      </w:r>
      <w:r>
        <w:rPr>
          <w:rFonts w:ascii="Arial" w:hAnsi="Arial" w:eastAsia="宋体" w:cs="Arial"/>
          <w:spacing w:val="10"/>
          <w:sz w:val="24"/>
        </w:rPr>
        <w:t>、Ca</w:t>
      </w:r>
      <w:r>
        <w:rPr>
          <w:rFonts w:ascii="Arial" w:hAnsi="Arial" w:eastAsia="宋体" w:cs="Arial"/>
          <w:spacing w:val="10"/>
          <w:sz w:val="24"/>
          <w:vertAlign w:val="superscript"/>
        </w:rPr>
        <w:t>2+</w:t>
      </w:r>
      <w:r>
        <w:rPr>
          <w:rFonts w:ascii="Arial" w:hAnsi="Arial" w:eastAsia="宋体" w:cs="Arial"/>
          <w:spacing w:val="10"/>
          <w:sz w:val="24"/>
        </w:rPr>
        <w:t>、Mg</w:t>
      </w:r>
      <w:r>
        <w:rPr>
          <w:rFonts w:ascii="Arial" w:hAnsi="Arial" w:eastAsia="宋体" w:cs="Arial"/>
          <w:spacing w:val="10"/>
          <w:sz w:val="24"/>
          <w:vertAlign w:val="superscript"/>
        </w:rPr>
        <w:t>2+</w:t>
      </w:r>
      <w:r>
        <w:rPr>
          <w:rFonts w:ascii="Arial" w:hAnsi="Arial" w:eastAsia="宋体" w:cs="Arial"/>
          <w:spacing w:val="10"/>
          <w:sz w:val="24"/>
        </w:rPr>
        <w:t>、CO</w:t>
      </w:r>
      <w:r>
        <w:rPr>
          <w:rFonts w:ascii="Arial" w:hAnsi="Arial" w:eastAsia="宋体" w:cs="Arial"/>
          <w:spacing w:val="10"/>
          <w:sz w:val="24"/>
          <w:vertAlign w:val="subscript"/>
        </w:rPr>
        <w:t>3</w:t>
      </w:r>
      <w:r>
        <w:rPr>
          <w:rFonts w:ascii="Arial" w:hAnsi="Arial" w:eastAsia="宋体" w:cs="Arial"/>
          <w:spacing w:val="10"/>
          <w:sz w:val="24"/>
          <w:vertAlign w:val="superscript"/>
        </w:rPr>
        <w:t>2-</w:t>
      </w:r>
      <w:r>
        <w:rPr>
          <w:rFonts w:ascii="Arial" w:hAnsi="Arial" w:eastAsia="宋体" w:cs="Arial"/>
          <w:spacing w:val="10"/>
          <w:sz w:val="24"/>
        </w:rPr>
        <w:t>、HCO</w:t>
      </w:r>
      <w:r>
        <w:rPr>
          <w:rFonts w:ascii="Arial" w:hAnsi="Arial" w:eastAsia="宋体" w:cs="Arial"/>
          <w:spacing w:val="10"/>
          <w:sz w:val="24"/>
          <w:vertAlign w:val="subscript"/>
        </w:rPr>
        <w:t>3</w:t>
      </w:r>
      <w:r>
        <w:rPr>
          <w:rFonts w:ascii="Arial" w:hAnsi="Arial" w:eastAsia="宋体" w:cs="Arial"/>
          <w:spacing w:val="10"/>
          <w:sz w:val="24"/>
          <w:vertAlign w:val="superscript"/>
        </w:rPr>
        <w:t>-</w:t>
      </w:r>
      <w:r>
        <w:rPr>
          <w:rFonts w:ascii="Arial" w:hAnsi="Arial" w:eastAsia="宋体" w:cs="Arial"/>
          <w:spacing w:val="10"/>
          <w:sz w:val="24"/>
        </w:rPr>
        <w:t>、Cl</w:t>
      </w:r>
      <w:r>
        <w:rPr>
          <w:rFonts w:ascii="Arial" w:hAnsi="Arial" w:eastAsia="宋体" w:cs="Arial"/>
          <w:spacing w:val="10"/>
          <w:sz w:val="24"/>
          <w:vertAlign w:val="superscript"/>
        </w:rPr>
        <w:t>-</w:t>
      </w:r>
      <w:r>
        <w:rPr>
          <w:rFonts w:ascii="Arial" w:hAnsi="Arial" w:eastAsia="宋体" w:cs="Arial"/>
          <w:spacing w:val="10"/>
          <w:sz w:val="24"/>
        </w:rPr>
        <w:t>、SO</w:t>
      </w:r>
      <w:r>
        <w:rPr>
          <w:rFonts w:ascii="Arial" w:hAnsi="Arial" w:eastAsia="宋体" w:cs="Arial"/>
          <w:spacing w:val="10"/>
          <w:sz w:val="24"/>
          <w:vertAlign w:val="subscript"/>
        </w:rPr>
        <w:t>4</w:t>
      </w:r>
      <w:r>
        <w:rPr>
          <w:rFonts w:ascii="Arial" w:hAnsi="Arial" w:eastAsia="宋体" w:cs="Arial"/>
          <w:spacing w:val="10"/>
          <w:sz w:val="24"/>
          <w:vertAlign w:val="superscript"/>
        </w:rPr>
        <w:t>2-</w:t>
      </w:r>
      <w:r>
        <w:rPr>
          <w:rFonts w:ascii="Arial" w:hAnsi="Arial" w:eastAsia="宋体" w:cs="Arial"/>
          <w:spacing w:val="10"/>
          <w:sz w:val="24"/>
        </w:rPr>
        <w:t>。</w:t>
      </w:r>
    </w:p>
    <w:p w14:paraId="348A215D">
      <w:pPr>
        <w:spacing w:line="500" w:lineRule="exact"/>
        <w:ind w:firstLine="490" w:firstLineChars="200"/>
        <w:rPr>
          <w:rFonts w:ascii="Arial" w:hAnsi="Arial" w:eastAsia="宋体" w:cs="Arial"/>
          <w:spacing w:val="10"/>
          <w:sz w:val="24"/>
        </w:rPr>
      </w:pPr>
      <w:r>
        <w:rPr>
          <w:rFonts w:ascii="Arial" w:hAnsi="Arial" w:eastAsia="宋体" w:cs="Arial"/>
          <w:spacing w:val="10"/>
          <w:sz w:val="24"/>
        </w:rPr>
        <w:t>基本因子：pH值、总硬度、溶解性总固体、锰、铜、锌、耗氧量、硝酸盐氮、亚硝酸盐氮、挥发酚、氨氮、汞、镍、石油类、钴、铁、氟化物、硫化物、砷、六价铬、铅、镉。</w:t>
      </w:r>
    </w:p>
    <w:p w14:paraId="322EBD1C">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⑶</w:t>
      </w:r>
      <w:r>
        <w:rPr>
          <w:rFonts w:ascii="Arial" w:hAnsi="Arial" w:eastAsia="宋体" w:cs="Arial"/>
          <w:spacing w:val="10"/>
          <w:sz w:val="24"/>
        </w:rPr>
        <w:t xml:space="preserve"> 监测结果及评价</w:t>
      </w:r>
    </w:p>
    <w:p w14:paraId="4619AA39">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地下水水质评价结果表   单位：mg/L</w:t>
      </w:r>
    </w:p>
    <w:tbl>
      <w:tblPr>
        <w:tblStyle w:val="88"/>
        <w:tblW w:w="5000" w:type="pct"/>
        <w:jc w:val="center"/>
        <w:tblLayout w:type="autofit"/>
        <w:tblCellMar>
          <w:top w:w="15" w:type="dxa"/>
          <w:left w:w="15" w:type="dxa"/>
          <w:bottom w:w="15" w:type="dxa"/>
          <w:right w:w="15" w:type="dxa"/>
        </w:tblCellMar>
      </w:tblPr>
      <w:tblGrid>
        <w:gridCol w:w="461"/>
        <w:gridCol w:w="1434"/>
        <w:gridCol w:w="845"/>
        <w:gridCol w:w="845"/>
        <w:gridCol w:w="845"/>
        <w:gridCol w:w="845"/>
        <w:gridCol w:w="845"/>
        <w:gridCol w:w="792"/>
        <w:gridCol w:w="950"/>
        <w:gridCol w:w="945"/>
      </w:tblGrid>
      <w:tr w14:paraId="4BB9E06C">
        <w:tblPrEx>
          <w:tblCellMar>
            <w:top w:w="15" w:type="dxa"/>
            <w:left w:w="15" w:type="dxa"/>
            <w:bottom w:w="15" w:type="dxa"/>
            <w:right w:w="15" w:type="dxa"/>
          </w:tblCellMar>
        </w:tblPrEx>
        <w:trPr>
          <w:cantSplit/>
          <w:trHeight w:val="340" w:hRule="atLeast"/>
          <w:tblHeader/>
          <w:jc w:val="center"/>
        </w:trPr>
        <w:tc>
          <w:tcPr>
            <w:tcW w:w="262" w:type="pct"/>
            <w:vMerge w:val="restart"/>
            <w:tcBorders>
              <w:top w:val="single" w:color="000000" w:sz="4" w:space="0"/>
              <w:left w:val="single" w:color="000000" w:sz="4" w:space="0"/>
            </w:tcBorders>
            <w:vAlign w:val="center"/>
          </w:tcPr>
          <w:p w14:paraId="61A41862">
            <w:pPr>
              <w:adjustRightInd w:val="0"/>
              <w:snapToGrid w:val="0"/>
              <w:jc w:val="center"/>
              <w:textAlignment w:val="center"/>
              <w:rPr>
                <w:rFonts w:ascii="Arial" w:hAnsi="Arial" w:eastAsia="宋体" w:cs="Arial"/>
                <w:bCs/>
                <w:sz w:val="21"/>
                <w:szCs w:val="21"/>
                <w:lang w:bidi="ar"/>
              </w:rPr>
            </w:pPr>
          </w:p>
        </w:tc>
        <w:tc>
          <w:tcPr>
            <w:tcW w:w="814" w:type="pct"/>
            <w:vMerge w:val="restart"/>
            <w:tcBorders>
              <w:top w:val="single" w:color="000000" w:sz="4" w:space="0"/>
              <w:left w:val="single" w:color="000000" w:sz="4" w:space="0"/>
              <w:right w:val="single" w:color="000000" w:sz="4" w:space="0"/>
            </w:tcBorders>
            <w:vAlign w:val="center"/>
          </w:tcPr>
          <w:p w14:paraId="6F4852F9">
            <w:pPr>
              <w:adjustRightInd w:val="0"/>
              <w:snapToGrid w:val="0"/>
              <w:jc w:val="center"/>
              <w:textAlignment w:val="center"/>
              <w:rPr>
                <w:rFonts w:ascii="Arial" w:hAnsi="Arial" w:eastAsia="宋体" w:cs="Arial"/>
                <w:bCs/>
                <w:sz w:val="21"/>
                <w:szCs w:val="21"/>
                <w:lang w:bidi="ar"/>
              </w:rPr>
            </w:pPr>
          </w:p>
        </w:tc>
        <w:tc>
          <w:tcPr>
            <w:tcW w:w="2399" w:type="pct"/>
            <w:gridSpan w:val="5"/>
            <w:tcBorders>
              <w:top w:val="single" w:color="000000" w:sz="4" w:space="0"/>
              <w:left w:val="single" w:color="000000" w:sz="4" w:space="0"/>
              <w:bottom w:val="single" w:color="000000" w:sz="4" w:space="0"/>
              <w:right w:val="single" w:color="auto" w:sz="4" w:space="0"/>
            </w:tcBorders>
            <w:vAlign w:val="center"/>
          </w:tcPr>
          <w:p w14:paraId="44A3FF76">
            <w:pPr>
              <w:adjustRightInd w:val="0"/>
              <w:snapToGrid w:val="0"/>
              <w:jc w:val="center"/>
              <w:rPr>
                <w:rFonts w:ascii="Arial" w:hAnsi="Arial" w:eastAsia="宋体" w:cs="Arial"/>
                <w:bCs/>
                <w:sz w:val="21"/>
                <w:szCs w:val="21"/>
              </w:rPr>
            </w:pPr>
          </w:p>
        </w:tc>
        <w:tc>
          <w:tcPr>
            <w:tcW w:w="449" w:type="pct"/>
            <w:vMerge w:val="restart"/>
            <w:tcBorders>
              <w:top w:val="single" w:color="000000" w:sz="4" w:space="0"/>
              <w:left w:val="single" w:color="auto" w:sz="4" w:space="0"/>
              <w:right w:val="single" w:color="000000" w:sz="4" w:space="0"/>
            </w:tcBorders>
            <w:vAlign w:val="center"/>
          </w:tcPr>
          <w:p w14:paraId="628C2603">
            <w:pPr>
              <w:adjustRightInd w:val="0"/>
              <w:snapToGrid w:val="0"/>
              <w:jc w:val="center"/>
              <w:rPr>
                <w:rFonts w:ascii="Arial" w:hAnsi="Arial" w:eastAsia="宋体" w:cs="Arial"/>
                <w:bCs/>
                <w:sz w:val="21"/>
                <w:szCs w:val="21"/>
              </w:rPr>
            </w:pPr>
          </w:p>
        </w:tc>
        <w:tc>
          <w:tcPr>
            <w:tcW w:w="539" w:type="pct"/>
            <w:vMerge w:val="restart"/>
            <w:tcBorders>
              <w:top w:val="single" w:color="000000" w:sz="4" w:space="0"/>
              <w:left w:val="single" w:color="000000" w:sz="4" w:space="0"/>
              <w:right w:val="single" w:color="000000" w:sz="4" w:space="0"/>
            </w:tcBorders>
            <w:vAlign w:val="center"/>
          </w:tcPr>
          <w:p w14:paraId="1A4B0F4D">
            <w:pPr>
              <w:adjustRightInd w:val="0"/>
              <w:snapToGrid w:val="0"/>
              <w:jc w:val="center"/>
              <w:rPr>
                <w:rFonts w:ascii="Arial" w:hAnsi="Arial" w:eastAsia="宋体" w:cs="Arial"/>
                <w:bCs/>
                <w:sz w:val="21"/>
                <w:szCs w:val="21"/>
              </w:rPr>
            </w:pPr>
          </w:p>
        </w:tc>
        <w:tc>
          <w:tcPr>
            <w:tcW w:w="538" w:type="pct"/>
            <w:vMerge w:val="restart"/>
            <w:tcBorders>
              <w:top w:val="single" w:color="000000" w:sz="4" w:space="0"/>
              <w:left w:val="single" w:color="000000" w:sz="4" w:space="0"/>
              <w:right w:val="single" w:color="000000" w:sz="4" w:space="0"/>
            </w:tcBorders>
            <w:vAlign w:val="center"/>
          </w:tcPr>
          <w:p w14:paraId="4C96AEB9">
            <w:pPr>
              <w:adjustRightInd w:val="0"/>
              <w:snapToGrid w:val="0"/>
              <w:jc w:val="center"/>
              <w:rPr>
                <w:rFonts w:ascii="Arial" w:hAnsi="Arial" w:eastAsia="宋体" w:cs="Arial"/>
                <w:bCs/>
                <w:sz w:val="21"/>
                <w:szCs w:val="21"/>
              </w:rPr>
            </w:pPr>
          </w:p>
        </w:tc>
      </w:tr>
      <w:tr w14:paraId="5F112112">
        <w:tblPrEx>
          <w:tblCellMar>
            <w:top w:w="15" w:type="dxa"/>
            <w:left w:w="15" w:type="dxa"/>
            <w:bottom w:w="15" w:type="dxa"/>
            <w:right w:w="15" w:type="dxa"/>
          </w:tblCellMar>
        </w:tblPrEx>
        <w:trPr>
          <w:cantSplit/>
          <w:trHeight w:val="340" w:hRule="atLeast"/>
          <w:tblHeader/>
          <w:jc w:val="center"/>
        </w:trPr>
        <w:tc>
          <w:tcPr>
            <w:tcW w:w="262" w:type="pct"/>
            <w:vMerge w:val="continue"/>
            <w:tcBorders>
              <w:left w:val="single" w:color="000000" w:sz="4" w:space="0"/>
              <w:bottom w:val="single" w:color="000000" w:sz="4" w:space="0"/>
            </w:tcBorders>
            <w:vAlign w:val="center"/>
          </w:tcPr>
          <w:p w14:paraId="34E37AAF">
            <w:pPr>
              <w:adjustRightInd w:val="0"/>
              <w:snapToGrid w:val="0"/>
              <w:jc w:val="center"/>
              <w:textAlignment w:val="center"/>
              <w:rPr>
                <w:rFonts w:ascii="Arial" w:hAnsi="Arial" w:eastAsia="宋体" w:cs="Arial"/>
                <w:bCs/>
                <w:sz w:val="21"/>
                <w:szCs w:val="21"/>
              </w:rPr>
            </w:pPr>
          </w:p>
        </w:tc>
        <w:tc>
          <w:tcPr>
            <w:tcW w:w="814" w:type="pct"/>
            <w:vMerge w:val="continue"/>
            <w:tcBorders>
              <w:left w:val="single" w:color="000000" w:sz="4" w:space="0"/>
              <w:bottom w:val="single" w:color="000000" w:sz="4" w:space="0"/>
              <w:right w:val="single" w:color="000000" w:sz="4" w:space="0"/>
            </w:tcBorders>
            <w:vAlign w:val="center"/>
          </w:tcPr>
          <w:p w14:paraId="15E6512F">
            <w:pPr>
              <w:adjustRightInd w:val="0"/>
              <w:snapToGrid w:val="0"/>
              <w:jc w:val="center"/>
              <w:textAlignment w:val="center"/>
              <w:rPr>
                <w:rFonts w:ascii="Arial" w:hAnsi="Arial" w:eastAsia="宋体" w:cs="Arial"/>
                <w:bCs/>
                <w:sz w:val="21"/>
                <w:szCs w:val="21"/>
                <w:lang w:bidi="ar"/>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FC54819">
            <w:pPr>
              <w:adjustRightInd w:val="0"/>
              <w:snapToGrid w:val="0"/>
              <w:jc w:val="center"/>
              <w:rPr>
                <w:rFonts w:ascii="Arial" w:hAnsi="Arial" w:eastAsia="宋体" w:cs="Arial"/>
                <w:bCs/>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E6BC0A0">
            <w:pPr>
              <w:tabs>
                <w:tab w:val="left" w:pos="6900"/>
              </w:tabs>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6C96FEC">
            <w:pPr>
              <w:tabs>
                <w:tab w:val="left" w:pos="6900"/>
              </w:tabs>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8D79A9D">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auto" w:sz="4" w:space="0"/>
            </w:tcBorders>
            <w:vAlign w:val="center"/>
          </w:tcPr>
          <w:p w14:paraId="52531F66">
            <w:pPr>
              <w:adjustRightInd w:val="0"/>
              <w:snapToGrid w:val="0"/>
              <w:jc w:val="center"/>
              <w:rPr>
                <w:rFonts w:ascii="Arial" w:hAnsi="Arial" w:eastAsia="宋体" w:cs="Arial"/>
                <w:sz w:val="21"/>
                <w:szCs w:val="21"/>
              </w:rPr>
            </w:pPr>
          </w:p>
        </w:tc>
        <w:tc>
          <w:tcPr>
            <w:tcW w:w="449" w:type="pct"/>
            <w:vMerge w:val="continue"/>
            <w:tcBorders>
              <w:left w:val="single" w:color="auto" w:sz="4" w:space="0"/>
              <w:bottom w:val="single" w:color="000000" w:sz="4" w:space="0"/>
              <w:right w:val="single" w:color="000000" w:sz="4" w:space="0"/>
            </w:tcBorders>
            <w:vAlign w:val="center"/>
          </w:tcPr>
          <w:p w14:paraId="59E865E4">
            <w:pPr>
              <w:adjustRightInd w:val="0"/>
              <w:snapToGrid w:val="0"/>
              <w:jc w:val="center"/>
              <w:rPr>
                <w:rFonts w:ascii="Arial" w:hAnsi="Arial" w:eastAsia="宋体" w:cs="Arial"/>
                <w:bCs/>
                <w:sz w:val="21"/>
                <w:szCs w:val="21"/>
              </w:rPr>
            </w:pPr>
          </w:p>
        </w:tc>
        <w:tc>
          <w:tcPr>
            <w:tcW w:w="539" w:type="pct"/>
            <w:vMerge w:val="continue"/>
            <w:tcBorders>
              <w:left w:val="single" w:color="000000" w:sz="4" w:space="0"/>
              <w:bottom w:val="single" w:color="000000" w:sz="4" w:space="0"/>
              <w:right w:val="single" w:color="000000" w:sz="4" w:space="0"/>
            </w:tcBorders>
            <w:vAlign w:val="center"/>
          </w:tcPr>
          <w:p w14:paraId="4399D3DD">
            <w:pPr>
              <w:adjustRightInd w:val="0"/>
              <w:snapToGrid w:val="0"/>
              <w:jc w:val="center"/>
              <w:rPr>
                <w:rFonts w:ascii="Arial" w:hAnsi="Arial" w:eastAsia="宋体" w:cs="Arial"/>
                <w:bCs/>
                <w:sz w:val="21"/>
                <w:szCs w:val="21"/>
              </w:rPr>
            </w:pPr>
          </w:p>
        </w:tc>
        <w:tc>
          <w:tcPr>
            <w:tcW w:w="538" w:type="pct"/>
            <w:vMerge w:val="continue"/>
            <w:tcBorders>
              <w:left w:val="single" w:color="000000" w:sz="4" w:space="0"/>
              <w:bottom w:val="single" w:color="000000" w:sz="4" w:space="0"/>
              <w:right w:val="single" w:color="000000" w:sz="4" w:space="0"/>
            </w:tcBorders>
            <w:vAlign w:val="center"/>
          </w:tcPr>
          <w:p w14:paraId="7F619EAC">
            <w:pPr>
              <w:adjustRightInd w:val="0"/>
              <w:snapToGrid w:val="0"/>
              <w:jc w:val="center"/>
              <w:rPr>
                <w:rFonts w:ascii="Arial" w:hAnsi="Arial" w:eastAsia="宋体" w:cs="Arial"/>
                <w:bCs/>
                <w:sz w:val="21"/>
                <w:szCs w:val="21"/>
              </w:rPr>
            </w:pPr>
          </w:p>
        </w:tc>
      </w:tr>
      <w:tr w14:paraId="68B55C9C">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2F2EA1A8">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2AFC7603">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32480B9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0F2343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6C9117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AAF0D7E">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8A574C4">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4E7D3C73">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3584D8ED">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4482CB12">
            <w:pPr>
              <w:adjustRightInd w:val="0"/>
              <w:snapToGrid w:val="0"/>
              <w:jc w:val="center"/>
              <w:rPr>
                <w:rFonts w:ascii="Arial" w:hAnsi="Arial" w:eastAsia="宋体" w:cs="Arial"/>
                <w:sz w:val="21"/>
                <w:szCs w:val="21"/>
              </w:rPr>
            </w:pPr>
          </w:p>
        </w:tc>
      </w:tr>
      <w:tr w14:paraId="40136A58">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10AEBC2B">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1A757BE4">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281E8B2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6CC5EC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95C1649">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CCFD83E">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CA7A7AE">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16D879EE">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09CA7063">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36464009">
            <w:pPr>
              <w:adjustRightInd w:val="0"/>
              <w:snapToGrid w:val="0"/>
              <w:jc w:val="center"/>
              <w:rPr>
                <w:rFonts w:ascii="Arial" w:hAnsi="Arial" w:eastAsia="宋体" w:cs="Arial"/>
                <w:sz w:val="21"/>
                <w:szCs w:val="21"/>
              </w:rPr>
            </w:pPr>
          </w:p>
        </w:tc>
      </w:tr>
      <w:tr w14:paraId="3304C075">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43E379FA">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08CB34A8">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76AFB36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D831E6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A318206">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855F3A7">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4710E7B">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70456317">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30F76477">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1DD5ED7E">
            <w:pPr>
              <w:adjustRightInd w:val="0"/>
              <w:snapToGrid w:val="0"/>
              <w:jc w:val="center"/>
              <w:rPr>
                <w:rFonts w:ascii="Arial" w:hAnsi="Arial" w:eastAsia="宋体" w:cs="Arial"/>
                <w:sz w:val="21"/>
                <w:szCs w:val="21"/>
              </w:rPr>
            </w:pPr>
          </w:p>
        </w:tc>
      </w:tr>
      <w:tr w14:paraId="3C069291">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58581F7F">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47BD208E">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3D96C41F">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BEEBF9D">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139C884">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0CE7207">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AF95CF9">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6B707B8B">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55408173">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26B2FFA8">
            <w:pPr>
              <w:adjustRightInd w:val="0"/>
              <w:snapToGrid w:val="0"/>
              <w:jc w:val="center"/>
              <w:rPr>
                <w:rFonts w:ascii="Arial" w:hAnsi="Arial" w:eastAsia="宋体" w:cs="Arial"/>
                <w:sz w:val="21"/>
                <w:szCs w:val="21"/>
              </w:rPr>
            </w:pPr>
          </w:p>
        </w:tc>
      </w:tr>
      <w:tr w14:paraId="2A0B32F4">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6331A9E7">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2C1C55E6">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56181300">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49DCB8D">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6496D748">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9CDD720">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8C2A4AB">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1E33F6E2">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4A930FDF">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06D4BAB4">
            <w:pPr>
              <w:adjustRightInd w:val="0"/>
              <w:snapToGrid w:val="0"/>
              <w:jc w:val="center"/>
              <w:rPr>
                <w:rFonts w:ascii="Arial" w:hAnsi="Arial" w:eastAsia="宋体" w:cs="Arial"/>
                <w:sz w:val="21"/>
                <w:szCs w:val="21"/>
              </w:rPr>
            </w:pPr>
          </w:p>
        </w:tc>
      </w:tr>
      <w:tr w14:paraId="67833B34">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0AAE90E3">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1E1715B3">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76A83044">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2D50A268">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973337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238950B7">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65EA4E13">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68C227AF">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7B795D48">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79FC84E5">
            <w:pPr>
              <w:adjustRightInd w:val="0"/>
              <w:snapToGrid w:val="0"/>
              <w:jc w:val="center"/>
              <w:rPr>
                <w:rFonts w:ascii="Arial" w:hAnsi="Arial" w:eastAsia="宋体" w:cs="Arial"/>
                <w:sz w:val="21"/>
                <w:szCs w:val="21"/>
              </w:rPr>
            </w:pPr>
          </w:p>
        </w:tc>
      </w:tr>
      <w:tr w14:paraId="5C40BE6A">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30831707">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301738EB">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05EF4CE4">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8657F2D">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8CCAB99">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EE00D0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45FEC74">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7EFEF91A">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16A747EB">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2A7EC462">
            <w:pPr>
              <w:adjustRightInd w:val="0"/>
              <w:snapToGrid w:val="0"/>
              <w:jc w:val="center"/>
              <w:rPr>
                <w:rFonts w:ascii="Arial" w:hAnsi="Arial" w:eastAsia="宋体" w:cs="Arial"/>
                <w:b/>
                <w:sz w:val="21"/>
                <w:szCs w:val="21"/>
              </w:rPr>
            </w:pPr>
          </w:p>
        </w:tc>
      </w:tr>
      <w:tr w14:paraId="1D6EE7C0">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3AD5C80B">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3668182D">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52744971">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2325EBF">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169B866">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FD41A49">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7015ED4">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5A9FABAD">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3A8A02AF">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5B95D08F">
            <w:pPr>
              <w:adjustRightInd w:val="0"/>
              <w:snapToGrid w:val="0"/>
              <w:jc w:val="center"/>
              <w:rPr>
                <w:rFonts w:ascii="Arial" w:hAnsi="Arial" w:eastAsia="宋体" w:cs="Arial"/>
                <w:sz w:val="21"/>
                <w:szCs w:val="21"/>
              </w:rPr>
            </w:pPr>
          </w:p>
        </w:tc>
      </w:tr>
      <w:tr w14:paraId="22E4F70D">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42BD7682">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7978372F">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13E9FDBD">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2B7F249">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5D69DF5">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57685C4">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2EF667CD">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3DF8F4C5">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12D3067B">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44AC5927">
            <w:pPr>
              <w:adjustRightInd w:val="0"/>
              <w:snapToGrid w:val="0"/>
              <w:jc w:val="center"/>
              <w:rPr>
                <w:rFonts w:ascii="Arial" w:hAnsi="Arial" w:eastAsia="宋体" w:cs="Arial"/>
                <w:sz w:val="21"/>
                <w:szCs w:val="21"/>
              </w:rPr>
            </w:pPr>
          </w:p>
        </w:tc>
      </w:tr>
      <w:tr w14:paraId="24004444">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44E664F2">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55BB6CBB">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12473374">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08DA3B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64CF3EC8">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DA8768A">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2D87DF3">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0664A9D3">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5ED3AF42">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79F76C3C">
            <w:pPr>
              <w:adjustRightInd w:val="0"/>
              <w:snapToGrid w:val="0"/>
              <w:jc w:val="center"/>
              <w:rPr>
                <w:rFonts w:ascii="Arial" w:hAnsi="Arial" w:eastAsia="宋体" w:cs="Arial"/>
                <w:sz w:val="21"/>
                <w:szCs w:val="21"/>
              </w:rPr>
            </w:pPr>
          </w:p>
        </w:tc>
      </w:tr>
      <w:tr w14:paraId="3AC6D9B0">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3947B1F4">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0E82C1E6">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49554961">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67ECEA40">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6E37531">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F138768">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B3E79E0">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76D638B9">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134B13CF">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4243B6C1">
            <w:pPr>
              <w:adjustRightInd w:val="0"/>
              <w:snapToGrid w:val="0"/>
              <w:jc w:val="center"/>
              <w:rPr>
                <w:rFonts w:ascii="Arial" w:hAnsi="Arial" w:eastAsia="宋体" w:cs="Arial"/>
                <w:sz w:val="21"/>
                <w:szCs w:val="21"/>
              </w:rPr>
            </w:pPr>
          </w:p>
        </w:tc>
      </w:tr>
      <w:tr w14:paraId="1C217468">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799A0B07">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6C6B6396">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6ED85359">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C025FD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22475B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BC555AF">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6C74F0BE">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5D449585">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2B28E9C2">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5B9C742B">
            <w:pPr>
              <w:adjustRightInd w:val="0"/>
              <w:snapToGrid w:val="0"/>
              <w:jc w:val="center"/>
              <w:rPr>
                <w:rFonts w:ascii="Arial" w:hAnsi="Arial" w:eastAsia="宋体" w:cs="Arial"/>
                <w:sz w:val="21"/>
                <w:szCs w:val="21"/>
              </w:rPr>
            </w:pPr>
          </w:p>
        </w:tc>
      </w:tr>
      <w:tr w14:paraId="4196E2E2">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4A7B8B01">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00907B4F">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41D7464A">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AB04E63">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8BC1889">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3062140">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D367A27">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0DF90536">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25499055">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1232CAB3">
            <w:pPr>
              <w:adjustRightInd w:val="0"/>
              <w:snapToGrid w:val="0"/>
              <w:jc w:val="center"/>
              <w:rPr>
                <w:rFonts w:ascii="Arial" w:hAnsi="Arial" w:eastAsia="宋体" w:cs="Arial"/>
                <w:b/>
                <w:sz w:val="21"/>
                <w:szCs w:val="21"/>
              </w:rPr>
            </w:pPr>
          </w:p>
        </w:tc>
      </w:tr>
      <w:tr w14:paraId="6B7CE27D">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548AD83C">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6D96515B">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3ABC0EEA">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B94EE6A">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B8B3651">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26AFAB27">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C45B609">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596539F4">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1B6D38CF">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482917A5">
            <w:pPr>
              <w:adjustRightInd w:val="0"/>
              <w:snapToGrid w:val="0"/>
              <w:jc w:val="center"/>
              <w:rPr>
                <w:rFonts w:ascii="Arial" w:hAnsi="Arial" w:eastAsia="宋体" w:cs="Arial"/>
                <w:b/>
                <w:sz w:val="21"/>
                <w:szCs w:val="21"/>
              </w:rPr>
            </w:pPr>
          </w:p>
        </w:tc>
      </w:tr>
      <w:tr w14:paraId="002C2F2E">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3109D58A">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6151D9FC">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1C2483FF">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FE8933F">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865A7E9">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EE76F2F">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FA13A3D">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0743F9AD">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55CE0836">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5C1DD974">
            <w:pPr>
              <w:adjustRightInd w:val="0"/>
              <w:snapToGrid w:val="0"/>
              <w:jc w:val="center"/>
              <w:rPr>
                <w:rFonts w:ascii="Arial" w:hAnsi="Arial" w:eastAsia="宋体" w:cs="Arial"/>
                <w:b/>
                <w:sz w:val="21"/>
                <w:szCs w:val="21"/>
              </w:rPr>
            </w:pPr>
          </w:p>
        </w:tc>
      </w:tr>
      <w:tr w14:paraId="510A54AB">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3A1AAABD">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2C14E2E3">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3850F89B">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55E197E">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604BFAD">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F3A45F0">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999C5DA">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2B4828D8">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0A53A87C">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4673517F">
            <w:pPr>
              <w:adjustRightInd w:val="0"/>
              <w:snapToGrid w:val="0"/>
              <w:jc w:val="center"/>
              <w:rPr>
                <w:rFonts w:ascii="Arial" w:hAnsi="Arial" w:eastAsia="宋体" w:cs="Arial"/>
                <w:sz w:val="21"/>
                <w:szCs w:val="21"/>
              </w:rPr>
            </w:pPr>
          </w:p>
        </w:tc>
      </w:tr>
      <w:tr w14:paraId="5AC6B97C">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145F14AB">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1EA890DB">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43C9E5E5">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3854ED8">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C2E8758">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00AEA66">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DCF2411">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0EA7984A">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4E8A08F4">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208649B7">
            <w:pPr>
              <w:adjustRightInd w:val="0"/>
              <w:snapToGrid w:val="0"/>
              <w:jc w:val="center"/>
              <w:rPr>
                <w:rFonts w:ascii="Arial" w:hAnsi="Arial" w:eastAsia="宋体" w:cs="Arial"/>
                <w:sz w:val="21"/>
                <w:szCs w:val="21"/>
              </w:rPr>
            </w:pPr>
          </w:p>
        </w:tc>
      </w:tr>
      <w:tr w14:paraId="279F12B2">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14C6B93E">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26BD4848">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468AB3F1">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22610D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9603430">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ABEDE7F">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276A6570">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37C22F1D">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2F963292">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301EC602">
            <w:pPr>
              <w:adjustRightInd w:val="0"/>
              <w:snapToGrid w:val="0"/>
              <w:jc w:val="center"/>
              <w:rPr>
                <w:rFonts w:ascii="Arial" w:hAnsi="Arial" w:eastAsia="宋体" w:cs="Arial"/>
                <w:sz w:val="21"/>
                <w:szCs w:val="21"/>
              </w:rPr>
            </w:pPr>
          </w:p>
        </w:tc>
      </w:tr>
      <w:tr w14:paraId="7FFA97A5">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1C9CF395">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4C396874">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5169155D">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76567DA">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84DF296">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160168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E4DB939">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66C79AAB">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12858B0F">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2834785F">
            <w:pPr>
              <w:adjustRightInd w:val="0"/>
              <w:snapToGrid w:val="0"/>
              <w:jc w:val="center"/>
              <w:rPr>
                <w:rFonts w:ascii="Arial" w:hAnsi="Arial" w:eastAsia="宋体" w:cs="Arial"/>
                <w:sz w:val="21"/>
                <w:szCs w:val="21"/>
              </w:rPr>
            </w:pPr>
          </w:p>
        </w:tc>
      </w:tr>
      <w:tr w14:paraId="458A821B">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4B988B8D">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362E8EBE">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3326E5CB">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64A5D4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DE895E1">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ECA979A">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D26D7FF">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16391E97">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28574F3D">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38879C78">
            <w:pPr>
              <w:adjustRightInd w:val="0"/>
              <w:snapToGrid w:val="0"/>
              <w:jc w:val="center"/>
              <w:rPr>
                <w:rFonts w:ascii="Arial" w:hAnsi="Arial" w:eastAsia="宋体" w:cs="Arial"/>
                <w:sz w:val="21"/>
                <w:szCs w:val="21"/>
              </w:rPr>
            </w:pPr>
          </w:p>
        </w:tc>
      </w:tr>
      <w:tr w14:paraId="364290C7">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6DAE2FD4">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4E6DD90B">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672C4CBE">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2988F56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63A7AB6">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C823DE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B8CCF8E">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64036D39">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7282209C">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0529F903">
            <w:pPr>
              <w:adjustRightInd w:val="0"/>
              <w:snapToGrid w:val="0"/>
              <w:jc w:val="center"/>
              <w:rPr>
                <w:rFonts w:ascii="Arial" w:hAnsi="Arial" w:eastAsia="宋体" w:cs="Arial"/>
                <w:b/>
                <w:sz w:val="21"/>
                <w:szCs w:val="21"/>
              </w:rPr>
            </w:pPr>
          </w:p>
        </w:tc>
      </w:tr>
      <w:tr w14:paraId="531E449F">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32B8EDF9">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7B8E2E76">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1899703D">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17381F1">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74CD3B7">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962F32A">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24176A60">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3158AFBB">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325A5E05">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4FD5AB6D">
            <w:pPr>
              <w:adjustRightInd w:val="0"/>
              <w:snapToGrid w:val="0"/>
              <w:jc w:val="center"/>
              <w:rPr>
                <w:rFonts w:ascii="Arial" w:hAnsi="Arial" w:eastAsia="宋体" w:cs="Arial"/>
                <w:sz w:val="21"/>
                <w:szCs w:val="21"/>
              </w:rPr>
            </w:pPr>
          </w:p>
        </w:tc>
      </w:tr>
      <w:tr w14:paraId="05926D2F">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4B3B614D">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4010A323">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594F3939">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F5332C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5D095F3">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6E155CF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49BAFAB">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23AF016C">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0BD65EF5">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3A05A4DC">
            <w:pPr>
              <w:adjustRightInd w:val="0"/>
              <w:snapToGrid w:val="0"/>
              <w:jc w:val="center"/>
              <w:rPr>
                <w:rFonts w:ascii="Arial" w:hAnsi="Arial" w:eastAsia="宋体" w:cs="Arial"/>
                <w:b/>
                <w:sz w:val="21"/>
                <w:szCs w:val="21"/>
              </w:rPr>
            </w:pPr>
          </w:p>
        </w:tc>
      </w:tr>
      <w:tr w14:paraId="621A03F1">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5D734EB5">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2B9F5D28">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1BC5947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5DE216E">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5B53E45">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522B795">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FE992CB">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5EB12A0B">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4DA6DFF5">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15EA8C6E">
            <w:pPr>
              <w:adjustRightInd w:val="0"/>
              <w:snapToGrid w:val="0"/>
              <w:jc w:val="center"/>
              <w:rPr>
                <w:rFonts w:ascii="Arial" w:hAnsi="Arial" w:eastAsia="宋体" w:cs="Arial"/>
                <w:sz w:val="21"/>
                <w:szCs w:val="21"/>
              </w:rPr>
            </w:pPr>
          </w:p>
        </w:tc>
      </w:tr>
      <w:tr w14:paraId="43C8C6F7">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1B16264B">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3BC7DABF">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7D1FA082">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15D943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E0CA920">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6C0F69D">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3C18B2D">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23050249">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12356232">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2504CA11">
            <w:pPr>
              <w:adjustRightInd w:val="0"/>
              <w:snapToGrid w:val="0"/>
              <w:jc w:val="center"/>
              <w:rPr>
                <w:rFonts w:ascii="Arial" w:hAnsi="Arial" w:eastAsia="宋体" w:cs="Arial"/>
                <w:sz w:val="21"/>
                <w:szCs w:val="21"/>
              </w:rPr>
            </w:pPr>
          </w:p>
        </w:tc>
      </w:tr>
      <w:tr w14:paraId="3C81D57D">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0885D4F0">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1146C18C">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627BE0D6">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56D6EC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2406805">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BE34E79">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6A465CCF">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28635DC6">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07112FFA">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396A4264">
            <w:pPr>
              <w:adjustRightInd w:val="0"/>
              <w:snapToGrid w:val="0"/>
              <w:jc w:val="center"/>
              <w:rPr>
                <w:rFonts w:ascii="Arial" w:hAnsi="Arial" w:eastAsia="宋体" w:cs="Arial"/>
                <w:sz w:val="21"/>
                <w:szCs w:val="21"/>
              </w:rPr>
            </w:pPr>
          </w:p>
        </w:tc>
      </w:tr>
      <w:tr w14:paraId="2B2C252C">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5BE7EA1C">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6B0D1BDF">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70F322D5">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A8C4A14">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302AF1E">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904E12D">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B3F3592">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62F6DAAF">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333051B4">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5FBB2FF8">
            <w:pPr>
              <w:adjustRightInd w:val="0"/>
              <w:snapToGrid w:val="0"/>
              <w:jc w:val="center"/>
              <w:rPr>
                <w:rFonts w:ascii="Arial" w:hAnsi="Arial" w:eastAsia="宋体" w:cs="Arial"/>
                <w:sz w:val="21"/>
                <w:szCs w:val="21"/>
              </w:rPr>
            </w:pPr>
          </w:p>
        </w:tc>
      </w:tr>
      <w:tr w14:paraId="4E9DD59F">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579AC7EC">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67F498C0">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2D94ECC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454D08EE">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75C5C7E">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6D5512EE">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3C42766">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47286678">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73EFF184">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571152AF">
            <w:pPr>
              <w:adjustRightInd w:val="0"/>
              <w:snapToGrid w:val="0"/>
              <w:jc w:val="center"/>
              <w:rPr>
                <w:rFonts w:ascii="Arial" w:hAnsi="Arial" w:eastAsia="宋体" w:cs="Arial"/>
                <w:sz w:val="21"/>
                <w:szCs w:val="21"/>
              </w:rPr>
            </w:pPr>
          </w:p>
        </w:tc>
      </w:tr>
      <w:tr w14:paraId="3C618E90">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18190AA2">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13B9A279">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539AC995">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743439D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29C99DF">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1CC7B7B0">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34DE8CD7">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58CDECE5">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6F05F065">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51E43F69">
            <w:pPr>
              <w:adjustRightInd w:val="0"/>
              <w:snapToGrid w:val="0"/>
              <w:jc w:val="center"/>
              <w:rPr>
                <w:rFonts w:ascii="Arial" w:hAnsi="Arial" w:eastAsia="宋体" w:cs="Arial"/>
                <w:sz w:val="21"/>
                <w:szCs w:val="21"/>
              </w:rPr>
            </w:pPr>
          </w:p>
        </w:tc>
      </w:tr>
      <w:tr w14:paraId="52FBED65">
        <w:tblPrEx>
          <w:tblCellMar>
            <w:top w:w="15" w:type="dxa"/>
            <w:left w:w="15" w:type="dxa"/>
            <w:bottom w:w="15" w:type="dxa"/>
            <w:right w:w="15" w:type="dxa"/>
          </w:tblCellMar>
        </w:tblPrEx>
        <w:trPr>
          <w:cantSplit/>
          <w:trHeight w:val="340" w:hRule="atLeast"/>
          <w:jc w:val="center"/>
        </w:trPr>
        <w:tc>
          <w:tcPr>
            <w:tcW w:w="262" w:type="pct"/>
            <w:tcBorders>
              <w:top w:val="single" w:color="000000" w:sz="4" w:space="0"/>
              <w:left w:val="single" w:color="000000" w:sz="4" w:space="0"/>
              <w:bottom w:val="single" w:color="000000" w:sz="4" w:space="0"/>
            </w:tcBorders>
            <w:vAlign w:val="center"/>
          </w:tcPr>
          <w:p w14:paraId="05A707FA">
            <w:pPr>
              <w:adjustRightInd w:val="0"/>
              <w:snapToGrid w:val="0"/>
              <w:jc w:val="center"/>
              <w:textAlignment w:val="center"/>
              <w:rPr>
                <w:rFonts w:ascii="Arial" w:hAnsi="Arial" w:eastAsia="宋体" w:cs="Arial"/>
                <w:sz w:val="21"/>
                <w:szCs w:val="21"/>
                <w:lang w:bidi="ar"/>
              </w:rPr>
            </w:pPr>
          </w:p>
        </w:tc>
        <w:tc>
          <w:tcPr>
            <w:tcW w:w="814" w:type="pct"/>
            <w:tcBorders>
              <w:top w:val="single" w:color="000000" w:sz="4" w:space="0"/>
              <w:left w:val="single" w:color="000000" w:sz="4" w:space="0"/>
              <w:bottom w:val="single" w:color="000000" w:sz="4" w:space="0"/>
              <w:right w:val="single" w:color="000000" w:sz="4" w:space="0"/>
            </w:tcBorders>
            <w:vAlign w:val="center"/>
          </w:tcPr>
          <w:p w14:paraId="73E9B73E">
            <w:pPr>
              <w:adjustRightInd w:val="0"/>
              <w:snapToGrid w:val="0"/>
              <w:jc w:val="center"/>
              <w:rPr>
                <w:rFonts w:ascii="Arial" w:hAnsi="Arial" w:eastAsia="宋体" w:cs="Arial"/>
                <w:sz w:val="21"/>
                <w:szCs w:val="21"/>
              </w:rPr>
            </w:pPr>
          </w:p>
        </w:tc>
        <w:tc>
          <w:tcPr>
            <w:tcW w:w="480" w:type="pct"/>
            <w:tcBorders>
              <w:top w:val="single" w:color="000000" w:sz="4" w:space="0"/>
              <w:bottom w:val="single" w:color="000000" w:sz="4" w:space="0"/>
              <w:right w:val="single" w:color="000000" w:sz="4" w:space="0"/>
            </w:tcBorders>
            <w:vAlign w:val="center"/>
          </w:tcPr>
          <w:p w14:paraId="6827B2EB">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5607C2B4">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02C54B5C">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65E8C556">
            <w:pPr>
              <w:adjustRightInd w:val="0"/>
              <w:snapToGrid w:val="0"/>
              <w:jc w:val="center"/>
              <w:rPr>
                <w:rFonts w:ascii="Arial" w:hAnsi="Arial" w:eastAsia="宋体" w:cs="Arial"/>
                <w:sz w:val="21"/>
                <w:szCs w:val="21"/>
              </w:rPr>
            </w:pPr>
          </w:p>
        </w:tc>
        <w:tc>
          <w:tcPr>
            <w:tcW w:w="480" w:type="pct"/>
            <w:tcBorders>
              <w:top w:val="single" w:color="000000" w:sz="4" w:space="0"/>
              <w:left w:val="single" w:color="000000" w:sz="4" w:space="0"/>
              <w:bottom w:val="single" w:color="000000" w:sz="4" w:space="0"/>
              <w:right w:val="single" w:color="000000" w:sz="4" w:space="0"/>
            </w:tcBorders>
            <w:vAlign w:val="center"/>
          </w:tcPr>
          <w:p w14:paraId="2DE767EF">
            <w:pPr>
              <w:adjustRightInd w:val="0"/>
              <w:snapToGrid w:val="0"/>
              <w:jc w:val="center"/>
              <w:rPr>
                <w:rFonts w:ascii="Arial" w:hAnsi="Arial" w:eastAsia="宋体" w:cs="Arial"/>
                <w:sz w:val="21"/>
                <w:szCs w:val="21"/>
              </w:rPr>
            </w:pPr>
          </w:p>
        </w:tc>
        <w:tc>
          <w:tcPr>
            <w:tcW w:w="449" w:type="pct"/>
            <w:tcBorders>
              <w:top w:val="single" w:color="000000" w:sz="4" w:space="0"/>
              <w:left w:val="single" w:color="000000" w:sz="4" w:space="0"/>
              <w:bottom w:val="single" w:color="000000" w:sz="4" w:space="0"/>
              <w:right w:val="single" w:color="000000" w:sz="4" w:space="0"/>
            </w:tcBorders>
            <w:vAlign w:val="center"/>
          </w:tcPr>
          <w:p w14:paraId="218B17B0">
            <w:pPr>
              <w:adjustRightInd w:val="0"/>
              <w:snapToGrid w:val="0"/>
              <w:jc w:val="center"/>
              <w:rPr>
                <w:rFonts w:ascii="Arial" w:hAnsi="Arial" w:eastAsia="宋体" w:cs="Arial"/>
                <w:sz w:val="21"/>
                <w:szCs w:val="21"/>
              </w:rPr>
            </w:pPr>
          </w:p>
        </w:tc>
        <w:tc>
          <w:tcPr>
            <w:tcW w:w="539" w:type="pct"/>
            <w:tcBorders>
              <w:top w:val="single" w:color="000000" w:sz="4" w:space="0"/>
              <w:left w:val="single" w:color="000000" w:sz="4" w:space="0"/>
              <w:bottom w:val="single" w:color="000000" w:sz="4" w:space="0"/>
              <w:right w:val="single" w:color="000000" w:sz="4" w:space="0"/>
            </w:tcBorders>
            <w:vAlign w:val="center"/>
          </w:tcPr>
          <w:p w14:paraId="701888EF">
            <w:pPr>
              <w:adjustRightInd w:val="0"/>
              <w:snapToGrid w:val="0"/>
              <w:jc w:val="center"/>
              <w:rPr>
                <w:rFonts w:ascii="Arial" w:hAnsi="Arial" w:eastAsia="宋体" w:cs="Arial"/>
                <w:sz w:val="21"/>
                <w:szCs w:val="21"/>
              </w:rPr>
            </w:pPr>
          </w:p>
        </w:tc>
        <w:tc>
          <w:tcPr>
            <w:tcW w:w="538" w:type="pct"/>
            <w:tcBorders>
              <w:top w:val="single" w:color="000000" w:sz="4" w:space="0"/>
              <w:left w:val="single" w:color="000000" w:sz="4" w:space="0"/>
              <w:bottom w:val="single" w:color="000000" w:sz="4" w:space="0"/>
              <w:right w:val="single" w:color="000000" w:sz="4" w:space="0"/>
            </w:tcBorders>
            <w:vAlign w:val="center"/>
          </w:tcPr>
          <w:p w14:paraId="784A3C65">
            <w:pPr>
              <w:adjustRightInd w:val="0"/>
              <w:snapToGrid w:val="0"/>
              <w:jc w:val="center"/>
              <w:rPr>
                <w:rFonts w:ascii="Arial" w:hAnsi="Arial" w:eastAsia="宋体" w:cs="Arial"/>
                <w:sz w:val="21"/>
                <w:szCs w:val="21"/>
              </w:rPr>
            </w:pPr>
          </w:p>
        </w:tc>
      </w:tr>
    </w:tbl>
    <w:p w14:paraId="25CF1B87">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根据上表可知，Cl</w:t>
      </w:r>
      <w:r>
        <w:rPr>
          <w:rFonts w:ascii="Arial" w:hAnsi="Arial" w:eastAsia="宋体" w:cs="Arial"/>
          <w:spacing w:val="10"/>
          <w:sz w:val="24"/>
          <w:vertAlign w:val="superscript"/>
        </w:rPr>
        <w:t>-</w:t>
      </w:r>
      <w:r>
        <w:rPr>
          <w:rFonts w:ascii="Arial" w:hAnsi="Arial" w:eastAsia="宋体" w:cs="Arial"/>
          <w:spacing w:val="10"/>
          <w:sz w:val="24"/>
        </w:rPr>
        <w:t>、Na</w:t>
      </w:r>
      <w:r>
        <w:rPr>
          <w:rFonts w:ascii="Arial" w:hAnsi="Arial" w:eastAsia="宋体" w:cs="Arial"/>
          <w:spacing w:val="10"/>
          <w:sz w:val="24"/>
          <w:vertAlign w:val="superscript"/>
        </w:rPr>
        <w:t>+</w:t>
      </w:r>
      <w:r>
        <w:rPr>
          <w:rFonts w:ascii="Arial" w:hAnsi="Arial" w:eastAsia="宋体" w:cs="Arial"/>
          <w:spacing w:val="10"/>
          <w:sz w:val="24"/>
        </w:rPr>
        <w:t>离子浓度普遍偏高，项目位于海岸边，所在地块为填海区域，地下水为海水补给。地下水水质参照《地下水质量标准》（GB/T14848-2017）</w:t>
      </w:r>
      <w:r>
        <w:rPr>
          <w:rFonts w:hint="eastAsia" w:ascii="宋体" w:hAnsi="宋体" w:eastAsia="宋体" w:cs="宋体"/>
          <w:spacing w:val="10"/>
          <w:sz w:val="24"/>
        </w:rPr>
        <w:t>Ⅲ</w:t>
      </w:r>
      <w:r>
        <w:rPr>
          <w:rFonts w:ascii="Arial" w:hAnsi="Arial" w:eastAsia="宋体" w:cs="Arial"/>
          <w:spacing w:val="10"/>
          <w:sz w:val="24"/>
        </w:rPr>
        <w:t>类水质标准进行评价，根据监测结果可知，Cl</w:t>
      </w:r>
      <w:r>
        <w:rPr>
          <w:rFonts w:ascii="Arial" w:hAnsi="Arial" w:eastAsia="宋体" w:cs="Arial"/>
          <w:spacing w:val="10"/>
          <w:sz w:val="24"/>
          <w:vertAlign w:val="superscript"/>
        </w:rPr>
        <w:t>-</w:t>
      </w:r>
      <w:r>
        <w:rPr>
          <w:rFonts w:ascii="Arial" w:hAnsi="Arial" w:eastAsia="宋体" w:cs="Arial"/>
          <w:spacing w:val="10"/>
          <w:sz w:val="24"/>
        </w:rPr>
        <w:t>、SO</w:t>
      </w:r>
      <w:r>
        <w:rPr>
          <w:rFonts w:ascii="Arial" w:hAnsi="Arial" w:eastAsia="宋体" w:cs="Arial"/>
          <w:spacing w:val="10"/>
          <w:sz w:val="24"/>
          <w:vertAlign w:val="subscript"/>
        </w:rPr>
        <w:t>4</w:t>
      </w:r>
      <w:r>
        <w:rPr>
          <w:rFonts w:ascii="Arial" w:hAnsi="Arial" w:eastAsia="宋体" w:cs="Arial"/>
          <w:spacing w:val="10"/>
          <w:sz w:val="24"/>
          <w:vertAlign w:val="superscript"/>
        </w:rPr>
        <w:t>2-</w:t>
      </w:r>
      <w:r>
        <w:rPr>
          <w:rFonts w:ascii="Arial" w:hAnsi="Arial" w:eastAsia="宋体" w:cs="Arial"/>
          <w:spacing w:val="10"/>
          <w:sz w:val="24"/>
        </w:rPr>
        <w:t>、总硬度、溶解性总固体、锰、耗氧量、氨氮未能满足《地下水质量标准》（GB/T14848-2017）</w:t>
      </w:r>
      <w:r>
        <w:rPr>
          <w:rFonts w:hint="eastAsia" w:ascii="宋体" w:hAnsi="宋体" w:eastAsia="宋体" w:cs="宋体"/>
          <w:spacing w:val="10"/>
          <w:sz w:val="24"/>
        </w:rPr>
        <w:t>Ⅲ</w:t>
      </w:r>
      <w:r>
        <w:rPr>
          <w:rFonts w:ascii="Arial" w:hAnsi="Arial" w:eastAsia="宋体" w:cs="Arial"/>
          <w:spacing w:val="10"/>
          <w:sz w:val="24"/>
        </w:rPr>
        <w:t>类水质标准。</w:t>
      </w:r>
    </w:p>
    <w:p w14:paraId="155FC9BC">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对于超标的因子，经收集企业建厂前、一阶段项目验收期间、二阶段项目验收期间的相关监测数据（监测时间分别是2020.12.8、2022.5.26、2023.12.27~28），与本报告引用的数据进行对比，详见表3-15。</w:t>
      </w:r>
    </w:p>
    <w:p w14:paraId="16CAF3E9">
      <w:pPr>
        <w:keepNext/>
        <w:keepLines/>
        <w:numPr>
          <w:ilvl w:val="0"/>
          <w:numId w:val="16"/>
        </w:numPr>
        <w:spacing w:line="500" w:lineRule="exact"/>
        <w:jc w:val="center"/>
        <w:outlineLvl w:val="4"/>
        <w:rPr>
          <w:rFonts w:ascii="Arial" w:hAnsi="Arial" w:eastAsia="宋体" w:cs="Arial"/>
          <w:b/>
          <w:sz w:val="24"/>
          <w:szCs w:val="24"/>
          <w:u w:val="single"/>
        </w:rPr>
      </w:pPr>
      <w:r>
        <w:rPr>
          <w:rFonts w:hint="eastAsia" w:ascii="Arial" w:hAnsi="Arial" w:eastAsia="宋体" w:cs="Arial"/>
          <w:b/>
          <w:sz w:val="24"/>
          <w:szCs w:val="24"/>
          <w:u w:val="single"/>
        </w:rPr>
        <w:t>地下水监测数据对比表</w:t>
      </w:r>
    </w:p>
    <w:tbl>
      <w:tblPr>
        <w:tblStyle w:val="88"/>
        <w:tblW w:w="5000" w:type="pct"/>
        <w:jc w:val="center"/>
        <w:tblLayout w:type="autofit"/>
        <w:tblCellMar>
          <w:top w:w="15" w:type="dxa"/>
          <w:left w:w="15" w:type="dxa"/>
          <w:bottom w:w="15" w:type="dxa"/>
          <w:right w:w="15" w:type="dxa"/>
        </w:tblCellMar>
      </w:tblPr>
      <w:tblGrid>
        <w:gridCol w:w="866"/>
        <w:gridCol w:w="1700"/>
        <w:gridCol w:w="1249"/>
        <w:gridCol w:w="1249"/>
        <w:gridCol w:w="1249"/>
        <w:gridCol w:w="1249"/>
        <w:gridCol w:w="1245"/>
      </w:tblGrid>
      <w:tr w14:paraId="1D10AC5E">
        <w:tblPrEx>
          <w:tblCellMar>
            <w:top w:w="15" w:type="dxa"/>
            <w:left w:w="15" w:type="dxa"/>
            <w:bottom w:w="15" w:type="dxa"/>
            <w:right w:w="15" w:type="dxa"/>
          </w:tblCellMar>
        </w:tblPrEx>
        <w:trPr>
          <w:cantSplit/>
          <w:trHeight w:val="340" w:hRule="atLeast"/>
          <w:jc w:val="center"/>
        </w:trPr>
        <w:tc>
          <w:tcPr>
            <w:tcW w:w="1457" w:type="pct"/>
            <w:gridSpan w:val="2"/>
            <w:tcBorders>
              <w:top w:val="single" w:color="000000" w:sz="4" w:space="0"/>
              <w:left w:val="single" w:color="000000" w:sz="4" w:space="0"/>
              <w:bottom w:val="single" w:color="000000" w:sz="4" w:space="0"/>
              <w:right w:val="single" w:color="000000" w:sz="4" w:space="0"/>
            </w:tcBorders>
            <w:vAlign w:val="center"/>
          </w:tcPr>
          <w:p w14:paraId="02FBF77B">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1751E840">
            <w:pPr>
              <w:adjustRightInd w:val="0"/>
              <w:snapToGrid w:val="0"/>
              <w:jc w:val="center"/>
              <w:rPr>
                <w:rFonts w:ascii="Arial" w:hAnsi="Arial" w:eastAsia="宋体" w:cs="Arial"/>
                <w:bCs/>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3C47AC6E">
            <w:pPr>
              <w:tabs>
                <w:tab w:val="left" w:pos="6900"/>
              </w:tabs>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24AEC5E3">
            <w:pPr>
              <w:tabs>
                <w:tab w:val="left" w:pos="6900"/>
              </w:tabs>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5FEA6BB5">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3F32DB37">
            <w:pPr>
              <w:adjustRightInd w:val="0"/>
              <w:snapToGrid w:val="0"/>
              <w:jc w:val="center"/>
              <w:rPr>
                <w:rFonts w:ascii="Arial" w:hAnsi="Arial" w:eastAsia="宋体" w:cs="Arial"/>
                <w:sz w:val="21"/>
                <w:szCs w:val="21"/>
                <w:u w:val="single"/>
              </w:rPr>
            </w:pPr>
          </w:p>
        </w:tc>
      </w:tr>
      <w:tr w14:paraId="3A214B89">
        <w:tblPrEx>
          <w:tblCellMar>
            <w:top w:w="15" w:type="dxa"/>
            <w:left w:w="15" w:type="dxa"/>
            <w:bottom w:w="15" w:type="dxa"/>
            <w:right w:w="15" w:type="dxa"/>
          </w:tblCellMar>
        </w:tblPrEx>
        <w:trPr>
          <w:cantSplit/>
          <w:trHeight w:val="340" w:hRule="atLeast"/>
          <w:jc w:val="center"/>
        </w:trPr>
        <w:tc>
          <w:tcPr>
            <w:tcW w:w="492" w:type="pct"/>
            <w:vMerge w:val="restart"/>
            <w:tcBorders>
              <w:top w:val="single" w:color="000000" w:sz="4" w:space="0"/>
              <w:left w:val="single" w:color="000000" w:sz="4" w:space="0"/>
              <w:right w:val="single" w:color="000000" w:sz="4" w:space="0"/>
            </w:tcBorders>
            <w:vAlign w:val="center"/>
          </w:tcPr>
          <w:p w14:paraId="23B14E65">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64192DAA">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34F9BCB5">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6BC93F72">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2293F47F">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21177E2F">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1D50A6F2">
            <w:pPr>
              <w:adjustRightInd w:val="0"/>
              <w:snapToGrid w:val="0"/>
              <w:jc w:val="center"/>
              <w:rPr>
                <w:rFonts w:ascii="Arial" w:hAnsi="Arial" w:eastAsia="宋体" w:cs="Arial"/>
                <w:sz w:val="21"/>
                <w:szCs w:val="21"/>
                <w:u w:val="single"/>
              </w:rPr>
            </w:pPr>
          </w:p>
        </w:tc>
      </w:tr>
      <w:tr w14:paraId="190963BD">
        <w:tblPrEx>
          <w:tblCellMar>
            <w:top w:w="15" w:type="dxa"/>
            <w:left w:w="15" w:type="dxa"/>
            <w:bottom w:w="15" w:type="dxa"/>
            <w:right w:w="15" w:type="dxa"/>
          </w:tblCellMar>
        </w:tblPrEx>
        <w:trPr>
          <w:cantSplit/>
          <w:trHeight w:val="340" w:hRule="atLeast"/>
          <w:jc w:val="center"/>
        </w:trPr>
        <w:tc>
          <w:tcPr>
            <w:tcW w:w="492" w:type="pct"/>
            <w:vMerge w:val="continue"/>
            <w:tcBorders>
              <w:left w:val="single" w:color="000000" w:sz="4" w:space="0"/>
              <w:bottom w:val="single" w:color="000000" w:sz="4" w:space="0"/>
              <w:right w:val="single" w:color="000000" w:sz="4" w:space="0"/>
            </w:tcBorders>
            <w:vAlign w:val="center"/>
          </w:tcPr>
          <w:p w14:paraId="2A5B9466">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1658C76D">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66E7672E">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566E2D98">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5BD810E9">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0B0D9BAE">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241A1E4E">
            <w:pPr>
              <w:adjustRightInd w:val="0"/>
              <w:snapToGrid w:val="0"/>
              <w:jc w:val="center"/>
              <w:rPr>
                <w:rFonts w:ascii="Arial" w:hAnsi="Arial" w:eastAsia="宋体" w:cs="Arial"/>
                <w:sz w:val="21"/>
                <w:szCs w:val="21"/>
                <w:u w:val="single"/>
              </w:rPr>
            </w:pPr>
          </w:p>
        </w:tc>
      </w:tr>
      <w:tr w14:paraId="4A084649">
        <w:tblPrEx>
          <w:tblCellMar>
            <w:top w:w="15" w:type="dxa"/>
            <w:left w:w="15" w:type="dxa"/>
            <w:bottom w:w="15" w:type="dxa"/>
            <w:right w:w="15" w:type="dxa"/>
          </w:tblCellMar>
        </w:tblPrEx>
        <w:trPr>
          <w:cantSplit/>
          <w:trHeight w:val="340" w:hRule="atLeast"/>
          <w:jc w:val="center"/>
        </w:trPr>
        <w:tc>
          <w:tcPr>
            <w:tcW w:w="492" w:type="pct"/>
            <w:vMerge w:val="restart"/>
            <w:tcBorders>
              <w:top w:val="single" w:color="000000" w:sz="4" w:space="0"/>
              <w:left w:val="single" w:color="000000" w:sz="4" w:space="0"/>
              <w:right w:val="single" w:color="000000" w:sz="4" w:space="0"/>
            </w:tcBorders>
            <w:vAlign w:val="center"/>
          </w:tcPr>
          <w:p w14:paraId="1844157E">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06F92F5C">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209A92D2">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64FF572E">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32C07832">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1CCFF301">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70AA22DC">
            <w:pPr>
              <w:adjustRightInd w:val="0"/>
              <w:snapToGrid w:val="0"/>
              <w:jc w:val="center"/>
              <w:rPr>
                <w:rFonts w:ascii="Arial" w:hAnsi="Arial" w:eastAsia="宋体" w:cs="Arial"/>
                <w:sz w:val="21"/>
                <w:szCs w:val="21"/>
                <w:u w:val="single"/>
              </w:rPr>
            </w:pPr>
          </w:p>
        </w:tc>
      </w:tr>
      <w:tr w14:paraId="380C1AC9">
        <w:tblPrEx>
          <w:tblCellMar>
            <w:top w:w="15" w:type="dxa"/>
            <w:left w:w="15" w:type="dxa"/>
            <w:bottom w:w="15" w:type="dxa"/>
            <w:right w:w="15" w:type="dxa"/>
          </w:tblCellMar>
        </w:tblPrEx>
        <w:trPr>
          <w:cantSplit/>
          <w:trHeight w:val="340" w:hRule="atLeast"/>
          <w:jc w:val="center"/>
        </w:trPr>
        <w:tc>
          <w:tcPr>
            <w:tcW w:w="492" w:type="pct"/>
            <w:vMerge w:val="continue"/>
            <w:tcBorders>
              <w:left w:val="single" w:color="000000" w:sz="4" w:space="0"/>
              <w:right w:val="single" w:color="000000" w:sz="4" w:space="0"/>
            </w:tcBorders>
            <w:vAlign w:val="center"/>
          </w:tcPr>
          <w:p w14:paraId="3A7D3BCE">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716C2D24">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5E0CC014">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2A319ECD">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4CA5E8A7">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13DB21C4">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58AB2089">
            <w:pPr>
              <w:adjustRightInd w:val="0"/>
              <w:snapToGrid w:val="0"/>
              <w:jc w:val="center"/>
              <w:rPr>
                <w:rFonts w:ascii="Arial" w:hAnsi="Arial" w:eastAsia="宋体" w:cs="Arial"/>
                <w:sz w:val="21"/>
                <w:szCs w:val="21"/>
                <w:u w:val="single"/>
              </w:rPr>
            </w:pPr>
          </w:p>
        </w:tc>
      </w:tr>
      <w:tr w14:paraId="3C1D039B">
        <w:tblPrEx>
          <w:tblCellMar>
            <w:top w:w="15" w:type="dxa"/>
            <w:left w:w="15" w:type="dxa"/>
            <w:bottom w:w="15" w:type="dxa"/>
            <w:right w:w="15" w:type="dxa"/>
          </w:tblCellMar>
        </w:tblPrEx>
        <w:trPr>
          <w:cantSplit/>
          <w:trHeight w:val="340" w:hRule="atLeast"/>
          <w:jc w:val="center"/>
        </w:trPr>
        <w:tc>
          <w:tcPr>
            <w:tcW w:w="492" w:type="pct"/>
            <w:vMerge w:val="continue"/>
            <w:tcBorders>
              <w:left w:val="single" w:color="000000" w:sz="4" w:space="0"/>
              <w:bottom w:val="single" w:color="000000" w:sz="4" w:space="0"/>
              <w:right w:val="single" w:color="000000" w:sz="4" w:space="0"/>
            </w:tcBorders>
            <w:vAlign w:val="center"/>
          </w:tcPr>
          <w:p w14:paraId="436C63E4">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3040F79F">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476867C7">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0B620F0B">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4BE7D2FD">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17962461">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75FE695D">
            <w:pPr>
              <w:adjustRightInd w:val="0"/>
              <w:snapToGrid w:val="0"/>
              <w:jc w:val="center"/>
              <w:rPr>
                <w:rFonts w:ascii="Arial" w:hAnsi="Arial" w:eastAsia="宋体" w:cs="Arial"/>
                <w:sz w:val="21"/>
                <w:szCs w:val="21"/>
                <w:u w:val="single"/>
              </w:rPr>
            </w:pPr>
          </w:p>
        </w:tc>
      </w:tr>
      <w:tr w14:paraId="6BDEDB70">
        <w:tblPrEx>
          <w:tblCellMar>
            <w:top w:w="15" w:type="dxa"/>
            <w:left w:w="15" w:type="dxa"/>
            <w:bottom w:w="15" w:type="dxa"/>
            <w:right w:w="15" w:type="dxa"/>
          </w:tblCellMar>
        </w:tblPrEx>
        <w:trPr>
          <w:cantSplit/>
          <w:trHeight w:val="340" w:hRule="atLeast"/>
          <w:jc w:val="center"/>
        </w:trPr>
        <w:tc>
          <w:tcPr>
            <w:tcW w:w="492" w:type="pct"/>
            <w:vMerge w:val="restart"/>
            <w:tcBorders>
              <w:top w:val="single" w:color="000000" w:sz="4" w:space="0"/>
              <w:left w:val="single" w:color="000000" w:sz="4" w:space="0"/>
              <w:right w:val="single" w:color="000000" w:sz="4" w:space="0"/>
            </w:tcBorders>
            <w:vAlign w:val="center"/>
          </w:tcPr>
          <w:p w14:paraId="40201DA9">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2B1EB9C2">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54C90764">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3F2D5ED8">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4A9C644D">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6CC0C406">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3A2D0328">
            <w:pPr>
              <w:adjustRightInd w:val="0"/>
              <w:snapToGrid w:val="0"/>
              <w:jc w:val="center"/>
              <w:rPr>
                <w:rFonts w:ascii="Arial" w:hAnsi="Arial" w:eastAsia="宋体" w:cs="Arial"/>
                <w:sz w:val="21"/>
                <w:szCs w:val="21"/>
                <w:u w:val="single"/>
              </w:rPr>
            </w:pPr>
          </w:p>
        </w:tc>
      </w:tr>
      <w:tr w14:paraId="5845AFE3">
        <w:tblPrEx>
          <w:tblCellMar>
            <w:top w:w="15" w:type="dxa"/>
            <w:left w:w="15" w:type="dxa"/>
            <w:bottom w:w="15" w:type="dxa"/>
            <w:right w:w="15" w:type="dxa"/>
          </w:tblCellMar>
        </w:tblPrEx>
        <w:trPr>
          <w:cantSplit/>
          <w:trHeight w:val="340" w:hRule="atLeast"/>
          <w:jc w:val="center"/>
        </w:trPr>
        <w:tc>
          <w:tcPr>
            <w:tcW w:w="492" w:type="pct"/>
            <w:vMerge w:val="continue"/>
            <w:tcBorders>
              <w:left w:val="single" w:color="000000" w:sz="4" w:space="0"/>
              <w:bottom w:val="single" w:color="000000" w:sz="4" w:space="0"/>
              <w:right w:val="single" w:color="000000" w:sz="4" w:space="0"/>
            </w:tcBorders>
            <w:vAlign w:val="center"/>
          </w:tcPr>
          <w:p w14:paraId="5F954395">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7C4E9A8B">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6E8BCA84">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03E52C42">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09DF8EA9">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6070A316">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5C2D7DF3">
            <w:pPr>
              <w:adjustRightInd w:val="0"/>
              <w:snapToGrid w:val="0"/>
              <w:jc w:val="center"/>
              <w:rPr>
                <w:rFonts w:ascii="Arial" w:hAnsi="Arial" w:eastAsia="宋体" w:cs="Arial"/>
                <w:sz w:val="21"/>
                <w:szCs w:val="21"/>
                <w:u w:val="single"/>
              </w:rPr>
            </w:pPr>
          </w:p>
        </w:tc>
      </w:tr>
      <w:tr w14:paraId="12C93931">
        <w:tblPrEx>
          <w:tblCellMar>
            <w:top w:w="15" w:type="dxa"/>
            <w:left w:w="15" w:type="dxa"/>
            <w:bottom w:w="15" w:type="dxa"/>
            <w:right w:w="15" w:type="dxa"/>
          </w:tblCellMar>
        </w:tblPrEx>
        <w:trPr>
          <w:cantSplit/>
          <w:trHeight w:val="340" w:hRule="atLeast"/>
          <w:jc w:val="center"/>
        </w:trPr>
        <w:tc>
          <w:tcPr>
            <w:tcW w:w="492" w:type="pct"/>
            <w:vMerge w:val="restart"/>
            <w:tcBorders>
              <w:top w:val="single" w:color="000000" w:sz="4" w:space="0"/>
              <w:left w:val="single" w:color="000000" w:sz="4" w:space="0"/>
              <w:right w:val="single" w:color="000000" w:sz="4" w:space="0"/>
            </w:tcBorders>
            <w:vAlign w:val="center"/>
          </w:tcPr>
          <w:p w14:paraId="047984CA">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44E7ED62">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108AA4B1">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31DCD6D8">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002AED52">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09DF15E5">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4E57A106">
            <w:pPr>
              <w:adjustRightInd w:val="0"/>
              <w:snapToGrid w:val="0"/>
              <w:jc w:val="center"/>
              <w:rPr>
                <w:rFonts w:ascii="Arial" w:hAnsi="Arial" w:eastAsia="宋体" w:cs="Arial"/>
                <w:sz w:val="21"/>
                <w:szCs w:val="21"/>
                <w:u w:val="single"/>
              </w:rPr>
            </w:pPr>
          </w:p>
        </w:tc>
      </w:tr>
      <w:tr w14:paraId="7220174E">
        <w:tblPrEx>
          <w:tblCellMar>
            <w:top w:w="15" w:type="dxa"/>
            <w:left w:w="15" w:type="dxa"/>
            <w:bottom w:w="15" w:type="dxa"/>
            <w:right w:w="15" w:type="dxa"/>
          </w:tblCellMar>
        </w:tblPrEx>
        <w:trPr>
          <w:cantSplit/>
          <w:trHeight w:val="340" w:hRule="atLeast"/>
          <w:jc w:val="center"/>
        </w:trPr>
        <w:tc>
          <w:tcPr>
            <w:tcW w:w="492" w:type="pct"/>
            <w:vMerge w:val="continue"/>
            <w:tcBorders>
              <w:left w:val="single" w:color="000000" w:sz="4" w:space="0"/>
              <w:bottom w:val="single" w:color="000000" w:sz="4" w:space="0"/>
              <w:right w:val="single" w:color="000000" w:sz="4" w:space="0"/>
            </w:tcBorders>
            <w:vAlign w:val="center"/>
          </w:tcPr>
          <w:p w14:paraId="4CA3C512">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41CC2D30">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50EE689F">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653081F6">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10F6B148">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62FBD4BF">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721D8910">
            <w:pPr>
              <w:adjustRightInd w:val="0"/>
              <w:snapToGrid w:val="0"/>
              <w:jc w:val="center"/>
              <w:rPr>
                <w:rFonts w:ascii="Arial" w:hAnsi="Arial" w:eastAsia="宋体" w:cs="Arial"/>
                <w:sz w:val="21"/>
                <w:szCs w:val="21"/>
                <w:u w:val="single"/>
              </w:rPr>
            </w:pPr>
          </w:p>
        </w:tc>
      </w:tr>
      <w:tr w14:paraId="3FE62D78">
        <w:tblPrEx>
          <w:tblCellMar>
            <w:top w:w="15" w:type="dxa"/>
            <w:left w:w="15" w:type="dxa"/>
            <w:bottom w:w="15" w:type="dxa"/>
            <w:right w:w="15" w:type="dxa"/>
          </w:tblCellMar>
        </w:tblPrEx>
        <w:trPr>
          <w:cantSplit/>
          <w:trHeight w:val="340" w:hRule="atLeast"/>
          <w:jc w:val="center"/>
        </w:trPr>
        <w:tc>
          <w:tcPr>
            <w:tcW w:w="492" w:type="pct"/>
            <w:vMerge w:val="restart"/>
            <w:tcBorders>
              <w:top w:val="single" w:color="000000" w:sz="4" w:space="0"/>
              <w:left w:val="single" w:color="000000" w:sz="4" w:space="0"/>
              <w:right w:val="single" w:color="000000" w:sz="4" w:space="0"/>
            </w:tcBorders>
            <w:vAlign w:val="center"/>
          </w:tcPr>
          <w:p w14:paraId="542B0C23">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127D7DD9">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7351AD38">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1F6F30D0">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07B04B98">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1150CA42">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636BF6C1">
            <w:pPr>
              <w:adjustRightInd w:val="0"/>
              <w:snapToGrid w:val="0"/>
              <w:jc w:val="center"/>
              <w:rPr>
                <w:rFonts w:ascii="Arial" w:hAnsi="Arial" w:eastAsia="宋体" w:cs="Arial"/>
                <w:sz w:val="21"/>
                <w:szCs w:val="21"/>
                <w:u w:val="single"/>
              </w:rPr>
            </w:pPr>
          </w:p>
        </w:tc>
      </w:tr>
      <w:tr w14:paraId="6E074133">
        <w:tblPrEx>
          <w:tblCellMar>
            <w:top w:w="15" w:type="dxa"/>
            <w:left w:w="15" w:type="dxa"/>
            <w:bottom w:w="15" w:type="dxa"/>
            <w:right w:w="15" w:type="dxa"/>
          </w:tblCellMar>
        </w:tblPrEx>
        <w:trPr>
          <w:cantSplit/>
          <w:trHeight w:val="340" w:hRule="atLeast"/>
          <w:jc w:val="center"/>
        </w:trPr>
        <w:tc>
          <w:tcPr>
            <w:tcW w:w="492" w:type="pct"/>
            <w:vMerge w:val="continue"/>
            <w:tcBorders>
              <w:left w:val="single" w:color="000000" w:sz="4" w:space="0"/>
              <w:right w:val="single" w:color="000000" w:sz="4" w:space="0"/>
            </w:tcBorders>
            <w:vAlign w:val="center"/>
          </w:tcPr>
          <w:p w14:paraId="7C6B28E2">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360C7391">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16BA591F">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05F9ACC4">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56659F03">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13921EB1">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67B035A7">
            <w:pPr>
              <w:adjustRightInd w:val="0"/>
              <w:snapToGrid w:val="0"/>
              <w:jc w:val="center"/>
              <w:rPr>
                <w:rFonts w:ascii="Arial" w:hAnsi="Arial" w:eastAsia="宋体" w:cs="Arial"/>
                <w:sz w:val="21"/>
                <w:szCs w:val="21"/>
                <w:u w:val="single"/>
              </w:rPr>
            </w:pPr>
          </w:p>
        </w:tc>
      </w:tr>
      <w:tr w14:paraId="4592FBD1">
        <w:tblPrEx>
          <w:tblCellMar>
            <w:top w:w="15" w:type="dxa"/>
            <w:left w:w="15" w:type="dxa"/>
            <w:bottom w:w="15" w:type="dxa"/>
            <w:right w:w="15" w:type="dxa"/>
          </w:tblCellMar>
        </w:tblPrEx>
        <w:trPr>
          <w:cantSplit/>
          <w:trHeight w:val="340" w:hRule="atLeast"/>
          <w:jc w:val="center"/>
        </w:trPr>
        <w:tc>
          <w:tcPr>
            <w:tcW w:w="492" w:type="pct"/>
            <w:vMerge w:val="continue"/>
            <w:tcBorders>
              <w:left w:val="single" w:color="000000" w:sz="4" w:space="0"/>
              <w:right w:val="single" w:color="000000" w:sz="4" w:space="0"/>
            </w:tcBorders>
            <w:vAlign w:val="center"/>
          </w:tcPr>
          <w:p w14:paraId="275D3332">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3D81CDC5">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37BFD8C8">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55EC3ECE">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63324FFB">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1C3346A6">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762A0872">
            <w:pPr>
              <w:adjustRightInd w:val="0"/>
              <w:snapToGrid w:val="0"/>
              <w:jc w:val="center"/>
              <w:rPr>
                <w:rFonts w:ascii="Arial" w:hAnsi="Arial" w:eastAsia="宋体" w:cs="Arial"/>
                <w:sz w:val="21"/>
                <w:szCs w:val="21"/>
                <w:u w:val="single"/>
              </w:rPr>
            </w:pPr>
          </w:p>
        </w:tc>
      </w:tr>
      <w:tr w14:paraId="0C656DCF">
        <w:tblPrEx>
          <w:tblCellMar>
            <w:top w:w="15" w:type="dxa"/>
            <w:left w:w="15" w:type="dxa"/>
            <w:bottom w:w="15" w:type="dxa"/>
            <w:right w:w="15" w:type="dxa"/>
          </w:tblCellMar>
        </w:tblPrEx>
        <w:trPr>
          <w:cantSplit/>
          <w:trHeight w:val="340" w:hRule="atLeast"/>
          <w:jc w:val="center"/>
        </w:trPr>
        <w:tc>
          <w:tcPr>
            <w:tcW w:w="492" w:type="pct"/>
            <w:vMerge w:val="continue"/>
            <w:tcBorders>
              <w:left w:val="single" w:color="000000" w:sz="4" w:space="0"/>
              <w:bottom w:val="single" w:color="000000" w:sz="4" w:space="0"/>
              <w:right w:val="single" w:color="000000" w:sz="4" w:space="0"/>
            </w:tcBorders>
            <w:vAlign w:val="center"/>
          </w:tcPr>
          <w:p w14:paraId="32D36B40">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73C6466C">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188884B7">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48580E1D">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752239C3">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3D0ED5C4">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7D2B97A4">
            <w:pPr>
              <w:adjustRightInd w:val="0"/>
              <w:snapToGrid w:val="0"/>
              <w:jc w:val="center"/>
              <w:rPr>
                <w:rFonts w:ascii="Arial" w:hAnsi="Arial" w:eastAsia="宋体" w:cs="Arial"/>
                <w:sz w:val="21"/>
                <w:szCs w:val="21"/>
                <w:u w:val="single"/>
              </w:rPr>
            </w:pPr>
          </w:p>
        </w:tc>
      </w:tr>
      <w:tr w14:paraId="643DDEAE">
        <w:tblPrEx>
          <w:tblCellMar>
            <w:top w:w="15" w:type="dxa"/>
            <w:left w:w="15" w:type="dxa"/>
            <w:bottom w:w="15" w:type="dxa"/>
            <w:right w:w="15" w:type="dxa"/>
          </w:tblCellMar>
        </w:tblPrEx>
        <w:trPr>
          <w:cantSplit/>
          <w:trHeight w:val="340" w:hRule="atLeast"/>
          <w:jc w:val="center"/>
        </w:trPr>
        <w:tc>
          <w:tcPr>
            <w:tcW w:w="492" w:type="pct"/>
            <w:vMerge w:val="restart"/>
            <w:tcBorders>
              <w:top w:val="single" w:color="000000" w:sz="4" w:space="0"/>
              <w:left w:val="single" w:color="000000" w:sz="4" w:space="0"/>
              <w:right w:val="single" w:color="000000" w:sz="4" w:space="0"/>
            </w:tcBorders>
            <w:vAlign w:val="center"/>
          </w:tcPr>
          <w:p w14:paraId="2A326229">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69EC8F11">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333966A7">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3C23E897">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489EAD1D">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0A641D96">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3DCFB41F">
            <w:pPr>
              <w:adjustRightInd w:val="0"/>
              <w:snapToGrid w:val="0"/>
              <w:jc w:val="center"/>
              <w:rPr>
                <w:rFonts w:ascii="Arial" w:hAnsi="Arial" w:eastAsia="宋体" w:cs="Arial"/>
                <w:sz w:val="21"/>
                <w:szCs w:val="21"/>
                <w:u w:val="single"/>
              </w:rPr>
            </w:pPr>
          </w:p>
        </w:tc>
      </w:tr>
      <w:tr w14:paraId="2D3591B5">
        <w:tblPrEx>
          <w:tblCellMar>
            <w:top w:w="15" w:type="dxa"/>
            <w:left w:w="15" w:type="dxa"/>
            <w:bottom w:w="15" w:type="dxa"/>
            <w:right w:w="15" w:type="dxa"/>
          </w:tblCellMar>
        </w:tblPrEx>
        <w:trPr>
          <w:cantSplit/>
          <w:trHeight w:val="340" w:hRule="atLeast"/>
          <w:jc w:val="center"/>
        </w:trPr>
        <w:tc>
          <w:tcPr>
            <w:tcW w:w="492" w:type="pct"/>
            <w:vMerge w:val="continue"/>
            <w:tcBorders>
              <w:left w:val="single" w:color="000000" w:sz="4" w:space="0"/>
              <w:right w:val="single" w:color="000000" w:sz="4" w:space="0"/>
            </w:tcBorders>
            <w:vAlign w:val="center"/>
          </w:tcPr>
          <w:p w14:paraId="349495C0">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4341A6BD">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48A67F25">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36688A28">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6388E098">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151D0CAD">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167BFA14">
            <w:pPr>
              <w:adjustRightInd w:val="0"/>
              <w:snapToGrid w:val="0"/>
              <w:jc w:val="center"/>
              <w:rPr>
                <w:rFonts w:ascii="Arial" w:hAnsi="Arial" w:eastAsia="宋体" w:cs="Arial"/>
                <w:sz w:val="21"/>
                <w:szCs w:val="21"/>
                <w:u w:val="single"/>
              </w:rPr>
            </w:pPr>
          </w:p>
        </w:tc>
      </w:tr>
      <w:tr w14:paraId="345560C1">
        <w:tblPrEx>
          <w:tblCellMar>
            <w:top w:w="15" w:type="dxa"/>
            <w:left w:w="15" w:type="dxa"/>
            <w:bottom w:w="15" w:type="dxa"/>
            <w:right w:w="15" w:type="dxa"/>
          </w:tblCellMar>
        </w:tblPrEx>
        <w:trPr>
          <w:cantSplit/>
          <w:trHeight w:val="340" w:hRule="atLeast"/>
          <w:jc w:val="center"/>
        </w:trPr>
        <w:tc>
          <w:tcPr>
            <w:tcW w:w="492" w:type="pct"/>
            <w:vMerge w:val="continue"/>
            <w:tcBorders>
              <w:left w:val="single" w:color="000000" w:sz="4" w:space="0"/>
              <w:bottom w:val="single" w:color="000000" w:sz="4" w:space="0"/>
              <w:right w:val="single" w:color="000000" w:sz="4" w:space="0"/>
            </w:tcBorders>
            <w:vAlign w:val="center"/>
          </w:tcPr>
          <w:p w14:paraId="7B238852">
            <w:pPr>
              <w:adjustRightInd w:val="0"/>
              <w:snapToGrid w:val="0"/>
              <w:jc w:val="center"/>
              <w:rPr>
                <w:rFonts w:ascii="Arial" w:hAnsi="Arial" w:eastAsia="宋体" w:cs="Arial"/>
                <w:sz w:val="21"/>
                <w:szCs w:val="21"/>
                <w:u w:val="single"/>
              </w:rPr>
            </w:pPr>
          </w:p>
        </w:tc>
        <w:tc>
          <w:tcPr>
            <w:tcW w:w="965" w:type="pct"/>
            <w:tcBorders>
              <w:top w:val="single" w:color="000000" w:sz="4" w:space="0"/>
              <w:left w:val="single" w:color="000000" w:sz="4" w:space="0"/>
              <w:bottom w:val="single" w:color="000000" w:sz="4" w:space="0"/>
              <w:right w:val="single" w:color="000000" w:sz="4" w:space="0"/>
            </w:tcBorders>
            <w:vAlign w:val="center"/>
          </w:tcPr>
          <w:p w14:paraId="1D319B24">
            <w:pPr>
              <w:adjustRightInd w:val="0"/>
              <w:snapToGrid w:val="0"/>
              <w:jc w:val="center"/>
              <w:rPr>
                <w:rFonts w:ascii="Arial" w:hAnsi="Arial" w:eastAsia="宋体" w:cs="Arial"/>
                <w:sz w:val="21"/>
                <w:szCs w:val="21"/>
                <w:u w:val="single"/>
              </w:rPr>
            </w:pPr>
          </w:p>
        </w:tc>
        <w:tc>
          <w:tcPr>
            <w:tcW w:w="709" w:type="pct"/>
            <w:tcBorders>
              <w:top w:val="single" w:color="000000" w:sz="4" w:space="0"/>
              <w:bottom w:val="single" w:color="000000" w:sz="4" w:space="0"/>
              <w:right w:val="single" w:color="000000" w:sz="4" w:space="0"/>
            </w:tcBorders>
            <w:vAlign w:val="center"/>
          </w:tcPr>
          <w:p w14:paraId="1319768B">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52E56A64">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462F6B80">
            <w:pPr>
              <w:adjustRightInd w:val="0"/>
              <w:snapToGrid w:val="0"/>
              <w:jc w:val="center"/>
              <w:rPr>
                <w:rFonts w:ascii="Arial" w:hAnsi="Arial" w:eastAsia="宋体" w:cs="Arial"/>
                <w:sz w:val="21"/>
                <w:szCs w:val="21"/>
                <w:u w:val="single"/>
              </w:rPr>
            </w:pPr>
          </w:p>
        </w:tc>
        <w:tc>
          <w:tcPr>
            <w:tcW w:w="709" w:type="pct"/>
            <w:tcBorders>
              <w:top w:val="single" w:color="000000" w:sz="4" w:space="0"/>
              <w:left w:val="single" w:color="000000" w:sz="4" w:space="0"/>
              <w:bottom w:val="single" w:color="000000" w:sz="4" w:space="0"/>
              <w:right w:val="single" w:color="000000" w:sz="4" w:space="0"/>
            </w:tcBorders>
            <w:vAlign w:val="center"/>
          </w:tcPr>
          <w:p w14:paraId="243BD9EE">
            <w:pPr>
              <w:adjustRightInd w:val="0"/>
              <w:snapToGrid w:val="0"/>
              <w:jc w:val="center"/>
              <w:rPr>
                <w:rFonts w:ascii="Arial" w:hAnsi="Arial" w:eastAsia="宋体" w:cs="Arial"/>
                <w:sz w:val="21"/>
                <w:szCs w:val="21"/>
                <w:u w:val="single"/>
              </w:rPr>
            </w:pPr>
          </w:p>
        </w:tc>
        <w:tc>
          <w:tcPr>
            <w:tcW w:w="707" w:type="pct"/>
            <w:tcBorders>
              <w:top w:val="single" w:color="000000" w:sz="4" w:space="0"/>
              <w:left w:val="single" w:color="000000" w:sz="4" w:space="0"/>
              <w:bottom w:val="single" w:color="000000" w:sz="4" w:space="0"/>
              <w:right w:val="single" w:color="000000" w:sz="4" w:space="0"/>
            </w:tcBorders>
            <w:vAlign w:val="center"/>
          </w:tcPr>
          <w:p w14:paraId="27243D6E">
            <w:pPr>
              <w:adjustRightInd w:val="0"/>
              <w:snapToGrid w:val="0"/>
              <w:jc w:val="center"/>
              <w:rPr>
                <w:rFonts w:ascii="Arial" w:hAnsi="Arial" w:eastAsia="宋体" w:cs="Arial"/>
                <w:sz w:val="21"/>
                <w:szCs w:val="21"/>
                <w:u w:val="single"/>
              </w:rPr>
            </w:pPr>
          </w:p>
        </w:tc>
      </w:tr>
    </w:tbl>
    <w:p w14:paraId="4A6DA401">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u w:val="single"/>
        </w:rPr>
        <w:t>根据对比，企业建厂前，地下水中的</w:t>
      </w:r>
      <w:r>
        <w:rPr>
          <w:rFonts w:ascii="Arial" w:hAnsi="Arial" w:eastAsia="宋体" w:cs="Arial"/>
          <w:spacing w:val="10"/>
          <w:sz w:val="24"/>
          <w:u w:val="single"/>
        </w:rPr>
        <w:t>硫酸盐、氯化物</w:t>
      </w:r>
      <w:r>
        <w:rPr>
          <w:rFonts w:hint="eastAsia" w:ascii="Arial" w:hAnsi="Arial" w:eastAsia="宋体" w:cs="Arial"/>
          <w:spacing w:val="10"/>
          <w:sz w:val="24"/>
          <w:u w:val="single"/>
        </w:rPr>
        <w:t>、</w:t>
      </w:r>
      <w:r>
        <w:rPr>
          <w:rFonts w:ascii="Arial" w:hAnsi="Arial" w:eastAsia="宋体" w:cs="Arial"/>
          <w:spacing w:val="10"/>
          <w:sz w:val="24"/>
          <w:u w:val="single"/>
        </w:rPr>
        <w:t>总硬度</w:t>
      </w:r>
      <w:r>
        <w:rPr>
          <w:rFonts w:hint="eastAsia" w:ascii="Arial" w:hAnsi="Arial" w:eastAsia="宋体" w:cs="Arial"/>
          <w:spacing w:val="10"/>
          <w:sz w:val="24"/>
          <w:u w:val="single"/>
        </w:rPr>
        <w:t>、</w:t>
      </w:r>
      <w:r>
        <w:rPr>
          <w:rFonts w:ascii="Arial" w:hAnsi="Arial" w:eastAsia="宋体" w:cs="Arial"/>
          <w:spacing w:val="10"/>
          <w:sz w:val="24"/>
          <w:u w:val="single"/>
        </w:rPr>
        <w:t>溶解性固体</w:t>
      </w:r>
      <w:r>
        <w:rPr>
          <w:rFonts w:hint="eastAsia" w:ascii="Arial" w:hAnsi="Arial" w:eastAsia="宋体" w:cs="Arial"/>
          <w:spacing w:val="10"/>
          <w:sz w:val="24"/>
          <w:u w:val="single"/>
        </w:rPr>
        <w:t>等因子已超标，</w:t>
      </w:r>
      <w:r>
        <w:rPr>
          <w:rFonts w:ascii="Arial" w:hAnsi="Arial" w:eastAsia="宋体" w:cs="Arial"/>
          <w:spacing w:val="10"/>
          <w:sz w:val="24"/>
          <w:u w:val="single"/>
        </w:rPr>
        <w:t>硫酸盐</w:t>
      </w:r>
      <w:r>
        <w:rPr>
          <w:rFonts w:hint="eastAsia" w:ascii="Arial" w:hAnsi="Arial" w:eastAsia="宋体" w:cs="Arial"/>
          <w:spacing w:val="10"/>
          <w:sz w:val="24"/>
          <w:u w:val="single"/>
        </w:rPr>
        <w:t>的监测值有变小的趋势；同一点位的氨氮和耗氧量的监测值，有超标情况也有达标情况，厂内监测井最近一次监测的氨氮和耗氧量可达标。</w:t>
      </w:r>
    </w:p>
    <w:p w14:paraId="6B3996AC">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所在区域属于填海区域，填海区填土主要为周边建设场地开挖的岩土体及海沙，局部为周边建筑废弃混凝土料，渗透性强，底部淤泥质粘土层透水性弱，为相对隔水层，场区地下水补给来源主要为海水倒灌后滞留形成。</w:t>
      </w:r>
      <w:r>
        <w:rPr>
          <w:rFonts w:ascii="Arial" w:hAnsi="Arial" w:eastAsia="宋体" w:cs="Arial"/>
          <w:spacing w:val="10"/>
          <w:sz w:val="24"/>
          <w:u w:val="single"/>
        </w:rPr>
        <w:t>项目所在区域地下水水质受海水盐度及回填土影响，填海区周边盐类及溶解度较高，且盐水相对地下水比重大，造成溶解性固体</w:t>
      </w:r>
      <w:r>
        <w:rPr>
          <w:rFonts w:hint="eastAsia" w:ascii="Arial" w:hAnsi="Arial" w:eastAsia="宋体" w:cs="Arial"/>
          <w:spacing w:val="10"/>
          <w:sz w:val="24"/>
          <w:u w:val="single"/>
        </w:rPr>
        <w:t>、</w:t>
      </w:r>
      <w:r>
        <w:rPr>
          <w:rFonts w:ascii="Arial" w:hAnsi="Arial" w:eastAsia="宋体" w:cs="Arial"/>
          <w:spacing w:val="10"/>
          <w:sz w:val="24"/>
          <w:u w:val="single"/>
        </w:rPr>
        <w:t>总硬度</w:t>
      </w:r>
      <w:r>
        <w:rPr>
          <w:rFonts w:hint="eastAsia" w:ascii="Arial" w:hAnsi="Arial" w:eastAsia="宋体" w:cs="Arial"/>
          <w:spacing w:val="10"/>
          <w:sz w:val="24"/>
          <w:u w:val="single"/>
        </w:rPr>
        <w:t>、</w:t>
      </w:r>
      <w:r>
        <w:rPr>
          <w:rFonts w:ascii="Arial" w:hAnsi="Arial" w:eastAsia="宋体" w:cs="Arial"/>
          <w:spacing w:val="10"/>
          <w:sz w:val="24"/>
          <w:u w:val="single"/>
        </w:rPr>
        <w:t>硫酸盐、氯化物等超标；海水本身pH值偏酸性，倒灌后滞留的海水使填土层及底部淤泥质粘土层酸化，促使填土区的固态锰因子分解出锰离子，为项目区</w:t>
      </w:r>
      <w:r>
        <w:rPr>
          <w:rFonts w:hint="eastAsia" w:ascii="Arial" w:hAnsi="Arial" w:eastAsia="宋体" w:cs="Arial"/>
          <w:spacing w:val="10"/>
          <w:sz w:val="24"/>
          <w:u w:val="single"/>
        </w:rPr>
        <w:t>D2监测井</w:t>
      </w:r>
      <w:r>
        <w:rPr>
          <w:rFonts w:ascii="Arial" w:hAnsi="Arial" w:eastAsia="宋体" w:cs="Arial"/>
          <w:spacing w:val="10"/>
          <w:sz w:val="24"/>
          <w:u w:val="single"/>
        </w:rPr>
        <w:t>锰因子超标的主要原因</w:t>
      </w:r>
      <w:r>
        <w:rPr>
          <w:rFonts w:hint="eastAsia" w:ascii="Arial" w:hAnsi="Arial" w:eastAsia="宋体" w:cs="Arial"/>
          <w:spacing w:val="10"/>
          <w:sz w:val="24"/>
          <w:u w:val="single"/>
        </w:rPr>
        <w:t>；</w:t>
      </w:r>
      <w:r>
        <w:rPr>
          <w:rFonts w:ascii="Arial" w:hAnsi="Arial" w:eastAsia="宋体" w:cs="Arial"/>
          <w:spacing w:val="10"/>
          <w:sz w:val="24"/>
          <w:u w:val="single"/>
        </w:rPr>
        <w:t>氨氮、耗氧量超标可能</w:t>
      </w:r>
      <w:r>
        <w:rPr>
          <w:rFonts w:hint="eastAsia" w:ascii="Arial" w:hAnsi="Arial" w:eastAsia="宋体" w:cs="Arial"/>
          <w:spacing w:val="10"/>
          <w:sz w:val="24"/>
          <w:u w:val="single"/>
        </w:rPr>
        <w:t>受</w:t>
      </w:r>
      <w:r>
        <w:rPr>
          <w:rFonts w:ascii="Arial" w:hAnsi="Arial" w:eastAsia="宋体" w:cs="Arial"/>
          <w:spacing w:val="10"/>
          <w:sz w:val="24"/>
          <w:u w:val="single"/>
        </w:rPr>
        <w:t>海水</w:t>
      </w:r>
      <w:r>
        <w:rPr>
          <w:rFonts w:hint="eastAsia" w:ascii="Arial" w:hAnsi="Arial" w:eastAsia="宋体" w:cs="Arial"/>
          <w:spacing w:val="10"/>
          <w:sz w:val="24"/>
          <w:u w:val="single"/>
        </w:rPr>
        <w:t>涨落潮海水</w:t>
      </w:r>
      <w:r>
        <w:rPr>
          <w:rFonts w:ascii="Arial" w:hAnsi="Arial" w:eastAsia="宋体" w:cs="Arial"/>
          <w:spacing w:val="10"/>
          <w:sz w:val="24"/>
          <w:u w:val="single"/>
        </w:rPr>
        <w:t>倒灌后滞留</w:t>
      </w:r>
      <w:r>
        <w:rPr>
          <w:rFonts w:hint="eastAsia" w:ascii="Arial" w:hAnsi="Arial" w:eastAsia="宋体" w:cs="Arial"/>
          <w:spacing w:val="10"/>
          <w:sz w:val="24"/>
          <w:u w:val="single"/>
        </w:rPr>
        <w:t>影响，据了解，SK03和D4两个监控井曾因厂区施工受损被埋，可能由于施工期间掉落、滞留施工物料，导致这两个监测井氨氮及耗氧量相对偏高</w:t>
      </w:r>
      <w:r>
        <w:rPr>
          <w:rFonts w:ascii="Arial" w:hAnsi="Arial" w:eastAsia="宋体" w:cs="Arial"/>
          <w:spacing w:val="10"/>
          <w:sz w:val="24"/>
          <w:u w:val="single"/>
        </w:rPr>
        <w:t>。</w:t>
      </w:r>
    </w:p>
    <w:p w14:paraId="1B563C4C">
      <w:pPr>
        <w:spacing w:line="500" w:lineRule="exact"/>
        <w:jc w:val="left"/>
        <w:outlineLvl w:val="3"/>
        <w:rPr>
          <w:rFonts w:ascii="Arial" w:hAnsi="Arial" w:eastAsia="宋体" w:cs="Arial"/>
          <w:b/>
          <w:spacing w:val="10"/>
          <w:sz w:val="24"/>
        </w:rPr>
      </w:pPr>
      <w:r>
        <w:rPr>
          <w:rFonts w:ascii="Arial" w:hAnsi="Arial" w:eastAsia="宋体" w:cs="Arial"/>
          <w:b/>
          <w:spacing w:val="10"/>
          <w:sz w:val="24"/>
        </w:rPr>
        <w:t>3.2.3.5地下水环境现状调查与评价结论</w:t>
      </w:r>
    </w:p>
    <w:p w14:paraId="5653F42B">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rPr>
        <w:t>厂区地下水由西北向东南径流，排泄至鹿耳环江；评价区域不涉及地下水开采，地下水敏感程度为不敏感；地下水水质监测结果显示，地下水中的Cl</w:t>
      </w:r>
      <w:r>
        <w:rPr>
          <w:rFonts w:ascii="Arial" w:hAnsi="Arial" w:eastAsia="宋体" w:cs="Arial"/>
          <w:spacing w:val="10"/>
          <w:sz w:val="24"/>
          <w:vertAlign w:val="superscript"/>
        </w:rPr>
        <w:t>-</w:t>
      </w:r>
      <w:r>
        <w:rPr>
          <w:rFonts w:ascii="Arial" w:hAnsi="Arial" w:eastAsia="宋体" w:cs="Arial"/>
          <w:spacing w:val="10"/>
          <w:sz w:val="24"/>
        </w:rPr>
        <w:t>、SO</w:t>
      </w:r>
      <w:r>
        <w:rPr>
          <w:rFonts w:ascii="Arial" w:hAnsi="Arial" w:eastAsia="宋体" w:cs="Arial"/>
          <w:spacing w:val="10"/>
          <w:sz w:val="24"/>
          <w:vertAlign w:val="subscript"/>
        </w:rPr>
        <w:t>4</w:t>
      </w:r>
      <w:r>
        <w:rPr>
          <w:rFonts w:ascii="Arial" w:hAnsi="Arial" w:eastAsia="宋体" w:cs="Arial"/>
          <w:spacing w:val="10"/>
          <w:sz w:val="24"/>
          <w:vertAlign w:val="superscript"/>
        </w:rPr>
        <w:t>2-</w:t>
      </w:r>
      <w:r>
        <w:rPr>
          <w:rFonts w:ascii="Arial" w:hAnsi="Arial" w:eastAsia="宋体" w:cs="Arial"/>
          <w:spacing w:val="10"/>
          <w:sz w:val="24"/>
        </w:rPr>
        <w:t>、总硬度、溶解性总固体、锰、耗氧量、氨氮未能满足《地下水质量标准》（GB/T14848-2017）</w:t>
      </w:r>
      <w:r>
        <w:rPr>
          <w:rFonts w:hint="eastAsia" w:ascii="宋体" w:hAnsi="宋体" w:eastAsia="宋体" w:cs="宋体"/>
          <w:spacing w:val="10"/>
          <w:sz w:val="24"/>
        </w:rPr>
        <w:t>Ⅲ</w:t>
      </w:r>
      <w:r>
        <w:rPr>
          <w:rFonts w:ascii="Arial" w:hAnsi="Arial" w:eastAsia="宋体" w:cs="Arial"/>
          <w:spacing w:val="10"/>
          <w:sz w:val="24"/>
        </w:rPr>
        <w:t>类水质标准，其余监测因子达标。</w:t>
      </w:r>
      <w:r>
        <w:rPr>
          <w:rFonts w:ascii="Arial" w:hAnsi="Arial" w:eastAsia="宋体" w:cs="Arial"/>
          <w:spacing w:val="10"/>
          <w:sz w:val="24"/>
          <w:u w:val="single"/>
        </w:rPr>
        <w:t>项目所在区域地下水水质受海水盐度及回填土影响，填海区周边盐类及溶解度较高，且盐水相对地下水比重大，造成溶解性固体</w:t>
      </w:r>
      <w:r>
        <w:rPr>
          <w:rFonts w:hint="eastAsia" w:ascii="Arial" w:hAnsi="Arial" w:eastAsia="宋体" w:cs="Arial"/>
          <w:spacing w:val="10"/>
          <w:sz w:val="24"/>
          <w:u w:val="single"/>
        </w:rPr>
        <w:t>、</w:t>
      </w:r>
      <w:r>
        <w:rPr>
          <w:rFonts w:ascii="Arial" w:hAnsi="Arial" w:eastAsia="宋体" w:cs="Arial"/>
          <w:spacing w:val="10"/>
          <w:sz w:val="24"/>
          <w:u w:val="single"/>
        </w:rPr>
        <w:t>总硬度</w:t>
      </w:r>
      <w:r>
        <w:rPr>
          <w:rFonts w:hint="eastAsia" w:ascii="Arial" w:hAnsi="Arial" w:eastAsia="宋体" w:cs="Arial"/>
          <w:spacing w:val="10"/>
          <w:sz w:val="24"/>
          <w:u w:val="single"/>
        </w:rPr>
        <w:t>、</w:t>
      </w:r>
      <w:r>
        <w:rPr>
          <w:rFonts w:ascii="Arial" w:hAnsi="Arial" w:eastAsia="宋体" w:cs="Arial"/>
          <w:spacing w:val="10"/>
          <w:sz w:val="24"/>
          <w:u w:val="single"/>
        </w:rPr>
        <w:t>硫酸盐、氯化物等超标；海水本身pH值偏酸性，倒灌后滞留的海水使填土层及底部淤泥质粘土层酸化，促使填土区的固态锰因子分解出锰离子，为项目区</w:t>
      </w:r>
      <w:r>
        <w:rPr>
          <w:rFonts w:hint="eastAsia" w:ascii="Arial" w:hAnsi="Arial" w:eastAsia="宋体" w:cs="Arial"/>
          <w:spacing w:val="10"/>
          <w:sz w:val="24"/>
          <w:u w:val="single"/>
        </w:rPr>
        <w:t>D2监测井</w:t>
      </w:r>
      <w:r>
        <w:rPr>
          <w:rFonts w:ascii="Arial" w:hAnsi="Arial" w:eastAsia="宋体" w:cs="Arial"/>
          <w:spacing w:val="10"/>
          <w:sz w:val="24"/>
          <w:u w:val="single"/>
        </w:rPr>
        <w:t>锰因子超标的主要原因</w:t>
      </w:r>
      <w:r>
        <w:rPr>
          <w:rFonts w:hint="eastAsia" w:ascii="Arial" w:hAnsi="Arial" w:eastAsia="宋体" w:cs="Arial"/>
          <w:spacing w:val="10"/>
          <w:sz w:val="24"/>
          <w:u w:val="single"/>
        </w:rPr>
        <w:t>；</w:t>
      </w:r>
      <w:r>
        <w:rPr>
          <w:rFonts w:ascii="Arial" w:hAnsi="Arial" w:eastAsia="宋体" w:cs="Arial"/>
          <w:spacing w:val="10"/>
          <w:sz w:val="24"/>
          <w:u w:val="single"/>
        </w:rPr>
        <w:t>氨氮、耗氧量超标可能</w:t>
      </w:r>
      <w:r>
        <w:rPr>
          <w:rFonts w:hint="eastAsia" w:ascii="Arial" w:hAnsi="Arial" w:eastAsia="宋体" w:cs="Arial"/>
          <w:spacing w:val="10"/>
          <w:sz w:val="24"/>
          <w:u w:val="single"/>
        </w:rPr>
        <w:t>受</w:t>
      </w:r>
      <w:r>
        <w:rPr>
          <w:rFonts w:ascii="Arial" w:hAnsi="Arial" w:eastAsia="宋体" w:cs="Arial"/>
          <w:spacing w:val="10"/>
          <w:sz w:val="24"/>
          <w:u w:val="single"/>
        </w:rPr>
        <w:t>海水</w:t>
      </w:r>
      <w:r>
        <w:rPr>
          <w:rFonts w:hint="eastAsia" w:ascii="Arial" w:hAnsi="Arial" w:eastAsia="宋体" w:cs="Arial"/>
          <w:spacing w:val="10"/>
          <w:sz w:val="24"/>
          <w:u w:val="single"/>
        </w:rPr>
        <w:t>涨落潮海水</w:t>
      </w:r>
      <w:r>
        <w:rPr>
          <w:rFonts w:ascii="Arial" w:hAnsi="Arial" w:eastAsia="宋体" w:cs="Arial"/>
          <w:spacing w:val="10"/>
          <w:sz w:val="24"/>
          <w:u w:val="single"/>
        </w:rPr>
        <w:t>倒灌后滞留</w:t>
      </w:r>
      <w:r>
        <w:rPr>
          <w:rFonts w:hint="eastAsia" w:ascii="Arial" w:hAnsi="Arial" w:eastAsia="宋体" w:cs="Arial"/>
          <w:spacing w:val="10"/>
          <w:sz w:val="24"/>
          <w:u w:val="single"/>
        </w:rPr>
        <w:t>影响，据了解，SK03和D4两个监控井曾因厂区施工受损被埋，可能由于施工期间掉落、滞留施工物料，导致这两个监测井氨氮及耗氧量相对偏高</w:t>
      </w:r>
      <w:r>
        <w:rPr>
          <w:rFonts w:ascii="Arial" w:hAnsi="Arial" w:eastAsia="宋体" w:cs="Arial"/>
          <w:spacing w:val="10"/>
          <w:sz w:val="24"/>
          <w:u w:val="single"/>
        </w:rPr>
        <w:t>。</w:t>
      </w:r>
    </w:p>
    <w:p w14:paraId="6DCAF72D">
      <w:pPr>
        <w:numPr>
          <w:ilvl w:val="2"/>
          <w:numId w:val="17"/>
        </w:numPr>
        <w:spacing w:line="500" w:lineRule="exact"/>
        <w:ind w:left="564" w:leftChars="213" w:firstLine="0"/>
        <w:outlineLvl w:val="2"/>
        <w:rPr>
          <w:rFonts w:ascii="Arial" w:hAnsi="Arial" w:eastAsia="宋体" w:cs="Arial"/>
          <w:b/>
          <w:spacing w:val="10"/>
          <w:sz w:val="24"/>
        </w:rPr>
      </w:pPr>
      <w:r>
        <w:rPr>
          <w:rFonts w:ascii="Arial" w:hAnsi="Arial" w:eastAsia="宋体" w:cs="Arial"/>
          <w:b/>
          <w:spacing w:val="10"/>
          <w:sz w:val="24"/>
        </w:rPr>
        <w:t>声环境质量现状调查与评价</w:t>
      </w:r>
    </w:p>
    <w:p w14:paraId="1E796639">
      <w:pPr>
        <w:spacing w:line="500" w:lineRule="exact"/>
        <w:ind w:firstLine="490" w:firstLineChars="200"/>
        <w:rPr>
          <w:rFonts w:ascii="Arial" w:hAnsi="Arial" w:eastAsia="宋体" w:cs="Arial"/>
          <w:spacing w:val="10"/>
          <w:sz w:val="24"/>
        </w:rPr>
      </w:pPr>
      <w:r>
        <w:rPr>
          <w:rFonts w:ascii="Arial" w:hAnsi="Arial" w:eastAsia="宋体" w:cs="Arial"/>
          <w:spacing w:val="10"/>
          <w:sz w:val="24"/>
        </w:rPr>
        <w:t>1、监测布点</w:t>
      </w:r>
    </w:p>
    <w:p w14:paraId="32534956">
      <w:pPr>
        <w:spacing w:line="500" w:lineRule="exact"/>
        <w:ind w:firstLine="490" w:firstLineChars="200"/>
        <w:rPr>
          <w:rFonts w:ascii="Arial" w:hAnsi="Arial" w:eastAsia="宋体" w:cs="Arial"/>
          <w:spacing w:val="10"/>
          <w:sz w:val="24"/>
        </w:rPr>
      </w:pPr>
      <w:r>
        <w:rPr>
          <w:rFonts w:ascii="Arial" w:hAnsi="Arial" w:eastAsia="宋体" w:cs="Arial"/>
          <w:spacing w:val="10"/>
          <w:sz w:val="24"/>
        </w:rPr>
        <w:t>厂界四周噪声</w:t>
      </w:r>
      <w:r>
        <w:rPr>
          <w:rFonts w:hint="eastAsia" w:ascii="Arial" w:hAnsi="Arial" w:eastAsia="宋体" w:cs="Arial"/>
          <w:spacing w:val="10"/>
          <w:sz w:val="24"/>
        </w:rPr>
        <w:t>现状引用氢氧化钴技改项目环评报告的噪声监测结果</w:t>
      </w:r>
      <w:r>
        <w:rPr>
          <w:rFonts w:ascii="Arial" w:hAnsi="Arial" w:eastAsia="宋体" w:cs="Arial"/>
          <w:spacing w:val="10"/>
          <w:sz w:val="24"/>
        </w:rPr>
        <w:t>，共设8个监测点位</w:t>
      </w:r>
      <w:r>
        <w:rPr>
          <w:rFonts w:hint="eastAsia" w:ascii="Arial" w:hAnsi="Arial" w:eastAsia="宋体" w:cs="Arial"/>
          <w:spacing w:val="10"/>
          <w:sz w:val="24"/>
        </w:rPr>
        <w:t>；</w:t>
      </w:r>
      <w:r>
        <w:rPr>
          <w:rFonts w:ascii="Arial" w:hAnsi="Arial" w:eastAsia="宋体" w:cs="Arial"/>
          <w:spacing w:val="10"/>
          <w:sz w:val="24"/>
        </w:rPr>
        <w:t>鸡墩头村声环境现状引用MSP变更项目的监测结果，详见表3-</w:t>
      </w:r>
      <w:r>
        <w:rPr>
          <w:rFonts w:hint="eastAsia" w:ascii="Arial" w:hAnsi="Arial" w:eastAsia="宋体" w:cs="Arial"/>
          <w:spacing w:val="10"/>
          <w:sz w:val="24"/>
        </w:rPr>
        <w:t>16</w:t>
      </w:r>
      <w:r>
        <w:rPr>
          <w:rFonts w:ascii="Arial" w:hAnsi="Arial" w:eastAsia="宋体" w:cs="Arial"/>
          <w:spacing w:val="10"/>
          <w:sz w:val="24"/>
        </w:rPr>
        <w:t>及附图5。</w:t>
      </w:r>
    </w:p>
    <w:p w14:paraId="40313DA9">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声环境质量监测点位一览表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3119"/>
        <w:gridCol w:w="2270"/>
        <w:gridCol w:w="2221"/>
      </w:tblGrid>
      <w:tr w14:paraId="07322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69" w:type="pct"/>
            <w:vAlign w:val="center"/>
          </w:tcPr>
          <w:p w14:paraId="3C1758E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734" w:type="pct"/>
            <w:vAlign w:val="center"/>
          </w:tcPr>
          <w:p w14:paraId="66BB88D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62" w:type="pct"/>
            <w:vAlign w:val="center"/>
          </w:tcPr>
          <w:p w14:paraId="437C720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35" w:type="pct"/>
            <w:vAlign w:val="center"/>
          </w:tcPr>
          <w:p w14:paraId="18301213">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2933D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 w:type="pct"/>
            <w:vAlign w:val="center"/>
          </w:tcPr>
          <w:p w14:paraId="2974432F">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734" w:type="pct"/>
            <w:vAlign w:val="center"/>
          </w:tcPr>
          <w:p w14:paraId="6C4239AA">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62" w:type="pct"/>
            <w:vMerge w:val="restart"/>
            <w:vAlign w:val="center"/>
          </w:tcPr>
          <w:p w14:paraId="43AB158F">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35" w:type="pct"/>
            <w:vMerge w:val="restart"/>
            <w:vAlign w:val="center"/>
          </w:tcPr>
          <w:p w14:paraId="1566F0E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35B6F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 w:type="pct"/>
            <w:vAlign w:val="center"/>
          </w:tcPr>
          <w:p w14:paraId="43E921A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734" w:type="pct"/>
            <w:vAlign w:val="center"/>
          </w:tcPr>
          <w:p w14:paraId="61BD6D7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62" w:type="pct"/>
            <w:vMerge w:val="continue"/>
            <w:vAlign w:val="center"/>
          </w:tcPr>
          <w:p w14:paraId="3B1C7D7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35" w:type="pct"/>
            <w:vMerge w:val="continue"/>
            <w:vAlign w:val="center"/>
          </w:tcPr>
          <w:p w14:paraId="4F0609E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52022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 w:type="pct"/>
            <w:vAlign w:val="center"/>
          </w:tcPr>
          <w:p w14:paraId="46D48FA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734" w:type="pct"/>
            <w:vAlign w:val="center"/>
          </w:tcPr>
          <w:p w14:paraId="63988DA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62" w:type="pct"/>
            <w:vMerge w:val="continue"/>
            <w:vAlign w:val="center"/>
          </w:tcPr>
          <w:p w14:paraId="6E7E32A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35" w:type="pct"/>
            <w:vMerge w:val="continue"/>
            <w:vAlign w:val="center"/>
          </w:tcPr>
          <w:p w14:paraId="7A6A1059">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259B5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 w:type="pct"/>
            <w:vAlign w:val="center"/>
          </w:tcPr>
          <w:p w14:paraId="374DEA5D">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734" w:type="pct"/>
            <w:vAlign w:val="center"/>
          </w:tcPr>
          <w:p w14:paraId="4324B9B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62" w:type="pct"/>
            <w:vMerge w:val="continue"/>
            <w:vAlign w:val="center"/>
          </w:tcPr>
          <w:p w14:paraId="72F589B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35" w:type="pct"/>
            <w:vMerge w:val="continue"/>
            <w:vAlign w:val="center"/>
          </w:tcPr>
          <w:p w14:paraId="50B0B1A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30AFD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 w:type="pct"/>
            <w:vAlign w:val="center"/>
          </w:tcPr>
          <w:p w14:paraId="53289AE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734" w:type="pct"/>
            <w:vAlign w:val="center"/>
          </w:tcPr>
          <w:p w14:paraId="57CA5545">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62" w:type="pct"/>
            <w:vMerge w:val="continue"/>
            <w:vAlign w:val="center"/>
          </w:tcPr>
          <w:p w14:paraId="0836265D">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35" w:type="pct"/>
            <w:vMerge w:val="continue"/>
            <w:vAlign w:val="center"/>
          </w:tcPr>
          <w:p w14:paraId="206A7FA6">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5D9DA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 w:type="pct"/>
            <w:vAlign w:val="center"/>
          </w:tcPr>
          <w:p w14:paraId="63D25C7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734" w:type="pct"/>
            <w:vAlign w:val="center"/>
          </w:tcPr>
          <w:p w14:paraId="1832F0D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62" w:type="pct"/>
            <w:vMerge w:val="continue"/>
            <w:vAlign w:val="center"/>
          </w:tcPr>
          <w:p w14:paraId="754E423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35" w:type="pct"/>
            <w:vMerge w:val="continue"/>
            <w:vAlign w:val="center"/>
          </w:tcPr>
          <w:p w14:paraId="5650321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17C07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 w:type="pct"/>
            <w:vAlign w:val="center"/>
          </w:tcPr>
          <w:p w14:paraId="03E695E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734" w:type="pct"/>
            <w:vAlign w:val="center"/>
          </w:tcPr>
          <w:p w14:paraId="4010B48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62" w:type="pct"/>
            <w:vMerge w:val="continue"/>
            <w:vAlign w:val="center"/>
          </w:tcPr>
          <w:p w14:paraId="5BEA6613">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35" w:type="pct"/>
            <w:vMerge w:val="continue"/>
            <w:vAlign w:val="center"/>
          </w:tcPr>
          <w:p w14:paraId="4A5AC83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4A1B4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 w:type="pct"/>
            <w:vAlign w:val="center"/>
          </w:tcPr>
          <w:p w14:paraId="4EA5851F">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734" w:type="pct"/>
            <w:vAlign w:val="center"/>
          </w:tcPr>
          <w:p w14:paraId="3EF0C39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62" w:type="pct"/>
            <w:vMerge w:val="continue"/>
            <w:vAlign w:val="center"/>
          </w:tcPr>
          <w:p w14:paraId="358C3CB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35" w:type="pct"/>
            <w:vMerge w:val="continue"/>
            <w:vAlign w:val="center"/>
          </w:tcPr>
          <w:p w14:paraId="60020F8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4D83A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 w:type="pct"/>
            <w:vAlign w:val="center"/>
          </w:tcPr>
          <w:p w14:paraId="13FC2B4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734" w:type="pct"/>
            <w:vAlign w:val="center"/>
          </w:tcPr>
          <w:p w14:paraId="4C160FB3">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62" w:type="pct"/>
            <w:vAlign w:val="center"/>
          </w:tcPr>
          <w:p w14:paraId="056520FF">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1235" w:type="pct"/>
            <w:vAlign w:val="center"/>
          </w:tcPr>
          <w:p w14:paraId="13AF776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bl>
    <w:p w14:paraId="4F7EFDFA">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据调查了解，2023年11月至今，</w:t>
      </w:r>
      <w:r>
        <w:rPr>
          <w:rFonts w:ascii="Arial" w:hAnsi="Arial" w:eastAsia="宋体" w:cs="Arial"/>
          <w:spacing w:val="10"/>
          <w:sz w:val="24"/>
        </w:rPr>
        <w:t>鸡墩头村</w:t>
      </w:r>
      <w:r>
        <w:rPr>
          <w:rFonts w:hint="eastAsia" w:ascii="Arial" w:hAnsi="Arial" w:eastAsia="宋体" w:cs="Arial"/>
          <w:spacing w:val="10"/>
          <w:sz w:val="24"/>
        </w:rPr>
        <w:t>周围200m范围未新增其他噪声污染源，因此报告引用</w:t>
      </w:r>
      <w:r>
        <w:rPr>
          <w:rFonts w:ascii="Arial" w:hAnsi="Arial" w:eastAsia="宋体" w:cs="Arial"/>
          <w:spacing w:val="10"/>
          <w:sz w:val="24"/>
        </w:rPr>
        <w:t>鸡墩头村</w:t>
      </w:r>
      <w:r>
        <w:rPr>
          <w:rFonts w:hint="eastAsia" w:ascii="Arial" w:hAnsi="Arial" w:eastAsia="宋体" w:cs="Arial"/>
          <w:spacing w:val="10"/>
          <w:sz w:val="24"/>
        </w:rPr>
        <w:t>2023年11月16日~17日的现状监测结果可行。</w:t>
      </w:r>
    </w:p>
    <w:p w14:paraId="55E24379">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rPr>
        <w:t>2、监测方法及频次</w:t>
      </w:r>
    </w:p>
    <w:p w14:paraId="6443691F">
      <w:pPr>
        <w:spacing w:line="500" w:lineRule="exact"/>
        <w:ind w:firstLine="490" w:firstLineChars="200"/>
        <w:rPr>
          <w:rFonts w:ascii="Arial" w:hAnsi="Arial" w:eastAsia="宋体" w:cs="Arial"/>
          <w:spacing w:val="10"/>
          <w:sz w:val="24"/>
        </w:rPr>
      </w:pPr>
      <w:r>
        <w:rPr>
          <w:rFonts w:ascii="Arial" w:hAnsi="Arial" w:eastAsia="宋体" w:cs="Arial"/>
          <w:spacing w:val="10"/>
          <w:sz w:val="24"/>
        </w:rPr>
        <w:t>监测方法：按照《声环境质量标准》（GB/T3096-2008）相关方法进行。</w:t>
      </w:r>
    </w:p>
    <w:p w14:paraId="0924C73F">
      <w:pPr>
        <w:spacing w:line="500" w:lineRule="exact"/>
        <w:ind w:firstLine="490" w:firstLineChars="200"/>
        <w:rPr>
          <w:rFonts w:ascii="Arial" w:hAnsi="Arial" w:eastAsia="宋体" w:cs="Arial"/>
          <w:spacing w:val="10"/>
          <w:sz w:val="24"/>
        </w:rPr>
      </w:pPr>
      <w:r>
        <w:rPr>
          <w:rFonts w:ascii="Arial" w:hAnsi="Arial" w:eastAsia="宋体" w:cs="Arial"/>
          <w:spacing w:val="10"/>
          <w:sz w:val="24"/>
        </w:rPr>
        <w:t>监测时间及频次：连续监测两天（昼间6:00～22:00；夜间22:00～次日6:00），每天昼、夜各监测一次。</w:t>
      </w:r>
    </w:p>
    <w:p w14:paraId="62FC6E76">
      <w:pPr>
        <w:spacing w:line="500" w:lineRule="exact"/>
        <w:ind w:firstLine="490" w:firstLineChars="200"/>
        <w:rPr>
          <w:rFonts w:ascii="Arial" w:hAnsi="Arial" w:eastAsia="宋体" w:cs="Arial"/>
          <w:spacing w:val="10"/>
          <w:sz w:val="24"/>
        </w:rPr>
      </w:pPr>
      <w:r>
        <w:rPr>
          <w:rFonts w:ascii="Arial" w:hAnsi="Arial" w:eastAsia="宋体" w:cs="Arial"/>
          <w:spacing w:val="10"/>
          <w:sz w:val="24"/>
        </w:rPr>
        <w:t>3、评价标准</w:t>
      </w:r>
    </w:p>
    <w:p w14:paraId="09269603">
      <w:pPr>
        <w:spacing w:line="500" w:lineRule="exact"/>
        <w:ind w:firstLine="490" w:firstLineChars="200"/>
        <w:rPr>
          <w:rFonts w:ascii="Arial" w:hAnsi="Arial" w:eastAsia="宋体" w:cs="Arial"/>
          <w:spacing w:val="10"/>
          <w:sz w:val="24"/>
        </w:rPr>
      </w:pPr>
      <w:r>
        <w:rPr>
          <w:rFonts w:ascii="Arial" w:hAnsi="Arial" w:eastAsia="宋体" w:cs="Arial"/>
          <w:spacing w:val="10"/>
          <w:sz w:val="24"/>
        </w:rPr>
        <w:t>东、南面厂界按照《声环境质量标准》（GB3096-2008）3类区标准评价，西面厂界按照4a类区标准评价；鸡墩头村按2类区标准评价。</w:t>
      </w:r>
    </w:p>
    <w:p w14:paraId="2855AF35">
      <w:pPr>
        <w:spacing w:line="500" w:lineRule="exact"/>
        <w:ind w:firstLine="490" w:firstLineChars="200"/>
        <w:rPr>
          <w:rFonts w:ascii="Arial" w:hAnsi="Arial" w:eastAsia="宋体" w:cs="Arial"/>
          <w:spacing w:val="10"/>
          <w:sz w:val="24"/>
        </w:rPr>
      </w:pPr>
      <w:r>
        <w:rPr>
          <w:rFonts w:ascii="Arial" w:hAnsi="Arial" w:eastAsia="宋体" w:cs="Arial"/>
          <w:spacing w:val="10"/>
          <w:sz w:val="24"/>
        </w:rPr>
        <w:t>4、声环境现状监测结果评价</w:t>
      </w:r>
    </w:p>
    <w:p w14:paraId="7A2F4DFB">
      <w:pPr>
        <w:spacing w:line="500" w:lineRule="exact"/>
        <w:ind w:firstLine="490" w:firstLineChars="200"/>
        <w:rPr>
          <w:rFonts w:ascii="Arial" w:hAnsi="Arial" w:eastAsia="宋体" w:cs="Arial"/>
          <w:spacing w:val="10"/>
          <w:sz w:val="24"/>
        </w:rPr>
      </w:pPr>
      <w:r>
        <w:rPr>
          <w:rFonts w:ascii="Arial" w:hAnsi="Arial" w:eastAsia="宋体" w:cs="Arial"/>
          <w:spacing w:val="10"/>
          <w:sz w:val="24"/>
        </w:rPr>
        <w:t>声环境质量现状监测与评价结果见表3-</w:t>
      </w:r>
      <w:r>
        <w:rPr>
          <w:rFonts w:hint="eastAsia" w:ascii="Arial" w:hAnsi="Arial" w:eastAsia="宋体" w:cs="Arial"/>
          <w:spacing w:val="10"/>
          <w:sz w:val="24"/>
        </w:rPr>
        <w:t>17</w:t>
      </w:r>
      <w:r>
        <w:rPr>
          <w:rFonts w:ascii="Arial" w:hAnsi="Arial" w:eastAsia="宋体" w:cs="Arial"/>
          <w:spacing w:val="10"/>
          <w:sz w:val="24"/>
        </w:rPr>
        <w:t>。</w:t>
      </w:r>
    </w:p>
    <w:p w14:paraId="03CF8C33">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声环境现状监测结果表   单位：dB（A）</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3"/>
        <w:gridCol w:w="1531"/>
        <w:gridCol w:w="1507"/>
        <w:gridCol w:w="1507"/>
        <w:gridCol w:w="1507"/>
        <w:gridCol w:w="1508"/>
      </w:tblGrid>
      <w:tr w14:paraId="60A0F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97" w:type="pct"/>
            <w:vAlign w:val="center"/>
          </w:tcPr>
          <w:p w14:paraId="4C42374D">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c>
          <w:tcPr>
            <w:tcW w:w="851" w:type="pct"/>
            <w:vAlign w:val="center"/>
          </w:tcPr>
          <w:p w14:paraId="23505659">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c>
          <w:tcPr>
            <w:tcW w:w="838" w:type="pct"/>
            <w:vAlign w:val="center"/>
          </w:tcPr>
          <w:p w14:paraId="5C0D51D9">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c>
          <w:tcPr>
            <w:tcW w:w="838" w:type="pct"/>
            <w:vAlign w:val="center"/>
          </w:tcPr>
          <w:p w14:paraId="0609D08C">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c>
          <w:tcPr>
            <w:tcW w:w="838" w:type="pct"/>
            <w:vAlign w:val="center"/>
          </w:tcPr>
          <w:p w14:paraId="41922EC0">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c>
          <w:tcPr>
            <w:tcW w:w="838" w:type="pct"/>
            <w:vAlign w:val="center"/>
          </w:tcPr>
          <w:p w14:paraId="201855D1">
            <w:pPr>
              <w:overflowPunct w:val="0"/>
              <w:autoSpaceDE w:val="0"/>
              <w:autoSpaceDN w:val="0"/>
              <w:adjustRightInd w:val="0"/>
              <w:snapToGrid w:val="0"/>
              <w:jc w:val="center"/>
              <w:textAlignment w:val="bottom"/>
              <w:rPr>
                <w:rFonts w:ascii="Arial" w:hAnsi="Arial" w:eastAsia="宋体" w:cs="Arial"/>
                <w:bCs/>
                <w:spacing w:val="24"/>
                <w:kern w:val="0"/>
                <w:sz w:val="21"/>
                <w:szCs w:val="21"/>
              </w:rPr>
            </w:pPr>
          </w:p>
        </w:tc>
      </w:tr>
      <w:tr w14:paraId="7925B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7" w:type="pct"/>
            <w:vMerge w:val="restart"/>
            <w:vAlign w:val="center"/>
          </w:tcPr>
          <w:p w14:paraId="199C791B">
            <w:pPr>
              <w:adjustRightInd w:val="0"/>
              <w:snapToGrid w:val="0"/>
              <w:jc w:val="center"/>
              <w:rPr>
                <w:rFonts w:ascii="Arial" w:hAnsi="Arial" w:eastAsia="宋体" w:cs="Arial"/>
                <w:sz w:val="21"/>
                <w:szCs w:val="21"/>
              </w:rPr>
            </w:pPr>
          </w:p>
        </w:tc>
        <w:tc>
          <w:tcPr>
            <w:tcW w:w="851" w:type="pct"/>
            <w:vMerge w:val="restart"/>
            <w:vAlign w:val="center"/>
          </w:tcPr>
          <w:p w14:paraId="22DED029">
            <w:pPr>
              <w:adjustRightInd w:val="0"/>
              <w:snapToGrid w:val="0"/>
              <w:jc w:val="center"/>
              <w:rPr>
                <w:rFonts w:ascii="Arial" w:hAnsi="Arial" w:eastAsia="宋体" w:cs="Arial"/>
                <w:sz w:val="21"/>
                <w:szCs w:val="21"/>
              </w:rPr>
            </w:pPr>
          </w:p>
        </w:tc>
        <w:tc>
          <w:tcPr>
            <w:tcW w:w="838" w:type="pct"/>
            <w:vAlign w:val="center"/>
          </w:tcPr>
          <w:p w14:paraId="58E47615">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F92DE8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06F547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A07D29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1C8E2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36222CD5">
            <w:pPr>
              <w:adjustRightInd w:val="0"/>
              <w:snapToGrid w:val="0"/>
              <w:jc w:val="center"/>
              <w:rPr>
                <w:rFonts w:ascii="Arial" w:hAnsi="Arial" w:eastAsia="宋体" w:cs="Arial"/>
                <w:sz w:val="21"/>
                <w:szCs w:val="21"/>
              </w:rPr>
            </w:pPr>
          </w:p>
        </w:tc>
        <w:tc>
          <w:tcPr>
            <w:tcW w:w="0" w:type="auto"/>
            <w:vMerge w:val="continue"/>
            <w:vAlign w:val="center"/>
          </w:tcPr>
          <w:p w14:paraId="581EC5DD">
            <w:pPr>
              <w:widowControl/>
              <w:adjustRightInd w:val="0"/>
              <w:snapToGrid w:val="0"/>
              <w:jc w:val="left"/>
              <w:rPr>
                <w:rFonts w:ascii="Arial" w:hAnsi="Arial" w:eastAsia="宋体" w:cs="Arial"/>
                <w:sz w:val="21"/>
                <w:szCs w:val="21"/>
              </w:rPr>
            </w:pPr>
          </w:p>
        </w:tc>
        <w:tc>
          <w:tcPr>
            <w:tcW w:w="838" w:type="pct"/>
            <w:vAlign w:val="center"/>
          </w:tcPr>
          <w:p w14:paraId="2F998B0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0763F1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35E2E4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F21BE4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572A3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14EFF04B">
            <w:pPr>
              <w:adjustRightInd w:val="0"/>
              <w:snapToGrid w:val="0"/>
              <w:jc w:val="center"/>
              <w:rPr>
                <w:rFonts w:ascii="Arial" w:hAnsi="Arial" w:eastAsia="宋体" w:cs="Arial"/>
                <w:sz w:val="21"/>
                <w:szCs w:val="21"/>
              </w:rPr>
            </w:pPr>
          </w:p>
        </w:tc>
        <w:tc>
          <w:tcPr>
            <w:tcW w:w="851" w:type="pct"/>
            <w:vMerge w:val="restart"/>
            <w:vAlign w:val="center"/>
          </w:tcPr>
          <w:p w14:paraId="53E2303B">
            <w:pPr>
              <w:adjustRightInd w:val="0"/>
              <w:snapToGrid w:val="0"/>
              <w:jc w:val="center"/>
              <w:rPr>
                <w:rFonts w:ascii="Arial" w:hAnsi="Arial" w:eastAsia="宋体" w:cs="Arial"/>
                <w:sz w:val="21"/>
                <w:szCs w:val="21"/>
              </w:rPr>
            </w:pPr>
          </w:p>
        </w:tc>
        <w:tc>
          <w:tcPr>
            <w:tcW w:w="838" w:type="pct"/>
            <w:vAlign w:val="center"/>
          </w:tcPr>
          <w:p w14:paraId="2761301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67F727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7258412F">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EC99A1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32589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0968AA08">
            <w:pPr>
              <w:adjustRightInd w:val="0"/>
              <w:snapToGrid w:val="0"/>
              <w:jc w:val="center"/>
              <w:rPr>
                <w:rFonts w:ascii="Arial" w:hAnsi="Arial" w:eastAsia="宋体" w:cs="Arial"/>
                <w:sz w:val="21"/>
                <w:szCs w:val="21"/>
              </w:rPr>
            </w:pPr>
          </w:p>
        </w:tc>
        <w:tc>
          <w:tcPr>
            <w:tcW w:w="0" w:type="auto"/>
            <w:vMerge w:val="continue"/>
            <w:vAlign w:val="center"/>
          </w:tcPr>
          <w:p w14:paraId="0F4F9A73">
            <w:pPr>
              <w:widowControl/>
              <w:adjustRightInd w:val="0"/>
              <w:snapToGrid w:val="0"/>
              <w:jc w:val="left"/>
              <w:rPr>
                <w:rFonts w:ascii="Arial" w:hAnsi="Arial" w:eastAsia="宋体" w:cs="Arial"/>
                <w:sz w:val="21"/>
                <w:szCs w:val="21"/>
              </w:rPr>
            </w:pPr>
          </w:p>
        </w:tc>
        <w:tc>
          <w:tcPr>
            <w:tcW w:w="838" w:type="pct"/>
            <w:vAlign w:val="center"/>
          </w:tcPr>
          <w:p w14:paraId="7BE4E153">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6A52C29">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99BCFE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98299F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1C1E8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7" w:type="pct"/>
            <w:vMerge w:val="restart"/>
            <w:vAlign w:val="center"/>
          </w:tcPr>
          <w:p w14:paraId="0C8CCD4B">
            <w:pPr>
              <w:adjustRightInd w:val="0"/>
              <w:snapToGrid w:val="0"/>
              <w:jc w:val="center"/>
              <w:rPr>
                <w:rFonts w:ascii="Arial" w:hAnsi="Arial" w:eastAsia="宋体" w:cs="Arial"/>
                <w:sz w:val="21"/>
                <w:szCs w:val="21"/>
              </w:rPr>
            </w:pPr>
          </w:p>
        </w:tc>
        <w:tc>
          <w:tcPr>
            <w:tcW w:w="851" w:type="pct"/>
            <w:vMerge w:val="restart"/>
            <w:vAlign w:val="center"/>
          </w:tcPr>
          <w:p w14:paraId="10AC6F1F">
            <w:pPr>
              <w:adjustRightInd w:val="0"/>
              <w:snapToGrid w:val="0"/>
              <w:jc w:val="center"/>
              <w:rPr>
                <w:rFonts w:ascii="Arial" w:hAnsi="Arial" w:eastAsia="宋体" w:cs="Arial"/>
                <w:sz w:val="21"/>
                <w:szCs w:val="21"/>
              </w:rPr>
            </w:pPr>
          </w:p>
        </w:tc>
        <w:tc>
          <w:tcPr>
            <w:tcW w:w="838" w:type="pct"/>
            <w:vAlign w:val="center"/>
          </w:tcPr>
          <w:p w14:paraId="422FA69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915EC4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91562D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47CA04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4F13B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5982B66F">
            <w:pPr>
              <w:adjustRightInd w:val="0"/>
              <w:snapToGrid w:val="0"/>
              <w:jc w:val="center"/>
              <w:rPr>
                <w:rFonts w:ascii="Arial" w:hAnsi="Arial" w:eastAsia="宋体" w:cs="Arial"/>
                <w:sz w:val="21"/>
                <w:szCs w:val="21"/>
              </w:rPr>
            </w:pPr>
          </w:p>
        </w:tc>
        <w:tc>
          <w:tcPr>
            <w:tcW w:w="0" w:type="auto"/>
            <w:vMerge w:val="continue"/>
            <w:vAlign w:val="center"/>
          </w:tcPr>
          <w:p w14:paraId="069D930D">
            <w:pPr>
              <w:widowControl/>
              <w:adjustRightInd w:val="0"/>
              <w:snapToGrid w:val="0"/>
              <w:jc w:val="left"/>
              <w:rPr>
                <w:rFonts w:ascii="Arial" w:hAnsi="Arial" w:eastAsia="宋体" w:cs="Arial"/>
                <w:sz w:val="21"/>
                <w:szCs w:val="21"/>
              </w:rPr>
            </w:pPr>
          </w:p>
        </w:tc>
        <w:tc>
          <w:tcPr>
            <w:tcW w:w="838" w:type="pct"/>
            <w:vAlign w:val="center"/>
          </w:tcPr>
          <w:p w14:paraId="661EFB3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D984E3D">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6FE4B2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49624EF">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0EDD1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4197E7AD">
            <w:pPr>
              <w:adjustRightInd w:val="0"/>
              <w:snapToGrid w:val="0"/>
              <w:jc w:val="center"/>
              <w:rPr>
                <w:rFonts w:ascii="Arial" w:hAnsi="Arial" w:eastAsia="宋体" w:cs="Arial"/>
                <w:sz w:val="21"/>
                <w:szCs w:val="21"/>
              </w:rPr>
            </w:pPr>
          </w:p>
        </w:tc>
        <w:tc>
          <w:tcPr>
            <w:tcW w:w="851" w:type="pct"/>
            <w:vMerge w:val="restart"/>
            <w:vAlign w:val="center"/>
          </w:tcPr>
          <w:p w14:paraId="7B9F9D27">
            <w:pPr>
              <w:adjustRightInd w:val="0"/>
              <w:snapToGrid w:val="0"/>
              <w:jc w:val="center"/>
              <w:rPr>
                <w:rFonts w:ascii="Arial" w:hAnsi="Arial" w:eastAsia="宋体" w:cs="Arial"/>
                <w:sz w:val="21"/>
                <w:szCs w:val="21"/>
              </w:rPr>
            </w:pPr>
          </w:p>
        </w:tc>
        <w:tc>
          <w:tcPr>
            <w:tcW w:w="838" w:type="pct"/>
            <w:vAlign w:val="center"/>
          </w:tcPr>
          <w:p w14:paraId="355CE20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758AA05">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2F7F5C7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40BAC4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0FF65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5304B81C">
            <w:pPr>
              <w:adjustRightInd w:val="0"/>
              <w:snapToGrid w:val="0"/>
              <w:jc w:val="center"/>
              <w:rPr>
                <w:rFonts w:ascii="Arial" w:hAnsi="Arial" w:eastAsia="宋体" w:cs="Arial"/>
                <w:sz w:val="21"/>
                <w:szCs w:val="21"/>
              </w:rPr>
            </w:pPr>
          </w:p>
        </w:tc>
        <w:tc>
          <w:tcPr>
            <w:tcW w:w="0" w:type="auto"/>
            <w:vMerge w:val="continue"/>
            <w:vAlign w:val="center"/>
          </w:tcPr>
          <w:p w14:paraId="7717FBE9">
            <w:pPr>
              <w:widowControl/>
              <w:adjustRightInd w:val="0"/>
              <w:snapToGrid w:val="0"/>
              <w:jc w:val="left"/>
              <w:rPr>
                <w:rFonts w:ascii="Arial" w:hAnsi="Arial" w:eastAsia="宋体" w:cs="Arial"/>
                <w:sz w:val="21"/>
                <w:szCs w:val="21"/>
              </w:rPr>
            </w:pPr>
          </w:p>
        </w:tc>
        <w:tc>
          <w:tcPr>
            <w:tcW w:w="838" w:type="pct"/>
            <w:vAlign w:val="center"/>
          </w:tcPr>
          <w:p w14:paraId="6E280F8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1E7BD6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25AD84A">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7228529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04842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7" w:type="pct"/>
            <w:vMerge w:val="restart"/>
            <w:vAlign w:val="center"/>
          </w:tcPr>
          <w:p w14:paraId="78C26C62">
            <w:pPr>
              <w:adjustRightInd w:val="0"/>
              <w:snapToGrid w:val="0"/>
              <w:jc w:val="center"/>
              <w:rPr>
                <w:rFonts w:ascii="Arial" w:hAnsi="Arial" w:eastAsia="宋体" w:cs="Arial"/>
                <w:spacing w:val="24"/>
                <w:kern w:val="0"/>
                <w:sz w:val="21"/>
                <w:szCs w:val="21"/>
              </w:rPr>
            </w:pPr>
          </w:p>
        </w:tc>
        <w:tc>
          <w:tcPr>
            <w:tcW w:w="851" w:type="pct"/>
            <w:vMerge w:val="restart"/>
            <w:vAlign w:val="center"/>
          </w:tcPr>
          <w:p w14:paraId="55C4DBB1">
            <w:pPr>
              <w:adjustRightInd w:val="0"/>
              <w:snapToGrid w:val="0"/>
              <w:jc w:val="center"/>
              <w:rPr>
                <w:rFonts w:ascii="Arial" w:hAnsi="Arial" w:eastAsia="宋体" w:cs="Arial"/>
                <w:sz w:val="21"/>
                <w:szCs w:val="21"/>
              </w:rPr>
            </w:pPr>
          </w:p>
        </w:tc>
        <w:tc>
          <w:tcPr>
            <w:tcW w:w="838" w:type="pct"/>
            <w:vAlign w:val="center"/>
          </w:tcPr>
          <w:p w14:paraId="7C2D0B4F">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717D91F">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8F16B2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0A9934A">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4BD0D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5DD6AE8F">
            <w:pPr>
              <w:adjustRightInd w:val="0"/>
              <w:snapToGrid w:val="0"/>
              <w:jc w:val="center"/>
              <w:rPr>
                <w:rFonts w:ascii="Arial" w:hAnsi="Arial" w:eastAsia="宋体" w:cs="Arial"/>
                <w:spacing w:val="24"/>
                <w:kern w:val="0"/>
                <w:sz w:val="21"/>
                <w:szCs w:val="21"/>
              </w:rPr>
            </w:pPr>
          </w:p>
        </w:tc>
        <w:tc>
          <w:tcPr>
            <w:tcW w:w="0" w:type="auto"/>
            <w:vMerge w:val="continue"/>
            <w:vAlign w:val="center"/>
          </w:tcPr>
          <w:p w14:paraId="0FF39713">
            <w:pPr>
              <w:widowControl/>
              <w:adjustRightInd w:val="0"/>
              <w:snapToGrid w:val="0"/>
              <w:jc w:val="left"/>
              <w:rPr>
                <w:rFonts w:ascii="Arial" w:hAnsi="Arial" w:eastAsia="宋体" w:cs="Arial"/>
                <w:sz w:val="21"/>
                <w:szCs w:val="21"/>
              </w:rPr>
            </w:pPr>
          </w:p>
        </w:tc>
        <w:tc>
          <w:tcPr>
            <w:tcW w:w="838" w:type="pct"/>
            <w:vAlign w:val="center"/>
          </w:tcPr>
          <w:p w14:paraId="0EF7767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6878BEA">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90F790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1A4014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00DC0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58A6E00">
            <w:pPr>
              <w:adjustRightInd w:val="0"/>
              <w:snapToGrid w:val="0"/>
              <w:jc w:val="center"/>
              <w:rPr>
                <w:rFonts w:ascii="Arial" w:hAnsi="Arial" w:eastAsia="宋体" w:cs="Arial"/>
                <w:spacing w:val="24"/>
                <w:kern w:val="0"/>
                <w:sz w:val="21"/>
                <w:szCs w:val="21"/>
              </w:rPr>
            </w:pPr>
          </w:p>
        </w:tc>
        <w:tc>
          <w:tcPr>
            <w:tcW w:w="851" w:type="pct"/>
            <w:vMerge w:val="restart"/>
            <w:vAlign w:val="center"/>
          </w:tcPr>
          <w:p w14:paraId="4AAACFC4">
            <w:pPr>
              <w:adjustRightInd w:val="0"/>
              <w:snapToGrid w:val="0"/>
              <w:jc w:val="center"/>
              <w:rPr>
                <w:rFonts w:ascii="Arial" w:hAnsi="Arial" w:eastAsia="宋体" w:cs="Arial"/>
                <w:sz w:val="21"/>
                <w:szCs w:val="21"/>
              </w:rPr>
            </w:pPr>
          </w:p>
        </w:tc>
        <w:tc>
          <w:tcPr>
            <w:tcW w:w="838" w:type="pct"/>
            <w:vAlign w:val="center"/>
          </w:tcPr>
          <w:p w14:paraId="15F15CE9">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7860DCA">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CCBF299">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726A6D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723FE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12FE4417">
            <w:pPr>
              <w:adjustRightInd w:val="0"/>
              <w:snapToGrid w:val="0"/>
              <w:jc w:val="center"/>
              <w:rPr>
                <w:rFonts w:ascii="Arial" w:hAnsi="Arial" w:eastAsia="宋体" w:cs="Arial"/>
                <w:spacing w:val="24"/>
                <w:kern w:val="0"/>
                <w:sz w:val="21"/>
                <w:szCs w:val="21"/>
              </w:rPr>
            </w:pPr>
          </w:p>
        </w:tc>
        <w:tc>
          <w:tcPr>
            <w:tcW w:w="0" w:type="auto"/>
            <w:vMerge w:val="continue"/>
            <w:vAlign w:val="center"/>
          </w:tcPr>
          <w:p w14:paraId="3F86E61F">
            <w:pPr>
              <w:widowControl/>
              <w:adjustRightInd w:val="0"/>
              <w:snapToGrid w:val="0"/>
              <w:jc w:val="left"/>
              <w:rPr>
                <w:rFonts w:ascii="Arial" w:hAnsi="Arial" w:eastAsia="宋体" w:cs="Arial"/>
                <w:sz w:val="21"/>
                <w:szCs w:val="21"/>
              </w:rPr>
            </w:pPr>
          </w:p>
        </w:tc>
        <w:tc>
          <w:tcPr>
            <w:tcW w:w="838" w:type="pct"/>
            <w:vAlign w:val="center"/>
          </w:tcPr>
          <w:p w14:paraId="3537085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B47E84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0A7544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E59B34A">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77B46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7" w:type="pct"/>
            <w:vMerge w:val="restart"/>
            <w:vAlign w:val="center"/>
          </w:tcPr>
          <w:p w14:paraId="17F029D6">
            <w:pPr>
              <w:adjustRightInd w:val="0"/>
              <w:snapToGrid w:val="0"/>
              <w:jc w:val="center"/>
              <w:rPr>
                <w:rFonts w:ascii="Arial" w:hAnsi="Arial" w:eastAsia="宋体" w:cs="Arial"/>
                <w:spacing w:val="24"/>
                <w:kern w:val="0"/>
                <w:sz w:val="21"/>
                <w:szCs w:val="21"/>
              </w:rPr>
            </w:pPr>
          </w:p>
        </w:tc>
        <w:tc>
          <w:tcPr>
            <w:tcW w:w="851" w:type="pct"/>
            <w:vMerge w:val="restart"/>
            <w:vAlign w:val="center"/>
          </w:tcPr>
          <w:p w14:paraId="7381A485">
            <w:pPr>
              <w:adjustRightInd w:val="0"/>
              <w:snapToGrid w:val="0"/>
              <w:jc w:val="center"/>
              <w:rPr>
                <w:rFonts w:ascii="Arial" w:hAnsi="Arial" w:eastAsia="宋体" w:cs="Arial"/>
                <w:sz w:val="21"/>
                <w:szCs w:val="21"/>
              </w:rPr>
            </w:pPr>
          </w:p>
        </w:tc>
        <w:tc>
          <w:tcPr>
            <w:tcW w:w="838" w:type="pct"/>
            <w:vAlign w:val="center"/>
          </w:tcPr>
          <w:p w14:paraId="4F9181D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C2F1B4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6373F06">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2079B22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45871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5FFACAB6">
            <w:pPr>
              <w:adjustRightInd w:val="0"/>
              <w:snapToGrid w:val="0"/>
              <w:jc w:val="center"/>
              <w:rPr>
                <w:rFonts w:ascii="Arial" w:hAnsi="Arial" w:eastAsia="宋体" w:cs="Arial"/>
                <w:spacing w:val="24"/>
                <w:kern w:val="0"/>
                <w:sz w:val="21"/>
                <w:szCs w:val="21"/>
              </w:rPr>
            </w:pPr>
          </w:p>
        </w:tc>
        <w:tc>
          <w:tcPr>
            <w:tcW w:w="0" w:type="auto"/>
            <w:vMerge w:val="continue"/>
            <w:vAlign w:val="center"/>
          </w:tcPr>
          <w:p w14:paraId="333F9BBC">
            <w:pPr>
              <w:widowControl/>
              <w:adjustRightInd w:val="0"/>
              <w:snapToGrid w:val="0"/>
              <w:jc w:val="left"/>
              <w:rPr>
                <w:rFonts w:ascii="Arial" w:hAnsi="Arial" w:eastAsia="宋体" w:cs="Arial"/>
                <w:sz w:val="21"/>
                <w:szCs w:val="21"/>
              </w:rPr>
            </w:pPr>
          </w:p>
        </w:tc>
        <w:tc>
          <w:tcPr>
            <w:tcW w:w="838" w:type="pct"/>
            <w:vAlign w:val="center"/>
          </w:tcPr>
          <w:p w14:paraId="2A46393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30CC1A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7B6CF32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DB861A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15D65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6ACBDE2C">
            <w:pPr>
              <w:adjustRightInd w:val="0"/>
              <w:snapToGrid w:val="0"/>
              <w:jc w:val="center"/>
              <w:rPr>
                <w:rFonts w:ascii="Arial" w:hAnsi="Arial" w:eastAsia="宋体" w:cs="Arial"/>
                <w:spacing w:val="24"/>
                <w:kern w:val="0"/>
                <w:sz w:val="21"/>
                <w:szCs w:val="21"/>
              </w:rPr>
            </w:pPr>
          </w:p>
        </w:tc>
        <w:tc>
          <w:tcPr>
            <w:tcW w:w="851" w:type="pct"/>
            <w:vMerge w:val="restart"/>
            <w:vAlign w:val="center"/>
          </w:tcPr>
          <w:p w14:paraId="2A1738F2">
            <w:pPr>
              <w:adjustRightInd w:val="0"/>
              <w:snapToGrid w:val="0"/>
              <w:jc w:val="center"/>
              <w:rPr>
                <w:rFonts w:ascii="Arial" w:hAnsi="Arial" w:eastAsia="宋体" w:cs="Arial"/>
                <w:sz w:val="21"/>
                <w:szCs w:val="21"/>
              </w:rPr>
            </w:pPr>
          </w:p>
        </w:tc>
        <w:tc>
          <w:tcPr>
            <w:tcW w:w="838" w:type="pct"/>
            <w:vAlign w:val="center"/>
          </w:tcPr>
          <w:p w14:paraId="57F0523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98FBC16">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A2F6E3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8A4D04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5A900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5A48D307">
            <w:pPr>
              <w:adjustRightInd w:val="0"/>
              <w:snapToGrid w:val="0"/>
              <w:jc w:val="center"/>
              <w:rPr>
                <w:rFonts w:ascii="Arial" w:hAnsi="Arial" w:eastAsia="宋体" w:cs="Arial"/>
                <w:spacing w:val="24"/>
                <w:kern w:val="0"/>
                <w:sz w:val="21"/>
                <w:szCs w:val="21"/>
              </w:rPr>
            </w:pPr>
          </w:p>
        </w:tc>
        <w:tc>
          <w:tcPr>
            <w:tcW w:w="0" w:type="auto"/>
            <w:vMerge w:val="continue"/>
            <w:vAlign w:val="center"/>
          </w:tcPr>
          <w:p w14:paraId="36D48EE2">
            <w:pPr>
              <w:widowControl/>
              <w:adjustRightInd w:val="0"/>
              <w:snapToGrid w:val="0"/>
              <w:jc w:val="left"/>
              <w:rPr>
                <w:rFonts w:ascii="Arial" w:hAnsi="Arial" w:eastAsia="宋体" w:cs="Arial"/>
                <w:sz w:val="21"/>
                <w:szCs w:val="21"/>
              </w:rPr>
            </w:pPr>
          </w:p>
        </w:tc>
        <w:tc>
          <w:tcPr>
            <w:tcW w:w="838" w:type="pct"/>
            <w:vAlign w:val="center"/>
          </w:tcPr>
          <w:p w14:paraId="137A37B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2B72EA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884D29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7A8EFD15">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2FBFD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vAlign w:val="center"/>
          </w:tcPr>
          <w:p w14:paraId="62FD7A0E">
            <w:pPr>
              <w:adjustRightInd w:val="0"/>
              <w:snapToGrid w:val="0"/>
              <w:jc w:val="center"/>
              <w:rPr>
                <w:rFonts w:ascii="Arial" w:hAnsi="Arial" w:eastAsia="宋体" w:cs="Arial"/>
                <w:spacing w:val="24"/>
                <w:kern w:val="0"/>
                <w:sz w:val="21"/>
                <w:szCs w:val="21"/>
              </w:rPr>
            </w:pPr>
          </w:p>
        </w:tc>
        <w:tc>
          <w:tcPr>
            <w:tcW w:w="0" w:type="auto"/>
            <w:vMerge w:val="restart"/>
            <w:vAlign w:val="center"/>
          </w:tcPr>
          <w:p w14:paraId="314046A6">
            <w:pPr>
              <w:adjustRightInd w:val="0"/>
              <w:snapToGrid w:val="0"/>
              <w:jc w:val="center"/>
              <w:rPr>
                <w:rFonts w:ascii="Arial" w:hAnsi="Arial" w:eastAsia="宋体" w:cs="Arial"/>
                <w:sz w:val="21"/>
                <w:szCs w:val="21"/>
              </w:rPr>
            </w:pPr>
          </w:p>
        </w:tc>
        <w:tc>
          <w:tcPr>
            <w:tcW w:w="838" w:type="pct"/>
            <w:vAlign w:val="center"/>
          </w:tcPr>
          <w:p w14:paraId="09E326C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A54277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979F0E5">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61B48AD">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1A1B8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6D1896F1">
            <w:pPr>
              <w:adjustRightInd w:val="0"/>
              <w:snapToGrid w:val="0"/>
              <w:jc w:val="center"/>
              <w:rPr>
                <w:rFonts w:ascii="Arial" w:hAnsi="Arial" w:eastAsia="宋体" w:cs="Arial"/>
                <w:spacing w:val="24"/>
                <w:kern w:val="0"/>
                <w:sz w:val="21"/>
                <w:szCs w:val="21"/>
              </w:rPr>
            </w:pPr>
          </w:p>
        </w:tc>
        <w:tc>
          <w:tcPr>
            <w:tcW w:w="0" w:type="auto"/>
            <w:vMerge w:val="continue"/>
            <w:vAlign w:val="center"/>
          </w:tcPr>
          <w:p w14:paraId="63638114">
            <w:pPr>
              <w:widowControl/>
              <w:adjustRightInd w:val="0"/>
              <w:snapToGrid w:val="0"/>
              <w:jc w:val="left"/>
              <w:rPr>
                <w:rFonts w:ascii="Arial" w:hAnsi="Arial" w:eastAsia="宋体" w:cs="Arial"/>
                <w:sz w:val="21"/>
                <w:szCs w:val="21"/>
              </w:rPr>
            </w:pPr>
          </w:p>
        </w:tc>
        <w:tc>
          <w:tcPr>
            <w:tcW w:w="838" w:type="pct"/>
            <w:vAlign w:val="center"/>
          </w:tcPr>
          <w:p w14:paraId="7B5BBAE6">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91DF335">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D07F039">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497AED9">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3506C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2C82BA6C">
            <w:pPr>
              <w:adjustRightInd w:val="0"/>
              <w:snapToGrid w:val="0"/>
              <w:jc w:val="center"/>
              <w:rPr>
                <w:rFonts w:ascii="Arial" w:hAnsi="Arial" w:eastAsia="宋体" w:cs="Arial"/>
                <w:spacing w:val="24"/>
                <w:kern w:val="0"/>
                <w:sz w:val="21"/>
                <w:szCs w:val="21"/>
              </w:rPr>
            </w:pPr>
          </w:p>
        </w:tc>
        <w:tc>
          <w:tcPr>
            <w:tcW w:w="0" w:type="auto"/>
            <w:vMerge w:val="restart"/>
            <w:vAlign w:val="center"/>
          </w:tcPr>
          <w:p w14:paraId="2E367982">
            <w:pPr>
              <w:adjustRightInd w:val="0"/>
              <w:snapToGrid w:val="0"/>
              <w:jc w:val="center"/>
              <w:rPr>
                <w:rFonts w:ascii="Arial" w:hAnsi="Arial" w:eastAsia="宋体" w:cs="Arial"/>
                <w:sz w:val="21"/>
                <w:szCs w:val="21"/>
              </w:rPr>
            </w:pPr>
          </w:p>
        </w:tc>
        <w:tc>
          <w:tcPr>
            <w:tcW w:w="838" w:type="pct"/>
            <w:vAlign w:val="center"/>
          </w:tcPr>
          <w:p w14:paraId="7AE0338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62506C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581C035">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DB788C5">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17026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6102A82E">
            <w:pPr>
              <w:adjustRightInd w:val="0"/>
              <w:snapToGrid w:val="0"/>
              <w:jc w:val="center"/>
              <w:rPr>
                <w:rFonts w:ascii="Arial" w:hAnsi="Arial" w:eastAsia="宋体" w:cs="Arial"/>
                <w:spacing w:val="24"/>
                <w:kern w:val="0"/>
                <w:sz w:val="21"/>
                <w:szCs w:val="21"/>
              </w:rPr>
            </w:pPr>
          </w:p>
        </w:tc>
        <w:tc>
          <w:tcPr>
            <w:tcW w:w="0" w:type="auto"/>
            <w:vMerge w:val="continue"/>
            <w:vAlign w:val="center"/>
          </w:tcPr>
          <w:p w14:paraId="3DFADCA7">
            <w:pPr>
              <w:widowControl/>
              <w:adjustRightInd w:val="0"/>
              <w:snapToGrid w:val="0"/>
              <w:jc w:val="left"/>
              <w:rPr>
                <w:rFonts w:ascii="Arial" w:hAnsi="Arial" w:eastAsia="宋体" w:cs="Arial"/>
                <w:sz w:val="21"/>
                <w:szCs w:val="21"/>
              </w:rPr>
            </w:pPr>
          </w:p>
        </w:tc>
        <w:tc>
          <w:tcPr>
            <w:tcW w:w="838" w:type="pct"/>
            <w:vAlign w:val="center"/>
          </w:tcPr>
          <w:p w14:paraId="5BEFDAB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BA7905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658B02D">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36B50A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035EC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vAlign w:val="center"/>
          </w:tcPr>
          <w:p w14:paraId="52CD6994">
            <w:pPr>
              <w:adjustRightInd w:val="0"/>
              <w:snapToGrid w:val="0"/>
              <w:jc w:val="center"/>
              <w:rPr>
                <w:rFonts w:ascii="Arial" w:hAnsi="Arial" w:eastAsia="宋体" w:cs="Arial"/>
                <w:spacing w:val="24"/>
                <w:kern w:val="0"/>
                <w:sz w:val="21"/>
                <w:szCs w:val="21"/>
              </w:rPr>
            </w:pPr>
          </w:p>
        </w:tc>
        <w:tc>
          <w:tcPr>
            <w:tcW w:w="0" w:type="auto"/>
            <w:vMerge w:val="restart"/>
            <w:vAlign w:val="center"/>
          </w:tcPr>
          <w:p w14:paraId="2D583E4A">
            <w:pPr>
              <w:adjustRightInd w:val="0"/>
              <w:snapToGrid w:val="0"/>
              <w:jc w:val="center"/>
              <w:rPr>
                <w:rFonts w:ascii="Arial" w:hAnsi="Arial" w:eastAsia="宋体" w:cs="Arial"/>
                <w:sz w:val="21"/>
                <w:szCs w:val="21"/>
              </w:rPr>
            </w:pPr>
          </w:p>
        </w:tc>
        <w:tc>
          <w:tcPr>
            <w:tcW w:w="838" w:type="pct"/>
            <w:vAlign w:val="center"/>
          </w:tcPr>
          <w:p w14:paraId="2D5A6976">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08C9FC6">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2DDA227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2469A15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68F87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670EB3FB">
            <w:pPr>
              <w:adjustRightInd w:val="0"/>
              <w:snapToGrid w:val="0"/>
              <w:jc w:val="center"/>
              <w:rPr>
                <w:rFonts w:ascii="Arial" w:hAnsi="Arial" w:eastAsia="宋体" w:cs="Arial"/>
                <w:spacing w:val="24"/>
                <w:kern w:val="0"/>
                <w:sz w:val="21"/>
                <w:szCs w:val="21"/>
              </w:rPr>
            </w:pPr>
          </w:p>
        </w:tc>
        <w:tc>
          <w:tcPr>
            <w:tcW w:w="0" w:type="auto"/>
            <w:vMerge w:val="continue"/>
            <w:vAlign w:val="center"/>
          </w:tcPr>
          <w:p w14:paraId="3A1B9331">
            <w:pPr>
              <w:widowControl/>
              <w:adjustRightInd w:val="0"/>
              <w:snapToGrid w:val="0"/>
              <w:jc w:val="left"/>
              <w:rPr>
                <w:rFonts w:ascii="Arial" w:hAnsi="Arial" w:eastAsia="宋体" w:cs="Arial"/>
                <w:sz w:val="21"/>
                <w:szCs w:val="21"/>
              </w:rPr>
            </w:pPr>
          </w:p>
        </w:tc>
        <w:tc>
          <w:tcPr>
            <w:tcW w:w="838" w:type="pct"/>
            <w:vAlign w:val="center"/>
          </w:tcPr>
          <w:p w14:paraId="4EEA894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6A157C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6B0AE0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3121D3D">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1669A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1E382104">
            <w:pPr>
              <w:adjustRightInd w:val="0"/>
              <w:snapToGrid w:val="0"/>
              <w:jc w:val="center"/>
              <w:rPr>
                <w:rFonts w:ascii="Arial" w:hAnsi="Arial" w:eastAsia="宋体" w:cs="Arial"/>
                <w:spacing w:val="24"/>
                <w:kern w:val="0"/>
                <w:sz w:val="21"/>
                <w:szCs w:val="21"/>
              </w:rPr>
            </w:pPr>
          </w:p>
        </w:tc>
        <w:tc>
          <w:tcPr>
            <w:tcW w:w="0" w:type="auto"/>
            <w:vMerge w:val="restart"/>
            <w:vAlign w:val="center"/>
          </w:tcPr>
          <w:p w14:paraId="6A576799">
            <w:pPr>
              <w:adjustRightInd w:val="0"/>
              <w:snapToGrid w:val="0"/>
              <w:jc w:val="center"/>
              <w:rPr>
                <w:rFonts w:ascii="Arial" w:hAnsi="Arial" w:eastAsia="宋体" w:cs="Arial"/>
                <w:sz w:val="21"/>
                <w:szCs w:val="21"/>
              </w:rPr>
            </w:pPr>
          </w:p>
        </w:tc>
        <w:tc>
          <w:tcPr>
            <w:tcW w:w="838" w:type="pct"/>
            <w:vAlign w:val="center"/>
          </w:tcPr>
          <w:p w14:paraId="362E4DE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29701B7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CD9AD8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5E3922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177AB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6F29DDA6">
            <w:pPr>
              <w:adjustRightInd w:val="0"/>
              <w:snapToGrid w:val="0"/>
              <w:jc w:val="center"/>
              <w:rPr>
                <w:rFonts w:ascii="Arial" w:hAnsi="Arial" w:eastAsia="宋体" w:cs="Arial"/>
                <w:spacing w:val="24"/>
                <w:kern w:val="0"/>
                <w:sz w:val="21"/>
                <w:szCs w:val="21"/>
              </w:rPr>
            </w:pPr>
          </w:p>
        </w:tc>
        <w:tc>
          <w:tcPr>
            <w:tcW w:w="0" w:type="auto"/>
            <w:vMerge w:val="continue"/>
            <w:vAlign w:val="center"/>
          </w:tcPr>
          <w:p w14:paraId="34292D7B">
            <w:pPr>
              <w:widowControl/>
              <w:adjustRightInd w:val="0"/>
              <w:snapToGrid w:val="0"/>
              <w:jc w:val="left"/>
              <w:rPr>
                <w:rFonts w:ascii="Arial" w:hAnsi="Arial" w:eastAsia="宋体" w:cs="Arial"/>
                <w:sz w:val="21"/>
                <w:szCs w:val="21"/>
              </w:rPr>
            </w:pPr>
          </w:p>
        </w:tc>
        <w:tc>
          <w:tcPr>
            <w:tcW w:w="838" w:type="pct"/>
            <w:vAlign w:val="center"/>
          </w:tcPr>
          <w:p w14:paraId="2AC28B0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45D0A2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05B35E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62F1663">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24969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vAlign w:val="center"/>
          </w:tcPr>
          <w:p w14:paraId="59678C83">
            <w:pPr>
              <w:adjustRightInd w:val="0"/>
              <w:snapToGrid w:val="0"/>
              <w:jc w:val="center"/>
              <w:rPr>
                <w:rFonts w:ascii="Arial" w:hAnsi="Arial" w:eastAsia="宋体" w:cs="Arial"/>
                <w:spacing w:val="24"/>
                <w:kern w:val="0"/>
                <w:sz w:val="21"/>
                <w:szCs w:val="21"/>
              </w:rPr>
            </w:pPr>
          </w:p>
        </w:tc>
        <w:tc>
          <w:tcPr>
            <w:tcW w:w="0" w:type="auto"/>
            <w:vMerge w:val="restart"/>
            <w:vAlign w:val="center"/>
          </w:tcPr>
          <w:p w14:paraId="74866729">
            <w:pPr>
              <w:adjustRightInd w:val="0"/>
              <w:snapToGrid w:val="0"/>
              <w:jc w:val="center"/>
              <w:rPr>
                <w:rFonts w:ascii="Arial" w:hAnsi="Arial" w:eastAsia="宋体" w:cs="Arial"/>
                <w:sz w:val="21"/>
                <w:szCs w:val="21"/>
              </w:rPr>
            </w:pPr>
          </w:p>
        </w:tc>
        <w:tc>
          <w:tcPr>
            <w:tcW w:w="838" w:type="pct"/>
            <w:vAlign w:val="center"/>
          </w:tcPr>
          <w:p w14:paraId="63308D79">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8B0454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7D5EAB53">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3DF9CF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2756C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3F29724B">
            <w:pPr>
              <w:adjustRightInd w:val="0"/>
              <w:snapToGrid w:val="0"/>
              <w:jc w:val="center"/>
              <w:rPr>
                <w:rFonts w:ascii="Arial" w:hAnsi="Arial" w:eastAsia="宋体" w:cs="Arial"/>
                <w:spacing w:val="24"/>
                <w:kern w:val="0"/>
                <w:sz w:val="21"/>
                <w:szCs w:val="21"/>
              </w:rPr>
            </w:pPr>
          </w:p>
        </w:tc>
        <w:tc>
          <w:tcPr>
            <w:tcW w:w="0" w:type="auto"/>
            <w:vMerge w:val="continue"/>
            <w:vAlign w:val="center"/>
          </w:tcPr>
          <w:p w14:paraId="34128F2C">
            <w:pPr>
              <w:widowControl/>
              <w:adjustRightInd w:val="0"/>
              <w:snapToGrid w:val="0"/>
              <w:jc w:val="left"/>
              <w:rPr>
                <w:rFonts w:ascii="Arial" w:hAnsi="Arial" w:eastAsia="宋体" w:cs="Arial"/>
                <w:sz w:val="21"/>
                <w:szCs w:val="21"/>
              </w:rPr>
            </w:pPr>
          </w:p>
        </w:tc>
        <w:tc>
          <w:tcPr>
            <w:tcW w:w="838" w:type="pct"/>
            <w:vAlign w:val="center"/>
          </w:tcPr>
          <w:p w14:paraId="470B625A">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AC8E89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288FD72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13DB50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1A752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462EA06F">
            <w:pPr>
              <w:adjustRightInd w:val="0"/>
              <w:snapToGrid w:val="0"/>
              <w:jc w:val="center"/>
              <w:rPr>
                <w:rFonts w:ascii="Arial" w:hAnsi="Arial" w:eastAsia="宋体" w:cs="Arial"/>
                <w:spacing w:val="24"/>
                <w:kern w:val="0"/>
                <w:sz w:val="21"/>
                <w:szCs w:val="21"/>
              </w:rPr>
            </w:pPr>
          </w:p>
        </w:tc>
        <w:tc>
          <w:tcPr>
            <w:tcW w:w="0" w:type="auto"/>
            <w:vMerge w:val="restart"/>
            <w:vAlign w:val="center"/>
          </w:tcPr>
          <w:p w14:paraId="05CD8BC2">
            <w:pPr>
              <w:adjustRightInd w:val="0"/>
              <w:snapToGrid w:val="0"/>
              <w:jc w:val="center"/>
              <w:rPr>
                <w:rFonts w:ascii="Arial" w:hAnsi="Arial" w:eastAsia="宋体" w:cs="Arial"/>
                <w:sz w:val="21"/>
                <w:szCs w:val="21"/>
              </w:rPr>
            </w:pPr>
          </w:p>
        </w:tc>
        <w:tc>
          <w:tcPr>
            <w:tcW w:w="838" w:type="pct"/>
            <w:vAlign w:val="center"/>
          </w:tcPr>
          <w:p w14:paraId="3977454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2FA895C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71877C03">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75AD752D">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4BB9A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1ADB0699">
            <w:pPr>
              <w:adjustRightInd w:val="0"/>
              <w:snapToGrid w:val="0"/>
              <w:jc w:val="center"/>
              <w:rPr>
                <w:rFonts w:ascii="Arial" w:hAnsi="Arial" w:eastAsia="宋体" w:cs="Arial"/>
                <w:spacing w:val="24"/>
                <w:kern w:val="0"/>
                <w:sz w:val="21"/>
                <w:szCs w:val="21"/>
              </w:rPr>
            </w:pPr>
          </w:p>
        </w:tc>
        <w:tc>
          <w:tcPr>
            <w:tcW w:w="0" w:type="auto"/>
            <w:vMerge w:val="continue"/>
            <w:vAlign w:val="center"/>
          </w:tcPr>
          <w:p w14:paraId="5F98E490">
            <w:pPr>
              <w:widowControl/>
              <w:adjustRightInd w:val="0"/>
              <w:snapToGrid w:val="0"/>
              <w:jc w:val="left"/>
              <w:rPr>
                <w:rFonts w:ascii="Arial" w:hAnsi="Arial" w:eastAsia="宋体" w:cs="Arial"/>
                <w:sz w:val="21"/>
                <w:szCs w:val="21"/>
              </w:rPr>
            </w:pPr>
          </w:p>
        </w:tc>
        <w:tc>
          <w:tcPr>
            <w:tcW w:w="838" w:type="pct"/>
            <w:vAlign w:val="center"/>
          </w:tcPr>
          <w:p w14:paraId="07853F0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DCEE946">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25D7E917">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715D5D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78E0A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vAlign w:val="center"/>
          </w:tcPr>
          <w:p w14:paraId="2D09DD0B">
            <w:pPr>
              <w:adjustRightInd w:val="0"/>
              <w:snapToGrid w:val="0"/>
              <w:jc w:val="center"/>
              <w:rPr>
                <w:rFonts w:ascii="Arial" w:hAnsi="Arial" w:eastAsia="宋体" w:cs="Arial"/>
                <w:spacing w:val="24"/>
                <w:kern w:val="0"/>
                <w:sz w:val="21"/>
                <w:szCs w:val="21"/>
              </w:rPr>
            </w:pPr>
          </w:p>
        </w:tc>
        <w:tc>
          <w:tcPr>
            <w:tcW w:w="0" w:type="auto"/>
            <w:vMerge w:val="restart"/>
            <w:vAlign w:val="center"/>
          </w:tcPr>
          <w:p w14:paraId="6E71A790">
            <w:pPr>
              <w:adjustRightInd w:val="0"/>
              <w:snapToGrid w:val="0"/>
              <w:jc w:val="center"/>
              <w:rPr>
                <w:rFonts w:ascii="Arial" w:hAnsi="Arial" w:eastAsia="宋体" w:cs="Arial"/>
                <w:sz w:val="21"/>
                <w:szCs w:val="21"/>
              </w:rPr>
            </w:pPr>
          </w:p>
        </w:tc>
        <w:tc>
          <w:tcPr>
            <w:tcW w:w="838" w:type="pct"/>
            <w:vAlign w:val="center"/>
          </w:tcPr>
          <w:p w14:paraId="193644D6">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1FB9398">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B59FD7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65EAB5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6118C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5C8FEF4D">
            <w:pPr>
              <w:adjustRightInd w:val="0"/>
              <w:snapToGrid w:val="0"/>
              <w:jc w:val="center"/>
              <w:rPr>
                <w:rFonts w:ascii="Arial" w:hAnsi="Arial" w:eastAsia="宋体" w:cs="Arial"/>
                <w:spacing w:val="24"/>
                <w:kern w:val="0"/>
                <w:sz w:val="21"/>
                <w:szCs w:val="21"/>
              </w:rPr>
            </w:pPr>
          </w:p>
        </w:tc>
        <w:tc>
          <w:tcPr>
            <w:tcW w:w="0" w:type="auto"/>
            <w:vMerge w:val="continue"/>
            <w:vAlign w:val="center"/>
          </w:tcPr>
          <w:p w14:paraId="18DC4CFE">
            <w:pPr>
              <w:widowControl/>
              <w:adjustRightInd w:val="0"/>
              <w:snapToGrid w:val="0"/>
              <w:jc w:val="left"/>
              <w:rPr>
                <w:rFonts w:ascii="Arial" w:hAnsi="Arial" w:eastAsia="宋体" w:cs="Arial"/>
                <w:sz w:val="21"/>
                <w:szCs w:val="21"/>
              </w:rPr>
            </w:pPr>
          </w:p>
        </w:tc>
        <w:tc>
          <w:tcPr>
            <w:tcW w:w="838" w:type="pct"/>
            <w:vAlign w:val="center"/>
          </w:tcPr>
          <w:p w14:paraId="568274F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5CD95D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AF989AF">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7223C3B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3A0B0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0FEB906E">
            <w:pPr>
              <w:adjustRightInd w:val="0"/>
              <w:snapToGrid w:val="0"/>
              <w:jc w:val="center"/>
              <w:rPr>
                <w:rFonts w:ascii="Arial" w:hAnsi="Arial" w:eastAsia="宋体" w:cs="Arial"/>
                <w:spacing w:val="24"/>
                <w:kern w:val="0"/>
                <w:sz w:val="21"/>
                <w:szCs w:val="21"/>
              </w:rPr>
            </w:pPr>
          </w:p>
        </w:tc>
        <w:tc>
          <w:tcPr>
            <w:tcW w:w="0" w:type="auto"/>
            <w:vMerge w:val="restart"/>
            <w:vAlign w:val="center"/>
          </w:tcPr>
          <w:p w14:paraId="5B108D72">
            <w:pPr>
              <w:adjustRightInd w:val="0"/>
              <w:snapToGrid w:val="0"/>
              <w:jc w:val="center"/>
              <w:rPr>
                <w:rFonts w:ascii="Arial" w:hAnsi="Arial" w:eastAsia="宋体" w:cs="Arial"/>
                <w:sz w:val="21"/>
                <w:szCs w:val="21"/>
              </w:rPr>
            </w:pPr>
          </w:p>
        </w:tc>
        <w:tc>
          <w:tcPr>
            <w:tcW w:w="838" w:type="pct"/>
            <w:vAlign w:val="center"/>
          </w:tcPr>
          <w:p w14:paraId="250F452D">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5DDA55D">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31DCEB5">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98FBB2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716B8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5552D711">
            <w:pPr>
              <w:adjustRightInd w:val="0"/>
              <w:snapToGrid w:val="0"/>
              <w:jc w:val="center"/>
              <w:rPr>
                <w:rFonts w:ascii="Arial" w:hAnsi="Arial" w:eastAsia="宋体" w:cs="Arial"/>
                <w:spacing w:val="24"/>
                <w:kern w:val="0"/>
                <w:sz w:val="21"/>
                <w:szCs w:val="21"/>
              </w:rPr>
            </w:pPr>
          </w:p>
        </w:tc>
        <w:tc>
          <w:tcPr>
            <w:tcW w:w="0" w:type="auto"/>
            <w:vMerge w:val="continue"/>
            <w:vAlign w:val="center"/>
          </w:tcPr>
          <w:p w14:paraId="66118236">
            <w:pPr>
              <w:widowControl/>
              <w:adjustRightInd w:val="0"/>
              <w:snapToGrid w:val="0"/>
              <w:jc w:val="left"/>
              <w:rPr>
                <w:rFonts w:ascii="Arial" w:hAnsi="Arial" w:eastAsia="宋体" w:cs="Arial"/>
                <w:sz w:val="21"/>
                <w:szCs w:val="21"/>
              </w:rPr>
            </w:pPr>
          </w:p>
        </w:tc>
        <w:tc>
          <w:tcPr>
            <w:tcW w:w="838" w:type="pct"/>
            <w:vAlign w:val="center"/>
          </w:tcPr>
          <w:p w14:paraId="48BD460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20356B44">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C60E3E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C14B4DD">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1C176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vAlign w:val="center"/>
          </w:tcPr>
          <w:p w14:paraId="44BBE442">
            <w:pPr>
              <w:adjustRightInd w:val="0"/>
              <w:snapToGrid w:val="0"/>
              <w:jc w:val="center"/>
              <w:rPr>
                <w:rFonts w:ascii="Arial" w:hAnsi="Arial" w:eastAsia="宋体" w:cs="Arial"/>
                <w:spacing w:val="24"/>
                <w:kern w:val="0"/>
                <w:sz w:val="21"/>
                <w:szCs w:val="21"/>
              </w:rPr>
            </w:pPr>
          </w:p>
        </w:tc>
        <w:tc>
          <w:tcPr>
            <w:tcW w:w="0" w:type="auto"/>
            <w:vMerge w:val="restart"/>
            <w:vAlign w:val="center"/>
          </w:tcPr>
          <w:p w14:paraId="77308D51">
            <w:pPr>
              <w:widowControl/>
              <w:adjustRightInd w:val="0"/>
              <w:snapToGrid w:val="0"/>
              <w:jc w:val="center"/>
              <w:rPr>
                <w:rFonts w:ascii="Arial" w:hAnsi="Arial" w:eastAsia="宋体" w:cs="Arial"/>
                <w:sz w:val="21"/>
                <w:szCs w:val="21"/>
              </w:rPr>
            </w:pPr>
          </w:p>
        </w:tc>
        <w:tc>
          <w:tcPr>
            <w:tcW w:w="838" w:type="pct"/>
            <w:vAlign w:val="center"/>
          </w:tcPr>
          <w:p w14:paraId="1CAA585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E0C85AE">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5171504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320CAF9">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24D5A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4804BB21">
            <w:pPr>
              <w:widowControl/>
              <w:adjustRightInd w:val="0"/>
              <w:snapToGrid w:val="0"/>
              <w:jc w:val="center"/>
              <w:rPr>
                <w:rFonts w:ascii="Arial" w:hAnsi="Arial" w:eastAsia="宋体" w:cs="Arial"/>
                <w:spacing w:val="24"/>
                <w:kern w:val="0"/>
                <w:sz w:val="21"/>
                <w:szCs w:val="21"/>
              </w:rPr>
            </w:pPr>
          </w:p>
        </w:tc>
        <w:tc>
          <w:tcPr>
            <w:tcW w:w="0" w:type="auto"/>
            <w:vMerge w:val="continue"/>
            <w:vAlign w:val="center"/>
          </w:tcPr>
          <w:p w14:paraId="788BB7FA">
            <w:pPr>
              <w:widowControl/>
              <w:adjustRightInd w:val="0"/>
              <w:snapToGrid w:val="0"/>
              <w:jc w:val="center"/>
              <w:rPr>
                <w:rFonts w:ascii="Arial" w:hAnsi="Arial" w:eastAsia="宋体" w:cs="Arial"/>
                <w:sz w:val="21"/>
                <w:szCs w:val="21"/>
              </w:rPr>
            </w:pPr>
          </w:p>
        </w:tc>
        <w:tc>
          <w:tcPr>
            <w:tcW w:w="838" w:type="pct"/>
            <w:vAlign w:val="center"/>
          </w:tcPr>
          <w:p w14:paraId="231DED9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E31097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A459A09">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6B3329C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31C06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34540115">
            <w:pPr>
              <w:widowControl/>
              <w:adjustRightInd w:val="0"/>
              <w:snapToGrid w:val="0"/>
              <w:jc w:val="center"/>
              <w:rPr>
                <w:rFonts w:ascii="Arial" w:hAnsi="Arial" w:eastAsia="宋体" w:cs="Arial"/>
                <w:spacing w:val="24"/>
                <w:kern w:val="0"/>
                <w:sz w:val="21"/>
                <w:szCs w:val="21"/>
              </w:rPr>
            </w:pPr>
          </w:p>
        </w:tc>
        <w:tc>
          <w:tcPr>
            <w:tcW w:w="0" w:type="auto"/>
            <w:vMerge w:val="restart"/>
            <w:vAlign w:val="center"/>
          </w:tcPr>
          <w:p w14:paraId="15BA41B9">
            <w:pPr>
              <w:widowControl/>
              <w:adjustRightInd w:val="0"/>
              <w:snapToGrid w:val="0"/>
              <w:jc w:val="center"/>
              <w:rPr>
                <w:rFonts w:ascii="Arial" w:hAnsi="Arial" w:eastAsia="宋体" w:cs="Arial"/>
                <w:sz w:val="21"/>
                <w:szCs w:val="21"/>
              </w:rPr>
            </w:pPr>
          </w:p>
        </w:tc>
        <w:tc>
          <w:tcPr>
            <w:tcW w:w="838" w:type="pct"/>
            <w:vAlign w:val="center"/>
          </w:tcPr>
          <w:p w14:paraId="2578077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08C21421">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188AF18F">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2561BDF0">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r w14:paraId="6C469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14:paraId="3C8F98D3">
            <w:pPr>
              <w:widowControl/>
              <w:adjustRightInd w:val="0"/>
              <w:snapToGrid w:val="0"/>
              <w:jc w:val="center"/>
              <w:rPr>
                <w:rFonts w:ascii="Arial" w:hAnsi="Arial" w:eastAsia="宋体" w:cs="Arial"/>
                <w:spacing w:val="24"/>
                <w:kern w:val="0"/>
                <w:sz w:val="21"/>
                <w:szCs w:val="21"/>
              </w:rPr>
            </w:pPr>
          </w:p>
        </w:tc>
        <w:tc>
          <w:tcPr>
            <w:tcW w:w="0" w:type="auto"/>
            <w:vMerge w:val="continue"/>
            <w:vAlign w:val="center"/>
          </w:tcPr>
          <w:p w14:paraId="6BE6A5B3">
            <w:pPr>
              <w:widowControl/>
              <w:adjustRightInd w:val="0"/>
              <w:snapToGrid w:val="0"/>
              <w:jc w:val="center"/>
              <w:rPr>
                <w:rFonts w:ascii="Arial" w:hAnsi="Arial" w:eastAsia="宋体" w:cs="Arial"/>
                <w:sz w:val="21"/>
                <w:szCs w:val="21"/>
              </w:rPr>
            </w:pPr>
          </w:p>
        </w:tc>
        <w:tc>
          <w:tcPr>
            <w:tcW w:w="838" w:type="pct"/>
            <w:vAlign w:val="center"/>
          </w:tcPr>
          <w:p w14:paraId="0A6FB61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7AA895B2">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3083C09B">
            <w:pPr>
              <w:overflowPunct w:val="0"/>
              <w:autoSpaceDE w:val="0"/>
              <w:autoSpaceDN w:val="0"/>
              <w:adjustRightInd w:val="0"/>
              <w:snapToGrid w:val="0"/>
              <w:jc w:val="center"/>
              <w:textAlignment w:val="bottom"/>
              <w:rPr>
                <w:rFonts w:ascii="Arial" w:hAnsi="Arial" w:eastAsia="宋体" w:cs="Arial"/>
                <w:spacing w:val="24"/>
                <w:kern w:val="0"/>
                <w:sz w:val="21"/>
                <w:szCs w:val="21"/>
              </w:rPr>
            </w:pPr>
          </w:p>
        </w:tc>
        <w:tc>
          <w:tcPr>
            <w:tcW w:w="838" w:type="pct"/>
            <w:vAlign w:val="center"/>
          </w:tcPr>
          <w:p w14:paraId="4980C65C">
            <w:pPr>
              <w:overflowPunct w:val="0"/>
              <w:autoSpaceDE w:val="0"/>
              <w:autoSpaceDN w:val="0"/>
              <w:adjustRightInd w:val="0"/>
              <w:snapToGrid w:val="0"/>
              <w:jc w:val="center"/>
              <w:textAlignment w:val="bottom"/>
              <w:rPr>
                <w:rFonts w:ascii="Arial" w:hAnsi="Arial" w:eastAsia="宋体" w:cs="Arial"/>
                <w:spacing w:val="24"/>
                <w:kern w:val="0"/>
                <w:sz w:val="21"/>
                <w:szCs w:val="21"/>
              </w:rPr>
            </w:pPr>
          </w:p>
        </w:tc>
      </w:tr>
    </w:tbl>
    <w:p w14:paraId="6C5910D3">
      <w:pPr>
        <w:spacing w:line="500" w:lineRule="exact"/>
        <w:ind w:firstLine="490" w:firstLineChars="200"/>
        <w:rPr>
          <w:rFonts w:ascii="Arial" w:hAnsi="Arial" w:eastAsia="宋体" w:cs="Arial"/>
          <w:spacing w:val="10"/>
          <w:sz w:val="24"/>
        </w:rPr>
      </w:pPr>
      <w:r>
        <w:rPr>
          <w:rFonts w:ascii="Arial" w:hAnsi="Arial" w:eastAsia="宋体" w:cs="Arial"/>
          <w:spacing w:val="10"/>
          <w:kern w:val="0"/>
          <w:sz w:val="24"/>
        </w:rPr>
        <w:t>根据监测结果，监测期间项目东、南、北面厂界昼、夜间声环境满足《声环境质量标准》（GB3096-2008）3类区标准，西面厂界昼、夜间声环境满足4a类区标准；</w:t>
      </w:r>
      <w:r>
        <w:rPr>
          <w:rFonts w:ascii="Arial" w:hAnsi="Arial" w:eastAsia="宋体" w:cs="Arial"/>
          <w:spacing w:val="10"/>
          <w:kern w:val="0"/>
          <w:sz w:val="24"/>
          <w:szCs w:val="24"/>
        </w:rPr>
        <w:t>北面</w:t>
      </w:r>
      <w:r>
        <w:rPr>
          <w:rFonts w:ascii="Arial" w:hAnsi="Arial" w:eastAsia="宋体" w:cs="Arial"/>
          <w:spacing w:val="24"/>
          <w:kern w:val="0"/>
          <w:sz w:val="24"/>
          <w:szCs w:val="24"/>
        </w:rPr>
        <w:t>鸡墩头村</w:t>
      </w:r>
      <w:r>
        <w:rPr>
          <w:rFonts w:ascii="Arial" w:hAnsi="Arial" w:eastAsia="宋体" w:cs="Arial"/>
          <w:spacing w:val="10"/>
          <w:kern w:val="0"/>
          <w:sz w:val="24"/>
        </w:rPr>
        <w:t>昼、夜间噪声满足2类区标准。</w:t>
      </w:r>
    </w:p>
    <w:p w14:paraId="2FE76B1C">
      <w:pPr>
        <w:numPr>
          <w:ilvl w:val="2"/>
          <w:numId w:val="17"/>
        </w:numPr>
        <w:spacing w:line="500" w:lineRule="exact"/>
        <w:ind w:left="564" w:leftChars="213" w:firstLine="0"/>
        <w:outlineLvl w:val="2"/>
        <w:rPr>
          <w:rFonts w:ascii="Arial" w:hAnsi="Arial" w:eastAsia="宋体" w:cs="Arial"/>
          <w:b/>
          <w:spacing w:val="10"/>
          <w:sz w:val="24"/>
        </w:rPr>
      </w:pPr>
      <w:r>
        <w:rPr>
          <w:rFonts w:ascii="Arial" w:hAnsi="Arial" w:eastAsia="宋体" w:cs="Arial"/>
          <w:b/>
          <w:spacing w:val="10"/>
          <w:sz w:val="24"/>
        </w:rPr>
        <w:t>土壤环境质量现状调查与评价</w:t>
      </w:r>
    </w:p>
    <w:p w14:paraId="5C04DFC5">
      <w:pPr>
        <w:spacing w:line="500" w:lineRule="exact"/>
        <w:jc w:val="left"/>
        <w:outlineLvl w:val="3"/>
        <w:rPr>
          <w:rFonts w:ascii="Arial" w:hAnsi="Arial" w:eastAsia="宋体" w:cs="Arial"/>
          <w:b/>
          <w:spacing w:val="10"/>
          <w:sz w:val="24"/>
        </w:rPr>
      </w:pPr>
      <w:r>
        <w:rPr>
          <w:rFonts w:ascii="Arial" w:hAnsi="Arial" w:eastAsia="宋体" w:cs="Arial"/>
          <w:b/>
          <w:spacing w:val="10"/>
          <w:sz w:val="24"/>
        </w:rPr>
        <w:t>3.2.5.1土壤理化性质调查</w:t>
      </w:r>
    </w:p>
    <w:p w14:paraId="42097729">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广西恒沁检测科技有限公司于2022年5月19日对厂区进行土壤理化特性调查，调查结果见表3-</w:t>
      </w:r>
      <w:r>
        <w:rPr>
          <w:rFonts w:hint="eastAsia" w:ascii="Arial" w:hAnsi="Arial" w:eastAsia="宋体" w:cs="Arial"/>
          <w:spacing w:val="10"/>
          <w:kern w:val="0"/>
          <w:sz w:val="24"/>
        </w:rPr>
        <w:t>18</w:t>
      </w:r>
      <w:r>
        <w:rPr>
          <w:rFonts w:ascii="Arial" w:hAnsi="Arial" w:eastAsia="宋体" w:cs="Arial"/>
          <w:spacing w:val="10"/>
          <w:kern w:val="0"/>
          <w:sz w:val="24"/>
        </w:rPr>
        <w:t>。</w:t>
      </w:r>
    </w:p>
    <w:p w14:paraId="002D3DA2">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土壤理化特性调查表</w:t>
      </w:r>
    </w:p>
    <w:tbl>
      <w:tblPr>
        <w:tblStyle w:val="88"/>
        <w:tblW w:w="96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2835"/>
        <w:gridCol w:w="1804"/>
        <w:gridCol w:w="761"/>
        <w:gridCol w:w="1044"/>
        <w:gridCol w:w="1805"/>
      </w:tblGrid>
      <w:tr w14:paraId="20FD9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shd w:val="clear" w:color="auto" w:fill="auto"/>
            <w:vAlign w:val="center"/>
          </w:tcPr>
          <w:p w14:paraId="62A22C3E">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02882FCE">
            <w:pPr>
              <w:adjustRightInd w:val="0"/>
              <w:snapToGrid w:val="0"/>
              <w:jc w:val="center"/>
              <w:rPr>
                <w:rFonts w:ascii="Arial" w:hAnsi="Arial" w:eastAsia="宋体" w:cs="Arial"/>
                <w:spacing w:val="10"/>
                <w:sz w:val="21"/>
                <w:szCs w:val="21"/>
              </w:rPr>
            </w:pPr>
          </w:p>
        </w:tc>
        <w:tc>
          <w:tcPr>
            <w:tcW w:w="2565" w:type="dxa"/>
            <w:gridSpan w:val="2"/>
            <w:shd w:val="clear" w:color="auto" w:fill="auto"/>
            <w:vAlign w:val="center"/>
          </w:tcPr>
          <w:p w14:paraId="3D9E9534">
            <w:pPr>
              <w:autoSpaceDE w:val="0"/>
              <w:autoSpaceDN w:val="0"/>
              <w:adjustRightInd w:val="0"/>
              <w:snapToGrid w:val="0"/>
              <w:jc w:val="center"/>
              <w:rPr>
                <w:rFonts w:ascii="Arial" w:hAnsi="Arial" w:eastAsia="宋体" w:cs="Arial"/>
                <w:kern w:val="0"/>
                <w:sz w:val="21"/>
                <w:szCs w:val="21"/>
              </w:rPr>
            </w:pPr>
          </w:p>
        </w:tc>
        <w:tc>
          <w:tcPr>
            <w:tcW w:w="2849" w:type="dxa"/>
            <w:gridSpan w:val="2"/>
            <w:shd w:val="clear" w:color="auto" w:fill="auto"/>
            <w:vAlign w:val="center"/>
          </w:tcPr>
          <w:p w14:paraId="07CEBB8C">
            <w:pPr>
              <w:autoSpaceDE w:val="0"/>
              <w:autoSpaceDN w:val="0"/>
              <w:adjustRightInd w:val="0"/>
              <w:snapToGrid w:val="0"/>
              <w:jc w:val="center"/>
              <w:rPr>
                <w:rFonts w:ascii="Arial" w:hAnsi="Arial" w:eastAsia="宋体" w:cs="Arial"/>
                <w:kern w:val="0"/>
                <w:sz w:val="21"/>
                <w:szCs w:val="21"/>
              </w:rPr>
            </w:pPr>
          </w:p>
        </w:tc>
      </w:tr>
      <w:tr w14:paraId="1D6F6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shd w:val="clear" w:color="auto" w:fill="auto"/>
            <w:vAlign w:val="center"/>
          </w:tcPr>
          <w:p w14:paraId="3AB812DE">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42B8911C">
            <w:pPr>
              <w:autoSpaceDE w:val="0"/>
              <w:autoSpaceDN w:val="0"/>
              <w:adjustRightInd w:val="0"/>
              <w:snapToGrid w:val="0"/>
              <w:jc w:val="center"/>
              <w:rPr>
                <w:rFonts w:ascii="Arial" w:hAnsi="Arial" w:eastAsia="宋体" w:cs="Arial"/>
                <w:kern w:val="0"/>
                <w:sz w:val="21"/>
                <w:szCs w:val="21"/>
              </w:rPr>
            </w:pPr>
          </w:p>
        </w:tc>
        <w:tc>
          <w:tcPr>
            <w:tcW w:w="2565" w:type="dxa"/>
            <w:gridSpan w:val="2"/>
            <w:shd w:val="clear" w:color="auto" w:fill="auto"/>
            <w:vAlign w:val="center"/>
          </w:tcPr>
          <w:p w14:paraId="3DA3BD6F">
            <w:pPr>
              <w:autoSpaceDE w:val="0"/>
              <w:autoSpaceDN w:val="0"/>
              <w:adjustRightInd w:val="0"/>
              <w:snapToGrid w:val="0"/>
              <w:jc w:val="center"/>
              <w:rPr>
                <w:rFonts w:ascii="Arial" w:hAnsi="Arial" w:eastAsia="宋体" w:cs="Arial"/>
                <w:kern w:val="0"/>
                <w:sz w:val="21"/>
                <w:szCs w:val="21"/>
              </w:rPr>
            </w:pPr>
          </w:p>
        </w:tc>
        <w:tc>
          <w:tcPr>
            <w:tcW w:w="2849" w:type="dxa"/>
            <w:gridSpan w:val="2"/>
            <w:shd w:val="clear" w:color="auto" w:fill="auto"/>
            <w:vAlign w:val="center"/>
          </w:tcPr>
          <w:p w14:paraId="4DA71222">
            <w:pPr>
              <w:autoSpaceDE w:val="0"/>
              <w:autoSpaceDN w:val="0"/>
              <w:adjustRightInd w:val="0"/>
              <w:snapToGrid w:val="0"/>
              <w:jc w:val="center"/>
              <w:rPr>
                <w:rFonts w:ascii="Arial" w:hAnsi="Arial" w:eastAsia="宋体" w:cs="Arial"/>
                <w:kern w:val="0"/>
                <w:sz w:val="21"/>
                <w:szCs w:val="21"/>
              </w:rPr>
            </w:pPr>
          </w:p>
        </w:tc>
      </w:tr>
      <w:tr w14:paraId="37932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5" w:type="dxa"/>
            <w:gridSpan w:val="2"/>
            <w:shd w:val="clear" w:color="auto" w:fill="auto"/>
            <w:vAlign w:val="center"/>
          </w:tcPr>
          <w:p w14:paraId="56F9AC9F">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436031EB">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14:paraId="5C67DC43">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14:paraId="1779D2A8">
            <w:pPr>
              <w:autoSpaceDE w:val="0"/>
              <w:autoSpaceDN w:val="0"/>
              <w:adjustRightInd w:val="0"/>
              <w:snapToGrid w:val="0"/>
              <w:jc w:val="center"/>
              <w:rPr>
                <w:rFonts w:ascii="Arial" w:hAnsi="Arial" w:eastAsia="宋体" w:cs="Arial"/>
                <w:kern w:val="0"/>
                <w:sz w:val="21"/>
                <w:szCs w:val="21"/>
              </w:rPr>
            </w:pPr>
          </w:p>
        </w:tc>
      </w:tr>
      <w:tr w14:paraId="0031B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vMerge w:val="restart"/>
            <w:shd w:val="clear" w:color="auto" w:fill="auto"/>
            <w:vAlign w:val="center"/>
          </w:tcPr>
          <w:p w14:paraId="22909D63">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20F29331">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1505896F">
            <w:pPr>
              <w:adjustRightInd w:val="0"/>
              <w:snapToGrid w:val="0"/>
              <w:jc w:val="center"/>
              <w:rPr>
                <w:rFonts w:ascii="Arial" w:hAnsi="Arial" w:eastAsia="宋体" w:cs="Arial"/>
                <w:sz w:val="21"/>
                <w:szCs w:val="21"/>
              </w:rPr>
            </w:pPr>
          </w:p>
        </w:tc>
        <w:tc>
          <w:tcPr>
            <w:tcW w:w="1805" w:type="dxa"/>
            <w:gridSpan w:val="2"/>
            <w:shd w:val="clear" w:color="auto" w:fill="auto"/>
            <w:vAlign w:val="center"/>
          </w:tcPr>
          <w:p w14:paraId="10761782">
            <w:pPr>
              <w:adjustRightInd w:val="0"/>
              <w:snapToGrid w:val="0"/>
              <w:jc w:val="center"/>
              <w:rPr>
                <w:rFonts w:ascii="Arial" w:hAnsi="Arial" w:eastAsia="宋体" w:cs="Arial"/>
                <w:sz w:val="21"/>
                <w:szCs w:val="21"/>
              </w:rPr>
            </w:pPr>
          </w:p>
        </w:tc>
        <w:tc>
          <w:tcPr>
            <w:tcW w:w="1805" w:type="dxa"/>
            <w:shd w:val="clear" w:color="auto" w:fill="auto"/>
            <w:vAlign w:val="center"/>
          </w:tcPr>
          <w:p w14:paraId="1D7081D6">
            <w:pPr>
              <w:adjustRightInd w:val="0"/>
              <w:snapToGrid w:val="0"/>
              <w:jc w:val="center"/>
              <w:rPr>
                <w:rFonts w:ascii="Arial" w:hAnsi="Arial" w:eastAsia="宋体" w:cs="Arial"/>
                <w:sz w:val="21"/>
                <w:szCs w:val="21"/>
              </w:rPr>
            </w:pPr>
          </w:p>
        </w:tc>
      </w:tr>
      <w:tr w14:paraId="5736C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14:paraId="0F4520B0">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6A03A6D3">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2923DF47">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14:paraId="60395EB0">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14:paraId="13F2731C">
            <w:pPr>
              <w:autoSpaceDE w:val="0"/>
              <w:autoSpaceDN w:val="0"/>
              <w:adjustRightInd w:val="0"/>
              <w:snapToGrid w:val="0"/>
              <w:jc w:val="center"/>
              <w:rPr>
                <w:rFonts w:ascii="Arial" w:hAnsi="Arial" w:eastAsia="宋体" w:cs="Arial"/>
                <w:kern w:val="0"/>
                <w:sz w:val="21"/>
                <w:szCs w:val="21"/>
              </w:rPr>
            </w:pPr>
          </w:p>
        </w:tc>
      </w:tr>
      <w:tr w14:paraId="37455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14:paraId="6B4762E9">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2CAA66CD">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20369E84">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14:paraId="6A6BF1D6">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14:paraId="4A298E4F">
            <w:pPr>
              <w:autoSpaceDE w:val="0"/>
              <w:autoSpaceDN w:val="0"/>
              <w:adjustRightInd w:val="0"/>
              <w:snapToGrid w:val="0"/>
              <w:jc w:val="center"/>
              <w:rPr>
                <w:rFonts w:ascii="Arial" w:hAnsi="Arial" w:eastAsia="宋体" w:cs="Arial"/>
                <w:kern w:val="0"/>
                <w:sz w:val="21"/>
                <w:szCs w:val="21"/>
              </w:rPr>
            </w:pPr>
          </w:p>
        </w:tc>
      </w:tr>
      <w:tr w14:paraId="71679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14:paraId="7A592F27">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4A72D950">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3307AC81">
            <w:pPr>
              <w:adjustRightInd w:val="0"/>
              <w:snapToGrid w:val="0"/>
              <w:jc w:val="center"/>
              <w:rPr>
                <w:rFonts w:ascii="Arial" w:hAnsi="Arial" w:eastAsia="宋体" w:cs="Arial"/>
                <w:sz w:val="21"/>
                <w:szCs w:val="21"/>
              </w:rPr>
            </w:pPr>
          </w:p>
        </w:tc>
        <w:tc>
          <w:tcPr>
            <w:tcW w:w="1805" w:type="dxa"/>
            <w:gridSpan w:val="2"/>
            <w:shd w:val="clear" w:color="auto" w:fill="auto"/>
            <w:vAlign w:val="center"/>
          </w:tcPr>
          <w:p w14:paraId="48718D8E">
            <w:pPr>
              <w:adjustRightInd w:val="0"/>
              <w:snapToGrid w:val="0"/>
              <w:jc w:val="center"/>
              <w:rPr>
                <w:rFonts w:ascii="Arial" w:hAnsi="Arial" w:eastAsia="宋体" w:cs="Arial"/>
                <w:sz w:val="21"/>
                <w:szCs w:val="21"/>
              </w:rPr>
            </w:pPr>
          </w:p>
        </w:tc>
        <w:tc>
          <w:tcPr>
            <w:tcW w:w="1805" w:type="dxa"/>
            <w:shd w:val="clear" w:color="auto" w:fill="auto"/>
            <w:vAlign w:val="center"/>
          </w:tcPr>
          <w:p w14:paraId="47505F5F">
            <w:pPr>
              <w:adjustRightInd w:val="0"/>
              <w:snapToGrid w:val="0"/>
              <w:jc w:val="center"/>
              <w:rPr>
                <w:rFonts w:ascii="Arial" w:hAnsi="Arial" w:eastAsia="宋体" w:cs="Arial"/>
                <w:sz w:val="21"/>
                <w:szCs w:val="21"/>
              </w:rPr>
            </w:pPr>
          </w:p>
        </w:tc>
      </w:tr>
      <w:tr w14:paraId="68277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14:paraId="2D28523E">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7EE7D52F">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1EEA62EA">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14:paraId="20E161C8">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14:paraId="01710708">
            <w:pPr>
              <w:autoSpaceDE w:val="0"/>
              <w:autoSpaceDN w:val="0"/>
              <w:adjustRightInd w:val="0"/>
              <w:snapToGrid w:val="0"/>
              <w:jc w:val="center"/>
              <w:rPr>
                <w:rFonts w:ascii="Arial" w:hAnsi="Arial" w:eastAsia="宋体" w:cs="Arial"/>
                <w:kern w:val="0"/>
                <w:sz w:val="21"/>
                <w:szCs w:val="21"/>
              </w:rPr>
            </w:pPr>
          </w:p>
        </w:tc>
      </w:tr>
      <w:tr w14:paraId="7511D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vMerge w:val="restart"/>
            <w:shd w:val="clear" w:color="auto" w:fill="auto"/>
            <w:vAlign w:val="center"/>
          </w:tcPr>
          <w:p w14:paraId="767B65A1">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76F6C9E5">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74AC527F">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14:paraId="11E5B92B">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14:paraId="34FD50CF">
            <w:pPr>
              <w:autoSpaceDE w:val="0"/>
              <w:autoSpaceDN w:val="0"/>
              <w:adjustRightInd w:val="0"/>
              <w:snapToGrid w:val="0"/>
              <w:jc w:val="center"/>
              <w:rPr>
                <w:rFonts w:ascii="Arial" w:hAnsi="Arial" w:eastAsia="宋体" w:cs="Arial"/>
                <w:kern w:val="0"/>
                <w:sz w:val="21"/>
                <w:szCs w:val="21"/>
              </w:rPr>
            </w:pPr>
          </w:p>
        </w:tc>
      </w:tr>
      <w:tr w14:paraId="1A0F5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14:paraId="47D0750F">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2327AD06">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44257A39">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14:paraId="6CCEBBA4">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14:paraId="520161BC">
            <w:pPr>
              <w:autoSpaceDE w:val="0"/>
              <w:autoSpaceDN w:val="0"/>
              <w:adjustRightInd w:val="0"/>
              <w:snapToGrid w:val="0"/>
              <w:jc w:val="center"/>
              <w:rPr>
                <w:rFonts w:ascii="Arial" w:hAnsi="Arial" w:eastAsia="宋体" w:cs="Arial"/>
                <w:kern w:val="0"/>
                <w:sz w:val="21"/>
                <w:szCs w:val="21"/>
              </w:rPr>
            </w:pPr>
          </w:p>
        </w:tc>
      </w:tr>
      <w:tr w14:paraId="1F943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14:paraId="5A8339DD">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774FB3DD">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47B42AA8">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14:paraId="65D55528">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14:paraId="4430CF79">
            <w:pPr>
              <w:autoSpaceDE w:val="0"/>
              <w:autoSpaceDN w:val="0"/>
              <w:adjustRightInd w:val="0"/>
              <w:snapToGrid w:val="0"/>
              <w:jc w:val="center"/>
              <w:rPr>
                <w:rFonts w:ascii="Arial" w:hAnsi="Arial" w:eastAsia="宋体" w:cs="Arial"/>
                <w:kern w:val="0"/>
                <w:sz w:val="21"/>
                <w:szCs w:val="21"/>
              </w:rPr>
            </w:pPr>
          </w:p>
        </w:tc>
      </w:tr>
      <w:tr w14:paraId="60B3F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14:paraId="14F64136">
            <w:pPr>
              <w:autoSpaceDE w:val="0"/>
              <w:autoSpaceDN w:val="0"/>
              <w:adjustRightInd w:val="0"/>
              <w:snapToGrid w:val="0"/>
              <w:rPr>
                <w:rFonts w:ascii="Arial" w:hAnsi="Arial" w:eastAsia="宋体" w:cs="Arial"/>
                <w:kern w:val="0"/>
                <w:sz w:val="21"/>
                <w:szCs w:val="21"/>
              </w:rPr>
            </w:pPr>
          </w:p>
        </w:tc>
        <w:tc>
          <w:tcPr>
            <w:tcW w:w="2835" w:type="dxa"/>
            <w:shd w:val="clear" w:color="auto" w:fill="auto"/>
            <w:vAlign w:val="center"/>
          </w:tcPr>
          <w:p w14:paraId="46307E46">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4D690C1C">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14:paraId="52026F5A">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14:paraId="4276C017">
            <w:pPr>
              <w:autoSpaceDE w:val="0"/>
              <w:autoSpaceDN w:val="0"/>
              <w:adjustRightInd w:val="0"/>
              <w:snapToGrid w:val="0"/>
              <w:jc w:val="center"/>
              <w:rPr>
                <w:rFonts w:ascii="Arial" w:hAnsi="Arial" w:eastAsia="宋体" w:cs="Arial"/>
                <w:kern w:val="0"/>
                <w:sz w:val="21"/>
                <w:szCs w:val="21"/>
              </w:rPr>
            </w:pPr>
          </w:p>
        </w:tc>
      </w:tr>
      <w:tr w14:paraId="6637F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0" w:type="dxa"/>
            <w:vMerge w:val="continue"/>
            <w:shd w:val="clear" w:color="auto" w:fill="auto"/>
            <w:vAlign w:val="center"/>
          </w:tcPr>
          <w:p w14:paraId="732B4F87">
            <w:pPr>
              <w:autoSpaceDE w:val="0"/>
              <w:autoSpaceDN w:val="0"/>
              <w:adjustRightInd w:val="0"/>
              <w:snapToGrid w:val="0"/>
              <w:jc w:val="center"/>
              <w:rPr>
                <w:rFonts w:ascii="Arial" w:hAnsi="Arial" w:eastAsia="宋体" w:cs="Arial"/>
                <w:kern w:val="0"/>
                <w:sz w:val="21"/>
                <w:szCs w:val="21"/>
              </w:rPr>
            </w:pPr>
          </w:p>
        </w:tc>
        <w:tc>
          <w:tcPr>
            <w:tcW w:w="2835" w:type="dxa"/>
            <w:shd w:val="clear" w:color="auto" w:fill="auto"/>
            <w:vAlign w:val="center"/>
          </w:tcPr>
          <w:p w14:paraId="5F96E04F">
            <w:pPr>
              <w:autoSpaceDE w:val="0"/>
              <w:autoSpaceDN w:val="0"/>
              <w:adjustRightInd w:val="0"/>
              <w:snapToGrid w:val="0"/>
              <w:jc w:val="center"/>
              <w:rPr>
                <w:rFonts w:ascii="Arial" w:hAnsi="Arial" w:eastAsia="宋体" w:cs="Arial"/>
                <w:kern w:val="0"/>
                <w:sz w:val="21"/>
                <w:szCs w:val="21"/>
              </w:rPr>
            </w:pPr>
          </w:p>
        </w:tc>
        <w:tc>
          <w:tcPr>
            <w:tcW w:w="1804" w:type="dxa"/>
            <w:shd w:val="clear" w:color="auto" w:fill="auto"/>
            <w:vAlign w:val="center"/>
          </w:tcPr>
          <w:p w14:paraId="3A2810B0">
            <w:pPr>
              <w:autoSpaceDE w:val="0"/>
              <w:autoSpaceDN w:val="0"/>
              <w:adjustRightInd w:val="0"/>
              <w:snapToGrid w:val="0"/>
              <w:jc w:val="center"/>
              <w:rPr>
                <w:rFonts w:ascii="Arial" w:hAnsi="Arial" w:eastAsia="宋体" w:cs="Arial"/>
                <w:kern w:val="0"/>
                <w:sz w:val="21"/>
                <w:szCs w:val="21"/>
              </w:rPr>
            </w:pPr>
          </w:p>
        </w:tc>
        <w:tc>
          <w:tcPr>
            <w:tcW w:w="1805" w:type="dxa"/>
            <w:gridSpan w:val="2"/>
            <w:shd w:val="clear" w:color="auto" w:fill="auto"/>
            <w:vAlign w:val="center"/>
          </w:tcPr>
          <w:p w14:paraId="2E150F8C">
            <w:pPr>
              <w:autoSpaceDE w:val="0"/>
              <w:autoSpaceDN w:val="0"/>
              <w:adjustRightInd w:val="0"/>
              <w:snapToGrid w:val="0"/>
              <w:jc w:val="center"/>
              <w:rPr>
                <w:rFonts w:ascii="Arial" w:hAnsi="Arial" w:eastAsia="宋体" w:cs="Arial"/>
                <w:kern w:val="0"/>
                <w:sz w:val="21"/>
                <w:szCs w:val="21"/>
              </w:rPr>
            </w:pPr>
          </w:p>
        </w:tc>
        <w:tc>
          <w:tcPr>
            <w:tcW w:w="1805" w:type="dxa"/>
            <w:shd w:val="clear" w:color="auto" w:fill="auto"/>
            <w:vAlign w:val="center"/>
          </w:tcPr>
          <w:p w14:paraId="79023F01">
            <w:pPr>
              <w:autoSpaceDE w:val="0"/>
              <w:autoSpaceDN w:val="0"/>
              <w:adjustRightInd w:val="0"/>
              <w:snapToGrid w:val="0"/>
              <w:jc w:val="center"/>
              <w:rPr>
                <w:rFonts w:ascii="Arial" w:hAnsi="Arial" w:eastAsia="宋体" w:cs="Arial"/>
                <w:kern w:val="0"/>
                <w:sz w:val="21"/>
                <w:szCs w:val="21"/>
              </w:rPr>
            </w:pPr>
          </w:p>
        </w:tc>
      </w:tr>
    </w:tbl>
    <w:p w14:paraId="0D330441">
      <w:pPr>
        <w:adjustRightInd w:val="0"/>
        <w:snapToGrid w:val="0"/>
        <w:jc w:val="center"/>
        <w:rPr>
          <w:rFonts w:ascii="Arial" w:hAnsi="Arial" w:eastAsia="宋体" w:cs="Arial"/>
          <w:b/>
          <w:spacing w:val="10"/>
          <w:sz w:val="24"/>
          <w:u w:val="single"/>
        </w:rPr>
      </w:pPr>
    </w:p>
    <w:p w14:paraId="7936E250">
      <w:pPr>
        <w:adjustRightInd w:val="0"/>
        <w:snapToGrid w:val="0"/>
        <w:jc w:val="center"/>
        <w:rPr>
          <w:rFonts w:ascii="Arial" w:hAnsi="Arial" w:eastAsia="宋体" w:cs="Arial"/>
          <w:b/>
          <w:spacing w:val="10"/>
          <w:sz w:val="24"/>
        </w:rPr>
      </w:pPr>
      <w:r>
        <w:rPr>
          <w:rFonts w:ascii="Arial" w:hAnsi="Arial" w:eastAsia="宋体" w:cs="Arial"/>
          <w:b/>
          <w:spacing w:val="10"/>
          <w:sz w:val="24"/>
        </w:rPr>
        <w:t>图3.2-1  土壤剖面图</w:t>
      </w:r>
    </w:p>
    <w:p w14:paraId="499519D0">
      <w:pPr>
        <w:spacing w:line="500" w:lineRule="exact"/>
        <w:jc w:val="left"/>
        <w:outlineLvl w:val="3"/>
        <w:rPr>
          <w:rFonts w:ascii="Arial" w:hAnsi="Arial" w:eastAsia="宋体" w:cs="Arial"/>
          <w:b/>
          <w:spacing w:val="10"/>
          <w:sz w:val="24"/>
        </w:rPr>
      </w:pPr>
      <w:r>
        <w:rPr>
          <w:rFonts w:ascii="Arial" w:hAnsi="Arial" w:eastAsia="宋体" w:cs="Arial"/>
          <w:b/>
          <w:spacing w:val="10"/>
          <w:sz w:val="24"/>
        </w:rPr>
        <w:t>3.2.5.2土壤环境质量现状调查</w:t>
      </w:r>
    </w:p>
    <w:p w14:paraId="780C190D">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项目土壤环境质量现状调查引用2022年</w:t>
      </w:r>
      <w:r>
        <w:rPr>
          <w:rFonts w:hint="eastAsia" w:ascii="Arial" w:hAnsi="Arial" w:eastAsia="宋体" w:cs="Arial"/>
          <w:spacing w:val="10"/>
          <w:kern w:val="0"/>
          <w:sz w:val="24"/>
        </w:rPr>
        <w:t>、</w:t>
      </w:r>
      <w:r>
        <w:rPr>
          <w:rFonts w:ascii="Arial" w:hAnsi="Arial" w:eastAsia="宋体" w:cs="Arial"/>
          <w:spacing w:val="10"/>
          <w:kern w:val="0"/>
          <w:sz w:val="24"/>
        </w:rPr>
        <w:t>2023年已有监测数据进行调查，共11个土壤监测点，其中厂区内7个，厂区外4个，详见表3-</w:t>
      </w:r>
      <w:r>
        <w:rPr>
          <w:rFonts w:hint="eastAsia" w:ascii="Arial" w:hAnsi="Arial" w:eastAsia="宋体" w:cs="Arial"/>
          <w:spacing w:val="10"/>
          <w:kern w:val="0"/>
          <w:sz w:val="24"/>
        </w:rPr>
        <w:t>19</w:t>
      </w:r>
      <w:r>
        <w:rPr>
          <w:rFonts w:ascii="Arial" w:hAnsi="Arial" w:eastAsia="宋体" w:cs="Arial"/>
          <w:spacing w:val="10"/>
          <w:kern w:val="0"/>
          <w:sz w:val="24"/>
        </w:rPr>
        <w:t>。</w:t>
      </w:r>
    </w:p>
    <w:p w14:paraId="0329F56C">
      <w:pPr>
        <w:keepNext/>
        <w:keepLines/>
        <w:numPr>
          <w:ilvl w:val="0"/>
          <w:numId w:val="16"/>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土壤环境质量监测信息表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993"/>
        <w:gridCol w:w="1707"/>
        <w:gridCol w:w="937"/>
        <w:gridCol w:w="1977"/>
        <w:gridCol w:w="2583"/>
      </w:tblGrid>
      <w:tr w14:paraId="11048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shd w:val="clear" w:color="auto" w:fill="auto"/>
            <w:vAlign w:val="center"/>
          </w:tcPr>
          <w:p w14:paraId="7BB8E0B6">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7E9193F6">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31E6403A">
            <w:pPr>
              <w:adjustRightInd w:val="0"/>
              <w:snapToGrid w:val="0"/>
              <w:spacing w:line="240" w:lineRule="exact"/>
              <w:jc w:val="center"/>
              <w:rPr>
                <w:rFonts w:ascii="Arial" w:hAnsi="Arial" w:eastAsia="宋体" w:cs="Arial"/>
                <w:sz w:val="21"/>
                <w:szCs w:val="21"/>
              </w:rPr>
            </w:pPr>
          </w:p>
        </w:tc>
        <w:tc>
          <w:tcPr>
            <w:tcW w:w="521" w:type="pct"/>
            <w:shd w:val="clear" w:color="auto" w:fill="auto"/>
            <w:vAlign w:val="center"/>
          </w:tcPr>
          <w:p w14:paraId="693AAE49">
            <w:pPr>
              <w:adjustRightInd w:val="0"/>
              <w:snapToGrid w:val="0"/>
              <w:spacing w:line="240" w:lineRule="exact"/>
              <w:jc w:val="center"/>
              <w:rPr>
                <w:rFonts w:ascii="Arial" w:hAnsi="Arial" w:eastAsia="宋体" w:cs="Arial"/>
                <w:sz w:val="21"/>
                <w:szCs w:val="21"/>
              </w:rPr>
            </w:pPr>
          </w:p>
        </w:tc>
        <w:tc>
          <w:tcPr>
            <w:tcW w:w="1099" w:type="pct"/>
            <w:shd w:val="clear" w:color="auto" w:fill="auto"/>
            <w:vAlign w:val="center"/>
          </w:tcPr>
          <w:p w14:paraId="0B3D0FB9">
            <w:pPr>
              <w:adjustRightInd w:val="0"/>
              <w:snapToGrid w:val="0"/>
              <w:spacing w:line="240" w:lineRule="exact"/>
              <w:jc w:val="center"/>
              <w:rPr>
                <w:rFonts w:ascii="Arial" w:hAnsi="Arial" w:eastAsia="宋体" w:cs="Arial"/>
                <w:sz w:val="21"/>
                <w:szCs w:val="21"/>
              </w:rPr>
            </w:pPr>
          </w:p>
        </w:tc>
        <w:tc>
          <w:tcPr>
            <w:tcW w:w="1436" w:type="pct"/>
            <w:shd w:val="clear" w:color="auto" w:fill="auto"/>
            <w:vAlign w:val="center"/>
          </w:tcPr>
          <w:p w14:paraId="4090E095">
            <w:pPr>
              <w:adjustRightInd w:val="0"/>
              <w:snapToGrid w:val="0"/>
              <w:spacing w:line="240" w:lineRule="exact"/>
              <w:jc w:val="center"/>
              <w:rPr>
                <w:rFonts w:ascii="Arial" w:hAnsi="Arial" w:eastAsia="宋体" w:cs="Arial"/>
                <w:sz w:val="21"/>
                <w:szCs w:val="21"/>
              </w:rPr>
            </w:pPr>
          </w:p>
        </w:tc>
      </w:tr>
      <w:tr w14:paraId="7E4EC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restart"/>
            <w:shd w:val="clear" w:color="auto" w:fill="auto"/>
            <w:vAlign w:val="center"/>
          </w:tcPr>
          <w:p w14:paraId="769656F6">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00931475">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25846E00">
            <w:pPr>
              <w:adjustRightInd w:val="0"/>
              <w:snapToGrid w:val="0"/>
              <w:spacing w:line="240" w:lineRule="exact"/>
              <w:jc w:val="center"/>
              <w:rPr>
                <w:rFonts w:ascii="Arial" w:hAnsi="Arial" w:eastAsia="宋体" w:cs="Arial"/>
                <w:sz w:val="21"/>
                <w:szCs w:val="21"/>
              </w:rPr>
            </w:pPr>
          </w:p>
        </w:tc>
        <w:tc>
          <w:tcPr>
            <w:tcW w:w="521" w:type="pct"/>
            <w:vMerge w:val="restart"/>
            <w:shd w:val="clear" w:color="auto" w:fill="auto"/>
            <w:vAlign w:val="center"/>
          </w:tcPr>
          <w:p w14:paraId="647CB0E5">
            <w:pPr>
              <w:adjustRightInd w:val="0"/>
              <w:snapToGrid w:val="0"/>
              <w:spacing w:line="240" w:lineRule="exact"/>
              <w:jc w:val="center"/>
              <w:rPr>
                <w:rFonts w:ascii="Arial" w:hAnsi="Arial" w:eastAsia="宋体" w:cs="Arial"/>
                <w:sz w:val="21"/>
                <w:szCs w:val="21"/>
              </w:rPr>
            </w:pPr>
          </w:p>
        </w:tc>
        <w:tc>
          <w:tcPr>
            <w:tcW w:w="1099" w:type="pct"/>
            <w:vMerge w:val="restart"/>
            <w:shd w:val="clear" w:color="auto" w:fill="auto"/>
            <w:vAlign w:val="center"/>
          </w:tcPr>
          <w:p w14:paraId="1E9B1DB1">
            <w:pPr>
              <w:adjustRightInd w:val="0"/>
              <w:snapToGrid w:val="0"/>
              <w:spacing w:line="240" w:lineRule="exact"/>
              <w:jc w:val="center"/>
              <w:rPr>
                <w:rFonts w:ascii="Arial" w:hAnsi="Arial" w:eastAsia="宋体" w:cs="Arial"/>
                <w:sz w:val="21"/>
                <w:szCs w:val="21"/>
              </w:rPr>
            </w:pPr>
          </w:p>
        </w:tc>
        <w:tc>
          <w:tcPr>
            <w:tcW w:w="1436" w:type="pct"/>
            <w:vMerge w:val="restart"/>
            <w:shd w:val="clear" w:color="auto" w:fill="auto"/>
            <w:vAlign w:val="center"/>
          </w:tcPr>
          <w:p w14:paraId="3FCEDF06">
            <w:pPr>
              <w:adjustRightInd w:val="0"/>
              <w:snapToGrid w:val="0"/>
              <w:spacing w:line="240" w:lineRule="exact"/>
              <w:jc w:val="center"/>
              <w:rPr>
                <w:rFonts w:ascii="Arial" w:hAnsi="Arial" w:eastAsia="宋体" w:cs="Arial"/>
                <w:sz w:val="21"/>
                <w:szCs w:val="21"/>
              </w:rPr>
            </w:pPr>
          </w:p>
        </w:tc>
      </w:tr>
      <w:tr w14:paraId="45351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continue"/>
            <w:shd w:val="clear" w:color="auto" w:fill="auto"/>
            <w:vAlign w:val="center"/>
          </w:tcPr>
          <w:p w14:paraId="302356E7">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56C99E14">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0FC24E05">
            <w:pPr>
              <w:adjustRightInd w:val="0"/>
              <w:snapToGrid w:val="0"/>
              <w:spacing w:line="240" w:lineRule="exact"/>
              <w:jc w:val="center"/>
              <w:rPr>
                <w:rFonts w:ascii="Arial" w:hAnsi="Arial" w:eastAsia="宋体" w:cs="Arial"/>
                <w:sz w:val="21"/>
                <w:szCs w:val="21"/>
              </w:rPr>
            </w:pPr>
          </w:p>
        </w:tc>
        <w:tc>
          <w:tcPr>
            <w:tcW w:w="521" w:type="pct"/>
            <w:vMerge w:val="continue"/>
            <w:shd w:val="clear" w:color="auto" w:fill="auto"/>
            <w:vAlign w:val="center"/>
          </w:tcPr>
          <w:p w14:paraId="2C37C6BF">
            <w:pPr>
              <w:adjustRightInd w:val="0"/>
              <w:snapToGrid w:val="0"/>
              <w:spacing w:line="240" w:lineRule="exact"/>
              <w:jc w:val="center"/>
              <w:rPr>
                <w:rFonts w:ascii="Arial" w:hAnsi="Arial" w:eastAsia="宋体" w:cs="Arial"/>
                <w:sz w:val="21"/>
                <w:szCs w:val="21"/>
              </w:rPr>
            </w:pPr>
          </w:p>
        </w:tc>
        <w:tc>
          <w:tcPr>
            <w:tcW w:w="1099" w:type="pct"/>
            <w:vMerge w:val="continue"/>
            <w:shd w:val="clear" w:color="auto" w:fill="auto"/>
            <w:vAlign w:val="center"/>
          </w:tcPr>
          <w:p w14:paraId="72D05850">
            <w:pPr>
              <w:adjustRightInd w:val="0"/>
              <w:snapToGrid w:val="0"/>
              <w:spacing w:line="240" w:lineRule="exact"/>
              <w:jc w:val="center"/>
              <w:rPr>
                <w:rFonts w:ascii="Arial" w:hAnsi="Arial" w:eastAsia="宋体" w:cs="Arial"/>
                <w:sz w:val="21"/>
                <w:szCs w:val="21"/>
              </w:rPr>
            </w:pPr>
          </w:p>
        </w:tc>
        <w:tc>
          <w:tcPr>
            <w:tcW w:w="1436" w:type="pct"/>
            <w:vMerge w:val="continue"/>
            <w:shd w:val="clear" w:color="auto" w:fill="auto"/>
            <w:vAlign w:val="center"/>
          </w:tcPr>
          <w:p w14:paraId="3DD8E77A">
            <w:pPr>
              <w:adjustRightInd w:val="0"/>
              <w:snapToGrid w:val="0"/>
              <w:spacing w:line="240" w:lineRule="exact"/>
              <w:jc w:val="center"/>
              <w:rPr>
                <w:rFonts w:ascii="Arial" w:hAnsi="Arial" w:eastAsia="宋体" w:cs="Arial"/>
                <w:sz w:val="21"/>
                <w:szCs w:val="21"/>
              </w:rPr>
            </w:pPr>
          </w:p>
        </w:tc>
      </w:tr>
      <w:tr w14:paraId="2B5CE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continue"/>
            <w:shd w:val="clear" w:color="auto" w:fill="auto"/>
            <w:vAlign w:val="center"/>
          </w:tcPr>
          <w:p w14:paraId="21631741">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717FEA82">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53546B85">
            <w:pPr>
              <w:adjustRightInd w:val="0"/>
              <w:snapToGrid w:val="0"/>
              <w:spacing w:line="240" w:lineRule="exact"/>
              <w:jc w:val="center"/>
              <w:rPr>
                <w:rFonts w:ascii="Arial" w:hAnsi="Arial" w:eastAsia="宋体" w:cs="Arial"/>
                <w:sz w:val="21"/>
                <w:szCs w:val="21"/>
              </w:rPr>
            </w:pPr>
          </w:p>
        </w:tc>
        <w:tc>
          <w:tcPr>
            <w:tcW w:w="521" w:type="pct"/>
            <w:vMerge w:val="continue"/>
            <w:shd w:val="clear" w:color="auto" w:fill="auto"/>
            <w:vAlign w:val="center"/>
          </w:tcPr>
          <w:p w14:paraId="68ADB58A">
            <w:pPr>
              <w:adjustRightInd w:val="0"/>
              <w:snapToGrid w:val="0"/>
              <w:spacing w:line="240" w:lineRule="exact"/>
              <w:jc w:val="center"/>
              <w:rPr>
                <w:rFonts w:ascii="Arial" w:hAnsi="Arial" w:eastAsia="宋体" w:cs="Arial"/>
                <w:sz w:val="21"/>
                <w:szCs w:val="21"/>
              </w:rPr>
            </w:pPr>
          </w:p>
        </w:tc>
        <w:tc>
          <w:tcPr>
            <w:tcW w:w="1099" w:type="pct"/>
            <w:vMerge w:val="restart"/>
            <w:shd w:val="clear" w:color="auto" w:fill="auto"/>
            <w:vAlign w:val="center"/>
          </w:tcPr>
          <w:p w14:paraId="6B1A625F">
            <w:pPr>
              <w:adjustRightInd w:val="0"/>
              <w:snapToGrid w:val="0"/>
              <w:spacing w:line="240" w:lineRule="exact"/>
              <w:jc w:val="center"/>
              <w:rPr>
                <w:rFonts w:ascii="Arial" w:hAnsi="Arial" w:eastAsia="宋体" w:cs="Arial"/>
                <w:sz w:val="21"/>
                <w:szCs w:val="21"/>
              </w:rPr>
            </w:pPr>
          </w:p>
        </w:tc>
        <w:tc>
          <w:tcPr>
            <w:tcW w:w="1436" w:type="pct"/>
            <w:vMerge w:val="continue"/>
            <w:shd w:val="clear" w:color="auto" w:fill="auto"/>
            <w:vAlign w:val="center"/>
          </w:tcPr>
          <w:p w14:paraId="6E3CBE49">
            <w:pPr>
              <w:adjustRightInd w:val="0"/>
              <w:snapToGrid w:val="0"/>
              <w:spacing w:line="240" w:lineRule="exact"/>
              <w:jc w:val="center"/>
              <w:rPr>
                <w:rFonts w:ascii="Arial" w:hAnsi="Arial" w:eastAsia="宋体" w:cs="Arial"/>
                <w:sz w:val="21"/>
                <w:szCs w:val="21"/>
              </w:rPr>
            </w:pPr>
          </w:p>
        </w:tc>
      </w:tr>
      <w:tr w14:paraId="027BD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continue"/>
            <w:shd w:val="clear" w:color="auto" w:fill="auto"/>
            <w:vAlign w:val="center"/>
          </w:tcPr>
          <w:p w14:paraId="25FF4526">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4D0C8CD5">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7583B2E6">
            <w:pPr>
              <w:adjustRightInd w:val="0"/>
              <w:snapToGrid w:val="0"/>
              <w:spacing w:line="240" w:lineRule="exact"/>
              <w:jc w:val="center"/>
              <w:rPr>
                <w:rFonts w:ascii="Arial" w:hAnsi="Arial" w:eastAsia="宋体" w:cs="Arial"/>
                <w:sz w:val="21"/>
                <w:szCs w:val="21"/>
              </w:rPr>
            </w:pPr>
          </w:p>
        </w:tc>
        <w:tc>
          <w:tcPr>
            <w:tcW w:w="521" w:type="pct"/>
            <w:vMerge w:val="continue"/>
            <w:shd w:val="clear" w:color="auto" w:fill="auto"/>
            <w:vAlign w:val="center"/>
          </w:tcPr>
          <w:p w14:paraId="5873147E">
            <w:pPr>
              <w:adjustRightInd w:val="0"/>
              <w:snapToGrid w:val="0"/>
              <w:spacing w:line="240" w:lineRule="exact"/>
              <w:jc w:val="center"/>
              <w:rPr>
                <w:rFonts w:ascii="Arial" w:hAnsi="Arial" w:eastAsia="宋体" w:cs="Arial"/>
                <w:sz w:val="21"/>
                <w:szCs w:val="21"/>
              </w:rPr>
            </w:pPr>
          </w:p>
        </w:tc>
        <w:tc>
          <w:tcPr>
            <w:tcW w:w="1099" w:type="pct"/>
            <w:vMerge w:val="continue"/>
            <w:shd w:val="clear" w:color="auto" w:fill="auto"/>
            <w:vAlign w:val="center"/>
          </w:tcPr>
          <w:p w14:paraId="51E61830">
            <w:pPr>
              <w:adjustRightInd w:val="0"/>
              <w:snapToGrid w:val="0"/>
              <w:spacing w:line="240" w:lineRule="exact"/>
              <w:jc w:val="center"/>
              <w:rPr>
                <w:rFonts w:ascii="Arial" w:hAnsi="Arial" w:eastAsia="宋体" w:cs="Arial"/>
                <w:sz w:val="21"/>
                <w:szCs w:val="21"/>
              </w:rPr>
            </w:pPr>
          </w:p>
        </w:tc>
        <w:tc>
          <w:tcPr>
            <w:tcW w:w="1436" w:type="pct"/>
            <w:vMerge w:val="continue"/>
            <w:shd w:val="clear" w:color="auto" w:fill="auto"/>
            <w:vAlign w:val="center"/>
          </w:tcPr>
          <w:p w14:paraId="033AD14B">
            <w:pPr>
              <w:adjustRightInd w:val="0"/>
              <w:snapToGrid w:val="0"/>
              <w:spacing w:line="240" w:lineRule="exact"/>
              <w:jc w:val="center"/>
              <w:rPr>
                <w:rFonts w:ascii="Arial" w:hAnsi="Arial" w:eastAsia="宋体" w:cs="Arial"/>
                <w:sz w:val="21"/>
                <w:szCs w:val="21"/>
              </w:rPr>
            </w:pPr>
          </w:p>
        </w:tc>
      </w:tr>
      <w:tr w14:paraId="31BEC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continue"/>
            <w:shd w:val="clear" w:color="auto" w:fill="auto"/>
            <w:vAlign w:val="center"/>
          </w:tcPr>
          <w:p w14:paraId="638BA42D">
            <w:pPr>
              <w:adjustRightInd w:val="0"/>
              <w:snapToGrid w:val="0"/>
              <w:spacing w:line="240" w:lineRule="exact"/>
              <w:jc w:val="center"/>
              <w:rPr>
                <w:rFonts w:ascii="Arial" w:hAnsi="Arial" w:eastAsia="宋体" w:cs="Arial"/>
                <w:sz w:val="21"/>
                <w:szCs w:val="21"/>
              </w:rPr>
            </w:pPr>
          </w:p>
        </w:tc>
        <w:tc>
          <w:tcPr>
            <w:tcW w:w="552" w:type="pct"/>
            <w:vMerge w:val="restart"/>
            <w:shd w:val="clear" w:color="auto" w:fill="auto"/>
            <w:vAlign w:val="center"/>
          </w:tcPr>
          <w:p w14:paraId="7F2630E6">
            <w:pPr>
              <w:adjustRightInd w:val="0"/>
              <w:snapToGrid w:val="0"/>
              <w:spacing w:line="240" w:lineRule="exact"/>
              <w:jc w:val="center"/>
              <w:rPr>
                <w:rFonts w:ascii="Arial" w:hAnsi="Arial" w:eastAsia="宋体" w:cs="Arial"/>
                <w:sz w:val="21"/>
                <w:szCs w:val="21"/>
              </w:rPr>
            </w:pPr>
          </w:p>
        </w:tc>
        <w:tc>
          <w:tcPr>
            <w:tcW w:w="949" w:type="pct"/>
            <w:vMerge w:val="restart"/>
            <w:shd w:val="clear" w:color="auto" w:fill="auto"/>
            <w:vAlign w:val="center"/>
          </w:tcPr>
          <w:p w14:paraId="772EE8F4">
            <w:pPr>
              <w:adjustRightInd w:val="0"/>
              <w:snapToGrid w:val="0"/>
              <w:spacing w:line="240" w:lineRule="exact"/>
              <w:jc w:val="center"/>
              <w:rPr>
                <w:rFonts w:ascii="Arial" w:hAnsi="Arial" w:eastAsia="宋体" w:cs="Arial"/>
                <w:sz w:val="21"/>
                <w:szCs w:val="21"/>
              </w:rPr>
            </w:pPr>
          </w:p>
        </w:tc>
        <w:tc>
          <w:tcPr>
            <w:tcW w:w="521" w:type="pct"/>
            <w:vMerge w:val="continue"/>
            <w:shd w:val="clear" w:color="auto" w:fill="auto"/>
            <w:vAlign w:val="center"/>
          </w:tcPr>
          <w:p w14:paraId="5DABCD27">
            <w:pPr>
              <w:adjustRightInd w:val="0"/>
              <w:snapToGrid w:val="0"/>
              <w:spacing w:line="240" w:lineRule="exact"/>
              <w:jc w:val="center"/>
              <w:rPr>
                <w:rFonts w:ascii="Arial" w:hAnsi="Arial" w:eastAsia="宋体" w:cs="Arial"/>
                <w:sz w:val="21"/>
                <w:szCs w:val="21"/>
              </w:rPr>
            </w:pPr>
          </w:p>
        </w:tc>
        <w:tc>
          <w:tcPr>
            <w:tcW w:w="1099" w:type="pct"/>
            <w:shd w:val="clear" w:color="auto" w:fill="auto"/>
            <w:vAlign w:val="center"/>
          </w:tcPr>
          <w:p w14:paraId="22EA3C64">
            <w:pPr>
              <w:adjustRightInd w:val="0"/>
              <w:snapToGrid w:val="0"/>
              <w:spacing w:line="240" w:lineRule="exact"/>
              <w:jc w:val="center"/>
              <w:rPr>
                <w:rFonts w:ascii="Arial" w:hAnsi="Arial" w:eastAsia="宋体" w:cs="Arial"/>
                <w:sz w:val="21"/>
                <w:szCs w:val="21"/>
              </w:rPr>
            </w:pPr>
          </w:p>
        </w:tc>
        <w:tc>
          <w:tcPr>
            <w:tcW w:w="1436" w:type="pct"/>
            <w:shd w:val="clear" w:color="auto" w:fill="auto"/>
            <w:vAlign w:val="center"/>
          </w:tcPr>
          <w:p w14:paraId="0F1B9F66">
            <w:pPr>
              <w:adjustRightInd w:val="0"/>
              <w:snapToGrid w:val="0"/>
              <w:spacing w:line="240" w:lineRule="exact"/>
              <w:jc w:val="center"/>
              <w:rPr>
                <w:rFonts w:ascii="Arial" w:hAnsi="Arial" w:eastAsia="宋体" w:cs="Arial"/>
                <w:sz w:val="21"/>
                <w:szCs w:val="21"/>
              </w:rPr>
            </w:pPr>
          </w:p>
        </w:tc>
      </w:tr>
      <w:tr w14:paraId="5D257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continue"/>
            <w:shd w:val="clear" w:color="auto" w:fill="auto"/>
            <w:vAlign w:val="center"/>
          </w:tcPr>
          <w:p w14:paraId="7E2851AD">
            <w:pPr>
              <w:adjustRightInd w:val="0"/>
              <w:snapToGrid w:val="0"/>
              <w:spacing w:line="240" w:lineRule="exact"/>
              <w:jc w:val="center"/>
              <w:rPr>
                <w:rFonts w:ascii="Arial" w:hAnsi="Arial" w:eastAsia="宋体" w:cs="Arial"/>
                <w:sz w:val="21"/>
                <w:szCs w:val="21"/>
              </w:rPr>
            </w:pPr>
          </w:p>
        </w:tc>
        <w:tc>
          <w:tcPr>
            <w:tcW w:w="552" w:type="pct"/>
            <w:vMerge w:val="continue"/>
            <w:shd w:val="clear" w:color="auto" w:fill="auto"/>
            <w:vAlign w:val="center"/>
          </w:tcPr>
          <w:p w14:paraId="6BD266EF">
            <w:pPr>
              <w:adjustRightInd w:val="0"/>
              <w:snapToGrid w:val="0"/>
              <w:spacing w:line="240" w:lineRule="exact"/>
              <w:jc w:val="center"/>
              <w:rPr>
                <w:rFonts w:ascii="Arial" w:hAnsi="Arial" w:eastAsia="宋体" w:cs="Arial"/>
                <w:sz w:val="21"/>
                <w:szCs w:val="21"/>
              </w:rPr>
            </w:pPr>
          </w:p>
        </w:tc>
        <w:tc>
          <w:tcPr>
            <w:tcW w:w="949" w:type="pct"/>
            <w:vMerge w:val="continue"/>
            <w:shd w:val="clear" w:color="auto" w:fill="auto"/>
            <w:vAlign w:val="center"/>
          </w:tcPr>
          <w:p w14:paraId="01C3E03B">
            <w:pPr>
              <w:adjustRightInd w:val="0"/>
              <w:snapToGrid w:val="0"/>
              <w:spacing w:line="240" w:lineRule="exact"/>
              <w:jc w:val="center"/>
              <w:rPr>
                <w:rFonts w:ascii="Arial" w:hAnsi="Arial" w:eastAsia="宋体" w:cs="Arial"/>
                <w:sz w:val="21"/>
                <w:szCs w:val="21"/>
              </w:rPr>
            </w:pPr>
          </w:p>
        </w:tc>
        <w:tc>
          <w:tcPr>
            <w:tcW w:w="521" w:type="pct"/>
            <w:vMerge w:val="continue"/>
            <w:shd w:val="clear" w:color="auto" w:fill="auto"/>
            <w:vAlign w:val="center"/>
          </w:tcPr>
          <w:p w14:paraId="527DDF38">
            <w:pPr>
              <w:adjustRightInd w:val="0"/>
              <w:snapToGrid w:val="0"/>
              <w:spacing w:line="240" w:lineRule="exact"/>
              <w:jc w:val="center"/>
              <w:rPr>
                <w:rFonts w:ascii="Arial" w:hAnsi="Arial" w:eastAsia="宋体" w:cs="Arial"/>
                <w:sz w:val="21"/>
                <w:szCs w:val="21"/>
              </w:rPr>
            </w:pPr>
          </w:p>
        </w:tc>
        <w:tc>
          <w:tcPr>
            <w:tcW w:w="1099" w:type="pct"/>
            <w:shd w:val="clear" w:color="auto" w:fill="auto"/>
            <w:vAlign w:val="center"/>
          </w:tcPr>
          <w:p w14:paraId="41E9527E">
            <w:pPr>
              <w:adjustRightInd w:val="0"/>
              <w:snapToGrid w:val="0"/>
              <w:spacing w:line="240" w:lineRule="exact"/>
              <w:jc w:val="center"/>
              <w:rPr>
                <w:rFonts w:ascii="Arial" w:hAnsi="Arial" w:eastAsia="宋体" w:cs="Arial"/>
                <w:sz w:val="21"/>
                <w:szCs w:val="21"/>
              </w:rPr>
            </w:pPr>
          </w:p>
        </w:tc>
        <w:tc>
          <w:tcPr>
            <w:tcW w:w="1436" w:type="pct"/>
            <w:shd w:val="clear" w:color="auto" w:fill="auto"/>
            <w:vAlign w:val="center"/>
          </w:tcPr>
          <w:p w14:paraId="2F0E92E0">
            <w:pPr>
              <w:adjustRightInd w:val="0"/>
              <w:snapToGrid w:val="0"/>
              <w:spacing w:line="240" w:lineRule="exact"/>
              <w:jc w:val="center"/>
              <w:rPr>
                <w:rFonts w:ascii="Arial" w:hAnsi="Arial" w:eastAsia="宋体" w:cs="Arial"/>
                <w:sz w:val="21"/>
                <w:szCs w:val="21"/>
              </w:rPr>
            </w:pPr>
          </w:p>
        </w:tc>
      </w:tr>
      <w:tr w14:paraId="0E551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continue"/>
            <w:shd w:val="clear" w:color="auto" w:fill="auto"/>
            <w:vAlign w:val="center"/>
          </w:tcPr>
          <w:p w14:paraId="00B294CC">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5E02F38E">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32467730">
            <w:pPr>
              <w:adjustRightInd w:val="0"/>
              <w:snapToGrid w:val="0"/>
              <w:spacing w:line="240" w:lineRule="exact"/>
              <w:jc w:val="center"/>
              <w:rPr>
                <w:rFonts w:ascii="Arial" w:hAnsi="Arial" w:eastAsia="宋体" w:cs="Arial"/>
                <w:sz w:val="21"/>
                <w:szCs w:val="21"/>
              </w:rPr>
            </w:pPr>
          </w:p>
        </w:tc>
        <w:tc>
          <w:tcPr>
            <w:tcW w:w="521" w:type="pct"/>
            <w:vMerge w:val="restart"/>
            <w:shd w:val="clear" w:color="auto" w:fill="auto"/>
            <w:vAlign w:val="center"/>
          </w:tcPr>
          <w:p w14:paraId="54574141">
            <w:pPr>
              <w:adjustRightInd w:val="0"/>
              <w:snapToGrid w:val="0"/>
              <w:spacing w:line="240" w:lineRule="exact"/>
              <w:jc w:val="center"/>
              <w:rPr>
                <w:rFonts w:ascii="Arial" w:hAnsi="Arial" w:eastAsia="宋体" w:cs="Arial"/>
                <w:sz w:val="21"/>
                <w:szCs w:val="21"/>
              </w:rPr>
            </w:pPr>
          </w:p>
        </w:tc>
        <w:tc>
          <w:tcPr>
            <w:tcW w:w="1099" w:type="pct"/>
            <w:vMerge w:val="restart"/>
            <w:shd w:val="clear" w:color="auto" w:fill="auto"/>
            <w:vAlign w:val="center"/>
          </w:tcPr>
          <w:p w14:paraId="326F4C21">
            <w:pPr>
              <w:adjustRightInd w:val="0"/>
              <w:snapToGrid w:val="0"/>
              <w:spacing w:line="240" w:lineRule="exact"/>
              <w:jc w:val="center"/>
              <w:rPr>
                <w:rFonts w:ascii="Arial" w:hAnsi="Arial" w:eastAsia="宋体" w:cs="Arial"/>
                <w:sz w:val="21"/>
                <w:szCs w:val="21"/>
              </w:rPr>
            </w:pPr>
          </w:p>
        </w:tc>
        <w:tc>
          <w:tcPr>
            <w:tcW w:w="1436" w:type="pct"/>
            <w:vMerge w:val="restart"/>
            <w:shd w:val="clear" w:color="auto" w:fill="auto"/>
            <w:vAlign w:val="center"/>
          </w:tcPr>
          <w:p w14:paraId="72C86EF1">
            <w:pPr>
              <w:adjustRightInd w:val="0"/>
              <w:snapToGrid w:val="0"/>
              <w:spacing w:line="240" w:lineRule="exact"/>
              <w:jc w:val="center"/>
              <w:rPr>
                <w:rFonts w:ascii="Arial" w:hAnsi="Arial" w:eastAsia="宋体" w:cs="Arial"/>
                <w:sz w:val="21"/>
                <w:szCs w:val="21"/>
              </w:rPr>
            </w:pPr>
          </w:p>
        </w:tc>
      </w:tr>
      <w:tr w14:paraId="7FF0F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continue"/>
            <w:shd w:val="clear" w:color="auto" w:fill="auto"/>
            <w:vAlign w:val="center"/>
          </w:tcPr>
          <w:p w14:paraId="7122E203">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624585DF">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202DB4B9">
            <w:pPr>
              <w:adjustRightInd w:val="0"/>
              <w:snapToGrid w:val="0"/>
              <w:spacing w:line="240" w:lineRule="exact"/>
              <w:jc w:val="center"/>
              <w:rPr>
                <w:rFonts w:ascii="Arial" w:hAnsi="Arial" w:eastAsia="宋体" w:cs="Arial"/>
                <w:sz w:val="21"/>
                <w:szCs w:val="21"/>
              </w:rPr>
            </w:pPr>
          </w:p>
        </w:tc>
        <w:tc>
          <w:tcPr>
            <w:tcW w:w="521" w:type="pct"/>
            <w:vMerge w:val="continue"/>
            <w:shd w:val="clear" w:color="auto" w:fill="auto"/>
            <w:vAlign w:val="center"/>
          </w:tcPr>
          <w:p w14:paraId="147AE896">
            <w:pPr>
              <w:adjustRightInd w:val="0"/>
              <w:snapToGrid w:val="0"/>
              <w:spacing w:line="240" w:lineRule="exact"/>
              <w:jc w:val="center"/>
              <w:rPr>
                <w:rFonts w:ascii="Arial" w:hAnsi="Arial" w:eastAsia="宋体" w:cs="Arial"/>
                <w:sz w:val="21"/>
                <w:szCs w:val="21"/>
              </w:rPr>
            </w:pPr>
          </w:p>
        </w:tc>
        <w:tc>
          <w:tcPr>
            <w:tcW w:w="1099" w:type="pct"/>
            <w:vMerge w:val="continue"/>
            <w:shd w:val="clear" w:color="auto" w:fill="auto"/>
            <w:vAlign w:val="center"/>
          </w:tcPr>
          <w:p w14:paraId="4A3991FE">
            <w:pPr>
              <w:adjustRightInd w:val="0"/>
              <w:snapToGrid w:val="0"/>
              <w:spacing w:line="240" w:lineRule="exact"/>
              <w:jc w:val="center"/>
              <w:rPr>
                <w:rFonts w:ascii="Arial" w:hAnsi="Arial" w:eastAsia="宋体" w:cs="Arial"/>
                <w:sz w:val="21"/>
                <w:szCs w:val="21"/>
              </w:rPr>
            </w:pPr>
          </w:p>
        </w:tc>
        <w:tc>
          <w:tcPr>
            <w:tcW w:w="1436" w:type="pct"/>
            <w:vMerge w:val="continue"/>
            <w:shd w:val="clear" w:color="auto" w:fill="auto"/>
            <w:vAlign w:val="center"/>
          </w:tcPr>
          <w:p w14:paraId="1DA28C66">
            <w:pPr>
              <w:adjustRightInd w:val="0"/>
              <w:snapToGrid w:val="0"/>
              <w:spacing w:line="240" w:lineRule="exact"/>
              <w:jc w:val="center"/>
              <w:rPr>
                <w:rFonts w:ascii="Arial" w:hAnsi="Arial" w:eastAsia="宋体" w:cs="Arial"/>
                <w:sz w:val="21"/>
                <w:szCs w:val="21"/>
              </w:rPr>
            </w:pPr>
          </w:p>
        </w:tc>
      </w:tr>
      <w:tr w14:paraId="003A6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restart"/>
            <w:shd w:val="clear" w:color="auto" w:fill="auto"/>
            <w:vAlign w:val="center"/>
          </w:tcPr>
          <w:p w14:paraId="5A5B7547">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01AF0A53">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332BCA5A">
            <w:pPr>
              <w:adjustRightInd w:val="0"/>
              <w:snapToGrid w:val="0"/>
              <w:spacing w:line="240" w:lineRule="exact"/>
              <w:jc w:val="center"/>
              <w:rPr>
                <w:rFonts w:ascii="Arial" w:hAnsi="Arial" w:eastAsia="宋体" w:cs="Arial"/>
                <w:sz w:val="21"/>
                <w:szCs w:val="21"/>
              </w:rPr>
            </w:pPr>
          </w:p>
        </w:tc>
        <w:tc>
          <w:tcPr>
            <w:tcW w:w="521" w:type="pct"/>
            <w:vMerge w:val="restart"/>
            <w:shd w:val="clear" w:color="auto" w:fill="auto"/>
            <w:vAlign w:val="center"/>
          </w:tcPr>
          <w:p w14:paraId="31FE9B04">
            <w:pPr>
              <w:adjustRightInd w:val="0"/>
              <w:snapToGrid w:val="0"/>
              <w:spacing w:line="240" w:lineRule="exact"/>
              <w:jc w:val="center"/>
              <w:rPr>
                <w:rFonts w:ascii="Arial" w:hAnsi="Arial" w:eastAsia="宋体" w:cs="Arial"/>
                <w:sz w:val="21"/>
                <w:szCs w:val="21"/>
              </w:rPr>
            </w:pPr>
          </w:p>
        </w:tc>
        <w:tc>
          <w:tcPr>
            <w:tcW w:w="1099" w:type="pct"/>
            <w:vMerge w:val="continue"/>
            <w:shd w:val="clear" w:color="auto" w:fill="auto"/>
            <w:vAlign w:val="center"/>
          </w:tcPr>
          <w:p w14:paraId="0F8DBB67">
            <w:pPr>
              <w:adjustRightInd w:val="0"/>
              <w:snapToGrid w:val="0"/>
              <w:spacing w:line="240" w:lineRule="exact"/>
              <w:jc w:val="center"/>
              <w:rPr>
                <w:rFonts w:ascii="Arial" w:hAnsi="Arial" w:eastAsia="宋体" w:cs="Arial"/>
                <w:sz w:val="21"/>
                <w:szCs w:val="21"/>
              </w:rPr>
            </w:pPr>
          </w:p>
        </w:tc>
        <w:tc>
          <w:tcPr>
            <w:tcW w:w="1436" w:type="pct"/>
            <w:vMerge w:val="continue"/>
            <w:shd w:val="clear" w:color="auto" w:fill="auto"/>
            <w:vAlign w:val="center"/>
          </w:tcPr>
          <w:p w14:paraId="4B5B14D1">
            <w:pPr>
              <w:adjustRightInd w:val="0"/>
              <w:snapToGrid w:val="0"/>
              <w:spacing w:line="240" w:lineRule="exact"/>
              <w:jc w:val="center"/>
              <w:rPr>
                <w:rFonts w:ascii="Arial" w:hAnsi="Arial" w:eastAsia="宋体" w:cs="Arial"/>
                <w:sz w:val="21"/>
                <w:szCs w:val="21"/>
              </w:rPr>
            </w:pPr>
          </w:p>
        </w:tc>
      </w:tr>
      <w:tr w14:paraId="40AED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continue"/>
            <w:shd w:val="clear" w:color="auto" w:fill="auto"/>
            <w:vAlign w:val="center"/>
          </w:tcPr>
          <w:p w14:paraId="5C20CC69">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714EB4FB">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7381EB6E">
            <w:pPr>
              <w:autoSpaceDE w:val="0"/>
              <w:autoSpaceDN w:val="0"/>
              <w:spacing w:line="240" w:lineRule="exact"/>
              <w:ind w:left="164" w:right="163"/>
              <w:jc w:val="center"/>
              <w:rPr>
                <w:rFonts w:ascii="Arial" w:hAnsi="Arial" w:eastAsia="宋体" w:cs="Arial"/>
                <w:kern w:val="0"/>
                <w:sz w:val="21"/>
                <w:szCs w:val="21"/>
                <w:lang w:eastAsia="en-US"/>
              </w:rPr>
            </w:pPr>
          </w:p>
        </w:tc>
        <w:tc>
          <w:tcPr>
            <w:tcW w:w="521" w:type="pct"/>
            <w:vMerge w:val="continue"/>
            <w:shd w:val="clear" w:color="auto" w:fill="auto"/>
            <w:vAlign w:val="center"/>
          </w:tcPr>
          <w:p w14:paraId="5A31CAAE">
            <w:pPr>
              <w:autoSpaceDE w:val="0"/>
              <w:autoSpaceDN w:val="0"/>
              <w:spacing w:line="240" w:lineRule="exact"/>
              <w:ind w:left="164" w:right="163"/>
              <w:jc w:val="center"/>
              <w:rPr>
                <w:rFonts w:ascii="Arial" w:hAnsi="Arial" w:eastAsia="宋体" w:cs="Arial"/>
                <w:kern w:val="0"/>
                <w:sz w:val="21"/>
                <w:szCs w:val="21"/>
                <w:lang w:eastAsia="en-US"/>
              </w:rPr>
            </w:pPr>
          </w:p>
        </w:tc>
        <w:tc>
          <w:tcPr>
            <w:tcW w:w="1099" w:type="pct"/>
            <w:vMerge w:val="continue"/>
            <w:shd w:val="clear" w:color="auto" w:fill="auto"/>
            <w:vAlign w:val="center"/>
          </w:tcPr>
          <w:p w14:paraId="43394875">
            <w:pPr>
              <w:adjustRightInd w:val="0"/>
              <w:snapToGrid w:val="0"/>
              <w:spacing w:line="240" w:lineRule="exact"/>
              <w:jc w:val="center"/>
              <w:rPr>
                <w:rFonts w:ascii="Arial" w:hAnsi="Arial" w:eastAsia="宋体" w:cs="Arial"/>
                <w:sz w:val="21"/>
                <w:szCs w:val="21"/>
              </w:rPr>
            </w:pPr>
          </w:p>
        </w:tc>
        <w:tc>
          <w:tcPr>
            <w:tcW w:w="1436" w:type="pct"/>
            <w:vMerge w:val="continue"/>
            <w:shd w:val="clear" w:color="auto" w:fill="auto"/>
            <w:vAlign w:val="center"/>
          </w:tcPr>
          <w:p w14:paraId="079D82C7">
            <w:pPr>
              <w:adjustRightInd w:val="0"/>
              <w:snapToGrid w:val="0"/>
              <w:spacing w:line="240" w:lineRule="exact"/>
              <w:jc w:val="center"/>
              <w:rPr>
                <w:rFonts w:ascii="Arial" w:hAnsi="Arial" w:eastAsia="宋体" w:cs="Arial"/>
                <w:sz w:val="21"/>
                <w:szCs w:val="21"/>
              </w:rPr>
            </w:pPr>
          </w:p>
        </w:tc>
      </w:tr>
      <w:tr w14:paraId="48CA5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continue"/>
            <w:shd w:val="clear" w:color="auto" w:fill="auto"/>
            <w:vAlign w:val="center"/>
          </w:tcPr>
          <w:p w14:paraId="0D895D04">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69C20AD6">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5426B046">
            <w:pPr>
              <w:autoSpaceDE w:val="0"/>
              <w:autoSpaceDN w:val="0"/>
              <w:spacing w:line="240" w:lineRule="exact"/>
              <w:ind w:left="163" w:right="163"/>
              <w:jc w:val="center"/>
              <w:rPr>
                <w:rFonts w:ascii="Arial" w:hAnsi="Arial" w:eastAsia="宋体" w:cs="Arial"/>
                <w:kern w:val="0"/>
                <w:sz w:val="21"/>
                <w:szCs w:val="21"/>
                <w:lang w:eastAsia="en-US"/>
              </w:rPr>
            </w:pPr>
          </w:p>
        </w:tc>
        <w:tc>
          <w:tcPr>
            <w:tcW w:w="521" w:type="pct"/>
            <w:vMerge w:val="continue"/>
            <w:shd w:val="clear" w:color="auto" w:fill="auto"/>
            <w:vAlign w:val="center"/>
          </w:tcPr>
          <w:p w14:paraId="6B4542EC">
            <w:pPr>
              <w:autoSpaceDE w:val="0"/>
              <w:autoSpaceDN w:val="0"/>
              <w:spacing w:line="240" w:lineRule="exact"/>
              <w:ind w:left="163" w:right="163"/>
              <w:jc w:val="center"/>
              <w:rPr>
                <w:rFonts w:ascii="Arial" w:hAnsi="Arial" w:eastAsia="宋体" w:cs="Arial"/>
                <w:kern w:val="0"/>
                <w:sz w:val="21"/>
                <w:szCs w:val="21"/>
                <w:lang w:eastAsia="en-US"/>
              </w:rPr>
            </w:pPr>
          </w:p>
        </w:tc>
        <w:tc>
          <w:tcPr>
            <w:tcW w:w="1099" w:type="pct"/>
            <w:vMerge w:val="restart"/>
            <w:shd w:val="clear" w:color="auto" w:fill="auto"/>
            <w:vAlign w:val="center"/>
          </w:tcPr>
          <w:p w14:paraId="5B253B3D">
            <w:pPr>
              <w:adjustRightInd w:val="0"/>
              <w:snapToGrid w:val="0"/>
              <w:spacing w:line="240" w:lineRule="exact"/>
              <w:jc w:val="center"/>
              <w:rPr>
                <w:rFonts w:ascii="Arial" w:hAnsi="Arial" w:eastAsia="宋体" w:cs="Arial"/>
                <w:sz w:val="21"/>
                <w:szCs w:val="21"/>
              </w:rPr>
            </w:pPr>
          </w:p>
        </w:tc>
        <w:tc>
          <w:tcPr>
            <w:tcW w:w="1436" w:type="pct"/>
            <w:vMerge w:val="continue"/>
            <w:shd w:val="clear" w:color="auto" w:fill="auto"/>
            <w:vAlign w:val="center"/>
          </w:tcPr>
          <w:p w14:paraId="3E5E7564">
            <w:pPr>
              <w:adjustRightInd w:val="0"/>
              <w:snapToGrid w:val="0"/>
              <w:spacing w:line="240" w:lineRule="exact"/>
              <w:jc w:val="center"/>
              <w:rPr>
                <w:rFonts w:ascii="Arial" w:hAnsi="Arial" w:eastAsia="宋体" w:cs="Arial"/>
                <w:sz w:val="21"/>
                <w:szCs w:val="21"/>
              </w:rPr>
            </w:pPr>
          </w:p>
        </w:tc>
      </w:tr>
      <w:tr w14:paraId="6109D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vMerge w:val="continue"/>
            <w:shd w:val="clear" w:color="auto" w:fill="auto"/>
            <w:vAlign w:val="center"/>
          </w:tcPr>
          <w:p w14:paraId="163F75A2">
            <w:pPr>
              <w:adjustRightInd w:val="0"/>
              <w:snapToGrid w:val="0"/>
              <w:spacing w:line="240" w:lineRule="exact"/>
              <w:jc w:val="center"/>
              <w:rPr>
                <w:rFonts w:ascii="Arial" w:hAnsi="Arial" w:eastAsia="宋体" w:cs="Arial"/>
                <w:sz w:val="21"/>
                <w:szCs w:val="21"/>
              </w:rPr>
            </w:pPr>
          </w:p>
        </w:tc>
        <w:tc>
          <w:tcPr>
            <w:tcW w:w="552" w:type="pct"/>
            <w:shd w:val="clear" w:color="auto" w:fill="auto"/>
            <w:vAlign w:val="center"/>
          </w:tcPr>
          <w:p w14:paraId="1B907350">
            <w:pPr>
              <w:adjustRightInd w:val="0"/>
              <w:snapToGrid w:val="0"/>
              <w:spacing w:line="240" w:lineRule="exact"/>
              <w:jc w:val="center"/>
              <w:rPr>
                <w:rFonts w:ascii="Arial" w:hAnsi="Arial" w:eastAsia="宋体" w:cs="Arial"/>
                <w:sz w:val="21"/>
                <w:szCs w:val="21"/>
              </w:rPr>
            </w:pPr>
          </w:p>
        </w:tc>
        <w:tc>
          <w:tcPr>
            <w:tcW w:w="949" w:type="pct"/>
            <w:shd w:val="clear" w:color="auto" w:fill="auto"/>
            <w:vAlign w:val="center"/>
          </w:tcPr>
          <w:p w14:paraId="0FA48507">
            <w:pPr>
              <w:autoSpaceDE w:val="0"/>
              <w:autoSpaceDN w:val="0"/>
              <w:spacing w:line="240" w:lineRule="exact"/>
              <w:ind w:left="165" w:right="163"/>
              <w:jc w:val="center"/>
              <w:rPr>
                <w:rFonts w:ascii="Arial" w:hAnsi="Arial" w:eastAsia="宋体" w:cs="Arial"/>
                <w:kern w:val="0"/>
                <w:sz w:val="21"/>
                <w:szCs w:val="21"/>
                <w:lang w:eastAsia="en-US"/>
              </w:rPr>
            </w:pPr>
          </w:p>
        </w:tc>
        <w:tc>
          <w:tcPr>
            <w:tcW w:w="521" w:type="pct"/>
            <w:vMerge w:val="continue"/>
            <w:shd w:val="clear" w:color="auto" w:fill="auto"/>
            <w:vAlign w:val="center"/>
          </w:tcPr>
          <w:p w14:paraId="35902387">
            <w:pPr>
              <w:autoSpaceDE w:val="0"/>
              <w:autoSpaceDN w:val="0"/>
              <w:spacing w:line="240" w:lineRule="exact"/>
              <w:ind w:left="165" w:right="163"/>
              <w:jc w:val="center"/>
              <w:rPr>
                <w:rFonts w:ascii="Arial" w:hAnsi="Arial" w:eastAsia="宋体" w:cs="Arial"/>
                <w:kern w:val="0"/>
                <w:sz w:val="21"/>
                <w:szCs w:val="21"/>
                <w:lang w:eastAsia="en-US"/>
              </w:rPr>
            </w:pPr>
          </w:p>
        </w:tc>
        <w:tc>
          <w:tcPr>
            <w:tcW w:w="1099" w:type="pct"/>
            <w:vMerge w:val="continue"/>
            <w:shd w:val="clear" w:color="auto" w:fill="auto"/>
            <w:vAlign w:val="center"/>
          </w:tcPr>
          <w:p w14:paraId="75AFBE8B">
            <w:pPr>
              <w:adjustRightInd w:val="0"/>
              <w:snapToGrid w:val="0"/>
              <w:spacing w:line="240" w:lineRule="exact"/>
              <w:jc w:val="center"/>
              <w:rPr>
                <w:rFonts w:ascii="Arial" w:hAnsi="Arial" w:eastAsia="宋体" w:cs="Arial"/>
                <w:sz w:val="21"/>
                <w:szCs w:val="21"/>
              </w:rPr>
            </w:pPr>
          </w:p>
        </w:tc>
        <w:tc>
          <w:tcPr>
            <w:tcW w:w="1436" w:type="pct"/>
            <w:vMerge w:val="continue"/>
            <w:shd w:val="clear" w:color="auto" w:fill="auto"/>
            <w:vAlign w:val="center"/>
          </w:tcPr>
          <w:p w14:paraId="722DC5CA">
            <w:pPr>
              <w:adjustRightInd w:val="0"/>
              <w:snapToGrid w:val="0"/>
              <w:spacing w:line="240" w:lineRule="exact"/>
              <w:jc w:val="center"/>
              <w:rPr>
                <w:rFonts w:ascii="Arial" w:hAnsi="Arial" w:eastAsia="宋体" w:cs="Arial"/>
                <w:sz w:val="21"/>
                <w:szCs w:val="21"/>
              </w:rPr>
            </w:pPr>
          </w:p>
        </w:tc>
      </w:tr>
    </w:tbl>
    <w:p w14:paraId="521B02FF">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监测结果见表3-</w:t>
      </w:r>
      <w:r>
        <w:rPr>
          <w:rFonts w:hint="eastAsia" w:ascii="Arial" w:hAnsi="Arial" w:eastAsia="宋体" w:cs="Arial"/>
          <w:spacing w:val="10"/>
          <w:kern w:val="0"/>
          <w:sz w:val="24"/>
        </w:rPr>
        <w:t>20</w:t>
      </w:r>
      <w:r>
        <w:rPr>
          <w:rFonts w:ascii="Arial" w:hAnsi="Arial" w:eastAsia="宋体" w:cs="Arial"/>
          <w:spacing w:val="10"/>
          <w:kern w:val="0"/>
          <w:sz w:val="24"/>
        </w:rPr>
        <w:t>~表3-</w:t>
      </w:r>
      <w:r>
        <w:rPr>
          <w:rFonts w:hint="eastAsia" w:ascii="Arial" w:hAnsi="Arial" w:eastAsia="宋体" w:cs="Arial"/>
          <w:spacing w:val="10"/>
          <w:kern w:val="0"/>
          <w:sz w:val="24"/>
        </w:rPr>
        <w:t>26</w:t>
      </w:r>
      <w:r>
        <w:rPr>
          <w:rFonts w:ascii="Arial" w:hAnsi="Arial" w:eastAsia="宋体" w:cs="Arial"/>
          <w:spacing w:val="10"/>
          <w:kern w:val="0"/>
          <w:sz w:val="24"/>
        </w:rPr>
        <w:t>。</w:t>
      </w:r>
    </w:p>
    <w:p w14:paraId="714ED064">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T1羟基钴车间旁土壤现状监测结果   单位：mg/kg（pH除外）</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3"/>
        <w:gridCol w:w="1595"/>
        <w:gridCol w:w="1631"/>
        <w:gridCol w:w="1630"/>
        <w:gridCol w:w="1182"/>
        <w:gridCol w:w="1182"/>
      </w:tblGrid>
      <w:tr w14:paraId="020F3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6" w:type="pct"/>
            <w:vMerge w:val="restart"/>
            <w:vAlign w:val="center"/>
          </w:tcPr>
          <w:p w14:paraId="779D91C6">
            <w:pPr>
              <w:adjustRightInd w:val="0"/>
              <w:snapToGrid w:val="0"/>
              <w:jc w:val="center"/>
              <w:rPr>
                <w:rFonts w:ascii="Arial" w:hAnsi="Arial" w:eastAsia="宋体" w:cs="Arial"/>
                <w:kern w:val="0"/>
                <w:sz w:val="21"/>
                <w:szCs w:val="21"/>
              </w:rPr>
            </w:pPr>
          </w:p>
        </w:tc>
        <w:tc>
          <w:tcPr>
            <w:tcW w:w="2700" w:type="pct"/>
            <w:gridSpan w:val="3"/>
            <w:vAlign w:val="center"/>
          </w:tcPr>
          <w:p w14:paraId="72EE4619">
            <w:pPr>
              <w:adjustRightInd w:val="0"/>
              <w:snapToGrid w:val="0"/>
              <w:jc w:val="center"/>
              <w:rPr>
                <w:rFonts w:ascii="Arial" w:hAnsi="Arial" w:eastAsia="宋体" w:cs="Arial"/>
                <w:kern w:val="0"/>
                <w:sz w:val="21"/>
                <w:szCs w:val="21"/>
              </w:rPr>
            </w:pPr>
          </w:p>
        </w:tc>
        <w:tc>
          <w:tcPr>
            <w:tcW w:w="657" w:type="pct"/>
            <w:vMerge w:val="restart"/>
            <w:vAlign w:val="center"/>
          </w:tcPr>
          <w:p w14:paraId="3A041FF3">
            <w:pPr>
              <w:adjustRightInd w:val="0"/>
              <w:snapToGrid w:val="0"/>
              <w:jc w:val="center"/>
              <w:rPr>
                <w:rFonts w:ascii="Arial" w:hAnsi="Arial" w:eastAsia="宋体" w:cs="Arial"/>
                <w:kern w:val="0"/>
                <w:sz w:val="21"/>
                <w:szCs w:val="21"/>
              </w:rPr>
            </w:pPr>
          </w:p>
        </w:tc>
        <w:tc>
          <w:tcPr>
            <w:tcW w:w="657" w:type="pct"/>
            <w:vMerge w:val="restart"/>
            <w:vAlign w:val="center"/>
          </w:tcPr>
          <w:p w14:paraId="4B4A7249">
            <w:pPr>
              <w:adjustRightInd w:val="0"/>
              <w:snapToGrid w:val="0"/>
              <w:jc w:val="center"/>
              <w:rPr>
                <w:rFonts w:ascii="Arial" w:hAnsi="Arial" w:eastAsia="宋体" w:cs="Arial"/>
                <w:spacing w:val="10"/>
                <w:sz w:val="21"/>
                <w:szCs w:val="21"/>
              </w:rPr>
            </w:pPr>
          </w:p>
        </w:tc>
      </w:tr>
      <w:tr w14:paraId="4359C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6" w:type="pct"/>
            <w:vMerge w:val="continue"/>
            <w:vAlign w:val="center"/>
          </w:tcPr>
          <w:p w14:paraId="1E04CBD4">
            <w:pPr>
              <w:widowControl/>
              <w:adjustRightInd w:val="0"/>
              <w:snapToGrid w:val="0"/>
              <w:jc w:val="center"/>
              <w:rPr>
                <w:rFonts w:ascii="Arial" w:hAnsi="Arial" w:eastAsia="宋体" w:cs="Arial"/>
                <w:kern w:val="0"/>
                <w:sz w:val="21"/>
                <w:szCs w:val="21"/>
              </w:rPr>
            </w:pPr>
          </w:p>
        </w:tc>
        <w:tc>
          <w:tcPr>
            <w:tcW w:w="887" w:type="pct"/>
            <w:vAlign w:val="center"/>
          </w:tcPr>
          <w:p w14:paraId="390C36D2">
            <w:pPr>
              <w:adjustRightInd w:val="0"/>
              <w:snapToGrid w:val="0"/>
              <w:jc w:val="center"/>
              <w:rPr>
                <w:rFonts w:ascii="Arial" w:hAnsi="Arial" w:eastAsia="宋体" w:cs="Arial"/>
                <w:sz w:val="21"/>
                <w:szCs w:val="21"/>
              </w:rPr>
            </w:pPr>
          </w:p>
        </w:tc>
        <w:tc>
          <w:tcPr>
            <w:tcW w:w="907" w:type="pct"/>
            <w:vAlign w:val="center"/>
          </w:tcPr>
          <w:p w14:paraId="249FE69D">
            <w:pPr>
              <w:adjustRightInd w:val="0"/>
              <w:snapToGrid w:val="0"/>
              <w:jc w:val="center"/>
              <w:rPr>
                <w:rFonts w:ascii="Arial" w:hAnsi="Arial" w:eastAsia="宋体" w:cs="Arial"/>
                <w:sz w:val="21"/>
                <w:szCs w:val="21"/>
              </w:rPr>
            </w:pPr>
          </w:p>
        </w:tc>
        <w:tc>
          <w:tcPr>
            <w:tcW w:w="906" w:type="pct"/>
            <w:vAlign w:val="center"/>
          </w:tcPr>
          <w:p w14:paraId="255EE416">
            <w:pPr>
              <w:adjustRightInd w:val="0"/>
              <w:snapToGrid w:val="0"/>
              <w:jc w:val="center"/>
              <w:rPr>
                <w:rFonts w:ascii="Arial" w:hAnsi="Arial" w:eastAsia="宋体" w:cs="Arial"/>
                <w:kern w:val="0"/>
                <w:sz w:val="21"/>
                <w:szCs w:val="21"/>
              </w:rPr>
            </w:pPr>
          </w:p>
        </w:tc>
        <w:tc>
          <w:tcPr>
            <w:tcW w:w="657" w:type="pct"/>
            <w:vMerge w:val="continue"/>
            <w:vAlign w:val="center"/>
          </w:tcPr>
          <w:p w14:paraId="4460EBAB">
            <w:pPr>
              <w:widowControl/>
              <w:adjustRightInd w:val="0"/>
              <w:snapToGrid w:val="0"/>
              <w:jc w:val="center"/>
              <w:rPr>
                <w:rFonts w:ascii="Arial" w:hAnsi="Arial" w:eastAsia="宋体" w:cs="Arial"/>
                <w:kern w:val="0"/>
                <w:sz w:val="21"/>
                <w:szCs w:val="21"/>
              </w:rPr>
            </w:pPr>
          </w:p>
        </w:tc>
        <w:tc>
          <w:tcPr>
            <w:tcW w:w="657" w:type="pct"/>
            <w:vMerge w:val="continue"/>
            <w:vAlign w:val="center"/>
          </w:tcPr>
          <w:p w14:paraId="553DEA7E">
            <w:pPr>
              <w:widowControl/>
              <w:adjustRightInd w:val="0"/>
              <w:snapToGrid w:val="0"/>
              <w:jc w:val="center"/>
              <w:rPr>
                <w:rFonts w:ascii="Arial" w:hAnsi="Arial" w:eastAsia="宋体" w:cs="Arial"/>
                <w:kern w:val="0"/>
                <w:sz w:val="21"/>
                <w:szCs w:val="21"/>
              </w:rPr>
            </w:pPr>
          </w:p>
        </w:tc>
      </w:tr>
      <w:tr w14:paraId="356FD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6784E6F">
            <w:pPr>
              <w:adjustRightInd w:val="0"/>
              <w:snapToGrid w:val="0"/>
              <w:jc w:val="center"/>
              <w:rPr>
                <w:rFonts w:ascii="Arial" w:hAnsi="Arial" w:eastAsia="宋体" w:cs="Arial"/>
                <w:sz w:val="21"/>
                <w:szCs w:val="21"/>
              </w:rPr>
            </w:pPr>
          </w:p>
        </w:tc>
        <w:tc>
          <w:tcPr>
            <w:tcW w:w="887" w:type="pct"/>
            <w:vAlign w:val="center"/>
          </w:tcPr>
          <w:p w14:paraId="3065F7DA">
            <w:pPr>
              <w:adjustRightInd w:val="0"/>
              <w:snapToGrid w:val="0"/>
              <w:jc w:val="center"/>
              <w:rPr>
                <w:rFonts w:ascii="Arial" w:hAnsi="Arial" w:eastAsia="宋体" w:cs="Arial"/>
                <w:sz w:val="21"/>
                <w:szCs w:val="21"/>
              </w:rPr>
            </w:pPr>
          </w:p>
        </w:tc>
        <w:tc>
          <w:tcPr>
            <w:tcW w:w="907" w:type="pct"/>
            <w:vAlign w:val="center"/>
          </w:tcPr>
          <w:p w14:paraId="52E245E1">
            <w:pPr>
              <w:adjustRightInd w:val="0"/>
              <w:snapToGrid w:val="0"/>
              <w:jc w:val="center"/>
              <w:rPr>
                <w:rFonts w:ascii="Arial" w:hAnsi="Arial" w:eastAsia="宋体" w:cs="Arial"/>
                <w:sz w:val="21"/>
                <w:szCs w:val="21"/>
              </w:rPr>
            </w:pPr>
          </w:p>
        </w:tc>
        <w:tc>
          <w:tcPr>
            <w:tcW w:w="906" w:type="pct"/>
            <w:vAlign w:val="center"/>
          </w:tcPr>
          <w:p w14:paraId="4D9FA0DA">
            <w:pPr>
              <w:adjustRightInd w:val="0"/>
              <w:snapToGrid w:val="0"/>
              <w:jc w:val="center"/>
              <w:rPr>
                <w:rFonts w:ascii="Arial" w:hAnsi="Arial" w:eastAsia="宋体" w:cs="Arial"/>
                <w:sz w:val="21"/>
                <w:szCs w:val="21"/>
              </w:rPr>
            </w:pPr>
          </w:p>
        </w:tc>
        <w:tc>
          <w:tcPr>
            <w:tcW w:w="657" w:type="pct"/>
            <w:vAlign w:val="center"/>
          </w:tcPr>
          <w:p w14:paraId="7FEABC69">
            <w:pPr>
              <w:adjustRightInd w:val="0"/>
              <w:snapToGrid w:val="0"/>
              <w:jc w:val="center"/>
              <w:rPr>
                <w:rFonts w:ascii="Arial" w:hAnsi="Arial" w:eastAsia="宋体" w:cs="Arial"/>
                <w:sz w:val="21"/>
                <w:szCs w:val="21"/>
              </w:rPr>
            </w:pPr>
          </w:p>
        </w:tc>
        <w:tc>
          <w:tcPr>
            <w:tcW w:w="657" w:type="pct"/>
            <w:vAlign w:val="center"/>
          </w:tcPr>
          <w:p w14:paraId="6B4AF397">
            <w:pPr>
              <w:adjustRightInd w:val="0"/>
              <w:snapToGrid w:val="0"/>
              <w:jc w:val="center"/>
              <w:rPr>
                <w:rFonts w:ascii="Arial" w:hAnsi="Arial" w:eastAsia="宋体" w:cs="Arial"/>
                <w:sz w:val="21"/>
                <w:szCs w:val="21"/>
              </w:rPr>
            </w:pPr>
          </w:p>
        </w:tc>
      </w:tr>
      <w:tr w14:paraId="19E69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E23FBDC">
            <w:pPr>
              <w:adjustRightInd w:val="0"/>
              <w:snapToGrid w:val="0"/>
              <w:jc w:val="center"/>
              <w:rPr>
                <w:rFonts w:ascii="Arial" w:hAnsi="Arial" w:eastAsia="宋体" w:cs="Arial"/>
                <w:sz w:val="21"/>
                <w:szCs w:val="21"/>
              </w:rPr>
            </w:pPr>
          </w:p>
        </w:tc>
        <w:tc>
          <w:tcPr>
            <w:tcW w:w="887" w:type="pct"/>
            <w:vAlign w:val="center"/>
          </w:tcPr>
          <w:p w14:paraId="6581D8D2">
            <w:pPr>
              <w:adjustRightInd w:val="0"/>
              <w:snapToGrid w:val="0"/>
              <w:jc w:val="center"/>
              <w:rPr>
                <w:rFonts w:ascii="Arial" w:hAnsi="Arial" w:eastAsia="宋体" w:cs="Arial"/>
                <w:sz w:val="21"/>
                <w:szCs w:val="21"/>
              </w:rPr>
            </w:pPr>
          </w:p>
        </w:tc>
        <w:tc>
          <w:tcPr>
            <w:tcW w:w="907" w:type="pct"/>
            <w:vAlign w:val="center"/>
          </w:tcPr>
          <w:p w14:paraId="4167EF71">
            <w:pPr>
              <w:adjustRightInd w:val="0"/>
              <w:snapToGrid w:val="0"/>
              <w:jc w:val="center"/>
              <w:rPr>
                <w:rFonts w:ascii="Arial" w:hAnsi="Arial" w:eastAsia="宋体" w:cs="Arial"/>
                <w:sz w:val="21"/>
                <w:szCs w:val="21"/>
              </w:rPr>
            </w:pPr>
          </w:p>
        </w:tc>
        <w:tc>
          <w:tcPr>
            <w:tcW w:w="906" w:type="pct"/>
            <w:vAlign w:val="center"/>
          </w:tcPr>
          <w:p w14:paraId="4B59A541">
            <w:pPr>
              <w:adjustRightInd w:val="0"/>
              <w:snapToGrid w:val="0"/>
              <w:jc w:val="center"/>
              <w:rPr>
                <w:rFonts w:ascii="Arial" w:hAnsi="Arial" w:eastAsia="宋体" w:cs="Arial"/>
                <w:sz w:val="21"/>
                <w:szCs w:val="21"/>
              </w:rPr>
            </w:pPr>
          </w:p>
        </w:tc>
        <w:tc>
          <w:tcPr>
            <w:tcW w:w="657" w:type="pct"/>
            <w:vAlign w:val="center"/>
          </w:tcPr>
          <w:p w14:paraId="49259B56">
            <w:pPr>
              <w:adjustRightInd w:val="0"/>
              <w:snapToGrid w:val="0"/>
              <w:jc w:val="center"/>
              <w:rPr>
                <w:rFonts w:ascii="Arial" w:hAnsi="Arial" w:eastAsia="宋体" w:cs="Arial"/>
                <w:sz w:val="21"/>
                <w:szCs w:val="21"/>
              </w:rPr>
            </w:pPr>
          </w:p>
        </w:tc>
        <w:tc>
          <w:tcPr>
            <w:tcW w:w="657" w:type="pct"/>
            <w:vAlign w:val="center"/>
          </w:tcPr>
          <w:p w14:paraId="42C4FB39">
            <w:pPr>
              <w:adjustRightInd w:val="0"/>
              <w:snapToGrid w:val="0"/>
              <w:jc w:val="center"/>
              <w:rPr>
                <w:rFonts w:ascii="Arial" w:hAnsi="Arial" w:eastAsia="宋体" w:cs="Arial"/>
                <w:sz w:val="21"/>
                <w:szCs w:val="21"/>
              </w:rPr>
            </w:pPr>
          </w:p>
        </w:tc>
      </w:tr>
      <w:tr w14:paraId="02D01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D3E78F7">
            <w:pPr>
              <w:adjustRightInd w:val="0"/>
              <w:snapToGrid w:val="0"/>
              <w:jc w:val="center"/>
              <w:rPr>
                <w:rFonts w:ascii="Arial" w:hAnsi="Arial" w:eastAsia="宋体" w:cs="Arial"/>
                <w:sz w:val="21"/>
                <w:szCs w:val="21"/>
              </w:rPr>
            </w:pPr>
          </w:p>
        </w:tc>
        <w:tc>
          <w:tcPr>
            <w:tcW w:w="887" w:type="pct"/>
            <w:vAlign w:val="center"/>
          </w:tcPr>
          <w:p w14:paraId="20B36264">
            <w:pPr>
              <w:adjustRightInd w:val="0"/>
              <w:snapToGrid w:val="0"/>
              <w:jc w:val="center"/>
              <w:rPr>
                <w:rFonts w:ascii="Arial" w:hAnsi="Arial" w:eastAsia="宋体" w:cs="Arial"/>
                <w:sz w:val="21"/>
                <w:szCs w:val="21"/>
              </w:rPr>
            </w:pPr>
          </w:p>
        </w:tc>
        <w:tc>
          <w:tcPr>
            <w:tcW w:w="907" w:type="pct"/>
            <w:vAlign w:val="center"/>
          </w:tcPr>
          <w:p w14:paraId="1CD254D2">
            <w:pPr>
              <w:adjustRightInd w:val="0"/>
              <w:snapToGrid w:val="0"/>
              <w:jc w:val="center"/>
              <w:rPr>
                <w:rFonts w:ascii="Arial" w:hAnsi="Arial" w:eastAsia="宋体" w:cs="Arial"/>
                <w:sz w:val="21"/>
                <w:szCs w:val="21"/>
              </w:rPr>
            </w:pPr>
          </w:p>
        </w:tc>
        <w:tc>
          <w:tcPr>
            <w:tcW w:w="906" w:type="pct"/>
            <w:vAlign w:val="center"/>
          </w:tcPr>
          <w:p w14:paraId="4C0CC27F">
            <w:pPr>
              <w:adjustRightInd w:val="0"/>
              <w:snapToGrid w:val="0"/>
              <w:jc w:val="center"/>
              <w:rPr>
                <w:rFonts w:ascii="Arial" w:hAnsi="Arial" w:eastAsia="宋体" w:cs="Arial"/>
                <w:sz w:val="21"/>
                <w:szCs w:val="21"/>
              </w:rPr>
            </w:pPr>
          </w:p>
        </w:tc>
        <w:tc>
          <w:tcPr>
            <w:tcW w:w="657" w:type="pct"/>
            <w:vAlign w:val="center"/>
          </w:tcPr>
          <w:p w14:paraId="208E638C">
            <w:pPr>
              <w:adjustRightInd w:val="0"/>
              <w:snapToGrid w:val="0"/>
              <w:jc w:val="center"/>
              <w:rPr>
                <w:rFonts w:ascii="Arial" w:hAnsi="Arial" w:eastAsia="宋体" w:cs="Arial"/>
                <w:sz w:val="21"/>
                <w:szCs w:val="21"/>
              </w:rPr>
            </w:pPr>
          </w:p>
        </w:tc>
        <w:tc>
          <w:tcPr>
            <w:tcW w:w="657" w:type="pct"/>
            <w:vAlign w:val="center"/>
          </w:tcPr>
          <w:p w14:paraId="118DAA6F">
            <w:pPr>
              <w:adjustRightInd w:val="0"/>
              <w:snapToGrid w:val="0"/>
              <w:jc w:val="center"/>
              <w:rPr>
                <w:rFonts w:ascii="Arial" w:hAnsi="Arial" w:eastAsia="宋体" w:cs="Arial"/>
                <w:sz w:val="21"/>
                <w:szCs w:val="21"/>
              </w:rPr>
            </w:pPr>
          </w:p>
        </w:tc>
      </w:tr>
      <w:tr w14:paraId="790A5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4F9FBF7">
            <w:pPr>
              <w:adjustRightInd w:val="0"/>
              <w:snapToGrid w:val="0"/>
              <w:jc w:val="center"/>
              <w:rPr>
                <w:rFonts w:ascii="Arial" w:hAnsi="Arial" w:eastAsia="宋体" w:cs="Arial"/>
                <w:sz w:val="21"/>
                <w:szCs w:val="21"/>
              </w:rPr>
            </w:pPr>
          </w:p>
        </w:tc>
        <w:tc>
          <w:tcPr>
            <w:tcW w:w="887" w:type="pct"/>
            <w:vAlign w:val="center"/>
          </w:tcPr>
          <w:p w14:paraId="0543F413">
            <w:pPr>
              <w:adjustRightInd w:val="0"/>
              <w:snapToGrid w:val="0"/>
              <w:jc w:val="center"/>
              <w:rPr>
                <w:rFonts w:ascii="Arial" w:hAnsi="Arial" w:eastAsia="宋体" w:cs="Arial"/>
                <w:sz w:val="21"/>
                <w:szCs w:val="21"/>
              </w:rPr>
            </w:pPr>
          </w:p>
        </w:tc>
        <w:tc>
          <w:tcPr>
            <w:tcW w:w="907" w:type="pct"/>
            <w:vAlign w:val="center"/>
          </w:tcPr>
          <w:p w14:paraId="1AF72FFF">
            <w:pPr>
              <w:adjustRightInd w:val="0"/>
              <w:snapToGrid w:val="0"/>
              <w:jc w:val="center"/>
              <w:rPr>
                <w:rFonts w:ascii="Arial" w:hAnsi="Arial" w:eastAsia="宋体" w:cs="Arial"/>
                <w:sz w:val="21"/>
                <w:szCs w:val="21"/>
              </w:rPr>
            </w:pPr>
          </w:p>
        </w:tc>
        <w:tc>
          <w:tcPr>
            <w:tcW w:w="906" w:type="pct"/>
            <w:vAlign w:val="center"/>
          </w:tcPr>
          <w:p w14:paraId="17F90F93">
            <w:pPr>
              <w:adjustRightInd w:val="0"/>
              <w:snapToGrid w:val="0"/>
              <w:jc w:val="center"/>
              <w:rPr>
                <w:rFonts w:ascii="Arial" w:hAnsi="Arial" w:eastAsia="宋体" w:cs="Arial"/>
                <w:sz w:val="21"/>
                <w:szCs w:val="21"/>
              </w:rPr>
            </w:pPr>
          </w:p>
        </w:tc>
        <w:tc>
          <w:tcPr>
            <w:tcW w:w="657" w:type="pct"/>
            <w:vAlign w:val="center"/>
          </w:tcPr>
          <w:p w14:paraId="48D7475A">
            <w:pPr>
              <w:adjustRightInd w:val="0"/>
              <w:snapToGrid w:val="0"/>
              <w:jc w:val="center"/>
              <w:rPr>
                <w:rFonts w:ascii="Arial" w:hAnsi="Arial" w:eastAsia="宋体" w:cs="Arial"/>
                <w:sz w:val="21"/>
                <w:szCs w:val="21"/>
              </w:rPr>
            </w:pPr>
          </w:p>
        </w:tc>
        <w:tc>
          <w:tcPr>
            <w:tcW w:w="657" w:type="pct"/>
            <w:vAlign w:val="center"/>
          </w:tcPr>
          <w:p w14:paraId="05D93671">
            <w:pPr>
              <w:adjustRightInd w:val="0"/>
              <w:snapToGrid w:val="0"/>
              <w:jc w:val="center"/>
              <w:rPr>
                <w:rFonts w:ascii="Arial" w:hAnsi="Arial" w:eastAsia="宋体" w:cs="Arial"/>
                <w:sz w:val="21"/>
                <w:szCs w:val="21"/>
              </w:rPr>
            </w:pPr>
          </w:p>
        </w:tc>
      </w:tr>
      <w:tr w14:paraId="1CC3E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C066DF0">
            <w:pPr>
              <w:adjustRightInd w:val="0"/>
              <w:snapToGrid w:val="0"/>
              <w:jc w:val="center"/>
              <w:rPr>
                <w:rFonts w:ascii="Arial" w:hAnsi="Arial" w:eastAsia="宋体" w:cs="Arial"/>
                <w:sz w:val="21"/>
                <w:szCs w:val="21"/>
              </w:rPr>
            </w:pPr>
          </w:p>
        </w:tc>
        <w:tc>
          <w:tcPr>
            <w:tcW w:w="887" w:type="pct"/>
            <w:vAlign w:val="center"/>
          </w:tcPr>
          <w:p w14:paraId="3DB453D9">
            <w:pPr>
              <w:adjustRightInd w:val="0"/>
              <w:snapToGrid w:val="0"/>
              <w:jc w:val="center"/>
              <w:rPr>
                <w:rFonts w:ascii="Arial" w:hAnsi="Arial" w:eastAsia="宋体" w:cs="Arial"/>
                <w:sz w:val="21"/>
                <w:szCs w:val="21"/>
              </w:rPr>
            </w:pPr>
          </w:p>
        </w:tc>
        <w:tc>
          <w:tcPr>
            <w:tcW w:w="907" w:type="pct"/>
            <w:vAlign w:val="center"/>
          </w:tcPr>
          <w:p w14:paraId="4A01867F">
            <w:pPr>
              <w:adjustRightInd w:val="0"/>
              <w:snapToGrid w:val="0"/>
              <w:jc w:val="center"/>
              <w:rPr>
                <w:rFonts w:ascii="Arial" w:hAnsi="Arial" w:eastAsia="宋体" w:cs="Arial"/>
                <w:sz w:val="21"/>
                <w:szCs w:val="21"/>
              </w:rPr>
            </w:pPr>
          </w:p>
        </w:tc>
        <w:tc>
          <w:tcPr>
            <w:tcW w:w="906" w:type="pct"/>
            <w:vAlign w:val="center"/>
          </w:tcPr>
          <w:p w14:paraId="379187BC">
            <w:pPr>
              <w:adjustRightInd w:val="0"/>
              <w:snapToGrid w:val="0"/>
              <w:jc w:val="center"/>
              <w:rPr>
                <w:rFonts w:ascii="Arial" w:hAnsi="Arial" w:eastAsia="宋体" w:cs="Arial"/>
                <w:sz w:val="21"/>
                <w:szCs w:val="21"/>
              </w:rPr>
            </w:pPr>
          </w:p>
        </w:tc>
        <w:tc>
          <w:tcPr>
            <w:tcW w:w="657" w:type="pct"/>
            <w:vAlign w:val="center"/>
          </w:tcPr>
          <w:p w14:paraId="651109B7">
            <w:pPr>
              <w:adjustRightInd w:val="0"/>
              <w:snapToGrid w:val="0"/>
              <w:jc w:val="center"/>
              <w:rPr>
                <w:rFonts w:ascii="Arial" w:hAnsi="Arial" w:eastAsia="宋体" w:cs="Arial"/>
                <w:sz w:val="21"/>
                <w:szCs w:val="21"/>
              </w:rPr>
            </w:pPr>
          </w:p>
        </w:tc>
        <w:tc>
          <w:tcPr>
            <w:tcW w:w="657" w:type="pct"/>
            <w:vAlign w:val="center"/>
          </w:tcPr>
          <w:p w14:paraId="59AEAA30">
            <w:pPr>
              <w:adjustRightInd w:val="0"/>
              <w:snapToGrid w:val="0"/>
              <w:jc w:val="center"/>
              <w:rPr>
                <w:rFonts w:ascii="Arial" w:hAnsi="Arial" w:eastAsia="宋体" w:cs="Arial"/>
                <w:sz w:val="21"/>
                <w:szCs w:val="21"/>
              </w:rPr>
            </w:pPr>
          </w:p>
        </w:tc>
      </w:tr>
      <w:tr w14:paraId="1EF42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23BE536">
            <w:pPr>
              <w:adjustRightInd w:val="0"/>
              <w:snapToGrid w:val="0"/>
              <w:jc w:val="center"/>
              <w:rPr>
                <w:rFonts w:ascii="Arial" w:hAnsi="Arial" w:eastAsia="宋体" w:cs="Arial"/>
                <w:sz w:val="21"/>
                <w:szCs w:val="21"/>
              </w:rPr>
            </w:pPr>
          </w:p>
        </w:tc>
        <w:tc>
          <w:tcPr>
            <w:tcW w:w="887" w:type="pct"/>
            <w:vAlign w:val="center"/>
          </w:tcPr>
          <w:p w14:paraId="6ED517BD">
            <w:pPr>
              <w:adjustRightInd w:val="0"/>
              <w:snapToGrid w:val="0"/>
              <w:jc w:val="center"/>
              <w:rPr>
                <w:rFonts w:ascii="Arial" w:hAnsi="Arial" w:eastAsia="宋体" w:cs="Arial"/>
                <w:sz w:val="21"/>
                <w:szCs w:val="21"/>
              </w:rPr>
            </w:pPr>
          </w:p>
        </w:tc>
        <w:tc>
          <w:tcPr>
            <w:tcW w:w="907" w:type="pct"/>
            <w:vAlign w:val="center"/>
          </w:tcPr>
          <w:p w14:paraId="7FFCA6AA">
            <w:pPr>
              <w:adjustRightInd w:val="0"/>
              <w:snapToGrid w:val="0"/>
              <w:jc w:val="center"/>
              <w:rPr>
                <w:rFonts w:ascii="Arial" w:hAnsi="Arial" w:eastAsia="宋体" w:cs="Arial"/>
                <w:sz w:val="21"/>
                <w:szCs w:val="21"/>
              </w:rPr>
            </w:pPr>
          </w:p>
        </w:tc>
        <w:tc>
          <w:tcPr>
            <w:tcW w:w="906" w:type="pct"/>
            <w:vAlign w:val="center"/>
          </w:tcPr>
          <w:p w14:paraId="1A92D573">
            <w:pPr>
              <w:adjustRightInd w:val="0"/>
              <w:snapToGrid w:val="0"/>
              <w:jc w:val="center"/>
              <w:rPr>
                <w:rFonts w:ascii="Arial" w:hAnsi="Arial" w:eastAsia="宋体" w:cs="Arial"/>
                <w:sz w:val="21"/>
                <w:szCs w:val="21"/>
              </w:rPr>
            </w:pPr>
          </w:p>
        </w:tc>
        <w:tc>
          <w:tcPr>
            <w:tcW w:w="657" w:type="pct"/>
            <w:vAlign w:val="center"/>
          </w:tcPr>
          <w:p w14:paraId="0E1362D7">
            <w:pPr>
              <w:adjustRightInd w:val="0"/>
              <w:snapToGrid w:val="0"/>
              <w:jc w:val="center"/>
              <w:rPr>
                <w:rFonts w:ascii="Arial" w:hAnsi="Arial" w:eastAsia="宋体" w:cs="Arial"/>
                <w:sz w:val="21"/>
                <w:szCs w:val="21"/>
              </w:rPr>
            </w:pPr>
          </w:p>
        </w:tc>
        <w:tc>
          <w:tcPr>
            <w:tcW w:w="657" w:type="pct"/>
            <w:vAlign w:val="center"/>
          </w:tcPr>
          <w:p w14:paraId="18C37F37">
            <w:pPr>
              <w:adjustRightInd w:val="0"/>
              <w:snapToGrid w:val="0"/>
              <w:jc w:val="center"/>
              <w:rPr>
                <w:rFonts w:ascii="Arial" w:hAnsi="Arial" w:eastAsia="宋体" w:cs="Arial"/>
                <w:sz w:val="21"/>
                <w:szCs w:val="21"/>
              </w:rPr>
            </w:pPr>
          </w:p>
        </w:tc>
      </w:tr>
      <w:tr w14:paraId="5EAC3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6C14729">
            <w:pPr>
              <w:adjustRightInd w:val="0"/>
              <w:snapToGrid w:val="0"/>
              <w:jc w:val="center"/>
              <w:rPr>
                <w:rFonts w:ascii="Arial" w:hAnsi="Arial" w:eastAsia="宋体" w:cs="Arial"/>
                <w:sz w:val="21"/>
                <w:szCs w:val="21"/>
              </w:rPr>
            </w:pPr>
          </w:p>
        </w:tc>
        <w:tc>
          <w:tcPr>
            <w:tcW w:w="887" w:type="pct"/>
            <w:vAlign w:val="center"/>
          </w:tcPr>
          <w:p w14:paraId="0FD39E47">
            <w:pPr>
              <w:adjustRightInd w:val="0"/>
              <w:snapToGrid w:val="0"/>
              <w:jc w:val="center"/>
              <w:rPr>
                <w:rFonts w:ascii="Arial" w:hAnsi="Arial" w:eastAsia="宋体" w:cs="Arial"/>
                <w:sz w:val="21"/>
                <w:szCs w:val="21"/>
              </w:rPr>
            </w:pPr>
          </w:p>
        </w:tc>
        <w:tc>
          <w:tcPr>
            <w:tcW w:w="907" w:type="pct"/>
            <w:vAlign w:val="center"/>
          </w:tcPr>
          <w:p w14:paraId="446BCDFA">
            <w:pPr>
              <w:adjustRightInd w:val="0"/>
              <w:snapToGrid w:val="0"/>
              <w:jc w:val="center"/>
              <w:rPr>
                <w:rFonts w:ascii="Arial" w:hAnsi="Arial" w:eastAsia="宋体" w:cs="Arial"/>
                <w:sz w:val="21"/>
                <w:szCs w:val="21"/>
              </w:rPr>
            </w:pPr>
          </w:p>
        </w:tc>
        <w:tc>
          <w:tcPr>
            <w:tcW w:w="906" w:type="pct"/>
            <w:vAlign w:val="center"/>
          </w:tcPr>
          <w:p w14:paraId="76C9D4E5">
            <w:pPr>
              <w:adjustRightInd w:val="0"/>
              <w:snapToGrid w:val="0"/>
              <w:jc w:val="center"/>
              <w:rPr>
                <w:rFonts w:ascii="Arial" w:hAnsi="Arial" w:eastAsia="宋体" w:cs="Arial"/>
                <w:sz w:val="21"/>
                <w:szCs w:val="21"/>
              </w:rPr>
            </w:pPr>
          </w:p>
        </w:tc>
        <w:tc>
          <w:tcPr>
            <w:tcW w:w="657" w:type="pct"/>
            <w:vAlign w:val="center"/>
          </w:tcPr>
          <w:p w14:paraId="37F956AB">
            <w:pPr>
              <w:adjustRightInd w:val="0"/>
              <w:snapToGrid w:val="0"/>
              <w:jc w:val="center"/>
              <w:rPr>
                <w:rFonts w:ascii="Arial" w:hAnsi="Arial" w:eastAsia="宋体" w:cs="Arial"/>
                <w:sz w:val="21"/>
                <w:szCs w:val="21"/>
              </w:rPr>
            </w:pPr>
          </w:p>
        </w:tc>
        <w:tc>
          <w:tcPr>
            <w:tcW w:w="657" w:type="pct"/>
            <w:vAlign w:val="center"/>
          </w:tcPr>
          <w:p w14:paraId="737EB329">
            <w:pPr>
              <w:adjustRightInd w:val="0"/>
              <w:snapToGrid w:val="0"/>
              <w:jc w:val="center"/>
              <w:rPr>
                <w:rFonts w:ascii="Arial" w:hAnsi="Arial" w:eastAsia="宋体" w:cs="Arial"/>
                <w:sz w:val="21"/>
                <w:szCs w:val="21"/>
              </w:rPr>
            </w:pPr>
          </w:p>
        </w:tc>
      </w:tr>
      <w:tr w14:paraId="1CB66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F13222C">
            <w:pPr>
              <w:adjustRightInd w:val="0"/>
              <w:snapToGrid w:val="0"/>
              <w:jc w:val="center"/>
              <w:rPr>
                <w:rFonts w:ascii="Arial" w:hAnsi="Arial" w:eastAsia="宋体" w:cs="Arial"/>
                <w:sz w:val="21"/>
                <w:szCs w:val="21"/>
              </w:rPr>
            </w:pPr>
          </w:p>
        </w:tc>
        <w:tc>
          <w:tcPr>
            <w:tcW w:w="887" w:type="pct"/>
            <w:vAlign w:val="center"/>
          </w:tcPr>
          <w:p w14:paraId="6C12B62B">
            <w:pPr>
              <w:adjustRightInd w:val="0"/>
              <w:snapToGrid w:val="0"/>
              <w:jc w:val="center"/>
              <w:rPr>
                <w:rFonts w:ascii="Arial" w:hAnsi="Arial" w:eastAsia="宋体" w:cs="Arial"/>
                <w:sz w:val="21"/>
                <w:szCs w:val="21"/>
              </w:rPr>
            </w:pPr>
          </w:p>
        </w:tc>
        <w:tc>
          <w:tcPr>
            <w:tcW w:w="907" w:type="pct"/>
            <w:vAlign w:val="center"/>
          </w:tcPr>
          <w:p w14:paraId="24E374B4">
            <w:pPr>
              <w:adjustRightInd w:val="0"/>
              <w:snapToGrid w:val="0"/>
              <w:jc w:val="center"/>
              <w:rPr>
                <w:rFonts w:ascii="Arial" w:hAnsi="Arial" w:eastAsia="宋体" w:cs="Arial"/>
                <w:sz w:val="21"/>
                <w:szCs w:val="21"/>
              </w:rPr>
            </w:pPr>
          </w:p>
        </w:tc>
        <w:tc>
          <w:tcPr>
            <w:tcW w:w="906" w:type="pct"/>
            <w:vAlign w:val="center"/>
          </w:tcPr>
          <w:p w14:paraId="4500D237">
            <w:pPr>
              <w:adjustRightInd w:val="0"/>
              <w:snapToGrid w:val="0"/>
              <w:jc w:val="center"/>
              <w:rPr>
                <w:rFonts w:ascii="Arial" w:hAnsi="Arial" w:eastAsia="宋体" w:cs="Arial"/>
                <w:sz w:val="21"/>
                <w:szCs w:val="21"/>
              </w:rPr>
            </w:pPr>
          </w:p>
        </w:tc>
        <w:tc>
          <w:tcPr>
            <w:tcW w:w="657" w:type="pct"/>
            <w:vAlign w:val="center"/>
          </w:tcPr>
          <w:p w14:paraId="4B8D63FE">
            <w:pPr>
              <w:adjustRightInd w:val="0"/>
              <w:snapToGrid w:val="0"/>
              <w:jc w:val="center"/>
              <w:rPr>
                <w:rFonts w:ascii="Arial" w:hAnsi="Arial" w:eastAsia="宋体" w:cs="Arial"/>
                <w:sz w:val="21"/>
                <w:szCs w:val="21"/>
              </w:rPr>
            </w:pPr>
          </w:p>
        </w:tc>
        <w:tc>
          <w:tcPr>
            <w:tcW w:w="657" w:type="pct"/>
            <w:vAlign w:val="center"/>
          </w:tcPr>
          <w:p w14:paraId="0A41E337">
            <w:pPr>
              <w:adjustRightInd w:val="0"/>
              <w:snapToGrid w:val="0"/>
              <w:jc w:val="center"/>
              <w:rPr>
                <w:rFonts w:ascii="Arial" w:hAnsi="Arial" w:eastAsia="宋体" w:cs="Arial"/>
                <w:sz w:val="21"/>
                <w:szCs w:val="21"/>
              </w:rPr>
            </w:pPr>
          </w:p>
        </w:tc>
      </w:tr>
      <w:tr w14:paraId="67A7F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C174A96">
            <w:pPr>
              <w:adjustRightInd w:val="0"/>
              <w:snapToGrid w:val="0"/>
              <w:jc w:val="center"/>
              <w:rPr>
                <w:rFonts w:ascii="Arial" w:hAnsi="Arial" w:eastAsia="宋体" w:cs="Arial"/>
                <w:sz w:val="21"/>
                <w:szCs w:val="21"/>
              </w:rPr>
            </w:pPr>
          </w:p>
        </w:tc>
        <w:tc>
          <w:tcPr>
            <w:tcW w:w="887" w:type="pct"/>
            <w:vAlign w:val="center"/>
          </w:tcPr>
          <w:p w14:paraId="44950ED8">
            <w:pPr>
              <w:adjustRightInd w:val="0"/>
              <w:snapToGrid w:val="0"/>
              <w:jc w:val="center"/>
              <w:rPr>
                <w:rFonts w:ascii="Arial" w:hAnsi="Arial" w:eastAsia="宋体" w:cs="Arial"/>
                <w:sz w:val="21"/>
                <w:szCs w:val="21"/>
              </w:rPr>
            </w:pPr>
          </w:p>
        </w:tc>
        <w:tc>
          <w:tcPr>
            <w:tcW w:w="907" w:type="pct"/>
            <w:vAlign w:val="center"/>
          </w:tcPr>
          <w:p w14:paraId="256750B5">
            <w:pPr>
              <w:adjustRightInd w:val="0"/>
              <w:snapToGrid w:val="0"/>
              <w:jc w:val="center"/>
              <w:rPr>
                <w:rFonts w:ascii="Arial" w:hAnsi="Arial" w:eastAsia="宋体" w:cs="Arial"/>
                <w:sz w:val="21"/>
                <w:szCs w:val="21"/>
              </w:rPr>
            </w:pPr>
          </w:p>
        </w:tc>
        <w:tc>
          <w:tcPr>
            <w:tcW w:w="906" w:type="pct"/>
            <w:vAlign w:val="center"/>
          </w:tcPr>
          <w:p w14:paraId="078FFA3D">
            <w:pPr>
              <w:adjustRightInd w:val="0"/>
              <w:snapToGrid w:val="0"/>
              <w:jc w:val="center"/>
              <w:rPr>
                <w:rFonts w:ascii="Arial" w:hAnsi="Arial" w:eastAsia="宋体" w:cs="Arial"/>
                <w:sz w:val="21"/>
                <w:szCs w:val="21"/>
              </w:rPr>
            </w:pPr>
          </w:p>
        </w:tc>
        <w:tc>
          <w:tcPr>
            <w:tcW w:w="657" w:type="pct"/>
            <w:vAlign w:val="center"/>
          </w:tcPr>
          <w:p w14:paraId="397F9867">
            <w:pPr>
              <w:adjustRightInd w:val="0"/>
              <w:snapToGrid w:val="0"/>
              <w:jc w:val="center"/>
              <w:rPr>
                <w:rFonts w:ascii="Arial" w:hAnsi="Arial" w:eastAsia="宋体" w:cs="Arial"/>
                <w:sz w:val="21"/>
                <w:szCs w:val="21"/>
              </w:rPr>
            </w:pPr>
          </w:p>
        </w:tc>
        <w:tc>
          <w:tcPr>
            <w:tcW w:w="657" w:type="pct"/>
            <w:vAlign w:val="center"/>
          </w:tcPr>
          <w:p w14:paraId="6F0681A1">
            <w:pPr>
              <w:adjustRightInd w:val="0"/>
              <w:snapToGrid w:val="0"/>
              <w:jc w:val="center"/>
              <w:rPr>
                <w:rFonts w:ascii="Arial" w:hAnsi="Arial" w:eastAsia="宋体" w:cs="Arial"/>
                <w:sz w:val="21"/>
                <w:szCs w:val="21"/>
              </w:rPr>
            </w:pPr>
          </w:p>
        </w:tc>
      </w:tr>
      <w:tr w14:paraId="210BD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0FBD539">
            <w:pPr>
              <w:adjustRightInd w:val="0"/>
              <w:snapToGrid w:val="0"/>
              <w:jc w:val="center"/>
              <w:rPr>
                <w:rFonts w:ascii="Arial" w:hAnsi="Arial" w:eastAsia="宋体" w:cs="Arial"/>
                <w:sz w:val="21"/>
                <w:szCs w:val="21"/>
              </w:rPr>
            </w:pPr>
          </w:p>
        </w:tc>
        <w:tc>
          <w:tcPr>
            <w:tcW w:w="887" w:type="pct"/>
            <w:vAlign w:val="center"/>
          </w:tcPr>
          <w:p w14:paraId="482FC2C6">
            <w:pPr>
              <w:adjustRightInd w:val="0"/>
              <w:snapToGrid w:val="0"/>
              <w:jc w:val="center"/>
              <w:rPr>
                <w:rFonts w:ascii="Arial" w:hAnsi="Arial" w:cs="Arial" w:eastAsiaTheme="minorEastAsia"/>
                <w:sz w:val="21"/>
                <w:szCs w:val="21"/>
              </w:rPr>
            </w:pPr>
          </w:p>
        </w:tc>
        <w:tc>
          <w:tcPr>
            <w:tcW w:w="907" w:type="pct"/>
            <w:vAlign w:val="center"/>
          </w:tcPr>
          <w:p w14:paraId="6B500250">
            <w:pPr>
              <w:adjustRightInd w:val="0"/>
              <w:snapToGrid w:val="0"/>
              <w:jc w:val="center"/>
              <w:rPr>
                <w:rFonts w:ascii="Arial" w:hAnsi="Arial" w:cs="Arial" w:eastAsiaTheme="minorEastAsia"/>
                <w:sz w:val="21"/>
                <w:szCs w:val="21"/>
              </w:rPr>
            </w:pPr>
          </w:p>
        </w:tc>
        <w:tc>
          <w:tcPr>
            <w:tcW w:w="906" w:type="pct"/>
            <w:vAlign w:val="center"/>
          </w:tcPr>
          <w:p w14:paraId="7775B5D7">
            <w:pPr>
              <w:adjustRightInd w:val="0"/>
              <w:snapToGrid w:val="0"/>
              <w:jc w:val="center"/>
              <w:rPr>
                <w:rFonts w:ascii="Arial" w:hAnsi="Arial" w:cs="Arial" w:eastAsiaTheme="minorEastAsia"/>
                <w:sz w:val="21"/>
                <w:szCs w:val="21"/>
              </w:rPr>
            </w:pPr>
          </w:p>
        </w:tc>
        <w:tc>
          <w:tcPr>
            <w:tcW w:w="657" w:type="pct"/>
            <w:vAlign w:val="center"/>
          </w:tcPr>
          <w:p w14:paraId="79CDDFD4">
            <w:pPr>
              <w:adjustRightInd w:val="0"/>
              <w:snapToGrid w:val="0"/>
              <w:jc w:val="center"/>
              <w:rPr>
                <w:rFonts w:ascii="Arial" w:hAnsi="Arial" w:cs="Arial" w:eastAsiaTheme="minorEastAsia"/>
                <w:sz w:val="21"/>
                <w:szCs w:val="21"/>
              </w:rPr>
            </w:pPr>
          </w:p>
        </w:tc>
        <w:tc>
          <w:tcPr>
            <w:tcW w:w="657" w:type="pct"/>
            <w:vAlign w:val="center"/>
          </w:tcPr>
          <w:p w14:paraId="6A10C96A">
            <w:pPr>
              <w:adjustRightInd w:val="0"/>
              <w:snapToGrid w:val="0"/>
              <w:jc w:val="center"/>
              <w:rPr>
                <w:rFonts w:ascii="Arial" w:hAnsi="Arial" w:cs="Arial" w:eastAsiaTheme="minorEastAsia"/>
                <w:sz w:val="21"/>
                <w:szCs w:val="21"/>
              </w:rPr>
            </w:pPr>
          </w:p>
        </w:tc>
      </w:tr>
      <w:tr w14:paraId="7FDDF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F0496F6">
            <w:pPr>
              <w:adjustRightInd w:val="0"/>
              <w:snapToGrid w:val="0"/>
              <w:jc w:val="center"/>
              <w:rPr>
                <w:rFonts w:ascii="Arial" w:hAnsi="Arial" w:eastAsia="宋体" w:cs="Arial"/>
                <w:sz w:val="21"/>
                <w:szCs w:val="21"/>
              </w:rPr>
            </w:pPr>
          </w:p>
        </w:tc>
        <w:tc>
          <w:tcPr>
            <w:tcW w:w="887" w:type="pct"/>
            <w:vAlign w:val="center"/>
          </w:tcPr>
          <w:p w14:paraId="4E2051D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8F01286">
            <w:pPr>
              <w:adjustRightInd w:val="0"/>
              <w:snapToGrid w:val="0"/>
              <w:jc w:val="center"/>
              <w:rPr>
                <w:rFonts w:ascii="Arial" w:hAnsi="Arial" w:eastAsia="宋体" w:cs="Arial"/>
                <w:kern w:val="0"/>
                <w:sz w:val="21"/>
                <w:szCs w:val="21"/>
              </w:rPr>
            </w:pPr>
          </w:p>
        </w:tc>
        <w:tc>
          <w:tcPr>
            <w:tcW w:w="906" w:type="pct"/>
            <w:vAlign w:val="center"/>
          </w:tcPr>
          <w:p w14:paraId="3D0376B9">
            <w:pPr>
              <w:adjustRightInd w:val="0"/>
              <w:snapToGrid w:val="0"/>
              <w:jc w:val="center"/>
              <w:rPr>
                <w:rFonts w:ascii="Arial" w:hAnsi="Arial" w:eastAsia="宋体" w:cs="Arial"/>
                <w:kern w:val="0"/>
                <w:sz w:val="21"/>
                <w:szCs w:val="21"/>
              </w:rPr>
            </w:pPr>
          </w:p>
        </w:tc>
        <w:tc>
          <w:tcPr>
            <w:tcW w:w="657" w:type="pct"/>
            <w:vAlign w:val="center"/>
          </w:tcPr>
          <w:p w14:paraId="48EE5B18">
            <w:pPr>
              <w:adjustRightInd w:val="0"/>
              <w:snapToGrid w:val="0"/>
              <w:jc w:val="center"/>
              <w:rPr>
                <w:rFonts w:ascii="Arial" w:hAnsi="Arial" w:eastAsia="宋体" w:cs="Arial"/>
                <w:sz w:val="21"/>
                <w:szCs w:val="21"/>
              </w:rPr>
            </w:pPr>
          </w:p>
        </w:tc>
        <w:tc>
          <w:tcPr>
            <w:tcW w:w="657" w:type="pct"/>
            <w:vAlign w:val="center"/>
          </w:tcPr>
          <w:p w14:paraId="7B2970EC">
            <w:pPr>
              <w:adjustRightInd w:val="0"/>
              <w:snapToGrid w:val="0"/>
              <w:jc w:val="center"/>
              <w:rPr>
                <w:rFonts w:ascii="Arial" w:hAnsi="Arial" w:eastAsia="宋体" w:cs="Arial"/>
                <w:sz w:val="21"/>
                <w:szCs w:val="21"/>
              </w:rPr>
            </w:pPr>
          </w:p>
        </w:tc>
      </w:tr>
      <w:tr w14:paraId="63FA8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1B3056E">
            <w:pPr>
              <w:adjustRightInd w:val="0"/>
              <w:snapToGrid w:val="0"/>
              <w:jc w:val="center"/>
              <w:rPr>
                <w:rFonts w:ascii="Arial" w:hAnsi="Arial" w:eastAsia="宋体" w:cs="Arial"/>
                <w:sz w:val="21"/>
                <w:szCs w:val="21"/>
              </w:rPr>
            </w:pPr>
          </w:p>
        </w:tc>
        <w:tc>
          <w:tcPr>
            <w:tcW w:w="887" w:type="pct"/>
            <w:vAlign w:val="center"/>
          </w:tcPr>
          <w:p w14:paraId="4BE3EE7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23FB967">
            <w:pPr>
              <w:adjustRightInd w:val="0"/>
              <w:snapToGrid w:val="0"/>
              <w:jc w:val="center"/>
              <w:rPr>
                <w:rFonts w:ascii="Arial" w:hAnsi="Arial" w:eastAsia="宋体" w:cs="Arial"/>
                <w:kern w:val="0"/>
                <w:sz w:val="21"/>
                <w:szCs w:val="21"/>
              </w:rPr>
            </w:pPr>
          </w:p>
        </w:tc>
        <w:tc>
          <w:tcPr>
            <w:tcW w:w="906" w:type="pct"/>
            <w:vAlign w:val="center"/>
          </w:tcPr>
          <w:p w14:paraId="61B8660E">
            <w:pPr>
              <w:adjustRightInd w:val="0"/>
              <w:snapToGrid w:val="0"/>
              <w:jc w:val="center"/>
              <w:rPr>
                <w:rFonts w:ascii="Arial" w:hAnsi="Arial" w:eastAsia="宋体" w:cs="Arial"/>
                <w:kern w:val="0"/>
                <w:sz w:val="21"/>
                <w:szCs w:val="21"/>
              </w:rPr>
            </w:pPr>
          </w:p>
        </w:tc>
        <w:tc>
          <w:tcPr>
            <w:tcW w:w="657" w:type="pct"/>
            <w:vAlign w:val="center"/>
          </w:tcPr>
          <w:p w14:paraId="7A30056B">
            <w:pPr>
              <w:adjustRightInd w:val="0"/>
              <w:snapToGrid w:val="0"/>
              <w:jc w:val="center"/>
              <w:rPr>
                <w:rFonts w:ascii="Arial" w:hAnsi="Arial" w:eastAsia="宋体" w:cs="Arial"/>
                <w:sz w:val="21"/>
                <w:szCs w:val="21"/>
              </w:rPr>
            </w:pPr>
          </w:p>
        </w:tc>
        <w:tc>
          <w:tcPr>
            <w:tcW w:w="657" w:type="pct"/>
            <w:vAlign w:val="center"/>
          </w:tcPr>
          <w:p w14:paraId="1F4CE504">
            <w:pPr>
              <w:adjustRightInd w:val="0"/>
              <w:snapToGrid w:val="0"/>
              <w:jc w:val="center"/>
              <w:rPr>
                <w:rFonts w:ascii="Arial" w:hAnsi="Arial" w:eastAsia="宋体" w:cs="Arial"/>
                <w:sz w:val="21"/>
                <w:szCs w:val="21"/>
              </w:rPr>
            </w:pPr>
          </w:p>
        </w:tc>
      </w:tr>
      <w:tr w14:paraId="37E4B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D8410B4">
            <w:pPr>
              <w:adjustRightInd w:val="0"/>
              <w:snapToGrid w:val="0"/>
              <w:jc w:val="center"/>
              <w:rPr>
                <w:rFonts w:ascii="Arial" w:hAnsi="Arial" w:eastAsia="宋体" w:cs="Arial"/>
                <w:sz w:val="21"/>
                <w:szCs w:val="21"/>
              </w:rPr>
            </w:pPr>
          </w:p>
        </w:tc>
        <w:tc>
          <w:tcPr>
            <w:tcW w:w="887" w:type="pct"/>
            <w:vAlign w:val="center"/>
          </w:tcPr>
          <w:p w14:paraId="6E817D77">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8B72148">
            <w:pPr>
              <w:adjustRightInd w:val="0"/>
              <w:snapToGrid w:val="0"/>
              <w:jc w:val="center"/>
              <w:rPr>
                <w:rFonts w:ascii="Arial" w:hAnsi="Arial" w:eastAsia="宋体" w:cs="Arial"/>
                <w:kern w:val="0"/>
                <w:sz w:val="21"/>
                <w:szCs w:val="21"/>
              </w:rPr>
            </w:pPr>
          </w:p>
        </w:tc>
        <w:tc>
          <w:tcPr>
            <w:tcW w:w="906" w:type="pct"/>
            <w:vAlign w:val="center"/>
          </w:tcPr>
          <w:p w14:paraId="2484CC75">
            <w:pPr>
              <w:adjustRightInd w:val="0"/>
              <w:snapToGrid w:val="0"/>
              <w:jc w:val="center"/>
              <w:rPr>
                <w:rFonts w:ascii="Arial" w:hAnsi="Arial" w:eastAsia="宋体" w:cs="Arial"/>
                <w:kern w:val="0"/>
                <w:sz w:val="21"/>
                <w:szCs w:val="21"/>
              </w:rPr>
            </w:pPr>
          </w:p>
        </w:tc>
        <w:tc>
          <w:tcPr>
            <w:tcW w:w="657" w:type="pct"/>
            <w:vAlign w:val="center"/>
          </w:tcPr>
          <w:p w14:paraId="15A45D61">
            <w:pPr>
              <w:adjustRightInd w:val="0"/>
              <w:snapToGrid w:val="0"/>
              <w:jc w:val="center"/>
              <w:rPr>
                <w:rFonts w:ascii="Arial" w:hAnsi="Arial" w:eastAsia="宋体" w:cs="Arial"/>
                <w:sz w:val="21"/>
                <w:szCs w:val="21"/>
              </w:rPr>
            </w:pPr>
          </w:p>
        </w:tc>
        <w:tc>
          <w:tcPr>
            <w:tcW w:w="657" w:type="pct"/>
            <w:vAlign w:val="center"/>
          </w:tcPr>
          <w:p w14:paraId="5D9F008B">
            <w:pPr>
              <w:adjustRightInd w:val="0"/>
              <w:snapToGrid w:val="0"/>
              <w:jc w:val="center"/>
              <w:rPr>
                <w:rFonts w:ascii="Arial" w:hAnsi="Arial" w:eastAsia="宋体" w:cs="Arial"/>
                <w:sz w:val="21"/>
                <w:szCs w:val="21"/>
              </w:rPr>
            </w:pPr>
          </w:p>
        </w:tc>
      </w:tr>
      <w:tr w14:paraId="7EBB3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C769A1A">
            <w:pPr>
              <w:adjustRightInd w:val="0"/>
              <w:snapToGrid w:val="0"/>
              <w:jc w:val="center"/>
              <w:rPr>
                <w:rFonts w:ascii="Arial" w:hAnsi="Arial" w:eastAsia="宋体" w:cs="Arial"/>
                <w:sz w:val="21"/>
                <w:szCs w:val="21"/>
              </w:rPr>
            </w:pPr>
          </w:p>
        </w:tc>
        <w:tc>
          <w:tcPr>
            <w:tcW w:w="887" w:type="pct"/>
            <w:vAlign w:val="center"/>
          </w:tcPr>
          <w:p w14:paraId="4D02B22F">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B7A8DA3">
            <w:pPr>
              <w:adjustRightInd w:val="0"/>
              <w:snapToGrid w:val="0"/>
              <w:jc w:val="center"/>
              <w:rPr>
                <w:rFonts w:ascii="Arial" w:hAnsi="Arial" w:eastAsia="宋体" w:cs="Arial"/>
                <w:kern w:val="0"/>
                <w:sz w:val="21"/>
                <w:szCs w:val="21"/>
              </w:rPr>
            </w:pPr>
          </w:p>
        </w:tc>
        <w:tc>
          <w:tcPr>
            <w:tcW w:w="906" w:type="pct"/>
            <w:vAlign w:val="center"/>
          </w:tcPr>
          <w:p w14:paraId="27989AE1">
            <w:pPr>
              <w:adjustRightInd w:val="0"/>
              <w:snapToGrid w:val="0"/>
              <w:jc w:val="center"/>
              <w:rPr>
                <w:rFonts w:ascii="Arial" w:hAnsi="Arial" w:eastAsia="宋体" w:cs="Arial"/>
                <w:kern w:val="0"/>
                <w:sz w:val="21"/>
                <w:szCs w:val="21"/>
              </w:rPr>
            </w:pPr>
          </w:p>
        </w:tc>
        <w:tc>
          <w:tcPr>
            <w:tcW w:w="657" w:type="pct"/>
            <w:vAlign w:val="center"/>
          </w:tcPr>
          <w:p w14:paraId="247A7C89">
            <w:pPr>
              <w:adjustRightInd w:val="0"/>
              <w:snapToGrid w:val="0"/>
              <w:jc w:val="center"/>
              <w:rPr>
                <w:rFonts w:ascii="Arial" w:hAnsi="Arial" w:eastAsia="宋体" w:cs="Arial"/>
                <w:sz w:val="21"/>
                <w:szCs w:val="21"/>
              </w:rPr>
            </w:pPr>
          </w:p>
        </w:tc>
        <w:tc>
          <w:tcPr>
            <w:tcW w:w="657" w:type="pct"/>
            <w:vAlign w:val="center"/>
          </w:tcPr>
          <w:p w14:paraId="0A086299">
            <w:pPr>
              <w:adjustRightInd w:val="0"/>
              <w:snapToGrid w:val="0"/>
              <w:jc w:val="center"/>
              <w:rPr>
                <w:rFonts w:ascii="Arial" w:hAnsi="Arial" w:eastAsia="宋体" w:cs="Arial"/>
                <w:sz w:val="21"/>
                <w:szCs w:val="21"/>
              </w:rPr>
            </w:pPr>
          </w:p>
        </w:tc>
      </w:tr>
      <w:tr w14:paraId="7324B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053FA6E">
            <w:pPr>
              <w:adjustRightInd w:val="0"/>
              <w:snapToGrid w:val="0"/>
              <w:jc w:val="center"/>
              <w:rPr>
                <w:rFonts w:ascii="Arial" w:hAnsi="Arial" w:eastAsia="宋体" w:cs="Arial"/>
                <w:sz w:val="21"/>
                <w:szCs w:val="21"/>
              </w:rPr>
            </w:pPr>
          </w:p>
        </w:tc>
        <w:tc>
          <w:tcPr>
            <w:tcW w:w="887" w:type="pct"/>
            <w:vAlign w:val="center"/>
          </w:tcPr>
          <w:p w14:paraId="60BB31FD">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879A3A3">
            <w:pPr>
              <w:adjustRightInd w:val="0"/>
              <w:snapToGrid w:val="0"/>
              <w:jc w:val="center"/>
              <w:rPr>
                <w:rFonts w:ascii="Arial" w:hAnsi="Arial" w:eastAsia="宋体" w:cs="Arial"/>
                <w:kern w:val="0"/>
                <w:sz w:val="21"/>
                <w:szCs w:val="21"/>
              </w:rPr>
            </w:pPr>
          </w:p>
        </w:tc>
        <w:tc>
          <w:tcPr>
            <w:tcW w:w="906" w:type="pct"/>
            <w:vAlign w:val="center"/>
          </w:tcPr>
          <w:p w14:paraId="3D8746D5">
            <w:pPr>
              <w:adjustRightInd w:val="0"/>
              <w:snapToGrid w:val="0"/>
              <w:jc w:val="center"/>
              <w:rPr>
                <w:rFonts w:ascii="Arial" w:hAnsi="Arial" w:eastAsia="宋体" w:cs="Arial"/>
                <w:kern w:val="0"/>
                <w:sz w:val="21"/>
                <w:szCs w:val="21"/>
              </w:rPr>
            </w:pPr>
          </w:p>
        </w:tc>
        <w:tc>
          <w:tcPr>
            <w:tcW w:w="657" w:type="pct"/>
            <w:vAlign w:val="center"/>
          </w:tcPr>
          <w:p w14:paraId="09B53013">
            <w:pPr>
              <w:adjustRightInd w:val="0"/>
              <w:snapToGrid w:val="0"/>
              <w:jc w:val="center"/>
              <w:rPr>
                <w:rFonts w:ascii="Arial" w:hAnsi="Arial" w:eastAsia="宋体" w:cs="Arial"/>
                <w:sz w:val="21"/>
                <w:szCs w:val="21"/>
              </w:rPr>
            </w:pPr>
          </w:p>
        </w:tc>
        <w:tc>
          <w:tcPr>
            <w:tcW w:w="657" w:type="pct"/>
            <w:vAlign w:val="center"/>
          </w:tcPr>
          <w:p w14:paraId="07020273">
            <w:pPr>
              <w:adjustRightInd w:val="0"/>
              <w:snapToGrid w:val="0"/>
              <w:jc w:val="center"/>
              <w:rPr>
                <w:rFonts w:ascii="Arial" w:hAnsi="Arial" w:eastAsia="宋体" w:cs="Arial"/>
                <w:sz w:val="21"/>
                <w:szCs w:val="21"/>
              </w:rPr>
            </w:pPr>
          </w:p>
        </w:tc>
      </w:tr>
      <w:tr w14:paraId="46269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35DD32D">
            <w:pPr>
              <w:adjustRightInd w:val="0"/>
              <w:snapToGrid w:val="0"/>
              <w:jc w:val="center"/>
              <w:rPr>
                <w:rFonts w:ascii="Arial" w:hAnsi="Arial" w:eastAsia="宋体" w:cs="Arial"/>
                <w:sz w:val="21"/>
                <w:szCs w:val="21"/>
              </w:rPr>
            </w:pPr>
          </w:p>
        </w:tc>
        <w:tc>
          <w:tcPr>
            <w:tcW w:w="887" w:type="pct"/>
            <w:vAlign w:val="center"/>
          </w:tcPr>
          <w:p w14:paraId="217B5212">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3084586">
            <w:pPr>
              <w:adjustRightInd w:val="0"/>
              <w:snapToGrid w:val="0"/>
              <w:jc w:val="center"/>
              <w:rPr>
                <w:rFonts w:ascii="Arial" w:hAnsi="Arial" w:eastAsia="宋体" w:cs="Arial"/>
                <w:kern w:val="0"/>
                <w:sz w:val="21"/>
                <w:szCs w:val="21"/>
              </w:rPr>
            </w:pPr>
          </w:p>
        </w:tc>
        <w:tc>
          <w:tcPr>
            <w:tcW w:w="906" w:type="pct"/>
            <w:vAlign w:val="center"/>
          </w:tcPr>
          <w:p w14:paraId="3F5FD602">
            <w:pPr>
              <w:adjustRightInd w:val="0"/>
              <w:snapToGrid w:val="0"/>
              <w:jc w:val="center"/>
              <w:rPr>
                <w:rFonts w:ascii="Arial" w:hAnsi="Arial" w:eastAsia="宋体" w:cs="Arial"/>
                <w:kern w:val="0"/>
                <w:sz w:val="21"/>
                <w:szCs w:val="21"/>
              </w:rPr>
            </w:pPr>
          </w:p>
        </w:tc>
        <w:tc>
          <w:tcPr>
            <w:tcW w:w="657" w:type="pct"/>
            <w:vAlign w:val="center"/>
          </w:tcPr>
          <w:p w14:paraId="5AA1EAA2">
            <w:pPr>
              <w:adjustRightInd w:val="0"/>
              <w:snapToGrid w:val="0"/>
              <w:jc w:val="center"/>
              <w:rPr>
                <w:rFonts w:ascii="Arial" w:hAnsi="Arial" w:eastAsia="宋体" w:cs="Arial"/>
                <w:sz w:val="21"/>
                <w:szCs w:val="21"/>
              </w:rPr>
            </w:pPr>
          </w:p>
        </w:tc>
        <w:tc>
          <w:tcPr>
            <w:tcW w:w="657" w:type="pct"/>
            <w:vAlign w:val="center"/>
          </w:tcPr>
          <w:p w14:paraId="10B335E0">
            <w:pPr>
              <w:adjustRightInd w:val="0"/>
              <w:snapToGrid w:val="0"/>
              <w:jc w:val="center"/>
              <w:rPr>
                <w:rFonts w:ascii="Arial" w:hAnsi="Arial" w:eastAsia="宋体" w:cs="Arial"/>
                <w:sz w:val="21"/>
                <w:szCs w:val="21"/>
              </w:rPr>
            </w:pPr>
          </w:p>
        </w:tc>
      </w:tr>
      <w:tr w14:paraId="6F67B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0905ADB">
            <w:pPr>
              <w:adjustRightInd w:val="0"/>
              <w:snapToGrid w:val="0"/>
              <w:jc w:val="center"/>
              <w:rPr>
                <w:rFonts w:ascii="Arial" w:hAnsi="Arial" w:eastAsia="宋体" w:cs="Arial"/>
                <w:sz w:val="21"/>
                <w:szCs w:val="21"/>
              </w:rPr>
            </w:pPr>
          </w:p>
        </w:tc>
        <w:tc>
          <w:tcPr>
            <w:tcW w:w="887" w:type="pct"/>
            <w:vAlign w:val="center"/>
          </w:tcPr>
          <w:p w14:paraId="4CFA64F7">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D0036AA">
            <w:pPr>
              <w:adjustRightInd w:val="0"/>
              <w:snapToGrid w:val="0"/>
              <w:jc w:val="center"/>
              <w:rPr>
                <w:rFonts w:ascii="Arial" w:hAnsi="Arial" w:eastAsia="宋体" w:cs="Arial"/>
                <w:kern w:val="0"/>
                <w:sz w:val="21"/>
                <w:szCs w:val="21"/>
              </w:rPr>
            </w:pPr>
          </w:p>
        </w:tc>
        <w:tc>
          <w:tcPr>
            <w:tcW w:w="906" w:type="pct"/>
            <w:vAlign w:val="center"/>
          </w:tcPr>
          <w:p w14:paraId="4C3DF6EB">
            <w:pPr>
              <w:adjustRightInd w:val="0"/>
              <w:snapToGrid w:val="0"/>
              <w:jc w:val="center"/>
              <w:rPr>
                <w:rFonts w:ascii="Arial" w:hAnsi="Arial" w:eastAsia="宋体" w:cs="Arial"/>
                <w:kern w:val="0"/>
                <w:sz w:val="21"/>
                <w:szCs w:val="21"/>
              </w:rPr>
            </w:pPr>
          </w:p>
        </w:tc>
        <w:tc>
          <w:tcPr>
            <w:tcW w:w="657" w:type="pct"/>
            <w:vAlign w:val="center"/>
          </w:tcPr>
          <w:p w14:paraId="00366313">
            <w:pPr>
              <w:adjustRightInd w:val="0"/>
              <w:snapToGrid w:val="0"/>
              <w:jc w:val="center"/>
              <w:rPr>
                <w:rFonts w:ascii="Arial" w:hAnsi="Arial" w:eastAsia="宋体" w:cs="Arial"/>
                <w:sz w:val="21"/>
                <w:szCs w:val="21"/>
              </w:rPr>
            </w:pPr>
          </w:p>
        </w:tc>
        <w:tc>
          <w:tcPr>
            <w:tcW w:w="657" w:type="pct"/>
            <w:vAlign w:val="center"/>
          </w:tcPr>
          <w:p w14:paraId="4183913D">
            <w:pPr>
              <w:adjustRightInd w:val="0"/>
              <w:snapToGrid w:val="0"/>
              <w:jc w:val="center"/>
              <w:rPr>
                <w:rFonts w:ascii="Arial" w:hAnsi="Arial" w:eastAsia="宋体" w:cs="Arial"/>
                <w:sz w:val="21"/>
                <w:szCs w:val="21"/>
              </w:rPr>
            </w:pPr>
          </w:p>
        </w:tc>
      </w:tr>
      <w:tr w14:paraId="0672C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956E531">
            <w:pPr>
              <w:adjustRightInd w:val="0"/>
              <w:snapToGrid w:val="0"/>
              <w:jc w:val="center"/>
              <w:rPr>
                <w:rFonts w:ascii="Arial" w:hAnsi="Arial" w:eastAsia="宋体" w:cs="Arial"/>
                <w:sz w:val="21"/>
                <w:szCs w:val="21"/>
              </w:rPr>
            </w:pPr>
          </w:p>
        </w:tc>
        <w:tc>
          <w:tcPr>
            <w:tcW w:w="887" w:type="pct"/>
            <w:vAlign w:val="center"/>
          </w:tcPr>
          <w:p w14:paraId="15A3715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A3F65FA">
            <w:pPr>
              <w:adjustRightInd w:val="0"/>
              <w:snapToGrid w:val="0"/>
              <w:jc w:val="center"/>
              <w:rPr>
                <w:rFonts w:ascii="Arial" w:hAnsi="Arial" w:eastAsia="宋体" w:cs="Arial"/>
                <w:kern w:val="0"/>
                <w:sz w:val="21"/>
                <w:szCs w:val="21"/>
              </w:rPr>
            </w:pPr>
          </w:p>
        </w:tc>
        <w:tc>
          <w:tcPr>
            <w:tcW w:w="906" w:type="pct"/>
            <w:vAlign w:val="center"/>
          </w:tcPr>
          <w:p w14:paraId="2D380615">
            <w:pPr>
              <w:adjustRightInd w:val="0"/>
              <w:snapToGrid w:val="0"/>
              <w:jc w:val="center"/>
              <w:rPr>
                <w:rFonts w:ascii="Arial" w:hAnsi="Arial" w:eastAsia="宋体" w:cs="Arial"/>
                <w:kern w:val="0"/>
                <w:sz w:val="21"/>
                <w:szCs w:val="21"/>
              </w:rPr>
            </w:pPr>
          </w:p>
        </w:tc>
        <w:tc>
          <w:tcPr>
            <w:tcW w:w="657" w:type="pct"/>
            <w:vAlign w:val="center"/>
          </w:tcPr>
          <w:p w14:paraId="594E1A6F">
            <w:pPr>
              <w:adjustRightInd w:val="0"/>
              <w:snapToGrid w:val="0"/>
              <w:jc w:val="center"/>
              <w:rPr>
                <w:rFonts w:ascii="Arial" w:hAnsi="Arial" w:eastAsia="宋体" w:cs="Arial"/>
                <w:sz w:val="21"/>
                <w:szCs w:val="21"/>
              </w:rPr>
            </w:pPr>
          </w:p>
        </w:tc>
        <w:tc>
          <w:tcPr>
            <w:tcW w:w="657" w:type="pct"/>
            <w:vAlign w:val="center"/>
          </w:tcPr>
          <w:p w14:paraId="2459071E">
            <w:pPr>
              <w:adjustRightInd w:val="0"/>
              <w:snapToGrid w:val="0"/>
              <w:jc w:val="center"/>
              <w:rPr>
                <w:rFonts w:ascii="Arial" w:hAnsi="Arial" w:eastAsia="宋体" w:cs="Arial"/>
                <w:sz w:val="21"/>
                <w:szCs w:val="21"/>
              </w:rPr>
            </w:pPr>
          </w:p>
        </w:tc>
      </w:tr>
      <w:tr w14:paraId="6CFDB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C6A4B70">
            <w:pPr>
              <w:adjustRightInd w:val="0"/>
              <w:snapToGrid w:val="0"/>
              <w:jc w:val="center"/>
              <w:rPr>
                <w:rFonts w:ascii="Arial" w:hAnsi="Arial" w:eastAsia="宋体" w:cs="Arial"/>
                <w:sz w:val="21"/>
                <w:szCs w:val="21"/>
              </w:rPr>
            </w:pPr>
          </w:p>
        </w:tc>
        <w:tc>
          <w:tcPr>
            <w:tcW w:w="887" w:type="pct"/>
            <w:vAlign w:val="center"/>
          </w:tcPr>
          <w:p w14:paraId="14DD05F2">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E39CAEF">
            <w:pPr>
              <w:adjustRightInd w:val="0"/>
              <w:snapToGrid w:val="0"/>
              <w:jc w:val="center"/>
              <w:rPr>
                <w:rFonts w:ascii="Arial" w:hAnsi="Arial" w:eastAsia="宋体" w:cs="Arial"/>
                <w:kern w:val="0"/>
                <w:sz w:val="21"/>
                <w:szCs w:val="21"/>
              </w:rPr>
            </w:pPr>
          </w:p>
        </w:tc>
        <w:tc>
          <w:tcPr>
            <w:tcW w:w="906" w:type="pct"/>
            <w:vAlign w:val="center"/>
          </w:tcPr>
          <w:p w14:paraId="0A2B319B">
            <w:pPr>
              <w:adjustRightInd w:val="0"/>
              <w:snapToGrid w:val="0"/>
              <w:jc w:val="center"/>
              <w:rPr>
                <w:rFonts w:ascii="Arial" w:hAnsi="Arial" w:eastAsia="宋体" w:cs="Arial"/>
                <w:kern w:val="0"/>
                <w:sz w:val="21"/>
                <w:szCs w:val="21"/>
              </w:rPr>
            </w:pPr>
          </w:p>
        </w:tc>
        <w:tc>
          <w:tcPr>
            <w:tcW w:w="657" w:type="pct"/>
            <w:vAlign w:val="center"/>
          </w:tcPr>
          <w:p w14:paraId="361AC7AC">
            <w:pPr>
              <w:adjustRightInd w:val="0"/>
              <w:snapToGrid w:val="0"/>
              <w:jc w:val="center"/>
              <w:rPr>
                <w:rFonts w:ascii="Arial" w:hAnsi="Arial" w:eastAsia="宋体" w:cs="Arial"/>
                <w:sz w:val="21"/>
                <w:szCs w:val="21"/>
              </w:rPr>
            </w:pPr>
          </w:p>
        </w:tc>
        <w:tc>
          <w:tcPr>
            <w:tcW w:w="657" w:type="pct"/>
            <w:vAlign w:val="center"/>
          </w:tcPr>
          <w:p w14:paraId="3C6AEC73">
            <w:pPr>
              <w:adjustRightInd w:val="0"/>
              <w:snapToGrid w:val="0"/>
              <w:jc w:val="center"/>
              <w:rPr>
                <w:rFonts w:ascii="Arial" w:hAnsi="Arial" w:eastAsia="宋体" w:cs="Arial"/>
                <w:sz w:val="21"/>
                <w:szCs w:val="21"/>
              </w:rPr>
            </w:pPr>
          </w:p>
        </w:tc>
      </w:tr>
      <w:tr w14:paraId="6E234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D90CC66">
            <w:pPr>
              <w:adjustRightInd w:val="0"/>
              <w:snapToGrid w:val="0"/>
              <w:jc w:val="center"/>
              <w:rPr>
                <w:rFonts w:ascii="Arial" w:hAnsi="Arial" w:eastAsia="宋体" w:cs="Arial"/>
                <w:sz w:val="21"/>
                <w:szCs w:val="21"/>
              </w:rPr>
            </w:pPr>
          </w:p>
        </w:tc>
        <w:tc>
          <w:tcPr>
            <w:tcW w:w="887" w:type="pct"/>
            <w:vAlign w:val="center"/>
          </w:tcPr>
          <w:p w14:paraId="16FE5F4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79970FF">
            <w:pPr>
              <w:adjustRightInd w:val="0"/>
              <w:snapToGrid w:val="0"/>
              <w:jc w:val="center"/>
              <w:rPr>
                <w:rFonts w:ascii="Arial" w:hAnsi="Arial" w:eastAsia="宋体" w:cs="Arial"/>
                <w:kern w:val="0"/>
                <w:sz w:val="21"/>
                <w:szCs w:val="21"/>
              </w:rPr>
            </w:pPr>
          </w:p>
        </w:tc>
        <w:tc>
          <w:tcPr>
            <w:tcW w:w="906" w:type="pct"/>
            <w:vAlign w:val="center"/>
          </w:tcPr>
          <w:p w14:paraId="1490B072">
            <w:pPr>
              <w:adjustRightInd w:val="0"/>
              <w:snapToGrid w:val="0"/>
              <w:jc w:val="center"/>
              <w:rPr>
                <w:rFonts w:ascii="Arial" w:hAnsi="Arial" w:eastAsia="宋体" w:cs="Arial"/>
                <w:kern w:val="0"/>
                <w:sz w:val="21"/>
                <w:szCs w:val="21"/>
              </w:rPr>
            </w:pPr>
          </w:p>
        </w:tc>
        <w:tc>
          <w:tcPr>
            <w:tcW w:w="657" w:type="pct"/>
            <w:vAlign w:val="center"/>
          </w:tcPr>
          <w:p w14:paraId="0DCDB5AC">
            <w:pPr>
              <w:adjustRightInd w:val="0"/>
              <w:snapToGrid w:val="0"/>
              <w:jc w:val="center"/>
              <w:rPr>
                <w:rFonts w:ascii="Arial" w:hAnsi="Arial" w:eastAsia="宋体" w:cs="Arial"/>
                <w:sz w:val="21"/>
                <w:szCs w:val="21"/>
              </w:rPr>
            </w:pPr>
          </w:p>
        </w:tc>
        <w:tc>
          <w:tcPr>
            <w:tcW w:w="657" w:type="pct"/>
            <w:vAlign w:val="center"/>
          </w:tcPr>
          <w:p w14:paraId="27BF3A10">
            <w:pPr>
              <w:adjustRightInd w:val="0"/>
              <w:snapToGrid w:val="0"/>
              <w:jc w:val="center"/>
              <w:rPr>
                <w:rFonts w:ascii="Arial" w:hAnsi="Arial" w:eastAsia="宋体" w:cs="Arial"/>
                <w:sz w:val="21"/>
                <w:szCs w:val="21"/>
              </w:rPr>
            </w:pPr>
          </w:p>
        </w:tc>
      </w:tr>
      <w:tr w14:paraId="349FE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9BE7F55">
            <w:pPr>
              <w:adjustRightInd w:val="0"/>
              <w:snapToGrid w:val="0"/>
              <w:jc w:val="center"/>
              <w:rPr>
                <w:rFonts w:ascii="Arial" w:hAnsi="Arial" w:eastAsia="宋体" w:cs="Arial"/>
                <w:sz w:val="21"/>
                <w:szCs w:val="21"/>
              </w:rPr>
            </w:pPr>
          </w:p>
        </w:tc>
        <w:tc>
          <w:tcPr>
            <w:tcW w:w="887" w:type="pct"/>
            <w:vAlign w:val="center"/>
          </w:tcPr>
          <w:p w14:paraId="7C27D00B">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E6532FB">
            <w:pPr>
              <w:adjustRightInd w:val="0"/>
              <w:snapToGrid w:val="0"/>
              <w:jc w:val="center"/>
              <w:rPr>
                <w:rFonts w:ascii="Arial" w:hAnsi="Arial" w:eastAsia="宋体" w:cs="Arial"/>
                <w:kern w:val="0"/>
                <w:sz w:val="21"/>
                <w:szCs w:val="21"/>
              </w:rPr>
            </w:pPr>
          </w:p>
        </w:tc>
        <w:tc>
          <w:tcPr>
            <w:tcW w:w="906" w:type="pct"/>
            <w:vAlign w:val="center"/>
          </w:tcPr>
          <w:p w14:paraId="2B6179C3">
            <w:pPr>
              <w:adjustRightInd w:val="0"/>
              <w:snapToGrid w:val="0"/>
              <w:jc w:val="center"/>
              <w:rPr>
                <w:rFonts w:ascii="Arial" w:hAnsi="Arial" w:eastAsia="宋体" w:cs="Arial"/>
                <w:kern w:val="0"/>
                <w:sz w:val="21"/>
                <w:szCs w:val="21"/>
              </w:rPr>
            </w:pPr>
          </w:p>
        </w:tc>
        <w:tc>
          <w:tcPr>
            <w:tcW w:w="657" w:type="pct"/>
            <w:vAlign w:val="center"/>
          </w:tcPr>
          <w:p w14:paraId="5588F89E">
            <w:pPr>
              <w:adjustRightInd w:val="0"/>
              <w:snapToGrid w:val="0"/>
              <w:jc w:val="center"/>
              <w:rPr>
                <w:rFonts w:ascii="Arial" w:hAnsi="Arial" w:eastAsia="宋体" w:cs="Arial"/>
                <w:sz w:val="21"/>
                <w:szCs w:val="21"/>
              </w:rPr>
            </w:pPr>
          </w:p>
        </w:tc>
        <w:tc>
          <w:tcPr>
            <w:tcW w:w="657" w:type="pct"/>
            <w:vAlign w:val="center"/>
          </w:tcPr>
          <w:p w14:paraId="02B6A9E2">
            <w:pPr>
              <w:adjustRightInd w:val="0"/>
              <w:snapToGrid w:val="0"/>
              <w:jc w:val="center"/>
              <w:rPr>
                <w:rFonts w:ascii="Arial" w:hAnsi="Arial" w:eastAsia="宋体" w:cs="Arial"/>
                <w:sz w:val="21"/>
                <w:szCs w:val="21"/>
              </w:rPr>
            </w:pPr>
          </w:p>
        </w:tc>
      </w:tr>
      <w:tr w14:paraId="588C3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559593E">
            <w:pPr>
              <w:adjustRightInd w:val="0"/>
              <w:snapToGrid w:val="0"/>
              <w:jc w:val="center"/>
              <w:rPr>
                <w:rFonts w:ascii="Arial" w:hAnsi="Arial" w:eastAsia="宋体" w:cs="Arial"/>
                <w:sz w:val="21"/>
                <w:szCs w:val="21"/>
              </w:rPr>
            </w:pPr>
          </w:p>
        </w:tc>
        <w:tc>
          <w:tcPr>
            <w:tcW w:w="887" w:type="pct"/>
            <w:vAlign w:val="center"/>
          </w:tcPr>
          <w:p w14:paraId="7FC19395">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047C945">
            <w:pPr>
              <w:adjustRightInd w:val="0"/>
              <w:snapToGrid w:val="0"/>
              <w:jc w:val="center"/>
              <w:rPr>
                <w:rFonts w:ascii="Arial" w:hAnsi="Arial" w:eastAsia="宋体" w:cs="Arial"/>
                <w:kern w:val="0"/>
                <w:sz w:val="21"/>
                <w:szCs w:val="21"/>
              </w:rPr>
            </w:pPr>
          </w:p>
        </w:tc>
        <w:tc>
          <w:tcPr>
            <w:tcW w:w="906" w:type="pct"/>
            <w:vAlign w:val="center"/>
          </w:tcPr>
          <w:p w14:paraId="1D012593">
            <w:pPr>
              <w:adjustRightInd w:val="0"/>
              <w:snapToGrid w:val="0"/>
              <w:jc w:val="center"/>
              <w:rPr>
                <w:rFonts w:ascii="Arial" w:hAnsi="Arial" w:eastAsia="宋体" w:cs="Arial"/>
                <w:kern w:val="0"/>
                <w:sz w:val="21"/>
                <w:szCs w:val="21"/>
              </w:rPr>
            </w:pPr>
          </w:p>
        </w:tc>
        <w:tc>
          <w:tcPr>
            <w:tcW w:w="657" w:type="pct"/>
            <w:vAlign w:val="center"/>
          </w:tcPr>
          <w:p w14:paraId="500B3325">
            <w:pPr>
              <w:adjustRightInd w:val="0"/>
              <w:snapToGrid w:val="0"/>
              <w:jc w:val="center"/>
              <w:rPr>
                <w:rFonts w:ascii="Arial" w:hAnsi="Arial" w:eastAsia="宋体" w:cs="Arial"/>
                <w:sz w:val="21"/>
                <w:szCs w:val="21"/>
              </w:rPr>
            </w:pPr>
          </w:p>
        </w:tc>
        <w:tc>
          <w:tcPr>
            <w:tcW w:w="657" w:type="pct"/>
            <w:vAlign w:val="center"/>
          </w:tcPr>
          <w:p w14:paraId="58B5FBDD">
            <w:pPr>
              <w:adjustRightInd w:val="0"/>
              <w:snapToGrid w:val="0"/>
              <w:jc w:val="center"/>
              <w:rPr>
                <w:rFonts w:ascii="Arial" w:hAnsi="Arial" w:eastAsia="宋体" w:cs="Arial"/>
                <w:sz w:val="21"/>
                <w:szCs w:val="21"/>
              </w:rPr>
            </w:pPr>
          </w:p>
        </w:tc>
      </w:tr>
      <w:tr w14:paraId="63A02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70A42AA">
            <w:pPr>
              <w:adjustRightInd w:val="0"/>
              <w:snapToGrid w:val="0"/>
              <w:jc w:val="center"/>
              <w:rPr>
                <w:rFonts w:ascii="Arial" w:hAnsi="Arial" w:eastAsia="宋体" w:cs="Arial"/>
                <w:sz w:val="21"/>
                <w:szCs w:val="21"/>
              </w:rPr>
            </w:pPr>
          </w:p>
        </w:tc>
        <w:tc>
          <w:tcPr>
            <w:tcW w:w="887" w:type="pct"/>
            <w:vAlign w:val="center"/>
          </w:tcPr>
          <w:p w14:paraId="7FAC432E">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E9A2A3C">
            <w:pPr>
              <w:adjustRightInd w:val="0"/>
              <w:snapToGrid w:val="0"/>
              <w:jc w:val="center"/>
              <w:rPr>
                <w:rFonts w:ascii="Arial" w:hAnsi="Arial" w:eastAsia="宋体" w:cs="Arial"/>
                <w:kern w:val="0"/>
                <w:sz w:val="21"/>
                <w:szCs w:val="21"/>
              </w:rPr>
            </w:pPr>
          </w:p>
        </w:tc>
        <w:tc>
          <w:tcPr>
            <w:tcW w:w="906" w:type="pct"/>
            <w:vAlign w:val="center"/>
          </w:tcPr>
          <w:p w14:paraId="4B52F046">
            <w:pPr>
              <w:adjustRightInd w:val="0"/>
              <w:snapToGrid w:val="0"/>
              <w:jc w:val="center"/>
              <w:rPr>
                <w:rFonts w:ascii="Arial" w:hAnsi="Arial" w:eastAsia="宋体" w:cs="Arial"/>
                <w:kern w:val="0"/>
                <w:sz w:val="21"/>
                <w:szCs w:val="21"/>
              </w:rPr>
            </w:pPr>
          </w:p>
        </w:tc>
        <w:tc>
          <w:tcPr>
            <w:tcW w:w="657" w:type="pct"/>
            <w:vAlign w:val="center"/>
          </w:tcPr>
          <w:p w14:paraId="47D89B46">
            <w:pPr>
              <w:adjustRightInd w:val="0"/>
              <w:snapToGrid w:val="0"/>
              <w:jc w:val="center"/>
              <w:rPr>
                <w:rFonts w:ascii="Arial" w:hAnsi="Arial" w:eastAsia="宋体" w:cs="Arial"/>
                <w:sz w:val="21"/>
                <w:szCs w:val="21"/>
              </w:rPr>
            </w:pPr>
          </w:p>
        </w:tc>
        <w:tc>
          <w:tcPr>
            <w:tcW w:w="657" w:type="pct"/>
            <w:vAlign w:val="center"/>
          </w:tcPr>
          <w:p w14:paraId="5BC9B135">
            <w:pPr>
              <w:adjustRightInd w:val="0"/>
              <w:snapToGrid w:val="0"/>
              <w:jc w:val="center"/>
              <w:rPr>
                <w:rFonts w:ascii="Arial" w:hAnsi="Arial" w:eastAsia="宋体" w:cs="Arial"/>
                <w:sz w:val="21"/>
                <w:szCs w:val="21"/>
              </w:rPr>
            </w:pPr>
          </w:p>
        </w:tc>
      </w:tr>
      <w:tr w14:paraId="5A1E9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18C6E17">
            <w:pPr>
              <w:adjustRightInd w:val="0"/>
              <w:snapToGrid w:val="0"/>
              <w:jc w:val="center"/>
              <w:rPr>
                <w:rFonts w:ascii="Arial" w:hAnsi="Arial" w:eastAsia="宋体" w:cs="Arial"/>
                <w:sz w:val="21"/>
                <w:szCs w:val="21"/>
              </w:rPr>
            </w:pPr>
          </w:p>
        </w:tc>
        <w:tc>
          <w:tcPr>
            <w:tcW w:w="887" w:type="pct"/>
            <w:vAlign w:val="center"/>
          </w:tcPr>
          <w:p w14:paraId="5368208D">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5CB5A3E7">
            <w:pPr>
              <w:adjustRightInd w:val="0"/>
              <w:snapToGrid w:val="0"/>
              <w:jc w:val="center"/>
              <w:rPr>
                <w:rFonts w:ascii="Arial" w:hAnsi="Arial" w:eastAsia="宋体" w:cs="Arial"/>
                <w:kern w:val="0"/>
                <w:sz w:val="21"/>
                <w:szCs w:val="21"/>
              </w:rPr>
            </w:pPr>
          </w:p>
        </w:tc>
        <w:tc>
          <w:tcPr>
            <w:tcW w:w="906" w:type="pct"/>
            <w:vAlign w:val="center"/>
          </w:tcPr>
          <w:p w14:paraId="3F5DB739">
            <w:pPr>
              <w:adjustRightInd w:val="0"/>
              <w:snapToGrid w:val="0"/>
              <w:jc w:val="center"/>
              <w:rPr>
                <w:rFonts w:ascii="Arial" w:hAnsi="Arial" w:eastAsia="宋体" w:cs="Arial"/>
                <w:kern w:val="0"/>
                <w:sz w:val="21"/>
                <w:szCs w:val="21"/>
              </w:rPr>
            </w:pPr>
          </w:p>
        </w:tc>
        <w:tc>
          <w:tcPr>
            <w:tcW w:w="657" w:type="pct"/>
            <w:vAlign w:val="center"/>
          </w:tcPr>
          <w:p w14:paraId="094AEB8A">
            <w:pPr>
              <w:adjustRightInd w:val="0"/>
              <w:snapToGrid w:val="0"/>
              <w:jc w:val="center"/>
              <w:rPr>
                <w:rFonts w:ascii="Arial" w:hAnsi="Arial" w:eastAsia="宋体" w:cs="Arial"/>
                <w:sz w:val="21"/>
                <w:szCs w:val="21"/>
              </w:rPr>
            </w:pPr>
          </w:p>
        </w:tc>
        <w:tc>
          <w:tcPr>
            <w:tcW w:w="657" w:type="pct"/>
            <w:vAlign w:val="center"/>
          </w:tcPr>
          <w:p w14:paraId="1A3ABAD7">
            <w:pPr>
              <w:adjustRightInd w:val="0"/>
              <w:snapToGrid w:val="0"/>
              <w:jc w:val="center"/>
              <w:rPr>
                <w:rFonts w:ascii="Arial" w:hAnsi="Arial" w:eastAsia="宋体" w:cs="Arial"/>
                <w:sz w:val="21"/>
                <w:szCs w:val="21"/>
              </w:rPr>
            </w:pPr>
          </w:p>
        </w:tc>
      </w:tr>
      <w:tr w14:paraId="05CC6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35F19C6">
            <w:pPr>
              <w:adjustRightInd w:val="0"/>
              <w:snapToGrid w:val="0"/>
              <w:jc w:val="center"/>
              <w:rPr>
                <w:rFonts w:ascii="Arial" w:hAnsi="Arial" w:eastAsia="宋体" w:cs="Arial"/>
                <w:sz w:val="21"/>
                <w:szCs w:val="21"/>
              </w:rPr>
            </w:pPr>
          </w:p>
        </w:tc>
        <w:tc>
          <w:tcPr>
            <w:tcW w:w="887" w:type="pct"/>
            <w:vAlign w:val="center"/>
          </w:tcPr>
          <w:p w14:paraId="526CBF08">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0E98AA5">
            <w:pPr>
              <w:adjustRightInd w:val="0"/>
              <w:snapToGrid w:val="0"/>
              <w:jc w:val="center"/>
              <w:rPr>
                <w:rFonts w:ascii="Arial" w:hAnsi="Arial" w:eastAsia="宋体" w:cs="Arial"/>
                <w:kern w:val="0"/>
                <w:sz w:val="21"/>
                <w:szCs w:val="21"/>
              </w:rPr>
            </w:pPr>
          </w:p>
        </w:tc>
        <w:tc>
          <w:tcPr>
            <w:tcW w:w="906" w:type="pct"/>
            <w:vAlign w:val="center"/>
          </w:tcPr>
          <w:p w14:paraId="0A78B5A2">
            <w:pPr>
              <w:adjustRightInd w:val="0"/>
              <w:snapToGrid w:val="0"/>
              <w:jc w:val="center"/>
              <w:rPr>
                <w:rFonts w:ascii="Arial" w:hAnsi="Arial" w:eastAsia="宋体" w:cs="Arial"/>
                <w:kern w:val="0"/>
                <w:sz w:val="21"/>
                <w:szCs w:val="21"/>
              </w:rPr>
            </w:pPr>
          </w:p>
        </w:tc>
        <w:tc>
          <w:tcPr>
            <w:tcW w:w="657" w:type="pct"/>
            <w:vAlign w:val="center"/>
          </w:tcPr>
          <w:p w14:paraId="53DCCB96">
            <w:pPr>
              <w:adjustRightInd w:val="0"/>
              <w:snapToGrid w:val="0"/>
              <w:jc w:val="center"/>
              <w:rPr>
                <w:rFonts w:ascii="Arial" w:hAnsi="Arial" w:eastAsia="宋体" w:cs="Arial"/>
                <w:sz w:val="21"/>
                <w:szCs w:val="21"/>
              </w:rPr>
            </w:pPr>
          </w:p>
        </w:tc>
        <w:tc>
          <w:tcPr>
            <w:tcW w:w="657" w:type="pct"/>
            <w:vAlign w:val="center"/>
          </w:tcPr>
          <w:p w14:paraId="587B1B1F">
            <w:pPr>
              <w:adjustRightInd w:val="0"/>
              <w:snapToGrid w:val="0"/>
              <w:jc w:val="center"/>
              <w:rPr>
                <w:rFonts w:ascii="Arial" w:hAnsi="Arial" w:eastAsia="宋体" w:cs="Arial"/>
                <w:sz w:val="21"/>
                <w:szCs w:val="21"/>
              </w:rPr>
            </w:pPr>
          </w:p>
        </w:tc>
      </w:tr>
      <w:tr w14:paraId="58585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DC2803F">
            <w:pPr>
              <w:adjustRightInd w:val="0"/>
              <w:snapToGrid w:val="0"/>
              <w:jc w:val="center"/>
              <w:rPr>
                <w:rFonts w:ascii="Arial" w:hAnsi="Arial" w:eastAsia="宋体" w:cs="Arial"/>
                <w:sz w:val="21"/>
                <w:szCs w:val="21"/>
              </w:rPr>
            </w:pPr>
          </w:p>
        </w:tc>
        <w:tc>
          <w:tcPr>
            <w:tcW w:w="887" w:type="pct"/>
            <w:vAlign w:val="center"/>
          </w:tcPr>
          <w:p w14:paraId="79BE9958">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00DC878">
            <w:pPr>
              <w:adjustRightInd w:val="0"/>
              <w:snapToGrid w:val="0"/>
              <w:jc w:val="center"/>
              <w:rPr>
                <w:rFonts w:ascii="Arial" w:hAnsi="Arial" w:eastAsia="宋体" w:cs="Arial"/>
                <w:kern w:val="0"/>
                <w:sz w:val="21"/>
                <w:szCs w:val="21"/>
              </w:rPr>
            </w:pPr>
          </w:p>
        </w:tc>
        <w:tc>
          <w:tcPr>
            <w:tcW w:w="906" w:type="pct"/>
            <w:vAlign w:val="center"/>
          </w:tcPr>
          <w:p w14:paraId="4BD0750A">
            <w:pPr>
              <w:adjustRightInd w:val="0"/>
              <w:snapToGrid w:val="0"/>
              <w:jc w:val="center"/>
              <w:rPr>
                <w:rFonts w:ascii="Arial" w:hAnsi="Arial" w:eastAsia="宋体" w:cs="Arial"/>
                <w:kern w:val="0"/>
                <w:sz w:val="21"/>
                <w:szCs w:val="21"/>
              </w:rPr>
            </w:pPr>
          </w:p>
        </w:tc>
        <w:tc>
          <w:tcPr>
            <w:tcW w:w="657" w:type="pct"/>
            <w:vAlign w:val="center"/>
          </w:tcPr>
          <w:p w14:paraId="1726EB7C">
            <w:pPr>
              <w:adjustRightInd w:val="0"/>
              <w:snapToGrid w:val="0"/>
              <w:jc w:val="center"/>
              <w:rPr>
                <w:rFonts w:ascii="Arial" w:hAnsi="Arial" w:eastAsia="宋体" w:cs="Arial"/>
                <w:sz w:val="21"/>
                <w:szCs w:val="21"/>
              </w:rPr>
            </w:pPr>
          </w:p>
        </w:tc>
        <w:tc>
          <w:tcPr>
            <w:tcW w:w="657" w:type="pct"/>
            <w:vAlign w:val="center"/>
          </w:tcPr>
          <w:p w14:paraId="4B24A846">
            <w:pPr>
              <w:adjustRightInd w:val="0"/>
              <w:snapToGrid w:val="0"/>
              <w:jc w:val="center"/>
              <w:rPr>
                <w:rFonts w:ascii="Arial" w:hAnsi="Arial" w:eastAsia="宋体" w:cs="Arial"/>
                <w:sz w:val="21"/>
                <w:szCs w:val="21"/>
              </w:rPr>
            </w:pPr>
          </w:p>
        </w:tc>
      </w:tr>
      <w:tr w14:paraId="0BF47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F0425FE">
            <w:pPr>
              <w:adjustRightInd w:val="0"/>
              <w:snapToGrid w:val="0"/>
              <w:jc w:val="center"/>
              <w:rPr>
                <w:rFonts w:ascii="Arial" w:hAnsi="Arial" w:eastAsia="宋体" w:cs="Arial"/>
                <w:sz w:val="21"/>
                <w:szCs w:val="21"/>
              </w:rPr>
            </w:pPr>
          </w:p>
        </w:tc>
        <w:tc>
          <w:tcPr>
            <w:tcW w:w="887" w:type="pct"/>
            <w:vAlign w:val="center"/>
          </w:tcPr>
          <w:p w14:paraId="6D32533E">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EB066C9">
            <w:pPr>
              <w:adjustRightInd w:val="0"/>
              <w:snapToGrid w:val="0"/>
              <w:jc w:val="center"/>
              <w:rPr>
                <w:rFonts w:ascii="Arial" w:hAnsi="Arial" w:eastAsia="宋体" w:cs="Arial"/>
                <w:kern w:val="0"/>
                <w:sz w:val="21"/>
                <w:szCs w:val="21"/>
              </w:rPr>
            </w:pPr>
          </w:p>
        </w:tc>
        <w:tc>
          <w:tcPr>
            <w:tcW w:w="906" w:type="pct"/>
            <w:vAlign w:val="center"/>
          </w:tcPr>
          <w:p w14:paraId="10641134">
            <w:pPr>
              <w:adjustRightInd w:val="0"/>
              <w:snapToGrid w:val="0"/>
              <w:jc w:val="center"/>
              <w:rPr>
                <w:rFonts w:ascii="Arial" w:hAnsi="Arial" w:eastAsia="宋体" w:cs="Arial"/>
                <w:kern w:val="0"/>
                <w:sz w:val="21"/>
                <w:szCs w:val="21"/>
              </w:rPr>
            </w:pPr>
          </w:p>
        </w:tc>
        <w:tc>
          <w:tcPr>
            <w:tcW w:w="657" w:type="pct"/>
            <w:vAlign w:val="center"/>
          </w:tcPr>
          <w:p w14:paraId="69F4A5BF">
            <w:pPr>
              <w:adjustRightInd w:val="0"/>
              <w:snapToGrid w:val="0"/>
              <w:jc w:val="center"/>
              <w:rPr>
                <w:rFonts w:ascii="Arial" w:hAnsi="Arial" w:eastAsia="宋体" w:cs="Arial"/>
                <w:sz w:val="21"/>
                <w:szCs w:val="21"/>
              </w:rPr>
            </w:pPr>
          </w:p>
        </w:tc>
        <w:tc>
          <w:tcPr>
            <w:tcW w:w="657" w:type="pct"/>
            <w:vAlign w:val="center"/>
          </w:tcPr>
          <w:p w14:paraId="69877084">
            <w:pPr>
              <w:adjustRightInd w:val="0"/>
              <w:snapToGrid w:val="0"/>
              <w:jc w:val="center"/>
              <w:rPr>
                <w:rFonts w:ascii="Arial" w:hAnsi="Arial" w:eastAsia="宋体" w:cs="Arial"/>
                <w:sz w:val="21"/>
                <w:szCs w:val="21"/>
              </w:rPr>
            </w:pPr>
          </w:p>
        </w:tc>
      </w:tr>
      <w:tr w14:paraId="007AE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CF4853B">
            <w:pPr>
              <w:adjustRightInd w:val="0"/>
              <w:snapToGrid w:val="0"/>
              <w:jc w:val="center"/>
              <w:rPr>
                <w:rFonts w:ascii="Arial" w:hAnsi="Arial" w:eastAsia="宋体" w:cs="Arial"/>
                <w:sz w:val="21"/>
                <w:szCs w:val="21"/>
              </w:rPr>
            </w:pPr>
          </w:p>
        </w:tc>
        <w:tc>
          <w:tcPr>
            <w:tcW w:w="887" w:type="pct"/>
            <w:vAlign w:val="center"/>
          </w:tcPr>
          <w:p w14:paraId="0BA7EFC5">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4A6090C">
            <w:pPr>
              <w:adjustRightInd w:val="0"/>
              <w:snapToGrid w:val="0"/>
              <w:jc w:val="center"/>
              <w:rPr>
                <w:rFonts w:ascii="Arial" w:hAnsi="Arial" w:eastAsia="宋体" w:cs="Arial"/>
                <w:kern w:val="0"/>
                <w:sz w:val="21"/>
                <w:szCs w:val="21"/>
              </w:rPr>
            </w:pPr>
          </w:p>
        </w:tc>
        <w:tc>
          <w:tcPr>
            <w:tcW w:w="906" w:type="pct"/>
            <w:vAlign w:val="center"/>
          </w:tcPr>
          <w:p w14:paraId="30B5D8D8">
            <w:pPr>
              <w:adjustRightInd w:val="0"/>
              <w:snapToGrid w:val="0"/>
              <w:jc w:val="center"/>
              <w:rPr>
                <w:rFonts w:ascii="Arial" w:hAnsi="Arial" w:eastAsia="宋体" w:cs="Arial"/>
                <w:kern w:val="0"/>
                <w:sz w:val="21"/>
                <w:szCs w:val="21"/>
              </w:rPr>
            </w:pPr>
          </w:p>
        </w:tc>
        <w:tc>
          <w:tcPr>
            <w:tcW w:w="657" w:type="pct"/>
            <w:vAlign w:val="center"/>
          </w:tcPr>
          <w:p w14:paraId="4B4C94E2">
            <w:pPr>
              <w:adjustRightInd w:val="0"/>
              <w:snapToGrid w:val="0"/>
              <w:jc w:val="center"/>
              <w:rPr>
                <w:rFonts w:ascii="Arial" w:hAnsi="Arial" w:eastAsia="宋体" w:cs="Arial"/>
                <w:sz w:val="21"/>
                <w:szCs w:val="21"/>
              </w:rPr>
            </w:pPr>
          </w:p>
        </w:tc>
        <w:tc>
          <w:tcPr>
            <w:tcW w:w="657" w:type="pct"/>
            <w:vAlign w:val="center"/>
          </w:tcPr>
          <w:p w14:paraId="53F887B4">
            <w:pPr>
              <w:adjustRightInd w:val="0"/>
              <w:snapToGrid w:val="0"/>
              <w:jc w:val="center"/>
              <w:rPr>
                <w:rFonts w:ascii="Arial" w:hAnsi="Arial" w:eastAsia="宋体" w:cs="Arial"/>
                <w:sz w:val="21"/>
                <w:szCs w:val="21"/>
              </w:rPr>
            </w:pPr>
          </w:p>
        </w:tc>
      </w:tr>
      <w:tr w14:paraId="69765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66CBAEF">
            <w:pPr>
              <w:adjustRightInd w:val="0"/>
              <w:snapToGrid w:val="0"/>
              <w:jc w:val="center"/>
              <w:rPr>
                <w:rFonts w:ascii="Arial" w:hAnsi="Arial" w:eastAsia="宋体" w:cs="Arial"/>
                <w:sz w:val="21"/>
                <w:szCs w:val="21"/>
              </w:rPr>
            </w:pPr>
          </w:p>
        </w:tc>
        <w:tc>
          <w:tcPr>
            <w:tcW w:w="887" w:type="pct"/>
            <w:vAlign w:val="center"/>
          </w:tcPr>
          <w:p w14:paraId="144C1F25">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75395E1">
            <w:pPr>
              <w:adjustRightInd w:val="0"/>
              <w:snapToGrid w:val="0"/>
              <w:jc w:val="center"/>
              <w:rPr>
                <w:rFonts w:ascii="Arial" w:hAnsi="Arial" w:eastAsia="宋体" w:cs="Arial"/>
                <w:kern w:val="0"/>
                <w:sz w:val="21"/>
                <w:szCs w:val="21"/>
              </w:rPr>
            </w:pPr>
          </w:p>
        </w:tc>
        <w:tc>
          <w:tcPr>
            <w:tcW w:w="906" w:type="pct"/>
            <w:vAlign w:val="center"/>
          </w:tcPr>
          <w:p w14:paraId="6CA9C597">
            <w:pPr>
              <w:adjustRightInd w:val="0"/>
              <w:snapToGrid w:val="0"/>
              <w:jc w:val="center"/>
              <w:rPr>
                <w:rFonts w:ascii="Arial" w:hAnsi="Arial" w:eastAsia="宋体" w:cs="Arial"/>
                <w:kern w:val="0"/>
                <w:sz w:val="21"/>
                <w:szCs w:val="21"/>
              </w:rPr>
            </w:pPr>
          </w:p>
        </w:tc>
        <w:tc>
          <w:tcPr>
            <w:tcW w:w="657" w:type="pct"/>
            <w:vAlign w:val="center"/>
          </w:tcPr>
          <w:p w14:paraId="480E10A4">
            <w:pPr>
              <w:adjustRightInd w:val="0"/>
              <w:snapToGrid w:val="0"/>
              <w:jc w:val="center"/>
              <w:rPr>
                <w:rFonts w:ascii="Arial" w:hAnsi="Arial" w:eastAsia="宋体" w:cs="Arial"/>
                <w:sz w:val="21"/>
                <w:szCs w:val="21"/>
              </w:rPr>
            </w:pPr>
          </w:p>
        </w:tc>
        <w:tc>
          <w:tcPr>
            <w:tcW w:w="657" w:type="pct"/>
            <w:vAlign w:val="center"/>
          </w:tcPr>
          <w:p w14:paraId="5EA134E0">
            <w:pPr>
              <w:adjustRightInd w:val="0"/>
              <w:snapToGrid w:val="0"/>
              <w:jc w:val="center"/>
              <w:rPr>
                <w:rFonts w:ascii="Arial" w:hAnsi="Arial" w:eastAsia="宋体" w:cs="Arial"/>
                <w:sz w:val="21"/>
                <w:szCs w:val="21"/>
              </w:rPr>
            </w:pPr>
          </w:p>
        </w:tc>
      </w:tr>
      <w:tr w14:paraId="005B0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B3F9D59">
            <w:pPr>
              <w:adjustRightInd w:val="0"/>
              <w:snapToGrid w:val="0"/>
              <w:jc w:val="center"/>
              <w:rPr>
                <w:rFonts w:ascii="Arial" w:hAnsi="Arial" w:eastAsia="宋体" w:cs="Arial"/>
                <w:sz w:val="21"/>
                <w:szCs w:val="21"/>
              </w:rPr>
            </w:pPr>
          </w:p>
        </w:tc>
        <w:tc>
          <w:tcPr>
            <w:tcW w:w="887" w:type="pct"/>
            <w:vAlign w:val="center"/>
          </w:tcPr>
          <w:p w14:paraId="52844F93">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8ED9823">
            <w:pPr>
              <w:adjustRightInd w:val="0"/>
              <w:snapToGrid w:val="0"/>
              <w:jc w:val="center"/>
              <w:rPr>
                <w:rFonts w:ascii="Arial" w:hAnsi="Arial" w:eastAsia="宋体" w:cs="Arial"/>
                <w:kern w:val="0"/>
                <w:sz w:val="21"/>
                <w:szCs w:val="21"/>
              </w:rPr>
            </w:pPr>
          </w:p>
        </w:tc>
        <w:tc>
          <w:tcPr>
            <w:tcW w:w="906" w:type="pct"/>
            <w:vAlign w:val="center"/>
          </w:tcPr>
          <w:p w14:paraId="0DF25979">
            <w:pPr>
              <w:adjustRightInd w:val="0"/>
              <w:snapToGrid w:val="0"/>
              <w:jc w:val="center"/>
              <w:rPr>
                <w:rFonts w:ascii="Arial" w:hAnsi="Arial" w:eastAsia="宋体" w:cs="Arial"/>
                <w:kern w:val="0"/>
                <w:sz w:val="21"/>
                <w:szCs w:val="21"/>
              </w:rPr>
            </w:pPr>
          </w:p>
        </w:tc>
        <w:tc>
          <w:tcPr>
            <w:tcW w:w="657" w:type="pct"/>
            <w:vAlign w:val="center"/>
          </w:tcPr>
          <w:p w14:paraId="255F39DF">
            <w:pPr>
              <w:adjustRightInd w:val="0"/>
              <w:snapToGrid w:val="0"/>
              <w:jc w:val="center"/>
              <w:rPr>
                <w:rFonts w:ascii="Arial" w:hAnsi="Arial" w:eastAsia="宋体" w:cs="Arial"/>
                <w:sz w:val="21"/>
                <w:szCs w:val="21"/>
              </w:rPr>
            </w:pPr>
          </w:p>
        </w:tc>
        <w:tc>
          <w:tcPr>
            <w:tcW w:w="657" w:type="pct"/>
            <w:vAlign w:val="center"/>
          </w:tcPr>
          <w:p w14:paraId="513BDB5B">
            <w:pPr>
              <w:adjustRightInd w:val="0"/>
              <w:snapToGrid w:val="0"/>
              <w:jc w:val="center"/>
              <w:rPr>
                <w:rFonts w:ascii="Arial" w:hAnsi="Arial" w:eastAsia="宋体" w:cs="Arial"/>
                <w:sz w:val="21"/>
                <w:szCs w:val="21"/>
              </w:rPr>
            </w:pPr>
          </w:p>
        </w:tc>
      </w:tr>
      <w:tr w14:paraId="1F4D0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F15518A">
            <w:pPr>
              <w:adjustRightInd w:val="0"/>
              <w:snapToGrid w:val="0"/>
              <w:jc w:val="center"/>
              <w:rPr>
                <w:rFonts w:ascii="Arial" w:hAnsi="Arial" w:eastAsia="宋体" w:cs="Arial"/>
                <w:sz w:val="21"/>
                <w:szCs w:val="21"/>
              </w:rPr>
            </w:pPr>
          </w:p>
        </w:tc>
        <w:tc>
          <w:tcPr>
            <w:tcW w:w="887" w:type="pct"/>
            <w:vAlign w:val="center"/>
          </w:tcPr>
          <w:p w14:paraId="2FE5EA56">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25BA6E2">
            <w:pPr>
              <w:adjustRightInd w:val="0"/>
              <w:snapToGrid w:val="0"/>
              <w:jc w:val="center"/>
              <w:rPr>
                <w:rFonts w:ascii="Arial" w:hAnsi="Arial" w:eastAsia="宋体" w:cs="Arial"/>
                <w:kern w:val="0"/>
                <w:sz w:val="21"/>
                <w:szCs w:val="21"/>
              </w:rPr>
            </w:pPr>
          </w:p>
        </w:tc>
        <w:tc>
          <w:tcPr>
            <w:tcW w:w="906" w:type="pct"/>
            <w:vAlign w:val="center"/>
          </w:tcPr>
          <w:p w14:paraId="311DE413">
            <w:pPr>
              <w:adjustRightInd w:val="0"/>
              <w:snapToGrid w:val="0"/>
              <w:jc w:val="center"/>
              <w:rPr>
                <w:rFonts w:ascii="Arial" w:hAnsi="Arial" w:eastAsia="宋体" w:cs="Arial"/>
                <w:kern w:val="0"/>
                <w:sz w:val="21"/>
                <w:szCs w:val="21"/>
              </w:rPr>
            </w:pPr>
          </w:p>
        </w:tc>
        <w:tc>
          <w:tcPr>
            <w:tcW w:w="657" w:type="pct"/>
            <w:vAlign w:val="center"/>
          </w:tcPr>
          <w:p w14:paraId="62C37AAD">
            <w:pPr>
              <w:adjustRightInd w:val="0"/>
              <w:snapToGrid w:val="0"/>
              <w:jc w:val="center"/>
              <w:rPr>
                <w:rFonts w:ascii="Arial" w:hAnsi="Arial" w:eastAsia="宋体" w:cs="Arial"/>
                <w:sz w:val="21"/>
                <w:szCs w:val="21"/>
              </w:rPr>
            </w:pPr>
          </w:p>
        </w:tc>
        <w:tc>
          <w:tcPr>
            <w:tcW w:w="657" w:type="pct"/>
            <w:vAlign w:val="center"/>
          </w:tcPr>
          <w:p w14:paraId="00462D85">
            <w:pPr>
              <w:adjustRightInd w:val="0"/>
              <w:snapToGrid w:val="0"/>
              <w:jc w:val="center"/>
              <w:rPr>
                <w:rFonts w:ascii="Arial" w:hAnsi="Arial" w:eastAsia="宋体" w:cs="Arial"/>
                <w:sz w:val="21"/>
                <w:szCs w:val="21"/>
              </w:rPr>
            </w:pPr>
          </w:p>
        </w:tc>
      </w:tr>
      <w:tr w14:paraId="65B88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8DEDCAA">
            <w:pPr>
              <w:adjustRightInd w:val="0"/>
              <w:snapToGrid w:val="0"/>
              <w:jc w:val="center"/>
              <w:rPr>
                <w:rFonts w:ascii="Arial" w:hAnsi="Arial" w:eastAsia="宋体" w:cs="Arial"/>
                <w:sz w:val="21"/>
                <w:szCs w:val="21"/>
              </w:rPr>
            </w:pPr>
          </w:p>
        </w:tc>
        <w:tc>
          <w:tcPr>
            <w:tcW w:w="887" w:type="pct"/>
            <w:vAlign w:val="center"/>
          </w:tcPr>
          <w:p w14:paraId="48C45DCB">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04F0E23">
            <w:pPr>
              <w:adjustRightInd w:val="0"/>
              <w:snapToGrid w:val="0"/>
              <w:jc w:val="center"/>
              <w:rPr>
                <w:rFonts w:ascii="Arial" w:hAnsi="Arial" w:eastAsia="宋体" w:cs="Arial"/>
                <w:kern w:val="0"/>
                <w:sz w:val="21"/>
                <w:szCs w:val="21"/>
              </w:rPr>
            </w:pPr>
          </w:p>
        </w:tc>
        <w:tc>
          <w:tcPr>
            <w:tcW w:w="906" w:type="pct"/>
            <w:vAlign w:val="center"/>
          </w:tcPr>
          <w:p w14:paraId="63DE22F0">
            <w:pPr>
              <w:adjustRightInd w:val="0"/>
              <w:snapToGrid w:val="0"/>
              <w:jc w:val="center"/>
              <w:rPr>
                <w:rFonts w:ascii="Arial" w:hAnsi="Arial" w:eastAsia="宋体" w:cs="Arial"/>
                <w:kern w:val="0"/>
                <w:sz w:val="21"/>
                <w:szCs w:val="21"/>
              </w:rPr>
            </w:pPr>
          </w:p>
        </w:tc>
        <w:tc>
          <w:tcPr>
            <w:tcW w:w="657" w:type="pct"/>
            <w:vAlign w:val="center"/>
          </w:tcPr>
          <w:p w14:paraId="5BEF434D">
            <w:pPr>
              <w:adjustRightInd w:val="0"/>
              <w:snapToGrid w:val="0"/>
              <w:jc w:val="center"/>
              <w:rPr>
                <w:rFonts w:ascii="Arial" w:hAnsi="Arial" w:eastAsia="宋体" w:cs="Arial"/>
                <w:sz w:val="21"/>
                <w:szCs w:val="21"/>
              </w:rPr>
            </w:pPr>
          </w:p>
        </w:tc>
        <w:tc>
          <w:tcPr>
            <w:tcW w:w="657" w:type="pct"/>
            <w:vAlign w:val="center"/>
          </w:tcPr>
          <w:p w14:paraId="04F5D351">
            <w:pPr>
              <w:adjustRightInd w:val="0"/>
              <w:snapToGrid w:val="0"/>
              <w:jc w:val="center"/>
              <w:rPr>
                <w:rFonts w:ascii="Arial" w:hAnsi="Arial" w:eastAsia="宋体" w:cs="Arial"/>
                <w:sz w:val="21"/>
                <w:szCs w:val="21"/>
              </w:rPr>
            </w:pPr>
          </w:p>
        </w:tc>
      </w:tr>
      <w:tr w14:paraId="29CF2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2D10C6E">
            <w:pPr>
              <w:adjustRightInd w:val="0"/>
              <w:snapToGrid w:val="0"/>
              <w:jc w:val="center"/>
              <w:rPr>
                <w:rFonts w:ascii="Arial" w:hAnsi="Arial" w:eastAsia="宋体" w:cs="Arial"/>
                <w:sz w:val="21"/>
                <w:szCs w:val="21"/>
              </w:rPr>
            </w:pPr>
          </w:p>
        </w:tc>
        <w:tc>
          <w:tcPr>
            <w:tcW w:w="887" w:type="pct"/>
            <w:vAlign w:val="center"/>
          </w:tcPr>
          <w:p w14:paraId="58D6D3F7">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48E9C3F">
            <w:pPr>
              <w:adjustRightInd w:val="0"/>
              <w:snapToGrid w:val="0"/>
              <w:jc w:val="center"/>
              <w:rPr>
                <w:rFonts w:ascii="Arial" w:hAnsi="Arial" w:eastAsia="宋体" w:cs="Arial"/>
                <w:kern w:val="0"/>
                <w:sz w:val="21"/>
                <w:szCs w:val="21"/>
              </w:rPr>
            </w:pPr>
          </w:p>
        </w:tc>
        <w:tc>
          <w:tcPr>
            <w:tcW w:w="906" w:type="pct"/>
            <w:vAlign w:val="center"/>
          </w:tcPr>
          <w:p w14:paraId="2E0CFDD8">
            <w:pPr>
              <w:adjustRightInd w:val="0"/>
              <w:snapToGrid w:val="0"/>
              <w:jc w:val="center"/>
              <w:rPr>
                <w:rFonts w:ascii="Arial" w:hAnsi="Arial" w:eastAsia="宋体" w:cs="Arial"/>
                <w:kern w:val="0"/>
                <w:sz w:val="21"/>
                <w:szCs w:val="21"/>
              </w:rPr>
            </w:pPr>
          </w:p>
        </w:tc>
        <w:tc>
          <w:tcPr>
            <w:tcW w:w="657" w:type="pct"/>
            <w:vAlign w:val="center"/>
          </w:tcPr>
          <w:p w14:paraId="437322F5">
            <w:pPr>
              <w:adjustRightInd w:val="0"/>
              <w:snapToGrid w:val="0"/>
              <w:jc w:val="center"/>
              <w:rPr>
                <w:rFonts w:ascii="Arial" w:hAnsi="Arial" w:eastAsia="宋体" w:cs="Arial"/>
                <w:sz w:val="21"/>
                <w:szCs w:val="21"/>
              </w:rPr>
            </w:pPr>
          </w:p>
        </w:tc>
        <w:tc>
          <w:tcPr>
            <w:tcW w:w="657" w:type="pct"/>
            <w:vAlign w:val="center"/>
          </w:tcPr>
          <w:p w14:paraId="3310E287">
            <w:pPr>
              <w:adjustRightInd w:val="0"/>
              <w:snapToGrid w:val="0"/>
              <w:jc w:val="center"/>
              <w:rPr>
                <w:rFonts w:ascii="Arial" w:hAnsi="Arial" w:eastAsia="宋体" w:cs="Arial"/>
                <w:sz w:val="21"/>
                <w:szCs w:val="21"/>
              </w:rPr>
            </w:pPr>
          </w:p>
        </w:tc>
      </w:tr>
      <w:tr w14:paraId="0EA51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A1E7E9C">
            <w:pPr>
              <w:adjustRightInd w:val="0"/>
              <w:snapToGrid w:val="0"/>
              <w:jc w:val="center"/>
              <w:rPr>
                <w:rFonts w:ascii="Arial" w:hAnsi="Arial" w:eastAsia="宋体" w:cs="Arial"/>
                <w:sz w:val="21"/>
                <w:szCs w:val="21"/>
              </w:rPr>
            </w:pPr>
          </w:p>
        </w:tc>
        <w:tc>
          <w:tcPr>
            <w:tcW w:w="887" w:type="pct"/>
            <w:vAlign w:val="center"/>
          </w:tcPr>
          <w:p w14:paraId="4EEBCB5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6E38F15">
            <w:pPr>
              <w:adjustRightInd w:val="0"/>
              <w:snapToGrid w:val="0"/>
              <w:jc w:val="center"/>
              <w:rPr>
                <w:rFonts w:ascii="Arial" w:hAnsi="Arial" w:eastAsia="宋体" w:cs="Arial"/>
                <w:kern w:val="0"/>
                <w:sz w:val="21"/>
                <w:szCs w:val="21"/>
              </w:rPr>
            </w:pPr>
          </w:p>
        </w:tc>
        <w:tc>
          <w:tcPr>
            <w:tcW w:w="906" w:type="pct"/>
            <w:vAlign w:val="center"/>
          </w:tcPr>
          <w:p w14:paraId="22F4FC5C">
            <w:pPr>
              <w:adjustRightInd w:val="0"/>
              <w:snapToGrid w:val="0"/>
              <w:jc w:val="center"/>
              <w:rPr>
                <w:rFonts w:ascii="Arial" w:hAnsi="Arial" w:eastAsia="宋体" w:cs="Arial"/>
                <w:kern w:val="0"/>
                <w:sz w:val="21"/>
                <w:szCs w:val="21"/>
              </w:rPr>
            </w:pPr>
          </w:p>
        </w:tc>
        <w:tc>
          <w:tcPr>
            <w:tcW w:w="657" w:type="pct"/>
            <w:vAlign w:val="center"/>
          </w:tcPr>
          <w:p w14:paraId="2B822632">
            <w:pPr>
              <w:adjustRightInd w:val="0"/>
              <w:snapToGrid w:val="0"/>
              <w:jc w:val="center"/>
              <w:rPr>
                <w:rFonts w:ascii="Arial" w:hAnsi="Arial" w:eastAsia="宋体" w:cs="Arial"/>
                <w:sz w:val="21"/>
                <w:szCs w:val="21"/>
              </w:rPr>
            </w:pPr>
          </w:p>
        </w:tc>
        <w:tc>
          <w:tcPr>
            <w:tcW w:w="657" w:type="pct"/>
            <w:vAlign w:val="center"/>
          </w:tcPr>
          <w:p w14:paraId="3B001EA9">
            <w:pPr>
              <w:adjustRightInd w:val="0"/>
              <w:snapToGrid w:val="0"/>
              <w:jc w:val="center"/>
              <w:rPr>
                <w:rFonts w:ascii="Arial" w:hAnsi="Arial" w:eastAsia="宋体" w:cs="Arial"/>
                <w:sz w:val="21"/>
                <w:szCs w:val="21"/>
              </w:rPr>
            </w:pPr>
          </w:p>
        </w:tc>
      </w:tr>
      <w:tr w14:paraId="38411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DCB975F">
            <w:pPr>
              <w:adjustRightInd w:val="0"/>
              <w:snapToGrid w:val="0"/>
              <w:jc w:val="center"/>
              <w:rPr>
                <w:rFonts w:ascii="Arial" w:hAnsi="Arial" w:eastAsia="宋体" w:cs="Arial"/>
                <w:sz w:val="21"/>
                <w:szCs w:val="21"/>
              </w:rPr>
            </w:pPr>
          </w:p>
        </w:tc>
        <w:tc>
          <w:tcPr>
            <w:tcW w:w="887" w:type="pct"/>
            <w:vAlign w:val="center"/>
          </w:tcPr>
          <w:p w14:paraId="367B0DC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9CB4A81">
            <w:pPr>
              <w:adjustRightInd w:val="0"/>
              <w:snapToGrid w:val="0"/>
              <w:jc w:val="center"/>
              <w:rPr>
                <w:rFonts w:ascii="Arial" w:hAnsi="Arial" w:eastAsia="宋体" w:cs="Arial"/>
                <w:kern w:val="0"/>
                <w:sz w:val="21"/>
                <w:szCs w:val="21"/>
              </w:rPr>
            </w:pPr>
          </w:p>
        </w:tc>
        <w:tc>
          <w:tcPr>
            <w:tcW w:w="906" w:type="pct"/>
            <w:vAlign w:val="center"/>
          </w:tcPr>
          <w:p w14:paraId="76F602D6">
            <w:pPr>
              <w:adjustRightInd w:val="0"/>
              <w:snapToGrid w:val="0"/>
              <w:jc w:val="center"/>
              <w:rPr>
                <w:rFonts w:ascii="Arial" w:hAnsi="Arial" w:eastAsia="宋体" w:cs="Arial"/>
                <w:kern w:val="0"/>
                <w:sz w:val="21"/>
                <w:szCs w:val="21"/>
              </w:rPr>
            </w:pPr>
          </w:p>
        </w:tc>
        <w:tc>
          <w:tcPr>
            <w:tcW w:w="657" w:type="pct"/>
            <w:vAlign w:val="center"/>
          </w:tcPr>
          <w:p w14:paraId="56D7D2FD">
            <w:pPr>
              <w:adjustRightInd w:val="0"/>
              <w:snapToGrid w:val="0"/>
              <w:jc w:val="center"/>
              <w:rPr>
                <w:rFonts w:ascii="Arial" w:hAnsi="Arial" w:eastAsia="宋体" w:cs="Arial"/>
                <w:sz w:val="21"/>
                <w:szCs w:val="21"/>
              </w:rPr>
            </w:pPr>
          </w:p>
        </w:tc>
        <w:tc>
          <w:tcPr>
            <w:tcW w:w="657" w:type="pct"/>
            <w:vAlign w:val="center"/>
          </w:tcPr>
          <w:p w14:paraId="30C60881">
            <w:pPr>
              <w:adjustRightInd w:val="0"/>
              <w:snapToGrid w:val="0"/>
              <w:jc w:val="center"/>
              <w:rPr>
                <w:rFonts w:ascii="Arial" w:hAnsi="Arial" w:eastAsia="宋体" w:cs="Arial"/>
                <w:sz w:val="21"/>
                <w:szCs w:val="21"/>
              </w:rPr>
            </w:pPr>
          </w:p>
        </w:tc>
      </w:tr>
      <w:tr w14:paraId="17D8E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47B2447">
            <w:pPr>
              <w:adjustRightInd w:val="0"/>
              <w:snapToGrid w:val="0"/>
              <w:jc w:val="center"/>
              <w:rPr>
                <w:rFonts w:ascii="Arial" w:hAnsi="Arial" w:eastAsia="宋体" w:cs="Arial"/>
                <w:sz w:val="21"/>
                <w:szCs w:val="21"/>
              </w:rPr>
            </w:pPr>
          </w:p>
        </w:tc>
        <w:tc>
          <w:tcPr>
            <w:tcW w:w="887" w:type="pct"/>
            <w:vAlign w:val="center"/>
          </w:tcPr>
          <w:p w14:paraId="732B9227">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992E49E">
            <w:pPr>
              <w:adjustRightInd w:val="0"/>
              <w:snapToGrid w:val="0"/>
              <w:jc w:val="center"/>
              <w:rPr>
                <w:rFonts w:ascii="Arial" w:hAnsi="Arial" w:eastAsia="宋体" w:cs="Arial"/>
                <w:kern w:val="0"/>
                <w:sz w:val="21"/>
                <w:szCs w:val="21"/>
              </w:rPr>
            </w:pPr>
          </w:p>
        </w:tc>
        <w:tc>
          <w:tcPr>
            <w:tcW w:w="906" w:type="pct"/>
            <w:vAlign w:val="center"/>
          </w:tcPr>
          <w:p w14:paraId="43596461">
            <w:pPr>
              <w:adjustRightInd w:val="0"/>
              <w:snapToGrid w:val="0"/>
              <w:jc w:val="center"/>
              <w:rPr>
                <w:rFonts w:ascii="Arial" w:hAnsi="Arial" w:eastAsia="宋体" w:cs="Arial"/>
                <w:kern w:val="0"/>
                <w:sz w:val="21"/>
                <w:szCs w:val="21"/>
              </w:rPr>
            </w:pPr>
          </w:p>
        </w:tc>
        <w:tc>
          <w:tcPr>
            <w:tcW w:w="657" w:type="pct"/>
            <w:vAlign w:val="center"/>
          </w:tcPr>
          <w:p w14:paraId="576CB50E">
            <w:pPr>
              <w:adjustRightInd w:val="0"/>
              <w:snapToGrid w:val="0"/>
              <w:jc w:val="center"/>
              <w:rPr>
                <w:rFonts w:ascii="Arial" w:hAnsi="Arial" w:eastAsia="宋体" w:cs="Arial"/>
                <w:sz w:val="21"/>
                <w:szCs w:val="21"/>
              </w:rPr>
            </w:pPr>
          </w:p>
        </w:tc>
        <w:tc>
          <w:tcPr>
            <w:tcW w:w="657" w:type="pct"/>
            <w:vAlign w:val="center"/>
          </w:tcPr>
          <w:p w14:paraId="006AAF6F">
            <w:pPr>
              <w:adjustRightInd w:val="0"/>
              <w:snapToGrid w:val="0"/>
              <w:jc w:val="center"/>
              <w:rPr>
                <w:rFonts w:ascii="Arial" w:hAnsi="Arial" w:eastAsia="宋体" w:cs="Arial"/>
                <w:sz w:val="21"/>
                <w:szCs w:val="21"/>
              </w:rPr>
            </w:pPr>
          </w:p>
        </w:tc>
      </w:tr>
      <w:tr w14:paraId="30369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6C3F984">
            <w:pPr>
              <w:adjustRightInd w:val="0"/>
              <w:snapToGrid w:val="0"/>
              <w:jc w:val="center"/>
              <w:rPr>
                <w:rFonts w:ascii="Arial" w:hAnsi="Arial" w:eastAsia="宋体" w:cs="Arial"/>
                <w:sz w:val="21"/>
                <w:szCs w:val="21"/>
              </w:rPr>
            </w:pPr>
          </w:p>
        </w:tc>
        <w:tc>
          <w:tcPr>
            <w:tcW w:w="887" w:type="pct"/>
            <w:vAlign w:val="center"/>
          </w:tcPr>
          <w:p w14:paraId="5748269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5FC503C">
            <w:pPr>
              <w:adjustRightInd w:val="0"/>
              <w:snapToGrid w:val="0"/>
              <w:jc w:val="center"/>
              <w:rPr>
                <w:rFonts w:ascii="Arial" w:hAnsi="Arial" w:eastAsia="宋体" w:cs="Arial"/>
                <w:kern w:val="0"/>
                <w:sz w:val="21"/>
                <w:szCs w:val="21"/>
              </w:rPr>
            </w:pPr>
          </w:p>
        </w:tc>
        <w:tc>
          <w:tcPr>
            <w:tcW w:w="906" w:type="pct"/>
            <w:vAlign w:val="center"/>
          </w:tcPr>
          <w:p w14:paraId="3B9ED32E">
            <w:pPr>
              <w:adjustRightInd w:val="0"/>
              <w:snapToGrid w:val="0"/>
              <w:jc w:val="center"/>
              <w:rPr>
                <w:rFonts w:ascii="Arial" w:hAnsi="Arial" w:eastAsia="宋体" w:cs="Arial"/>
                <w:kern w:val="0"/>
                <w:sz w:val="21"/>
                <w:szCs w:val="21"/>
              </w:rPr>
            </w:pPr>
          </w:p>
        </w:tc>
        <w:tc>
          <w:tcPr>
            <w:tcW w:w="657" w:type="pct"/>
            <w:vAlign w:val="center"/>
          </w:tcPr>
          <w:p w14:paraId="57186D31">
            <w:pPr>
              <w:adjustRightInd w:val="0"/>
              <w:snapToGrid w:val="0"/>
              <w:jc w:val="center"/>
              <w:rPr>
                <w:rFonts w:ascii="Arial" w:hAnsi="Arial" w:eastAsia="宋体" w:cs="Arial"/>
                <w:sz w:val="21"/>
                <w:szCs w:val="21"/>
              </w:rPr>
            </w:pPr>
          </w:p>
        </w:tc>
        <w:tc>
          <w:tcPr>
            <w:tcW w:w="657" w:type="pct"/>
            <w:vAlign w:val="center"/>
          </w:tcPr>
          <w:p w14:paraId="5F21D6B4">
            <w:pPr>
              <w:adjustRightInd w:val="0"/>
              <w:snapToGrid w:val="0"/>
              <w:jc w:val="center"/>
              <w:rPr>
                <w:rFonts w:ascii="Arial" w:hAnsi="Arial" w:eastAsia="宋体" w:cs="Arial"/>
                <w:sz w:val="21"/>
                <w:szCs w:val="21"/>
              </w:rPr>
            </w:pPr>
          </w:p>
        </w:tc>
      </w:tr>
      <w:tr w14:paraId="66B61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89C5409">
            <w:pPr>
              <w:adjustRightInd w:val="0"/>
              <w:snapToGrid w:val="0"/>
              <w:jc w:val="center"/>
              <w:rPr>
                <w:rFonts w:ascii="Arial" w:hAnsi="Arial" w:eastAsia="宋体" w:cs="Arial"/>
                <w:sz w:val="21"/>
                <w:szCs w:val="21"/>
              </w:rPr>
            </w:pPr>
          </w:p>
        </w:tc>
        <w:tc>
          <w:tcPr>
            <w:tcW w:w="887" w:type="pct"/>
            <w:vAlign w:val="center"/>
          </w:tcPr>
          <w:p w14:paraId="6050C172">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51A2D00">
            <w:pPr>
              <w:adjustRightInd w:val="0"/>
              <w:snapToGrid w:val="0"/>
              <w:jc w:val="center"/>
              <w:rPr>
                <w:rFonts w:ascii="Arial" w:hAnsi="Arial" w:eastAsia="宋体" w:cs="Arial"/>
                <w:kern w:val="0"/>
                <w:sz w:val="21"/>
                <w:szCs w:val="21"/>
              </w:rPr>
            </w:pPr>
          </w:p>
        </w:tc>
        <w:tc>
          <w:tcPr>
            <w:tcW w:w="906" w:type="pct"/>
            <w:vAlign w:val="center"/>
          </w:tcPr>
          <w:p w14:paraId="283D12C6">
            <w:pPr>
              <w:adjustRightInd w:val="0"/>
              <w:snapToGrid w:val="0"/>
              <w:jc w:val="center"/>
              <w:rPr>
                <w:rFonts w:ascii="Arial" w:hAnsi="Arial" w:eastAsia="宋体" w:cs="Arial"/>
                <w:kern w:val="0"/>
                <w:sz w:val="21"/>
                <w:szCs w:val="21"/>
              </w:rPr>
            </w:pPr>
          </w:p>
        </w:tc>
        <w:tc>
          <w:tcPr>
            <w:tcW w:w="657" w:type="pct"/>
            <w:vAlign w:val="center"/>
          </w:tcPr>
          <w:p w14:paraId="4A05EB21">
            <w:pPr>
              <w:adjustRightInd w:val="0"/>
              <w:snapToGrid w:val="0"/>
              <w:jc w:val="center"/>
              <w:rPr>
                <w:rFonts w:ascii="Arial" w:hAnsi="Arial" w:eastAsia="宋体" w:cs="Arial"/>
                <w:sz w:val="21"/>
                <w:szCs w:val="21"/>
              </w:rPr>
            </w:pPr>
          </w:p>
        </w:tc>
        <w:tc>
          <w:tcPr>
            <w:tcW w:w="657" w:type="pct"/>
            <w:vAlign w:val="center"/>
          </w:tcPr>
          <w:p w14:paraId="601A297A">
            <w:pPr>
              <w:adjustRightInd w:val="0"/>
              <w:snapToGrid w:val="0"/>
              <w:jc w:val="center"/>
              <w:rPr>
                <w:rFonts w:ascii="Arial" w:hAnsi="Arial" w:eastAsia="宋体" w:cs="Arial"/>
                <w:sz w:val="21"/>
                <w:szCs w:val="21"/>
              </w:rPr>
            </w:pPr>
          </w:p>
        </w:tc>
      </w:tr>
      <w:tr w14:paraId="59101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3373F4B">
            <w:pPr>
              <w:adjustRightInd w:val="0"/>
              <w:snapToGrid w:val="0"/>
              <w:jc w:val="center"/>
              <w:rPr>
                <w:rFonts w:ascii="Arial" w:hAnsi="Arial" w:eastAsia="宋体" w:cs="Arial"/>
                <w:sz w:val="21"/>
                <w:szCs w:val="21"/>
              </w:rPr>
            </w:pPr>
          </w:p>
        </w:tc>
        <w:tc>
          <w:tcPr>
            <w:tcW w:w="887" w:type="pct"/>
            <w:vAlign w:val="center"/>
          </w:tcPr>
          <w:p w14:paraId="29840E18">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A1D6D49">
            <w:pPr>
              <w:adjustRightInd w:val="0"/>
              <w:snapToGrid w:val="0"/>
              <w:jc w:val="center"/>
              <w:rPr>
                <w:rFonts w:ascii="Arial" w:hAnsi="Arial" w:eastAsia="宋体" w:cs="Arial"/>
                <w:kern w:val="0"/>
                <w:sz w:val="21"/>
                <w:szCs w:val="21"/>
              </w:rPr>
            </w:pPr>
          </w:p>
        </w:tc>
        <w:tc>
          <w:tcPr>
            <w:tcW w:w="906" w:type="pct"/>
            <w:vAlign w:val="center"/>
          </w:tcPr>
          <w:p w14:paraId="65F656B2">
            <w:pPr>
              <w:adjustRightInd w:val="0"/>
              <w:snapToGrid w:val="0"/>
              <w:jc w:val="center"/>
              <w:rPr>
                <w:rFonts w:ascii="Arial" w:hAnsi="Arial" w:eastAsia="宋体" w:cs="Arial"/>
                <w:kern w:val="0"/>
                <w:sz w:val="21"/>
                <w:szCs w:val="21"/>
              </w:rPr>
            </w:pPr>
          </w:p>
        </w:tc>
        <w:tc>
          <w:tcPr>
            <w:tcW w:w="657" w:type="pct"/>
            <w:vAlign w:val="center"/>
          </w:tcPr>
          <w:p w14:paraId="3668C7F3">
            <w:pPr>
              <w:adjustRightInd w:val="0"/>
              <w:snapToGrid w:val="0"/>
              <w:jc w:val="center"/>
              <w:rPr>
                <w:rFonts w:ascii="Arial" w:hAnsi="Arial" w:eastAsia="宋体" w:cs="Arial"/>
                <w:sz w:val="21"/>
                <w:szCs w:val="21"/>
              </w:rPr>
            </w:pPr>
          </w:p>
        </w:tc>
        <w:tc>
          <w:tcPr>
            <w:tcW w:w="657" w:type="pct"/>
            <w:vAlign w:val="center"/>
          </w:tcPr>
          <w:p w14:paraId="6CCB9495">
            <w:pPr>
              <w:adjustRightInd w:val="0"/>
              <w:snapToGrid w:val="0"/>
              <w:jc w:val="center"/>
              <w:rPr>
                <w:rFonts w:ascii="Arial" w:hAnsi="Arial" w:eastAsia="宋体" w:cs="Arial"/>
                <w:sz w:val="21"/>
                <w:szCs w:val="21"/>
              </w:rPr>
            </w:pPr>
          </w:p>
        </w:tc>
      </w:tr>
      <w:tr w14:paraId="6BD15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9C74385">
            <w:pPr>
              <w:adjustRightInd w:val="0"/>
              <w:snapToGrid w:val="0"/>
              <w:jc w:val="center"/>
              <w:rPr>
                <w:rFonts w:ascii="Arial" w:hAnsi="Arial" w:eastAsia="宋体" w:cs="Arial"/>
                <w:sz w:val="21"/>
                <w:szCs w:val="21"/>
              </w:rPr>
            </w:pPr>
          </w:p>
        </w:tc>
        <w:tc>
          <w:tcPr>
            <w:tcW w:w="887" w:type="pct"/>
            <w:vAlign w:val="center"/>
          </w:tcPr>
          <w:p w14:paraId="4C7635DC">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DFD0C04">
            <w:pPr>
              <w:adjustRightInd w:val="0"/>
              <w:snapToGrid w:val="0"/>
              <w:jc w:val="center"/>
              <w:rPr>
                <w:rFonts w:ascii="Arial" w:hAnsi="Arial" w:eastAsia="宋体" w:cs="Arial"/>
                <w:kern w:val="0"/>
                <w:sz w:val="21"/>
                <w:szCs w:val="21"/>
              </w:rPr>
            </w:pPr>
          </w:p>
        </w:tc>
        <w:tc>
          <w:tcPr>
            <w:tcW w:w="906" w:type="pct"/>
            <w:vAlign w:val="center"/>
          </w:tcPr>
          <w:p w14:paraId="1FC2E027">
            <w:pPr>
              <w:adjustRightInd w:val="0"/>
              <w:snapToGrid w:val="0"/>
              <w:jc w:val="center"/>
              <w:rPr>
                <w:rFonts w:ascii="Arial" w:hAnsi="Arial" w:eastAsia="宋体" w:cs="Arial"/>
                <w:kern w:val="0"/>
                <w:sz w:val="21"/>
                <w:szCs w:val="21"/>
              </w:rPr>
            </w:pPr>
          </w:p>
        </w:tc>
        <w:tc>
          <w:tcPr>
            <w:tcW w:w="657" w:type="pct"/>
            <w:vAlign w:val="center"/>
          </w:tcPr>
          <w:p w14:paraId="121E04D3">
            <w:pPr>
              <w:adjustRightInd w:val="0"/>
              <w:snapToGrid w:val="0"/>
              <w:jc w:val="center"/>
              <w:rPr>
                <w:rFonts w:ascii="Arial" w:hAnsi="Arial" w:eastAsia="宋体" w:cs="Arial"/>
                <w:sz w:val="21"/>
                <w:szCs w:val="21"/>
              </w:rPr>
            </w:pPr>
          </w:p>
        </w:tc>
        <w:tc>
          <w:tcPr>
            <w:tcW w:w="657" w:type="pct"/>
            <w:vAlign w:val="center"/>
          </w:tcPr>
          <w:p w14:paraId="24ABBF29">
            <w:pPr>
              <w:adjustRightInd w:val="0"/>
              <w:snapToGrid w:val="0"/>
              <w:jc w:val="center"/>
              <w:rPr>
                <w:rFonts w:ascii="Arial" w:hAnsi="Arial" w:eastAsia="宋体" w:cs="Arial"/>
                <w:sz w:val="21"/>
                <w:szCs w:val="21"/>
              </w:rPr>
            </w:pPr>
          </w:p>
        </w:tc>
      </w:tr>
      <w:tr w14:paraId="73F7B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A0401F3">
            <w:pPr>
              <w:adjustRightInd w:val="0"/>
              <w:snapToGrid w:val="0"/>
              <w:jc w:val="center"/>
              <w:rPr>
                <w:rFonts w:ascii="Arial" w:hAnsi="Arial" w:eastAsia="宋体" w:cs="Arial"/>
                <w:sz w:val="21"/>
                <w:szCs w:val="21"/>
              </w:rPr>
            </w:pPr>
          </w:p>
        </w:tc>
        <w:tc>
          <w:tcPr>
            <w:tcW w:w="887" w:type="pct"/>
            <w:vAlign w:val="center"/>
          </w:tcPr>
          <w:p w14:paraId="66CBBF63">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17A1953">
            <w:pPr>
              <w:adjustRightInd w:val="0"/>
              <w:snapToGrid w:val="0"/>
              <w:jc w:val="center"/>
              <w:rPr>
                <w:rFonts w:ascii="Arial" w:hAnsi="Arial" w:eastAsia="宋体" w:cs="Arial"/>
                <w:kern w:val="0"/>
                <w:sz w:val="21"/>
                <w:szCs w:val="21"/>
              </w:rPr>
            </w:pPr>
          </w:p>
        </w:tc>
        <w:tc>
          <w:tcPr>
            <w:tcW w:w="906" w:type="pct"/>
            <w:vAlign w:val="center"/>
          </w:tcPr>
          <w:p w14:paraId="342A4F42">
            <w:pPr>
              <w:adjustRightInd w:val="0"/>
              <w:snapToGrid w:val="0"/>
              <w:jc w:val="center"/>
              <w:rPr>
                <w:rFonts w:ascii="Arial" w:hAnsi="Arial" w:eastAsia="宋体" w:cs="Arial"/>
                <w:kern w:val="0"/>
                <w:sz w:val="21"/>
                <w:szCs w:val="21"/>
              </w:rPr>
            </w:pPr>
          </w:p>
        </w:tc>
        <w:tc>
          <w:tcPr>
            <w:tcW w:w="657" w:type="pct"/>
            <w:vAlign w:val="center"/>
          </w:tcPr>
          <w:p w14:paraId="562F631A">
            <w:pPr>
              <w:adjustRightInd w:val="0"/>
              <w:snapToGrid w:val="0"/>
              <w:jc w:val="center"/>
              <w:rPr>
                <w:rFonts w:ascii="Arial" w:hAnsi="Arial" w:eastAsia="宋体" w:cs="Arial"/>
                <w:sz w:val="21"/>
                <w:szCs w:val="21"/>
              </w:rPr>
            </w:pPr>
          </w:p>
        </w:tc>
        <w:tc>
          <w:tcPr>
            <w:tcW w:w="657" w:type="pct"/>
            <w:vAlign w:val="center"/>
          </w:tcPr>
          <w:p w14:paraId="72F9CB43">
            <w:pPr>
              <w:adjustRightInd w:val="0"/>
              <w:snapToGrid w:val="0"/>
              <w:jc w:val="center"/>
              <w:rPr>
                <w:rFonts w:ascii="Arial" w:hAnsi="Arial" w:eastAsia="宋体" w:cs="Arial"/>
                <w:sz w:val="21"/>
                <w:szCs w:val="21"/>
              </w:rPr>
            </w:pPr>
          </w:p>
        </w:tc>
      </w:tr>
      <w:tr w14:paraId="01409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1F362BB">
            <w:pPr>
              <w:adjustRightInd w:val="0"/>
              <w:snapToGrid w:val="0"/>
              <w:jc w:val="center"/>
              <w:rPr>
                <w:rFonts w:ascii="Arial" w:hAnsi="Arial" w:eastAsia="宋体" w:cs="Arial"/>
                <w:sz w:val="21"/>
                <w:szCs w:val="21"/>
              </w:rPr>
            </w:pPr>
          </w:p>
        </w:tc>
        <w:tc>
          <w:tcPr>
            <w:tcW w:w="887" w:type="pct"/>
            <w:vAlign w:val="center"/>
          </w:tcPr>
          <w:p w14:paraId="711F4B9D">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58A4C244">
            <w:pPr>
              <w:adjustRightInd w:val="0"/>
              <w:snapToGrid w:val="0"/>
              <w:jc w:val="center"/>
              <w:rPr>
                <w:rFonts w:ascii="Arial" w:hAnsi="Arial" w:eastAsia="宋体" w:cs="Arial"/>
                <w:kern w:val="0"/>
                <w:sz w:val="21"/>
                <w:szCs w:val="21"/>
              </w:rPr>
            </w:pPr>
          </w:p>
        </w:tc>
        <w:tc>
          <w:tcPr>
            <w:tcW w:w="906" w:type="pct"/>
            <w:vAlign w:val="center"/>
          </w:tcPr>
          <w:p w14:paraId="43BDA1C4">
            <w:pPr>
              <w:adjustRightInd w:val="0"/>
              <w:snapToGrid w:val="0"/>
              <w:jc w:val="center"/>
              <w:rPr>
                <w:rFonts w:ascii="Arial" w:hAnsi="Arial" w:eastAsia="宋体" w:cs="Arial"/>
                <w:kern w:val="0"/>
                <w:sz w:val="21"/>
                <w:szCs w:val="21"/>
              </w:rPr>
            </w:pPr>
          </w:p>
        </w:tc>
        <w:tc>
          <w:tcPr>
            <w:tcW w:w="657" w:type="pct"/>
            <w:vAlign w:val="center"/>
          </w:tcPr>
          <w:p w14:paraId="5CF3A7BB">
            <w:pPr>
              <w:adjustRightInd w:val="0"/>
              <w:snapToGrid w:val="0"/>
              <w:jc w:val="center"/>
              <w:rPr>
                <w:rFonts w:ascii="Arial" w:hAnsi="Arial" w:eastAsia="宋体" w:cs="Arial"/>
                <w:sz w:val="21"/>
                <w:szCs w:val="21"/>
              </w:rPr>
            </w:pPr>
          </w:p>
        </w:tc>
        <w:tc>
          <w:tcPr>
            <w:tcW w:w="657" w:type="pct"/>
            <w:vAlign w:val="center"/>
          </w:tcPr>
          <w:p w14:paraId="0A768E5F">
            <w:pPr>
              <w:adjustRightInd w:val="0"/>
              <w:snapToGrid w:val="0"/>
              <w:jc w:val="center"/>
              <w:rPr>
                <w:rFonts w:ascii="Arial" w:hAnsi="Arial" w:eastAsia="宋体" w:cs="Arial"/>
                <w:sz w:val="21"/>
                <w:szCs w:val="21"/>
              </w:rPr>
            </w:pPr>
          </w:p>
        </w:tc>
      </w:tr>
      <w:tr w14:paraId="1053C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6498B17">
            <w:pPr>
              <w:adjustRightInd w:val="0"/>
              <w:snapToGrid w:val="0"/>
              <w:jc w:val="center"/>
              <w:rPr>
                <w:rFonts w:ascii="Arial" w:hAnsi="Arial" w:eastAsia="宋体" w:cs="Arial"/>
                <w:sz w:val="21"/>
                <w:szCs w:val="21"/>
              </w:rPr>
            </w:pPr>
          </w:p>
        </w:tc>
        <w:tc>
          <w:tcPr>
            <w:tcW w:w="887" w:type="pct"/>
            <w:vAlign w:val="center"/>
          </w:tcPr>
          <w:p w14:paraId="6E69AB33">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6D9B18F">
            <w:pPr>
              <w:adjustRightInd w:val="0"/>
              <w:snapToGrid w:val="0"/>
              <w:jc w:val="center"/>
              <w:rPr>
                <w:rFonts w:ascii="Arial" w:hAnsi="Arial" w:eastAsia="宋体" w:cs="Arial"/>
                <w:kern w:val="0"/>
                <w:sz w:val="21"/>
                <w:szCs w:val="21"/>
              </w:rPr>
            </w:pPr>
          </w:p>
        </w:tc>
        <w:tc>
          <w:tcPr>
            <w:tcW w:w="906" w:type="pct"/>
            <w:vAlign w:val="center"/>
          </w:tcPr>
          <w:p w14:paraId="487D9E14">
            <w:pPr>
              <w:adjustRightInd w:val="0"/>
              <w:snapToGrid w:val="0"/>
              <w:jc w:val="center"/>
              <w:rPr>
                <w:rFonts w:ascii="Arial" w:hAnsi="Arial" w:eastAsia="宋体" w:cs="Arial"/>
                <w:kern w:val="0"/>
                <w:sz w:val="21"/>
                <w:szCs w:val="21"/>
              </w:rPr>
            </w:pPr>
          </w:p>
        </w:tc>
        <w:tc>
          <w:tcPr>
            <w:tcW w:w="657" w:type="pct"/>
            <w:vAlign w:val="center"/>
          </w:tcPr>
          <w:p w14:paraId="16264B05">
            <w:pPr>
              <w:adjustRightInd w:val="0"/>
              <w:snapToGrid w:val="0"/>
              <w:jc w:val="center"/>
              <w:rPr>
                <w:rFonts w:ascii="Arial" w:hAnsi="Arial" w:eastAsia="宋体" w:cs="Arial"/>
                <w:sz w:val="21"/>
                <w:szCs w:val="21"/>
              </w:rPr>
            </w:pPr>
          </w:p>
        </w:tc>
        <w:tc>
          <w:tcPr>
            <w:tcW w:w="657" w:type="pct"/>
            <w:vAlign w:val="center"/>
          </w:tcPr>
          <w:p w14:paraId="5618CBEB">
            <w:pPr>
              <w:adjustRightInd w:val="0"/>
              <w:snapToGrid w:val="0"/>
              <w:jc w:val="center"/>
              <w:rPr>
                <w:rFonts w:ascii="Arial" w:hAnsi="Arial" w:eastAsia="宋体" w:cs="Arial"/>
                <w:sz w:val="21"/>
                <w:szCs w:val="21"/>
              </w:rPr>
            </w:pPr>
          </w:p>
        </w:tc>
      </w:tr>
      <w:tr w14:paraId="1471D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9E05F5D">
            <w:pPr>
              <w:adjustRightInd w:val="0"/>
              <w:snapToGrid w:val="0"/>
              <w:jc w:val="center"/>
              <w:rPr>
                <w:rFonts w:ascii="Arial" w:hAnsi="Arial" w:eastAsia="宋体" w:cs="Arial"/>
                <w:sz w:val="21"/>
                <w:szCs w:val="21"/>
              </w:rPr>
            </w:pPr>
          </w:p>
        </w:tc>
        <w:tc>
          <w:tcPr>
            <w:tcW w:w="887" w:type="pct"/>
            <w:vAlign w:val="center"/>
          </w:tcPr>
          <w:p w14:paraId="2FB7746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BF9C347">
            <w:pPr>
              <w:adjustRightInd w:val="0"/>
              <w:snapToGrid w:val="0"/>
              <w:jc w:val="center"/>
              <w:rPr>
                <w:rFonts w:ascii="Arial" w:hAnsi="Arial" w:eastAsia="宋体" w:cs="Arial"/>
                <w:kern w:val="0"/>
                <w:sz w:val="21"/>
                <w:szCs w:val="21"/>
              </w:rPr>
            </w:pPr>
          </w:p>
        </w:tc>
        <w:tc>
          <w:tcPr>
            <w:tcW w:w="906" w:type="pct"/>
            <w:vAlign w:val="center"/>
          </w:tcPr>
          <w:p w14:paraId="27C53A2F">
            <w:pPr>
              <w:adjustRightInd w:val="0"/>
              <w:snapToGrid w:val="0"/>
              <w:jc w:val="center"/>
              <w:rPr>
                <w:rFonts w:ascii="Arial" w:hAnsi="Arial" w:eastAsia="宋体" w:cs="Arial"/>
                <w:kern w:val="0"/>
                <w:sz w:val="21"/>
                <w:szCs w:val="21"/>
              </w:rPr>
            </w:pPr>
          </w:p>
        </w:tc>
        <w:tc>
          <w:tcPr>
            <w:tcW w:w="657" w:type="pct"/>
            <w:vAlign w:val="center"/>
          </w:tcPr>
          <w:p w14:paraId="5455EA2D">
            <w:pPr>
              <w:adjustRightInd w:val="0"/>
              <w:snapToGrid w:val="0"/>
              <w:jc w:val="center"/>
              <w:rPr>
                <w:rFonts w:ascii="Arial" w:hAnsi="Arial" w:eastAsia="宋体" w:cs="Arial"/>
                <w:sz w:val="21"/>
                <w:szCs w:val="21"/>
              </w:rPr>
            </w:pPr>
          </w:p>
        </w:tc>
        <w:tc>
          <w:tcPr>
            <w:tcW w:w="657" w:type="pct"/>
            <w:vAlign w:val="center"/>
          </w:tcPr>
          <w:p w14:paraId="7F0596A9">
            <w:pPr>
              <w:adjustRightInd w:val="0"/>
              <w:snapToGrid w:val="0"/>
              <w:jc w:val="center"/>
              <w:rPr>
                <w:rFonts w:ascii="Arial" w:hAnsi="Arial" w:eastAsia="宋体" w:cs="Arial"/>
                <w:sz w:val="21"/>
                <w:szCs w:val="21"/>
              </w:rPr>
            </w:pPr>
          </w:p>
        </w:tc>
      </w:tr>
      <w:tr w14:paraId="07EDC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EF29BC6">
            <w:pPr>
              <w:adjustRightInd w:val="0"/>
              <w:snapToGrid w:val="0"/>
              <w:jc w:val="center"/>
              <w:rPr>
                <w:rFonts w:ascii="Arial" w:hAnsi="Arial" w:eastAsia="宋体" w:cs="Arial"/>
                <w:sz w:val="21"/>
                <w:szCs w:val="21"/>
              </w:rPr>
            </w:pPr>
          </w:p>
        </w:tc>
        <w:tc>
          <w:tcPr>
            <w:tcW w:w="887" w:type="pct"/>
            <w:vAlign w:val="center"/>
          </w:tcPr>
          <w:p w14:paraId="6C4EE4E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9AF5F96">
            <w:pPr>
              <w:adjustRightInd w:val="0"/>
              <w:snapToGrid w:val="0"/>
              <w:jc w:val="center"/>
              <w:rPr>
                <w:rFonts w:ascii="Arial" w:hAnsi="Arial" w:eastAsia="宋体" w:cs="Arial"/>
                <w:kern w:val="0"/>
                <w:sz w:val="21"/>
                <w:szCs w:val="21"/>
              </w:rPr>
            </w:pPr>
          </w:p>
        </w:tc>
        <w:tc>
          <w:tcPr>
            <w:tcW w:w="906" w:type="pct"/>
            <w:vAlign w:val="center"/>
          </w:tcPr>
          <w:p w14:paraId="47F2BADC">
            <w:pPr>
              <w:adjustRightInd w:val="0"/>
              <w:snapToGrid w:val="0"/>
              <w:jc w:val="center"/>
              <w:rPr>
                <w:rFonts w:ascii="Arial" w:hAnsi="Arial" w:eastAsia="宋体" w:cs="Arial"/>
                <w:kern w:val="0"/>
                <w:sz w:val="21"/>
                <w:szCs w:val="21"/>
              </w:rPr>
            </w:pPr>
          </w:p>
        </w:tc>
        <w:tc>
          <w:tcPr>
            <w:tcW w:w="657" w:type="pct"/>
            <w:vAlign w:val="center"/>
          </w:tcPr>
          <w:p w14:paraId="45F75AB2">
            <w:pPr>
              <w:adjustRightInd w:val="0"/>
              <w:snapToGrid w:val="0"/>
              <w:jc w:val="center"/>
              <w:rPr>
                <w:rFonts w:ascii="Arial" w:hAnsi="Arial" w:eastAsia="宋体" w:cs="Arial"/>
                <w:sz w:val="21"/>
                <w:szCs w:val="21"/>
              </w:rPr>
            </w:pPr>
          </w:p>
        </w:tc>
        <w:tc>
          <w:tcPr>
            <w:tcW w:w="657" w:type="pct"/>
            <w:vAlign w:val="center"/>
          </w:tcPr>
          <w:p w14:paraId="3D5F3129">
            <w:pPr>
              <w:adjustRightInd w:val="0"/>
              <w:snapToGrid w:val="0"/>
              <w:jc w:val="center"/>
              <w:rPr>
                <w:rFonts w:ascii="Arial" w:hAnsi="Arial" w:eastAsia="宋体" w:cs="Arial"/>
                <w:sz w:val="21"/>
                <w:szCs w:val="21"/>
              </w:rPr>
            </w:pPr>
          </w:p>
        </w:tc>
      </w:tr>
      <w:tr w14:paraId="4EE32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8999DE0">
            <w:pPr>
              <w:adjustRightInd w:val="0"/>
              <w:snapToGrid w:val="0"/>
              <w:jc w:val="center"/>
              <w:rPr>
                <w:rFonts w:ascii="Arial" w:hAnsi="Arial" w:eastAsia="宋体" w:cs="Arial"/>
                <w:sz w:val="21"/>
                <w:szCs w:val="21"/>
              </w:rPr>
            </w:pPr>
          </w:p>
        </w:tc>
        <w:tc>
          <w:tcPr>
            <w:tcW w:w="887" w:type="pct"/>
            <w:vAlign w:val="center"/>
          </w:tcPr>
          <w:p w14:paraId="484A6A4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9DAE4DA">
            <w:pPr>
              <w:adjustRightInd w:val="0"/>
              <w:snapToGrid w:val="0"/>
              <w:jc w:val="center"/>
              <w:rPr>
                <w:rFonts w:ascii="Arial" w:hAnsi="Arial" w:eastAsia="宋体" w:cs="Arial"/>
                <w:kern w:val="0"/>
                <w:sz w:val="21"/>
                <w:szCs w:val="21"/>
              </w:rPr>
            </w:pPr>
          </w:p>
        </w:tc>
        <w:tc>
          <w:tcPr>
            <w:tcW w:w="906" w:type="pct"/>
            <w:vAlign w:val="center"/>
          </w:tcPr>
          <w:p w14:paraId="0D8A639A">
            <w:pPr>
              <w:adjustRightInd w:val="0"/>
              <w:snapToGrid w:val="0"/>
              <w:jc w:val="center"/>
              <w:rPr>
                <w:rFonts w:ascii="Arial" w:hAnsi="Arial" w:eastAsia="宋体" w:cs="Arial"/>
                <w:kern w:val="0"/>
                <w:sz w:val="21"/>
                <w:szCs w:val="21"/>
              </w:rPr>
            </w:pPr>
          </w:p>
        </w:tc>
        <w:tc>
          <w:tcPr>
            <w:tcW w:w="657" w:type="pct"/>
            <w:vAlign w:val="center"/>
          </w:tcPr>
          <w:p w14:paraId="111BCDB6">
            <w:pPr>
              <w:adjustRightInd w:val="0"/>
              <w:snapToGrid w:val="0"/>
              <w:jc w:val="center"/>
              <w:rPr>
                <w:rFonts w:ascii="Arial" w:hAnsi="Arial" w:eastAsia="宋体" w:cs="Arial"/>
                <w:sz w:val="21"/>
                <w:szCs w:val="21"/>
              </w:rPr>
            </w:pPr>
          </w:p>
        </w:tc>
        <w:tc>
          <w:tcPr>
            <w:tcW w:w="657" w:type="pct"/>
            <w:vAlign w:val="center"/>
          </w:tcPr>
          <w:p w14:paraId="72AF6C85">
            <w:pPr>
              <w:adjustRightInd w:val="0"/>
              <w:snapToGrid w:val="0"/>
              <w:jc w:val="center"/>
              <w:rPr>
                <w:rFonts w:ascii="Arial" w:hAnsi="Arial" w:eastAsia="宋体" w:cs="Arial"/>
                <w:sz w:val="21"/>
                <w:szCs w:val="21"/>
              </w:rPr>
            </w:pPr>
          </w:p>
        </w:tc>
      </w:tr>
      <w:tr w14:paraId="1B9D0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C503D25">
            <w:pPr>
              <w:adjustRightInd w:val="0"/>
              <w:snapToGrid w:val="0"/>
              <w:jc w:val="center"/>
              <w:rPr>
                <w:rFonts w:ascii="Arial" w:hAnsi="Arial" w:eastAsia="宋体" w:cs="Arial"/>
                <w:sz w:val="21"/>
                <w:szCs w:val="21"/>
              </w:rPr>
            </w:pPr>
          </w:p>
        </w:tc>
        <w:tc>
          <w:tcPr>
            <w:tcW w:w="887" w:type="pct"/>
            <w:vAlign w:val="center"/>
          </w:tcPr>
          <w:p w14:paraId="2D46B80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D0E49CC">
            <w:pPr>
              <w:adjustRightInd w:val="0"/>
              <w:snapToGrid w:val="0"/>
              <w:jc w:val="center"/>
              <w:rPr>
                <w:rFonts w:ascii="Arial" w:hAnsi="Arial" w:eastAsia="宋体" w:cs="Arial"/>
                <w:kern w:val="0"/>
                <w:sz w:val="21"/>
                <w:szCs w:val="21"/>
              </w:rPr>
            </w:pPr>
          </w:p>
        </w:tc>
        <w:tc>
          <w:tcPr>
            <w:tcW w:w="906" w:type="pct"/>
            <w:vAlign w:val="center"/>
          </w:tcPr>
          <w:p w14:paraId="7831D080">
            <w:pPr>
              <w:adjustRightInd w:val="0"/>
              <w:snapToGrid w:val="0"/>
              <w:jc w:val="center"/>
              <w:rPr>
                <w:rFonts w:ascii="Arial" w:hAnsi="Arial" w:eastAsia="宋体" w:cs="Arial"/>
                <w:kern w:val="0"/>
                <w:sz w:val="21"/>
                <w:szCs w:val="21"/>
              </w:rPr>
            </w:pPr>
          </w:p>
        </w:tc>
        <w:tc>
          <w:tcPr>
            <w:tcW w:w="657" w:type="pct"/>
            <w:vAlign w:val="center"/>
          </w:tcPr>
          <w:p w14:paraId="2A18C3F3">
            <w:pPr>
              <w:adjustRightInd w:val="0"/>
              <w:snapToGrid w:val="0"/>
              <w:jc w:val="center"/>
              <w:rPr>
                <w:rFonts w:ascii="Arial" w:hAnsi="Arial" w:eastAsia="宋体" w:cs="Arial"/>
                <w:sz w:val="21"/>
                <w:szCs w:val="21"/>
              </w:rPr>
            </w:pPr>
          </w:p>
        </w:tc>
        <w:tc>
          <w:tcPr>
            <w:tcW w:w="657" w:type="pct"/>
            <w:vAlign w:val="center"/>
          </w:tcPr>
          <w:p w14:paraId="13220816">
            <w:pPr>
              <w:adjustRightInd w:val="0"/>
              <w:snapToGrid w:val="0"/>
              <w:jc w:val="center"/>
              <w:rPr>
                <w:rFonts w:ascii="Arial" w:hAnsi="Arial" w:eastAsia="宋体" w:cs="Arial"/>
                <w:sz w:val="21"/>
                <w:szCs w:val="21"/>
              </w:rPr>
            </w:pPr>
          </w:p>
        </w:tc>
      </w:tr>
      <w:tr w14:paraId="2DE2D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125ED33">
            <w:pPr>
              <w:adjustRightInd w:val="0"/>
              <w:snapToGrid w:val="0"/>
              <w:jc w:val="center"/>
              <w:rPr>
                <w:rFonts w:ascii="Arial" w:hAnsi="Arial" w:eastAsia="宋体" w:cs="Arial"/>
                <w:sz w:val="21"/>
                <w:szCs w:val="21"/>
              </w:rPr>
            </w:pPr>
          </w:p>
        </w:tc>
        <w:tc>
          <w:tcPr>
            <w:tcW w:w="887" w:type="pct"/>
            <w:vAlign w:val="center"/>
          </w:tcPr>
          <w:p w14:paraId="57099FAF">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73FD49E">
            <w:pPr>
              <w:adjustRightInd w:val="0"/>
              <w:snapToGrid w:val="0"/>
              <w:jc w:val="center"/>
              <w:rPr>
                <w:rFonts w:ascii="Arial" w:hAnsi="Arial" w:eastAsia="宋体" w:cs="Arial"/>
                <w:kern w:val="0"/>
                <w:sz w:val="21"/>
                <w:szCs w:val="21"/>
              </w:rPr>
            </w:pPr>
          </w:p>
        </w:tc>
        <w:tc>
          <w:tcPr>
            <w:tcW w:w="906" w:type="pct"/>
            <w:vAlign w:val="center"/>
          </w:tcPr>
          <w:p w14:paraId="56CC7548">
            <w:pPr>
              <w:adjustRightInd w:val="0"/>
              <w:snapToGrid w:val="0"/>
              <w:jc w:val="center"/>
              <w:rPr>
                <w:rFonts w:ascii="Arial" w:hAnsi="Arial" w:eastAsia="宋体" w:cs="Arial"/>
                <w:kern w:val="0"/>
                <w:sz w:val="21"/>
                <w:szCs w:val="21"/>
              </w:rPr>
            </w:pPr>
          </w:p>
        </w:tc>
        <w:tc>
          <w:tcPr>
            <w:tcW w:w="657" w:type="pct"/>
            <w:vAlign w:val="center"/>
          </w:tcPr>
          <w:p w14:paraId="7CBC3AB9">
            <w:pPr>
              <w:adjustRightInd w:val="0"/>
              <w:snapToGrid w:val="0"/>
              <w:jc w:val="center"/>
              <w:rPr>
                <w:rFonts w:ascii="Arial" w:hAnsi="Arial" w:eastAsia="宋体" w:cs="Arial"/>
                <w:sz w:val="21"/>
                <w:szCs w:val="21"/>
              </w:rPr>
            </w:pPr>
          </w:p>
        </w:tc>
        <w:tc>
          <w:tcPr>
            <w:tcW w:w="657" w:type="pct"/>
            <w:vAlign w:val="center"/>
          </w:tcPr>
          <w:p w14:paraId="5C25B6CD">
            <w:pPr>
              <w:adjustRightInd w:val="0"/>
              <w:snapToGrid w:val="0"/>
              <w:jc w:val="center"/>
              <w:rPr>
                <w:rFonts w:ascii="Arial" w:hAnsi="Arial" w:eastAsia="宋体" w:cs="Arial"/>
                <w:sz w:val="21"/>
                <w:szCs w:val="21"/>
              </w:rPr>
            </w:pPr>
          </w:p>
        </w:tc>
      </w:tr>
      <w:tr w14:paraId="0EC74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1610761">
            <w:pPr>
              <w:adjustRightInd w:val="0"/>
              <w:snapToGrid w:val="0"/>
              <w:jc w:val="center"/>
              <w:rPr>
                <w:rFonts w:ascii="Arial" w:hAnsi="Arial" w:eastAsia="宋体" w:cs="Arial"/>
                <w:sz w:val="21"/>
                <w:szCs w:val="21"/>
              </w:rPr>
            </w:pPr>
          </w:p>
        </w:tc>
        <w:tc>
          <w:tcPr>
            <w:tcW w:w="887" w:type="pct"/>
            <w:vAlign w:val="center"/>
          </w:tcPr>
          <w:p w14:paraId="326514E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ADF4405">
            <w:pPr>
              <w:adjustRightInd w:val="0"/>
              <w:snapToGrid w:val="0"/>
              <w:jc w:val="center"/>
              <w:rPr>
                <w:rFonts w:ascii="Arial" w:hAnsi="Arial" w:eastAsia="宋体" w:cs="Arial"/>
                <w:sz w:val="21"/>
                <w:szCs w:val="21"/>
                <w:lang w:bidi="ar"/>
              </w:rPr>
            </w:pPr>
          </w:p>
        </w:tc>
        <w:tc>
          <w:tcPr>
            <w:tcW w:w="906" w:type="pct"/>
            <w:vAlign w:val="center"/>
          </w:tcPr>
          <w:p w14:paraId="124161D0">
            <w:pPr>
              <w:adjustRightInd w:val="0"/>
              <w:snapToGrid w:val="0"/>
              <w:jc w:val="center"/>
              <w:rPr>
                <w:rFonts w:ascii="Arial" w:hAnsi="Arial" w:eastAsia="宋体" w:cs="Arial"/>
                <w:sz w:val="21"/>
                <w:szCs w:val="21"/>
                <w:lang w:bidi="ar"/>
              </w:rPr>
            </w:pPr>
          </w:p>
        </w:tc>
        <w:tc>
          <w:tcPr>
            <w:tcW w:w="657" w:type="pct"/>
            <w:vAlign w:val="center"/>
          </w:tcPr>
          <w:p w14:paraId="715234E9">
            <w:pPr>
              <w:adjustRightInd w:val="0"/>
              <w:snapToGrid w:val="0"/>
              <w:jc w:val="center"/>
              <w:rPr>
                <w:rFonts w:ascii="Arial" w:hAnsi="Arial" w:eastAsia="宋体" w:cs="Arial"/>
                <w:sz w:val="21"/>
                <w:szCs w:val="21"/>
              </w:rPr>
            </w:pPr>
          </w:p>
        </w:tc>
        <w:tc>
          <w:tcPr>
            <w:tcW w:w="657" w:type="pct"/>
            <w:vAlign w:val="center"/>
          </w:tcPr>
          <w:p w14:paraId="79C4D25E">
            <w:pPr>
              <w:adjustRightInd w:val="0"/>
              <w:snapToGrid w:val="0"/>
              <w:jc w:val="center"/>
              <w:rPr>
                <w:rFonts w:ascii="Arial" w:hAnsi="Arial" w:eastAsia="宋体" w:cs="Arial"/>
                <w:sz w:val="21"/>
                <w:szCs w:val="21"/>
              </w:rPr>
            </w:pPr>
          </w:p>
        </w:tc>
      </w:tr>
    </w:tbl>
    <w:p w14:paraId="0DEB5AEF">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T2MSP萃取车间旁土壤现状监测结果   单位：mg/kg（pH除外）</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3"/>
        <w:gridCol w:w="1595"/>
        <w:gridCol w:w="1631"/>
        <w:gridCol w:w="1630"/>
        <w:gridCol w:w="1182"/>
        <w:gridCol w:w="1182"/>
      </w:tblGrid>
      <w:tr w14:paraId="46DA9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6" w:type="pct"/>
            <w:vMerge w:val="restart"/>
            <w:vAlign w:val="center"/>
          </w:tcPr>
          <w:p w14:paraId="190C3B06">
            <w:pPr>
              <w:adjustRightInd w:val="0"/>
              <w:snapToGrid w:val="0"/>
              <w:jc w:val="center"/>
              <w:rPr>
                <w:rFonts w:ascii="Arial" w:hAnsi="Arial" w:eastAsia="宋体" w:cs="Arial"/>
                <w:kern w:val="0"/>
                <w:sz w:val="21"/>
                <w:szCs w:val="21"/>
              </w:rPr>
            </w:pPr>
          </w:p>
        </w:tc>
        <w:tc>
          <w:tcPr>
            <w:tcW w:w="2700" w:type="pct"/>
            <w:gridSpan w:val="3"/>
            <w:vAlign w:val="center"/>
          </w:tcPr>
          <w:p w14:paraId="05411180">
            <w:pPr>
              <w:adjustRightInd w:val="0"/>
              <w:snapToGrid w:val="0"/>
              <w:jc w:val="center"/>
              <w:rPr>
                <w:rFonts w:ascii="Arial" w:hAnsi="Arial" w:eastAsia="宋体" w:cs="Arial"/>
                <w:kern w:val="0"/>
                <w:sz w:val="21"/>
                <w:szCs w:val="21"/>
              </w:rPr>
            </w:pPr>
          </w:p>
        </w:tc>
        <w:tc>
          <w:tcPr>
            <w:tcW w:w="657" w:type="pct"/>
            <w:vMerge w:val="restart"/>
            <w:vAlign w:val="center"/>
          </w:tcPr>
          <w:p w14:paraId="2C491772">
            <w:pPr>
              <w:adjustRightInd w:val="0"/>
              <w:snapToGrid w:val="0"/>
              <w:jc w:val="center"/>
              <w:rPr>
                <w:rFonts w:ascii="Arial" w:hAnsi="Arial" w:eastAsia="宋体" w:cs="Arial"/>
                <w:kern w:val="0"/>
                <w:sz w:val="21"/>
                <w:szCs w:val="21"/>
              </w:rPr>
            </w:pPr>
          </w:p>
        </w:tc>
        <w:tc>
          <w:tcPr>
            <w:tcW w:w="657" w:type="pct"/>
            <w:vMerge w:val="restart"/>
            <w:vAlign w:val="center"/>
          </w:tcPr>
          <w:p w14:paraId="0B152FE2">
            <w:pPr>
              <w:adjustRightInd w:val="0"/>
              <w:snapToGrid w:val="0"/>
              <w:jc w:val="center"/>
              <w:rPr>
                <w:rFonts w:ascii="Arial" w:hAnsi="Arial" w:eastAsia="宋体" w:cs="Arial"/>
                <w:spacing w:val="10"/>
                <w:sz w:val="21"/>
                <w:szCs w:val="21"/>
              </w:rPr>
            </w:pPr>
          </w:p>
        </w:tc>
      </w:tr>
      <w:tr w14:paraId="0CF25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6" w:type="pct"/>
            <w:vMerge w:val="continue"/>
            <w:vAlign w:val="center"/>
          </w:tcPr>
          <w:p w14:paraId="4C0B3D65">
            <w:pPr>
              <w:widowControl/>
              <w:adjustRightInd w:val="0"/>
              <w:snapToGrid w:val="0"/>
              <w:jc w:val="center"/>
              <w:rPr>
                <w:rFonts w:ascii="Arial" w:hAnsi="Arial" w:eastAsia="宋体" w:cs="Arial"/>
                <w:kern w:val="0"/>
                <w:sz w:val="21"/>
                <w:szCs w:val="21"/>
              </w:rPr>
            </w:pPr>
          </w:p>
        </w:tc>
        <w:tc>
          <w:tcPr>
            <w:tcW w:w="887" w:type="pct"/>
            <w:vAlign w:val="center"/>
          </w:tcPr>
          <w:p w14:paraId="663F2F7E">
            <w:pPr>
              <w:adjustRightInd w:val="0"/>
              <w:snapToGrid w:val="0"/>
              <w:jc w:val="center"/>
              <w:rPr>
                <w:rFonts w:ascii="Arial" w:hAnsi="Arial" w:eastAsia="宋体" w:cs="Arial"/>
                <w:sz w:val="21"/>
                <w:szCs w:val="21"/>
              </w:rPr>
            </w:pPr>
          </w:p>
        </w:tc>
        <w:tc>
          <w:tcPr>
            <w:tcW w:w="907" w:type="pct"/>
            <w:vAlign w:val="center"/>
          </w:tcPr>
          <w:p w14:paraId="210DF2E1">
            <w:pPr>
              <w:adjustRightInd w:val="0"/>
              <w:snapToGrid w:val="0"/>
              <w:jc w:val="center"/>
              <w:rPr>
                <w:rFonts w:ascii="Arial" w:hAnsi="Arial" w:eastAsia="宋体" w:cs="Arial"/>
                <w:sz w:val="21"/>
                <w:szCs w:val="21"/>
              </w:rPr>
            </w:pPr>
          </w:p>
        </w:tc>
        <w:tc>
          <w:tcPr>
            <w:tcW w:w="906" w:type="pct"/>
            <w:vAlign w:val="center"/>
          </w:tcPr>
          <w:p w14:paraId="2F2B701D">
            <w:pPr>
              <w:adjustRightInd w:val="0"/>
              <w:snapToGrid w:val="0"/>
              <w:jc w:val="center"/>
              <w:rPr>
                <w:rFonts w:ascii="Arial" w:hAnsi="Arial" w:eastAsia="宋体" w:cs="Arial"/>
                <w:kern w:val="0"/>
                <w:sz w:val="21"/>
                <w:szCs w:val="21"/>
              </w:rPr>
            </w:pPr>
          </w:p>
        </w:tc>
        <w:tc>
          <w:tcPr>
            <w:tcW w:w="657" w:type="pct"/>
            <w:vMerge w:val="continue"/>
            <w:vAlign w:val="center"/>
          </w:tcPr>
          <w:p w14:paraId="3078E23A">
            <w:pPr>
              <w:widowControl/>
              <w:adjustRightInd w:val="0"/>
              <w:snapToGrid w:val="0"/>
              <w:jc w:val="center"/>
              <w:rPr>
                <w:rFonts w:ascii="Arial" w:hAnsi="Arial" w:eastAsia="宋体" w:cs="Arial"/>
                <w:kern w:val="0"/>
                <w:sz w:val="21"/>
                <w:szCs w:val="21"/>
              </w:rPr>
            </w:pPr>
          </w:p>
        </w:tc>
        <w:tc>
          <w:tcPr>
            <w:tcW w:w="657" w:type="pct"/>
            <w:vMerge w:val="continue"/>
            <w:vAlign w:val="center"/>
          </w:tcPr>
          <w:p w14:paraId="288B8ECF">
            <w:pPr>
              <w:widowControl/>
              <w:adjustRightInd w:val="0"/>
              <w:snapToGrid w:val="0"/>
              <w:jc w:val="center"/>
              <w:rPr>
                <w:rFonts w:ascii="Arial" w:hAnsi="Arial" w:eastAsia="宋体" w:cs="Arial"/>
                <w:kern w:val="0"/>
                <w:sz w:val="21"/>
                <w:szCs w:val="21"/>
              </w:rPr>
            </w:pPr>
          </w:p>
        </w:tc>
      </w:tr>
      <w:tr w14:paraId="39F64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7EC0712">
            <w:pPr>
              <w:adjustRightInd w:val="0"/>
              <w:snapToGrid w:val="0"/>
              <w:jc w:val="center"/>
              <w:rPr>
                <w:rFonts w:ascii="Arial" w:hAnsi="Arial" w:eastAsia="宋体" w:cs="Arial"/>
                <w:sz w:val="21"/>
                <w:szCs w:val="21"/>
              </w:rPr>
            </w:pPr>
          </w:p>
        </w:tc>
        <w:tc>
          <w:tcPr>
            <w:tcW w:w="887" w:type="pct"/>
            <w:vAlign w:val="center"/>
          </w:tcPr>
          <w:p w14:paraId="44D81056">
            <w:pPr>
              <w:adjustRightInd w:val="0"/>
              <w:snapToGrid w:val="0"/>
              <w:jc w:val="center"/>
              <w:rPr>
                <w:rFonts w:ascii="Arial" w:hAnsi="Arial" w:eastAsia="宋体" w:cs="Arial"/>
                <w:sz w:val="21"/>
                <w:szCs w:val="21"/>
              </w:rPr>
            </w:pPr>
          </w:p>
        </w:tc>
        <w:tc>
          <w:tcPr>
            <w:tcW w:w="907" w:type="pct"/>
            <w:vAlign w:val="center"/>
          </w:tcPr>
          <w:p w14:paraId="2FF78211">
            <w:pPr>
              <w:adjustRightInd w:val="0"/>
              <w:snapToGrid w:val="0"/>
              <w:jc w:val="center"/>
              <w:rPr>
                <w:rFonts w:ascii="Arial" w:hAnsi="Arial" w:eastAsia="宋体" w:cs="Arial"/>
                <w:sz w:val="21"/>
                <w:szCs w:val="21"/>
              </w:rPr>
            </w:pPr>
          </w:p>
        </w:tc>
        <w:tc>
          <w:tcPr>
            <w:tcW w:w="906" w:type="pct"/>
            <w:vAlign w:val="center"/>
          </w:tcPr>
          <w:p w14:paraId="4545A350">
            <w:pPr>
              <w:adjustRightInd w:val="0"/>
              <w:snapToGrid w:val="0"/>
              <w:jc w:val="center"/>
              <w:rPr>
                <w:rFonts w:ascii="Arial" w:hAnsi="Arial" w:eastAsia="宋体" w:cs="Arial"/>
                <w:sz w:val="21"/>
                <w:szCs w:val="21"/>
              </w:rPr>
            </w:pPr>
          </w:p>
        </w:tc>
        <w:tc>
          <w:tcPr>
            <w:tcW w:w="657" w:type="pct"/>
            <w:vAlign w:val="center"/>
          </w:tcPr>
          <w:p w14:paraId="1B970570">
            <w:pPr>
              <w:adjustRightInd w:val="0"/>
              <w:snapToGrid w:val="0"/>
              <w:jc w:val="center"/>
              <w:rPr>
                <w:rFonts w:ascii="Arial" w:hAnsi="Arial" w:eastAsia="宋体" w:cs="Arial"/>
                <w:sz w:val="21"/>
                <w:szCs w:val="21"/>
              </w:rPr>
            </w:pPr>
          </w:p>
        </w:tc>
        <w:tc>
          <w:tcPr>
            <w:tcW w:w="657" w:type="pct"/>
            <w:vAlign w:val="center"/>
          </w:tcPr>
          <w:p w14:paraId="0BB85735">
            <w:pPr>
              <w:adjustRightInd w:val="0"/>
              <w:snapToGrid w:val="0"/>
              <w:jc w:val="center"/>
              <w:rPr>
                <w:rFonts w:ascii="Arial" w:hAnsi="Arial" w:eastAsia="宋体" w:cs="Arial"/>
                <w:sz w:val="21"/>
                <w:szCs w:val="21"/>
              </w:rPr>
            </w:pPr>
          </w:p>
        </w:tc>
      </w:tr>
      <w:tr w14:paraId="78490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7B29233">
            <w:pPr>
              <w:adjustRightInd w:val="0"/>
              <w:snapToGrid w:val="0"/>
              <w:jc w:val="center"/>
              <w:rPr>
                <w:rFonts w:ascii="Arial" w:hAnsi="Arial" w:eastAsia="宋体" w:cs="Arial"/>
                <w:sz w:val="21"/>
                <w:szCs w:val="21"/>
              </w:rPr>
            </w:pPr>
          </w:p>
        </w:tc>
        <w:tc>
          <w:tcPr>
            <w:tcW w:w="887" w:type="pct"/>
            <w:vAlign w:val="center"/>
          </w:tcPr>
          <w:p w14:paraId="589F8897">
            <w:pPr>
              <w:adjustRightInd w:val="0"/>
              <w:snapToGrid w:val="0"/>
              <w:jc w:val="center"/>
              <w:rPr>
                <w:rFonts w:ascii="Arial" w:hAnsi="Arial" w:eastAsia="宋体" w:cs="Arial"/>
                <w:sz w:val="21"/>
                <w:szCs w:val="21"/>
              </w:rPr>
            </w:pPr>
          </w:p>
        </w:tc>
        <w:tc>
          <w:tcPr>
            <w:tcW w:w="907" w:type="pct"/>
            <w:vAlign w:val="center"/>
          </w:tcPr>
          <w:p w14:paraId="7B47EF6E">
            <w:pPr>
              <w:adjustRightInd w:val="0"/>
              <w:snapToGrid w:val="0"/>
              <w:jc w:val="center"/>
              <w:rPr>
                <w:rFonts w:ascii="Arial" w:hAnsi="Arial" w:eastAsia="宋体" w:cs="Arial"/>
                <w:sz w:val="21"/>
                <w:szCs w:val="21"/>
              </w:rPr>
            </w:pPr>
          </w:p>
        </w:tc>
        <w:tc>
          <w:tcPr>
            <w:tcW w:w="906" w:type="pct"/>
            <w:vAlign w:val="center"/>
          </w:tcPr>
          <w:p w14:paraId="11B9425B">
            <w:pPr>
              <w:adjustRightInd w:val="0"/>
              <w:snapToGrid w:val="0"/>
              <w:jc w:val="center"/>
              <w:rPr>
                <w:rFonts w:ascii="Arial" w:hAnsi="Arial" w:eastAsia="宋体" w:cs="Arial"/>
                <w:sz w:val="21"/>
                <w:szCs w:val="21"/>
              </w:rPr>
            </w:pPr>
          </w:p>
        </w:tc>
        <w:tc>
          <w:tcPr>
            <w:tcW w:w="657" w:type="pct"/>
            <w:vAlign w:val="center"/>
          </w:tcPr>
          <w:p w14:paraId="0B33460C">
            <w:pPr>
              <w:adjustRightInd w:val="0"/>
              <w:snapToGrid w:val="0"/>
              <w:jc w:val="center"/>
              <w:rPr>
                <w:rFonts w:ascii="Arial" w:hAnsi="Arial" w:eastAsia="宋体" w:cs="Arial"/>
                <w:sz w:val="21"/>
                <w:szCs w:val="21"/>
              </w:rPr>
            </w:pPr>
          </w:p>
        </w:tc>
        <w:tc>
          <w:tcPr>
            <w:tcW w:w="657" w:type="pct"/>
            <w:vAlign w:val="center"/>
          </w:tcPr>
          <w:p w14:paraId="4912FB8C">
            <w:pPr>
              <w:adjustRightInd w:val="0"/>
              <w:snapToGrid w:val="0"/>
              <w:jc w:val="center"/>
              <w:rPr>
                <w:rFonts w:ascii="Arial" w:hAnsi="Arial" w:eastAsia="宋体" w:cs="Arial"/>
                <w:sz w:val="21"/>
                <w:szCs w:val="21"/>
              </w:rPr>
            </w:pPr>
          </w:p>
        </w:tc>
      </w:tr>
      <w:tr w14:paraId="6605C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447F9E4">
            <w:pPr>
              <w:adjustRightInd w:val="0"/>
              <w:snapToGrid w:val="0"/>
              <w:jc w:val="center"/>
              <w:rPr>
                <w:rFonts w:ascii="Arial" w:hAnsi="Arial" w:eastAsia="宋体" w:cs="Arial"/>
                <w:sz w:val="21"/>
                <w:szCs w:val="21"/>
              </w:rPr>
            </w:pPr>
          </w:p>
        </w:tc>
        <w:tc>
          <w:tcPr>
            <w:tcW w:w="887" w:type="pct"/>
            <w:vAlign w:val="center"/>
          </w:tcPr>
          <w:p w14:paraId="784A65E2">
            <w:pPr>
              <w:adjustRightInd w:val="0"/>
              <w:snapToGrid w:val="0"/>
              <w:jc w:val="center"/>
              <w:rPr>
                <w:rFonts w:ascii="Arial" w:hAnsi="Arial" w:eastAsia="宋体" w:cs="Arial"/>
                <w:sz w:val="21"/>
                <w:szCs w:val="21"/>
              </w:rPr>
            </w:pPr>
          </w:p>
        </w:tc>
        <w:tc>
          <w:tcPr>
            <w:tcW w:w="907" w:type="pct"/>
            <w:vAlign w:val="center"/>
          </w:tcPr>
          <w:p w14:paraId="593388EF">
            <w:pPr>
              <w:adjustRightInd w:val="0"/>
              <w:snapToGrid w:val="0"/>
              <w:jc w:val="center"/>
              <w:rPr>
                <w:rFonts w:ascii="Arial" w:hAnsi="Arial" w:eastAsia="宋体" w:cs="Arial"/>
                <w:sz w:val="21"/>
                <w:szCs w:val="21"/>
              </w:rPr>
            </w:pPr>
          </w:p>
        </w:tc>
        <w:tc>
          <w:tcPr>
            <w:tcW w:w="906" w:type="pct"/>
            <w:vAlign w:val="center"/>
          </w:tcPr>
          <w:p w14:paraId="29192027">
            <w:pPr>
              <w:adjustRightInd w:val="0"/>
              <w:snapToGrid w:val="0"/>
              <w:jc w:val="center"/>
              <w:rPr>
                <w:rFonts w:ascii="Arial" w:hAnsi="Arial" w:eastAsia="宋体" w:cs="Arial"/>
                <w:sz w:val="21"/>
                <w:szCs w:val="21"/>
              </w:rPr>
            </w:pPr>
          </w:p>
        </w:tc>
        <w:tc>
          <w:tcPr>
            <w:tcW w:w="657" w:type="pct"/>
            <w:vAlign w:val="center"/>
          </w:tcPr>
          <w:p w14:paraId="43F33E27">
            <w:pPr>
              <w:adjustRightInd w:val="0"/>
              <w:snapToGrid w:val="0"/>
              <w:jc w:val="center"/>
              <w:rPr>
                <w:rFonts w:ascii="Arial" w:hAnsi="Arial" w:eastAsia="宋体" w:cs="Arial"/>
                <w:sz w:val="21"/>
                <w:szCs w:val="21"/>
              </w:rPr>
            </w:pPr>
          </w:p>
        </w:tc>
        <w:tc>
          <w:tcPr>
            <w:tcW w:w="657" w:type="pct"/>
            <w:vAlign w:val="center"/>
          </w:tcPr>
          <w:p w14:paraId="65A42AAB">
            <w:pPr>
              <w:adjustRightInd w:val="0"/>
              <w:snapToGrid w:val="0"/>
              <w:jc w:val="center"/>
              <w:rPr>
                <w:rFonts w:ascii="Arial" w:hAnsi="Arial" w:eastAsia="宋体" w:cs="Arial"/>
                <w:sz w:val="21"/>
                <w:szCs w:val="21"/>
              </w:rPr>
            </w:pPr>
          </w:p>
        </w:tc>
      </w:tr>
      <w:tr w14:paraId="2FADE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7A65FE9">
            <w:pPr>
              <w:adjustRightInd w:val="0"/>
              <w:snapToGrid w:val="0"/>
              <w:jc w:val="center"/>
              <w:rPr>
                <w:rFonts w:ascii="Arial" w:hAnsi="Arial" w:eastAsia="宋体" w:cs="Arial"/>
                <w:sz w:val="21"/>
                <w:szCs w:val="21"/>
              </w:rPr>
            </w:pPr>
          </w:p>
        </w:tc>
        <w:tc>
          <w:tcPr>
            <w:tcW w:w="887" w:type="pct"/>
            <w:vAlign w:val="center"/>
          </w:tcPr>
          <w:p w14:paraId="14BA1F8D">
            <w:pPr>
              <w:adjustRightInd w:val="0"/>
              <w:snapToGrid w:val="0"/>
              <w:jc w:val="center"/>
              <w:rPr>
                <w:rFonts w:ascii="Arial" w:hAnsi="Arial" w:eastAsia="宋体" w:cs="Arial"/>
                <w:sz w:val="21"/>
                <w:szCs w:val="21"/>
              </w:rPr>
            </w:pPr>
          </w:p>
        </w:tc>
        <w:tc>
          <w:tcPr>
            <w:tcW w:w="907" w:type="pct"/>
            <w:vAlign w:val="center"/>
          </w:tcPr>
          <w:p w14:paraId="435916A6">
            <w:pPr>
              <w:adjustRightInd w:val="0"/>
              <w:snapToGrid w:val="0"/>
              <w:jc w:val="center"/>
              <w:rPr>
                <w:rFonts w:ascii="Arial" w:hAnsi="Arial" w:eastAsia="宋体" w:cs="Arial"/>
                <w:sz w:val="21"/>
                <w:szCs w:val="21"/>
              </w:rPr>
            </w:pPr>
          </w:p>
        </w:tc>
        <w:tc>
          <w:tcPr>
            <w:tcW w:w="906" w:type="pct"/>
            <w:vAlign w:val="center"/>
          </w:tcPr>
          <w:p w14:paraId="4BC6C182">
            <w:pPr>
              <w:adjustRightInd w:val="0"/>
              <w:snapToGrid w:val="0"/>
              <w:jc w:val="center"/>
              <w:rPr>
                <w:rFonts w:ascii="Arial" w:hAnsi="Arial" w:eastAsia="宋体" w:cs="Arial"/>
                <w:sz w:val="21"/>
                <w:szCs w:val="21"/>
              </w:rPr>
            </w:pPr>
          </w:p>
        </w:tc>
        <w:tc>
          <w:tcPr>
            <w:tcW w:w="657" w:type="pct"/>
            <w:vAlign w:val="center"/>
          </w:tcPr>
          <w:p w14:paraId="22FA84F3">
            <w:pPr>
              <w:adjustRightInd w:val="0"/>
              <w:snapToGrid w:val="0"/>
              <w:jc w:val="center"/>
              <w:rPr>
                <w:rFonts w:ascii="Arial" w:hAnsi="Arial" w:eastAsia="宋体" w:cs="Arial"/>
                <w:sz w:val="21"/>
                <w:szCs w:val="21"/>
              </w:rPr>
            </w:pPr>
          </w:p>
        </w:tc>
        <w:tc>
          <w:tcPr>
            <w:tcW w:w="657" w:type="pct"/>
            <w:vAlign w:val="center"/>
          </w:tcPr>
          <w:p w14:paraId="7FCB2741">
            <w:pPr>
              <w:adjustRightInd w:val="0"/>
              <w:snapToGrid w:val="0"/>
              <w:jc w:val="center"/>
              <w:rPr>
                <w:rFonts w:ascii="Arial" w:hAnsi="Arial" w:eastAsia="宋体" w:cs="Arial"/>
                <w:sz w:val="21"/>
                <w:szCs w:val="21"/>
              </w:rPr>
            </w:pPr>
          </w:p>
        </w:tc>
      </w:tr>
      <w:tr w14:paraId="7A0F2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D50B11B">
            <w:pPr>
              <w:adjustRightInd w:val="0"/>
              <w:snapToGrid w:val="0"/>
              <w:jc w:val="center"/>
              <w:rPr>
                <w:rFonts w:ascii="Arial" w:hAnsi="Arial" w:eastAsia="宋体" w:cs="Arial"/>
                <w:sz w:val="21"/>
                <w:szCs w:val="21"/>
              </w:rPr>
            </w:pPr>
          </w:p>
        </w:tc>
        <w:tc>
          <w:tcPr>
            <w:tcW w:w="887" w:type="pct"/>
            <w:vAlign w:val="center"/>
          </w:tcPr>
          <w:p w14:paraId="5BA7266F">
            <w:pPr>
              <w:adjustRightInd w:val="0"/>
              <w:snapToGrid w:val="0"/>
              <w:jc w:val="center"/>
              <w:rPr>
                <w:rFonts w:ascii="Arial" w:hAnsi="Arial" w:eastAsia="宋体" w:cs="Arial"/>
                <w:sz w:val="21"/>
                <w:szCs w:val="21"/>
              </w:rPr>
            </w:pPr>
          </w:p>
        </w:tc>
        <w:tc>
          <w:tcPr>
            <w:tcW w:w="907" w:type="pct"/>
            <w:vAlign w:val="center"/>
          </w:tcPr>
          <w:p w14:paraId="367A510F">
            <w:pPr>
              <w:adjustRightInd w:val="0"/>
              <w:snapToGrid w:val="0"/>
              <w:jc w:val="center"/>
              <w:rPr>
                <w:rFonts w:ascii="Arial" w:hAnsi="Arial" w:eastAsia="宋体" w:cs="Arial"/>
                <w:sz w:val="21"/>
                <w:szCs w:val="21"/>
              </w:rPr>
            </w:pPr>
          </w:p>
        </w:tc>
        <w:tc>
          <w:tcPr>
            <w:tcW w:w="906" w:type="pct"/>
            <w:vAlign w:val="center"/>
          </w:tcPr>
          <w:p w14:paraId="0D847309">
            <w:pPr>
              <w:adjustRightInd w:val="0"/>
              <w:snapToGrid w:val="0"/>
              <w:jc w:val="center"/>
              <w:rPr>
                <w:rFonts w:ascii="Arial" w:hAnsi="Arial" w:eastAsia="宋体" w:cs="Arial"/>
                <w:sz w:val="21"/>
                <w:szCs w:val="21"/>
              </w:rPr>
            </w:pPr>
          </w:p>
        </w:tc>
        <w:tc>
          <w:tcPr>
            <w:tcW w:w="657" w:type="pct"/>
            <w:vAlign w:val="center"/>
          </w:tcPr>
          <w:p w14:paraId="2D3DD7CB">
            <w:pPr>
              <w:adjustRightInd w:val="0"/>
              <w:snapToGrid w:val="0"/>
              <w:jc w:val="center"/>
              <w:rPr>
                <w:rFonts w:ascii="Arial" w:hAnsi="Arial" w:eastAsia="宋体" w:cs="Arial"/>
                <w:sz w:val="21"/>
                <w:szCs w:val="21"/>
              </w:rPr>
            </w:pPr>
          </w:p>
        </w:tc>
        <w:tc>
          <w:tcPr>
            <w:tcW w:w="657" w:type="pct"/>
            <w:vAlign w:val="center"/>
          </w:tcPr>
          <w:p w14:paraId="388C5113">
            <w:pPr>
              <w:adjustRightInd w:val="0"/>
              <w:snapToGrid w:val="0"/>
              <w:jc w:val="center"/>
              <w:rPr>
                <w:rFonts w:ascii="Arial" w:hAnsi="Arial" w:eastAsia="宋体" w:cs="Arial"/>
                <w:sz w:val="21"/>
                <w:szCs w:val="21"/>
              </w:rPr>
            </w:pPr>
          </w:p>
        </w:tc>
      </w:tr>
      <w:tr w14:paraId="0BA6C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2558148">
            <w:pPr>
              <w:adjustRightInd w:val="0"/>
              <w:snapToGrid w:val="0"/>
              <w:jc w:val="center"/>
              <w:rPr>
                <w:rFonts w:ascii="Arial" w:hAnsi="Arial" w:eastAsia="宋体" w:cs="Arial"/>
                <w:sz w:val="21"/>
                <w:szCs w:val="21"/>
              </w:rPr>
            </w:pPr>
          </w:p>
        </w:tc>
        <w:tc>
          <w:tcPr>
            <w:tcW w:w="887" w:type="pct"/>
            <w:vAlign w:val="center"/>
          </w:tcPr>
          <w:p w14:paraId="154D74B6">
            <w:pPr>
              <w:adjustRightInd w:val="0"/>
              <w:snapToGrid w:val="0"/>
              <w:jc w:val="center"/>
              <w:rPr>
                <w:rFonts w:ascii="Arial" w:hAnsi="Arial" w:eastAsia="宋体" w:cs="Arial"/>
                <w:sz w:val="21"/>
                <w:szCs w:val="21"/>
              </w:rPr>
            </w:pPr>
          </w:p>
        </w:tc>
        <w:tc>
          <w:tcPr>
            <w:tcW w:w="907" w:type="pct"/>
            <w:vAlign w:val="center"/>
          </w:tcPr>
          <w:p w14:paraId="57831D84">
            <w:pPr>
              <w:adjustRightInd w:val="0"/>
              <w:snapToGrid w:val="0"/>
              <w:jc w:val="center"/>
              <w:rPr>
                <w:rFonts w:ascii="Arial" w:hAnsi="Arial" w:eastAsia="宋体" w:cs="Arial"/>
                <w:sz w:val="21"/>
                <w:szCs w:val="21"/>
              </w:rPr>
            </w:pPr>
          </w:p>
        </w:tc>
        <w:tc>
          <w:tcPr>
            <w:tcW w:w="906" w:type="pct"/>
            <w:vAlign w:val="center"/>
          </w:tcPr>
          <w:p w14:paraId="5C104205">
            <w:pPr>
              <w:adjustRightInd w:val="0"/>
              <w:snapToGrid w:val="0"/>
              <w:jc w:val="center"/>
              <w:rPr>
                <w:rFonts w:ascii="Arial" w:hAnsi="Arial" w:eastAsia="宋体" w:cs="Arial"/>
                <w:sz w:val="21"/>
                <w:szCs w:val="21"/>
              </w:rPr>
            </w:pPr>
          </w:p>
        </w:tc>
        <w:tc>
          <w:tcPr>
            <w:tcW w:w="657" w:type="pct"/>
            <w:vAlign w:val="center"/>
          </w:tcPr>
          <w:p w14:paraId="76C19753">
            <w:pPr>
              <w:adjustRightInd w:val="0"/>
              <w:snapToGrid w:val="0"/>
              <w:jc w:val="center"/>
              <w:rPr>
                <w:rFonts w:ascii="Arial" w:hAnsi="Arial" w:eastAsia="宋体" w:cs="Arial"/>
                <w:sz w:val="21"/>
                <w:szCs w:val="21"/>
              </w:rPr>
            </w:pPr>
          </w:p>
        </w:tc>
        <w:tc>
          <w:tcPr>
            <w:tcW w:w="657" w:type="pct"/>
            <w:vAlign w:val="center"/>
          </w:tcPr>
          <w:p w14:paraId="7BD73F5D">
            <w:pPr>
              <w:adjustRightInd w:val="0"/>
              <w:snapToGrid w:val="0"/>
              <w:jc w:val="center"/>
              <w:rPr>
                <w:rFonts w:ascii="Arial" w:hAnsi="Arial" w:eastAsia="宋体" w:cs="Arial"/>
                <w:sz w:val="21"/>
                <w:szCs w:val="21"/>
              </w:rPr>
            </w:pPr>
          </w:p>
        </w:tc>
      </w:tr>
      <w:tr w14:paraId="3BBDB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86697C4">
            <w:pPr>
              <w:adjustRightInd w:val="0"/>
              <w:snapToGrid w:val="0"/>
              <w:jc w:val="center"/>
              <w:rPr>
                <w:rFonts w:ascii="Arial" w:hAnsi="Arial" w:eastAsia="宋体" w:cs="Arial"/>
                <w:sz w:val="21"/>
                <w:szCs w:val="21"/>
              </w:rPr>
            </w:pPr>
          </w:p>
        </w:tc>
        <w:tc>
          <w:tcPr>
            <w:tcW w:w="887" w:type="pct"/>
            <w:vAlign w:val="center"/>
          </w:tcPr>
          <w:p w14:paraId="32D8F5B3">
            <w:pPr>
              <w:adjustRightInd w:val="0"/>
              <w:snapToGrid w:val="0"/>
              <w:jc w:val="center"/>
              <w:rPr>
                <w:rFonts w:ascii="Arial" w:hAnsi="Arial" w:eastAsia="宋体" w:cs="Arial"/>
                <w:sz w:val="21"/>
                <w:szCs w:val="21"/>
              </w:rPr>
            </w:pPr>
          </w:p>
        </w:tc>
        <w:tc>
          <w:tcPr>
            <w:tcW w:w="907" w:type="pct"/>
            <w:vAlign w:val="center"/>
          </w:tcPr>
          <w:p w14:paraId="4856900B">
            <w:pPr>
              <w:adjustRightInd w:val="0"/>
              <w:snapToGrid w:val="0"/>
              <w:jc w:val="center"/>
              <w:rPr>
                <w:rFonts w:ascii="Arial" w:hAnsi="Arial" w:eastAsia="宋体" w:cs="Arial"/>
                <w:sz w:val="21"/>
                <w:szCs w:val="21"/>
              </w:rPr>
            </w:pPr>
          </w:p>
        </w:tc>
        <w:tc>
          <w:tcPr>
            <w:tcW w:w="906" w:type="pct"/>
            <w:vAlign w:val="center"/>
          </w:tcPr>
          <w:p w14:paraId="3BE0E2CB">
            <w:pPr>
              <w:adjustRightInd w:val="0"/>
              <w:snapToGrid w:val="0"/>
              <w:jc w:val="center"/>
              <w:rPr>
                <w:rFonts w:ascii="Arial" w:hAnsi="Arial" w:eastAsia="宋体" w:cs="Arial"/>
                <w:sz w:val="21"/>
                <w:szCs w:val="21"/>
              </w:rPr>
            </w:pPr>
          </w:p>
        </w:tc>
        <w:tc>
          <w:tcPr>
            <w:tcW w:w="657" w:type="pct"/>
            <w:vAlign w:val="center"/>
          </w:tcPr>
          <w:p w14:paraId="3D6955B2">
            <w:pPr>
              <w:adjustRightInd w:val="0"/>
              <w:snapToGrid w:val="0"/>
              <w:jc w:val="center"/>
              <w:rPr>
                <w:rFonts w:ascii="Arial" w:hAnsi="Arial" w:eastAsia="宋体" w:cs="Arial"/>
                <w:sz w:val="21"/>
                <w:szCs w:val="21"/>
              </w:rPr>
            </w:pPr>
          </w:p>
        </w:tc>
        <w:tc>
          <w:tcPr>
            <w:tcW w:w="657" w:type="pct"/>
            <w:vAlign w:val="center"/>
          </w:tcPr>
          <w:p w14:paraId="0D09603D">
            <w:pPr>
              <w:adjustRightInd w:val="0"/>
              <w:snapToGrid w:val="0"/>
              <w:jc w:val="center"/>
              <w:rPr>
                <w:rFonts w:ascii="Arial" w:hAnsi="Arial" w:eastAsia="宋体" w:cs="Arial"/>
                <w:sz w:val="21"/>
                <w:szCs w:val="21"/>
              </w:rPr>
            </w:pPr>
          </w:p>
        </w:tc>
      </w:tr>
      <w:tr w14:paraId="76909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931EEC3">
            <w:pPr>
              <w:adjustRightInd w:val="0"/>
              <w:snapToGrid w:val="0"/>
              <w:jc w:val="center"/>
              <w:rPr>
                <w:rFonts w:ascii="Arial" w:hAnsi="Arial" w:eastAsia="宋体" w:cs="Arial"/>
                <w:sz w:val="21"/>
                <w:szCs w:val="21"/>
              </w:rPr>
            </w:pPr>
          </w:p>
        </w:tc>
        <w:tc>
          <w:tcPr>
            <w:tcW w:w="887" w:type="pct"/>
            <w:vAlign w:val="center"/>
          </w:tcPr>
          <w:p w14:paraId="0BA1A574">
            <w:pPr>
              <w:adjustRightInd w:val="0"/>
              <w:snapToGrid w:val="0"/>
              <w:jc w:val="center"/>
              <w:rPr>
                <w:rFonts w:ascii="Arial" w:hAnsi="Arial" w:eastAsia="宋体" w:cs="Arial"/>
                <w:sz w:val="21"/>
                <w:szCs w:val="21"/>
              </w:rPr>
            </w:pPr>
          </w:p>
        </w:tc>
        <w:tc>
          <w:tcPr>
            <w:tcW w:w="907" w:type="pct"/>
            <w:vAlign w:val="center"/>
          </w:tcPr>
          <w:p w14:paraId="53551B4C">
            <w:pPr>
              <w:adjustRightInd w:val="0"/>
              <w:snapToGrid w:val="0"/>
              <w:jc w:val="center"/>
              <w:rPr>
                <w:rFonts w:ascii="Arial" w:hAnsi="Arial" w:eastAsia="宋体" w:cs="Arial"/>
                <w:sz w:val="21"/>
                <w:szCs w:val="21"/>
              </w:rPr>
            </w:pPr>
          </w:p>
        </w:tc>
        <w:tc>
          <w:tcPr>
            <w:tcW w:w="906" w:type="pct"/>
            <w:vAlign w:val="center"/>
          </w:tcPr>
          <w:p w14:paraId="03050961">
            <w:pPr>
              <w:adjustRightInd w:val="0"/>
              <w:snapToGrid w:val="0"/>
              <w:jc w:val="center"/>
              <w:rPr>
                <w:rFonts w:ascii="Arial" w:hAnsi="Arial" w:eastAsia="宋体" w:cs="Arial"/>
                <w:sz w:val="21"/>
                <w:szCs w:val="21"/>
              </w:rPr>
            </w:pPr>
          </w:p>
        </w:tc>
        <w:tc>
          <w:tcPr>
            <w:tcW w:w="657" w:type="pct"/>
            <w:vAlign w:val="center"/>
          </w:tcPr>
          <w:p w14:paraId="73458EC0">
            <w:pPr>
              <w:adjustRightInd w:val="0"/>
              <w:snapToGrid w:val="0"/>
              <w:jc w:val="center"/>
              <w:rPr>
                <w:rFonts w:ascii="Arial" w:hAnsi="Arial" w:eastAsia="宋体" w:cs="Arial"/>
                <w:sz w:val="21"/>
                <w:szCs w:val="21"/>
              </w:rPr>
            </w:pPr>
          </w:p>
        </w:tc>
        <w:tc>
          <w:tcPr>
            <w:tcW w:w="657" w:type="pct"/>
            <w:vAlign w:val="center"/>
          </w:tcPr>
          <w:p w14:paraId="4E8244A7">
            <w:pPr>
              <w:adjustRightInd w:val="0"/>
              <w:snapToGrid w:val="0"/>
              <w:jc w:val="center"/>
              <w:rPr>
                <w:rFonts w:ascii="Arial" w:hAnsi="Arial" w:eastAsia="宋体" w:cs="Arial"/>
                <w:sz w:val="21"/>
                <w:szCs w:val="21"/>
              </w:rPr>
            </w:pPr>
          </w:p>
        </w:tc>
      </w:tr>
      <w:tr w14:paraId="04844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30897A0">
            <w:pPr>
              <w:adjustRightInd w:val="0"/>
              <w:snapToGrid w:val="0"/>
              <w:jc w:val="center"/>
              <w:rPr>
                <w:rFonts w:ascii="Arial" w:hAnsi="Arial" w:eastAsia="宋体" w:cs="Arial"/>
                <w:sz w:val="21"/>
                <w:szCs w:val="21"/>
              </w:rPr>
            </w:pPr>
          </w:p>
        </w:tc>
        <w:tc>
          <w:tcPr>
            <w:tcW w:w="887" w:type="pct"/>
            <w:vAlign w:val="center"/>
          </w:tcPr>
          <w:p w14:paraId="1BAD9EC8">
            <w:pPr>
              <w:adjustRightInd w:val="0"/>
              <w:snapToGrid w:val="0"/>
              <w:jc w:val="center"/>
              <w:rPr>
                <w:rFonts w:ascii="Arial" w:hAnsi="Arial" w:eastAsia="宋体" w:cs="Arial"/>
                <w:sz w:val="21"/>
                <w:szCs w:val="21"/>
              </w:rPr>
            </w:pPr>
          </w:p>
        </w:tc>
        <w:tc>
          <w:tcPr>
            <w:tcW w:w="907" w:type="pct"/>
            <w:vAlign w:val="center"/>
          </w:tcPr>
          <w:p w14:paraId="6EB12756">
            <w:pPr>
              <w:adjustRightInd w:val="0"/>
              <w:snapToGrid w:val="0"/>
              <w:jc w:val="center"/>
              <w:rPr>
                <w:rFonts w:ascii="Arial" w:hAnsi="Arial" w:eastAsia="宋体" w:cs="Arial"/>
                <w:sz w:val="21"/>
                <w:szCs w:val="21"/>
              </w:rPr>
            </w:pPr>
          </w:p>
        </w:tc>
        <w:tc>
          <w:tcPr>
            <w:tcW w:w="906" w:type="pct"/>
            <w:vAlign w:val="center"/>
          </w:tcPr>
          <w:p w14:paraId="1D3EEF6D">
            <w:pPr>
              <w:adjustRightInd w:val="0"/>
              <w:snapToGrid w:val="0"/>
              <w:jc w:val="center"/>
              <w:rPr>
                <w:rFonts w:ascii="Arial" w:hAnsi="Arial" w:eastAsia="宋体" w:cs="Arial"/>
                <w:sz w:val="21"/>
                <w:szCs w:val="21"/>
              </w:rPr>
            </w:pPr>
          </w:p>
        </w:tc>
        <w:tc>
          <w:tcPr>
            <w:tcW w:w="657" w:type="pct"/>
            <w:vAlign w:val="center"/>
          </w:tcPr>
          <w:p w14:paraId="1273F2B4">
            <w:pPr>
              <w:adjustRightInd w:val="0"/>
              <w:snapToGrid w:val="0"/>
              <w:jc w:val="center"/>
              <w:rPr>
                <w:rFonts w:ascii="Arial" w:hAnsi="Arial" w:eastAsia="宋体" w:cs="Arial"/>
                <w:sz w:val="21"/>
                <w:szCs w:val="21"/>
              </w:rPr>
            </w:pPr>
          </w:p>
        </w:tc>
        <w:tc>
          <w:tcPr>
            <w:tcW w:w="657" w:type="pct"/>
            <w:vAlign w:val="center"/>
          </w:tcPr>
          <w:p w14:paraId="0532AF86">
            <w:pPr>
              <w:adjustRightInd w:val="0"/>
              <w:snapToGrid w:val="0"/>
              <w:jc w:val="center"/>
              <w:rPr>
                <w:rFonts w:ascii="Arial" w:hAnsi="Arial" w:eastAsia="宋体" w:cs="Arial"/>
                <w:sz w:val="21"/>
                <w:szCs w:val="21"/>
              </w:rPr>
            </w:pPr>
          </w:p>
        </w:tc>
      </w:tr>
      <w:tr w14:paraId="06B84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20EFD34">
            <w:pPr>
              <w:adjustRightInd w:val="0"/>
              <w:snapToGrid w:val="0"/>
              <w:jc w:val="center"/>
              <w:rPr>
                <w:rFonts w:ascii="Arial" w:hAnsi="Arial" w:cs="Arial" w:eastAsiaTheme="minorEastAsia"/>
                <w:sz w:val="21"/>
                <w:szCs w:val="21"/>
              </w:rPr>
            </w:pPr>
          </w:p>
        </w:tc>
        <w:tc>
          <w:tcPr>
            <w:tcW w:w="887" w:type="pct"/>
            <w:vAlign w:val="center"/>
          </w:tcPr>
          <w:p w14:paraId="7414B0A5">
            <w:pPr>
              <w:adjustRightInd w:val="0"/>
              <w:snapToGrid w:val="0"/>
              <w:jc w:val="center"/>
              <w:rPr>
                <w:rFonts w:ascii="Arial" w:hAnsi="Arial" w:cs="Arial" w:eastAsiaTheme="minorEastAsia"/>
                <w:sz w:val="21"/>
                <w:szCs w:val="21"/>
              </w:rPr>
            </w:pPr>
          </w:p>
        </w:tc>
        <w:tc>
          <w:tcPr>
            <w:tcW w:w="907" w:type="pct"/>
            <w:vAlign w:val="center"/>
          </w:tcPr>
          <w:p w14:paraId="58C99457">
            <w:pPr>
              <w:adjustRightInd w:val="0"/>
              <w:snapToGrid w:val="0"/>
              <w:jc w:val="center"/>
              <w:rPr>
                <w:rFonts w:ascii="Arial" w:hAnsi="Arial" w:cs="Arial" w:eastAsiaTheme="minorEastAsia"/>
                <w:sz w:val="21"/>
                <w:szCs w:val="21"/>
              </w:rPr>
            </w:pPr>
          </w:p>
        </w:tc>
        <w:tc>
          <w:tcPr>
            <w:tcW w:w="906" w:type="pct"/>
            <w:vAlign w:val="center"/>
          </w:tcPr>
          <w:p w14:paraId="484CA4BF">
            <w:pPr>
              <w:adjustRightInd w:val="0"/>
              <w:snapToGrid w:val="0"/>
              <w:jc w:val="center"/>
              <w:rPr>
                <w:rFonts w:ascii="Arial" w:hAnsi="Arial" w:cs="Arial" w:eastAsiaTheme="minorEastAsia"/>
                <w:sz w:val="21"/>
                <w:szCs w:val="21"/>
              </w:rPr>
            </w:pPr>
          </w:p>
        </w:tc>
        <w:tc>
          <w:tcPr>
            <w:tcW w:w="657" w:type="pct"/>
            <w:vAlign w:val="center"/>
          </w:tcPr>
          <w:p w14:paraId="3F5916BE">
            <w:pPr>
              <w:adjustRightInd w:val="0"/>
              <w:snapToGrid w:val="0"/>
              <w:jc w:val="center"/>
              <w:rPr>
                <w:rFonts w:ascii="Arial" w:hAnsi="Arial" w:cs="Arial" w:eastAsiaTheme="minorEastAsia"/>
                <w:sz w:val="21"/>
                <w:szCs w:val="21"/>
              </w:rPr>
            </w:pPr>
          </w:p>
        </w:tc>
        <w:tc>
          <w:tcPr>
            <w:tcW w:w="657" w:type="pct"/>
            <w:vAlign w:val="center"/>
          </w:tcPr>
          <w:p w14:paraId="57CA4B51">
            <w:pPr>
              <w:adjustRightInd w:val="0"/>
              <w:snapToGrid w:val="0"/>
              <w:jc w:val="center"/>
              <w:rPr>
                <w:rFonts w:ascii="Arial" w:hAnsi="Arial" w:cs="Arial" w:eastAsiaTheme="minorEastAsia"/>
                <w:sz w:val="21"/>
                <w:szCs w:val="21"/>
              </w:rPr>
            </w:pPr>
          </w:p>
        </w:tc>
      </w:tr>
      <w:tr w14:paraId="2D7CA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6E9977B">
            <w:pPr>
              <w:adjustRightInd w:val="0"/>
              <w:snapToGrid w:val="0"/>
              <w:jc w:val="center"/>
              <w:rPr>
                <w:rFonts w:ascii="Arial" w:hAnsi="Arial" w:eastAsia="宋体" w:cs="Arial"/>
                <w:sz w:val="21"/>
                <w:szCs w:val="21"/>
              </w:rPr>
            </w:pPr>
          </w:p>
        </w:tc>
        <w:tc>
          <w:tcPr>
            <w:tcW w:w="887" w:type="pct"/>
            <w:vAlign w:val="center"/>
          </w:tcPr>
          <w:p w14:paraId="2A6548E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AAAFCD2">
            <w:pPr>
              <w:adjustRightInd w:val="0"/>
              <w:snapToGrid w:val="0"/>
              <w:jc w:val="center"/>
              <w:rPr>
                <w:rFonts w:ascii="Arial" w:hAnsi="Arial" w:eastAsia="宋体" w:cs="Arial"/>
                <w:kern w:val="0"/>
                <w:sz w:val="21"/>
                <w:szCs w:val="21"/>
              </w:rPr>
            </w:pPr>
          </w:p>
        </w:tc>
        <w:tc>
          <w:tcPr>
            <w:tcW w:w="906" w:type="pct"/>
            <w:vAlign w:val="center"/>
          </w:tcPr>
          <w:p w14:paraId="5CB1C686">
            <w:pPr>
              <w:adjustRightInd w:val="0"/>
              <w:snapToGrid w:val="0"/>
              <w:jc w:val="center"/>
              <w:rPr>
                <w:rFonts w:ascii="Arial" w:hAnsi="Arial" w:eastAsia="宋体" w:cs="Arial"/>
                <w:kern w:val="0"/>
                <w:sz w:val="21"/>
                <w:szCs w:val="21"/>
              </w:rPr>
            </w:pPr>
          </w:p>
        </w:tc>
        <w:tc>
          <w:tcPr>
            <w:tcW w:w="657" w:type="pct"/>
            <w:vAlign w:val="center"/>
          </w:tcPr>
          <w:p w14:paraId="2B19F266">
            <w:pPr>
              <w:adjustRightInd w:val="0"/>
              <w:snapToGrid w:val="0"/>
              <w:jc w:val="center"/>
              <w:rPr>
                <w:rFonts w:ascii="Arial" w:hAnsi="Arial" w:eastAsia="宋体" w:cs="Arial"/>
                <w:sz w:val="21"/>
                <w:szCs w:val="21"/>
              </w:rPr>
            </w:pPr>
          </w:p>
        </w:tc>
        <w:tc>
          <w:tcPr>
            <w:tcW w:w="657" w:type="pct"/>
            <w:vAlign w:val="center"/>
          </w:tcPr>
          <w:p w14:paraId="1D75063A">
            <w:pPr>
              <w:adjustRightInd w:val="0"/>
              <w:snapToGrid w:val="0"/>
              <w:jc w:val="center"/>
              <w:rPr>
                <w:rFonts w:ascii="Arial" w:hAnsi="Arial" w:eastAsia="宋体" w:cs="Arial"/>
                <w:sz w:val="21"/>
                <w:szCs w:val="21"/>
              </w:rPr>
            </w:pPr>
          </w:p>
        </w:tc>
      </w:tr>
      <w:tr w14:paraId="64209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2A0ED68">
            <w:pPr>
              <w:adjustRightInd w:val="0"/>
              <w:snapToGrid w:val="0"/>
              <w:jc w:val="center"/>
              <w:rPr>
                <w:rFonts w:ascii="Arial" w:hAnsi="Arial" w:eastAsia="宋体" w:cs="Arial"/>
                <w:sz w:val="21"/>
                <w:szCs w:val="21"/>
              </w:rPr>
            </w:pPr>
          </w:p>
        </w:tc>
        <w:tc>
          <w:tcPr>
            <w:tcW w:w="887" w:type="pct"/>
            <w:vAlign w:val="center"/>
          </w:tcPr>
          <w:p w14:paraId="12C08208">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E4918D0">
            <w:pPr>
              <w:adjustRightInd w:val="0"/>
              <w:snapToGrid w:val="0"/>
              <w:jc w:val="center"/>
              <w:rPr>
                <w:rFonts w:ascii="Arial" w:hAnsi="Arial" w:eastAsia="宋体" w:cs="Arial"/>
                <w:kern w:val="0"/>
                <w:sz w:val="21"/>
                <w:szCs w:val="21"/>
              </w:rPr>
            </w:pPr>
          </w:p>
        </w:tc>
        <w:tc>
          <w:tcPr>
            <w:tcW w:w="906" w:type="pct"/>
            <w:vAlign w:val="center"/>
          </w:tcPr>
          <w:p w14:paraId="5549CE56">
            <w:pPr>
              <w:adjustRightInd w:val="0"/>
              <w:snapToGrid w:val="0"/>
              <w:jc w:val="center"/>
              <w:rPr>
                <w:rFonts w:ascii="Arial" w:hAnsi="Arial" w:eastAsia="宋体" w:cs="Arial"/>
                <w:kern w:val="0"/>
                <w:sz w:val="21"/>
                <w:szCs w:val="21"/>
              </w:rPr>
            </w:pPr>
          </w:p>
        </w:tc>
        <w:tc>
          <w:tcPr>
            <w:tcW w:w="657" w:type="pct"/>
            <w:vAlign w:val="center"/>
          </w:tcPr>
          <w:p w14:paraId="0B7D8CF1">
            <w:pPr>
              <w:adjustRightInd w:val="0"/>
              <w:snapToGrid w:val="0"/>
              <w:jc w:val="center"/>
              <w:rPr>
                <w:rFonts w:ascii="Arial" w:hAnsi="Arial" w:eastAsia="宋体" w:cs="Arial"/>
                <w:sz w:val="21"/>
                <w:szCs w:val="21"/>
              </w:rPr>
            </w:pPr>
          </w:p>
        </w:tc>
        <w:tc>
          <w:tcPr>
            <w:tcW w:w="657" w:type="pct"/>
            <w:vAlign w:val="center"/>
          </w:tcPr>
          <w:p w14:paraId="6A94A8E7">
            <w:pPr>
              <w:adjustRightInd w:val="0"/>
              <w:snapToGrid w:val="0"/>
              <w:jc w:val="center"/>
              <w:rPr>
                <w:rFonts w:ascii="Arial" w:hAnsi="Arial" w:eastAsia="宋体" w:cs="Arial"/>
                <w:sz w:val="21"/>
                <w:szCs w:val="21"/>
              </w:rPr>
            </w:pPr>
          </w:p>
        </w:tc>
      </w:tr>
      <w:tr w14:paraId="2C031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266D262">
            <w:pPr>
              <w:adjustRightInd w:val="0"/>
              <w:snapToGrid w:val="0"/>
              <w:jc w:val="center"/>
              <w:rPr>
                <w:rFonts w:ascii="Arial" w:hAnsi="Arial" w:eastAsia="宋体" w:cs="Arial"/>
                <w:sz w:val="21"/>
                <w:szCs w:val="21"/>
              </w:rPr>
            </w:pPr>
          </w:p>
        </w:tc>
        <w:tc>
          <w:tcPr>
            <w:tcW w:w="887" w:type="pct"/>
            <w:vAlign w:val="center"/>
          </w:tcPr>
          <w:p w14:paraId="4DA1D996">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55251D1E">
            <w:pPr>
              <w:adjustRightInd w:val="0"/>
              <w:snapToGrid w:val="0"/>
              <w:jc w:val="center"/>
              <w:rPr>
                <w:rFonts w:ascii="Arial" w:hAnsi="Arial" w:eastAsia="宋体" w:cs="Arial"/>
                <w:kern w:val="0"/>
                <w:sz w:val="21"/>
                <w:szCs w:val="21"/>
              </w:rPr>
            </w:pPr>
          </w:p>
        </w:tc>
        <w:tc>
          <w:tcPr>
            <w:tcW w:w="906" w:type="pct"/>
            <w:vAlign w:val="center"/>
          </w:tcPr>
          <w:p w14:paraId="0BDAE8A2">
            <w:pPr>
              <w:adjustRightInd w:val="0"/>
              <w:snapToGrid w:val="0"/>
              <w:jc w:val="center"/>
              <w:rPr>
                <w:rFonts w:ascii="Arial" w:hAnsi="Arial" w:eastAsia="宋体" w:cs="Arial"/>
                <w:kern w:val="0"/>
                <w:sz w:val="21"/>
                <w:szCs w:val="21"/>
              </w:rPr>
            </w:pPr>
          </w:p>
        </w:tc>
        <w:tc>
          <w:tcPr>
            <w:tcW w:w="657" w:type="pct"/>
            <w:vAlign w:val="center"/>
          </w:tcPr>
          <w:p w14:paraId="681B556F">
            <w:pPr>
              <w:adjustRightInd w:val="0"/>
              <w:snapToGrid w:val="0"/>
              <w:jc w:val="center"/>
              <w:rPr>
                <w:rFonts w:ascii="Arial" w:hAnsi="Arial" w:eastAsia="宋体" w:cs="Arial"/>
                <w:sz w:val="21"/>
                <w:szCs w:val="21"/>
              </w:rPr>
            </w:pPr>
          </w:p>
        </w:tc>
        <w:tc>
          <w:tcPr>
            <w:tcW w:w="657" w:type="pct"/>
            <w:vAlign w:val="center"/>
          </w:tcPr>
          <w:p w14:paraId="7BA96135">
            <w:pPr>
              <w:adjustRightInd w:val="0"/>
              <w:snapToGrid w:val="0"/>
              <w:jc w:val="center"/>
              <w:rPr>
                <w:rFonts w:ascii="Arial" w:hAnsi="Arial" w:eastAsia="宋体" w:cs="Arial"/>
                <w:sz w:val="21"/>
                <w:szCs w:val="21"/>
              </w:rPr>
            </w:pPr>
          </w:p>
        </w:tc>
      </w:tr>
      <w:tr w14:paraId="375F2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EC70AF3">
            <w:pPr>
              <w:adjustRightInd w:val="0"/>
              <w:snapToGrid w:val="0"/>
              <w:jc w:val="center"/>
              <w:rPr>
                <w:rFonts w:ascii="Arial" w:hAnsi="Arial" w:eastAsia="宋体" w:cs="Arial"/>
                <w:sz w:val="21"/>
                <w:szCs w:val="21"/>
              </w:rPr>
            </w:pPr>
          </w:p>
        </w:tc>
        <w:tc>
          <w:tcPr>
            <w:tcW w:w="887" w:type="pct"/>
            <w:vAlign w:val="center"/>
          </w:tcPr>
          <w:p w14:paraId="04FBC86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A42B1EA">
            <w:pPr>
              <w:adjustRightInd w:val="0"/>
              <w:snapToGrid w:val="0"/>
              <w:jc w:val="center"/>
              <w:rPr>
                <w:rFonts w:ascii="Arial" w:hAnsi="Arial" w:eastAsia="宋体" w:cs="Arial"/>
                <w:kern w:val="0"/>
                <w:sz w:val="21"/>
                <w:szCs w:val="21"/>
              </w:rPr>
            </w:pPr>
          </w:p>
        </w:tc>
        <w:tc>
          <w:tcPr>
            <w:tcW w:w="906" w:type="pct"/>
            <w:vAlign w:val="center"/>
          </w:tcPr>
          <w:p w14:paraId="7BB029D5">
            <w:pPr>
              <w:adjustRightInd w:val="0"/>
              <w:snapToGrid w:val="0"/>
              <w:jc w:val="center"/>
              <w:rPr>
                <w:rFonts w:ascii="Arial" w:hAnsi="Arial" w:eastAsia="宋体" w:cs="Arial"/>
                <w:kern w:val="0"/>
                <w:sz w:val="21"/>
                <w:szCs w:val="21"/>
              </w:rPr>
            </w:pPr>
          </w:p>
        </w:tc>
        <w:tc>
          <w:tcPr>
            <w:tcW w:w="657" w:type="pct"/>
            <w:vAlign w:val="center"/>
          </w:tcPr>
          <w:p w14:paraId="3041C9B0">
            <w:pPr>
              <w:adjustRightInd w:val="0"/>
              <w:snapToGrid w:val="0"/>
              <w:jc w:val="center"/>
              <w:rPr>
                <w:rFonts w:ascii="Arial" w:hAnsi="Arial" w:eastAsia="宋体" w:cs="Arial"/>
                <w:sz w:val="21"/>
                <w:szCs w:val="21"/>
              </w:rPr>
            </w:pPr>
          </w:p>
        </w:tc>
        <w:tc>
          <w:tcPr>
            <w:tcW w:w="657" w:type="pct"/>
            <w:vAlign w:val="center"/>
          </w:tcPr>
          <w:p w14:paraId="66E341C6">
            <w:pPr>
              <w:adjustRightInd w:val="0"/>
              <w:snapToGrid w:val="0"/>
              <w:jc w:val="center"/>
              <w:rPr>
                <w:rFonts w:ascii="Arial" w:hAnsi="Arial" w:eastAsia="宋体" w:cs="Arial"/>
                <w:sz w:val="21"/>
                <w:szCs w:val="21"/>
              </w:rPr>
            </w:pPr>
          </w:p>
        </w:tc>
      </w:tr>
      <w:tr w14:paraId="0C32E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8134DBF">
            <w:pPr>
              <w:adjustRightInd w:val="0"/>
              <w:snapToGrid w:val="0"/>
              <w:jc w:val="center"/>
              <w:rPr>
                <w:rFonts w:ascii="Arial" w:hAnsi="Arial" w:eastAsia="宋体" w:cs="Arial"/>
                <w:sz w:val="21"/>
                <w:szCs w:val="21"/>
              </w:rPr>
            </w:pPr>
          </w:p>
        </w:tc>
        <w:tc>
          <w:tcPr>
            <w:tcW w:w="887" w:type="pct"/>
            <w:vAlign w:val="center"/>
          </w:tcPr>
          <w:p w14:paraId="779A7598">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B9E46EB">
            <w:pPr>
              <w:adjustRightInd w:val="0"/>
              <w:snapToGrid w:val="0"/>
              <w:jc w:val="center"/>
              <w:rPr>
                <w:rFonts w:ascii="Arial" w:hAnsi="Arial" w:eastAsia="宋体" w:cs="Arial"/>
                <w:kern w:val="0"/>
                <w:sz w:val="21"/>
                <w:szCs w:val="21"/>
              </w:rPr>
            </w:pPr>
          </w:p>
        </w:tc>
        <w:tc>
          <w:tcPr>
            <w:tcW w:w="906" w:type="pct"/>
            <w:vAlign w:val="center"/>
          </w:tcPr>
          <w:p w14:paraId="0213AB92">
            <w:pPr>
              <w:adjustRightInd w:val="0"/>
              <w:snapToGrid w:val="0"/>
              <w:jc w:val="center"/>
              <w:rPr>
                <w:rFonts w:ascii="Arial" w:hAnsi="Arial" w:eastAsia="宋体" w:cs="Arial"/>
                <w:kern w:val="0"/>
                <w:sz w:val="21"/>
                <w:szCs w:val="21"/>
              </w:rPr>
            </w:pPr>
          </w:p>
        </w:tc>
        <w:tc>
          <w:tcPr>
            <w:tcW w:w="657" w:type="pct"/>
            <w:vAlign w:val="center"/>
          </w:tcPr>
          <w:p w14:paraId="47A9BFCE">
            <w:pPr>
              <w:adjustRightInd w:val="0"/>
              <w:snapToGrid w:val="0"/>
              <w:jc w:val="center"/>
              <w:rPr>
                <w:rFonts w:ascii="Arial" w:hAnsi="Arial" w:eastAsia="宋体" w:cs="Arial"/>
                <w:sz w:val="21"/>
                <w:szCs w:val="21"/>
              </w:rPr>
            </w:pPr>
          </w:p>
        </w:tc>
        <w:tc>
          <w:tcPr>
            <w:tcW w:w="657" w:type="pct"/>
            <w:vAlign w:val="center"/>
          </w:tcPr>
          <w:p w14:paraId="56300B6B">
            <w:pPr>
              <w:adjustRightInd w:val="0"/>
              <w:snapToGrid w:val="0"/>
              <w:jc w:val="center"/>
              <w:rPr>
                <w:rFonts w:ascii="Arial" w:hAnsi="Arial" w:eastAsia="宋体" w:cs="Arial"/>
                <w:sz w:val="21"/>
                <w:szCs w:val="21"/>
              </w:rPr>
            </w:pPr>
          </w:p>
        </w:tc>
      </w:tr>
      <w:tr w14:paraId="2C250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6DEB6BB">
            <w:pPr>
              <w:adjustRightInd w:val="0"/>
              <w:snapToGrid w:val="0"/>
              <w:jc w:val="center"/>
              <w:rPr>
                <w:rFonts w:ascii="Arial" w:hAnsi="Arial" w:eastAsia="宋体" w:cs="Arial"/>
                <w:sz w:val="21"/>
                <w:szCs w:val="21"/>
              </w:rPr>
            </w:pPr>
          </w:p>
        </w:tc>
        <w:tc>
          <w:tcPr>
            <w:tcW w:w="887" w:type="pct"/>
            <w:vAlign w:val="center"/>
          </w:tcPr>
          <w:p w14:paraId="7914EE69">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30B211D">
            <w:pPr>
              <w:adjustRightInd w:val="0"/>
              <w:snapToGrid w:val="0"/>
              <w:jc w:val="center"/>
              <w:rPr>
                <w:rFonts w:ascii="Arial" w:hAnsi="Arial" w:eastAsia="宋体" w:cs="Arial"/>
                <w:kern w:val="0"/>
                <w:sz w:val="21"/>
                <w:szCs w:val="21"/>
              </w:rPr>
            </w:pPr>
          </w:p>
        </w:tc>
        <w:tc>
          <w:tcPr>
            <w:tcW w:w="906" w:type="pct"/>
            <w:vAlign w:val="center"/>
          </w:tcPr>
          <w:p w14:paraId="4D022FD3">
            <w:pPr>
              <w:adjustRightInd w:val="0"/>
              <w:snapToGrid w:val="0"/>
              <w:jc w:val="center"/>
              <w:rPr>
                <w:rFonts w:ascii="Arial" w:hAnsi="Arial" w:eastAsia="宋体" w:cs="Arial"/>
                <w:kern w:val="0"/>
                <w:sz w:val="21"/>
                <w:szCs w:val="21"/>
              </w:rPr>
            </w:pPr>
          </w:p>
        </w:tc>
        <w:tc>
          <w:tcPr>
            <w:tcW w:w="657" w:type="pct"/>
            <w:vAlign w:val="center"/>
          </w:tcPr>
          <w:p w14:paraId="67F186C5">
            <w:pPr>
              <w:adjustRightInd w:val="0"/>
              <w:snapToGrid w:val="0"/>
              <w:jc w:val="center"/>
              <w:rPr>
                <w:rFonts w:ascii="Arial" w:hAnsi="Arial" w:eastAsia="宋体" w:cs="Arial"/>
                <w:sz w:val="21"/>
                <w:szCs w:val="21"/>
              </w:rPr>
            </w:pPr>
          </w:p>
        </w:tc>
        <w:tc>
          <w:tcPr>
            <w:tcW w:w="657" w:type="pct"/>
            <w:vAlign w:val="center"/>
          </w:tcPr>
          <w:p w14:paraId="37CC1A98">
            <w:pPr>
              <w:adjustRightInd w:val="0"/>
              <w:snapToGrid w:val="0"/>
              <w:jc w:val="center"/>
              <w:rPr>
                <w:rFonts w:ascii="Arial" w:hAnsi="Arial" w:eastAsia="宋体" w:cs="Arial"/>
                <w:sz w:val="21"/>
                <w:szCs w:val="21"/>
              </w:rPr>
            </w:pPr>
          </w:p>
        </w:tc>
      </w:tr>
      <w:tr w14:paraId="0E41C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3F1A84A">
            <w:pPr>
              <w:adjustRightInd w:val="0"/>
              <w:snapToGrid w:val="0"/>
              <w:jc w:val="center"/>
              <w:rPr>
                <w:rFonts w:ascii="Arial" w:hAnsi="Arial" w:eastAsia="宋体" w:cs="Arial"/>
                <w:sz w:val="21"/>
                <w:szCs w:val="21"/>
              </w:rPr>
            </w:pPr>
          </w:p>
        </w:tc>
        <w:tc>
          <w:tcPr>
            <w:tcW w:w="887" w:type="pct"/>
            <w:vAlign w:val="center"/>
          </w:tcPr>
          <w:p w14:paraId="08D1E252">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6E4298B">
            <w:pPr>
              <w:adjustRightInd w:val="0"/>
              <w:snapToGrid w:val="0"/>
              <w:jc w:val="center"/>
              <w:rPr>
                <w:rFonts w:ascii="Arial" w:hAnsi="Arial" w:eastAsia="宋体" w:cs="Arial"/>
                <w:kern w:val="0"/>
                <w:sz w:val="21"/>
                <w:szCs w:val="21"/>
              </w:rPr>
            </w:pPr>
          </w:p>
        </w:tc>
        <w:tc>
          <w:tcPr>
            <w:tcW w:w="906" w:type="pct"/>
            <w:vAlign w:val="center"/>
          </w:tcPr>
          <w:p w14:paraId="2A1ABDD2">
            <w:pPr>
              <w:adjustRightInd w:val="0"/>
              <w:snapToGrid w:val="0"/>
              <w:jc w:val="center"/>
              <w:rPr>
                <w:rFonts w:ascii="Arial" w:hAnsi="Arial" w:eastAsia="宋体" w:cs="Arial"/>
                <w:kern w:val="0"/>
                <w:sz w:val="21"/>
                <w:szCs w:val="21"/>
              </w:rPr>
            </w:pPr>
          </w:p>
        </w:tc>
        <w:tc>
          <w:tcPr>
            <w:tcW w:w="657" w:type="pct"/>
            <w:vAlign w:val="center"/>
          </w:tcPr>
          <w:p w14:paraId="5EF0F2BC">
            <w:pPr>
              <w:adjustRightInd w:val="0"/>
              <w:snapToGrid w:val="0"/>
              <w:jc w:val="center"/>
              <w:rPr>
                <w:rFonts w:ascii="Arial" w:hAnsi="Arial" w:eastAsia="宋体" w:cs="Arial"/>
                <w:sz w:val="21"/>
                <w:szCs w:val="21"/>
              </w:rPr>
            </w:pPr>
          </w:p>
        </w:tc>
        <w:tc>
          <w:tcPr>
            <w:tcW w:w="657" w:type="pct"/>
            <w:vAlign w:val="center"/>
          </w:tcPr>
          <w:p w14:paraId="5C9D0125">
            <w:pPr>
              <w:adjustRightInd w:val="0"/>
              <w:snapToGrid w:val="0"/>
              <w:jc w:val="center"/>
              <w:rPr>
                <w:rFonts w:ascii="Arial" w:hAnsi="Arial" w:eastAsia="宋体" w:cs="Arial"/>
                <w:sz w:val="21"/>
                <w:szCs w:val="21"/>
              </w:rPr>
            </w:pPr>
          </w:p>
        </w:tc>
      </w:tr>
      <w:tr w14:paraId="6AE61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BE3D48A">
            <w:pPr>
              <w:adjustRightInd w:val="0"/>
              <w:snapToGrid w:val="0"/>
              <w:jc w:val="center"/>
              <w:rPr>
                <w:rFonts w:ascii="Arial" w:hAnsi="Arial" w:eastAsia="宋体" w:cs="Arial"/>
                <w:sz w:val="21"/>
                <w:szCs w:val="21"/>
              </w:rPr>
            </w:pPr>
          </w:p>
        </w:tc>
        <w:tc>
          <w:tcPr>
            <w:tcW w:w="887" w:type="pct"/>
            <w:vAlign w:val="center"/>
          </w:tcPr>
          <w:p w14:paraId="3E5D625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F916909">
            <w:pPr>
              <w:adjustRightInd w:val="0"/>
              <w:snapToGrid w:val="0"/>
              <w:jc w:val="center"/>
              <w:rPr>
                <w:rFonts w:ascii="Arial" w:hAnsi="Arial" w:eastAsia="宋体" w:cs="Arial"/>
                <w:kern w:val="0"/>
                <w:sz w:val="21"/>
                <w:szCs w:val="21"/>
              </w:rPr>
            </w:pPr>
          </w:p>
        </w:tc>
        <w:tc>
          <w:tcPr>
            <w:tcW w:w="906" w:type="pct"/>
            <w:vAlign w:val="center"/>
          </w:tcPr>
          <w:p w14:paraId="28774D2C">
            <w:pPr>
              <w:adjustRightInd w:val="0"/>
              <w:snapToGrid w:val="0"/>
              <w:jc w:val="center"/>
              <w:rPr>
                <w:rFonts w:ascii="Arial" w:hAnsi="Arial" w:eastAsia="宋体" w:cs="Arial"/>
                <w:kern w:val="0"/>
                <w:sz w:val="21"/>
                <w:szCs w:val="21"/>
              </w:rPr>
            </w:pPr>
          </w:p>
        </w:tc>
        <w:tc>
          <w:tcPr>
            <w:tcW w:w="657" w:type="pct"/>
            <w:vAlign w:val="center"/>
          </w:tcPr>
          <w:p w14:paraId="03D84EBB">
            <w:pPr>
              <w:adjustRightInd w:val="0"/>
              <w:snapToGrid w:val="0"/>
              <w:jc w:val="center"/>
              <w:rPr>
                <w:rFonts w:ascii="Arial" w:hAnsi="Arial" w:eastAsia="宋体" w:cs="Arial"/>
                <w:sz w:val="21"/>
                <w:szCs w:val="21"/>
              </w:rPr>
            </w:pPr>
          </w:p>
        </w:tc>
        <w:tc>
          <w:tcPr>
            <w:tcW w:w="657" w:type="pct"/>
            <w:vAlign w:val="center"/>
          </w:tcPr>
          <w:p w14:paraId="1C5102D3">
            <w:pPr>
              <w:adjustRightInd w:val="0"/>
              <w:snapToGrid w:val="0"/>
              <w:jc w:val="center"/>
              <w:rPr>
                <w:rFonts w:ascii="Arial" w:hAnsi="Arial" w:eastAsia="宋体" w:cs="Arial"/>
                <w:sz w:val="21"/>
                <w:szCs w:val="21"/>
              </w:rPr>
            </w:pPr>
          </w:p>
        </w:tc>
      </w:tr>
      <w:tr w14:paraId="6E3CE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7FBADB0">
            <w:pPr>
              <w:adjustRightInd w:val="0"/>
              <w:snapToGrid w:val="0"/>
              <w:jc w:val="center"/>
              <w:rPr>
                <w:rFonts w:ascii="Arial" w:hAnsi="Arial" w:eastAsia="宋体" w:cs="Arial"/>
                <w:sz w:val="21"/>
                <w:szCs w:val="21"/>
              </w:rPr>
            </w:pPr>
          </w:p>
        </w:tc>
        <w:tc>
          <w:tcPr>
            <w:tcW w:w="887" w:type="pct"/>
            <w:vAlign w:val="center"/>
          </w:tcPr>
          <w:p w14:paraId="2D42EEA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BCAAC4C">
            <w:pPr>
              <w:adjustRightInd w:val="0"/>
              <w:snapToGrid w:val="0"/>
              <w:jc w:val="center"/>
              <w:rPr>
                <w:rFonts w:ascii="Arial" w:hAnsi="Arial" w:eastAsia="宋体" w:cs="Arial"/>
                <w:kern w:val="0"/>
                <w:sz w:val="21"/>
                <w:szCs w:val="21"/>
              </w:rPr>
            </w:pPr>
          </w:p>
        </w:tc>
        <w:tc>
          <w:tcPr>
            <w:tcW w:w="906" w:type="pct"/>
            <w:vAlign w:val="center"/>
          </w:tcPr>
          <w:p w14:paraId="2940D6D2">
            <w:pPr>
              <w:adjustRightInd w:val="0"/>
              <w:snapToGrid w:val="0"/>
              <w:jc w:val="center"/>
              <w:rPr>
                <w:rFonts w:ascii="Arial" w:hAnsi="Arial" w:eastAsia="宋体" w:cs="Arial"/>
                <w:kern w:val="0"/>
                <w:sz w:val="21"/>
                <w:szCs w:val="21"/>
              </w:rPr>
            </w:pPr>
          </w:p>
        </w:tc>
        <w:tc>
          <w:tcPr>
            <w:tcW w:w="657" w:type="pct"/>
            <w:vAlign w:val="center"/>
          </w:tcPr>
          <w:p w14:paraId="377E0FD4">
            <w:pPr>
              <w:adjustRightInd w:val="0"/>
              <w:snapToGrid w:val="0"/>
              <w:jc w:val="center"/>
              <w:rPr>
                <w:rFonts w:ascii="Arial" w:hAnsi="Arial" w:eastAsia="宋体" w:cs="Arial"/>
                <w:sz w:val="21"/>
                <w:szCs w:val="21"/>
              </w:rPr>
            </w:pPr>
          </w:p>
        </w:tc>
        <w:tc>
          <w:tcPr>
            <w:tcW w:w="657" w:type="pct"/>
            <w:vAlign w:val="center"/>
          </w:tcPr>
          <w:p w14:paraId="7A32142D">
            <w:pPr>
              <w:adjustRightInd w:val="0"/>
              <w:snapToGrid w:val="0"/>
              <w:jc w:val="center"/>
              <w:rPr>
                <w:rFonts w:ascii="Arial" w:hAnsi="Arial" w:eastAsia="宋体" w:cs="Arial"/>
                <w:sz w:val="21"/>
                <w:szCs w:val="21"/>
              </w:rPr>
            </w:pPr>
          </w:p>
        </w:tc>
      </w:tr>
      <w:tr w14:paraId="65BD0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23F1382">
            <w:pPr>
              <w:adjustRightInd w:val="0"/>
              <w:snapToGrid w:val="0"/>
              <w:jc w:val="center"/>
              <w:rPr>
                <w:rFonts w:ascii="Arial" w:hAnsi="Arial" w:eastAsia="宋体" w:cs="Arial"/>
                <w:sz w:val="21"/>
                <w:szCs w:val="21"/>
              </w:rPr>
            </w:pPr>
          </w:p>
        </w:tc>
        <w:tc>
          <w:tcPr>
            <w:tcW w:w="887" w:type="pct"/>
            <w:vAlign w:val="center"/>
          </w:tcPr>
          <w:p w14:paraId="38DC431C">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5075DB0">
            <w:pPr>
              <w:adjustRightInd w:val="0"/>
              <w:snapToGrid w:val="0"/>
              <w:jc w:val="center"/>
              <w:rPr>
                <w:rFonts w:ascii="Arial" w:hAnsi="Arial" w:eastAsia="宋体" w:cs="Arial"/>
                <w:kern w:val="0"/>
                <w:sz w:val="21"/>
                <w:szCs w:val="21"/>
              </w:rPr>
            </w:pPr>
          </w:p>
        </w:tc>
        <w:tc>
          <w:tcPr>
            <w:tcW w:w="906" w:type="pct"/>
            <w:vAlign w:val="center"/>
          </w:tcPr>
          <w:p w14:paraId="36A224F2">
            <w:pPr>
              <w:adjustRightInd w:val="0"/>
              <w:snapToGrid w:val="0"/>
              <w:jc w:val="center"/>
              <w:rPr>
                <w:rFonts w:ascii="Arial" w:hAnsi="Arial" w:eastAsia="宋体" w:cs="Arial"/>
                <w:kern w:val="0"/>
                <w:sz w:val="21"/>
                <w:szCs w:val="21"/>
              </w:rPr>
            </w:pPr>
          </w:p>
        </w:tc>
        <w:tc>
          <w:tcPr>
            <w:tcW w:w="657" w:type="pct"/>
            <w:vAlign w:val="center"/>
          </w:tcPr>
          <w:p w14:paraId="05702312">
            <w:pPr>
              <w:adjustRightInd w:val="0"/>
              <w:snapToGrid w:val="0"/>
              <w:jc w:val="center"/>
              <w:rPr>
                <w:rFonts w:ascii="Arial" w:hAnsi="Arial" w:eastAsia="宋体" w:cs="Arial"/>
                <w:sz w:val="21"/>
                <w:szCs w:val="21"/>
              </w:rPr>
            </w:pPr>
          </w:p>
        </w:tc>
        <w:tc>
          <w:tcPr>
            <w:tcW w:w="657" w:type="pct"/>
            <w:vAlign w:val="center"/>
          </w:tcPr>
          <w:p w14:paraId="39FE2422">
            <w:pPr>
              <w:adjustRightInd w:val="0"/>
              <w:snapToGrid w:val="0"/>
              <w:jc w:val="center"/>
              <w:rPr>
                <w:rFonts w:ascii="Arial" w:hAnsi="Arial" w:eastAsia="宋体" w:cs="Arial"/>
                <w:sz w:val="21"/>
                <w:szCs w:val="21"/>
              </w:rPr>
            </w:pPr>
          </w:p>
        </w:tc>
      </w:tr>
      <w:tr w14:paraId="6C33A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FE294A1">
            <w:pPr>
              <w:adjustRightInd w:val="0"/>
              <w:snapToGrid w:val="0"/>
              <w:jc w:val="center"/>
              <w:rPr>
                <w:rFonts w:ascii="Arial" w:hAnsi="Arial" w:eastAsia="宋体" w:cs="Arial"/>
                <w:sz w:val="21"/>
                <w:szCs w:val="21"/>
              </w:rPr>
            </w:pPr>
          </w:p>
        </w:tc>
        <w:tc>
          <w:tcPr>
            <w:tcW w:w="887" w:type="pct"/>
            <w:vAlign w:val="center"/>
          </w:tcPr>
          <w:p w14:paraId="526CAFF1">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EA68705">
            <w:pPr>
              <w:adjustRightInd w:val="0"/>
              <w:snapToGrid w:val="0"/>
              <w:jc w:val="center"/>
              <w:rPr>
                <w:rFonts w:ascii="Arial" w:hAnsi="Arial" w:eastAsia="宋体" w:cs="Arial"/>
                <w:kern w:val="0"/>
                <w:sz w:val="21"/>
                <w:szCs w:val="21"/>
              </w:rPr>
            </w:pPr>
          </w:p>
        </w:tc>
        <w:tc>
          <w:tcPr>
            <w:tcW w:w="906" w:type="pct"/>
            <w:vAlign w:val="center"/>
          </w:tcPr>
          <w:p w14:paraId="459695D2">
            <w:pPr>
              <w:adjustRightInd w:val="0"/>
              <w:snapToGrid w:val="0"/>
              <w:jc w:val="center"/>
              <w:rPr>
                <w:rFonts w:ascii="Arial" w:hAnsi="Arial" w:eastAsia="宋体" w:cs="Arial"/>
                <w:kern w:val="0"/>
                <w:sz w:val="21"/>
                <w:szCs w:val="21"/>
              </w:rPr>
            </w:pPr>
          </w:p>
        </w:tc>
        <w:tc>
          <w:tcPr>
            <w:tcW w:w="657" w:type="pct"/>
            <w:vAlign w:val="center"/>
          </w:tcPr>
          <w:p w14:paraId="3CFE6C4F">
            <w:pPr>
              <w:adjustRightInd w:val="0"/>
              <w:snapToGrid w:val="0"/>
              <w:jc w:val="center"/>
              <w:rPr>
                <w:rFonts w:ascii="Arial" w:hAnsi="Arial" w:eastAsia="宋体" w:cs="Arial"/>
                <w:sz w:val="21"/>
                <w:szCs w:val="21"/>
              </w:rPr>
            </w:pPr>
          </w:p>
        </w:tc>
        <w:tc>
          <w:tcPr>
            <w:tcW w:w="657" w:type="pct"/>
            <w:vAlign w:val="center"/>
          </w:tcPr>
          <w:p w14:paraId="078DF66F">
            <w:pPr>
              <w:adjustRightInd w:val="0"/>
              <w:snapToGrid w:val="0"/>
              <w:jc w:val="center"/>
              <w:rPr>
                <w:rFonts w:ascii="Arial" w:hAnsi="Arial" w:eastAsia="宋体" w:cs="Arial"/>
                <w:sz w:val="21"/>
                <w:szCs w:val="21"/>
              </w:rPr>
            </w:pPr>
          </w:p>
        </w:tc>
      </w:tr>
      <w:tr w14:paraId="3827B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529C0CC">
            <w:pPr>
              <w:adjustRightInd w:val="0"/>
              <w:snapToGrid w:val="0"/>
              <w:jc w:val="center"/>
              <w:rPr>
                <w:rFonts w:ascii="Arial" w:hAnsi="Arial" w:eastAsia="宋体" w:cs="Arial"/>
                <w:sz w:val="21"/>
                <w:szCs w:val="21"/>
              </w:rPr>
            </w:pPr>
          </w:p>
        </w:tc>
        <w:tc>
          <w:tcPr>
            <w:tcW w:w="887" w:type="pct"/>
            <w:vAlign w:val="center"/>
          </w:tcPr>
          <w:p w14:paraId="7DD60522">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68FDDF1">
            <w:pPr>
              <w:adjustRightInd w:val="0"/>
              <w:snapToGrid w:val="0"/>
              <w:jc w:val="center"/>
              <w:rPr>
                <w:rFonts w:ascii="Arial" w:hAnsi="Arial" w:eastAsia="宋体" w:cs="Arial"/>
                <w:kern w:val="0"/>
                <w:sz w:val="21"/>
                <w:szCs w:val="21"/>
              </w:rPr>
            </w:pPr>
          </w:p>
        </w:tc>
        <w:tc>
          <w:tcPr>
            <w:tcW w:w="906" w:type="pct"/>
            <w:vAlign w:val="center"/>
          </w:tcPr>
          <w:p w14:paraId="2842324E">
            <w:pPr>
              <w:adjustRightInd w:val="0"/>
              <w:snapToGrid w:val="0"/>
              <w:jc w:val="center"/>
              <w:rPr>
                <w:rFonts w:ascii="Arial" w:hAnsi="Arial" w:eastAsia="宋体" w:cs="Arial"/>
                <w:kern w:val="0"/>
                <w:sz w:val="21"/>
                <w:szCs w:val="21"/>
              </w:rPr>
            </w:pPr>
          </w:p>
        </w:tc>
        <w:tc>
          <w:tcPr>
            <w:tcW w:w="657" w:type="pct"/>
            <w:vAlign w:val="center"/>
          </w:tcPr>
          <w:p w14:paraId="0E90A651">
            <w:pPr>
              <w:adjustRightInd w:val="0"/>
              <w:snapToGrid w:val="0"/>
              <w:jc w:val="center"/>
              <w:rPr>
                <w:rFonts w:ascii="Arial" w:hAnsi="Arial" w:eastAsia="宋体" w:cs="Arial"/>
                <w:sz w:val="21"/>
                <w:szCs w:val="21"/>
              </w:rPr>
            </w:pPr>
          </w:p>
        </w:tc>
        <w:tc>
          <w:tcPr>
            <w:tcW w:w="657" w:type="pct"/>
            <w:vAlign w:val="center"/>
          </w:tcPr>
          <w:p w14:paraId="5E492BF1">
            <w:pPr>
              <w:adjustRightInd w:val="0"/>
              <w:snapToGrid w:val="0"/>
              <w:jc w:val="center"/>
              <w:rPr>
                <w:rFonts w:ascii="Arial" w:hAnsi="Arial" w:eastAsia="宋体" w:cs="Arial"/>
                <w:sz w:val="21"/>
                <w:szCs w:val="21"/>
              </w:rPr>
            </w:pPr>
          </w:p>
        </w:tc>
      </w:tr>
      <w:tr w14:paraId="30994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6B4F2F7">
            <w:pPr>
              <w:adjustRightInd w:val="0"/>
              <w:snapToGrid w:val="0"/>
              <w:jc w:val="center"/>
              <w:rPr>
                <w:rFonts w:ascii="Arial" w:hAnsi="Arial" w:eastAsia="宋体" w:cs="Arial"/>
                <w:sz w:val="21"/>
                <w:szCs w:val="21"/>
              </w:rPr>
            </w:pPr>
          </w:p>
        </w:tc>
        <w:tc>
          <w:tcPr>
            <w:tcW w:w="887" w:type="pct"/>
            <w:vAlign w:val="center"/>
          </w:tcPr>
          <w:p w14:paraId="46D9DF2C">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F5374F9">
            <w:pPr>
              <w:adjustRightInd w:val="0"/>
              <w:snapToGrid w:val="0"/>
              <w:jc w:val="center"/>
              <w:rPr>
                <w:rFonts w:ascii="Arial" w:hAnsi="Arial" w:eastAsia="宋体" w:cs="Arial"/>
                <w:kern w:val="0"/>
                <w:sz w:val="21"/>
                <w:szCs w:val="21"/>
              </w:rPr>
            </w:pPr>
          </w:p>
        </w:tc>
        <w:tc>
          <w:tcPr>
            <w:tcW w:w="906" w:type="pct"/>
            <w:vAlign w:val="center"/>
          </w:tcPr>
          <w:p w14:paraId="2FBB5411">
            <w:pPr>
              <w:adjustRightInd w:val="0"/>
              <w:snapToGrid w:val="0"/>
              <w:jc w:val="center"/>
              <w:rPr>
                <w:rFonts w:ascii="Arial" w:hAnsi="Arial" w:eastAsia="宋体" w:cs="Arial"/>
                <w:kern w:val="0"/>
                <w:sz w:val="21"/>
                <w:szCs w:val="21"/>
              </w:rPr>
            </w:pPr>
          </w:p>
        </w:tc>
        <w:tc>
          <w:tcPr>
            <w:tcW w:w="657" w:type="pct"/>
            <w:vAlign w:val="center"/>
          </w:tcPr>
          <w:p w14:paraId="4094E153">
            <w:pPr>
              <w:adjustRightInd w:val="0"/>
              <w:snapToGrid w:val="0"/>
              <w:jc w:val="center"/>
              <w:rPr>
                <w:rFonts w:ascii="Arial" w:hAnsi="Arial" w:eastAsia="宋体" w:cs="Arial"/>
                <w:sz w:val="21"/>
                <w:szCs w:val="21"/>
              </w:rPr>
            </w:pPr>
          </w:p>
        </w:tc>
        <w:tc>
          <w:tcPr>
            <w:tcW w:w="657" w:type="pct"/>
            <w:vAlign w:val="center"/>
          </w:tcPr>
          <w:p w14:paraId="2A94FC21">
            <w:pPr>
              <w:adjustRightInd w:val="0"/>
              <w:snapToGrid w:val="0"/>
              <w:jc w:val="center"/>
              <w:rPr>
                <w:rFonts w:ascii="Arial" w:hAnsi="Arial" w:eastAsia="宋体" w:cs="Arial"/>
                <w:sz w:val="21"/>
                <w:szCs w:val="21"/>
              </w:rPr>
            </w:pPr>
          </w:p>
        </w:tc>
      </w:tr>
      <w:tr w14:paraId="4BE15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2A09629">
            <w:pPr>
              <w:adjustRightInd w:val="0"/>
              <w:snapToGrid w:val="0"/>
              <w:jc w:val="center"/>
              <w:rPr>
                <w:rFonts w:ascii="Arial" w:hAnsi="Arial" w:eastAsia="宋体" w:cs="Arial"/>
                <w:sz w:val="21"/>
                <w:szCs w:val="21"/>
              </w:rPr>
            </w:pPr>
          </w:p>
        </w:tc>
        <w:tc>
          <w:tcPr>
            <w:tcW w:w="887" w:type="pct"/>
            <w:vAlign w:val="center"/>
          </w:tcPr>
          <w:p w14:paraId="65AD6128">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7753990">
            <w:pPr>
              <w:adjustRightInd w:val="0"/>
              <w:snapToGrid w:val="0"/>
              <w:jc w:val="center"/>
              <w:rPr>
                <w:rFonts w:ascii="Arial" w:hAnsi="Arial" w:eastAsia="宋体" w:cs="Arial"/>
                <w:kern w:val="0"/>
                <w:sz w:val="21"/>
                <w:szCs w:val="21"/>
              </w:rPr>
            </w:pPr>
          </w:p>
        </w:tc>
        <w:tc>
          <w:tcPr>
            <w:tcW w:w="906" w:type="pct"/>
            <w:vAlign w:val="center"/>
          </w:tcPr>
          <w:p w14:paraId="772E27B8">
            <w:pPr>
              <w:adjustRightInd w:val="0"/>
              <w:snapToGrid w:val="0"/>
              <w:jc w:val="center"/>
              <w:rPr>
                <w:rFonts w:ascii="Arial" w:hAnsi="Arial" w:eastAsia="宋体" w:cs="Arial"/>
                <w:kern w:val="0"/>
                <w:sz w:val="21"/>
                <w:szCs w:val="21"/>
              </w:rPr>
            </w:pPr>
          </w:p>
        </w:tc>
        <w:tc>
          <w:tcPr>
            <w:tcW w:w="657" w:type="pct"/>
            <w:vAlign w:val="center"/>
          </w:tcPr>
          <w:p w14:paraId="40B6B8F4">
            <w:pPr>
              <w:adjustRightInd w:val="0"/>
              <w:snapToGrid w:val="0"/>
              <w:jc w:val="center"/>
              <w:rPr>
                <w:rFonts w:ascii="Arial" w:hAnsi="Arial" w:eastAsia="宋体" w:cs="Arial"/>
                <w:sz w:val="21"/>
                <w:szCs w:val="21"/>
              </w:rPr>
            </w:pPr>
          </w:p>
        </w:tc>
        <w:tc>
          <w:tcPr>
            <w:tcW w:w="657" w:type="pct"/>
            <w:vAlign w:val="center"/>
          </w:tcPr>
          <w:p w14:paraId="3CE22CE7">
            <w:pPr>
              <w:adjustRightInd w:val="0"/>
              <w:snapToGrid w:val="0"/>
              <w:jc w:val="center"/>
              <w:rPr>
                <w:rFonts w:ascii="Arial" w:hAnsi="Arial" w:eastAsia="宋体" w:cs="Arial"/>
                <w:sz w:val="21"/>
                <w:szCs w:val="21"/>
              </w:rPr>
            </w:pPr>
          </w:p>
        </w:tc>
      </w:tr>
      <w:tr w14:paraId="163BA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01D6DF0">
            <w:pPr>
              <w:adjustRightInd w:val="0"/>
              <w:snapToGrid w:val="0"/>
              <w:jc w:val="center"/>
              <w:rPr>
                <w:rFonts w:ascii="Arial" w:hAnsi="Arial" w:eastAsia="宋体" w:cs="Arial"/>
                <w:sz w:val="21"/>
                <w:szCs w:val="21"/>
              </w:rPr>
            </w:pPr>
          </w:p>
        </w:tc>
        <w:tc>
          <w:tcPr>
            <w:tcW w:w="887" w:type="pct"/>
            <w:vAlign w:val="center"/>
          </w:tcPr>
          <w:p w14:paraId="240F659C">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DB9C7D7">
            <w:pPr>
              <w:adjustRightInd w:val="0"/>
              <w:snapToGrid w:val="0"/>
              <w:jc w:val="center"/>
              <w:rPr>
                <w:rFonts w:ascii="Arial" w:hAnsi="Arial" w:eastAsia="宋体" w:cs="Arial"/>
                <w:kern w:val="0"/>
                <w:sz w:val="21"/>
                <w:szCs w:val="21"/>
              </w:rPr>
            </w:pPr>
          </w:p>
        </w:tc>
        <w:tc>
          <w:tcPr>
            <w:tcW w:w="906" w:type="pct"/>
            <w:vAlign w:val="center"/>
          </w:tcPr>
          <w:p w14:paraId="5B348FD2">
            <w:pPr>
              <w:adjustRightInd w:val="0"/>
              <w:snapToGrid w:val="0"/>
              <w:jc w:val="center"/>
              <w:rPr>
                <w:rFonts w:ascii="Arial" w:hAnsi="Arial" w:eastAsia="宋体" w:cs="Arial"/>
                <w:kern w:val="0"/>
                <w:sz w:val="21"/>
                <w:szCs w:val="21"/>
              </w:rPr>
            </w:pPr>
          </w:p>
        </w:tc>
        <w:tc>
          <w:tcPr>
            <w:tcW w:w="657" w:type="pct"/>
            <w:vAlign w:val="center"/>
          </w:tcPr>
          <w:p w14:paraId="0A7E49ED">
            <w:pPr>
              <w:adjustRightInd w:val="0"/>
              <w:snapToGrid w:val="0"/>
              <w:jc w:val="center"/>
              <w:rPr>
                <w:rFonts w:ascii="Arial" w:hAnsi="Arial" w:eastAsia="宋体" w:cs="Arial"/>
                <w:sz w:val="21"/>
                <w:szCs w:val="21"/>
              </w:rPr>
            </w:pPr>
          </w:p>
        </w:tc>
        <w:tc>
          <w:tcPr>
            <w:tcW w:w="657" w:type="pct"/>
            <w:vAlign w:val="center"/>
          </w:tcPr>
          <w:p w14:paraId="29E6CC63">
            <w:pPr>
              <w:adjustRightInd w:val="0"/>
              <w:snapToGrid w:val="0"/>
              <w:jc w:val="center"/>
              <w:rPr>
                <w:rFonts w:ascii="Arial" w:hAnsi="Arial" w:eastAsia="宋体" w:cs="Arial"/>
                <w:sz w:val="21"/>
                <w:szCs w:val="21"/>
              </w:rPr>
            </w:pPr>
          </w:p>
        </w:tc>
      </w:tr>
      <w:tr w14:paraId="6E886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9ED6A3A">
            <w:pPr>
              <w:adjustRightInd w:val="0"/>
              <w:snapToGrid w:val="0"/>
              <w:jc w:val="center"/>
              <w:rPr>
                <w:rFonts w:ascii="Arial" w:hAnsi="Arial" w:eastAsia="宋体" w:cs="Arial"/>
                <w:sz w:val="21"/>
                <w:szCs w:val="21"/>
              </w:rPr>
            </w:pPr>
          </w:p>
        </w:tc>
        <w:tc>
          <w:tcPr>
            <w:tcW w:w="887" w:type="pct"/>
            <w:vAlign w:val="center"/>
          </w:tcPr>
          <w:p w14:paraId="7410DD41">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604EA91">
            <w:pPr>
              <w:adjustRightInd w:val="0"/>
              <w:snapToGrid w:val="0"/>
              <w:jc w:val="center"/>
              <w:rPr>
                <w:rFonts w:ascii="Arial" w:hAnsi="Arial" w:eastAsia="宋体" w:cs="Arial"/>
                <w:kern w:val="0"/>
                <w:sz w:val="21"/>
                <w:szCs w:val="21"/>
              </w:rPr>
            </w:pPr>
          </w:p>
        </w:tc>
        <w:tc>
          <w:tcPr>
            <w:tcW w:w="906" w:type="pct"/>
            <w:vAlign w:val="center"/>
          </w:tcPr>
          <w:p w14:paraId="45A7A281">
            <w:pPr>
              <w:adjustRightInd w:val="0"/>
              <w:snapToGrid w:val="0"/>
              <w:jc w:val="center"/>
              <w:rPr>
                <w:rFonts w:ascii="Arial" w:hAnsi="Arial" w:eastAsia="宋体" w:cs="Arial"/>
                <w:kern w:val="0"/>
                <w:sz w:val="21"/>
                <w:szCs w:val="21"/>
              </w:rPr>
            </w:pPr>
          </w:p>
        </w:tc>
        <w:tc>
          <w:tcPr>
            <w:tcW w:w="657" w:type="pct"/>
            <w:vAlign w:val="center"/>
          </w:tcPr>
          <w:p w14:paraId="4B1202EF">
            <w:pPr>
              <w:adjustRightInd w:val="0"/>
              <w:snapToGrid w:val="0"/>
              <w:jc w:val="center"/>
              <w:rPr>
                <w:rFonts w:ascii="Arial" w:hAnsi="Arial" w:eastAsia="宋体" w:cs="Arial"/>
                <w:sz w:val="21"/>
                <w:szCs w:val="21"/>
              </w:rPr>
            </w:pPr>
          </w:p>
        </w:tc>
        <w:tc>
          <w:tcPr>
            <w:tcW w:w="657" w:type="pct"/>
            <w:vAlign w:val="center"/>
          </w:tcPr>
          <w:p w14:paraId="0D075D06">
            <w:pPr>
              <w:adjustRightInd w:val="0"/>
              <w:snapToGrid w:val="0"/>
              <w:jc w:val="center"/>
              <w:rPr>
                <w:rFonts w:ascii="Arial" w:hAnsi="Arial" w:eastAsia="宋体" w:cs="Arial"/>
                <w:sz w:val="21"/>
                <w:szCs w:val="21"/>
              </w:rPr>
            </w:pPr>
          </w:p>
        </w:tc>
      </w:tr>
      <w:tr w14:paraId="6B341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2BBE782">
            <w:pPr>
              <w:adjustRightInd w:val="0"/>
              <w:snapToGrid w:val="0"/>
              <w:jc w:val="center"/>
              <w:rPr>
                <w:rFonts w:ascii="Arial" w:hAnsi="Arial" w:eastAsia="宋体" w:cs="Arial"/>
                <w:sz w:val="21"/>
                <w:szCs w:val="21"/>
              </w:rPr>
            </w:pPr>
          </w:p>
        </w:tc>
        <w:tc>
          <w:tcPr>
            <w:tcW w:w="887" w:type="pct"/>
            <w:vAlign w:val="center"/>
          </w:tcPr>
          <w:p w14:paraId="7DAD0E4F">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30AF3B8">
            <w:pPr>
              <w:adjustRightInd w:val="0"/>
              <w:snapToGrid w:val="0"/>
              <w:jc w:val="center"/>
              <w:rPr>
                <w:rFonts w:ascii="Arial" w:hAnsi="Arial" w:eastAsia="宋体" w:cs="Arial"/>
                <w:kern w:val="0"/>
                <w:sz w:val="21"/>
                <w:szCs w:val="21"/>
              </w:rPr>
            </w:pPr>
          </w:p>
        </w:tc>
        <w:tc>
          <w:tcPr>
            <w:tcW w:w="906" w:type="pct"/>
            <w:vAlign w:val="center"/>
          </w:tcPr>
          <w:p w14:paraId="0634D6E7">
            <w:pPr>
              <w:adjustRightInd w:val="0"/>
              <w:snapToGrid w:val="0"/>
              <w:jc w:val="center"/>
              <w:rPr>
                <w:rFonts w:ascii="Arial" w:hAnsi="Arial" w:eastAsia="宋体" w:cs="Arial"/>
                <w:kern w:val="0"/>
                <w:sz w:val="21"/>
                <w:szCs w:val="21"/>
              </w:rPr>
            </w:pPr>
          </w:p>
        </w:tc>
        <w:tc>
          <w:tcPr>
            <w:tcW w:w="657" w:type="pct"/>
            <w:vAlign w:val="center"/>
          </w:tcPr>
          <w:p w14:paraId="3425158A">
            <w:pPr>
              <w:adjustRightInd w:val="0"/>
              <w:snapToGrid w:val="0"/>
              <w:jc w:val="center"/>
              <w:rPr>
                <w:rFonts w:ascii="Arial" w:hAnsi="Arial" w:eastAsia="宋体" w:cs="Arial"/>
                <w:sz w:val="21"/>
                <w:szCs w:val="21"/>
              </w:rPr>
            </w:pPr>
          </w:p>
        </w:tc>
        <w:tc>
          <w:tcPr>
            <w:tcW w:w="657" w:type="pct"/>
            <w:vAlign w:val="center"/>
          </w:tcPr>
          <w:p w14:paraId="0DB81CC3">
            <w:pPr>
              <w:adjustRightInd w:val="0"/>
              <w:snapToGrid w:val="0"/>
              <w:jc w:val="center"/>
              <w:rPr>
                <w:rFonts w:ascii="Arial" w:hAnsi="Arial" w:eastAsia="宋体" w:cs="Arial"/>
                <w:sz w:val="21"/>
                <w:szCs w:val="21"/>
              </w:rPr>
            </w:pPr>
          </w:p>
        </w:tc>
      </w:tr>
      <w:tr w14:paraId="64A5D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99E2133">
            <w:pPr>
              <w:adjustRightInd w:val="0"/>
              <w:snapToGrid w:val="0"/>
              <w:jc w:val="center"/>
              <w:rPr>
                <w:rFonts w:ascii="Arial" w:hAnsi="Arial" w:eastAsia="宋体" w:cs="Arial"/>
                <w:sz w:val="21"/>
                <w:szCs w:val="21"/>
              </w:rPr>
            </w:pPr>
          </w:p>
        </w:tc>
        <w:tc>
          <w:tcPr>
            <w:tcW w:w="887" w:type="pct"/>
            <w:vAlign w:val="center"/>
          </w:tcPr>
          <w:p w14:paraId="526C7F9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7668F94">
            <w:pPr>
              <w:adjustRightInd w:val="0"/>
              <w:snapToGrid w:val="0"/>
              <w:jc w:val="center"/>
              <w:rPr>
                <w:rFonts w:ascii="Arial" w:hAnsi="Arial" w:eastAsia="宋体" w:cs="Arial"/>
                <w:kern w:val="0"/>
                <w:sz w:val="21"/>
                <w:szCs w:val="21"/>
              </w:rPr>
            </w:pPr>
          </w:p>
        </w:tc>
        <w:tc>
          <w:tcPr>
            <w:tcW w:w="906" w:type="pct"/>
            <w:vAlign w:val="center"/>
          </w:tcPr>
          <w:p w14:paraId="249EF98F">
            <w:pPr>
              <w:adjustRightInd w:val="0"/>
              <w:snapToGrid w:val="0"/>
              <w:jc w:val="center"/>
              <w:rPr>
                <w:rFonts w:ascii="Arial" w:hAnsi="Arial" w:eastAsia="宋体" w:cs="Arial"/>
                <w:kern w:val="0"/>
                <w:sz w:val="21"/>
                <w:szCs w:val="21"/>
              </w:rPr>
            </w:pPr>
          </w:p>
        </w:tc>
        <w:tc>
          <w:tcPr>
            <w:tcW w:w="657" w:type="pct"/>
            <w:vAlign w:val="center"/>
          </w:tcPr>
          <w:p w14:paraId="01D89FCC">
            <w:pPr>
              <w:adjustRightInd w:val="0"/>
              <w:snapToGrid w:val="0"/>
              <w:jc w:val="center"/>
              <w:rPr>
                <w:rFonts w:ascii="Arial" w:hAnsi="Arial" w:eastAsia="宋体" w:cs="Arial"/>
                <w:sz w:val="21"/>
                <w:szCs w:val="21"/>
              </w:rPr>
            </w:pPr>
          </w:p>
        </w:tc>
        <w:tc>
          <w:tcPr>
            <w:tcW w:w="657" w:type="pct"/>
            <w:vAlign w:val="center"/>
          </w:tcPr>
          <w:p w14:paraId="6E76F51A">
            <w:pPr>
              <w:adjustRightInd w:val="0"/>
              <w:snapToGrid w:val="0"/>
              <w:jc w:val="center"/>
              <w:rPr>
                <w:rFonts w:ascii="Arial" w:hAnsi="Arial" w:eastAsia="宋体" w:cs="Arial"/>
                <w:sz w:val="21"/>
                <w:szCs w:val="21"/>
              </w:rPr>
            </w:pPr>
          </w:p>
        </w:tc>
      </w:tr>
      <w:tr w14:paraId="52E98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9079427">
            <w:pPr>
              <w:adjustRightInd w:val="0"/>
              <w:snapToGrid w:val="0"/>
              <w:jc w:val="center"/>
              <w:rPr>
                <w:rFonts w:ascii="Arial" w:hAnsi="Arial" w:eastAsia="宋体" w:cs="Arial"/>
                <w:sz w:val="21"/>
                <w:szCs w:val="21"/>
              </w:rPr>
            </w:pPr>
          </w:p>
        </w:tc>
        <w:tc>
          <w:tcPr>
            <w:tcW w:w="887" w:type="pct"/>
            <w:vAlign w:val="center"/>
          </w:tcPr>
          <w:p w14:paraId="42CB79F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313558C">
            <w:pPr>
              <w:adjustRightInd w:val="0"/>
              <w:snapToGrid w:val="0"/>
              <w:jc w:val="center"/>
              <w:rPr>
                <w:rFonts w:ascii="Arial" w:hAnsi="Arial" w:eastAsia="宋体" w:cs="Arial"/>
                <w:kern w:val="0"/>
                <w:sz w:val="21"/>
                <w:szCs w:val="21"/>
              </w:rPr>
            </w:pPr>
          </w:p>
        </w:tc>
        <w:tc>
          <w:tcPr>
            <w:tcW w:w="906" w:type="pct"/>
            <w:vAlign w:val="center"/>
          </w:tcPr>
          <w:p w14:paraId="67C59AA6">
            <w:pPr>
              <w:adjustRightInd w:val="0"/>
              <w:snapToGrid w:val="0"/>
              <w:jc w:val="center"/>
              <w:rPr>
                <w:rFonts w:ascii="Arial" w:hAnsi="Arial" w:eastAsia="宋体" w:cs="Arial"/>
                <w:kern w:val="0"/>
                <w:sz w:val="21"/>
                <w:szCs w:val="21"/>
              </w:rPr>
            </w:pPr>
          </w:p>
        </w:tc>
        <w:tc>
          <w:tcPr>
            <w:tcW w:w="657" w:type="pct"/>
            <w:vAlign w:val="center"/>
          </w:tcPr>
          <w:p w14:paraId="22CAB463">
            <w:pPr>
              <w:adjustRightInd w:val="0"/>
              <w:snapToGrid w:val="0"/>
              <w:jc w:val="center"/>
              <w:rPr>
                <w:rFonts w:ascii="Arial" w:hAnsi="Arial" w:eastAsia="宋体" w:cs="Arial"/>
                <w:sz w:val="21"/>
                <w:szCs w:val="21"/>
              </w:rPr>
            </w:pPr>
          </w:p>
        </w:tc>
        <w:tc>
          <w:tcPr>
            <w:tcW w:w="657" w:type="pct"/>
            <w:vAlign w:val="center"/>
          </w:tcPr>
          <w:p w14:paraId="55770AE3">
            <w:pPr>
              <w:adjustRightInd w:val="0"/>
              <w:snapToGrid w:val="0"/>
              <w:jc w:val="center"/>
              <w:rPr>
                <w:rFonts w:ascii="Arial" w:hAnsi="Arial" w:eastAsia="宋体" w:cs="Arial"/>
                <w:sz w:val="21"/>
                <w:szCs w:val="21"/>
              </w:rPr>
            </w:pPr>
          </w:p>
        </w:tc>
      </w:tr>
      <w:tr w14:paraId="1659A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3E8F6A0">
            <w:pPr>
              <w:adjustRightInd w:val="0"/>
              <w:snapToGrid w:val="0"/>
              <w:jc w:val="center"/>
              <w:rPr>
                <w:rFonts w:ascii="Arial" w:hAnsi="Arial" w:eastAsia="宋体" w:cs="Arial"/>
                <w:sz w:val="21"/>
                <w:szCs w:val="21"/>
              </w:rPr>
            </w:pPr>
          </w:p>
        </w:tc>
        <w:tc>
          <w:tcPr>
            <w:tcW w:w="887" w:type="pct"/>
            <w:vAlign w:val="center"/>
          </w:tcPr>
          <w:p w14:paraId="7B4A467E">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B7F3EF7">
            <w:pPr>
              <w:adjustRightInd w:val="0"/>
              <w:snapToGrid w:val="0"/>
              <w:jc w:val="center"/>
              <w:rPr>
                <w:rFonts w:ascii="Arial" w:hAnsi="Arial" w:eastAsia="宋体" w:cs="Arial"/>
                <w:kern w:val="0"/>
                <w:sz w:val="21"/>
                <w:szCs w:val="21"/>
              </w:rPr>
            </w:pPr>
          </w:p>
        </w:tc>
        <w:tc>
          <w:tcPr>
            <w:tcW w:w="906" w:type="pct"/>
            <w:vAlign w:val="center"/>
          </w:tcPr>
          <w:p w14:paraId="0B9F78DA">
            <w:pPr>
              <w:adjustRightInd w:val="0"/>
              <w:snapToGrid w:val="0"/>
              <w:jc w:val="center"/>
              <w:rPr>
                <w:rFonts w:ascii="Arial" w:hAnsi="Arial" w:eastAsia="宋体" w:cs="Arial"/>
                <w:kern w:val="0"/>
                <w:sz w:val="21"/>
                <w:szCs w:val="21"/>
              </w:rPr>
            </w:pPr>
          </w:p>
        </w:tc>
        <w:tc>
          <w:tcPr>
            <w:tcW w:w="657" w:type="pct"/>
            <w:vAlign w:val="center"/>
          </w:tcPr>
          <w:p w14:paraId="7FEC050E">
            <w:pPr>
              <w:adjustRightInd w:val="0"/>
              <w:snapToGrid w:val="0"/>
              <w:jc w:val="center"/>
              <w:rPr>
                <w:rFonts w:ascii="Arial" w:hAnsi="Arial" w:eastAsia="宋体" w:cs="Arial"/>
                <w:sz w:val="21"/>
                <w:szCs w:val="21"/>
              </w:rPr>
            </w:pPr>
          </w:p>
        </w:tc>
        <w:tc>
          <w:tcPr>
            <w:tcW w:w="657" w:type="pct"/>
            <w:vAlign w:val="center"/>
          </w:tcPr>
          <w:p w14:paraId="1C8ADD54">
            <w:pPr>
              <w:adjustRightInd w:val="0"/>
              <w:snapToGrid w:val="0"/>
              <w:jc w:val="center"/>
              <w:rPr>
                <w:rFonts w:ascii="Arial" w:hAnsi="Arial" w:eastAsia="宋体" w:cs="Arial"/>
                <w:sz w:val="21"/>
                <w:szCs w:val="21"/>
              </w:rPr>
            </w:pPr>
          </w:p>
        </w:tc>
      </w:tr>
      <w:tr w14:paraId="202E5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78553A3">
            <w:pPr>
              <w:adjustRightInd w:val="0"/>
              <w:snapToGrid w:val="0"/>
              <w:jc w:val="center"/>
              <w:rPr>
                <w:rFonts w:ascii="Arial" w:hAnsi="Arial" w:eastAsia="宋体" w:cs="Arial"/>
                <w:sz w:val="21"/>
                <w:szCs w:val="21"/>
              </w:rPr>
            </w:pPr>
          </w:p>
        </w:tc>
        <w:tc>
          <w:tcPr>
            <w:tcW w:w="887" w:type="pct"/>
            <w:vAlign w:val="center"/>
          </w:tcPr>
          <w:p w14:paraId="20E63FC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C2870AF">
            <w:pPr>
              <w:adjustRightInd w:val="0"/>
              <w:snapToGrid w:val="0"/>
              <w:jc w:val="center"/>
              <w:rPr>
                <w:rFonts w:ascii="Arial" w:hAnsi="Arial" w:eastAsia="宋体" w:cs="Arial"/>
                <w:kern w:val="0"/>
                <w:sz w:val="21"/>
                <w:szCs w:val="21"/>
              </w:rPr>
            </w:pPr>
          </w:p>
        </w:tc>
        <w:tc>
          <w:tcPr>
            <w:tcW w:w="906" w:type="pct"/>
            <w:vAlign w:val="center"/>
          </w:tcPr>
          <w:p w14:paraId="7677AB6F">
            <w:pPr>
              <w:adjustRightInd w:val="0"/>
              <w:snapToGrid w:val="0"/>
              <w:jc w:val="center"/>
              <w:rPr>
                <w:rFonts w:ascii="Arial" w:hAnsi="Arial" w:eastAsia="宋体" w:cs="Arial"/>
                <w:kern w:val="0"/>
                <w:sz w:val="21"/>
                <w:szCs w:val="21"/>
              </w:rPr>
            </w:pPr>
          </w:p>
        </w:tc>
        <w:tc>
          <w:tcPr>
            <w:tcW w:w="657" w:type="pct"/>
            <w:vAlign w:val="center"/>
          </w:tcPr>
          <w:p w14:paraId="67F8B490">
            <w:pPr>
              <w:adjustRightInd w:val="0"/>
              <w:snapToGrid w:val="0"/>
              <w:jc w:val="center"/>
              <w:rPr>
                <w:rFonts w:ascii="Arial" w:hAnsi="Arial" w:eastAsia="宋体" w:cs="Arial"/>
                <w:sz w:val="21"/>
                <w:szCs w:val="21"/>
              </w:rPr>
            </w:pPr>
          </w:p>
        </w:tc>
        <w:tc>
          <w:tcPr>
            <w:tcW w:w="657" w:type="pct"/>
            <w:vAlign w:val="center"/>
          </w:tcPr>
          <w:p w14:paraId="4B33E03D">
            <w:pPr>
              <w:adjustRightInd w:val="0"/>
              <w:snapToGrid w:val="0"/>
              <w:jc w:val="center"/>
              <w:rPr>
                <w:rFonts w:ascii="Arial" w:hAnsi="Arial" w:eastAsia="宋体" w:cs="Arial"/>
                <w:sz w:val="21"/>
                <w:szCs w:val="21"/>
              </w:rPr>
            </w:pPr>
          </w:p>
        </w:tc>
      </w:tr>
      <w:tr w14:paraId="1FBD7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D7A1BF1">
            <w:pPr>
              <w:adjustRightInd w:val="0"/>
              <w:snapToGrid w:val="0"/>
              <w:jc w:val="center"/>
              <w:rPr>
                <w:rFonts w:ascii="Arial" w:hAnsi="Arial" w:eastAsia="宋体" w:cs="Arial"/>
                <w:sz w:val="21"/>
                <w:szCs w:val="21"/>
              </w:rPr>
            </w:pPr>
          </w:p>
        </w:tc>
        <w:tc>
          <w:tcPr>
            <w:tcW w:w="887" w:type="pct"/>
            <w:vAlign w:val="center"/>
          </w:tcPr>
          <w:p w14:paraId="408EB47B">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DAEBAE9">
            <w:pPr>
              <w:adjustRightInd w:val="0"/>
              <w:snapToGrid w:val="0"/>
              <w:jc w:val="center"/>
              <w:rPr>
                <w:rFonts w:ascii="Arial" w:hAnsi="Arial" w:eastAsia="宋体" w:cs="Arial"/>
                <w:kern w:val="0"/>
                <w:sz w:val="21"/>
                <w:szCs w:val="21"/>
              </w:rPr>
            </w:pPr>
          </w:p>
        </w:tc>
        <w:tc>
          <w:tcPr>
            <w:tcW w:w="906" w:type="pct"/>
            <w:vAlign w:val="center"/>
          </w:tcPr>
          <w:p w14:paraId="73454985">
            <w:pPr>
              <w:adjustRightInd w:val="0"/>
              <w:snapToGrid w:val="0"/>
              <w:jc w:val="center"/>
              <w:rPr>
                <w:rFonts w:ascii="Arial" w:hAnsi="Arial" w:eastAsia="宋体" w:cs="Arial"/>
                <w:kern w:val="0"/>
                <w:sz w:val="21"/>
                <w:szCs w:val="21"/>
              </w:rPr>
            </w:pPr>
          </w:p>
        </w:tc>
        <w:tc>
          <w:tcPr>
            <w:tcW w:w="657" w:type="pct"/>
            <w:vAlign w:val="center"/>
          </w:tcPr>
          <w:p w14:paraId="44225B18">
            <w:pPr>
              <w:adjustRightInd w:val="0"/>
              <w:snapToGrid w:val="0"/>
              <w:jc w:val="center"/>
              <w:rPr>
                <w:rFonts w:ascii="Arial" w:hAnsi="Arial" w:eastAsia="宋体" w:cs="Arial"/>
                <w:sz w:val="21"/>
                <w:szCs w:val="21"/>
              </w:rPr>
            </w:pPr>
          </w:p>
        </w:tc>
        <w:tc>
          <w:tcPr>
            <w:tcW w:w="657" w:type="pct"/>
            <w:vAlign w:val="center"/>
          </w:tcPr>
          <w:p w14:paraId="750D7138">
            <w:pPr>
              <w:adjustRightInd w:val="0"/>
              <w:snapToGrid w:val="0"/>
              <w:jc w:val="center"/>
              <w:rPr>
                <w:rFonts w:ascii="Arial" w:hAnsi="Arial" w:eastAsia="宋体" w:cs="Arial"/>
                <w:sz w:val="21"/>
                <w:szCs w:val="21"/>
              </w:rPr>
            </w:pPr>
          </w:p>
        </w:tc>
      </w:tr>
      <w:tr w14:paraId="0D753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2D0ACFD">
            <w:pPr>
              <w:adjustRightInd w:val="0"/>
              <w:snapToGrid w:val="0"/>
              <w:jc w:val="center"/>
              <w:rPr>
                <w:rFonts w:ascii="Arial" w:hAnsi="Arial" w:eastAsia="宋体" w:cs="Arial"/>
                <w:sz w:val="21"/>
                <w:szCs w:val="21"/>
              </w:rPr>
            </w:pPr>
          </w:p>
        </w:tc>
        <w:tc>
          <w:tcPr>
            <w:tcW w:w="887" w:type="pct"/>
            <w:vAlign w:val="center"/>
          </w:tcPr>
          <w:p w14:paraId="5A892F3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5BE43700">
            <w:pPr>
              <w:adjustRightInd w:val="0"/>
              <w:snapToGrid w:val="0"/>
              <w:jc w:val="center"/>
              <w:rPr>
                <w:rFonts w:ascii="Arial" w:hAnsi="Arial" w:eastAsia="宋体" w:cs="Arial"/>
                <w:kern w:val="0"/>
                <w:sz w:val="21"/>
                <w:szCs w:val="21"/>
              </w:rPr>
            </w:pPr>
          </w:p>
        </w:tc>
        <w:tc>
          <w:tcPr>
            <w:tcW w:w="906" w:type="pct"/>
            <w:vAlign w:val="center"/>
          </w:tcPr>
          <w:p w14:paraId="5D1EF0C9">
            <w:pPr>
              <w:adjustRightInd w:val="0"/>
              <w:snapToGrid w:val="0"/>
              <w:jc w:val="center"/>
              <w:rPr>
                <w:rFonts w:ascii="Arial" w:hAnsi="Arial" w:eastAsia="宋体" w:cs="Arial"/>
                <w:kern w:val="0"/>
                <w:sz w:val="21"/>
                <w:szCs w:val="21"/>
              </w:rPr>
            </w:pPr>
          </w:p>
        </w:tc>
        <w:tc>
          <w:tcPr>
            <w:tcW w:w="657" w:type="pct"/>
            <w:vAlign w:val="center"/>
          </w:tcPr>
          <w:p w14:paraId="07083D8B">
            <w:pPr>
              <w:adjustRightInd w:val="0"/>
              <w:snapToGrid w:val="0"/>
              <w:jc w:val="center"/>
              <w:rPr>
                <w:rFonts w:ascii="Arial" w:hAnsi="Arial" w:eastAsia="宋体" w:cs="Arial"/>
                <w:sz w:val="21"/>
                <w:szCs w:val="21"/>
              </w:rPr>
            </w:pPr>
          </w:p>
        </w:tc>
        <w:tc>
          <w:tcPr>
            <w:tcW w:w="657" w:type="pct"/>
            <w:vAlign w:val="center"/>
          </w:tcPr>
          <w:p w14:paraId="622DADE6">
            <w:pPr>
              <w:adjustRightInd w:val="0"/>
              <w:snapToGrid w:val="0"/>
              <w:jc w:val="center"/>
              <w:rPr>
                <w:rFonts w:ascii="Arial" w:hAnsi="Arial" w:eastAsia="宋体" w:cs="Arial"/>
                <w:sz w:val="21"/>
                <w:szCs w:val="21"/>
              </w:rPr>
            </w:pPr>
          </w:p>
        </w:tc>
      </w:tr>
      <w:tr w14:paraId="0761F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4DC5FDC">
            <w:pPr>
              <w:adjustRightInd w:val="0"/>
              <w:snapToGrid w:val="0"/>
              <w:jc w:val="center"/>
              <w:rPr>
                <w:rFonts w:ascii="Arial" w:hAnsi="Arial" w:eastAsia="宋体" w:cs="Arial"/>
                <w:sz w:val="21"/>
                <w:szCs w:val="21"/>
              </w:rPr>
            </w:pPr>
          </w:p>
        </w:tc>
        <w:tc>
          <w:tcPr>
            <w:tcW w:w="887" w:type="pct"/>
            <w:vAlign w:val="center"/>
          </w:tcPr>
          <w:p w14:paraId="75566026">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DB37ADC">
            <w:pPr>
              <w:adjustRightInd w:val="0"/>
              <w:snapToGrid w:val="0"/>
              <w:jc w:val="center"/>
              <w:rPr>
                <w:rFonts w:ascii="Arial" w:hAnsi="Arial" w:eastAsia="宋体" w:cs="Arial"/>
                <w:kern w:val="0"/>
                <w:sz w:val="21"/>
                <w:szCs w:val="21"/>
              </w:rPr>
            </w:pPr>
          </w:p>
        </w:tc>
        <w:tc>
          <w:tcPr>
            <w:tcW w:w="906" w:type="pct"/>
            <w:vAlign w:val="center"/>
          </w:tcPr>
          <w:p w14:paraId="397CF083">
            <w:pPr>
              <w:adjustRightInd w:val="0"/>
              <w:snapToGrid w:val="0"/>
              <w:jc w:val="center"/>
              <w:rPr>
                <w:rFonts w:ascii="Arial" w:hAnsi="Arial" w:eastAsia="宋体" w:cs="Arial"/>
                <w:kern w:val="0"/>
                <w:sz w:val="21"/>
                <w:szCs w:val="21"/>
              </w:rPr>
            </w:pPr>
          </w:p>
        </w:tc>
        <w:tc>
          <w:tcPr>
            <w:tcW w:w="657" w:type="pct"/>
            <w:vAlign w:val="center"/>
          </w:tcPr>
          <w:p w14:paraId="092399F9">
            <w:pPr>
              <w:adjustRightInd w:val="0"/>
              <w:snapToGrid w:val="0"/>
              <w:jc w:val="center"/>
              <w:rPr>
                <w:rFonts w:ascii="Arial" w:hAnsi="Arial" w:eastAsia="宋体" w:cs="Arial"/>
                <w:sz w:val="21"/>
                <w:szCs w:val="21"/>
              </w:rPr>
            </w:pPr>
          </w:p>
        </w:tc>
        <w:tc>
          <w:tcPr>
            <w:tcW w:w="657" w:type="pct"/>
            <w:vAlign w:val="center"/>
          </w:tcPr>
          <w:p w14:paraId="35D6AAC4">
            <w:pPr>
              <w:adjustRightInd w:val="0"/>
              <w:snapToGrid w:val="0"/>
              <w:jc w:val="center"/>
              <w:rPr>
                <w:rFonts w:ascii="Arial" w:hAnsi="Arial" w:eastAsia="宋体" w:cs="Arial"/>
                <w:sz w:val="21"/>
                <w:szCs w:val="21"/>
              </w:rPr>
            </w:pPr>
          </w:p>
        </w:tc>
      </w:tr>
      <w:tr w14:paraId="1D7F3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5028581">
            <w:pPr>
              <w:adjustRightInd w:val="0"/>
              <w:snapToGrid w:val="0"/>
              <w:jc w:val="center"/>
              <w:rPr>
                <w:rFonts w:ascii="Arial" w:hAnsi="Arial" w:eastAsia="宋体" w:cs="Arial"/>
                <w:sz w:val="21"/>
                <w:szCs w:val="21"/>
              </w:rPr>
            </w:pPr>
          </w:p>
        </w:tc>
        <w:tc>
          <w:tcPr>
            <w:tcW w:w="887" w:type="pct"/>
            <w:vAlign w:val="center"/>
          </w:tcPr>
          <w:p w14:paraId="5CC88086">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2F78CA5">
            <w:pPr>
              <w:adjustRightInd w:val="0"/>
              <w:snapToGrid w:val="0"/>
              <w:jc w:val="center"/>
              <w:rPr>
                <w:rFonts w:ascii="Arial" w:hAnsi="Arial" w:eastAsia="宋体" w:cs="Arial"/>
                <w:kern w:val="0"/>
                <w:sz w:val="21"/>
                <w:szCs w:val="21"/>
              </w:rPr>
            </w:pPr>
          </w:p>
        </w:tc>
        <w:tc>
          <w:tcPr>
            <w:tcW w:w="906" w:type="pct"/>
            <w:vAlign w:val="center"/>
          </w:tcPr>
          <w:p w14:paraId="3DDB4200">
            <w:pPr>
              <w:adjustRightInd w:val="0"/>
              <w:snapToGrid w:val="0"/>
              <w:jc w:val="center"/>
              <w:rPr>
                <w:rFonts w:ascii="Arial" w:hAnsi="Arial" w:eastAsia="宋体" w:cs="Arial"/>
                <w:kern w:val="0"/>
                <w:sz w:val="21"/>
                <w:szCs w:val="21"/>
              </w:rPr>
            </w:pPr>
          </w:p>
        </w:tc>
        <w:tc>
          <w:tcPr>
            <w:tcW w:w="657" w:type="pct"/>
            <w:vAlign w:val="center"/>
          </w:tcPr>
          <w:p w14:paraId="1F7FCC59">
            <w:pPr>
              <w:adjustRightInd w:val="0"/>
              <w:snapToGrid w:val="0"/>
              <w:jc w:val="center"/>
              <w:rPr>
                <w:rFonts w:ascii="Arial" w:hAnsi="Arial" w:eastAsia="宋体" w:cs="Arial"/>
                <w:sz w:val="21"/>
                <w:szCs w:val="21"/>
              </w:rPr>
            </w:pPr>
          </w:p>
        </w:tc>
        <w:tc>
          <w:tcPr>
            <w:tcW w:w="657" w:type="pct"/>
            <w:vAlign w:val="center"/>
          </w:tcPr>
          <w:p w14:paraId="04CF3DB7">
            <w:pPr>
              <w:adjustRightInd w:val="0"/>
              <w:snapToGrid w:val="0"/>
              <w:jc w:val="center"/>
              <w:rPr>
                <w:rFonts w:ascii="Arial" w:hAnsi="Arial" w:eastAsia="宋体" w:cs="Arial"/>
                <w:sz w:val="21"/>
                <w:szCs w:val="21"/>
              </w:rPr>
            </w:pPr>
          </w:p>
        </w:tc>
      </w:tr>
      <w:tr w14:paraId="4DF18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5920286">
            <w:pPr>
              <w:adjustRightInd w:val="0"/>
              <w:snapToGrid w:val="0"/>
              <w:jc w:val="center"/>
              <w:rPr>
                <w:rFonts w:ascii="Arial" w:hAnsi="Arial" w:eastAsia="宋体" w:cs="Arial"/>
                <w:sz w:val="21"/>
                <w:szCs w:val="21"/>
              </w:rPr>
            </w:pPr>
          </w:p>
        </w:tc>
        <w:tc>
          <w:tcPr>
            <w:tcW w:w="887" w:type="pct"/>
            <w:vAlign w:val="center"/>
          </w:tcPr>
          <w:p w14:paraId="3D77A153">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174D468">
            <w:pPr>
              <w:adjustRightInd w:val="0"/>
              <w:snapToGrid w:val="0"/>
              <w:jc w:val="center"/>
              <w:rPr>
                <w:rFonts w:ascii="Arial" w:hAnsi="Arial" w:eastAsia="宋体" w:cs="Arial"/>
                <w:kern w:val="0"/>
                <w:sz w:val="21"/>
                <w:szCs w:val="21"/>
              </w:rPr>
            </w:pPr>
          </w:p>
        </w:tc>
        <w:tc>
          <w:tcPr>
            <w:tcW w:w="906" w:type="pct"/>
            <w:vAlign w:val="center"/>
          </w:tcPr>
          <w:p w14:paraId="6A0558CB">
            <w:pPr>
              <w:adjustRightInd w:val="0"/>
              <w:snapToGrid w:val="0"/>
              <w:jc w:val="center"/>
              <w:rPr>
                <w:rFonts w:ascii="Arial" w:hAnsi="Arial" w:eastAsia="宋体" w:cs="Arial"/>
                <w:kern w:val="0"/>
                <w:sz w:val="21"/>
                <w:szCs w:val="21"/>
              </w:rPr>
            </w:pPr>
          </w:p>
        </w:tc>
        <w:tc>
          <w:tcPr>
            <w:tcW w:w="657" w:type="pct"/>
            <w:vAlign w:val="center"/>
          </w:tcPr>
          <w:p w14:paraId="6A2C5ABB">
            <w:pPr>
              <w:adjustRightInd w:val="0"/>
              <w:snapToGrid w:val="0"/>
              <w:jc w:val="center"/>
              <w:rPr>
                <w:rFonts w:ascii="Arial" w:hAnsi="Arial" w:eastAsia="宋体" w:cs="Arial"/>
                <w:sz w:val="21"/>
                <w:szCs w:val="21"/>
              </w:rPr>
            </w:pPr>
          </w:p>
        </w:tc>
        <w:tc>
          <w:tcPr>
            <w:tcW w:w="657" w:type="pct"/>
            <w:vAlign w:val="center"/>
          </w:tcPr>
          <w:p w14:paraId="42A1A2DB">
            <w:pPr>
              <w:adjustRightInd w:val="0"/>
              <w:snapToGrid w:val="0"/>
              <w:jc w:val="center"/>
              <w:rPr>
                <w:rFonts w:ascii="Arial" w:hAnsi="Arial" w:eastAsia="宋体" w:cs="Arial"/>
                <w:sz w:val="21"/>
                <w:szCs w:val="21"/>
              </w:rPr>
            </w:pPr>
          </w:p>
        </w:tc>
      </w:tr>
      <w:tr w14:paraId="03392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6BF7E68">
            <w:pPr>
              <w:adjustRightInd w:val="0"/>
              <w:snapToGrid w:val="0"/>
              <w:jc w:val="center"/>
              <w:rPr>
                <w:rFonts w:ascii="Arial" w:hAnsi="Arial" w:eastAsia="宋体" w:cs="Arial"/>
                <w:sz w:val="21"/>
                <w:szCs w:val="21"/>
              </w:rPr>
            </w:pPr>
          </w:p>
        </w:tc>
        <w:tc>
          <w:tcPr>
            <w:tcW w:w="887" w:type="pct"/>
            <w:vAlign w:val="center"/>
          </w:tcPr>
          <w:p w14:paraId="3B6132B3">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AE2CB7B">
            <w:pPr>
              <w:adjustRightInd w:val="0"/>
              <w:snapToGrid w:val="0"/>
              <w:jc w:val="center"/>
              <w:rPr>
                <w:rFonts w:ascii="Arial" w:hAnsi="Arial" w:eastAsia="宋体" w:cs="Arial"/>
                <w:kern w:val="0"/>
                <w:sz w:val="21"/>
                <w:szCs w:val="21"/>
              </w:rPr>
            </w:pPr>
          </w:p>
        </w:tc>
        <w:tc>
          <w:tcPr>
            <w:tcW w:w="906" w:type="pct"/>
            <w:vAlign w:val="center"/>
          </w:tcPr>
          <w:p w14:paraId="09A4E7FB">
            <w:pPr>
              <w:adjustRightInd w:val="0"/>
              <w:snapToGrid w:val="0"/>
              <w:jc w:val="center"/>
              <w:rPr>
                <w:rFonts w:ascii="Arial" w:hAnsi="Arial" w:eastAsia="宋体" w:cs="Arial"/>
                <w:kern w:val="0"/>
                <w:sz w:val="21"/>
                <w:szCs w:val="21"/>
              </w:rPr>
            </w:pPr>
          </w:p>
        </w:tc>
        <w:tc>
          <w:tcPr>
            <w:tcW w:w="657" w:type="pct"/>
            <w:vAlign w:val="center"/>
          </w:tcPr>
          <w:p w14:paraId="166447CD">
            <w:pPr>
              <w:adjustRightInd w:val="0"/>
              <w:snapToGrid w:val="0"/>
              <w:jc w:val="center"/>
              <w:rPr>
                <w:rFonts w:ascii="Arial" w:hAnsi="Arial" w:eastAsia="宋体" w:cs="Arial"/>
                <w:sz w:val="21"/>
                <w:szCs w:val="21"/>
              </w:rPr>
            </w:pPr>
          </w:p>
        </w:tc>
        <w:tc>
          <w:tcPr>
            <w:tcW w:w="657" w:type="pct"/>
            <w:vAlign w:val="center"/>
          </w:tcPr>
          <w:p w14:paraId="20233F1E">
            <w:pPr>
              <w:adjustRightInd w:val="0"/>
              <w:snapToGrid w:val="0"/>
              <w:jc w:val="center"/>
              <w:rPr>
                <w:rFonts w:ascii="Arial" w:hAnsi="Arial" w:eastAsia="宋体" w:cs="Arial"/>
                <w:sz w:val="21"/>
                <w:szCs w:val="21"/>
              </w:rPr>
            </w:pPr>
          </w:p>
        </w:tc>
      </w:tr>
      <w:tr w14:paraId="11054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3542EC0">
            <w:pPr>
              <w:adjustRightInd w:val="0"/>
              <w:snapToGrid w:val="0"/>
              <w:jc w:val="center"/>
              <w:rPr>
                <w:rFonts w:ascii="Arial" w:hAnsi="Arial" w:eastAsia="宋体" w:cs="Arial"/>
                <w:sz w:val="21"/>
                <w:szCs w:val="21"/>
              </w:rPr>
            </w:pPr>
          </w:p>
        </w:tc>
        <w:tc>
          <w:tcPr>
            <w:tcW w:w="887" w:type="pct"/>
            <w:vAlign w:val="center"/>
          </w:tcPr>
          <w:p w14:paraId="0F924C7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A8BBA4E">
            <w:pPr>
              <w:adjustRightInd w:val="0"/>
              <w:snapToGrid w:val="0"/>
              <w:jc w:val="center"/>
              <w:rPr>
                <w:rFonts w:ascii="Arial" w:hAnsi="Arial" w:eastAsia="宋体" w:cs="Arial"/>
                <w:kern w:val="0"/>
                <w:sz w:val="21"/>
                <w:szCs w:val="21"/>
              </w:rPr>
            </w:pPr>
          </w:p>
        </w:tc>
        <w:tc>
          <w:tcPr>
            <w:tcW w:w="906" w:type="pct"/>
            <w:vAlign w:val="center"/>
          </w:tcPr>
          <w:p w14:paraId="5D773D11">
            <w:pPr>
              <w:adjustRightInd w:val="0"/>
              <w:snapToGrid w:val="0"/>
              <w:jc w:val="center"/>
              <w:rPr>
                <w:rFonts w:ascii="Arial" w:hAnsi="Arial" w:eastAsia="宋体" w:cs="Arial"/>
                <w:kern w:val="0"/>
                <w:sz w:val="21"/>
                <w:szCs w:val="21"/>
              </w:rPr>
            </w:pPr>
          </w:p>
        </w:tc>
        <w:tc>
          <w:tcPr>
            <w:tcW w:w="657" w:type="pct"/>
            <w:vAlign w:val="center"/>
          </w:tcPr>
          <w:p w14:paraId="426EA365">
            <w:pPr>
              <w:adjustRightInd w:val="0"/>
              <w:snapToGrid w:val="0"/>
              <w:jc w:val="center"/>
              <w:rPr>
                <w:rFonts w:ascii="Arial" w:hAnsi="Arial" w:eastAsia="宋体" w:cs="Arial"/>
                <w:sz w:val="21"/>
                <w:szCs w:val="21"/>
              </w:rPr>
            </w:pPr>
          </w:p>
        </w:tc>
        <w:tc>
          <w:tcPr>
            <w:tcW w:w="657" w:type="pct"/>
            <w:vAlign w:val="center"/>
          </w:tcPr>
          <w:p w14:paraId="297F3AF3">
            <w:pPr>
              <w:adjustRightInd w:val="0"/>
              <w:snapToGrid w:val="0"/>
              <w:jc w:val="center"/>
              <w:rPr>
                <w:rFonts w:ascii="Arial" w:hAnsi="Arial" w:eastAsia="宋体" w:cs="Arial"/>
                <w:sz w:val="21"/>
                <w:szCs w:val="21"/>
              </w:rPr>
            </w:pPr>
          </w:p>
        </w:tc>
      </w:tr>
      <w:tr w14:paraId="28B9C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3725DD5">
            <w:pPr>
              <w:adjustRightInd w:val="0"/>
              <w:snapToGrid w:val="0"/>
              <w:jc w:val="center"/>
              <w:rPr>
                <w:rFonts w:ascii="Arial" w:hAnsi="Arial" w:eastAsia="宋体" w:cs="Arial"/>
                <w:sz w:val="21"/>
                <w:szCs w:val="21"/>
              </w:rPr>
            </w:pPr>
          </w:p>
        </w:tc>
        <w:tc>
          <w:tcPr>
            <w:tcW w:w="887" w:type="pct"/>
            <w:vAlign w:val="center"/>
          </w:tcPr>
          <w:p w14:paraId="25868155">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41C6243">
            <w:pPr>
              <w:adjustRightInd w:val="0"/>
              <w:snapToGrid w:val="0"/>
              <w:jc w:val="center"/>
              <w:rPr>
                <w:rFonts w:ascii="Arial" w:hAnsi="Arial" w:eastAsia="宋体" w:cs="Arial"/>
                <w:kern w:val="0"/>
                <w:sz w:val="21"/>
                <w:szCs w:val="21"/>
              </w:rPr>
            </w:pPr>
          </w:p>
        </w:tc>
        <w:tc>
          <w:tcPr>
            <w:tcW w:w="906" w:type="pct"/>
            <w:vAlign w:val="center"/>
          </w:tcPr>
          <w:p w14:paraId="3FF269A6">
            <w:pPr>
              <w:adjustRightInd w:val="0"/>
              <w:snapToGrid w:val="0"/>
              <w:jc w:val="center"/>
              <w:rPr>
                <w:rFonts w:ascii="Arial" w:hAnsi="Arial" w:eastAsia="宋体" w:cs="Arial"/>
                <w:kern w:val="0"/>
                <w:sz w:val="21"/>
                <w:szCs w:val="21"/>
              </w:rPr>
            </w:pPr>
          </w:p>
        </w:tc>
        <w:tc>
          <w:tcPr>
            <w:tcW w:w="657" w:type="pct"/>
            <w:vAlign w:val="center"/>
          </w:tcPr>
          <w:p w14:paraId="51CBDFD1">
            <w:pPr>
              <w:adjustRightInd w:val="0"/>
              <w:snapToGrid w:val="0"/>
              <w:jc w:val="center"/>
              <w:rPr>
                <w:rFonts w:ascii="Arial" w:hAnsi="Arial" w:eastAsia="宋体" w:cs="Arial"/>
                <w:sz w:val="21"/>
                <w:szCs w:val="21"/>
              </w:rPr>
            </w:pPr>
          </w:p>
        </w:tc>
        <w:tc>
          <w:tcPr>
            <w:tcW w:w="657" w:type="pct"/>
            <w:vAlign w:val="center"/>
          </w:tcPr>
          <w:p w14:paraId="15563EF4">
            <w:pPr>
              <w:adjustRightInd w:val="0"/>
              <w:snapToGrid w:val="0"/>
              <w:jc w:val="center"/>
              <w:rPr>
                <w:rFonts w:ascii="Arial" w:hAnsi="Arial" w:eastAsia="宋体" w:cs="Arial"/>
                <w:sz w:val="21"/>
                <w:szCs w:val="21"/>
              </w:rPr>
            </w:pPr>
          </w:p>
        </w:tc>
      </w:tr>
      <w:tr w14:paraId="1D397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AAB5125">
            <w:pPr>
              <w:adjustRightInd w:val="0"/>
              <w:snapToGrid w:val="0"/>
              <w:jc w:val="center"/>
              <w:rPr>
                <w:rFonts w:ascii="Arial" w:hAnsi="Arial" w:eastAsia="宋体" w:cs="Arial"/>
                <w:sz w:val="21"/>
                <w:szCs w:val="21"/>
              </w:rPr>
            </w:pPr>
          </w:p>
        </w:tc>
        <w:tc>
          <w:tcPr>
            <w:tcW w:w="887" w:type="pct"/>
            <w:vAlign w:val="center"/>
          </w:tcPr>
          <w:p w14:paraId="1954F13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AB7106A">
            <w:pPr>
              <w:adjustRightInd w:val="0"/>
              <w:snapToGrid w:val="0"/>
              <w:jc w:val="center"/>
              <w:rPr>
                <w:rFonts w:ascii="Arial" w:hAnsi="Arial" w:eastAsia="宋体" w:cs="Arial"/>
                <w:kern w:val="0"/>
                <w:sz w:val="21"/>
                <w:szCs w:val="21"/>
              </w:rPr>
            </w:pPr>
          </w:p>
        </w:tc>
        <w:tc>
          <w:tcPr>
            <w:tcW w:w="906" w:type="pct"/>
            <w:vAlign w:val="center"/>
          </w:tcPr>
          <w:p w14:paraId="0BFDA441">
            <w:pPr>
              <w:adjustRightInd w:val="0"/>
              <w:snapToGrid w:val="0"/>
              <w:jc w:val="center"/>
              <w:rPr>
                <w:rFonts w:ascii="Arial" w:hAnsi="Arial" w:eastAsia="宋体" w:cs="Arial"/>
                <w:kern w:val="0"/>
                <w:sz w:val="21"/>
                <w:szCs w:val="21"/>
              </w:rPr>
            </w:pPr>
          </w:p>
        </w:tc>
        <w:tc>
          <w:tcPr>
            <w:tcW w:w="657" w:type="pct"/>
            <w:vAlign w:val="center"/>
          </w:tcPr>
          <w:p w14:paraId="1C92FAC0">
            <w:pPr>
              <w:adjustRightInd w:val="0"/>
              <w:snapToGrid w:val="0"/>
              <w:jc w:val="center"/>
              <w:rPr>
                <w:rFonts w:ascii="Arial" w:hAnsi="Arial" w:eastAsia="宋体" w:cs="Arial"/>
                <w:sz w:val="21"/>
                <w:szCs w:val="21"/>
              </w:rPr>
            </w:pPr>
          </w:p>
        </w:tc>
        <w:tc>
          <w:tcPr>
            <w:tcW w:w="657" w:type="pct"/>
            <w:vAlign w:val="center"/>
          </w:tcPr>
          <w:p w14:paraId="4DAA66E0">
            <w:pPr>
              <w:adjustRightInd w:val="0"/>
              <w:snapToGrid w:val="0"/>
              <w:jc w:val="center"/>
              <w:rPr>
                <w:rFonts w:ascii="Arial" w:hAnsi="Arial" w:eastAsia="宋体" w:cs="Arial"/>
                <w:sz w:val="21"/>
                <w:szCs w:val="21"/>
              </w:rPr>
            </w:pPr>
          </w:p>
        </w:tc>
      </w:tr>
      <w:tr w14:paraId="40AE3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FD81111">
            <w:pPr>
              <w:adjustRightInd w:val="0"/>
              <w:snapToGrid w:val="0"/>
              <w:jc w:val="center"/>
              <w:rPr>
                <w:rFonts w:ascii="Arial" w:hAnsi="Arial" w:eastAsia="宋体" w:cs="Arial"/>
                <w:sz w:val="21"/>
                <w:szCs w:val="21"/>
              </w:rPr>
            </w:pPr>
          </w:p>
        </w:tc>
        <w:tc>
          <w:tcPr>
            <w:tcW w:w="887" w:type="pct"/>
            <w:vAlign w:val="center"/>
          </w:tcPr>
          <w:p w14:paraId="5F139E8D">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EB67E36">
            <w:pPr>
              <w:adjustRightInd w:val="0"/>
              <w:snapToGrid w:val="0"/>
              <w:jc w:val="center"/>
              <w:rPr>
                <w:rFonts w:ascii="Arial" w:hAnsi="Arial" w:eastAsia="宋体" w:cs="Arial"/>
                <w:kern w:val="0"/>
                <w:sz w:val="21"/>
                <w:szCs w:val="21"/>
              </w:rPr>
            </w:pPr>
          </w:p>
        </w:tc>
        <w:tc>
          <w:tcPr>
            <w:tcW w:w="906" w:type="pct"/>
            <w:vAlign w:val="center"/>
          </w:tcPr>
          <w:p w14:paraId="0A14A22E">
            <w:pPr>
              <w:adjustRightInd w:val="0"/>
              <w:snapToGrid w:val="0"/>
              <w:jc w:val="center"/>
              <w:rPr>
                <w:rFonts w:ascii="Arial" w:hAnsi="Arial" w:eastAsia="宋体" w:cs="Arial"/>
                <w:kern w:val="0"/>
                <w:sz w:val="21"/>
                <w:szCs w:val="21"/>
              </w:rPr>
            </w:pPr>
          </w:p>
        </w:tc>
        <w:tc>
          <w:tcPr>
            <w:tcW w:w="657" w:type="pct"/>
            <w:vAlign w:val="center"/>
          </w:tcPr>
          <w:p w14:paraId="549E79E7">
            <w:pPr>
              <w:adjustRightInd w:val="0"/>
              <w:snapToGrid w:val="0"/>
              <w:jc w:val="center"/>
              <w:rPr>
                <w:rFonts w:ascii="Arial" w:hAnsi="Arial" w:eastAsia="宋体" w:cs="Arial"/>
                <w:sz w:val="21"/>
                <w:szCs w:val="21"/>
              </w:rPr>
            </w:pPr>
          </w:p>
        </w:tc>
        <w:tc>
          <w:tcPr>
            <w:tcW w:w="657" w:type="pct"/>
            <w:vAlign w:val="center"/>
          </w:tcPr>
          <w:p w14:paraId="5EB77FCA">
            <w:pPr>
              <w:adjustRightInd w:val="0"/>
              <w:snapToGrid w:val="0"/>
              <w:jc w:val="center"/>
              <w:rPr>
                <w:rFonts w:ascii="Arial" w:hAnsi="Arial" w:eastAsia="宋体" w:cs="Arial"/>
                <w:sz w:val="21"/>
                <w:szCs w:val="21"/>
              </w:rPr>
            </w:pPr>
          </w:p>
        </w:tc>
      </w:tr>
      <w:tr w14:paraId="3B9C4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7BF3B6B">
            <w:pPr>
              <w:adjustRightInd w:val="0"/>
              <w:snapToGrid w:val="0"/>
              <w:jc w:val="center"/>
              <w:rPr>
                <w:rFonts w:ascii="Arial" w:hAnsi="Arial" w:eastAsia="宋体" w:cs="Arial"/>
                <w:sz w:val="21"/>
                <w:szCs w:val="21"/>
              </w:rPr>
            </w:pPr>
          </w:p>
        </w:tc>
        <w:tc>
          <w:tcPr>
            <w:tcW w:w="887" w:type="pct"/>
            <w:vAlign w:val="center"/>
          </w:tcPr>
          <w:p w14:paraId="7E577EE3">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DABD6F4">
            <w:pPr>
              <w:adjustRightInd w:val="0"/>
              <w:snapToGrid w:val="0"/>
              <w:jc w:val="center"/>
              <w:rPr>
                <w:rFonts w:ascii="Arial" w:hAnsi="Arial" w:eastAsia="宋体" w:cs="Arial"/>
                <w:kern w:val="0"/>
                <w:sz w:val="21"/>
                <w:szCs w:val="21"/>
              </w:rPr>
            </w:pPr>
          </w:p>
        </w:tc>
        <w:tc>
          <w:tcPr>
            <w:tcW w:w="906" w:type="pct"/>
            <w:vAlign w:val="center"/>
          </w:tcPr>
          <w:p w14:paraId="44623EA9">
            <w:pPr>
              <w:adjustRightInd w:val="0"/>
              <w:snapToGrid w:val="0"/>
              <w:jc w:val="center"/>
              <w:rPr>
                <w:rFonts w:ascii="Arial" w:hAnsi="Arial" w:eastAsia="宋体" w:cs="Arial"/>
                <w:kern w:val="0"/>
                <w:sz w:val="21"/>
                <w:szCs w:val="21"/>
              </w:rPr>
            </w:pPr>
          </w:p>
        </w:tc>
        <w:tc>
          <w:tcPr>
            <w:tcW w:w="657" w:type="pct"/>
            <w:vAlign w:val="center"/>
          </w:tcPr>
          <w:p w14:paraId="080AA227">
            <w:pPr>
              <w:adjustRightInd w:val="0"/>
              <w:snapToGrid w:val="0"/>
              <w:jc w:val="center"/>
              <w:rPr>
                <w:rFonts w:ascii="Arial" w:hAnsi="Arial" w:eastAsia="宋体" w:cs="Arial"/>
                <w:sz w:val="21"/>
                <w:szCs w:val="21"/>
              </w:rPr>
            </w:pPr>
          </w:p>
        </w:tc>
        <w:tc>
          <w:tcPr>
            <w:tcW w:w="657" w:type="pct"/>
            <w:vAlign w:val="center"/>
          </w:tcPr>
          <w:p w14:paraId="1AFB73F5">
            <w:pPr>
              <w:adjustRightInd w:val="0"/>
              <w:snapToGrid w:val="0"/>
              <w:jc w:val="center"/>
              <w:rPr>
                <w:rFonts w:ascii="Arial" w:hAnsi="Arial" w:eastAsia="宋体" w:cs="Arial"/>
                <w:sz w:val="21"/>
                <w:szCs w:val="21"/>
              </w:rPr>
            </w:pPr>
          </w:p>
        </w:tc>
      </w:tr>
      <w:tr w14:paraId="09391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4E62D8A">
            <w:pPr>
              <w:adjustRightInd w:val="0"/>
              <w:snapToGrid w:val="0"/>
              <w:jc w:val="center"/>
              <w:rPr>
                <w:rFonts w:ascii="Arial" w:hAnsi="Arial" w:eastAsia="宋体" w:cs="Arial"/>
                <w:sz w:val="21"/>
                <w:szCs w:val="21"/>
              </w:rPr>
            </w:pPr>
          </w:p>
        </w:tc>
        <w:tc>
          <w:tcPr>
            <w:tcW w:w="887" w:type="pct"/>
            <w:vAlign w:val="center"/>
          </w:tcPr>
          <w:p w14:paraId="3D6DF68D">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E985CF5">
            <w:pPr>
              <w:adjustRightInd w:val="0"/>
              <w:snapToGrid w:val="0"/>
              <w:jc w:val="center"/>
              <w:rPr>
                <w:rFonts w:ascii="Arial" w:hAnsi="Arial" w:eastAsia="宋体" w:cs="Arial"/>
                <w:kern w:val="0"/>
                <w:sz w:val="21"/>
                <w:szCs w:val="21"/>
              </w:rPr>
            </w:pPr>
          </w:p>
        </w:tc>
        <w:tc>
          <w:tcPr>
            <w:tcW w:w="906" w:type="pct"/>
            <w:vAlign w:val="center"/>
          </w:tcPr>
          <w:p w14:paraId="763305C2">
            <w:pPr>
              <w:adjustRightInd w:val="0"/>
              <w:snapToGrid w:val="0"/>
              <w:jc w:val="center"/>
              <w:rPr>
                <w:rFonts w:ascii="Arial" w:hAnsi="Arial" w:eastAsia="宋体" w:cs="Arial"/>
                <w:kern w:val="0"/>
                <w:sz w:val="21"/>
                <w:szCs w:val="21"/>
              </w:rPr>
            </w:pPr>
          </w:p>
        </w:tc>
        <w:tc>
          <w:tcPr>
            <w:tcW w:w="657" w:type="pct"/>
            <w:vAlign w:val="center"/>
          </w:tcPr>
          <w:p w14:paraId="1E70CCC1">
            <w:pPr>
              <w:adjustRightInd w:val="0"/>
              <w:snapToGrid w:val="0"/>
              <w:jc w:val="center"/>
              <w:rPr>
                <w:rFonts w:ascii="Arial" w:hAnsi="Arial" w:eastAsia="宋体" w:cs="Arial"/>
                <w:sz w:val="21"/>
                <w:szCs w:val="21"/>
              </w:rPr>
            </w:pPr>
          </w:p>
        </w:tc>
        <w:tc>
          <w:tcPr>
            <w:tcW w:w="657" w:type="pct"/>
            <w:vAlign w:val="center"/>
          </w:tcPr>
          <w:p w14:paraId="686BC387">
            <w:pPr>
              <w:adjustRightInd w:val="0"/>
              <w:snapToGrid w:val="0"/>
              <w:jc w:val="center"/>
              <w:rPr>
                <w:rFonts w:ascii="Arial" w:hAnsi="Arial" w:eastAsia="宋体" w:cs="Arial"/>
                <w:sz w:val="21"/>
                <w:szCs w:val="21"/>
              </w:rPr>
            </w:pPr>
          </w:p>
        </w:tc>
      </w:tr>
      <w:tr w14:paraId="244DD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DBA29D7">
            <w:pPr>
              <w:adjustRightInd w:val="0"/>
              <w:snapToGrid w:val="0"/>
              <w:jc w:val="center"/>
              <w:rPr>
                <w:rFonts w:ascii="Arial" w:hAnsi="Arial" w:eastAsia="宋体" w:cs="Arial"/>
                <w:sz w:val="21"/>
                <w:szCs w:val="21"/>
              </w:rPr>
            </w:pPr>
          </w:p>
        </w:tc>
        <w:tc>
          <w:tcPr>
            <w:tcW w:w="887" w:type="pct"/>
            <w:vAlign w:val="center"/>
          </w:tcPr>
          <w:p w14:paraId="19E4130C">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5DBB633D">
            <w:pPr>
              <w:adjustRightInd w:val="0"/>
              <w:snapToGrid w:val="0"/>
              <w:jc w:val="center"/>
              <w:rPr>
                <w:rFonts w:ascii="Arial" w:hAnsi="Arial" w:eastAsia="宋体" w:cs="Arial"/>
                <w:kern w:val="0"/>
                <w:sz w:val="21"/>
                <w:szCs w:val="21"/>
              </w:rPr>
            </w:pPr>
          </w:p>
        </w:tc>
        <w:tc>
          <w:tcPr>
            <w:tcW w:w="906" w:type="pct"/>
            <w:vAlign w:val="center"/>
          </w:tcPr>
          <w:p w14:paraId="78DAF79E">
            <w:pPr>
              <w:adjustRightInd w:val="0"/>
              <w:snapToGrid w:val="0"/>
              <w:jc w:val="center"/>
              <w:rPr>
                <w:rFonts w:ascii="Arial" w:hAnsi="Arial" w:eastAsia="宋体" w:cs="Arial"/>
                <w:kern w:val="0"/>
                <w:sz w:val="21"/>
                <w:szCs w:val="21"/>
              </w:rPr>
            </w:pPr>
          </w:p>
        </w:tc>
        <w:tc>
          <w:tcPr>
            <w:tcW w:w="657" w:type="pct"/>
            <w:vAlign w:val="center"/>
          </w:tcPr>
          <w:p w14:paraId="035A6E26">
            <w:pPr>
              <w:adjustRightInd w:val="0"/>
              <w:snapToGrid w:val="0"/>
              <w:jc w:val="center"/>
              <w:rPr>
                <w:rFonts w:ascii="Arial" w:hAnsi="Arial" w:eastAsia="宋体" w:cs="Arial"/>
                <w:sz w:val="21"/>
                <w:szCs w:val="21"/>
              </w:rPr>
            </w:pPr>
          </w:p>
        </w:tc>
        <w:tc>
          <w:tcPr>
            <w:tcW w:w="657" w:type="pct"/>
            <w:vAlign w:val="center"/>
          </w:tcPr>
          <w:p w14:paraId="3F40641F">
            <w:pPr>
              <w:adjustRightInd w:val="0"/>
              <w:snapToGrid w:val="0"/>
              <w:jc w:val="center"/>
              <w:rPr>
                <w:rFonts w:ascii="Arial" w:hAnsi="Arial" w:eastAsia="宋体" w:cs="Arial"/>
                <w:sz w:val="21"/>
                <w:szCs w:val="21"/>
              </w:rPr>
            </w:pPr>
          </w:p>
        </w:tc>
      </w:tr>
      <w:tr w14:paraId="34AF2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9ED2F81">
            <w:pPr>
              <w:adjustRightInd w:val="0"/>
              <w:snapToGrid w:val="0"/>
              <w:jc w:val="center"/>
              <w:rPr>
                <w:rFonts w:ascii="Arial" w:hAnsi="Arial" w:eastAsia="宋体" w:cs="Arial"/>
                <w:sz w:val="21"/>
                <w:szCs w:val="21"/>
              </w:rPr>
            </w:pPr>
          </w:p>
        </w:tc>
        <w:tc>
          <w:tcPr>
            <w:tcW w:w="887" w:type="pct"/>
            <w:vAlign w:val="center"/>
          </w:tcPr>
          <w:p w14:paraId="7B443BEE">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3BC1206">
            <w:pPr>
              <w:adjustRightInd w:val="0"/>
              <w:snapToGrid w:val="0"/>
              <w:jc w:val="center"/>
              <w:rPr>
                <w:rFonts w:ascii="Arial" w:hAnsi="Arial" w:eastAsia="宋体" w:cs="Arial"/>
                <w:kern w:val="0"/>
                <w:sz w:val="21"/>
                <w:szCs w:val="21"/>
              </w:rPr>
            </w:pPr>
          </w:p>
        </w:tc>
        <w:tc>
          <w:tcPr>
            <w:tcW w:w="906" w:type="pct"/>
            <w:vAlign w:val="center"/>
          </w:tcPr>
          <w:p w14:paraId="610C2DB2">
            <w:pPr>
              <w:adjustRightInd w:val="0"/>
              <w:snapToGrid w:val="0"/>
              <w:jc w:val="center"/>
              <w:rPr>
                <w:rFonts w:ascii="Arial" w:hAnsi="Arial" w:eastAsia="宋体" w:cs="Arial"/>
                <w:kern w:val="0"/>
                <w:sz w:val="21"/>
                <w:szCs w:val="21"/>
              </w:rPr>
            </w:pPr>
          </w:p>
        </w:tc>
        <w:tc>
          <w:tcPr>
            <w:tcW w:w="657" w:type="pct"/>
            <w:vAlign w:val="center"/>
          </w:tcPr>
          <w:p w14:paraId="2B41E460">
            <w:pPr>
              <w:adjustRightInd w:val="0"/>
              <w:snapToGrid w:val="0"/>
              <w:jc w:val="center"/>
              <w:rPr>
                <w:rFonts w:ascii="Arial" w:hAnsi="Arial" w:eastAsia="宋体" w:cs="Arial"/>
                <w:sz w:val="21"/>
                <w:szCs w:val="21"/>
              </w:rPr>
            </w:pPr>
          </w:p>
        </w:tc>
        <w:tc>
          <w:tcPr>
            <w:tcW w:w="657" w:type="pct"/>
            <w:vAlign w:val="center"/>
          </w:tcPr>
          <w:p w14:paraId="19E30122">
            <w:pPr>
              <w:adjustRightInd w:val="0"/>
              <w:snapToGrid w:val="0"/>
              <w:jc w:val="center"/>
              <w:rPr>
                <w:rFonts w:ascii="Arial" w:hAnsi="Arial" w:eastAsia="宋体" w:cs="Arial"/>
                <w:sz w:val="21"/>
                <w:szCs w:val="21"/>
              </w:rPr>
            </w:pPr>
          </w:p>
        </w:tc>
      </w:tr>
      <w:tr w14:paraId="7916F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EC6BE4D">
            <w:pPr>
              <w:adjustRightInd w:val="0"/>
              <w:snapToGrid w:val="0"/>
              <w:jc w:val="center"/>
              <w:rPr>
                <w:rFonts w:ascii="Arial" w:hAnsi="Arial" w:eastAsia="宋体" w:cs="Arial"/>
                <w:sz w:val="21"/>
                <w:szCs w:val="21"/>
              </w:rPr>
            </w:pPr>
          </w:p>
        </w:tc>
        <w:tc>
          <w:tcPr>
            <w:tcW w:w="887" w:type="pct"/>
            <w:vAlign w:val="center"/>
          </w:tcPr>
          <w:p w14:paraId="697F5CFF">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561F9859">
            <w:pPr>
              <w:adjustRightInd w:val="0"/>
              <w:snapToGrid w:val="0"/>
              <w:jc w:val="center"/>
              <w:rPr>
                <w:rFonts w:ascii="Arial" w:hAnsi="Arial" w:eastAsia="宋体" w:cs="Arial"/>
                <w:kern w:val="0"/>
                <w:sz w:val="21"/>
                <w:szCs w:val="21"/>
              </w:rPr>
            </w:pPr>
          </w:p>
        </w:tc>
        <w:tc>
          <w:tcPr>
            <w:tcW w:w="906" w:type="pct"/>
            <w:vAlign w:val="center"/>
          </w:tcPr>
          <w:p w14:paraId="152475E3">
            <w:pPr>
              <w:adjustRightInd w:val="0"/>
              <w:snapToGrid w:val="0"/>
              <w:jc w:val="center"/>
              <w:rPr>
                <w:rFonts w:ascii="Arial" w:hAnsi="Arial" w:eastAsia="宋体" w:cs="Arial"/>
                <w:kern w:val="0"/>
                <w:sz w:val="21"/>
                <w:szCs w:val="21"/>
              </w:rPr>
            </w:pPr>
          </w:p>
        </w:tc>
        <w:tc>
          <w:tcPr>
            <w:tcW w:w="657" w:type="pct"/>
            <w:vAlign w:val="center"/>
          </w:tcPr>
          <w:p w14:paraId="32CB39FE">
            <w:pPr>
              <w:adjustRightInd w:val="0"/>
              <w:snapToGrid w:val="0"/>
              <w:jc w:val="center"/>
              <w:rPr>
                <w:rFonts w:ascii="Arial" w:hAnsi="Arial" w:eastAsia="宋体" w:cs="Arial"/>
                <w:sz w:val="21"/>
                <w:szCs w:val="21"/>
              </w:rPr>
            </w:pPr>
          </w:p>
        </w:tc>
        <w:tc>
          <w:tcPr>
            <w:tcW w:w="657" w:type="pct"/>
            <w:vAlign w:val="center"/>
          </w:tcPr>
          <w:p w14:paraId="397C856A">
            <w:pPr>
              <w:adjustRightInd w:val="0"/>
              <w:snapToGrid w:val="0"/>
              <w:jc w:val="center"/>
              <w:rPr>
                <w:rFonts w:ascii="Arial" w:hAnsi="Arial" w:eastAsia="宋体" w:cs="Arial"/>
                <w:sz w:val="21"/>
                <w:szCs w:val="21"/>
              </w:rPr>
            </w:pPr>
          </w:p>
        </w:tc>
      </w:tr>
      <w:tr w14:paraId="51409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1710326">
            <w:pPr>
              <w:adjustRightInd w:val="0"/>
              <w:snapToGrid w:val="0"/>
              <w:jc w:val="center"/>
              <w:rPr>
                <w:rFonts w:ascii="Arial" w:hAnsi="Arial" w:eastAsia="宋体" w:cs="Arial"/>
                <w:sz w:val="21"/>
                <w:szCs w:val="21"/>
              </w:rPr>
            </w:pPr>
          </w:p>
        </w:tc>
        <w:tc>
          <w:tcPr>
            <w:tcW w:w="887" w:type="pct"/>
            <w:vAlign w:val="center"/>
          </w:tcPr>
          <w:p w14:paraId="679289C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BBC108C">
            <w:pPr>
              <w:adjustRightInd w:val="0"/>
              <w:snapToGrid w:val="0"/>
              <w:jc w:val="center"/>
              <w:rPr>
                <w:rFonts w:ascii="Arial" w:hAnsi="Arial" w:eastAsia="宋体" w:cs="Arial"/>
                <w:kern w:val="0"/>
                <w:sz w:val="21"/>
                <w:szCs w:val="21"/>
              </w:rPr>
            </w:pPr>
          </w:p>
        </w:tc>
        <w:tc>
          <w:tcPr>
            <w:tcW w:w="906" w:type="pct"/>
            <w:vAlign w:val="center"/>
          </w:tcPr>
          <w:p w14:paraId="78D3C92F">
            <w:pPr>
              <w:adjustRightInd w:val="0"/>
              <w:snapToGrid w:val="0"/>
              <w:jc w:val="center"/>
              <w:rPr>
                <w:rFonts w:ascii="Arial" w:hAnsi="Arial" w:eastAsia="宋体" w:cs="Arial"/>
                <w:kern w:val="0"/>
                <w:sz w:val="21"/>
                <w:szCs w:val="21"/>
              </w:rPr>
            </w:pPr>
          </w:p>
        </w:tc>
        <w:tc>
          <w:tcPr>
            <w:tcW w:w="657" w:type="pct"/>
            <w:vAlign w:val="center"/>
          </w:tcPr>
          <w:p w14:paraId="6FDA19DD">
            <w:pPr>
              <w:adjustRightInd w:val="0"/>
              <w:snapToGrid w:val="0"/>
              <w:jc w:val="center"/>
              <w:rPr>
                <w:rFonts w:ascii="Arial" w:hAnsi="Arial" w:eastAsia="宋体" w:cs="Arial"/>
                <w:sz w:val="21"/>
                <w:szCs w:val="21"/>
              </w:rPr>
            </w:pPr>
          </w:p>
        </w:tc>
        <w:tc>
          <w:tcPr>
            <w:tcW w:w="657" w:type="pct"/>
            <w:vAlign w:val="center"/>
          </w:tcPr>
          <w:p w14:paraId="1D1F34FD">
            <w:pPr>
              <w:adjustRightInd w:val="0"/>
              <w:snapToGrid w:val="0"/>
              <w:jc w:val="center"/>
              <w:rPr>
                <w:rFonts w:ascii="Arial" w:hAnsi="Arial" w:eastAsia="宋体" w:cs="Arial"/>
                <w:sz w:val="21"/>
                <w:szCs w:val="21"/>
              </w:rPr>
            </w:pPr>
          </w:p>
        </w:tc>
      </w:tr>
      <w:tr w14:paraId="4DE23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51D68B4">
            <w:pPr>
              <w:adjustRightInd w:val="0"/>
              <w:snapToGrid w:val="0"/>
              <w:jc w:val="center"/>
              <w:rPr>
                <w:rFonts w:ascii="Arial" w:hAnsi="Arial" w:eastAsia="宋体" w:cs="Arial"/>
                <w:sz w:val="21"/>
                <w:szCs w:val="21"/>
              </w:rPr>
            </w:pPr>
          </w:p>
        </w:tc>
        <w:tc>
          <w:tcPr>
            <w:tcW w:w="887" w:type="pct"/>
            <w:vAlign w:val="center"/>
          </w:tcPr>
          <w:p w14:paraId="444692FD">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281C654">
            <w:pPr>
              <w:adjustRightInd w:val="0"/>
              <w:snapToGrid w:val="0"/>
              <w:jc w:val="center"/>
              <w:rPr>
                <w:rFonts w:ascii="Arial" w:hAnsi="Arial" w:eastAsia="宋体" w:cs="Arial"/>
                <w:kern w:val="0"/>
                <w:sz w:val="21"/>
                <w:szCs w:val="21"/>
              </w:rPr>
            </w:pPr>
          </w:p>
        </w:tc>
        <w:tc>
          <w:tcPr>
            <w:tcW w:w="906" w:type="pct"/>
            <w:vAlign w:val="center"/>
          </w:tcPr>
          <w:p w14:paraId="27A27D3A">
            <w:pPr>
              <w:adjustRightInd w:val="0"/>
              <w:snapToGrid w:val="0"/>
              <w:jc w:val="center"/>
              <w:rPr>
                <w:rFonts w:ascii="Arial" w:hAnsi="Arial" w:eastAsia="宋体" w:cs="Arial"/>
                <w:kern w:val="0"/>
                <w:sz w:val="21"/>
                <w:szCs w:val="21"/>
              </w:rPr>
            </w:pPr>
          </w:p>
        </w:tc>
        <w:tc>
          <w:tcPr>
            <w:tcW w:w="657" w:type="pct"/>
            <w:vAlign w:val="center"/>
          </w:tcPr>
          <w:p w14:paraId="1FAAE573">
            <w:pPr>
              <w:adjustRightInd w:val="0"/>
              <w:snapToGrid w:val="0"/>
              <w:jc w:val="center"/>
              <w:rPr>
                <w:rFonts w:ascii="Arial" w:hAnsi="Arial" w:eastAsia="宋体" w:cs="Arial"/>
                <w:sz w:val="21"/>
                <w:szCs w:val="21"/>
              </w:rPr>
            </w:pPr>
          </w:p>
        </w:tc>
        <w:tc>
          <w:tcPr>
            <w:tcW w:w="657" w:type="pct"/>
            <w:vAlign w:val="center"/>
          </w:tcPr>
          <w:p w14:paraId="7A313C46">
            <w:pPr>
              <w:adjustRightInd w:val="0"/>
              <w:snapToGrid w:val="0"/>
              <w:jc w:val="center"/>
              <w:rPr>
                <w:rFonts w:ascii="Arial" w:hAnsi="Arial" w:eastAsia="宋体" w:cs="Arial"/>
                <w:sz w:val="21"/>
                <w:szCs w:val="21"/>
              </w:rPr>
            </w:pPr>
          </w:p>
        </w:tc>
      </w:tr>
      <w:tr w14:paraId="74B94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B949004">
            <w:pPr>
              <w:adjustRightInd w:val="0"/>
              <w:snapToGrid w:val="0"/>
              <w:jc w:val="center"/>
              <w:rPr>
                <w:rFonts w:ascii="Arial" w:hAnsi="Arial" w:eastAsia="宋体" w:cs="Arial"/>
                <w:sz w:val="21"/>
                <w:szCs w:val="21"/>
              </w:rPr>
            </w:pPr>
          </w:p>
        </w:tc>
        <w:tc>
          <w:tcPr>
            <w:tcW w:w="887" w:type="pct"/>
            <w:vAlign w:val="center"/>
          </w:tcPr>
          <w:p w14:paraId="0D65D0B5">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6046EEC">
            <w:pPr>
              <w:adjustRightInd w:val="0"/>
              <w:snapToGrid w:val="0"/>
              <w:jc w:val="center"/>
              <w:rPr>
                <w:rFonts w:ascii="Arial" w:hAnsi="Arial" w:eastAsia="宋体" w:cs="Arial"/>
                <w:sz w:val="21"/>
                <w:szCs w:val="21"/>
                <w:lang w:bidi="ar"/>
              </w:rPr>
            </w:pPr>
          </w:p>
        </w:tc>
        <w:tc>
          <w:tcPr>
            <w:tcW w:w="906" w:type="pct"/>
            <w:vAlign w:val="center"/>
          </w:tcPr>
          <w:p w14:paraId="43200BEE">
            <w:pPr>
              <w:adjustRightInd w:val="0"/>
              <w:snapToGrid w:val="0"/>
              <w:jc w:val="center"/>
              <w:rPr>
                <w:rFonts w:ascii="Arial" w:hAnsi="Arial" w:eastAsia="宋体" w:cs="Arial"/>
                <w:sz w:val="21"/>
                <w:szCs w:val="21"/>
                <w:lang w:bidi="ar"/>
              </w:rPr>
            </w:pPr>
          </w:p>
        </w:tc>
        <w:tc>
          <w:tcPr>
            <w:tcW w:w="657" w:type="pct"/>
            <w:vAlign w:val="center"/>
          </w:tcPr>
          <w:p w14:paraId="3F768C24">
            <w:pPr>
              <w:adjustRightInd w:val="0"/>
              <w:snapToGrid w:val="0"/>
              <w:jc w:val="center"/>
              <w:rPr>
                <w:rFonts w:ascii="Arial" w:hAnsi="Arial" w:eastAsia="宋体" w:cs="Arial"/>
                <w:sz w:val="21"/>
                <w:szCs w:val="21"/>
              </w:rPr>
            </w:pPr>
          </w:p>
        </w:tc>
        <w:tc>
          <w:tcPr>
            <w:tcW w:w="657" w:type="pct"/>
            <w:vAlign w:val="center"/>
          </w:tcPr>
          <w:p w14:paraId="41EB2362">
            <w:pPr>
              <w:adjustRightInd w:val="0"/>
              <w:snapToGrid w:val="0"/>
              <w:jc w:val="center"/>
              <w:rPr>
                <w:rFonts w:ascii="Arial" w:hAnsi="Arial" w:eastAsia="宋体" w:cs="Arial"/>
                <w:sz w:val="21"/>
                <w:szCs w:val="21"/>
              </w:rPr>
            </w:pPr>
          </w:p>
        </w:tc>
      </w:tr>
    </w:tbl>
    <w:p w14:paraId="03B5EC09">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T3电积镍车间旁土壤现状监测结果   单位：mg/kg（pH除外）</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3"/>
        <w:gridCol w:w="1595"/>
        <w:gridCol w:w="1631"/>
        <w:gridCol w:w="1630"/>
        <w:gridCol w:w="1182"/>
        <w:gridCol w:w="1182"/>
      </w:tblGrid>
      <w:tr w14:paraId="73C1B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6" w:type="pct"/>
            <w:vMerge w:val="restart"/>
            <w:vAlign w:val="center"/>
          </w:tcPr>
          <w:p w14:paraId="752CC140">
            <w:pPr>
              <w:adjustRightInd w:val="0"/>
              <w:snapToGrid w:val="0"/>
              <w:jc w:val="center"/>
              <w:rPr>
                <w:rFonts w:ascii="Arial" w:hAnsi="Arial" w:eastAsia="宋体" w:cs="Arial"/>
                <w:kern w:val="0"/>
                <w:sz w:val="21"/>
                <w:szCs w:val="21"/>
              </w:rPr>
            </w:pPr>
          </w:p>
        </w:tc>
        <w:tc>
          <w:tcPr>
            <w:tcW w:w="2700" w:type="pct"/>
            <w:gridSpan w:val="3"/>
            <w:vAlign w:val="center"/>
          </w:tcPr>
          <w:p w14:paraId="50FEA5FE">
            <w:pPr>
              <w:adjustRightInd w:val="0"/>
              <w:snapToGrid w:val="0"/>
              <w:jc w:val="center"/>
              <w:rPr>
                <w:rFonts w:ascii="Arial" w:hAnsi="Arial" w:eastAsia="宋体" w:cs="Arial"/>
                <w:kern w:val="0"/>
                <w:sz w:val="21"/>
                <w:szCs w:val="21"/>
              </w:rPr>
            </w:pPr>
          </w:p>
        </w:tc>
        <w:tc>
          <w:tcPr>
            <w:tcW w:w="657" w:type="pct"/>
            <w:vMerge w:val="restart"/>
            <w:vAlign w:val="center"/>
          </w:tcPr>
          <w:p w14:paraId="5432D0EC">
            <w:pPr>
              <w:adjustRightInd w:val="0"/>
              <w:snapToGrid w:val="0"/>
              <w:jc w:val="center"/>
              <w:rPr>
                <w:rFonts w:ascii="Arial" w:hAnsi="Arial" w:eastAsia="宋体" w:cs="Arial"/>
                <w:kern w:val="0"/>
                <w:sz w:val="21"/>
                <w:szCs w:val="21"/>
              </w:rPr>
            </w:pPr>
          </w:p>
        </w:tc>
        <w:tc>
          <w:tcPr>
            <w:tcW w:w="657" w:type="pct"/>
            <w:vMerge w:val="restart"/>
            <w:vAlign w:val="center"/>
          </w:tcPr>
          <w:p w14:paraId="3C85CACC">
            <w:pPr>
              <w:adjustRightInd w:val="0"/>
              <w:snapToGrid w:val="0"/>
              <w:jc w:val="center"/>
              <w:rPr>
                <w:rFonts w:ascii="Arial" w:hAnsi="Arial" w:eastAsia="宋体" w:cs="Arial"/>
                <w:spacing w:val="10"/>
                <w:sz w:val="21"/>
                <w:szCs w:val="21"/>
              </w:rPr>
            </w:pPr>
          </w:p>
        </w:tc>
      </w:tr>
      <w:tr w14:paraId="1A25F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6" w:type="pct"/>
            <w:vMerge w:val="continue"/>
            <w:vAlign w:val="center"/>
          </w:tcPr>
          <w:p w14:paraId="6AB68F97">
            <w:pPr>
              <w:widowControl/>
              <w:adjustRightInd w:val="0"/>
              <w:snapToGrid w:val="0"/>
              <w:jc w:val="center"/>
              <w:rPr>
                <w:rFonts w:ascii="Arial" w:hAnsi="Arial" w:eastAsia="宋体" w:cs="Arial"/>
                <w:kern w:val="0"/>
                <w:sz w:val="21"/>
                <w:szCs w:val="21"/>
              </w:rPr>
            </w:pPr>
          </w:p>
        </w:tc>
        <w:tc>
          <w:tcPr>
            <w:tcW w:w="887" w:type="pct"/>
            <w:vAlign w:val="center"/>
          </w:tcPr>
          <w:p w14:paraId="78AF7230">
            <w:pPr>
              <w:adjustRightInd w:val="0"/>
              <w:snapToGrid w:val="0"/>
              <w:jc w:val="center"/>
              <w:rPr>
                <w:rFonts w:ascii="Arial" w:hAnsi="Arial" w:eastAsia="宋体" w:cs="Arial"/>
                <w:sz w:val="21"/>
                <w:szCs w:val="21"/>
              </w:rPr>
            </w:pPr>
          </w:p>
        </w:tc>
        <w:tc>
          <w:tcPr>
            <w:tcW w:w="907" w:type="pct"/>
            <w:vAlign w:val="center"/>
          </w:tcPr>
          <w:p w14:paraId="7DBC8F93">
            <w:pPr>
              <w:adjustRightInd w:val="0"/>
              <w:snapToGrid w:val="0"/>
              <w:jc w:val="center"/>
              <w:rPr>
                <w:rFonts w:ascii="Arial" w:hAnsi="Arial" w:eastAsia="宋体" w:cs="Arial"/>
                <w:sz w:val="21"/>
                <w:szCs w:val="21"/>
              </w:rPr>
            </w:pPr>
          </w:p>
        </w:tc>
        <w:tc>
          <w:tcPr>
            <w:tcW w:w="906" w:type="pct"/>
            <w:vAlign w:val="center"/>
          </w:tcPr>
          <w:p w14:paraId="45DCE939">
            <w:pPr>
              <w:adjustRightInd w:val="0"/>
              <w:snapToGrid w:val="0"/>
              <w:jc w:val="center"/>
              <w:rPr>
                <w:rFonts w:ascii="Arial" w:hAnsi="Arial" w:eastAsia="宋体" w:cs="Arial"/>
                <w:kern w:val="0"/>
                <w:sz w:val="21"/>
                <w:szCs w:val="21"/>
              </w:rPr>
            </w:pPr>
          </w:p>
        </w:tc>
        <w:tc>
          <w:tcPr>
            <w:tcW w:w="657" w:type="pct"/>
            <w:vMerge w:val="continue"/>
            <w:vAlign w:val="center"/>
          </w:tcPr>
          <w:p w14:paraId="46EBFC0F">
            <w:pPr>
              <w:widowControl/>
              <w:adjustRightInd w:val="0"/>
              <w:snapToGrid w:val="0"/>
              <w:jc w:val="center"/>
              <w:rPr>
                <w:rFonts w:ascii="Arial" w:hAnsi="Arial" w:eastAsia="宋体" w:cs="Arial"/>
                <w:kern w:val="0"/>
                <w:sz w:val="21"/>
                <w:szCs w:val="21"/>
              </w:rPr>
            </w:pPr>
          </w:p>
        </w:tc>
        <w:tc>
          <w:tcPr>
            <w:tcW w:w="657" w:type="pct"/>
            <w:vMerge w:val="continue"/>
            <w:vAlign w:val="center"/>
          </w:tcPr>
          <w:p w14:paraId="6631A8CF">
            <w:pPr>
              <w:widowControl/>
              <w:adjustRightInd w:val="0"/>
              <w:snapToGrid w:val="0"/>
              <w:jc w:val="center"/>
              <w:rPr>
                <w:rFonts w:ascii="Arial" w:hAnsi="Arial" w:eastAsia="宋体" w:cs="Arial"/>
                <w:kern w:val="0"/>
                <w:sz w:val="21"/>
                <w:szCs w:val="21"/>
              </w:rPr>
            </w:pPr>
          </w:p>
        </w:tc>
      </w:tr>
      <w:tr w14:paraId="71616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CFA66D6">
            <w:pPr>
              <w:adjustRightInd w:val="0"/>
              <w:snapToGrid w:val="0"/>
              <w:jc w:val="center"/>
              <w:rPr>
                <w:rFonts w:ascii="Arial" w:hAnsi="Arial" w:eastAsia="宋体" w:cs="Arial"/>
                <w:sz w:val="21"/>
                <w:szCs w:val="21"/>
              </w:rPr>
            </w:pPr>
          </w:p>
        </w:tc>
        <w:tc>
          <w:tcPr>
            <w:tcW w:w="887" w:type="pct"/>
            <w:vAlign w:val="center"/>
          </w:tcPr>
          <w:p w14:paraId="6D47FF93">
            <w:pPr>
              <w:adjustRightInd w:val="0"/>
              <w:snapToGrid w:val="0"/>
              <w:jc w:val="center"/>
              <w:rPr>
                <w:rFonts w:ascii="Arial" w:hAnsi="Arial" w:eastAsia="宋体" w:cs="Arial"/>
                <w:sz w:val="21"/>
                <w:szCs w:val="21"/>
              </w:rPr>
            </w:pPr>
          </w:p>
        </w:tc>
        <w:tc>
          <w:tcPr>
            <w:tcW w:w="907" w:type="pct"/>
            <w:vAlign w:val="center"/>
          </w:tcPr>
          <w:p w14:paraId="7E249074">
            <w:pPr>
              <w:adjustRightInd w:val="0"/>
              <w:snapToGrid w:val="0"/>
              <w:jc w:val="center"/>
              <w:rPr>
                <w:rFonts w:ascii="Arial" w:hAnsi="Arial" w:eastAsia="宋体" w:cs="Arial"/>
                <w:sz w:val="21"/>
                <w:szCs w:val="21"/>
              </w:rPr>
            </w:pPr>
          </w:p>
        </w:tc>
        <w:tc>
          <w:tcPr>
            <w:tcW w:w="906" w:type="pct"/>
            <w:vAlign w:val="center"/>
          </w:tcPr>
          <w:p w14:paraId="5BC69B43">
            <w:pPr>
              <w:adjustRightInd w:val="0"/>
              <w:snapToGrid w:val="0"/>
              <w:jc w:val="center"/>
              <w:rPr>
                <w:rFonts w:ascii="Arial" w:hAnsi="Arial" w:eastAsia="宋体" w:cs="Arial"/>
                <w:sz w:val="21"/>
                <w:szCs w:val="21"/>
              </w:rPr>
            </w:pPr>
          </w:p>
        </w:tc>
        <w:tc>
          <w:tcPr>
            <w:tcW w:w="657" w:type="pct"/>
            <w:vAlign w:val="center"/>
          </w:tcPr>
          <w:p w14:paraId="6D3F538C">
            <w:pPr>
              <w:adjustRightInd w:val="0"/>
              <w:snapToGrid w:val="0"/>
              <w:jc w:val="center"/>
              <w:rPr>
                <w:rFonts w:ascii="Arial" w:hAnsi="Arial" w:eastAsia="宋体" w:cs="Arial"/>
                <w:sz w:val="21"/>
                <w:szCs w:val="21"/>
              </w:rPr>
            </w:pPr>
          </w:p>
        </w:tc>
        <w:tc>
          <w:tcPr>
            <w:tcW w:w="657" w:type="pct"/>
            <w:vAlign w:val="center"/>
          </w:tcPr>
          <w:p w14:paraId="31750584">
            <w:pPr>
              <w:adjustRightInd w:val="0"/>
              <w:snapToGrid w:val="0"/>
              <w:jc w:val="center"/>
              <w:rPr>
                <w:rFonts w:ascii="Arial" w:hAnsi="Arial" w:eastAsia="宋体" w:cs="Arial"/>
                <w:sz w:val="21"/>
                <w:szCs w:val="21"/>
              </w:rPr>
            </w:pPr>
          </w:p>
        </w:tc>
      </w:tr>
      <w:tr w14:paraId="09AC8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01C42D6">
            <w:pPr>
              <w:adjustRightInd w:val="0"/>
              <w:snapToGrid w:val="0"/>
              <w:jc w:val="center"/>
              <w:rPr>
                <w:rFonts w:ascii="Arial" w:hAnsi="Arial" w:eastAsia="宋体" w:cs="Arial"/>
                <w:sz w:val="21"/>
                <w:szCs w:val="21"/>
              </w:rPr>
            </w:pPr>
          </w:p>
        </w:tc>
        <w:tc>
          <w:tcPr>
            <w:tcW w:w="887" w:type="pct"/>
            <w:vAlign w:val="center"/>
          </w:tcPr>
          <w:p w14:paraId="173CDC98">
            <w:pPr>
              <w:adjustRightInd w:val="0"/>
              <w:snapToGrid w:val="0"/>
              <w:jc w:val="center"/>
              <w:rPr>
                <w:rFonts w:ascii="Arial" w:hAnsi="Arial" w:eastAsia="宋体" w:cs="Arial"/>
                <w:sz w:val="21"/>
                <w:szCs w:val="21"/>
              </w:rPr>
            </w:pPr>
          </w:p>
        </w:tc>
        <w:tc>
          <w:tcPr>
            <w:tcW w:w="907" w:type="pct"/>
            <w:vAlign w:val="center"/>
          </w:tcPr>
          <w:p w14:paraId="14E76653">
            <w:pPr>
              <w:adjustRightInd w:val="0"/>
              <w:snapToGrid w:val="0"/>
              <w:jc w:val="center"/>
              <w:rPr>
                <w:rFonts w:ascii="Arial" w:hAnsi="Arial" w:eastAsia="宋体" w:cs="Arial"/>
                <w:sz w:val="21"/>
                <w:szCs w:val="21"/>
              </w:rPr>
            </w:pPr>
          </w:p>
        </w:tc>
        <w:tc>
          <w:tcPr>
            <w:tcW w:w="906" w:type="pct"/>
            <w:vAlign w:val="center"/>
          </w:tcPr>
          <w:p w14:paraId="0C4D2CFC">
            <w:pPr>
              <w:adjustRightInd w:val="0"/>
              <w:snapToGrid w:val="0"/>
              <w:jc w:val="center"/>
              <w:rPr>
                <w:rFonts w:ascii="Arial" w:hAnsi="Arial" w:eastAsia="宋体" w:cs="Arial"/>
                <w:sz w:val="21"/>
                <w:szCs w:val="21"/>
              </w:rPr>
            </w:pPr>
          </w:p>
        </w:tc>
        <w:tc>
          <w:tcPr>
            <w:tcW w:w="657" w:type="pct"/>
            <w:vAlign w:val="center"/>
          </w:tcPr>
          <w:p w14:paraId="07C3872F">
            <w:pPr>
              <w:adjustRightInd w:val="0"/>
              <w:snapToGrid w:val="0"/>
              <w:jc w:val="center"/>
              <w:rPr>
                <w:rFonts w:ascii="Arial" w:hAnsi="Arial" w:eastAsia="宋体" w:cs="Arial"/>
                <w:sz w:val="21"/>
                <w:szCs w:val="21"/>
              </w:rPr>
            </w:pPr>
          </w:p>
        </w:tc>
        <w:tc>
          <w:tcPr>
            <w:tcW w:w="657" w:type="pct"/>
            <w:vAlign w:val="center"/>
          </w:tcPr>
          <w:p w14:paraId="7325BC0F">
            <w:pPr>
              <w:adjustRightInd w:val="0"/>
              <w:snapToGrid w:val="0"/>
              <w:jc w:val="center"/>
              <w:rPr>
                <w:rFonts w:ascii="Arial" w:hAnsi="Arial" w:eastAsia="宋体" w:cs="Arial"/>
                <w:sz w:val="21"/>
                <w:szCs w:val="21"/>
              </w:rPr>
            </w:pPr>
          </w:p>
        </w:tc>
      </w:tr>
      <w:tr w14:paraId="34BA6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BFD7169">
            <w:pPr>
              <w:adjustRightInd w:val="0"/>
              <w:snapToGrid w:val="0"/>
              <w:jc w:val="center"/>
              <w:rPr>
                <w:rFonts w:ascii="Arial" w:hAnsi="Arial" w:eastAsia="宋体" w:cs="Arial"/>
                <w:sz w:val="21"/>
                <w:szCs w:val="21"/>
              </w:rPr>
            </w:pPr>
          </w:p>
        </w:tc>
        <w:tc>
          <w:tcPr>
            <w:tcW w:w="887" w:type="pct"/>
            <w:vAlign w:val="center"/>
          </w:tcPr>
          <w:p w14:paraId="04F4AE9A">
            <w:pPr>
              <w:adjustRightInd w:val="0"/>
              <w:snapToGrid w:val="0"/>
              <w:jc w:val="center"/>
              <w:rPr>
                <w:rFonts w:ascii="Arial" w:hAnsi="Arial" w:eastAsia="宋体" w:cs="Arial"/>
                <w:sz w:val="21"/>
                <w:szCs w:val="21"/>
              </w:rPr>
            </w:pPr>
          </w:p>
        </w:tc>
        <w:tc>
          <w:tcPr>
            <w:tcW w:w="907" w:type="pct"/>
            <w:vAlign w:val="center"/>
          </w:tcPr>
          <w:p w14:paraId="39DAFB2D">
            <w:pPr>
              <w:adjustRightInd w:val="0"/>
              <w:snapToGrid w:val="0"/>
              <w:jc w:val="center"/>
              <w:rPr>
                <w:rFonts w:ascii="Arial" w:hAnsi="Arial" w:eastAsia="宋体" w:cs="Arial"/>
                <w:sz w:val="21"/>
                <w:szCs w:val="21"/>
              </w:rPr>
            </w:pPr>
          </w:p>
        </w:tc>
        <w:tc>
          <w:tcPr>
            <w:tcW w:w="906" w:type="pct"/>
            <w:vAlign w:val="center"/>
          </w:tcPr>
          <w:p w14:paraId="20E2ADCA">
            <w:pPr>
              <w:adjustRightInd w:val="0"/>
              <w:snapToGrid w:val="0"/>
              <w:jc w:val="center"/>
              <w:rPr>
                <w:rFonts w:ascii="Arial" w:hAnsi="Arial" w:eastAsia="宋体" w:cs="Arial"/>
                <w:sz w:val="21"/>
                <w:szCs w:val="21"/>
              </w:rPr>
            </w:pPr>
          </w:p>
        </w:tc>
        <w:tc>
          <w:tcPr>
            <w:tcW w:w="657" w:type="pct"/>
            <w:vAlign w:val="center"/>
          </w:tcPr>
          <w:p w14:paraId="3331D9F4">
            <w:pPr>
              <w:adjustRightInd w:val="0"/>
              <w:snapToGrid w:val="0"/>
              <w:jc w:val="center"/>
              <w:rPr>
                <w:rFonts w:ascii="Arial" w:hAnsi="Arial" w:eastAsia="宋体" w:cs="Arial"/>
                <w:sz w:val="21"/>
                <w:szCs w:val="21"/>
              </w:rPr>
            </w:pPr>
          </w:p>
        </w:tc>
        <w:tc>
          <w:tcPr>
            <w:tcW w:w="657" w:type="pct"/>
            <w:vAlign w:val="center"/>
          </w:tcPr>
          <w:p w14:paraId="1A8328A1">
            <w:pPr>
              <w:adjustRightInd w:val="0"/>
              <w:snapToGrid w:val="0"/>
              <w:jc w:val="center"/>
              <w:rPr>
                <w:rFonts w:ascii="Arial" w:hAnsi="Arial" w:eastAsia="宋体" w:cs="Arial"/>
                <w:sz w:val="21"/>
                <w:szCs w:val="21"/>
              </w:rPr>
            </w:pPr>
          </w:p>
        </w:tc>
      </w:tr>
      <w:tr w14:paraId="4EDB8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EA00ACB">
            <w:pPr>
              <w:adjustRightInd w:val="0"/>
              <w:snapToGrid w:val="0"/>
              <w:jc w:val="center"/>
              <w:rPr>
                <w:rFonts w:ascii="Arial" w:hAnsi="Arial" w:eastAsia="宋体" w:cs="Arial"/>
                <w:sz w:val="21"/>
                <w:szCs w:val="21"/>
              </w:rPr>
            </w:pPr>
          </w:p>
        </w:tc>
        <w:tc>
          <w:tcPr>
            <w:tcW w:w="887" w:type="pct"/>
            <w:vAlign w:val="center"/>
          </w:tcPr>
          <w:p w14:paraId="0CCB032A">
            <w:pPr>
              <w:adjustRightInd w:val="0"/>
              <w:snapToGrid w:val="0"/>
              <w:jc w:val="center"/>
              <w:rPr>
                <w:rFonts w:ascii="Arial" w:hAnsi="Arial" w:eastAsia="宋体" w:cs="Arial"/>
                <w:sz w:val="21"/>
                <w:szCs w:val="21"/>
              </w:rPr>
            </w:pPr>
          </w:p>
        </w:tc>
        <w:tc>
          <w:tcPr>
            <w:tcW w:w="907" w:type="pct"/>
            <w:vAlign w:val="center"/>
          </w:tcPr>
          <w:p w14:paraId="634507A5">
            <w:pPr>
              <w:adjustRightInd w:val="0"/>
              <w:snapToGrid w:val="0"/>
              <w:jc w:val="center"/>
              <w:rPr>
                <w:rFonts w:ascii="Arial" w:hAnsi="Arial" w:eastAsia="宋体" w:cs="Arial"/>
                <w:sz w:val="21"/>
                <w:szCs w:val="21"/>
              </w:rPr>
            </w:pPr>
          </w:p>
        </w:tc>
        <w:tc>
          <w:tcPr>
            <w:tcW w:w="906" w:type="pct"/>
            <w:vAlign w:val="center"/>
          </w:tcPr>
          <w:p w14:paraId="6A433748">
            <w:pPr>
              <w:adjustRightInd w:val="0"/>
              <w:snapToGrid w:val="0"/>
              <w:jc w:val="center"/>
              <w:rPr>
                <w:rFonts w:ascii="Arial" w:hAnsi="Arial" w:eastAsia="宋体" w:cs="Arial"/>
                <w:sz w:val="21"/>
                <w:szCs w:val="21"/>
              </w:rPr>
            </w:pPr>
          </w:p>
        </w:tc>
        <w:tc>
          <w:tcPr>
            <w:tcW w:w="657" w:type="pct"/>
            <w:vAlign w:val="center"/>
          </w:tcPr>
          <w:p w14:paraId="2FACA60A">
            <w:pPr>
              <w:adjustRightInd w:val="0"/>
              <w:snapToGrid w:val="0"/>
              <w:jc w:val="center"/>
              <w:rPr>
                <w:rFonts w:ascii="Arial" w:hAnsi="Arial" w:eastAsia="宋体" w:cs="Arial"/>
                <w:sz w:val="21"/>
                <w:szCs w:val="21"/>
              </w:rPr>
            </w:pPr>
          </w:p>
        </w:tc>
        <w:tc>
          <w:tcPr>
            <w:tcW w:w="657" w:type="pct"/>
            <w:vAlign w:val="center"/>
          </w:tcPr>
          <w:p w14:paraId="0D6AA228">
            <w:pPr>
              <w:adjustRightInd w:val="0"/>
              <w:snapToGrid w:val="0"/>
              <w:jc w:val="center"/>
              <w:rPr>
                <w:rFonts w:ascii="Arial" w:hAnsi="Arial" w:eastAsia="宋体" w:cs="Arial"/>
                <w:sz w:val="21"/>
                <w:szCs w:val="21"/>
              </w:rPr>
            </w:pPr>
          </w:p>
        </w:tc>
      </w:tr>
      <w:tr w14:paraId="79B97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6F601A4">
            <w:pPr>
              <w:adjustRightInd w:val="0"/>
              <w:snapToGrid w:val="0"/>
              <w:jc w:val="center"/>
              <w:rPr>
                <w:rFonts w:ascii="Arial" w:hAnsi="Arial" w:eastAsia="宋体" w:cs="Arial"/>
                <w:sz w:val="21"/>
                <w:szCs w:val="21"/>
              </w:rPr>
            </w:pPr>
          </w:p>
        </w:tc>
        <w:tc>
          <w:tcPr>
            <w:tcW w:w="887" w:type="pct"/>
            <w:vAlign w:val="center"/>
          </w:tcPr>
          <w:p w14:paraId="36A9CA91">
            <w:pPr>
              <w:adjustRightInd w:val="0"/>
              <w:snapToGrid w:val="0"/>
              <w:jc w:val="center"/>
              <w:rPr>
                <w:rFonts w:ascii="Arial" w:hAnsi="Arial" w:eastAsia="宋体" w:cs="Arial"/>
                <w:sz w:val="21"/>
                <w:szCs w:val="21"/>
              </w:rPr>
            </w:pPr>
          </w:p>
        </w:tc>
        <w:tc>
          <w:tcPr>
            <w:tcW w:w="907" w:type="pct"/>
            <w:vAlign w:val="center"/>
          </w:tcPr>
          <w:p w14:paraId="2ACCFC49">
            <w:pPr>
              <w:adjustRightInd w:val="0"/>
              <w:snapToGrid w:val="0"/>
              <w:jc w:val="center"/>
              <w:rPr>
                <w:rFonts w:ascii="Arial" w:hAnsi="Arial" w:eastAsia="宋体" w:cs="Arial"/>
                <w:sz w:val="21"/>
                <w:szCs w:val="21"/>
              </w:rPr>
            </w:pPr>
          </w:p>
        </w:tc>
        <w:tc>
          <w:tcPr>
            <w:tcW w:w="906" w:type="pct"/>
            <w:vAlign w:val="center"/>
          </w:tcPr>
          <w:p w14:paraId="14F74DAB">
            <w:pPr>
              <w:adjustRightInd w:val="0"/>
              <w:snapToGrid w:val="0"/>
              <w:jc w:val="center"/>
              <w:rPr>
                <w:rFonts w:ascii="Arial" w:hAnsi="Arial" w:eastAsia="宋体" w:cs="Arial"/>
                <w:sz w:val="21"/>
                <w:szCs w:val="21"/>
              </w:rPr>
            </w:pPr>
          </w:p>
        </w:tc>
        <w:tc>
          <w:tcPr>
            <w:tcW w:w="657" w:type="pct"/>
            <w:vAlign w:val="center"/>
          </w:tcPr>
          <w:p w14:paraId="6E6B6818">
            <w:pPr>
              <w:adjustRightInd w:val="0"/>
              <w:snapToGrid w:val="0"/>
              <w:jc w:val="center"/>
              <w:rPr>
                <w:rFonts w:ascii="Arial" w:hAnsi="Arial" w:eastAsia="宋体" w:cs="Arial"/>
                <w:sz w:val="21"/>
                <w:szCs w:val="21"/>
              </w:rPr>
            </w:pPr>
          </w:p>
        </w:tc>
        <w:tc>
          <w:tcPr>
            <w:tcW w:w="657" w:type="pct"/>
            <w:vAlign w:val="center"/>
          </w:tcPr>
          <w:p w14:paraId="29854BCB">
            <w:pPr>
              <w:adjustRightInd w:val="0"/>
              <w:snapToGrid w:val="0"/>
              <w:jc w:val="center"/>
              <w:rPr>
                <w:rFonts w:ascii="Arial" w:hAnsi="Arial" w:eastAsia="宋体" w:cs="Arial"/>
                <w:sz w:val="21"/>
                <w:szCs w:val="21"/>
              </w:rPr>
            </w:pPr>
          </w:p>
        </w:tc>
      </w:tr>
      <w:tr w14:paraId="4F7A6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AA21CE0">
            <w:pPr>
              <w:adjustRightInd w:val="0"/>
              <w:snapToGrid w:val="0"/>
              <w:jc w:val="center"/>
              <w:rPr>
                <w:rFonts w:ascii="Arial" w:hAnsi="Arial" w:eastAsia="宋体" w:cs="Arial"/>
                <w:sz w:val="21"/>
                <w:szCs w:val="21"/>
              </w:rPr>
            </w:pPr>
          </w:p>
        </w:tc>
        <w:tc>
          <w:tcPr>
            <w:tcW w:w="887" w:type="pct"/>
            <w:vAlign w:val="center"/>
          </w:tcPr>
          <w:p w14:paraId="183A90EC">
            <w:pPr>
              <w:adjustRightInd w:val="0"/>
              <w:snapToGrid w:val="0"/>
              <w:jc w:val="center"/>
              <w:rPr>
                <w:rFonts w:ascii="Arial" w:hAnsi="Arial" w:eastAsia="宋体" w:cs="Arial"/>
                <w:sz w:val="21"/>
                <w:szCs w:val="21"/>
              </w:rPr>
            </w:pPr>
          </w:p>
        </w:tc>
        <w:tc>
          <w:tcPr>
            <w:tcW w:w="907" w:type="pct"/>
            <w:vAlign w:val="center"/>
          </w:tcPr>
          <w:p w14:paraId="19D67585">
            <w:pPr>
              <w:adjustRightInd w:val="0"/>
              <w:snapToGrid w:val="0"/>
              <w:jc w:val="center"/>
              <w:rPr>
                <w:rFonts w:ascii="Arial" w:hAnsi="Arial" w:eastAsia="宋体" w:cs="Arial"/>
                <w:sz w:val="21"/>
                <w:szCs w:val="21"/>
              </w:rPr>
            </w:pPr>
          </w:p>
        </w:tc>
        <w:tc>
          <w:tcPr>
            <w:tcW w:w="906" w:type="pct"/>
            <w:vAlign w:val="center"/>
          </w:tcPr>
          <w:p w14:paraId="5367233E">
            <w:pPr>
              <w:adjustRightInd w:val="0"/>
              <w:snapToGrid w:val="0"/>
              <w:jc w:val="center"/>
              <w:rPr>
                <w:rFonts w:ascii="Arial" w:hAnsi="Arial" w:eastAsia="宋体" w:cs="Arial"/>
                <w:sz w:val="21"/>
                <w:szCs w:val="21"/>
              </w:rPr>
            </w:pPr>
          </w:p>
        </w:tc>
        <w:tc>
          <w:tcPr>
            <w:tcW w:w="657" w:type="pct"/>
            <w:vAlign w:val="center"/>
          </w:tcPr>
          <w:p w14:paraId="36BFD6A5">
            <w:pPr>
              <w:adjustRightInd w:val="0"/>
              <w:snapToGrid w:val="0"/>
              <w:jc w:val="center"/>
              <w:rPr>
                <w:rFonts w:ascii="Arial" w:hAnsi="Arial" w:eastAsia="宋体" w:cs="Arial"/>
                <w:sz w:val="21"/>
                <w:szCs w:val="21"/>
              </w:rPr>
            </w:pPr>
          </w:p>
        </w:tc>
        <w:tc>
          <w:tcPr>
            <w:tcW w:w="657" w:type="pct"/>
            <w:vAlign w:val="center"/>
          </w:tcPr>
          <w:p w14:paraId="789A389A">
            <w:pPr>
              <w:adjustRightInd w:val="0"/>
              <w:snapToGrid w:val="0"/>
              <w:jc w:val="center"/>
              <w:rPr>
                <w:rFonts w:ascii="Arial" w:hAnsi="Arial" w:eastAsia="宋体" w:cs="Arial"/>
                <w:sz w:val="21"/>
                <w:szCs w:val="21"/>
              </w:rPr>
            </w:pPr>
          </w:p>
        </w:tc>
      </w:tr>
      <w:tr w14:paraId="1EDCD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52C6FCB">
            <w:pPr>
              <w:adjustRightInd w:val="0"/>
              <w:snapToGrid w:val="0"/>
              <w:jc w:val="center"/>
              <w:rPr>
                <w:rFonts w:ascii="Arial" w:hAnsi="Arial" w:eastAsia="宋体" w:cs="Arial"/>
                <w:sz w:val="21"/>
                <w:szCs w:val="21"/>
              </w:rPr>
            </w:pPr>
          </w:p>
        </w:tc>
        <w:tc>
          <w:tcPr>
            <w:tcW w:w="887" w:type="pct"/>
            <w:vAlign w:val="center"/>
          </w:tcPr>
          <w:p w14:paraId="34C9901F">
            <w:pPr>
              <w:adjustRightInd w:val="0"/>
              <w:snapToGrid w:val="0"/>
              <w:jc w:val="center"/>
              <w:rPr>
                <w:rFonts w:ascii="Arial" w:hAnsi="Arial" w:eastAsia="宋体" w:cs="Arial"/>
                <w:sz w:val="21"/>
                <w:szCs w:val="21"/>
              </w:rPr>
            </w:pPr>
          </w:p>
        </w:tc>
        <w:tc>
          <w:tcPr>
            <w:tcW w:w="907" w:type="pct"/>
            <w:vAlign w:val="center"/>
          </w:tcPr>
          <w:p w14:paraId="33AAB2C7">
            <w:pPr>
              <w:adjustRightInd w:val="0"/>
              <w:snapToGrid w:val="0"/>
              <w:jc w:val="center"/>
              <w:rPr>
                <w:rFonts w:ascii="Arial" w:hAnsi="Arial" w:eastAsia="宋体" w:cs="Arial"/>
                <w:sz w:val="21"/>
                <w:szCs w:val="21"/>
              </w:rPr>
            </w:pPr>
          </w:p>
        </w:tc>
        <w:tc>
          <w:tcPr>
            <w:tcW w:w="906" w:type="pct"/>
            <w:vAlign w:val="center"/>
          </w:tcPr>
          <w:p w14:paraId="36995B01">
            <w:pPr>
              <w:adjustRightInd w:val="0"/>
              <w:snapToGrid w:val="0"/>
              <w:jc w:val="center"/>
              <w:rPr>
                <w:rFonts w:ascii="Arial" w:hAnsi="Arial" w:eastAsia="宋体" w:cs="Arial"/>
                <w:sz w:val="21"/>
                <w:szCs w:val="21"/>
              </w:rPr>
            </w:pPr>
          </w:p>
        </w:tc>
        <w:tc>
          <w:tcPr>
            <w:tcW w:w="657" w:type="pct"/>
            <w:vAlign w:val="center"/>
          </w:tcPr>
          <w:p w14:paraId="3444FF9E">
            <w:pPr>
              <w:adjustRightInd w:val="0"/>
              <w:snapToGrid w:val="0"/>
              <w:jc w:val="center"/>
              <w:rPr>
                <w:rFonts w:ascii="Arial" w:hAnsi="Arial" w:eastAsia="宋体" w:cs="Arial"/>
                <w:sz w:val="21"/>
                <w:szCs w:val="21"/>
              </w:rPr>
            </w:pPr>
          </w:p>
        </w:tc>
        <w:tc>
          <w:tcPr>
            <w:tcW w:w="657" w:type="pct"/>
            <w:vAlign w:val="center"/>
          </w:tcPr>
          <w:p w14:paraId="560F2A76">
            <w:pPr>
              <w:adjustRightInd w:val="0"/>
              <w:snapToGrid w:val="0"/>
              <w:jc w:val="center"/>
              <w:rPr>
                <w:rFonts w:ascii="Arial" w:hAnsi="Arial" w:eastAsia="宋体" w:cs="Arial"/>
                <w:sz w:val="21"/>
                <w:szCs w:val="21"/>
              </w:rPr>
            </w:pPr>
          </w:p>
        </w:tc>
      </w:tr>
      <w:tr w14:paraId="34837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941FD71">
            <w:pPr>
              <w:adjustRightInd w:val="0"/>
              <w:snapToGrid w:val="0"/>
              <w:jc w:val="center"/>
              <w:rPr>
                <w:rFonts w:ascii="Arial" w:hAnsi="Arial" w:eastAsia="宋体" w:cs="Arial"/>
                <w:sz w:val="21"/>
                <w:szCs w:val="21"/>
              </w:rPr>
            </w:pPr>
          </w:p>
        </w:tc>
        <w:tc>
          <w:tcPr>
            <w:tcW w:w="887" w:type="pct"/>
            <w:vAlign w:val="center"/>
          </w:tcPr>
          <w:p w14:paraId="13A4A767">
            <w:pPr>
              <w:adjustRightInd w:val="0"/>
              <w:snapToGrid w:val="0"/>
              <w:jc w:val="center"/>
              <w:rPr>
                <w:rFonts w:ascii="Arial" w:hAnsi="Arial" w:eastAsia="宋体" w:cs="Arial"/>
                <w:sz w:val="21"/>
                <w:szCs w:val="21"/>
              </w:rPr>
            </w:pPr>
          </w:p>
        </w:tc>
        <w:tc>
          <w:tcPr>
            <w:tcW w:w="907" w:type="pct"/>
            <w:vAlign w:val="center"/>
          </w:tcPr>
          <w:p w14:paraId="2EB6DB9B">
            <w:pPr>
              <w:adjustRightInd w:val="0"/>
              <w:snapToGrid w:val="0"/>
              <w:jc w:val="center"/>
              <w:rPr>
                <w:rFonts w:ascii="Arial" w:hAnsi="Arial" w:eastAsia="宋体" w:cs="Arial"/>
                <w:sz w:val="21"/>
                <w:szCs w:val="21"/>
              </w:rPr>
            </w:pPr>
          </w:p>
        </w:tc>
        <w:tc>
          <w:tcPr>
            <w:tcW w:w="906" w:type="pct"/>
            <w:vAlign w:val="center"/>
          </w:tcPr>
          <w:p w14:paraId="3813A433">
            <w:pPr>
              <w:adjustRightInd w:val="0"/>
              <w:snapToGrid w:val="0"/>
              <w:jc w:val="center"/>
              <w:rPr>
                <w:rFonts w:ascii="Arial" w:hAnsi="Arial" w:eastAsia="宋体" w:cs="Arial"/>
                <w:sz w:val="21"/>
                <w:szCs w:val="21"/>
              </w:rPr>
            </w:pPr>
          </w:p>
        </w:tc>
        <w:tc>
          <w:tcPr>
            <w:tcW w:w="657" w:type="pct"/>
            <w:vAlign w:val="center"/>
          </w:tcPr>
          <w:p w14:paraId="648EF8AA">
            <w:pPr>
              <w:adjustRightInd w:val="0"/>
              <w:snapToGrid w:val="0"/>
              <w:jc w:val="center"/>
              <w:rPr>
                <w:rFonts w:ascii="Arial" w:hAnsi="Arial" w:eastAsia="宋体" w:cs="Arial"/>
                <w:sz w:val="21"/>
                <w:szCs w:val="21"/>
              </w:rPr>
            </w:pPr>
          </w:p>
        </w:tc>
        <w:tc>
          <w:tcPr>
            <w:tcW w:w="657" w:type="pct"/>
            <w:vAlign w:val="center"/>
          </w:tcPr>
          <w:p w14:paraId="5BE67E2D">
            <w:pPr>
              <w:adjustRightInd w:val="0"/>
              <w:snapToGrid w:val="0"/>
              <w:jc w:val="center"/>
              <w:rPr>
                <w:rFonts w:ascii="Arial" w:hAnsi="Arial" w:eastAsia="宋体" w:cs="Arial"/>
                <w:sz w:val="21"/>
                <w:szCs w:val="21"/>
              </w:rPr>
            </w:pPr>
          </w:p>
        </w:tc>
      </w:tr>
      <w:tr w14:paraId="2DED2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38C91E3">
            <w:pPr>
              <w:adjustRightInd w:val="0"/>
              <w:snapToGrid w:val="0"/>
              <w:jc w:val="center"/>
              <w:rPr>
                <w:rFonts w:ascii="Arial" w:hAnsi="Arial" w:eastAsia="宋体" w:cs="Arial"/>
                <w:sz w:val="21"/>
                <w:szCs w:val="21"/>
              </w:rPr>
            </w:pPr>
          </w:p>
        </w:tc>
        <w:tc>
          <w:tcPr>
            <w:tcW w:w="887" w:type="pct"/>
            <w:vAlign w:val="center"/>
          </w:tcPr>
          <w:p w14:paraId="32C58FE0">
            <w:pPr>
              <w:adjustRightInd w:val="0"/>
              <w:snapToGrid w:val="0"/>
              <w:jc w:val="center"/>
              <w:rPr>
                <w:rFonts w:ascii="Arial" w:hAnsi="Arial" w:eastAsia="宋体" w:cs="Arial"/>
                <w:sz w:val="21"/>
                <w:szCs w:val="21"/>
              </w:rPr>
            </w:pPr>
          </w:p>
        </w:tc>
        <w:tc>
          <w:tcPr>
            <w:tcW w:w="907" w:type="pct"/>
            <w:vAlign w:val="center"/>
          </w:tcPr>
          <w:p w14:paraId="602D591E">
            <w:pPr>
              <w:adjustRightInd w:val="0"/>
              <w:snapToGrid w:val="0"/>
              <w:jc w:val="center"/>
              <w:rPr>
                <w:rFonts w:ascii="Arial" w:hAnsi="Arial" w:eastAsia="宋体" w:cs="Arial"/>
                <w:sz w:val="21"/>
                <w:szCs w:val="21"/>
              </w:rPr>
            </w:pPr>
          </w:p>
        </w:tc>
        <w:tc>
          <w:tcPr>
            <w:tcW w:w="906" w:type="pct"/>
            <w:vAlign w:val="center"/>
          </w:tcPr>
          <w:p w14:paraId="46C0BE72">
            <w:pPr>
              <w:adjustRightInd w:val="0"/>
              <w:snapToGrid w:val="0"/>
              <w:jc w:val="center"/>
              <w:rPr>
                <w:rFonts w:ascii="Arial" w:hAnsi="Arial" w:eastAsia="宋体" w:cs="Arial"/>
                <w:sz w:val="21"/>
                <w:szCs w:val="21"/>
              </w:rPr>
            </w:pPr>
          </w:p>
        </w:tc>
        <w:tc>
          <w:tcPr>
            <w:tcW w:w="657" w:type="pct"/>
            <w:vAlign w:val="center"/>
          </w:tcPr>
          <w:p w14:paraId="6B57007D">
            <w:pPr>
              <w:adjustRightInd w:val="0"/>
              <w:snapToGrid w:val="0"/>
              <w:jc w:val="center"/>
              <w:rPr>
                <w:rFonts w:ascii="Arial" w:hAnsi="Arial" w:eastAsia="宋体" w:cs="Arial"/>
                <w:sz w:val="21"/>
                <w:szCs w:val="21"/>
              </w:rPr>
            </w:pPr>
          </w:p>
        </w:tc>
        <w:tc>
          <w:tcPr>
            <w:tcW w:w="657" w:type="pct"/>
            <w:vAlign w:val="center"/>
          </w:tcPr>
          <w:p w14:paraId="03BABCE4">
            <w:pPr>
              <w:adjustRightInd w:val="0"/>
              <w:snapToGrid w:val="0"/>
              <w:jc w:val="center"/>
              <w:rPr>
                <w:rFonts w:ascii="Arial" w:hAnsi="Arial" w:eastAsia="宋体" w:cs="Arial"/>
                <w:sz w:val="21"/>
                <w:szCs w:val="21"/>
              </w:rPr>
            </w:pPr>
          </w:p>
        </w:tc>
      </w:tr>
      <w:tr w14:paraId="74995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DC4CC48">
            <w:pPr>
              <w:adjustRightInd w:val="0"/>
              <w:snapToGrid w:val="0"/>
              <w:jc w:val="center"/>
              <w:rPr>
                <w:rFonts w:ascii="Arial" w:hAnsi="Arial" w:cs="Arial" w:eastAsiaTheme="minorEastAsia"/>
                <w:sz w:val="21"/>
                <w:szCs w:val="21"/>
              </w:rPr>
            </w:pPr>
          </w:p>
        </w:tc>
        <w:tc>
          <w:tcPr>
            <w:tcW w:w="887" w:type="pct"/>
            <w:vAlign w:val="center"/>
          </w:tcPr>
          <w:p w14:paraId="01DDE11E">
            <w:pPr>
              <w:adjustRightInd w:val="0"/>
              <w:snapToGrid w:val="0"/>
              <w:jc w:val="center"/>
              <w:rPr>
                <w:rFonts w:ascii="Arial" w:hAnsi="Arial" w:cs="Arial" w:eastAsiaTheme="minorEastAsia"/>
                <w:sz w:val="21"/>
                <w:szCs w:val="21"/>
              </w:rPr>
            </w:pPr>
          </w:p>
        </w:tc>
        <w:tc>
          <w:tcPr>
            <w:tcW w:w="907" w:type="pct"/>
            <w:vAlign w:val="center"/>
          </w:tcPr>
          <w:p w14:paraId="3811F239">
            <w:pPr>
              <w:adjustRightInd w:val="0"/>
              <w:snapToGrid w:val="0"/>
              <w:jc w:val="center"/>
              <w:rPr>
                <w:rFonts w:ascii="Arial" w:hAnsi="Arial" w:cs="Arial" w:eastAsiaTheme="minorEastAsia"/>
                <w:sz w:val="21"/>
                <w:szCs w:val="21"/>
              </w:rPr>
            </w:pPr>
          </w:p>
        </w:tc>
        <w:tc>
          <w:tcPr>
            <w:tcW w:w="906" w:type="pct"/>
            <w:vAlign w:val="center"/>
          </w:tcPr>
          <w:p w14:paraId="238642A3">
            <w:pPr>
              <w:adjustRightInd w:val="0"/>
              <w:snapToGrid w:val="0"/>
              <w:jc w:val="center"/>
              <w:rPr>
                <w:rFonts w:ascii="Arial" w:hAnsi="Arial" w:cs="Arial" w:eastAsiaTheme="minorEastAsia"/>
                <w:sz w:val="21"/>
                <w:szCs w:val="21"/>
              </w:rPr>
            </w:pPr>
          </w:p>
        </w:tc>
        <w:tc>
          <w:tcPr>
            <w:tcW w:w="657" w:type="pct"/>
            <w:vAlign w:val="center"/>
          </w:tcPr>
          <w:p w14:paraId="70B72E18">
            <w:pPr>
              <w:adjustRightInd w:val="0"/>
              <w:snapToGrid w:val="0"/>
              <w:jc w:val="center"/>
              <w:rPr>
                <w:rFonts w:ascii="Arial" w:hAnsi="Arial" w:cs="Arial" w:eastAsiaTheme="minorEastAsia"/>
                <w:sz w:val="21"/>
                <w:szCs w:val="21"/>
              </w:rPr>
            </w:pPr>
          </w:p>
        </w:tc>
        <w:tc>
          <w:tcPr>
            <w:tcW w:w="657" w:type="pct"/>
            <w:vAlign w:val="center"/>
          </w:tcPr>
          <w:p w14:paraId="3E70487A">
            <w:pPr>
              <w:adjustRightInd w:val="0"/>
              <w:snapToGrid w:val="0"/>
              <w:jc w:val="center"/>
              <w:rPr>
                <w:rFonts w:ascii="Arial" w:hAnsi="Arial" w:cs="Arial" w:eastAsiaTheme="minorEastAsia"/>
                <w:sz w:val="21"/>
                <w:szCs w:val="21"/>
              </w:rPr>
            </w:pPr>
          </w:p>
        </w:tc>
      </w:tr>
      <w:tr w14:paraId="152A0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8B60D72">
            <w:pPr>
              <w:adjustRightInd w:val="0"/>
              <w:snapToGrid w:val="0"/>
              <w:jc w:val="center"/>
              <w:rPr>
                <w:rFonts w:ascii="Arial" w:hAnsi="Arial" w:eastAsia="宋体" w:cs="Arial"/>
                <w:sz w:val="21"/>
                <w:szCs w:val="21"/>
              </w:rPr>
            </w:pPr>
          </w:p>
        </w:tc>
        <w:tc>
          <w:tcPr>
            <w:tcW w:w="887" w:type="pct"/>
            <w:vAlign w:val="center"/>
          </w:tcPr>
          <w:p w14:paraId="3B2E9EA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689A7D8">
            <w:pPr>
              <w:adjustRightInd w:val="0"/>
              <w:snapToGrid w:val="0"/>
              <w:jc w:val="center"/>
              <w:rPr>
                <w:rFonts w:ascii="Arial" w:hAnsi="Arial" w:eastAsia="宋体" w:cs="Arial"/>
                <w:sz w:val="21"/>
                <w:szCs w:val="21"/>
                <w:lang w:bidi="ar"/>
              </w:rPr>
            </w:pPr>
          </w:p>
        </w:tc>
        <w:tc>
          <w:tcPr>
            <w:tcW w:w="906" w:type="pct"/>
            <w:vAlign w:val="center"/>
          </w:tcPr>
          <w:p w14:paraId="69F8B2E7">
            <w:pPr>
              <w:adjustRightInd w:val="0"/>
              <w:snapToGrid w:val="0"/>
              <w:jc w:val="center"/>
              <w:rPr>
                <w:rFonts w:ascii="Arial" w:hAnsi="Arial" w:eastAsia="宋体" w:cs="Arial"/>
                <w:sz w:val="21"/>
                <w:szCs w:val="21"/>
                <w:lang w:bidi="ar"/>
              </w:rPr>
            </w:pPr>
          </w:p>
        </w:tc>
        <w:tc>
          <w:tcPr>
            <w:tcW w:w="657" w:type="pct"/>
            <w:vAlign w:val="center"/>
          </w:tcPr>
          <w:p w14:paraId="04F432EB">
            <w:pPr>
              <w:adjustRightInd w:val="0"/>
              <w:snapToGrid w:val="0"/>
              <w:jc w:val="center"/>
              <w:rPr>
                <w:rFonts w:ascii="Arial" w:hAnsi="Arial" w:eastAsia="宋体" w:cs="Arial"/>
                <w:sz w:val="21"/>
                <w:szCs w:val="21"/>
              </w:rPr>
            </w:pPr>
          </w:p>
        </w:tc>
        <w:tc>
          <w:tcPr>
            <w:tcW w:w="657" w:type="pct"/>
            <w:vAlign w:val="center"/>
          </w:tcPr>
          <w:p w14:paraId="27522389">
            <w:pPr>
              <w:adjustRightInd w:val="0"/>
              <w:snapToGrid w:val="0"/>
              <w:jc w:val="center"/>
              <w:rPr>
                <w:rFonts w:ascii="Arial" w:hAnsi="Arial" w:eastAsia="宋体" w:cs="Arial"/>
                <w:sz w:val="21"/>
                <w:szCs w:val="21"/>
              </w:rPr>
            </w:pPr>
          </w:p>
        </w:tc>
      </w:tr>
    </w:tbl>
    <w:p w14:paraId="077B32D4">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T4加油站旁土壤现状监测结果   单位：mg/kg（pH除外）</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3"/>
        <w:gridCol w:w="1595"/>
        <w:gridCol w:w="1631"/>
        <w:gridCol w:w="1630"/>
        <w:gridCol w:w="1182"/>
        <w:gridCol w:w="1182"/>
      </w:tblGrid>
      <w:tr w14:paraId="0D9B3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6" w:type="pct"/>
            <w:vMerge w:val="restart"/>
            <w:vAlign w:val="center"/>
          </w:tcPr>
          <w:p w14:paraId="1C599395">
            <w:pPr>
              <w:adjustRightInd w:val="0"/>
              <w:snapToGrid w:val="0"/>
              <w:jc w:val="center"/>
              <w:rPr>
                <w:rFonts w:ascii="Arial" w:hAnsi="Arial" w:eastAsia="宋体" w:cs="Arial"/>
                <w:kern w:val="0"/>
                <w:sz w:val="21"/>
                <w:szCs w:val="21"/>
              </w:rPr>
            </w:pPr>
          </w:p>
        </w:tc>
        <w:tc>
          <w:tcPr>
            <w:tcW w:w="2700" w:type="pct"/>
            <w:gridSpan w:val="3"/>
            <w:vAlign w:val="center"/>
          </w:tcPr>
          <w:p w14:paraId="337F872F">
            <w:pPr>
              <w:adjustRightInd w:val="0"/>
              <w:snapToGrid w:val="0"/>
              <w:jc w:val="center"/>
              <w:rPr>
                <w:rFonts w:ascii="Arial" w:hAnsi="Arial" w:eastAsia="宋体" w:cs="Arial"/>
                <w:kern w:val="0"/>
                <w:sz w:val="21"/>
                <w:szCs w:val="21"/>
              </w:rPr>
            </w:pPr>
          </w:p>
        </w:tc>
        <w:tc>
          <w:tcPr>
            <w:tcW w:w="657" w:type="pct"/>
            <w:vMerge w:val="restart"/>
            <w:vAlign w:val="center"/>
          </w:tcPr>
          <w:p w14:paraId="3E71D790">
            <w:pPr>
              <w:adjustRightInd w:val="0"/>
              <w:snapToGrid w:val="0"/>
              <w:jc w:val="center"/>
              <w:rPr>
                <w:rFonts w:ascii="Arial" w:hAnsi="Arial" w:eastAsia="宋体" w:cs="Arial"/>
                <w:kern w:val="0"/>
                <w:sz w:val="21"/>
                <w:szCs w:val="21"/>
              </w:rPr>
            </w:pPr>
          </w:p>
        </w:tc>
        <w:tc>
          <w:tcPr>
            <w:tcW w:w="657" w:type="pct"/>
            <w:vMerge w:val="restart"/>
            <w:vAlign w:val="center"/>
          </w:tcPr>
          <w:p w14:paraId="30677FB6">
            <w:pPr>
              <w:adjustRightInd w:val="0"/>
              <w:snapToGrid w:val="0"/>
              <w:jc w:val="center"/>
              <w:rPr>
                <w:rFonts w:ascii="Arial" w:hAnsi="Arial" w:eastAsia="宋体" w:cs="Arial"/>
                <w:spacing w:val="10"/>
                <w:sz w:val="21"/>
                <w:szCs w:val="21"/>
              </w:rPr>
            </w:pPr>
          </w:p>
        </w:tc>
      </w:tr>
      <w:tr w14:paraId="28032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6" w:type="pct"/>
            <w:vMerge w:val="continue"/>
            <w:vAlign w:val="center"/>
          </w:tcPr>
          <w:p w14:paraId="17D1E946">
            <w:pPr>
              <w:widowControl/>
              <w:adjustRightInd w:val="0"/>
              <w:snapToGrid w:val="0"/>
              <w:jc w:val="center"/>
              <w:rPr>
                <w:rFonts w:ascii="Arial" w:hAnsi="Arial" w:eastAsia="宋体" w:cs="Arial"/>
                <w:kern w:val="0"/>
                <w:sz w:val="21"/>
                <w:szCs w:val="21"/>
              </w:rPr>
            </w:pPr>
          </w:p>
        </w:tc>
        <w:tc>
          <w:tcPr>
            <w:tcW w:w="887" w:type="pct"/>
            <w:vAlign w:val="center"/>
          </w:tcPr>
          <w:p w14:paraId="6AEEE7D0">
            <w:pPr>
              <w:adjustRightInd w:val="0"/>
              <w:snapToGrid w:val="0"/>
              <w:jc w:val="center"/>
              <w:rPr>
                <w:rFonts w:ascii="Arial" w:hAnsi="Arial" w:eastAsia="宋体" w:cs="Arial"/>
                <w:sz w:val="21"/>
                <w:szCs w:val="21"/>
              </w:rPr>
            </w:pPr>
          </w:p>
        </w:tc>
        <w:tc>
          <w:tcPr>
            <w:tcW w:w="907" w:type="pct"/>
            <w:vAlign w:val="center"/>
          </w:tcPr>
          <w:p w14:paraId="6A3FF80B">
            <w:pPr>
              <w:adjustRightInd w:val="0"/>
              <w:snapToGrid w:val="0"/>
              <w:jc w:val="center"/>
              <w:rPr>
                <w:rFonts w:ascii="Arial" w:hAnsi="Arial" w:eastAsia="宋体" w:cs="Arial"/>
                <w:sz w:val="21"/>
                <w:szCs w:val="21"/>
              </w:rPr>
            </w:pPr>
          </w:p>
        </w:tc>
        <w:tc>
          <w:tcPr>
            <w:tcW w:w="906" w:type="pct"/>
            <w:vAlign w:val="center"/>
          </w:tcPr>
          <w:p w14:paraId="331BA3FA">
            <w:pPr>
              <w:adjustRightInd w:val="0"/>
              <w:snapToGrid w:val="0"/>
              <w:jc w:val="center"/>
              <w:rPr>
                <w:rFonts w:ascii="Arial" w:hAnsi="Arial" w:eastAsia="宋体" w:cs="Arial"/>
                <w:kern w:val="0"/>
                <w:sz w:val="21"/>
                <w:szCs w:val="21"/>
              </w:rPr>
            </w:pPr>
          </w:p>
        </w:tc>
        <w:tc>
          <w:tcPr>
            <w:tcW w:w="657" w:type="pct"/>
            <w:vMerge w:val="continue"/>
            <w:vAlign w:val="center"/>
          </w:tcPr>
          <w:p w14:paraId="466E6977">
            <w:pPr>
              <w:widowControl/>
              <w:adjustRightInd w:val="0"/>
              <w:snapToGrid w:val="0"/>
              <w:jc w:val="center"/>
              <w:rPr>
                <w:rFonts w:ascii="Arial" w:hAnsi="Arial" w:eastAsia="宋体" w:cs="Arial"/>
                <w:kern w:val="0"/>
                <w:sz w:val="21"/>
                <w:szCs w:val="21"/>
              </w:rPr>
            </w:pPr>
          </w:p>
        </w:tc>
        <w:tc>
          <w:tcPr>
            <w:tcW w:w="657" w:type="pct"/>
            <w:vMerge w:val="continue"/>
            <w:vAlign w:val="center"/>
          </w:tcPr>
          <w:p w14:paraId="14D0C430">
            <w:pPr>
              <w:widowControl/>
              <w:adjustRightInd w:val="0"/>
              <w:snapToGrid w:val="0"/>
              <w:jc w:val="center"/>
              <w:rPr>
                <w:rFonts w:ascii="Arial" w:hAnsi="Arial" w:eastAsia="宋体" w:cs="Arial"/>
                <w:kern w:val="0"/>
                <w:sz w:val="21"/>
                <w:szCs w:val="21"/>
              </w:rPr>
            </w:pPr>
          </w:p>
        </w:tc>
      </w:tr>
      <w:tr w14:paraId="73A30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B7AA830">
            <w:pPr>
              <w:adjustRightInd w:val="0"/>
              <w:snapToGrid w:val="0"/>
              <w:jc w:val="center"/>
              <w:rPr>
                <w:rFonts w:ascii="Arial" w:hAnsi="Arial" w:eastAsia="宋体" w:cs="Arial"/>
                <w:sz w:val="21"/>
                <w:szCs w:val="21"/>
              </w:rPr>
            </w:pPr>
          </w:p>
        </w:tc>
        <w:tc>
          <w:tcPr>
            <w:tcW w:w="887" w:type="pct"/>
            <w:vAlign w:val="center"/>
          </w:tcPr>
          <w:p w14:paraId="4B9304F7">
            <w:pPr>
              <w:adjustRightInd w:val="0"/>
              <w:snapToGrid w:val="0"/>
              <w:jc w:val="center"/>
              <w:rPr>
                <w:rFonts w:ascii="Arial" w:hAnsi="Arial" w:eastAsia="宋体" w:cs="Arial"/>
                <w:sz w:val="21"/>
                <w:szCs w:val="21"/>
              </w:rPr>
            </w:pPr>
          </w:p>
        </w:tc>
        <w:tc>
          <w:tcPr>
            <w:tcW w:w="907" w:type="pct"/>
            <w:vAlign w:val="center"/>
          </w:tcPr>
          <w:p w14:paraId="6232552A">
            <w:pPr>
              <w:adjustRightInd w:val="0"/>
              <w:snapToGrid w:val="0"/>
              <w:jc w:val="center"/>
              <w:rPr>
                <w:rFonts w:ascii="Arial" w:hAnsi="Arial" w:eastAsia="宋体" w:cs="Arial"/>
                <w:sz w:val="21"/>
                <w:szCs w:val="21"/>
              </w:rPr>
            </w:pPr>
          </w:p>
        </w:tc>
        <w:tc>
          <w:tcPr>
            <w:tcW w:w="906" w:type="pct"/>
            <w:vAlign w:val="center"/>
          </w:tcPr>
          <w:p w14:paraId="3FFA1981">
            <w:pPr>
              <w:adjustRightInd w:val="0"/>
              <w:snapToGrid w:val="0"/>
              <w:jc w:val="center"/>
              <w:rPr>
                <w:rFonts w:ascii="Arial" w:hAnsi="Arial" w:eastAsia="宋体" w:cs="Arial"/>
                <w:sz w:val="21"/>
                <w:szCs w:val="21"/>
              </w:rPr>
            </w:pPr>
          </w:p>
        </w:tc>
        <w:tc>
          <w:tcPr>
            <w:tcW w:w="657" w:type="pct"/>
            <w:vAlign w:val="center"/>
          </w:tcPr>
          <w:p w14:paraId="78B13D41">
            <w:pPr>
              <w:adjustRightInd w:val="0"/>
              <w:snapToGrid w:val="0"/>
              <w:jc w:val="center"/>
              <w:rPr>
                <w:rFonts w:ascii="Arial" w:hAnsi="Arial" w:eastAsia="宋体" w:cs="Arial"/>
                <w:sz w:val="21"/>
                <w:szCs w:val="21"/>
              </w:rPr>
            </w:pPr>
          </w:p>
        </w:tc>
        <w:tc>
          <w:tcPr>
            <w:tcW w:w="657" w:type="pct"/>
            <w:vAlign w:val="center"/>
          </w:tcPr>
          <w:p w14:paraId="4287ED2F">
            <w:pPr>
              <w:adjustRightInd w:val="0"/>
              <w:snapToGrid w:val="0"/>
              <w:jc w:val="center"/>
              <w:rPr>
                <w:rFonts w:ascii="Arial" w:hAnsi="Arial" w:eastAsia="宋体" w:cs="Arial"/>
                <w:sz w:val="21"/>
                <w:szCs w:val="21"/>
              </w:rPr>
            </w:pPr>
          </w:p>
        </w:tc>
      </w:tr>
      <w:tr w14:paraId="2C29B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0413CAD">
            <w:pPr>
              <w:adjustRightInd w:val="0"/>
              <w:snapToGrid w:val="0"/>
              <w:jc w:val="center"/>
              <w:rPr>
                <w:rFonts w:ascii="Arial" w:hAnsi="Arial" w:eastAsia="宋体" w:cs="Arial"/>
                <w:sz w:val="21"/>
                <w:szCs w:val="21"/>
              </w:rPr>
            </w:pPr>
          </w:p>
        </w:tc>
        <w:tc>
          <w:tcPr>
            <w:tcW w:w="887" w:type="pct"/>
            <w:vAlign w:val="center"/>
          </w:tcPr>
          <w:p w14:paraId="71C1A711">
            <w:pPr>
              <w:adjustRightInd w:val="0"/>
              <w:snapToGrid w:val="0"/>
              <w:jc w:val="center"/>
              <w:rPr>
                <w:rFonts w:ascii="Arial" w:hAnsi="Arial" w:eastAsia="宋体" w:cs="Arial"/>
                <w:sz w:val="21"/>
                <w:szCs w:val="21"/>
              </w:rPr>
            </w:pPr>
          </w:p>
        </w:tc>
        <w:tc>
          <w:tcPr>
            <w:tcW w:w="907" w:type="pct"/>
            <w:vAlign w:val="center"/>
          </w:tcPr>
          <w:p w14:paraId="2D33186F">
            <w:pPr>
              <w:adjustRightInd w:val="0"/>
              <w:snapToGrid w:val="0"/>
              <w:jc w:val="center"/>
              <w:rPr>
                <w:rFonts w:ascii="Arial" w:hAnsi="Arial" w:eastAsia="宋体" w:cs="Arial"/>
                <w:sz w:val="21"/>
                <w:szCs w:val="21"/>
              </w:rPr>
            </w:pPr>
          </w:p>
        </w:tc>
        <w:tc>
          <w:tcPr>
            <w:tcW w:w="906" w:type="pct"/>
            <w:vAlign w:val="center"/>
          </w:tcPr>
          <w:p w14:paraId="1C3D2B79">
            <w:pPr>
              <w:adjustRightInd w:val="0"/>
              <w:snapToGrid w:val="0"/>
              <w:jc w:val="center"/>
              <w:rPr>
                <w:rFonts w:ascii="Arial" w:hAnsi="Arial" w:eastAsia="宋体" w:cs="Arial"/>
                <w:sz w:val="21"/>
                <w:szCs w:val="21"/>
              </w:rPr>
            </w:pPr>
          </w:p>
        </w:tc>
        <w:tc>
          <w:tcPr>
            <w:tcW w:w="657" w:type="pct"/>
            <w:vAlign w:val="center"/>
          </w:tcPr>
          <w:p w14:paraId="71B98FEE">
            <w:pPr>
              <w:adjustRightInd w:val="0"/>
              <w:snapToGrid w:val="0"/>
              <w:jc w:val="center"/>
              <w:rPr>
                <w:rFonts w:ascii="Arial" w:hAnsi="Arial" w:eastAsia="宋体" w:cs="Arial"/>
                <w:sz w:val="21"/>
                <w:szCs w:val="21"/>
              </w:rPr>
            </w:pPr>
          </w:p>
        </w:tc>
        <w:tc>
          <w:tcPr>
            <w:tcW w:w="657" w:type="pct"/>
            <w:vAlign w:val="center"/>
          </w:tcPr>
          <w:p w14:paraId="76D38888">
            <w:pPr>
              <w:adjustRightInd w:val="0"/>
              <w:snapToGrid w:val="0"/>
              <w:jc w:val="center"/>
              <w:rPr>
                <w:rFonts w:ascii="Arial" w:hAnsi="Arial" w:eastAsia="宋体" w:cs="Arial"/>
                <w:sz w:val="21"/>
                <w:szCs w:val="21"/>
              </w:rPr>
            </w:pPr>
          </w:p>
        </w:tc>
      </w:tr>
      <w:tr w14:paraId="0C11A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7AA1421">
            <w:pPr>
              <w:adjustRightInd w:val="0"/>
              <w:snapToGrid w:val="0"/>
              <w:jc w:val="center"/>
              <w:rPr>
                <w:rFonts w:ascii="Arial" w:hAnsi="Arial" w:eastAsia="宋体" w:cs="Arial"/>
                <w:sz w:val="21"/>
                <w:szCs w:val="21"/>
              </w:rPr>
            </w:pPr>
          </w:p>
        </w:tc>
        <w:tc>
          <w:tcPr>
            <w:tcW w:w="887" w:type="pct"/>
            <w:vAlign w:val="center"/>
          </w:tcPr>
          <w:p w14:paraId="32D31081">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62CE886">
            <w:pPr>
              <w:adjustRightInd w:val="0"/>
              <w:snapToGrid w:val="0"/>
              <w:jc w:val="center"/>
              <w:rPr>
                <w:rFonts w:ascii="Arial" w:hAnsi="Arial" w:eastAsia="宋体" w:cs="Arial"/>
                <w:sz w:val="21"/>
                <w:szCs w:val="21"/>
                <w:lang w:bidi="ar"/>
              </w:rPr>
            </w:pPr>
          </w:p>
        </w:tc>
        <w:tc>
          <w:tcPr>
            <w:tcW w:w="906" w:type="pct"/>
            <w:vAlign w:val="center"/>
          </w:tcPr>
          <w:p w14:paraId="63E13757">
            <w:pPr>
              <w:adjustRightInd w:val="0"/>
              <w:snapToGrid w:val="0"/>
              <w:jc w:val="center"/>
              <w:rPr>
                <w:rFonts w:ascii="Arial" w:hAnsi="Arial" w:eastAsia="宋体" w:cs="Arial"/>
                <w:sz w:val="21"/>
                <w:szCs w:val="21"/>
                <w:lang w:bidi="ar"/>
              </w:rPr>
            </w:pPr>
          </w:p>
        </w:tc>
        <w:tc>
          <w:tcPr>
            <w:tcW w:w="657" w:type="pct"/>
            <w:vAlign w:val="center"/>
          </w:tcPr>
          <w:p w14:paraId="5214FC91">
            <w:pPr>
              <w:adjustRightInd w:val="0"/>
              <w:snapToGrid w:val="0"/>
              <w:jc w:val="center"/>
              <w:rPr>
                <w:rFonts w:ascii="Arial" w:hAnsi="Arial" w:eastAsia="宋体" w:cs="Arial"/>
                <w:sz w:val="21"/>
                <w:szCs w:val="21"/>
              </w:rPr>
            </w:pPr>
          </w:p>
        </w:tc>
        <w:tc>
          <w:tcPr>
            <w:tcW w:w="657" w:type="pct"/>
            <w:vAlign w:val="center"/>
          </w:tcPr>
          <w:p w14:paraId="0A2A191A">
            <w:pPr>
              <w:adjustRightInd w:val="0"/>
              <w:snapToGrid w:val="0"/>
              <w:jc w:val="center"/>
              <w:rPr>
                <w:rFonts w:ascii="Arial" w:hAnsi="Arial" w:eastAsia="宋体" w:cs="Arial"/>
                <w:sz w:val="21"/>
                <w:szCs w:val="21"/>
              </w:rPr>
            </w:pPr>
          </w:p>
        </w:tc>
      </w:tr>
      <w:tr w14:paraId="3F623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C2A9557">
            <w:pPr>
              <w:adjustRightInd w:val="0"/>
              <w:snapToGrid w:val="0"/>
              <w:jc w:val="center"/>
              <w:rPr>
                <w:rFonts w:ascii="Arial" w:hAnsi="Arial" w:eastAsia="宋体" w:cs="Arial"/>
                <w:sz w:val="21"/>
                <w:szCs w:val="21"/>
              </w:rPr>
            </w:pPr>
          </w:p>
        </w:tc>
        <w:tc>
          <w:tcPr>
            <w:tcW w:w="887" w:type="pct"/>
            <w:vAlign w:val="center"/>
          </w:tcPr>
          <w:p w14:paraId="28AFFA1B">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21AACF0">
            <w:pPr>
              <w:adjustRightInd w:val="0"/>
              <w:snapToGrid w:val="0"/>
              <w:jc w:val="center"/>
              <w:rPr>
                <w:rFonts w:ascii="Arial" w:hAnsi="Arial" w:eastAsia="宋体" w:cs="Arial"/>
                <w:sz w:val="21"/>
                <w:szCs w:val="21"/>
                <w:lang w:bidi="ar"/>
              </w:rPr>
            </w:pPr>
          </w:p>
        </w:tc>
        <w:tc>
          <w:tcPr>
            <w:tcW w:w="906" w:type="pct"/>
            <w:vAlign w:val="center"/>
          </w:tcPr>
          <w:p w14:paraId="54691F78">
            <w:pPr>
              <w:adjustRightInd w:val="0"/>
              <w:snapToGrid w:val="0"/>
              <w:jc w:val="center"/>
              <w:rPr>
                <w:rFonts w:ascii="Arial" w:hAnsi="Arial" w:eastAsia="宋体" w:cs="Arial"/>
                <w:sz w:val="21"/>
                <w:szCs w:val="21"/>
                <w:lang w:bidi="ar"/>
              </w:rPr>
            </w:pPr>
          </w:p>
        </w:tc>
        <w:tc>
          <w:tcPr>
            <w:tcW w:w="657" w:type="pct"/>
            <w:vAlign w:val="center"/>
          </w:tcPr>
          <w:p w14:paraId="5FE925D8">
            <w:pPr>
              <w:adjustRightInd w:val="0"/>
              <w:snapToGrid w:val="0"/>
              <w:jc w:val="center"/>
              <w:rPr>
                <w:rFonts w:ascii="Arial" w:hAnsi="Arial" w:eastAsia="宋体" w:cs="Arial"/>
                <w:sz w:val="21"/>
                <w:szCs w:val="21"/>
              </w:rPr>
            </w:pPr>
          </w:p>
        </w:tc>
        <w:tc>
          <w:tcPr>
            <w:tcW w:w="657" w:type="pct"/>
            <w:vAlign w:val="center"/>
          </w:tcPr>
          <w:p w14:paraId="0E5DCBDA">
            <w:pPr>
              <w:adjustRightInd w:val="0"/>
              <w:snapToGrid w:val="0"/>
              <w:jc w:val="center"/>
              <w:rPr>
                <w:rFonts w:ascii="Arial" w:hAnsi="Arial" w:eastAsia="宋体" w:cs="Arial"/>
                <w:sz w:val="21"/>
                <w:szCs w:val="21"/>
              </w:rPr>
            </w:pPr>
          </w:p>
        </w:tc>
      </w:tr>
      <w:tr w14:paraId="4A937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51B7E7F">
            <w:pPr>
              <w:adjustRightInd w:val="0"/>
              <w:snapToGrid w:val="0"/>
              <w:jc w:val="center"/>
              <w:rPr>
                <w:rFonts w:ascii="Arial" w:hAnsi="Arial" w:eastAsia="宋体" w:cs="Arial"/>
                <w:sz w:val="21"/>
                <w:szCs w:val="21"/>
              </w:rPr>
            </w:pPr>
          </w:p>
        </w:tc>
        <w:tc>
          <w:tcPr>
            <w:tcW w:w="887" w:type="pct"/>
            <w:vAlign w:val="center"/>
          </w:tcPr>
          <w:p w14:paraId="7AD0AF9D">
            <w:pPr>
              <w:adjustRightInd w:val="0"/>
              <w:snapToGrid w:val="0"/>
              <w:jc w:val="center"/>
              <w:rPr>
                <w:rFonts w:ascii="Arial" w:hAnsi="Arial" w:eastAsia="宋体" w:cs="Arial"/>
                <w:sz w:val="21"/>
                <w:szCs w:val="21"/>
              </w:rPr>
            </w:pPr>
          </w:p>
        </w:tc>
        <w:tc>
          <w:tcPr>
            <w:tcW w:w="907" w:type="pct"/>
            <w:vAlign w:val="center"/>
          </w:tcPr>
          <w:p w14:paraId="32EE264D">
            <w:pPr>
              <w:adjustRightInd w:val="0"/>
              <w:snapToGrid w:val="0"/>
              <w:jc w:val="center"/>
              <w:rPr>
                <w:rFonts w:ascii="Arial" w:hAnsi="Arial" w:eastAsia="宋体" w:cs="Arial"/>
                <w:sz w:val="21"/>
                <w:szCs w:val="21"/>
              </w:rPr>
            </w:pPr>
          </w:p>
        </w:tc>
        <w:tc>
          <w:tcPr>
            <w:tcW w:w="906" w:type="pct"/>
            <w:vAlign w:val="center"/>
          </w:tcPr>
          <w:p w14:paraId="75403302">
            <w:pPr>
              <w:adjustRightInd w:val="0"/>
              <w:snapToGrid w:val="0"/>
              <w:jc w:val="center"/>
              <w:rPr>
                <w:rFonts w:ascii="Arial" w:hAnsi="Arial" w:eastAsia="宋体" w:cs="Arial"/>
                <w:sz w:val="21"/>
                <w:szCs w:val="21"/>
              </w:rPr>
            </w:pPr>
          </w:p>
        </w:tc>
        <w:tc>
          <w:tcPr>
            <w:tcW w:w="657" w:type="pct"/>
            <w:vAlign w:val="center"/>
          </w:tcPr>
          <w:p w14:paraId="3AF1C82A">
            <w:pPr>
              <w:adjustRightInd w:val="0"/>
              <w:snapToGrid w:val="0"/>
              <w:jc w:val="center"/>
              <w:rPr>
                <w:rFonts w:ascii="Arial" w:hAnsi="Arial" w:eastAsia="宋体" w:cs="Arial"/>
                <w:sz w:val="21"/>
                <w:szCs w:val="21"/>
              </w:rPr>
            </w:pPr>
          </w:p>
        </w:tc>
        <w:tc>
          <w:tcPr>
            <w:tcW w:w="657" w:type="pct"/>
            <w:vAlign w:val="center"/>
          </w:tcPr>
          <w:p w14:paraId="6898D796">
            <w:pPr>
              <w:adjustRightInd w:val="0"/>
              <w:snapToGrid w:val="0"/>
              <w:jc w:val="center"/>
              <w:rPr>
                <w:rFonts w:ascii="Arial" w:hAnsi="Arial" w:eastAsia="宋体" w:cs="Arial"/>
                <w:sz w:val="21"/>
                <w:szCs w:val="21"/>
              </w:rPr>
            </w:pPr>
          </w:p>
        </w:tc>
      </w:tr>
      <w:tr w14:paraId="4AAF8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661F333">
            <w:pPr>
              <w:adjustRightInd w:val="0"/>
              <w:snapToGrid w:val="0"/>
              <w:jc w:val="center"/>
              <w:rPr>
                <w:rFonts w:ascii="Arial" w:hAnsi="Arial" w:eastAsia="宋体" w:cs="Arial"/>
                <w:sz w:val="21"/>
                <w:szCs w:val="21"/>
              </w:rPr>
            </w:pPr>
          </w:p>
        </w:tc>
        <w:tc>
          <w:tcPr>
            <w:tcW w:w="887" w:type="pct"/>
            <w:vAlign w:val="center"/>
          </w:tcPr>
          <w:p w14:paraId="46BBA17A">
            <w:pPr>
              <w:adjustRightInd w:val="0"/>
              <w:snapToGrid w:val="0"/>
              <w:jc w:val="center"/>
              <w:rPr>
                <w:rFonts w:ascii="Arial" w:hAnsi="Arial" w:eastAsia="宋体" w:cs="Arial"/>
                <w:sz w:val="21"/>
                <w:szCs w:val="21"/>
              </w:rPr>
            </w:pPr>
          </w:p>
        </w:tc>
        <w:tc>
          <w:tcPr>
            <w:tcW w:w="907" w:type="pct"/>
            <w:vAlign w:val="center"/>
          </w:tcPr>
          <w:p w14:paraId="272E96C5">
            <w:pPr>
              <w:adjustRightInd w:val="0"/>
              <w:snapToGrid w:val="0"/>
              <w:jc w:val="center"/>
              <w:rPr>
                <w:rFonts w:ascii="Arial" w:hAnsi="Arial" w:eastAsia="宋体" w:cs="Arial"/>
                <w:sz w:val="21"/>
                <w:szCs w:val="21"/>
              </w:rPr>
            </w:pPr>
          </w:p>
        </w:tc>
        <w:tc>
          <w:tcPr>
            <w:tcW w:w="906" w:type="pct"/>
            <w:vAlign w:val="center"/>
          </w:tcPr>
          <w:p w14:paraId="415AC80D">
            <w:pPr>
              <w:adjustRightInd w:val="0"/>
              <w:snapToGrid w:val="0"/>
              <w:jc w:val="center"/>
              <w:rPr>
                <w:rFonts w:ascii="Arial" w:hAnsi="Arial" w:eastAsia="宋体" w:cs="Arial"/>
                <w:sz w:val="21"/>
                <w:szCs w:val="21"/>
              </w:rPr>
            </w:pPr>
          </w:p>
        </w:tc>
        <w:tc>
          <w:tcPr>
            <w:tcW w:w="657" w:type="pct"/>
            <w:vAlign w:val="center"/>
          </w:tcPr>
          <w:p w14:paraId="52B9754F">
            <w:pPr>
              <w:adjustRightInd w:val="0"/>
              <w:snapToGrid w:val="0"/>
              <w:jc w:val="center"/>
              <w:rPr>
                <w:rFonts w:ascii="Arial" w:hAnsi="Arial" w:eastAsia="宋体" w:cs="Arial"/>
                <w:sz w:val="21"/>
                <w:szCs w:val="21"/>
              </w:rPr>
            </w:pPr>
          </w:p>
        </w:tc>
        <w:tc>
          <w:tcPr>
            <w:tcW w:w="657" w:type="pct"/>
            <w:vAlign w:val="center"/>
          </w:tcPr>
          <w:p w14:paraId="2FD648B1">
            <w:pPr>
              <w:adjustRightInd w:val="0"/>
              <w:snapToGrid w:val="0"/>
              <w:jc w:val="center"/>
              <w:rPr>
                <w:rFonts w:ascii="Arial" w:hAnsi="Arial" w:eastAsia="宋体" w:cs="Arial"/>
                <w:sz w:val="21"/>
                <w:szCs w:val="21"/>
              </w:rPr>
            </w:pPr>
          </w:p>
        </w:tc>
      </w:tr>
      <w:tr w14:paraId="14A7B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A882471">
            <w:pPr>
              <w:adjustRightInd w:val="0"/>
              <w:snapToGrid w:val="0"/>
              <w:jc w:val="center"/>
              <w:rPr>
                <w:rFonts w:ascii="Arial" w:hAnsi="Arial" w:eastAsia="宋体" w:cs="Arial"/>
                <w:sz w:val="21"/>
                <w:szCs w:val="21"/>
              </w:rPr>
            </w:pPr>
          </w:p>
        </w:tc>
        <w:tc>
          <w:tcPr>
            <w:tcW w:w="887" w:type="pct"/>
            <w:vAlign w:val="center"/>
          </w:tcPr>
          <w:p w14:paraId="63EAD1F3">
            <w:pPr>
              <w:adjustRightInd w:val="0"/>
              <w:snapToGrid w:val="0"/>
              <w:jc w:val="center"/>
              <w:rPr>
                <w:rFonts w:ascii="Arial" w:hAnsi="Arial" w:eastAsia="宋体" w:cs="Arial"/>
                <w:sz w:val="21"/>
                <w:szCs w:val="21"/>
              </w:rPr>
            </w:pPr>
          </w:p>
        </w:tc>
        <w:tc>
          <w:tcPr>
            <w:tcW w:w="907" w:type="pct"/>
            <w:vAlign w:val="center"/>
          </w:tcPr>
          <w:p w14:paraId="42853B62">
            <w:pPr>
              <w:adjustRightInd w:val="0"/>
              <w:snapToGrid w:val="0"/>
              <w:jc w:val="center"/>
              <w:rPr>
                <w:rFonts w:ascii="Arial" w:hAnsi="Arial" w:eastAsia="宋体" w:cs="Arial"/>
                <w:sz w:val="21"/>
                <w:szCs w:val="21"/>
              </w:rPr>
            </w:pPr>
          </w:p>
        </w:tc>
        <w:tc>
          <w:tcPr>
            <w:tcW w:w="906" w:type="pct"/>
            <w:vAlign w:val="center"/>
          </w:tcPr>
          <w:p w14:paraId="0C43EBDB">
            <w:pPr>
              <w:adjustRightInd w:val="0"/>
              <w:snapToGrid w:val="0"/>
              <w:jc w:val="center"/>
              <w:rPr>
                <w:rFonts w:ascii="Arial" w:hAnsi="Arial" w:eastAsia="宋体" w:cs="Arial"/>
                <w:sz w:val="21"/>
                <w:szCs w:val="21"/>
              </w:rPr>
            </w:pPr>
          </w:p>
        </w:tc>
        <w:tc>
          <w:tcPr>
            <w:tcW w:w="657" w:type="pct"/>
            <w:vAlign w:val="center"/>
          </w:tcPr>
          <w:p w14:paraId="24BBEE74">
            <w:pPr>
              <w:adjustRightInd w:val="0"/>
              <w:snapToGrid w:val="0"/>
              <w:jc w:val="center"/>
              <w:rPr>
                <w:rFonts w:ascii="Arial" w:hAnsi="Arial" w:eastAsia="宋体" w:cs="Arial"/>
                <w:sz w:val="21"/>
                <w:szCs w:val="21"/>
              </w:rPr>
            </w:pPr>
          </w:p>
        </w:tc>
        <w:tc>
          <w:tcPr>
            <w:tcW w:w="657" w:type="pct"/>
            <w:vAlign w:val="center"/>
          </w:tcPr>
          <w:p w14:paraId="58B78CF7">
            <w:pPr>
              <w:adjustRightInd w:val="0"/>
              <w:snapToGrid w:val="0"/>
              <w:jc w:val="center"/>
              <w:rPr>
                <w:rFonts w:ascii="Arial" w:hAnsi="Arial" w:eastAsia="宋体" w:cs="Arial"/>
                <w:sz w:val="21"/>
                <w:szCs w:val="21"/>
              </w:rPr>
            </w:pPr>
          </w:p>
        </w:tc>
      </w:tr>
      <w:tr w14:paraId="5C87A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1DA43F7">
            <w:pPr>
              <w:adjustRightInd w:val="0"/>
              <w:snapToGrid w:val="0"/>
              <w:jc w:val="center"/>
              <w:rPr>
                <w:rFonts w:ascii="Arial" w:hAnsi="Arial" w:eastAsia="宋体" w:cs="Arial"/>
                <w:sz w:val="21"/>
                <w:szCs w:val="21"/>
              </w:rPr>
            </w:pPr>
          </w:p>
        </w:tc>
        <w:tc>
          <w:tcPr>
            <w:tcW w:w="887" w:type="pct"/>
            <w:vAlign w:val="center"/>
          </w:tcPr>
          <w:p w14:paraId="2D6E0956">
            <w:pPr>
              <w:adjustRightInd w:val="0"/>
              <w:snapToGrid w:val="0"/>
              <w:jc w:val="center"/>
              <w:rPr>
                <w:rFonts w:ascii="Arial" w:hAnsi="Arial" w:eastAsia="宋体" w:cs="Arial"/>
                <w:sz w:val="21"/>
                <w:szCs w:val="21"/>
              </w:rPr>
            </w:pPr>
          </w:p>
        </w:tc>
        <w:tc>
          <w:tcPr>
            <w:tcW w:w="907" w:type="pct"/>
            <w:vAlign w:val="center"/>
          </w:tcPr>
          <w:p w14:paraId="71690155">
            <w:pPr>
              <w:adjustRightInd w:val="0"/>
              <w:snapToGrid w:val="0"/>
              <w:jc w:val="center"/>
              <w:rPr>
                <w:rFonts w:ascii="Arial" w:hAnsi="Arial" w:eastAsia="宋体" w:cs="Arial"/>
                <w:sz w:val="21"/>
                <w:szCs w:val="21"/>
              </w:rPr>
            </w:pPr>
          </w:p>
        </w:tc>
        <w:tc>
          <w:tcPr>
            <w:tcW w:w="906" w:type="pct"/>
            <w:vAlign w:val="center"/>
          </w:tcPr>
          <w:p w14:paraId="64650998">
            <w:pPr>
              <w:adjustRightInd w:val="0"/>
              <w:snapToGrid w:val="0"/>
              <w:jc w:val="center"/>
              <w:rPr>
                <w:rFonts w:ascii="Arial" w:hAnsi="Arial" w:eastAsia="宋体" w:cs="Arial"/>
                <w:sz w:val="21"/>
                <w:szCs w:val="21"/>
              </w:rPr>
            </w:pPr>
          </w:p>
        </w:tc>
        <w:tc>
          <w:tcPr>
            <w:tcW w:w="657" w:type="pct"/>
            <w:vAlign w:val="center"/>
          </w:tcPr>
          <w:p w14:paraId="132E05D5">
            <w:pPr>
              <w:adjustRightInd w:val="0"/>
              <w:snapToGrid w:val="0"/>
              <w:jc w:val="center"/>
              <w:rPr>
                <w:rFonts w:ascii="Arial" w:hAnsi="Arial" w:eastAsia="宋体" w:cs="Arial"/>
                <w:sz w:val="21"/>
                <w:szCs w:val="21"/>
              </w:rPr>
            </w:pPr>
          </w:p>
        </w:tc>
        <w:tc>
          <w:tcPr>
            <w:tcW w:w="657" w:type="pct"/>
            <w:vAlign w:val="center"/>
          </w:tcPr>
          <w:p w14:paraId="67A26849">
            <w:pPr>
              <w:adjustRightInd w:val="0"/>
              <w:snapToGrid w:val="0"/>
              <w:jc w:val="center"/>
              <w:rPr>
                <w:rFonts w:ascii="Arial" w:hAnsi="Arial" w:eastAsia="宋体" w:cs="Arial"/>
                <w:sz w:val="21"/>
                <w:szCs w:val="21"/>
              </w:rPr>
            </w:pPr>
          </w:p>
        </w:tc>
      </w:tr>
      <w:tr w14:paraId="7BA8D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A9047DD">
            <w:pPr>
              <w:adjustRightInd w:val="0"/>
              <w:snapToGrid w:val="0"/>
              <w:jc w:val="center"/>
              <w:rPr>
                <w:rFonts w:ascii="Arial" w:hAnsi="Arial" w:eastAsia="宋体" w:cs="Arial"/>
                <w:sz w:val="21"/>
                <w:szCs w:val="21"/>
              </w:rPr>
            </w:pPr>
          </w:p>
        </w:tc>
        <w:tc>
          <w:tcPr>
            <w:tcW w:w="887" w:type="pct"/>
            <w:vAlign w:val="center"/>
          </w:tcPr>
          <w:p w14:paraId="6C21DE65">
            <w:pPr>
              <w:adjustRightInd w:val="0"/>
              <w:snapToGrid w:val="0"/>
              <w:jc w:val="center"/>
              <w:rPr>
                <w:rFonts w:ascii="Arial" w:hAnsi="Arial" w:eastAsia="宋体" w:cs="Arial"/>
                <w:sz w:val="21"/>
                <w:szCs w:val="21"/>
              </w:rPr>
            </w:pPr>
          </w:p>
        </w:tc>
        <w:tc>
          <w:tcPr>
            <w:tcW w:w="907" w:type="pct"/>
            <w:vAlign w:val="center"/>
          </w:tcPr>
          <w:p w14:paraId="6A5DC538">
            <w:pPr>
              <w:adjustRightInd w:val="0"/>
              <w:snapToGrid w:val="0"/>
              <w:jc w:val="center"/>
              <w:rPr>
                <w:rFonts w:ascii="Arial" w:hAnsi="Arial" w:eastAsia="宋体" w:cs="Arial"/>
                <w:sz w:val="21"/>
                <w:szCs w:val="21"/>
              </w:rPr>
            </w:pPr>
          </w:p>
        </w:tc>
        <w:tc>
          <w:tcPr>
            <w:tcW w:w="906" w:type="pct"/>
            <w:vAlign w:val="center"/>
          </w:tcPr>
          <w:p w14:paraId="2A63F15A">
            <w:pPr>
              <w:adjustRightInd w:val="0"/>
              <w:snapToGrid w:val="0"/>
              <w:jc w:val="center"/>
              <w:rPr>
                <w:rFonts w:ascii="Arial" w:hAnsi="Arial" w:eastAsia="宋体" w:cs="Arial"/>
                <w:sz w:val="21"/>
                <w:szCs w:val="21"/>
              </w:rPr>
            </w:pPr>
          </w:p>
        </w:tc>
        <w:tc>
          <w:tcPr>
            <w:tcW w:w="657" w:type="pct"/>
            <w:vAlign w:val="center"/>
          </w:tcPr>
          <w:p w14:paraId="572ED4C6">
            <w:pPr>
              <w:adjustRightInd w:val="0"/>
              <w:snapToGrid w:val="0"/>
              <w:jc w:val="center"/>
              <w:rPr>
                <w:rFonts w:ascii="Arial" w:hAnsi="Arial" w:eastAsia="宋体" w:cs="Arial"/>
                <w:sz w:val="21"/>
                <w:szCs w:val="21"/>
              </w:rPr>
            </w:pPr>
          </w:p>
        </w:tc>
        <w:tc>
          <w:tcPr>
            <w:tcW w:w="657" w:type="pct"/>
            <w:vAlign w:val="center"/>
          </w:tcPr>
          <w:p w14:paraId="3AA589EB">
            <w:pPr>
              <w:adjustRightInd w:val="0"/>
              <w:snapToGrid w:val="0"/>
              <w:jc w:val="center"/>
              <w:rPr>
                <w:rFonts w:ascii="Arial" w:hAnsi="Arial" w:eastAsia="宋体" w:cs="Arial"/>
                <w:sz w:val="21"/>
                <w:szCs w:val="21"/>
              </w:rPr>
            </w:pPr>
          </w:p>
        </w:tc>
      </w:tr>
      <w:tr w14:paraId="3601A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80BFD55">
            <w:pPr>
              <w:adjustRightInd w:val="0"/>
              <w:snapToGrid w:val="0"/>
              <w:jc w:val="center"/>
              <w:rPr>
                <w:rFonts w:ascii="Arial" w:hAnsi="Arial" w:cs="Arial" w:eastAsiaTheme="minorEastAsia"/>
                <w:sz w:val="21"/>
                <w:szCs w:val="21"/>
              </w:rPr>
            </w:pPr>
          </w:p>
        </w:tc>
        <w:tc>
          <w:tcPr>
            <w:tcW w:w="887" w:type="pct"/>
            <w:vAlign w:val="center"/>
          </w:tcPr>
          <w:p w14:paraId="1F0274EE">
            <w:pPr>
              <w:adjustRightInd w:val="0"/>
              <w:snapToGrid w:val="0"/>
              <w:jc w:val="center"/>
              <w:rPr>
                <w:rFonts w:ascii="Arial" w:hAnsi="Arial" w:cs="Arial" w:eastAsiaTheme="minorEastAsia"/>
                <w:sz w:val="21"/>
                <w:szCs w:val="21"/>
              </w:rPr>
            </w:pPr>
          </w:p>
        </w:tc>
        <w:tc>
          <w:tcPr>
            <w:tcW w:w="907" w:type="pct"/>
            <w:vAlign w:val="center"/>
          </w:tcPr>
          <w:p w14:paraId="3C4C9A24">
            <w:pPr>
              <w:adjustRightInd w:val="0"/>
              <w:snapToGrid w:val="0"/>
              <w:jc w:val="center"/>
              <w:rPr>
                <w:rFonts w:ascii="Arial" w:hAnsi="Arial" w:cs="Arial" w:eastAsiaTheme="minorEastAsia"/>
                <w:sz w:val="21"/>
                <w:szCs w:val="21"/>
              </w:rPr>
            </w:pPr>
          </w:p>
        </w:tc>
        <w:tc>
          <w:tcPr>
            <w:tcW w:w="906" w:type="pct"/>
            <w:vAlign w:val="center"/>
          </w:tcPr>
          <w:p w14:paraId="61C21C16">
            <w:pPr>
              <w:adjustRightInd w:val="0"/>
              <w:snapToGrid w:val="0"/>
              <w:jc w:val="center"/>
              <w:rPr>
                <w:rFonts w:ascii="Arial" w:hAnsi="Arial" w:cs="Arial" w:eastAsiaTheme="minorEastAsia"/>
                <w:sz w:val="21"/>
                <w:szCs w:val="21"/>
              </w:rPr>
            </w:pPr>
          </w:p>
        </w:tc>
        <w:tc>
          <w:tcPr>
            <w:tcW w:w="657" w:type="pct"/>
            <w:vAlign w:val="center"/>
          </w:tcPr>
          <w:p w14:paraId="6EBC5CFE">
            <w:pPr>
              <w:adjustRightInd w:val="0"/>
              <w:snapToGrid w:val="0"/>
              <w:jc w:val="center"/>
              <w:rPr>
                <w:rFonts w:ascii="Arial" w:hAnsi="Arial" w:cs="Arial" w:eastAsiaTheme="minorEastAsia"/>
                <w:sz w:val="21"/>
                <w:szCs w:val="21"/>
              </w:rPr>
            </w:pPr>
          </w:p>
        </w:tc>
        <w:tc>
          <w:tcPr>
            <w:tcW w:w="657" w:type="pct"/>
            <w:vAlign w:val="center"/>
          </w:tcPr>
          <w:p w14:paraId="4B4876C8">
            <w:pPr>
              <w:adjustRightInd w:val="0"/>
              <w:snapToGrid w:val="0"/>
              <w:jc w:val="center"/>
              <w:rPr>
                <w:rFonts w:ascii="Arial" w:hAnsi="Arial" w:cs="Arial" w:eastAsiaTheme="minorEastAsia"/>
                <w:sz w:val="21"/>
                <w:szCs w:val="21"/>
              </w:rPr>
            </w:pPr>
          </w:p>
        </w:tc>
      </w:tr>
      <w:tr w14:paraId="122E4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9C5CAD7">
            <w:pPr>
              <w:adjustRightInd w:val="0"/>
              <w:snapToGrid w:val="0"/>
              <w:jc w:val="center"/>
              <w:rPr>
                <w:rFonts w:ascii="Arial" w:hAnsi="Arial" w:eastAsia="宋体" w:cs="Arial"/>
                <w:sz w:val="21"/>
                <w:szCs w:val="21"/>
              </w:rPr>
            </w:pPr>
          </w:p>
        </w:tc>
        <w:tc>
          <w:tcPr>
            <w:tcW w:w="887" w:type="pct"/>
            <w:vAlign w:val="center"/>
          </w:tcPr>
          <w:p w14:paraId="34039477">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863648A">
            <w:pPr>
              <w:adjustRightInd w:val="0"/>
              <w:snapToGrid w:val="0"/>
              <w:jc w:val="center"/>
              <w:rPr>
                <w:rFonts w:ascii="Arial" w:hAnsi="Arial" w:eastAsia="宋体" w:cs="Arial"/>
                <w:sz w:val="21"/>
                <w:szCs w:val="21"/>
                <w:lang w:bidi="ar"/>
              </w:rPr>
            </w:pPr>
          </w:p>
        </w:tc>
        <w:tc>
          <w:tcPr>
            <w:tcW w:w="906" w:type="pct"/>
            <w:vAlign w:val="center"/>
          </w:tcPr>
          <w:p w14:paraId="6814A44C">
            <w:pPr>
              <w:adjustRightInd w:val="0"/>
              <w:snapToGrid w:val="0"/>
              <w:jc w:val="center"/>
              <w:rPr>
                <w:rFonts w:ascii="Arial" w:hAnsi="Arial" w:eastAsia="宋体" w:cs="Arial"/>
                <w:sz w:val="21"/>
                <w:szCs w:val="21"/>
                <w:lang w:bidi="ar"/>
              </w:rPr>
            </w:pPr>
          </w:p>
        </w:tc>
        <w:tc>
          <w:tcPr>
            <w:tcW w:w="657" w:type="pct"/>
            <w:vAlign w:val="center"/>
          </w:tcPr>
          <w:p w14:paraId="7AEFF137">
            <w:pPr>
              <w:adjustRightInd w:val="0"/>
              <w:snapToGrid w:val="0"/>
              <w:jc w:val="center"/>
              <w:rPr>
                <w:rFonts w:ascii="Arial" w:hAnsi="Arial" w:eastAsia="宋体" w:cs="Arial"/>
                <w:sz w:val="21"/>
                <w:szCs w:val="21"/>
              </w:rPr>
            </w:pPr>
          </w:p>
        </w:tc>
        <w:tc>
          <w:tcPr>
            <w:tcW w:w="657" w:type="pct"/>
            <w:vAlign w:val="center"/>
          </w:tcPr>
          <w:p w14:paraId="6205C39D">
            <w:pPr>
              <w:adjustRightInd w:val="0"/>
              <w:snapToGrid w:val="0"/>
              <w:jc w:val="center"/>
              <w:rPr>
                <w:rFonts w:ascii="Arial" w:hAnsi="Arial" w:eastAsia="宋体" w:cs="Arial"/>
                <w:sz w:val="21"/>
                <w:szCs w:val="21"/>
              </w:rPr>
            </w:pPr>
          </w:p>
        </w:tc>
      </w:tr>
    </w:tbl>
    <w:p w14:paraId="14B1C090">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T5吹炼车间旁土壤现状监测结果   单位：mg/kg（pH除外）</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3"/>
        <w:gridCol w:w="1595"/>
        <w:gridCol w:w="1631"/>
        <w:gridCol w:w="1630"/>
        <w:gridCol w:w="1182"/>
        <w:gridCol w:w="1182"/>
      </w:tblGrid>
      <w:tr w14:paraId="290A1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6" w:type="pct"/>
            <w:vMerge w:val="restart"/>
            <w:vAlign w:val="center"/>
          </w:tcPr>
          <w:p w14:paraId="02351AD3">
            <w:pPr>
              <w:adjustRightInd w:val="0"/>
              <w:snapToGrid w:val="0"/>
              <w:jc w:val="center"/>
              <w:rPr>
                <w:rFonts w:ascii="Arial" w:hAnsi="Arial" w:eastAsia="宋体" w:cs="Arial"/>
                <w:kern w:val="0"/>
                <w:sz w:val="21"/>
                <w:szCs w:val="21"/>
              </w:rPr>
            </w:pPr>
          </w:p>
        </w:tc>
        <w:tc>
          <w:tcPr>
            <w:tcW w:w="2700" w:type="pct"/>
            <w:gridSpan w:val="3"/>
            <w:vAlign w:val="center"/>
          </w:tcPr>
          <w:p w14:paraId="4A52C135">
            <w:pPr>
              <w:adjustRightInd w:val="0"/>
              <w:snapToGrid w:val="0"/>
              <w:jc w:val="center"/>
              <w:rPr>
                <w:rFonts w:ascii="Arial" w:hAnsi="Arial" w:eastAsia="宋体" w:cs="Arial"/>
                <w:kern w:val="0"/>
                <w:sz w:val="21"/>
                <w:szCs w:val="21"/>
              </w:rPr>
            </w:pPr>
          </w:p>
        </w:tc>
        <w:tc>
          <w:tcPr>
            <w:tcW w:w="657" w:type="pct"/>
            <w:vMerge w:val="restart"/>
            <w:vAlign w:val="center"/>
          </w:tcPr>
          <w:p w14:paraId="63CADCB4">
            <w:pPr>
              <w:adjustRightInd w:val="0"/>
              <w:snapToGrid w:val="0"/>
              <w:jc w:val="center"/>
              <w:rPr>
                <w:rFonts w:ascii="Arial" w:hAnsi="Arial" w:eastAsia="宋体" w:cs="Arial"/>
                <w:kern w:val="0"/>
                <w:sz w:val="21"/>
                <w:szCs w:val="21"/>
              </w:rPr>
            </w:pPr>
          </w:p>
        </w:tc>
        <w:tc>
          <w:tcPr>
            <w:tcW w:w="657" w:type="pct"/>
            <w:vMerge w:val="restart"/>
            <w:vAlign w:val="center"/>
          </w:tcPr>
          <w:p w14:paraId="7881DD0C">
            <w:pPr>
              <w:adjustRightInd w:val="0"/>
              <w:snapToGrid w:val="0"/>
              <w:jc w:val="center"/>
              <w:rPr>
                <w:rFonts w:ascii="Arial" w:hAnsi="Arial" w:eastAsia="宋体" w:cs="Arial"/>
                <w:spacing w:val="10"/>
                <w:sz w:val="21"/>
                <w:szCs w:val="21"/>
              </w:rPr>
            </w:pPr>
          </w:p>
        </w:tc>
      </w:tr>
      <w:tr w14:paraId="31EE1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6" w:type="pct"/>
            <w:vMerge w:val="continue"/>
            <w:vAlign w:val="center"/>
          </w:tcPr>
          <w:p w14:paraId="035FE1B0">
            <w:pPr>
              <w:widowControl/>
              <w:adjustRightInd w:val="0"/>
              <w:snapToGrid w:val="0"/>
              <w:jc w:val="center"/>
              <w:rPr>
                <w:rFonts w:ascii="Arial" w:hAnsi="Arial" w:eastAsia="宋体" w:cs="Arial"/>
                <w:kern w:val="0"/>
                <w:sz w:val="21"/>
                <w:szCs w:val="21"/>
              </w:rPr>
            </w:pPr>
          </w:p>
        </w:tc>
        <w:tc>
          <w:tcPr>
            <w:tcW w:w="887" w:type="pct"/>
            <w:vAlign w:val="center"/>
          </w:tcPr>
          <w:p w14:paraId="1061C075">
            <w:pPr>
              <w:adjustRightInd w:val="0"/>
              <w:snapToGrid w:val="0"/>
              <w:jc w:val="center"/>
              <w:rPr>
                <w:rFonts w:ascii="Arial" w:hAnsi="Arial" w:eastAsia="宋体" w:cs="Arial"/>
                <w:sz w:val="21"/>
                <w:szCs w:val="21"/>
              </w:rPr>
            </w:pPr>
          </w:p>
        </w:tc>
        <w:tc>
          <w:tcPr>
            <w:tcW w:w="907" w:type="pct"/>
            <w:vAlign w:val="center"/>
          </w:tcPr>
          <w:p w14:paraId="1120FFBB">
            <w:pPr>
              <w:adjustRightInd w:val="0"/>
              <w:snapToGrid w:val="0"/>
              <w:jc w:val="center"/>
              <w:rPr>
                <w:rFonts w:ascii="Arial" w:hAnsi="Arial" w:eastAsia="宋体" w:cs="Arial"/>
                <w:sz w:val="21"/>
                <w:szCs w:val="21"/>
              </w:rPr>
            </w:pPr>
          </w:p>
        </w:tc>
        <w:tc>
          <w:tcPr>
            <w:tcW w:w="906" w:type="pct"/>
            <w:vAlign w:val="center"/>
          </w:tcPr>
          <w:p w14:paraId="39FF5764">
            <w:pPr>
              <w:adjustRightInd w:val="0"/>
              <w:snapToGrid w:val="0"/>
              <w:jc w:val="center"/>
              <w:rPr>
                <w:rFonts w:ascii="Arial" w:hAnsi="Arial" w:eastAsia="宋体" w:cs="Arial"/>
                <w:kern w:val="0"/>
                <w:sz w:val="21"/>
                <w:szCs w:val="21"/>
              </w:rPr>
            </w:pPr>
          </w:p>
        </w:tc>
        <w:tc>
          <w:tcPr>
            <w:tcW w:w="657" w:type="pct"/>
            <w:vMerge w:val="continue"/>
            <w:vAlign w:val="center"/>
          </w:tcPr>
          <w:p w14:paraId="13C8627C">
            <w:pPr>
              <w:widowControl/>
              <w:adjustRightInd w:val="0"/>
              <w:snapToGrid w:val="0"/>
              <w:jc w:val="center"/>
              <w:rPr>
                <w:rFonts w:ascii="Arial" w:hAnsi="Arial" w:eastAsia="宋体" w:cs="Arial"/>
                <w:kern w:val="0"/>
                <w:sz w:val="21"/>
                <w:szCs w:val="21"/>
              </w:rPr>
            </w:pPr>
          </w:p>
        </w:tc>
        <w:tc>
          <w:tcPr>
            <w:tcW w:w="657" w:type="pct"/>
            <w:vMerge w:val="continue"/>
            <w:vAlign w:val="center"/>
          </w:tcPr>
          <w:p w14:paraId="0976E9A5">
            <w:pPr>
              <w:widowControl/>
              <w:adjustRightInd w:val="0"/>
              <w:snapToGrid w:val="0"/>
              <w:jc w:val="center"/>
              <w:rPr>
                <w:rFonts w:ascii="Arial" w:hAnsi="Arial" w:eastAsia="宋体" w:cs="Arial"/>
                <w:kern w:val="0"/>
                <w:sz w:val="21"/>
                <w:szCs w:val="21"/>
              </w:rPr>
            </w:pPr>
          </w:p>
        </w:tc>
      </w:tr>
      <w:tr w14:paraId="35FF9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584A1B3">
            <w:pPr>
              <w:adjustRightInd w:val="0"/>
              <w:snapToGrid w:val="0"/>
              <w:jc w:val="center"/>
              <w:rPr>
                <w:rFonts w:ascii="Arial" w:hAnsi="Arial" w:eastAsia="宋体" w:cs="Arial"/>
                <w:sz w:val="21"/>
                <w:szCs w:val="21"/>
              </w:rPr>
            </w:pPr>
          </w:p>
        </w:tc>
        <w:tc>
          <w:tcPr>
            <w:tcW w:w="887" w:type="pct"/>
            <w:vAlign w:val="center"/>
          </w:tcPr>
          <w:p w14:paraId="1C3C1B7C">
            <w:pPr>
              <w:adjustRightInd w:val="0"/>
              <w:snapToGrid w:val="0"/>
              <w:jc w:val="center"/>
              <w:rPr>
                <w:rFonts w:ascii="Arial" w:hAnsi="Arial" w:cs="Arial"/>
                <w:sz w:val="21"/>
                <w:szCs w:val="21"/>
              </w:rPr>
            </w:pPr>
          </w:p>
        </w:tc>
        <w:tc>
          <w:tcPr>
            <w:tcW w:w="907" w:type="pct"/>
            <w:vAlign w:val="center"/>
          </w:tcPr>
          <w:p w14:paraId="48F71427">
            <w:pPr>
              <w:adjustRightInd w:val="0"/>
              <w:snapToGrid w:val="0"/>
              <w:jc w:val="center"/>
              <w:rPr>
                <w:rFonts w:ascii="Arial" w:hAnsi="Arial" w:cs="Arial"/>
                <w:sz w:val="21"/>
                <w:szCs w:val="21"/>
              </w:rPr>
            </w:pPr>
          </w:p>
        </w:tc>
        <w:tc>
          <w:tcPr>
            <w:tcW w:w="906" w:type="pct"/>
            <w:vAlign w:val="center"/>
          </w:tcPr>
          <w:p w14:paraId="49CCE72C">
            <w:pPr>
              <w:adjustRightInd w:val="0"/>
              <w:snapToGrid w:val="0"/>
              <w:jc w:val="center"/>
              <w:rPr>
                <w:rFonts w:ascii="Arial" w:hAnsi="Arial" w:cs="Arial"/>
                <w:sz w:val="21"/>
                <w:szCs w:val="21"/>
              </w:rPr>
            </w:pPr>
          </w:p>
        </w:tc>
        <w:tc>
          <w:tcPr>
            <w:tcW w:w="657" w:type="pct"/>
            <w:vAlign w:val="center"/>
          </w:tcPr>
          <w:p w14:paraId="54CD5601">
            <w:pPr>
              <w:adjustRightInd w:val="0"/>
              <w:snapToGrid w:val="0"/>
              <w:jc w:val="center"/>
              <w:rPr>
                <w:rFonts w:ascii="Arial" w:hAnsi="Arial" w:eastAsia="宋体" w:cs="Arial"/>
                <w:sz w:val="21"/>
                <w:szCs w:val="21"/>
              </w:rPr>
            </w:pPr>
          </w:p>
        </w:tc>
        <w:tc>
          <w:tcPr>
            <w:tcW w:w="657" w:type="pct"/>
            <w:vAlign w:val="center"/>
          </w:tcPr>
          <w:p w14:paraId="64694817">
            <w:pPr>
              <w:adjustRightInd w:val="0"/>
              <w:snapToGrid w:val="0"/>
              <w:jc w:val="center"/>
              <w:rPr>
                <w:rFonts w:ascii="Arial" w:hAnsi="Arial" w:eastAsia="宋体" w:cs="Arial"/>
                <w:sz w:val="21"/>
                <w:szCs w:val="21"/>
              </w:rPr>
            </w:pPr>
          </w:p>
        </w:tc>
      </w:tr>
      <w:tr w14:paraId="60035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87D6145">
            <w:pPr>
              <w:adjustRightInd w:val="0"/>
              <w:snapToGrid w:val="0"/>
              <w:jc w:val="center"/>
              <w:rPr>
                <w:rFonts w:ascii="Arial" w:hAnsi="Arial" w:eastAsia="宋体" w:cs="Arial"/>
                <w:sz w:val="21"/>
                <w:szCs w:val="21"/>
              </w:rPr>
            </w:pPr>
          </w:p>
        </w:tc>
        <w:tc>
          <w:tcPr>
            <w:tcW w:w="887" w:type="pct"/>
            <w:vAlign w:val="center"/>
          </w:tcPr>
          <w:p w14:paraId="6D096D61">
            <w:pPr>
              <w:adjustRightInd w:val="0"/>
              <w:snapToGrid w:val="0"/>
              <w:jc w:val="center"/>
              <w:rPr>
                <w:rFonts w:ascii="Arial" w:hAnsi="Arial" w:cs="Arial"/>
                <w:sz w:val="21"/>
                <w:szCs w:val="21"/>
              </w:rPr>
            </w:pPr>
          </w:p>
        </w:tc>
        <w:tc>
          <w:tcPr>
            <w:tcW w:w="907" w:type="pct"/>
            <w:vAlign w:val="center"/>
          </w:tcPr>
          <w:p w14:paraId="1DB60FDC">
            <w:pPr>
              <w:adjustRightInd w:val="0"/>
              <w:snapToGrid w:val="0"/>
              <w:jc w:val="center"/>
              <w:rPr>
                <w:rFonts w:ascii="Arial" w:hAnsi="Arial" w:cs="Arial"/>
                <w:sz w:val="21"/>
                <w:szCs w:val="21"/>
              </w:rPr>
            </w:pPr>
          </w:p>
        </w:tc>
        <w:tc>
          <w:tcPr>
            <w:tcW w:w="906" w:type="pct"/>
            <w:vAlign w:val="center"/>
          </w:tcPr>
          <w:p w14:paraId="6C8B3ADE">
            <w:pPr>
              <w:adjustRightInd w:val="0"/>
              <w:snapToGrid w:val="0"/>
              <w:jc w:val="center"/>
              <w:rPr>
                <w:rFonts w:ascii="Arial" w:hAnsi="Arial" w:cs="Arial"/>
                <w:sz w:val="21"/>
                <w:szCs w:val="21"/>
              </w:rPr>
            </w:pPr>
          </w:p>
        </w:tc>
        <w:tc>
          <w:tcPr>
            <w:tcW w:w="657" w:type="pct"/>
            <w:vAlign w:val="center"/>
          </w:tcPr>
          <w:p w14:paraId="345E4F95">
            <w:pPr>
              <w:adjustRightInd w:val="0"/>
              <w:snapToGrid w:val="0"/>
              <w:jc w:val="center"/>
              <w:rPr>
                <w:rFonts w:ascii="Arial" w:hAnsi="Arial" w:eastAsia="宋体" w:cs="Arial"/>
                <w:sz w:val="21"/>
                <w:szCs w:val="21"/>
              </w:rPr>
            </w:pPr>
          </w:p>
        </w:tc>
        <w:tc>
          <w:tcPr>
            <w:tcW w:w="657" w:type="pct"/>
            <w:vAlign w:val="center"/>
          </w:tcPr>
          <w:p w14:paraId="211FE790">
            <w:pPr>
              <w:adjustRightInd w:val="0"/>
              <w:snapToGrid w:val="0"/>
              <w:jc w:val="center"/>
              <w:rPr>
                <w:rFonts w:ascii="Arial" w:hAnsi="Arial" w:eastAsia="宋体" w:cs="Arial"/>
                <w:sz w:val="21"/>
                <w:szCs w:val="21"/>
              </w:rPr>
            </w:pPr>
          </w:p>
        </w:tc>
      </w:tr>
      <w:tr w14:paraId="470F7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A2FADF8">
            <w:pPr>
              <w:adjustRightInd w:val="0"/>
              <w:snapToGrid w:val="0"/>
              <w:jc w:val="center"/>
              <w:rPr>
                <w:rFonts w:ascii="Arial" w:hAnsi="Arial" w:eastAsia="宋体" w:cs="Arial"/>
                <w:sz w:val="21"/>
                <w:szCs w:val="21"/>
              </w:rPr>
            </w:pPr>
          </w:p>
        </w:tc>
        <w:tc>
          <w:tcPr>
            <w:tcW w:w="887" w:type="pct"/>
            <w:vAlign w:val="center"/>
          </w:tcPr>
          <w:p w14:paraId="1231F24A">
            <w:pPr>
              <w:adjustRightInd w:val="0"/>
              <w:snapToGrid w:val="0"/>
              <w:jc w:val="center"/>
              <w:rPr>
                <w:rFonts w:ascii="Arial" w:hAnsi="Arial" w:cs="Arial"/>
                <w:sz w:val="21"/>
                <w:szCs w:val="21"/>
              </w:rPr>
            </w:pPr>
          </w:p>
        </w:tc>
        <w:tc>
          <w:tcPr>
            <w:tcW w:w="907" w:type="pct"/>
            <w:vAlign w:val="center"/>
          </w:tcPr>
          <w:p w14:paraId="2128C9A4">
            <w:pPr>
              <w:adjustRightInd w:val="0"/>
              <w:snapToGrid w:val="0"/>
              <w:jc w:val="center"/>
              <w:rPr>
                <w:rFonts w:ascii="Arial" w:hAnsi="Arial" w:cs="Arial"/>
                <w:sz w:val="21"/>
                <w:szCs w:val="21"/>
              </w:rPr>
            </w:pPr>
          </w:p>
        </w:tc>
        <w:tc>
          <w:tcPr>
            <w:tcW w:w="906" w:type="pct"/>
            <w:vAlign w:val="center"/>
          </w:tcPr>
          <w:p w14:paraId="34CC5A5E">
            <w:pPr>
              <w:adjustRightInd w:val="0"/>
              <w:snapToGrid w:val="0"/>
              <w:jc w:val="center"/>
              <w:rPr>
                <w:rFonts w:ascii="Arial" w:hAnsi="Arial" w:cs="Arial"/>
                <w:sz w:val="21"/>
                <w:szCs w:val="21"/>
              </w:rPr>
            </w:pPr>
          </w:p>
        </w:tc>
        <w:tc>
          <w:tcPr>
            <w:tcW w:w="657" w:type="pct"/>
            <w:vAlign w:val="center"/>
          </w:tcPr>
          <w:p w14:paraId="1EB38E0F">
            <w:pPr>
              <w:adjustRightInd w:val="0"/>
              <w:snapToGrid w:val="0"/>
              <w:jc w:val="center"/>
              <w:rPr>
                <w:rFonts w:ascii="Arial" w:hAnsi="Arial" w:eastAsia="宋体" w:cs="Arial"/>
                <w:sz w:val="21"/>
                <w:szCs w:val="21"/>
              </w:rPr>
            </w:pPr>
          </w:p>
        </w:tc>
        <w:tc>
          <w:tcPr>
            <w:tcW w:w="657" w:type="pct"/>
            <w:vAlign w:val="center"/>
          </w:tcPr>
          <w:p w14:paraId="695D9AFB">
            <w:pPr>
              <w:adjustRightInd w:val="0"/>
              <w:snapToGrid w:val="0"/>
              <w:jc w:val="center"/>
              <w:rPr>
                <w:rFonts w:ascii="Arial" w:hAnsi="Arial" w:eastAsia="宋体" w:cs="Arial"/>
                <w:sz w:val="21"/>
                <w:szCs w:val="21"/>
              </w:rPr>
            </w:pPr>
          </w:p>
        </w:tc>
      </w:tr>
      <w:tr w14:paraId="5A44E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878B79B">
            <w:pPr>
              <w:adjustRightInd w:val="0"/>
              <w:snapToGrid w:val="0"/>
              <w:jc w:val="center"/>
              <w:rPr>
                <w:rFonts w:ascii="Arial" w:hAnsi="Arial" w:eastAsia="宋体" w:cs="Arial"/>
                <w:sz w:val="21"/>
                <w:szCs w:val="21"/>
              </w:rPr>
            </w:pPr>
          </w:p>
        </w:tc>
        <w:tc>
          <w:tcPr>
            <w:tcW w:w="887" w:type="pct"/>
            <w:vAlign w:val="center"/>
          </w:tcPr>
          <w:p w14:paraId="0A289119">
            <w:pPr>
              <w:adjustRightInd w:val="0"/>
              <w:snapToGrid w:val="0"/>
              <w:jc w:val="center"/>
              <w:rPr>
                <w:rFonts w:ascii="Arial" w:hAnsi="Arial" w:cs="Arial"/>
                <w:sz w:val="21"/>
                <w:szCs w:val="21"/>
              </w:rPr>
            </w:pPr>
          </w:p>
        </w:tc>
        <w:tc>
          <w:tcPr>
            <w:tcW w:w="907" w:type="pct"/>
            <w:vAlign w:val="center"/>
          </w:tcPr>
          <w:p w14:paraId="5153331D">
            <w:pPr>
              <w:adjustRightInd w:val="0"/>
              <w:snapToGrid w:val="0"/>
              <w:jc w:val="center"/>
              <w:rPr>
                <w:rFonts w:ascii="Arial" w:hAnsi="Arial" w:cs="Arial"/>
                <w:sz w:val="21"/>
                <w:szCs w:val="21"/>
              </w:rPr>
            </w:pPr>
          </w:p>
        </w:tc>
        <w:tc>
          <w:tcPr>
            <w:tcW w:w="906" w:type="pct"/>
            <w:vAlign w:val="center"/>
          </w:tcPr>
          <w:p w14:paraId="7FDCC0DD">
            <w:pPr>
              <w:adjustRightInd w:val="0"/>
              <w:snapToGrid w:val="0"/>
              <w:jc w:val="center"/>
              <w:rPr>
                <w:rFonts w:ascii="Arial" w:hAnsi="Arial" w:cs="Arial"/>
                <w:sz w:val="21"/>
                <w:szCs w:val="21"/>
              </w:rPr>
            </w:pPr>
          </w:p>
        </w:tc>
        <w:tc>
          <w:tcPr>
            <w:tcW w:w="657" w:type="pct"/>
            <w:vAlign w:val="center"/>
          </w:tcPr>
          <w:p w14:paraId="52DFDC9D">
            <w:pPr>
              <w:adjustRightInd w:val="0"/>
              <w:snapToGrid w:val="0"/>
              <w:jc w:val="center"/>
              <w:rPr>
                <w:rFonts w:ascii="Arial" w:hAnsi="Arial" w:eastAsia="宋体" w:cs="Arial"/>
                <w:sz w:val="21"/>
                <w:szCs w:val="21"/>
              </w:rPr>
            </w:pPr>
          </w:p>
        </w:tc>
        <w:tc>
          <w:tcPr>
            <w:tcW w:w="657" w:type="pct"/>
            <w:vAlign w:val="center"/>
          </w:tcPr>
          <w:p w14:paraId="711F5676">
            <w:pPr>
              <w:adjustRightInd w:val="0"/>
              <w:snapToGrid w:val="0"/>
              <w:jc w:val="center"/>
              <w:rPr>
                <w:rFonts w:ascii="Arial" w:hAnsi="Arial" w:eastAsia="宋体" w:cs="Arial"/>
                <w:sz w:val="21"/>
                <w:szCs w:val="21"/>
              </w:rPr>
            </w:pPr>
          </w:p>
        </w:tc>
      </w:tr>
      <w:tr w14:paraId="388A3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17E3AE8">
            <w:pPr>
              <w:adjustRightInd w:val="0"/>
              <w:snapToGrid w:val="0"/>
              <w:jc w:val="center"/>
              <w:rPr>
                <w:rFonts w:ascii="Arial" w:hAnsi="Arial" w:eastAsia="宋体" w:cs="Arial"/>
                <w:sz w:val="21"/>
                <w:szCs w:val="21"/>
              </w:rPr>
            </w:pPr>
          </w:p>
        </w:tc>
        <w:tc>
          <w:tcPr>
            <w:tcW w:w="887" w:type="pct"/>
            <w:vAlign w:val="center"/>
          </w:tcPr>
          <w:p w14:paraId="02A695AD">
            <w:pPr>
              <w:adjustRightInd w:val="0"/>
              <w:snapToGrid w:val="0"/>
              <w:jc w:val="center"/>
              <w:rPr>
                <w:rFonts w:ascii="Arial" w:hAnsi="Arial" w:cs="Arial"/>
                <w:sz w:val="21"/>
                <w:szCs w:val="21"/>
              </w:rPr>
            </w:pPr>
          </w:p>
        </w:tc>
        <w:tc>
          <w:tcPr>
            <w:tcW w:w="907" w:type="pct"/>
            <w:vAlign w:val="center"/>
          </w:tcPr>
          <w:p w14:paraId="4BC8B496">
            <w:pPr>
              <w:adjustRightInd w:val="0"/>
              <w:snapToGrid w:val="0"/>
              <w:jc w:val="center"/>
              <w:rPr>
                <w:rFonts w:ascii="Arial" w:hAnsi="Arial" w:cs="Arial"/>
                <w:sz w:val="21"/>
                <w:szCs w:val="21"/>
              </w:rPr>
            </w:pPr>
          </w:p>
        </w:tc>
        <w:tc>
          <w:tcPr>
            <w:tcW w:w="906" w:type="pct"/>
            <w:vAlign w:val="center"/>
          </w:tcPr>
          <w:p w14:paraId="6DC4B4CF">
            <w:pPr>
              <w:adjustRightInd w:val="0"/>
              <w:snapToGrid w:val="0"/>
              <w:jc w:val="center"/>
              <w:rPr>
                <w:rFonts w:ascii="Arial" w:hAnsi="Arial" w:cs="Arial"/>
                <w:sz w:val="21"/>
                <w:szCs w:val="21"/>
              </w:rPr>
            </w:pPr>
          </w:p>
        </w:tc>
        <w:tc>
          <w:tcPr>
            <w:tcW w:w="657" w:type="pct"/>
            <w:vAlign w:val="center"/>
          </w:tcPr>
          <w:p w14:paraId="2E5963A2">
            <w:pPr>
              <w:adjustRightInd w:val="0"/>
              <w:snapToGrid w:val="0"/>
              <w:jc w:val="center"/>
              <w:rPr>
                <w:rFonts w:ascii="Arial" w:hAnsi="Arial" w:eastAsia="宋体" w:cs="Arial"/>
                <w:sz w:val="21"/>
                <w:szCs w:val="21"/>
              </w:rPr>
            </w:pPr>
          </w:p>
        </w:tc>
        <w:tc>
          <w:tcPr>
            <w:tcW w:w="657" w:type="pct"/>
            <w:vAlign w:val="center"/>
          </w:tcPr>
          <w:p w14:paraId="36501033">
            <w:pPr>
              <w:adjustRightInd w:val="0"/>
              <w:snapToGrid w:val="0"/>
              <w:jc w:val="center"/>
              <w:rPr>
                <w:rFonts w:ascii="Arial" w:hAnsi="Arial" w:eastAsia="宋体" w:cs="Arial"/>
                <w:sz w:val="21"/>
                <w:szCs w:val="21"/>
              </w:rPr>
            </w:pPr>
          </w:p>
        </w:tc>
      </w:tr>
      <w:tr w14:paraId="6D6DB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AC276C8">
            <w:pPr>
              <w:adjustRightInd w:val="0"/>
              <w:snapToGrid w:val="0"/>
              <w:jc w:val="center"/>
              <w:rPr>
                <w:rFonts w:ascii="Arial" w:hAnsi="Arial" w:eastAsia="宋体" w:cs="Arial"/>
                <w:sz w:val="21"/>
                <w:szCs w:val="21"/>
              </w:rPr>
            </w:pPr>
          </w:p>
        </w:tc>
        <w:tc>
          <w:tcPr>
            <w:tcW w:w="887" w:type="pct"/>
            <w:vAlign w:val="center"/>
          </w:tcPr>
          <w:p w14:paraId="0153A5C9">
            <w:pPr>
              <w:adjustRightInd w:val="0"/>
              <w:snapToGrid w:val="0"/>
              <w:jc w:val="center"/>
              <w:rPr>
                <w:rFonts w:ascii="Arial" w:hAnsi="Arial" w:cs="Arial"/>
                <w:sz w:val="21"/>
                <w:szCs w:val="21"/>
              </w:rPr>
            </w:pPr>
          </w:p>
        </w:tc>
        <w:tc>
          <w:tcPr>
            <w:tcW w:w="907" w:type="pct"/>
            <w:vAlign w:val="center"/>
          </w:tcPr>
          <w:p w14:paraId="010BBC4E">
            <w:pPr>
              <w:adjustRightInd w:val="0"/>
              <w:snapToGrid w:val="0"/>
              <w:jc w:val="center"/>
              <w:rPr>
                <w:rFonts w:ascii="Arial" w:hAnsi="Arial" w:cs="Arial"/>
                <w:sz w:val="21"/>
                <w:szCs w:val="21"/>
              </w:rPr>
            </w:pPr>
          </w:p>
        </w:tc>
        <w:tc>
          <w:tcPr>
            <w:tcW w:w="906" w:type="pct"/>
            <w:vAlign w:val="center"/>
          </w:tcPr>
          <w:p w14:paraId="3A43BD3A">
            <w:pPr>
              <w:adjustRightInd w:val="0"/>
              <w:snapToGrid w:val="0"/>
              <w:jc w:val="center"/>
              <w:rPr>
                <w:rFonts w:ascii="Arial" w:hAnsi="Arial" w:cs="Arial"/>
                <w:sz w:val="21"/>
                <w:szCs w:val="21"/>
              </w:rPr>
            </w:pPr>
          </w:p>
        </w:tc>
        <w:tc>
          <w:tcPr>
            <w:tcW w:w="657" w:type="pct"/>
            <w:vAlign w:val="center"/>
          </w:tcPr>
          <w:p w14:paraId="53BF2495">
            <w:pPr>
              <w:adjustRightInd w:val="0"/>
              <w:snapToGrid w:val="0"/>
              <w:jc w:val="center"/>
              <w:rPr>
                <w:rFonts w:ascii="Arial" w:hAnsi="Arial" w:eastAsia="宋体" w:cs="Arial"/>
                <w:sz w:val="21"/>
                <w:szCs w:val="21"/>
              </w:rPr>
            </w:pPr>
          </w:p>
        </w:tc>
        <w:tc>
          <w:tcPr>
            <w:tcW w:w="657" w:type="pct"/>
            <w:vAlign w:val="center"/>
          </w:tcPr>
          <w:p w14:paraId="66EB56CC">
            <w:pPr>
              <w:adjustRightInd w:val="0"/>
              <w:snapToGrid w:val="0"/>
              <w:jc w:val="center"/>
              <w:rPr>
                <w:rFonts w:ascii="Arial" w:hAnsi="Arial" w:eastAsia="宋体" w:cs="Arial"/>
                <w:sz w:val="21"/>
                <w:szCs w:val="21"/>
              </w:rPr>
            </w:pPr>
          </w:p>
        </w:tc>
      </w:tr>
      <w:tr w14:paraId="4A6EB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4BE6E33">
            <w:pPr>
              <w:adjustRightInd w:val="0"/>
              <w:snapToGrid w:val="0"/>
              <w:jc w:val="center"/>
              <w:rPr>
                <w:rFonts w:ascii="Arial" w:hAnsi="Arial" w:eastAsia="宋体" w:cs="Arial"/>
                <w:sz w:val="21"/>
                <w:szCs w:val="21"/>
              </w:rPr>
            </w:pPr>
          </w:p>
        </w:tc>
        <w:tc>
          <w:tcPr>
            <w:tcW w:w="887" w:type="pct"/>
            <w:vAlign w:val="center"/>
          </w:tcPr>
          <w:p w14:paraId="38965DE3">
            <w:pPr>
              <w:adjustRightInd w:val="0"/>
              <w:snapToGrid w:val="0"/>
              <w:jc w:val="center"/>
              <w:rPr>
                <w:rFonts w:ascii="Arial" w:hAnsi="Arial" w:cs="Arial"/>
                <w:sz w:val="21"/>
                <w:szCs w:val="21"/>
              </w:rPr>
            </w:pPr>
          </w:p>
        </w:tc>
        <w:tc>
          <w:tcPr>
            <w:tcW w:w="907" w:type="pct"/>
            <w:vAlign w:val="center"/>
          </w:tcPr>
          <w:p w14:paraId="7B9CB29D">
            <w:pPr>
              <w:adjustRightInd w:val="0"/>
              <w:snapToGrid w:val="0"/>
              <w:jc w:val="center"/>
              <w:rPr>
                <w:rFonts w:ascii="Arial" w:hAnsi="Arial" w:cs="Arial"/>
                <w:sz w:val="21"/>
                <w:szCs w:val="21"/>
              </w:rPr>
            </w:pPr>
          </w:p>
        </w:tc>
        <w:tc>
          <w:tcPr>
            <w:tcW w:w="906" w:type="pct"/>
            <w:vAlign w:val="center"/>
          </w:tcPr>
          <w:p w14:paraId="457D397B">
            <w:pPr>
              <w:adjustRightInd w:val="0"/>
              <w:snapToGrid w:val="0"/>
              <w:jc w:val="center"/>
              <w:rPr>
                <w:rFonts w:ascii="Arial" w:hAnsi="Arial" w:cs="Arial"/>
                <w:sz w:val="21"/>
                <w:szCs w:val="21"/>
              </w:rPr>
            </w:pPr>
          </w:p>
        </w:tc>
        <w:tc>
          <w:tcPr>
            <w:tcW w:w="657" w:type="pct"/>
            <w:vAlign w:val="center"/>
          </w:tcPr>
          <w:p w14:paraId="7012F4AE">
            <w:pPr>
              <w:adjustRightInd w:val="0"/>
              <w:snapToGrid w:val="0"/>
              <w:jc w:val="center"/>
              <w:rPr>
                <w:rFonts w:ascii="Arial" w:hAnsi="Arial" w:eastAsia="宋体" w:cs="Arial"/>
                <w:sz w:val="21"/>
                <w:szCs w:val="21"/>
              </w:rPr>
            </w:pPr>
          </w:p>
        </w:tc>
        <w:tc>
          <w:tcPr>
            <w:tcW w:w="657" w:type="pct"/>
            <w:vAlign w:val="center"/>
          </w:tcPr>
          <w:p w14:paraId="22419E9D">
            <w:pPr>
              <w:adjustRightInd w:val="0"/>
              <w:snapToGrid w:val="0"/>
              <w:jc w:val="center"/>
              <w:rPr>
                <w:rFonts w:ascii="Arial" w:hAnsi="Arial" w:eastAsia="宋体" w:cs="Arial"/>
                <w:sz w:val="21"/>
                <w:szCs w:val="21"/>
              </w:rPr>
            </w:pPr>
          </w:p>
        </w:tc>
      </w:tr>
      <w:tr w14:paraId="05DD6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4E1E74B">
            <w:pPr>
              <w:adjustRightInd w:val="0"/>
              <w:snapToGrid w:val="0"/>
              <w:jc w:val="center"/>
              <w:rPr>
                <w:rFonts w:ascii="Arial" w:hAnsi="Arial" w:eastAsia="宋体" w:cs="Arial"/>
                <w:sz w:val="21"/>
                <w:szCs w:val="21"/>
              </w:rPr>
            </w:pPr>
          </w:p>
        </w:tc>
        <w:tc>
          <w:tcPr>
            <w:tcW w:w="887" w:type="pct"/>
            <w:vAlign w:val="center"/>
          </w:tcPr>
          <w:p w14:paraId="3972ED8E">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9103B1A">
            <w:pPr>
              <w:adjustRightInd w:val="0"/>
              <w:snapToGrid w:val="0"/>
              <w:jc w:val="center"/>
              <w:rPr>
                <w:rFonts w:ascii="Arial" w:hAnsi="Arial" w:eastAsia="宋体" w:cs="Arial"/>
                <w:kern w:val="0"/>
                <w:sz w:val="21"/>
                <w:szCs w:val="21"/>
              </w:rPr>
            </w:pPr>
          </w:p>
        </w:tc>
        <w:tc>
          <w:tcPr>
            <w:tcW w:w="906" w:type="pct"/>
            <w:vAlign w:val="center"/>
          </w:tcPr>
          <w:p w14:paraId="4EB8181B">
            <w:pPr>
              <w:adjustRightInd w:val="0"/>
              <w:snapToGrid w:val="0"/>
              <w:jc w:val="center"/>
              <w:rPr>
                <w:rFonts w:ascii="Arial" w:hAnsi="Arial" w:eastAsia="宋体" w:cs="Arial"/>
                <w:kern w:val="0"/>
                <w:sz w:val="21"/>
                <w:szCs w:val="21"/>
              </w:rPr>
            </w:pPr>
          </w:p>
        </w:tc>
        <w:tc>
          <w:tcPr>
            <w:tcW w:w="657" w:type="pct"/>
            <w:vAlign w:val="center"/>
          </w:tcPr>
          <w:p w14:paraId="07819E7A">
            <w:pPr>
              <w:adjustRightInd w:val="0"/>
              <w:snapToGrid w:val="0"/>
              <w:jc w:val="center"/>
              <w:rPr>
                <w:rFonts w:ascii="Arial" w:hAnsi="Arial" w:eastAsia="宋体" w:cs="Arial"/>
                <w:sz w:val="21"/>
                <w:szCs w:val="21"/>
              </w:rPr>
            </w:pPr>
          </w:p>
        </w:tc>
        <w:tc>
          <w:tcPr>
            <w:tcW w:w="657" w:type="pct"/>
            <w:vAlign w:val="center"/>
          </w:tcPr>
          <w:p w14:paraId="12A9598F">
            <w:pPr>
              <w:adjustRightInd w:val="0"/>
              <w:snapToGrid w:val="0"/>
              <w:jc w:val="center"/>
              <w:rPr>
                <w:rFonts w:ascii="Arial" w:hAnsi="Arial" w:eastAsia="宋体" w:cs="Arial"/>
                <w:sz w:val="21"/>
                <w:szCs w:val="21"/>
              </w:rPr>
            </w:pPr>
          </w:p>
        </w:tc>
      </w:tr>
      <w:tr w14:paraId="5116A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AF87213">
            <w:pPr>
              <w:adjustRightInd w:val="0"/>
              <w:snapToGrid w:val="0"/>
              <w:jc w:val="center"/>
              <w:rPr>
                <w:rFonts w:ascii="Arial" w:hAnsi="Arial" w:eastAsia="宋体" w:cs="Arial"/>
                <w:sz w:val="21"/>
                <w:szCs w:val="21"/>
              </w:rPr>
            </w:pPr>
          </w:p>
        </w:tc>
        <w:tc>
          <w:tcPr>
            <w:tcW w:w="887" w:type="pct"/>
            <w:vAlign w:val="center"/>
          </w:tcPr>
          <w:p w14:paraId="483D0E48">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959AFA7">
            <w:pPr>
              <w:adjustRightInd w:val="0"/>
              <w:snapToGrid w:val="0"/>
              <w:jc w:val="center"/>
              <w:rPr>
                <w:rFonts w:ascii="Arial" w:hAnsi="Arial" w:eastAsia="宋体" w:cs="Arial"/>
                <w:kern w:val="0"/>
                <w:sz w:val="21"/>
                <w:szCs w:val="21"/>
              </w:rPr>
            </w:pPr>
          </w:p>
        </w:tc>
        <w:tc>
          <w:tcPr>
            <w:tcW w:w="906" w:type="pct"/>
            <w:vAlign w:val="center"/>
          </w:tcPr>
          <w:p w14:paraId="30B48F28">
            <w:pPr>
              <w:adjustRightInd w:val="0"/>
              <w:snapToGrid w:val="0"/>
              <w:jc w:val="center"/>
              <w:rPr>
                <w:rFonts w:ascii="Arial" w:hAnsi="Arial" w:eastAsia="宋体" w:cs="Arial"/>
                <w:kern w:val="0"/>
                <w:sz w:val="21"/>
                <w:szCs w:val="21"/>
              </w:rPr>
            </w:pPr>
          </w:p>
        </w:tc>
        <w:tc>
          <w:tcPr>
            <w:tcW w:w="657" w:type="pct"/>
            <w:vAlign w:val="center"/>
          </w:tcPr>
          <w:p w14:paraId="19E4C42E">
            <w:pPr>
              <w:adjustRightInd w:val="0"/>
              <w:snapToGrid w:val="0"/>
              <w:jc w:val="center"/>
              <w:rPr>
                <w:rFonts w:ascii="Arial" w:hAnsi="Arial" w:eastAsia="宋体" w:cs="Arial"/>
                <w:sz w:val="21"/>
                <w:szCs w:val="21"/>
              </w:rPr>
            </w:pPr>
          </w:p>
        </w:tc>
        <w:tc>
          <w:tcPr>
            <w:tcW w:w="657" w:type="pct"/>
            <w:vAlign w:val="center"/>
          </w:tcPr>
          <w:p w14:paraId="7846D999">
            <w:pPr>
              <w:adjustRightInd w:val="0"/>
              <w:snapToGrid w:val="0"/>
              <w:jc w:val="center"/>
              <w:rPr>
                <w:rFonts w:ascii="Arial" w:hAnsi="Arial" w:eastAsia="宋体" w:cs="Arial"/>
                <w:sz w:val="21"/>
                <w:szCs w:val="21"/>
              </w:rPr>
            </w:pPr>
          </w:p>
        </w:tc>
      </w:tr>
      <w:tr w14:paraId="7C1FF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D365910">
            <w:pPr>
              <w:adjustRightInd w:val="0"/>
              <w:snapToGrid w:val="0"/>
              <w:jc w:val="center"/>
              <w:rPr>
                <w:rFonts w:ascii="Arial" w:hAnsi="Arial" w:eastAsia="宋体" w:cs="Arial"/>
                <w:sz w:val="21"/>
                <w:szCs w:val="21"/>
              </w:rPr>
            </w:pPr>
          </w:p>
        </w:tc>
        <w:tc>
          <w:tcPr>
            <w:tcW w:w="887" w:type="pct"/>
            <w:vAlign w:val="center"/>
          </w:tcPr>
          <w:p w14:paraId="5903ACB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D0552D3">
            <w:pPr>
              <w:adjustRightInd w:val="0"/>
              <w:snapToGrid w:val="0"/>
              <w:jc w:val="center"/>
              <w:rPr>
                <w:rFonts w:ascii="Arial" w:hAnsi="Arial" w:eastAsia="宋体" w:cs="Arial"/>
                <w:kern w:val="0"/>
                <w:sz w:val="21"/>
                <w:szCs w:val="21"/>
              </w:rPr>
            </w:pPr>
          </w:p>
        </w:tc>
        <w:tc>
          <w:tcPr>
            <w:tcW w:w="906" w:type="pct"/>
            <w:vAlign w:val="center"/>
          </w:tcPr>
          <w:p w14:paraId="504755E6">
            <w:pPr>
              <w:adjustRightInd w:val="0"/>
              <w:snapToGrid w:val="0"/>
              <w:jc w:val="center"/>
              <w:rPr>
                <w:rFonts w:ascii="Arial" w:hAnsi="Arial" w:eastAsia="宋体" w:cs="Arial"/>
                <w:kern w:val="0"/>
                <w:sz w:val="21"/>
                <w:szCs w:val="21"/>
              </w:rPr>
            </w:pPr>
          </w:p>
        </w:tc>
        <w:tc>
          <w:tcPr>
            <w:tcW w:w="657" w:type="pct"/>
            <w:vAlign w:val="center"/>
          </w:tcPr>
          <w:p w14:paraId="5BB72C19">
            <w:pPr>
              <w:adjustRightInd w:val="0"/>
              <w:snapToGrid w:val="0"/>
              <w:jc w:val="center"/>
              <w:rPr>
                <w:rFonts w:ascii="Arial" w:hAnsi="Arial" w:eastAsia="宋体" w:cs="Arial"/>
                <w:sz w:val="21"/>
                <w:szCs w:val="21"/>
              </w:rPr>
            </w:pPr>
          </w:p>
        </w:tc>
        <w:tc>
          <w:tcPr>
            <w:tcW w:w="657" w:type="pct"/>
            <w:vAlign w:val="center"/>
          </w:tcPr>
          <w:p w14:paraId="1D23A93B">
            <w:pPr>
              <w:adjustRightInd w:val="0"/>
              <w:snapToGrid w:val="0"/>
              <w:jc w:val="center"/>
              <w:rPr>
                <w:rFonts w:ascii="Arial" w:hAnsi="Arial" w:eastAsia="宋体" w:cs="Arial"/>
                <w:sz w:val="21"/>
                <w:szCs w:val="21"/>
              </w:rPr>
            </w:pPr>
          </w:p>
        </w:tc>
      </w:tr>
      <w:tr w14:paraId="48725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054CE8A">
            <w:pPr>
              <w:adjustRightInd w:val="0"/>
              <w:snapToGrid w:val="0"/>
              <w:jc w:val="center"/>
              <w:rPr>
                <w:rFonts w:ascii="Arial" w:hAnsi="Arial" w:eastAsia="宋体" w:cs="Arial"/>
                <w:sz w:val="21"/>
                <w:szCs w:val="21"/>
              </w:rPr>
            </w:pPr>
          </w:p>
        </w:tc>
        <w:tc>
          <w:tcPr>
            <w:tcW w:w="887" w:type="pct"/>
            <w:vAlign w:val="center"/>
          </w:tcPr>
          <w:p w14:paraId="00846B2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30FD471">
            <w:pPr>
              <w:adjustRightInd w:val="0"/>
              <w:snapToGrid w:val="0"/>
              <w:jc w:val="center"/>
              <w:rPr>
                <w:rFonts w:ascii="Arial" w:hAnsi="Arial" w:eastAsia="宋体" w:cs="Arial"/>
                <w:kern w:val="0"/>
                <w:sz w:val="21"/>
                <w:szCs w:val="21"/>
              </w:rPr>
            </w:pPr>
          </w:p>
        </w:tc>
        <w:tc>
          <w:tcPr>
            <w:tcW w:w="906" w:type="pct"/>
            <w:vAlign w:val="center"/>
          </w:tcPr>
          <w:p w14:paraId="4155D702">
            <w:pPr>
              <w:adjustRightInd w:val="0"/>
              <w:snapToGrid w:val="0"/>
              <w:jc w:val="center"/>
              <w:rPr>
                <w:rFonts w:ascii="Arial" w:hAnsi="Arial" w:eastAsia="宋体" w:cs="Arial"/>
                <w:kern w:val="0"/>
                <w:sz w:val="21"/>
                <w:szCs w:val="21"/>
              </w:rPr>
            </w:pPr>
          </w:p>
        </w:tc>
        <w:tc>
          <w:tcPr>
            <w:tcW w:w="657" w:type="pct"/>
            <w:vAlign w:val="center"/>
          </w:tcPr>
          <w:p w14:paraId="15263295">
            <w:pPr>
              <w:adjustRightInd w:val="0"/>
              <w:snapToGrid w:val="0"/>
              <w:jc w:val="center"/>
              <w:rPr>
                <w:rFonts w:ascii="Arial" w:hAnsi="Arial" w:eastAsia="宋体" w:cs="Arial"/>
                <w:sz w:val="21"/>
                <w:szCs w:val="21"/>
              </w:rPr>
            </w:pPr>
          </w:p>
        </w:tc>
        <w:tc>
          <w:tcPr>
            <w:tcW w:w="657" w:type="pct"/>
            <w:vAlign w:val="center"/>
          </w:tcPr>
          <w:p w14:paraId="756F4336">
            <w:pPr>
              <w:adjustRightInd w:val="0"/>
              <w:snapToGrid w:val="0"/>
              <w:jc w:val="center"/>
              <w:rPr>
                <w:rFonts w:ascii="Arial" w:hAnsi="Arial" w:eastAsia="宋体" w:cs="Arial"/>
                <w:sz w:val="21"/>
                <w:szCs w:val="21"/>
              </w:rPr>
            </w:pPr>
          </w:p>
        </w:tc>
      </w:tr>
      <w:tr w14:paraId="77127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60A22F4">
            <w:pPr>
              <w:adjustRightInd w:val="0"/>
              <w:snapToGrid w:val="0"/>
              <w:jc w:val="center"/>
              <w:rPr>
                <w:rFonts w:ascii="Arial" w:hAnsi="Arial" w:eastAsia="宋体" w:cs="Arial"/>
                <w:sz w:val="21"/>
                <w:szCs w:val="21"/>
              </w:rPr>
            </w:pPr>
          </w:p>
        </w:tc>
        <w:tc>
          <w:tcPr>
            <w:tcW w:w="887" w:type="pct"/>
            <w:vAlign w:val="center"/>
          </w:tcPr>
          <w:p w14:paraId="2DEBCB26">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9DD48D8">
            <w:pPr>
              <w:adjustRightInd w:val="0"/>
              <w:snapToGrid w:val="0"/>
              <w:jc w:val="center"/>
              <w:rPr>
                <w:rFonts w:ascii="Arial" w:hAnsi="Arial" w:eastAsia="宋体" w:cs="Arial"/>
                <w:kern w:val="0"/>
                <w:sz w:val="21"/>
                <w:szCs w:val="21"/>
              </w:rPr>
            </w:pPr>
          </w:p>
        </w:tc>
        <w:tc>
          <w:tcPr>
            <w:tcW w:w="906" w:type="pct"/>
            <w:vAlign w:val="center"/>
          </w:tcPr>
          <w:p w14:paraId="494070B8">
            <w:pPr>
              <w:adjustRightInd w:val="0"/>
              <w:snapToGrid w:val="0"/>
              <w:jc w:val="center"/>
              <w:rPr>
                <w:rFonts w:ascii="Arial" w:hAnsi="Arial" w:eastAsia="宋体" w:cs="Arial"/>
                <w:kern w:val="0"/>
                <w:sz w:val="21"/>
                <w:szCs w:val="21"/>
              </w:rPr>
            </w:pPr>
          </w:p>
        </w:tc>
        <w:tc>
          <w:tcPr>
            <w:tcW w:w="657" w:type="pct"/>
            <w:vAlign w:val="center"/>
          </w:tcPr>
          <w:p w14:paraId="48310C0C">
            <w:pPr>
              <w:adjustRightInd w:val="0"/>
              <w:snapToGrid w:val="0"/>
              <w:jc w:val="center"/>
              <w:rPr>
                <w:rFonts w:ascii="Arial" w:hAnsi="Arial" w:eastAsia="宋体" w:cs="Arial"/>
                <w:sz w:val="21"/>
                <w:szCs w:val="21"/>
              </w:rPr>
            </w:pPr>
          </w:p>
        </w:tc>
        <w:tc>
          <w:tcPr>
            <w:tcW w:w="657" w:type="pct"/>
            <w:vAlign w:val="center"/>
          </w:tcPr>
          <w:p w14:paraId="1CA813F5">
            <w:pPr>
              <w:adjustRightInd w:val="0"/>
              <w:snapToGrid w:val="0"/>
              <w:jc w:val="center"/>
              <w:rPr>
                <w:rFonts w:ascii="Arial" w:hAnsi="Arial" w:eastAsia="宋体" w:cs="Arial"/>
                <w:sz w:val="21"/>
                <w:szCs w:val="21"/>
              </w:rPr>
            </w:pPr>
          </w:p>
        </w:tc>
      </w:tr>
      <w:tr w14:paraId="45177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99AF602">
            <w:pPr>
              <w:adjustRightInd w:val="0"/>
              <w:snapToGrid w:val="0"/>
              <w:jc w:val="center"/>
              <w:rPr>
                <w:rFonts w:ascii="Arial" w:hAnsi="Arial" w:eastAsia="宋体" w:cs="Arial"/>
                <w:sz w:val="21"/>
                <w:szCs w:val="21"/>
              </w:rPr>
            </w:pPr>
          </w:p>
        </w:tc>
        <w:tc>
          <w:tcPr>
            <w:tcW w:w="887" w:type="pct"/>
            <w:vAlign w:val="center"/>
          </w:tcPr>
          <w:p w14:paraId="68DC5ECD">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92DC187">
            <w:pPr>
              <w:adjustRightInd w:val="0"/>
              <w:snapToGrid w:val="0"/>
              <w:jc w:val="center"/>
              <w:rPr>
                <w:rFonts w:ascii="Arial" w:hAnsi="Arial" w:eastAsia="宋体" w:cs="Arial"/>
                <w:kern w:val="0"/>
                <w:sz w:val="21"/>
                <w:szCs w:val="21"/>
              </w:rPr>
            </w:pPr>
          </w:p>
        </w:tc>
        <w:tc>
          <w:tcPr>
            <w:tcW w:w="906" w:type="pct"/>
            <w:vAlign w:val="center"/>
          </w:tcPr>
          <w:p w14:paraId="1B6636D4">
            <w:pPr>
              <w:adjustRightInd w:val="0"/>
              <w:snapToGrid w:val="0"/>
              <w:jc w:val="center"/>
              <w:rPr>
                <w:rFonts w:ascii="Arial" w:hAnsi="Arial" w:eastAsia="宋体" w:cs="Arial"/>
                <w:kern w:val="0"/>
                <w:sz w:val="21"/>
                <w:szCs w:val="21"/>
              </w:rPr>
            </w:pPr>
          </w:p>
        </w:tc>
        <w:tc>
          <w:tcPr>
            <w:tcW w:w="657" w:type="pct"/>
            <w:vAlign w:val="center"/>
          </w:tcPr>
          <w:p w14:paraId="3B52343D">
            <w:pPr>
              <w:adjustRightInd w:val="0"/>
              <w:snapToGrid w:val="0"/>
              <w:jc w:val="center"/>
              <w:rPr>
                <w:rFonts w:ascii="Arial" w:hAnsi="Arial" w:eastAsia="宋体" w:cs="Arial"/>
                <w:sz w:val="21"/>
                <w:szCs w:val="21"/>
              </w:rPr>
            </w:pPr>
          </w:p>
        </w:tc>
        <w:tc>
          <w:tcPr>
            <w:tcW w:w="657" w:type="pct"/>
            <w:vAlign w:val="center"/>
          </w:tcPr>
          <w:p w14:paraId="5BAADE1A">
            <w:pPr>
              <w:adjustRightInd w:val="0"/>
              <w:snapToGrid w:val="0"/>
              <w:jc w:val="center"/>
              <w:rPr>
                <w:rFonts w:ascii="Arial" w:hAnsi="Arial" w:eastAsia="宋体" w:cs="Arial"/>
                <w:sz w:val="21"/>
                <w:szCs w:val="21"/>
              </w:rPr>
            </w:pPr>
          </w:p>
        </w:tc>
      </w:tr>
      <w:tr w14:paraId="62543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F8C7C90">
            <w:pPr>
              <w:adjustRightInd w:val="0"/>
              <w:snapToGrid w:val="0"/>
              <w:jc w:val="center"/>
              <w:rPr>
                <w:rFonts w:ascii="Arial" w:hAnsi="Arial" w:eastAsia="宋体" w:cs="Arial"/>
                <w:sz w:val="21"/>
                <w:szCs w:val="21"/>
              </w:rPr>
            </w:pPr>
          </w:p>
        </w:tc>
        <w:tc>
          <w:tcPr>
            <w:tcW w:w="887" w:type="pct"/>
            <w:vAlign w:val="center"/>
          </w:tcPr>
          <w:p w14:paraId="3B935B0F">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F191183">
            <w:pPr>
              <w:adjustRightInd w:val="0"/>
              <w:snapToGrid w:val="0"/>
              <w:jc w:val="center"/>
              <w:rPr>
                <w:rFonts w:ascii="Arial" w:hAnsi="Arial" w:eastAsia="宋体" w:cs="Arial"/>
                <w:kern w:val="0"/>
                <w:sz w:val="21"/>
                <w:szCs w:val="21"/>
              </w:rPr>
            </w:pPr>
          </w:p>
        </w:tc>
        <w:tc>
          <w:tcPr>
            <w:tcW w:w="906" w:type="pct"/>
            <w:vAlign w:val="center"/>
          </w:tcPr>
          <w:p w14:paraId="1FC197DF">
            <w:pPr>
              <w:adjustRightInd w:val="0"/>
              <w:snapToGrid w:val="0"/>
              <w:jc w:val="center"/>
              <w:rPr>
                <w:rFonts w:ascii="Arial" w:hAnsi="Arial" w:eastAsia="宋体" w:cs="Arial"/>
                <w:kern w:val="0"/>
                <w:sz w:val="21"/>
                <w:szCs w:val="21"/>
              </w:rPr>
            </w:pPr>
          </w:p>
        </w:tc>
        <w:tc>
          <w:tcPr>
            <w:tcW w:w="657" w:type="pct"/>
            <w:vAlign w:val="center"/>
          </w:tcPr>
          <w:p w14:paraId="60EC1236">
            <w:pPr>
              <w:adjustRightInd w:val="0"/>
              <w:snapToGrid w:val="0"/>
              <w:jc w:val="center"/>
              <w:rPr>
                <w:rFonts w:ascii="Arial" w:hAnsi="Arial" w:eastAsia="宋体" w:cs="Arial"/>
                <w:sz w:val="21"/>
                <w:szCs w:val="21"/>
              </w:rPr>
            </w:pPr>
          </w:p>
        </w:tc>
        <w:tc>
          <w:tcPr>
            <w:tcW w:w="657" w:type="pct"/>
            <w:vAlign w:val="center"/>
          </w:tcPr>
          <w:p w14:paraId="5B839767">
            <w:pPr>
              <w:adjustRightInd w:val="0"/>
              <w:snapToGrid w:val="0"/>
              <w:jc w:val="center"/>
              <w:rPr>
                <w:rFonts w:ascii="Arial" w:hAnsi="Arial" w:eastAsia="宋体" w:cs="Arial"/>
                <w:sz w:val="21"/>
                <w:szCs w:val="21"/>
              </w:rPr>
            </w:pPr>
          </w:p>
        </w:tc>
      </w:tr>
      <w:tr w14:paraId="01EDF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41925F4">
            <w:pPr>
              <w:adjustRightInd w:val="0"/>
              <w:snapToGrid w:val="0"/>
              <w:jc w:val="center"/>
              <w:rPr>
                <w:rFonts w:ascii="Arial" w:hAnsi="Arial" w:eastAsia="宋体" w:cs="Arial"/>
                <w:sz w:val="21"/>
                <w:szCs w:val="21"/>
              </w:rPr>
            </w:pPr>
          </w:p>
        </w:tc>
        <w:tc>
          <w:tcPr>
            <w:tcW w:w="887" w:type="pct"/>
            <w:vAlign w:val="center"/>
          </w:tcPr>
          <w:p w14:paraId="63D1E88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6D1F8DB">
            <w:pPr>
              <w:adjustRightInd w:val="0"/>
              <w:snapToGrid w:val="0"/>
              <w:jc w:val="center"/>
              <w:rPr>
                <w:rFonts w:ascii="Arial" w:hAnsi="Arial" w:eastAsia="宋体" w:cs="Arial"/>
                <w:kern w:val="0"/>
                <w:sz w:val="21"/>
                <w:szCs w:val="21"/>
              </w:rPr>
            </w:pPr>
          </w:p>
        </w:tc>
        <w:tc>
          <w:tcPr>
            <w:tcW w:w="906" w:type="pct"/>
            <w:vAlign w:val="center"/>
          </w:tcPr>
          <w:p w14:paraId="4044A86C">
            <w:pPr>
              <w:adjustRightInd w:val="0"/>
              <w:snapToGrid w:val="0"/>
              <w:jc w:val="center"/>
              <w:rPr>
                <w:rFonts w:ascii="Arial" w:hAnsi="Arial" w:eastAsia="宋体" w:cs="Arial"/>
                <w:kern w:val="0"/>
                <w:sz w:val="21"/>
                <w:szCs w:val="21"/>
              </w:rPr>
            </w:pPr>
          </w:p>
        </w:tc>
        <w:tc>
          <w:tcPr>
            <w:tcW w:w="657" w:type="pct"/>
            <w:vAlign w:val="center"/>
          </w:tcPr>
          <w:p w14:paraId="24FE2049">
            <w:pPr>
              <w:adjustRightInd w:val="0"/>
              <w:snapToGrid w:val="0"/>
              <w:jc w:val="center"/>
              <w:rPr>
                <w:rFonts w:ascii="Arial" w:hAnsi="Arial" w:eastAsia="宋体" w:cs="Arial"/>
                <w:sz w:val="21"/>
                <w:szCs w:val="21"/>
              </w:rPr>
            </w:pPr>
          </w:p>
        </w:tc>
        <w:tc>
          <w:tcPr>
            <w:tcW w:w="657" w:type="pct"/>
            <w:vAlign w:val="center"/>
          </w:tcPr>
          <w:p w14:paraId="44295D52">
            <w:pPr>
              <w:adjustRightInd w:val="0"/>
              <w:snapToGrid w:val="0"/>
              <w:jc w:val="center"/>
              <w:rPr>
                <w:rFonts w:ascii="Arial" w:hAnsi="Arial" w:eastAsia="宋体" w:cs="Arial"/>
                <w:sz w:val="21"/>
                <w:szCs w:val="21"/>
              </w:rPr>
            </w:pPr>
          </w:p>
        </w:tc>
      </w:tr>
      <w:tr w14:paraId="3F8E5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0A70223">
            <w:pPr>
              <w:adjustRightInd w:val="0"/>
              <w:snapToGrid w:val="0"/>
              <w:jc w:val="center"/>
              <w:rPr>
                <w:rFonts w:ascii="Arial" w:hAnsi="Arial" w:eastAsia="宋体" w:cs="Arial"/>
                <w:sz w:val="21"/>
                <w:szCs w:val="21"/>
              </w:rPr>
            </w:pPr>
          </w:p>
        </w:tc>
        <w:tc>
          <w:tcPr>
            <w:tcW w:w="887" w:type="pct"/>
            <w:vAlign w:val="center"/>
          </w:tcPr>
          <w:p w14:paraId="4209AC1E">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81CDC9C">
            <w:pPr>
              <w:adjustRightInd w:val="0"/>
              <w:snapToGrid w:val="0"/>
              <w:jc w:val="center"/>
              <w:rPr>
                <w:rFonts w:ascii="Arial" w:hAnsi="Arial" w:eastAsia="宋体" w:cs="Arial"/>
                <w:kern w:val="0"/>
                <w:sz w:val="21"/>
                <w:szCs w:val="21"/>
              </w:rPr>
            </w:pPr>
          </w:p>
        </w:tc>
        <w:tc>
          <w:tcPr>
            <w:tcW w:w="906" w:type="pct"/>
            <w:vAlign w:val="center"/>
          </w:tcPr>
          <w:p w14:paraId="5647FAC0">
            <w:pPr>
              <w:adjustRightInd w:val="0"/>
              <w:snapToGrid w:val="0"/>
              <w:jc w:val="center"/>
              <w:rPr>
                <w:rFonts w:ascii="Arial" w:hAnsi="Arial" w:eastAsia="宋体" w:cs="Arial"/>
                <w:kern w:val="0"/>
                <w:sz w:val="21"/>
                <w:szCs w:val="21"/>
              </w:rPr>
            </w:pPr>
          </w:p>
        </w:tc>
        <w:tc>
          <w:tcPr>
            <w:tcW w:w="657" w:type="pct"/>
            <w:vAlign w:val="center"/>
          </w:tcPr>
          <w:p w14:paraId="226B8CCA">
            <w:pPr>
              <w:adjustRightInd w:val="0"/>
              <w:snapToGrid w:val="0"/>
              <w:jc w:val="center"/>
              <w:rPr>
                <w:rFonts w:ascii="Arial" w:hAnsi="Arial" w:eastAsia="宋体" w:cs="Arial"/>
                <w:sz w:val="21"/>
                <w:szCs w:val="21"/>
              </w:rPr>
            </w:pPr>
          </w:p>
        </w:tc>
        <w:tc>
          <w:tcPr>
            <w:tcW w:w="657" w:type="pct"/>
            <w:vAlign w:val="center"/>
          </w:tcPr>
          <w:p w14:paraId="1304F096">
            <w:pPr>
              <w:adjustRightInd w:val="0"/>
              <w:snapToGrid w:val="0"/>
              <w:jc w:val="center"/>
              <w:rPr>
                <w:rFonts w:ascii="Arial" w:hAnsi="Arial" w:eastAsia="宋体" w:cs="Arial"/>
                <w:sz w:val="21"/>
                <w:szCs w:val="21"/>
              </w:rPr>
            </w:pPr>
          </w:p>
        </w:tc>
      </w:tr>
      <w:tr w14:paraId="3A83A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3AF2527">
            <w:pPr>
              <w:adjustRightInd w:val="0"/>
              <w:snapToGrid w:val="0"/>
              <w:jc w:val="center"/>
              <w:rPr>
                <w:rFonts w:ascii="Arial" w:hAnsi="Arial" w:eastAsia="宋体" w:cs="Arial"/>
                <w:sz w:val="21"/>
                <w:szCs w:val="21"/>
              </w:rPr>
            </w:pPr>
          </w:p>
        </w:tc>
        <w:tc>
          <w:tcPr>
            <w:tcW w:w="887" w:type="pct"/>
            <w:vAlign w:val="center"/>
          </w:tcPr>
          <w:p w14:paraId="01312EED">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56E1E0D6">
            <w:pPr>
              <w:adjustRightInd w:val="0"/>
              <w:snapToGrid w:val="0"/>
              <w:jc w:val="center"/>
              <w:rPr>
                <w:rFonts w:ascii="Arial" w:hAnsi="Arial" w:eastAsia="宋体" w:cs="Arial"/>
                <w:kern w:val="0"/>
                <w:sz w:val="21"/>
                <w:szCs w:val="21"/>
              </w:rPr>
            </w:pPr>
          </w:p>
        </w:tc>
        <w:tc>
          <w:tcPr>
            <w:tcW w:w="906" w:type="pct"/>
            <w:vAlign w:val="center"/>
          </w:tcPr>
          <w:p w14:paraId="327B4810">
            <w:pPr>
              <w:adjustRightInd w:val="0"/>
              <w:snapToGrid w:val="0"/>
              <w:jc w:val="center"/>
              <w:rPr>
                <w:rFonts w:ascii="Arial" w:hAnsi="Arial" w:eastAsia="宋体" w:cs="Arial"/>
                <w:kern w:val="0"/>
                <w:sz w:val="21"/>
                <w:szCs w:val="21"/>
              </w:rPr>
            </w:pPr>
          </w:p>
        </w:tc>
        <w:tc>
          <w:tcPr>
            <w:tcW w:w="657" w:type="pct"/>
            <w:vAlign w:val="center"/>
          </w:tcPr>
          <w:p w14:paraId="3E885658">
            <w:pPr>
              <w:adjustRightInd w:val="0"/>
              <w:snapToGrid w:val="0"/>
              <w:jc w:val="center"/>
              <w:rPr>
                <w:rFonts w:ascii="Arial" w:hAnsi="Arial" w:eastAsia="宋体" w:cs="Arial"/>
                <w:sz w:val="21"/>
                <w:szCs w:val="21"/>
              </w:rPr>
            </w:pPr>
          </w:p>
        </w:tc>
        <w:tc>
          <w:tcPr>
            <w:tcW w:w="657" w:type="pct"/>
            <w:vAlign w:val="center"/>
          </w:tcPr>
          <w:p w14:paraId="0F654138">
            <w:pPr>
              <w:adjustRightInd w:val="0"/>
              <w:snapToGrid w:val="0"/>
              <w:jc w:val="center"/>
              <w:rPr>
                <w:rFonts w:ascii="Arial" w:hAnsi="Arial" w:eastAsia="宋体" w:cs="Arial"/>
                <w:sz w:val="21"/>
                <w:szCs w:val="21"/>
              </w:rPr>
            </w:pPr>
          </w:p>
        </w:tc>
      </w:tr>
      <w:tr w14:paraId="15EB4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89A5B05">
            <w:pPr>
              <w:adjustRightInd w:val="0"/>
              <w:snapToGrid w:val="0"/>
              <w:jc w:val="center"/>
              <w:rPr>
                <w:rFonts w:ascii="Arial" w:hAnsi="Arial" w:eastAsia="宋体" w:cs="Arial"/>
                <w:sz w:val="21"/>
                <w:szCs w:val="21"/>
              </w:rPr>
            </w:pPr>
          </w:p>
        </w:tc>
        <w:tc>
          <w:tcPr>
            <w:tcW w:w="887" w:type="pct"/>
            <w:vAlign w:val="center"/>
          </w:tcPr>
          <w:p w14:paraId="04A2C8CE">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3FE2F38">
            <w:pPr>
              <w:adjustRightInd w:val="0"/>
              <w:snapToGrid w:val="0"/>
              <w:jc w:val="center"/>
              <w:rPr>
                <w:rFonts w:ascii="Arial" w:hAnsi="Arial" w:eastAsia="宋体" w:cs="Arial"/>
                <w:kern w:val="0"/>
                <w:sz w:val="21"/>
                <w:szCs w:val="21"/>
              </w:rPr>
            </w:pPr>
          </w:p>
        </w:tc>
        <w:tc>
          <w:tcPr>
            <w:tcW w:w="906" w:type="pct"/>
            <w:vAlign w:val="center"/>
          </w:tcPr>
          <w:p w14:paraId="796673DF">
            <w:pPr>
              <w:adjustRightInd w:val="0"/>
              <w:snapToGrid w:val="0"/>
              <w:jc w:val="center"/>
              <w:rPr>
                <w:rFonts w:ascii="Arial" w:hAnsi="Arial" w:eastAsia="宋体" w:cs="Arial"/>
                <w:kern w:val="0"/>
                <w:sz w:val="21"/>
                <w:szCs w:val="21"/>
              </w:rPr>
            </w:pPr>
          </w:p>
        </w:tc>
        <w:tc>
          <w:tcPr>
            <w:tcW w:w="657" w:type="pct"/>
            <w:vAlign w:val="center"/>
          </w:tcPr>
          <w:p w14:paraId="6A782E04">
            <w:pPr>
              <w:adjustRightInd w:val="0"/>
              <w:snapToGrid w:val="0"/>
              <w:jc w:val="center"/>
              <w:rPr>
                <w:rFonts w:ascii="Arial" w:hAnsi="Arial" w:eastAsia="宋体" w:cs="Arial"/>
                <w:sz w:val="21"/>
                <w:szCs w:val="21"/>
              </w:rPr>
            </w:pPr>
          </w:p>
        </w:tc>
        <w:tc>
          <w:tcPr>
            <w:tcW w:w="657" w:type="pct"/>
            <w:vAlign w:val="center"/>
          </w:tcPr>
          <w:p w14:paraId="1F8A40F9">
            <w:pPr>
              <w:adjustRightInd w:val="0"/>
              <w:snapToGrid w:val="0"/>
              <w:jc w:val="center"/>
              <w:rPr>
                <w:rFonts w:ascii="Arial" w:hAnsi="Arial" w:eastAsia="宋体" w:cs="Arial"/>
                <w:sz w:val="21"/>
                <w:szCs w:val="21"/>
              </w:rPr>
            </w:pPr>
          </w:p>
        </w:tc>
      </w:tr>
      <w:tr w14:paraId="063C1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EAB0D35">
            <w:pPr>
              <w:adjustRightInd w:val="0"/>
              <w:snapToGrid w:val="0"/>
              <w:jc w:val="center"/>
              <w:rPr>
                <w:rFonts w:ascii="Arial" w:hAnsi="Arial" w:eastAsia="宋体" w:cs="Arial"/>
                <w:sz w:val="21"/>
                <w:szCs w:val="21"/>
              </w:rPr>
            </w:pPr>
          </w:p>
        </w:tc>
        <w:tc>
          <w:tcPr>
            <w:tcW w:w="887" w:type="pct"/>
            <w:vAlign w:val="center"/>
          </w:tcPr>
          <w:p w14:paraId="0326A225">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C270A87">
            <w:pPr>
              <w:adjustRightInd w:val="0"/>
              <w:snapToGrid w:val="0"/>
              <w:jc w:val="center"/>
              <w:rPr>
                <w:rFonts w:ascii="Arial" w:hAnsi="Arial" w:eastAsia="宋体" w:cs="Arial"/>
                <w:kern w:val="0"/>
                <w:sz w:val="21"/>
                <w:szCs w:val="21"/>
              </w:rPr>
            </w:pPr>
          </w:p>
        </w:tc>
        <w:tc>
          <w:tcPr>
            <w:tcW w:w="906" w:type="pct"/>
            <w:vAlign w:val="center"/>
          </w:tcPr>
          <w:p w14:paraId="00CBD9E1">
            <w:pPr>
              <w:adjustRightInd w:val="0"/>
              <w:snapToGrid w:val="0"/>
              <w:jc w:val="center"/>
              <w:rPr>
                <w:rFonts w:ascii="Arial" w:hAnsi="Arial" w:eastAsia="宋体" w:cs="Arial"/>
                <w:kern w:val="0"/>
                <w:sz w:val="21"/>
                <w:szCs w:val="21"/>
              </w:rPr>
            </w:pPr>
          </w:p>
        </w:tc>
        <w:tc>
          <w:tcPr>
            <w:tcW w:w="657" w:type="pct"/>
            <w:vAlign w:val="center"/>
          </w:tcPr>
          <w:p w14:paraId="27724875">
            <w:pPr>
              <w:adjustRightInd w:val="0"/>
              <w:snapToGrid w:val="0"/>
              <w:jc w:val="center"/>
              <w:rPr>
                <w:rFonts w:ascii="Arial" w:hAnsi="Arial" w:eastAsia="宋体" w:cs="Arial"/>
                <w:sz w:val="21"/>
                <w:szCs w:val="21"/>
              </w:rPr>
            </w:pPr>
          </w:p>
        </w:tc>
        <w:tc>
          <w:tcPr>
            <w:tcW w:w="657" w:type="pct"/>
            <w:vAlign w:val="center"/>
          </w:tcPr>
          <w:p w14:paraId="6652816D">
            <w:pPr>
              <w:adjustRightInd w:val="0"/>
              <w:snapToGrid w:val="0"/>
              <w:jc w:val="center"/>
              <w:rPr>
                <w:rFonts w:ascii="Arial" w:hAnsi="Arial" w:eastAsia="宋体" w:cs="Arial"/>
                <w:sz w:val="21"/>
                <w:szCs w:val="21"/>
              </w:rPr>
            </w:pPr>
          </w:p>
        </w:tc>
      </w:tr>
      <w:tr w14:paraId="47CE2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B6C272A">
            <w:pPr>
              <w:adjustRightInd w:val="0"/>
              <w:snapToGrid w:val="0"/>
              <w:jc w:val="center"/>
              <w:rPr>
                <w:rFonts w:ascii="Arial" w:hAnsi="Arial" w:eastAsia="宋体" w:cs="Arial"/>
                <w:sz w:val="21"/>
                <w:szCs w:val="21"/>
              </w:rPr>
            </w:pPr>
          </w:p>
        </w:tc>
        <w:tc>
          <w:tcPr>
            <w:tcW w:w="887" w:type="pct"/>
            <w:vAlign w:val="center"/>
          </w:tcPr>
          <w:p w14:paraId="0F275558">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301D7B3">
            <w:pPr>
              <w:adjustRightInd w:val="0"/>
              <w:snapToGrid w:val="0"/>
              <w:jc w:val="center"/>
              <w:rPr>
                <w:rFonts w:ascii="Arial" w:hAnsi="Arial" w:eastAsia="宋体" w:cs="Arial"/>
                <w:kern w:val="0"/>
                <w:sz w:val="21"/>
                <w:szCs w:val="21"/>
              </w:rPr>
            </w:pPr>
          </w:p>
        </w:tc>
        <w:tc>
          <w:tcPr>
            <w:tcW w:w="906" w:type="pct"/>
            <w:vAlign w:val="center"/>
          </w:tcPr>
          <w:p w14:paraId="28BCD9DA">
            <w:pPr>
              <w:adjustRightInd w:val="0"/>
              <w:snapToGrid w:val="0"/>
              <w:jc w:val="center"/>
              <w:rPr>
                <w:rFonts w:ascii="Arial" w:hAnsi="Arial" w:eastAsia="宋体" w:cs="Arial"/>
                <w:kern w:val="0"/>
                <w:sz w:val="21"/>
                <w:szCs w:val="21"/>
              </w:rPr>
            </w:pPr>
          </w:p>
        </w:tc>
        <w:tc>
          <w:tcPr>
            <w:tcW w:w="657" w:type="pct"/>
            <w:vAlign w:val="center"/>
          </w:tcPr>
          <w:p w14:paraId="6FFE425B">
            <w:pPr>
              <w:adjustRightInd w:val="0"/>
              <w:snapToGrid w:val="0"/>
              <w:jc w:val="center"/>
              <w:rPr>
                <w:rFonts w:ascii="Arial" w:hAnsi="Arial" w:eastAsia="宋体" w:cs="Arial"/>
                <w:sz w:val="21"/>
                <w:szCs w:val="21"/>
              </w:rPr>
            </w:pPr>
          </w:p>
        </w:tc>
        <w:tc>
          <w:tcPr>
            <w:tcW w:w="657" w:type="pct"/>
            <w:vAlign w:val="center"/>
          </w:tcPr>
          <w:p w14:paraId="084485D0">
            <w:pPr>
              <w:adjustRightInd w:val="0"/>
              <w:snapToGrid w:val="0"/>
              <w:jc w:val="center"/>
              <w:rPr>
                <w:rFonts w:ascii="Arial" w:hAnsi="Arial" w:eastAsia="宋体" w:cs="Arial"/>
                <w:sz w:val="21"/>
                <w:szCs w:val="21"/>
              </w:rPr>
            </w:pPr>
          </w:p>
        </w:tc>
      </w:tr>
      <w:tr w14:paraId="09FE0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BB9C571">
            <w:pPr>
              <w:adjustRightInd w:val="0"/>
              <w:snapToGrid w:val="0"/>
              <w:jc w:val="center"/>
              <w:rPr>
                <w:rFonts w:ascii="Arial" w:hAnsi="Arial" w:eastAsia="宋体" w:cs="Arial"/>
                <w:sz w:val="21"/>
                <w:szCs w:val="21"/>
              </w:rPr>
            </w:pPr>
          </w:p>
        </w:tc>
        <w:tc>
          <w:tcPr>
            <w:tcW w:w="887" w:type="pct"/>
            <w:vAlign w:val="center"/>
          </w:tcPr>
          <w:p w14:paraId="30D86A3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96FF54E">
            <w:pPr>
              <w:adjustRightInd w:val="0"/>
              <w:snapToGrid w:val="0"/>
              <w:jc w:val="center"/>
              <w:rPr>
                <w:rFonts w:ascii="Arial" w:hAnsi="Arial" w:eastAsia="宋体" w:cs="Arial"/>
                <w:kern w:val="0"/>
                <w:sz w:val="21"/>
                <w:szCs w:val="21"/>
              </w:rPr>
            </w:pPr>
          </w:p>
        </w:tc>
        <w:tc>
          <w:tcPr>
            <w:tcW w:w="906" w:type="pct"/>
            <w:vAlign w:val="center"/>
          </w:tcPr>
          <w:p w14:paraId="5722A10E">
            <w:pPr>
              <w:adjustRightInd w:val="0"/>
              <w:snapToGrid w:val="0"/>
              <w:jc w:val="center"/>
              <w:rPr>
                <w:rFonts w:ascii="Arial" w:hAnsi="Arial" w:eastAsia="宋体" w:cs="Arial"/>
                <w:kern w:val="0"/>
                <w:sz w:val="21"/>
                <w:szCs w:val="21"/>
              </w:rPr>
            </w:pPr>
          </w:p>
        </w:tc>
        <w:tc>
          <w:tcPr>
            <w:tcW w:w="657" w:type="pct"/>
            <w:vAlign w:val="center"/>
          </w:tcPr>
          <w:p w14:paraId="66896954">
            <w:pPr>
              <w:adjustRightInd w:val="0"/>
              <w:snapToGrid w:val="0"/>
              <w:jc w:val="center"/>
              <w:rPr>
                <w:rFonts w:ascii="Arial" w:hAnsi="Arial" w:eastAsia="宋体" w:cs="Arial"/>
                <w:sz w:val="21"/>
                <w:szCs w:val="21"/>
              </w:rPr>
            </w:pPr>
          </w:p>
        </w:tc>
        <w:tc>
          <w:tcPr>
            <w:tcW w:w="657" w:type="pct"/>
            <w:vAlign w:val="center"/>
          </w:tcPr>
          <w:p w14:paraId="409AB427">
            <w:pPr>
              <w:adjustRightInd w:val="0"/>
              <w:snapToGrid w:val="0"/>
              <w:jc w:val="center"/>
              <w:rPr>
                <w:rFonts w:ascii="Arial" w:hAnsi="Arial" w:eastAsia="宋体" w:cs="Arial"/>
                <w:sz w:val="21"/>
                <w:szCs w:val="21"/>
              </w:rPr>
            </w:pPr>
          </w:p>
        </w:tc>
      </w:tr>
      <w:tr w14:paraId="12B04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0690162">
            <w:pPr>
              <w:adjustRightInd w:val="0"/>
              <w:snapToGrid w:val="0"/>
              <w:jc w:val="center"/>
              <w:rPr>
                <w:rFonts w:ascii="Arial" w:hAnsi="Arial" w:eastAsia="宋体" w:cs="Arial"/>
                <w:sz w:val="21"/>
                <w:szCs w:val="21"/>
              </w:rPr>
            </w:pPr>
          </w:p>
        </w:tc>
        <w:tc>
          <w:tcPr>
            <w:tcW w:w="887" w:type="pct"/>
            <w:vAlign w:val="center"/>
          </w:tcPr>
          <w:p w14:paraId="076701B8">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15B99FBA">
            <w:pPr>
              <w:adjustRightInd w:val="0"/>
              <w:snapToGrid w:val="0"/>
              <w:jc w:val="center"/>
              <w:rPr>
                <w:rFonts w:ascii="Arial" w:hAnsi="Arial" w:eastAsia="宋体" w:cs="Arial"/>
                <w:kern w:val="0"/>
                <w:sz w:val="21"/>
                <w:szCs w:val="21"/>
              </w:rPr>
            </w:pPr>
          </w:p>
        </w:tc>
        <w:tc>
          <w:tcPr>
            <w:tcW w:w="906" w:type="pct"/>
            <w:vAlign w:val="center"/>
          </w:tcPr>
          <w:p w14:paraId="0D3158AC">
            <w:pPr>
              <w:adjustRightInd w:val="0"/>
              <w:snapToGrid w:val="0"/>
              <w:jc w:val="center"/>
              <w:rPr>
                <w:rFonts w:ascii="Arial" w:hAnsi="Arial" w:eastAsia="宋体" w:cs="Arial"/>
                <w:kern w:val="0"/>
                <w:sz w:val="21"/>
                <w:szCs w:val="21"/>
              </w:rPr>
            </w:pPr>
          </w:p>
        </w:tc>
        <w:tc>
          <w:tcPr>
            <w:tcW w:w="657" w:type="pct"/>
            <w:vAlign w:val="center"/>
          </w:tcPr>
          <w:p w14:paraId="39237781">
            <w:pPr>
              <w:adjustRightInd w:val="0"/>
              <w:snapToGrid w:val="0"/>
              <w:jc w:val="center"/>
              <w:rPr>
                <w:rFonts w:ascii="Arial" w:hAnsi="Arial" w:eastAsia="宋体" w:cs="Arial"/>
                <w:sz w:val="21"/>
                <w:szCs w:val="21"/>
              </w:rPr>
            </w:pPr>
          </w:p>
        </w:tc>
        <w:tc>
          <w:tcPr>
            <w:tcW w:w="657" w:type="pct"/>
            <w:vAlign w:val="center"/>
          </w:tcPr>
          <w:p w14:paraId="20AC7279">
            <w:pPr>
              <w:adjustRightInd w:val="0"/>
              <w:snapToGrid w:val="0"/>
              <w:jc w:val="center"/>
              <w:rPr>
                <w:rFonts w:ascii="Arial" w:hAnsi="Arial" w:eastAsia="宋体" w:cs="Arial"/>
                <w:sz w:val="21"/>
                <w:szCs w:val="21"/>
              </w:rPr>
            </w:pPr>
          </w:p>
        </w:tc>
      </w:tr>
      <w:tr w14:paraId="21B22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EB7D46A">
            <w:pPr>
              <w:adjustRightInd w:val="0"/>
              <w:snapToGrid w:val="0"/>
              <w:jc w:val="center"/>
              <w:rPr>
                <w:rFonts w:ascii="Arial" w:hAnsi="Arial" w:eastAsia="宋体" w:cs="Arial"/>
                <w:sz w:val="21"/>
                <w:szCs w:val="21"/>
              </w:rPr>
            </w:pPr>
          </w:p>
        </w:tc>
        <w:tc>
          <w:tcPr>
            <w:tcW w:w="887" w:type="pct"/>
            <w:vAlign w:val="center"/>
          </w:tcPr>
          <w:p w14:paraId="3D5C93D7">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3A074D3">
            <w:pPr>
              <w:adjustRightInd w:val="0"/>
              <w:snapToGrid w:val="0"/>
              <w:jc w:val="center"/>
              <w:rPr>
                <w:rFonts w:ascii="Arial" w:hAnsi="Arial" w:eastAsia="宋体" w:cs="Arial"/>
                <w:kern w:val="0"/>
                <w:sz w:val="21"/>
                <w:szCs w:val="21"/>
              </w:rPr>
            </w:pPr>
          </w:p>
        </w:tc>
        <w:tc>
          <w:tcPr>
            <w:tcW w:w="906" w:type="pct"/>
            <w:vAlign w:val="center"/>
          </w:tcPr>
          <w:p w14:paraId="5DAE94B3">
            <w:pPr>
              <w:adjustRightInd w:val="0"/>
              <w:snapToGrid w:val="0"/>
              <w:jc w:val="center"/>
              <w:rPr>
                <w:rFonts w:ascii="Arial" w:hAnsi="Arial" w:eastAsia="宋体" w:cs="Arial"/>
                <w:kern w:val="0"/>
                <w:sz w:val="21"/>
                <w:szCs w:val="21"/>
              </w:rPr>
            </w:pPr>
          </w:p>
        </w:tc>
        <w:tc>
          <w:tcPr>
            <w:tcW w:w="657" w:type="pct"/>
            <w:vAlign w:val="center"/>
          </w:tcPr>
          <w:p w14:paraId="0D8B6CE6">
            <w:pPr>
              <w:adjustRightInd w:val="0"/>
              <w:snapToGrid w:val="0"/>
              <w:jc w:val="center"/>
              <w:rPr>
                <w:rFonts w:ascii="Arial" w:hAnsi="Arial" w:eastAsia="宋体" w:cs="Arial"/>
                <w:sz w:val="21"/>
                <w:szCs w:val="21"/>
              </w:rPr>
            </w:pPr>
          </w:p>
        </w:tc>
        <w:tc>
          <w:tcPr>
            <w:tcW w:w="657" w:type="pct"/>
            <w:vAlign w:val="center"/>
          </w:tcPr>
          <w:p w14:paraId="38DD6D2D">
            <w:pPr>
              <w:adjustRightInd w:val="0"/>
              <w:snapToGrid w:val="0"/>
              <w:jc w:val="center"/>
              <w:rPr>
                <w:rFonts w:ascii="Arial" w:hAnsi="Arial" w:eastAsia="宋体" w:cs="Arial"/>
                <w:sz w:val="21"/>
                <w:szCs w:val="21"/>
              </w:rPr>
            </w:pPr>
          </w:p>
        </w:tc>
      </w:tr>
      <w:tr w14:paraId="17C0E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A414530">
            <w:pPr>
              <w:adjustRightInd w:val="0"/>
              <w:snapToGrid w:val="0"/>
              <w:jc w:val="center"/>
              <w:rPr>
                <w:rFonts w:ascii="Arial" w:hAnsi="Arial" w:eastAsia="宋体" w:cs="Arial"/>
                <w:sz w:val="21"/>
                <w:szCs w:val="21"/>
              </w:rPr>
            </w:pPr>
          </w:p>
        </w:tc>
        <w:tc>
          <w:tcPr>
            <w:tcW w:w="887" w:type="pct"/>
            <w:vAlign w:val="center"/>
          </w:tcPr>
          <w:p w14:paraId="45082F62">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60EA07C">
            <w:pPr>
              <w:adjustRightInd w:val="0"/>
              <w:snapToGrid w:val="0"/>
              <w:jc w:val="center"/>
              <w:rPr>
                <w:rFonts w:ascii="Arial" w:hAnsi="Arial" w:eastAsia="宋体" w:cs="Arial"/>
                <w:kern w:val="0"/>
                <w:sz w:val="21"/>
                <w:szCs w:val="21"/>
              </w:rPr>
            </w:pPr>
          </w:p>
        </w:tc>
        <w:tc>
          <w:tcPr>
            <w:tcW w:w="906" w:type="pct"/>
            <w:vAlign w:val="center"/>
          </w:tcPr>
          <w:p w14:paraId="5A2FA5BD">
            <w:pPr>
              <w:adjustRightInd w:val="0"/>
              <w:snapToGrid w:val="0"/>
              <w:jc w:val="center"/>
              <w:rPr>
                <w:rFonts w:ascii="Arial" w:hAnsi="Arial" w:eastAsia="宋体" w:cs="Arial"/>
                <w:kern w:val="0"/>
                <w:sz w:val="21"/>
                <w:szCs w:val="21"/>
              </w:rPr>
            </w:pPr>
          </w:p>
        </w:tc>
        <w:tc>
          <w:tcPr>
            <w:tcW w:w="657" w:type="pct"/>
            <w:vAlign w:val="center"/>
          </w:tcPr>
          <w:p w14:paraId="70F624B1">
            <w:pPr>
              <w:adjustRightInd w:val="0"/>
              <w:snapToGrid w:val="0"/>
              <w:jc w:val="center"/>
              <w:rPr>
                <w:rFonts w:ascii="Arial" w:hAnsi="Arial" w:eastAsia="宋体" w:cs="Arial"/>
                <w:sz w:val="21"/>
                <w:szCs w:val="21"/>
              </w:rPr>
            </w:pPr>
          </w:p>
        </w:tc>
        <w:tc>
          <w:tcPr>
            <w:tcW w:w="657" w:type="pct"/>
            <w:vAlign w:val="center"/>
          </w:tcPr>
          <w:p w14:paraId="2DEA7CC2">
            <w:pPr>
              <w:adjustRightInd w:val="0"/>
              <w:snapToGrid w:val="0"/>
              <w:jc w:val="center"/>
              <w:rPr>
                <w:rFonts w:ascii="Arial" w:hAnsi="Arial" w:eastAsia="宋体" w:cs="Arial"/>
                <w:sz w:val="21"/>
                <w:szCs w:val="21"/>
              </w:rPr>
            </w:pPr>
          </w:p>
        </w:tc>
      </w:tr>
      <w:tr w14:paraId="64DAC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F2BA24E">
            <w:pPr>
              <w:adjustRightInd w:val="0"/>
              <w:snapToGrid w:val="0"/>
              <w:jc w:val="center"/>
              <w:rPr>
                <w:rFonts w:ascii="Arial" w:hAnsi="Arial" w:eastAsia="宋体" w:cs="Arial"/>
                <w:sz w:val="21"/>
                <w:szCs w:val="21"/>
              </w:rPr>
            </w:pPr>
          </w:p>
        </w:tc>
        <w:tc>
          <w:tcPr>
            <w:tcW w:w="887" w:type="pct"/>
            <w:vAlign w:val="center"/>
          </w:tcPr>
          <w:p w14:paraId="27FE7B68">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8D0FBED">
            <w:pPr>
              <w:adjustRightInd w:val="0"/>
              <w:snapToGrid w:val="0"/>
              <w:jc w:val="center"/>
              <w:rPr>
                <w:rFonts w:ascii="Arial" w:hAnsi="Arial" w:eastAsia="宋体" w:cs="Arial"/>
                <w:kern w:val="0"/>
                <w:sz w:val="21"/>
                <w:szCs w:val="21"/>
              </w:rPr>
            </w:pPr>
          </w:p>
        </w:tc>
        <w:tc>
          <w:tcPr>
            <w:tcW w:w="906" w:type="pct"/>
            <w:vAlign w:val="center"/>
          </w:tcPr>
          <w:p w14:paraId="345DA750">
            <w:pPr>
              <w:adjustRightInd w:val="0"/>
              <w:snapToGrid w:val="0"/>
              <w:jc w:val="center"/>
              <w:rPr>
                <w:rFonts w:ascii="Arial" w:hAnsi="Arial" w:eastAsia="宋体" w:cs="Arial"/>
                <w:kern w:val="0"/>
                <w:sz w:val="21"/>
                <w:szCs w:val="21"/>
              </w:rPr>
            </w:pPr>
          </w:p>
        </w:tc>
        <w:tc>
          <w:tcPr>
            <w:tcW w:w="657" w:type="pct"/>
            <w:vAlign w:val="center"/>
          </w:tcPr>
          <w:p w14:paraId="07E87757">
            <w:pPr>
              <w:adjustRightInd w:val="0"/>
              <w:snapToGrid w:val="0"/>
              <w:jc w:val="center"/>
              <w:rPr>
                <w:rFonts w:ascii="Arial" w:hAnsi="Arial" w:eastAsia="宋体" w:cs="Arial"/>
                <w:sz w:val="21"/>
                <w:szCs w:val="21"/>
              </w:rPr>
            </w:pPr>
          </w:p>
        </w:tc>
        <w:tc>
          <w:tcPr>
            <w:tcW w:w="657" w:type="pct"/>
            <w:vAlign w:val="center"/>
          </w:tcPr>
          <w:p w14:paraId="7C36FED2">
            <w:pPr>
              <w:adjustRightInd w:val="0"/>
              <w:snapToGrid w:val="0"/>
              <w:jc w:val="center"/>
              <w:rPr>
                <w:rFonts w:ascii="Arial" w:hAnsi="Arial" w:eastAsia="宋体" w:cs="Arial"/>
                <w:sz w:val="21"/>
                <w:szCs w:val="21"/>
              </w:rPr>
            </w:pPr>
          </w:p>
        </w:tc>
      </w:tr>
      <w:tr w14:paraId="4A9D8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7911086">
            <w:pPr>
              <w:adjustRightInd w:val="0"/>
              <w:snapToGrid w:val="0"/>
              <w:jc w:val="center"/>
              <w:rPr>
                <w:rFonts w:ascii="Arial" w:hAnsi="Arial" w:eastAsia="宋体" w:cs="Arial"/>
                <w:sz w:val="21"/>
                <w:szCs w:val="21"/>
              </w:rPr>
            </w:pPr>
          </w:p>
        </w:tc>
        <w:tc>
          <w:tcPr>
            <w:tcW w:w="887" w:type="pct"/>
            <w:vAlign w:val="center"/>
          </w:tcPr>
          <w:p w14:paraId="5333AE42">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0B1020E">
            <w:pPr>
              <w:adjustRightInd w:val="0"/>
              <w:snapToGrid w:val="0"/>
              <w:jc w:val="center"/>
              <w:rPr>
                <w:rFonts w:ascii="Arial" w:hAnsi="Arial" w:eastAsia="宋体" w:cs="Arial"/>
                <w:kern w:val="0"/>
                <w:sz w:val="21"/>
                <w:szCs w:val="21"/>
              </w:rPr>
            </w:pPr>
          </w:p>
        </w:tc>
        <w:tc>
          <w:tcPr>
            <w:tcW w:w="906" w:type="pct"/>
            <w:vAlign w:val="center"/>
          </w:tcPr>
          <w:p w14:paraId="21A89207">
            <w:pPr>
              <w:adjustRightInd w:val="0"/>
              <w:snapToGrid w:val="0"/>
              <w:jc w:val="center"/>
              <w:rPr>
                <w:rFonts w:ascii="Arial" w:hAnsi="Arial" w:eastAsia="宋体" w:cs="Arial"/>
                <w:kern w:val="0"/>
                <w:sz w:val="21"/>
                <w:szCs w:val="21"/>
              </w:rPr>
            </w:pPr>
          </w:p>
        </w:tc>
        <w:tc>
          <w:tcPr>
            <w:tcW w:w="657" w:type="pct"/>
            <w:vAlign w:val="center"/>
          </w:tcPr>
          <w:p w14:paraId="5AF6E033">
            <w:pPr>
              <w:adjustRightInd w:val="0"/>
              <w:snapToGrid w:val="0"/>
              <w:jc w:val="center"/>
              <w:rPr>
                <w:rFonts w:ascii="Arial" w:hAnsi="Arial" w:eastAsia="宋体" w:cs="Arial"/>
                <w:sz w:val="21"/>
                <w:szCs w:val="21"/>
              </w:rPr>
            </w:pPr>
          </w:p>
        </w:tc>
        <w:tc>
          <w:tcPr>
            <w:tcW w:w="657" w:type="pct"/>
            <w:vAlign w:val="center"/>
          </w:tcPr>
          <w:p w14:paraId="4C03D8B5">
            <w:pPr>
              <w:adjustRightInd w:val="0"/>
              <w:snapToGrid w:val="0"/>
              <w:jc w:val="center"/>
              <w:rPr>
                <w:rFonts w:ascii="Arial" w:hAnsi="Arial" w:eastAsia="宋体" w:cs="Arial"/>
                <w:sz w:val="21"/>
                <w:szCs w:val="21"/>
              </w:rPr>
            </w:pPr>
          </w:p>
        </w:tc>
      </w:tr>
      <w:tr w14:paraId="1BD95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865E000">
            <w:pPr>
              <w:adjustRightInd w:val="0"/>
              <w:snapToGrid w:val="0"/>
              <w:jc w:val="center"/>
              <w:rPr>
                <w:rFonts w:ascii="Arial" w:hAnsi="Arial" w:eastAsia="宋体" w:cs="Arial"/>
                <w:sz w:val="21"/>
                <w:szCs w:val="21"/>
              </w:rPr>
            </w:pPr>
          </w:p>
        </w:tc>
        <w:tc>
          <w:tcPr>
            <w:tcW w:w="887" w:type="pct"/>
            <w:vAlign w:val="center"/>
          </w:tcPr>
          <w:p w14:paraId="174F272F">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529EFEFB">
            <w:pPr>
              <w:adjustRightInd w:val="0"/>
              <w:snapToGrid w:val="0"/>
              <w:jc w:val="center"/>
              <w:rPr>
                <w:rFonts w:ascii="Arial" w:hAnsi="Arial" w:eastAsia="宋体" w:cs="Arial"/>
                <w:kern w:val="0"/>
                <w:sz w:val="21"/>
                <w:szCs w:val="21"/>
              </w:rPr>
            </w:pPr>
          </w:p>
        </w:tc>
        <w:tc>
          <w:tcPr>
            <w:tcW w:w="906" w:type="pct"/>
            <w:vAlign w:val="center"/>
          </w:tcPr>
          <w:p w14:paraId="38A8B2E8">
            <w:pPr>
              <w:adjustRightInd w:val="0"/>
              <w:snapToGrid w:val="0"/>
              <w:jc w:val="center"/>
              <w:rPr>
                <w:rFonts w:ascii="Arial" w:hAnsi="Arial" w:eastAsia="宋体" w:cs="Arial"/>
                <w:kern w:val="0"/>
                <w:sz w:val="21"/>
                <w:szCs w:val="21"/>
              </w:rPr>
            </w:pPr>
          </w:p>
        </w:tc>
        <w:tc>
          <w:tcPr>
            <w:tcW w:w="657" w:type="pct"/>
            <w:vAlign w:val="center"/>
          </w:tcPr>
          <w:p w14:paraId="3AE45250">
            <w:pPr>
              <w:adjustRightInd w:val="0"/>
              <w:snapToGrid w:val="0"/>
              <w:jc w:val="center"/>
              <w:rPr>
                <w:rFonts w:ascii="Arial" w:hAnsi="Arial" w:eastAsia="宋体" w:cs="Arial"/>
                <w:sz w:val="21"/>
                <w:szCs w:val="21"/>
              </w:rPr>
            </w:pPr>
          </w:p>
        </w:tc>
        <w:tc>
          <w:tcPr>
            <w:tcW w:w="657" w:type="pct"/>
            <w:vAlign w:val="center"/>
          </w:tcPr>
          <w:p w14:paraId="64368D58">
            <w:pPr>
              <w:adjustRightInd w:val="0"/>
              <w:snapToGrid w:val="0"/>
              <w:jc w:val="center"/>
              <w:rPr>
                <w:rFonts w:ascii="Arial" w:hAnsi="Arial" w:eastAsia="宋体" w:cs="Arial"/>
                <w:sz w:val="21"/>
                <w:szCs w:val="21"/>
              </w:rPr>
            </w:pPr>
          </w:p>
        </w:tc>
      </w:tr>
      <w:tr w14:paraId="25654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B1277C7">
            <w:pPr>
              <w:adjustRightInd w:val="0"/>
              <w:snapToGrid w:val="0"/>
              <w:jc w:val="center"/>
              <w:rPr>
                <w:rFonts w:ascii="Arial" w:hAnsi="Arial" w:eastAsia="宋体" w:cs="Arial"/>
                <w:sz w:val="21"/>
                <w:szCs w:val="21"/>
              </w:rPr>
            </w:pPr>
          </w:p>
        </w:tc>
        <w:tc>
          <w:tcPr>
            <w:tcW w:w="887" w:type="pct"/>
            <w:vAlign w:val="center"/>
          </w:tcPr>
          <w:p w14:paraId="0E8A1331">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20F090E">
            <w:pPr>
              <w:adjustRightInd w:val="0"/>
              <w:snapToGrid w:val="0"/>
              <w:jc w:val="center"/>
              <w:rPr>
                <w:rFonts w:ascii="Arial" w:hAnsi="Arial" w:eastAsia="宋体" w:cs="Arial"/>
                <w:kern w:val="0"/>
                <w:sz w:val="21"/>
                <w:szCs w:val="21"/>
              </w:rPr>
            </w:pPr>
          </w:p>
        </w:tc>
        <w:tc>
          <w:tcPr>
            <w:tcW w:w="906" w:type="pct"/>
            <w:vAlign w:val="center"/>
          </w:tcPr>
          <w:p w14:paraId="75DB3826">
            <w:pPr>
              <w:adjustRightInd w:val="0"/>
              <w:snapToGrid w:val="0"/>
              <w:jc w:val="center"/>
              <w:rPr>
                <w:rFonts w:ascii="Arial" w:hAnsi="Arial" w:eastAsia="宋体" w:cs="Arial"/>
                <w:kern w:val="0"/>
                <w:sz w:val="21"/>
                <w:szCs w:val="21"/>
              </w:rPr>
            </w:pPr>
          </w:p>
        </w:tc>
        <w:tc>
          <w:tcPr>
            <w:tcW w:w="657" w:type="pct"/>
            <w:vAlign w:val="center"/>
          </w:tcPr>
          <w:p w14:paraId="7605F061">
            <w:pPr>
              <w:adjustRightInd w:val="0"/>
              <w:snapToGrid w:val="0"/>
              <w:jc w:val="center"/>
              <w:rPr>
                <w:rFonts w:ascii="Arial" w:hAnsi="Arial" w:eastAsia="宋体" w:cs="Arial"/>
                <w:sz w:val="21"/>
                <w:szCs w:val="21"/>
              </w:rPr>
            </w:pPr>
          </w:p>
        </w:tc>
        <w:tc>
          <w:tcPr>
            <w:tcW w:w="657" w:type="pct"/>
            <w:vAlign w:val="center"/>
          </w:tcPr>
          <w:p w14:paraId="5CE3ACB4">
            <w:pPr>
              <w:adjustRightInd w:val="0"/>
              <w:snapToGrid w:val="0"/>
              <w:jc w:val="center"/>
              <w:rPr>
                <w:rFonts w:ascii="Arial" w:hAnsi="Arial" w:eastAsia="宋体" w:cs="Arial"/>
                <w:sz w:val="21"/>
                <w:szCs w:val="21"/>
              </w:rPr>
            </w:pPr>
          </w:p>
        </w:tc>
      </w:tr>
      <w:tr w14:paraId="48FA7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A19220E">
            <w:pPr>
              <w:adjustRightInd w:val="0"/>
              <w:snapToGrid w:val="0"/>
              <w:jc w:val="center"/>
              <w:rPr>
                <w:rFonts w:ascii="Arial" w:hAnsi="Arial" w:eastAsia="宋体" w:cs="Arial"/>
                <w:sz w:val="21"/>
                <w:szCs w:val="21"/>
              </w:rPr>
            </w:pPr>
          </w:p>
        </w:tc>
        <w:tc>
          <w:tcPr>
            <w:tcW w:w="887" w:type="pct"/>
            <w:vAlign w:val="center"/>
          </w:tcPr>
          <w:p w14:paraId="713C4A3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0F8766D">
            <w:pPr>
              <w:adjustRightInd w:val="0"/>
              <w:snapToGrid w:val="0"/>
              <w:jc w:val="center"/>
              <w:rPr>
                <w:rFonts w:ascii="Arial" w:hAnsi="Arial" w:eastAsia="宋体" w:cs="Arial"/>
                <w:kern w:val="0"/>
                <w:sz w:val="21"/>
                <w:szCs w:val="21"/>
              </w:rPr>
            </w:pPr>
          </w:p>
        </w:tc>
        <w:tc>
          <w:tcPr>
            <w:tcW w:w="906" w:type="pct"/>
            <w:vAlign w:val="center"/>
          </w:tcPr>
          <w:p w14:paraId="46E4080B">
            <w:pPr>
              <w:adjustRightInd w:val="0"/>
              <w:snapToGrid w:val="0"/>
              <w:jc w:val="center"/>
              <w:rPr>
                <w:rFonts w:ascii="Arial" w:hAnsi="Arial" w:eastAsia="宋体" w:cs="Arial"/>
                <w:kern w:val="0"/>
                <w:sz w:val="21"/>
                <w:szCs w:val="21"/>
              </w:rPr>
            </w:pPr>
          </w:p>
        </w:tc>
        <w:tc>
          <w:tcPr>
            <w:tcW w:w="657" w:type="pct"/>
            <w:vAlign w:val="center"/>
          </w:tcPr>
          <w:p w14:paraId="35155CAC">
            <w:pPr>
              <w:adjustRightInd w:val="0"/>
              <w:snapToGrid w:val="0"/>
              <w:jc w:val="center"/>
              <w:rPr>
                <w:rFonts w:ascii="Arial" w:hAnsi="Arial" w:eastAsia="宋体" w:cs="Arial"/>
                <w:sz w:val="21"/>
                <w:szCs w:val="21"/>
              </w:rPr>
            </w:pPr>
          </w:p>
        </w:tc>
        <w:tc>
          <w:tcPr>
            <w:tcW w:w="657" w:type="pct"/>
            <w:vAlign w:val="center"/>
          </w:tcPr>
          <w:p w14:paraId="0F9101B0">
            <w:pPr>
              <w:adjustRightInd w:val="0"/>
              <w:snapToGrid w:val="0"/>
              <w:jc w:val="center"/>
              <w:rPr>
                <w:rFonts w:ascii="Arial" w:hAnsi="Arial" w:eastAsia="宋体" w:cs="Arial"/>
                <w:sz w:val="21"/>
                <w:szCs w:val="21"/>
              </w:rPr>
            </w:pPr>
          </w:p>
        </w:tc>
      </w:tr>
      <w:tr w14:paraId="6F244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AAEC491">
            <w:pPr>
              <w:adjustRightInd w:val="0"/>
              <w:snapToGrid w:val="0"/>
              <w:jc w:val="center"/>
              <w:rPr>
                <w:rFonts w:ascii="Arial" w:hAnsi="Arial" w:eastAsia="宋体" w:cs="Arial"/>
                <w:sz w:val="21"/>
                <w:szCs w:val="21"/>
              </w:rPr>
            </w:pPr>
          </w:p>
        </w:tc>
        <w:tc>
          <w:tcPr>
            <w:tcW w:w="887" w:type="pct"/>
            <w:vAlign w:val="center"/>
          </w:tcPr>
          <w:p w14:paraId="2DB7D46E">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05D4D11">
            <w:pPr>
              <w:adjustRightInd w:val="0"/>
              <w:snapToGrid w:val="0"/>
              <w:jc w:val="center"/>
              <w:rPr>
                <w:rFonts w:ascii="Arial" w:hAnsi="Arial" w:eastAsia="宋体" w:cs="Arial"/>
                <w:kern w:val="0"/>
                <w:sz w:val="21"/>
                <w:szCs w:val="21"/>
              </w:rPr>
            </w:pPr>
          </w:p>
        </w:tc>
        <w:tc>
          <w:tcPr>
            <w:tcW w:w="906" w:type="pct"/>
            <w:vAlign w:val="center"/>
          </w:tcPr>
          <w:p w14:paraId="16623522">
            <w:pPr>
              <w:adjustRightInd w:val="0"/>
              <w:snapToGrid w:val="0"/>
              <w:jc w:val="center"/>
              <w:rPr>
                <w:rFonts w:ascii="Arial" w:hAnsi="Arial" w:eastAsia="宋体" w:cs="Arial"/>
                <w:kern w:val="0"/>
                <w:sz w:val="21"/>
                <w:szCs w:val="21"/>
              </w:rPr>
            </w:pPr>
          </w:p>
        </w:tc>
        <w:tc>
          <w:tcPr>
            <w:tcW w:w="657" w:type="pct"/>
            <w:vAlign w:val="center"/>
          </w:tcPr>
          <w:p w14:paraId="509D166B">
            <w:pPr>
              <w:adjustRightInd w:val="0"/>
              <w:snapToGrid w:val="0"/>
              <w:jc w:val="center"/>
              <w:rPr>
                <w:rFonts w:ascii="Arial" w:hAnsi="Arial" w:eastAsia="宋体" w:cs="Arial"/>
                <w:sz w:val="21"/>
                <w:szCs w:val="21"/>
              </w:rPr>
            </w:pPr>
          </w:p>
        </w:tc>
        <w:tc>
          <w:tcPr>
            <w:tcW w:w="657" w:type="pct"/>
            <w:vAlign w:val="center"/>
          </w:tcPr>
          <w:p w14:paraId="3571F081">
            <w:pPr>
              <w:adjustRightInd w:val="0"/>
              <w:snapToGrid w:val="0"/>
              <w:jc w:val="center"/>
              <w:rPr>
                <w:rFonts w:ascii="Arial" w:hAnsi="Arial" w:eastAsia="宋体" w:cs="Arial"/>
                <w:sz w:val="21"/>
                <w:szCs w:val="21"/>
              </w:rPr>
            </w:pPr>
          </w:p>
        </w:tc>
      </w:tr>
      <w:tr w14:paraId="41764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5D66BE32">
            <w:pPr>
              <w:adjustRightInd w:val="0"/>
              <w:snapToGrid w:val="0"/>
              <w:jc w:val="center"/>
              <w:rPr>
                <w:rFonts w:ascii="Arial" w:hAnsi="Arial" w:eastAsia="宋体" w:cs="Arial"/>
                <w:sz w:val="21"/>
                <w:szCs w:val="21"/>
              </w:rPr>
            </w:pPr>
          </w:p>
        </w:tc>
        <w:tc>
          <w:tcPr>
            <w:tcW w:w="887" w:type="pct"/>
            <w:vAlign w:val="center"/>
          </w:tcPr>
          <w:p w14:paraId="499B706F">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6B353E38">
            <w:pPr>
              <w:adjustRightInd w:val="0"/>
              <w:snapToGrid w:val="0"/>
              <w:jc w:val="center"/>
              <w:rPr>
                <w:rFonts w:ascii="Arial" w:hAnsi="Arial" w:eastAsia="宋体" w:cs="Arial"/>
                <w:kern w:val="0"/>
                <w:sz w:val="21"/>
                <w:szCs w:val="21"/>
              </w:rPr>
            </w:pPr>
          </w:p>
        </w:tc>
        <w:tc>
          <w:tcPr>
            <w:tcW w:w="906" w:type="pct"/>
            <w:vAlign w:val="center"/>
          </w:tcPr>
          <w:p w14:paraId="74A0D9C2">
            <w:pPr>
              <w:adjustRightInd w:val="0"/>
              <w:snapToGrid w:val="0"/>
              <w:jc w:val="center"/>
              <w:rPr>
                <w:rFonts w:ascii="Arial" w:hAnsi="Arial" w:eastAsia="宋体" w:cs="Arial"/>
                <w:kern w:val="0"/>
                <w:sz w:val="21"/>
                <w:szCs w:val="21"/>
              </w:rPr>
            </w:pPr>
          </w:p>
        </w:tc>
        <w:tc>
          <w:tcPr>
            <w:tcW w:w="657" w:type="pct"/>
            <w:vAlign w:val="center"/>
          </w:tcPr>
          <w:p w14:paraId="59CEEB93">
            <w:pPr>
              <w:adjustRightInd w:val="0"/>
              <w:snapToGrid w:val="0"/>
              <w:jc w:val="center"/>
              <w:rPr>
                <w:rFonts w:ascii="Arial" w:hAnsi="Arial" w:eastAsia="宋体" w:cs="Arial"/>
                <w:sz w:val="21"/>
                <w:szCs w:val="21"/>
              </w:rPr>
            </w:pPr>
          </w:p>
        </w:tc>
        <w:tc>
          <w:tcPr>
            <w:tcW w:w="657" w:type="pct"/>
            <w:vAlign w:val="center"/>
          </w:tcPr>
          <w:p w14:paraId="7230493B">
            <w:pPr>
              <w:adjustRightInd w:val="0"/>
              <w:snapToGrid w:val="0"/>
              <w:jc w:val="center"/>
              <w:rPr>
                <w:rFonts w:ascii="Arial" w:hAnsi="Arial" w:eastAsia="宋体" w:cs="Arial"/>
                <w:sz w:val="21"/>
                <w:szCs w:val="21"/>
              </w:rPr>
            </w:pPr>
          </w:p>
        </w:tc>
      </w:tr>
      <w:tr w14:paraId="3B1C6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2686695">
            <w:pPr>
              <w:adjustRightInd w:val="0"/>
              <w:snapToGrid w:val="0"/>
              <w:jc w:val="center"/>
              <w:rPr>
                <w:rFonts w:ascii="Arial" w:hAnsi="Arial" w:eastAsia="宋体" w:cs="Arial"/>
                <w:sz w:val="21"/>
                <w:szCs w:val="21"/>
              </w:rPr>
            </w:pPr>
          </w:p>
        </w:tc>
        <w:tc>
          <w:tcPr>
            <w:tcW w:w="887" w:type="pct"/>
            <w:vAlign w:val="center"/>
          </w:tcPr>
          <w:p w14:paraId="2A3444E3">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2437B87">
            <w:pPr>
              <w:adjustRightInd w:val="0"/>
              <w:snapToGrid w:val="0"/>
              <w:jc w:val="center"/>
              <w:rPr>
                <w:rFonts w:ascii="Arial" w:hAnsi="Arial" w:eastAsia="宋体" w:cs="Arial"/>
                <w:kern w:val="0"/>
                <w:sz w:val="21"/>
                <w:szCs w:val="21"/>
              </w:rPr>
            </w:pPr>
          </w:p>
        </w:tc>
        <w:tc>
          <w:tcPr>
            <w:tcW w:w="906" w:type="pct"/>
            <w:vAlign w:val="center"/>
          </w:tcPr>
          <w:p w14:paraId="61E6B352">
            <w:pPr>
              <w:adjustRightInd w:val="0"/>
              <w:snapToGrid w:val="0"/>
              <w:jc w:val="center"/>
              <w:rPr>
                <w:rFonts w:ascii="Arial" w:hAnsi="Arial" w:eastAsia="宋体" w:cs="Arial"/>
                <w:kern w:val="0"/>
                <w:sz w:val="21"/>
                <w:szCs w:val="21"/>
              </w:rPr>
            </w:pPr>
          </w:p>
        </w:tc>
        <w:tc>
          <w:tcPr>
            <w:tcW w:w="657" w:type="pct"/>
            <w:vAlign w:val="center"/>
          </w:tcPr>
          <w:p w14:paraId="6A7A435A">
            <w:pPr>
              <w:adjustRightInd w:val="0"/>
              <w:snapToGrid w:val="0"/>
              <w:jc w:val="center"/>
              <w:rPr>
                <w:rFonts w:ascii="Arial" w:hAnsi="Arial" w:eastAsia="宋体" w:cs="Arial"/>
                <w:sz w:val="21"/>
                <w:szCs w:val="21"/>
              </w:rPr>
            </w:pPr>
          </w:p>
        </w:tc>
        <w:tc>
          <w:tcPr>
            <w:tcW w:w="657" w:type="pct"/>
            <w:vAlign w:val="center"/>
          </w:tcPr>
          <w:p w14:paraId="6F76C97B">
            <w:pPr>
              <w:adjustRightInd w:val="0"/>
              <w:snapToGrid w:val="0"/>
              <w:jc w:val="center"/>
              <w:rPr>
                <w:rFonts w:ascii="Arial" w:hAnsi="Arial" w:eastAsia="宋体" w:cs="Arial"/>
                <w:sz w:val="21"/>
                <w:szCs w:val="21"/>
              </w:rPr>
            </w:pPr>
          </w:p>
        </w:tc>
      </w:tr>
      <w:tr w14:paraId="13766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AF03BBB">
            <w:pPr>
              <w:adjustRightInd w:val="0"/>
              <w:snapToGrid w:val="0"/>
              <w:jc w:val="center"/>
              <w:rPr>
                <w:rFonts w:ascii="Arial" w:hAnsi="Arial" w:eastAsia="宋体" w:cs="Arial"/>
                <w:sz w:val="21"/>
                <w:szCs w:val="21"/>
              </w:rPr>
            </w:pPr>
          </w:p>
        </w:tc>
        <w:tc>
          <w:tcPr>
            <w:tcW w:w="887" w:type="pct"/>
            <w:vAlign w:val="center"/>
          </w:tcPr>
          <w:p w14:paraId="7D3062C6">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44A5112">
            <w:pPr>
              <w:adjustRightInd w:val="0"/>
              <w:snapToGrid w:val="0"/>
              <w:jc w:val="center"/>
              <w:rPr>
                <w:rFonts w:ascii="Arial" w:hAnsi="Arial" w:eastAsia="宋体" w:cs="Arial"/>
                <w:kern w:val="0"/>
                <w:sz w:val="21"/>
                <w:szCs w:val="21"/>
              </w:rPr>
            </w:pPr>
          </w:p>
        </w:tc>
        <w:tc>
          <w:tcPr>
            <w:tcW w:w="906" w:type="pct"/>
            <w:vAlign w:val="center"/>
          </w:tcPr>
          <w:p w14:paraId="72150537">
            <w:pPr>
              <w:adjustRightInd w:val="0"/>
              <w:snapToGrid w:val="0"/>
              <w:jc w:val="center"/>
              <w:rPr>
                <w:rFonts w:ascii="Arial" w:hAnsi="Arial" w:eastAsia="宋体" w:cs="Arial"/>
                <w:kern w:val="0"/>
                <w:sz w:val="21"/>
                <w:szCs w:val="21"/>
              </w:rPr>
            </w:pPr>
          </w:p>
        </w:tc>
        <w:tc>
          <w:tcPr>
            <w:tcW w:w="657" w:type="pct"/>
            <w:vAlign w:val="center"/>
          </w:tcPr>
          <w:p w14:paraId="2B75FB7A">
            <w:pPr>
              <w:adjustRightInd w:val="0"/>
              <w:snapToGrid w:val="0"/>
              <w:jc w:val="center"/>
              <w:rPr>
                <w:rFonts w:ascii="Arial" w:hAnsi="Arial" w:eastAsia="宋体" w:cs="Arial"/>
                <w:sz w:val="21"/>
                <w:szCs w:val="21"/>
              </w:rPr>
            </w:pPr>
          </w:p>
        </w:tc>
        <w:tc>
          <w:tcPr>
            <w:tcW w:w="657" w:type="pct"/>
            <w:vAlign w:val="center"/>
          </w:tcPr>
          <w:p w14:paraId="683D51C2">
            <w:pPr>
              <w:adjustRightInd w:val="0"/>
              <w:snapToGrid w:val="0"/>
              <w:jc w:val="center"/>
              <w:rPr>
                <w:rFonts w:ascii="Arial" w:hAnsi="Arial" w:eastAsia="宋体" w:cs="Arial"/>
                <w:sz w:val="21"/>
                <w:szCs w:val="21"/>
              </w:rPr>
            </w:pPr>
          </w:p>
        </w:tc>
      </w:tr>
      <w:tr w14:paraId="2A3D9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FAEDA31">
            <w:pPr>
              <w:adjustRightInd w:val="0"/>
              <w:snapToGrid w:val="0"/>
              <w:jc w:val="center"/>
              <w:rPr>
                <w:rFonts w:ascii="Arial" w:hAnsi="Arial" w:eastAsia="宋体" w:cs="Arial"/>
                <w:sz w:val="21"/>
                <w:szCs w:val="21"/>
              </w:rPr>
            </w:pPr>
          </w:p>
        </w:tc>
        <w:tc>
          <w:tcPr>
            <w:tcW w:w="887" w:type="pct"/>
            <w:vAlign w:val="center"/>
          </w:tcPr>
          <w:p w14:paraId="31F55B06">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CB1CB20">
            <w:pPr>
              <w:adjustRightInd w:val="0"/>
              <w:snapToGrid w:val="0"/>
              <w:jc w:val="center"/>
              <w:rPr>
                <w:rFonts w:ascii="Arial" w:hAnsi="Arial" w:eastAsia="宋体" w:cs="Arial"/>
                <w:kern w:val="0"/>
                <w:sz w:val="21"/>
                <w:szCs w:val="21"/>
              </w:rPr>
            </w:pPr>
          </w:p>
        </w:tc>
        <w:tc>
          <w:tcPr>
            <w:tcW w:w="906" w:type="pct"/>
            <w:vAlign w:val="center"/>
          </w:tcPr>
          <w:p w14:paraId="3BCA4B37">
            <w:pPr>
              <w:adjustRightInd w:val="0"/>
              <w:snapToGrid w:val="0"/>
              <w:jc w:val="center"/>
              <w:rPr>
                <w:rFonts w:ascii="Arial" w:hAnsi="Arial" w:eastAsia="宋体" w:cs="Arial"/>
                <w:kern w:val="0"/>
                <w:sz w:val="21"/>
                <w:szCs w:val="21"/>
              </w:rPr>
            </w:pPr>
          </w:p>
        </w:tc>
        <w:tc>
          <w:tcPr>
            <w:tcW w:w="657" w:type="pct"/>
            <w:vAlign w:val="center"/>
          </w:tcPr>
          <w:p w14:paraId="5AB4467C">
            <w:pPr>
              <w:adjustRightInd w:val="0"/>
              <w:snapToGrid w:val="0"/>
              <w:jc w:val="center"/>
              <w:rPr>
                <w:rFonts w:ascii="Arial" w:hAnsi="Arial" w:eastAsia="宋体" w:cs="Arial"/>
                <w:sz w:val="21"/>
                <w:szCs w:val="21"/>
              </w:rPr>
            </w:pPr>
          </w:p>
        </w:tc>
        <w:tc>
          <w:tcPr>
            <w:tcW w:w="657" w:type="pct"/>
            <w:vAlign w:val="center"/>
          </w:tcPr>
          <w:p w14:paraId="5100E427">
            <w:pPr>
              <w:adjustRightInd w:val="0"/>
              <w:snapToGrid w:val="0"/>
              <w:jc w:val="center"/>
              <w:rPr>
                <w:rFonts w:ascii="Arial" w:hAnsi="Arial" w:eastAsia="宋体" w:cs="Arial"/>
                <w:sz w:val="21"/>
                <w:szCs w:val="21"/>
              </w:rPr>
            </w:pPr>
          </w:p>
        </w:tc>
      </w:tr>
      <w:tr w14:paraId="0B59B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7A0B180">
            <w:pPr>
              <w:adjustRightInd w:val="0"/>
              <w:snapToGrid w:val="0"/>
              <w:jc w:val="center"/>
              <w:rPr>
                <w:rFonts w:ascii="Arial" w:hAnsi="Arial" w:eastAsia="宋体" w:cs="Arial"/>
                <w:sz w:val="21"/>
                <w:szCs w:val="21"/>
              </w:rPr>
            </w:pPr>
          </w:p>
        </w:tc>
        <w:tc>
          <w:tcPr>
            <w:tcW w:w="887" w:type="pct"/>
            <w:vAlign w:val="center"/>
          </w:tcPr>
          <w:p w14:paraId="0AC647B5">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3B993D0">
            <w:pPr>
              <w:adjustRightInd w:val="0"/>
              <w:snapToGrid w:val="0"/>
              <w:jc w:val="center"/>
              <w:rPr>
                <w:rFonts w:ascii="Arial" w:hAnsi="Arial" w:eastAsia="宋体" w:cs="Arial"/>
                <w:kern w:val="0"/>
                <w:sz w:val="21"/>
                <w:szCs w:val="21"/>
              </w:rPr>
            </w:pPr>
          </w:p>
        </w:tc>
        <w:tc>
          <w:tcPr>
            <w:tcW w:w="906" w:type="pct"/>
            <w:vAlign w:val="center"/>
          </w:tcPr>
          <w:p w14:paraId="31688115">
            <w:pPr>
              <w:adjustRightInd w:val="0"/>
              <w:snapToGrid w:val="0"/>
              <w:jc w:val="center"/>
              <w:rPr>
                <w:rFonts w:ascii="Arial" w:hAnsi="Arial" w:eastAsia="宋体" w:cs="Arial"/>
                <w:kern w:val="0"/>
                <w:sz w:val="21"/>
                <w:szCs w:val="21"/>
              </w:rPr>
            </w:pPr>
          </w:p>
        </w:tc>
        <w:tc>
          <w:tcPr>
            <w:tcW w:w="657" w:type="pct"/>
            <w:vAlign w:val="center"/>
          </w:tcPr>
          <w:p w14:paraId="112CD979">
            <w:pPr>
              <w:adjustRightInd w:val="0"/>
              <w:snapToGrid w:val="0"/>
              <w:jc w:val="center"/>
              <w:rPr>
                <w:rFonts w:ascii="Arial" w:hAnsi="Arial" w:eastAsia="宋体" w:cs="Arial"/>
                <w:sz w:val="21"/>
                <w:szCs w:val="21"/>
              </w:rPr>
            </w:pPr>
          </w:p>
        </w:tc>
        <w:tc>
          <w:tcPr>
            <w:tcW w:w="657" w:type="pct"/>
            <w:vAlign w:val="center"/>
          </w:tcPr>
          <w:p w14:paraId="009FBE71">
            <w:pPr>
              <w:adjustRightInd w:val="0"/>
              <w:snapToGrid w:val="0"/>
              <w:jc w:val="center"/>
              <w:rPr>
                <w:rFonts w:ascii="Arial" w:hAnsi="Arial" w:eastAsia="宋体" w:cs="Arial"/>
                <w:sz w:val="21"/>
                <w:szCs w:val="21"/>
              </w:rPr>
            </w:pPr>
          </w:p>
        </w:tc>
      </w:tr>
      <w:tr w14:paraId="45319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B46C1D7">
            <w:pPr>
              <w:adjustRightInd w:val="0"/>
              <w:snapToGrid w:val="0"/>
              <w:jc w:val="center"/>
              <w:rPr>
                <w:rFonts w:ascii="Arial" w:hAnsi="Arial" w:eastAsia="宋体" w:cs="Arial"/>
                <w:sz w:val="21"/>
                <w:szCs w:val="21"/>
              </w:rPr>
            </w:pPr>
          </w:p>
        </w:tc>
        <w:tc>
          <w:tcPr>
            <w:tcW w:w="887" w:type="pct"/>
            <w:vAlign w:val="center"/>
          </w:tcPr>
          <w:p w14:paraId="3486F969">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91AF7FD">
            <w:pPr>
              <w:adjustRightInd w:val="0"/>
              <w:snapToGrid w:val="0"/>
              <w:jc w:val="center"/>
              <w:rPr>
                <w:rFonts w:ascii="Arial" w:hAnsi="Arial" w:eastAsia="宋体" w:cs="Arial"/>
                <w:kern w:val="0"/>
                <w:sz w:val="21"/>
                <w:szCs w:val="21"/>
              </w:rPr>
            </w:pPr>
          </w:p>
        </w:tc>
        <w:tc>
          <w:tcPr>
            <w:tcW w:w="906" w:type="pct"/>
            <w:vAlign w:val="center"/>
          </w:tcPr>
          <w:p w14:paraId="5AA88800">
            <w:pPr>
              <w:adjustRightInd w:val="0"/>
              <w:snapToGrid w:val="0"/>
              <w:jc w:val="center"/>
              <w:rPr>
                <w:rFonts w:ascii="Arial" w:hAnsi="Arial" w:eastAsia="宋体" w:cs="Arial"/>
                <w:kern w:val="0"/>
                <w:sz w:val="21"/>
                <w:szCs w:val="21"/>
              </w:rPr>
            </w:pPr>
          </w:p>
        </w:tc>
        <w:tc>
          <w:tcPr>
            <w:tcW w:w="657" w:type="pct"/>
            <w:vAlign w:val="center"/>
          </w:tcPr>
          <w:p w14:paraId="0E765D7E">
            <w:pPr>
              <w:adjustRightInd w:val="0"/>
              <w:snapToGrid w:val="0"/>
              <w:jc w:val="center"/>
              <w:rPr>
                <w:rFonts w:ascii="Arial" w:hAnsi="Arial" w:eastAsia="宋体" w:cs="Arial"/>
                <w:sz w:val="21"/>
                <w:szCs w:val="21"/>
              </w:rPr>
            </w:pPr>
          </w:p>
        </w:tc>
        <w:tc>
          <w:tcPr>
            <w:tcW w:w="657" w:type="pct"/>
            <w:vAlign w:val="center"/>
          </w:tcPr>
          <w:p w14:paraId="6DED570E">
            <w:pPr>
              <w:adjustRightInd w:val="0"/>
              <w:snapToGrid w:val="0"/>
              <w:jc w:val="center"/>
              <w:rPr>
                <w:rFonts w:ascii="Arial" w:hAnsi="Arial" w:eastAsia="宋体" w:cs="Arial"/>
                <w:sz w:val="21"/>
                <w:szCs w:val="21"/>
              </w:rPr>
            </w:pPr>
          </w:p>
        </w:tc>
      </w:tr>
      <w:tr w14:paraId="2F6C5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B2117C6">
            <w:pPr>
              <w:adjustRightInd w:val="0"/>
              <w:snapToGrid w:val="0"/>
              <w:jc w:val="center"/>
              <w:rPr>
                <w:rFonts w:ascii="Arial" w:hAnsi="Arial" w:eastAsia="宋体" w:cs="Arial"/>
                <w:sz w:val="21"/>
                <w:szCs w:val="21"/>
              </w:rPr>
            </w:pPr>
          </w:p>
        </w:tc>
        <w:tc>
          <w:tcPr>
            <w:tcW w:w="887" w:type="pct"/>
            <w:vAlign w:val="center"/>
          </w:tcPr>
          <w:p w14:paraId="5F99BF20">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846114F">
            <w:pPr>
              <w:adjustRightInd w:val="0"/>
              <w:snapToGrid w:val="0"/>
              <w:jc w:val="center"/>
              <w:rPr>
                <w:rFonts w:ascii="Arial" w:hAnsi="Arial" w:eastAsia="宋体" w:cs="Arial"/>
                <w:kern w:val="0"/>
                <w:sz w:val="21"/>
                <w:szCs w:val="21"/>
              </w:rPr>
            </w:pPr>
          </w:p>
        </w:tc>
        <w:tc>
          <w:tcPr>
            <w:tcW w:w="906" w:type="pct"/>
            <w:vAlign w:val="center"/>
          </w:tcPr>
          <w:p w14:paraId="2312BFA5">
            <w:pPr>
              <w:adjustRightInd w:val="0"/>
              <w:snapToGrid w:val="0"/>
              <w:jc w:val="center"/>
              <w:rPr>
                <w:rFonts w:ascii="Arial" w:hAnsi="Arial" w:eastAsia="宋体" w:cs="Arial"/>
                <w:kern w:val="0"/>
                <w:sz w:val="21"/>
                <w:szCs w:val="21"/>
              </w:rPr>
            </w:pPr>
          </w:p>
        </w:tc>
        <w:tc>
          <w:tcPr>
            <w:tcW w:w="657" w:type="pct"/>
            <w:vAlign w:val="center"/>
          </w:tcPr>
          <w:p w14:paraId="214EDC68">
            <w:pPr>
              <w:adjustRightInd w:val="0"/>
              <w:snapToGrid w:val="0"/>
              <w:jc w:val="center"/>
              <w:rPr>
                <w:rFonts w:ascii="Arial" w:hAnsi="Arial" w:eastAsia="宋体" w:cs="Arial"/>
                <w:sz w:val="21"/>
                <w:szCs w:val="21"/>
              </w:rPr>
            </w:pPr>
          </w:p>
        </w:tc>
        <w:tc>
          <w:tcPr>
            <w:tcW w:w="657" w:type="pct"/>
            <w:vAlign w:val="center"/>
          </w:tcPr>
          <w:p w14:paraId="696A55D9">
            <w:pPr>
              <w:adjustRightInd w:val="0"/>
              <w:snapToGrid w:val="0"/>
              <w:jc w:val="center"/>
              <w:rPr>
                <w:rFonts w:ascii="Arial" w:hAnsi="Arial" w:eastAsia="宋体" w:cs="Arial"/>
                <w:sz w:val="21"/>
                <w:szCs w:val="21"/>
              </w:rPr>
            </w:pPr>
          </w:p>
        </w:tc>
      </w:tr>
      <w:tr w14:paraId="48855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B6E0621">
            <w:pPr>
              <w:adjustRightInd w:val="0"/>
              <w:snapToGrid w:val="0"/>
              <w:jc w:val="center"/>
              <w:rPr>
                <w:rFonts w:ascii="Arial" w:hAnsi="Arial" w:eastAsia="宋体" w:cs="Arial"/>
                <w:sz w:val="21"/>
                <w:szCs w:val="21"/>
              </w:rPr>
            </w:pPr>
          </w:p>
        </w:tc>
        <w:tc>
          <w:tcPr>
            <w:tcW w:w="887" w:type="pct"/>
            <w:vAlign w:val="center"/>
          </w:tcPr>
          <w:p w14:paraId="76EE1E17">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8054D2C">
            <w:pPr>
              <w:adjustRightInd w:val="0"/>
              <w:snapToGrid w:val="0"/>
              <w:jc w:val="center"/>
              <w:rPr>
                <w:rFonts w:ascii="Arial" w:hAnsi="Arial" w:eastAsia="宋体" w:cs="Arial"/>
                <w:kern w:val="0"/>
                <w:sz w:val="21"/>
                <w:szCs w:val="21"/>
              </w:rPr>
            </w:pPr>
          </w:p>
        </w:tc>
        <w:tc>
          <w:tcPr>
            <w:tcW w:w="906" w:type="pct"/>
            <w:vAlign w:val="center"/>
          </w:tcPr>
          <w:p w14:paraId="6E6E4B5A">
            <w:pPr>
              <w:adjustRightInd w:val="0"/>
              <w:snapToGrid w:val="0"/>
              <w:jc w:val="center"/>
              <w:rPr>
                <w:rFonts w:ascii="Arial" w:hAnsi="Arial" w:eastAsia="宋体" w:cs="Arial"/>
                <w:kern w:val="0"/>
                <w:sz w:val="21"/>
                <w:szCs w:val="21"/>
              </w:rPr>
            </w:pPr>
          </w:p>
        </w:tc>
        <w:tc>
          <w:tcPr>
            <w:tcW w:w="657" w:type="pct"/>
            <w:vAlign w:val="center"/>
          </w:tcPr>
          <w:p w14:paraId="184DA8A5">
            <w:pPr>
              <w:adjustRightInd w:val="0"/>
              <w:snapToGrid w:val="0"/>
              <w:jc w:val="center"/>
              <w:rPr>
                <w:rFonts w:ascii="Arial" w:hAnsi="Arial" w:eastAsia="宋体" w:cs="Arial"/>
                <w:sz w:val="21"/>
                <w:szCs w:val="21"/>
              </w:rPr>
            </w:pPr>
          </w:p>
        </w:tc>
        <w:tc>
          <w:tcPr>
            <w:tcW w:w="657" w:type="pct"/>
            <w:vAlign w:val="center"/>
          </w:tcPr>
          <w:p w14:paraId="764B799C">
            <w:pPr>
              <w:adjustRightInd w:val="0"/>
              <w:snapToGrid w:val="0"/>
              <w:jc w:val="center"/>
              <w:rPr>
                <w:rFonts w:ascii="Arial" w:hAnsi="Arial" w:eastAsia="宋体" w:cs="Arial"/>
                <w:sz w:val="21"/>
                <w:szCs w:val="21"/>
              </w:rPr>
            </w:pPr>
          </w:p>
        </w:tc>
      </w:tr>
      <w:tr w14:paraId="1040A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DFFE6EA">
            <w:pPr>
              <w:adjustRightInd w:val="0"/>
              <w:snapToGrid w:val="0"/>
              <w:jc w:val="center"/>
              <w:rPr>
                <w:rFonts w:ascii="Arial" w:hAnsi="Arial" w:eastAsia="宋体" w:cs="Arial"/>
                <w:sz w:val="21"/>
                <w:szCs w:val="21"/>
              </w:rPr>
            </w:pPr>
          </w:p>
        </w:tc>
        <w:tc>
          <w:tcPr>
            <w:tcW w:w="887" w:type="pct"/>
            <w:vAlign w:val="center"/>
          </w:tcPr>
          <w:p w14:paraId="1D4A69C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AC9287F">
            <w:pPr>
              <w:adjustRightInd w:val="0"/>
              <w:snapToGrid w:val="0"/>
              <w:jc w:val="center"/>
              <w:rPr>
                <w:rFonts w:ascii="Arial" w:hAnsi="Arial" w:eastAsia="宋体" w:cs="Arial"/>
                <w:kern w:val="0"/>
                <w:sz w:val="21"/>
                <w:szCs w:val="21"/>
              </w:rPr>
            </w:pPr>
          </w:p>
        </w:tc>
        <w:tc>
          <w:tcPr>
            <w:tcW w:w="906" w:type="pct"/>
            <w:vAlign w:val="center"/>
          </w:tcPr>
          <w:p w14:paraId="2223803B">
            <w:pPr>
              <w:adjustRightInd w:val="0"/>
              <w:snapToGrid w:val="0"/>
              <w:jc w:val="center"/>
              <w:rPr>
                <w:rFonts w:ascii="Arial" w:hAnsi="Arial" w:eastAsia="宋体" w:cs="Arial"/>
                <w:kern w:val="0"/>
                <w:sz w:val="21"/>
                <w:szCs w:val="21"/>
              </w:rPr>
            </w:pPr>
          </w:p>
        </w:tc>
        <w:tc>
          <w:tcPr>
            <w:tcW w:w="657" w:type="pct"/>
            <w:vAlign w:val="center"/>
          </w:tcPr>
          <w:p w14:paraId="46FB2715">
            <w:pPr>
              <w:adjustRightInd w:val="0"/>
              <w:snapToGrid w:val="0"/>
              <w:jc w:val="center"/>
              <w:rPr>
                <w:rFonts w:ascii="Arial" w:hAnsi="Arial" w:eastAsia="宋体" w:cs="Arial"/>
                <w:sz w:val="21"/>
                <w:szCs w:val="21"/>
              </w:rPr>
            </w:pPr>
          </w:p>
        </w:tc>
        <w:tc>
          <w:tcPr>
            <w:tcW w:w="657" w:type="pct"/>
            <w:vAlign w:val="center"/>
          </w:tcPr>
          <w:p w14:paraId="2C172DB1">
            <w:pPr>
              <w:adjustRightInd w:val="0"/>
              <w:snapToGrid w:val="0"/>
              <w:jc w:val="center"/>
              <w:rPr>
                <w:rFonts w:ascii="Arial" w:hAnsi="Arial" w:eastAsia="宋体" w:cs="Arial"/>
                <w:sz w:val="21"/>
                <w:szCs w:val="21"/>
              </w:rPr>
            </w:pPr>
          </w:p>
        </w:tc>
      </w:tr>
      <w:tr w14:paraId="1E5CF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BBB4665">
            <w:pPr>
              <w:adjustRightInd w:val="0"/>
              <w:snapToGrid w:val="0"/>
              <w:jc w:val="center"/>
              <w:rPr>
                <w:rFonts w:ascii="Arial" w:hAnsi="Arial" w:eastAsia="宋体" w:cs="Arial"/>
                <w:sz w:val="21"/>
                <w:szCs w:val="21"/>
              </w:rPr>
            </w:pPr>
          </w:p>
        </w:tc>
        <w:tc>
          <w:tcPr>
            <w:tcW w:w="887" w:type="pct"/>
            <w:vAlign w:val="center"/>
          </w:tcPr>
          <w:p w14:paraId="7A8848A9">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59586F88">
            <w:pPr>
              <w:adjustRightInd w:val="0"/>
              <w:snapToGrid w:val="0"/>
              <w:jc w:val="center"/>
              <w:rPr>
                <w:rFonts w:ascii="Arial" w:hAnsi="Arial" w:eastAsia="宋体" w:cs="Arial"/>
                <w:kern w:val="0"/>
                <w:sz w:val="21"/>
                <w:szCs w:val="21"/>
              </w:rPr>
            </w:pPr>
          </w:p>
        </w:tc>
        <w:tc>
          <w:tcPr>
            <w:tcW w:w="906" w:type="pct"/>
            <w:vAlign w:val="center"/>
          </w:tcPr>
          <w:p w14:paraId="30BBA33A">
            <w:pPr>
              <w:adjustRightInd w:val="0"/>
              <w:snapToGrid w:val="0"/>
              <w:jc w:val="center"/>
              <w:rPr>
                <w:rFonts w:ascii="Arial" w:hAnsi="Arial" w:eastAsia="宋体" w:cs="Arial"/>
                <w:kern w:val="0"/>
                <w:sz w:val="21"/>
                <w:szCs w:val="21"/>
              </w:rPr>
            </w:pPr>
          </w:p>
        </w:tc>
        <w:tc>
          <w:tcPr>
            <w:tcW w:w="657" w:type="pct"/>
            <w:vAlign w:val="center"/>
          </w:tcPr>
          <w:p w14:paraId="2971B459">
            <w:pPr>
              <w:adjustRightInd w:val="0"/>
              <w:snapToGrid w:val="0"/>
              <w:jc w:val="center"/>
              <w:rPr>
                <w:rFonts w:ascii="Arial" w:hAnsi="Arial" w:eastAsia="宋体" w:cs="Arial"/>
                <w:sz w:val="21"/>
                <w:szCs w:val="21"/>
              </w:rPr>
            </w:pPr>
          </w:p>
        </w:tc>
        <w:tc>
          <w:tcPr>
            <w:tcW w:w="657" w:type="pct"/>
            <w:vAlign w:val="center"/>
          </w:tcPr>
          <w:p w14:paraId="0A2090BA">
            <w:pPr>
              <w:adjustRightInd w:val="0"/>
              <w:snapToGrid w:val="0"/>
              <w:jc w:val="center"/>
              <w:rPr>
                <w:rFonts w:ascii="Arial" w:hAnsi="Arial" w:eastAsia="宋体" w:cs="Arial"/>
                <w:sz w:val="21"/>
                <w:szCs w:val="21"/>
              </w:rPr>
            </w:pPr>
          </w:p>
        </w:tc>
      </w:tr>
      <w:tr w14:paraId="4D697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EFA5873">
            <w:pPr>
              <w:adjustRightInd w:val="0"/>
              <w:snapToGrid w:val="0"/>
              <w:jc w:val="center"/>
              <w:rPr>
                <w:rFonts w:ascii="Arial" w:hAnsi="Arial" w:eastAsia="宋体" w:cs="Arial"/>
                <w:sz w:val="21"/>
                <w:szCs w:val="21"/>
              </w:rPr>
            </w:pPr>
          </w:p>
        </w:tc>
        <w:tc>
          <w:tcPr>
            <w:tcW w:w="887" w:type="pct"/>
            <w:vAlign w:val="center"/>
          </w:tcPr>
          <w:p w14:paraId="15201723">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0B2447CD">
            <w:pPr>
              <w:adjustRightInd w:val="0"/>
              <w:snapToGrid w:val="0"/>
              <w:jc w:val="center"/>
              <w:rPr>
                <w:rFonts w:ascii="Arial" w:hAnsi="Arial" w:eastAsia="宋体" w:cs="Arial"/>
                <w:kern w:val="0"/>
                <w:sz w:val="21"/>
                <w:szCs w:val="21"/>
              </w:rPr>
            </w:pPr>
          </w:p>
        </w:tc>
        <w:tc>
          <w:tcPr>
            <w:tcW w:w="906" w:type="pct"/>
            <w:vAlign w:val="center"/>
          </w:tcPr>
          <w:p w14:paraId="09E32BCA">
            <w:pPr>
              <w:adjustRightInd w:val="0"/>
              <w:snapToGrid w:val="0"/>
              <w:jc w:val="center"/>
              <w:rPr>
                <w:rFonts w:ascii="Arial" w:hAnsi="Arial" w:eastAsia="宋体" w:cs="Arial"/>
                <w:kern w:val="0"/>
                <w:sz w:val="21"/>
                <w:szCs w:val="21"/>
              </w:rPr>
            </w:pPr>
          </w:p>
        </w:tc>
        <w:tc>
          <w:tcPr>
            <w:tcW w:w="657" w:type="pct"/>
            <w:vAlign w:val="center"/>
          </w:tcPr>
          <w:p w14:paraId="6B138D37">
            <w:pPr>
              <w:adjustRightInd w:val="0"/>
              <w:snapToGrid w:val="0"/>
              <w:jc w:val="center"/>
              <w:rPr>
                <w:rFonts w:ascii="Arial" w:hAnsi="Arial" w:eastAsia="宋体" w:cs="Arial"/>
                <w:sz w:val="21"/>
                <w:szCs w:val="21"/>
              </w:rPr>
            </w:pPr>
          </w:p>
        </w:tc>
        <w:tc>
          <w:tcPr>
            <w:tcW w:w="657" w:type="pct"/>
            <w:vAlign w:val="center"/>
          </w:tcPr>
          <w:p w14:paraId="681D76F5">
            <w:pPr>
              <w:adjustRightInd w:val="0"/>
              <w:snapToGrid w:val="0"/>
              <w:jc w:val="center"/>
              <w:rPr>
                <w:rFonts w:ascii="Arial" w:hAnsi="Arial" w:eastAsia="宋体" w:cs="Arial"/>
                <w:sz w:val="21"/>
                <w:szCs w:val="21"/>
              </w:rPr>
            </w:pPr>
          </w:p>
        </w:tc>
      </w:tr>
      <w:tr w14:paraId="1C686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232961A">
            <w:pPr>
              <w:adjustRightInd w:val="0"/>
              <w:snapToGrid w:val="0"/>
              <w:jc w:val="center"/>
              <w:rPr>
                <w:rFonts w:ascii="Arial" w:hAnsi="Arial" w:eastAsia="宋体" w:cs="Arial"/>
                <w:sz w:val="21"/>
                <w:szCs w:val="21"/>
              </w:rPr>
            </w:pPr>
          </w:p>
        </w:tc>
        <w:tc>
          <w:tcPr>
            <w:tcW w:w="887" w:type="pct"/>
            <w:vAlign w:val="center"/>
          </w:tcPr>
          <w:p w14:paraId="49B556E9">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4CD3FEF6">
            <w:pPr>
              <w:adjustRightInd w:val="0"/>
              <w:snapToGrid w:val="0"/>
              <w:jc w:val="center"/>
              <w:rPr>
                <w:rFonts w:ascii="Arial" w:hAnsi="Arial" w:eastAsia="宋体" w:cs="Arial"/>
                <w:kern w:val="0"/>
                <w:sz w:val="21"/>
                <w:szCs w:val="21"/>
              </w:rPr>
            </w:pPr>
          </w:p>
        </w:tc>
        <w:tc>
          <w:tcPr>
            <w:tcW w:w="906" w:type="pct"/>
            <w:vAlign w:val="center"/>
          </w:tcPr>
          <w:p w14:paraId="7BE906CB">
            <w:pPr>
              <w:adjustRightInd w:val="0"/>
              <w:snapToGrid w:val="0"/>
              <w:jc w:val="center"/>
              <w:rPr>
                <w:rFonts w:ascii="Arial" w:hAnsi="Arial" w:eastAsia="宋体" w:cs="Arial"/>
                <w:kern w:val="0"/>
                <w:sz w:val="21"/>
                <w:szCs w:val="21"/>
              </w:rPr>
            </w:pPr>
          </w:p>
        </w:tc>
        <w:tc>
          <w:tcPr>
            <w:tcW w:w="657" w:type="pct"/>
            <w:vAlign w:val="center"/>
          </w:tcPr>
          <w:p w14:paraId="35B69B5F">
            <w:pPr>
              <w:adjustRightInd w:val="0"/>
              <w:snapToGrid w:val="0"/>
              <w:jc w:val="center"/>
              <w:rPr>
                <w:rFonts w:ascii="Arial" w:hAnsi="Arial" w:eastAsia="宋体" w:cs="Arial"/>
                <w:sz w:val="21"/>
                <w:szCs w:val="21"/>
              </w:rPr>
            </w:pPr>
          </w:p>
        </w:tc>
        <w:tc>
          <w:tcPr>
            <w:tcW w:w="657" w:type="pct"/>
            <w:vAlign w:val="center"/>
          </w:tcPr>
          <w:p w14:paraId="39736EA4">
            <w:pPr>
              <w:adjustRightInd w:val="0"/>
              <w:snapToGrid w:val="0"/>
              <w:jc w:val="center"/>
              <w:rPr>
                <w:rFonts w:ascii="Arial" w:hAnsi="Arial" w:eastAsia="宋体" w:cs="Arial"/>
                <w:sz w:val="21"/>
                <w:szCs w:val="21"/>
              </w:rPr>
            </w:pPr>
          </w:p>
        </w:tc>
      </w:tr>
      <w:tr w14:paraId="4DFD7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6D83DCFA">
            <w:pPr>
              <w:adjustRightInd w:val="0"/>
              <w:snapToGrid w:val="0"/>
              <w:jc w:val="center"/>
              <w:rPr>
                <w:rFonts w:ascii="Arial" w:hAnsi="Arial" w:eastAsia="宋体" w:cs="Arial"/>
                <w:sz w:val="21"/>
                <w:szCs w:val="21"/>
              </w:rPr>
            </w:pPr>
          </w:p>
        </w:tc>
        <w:tc>
          <w:tcPr>
            <w:tcW w:w="887" w:type="pct"/>
            <w:vAlign w:val="center"/>
          </w:tcPr>
          <w:p w14:paraId="76C15F7F">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737994ED">
            <w:pPr>
              <w:adjustRightInd w:val="0"/>
              <w:snapToGrid w:val="0"/>
              <w:jc w:val="center"/>
              <w:rPr>
                <w:rFonts w:ascii="Arial" w:hAnsi="Arial" w:eastAsia="宋体" w:cs="Arial"/>
                <w:kern w:val="0"/>
                <w:sz w:val="21"/>
                <w:szCs w:val="21"/>
              </w:rPr>
            </w:pPr>
          </w:p>
        </w:tc>
        <w:tc>
          <w:tcPr>
            <w:tcW w:w="906" w:type="pct"/>
            <w:vAlign w:val="center"/>
          </w:tcPr>
          <w:p w14:paraId="1A5349CD">
            <w:pPr>
              <w:adjustRightInd w:val="0"/>
              <w:snapToGrid w:val="0"/>
              <w:jc w:val="center"/>
              <w:rPr>
                <w:rFonts w:ascii="Arial" w:hAnsi="Arial" w:eastAsia="宋体" w:cs="Arial"/>
                <w:kern w:val="0"/>
                <w:sz w:val="21"/>
                <w:szCs w:val="21"/>
              </w:rPr>
            </w:pPr>
          </w:p>
        </w:tc>
        <w:tc>
          <w:tcPr>
            <w:tcW w:w="657" w:type="pct"/>
            <w:vAlign w:val="center"/>
          </w:tcPr>
          <w:p w14:paraId="08430123">
            <w:pPr>
              <w:adjustRightInd w:val="0"/>
              <w:snapToGrid w:val="0"/>
              <w:jc w:val="center"/>
              <w:rPr>
                <w:rFonts w:ascii="Arial" w:hAnsi="Arial" w:eastAsia="宋体" w:cs="Arial"/>
                <w:sz w:val="21"/>
                <w:szCs w:val="21"/>
              </w:rPr>
            </w:pPr>
          </w:p>
        </w:tc>
        <w:tc>
          <w:tcPr>
            <w:tcW w:w="657" w:type="pct"/>
            <w:vAlign w:val="center"/>
          </w:tcPr>
          <w:p w14:paraId="0D8F5005">
            <w:pPr>
              <w:adjustRightInd w:val="0"/>
              <w:snapToGrid w:val="0"/>
              <w:jc w:val="center"/>
              <w:rPr>
                <w:rFonts w:ascii="Arial" w:hAnsi="Arial" w:eastAsia="宋体" w:cs="Arial"/>
                <w:sz w:val="21"/>
                <w:szCs w:val="21"/>
              </w:rPr>
            </w:pPr>
          </w:p>
        </w:tc>
      </w:tr>
      <w:tr w14:paraId="6303C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10667426">
            <w:pPr>
              <w:adjustRightInd w:val="0"/>
              <w:snapToGrid w:val="0"/>
              <w:jc w:val="center"/>
              <w:rPr>
                <w:rFonts w:ascii="Arial" w:hAnsi="Arial" w:eastAsia="宋体" w:cs="Arial"/>
                <w:sz w:val="21"/>
                <w:szCs w:val="21"/>
              </w:rPr>
            </w:pPr>
          </w:p>
        </w:tc>
        <w:tc>
          <w:tcPr>
            <w:tcW w:w="887" w:type="pct"/>
            <w:vAlign w:val="center"/>
          </w:tcPr>
          <w:p w14:paraId="458281CA">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AB9EDC3">
            <w:pPr>
              <w:adjustRightInd w:val="0"/>
              <w:snapToGrid w:val="0"/>
              <w:jc w:val="center"/>
              <w:rPr>
                <w:rFonts w:ascii="Arial" w:hAnsi="Arial" w:eastAsia="宋体" w:cs="Arial"/>
                <w:kern w:val="0"/>
                <w:sz w:val="21"/>
                <w:szCs w:val="21"/>
              </w:rPr>
            </w:pPr>
          </w:p>
        </w:tc>
        <w:tc>
          <w:tcPr>
            <w:tcW w:w="906" w:type="pct"/>
            <w:vAlign w:val="center"/>
          </w:tcPr>
          <w:p w14:paraId="09E32158">
            <w:pPr>
              <w:adjustRightInd w:val="0"/>
              <w:snapToGrid w:val="0"/>
              <w:jc w:val="center"/>
              <w:rPr>
                <w:rFonts w:ascii="Arial" w:hAnsi="Arial" w:eastAsia="宋体" w:cs="Arial"/>
                <w:kern w:val="0"/>
                <w:sz w:val="21"/>
                <w:szCs w:val="21"/>
              </w:rPr>
            </w:pPr>
          </w:p>
        </w:tc>
        <w:tc>
          <w:tcPr>
            <w:tcW w:w="657" w:type="pct"/>
            <w:vAlign w:val="center"/>
          </w:tcPr>
          <w:p w14:paraId="6982D5BA">
            <w:pPr>
              <w:adjustRightInd w:val="0"/>
              <w:snapToGrid w:val="0"/>
              <w:jc w:val="center"/>
              <w:rPr>
                <w:rFonts w:ascii="Arial" w:hAnsi="Arial" w:eastAsia="宋体" w:cs="Arial"/>
                <w:sz w:val="21"/>
                <w:szCs w:val="21"/>
              </w:rPr>
            </w:pPr>
          </w:p>
        </w:tc>
        <w:tc>
          <w:tcPr>
            <w:tcW w:w="657" w:type="pct"/>
            <w:vAlign w:val="center"/>
          </w:tcPr>
          <w:p w14:paraId="5B4E3994">
            <w:pPr>
              <w:adjustRightInd w:val="0"/>
              <w:snapToGrid w:val="0"/>
              <w:jc w:val="center"/>
              <w:rPr>
                <w:rFonts w:ascii="Arial" w:hAnsi="Arial" w:eastAsia="宋体" w:cs="Arial"/>
                <w:sz w:val="21"/>
                <w:szCs w:val="21"/>
              </w:rPr>
            </w:pPr>
          </w:p>
        </w:tc>
      </w:tr>
      <w:tr w14:paraId="3CE87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2369E0D5">
            <w:pPr>
              <w:adjustRightInd w:val="0"/>
              <w:snapToGrid w:val="0"/>
              <w:jc w:val="center"/>
              <w:rPr>
                <w:rFonts w:ascii="Arial" w:hAnsi="Arial" w:eastAsia="宋体" w:cs="Arial"/>
                <w:sz w:val="21"/>
                <w:szCs w:val="21"/>
              </w:rPr>
            </w:pPr>
          </w:p>
        </w:tc>
        <w:tc>
          <w:tcPr>
            <w:tcW w:w="887" w:type="pct"/>
            <w:vAlign w:val="center"/>
          </w:tcPr>
          <w:p w14:paraId="2FE31C01">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36B616EC">
            <w:pPr>
              <w:adjustRightInd w:val="0"/>
              <w:snapToGrid w:val="0"/>
              <w:jc w:val="center"/>
              <w:rPr>
                <w:rFonts w:ascii="Arial" w:hAnsi="Arial" w:eastAsia="宋体" w:cs="Arial"/>
                <w:kern w:val="0"/>
                <w:sz w:val="21"/>
                <w:szCs w:val="21"/>
              </w:rPr>
            </w:pPr>
          </w:p>
        </w:tc>
        <w:tc>
          <w:tcPr>
            <w:tcW w:w="906" w:type="pct"/>
            <w:vAlign w:val="center"/>
          </w:tcPr>
          <w:p w14:paraId="029A3D4C">
            <w:pPr>
              <w:adjustRightInd w:val="0"/>
              <w:snapToGrid w:val="0"/>
              <w:jc w:val="center"/>
              <w:rPr>
                <w:rFonts w:ascii="Arial" w:hAnsi="Arial" w:eastAsia="宋体" w:cs="Arial"/>
                <w:kern w:val="0"/>
                <w:sz w:val="21"/>
                <w:szCs w:val="21"/>
              </w:rPr>
            </w:pPr>
          </w:p>
        </w:tc>
        <w:tc>
          <w:tcPr>
            <w:tcW w:w="657" w:type="pct"/>
            <w:vAlign w:val="center"/>
          </w:tcPr>
          <w:p w14:paraId="722E2CC0">
            <w:pPr>
              <w:adjustRightInd w:val="0"/>
              <w:snapToGrid w:val="0"/>
              <w:jc w:val="center"/>
              <w:rPr>
                <w:rFonts w:ascii="Arial" w:hAnsi="Arial" w:eastAsia="宋体" w:cs="Arial"/>
                <w:sz w:val="21"/>
                <w:szCs w:val="21"/>
              </w:rPr>
            </w:pPr>
          </w:p>
        </w:tc>
        <w:tc>
          <w:tcPr>
            <w:tcW w:w="657" w:type="pct"/>
            <w:vAlign w:val="center"/>
          </w:tcPr>
          <w:p w14:paraId="7077BF08">
            <w:pPr>
              <w:adjustRightInd w:val="0"/>
              <w:snapToGrid w:val="0"/>
              <w:jc w:val="center"/>
              <w:rPr>
                <w:rFonts w:ascii="Arial" w:hAnsi="Arial" w:eastAsia="宋体" w:cs="Arial"/>
                <w:sz w:val="21"/>
                <w:szCs w:val="21"/>
              </w:rPr>
            </w:pPr>
          </w:p>
        </w:tc>
      </w:tr>
      <w:tr w14:paraId="429F6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3DD42FF6">
            <w:pPr>
              <w:widowControl/>
              <w:adjustRightInd w:val="0"/>
              <w:snapToGrid w:val="0"/>
              <w:jc w:val="center"/>
              <w:textAlignment w:val="center"/>
              <w:rPr>
                <w:rFonts w:ascii="Arial" w:hAnsi="Arial" w:eastAsia="宋体" w:cs="Arial"/>
                <w:kern w:val="0"/>
                <w:sz w:val="21"/>
                <w:szCs w:val="21"/>
                <w:lang w:bidi="ar"/>
              </w:rPr>
            </w:pPr>
          </w:p>
        </w:tc>
        <w:tc>
          <w:tcPr>
            <w:tcW w:w="887" w:type="pct"/>
            <w:vAlign w:val="center"/>
          </w:tcPr>
          <w:p w14:paraId="1040B3A8">
            <w:pPr>
              <w:adjustRightInd w:val="0"/>
              <w:snapToGrid w:val="0"/>
              <w:jc w:val="center"/>
              <w:rPr>
                <w:rFonts w:ascii="Arial" w:hAnsi="Arial" w:eastAsia="宋体" w:cs="Arial"/>
                <w:sz w:val="21"/>
                <w:szCs w:val="21"/>
                <w:lang w:bidi="ar"/>
              </w:rPr>
            </w:pPr>
          </w:p>
        </w:tc>
        <w:tc>
          <w:tcPr>
            <w:tcW w:w="907" w:type="pct"/>
            <w:vAlign w:val="center"/>
          </w:tcPr>
          <w:p w14:paraId="1D38EBDB">
            <w:pPr>
              <w:adjustRightInd w:val="0"/>
              <w:snapToGrid w:val="0"/>
              <w:jc w:val="center"/>
              <w:rPr>
                <w:rFonts w:ascii="Arial" w:hAnsi="Arial" w:eastAsia="宋体" w:cs="Arial"/>
                <w:sz w:val="21"/>
                <w:szCs w:val="21"/>
                <w:lang w:bidi="ar"/>
              </w:rPr>
            </w:pPr>
          </w:p>
        </w:tc>
        <w:tc>
          <w:tcPr>
            <w:tcW w:w="906" w:type="pct"/>
            <w:vAlign w:val="center"/>
          </w:tcPr>
          <w:p w14:paraId="2BBCF066">
            <w:pPr>
              <w:adjustRightInd w:val="0"/>
              <w:snapToGrid w:val="0"/>
              <w:jc w:val="center"/>
              <w:rPr>
                <w:rFonts w:ascii="Arial" w:hAnsi="Arial" w:eastAsia="宋体" w:cs="Arial"/>
                <w:sz w:val="21"/>
                <w:szCs w:val="21"/>
                <w:lang w:bidi="ar"/>
              </w:rPr>
            </w:pPr>
          </w:p>
        </w:tc>
        <w:tc>
          <w:tcPr>
            <w:tcW w:w="657" w:type="pct"/>
            <w:vAlign w:val="center"/>
          </w:tcPr>
          <w:p w14:paraId="0A5F499B">
            <w:pPr>
              <w:adjustRightInd w:val="0"/>
              <w:snapToGrid w:val="0"/>
              <w:jc w:val="center"/>
              <w:rPr>
                <w:rFonts w:ascii="Arial" w:hAnsi="Arial" w:eastAsia="宋体" w:cs="Arial"/>
                <w:sz w:val="21"/>
                <w:szCs w:val="21"/>
              </w:rPr>
            </w:pPr>
          </w:p>
        </w:tc>
        <w:tc>
          <w:tcPr>
            <w:tcW w:w="657" w:type="pct"/>
            <w:vAlign w:val="center"/>
          </w:tcPr>
          <w:p w14:paraId="04977CE7">
            <w:pPr>
              <w:adjustRightInd w:val="0"/>
              <w:snapToGrid w:val="0"/>
              <w:jc w:val="center"/>
              <w:rPr>
                <w:rFonts w:ascii="Arial" w:hAnsi="Arial" w:eastAsia="宋体" w:cs="Arial"/>
                <w:sz w:val="21"/>
                <w:szCs w:val="21"/>
              </w:rPr>
            </w:pPr>
          </w:p>
        </w:tc>
      </w:tr>
      <w:tr w14:paraId="38A29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7894E8ED">
            <w:pPr>
              <w:widowControl/>
              <w:adjustRightInd w:val="0"/>
              <w:snapToGrid w:val="0"/>
              <w:jc w:val="center"/>
              <w:textAlignment w:val="center"/>
              <w:rPr>
                <w:rFonts w:ascii="Arial" w:hAnsi="Arial" w:eastAsia="宋体" w:cs="Arial"/>
                <w:kern w:val="0"/>
                <w:sz w:val="21"/>
                <w:szCs w:val="21"/>
                <w:lang w:bidi="ar"/>
              </w:rPr>
            </w:pPr>
          </w:p>
        </w:tc>
        <w:tc>
          <w:tcPr>
            <w:tcW w:w="887" w:type="pct"/>
            <w:vAlign w:val="center"/>
          </w:tcPr>
          <w:p w14:paraId="03B8CCE7">
            <w:pPr>
              <w:adjustRightInd w:val="0"/>
              <w:snapToGrid w:val="0"/>
              <w:jc w:val="center"/>
              <w:rPr>
                <w:rFonts w:ascii="Arial" w:hAnsi="Arial" w:eastAsia="宋体" w:cs="Arial"/>
                <w:sz w:val="21"/>
                <w:szCs w:val="21"/>
                <w:lang w:bidi="ar"/>
              </w:rPr>
            </w:pPr>
          </w:p>
        </w:tc>
        <w:tc>
          <w:tcPr>
            <w:tcW w:w="907" w:type="pct"/>
            <w:vAlign w:val="center"/>
          </w:tcPr>
          <w:p w14:paraId="639976AF">
            <w:pPr>
              <w:adjustRightInd w:val="0"/>
              <w:snapToGrid w:val="0"/>
              <w:jc w:val="center"/>
              <w:rPr>
                <w:rFonts w:ascii="Arial" w:hAnsi="Arial" w:eastAsia="宋体" w:cs="Arial"/>
                <w:sz w:val="21"/>
                <w:szCs w:val="21"/>
                <w:lang w:bidi="ar"/>
              </w:rPr>
            </w:pPr>
          </w:p>
        </w:tc>
        <w:tc>
          <w:tcPr>
            <w:tcW w:w="906" w:type="pct"/>
            <w:vAlign w:val="center"/>
          </w:tcPr>
          <w:p w14:paraId="116AFD54">
            <w:pPr>
              <w:adjustRightInd w:val="0"/>
              <w:snapToGrid w:val="0"/>
              <w:jc w:val="center"/>
              <w:rPr>
                <w:rFonts w:ascii="Arial" w:hAnsi="Arial" w:eastAsia="宋体" w:cs="Arial"/>
                <w:sz w:val="21"/>
                <w:szCs w:val="21"/>
                <w:lang w:bidi="ar"/>
              </w:rPr>
            </w:pPr>
          </w:p>
        </w:tc>
        <w:tc>
          <w:tcPr>
            <w:tcW w:w="657" w:type="pct"/>
            <w:vAlign w:val="center"/>
          </w:tcPr>
          <w:p w14:paraId="50854C9E">
            <w:pPr>
              <w:adjustRightInd w:val="0"/>
              <w:snapToGrid w:val="0"/>
              <w:jc w:val="center"/>
              <w:rPr>
                <w:rFonts w:ascii="Arial" w:hAnsi="Arial" w:eastAsia="宋体" w:cs="Arial"/>
                <w:sz w:val="21"/>
                <w:szCs w:val="21"/>
              </w:rPr>
            </w:pPr>
          </w:p>
        </w:tc>
        <w:tc>
          <w:tcPr>
            <w:tcW w:w="657" w:type="pct"/>
            <w:vAlign w:val="center"/>
          </w:tcPr>
          <w:p w14:paraId="24D91FB8">
            <w:pPr>
              <w:adjustRightInd w:val="0"/>
              <w:snapToGrid w:val="0"/>
              <w:jc w:val="center"/>
              <w:rPr>
                <w:rFonts w:ascii="Arial" w:hAnsi="Arial" w:eastAsia="宋体" w:cs="Arial"/>
                <w:sz w:val="21"/>
                <w:szCs w:val="21"/>
              </w:rPr>
            </w:pPr>
          </w:p>
        </w:tc>
      </w:tr>
      <w:tr w14:paraId="7A7C3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4FEACFE8">
            <w:pPr>
              <w:widowControl/>
              <w:adjustRightInd w:val="0"/>
              <w:snapToGrid w:val="0"/>
              <w:jc w:val="center"/>
              <w:textAlignment w:val="center"/>
              <w:rPr>
                <w:rFonts w:ascii="Arial" w:hAnsi="Arial" w:eastAsia="宋体" w:cs="Arial"/>
                <w:kern w:val="0"/>
                <w:sz w:val="21"/>
                <w:szCs w:val="21"/>
                <w:lang w:bidi="ar"/>
              </w:rPr>
            </w:pPr>
          </w:p>
        </w:tc>
        <w:tc>
          <w:tcPr>
            <w:tcW w:w="887" w:type="pct"/>
            <w:vAlign w:val="center"/>
          </w:tcPr>
          <w:p w14:paraId="7E36DA42">
            <w:pPr>
              <w:adjustRightInd w:val="0"/>
              <w:snapToGrid w:val="0"/>
              <w:jc w:val="center"/>
              <w:rPr>
                <w:rFonts w:ascii="Arial" w:hAnsi="Arial" w:eastAsia="宋体" w:cs="Arial"/>
                <w:sz w:val="21"/>
                <w:szCs w:val="21"/>
                <w:lang w:bidi="ar"/>
              </w:rPr>
            </w:pPr>
          </w:p>
        </w:tc>
        <w:tc>
          <w:tcPr>
            <w:tcW w:w="907" w:type="pct"/>
            <w:vAlign w:val="center"/>
          </w:tcPr>
          <w:p w14:paraId="19601429">
            <w:pPr>
              <w:adjustRightInd w:val="0"/>
              <w:snapToGrid w:val="0"/>
              <w:jc w:val="center"/>
              <w:rPr>
                <w:rFonts w:ascii="Arial" w:hAnsi="Arial" w:eastAsia="宋体" w:cs="Arial"/>
                <w:sz w:val="21"/>
                <w:szCs w:val="21"/>
                <w:lang w:bidi="ar"/>
              </w:rPr>
            </w:pPr>
          </w:p>
        </w:tc>
        <w:tc>
          <w:tcPr>
            <w:tcW w:w="906" w:type="pct"/>
            <w:vAlign w:val="center"/>
          </w:tcPr>
          <w:p w14:paraId="15F217E1">
            <w:pPr>
              <w:adjustRightInd w:val="0"/>
              <w:snapToGrid w:val="0"/>
              <w:jc w:val="center"/>
              <w:rPr>
                <w:rFonts w:ascii="Arial" w:hAnsi="Arial" w:eastAsia="宋体" w:cs="Arial"/>
                <w:sz w:val="21"/>
                <w:szCs w:val="21"/>
                <w:lang w:bidi="ar"/>
              </w:rPr>
            </w:pPr>
          </w:p>
        </w:tc>
        <w:tc>
          <w:tcPr>
            <w:tcW w:w="657" w:type="pct"/>
            <w:vAlign w:val="center"/>
          </w:tcPr>
          <w:p w14:paraId="038AC1F2">
            <w:pPr>
              <w:adjustRightInd w:val="0"/>
              <w:snapToGrid w:val="0"/>
              <w:jc w:val="center"/>
              <w:rPr>
                <w:rFonts w:ascii="Arial" w:hAnsi="Arial" w:eastAsia="宋体" w:cs="Arial"/>
                <w:sz w:val="21"/>
                <w:szCs w:val="21"/>
              </w:rPr>
            </w:pPr>
          </w:p>
        </w:tc>
        <w:tc>
          <w:tcPr>
            <w:tcW w:w="657" w:type="pct"/>
            <w:vAlign w:val="center"/>
          </w:tcPr>
          <w:p w14:paraId="7D3F2505">
            <w:pPr>
              <w:adjustRightInd w:val="0"/>
              <w:snapToGrid w:val="0"/>
              <w:jc w:val="center"/>
              <w:rPr>
                <w:rFonts w:ascii="Arial" w:hAnsi="Arial" w:eastAsia="宋体" w:cs="Arial"/>
                <w:sz w:val="21"/>
                <w:szCs w:val="21"/>
              </w:rPr>
            </w:pPr>
          </w:p>
        </w:tc>
      </w:tr>
      <w:tr w14:paraId="0E3D2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6" w:type="pct"/>
            <w:vAlign w:val="center"/>
          </w:tcPr>
          <w:p w14:paraId="0A15371F">
            <w:pPr>
              <w:widowControl/>
              <w:adjustRightInd w:val="0"/>
              <w:snapToGrid w:val="0"/>
              <w:jc w:val="center"/>
              <w:textAlignment w:val="center"/>
              <w:rPr>
                <w:rFonts w:ascii="Arial" w:hAnsi="Arial" w:eastAsia="宋体" w:cs="Arial"/>
                <w:kern w:val="0"/>
                <w:sz w:val="21"/>
                <w:szCs w:val="21"/>
                <w:lang w:bidi="ar"/>
              </w:rPr>
            </w:pPr>
          </w:p>
        </w:tc>
        <w:tc>
          <w:tcPr>
            <w:tcW w:w="887" w:type="pct"/>
            <w:vAlign w:val="center"/>
          </w:tcPr>
          <w:p w14:paraId="6AF04EA4">
            <w:pPr>
              <w:widowControl/>
              <w:adjustRightInd w:val="0"/>
              <w:snapToGrid w:val="0"/>
              <w:jc w:val="center"/>
              <w:textAlignment w:val="center"/>
              <w:rPr>
                <w:rFonts w:ascii="Arial" w:hAnsi="Arial" w:eastAsia="宋体" w:cs="Arial"/>
                <w:kern w:val="0"/>
                <w:sz w:val="21"/>
                <w:szCs w:val="21"/>
                <w:lang w:bidi="ar"/>
              </w:rPr>
            </w:pPr>
          </w:p>
        </w:tc>
        <w:tc>
          <w:tcPr>
            <w:tcW w:w="907" w:type="pct"/>
            <w:vAlign w:val="center"/>
          </w:tcPr>
          <w:p w14:paraId="2005D421">
            <w:pPr>
              <w:adjustRightInd w:val="0"/>
              <w:snapToGrid w:val="0"/>
              <w:jc w:val="center"/>
              <w:rPr>
                <w:rFonts w:ascii="Arial" w:hAnsi="Arial" w:eastAsia="宋体" w:cs="Arial"/>
                <w:kern w:val="0"/>
                <w:sz w:val="21"/>
                <w:szCs w:val="21"/>
              </w:rPr>
            </w:pPr>
          </w:p>
        </w:tc>
        <w:tc>
          <w:tcPr>
            <w:tcW w:w="906" w:type="pct"/>
            <w:vAlign w:val="center"/>
          </w:tcPr>
          <w:p w14:paraId="1AA7B4DB">
            <w:pPr>
              <w:adjustRightInd w:val="0"/>
              <w:snapToGrid w:val="0"/>
              <w:jc w:val="center"/>
              <w:rPr>
                <w:rFonts w:ascii="Arial" w:hAnsi="Arial" w:eastAsia="宋体" w:cs="Arial"/>
                <w:kern w:val="0"/>
                <w:sz w:val="21"/>
                <w:szCs w:val="21"/>
              </w:rPr>
            </w:pPr>
          </w:p>
        </w:tc>
        <w:tc>
          <w:tcPr>
            <w:tcW w:w="657" w:type="pct"/>
            <w:vAlign w:val="center"/>
          </w:tcPr>
          <w:p w14:paraId="2ED1F83F">
            <w:pPr>
              <w:adjustRightInd w:val="0"/>
              <w:snapToGrid w:val="0"/>
              <w:jc w:val="center"/>
              <w:rPr>
                <w:rFonts w:ascii="Arial" w:hAnsi="Arial" w:eastAsia="宋体" w:cs="Arial"/>
                <w:sz w:val="21"/>
                <w:szCs w:val="21"/>
              </w:rPr>
            </w:pPr>
          </w:p>
        </w:tc>
        <w:tc>
          <w:tcPr>
            <w:tcW w:w="657" w:type="pct"/>
            <w:vAlign w:val="center"/>
          </w:tcPr>
          <w:p w14:paraId="482D55B0">
            <w:pPr>
              <w:adjustRightInd w:val="0"/>
              <w:snapToGrid w:val="0"/>
              <w:jc w:val="center"/>
              <w:rPr>
                <w:rFonts w:ascii="Arial" w:hAnsi="Arial" w:eastAsia="宋体" w:cs="Arial"/>
                <w:sz w:val="21"/>
                <w:szCs w:val="21"/>
              </w:rPr>
            </w:pPr>
          </w:p>
        </w:tc>
      </w:tr>
    </w:tbl>
    <w:p w14:paraId="5A4469F0">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T6~T9土壤现状监测结果   单位：mg/kg（pH除外）</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5"/>
        <w:gridCol w:w="1214"/>
        <w:gridCol w:w="1214"/>
        <w:gridCol w:w="1214"/>
        <w:gridCol w:w="1214"/>
        <w:gridCol w:w="1182"/>
        <w:gridCol w:w="1180"/>
      </w:tblGrid>
      <w:tr w14:paraId="4ECA6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7" w:type="pct"/>
            <w:vMerge w:val="restart"/>
            <w:vAlign w:val="center"/>
          </w:tcPr>
          <w:p w14:paraId="0DA0F5F4">
            <w:pPr>
              <w:adjustRightInd w:val="0"/>
              <w:snapToGrid w:val="0"/>
              <w:jc w:val="center"/>
              <w:rPr>
                <w:rFonts w:ascii="Arial" w:hAnsi="Arial" w:eastAsia="宋体" w:cs="Arial"/>
                <w:kern w:val="0"/>
                <w:sz w:val="21"/>
                <w:szCs w:val="21"/>
              </w:rPr>
            </w:pPr>
          </w:p>
        </w:tc>
        <w:tc>
          <w:tcPr>
            <w:tcW w:w="675" w:type="pct"/>
            <w:vAlign w:val="center"/>
          </w:tcPr>
          <w:p w14:paraId="22CB797B">
            <w:pPr>
              <w:adjustRightInd w:val="0"/>
              <w:snapToGrid w:val="0"/>
              <w:jc w:val="center"/>
              <w:rPr>
                <w:rFonts w:ascii="Arial" w:hAnsi="Arial" w:eastAsia="宋体" w:cs="Arial"/>
                <w:sz w:val="21"/>
                <w:szCs w:val="21"/>
              </w:rPr>
            </w:pPr>
          </w:p>
        </w:tc>
        <w:tc>
          <w:tcPr>
            <w:tcW w:w="675" w:type="pct"/>
            <w:vAlign w:val="center"/>
          </w:tcPr>
          <w:p w14:paraId="6979240B">
            <w:pPr>
              <w:adjustRightInd w:val="0"/>
              <w:snapToGrid w:val="0"/>
              <w:jc w:val="center"/>
              <w:rPr>
                <w:rFonts w:ascii="Arial" w:hAnsi="Arial" w:eastAsia="宋体" w:cs="Arial"/>
                <w:sz w:val="21"/>
                <w:szCs w:val="21"/>
              </w:rPr>
            </w:pPr>
          </w:p>
        </w:tc>
        <w:tc>
          <w:tcPr>
            <w:tcW w:w="675" w:type="pct"/>
            <w:vAlign w:val="center"/>
          </w:tcPr>
          <w:p w14:paraId="3304BE84">
            <w:pPr>
              <w:adjustRightInd w:val="0"/>
              <w:snapToGrid w:val="0"/>
              <w:jc w:val="center"/>
              <w:rPr>
                <w:rFonts w:ascii="Arial" w:hAnsi="Arial" w:eastAsia="宋体" w:cs="Arial"/>
                <w:sz w:val="21"/>
                <w:szCs w:val="21"/>
              </w:rPr>
            </w:pPr>
          </w:p>
        </w:tc>
        <w:tc>
          <w:tcPr>
            <w:tcW w:w="675" w:type="pct"/>
            <w:vAlign w:val="center"/>
          </w:tcPr>
          <w:p w14:paraId="1F862170">
            <w:pPr>
              <w:adjustRightInd w:val="0"/>
              <w:snapToGrid w:val="0"/>
              <w:jc w:val="center"/>
              <w:rPr>
                <w:rFonts w:ascii="Arial" w:hAnsi="Arial" w:eastAsia="宋体" w:cs="Arial"/>
                <w:sz w:val="21"/>
                <w:szCs w:val="21"/>
              </w:rPr>
            </w:pPr>
          </w:p>
        </w:tc>
        <w:tc>
          <w:tcPr>
            <w:tcW w:w="657" w:type="pct"/>
            <w:vMerge w:val="restart"/>
            <w:vAlign w:val="center"/>
          </w:tcPr>
          <w:p w14:paraId="77BD805A">
            <w:pPr>
              <w:adjustRightInd w:val="0"/>
              <w:snapToGrid w:val="0"/>
              <w:jc w:val="center"/>
              <w:rPr>
                <w:rFonts w:ascii="Arial" w:hAnsi="Arial" w:eastAsia="宋体" w:cs="Arial"/>
                <w:kern w:val="0"/>
                <w:sz w:val="21"/>
                <w:szCs w:val="21"/>
              </w:rPr>
            </w:pPr>
          </w:p>
        </w:tc>
        <w:tc>
          <w:tcPr>
            <w:tcW w:w="656" w:type="pct"/>
            <w:vMerge w:val="restart"/>
            <w:vAlign w:val="center"/>
          </w:tcPr>
          <w:p w14:paraId="3BF20584">
            <w:pPr>
              <w:adjustRightInd w:val="0"/>
              <w:snapToGrid w:val="0"/>
              <w:jc w:val="center"/>
              <w:rPr>
                <w:rFonts w:ascii="Arial" w:hAnsi="Arial" w:eastAsia="宋体" w:cs="Arial"/>
                <w:spacing w:val="10"/>
                <w:sz w:val="21"/>
                <w:szCs w:val="21"/>
              </w:rPr>
            </w:pPr>
          </w:p>
        </w:tc>
      </w:tr>
      <w:tr w14:paraId="0AD4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7" w:type="pct"/>
            <w:vMerge w:val="continue"/>
            <w:vAlign w:val="center"/>
          </w:tcPr>
          <w:p w14:paraId="45CB3CA1">
            <w:pPr>
              <w:widowControl/>
              <w:adjustRightInd w:val="0"/>
              <w:snapToGrid w:val="0"/>
              <w:jc w:val="center"/>
              <w:rPr>
                <w:rFonts w:ascii="Arial" w:hAnsi="Arial" w:eastAsia="宋体" w:cs="Arial"/>
                <w:kern w:val="0"/>
                <w:sz w:val="21"/>
                <w:szCs w:val="21"/>
              </w:rPr>
            </w:pPr>
          </w:p>
        </w:tc>
        <w:tc>
          <w:tcPr>
            <w:tcW w:w="675" w:type="pct"/>
            <w:vAlign w:val="center"/>
          </w:tcPr>
          <w:p w14:paraId="20E1B732">
            <w:pPr>
              <w:adjustRightInd w:val="0"/>
              <w:snapToGrid w:val="0"/>
              <w:jc w:val="center"/>
              <w:rPr>
                <w:rFonts w:ascii="Arial" w:hAnsi="Arial" w:eastAsia="宋体" w:cs="Arial"/>
                <w:sz w:val="21"/>
                <w:szCs w:val="21"/>
              </w:rPr>
            </w:pPr>
          </w:p>
        </w:tc>
        <w:tc>
          <w:tcPr>
            <w:tcW w:w="675" w:type="pct"/>
            <w:vAlign w:val="center"/>
          </w:tcPr>
          <w:p w14:paraId="0E3DB051">
            <w:pPr>
              <w:adjustRightInd w:val="0"/>
              <w:snapToGrid w:val="0"/>
              <w:jc w:val="center"/>
              <w:rPr>
                <w:rFonts w:ascii="Arial" w:hAnsi="Arial" w:eastAsia="宋体" w:cs="Arial"/>
                <w:sz w:val="21"/>
                <w:szCs w:val="21"/>
              </w:rPr>
            </w:pPr>
          </w:p>
        </w:tc>
        <w:tc>
          <w:tcPr>
            <w:tcW w:w="675" w:type="pct"/>
            <w:vAlign w:val="center"/>
          </w:tcPr>
          <w:p w14:paraId="6FA1BAE9">
            <w:pPr>
              <w:adjustRightInd w:val="0"/>
              <w:snapToGrid w:val="0"/>
              <w:jc w:val="center"/>
              <w:rPr>
                <w:rFonts w:ascii="Arial" w:hAnsi="Arial" w:eastAsia="宋体" w:cs="Arial"/>
                <w:sz w:val="21"/>
                <w:szCs w:val="21"/>
              </w:rPr>
            </w:pPr>
          </w:p>
        </w:tc>
        <w:tc>
          <w:tcPr>
            <w:tcW w:w="675" w:type="pct"/>
            <w:vAlign w:val="center"/>
          </w:tcPr>
          <w:p w14:paraId="2A8C7249">
            <w:pPr>
              <w:adjustRightInd w:val="0"/>
              <w:snapToGrid w:val="0"/>
              <w:jc w:val="center"/>
              <w:rPr>
                <w:rFonts w:ascii="Arial" w:hAnsi="Arial" w:eastAsia="宋体" w:cs="Arial"/>
                <w:sz w:val="21"/>
                <w:szCs w:val="21"/>
              </w:rPr>
            </w:pPr>
          </w:p>
        </w:tc>
        <w:tc>
          <w:tcPr>
            <w:tcW w:w="657" w:type="pct"/>
            <w:vMerge w:val="continue"/>
            <w:vAlign w:val="center"/>
          </w:tcPr>
          <w:p w14:paraId="690914E3">
            <w:pPr>
              <w:widowControl/>
              <w:adjustRightInd w:val="0"/>
              <w:snapToGrid w:val="0"/>
              <w:jc w:val="center"/>
              <w:rPr>
                <w:rFonts w:ascii="Arial" w:hAnsi="Arial" w:eastAsia="宋体" w:cs="Arial"/>
                <w:kern w:val="0"/>
                <w:sz w:val="21"/>
                <w:szCs w:val="21"/>
              </w:rPr>
            </w:pPr>
          </w:p>
        </w:tc>
        <w:tc>
          <w:tcPr>
            <w:tcW w:w="656" w:type="pct"/>
            <w:vMerge w:val="continue"/>
            <w:vAlign w:val="center"/>
          </w:tcPr>
          <w:p w14:paraId="1C73356A">
            <w:pPr>
              <w:widowControl/>
              <w:adjustRightInd w:val="0"/>
              <w:snapToGrid w:val="0"/>
              <w:jc w:val="center"/>
              <w:rPr>
                <w:rFonts w:ascii="Arial" w:hAnsi="Arial" w:eastAsia="宋体" w:cs="Arial"/>
                <w:kern w:val="0"/>
                <w:sz w:val="21"/>
                <w:szCs w:val="21"/>
              </w:rPr>
            </w:pPr>
          </w:p>
        </w:tc>
      </w:tr>
      <w:tr w14:paraId="387F1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22E38C3D">
            <w:pPr>
              <w:adjustRightInd w:val="0"/>
              <w:snapToGrid w:val="0"/>
              <w:jc w:val="center"/>
              <w:rPr>
                <w:rFonts w:ascii="Arial" w:hAnsi="Arial" w:eastAsia="宋体" w:cs="Arial"/>
                <w:sz w:val="21"/>
                <w:szCs w:val="21"/>
              </w:rPr>
            </w:pPr>
          </w:p>
        </w:tc>
        <w:tc>
          <w:tcPr>
            <w:tcW w:w="675" w:type="pct"/>
            <w:vAlign w:val="center"/>
          </w:tcPr>
          <w:p w14:paraId="0E87BAD5">
            <w:pPr>
              <w:adjustRightInd w:val="0"/>
              <w:snapToGrid w:val="0"/>
              <w:jc w:val="center"/>
              <w:rPr>
                <w:rFonts w:ascii="Arial" w:hAnsi="Arial" w:eastAsia="宋体" w:cs="Arial"/>
                <w:sz w:val="21"/>
                <w:szCs w:val="21"/>
              </w:rPr>
            </w:pPr>
          </w:p>
        </w:tc>
        <w:tc>
          <w:tcPr>
            <w:tcW w:w="675" w:type="pct"/>
            <w:vAlign w:val="center"/>
          </w:tcPr>
          <w:p w14:paraId="0817397A">
            <w:pPr>
              <w:adjustRightInd w:val="0"/>
              <w:snapToGrid w:val="0"/>
              <w:jc w:val="center"/>
              <w:rPr>
                <w:rFonts w:ascii="Arial" w:hAnsi="Arial" w:eastAsia="宋体" w:cs="Arial"/>
                <w:sz w:val="21"/>
                <w:szCs w:val="21"/>
              </w:rPr>
            </w:pPr>
          </w:p>
        </w:tc>
        <w:tc>
          <w:tcPr>
            <w:tcW w:w="675" w:type="pct"/>
            <w:vAlign w:val="center"/>
          </w:tcPr>
          <w:p w14:paraId="7E04A45B">
            <w:pPr>
              <w:adjustRightInd w:val="0"/>
              <w:snapToGrid w:val="0"/>
              <w:jc w:val="center"/>
              <w:rPr>
                <w:rFonts w:ascii="Arial" w:hAnsi="Arial" w:eastAsia="宋体" w:cs="Arial"/>
                <w:sz w:val="21"/>
                <w:szCs w:val="21"/>
              </w:rPr>
            </w:pPr>
          </w:p>
        </w:tc>
        <w:tc>
          <w:tcPr>
            <w:tcW w:w="675" w:type="pct"/>
            <w:vAlign w:val="center"/>
          </w:tcPr>
          <w:p w14:paraId="13222941">
            <w:pPr>
              <w:adjustRightInd w:val="0"/>
              <w:snapToGrid w:val="0"/>
              <w:jc w:val="center"/>
              <w:rPr>
                <w:rFonts w:ascii="Arial" w:hAnsi="Arial" w:eastAsia="宋体" w:cs="Arial"/>
                <w:sz w:val="21"/>
                <w:szCs w:val="21"/>
              </w:rPr>
            </w:pPr>
          </w:p>
        </w:tc>
        <w:tc>
          <w:tcPr>
            <w:tcW w:w="657" w:type="pct"/>
            <w:vAlign w:val="center"/>
          </w:tcPr>
          <w:p w14:paraId="20954F33">
            <w:pPr>
              <w:adjustRightInd w:val="0"/>
              <w:snapToGrid w:val="0"/>
              <w:jc w:val="center"/>
              <w:rPr>
                <w:rFonts w:ascii="Arial" w:hAnsi="Arial" w:eastAsia="宋体" w:cs="Arial"/>
                <w:sz w:val="21"/>
                <w:szCs w:val="21"/>
              </w:rPr>
            </w:pPr>
          </w:p>
        </w:tc>
        <w:tc>
          <w:tcPr>
            <w:tcW w:w="656" w:type="pct"/>
            <w:vAlign w:val="center"/>
          </w:tcPr>
          <w:p w14:paraId="1B0C0DEE">
            <w:pPr>
              <w:adjustRightInd w:val="0"/>
              <w:snapToGrid w:val="0"/>
              <w:jc w:val="center"/>
              <w:rPr>
                <w:rFonts w:ascii="Arial" w:hAnsi="Arial" w:eastAsia="宋体" w:cs="Arial"/>
                <w:sz w:val="21"/>
                <w:szCs w:val="21"/>
              </w:rPr>
            </w:pPr>
          </w:p>
        </w:tc>
      </w:tr>
      <w:tr w14:paraId="3EA82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7DE20F64">
            <w:pPr>
              <w:adjustRightInd w:val="0"/>
              <w:snapToGrid w:val="0"/>
              <w:jc w:val="center"/>
              <w:rPr>
                <w:rFonts w:ascii="Arial" w:hAnsi="Arial" w:eastAsia="宋体" w:cs="Arial"/>
                <w:sz w:val="21"/>
                <w:szCs w:val="21"/>
              </w:rPr>
            </w:pPr>
          </w:p>
        </w:tc>
        <w:tc>
          <w:tcPr>
            <w:tcW w:w="675" w:type="pct"/>
            <w:vAlign w:val="center"/>
          </w:tcPr>
          <w:p w14:paraId="64757287">
            <w:pPr>
              <w:adjustRightInd w:val="0"/>
              <w:snapToGrid w:val="0"/>
              <w:jc w:val="center"/>
              <w:rPr>
                <w:rFonts w:ascii="Arial" w:hAnsi="Arial" w:eastAsia="宋体" w:cs="Arial"/>
                <w:sz w:val="21"/>
                <w:szCs w:val="21"/>
              </w:rPr>
            </w:pPr>
          </w:p>
        </w:tc>
        <w:tc>
          <w:tcPr>
            <w:tcW w:w="675" w:type="pct"/>
            <w:vAlign w:val="center"/>
          </w:tcPr>
          <w:p w14:paraId="08B780FC">
            <w:pPr>
              <w:adjustRightInd w:val="0"/>
              <w:snapToGrid w:val="0"/>
              <w:jc w:val="center"/>
              <w:rPr>
                <w:rFonts w:ascii="Arial" w:hAnsi="Arial" w:eastAsia="宋体" w:cs="Arial"/>
                <w:sz w:val="21"/>
                <w:szCs w:val="21"/>
              </w:rPr>
            </w:pPr>
          </w:p>
        </w:tc>
        <w:tc>
          <w:tcPr>
            <w:tcW w:w="675" w:type="pct"/>
            <w:vAlign w:val="center"/>
          </w:tcPr>
          <w:p w14:paraId="02DBF228">
            <w:pPr>
              <w:adjustRightInd w:val="0"/>
              <w:snapToGrid w:val="0"/>
              <w:jc w:val="center"/>
              <w:rPr>
                <w:rFonts w:ascii="Arial" w:hAnsi="Arial" w:eastAsia="宋体" w:cs="Arial"/>
                <w:sz w:val="21"/>
                <w:szCs w:val="21"/>
              </w:rPr>
            </w:pPr>
          </w:p>
        </w:tc>
        <w:tc>
          <w:tcPr>
            <w:tcW w:w="675" w:type="pct"/>
            <w:vAlign w:val="center"/>
          </w:tcPr>
          <w:p w14:paraId="4AE59B42">
            <w:pPr>
              <w:adjustRightInd w:val="0"/>
              <w:snapToGrid w:val="0"/>
              <w:jc w:val="center"/>
              <w:rPr>
                <w:rFonts w:ascii="Arial" w:hAnsi="Arial" w:eastAsia="宋体" w:cs="Arial"/>
                <w:sz w:val="21"/>
                <w:szCs w:val="21"/>
              </w:rPr>
            </w:pPr>
          </w:p>
        </w:tc>
        <w:tc>
          <w:tcPr>
            <w:tcW w:w="657" w:type="pct"/>
            <w:vAlign w:val="center"/>
          </w:tcPr>
          <w:p w14:paraId="65820BB1">
            <w:pPr>
              <w:adjustRightInd w:val="0"/>
              <w:snapToGrid w:val="0"/>
              <w:jc w:val="center"/>
              <w:rPr>
                <w:rFonts w:ascii="Arial" w:hAnsi="Arial" w:eastAsia="宋体" w:cs="Arial"/>
                <w:sz w:val="21"/>
                <w:szCs w:val="21"/>
              </w:rPr>
            </w:pPr>
          </w:p>
        </w:tc>
        <w:tc>
          <w:tcPr>
            <w:tcW w:w="656" w:type="pct"/>
            <w:vAlign w:val="center"/>
          </w:tcPr>
          <w:p w14:paraId="4907788A">
            <w:pPr>
              <w:adjustRightInd w:val="0"/>
              <w:snapToGrid w:val="0"/>
              <w:jc w:val="center"/>
              <w:rPr>
                <w:rFonts w:ascii="Arial" w:hAnsi="Arial" w:eastAsia="宋体" w:cs="Arial"/>
                <w:sz w:val="21"/>
                <w:szCs w:val="21"/>
              </w:rPr>
            </w:pPr>
          </w:p>
        </w:tc>
      </w:tr>
      <w:tr w14:paraId="36129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54F60D13">
            <w:pPr>
              <w:adjustRightInd w:val="0"/>
              <w:snapToGrid w:val="0"/>
              <w:jc w:val="center"/>
              <w:rPr>
                <w:rFonts w:ascii="Arial" w:hAnsi="Arial" w:eastAsia="宋体" w:cs="Arial"/>
                <w:sz w:val="21"/>
                <w:szCs w:val="21"/>
              </w:rPr>
            </w:pPr>
          </w:p>
        </w:tc>
        <w:tc>
          <w:tcPr>
            <w:tcW w:w="675" w:type="pct"/>
            <w:vAlign w:val="center"/>
          </w:tcPr>
          <w:p w14:paraId="7E606C0A">
            <w:pPr>
              <w:adjustRightInd w:val="0"/>
              <w:snapToGrid w:val="0"/>
              <w:jc w:val="center"/>
              <w:rPr>
                <w:rFonts w:ascii="Arial" w:hAnsi="Arial" w:eastAsia="宋体" w:cs="Arial"/>
                <w:sz w:val="21"/>
                <w:szCs w:val="21"/>
              </w:rPr>
            </w:pPr>
          </w:p>
        </w:tc>
        <w:tc>
          <w:tcPr>
            <w:tcW w:w="675" w:type="pct"/>
            <w:vAlign w:val="center"/>
          </w:tcPr>
          <w:p w14:paraId="541DA92D">
            <w:pPr>
              <w:adjustRightInd w:val="0"/>
              <w:snapToGrid w:val="0"/>
              <w:jc w:val="center"/>
              <w:rPr>
                <w:rFonts w:ascii="Arial" w:hAnsi="Arial" w:eastAsia="宋体" w:cs="Arial"/>
                <w:sz w:val="21"/>
                <w:szCs w:val="21"/>
              </w:rPr>
            </w:pPr>
          </w:p>
        </w:tc>
        <w:tc>
          <w:tcPr>
            <w:tcW w:w="675" w:type="pct"/>
            <w:vAlign w:val="center"/>
          </w:tcPr>
          <w:p w14:paraId="10F012C5">
            <w:pPr>
              <w:adjustRightInd w:val="0"/>
              <w:snapToGrid w:val="0"/>
              <w:jc w:val="center"/>
              <w:rPr>
                <w:rFonts w:ascii="Arial" w:hAnsi="Arial" w:eastAsia="宋体" w:cs="Arial"/>
                <w:sz w:val="21"/>
                <w:szCs w:val="21"/>
              </w:rPr>
            </w:pPr>
          </w:p>
        </w:tc>
        <w:tc>
          <w:tcPr>
            <w:tcW w:w="675" w:type="pct"/>
            <w:vAlign w:val="center"/>
          </w:tcPr>
          <w:p w14:paraId="650CC6DD">
            <w:pPr>
              <w:adjustRightInd w:val="0"/>
              <w:snapToGrid w:val="0"/>
              <w:jc w:val="center"/>
              <w:rPr>
                <w:rFonts w:ascii="Arial" w:hAnsi="Arial" w:eastAsia="宋体" w:cs="Arial"/>
                <w:sz w:val="21"/>
                <w:szCs w:val="21"/>
              </w:rPr>
            </w:pPr>
          </w:p>
        </w:tc>
        <w:tc>
          <w:tcPr>
            <w:tcW w:w="657" w:type="pct"/>
            <w:vAlign w:val="center"/>
          </w:tcPr>
          <w:p w14:paraId="3635E813">
            <w:pPr>
              <w:adjustRightInd w:val="0"/>
              <w:snapToGrid w:val="0"/>
              <w:jc w:val="center"/>
              <w:rPr>
                <w:rFonts w:ascii="Arial" w:hAnsi="Arial" w:eastAsia="宋体" w:cs="Arial"/>
                <w:sz w:val="21"/>
                <w:szCs w:val="21"/>
              </w:rPr>
            </w:pPr>
          </w:p>
        </w:tc>
        <w:tc>
          <w:tcPr>
            <w:tcW w:w="656" w:type="pct"/>
            <w:vAlign w:val="center"/>
          </w:tcPr>
          <w:p w14:paraId="4D14E7EF">
            <w:pPr>
              <w:adjustRightInd w:val="0"/>
              <w:snapToGrid w:val="0"/>
              <w:jc w:val="center"/>
              <w:rPr>
                <w:rFonts w:ascii="Arial" w:hAnsi="Arial" w:eastAsia="宋体" w:cs="Arial"/>
                <w:sz w:val="21"/>
                <w:szCs w:val="21"/>
              </w:rPr>
            </w:pPr>
          </w:p>
        </w:tc>
      </w:tr>
      <w:tr w14:paraId="33485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0323DF80">
            <w:pPr>
              <w:adjustRightInd w:val="0"/>
              <w:snapToGrid w:val="0"/>
              <w:jc w:val="center"/>
              <w:rPr>
                <w:rFonts w:ascii="Arial" w:hAnsi="Arial" w:eastAsia="宋体" w:cs="Arial"/>
                <w:sz w:val="21"/>
                <w:szCs w:val="21"/>
              </w:rPr>
            </w:pPr>
          </w:p>
        </w:tc>
        <w:tc>
          <w:tcPr>
            <w:tcW w:w="675" w:type="pct"/>
            <w:vAlign w:val="center"/>
          </w:tcPr>
          <w:p w14:paraId="1241EE6B">
            <w:pPr>
              <w:adjustRightInd w:val="0"/>
              <w:snapToGrid w:val="0"/>
              <w:jc w:val="center"/>
              <w:rPr>
                <w:rFonts w:ascii="Arial" w:hAnsi="Arial" w:eastAsia="宋体" w:cs="Arial"/>
                <w:sz w:val="21"/>
                <w:szCs w:val="21"/>
              </w:rPr>
            </w:pPr>
          </w:p>
        </w:tc>
        <w:tc>
          <w:tcPr>
            <w:tcW w:w="675" w:type="pct"/>
            <w:vAlign w:val="center"/>
          </w:tcPr>
          <w:p w14:paraId="06644C34">
            <w:pPr>
              <w:adjustRightInd w:val="0"/>
              <w:snapToGrid w:val="0"/>
              <w:jc w:val="center"/>
              <w:rPr>
                <w:rFonts w:ascii="Arial" w:hAnsi="Arial" w:eastAsia="宋体" w:cs="Arial"/>
                <w:sz w:val="21"/>
                <w:szCs w:val="21"/>
              </w:rPr>
            </w:pPr>
          </w:p>
        </w:tc>
        <w:tc>
          <w:tcPr>
            <w:tcW w:w="675" w:type="pct"/>
            <w:vAlign w:val="center"/>
          </w:tcPr>
          <w:p w14:paraId="50CC1C64">
            <w:pPr>
              <w:adjustRightInd w:val="0"/>
              <w:snapToGrid w:val="0"/>
              <w:jc w:val="center"/>
              <w:rPr>
                <w:rFonts w:ascii="Arial" w:hAnsi="Arial" w:eastAsia="宋体" w:cs="Arial"/>
                <w:sz w:val="21"/>
                <w:szCs w:val="21"/>
              </w:rPr>
            </w:pPr>
          </w:p>
        </w:tc>
        <w:tc>
          <w:tcPr>
            <w:tcW w:w="675" w:type="pct"/>
            <w:vAlign w:val="center"/>
          </w:tcPr>
          <w:p w14:paraId="4169F654">
            <w:pPr>
              <w:adjustRightInd w:val="0"/>
              <w:snapToGrid w:val="0"/>
              <w:jc w:val="center"/>
              <w:rPr>
                <w:rFonts w:ascii="Arial" w:hAnsi="Arial" w:eastAsia="宋体" w:cs="Arial"/>
                <w:sz w:val="21"/>
                <w:szCs w:val="21"/>
              </w:rPr>
            </w:pPr>
          </w:p>
        </w:tc>
        <w:tc>
          <w:tcPr>
            <w:tcW w:w="657" w:type="pct"/>
            <w:vAlign w:val="center"/>
          </w:tcPr>
          <w:p w14:paraId="191BD1BB">
            <w:pPr>
              <w:adjustRightInd w:val="0"/>
              <w:snapToGrid w:val="0"/>
              <w:jc w:val="center"/>
              <w:rPr>
                <w:rFonts w:ascii="Arial" w:hAnsi="Arial" w:eastAsia="宋体" w:cs="Arial"/>
                <w:sz w:val="21"/>
                <w:szCs w:val="21"/>
              </w:rPr>
            </w:pPr>
          </w:p>
        </w:tc>
        <w:tc>
          <w:tcPr>
            <w:tcW w:w="656" w:type="pct"/>
            <w:vAlign w:val="center"/>
          </w:tcPr>
          <w:p w14:paraId="5B49A4E9">
            <w:pPr>
              <w:adjustRightInd w:val="0"/>
              <w:snapToGrid w:val="0"/>
              <w:jc w:val="center"/>
              <w:rPr>
                <w:rFonts w:ascii="Arial" w:hAnsi="Arial" w:eastAsia="宋体" w:cs="Arial"/>
                <w:sz w:val="21"/>
                <w:szCs w:val="21"/>
              </w:rPr>
            </w:pPr>
          </w:p>
        </w:tc>
      </w:tr>
      <w:tr w14:paraId="0B9DA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7A5A7480">
            <w:pPr>
              <w:adjustRightInd w:val="0"/>
              <w:snapToGrid w:val="0"/>
              <w:jc w:val="center"/>
              <w:rPr>
                <w:rFonts w:ascii="Arial" w:hAnsi="Arial" w:eastAsia="宋体" w:cs="Arial"/>
                <w:sz w:val="21"/>
                <w:szCs w:val="21"/>
              </w:rPr>
            </w:pPr>
          </w:p>
        </w:tc>
        <w:tc>
          <w:tcPr>
            <w:tcW w:w="675" w:type="pct"/>
            <w:vAlign w:val="center"/>
          </w:tcPr>
          <w:p w14:paraId="7B343F98">
            <w:pPr>
              <w:adjustRightInd w:val="0"/>
              <w:snapToGrid w:val="0"/>
              <w:jc w:val="center"/>
              <w:rPr>
                <w:rFonts w:ascii="Arial" w:hAnsi="Arial" w:eastAsia="宋体" w:cs="Arial"/>
                <w:sz w:val="21"/>
                <w:szCs w:val="21"/>
              </w:rPr>
            </w:pPr>
          </w:p>
        </w:tc>
        <w:tc>
          <w:tcPr>
            <w:tcW w:w="675" w:type="pct"/>
            <w:vAlign w:val="center"/>
          </w:tcPr>
          <w:p w14:paraId="1E78960B">
            <w:pPr>
              <w:adjustRightInd w:val="0"/>
              <w:snapToGrid w:val="0"/>
              <w:jc w:val="center"/>
              <w:rPr>
                <w:rFonts w:ascii="Arial" w:hAnsi="Arial" w:eastAsia="宋体" w:cs="Arial"/>
                <w:sz w:val="21"/>
                <w:szCs w:val="21"/>
              </w:rPr>
            </w:pPr>
          </w:p>
        </w:tc>
        <w:tc>
          <w:tcPr>
            <w:tcW w:w="675" w:type="pct"/>
            <w:vAlign w:val="center"/>
          </w:tcPr>
          <w:p w14:paraId="1320E629">
            <w:pPr>
              <w:adjustRightInd w:val="0"/>
              <w:snapToGrid w:val="0"/>
              <w:jc w:val="center"/>
              <w:rPr>
                <w:rFonts w:ascii="Arial" w:hAnsi="Arial" w:eastAsia="宋体" w:cs="Arial"/>
                <w:sz w:val="21"/>
                <w:szCs w:val="21"/>
              </w:rPr>
            </w:pPr>
          </w:p>
        </w:tc>
        <w:tc>
          <w:tcPr>
            <w:tcW w:w="675" w:type="pct"/>
            <w:vAlign w:val="center"/>
          </w:tcPr>
          <w:p w14:paraId="702A7547">
            <w:pPr>
              <w:adjustRightInd w:val="0"/>
              <w:snapToGrid w:val="0"/>
              <w:jc w:val="center"/>
              <w:rPr>
                <w:rFonts w:ascii="Arial" w:hAnsi="Arial" w:eastAsia="宋体" w:cs="Arial"/>
                <w:sz w:val="21"/>
                <w:szCs w:val="21"/>
              </w:rPr>
            </w:pPr>
          </w:p>
        </w:tc>
        <w:tc>
          <w:tcPr>
            <w:tcW w:w="657" w:type="pct"/>
            <w:vAlign w:val="center"/>
          </w:tcPr>
          <w:p w14:paraId="27E22273">
            <w:pPr>
              <w:adjustRightInd w:val="0"/>
              <w:snapToGrid w:val="0"/>
              <w:jc w:val="center"/>
              <w:rPr>
                <w:rFonts w:ascii="Arial" w:hAnsi="Arial" w:eastAsia="宋体" w:cs="Arial"/>
                <w:sz w:val="21"/>
                <w:szCs w:val="21"/>
              </w:rPr>
            </w:pPr>
          </w:p>
        </w:tc>
        <w:tc>
          <w:tcPr>
            <w:tcW w:w="656" w:type="pct"/>
            <w:vAlign w:val="center"/>
          </w:tcPr>
          <w:p w14:paraId="295060C8">
            <w:pPr>
              <w:adjustRightInd w:val="0"/>
              <w:snapToGrid w:val="0"/>
              <w:jc w:val="center"/>
              <w:rPr>
                <w:rFonts w:ascii="Arial" w:hAnsi="Arial" w:eastAsia="宋体" w:cs="Arial"/>
                <w:sz w:val="21"/>
                <w:szCs w:val="21"/>
              </w:rPr>
            </w:pPr>
          </w:p>
        </w:tc>
      </w:tr>
      <w:tr w14:paraId="10F47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3ACFEF94">
            <w:pPr>
              <w:adjustRightInd w:val="0"/>
              <w:snapToGrid w:val="0"/>
              <w:jc w:val="center"/>
              <w:rPr>
                <w:rFonts w:ascii="Arial" w:hAnsi="Arial" w:eastAsia="宋体" w:cs="Arial"/>
                <w:sz w:val="21"/>
                <w:szCs w:val="21"/>
              </w:rPr>
            </w:pPr>
          </w:p>
        </w:tc>
        <w:tc>
          <w:tcPr>
            <w:tcW w:w="675" w:type="pct"/>
            <w:vAlign w:val="center"/>
          </w:tcPr>
          <w:p w14:paraId="5626D18A">
            <w:pPr>
              <w:adjustRightInd w:val="0"/>
              <w:snapToGrid w:val="0"/>
              <w:jc w:val="center"/>
              <w:rPr>
                <w:rFonts w:ascii="Arial" w:hAnsi="Arial" w:eastAsia="宋体" w:cs="Arial"/>
                <w:sz w:val="21"/>
                <w:szCs w:val="21"/>
              </w:rPr>
            </w:pPr>
          </w:p>
        </w:tc>
        <w:tc>
          <w:tcPr>
            <w:tcW w:w="675" w:type="pct"/>
            <w:vAlign w:val="center"/>
          </w:tcPr>
          <w:p w14:paraId="2A416DA1">
            <w:pPr>
              <w:adjustRightInd w:val="0"/>
              <w:snapToGrid w:val="0"/>
              <w:jc w:val="center"/>
              <w:rPr>
                <w:rFonts w:ascii="Arial" w:hAnsi="Arial" w:eastAsia="宋体" w:cs="Arial"/>
                <w:sz w:val="21"/>
                <w:szCs w:val="21"/>
              </w:rPr>
            </w:pPr>
          </w:p>
        </w:tc>
        <w:tc>
          <w:tcPr>
            <w:tcW w:w="675" w:type="pct"/>
            <w:vAlign w:val="center"/>
          </w:tcPr>
          <w:p w14:paraId="2B1792CE">
            <w:pPr>
              <w:adjustRightInd w:val="0"/>
              <w:snapToGrid w:val="0"/>
              <w:jc w:val="center"/>
              <w:rPr>
                <w:rFonts w:ascii="Arial" w:hAnsi="Arial" w:eastAsia="宋体" w:cs="Arial"/>
                <w:sz w:val="21"/>
                <w:szCs w:val="21"/>
              </w:rPr>
            </w:pPr>
          </w:p>
        </w:tc>
        <w:tc>
          <w:tcPr>
            <w:tcW w:w="675" w:type="pct"/>
            <w:vAlign w:val="center"/>
          </w:tcPr>
          <w:p w14:paraId="4267B018">
            <w:pPr>
              <w:adjustRightInd w:val="0"/>
              <w:snapToGrid w:val="0"/>
              <w:jc w:val="center"/>
              <w:rPr>
                <w:rFonts w:ascii="Arial" w:hAnsi="Arial" w:eastAsia="宋体" w:cs="Arial"/>
                <w:sz w:val="21"/>
                <w:szCs w:val="21"/>
              </w:rPr>
            </w:pPr>
          </w:p>
        </w:tc>
        <w:tc>
          <w:tcPr>
            <w:tcW w:w="657" w:type="pct"/>
            <w:vAlign w:val="center"/>
          </w:tcPr>
          <w:p w14:paraId="1EDB5898">
            <w:pPr>
              <w:adjustRightInd w:val="0"/>
              <w:snapToGrid w:val="0"/>
              <w:jc w:val="center"/>
              <w:rPr>
                <w:rFonts w:ascii="Arial" w:hAnsi="Arial" w:eastAsia="宋体" w:cs="Arial"/>
                <w:sz w:val="21"/>
                <w:szCs w:val="21"/>
              </w:rPr>
            </w:pPr>
          </w:p>
        </w:tc>
        <w:tc>
          <w:tcPr>
            <w:tcW w:w="656" w:type="pct"/>
            <w:vAlign w:val="center"/>
          </w:tcPr>
          <w:p w14:paraId="5FE28AD2">
            <w:pPr>
              <w:adjustRightInd w:val="0"/>
              <w:snapToGrid w:val="0"/>
              <w:jc w:val="center"/>
              <w:rPr>
                <w:rFonts w:ascii="Arial" w:hAnsi="Arial" w:eastAsia="宋体" w:cs="Arial"/>
                <w:sz w:val="21"/>
                <w:szCs w:val="21"/>
              </w:rPr>
            </w:pPr>
          </w:p>
        </w:tc>
      </w:tr>
      <w:tr w14:paraId="23673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0EAD356E">
            <w:pPr>
              <w:adjustRightInd w:val="0"/>
              <w:snapToGrid w:val="0"/>
              <w:jc w:val="center"/>
              <w:rPr>
                <w:rFonts w:ascii="Arial" w:hAnsi="Arial" w:eastAsia="宋体" w:cs="Arial"/>
                <w:sz w:val="21"/>
                <w:szCs w:val="21"/>
              </w:rPr>
            </w:pPr>
          </w:p>
        </w:tc>
        <w:tc>
          <w:tcPr>
            <w:tcW w:w="675" w:type="pct"/>
            <w:vAlign w:val="center"/>
          </w:tcPr>
          <w:p w14:paraId="25E76A5F">
            <w:pPr>
              <w:adjustRightInd w:val="0"/>
              <w:snapToGrid w:val="0"/>
              <w:jc w:val="center"/>
              <w:rPr>
                <w:rFonts w:ascii="Arial" w:hAnsi="Arial" w:eastAsia="宋体" w:cs="Arial"/>
                <w:sz w:val="21"/>
                <w:szCs w:val="21"/>
              </w:rPr>
            </w:pPr>
          </w:p>
        </w:tc>
        <w:tc>
          <w:tcPr>
            <w:tcW w:w="675" w:type="pct"/>
            <w:vAlign w:val="center"/>
          </w:tcPr>
          <w:p w14:paraId="39E874D6">
            <w:pPr>
              <w:adjustRightInd w:val="0"/>
              <w:snapToGrid w:val="0"/>
              <w:jc w:val="center"/>
              <w:rPr>
                <w:rFonts w:ascii="Arial" w:hAnsi="Arial" w:eastAsia="宋体" w:cs="Arial"/>
                <w:sz w:val="21"/>
                <w:szCs w:val="21"/>
              </w:rPr>
            </w:pPr>
          </w:p>
        </w:tc>
        <w:tc>
          <w:tcPr>
            <w:tcW w:w="675" w:type="pct"/>
            <w:vAlign w:val="center"/>
          </w:tcPr>
          <w:p w14:paraId="25D703AB">
            <w:pPr>
              <w:adjustRightInd w:val="0"/>
              <w:snapToGrid w:val="0"/>
              <w:jc w:val="center"/>
              <w:rPr>
                <w:rFonts w:ascii="Arial" w:hAnsi="Arial" w:eastAsia="宋体" w:cs="Arial"/>
                <w:sz w:val="21"/>
                <w:szCs w:val="21"/>
              </w:rPr>
            </w:pPr>
          </w:p>
        </w:tc>
        <w:tc>
          <w:tcPr>
            <w:tcW w:w="675" w:type="pct"/>
            <w:vAlign w:val="center"/>
          </w:tcPr>
          <w:p w14:paraId="44B48D5D">
            <w:pPr>
              <w:adjustRightInd w:val="0"/>
              <w:snapToGrid w:val="0"/>
              <w:jc w:val="center"/>
              <w:rPr>
                <w:rFonts w:ascii="Arial" w:hAnsi="Arial" w:eastAsia="宋体" w:cs="Arial"/>
                <w:sz w:val="21"/>
                <w:szCs w:val="21"/>
              </w:rPr>
            </w:pPr>
          </w:p>
        </w:tc>
        <w:tc>
          <w:tcPr>
            <w:tcW w:w="657" w:type="pct"/>
            <w:vAlign w:val="center"/>
          </w:tcPr>
          <w:p w14:paraId="5DA0053F">
            <w:pPr>
              <w:adjustRightInd w:val="0"/>
              <w:snapToGrid w:val="0"/>
              <w:jc w:val="center"/>
              <w:rPr>
                <w:rFonts w:ascii="Arial" w:hAnsi="Arial" w:eastAsia="宋体" w:cs="Arial"/>
                <w:sz w:val="21"/>
                <w:szCs w:val="21"/>
              </w:rPr>
            </w:pPr>
          </w:p>
        </w:tc>
        <w:tc>
          <w:tcPr>
            <w:tcW w:w="656" w:type="pct"/>
            <w:vAlign w:val="center"/>
          </w:tcPr>
          <w:p w14:paraId="5EF62145">
            <w:pPr>
              <w:adjustRightInd w:val="0"/>
              <w:snapToGrid w:val="0"/>
              <w:jc w:val="center"/>
              <w:rPr>
                <w:rFonts w:ascii="Arial" w:hAnsi="Arial" w:eastAsia="宋体" w:cs="Arial"/>
                <w:sz w:val="21"/>
                <w:szCs w:val="21"/>
              </w:rPr>
            </w:pPr>
          </w:p>
        </w:tc>
      </w:tr>
      <w:tr w14:paraId="77684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49A93FD2">
            <w:pPr>
              <w:widowControl/>
              <w:adjustRightInd w:val="0"/>
              <w:snapToGrid w:val="0"/>
              <w:jc w:val="center"/>
              <w:textAlignment w:val="center"/>
              <w:rPr>
                <w:rFonts w:ascii="Arial" w:hAnsi="Arial" w:eastAsia="宋体" w:cs="Arial"/>
                <w:kern w:val="0"/>
                <w:sz w:val="21"/>
                <w:szCs w:val="21"/>
                <w:lang w:bidi="ar"/>
              </w:rPr>
            </w:pPr>
          </w:p>
        </w:tc>
        <w:tc>
          <w:tcPr>
            <w:tcW w:w="675" w:type="pct"/>
            <w:vAlign w:val="center"/>
          </w:tcPr>
          <w:p w14:paraId="7D02453C">
            <w:pPr>
              <w:adjustRightInd w:val="0"/>
              <w:snapToGrid w:val="0"/>
              <w:jc w:val="center"/>
              <w:rPr>
                <w:rFonts w:ascii="Arial" w:hAnsi="Arial" w:eastAsia="宋体" w:cs="Arial"/>
                <w:sz w:val="21"/>
                <w:szCs w:val="21"/>
              </w:rPr>
            </w:pPr>
          </w:p>
        </w:tc>
        <w:tc>
          <w:tcPr>
            <w:tcW w:w="675" w:type="pct"/>
            <w:vAlign w:val="center"/>
          </w:tcPr>
          <w:p w14:paraId="5B2708DB">
            <w:pPr>
              <w:adjustRightInd w:val="0"/>
              <w:snapToGrid w:val="0"/>
              <w:jc w:val="center"/>
              <w:rPr>
                <w:rFonts w:ascii="Arial" w:hAnsi="Arial" w:eastAsia="宋体" w:cs="Arial"/>
                <w:sz w:val="21"/>
                <w:szCs w:val="21"/>
              </w:rPr>
            </w:pPr>
          </w:p>
        </w:tc>
        <w:tc>
          <w:tcPr>
            <w:tcW w:w="675" w:type="pct"/>
            <w:vAlign w:val="center"/>
          </w:tcPr>
          <w:p w14:paraId="038B8F5B">
            <w:pPr>
              <w:adjustRightInd w:val="0"/>
              <w:snapToGrid w:val="0"/>
              <w:jc w:val="center"/>
              <w:rPr>
                <w:rFonts w:ascii="Arial" w:hAnsi="Arial" w:eastAsia="宋体" w:cs="Arial"/>
                <w:sz w:val="21"/>
                <w:szCs w:val="21"/>
              </w:rPr>
            </w:pPr>
          </w:p>
        </w:tc>
        <w:tc>
          <w:tcPr>
            <w:tcW w:w="675" w:type="pct"/>
            <w:vAlign w:val="center"/>
          </w:tcPr>
          <w:p w14:paraId="1C0748B6">
            <w:pPr>
              <w:adjustRightInd w:val="0"/>
              <w:snapToGrid w:val="0"/>
              <w:jc w:val="center"/>
              <w:rPr>
                <w:rFonts w:ascii="Arial" w:hAnsi="Arial" w:eastAsia="宋体" w:cs="Arial"/>
                <w:sz w:val="21"/>
                <w:szCs w:val="21"/>
              </w:rPr>
            </w:pPr>
          </w:p>
        </w:tc>
        <w:tc>
          <w:tcPr>
            <w:tcW w:w="657" w:type="pct"/>
            <w:vAlign w:val="center"/>
          </w:tcPr>
          <w:p w14:paraId="5E7D3FDD">
            <w:pPr>
              <w:adjustRightInd w:val="0"/>
              <w:snapToGrid w:val="0"/>
              <w:jc w:val="center"/>
              <w:rPr>
                <w:rFonts w:ascii="Arial" w:hAnsi="Arial" w:eastAsia="宋体" w:cs="Arial"/>
                <w:sz w:val="21"/>
                <w:szCs w:val="21"/>
              </w:rPr>
            </w:pPr>
          </w:p>
        </w:tc>
        <w:tc>
          <w:tcPr>
            <w:tcW w:w="656" w:type="pct"/>
            <w:vAlign w:val="center"/>
          </w:tcPr>
          <w:p w14:paraId="0607E1A6">
            <w:pPr>
              <w:adjustRightInd w:val="0"/>
              <w:snapToGrid w:val="0"/>
              <w:jc w:val="center"/>
              <w:rPr>
                <w:rFonts w:ascii="Arial" w:hAnsi="Arial" w:eastAsia="宋体" w:cs="Arial"/>
                <w:sz w:val="21"/>
                <w:szCs w:val="21"/>
              </w:rPr>
            </w:pPr>
          </w:p>
        </w:tc>
      </w:tr>
      <w:tr w14:paraId="24881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7594357C">
            <w:pPr>
              <w:widowControl/>
              <w:adjustRightInd w:val="0"/>
              <w:snapToGrid w:val="0"/>
              <w:jc w:val="center"/>
              <w:textAlignment w:val="center"/>
              <w:rPr>
                <w:rFonts w:ascii="Arial" w:hAnsi="Arial" w:eastAsia="宋体" w:cs="Arial"/>
                <w:kern w:val="0"/>
                <w:sz w:val="21"/>
                <w:szCs w:val="21"/>
                <w:lang w:bidi="ar"/>
              </w:rPr>
            </w:pPr>
          </w:p>
        </w:tc>
        <w:tc>
          <w:tcPr>
            <w:tcW w:w="675" w:type="pct"/>
            <w:vAlign w:val="center"/>
          </w:tcPr>
          <w:p w14:paraId="51D4C4DD">
            <w:pPr>
              <w:adjustRightInd w:val="0"/>
              <w:snapToGrid w:val="0"/>
              <w:jc w:val="center"/>
              <w:rPr>
                <w:rFonts w:ascii="Arial" w:hAnsi="Arial" w:eastAsia="宋体" w:cs="Arial"/>
                <w:sz w:val="21"/>
                <w:szCs w:val="21"/>
              </w:rPr>
            </w:pPr>
          </w:p>
        </w:tc>
        <w:tc>
          <w:tcPr>
            <w:tcW w:w="675" w:type="pct"/>
            <w:vAlign w:val="center"/>
          </w:tcPr>
          <w:p w14:paraId="6A914500">
            <w:pPr>
              <w:adjustRightInd w:val="0"/>
              <w:snapToGrid w:val="0"/>
              <w:jc w:val="center"/>
              <w:rPr>
                <w:rFonts w:ascii="Arial" w:hAnsi="Arial" w:eastAsia="宋体" w:cs="Arial"/>
                <w:sz w:val="21"/>
                <w:szCs w:val="21"/>
              </w:rPr>
            </w:pPr>
          </w:p>
        </w:tc>
        <w:tc>
          <w:tcPr>
            <w:tcW w:w="675" w:type="pct"/>
            <w:vAlign w:val="center"/>
          </w:tcPr>
          <w:p w14:paraId="6210EE5C">
            <w:pPr>
              <w:adjustRightInd w:val="0"/>
              <w:snapToGrid w:val="0"/>
              <w:jc w:val="center"/>
              <w:rPr>
                <w:rFonts w:ascii="Arial" w:hAnsi="Arial" w:eastAsia="宋体" w:cs="Arial"/>
                <w:sz w:val="21"/>
                <w:szCs w:val="21"/>
              </w:rPr>
            </w:pPr>
          </w:p>
        </w:tc>
        <w:tc>
          <w:tcPr>
            <w:tcW w:w="675" w:type="pct"/>
            <w:vAlign w:val="center"/>
          </w:tcPr>
          <w:p w14:paraId="3E9525B3">
            <w:pPr>
              <w:adjustRightInd w:val="0"/>
              <w:snapToGrid w:val="0"/>
              <w:jc w:val="center"/>
              <w:rPr>
                <w:rFonts w:ascii="Arial" w:hAnsi="Arial" w:eastAsia="宋体" w:cs="Arial"/>
                <w:sz w:val="21"/>
                <w:szCs w:val="21"/>
              </w:rPr>
            </w:pPr>
          </w:p>
        </w:tc>
        <w:tc>
          <w:tcPr>
            <w:tcW w:w="657" w:type="pct"/>
            <w:vAlign w:val="center"/>
          </w:tcPr>
          <w:p w14:paraId="7AD41B8A">
            <w:pPr>
              <w:adjustRightInd w:val="0"/>
              <w:snapToGrid w:val="0"/>
              <w:jc w:val="center"/>
              <w:rPr>
                <w:rFonts w:ascii="Arial" w:hAnsi="Arial" w:eastAsia="宋体" w:cs="Arial"/>
                <w:sz w:val="21"/>
                <w:szCs w:val="21"/>
              </w:rPr>
            </w:pPr>
          </w:p>
        </w:tc>
        <w:tc>
          <w:tcPr>
            <w:tcW w:w="656" w:type="pct"/>
            <w:vAlign w:val="center"/>
          </w:tcPr>
          <w:p w14:paraId="36318355">
            <w:pPr>
              <w:adjustRightInd w:val="0"/>
              <w:snapToGrid w:val="0"/>
              <w:jc w:val="center"/>
              <w:rPr>
                <w:rFonts w:ascii="Arial" w:hAnsi="Arial" w:eastAsia="宋体" w:cs="Arial"/>
                <w:sz w:val="21"/>
                <w:szCs w:val="21"/>
              </w:rPr>
            </w:pPr>
          </w:p>
        </w:tc>
      </w:tr>
      <w:tr w14:paraId="5CF26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13666A86">
            <w:pPr>
              <w:widowControl/>
              <w:adjustRightInd w:val="0"/>
              <w:snapToGrid w:val="0"/>
              <w:jc w:val="center"/>
              <w:textAlignment w:val="center"/>
              <w:rPr>
                <w:rFonts w:ascii="Arial" w:hAnsi="Arial" w:eastAsia="宋体" w:cs="Arial"/>
                <w:kern w:val="0"/>
                <w:sz w:val="21"/>
                <w:szCs w:val="21"/>
                <w:lang w:bidi="ar"/>
              </w:rPr>
            </w:pPr>
          </w:p>
        </w:tc>
        <w:tc>
          <w:tcPr>
            <w:tcW w:w="675" w:type="pct"/>
            <w:vAlign w:val="center"/>
          </w:tcPr>
          <w:p w14:paraId="5B115864">
            <w:pPr>
              <w:adjustRightInd w:val="0"/>
              <w:snapToGrid w:val="0"/>
              <w:jc w:val="center"/>
              <w:rPr>
                <w:rFonts w:ascii="Arial" w:hAnsi="Arial" w:cs="Arial" w:eastAsiaTheme="minorEastAsia"/>
                <w:sz w:val="21"/>
                <w:szCs w:val="21"/>
              </w:rPr>
            </w:pPr>
          </w:p>
        </w:tc>
        <w:tc>
          <w:tcPr>
            <w:tcW w:w="675" w:type="pct"/>
            <w:vAlign w:val="center"/>
          </w:tcPr>
          <w:p w14:paraId="4378D9A2">
            <w:pPr>
              <w:adjustRightInd w:val="0"/>
              <w:snapToGrid w:val="0"/>
              <w:jc w:val="center"/>
              <w:rPr>
                <w:rFonts w:ascii="Arial" w:hAnsi="Arial" w:cs="Arial" w:eastAsiaTheme="minorEastAsia"/>
                <w:sz w:val="21"/>
                <w:szCs w:val="21"/>
              </w:rPr>
            </w:pPr>
          </w:p>
        </w:tc>
        <w:tc>
          <w:tcPr>
            <w:tcW w:w="675" w:type="pct"/>
            <w:vAlign w:val="center"/>
          </w:tcPr>
          <w:p w14:paraId="0E41E582">
            <w:pPr>
              <w:adjustRightInd w:val="0"/>
              <w:snapToGrid w:val="0"/>
              <w:jc w:val="center"/>
              <w:rPr>
                <w:rFonts w:ascii="Arial" w:hAnsi="Arial" w:cs="Arial" w:eastAsiaTheme="minorEastAsia"/>
                <w:sz w:val="21"/>
                <w:szCs w:val="21"/>
              </w:rPr>
            </w:pPr>
          </w:p>
        </w:tc>
        <w:tc>
          <w:tcPr>
            <w:tcW w:w="675" w:type="pct"/>
            <w:vAlign w:val="center"/>
          </w:tcPr>
          <w:p w14:paraId="110E74E9">
            <w:pPr>
              <w:adjustRightInd w:val="0"/>
              <w:snapToGrid w:val="0"/>
              <w:jc w:val="center"/>
              <w:rPr>
                <w:rFonts w:ascii="Arial" w:hAnsi="Arial" w:cs="Arial" w:eastAsiaTheme="minorEastAsia"/>
                <w:sz w:val="21"/>
                <w:szCs w:val="21"/>
              </w:rPr>
            </w:pPr>
          </w:p>
        </w:tc>
        <w:tc>
          <w:tcPr>
            <w:tcW w:w="657" w:type="pct"/>
            <w:vAlign w:val="center"/>
          </w:tcPr>
          <w:p w14:paraId="72A7C976">
            <w:pPr>
              <w:adjustRightInd w:val="0"/>
              <w:snapToGrid w:val="0"/>
              <w:jc w:val="center"/>
              <w:rPr>
                <w:rFonts w:ascii="Arial" w:hAnsi="Arial" w:eastAsia="宋体" w:cs="Arial"/>
                <w:sz w:val="21"/>
                <w:szCs w:val="21"/>
              </w:rPr>
            </w:pPr>
          </w:p>
        </w:tc>
        <w:tc>
          <w:tcPr>
            <w:tcW w:w="656" w:type="pct"/>
            <w:vAlign w:val="center"/>
          </w:tcPr>
          <w:p w14:paraId="29E8A443">
            <w:pPr>
              <w:adjustRightInd w:val="0"/>
              <w:snapToGrid w:val="0"/>
              <w:jc w:val="center"/>
              <w:rPr>
                <w:rFonts w:ascii="Arial" w:hAnsi="Arial" w:eastAsia="宋体" w:cs="Arial"/>
                <w:sz w:val="21"/>
                <w:szCs w:val="21"/>
              </w:rPr>
            </w:pPr>
          </w:p>
        </w:tc>
      </w:tr>
      <w:tr w14:paraId="0DC56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pct"/>
            <w:vAlign w:val="center"/>
          </w:tcPr>
          <w:p w14:paraId="59DFF213">
            <w:pPr>
              <w:widowControl/>
              <w:adjustRightInd w:val="0"/>
              <w:snapToGrid w:val="0"/>
              <w:jc w:val="center"/>
              <w:textAlignment w:val="center"/>
              <w:rPr>
                <w:rFonts w:ascii="Arial" w:hAnsi="Arial" w:eastAsia="宋体" w:cs="Arial"/>
                <w:kern w:val="0"/>
                <w:sz w:val="21"/>
                <w:szCs w:val="21"/>
                <w:lang w:bidi="ar"/>
              </w:rPr>
            </w:pPr>
          </w:p>
        </w:tc>
        <w:tc>
          <w:tcPr>
            <w:tcW w:w="675" w:type="pct"/>
            <w:vAlign w:val="center"/>
          </w:tcPr>
          <w:p w14:paraId="7F56B52A">
            <w:pPr>
              <w:adjustRightInd w:val="0"/>
              <w:snapToGrid w:val="0"/>
              <w:jc w:val="center"/>
              <w:rPr>
                <w:rFonts w:ascii="Arial" w:hAnsi="Arial" w:eastAsia="宋体" w:cs="Arial"/>
                <w:sz w:val="21"/>
                <w:szCs w:val="21"/>
              </w:rPr>
            </w:pPr>
          </w:p>
        </w:tc>
        <w:tc>
          <w:tcPr>
            <w:tcW w:w="675" w:type="pct"/>
            <w:vAlign w:val="center"/>
          </w:tcPr>
          <w:p w14:paraId="3C710C89">
            <w:pPr>
              <w:adjustRightInd w:val="0"/>
              <w:snapToGrid w:val="0"/>
              <w:jc w:val="center"/>
              <w:rPr>
                <w:rFonts w:ascii="Arial" w:hAnsi="Arial" w:eastAsia="宋体" w:cs="Arial"/>
                <w:sz w:val="21"/>
                <w:szCs w:val="21"/>
              </w:rPr>
            </w:pPr>
          </w:p>
        </w:tc>
        <w:tc>
          <w:tcPr>
            <w:tcW w:w="675" w:type="pct"/>
            <w:vAlign w:val="center"/>
          </w:tcPr>
          <w:p w14:paraId="57FABC69">
            <w:pPr>
              <w:adjustRightInd w:val="0"/>
              <w:snapToGrid w:val="0"/>
              <w:jc w:val="center"/>
              <w:rPr>
                <w:rFonts w:ascii="Arial" w:hAnsi="Arial" w:eastAsia="宋体" w:cs="Arial"/>
                <w:sz w:val="21"/>
                <w:szCs w:val="21"/>
              </w:rPr>
            </w:pPr>
          </w:p>
        </w:tc>
        <w:tc>
          <w:tcPr>
            <w:tcW w:w="675" w:type="pct"/>
            <w:vAlign w:val="center"/>
          </w:tcPr>
          <w:p w14:paraId="491ADD6A">
            <w:pPr>
              <w:adjustRightInd w:val="0"/>
              <w:snapToGrid w:val="0"/>
              <w:jc w:val="center"/>
              <w:rPr>
                <w:rFonts w:ascii="Arial" w:hAnsi="Arial" w:eastAsia="宋体" w:cs="Arial"/>
                <w:sz w:val="21"/>
                <w:szCs w:val="21"/>
              </w:rPr>
            </w:pPr>
          </w:p>
        </w:tc>
        <w:tc>
          <w:tcPr>
            <w:tcW w:w="657" w:type="pct"/>
            <w:vAlign w:val="center"/>
          </w:tcPr>
          <w:p w14:paraId="26ACFA1C">
            <w:pPr>
              <w:adjustRightInd w:val="0"/>
              <w:snapToGrid w:val="0"/>
              <w:jc w:val="center"/>
              <w:rPr>
                <w:rFonts w:ascii="Arial" w:hAnsi="Arial" w:eastAsia="宋体" w:cs="Arial"/>
                <w:sz w:val="21"/>
                <w:szCs w:val="21"/>
              </w:rPr>
            </w:pPr>
          </w:p>
        </w:tc>
        <w:tc>
          <w:tcPr>
            <w:tcW w:w="656" w:type="pct"/>
            <w:vAlign w:val="center"/>
          </w:tcPr>
          <w:p w14:paraId="5503CC67">
            <w:pPr>
              <w:adjustRightInd w:val="0"/>
              <w:snapToGrid w:val="0"/>
              <w:jc w:val="center"/>
              <w:rPr>
                <w:rFonts w:ascii="Arial" w:hAnsi="Arial" w:eastAsia="宋体" w:cs="Arial"/>
                <w:sz w:val="21"/>
                <w:szCs w:val="21"/>
              </w:rPr>
            </w:pPr>
          </w:p>
        </w:tc>
      </w:tr>
    </w:tbl>
    <w:p w14:paraId="695FDFEC">
      <w:pPr>
        <w:keepNext/>
        <w:keepLines/>
        <w:numPr>
          <w:ilvl w:val="0"/>
          <w:numId w:val="16"/>
        </w:numPr>
        <w:spacing w:line="500" w:lineRule="exact"/>
        <w:jc w:val="center"/>
        <w:outlineLvl w:val="4"/>
        <w:rPr>
          <w:rFonts w:ascii="Arial" w:hAnsi="Arial" w:eastAsia="宋体" w:cs="Arial"/>
          <w:b/>
          <w:sz w:val="24"/>
          <w:szCs w:val="24"/>
        </w:rPr>
      </w:pPr>
      <w:r>
        <w:rPr>
          <w:rFonts w:ascii="Arial" w:hAnsi="Arial" w:eastAsia="宋体" w:cs="Arial"/>
          <w:b/>
          <w:sz w:val="24"/>
          <w:szCs w:val="24"/>
        </w:rPr>
        <w:t>T10、T11土壤现状监测结果   单位：mg/kg（pH除外）</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8"/>
        <w:gridCol w:w="2309"/>
        <w:gridCol w:w="2203"/>
        <w:gridCol w:w="1642"/>
        <w:gridCol w:w="1361"/>
      </w:tblGrid>
      <w:tr w14:paraId="578FF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Merge w:val="restart"/>
            <w:shd w:val="clear" w:color="auto" w:fill="auto"/>
            <w:vAlign w:val="center"/>
          </w:tcPr>
          <w:p w14:paraId="1E1E4A03">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0B0A1070">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1C2546C5">
            <w:pPr>
              <w:widowControl/>
              <w:adjustRightInd w:val="0"/>
              <w:snapToGrid w:val="0"/>
              <w:jc w:val="center"/>
              <w:rPr>
                <w:rFonts w:ascii="Arial" w:hAnsi="Arial" w:eastAsia="宋体" w:cs="Arial"/>
                <w:kern w:val="0"/>
                <w:sz w:val="21"/>
                <w:szCs w:val="21"/>
              </w:rPr>
            </w:pPr>
          </w:p>
        </w:tc>
        <w:tc>
          <w:tcPr>
            <w:tcW w:w="913" w:type="pct"/>
            <w:vMerge w:val="restart"/>
            <w:vAlign w:val="center"/>
          </w:tcPr>
          <w:p w14:paraId="5D18C23D">
            <w:pPr>
              <w:widowControl/>
              <w:adjustRightInd w:val="0"/>
              <w:snapToGrid w:val="0"/>
              <w:jc w:val="center"/>
              <w:rPr>
                <w:rFonts w:ascii="Arial" w:hAnsi="Arial" w:eastAsia="宋体" w:cs="Arial"/>
                <w:kern w:val="0"/>
                <w:sz w:val="21"/>
                <w:szCs w:val="21"/>
              </w:rPr>
            </w:pPr>
          </w:p>
        </w:tc>
        <w:tc>
          <w:tcPr>
            <w:tcW w:w="756" w:type="pct"/>
            <w:vMerge w:val="restart"/>
            <w:vAlign w:val="center"/>
          </w:tcPr>
          <w:p w14:paraId="19E093BA">
            <w:pPr>
              <w:widowControl/>
              <w:adjustRightInd w:val="0"/>
              <w:snapToGrid w:val="0"/>
              <w:jc w:val="center"/>
              <w:rPr>
                <w:rFonts w:ascii="Arial" w:hAnsi="Arial" w:eastAsia="宋体" w:cs="Arial"/>
                <w:kern w:val="0"/>
                <w:sz w:val="21"/>
                <w:szCs w:val="21"/>
              </w:rPr>
            </w:pPr>
          </w:p>
        </w:tc>
      </w:tr>
      <w:tr w14:paraId="3B09F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Merge w:val="continue"/>
            <w:shd w:val="clear" w:color="auto" w:fill="auto"/>
            <w:vAlign w:val="center"/>
          </w:tcPr>
          <w:p w14:paraId="496FD06B">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619B7E9F">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25558D3A">
            <w:pPr>
              <w:widowControl/>
              <w:adjustRightInd w:val="0"/>
              <w:snapToGrid w:val="0"/>
              <w:jc w:val="center"/>
              <w:rPr>
                <w:rFonts w:ascii="Arial" w:hAnsi="Arial" w:eastAsia="宋体" w:cs="Arial"/>
                <w:kern w:val="0"/>
                <w:sz w:val="21"/>
                <w:szCs w:val="21"/>
              </w:rPr>
            </w:pPr>
          </w:p>
        </w:tc>
        <w:tc>
          <w:tcPr>
            <w:tcW w:w="913" w:type="pct"/>
            <w:vMerge w:val="continue"/>
            <w:vAlign w:val="center"/>
          </w:tcPr>
          <w:p w14:paraId="5E17C063">
            <w:pPr>
              <w:widowControl/>
              <w:adjustRightInd w:val="0"/>
              <w:snapToGrid w:val="0"/>
              <w:jc w:val="center"/>
              <w:rPr>
                <w:rFonts w:ascii="Arial" w:hAnsi="Arial" w:eastAsia="宋体" w:cs="Arial"/>
                <w:kern w:val="0"/>
                <w:sz w:val="21"/>
                <w:szCs w:val="21"/>
              </w:rPr>
            </w:pPr>
          </w:p>
        </w:tc>
        <w:tc>
          <w:tcPr>
            <w:tcW w:w="756" w:type="pct"/>
            <w:vMerge w:val="continue"/>
            <w:vAlign w:val="center"/>
          </w:tcPr>
          <w:p w14:paraId="503C7965">
            <w:pPr>
              <w:widowControl/>
              <w:adjustRightInd w:val="0"/>
              <w:snapToGrid w:val="0"/>
              <w:jc w:val="center"/>
              <w:rPr>
                <w:rFonts w:ascii="Arial" w:hAnsi="Arial" w:eastAsia="宋体" w:cs="Arial"/>
                <w:kern w:val="0"/>
                <w:sz w:val="21"/>
                <w:szCs w:val="21"/>
              </w:rPr>
            </w:pPr>
          </w:p>
        </w:tc>
      </w:tr>
      <w:tr w14:paraId="02422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07BA5DA0">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13A67495">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73D3271B">
            <w:pPr>
              <w:widowControl/>
              <w:adjustRightInd w:val="0"/>
              <w:snapToGrid w:val="0"/>
              <w:jc w:val="center"/>
              <w:rPr>
                <w:rFonts w:ascii="Arial" w:hAnsi="Arial" w:eastAsia="宋体" w:cs="Arial"/>
                <w:kern w:val="0"/>
                <w:sz w:val="21"/>
                <w:szCs w:val="21"/>
              </w:rPr>
            </w:pPr>
          </w:p>
        </w:tc>
        <w:tc>
          <w:tcPr>
            <w:tcW w:w="913" w:type="pct"/>
            <w:vAlign w:val="center"/>
          </w:tcPr>
          <w:p w14:paraId="069032BE">
            <w:pPr>
              <w:widowControl/>
              <w:adjustRightInd w:val="0"/>
              <w:snapToGrid w:val="0"/>
              <w:jc w:val="center"/>
              <w:rPr>
                <w:rFonts w:ascii="Arial" w:hAnsi="Arial" w:eastAsia="宋体" w:cs="Arial"/>
                <w:kern w:val="0"/>
                <w:sz w:val="21"/>
                <w:szCs w:val="21"/>
              </w:rPr>
            </w:pPr>
          </w:p>
        </w:tc>
        <w:tc>
          <w:tcPr>
            <w:tcW w:w="756" w:type="pct"/>
            <w:vAlign w:val="center"/>
          </w:tcPr>
          <w:p w14:paraId="64F76748">
            <w:pPr>
              <w:widowControl/>
              <w:adjustRightInd w:val="0"/>
              <w:snapToGrid w:val="0"/>
              <w:jc w:val="center"/>
              <w:rPr>
                <w:rFonts w:ascii="Arial" w:hAnsi="Arial" w:eastAsia="宋体" w:cs="Arial"/>
                <w:kern w:val="0"/>
                <w:sz w:val="21"/>
                <w:szCs w:val="21"/>
              </w:rPr>
            </w:pPr>
          </w:p>
        </w:tc>
      </w:tr>
      <w:tr w14:paraId="582A2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3E009EE2">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38DC1986">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6ECBF6DA">
            <w:pPr>
              <w:widowControl/>
              <w:adjustRightInd w:val="0"/>
              <w:snapToGrid w:val="0"/>
              <w:jc w:val="center"/>
              <w:rPr>
                <w:rFonts w:ascii="Arial" w:hAnsi="Arial" w:eastAsia="宋体" w:cs="Arial"/>
                <w:kern w:val="0"/>
                <w:sz w:val="21"/>
                <w:szCs w:val="21"/>
              </w:rPr>
            </w:pPr>
          </w:p>
        </w:tc>
        <w:tc>
          <w:tcPr>
            <w:tcW w:w="913" w:type="pct"/>
            <w:vAlign w:val="center"/>
          </w:tcPr>
          <w:p w14:paraId="21CA0CD9">
            <w:pPr>
              <w:widowControl/>
              <w:adjustRightInd w:val="0"/>
              <w:snapToGrid w:val="0"/>
              <w:jc w:val="center"/>
              <w:rPr>
                <w:rFonts w:ascii="Arial" w:hAnsi="Arial" w:eastAsia="宋体" w:cs="Arial"/>
                <w:kern w:val="0"/>
                <w:sz w:val="21"/>
                <w:szCs w:val="21"/>
              </w:rPr>
            </w:pPr>
          </w:p>
        </w:tc>
        <w:tc>
          <w:tcPr>
            <w:tcW w:w="756" w:type="pct"/>
            <w:vAlign w:val="center"/>
          </w:tcPr>
          <w:p w14:paraId="5F5B99DA">
            <w:pPr>
              <w:widowControl/>
              <w:adjustRightInd w:val="0"/>
              <w:snapToGrid w:val="0"/>
              <w:jc w:val="center"/>
              <w:rPr>
                <w:rFonts w:ascii="Arial" w:hAnsi="Arial" w:eastAsia="宋体" w:cs="Arial"/>
                <w:kern w:val="0"/>
                <w:sz w:val="21"/>
                <w:szCs w:val="21"/>
              </w:rPr>
            </w:pPr>
          </w:p>
        </w:tc>
      </w:tr>
      <w:tr w14:paraId="703FB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6385EDCF">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24010826">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56A26D80">
            <w:pPr>
              <w:widowControl/>
              <w:adjustRightInd w:val="0"/>
              <w:snapToGrid w:val="0"/>
              <w:jc w:val="center"/>
              <w:rPr>
                <w:rFonts w:ascii="Arial" w:hAnsi="Arial" w:eastAsia="宋体" w:cs="Arial"/>
                <w:kern w:val="0"/>
                <w:sz w:val="21"/>
                <w:szCs w:val="21"/>
              </w:rPr>
            </w:pPr>
          </w:p>
        </w:tc>
        <w:tc>
          <w:tcPr>
            <w:tcW w:w="913" w:type="pct"/>
            <w:vAlign w:val="center"/>
          </w:tcPr>
          <w:p w14:paraId="304F9D38">
            <w:pPr>
              <w:widowControl/>
              <w:adjustRightInd w:val="0"/>
              <w:snapToGrid w:val="0"/>
              <w:jc w:val="center"/>
              <w:rPr>
                <w:rFonts w:ascii="Arial" w:hAnsi="Arial" w:eastAsia="宋体" w:cs="Arial"/>
                <w:kern w:val="0"/>
                <w:sz w:val="21"/>
                <w:szCs w:val="21"/>
              </w:rPr>
            </w:pPr>
          </w:p>
        </w:tc>
        <w:tc>
          <w:tcPr>
            <w:tcW w:w="756" w:type="pct"/>
            <w:vAlign w:val="center"/>
          </w:tcPr>
          <w:p w14:paraId="794F3F63">
            <w:pPr>
              <w:widowControl/>
              <w:adjustRightInd w:val="0"/>
              <w:snapToGrid w:val="0"/>
              <w:jc w:val="center"/>
              <w:rPr>
                <w:rFonts w:ascii="Arial" w:hAnsi="Arial" w:eastAsia="宋体" w:cs="Arial"/>
                <w:kern w:val="0"/>
                <w:sz w:val="21"/>
                <w:szCs w:val="21"/>
              </w:rPr>
            </w:pPr>
          </w:p>
        </w:tc>
      </w:tr>
      <w:tr w14:paraId="7BF7A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57171F4C">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2D188240">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20498A59">
            <w:pPr>
              <w:widowControl/>
              <w:adjustRightInd w:val="0"/>
              <w:snapToGrid w:val="0"/>
              <w:jc w:val="center"/>
              <w:rPr>
                <w:rFonts w:ascii="Arial" w:hAnsi="Arial" w:eastAsia="宋体" w:cs="Arial"/>
                <w:kern w:val="0"/>
                <w:sz w:val="21"/>
                <w:szCs w:val="21"/>
              </w:rPr>
            </w:pPr>
          </w:p>
        </w:tc>
        <w:tc>
          <w:tcPr>
            <w:tcW w:w="913" w:type="pct"/>
            <w:vAlign w:val="center"/>
          </w:tcPr>
          <w:p w14:paraId="404D3B8B">
            <w:pPr>
              <w:widowControl/>
              <w:adjustRightInd w:val="0"/>
              <w:snapToGrid w:val="0"/>
              <w:jc w:val="center"/>
              <w:rPr>
                <w:rFonts w:ascii="Arial" w:hAnsi="Arial" w:eastAsia="宋体" w:cs="Arial"/>
                <w:kern w:val="0"/>
                <w:sz w:val="21"/>
                <w:szCs w:val="21"/>
              </w:rPr>
            </w:pPr>
          </w:p>
        </w:tc>
        <w:tc>
          <w:tcPr>
            <w:tcW w:w="756" w:type="pct"/>
            <w:vAlign w:val="center"/>
          </w:tcPr>
          <w:p w14:paraId="6DF21AB6">
            <w:pPr>
              <w:widowControl/>
              <w:adjustRightInd w:val="0"/>
              <w:snapToGrid w:val="0"/>
              <w:jc w:val="center"/>
              <w:rPr>
                <w:rFonts w:ascii="Arial" w:hAnsi="Arial" w:eastAsia="宋体" w:cs="Arial"/>
                <w:kern w:val="0"/>
                <w:sz w:val="21"/>
                <w:szCs w:val="21"/>
              </w:rPr>
            </w:pPr>
          </w:p>
        </w:tc>
      </w:tr>
      <w:tr w14:paraId="12BC9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661F994C">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6548E720">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38D7B3C2">
            <w:pPr>
              <w:widowControl/>
              <w:adjustRightInd w:val="0"/>
              <w:snapToGrid w:val="0"/>
              <w:jc w:val="center"/>
              <w:rPr>
                <w:rFonts w:ascii="Arial" w:hAnsi="Arial" w:eastAsia="宋体" w:cs="Arial"/>
                <w:kern w:val="0"/>
                <w:sz w:val="21"/>
                <w:szCs w:val="21"/>
              </w:rPr>
            </w:pPr>
          </w:p>
        </w:tc>
        <w:tc>
          <w:tcPr>
            <w:tcW w:w="913" w:type="pct"/>
            <w:vAlign w:val="center"/>
          </w:tcPr>
          <w:p w14:paraId="4617D9FD">
            <w:pPr>
              <w:widowControl/>
              <w:adjustRightInd w:val="0"/>
              <w:snapToGrid w:val="0"/>
              <w:jc w:val="center"/>
              <w:rPr>
                <w:rFonts w:ascii="Arial" w:hAnsi="Arial" w:eastAsia="宋体" w:cs="Arial"/>
                <w:kern w:val="0"/>
                <w:sz w:val="21"/>
                <w:szCs w:val="21"/>
              </w:rPr>
            </w:pPr>
          </w:p>
        </w:tc>
        <w:tc>
          <w:tcPr>
            <w:tcW w:w="756" w:type="pct"/>
            <w:vAlign w:val="center"/>
          </w:tcPr>
          <w:p w14:paraId="1C12A7D0">
            <w:pPr>
              <w:widowControl/>
              <w:adjustRightInd w:val="0"/>
              <w:snapToGrid w:val="0"/>
              <w:jc w:val="center"/>
              <w:rPr>
                <w:rFonts w:ascii="Arial" w:hAnsi="Arial" w:eastAsia="宋体" w:cs="Arial"/>
                <w:kern w:val="0"/>
                <w:sz w:val="21"/>
                <w:szCs w:val="21"/>
              </w:rPr>
            </w:pPr>
          </w:p>
        </w:tc>
      </w:tr>
      <w:tr w14:paraId="73E8B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67BD5FA5">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670B301B">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33415C9E">
            <w:pPr>
              <w:widowControl/>
              <w:adjustRightInd w:val="0"/>
              <w:snapToGrid w:val="0"/>
              <w:jc w:val="center"/>
              <w:rPr>
                <w:rFonts w:ascii="Arial" w:hAnsi="Arial" w:eastAsia="宋体" w:cs="Arial"/>
                <w:kern w:val="0"/>
                <w:sz w:val="21"/>
                <w:szCs w:val="21"/>
              </w:rPr>
            </w:pPr>
          </w:p>
        </w:tc>
        <w:tc>
          <w:tcPr>
            <w:tcW w:w="913" w:type="pct"/>
            <w:vAlign w:val="center"/>
          </w:tcPr>
          <w:p w14:paraId="6D8AE6F2">
            <w:pPr>
              <w:widowControl/>
              <w:adjustRightInd w:val="0"/>
              <w:snapToGrid w:val="0"/>
              <w:jc w:val="center"/>
              <w:rPr>
                <w:rFonts w:ascii="Arial" w:hAnsi="Arial" w:eastAsia="宋体" w:cs="Arial"/>
                <w:kern w:val="0"/>
                <w:sz w:val="21"/>
                <w:szCs w:val="21"/>
              </w:rPr>
            </w:pPr>
          </w:p>
        </w:tc>
        <w:tc>
          <w:tcPr>
            <w:tcW w:w="756" w:type="pct"/>
            <w:vAlign w:val="center"/>
          </w:tcPr>
          <w:p w14:paraId="04CAD20C">
            <w:pPr>
              <w:widowControl/>
              <w:adjustRightInd w:val="0"/>
              <w:snapToGrid w:val="0"/>
              <w:jc w:val="center"/>
              <w:rPr>
                <w:rFonts w:ascii="Arial" w:hAnsi="Arial" w:eastAsia="宋体" w:cs="Arial"/>
                <w:kern w:val="0"/>
                <w:sz w:val="21"/>
                <w:szCs w:val="21"/>
              </w:rPr>
            </w:pPr>
          </w:p>
        </w:tc>
      </w:tr>
      <w:tr w14:paraId="6AC62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42550248">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524549EA">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473173F8">
            <w:pPr>
              <w:widowControl/>
              <w:adjustRightInd w:val="0"/>
              <w:snapToGrid w:val="0"/>
              <w:jc w:val="center"/>
              <w:rPr>
                <w:rFonts w:ascii="Arial" w:hAnsi="Arial" w:eastAsia="宋体" w:cs="Arial"/>
                <w:kern w:val="0"/>
                <w:sz w:val="21"/>
                <w:szCs w:val="21"/>
              </w:rPr>
            </w:pPr>
          </w:p>
        </w:tc>
        <w:tc>
          <w:tcPr>
            <w:tcW w:w="913" w:type="pct"/>
            <w:vAlign w:val="center"/>
          </w:tcPr>
          <w:p w14:paraId="4F3AC264">
            <w:pPr>
              <w:widowControl/>
              <w:adjustRightInd w:val="0"/>
              <w:snapToGrid w:val="0"/>
              <w:jc w:val="center"/>
              <w:rPr>
                <w:rFonts w:ascii="Arial" w:hAnsi="Arial" w:eastAsia="宋体" w:cs="Arial"/>
                <w:kern w:val="0"/>
                <w:sz w:val="21"/>
                <w:szCs w:val="21"/>
              </w:rPr>
            </w:pPr>
          </w:p>
        </w:tc>
        <w:tc>
          <w:tcPr>
            <w:tcW w:w="756" w:type="pct"/>
            <w:vAlign w:val="center"/>
          </w:tcPr>
          <w:p w14:paraId="1C40533E">
            <w:pPr>
              <w:widowControl/>
              <w:adjustRightInd w:val="0"/>
              <w:snapToGrid w:val="0"/>
              <w:jc w:val="center"/>
              <w:rPr>
                <w:rFonts w:ascii="Arial" w:hAnsi="Arial" w:eastAsia="宋体" w:cs="Arial"/>
                <w:kern w:val="0"/>
                <w:sz w:val="21"/>
                <w:szCs w:val="21"/>
              </w:rPr>
            </w:pPr>
          </w:p>
        </w:tc>
      </w:tr>
      <w:tr w14:paraId="0F386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4FDF3327">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40BA3CE7">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43BF4CAC">
            <w:pPr>
              <w:widowControl/>
              <w:adjustRightInd w:val="0"/>
              <w:snapToGrid w:val="0"/>
              <w:jc w:val="center"/>
              <w:rPr>
                <w:rFonts w:ascii="Arial" w:hAnsi="Arial" w:eastAsia="宋体" w:cs="Arial"/>
                <w:kern w:val="0"/>
                <w:sz w:val="21"/>
                <w:szCs w:val="21"/>
              </w:rPr>
            </w:pPr>
          </w:p>
        </w:tc>
        <w:tc>
          <w:tcPr>
            <w:tcW w:w="913" w:type="pct"/>
            <w:vAlign w:val="center"/>
          </w:tcPr>
          <w:p w14:paraId="1CED4BC3">
            <w:pPr>
              <w:widowControl/>
              <w:adjustRightInd w:val="0"/>
              <w:snapToGrid w:val="0"/>
              <w:jc w:val="center"/>
              <w:rPr>
                <w:rFonts w:ascii="Arial" w:hAnsi="Arial" w:eastAsia="宋体" w:cs="Arial"/>
                <w:kern w:val="0"/>
                <w:sz w:val="21"/>
                <w:szCs w:val="21"/>
              </w:rPr>
            </w:pPr>
          </w:p>
        </w:tc>
        <w:tc>
          <w:tcPr>
            <w:tcW w:w="756" w:type="pct"/>
            <w:vAlign w:val="center"/>
          </w:tcPr>
          <w:p w14:paraId="5680332F">
            <w:pPr>
              <w:widowControl/>
              <w:adjustRightInd w:val="0"/>
              <w:snapToGrid w:val="0"/>
              <w:jc w:val="center"/>
              <w:rPr>
                <w:rFonts w:ascii="Arial" w:hAnsi="Arial" w:eastAsia="宋体" w:cs="Arial"/>
                <w:kern w:val="0"/>
                <w:sz w:val="21"/>
                <w:szCs w:val="21"/>
              </w:rPr>
            </w:pPr>
          </w:p>
        </w:tc>
      </w:tr>
      <w:tr w14:paraId="224BB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01C1CAFF">
            <w:pPr>
              <w:widowControl/>
              <w:adjustRightInd w:val="0"/>
              <w:snapToGrid w:val="0"/>
              <w:jc w:val="center"/>
              <w:rPr>
                <w:rFonts w:ascii="Arial" w:hAnsi="Arial" w:eastAsia="宋体" w:cs="Arial"/>
                <w:kern w:val="0"/>
                <w:sz w:val="21"/>
                <w:szCs w:val="21"/>
              </w:rPr>
            </w:pPr>
          </w:p>
        </w:tc>
        <w:tc>
          <w:tcPr>
            <w:tcW w:w="1284" w:type="pct"/>
            <w:shd w:val="clear" w:color="auto" w:fill="auto"/>
            <w:vAlign w:val="center"/>
          </w:tcPr>
          <w:p w14:paraId="0295417A">
            <w:pPr>
              <w:widowControl/>
              <w:adjustRightInd w:val="0"/>
              <w:snapToGrid w:val="0"/>
              <w:jc w:val="center"/>
              <w:rPr>
                <w:rFonts w:ascii="Arial" w:hAnsi="Arial" w:eastAsia="宋体" w:cs="Arial"/>
                <w:kern w:val="0"/>
                <w:sz w:val="21"/>
                <w:szCs w:val="21"/>
              </w:rPr>
            </w:pPr>
          </w:p>
        </w:tc>
        <w:tc>
          <w:tcPr>
            <w:tcW w:w="1225" w:type="pct"/>
            <w:shd w:val="clear" w:color="auto" w:fill="auto"/>
            <w:vAlign w:val="center"/>
          </w:tcPr>
          <w:p w14:paraId="32FD9893">
            <w:pPr>
              <w:widowControl/>
              <w:adjustRightInd w:val="0"/>
              <w:snapToGrid w:val="0"/>
              <w:jc w:val="center"/>
              <w:rPr>
                <w:rFonts w:ascii="Arial" w:hAnsi="Arial" w:eastAsia="宋体" w:cs="Arial"/>
                <w:kern w:val="0"/>
                <w:sz w:val="21"/>
                <w:szCs w:val="21"/>
              </w:rPr>
            </w:pPr>
          </w:p>
        </w:tc>
        <w:tc>
          <w:tcPr>
            <w:tcW w:w="913" w:type="pct"/>
            <w:vAlign w:val="center"/>
          </w:tcPr>
          <w:p w14:paraId="45D3132B">
            <w:pPr>
              <w:widowControl/>
              <w:adjustRightInd w:val="0"/>
              <w:snapToGrid w:val="0"/>
              <w:jc w:val="center"/>
              <w:rPr>
                <w:rFonts w:ascii="Arial" w:hAnsi="Arial" w:eastAsia="宋体" w:cs="Arial"/>
                <w:kern w:val="0"/>
                <w:sz w:val="21"/>
                <w:szCs w:val="21"/>
              </w:rPr>
            </w:pPr>
          </w:p>
        </w:tc>
        <w:tc>
          <w:tcPr>
            <w:tcW w:w="756" w:type="pct"/>
            <w:vAlign w:val="center"/>
          </w:tcPr>
          <w:p w14:paraId="4D932DAA">
            <w:pPr>
              <w:widowControl/>
              <w:adjustRightInd w:val="0"/>
              <w:snapToGrid w:val="0"/>
              <w:jc w:val="center"/>
              <w:rPr>
                <w:rFonts w:ascii="Arial" w:hAnsi="Arial" w:eastAsia="宋体" w:cs="Arial"/>
                <w:kern w:val="0"/>
                <w:sz w:val="21"/>
                <w:szCs w:val="21"/>
              </w:rPr>
            </w:pPr>
          </w:p>
        </w:tc>
      </w:tr>
      <w:tr w14:paraId="00AA8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4D17D085">
            <w:pPr>
              <w:widowControl/>
              <w:adjustRightInd w:val="0"/>
              <w:snapToGrid w:val="0"/>
              <w:jc w:val="center"/>
              <w:textAlignment w:val="center"/>
              <w:rPr>
                <w:rFonts w:ascii="Arial" w:hAnsi="Arial" w:eastAsia="宋体" w:cs="Arial"/>
                <w:kern w:val="0"/>
                <w:sz w:val="21"/>
                <w:szCs w:val="21"/>
                <w:lang w:bidi="ar"/>
              </w:rPr>
            </w:pPr>
          </w:p>
        </w:tc>
        <w:tc>
          <w:tcPr>
            <w:tcW w:w="1284" w:type="pct"/>
            <w:shd w:val="clear" w:color="auto" w:fill="auto"/>
            <w:vAlign w:val="center"/>
          </w:tcPr>
          <w:p w14:paraId="25A75AEE">
            <w:pPr>
              <w:adjustRightInd w:val="0"/>
              <w:snapToGrid w:val="0"/>
              <w:jc w:val="center"/>
              <w:rPr>
                <w:rFonts w:ascii="Arial" w:hAnsi="Arial" w:eastAsia="宋体" w:cs="Arial"/>
                <w:sz w:val="21"/>
                <w:szCs w:val="21"/>
              </w:rPr>
            </w:pPr>
          </w:p>
        </w:tc>
        <w:tc>
          <w:tcPr>
            <w:tcW w:w="1225" w:type="pct"/>
            <w:shd w:val="clear" w:color="auto" w:fill="auto"/>
            <w:vAlign w:val="center"/>
          </w:tcPr>
          <w:p w14:paraId="2058236C">
            <w:pPr>
              <w:adjustRightInd w:val="0"/>
              <w:snapToGrid w:val="0"/>
              <w:jc w:val="center"/>
              <w:rPr>
                <w:rFonts w:ascii="Arial" w:hAnsi="Arial" w:eastAsia="宋体" w:cs="Arial"/>
                <w:sz w:val="21"/>
                <w:szCs w:val="21"/>
              </w:rPr>
            </w:pPr>
          </w:p>
        </w:tc>
        <w:tc>
          <w:tcPr>
            <w:tcW w:w="913" w:type="pct"/>
            <w:vAlign w:val="center"/>
          </w:tcPr>
          <w:p w14:paraId="70539A3B">
            <w:pPr>
              <w:adjustRightInd w:val="0"/>
              <w:snapToGrid w:val="0"/>
              <w:jc w:val="center"/>
              <w:rPr>
                <w:rFonts w:ascii="Arial" w:hAnsi="Arial" w:eastAsia="宋体" w:cs="Arial"/>
                <w:sz w:val="21"/>
                <w:szCs w:val="21"/>
              </w:rPr>
            </w:pPr>
          </w:p>
        </w:tc>
        <w:tc>
          <w:tcPr>
            <w:tcW w:w="756" w:type="pct"/>
            <w:vAlign w:val="center"/>
          </w:tcPr>
          <w:p w14:paraId="5250CBE2">
            <w:pPr>
              <w:adjustRightInd w:val="0"/>
              <w:snapToGrid w:val="0"/>
              <w:jc w:val="center"/>
              <w:rPr>
                <w:rFonts w:ascii="Arial" w:hAnsi="Arial" w:eastAsia="宋体" w:cs="Arial"/>
                <w:sz w:val="21"/>
                <w:szCs w:val="21"/>
              </w:rPr>
            </w:pPr>
          </w:p>
        </w:tc>
      </w:tr>
      <w:tr w14:paraId="3F53E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28007D72">
            <w:pPr>
              <w:widowControl/>
              <w:adjustRightInd w:val="0"/>
              <w:snapToGrid w:val="0"/>
              <w:jc w:val="center"/>
              <w:textAlignment w:val="center"/>
              <w:rPr>
                <w:rFonts w:ascii="Arial" w:hAnsi="Arial" w:eastAsia="宋体" w:cs="Arial"/>
                <w:kern w:val="0"/>
                <w:sz w:val="21"/>
                <w:szCs w:val="21"/>
                <w:lang w:bidi="ar"/>
              </w:rPr>
            </w:pPr>
          </w:p>
        </w:tc>
        <w:tc>
          <w:tcPr>
            <w:tcW w:w="1284" w:type="pct"/>
            <w:shd w:val="clear" w:color="auto" w:fill="auto"/>
            <w:vAlign w:val="center"/>
          </w:tcPr>
          <w:p w14:paraId="35D953C2">
            <w:pPr>
              <w:adjustRightInd w:val="0"/>
              <w:snapToGrid w:val="0"/>
              <w:jc w:val="center"/>
              <w:rPr>
                <w:rFonts w:ascii="Arial" w:hAnsi="Arial" w:eastAsia="宋体" w:cs="Arial"/>
                <w:sz w:val="21"/>
                <w:szCs w:val="21"/>
              </w:rPr>
            </w:pPr>
          </w:p>
        </w:tc>
        <w:tc>
          <w:tcPr>
            <w:tcW w:w="1225" w:type="pct"/>
            <w:shd w:val="clear" w:color="auto" w:fill="auto"/>
            <w:vAlign w:val="center"/>
          </w:tcPr>
          <w:p w14:paraId="6D6F1A8B">
            <w:pPr>
              <w:adjustRightInd w:val="0"/>
              <w:snapToGrid w:val="0"/>
              <w:jc w:val="center"/>
              <w:rPr>
                <w:rFonts w:ascii="Arial" w:hAnsi="Arial" w:eastAsia="宋体" w:cs="Arial"/>
                <w:sz w:val="21"/>
                <w:szCs w:val="21"/>
              </w:rPr>
            </w:pPr>
          </w:p>
        </w:tc>
        <w:tc>
          <w:tcPr>
            <w:tcW w:w="913" w:type="pct"/>
            <w:vAlign w:val="center"/>
          </w:tcPr>
          <w:p w14:paraId="5A5A3F94">
            <w:pPr>
              <w:adjustRightInd w:val="0"/>
              <w:snapToGrid w:val="0"/>
              <w:jc w:val="center"/>
              <w:rPr>
                <w:rFonts w:ascii="Arial" w:hAnsi="Arial" w:eastAsia="宋体" w:cs="Arial"/>
                <w:sz w:val="21"/>
                <w:szCs w:val="21"/>
              </w:rPr>
            </w:pPr>
          </w:p>
        </w:tc>
        <w:tc>
          <w:tcPr>
            <w:tcW w:w="756" w:type="pct"/>
            <w:vAlign w:val="center"/>
          </w:tcPr>
          <w:p w14:paraId="5345FEFC">
            <w:pPr>
              <w:widowControl/>
              <w:adjustRightInd w:val="0"/>
              <w:snapToGrid w:val="0"/>
              <w:jc w:val="center"/>
              <w:rPr>
                <w:rFonts w:ascii="Arial" w:hAnsi="Arial" w:cs="Arial" w:eastAsiaTheme="minorEastAsia"/>
                <w:kern w:val="0"/>
                <w:sz w:val="21"/>
                <w:szCs w:val="21"/>
              </w:rPr>
            </w:pPr>
          </w:p>
        </w:tc>
      </w:tr>
      <w:tr w14:paraId="233FB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14:paraId="1163B1D6">
            <w:pPr>
              <w:widowControl/>
              <w:adjustRightInd w:val="0"/>
              <w:snapToGrid w:val="0"/>
              <w:jc w:val="center"/>
              <w:textAlignment w:val="center"/>
              <w:rPr>
                <w:rFonts w:ascii="Arial" w:hAnsi="Arial" w:eastAsia="宋体" w:cs="Arial"/>
                <w:kern w:val="0"/>
                <w:sz w:val="21"/>
                <w:szCs w:val="21"/>
                <w:lang w:bidi="ar"/>
              </w:rPr>
            </w:pPr>
          </w:p>
        </w:tc>
        <w:tc>
          <w:tcPr>
            <w:tcW w:w="1284" w:type="pct"/>
            <w:shd w:val="clear" w:color="auto" w:fill="auto"/>
            <w:vAlign w:val="center"/>
          </w:tcPr>
          <w:p w14:paraId="38AA1FC8">
            <w:pPr>
              <w:adjustRightInd w:val="0"/>
              <w:snapToGrid w:val="0"/>
              <w:jc w:val="center"/>
              <w:rPr>
                <w:rFonts w:ascii="Arial" w:hAnsi="Arial" w:eastAsia="宋体" w:cs="Arial"/>
                <w:sz w:val="21"/>
                <w:szCs w:val="21"/>
              </w:rPr>
            </w:pPr>
          </w:p>
        </w:tc>
        <w:tc>
          <w:tcPr>
            <w:tcW w:w="1225" w:type="pct"/>
            <w:shd w:val="clear" w:color="auto" w:fill="auto"/>
            <w:vAlign w:val="center"/>
          </w:tcPr>
          <w:p w14:paraId="7192089B">
            <w:pPr>
              <w:adjustRightInd w:val="0"/>
              <w:snapToGrid w:val="0"/>
              <w:jc w:val="center"/>
              <w:rPr>
                <w:rFonts w:ascii="Arial" w:hAnsi="Arial" w:eastAsia="宋体" w:cs="Arial"/>
                <w:sz w:val="21"/>
                <w:szCs w:val="21"/>
              </w:rPr>
            </w:pPr>
          </w:p>
        </w:tc>
        <w:tc>
          <w:tcPr>
            <w:tcW w:w="913" w:type="pct"/>
            <w:vAlign w:val="center"/>
          </w:tcPr>
          <w:p w14:paraId="0A61110E">
            <w:pPr>
              <w:adjustRightInd w:val="0"/>
              <w:snapToGrid w:val="0"/>
              <w:jc w:val="center"/>
              <w:rPr>
                <w:rFonts w:ascii="Arial" w:hAnsi="Arial" w:eastAsia="宋体" w:cs="Arial"/>
                <w:sz w:val="21"/>
                <w:szCs w:val="21"/>
              </w:rPr>
            </w:pPr>
          </w:p>
        </w:tc>
        <w:tc>
          <w:tcPr>
            <w:tcW w:w="756" w:type="pct"/>
            <w:vAlign w:val="center"/>
          </w:tcPr>
          <w:p w14:paraId="48D80B8B">
            <w:pPr>
              <w:adjustRightInd w:val="0"/>
              <w:snapToGrid w:val="0"/>
              <w:jc w:val="center"/>
              <w:rPr>
                <w:rFonts w:ascii="Arial" w:hAnsi="Arial" w:eastAsia="宋体" w:cs="Arial"/>
                <w:sz w:val="21"/>
                <w:szCs w:val="21"/>
              </w:rPr>
            </w:pPr>
          </w:p>
        </w:tc>
      </w:tr>
    </w:tbl>
    <w:p w14:paraId="5F1A14B2">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根据监测结果，厂内7个土壤监测点（T1~T7）以及厂外T8、T9土壤监测点的锰监测值低于《建设用地土壤污染风险筛选值和管制值》（DB45/T2556-2022）中第二类用地筛选值标准</w:t>
      </w:r>
      <w:r>
        <w:rPr>
          <w:rFonts w:hint="eastAsia" w:ascii="Arial" w:hAnsi="Arial" w:eastAsia="宋体" w:cs="Arial"/>
          <w:spacing w:val="10"/>
          <w:kern w:val="0"/>
          <w:sz w:val="24"/>
        </w:rPr>
        <w:t>，其余</w:t>
      </w:r>
      <w:r>
        <w:rPr>
          <w:rFonts w:ascii="Arial" w:hAnsi="Arial" w:eastAsia="宋体" w:cs="Arial"/>
          <w:spacing w:val="10"/>
          <w:kern w:val="0"/>
          <w:sz w:val="24"/>
        </w:rPr>
        <w:t>各监测因子监测值均低于《土壤环境质量建设用地土壤污染风险管控标准（试行）》（GB36600-2018）中的第二类用地筛选值；T10、T11各监测因子监测值均低于《土壤环境质量 农用地土壤污染风险管控标准（试行）》（GB15618-2018）风险筛选值要求，其中</w:t>
      </w:r>
      <w:r>
        <w:rPr>
          <w:rFonts w:hint="eastAsia" w:ascii="Arial" w:hAnsi="Arial" w:eastAsia="宋体" w:cs="Arial"/>
          <w:spacing w:val="10"/>
          <w:kern w:val="0"/>
          <w:sz w:val="24"/>
        </w:rPr>
        <w:t>钴、锰、</w:t>
      </w:r>
      <w:r>
        <w:rPr>
          <w:rFonts w:ascii="Arial" w:hAnsi="Arial" w:eastAsia="宋体" w:cs="Arial"/>
          <w:spacing w:val="10"/>
          <w:kern w:val="0"/>
          <w:sz w:val="24"/>
        </w:rPr>
        <w:t>石油烃无质量标准，仅做背景调查。</w:t>
      </w:r>
    </w:p>
    <w:p w14:paraId="0698CC15">
      <w:pPr>
        <w:numPr>
          <w:ilvl w:val="2"/>
          <w:numId w:val="17"/>
        </w:numPr>
        <w:spacing w:line="500" w:lineRule="exact"/>
        <w:ind w:left="564" w:leftChars="213" w:firstLine="0"/>
        <w:outlineLvl w:val="2"/>
        <w:rPr>
          <w:rFonts w:ascii="Arial" w:hAnsi="Arial" w:eastAsia="宋体" w:cs="Arial"/>
          <w:b/>
          <w:spacing w:val="10"/>
          <w:sz w:val="24"/>
        </w:rPr>
      </w:pPr>
      <w:r>
        <w:rPr>
          <w:rFonts w:ascii="Arial" w:hAnsi="Arial" w:eastAsia="宋体" w:cs="Arial"/>
          <w:b/>
          <w:spacing w:val="10"/>
          <w:sz w:val="24"/>
        </w:rPr>
        <w:t>生态环境现状调查与评价</w:t>
      </w:r>
    </w:p>
    <w:p w14:paraId="2ED9E5D2">
      <w:pPr>
        <w:spacing w:line="500" w:lineRule="exact"/>
        <w:ind w:firstLine="490" w:firstLineChars="200"/>
        <w:rPr>
          <w:rFonts w:ascii="Arial" w:hAnsi="Arial" w:eastAsia="宋体" w:cs="Arial"/>
          <w:spacing w:val="10"/>
          <w:kern w:val="0"/>
          <w:sz w:val="24"/>
        </w:rPr>
      </w:pPr>
      <w:r>
        <w:rPr>
          <w:rFonts w:ascii="Arial" w:hAnsi="Arial" w:eastAsia="宋体" w:cs="Arial"/>
          <w:spacing w:val="10"/>
          <w:sz w:val="24"/>
          <w:szCs w:val="24"/>
        </w:rPr>
        <w:t>项目</w:t>
      </w:r>
      <w:r>
        <w:rPr>
          <w:rFonts w:hint="eastAsia" w:ascii="Arial" w:hAnsi="Arial" w:eastAsia="宋体" w:cs="Arial"/>
          <w:spacing w:val="10"/>
          <w:sz w:val="24"/>
          <w:szCs w:val="24"/>
        </w:rPr>
        <w:t>属污染影响类建设项目，所处的</w:t>
      </w:r>
      <w:r>
        <w:rPr>
          <w:rFonts w:ascii="Arial" w:hAnsi="Arial" w:eastAsia="宋体" w:cs="Arial"/>
          <w:spacing w:val="10"/>
          <w:sz w:val="24"/>
          <w:szCs w:val="24"/>
        </w:rPr>
        <w:t>2#地块位于钦州港大榄坪物流加工区，同时也处于广西钦州石化产业园，两个园区规划环评</w:t>
      </w:r>
      <w:r>
        <w:rPr>
          <w:rFonts w:hint="eastAsia" w:ascii="Arial" w:hAnsi="Arial" w:eastAsia="宋体" w:cs="Arial"/>
          <w:spacing w:val="10"/>
          <w:sz w:val="24"/>
          <w:szCs w:val="24"/>
        </w:rPr>
        <w:t>均</w:t>
      </w:r>
      <w:r>
        <w:rPr>
          <w:rFonts w:ascii="Arial" w:hAnsi="Arial" w:eastAsia="宋体" w:cs="Arial"/>
          <w:spacing w:val="10"/>
          <w:sz w:val="24"/>
          <w:szCs w:val="24"/>
        </w:rPr>
        <w:t>已批准，项目符合</w:t>
      </w:r>
      <w:r>
        <w:rPr>
          <w:rFonts w:hint="eastAsia" w:ascii="Arial" w:hAnsi="Arial" w:eastAsia="宋体" w:cs="Arial"/>
          <w:spacing w:val="10"/>
          <w:sz w:val="24"/>
          <w:szCs w:val="24"/>
        </w:rPr>
        <w:t>这</w:t>
      </w:r>
      <w:r>
        <w:rPr>
          <w:rFonts w:ascii="Arial" w:hAnsi="Arial" w:eastAsia="宋体" w:cs="Arial"/>
          <w:spacing w:val="10"/>
          <w:sz w:val="24"/>
          <w:szCs w:val="24"/>
        </w:rPr>
        <w:t>两个</w:t>
      </w:r>
      <w:r>
        <w:rPr>
          <w:rFonts w:hint="eastAsia" w:ascii="Arial" w:hAnsi="Arial" w:eastAsia="宋体" w:cs="Arial"/>
          <w:spacing w:val="10"/>
          <w:sz w:val="24"/>
          <w:szCs w:val="24"/>
        </w:rPr>
        <w:t>园区</w:t>
      </w:r>
      <w:r>
        <w:rPr>
          <w:rFonts w:ascii="Arial" w:hAnsi="Arial" w:eastAsia="宋体" w:cs="Arial"/>
          <w:spacing w:val="10"/>
          <w:sz w:val="24"/>
          <w:szCs w:val="24"/>
        </w:rPr>
        <w:t>规划环评</w:t>
      </w:r>
      <w:r>
        <w:rPr>
          <w:rFonts w:hint="eastAsia" w:ascii="Arial" w:hAnsi="Arial" w:eastAsia="宋体" w:cs="Arial"/>
          <w:spacing w:val="10"/>
          <w:sz w:val="24"/>
          <w:szCs w:val="24"/>
        </w:rPr>
        <w:t>的</w:t>
      </w:r>
      <w:r>
        <w:rPr>
          <w:rFonts w:ascii="Arial" w:hAnsi="Arial" w:eastAsia="宋体" w:cs="Arial"/>
          <w:spacing w:val="10"/>
          <w:sz w:val="24"/>
          <w:szCs w:val="24"/>
        </w:rPr>
        <w:t>要求</w:t>
      </w:r>
      <w:r>
        <w:rPr>
          <w:rFonts w:hint="eastAsia" w:ascii="Arial" w:hAnsi="Arial" w:eastAsia="宋体" w:cs="Arial"/>
          <w:spacing w:val="10"/>
          <w:sz w:val="24"/>
          <w:szCs w:val="24"/>
        </w:rPr>
        <w:t>，</w:t>
      </w:r>
      <w:r>
        <w:rPr>
          <w:rFonts w:ascii="Arial" w:hAnsi="Arial" w:eastAsia="宋体" w:cs="Arial"/>
          <w:spacing w:val="10"/>
          <w:sz w:val="24"/>
          <w:szCs w:val="24"/>
        </w:rPr>
        <w:t>不涉及生态敏感区</w:t>
      </w:r>
      <w:r>
        <w:rPr>
          <w:rFonts w:hint="eastAsia" w:ascii="Arial" w:hAnsi="Arial" w:eastAsia="宋体" w:cs="Arial"/>
          <w:spacing w:val="10"/>
          <w:sz w:val="24"/>
          <w:szCs w:val="24"/>
        </w:rPr>
        <w:t>。</w:t>
      </w:r>
      <w:r>
        <w:rPr>
          <w:rFonts w:ascii="Arial" w:hAnsi="Arial" w:eastAsia="宋体" w:cs="Arial"/>
          <w:spacing w:val="10"/>
          <w:sz w:val="24"/>
          <w:szCs w:val="24"/>
        </w:rPr>
        <w:t>根据《环境影响评价技术导则</w:t>
      </w:r>
      <w:r>
        <w:rPr>
          <w:rFonts w:hint="eastAsia" w:ascii="Arial" w:hAnsi="Arial" w:eastAsia="宋体" w:cs="Arial"/>
          <w:spacing w:val="10"/>
          <w:sz w:val="24"/>
          <w:szCs w:val="24"/>
        </w:rPr>
        <w:t xml:space="preserve"> </w:t>
      </w:r>
      <w:r>
        <w:rPr>
          <w:rFonts w:ascii="Arial" w:hAnsi="Arial" w:eastAsia="宋体" w:cs="Arial"/>
          <w:spacing w:val="10"/>
          <w:sz w:val="24"/>
          <w:szCs w:val="24"/>
        </w:rPr>
        <w:t>生态影响》（HJ19-2022）6.1.8，项目可不确定评价等级，直接进行生态影响简单分析</w:t>
      </w:r>
      <w:r>
        <w:rPr>
          <w:rFonts w:ascii="Arial" w:hAnsi="Arial" w:eastAsia="宋体" w:cs="Arial"/>
          <w:spacing w:val="10"/>
          <w:kern w:val="0"/>
          <w:sz w:val="24"/>
        </w:rPr>
        <w:t>。项目区附近均为工业用地，主要植被为工业区内工业企业绿化植被及市政绿化植被，植被覆盖情况一般。</w:t>
      </w:r>
    </w:p>
    <w:p w14:paraId="785278DC">
      <w:pPr>
        <w:pStyle w:val="5"/>
        <w:spacing w:line="500" w:lineRule="exact"/>
        <w:ind w:firstLine="490" w:firstLineChars="200"/>
      </w:pPr>
    </w:p>
    <w:p w14:paraId="0EF38C62">
      <w:pPr>
        <w:pStyle w:val="3"/>
        <w:numPr>
          <w:ilvl w:val="0"/>
          <w:numId w:val="1"/>
        </w:numPr>
        <w:tabs>
          <w:tab w:val="left" w:pos="1931"/>
          <w:tab w:val="clear" w:pos="3065"/>
        </w:tabs>
        <w:ind w:left="1276"/>
        <w:rPr>
          <w:rFonts w:ascii="Arial" w:hAnsi="Arial" w:cs="Arial"/>
          <w:spacing w:val="10"/>
        </w:rPr>
      </w:pPr>
      <w:bookmarkStart w:id="289" w:name="_Toc185950227"/>
      <w:r>
        <w:rPr>
          <w:rFonts w:ascii="Arial" w:hAnsi="Arial" w:cs="Arial"/>
          <w:spacing w:val="10"/>
        </w:rPr>
        <w:t>环境影响预测与评价</w:t>
      </w:r>
      <w:bookmarkEnd w:id="279"/>
      <w:bookmarkEnd w:id="280"/>
      <w:bookmarkEnd w:id="289"/>
    </w:p>
    <w:p w14:paraId="305D33D7">
      <w:pPr>
        <w:pStyle w:val="4"/>
        <w:numPr>
          <w:ilvl w:val="1"/>
          <w:numId w:val="11"/>
        </w:numPr>
        <w:tabs>
          <w:tab w:val="left" w:pos="3217"/>
        </w:tabs>
        <w:spacing w:before="214" w:beforeLines="50" w:after="214" w:afterLines="50" w:line="500" w:lineRule="exact"/>
        <w:ind w:left="567"/>
        <w:rPr>
          <w:rFonts w:ascii="Arial" w:eastAsia="宋体" w:cs="Arial"/>
          <w:b/>
        </w:rPr>
      </w:pPr>
      <w:bookmarkStart w:id="290" w:name="_Toc185950228"/>
      <w:bookmarkStart w:id="291" w:name="_Toc104677294"/>
      <w:bookmarkStart w:id="292" w:name="_Toc1742960"/>
      <w:r>
        <w:rPr>
          <w:rFonts w:ascii="Arial" w:eastAsia="宋体" w:cs="Arial"/>
          <w:b/>
        </w:rPr>
        <w:t>施工期环境影响分析与评价</w:t>
      </w:r>
      <w:bookmarkEnd w:id="290"/>
      <w:bookmarkEnd w:id="291"/>
      <w:bookmarkEnd w:id="292"/>
    </w:p>
    <w:p w14:paraId="029A8757">
      <w:pPr>
        <w:pStyle w:val="5"/>
        <w:spacing w:line="500" w:lineRule="exact"/>
        <w:ind w:firstLine="490" w:firstLineChars="200"/>
      </w:pPr>
      <w:r>
        <w:t>施工期主要污染物为施工扬尘、施工机械设备废气、施工废水、施工噪声、废土石方和建筑垃圾等。本项目已变更完成，根据现场勘查，施工废气、施工废水带来的污染对周边环境影响较小，废土石方和建筑垃圾等均已妥善处置。</w:t>
      </w:r>
    </w:p>
    <w:p w14:paraId="7D46CBF9">
      <w:pPr>
        <w:pStyle w:val="4"/>
        <w:numPr>
          <w:ilvl w:val="1"/>
          <w:numId w:val="11"/>
        </w:numPr>
        <w:tabs>
          <w:tab w:val="left" w:pos="3217"/>
        </w:tabs>
        <w:spacing w:before="214" w:beforeLines="50" w:after="214" w:afterLines="50" w:line="500" w:lineRule="exact"/>
        <w:ind w:left="567"/>
        <w:rPr>
          <w:rFonts w:ascii="Arial" w:eastAsia="宋体" w:cs="Arial"/>
          <w:b/>
        </w:rPr>
      </w:pPr>
      <w:bookmarkStart w:id="293" w:name="_Toc1742961"/>
      <w:bookmarkStart w:id="294" w:name="_Toc104677299"/>
      <w:bookmarkStart w:id="295" w:name="_Toc185950229"/>
      <w:bookmarkStart w:id="296" w:name="_Toc300843085"/>
      <w:bookmarkStart w:id="297" w:name="_Toc214854865"/>
      <w:r>
        <w:rPr>
          <w:rFonts w:ascii="Arial" w:eastAsia="宋体" w:cs="Arial"/>
          <w:b/>
        </w:rPr>
        <w:t>运营期环境影响预测、分析与评价</w:t>
      </w:r>
      <w:bookmarkEnd w:id="293"/>
      <w:bookmarkEnd w:id="294"/>
      <w:bookmarkEnd w:id="295"/>
    </w:p>
    <w:p w14:paraId="200C1895">
      <w:pPr>
        <w:pStyle w:val="6"/>
        <w:numPr>
          <w:ilvl w:val="0"/>
          <w:numId w:val="20"/>
        </w:numPr>
        <w:tabs>
          <w:tab w:val="clear" w:pos="1789"/>
        </w:tabs>
        <w:spacing w:line="400" w:lineRule="exact"/>
        <w:rPr>
          <w:rFonts w:ascii="Arial" w:hAnsi="Arial" w:eastAsia="宋体" w:cs="Arial"/>
        </w:rPr>
      </w:pPr>
      <w:bookmarkStart w:id="298" w:name="_Toc104677300"/>
      <w:bookmarkStart w:id="299" w:name="_Toc58596459"/>
      <w:bookmarkStart w:id="300" w:name="_Toc57715619"/>
      <w:bookmarkStart w:id="301" w:name="_Toc67921872"/>
      <w:bookmarkStart w:id="302" w:name="_Toc88674773"/>
      <w:bookmarkStart w:id="303" w:name="_Toc87124258"/>
      <w:r>
        <w:rPr>
          <w:rFonts w:ascii="Arial" w:hAnsi="Arial" w:eastAsia="宋体" w:cs="Arial"/>
        </w:rPr>
        <w:t>运营期环境空气影响分析</w:t>
      </w:r>
      <w:bookmarkEnd w:id="298"/>
      <w:bookmarkEnd w:id="299"/>
      <w:bookmarkEnd w:id="300"/>
      <w:bookmarkEnd w:id="301"/>
      <w:bookmarkEnd w:id="302"/>
      <w:bookmarkEnd w:id="303"/>
    </w:p>
    <w:p w14:paraId="0B17BFC2">
      <w:pPr>
        <w:pStyle w:val="474"/>
        <w:numPr>
          <w:ilvl w:val="0"/>
          <w:numId w:val="21"/>
        </w:numPr>
        <w:spacing w:line="500" w:lineRule="exact"/>
        <w:ind w:firstLineChars="0"/>
        <w:outlineLvl w:val="3"/>
        <w:rPr>
          <w:rFonts w:ascii="Arial" w:hAnsi="Arial" w:cs="Arial"/>
          <w:b/>
        </w:rPr>
      </w:pPr>
      <w:r>
        <w:rPr>
          <w:rFonts w:ascii="Arial" w:hAnsi="Arial" w:cs="Arial"/>
          <w:b/>
        </w:rPr>
        <w:t>污染气象条件分析</w:t>
      </w:r>
    </w:p>
    <w:p w14:paraId="29242EB9">
      <w:pPr>
        <w:spacing w:line="500" w:lineRule="exact"/>
        <w:ind w:firstLine="490" w:firstLineChars="200"/>
        <w:rPr>
          <w:rFonts w:ascii="Arial" w:hAnsi="Arial" w:eastAsia="宋体" w:cs="Arial"/>
          <w:spacing w:val="10"/>
          <w:sz w:val="24"/>
        </w:rPr>
      </w:pPr>
      <w:r>
        <w:rPr>
          <w:rFonts w:ascii="Arial" w:hAnsi="Arial" w:eastAsia="宋体" w:cs="Arial"/>
          <w:spacing w:val="10"/>
          <w:sz w:val="24"/>
        </w:rPr>
        <w:t>1、气象资料调查内容及数据来源</w:t>
      </w:r>
    </w:p>
    <w:p w14:paraId="6C21405A">
      <w:pPr>
        <w:spacing w:line="500" w:lineRule="exact"/>
        <w:ind w:firstLine="490" w:firstLineChars="200"/>
        <w:rPr>
          <w:rFonts w:ascii="Arial" w:hAnsi="Arial" w:eastAsia="宋体" w:cs="Arial"/>
          <w:spacing w:val="10"/>
          <w:sz w:val="24"/>
        </w:rPr>
      </w:pPr>
      <w:r>
        <w:rPr>
          <w:rFonts w:ascii="Arial" w:hAnsi="Arial" w:eastAsia="宋体" w:cs="Arial"/>
          <w:spacing w:val="10"/>
          <w:sz w:val="24"/>
        </w:rPr>
        <w:t>本评价区所采用的常规地面气象观测资料（包括逐日、逐次）来自广西壮族自治区钦州国家基本气象站（东经108.617°，北纬21.95°），气象数据信息见表4-1。</w:t>
      </w:r>
    </w:p>
    <w:p w14:paraId="52AEB208">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观测气象数据信息</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898"/>
        <w:gridCol w:w="898"/>
        <w:gridCol w:w="1382"/>
        <w:gridCol w:w="1284"/>
        <w:gridCol w:w="757"/>
        <w:gridCol w:w="757"/>
        <w:gridCol w:w="680"/>
        <w:gridCol w:w="1502"/>
      </w:tblGrid>
      <w:tr w14:paraId="77114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64" w:type="pct"/>
            <w:vAlign w:val="center"/>
          </w:tcPr>
          <w:p w14:paraId="12F0C822">
            <w:pPr>
              <w:adjustRightInd w:val="0"/>
              <w:snapToGrid w:val="0"/>
              <w:jc w:val="center"/>
              <w:rPr>
                <w:rFonts w:ascii="Arial" w:hAnsi="Arial" w:eastAsia="宋体" w:cs="Arial"/>
                <w:sz w:val="21"/>
                <w:szCs w:val="21"/>
              </w:rPr>
            </w:pPr>
          </w:p>
        </w:tc>
        <w:tc>
          <w:tcPr>
            <w:tcW w:w="499" w:type="pct"/>
            <w:vAlign w:val="center"/>
          </w:tcPr>
          <w:p w14:paraId="6F100278">
            <w:pPr>
              <w:adjustRightInd w:val="0"/>
              <w:snapToGrid w:val="0"/>
              <w:jc w:val="center"/>
              <w:rPr>
                <w:rFonts w:ascii="Arial" w:hAnsi="Arial" w:eastAsia="宋体" w:cs="Arial"/>
                <w:sz w:val="21"/>
                <w:szCs w:val="21"/>
              </w:rPr>
            </w:pPr>
          </w:p>
        </w:tc>
        <w:tc>
          <w:tcPr>
            <w:tcW w:w="499" w:type="pct"/>
            <w:vAlign w:val="center"/>
          </w:tcPr>
          <w:p w14:paraId="543BB45F">
            <w:pPr>
              <w:adjustRightInd w:val="0"/>
              <w:snapToGrid w:val="0"/>
              <w:jc w:val="center"/>
              <w:rPr>
                <w:rFonts w:ascii="Arial" w:hAnsi="Arial" w:eastAsia="宋体" w:cs="Arial"/>
                <w:sz w:val="21"/>
                <w:szCs w:val="21"/>
              </w:rPr>
            </w:pPr>
          </w:p>
        </w:tc>
        <w:tc>
          <w:tcPr>
            <w:tcW w:w="1482" w:type="pct"/>
            <w:gridSpan w:val="2"/>
            <w:vAlign w:val="center"/>
          </w:tcPr>
          <w:p w14:paraId="1183873E">
            <w:pPr>
              <w:adjustRightInd w:val="0"/>
              <w:snapToGrid w:val="0"/>
              <w:jc w:val="center"/>
              <w:rPr>
                <w:rFonts w:ascii="Arial" w:hAnsi="Arial" w:eastAsia="宋体" w:cs="Arial"/>
                <w:sz w:val="21"/>
                <w:szCs w:val="21"/>
              </w:rPr>
            </w:pPr>
          </w:p>
        </w:tc>
        <w:tc>
          <w:tcPr>
            <w:tcW w:w="421" w:type="pct"/>
            <w:vAlign w:val="center"/>
          </w:tcPr>
          <w:p w14:paraId="49D934BB">
            <w:pPr>
              <w:adjustRightInd w:val="0"/>
              <w:snapToGrid w:val="0"/>
              <w:jc w:val="center"/>
              <w:rPr>
                <w:rFonts w:ascii="Arial" w:hAnsi="Arial" w:eastAsia="宋体" w:cs="Arial"/>
                <w:sz w:val="21"/>
                <w:szCs w:val="21"/>
              </w:rPr>
            </w:pPr>
          </w:p>
        </w:tc>
        <w:tc>
          <w:tcPr>
            <w:tcW w:w="421" w:type="pct"/>
            <w:vAlign w:val="center"/>
          </w:tcPr>
          <w:p w14:paraId="2F38FB83">
            <w:pPr>
              <w:adjustRightInd w:val="0"/>
              <w:snapToGrid w:val="0"/>
              <w:jc w:val="center"/>
              <w:rPr>
                <w:rFonts w:ascii="Arial" w:hAnsi="Arial" w:eastAsia="宋体" w:cs="Arial"/>
                <w:sz w:val="21"/>
                <w:szCs w:val="21"/>
              </w:rPr>
            </w:pPr>
          </w:p>
        </w:tc>
        <w:tc>
          <w:tcPr>
            <w:tcW w:w="378" w:type="pct"/>
            <w:vAlign w:val="center"/>
          </w:tcPr>
          <w:p w14:paraId="331285CE">
            <w:pPr>
              <w:adjustRightInd w:val="0"/>
              <w:snapToGrid w:val="0"/>
              <w:jc w:val="center"/>
              <w:rPr>
                <w:rFonts w:ascii="Arial" w:hAnsi="Arial" w:eastAsia="宋体" w:cs="Arial"/>
                <w:sz w:val="21"/>
                <w:szCs w:val="21"/>
              </w:rPr>
            </w:pPr>
          </w:p>
        </w:tc>
        <w:tc>
          <w:tcPr>
            <w:tcW w:w="835" w:type="pct"/>
            <w:vAlign w:val="center"/>
          </w:tcPr>
          <w:p w14:paraId="68A402EE">
            <w:pPr>
              <w:adjustRightInd w:val="0"/>
              <w:snapToGrid w:val="0"/>
              <w:jc w:val="center"/>
              <w:rPr>
                <w:rFonts w:ascii="Arial" w:hAnsi="Arial" w:eastAsia="宋体" w:cs="Arial"/>
                <w:sz w:val="21"/>
                <w:szCs w:val="21"/>
              </w:rPr>
            </w:pPr>
          </w:p>
        </w:tc>
      </w:tr>
      <w:tr w14:paraId="3499B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vAlign w:val="center"/>
          </w:tcPr>
          <w:p w14:paraId="6E16A48B">
            <w:pPr>
              <w:adjustRightInd w:val="0"/>
              <w:snapToGrid w:val="0"/>
              <w:jc w:val="center"/>
              <w:rPr>
                <w:rFonts w:ascii="Arial" w:hAnsi="Arial" w:eastAsia="宋体" w:cs="Arial"/>
                <w:sz w:val="21"/>
                <w:szCs w:val="21"/>
              </w:rPr>
            </w:pPr>
          </w:p>
        </w:tc>
        <w:tc>
          <w:tcPr>
            <w:tcW w:w="499" w:type="pct"/>
            <w:vAlign w:val="center"/>
          </w:tcPr>
          <w:p w14:paraId="75B361CD">
            <w:pPr>
              <w:adjustRightInd w:val="0"/>
              <w:snapToGrid w:val="0"/>
              <w:jc w:val="center"/>
              <w:rPr>
                <w:rFonts w:ascii="Arial" w:hAnsi="Arial" w:eastAsia="宋体" w:cs="Arial"/>
                <w:sz w:val="21"/>
                <w:szCs w:val="21"/>
              </w:rPr>
            </w:pPr>
          </w:p>
        </w:tc>
        <w:tc>
          <w:tcPr>
            <w:tcW w:w="499" w:type="pct"/>
            <w:vAlign w:val="center"/>
          </w:tcPr>
          <w:p w14:paraId="7DBBF8AB">
            <w:pPr>
              <w:adjustRightInd w:val="0"/>
              <w:snapToGrid w:val="0"/>
              <w:jc w:val="center"/>
              <w:rPr>
                <w:rFonts w:ascii="Arial" w:hAnsi="Arial" w:eastAsia="宋体" w:cs="Arial"/>
                <w:sz w:val="21"/>
                <w:szCs w:val="21"/>
              </w:rPr>
            </w:pPr>
          </w:p>
        </w:tc>
        <w:tc>
          <w:tcPr>
            <w:tcW w:w="768" w:type="pct"/>
            <w:vAlign w:val="center"/>
          </w:tcPr>
          <w:p w14:paraId="2F3FBA6C">
            <w:pPr>
              <w:adjustRightInd w:val="0"/>
              <w:snapToGrid w:val="0"/>
              <w:jc w:val="center"/>
              <w:rPr>
                <w:rFonts w:ascii="Arial" w:hAnsi="Arial" w:eastAsia="宋体" w:cs="Arial"/>
                <w:sz w:val="21"/>
                <w:szCs w:val="21"/>
              </w:rPr>
            </w:pPr>
          </w:p>
        </w:tc>
        <w:tc>
          <w:tcPr>
            <w:tcW w:w="714" w:type="pct"/>
            <w:vAlign w:val="center"/>
          </w:tcPr>
          <w:p w14:paraId="3ADF9647">
            <w:pPr>
              <w:adjustRightInd w:val="0"/>
              <w:snapToGrid w:val="0"/>
              <w:jc w:val="center"/>
              <w:rPr>
                <w:rFonts w:ascii="Arial" w:hAnsi="Arial" w:eastAsia="宋体" w:cs="Arial"/>
                <w:sz w:val="21"/>
                <w:szCs w:val="21"/>
              </w:rPr>
            </w:pPr>
          </w:p>
        </w:tc>
        <w:tc>
          <w:tcPr>
            <w:tcW w:w="421" w:type="pct"/>
            <w:vAlign w:val="center"/>
          </w:tcPr>
          <w:p w14:paraId="2E9501DA">
            <w:pPr>
              <w:adjustRightInd w:val="0"/>
              <w:snapToGrid w:val="0"/>
              <w:jc w:val="center"/>
              <w:rPr>
                <w:rFonts w:ascii="Arial" w:hAnsi="Arial" w:eastAsia="宋体" w:cs="Arial"/>
                <w:sz w:val="21"/>
                <w:szCs w:val="21"/>
              </w:rPr>
            </w:pPr>
          </w:p>
        </w:tc>
        <w:tc>
          <w:tcPr>
            <w:tcW w:w="421" w:type="pct"/>
            <w:vAlign w:val="center"/>
          </w:tcPr>
          <w:p w14:paraId="2574DCCB">
            <w:pPr>
              <w:adjustRightInd w:val="0"/>
              <w:snapToGrid w:val="0"/>
              <w:jc w:val="center"/>
              <w:rPr>
                <w:rFonts w:ascii="Arial" w:hAnsi="Arial" w:eastAsia="宋体" w:cs="Arial"/>
                <w:sz w:val="21"/>
                <w:szCs w:val="21"/>
              </w:rPr>
            </w:pPr>
          </w:p>
        </w:tc>
        <w:tc>
          <w:tcPr>
            <w:tcW w:w="378" w:type="pct"/>
            <w:vAlign w:val="center"/>
          </w:tcPr>
          <w:p w14:paraId="0F470DFF">
            <w:pPr>
              <w:adjustRightInd w:val="0"/>
              <w:snapToGrid w:val="0"/>
              <w:jc w:val="center"/>
              <w:rPr>
                <w:rFonts w:ascii="Arial" w:hAnsi="Arial" w:eastAsia="宋体" w:cs="Arial"/>
                <w:sz w:val="21"/>
                <w:szCs w:val="21"/>
              </w:rPr>
            </w:pPr>
          </w:p>
        </w:tc>
        <w:tc>
          <w:tcPr>
            <w:tcW w:w="835" w:type="pct"/>
            <w:vAlign w:val="center"/>
          </w:tcPr>
          <w:p w14:paraId="33F0B698">
            <w:pPr>
              <w:adjustRightInd w:val="0"/>
              <w:snapToGrid w:val="0"/>
              <w:jc w:val="center"/>
              <w:rPr>
                <w:rFonts w:ascii="Arial" w:hAnsi="Arial" w:eastAsia="宋体" w:cs="Arial"/>
                <w:sz w:val="21"/>
                <w:szCs w:val="21"/>
              </w:rPr>
            </w:pPr>
          </w:p>
        </w:tc>
      </w:tr>
    </w:tbl>
    <w:p w14:paraId="09579338">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u w:val="single"/>
        </w:rPr>
        <w:t>2、近20年主要气候统计资料</w:t>
      </w:r>
    </w:p>
    <w:p w14:paraId="7FB787E2">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u w:val="single"/>
        </w:rPr>
        <w:t>近20年常规地面气象统计资料见表4-2。</w:t>
      </w:r>
    </w:p>
    <w:p w14:paraId="3EE4E050">
      <w:pPr>
        <w:numPr>
          <w:ilvl w:val="0"/>
          <w:numId w:val="22"/>
        </w:numPr>
        <w:spacing w:line="500" w:lineRule="exact"/>
        <w:ind w:left="0" w:firstLine="0"/>
        <w:jc w:val="center"/>
        <w:outlineLvl w:val="4"/>
        <w:rPr>
          <w:rFonts w:ascii="Arial" w:hAnsi="Arial" w:eastAsia="宋体" w:cs="Arial"/>
          <w:b/>
          <w:sz w:val="24"/>
          <w:szCs w:val="24"/>
          <w:u w:val="single"/>
        </w:rPr>
      </w:pPr>
      <w:r>
        <w:rPr>
          <w:rFonts w:ascii="Arial" w:hAnsi="Arial" w:eastAsia="宋体" w:cs="Arial"/>
          <w:b/>
          <w:sz w:val="24"/>
          <w:szCs w:val="24"/>
          <w:u w:val="single"/>
        </w:rPr>
        <w:t>常规地面气象统计资料</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4"/>
        <w:gridCol w:w="2230"/>
        <w:gridCol w:w="2229"/>
      </w:tblGrid>
      <w:tr w14:paraId="1BC24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6D7E3699">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1E018E1C">
            <w:pPr>
              <w:adjustRightInd w:val="0"/>
              <w:snapToGrid w:val="0"/>
              <w:jc w:val="center"/>
              <w:rPr>
                <w:rFonts w:ascii="Arial" w:hAnsi="Arial" w:eastAsia="宋体" w:cs="Arial"/>
                <w:spacing w:val="10"/>
                <w:sz w:val="21"/>
                <w:szCs w:val="21"/>
                <w:u w:val="single"/>
              </w:rPr>
            </w:pPr>
          </w:p>
        </w:tc>
        <w:tc>
          <w:tcPr>
            <w:tcW w:w="1239" w:type="pct"/>
            <w:shd w:val="clear" w:color="auto" w:fill="auto"/>
            <w:noWrap/>
            <w:vAlign w:val="center"/>
          </w:tcPr>
          <w:p w14:paraId="3CB58BD5">
            <w:pPr>
              <w:adjustRightInd w:val="0"/>
              <w:snapToGrid w:val="0"/>
              <w:jc w:val="center"/>
              <w:rPr>
                <w:rFonts w:ascii="Arial" w:hAnsi="Arial" w:eastAsia="宋体" w:cs="Arial"/>
                <w:spacing w:val="10"/>
                <w:sz w:val="21"/>
                <w:szCs w:val="21"/>
                <w:u w:val="single"/>
              </w:rPr>
            </w:pPr>
          </w:p>
        </w:tc>
      </w:tr>
      <w:tr w14:paraId="1F49C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06DF8899">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488801A4">
            <w:pPr>
              <w:adjustRightInd w:val="0"/>
              <w:snapToGrid w:val="0"/>
              <w:jc w:val="center"/>
              <w:rPr>
                <w:rFonts w:ascii="Arial" w:hAnsi="Arial" w:eastAsia="宋体" w:cs="Arial"/>
                <w:sz w:val="21"/>
                <w:szCs w:val="21"/>
                <w:u w:val="single"/>
              </w:rPr>
            </w:pPr>
          </w:p>
        </w:tc>
        <w:tc>
          <w:tcPr>
            <w:tcW w:w="1239" w:type="pct"/>
            <w:shd w:val="clear" w:color="auto" w:fill="auto"/>
            <w:noWrap/>
            <w:vAlign w:val="center"/>
          </w:tcPr>
          <w:p w14:paraId="24B3C2ED">
            <w:pPr>
              <w:adjustRightInd w:val="0"/>
              <w:snapToGrid w:val="0"/>
              <w:jc w:val="center"/>
              <w:rPr>
                <w:rFonts w:ascii="Arial" w:hAnsi="Arial" w:eastAsia="宋体" w:cs="Arial"/>
                <w:sz w:val="21"/>
                <w:szCs w:val="21"/>
                <w:u w:val="single"/>
              </w:rPr>
            </w:pPr>
          </w:p>
        </w:tc>
      </w:tr>
      <w:tr w14:paraId="583CC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6CC31CD1">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1435736B">
            <w:pPr>
              <w:adjustRightInd w:val="0"/>
              <w:snapToGrid w:val="0"/>
              <w:jc w:val="center"/>
              <w:rPr>
                <w:rFonts w:ascii="Arial" w:hAnsi="Arial" w:eastAsia="宋体" w:cs="Arial"/>
                <w:spacing w:val="10"/>
                <w:sz w:val="21"/>
                <w:szCs w:val="21"/>
                <w:u w:val="single"/>
              </w:rPr>
            </w:pPr>
          </w:p>
        </w:tc>
        <w:tc>
          <w:tcPr>
            <w:tcW w:w="1239" w:type="pct"/>
            <w:shd w:val="clear" w:color="auto" w:fill="auto"/>
            <w:noWrap/>
            <w:vAlign w:val="center"/>
          </w:tcPr>
          <w:p w14:paraId="61997C27">
            <w:pPr>
              <w:adjustRightInd w:val="0"/>
              <w:snapToGrid w:val="0"/>
              <w:jc w:val="center"/>
              <w:rPr>
                <w:rFonts w:ascii="Arial" w:hAnsi="Arial" w:eastAsia="宋体" w:cs="Arial"/>
                <w:spacing w:val="10"/>
                <w:sz w:val="21"/>
                <w:szCs w:val="21"/>
                <w:u w:val="single"/>
              </w:rPr>
            </w:pPr>
          </w:p>
        </w:tc>
      </w:tr>
      <w:tr w14:paraId="2E14D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2F54AD40">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5E8740DF">
            <w:pPr>
              <w:adjustRightInd w:val="0"/>
              <w:snapToGrid w:val="0"/>
              <w:jc w:val="center"/>
              <w:rPr>
                <w:rFonts w:ascii="Arial" w:hAnsi="Arial" w:eastAsia="宋体" w:cs="Arial"/>
                <w:sz w:val="21"/>
                <w:szCs w:val="21"/>
                <w:u w:val="single"/>
              </w:rPr>
            </w:pPr>
          </w:p>
        </w:tc>
        <w:tc>
          <w:tcPr>
            <w:tcW w:w="1239" w:type="pct"/>
            <w:shd w:val="clear" w:color="auto" w:fill="auto"/>
            <w:noWrap/>
            <w:vAlign w:val="center"/>
          </w:tcPr>
          <w:p w14:paraId="05D095F0">
            <w:pPr>
              <w:adjustRightInd w:val="0"/>
              <w:snapToGrid w:val="0"/>
              <w:jc w:val="center"/>
              <w:rPr>
                <w:rFonts w:ascii="Arial" w:hAnsi="Arial" w:eastAsia="宋体" w:cs="Arial"/>
                <w:sz w:val="21"/>
                <w:szCs w:val="21"/>
                <w:u w:val="single"/>
              </w:rPr>
            </w:pPr>
          </w:p>
        </w:tc>
      </w:tr>
      <w:tr w14:paraId="0236A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6FFE1D1B">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02AF9218">
            <w:pPr>
              <w:adjustRightInd w:val="0"/>
              <w:snapToGrid w:val="0"/>
              <w:jc w:val="center"/>
              <w:rPr>
                <w:rFonts w:ascii="Arial" w:hAnsi="Arial" w:cs="Arial"/>
                <w:sz w:val="21"/>
                <w:szCs w:val="21"/>
                <w:u w:val="single"/>
              </w:rPr>
            </w:pPr>
          </w:p>
        </w:tc>
        <w:tc>
          <w:tcPr>
            <w:tcW w:w="1239" w:type="pct"/>
            <w:shd w:val="clear" w:color="auto" w:fill="auto"/>
            <w:noWrap/>
            <w:vAlign w:val="center"/>
          </w:tcPr>
          <w:p w14:paraId="24844ACF">
            <w:pPr>
              <w:adjustRightInd w:val="0"/>
              <w:snapToGrid w:val="0"/>
              <w:jc w:val="center"/>
              <w:rPr>
                <w:rFonts w:ascii="Arial" w:hAnsi="Arial" w:cs="Arial"/>
                <w:sz w:val="21"/>
                <w:szCs w:val="21"/>
                <w:u w:val="single"/>
              </w:rPr>
            </w:pPr>
          </w:p>
        </w:tc>
      </w:tr>
      <w:tr w14:paraId="1E670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04DE5BC2">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6172D40E">
            <w:pPr>
              <w:adjustRightInd w:val="0"/>
              <w:snapToGrid w:val="0"/>
              <w:jc w:val="center"/>
              <w:rPr>
                <w:rFonts w:ascii="Arial" w:hAnsi="Arial" w:cs="Arial"/>
                <w:sz w:val="21"/>
                <w:szCs w:val="21"/>
                <w:u w:val="single"/>
              </w:rPr>
            </w:pPr>
          </w:p>
        </w:tc>
        <w:tc>
          <w:tcPr>
            <w:tcW w:w="1239" w:type="pct"/>
            <w:shd w:val="clear" w:color="auto" w:fill="auto"/>
            <w:noWrap/>
            <w:vAlign w:val="center"/>
          </w:tcPr>
          <w:p w14:paraId="0D3DFEDD">
            <w:pPr>
              <w:adjustRightInd w:val="0"/>
              <w:snapToGrid w:val="0"/>
              <w:jc w:val="center"/>
              <w:rPr>
                <w:rFonts w:ascii="Arial" w:hAnsi="Arial" w:cs="Arial"/>
                <w:sz w:val="21"/>
                <w:szCs w:val="21"/>
                <w:u w:val="single"/>
              </w:rPr>
            </w:pPr>
          </w:p>
        </w:tc>
      </w:tr>
      <w:tr w14:paraId="51F9F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71F95D2D">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067879FE">
            <w:pPr>
              <w:adjustRightInd w:val="0"/>
              <w:snapToGrid w:val="0"/>
              <w:jc w:val="center"/>
              <w:rPr>
                <w:rFonts w:ascii="Arial" w:hAnsi="Arial" w:cs="Arial"/>
                <w:sz w:val="21"/>
                <w:szCs w:val="21"/>
                <w:u w:val="single"/>
              </w:rPr>
            </w:pPr>
          </w:p>
        </w:tc>
        <w:tc>
          <w:tcPr>
            <w:tcW w:w="1239" w:type="pct"/>
            <w:shd w:val="clear" w:color="auto" w:fill="auto"/>
            <w:noWrap/>
            <w:vAlign w:val="center"/>
          </w:tcPr>
          <w:p w14:paraId="56ECB574">
            <w:pPr>
              <w:adjustRightInd w:val="0"/>
              <w:snapToGrid w:val="0"/>
              <w:jc w:val="center"/>
              <w:rPr>
                <w:rFonts w:ascii="Arial" w:hAnsi="Arial" w:cs="Arial"/>
                <w:sz w:val="21"/>
                <w:szCs w:val="21"/>
                <w:u w:val="single"/>
              </w:rPr>
            </w:pPr>
          </w:p>
        </w:tc>
      </w:tr>
      <w:tr w14:paraId="0F1C7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7D3D286E">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2E450E6E">
            <w:pPr>
              <w:adjustRightInd w:val="0"/>
              <w:snapToGrid w:val="0"/>
              <w:jc w:val="center"/>
              <w:rPr>
                <w:rFonts w:ascii="Arial" w:hAnsi="Arial" w:cs="Arial"/>
                <w:sz w:val="21"/>
                <w:szCs w:val="21"/>
                <w:u w:val="single"/>
              </w:rPr>
            </w:pPr>
          </w:p>
        </w:tc>
        <w:tc>
          <w:tcPr>
            <w:tcW w:w="1239" w:type="pct"/>
            <w:shd w:val="clear" w:color="auto" w:fill="auto"/>
            <w:noWrap/>
            <w:vAlign w:val="center"/>
          </w:tcPr>
          <w:p w14:paraId="2A475F37">
            <w:pPr>
              <w:adjustRightInd w:val="0"/>
              <w:snapToGrid w:val="0"/>
              <w:jc w:val="center"/>
              <w:rPr>
                <w:rFonts w:ascii="Arial" w:hAnsi="Arial" w:cs="Arial"/>
                <w:sz w:val="21"/>
                <w:szCs w:val="21"/>
                <w:u w:val="single"/>
              </w:rPr>
            </w:pPr>
          </w:p>
        </w:tc>
      </w:tr>
      <w:tr w14:paraId="43DF6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533C0C33">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41ACDC8A">
            <w:pPr>
              <w:adjustRightInd w:val="0"/>
              <w:snapToGrid w:val="0"/>
              <w:jc w:val="center"/>
              <w:rPr>
                <w:rFonts w:ascii="Arial" w:hAnsi="Arial" w:cs="Arial"/>
                <w:sz w:val="21"/>
                <w:szCs w:val="21"/>
                <w:u w:val="single"/>
              </w:rPr>
            </w:pPr>
          </w:p>
        </w:tc>
        <w:tc>
          <w:tcPr>
            <w:tcW w:w="1239" w:type="pct"/>
            <w:shd w:val="clear" w:color="auto" w:fill="auto"/>
            <w:noWrap/>
            <w:vAlign w:val="center"/>
          </w:tcPr>
          <w:p w14:paraId="1F957612">
            <w:pPr>
              <w:adjustRightInd w:val="0"/>
              <w:snapToGrid w:val="0"/>
              <w:jc w:val="center"/>
              <w:rPr>
                <w:rFonts w:ascii="Arial" w:hAnsi="Arial" w:cs="Arial"/>
                <w:sz w:val="21"/>
                <w:szCs w:val="21"/>
                <w:u w:val="single"/>
              </w:rPr>
            </w:pPr>
          </w:p>
        </w:tc>
      </w:tr>
      <w:tr w14:paraId="53507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6C460550">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5546CD24">
            <w:pPr>
              <w:adjustRightInd w:val="0"/>
              <w:snapToGrid w:val="0"/>
              <w:jc w:val="center"/>
              <w:rPr>
                <w:rFonts w:ascii="Arial" w:hAnsi="Arial" w:cs="Arial"/>
                <w:sz w:val="21"/>
                <w:szCs w:val="21"/>
                <w:u w:val="single"/>
              </w:rPr>
            </w:pPr>
          </w:p>
        </w:tc>
        <w:tc>
          <w:tcPr>
            <w:tcW w:w="1239" w:type="pct"/>
            <w:shd w:val="clear" w:color="auto" w:fill="auto"/>
            <w:noWrap/>
            <w:vAlign w:val="center"/>
          </w:tcPr>
          <w:p w14:paraId="1838BA51">
            <w:pPr>
              <w:adjustRightInd w:val="0"/>
              <w:snapToGrid w:val="0"/>
              <w:jc w:val="center"/>
              <w:rPr>
                <w:rFonts w:ascii="Arial" w:hAnsi="Arial" w:cs="Arial"/>
                <w:sz w:val="21"/>
                <w:szCs w:val="21"/>
                <w:u w:val="single"/>
              </w:rPr>
            </w:pPr>
          </w:p>
        </w:tc>
      </w:tr>
      <w:tr w14:paraId="2A712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5247AFE3">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233371AE">
            <w:pPr>
              <w:adjustRightInd w:val="0"/>
              <w:snapToGrid w:val="0"/>
              <w:jc w:val="center"/>
              <w:rPr>
                <w:rFonts w:ascii="Arial" w:hAnsi="Arial" w:cs="Arial"/>
                <w:sz w:val="21"/>
                <w:szCs w:val="21"/>
                <w:u w:val="single"/>
              </w:rPr>
            </w:pPr>
          </w:p>
        </w:tc>
        <w:tc>
          <w:tcPr>
            <w:tcW w:w="1239" w:type="pct"/>
            <w:shd w:val="clear" w:color="auto" w:fill="auto"/>
            <w:noWrap/>
            <w:vAlign w:val="center"/>
          </w:tcPr>
          <w:p w14:paraId="079CEE5D">
            <w:pPr>
              <w:adjustRightInd w:val="0"/>
              <w:snapToGrid w:val="0"/>
              <w:jc w:val="center"/>
              <w:rPr>
                <w:rFonts w:ascii="Arial" w:hAnsi="Arial" w:cs="Arial"/>
                <w:sz w:val="21"/>
                <w:szCs w:val="21"/>
                <w:u w:val="single"/>
              </w:rPr>
            </w:pPr>
          </w:p>
        </w:tc>
      </w:tr>
      <w:tr w14:paraId="54D63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527AF323">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51CE6639">
            <w:pPr>
              <w:adjustRightInd w:val="0"/>
              <w:snapToGrid w:val="0"/>
              <w:jc w:val="center"/>
              <w:rPr>
                <w:rFonts w:ascii="Arial" w:hAnsi="Arial" w:cs="Arial"/>
                <w:sz w:val="21"/>
                <w:szCs w:val="21"/>
                <w:u w:val="single"/>
              </w:rPr>
            </w:pPr>
          </w:p>
        </w:tc>
        <w:tc>
          <w:tcPr>
            <w:tcW w:w="1239" w:type="pct"/>
            <w:shd w:val="clear" w:color="auto" w:fill="auto"/>
            <w:noWrap/>
            <w:vAlign w:val="center"/>
          </w:tcPr>
          <w:p w14:paraId="763470BF">
            <w:pPr>
              <w:adjustRightInd w:val="0"/>
              <w:snapToGrid w:val="0"/>
              <w:jc w:val="center"/>
              <w:rPr>
                <w:rFonts w:ascii="Arial" w:hAnsi="Arial" w:cs="Arial"/>
                <w:sz w:val="21"/>
                <w:szCs w:val="21"/>
                <w:u w:val="single"/>
              </w:rPr>
            </w:pPr>
          </w:p>
        </w:tc>
      </w:tr>
      <w:tr w14:paraId="74332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1" w:type="pct"/>
            <w:shd w:val="clear" w:color="auto" w:fill="auto"/>
            <w:noWrap/>
            <w:vAlign w:val="center"/>
          </w:tcPr>
          <w:p w14:paraId="396DEB92">
            <w:pPr>
              <w:adjustRightInd w:val="0"/>
              <w:snapToGrid w:val="0"/>
              <w:jc w:val="center"/>
              <w:rPr>
                <w:rFonts w:ascii="Arial" w:hAnsi="Arial" w:eastAsia="宋体" w:cs="Arial"/>
                <w:spacing w:val="10"/>
                <w:sz w:val="21"/>
                <w:szCs w:val="21"/>
                <w:u w:val="single"/>
              </w:rPr>
            </w:pPr>
          </w:p>
        </w:tc>
        <w:tc>
          <w:tcPr>
            <w:tcW w:w="1240" w:type="pct"/>
            <w:shd w:val="clear" w:color="auto" w:fill="auto"/>
            <w:noWrap/>
            <w:vAlign w:val="center"/>
          </w:tcPr>
          <w:p w14:paraId="48F31336">
            <w:pPr>
              <w:adjustRightInd w:val="0"/>
              <w:snapToGrid w:val="0"/>
              <w:jc w:val="center"/>
              <w:rPr>
                <w:rFonts w:ascii="Arial" w:hAnsi="Arial" w:cs="Arial"/>
                <w:sz w:val="21"/>
                <w:szCs w:val="21"/>
                <w:u w:val="single"/>
              </w:rPr>
            </w:pPr>
          </w:p>
        </w:tc>
        <w:tc>
          <w:tcPr>
            <w:tcW w:w="1239" w:type="pct"/>
            <w:shd w:val="clear" w:color="auto" w:fill="auto"/>
            <w:noWrap/>
            <w:vAlign w:val="center"/>
          </w:tcPr>
          <w:p w14:paraId="3034C9EC">
            <w:pPr>
              <w:adjustRightInd w:val="0"/>
              <w:snapToGrid w:val="0"/>
              <w:jc w:val="center"/>
              <w:rPr>
                <w:rFonts w:ascii="Arial" w:hAnsi="Arial" w:cs="Arial"/>
                <w:sz w:val="21"/>
                <w:szCs w:val="21"/>
                <w:u w:val="single"/>
              </w:rPr>
            </w:pPr>
          </w:p>
        </w:tc>
      </w:tr>
    </w:tbl>
    <w:p w14:paraId="6A0FA2F2">
      <w:pPr>
        <w:overflowPunct w:val="0"/>
        <w:snapToGrid w:val="0"/>
        <w:jc w:val="center"/>
        <w:rPr>
          <w:rFonts w:ascii="Arial" w:hAnsi="Arial" w:eastAsia="宋体" w:cs="Arial"/>
          <w:sz w:val="24"/>
        </w:rPr>
      </w:pPr>
      <w:r>
        <w:rPr>
          <w:rFonts w:ascii="Arial" w:hAnsi="Arial" w:eastAsia="宋体" w:cs="Arial"/>
          <w:sz w:val="24"/>
        </w:rPr>
        <w:drawing>
          <wp:inline distT="0" distB="0" distL="0" distR="0">
            <wp:extent cx="3476625" cy="3581400"/>
            <wp:effectExtent l="0" t="0" r="9525" b="0"/>
            <wp:docPr id="4" name="图片 4" descr="C:\Users\Administrator\Desktop\风玫瑰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风玫瑰图.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3476625" cy="3581400"/>
                    </a:xfrm>
                    <a:prstGeom prst="rect">
                      <a:avLst/>
                    </a:prstGeom>
                    <a:noFill/>
                    <a:ln>
                      <a:noFill/>
                    </a:ln>
                  </pic:spPr>
                </pic:pic>
              </a:graphicData>
            </a:graphic>
          </wp:inline>
        </w:drawing>
      </w:r>
    </w:p>
    <w:p w14:paraId="74EB169F">
      <w:pPr>
        <w:numPr>
          <w:ilvl w:val="0"/>
          <w:numId w:val="23"/>
        </w:numPr>
        <w:adjustRightInd w:val="0"/>
        <w:snapToGrid w:val="0"/>
        <w:ind w:left="0" w:firstLine="0"/>
        <w:jc w:val="center"/>
        <w:rPr>
          <w:rFonts w:ascii="Arial" w:hAnsi="Arial" w:eastAsia="宋体" w:cs="Arial"/>
          <w:b/>
          <w:spacing w:val="10"/>
          <w:sz w:val="24"/>
        </w:rPr>
      </w:pPr>
      <w:r>
        <w:rPr>
          <w:rFonts w:ascii="Arial" w:hAnsi="Arial" w:eastAsia="宋体" w:cs="Arial"/>
          <w:b/>
          <w:spacing w:val="10"/>
          <w:sz w:val="24"/>
        </w:rPr>
        <w:t>钦州地区20年风向频率统计</w:t>
      </w:r>
    </w:p>
    <w:p w14:paraId="79CFC380">
      <w:pPr>
        <w:spacing w:line="500" w:lineRule="exact"/>
        <w:ind w:firstLine="490" w:firstLineChars="200"/>
        <w:rPr>
          <w:rFonts w:ascii="Arial" w:hAnsi="Arial" w:eastAsia="宋体" w:cs="Arial"/>
          <w:spacing w:val="10"/>
          <w:sz w:val="24"/>
        </w:rPr>
      </w:pPr>
      <w:r>
        <w:rPr>
          <w:rFonts w:ascii="Arial" w:hAnsi="Arial" w:eastAsia="宋体" w:cs="Arial"/>
          <w:spacing w:val="10"/>
          <w:sz w:val="24"/>
        </w:rPr>
        <w:t>3、常规地面气象观测资料</w:t>
      </w:r>
    </w:p>
    <w:p w14:paraId="328BFB83">
      <w:pPr>
        <w:spacing w:line="500" w:lineRule="exact"/>
        <w:ind w:firstLine="490" w:firstLineChars="200"/>
        <w:rPr>
          <w:rFonts w:ascii="Arial" w:hAnsi="Arial" w:eastAsia="宋体" w:cs="Arial"/>
          <w:spacing w:val="10"/>
          <w:sz w:val="24"/>
        </w:rPr>
      </w:pPr>
      <w:r>
        <w:rPr>
          <w:rFonts w:ascii="Arial" w:hAnsi="Arial" w:eastAsia="宋体" w:cs="Arial"/>
          <w:spacing w:val="10"/>
          <w:sz w:val="24"/>
        </w:rPr>
        <w:t>来自钦州市气象站提供的2022年的气象数据。</w:t>
      </w:r>
    </w:p>
    <w:p w14:paraId="3F3CADBA">
      <w:pPr>
        <w:spacing w:line="500" w:lineRule="exact"/>
        <w:ind w:firstLine="490" w:firstLineChars="200"/>
        <w:rPr>
          <w:rFonts w:ascii="Arial" w:hAnsi="Arial" w:eastAsia="宋体" w:cs="Arial"/>
          <w:spacing w:val="10"/>
          <w:sz w:val="24"/>
        </w:rPr>
      </w:pPr>
      <w:r>
        <w:rPr>
          <w:rFonts w:ascii="Arial" w:hAnsi="Arial" w:eastAsia="宋体" w:cs="Arial"/>
          <w:spacing w:val="10"/>
          <w:sz w:val="24"/>
        </w:rPr>
        <w:t>4、常规高空气象探测资料</w:t>
      </w:r>
    </w:p>
    <w:p w14:paraId="15E189F2">
      <w:pPr>
        <w:spacing w:line="500" w:lineRule="exact"/>
        <w:ind w:firstLine="490" w:firstLineChars="200"/>
        <w:rPr>
          <w:rFonts w:ascii="Arial" w:hAnsi="Arial" w:eastAsia="宋体" w:cs="Arial"/>
          <w:spacing w:val="10"/>
          <w:sz w:val="24"/>
        </w:rPr>
      </w:pPr>
      <w:r>
        <w:rPr>
          <w:rFonts w:ascii="Arial" w:hAnsi="Arial" w:eastAsia="宋体" w:cs="Arial"/>
          <w:spacing w:val="10"/>
          <w:sz w:val="24"/>
        </w:rPr>
        <w:t>高空数据是采用大气环境影响评价数值模式WRF模拟生成。模式计算过程中把全国共划分为189×159个网格，分辨率为27km×27km。模式采用的原始数据有地形高度、土地利用、陆地-水体标志、植被组成等数据，数据源主要为美国的USGS数据。模式采用美国国家环境预报中心（NCEP)的再分析数据作为模型输入场和边界场。</w:t>
      </w:r>
    </w:p>
    <w:p w14:paraId="0875C66F">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模拟气象数据信息</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3"/>
        <w:gridCol w:w="1187"/>
        <w:gridCol w:w="1382"/>
        <w:gridCol w:w="1382"/>
        <w:gridCol w:w="3589"/>
      </w:tblGrid>
      <w:tr w14:paraId="7E33D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8" w:type="pct"/>
            <w:gridSpan w:val="2"/>
            <w:shd w:val="clear" w:color="auto" w:fill="auto"/>
            <w:noWrap/>
            <w:vAlign w:val="center"/>
          </w:tcPr>
          <w:p w14:paraId="294A48A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模拟点坐标</w:t>
            </w:r>
          </w:p>
        </w:tc>
        <w:tc>
          <w:tcPr>
            <w:tcW w:w="768" w:type="pct"/>
            <w:vMerge w:val="restart"/>
            <w:shd w:val="clear" w:color="auto" w:fill="auto"/>
            <w:vAlign w:val="center"/>
          </w:tcPr>
          <w:p w14:paraId="21D2B8B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相对距离</w:t>
            </w:r>
          </w:p>
        </w:tc>
        <w:tc>
          <w:tcPr>
            <w:tcW w:w="768" w:type="pct"/>
            <w:vMerge w:val="restart"/>
            <w:shd w:val="clear" w:color="auto" w:fill="auto"/>
            <w:vAlign w:val="center"/>
          </w:tcPr>
          <w:p w14:paraId="2C0604B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数据年份</w:t>
            </w:r>
          </w:p>
        </w:tc>
        <w:tc>
          <w:tcPr>
            <w:tcW w:w="1995" w:type="pct"/>
            <w:vMerge w:val="restart"/>
            <w:shd w:val="clear" w:color="auto" w:fill="auto"/>
            <w:vAlign w:val="center"/>
          </w:tcPr>
          <w:p w14:paraId="7DF013C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模拟气象要素</w:t>
            </w:r>
          </w:p>
        </w:tc>
      </w:tr>
      <w:tr w14:paraId="11DA0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pct"/>
            <w:shd w:val="clear" w:color="auto" w:fill="auto"/>
            <w:noWrap/>
            <w:vAlign w:val="center"/>
          </w:tcPr>
          <w:p w14:paraId="253442B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X</w:t>
            </w:r>
          </w:p>
        </w:tc>
        <w:tc>
          <w:tcPr>
            <w:tcW w:w="660" w:type="pct"/>
            <w:shd w:val="clear" w:color="auto" w:fill="auto"/>
            <w:vAlign w:val="center"/>
          </w:tcPr>
          <w:p w14:paraId="60F0016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Y</w:t>
            </w:r>
          </w:p>
        </w:tc>
        <w:tc>
          <w:tcPr>
            <w:tcW w:w="768" w:type="pct"/>
            <w:vMerge w:val="continue"/>
            <w:shd w:val="clear" w:color="auto" w:fill="auto"/>
            <w:vAlign w:val="center"/>
          </w:tcPr>
          <w:p w14:paraId="7271C818">
            <w:pPr>
              <w:adjustRightInd w:val="0"/>
              <w:snapToGrid w:val="0"/>
              <w:jc w:val="center"/>
              <w:rPr>
                <w:rFonts w:ascii="Arial" w:hAnsi="Arial" w:eastAsia="宋体" w:cs="Arial"/>
                <w:spacing w:val="10"/>
                <w:sz w:val="21"/>
                <w:szCs w:val="21"/>
              </w:rPr>
            </w:pPr>
          </w:p>
        </w:tc>
        <w:tc>
          <w:tcPr>
            <w:tcW w:w="768" w:type="pct"/>
            <w:vMerge w:val="continue"/>
            <w:shd w:val="clear" w:color="auto" w:fill="auto"/>
            <w:vAlign w:val="center"/>
          </w:tcPr>
          <w:p w14:paraId="1216231A">
            <w:pPr>
              <w:adjustRightInd w:val="0"/>
              <w:snapToGrid w:val="0"/>
              <w:jc w:val="center"/>
              <w:rPr>
                <w:rFonts w:ascii="Arial" w:hAnsi="Arial" w:eastAsia="宋体" w:cs="Arial"/>
                <w:spacing w:val="10"/>
                <w:sz w:val="21"/>
                <w:szCs w:val="21"/>
              </w:rPr>
            </w:pPr>
          </w:p>
        </w:tc>
        <w:tc>
          <w:tcPr>
            <w:tcW w:w="1995" w:type="pct"/>
            <w:vMerge w:val="continue"/>
            <w:shd w:val="clear" w:color="auto" w:fill="auto"/>
            <w:vAlign w:val="center"/>
          </w:tcPr>
          <w:p w14:paraId="764D62F3">
            <w:pPr>
              <w:adjustRightInd w:val="0"/>
              <w:snapToGrid w:val="0"/>
              <w:jc w:val="center"/>
              <w:rPr>
                <w:rFonts w:ascii="Arial" w:hAnsi="Arial" w:eastAsia="宋体" w:cs="Arial"/>
                <w:spacing w:val="10"/>
                <w:sz w:val="21"/>
                <w:szCs w:val="21"/>
              </w:rPr>
            </w:pPr>
          </w:p>
        </w:tc>
      </w:tr>
      <w:tr w14:paraId="2C1D8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pct"/>
            <w:shd w:val="clear" w:color="auto" w:fill="auto"/>
            <w:noWrap/>
            <w:vAlign w:val="center"/>
          </w:tcPr>
          <w:p w14:paraId="737A9965">
            <w:pPr>
              <w:adjustRightInd w:val="0"/>
              <w:snapToGrid w:val="0"/>
              <w:jc w:val="center"/>
              <w:rPr>
                <w:rFonts w:ascii="Arial" w:hAnsi="Arial" w:eastAsia="宋体" w:cs="Arial"/>
                <w:sz w:val="21"/>
                <w:szCs w:val="21"/>
              </w:rPr>
            </w:pPr>
            <w:r>
              <w:rPr>
                <w:rFonts w:ascii="Arial" w:hAnsi="Arial" w:eastAsia="宋体" w:cs="Arial"/>
                <w:sz w:val="21"/>
                <w:szCs w:val="21"/>
              </w:rPr>
              <w:t>108.617°E</w:t>
            </w:r>
          </w:p>
        </w:tc>
        <w:tc>
          <w:tcPr>
            <w:tcW w:w="660" w:type="pct"/>
            <w:shd w:val="clear" w:color="auto" w:fill="auto"/>
            <w:vAlign w:val="center"/>
          </w:tcPr>
          <w:p w14:paraId="415BBEB6">
            <w:pPr>
              <w:adjustRightInd w:val="0"/>
              <w:snapToGrid w:val="0"/>
              <w:jc w:val="center"/>
              <w:rPr>
                <w:rFonts w:ascii="Arial" w:hAnsi="Arial" w:eastAsia="宋体" w:cs="Arial"/>
                <w:sz w:val="21"/>
                <w:szCs w:val="21"/>
              </w:rPr>
            </w:pPr>
            <w:r>
              <w:rPr>
                <w:rFonts w:ascii="Arial" w:hAnsi="Arial" w:eastAsia="宋体" w:cs="Arial"/>
                <w:sz w:val="21"/>
                <w:szCs w:val="21"/>
              </w:rPr>
              <w:t>21.95°N</w:t>
            </w:r>
          </w:p>
        </w:tc>
        <w:tc>
          <w:tcPr>
            <w:tcW w:w="768" w:type="pct"/>
            <w:shd w:val="clear" w:color="auto" w:fill="auto"/>
            <w:vAlign w:val="center"/>
          </w:tcPr>
          <w:p w14:paraId="77B0323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27km</w:t>
            </w:r>
          </w:p>
        </w:tc>
        <w:tc>
          <w:tcPr>
            <w:tcW w:w="768" w:type="pct"/>
            <w:shd w:val="clear" w:color="auto" w:fill="auto"/>
            <w:vAlign w:val="center"/>
          </w:tcPr>
          <w:p w14:paraId="3D84647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2022</w:t>
            </w:r>
          </w:p>
        </w:tc>
        <w:tc>
          <w:tcPr>
            <w:tcW w:w="1995" w:type="pct"/>
            <w:shd w:val="clear" w:color="auto" w:fill="auto"/>
            <w:vAlign w:val="center"/>
          </w:tcPr>
          <w:p w14:paraId="1B0F117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气压、离地高度、干球温度</w:t>
            </w:r>
          </w:p>
        </w:tc>
      </w:tr>
    </w:tbl>
    <w:p w14:paraId="031FAB05">
      <w:pPr>
        <w:pStyle w:val="474"/>
        <w:numPr>
          <w:ilvl w:val="0"/>
          <w:numId w:val="21"/>
        </w:numPr>
        <w:spacing w:line="500" w:lineRule="exact"/>
        <w:ind w:firstLineChars="0"/>
        <w:outlineLvl w:val="3"/>
        <w:rPr>
          <w:rFonts w:ascii="Arial" w:hAnsi="Arial" w:cs="Arial"/>
          <w:b/>
        </w:rPr>
      </w:pPr>
      <w:r>
        <w:rPr>
          <w:rFonts w:ascii="Arial" w:hAnsi="Arial" w:cs="Arial"/>
          <w:b/>
        </w:rPr>
        <w:t>地形数据</w:t>
      </w:r>
    </w:p>
    <w:p w14:paraId="70F081E1">
      <w:pPr>
        <w:spacing w:line="500" w:lineRule="exact"/>
        <w:ind w:firstLine="490" w:firstLineChars="200"/>
        <w:rPr>
          <w:rFonts w:ascii="Arial" w:hAnsi="Arial" w:eastAsia="宋体" w:cs="Arial"/>
          <w:spacing w:val="10"/>
          <w:sz w:val="24"/>
        </w:rPr>
      </w:pPr>
      <w:r>
        <w:rPr>
          <w:rFonts w:ascii="Arial" w:hAnsi="Arial" w:eastAsia="宋体" w:cs="Arial"/>
          <w:spacing w:val="10"/>
          <w:sz w:val="24"/>
        </w:rPr>
        <w:t>评价范围内的地形数据采用外部DEM文件，并采用AERMAP运行计算得出评价范围内各网格及敏感点的地形数据。构建评价范围的预测网格时，采用直角坐标的方式，即坐标形式为（x，y）。评价区域地形示意图详见图4.2-2。</w:t>
      </w:r>
    </w:p>
    <w:p w14:paraId="55B3953E">
      <w:pPr>
        <w:spacing w:line="500" w:lineRule="exact"/>
        <w:ind w:firstLine="490" w:firstLineChars="200"/>
        <w:rPr>
          <w:rFonts w:ascii="Arial" w:hAnsi="Arial" w:eastAsia="宋体" w:cs="Arial"/>
          <w:spacing w:val="10"/>
          <w:sz w:val="24"/>
        </w:rPr>
      </w:pPr>
    </w:p>
    <w:p w14:paraId="657149B5">
      <w:pPr>
        <w:rPr>
          <w:rFonts w:ascii="Arial" w:hAnsi="Arial" w:eastAsia="宋体" w:cs="Arial"/>
          <w:spacing w:val="10"/>
          <w:sz w:val="24"/>
        </w:rPr>
      </w:pPr>
      <w:r>
        <mc:AlternateContent>
          <mc:Choice Requires="wps">
            <w:drawing>
              <wp:anchor distT="0" distB="0" distL="114300" distR="114300" simplePos="0" relativeHeight="251660288" behindDoc="0" locked="0" layoutInCell="1" allowOverlap="1">
                <wp:simplePos x="0" y="0"/>
                <wp:positionH relativeFrom="column">
                  <wp:posOffset>1668780</wp:posOffset>
                </wp:positionH>
                <wp:positionV relativeFrom="paragraph">
                  <wp:posOffset>2839720</wp:posOffset>
                </wp:positionV>
                <wp:extent cx="971550" cy="266700"/>
                <wp:effectExtent l="6350" t="677545" r="12700" b="8255"/>
                <wp:wrapNone/>
                <wp:docPr id="40" name="圆角矩形标注 40"/>
                <wp:cNvGraphicFramePr/>
                <a:graphic xmlns:a="http://schemas.openxmlformats.org/drawingml/2006/main">
                  <a:graphicData uri="http://schemas.microsoft.com/office/word/2010/wordprocessingShape">
                    <wps:wsp>
                      <wps:cNvSpPr/>
                      <wps:spPr>
                        <a:xfrm>
                          <a:off x="0" y="0"/>
                          <a:ext cx="971550" cy="266700"/>
                        </a:xfrm>
                        <a:prstGeom prst="wedgeRoundRectCallout">
                          <a:avLst>
                            <a:gd name="adj1" fmla="val -1225"/>
                            <a:gd name="adj2" fmla="val -301786"/>
                            <a:gd name="adj3" fmla="val 16667"/>
                          </a:avLst>
                        </a:prstGeom>
                        <a:noFill/>
                        <a:ln w="12700" cap="flat" cmpd="sng" algn="ctr">
                          <a:solidFill>
                            <a:srgbClr val="4F81BD">
                              <a:shade val="50000"/>
                            </a:srgbClr>
                          </a:solidFill>
                          <a:prstDash val="solid"/>
                        </a:ln>
                        <a:effectLst/>
                      </wps:spPr>
                      <wps:txbx>
                        <w:txbxContent>
                          <w:p w14:paraId="75E0C5EB">
                            <w:pPr>
                              <w:adjustRightInd w:val="0"/>
                              <w:snapToGrid w:val="0"/>
                              <w:jc w:val="center"/>
                              <w:rPr>
                                <w:rFonts w:ascii="宋体" w:hAnsi="宋体" w:eastAsia="宋体"/>
                                <w:color w:val="000000"/>
                                <w:sz w:val="18"/>
                                <w:szCs w:val="18"/>
                              </w:rPr>
                            </w:pPr>
                            <w:r>
                              <w:rPr>
                                <w:rFonts w:hint="eastAsia" w:ascii="宋体" w:hAnsi="宋体" w:eastAsia="宋体"/>
                                <w:color w:val="000000"/>
                                <w:sz w:val="18"/>
                                <w:szCs w:val="18"/>
                              </w:rPr>
                              <w:t>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31.4pt;margin-top:223.6pt;height:21pt;width:76.5pt;z-index:251660288;v-text-anchor:middle;mso-width-relative:page;mso-height-relative:page;" filled="f" stroked="t" coordsize="21600,21600" o:gfxdata="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WiKhjNsA&#10;AAALAQAADwAAAAAAAAABACAAAAAiAAAAZHJzL2Rvd25yZXYueG1sUEsBAhQAFAAAAAgAh07iQBla&#10;mSfHAgAAgwUAAA4AAAAAAAAAAQAgAAAAKgEAAGRycy9lMm9Eb2MueG1sUEsFBgAAAAAGAAYAWQEA&#10;AGMGAAAAAA==&#10;" adj="10535,-54386,14400">
                <v:fill on="f" focussize="0,0"/>
                <v:stroke weight="1pt" color="#385D8A" joinstyle="round"/>
                <v:imagedata o:title=""/>
                <o:lock v:ext="edit" aspectratio="f"/>
                <v:textbox>
                  <w:txbxContent>
                    <w:p w14:paraId="75E0C5EB">
                      <w:pPr>
                        <w:adjustRightInd w:val="0"/>
                        <w:snapToGrid w:val="0"/>
                        <w:jc w:val="center"/>
                        <w:rPr>
                          <w:rFonts w:ascii="宋体" w:hAnsi="宋体" w:eastAsia="宋体"/>
                          <w:color w:val="000000"/>
                          <w:sz w:val="18"/>
                          <w:szCs w:val="18"/>
                        </w:rPr>
                      </w:pPr>
                      <w:r>
                        <w:rPr>
                          <w:rFonts w:hint="eastAsia" w:ascii="宋体" w:hAnsi="宋体" w:eastAsia="宋体"/>
                          <w:color w:val="000000"/>
                          <w:sz w:val="18"/>
                          <w:szCs w:val="18"/>
                        </w:rPr>
                        <w:t>项目所在位置</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2030730</wp:posOffset>
                </wp:positionH>
                <wp:positionV relativeFrom="paragraph">
                  <wp:posOffset>1972945</wp:posOffset>
                </wp:positionV>
                <wp:extent cx="219075" cy="209550"/>
                <wp:effectExtent l="12700" t="12700" r="15875" b="25400"/>
                <wp:wrapNone/>
                <wp:docPr id="1" name="五角星 41"/>
                <wp:cNvGraphicFramePr/>
                <a:graphic xmlns:a="http://schemas.openxmlformats.org/drawingml/2006/main">
                  <a:graphicData uri="http://schemas.microsoft.com/office/word/2010/wordprocessingShape">
                    <wps:wsp>
                      <wps:cNvSpPr/>
                      <wps:spPr>
                        <a:xfrm>
                          <a:off x="0" y="0"/>
                          <a:ext cx="219075" cy="209550"/>
                        </a:xfrm>
                        <a:custGeom>
                          <a:avLst/>
                          <a:gdLst/>
                          <a:ahLst/>
                          <a:cxnLst>
                            <a:cxn ang="0">
                              <a:pos x="0" y="80041"/>
                            </a:cxn>
                            <a:cxn ang="0">
                              <a:pos x="83680" y="80041"/>
                            </a:cxn>
                            <a:cxn ang="0">
                              <a:pos x="109538" y="0"/>
                            </a:cxn>
                            <a:cxn ang="0">
                              <a:pos x="135395" y="80041"/>
                            </a:cxn>
                            <a:cxn ang="0">
                              <a:pos x="219075" y="80041"/>
                            </a:cxn>
                            <a:cxn ang="0">
                              <a:pos x="151376" y="129508"/>
                            </a:cxn>
                            <a:cxn ang="0">
                              <a:pos x="177235" y="209549"/>
                            </a:cxn>
                            <a:cxn ang="0">
                              <a:pos x="109538" y="160081"/>
                            </a:cxn>
                            <a:cxn ang="0">
                              <a:pos x="41840" y="209549"/>
                            </a:cxn>
                            <a:cxn ang="0">
                              <a:pos x="67699" y="129508"/>
                            </a:cxn>
                            <a:cxn ang="0">
                              <a:pos x="0" y="80041"/>
                            </a:cxn>
                          </a:cxnLst>
                          <a:rect l="0" t="0" r="0" b="0"/>
                          <a:pathLst>
                            <a:path w="219075" h="209550">
                              <a:moveTo>
                                <a:pt x="0" y="80041"/>
                              </a:moveTo>
                              <a:lnTo>
                                <a:pt x="83680" y="80041"/>
                              </a:lnTo>
                              <a:lnTo>
                                <a:pt x="109538" y="0"/>
                              </a:lnTo>
                              <a:lnTo>
                                <a:pt x="135395" y="80041"/>
                              </a:lnTo>
                              <a:lnTo>
                                <a:pt x="219075" y="80041"/>
                              </a:lnTo>
                              <a:lnTo>
                                <a:pt x="151376" y="129508"/>
                              </a:lnTo>
                              <a:lnTo>
                                <a:pt x="177235" y="209549"/>
                              </a:lnTo>
                              <a:lnTo>
                                <a:pt x="109538" y="160081"/>
                              </a:lnTo>
                              <a:lnTo>
                                <a:pt x="41840" y="209549"/>
                              </a:lnTo>
                              <a:lnTo>
                                <a:pt x="67699" y="129508"/>
                              </a:lnTo>
                              <a:lnTo>
                                <a:pt x="0" y="80041"/>
                              </a:lnTo>
                              <a:close/>
                            </a:path>
                          </a:pathLst>
                        </a:custGeom>
                        <a:solidFill>
                          <a:sysClr val="background" lastClr="000000">
                            <a:gamma/>
                            <a:invGamma/>
                            <a:alpha val="100000"/>
                          </a:sysClr>
                        </a:solidFill>
                        <a:ln w="25400" cap="flat" cmpd="sng">
                          <a:solidFill>
                            <a:sysClr val="background" lastClr="000000">
                              <a:gamma/>
                              <a:invGamma/>
                              <a:alpha val="100000"/>
                            </a:sysClr>
                          </a:solidFill>
                          <a:prstDash val="solid"/>
                          <a:headEnd type="none" w="med" len="med"/>
                          <a:tailEnd type="none" w="med" len="med"/>
                        </a:ln>
                      </wps:spPr>
                      <wps:bodyPr vert="horz" wrap="square" lIns="91440" tIns="45720" rIns="91440" bIns="45720" anchor="ctr" anchorCtr="0" upright="1"/>
                    </wps:wsp>
                  </a:graphicData>
                </a:graphic>
              </wp:anchor>
            </w:drawing>
          </mc:Choice>
          <mc:Fallback>
            <w:pict>
              <v:shape id="五角星 41" o:spid="_x0000_s1026" o:spt="100" style="position:absolute;left:0pt;margin-left:159.9pt;margin-top:155.35pt;height:16.5pt;width:17.25pt;z-index:251659264;v-text-anchor:middle;mso-width-relative:page;mso-height-relative:page;" fillcolor="#000000" filled="t" stroked="t" coordsize="219075,209550" o:gfxdata="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" path="m0,80041l83680,80041,109538,0,135395,80041,219075,80041,151376,129508,177235,209549,109538,160081,41840,209549,67699,129508,0,80041xe">
                <v:path o:connectlocs="0,80041;83680,80041;109538,0;135395,80041;219075,80041;151376,129508;177235,209549;109538,160081;41840,209549;67699,129508;0,80041" o:connectangles="0,0,0,0,0,0,0,0,0,0,0"/>
                <v:fill on="t" focussize="0,0"/>
                <v:stroke weight="2pt" color="#000000" joinstyle="round"/>
                <v:imagedata o:title=""/>
                <o:lock v:ext="edit" aspectratio="f"/>
              </v:shape>
            </w:pict>
          </mc:Fallback>
        </mc:AlternateContent>
      </w:r>
      <w:r>
        <w:rPr>
          <w:rFonts w:ascii="Arial" w:hAnsi="Arial" w:cs="Arial"/>
        </w:rPr>
        <w:drawing>
          <wp:inline distT="0" distB="0" distL="114300" distR="114300">
            <wp:extent cx="5486400" cy="3862070"/>
            <wp:effectExtent l="0" t="0" r="0" b="5080"/>
            <wp:docPr id="2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3"/>
                    <pic:cNvPicPr>
                      <a:picLocks noChangeAspect="1"/>
                    </pic:cNvPicPr>
                  </pic:nvPicPr>
                  <pic:blipFill>
                    <a:blip r:embed="rId42"/>
                    <a:stretch>
                      <a:fillRect/>
                    </a:stretch>
                  </pic:blipFill>
                  <pic:spPr>
                    <a:xfrm>
                      <a:off x="0" y="0"/>
                      <a:ext cx="5486400" cy="3862070"/>
                    </a:xfrm>
                    <a:prstGeom prst="rect">
                      <a:avLst/>
                    </a:prstGeom>
                    <a:noFill/>
                    <a:ln>
                      <a:noFill/>
                    </a:ln>
                  </pic:spPr>
                </pic:pic>
              </a:graphicData>
            </a:graphic>
          </wp:inline>
        </w:drawing>
      </w:r>
    </w:p>
    <w:p w14:paraId="46258AF5">
      <w:pPr>
        <w:numPr>
          <w:ilvl w:val="0"/>
          <w:numId w:val="23"/>
        </w:numPr>
        <w:adjustRightInd w:val="0"/>
        <w:snapToGrid w:val="0"/>
        <w:ind w:left="0" w:firstLine="0"/>
        <w:jc w:val="center"/>
        <w:rPr>
          <w:rFonts w:ascii="Arial" w:hAnsi="Arial" w:eastAsia="宋体" w:cs="Arial"/>
          <w:b/>
          <w:spacing w:val="10"/>
          <w:sz w:val="24"/>
        </w:rPr>
      </w:pPr>
      <w:r>
        <w:rPr>
          <w:rFonts w:ascii="Arial" w:hAnsi="Arial" w:eastAsia="宋体" w:cs="Arial"/>
          <w:b/>
          <w:spacing w:val="10"/>
          <w:sz w:val="24"/>
        </w:rPr>
        <w:t>项目所在区域地形高程图</w:t>
      </w:r>
    </w:p>
    <w:p w14:paraId="2950A98E">
      <w:pPr>
        <w:pStyle w:val="474"/>
        <w:numPr>
          <w:ilvl w:val="0"/>
          <w:numId w:val="21"/>
        </w:numPr>
        <w:spacing w:line="500" w:lineRule="exact"/>
        <w:ind w:firstLineChars="0"/>
        <w:outlineLvl w:val="3"/>
        <w:rPr>
          <w:rFonts w:ascii="Arial" w:hAnsi="Arial" w:cs="Arial"/>
          <w:b/>
        </w:rPr>
      </w:pPr>
      <w:r>
        <w:rPr>
          <w:rFonts w:ascii="Arial" w:hAnsi="Arial" w:cs="Arial"/>
          <w:b/>
        </w:rPr>
        <w:t>地面特征参数</w:t>
      </w:r>
    </w:p>
    <w:p w14:paraId="16856A2E">
      <w:pPr>
        <w:spacing w:line="500" w:lineRule="exact"/>
        <w:ind w:firstLine="490" w:firstLineChars="200"/>
        <w:rPr>
          <w:rFonts w:ascii="Arial" w:hAnsi="Arial" w:eastAsia="宋体" w:cs="Arial"/>
          <w:spacing w:val="10"/>
          <w:sz w:val="24"/>
        </w:rPr>
      </w:pPr>
      <w:r>
        <w:rPr>
          <w:rFonts w:ascii="Arial" w:hAnsi="Arial" w:eastAsia="宋体" w:cs="Arial"/>
          <w:spacing w:val="10"/>
          <w:sz w:val="24"/>
        </w:rPr>
        <w:t>本预测采用HJ2.2-2008推荐模式清单中的AERMOD进行预测计算，AERMOD所需的近地面参数（正午地面反照率、白天波文率和地面粗糙率）选取，根据项目评价区域特点参考模型推荐参数及实测数据进行设置。</w:t>
      </w:r>
    </w:p>
    <w:p w14:paraId="17472607">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根据拟建项目所处地理环境，评价区土地利用类型为城市，地表湿度主要为湿润气候，按季计算评价区地面特征参数，本项目评价区地面特征参数详见表4-4。</w:t>
      </w:r>
    </w:p>
    <w:p w14:paraId="1F8AA0AE">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地面特征参数表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2"/>
        <w:gridCol w:w="1991"/>
        <w:gridCol w:w="1991"/>
        <w:gridCol w:w="1495"/>
        <w:gridCol w:w="1299"/>
        <w:gridCol w:w="1295"/>
      </w:tblGrid>
      <w:tr w14:paraId="03E09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shd w:val="clear" w:color="auto" w:fill="auto"/>
            <w:noWrap/>
            <w:vAlign w:val="center"/>
          </w:tcPr>
          <w:p w14:paraId="2442E74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序号</w:t>
            </w:r>
          </w:p>
        </w:tc>
        <w:tc>
          <w:tcPr>
            <w:tcW w:w="1107" w:type="pct"/>
            <w:shd w:val="clear" w:color="auto" w:fill="auto"/>
            <w:vAlign w:val="center"/>
          </w:tcPr>
          <w:p w14:paraId="35AFBE9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扇区</w:t>
            </w:r>
          </w:p>
        </w:tc>
        <w:tc>
          <w:tcPr>
            <w:tcW w:w="1107" w:type="pct"/>
            <w:shd w:val="clear" w:color="auto" w:fill="auto"/>
            <w:noWrap/>
            <w:vAlign w:val="center"/>
          </w:tcPr>
          <w:p w14:paraId="322EEC3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时段</w:t>
            </w:r>
          </w:p>
        </w:tc>
        <w:tc>
          <w:tcPr>
            <w:tcW w:w="831" w:type="pct"/>
            <w:vAlign w:val="center"/>
          </w:tcPr>
          <w:p w14:paraId="4D27BEA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正午反照率</w:t>
            </w:r>
          </w:p>
        </w:tc>
        <w:tc>
          <w:tcPr>
            <w:tcW w:w="722" w:type="pct"/>
            <w:vAlign w:val="center"/>
          </w:tcPr>
          <w:p w14:paraId="08CA2F5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BOWEN</w:t>
            </w:r>
          </w:p>
        </w:tc>
        <w:tc>
          <w:tcPr>
            <w:tcW w:w="720" w:type="pct"/>
            <w:vAlign w:val="center"/>
          </w:tcPr>
          <w:p w14:paraId="4F86DD3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粗糙度</w:t>
            </w:r>
          </w:p>
        </w:tc>
      </w:tr>
      <w:tr w14:paraId="41CC1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shd w:val="clear" w:color="auto" w:fill="auto"/>
            <w:noWrap/>
            <w:vAlign w:val="center"/>
          </w:tcPr>
          <w:p w14:paraId="591AD13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w:t>
            </w:r>
          </w:p>
        </w:tc>
        <w:tc>
          <w:tcPr>
            <w:tcW w:w="1107" w:type="pct"/>
            <w:shd w:val="clear" w:color="auto" w:fill="auto"/>
            <w:vAlign w:val="center"/>
          </w:tcPr>
          <w:p w14:paraId="74D9877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90-180</w:t>
            </w:r>
          </w:p>
        </w:tc>
        <w:tc>
          <w:tcPr>
            <w:tcW w:w="1107" w:type="pct"/>
            <w:shd w:val="clear" w:color="auto" w:fill="auto"/>
            <w:noWrap/>
            <w:vAlign w:val="center"/>
          </w:tcPr>
          <w:p w14:paraId="582FDC6A">
            <w:pPr>
              <w:adjustRightInd w:val="0"/>
              <w:snapToGrid w:val="0"/>
              <w:jc w:val="center"/>
              <w:rPr>
                <w:rFonts w:ascii="Arial" w:hAnsi="Arial" w:eastAsia="宋体" w:cs="Arial"/>
                <w:sz w:val="21"/>
                <w:szCs w:val="21"/>
              </w:rPr>
            </w:pPr>
            <w:r>
              <w:rPr>
                <w:rFonts w:ascii="Arial" w:hAnsi="Arial" w:eastAsia="宋体" w:cs="Arial"/>
                <w:sz w:val="21"/>
                <w:szCs w:val="21"/>
              </w:rPr>
              <w:t>冬季（12,1,2月）</w:t>
            </w:r>
          </w:p>
        </w:tc>
        <w:tc>
          <w:tcPr>
            <w:tcW w:w="831" w:type="pct"/>
            <w:vAlign w:val="center"/>
          </w:tcPr>
          <w:p w14:paraId="3F27C13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0.2</w:t>
            </w:r>
          </w:p>
        </w:tc>
        <w:tc>
          <w:tcPr>
            <w:tcW w:w="722" w:type="pct"/>
            <w:vAlign w:val="center"/>
          </w:tcPr>
          <w:p w14:paraId="732C851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0.3</w:t>
            </w:r>
          </w:p>
        </w:tc>
        <w:tc>
          <w:tcPr>
            <w:tcW w:w="720" w:type="pct"/>
            <w:vAlign w:val="center"/>
          </w:tcPr>
          <w:p w14:paraId="0DF9C37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14:paraId="1E32E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shd w:val="clear" w:color="auto" w:fill="auto"/>
            <w:noWrap/>
            <w:vAlign w:val="center"/>
          </w:tcPr>
          <w:p w14:paraId="4CAABCB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w:t>
            </w:r>
          </w:p>
        </w:tc>
        <w:tc>
          <w:tcPr>
            <w:tcW w:w="1107" w:type="pct"/>
            <w:shd w:val="clear" w:color="auto" w:fill="auto"/>
            <w:vAlign w:val="center"/>
          </w:tcPr>
          <w:p w14:paraId="4D175A3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90-180</w:t>
            </w:r>
          </w:p>
        </w:tc>
        <w:tc>
          <w:tcPr>
            <w:tcW w:w="1107" w:type="pct"/>
            <w:shd w:val="clear" w:color="auto" w:fill="auto"/>
            <w:noWrap/>
            <w:vAlign w:val="center"/>
          </w:tcPr>
          <w:p w14:paraId="13ED4C6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春季（3,4,5月）</w:t>
            </w:r>
          </w:p>
        </w:tc>
        <w:tc>
          <w:tcPr>
            <w:tcW w:w="831" w:type="pct"/>
            <w:vAlign w:val="center"/>
          </w:tcPr>
          <w:p w14:paraId="11998D8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0.12</w:t>
            </w:r>
          </w:p>
        </w:tc>
        <w:tc>
          <w:tcPr>
            <w:tcW w:w="722" w:type="pct"/>
            <w:vAlign w:val="center"/>
          </w:tcPr>
          <w:p w14:paraId="4AD8042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w:t>
            </w:r>
          </w:p>
        </w:tc>
        <w:tc>
          <w:tcPr>
            <w:tcW w:w="720" w:type="pct"/>
            <w:vAlign w:val="center"/>
          </w:tcPr>
          <w:p w14:paraId="5C254E1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14:paraId="6FA5D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shd w:val="clear" w:color="auto" w:fill="auto"/>
            <w:noWrap/>
            <w:vAlign w:val="center"/>
          </w:tcPr>
          <w:p w14:paraId="22C68E5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w:t>
            </w:r>
          </w:p>
        </w:tc>
        <w:tc>
          <w:tcPr>
            <w:tcW w:w="1107" w:type="pct"/>
            <w:shd w:val="clear" w:color="auto" w:fill="auto"/>
            <w:vAlign w:val="center"/>
          </w:tcPr>
          <w:p w14:paraId="364FAAF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90-180</w:t>
            </w:r>
          </w:p>
        </w:tc>
        <w:tc>
          <w:tcPr>
            <w:tcW w:w="1107" w:type="pct"/>
            <w:shd w:val="clear" w:color="auto" w:fill="auto"/>
            <w:noWrap/>
            <w:vAlign w:val="center"/>
          </w:tcPr>
          <w:p w14:paraId="295EE69A">
            <w:pPr>
              <w:adjustRightInd w:val="0"/>
              <w:snapToGrid w:val="0"/>
              <w:jc w:val="center"/>
              <w:rPr>
                <w:rFonts w:ascii="Arial" w:hAnsi="Arial" w:eastAsia="宋体" w:cs="Arial"/>
                <w:sz w:val="21"/>
                <w:szCs w:val="21"/>
              </w:rPr>
            </w:pPr>
            <w:r>
              <w:rPr>
                <w:rFonts w:ascii="Arial" w:hAnsi="Arial" w:eastAsia="宋体" w:cs="Arial"/>
                <w:sz w:val="21"/>
                <w:szCs w:val="21"/>
              </w:rPr>
              <w:t>夏季（6,7,8月）</w:t>
            </w:r>
          </w:p>
        </w:tc>
        <w:tc>
          <w:tcPr>
            <w:tcW w:w="831" w:type="pct"/>
            <w:vAlign w:val="center"/>
          </w:tcPr>
          <w:p w14:paraId="38C17B1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w:t>
            </w:r>
          </w:p>
        </w:tc>
        <w:tc>
          <w:tcPr>
            <w:tcW w:w="722" w:type="pct"/>
            <w:vAlign w:val="center"/>
          </w:tcPr>
          <w:p w14:paraId="719CC0D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w:t>
            </w:r>
          </w:p>
        </w:tc>
        <w:tc>
          <w:tcPr>
            <w:tcW w:w="720" w:type="pct"/>
            <w:vAlign w:val="center"/>
          </w:tcPr>
          <w:p w14:paraId="259F69A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14:paraId="2AD54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shd w:val="clear" w:color="auto" w:fill="auto"/>
            <w:noWrap/>
            <w:vAlign w:val="center"/>
          </w:tcPr>
          <w:p w14:paraId="4910AA7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w:t>
            </w:r>
          </w:p>
        </w:tc>
        <w:tc>
          <w:tcPr>
            <w:tcW w:w="1107" w:type="pct"/>
            <w:shd w:val="clear" w:color="auto" w:fill="auto"/>
            <w:vAlign w:val="center"/>
          </w:tcPr>
          <w:p w14:paraId="1F68D01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90-180</w:t>
            </w:r>
          </w:p>
        </w:tc>
        <w:tc>
          <w:tcPr>
            <w:tcW w:w="1107" w:type="pct"/>
            <w:shd w:val="clear" w:color="auto" w:fill="auto"/>
            <w:noWrap/>
            <w:vAlign w:val="center"/>
          </w:tcPr>
          <w:p w14:paraId="13036D3B">
            <w:pPr>
              <w:adjustRightInd w:val="0"/>
              <w:snapToGrid w:val="0"/>
              <w:jc w:val="center"/>
              <w:rPr>
                <w:rFonts w:ascii="Arial" w:hAnsi="Arial" w:eastAsia="宋体" w:cs="Arial"/>
                <w:sz w:val="21"/>
                <w:szCs w:val="21"/>
              </w:rPr>
            </w:pPr>
            <w:r>
              <w:rPr>
                <w:rFonts w:ascii="Arial" w:hAnsi="Arial" w:eastAsia="宋体" w:cs="Arial"/>
                <w:sz w:val="21"/>
                <w:szCs w:val="21"/>
              </w:rPr>
              <w:t>秋季（9,10,11月）</w:t>
            </w:r>
          </w:p>
        </w:tc>
        <w:tc>
          <w:tcPr>
            <w:tcW w:w="831" w:type="pct"/>
            <w:vAlign w:val="center"/>
          </w:tcPr>
          <w:p w14:paraId="05821B5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0.14</w:t>
            </w:r>
          </w:p>
        </w:tc>
        <w:tc>
          <w:tcPr>
            <w:tcW w:w="722" w:type="pct"/>
            <w:vAlign w:val="center"/>
          </w:tcPr>
          <w:p w14:paraId="6B60C20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w:t>
            </w:r>
          </w:p>
        </w:tc>
        <w:tc>
          <w:tcPr>
            <w:tcW w:w="720" w:type="pct"/>
            <w:vAlign w:val="center"/>
          </w:tcPr>
          <w:p w14:paraId="7A019C4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14:paraId="59B8F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shd w:val="clear" w:color="auto" w:fill="auto"/>
            <w:noWrap/>
            <w:vAlign w:val="center"/>
          </w:tcPr>
          <w:p w14:paraId="520956C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w:t>
            </w:r>
          </w:p>
        </w:tc>
        <w:tc>
          <w:tcPr>
            <w:tcW w:w="1107" w:type="pct"/>
            <w:shd w:val="clear" w:color="auto" w:fill="auto"/>
            <w:vAlign w:val="center"/>
          </w:tcPr>
          <w:p w14:paraId="4B53CE23">
            <w:pPr>
              <w:adjustRightInd w:val="0"/>
              <w:snapToGrid w:val="0"/>
              <w:jc w:val="center"/>
              <w:rPr>
                <w:rFonts w:ascii="Arial" w:hAnsi="Arial" w:eastAsia="宋体" w:cs="Arial"/>
                <w:sz w:val="21"/>
                <w:szCs w:val="21"/>
              </w:rPr>
            </w:pPr>
            <w:r>
              <w:rPr>
                <w:rFonts w:ascii="Arial" w:hAnsi="Arial" w:eastAsia="宋体" w:cs="Arial"/>
                <w:sz w:val="21"/>
                <w:szCs w:val="21"/>
              </w:rPr>
              <w:t>180-90</w:t>
            </w:r>
          </w:p>
        </w:tc>
        <w:tc>
          <w:tcPr>
            <w:tcW w:w="1107" w:type="pct"/>
            <w:shd w:val="clear" w:color="auto" w:fill="auto"/>
            <w:noWrap/>
            <w:vAlign w:val="center"/>
          </w:tcPr>
          <w:p w14:paraId="6918027C">
            <w:pPr>
              <w:adjustRightInd w:val="0"/>
              <w:snapToGrid w:val="0"/>
              <w:jc w:val="center"/>
              <w:rPr>
                <w:rFonts w:ascii="Arial" w:hAnsi="Arial" w:eastAsia="宋体" w:cs="Arial"/>
                <w:sz w:val="21"/>
                <w:szCs w:val="21"/>
              </w:rPr>
            </w:pPr>
            <w:r>
              <w:rPr>
                <w:rFonts w:ascii="Arial" w:hAnsi="Arial" w:eastAsia="宋体" w:cs="Arial"/>
                <w:sz w:val="21"/>
                <w:szCs w:val="21"/>
              </w:rPr>
              <w:t>冬季（12,1,2月）</w:t>
            </w:r>
          </w:p>
        </w:tc>
        <w:tc>
          <w:tcPr>
            <w:tcW w:w="831" w:type="pct"/>
            <w:vAlign w:val="center"/>
          </w:tcPr>
          <w:p w14:paraId="59242CDB">
            <w:pPr>
              <w:adjustRightInd w:val="0"/>
              <w:snapToGrid w:val="0"/>
              <w:jc w:val="center"/>
              <w:rPr>
                <w:rFonts w:ascii="Arial" w:hAnsi="Arial" w:eastAsia="宋体" w:cs="Arial"/>
                <w:sz w:val="21"/>
                <w:szCs w:val="21"/>
              </w:rPr>
            </w:pPr>
            <w:r>
              <w:rPr>
                <w:rFonts w:ascii="Arial" w:hAnsi="Arial" w:eastAsia="宋体" w:cs="Arial"/>
                <w:sz w:val="21"/>
                <w:szCs w:val="21"/>
              </w:rPr>
              <w:t>0.35</w:t>
            </w:r>
          </w:p>
        </w:tc>
        <w:tc>
          <w:tcPr>
            <w:tcW w:w="722" w:type="pct"/>
            <w:vAlign w:val="center"/>
          </w:tcPr>
          <w:p w14:paraId="5BD9B748">
            <w:pPr>
              <w:adjustRightInd w:val="0"/>
              <w:snapToGrid w:val="0"/>
              <w:jc w:val="center"/>
              <w:rPr>
                <w:rFonts w:ascii="Arial" w:hAnsi="Arial" w:eastAsia="宋体" w:cs="Arial"/>
                <w:sz w:val="21"/>
                <w:szCs w:val="21"/>
              </w:rPr>
            </w:pPr>
            <w:r>
              <w:rPr>
                <w:rFonts w:ascii="Arial" w:hAnsi="Arial" w:eastAsia="宋体" w:cs="Arial"/>
                <w:sz w:val="21"/>
                <w:szCs w:val="21"/>
              </w:rPr>
              <w:t>0.75</w:t>
            </w:r>
          </w:p>
        </w:tc>
        <w:tc>
          <w:tcPr>
            <w:tcW w:w="720" w:type="pct"/>
            <w:vAlign w:val="center"/>
          </w:tcPr>
          <w:p w14:paraId="4A592A4F">
            <w:pPr>
              <w:adjustRightInd w:val="0"/>
              <w:snapToGrid w:val="0"/>
              <w:jc w:val="center"/>
              <w:rPr>
                <w:rFonts w:ascii="Arial" w:hAnsi="Arial" w:eastAsia="宋体" w:cs="Arial"/>
                <w:sz w:val="21"/>
                <w:szCs w:val="21"/>
              </w:rPr>
            </w:pPr>
            <w:r>
              <w:rPr>
                <w:rFonts w:ascii="Arial" w:hAnsi="Arial" w:eastAsia="宋体" w:cs="Arial"/>
                <w:sz w:val="21"/>
                <w:szCs w:val="21"/>
              </w:rPr>
              <w:t>1</w:t>
            </w:r>
          </w:p>
        </w:tc>
      </w:tr>
      <w:tr w14:paraId="68B0F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shd w:val="clear" w:color="auto" w:fill="auto"/>
            <w:noWrap/>
            <w:vAlign w:val="center"/>
          </w:tcPr>
          <w:p w14:paraId="28799B9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6</w:t>
            </w:r>
          </w:p>
        </w:tc>
        <w:tc>
          <w:tcPr>
            <w:tcW w:w="1107" w:type="pct"/>
            <w:shd w:val="clear" w:color="auto" w:fill="auto"/>
            <w:vAlign w:val="center"/>
          </w:tcPr>
          <w:p w14:paraId="5C525D32">
            <w:pPr>
              <w:adjustRightInd w:val="0"/>
              <w:snapToGrid w:val="0"/>
              <w:jc w:val="center"/>
              <w:rPr>
                <w:rFonts w:ascii="Arial" w:hAnsi="Arial" w:eastAsia="宋体" w:cs="Arial"/>
                <w:spacing w:val="10"/>
                <w:sz w:val="21"/>
                <w:szCs w:val="21"/>
              </w:rPr>
            </w:pPr>
            <w:r>
              <w:rPr>
                <w:rFonts w:ascii="Arial" w:hAnsi="Arial" w:eastAsia="宋体" w:cs="Arial"/>
                <w:sz w:val="21"/>
                <w:szCs w:val="21"/>
              </w:rPr>
              <w:t>180-90</w:t>
            </w:r>
          </w:p>
        </w:tc>
        <w:tc>
          <w:tcPr>
            <w:tcW w:w="1107" w:type="pct"/>
            <w:shd w:val="clear" w:color="auto" w:fill="auto"/>
            <w:noWrap/>
            <w:vAlign w:val="center"/>
          </w:tcPr>
          <w:p w14:paraId="5ECE3E9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春季（3,4,5月）</w:t>
            </w:r>
          </w:p>
        </w:tc>
        <w:tc>
          <w:tcPr>
            <w:tcW w:w="831" w:type="pct"/>
            <w:vAlign w:val="center"/>
          </w:tcPr>
          <w:p w14:paraId="294461F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0.14</w:t>
            </w:r>
          </w:p>
        </w:tc>
        <w:tc>
          <w:tcPr>
            <w:tcW w:w="722" w:type="pct"/>
            <w:vAlign w:val="center"/>
          </w:tcPr>
          <w:p w14:paraId="3F6E967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0.5</w:t>
            </w:r>
          </w:p>
        </w:tc>
        <w:tc>
          <w:tcPr>
            <w:tcW w:w="720" w:type="pct"/>
            <w:vAlign w:val="center"/>
          </w:tcPr>
          <w:p w14:paraId="108F68B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w:t>
            </w:r>
          </w:p>
        </w:tc>
      </w:tr>
      <w:tr w14:paraId="4039D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shd w:val="clear" w:color="auto" w:fill="auto"/>
            <w:noWrap/>
            <w:vAlign w:val="center"/>
          </w:tcPr>
          <w:p w14:paraId="67E47AF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7</w:t>
            </w:r>
          </w:p>
        </w:tc>
        <w:tc>
          <w:tcPr>
            <w:tcW w:w="1107" w:type="pct"/>
            <w:shd w:val="clear" w:color="auto" w:fill="auto"/>
            <w:vAlign w:val="center"/>
          </w:tcPr>
          <w:p w14:paraId="434E8E5B">
            <w:pPr>
              <w:adjustRightInd w:val="0"/>
              <w:snapToGrid w:val="0"/>
              <w:jc w:val="center"/>
              <w:rPr>
                <w:rFonts w:ascii="Arial" w:hAnsi="Arial" w:eastAsia="宋体" w:cs="Arial"/>
                <w:sz w:val="21"/>
                <w:szCs w:val="21"/>
              </w:rPr>
            </w:pPr>
            <w:r>
              <w:rPr>
                <w:rFonts w:ascii="Arial" w:hAnsi="Arial" w:eastAsia="宋体" w:cs="Arial"/>
                <w:sz w:val="21"/>
                <w:szCs w:val="21"/>
              </w:rPr>
              <w:t>180-90</w:t>
            </w:r>
          </w:p>
        </w:tc>
        <w:tc>
          <w:tcPr>
            <w:tcW w:w="1107" w:type="pct"/>
            <w:shd w:val="clear" w:color="auto" w:fill="auto"/>
            <w:noWrap/>
            <w:vAlign w:val="center"/>
          </w:tcPr>
          <w:p w14:paraId="37B8021D">
            <w:pPr>
              <w:adjustRightInd w:val="0"/>
              <w:snapToGrid w:val="0"/>
              <w:jc w:val="center"/>
              <w:rPr>
                <w:rFonts w:ascii="Arial" w:hAnsi="Arial" w:eastAsia="宋体" w:cs="Arial"/>
                <w:sz w:val="21"/>
                <w:szCs w:val="21"/>
              </w:rPr>
            </w:pPr>
            <w:r>
              <w:rPr>
                <w:rFonts w:ascii="Arial" w:hAnsi="Arial" w:eastAsia="宋体" w:cs="Arial"/>
                <w:sz w:val="21"/>
                <w:szCs w:val="21"/>
              </w:rPr>
              <w:t>夏季（6,7,8月）</w:t>
            </w:r>
          </w:p>
        </w:tc>
        <w:tc>
          <w:tcPr>
            <w:tcW w:w="831" w:type="pct"/>
            <w:vAlign w:val="center"/>
          </w:tcPr>
          <w:p w14:paraId="2935F032">
            <w:pPr>
              <w:adjustRightInd w:val="0"/>
              <w:snapToGrid w:val="0"/>
              <w:jc w:val="center"/>
              <w:rPr>
                <w:rFonts w:ascii="Arial" w:hAnsi="Arial" w:eastAsia="宋体" w:cs="Arial"/>
                <w:sz w:val="21"/>
                <w:szCs w:val="21"/>
              </w:rPr>
            </w:pPr>
            <w:r>
              <w:rPr>
                <w:rFonts w:ascii="Arial" w:hAnsi="Arial" w:eastAsia="宋体" w:cs="Arial"/>
                <w:sz w:val="21"/>
                <w:szCs w:val="21"/>
              </w:rPr>
              <w:t>0.16</w:t>
            </w:r>
          </w:p>
        </w:tc>
        <w:tc>
          <w:tcPr>
            <w:tcW w:w="722" w:type="pct"/>
            <w:vAlign w:val="center"/>
          </w:tcPr>
          <w:p w14:paraId="154C89F4">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720" w:type="pct"/>
            <w:vAlign w:val="center"/>
          </w:tcPr>
          <w:p w14:paraId="34551CAC">
            <w:pPr>
              <w:adjustRightInd w:val="0"/>
              <w:snapToGrid w:val="0"/>
              <w:jc w:val="center"/>
              <w:rPr>
                <w:rFonts w:ascii="Arial" w:hAnsi="Arial" w:eastAsia="宋体" w:cs="Arial"/>
                <w:sz w:val="21"/>
                <w:szCs w:val="21"/>
              </w:rPr>
            </w:pPr>
            <w:r>
              <w:rPr>
                <w:rFonts w:ascii="Arial" w:hAnsi="Arial" w:eastAsia="宋体" w:cs="Arial"/>
                <w:sz w:val="21"/>
                <w:szCs w:val="21"/>
              </w:rPr>
              <w:t>1</w:t>
            </w:r>
          </w:p>
        </w:tc>
      </w:tr>
      <w:tr w14:paraId="3B5B1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shd w:val="clear" w:color="auto" w:fill="auto"/>
            <w:noWrap/>
            <w:vAlign w:val="center"/>
          </w:tcPr>
          <w:p w14:paraId="057FD0E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8</w:t>
            </w:r>
          </w:p>
        </w:tc>
        <w:tc>
          <w:tcPr>
            <w:tcW w:w="1107" w:type="pct"/>
            <w:shd w:val="clear" w:color="auto" w:fill="auto"/>
            <w:vAlign w:val="center"/>
          </w:tcPr>
          <w:p w14:paraId="137D9E1C">
            <w:pPr>
              <w:adjustRightInd w:val="0"/>
              <w:snapToGrid w:val="0"/>
              <w:jc w:val="center"/>
              <w:rPr>
                <w:rFonts w:ascii="Arial" w:hAnsi="Arial" w:eastAsia="宋体" w:cs="Arial"/>
                <w:sz w:val="21"/>
                <w:szCs w:val="21"/>
              </w:rPr>
            </w:pPr>
            <w:r>
              <w:rPr>
                <w:rFonts w:ascii="Arial" w:hAnsi="Arial" w:eastAsia="宋体" w:cs="Arial"/>
                <w:sz w:val="21"/>
                <w:szCs w:val="21"/>
              </w:rPr>
              <w:t>180-90</w:t>
            </w:r>
          </w:p>
        </w:tc>
        <w:tc>
          <w:tcPr>
            <w:tcW w:w="1107" w:type="pct"/>
            <w:shd w:val="clear" w:color="auto" w:fill="auto"/>
            <w:noWrap/>
            <w:vAlign w:val="center"/>
          </w:tcPr>
          <w:p w14:paraId="5527657F">
            <w:pPr>
              <w:adjustRightInd w:val="0"/>
              <w:snapToGrid w:val="0"/>
              <w:jc w:val="center"/>
              <w:rPr>
                <w:rFonts w:ascii="Arial" w:hAnsi="Arial" w:eastAsia="宋体" w:cs="Arial"/>
                <w:sz w:val="21"/>
                <w:szCs w:val="21"/>
              </w:rPr>
            </w:pPr>
            <w:r>
              <w:rPr>
                <w:rFonts w:ascii="Arial" w:hAnsi="Arial" w:eastAsia="宋体" w:cs="Arial"/>
                <w:sz w:val="21"/>
                <w:szCs w:val="21"/>
              </w:rPr>
              <w:t>秋季（9,10,11月）</w:t>
            </w:r>
          </w:p>
        </w:tc>
        <w:tc>
          <w:tcPr>
            <w:tcW w:w="831" w:type="pct"/>
            <w:vAlign w:val="center"/>
          </w:tcPr>
          <w:p w14:paraId="636DA45B">
            <w:pPr>
              <w:adjustRightInd w:val="0"/>
              <w:snapToGrid w:val="0"/>
              <w:jc w:val="center"/>
              <w:rPr>
                <w:rFonts w:ascii="Arial" w:hAnsi="Arial" w:eastAsia="宋体" w:cs="Arial"/>
                <w:sz w:val="21"/>
                <w:szCs w:val="21"/>
              </w:rPr>
            </w:pPr>
            <w:r>
              <w:rPr>
                <w:rFonts w:ascii="Arial" w:hAnsi="Arial" w:eastAsia="宋体" w:cs="Arial"/>
                <w:sz w:val="21"/>
                <w:szCs w:val="21"/>
              </w:rPr>
              <w:t>0.18</w:t>
            </w:r>
          </w:p>
        </w:tc>
        <w:tc>
          <w:tcPr>
            <w:tcW w:w="722" w:type="pct"/>
            <w:vAlign w:val="center"/>
          </w:tcPr>
          <w:p w14:paraId="0047347E">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720" w:type="pct"/>
            <w:vAlign w:val="center"/>
          </w:tcPr>
          <w:p w14:paraId="46B57BCC">
            <w:pPr>
              <w:adjustRightInd w:val="0"/>
              <w:snapToGrid w:val="0"/>
              <w:jc w:val="center"/>
              <w:rPr>
                <w:rFonts w:ascii="Arial" w:hAnsi="Arial" w:eastAsia="宋体" w:cs="Arial"/>
                <w:sz w:val="21"/>
                <w:szCs w:val="21"/>
              </w:rPr>
            </w:pPr>
            <w:r>
              <w:rPr>
                <w:rFonts w:ascii="Arial" w:hAnsi="Arial" w:eastAsia="宋体" w:cs="Arial"/>
                <w:sz w:val="21"/>
                <w:szCs w:val="21"/>
              </w:rPr>
              <w:t>1</w:t>
            </w:r>
          </w:p>
        </w:tc>
      </w:tr>
    </w:tbl>
    <w:p w14:paraId="30EF1ECB">
      <w:pPr>
        <w:adjustRightInd w:val="0"/>
        <w:snapToGrid w:val="0"/>
        <w:ind w:firstLine="390" w:firstLineChars="200"/>
        <w:rPr>
          <w:rFonts w:ascii="Arial" w:hAnsi="Arial" w:eastAsia="宋体" w:cs="Arial"/>
          <w:sz w:val="21"/>
        </w:rPr>
      </w:pPr>
      <w:r>
        <w:rPr>
          <w:rFonts w:ascii="Arial" w:hAnsi="Arial" w:eastAsia="宋体" w:cs="Arial"/>
          <w:sz w:val="21"/>
        </w:rPr>
        <w:t>*钦州冬季很少下雪，根据《AERMET USER GUIDE》（EPA-454/B-03-002，2004/11），如果冬天很少有雪覆盖（或没有完全覆盖），则波文率（BOWEN）参数取秋季和冬季的中间值更合适。城市湿润条件下波文率秋季为1.0，冬季为0.5，因此本次评价波文率冬季取值为0.75。</w:t>
      </w:r>
    </w:p>
    <w:p w14:paraId="607D27E9">
      <w:pPr>
        <w:pStyle w:val="474"/>
        <w:numPr>
          <w:ilvl w:val="0"/>
          <w:numId w:val="21"/>
        </w:numPr>
        <w:spacing w:line="500" w:lineRule="exact"/>
        <w:ind w:firstLineChars="0"/>
        <w:outlineLvl w:val="3"/>
        <w:rPr>
          <w:rFonts w:ascii="Arial" w:hAnsi="Arial" w:cs="Arial"/>
          <w:b/>
        </w:rPr>
      </w:pPr>
      <w:r>
        <w:rPr>
          <w:rFonts w:ascii="Arial" w:hAnsi="Arial" w:cs="Arial"/>
          <w:b/>
        </w:rPr>
        <w:t>预测范围</w:t>
      </w:r>
    </w:p>
    <w:p w14:paraId="3C711180">
      <w:pPr>
        <w:spacing w:line="500" w:lineRule="exact"/>
        <w:ind w:firstLine="450" w:firstLineChars="200"/>
        <w:rPr>
          <w:rFonts w:ascii="Arial" w:hAnsi="Arial" w:eastAsia="宋体" w:cs="Arial"/>
          <w:sz w:val="24"/>
          <w:szCs w:val="24"/>
        </w:rPr>
      </w:pPr>
      <w:r>
        <w:rPr>
          <w:rFonts w:ascii="Arial" w:hAnsi="Arial" w:eastAsia="宋体" w:cs="Arial"/>
          <w:sz w:val="24"/>
          <w:szCs w:val="24"/>
        </w:rPr>
        <w:t>1、估算模式参数</w:t>
      </w:r>
    </w:p>
    <w:p w14:paraId="58B93F01">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估算模型参数表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96"/>
        <w:gridCol w:w="2998"/>
        <w:gridCol w:w="2999"/>
      </w:tblGrid>
      <w:tr w14:paraId="77A0A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333" w:type="pct"/>
            <w:gridSpan w:val="2"/>
            <w:vAlign w:val="center"/>
          </w:tcPr>
          <w:p w14:paraId="55B2EB98">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参数</w:t>
            </w:r>
          </w:p>
        </w:tc>
        <w:tc>
          <w:tcPr>
            <w:tcW w:w="1667" w:type="pct"/>
            <w:vAlign w:val="center"/>
          </w:tcPr>
          <w:p w14:paraId="4C05051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取值</w:t>
            </w:r>
          </w:p>
        </w:tc>
      </w:tr>
      <w:tr w14:paraId="35FD8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restart"/>
            <w:vAlign w:val="center"/>
          </w:tcPr>
          <w:p w14:paraId="696B6253">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城市农村选项</w:t>
            </w:r>
          </w:p>
        </w:tc>
        <w:tc>
          <w:tcPr>
            <w:tcW w:w="1667" w:type="pct"/>
            <w:vAlign w:val="center"/>
          </w:tcPr>
          <w:p w14:paraId="57A7F17A">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城市/农村</w:t>
            </w:r>
          </w:p>
        </w:tc>
        <w:tc>
          <w:tcPr>
            <w:tcW w:w="1667" w:type="pct"/>
            <w:vAlign w:val="center"/>
          </w:tcPr>
          <w:p w14:paraId="60E7C1AA">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城市</w:t>
            </w:r>
          </w:p>
        </w:tc>
      </w:tr>
      <w:tr w14:paraId="0A03C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continue"/>
            <w:vAlign w:val="center"/>
          </w:tcPr>
          <w:p w14:paraId="5A95840F">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1667" w:type="pct"/>
            <w:vAlign w:val="center"/>
          </w:tcPr>
          <w:p w14:paraId="34F8117C">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人口数（城市选项时）</w:t>
            </w:r>
          </w:p>
        </w:tc>
        <w:tc>
          <w:tcPr>
            <w:tcW w:w="1667" w:type="pct"/>
            <w:vAlign w:val="center"/>
          </w:tcPr>
          <w:p w14:paraId="2BC39A50">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5.0万</w:t>
            </w:r>
          </w:p>
        </w:tc>
      </w:tr>
      <w:tr w14:paraId="396D3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3" w:type="pct"/>
            <w:gridSpan w:val="2"/>
            <w:vAlign w:val="center"/>
          </w:tcPr>
          <w:p w14:paraId="4E16D966">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最高环境温度/</w:t>
            </w:r>
            <w:r>
              <w:rPr>
                <w:rFonts w:hint="eastAsia" w:cs="宋体"/>
                <w:kern w:val="2"/>
              </w:rPr>
              <w:t>℃</w:t>
            </w:r>
          </w:p>
        </w:tc>
        <w:tc>
          <w:tcPr>
            <w:tcW w:w="1667" w:type="pct"/>
            <w:vAlign w:val="center"/>
          </w:tcPr>
          <w:p w14:paraId="5D9F0AC6">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37.9</w:t>
            </w:r>
          </w:p>
        </w:tc>
      </w:tr>
      <w:tr w14:paraId="724DD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3" w:type="pct"/>
            <w:gridSpan w:val="2"/>
            <w:vAlign w:val="center"/>
          </w:tcPr>
          <w:p w14:paraId="2ED47D20">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最低环境温度/</w:t>
            </w:r>
            <w:r>
              <w:rPr>
                <w:rFonts w:hint="eastAsia" w:cs="宋体"/>
                <w:kern w:val="2"/>
              </w:rPr>
              <w:t>℃</w:t>
            </w:r>
          </w:p>
        </w:tc>
        <w:tc>
          <w:tcPr>
            <w:tcW w:w="1667" w:type="pct"/>
            <w:vAlign w:val="center"/>
          </w:tcPr>
          <w:p w14:paraId="28D0EE2C">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1.6</w:t>
            </w:r>
          </w:p>
        </w:tc>
      </w:tr>
      <w:tr w14:paraId="196E2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3" w:type="pct"/>
            <w:gridSpan w:val="2"/>
            <w:vAlign w:val="center"/>
          </w:tcPr>
          <w:p w14:paraId="2EE37C6F">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土地利用类型</w:t>
            </w:r>
          </w:p>
        </w:tc>
        <w:tc>
          <w:tcPr>
            <w:tcW w:w="1667" w:type="pct"/>
            <w:vAlign w:val="center"/>
          </w:tcPr>
          <w:p w14:paraId="682974AE">
            <w:pPr>
              <w:pStyle w:val="714"/>
              <w:widowControl w:val="0"/>
              <w:pBdr>
                <w:left w:val="none" w:color="auto" w:sz="0" w:space="0"/>
                <w:bottom w:val="none" w:color="auto" w:sz="0" w:space="0"/>
                <w:right w:val="none" w:color="auto" w:sz="0" w:space="0"/>
              </w:pBdr>
              <w:spacing w:before="0" w:beforeAutospacing="0" w:after="0" w:afterAutospacing="0" w:line="0" w:lineRule="atLeast"/>
              <w:rPr>
                <w:rFonts w:ascii="Arial" w:hAnsi="Arial" w:cs="Arial"/>
                <w:kern w:val="2"/>
              </w:rPr>
            </w:pPr>
            <w:r>
              <w:rPr>
                <w:rFonts w:ascii="Arial" w:hAnsi="Arial" w:cs="Arial"/>
                <w:kern w:val="2"/>
              </w:rPr>
              <w:t>城市</w:t>
            </w:r>
          </w:p>
        </w:tc>
      </w:tr>
      <w:tr w14:paraId="2EEAA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3" w:type="pct"/>
            <w:gridSpan w:val="2"/>
            <w:vAlign w:val="center"/>
          </w:tcPr>
          <w:p w14:paraId="31C9EC47">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区域湿度条件</w:t>
            </w:r>
          </w:p>
        </w:tc>
        <w:tc>
          <w:tcPr>
            <w:tcW w:w="1667" w:type="pct"/>
            <w:vAlign w:val="center"/>
          </w:tcPr>
          <w:p w14:paraId="2A7A3FB4">
            <w:pPr>
              <w:pStyle w:val="714"/>
              <w:widowControl w:val="0"/>
              <w:pBdr>
                <w:left w:val="none" w:color="auto" w:sz="0" w:space="0"/>
                <w:bottom w:val="none" w:color="auto" w:sz="0" w:space="0"/>
                <w:right w:val="none" w:color="auto" w:sz="0" w:space="0"/>
              </w:pBdr>
              <w:spacing w:before="0" w:beforeAutospacing="0" w:after="0" w:afterAutospacing="0" w:line="0" w:lineRule="atLeast"/>
              <w:rPr>
                <w:rFonts w:ascii="Arial" w:hAnsi="Arial" w:cs="Arial"/>
                <w:kern w:val="2"/>
              </w:rPr>
            </w:pPr>
            <w:r>
              <w:rPr>
                <w:rFonts w:ascii="Arial" w:hAnsi="Arial" w:cs="Arial"/>
                <w:kern w:val="2"/>
              </w:rPr>
              <w:t>潮湿</w:t>
            </w:r>
          </w:p>
        </w:tc>
      </w:tr>
      <w:tr w14:paraId="29505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restart"/>
            <w:vAlign w:val="center"/>
          </w:tcPr>
          <w:p w14:paraId="7A7DE836">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是否考虑地形</w:t>
            </w:r>
          </w:p>
        </w:tc>
        <w:tc>
          <w:tcPr>
            <w:tcW w:w="1667" w:type="pct"/>
            <w:vAlign w:val="center"/>
          </w:tcPr>
          <w:p w14:paraId="4B424C30">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考虑地形</w:t>
            </w:r>
          </w:p>
        </w:tc>
        <w:tc>
          <w:tcPr>
            <w:tcW w:w="1667" w:type="pct"/>
            <w:vAlign w:val="center"/>
          </w:tcPr>
          <w:p w14:paraId="4971AEEB">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bdr w:val="single" w:color="auto" w:sz="4" w:space="0"/>
              </w:rPr>
              <w:t>√</w:t>
            </w:r>
            <w:r>
              <w:rPr>
                <w:rFonts w:ascii="Arial" w:hAnsi="Arial" w:cs="Arial"/>
                <w:kern w:val="2"/>
              </w:rPr>
              <w:t>是    □否</w:t>
            </w:r>
          </w:p>
        </w:tc>
      </w:tr>
      <w:tr w14:paraId="646C9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continue"/>
            <w:vAlign w:val="center"/>
          </w:tcPr>
          <w:p w14:paraId="09977F79">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1667" w:type="pct"/>
            <w:vAlign w:val="center"/>
          </w:tcPr>
          <w:p w14:paraId="1401ECAC">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地形数据分辨率/m</w:t>
            </w:r>
          </w:p>
        </w:tc>
        <w:tc>
          <w:tcPr>
            <w:tcW w:w="1667" w:type="pct"/>
            <w:vAlign w:val="center"/>
          </w:tcPr>
          <w:p w14:paraId="28E1404D">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90</w:t>
            </w:r>
          </w:p>
        </w:tc>
      </w:tr>
      <w:tr w14:paraId="43C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restart"/>
            <w:vAlign w:val="center"/>
          </w:tcPr>
          <w:p w14:paraId="35FD9DEF">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是否考虑岸线熏烟</w:t>
            </w:r>
          </w:p>
        </w:tc>
        <w:tc>
          <w:tcPr>
            <w:tcW w:w="1667" w:type="pct"/>
            <w:vAlign w:val="center"/>
          </w:tcPr>
          <w:p w14:paraId="5DA0B563">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考虑岸线熏烟</w:t>
            </w:r>
          </w:p>
        </w:tc>
        <w:tc>
          <w:tcPr>
            <w:tcW w:w="1667" w:type="pct"/>
            <w:vAlign w:val="center"/>
          </w:tcPr>
          <w:p w14:paraId="795B6F7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bdr w:val="single" w:color="auto" w:sz="4" w:space="0"/>
              </w:rPr>
              <w:t>√</w:t>
            </w:r>
            <w:r>
              <w:rPr>
                <w:rFonts w:ascii="Arial" w:hAnsi="Arial" w:cs="Arial"/>
                <w:kern w:val="2"/>
              </w:rPr>
              <w:t>是    □否</w:t>
            </w:r>
          </w:p>
        </w:tc>
      </w:tr>
      <w:tr w14:paraId="40ADF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continue"/>
            <w:vAlign w:val="center"/>
          </w:tcPr>
          <w:p w14:paraId="0FA6C296">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1667" w:type="pct"/>
            <w:vAlign w:val="center"/>
          </w:tcPr>
          <w:p w14:paraId="0B83BBFA">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岸线距离/km</w:t>
            </w:r>
          </w:p>
        </w:tc>
        <w:tc>
          <w:tcPr>
            <w:tcW w:w="1667" w:type="pct"/>
            <w:vAlign w:val="center"/>
          </w:tcPr>
          <w:p w14:paraId="57CF243C">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0.5</w:t>
            </w:r>
          </w:p>
        </w:tc>
      </w:tr>
      <w:tr w14:paraId="06AA1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continue"/>
            <w:vAlign w:val="center"/>
          </w:tcPr>
          <w:p w14:paraId="6CF8E995">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1667" w:type="pct"/>
            <w:vAlign w:val="center"/>
          </w:tcPr>
          <w:p w14:paraId="2425D7B1">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岸线方向/</w:t>
            </w:r>
            <w:r>
              <w:rPr>
                <w:rFonts w:ascii="Arial" w:hAnsi="Arial" w:cs="Arial"/>
                <w:kern w:val="2"/>
                <w:vertAlign w:val="superscript"/>
              </w:rPr>
              <w:t>o</w:t>
            </w:r>
          </w:p>
        </w:tc>
        <w:tc>
          <w:tcPr>
            <w:tcW w:w="1667" w:type="pct"/>
            <w:vAlign w:val="center"/>
          </w:tcPr>
          <w:p w14:paraId="5AD05DC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180°</w:t>
            </w:r>
          </w:p>
        </w:tc>
      </w:tr>
    </w:tbl>
    <w:p w14:paraId="4678AB00">
      <w:pPr>
        <w:spacing w:line="500" w:lineRule="exact"/>
        <w:ind w:firstLine="450" w:firstLineChars="200"/>
        <w:rPr>
          <w:rFonts w:ascii="Arial" w:hAnsi="Arial" w:eastAsia="宋体" w:cs="Arial"/>
          <w:sz w:val="24"/>
          <w:szCs w:val="24"/>
          <w:u w:val="single"/>
        </w:rPr>
      </w:pPr>
      <w:r>
        <w:rPr>
          <w:rFonts w:ascii="Arial" w:hAnsi="Arial" w:eastAsia="宋体" w:cs="Arial"/>
          <w:sz w:val="24"/>
          <w:szCs w:val="24"/>
          <w:u w:val="single"/>
        </w:rPr>
        <w:t>2、估算结果</w:t>
      </w:r>
    </w:p>
    <w:p w14:paraId="1E44F3D2">
      <w:pPr>
        <w:numPr>
          <w:ilvl w:val="0"/>
          <w:numId w:val="22"/>
        </w:numPr>
        <w:spacing w:line="500" w:lineRule="exact"/>
        <w:ind w:left="0" w:firstLine="0"/>
        <w:jc w:val="center"/>
        <w:outlineLvl w:val="4"/>
        <w:rPr>
          <w:rFonts w:ascii="Arial" w:hAnsi="Arial" w:eastAsia="宋体" w:cs="Arial"/>
          <w:b/>
          <w:sz w:val="24"/>
          <w:szCs w:val="24"/>
          <w:u w:val="single"/>
        </w:rPr>
      </w:pPr>
      <w:r>
        <w:rPr>
          <w:rFonts w:hint="eastAsia" w:ascii="Arial" w:hAnsi="Arial" w:eastAsia="宋体" w:cs="Arial"/>
          <w:b/>
          <w:sz w:val="24"/>
          <w:szCs w:val="24"/>
          <w:u w:val="single"/>
        </w:rPr>
        <w:t>主要</w:t>
      </w:r>
      <w:r>
        <w:rPr>
          <w:rFonts w:ascii="Arial" w:hAnsi="Arial" w:eastAsia="宋体" w:cs="Arial"/>
          <w:b/>
          <w:sz w:val="24"/>
          <w:szCs w:val="24"/>
          <w:u w:val="single"/>
        </w:rPr>
        <w:t>污染物估算模式计算结果</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2358"/>
        <w:gridCol w:w="2845"/>
        <w:gridCol w:w="2589"/>
      </w:tblGrid>
      <w:tr w14:paraId="5052B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8" w:type="pct"/>
            <w:shd w:val="clear" w:color="auto" w:fill="auto"/>
            <w:vAlign w:val="center"/>
          </w:tcPr>
          <w:p w14:paraId="564A8A7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序号</w:t>
            </w:r>
          </w:p>
        </w:tc>
        <w:tc>
          <w:tcPr>
            <w:tcW w:w="1311" w:type="pct"/>
            <w:shd w:val="clear" w:color="auto" w:fill="auto"/>
            <w:vAlign w:val="center"/>
          </w:tcPr>
          <w:p w14:paraId="04ADF203">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污染源名称</w:t>
            </w:r>
          </w:p>
        </w:tc>
        <w:tc>
          <w:tcPr>
            <w:tcW w:w="1582" w:type="pct"/>
            <w:shd w:val="clear" w:color="auto" w:fill="auto"/>
            <w:vAlign w:val="center"/>
          </w:tcPr>
          <w:p w14:paraId="202A1237">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PM</w:t>
            </w:r>
            <w:r>
              <w:rPr>
                <w:rFonts w:hint="eastAsia" w:ascii="Arial" w:hAnsi="Arial" w:eastAsia="宋体" w:cs="Arial"/>
                <w:sz w:val="21"/>
                <w:szCs w:val="21"/>
                <w:u w:val="single"/>
                <w:vertAlign w:val="subscript"/>
              </w:rPr>
              <w:t>10</w:t>
            </w:r>
            <w:r>
              <w:rPr>
                <w:rFonts w:hint="eastAsia" w:ascii="Arial" w:hAnsi="Arial" w:eastAsia="宋体" w:cs="Arial"/>
                <w:sz w:val="21"/>
                <w:szCs w:val="21"/>
                <w:u w:val="single"/>
              </w:rPr>
              <w:t>|D10(m)</w:t>
            </w:r>
          </w:p>
        </w:tc>
        <w:tc>
          <w:tcPr>
            <w:tcW w:w="1439" w:type="pct"/>
            <w:shd w:val="clear" w:color="auto" w:fill="auto"/>
            <w:vAlign w:val="center"/>
          </w:tcPr>
          <w:p w14:paraId="09099982">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氨气|D10(m)</w:t>
            </w:r>
          </w:p>
        </w:tc>
      </w:tr>
      <w:tr w14:paraId="6D592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8" w:type="pct"/>
            <w:shd w:val="clear" w:color="auto" w:fill="auto"/>
            <w:vAlign w:val="center"/>
          </w:tcPr>
          <w:p w14:paraId="1002BAE5">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w:t>
            </w:r>
          </w:p>
        </w:tc>
        <w:tc>
          <w:tcPr>
            <w:tcW w:w="1311" w:type="pct"/>
            <w:shd w:val="clear" w:color="auto" w:fill="auto"/>
            <w:vAlign w:val="center"/>
          </w:tcPr>
          <w:p w14:paraId="53C8AE32">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DA145</w:t>
            </w:r>
          </w:p>
        </w:tc>
        <w:tc>
          <w:tcPr>
            <w:tcW w:w="1582" w:type="pct"/>
            <w:shd w:val="clear" w:color="auto" w:fill="auto"/>
            <w:vAlign w:val="center"/>
          </w:tcPr>
          <w:p w14:paraId="54CF872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w:t>
            </w:r>
          </w:p>
        </w:tc>
        <w:tc>
          <w:tcPr>
            <w:tcW w:w="1439" w:type="pct"/>
            <w:shd w:val="clear" w:color="auto" w:fill="auto"/>
            <w:vAlign w:val="center"/>
          </w:tcPr>
          <w:p w14:paraId="3881F9CE">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16.86|475</w:t>
            </w:r>
          </w:p>
        </w:tc>
      </w:tr>
      <w:tr w14:paraId="5A02F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8" w:type="pct"/>
            <w:shd w:val="clear" w:color="auto" w:fill="auto"/>
            <w:vAlign w:val="center"/>
          </w:tcPr>
          <w:p w14:paraId="0FDE472C">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w:t>
            </w:r>
          </w:p>
        </w:tc>
        <w:tc>
          <w:tcPr>
            <w:tcW w:w="1311" w:type="pct"/>
            <w:shd w:val="clear" w:color="auto" w:fill="auto"/>
            <w:vAlign w:val="center"/>
          </w:tcPr>
          <w:p w14:paraId="5D5D1602">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DA146</w:t>
            </w:r>
          </w:p>
        </w:tc>
        <w:tc>
          <w:tcPr>
            <w:tcW w:w="1582" w:type="pct"/>
            <w:shd w:val="clear" w:color="auto" w:fill="auto"/>
            <w:vAlign w:val="center"/>
          </w:tcPr>
          <w:p w14:paraId="57223F50">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0.42|0</w:t>
            </w:r>
          </w:p>
        </w:tc>
        <w:tc>
          <w:tcPr>
            <w:tcW w:w="1439" w:type="pct"/>
            <w:shd w:val="clear" w:color="auto" w:fill="auto"/>
            <w:vAlign w:val="center"/>
          </w:tcPr>
          <w:p w14:paraId="57E3D22D">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w:t>
            </w:r>
          </w:p>
        </w:tc>
      </w:tr>
      <w:tr w14:paraId="37621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8" w:type="pct"/>
            <w:shd w:val="clear" w:color="auto" w:fill="auto"/>
            <w:vAlign w:val="center"/>
          </w:tcPr>
          <w:p w14:paraId="3F5812D2">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3</w:t>
            </w:r>
          </w:p>
        </w:tc>
        <w:tc>
          <w:tcPr>
            <w:tcW w:w="1311" w:type="pct"/>
            <w:shd w:val="clear" w:color="auto" w:fill="auto"/>
            <w:vAlign w:val="center"/>
          </w:tcPr>
          <w:p w14:paraId="30D6D6CF">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DA067</w:t>
            </w:r>
          </w:p>
        </w:tc>
        <w:tc>
          <w:tcPr>
            <w:tcW w:w="1582" w:type="pct"/>
            <w:shd w:val="clear" w:color="auto" w:fill="auto"/>
            <w:vAlign w:val="center"/>
          </w:tcPr>
          <w:p w14:paraId="3CFB98D8">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w:t>
            </w:r>
          </w:p>
        </w:tc>
        <w:tc>
          <w:tcPr>
            <w:tcW w:w="1439" w:type="pct"/>
            <w:shd w:val="clear" w:color="auto" w:fill="auto"/>
            <w:vAlign w:val="center"/>
          </w:tcPr>
          <w:p w14:paraId="1B23618D">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12.54|325</w:t>
            </w:r>
          </w:p>
        </w:tc>
      </w:tr>
      <w:tr w14:paraId="339C5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8" w:type="pct"/>
            <w:shd w:val="clear" w:color="auto" w:fill="auto"/>
            <w:vAlign w:val="center"/>
          </w:tcPr>
          <w:p w14:paraId="4853917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4</w:t>
            </w:r>
          </w:p>
        </w:tc>
        <w:tc>
          <w:tcPr>
            <w:tcW w:w="1311" w:type="pct"/>
            <w:shd w:val="clear" w:color="auto" w:fill="auto"/>
            <w:vAlign w:val="center"/>
          </w:tcPr>
          <w:p w14:paraId="48FF6D33">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X19车间</w:t>
            </w:r>
          </w:p>
        </w:tc>
        <w:tc>
          <w:tcPr>
            <w:tcW w:w="1582" w:type="pct"/>
            <w:shd w:val="clear" w:color="auto" w:fill="auto"/>
            <w:vAlign w:val="center"/>
          </w:tcPr>
          <w:p w14:paraId="0A0D0C81">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0.00|0</w:t>
            </w:r>
          </w:p>
        </w:tc>
        <w:tc>
          <w:tcPr>
            <w:tcW w:w="1439" w:type="pct"/>
            <w:shd w:val="clear" w:color="auto" w:fill="auto"/>
            <w:vAlign w:val="center"/>
          </w:tcPr>
          <w:p w14:paraId="31A57593">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60.85|725</w:t>
            </w:r>
          </w:p>
        </w:tc>
      </w:tr>
      <w:tr w14:paraId="1F2BD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9" w:type="pct"/>
            <w:gridSpan w:val="2"/>
            <w:shd w:val="clear" w:color="auto" w:fill="auto"/>
            <w:vAlign w:val="center"/>
          </w:tcPr>
          <w:p w14:paraId="0EF0B30A">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各源最大值</w:t>
            </w:r>
          </w:p>
        </w:tc>
        <w:tc>
          <w:tcPr>
            <w:tcW w:w="1582" w:type="pct"/>
            <w:shd w:val="clear" w:color="auto" w:fill="auto"/>
            <w:vAlign w:val="center"/>
          </w:tcPr>
          <w:p w14:paraId="431137F0">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0.42</w:t>
            </w:r>
          </w:p>
        </w:tc>
        <w:tc>
          <w:tcPr>
            <w:tcW w:w="1439" w:type="pct"/>
            <w:shd w:val="clear" w:color="auto" w:fill="auto"/>
            <w:vAlign w:val="center"/>
          </w:tcPr>
          <w:p w14:paraId="069BB999">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60.85</w:t>
            </w:r>
          </w:p>
        </w:tc>
      </w:tr>
    </w:tbl>
    <w:p w14:paraId="70582844">
      <w:pPr>
        <w:spacing w:line="500" w:lineRule="exact"/>
        <w:ind w:firstLine="450" w:firstLineChars="200"/>
        <w:rPr>
          <w:rFonts w:ascii="Arial" w:hAnsi="Arial" w:eastAsia="宋体" w:cs="Arial"/>
          <w:sz w:val="24"/>
          <w:szCs w:val="24"/>
          <w:u w:val="single"/>
        </w:rPr>
      </w:pPr>
      <w:r>
        <w:rPr>
          <w:rFonts w:ascii="Arial" w:hAnsi="Arial" w:eastAsia="宋体" w:cs="Arial"/>
          <w:sz w:val="24"/>
          <w:szCs w:val="24"/>
          <w:u w:val="single"/>
        </w:rPr>
        <w:t>根据估算结果，各污染源主要污染物最大占标率为</w:t>
      </w:r>
      <w:r>
        <w:rPr>
          <w:rFonts w:hint="eastAsia" w:ascii="Arial" w:hAnsi="Arial" w:eastAsia="宋体" w:cs="Arial"/>
          <w:sz w:val="24"/>
          <w:szCs w:val="24"/>
          <w:u w:val="single"/>
        </w:rPr>
        <w:t>60.85</w:t>
      </w:r>
      <w:r>
        <w:rPr>
          <w:rFonts w:ascii="Arial" w:hAnsi="Arial" w:eastAsia="宋体" w:cs="Arial"/>
          <w:sz w:val="24"/>
          <w:szCs w:val="24"/>
          <w:u w:val="single"/>
        </w:rPr>
        <w:t>%，D</w:t>
      </w:r>
      <w:r>
        <w:rPr>
          <w:rFonts w:ascii="Arial" w:hAnsi="Arial" w:eastAsia="宋体" w:cs="Arial"/>
          <w:sz w:val="24"/>
          <w:szCs w:val="24"/>
          <w:u w:val="single"/>
          <w:vertAlign w:val="subscript"/>
        </w:rPr>
        <w:t>10%</w:t>
      </w:r>
      <w:r>
        <w:rPr>
          <w:rFonts w:ascii="Arial" w:hAnsi="Arial" w:eastAsia="宋体" w:cs="Arial"/>
          <w:sz w:val="24"/>
          <w:szCs w:val="24"/>
          <w:u w:val="single"/>
        </w:rPr>
        <w:t>最大为</w:t>
      </w:r>
      <w:r>
        <w:rPr>
          <w:rFonts w:hint="eastAsia" w:ascii="Arial" w:hAnsi="Arial" w:eastAsia="宋体" w:cs="Arial"/>
          <w:sz w:val="24"/>
          <w:szCs w:val="24"/>
          <w:u w:val="single"/>
        </w:rPr>
        <w:t>727</w:t>
      </w:r>
      <w:r>
        <w:rPr>
          <w:rFonts w:ascii="Arial" w:hAnsi="Arial" w:eastAsia="宋体" w:cs="Arial"/>
          <w:sz w:val="24"/>
          <w:szCs w:val="24"/>
          <w:u w:val="single"/>
        </w:rPr>
        <w:t>m。因此，项目评价范围为</w:t>
      </w:r>
      <w:r>
        <w:rPr>
          <w:rFonts w:hint="eastAsia" w:ascii="Arial" w:hAnsi="Arial" w:eastAsia="宋体" w:cs="Arial"/>
          <w:sz w:val="24"/>
          <w:szCs w:val="24"/>
          <w:u w:val="single"/>
        </w:rPr>
        <w:t>边长</w:t>
      </w:r>
      <w:r>
        <w:rPr>
          <w:rFonts w:ascii="Arial" w:hAnsi="Arial" w:eastAsia="宋体" w:cs="Arial"/>
          <w:sz w:val="24"/>
          <w:szCs w:val="24"/>
          <w:u w:val="single"/>
        </w:rPr>
        <w:t>为</w:t>
      </w:r>
      <w:r>
        <w:rPr>
          <w:rFonts w:hint="eastAsia" w:ascii="Arial" w:hAnsi="Arial" w:eastAsia="宋体" w:cs="Arial"/>
          <w:sz w:val="24"/>
          <w:szCs w:val="24"/>
          <w:u w:val="single"/>
        </w:rPr>
        <w:t>5</w:t>
      </w:r>
      <w:r>
        <w:rPr>
          <w:rFonts w:ascii="Arial" w:hAnsi="Arial" w:eastAsia="宋体" w:cs="Arial"/>
          <w:sz w:val="24"/>
          <w:szCs w:val="24"/>
          <w:u w:val="single"/>
        </w:rPr>
        <w:t>km的矩形区域。</w:t>
      </w:r>
    </w:p>
    <w:p w14:paraId="010D9DDC">
      <w:pPr>
        <w:pStyle w:val="474"/>
        <w:numPr>
          <w:ilvl w:val="0"/>
          <w:numId w:val="21"/>
        </w:numPr>
        <w:spacing w:line="500" w:lineRule="exact"/>
        <w:ind w:firstLineChars="0"/>
        <w:outlineLvl w:val="3"/>
        <w:rPr>
          <w:rFonts w:ascii="Arial" w:hAnsi="Arial" w:cs="Arial"/>
          <w:b/>
        </w:rPr>
      </w:pPr>
      <w:r>
        <w:rPr>
          <w:rFonts w:ascii="Arial" w:hAnsi="Arial" w:cs="Arial"/>
          <w:b/>
        </w:rPr>
        <w:t>预测模型的选取</w:t>
      </w:r>
    </w:p>
    <w:p w14:paraId="026DBCCB">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1、根据气象数据统计结果，项目评价基准年（2022年）风速≤0.5m/s的持续时间小于72h。</w:t>
      </w:r>
    </w:p>
    <w:p w14:paraId="46F0703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2、近20年统计的全年静风频率未超过35%。</w:t>
      </w:r>
    </w:p>
    <w:p w14:paraId="110EDE37">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3、根据估算结果，在筛选方案考虑海岸线熏烟情况下，未发生岸边熏烟。</w:t>
      </w:r>
    </w:p>
    <w:p w14:paraId="026FAD7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4、根据估算模式计算结果结合导则要求，确定的评价范围为厂界外2.5km矩形区域，评价范围小于50km。</w:t>
      </w:r>
    </w:p>
    <w:p w14:paraId="115F4F28">
      <w:pPr>
        <w:spacing w:line="500" w:lineRule="exact"/>
        <w:ind w:firstLine="490" w:firstLineChars="200"/>
        <w:rPr>
          <w:rFonts w:ascii="Arial" w:hAnsi="Arial" w:eastAsia="宋体" w:cs="Arial"/>
          <w:spacing w:val="10"/>
          <w:sz w:val="24"/>
        </w:rPr>
      </w:pPr>
      <w:r>
        <w:rPr>
          <w:rFonts w:ascii="Arial" w:hAnsi="Arial" w:eastAsia="宋体" w:cs="Arial"/>
          <w:spacing w:val="10"/>
          <w:sz w:val="24"/>
          <w:szCs w:val="24"/>
        </w:rPr>
        <w:t>综上所述，根据《环境影响评价技术导则 大气环境》（HJ2.2-2018），本次评价选取AERMOD模型进行下一步模拟。</w:t>
      </w:r>
    </w:p>
    <w:p w14:paraId="106C7499">
      <w:pPr>
        <w:pStyle w:val="474"/>
        <w:numPr>
          <w:ilvl w:val="0"/>
          <w:numId w:val="21"/>
        </w:numPr>
        <w:spacing w:line="500" w:lineRule="exact"/>
        <w:ind w:firstLineChars="0"/>
        <w:outlineLvl w:val="3"/>
        <w:rPr>
          <w:rFonts w:ascii="Arial" w:hAnsi="Arial" w:cs="Arial"/>
          <w:b/>
        </w:rPr>
      </w:pPr>
      <w:r>
        <w:rPr>
          <w:rFonts w:ascii="Arial" w:hAnsi="Arial" w:cs="Arial"/>
          <w:b/>
        </w:rPr>
        <w:t>模拟预测网格</w:t>
      </w:r>
    </w:p>
    <w:p w14:paraId="2BC1CB81">
      <w:pPr>
        <w:autoSpaceDE w:val="0"/>
        <w:autoSpaceDN w:val="0"/>
        <w:adjustRightInd w:val="0"/>
        <w:spacing w:line="500" w:lineRule="exact"/>
        <w:ind w:firstLine="490" w:firstLineChars="200"/>
        <w:textAlignment w:val="bottom"/>
        <w:rPr>
          <w:rFonts w:ascii="Arial" w:hAnsi="Arial" w:eastAsia="宋体" w:cs="Arial"/>
          <w:spacing w:val="10"/>
          <w:sz w:val="24"/>
          <w:u w:val="single"/>
        </w:rPr>
      </w:pPr>
      <w:r>
        <w:rPr>
          <w:rFonts w:ascii="Arial" w:hAnsi="Arial" w:eastAsia="宋体" w:cs="Arial"/>
          <w:spacing w:val="10"/>
          <w:sz w:val="24"/>
        </w:rPr>
        <w:t>选择以下的环境空气关心点、预测范围内的网格点以及区域最大地面浓度点作为计算点。网格点设置采用直角坐标网格，每100m布设1个点，预测点范围为（-</w:t>
      </w:r>
      <w:r>
        <w:rPr>
          <w:rFonts w:hint="eastAsia" w:ascii="Arial" w:hAnsi="Arial" w:eastAsia="宋体" w:cs="Arial"/>
          <w:spacing w:val="10"/>
          <w:sz w:val="24"/>
        </w:rPr>
        <w:t>3200</w:t>
      </w:r>
      <w:r>
        <w:rPr>
          <w:rFonts w:ascii="Arial" w:hAnsi="Arial" w:eastAsia="宋体" w:cs="Arial"/>
          <w:spacing w:val="10"/>
          <w:sz w:val="24"/>
        </w:rPr>
        <w:t>，-</w:t>
      </w:r>
      <w:r>
        <w:rPr>
          <w:rFonts w:hint="eastAsia" w:ascii="Arial" w:hAnsi="Arial" w:eastAsia="宋体" w:cs="Arial"/>
          <w:spacing w:val="10"/>
          <w:sz w:val="24"/>
        </w:rPr>
        <w:t>3300</w:t>
      </w:r>
      <w:r>
        <w:rPr>
          <w:rFonts w:ascii="Arial" w:hAnsi="Arial" w:eastAsia="宋体" w:cs="Arial"/>
          <w:spacing w:val="10"/>
          <w:sz w:val="24"/>
        </w:rPr>
        <w:t>）——（</w:t>
      </w:r>
      <w:r>
        <w:rPr>
          <w:rFonts w:hint="eastAsia" w:ascii="Arial" w:hAnsi="Arial" w:eastAsia="宋体" w:cs="Arial"/>
          <w:spacing w:val="10"/>
          <w:sz w:val="24"/>
        </w:rPr>
        <w:t>3400</w:t>
      </w:r>
      <w:r>
        <w:rPr>
          <w:rFonts w:ascii="Arial" w:hAnsi="Arial" w:eastAsia="宋体" w:cs="Arial"/>
          <w:spacing w:val="10"/>
          <w:sz w:val="24"/>
        </w:rPr>
        <w:t>，</w:t>
      </w:r>
      <w:r>
        <w:rPr>
          <w:rFonts w:hint="eastAsia" w:ascii="Arial" w:hAnsi="Arial" w:eastAsia="宋体" w:cs="Arial"/>
          <w:spacing w:val="10"/>
          <w:sz w:val="24"/>
        </w:rPr>
        <w:t>4100</w:t>
      </w:r>
      <w:r>
        <w:rPr>
          <w:rFonts w:ascii="Arial" w:hAnsi="Arial" w:eastAsia="宋体" w:cs="Arial"/>
          <w:spacing w:val="10"/>
          <w:sz w:val="24"/>
        </w:rPr>
        <w:t>），预测点总数</w:t>
      </w:r>
      <w:r>
        <w:rPr>
          <w:rFonts w:hint="eastAsia" w:ascii="Arial" w:hAnsi="Arial" w:eastAsia="宋体" w:cs="Arial"/>
          <w:spacing w:val="10"/>
          <w:sz w:val="24"/>
        </w:rPr>
        <w:t>5035</w:t>
      </w:r>
      <w:r>
        <w:rPr>
          <w:rFonts w:ascii="Arial" w:hAnsi="Arial" w:eastAsia="宋体" w:cs="Arial"/>
          <w:spacing w:val="10"/>
          <w:sz w:val="24"/>
        </w:rPr>
        <w:t>个。</w:t>
      </w:r>
    </w:p>
    <w:p w14:paraId="44A8D700">
      <w:pPr>
        <w:pStyle w:val="474"/>
        <w:numPr>
          <w:ilvl w:val="0"/>
          <w:numId w:val="21"/>
        </w:numPr>
        <w:spacing w:line="500" w:lineRule="exact"/>
        <w:ind w:firstLineChars="0"/>
        <w:outlineLvl w:val="3"/>
        <w:rPr>
          <w:rFonts w:ascii="Arial" w:hAnsi="Arial" w:cs="Arial"/>
          <w:b/>
        </w:rPr>
      </w:pPr>
      <w:r>
        <w:rPr>
          <w:rFonts w:ascii="Arial" w:hAnsi="Arial" w:cs="Arial"/>
          <w:b/>
        </w:rPr>
        <w:t>建筑物下洗</w:t>
      </w:r>
    </w:p>
    <w:p w14:paraId="1C4CEB40">
      <w:pPr>
        <w:adjustRightInd w:val="0"/>
        <w:snapToGrid w:val="0"/>
        <w:spacing w:line="500" w:lineRule="exact"/>
        <w:ind w:firstLine="450" w:firstLineChars="200"/>
        <w:rPr>
          <w:rFonts w:ascii="Arial" w:hAnsi="Arial" w:eastAsia="宋体" w:cs="Arial"/>
          <w:sz w:val="24"/>
        </w:rPr>
      </w:pPr>
      <w:r>
        <w:rPr>
          <w:rFonts w:ascii="Arial" w:hAnsi="Arial" w:eastAsia="宋体" w:cs="Arial"/>
          <w:sz w:val="24"/>
        </w:rPr>
        <w:t>如果烟囱实际高度小于根据周围建筑物高度计算的最佳工程方案（GEP）烟囱高度时，且位于GEP的5L影响区域内时，则需考虑建筑物下洗的情况。GEP烟囱高度计算公式为：</w:t>
      </w:r>
    </w:p>
    <w:p w14:paraId="4DE9BE55">
      <w:pPr>
        <w:adjustRightInd w:val="0"/>
        <w:snapToGrid w:val="0"/>
        <w:spacing w:line="500" w:lineRule="exact"/>
        <w:jc w:val="center"/>
        <w:rPr>
          <w:rFonts w:ascii="Arial" w:hAnsi="Arial" w:eastAsia="宋体" w:cs="Arial"/>
          <w:sz w:val="24"/>
          <w:szCs w:val="30"/>
        </w:rPr>
      </w:pPr>
      <w:r>
        <w:rPr>
          <w:rFonts w:ascii="Arial" w:hAnsi="Arial" w:eastAsia="宋体" w:cs="Arial"/>
          <w:sz w:val="24"/>
          <w:szCs w:val="30"/>
        </w:rPr>
        <w:t>GEP烟囱高度=</w:t>
      </w:r>
      <w:r>
        <w:rPr>
          <w:rFonts w:ascii="Arial" w:hAnsi="Arial" w:eastAsia="宋体" w:cs="Arial"/>
          <w:i/>
          <w:sz w:val="24"/>
          <w:szCs w:val="30"/>
        </w:rPr>
        <w:t>H</w:t>
      </w:r>
      <w:r>
        <w:rPr>
          <w:rFonts w:ascii="Arial" w:hAnsi="Arial" w:eastAsia="宋体" w:cs="Arial"/>
          <w:sz w:val="24"/>
          <w:szCs w:val="30"/>
        </w:rPr>
        <w:t>+1.5</w:t>
      </w:r>
      <w:r>
        <w:rPr>
          <w:rFonts w:ascii="Arial" w:hAnsi="Arial" w:eastAsia="宋体" w:cs="Arial"/>
          <w:i/>
          <w:sz w:val="24"/>
          <w:szCs w:val="30"/>
        </w:rPr>
        <w:t>L</w:t>
      </w:r>
    </w:p>
    <w:p w14:paraId="1B3792AE">
      <w:pPr>
        <w:adjustRightInd w:val="0"/>
        <w:snapToGrid w:val="0"/>
        <w:spacing w:line="500" w:lineRule="exact"/>
        <w:ind w:firstLine="450" w:firstLineChars="200"/>
        <w:rPr>
          <w:rFonts w:ascii="Arial" w:hAnsi="Arial" w:eastAsia="宋体" w:cs="Arial"/>
          <w:sz w:val="24"/>
          <w:szCs w:val="30"/>
        </w:rPr>
      </w:pPr>
      <w:r>
        <w:rPr>
          <w:rFonts w:ascii="Arial" w:hAnsi="Arial" w:eastAsia="宋体" w:cs="Arial"/>
          <w:sz w:val="24"/>
          <w:szCs w:val="30"/>
        </w:rPr>
        <w:t>式中：</w:t>
      </w:r>
      <w:r>
        <w:rPr>
          <w:rFonts w:ascii="Arial" w:hAnsi="Arial" w:eastAsia="宋体" w:cs="Arial"/>
          <w:i/>
          <w:sz w:val="24"/>
          <w:szCs w:val="30"/>
        </w:rPr>
        <w:t>H</w:t>
      </w:r>
      <w:r>
        <w:rPr>
          <w:rFonts w:ascii="Arial" w:hAnsi="Arial" w:eastAsia="宋体" w:cs="Arial"/>
          <w:sz w:val="24"/>
          <w:szCs w:val="30"/>
        </w:rPr>
        <w:t>——从烟囱基座地面到建筑物顶部的垂直高度，m；</w:t>
      </w:r>
    </w:p>
    <w:p w14:paraId="3E02E1D8">
      <w:pPr>
        <w:adjustRightInd w:val="0"/>
        <w:snapToGrid w:val="0"/>
        <w:spacing w:line="500" w:lineRule="exact"/>
        <w:ind w:firstLine="1125" w:firstLineChars="500"/>
        <w:rPr>
          <w:rFonts w:ascii="Arial" w:hAnsi="Arial" w:eastAsia="宋体" w:cs="Arial"/>
          <w:sz w:val="24"/>
          <w:szCs w:val="30"/>
        </w:rPr>
      </w:pPr>
      <w:r>
        <w:rPr>
          <w:rFonts w:ascii="Arial" w:hAnsi="Arial" w:eastAsia="宋体" w:cs="Arial"/>
          <w:i/>
          <w:sz w:val="24"/>
          <w:szCs w:val="30"/>
        </w:rPr>
        <w:t>L</w:t>
      </w:r>
      <w:r>
        <w:rPr>
          <w:rFonts w:ascii="Arial" w:hAnsi="Arial" w:eastAsia="宋体" w:cs="Arial"/>
          <w:sz w:val="24"/>
          <w:szCs w:val="30"/>
        </w:rPr>
        <w:t>——建筑物高度（BH）或建筑物投影宽度（PBW）的较小者，m。</w:t>
      </w:r>
    </w:p>
    <w:p w14:paraId="0F9F03FF">
      <w:pPr>
        <w:adjustRightInd w:val="0"/>
        <w:snapToGrid w:val="0"/>
        <w:spacing w:line="500" w:lineRule="exact"/>
        <w:ind w:firstLine="450" w:firstLineChars="200"/>
        <w:rPr>
          <w:rFonts w:ascii="Arial" w:hAnsi="Arial" w:eastAsia="宋体" w:cs="Arial"/>
          <w:sz w:val="24"/>
          <w:szCs w:val="30"/>
        </w:rPr>
      </w:pPr>
      <w:r>
        <w:rPr>
          <w:rFonts w:ascii="Arial" w:hAnsi="Arial" w:eastAsia="宋体" w:cs="Arial"/>
          <w:sz w:val="24"/>
          <w:szCs w:val="30"/>
        </w:rPr>
        <w:t>GEP的5</w:t>
      </w:r>
      <w:r>
        <w:rPr>
          <w:rFonts w:ascii="Arial" w:hAnsi="Arial" w:eastAsia="宋体" w:cs="Arial"/>
          <w:i/>
          <w:sz w:val="24"/>
          <w:szCs w:val="30"/>
        </w:rPr>
        <w:t>L</w:t>
      </w:r>
      <w:r>
        <w:rPr>
          <w:rFonts w:ascii="Arial" w:hAnsi="Arial" w:eastAsia="宋体" w:cs="Arial"/>
          <w:sz w:val="24"/>
          <w:szCs w:val="30"/>
        </w:rPr>
        <w:t>影响区域：每个建筑物在下风向会产生一个尾迹影响区，下风向影响最大距离为距建筑物5</w:t>
      </w:r>
      <w:r>
        <w:rPr>
          <w:rFonts w:ascii="Arial" w:hAnsi="Arial" w:eastAsia="宋体" w:cs="Arial"/>
          <w:i/>
          <w:sz w:val="24"/>
          <w:szCs w:val="30"/>
        </w:rPr>
        <w:t>L</w:t>
      </w:r>
      <w:r>
        <w:rPr>
          <w:rFonts w:ascii="Arial" w:hAnsi="Arial" w:eastAsia="宋体" w:cs="Arial"/>
          <w:sz w:val="24"/>
          <w:szCs w:val="30"/>
        </w:rPr>
        <w:t>处，迎风向影响最大距离为距建筑物2</w:t>
      </w:r>
      <w:r>
        <w:rPr>
          <w:rFonts w:ascii="Arial" w:hAnsi="Arial" w:eastAsia="宋体" w:cs="Arial"/>
          <w:i/>
          <w:sz w:val="24"/>
          <w:szCs w:val="30"/>
        </w:rPr>
        <w:t>L</w:t>
      </w:r>
      <w:r>
        <w:rPr>
          <w:rFonts w:ascii="Arial" w:hAnsi="Arial" w:eastAsia="宋体" w:cs="Arial"/>
          <w:sz w:val="24"/>
          <w:szCs w:val="30"/>
        </w:rPr>
        <w:t>处，侧风向影响最大距离为距建筑物0.5</w:t>
      </w:r>
      <w:r>
        <w:rPr>
          <w:rFonts w:ascii="Arial" w:hAnsi="Arial" w:eastAsia="宋体" w:cs="Arial"/>
          <w:i/>
          <w:sz w:val="24"/>
          <w:szCs w:val="30"/>
        </w:rPr>
        <w:t>L</w:t>
      </w:r>
      <w:r>
        <w:rPr>
          <w:rFonts w:ascii="Arial" w:hAnsi="Arial" w:eastAsia="宋体" w:cs="Arial"/>
          <w:sz w:val="24"/>
          <w:szCs w:val="30"/>
        </w:rPr>
        <w:t>处，即图4.2-3虚线范围内为建筑物影响区域。不同风向下的影响区是不同的，所有风向构成的一个完整的影响区域，即图4.2-5虚线范围内，称为GEP的5</w:t>
      </w:r>
      <w:r>
        <w:rPr>
          <w:rFonts w:ascii="Arial" w:hAnsi="Arial" w:eastAsia="宋体" w:cs="Arial"/>
          <w:i/>
          <w:sz w:val="24"/>
          <w:szCs w:val="30"/>
        </w:rPr>
        <w:t>L</w:t>
      </w:r>
      <w:r>
        <w:rPr>
          <w:rFonts w:ascii="Arial" w:hAnsi="Arial" w:eastAsia="宋体" w:cs="Arial"/>
          <w:sz w:val="24"/>
          <w:szCs w:val="30"/>
        </w:rPr>
        <w:t>影响区域，即建筑物下洗的最大影响范围。</w:t>
      </w:r>
    </w:p>
    <w:tbl>
      <w:tblPr>
        <w:tblStyle w:val="88"/>
        <w:tblW w:w="0" w:type="auto"/>
        <w:tblInd w:w="0" w:type="dxa"/>
        <w:tblLayout w:type="fixed"/>
        <w:tblCellMar>
          <w:top w:w="0" w:type="dxa"/>
          <w:left w:w="108" w:type="dxa"/>
          <w:bottom w:w="0" w:type="dxa"/>
          <w:right w:w="108" w:type="dxa"/>
        </w:tblCellMar>
      </w:tblPr>
      <w:tblGrid>
        <w:gridCol w:w="4649"/>
        <w:gridCol w:w="4650"/>
      </w:tblGrid>
      <w:tr w14:paraId="3E7825E3">
        <w:tblPrEx>
          <w:tblCellMar>
            <w:top w:w="0" w:type="dxa"/>
            <w:left w:w="108" w:type="dxa"/>
            <w:bottom w:w="0" w:type="dxa"/>
            <w:right w:w="108" w:type="dxa"/>
          </w:tblCellMar>
        </w:tblPrEx>
        <w:tc>
          <w:tcPr>
            <w:tcW w:w="4649" w:type="dxa"/>
            <w:tcBorders>
              <w:top w:val="nil"/>
              <w:left w:val="nil"/>
              <w:bottom w:val="nil"/>
              <w:right w:val="nil"/>
            </w:tcBorders>
          </w:tcPr>
          <w:p w14:paraId="62691005">
            <w:pPr>
              <w:widowControl/>
              <w:adjustRightInd w:val="0"/>
              <w:snapToGrid w:val="0"/>
              <w:jc w:val="center"/>
              <w:rPr>
                <w:rFonts w:ascii="Arial" w:hAnsi="Arial" w:eastAsia="宋体" w:cs="Arial"/>
                <w:sz w:val="21"/>
                <w:szCs w:val="21"/>
              </w:rPr>
            </w:pPr>
            <w:r>
              <w:rPr>
                <w:rFonts w:ascii="Arial" w:hAnsi="Arial" w:eastAsia="宋体" w:cs="Arial"/>
                <w:sz w:val="21"/>
                <w:szCs w:val="21"/>
              </w:rPr>
              <w:drawing>
                <wp:inline distT="0" distB="0" distL="114300" distR="114300">
                  <wp:extent cx="2266950" cy="2324100"/>
                  <wp:effectExtent l="0" t="0" r="0" b="0"/>
                  <wp:docPr id="2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4"/>
                          <pic:cNvPicPr>
                            <a:picLocks noChangeAspect="1"/>
                          </pic:cNvPicPr>
                        </pic:nvPicPr>
                        <pic:blipFill>
                          <a:blip r:embed="rId43"/>
                          <a:stretch>
                            <a:fillRect/>
                          </a:stretch>
                        </pic:blipFill>
                        <pic:spPr>
                          <a:xfrm>
                            <a:off x="0" y="0"/>
                            <a:ext cx="2266950" cy="2324100"/>
                          </a:xfrm>
                          <a:prstGeom prst="rect">
                            <a:avLst/>
                          </a:prstGeom>
                          <a:noFill/>
                          <a:ln>
                            <a:noFill/>
                          </a:ln>
                        </pic:spPr>
                      </pic:pic>
                    </a:graphicData>
                  </a:graphic>
                </wp:inline>
              </w:drawing>
            </w:r>
          </w:p>
        </w:tc>
        <w:tc>
          <w:tcPr>
            <w:tcW w:w="4650" w:type="dxa"/>
            <w:tcBorders>
              <w:top w:val="nil"/>
              <w:left w:val="nil"/>
              <w:bottom w:val="nil"/>
              <w:right w:val="nil"/>
            </w:tcBorders>
          </w:tcPr>
          <w:p w14:paraId="73988D78">
            <w:pPr>
              <w:widowControl/>
              <w:adjustRightInd w:val="0"/>
              <w:snapToGrid w:val="0"/>
              <w:jc w:val="center"/>
              <w:rPr>
                <w:rFonts w:ascii="Arial" w:hAnsi="Arial" w:eastAsia="宋体" w:cs="Arial"/>
                <w:sz w:val="21"/>
                <w:szCs w:val="21"/>
              </w:rPr>
            </w:pPr>
            <w:r>
              <w:rPr>
                <w:rFonts w:ascii="Arial" w:hAnsi="Arial" w:eastAsia="宋体" w:cs="Arial"/>
                <w:sz w:val="21"/>
                <w:szCs w:val="21"/>
              </w:rPr>
              <w:drawing>
                <wp:inline distT="0" distB="0" distL="114300" distR="114300">
                  <wp:extent cx="2381250" cy="2343150"/>
                  <wp:effectExtent l="0" t="0" r="0" b="0"/>
                  <wp:docPr id="3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5"/>
                          <pic:cNvPicPr>
                            <a:picLocks noChangeAspect="1"/>
                          </pic:cNvPicPr>
                        </pic:nvPicPr>
                        <pic:blipFill>
                          <a:blip r:embed="rId44"/>
                          <a:stretch>
                            <a:fillRect/>
                          </a:stretch>
                        </pic:blipFill>
                        <pic:spPr>
                          <a:xfrm>
                            <a:off x="0" y="0"/>
                            <a:ext cx="2381250" cy="2343150"/>
                          </a:xfrm>
                          <a:prstGeom prst="rect">
                            <a:avLst/>
                          </a:prstGeom>
                          <a:noFill/>
                          <a:ln>
                            <a:noFill/>
                          </a:ln>
                        </pic:spPr>
                      </pic:pic>
                    </a:graphicData>
                  </a:graphic>
                </wp:inline>
              </w:drawing>
            </w:r>
          </w:p>
        </w:tc>
      </w:tr>
      <w:tr w14:paraId="7B974B3B">
        <w:tblPrEx>
          <w:tblCellMar>
            <w:top w:w="0" w:type="dxa"/>
            <w:left w:w="108" w:type="dxa"/>
            <w:bottom w:w="0" w:type="dxa"/>
            <w:right w:w="108" w:type="dxa"/>
          </w:tblCellMar>
        </w:tblPrEx>
        <w:tc>
          <w:tcPr>
            <w:tcW w:w="4649" w:type="dxa"/>
            <w:tcBorders>
              <w:top w:val="nil"/>
              <w:left w:val="nil"/>
              <w:bottom w:val="nil"/>
              <w:right w:val="nil"/>
            </w:tcBorders>
          </w:tcPr>
          <w:p w14:paraId="22524185">
            <w:pPr>
              <w:numPr>
                <w:ilvl w:val="0"/>
                <w:numId w:val="23"/>
              </w:numPr>
              <w:spacing w:line="500" w:lineRule="exact"/>
              <w:jc w:val="center"/>
              <w:rPr>
                <w:rFonts w:ascii="Arial" w:hAnsi="Arial" w:eastAsia="宋体" w:cs="Arial"/>
                <w:b/>
                <w:spacing w:val="10"/>
                <w:sz w:val="24"/>
              </w:rPr>
            </w:pPr>
            <w:r>
              <w:rPr>
                <w:rFonts w:ascii="Arial" w:hAnsi="Arial" w:eastAsia="宋体" w:cs="Arial"/>
                <w:b/>
                <w:spacing w:val="10"/>
                <w:sz w:val="24"/>
              </w:rPr>
              <w:t>建筑物影响区域</w:t>
            </w:r>
          </w:p>
        </w:tc>
        <w:tc>
          <w:tcPr>
            <w:tcW w:w="4650" w:type="dxa"/>
            <w:tcBorders>
              <w:top w:val="nil"/>
              <w:left w:val="nil"/>
              <w:bottom w:val="nil"/>
              <w:right w:val="nil"/>
            </w:tcBorders>
          </w:tcPr>
          <w:p w14:paraId="48A84CCE">
            <w:pPr>
              <w:numPr>
                <w:ilvl w:val="0"/>
                <w:numId w:val="23"/>
              </w:numPr>
              <w:spacing w:line="500" w:lineRule="exact"/>
              <w:jc w:val="center"/>
              <w:rPr>
                <w:rFonts w:ascii="Arial" w:hAnsi="Arial" w:cs="Arial"/>
              </w:rPr>
            </w:pPr>
            <w:r>
              <w:rPr>
                <w:rFonts w:ascii="Arial" w:hAnsi="Arial" w:eastAsia="宋体" w:cs="Arial"/>
                <w:b/>
                <w:spacing w:val="10"/>
                <w:sz w:val="24"/>
              </w:rPr>
              <w:t>GEP的5L影响区域</w:t>
            </w:r>
          </w:p>
        </w:tc>
      </w:tr>
    </w:tbl>
    <w:p w14:paraId="762E12D0">
      <w:pPr>
        <w:adjustRightInd w:val="0"/>
        <w:spacing w:line="500" w:lineRule="exact"/>
        <w:ind w:firstLine="450" w:firstLineChars="200"/>
        <w:contextualSpacing/>
        <w:rPr>
          <w:rFonts w:ascii="Arial" w:hAnsi="Arial" w:eastAsia="宋体" w:cs="Arial"/>
          <w:sz w:val="24"/>
          <w:szCs w:val="30"/>
        </w:rPr>
      </w:pPr>
      <w:r>
        <w:rPr>
          <w:rFonts w:ascii="Arial" w:hAnsi="Arial" w:eastAsia="宋体" w:cs="Arial"/>
          <w:sz w:val="24"/>
          <w:szCs w:val="30"/>
        </w:rPr>
        <w:t>根据计算，不需要考虑建筑物下洗。</w:t>
      </w:r>
    </w:p>
    <w:p w14:paraId="6094A37B">
      <w:pPr>
        <w:pStyle w:val="474"/>
        <w:numPr>
          <w:ilvl w:val="0"/>
          <w:numId w:val="21"/>
        </w:numPr>
        <w:spacing w:line="500" w:lineRule="exact"/>
        <w:ind w:firstLineChars="0"/>
        <w:outlineLvl w:val="3"/>
        <w:rPr>
          <w:rFonts w:ascii="Arial" w:hAnsi="Arial" w:cs="Arial"/>
          <w:b/>
        </w:rPr>
      </w:pPr>
      <w:r>
        <w:rPr>
          <w:rFonts w:ascii="Arial" w:hAnsi="Arial" w:cs="Arial"/>
          <w:b/>
        </w:rPr>
        <w:t>预测因子及周期</w:t>
      </w:r>
    </w:p>
    <w:p w14:paraId="41509181">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选取PM</w:t>
      </w:r>
      <w:r>
        <w:rPr>
          <w:rFonts w:ascii="Arial" w:hAnsi="Arial" w:eastAsia="宋体" w:cs="Arial"/>
          <w:spacing w:val="10"/>
          <w:sz w:val="24"/>
          <w:szCs w:val="24"/>
          <w:vertAlign w:val="subscript"/>
        </w:rPr>
        <w:t>10</w:t>
      </w:r>
      <w:r>
        <w:rPr>
          <w:rFonts w:ascii="Arial" w:hAnsi="Arial" w:eastAsia="宋体" w:cs="Arial"/>
          <w:spacing w:val="10"/>
          <w:sz w:val="24"/>
          <w:szCs w:val="24"/>
        </w:rPr>
        <w:t>、</w:t>
      </w:r>
      <w:r>
        <w:rPr>
          <w:rFonts w:hint="eastAsia" w:ascii="Arial" w:hAnsi="Arial" w:eastAsia="宋体" w:cs="Arial"/>
          <w:spacing w:val="10"/>
          <w:sz w:val="24"/>
          <w:szCs w:val="24"/>
        </w:rPr>
        <w:t>估计其化合物、氨气</w:t>
      </w:r>
      <w:r>
        <w:rPr>
          <w:rFonts w:ascii="Arial" w:hAnsi="Arial" w:eastAsia="宋体" w:cs="Arial"/>
          <w:spacing w:val="10"/>
          <w:sz w:val="24"/>
          <w:szCs w:val="24"/>
        </w:rPr>
        <w:t>作为预测因子，选取2022年连续一年为预测周期。</w:t>
      </w:r>
    </w:p>
    <w:p w14:paraId="4AEAEA50">
      <w:pPr>
        <w:pStyle w:val="474"/>
        <w:numPr>
          <w:ilvl w:val="0"/>
          <w:numId w:val="21"/>
        </w:numPr>
        <w:spacing w:line="500" w:lineRule="exact"/>
        <w:ind w:firstLineChars="0"/>
        <w:outlineLvl w:val="3"/>
        <w:rPr>
          <w:rFonts w:ascii="Arial" w:hAnsi="Arial" w:cs="Arial"/>
          <w:b/>
        </w:rPr>
      </w:pPr>
      <w:r>
        <w:rPr>
          <w:rFonts w:ascii="Arial" w:hAnsi="Arial" w:cs="Arial"/>
          <w:b/>
        </w:rPr>
        <w:t>环境保护目标</w:t>
      </w:r>
    </w:p>
    <w:p w14:paraId="312BE0D8">
      <w:pPr>
        <w:numPr>
          <w:ilvl w:val="0"/>
          <w:numId w:val="22"/>
        </w:numPr>
        <w:spacing w:line="500" w:lineRule="exact"/>
        <w:ind w:left="0" w:firstLine="0"/>
        <w:jc w:val="center"/>
        <w:outlineLvl w:val="4"/>
        <w:rPr>
          <w:rFonts w:ascii="Arial" w:hAnsi="Arial" w:eastAsia="宋体" w:cs="Arial"/>
          <w:b/>
          <w:sz w:val="24"/>
          <w:szCs w:val="24"/>
          <w:u w:val="single"/>
        </w:rPr>
      </w:pPr>
      <w:r>
        <w:rPr>
          <w:rFonts w:ascii="Arial" w:hAnsi="Arial" w:eastAsia="宋体" w:cs="Arial"/>
          <w:b/>
          <w:sz w:val="24"/>
          <w:szCs w:val="24"/>
          <w:u w:val="single"/>
        </w:rPr>
        <w:t>环境空气保护目标</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2"/>
        <w:gridCol w:w="2423"/>
        <w:gridCol w:w="1052"/>
        <w:gridCol w:w="1052"/>
        <w:gridCol w:w="1052"/>
        <w:gridCol w:w="1486"/>
        <w:gridCol w:w="1356"/>
      </w:tblGrid>
      <w:tr w14:paraId="7816B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18" w:type="pct"/>
            <w:vMerge w:val="restart"/>
            <w:vAlign w:val="center"/>
          </w:tcPr>
          <w:p w14:paraId="7B5D99E1">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kern w:val="0"/>
                <w:sz w:val="21"/>
                <w:szCs w:val="21"/>
                <w:u w:val="single"/>
                <w:lang w:bidi="ar"/>
              </w:rPr>
              <w:t>序号</w:t>
            </w:r>
          </w:p>
        </w:tc>
        <w:tc>
          <w:tcPr>
            <w:tcW w:w="1347" w:type="pct"/>
            <w:vMerge w:val="restart"/>
            <w:vAlign w:val="center"/>
          </w:tcPr>
          <w:p w14:paraId="50E53DA8">
            <w:pPr>
              <w:widowControl/>
              <w:adjustRightInd w:val="0"/>
              <w:snapToGrid w:val="0"/>
              <w:jc w:val="center"/>
              <w:textAlignment w:val="center"/>
              <w:rPr>
                <w:rFonts w:ascii="Arial" w:hAnsi="Arial" w:eastAsia="宋体" w:cs="Arial"/>
                <w:sz w:val="21"/>
                <w:szCs w:val="21"/>
                <w:u w:val="single"/>
              </w:rPr>
            </w:pPr>
            <w:r>
              <w:rPr>
                <w:rFonts w:ascii="Arial" w:hAnsi="Arial" w:eastAsia="宋体" w:cs="Arial"/>
                <w:kern w:val="0"/>
                <w:sz w:val="21"/>
                <w:szCs w:val="21"/>
                <w:u w:val="single"/>
                <w:lang w:bidi="ar"/>
              </w:rPr>
              <w:t>名称</w:t>
            </w:r>
          </w:p>
        </w:tc>
        <w:tc>
          <w:tcPr>
            <w:tcW w:w="1170" w:type="pct"/>
            <w:gridSpan w:val="2"/>
            <w:vAlign w:val="center"/>
          </w:tcPr>
          <w:p w14:paraId="057B25AF">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kern w:val="0"/>
                <w:sz w:val="21"/>
                <w:szCs w:val="21"/>
                <w:u w:val="single"/>
                <w:lang w:bidi="ar"/>
              </w:rPr>
              <w:t>坐标</w:t>
            </w:r>
          </w:p>
        </w:tc>
        <w:tc>
          <w:tcPr>
            <w:tcW w:w="585" w:type="pct"/>
            <w:vMerge w:val="restart"/>
            <w:vAlign w:val="center"/>
          </w:tcPr>
          <w:p w14:paraId="60616145">
            <w:pPr>
              <w:widowControl/>
              <w:adjustRightInd w:val="0"/>
              <w:snapToGrid w:val="0"/>
              <w:jc w:val="center"/>
              <w:textAlignment w:val="center"/>
              <w:rPr>
                <w:rFonts w:ascii="Arial" w:hAnsi="Arial" w:eastAsia="宋体" w:cs="Arial"/>
                <w:sz w:val="21"/>
                <w:szCs w:val="21"/>
                <w:u w:val="single"/>
              </w:rPr>
            </w:pPr>
            <w:r>
              <w:rPr>
                <w:rFonts w:ascii="Arial" w:hAnsi="Arial" w:eastAsia="宋体" w:cs="Arial"/>
                <w:kern w:val="0"/>
                <w:sz w:val="21"/>
                <w:szCs w:val="21"/>
                <w:u w:val="single"/>
                <w:lang w:bidi="ar"/>
              </w:rPr>
              <w:t>相对厂址方位</w:t>
            </w:r>
          </w:p>
        </w:tc>
        <w:tc>
          <w:tcPr>
            <w:tcW w:w="826" w:type="pct"/>
            <w:vMerge w:val="restart"/>
            <w:vAlign w:val="center"/>
          </w:tcPr>
          <w:p w14:paraId="12DD84D6">
            <w:pPr>
              <w:widowControl/>
              <w:adjustRightInd w:val="0"/>
              <w:snapToGrid w:val="0"/>
              <w:jc w:val="center"/>
              <w:textAlignment w:val="center"/>
              <w:rPr>
                <w:rFonts w:ascii="Arial" w:hAnsi="Arial" w:eastAsia="宋体" w:cs="Arial"/>
                <w:sz w:val="21"/>
                <w:szCs w:val="21"/>
                <w:u w:val="single"/>
              </w:rPr>
            </w:pPr>
            <w:r>
              <w:rPr>
                <w:rFonts w:ascii="Arial" w:hAnsi="Arial" w:eastAsia="宋体" w:cs="Arial"/>
                <w:sz w:val="21"/>
                <w:szCs w:val="21"/>
                <w:u w:val="single"/>
              </w:rPr>
              <w:t>离厂界最近距离（m）</w:t>
            </w:r>
          </w:p>
        </w:tc>
        <w:tc>
          <w:tcPr>
            <w:tcW w:w="754" w:type="pct"/>
            <w:vMerge w:val="restart"/>
            <w:vAlign w:val="center"/>
          </w:tcPr>
          <w:p w14:paraId="573DC761">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kern w:val="0"/>
                <w:sz w:val="21"/>
                <w:szCs w:val="21"/>
                <w:u w:val="single"/>
                <w:lang w:bidi="ar"/>
              </w:rPr>
              <w:t>保护级别</w:t>
            </w:r>
          </w:p>
        </w:tc>
      </w:tr>
      <w:tr w14:paraId="41542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18" w:type="pct"/>
            <w:vMerge w:val="continue"/>
            <w:vAlign w:val="center"/>
          </w:tcPr>
          <w:p w14:paraId="19CD7F2E">
            <w:pPr>
              <w:widowControl/>
              <w:adjustRightInd w:val="0"/>
              <w:snapToGrid w:val="0"/>
              <w:jc w:val="center"/>
              <w:textAlignment w:val="center"/>
              <w:rPr>
                <w:rFonts w:ascii="Arial" w:hAnsi="Arial" w:eastAsia="宋体" w:cs="Arial"/>
                <w:kern w:val="0"/>
                <w:sz w:val="21"/>
                <w:szCs w:val="21"/>
                <w:u w:val="single"/>
                <w:lang w:bidi="ar"/>
              </w:rPr>
            </w:pPr>
          </w:p>
        </w:tc>
        <w:tc>
          <w:tcPr>
            <w:tcW w:w="1347" w:type="pct"/>
            <w:vMerge w:val="continue"/>
            <w:vAlign w:val="center"/>
          </w:tcPr>
          <w:p w14:paraId="7B94D02A">
            <w:pPr>
              <w:widowControl/>
              <w:adjustRightInd w:val="0"/>
              <w:snapToGrid w:val="0"/>
              <w:jc w:val="center"/>
              <w:textAlignment w:val="center"/>
              <w:rPr>
                <w:rFonts w:ascii="Arial" w:hAnsi="Arial" w:eastAsia="宋体" w:cs="Arial"/>
                <w:kern w:val="0"/>
                <w:sz w:val="21"/>
                <w:szCs w:val="21"/>
                <w:u w:val="single"/>
                <w:lang w:bidi="ar"/>
              </w:rPr>
            </w:pPr>
          </w:p>
        </w:tc>
        <w:tc>
          <w:tcPr>
            <w:tcW w:w="585" w:type="pct"/>
            <w:vAlign w:val="center"/>
          </w:tcPr>
          <w:p w14:paraId="1702CDE7">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kern w:val="0"/>
                <w:sz w:val="21"/>
                <w:szCs w:val="21"/>
                <w:u w:val="single"/>
                <w:lang w:bidi="ar"/>
              </w:rPr>
              <w:t>X</w:t>
            </w:r>
          </w:p>
        </w:tc>
        <w:tc>
          <w:tcPr>
            <w:tcW w:w="585" w:type="pct"/>
            <w:vAlign w:val="center"/>
          </w:tcPr>
          <w:p w14:paraId="61A1C718">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kern w:val="0"/>
                <w:sz w:val="21"/>
                <w:szCs w:val="21"/>
                <w:u w:val="single"/>
                <w:lang w:bidi="ar"/>
              </w:rPr>
              <w:t>Y</w:t>
            </w:r>
          </w:p>
        </w:tc>
        <w:tc>
          <w:tcPr>
            <w:tcW w:w="585" w:type="pct"/>
            <w:vMerge w:val="continue"/>
            <w:vAlign w:val="center"/>
          </w:tcPr>
          <w:p w14:paraId="165FDC0E">
            <w:pPr>
              <w:widowControl/>
              <w:adjustRightInd w:val="0"/>
              <w:snapToGrid w:val="0"/>
              <w:jc w:val="center"/>
              <w:textAlignment w:val="center"/>
              <w:rPr>
                <w:rFonts w:ascii="Arial" w:hAnsi="Arial" w:eastAsia="宋体" w:cs="Arial"/>
                <w:kern w:val="0"/>
                <w:sz w:val="21"/>
                <w:szCs w:val="21"/>
                <w:u w:val="single"/>
                <w:lang w:bidi="ar"/>
              </w:rPr>
            </w:pPr>
          </w:p>
        </w:tc>
        <w:tc>
          <w:tcPr>
            <w:tcW w:w="826" w:type="pct"/>
            <w:vMerge w:val="continue"/>
            <w:vAlign w:val="center"/>
          </w:tcPr>
          <w:p w14:paraId="7689D3FC">
            <w:pPr>
              <w:widowControl/>
              <w:adjustRightInd w:val="0"/>
              <w:snapToGrid w:val="0"/>
              <w:jc w:val="center"/>
              <w:textAlignment w:val="center"/>
              <w:rPr>
                <w:rFonts w:ascii="Arial" w:hAnsi="Arial" w:eastAsia="宋体" w:cs="Arial"/>
                <w:sz w:val="21"/>
                <w:szCs w:val="21"/>
                <w:u w:val="single"/>
              </w:rPr>
            </w:pPr>
          </w:p>
        </w:tc>
        <w:tc>
          <w:tcPr>
            <w:tcW w:w="754" w:type="pct"/>
            <w:vMerge w:val="continue"/>
            <w:vAlign w:val="center"/>
          </w:tcPr>
          <w:p w14:paraId="20964EA7">
            <w:pPr>
              <w:widowControl/>
              <w:adjustRightInd w:val="0"/>
              <w:snapToGrid w:val="0"/>
              <w:jc w:val="center"/>
              <w:textAlignment w:val="center"/>
              <w:rPr>
                <w:rFonts w:ascii="Arial" w:hAnsi="Arial" w:eastAsia="宋体" w:cs="Arial"/>
                <w:kern w:val="0"/>
                <w:sz w:val="21"/>
                <w:szCs w:val="21"/>
                <w:u w:val="single"/>
                <w:lang w:bidi="ar"/>
              </w:rPr>
            </w:pPr>
          </w:p>
        </w:tc>
      </w:tr>
      <w:tr w14:paraId="4639E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54D900A0">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sz w:val="21"/>
                <w:szCs w:val="21"/>
                <w:u w:val="single"/>
              </w:rPr>
              <w:t>1</w:t>
            </w:r>
          </w:p>
        </w:tc>
        <w:tc>
          <w:tcPr>
            <w:tcW w:w="1347" w:type="pct"/>
            <w:tcMar>
              <w:top w:w="15" w:type="dxa"/>
              <w:left w:w="15" w:type="dxa"/>
              <w:bottom w:w="15" w:type="dxa"/>
              <w:right w:w="15" w:type="dxa"/>
            </w:tcMar>
            <w:vAlign w:val="center"/>
          </w:tcPr>
          <w:p w14:paraId="23F9D55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鸡墩头村</w:t>
            </w:r>
          </w:p>
        </w:tc>
        <w:tc>
          <w:tcPr>
            <w:tcW w:w="585" w:type="pct"/>
            <w:vAlign w:val="center"/>
          </w:tcPr>
          <w:p w14:paraId="42793A13">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-73</w:t>
            </w:r>
          </w:p>
        </w:tc>
        <w:tc>
          <w:tcPr>
            <w:tcW w:w="585" w:type="pct"/>
            <w:vAlign w:val="center"/>
          </w:tcPr>
          <w:p w14:paraId="3FB5C6D7">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1695</w:t>
            </w:r>
          </w:p>
        </w:tc>
        <w:tc>
          <w:tcPr>
            <w:tcW w:w="585" w:type="pct"/>
            <w:vAlign w:val="center"/>
          </w:tcPr>
          <w:p w14:paraId="3B99FB13">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北</w:t>
            </w:r>
          </w:p>
        </w:tc>
        <w:tc>
          <w:tcPr>
            <w:tcW w:w="826" w:type="pct"/>
            <w:vAlign w:val="center"/>
          </w:tcPr>
          <w:p w14:paraId="1D41E0FF">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10</w:t>
            </w:r>
          </w:p>
        </w:tc>
        <w:tc>
          <w:tcPr>
            <w:tcW w:w="754" w:type="pct"/>
            <w:vMerge w:val="restart"/>
            <w:vAlign w:val="center"/>
          </w:tcPr>
          <w:p w14:paraId="036148F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环境空气：二级</w:t>
            </w:r>
          </w:p>
        </w:tc>
      </w:tr>
      <w:tr w14:paraId="154E7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3771F249">
            <w:pPr>
              <w:widowControl/>
              <w:adjustRightInd w:val="0"/>
              <w:snapToGrid w:val="0"/>
              <w:jc w:val="center"/>
              <w:textAlignment w:val="center"/>
              <w:rPr>
                <w:rFonts w:ascii="Arial" w:hAnsi="Arial" w:eastAsia="宋体" w:cs="Arial"/>
                <w:kern w:val="0"/>
                <w:sz w:val="21"/>
                <w:szCs w:val="21"/>
                <w:u w:val="single"/>
                <w:lang w:bidi="ar"/>
              </w:rPr>
            </w:pPr>
            <w:r>
              <w:rPr>
                <w:rFonts w:ascii="Arial" w:hAnsi="Arial" w:eastAsia="宋体" w:cs="Arial"/>
                <w:sz w:val="21"/>
                <w:szCs w:val="21"/>
                <w:u w:val="single"/>
              </w:rPr>
              <w:t>2</w:t>
            </w:r>
          </w:p>
        </w:tc>
        <w:tc>
          <w:tcPr>
            <w:tcW w:w="1347" w:type="pct"/>
            <w:tcMar>
              <w:top w:w="15" w:type="dxa"/>
              <w:left w:w="15" w:type="dxa"/>
              <w:bottom w:w="15" w:type="dxa"/>
              <w:right w:w="15" w:type="dxa"/>
            </w:tcMar>
            <w:vAlign w:val="center"/>
          </w:tcPr>
          <w:p w14:paraId="2968A320">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钦州港经开区第五小学</w:t>
            </w:r>
          </w:p>
        </w:tc>
        <w:tc>
          <w:tcPr>
            <w:tcW w:w="585" w:type="pct"/>
            <w:vAlign w:val="center"/>
          </w:tcPr>
          <w:p w14:paraId="2E46DCD7">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241</w:t>
            </w:r>
          </w:p>
        </w:tc>
        <w:tc>
          <w:tcPr>
            <w:tcW w:w="585" w:type="pct"/>
            <w:vAlign w:val="center"/>
          </w:tcPr>
          <w:p w14:paraId="6F92F241">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1699</w:t>
            </w:r>
          </w:p>
        </w:tc>
        <w:tc>
          <w:tcPr>
            <w:tcW w:w="585" w:type="pct"/>
            <w:vAlign w:val="center"/>
          </w:tcPr>
          <w:p w14:paraId="736492C2">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北</w:t>
            </w:r>
          </w:p>
        </w:tc>
        <w:tc>
          <w:tcPr>
            <w:tcW w:w="826" w:type="pct"/>
            <w:vAlign w:val="center"/>
          </w:tcPr>
          <w:p w14:paraId="745F131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215</w:t>
            </w:r>
          </w:p>
        </w:tc>
        <w:tc>
          <w:tcPr>
            <w:tcW w:w="754" w:type="pct"/>
            <w:vMerge w:val="continue"/>
            <w:vAlign w:val="center"/>
          </w:tcPr>
          <w:p w14:paraId="7E6C2182">
            <w:pPr>
              <w:adjustRightInd w:val="0"/>
              <w:snapToGrid w:val="0"/>
              <w:jc w:val="center"/>
              <w:rPr>
                <w:rFonts w:ascii="Arial" w:hAnsi="Arial" w:eastAsia="宋体" w:cs="Arial"/>
                <w:sz w:val="21"/>
                <w:szCs w:val="21"/>
                <w:u w:val="single"/>
              </w:rPr>
            </w:pPr>
          </w:p>
        </w:tc>
      </w:tr>
      <w:tr w14:paraId="47979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7DFBEAE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3</w:t>
            </w:r>
          </w:p>
        </w:tc>
        <w:tc>
          <w:tcPr>
            <w:tcW w:w="1347" w:type="pct"/>
            <w:tcMar>
              <w:top w:w="15" w:type="dxa"/>
              <w:left w:w="15" w:type="dxa"/>
              <w:bottom w:w="15" w:type="dxa"/>
              <w:right w:w="15" w:type="dxa"/>
            </w:tcMar>
            <w:vAlign w:val="center"/>
          </w:tcPr>
          <w:p w14:paraId="446EA57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过路山村</w:t>
            </w:r>
          </w:p>
        </w:tc>
        <w:tc>
          <w:tcPr>
            <w:tcW w:w="585" w:type="pct"/>
            <w:vAlign w:val="center"/>
          </w:tcPr>
          <w:p w14:paraId="63CF67AD">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-581</w:t>
            </w:r>
          </w:p>
        </w:tc>
        <w:tc>
          <w:tcPr>
            <w:tcW w:w="585" w:type="pct"/>
            <w:vAlign w:val="center"/>
          </w:tcPr>
          <w:p w14:paraId="26C94BB0">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1792</w:t>
            </w:r>
          </w:p>
        </w:tc>
        <w:tc>
          <w:tcPr>
            <w:tcW w:w="585" w:type="pct"/>
            <w:vAlign w:val="center"/>
          </w:tcPr>
          <w:p w14:paraId="136971B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826" w:type="pct"/>
            <w:vAlign w:val="center"/>
          </w:tcPr>
          <w:p w14:paraId="4F3D081F">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420</w:t>
            </w:r>
          </w:p>
        </w:tc>
        <w:tc>
          <w:tcPr>
            <w:tcW w:w="754" w:type="pct"/>
            <w:vMerge w:val="continue"/>
            <w:vAlign w:val="center"/>
          </w:tcPr>
          <w:p w14:paraId="736D6A65">
            <w:pPr>
              <w:adjustRightInd w:val="0"/>
              <w:snapToGrid w:val="0"/>
              <w:jc w:val="center"/>
              <w:rPr>
                <w:rFonts w:ascii="Arial" w:hAnsi="Arial" w:eastAsia="宋体" w:cs="Arial"/>
                <w:sz w:val="21"/>
                <w:szCs w:val="21"/>
                <w:u w:val="single"/>
              </w:rPr>
            </w:pPr>
          </w:p>
        </w:tc>
      </w:tr>
      <w:tr w14:paraId="4B459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1E58E5A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4</w:t>
            </w:r>
          </w:p>
        </w:tc>
        <w:tc>
          <w:tcPr>
            <w:tcW w:w="1347" w:type="pct"/>
            <w:tcMar>
              <w:top w:w="15" w:type="dxa"/>
              <w:left w:w="15" w:type="dxa"/>
              <w:bottom w:w="15" w:type="dxa"/>
              <w:right w:w="15" w:type="dxa"/>
            </w:tcMar>
            <w:vAlign w:val="center"/>
          </w:tcPr>
          <w:p w14:paraId="536E17C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上硫磺山村</w:t>
            </w:r>
          </w:p>
        </w:tc>
        <w:tc>
          <w:tcPr>
            <w:tcW w:w="585" w:type="pct"/>
            <w:vAlign w:val="center"/>
          </w:tcPr>
          <w:p w14:paraId="4192C8F1">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1476</w:t>
            </w:r>
          </w:p>
        </w:tc>
        <w:tc>
          <w:tcPr>
            <w:tcW w:w="585" w:type="pct"/>
            <w:vAlign w:val="center"/>
          </w:tcPr>
          <w:p w14:paraId="3733A05D">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557</w:t>
            </w:r>
          </w:p>
        </w:tc>
        <w:tc>
          <w:tcPr>
            <w:tcW w:w="585" w:type="pct"/>
            <w:vAlign w:val="center"/>
          </w:tcPr>
          <w:p w14:paraId="529BEF5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826" w:type="pct"/>
            <w:vAlign w:val="center"/>
          </w:tcPr>
          <w:p w14:paraId="4338E6F8">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1055</w:t>
            </w:r>
          </w:p>
        </w:tc>
        <w:tc>
          <w:tcPr>
            <w:tcW w:w="754" w:type="pct"/>
            <w:vMerge w:val="continue"/>
            <w:vAlign w:val="center"/>
          </w:tcPr>
          <w:p w14:paraId="79018B30">
            <w:pPr>
              <w:adjustRightInd w:val="0"/>
              <w:snapToGrid w:val="0"/>
              <w:jc w:val="center"/>
              <w:rPr>
                <w:rFonts w:ascii="Arial" w:hAnsi="Arial" w:eastAsia="宋体" w:cs="Arial"/>
                <w:sz w:val="21"/>
                <w:szCs w:val="21"/>
                <w:u w:val="single"/>
              </w:rPr>
            </w:pPr>
          </w:p>
        </w:tc>
      </w:tr>
      <w:tr w14:paraId="750E0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485D5A5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5</w:t>
            </w:r>
          </w:p>
        </w:tc>
        <w:tc>
          <w:tcPr>
            <w:tcW w:w="1347" w:type="pct"/>
            <w:tcMar>
              <w:top w:w="15" w:type="dxa"/>
              <w:left w:w="15" w:type="dxa"/>
              <w:bottom w:w="15" w:type="dxa"/>
              <w:right w:w="15" w:type="dxa"/>
            </w:tcMar>
            <w:vAlign w:val="center"/>
          </w:tcPr>
          <w:p w14:paraId="40609B0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下硫磺山村</w:t>
            </w:r>
          </w:p>
        </w:tc>
        <w:tc>
          <w:tcPr>
            <w:tcW w:w="585" w:type="pct"/>
            <w:vAlign w:val="center"/>
          </w:tcPr>
          <w:p w14:paraId="5527E49C">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1362</w:t>
            </w:r>
          </w:p>
        </w:tc>
        <w:tc>
          <w:tcPr>
            <w:tcW w:w="585" w:type="pct"/>
            <w:vAlign w:val="center"/>
          </w:tcPr>
          <w:p w14:paraId="767A0DAF">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211</w:t>
            </w:r>
          </w:p>
        </w:tc>
        <w:tc>
          <w:tcPr>
            <w:tcW w:w="585" w:type="pct"/>
            <w:vAlign w:val="center"/>
          </w:tcPr>
          <w:p w14:paraId="436BEAAF">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826" w:type="pct"/>
            <w:vAlign w:val="center"/>
          </w:tcPr>
          <w:p w14:paraId="1E171C02">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1105</w:t>
            </w:r>
          </w:p>
        </w:tc>
        <w:tc>
          <w:tcPr>
            <w:tcW w:w="754" w:type="pct"/>
            <w:vMerge w:val="continue"/>
            <w:vAlign w:val="center"/>
          </w:tcPr>
          <w:p w14:paraId="779A49CC">
            <w:pPr>
              <w:adjustRightInd w:val="0"/>
              <w:snapToGrid w:val="0"/>
              <w:jc w:val="center"/>
              <w:rPr>
                <w:rFonts w:ascii="Arial" w:hAnsi="Arial" w:eastAsia="宋体" w:cs="Arial"/>
                <w:sz w:val="21"/>
                <w:szCs w:val="21"/>
                <w:u w:val="single"/>
              </w:rPr>
            </w:pPr>
          </w:p>
        </w:tc>
      </w:tr>
      <w:tr w14:paraId="5D7BC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35F50897">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6</w:t>
            </w:r>
          </w:p>
        </w:tc>
        <w:tc>
          <w:tcPr>
            <w:tcW w:w="1347" w:type="pct"/>
            <w:tcMar>
              <w:top w:w="15" w:type="dxa"/>
              <w:left w:w="15" w:type="dxa"/>
              <w:bottom w:w="15" w:type="dxa"/>
              <w:right w:w="15" w:type="dxa"/>
            </w:tcMar>
            <w:vAlign w:val="center"/>
          </w:tcPr>
          <w:p w14:paraId="145758A8">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东港区第一幼儿园</w:t>
            </w:r>
          </w:p>
        </w:tc>
        <w:tc>
          <w:tcPr>
            <w:tcW w:w="585" w:type="pct"/>
            <w:vAlign w:val="center"/>
          </w:tcPr>
          <w:p w14:paraId="75F0E9AA">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-661</w:t>
            </w:r>
          </w:p>
        </w:tc>
        <w:tc>
          <w:tcPr>
            <w:tcW w:w="585" w:type="pct"/>
            <w:vAlign w:val="center"/>
          </w:tcPr>
          <w:p w14:paraId="36410749">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2701</w:t>
            </w:r>
          </w:p>
        </w:tc>
        <w:tc>
          <w:tcPr>
            <w:tcW w:w="585" w:type="pct"/>
            <w:vAlign w:val="center"/>
          </w:tcPr>
          <w:p w14:paraId="77C13DFA">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826" w:type="pct"/>
            <w:vAlign w:val="center"/>
          </w:tcPr>
          <w:p w14:paraId="4B73A47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1110</w:t>
            </w:r>
          </w:p>
        </w:tc>
        <w:tc>
          <w:tcPr>
            <w:tcW w:w="754" w:type="pct"/>
            <w:vMerge w:val="continue"/>
            <w:vAlign w:val="center"/>
          </w:tcPr>
          <w:p w14:paraId="2E78705F">
            <w:pPr>
              <w:adjustRightInd w:val="0"/>
              <w:snapToGrid w:val="0"/>
              <w:jc w:val="center"/>
              <w:rPr>
                <w:rFonts w:ascii="Arial" w:hAnsi="Arial" w:eastAsia="宋体" w:cs="Arial"/>
                <w:sz w:val="21"/>
                <w:szCs w:val="21"/>
                <w:u w:val="single"/>
              </w:rPr>
            </w:pPr>
          </w:p>
        </w:tc>
      </w:tr>
      <w:tr w14:paraId="2E12B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70895B7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7</w:t>
            </w:r>
          </w:p>
        </w:tc>
        <w:tc>
          <w:tcPr>
            <w:tcW w:w="1347" w:type="pct"/>
            <w:tcMar>
              <w:top w:w="15" w:type="dxa"/>
              <w:left w:w="15" w:type="dxa"/>
              <w:bottom w:w="15" w:type="dxa"/>
              <w:right w:w="15" w:type="dxa"/>
            </w:tcMar>
            <w:vAlign w:val="center"/>
          </w:tcPr>
          <w:p w14:paraId="6086A0C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硫磺山村</w:t>
            </w:r>
          </w:p>
        </w:tc>
        <w:tc>
          <w:tcPr>
            <w:tcW w:w="585" w:type="pct"/>
            <w:vAlign w:val="center"/>
          </w:tcPr>
          <w:p w14:paraId="27D29CC7">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1658</w:t>
            </w:r>
          </w:p>
        </w:tc>
        <w:tc>
          <w:tcPr>
            <w:tcW w:w="585" w:type="pct"/>
            <w:vAlign w:val="center"/>
          </w:tcPr>
          <w:p w14:paraId="55D557C2">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345</w:t>
            </w:r>
          </w:p>
        </w:tc>
        <w:tc>
          <w:tcPr>
            <w:tcW w:w="585" w:type="pct"/>
            <w:vAlign w:val="center"/>
          </w:tcPr>
          <w:p w14:paraId="749482AB">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826" w:type="pct"/>
            <w:vAlign w:val="center"/>
          </w:tcPr>
          <w:p w14:paraId="0065C81F">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1205</w:t>
            </w:r>
          </w:p>
        </w:tc>
        <w:tc>
          <w:tcPr>
            <w:tcW w:w="754" w:type="pct"/>
            <w:vMerge w:val="continue"/>
            <w:vAlign w:val="center"/>
          </w:tcPr>
          <w:p w14:paraId="5BBAF340">
            <w:pPr>
              <w:adjustRightInd w:val="0"/>
              <w:snapToGrid w:val="0"/>
              <w:jc w:val="center"/>
              <w:rPr>
                <w:rFonts w:ascii="Arial" w:hAnsi="Arial" w:eastAsia="宋体" w:cs="Arial"/>
                <w:sz w:val="21"/>
                <w:szCs w:val="21"/>
                <w:u w:val="single"/>
              </w:rPr>
            </w:pPr>
          </w:p>
        </w:tc>
      </w:tr>
      <w:tr w14:paraId="47913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1FB4445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8</w:t>
            </w:r>
          </w:p>
        </w:tc>
        <w:tc>
          <w:tcPr>
            <w:tcW w:w="1347" w:type="pct"/>
            <w:tcMar>
              <w:top w:w="15" w:type="dxa"/>
              <w:left w:w="15" w:type="dxa"/>
              <w:bottom w:w="15" w:type="dxa"/>
              <w:right w:w="15" w:type="dxa"/>
            </w:tcMar>
            <w:vAlign w:val="center"/>
          </w:tcPr>
          <w:p w14:paraId="61AE69F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鲎泊潭村</w:t>
            </w:r>
          </w:p>
        </w:tc>
        <w:tc>
          <w:tcPr>
            <w:tcW w:w="585" w:type="pct"/>
            <w:vAlign w:val="center"/>
          </w:tcPr>
          <w:p w14:paraId="7B23F095">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462</w:t>
            </w:r>
          </w:p>
        </w:tc>
        <w:tc>
          <w:tcPr>
            <w:tcW w:w="585" w:type="pct"/>
            <w:vAlign w:val="center"/>
          </w:tcPr>
          <w:p w14:paraId="2CD18BC0">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2584</w:t>
            </w:r>
          </w:p>
        </w:tc>
        <w:tc>
          <w:tcPr>
            <w:tcW w:w="585" w:type="pct"/>
            <w:vAlign w:val="center"/>
          </w:tcPr>
          <w:p w14:paraId="7DEB15E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北</w:t>
            </w:r>
          </w:p>
        </w:tc>
        <w:tc>
          <w:tcPr>
            <w:tcW w:w="826" w:type="pct"/>
            <w:vAlign w:val="center"/>
          </w:tcPr>
          <w:p w14:paraId="3EB3E788">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1280</w:t>
            </w:r>
          </w:p>
        </w:tc>
        <w:tc>
          <w:tcPr>
            <w:tcW w:w="754" w:type="pct"/>
            <w:vMerge w:val="continue"/>
            <w:vAlign w:val="center"/>
          </w:tcPr>
          <w:p w14:paraId="16C61145">
            <w:pPr>
              <w:adjustRightInd w:val="0"/>
              <w:snapToGrid w:val="0"/>
              <w:jc w:val="center"/>
              <w:rPr>
                <w:rFonts w:ascii="Arial" w:hAnsi="Arial" w:eastAsia="宋体" w:cs="Arial"/>
                <w:sz w:val="21"/>
                <w:szCs w:val="21"/>
                <w:u w:val="single"/>
              </w:rPr>
            </w:pPr>
          </w:p>
        </w:tc>
      </w:tr>
      <w:tr w14:paraId="04D7E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28A245F4">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9</w:t>
            </w:r>
          </w:p>
        </w:tc>
        <w:tc>
          <w:tcPr>
            <w:tcW w:w="1347" w:type="pct"/>
            <w:tcMar>
              <w:top w:w="15" w:type="dxa"/>
              <w:left w:w="15" w:type="dxa"/>
              <w:bottom w:w="15" w:type="dxa"/>
              <w:right w:w="15" w:type="dxa"/>
            </w:tcMar>
            <w:vAlign w:val="center"/>
          </w:tcPr>
          <w:p w14:paraId="74627A0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港区中学</w:t>
            </w:r>
          </w:p>
        </w:tc>
        <w:tc>
          <w:tcPr>
            <w:tcW w:w="585" w:type="pct"/>
            <w:vAlign w:val="center"/>
          </w:tcPr>
          <w:p w14:paraId="00F151D1">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-1060</w:t>
            </w:r>
          </w:p>
        </w:tc>
        <w:tc>
          <w:tcPr>
            <w:tcW w:w="585" w:type="pct"/>
            <w:vAlign w:val="center"/>
          </w:tcPr>
          <w:p w14:paraId="44DC739A">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2609</w:t>
            </w:r>
          </w:p>
        </w:tc>
        <w:tc>
          <w:tcPr>
            <w:tcW w:w="585" w:type="pct"/>
            <w:vAlign w:val="center"/>
          </w:tcPr>
          <w:p w14:paraId="584BA90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826" w:type="pct"/>
            <w:vAlign w:val="center"/>
          </w:tcPr>
          <w:p w14:paraId="69A0147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1425</w:t>
            </w:r>
          </w:p>
        </w:tc>
        <w:tc>
          <w:tcPr>
            <w:tcW w:w="754" w:type="pct"/>
            <w:vMerge w:val="continue"/>
            <w:vAlign w:val="center"/>
          </w:tcPr>
          <w:p w14:paraId="3D3DBF12">
            <w:pPr>
              <w:adjustRightInd w:val="0"/>
              <w:snapToGrid w:val="0"/>
              <w:jc w:val="center"/>
              <w:rPr>
                <w:rFonts w:ascii="Arial" w:hAnsi="Arial" w:eastAsia="宋体" w:cs="Arial"/>
                <w:sz w:val="21"/>
                <w:szCs w:val="21"/>
                <w:u w:val="single"/>
              </w:rPr>
            </w:pPr>
          </w:p>
        </w:tc>
      </w:tr>
      <w:tr w14:paraId="69202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69779FE2">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10</w:t>
            </w:r>
          </w:p>
        </w:tc>
        <w:tc>
          <w:tcPr>
            <w:tcW w:w="1347" w:type="pct"/>
            <w:tcMar>
              <w:top w:w="15" w:type="dxa"/>
              <w:left w:w="15" w:type="dxa"/>
              <w:bottom w:w="15" w:type="dxa"/>
              <w:right w:w="15" w:type="dxa"/>
            </w:tcMar>
            <w:vAlign w:val="center"/>
          </w:tcPr>
          <w:p w14:paraId="2D3D9E3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新农村</w:t>
            </w:r>
          </w:p>
        </w:tc>
        <w:tc>
          <w:tcPr>
            <w:tcW w:w="585" w:type="pct"/>
            <w:vAlign w:val="center"/>
          </w:tcPr>
          <w:p w14:paraId="2FEC2450">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1840</w:t>
            </w:r>
          </w:p>
        </w:tc>
        <w:tc>
          <w:tcPr>
            <w:tcW w:w="585" w:type="pct"/>
            <w:vAlign w:val="center"/>
          </w:tcPr>
          <w:p w14:paraId="1139D39A">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309</w:t>
            </w:r>
          </w:p>
        </w:tc>
        <w:tc>
          <w:tcPr>
            <w:tcW w:w="585" w:type="pct"/>
            <w:vAlign w:val="center"/>
          </w:tcPr>
          <w:p w14:paraId="727779CF">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826" w:type="pct"/>
            <w:vAlign w:val="center"/>
          </w:tcPr>
          <w:p w14:paraId="6C88E33F">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1440</w:t>
            </w:r>
          </w:p>
        </w:tc>
        <w:tc>
          <w:tcPr>
            <w:tcW w:w="754" w:type="pct"/>
            <w:vMerge w:val="continue"/>
            <w:vAlign w:val="center"/>
          </w:tcPr>
          <w:p w14:paraId="5A82DB33">
            <w:pPr>
              <w:adjustRightInd w:val="0"/>
              <w:snapToGrid w:val="0"/>
              <w:jc w:val="center"/>
              <w:rPr>
                <w:rFonts w:ascii="Arial" w:hAnsi="Arial" w:eastAsia="宋体" w:cs="Arial"/>
                <w:sz w:val="21"/>
                <w:szCs w:val="21"/>
                <w:u w:val="single"/>
              </w:rPr>
            </w:pPr>
          </w:p>
        </w:tc>
      </w:tr>
      <w:tr w14:paraId="47102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10D27C9D">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11</w:t>
            </w:r>
          </w:p>
        </w:tc>
        <w:tc>
          <w:tcPr>
            <w:tcW w:w="1347" w:type="pct"/>
            <w:tcMar>
              <w:top w:w="15" w:type="dxa"/>
              <w:left w:w="15" w:type="dxa"/>
              <w:bottom w:w="15" w:type="dxa"/>
              <w:right w:w="15" w:type="dxa"/>
            </w:tcMar>
            <w:vAlign w:val="center"/>
          </w:tcPr>
          <w:p w14:paraId="76034310">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老鸭坑村</w:t>
            </w:r>
          </w:p>
        </w:tc>
        <w:tc>
          <w:tcPr>
            <w:tcW w:w="585" w:type="pct"/>
            <w:vAlign w:val="center"/>
          </w:tcPr>
          <w:p w14:paraId="7630A735">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1088</w:t>
            </w:r>
          </w:p>
        </w:tc>
        <w:tc>
          <w:tcPr>
            <w:tcW w:w="585" w:type="pct"/>
            <w:vAlign w:val="center"/>
          </w:tcPr>
          <w:p w14:paraId="438B99C2">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2894</w:t>
            </w:r>
          </w:p>
        </w:tc>
        <w:tc>
          <w:tcPr>
            <w:tcW w:w="585" w:type="pct"/>
            <w:vAlign w:val="center"/>
          </w:tcPr>
          <w:p w14:paraId="5D968AE8">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东北</w:t>
            </w:r>
          </w:p>
        </w:tc>
        <w:tc>
          <w:tcPr>
            <w:tcW w:w="826" w:type="pct"/>
            <w:vAlign w:val="center"/>
          </w:tcPr>
          <w:p w14:paraId="735BC18B">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1475</w:t>
            </w:r>
          </w:p>
        </w:tc>
        <w:tc>
          <w:tcPr>
            <w:tcW w:w="754" w:type="pct"/>
            <w:vMerge w:val="continue"/>
            <w:vAlign w:val="center"/>
          </w:tcPr>
          <w:p w14:paraId="221CD47B">
            <w:pPr>
              <w:adjustRightInd w:val="0"/>
              <w:snapToGrid w:val="0"/>
              <w:jc w:val="center"/>
              <w:rPr>
                <w:rFonts w:ascii="Arial" w:hAnsi="Arial" w:eastAsia="宋体" w:cs="Arial"/>
                <w:sz w:val="21"/>
                <w:szCs w:val="21"/>
                <w:u w:val="single"/>
              </w:rPr>
            </w:pPr>
          </w:p>
        </w:tc>
      </w:tr>
      <w:tr w14:paraId="01371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514A07E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12</w:t>
            </w:r>
          </w:p>
        </w:tc>
        <w:tc>
          <w:tcPr>
            <w:tcW w:w="1347" w:type="pct"/>
            <w:tcMar>
              <w:top w:w="15" w:type="dxa"/>
              <w:left w:w="15" w:type="dxa"/>
              <w:bottom w:w="15" w:type="dxa"/>
              <w:right w:w="15" w:type="dxa"/>
            </w:tcMar>
            <w:vAlign w:val="center"/>
          </w:tcPr>
          <w:p w14:paraId="201F06E9">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钦州港经开区第七小学</w:t>
            </w:r>
          </w:p>
        </w:tc>
        <w:tc>
          <w:tcPr>
            <w:tcW w:w="585" w:type="pct"/>
            <w:vAlign w:val="center"/>
          </w:tcPr>
          <w:p w14:paraId="6158DD21">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1951</w:t>
            </w:r>
          </w:p>
        </w:tc>
        <w:tc>
          <w:tcPr>
            <w:tcW w:w="585" w:type="pct"/>
            <w:vAlign w:val="center"/>
          </w:tcPr>
          <w:p w14:paraId="29281594">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314</w:t>
            </w:r>
          </w:p>
        </w:tc>
        <w:tc>
          <w:tcPr>
            <w:tcW w:w="585" w:type="pct"/>
            <w:vAlign w:val="center"/>
          </w:tcPr>
          <w:p w14:paraId="01D0996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826" w:type="pct"/>
            <w:vAlign w:val="center"/>
          </w:tcPr>
          <w:p w14:paraId="3A998E3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1620</w:t>
            </w:r>
          </w:p>
        </w:tc>
        <w:tc>
          <w:tcPr>
            <w:tcW w:w="754" w:type="pct"/>
            <w:vMerge w:val="continue"/>
            <w:vAlign w:val="center"/>
          </w:tcPr>
          <w:p w14:paraId="2FF265C6">
            <w:pPr>
              <w:adjustRightInd w:val="0"/>
              <w:snapToGrid w:val="0"/>
              <w:jc w:val="center"/>
              <w:rPr>
                <w:rFonts w:ascii="Arial" w:hAnsi="Arial" w:eastAsia="宋体" w:cs="Arial"/>
                <w:sz w:val="21"/>
                <w:szCs w:val="21"/>
                <w:u w:val="single"/>
              </w:rPr>
            </w:pPr>
          </w:p>
        </w:tc>
      </w:tr>
      <w:tr w14:paraId="0B393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3A4C02A2">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13</w:t>
            </w:r>
          </w:p>
        </w:tc>
        <w:tc>
          <w:tcPr>
            <w:tcW w:w="1347" w:type="pct"/>
            <w:tcMar>
              <w:top w:w="15" w:type="dxa"/>
              <w:left w:w="15" w:type="dxa"/>
              <w:bottom w:w="15" w:type="dxa"/>
              <w:right w:w="15" w:type="dxa"/>
            </w:tcMar>
            <w:vAlign w:val="center"/>
          </w:tcPr>
          <w:p w14:paraId="110DCEE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大坑村</w:t>
            </w:r>
          </w:p>
        </w:tc>
        <w:tc>
          <w:tcPr>
            <w:tcW w:w="585" w:type="pct"/>
            <w:vAlign w:val="center"/>
          </w:tcPr>
          <w:p w14:paraId="59C849BD">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2232</w:t>
            </w:r>
          </w:p>
        </w:tc>
        <w:tc>
          <w:tcPr>
            <w:tcW w:w="585" w:type="pct"/>
            <w:vAlign w:val="center"/>
          </w:tcPr>
          <w:p w14:paraId="73C1CA39">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300</w:t>
            </w:r>
          </w:p>
        </w:tc>
        <w:tc>
          <w:tcPr>
            <w:tcW w:w="585" w:type="pct"/>
            <w:vAlign w:val="center"/>
          </w:tcPr>
          <w:p w14:paraId="6C77E27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w:t>
            </w:r>
          </w:p>
        </w:tc>
        <w:tc>
          <w:tcPr>
            <w:tcW w:w="826" w:type="pct"/>
            <w:vAlign w:val="center"/>
          </w:tcPr>
          <w:p w14:paraId="4E38EA4B">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1755</w:t>
            </w:r>
          </w:p>
        </w:tc>
        <w:tc>
          <w:tcPr>
            <w:tcW w:w="754" w:type="pct"/>
            <w:vMerge w:val="continue"/>
            <w:vAlign w:val="center"/>
          </w:tcPr>
          <w:p w14:paraId="78811616">
            <w:pPr>
              <w:adjustRightInd w:val="0"/>
              <w:snapToGrid w:val="0"/>
              <w:jc w:val="center"/>
              <w:rPr>
                <w:rFonts w:ascii="Arial" w:hAnsi="Arial" w:eastAsia="宋体" w:cs="Arial"/>
                <w:sz w:val="21"/>
                <w:szCs w:val="21"/>
                <w:u w:val="single"/>
              </w:rPr>
            </w:pPr>
          </w:p>
        </w:tc>
      </w:tr>
      <w:tr w14:paraId="72460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2D1FF1A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14</w:t>
            </w:r>
          </w:p>
        </w:tc>
        <w:tc>
          <w:tcPr>
            <w:tcW w:w="1347" w:type="pct"/>
            <w:tcMar>
              <w:top w:w="15" w:type="dxa"/>
              <w:left w:w="15" w:type="dxa"/>
              <w:bottom w:w="15" w:type="dxa"/>
              <w:right w:w="15" w:type="dxa"/>
            </w:tcMar>
            <w:vAlign w:val="center"/>
          </w:tcPr>
          <w:p w14:paraId="3D8720A9">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黄竹根村</w:t>
            </w:r>
          </w:p>
        </w:tc>
        <w:tc>
          <w:tcPr>
            <w:tcW w:w="585" w:type="pct"/>
            <w:vAlign w:val="center"/>
          </w:tcPr>
          <w:p w14:paraId="03FCD0AF">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1403</w:t>
            </w:r>
          </w:p>
        </w:tc>
        <w:tc>
          <w:tcPr>
            <w:tcW w:w="585" w:type="pct"/>
            <w:vAlign w:val="center"/>
          </w:tcPr>
          <w:p w14:paraId="14DE8286">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3131</w:t>
            </w:r>
          </w:p>
        </w:tc>
        <w:tc>
          <w:tcPr>
            <w:tcW w:w="585" w:type="pct"/>
            <w:vAlign w:val="center"/>
          </w:tcPr>
          <w:p w14:paraId="374203F4">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东北</w:t>
            </w:r>
          </w:p>
        </w:tc>
        <w:tc>
          <w:tcPr>
            <w:tcW w:w="826" w:type="pct"/>
            <w:vAlign w:val="center"/>
          </w:tcPr>
          <w:p w14:paraId="7A9E8719">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1805</w:t>
            </w:r>
          </w:p>
        </w:tc>
        <w:tc>
          <w:tcPr>
            <w:tcW w:w="754" w:type="pct"/>
            <w:vMerge w:val="continue"/>
            <w:vAlign w:val="center"/>
          </w:tcPr>
          <w:p w14:paraId="2EB1B3A8">
            <w:pPr>
              <w:adjustRightInd w:val="0"/>
              <w:snapToGrid w:val="0"/>
              <w:jc w:val="center"/>
              <w:rPr>
                <w:rFonts w:ascii="Arial" w:hAnsi="Arial" w:eastAsia="宋体" w:cs="Arial"/>
                <w:sz w:val="21"/>
                <w:szCs w:val="21"/>
                <w:u w:val="single"/>
              </w:rPr>
            </w:pPr>
          </w:p>
        </w:tc>
      </w:tr>
      <w:tr w14:paraId="7EFE2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042D3A1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15</w:t>
            </w:r>
          </w:p>
        </w:tc>
        <w:tc>
          <w:tcPr>
            <w:tcW w:w="1347" w:type="pct"/>
            <w:tcMar>
              <w:top w:w="15" w:type="dxa"/>
              <w:left w:w="15" w:type="dxa"/>
              <w:bottom w:w="15" w:type="dxa"/>
              <w:right w:w="15" w:type="dxa"/>
            </w:tcMar>
            <w:vAlign w:val="center"/>
          </w:tcPr>
          <w:p w14:paraId="561A03A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龙狗坑村</w:t>
            </w:r>
          </w:p>
        </w:tc>
        <w:tc>
          <w:tcPr>
            <w:tcW w:w="585" w:type="pct"/>
            <w:vAlign w:val="center"/>
          </w:tcPr>
          <w:p w14:paraId="3F0C1210">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1696</w:t>
            </w:r>
          </w:p>
        </w:tc>
        <w:tc>
          <w:tcPr>
            <w:tcW w:w="585" w:type="pct"/>
            <w:vAlign w:val="center"/>
          </w:tcPr>
          <w:p w14:paraId="4D1DC036">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2536</w:t>
            </w:r>
          </w:p>
        </w:tc>
        <w:tc>
          <w:tcPr>
            <w:tcW w:w="585" w:type="pct"/>
            <w:vAlign w:val="center"/>
          </w:tcPr>
          <w:p w14:paraId="0963ADA3">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东北</w:t>
            </w:r>
          </w:p>
        </w:tc>
        <w:tc>
          <w:tcPr>
            <w:tcW w:w="826" w:type="pct"/>
            <w:vAlign w:val="center"/>
          </w:tcPr>
          <w:p w14:paraId="50090DC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1820</w:t>
            </w:r>
          </w:p>
        </w:tc>
        <w:tc>
          <w:tcPr>
            <w:tcW w:w="754" w:type="pct"/>
            <w:vMerge w:val="continue"/>
            <w:vAlign w:val="center"/>
          </w:tcPr>
          <w:p w14:paraId="06622A51">
            <w:pPr>
              <w:adjustRightInd w:val="0"/>
              <w:snapToGrid w:val="0"/>
              <w:jc w:val="center"/>
              <w:rPr>
                <w:rFonts w:ascii="Arial" w:hAnsi="Arial" w:eastAsia="宋体" w:cs="Arial"/>
                <w:sz w:val="21"/>
                <w:szCs w:val="21"/>
                <w:u w:val="single"/>
              </w:rPr>
            </w:pPr>
          </w:p>
        </w:tc>
      </w:tr>
      <w:tr w14:paraId="562CC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76335A6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16</w:t>
            </w:r>
          </w:p>
        </w:tc>
        <w:tc>
          <w:tcPr>
            <w:tcW w:w="1347" w:type="pct"/>
            <w:tcMar>
              <w:top w:w="15" w:type="dxa"/>
              <w:left w:w="15" w:type="dxa"/>
              <w:bottom w:w="15" w:type="dxa"/>
              <w:right w:w="15" w:type="dxa"/>
            </w:tcMar>
            <w:vAlign w:val="center"/>
          </w:tcPr>
          <w:p w14:paraId="2B1FD618">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淡水湾村</w:t>
            </w:r>
          </w:p>
        </w:tc>
        <w:tc>
          <w:tcPr>
            <w:tcW w:w="585" w:type="pct"/>
            <w:vAlign w:val="center"/>
          </w:tcPr>
          <w:p w14:paraId="7F6524DE">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-1860</w:t>
            </w:r>
          </w:p>
        </w:tc>
        <w:tc>
          <w:tcPr>
            <w:tcW w:w="585" w:type="pct"/>
            <w:vAlign w:val="center"/>
          </w:tcPr>
          <w:p w14:paraId="664443CB">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2464</w:t>
            </w:r>
          </w:p>
        </w:tc>
        <w:tc>
          <w:tcPr>
            <w:tcW w:w="585" w:type="pct"/>
            <w:vAlign w:val="center"/>
          </w:tcPr>
          <w:p w14:paraId="63E9B95B">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826" w:type="pct"/>
            <w:vAlign w:val="center"/>
          </w:tcPr>
          <w:p w14:paraId="1878C68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1860</w:t>
            </w:r>
          </w:p>
        </w:tc>
        <w:tc>
          <w:tcPr>
            <w:tcW w:w="754" w:type="pct"/>
            <w:vMerge w:val="continue"/>
            <w:vAlign w:val="center"/>
          </w:tcPr>
          <w:p w14:paraId="6C6412A9">
            <w:pPr>
              <w:adjustRightInd w:val="0"/>
              <w:snapToGrid w:val="0"/>
              <w:jc w:val="center"/>
              <w:rPr>
                <w:rFonts w:ascii="Arial" w:hAnsi="Arial" w:eastAsia="宋体" w:cs="Arial"/>
                <w:sz w:val="21"/>
                <w:szCs w:val="21"/>
                <w:u w:val="single"/>
              </w:rPr>
            </w:pPr>
          </w:p>
        </w:tc>
      </w:tr>
      <w:tr w14:paraId="1DBA3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0F108CDB">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17</w:t>
            </w:r>
          </w:p>
        </w:tc>
        <w:tc>
          <w:tcPr>
            <w:tcW w:w="1347" w:type="pct"/>
            <w:tcMar>
              <w:top w:w="15" w:type="dxa"/>
              <w:left w:w="15" w:type="dxa"/>
              <w:bottom w:w="15" w:type="dxa"/>
              <w:right w:w="15" w:type="dxa"/>
            </w:tcMar>
            <w:vAlign w:val="center"/>
          </w:tcPr>
          <w:p w14:paraId="08F86FF3">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管委会办公楼</w:t>
            </w:r>
          </w:p>
        </w:tc>
        <w:tc>
          <w:tcPr>
            <w:tcW w:w="585" w:type="pct"/>
            <w:vAlign w:val="center"/>
          </w:tcPr>
          <w:p w14:paraId="3DEB6E35">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-2188</w:t>
            </w:r>
          </w:p>
        </w:tc>
        <w:tc>
          <w:tcPr>
            <w:tcW w:w="585" w:type="pct"/>
            <w:vAlign w:val="center"/>
          </w:tcPr>
          <w:p w14:paraId="0BEFB230">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-966</w:t>
            </w:r>
          </w:p>
        </w:tc>
        <w:tc>
          <w:tcPr>
            <w:tcW w:w="585" w:type="pct"/>
            <w:vAlign w:val="center"/>
          </w:tcPr>
          <w:p w14:paraId="0593812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西南</w:t>
            </w:r>
          </w:p>
        </w:tc>
        <w:tc>
          <w:tcPr>
            <w:tcW w:w="826" w:type="pct"/>
            <w:vAlign w:val="center"/>
          </w:tcPr>
          <w:p w14:paraId="06CD907B">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1995</w:t>
            </w:r>
          </w:p>
        </w:tc>
        <w:tc>
          <w:tcPr>
            <w:tcW w:w="754" w:type="pct"/>
            <w:vMerge w:val="continue"/>
            <w:vAlign w:val="center"/>
          </w:tcPr>
          <w:p w14:paraId="172C68B9">
            <w:pPr>
              <w:adjustRightInd w:val="0"/>
              <w:snapToGrid w:val="0"/>
              <w:jc w:val="center"/>
              <w:rPr>
                <w:rFonts w:ascii="Arial" w:hAnsi="Arial" w:eastAsia="宋体" w:cs="Arial"/>
                <w:sz w:val="21"/>
                <w:szCs w:val="21"/>
                <w:u w:val="single"/>
              </w:rPr>
            </w:pPr>
          </w:p>
        </w:tc>
      </w:tr>
      <w:tr w14:paraId="63F48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0AF155D8">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18</w:t>
            </w:r>
          </w:p>
        </w:tc>
        <w:tc>
          <w:tcPr>
            <w:tcW w:w="1347" w:type="pct"/>
            <w:tcMar>
              <w:top w:w="15" w:type="dxa"/>
              <w:left w:w="15" w:type="dxa"/>
              <w:bottom w:w="15" w:type="dxa"/>
              <w:right w:w="15" w:type="dxa"/>
            </w:tcMar>
            <w:vAlign w:val="center"/>
          </w:tcPr>
          <w:p w14:paraId="677704DA">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海关办公楼</w:t>
            </w:r>
          </w:p>
        </w:tc>
        <w:tc>
          <w:tcPr>
            <w:tcW w:w="585" w:type="pct"/>
            <w:vAlign w:val="center"/>
          </w:tcPr>
          <w:p w14:paraId="5C0200AD">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-1959</w:t>
            </w:r>
          </w:p>
        </w:tc>
        <w:tc>
          <w:tcPr>
            <w:tcW w:w="585" w:type="pct"/>
            <w:vAlign w:val="center"/>
          </w:tcPr>
          <w:p w14:paraId="53E0D2C0">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3395</w:t>
            </w:r>
          </w:p>
        </w:tc>
        <w:tc>
          <w:tcPr>
            <w:tcW w:w="585" w:type="pct"/>
            <w:vAlign w:val="center"/>
          </w:tcPr>
          <w:p w14:paraId="7301EAC9">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826" w:type="pct"/>
            <w:vAlign w:val="center"/>
          </w:tcPr>
          <w:p w14:paraId="2B99157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2385</w:t>
            </w:r>
          </w:p>
        </w:tc>
        <w:tc>
          <w:tcPr>
            <w:tcW w:w="754" w:type="pct"/>
            <w:vMerge w:val="continue"/>
            <w:vAlign w:val="center"/>
          </w:tcPr>
          <w:p w14:paraId="2AD90DD6">
            <w:pPr>
              <w:adjustRightInd w:val="0"/>
              <w:snapToGrid w:val="0"/>
              <w:jc w:val="center"/>
              <w:rPr>
                <w:rFonts w:ascii="Arial" w:hAnsi="Arial" w:eastAsia="宋体" w:cs="Arial"/>
                <w:sz w:val="21"/>
                <w:szCs w:val="21"/>
                <w:u w:val="single"/>
              </w:rPr>
            </w:pPr>
          </w:p>
        </w:tc>
      </w:tr>
      <w:tr w14:paraId="4F0D0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36DA0DA9">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19</w:t>
            </w:r>
          </w:p>
        </w:tc>
        <w:tc>
          <w:tcPr>
            <w:tcW w:w="1347" w:type="pct"/>
            <w:tcMar>
              <w:top w:w="15" w:type="dxa"/>
              <w:left w:w="15" w:type="dxa"/>
              <w:bottom w:w="15" w:type="dxa"/>
              <w:right w:w="15" w:type="dxa"/>
            </w:tcMar>
            <w:vAlign w:val="center"/>
          </w:tcPr>
          <w:p w14:paraId="664AE8B4">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港区政务中心</w:t>
            </w:r>
          </w:p>
        </w:tc>
        <w:tc>
          <w:tcPr>
            <w:tcW w:w="585" w:type="pct"/>
            <w:vAlign w:val="center"/>
          </w:tcPr>
          <w:p w14:paraId="62CE3933">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-1685</w:t>
            </w:r>
          </w:p>
        </w:tc>
        <w:tc>
          <w:tcPr>
            <w:tcW w:w="585" w:type="pct"/>
            <w:vAlign w:val="center"/>
          </w:tcPr>
          <w:p w14:paraId="1C754461">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3597</w:t>
            </w:r>
          </w:p>
        </w:tc>
        <w:tc>
          <w:tcPr>
            <w:tcW w:w="585" w:type="pct"/>
            <w:vAlign w:val="center"/>
          </w:tcPr>
          <w:p w14:paraId="59CCF17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西北</w:t>
            </w:r>
          </w:p>
        </w:tc>
        <w:tc>
          <w:tcPr>
            <w:tcW w:w="826" w:type="pct"/>
            <w:vAlign w:val="center"/>
          </w:tcPr>
          <w:p w14:paraId="26582CD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2400</w:t>
            </w:r>
          </w:p>
        </w:tc>
        <w:tc>
          <w:tcPr>
            <w:tcW w:w="754" w:type="pct"/>
            <w:vMerge w:val="continue"/>
            <w:vAlign w:val="center"/>
          </w:tcPr>
          <w:p w14:paraId="1FBDCA77">
            <w:pPr>
              <w:adjustRightInd w:val="0"/>
              <w:snapToGrid w:val="0"/>
              <w:jc w:val="center"/>
              <w:rPr>
                <w:rFonts w:ascii="Arial" w:hAnsi="Arial" w:eastAsia="宋体" w:cs="Arial"/>
                <w:sz w:val="21"/>
                <w:szCs w:val="21"/>
                <w:u w:val="single"/>
              </w:rPr>
            </w:pPr>
          </w:p>
        </w:tc>
      </w:tr>
      <w:tr w14:paraId="4AD16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18" w:type="pct"/>
            <w:vAlign w:val="center"/>
          </w:tcPr>
          <w:p w14:paraId="4226DECA">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20</w:t>
            </w:r>
          </w:p>
        </w:tc>
        <w:tc>
          <w:tcPr>
            <w:tcW w:w="1347" w:type="pct"/>
            <w:tcMar>
              <w:top w:w="15" w:type="dxa"/>
              <w:left w:w="15" w:type="dxa"/>
              <w:bottom w:w="15" w:type="dxa"/>
              <w:right w:w="15" w:type="dxa"/>
            </w:tcMar>
            <w:vAlign w:val="center"/>
          </w:tcPr>
          <w:p w14:paraId="683DCF7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新联村</w:t>
            </w:r>
          </w:p>
        </w:tc>
        <w:tc>
          <w:tcPr>
            <w:tcW w:w="585" w:type="pct"/>
            <w:vAlign w:val="center"/>
          </w:tcPr>
          <w:p w14:paraId="264DBBAA">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2354</w:t>
            </w:r>
          </w:p>
        </w:tc>
        <w:tc>
          <w:tcPr>
            <w:tcW w:w="585" w:type="pct"/>
            <w:vAlign w:val="center"/>
          </w:tcPr>
          <w:p w14:paraId="0F2526A7">
            <w:pPr>
              <w:adjustRightInd w:val="0"/>
              <w:snapToGrid w:val="0"/>
              <w:jc w:val="center"/>
              <w:rPr>
                <w:rFonts w:ascii="Arial" w:hAnsi="Arial" w:eastAsia="等线" w:cs="Arial"/>
                <w:sz w:val="21"/>
                <w:szCs w:val="21"/>
                <w:u w:val="single"/>
              </w:rPr>
            </w:pPr>
            <w:r>
              <w:rPr>
                <w:rFonts w:ascii="Arial" w:hAnsi="Arial" w:eastAsia="等线" w:cs="Arial"/>
                <w:sz w:val="21"/>
                <w:szCs w:val="21"/>
                <w:u w:val="single"/>
              </w:rPr>
              <w:t>3874</w:t>
            </w:r>
          </w:p>
        </w:tc>
        <w:tc>
          <w:tcPr>
            <w:tcW w:w="585" w:type="pct"/>
            <w:vAlign w:val="center"/>
          </w:tcPr>
          <w:p w14:paraId="1F48897F">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东北</w:t>
            </w:r>
          </w:p>
        </w:tc>
        <w:tc>
          <w:tcPr>
            <w:tcW w:w="826" w:type="pct"/>
            <w:vAlign w:val="center"/>
          </w:tcPr>
          <w:p w14:paraId="3CCF82C9">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2955</w:t>
            </w:r>
          </w:p>
        </w:tc>
        <w:tc>
          <w:tcPr>
            <w:tcW w:w="754" w:type="pct"/>
            <w:vMerge w:val="continue"/>
            <w:vAlign w:val="center"/>
          </w:tcPr>
          <w:p w14:paraId="7FD934F4">
            <w:pPr>
              <w:adjustRightInd w:val="0"/>
              <w:snapToGrid w:val="0"/>
              <w:jc w:val="center"/>
              <w:rPr>
                <w:rFonts w:ascii="Arial" w:hAnsi="Arial" w:eastAsia="宋体" w:cs="Arial"/>
                <w:sz w:val="21"/>
                <w:szCs w:val="21"/>
                <w:u w:val="single"/>
              </w:rPr>
            </w:pPr>
          </w:p>
        </w:tc>
      </w:tr>
    </w:tbl>
    <w:p w14:paraId="5FC17CB2">
      <w:pPr>
        <w:pStyle w:val="474"/>
        <w:numPr>
          <w:ilvl w:val="0"/>
          <w:numId w:val="21"/>
        </w:numPr>
        <w:spacing w:line="500" w:lineRule="exact"/>
        <w:ind w:firstLineChars="0"/>
        <w:outlineLvl w:val="3"/>
        <w:rPr>
          <w:rFonts w:ascii="Arial" w:hAnsi="Arial" w:cs="Arial"/>
          <w:b/>
        </w:rPr>
      </w:pPr>
      <w:r>
        <w:rPr>
          <w:rFonts w:ascii="Arial" w:hAnsi="Arial" w:cs="Arial"/>
          <w:b/>
        </w:rPr>
        <w:t>污染源调查清单</w:t>
      </w:r>
    </w:p>
    <w:p w14:paraId="1CD99F51">
      <w:pPr>
        <w:autoSpaceDE w:val="0"/>
        <w:autoSpaceDN w:val="0"/>
        <w:adjustRightInd w:val="0"/>
        <w:spacing w:line="500" w:lineRule="exact"/>
        <w:ind w:left="520"/>
        <w:textAlignment w:val="bottom"/>
        <w:rPr>
          <w:rFonts w:ascii="Arial" w:hAnsi="Arial" w:eastAsia="宋体" w:cs="Arial"/>
          <w:spacing w:val="10"/>
          <w:sz w:val="24"/>
          <w:szCs w:val="24"/>
        </w:rPr>
      </w:pPr>
      <w:r>
        <w:rPr>
          <w:rFonts w:ascii="Arial" w:hAnsi="Arial" w:eastAsia="宋体" w:cs="Arial"/>
          <w:spacing w:val="10"/>
          <w:sz w:val="24"/>
          <w:szCs w:val="24"/>
        </w:rPr>
        <w:t>1、变更工程污染源清单</w:t>
      </w:r>
    </w:p>
    <w:p w14:paraId="63C1BA6B">
      <w:pPr>
        <w:autoSpaceDE w:val="0"/>
        <w:autoSpaceDN w:val="0"/>
        <w:adjustRightInd w:val="0"/>
        <w:spacing w:line="500" w:lineRule="exact"/>
        <w:ind w:left="520"/>
        <w:textAlignment w:val="bottom"/>
        <w:rPr>
          <w:rFonts w:ascii="Arial" w:hAnsi="Arial" w:eastAsia="宋体" w:cs="Arial"/>
          <w:spacing w:val="10"/>
          <w:sz w:val="24"/>
          <w:szCs w:val="24"/>
        </w:rPr>
      </w:pPr>
      <w:r>
        <w:rPr>
          <w:rFonts w:ascii="Arial" w:hAnsi="Arial" w:eastAsia="宋体" w:cs="Arial"/>
          <w:spacing w:val="10"/>
          <w:sz w:val="24"/>
          <w:szCs w:val="24"/>
        </w:rPr>
        <w:t>变更工程污染源清单见表4-8、表4-9。</w:t>
      </w:r>
    </w:p>
    <w:p w14:paraId="1A198C77">
      <w:pPr>
        <w:autoSpaceDE w:val="0"/>
        <w:autoSpaceDN w:val="0"/>
        <w:adjustRightInd w:val="0"/>
        <w:spacing w:line="500" w:lineRule="exact"/>
        <w:ind w:firstLine="490" w:firstLineChars="200"/>
        <w:textAlignment w:val="bottom"/>
        <w:rPr>
          <w:rFonts w:ascii="Arial" w:hAnsi="Arial" w:eastAsia="宋体" w:cs="Arial"/>
          <w:spacing w:val="10"/>
          <w:sz w:val="24"/>
        </w:rPr>
      </w:pPr>
      <w:r>
        <w:rPr>
          <w:rFonts w:ascii="Arial" w:hAnsi="Arial" w:eastAsia="宋体" w:cs="Arial"/>
          <w:spacing w:val="10"/>
          <w:sz w:val="24"/>
        </w:rPr>
        <w:t>2、拟建、在建项目污染源清单</w:t>
      </w:r>
    </w:p>
    <w:p w14:paraId="612E72CB">
      <w:pPr>
        <w:autoSpaceDE w:val="0"/>
        <w:autoSpaceDN w:val="0"/>
        <w:adjustRightInd w:val="0"/>
        <w:spacing w:line="500" w:lineRule="exact"/>
        <w:ind w:firstLine="490" w:firstLineChars="200"/>
        <w:textAlignment w:val="bottom"/>
        <w:rPr>
          <w:rFonts w:ascii="Arial" w:hAnsi="Arial" w:eastAsia="宋体" w:cs="Arial"/>
          <w:spacing w:val="10"/>
          <w:sz w:val="24"/>
          <w:szCs w:val="24"/>
          <w:u w:val="single"/>
        </w:rPr>
      </w:pPr>
      <w:r>
        <w:rPr>
          <w:rFonts w:ascii="Arial" w:hAnsi="Arial" w:eastAsia="宋体" w:cs="Arial"/>
          <w:spacing w:val="10"/>
          <w:sz w:val="24"/>
          <w:szCs w:val="24"/>
          <w:u w:val="single"/>
        </w:rPr>
        <w:t>由于本次预测采用2022年常规地面气象观测资料和常规高空气象探测资料，预测叠加的常规监测因子（PM</w:t>
      </w:r>
      <w:r>
        <w:rPr>
          <w:rFonts w:ascii="Arial" w:hAnsi="Arial" w:eastAsia="宋体" w:cs="Arial"/>
          <w:spacing w:val="10"/>
          <w:sz w:val="24"/>
          <w:szCs w:val="24"/>
          <w:u w:val="single"/>
          <w:vertAlign w:val="subscript"/>
        </w:rPr>
        <w:t>10</w:t>
      </w:r>
      <w:r>
        <w:rPr>
          <w:rFonts w:ascii="Arial" w:hAnsi="Arial" w:eastAsia="宋体" w:cs="Arial"/>
          <w:spacing w:val="10"/>
          <w:sz w:val="24"/>
          <w:szCs w:val="24"/>
          <w:u w:val="single"/>
        </w:rPr>
        <w:t>）本底数据为2022年；叠加的特征污染物中</w:t>
      </w:r>
      <w:r>
        <w:rPr>
          <w:rFonts w:hint="eastAsia" w:ascii="Arial" w:hAnsi="Arial" w:eastAsia="宋体" w:cs="Arial"/>
          <w:spacing w:val="10"/>
          <w:sz w:val="24"/>
          <w:szCs w:val="24"/>
          <w:u w:val="single"/>
        </w:rPr>
        <w:t>氨气</w:t>
      </w:r>
      <w:r>
        <w:rPr>
          <w:rFonts w:ascii="Arial" w:hAnsi="Arial" w:eastAsia="宋体" w:cs="Arial"/>
          <w:spacing w:val="10"/>
          <w:sz w:val="24"/>
          <w:szCs w:val="24"/>
          <w:u w:val="single"/>
        </w:rPr>
        <w:t>本底值监测时间为2022年2月16日~22日。评价范围内已批未建项目为广西中伟新能源项目一期一阶段、二阶段（三元前驱体生产线及其他配套设施）、三阶段、G-6#-1A燃气锅炉房、氢氧化钴处置线技改项目、一体化项目变更和广西金桂浆纸业有限公司年产75万吨化机浆扩建项目、广西格派电池新材料有限公司格派新能源电池材料一体化项目（一期）、</w:t>
      </w:r>
      <w:r>
        <w:rPr>
          <w:rFonts w:hint="eastAsia" w:ascii="Arial" w:hAnsi="Arial" w:eastAsia="宋体" w:cs="Arial"/>
          <w:spacing w:val="10"/>
          <w:sz w:val="24"/>
          <w:szCs w:val="24"/>
          <w:u w:val="single"/>
        </w:rPr>
        <w:t>广西自贸区元禾新材料有限公司年产10万吨玻璃基板原材料碳酸镁项目</w:t>
      </w:r>
      <w:r>
        <w:rPr>
          <w:rFonts w:ascii="Arial" w:hAnsi="Arial" w:eastAsia="宋体" w:cs="Arial"/>
          <w:spacing w:val="10"/>
          <w:sz w:val="24"/>
          <w:szCs w:val="24"/>
          <w:u w:val="single"/>
        </w:rPr>
        <w:t>。根据其环评报告报批稿，上述项目排放的废气污染源与本项目相关的污染源排气筒参数见表4-10、表4-11。</w:t>
      </w:r>
    </w:p>
    <w:p w14:paraId="4DF6AD1D">
      <w:pPr>
        <w:autoSpaceDE w:val="0"/>
        <w:autoSpaceDN w:val="0"/>
        <w:adjustRightInd w:val="0"/>
        <w:spacing w:line="500" w:lineRule="exact"/>
        <w:ind w:firstLine="490" w:firstLineChars="200"/>
        <w:textAlignment w:val="bottom"/>
        <w:rPr>
          <w:rFonts w:ascii="Arial" w:hAnsi="Arial" w:eastAsia="宋体" w:cs="Arial"/>
          <w:spacing w:val="10"/>
          <w:sz w:val="24"/>
          <w:szCs w:val="24"/>
        </w:rPr>
      </w:pPr>
      <w:r>
        <w:rPr>
          <w:rFonts w:ascii="Arial" w:hAnsi="Arial" w:eastAsia="宋体" w:cs="Arial"/>
          <w:spacing w:val="10"/>
          <w:sz w:val="24"/>
          <w:szCs w:val="24"/>
        </w:rPr>
        <w:t>3、“以新带老”污染物</w:t>
      </w:r>
    </w:p>
    <w:p w14:paraId="0B5C036F">
      <w:pPr>
        <w:autoSpaceDE w:val="0"/>
        <w:autoSpaceDN w:val="0"/>
        <w:adjustRightInd w:val="0"/>
        <w:spacing w:line="500" w:lineRule="exact"/>
        <w:ind w:firstLine="490" w:firstLineChars="200"/>
        <w:textAlignment w:val="bottom"/>
        <w:rPr>
          <w:rFonts w:ascii="Arial" w:hAnsi="Arial" w:eastAsia="宋体" w:cs="Arial"/>
          <w:spacing w:val="10"/>
          <w:sz w:val="24"/>
          <w:szCs w:val="24"/>
        </w:rPr>
      </w:pPr>
      <w:r>
        <w:rPr>
          <w:rFonts w:ascii="Arial" w:hAnsi="Arial" w:eastAsia="宋体" w:cs="Arial"/>
          <w:spacing w:val="10"/>
          <w:sz w:val="24"/>
          <w:szCs w:val="24"/>
        </w:rPr>
        <w:t>评价范围内无区域削减污染源，本项目无“以新带老”削减量。</w:t>
      </w:r>
    </w:p>
    <w:p w14:paraId="63FC8141">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变更工程点源污参数表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2"/>
        <w:gridCol w:w="642"/>
        <w:gridCol w:w="642"/>
        <w:gridCol w:w="642"/>
        <w:gridCol w:w="631"/>
        <w:gridCol w:w="651"/>
        <w:gridCol w:w="642"/>
        <w:gridCol w:w="514"/>
        <w:gridCol w:w="642"/>
        <w:gridCol w:w="871"/>
        <w:gridCol w:w="797"/>
        <w:gridCol w:w="856"/>
        <w:gridCol w:w="851"/>
      </w:tblGrid>
      <w:tr w14:paraId="6E461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restart"/>
            <w:vAlign w:val="center"/>
          </w:tcPr>
          <w:p w14:paraId="68F782D6">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名称</w:t>
            </w:r>
          </w:p>
        </w:tc>
        <w:tc>
          <w:tcPr>
            <w:tcW w:w="714" w:type="pct"/>
            <w:gridSpan w:val="2"/>
            <w:vAlign w:val="center"/>
          </w:tcPr>
          <w:p w14:paraId="7A633EFB">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排气筒底</w:t>
            </w:r>
          </w:p>
          <w:p w14:paraId="4C740AF5">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部中心坐</w:t>
            </w:r>
          </w:p>
          <w:p w14:paraId="1AD548E0">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标/m</w:t>
            </w:r>
          </w:p>
        </w:tc>
        <w:tc>
          <w:tcPr>
            <w:tcW w:w="357" w:type="pct"/>
            <w:vMerge w:val="restart"/>
            <w:vAlign w:val="center"/>
          </w:tcPr>
          <w:p w14:paraId="0359741F">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排气</w:t>
            </w:r>
          </w:p>
          <w:p w14:paraId="19C88C53">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筒底</w:t>
            </w:r>
          </w:p>
          <w:p w14:paraId="3DBC156F">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部海</w:t>
            </w:r>
          </w:p>
          <w:p w14:paraId="738F0F86">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拔高</w:t>
            </w:r>
          </w:p>
          <w:p w14:paraId="52537D77">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度/m</w:t>
            </w:r>
          </w:p>
        </w:tc>
        <w:tc>
          <w:tcPr>
            <w:tcW w:w="351" w:type="pct"/>
            <w:vMerge w:val="restart"/>
            <w:vAlign w:val="center"/>
          </w:tcPr>
          <w:p w14:paraId="68012CBF">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排气</w:t>
            </w:r>
          </w:p>
          <w:p w14:paraId="101E9885">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筒高</w:t>
            </w:r>
          </w:p>
          <w:p w14:paraId="00CDE6D5">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度/m</w:t>
            </w:r>
          </w:p>
        </w:tc>
        <w:tc>
          <w:tcPr>
            <w:tcW w:w="362" w:type="pct"/>
            <w:vMerge w:val="restart"/>
            <w:vAlign w:val="center"/>
          </w:tcPr>
          <w:p w14:paraId="761D3BEA">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排气</w:t>
            </w:r>
          </w:p>
          <w:p w14:paraId="5A90653C">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筒出</w:t>
            </w:r>
          </w:p>
          <w:p w14:paraId="7088A375">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口内</w:t>
            </w:r>
          </w:p>
          <w:p w14:paraId="44F3B897">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径/m</w:t>
            </w:r>
          </w:p>
        </w:tc>
        <w:tc>
          <w:tcPr>
            <w:tcW w:w="357" w:type="pct"/>
            <w:vMerge w:val="restart"/>
            <w:vAlign w:val="center"/>
          </w:tcPr>
          <w:p w14:paraId="54FD40B6">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烟气量</w:t>
            </w:r>
          </w:p>
          <w:p w14:paraId="12A86761">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m</w:t>
            </w:r>
            <w:r>
              <w:rPr>
                <w:rFonts w:ascii="Arial" w:hAnsi="Arial" w:eastAsia="宋体" w:cs="Arial"/>
                <w:b/>
                <w:spacing w:val="10"/>
                <w:sz w:val="18"/>
                <w:szCs w:val="18"/>
                <w:vertAlign w:val="superscript"/>
              </w:rPr>
              <w:t>3</w:t>
            </w:r>
            <w:r>
              <w:rPr>
                <w:rFonts w:ascii="Arial" w:hAnsi="Arial" w:eastAsia="宋体" w:cs="Arial"/>
                <w:b/>
                <w:spacing w:val="10"/>
                <w:sz w:val="18"/>
                <w:szCs w:val="18"/>
              </w:rPr>
              <w:t>/h</w:t>
            </w:r>
          </w:p>
        </w:tc>
        <w:tc>
          <w:tcPr>
            <w:tcW w:w="286" w:type="pct"/>
            <w:vMerge w:val="restart"/>
            <w:vAlign w:val="center"/>
          </w:tcPr>
          <w:p w14:paraId="61929EDF">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烟气</w:t>
            </w:r>
          </w:p>
          <w:p w14:paraId="50E5B869">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温度</w:t>
            </w:r>
          </w:p>
          <w:p w14:paraId="17E08776">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w:t>
            </w:r>
            <w:r>
              <w:rPr>
                <w:rFonts w:hint="eastAsia" w:ascii="宋体" w:hAnsi="宋体" w:eastAsia="宋体" w:cs="宋体"/>
                <w:b/>
                <w:spacing w:val="10"/>
                <w:sz w:val="18"/>
                <w:szCs w:val="18"/>
              </w:rPr>
              <w:t>℃</w:t>
            </w:r>
          </w:p>
        </w:tc>
        <w:tc>
          <w:tcPr>
            <w:tcW w:w="357" w:type="pct"/>
            <w:vMerge w:val="restart"/>
            <w:vAlign w:val="center"/>
          </w:tcPr>
          <w:p w14:paraId="1BB98240">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年排</w:t>
            </w:r>
          </w:p>
          <w:p w14:paraId="36C6968F">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放小</w:t>
            </w:r>
          </w:p>
          <w:p w14:paraId="7B8AC676">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时数</w:t>
            </w:r>
          </w:p>
          <w:p w14:paraId="15EC86E5">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/h</w:t>
            </w:r>
          </w:p>
        </w:tc>
        <w:tc>
          <w:tcPr>
            <w:tcW w:w="484" w:type="pct"/>
            <w:vMerge w:val="restart"/>
            <w:vAlign w:val="center"/>
          </w:tcPr>
          <w:p w14:paraId="2DFFB391">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排放</w:t>
            </w:r>
          </w:p>
          <w:p w14:paraId="45989A3E">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工况</w:t>
            </w:r>
          </w:p>
        </w:tc>
        <w:tc>
          <w:tcPr>
            <w:tcW w:w="1393" w:type="pct"/>
            <w:gridSpan w:val="3"/>
            <w:vAlign w:val="center"/>
          </w:tcPr>
          <w:p w14:paraId="0A620AD4">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排放速率/（kg/h）</w:t>
            </w:r>
          </w:p>
        </w:tc>
      </w:tr>
      <w:tr w14:paraId="51E84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continue"/>
            <w:vAlign w:val="center"/>
          </w:tcPr>
          <w:p w14:paraId="116211BC">
            <w:pPr>
              <w:widowControl/>
              <w:adjustRightInd w:val="0"/>
              <w:snapToGrid w:val="0"/>
              <w:jc w:val="center"/>
              <w:rPr>
                <w:rFonts w:ascii="Arial" w:hAnsi="Arial" w:eastAsia="宋体" w:cs="Arial"/>
                <w:b/>
                <w:spacing w:val="10"/>
                <w:sz w:val="18"/>
                <w:szCs w:val="18"/>
              </w:rPr>
            </w:pPr>
          </w:p>
        </w:tc>
        <w:tc>
          <w:tcPr>
            <w:tcW w:w="357" w:type="pct"/>
            <w:vAlign w:val="center"/>
          </w:tcPr>
          <w:p w14:paraId="7A4F1443">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X</w:t>
            </w:r>
          </w:p>
        </w:tc>
        <w:tc>
          <w:tcPr>
            <w:tcW w:w="357" w:type="pct"/>
            <w:vAlign w:val="center"/>
          </w:tcPr>
          <w:p w14:paraId="46C94CAB">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Y</w:t>
            </w:r>
          </w:p>
        </w:tc>
        <w:tc>
          <w:tcPr>
            <w:tcW w:w="357" w:type="pct"/>
            <w:vMerge w:val="continue"/>
            <w:vAlign w:val="center"/>
          </w:tcPr>
          <w:p w14:paraId="338F1F8D">
            <w:pPr>
              <w:widowControl/>
              <w:adjustRightInd w:val="0"/>
              <w:snapToGrid w:val="0"/>
              <w:jc w:val="center"/>
              <w:rPr>
                <w:rFonts w:ascii="Arial" w:hAnsi="Arial" w:eastAsia="宋体" w:cs="Arial"/>
                <w:b/>
                <w:spacing w:val="10"/>
                <w:sz w:val="18"/>
                <w:szCs w:val="18"/>
              </w:rPr>
            </w:pPr>
          </w:p>
        </w:tc>
        <w:tc>
          <w:tcPr>
            <w:tcW w:w="351" w:type="pct"/>
            <w:vMerge w:val="continue"/>
            <w:vAlign w:val="center"/>
          </w:tcPr>
          <w:p w14:paraId="14BA3F7D">
            <w:pPr>
              <w:widowControl/>
              <w:adjustRightInd w:val="0"/>
              <w:snapToGrid w:val="0"/>
              <w:jc w:val="center"/>
              <w:rPr>
                <w:rFonts w:ascii="Arial" w:hAnsi="Arial" w:eastAsia="宋体" w:cs="Arial"/>
                <w:b/>
                <w:spacing w:val="10"/>
                <w:sz w:val="18"/>
                <w:szCs w:val="18"/>
              </w:rPr>
            </w:pPr>
          </w:p>
        </w:tc>
        <w:tc>
          <w:tcPr>
            <w:tcW w:w="362" w:type="pct"/>
            <w:vMerge w:val="continue"/>
            <w:vAlign w:val="center"/>
          </w:tcPr>
          <w:p w14:paraId="48225B07">
            <w:pPr>
              <w:widowControl/>
              <w:adjustRightInd w:val="0"/>
              <w:snapToGrid w:val="0"/>
              <w:jc w:val="center"/>
              <w:rPr>
                <w:rFonts w:ascii="Arial" w:hAnsi="Arial" w:eastAsia="宋体" w:cs="Arial"/>
                <w:b/>
                <w:spacing w:val="10"/>
                <w:sz w:val="18"/>
                <w:szCs w:val="18"/>
              </w:rPr>
            </w:pPr>
          </w:p>
        </w:tc>
        <w:tc>
          <w:tcPr>
            <w:tcW w:w="357" w:type="pct"/>
            <w:vMerge w:val="continue"/>
            <w:vAlign w:val="center"/>
          </w:tcPr>
          <w:p w14:paraId="690AF35B">
            <w:pPr>
              <w:widowControl/>
              <w:adjustRightInd w:val="0"/>
              <w:snapToGrid w:val="0"/>
              <w:jc w:val="center"/>
              <w:rPr>
                <w:rFonts w:ascii="Arial" w:hAnsi="Arial" w:eastAsia="宋体" w:cs="Arial"/>
                <w:b/>
                <w:spacing w:val="10"/>
                <w:sz w:val="18"/>
                <w:szCs w:val="18"/>
              </w:rPr>
            </w:pPr>
          </w:p>
        </w:tc>
        <w:tc>
          <w:tcPr>
            <w:tcW w:w="286" w:type="pct"/>
            <w:vMerge w:val="continue"/>
            <w:vAlign w:val="center"/>
          </w:tcPr>
          <w:p w14:paraId="6426E5C3">
            <w:pPr>
              <w:widowControl/>
              <w:adjustRightInd w:val="0"/>
              <w:snapToGrid w:val="0"/>
              <w:jc w:val="center"/>
              <w:rPr>
                <w:rFonts w:ascii="Arial" w:hAnsi="Arial" w:eastAsia="宋体" w:cs="Arial"/>
                <w:b/>
                <w:spacing w:val="10"/>
                <w:sz w:val="18"/>
                <w:szCs w:val="18"/>
              </w:rPr>
            </w:pPr>
          </w:p>
        </w:tc>
        <w:tc>
          <w:tcPr>
            <w:tcW w:w="357" w:type="pct"/>
            <w:vMerge w:val="continue"/>
            <w:vAlign w:val="center"/>
          </w:tcPr>
          <w:p w14:paraId="434965C5">
            <w:pPr>
              <w:widowControl/>
              <w:adjustRightInd w:val="0"/>
              <w:snapToGrid w:val="0"/>
              <w:jc w:val="center"/>
              <w:rPr>
                <w:rFonts w:ascii="Arial" w:hAnsi="Arial" w:eastAsia="宋体" w:cs="Arial"/>
                <w:b/>
                <w:spacing w:val="10"/>
                <w:sz w:val="18"/>
                <w:szCs w:val="18"/>
              </w:rPr>
            </w:pPr>
          </w:p>
        </w:tc>
        <w:tc>
          <w:tcPr>
            <w:tcW w:w="484" w:type="pct"/>
            <w:vMerge w:val="continue"/>
            <w:vAlign w:val="center"/>
          </w:tcPr>
          <w:p w14:paraId="71D22109">
            <w:pPr>
              <w:widowControl/>
              <w:adjustRightInd w:val="0"/>
              <w:snapToGrid w:val="0"/>
              <w:jc w:val="center"/>
              <w:rPr>
                <w:rFonts w:ascii="Arial" w:hAnsi="Arial" w:eastAsia="宋体" w:cs="Arial"/>
                <w:b/>
                <w:spacing w:val="10"/>
                <w:sz w:val="18"/>
                <w:szCs w:val="18"/>
              </w:rPr>
            </w:pPr>
          </w:p>
        </w:tc>
        <w:tc>
          <w:tcPr>
            <w:tcW w:w="443" w:type="pct"/>
            <w:vAlign w:val="center"/>
          </w:tcPr>
          <w:p w14:paraId="254A5ABF">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颗粒物</w:t>
            </w:r>
          </w:p>
        </w:tc>
        <w:tc>
          <w:tcPr>
            <w:tcW w:w="476" w:type="pct"/>
            <w:vAlign w:val="center"/>
          </w:tcPr>
          <w:p w14:paraId="30880A42">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钴</w:t>
            </w:r>
            <w:r>
              <w:rPr>
                <w:rFonts w:hint="eastAsia" w:ascii="Arial" w:hAnsi="Arial" w:eastAsia="宋体" w:cs="Arial"/>
                <w:b/>
                <w:spacing w:val="10"/>
                <w:sz w:val="18"/>
                <w:szCs w:val="18"/>
              </w:rPr>
              <w:t>及其化合物</w:t>
            </w:r>
          </w:p>
        </w:tc>
        <w:tc>
          <w:tcPr>
            <w:tcW w:w="474" w:type="pct"/>
            <w:vAlign w:val="center"/>
          </w:tcPr>
          <w:p w14:paraId="6DFE5AA5">
            <w:pPr>
              <w:autoSpaceDE w:val="0"/>
              <w:autoSpaceDN w:val="0"/>
              <w:adjustRightInd w:val="0"/>
              <w:snapToGrid w:val="0"/>
              <w:jc w:val="center"/>
              <w:textAlignment w:val="bottom"/>
              <w:rPr>
                <w:rFonts w:ascii="Arial" w:hAnsi="Arial" w:eastAsia="宋体" w:cs="Arial"/>
                <w:b/>
                <w:spacing w:val="10"/>
                <w:sz w:val="18"/>
                <w:szCs w:val="18"/>
              </w:rPr>
            </w:pPr>
            <w:r>
              <w:rPr>
                <w:rFonts w:ascii="Arial" w:hAnsi="Arial" w:eastAsia="宋体" w:cs="Arial"/>
                <w:b/>
                <w:spacing w:val="10"/>
                <w:sz w:val="18"/>
                <w:szCs w:val="18"/>
              </w:rPr>
              <w:t>氨气</w:t>
            </w:r>
          </w:p>
        </w:tc>
      </w:tr>
      <w:tr w14:paraId="5510B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restart"/>
            <w:vAlign w:val="center"/>
          </w:tcPr>
          <w:p w14:paraId="583F8A97">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DA145</w:t>
            </w:r>
          </w:p>
        </w:tc>
        <w:tc>
          <w:tcPr>
            <w:tcW w:w="357" w:type="pct"/>
            <w:vMerge w:val="restart"/>
            <w:vAlign w:val="center"/>
          </w:tcPr>
          <w:p w14:paraId="18B4A491">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335</w:t>
            </w:r>
          </w:p>
        </w:tc>
        <w:tc>
          <w:tcPr>
            <w:tcW w:w="357" w:type="pct"/>
            <w:vMerge w:val="restart"/>
            <w:vAlign w:val="center"/>
          </w:tcPr>
          <w:p w14:paraId="6519FCC1">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774</w:t>
            </w:r>
          </w:p>
        </w:tc>
        <w:tc>
          <w:tcPr>
            <w:tcW w:w="357" w:type="pct"/>
            <w:vMerge w:val="restart"/>
            <w:vAlign w:val="center"/>
          </w:tcPr>
          <w:p w14:paraId="31026D27">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51" w:type="pct"/>
            <w:vMerge w:val="restart"/>
            <w:vAlign w:val="center"/>
          </w:tcPr>
          <w:p w14:paraId="4522405E">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20</w:t>
            </w:r>
          </w:p>
        </w:tc>
        <w:tc>
          <w:tcPr>
            <w:tcW w:w="362" w:type="pct"/>
            <w:vMerge w:val="restart"/>
            <w:vAlign w:val="center"/>
          </w:tcPr>
          <w:p w14:paraId="4E0C2FC3">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w:t>
            </w:r>
            <w:r>
              <w:rPr>
                <w:rFonts w:hint="eastAsia" w:ascii="Arial" w:hAnsi="Arial" w:eastAsia="宋体" w:cs="Arial"/>
                <w:spacing w:val="10"/>
                <w:sz w:val="18"/>
                <w:szCs w:val="18"/>
              </w:rPr>
              <w:t>1</w:t>
            </w:r>
          </w:p>
        </w:tc>
        <w:tc>
          <w:tcPr>
            <w:tcW w:w="357" w:type="pct"/>
            <w:vMerge w:val="restart"/>
            <w:vAlign w:val="center"/>
          </w:tcPr>
          <w:p w14:paraId="44912EF8">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47000</w:t>
            </w:r>
          </w:p>
        </w:tc>
        <w:tc>
          <w:tcPr>
            <w:tcW w:w="286" w:type="pct"/>
            <w:vMerge w:val="restart"/>
            <w:vAlign w:val="center"/>
          </w:tcPr>
          <w:p w14:paraId="10C3C5D9">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25</w:t>
            </w:r>
          </w:p>
        </w:tc>
        <w:tc>
          <w:tcPr>
            <w:tcW w:w="357" w:type="pct"/>
            <w:vAlign w:val="center"/>
          </w:tcPr>
          <w:p w14:paraId="4189E2EF">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484" w:type="pct"/>
            <w:vAlign w:val="center"/>
          </w:tcPr>
          <w:p w14:paraId="61D3C124">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正常</w:t>
            </w:r>
          </w:p>
        </w:tc>
        <w:tc>
          <w:tcPr>
            <w:tcW w:w="443" w:type="pct"/>
            <w:vAlign w:val="center"/>
          </w:tcPr>
          <w:p w14:paraId="13A56583">
            <w:pPr>
              <w:autoSpaceDE w:val="0"/>
              <w:autoSpaceDN w:val="0"/>
              <w:adjustRightInd w:val="0"/>
              <w:snapToGrid w:val="0"/>
              <w:jc w:val="center"/>
              <w:textAlignment w:val="bottom"/>
              <w:rPr>
                <w:rFonts w:ascii="Arial" w:hAnsi="Arial" w:eastAsia="宋体" w:cs="Arial"/>
                <w:spacing w:val="10"/>
                <w:sz w:val="18"/>
                <w:szCs w:val="18"/>
              </w:rPr>
            </w:pPr>
          </w:p>
        </w:tc>
        <w:tc>
          <w:tcPr>
            <w:tcW w:w="476" w:type="pct"/>
            <w:vAlign w:val="center"/>
          </w:tcPr>
          <w:p w14:paraId="4B34077D">
            <w:pPr>
              <w:autoSpaceDE w:val="0"/>
              <w:autoSpaceDN w:val="0"/>
              <w:adjustRightInd w:val="0"/>
              <w:snapToGrid w:val="0"/>
              <w:jc w:val="center"/>
              <w:textAlignment w:val="bottom"/>
              <w:rPr>
                <w:rFonts w:ascii="Arial" w:hAnsi="Arial" w:eastAsia="宋体" w:cs="Arial"/>
                <w:spacing w:val="10"/>
                <w:sz w:val="18"/>
                <w:szCs w:val="18"/>
              </w:rPr>
            </w:pPr>
          </w:p>
        </w:tc>
        <w:tc>
          <w:tcPr>
            <w:tcW w:w="474" w:type="pct"/>
            <w:vAlign w:val="center"/>
          </w:tcPr>
          <w:p w14:paraId="26102964">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0.2682</w:t>
            </w:r>
          </w:p>
        </w:tc>
      </w:tr>
      <w:tr w14:paraId="70F96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continue"/>
            <w:vAlign w:val="center"/>
          </w:tcPr>
          <w:p w14:paraId="7D9B95C8">
            <w:pPr>
              <w:widowControl/>
              <w:adjustRightInd w:val="0"/>
              <w:snapToGrid w:val="0"/>
              <w:jc w:val="center"/>
              <w:rPr>
                <w:rFonts w:ascii="Arial" w:hAnsi="Arial" w:eastAsia="宋体" w:cs="Arial"/>
                <w:spacing w:val="10"/>
                <w:sz w:val="18"/>
                <w:szCs w:val="18"/>
              </w:rPr>
            </w:pPr>
          </w:p>
        </w:tc>
        <w:tc>
          <w:tcPr>
            <w:tcW w:w="357" w:type="pct"/>
            <w:vMerge w:val="continue"/>
            <w:vAlign w:val="center"/>
          </w:tcPr>
          <w:p w14:paraId="54CE1596">
            <w:pPr>
              <w:autoSpaceDE w:val="0"/>
              <w:autoSpaceDN w:val="0"/>
              <w:adjustRightInd w:val="0"/>
              <w:snapToGrid w:val="0"/>
              <w:jc w:val="center"/>
              <w:textAlignment w:val="bottom"/>
              <w:rPr>
                <w:rFonts w:ascii="Arial" w:hAnsi="Arial" w:eastAsia="宋体" w:cs="Arial"/>
                <w:spacing w:val="10"/>
                <w:sz w:val="18"/>
                <w:szCs w:val="18"/>
              </w:rPr>
            </w:pPr>
          </w:p>
        </w:tc>
        <w:tc>
          <w:tcPr>
            <w:tcW w:w="357" w:type="pct"/>
            <w:vMerge w:val="continue"/>
            <w:vAlign w:val="center"/>
          </w:tcPr>
          <w:p w14:paraId="011F061F">
            <w:pPr>
              <w:autoSpaceDE w:val="0"/>
              <w:autoSpaceDN w:val="0"/>
              <w:adjustRightInd w:val="0"/>
              <w:snapToGrid w:val="0"/>
              <w:jc w:val="center"/>
              <w:textAlignment w:val="bottom"/>
              <w:rPr>
                <w:rFonts w:ascii="Arial" w:hAnsi="Arial" w:eastAsia="宋体" w:cs="Arial"/>
                <w:spacing w:val="10"/>
                <w:sz w:val="18"/>
                <w:szCs w:val="18"/>
              </w:rPr>
            </w:pPr>
          </w:p>
        </w:tc>
        <w:tc>
          <w:tcPr>
            <w:tcW w:w="357" w:type="pct"/>
            <w:vMerge w:val="continue"/>
            <w:vAlign w:val="center"/>
          </w:tcPr>
          <w:p w14:paraId="1E3A7296">
            <w:pPr>
              <w:widowControl/>
              <w:adjustRightInd w:val="0"/>
              <w:snapToGrid w:val="0"/>
              <w:jc w:val="center"/>
              <w:rPr>
                <w:rFonts w:ascii="Arial" w:hAnsi="Arial" w:eastAsia="宋体" w:cs="Arial"/>
                <w:spacing w:val="10"/>
                <w:sz w:val="18"/>
                <w:szCs w:val="18"/>
              </w:rPr>
            </w:pPr>
          </w:p>
        </w:tc>
        <w:tc>
          <w:tcPr>
            <w:tcW w:w="351" w:type="pct"/>
            <w:vMerge w:val="continue"/>
            <w:vAlign w:val="center"/>
          </w:tcPr>
          <w:p w14:paraId="434A951F">
            <w:pPr>
              <w:widowControl/>
              <w:adjustRightInd w:val="0"/>
              <w:snapToGrid w:val="0"/>
              <w:jc w:val="center"/>
              <w:rPr>
                <w:rFonts w:ascii="Arial" w:hAnsi="Arial" w:eastAsia="宋体" w:cs="Arial"/>
                <w:spacing w:val="10"/>
                <w:sz w:val="18"/>
                <w:szCs w:val="18"/>
              </w:rPr>
            </w:pPr>
          </w:p>
        </w:tc>
        <w:tc>
          <w:tcPr>
            <w:tcW w:w="362" w:type="pct"/>
            <w:vMerge w:val="continue"/>
            <w:vAlign w:val="center"/>
          </w:tcPr>
          <w:p w14:paraId="1F47A72F">
            <w:pPr>
              <w:widowControl/>
              <w:adjustRightInd w:val="0"/>
              <w:snapToGrid w:val="0"/>
              <w:jc w:val="center"/>
              <w:rPr>
                <w:rFonts w:ascii="Arial" w:hAnsi="Arial" w:eastAsia="宋体" w:cs="Arial"/>
                <w:spacing w:val="10"/>
                <w:sz w:val="18"/>
                <w:szCs w:val="18"/>
              </w:rPr>
            </w:pPr>
          </w:p>
        </w:tc>
        <w:tc>
          <w:tcPr>
            <w:tcW w:w="357" w:type="pct"/>
            <w:vMerge w:val="continue"/>
            <w:vAlign w:val="center"/>
          </w:tcPr>
          <w:p w14:paraId="1AE57ADC">
            <w:pPr>
              <w:widowControl/>
              <w:adjustRightInd w:val="0"/>
              <w:snapToGrid w:val="0"/>
              <w:jc w:val="center"/>
              <w:rPr>
                <w:rFonts w:ascii="Arial" w:hAnsi="Arial" w:eastAsia="宋体" w:cs="Arial"/>
                <w:spacing w:val="10"/>
                <w:sz w:val="18"/>
                <w:szCs w:val="18"/>
              </w:rPr>
            </w:pPr>
          </w:p>
        </w:tc>
        <w:tc>
          <w:tcPr>
            <w:tcW w:w="286" w:type="pct"/>
            <w:vMerge w:val="continue"/>
            <w:vAlign w:val="center"/>
          </w:tcPr>
          <w:p w14:paraId="70A71A04">
            <w:pPr>
              <w:widowControl/>
              <w:adjustRightInd w:val="0"/>
              <w:snapToGrid w:val="0"/>
              <w:jc w:val="center"/>
              <w:rPr>
                <w:rFonts w:ascii="Arial" w:hAnsi="Arial" w:eastAsia="宋体" w:cs="Arial"/>
                <w:spacing w:val="10"/>
                <w:sz w:val="18"/>
                <w:szCs w:val="18"/>
              </w:rPr>
            </w:pPr>
          </w:p>
        </w:tc>
        <w:tc>
          <w:tcPr>
            <w:tcW w:w="357" w:type="pct"/>
            <w:vAlign w:val="center"/>
          </w:tcPr>
          <w:p w14:paraId="559E1253">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1</w:t>
            </w:r>
          </w:p>
        </w:tc>
        <w:tc>
          <w:tcPr>
            <w:tcW w:w="484" w:type="pct"/>
            <w:vAlign w:val="center"/>
          </w:tcPr>
          <w:p w14:paraId="2C31D232">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非正常</w:t>
            </w:r>
          </w:p>
        </w:tc>
        <w:tc>
          <w:tcPr>
            <w:tcW w:w="443" w:type="pct"/>
            <w:vAlign w:val="center"/>
          </w:tcPr>
          <w:p w14:paraId="0E598C0D">
            <w:pPr>
              <w:autoSpaceDE w:val="0"/>
              <w:autoSpaceDN w:val="0"/>
              <w:adjustRightInd w:val="0"/>
              <w:snapToGrid w:val="0"/>
              <w:jc w:val="center"/>
              <w:textAlignment w:val="bottom"/>
              <w:rPr>
                <w:rFonts w:ascii="Arial" w:hAnsi="Arial" w:eastAsia="宋体" w:cs="Arial"/>
                <w:spacing w:val="10"/>
                <w:sz w:val="18"/>
                <w:szCs w:val="18"/>
              </w:rPr>
            </w:pPr>
          </w:p>
        </w:tc>
        <w:tc>
          <w:tcPr>
            <w:tcW w:w="476" w:type="pct"/>
            <w:vAlign w:val="center"/>
          </w:tcPr>
          <w:p w14:paraId="1C5E97EE">
            <w:pPr>
              <w:autoSpaceDE w:val="0"/>
              <w:autoSpaceDN w:val="0"/>
              <w:adjustRightInd w:val="0"/>
              <w:snapToGrid w:val="0"/>
              <w:jc w:val="center"/>
              <w:textAlignment w:val="bottom"/>
              <w:rPr>
                <w:rFonts w:ascii="Arial" w:hAnsi="Arial" w:eastAsia="宋体" w:cs="Arial"/>
                <w:spacing w:val="10"/>
                <w:sz w:val="18"/>
                <w:szCs w:val="18"/>
              </w:rPr>
            </w:pPr>
          </w:p>
        </w:tc>
        <w:tc>
          <w:tcPr>
            <w:tcW w:w="474" w:type="pct"/>
            <w:vAlign w:val="center"/>
          </w:tcPr>
          <w:p w14:paraId="73F74AB1">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2.682</w:t>
            </w:r>
          </w:p>
        </w:tc>
      </w:tr>
      <w:tr w14:paraId="15868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restart"/>
            <w:vAlign w:val="center"/>
          </w:tcPr>
          <w:p w14:paraId="2A39797A">
            <w:pPr>
              <w:widowControl/>
              <w:adjustRightInd w:val="0"/>
              <w:snapToGrid w:val="0"/>
              <w:jc w:val="center"/>
              <w:rPr>
                <w:rFonts w:ascii="Arial" w:hAnsi="Arial" w:eastAsia="宋体" w:cs="Arial"/>
                <w:spacing w:val="10"/>
                <w:sz w:val="18"/>
                <w:szCs w:val="18"/>
                <w:u w:val="single"/>
              </w:rPr>
            </w:pPr>
            <w:r>
              <w:rPr>
                <w:rFonts w:ascii="Arial" w:hAnsi="Arial" w:eastAsia="宋体" w:cs="Arial"/>
                <w:spacing w:val="10"/>
                <w:sz w:val="18"/>
                <w:szCs w:val="18"/>
                <w:u w:val="single"/>
              </w:rPr>
              <w:t>DA146</w:t>
            </w:r>
          </w:p>
        </w:tc>
        <w:tc>
          <w:tcPr>
            <w:tcW w:w="357" w:type="pct"/>
            <w:vMerge w:val="restart"/>
            <w:vAlign w:val="center"/>
          </w:tcPr>
          <w:p w14:paraId="79F5F849">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319</w:t>
            </w:r>
          </w:p>
        </w:tc>
        <w:tc>
          <w:tcPr>
            <w:tcW w:w="357" w:type="pct"/>
            <w:vMerge w:val="restart"/>
            <w:vAlign w:val="center"/>
          </w:tcPr>
          <w:p w14:paraId="6C4306D9">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777</w:t>
            </w:r>
          </w:p>
        </w:tc>
        <w:tc>
          <w:tcPr>
            <w:tcW w:w="357" w:type="pct"/>
            <w:vMerge w:val="restart"/>
            <w:vAlign w:val="center"/>
          </w:tcPr>
          <w:p w14:paraId="626A9643">
            <w:pPr>
              <w:widowControl/>
              <w:adjustRightInd w:val="0"/>
              <w:snapToGrid w:val="0"/>
              <w:jc w:val="center"/>
              <w:rPr>
                <w:rFonts w:ascii="Arial" w:hAnsi="Arial" w:eastAsia="宋体" w:cs="Arial"/>
                <w:spacing w:val="10"/>
                <w:sz w:val="18"/>
                <w:szCs w:val="18"/>
                <w:u w:val="single"/>
              </w:rPr>
            </w:pPr>
            <w:r>
              <w:rPr>
                <w:rFonts w:ascii="Arial" w:hAnsi="Arial" w:eastAsia="宋体" w:cs="Arial"/>
                <w:sz w:val="18"/>
                <w:szCs w:val="18"/>
                <w:u w:val="single"/>
              </w:rPr>
              <w:t>6</w:t>
            </w:r>
          </w:p>
        </w:tc>
        <w:tc>
          <w:tcPr>
            <w:tcW w:w="351" w:type="pct"/>
            <w:vMerge w:val="restart"/>
            <w:vAlign w:val="center"/>
          </w:tcPr>
          <w:p w14:paraId="2E1363AE">
            <w:pPr>
              <w:widowControl/>
              <w:adjustRightInd w:val="0"/>
              <w:snapToGrid w:val="0"/>
              <w:jc w:val="center"/>
              <w:rPr>
                <w:rFonts w:ascii="Arial" w:hAnsi="Arial" w:eastAsia="宋体" w:cs="Arial"/>
                <w:spacing w:val="10"/>
                <w:sz w:val="18"/>
                <w:szCs w:val="18"/>
                <w:u w:val="single"/>
              </w:rPr>
            </w:pPr>
            <w:r>
              <w:rPr>
                <w:rFonts w:ascii="Arial" w:hAnsi="Arial" w:eastAsia="宋体" w:cs="Arial"/>
                <w:spacing w:val="10"/>
                <w:sz w:val="18"/>
                <w:szCs w:val="18"/>
                <w:u w:val="single"/>
              </w:rPr>
              <w:t>20</w:t>
            </w:r>
          </w:p>
        </w:tc>
        <w:tc>
          <w:tcPr>
            <w:tcW w:w="362" w:type="pct"/>
            <w:vMerge w:val="restart"/>
            <w:vAlign w:val="center"/>
          </w:tcPr>
          <w:p w14:paraId="38E3CDCC">
            <w:pPr>
              <w:widowControl/>
              <w:adjustRightInd w:val="0"/>
              <w:snapToGrid w:val="0"/>
              <w:jc w:val="center"/>
              <w:rPr>
                <w:rFonts w:ascii="Arial" w:hAnsi="Arial" w:eastAsia="宋体" w:cs="Arial"/>
                <w:spacing w:val="10"/>
                <w:sz w:val="18"/>
                <w:szCs w:val="18"/>
                <w:u w:val="single"/>
              </w:rPr>
            </w:pPr>
            <w:r>
              <w:rPr>
                <w:rFonts w:hint="eastAsia" w:ascii="Arial" w:hAnsi="Arial" w:eastAsia="宋体" w:cs="Arial"/>
                <w:spacing w:val="10"/>
                <w:sz w:val="18"/>
                <w:szCs w:val="18"/>
                <w:u w:val="single"/>
              </w:rPr>
              <w:t>1.1</w:t>
            </w:r>
          </w:p>
        </w:tc>
        <w:tc>
          <w:tcPr>
            <w:tcW w:w="357" w:type="pct"/>
            <w:vMerge w:val="restart"/>
            <w:vAlign w:val="center"/>
          </w:tcPr>
          <w:p w14:paraId="165ADECF">
            <w:pPr>
              <w:widowControl/>
              <w:adjustRightInd w:val="0"/>
              <w:snapToGrid w:val="0"/>
              <w:jc w:val="center"/>
              <w:rPr>
                <w:rFonts w:ascii="Arial" w:hAnsi="Arial" w:eastAsia="宋体" w:cs="Arial"/>
                <w:spacing w:val="10"/>
                <w:sz w:val="18"/>
                <w:szCs w:val="18"/>
                <w:u w:val="single"/>
              </w:rPr>
            </w:pPr>
            <w:r>
              <w:rPr>
                <w:rFonts w:hint="eastAsia" w:ascii="Arial" w:hAnsi="Arial" w:eastAsia="宋体" w:cs="Arial"/>
                <w:spacing w:val="10"/>
                <w:sz w:val="18"/>
                <w:szCs w:val="18"/>
                <w:u w:val="single"/>
              </w:rPr>
              <w:t>47000</w:t>
            </w:r>
          </w:p>
        </w:tc>
        <w:tc>
          <w:tcPr>
            <w:tcW w:w="286" w:type="pct"/>
            <w:vMerge w:val="restart"/>
            <w:vAlign w:val="center"/>
          </w:tcPr>
          <w:p w14:paraId="37225A8E">
            <w:pPr>
              <w:widowControl/>
              <w:adjustRightInd w:val="0"/>
              <w:snapToGrid w:val="0"/>
              <w:jc w:val="center"/>
              <w:rPr>
                <w:rFonts w:ascii="Arial" w:hAnsi="Arial" w:eastAsia="宋体" w:cs="Arial"/>
                <w:spacing w:val="10"/>
                <w:sz w:val="18"/>
                <w:szCs w:val="18"/>
                <w:u w:val="single"/>
              </w:rPr>
            </w:pPr>
            <w:r>
              <w:rPr>
                <w:rFonts w:hint="eastAsia" w:ascii="Arial" w:hAnsi="Arial" w:eastAsia="宋体" w:cs="Arial"/>
                <w:spacing w:val="10"/>
                <w:sz w:val="18"/>
                <w:szCs w:val="18"/>
                <w:u w:val="single"/>
              </w:rPr>
              <w:t>60</w:t>
            </w:r>
          </w:p>
        </w:tc>
        <w:tc>
          <w:tcPr>
            <w:tcW w:w="357" w:type="pct"/>
            <w:vAlign w:val="center"/>
          </w:tcPr>
          <w:p w14:paraId="3BF8CBA2">
            <w:pPr>
              <w:widowControl/>
              <w:adjustRightInd w:val="0"/>
              <w:snapToGrid w:val="0"/>
              <w:jc w:val="center"/>
              <w:rPr>
                <w:rFonts w:ascii="Arial" w:hAnsi="Arial" w:eastAsia="宋体" w:cs="Arial"/>
                <w:spacing w:val="10"/>
                <w:sz w:val="18"/>
                <w:szCs w:val="18"/>
                <w:u w:val="single"/>
              </w:rPr>
            </w:pPr>
            <w:r>
              <w:rPr>
                <w:rFonts w:ascii="Arial" w:hAnsi="Arial" w:eastAsia="宋体" w:cs="Arial"/>
                <w:spacing w:val="10"/>
                <w:sz w:val="18"/>
                <w:szCs w:val="18"/>
                <w:u w:val="single"/>
              </w:rPr>
              <w:t>7920</w:t>
            </w:r>
          </w:p>
        </w:tc>
        <w:tc>
          <w:tcPr>
            <w:tcW w:w="484" w:type="pct"/>
            <w:vAlign w:val="center"/>
          </w:tcPr>
          <w:p w14:paraId="52A8DBB8">
            <w:pPr>
              <w:widowControl/>
              <w:adjustRightInd w:val="0"/>
              <w:snapToGrid w:val="0"/>
              <w:jc w:val="center"/>
              <w:rPr>
                <w:rFonts w:ascii="Arial" w:hAnsi="Arial" w:eastAsia="宋体" w:cs="Arial"/>
                <w:spacing w:val="10"/>
                <w:sz w:val="18"/>
                <w:szCs w:val="18"/>
                <w:u w:val="single"/>
              </w:rPr>
            </w:pPr>
            <w:r>
              <w:rPr>
                <w:rFonts w:ascii="Arial" w:hAnsi="Arial" w:eastAsia="宋体" w:cs="Arial"/>
                <w:spacing w:val="10"/>
                <w:sz w:val="18"/>
                <w:szCs w:val="18"/>
                <w:u w:val="single"/>
              </w:rPr>
              <w:t>正常</w:t>
            </w:r>
          </w:p>
        </w:tc>
        <w:tc>
          <w:tcPr>
            <w:tcW w:w="443" w:type="pct"/>
            <w:vAlign w:val="center"/>
          </w:tcPr>
          <w:p w14:paraId="330201D4">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0.2093</w:t>
            </w:r>
          </w:p>
        </w:tc>
        <w:tc>
          <w:tcPr>
            <w:tcW w:w="476" w:type="pct"/>
            <w:vAlign w:val="center"/>
          </w:tcPr>
          <w:p w14:paraId="6F0CEFA4">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0.1299</w:t>
            </w:r>
          </w:p>
        </w:tc>
        <w:tc>
          <w:tcPr>
            <w:tcW w:w="474" w:type="pct"/>
            <w:vAlign w:val="center"/>
          </w:tcPr>
          <w:p w14:paraId="5E52474F">
            <w:pPr>
              <w:autoSpaceDE w:val="0"/>
              <w:autoSpaceDN w:val="0"/>
              <w:adjustRightInd w:val="0"/>
              <w:snapToGrid w:val="0"/>
              <w:jc w:val="center"/>
              <w:textAlignment w:val="bottom"/>
              <w:rPr>
                <w:rFonts w:ascii="Arial" w:hAnsi="Arial" w:eastAsia="宋体" w:cs="Arial"/>
                <w:spacing w:val="10"/>
                <w:sz w:val="18"/>
                <w:szCs w:val="18"/>
                <w:u w:val="single"/>
              </w:rPr>
            </w:pPr>
          </w:p>
        </w:tc>
      </w:tr>
      <w:tr w14:paraId="23A5D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Merge w:val="continue"/>
            <w:vAlign w:val="center"/>
          </w:tcPr>
          <w:p w14:paraId="661E0DB2">
            <w:pPr>
              <w:widowControl/>
              <w:adjustRightInd w:val="0"/>
              <w:snapToGrid w:val="0"/>
              <w:jc w:val="center"/>
              <w:rPr>
                <w:rFonts w:ascii="Arial" w:hAnsi="Arial" w:eastAsia="宋体" w:cs="Arial"/>
                <w:spacing w:val="10"/>
                <w:sz w:val="18"/>
                <w:szCs w:val="18"/>
                <w:u w:val="single"/>
              </w:rPr>
            </w:pPr>
          </w:p>
        </w:tc>
        <w:tc>
          <w:tcPr>
            <w:tcW w:w="357" w:type="pct"/>
            <w:vMerge w:val="continue"/>
            <w:vAlign w:val="center"/>
          </w:tcPr>
          <w:p w14:paraId="2A00523D">
            <w:pPr>
              <w:autoSpaceDE w:val="0"/>
              <w:autoSpaceDN w:val="0"/>
              <w:adjustRightInd w:val="0"/>
              <w:snapToGrid w:val="0"/>
              <w:jc w:val="center"/>
              <w:textAlignment w:val="bottom"/>
              <w:rPr>
                <w:rFonts w:ascii="Arial" w:hAnsi="Arial" w:eastAsia="宋体" w:cs="Arial"/>
                <w:spacing w:val="10"/>
                <w:sz w:val="18"/>
                <w:szCs w:val="18"/>
                <w:u w:val="single"/>
              </w:rPr>
            </w:pPr>
          </w:p>
        </w:tc>
        <w:tc>
          <w:tcPr>
            <w:tcW w:w="357" w:type="pct"/>
            <w:vMerge w:val="continue"/>
            <w:vAlign w:val="center"/>
          </w:tcPr>
          <w:p w14:paraId="695FA934">
            <w:pPr>
              <w:autoSpaceDE w:val="0"/>
              <w:autoSpaceDN w:val="0"/>
              <w:adjustRightInd w:val="0"/>
              <w:snapToGrid w:val="0"/>
              <w:jc w:val="center"/>
              <w:textAlignment w:val="bottom"/>
              <w:rPr>
                <w:rFonts w:ascii="Arial" w:hAnsi="Arial" w:eastAsia="宋体" w:cs="Arial"/>
                <w:spacing w:val="10"/>
                <w:sz w:val="18"/>
                <w:szCs w:val="18"/>
                <w:u w:val="single"/>
              </w:rPr>
            </w:pPr>
          </w:p>
        </w:tc>
        <w:tc>
          <w:tcPr>
            <w:tcW w:w="357" w:type="pct"/>
            <w:vMerge w:val="continue"/>
            <w:vAlign w:val="center"/>
          </w:tcPr>
          <w:p w14:paraId="15EB0ED4">
            <w:pPr>
              <w:widowControl/>
              <w:adjustRightInd w:val="0"/>
              <w:snapToGrid w:val="0"/>
              <w:jc w:val="center"/>
              <w:rPr>
                <w:rFonts w:ascii="Arial" w:hAnsi="Arial" w:eastAsia="宋体" w:cs="Arial"/>
                <w:spacing w:val="10"/>
                <w:sz w:val="18"/>
                <w:szCs w:val="18"/>
                <w:u w:val="single"/>
              </w:rPr>
            </w:pPr>
          </w:p>
        </w:tc>
        <w:tc>
          <w:tcPr>
            <w:tcW w:w="351" w:type="pct"/>
            <w:vMerge w:val="continue"/>
            <w:vAlign w:val="center"/>
          </w:tcPr>
          <w:p w14:paraId="75A493CF">
            <w:pPr>
              <w:widowControl/>
              <w:adjustRightInd w:val="0"/>
              <w:snapToGrid w:val="0"/>
              <w:jc w:val="center"/>
              <w:rPr>
                <w:rFonts w:ascii="Arial" w:hAnsi="Arial" w:eastAsia="宋体" w:cs="Arial"/>
                <w:spacing w:val="10"/>
                <w:sz w:val="18"/>
                <w:szCs w:val="18"/>
                <w:u w:val="single"/>
              </w:rPr>
            </w:pPr>
          </w:p>
        </w:tc>
        <w:tc>
          <w:tcPr>
            <w:tcW w:w="362" w:type="pct"/>
            <w:vMerge w:val="continue"/>
            <w:vAlign w:val="center"/>
          </w:tcPr>
          <w:p w14:paraId="45C76043">
            <w:pPr>
              <w:widowControl/>
              <w:adjustRightInd w:val="0"/>
              <w:snapToGrid w:val="0"/>
              <w:jc w:val="center"/>
              <w:rPr>
                <w:rFonts w:ascii="Arial" w:hAnsi="Arial" w:eastAsia="宋体" w:cs="Arial"/>
                <w:spacing w:val="10"/>
                <w:sz w:val="18"/>
                <w:szCs w:val="18"/>
                <w:u w:val="single"/>
              </w:rPr>
            </w:pPr>
          </w:p>
        </w:tc>
        <w:tc>
          <w:tcPr>
            <w:tcW w:w="357" w:type="pct"/>
            <w:vMerge w:val="continue"/>
            <w:vAlign w:val="center"/>
          </w:tcPr>
          <w:p w14:paraId="0CC4D21E">
            <w:pPr>
              <w:widowControl/>
              <w:adjustRightInd w:val="0"/>
              <w:snapToGrid w:val="0"/>
              <w:jc w:val="center"/>
              <w:rPr>
                <w:rFonts w:ascii="Arial" w:hAnsi="Arial" w:eastAsia="宋体" w:cs="Arial"/>
                <w:spacing w:val="10"/>
                <w:sz w:val="18"/>
                <w:szCs w:val="18"/>
                <w:u w:val="single"/>
              </w:rPr>
            </w:pPr>
          </w:p>
        </w:tc>
        <w:tc>
          <w:tcPr>
            <w:tcW w:w="286" w:type="pct"/>
            <w:vMerge w:val="continue"/>
            <w:vAlign w:val="center"/>
          </w:tcPr>
          <w:p w14:paraId="75BD9253">
            <w:pPr>
              <w:widowControl/>
              <w:adjustRightInd w:val="0"/>
              <w:snapToGrid w:val="0"/>
              <w:jc w:val="center"/>
              <w:rPr>
                <w:rFonts w:ascii="Arial" w:hAnsi="Arial" w:eastAsia="宋体" w:cs="Arial"/>
                <w:spacing w:val="10"/>
                <w:sz w:val="18"/>
                <w:szCs w:val="18"/>
                <w:u w:val="single"/>
              </w:rPr>
            </w:pPr>
          </w:p>
        </w:tc>
        <w:tc>
          <w:tcPr>
            <w:tcW w:w="357" w:type="pct"/>
            <w:vAlign w:val="center"/>
          </w:tcPr>
          <w:p w14:paraId="04A37AA9">
            <w:pPr>
              <w:widowControl/>
              <w:adjustRightInd w:val="0"/>
              <w:snapToGrid w:val="0"/>
              <w:jc w:val="center"/>
              <w:rPr>
                <w:rFonts w:ascii="Arial" w:hAnsi="Arial" w:eastAsia="宋体" w:cs="Arial"/>
                <w:spacing w:val="10"/>
                <w:sz w:val="18"/>
                <w:szCs w:val="18"/>
                <w:u w:val="single"/>
              </w:rPr>
            </w:pPr>
            <w:r>
              <w:rPr>
                <w:rFonts w:hint="eastAsia" w:ascii="Arial" w:hAnsi="Arial" w:eastAsia="宋体" w:cs="Arial"/>
                <w:spacing w:val="10"/>
                <w:sz w:val="18"/>
                <w:szCs w:val="18"/>
                <w:u w:val="single"/>
              </w:rPr>
              <w:t>1</w:t>
            </w:r>
          </w:p>
        </w:tc>
        <w:tc>
          <w:tcPr>
            <w:tcW w:w="484" w:type="pct"/>
            <w:vAlign w:val="center"/>
          </w:tcPr>
          <w:p w14:paraId="0EA5464B">
            <w:pPr>
              <w:widowControl/>
              <w:adjustRightInd w:val="0"/>
              <w:snapToGrid w:val="0"/>
              <w:jc w:val="center"/>
              <w:rPr>
                <w:rFonts w:ascii="Arial" w:hAnsi="Arial" w:eastAsia="宋体" w:cs="Arial"/>
                <w:spacing w:val="10"/>
                <w:sz w:val="18"/>
                <w:szCs w:val="18"/>
                <w:u w:val="single"/>
              </w:rPr>
            </w:pPr>
            <w:r>
              <w:rPr>
                <w:rFonts w:ascii="Arial" w:hAnsi="Arial" w:eastAsia="宋体" w:cs="Arial"/>
                <w:spacing w:val="10"/>
                <w:sz w:val="18"/>
                <w:szCs w:val="18"/>
                <w:u w:val="single"/>
              </w:rPr>
              <w:t>非正常</w:t>
            </w:r>
          </w:p>
        </w:tc>
        <w:tc>
          <w:tcPr>
            <w:tcW w:w="443" w:type="pct"/>
            <w:vAlign w:val="center"/>
          </w:tcPr>
          <w:p w14:paraId="758654C1">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2.0933</w:t>
            </w:r>
          </w:p>
        </w:tc>
        <w:tc>
          <w:tcPr>
            <w:tcW w:w="476" w:type="pct"/>
            <w:vAlign w:val="center"/>
          </w:tcPr>
          <w:p w14:paraId="3D6E6214">
            <w:pPr>
              <w:autoSpaceDE w:val="0"/>
              <w:autoSpaceDN w:val="0"/>
              <w:adjustRightInd w:val="0"/>
              <w:snapToGrid w:val="0"/>
              <w:jc w:val="center"/>
              <w:textAlignment w:val="bottom"/>
              <w:rPr>
                <w:rFonts w:ascii="Arial" w:hAnsi="Arial" w:eastAsia="宋体" w:cs="Arial"/>
                <w:spacing w:val="10"/>
                <w:sz w:val="18"/>
                <w:szCs w:val="18"/>
                <w:u w:val="single"/>
              </w:rPr>
            </w:pPr>
            <w:r>
              <w:rPr>
                <w:rFonts w:hint="eastAsia" w:ascii="Arial" w:hAnsi="Arial" w:eastAsia="宋体" w:cs="Arial"/>
                <w:spacing w:val="10"/>
                <w:sz w:val="18"/>
                <w:szCs w:val="18"/>
                <w:u w:val="single"/>
              </w:rPr>
              <w:t>1.2995</w:t>
            </w:r>
          </w:p>
        </w:tc>
        <w:tc>
          <w:tcPr>
            <w:tcW w:w="474" w:type="pct"/>
            <w:vAlign w:val="center"/>
          </w:tcPr>
          <w:p w14:paraId="4EB57DBE">
            <w:pPr>
              <w:autoSpaceDE w:val="0"/>
              <w:autoSpaceDN w:val="0"/>
              <w:adjustRightInd w:val="0"/>
              <w:snapToGrid w:val="0"/>
              <w:jc w:val="center"/>
              <w:textAlignment w:val="bottom"/>
              <w:rPr>
                <w:rFonts w:ascii="Arial" w:hAnsi="Arial" w:eastAsia="宋体" w:cs="Arial"/>
                <w:spacing w:val="10"/>
                <w:sz w:val="18"/>
                <w:szCs w:val="18"/>
                <w:u w:val="single"/>
              </w:rPr>
            </w:pPr>
          </w:p>
        </w:tc>
      </w:tr>
      <w:tr w14:paraId="7A945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0" w:type="pct"/>
            <w:vAlign w:val="center"/>
          </w:tcPr>
          <w:p w14:paraId="2B7A988C">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w:t>
            </w:r>
            <w:r>
              <w:rPr>
                <w:rFonts w:hint="eastAsia" w:ascii="Arial" w:hAnsi="Arial" w:eastAsia="宋体" w:cs="Arial"/>
                <w:spacing w:val="10"/>
                <w:sz w:val="18"/>
                <w:szCs w:val="18"/>
              </w:rPr>
              <w:t>067</w:t>
            </w:r>
          </w:p>
        </w:tc>
        <w:tc>
          <w:tcPr>
            <w:tcW w:w="357" w:type="pct"/>
            <w:vAlign w:val="center"/>
          </w:tcPr>
          <w:p w14:paraId="193B0FEC">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-17</w:t>
            </w:r>
          </w:p>
        </w:tc>
        <w:tc>
          <w:tcPr>
            <w:tcW w:w="357" w:type="pct"/>
            <w:vAlign w:val="center"/>
          </w:tcPr>
          <w:p w14:paraId="09DE9B24">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630</w:t>
            </w:r>
          </w:p>
        </w:tc>
        <w:tc>
          <w:tcPr>
            <w:tcW w:w="357" w:type="pct"/>
            <w:vAlign w:val="center"/>
          </w:tcPr>
          <w:p w14:paraId="3BF275B7">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6</w:t>
            </w:r>
          </w:p>
        </w:tc>
        <w:tc>
          <w:tcPr>
            <w:tcW w:w="351" w:type="pct"/>
            <w:vAlign w:val="center"/>
          </w:tcPr>
          <w:p w14:paraId="5F9ACBD0">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20</w:t>
            </w:r>
          </w:p>
        </w:tc>
        <w:tc>
          <w:tcPr>
            <w:tcW w:w="362" w:type="pct"/>
            <w:vAlign w:val="center"/>
          </w:tcPr>
          <w:p w14:paraId="5089DEB3">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0.6</w:t>
            </w:r>
          </w:p>
        </w:tc>
        <w:tc>
          <w:tcPr>
            <w:tcW w:w="357" w:type="pct"/>
            <w:vAlign w:val="center"/>
          </w:tcPr>
          <w:p w14:paraId="543167B2">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13000</w:t>
            </w:r>
          </w:p>
        </w:tc>
        <w:tc>
          <w:tcPr>
            <w:tcW w:w="286" w:type="pct"/>
            <w:vAlign w:val="center"/>
          </w:tcPr>
          <w:p w14:paraId="0663FC5F">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25</w:t>
            </w:r>
          </w:p>
        </w:tc>
        <w:tc>
          <w:tcPr>
            <w:tcW w:w="357" w:type="pct"/>
            <w:vAlign w:val="center"/>
          </w:tcPr>
          <w:p w14:paraId="44D580C8">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1</w:t>
            </w:r>
          </w:p>
        </w:tc>
        <w:tc>
          <w:tcPr>
            <w:tcW w:w="484" w:type="pct"/>
            <w:vAlign w:val="center"/>
          </w:tcPr>
          <w:p w14:paraId="4DBA624E">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正常</w:t>
            </w:r>
          </w:p>
        </w:tc>
        <w:tc>
          <w:tcPr>
            <w:tcW w:w="443" w:type="pct"/>
            <w:vAlign w:val="center"/>
          </w:tcPr>
          <w:p w14:paraId="025A2886">
            <w:pPr>
              <w:autoSpaceDE w:val="0"/>
              <w:autoSpaceDN w:val="0"/>
              <w:adjustRightInd w:val="0"/>
              <w:snapToGrid w:val="0"/>
              <w:jc w:val="center"/>
              <w:textAlignment w:val="bottom"/>
              <w:rPr>
                <w:rFonts w:ascii="Arial" w:hAnsi="Arial" w:eastAsia="宋体" w:cs="Arial"/>
                <w:spacing w:val="10"/>
                <w:sz w:val="18"/>
                <w:szCs w:val="18"/>
              </w:rPr>
            </w:pPr>
          </w:p>
        </w:tc>
        <w:tc>
          <w:tcPr>
            <w:tcW w:w="476" w:type="pct"/>
            <w:vAlign w:val="center"/>
          </w:tcPr>
          <w:p w14:paraId="57D15C84">
            <w:pPr>
              <w:autoSpaceDE w:val="0"/>
              <w:autoSpaceDN w:val="0"/>
              <w:adjustRightInd w:val="0"/>
              <w:snapToGrid w:val="0"/>
              <w:jc w:val="center"/>
              <w:textAlignment w:val="bottom"/>
              <w:rPr>
                <w:rFonts w:ascii="Arial" w:hAnsi="Arial" w:eastAsia="宋体" w:cs="Arial"/>
                <w:spacing w:val="10"/>
                <w:sz w:val="18"/>
                <w:szCs w:val="18"/>
              </w:rPr>
            </w:pPr>
          </w:p>
        </w:tc>
        <w:tc>
          <w:tcPr>
            <w:tcW w:w="474" w:type="pct"/>
            <w:vAlign w:val="center"/>
          </w:tcPr>
          <w:p w14:paraId="15D72ADF">
            <w:pPr>
              <w:autoSpaceDE w:val="0"/>
              <w:autoSpaceDN w:val="0"/>
              <w:adjustRightInd w:val="0"/>
              <w:snapToGrid w:val="0"/>
              <w:jc w:val="center"/>
              <w:textAlignment w:val="bottom"/>
              <w:rPr>
                <w:rFonts w:ascii="Arial" w:hAnsi="Arial" w:eastAsia="宋体" w:cs="Arial"/>
                <w:spacing w:val="10"/>
                <w:sz w:val="18"/>
                <w:szCs w:val="18"/>
              </w:rPr>
            </w:pPr>
            <w:r>
              <w:rPr>
                <w:rFonts w:hint="eastAsia" w:ascii="Arial" w:hAnsi="Arial" w:eastAsia="宋体" w:cs="Arial"/>
                <w:spacing w:val="10"/>
                <w:sz w:val="18"/>
                <w:szCs w:val="18"/>
              </w:rPr>
              <w:t>0.2010</w:t>
            </w:r>
          </w:p>
        </w:tc>
      </w:tr>
    </w:tbl>
    <w:p w14:paraId="287D3623">
      <w:pPr>
        <w:autoSpaceDE w:val="0"/>
        <w:autoSpaceDN w:val="0"/>
        <w:adjustRightInd w:val="0"/>
        <w:spacing w:line="500" w:lineRule="exact"/>
        <w:ind w:firstLine="450" w:firstLineChars="200"/>
        <w:textAlignment w:val="bottom"/>
        <w:rPr>
          <w:rFonts w:ascii="Arial" w:hAnsi="Arial" w:eastAsia="宋体" w:cs="Arial"/>
          <w:b/>
          <w:sz w:val="24"/>
          <w:szCs w:val="24"/>
        </w:rPr>
      </w:pPr>
    </w:p>
    <w:p w14:paraId="6692A3AB">
      <w:pPr>
        <w:autoSpaceDE w:val="0"/>
        <w:autoSpaceDN w:val="0"/>
        <w:adjustRightInd w:val="0"/>
        <w:spacing w:line="500" w:lineRule="exact"/>
        <w:ind w:firstLine="450" w:firstLineChars="200"/>
        <w:textAlignment w:val="bottom"/>
        <w:rPr>
          <w:rFonts w:ascii="Arial" w:hAnsi="Arial" w:eastAsia="宋体" w:cs="Arial"/>
          <w:b/>
          <w:sz w:val="24"/>
          <w:szCs w:val="24"/>
        </w:rPr>
      </w:pPr>
    </w:p>
    <w:p w14:paraId="229DD7DA">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变更工程面源污参数表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668"/>
        <w:gridCol w:w="701"/>
        <w:gridCol w:w="701"/>
        <w:gridCol w:w="853"/>
        <w:gridCol w:w="682"/>
        <w:gridCol w:w="650"/>
        <w:gridCol w:w="984"/>
        <w:gridCol w:w="892"/>
        <w:gridCol w:w="581"/>
        <w:gridCol w:w="1121"/>
      </w:tblGrid>
      <w:tr w14:paraId="61337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44" w:type="pct"/>
            <w:vMerge w:val="restart"/>
            <w:vAlign w:val="center"/>
          </w:tcPr>
          <w:p w14:paraId="1C6E7BEC">
            <w:pPr>
              <w:pStyle w:val="634"/>
              <w:adjustRightInd w:val="0"/>
              <w:snapToGrid w:val="0"/>
              <w:ind w:firstLine="0" w:firstLineChars="0"/>
              <w:jc w:val="center"/>
              <w:rPr>
                <w:rFonts w:ascii="Arial" w:hAnsi="Arial" w:cs="Arial"/>
                <w:b/>
                <w:sz w:val="21"/>
                <w:szCs w:val="21"/>
              </w:rPr>
            </w:pPr>
            <w:r>
              <w:rPr>
                <w:rFonts w:ascii="Arial" w:hAnsi="Arial" w:cs="Arial"/>
                <w:b/>
                <w:sz w:val="21"/>
                <w:szCs w:val="21"/>
              </w:rPr>
              <w:t>污染源名称</w:t>
            </w:r>
          </w:p>
        </w:tc>
        <w:tc>
          <w:tcPr>
            <w:tcW w:w="794" w:type="pct"/>
            <w:gridSpan w:val="2"/>
            <w:vAlign w:val="center"/>
          </w:tcPr>
          <w:p w14:paraId="5594C947">
            <w:pPr>
              <w:pStyle w:val="634"/>
              <w:adjustRightInd w:val="0"/>
              <w:snapToGrid w:val="0"/>
              <w:ind w:firstLine="0" w:firstLineChars="0"/>
              <w:jc w:val="center"/>
              <w:rPr>
                <w:rFonts w:ascii="Arial" w:hAnsi="Arial" w:cs="Arial"/>
                <w:b/>
                <w:sz w:val="21"/>
                <w:szCs w:val="21"/>
              </w:rPr>
            </w:pPr>
            <w:r>
              <w:rPr>
                <w:rFonts w:ascii="Arial" w:hAnsi="Arial" w:cs="Arial"/>
                <w:b/>
                <w:sz w:val="21"/>
                <w:szCs w:val="21"/>
              </w:rPr>
              <w:t>面源顶点坐标</w:t>
            </w:r>
          </w:p>
        </w:tc>
        <w:tc>
          <w:tcPr>
            <w:tcW w:w="483" w:type="pct"/>
            <w:vMerge w:val="restart"/>
            <w:vAlign w:val="center"/>
          </w:tcPr>
          <w:p w14:paraId="47FA79A4">
            <w:pPr>
              <w:pStyle w:val="634"/>
              <w:adjustRightInd w:val="0"/>
              <w:snapToGrid w:val="0"/>
              <w:ind w:firstLine="0" w:firstLineChars="0"/>
              <w:jc w:val="center"/>
              <w:rPr>
                <w:rFonts w:ascii="Arial" w:hAnsi="Arial" w:cs="Arial"/>
                <w:b/>
                <w:sz w:val="21"/>
                <w:szCs w:val="21"/>
              </w:rPr>
            </w:pPr>
            <w:r>
              <w:rPr>
                <w:rFonts w:ascii="Arial" w:hAnsi="Arial" w:cs="Arial"/>
                <w:b/>
                <w:sz w:val="21"/>
                <w:szCs w:val="21"/>
              </w:rPr>
              <w:t>面源长</w:t>
            </w:r>
          </w:p>
          <w:p w14:paraId="6F19620A">
            <w:pPr>
              <w:pStyle w:val="634"/>
              <w:adjustRightInd w:val="0"/>
              <w:snapToGrid w:val="0"/>
              <w:ind w:firstLine="0" w:firstLineChars="0"/>
              <w:jc w:val="center"/>
              <w:rPr>
                <w:rFonts w:ascii="Arial" w:hAnsi="Arial" w:cs="Arial"/>
                <w:b/>
                <w:sz w:val="21"/>
                <w:szCs w:val="21"/>
              </w:rPr>
            </w:pPr>
            <w:r>
              <w:rPr>
                <w:rFonts w:ascii="Arial" w:hAnsi="Arial" w:cs="Arial"/>
                <w:b/>
                <w:sz w:val="21"/>
                <w:szCs w:val="21"/>
              </w:rPr>
              <w:t>度(m)</w:t>
            </w:r>
          </w:p>
        </w:tc>
        <w:tc>
          <w:tcPr>
            <w:tcW w:w="386" w:type="pct"/>
            <w:vMerge w:val="restart"/>
            <w:vAlign w:val="center"/>
          </w:tcPr>
          <w:p w14:paraId="3BD31531">
            <w:pPr>
              <w:pStyle w:val="634"/>
              <w:adjustRightInd w:val="0"/>
              <w:snapToGrid w:val="0"/>
              <w:ind w:firstLine="0" w:firstLineChars="0"/>
              <w:jc w:val="center"/>
              <w:rPr>
                <w:rFonts w:ascii="Arial" w:hAnsi="Arial" w:cs="Arial"/>
                <w:b/>
                <w:sz w:val="21"/>
                <w:szCs w:val="21"/>
              </w:rPr>
            </w:pPr>
            <w:r>
              <w:rPr>
                <w:rFonts w:ascii="Arial" w:hAnsi="Arial" w:cs="Arial"/>
                <w:b/>
                <w:sz w:val="21"/>
                <w:szCs w:val="21"/>
              </w:rPr>
              <w:t>面源宽</w:t>
            </w:r>
          </w:p>
          <w:p w14:paraId="2BE0C082">
            <w:pPr>
              <w:pStyle w:val="634"/>
              <w:adjustRightInd w:val="0"/>
              <w:snapToGrid w:val="0"/>
              <w:ind w:firstLine="0" w:firstLineChars="0"/>
              <w:jc w:val="center"/>
              <w:rPr>
                <w:rFonts w:ascii="Arial" w:hAnsi="Arial" w:cs="Arial"/>
                <w:b/>
                <w:sz w:val="21"/>
                <w:szCs w:val="21"/>
              </w:rPr>
            </w:pPr>
            <w:r>
              <w:rPr>
                <w:rFonts w:ascii="Arial" w:hAnsi="Arial" w:cs="Arial"/>
                <w:b/>
                <w:sz w:val="21"/>
                <w:szCs w:val="21"/>
              </w:rPr>
              <w:t>度(m)</w:t>
            </w:r>
          </w:p>
        </w:tc>
        <w:tc>
          <w:tcPr>
            <w:tcW w:w="368" w:type="pct"/>
            <w:vMerge w:val="restart"/>
            <w:vAlign w:val="center"/>
          </w:tcPr>
          <w:p w14:paraId="68460E8B">
            <w:pPr>
              <w:pStyle w:val="634"/>
              <w:adjustRightInd w:val="0"/>
              <w:snapToGrid w:val="0"/>
              <w:ind w:firstLine="0" w:firstLineChars="0"/>
              <w:jc w:val="center"/>
              <w:rPr>
                <w:rFonts w:ascii="Arial" w:hAnsi="Arial" w:cs="Arial"/>
                <w:b/>
                <w:sz w:val="21"/>
                <w:szCs w:val="21"/>
              </w:rPr>
            </w:pPr>
            <w:r>
              <w:rPr>
                <w:rFonts w:ascii="Arial" w:hAnsi="Arial" w:cs="Arial"/>
                <w:b/>
                <w:sz w:val="21"/>
                <w:szCs w:val="21"/>
              </w:rPr>
              <w:t>与正北</w:t>
            </w:r>
          </w:p>
          <w:p w14:paraId="62A8EA19">
            <w:pPr>
              <w:pStyle w:val="634"/>
              <w:adjustRightInd w:val="0"/>
              <w:snapToGrid w:val="0"/>
              <w:ind w:firstLine="0" w:firstLineChars="0"/>
              <w:jc w:val="center"/>
              <w:rPr>
                <w:rFonts w:ascii="Arial" w:hAnsi="Arial" w:cs="Arial"/>
                <w:b/>
                <w:sz w:val="21"/>
                <w:szCs w:val="21"/>
              </w:rPr>
            </w:pPr>
            <w:r>
              <w:rPr>
                <w:rFonts w:ascii="Arial" w:hAnsi="Arial" w:cs="Arial"/>
                <w:b/>
                <w:sz w:val="21"/>
                <w:szCs w:val="21"/>
              </w:rPr>
              <w:t>向夹角</w:t>
            </w:r>
          </w:p>
        </w:tc>
        <w:tc>
          <w:tcPr>
            <w:tcW w:w="557" w:type="pct"/>
            <w:vMerge w:val="restart"/>
            <w:vAlign w:val="center"/>
          </w:tcPr>
          <w:p w14:paraId="0529A7BD">
            <w:pPr>
              <w:pStyle w:val="634"/>
              <w:adjustRightInd w:val="0"/>
              <w:snapToGrid w:val="0"/>
              <w:ind w:firstLine="0" w:firstLineChars="0"/>
              <w:jc w:val="center"/>
              <w:rPr>
                <w:rFonts w:ascii="Arial" w:hAnsi="Arial" w:cs="Arial"/>
                <w:b/>
                <w:sz w:val="21"/>
                <w:szCs w:val="21"/>
              </w:rPr>
            </w:pPr>
            <w:r>
              <w:rPr>
                <w:rFonts w:ascii="Arial" w:hAnsi="Arial" w:cs="Arial"/>
                <w:b/>
                <w:sz w:val="21"/>
                <w:szCs w:val="21"/>
              </w:rPr>
              <w:t>初始排</w:t>
            </w:r>
          </w:p>
          <w:p w14:paraId="2A14AB4B">
            <w:pPr>
              <w:pStyle w:val="634"/>
              <w:adjustRightInd w:val="0"/>
              <w:snapToGrid w:val="0"/>
              <w:ind w:firstLine="0" w:firstLineChars="0"/>
              <w:jc w:val="center"/>
              <w:rPr>
                <w:rFonts w:ascii="Arial" w:hAnsi="Arial" w:cs="Arial"/>
                <w:b/>
                <w:sz w:val="21"/>
                <w:szCs w:val="21"/>
              </w:rPr>
            </w:pPr>
            <w:r>
              <w:rPr>
                <w:rFonts w:ascii="Arial" w:hAnsi="Arial" w:cs="Arial"/>
                <w:b/>
                <w:sz w:val="21"/>
                <w:szCs w:val="21"/>
              </w:rPr>
              <w:t>放高度</w:t>
            </w:r>
          </w:p>
          <w:p w14:paraId="75FC2779">
            <w:pPr>
              <w:pStyle w:val="634"/>
              <w:adjustRightInd w:val="0"/>
              <w:snapToGrid w:val="0"/>
              <w:ind w:firstLine="0" w:firstLineChars="0"/>
              <w:jc w:val="center"/>
              <w:rPr>
                <w:rFonts w:ascii="Arial" w:hAnsi="Arial" w:cs="Arial"/>
                <w:b/>
                <w:sz w:val="21"/>
                <w:szCs w:val="21"/>
              </w:rPr>
            </w:pPr>
            <w:r>
              <w:rPr>
                <w:rFonts w:ascii="Arial" w:hAnsi="Arial" w:cs="Arial"/>
                <w:b/>
                <w:sz w:val="21"/>
                <w:szCs w:val="21"/>
              </w:rPr>
              <w:t>（m）</w:t>
            </w:r>
          </w:p>
        </w:tc>
        <w:tc>
          <w:tcPr>
            <w:tcW w:w="505" w:type="pct"/>
            <w:vMerge w:val="restart"/>
            <w:vAlign w:val="center"/>
          </w:tcPr>
          <w:p w14:paraId="658334E1">
            <w:pPr>
              <w:pStyle w:val="634"/>
              <w:adjustRightInd w:val="0"/>
              <w:snapToGrid w:val="0"/>
              <w:ind w:firstLine="0" w:firstLineChars="0"/>
              <w:jc w:val="center"/>
              <w:rPr>
                <w:rFonts w:ascii="Arial" w:hAnsi="Arial" w:cs="Arial"/>
                <w:b/>
                <w:sz w:val="21"/>
                <w:szCs w:val="21"/>
              </w:rPr>
            </w:pPr>
            <w:r>
              <w:rPr>
                <w:rFonts w:ascii="Arial" w:hAnsi="Arial" w:cs="Arial"/>
                <w:b/>
                <w:sz w:val="21"/>
                <w:szCs w:val="21"/>
              </w:rPr>
              <w:t>年排放</w:t>
            </w:r>
          </w:p>
          <w:p w14:paraId="7590998A">
            <w:pPr>
              <w:pStyle w:val="634"/>
              <w:adjustRightInd w:val="0"/>
              <w:snapToGrid w:val="0"/>
              <w:ind w:firstLine="0" w:firstLineChars="0"/>
              <w:jc w:val="center"/>
              <w:rPr>
                <w:rFonts w:ascii="Arial" w:hAnsi="Arial" w:cs="Arial"/>
                <w:b/>
                <w:sz w:val="21"/>
                <w:szCs w:val="21"/>
              </w:rPr>
            </w:pPr>
            <w:r>
              <w:rPr>
                <w:rFonts w:ascii="Arial" w:hAnsi="Arial" w:cs="Arial"/>
                <w:b/>
                <w:sz w:val="21"/>
                <w:szCs w:val="21"/>
              </w:rPr>
              <w:t>小时数</w:t>
            </w:r>
          </w:p>
          <w:p w14:paraId="475F425C">
            <w:pPr>
              <w:pStyle w:val="634"/>
              <w:adjustRightInd w:val="0"/>
              <w:snapToGrid w:val="0"/>
              <w:ind w:firstLine="0" w:firstLineChars="0"/>
              <w:jc w:val="center"/>
              <w:rPr>
                <w:rFonts w:ascii="Arial" w:hAnsi="Arial" w:cs="Arial"/>
                <w:b/>
                <w:sz w:val="21"/>
                <w:szCs w:val="21"/>
              </w:rPr>
            </w:pPr>
            <w:r>
              <w:rPr>
                <w:rFonts w:ascii="Arial" w:hAnsi="Arial" w:cs="Arial"/>
                <w:b/>
                <w:sz w:val="21"/>
                <w:szCs w:val="21"/>
              </w:rPr>
              <w:t>（h）</w:t>
            </w:r>
          </w:p>
        </w:tc>
        <w:tc>
          <w:tcPr>
            <w:tcW w:w="329" w:type="pct"/>
            <w:vMerge w:val="restart"/>
            <w:vAlign w:val="center"/>
          </w:tcPr>
          <w:p w14:paraId="2C81ADBF">
            <w:pPr>
              <w:pStyle w:val="634"/>
              <w:adjustRightInd w:val="0"/>
              <w:snapToGrid w:val="0"/>
              <w:ind w:firstLine="0" w:firstLineChars="0"/>
              <w:jc w:val="center"/>
              <w:rPr>
                <w:rFonts w:ascii="Arial" w:hAnsi="Arial" w:cs="Arial"/>
                <w:b/>
                <w:sz w:val="21"/>
                <w:szCs w:val="21"/>
              </w:rPr>
            </w:pPr>
            <w:r>
              <w:rPr>
                <w:rFonts w:ascii="Arial" w:hAnsi="Arial" w:cs="Arial"/>
                <w:b/>
                <w:sz w:val="21"/>
                <w:szCs w:val="21"/>
              </w:rPr>
              <w:t>排放工况</w:t>
            </w:r>
          </w:p>
        </w:tc>
        <w:tc>
          <w:tcPr>
            <w:tcW w:w="635" w:type="pct"/>
          </w:tcPr>
          <w:p w14:paraId="05F34890">
            <w:pPr>
              <w:pStyle w:val="634"/>
              <w:adjustRightInd w:val="0"/>
              <w:snapToGrid w:val="0"/>
              <w:ind w:firstLine="0" w:firstLineChars="0"/>
              <w:jc w:val="center"/>
              <w:rPr>
                <w:rFonts w:ascii="Arial" w:hAnsi="Arial" w:cs="Arial"/>
                <w:b/>
                <w:sz w:val="21"/>
                <w:szCs w:val="21"/>
              </w:rPr>
            </w:pPr>
            <w:r>
              <w:rPr>
                <w:rFonts w:ascii="Arial" w:hAnsi="Arial" w:cs="Arial"/>
                <w:b/>
                <w:sz w:val="21"/>
                <w:szCs w:val="21"/>
              </w:rPr>
              <w:t>排放速率(kg/h)</w:t>
            </w:r>
          </w:p>
        </w:tc>
      </w:tr>
      <w:tr w14:paraId="4A47F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44" w:type="pct"/>
            <w:vMerge w:val="continue"/>
            <w:vAlign w:val="center"/>
          </w:tcPr>
          <w:p w14:paraId="0F5F9285">
            <w:pPr>
              <w:widowControl/>
              <w:adjustRightInd w:val="0"/>
              <w:snapToGrid w:val="0"/>
              <w:jc w:val="center"/>
              <w:rPr>
                <w:rFonts w:ascii="Arial" w:hAnsi="Arial" w:eastAsia="宋体" w:cs="Arial"/>
                <w:b/>
                <w:sz w:val="21"/>
                <w:szCs w:val="21"/>
              </w:rPr>
            </w:pPr>
          </w:p>
        </w:tc>
        <w:tc>
          <w:tcPr>
            <w:tcW w:w="397" w:type="pct"/>
            <w:vAlign w:val="center"/>
          </w:tcPr>
          <w:p w14:paraId="6084BC93">
            <w:pPr>
              <w:pStyle w:val="634"/>
              <w:adjustRightInd w:val="0"/>
              <w:snapToGrid w:val="0"/>
              <w:ind w:firstLine="0" w:firstLineChars="0"/>
              <w:jc w:val="center"/>
              <w:rPr>
                <w:rFonts w:ascii="Arial" w:hAnsi="Arial" w:cs="Arial"/>
                <w:b/>
                <w:sz w:val="21"/>
                <w:szCs w:val="21"/>
              </w:rPr>
            </w:pPr>
            <w:r>
              <w:rPr>
                <w:rFonts w:ascii="Arial" w:hAnsi="Arial" w:cs="Arial"/>
                <w:b/>
                <w:sz w:val="21"/>
                <w:szCs w:val="21"/>
              </w:rPr>
              <w:t>X坐标(m)</w:t>
            </w:r>
          </w:p>
        </w:tc>
        <w:tc>
          <w:tcPr>
            <w:tcW w:w="397" w:type="pct"/>
            <w:vAlign w:val="center"/>
          </w:tcPr>
          <w:p w14:paraId="5F433F73">
            <w:pPr>
              <w:pStyle w:val="634"/>
              <w:adjustRightInd w:val="0"/>
              <w:snapToGrid w:val="0"/>
              <w:ind w:firstLine="0" w:firstLineChars="0"/>
              <w:jc w:val="center"/>
              <w:rPr>
                <w:rFonts w:ascii="Arial" w:hAnsi="Arial" w:cs="Arial"/>
                <w:b/>
                <w:sz w:val="21"/>
                <w:szCs w:val="21"/>
              </w:rPr>
            </w:pPr>
            <w:r>
              <w:rPr>
                <w:rFonts w:ascii="Arial" w:hAnsi="Arial" w:cs="Arial"/>
                <w:b/>
                <w:sz w:val="21"/>
                <w:szCs w:val="21"/>
              </w:rPr>
              <w:t>Y坐标(m)</w:t>
            </w:r>
          </w:p>
        </w:tc>
        <w:tc>
          <w:tcPr>
            <w:tcW w:w="483" w:type="pct"/>
            <w:vMerge w:val="continue"/>
            <w:vAlign w:val="center"/>
          </w:tcPr>
          <w:p w14:paraId="31E5F5C5">
            <w:pPr>
              <w:widowControl/>
              <w:adjustRightInd w:val="0"/>
              <w:snapToGrid w:val="0"/>
              <w:jc w:val="center"/>
              <w:rPr>
                <w:rFonts w:ascii="Arial" w:hAnsi="Arial" w:eastAsia="宋体" w:cs="Arial"/>
                <w:b/>
                <w:sz w:val="21"/>
                <w:szCs w:val="21"/>
              </w:rPr>
            </w:pPr>
          </w:p>
        </w:tc>
        <w:tc>
          <w:tcPr>
            <w:tcW w:w="386" w:type="pct"/>
            <w:vMerge w:val="continue"/>
            <w:vAlign w:val="center"/>
          </w:tcPr>
          <w:p w14:paraId="5E125BFC">
            <w:pPr>
              <w:widowControl/>
              <w:adjustRightInd w:val="0"/>
              <w:snapToGrid w:val="0"/>
              <w:jc w:val="center"/>
              <w:rPr>
                <w:rFonts w:ascii="Arial" w:hAnsi="Arial" w:eastAsia="宋体" w:cs="Arial"/>
                <w:b/>
                <w:sz w:val="21"/>
                <w:szCs w:val="21"/>
              </w:rPr>
            </w:pPr>
          </w:p>
        </w:tc>
        <w:tc>
          <w:tcPr>
            <w:tcW w:w="368" w:type="pct"/>
            <w:vMerge w:val="continue"/>
            <w:vAlign w:val="center"/>
          </w:tcPr>
          <w:p w14:paraId="015FAF16">
            <w:pPr>
              <w:widowControl/>
              <w:adjustRightInd w:val="0"/>
              <w:snapToGrid w:val="0"/>
              <w:jc w:val="center"/>
              <w:rPr>
                <w:rFonts w:ascii="Arial" w:hAnsi="Arial" w:eastAsia="宋体" w:cs="Arial"/>
                <w:b/>
                <w:sz w:val="21"/>
                <w:szCs w:val="21"/>
              </w:rPr>
            </w:pPr>
          </w:p>
        </w:tc>
        <w:tc>
          <w:tcPr>
            <w:tcW w:w="557" w:type="pct"/>
            <w:vMerge w:val="continue"/>
            <w:vAlign w:val="center"/>
          </w:tcPr>
          <w:p w14:paraId="4ECC9EFB">
            <w:pPr>
              <w:widowControl/>
              <w:adjustRightInd w:val="0"/>
              <w:snapToGrid w:val="0"/>
              <w:jc w:val="center"/>
              <w:rPr>
                <w:rFonts w:ascii="Arial" w:hAnsi="Arial" w:eastAsia="宋体" w:cs="Arial"/>
                <w:b/>
                <w:sz w:val="21"/>
                <w:szCs w:val="21"/>
              </w:rPr>
            </w:pPr>
          </w:p>
        </w:tc>
        <w:tc>
          <w:tcPr>
            <w:tcW w:w="505" w:type="pct"/>
            <w:vMerge w:val="continue"/>
            <w:vAlign w:val="center"/>
          </w:tcPr>
          <w:p w14:paraId="1AFBE1AC">
            <w:pPr>
              <w:widowControl/>
              <w:adjustRightInd w:val="0"/>
              <w:snapToGrid w:val="0"/>
              <w:jc w:val="center"/>
              <w:rPr>
                <w:rFonts w:ascii="Arial" w:hAnsi="Arial" w:eastAsia="宋体" w:cs="Arial"/>
                <w:b/>
                <w:sz w:val="21"/>
                <w:szCs w:val="21"/>
              </w:rPr>
            </w:pPr>
          </w:p>
        </w:tc>
        <w:tc>
          <w:tcPr>
            <w:tcW w:w="329" w:type="pct"/>
            <w:vMerge w:val="continue"/>
            <w:vAlign w:val="center"/>
          </w:tcPr>
          <w:p w14:paraId="4C0D444C">
            <w:pPr>
              <w:widowControl/>
              <w:adjustRightInd w:val="0"/>
              <w:snapToGrid w:val="0"/>
              <w:jc w:val="center"/>
              <w:rPr>
                <w:rFonts w:ascii="Arial" w:hAnsi="Arial" w:eastAsia="宋体" w:cs="Arial"/>
                <w:b/>
                <w:sz w:val="21"/>
                <w:szCs w:val="21"/>
              </w:rPr>
            </w:pPr>
          </w:p>
        </w:tc>
        <w:tc>
          <w:tcPr>
            <w:tcW w:w="635" w:type="pct"/>
            <w:vAlign w:val="center"/>
          </w:tcPr>
          <w:p w14:paraId="3401F605">
            <w:pPr>
              <w:autoSpaceDE w:val="0"/>
              <w:autoSpaceDN w:val="0"/>
              <w:adjustRightInd w:val="0"/>
              <w:snapToGrid w:val="0"/>
              <w:jc w:val="center"/>
              <w:textAlignment w:val="bottom"/>
              <w:rPr>
                <w:rFonts w:ascii="Arial" w:hAnsi="Arial" w:eastAsia="宋体" w:cs="Arial"/>
                <w:b/>
                <w:spacing w:val="10"/>
                <w:sz w:val="21"/>
                <w:szCs w:val="21"/>
              </w:rPr>
            </w:pPr>
            <w:r>
              <w:rPr>
                <w:rFonts w:ascii="Arial" w:hAnsi="Arial" w:eastAsia="宋体" w:cs="Arial"/>
                <w:b/>
                <w:spacing w:val="10"/>
                <w:sz w:val="21"/>
                <w:szCs w:val="21"/>
              </w:rPr>
              <w:t>氨气</w:t>
            </w:r>
          </w:p>
        </w:tc>
      </w:tr>
      <w:tr w14:paraId="3D9F3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44" w:type="pct"/>
            <w:vAlign w:val="center"/>
          </w:tcPr>
          <w:p w14:paraId="4531427F">
            <w:pPr>
              <w:pStyle w:val="5"/>
              <w:adjustRightInd w:val="0"/>
              <w:snapToGrid w:val="0"/>
              <w:spacing w:line="240" w:lineRule="auto"/>
              <w:ind w:firstLine="0"/>
              <w:jc w:val="center"/>
              <w:rPr>
                <w:sz w:val="21"/>
                <w:szCs w:val="21"/>
              </w:rPr>
            </w:pPr>
            <w:r>
              <w:rPr>
                <w:sz w:val="21"/>
                <w:szCs w:val="21"/>
              </w:rPr>
              <w:t>X</w:t>
            </w:r>
            <w:r>
              <w:rPr>
                <w:rFonts w:hint="eastAsia"/>
                <w:sz w:val="21"/>
                <w:szCs w:val="21"/>
              </w:rPr>
              <w:t>19车间</w:t>
            </w:r>
          </w:p>
        </w:tc>
        <w:tc>
          <w:tcPr>
            <w:tcW w:w="397" w:type="pct"/>
            <w:vAlign w:val="center"/>
          </w:tcPr>
          <w:p w14:paraId="0DD0E738">
            <w:pPr>
              <w:pStyle w:val="634"/>
              <w:adjustRightInd w:val="0"/>
              <w:snapToGrid w:val="0"/>
              <w:ind w:firstLine="0" w:firstLineChars="0"/>
              <w:jc w:val="center"/>
              <w:rPr>
                <w:rFonts w:ascii="Arial" w:hAnsi="Arial" w:cs="Arial"/>
                <w:sz w:val="21"/>
                <w:szCs w:val="21"/>
              </w:rPr>
            </w:pPr>
            <w:r>
              <w:rPr>
                <w:rFonts w:hint="eastAsia" w:ascii="Arial" w:hAnsi="Arial" w:cs="Arial"/>
                <w:sz w:val="21"/>
                <w:szCs w:val="21"/>
              </w:rPr>
              <w:t>308</w:t>
            </w:r>
          </w:p>
        </w:tc>
        <w:tc>
          <w:tcPr>
            <w:tcW w:w="397" w:type="pct"/>
            <w:vAlign w:val="center"/>
          </w:tcPr>
          <w:p w14:paraId="22430418">
            <w:pPr>
              <w:pStyle w:val="634"/>
              <w:adjustRightInd w:val="0"/>
              <w:snapToGrid w:val="0"/>
              <w:ind w:firstLine="0" w:firstLineChars="0"/>
              <w:jc w:val="center"/>
              <w:rPr>
                <w:rFonts w:ascii="Arial" w:hAnsi="Arial" w:cs="Arial"/>
                <w:sz w:val="21"/>
                <w:szCs w:val="21"/>
              </w:rPr>
            </w:pPr>
            <w:r>
              <w:rPr>
                <w:rFonts w:hint="eastAsia" w:ascii="Arial" w:hAnsi="Arial" w:cs="Arial"/>
                <w:sz w:val="21"/>
                <w:szCs w:val="21"/>
              </w:rPr>
              <w:t>753</w:t>
            </w:r>
          </w:p>
        </w:tc>
        <w:tc>
          <w:tcPr>
            <w:tcW w:w="483" w:type="pct"/>
            <w:vAlign w:val="center"/>
          </w:tcPr>
          <w:p w14:paraId="0000E1C4">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85</w:t>
            </w:r>
          </w:p>
        </w:tc>
        <w:tc>
          <w:tcPr>
            <w:tcW w:w="386" w:type="pct"/>
            <w:vAlign w:val="center"/>
          </w:tcPr>
          <w:p w14:paraId="3CE1D5E6">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22.5</w:t>
            </w:r>
          </w:p>
        </w:tc>
        <w:tc>
          <w:tcPr>
            <w:tcW w:w="368" w:type="pct"/>
            <w:vAlign w:val="center"/>
          </w:tcPr>
          <w:p w14:paraId="3ED7AD27">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9</w:t>
            </w:r>
          </w:p>
        </w:tc>
        <w:tc>
          <w:tcPr>
            <w:tcW w:w="557" w:type="pct"/>
            <w:vAlign w:val="center"/>
          </w:tcPr>
          <w:p w14:paraId="731A7533">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13.2</w:t>
            </w:r>
          </w:p>
        </w:tc>
        <w:tc>
          <w:tcPr>
            <w:tcW w:w="505" w:type="pct"/>
            <w:vAlign w:val="center"/>
          </w:tcPr>
          <w:p w14:paraId="590F2308">
            <w:pPr>
              <w:widowControl/>
              <w:adjustRightInd w:val="0"/>
              <w:snapToGrid w:val="0"/>
              <w:jc w:val="center"/>
              <w:rPr>
                <w:rFonts w:ascii="Arial" w:hAnsi="Arial" w:eastAsia="宋体" w:cs="Arial"/>
                <w:sz w:val="21"/>
                <w:szCs w:val="21"/>
              </w:rPr>
            </w:pPr>
            <w:r>
              <w:rPr>
                <w:rFonts w:hint="eastAsia" w:ascii="Arial" w:hAnsi="Arial" w:eastAsia="宋体" w:cs="Arial"/>
                <w:sz w:val="21"/>
                <w:szCs w:val="21"/>
              </w:rPr>
              <w:t>7920</w:t>
            </w:r>
          </w:p>
        </w:tc>
        <w:tc>
          <w:tcPr>
            <w:tcW w:w="329" w:type="pct"/>
            <w:vAlign w:val="center"/>
          </w:tcPr>
          <w:p w14:paraId="34BFCD56">
            <w:pPr>
              <w:widowControl/>
              <w:adjustRightInd w:val="0"/>
              <w:snapToGrid w:val="0"/>
              <w:jc w:val="center"/>
              <w:rPr>
                <w:rFonts w:ascii="Arial" w:hAnsi="Arial" w:eastAsia="宋体" w:cs="Arial"/>
                <w:sz w:val="21"/>
                <w:szCs w:val="21"/>
              </w:rPr>
            </w:pPr>
            <w:r>
              <w:rPr>
                <w:rFonts w:ascii="Arial" w:hAnsi="Arial" w:eastAsia="宋体" w:cs="Arial"/>
                <w:sz w:val="21"/>
                <w:szCs w:val="21"/>
              </w:rPr>
              <w:t>正常</w:t>
            </w:r>
          </w:p>
        </w:tc>
        <w:tc>
          <w:tcPr>
            <w:tcW w:w="635" w:type="pct"/>
            <w:vAlign w:val="center"/>
          </w:tcPr>
          <w:p w14:paraId="3D353781">
            <w:pPr>
              <w:autoSpaceDE w:val="0"/>
              <w:autoSpaceDN w:val="0"/>
              <w:adjustRightInd w:val="0"/>
              <w:snapToGrid w:val="0"/>
              <w:jc w:val="center"/>
              <w:textAlignment w:val="bottom"/>
              <w:rPr>
                <w:rFonts w:ascii="Arial" w:hAnsi="Arial" w:eastAsia="宋体" w:cs="Arial"/>
                <w:spacing w:val="10"/>
                <w:sz w:val="21"/>
                <w:szCs w:val="21"/>
              </w:rPr>
            </w:pPr>
            <w:r>
              <w:rPr>
                <w:rFonts w:hint="eastAsia" w:ascii="Arial" w:hAnsi="Arial" w:eastAsia="宋体" w:cs="Arial"/>
                <w:spacing w:val="10"/>
                <w:sz w:val="21"/>
                <w:szCs w:val="21"/>
              </w:rPr>
              <w:t>0.2167</w:t>
            </w:r>
          </w:p>
        </w:tc>
      </w:tr>
    </w:tbl>
    <w:p w14:paraId="1F6E6049">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拟建、在建点源参数表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899"/>
        <w:gridCol w:w="674"/>
        <w:gridCol w:w="707"/>
        <w:gridCol w:w="450"/>
        <w:gridCol w:w="561"/>
        <w:gridCol w:w="646"/>
        <w:gridCol w:w="808"/>
        <w:gridCol w:w="549"/>
        <w:gridCol w:w="685"/>
        <w:gridCol w:w="687"/>
        <w:gridCol w:w="959"/>
        <w:gridCol w:w="930"/>
      </w:tblGrid>
      <w:tr w14:paraId="4BDFC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44" w:type="pct"/>
            <w:vMerge w:val="restart"/>
            <w:shd w:val="clear" w:color="auto" w:fill="auto"/>
            <w:vAlign w:val="center"/>
          </w:tcPr>
          <w:p w14:paraId="6870A5DC">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项目名称</w:t>
            </w:r>
          </w:p>
        </w:tc>
        <w:tc>
          <w:tcPr>
            <w:tcW w:w="500" w:type="pct"/>
            <w:vMerge w:val="restart"/>
            <w:shd w:val="clear" w:color="auto" w:fill="auto"/>
            <w:vAlign w:val="center"/>
          </w:tcPr>
          <w:p w14:paraId="4497E4DA">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排气筒名称</w:t>
            </w:r>
          </w:p>
        </w:tc>
        <w:tc>
          <w:tcPr>
            <w:tcW w:w="768" w:type="pct"/>
            <w:gridSpan w:val="2"/>
            <w:shd w:val="clear" w:color="auto" w:fill="auto"/>
            <w:vAlign w:val="center"/>
          </w:tcPr>
          <w:p w14:paraId="123369AC">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排气筒坐标</w:t>
            </w:r>
          </w:p>
        </w:tc>
        <w:tc>
          <w:tcPr>
            <w:tcW w:w="250" w:type="pct"/>
            <w:vMerge w:val="restart"/>
            <w:shd w:val="clear" w:color="auto" w:fill="auto"/>
            <w:vAlign w:val="center"/>
          </w:tcPr>
          <w:p w14:paraId="5969A33B">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排气筒底部海拔m</w:t>
            </w:r>
          </w:p>
        </w:tc>
        <w:tc>
          <w:tcPr>
            <w:tcW w:w="312" w:type="pct"/>
            <w:vMerge w:val="restart"/>
            <w:shd w:val="clear" w:color="auto" w:fill="auto"/>
            <w:vAlign w:val="center"/>
          </w:tcPr>
          <w:p w14:paraId="44A7EDAB">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排气筒高度/m</w:t>
            </w:r>
          </w:p>
        </w:tc>
        <w:tc>
          <w:tcPr>
            <w:tcW w:w="359" w:type="pct"/>
            <w:vMerge w:val="restart"/>
            <w:shd w:val="clear" w:color="auto" w:fill="auto"/>
            <w:vAlign w:val="center"/>
          </w:tcPr>
          <w:p w14:paraId="79558DC9">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排气筒出口内径/m</w:t>
            </w:r>
          </w:p>
        </w:tc>
        <w:tc>
          <w:tcPr>
            <w:tcW w:w="449" w:type="pct"/>
            <w:vMerge w:val="restart"/>
            <w:shd w:val="clear" w:color="auto" w:fill="auto"/>
            <w:vAlign w:val="center"/>
          </w:tcPr>
          <w:p w14:paraId="622D61F6">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烟气流速/（m/s）</w:t>
            </w:r>
          </w:p>
        </w:tc>
        <w:tc>
          <w:tcPr>
            <w:tcW w:w="305" w:type="pct"/>
            <w:vMerge w:val="restart"/>
            <w:shd w:val="clear" w:color="auto" w:fill="auto"/>
            <w:vAlign w:val="center"/>
          </w:tcPr>
          <w:p w14:paraId="021403A5">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烟气温度/</w:t>
            </w:r>
            <w:r>
              <w:rPr>
                <w:rFonts w:hint="eastAsia" w:cs="宋体"/>
                <w:b/>
                <w:bCs/>
                <w:color w:val="auto"/>
                <w:sz w:val="18"/>
                <w:szCs w:val="18"/>
              </w:rPr>
              <w:t>℃</w:t>
            </w:r>
          </w:p>
        </w:tc>
        <w:tc>
          <w:tcPr>
            <w:tcW w:w="381" w:type="pct"/>
            <w:vMerge w:val="restart"/>
            <w:shd w:val="clear" w:color="auto" w:fill="auto"/>
            <w:vAlign w:val="center"/>
          </w:tcPr>
          <w:p w14:paraId="54DC8C49">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年排放小时数/h</w:t>
            </w:r>
          </w:p>
        </w:tc>
        <w:tc>
          <w:tcPr>
            <w:tcW w:w="382" w:type="pct"/>
            <w:vMerge w:val="restart"/>
            <w:shd w:val="clear" w:color="auto" w:fill="auto"/>
            <w:vAlign w:val="center"/>
          </w:tcPr>
          <w:p w14:paraId="2BFEA0F8">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排放工况</w:t>
            </w:r>
          </w:p>
        </w:tc>
        <w:tc>
          <w:tcPr>
            <w:tcW w:w="1050" w:type="pct"/>
            <w:gridSpan w:val="2"/>
            <w:vAlign w:val="center"/>
          </w:tcPr>
          <w:p w14:paraId="62720968">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排放速率/（kg/h）</w:t>
            </w:r>
          </w:p>
        </w:tc>
      </w:tr>
      <w:tr w14:paraId="68AC4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44" w:type="pct"/>
            <w:vMerge w:val="continue"/>
            <w:shd w:val="clear" w:color="auto" w:fill="auto"/>
            <w:vAlign w:val="center"/>
          </w:tcPr>
          <w:p w14:paraId="62ECC93B">
            <w:pPr>
              <w:pStyle w:val="1342"/>
              <w:snapToGrid w:val="0"/>
              <w:spacing w:line="240" w:lineRule="auto"/>
              <w:jc w:val="center"/>
              <w:rPr>
                <w:rFonts w:ascii="Arial" w:hAnsi="Arial" w:cs="Arial"/>
                <w:b/>
                <w:bCs/>
                <w:color w:val="auto"/>
                <w:sz w:val="18"/>
                <w:szCs w:val="18"/>
              </w:rPr>
            </w:pPr>
          </w:p>
        </w:tc>
        <w:tc>
          <w:tcPr>
            <w:tcW w:w="500" w:type="pct"/>
            <w:vMerge w:val="continue"/>
            <w:shd w:val="clear" w:color="auto" w:fill="auto"/>
            <w:vAlign w:val="center"/>
          </w:tcPr>
          <w:p w14:paraId="30F0BF7D">
            <w:pPr>
              <w:pStyle w:val="1342"/>
              <w:snapToGrid w:val="0"/>
              <w:spacing w:line="240" w:lineRule="auto"/>
              <w:jc w:val="center"/>
              <w:rPr>
                <w:rFonts w:ascii="Arial" w:hAnsi="Arial" w:cs="Arial"/>
                <w:b/>
                <w:bCs/>
                <w:color w:val="auto"/>
                <w:sz w:val="18"/>
                <w:szCs w:val="18"/>
              </w:rPr>
            </w:pPr>
          </w:p>
        </w:tc>
        <w:tc>
          <w:tcPr>
            <w:tcW w:w="375" w:type="pct"/>
            <w:shd w:val="clear" w:color="auto" w:fill="auto"/>
            <w:vAlign w:val="center"/>
          </w:tcPr>
          <w:p w14:paraId="1EEEFD32">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X</w:t>
            </w:r>
          </w:p>
        </w:tc>
        <w:tc>
          <w:tcPr>
            <w:tcW w:w="393" w:type="pct"/>
            <w:shd w:val="clear" w:color="auto" w:fill="auto"/>
            <w:vAlign w:val="center"/>
          </w:tcPr>
          <w:p w14:paraId="51743863">
            <w:pPr>
              <w:pStyle w:val="1342"/>
              <w:snapToGrid w:val="0"/>
              <w:spacing w:line="240" w:lineRule="auto"/>
              <w:jc w:val="center"/>
              <w:rPr>
                <w:rFonts w:ascii="Arial" w:hAnsi="Arial" w:cs="Arial"/>
                <w:b/>
                <w:bCs/>
                <w:color w:val="auto"/>
                <w:sz w:val="18"/>
                <w:szCs w:val="18"/>
              </w:rPr>
            </w:pPr>
            <w:r>
              <w:rPr>
                <w:rFonts w:ascii="Arial" w:hAnsi="Arial" w:cs="Arial"/>
                <w:b/>
                <w:bCs/>
                <w:color w:val="auto"/>
                <w:sz w:val="18"/>
                <w:szCs w:val="18"/>
              </w:rPr>
              <w:t>Y</w:t>
            </w:r>
          </w:p>
        </w:tc>
        <w:tc>
          <w:tcPr>
            <w:tcW w:w="250" w:type="pct"/>
            <w:vMerge w:val="continue"/>
            <w:shd w:val="clear" w:color="auto" w:fill="auto"/>
            <w:vAlign w:val="center"/>
          </w:tcPr>
          <w:p w14:paraId="72A403E8">
            <w:pPr>
              <w:pStyle w:val="1342"/>
              <w:snapToGrid w:val="0"/>
              <w:spacing w:line="240" w:lineRule="auto"/>
              <w:jc w:val="center"/>
              <w:rPr>
                <w:rFonts w:ascii="Arial" w:hAnsi="Arial" w:cs="Arial"/>
                <w:b/>
                <w:bCs/>
                <w:color w:val="auto"/>
                <w:sz w:val="18"/>
                <w:szCs w:val="18"/>
              </w:rPr>
            </w:pPr>
          </w:p>
        </w:tc>
        <w:tc>
          <w:tcPr>
            <w:tcW w:w="312" w:type="pct"/>
            <w:vMerge w:val="continue"/>
            <w:shd w:val="clear" w:color="auto" w:fill="auto"/>
            <w:vAlign w:val="center"/>
          </w:tcPr>
          <w:p w14:paraId="1936C23C">
            <w:pPr>
              <w:pStyle w:val="1342"/>
              <w:snapToGrid w:val="0"/>
              <w:spacing w:line="240" w:lineRule="auto"/>
              <w:jc w:val="center"/>
              <w:rPr>
                <w:rFonts w:ascii="Arial" w:hAnsi="Arial" w:cs="Arial"/>
                <w:b/>
                <w:bCs/>
                <w:color w:val="auto"/>
                <w:sz w:val="18"/>
                <w:szCs w:val="18"/>
              </w:rPr>
            </w:pPr>
          </w:p>
        </w:tc>
        <w:tc>
          <w:tcPr>
            <w:tcW w:w="359" w:type="pct"/>
            <w:vMerge w:val="continue"/>
            <w:shd w:val="clear" w:color="auto" w:fill="auto"/>
            <w:vAlign w:val="center"/>
          </w:tcPr>
          <w:p w14:paraId="64C64173">
            <w:pPr>
              <w:pStyle w:val="1342"/>
              <w:snapToGrid w:val="0"/>
              <w:spacing w:line="240" w:lineRule="auto"/>
              <w:jc w:val="center"/>
              <w:rPr>
                <w:rFonts w:ascii="Arial" w:hAnsi="Arial" w:cs="Arial"/>
                <w:b/>
                <w:bCs/>
                <w:color w:val="auto"/>
                <w:sz w:val="18"/>
                <w:szCs w:val="18"/>
              </w:rPr>
            </w:pPr>
          </w:p>
        </w:tc>
        <w:tc>
          <w:tcPr>
            <w:tcW w:w="449" w:type="pct"/>
            <w:vMerge w:val="continue"/>
            <w:shd w:val="clear" w:color="auto" w:fill="auto"/>
            <w:vAlign w:val="center"/>
          </w:tcPr>
          <w:p w14:paraId="24C9C7D3">
            <w:pPr>
              <w:pStyle w:val="1342"/>
              <w:snapToGrid w:val="0"/>
              <w:spacing w:line="240" w:lineRule="auto"/>
              <w:jc w:val="center"/>
              <w:rPr>
                <w:rFonts w:ascii="Arial" w:hAnsi="Arial" w:cs="Arial"/>
                <w:b/>
                <w:bCs/>
                <w:color w:val="auto"/>
                <w:sz w:val="18"/>
                <w:szCs w:val="18"/>
              </w:rPr>
            </w:pPr>
          </w:p>
        </w:tc>
        <w:tc>
          <w:tcPr>
            <w:tcW w:w="305" w:type="pct"/>
            <w:vMerge w:val="continue"/>
            <w:shd w:val="clear" w:color="auto" w:fill="auto"/>
            <w:vAlign w:val="center"/>
          </w:tcPr>
          <w:p w14:paraId="6C03A478">
            <w:pPr>
              <w:pStyle w:val="1342"/>
              <w:snapToGrid w:val="0"/>
              <w:spacing w:line="240" w:lineRule="auto"/>
              <w:jc w:val="center"/>
              <w:rPr>
                <w:rFonts w:ascii="Arial" w:hAnsi="Arial" w:cs="Arial"/>
                <w:b/>
                <w:bCs/>
                <w:color w:val="auto"/>
                <w:sz w:val="18"/>
                <w:szCs w:val="18"/>
              </w:rPr>
            </w:pPr>
          </w:p>
        </w:tc>
        <w:tc>
          <w:tcPr>
            <w:tcW w:w="381" w:type="pct"/>
            <w:vMerge w:val="continue"/>
            <w:shd w:val="clear" w:color="auto" w:fill="auto"/>
            <w:vAlign w:val="center"/>
          </w:tcPr>
          <w:p w14:paraId="62C97FFC">
            <w:pPr>
              <w:pStyle w:val="1342"/>
              <w:snapToGrid w:val="0"/>
              <w:spacing w:line="240" w:lineRule="auto"/>
              <w:jc w:val="center"/>
              <w:rPr>
                <w:rFonts w:ascii="Arial" w:hAnsi="Arial" w:cs="Arial"/>
                <w:b/>
                <w:bCs/>
                <w:color w:val="auto"/>
                <w:sz w:val="18"/>
                <w:szCs w:val="18"/>
              </w:rPr>
            </w:pPr>
          </w:p>
        </w:tc>
        <w:tc>
          <w:tcPr>
            <w:tcW w:w="382" w:type="pct"/>
            <w:vMerge w:val="continue"/>
            <w:shd w:val="clear" w:color="auto" w:fill="auto"/>
            <w:vAlign w:val="center"/>
          </w:tcPr>
          <w:p w14:paraId="673FD211">
            <w:pPr>
              <w:pStyle w:val="1342"/>
              <w:snapToGrid w:val="0"/>
              <w:spacing w:line="240" w:lineRule="auto"/>
              <w:jc w:val="center"/>
              <w:rPr>
                <w:rFonts w:ascii="Arial" w:hAnsi="Arial" w:cs="Arial"/>
                <w:b/>
                <w:bCs/>
                <w:color w:val="auto"/>
                <w:sz w:val="18"/>
                <w:szCs w:val="18"/>
              </w:rPr>
            </w:pPr>
          </w:p>
        </w:tc>
        <w:tc>
          <w:tcPr>
            <w:tcW w:w="533" w:type="pct"/>
            <w:shd w:val="clear" w:color="auto" w:fill="auto"/>
            <w:vAlign w:val="center"/>
          </w:tcPr>
          <w:p w14:paraId="166AC91E">
            <w:pPr>
              <w:pStyle w:val="634"/>
              <w:adjustRightInd w:val="0"/>
              <w:snapToGrid w:val="0"/>
              <w:ind w:firstLine="0" w:firstLineChars="0"/>
              <w:jc w:val="center"/>
              <w:rPr>
                <w:rFonts w:ascii="Arial" w:hAnsi="Arial" w:cs="Arial"/>
                <w:b/>
                <w:sz w:val="18"/>
                <w:szCs w:val="18"/>
              </w:rPr>
            </w:pPr>
            <w:r>
              <w:rPr>
                <w:rFonts w:ascii="Arial" w:hAnsi="Arial" w:cs="Arial"/>
                <w:b/>
                <w:sz w:val="18"/>
                <w:szCs w:val="18"/>
              </w:rPr>
              <w:t>颗粒物</w:t>
            </w:r>
          </w:p>
        </w:tc>
        <w:tc>
          <w:tcPr>
            <w:tcW w:w="517" w:type="pct"/>
            <w:shd w:val="clear" w:color="auto" w:fill="auto"/>
            <w:vAlign w:val="center"/>
          </w:tcPr>
          <w:p w14:paraId="19B24FCE">
            <w:pPr>
              <w:pStyle w:val="634"/>
              <w:adjustRightInd w:val="0"/>
              <w:snapToGrid w:val="0"/>
              <w:ind w:firstLine="0" w:firstLineChars="0"/>
              <w:jc w:val="center"/>
              <w:rPr>
                <w:rFonts w:ascii="Arial" w:hAnsi="Arial" w:cs="Arial"/>
                <w:b/>
                <w:sz w:val="18"/>
                <w:szCs w:val="18"/>
              </w:rPr>
            </w:pPr>
            <w:r>
              <w:rPr>
                <w:rFonts w:ascii="Arial" w:hAnsi="Arial" w:cs="Arial"/>
                <w:b/>
                <w:sz w:val="18"/>
                <w:szCs w:val="18"/>
              </w:rPr>
              <w:t>氨气</w:t>
            </w:r>
          </w:p>
        </w:tc>
      </w:tr>
      <w:tr w14:paraId="03D41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restart"/>
            <w:shd w:val="clear" w:color="auto" w:fill="auto"/>
            <w:vAlign w:val="center"/>
          </w:tcPr>
          <w:p w14:paraId="33EEBF9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一阶段</w:t>
            </w:r>
          </w:p>
        </w:tc>
        <w:tc>
          <w:tcPr>
            <w:tcW w:w="500" w:type="pct"/>
            <w:shd w:val="clear" w:color="auto" w:fill="auto"/>
            <w:vAlign w:val="center"/>
          </w:tcPr>
          <w:p w14:paraId="6939729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w:t>
            </w:r>
          </w:p>
        </w:tc>
        <w:tc>
          <w:tcPr>
            <w:tcW w:w="375" w:type="pct"/>
            <w:shd w:val="clear" w:color="auto" w:fill="auto"/>
            <w:noWrap/>
            <w:vAlign w:val="center"/>
          </w:tcPr>
          <w:p w14:paraId="5BED665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112</w:t>
            </w:r>
          </w:p>
        </w:tc>
        <w:tc>
          <w:tcPr>
            <w:tcW w:w="393" w:type="pct"/>
            <w:shd w:val="clear" w:color="auto" w:fill="auto"/>
            <w:noWrap/>
            <w:vAlign w:val="center"/>
          </w:tcPr>
          <w:p w14:paraId="3D7CEC61">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1216</w:t>
            </w:r>
          </w:p>
        </w:tc>
        <w:tc>
          <w:tcPr>
            <w:tcW w:w="250" w:type="pct"/>
            <w:shd w:val="clear" w:color="auto" w:fill="auto"/>
            <w:vAlign w:val="center"/>
          </w:tcPr>
          <w:p w14:paraId="7C8522F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1A9B8D3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5C853A0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7E10814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305" w:type="pct"/>
            <w:shd w:val="clear" w:color="auto" w:fill="auto"/>
            <w:noWrap/>
            <w:vAlign w:val="center"/>
          </w:tcPr>
          <w:p w14:paraId="5A3C4CF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5662A22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20F2E7D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1B4F5C1">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3644AE0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25DCC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B2B28DC">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41CB6AD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4-2#</w:t>
            </w:r>
          </w:p>
        </w:tc>
        <w:tc>
          <w:tcPr>
            <w:tcW w:w="375" w:type="pct"/>
            <w:shd w:val="clear" w:color="auto" w:fill="auto"/>
            <w:noWrap/>
            <w:vAlign w:val="center"/>
          </w:tcPr>
          <w:p w14:paraId="33CEC21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103</w:t>
            </w:r>
          </w:p>
        </w:tc>
        <w:tc>
          <w:tcPr>
            <w:tcW w:w="393" w:type="pct"/>
            <w:shd w:val="clear" w:color="auto" w:fill="auto"/>
            <w:noWrap/>
            <w:vAlign w:val="center"/>
          </w:tcPr>
          <w:p w14:paraId="1DF92CE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1164</w:t>
            </w:r>
          </w:p>
        </w:tc>
        <w:tc>
          <w:tcPr>
            <w:tcW w:w="250" w:type="pct"/>
            <w:shd w:val="clear" w:color="auto" w:fill="auto"/>
            <w:vAlign w:val="center"/>
          </w:tcPr>
          <w:p w14:paraId="7B3D2C8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74E22C3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23C7B09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3ECDA27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305" w:type="pct"/>
            <w:shd w:val="clear" w:color="auto" w:fill="auto"/>
            <w:noWrap/>
            <w:vAlign w:val="center"/>
          </w:tcPr>
          <w:p w14:paraId="71DF59E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208880C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2FC1435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441FDEF">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12B787A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4843D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1CFD0D9">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C8BCD7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4-3#</w:t>
            </w:r>
          </w:p>
        </w:tc>
        <w:tc>
          <w:tcPr>
            <w:tcW w:w="375" w:type="pct"/>
            <w:shd w:val="clear" w:color="auto" w:fill="auto"/>
            <w:noWrap/>
            <w:vAlign w:val="center"/>
          </w:tcPr>
          <w:p w14:paraId="5A56A77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99</w:t>
            </w:r>
          </w:p>
        </w:tc>
        <w:tc>
          <w:tcPr>
            <w:tcW w:w="393" w:type="pct"/>
            <w:shd w:val="clear" w:color="auto" w:fill="auto"/>
            <w:noWrap/>
            <w:vAlign w:val="center"/>
          </w:tcPr>
          <w:p w14:paraId="4962B05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1096</w:t>
            </w:r>
          </w:p>
        </w:tc>
        <w:tc>
          <w:tcPr>
            <w:tcW w:w="250" w:type="pct"/>
            <w:shd w:val="clear" w:color="auto" w:fill="auto"/>
            <w:vAlign w:val="center"/>
          </w:tcPr>
          <w:p w14:paraId="6A147B2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2EC4ACA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4A2072A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59DC929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305" w:type="pct"/>
            <w:shd w:val="clear" w:color="auto" w:fill="auto"/>
            <w:noWrap/>
            <w:vAlign w:val="center"/>
          </w:tcPr>
          <w:p w14:paraId="7DF1989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3877562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5531280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59DA6DA9">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2BADDEA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57602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6D0E5656">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5A131CD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4-4#</w:t>
            </w:r>
          </w:p>
        </w:tc>
        <w:tc>
          <w:tcPr>
            <w:tcW w:w="375" w:type="pct"/>
            <w:shd w:val="clear" w:color="auto" w:fill="auto"/>
            <w:noWrap/>
            <w:vAlign w:val="center"/>
          </w:tcPr>
          <w:p w14:paraId="2A478C2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93</w:t>
            </w:r>
          </w:p>
        </w:tc>
        <w:tc>
          <w:tcPr>
            <w:tcW w:w="393" w:type="pct"/>
            <w:shd w:val="clear" w:color="auto" w:fill="auto"/>
            <w:noWrap/>
            <w:vAlign w:val="center"/>
          </w:tcPr>
          <w:p w14:paraId="15D77DC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1042</w:t>
            </w:r>
          </w:p>
        </w:tc>
        <w:tc>
          <w:tcPr>
            <w:tcW w:w="250" w:type="pct"/>
            <w:shd w:val="clear" w:color="auto" w:fill="auto"/>
            <w:vAlign w:val="center"/>
          </w:tcPr>
          <w:p w14:paraId="0701AA3E">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65ECC9A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480160F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77F2A8C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305" w:type="pct"/>
            <w:shd w:val="clear" w:color="auto" w:fill="auto"/>
            <w:noWrap/>
            <w:vAlign w:val="center"/>
          </w:tcPr>
          <w:p w14:paraId="334165C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6EE9955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12144BC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FAD0610">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1BCE60B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74160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EE060EA">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0F2A4C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4-5#</w:t>
            </w:r>
          </w:p>
        </w:tc>
        <w:tc>
          <w:tcPr>
            <w:tcW w:w="375" w:type="pct"/>
            <w:shd w:val="clear" w:color="auto" w:fill="auto"/>
            <w:noWrap/>
            <w:vAlign w:val="center"/>
          </w:tcPr>
          <w:p w14:paraId="17A87A3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93" w:type="pct"/>
            <w:shd w:val="clear" w:color="auto" w:fill="auto"/>
            <w:noWrap/>
            <w:vAlign w:val="center"/>
          </w:tcPr>
          <w:p w14:paraId="3564E5C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1230</w:t>
            </w:r>
          </w:p>
        </w:tc>
        <w:tc>
          <w:tcPr>
            <w:tcW w:w="250" w:type="pct"/>
            <w:shd w:val="clear" w:color="auto" w:fill="auto"/>
            <w:vAlign w:val="center"/>
          </w:tcPr>
          <w:p w14:paraId="7AD092D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vAlign w:val="center"/>
          </w:tcPr>
          <w:p w14:paraId="2E9DD96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vAlign w:val="center"/>
          </w:tcPr>
          <w:p w14:paraId="78AA578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39EBB8D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305" w:type="pct"/>
            <w:shd w:val="clear" w:color="auto" w:fill="auto"/>
            <w:vAlign w:val="center"/>
          </w:tcPr>
          <w:p w14:paraId="231F0D5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794E7D8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5333224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BB6BD1B">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5C81A14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6ACB7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C3519FD">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C32B77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4-6#</w:t>
            </w:r>
          </w:p>
        </w:tc>
        <w:tc>
          <w:tcPr>
            <w:tcW w:w="375" w:type="pct"/>
            <w:shd w:val="clear" w:color="auto" w:fill="auto"/>
            <w:noWrap/>
            <w:vAlign w:val="center"/>
          </w:tcPr>
          <w:p w14:paraId="70B5C8D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w:t>
            </w:r>
          </w:p>
        </w:tc>
        <w:tc>
          <w:tcPr>
            <w:tcW w:w="393" w:type="pct"/>
            <w:shd w:val="clear" w:color="auto" w:fill="auto"/>
            <w:noWrap/>
            <w:vAlign w:val="center"/>
          </w:tcPr>
          <w:p w14:paraId="08E6D453">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1169</w:t>
            </w:r>
          </w:p>
        </w:tc>
        <w:tc>
          <w:tcPr>
            <w:tcW w:w="250" w:type="pct"/>
            <w:shd w:val="clear" w:color="auto" w:fill="auto"/>
            <w:vAlign w:val="center"/>
          </w:tcPr>
          <w:p w14:paraId="1A6C1D2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40A6AF4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559E9E9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4136ED5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305" w:type="pct"/>
            <w:shd w:val="clear" w:color="auto" w:fill="auto"/>
            <w:noWrap/>
            <w:vAlign w:val="center"/>
          </w:tcPr>
          <w:p w14:paraId="733CA87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79184A2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33E1A17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1FD4B31">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1D3A90A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35410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BB470B2">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454295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4-7#</w:t>
            </w:r>
          </w:p>
        </w:tc>
        <w:tc>
          <w:tcPr>
            <w:tcW w:w="375" w:type="pct"/>
            <w:shd w:val="clear" w:color="auto" w:fill="auto"/>
            <w:noWrap/>
            <w:vAlign w:val="center"/>
          </w:tcPr>
          <w:p w14:paraId="5BC1DB4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-21</w:t>
            </w:r>
          </w:p>
        </w:tc>
        <w:tc>
          <w:tcPr>
            <w:tcW w:w="393" w:type="pct"/>
            <w:shd w:val="clear" w:color="auto" w:fill="auto"/>
            <w:noWrap/>
            <w:vAlign w:val="center"/>
          </w:tcPr>
          <w:p w14:paraId="3706C88E">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1110</w:t>
            </w:r>
          </w:p>
        </w:tc>
        <w:tc>
          <w:tcPr>
            <w:tcW w:w="250" w:type="pct"/>
            <w:shd w:val="clear" w:color="auto" w:fill="auto"/>
            <w:vAlign w:val="center"/>
          </w:tcPr>
          <w:p w14:paraId="1A48B02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719B77D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7451C74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0057BE6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305" w:type="pct"/>
            <w:shd w:val="clear" w:color="auto" w:fill="auto"/>
            <w:noWrap/>
            <w:vAlign w:val="center"/>
          </w:tcPr>
          <w:p w14:paraId="4130186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6D25475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4A2DC81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5962EAB5">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42D30A5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16125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BD2CBAE">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00DC9D8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4-8#</w:t>
            </w:r>
          </w:p>
        </w:tc>
        <w:tc>
          <w:tcPr>
            <w:tcW w:w="375" w:type="pct"/>
            <w:shd w:val="clear" w:color="auto" w:fill="auto"/>
            <w:noWrap/>
            <w:vAlign w:val="center"/>
          </w:tcPr>
          <w:p w14:paraId="2A93997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-26</w:t>
            </w:r>
          </w:p>
        </w:tc>
        <w:tc>
          <w:tcPr>
            <w:tcW w:w="393" w:type="pct"/>
            <w:shd w:val="clear" w:color="auto" w:fill="auto"/>
            <w:noWrap/>
            <w:vAlign w:val="center"/>
          </w:tcPr>
          <w:p w14:paraId="7B73FD4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1046</w:t>
            </w:r>
          </w:p>
        </w:tc>
        <w:tc>
          <w:tcPr>
            <w:tcW w:w="250" w:type="pct"/>
            <w:shd w:val="clear" w:color="auto" w:fill="auto"/>
            <w:vAlign w:val="center"/>
          </w:tcPr>
          <w:p w14:paraId="2BC9040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59AC06E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3792035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7797139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305" w:type="pct"/>
            <w:shd w:val="clear" w:color="auto" w:fill="auto"/>
            <w:noWrap/>
            <w:vAlign w:val="center"/>
          </w:tcPr>
          <w:p w14:paraId="79D88DA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03BE55C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37EE33C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8450367">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1AA0636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060E2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579C3A1A">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F6DD56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4-9#</w:t>
            </w:r>
          </w:p>
        </w:tc>
        <w:tc>
          <w:tcPr>
            <w:tcW w:w="375" w:type="pct"/>
            <w:shd w:val="clear" w:color="auto" w:fill="auto"/>
            <w:noWrap/>
            <w:vAlign w:val="center"/>
          </w:tcPr>
          <w:p w14:paraId="53A0C81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65</w:t>
            </w:r>
          </w:p>
        </w:tc>
        <w:tc>
          <w:tcPr>
            <w:tcW w:w="393" w:type="pct"/>
            <w:shd w:val="clear" w:color="auto" w:fill="auto"/>
            <w:noWrap/>
            <w:vAlign w:val="center"/>
          </w:tcPr>
          <w:p w14:paraId="5A28842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1223</w:t>
            </w:r>
          </w:p>
        </w:tc>
        <w:tc>
          <w:tcPr>
            <w:tcW w:w="250" w:type="pct"/>
            <w:shd w:val="clear" w:color="auto" w:fill="auto"/>
            <w:vAlign w:val="center"/>
          </w:tcPr>
          <w:p w14:paraId="5F63952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0A5ECF9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724EB17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4FFA10D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4766062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30075A3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251CCB7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5CB68C1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622A2659">
            <w:pPr>
              <w:pStyle w:val="1342"/>
              <w:snapToGrid w:val="0"/>
              <w:spacing w:line="240" w:lineRule="auto"/>
              <w:jc w:val="center"/>
              <w:rPr>
                <w:rFonts w:ascii="Arial" w:hAnsi="Arial" w:cs="Arial"/>
                <w:color w:val="auto"/>
                <w:sz w:val="18"/>
                <w:szCs w:val="18"/>
              </w:rPr>
            </w:pPr>
          </w:p>
        </w:tc>
      </w:tr>
      <w:tr w14:paraId="03073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671B1342">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4BEC45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4-10#</w:t>
            </w:r>
          </w:p>
        </w:tc>
        <w:tc>
          <w:tcPr>
            <w:tcW w:w="375" w:type="pct"/>
            <w:shd w:val="clear" w:color="auto" w:fill="auto"/>
            <w:noWrap/>
            <w:vAlign w:val="center"/>
          </w:tcPr>
          <w:p w14:paraId="757FE12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61</w:t>
            </w:r>
          </w:p>
        </w:tc>
        <w:tc>
          <w:tcPr>
            <w:tcW w:w="393" w:type="pct"/>
            <w:shd w:val="clear" w:color="auto" w:fill="auto"/>
            <w:noWrap/>
            <w:vAlign w:val="center"/>
          </w:tcPr>
          <w:p w14:paraId="45ED65F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1170</w:t>
            </w:r>
          </w:p>
        </w:tc>
        <w:tc>
          <w:tcPr>
            <w:tcW w:w="250" w:type="pct"/>
            <w:shd w:val="clear" w:color="auto" w:fill="auto"/>
            <w:vAlign w:val="center"/>
          </w:tcPr>
          <w:p w14:paraId="3F6CA13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4570E26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16AAE1E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34A8921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41F940E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123C329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2A6CAB2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5F000F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0362DEBA">
            <w:pPr>
              <w:pStyle w:val="1342"/>
              <w:snapToGrid w:val="0"/>
              <w:spacing w:line="240" w:lineRule="auto"/>
              <w:jc w:val="center"/>
              <w:rPr>
                <w:rFonts w:ascii="Arial" w:hAnsi="Arial" w:cs="Arial"/>
                <w:color w:val="auto"/>
                <w:sz w:val="18"/>
                <w:szCs w:val="18"/>
              </w:rPr>
            </w:pPr>
          </w:p>
        </w:tc>
      </w:tr>
      <w:tr w14:paraId="4B9B2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829E743">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0A99D75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4-11#</w:t>
            </w:r>
          </w:p>
        </w:tc>
        <w:tc>
          <w:tcPr>
            <w:tcW w:w="375" w:type="pct"/>
            <w:shd w:val="clear" w:color="auto" w:fill="auto"/>
            <w:noWrap/>
            <w:vAlign w:val="center"/>
          </w:tcPr>
          <w:p w14:paraId="4AE7524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51</w:t>
            </w:r>
          </w:p>
        </w:tc>
        <w:tc>
          <w:tcPr>
            <w:tcW w:w="393" w:type="pct"/>
            <w:shd w:val="clear" w:color="auto" w:fill="auto"/>
            <w:noWrap/>
            <w:vAlign w:val="center"/>
          </w:tcPr>
          <w:p w14:paraId="274CBC5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1104</w:t>
            </w:r>
          </w:p>
        </w:tc>
        <w:tc>
          <w:tcPr>
            <w:tcW w:w="250" w:type="pct"/>
            <w:shd w:val="clear" w:color="auto" w:fill="auto"/>
            <w:vAlign w:val="center"/>
          </w:tcPr>
          <w:p w14:paraId="45E35A0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3E01D6B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67974DA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328BB0D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340C6E3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5BED17B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31B371E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C250A5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4409EB78">
            <w:pPr>
              <w:pStyle w:val="1342"/>
              <w:snapToGrid w:val="0"/>
              <w:spacing w:line="240" w:lineRule="auto"/>
              <w:jc w:val="center"/>
              <w:rPr>
                <w:rFonts w:ascii="Arial" w:hAnsi="Arial" w:cs="Arial"/>
                <w:color w:val="auto"/>
                <w:sz w:val="18"/>
                <w:szCs w:val="18"/>
              </w:rPr>
            </w:pPr>
          </w:p>
        </w:tc>
      </w:tr>
      <w:tr w14:paraId="1A4C5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96E7812">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E01162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4-12#</w:t>
            </w:r>
          </w:p>
        </w:tc>
        <w:tc>
          <w:tcPr>
            <w:tcW w:w="375" w:type="pct"/>
            <w:shd w:val="clear" w:color="auto" w:fill="auto"/>
            <w:noWrap/>
            <w:vAlign w:val="center"/>
          </w:tcPr>
          <w:p w14:paraId="4ABB477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43</w:t>
            </w:r>
          </w:p>
        </w:tc>
        <w:tc>
          <w:tcPr>
            <w:tcW w:w="393" w:type="pct"/>
            <w:shd w:val="clear" w:color="auto" w:fill="auto"/>
            <w:noWrap/>
            <w:vAlign w:val="center"/>
          </w:tcPr>
          <w:p w14:paraId="0DB222D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1046</w:t>
            </w:r>
          </w:p>
        </w:tc>
        <w:tc>
          <w:tcPr>
            <w:tcW w:w="250" w:type="pct"/>
            <w:shd w:val="clear" w:color="auto" w:fill="auto"/>
            <w:vAlign w:val="center"/>
          </w:tcPr>
          <w:p w14:paraId="05EE32F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1E2630C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3A2A369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007CC86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4E1FC0F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333AEFD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770FF92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3AD706A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6627A75C">
            <w:pPr>
              <w:pStyle w:val="1342"/>
              <w:snapToGrid w:val="0"/>
              <w:spacing w:line="240" w:lineRule="auto"/>
              <w:jc w:val="center"/>
              <w:rPr>
                <w:rFonts w:ascii="Arial" w:hAnsi="Arial" w:cs="Arial"/>
                <w:color w:val="auto"/>
                <w:sz w:val="18"/>
                <w:szCs w:val="18"/>
              </w:rPr>
            </w:pPr>
          </w:p>
        </w:tc>
      </w:tr>
      <w:tr w14:paraId="45F7A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E4EBBE5">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D8B31C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4-13#</w:t>
            </w:r>
          </w:p>
        </w:tc>
        <w:tc>
          <w:tcPr>
            <w:tcW w:w="375" w:type="pct"/>
            <w:shd w:val="clear" w:color="auto" w:fill="auto"/>
            <w:noWrap/>
            <w:vAlign w:val="center"/>
          </w:tcPr>
          <w:p w14:paraId="5001AD9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w:t>
            </w:r>
          </w:p>
        </w:tc>
        <w:tc>
          <w:tcPr>
            <w:tcW w:w="393" w:type="pct"/>
            <w:shd w:val="clear" w:color="auto" w:fill="auto"/>
            <w:noWrap/>
            <w:vAlign w:val="center"/>
          </w:tcPr>
          <w:p w14:paraId="6B6D047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1225</w:t>
            </w:r>
          </w:p>
        </w:tc>
        <w:tc>
          <w:tcPr>
            <w:tcW w:w="250" w:type="pct"/>
            <w:shd w:val="clear" w:color="auto" w:fill="auto"/>
            <w:vAlign w:val="center"/>
          </w:tcPr>
          <w:p w14:paraId="50524E0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0088774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0E54A7A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60AF6DE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4517446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28A784D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3DA04E7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9EF696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00AB480C">
            <w:pPr>
              <w:pStyle w:val="1342"/>
              <w:snapToGrid w:val="0"/>
              <w:spacing w:line="240" w:lineRule="auto"/>
              <w:jc w:val="center"/>
              <w:rPr>
                <w:rFonts w:ascii="Arial" w:hAnsi="Arial" w:cs="Arial"/>
                <w:color w:val="auto"/>
                <w:sz w:val="18"/>
                <w:szCs w:val="18"/>
              </w:rPr>
            </w:pPr>
          </w:p>
        </w:tc>
      </w:tr>
      <w:tr w14:paraId="2066E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9CBE475">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E0836F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4-14#</w:t>
            </w:r>
          </w:p>
        </w:tc>
        <w:tc>
          <w:tcPr>
            <w:tcW w:w="375" w:type="pct"/>
            <w:shd w:val="clear" w:color="auto" w:fill="auto"/>
            <w:noWrap/>
            <w:vAlign w:val="center"/>
          </w:tcPr>
          <w:p w14:paraId="0C309E9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w:t>
            </w:r>
          </w:p>
        </w:tc>
        <w:tc>
          <w:tcPr>
            <w:tcW w:w="393" w:type="pct"/>
            <w:shd w:val="clear" w:color="auto" w:fill="auto"/>
            <w:noWrap/>
            <w:vAlign w:val="center"/>
          </w:tcPr>
          <w:p w14:paraId="40417F1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1177</w:t>
            </w:r>
          </w:p>
        </w:tc>
        <w:tc>
          <w:tcPr>
            <w:tcW w:w="250" w:type="pct"/>
            <w:shd w:val="clear" w:color="auto" w:fill="auto"/>
            <w:vAlign w:val="center"/>
          </w:tcPr>
          <w:p w14:paraId="2BB58CF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6EECCF7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0DE0FBB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0B25D83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45E4F1C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7B1B33E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5DA421D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CB393B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1036C66C">
            <w:pPr>
              <w:pStyle w:val="1342"/>
              <w:snapToGrid w:val="0"/>
              <w:spacing w:line="240" w:lineRule="auto"/>
              <w:jc w:val="center"/>
              <w:rPr>
                <w:rFonts w:ascii="Arial" w:hAnsi="Arial" w:cs="Arial"/>
                <w:color w:val="auto"/>
                <w:sz w:val="18"/>
                <w:szCs w:val="18"/>
              </w:rPr>
            </w:pPr>
          </w:p>
        </w:tc>
      </w:tr>
      <w:tr w14:paraId="3B012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7107D5F">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EA675E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4-15#</w:t>
            </w:r>
          </w:p>
        </w:tc>
        <w:tc>
          <w:tcPr>
            <w:tcW w:w="375" w:type="pct"/>
            <w:shd w:val="clear" w:color="auto" w:fill="auto"/>
            <w:noWrap/>
            <w:vAlign w:val="center"/>
          </w:tcPr>
          <w:p w14:paraId="130641A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w:t>
            </w:r>
          </w:p>
        </w:tc>
        <w:tc>
          <w:tcPr>
            <w:tcW w:w="393" w:type="pct"/>
            <w:shd w:val="clear" w:color="auto" w:fill="auto"/>
            <w:noWrap/>
            <w:vAlign w:val="center"/>
          </w:tcPr>
          <w:p w14:paraId="7211DE5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1110</w:t>
            </w:r>
          </w:p>
        </w:tc>
        <w:tc>
          <w:tcPr>
            <w:tcW w:w="250" w:type="pct"/>
            <w:shd w:val="clear" w:color="auto" w:fill="auto"/>
            <w:vAlign w:val="center"/>
          </w:tcPr>
          <w:p w14:paraId="328A8EC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08957CD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69E2C4D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3BA6D85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0AC6E9E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0C07603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1203D58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3823A64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4AAF1D3B">
            <w:pPr>
              <w:pStyle w:val="1342"/>
              <w:snapToGrid w:val="0"/>
              <w:spacing w:line="240" w:lineRule="auto"/>
              <w:jc w:val="center"/>
              <w:rPr>
                <w:rFonts w:ascii="Arial" w:hAnsi="Arial" w:cs="Arial"/>
                <w:color w:val="auto"/>
                <w:sz w:val="18"/>
                <w:szCs w:val="18"/>
              </w:rPr>
            </w:pPr>
          </w:p>
        </w:tc>
      </w:tr>
      <w:tr w14:paraId="685E7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36CF7C01">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50D4F29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4-16#</w:t>
            </w:r>
          </w:p>
        </w:tc>
        <w:tc>
          <w:tcPr>
            <w:tcW w:w="375" w:type="pct"/>
            <w:shd w:val="clear" w:color="auto" w:fill="auto"/>
            <w:noWrap/>
            <w:vAlign w:val="center"/>
          </w:tcPr>
          <w:p w14:paraId="146AE4C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w:t>
            </w:r>
          </w:p>
        </w:tc>
        <w:tc>
          <w:tcPr>
            <w:tcW w:w="393" w:type="pct"/>
            <w:shd w:val="clear" w:color="auto" w:fill="auto"/>
            <w:noWrap/>
            <w:vAlign w:val="center"/>
          </w:tcPr>
          <w:p w14:paraId="63D80F1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1057</w:t>
            </w:r>
          </w:p>
        </w:tc>
        <w:tc>
          <w:tcPr>
            <w:tcW w:w="250" w:type="pct"/>
            <w:shd w:val="clear" w:color="auto" w:fill="auto"/>
            <w:vAlign w:val="center"/>
          </w:tcPr>
          <w:p w14:paraId="72C7F34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7BCC78F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6E490F3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03D9A47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4F867FC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75E1EC3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773090E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1D352A9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1BB0CABD">
            <w:pPr>
              <w:pStyle w:val="1342"/>
              <w:snapToGrid w:val="0"/>
              <w:spacing w:line="240" w:lineRule="auto"/>
              <w:jc w:val="center"/>
              <w:rPr>
                <w:rFonts w:ascii="Arial" w:hAnsi="Arial" w:cs="Arial"/>
                <w:color w:val="auto"/>
                <w:sz w:val="18"/>
                <w:szCs w:val="18"/>
              </w:rPr>
            </w:pPr>
          </w:p>
        </w:tc>
      </w:tr>
      <w:tr w14:paraId="77436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B37DC96">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91615D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5-1#</w:t>
            </w:r>
          </w:p>
        </w:tc>
        <w:tc>
          <w:tcPr>
            <w:tcW w:w="375" w:type="pct"/>
            <w:shd w:val="clear" w:color="auto" w:fill="auto"/>
            <w:noWrap/>
            <w:vAlign w:val="center"/>
          </w:tcPr>
          <w:p w14:paraId="5F50F7E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-273</w:t>
            </w:r>
          </w:p>
        </w:tc>
        <w:tc>
          <w:tcPr>
            <w:tcW w:w="393" w:type="pct"/>
            <w:shd w:val="clear" w:color="auto" w:fill="auto"/>
            <w:noWrap/>
            <w:vAlign w:val="center"/>
          </w:tcPr>
          <w:p w14:paraId="404248A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-93</w:t>
            </w:r>
          </w:p>
        </w:tc>
        <w:tc>
          <w:tcPr>
            <w:tcW w:w="250" w:type="pct"/>
            <w:shd w:val="clear" w:color="auto" w:fill="auto"/>
            <w:vAlign w:val="center"/>
          </w:tcPr>
          <w:p w14:paraId="49EB222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5C8A6EC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60</w:t>
            </w:r>
          </w:p>
        </w:tc>
        <w:tc>
          <w:tcPr>
            <w:tcW w:w="359" w:type="pct"/>
            <w:shd w:val="clear" w:color="auto" w:fill="auto"/>
            <w:noWrap/>
            <w:vAlign w:val="center"/>
          </w:tcPr>
          <w:p w14:paraId="45C80FF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w:t>
            </w:r>
          </w:p>
        </w:tc>
        <w:tc>
          <w:tcPr>
            <w:tcW w:w="449" w:type="pct"/>
            <w:shd w:val="clear" w:color="auto" w:fill="auto"/>
            <w:noWrap/>
            <w:vAlign w:val="center"/>
          </w:tcPr>
          <w:p w14:paraId="2718A05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15.5</w:t>
            </w:r>
          </w:p>
        </w:tc>
        <w:tc>
          <w:tcPr>
            <w:tcW w:w="305" w:type="pct"/>
            <w:shd w:val="clear" w:color="auto" w:fill="auto"/>
            <w:noWrap/>
            <w:vAlign w:val="center"/>
          </w:tcPr>
          <w:p w14:paraId="76CBF2E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140</w:t>
            </w:r>
          </w:p>
        </w:tc>
        <w:tc>
          <w:tcPr>
            <w:tcW w:w="381" w:type="pct"/>
            <w:shd w:val="clear" w:color="auto" w:fill="auto"/>
            <w:vAlign w:val="center"/>
          </w:tcPr>
          <w:p w14:paraId="0931BAA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53D3019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0F1FFE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1.491</w:t>
            </w:r>
          </w:p>
        </w:tc>
        <w:tc>
          <w:tcPr>
            <w:tcW w:w="517" w:type="pct"/>
            <w:shd w:val="clear" w:color="auto" w:fill="auto"/>
            <w:vAlign w:val="center"/>
          </w:tcPr>
          <w:p w14:paraId="3EF27A1C">
            <w:pPr>
              <w:pStyle w:val="1342"/>
              <w:snapToGrid w:val="0"/>
              <w:spacing w:line="240" w:lineRule="auto"/>
              <w:jc w:val="center"/>
              <w:rPr>
                <w:rFonts w:ascii="Arial" w:hAnsi="Arial" w:cs="Arial"/>
                <w:color w:val="auto"/>
                <w:sz w:val="18"/>
                <w:szCs w:val="18"/>
              </w:rPr>
            </w:pPr>
          </w:p>
        </w:tc>
      </w:tr>
      <w:tr w14:paraId="272CD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07CF39C">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049A9EB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5-3#</w:t>
            </w:r>
          </w:p>
        </w:tc>
        <w:tc>
          <w:tcPr>
            <w:tcW w:w="375" w:type="pct"/>
            <w:shd w:val="clear" w:color="auto" w:fill="auto"/>
            <w:noWrap/>
            <w:vAlign w:val="center"/>
          </w:tcPr>
          <w:p w14:paraId="3AC85DE6">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-76</w:t>
            </w:r>
          </w:p>
        </w:tc>
        <w:tc>
          <w:tcPr>
            <w:tcW w:w="393" w:type="pct"/>
            <w:shd w:val="clear" w:color="auto" w:fill="auto"/>
            <w:noWrap/>
            <w:vAlign w:val="center"/>
          </w:tcPr>
          <w:p w14:paraId="33C724F6">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-61</w:t>
            </w:r>
          </w:p>
        </w:tc>
        <w:tc>
          <w:tcPr>
            <w:tcW w:w="250" w:type="pct"/>
            <w:shd w:val="clear" w:color="auto" w:fill="auto"/>
            <w:vAlign w:val="center"/>
          </w:tcPr>
          <w:p w14:paraId="79E1B42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62C829C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33F6D45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1F3BDCE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16.1</w:t>
            </w:r>
          </w:p>
        </w:tc>
        <w:tc>
          <w:tcPr>
            <w:tcW w:w="305" w:type="pct"/>
            <w:shd w:val="clear" w:color="auto" w:fill="auto"/>
            <w:noWrap/>
            <w:vAlign w:val="center"/>
          </w:tcPr>
          <w:p w14:paraId="56973E1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0336224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4ECE6F9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09BAD40">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4F52665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0.0975</w:t>
            </w:r>
          </w:p>
        </w:tc>
      </w:tr>
      <w:tr w14:paraId="1E165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DFEA4B5">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D01C27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5-4#</w:t>
            </w:r>
          </w:p>
        </w:tc>
        <w:tc>
          <w:tcPr>
            <w:tcW w:w="375" w:type="pct"/>
            <w:shd w:val="clear" w:color="auto" w:fill="auto"/>
            <w:noWrap/>
            <w:vAlign w:val="center"/>
          </w:tcPr>
          <w:p w14:paraId="378F36A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160</w:t>
            </w:r>
          </w:p>
        </w:tc>
        <w:tc>
          <w:tcPr>
            <w:tcW w:w="393" w:type="pct"/>
            <w:shd w:val="clear" w:color="auto" w:fill="auto"/>
            <w:noWrap/>
            <w:vAlign w:val="center"/>
          </w:tcPr>
          <w:p w14:paraId="0C30D7E6">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445</w:t>
            </w:r>
          </w:p>
        </w:tc>
        <w:tc>
          <w:tcPr>
            <w:tcW w:w="250" w:type="pct"/>
            <w:shd w:val="clear" w:color="auto" w:fill="auto"/>
            <w:vAlign w:val="center"/>
          </w:tcPr>
          <w:p w14:paraId="48D7589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086F528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31BD060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0.7</w:t>
            </w:r>
          </w:p>
        </w:tc>
        <w:tc>
          <w:tcPr>
            <w:tcW w:w="449" w:type="pct"/>
            <w:shd w:val="clear" w:color="auto" w:fill="auto"/>
            <w:noWrap/>
            <w:vAlign w:val="center"/>
          </w:tcPr>
          <w:p w14:paraId="3B9D8C0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15.7</w:t>
            </w:r>
          </w:p>
        </w:tc>
        <w:tc>
          <w:tcPr>
            <w:tcW w:w="305" w:type="pct"/>
            <w:shd w:val="clear" w:color="auto" w:fill="auto"/>
            <w:noWrap/>
            <w:vAlign w:val="center"/>
          </w:tcPr>
          <w:p w14:paraId="261256B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28967B3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3001855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564E8FE">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4B4B2D5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0.113</w:t>
            </w:r>
          </w:p>
        </w:tc>
      </w:tr>
      <w:tr w14:paraId="328A8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5AE6D5A4">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49ED13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5-5#</w:t>
            </w:r>
          </w:p>
        </w:tc>
        <w:tc>
          <w:tcPr>
            <w:tcW w:w="375" w:type="pct"/>
            <w:shd w:val="clear" w:color="auto" w:fill="auto"/>
            <w:noWrap/>
            <w:vAlign w:val="center"/>
          </w:tcPr>
          <w:p w14:paraId="3BCC0BC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-264</w:t>
            </w:r>
          </w:p>
        </w:tc>
        <w:tc>
          <w:tcPr>
            <w:tcW w:w="393" w:type="pct"/>
            <w:shd w:val="clear" w:color="auto" w:fill="auto"/>
            <w:noWrap/>
            <w:vAlign w:val="center"/>
          </w:tcPr>
          <w:p w14:paraId="1DEBEBD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18</w:t>
            </w:r>
          </w:p>
        </w:tc>
        <w:tc>
          <w:tcPr>
            <w:tcW w:w="250" w:type="pct"/>
            <w:shd w:val="clear" w:color="auto" w:fill="auto"/>
            <w:vAlign w:val="center"/>
          </w:tcPr>
          <w:p w14:paraId="7EC3733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2B2701B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12794D9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0.25</w:t>
            </w:r>
          </w:p>
        </w:tc>
        <w:tc>
          <w:tcPr>
            <w:tcW w:w="449" w:type="pct"/>
            <w:shd w:val="clear" w:color="auto" w:fill="auto"/>
            <w:noWrap/>
            <w:vAlign w:val="center"/>
          </w:tcPr>
          <w:p w14:paraId="52A2E66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15.7</w:t>
            </w:r>
          </w:p>
        </w:tc>
        <w:tc>
          <w:tcPr>
            <w:tcW w:w="305" w:type="pct"/>
            <w:shd w:val="clear" w:color="auto" w:fill="auto"/>
            <w:noWrap/>
            <w:vAlign w:val="center"/>
          </w:tcPr>
          <w:p w14:paraId="4E6E1F5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71B5143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4AD6348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16A9630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0.023</w:t>
            </w:r>
          </w:p>
        </w:tc>
        <w:tc>
          <w:tcPr>
            <w:tcW w:w="517" w:type="pct"/>
            <w:shd w:val="clear" w:color="auto" w:fill="auto"/>
            <w:vAlign w:val="center"/>
          </w:tcPr>
          <w:p w14:paraId="7B48CA6C">
            <w:pPr>
              <w:pStyle w:val="1342"/>
              <w:snapToGrid w:val="0"/>
              <w:spacing w:line="240" w:lineRule="auto"/>
              <w:jc w:val="center"/>
              <w:rPr>
                <w:rFonts w:ascii="Arial" w:hAnsi="Arial" w:cs="Arial"/>
                <w:color w:val="auto"/>
                <w:sz w:val="18"/>
                <w:szCs w:val="18"/>
              </w:rPr>
            </w:pPr>
          </w:p>
        </w:tc>
      </w:tr>
      <w:tr w14:paraId="602CE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803128F">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8EBBB1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5-6#</w:t>
            </w:r>
          </w:p>
        </w:tc>
        <w:tc>
          <w:tcPr>
            <w:tcW w:w="375" w:type="pct"/>
            <w:shd w:val="clear" w:color="auto" w:fill="auto"/>
            <w:noWrap/>
            <w:vAlign w:val="center"/>
          </w:tcPr>
          <w:p w14:paraId="06750B3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-236</w:t>
            </w:r>
          </w:p>
        </w:tc>
        <w:tc>
          <w:tcPr>
            <w:tcW w:w="393" w:type="pct"/>
            <w:shd w:val="clear" w:color="auto" w:fill="auto"/>
            <w:noWrap/>
            <w:vAlign w:val="center"/>
          </w:tcPr>
          <w:p w14:paraId="533D11A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9</w:t>
            </w:r>
          </w:p>
        </w:tc>
        <w:tc>
          <w:tcPr>
            <w:tcW w:w="250" w:type="pct"/>
            <w:shd w:val="clear" w:color="auto" w:fill="auto"/>
            <w:vAlign w:val="center"/>
          </w:tcPr>
          <w:p w14:paraId="68DC16F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5E6A5BB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314CA49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0.15</w:t>
            </w:r>
          </w:p>
        </w:tc>
        <w:tc>
          <w:tcPr>
            <w:tcW w:w="449" w:type="pct"/>
            <w:shd w:val="clear" w:color="auto" w:fill="auto"/>
            <w:noWrap/>
            <w:vAlign w:val="center"/>
          </w:tcPr>
          <w:p w14:paraId="64520D8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12.3</w:t>
            </w:r>
          </w:p>
        </w:tc>
        <w:tc>
          <w:tcPr>
            <w:tcW w:w="305" w:type="pct"/>
            <w:shd w:val="clear" w:color="auto" w:fill="auto"/>
            <w:noWrap/>
            <w:vAlign w:val="center"/>
          </w:tcPr>
          <w:p w14:paraId="3ADE502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81" w:type="pct"/>
            <w:shd w:val="clear" w:color="auto" w:fill="auto"/>
            <w:vAlign w:val="center"/>
          </w:tcPr>
          <w:p w14:paraId="7DB6E7D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6CEA5D2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605A19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0.01</w:t>
            </w:r>
          </w:p>
        </w:tc>
        <w:tc>
          <w:tcPr>
            <w:tcW w:w="517" w:type="pct"/>
            <w:shd w:val="clear" w:color="auto" w:fill="auto"/>
            <w:vAlign w:val="center"/>
          </w:tcPr>
          <w:p w14:paraId="511650F7">
            <w:pPr>
              <w:pStyle w:val="1342"/>
              <w:snapToGrid w:val="0"/>
              <w:spacing w:line="240" w:lineRule="auto"/>
              <w:jc w:val="center"/>
              <w:rPr>
                <w:rFonts w:ascii="Arial" w:hAnsi="Arial" w:cs="Arial"/>
                <w:color w:val="auto"/>
                <w:sz w:val="18"/>
                <w:szCs w:val="18"/>
              </w:rPr>
            </w:pPr>
          </w:p>
        </w:tc>
      </w:tr>
      <w:tr w14:paraId="43576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restart"/>
            <w:shd w:val="clear" w:color="auto" w:fill="auto"/>
            <w:vAlign w:val="center"/>
          </w:tcPr>
          <w:p w14:paraId="356C59A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二阶段</w:t>
            </w:r>
          </w:p>
        </w:tc>
        <w:tc>
          <w:tcPr>
            <w:tcW w:w="500" w:type="pct"/>
            <w:shd w:val="clear" w:color="auto" w:fill="auto"/>
            <w:vAlign w:val="center"/>
          </w:tcPr>
          <w:p w14:paraId="18B9325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w:t>
            </w:r>
          </w:p>
        </w:tc>
        <w:tc>
          <w:tcPr>
            <w:tcW w:w="375" w:type="pct"/>
            <w:shd w:val="clear" w:color="auto" w:fill="auto"/>
            <w:noWrap/>
            <w:vAlign w:val="center"/>
          </w:tcPr>
          <w:p w14:paraId="13CC198E">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109</w:t>
            </w:r>
          </w:p>
        </w:tc>
        <w:tc>
          <w:tcPr>
            <w:tcW w:w="393" w:type="pct"/>
            <w:shd w:val="clear" w:color="auto" w:fill="auto"/>
            <w:noWrap/>
            <w:vAlign w:val="center"/>
          </w:tcPr>
          <w:p w14:paraId="17FD250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1308</w:t>
            </w:r>
          </w:p>
        </w:tc>
        <w:tc>
          <w:tcPr>
            <w:tcW w:w="250" w:type="pct"/>
            <w:shd w:val="clear" w:color="auto" w:fill="auto"/>
            <w:vAlign w:val="center"/>
          </w:tcPr>
          <w:p w14:paraId="6582E34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6955CAD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1B52C4B1">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51506B1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1528C1A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5798C50E">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1ACC9131">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34EAB5E1">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2B50519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14:paraId="0DC88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BB54680">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445E65D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4-2#</w:t>
            </w:r>
          </w:p>
        </w:tc>
        <w:tc>
          <w:tcPr>
            <w:tcW w:w="375" w:type="pct"/>
            <w:shd w:val="clear" w:color="auto" w:fill="auto"/>
            <w:noWrap/>
            <w:vAlign w:val="center"/>
          </w:tcPr>
          <w:p w14:paraId="747655B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113</w:t>
            </w:r>
          </w:p>
        </w:tc>
        <w:tc>
          <w:tcPr>
            <w:tcW w:w="393" w:type="pct"/>
            <w:shd w:val="clear" w:color="auto" w:fill="auto"/>
            <w:noWrap/>
            <w:vAlign w:val="center"/>
          </w:tcPr>
          <w:p w14:paraId="7AC3B23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1263</w:t>
            </w:r>
          </w:p>
        </w:tc>
        <w:tc>
          <w:tcPr>
            <w:tcW w:w="250" w:type="pct"/>
            <w:shd w:val="clear" w:color="auto" w:fill="auto"/>
            <w:vAlign w:val="center"/>
          </w:tcPr>
          <w:p w14:paraId="409996C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5F39B77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444131E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1423DED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3F29480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2DBD37E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4F160FA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1C625940">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0406A3D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14:paraId="42098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61DB07E6">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ACAE56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4-3#</w:t>
            </w:r>
          </w:p>
        </w:tc>
        <w:tc>
          <w:tcPr>
            <w:tcW w:w="375" w:type="pct"/>
            <w:shd w:val="clear" w:color="auto" w:fill="auto"/>
            <w:noWrap/>
            <w:vAlign w:val="center"/>
          </w:tcPr>
          <w:p w14:paraId="44CED0D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308</w:t>
            </w:r>
          </w:p>
        </w:tc>
        <w:tc>
          <w:tcPr>
            <w:tcW w:w="393" w:type="pct"/>
            <w:shd w:val="clear" w:color="auto" w:fill="auto"/>
            <w:noWrap/>
            <w:vAlign w:val="center"/>
          </w:tcPr>
          <w:p w14:paraId="4D2ECC0E">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760</w:t>
            </w:r>
          </w:p>
        </w:tc>
        <w:tc>
          <w:tcPr>
            <w:tcW w:w="250" w:type="pct"/>
            <w:shd w:val="clear" w:color="auto" w:fill="auto"/>
            <w:vAlign w:val="center"/>
          </w:tcPr>
          <w:p w14:paraId="175709E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0123D47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5699874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5AE7B0A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057086EE">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48F51BE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7E3C0C4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60B13705">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0998B2A1">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14:paraId="7AB24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3BEC10D">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4800B3F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4-4#</w:t>
            </w:r>
          </w:p>
        </w:tc>
        <w:tc>
          <w:tcPr>
            <w:tcW w:w="375" w:type="pct"/>
            <w:shd w:val="clear" w:color="auto" w:fill="auto"/>
            <w:noWrap/>
            <w:vAlign w:val="center"/>
          </w:tcPr>
          <w:p w14:paraId="5E05C773">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303</w:t>
            </w:r>
          </w:p>
        </w:tc>
        <w:tc>
          <w:tcPr>
            <w:tcW w:w="393" w:type="pct"/>
            <w:shd w:val="clear" w:color="auto" w:fill="auto"/>
            <w:noWrap/>
            <w:vAlign w:val="center"/>
          </w:tcPr>
          <w:p w14:paraId="1EC17F1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716</w:t>
            </w:r>
          </w:p>
        </w:tc>
        <w:tc>
          <w:tcPr>
            <w:tcW w:w="250" w:type="pct"/>
            <w:shd w:val="clear" w:color="auto" w:fill="auto"/>
            <w:vAlign w:val="center"/>
          </w:tcPr>
          <w:p w14:paraId="00364A7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3DD2686E">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4BFD113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468A374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3F76B55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4818C18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78C5EEF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5C6EB65B">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1E569581">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14:paraId="314EB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3FC3156">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CFD639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4-5#</w:t>
            </w:r>
          </w:p>
        </w:tc>
        <w:tc>
          <w:tcPr>
            <w:tcW w:w="375" w:type="pct"/>
            <w:shd w:val="clear" w:color="auto" w:fill="auto"/>
            <w:noWrap/>
            <w:vAlign w:val="center"/>
          </w:tcPr>
          <w:p w14:paraId="3FE19BC6">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-5</w:t>
            </w:r>
          </w:p>
        </w:tc>
        <w:tc>
          <w:tcPr>
            <w:tcW w:w="393" w:type="pct"/>
            <w:shd w:val="clear" w:color="auto" w:fill="auto"/>
            <w:noWrap/>
            <w:vAlign w:val="center"/>
          </w:tcPr>
          <w:p w14:paraId="4D21DC9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1321</w:t>
            </w:r>
          </w:p>
        </w:tc>
        <w:tc>
          <w:tcPr>
            <w:tcW w:w="250" w:type="pct"/>
            <w:shd w:val="clear" w:color="auto" w:fill="auto"/>
            <w:vAlign w:val="center"/>
          </w:tcPr>
          <w:p w14:paraId="27174DC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4410112E">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376FE08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5A05C4E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2A5FC9A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37C7EF8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0C3DAC9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3512274B">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147A425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14:paraId="2D130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33D9EBD2">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4A38A6A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4-6#</w:t>
            </w:r>
          </w:p>
        </w:tc>
        <w:tc>
          <w:tcPr>
            <w:tcW w:w="375" w:type="pct"/>
            <w:shd w:val="clear" w:color="auto" w:fill="auto"/>
            <w:noWrap/>
            <w:vAlign w:val="center"/>
          </w:tcPr>
          <w:p w14:paraId="7A5DA2C3">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93" w:type="pct"/>
            <w:shd w:val="clear" w:color="auto" w:fill="auto"/>
            <w:noWrap/>
            <w:vAlign w:val="center"/>
          </w:tcPr>
          <w:p w14:paraId="753A141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1271</w:t>
            </w:r>
          </w:p>
        </w:tc>
        <w:tc>
          <w:tcPr>
            <w:tcW w:w="250" w:type="pct"/>
            <w:shd w:val="clear" w:color="auto" w:fill="auto"/>
            <w:vAlign w:val="center"/>
          </w:tcPr>
          <w:p w14:paraId="50219CE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348E49E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51B6DF6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6FA5C8E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461A7A73">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00D870E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0A705A0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133AD860">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538B965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14:paraId="4CE8B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DF0D0EE">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A8C20E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4-7#</w:t>
            </w:r>
          </w:p>
        </w:tc>
        <w:tc>
          <w:tcPr>
            <w:tcW w:w="375" w:type="pct"/>
            <w:shd w:val="clear" w:color="auto" w:fill="auto"/>
            <w:noWrap/>
            <w:vAlign w:val="center"/>
          </w:tcPr>
          <w:p w14:paraId="5CD689E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186</w:t>
            </w:r>
          </w:p>
        </w:tc>
        <w:tc>
          <w:tcPr>
            <w:tcW w:w="393" w:type="pct"/>
            <w:shd w:val="clear" w:color="auto" w:fill="auto"/>
            <w:noWrap/>
            <w:vAlign w:val="center"/>
          </w:tcPr>
          <w:p w14:paraId="2D75D3F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768</w:t>
            </w:r>
          </w:p>
        </w:tc>
        <w:tc>
          <w:tcPr>
            <w:tcW w:w="250" w:type="pct"/>
            <w:shd w:val="clear" w:color="auto" w:fill="auto"/>
            <w:vAlign w:val="center"/>
          </w:tcPr>
          <w:p w14:paraId="1C516B2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7A89328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7C65349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519EADD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4F80D59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1C90028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5BBE307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2A551D65">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1E5563F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14:paraId="12A55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7CE7DA4">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7B6BC6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4-8#</w:t>
            </w:r>
          </w:p>
        </w:tc>
        <w:tc>
          <w:tcPr>
            <w:tcW w:w="375" w:type="pct"/>
            <w:shd w:val="clear" w:color="auto" w:fill="auto"/>
            <w:noWrap/>
            <w:vAlign w:val="center"/>
          </w:tcPr>
          <w:p w14:paraId="6867256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175</w:t>
            </w:r>
          </w:p>
        </w:tc>
        <w:tc>
          <w:tcPr>
            <w:tcW w:w="393" w:type="pct"/>
            <w:shd w:val="clear" w:color="auto" w:fill="auto"/>
            <w:noWrap/>
            <w:vAlign w:val="center"/>
          </w:tcPr>
          <w:p w14:paraId="58135DD3">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729</w:t>
            </w:r>
          </w:p>
        </w:tc>
        <w:tc>
          <w:tcPr>
            <w:tcW w:w="250" w:type="pct"/>
            <w:shd w:val="clear" w:color="auto" w:fill="auto"/>
            <w:vAlign w:val="center"/>
          </w:tcPr>
          <w:p w14:paraId="7A034D5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6BBA7C0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6C34598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2F5B732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625E44C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5582B3A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1232200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2804502A">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4884330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0.114</w:t>
            </w:r>
          </w:p>
        </w:tc>
      </w:tr>
      <w:tr w14:paraId="1E9F5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6BC91D90">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D80076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4-9#</w:t>
            </w:r>
          </w:p>
        </w:tc>
        <w:tc>
          <w:tcPr>
            <w:tcW w:w="375" w:type="pct"/>
            <w:shd w:val="clear" w:color="auto" w:fill="auto"/>
            <w:noWrap/>
            <w:vAlign w:val="center"/>
          </w:tcPr>
          <w:p w14:paraId="53A928C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w:t>
            </w:r>
          </w:p>
        </w:tc>
        <w:tc>
          <w:tcPr>
            <w:tcW w:w="393" w:type="pct"/>
            <w:shd w:val="clear" w:color="auto" w:fill="auto"/>
            <w:noWrap/>
            <w:vAlign w:val="center"/>
          </w:tcPr>
          <w:p w14:paraId="1B8E27C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1342</w:t>
            </w:r>
          </w:p>
        </w:tc>
        <w:tc>
          <w:tcPr>
            <w:tcW w:w="250" w:type="pct"/>
            <w:shd w:val="clear" w:color="auto" w:fill="auto"/>
            <w:vAlign w:val="center"/>
          </w:tcPr>
          <w:p w14:paraId="3798835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70F4559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68851EC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55FBBCA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3580F0C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2EA24FF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23E2CE1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F08F88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263371BE">
            <w:pPr>
              <w:pStyle w:val="1342"/>
              <w:snapToGrid w:val="0"/>
              <w:spacing w:line="240" w:lineRule="auto"/>
              <w:jc w:val="center"/>
              <w:rPr>
                <w:rFonts w:ascii="Arial" w:hAnsi="Arial" w:cs="Arial"/>
                <w:color w:val="auto"/>
                <w:sz w:val="18"/>
                <w:szCs w:val="18"/>
              </w:rPr>
            </w:pPr>
          </w:p>
        </w:tc>
      </w:tr>
      <w:tr w14:paraId="7224D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6189C5D6">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D77965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4-10#</w:t>
            </w:r>
          </w:p>
        </w:tc>
        <w:tc>
          <w:tcPr>
            <w:tcW w:w="375" w:type="pct"/>
            <w:shd w:val="clear" w:color="auto" w:fill="auto"/>
            <w:noWrap/>
            <w:vAlign w:val="center"/>
          </w:tcPr>
          <w:p w14:paraId="6FD0054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78</w:t>
            </w:r>
          </w:p>
        </w:tc>
        <w:tc>
          <w:tcPr>
            <w:tcW w:w="393" w:type="pct"/>
            <w:shd w:val="clear" w:color="auto" w:fill="auto"/>
            <w:noWrap/>
            <w:vAlign w:val="center"/>
          </w:tcPr>
          <w:p w14:paraId="1A68A96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1287</w:t>
            </w:r>
          </w:p>
        </w:tc>
        <w:tc>
          <w:tcPr>
            <w:tcW w:w="250" w:type="pct"/>
            <w:shd w:val="clear" w:color="auto" w:fill="auto"/>
            <w:vAlign w:val="center"/>
          </w:tcPr>
          <w:p w14:paraId="3C37981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3BD211E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0506A91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6B9076D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202D1B5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7D7F63D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1B275ED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506E4F9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32F167B8">
            <w:pPr>
              <w:pStyle w:val="1342"/>
              <w:snapToGrid w:val="0"/>
              <w:spacing w:line="240" w:lineRule="auto"/>
              <w:jc w:val="center"/>
              <w:rPr>
                <w:rFonts w:ascii="Arial" w:hAnsi="Arial" w:cs="Arial"/>
                <w:color w:val="auto"/>
                <w:sz w:val="18"/>
                <w:szCs w:val="18"/>
              </w:rPr>
            </w:pPr>
          </w:p>
        </w:tc>
      </w:tr>
      <w:tr w14:paraId="13F3F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AB26368">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89C31D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4-11#</w:t>
            </w:r>
          </w:p>
        </w:tc>
        <w:tc>
          <w:tcPr>
            <w:tcW w:w="375" w:type="pct"/>
            <w:shd w:val="clear" w:color="auto" w:fill="auto"/>
            <w:noWrap/>
            <w:vAlign w:val="center"/>
          </w:tcPr>
          <w:p w14:paraId="1B320E7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267</w:t>
            </w:r>
          </w:p>
        </w:tc>
        <w:tc>
          <w:tcPr>
            <w:tcW w:w="393" w:type="pct"/>
            <w:shd w:val="clear" w:color="auto" w:fill="auto"/>
            <w:noWrap/>
            <w:vAlign w:val="center"/>
          </w:tcPr>
          <w:p w14:paraId="6A624FD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795</w:t>
            </w:r>
          </w:p>
        </w:tc>
        <w:tc>
          <w:tcPr>
            <w:tcW w:w="250" w:type="pct"/>
            <w:shd w:val="clear" w:color="auto" w:fill="auto"/>
            <w:vAlign w:val="center"/>
          </w:tcPr>
          <w:p w14:paraId="589DA5B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32EA9F8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6DF65C7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1F467FC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6EA0A57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23F8E4E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1E734D8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871664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416D2A13">
            <w:pPr>
              <w:pStyle w:val="1342"/>
              <w:snapToGrid w:val="0"/>
              <w:spacing w:line="240" w:lineRule="auto"/>
              <w:jc w:val="center"/>
              <w:rPr>
                <w:rFonts w:ascii="Arial" w:hAnsi="Arial" w:cs="Arial"/>
                <w:color w:val="auto"/>
                <w:sz w:val="18"/>
                <w:szCs w:val="18"/>
              </w:rPr>
            </w:pPr>
          </w:p>
        </w:tc>
      </w:tr>
      <w:tr w14:paraId="53622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2AD3B6E">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ACD9DC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4-12#</w:t>
            </w:r>
          </w:p>
        </w:tc>
        <w:tc>
          <w:tcPr>
            <w:tcW w:w="375" w:type="pct"/>
            <w:shd w:val="clear" w:color="auto" w:fill="auto"/>
            <w:noWrap/>
            <w:vAlign w:val="center"/>
          </w:tcPr>
          <w:p w14:paraId="5D2A218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265</w:t>
            </w:r>
          </w:p>
        </w:tc>
        <w:tc>
          <w:tcPr>
            <w:tcW w:w="393" w:type="pct"/>
            <w:shd w:val="clear" w:color="auto" w:fill="auto"/>
            <w:noWrap/>
            <w:vAlign w:val="center"/>
          </w:tcPr>
          <w:p w14:paraId="3454E9C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747</w:t>
            </w:r>
          </w:p>
        </w:tc>
        <w:tc>
          <w:tcPr>
            <w:tcW w:w="250" w:type="pct"/>
            <w:shd w:val="clear" w:color="auto" w:fill="auto"/>
            <w:vAlign w:val="center"/>
          </w:tcPr>
          <w:p w14:paraId="389A01F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074A25D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4299888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1717BFC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0525A84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10B5D4A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2AAD011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A0F75B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4E23EDAF">
            <w:pPr>
              <w:pStyle w:val="1342"/>
              <w:snapToGrid w:val="0"/>
              <w:spacing w:line="240" w:lineRule="auto"/>
              <w:jc w:val="center"/>
              <w:rPr>
                <w:rFonts w:ascii="Arial" w:hAnsi="Arial" w:cs="Arial"/>
                <w:color w:val="auto"/>
                <w:sz w:val="18"/>
                <w:szCs w:val="18"/>
              </w:rPr>
            </w:pPr>
          </w:p>
        </w:tc>
      </w:tr>
      <w:tr w14:paraId="65B96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7155E46">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09CE980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4-13#</w:t>
            </w:r>
          </w:p>
        </w:tc>
        <w:tc>
          <w:tcPr>
            <w:tcW w:w="375" w:type="pct"/>
            <w:shd w:val="clear" w:color="auto" w:fill="auto"/>
            <w:noWrap/>
            <w:vAlign w:val="center"/>
          </w:tcPr>
          <w:p w14:paraId="55AAC39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28</w:t>
            </w:r>
          </w:p>
        </w:tc>
        <w:tc>
          <w:tcPr>
            <w:tcW w:w="393" w:type="pct"/>
            <w:shd w:val="clear" w:color="auto" w:fill="auto"/>
            <w:noWrap/>
            <w:vAlign w:val="center"/>
          </w:tcPr>
          <w:p w14:paraId="131D840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1342</w:t>
            </w:r>
          </w:p>
        </w:tc>
        <w:tc>
          <w:tcPr>
            <w:tcW w:w="250" w:type="pct"/>
            <w:shd w:val="clear" w:color="auto" w:fill="auto"/>
            <w:vAlign w:val="center"/>
          </w:tcPr>
          <w:p w14:paraId="6E5E6E5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37BBADC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3605E77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1B8E4B2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3CE4E49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34233AA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468D9D1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1D04A5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6EC06396">
            <w:pPr>
              <w:pStyle w:val="1342"/>
              <w:snapToGrid w:val="0"/>
              <w:spacing w:line="240" w:lineRule="auto"/>
              <w:jc w:val="center"/>
              <w:rPr>
                <w:rFonts w:ascii="Arial" w:hAnsi="Arial" w:cs="Arial"/>
                <w:color w:val="auto"/>
                <w:sz w:val="18"/>
                <w:szCs w:val="18"/>
              </w:rPr>
            </w:pPr>
          </w:p>
        </w:tc>
      </w:tr>
      <w:tr w14:paraId="6C2A9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3CA882E">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5BD6FE0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4-14#</w:t>
            </w:r>
          </w:p>
        </w:tc>
        <w:tc>
          <w:tcPr>
            <w:tcW w:w="375" w:type="pct"/>
            <w:shd w:val="clear" w:color="auto" w:fill="auto"/>
            <w:noWrap/>
            <w:vAlign w:val="center"/>
          </w:tcPr>
          <w:p w14:paraId="61DBA6D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w:t>
            </w:r>
          </w:p>
        </w:tc>
        <w:tc>
          <w:tcPr>
            <w:tcW w:w="393" w:type="pct"/>
            <w:shd w:val="clear" w:color="auto" w:fill="auto"/>
            <w:noWrap/>
            <w:vAlign w:val="center"/>
          </w:tcPr>
          <w:p w14:paraId="429D23B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1298</w:t>
            </w:r>
          </w:p>
        </w:tc>
        <w:tc>
          <w:tcPr>
            <w:tcW w:w="250" w:type="pct"/>
            <w:shd w:val="clear" w:color="auto" w:fill="auto"/>
            <w:vAlign w:val="center"/>
          </w:tcPr>
          <w:p w14:paraId="2170A6A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79B6602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6494CD2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3B8F488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02DE4A7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24DAC45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77AC128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1F4FC7B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52ADAF4A">
            <w:pPr>
              <w:pStyle w:val="1342"/>
              <w:snapToGrid w:val="0"/>
              <w:spacing w:line="240" w:lineRule="auto"/>
              <w:jc w:val="center"/>
              <w:rPr>
                <w:rFonts w:ascii="Arial" w:hAnsi="Arial" w:cs="Arial"/>
                <w:color w:val="auto"/>
                <w:sz w:val="18"/>
                <w:szCs w:val="18"/>
              </w:rPr>
            </w:pPr>
          </w:p>
        </w:tc>
      </w:tr>
      <w:tr w14:paraId="66414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3898A486">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52EC736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4-15#</w:t>
            </w:r>
          </w:p>
        </w:tc>
        <w:tc>
          <w:tcPr>
            <w:tcW w:w="375" w:type="pct"/>
            <w:shd w:val="clear" w:color="auto" w:fill="auto"/>
            <w:noWrap/>
            <w:vAlign w:val="center"/>
          </w:tcPr>
          <w:p w14:paraId="5413541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217</w:t>
            </w:r>
          </w:p>
        </w:tc>
        <w:tc>
          <w:tcPr>
            <w:tcW w:w="393" w:type="pct"/>
            <w:shd w:val="clear" w:color="auto" w:fill="auto"/>
            <w:noWrap/>
            <w:vAlign w:val="center"/>
          </w:tcPr>
          <w:p w14:paraId="048EAA6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798</w:t>
            </w:r>
          </w:p>
        </w:tc>
        <w:tc>
          <w:tcPr>
            <w:tcW w:w="250" w:type="pct"/>
            <w:shd w:val="clear" w:color="auto" w:fill="auto"/>
            <w:vAlign w:val="center"/>
          </w:tcPr>
          <w:p w14:paraId="702B673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4C246FB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2CDFAB1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1BB417E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6705E4B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68250F1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70C186F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B631A0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33EB55A4">
            <w:pPr>
              <w:pStyle w:val="1342"/>
              <w:snapToGrid w:val="0"/>
              <w:spacing w:line="240" w:lineRule="auto"/>
              <w:jc w:val="center"/>
              <w:rPr>
                <w:rFonts w:ascii="Arial" w:hAnsi="Arial" w:cs="Arial"/>
                <w:color w:val="auto"/>
                <w:sz w:val="18"/>
                <w:szCs w:val="18"/>
              </w:rPr>
            </w:pPr>
          </w:p>
        </w:tc>
      </w:tr>
      <w:tr w14:paraId="6B247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0E06242">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B2672D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4-16#</w:t>
            </w:r>
          </w:p>
        </w:tc>
        <w:tc>
          <w:tcPr>
            <w:tcW w:w="375" w:type="pct"/>
            <w:shd w:val="clear" w:color="auto" w:fill="auto"/>
            <w:noWrap/>
            <w:vAlign w:val="center"/>
          </w:tcPr>
          <w:p w14:paraId="3D116FE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212</w:t>
            </w:r>
          </w:p>
        </w:tc>
        <w:tc>
          <w:tcPr>
            <w:tcW w:w="393" w:type="pct"/>
            <w:shd w:val="clear" w:color="auto" w:fill="auto"/>
            <w:noWrap/>
            <w:vAlign w:val="center"/>
          </w:tcPr>
          <w:p w14:paraId="60FF1F9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750</w:t>
            </w:r>
          </w:p>
        </w:tc>
        <w:tc>
          <w:tcPr>
            <w:tcW w:w="250" w:type="pct"/>
            <w:shd w:val="clear" w:color="auto" w:fill="auto"/>
            <w:vAlign w:val="center"/>
          </w:tcPr>
          <w:p w14:paraId="366B33C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49AD356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14E766E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0C643AC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7C2FFCB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57FE240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4BB9525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1F98FB7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4AF31975">
            <w:pPr>
              <w:pStyle w:val="1342"/>
              <w:snapToGrid w:val="0"/>
              <w:spacing w:line="240" w:lineRule="auto"/>
              <w:jc w:val="center"/>
              <w:rPr>
                <w:rFonts w:ascii="Arial" w:hAnsi="Arial" w:cs="Arial"/>
                <w:color w:val="auto"/>
                <w:sz w:val="18"/>
                <w:szCs w:val="18"/>
              </w:rPr>
            </w:pPr>
          </w:p>
        </w:tc>
      </w:tr>
      <w:tr w14:paraId="33D5B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1F1D1E7">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50E8DF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5-1#</w:t>
            </w:r>
          </w:p>
        </w:tc>
        <w:tc>
          <w:tcPr>
            <w:tcW w:w="375" w:type="pct"/>
            <w:shd w:val="clear" w:color="auto" w:fill="auto"/>
            <w:noWrap/>
            <w:vAlign w:val="center"/>
          </w:tcPr>
          <w:p w14:paraId="7A69311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-261</w:t>
            </w:r>
          </w:p>
        </w:tc>
        <w:tc>
          <w:tcPr>
            <w:tcW w:w="393" w:type="pct"/>
            <w:shd w:val="clear" w:color="auto" w:fill="auto"/>
            <w:noWrap/>
            <w:vAlign w:val="center"/>
          </w:tcPr>
          <w:p w14:paraId="308D42E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-96</w:t>
            </w:r>
          </w:p>
        </w:tc>
        <w:tc>
          <w:tcPr>
            <w:tcW w:w="250" w:type="pct"/>
            <w:shd w:val="clear" w:color="auto" w:fill="auto"/>
            <w:vAlign w:val="center"/>
          </w:tcPr>
          <w:p w14:paraId="364D7CC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55B9A43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60</w:t>
            </w:r>
          </w:p>
        </w:tc>
        <w:tc>
          <w:tcPr>
            <w:tcW w:w="359" w:type="pct"/>
            <w:shd w:val="clear" w:color="auto" w:fill="auto"/>
            <w:noWrap/>
            <w:vAlign w:val="center"/>
          </w:tcPr>
          <w:p w14:paraId="4DDE4A8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w:t>
            </w:r>
          </w:p>
        </w:tc>
        <w:tc>
          <w:tcPr>
            <w:tcW w:w="449" w:type="pct"/>
            <w:shd w:val="clear" w:color="auto" w:fill="auto"/>
            <w:noWrap/>
            <w:vAlign w:val="center"/>
          </w:tcPr>
          <w:p w14:paraId="63DD970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15.5</w:t>
            </w:r>
          </w:p>
        </w:tc>
        <w:tc>
          <w:tcPr>
            <w:tcW w:w="305" w:type="pct"/>
            <w:shd w:val="clear" w:color="auto" w:fill="auto"/>
            <w:noWrap/>
            <w:vAlign w:val="center"/>
          </w:tcPr>
          <w:p w14:paraId="46F8932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140</w:t>
            </w:r>
          </w:p>
        </w:tc>
        <w:tc>
          <w:tcPr>
            <w:tcW w:w="381" w:type="pct"/>
            <w:shd w:val="clear" w:color="auto" w:fill="auto"/>
            <w:vAlign w:val="center"/>
          </w:tcPr>
          <w:p w14:paraId="4933342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4C64EAA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568BCA4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1.491</w:t>
            </w:r>
          </w:p>
        </w:tc>
        <w:tc>
          <w:tcPr>
            <w:tcW w:w="517" w:type="pct"/>
            <w:shd w:val="clear" w:color="auto" w:fill="auto"/>
            <w:vAlign w:val="center"/>
          </w:tcPr>
          <w:p w14:paraId="4BDB36E5">
            <w:pPr>
              <w:pStyle w:val="1342"/>
              <w:snapToGrid w:val="0"/>
              <w:spacing w:line="240" w:lineRule="auto"/>
              <w:jc w:val="center"/>
              <w:rPr>
                <w:rFonts w:ascii="Arial" w:hAnsi="Arial" w:cs="Arial"/>
                <w:color w:val="auto"/>
                <w:sz w:val="18"/>
                <w:szCs w:val="18"/>
              </w:rPr>
            </w:pPr>
          </w:p>
        </w:tc>
      </w:tr>
      <w:tr w14:paraId="1A4B4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restart"/>
            <w:shd w:val="clear" w:color="auto" w:fill="auto"/>
            <w:vAlign w:val="center"/>
          </w:tcPr>
          <w:p w14:paraId="2A043B4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三阶段</w:t>
            </w:r>
          </w:p>
        </w:tc>
        <w:tc>
          <w:tcPr>
            <w:tcW w:w="500" w:type="pct"/>
            <w:shd w:val="clear" w:color="auto" w:fill="auto"/>
            <w:vAlign w:val="center"/>
          </w:tcPr>
          <w:p w14:paraId="7F63A121">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4-1#</w:t>
            </w:r>
          </w:p>
        </w:tc>
        <w:tc>
          <w:tcPr>
            <w:tcW w:w="375" w:type="pct"/>
            <w:shd w:val="clear" w:color="auto" w:fill="auto"/>
            <w:noWrap/>
            <w:vAlign w:val="center"/>
          </w:tcPr>
          <w:p w14:paraId="2C297CF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123</w:t>
            </w:r>
          </w:p>
        </w:tc>
        <w:tc>
          <w:tcPr>
            <w:tcW w:w="393" w:type="pct"/>
            <w:shd w:val="clear" w:color="auto" w:fill="auto"/>
            <w:noWrap/>
            <w:vAlign w:val="center"/>
          </w:tcPr>
          <w:p w14:paraId="4EAC64C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797</w:t>
            </w:r>
          </w:p>
        </w:tc>
        <w:tc>
          <w:tcPr>
            <w:tcW w:w="250" w:type="pct"/>
            <w:shd w:val="clear" w:color="auto" w:fill="auto"/>
            <w:vAlign w:val="center"/>
          </w:tcPr>
          <w:p w14:paraId="46A2031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505DBEC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376BE8C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41CECF86">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35FC135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227F756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0EC8E1F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4B9194E0">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2B092E8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0031A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5475810A">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AE44DD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4-2#</w:t>
            </w:r>
          </w:p>
        </w:tc>
        <w:tc>
          <w:tcPr>
            <w:tcW w:w="375" w:type="pct"/>
            <w:shd w:val="clear" w:color="auto" w:fill="auto"/>
            <w:noWrap/>
            <w:vAlign w:val="center"/>
          </w:tcPr>
          <w:p w14:paraId="638B694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115</w:t>
            </w:r>
          </w:p>
        </w:tc>
        <w:tc>
          <w:tcPr>
            <w:tcW w:w="393" w:type="pct"/>
            <w:shd w:val="clear" w:color="auto" w:fill="auto"/>
            <w:noWrap/>
            <w:vAlign w:val="center"/>
          </w:tcPr>
          <w:p w14:paraId="7652B4C3">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737</w:t>
            </w:r>
          </w:p>
        </w:tc>
        <w:tc>
          <w:tcPr>
            <w:tcW w:w="250" w:type="pct"/>
            <w:shd w:val="clear" w:color="auto" w:fill="auto"/>
            <w:vAlign w:val="center"/>
          </w:tcPr>
          <w:p w14:paraId="5DED933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7E35F19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7682C9D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1285DA6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34187C2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2A5FE31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3B98046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51ECF652">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0AB2960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69AA1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C9FB38C">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5B7C2E6">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4-3#</w:t>
            </w:r>
          </w:p>
        </w:tc>
        <w:tc>
          <w:tcPr>
            <w:tcW w:w="375" w:type="pct"/>
            <w:shd w:val="clear" w:color="auto" w:fill="auto"/>
            <w:noWrap/>
            <w:vAlign w:val="center"/>
          </w:tcPr>
          <w:p w14:paraId="55BCCCE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w:t>
            </w:r>
          </w:p>
        </w:tc>
        <w:tc>
          <w:tcPr>
            <w:tcW w:w="393" w:type="pct"/>
            <w:shd w:val="clear" w:color="auto" w:fill="auto"/>
            <w:noWrap/>
            <w:vAlign w:val="center"/>
          </w:tcPr>
          <w:p w14:paraId="470CD4C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804</w:t>
            </w:r>
          </w:p>
        </w:tc>
        <w:tc>
          <w:tcPr>
            <w:tcW w:w="250" w:type="pct"/>
            <w:shd w:val="clear" w:color="auto" w:fill="auto"/>
            <w:vAlign w:val="center"/>
          </w:tcPr>
          <w:p w14:paraId="524B34C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2A356EE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5EEC198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229C8E83">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6B140716">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7A60CC7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6E915D5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59B646D7">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40C8928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256C2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3D7B40C4">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C707D9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4-4#</w:t>
            </w:r>
          </w:p>
        </w:tc>
        <w:tc>
          <w:tcPr>
            <w:tcW w:w="375" w:type="pct"/>
            <w:shd w:val="clear" w:color="auto" w:fill="auto"/>
            <w:noWrap/>
            <w:vAlign w:val="center"/>
          </w:tcPr>
          <w:p w14:paraId="428FC4C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-21</w:t>
            </w:r>
          </w:p>
        </w:tc>
        <w:tc>
          <w:tcPr>
            <w:tcW w:w="393" w:type="pct"/>
            <w:shd w:val="clear" w:color="auto" w:fill="auto"/>
            <w:noWrap/>
            <w:vAlign w:val="center"/>
          </w:tcPr>
          <w:p w14:paraId="207CF0D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760</w:t>
            </w:r>
          </w:p>
        </w:tc>
        <w:tc>
          <w:tcPr>
            <w:tcW w:w="250" w:type="pct"/>
            <w:shd w:val="clear" w:color="auto" w:fill="auto"/>
            <w:vAlign w:val="center"/>
          </w:tcPr>
          <w:p w14:paraId="74304D2E">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7C0DDF2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3B38097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6FD093D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2FC3947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7D24580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7652BFF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5F9C4205">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089DB66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523CB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188710C">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A65BBF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4-5#</w:t>
            </w:r>
          </w:p>
        </w:tc>
        <w:tc>
          <w:tcPr>
            <w:tcW w:w="375" w:type="pct"/>
            <w:shd w:val="clear" w:color="auto" w:fill="auto"/>
            <w:noWrap/>
            <w:vAlign w:val="center"/>
          </w:tcPr>
          <w:p w14:paraId="1BE8CE1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-68</w:t>
            </w:r>
          </w:p>
        </w:tc>
        <w:tc>
          <w:tcPr>
            <w:tcW w:w="393" w:type="pct"/>
            <w:shd w:val="clear" w:color="auto" w:fill="auto"/>
            <w:noWrap/>
            <w:vAlign w:val="center"/>
          </w:tcPr>
          <w:p w14:paraId="4D364C2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812</w:t>
            </w:r>
          </w:p>
        </w:tc>
        <w:tc>
          <w:tcPr>
            <w:tcW w:w="250" w:type="pct"/>
            <w:shd w:val="clear" w:color="auto" w:fill="auto"/>
            <w:vAlign w:val="center"/>
          </w:tcPr>
          <w:p w14:paraId="37133B5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77D78E81">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2382E346">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6F55CA5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49418577">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71A9EFE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1F64A026">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72608CC5">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7D055FE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0E3B3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E5D2A19">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5724EB0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4-6#</w:t>
            </w:r>
          </w:p>
        </w:tc>
        <w:tc>
          <w:tcPr>
            <w:tcW w:w="375" w:type="pct"/>
            <w:shd w:val="clear" w:color="auto" w:fill="auto"/>
            <w:noWrap/>
            <w:vAlign w:val="center"/>
          </w:tcPr>
          <w:p w14:paraId="3E5965C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-77</w:t>
            </w:r>
          </w:p>
        </w:tc>
        <w:tc>
          <w:tcPr>
            <w:tcW w:w="393" w:type="pct"/>
            <w:shd w:val="clear" w:color="auto" w:fill="auto"/>
            <w:noWrap/>
            <w:vAlign w:val="center"/>
          </w:tcPr>
          <w:p w14:paraId="06A15A6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767</w:t>
            </w:r>
          </w:p>
        </w:tc>
        <w:tc>
          <w:tcPr>
            <w:tcW w:w="250" w:type="pct"/>
            <w:shd w:val="clear" w:color="auto" w:fill="auto"/>
            <w:vAlign w:val="center"/>
          </w:tcPr>
          <w:p w14:paraId="7716119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24AD7E1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2ECBD11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5C22105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21D8B18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111FEB3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108FDFB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7A8672E7">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12F2F8B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26734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11F7A9C">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FAF7C53">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4-7#</w:t>
            </w:r>
          </w:p>
        </w:tc>
        <w:tc>
          <w:tcPr>
            <w:tcW w:w="375" w:type="pct"/>
            <w:shd w:val="clear" w:color="auto" w:fill="auto"/>
            <w:noWrap/>
            <w:vAlign w:val="center"/>
          </w:tcPr>
          <w:p w14:paraId="0A416B33">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-188</w:t>
            </w:r>
          </w:p>
        </w:tc>
        <w:tc>
          <w:tcPr>
            <w:tcW w:w="393" w:type="pct"/>
            <w:shd w:val="clear" w:color="auto" w:fill="auto"/>
            <w:noWrap/>
            <w:vAlign w:val="center"/>
          </w:tcPr>
          <w:p w14:paraId="0ABA3E8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837</w:t>
            </w:r>
          </w:p>
        </w:tc>
        <w:tc>
          <w:tcPr>
            <w:tcW w:w="250" w:type="pct"/>
            <w:shd w:val="clear" w:color="auto" w:fill="auto"/>
            <w:vAlign w:val="center"/>
          </w:tcPr>
          <w:p w14:paraId="25FC661B">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5EE5D6B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326B6AE6">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5DF0BE6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77C5BF9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785346C9">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2DCF8BE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0E35D7C9">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42A3F17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79069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3035B4CC">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765B1D4">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4-8#</w:t>
            </w:r>
          </w:p>
        </w:tc>
        <w:tc>
          <w:tcPr>
            <w:tcW w:w="375" w:type="pct"/>
            <w:shd w:val="clear" w:color="auto" w:fill="auto"/>
            <w:noWrap/>
            <w:vAlign w:val="center"/>
          </w:tcPr>
          <w:p w14:paraId="3363E2F0">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-196</w:t>
            </w:r>
          </w:p>
        </w:tc>
        <w:tc>
          <w:tcPr>
            <w:tcW w:w="393" w:type="pct"/>
            <w:shd w:val="clear" w:color="auto" w:fill="auto"/>
            <w:noWrap/>
            <w:vAlign w:val="center"/>
          </w:tcPr>
          <w:p w14:paraId="1A05F19F">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785</w:t>
            </w:r>
          </w:p>
        </w:tc>
        <w:tc>
          <w:tcPr>
            <w:tcW w:w="250" w:type="pct"/>
            <w:shd w:val="clear" w:color="auto" w:fill="auto"/>
            <w:vAlign w:val="center"/>
          </w:tcPr>
          <w:p w14:paraId="711331D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6</w:t>
            </w:r>
          </w:p>
        </w:tc>
        <w:tc>
          <w:tcPr>
            <w:tcW w:w="312" w:type="pct"/>
            <w:shd w:val="clear" w:color="auto" w:fill="auto"/>
            <w:noWrap/>
            <w:vAlign w:val="center"/>
          </w:tcPr>
          <w:p w14:paraId="086BA6C1">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20</w:t>
            </w:r>
          </w:p>
        </w:tc>
        <w:tc>
          <w:tcPr>
            <w:tcW w:w="359" w:type="pct"/>
            <w:shd w:val="clear" w:color="auto" w:fill="auto"/>
            <w:noWrap/>
            <w:vAlign w:val="center"/>
          </w:tcPr>
          <w:p w14:paraId="24E8DCA8">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0.6</w:t>
            </w:r>
          </w:p>
        </w:tc>
        <w:tc>
          <w:tcPr>
            <w:tcW w:w="449" w:type="pct"/>
            <w:shd w:val="clear" w:color="auto" w:fill="auto"/>
            <w:noWrap/>
            <w:vAlign w:val="center"/>
          </w:tcPr>
          <w:p w14:paraId="1465E8C2">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16.1</w:t>
            </w:r>
          </w:p>
        </w:tc>
        <w:tc>
          <w:tcPr>
            <w:tcW w:w="305" w:type="pct"/>
            <w:shd w:val="clear" w:color="auto" w:fill="auto"/>
            <w:noWrap/>
            <w:vAlign w:val="center"/>
          </w:tcPr>
          <w:p w14:paraId="249F182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25</w:t>
            </w:r>
          </w:p>
        </w:tc>
        <w:tc>
          <w:tcPr>
            <w:tcW w:w="381" w:type="pct"/>
            <w:shd w:val="clear" w:color="auto" w:fill="auto"/>
            <w:vAlign w:val="center"/>
          </w:tcPr>
          <w:p w14:paraId="066E09B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7920</w:t>
            </w:r>
          </w:p>
        </w:tc>
        <w:tc>
          <w:tcPr>
            <w:tcW w:w="382" w:type="pct"/>
            <w:shd w:val="clear" w:color="auto" w:fill="auto"/>
            <w:vAlign w:val="center"/>
          </w:tcPr>
          <w:p w14:paraId="4677E69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正常</w:t>
            </w:r>
          </w:p>
        </w:tc>
        <w:tc>
          <w:tcPr>
            <w:tcW w:w="533" w:type="pct"/>
            <w:shd w:val="clear" w:color="auto" w:fill="auto"/>
            <w:vAlign w:val="center"/>
          </w:tcPr>
          <w:p w14:paraId="00D5BCF2">
            <w:pPr>
              <w:pStyle w:val="1342"/>
              <w:snapToGrid w:val="0"/>
              <w:spacing w:line="240" w:lineRule="auto"/>
              <w:jc w:val="center"/>
              <w:rPr>
                <w:rFonts w:ascii="Arial" w:hAnsi="Arial" w:cs="Arial"/>
                <w:color w:val="auto"/>
                <w:sz w:val="18"/>
                <w:szCs w:val="18"/>
              </w:rPr>
            </w:pPr>
          </w:p>
        </w:tc>
        <w:tc>
          <w:tcPr>
            <w:tcW w:w="517" w:type="pct"/>
            <w:shd w:val="clear" w:color="auto" w:fill="auto"/>
            <w:vAlign w:val="center"/>
          </w:tcPr>
          <w:p w14:paraId="22BE491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0.114</w:t>
            </w:r>
          </w:p>
        </w:tc>
      </w:tr>
      <w:tr w14:paraId="003E9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D7BC596">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057B83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4-9#</w:t>
            </w:r>
          </w:p>
        </w:tc>
        <w:tc>
          <w:tcPr>
            <w:tcW w:w="375" w:type="pct"/>
            <w:shd w:val="clear" w:color="auto" w:fill="auto"/>
            <w:noWrap/>
            <w:vAlign w:val="center"/>
          </w:tcPr>
          <w:p w14:paraId="20434D6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81</w:t>
            </w:r>
          </w:p>
        </w:tc>
        <w:tc>
          <w:tcPr>
            <w:tcW w:w="393" w:type="pct"/>
            <w:shd w:val="clear" w:color="auto" w:fill="auto"/>
            <w:noWrap/>
            <w:vAlign w:val="center"/>
          </w:tcPr>
          <w:p w14:paraId="50FD5B6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816</w:t>
            </w:r>
          </w:p>
        </w:tc>
        <w:tc>
          <w:tcPr>
            <w:tcW w:w="250" w:type="pct"/>
            <w:shd w:val="clear" w:color="auto" w:fill="auto"/>
            <w:vAlign w:val="center"/>
          </w:tcPr>
          <w:p w14:paraId="22A9843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5C4147F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4F725B0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711AA08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258E94A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69EA54B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5DC1B0B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AA58FC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6C89DF0B">
            <w:pPr>
              <w:pStyle w:val="1342"/>
              <w:snapToGrid w:val="0"/>
              <w:spacing w:line="240" w:lineRule="auto"/>
              <w:jc w:val="center"/>
              <w:rPr>
                <w:rFonts w:ascii="Arial" w:hAnsi="Arial" w:cs="Arial"/>
                <w:color w:val="auto"/>
                <w:sz w:val="18"/>
                <w:szCs w:val="18"/>
              </w:rPr>
            </w:pPr>
          </w:p>
        </w:tc>
      </w:tr>
      <w:tr w14:paraId="5EDF6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D5B6D60">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780041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4-10#</w:t>
            </w:r>
          </w:p>
        </w:tc>
        <w:tc>
          <w:tcPr>
            <w:tcW w:w="375" w:type="pct"/>
            <w:shd w:val="clear" w:color="auto" w:fill="auto"/>
            <w:noWrap/>
            <w:vAlign w:val="center"/>
          </w:tcPr>
          <w:p w14:paraId="4529FD7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72</w:t>
            </w:r>
          </w:p>
        </w:tc>
        <w:tc>
          <w:tcPr>
            <w:tcW w:w="393" w:type="pct"/>
            <w:shd w:val="clear" w:color="auto" w:fill="auto"/>
            <w:noWrap/>
            <w:vAlign w:val="center"/>
          </w:tcPr>
          <w:p w14:paraId="76EE660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771</w:t>
            </w:r>
          </w:p>
        </w:tc>
        <w:tc>
          <w:tcPr>
            <w:tcW w:w="250" w:type="pct"/>
            <w:shd w:val="clear" w:color="auto" w:fill="auto"/>
            <w:vAlign w:val="center"/>
          </w:tcPr>
          <w:p w14:paraId="32CDB8B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1933528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60F1613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272BCEA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56A3BBA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6263C1F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28155D6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56ACFA2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4504A94B">
            <w:pPr>
              <w:pStyle w:val="1342"/>
              <w:snapToGrid w:val="0"/>
              <w:spacing w:line="240" w:lineRule="auto"/>
              <w:jc w:val="center"/>
              <w:rPr>
                <w:rFonts w:ascii="Arial" w:hAnsi="Arial" w:cs="Arial"/>
                <w:color w:val="auto"/>
                <w:sz w:val="18"/>
                <w:szCs w:val="18"/>
              </w:rPr>
            </w:pPr>
          </w:p>
        </w:tc>
      </w:tr>
      <w:tr w14:paraId="38A0D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3C3B4599">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48E9DFC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4-11#</w:t>
            </w:r>
          </w:p>
        </w:tc>
        <w:tc>
          <w:tcPr>
            <w:tcW w:w="375" w:type="pct"/>
            <w:shd w:val="clear" w:color="auto" w:fill="auto"/>
            <w:noWrap/>
            <w:vAlign w:val="center"/>
          </w:tcPr>
          <w:p w14:paraId="4F3A2C3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w:t>
            </w:r>
          </w:p>
        </w:tc>
        <w:tc>
          <w:tcPr>
            <w:tcW w:w="393" w:type="pct"/>
            <w:shd w:val="clear" w:color="auto" w:fill="auto"/>
            <w:noWrap/>
            <w:vAlign w:val="center"/>
          </w:tcPr>
          <w:p w14:paraId="05BFBEF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820</w:t>
            </w:r>
          </w:p>
        </w:tc>
        <w:tc>
          <w:tcPr>
            <w:tcW w:w="250" w:type="pct"/>
            <w:shd w:val="clear" w:color="auto" w:fill="auto"/>
            <w:vAlign w:val="center"/>
          </w:tcPr>
          <w:p w14:paraId="280D899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2A63E50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55563DD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688E79E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3CE874B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3CD2F88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0495680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2C3A5B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56BA000D">
            <w:pPr>
              <w:pStyle w:val="1342"/>
              <w:snapToGrid w:val="0"/>
              <w:spacing w:line="240" w:lineRule="auto"/>
              <w:jc w:val="center"/>
              <w:rPr>
                <w:rFonts w:ascii="Arial" w:hAnsi="Arial" w:cs="Arial"/>
                <w:color w:val="auto"/>
                <w:sz w:val="18"/>
                <w:szCs w:val="18"/>
              </w:rPr>
            </w:pPr>
          </w:p>
        </w:tc>
      </w:tr>
      <w:tr w14:paraId="12D52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E2A6717">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0BC1833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4-12#</w:t>
            </w:r>
          </w:p>
        </w:tc>
        <w:tc>
          <w:tcPr>
            <w:tcW w:w="375" w:type="pct"/>
            <w:shd w:val="clear" w:color="auto" w:fill="auto"/>
            <w:noWrap/>
            <w:vAlign w:val="center"/>
          </w:tcPr>
          <w:p w14:paraId="19D2E49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17</w:t>
            </w:r>
          </w:p>
        </w:tc>
        <w:tc>
          <w:tcPr>
            <w:tcW w:w="393" w:type="pct"/>
            <w:shd w:val="clear" w:color="auto" w:fill="auto"/>
            <w:noWrap/>
            <w:vAlign w:val="center"/>
          </w:tcPr>
          <w:p w14:paraId="4A983D0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773</w:t>
            </w:r>
          </w:p>
        </w:tc>
        <w:tc>
          <w:tcPr>
            <w:tcW w:w="250" w:type="pct"/>
            <w:shd w:val="clear" w:color="auto" w:fill="auto"/>
            <w:vAlign w:val="center"/>
          </w:tcPr>
          <w:p w14:paraId="4D6972D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6168226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72FDE53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114FA0F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36DDD9F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77FF130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0F8A900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51C4EA5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0A5FA8A3">
            <w:pPr>
              <w:pStyle w:val="1342"/>
              <w:snapToGrid w:val="0"/>
              <w:spacing w:line="240" w:lineRule="auto"/>
              <w:jc w:val="center"/>
              <w:rPr>
                <w:rFonts w:ascii="Arial" w:hAnsi="Arial" w:cs="Arial"/>
                <w:color w:val="auto"/>
                <w:sz w:val="18"/>
                <w:szCs w:val="18"/>
              </w:rPr>
            </w:pPr>
          </w:p>
        </w:tc>
      </w:tr>
      <w:tr w14:paraId="48C47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64D6290">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1CAE70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4-13#</w:t>
            </w:r>
          </w:p>
        </w:tc>
        <w:tc>
          <w:tcPr>
            <w:tcW w:w="375" w:type="pct"/>
            <w:shd w:val="clear" w:color="auto" w:fill="auto"/>
            <w:noWrap/>
            <w:vAlign w:val="center"/>
          </w:tcPr>
          <w:p w14:paraId="500E0B0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-109</w:t>
            </w:r>
          </w:p>
        </w:tc>
        <w:tc>
          <w:tcPr>
            <w:tcW w:w="393" w:type="pct"/>
            <w:shd w:val="clear" w:color="auto" w:fill="auto"/>
            <w:noWrap/>
            <w:vAlign w:val="center"/>
          </w:tcPr>
          <w:p w14:paraId="45C8EAD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834</w:t>
            </w:r>
          </w:p>
        </w:tc>
        <w:tc>
          <w:tcPr>
            <w:tcW w:w="250" w:type="pct"/>
            <w:shd w:val="clear" w:color="auto" w:fill="auto"/>
            <w:vAlign w:val="center"/>
          </w:tcPr>
          <w:p w14:paraId="47E562B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4609CE7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0141A07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4DB5BFC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508B519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0BC615C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493E39C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33C446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6A187EC7">
            <w:pPr>
              <w:pStyle w:val="1342"/>
              <w:snapToGrid w:val="0"/>
              <w:spacing w:line="240" w:lineRule="auto"/>
              <w:jc w:val="center"/>
              <w:rPr>
                <w:rFonts w:ascii="Arial" w:hAnsi="Arial" w:cs="Arial"/>
                <w:color w:val="auto"/>
                <w:sz w:val="18"/>
                <w:szCs w:val="18"/>
              </w:rPr>
            </w:pPr>
          </w:p>
        </w:tc>
      </w:tr>
      <w:tr w14:paraId="3A253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3463C820">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301518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4-14#</w:t>
            </w:r>
          </w:p>
        </w:tc>
        <w:tc>
          <w:tcPr>
            <w:tcW w:w="375" w:type="pct"/>
            <w:shd w:val="clear" w:color="auto" w:fill="auto"/>
            <w:noWrap/>
            <w:vAlign w:val="center"/>
          </w:tcPr>
          <w:p w14:paraId="14A0D8E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-124</w:t>
            </w:r>
          </w:p>
        </w:tc>
        <w:tc>
          <w:tcPr>
            <w:tcW w:w="393" w:type="pct"/>
            <w:shd w:val="clear" w:color="auto" w:fill="auto"/>
            <w:noWrap/>
            <w:vAlign w:val="center"/>
          </w:tcPr>
          <w:p w14:paraId="79AE906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793</w:t>
            </w:r>
          </w:p>
        </w:tc>
        <w:tc>
          <w:tcPr>
            <w:tcW w:w="250" w:type="pct"/>
            <w:shd w:val="clear" w:color="auto" w:fill="auto"/>
            <w:vAlign w:val="center"/>
          </w:tcPr>
          <w:p w14:paraId="38E6A1E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02DCDBE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6DEDECD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5BA4A4F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565A726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66E4846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67B773B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03DE7A8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090FB1D0">
            <w:pPr>
              <w:pStyle w:val="1342"/>
              <w:snapToGrid w:val="0"/>
              <w:spacing w:line="240" w:lineRule="auto"/>
              <w:jc w:val="center"/>
              <w:rPr>
                <w:rFonts w:ascii="Arial" w:hAnsi="Arial" w:cs="Arial"/>
                <w:color w:val="auto"/>
                <w:sz w:val="18"/>
                <w:szCs w:val="18"/>
              </w:rPr>
            </w:pPr>
          </w:p>
        </w:tc>
      </w:tr>
      <w:tr w14:paraId="40F6C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18CD0FC">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523A18C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4-15#</w:t>
            </w:r>
          </w:p>
        </w:tc>
        <w:tc>
          <w:tcPr>
            <w:tcW w:w="375" w:type="pct"/>
            <w:shd w:val="clear" w:color="auto" w:fill="auto"/>
            <w:noWrap/>
            <w:vAlign w:val="center"/>
          </w:tcPr>
          <w:p w14:paraId="19D5843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-158</w:t>
            </w:r>
          </w:p>
        </w:tc>
        <w:tc>
          <w:tcPr>
            <w:tcW w:w="393" w:type="pct"/>
            <w:shd w:val="clear" w:color="auto" w:fill="auto"/>
            <w:noWrap/>
            <w:vAlign w:val="center"/>
          </w:tcPr>
          <w:p w14:paraId="2F3D86A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849</w:t>
            </w:r>
          </w:p>
        </w:tc>
        <w:tc>
          <w:tcPr>
            <w:tcW w:w="250" w:type="pct"/>
            <w:shd w:val="clear" w:color="auto" w:fill="auto"/>
            <w:vAlign w:val="center"/>
          </w:tcPr>
          <w:p w14:paraId="66644EC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312ED70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6CFCCE6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39867C7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7760B1D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5392BD0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3F6A733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1D2A4E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390CF3EE">
            <w:pPr>
              <w:pStyle w:val="1342"/>
              <w:snapToGrid w:val="0"/>
              <w:spacing w:line="240" w:lineRule="auto"/>
              <w:jc w:val="center"/>
              <w:rPr>
                <w:rFonts w:ascii="Arial" w:hAnsi="Arial" w:cs="Arial"/>
                <w:color w:val="auto"/>
                <w:sz w:val="18"/>
                <w:szCs w:val="18"/>
              </w:rPr>
            </w:pPr>
          </w:p>
        </w:tc>
      </w:tr>
      <w:tr w14:paraId="60E03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570A58D5">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42FECFC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14-16#</w:t>
            </w:r>
          </w:p>
        </w:tc>
        <w:tc>
          <w:tcPr>
            <w:tcW w:w="375" w:type="pct"/>
            <w:shd w:val="clear" w:color="auto" w:fill="auto"/>
            <w:noWrap/>
            <w:vAlign w:val="center"/>
          </w:tcPr>
          <w:p w14:paraId="4476BEF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-170</w:t>
            </w:r>
          </w:p>
        </w:tc>
        <w:tc>
          <w:tcPr>
            <w:tcW w:w="393" w:type="pct"/>
            <w:shd w:val="clear" w:color="auto" w:fill="auto"/>
            <w:noWrap/>
            <w:vAlign w:val="center"/>
          </w:tcPr>
          <w:p w14:paraId="1A880AB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796</w:t>
            </w:r>
          </w:p>
        </w:tc>
        <w:tc>
          <w:tcPr>
            <w:tcW w:w="250" w:type="pct"/>
            <w:shd w:val="clear" w:color="auto" w:fill="auto"/>
            <w:vAlign w:val="center"/>
          </w:tcPr>
          <w:p w14:paraId="70105FF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3F3EF4E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w:t>
            </w:r>
          </w:p>
        </w:tc>
        <w:tc>
          <w:tcPr>
            <w:tcW w:w="359" w:type="pct"/>
            <w:shd w:val="clear" w:color="auto" w:fill="auto"/>
            <w:noWrap/>
            <w:vAlign w:val="center"/>
          </w:tcPr>
          <w:p w14:paraId="6D4712B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0.7</w:t>
            </w:r>
          </w:p>
        </w:tc>
        <w:tc>
          <w:tcPr>
            <w:tcW w:w="449" w:type="pct"/>
            <w:shd w:val="clear" w:color="auto" w:fill="auto"/>
            <w:noWrap/>
            <w:vAlign w:val="center"/>
          </w:tcPr>
          <w:p w14:paraId="5AA608E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12</w:t>
            </w:r>
          </w:p>
        </w:tc>
        <w:tc>
          <w:tcPr>
            <w:tcW w:w="305" w:type="pct"/>
            <w:shd w:val="clear" w:color="auto" w:fill="auto"/>
            <w:noWrap/>
            <w:vAlign w:val="center"/>
          </w:tcPr>
          <w:p w14:paraId="2EAFE9F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30</w:t>
            </w:r>
          </w:p>
        </w:tc>
        <w:tc>
          <w:tcPr>
            <w:tcW w:w="381" w:type="pct"/>
            <w:shd w:val="clear" w:color="auto" w:fill="auto"/>
            <w:vAlign w:val="center"/>
          </w:tcPr>
          <w:p w14:paraId="2DAFB27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485DBA1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EB82BA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0.269</w:t>
            </w:r>
          </w:p>
        </w:tc>
        <w:tc>
          <w:tcPr>
            <w:tcW w:w="517" w:type="pct"/>
            <w:shd w:val="clear" w:color="auto" w:fill="auto"/>
            <w:vAlign w:val="center"/>
          </w:tcPr>
          <w:p w14:paraId="0A6F0A06">
            <w:pPr>
              <w:pStyle w:val="1342"/>
              <w:snapToGrid w:val="0"/>
              <w:spacing w:line="240" w:lineRule="auto"/>
              <w:jc w:val="center"/>
              <w:rPr>
                <w:rFonts w:ascii="Arial" w:hAnsi="Arial" w:cs="Arial"/>
                <w:color w:val="auto"/>
                <w:sz w:val="18"/>
                <w:szCs w:val="18"/>
              </w:rPr>
            </w:pPr>
          </w:p>
        </w:tc>
      </w:tr>
      <w:tr w14:paraId="7AEBC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5380F63">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2B30B3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5-1#</w:t>
            </w:r>
          </w:p>
        </w:tc>
        <w:tc>
          <w:tcPr>
            <w:tcW w:w="375" w:type="pct"/>
            <w:shd w:val="clear" w:color="auto" w:fill="auto"/>
            <w:noWrap/>
            <w:vAlign w:val="center"/>
          </w:tcPr>
          <w:p w14:paraId="49C1933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-261</w:t>
            </w:r>
          </w:p>
        </w:tc>
        <w:tc>
          <w:tcPr>
            <w:tcW w:w="393" w:type="pct"/>
            <w:shd w:val="clear" w:color="auto" w:fill="auto"/>
            <w:noWrap/>
            <w:vAlign w:val="center"/>
          </w:tcPr>
          <w:p w14:paraId="223AAB0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-96</w:t>
            </w:r>
          </w:p>
        </w:tc>
        <w:tc>
          <w:tcPr>
            <w:tcW w:w="250" w:type="pct"/>
            <w:shd w:val="clear" w:color="auto" w:fill="auto"/>
            <w:vAlign w:val="center"/>
          </w:tcPr>
          <w:p w14:paraId="3FC129C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w:t>
            </w:r>
          </w:p>
        </w:tc>
        <w:tc>
          <w:tcPr>
            <w:tcW w:w="312" w:type="pct"/>
            <w:shd w:val="clear" w:color="auto" w:fill="auto"/>
            <w:noWrap/>
            <w:vAlign w:val="center"/>
          </w:tcPr>
          <w:p w14:paraId="706B99A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60</w:t>
            </w:r>
          </w:p>
        </w:tc>
        <w:tc>
          <w:tcPr>
            <w:tcW w:w="359" w:type="pct"/>
            <w:shd w:val="clear" w:color="auto" w:fill="auto"/>
            <w:noWrap/>
            <w:vAlign w:val="center"/>
          </w:tcPr>
          <w:p w14:paraId="6AF2222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w:t>
            </w:r>
          </w:p>
        </w:tc>
        <w:tc>
          <w:tcPr>
            <w:tcW w:w="449" w:type="pct"/>
            <w:shd w:val="clear" w:color="auto" w:fill="auto"/>
            <w:noWrap/>
            <w:vAlign w:val="center"/>
          </w:tcPr>
          <w:p w14:paraId="66165DC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15.5</w:t>
            </w:r>
          </w:p>
        </w:tc>
        <w:tc>
          <w:tcPr>
            <w:tcW w:w="305" w:type="pct"/>
            <w:shd w:val="clear" w:color="auto" w:fill="auto"/>
            <w:noWrap/>
            <w:vAlign w:val="center"/>
          </w:tcPr>
          <w:p w14:paraId="0318B37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140</w:t>
            </w:r>
          </w:p>
        </w:tc>
        <w:tc>
          <w:tcPr>
            <w:tcW w:w="381" w:type="pct"/>
            <w:shd w:val="clear" w:color="auto" w:fill="auto"/>
            <w:vAlign w:val="center"/>
          </w:tcPr>
          <w:p w14:paraId="65A9FF6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45B8C39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5C34D4F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1.491</w:t>
            </w:r>
          </w:p>
        </w:tc>
        <w:tc>
          <w:tcPr>
            <w:tcW w:w="517" w:type="pct"/>
            <w:shd w:val="clear" w:color="auto" w:fill="auto"/>
            <w:vAlign w:val="center"/>
          </w:tcPr>
          <w:p w14:paraId="71DB08C1">
            <w:pPr>
              <w:pStyle w:val="1342"/>
              <w:snapToGrid w:val="0"/>
              <w:spacing w:line="240" w:lineRule="auto"/>
              <w:jc w:val="center"/>
              <w:rPr>
                <w:rFonts w:ascii="Arial" w:hAnsi="Arial" w:cs="Arial"/>
                <w:color w:val="auto"/>
                <w:sz w:val="18"/>
                <w:szCs w:val="18"/>
              </w:rPr>
            </w:pPr>
          </w:p>
        </w:tc>
      </w:tr>
      <w:tr w14:paraId="2EDF4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restart"/>
            <w:shd w:val="clear" w:color="auto" w:fill="auto"/>
            <w:vAlign w:val="center"/>
          </w:tcPr>
          <w:p w14:paraId="4300C76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锅炉房</w:t>
            </w:r>
          </w:p>
        </w:tc>
        <w:tc>
          <w:tcPr>
            <w:tcW w:w="500" w:type="pct"/>
            <w:shd w:val="clear" w:color="auto" w:fill="auto"/>
            <w:vAlign w:val="center"/>
          </w:tcPr>
          <w:p w14:paraId="0FEE6D73">
            <w:pPr>
              <w:adjustRightInd w:val="0"/>
              <w:snapToGrid w:val="0"/>
              <w:jc w:val="center"/>
              <w:rPr>
                <w:rFonts w:ascii="Arial" w:hAnsi="Arial" w:eastAsia="宋体" w:cs="Arial"/>
                <w:sz w:val="18"/>
                <w:szCs w:val="18"/>
              </w:rPr>
            </w:pPr>
            <w:r>
              <w:rPr>
                <w:rFonts w:ascii="Arial" w:hAnsi="Arial" w:eastAsia="宋体" w:cs="Arial"/>
                <w:sz w:val="18"/>
                <w:szCs w:val="18"/>
              </w:rPr>
              <w:t xml:space="preserve">7-3# </w:t>
            </w:r>
          </w:p>
        </w:tc>
        <w:tc>
          <w:tcPr>
            <w:tcW w:w="375" w:type="pct"/>
            <w:shd w:val="clear" w:color="auto" w:fill="auto"/>
            <w:noWrap/>
            <w:vAlign w:val="center"/>
          </w:tcPr>
          <w:p w14:paraId="48E97CA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-200</w:t>
            </w:r>
          </w:p>
        </w:tc>
        <w:tc>
          <w:tcPr>
            <w:tcW w:w="393" w:type="pct"/>
            <w:shd w:val="clear" w:color="auto" w:fill="auto"/>
            <w:noWrap/>
            <w:vAlign w:val="center"/>
          </w:tcPr>
          <w:p w14:paraId="405F6B5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-186</w:t>
            </w:r>
          </w:p>
        </w:tc>
        <w:tc>
          <w:tcPr>
            <w:tcW w:w="250" w:type="pct"/>
            <w:shd w:val="clear" w:color="auto" w:fill="auto"/>
            <w:vAlign w:val="center"/>
          </w:tcPr>
          <w:p w14:paraId="27A567DC">
            <w:pPr>
              <w:pStyle w:val="1342"/>
              <w:snapToGrid w:val="0"/>
              <w:spacing w:line="240" w:lineRule="auto"/>
              <w:jc w:val="center"/>
              <w:rPr>
                <w:rFonts w:ascii="Arial" w:hAnsi="Arial" w:cs="Arial"/>
                <w:color w:val="auto"/>
                <w:sz w:val="18"/>
                <w:szCs w:val="18"/>
              </w:rPr>
            </w:pPr>
          </w:p>
        </w:tc>
        <w:tc>
          <w:tcPr>
            <w:tcW w:w="312" w:type="pct"/>
            <w:shd w:val="clear" w:color="auto" w:fill="auto"/>
            <w:noWrap/>
            <w:vAlign w:val="center"/>
          </w:tcPr>
          <w:p w14:paraId="0F8E1D7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27</w:t>
            </w:r>
          </w:p>
        </w:tc>
        <w:tc>
          <w:tcPr>
            <w:tcW w:w="359" w:type="pct"/>
            <w:shd w:val="clear" w:color="auto" w:fill="auto"/>
            <w:noWrap/>
            <w:vAlign w:val="center"/>
          </w:tcPr>
          <w:p w14:paraId="5A0C4C9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w:t>
            </w:r>
          </w:p>
        </w:tc>
        <w:tc>
          <w:tcPr>
            <w:tcW w:w="449" w:type="pct"/>
            <w:shd w:val="clear" w:color="auto" w:fill="auto"/>
            <w:noWrap/>
            <w:vAlign w:val="center"/>
          </w:tcPr>
          <w:p w14:paraId="24E252A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6.2</w:t>
            </w:r>
          </w:p>
        </w:tc>
        <w:tc>
          <w:tcPr>
            <w:tcW w:w="305" w:type="pct"/>
            <w:shd w:val="clear" w:color="auto" w:fill="auto"/>
            <w:noWrap/>
            <w:vAlign w:val="center"/>
          </w:tcPr>
          <w:p w14:paraId="198ACEA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100</w:t>
            </w:r>
          </w:p>
        </w:tc>
        <w:tc>
          <w:tcPr>
            <w:tcW w:w="381" w:type="pct"/>
            <w:shd w:val="clear" w:color="auto" w:fill="auto"/>
            <w:vAlign w:val="center"/>
          </w:tcPr>
          <w:p w14:paraId="7D26B6A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513A2AA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3F82A6B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0.143</w:t>
            </w:r>
          </w:p>
        </w:tc>
        <w:tc>
          <w:tcPr>
            <w:tcW w:w="517" w:type="pct"/>
            <w:shd w:val="clear" w:color="auto" w:fill="auto"/>
            <w:vAlign w:val="center"/>
          </w:tcPr>
          <w:p w14:paraId="1242FC8C">
            <w:pPr>
              <w:pStyle w:val="1342"/>
              <w:snapToGrid w:val="0"/>
              <w:spacing w:line="240" w:lineRule="auto"/>
              <w:jc w:val="center"/>
              <w:rPr>
                <w:rFonts w:ascii="Arial" w:hAnsi="Arial" w:cs="Arial"/>
                <w:color w:val="auto"/>
                <w:sz w:val="18"/>
                <w:szCs w:val="18"/>
              </w:rPr>
            </w:pPr>
          </w:p>
        </w:tc>
      </w:tr>
      <w:tr w14:paraId="3A430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762E92B">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897FB40">
            <w:pPr>
              <w:adjustRightInd w:val="0"/>
              <w:snapToGrid w:val="0"/>
              <w:jc w:val="center"/>
              <w:rPr>
                <w:rFonts w:ascii="Arial" w:hAnsi="Arial" w:eastAsia="宋体" w:cs="Arial"/>
                <w:bCs/>
                <w:sz w:val="18"/>
                <w:szCs w:val="18"/>
              </w:rPr>
            </w:pPr>
            <w:r>
              <w:rPr>
                <w:rFonts w:ascii="Arial" w:hAnsi="Arial" w:eastAsia="宋体" w:cs="Arial"/>
                <w:sz w:val="18"/>
                <w:szCs w:val="18"/>
              </w:rPr>
              <w:t>7-4#</w:t>
            </w:r>
            <w:r>
              <w:rPr>
                <w:rFonts w:ascii="Arial" w:hAnsi="Arial" w:eastAsia="宋体" w:cs="Arial"/>
                <w:bCs/>
                <w:sz w:val="18"/>
                <w:szCs w:val="18"/>
              </w:rPr>
              <w:t xml:space="preserve"> </w:t>
            </w:r>
          </w:p>
        </w:tc>
        <w:tc>
          <w:tcPr>
            <w:tcW w:w="375" w:type="pct"/>
            <w:shd w:val="clear" w:color="auto" w:fill="auto"/>
            <w:noWrap/>
            <w:vAlign w:val="center"/>
          </w:tcPr>
          <w:p w14:paraId="398E9DE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-250</w:t>
            </w:r>
          </w:p>
        </w:tc>
        <w:tc>
          <w:tcPr>
            <w:tcW w:w="393" w:type="pct"/>
            <w:shd w:val="clear" w:color="auto" w:fill="auto"/>
            <w:noWrap/>
            <w:vAlign w:val="center"/>
          </w:tcPr>
          <w:p w14:paraId="2F4D07C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-186</w:t>
            </w:r>
          </w:p>
        </w:tc>
        <w:tc>
          <w:tcPr>
            <w:tcW w:w="250" w:type="pct"/>
            <w:shd w:val="clear" w:color="auto" w:fill="auto"/>
            <w:vAlign w:val="center"/>
          </w:tcPr>
          <w:p w14:paraId="39303B1B">
            <w:pPr>
              <w:pStyle w:val="1342"/>
              <w:snapToGrid w:val="0"/>
              <w:spacing w:line="240" w:lineRule="auto"/>
              <w:jc w:val="center"/>
              <w:rPr>
                <w:rFonts w:ascii="Arial" w:hAnsi="Arial" w:cs="Arial"/>
                <w:color w:val="auto"/>
                <w:sz w:val="18"/>
                <w:szCs w:val="18"/>
              </w:rPr>
            </w:pPr>
          </w:p>
        </w:tc>
        <w:tc>
          <w:tcPr>
            <w:tcW w:w="312" w:type="pct"/>
            <w:shd w:val="clear" w:color="auto" w:fill="auto"/>
            <w:noWrap/>
            <w:vAlign w:val="center"/>
          </w:tcPr>
          <w:p w14:paraId="0A583E2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27</w:t>
            </w:r>
          </w:p>
        </w:tc>
        <w:tc>
          <w:tcPr>
            <w:tcW w:w="359" w:type="pct"/>
            <w:shd w:val="clear" w:color="auto" w:fill="auto"/>
            <w:noWrap/>
            <w:vAlign w:val="center"/>
          </w:tcPr>
          <w:p w14:paraId="7655DCC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1.1</w:t>
            </w:r>
          </w:p>
        </w:tc>
        <w:tc>
          <w:tcPr>
            <w:tcW w:w="449" w:type="pct"/>
            <w:shd w:val="clear" w:color="auto" w:fill="auto"/>
            <w:noWrap/>
            <w:vAlign w:val="center"/>
          </w:tcPr>
          <w:p w14:paraId="57037A0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6.2</w:t>
            </w:r>
          </w:p>
        </w:tc>
        <w:tc>
          <w:tcPr>
            <w:tcW w:w="305" w:type="pct"/>
            <w:shd w:val="clear" w:color="auto" w:fill="auto"/>
            <w:noWrap/>
            <w:vAlign w:val="center"/>
          </w:tcPr>
          <w:p w14:paraId="3B6C961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100</w:t>
            </w:r>
          </w:p>
        </w:tc>
        <w:tc>
          <w:tcPr>
            <w:tcW w:w="381" w:type="pct"/>
            <w:shd w:val="clear" w:color="auto" w:fill="auto"/>
            <w:vAlign w:val="center"/>
          </w:tcPr>
          <w:p w14:paraId="4FC6B16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7920</w:t>
            </w:r>
          </w:p>
        </w:tc>
        <w:tc>
          <w:tcPr>
            <w:tcW w:w="382" w:type="pct"/>
            <w:shd w:val="clear" w:color="auto" w:fill="auto"/>
            <w:vAlign w:val="center"/>
          </w:tcPr>
          <w:p w14:paraId="14903CA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C734E5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0.143</w:t>
            </w:r>
          </w:p>
        </w:tc>
        <w:tc>
          <w:tcPr>
            <w:tcW w:w="517" w:type="pct"/>
            <w:shd w:val="clear" w:color="auto" w:fill="auto"/>
            <w:vAlign w:val="center"/>
          </w:tcPr>
          <w:p w14:paraId="6E908B75">
            <w:pPr>
              <w:pStyle w:val="1342"/>
              <w:snapToGrid w:val="0"/>
              <w:spacing w:line="240" w:lineRule="auto"/>
              <w:jc w:val="center"/>
              <w:rPr>
                <w:rFonts w:ascii="Arial" w:hAnsi="Arial" w:cs="Arial"/>
                <w:color w:val="auto"/>
                <w:sz w:val="18"/>
                <w:szCs w:val="18"/>
              </w:rPr>
            </w:pPr>
          </w:p>
        </w:tc>
      </w:tr>
      <w:tr w14:paraId="2F780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restart"/>
            <w:shd w:val="clear" w:color="auto" w:fill="auto"/>
            <w:vAlign w:val="center"/>
          </w:tcPr>
          <w:p w14:paraId="38A83B3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氢氧化钴技改</w:t>
            </w:r>
          </w:p>
        </w:tc>
        <w:tc>
          <w:tcPr>
            <w:tcW w:w="500" w:type="pct"/>
            <w:shd w:val="clear" w:color="auto" w:fill="auto"/>
            <w:vAlign w:val="center"/>
          </w:tcPr>
          <w:p w14:paraId="28F43DC4">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DA014</w:t>
            </w:r>
          </w:p>
        </w:tc>
        <w:tc>
          <w:tcPr>
            <w:tcW w:w="375" w:type="pct"/>
            <w:shd w:val="clear" w:color="auto" w:fill="auto"/>
            <w:noWrap/>
            <w:vAlign w:val="center"/>
          </w:tcPr>
          <w:p w14:paraId="3CF2560E">
            <w:pPr>
              <w:adjustRightInd w:val="0"/>
              <w:snapToGrid w:val="0"/>
              <w:jc w:val="center"/>
              <w:rPr>
                <w:rFonts w:ascii="Arial" w:hAnsi="Arial" w:eastAsia="宋体" w:cs="Arial"/>
                <w:sz w:val="18"/>
                <w:szCs w:val="18"/>
              </w:rPr>
            </w:pPr>
            <w:r>
              <w:rPr>
                <w:rFonts w:ascii="Arial" w:hAnsi="Arial" w:eastAsia="宋体" w:cs="Arial"/>
                <w:sz w:val="18"/>
                <w:szCs w:val="18"/>
              </w:rPr>
              <w:t>-41</w:t>
            </w:r>
          </w:p>
        </w:tc>
        <w:tc>
          <w:tcPr>
            <w:tcW w:w="393" w:type="pct"/>
            <w:shd w:val="clear" w:color="auto" w:fill="auto"/>
            <w:noWrap/>
            <w:vAlign w:val="center"/>
          </w:tcPr>
          <w:p w14:paraId="37DC265C">
            <w:pPr>
              <w:adjustRightInd w:val="0"/>
              <w:snapToGrid w:val="0"/>
              <w:jc w:val="center"/>
              <w:rPr>
                <w:rFonts w:ascii="Arial" w:hAnsi="Arial" w:eastAsia="宋体" w:cs="Arial"/>
                <w:sz w:val="18"/>
                <w:szCs w:val="18"/>
              </w:rPr>
            </w:pPr>
            <w:r>
              <w:rPr>
                <w:rFonts w:ascii="Arial" w:hAnsi="Arial" w:eastAsia="宋体" w:cs="Arial"/>
                <w:sz w:val="18"/>
                <w:szCs w:val="18"/>
              </w:rPr>
              <w:t>229</w:t>
            </w:r>
          </w:p>
        </w:tc>
        <w:tc>
          <w:tcPr>
            <w:tcW w:w="250" w:type="pct"/>
            <w:shd w:val="clear" w:color="auto" w:fill="auto"/>
            <w:vAlign w:val="center"/>
          </w:tcPr>
          <w:p w14:paraId="13B87802">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w:t>
            </w:r>
          </w:p>
        </w:tc>
        <w:tc>
          <w:tcPr>
            <w:tcW w:w="312" w:type="pct"/>
            <w:shd w:val="clear" w:color="auto" w:fill="auto"/>
            <w:noWrap/>
            <w:vAlign w:val="center"/>
          </w:tcPr>
          <w:p w14:paraId="26E09D60">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w:t>
            </w:r>
          </w:p>
        </w:tc>
        <w:tc>
          <w:tcPr>
            <w:tcW w:w="359" w:type="pct"/>
            <w:shd w:val="clear" w:color="auto" w:fill="auto"/>
            <w:noWrap/>
            <w:vAlign w:val="center"/>
          </w:tcPr>
          <w:p w14:paraId="12022BA4">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0.6</w:t>
            </w:r>
          </w:p>
        </w:tc>
        <w:tc>
          <w:tcPr>
            <w:tcW w:w="449" w:type="pct"/>
            <w:shd w:val="clear" w:color="auto" w:fill="auto"/>
            <w:noWrap/>
            <w:vAlign w:val="center"/>
          </w:tcPr>
          <w:p w14:paraId="7850FC28">
            <w:pPr>
              <w:adjustRightInd w:val="0"/>
              <w:snapToGrid w:val="0"/>
              <w:jc w:val="center"/>
              <w:rPr>
                <w:rFonts w:ascii="Arial" w:hAnsi="Arial" w:eastAsia="宋体" w:cs="Arial"/>
                <w:sz w:val="18"/>
                <w:szCs w:val="18"/>
              </w:rPr>
            </w:pPr>
            <w:r>
              <w:rPr>
                <w:rFonts w:ascii="Arial" w:hAnsi="Arial" w:eastAsia="宋体" w:cs="Arial"/>
                <w:sz w:val="18"/>
                <w:szCs w:val="18"/>
              </w:rPr>
              <w:t>12.3</w:t>
            </w:r>
          </w:p>
        </w:tc>
        <w:tc>
          <w:tcPr>
            <w:tcW w:w="305" w:type="pct"/>
            <w:shd w:val="clear" w:color="auto" w:fill="auto"/>
            <w:noWrap/>
            <w:vAlign w:val="center"/>
          </w:tcPr>
          <w:p w14:paraId="55E6729B">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381" w:type="pct"/>
            <w:shd w:val="clear" w:color="auto" w:fill="auto"/>
            <w:vAlign w:val="center"/>
          </w:tcPr>
          <w:p w14:paraId="04C789B1">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75F9F58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114E59E0">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0.0844</w:t>
            </w:r>
          </w:p>
        </w:tc>
        <w:tc>
          <w:tcPr>
            <w:tcW w:w="517" w:type="pct"/>
            <w:shd w:val="clear" w:color="auto" w:fill="auto"/>
            <w:vAlign w:val="center"/>
          </w:tcPr>
          <w:p w14:paraId="05DAA1A6">
            <w:pPr>
              <w:pStyle w:val="1342"/>
              <w:snapToGrid w:val="0"/>
              <w:spacing w:line="240" w:lineRule="auto"/>
              <w:jc w:val="center"/>
              <w:rPr>
                <w:rFonts w:ascii="Arial" w:hAnsi="Arial" w:cs="Arial"/>
                <w:color w:val="auto"/>
                <w:sz w:val="18"/>
                <w:szCs w:val="18"/>
              </w:rPr>
            </w:pPr>
          </w:p>
        </w:tc>
      </w:tr>
      <w:tr w14:paraId="51AA5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A4E4FAB">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95321F3">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DA053</w:t>
            </w:r>
          </w:p>
        </w:tc>
        <w:tc>
          <w:tcPr>
            <w:tcW w:w="375" w:type="pct"/>
            <w:shd w:val="clear" w:color="auto" w:fill="auto"/>
            <w:noWrap/>
            <w:vAlign w:val="center"/>
          </w:tcPr>
          <w:p w14:paraId="254A1E0D">
            <w:pPr>
              <w:adjustRightInd w:val="0"/>
              <w:snapToGrid w:val="0"/>
              <w:jc w:val="center"/>
              <w:rPr>
                <w:rFonts w:ascii="Arial" w:hAnsi="Arial" w:eastAsia="宋体" w:cs="Arial"/>
                <w:sz w:val="18"/>
                <w:szCs w:val="18"/>
              </w:rPr>
            </w:pPr>
            <w:r>
              <w:rPr>
                <w:rFonts w:ascii="Arial" w:hAnsi="Arial" w:eastAsia="宋体" w:cs="Arial"/>
                <w:sz w:val="18"/>
                <w:szCs w:val="18"/>
              </w:rPr>
              <w:t>72</w:t>
            </w:r>
          </w:p>
        </w:tc>
        <w:tc>
          <w:tcPr>
            <w:tcW w:w="393" w:type="pct"/>
            <w:shd w:val="clear" w:color="auto" w:fill="auto"/>
            <w:noWrap/>
            <w:vAlign w:val="center"/>
          </w:tcPr>
          <w:p w14:paraId="276FAA19">
            <w:pPr>
              <w:adjustRightInd w:val="0"/>
              <w:snapToGrid w:val="0"/>
              <w:jc w:val="center"/>
              <w:rPr>
                <w:rFonts w:ascii="Arial" w:hAnsi="Arial" w:eastAsia="宋体" w:cs="Arial"/>
                <w:sz w:val="18"/>
                <w:szCs w:val="18"/>
              </w:rPr>
            </w:pPr>
            <w:r>
              <w:rPr>
                <w:rFonts w:ascii="Arial" w:hAnsi="Arial" w:eastAsia="宋体" w:cs="Arial"/>
                <w:sz w:val="18"/>
                <w:szCs w:val="18"/>
              </w:rPr>
              <w:t>403</w:t>
            </w:r>
          </w:p>
        </w:tc>
        <w:tc>
          <w:tcPr>
            <w:tcW w:w="250" w:type="pct"/>
            <w:shd w:val="clear" w:color="auto" w:fill="auto"/>
            <w:vAlign w:val="center"/>
          </w:tcPr>
          <w:p w14:paraId="01DD3E9A">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w:t>
            </w:r>
          </w:p>
        </w:tc>
        <w:tc>
          <w:tcPr>
            <w:tcW w:w="312" w:type="pct"/>
            <w:shd w:val="clear" w:color="auto" w:fill="auto"/>
            <w:noWrap/>
            <w:vAlign w:val="center"/>
          </w:tcPr>
          <w:p w14:paraId="1FB7524B">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359" w:type="pct"/>
            <w:shd w:val="clear" w:color="auto" w:fill="auto"/>
            <w:noWrap/>
            <w:vAlign w:val="center"/>
          </w:tcPr>
          <w:p w14:paraId="56DCD180">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449" w:type="pct"/>
            <w:shd w:val="clear" w:color="auto" w:fill="auto"/>
            <w:noWrap/>
            <w:vAlign w:val="center"/>
          </w:tcPr>
          <w:p w14:paraId="705E0C90">
            <w:pPr>
              <w:adjustRightInd w:val="0"/>
              <w:snapToGrid w:val="0"/>
              <w:jc w:val="center"/>
              <w:rPr>
                <w:rFonts w:ascii="Arial" w:hAnsi="Arial" w:eastAsia="宋体" w:cs="Arial"/>
                <w:sz w:val="18"/>
                <w:szCs w:val="18"/>
              </w:rPr>
            </w:pPr>
            <w:r>
              <w:rPr>
                <w:rFonts w:ascii="Arial" w:hAnsi="Arial" w:eastAsia="宋体" w:cs="Arial"/>
                <w:sz w:val="18"/>
                <w:szCs w:val="18"/>
              </w:rPr>
              <w:t>11.5</w:t>
            </w:r>
          </w:p>
        </w:tc>
        <w:tc>
          <w:tcPr>
            <w:tcW w:w="305" w:type="pct"/>
            <w:shd w:val="clear" w:color="auto" w:fill="auto"/>
            <w:noWrap/>
            <w:vAlign w:val="center"/>
          </w:tcPr>
          <w:p w14:paraId="6314F42F">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381" w:type="pct"/>
            <w:shd w:val="clear" w:color="auto" w:fill="auto"/>
            <w:vAlign w:val="center"/>
          </w:tcPr>
          <w:p w14:paraId="35E8A34A">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38CD1D28">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FE4681D">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0.3889</w:t>
            </w:r>
          </w:p>
        </w:tc>
        <w:tc>
          <w:tcPr>
            <w:tcW w:w="517" w:type="pct"/>
            <w:shd w:val="clear" w:color="auto" w:fill="auto"/>
            <w:vAlign w:val="center"/>
          </w:tcPr>
          <w:p w14:paraId="687AFF8B">
            <w:pPr>
              <w:pStyle w:val="1342"/>
              <w:snapToGrid w:val="0"/>
              <w:spacing w:line="240" w:lineRule="auto"/>
              <w:jc w:val="center"/>
              <w:rPr>
                <w:rFonts w:ascii="Arial" w:hAnsi="Arial" w:cs="Arial"/>
                <w:color w:val="auto"/>
                <w:sz w:val="18"/>
                <w:szCs w:val="18"/>
              </w:rPr>
            </w:pPr>
          </w:p>
        </w:tc>
      </w:tr>
      <w:tr w14:paraId="63FB3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restart"/>
            <w:shd w:val="clear" w:color="auto" w:fill="auto"/>
            <w:vAlign w:val="center"/>
          </w:tcPr>
          <w:p w14:paraId="0FD68CB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一体化项目变更</w:t>
            </w:r>
          </w:p>
        </w:tc>
        <w:tc>
          <w:tcPr>
            <w:tcW w:w="500" w:type="pct"/>
            <w:shd w:val="clear" w:color="auto" w:fill="auto"/>
            <w:vAlign w:val="center"/>
          </w:tcPr>
          <w:p w14:paraId="34E0BD78">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DA087</w:t>
            </w:r>
          </w:p>
        </w:tc>
        <w:tc>
          <w:tcPr>
            <w:tcW w:w="375" w:type="pct"/>
            <w:shd w:val="clear" w:color="auto" w:fill="auto"/>
            <w:noWrap/>
            <w:vAlign w:val="center"/>
          </w:tcPr>
          <w:p w14:paraId="2CD16389">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-200</w:t>
            </w:r>
          </w:p>
        </w:tc>
        <w:tc>
          <w:tcPr>
            <w:tcW w:w="393" w:type="pct"/>
            <w:shd w:val="clear" w:color="auto" w:fill="auto"/>
            <w:noWrap/>
            <w:vAlign w:val="center"/>
          </w:tcPr>
          <w:p w14:paraId="77E4486C">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-50</w:t>
            </w:r>
          </w:p>
        </w:tc>
        <w:tc>
          <w:tcPr>
            <w:tcW w:w="250" w:type="pct"/>
            <w:shd w:val="clear" w:color="auto" w:fill="auto"/>
            <w:vAlign w:val="center"/>
          </w:tcPr>
          <w:p w14:paraId="0BBB4648">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2A83F320">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18</w:t>
            </w:r>
          </w:p>
        </w:tc>
        <w:tc>
          <w:tcPr>
            <w:tcW w:w="359" w:type="pct"/>
            <w:shd w:val="clear" w:color="auto" w:fill="auto"/>
            <w:noWrap/>
            <w:vAlign w:val="center"/>
          </w:tcPr>
          <w:p w14:paraId="2312EA98">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1.0</w:t>
            </w:r>
          </w:p>
        </w:tc>
        <w:tc>
          <w:tcPr>
            <w:tcW w:w="449" w:type="pct"/>
            <w:shd w:val="clear" w:color="auto" w:fill="auto"/>
            <w:noWrap/>
            <w:vAlign w:val="center"/>
          </w:tcPr>
          <w:p w14:paraId="27BE8623">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20.9</w:t>
            </w:r>
          </w:p>
        </w:tc>
        <w:tc>
          <w:tcPr>
            <w:tcW w:w="305" w:type="pct"/>
            <w:shd w:val="clear" w:color="auto" w:fill="auto"/>
            <w:noWrap/>
            <w:vAlign w:val="center"/>
          </w:tcPr>
          <w:p w14:paraId="532CBA0A">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200</w:t>
            </w:r>
          </w:p>
        </w:tc>
        <w:tc>
          <w:tcPr>
            <w:tcW w:w="381" w:type="pct"/>
            <w:shd w:val="clear" w:color="auto" w:fill="auto"/>
            <w:vAlign w:val="center"/>
          </w:tcPr>
          <w:p w14:paraId="75E9FCDA">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2C9634A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196DBAAA">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0.0887</w:t>
            </w:r>
          </w:p>
        </w:tc>
        <w:tc>
          <w:tcPr>
            <w:tcW w:w="517" w:type="pct"/>
            <w:shd w:val="clear" w:color="auto" w:fill="auto"/>
            <w:vAlign w:val="center"/>
          </w:tcPr>
          <w:p w14:paraId="219ECBC0">
            <w:pPr>
              <w:pStyle w:val="1342"/>
              <w:snapToGrid w:val="0"/>
              <w:spacing w:line="240" w:lineRule="auto"/>
              <w:jc w:val="center"/>
              <w:rPr>
                <w:rFonts w:ascii="Arial" w:hAnsi="Arial" w:cs="Arial"/>
                <w:color w:val="auto"/>
                <w:sz w:val="18"/>
                <w:szCs w:val="18"/>
              </w:rPr>
            </w:pPr>
          </w:p>
        </w:tc>
      </w:tr>
      <w:tr w14:paraId="798E1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385B12BA">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8EA29A3">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DA088</w:t>
            </w:r>
          </w:p>
        </w:tc>
        <w:tc>
          <w:tcPr>
            <w:tcW w:w="375" w:type="pct"/>
            <w:shd w:val="clear" w:color="auto" w:fill="auto"/>
            <w:noWrap/>
            <w:vAlign w:val="center"/>
          </w:tcPr>
          <w:p w14:paraId="6A4C114D">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-141</w:t>
            </w:r>
          </w:p>
        </w:tc>
        <w:tc>
          <w:tcPr>
            <w:tcW w:w="393" w:type="pct"/>
            <w:shd w:val="clear" w:color="auto" w:fill="auto"/>
            <w:noWrap/>
            <w:vAlign w:val="center"/>
          </w:tcPr>
          <w:p w14:paraId="0340B4EE">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-64</w:t>
            </w:r>
          </w:p>
        </w:tc>
        <w:tc>
          <w:tcPr>
            <w:tcW w:w="250" w:type="pct"/>
            <w:shd w:val="clear" w:color="auto" w:fill="auto"/>
            <w:vAlign w:val="center"/>
          </w:tcPr>
          <w:p w14:paraId="6469CEE6">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4A332F7D">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359" w:type="pct"/>
            <w:shd w:val="clear" w:color="auto" w:fill="auto"/>
            <w:noWrap/>
            <w:vAlign w:val="center"/>
          </w:tcPr>
          <w:p w14:paraId="28B1A867">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0.8</w:t>
            </w:r>
          </w:p>
        </w:tc>
        <w:tc>
          <w:tcPr>
            <w:tcW w:w="449" w:type="pct"/>
            <w:shd w:val="clear" w:color="auto" w:fill="auto"/>
            <w:noWrap/>
            <w:vAlign w:val="center"/>
          </w:tcPr>
          <w:p w14:paraId="429630AA">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7.2</w:t>
            </w:r>
          </w:p>
        </w:tc>
        <w:tc>
          <w:tcPr>
            <w:tcW w:w="305" w:type="pct"/>
            <w:shd w:val="clear" w:color="auto" w:fill="auto"/>
            <w:noWrap/>
            <w:vAlign w:val="center"/>
          </w:tcPr>
          <w:p w14:paraId="16D5BAE8">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381" w:type="pct"/>
            <w:shd w:val="clear" w:color="auto" w:fill="auto"/>
            <w:vAlign w:val="center"/>
          </w:tcPr>
          <w:p w14:paraId="20702542">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095219B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DB03E12">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0.0442</w:t>
            </w:r>
          </w:p>
        </w:tc>
        <w:tc>
          <w:tcPr>
            <w:tcW w:w="517" w:type="pct"/>
            <w:shd w:val="clear" w:color="auto" w:fill="auto"/>
            <w:vAlign w:val="center"/>
          </w:tcPr>
          <w:p w14:paraId="5D49F6CE">
            <w:pPr>
              <w:pStyle w:val="1342"/>
              <w:snapToGrid w:val="0"/>
              <w:spacing w:line="240" w:lineRule="auto"/>
              <w:jc w:val="center"/>
              <w:rPr>
                <w:rFonts w:ascii="Arial" w:hAnsi="Arial" w:cs="Arial"/>
                <w:color w:val="auto"/>
                <w:sz w:val="18"/>
                <w:szCs w:val="18"/>
              </w:rPr>
            </w:pPr>
          </w:p>
        </w:tc>
      </w:tr>
      <w:tr w14:paraId="2E5E3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5AB56045">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B3B14F3">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DA089</w:t>
            </w:r>
          </w:p>
        </w:tc>
        <w:tc>
          <w:tcPr>
            <w:tcW w:w="375" w:type="pct"/>
            <w:shd w:val="clear" w:color="auto" w:fill="auto"/>
            <w:noWrap/>
            <w:vAlign w:val="center"/>
          </w:tcPr>
          <w:p w14:paraId="249F9EF9">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-165</w:t>
            </w:r>
          </w:p>
        </w:tc>
        <w:tc>
          <w:tcPr>
            <w:tcW w:w="393" w:type="pct"/>
            <w:shd w:val="clear" w:color="auto" w:fill="auto"/>
            <w:noWrap/>
            <w:vAlign w:val="center"/>
          </w:tcPr>
          <w:p w14:paraId="1AA27121">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-106</w:t>
            </w:r>
          </w:p>
        </w:tc>
        <w:tc>
          <w:tcPr>
            <w:tcW w:w="250" w:type="pct"/>
            <w:shd w:val="clear" w:color="auto" w:fill="auto"/>
            <w:vAlign w:val="center"/>
          </w:tcPr>
          <w:p w14:paraId="64DABB14">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3647E208">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w:t>
            </w:r>
          </w:p>
        </w:tc>
        <w:tc>
          <w:tcPr>
            <w:tcW w:w="359" w:type="pct"/>
            <w:shd w:val="clear" w:color="auto" w:fill="auto"/>
            <w:noWrap/>
            <w:vAlign w:val="center"/>
          </w:tcPr>
          <w:p w14:paraId="7EB718BB">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0.8</w:t>
            </w:r>
          </w:p>
        </w:tc>
        <w:tc>
          <w:tcPr>
            <w:tcW w:w="449" w:type="pct"/>
            <w:shd w:val="clear" w:color="auto" w:fill="auto"/>
            <w:noWrap/>
            <w:vAlign w:val="center"/>
          </w:tcPr>
          <w:p w14:paraId="513CB73E">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14.3</w:t>
            </w:r>
          </w:p>
        </w:tc>
        <w:tc>
          <w:tcPr>
            <w:tcW w:w="305" w:type="pct"/>
            <w:shd w:val="clear" w:color="auto" w:fill="auto"/>
            <w:noWrap/>
            <w:vAlign w:val="center"/>
          </w:tcPr>
          <w:p w14:paraId="214EA25D">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381" w:type="pct"/>
            <w:shd w:val="clear" w:color="auto" w:fill="auto"/>
            <w:vAlign w:val="center"/>
          </w:tcPr>
          <w:p w14:paraId="60B77F48">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7A9AE18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2CA8888">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0.0774</w:t>
            </w:r>
          </w:p>
        </w:tc>
        <w:tc>
          <w:tcPr>
            <w:tcW w:w="517" w:type="pct"/>
            <w:shd w:val="clear" w:color="auto" w:fill="auto"/>
            <w:vAlign w:val="center"/>
          </w:tcPr>
          <w:p w14:paraId="4EE47B62">
            <w:pPr>
              <w:pStyle w:val="1342"/>
              <w:snapToGrid w:val="0"/>
              <w:spacing w:line="240" w:lineRule="auto"/>
              <w:jc w:val="center"/>
              <w:rPr>
                <w:rFonts w:ascii="Arial" w:hAnsi="Arial" w:cs="Arial"/>
                <w:color w:val="auto"/>
                <w:sz w:val="18"/>
                <w:szCs w:val="18"/>
              </w:rPr>
            </w:pPr>
          </w:p>
        </w:tc>
      </w:tr>
      <w:tr w14:paraId="28CD8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08B2E81">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683F7F6">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DA090</w:t>
            </w:r>
          </w:p>
        </w:tc>
        <w:tc>
          <w:tcPr>
            <w:tcW w:w="375" w:type="pct"/>
            <w:shd w:val="clear" w:color="auto" w:fill="auto"/>
            <w:noWrap/>
            <w:vAlign w:val="center"/>
          </w:tcPr>
          <w:p w14:paraId="2FCC5DD4">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-146</w:t>
            </w:r>
          </w:p>
        </w:tc>
        <w:tc>
          <w:tcPr>
            <w:tcW w:w="393" w:type="pct"/>
            <w:shd w:val="clear" w:color="auto" w:fill="auto"/>
            <w:noWrap/>
            <w:vAlign w:val="center"/>
          </w:tcPr>
          <w:p w14:paraId="4E38501A">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-116</w:t>
            </w:r>
          </w:p>
        </w:tc>
        <w:tc>
          <w:tcPr>
            <w:tcW w:w="250" w:type="pct"/>
            <w:shd w:val="clear" w:color="auto" w:fill="auto"/>
            <w:vAlign w:val="center"/>
          </w:tcPr>
          <w:p w14:paraId="6165D73A">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1AFEA77C">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359" w:type="pct"/>
            <w:shd w:val="clear" w:color="auto" w:fill="auto"/>
            <w:noWrap/>
            <w:vAlign w:val="center"/>
          </w:tcPr>
          <w:p w14:paraId="366C0A9A">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0.8</w:t>
            </w:r>
          </w:p>
        </w:tc>
        <w:tc>
          <w:tcPr>
            <w:tcW w:w="449" w:type="pct"/>
            <w:shd w:val="clear" w:color="auto" w:fill="auto"/>
            <w:noWrap/>
            <w:vAlign w:val="center"/>
          </w:tcPr>
          <w:p w14:paraId="69DF8584">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12.1</w:t>
            </w:r>
          </w:p>
        </w:tc>
        <w:tc>
          <w:tcPr>
            <w:tcW w:w="305" w:type="pct"/>
            <w:shd w:val="clear" w:color="auto" w:fill="auto"/>
            <w:noWrap/>
            <w:vAlign w:val="center"/>
          </w:tcPr>
          <w:p w14:paraId="3F121569">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381" w:type="pct"/>
            <w:shd w:val="clear" w:color="auto" w:fill="auto"/>
            <w:vAlign w:val="center"/>
          </w:tcPr>
          <w:p w14:paraId="33CC2BAC">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3AB426B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C3F4F3F">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0.070</w:t>
            </w:r>
          </w:p>
        </w:tc>
        <w:tc>
          <w:tcPr>
            <w:tcW w:w="517" w:type="pct"/>
            <w:shd w:val="clear" w:color="auto" w:fill="auto"/>
            <w:vAlign w:val="center"/>
          </w:tcPr>
          <w:p w14:paraId="13CFDFE8">
            <w:pPr>
              <w:pStyle w:val="1342"/>
              <w:snapToGrid w:val="0"/>
              <w:spacing w:line="240" w:lineRule="auto"/>
              <w:jc w:val="center"/>
              <w:rPr>
                <w:rFonts w:ascii="Arial" w:hAnsi="Arial" w:cs="Arial"/>
                <w:color w:val="auto"/>
                <w:sz w:val="18"/>
                <w:szCs w:val="18"/>
              </w:rPr>
            </w:pPr>
          </w:p>
        </w:tc>
      </w:tr>
      <w:tr w14:paraId="5A2DC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0C2756D">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F1FCF88">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DA095</w:t>
            </w:r>
          </w:p>
        </w:tc>
        <w:tc>
          <w:tcPr>
            <w:tcW w:w="375" w:type="pct"/>
            <w:shd w:val="clear" w:color="auto" w:fill="auto"/>
            <w:noWrap/>
            <w:vAlign w:val="center"/>
          </w:tcPr>
          <w:p w14:paraId="326974D7">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-179</w:t>
            </w:r>
          </w:p>
        </w:tc>
        <w:tc>
          <w:tcPr>
            <w:tcW w:w="393" w:type="pct"/>
            <w:shd w:val="clear" w:color="auto" w:fill="auto"/>
            <w:noWrap/>
            <w:vAlign w:val="center"/>
          </w:tcPr>
          <w:p w14:paraId="12B42D42">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-245</w:t>
            </w:r>
          </w:p>
        </w:tc>
        <w:tc>
          <w:tcPr>
            <w:tcW w:w="250" w:type="pct"/>
            <w:shd w:val="clear" w:color="auto" w:fill="auto"/>
            <w:vAlign w:val="center"/>
          </w:tcPr>
          <w:p w14:paraId="2538E597">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12CC9691">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50</w:t>
            </w:r>
          </w:p>
        </w:tc>
        <w:tc>
          <w:tcPr>
            <w:tcW w:w="359" w:type="pct"/>
            <w:shd w:val="clear" w:color="auto" w:fill="auto"/>
            <w:noWrap/>
            <w:vAlign w:val="center"/>
          </w:tcPr>
          <w:p w14:paraId="4DB901CE">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1.2</w:t>
            </w:r>
          </w:p>
        </w:tc>
        <w:tc>
          <w:tcPr>
            <w:tcW w:w="449" w:type="pct"/>
            <w:shd w:val="clear" w:color="auto" w:fill="auto"/>
            <w:noWrap/>
            <w:vAlign w:val="center"/>
          </w:tcPr>
          <w:p w14:paraId="4D872077">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9.2</w:t>
            </w:r>
          </w:p>
        </w:tc>
        <w:tc>
          <w:tcPr>
            <w:tcW w:w="305" w:type="pct"/>
            <w:shd w:val="clear" w:color="auto" w:fill="auto"/>
            <w:noWrap/>
            <w:vAlign w:val="center"/>
          </w:tcPr>
          <w:p w14:paraId="53F54CE5">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40</w:t>
            </w:r>
          </w:p>
        </w:tc>
        <w:tc>
          <w:tcPr>
            <w:tcW w:w="381" w:type="pct"/>
            <w:shd w:val="clear" w:color="auto" w:fill="auto"/>
            <w:vAlign w:val="center"/>
          </w:tcPr>
          <w:p w14:paraId="0493DAF7">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3743ED2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3EEC112">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0.0375</w:t>
            </w:r>
          </w:p>
        </w:tc>
        <w:tc>
          <w:tcPr>
            <w:tcW w:w="517" w:type="pct"/>
            <w:shd w:val="clear" w:color="auto" w:fill="auto"/>
            <w:vAlign w:val="center"/>
          </w:tcPr>
          <w:p w14:paraId="3971B4B1">
            <w:pPr>
              <w:pStyle w:val="1342"/>
              <w:snapToGrid w:val="0"/>
              <w:spacing w:line="240" w:lineRule="auto"/>
              <w:jc w:val="center"/>
              <w:rPr>
                <w:rFonts w:ascii="Arial" w:hAnsi="Arial" w:cs="Arial"/>
                <w:color w:val="auto"/>
                <w:sz w:val="18"/>
                <w:szCs w:val="18"/>
              </w:rPr>
            </w:pPr>
          </w:p>
        </w:tc>
      </w:tr>
      <w:tr w14:paraId="47D92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A069C87">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5AAFA11C">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DA094</w:t>
            </w:r>
          </w:p>
        </w:tc>
        <w:tc>
          <w:tcPr>
            <w:tcW w:w="375" w:type="pct"/>
            <w:shd w:val="clear" w:color="auto" w:fill="auto"/>
            <w:noWrap/>
            <w:vAlign w:val="center"/>
          </w:tcPr>
          <w:p w14:paraId="1EC4A69C">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-55</w:t>
            </w:r>
          </w:p>
        </w:tc>
        <w:tc>
          <w:tcPr>
            <w:tcW w:w="393" w:type="pct"/>
            <w:shd w:val="clear" w:color="auto" w:fill="auto"/>
            <w:noWrap/>
            <w:vAlign w:val="center"/>
          </w:tcPr>
          <w:p w14:paraId="793876AD">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-131</w:t>
            </w:r>
          </w:p>
        </w:tc>
        <w:tc>
          <w:tcPr>
            <w:tcW w:w="250" w:type="pct"/>
            <w:shd w:val="clear" w:color="auto" w:fill="auto"/>
            <w:vAlign w:val="center"/>
          </w:tcPr>
          <w:p w14:paraId="062DBA0C">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234700C1">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50</w:t>
            </w:r>
          </w:p>
        </w:tc>
        <w:tc>
          <w:tcPr>
            <w:tcW w:w="359" w:type="pct"/>
            <w:shd w:val="clear" w:color="auto" w:fill="auto"/>
            <w:noWrap/>
            <w:vAlign w:val="center"/>
          </w:tcPr>
          <w:p w14:paraId="75F4ADE6">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449" w:type="pct"/>
            <w:shd w:val="clear" w:color="auto" w:fill="auto"/>
            <w:noWrap/>
            <w:vAlign w:val="center"/>
          </w:tcPr>
          <w:p w14:paraId="46C03CD3">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6.9</w:t>
            </w:r>
          </w:p>
        </w:tc>
        <w:tc>
          <w:tcPr>
            <w:tcW w:w="305" w:type="pct"/>
            <w:shd w:val="clear" w:color="auto" w:fill="auto"/>
            <w:noWrap/>
            <w:vAlign w:val="center"/>
          </w:tcPr>
          <w:p w14:paraId="57EA569F">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180</w:t>
            </w:r>
          </w:p>
        </w:tc>
        <w:tc>
          <w:tcPr>
            <w:tcW w:w="381" w:type="pct"/>
            <w:shd w:val="clear" w:color="auto" w:fill="auto"/>
            <w:vAlign w:val="center"/>
          </w:tcPr>
          <w:p w14:paraId="540A0826">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1FE7735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0D40D322">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0.2063</w:t>
            </w:r>
          </w:p>
        </w:tc>
        <w:tc>
          <w:tcPr>
            <w:tcW w:w="517" w:type="pct"/>
            <w:shd w:val="clear" w:color="auto" w:fill="auto"/>
            <w:vAlign w:val="center"/>
          </w:tcPr>
          <w:p w14:paraId="0AF082DE">
            <w:pPr>
              <w:pStyle w:val="1342"/>
              <w:snapToGrid w:val="0"/>
              <w:spacing w:line="240" w:lineRule="auto"/>
              <w:jc w:val="center"/>
              <w:rPr>
                <w:rFonts w:ascii="Arial" w:hAnsi="Arial" w:cs="Arial"/>
                <w:color w:val="auto"/>
                <w:sz w:val="18"/>
                <w:szCs w:val="18"/>
              </w:rPr>
            </w:pPr>
          </w:p>
        </w:tc>
      </w:tr>
      <w:tr w14:paraId="757FB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06DBDED">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D1C2522">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DA093</w:t>
            </w:r>
          </w:p>
        </w:tc>
        <w:tc>
          <w:tcPr>
            <w:tcW w:w="375" w:type="pct"/>
            <w:shd w:val="clear" w:color="auto" w:fill="auto"/>
            <w:noWrap/>
            <w:vAlign w:val="center"/>
          </w:tcPr>
          <w:p w14:paraId="7BC962E3">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-18</w:t>
            </w:r>
          </w:p>
        </w:tc>
        <w:tc>
          <w:tcPr>
            <w:tcW w:w="393" w:type="pct"/>
            <w:shd w:val="clear" w:color="auto" w:fill="auto"/>
            <w:noWrap/>
            <w:vAlign w:val="center"/>
          </w:tcPr>
          <w:p w14:paraId="77E3A0FD">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-134</w:t>
            </w:r>
          </w:p>
        </w:tc>
        <w:tc>
          <w:tcPr>
            <w:tcW w:w="250" w:type="pct"/>
            <w:shd w:val="clear" w:color="auto" w:fill="auto"/>
            <w:vAlign w:val="center"/>
          </w:tcPr>
          <w:p w14:paraId="72A3F3EE">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16D1F291">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30</w:t>
            </w:r>
          </w:p>
        </w:tc>
        <w:tc>
          <w:tcPr>
            <w:tcW w:w="359" w:type="pct"/>
            <w:shd w:val="clear" w:color="auto" w:fill="auto"/>
            <w:noWrap/>
            <w:vAlign w:val="center"/>
          </w:tcPr>
          <w:p w14:paraId="0F5356F5">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0.9</w:t>
            </w:r>
          </w:p>
        </w:tc>
        <w:tc>
          <w:tcPr>
            <w:tcW w:w="449" w:type="pct"/>
            <w:shd w:val="clear" w:color="auto" w:fill="auto"/>
            <w:noWrap/>
            <w:vAlign w:val="center"/>
          </w:tcPr>
          <w:p w14:paraId="0B3BA3EA">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30.8</w:t>
            </w:r>
          </w:p>
        </w:tc>
        <w:tc>
          <w:tcPr>
            <w:tcW w:w="305" w:type="pct"/>
            <w:shd w:val="clear" w:color="auto" w:fill="auto"/>
            <w:noWrap/>
            <w:vAlign w:val="center"/>
          </w:tcPr>
          <w:p w14:paraId="0A0BF03F">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200</w:t>
            </w:r>
          </w:p>
        </w:tc>
        <w:tc>
          <w:tcPr>
            <w:tcW w:w="381" w:type="pct"/>
            <w:shd w:val="clear" w:color="auto" w:fill="auto"/>
            <w:vAlign w:val="center"/>
          </w:tcPr>
          <w:p w14:paraId="070C691F">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022981A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0D5F069C">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0.120</w:t>
            </w:r>
          </w:p>
        </w:tc>
        <w:tc>
          <w:tcPr>
            <w:tcW w:w="517" w:type="pct"/>
            <w:shd w:val="clear" w:color="auto" w:fill="auto"/>
            <w:vAlign w:val="center"/>
          </w:tcPr>
          <w:p w14:paraId="118D5197">
            <w:pPr>
              <w:pStyle w:val="1342"/>
              <w:snapToGrid w:val="0"/>
              <w:spacing w:line="240" w:lineRule="auto"/>
              <w:jc w:val="center"/>
              <w:rPr>
                <w:rFonts w:ascii="Arial" w:hAnsi="Arial" w:cs="Arial"/>
                <w:color w:val="auto"/>
                <w:sz w:val="18"/>
                <w:szCs w:val="18"/>
              </w:rPr>
            </w:pPr>
          </w:p>
        </w:tc>
      </w:tr>
      <w:tr w14:paraId="5F1CF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009387C">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CC8BCB2">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DA056</w:t>
            </w:r>
          </w:p>
        </w:tc>
        <w:tc>
          <w:tcPr>
            <w:tcW w:w="375" w:type="pct"/>
            <w:shd w:val="clear" w:color="auto" w:fill="auto"/>
            <w:noWrap/>
            <w:vAlign w:val="center"/>
          </w:tcPr>
          <w:p w14:paraId="7BFBD5B9">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-210</w:t>
            </w:r>
          </w:p>
        </w:tc>
        <w:tc>
          <w:tcPr>
            <w:tcW w:w="393" w:type="pct"/>
            <w:shd w:val="clear" w:color="auto" w:fill="auto"/>
            <w:noWrap/>
            <w:vAlign w:val="center"/>
          </w:tcPr>
          <w:p w14:paraId="07430AFA">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150</w:t>
            </w:r>
          </w:p>
        </w:tc>
        <w:tc>
          <w:tcPr>
            <w:tcW w:w="250" w:type="pct"/>
            <w:shd w:val="clear" w:color="auto" w:fill="auto"/>
            <w:vAlign w:val="center"/>
          </w:tcPr>
          <w:p w14:paraId="3208DA89">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18B478B6">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w:t>
            </w:r>
          </w:p>
        </w:tc>
        <w:tc>
          <w:tcPr>
            <w:tcW w:w="359" w:type="pct"/>
            <w:shd w:val="clear" w:color="auto" w:fill="auto"/>
            <w:noWrap/>
            <w:vAlign w:val="center"/>
          </w:tcPr>
          <w:p w14:paraId="5E87A7C5">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0.5</w:t>
            </w:r>
          </w:p>
        </w:tc>
        <w:tc>
          <w:tcPr>
            <w:tcW w:w="449" w:type="pct"/>
            <w:shd w:val="clear" w:color="auto" w:fill="auto"/>
            <w:noWrap/>
            <w:vAlign w:val="center"/>
          </w:tcPr>
          <w:p w14:paraId="153C1F9D">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39.9</w:t>
            </w:r>
          </w:p>
        </w:tc>
        <w:tc>
          <w:tcPr>
            <w:tcW w:w="305" w:type="pct"/>
            <w:shd w:val="clear" w:color="auto" w:fill="auto"/>
            <w:noWrap/>
            <w:vAlign w:val="center"/>
          </w:tcPr>
          <w:p w14:paraId="3E9584DB">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381" w:type="pct"/>
            <w:shd w:val="clear" w:color="auto" w:fill="auto"/>
            <w:vAlign w:val="center"/>
          </w:tcPr>
          <w:p w14:paraId="09168F97">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418F590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3356BB08">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0.05</w:t>
            </w:r>
          </w:p>
        </w:tc>
        <w:tc>
          <w:tcPr>
            <w:tcW w:w="517" w:type="pct"/>
            <w:shd w:val="clear" w:color="auto" w:fill="auto"/>
            <w:vAlign w:val="center"/>
          </w:tcPr>
          <w:p w14:paraId="2151EDD0">
            <w:pPr>
              <w:pStyle w:val="1342"/>
              <w:snapToGrid w:val="0"/>
              <w:spacing w:line="240" w:lineRule="auto"/>
              <w:jc w:val="center"/>
              <w:rPr>
                <w:rFonts w:ascii="Arial" w:hAnsi="Arial" w:cs="Arial"/>
                <w:color w:val="auto"/>
                <w:sz w:val="18"/>
                <w:szCs w:val="18"/>
              </w:rPr>
            </w:pPr>
          </w:p>
        </w:tc>
      </w:tr>
      <w:tr w14:paraId="47503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567492C">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66F189E">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DA057</w:t>
            </w:r>
          </w:p>
        </w:tc>
        <w:tc>
          <w:tcPr>
            <w:tcW w:w="375" w:type="pct"/>
            <w:shd w:val="clear" w:color="auto" w:fill="auto"/>
            <w:noWrap/>
            <w:vAlign w:val="center"/>
          </w:tcPr>
          <w:p w14:paraId="3F103426">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-154</w:t>
            </w:r>
          </w:p>
        </w:tc>
        <w:tc>
          <w:tcPr>
            <w:tcW w:w="393" w:type="pct"/>
            <w:shd w:val="clear" w:color="auto" w:fill="auto"/>
            <w:noWrap/>
            <w:vAlign w:val="center"/>
          </w:tcPr>
          <w:p w14:paraId="6BAD6BF8">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147</w:t>
            </w:r>
          </w:p>
        </w:tc>
        <w:tc>
          <w:tcPr>
            <w:tcW w:w="250" w:type="pct"/>
            <w:shd w:val="clear" w:color="auto" w:fill="auto"/>
            <w:vAlign w:val="center"/>
          </w:tcPr>
          <w:p w14:paraId="771404F2">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560EC1DB">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w:t>
            </w:r>
          </w:p>
        </w:tc>
        <w:tc>
          <w:tcPr>
            <w:tcW w:w="359" w:type="pct"/>
            <w:shd w:val="clear" w:color="auto" w:fill="auto"/>
            <w:noWrap/>
            <w:vAlign w:val="center"/>
          </w:tcPr>
          <w:p w14:paraId="0F2FD7D6">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0.5</w:t>
            </w:r>
          </w:p>
        </w:tc>
        <w:tc>
          <w:tcPr>
            <w:tcW w:w="449" w:type="pct"/>
            <w:shd w:val="clear" w:color="auto" w:fill="auto"/>
            <w:noWrap/>
            <w:vAlign w:val="center"/>
          </w:tcPr>
          <w:p w14:paraId="3977E816">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39.9</w:t>
            </w:r>
          </w:p>
        </w:tc>
        <w:tc>
          <w:tcPr>
            <w:tcW w:w="305" w:type="pct"/>
            <w:shd w:val="clear" w:color="auto" w:fill="auto"/>
            <w:noWrap/>
            <w:vAlign w:val="center"/>
          </w:tcPr>
          <w:p w14:paraId="480F6870">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381" w:type="pct"/>
            <w:shd w:val="clear" w:color="auto" w:fill="auto"/>
            <w:vAlign w:val="center"/>
          </w:tcPr>
          <w:p w14:paraId="12265F5E">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652541F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1613A29">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0.05</w:t>
            </w:r>
          </w:p>
        </w:tc>
        <w:tc>
          <w:tcPr>
            <w:tcW w:w="517" w:type="pct"/>
            <w:shd w:val="clear" w:color="auto" w:fill="auto"/>
            <w:vAlign w:val="center"/>
          </w:tcPr>
          <w:p w14:paraId="6A011A06">
            <w:pPr>
              <w:pStyle w:val="1342"/>
              <w:snapToGrid w:val="0"/>
              <w:spacing w:line="240" w:lineRule="auto"/>
              <w:jc w:val="center"/>
              <w:rPr>
                <w:rFonts w:ascii="Arial" w:hAnsi="Arial" w:cs="Arial"/>
                <w:color w:val="auto"/>
                <w:sz w:val="18"/>
                <w:szCs w:val="18"/>
              </w:rPr>
            </w:pPr>
          </w:p>
        </w:tc>
      </w:tr>
      <w:tr w14:paraId="2B1E5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6C64C6EC">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130486A">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DA141</w:t>
            </w:r>
          </w:p>
        </w:tc>
        <w:tc>
          <w:tcPr>
            <w:tcW w:w="375" w:type="pct"/>
            <w:shd w:val="clear" w:color="auto" w:fill="auto"/>
            <w:noWrap/>
            <w:vAlign w:val="center"/>
          </w:tcPr>
          <w:p w14:paraId="6456EDF0">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-190</w:t>
            </w:r>
          </w:p>
        </w:tc>
        <w:tc>
          <w:tcPr>
            <w:tcW w:w="393" w:type="pct"/>
            <w:shd w:val="clear" w:color="auto" w:fill="auto"/>
            <w:noWrap/>
            <w:vAlign w:val="center"/>
          </w:tcPr>
          <w:p w14:paraId="75F2EB86">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z w:val="18"/>
                <w:szCs w:val="18"/>
              </w:rPr>
              <w:t>136</w:t>
            </w:r>
          </w:p>
        </w:tc>
        <w:tc>
          <w:tcPr>
            <w:tcW w:w="250" w:type="pct"/>
            <w:shd w:val="clear" w:color="auto" w:fill="auto"/>
            <w:vAlign w:val="center"/>
          </w:tcPr>
          <w:p w14:paraId="03425DA2">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240EBD56">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20</w:t>
            </w:r>
          </w:p>
        </w:tc>
        <w:tc>
          <w:tcPr>
            <w:tcW w:w="359" w:type="pct"/>
            <w:shd w:val="clear" w:color="auto" w:fill="auto"/>
            <w:noWrap/>
            <w:vAlign w:val="center"/>
          </w:tcPr>
          <w:p w14:paraId="64824989">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0.5</w:t>
            </w:r>
          </w:p>
        </w:tc>
        <w:tc>
          <w:tcPr>
            <w:tcW w:w="449" w:type="pct"/>
            <w:shd w:val="clear" w:color="auto" w:fill="auto"/>
            <w:noWrap/>
            <w:vAlign w:val="center"/>
          </w:tcPr>
          <w:p w14:paraId="754BED93">
            <w:pPr>
              <w:widowControl/>
              <w:adjustRightInd w:val="0"/>
              <w:snapToGrid w:val="0"/>
              <w:jc w:val="center"/>
              <w:rPr>
                <w:rFonts w:ascii="Arial" w:hAnsi="Arial" w:eastAsia="宋体" w:cs="Arial"/>
                <w:spacing w:val="10"/>
                <w:sz w:val="18"/>
                <w:szCs w:val="18"/>
              </w:rPr>
            </w:pPr>
            <w:r>
              <w:rPr>
                <w:rFonts w:hint="eastAsia" w:ascii="Arial" w:hAnsi="Arial" w:eastAsia="宋体" w:cs="Arial"/>
                <w:spacing w:val="10"/>
                <w:sz w:val="18"/>
                <w:szCs w:val="18"/>
              </w:rPr>
              <w:t>38.6</w:t>
            </w:r>
          </w:p>
        </w:tc>
        <w:tc>
          <w:tcPr>
            <w:tcW w:w="305" w:type="pct"/>
            <w:shd w:val="clear" w:color="auto" w:fill="auto"/>
            <w:noWrap/>
            <w:vAlign w:val="center"/>
          </w:tcPr>
          <w:p w14:paraId="7CE61450">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25</w:t>
            </w:r>
          </w:p>
        </w:tc>
        <w:tc>
          <w:tcPr>
            <w:tcW w:w="381" w:type="pct"/>
            <w:shd w:val="clear" w:color="auto" w:fill="auto"/>
            <w:vAlign w:val="center"/>
          </w:tcPr>
          <w:p w14:paraId="21A64144">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02229F7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054BDF24">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0.0354</w:t>
            </w:r>
          </w:p>
        </w:tc>
        <w:tc>
          <w:tcPr>
            <w:tcW w:w="517" w:type="pct"/>
            <w:shd w:val="clear" w:color="auto" w:fill="auto"/>
            <w:vAlign w:val="center"/>
          </w:tcPr>
          <w:p w14:paraId="4ABC0BD2">
            <w:pPr>
              <w:pStyle w:val="1342"/>
              <w:snapToGrid w:val="0"/>
              <w:spacing w:line="240" w:lineRule="auto"/>
              <w:jc w:val="center"/>
              <w:rPr>
                <w:rFonts w:ascii="Arial" w:hAnsi="Arial" w:cs="Arial"/>
                <w:color w:val="auto"/>
                <w:sz w:val="18"/>
                <w:szCs w:val="18"/>
              </w:rPr>
            </w:pPr>
          </w:p>
        </w:tc>
      </w:tr>
      <w:tr w14:paraId="600C7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67F449D">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B78060A">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DA053</w:t>
            </w:r>
          </w:p>
        </w:tc>
        <w:tc>
          <w:tcPr>
            <w:tcW w:w="375" w:type="pct"/>
            <w:shd w:val="clear" w:color="auto" w:fill="auto"/>
            <w:noWrap/>
            <w:vAlign w:val="center"/>
          </w:tcPr>
          <w:p w14:paraId="668C80A7">
            <w:pPr>
              <w:adjustRightInd w:val="0"/>
              <w:snapToGrid w:val="0"/>
              <w:jc w:val="center"/>
              <w:rPr>
                <w:rFonts w:ascii="Arial" w:hAnsi="Arial" w:eastAsia="宋体" w:cs="Arial"/>
                <w:sz w:val="18"/>
                <w:szCs w:val="18"/>
              </w:rPr>
            </w:pPr>
            <w:r>
              <w:rPr>
                <w:rFonts w:ascii="Arial" w:hAnsi="Arial" w:eastAsia="宋体" w:cs="Arial"/>
                <w:sz w:val="18"/>
                <w:szCs w:val="18"/>
              </w:rPr>
              <w:t>-242</w:t>
            </w:r>
          </w:p>
        </w:tc>
        <w:tc>
          <w:tcPr>
            <w:tcW w:w="393" w:type="pct"/>
            <w:shd w:val="clear" w:color="auto" w:fill="auto"/>
            <w:noWrap/>
            <w:vAlign w:val="center"/>
          </w:tcPr>
          <w:p w14:paraId="37306A66">
            <w:pPr>
              <w:adjustRightInd w:val="0"/>
              <w:snapToGrid w:val="0"/>
              <w:jc w:val="center"/>
              <w:rPr>
                <w:rFonts w:ascii="Arial" w:hAnsi="Arial" w:eastAsia="宋体" w:cs="Arial"/>
                <w:sz w:val="18"/>
                <w:szCs w:val="18"/>
              </w:rPr>
            </w:pPr>
            <w:r>
              <w:rPr>
                <w:rFonts w:ascii="Arial" w:hAnsi="Arial" w:eastAsia="宋体" w:cs="Arial"/>
                <w:sz w:val="18"/>
                <w:szCs w:val="18"/>
              </w:rPr>
              <w:t>460</w:t>
            </w:r>
          </w:p>
        </w:tc>
        <w:tc>
          <w:tcPr>
            <w:tcW w:w="250" w:type="pct"/>
            <w:shd w:val="clear" w:color="auto" w:fill="auto"/>
            <w:vAlign w:val="center"/>
          </w:tcPr>
          <w:p w14:paraId="576E9BD4">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495CE683">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359" w:type="pct"/>
            <w:shd w:val="clear" w:color="auto" w:fill="auto"/>
            <w:noWrap/>
            <w:vAlign w:val="center"/>
          </w:tcPr>
          <w:p w14:paraId="0C0408E8">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449" w:type="pct"/>
            <w:shd w:val="clear" w:color="auto" w:fill="auto"/>
            <w:noWrap/>
            <w:vAlign w:val="center"/>
          </w:tcPr>
          <w:p w14:paraId="11D6738B">
            <w:pPr>
              <w:widowControl/>
              <w:adjustRightInd w:val="0"/>
              <w:snapToGrid w:val="0"/>
              <w:jc w:val="center"/>
              <w:rPr>
                <w:rFonts w:ascii="Arial" w:hAnsi="Arial" w:eastAsia="宋体" w:cs="Arial"/>
                <w:kern w:val="0"/>
                <w:sz w:val="18"/>
                <w:szCs w:val="18"/>
              </w:rPr>
            </w:pPr>
            <w:r>
              <w:rPr>
                <w:rFonts w:hint="eastAsia" w:ascii="Arial" w:hAnsi="Arial" w:eastAsia="宋体" w:cs="Arial"/>
                <w:kern w:val="0"/>
                <w:sz w:val="18"/>
                <w:szCs w:val="18"/>
              </w:rPr>
              <w:t>11.5</w:t>
            </w:r>
          </w:p>
        </w:tc>
        <w:tc>
          <w:tcPr>
            <w:tcW w:w="305" w:type="pct"/>
            <w:shd w:val="clear" w:color="auto" w:fill="auto"/>
            <w:noWrap/>
            <w:vAlign w:val="center"/>
          </w:tcPr>
          <w:p w14:paraId="6B1B4501">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381" w:type="pct"/>
            <w:shd w:val="clear" w:color="auto" w:fill="auto"/>
            <w:vAlign w:val="center"/>
          </w:tcPr>
          <w:p w14:paraId="10332955">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15C55FF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5000835E">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0.3889</w:t>
            </w:r>
          </w:p>
        </w:tc>
        <w:tc>
          <w:tcPr>
            <w:tcW w:w="517" w:type="pct"/>
            <w:shd w:val="clear" w:color="auto" w:fill="auto"/>
            <w:vAlign w:val="center"/>
          </w:tcPr>
          <w:p w14:paraId="3EBC7CCC">
            <w:pPr>
              <w:pStyle w:val="1342"/>
              <w:snapToGrid w:val="0"/>
              <w:spacing w:line="240" w:lineRule="auto"/>
              <w:jc w:val="center"/>
              <w:rPr>
                <w:rFonts w:ascii="Arial" w:hAnsi="Arial" w:cs="Arial"/>
                <w:color w:val="auto"/>
                <w:sz w:val="18"/>
                <w:szCs w:val="18"/>
              </w:rPr>
            </w:pPr>
          </w:p>
        </w:tc>
      </w:tr>
      <w:tr w14:paraId="5F2BB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59DE1163">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374DEAF7">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DA054</w:t>
            </w:r>
          </w:p>
        </w:tc>
        <w:tc>
          <w:tcPr>
            <w:tcW w:w="375" w:type="pct"/>
            <w:shd w:val="clear" w:color="auto" w:fill="auto"/>
            <w:noWrap/>
            <w:vAlign w:val="center"/>
          </w:tcPr>
          <w:p w14:paraId="433BE411">
            <w:pPr>
              <w:adjustRightInd w:val="0"/>
              <w:snapToGrid w:val="0"/>
              <w:jc w:val="center"/>
              <w:rPr>
                <w:rFonts w:ascii="Arial" w:hAnsi="Arial" w:eastAsia="宋体" w:cs="Arial"/>
                <w:sz w:val="18"/>
                <w:szCs w:val="18"/>
              </w:rPr>
            </w:pPr>
            <w:r>
              <w:rPr>
                <w:rFonts w:ascii="Arial" w:hAnsi="Arial" w:eastAsia="宋体" w:cs="Arial"/>
                <w:sz w:val="18"/>
                <w:szCs w:val="18"/>
              </w:rPr>
              <w:t>-252</w:t>
            </w:r>
          </w:p>
        </w:tc>
        <w:tc>
          <w:tcPr>
            <w:tcW w:w="393" w:type="pct"/>
            <w:shd w:val="clear" w:color="auto" w:fill="auto"/>
            <w:noWrap/>
            <w:vAlign w:val="center"/>
          </w:tcPr>
          <w:p w14:paraId="6BA92DF3">
            <w:pPr>
              <w:adjustRightInd w:val="0"/>
              <w:snapToGrid w:val="0"/>
              <w:jc w:val="center"/>
              <w:rPr>
                <w:rFonts w:ascii="Arial" w:hAnsi="Arial" w:eastAsia="宋体" w:cs="Arial"/>
                <w:sz w:val="18"/>
                <w:szCs w:val="18"/>
              </w:rPr>
            </w:pPr>
            <w:r>
              <w:rPr>
                <w:rFonts w:ascii="Arial" w:hAnsi="Arial" w:eastAsia="宋体" w:cs="Arial"/>
                <w:sz w:val="18"/>
                <w:szCs w:val="18"/>
              </w:rPr>
              <w:t>400</w:t>
            </w:r>
          </w:p>
        </w:tc>
        <w:tc>
          <w:tcPr>
            <w:tcW w:w="250" w:type="pct"/>
            <w:shd w:val="clear" w:color="auto" w:fill="auto"/>
            <w:vAlign w:val="center"/>
          </w:tcPr>
          <w:p w14:paraId="5454B1F2">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503B75B1">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359" w:type="pct"/>
            <w:shd w:val="clear" w:color="auto" w:fill="auto"/>
            <w:noWrap/>
            <w:vAlign w:val="center"/>
          </w:tcPr>
          <w:p w14:paraId="141EECE8">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449" w:type="pct"/>
            <w:shd w:val="clear" w:color="auto" w:fill="auto"/>
            <w:noWrap/>
            <w:vAlign w:val="center"/>
          </w:tcPr>
          <w:p w14:paraId="01733F73">
            <w:pPr>
              <w:widowControl/>
              <w:adjustRightInd w:val="0"/>
              <w:snapToGrid w:val="0"/>
              <w:jc w:val="center"/>
              <w:rPr>
                <w:rFonts w:ascii="Arial" w:hAnsi="Arial" w:eastAsia="宋体" w:cs="Arial"/>
                <w:kern w:val="0"/>
                <w:sz w:val="18"/>
                <w:szCs w:val="18"/>
              </w:rPr>
            </w:pPr>
            <w:r>
              <w:rPr>
                <w:rFonts w:hint="eastAsia" w:ascii="Arial" w:hAnsi="Arial" w:eastAsia="宋体" w:cs="Arial"/>
                <w:kern w:val="0"/>
                <w:sz w:val="18"/>
                <w:szCs w:val="18"/>
              </w:rPr>
              <w:t>11.5</w:t>
            </w:r>
          </w:p>
        </w:tc>
        <w:tc>
          <w:tcPr>
            <w:tcW w:w="305" w:type="pct"/>
            <w:shd w:val="clear" w:color="auto" w:fill="auto"/>
            <w:noWrap/>
            <w:vAlign w:val="center"/>
          </w:tcPr>
          <w:p w14:paraId="3D55D6F9">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381" w:type="pct"/>
            <w:shd w:val="clear" w:color="auto" w:fill="auto"/>
            <w:vAlign w:val="center"/>
          </w:tcPr>
          <w:p w14:paraId="2124F124">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2143B97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3E2FA7DC">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0.3889</w:t>
            </w:r>
          </w:p>
        </w:tc>
        <w:tc>
          <w:tcPr>
            <w:tcW w:w="517" w:type="pct"/>
            <w:shd w:val="clear" w:color="auto" w:fill="auto"/>
            <w:vAlign w:val="center"/>
          </w:tcPr>
          <w:p w14:paraId="45476648">
            <w:pPr>
              <w:pStyle w:val="1342"/>
              <w:snapToGrid w:val="0"/>
              <w:spacing w:line="240" w:lineRule="auto"/>
              <w:jc w:val="center"/>
              <w:rPr>
                <w:rFonts w:ascii="Arial" w:hAnsi="Arial" w:cs="Arial"/>
                <w:color w:val="auto"/>
                <w:sz w:val="18"/>
                <w:szCs w:val="18"/>
              </w:rPr>
            </w:pPr>
          </w:p>
        </w:tc>
      </w:tr>
      <w:tr w14:paraId="2E7A8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C0A61C8">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5560695">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DA143</w:t>
            </w:r>
          </w:p>
        </w:tc>
        <w:tc>
          <w:tcPr>
            <w:tcW w:w="375" w:type="pct"/>
            <w:shd w:val="clear" w:color="auto" w:fill="auto"/>
            <w:noWrap/>
            <w:vAlign w:val="center"/>
          </w:tcPr>
          <w:p w14:paraId="70473C32">
            <w:pPr>
              <w:adjustRightInd w:val="0"/>
              <w:snapToGrid w:val="0"/>
              <w:jc w:val="center"/>
              <w:rPr>
                <w:rFonts w:ascii="Arial" w:hAnsi="Arial" w:eastAsia="宋体" w:cs="Arial"/>
                <w:sz w:val="18"/>
                <w:szCs w:val="18"/>
              </w:rPr>
            </w:pPr>
            <w:r>
              <w:rPr>
                <w:rFonts w:ascii="Arial" w:hAnsi="Arial" w:eastAsia="宋体" w:cs="Arial"/>
                <w:sz w:val="18"/>
                <w:szCs w:val="18"/>
              </w:rPr>
              <w:t>-33</w:t>
            </w:r>
          </w:p>
        </w:tc>
        <w:tc>
          <w:tcPr>
            <w:tcW w:w="393" w:type="pct"/>
            <w:shd w:val="clear" w:color="auto" w:fill="auto"/>
            <w:noWrap/>
            <w:vAlign w:val="center"/>
          </w:tcPr>
          <w:p w14:paraId="77DD4199">
            <w:pPr>
              <w:adjustRightInd w:val="0"/>
              <w:snapToGrid w:val="0"/>
              <w:jc w:val="center"/>
              <w:rPr>
                <w:rFonts w:ascii="Arial" w:hAnsi="Arial" w:eastAsia="宋体" w:cs="Arial"/>
                <w:sz w:val="18"/>
                <w:szCs w:val="18"/>
              </w:rPr>
            </w:pPr>
            <w:r>
              <w:rPr>
                <w:rFonts w:ascii="Arial" w:hAnsi="Arial" w:eastAsia="宋体" w:cs="Arial"/>
                <w:sz w:val="18"/>
                <w:szCs w:val="18"/>
              </w:rPr>
              <w:t>-228</w:t>
            </w:r>
          </w:p>
        </w:tc>
        <w:tc>
          <w:tcPr>
            <w:tcW w:w="250" w:type="pct"/>
            <w:shd w:val="clear" w:color="auto" w:fill="auto"/>
            <w:vAlign w:val="center"/>
          </w:tcPr>
          <w:p w14:paraId="7E2A7919">
            <w:pPr>
              <w:widowControl/>
              <w:adjustRightInd w:val="0"/>
              <w:snapToGrid w:val="0"/>
              <w:jc w:val="center"/>
              <w:rPr>
                <w:rFonts w:ascii="Arial" w:hAnsi="Arial" w:eastAsia="宋体" w:cs="Arial"/>
                <w:spacing w:val="10"/>
                <w:sz w:val="18"/>
                <w:szCs w:val="18"/>
              </w:rPr>
            </w:pPr>
            <w:r>
              <w:rPr>
                <w:rFonts w:ascii="Arial" w:hAnsi="Arial" w:eastAsia="宋体" w:cs="Arial"/>
                <w:sz w:val="18"/>
                <w:szCs w:val="18"/>
              </w:rPr>
              <w:t>6</w:t>
            </w:r>
          </w:p>
        </w:tc>
        <w:tc>
          <w:tcPr>
            <w:tcW w:w="312" w:type="pct"/>
            <w:shd w:val="clear" w:color="auto" w:fill="auto"/>
            <w:noWrap/>
            <w:vAlign w:val="center"/>
          </w:tcPr>
          <w:p w14:paraId="3E74B14A">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359" w:type="pct"/>
            <w:shd w:val="clear" w:color="auto" w:fill="auto"/>
            <w:noWrap/>
            <w:vAlign w:val="center"/>
          </w:tcPr>
          <w:p w14:paraId="1DC22B71">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1.5</w:t>
            </w:r>
          </w:p>
        </w:tc>
        <w:tc>
          <w:tcPr>
            <w:tcW w:w="449" w:type="pct"/>
            <w:shd w:val="clear" w:color="auto" w:fill="auto"/>
            <w:noWrap/>
            <w:vAlign w:val="center"/>
          </w:tcPr>
          <w:p w14:paraId="3D09536F">
            <w:pPr>
              <w:widowControl/>
              <w:adjustRightInd w:val="0"/>
              <w:snapToGrid w:val="0"/>
              <w:jc w:val="center"/>
              <w:rPr>
                <w:rFonts w:ascii="Arial" w:hAnsi="Arial" w:eastAsia="宋体" w:cs="Arial"/>
                <w:kern w:val="0"/>
                <w:sz w:val="18"/>
                <w:szCs w:val="18"/>
              </w:rPr>
            </w:pPr>
            <w:r>
              <w:rPr>
                <w:rFonts w:hint="eastAsia" w:ascii="Arial" w:hAnsi="Arial" w:eastAsia="宋体" w:cs="Arial"/>
                <w:kern w:val="0"/>
                <w:sz w:val="18"/>
                <w:szCs w:val="18"/>
              </w:rPr>
              <w:t>11.5</w:t>
            </w:r>
          </w:p>
        </w:tc>
        <w:tc>
          <w:tcPr>
            <w:tcW w:w="305" w:type="pct"/>
            <w:shd w:val="clear" w:color="auto" w:fill="auto"/>
            <w:noWrap/>
            <w:vAlign w:val="center"/>
          </w:tcPr>
          <w:p w14:paraId="29D2AACF">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35</w:t>
            </w:r>
          </w:p>
        </w:tc>
        <w:tc>
          <w:tcPr>
            <w:tcW w:w="381" w:type="pct"/>
            <w:shd w:val="clear" w:color="auto" w:fill="auto"/>
            <w:vAlign w:val="center"/>
          </w:tcPr>
          <w:p w14:paraId="11EF86BE">
            <w:pPr>
              <w:widowControl/>
              <w:adjustRightInd w:val="0"/>
              <w:snapToGrid w:val="0"/>
              <w:jc w:val="center"/>
              <w:rPr>
                <w:rFonts w:ascii="Arial" w:hAnsi="Arial" w:eastAsia="宋体" w:cs="Arial"/>
                <w:spacing w:val="10"/>
                <w:sz w:val="18"/>
                <w:szCs w:val="18"/>
              </w:rPr>
            </w:pPr>
            <w:r>
              <w:rPr>
                <w:rFonts w:ascii="Arial" w:hAnsi="Arial" w:eastAsia="宋体" w:cs="Arial"/>
                <w:spacing w:val="10"/>
                <w:sz w:val="18"/>
                <w:szCs w:val="18"/>
              </w:rPr>
              <w:t>7920</w:t>
            </w:r>
          </w:p>
        </w:tc>
        <w:tc>
          <w:tcPr>
            <w:tcW w:w="382" w:type="pct"/>
            <w:shd w:val="clear" w:color="auto" w:fill="auto"/>
            <w:vAlign w:val="center"/>
          </w:tcPr>
          <w:p w14:paraId="2D10DBB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AC93019">
            <w:pPr>
              <w:autoSpaceDE w:val="0"/>
              <w:autoSpaceDN w:val="0"/>
              <w:adjustRightInd w:val="0"/>
              <w:snapToGrid w:val="0"/>
              <w:jc w:val="center"/>
              <w:textAlignment w:val="bottom"/>
              <w:rPr>
                <w:rFonts w:ascii="Arial" w:hAnsi="Arial" w:eastAsia="宋体" w:cs="Arial"/>
                <w:spacing w:val="10"/>
                <w:sz w:val="18"/>
                <w:szCs w:val="18"/>
              </w:rPr>
            </w:pPr>
            <w:r>
              <w:rPr>
                <w:rFonts w:ascii="Arial" w:hAnsi="Arial" w:eastAsia="宋体" w:cs="Arial"/>
                <w:spacing w:val="10"/>
                <w:sz w:val="18"/>
                <w:szCs w:val="18"/>
              </w:rPr>
              <w:t>0.3889</w:t>
            </w:r>
          </w:p>
        </w:tc>
        <w:tc>
          <w:tcPr>
            <w:tcW w:w="517" w:type="pct"/>
            <w:shd w:val="clear" w:color="auto" w:fill="auto"/>
            <w:vAlign w:val="center"/>
          </w:tcPr>
          <w:p w14:paraId="134739A1">
            <w:pPr>
              <w:pStyle w:val="1342"/>
              <w:snapToGrid w:val="0"/>
              <w:spacing w:line="240" w:lineRule="auto"/>
              <w:jc w:val="center"/>
              <w:rPr>
                <w:rFonts w:ascii="Arial" w:hAnsi="Arial" w:cs="Arial"/>
                <w:color w:val="auto"/>
                <w:sz w:val="18"/>
                <w:szCs w:val="18"/>
              </w:rPr>
            </w:pPr>
          </w:p>
        </w:tc>
      </w:tr>
      <w:tr w14:paraId="67F88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restart"/>
            <w:shd w:val="clear" w:color="auto" w:fill="auto"/>
            <w:vAlign w:val="center"/>
          </w:tcPr>
          <w:p w14:paraId="2D1086F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金桂浆</w:t>
            </w:r>
          </w:p>
        </w:tc>
        <w:tc>
          <w:tcPr>
            <w:tcW w:w="500" w:type="pct"/>
            <w:shd w:val="clear" w:color="auto" w:fill="auto"/>
            <w:vAlign w:val="center"/>
          </w:tcPr>
          <w:p w14:paraId="6E16D5E5">
            <w:pPr>
              <w:pStyle w:val="634"/>
              <w:adjustRightInd w:val="0"/>
              <w:snapToGrid w:val="0"/>
              <w:ind w:firstLine="0" w:firstLineChars="0"/>
              <w:jc w:val="center"/>
              <w:rPr>
                <w:rFonts w:ascii="Arial" w:hAnsi="Arial" w:cs="Arial"/>
                <w:sz w:val="18"/>
                <w:szCs w:val="18"/>
              </w:rPr>
            </w:pPr>
            <w:r>
              <w:rPr>
                <w:rFonts w:ascii="Arial" w:hAnsi="Arial" w:cs="Arial"/>
                <w:sz w:val="18"/>
                <w:szCs w:val="18"/>
              </w:rPr>
              <w:t>1#碱炉</w:t>
            </w:r>
          </w:p>
        </w:tc>
        <w:tc>
          <w:tcPr>
            <w:tcW w:w="375" w:type="pct"/>
            <w:shd w:val="clear" w:color="auto" w:fill="auto"/>
            <w:noWrap/>
            <w:vAlign w:val="center"/>
          </w:tcPr>
          <w:p w14:paraId="7D18B16B">
            <w:pPr>
              <w:pStyle w:val="634"/>
              <w:adjustRightInd w:val="0"/>
              <w:snapToGrid w:val="0"/>
              <w:ind w:firstLine="0" w:firstLineChars="0"/>
              <w:jc w:val="center"/>
              <w:rPr>
                <w:rFonts w:ascii="Arial" w:hAnsi="Arial" w:cs="Arial"/>
                <w:sz w:val="18"/>
                <w:szCs w:val="18"/>
              </w:rPr>
            </w:pPr>
            <w:r>
              <w:rPr>
                <w:rFonts w:ascii="Arial" w:hAnsi="Arial" w:cs="Arial"/>
                <w:sz w:val="18"/>
                <w:szCs w:val="18"/>
              </w:rPr>
              <w:t>2530</w:t>
            </w:r>
          </w:p>
        </w:tc>
        <w:tc>
          <w:tcPr>
            <w:tcW w:w="393" w:type="pct"/>
            <w:shd w:val="clear" w:color="auto" w:fill="auto"/>
            <w:noWrap/>
            <w:vAlign w:val="center"/>
          </w:tcPr>
          <w:p w14:paraId="375B4032">
            <w:pPr>
              <w:pStyle w:val="634"/>
              <w:adjustRightInd w:val="0"/>
              <w:snapToGrid w:val="0"/>
              <w:ind w:firstLine="0" w:firstLineChars="0"/>
              <w:jc w:val="center"/>
              <w:rPr>
                <w:rFonts w:ascii="Arial" w:hAnsi="Arial" w:cs="Arial"/>
                <w:sz w:val="18"/>
                <w:szCs w:val="18"/>
              </w:rPr>
            </w:pPr>
            <w:r>
              <w:rPr>
                <w:rFonts w:ascii="Arial" w:hAnsi="Arial" w:cs="Arial"/>
                <w:sz w:val="18"/>
                <w:szCs w:val="18"/>
              </w:rPr>
              <w:t>2335</w:t>
            </w:r>
          </w:p>
        </w:tc>
        <w:tc>
          <w:tcPr>
            <w:tcW w:w="250" w:type="pct"/>
            <w:shd w:val="clear" w:color="auto" w:fill="auto"/>
            <w:vAlign w:val="center"/>
          </w:tcPr>
          <w:p w14:paraId="42BA8E6A">
            <w:pPr>
              <w:pStyle w:val="634"/>
              <w:adjustRightInd w:val="0"/>
              <w:snapToGrid w:val="0"/>
              <w:ind w:firstLine="0" w:firstLineChars="0"/>
              <w:jc w:val="center"/>
              <w:rPr>
                <w:rFonts w:ascii="Arial" w:hAnsi="Arial" w:cs="Arial"/>
                <w:sz w:val="18"/>
                <w:szCs w:val="18"/>
              </w:rPr>
            </w:pPr>
            <w:r>
              <w:rPr>
                <w:rFonts w:ascii="Arial" w:hAnsi="Arial" w:cs="Arial"/>
                <w:sz w:val="18"/>
                <w:szCs w:val="18"/>
              </w:rPr>
              <w:t>4</w:t>
            </w:r>
          </w:p>
        </w:tc>
        <w:tc>
          <w:tcPr>
            <w:tcW w:w="312" w:type="pct"/>
            <w:shd w:val="clear" w:color="auto" w:fill="auto"/>
            <w:noWrap/>
            <w:vAlign w:val="center"/>
          </w:tcPr>
          <w:p w14:paraId="09F64098">
            <w:pPr>
              <w:pStyle w:val="634"/>
              <w:adjustRightInd w:val="0"/>
              <w:snapToGrid w:val="0"/>
              <w:ind w:firstLine="0" w:firstLineChars="0"/>
              <w:jc w:val="center"/>
              <w:rPr>
                <w:rFonts w:ascii="Arial" w:hAnsi="Arial" w:cs="Arial"/>
                <w:sz w:val="18"/>
                <w:szCs w:val="18"/>
              </w:rPr>
            </w:pPr>
            <w:r>
              <w:rPr>
                <w:rFonts w:ascii="Arial" w:hAnsi="Arial" w:cs="Arial"/>
                <w:sz w:val="18"/>
                <w:szCs w:val="18"/>
              </w:rPr>
              <w:t>120</w:t>
            </w:r>
          </w:p>
        </w:tc>
        <w:tc>
          <w:tcPr>
            <w:tcW w:w="359" w:type="pct"/>
            <w:shd w:val="clear" w:color="auto" w:fill="auto"/>
            <w:noWrap/>
            <w:vAlign w:val="center"/>
          </w:tcPr>
          <w:p w14:paraId="4718B0A7">
            <w:pPr>
              <w:pStyle w:val="634"/>
              <w:adjustRightInd w:val="0"/>
              <w:snapToGrid w:val="0"/>
              <w:ind w:firstLine="0" w:firstLineChars="0"/>
              <w:jc w:val="center"/>
              <w:rPr>
                <w:rFonts w:ascii="Arial" w:hAnsi="Arial" w:cs="Arial"/>
                <w:sz w:val="18"/>
                <w:szCs w:val="18"/>
              </w:rPr>
            </w:pPr>
            <w:r>
              <w:rPr>
                <w:rFonts w:ascii="Arial" w:hAnsi="Arial" w:cs="Arial"/>
                <w:sz w:val="18"/>
                <w:szCs w:val="18"/>
              </w:rPr>
              <w:t>2.6</w:t>
            </w:r>
          </w:p>
        </w:tc>
        <w:tc>
          <w:tcPr>
            <w:tcW w:w="449" w:type="pct"/>
            <w:shd w:val="clear" w:color="auto" w:fill="auto"/>
            <w:noWrap/>
            <w:vAlign w:val="center"/>
          </w:tcPr>
          <w:p w14:paraId="193DE1AB">
            <w:pPr>
              <w:pStyle w:val="634"/>
              <w:adjustRightInd w:val="0"/>
              <w:snapToGrid w:val="0"/>
              <w:ind w:firstLine="0" w:firstLineChars="0"/>
              <w:jc w:val="center"/>
              <w:rPr>
                <w:rFonts w:ascii="Arial" w:hAnsi="Arial" w:cs="Arial"/>
                <w:sz w:val="18"/>
                <w:szCs w:val="18"/>
              </w:rPr>
            </w:pPr>
            <w:r>
              <w:rPr>
                <w:rFonts w:ascii="Arial" w:hAnsi="Arial" w:cs="Arial"/>
                <w:sz w:val="18"/>
                <w:szCs w:val="18"/>
              </w:rPr>
              <w:t>5.90</w:t>
            </w:r>
          </w:p>
        </w:tc>
        <w:tc>
          <w:tcPr>
            <w:tcW w:w="305" w:type="pct"/>
            <w:shd w:val="clear" w:color="auto" w:fill="auto"/>
            <w:noWrap/>
            <w:vAlign w:val="center"/>
          </w:tcPr>
          <w:p w14:paraId="76071F48">
            <w:pPr>
              <w:pStyle w:val="634"/>
              <w:adjustRightInd w:val="0"/>
              <w:snapToGrid w:val="0"/>
              <w:ind w:firstLine="0" w:firstLineChars="0"/>
              <w:jc w:val="center"/>
              <w:rPr>
                <w:rFonts w:ascii="Arial" w:hAnsi="Arial" w:cs="Arial"/>
                <w:sz w:val="18"/>
                <w:szCs w:val="18"/>
              </w:rPr>
            </w:pPr>
            <w:r>
              <w:rPr>
                <w:rFonts w:ascii="Arial" w:hAnsi="Arial" w:cs="Arial"/>
                <w:sz w:val="18"/>
                <w:szCs w:val="18"/>
              </w:rPr>
              <w:t>161</w:t>
            </w:r>
          </w:p>
        </w:tc>
        <w:tc>
          <w:tcPr>
            <w:tcW w:w="381" w:type="pct"/>
            <w:shd w:val="clear" w:color="auto" w:fill="auto"/>
            <w:vAlign w:val="center"/>
          </w:tcPr>
          <w:p w14:paraId="0A47F5E9">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05B19CB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09D63E13">
            <w:pPr>
              <w:pStyle w:val="634"/>
              <w:adjustRightInd w:val="0"/>
              <w:snapToGrid w:val="0"/>
              <w:ind w:firstLine="0" w:firstLineChars="0"/>
              <w:jc w:val="center"/>
              <w:rPr>
                <w:rFonts w:ascii="Arial" w:hAnsi="Arial" w:cs="Arial"/>
                <w:sz w:val="18"/>
                <w:szCs w:val="18"/>
              </w:rPr>
            </w:pPr>
            <w:r>
              <w:rPr>
                <w:rFonts w:ascii="Arial" w:hAnsi="Arial" w:cs="Arial"/>
                <w:sz w:val="18"/>
                <w:szCs w:val="18"/>
              </w:rPr>
              <w:t>2.06</w:t>
            </w:r>
          </w:p>
        </w:tc>
        <w:tc>
          <w:tcPr>
            <w:tcW w:w="517" w:type="pct"/>
            <w:shd w:val="clear" w:color="auto" w:fill="auto"/>
            <w:vAlign w:val="center"/>
          </w:tcPr>
          <w:p w14:paraId="7B1822B6">
            <w:pPr>
              <w:pStyle w:val="634"/>
              <w:adjustRightInd w:val="0"/>
              <w:snapToGrid w:val="0"/>
              <w:ind w:firstLine="0" w:firstLineChars="0"/>
              <w:jc w:val="center"/>
              <w:rPr>
                <w:rFonts w:ascii="Arial" w:hAnsi="Arial" w:cs="Arial"/>
                <w:sz w:val="18"/>
                <w:szCs w:val="18"/>
              </w:rPr>
            </w:pPr>
          </w:p>
        </w:tc>
      </w:tr>
      <w:tr w14:paraId="6222C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4A1C433">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0CF0ABB4">
            <w:pPr>
              <w:pStyle w:val="634"/>
              <w:adjustRightInd w:val="0"/>
              <w:snapToGrid w:val="0"/>
              <w:ind w:firstLine="0" w:firstLineChars="0"/>
              <w:jc w:val="center"/>
              <w:rPr>
                <w:rFonts w:ascii="Arial" w:hAnsi="Arial" w:cs="Arial"/>
                <w:sz w:val="18"/>
                <w:szCs w:val="18"/>
              </w:rPr>
            </w:pPr>
            <w:r>
              <w:rPr>
                <w:rFonts w:ascii="Arial" w:hAnsi="Arial" w:cs="Arial"/>
                <w:sz w:val="18"/>
                <w:szCs w:val="18"/>
              </w:rPr>
              <w:t>2#锅炉</w:t>
            </w:r>
          </w:p>
        </w:tc>
        <w:tc>
          <w:tcPr>
            <w:tcW w:w="375" w:type="pct"/>
            <w:shd w:val="clear" w:color="auto" w:fill="auto"/>
            <w:noWrap/>
            <w:vAlign w:val="center"/>
          </w:tcPr>
          <w:p w14:paraId="07F7BD56">
            <w:pPr>
              <w:pStyle w:val="634"/>
              <w:adjustRightInd w:val="0"/>
              <w:snapToGrid w:val="0"/>
              <w:ind w:firstLine="0" w:firstLineChars="0"/>
              <w:jc w:val="center"/>
              <w:rPr>
                <w:rFonts w:ascii="Arial" w:hAnsi="Arial" w:cs="Arial"/>
                <w:sz w:val="18"/>
                <w:szCs w:val="18"/>
              </w:rPr>
            </w:pPr>
            <w:r>
              <w:rPr>
                <w:rFonts w:ascii="Arial" w:hAnsi="Arial" w:cs="Arial"/>
                <w:sz w:val="18"/>
                <w:szCs w:val="18"/>
              </w:rPr>
              <w:t>2641</w:t>
            </w:r>
          </w:p>
        </w:tc>
        <w:tc>
          <w:tcPr>
            <w:tcW w:w="393" w:type="pct"/>
            <w:shd w:val="clear" w:color="auto" w:fill="auto"/>
            <w:noWrap/>
            <w:vAlign w:val="center"/>
          </w:tcPr>
          <w:p w14:paraId="46272E69">
            <w:pPr>
              <w:pStyle w:val="634"/>
              <w:adjustRightInd w:val="0"/>
              <w:snapToGrid w:val="0"/>
              <w:ind w:firstLine="0" w:firstLineChars="0"/>
              <w:jc w:val="center"/>
              <w:rPr>
                <w:rFonts w:ascii="Arial" w:hAnsi="Arial" w:cs="Arial"/>
                <w:sz w:val="18"/>
                <w:szCs w:val="18"/>
              </w:rPr>
            </w:pPr>
            <w:r>
              <w:rPr>
                <w:rFonts w:ascii="Arial" w:hAnsi="Arial" w:cs="Arial"/>
                <w:sz w:val="18"/>
                <w:szCs w:val="18"/>
              </w:rPr>
              <w:t>3005</w:t>
            </w:r>
          </w:p>
        </w:tc>
        <w:tc>
          <w:tcPr>
            <w:tcW w:w="250" w:type="pct"/>
            <w:shd w:val="clear" w:color="auto" w:fill="auto"/>
            <w:vAlign w:val="center"/>
          </w:tcPr>
          <w:p w14:paraId="682C4563">
            <w:pPr>
              <w:pStyle w:val="634"/>
              <w:adjustRightInd w:val="0"/>
              <w:snapToGrid w:val="0"/>
              <w:ind w:firstLine="0" w:firstLineChars="0"/>
              <w:jc w:val="center"/>
              <w:rPr>
                <w:rFonts w:ascii="Arial" w:hAnsi="Arial" w:cs="Arial"/>
                <w:sz w:val="18"/>
                <w:szCs w:val="18"/>
              </w:rPr>
            </w:pPr>
            <w:r>
              <w:rPr>
                <w:rFonts w:ascii="Arial" w:hAnsi="Arial" w:cs="Arial"/>
                <w:sz w:val="18"/>
                <w:szCs w:val="18"/>
              </w:rPr>
              <w:t>27</w:t>
            </w:r>
          </w:p>
        </w:tc>
        <w:tc>
          <w:tcPr>
            <w:tcW w:w="312" w:type="pct"/>
            <w:shd w:val="clear" w:color="auto" w:fill="auto"/>
            <w:noWrap/>
            <w:vAlign w:val="center"/>
          </w:tcPr>
          <w:p w14:paraId="056EDF9A">
            <w:pPr>
              <w:pStyle w:val="634"/>
              <w:adjustRightInd w:val="0"/>
              <w:snapToGrid w:val="0"/>
              <w:ind w:firstLine="0" w:firstLineChars="0"/>
              <w:jc w:val="center"/>
              <w:rPr>
                <w:rFonts w:ascii="Arial" w:hAnsi="Arial" w:cs="Arial"/>
                <w:sz w:val="18"/>
                <w:szCs w:val="18"/>
              </w:rPr>
            </w:pPr>
            <w:r>
              <w:rPr>
                <w:rFonts w:ascii="Arial" w:hAnsi="Arial" w:cs="Arial"/>
                <w:sz w:val="18"/>
                <w:szCs w:val="18"/>
              </w:rPr>
              <w:t>120</w:t>
            </w:r>
          </w:p>
        </w:tc>
        <w:tc>
          <w:tcPr>
            <w:tcW w:w="359" w:type="pct"/>
            <w:shd w:val="clear" w:color="auto" w:fill="auto"/>
            <w:noWrap/>
            <w:vAlign w:val="center"/>
          </w:tcPr>
          <w:p w14:paraId="0984DB5C">
            <w:pPr>
              <w:pStyle w:val="634"/>
              <w:adjustRightInd w:val="0"/>
              <w:snapToGrid w:val="0"/>
              <w:ind w:firstLine="0" w:firstLineChars="0"/>
              <w:jc w:val="center"/>
              <w:rPr>
                <w:rFonts w:ascii="Arial" w:hAnsi="Arial" w:cs="Arial"/>
                <w:sz w:val="18"/>
                <w:szCs w:val="18"/>
              </w:rPr>
            </w:pPr>
            <w:r>
              <w:rPr>
                <w:rFonts w:ascii="Arial" w:hAnsi="Arial" w:cs="Arial"/>
                <w:sz w:val="18"/>
                <w:szCs w:val="18"/>
              </w:rPr>
              <w:t>4.2</w:t>
            </w:r>
          </w:p>
        </w:tc>
        <w:tc>
          <w:tcPr>
            <w:tcW w:w="449" w:type="pct"/>
            <w:shd w:val="clear" w:color="auto" w:fill="auto"/>
            <w:noWrap/>
            <w:vAlign w:val="center"/>
          </w:tcPr>
          <w:p w14:paraId="48E005AE">
            <w:pPr>
              <w:pStyle w:val="634"/>
              <w:adjustRightInd w:val="0"/>
              <w:snapToGrid w:val="0"/>
              <w:ind w:firstLine="0" w:firstLineChars="0"/>
              <w:jc w:val="center"/>
              <w:rPr>
                <w:rFonts w:ascii="Arial" w:hAnsi="Arial" w:cs="Arial"/>
                <w:sz w:val="18"/>
                <w:szCs w:val="18"/>
              </w:rPr>
            </w:pPr>
            <w:r>
              <w:rPr>
                <w:rFonts w:ascii="Arial" w:hAnsi="Arial" w:cs="Arial"/>
                <w:sz w:val="18"/>
                <w:szCs w:val="18"/>
              </w:rPr>
              <w:t>14.47</w:t>
            </w:r>
          </w:p>
        </w:tc>
        <w:tc>
          <w:tcPr>
            <w:tcW w:w="305" w:type="pct"/>
            <w:shd w:val="clear" w:color="auto" w:fill="auto"/>
            <w:noWrap/>
            <w:vAlign w:val="center"/>
          </w:tcPr>
          <w:p w14:paraId="5546B2F6">
            <w:pPr>
              <w:pStyle w:val="634"/>
              <w:adjustRightInd w:val="0"/>
              <w:snapToGrid w:val="0"/>
              <w:ind w:firstLine="0" w:firstLineChars="0"/>
              <w:jc w:val="center"/>
              <w:rPr>
                <w:rFonts w:ascii="Arial" w:hAnsi="Arial" w:cs="Arial"/>
                <w:sz w:val="18"/>
                <w:szCs w:val="18"/>
              </w:rPr>
            </w:pPr>
            <w:r>
              <w:rPr>
                <w:rFonts w:ascii="Arial" w:hAnsi="Arial" w:cs="Arial"/>
                <w:sz w:val="18"/>
                <w:szCs w:val="18"/>
              </w:rPr>
              <w:t>55</w:t>
            </w:r>
          </w:p>
        </w:tc>
        <w:tc>
          <w:tcPr>
            <w:tcW w:w="381" w:type="pct"/>
            <w:shd w:val="clear" w:color="auto" w:fill="auto"/>
            <w:vAlign w:val="center"/>
          </w:tcPr>
          <w:p w14:paraId="144C5D8A">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50AD2643">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1DA1BBD9">
            <w:pPr>
              <w:pStyle w:val="634"/>
              <w:adjustRightInd w:val="0"/>
              <w:snapToGrid w:val="0"/>
              <w:ind w:firstLine="0" w:firstLineChars="0"/>
              <w:jc w:val="center"/>
              <w:rPr>
                <w:rFonts w:ascii="Arial" w:hAnsi="Arial" w:cs="Arial"/>
                <w:sz w:val="18"/>
                <w:szCs w:val="18"/>
              </w:rPr>
            </w:pPr>
            <w:r>
              <w:rPr>
                <w:rFonts w:ascii="Arial" w:hAnsi="Arial" w:cs="Arial"/>
                <w:sz w:val="18"/>
                <w:szCs w:val="18"/>
              </w:rPr>
              <w:t>6.01</w:t>
            </w:r>
          </w:p>
        </w:tc>
        <w:tc>
          <w:tcPr>
            <w:tcW w:w="517" w:type="pct"/>
            <w:shd w:val="clear" w:color="auto" w:fill="auto"/>
            <w:vAlign w:val="center"/>
          </w:tcPr>
          <w:p w14:paraId="60B02FB3">
            <w:pPr>
              <w:pStyle w:val="634"/>
              <w:adjustRightInd w:val="0"/>
              <w:snapToGrid w:val="0"/>
              <w:ind w:firstLine="0" w:firstLineChars="0"/>
              <w:jc w:val="center"/>
              <w:rPr>
                <w:rFonts w:ascii="Arial" w:hAnsi="Arial" w:cs="Arial"/>
                <w:sz w:val="18"/>
                <w:szCs w:val="18"/>
              </w:rPr>
            </w:pPr>
          </w:p>
        </w:tc>
      </w:tr>
      <w:tr w14:paraId="53251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6AE810A7">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3D3CEDA">
            <w:pPr>
              <w:pStyle w:val="634"/>
              <w:adjustRightInd w:val="0"/>
              <w:snapToGrid w:val="0"/>
              <w:ind w:firstLine="0" w:firstLineChars="0"/>
              <w:jc w:val="center"/>
              <w:rPr>
                <w:rFonts w:ascii="Arial" w:hAnsi="Arial" w:cs="Arial"/>
                <w:sz w:val="18"/>
                <w:szCs w:val="18"/>
              </w:rPr>
            </w:pPr>
            <w:r>
              <w:rPr>
                <w:rFonts w:ascii="Arial" w:hAnsi="Arial" w:cs="Arial"/>
                <w:sz w:val="18"/>
                <w:szCs w:val="18"/>
              </w:rPr>
              <w:t>3#造纸</w:t>
            </w:r>
          </w:p>
        </w:tc>
        <w:tc>
          <w:tcPr>
            <w:tcW w:w="375" w:type="pct"/>
            <w:shd w:val="clear" w:color="auto" w:fill="auto"/>
            <w:noWrap/>
            <w:vAlign w:val="center"/>
          </w:tcPr>
          <w:p w14:paraId="4FB36885">
            <w:pPr>
              <w:pStyle w:val="634"/>
              <w:adjustRightInd w:val="0"/>
              <w:snapToGrid w:val="0"/>
              <w:ind w:firstLine="0" w:firstLineChars="0"/>
              <w:jc w:val="center"/>
              <w:rPr>
                <w:rFonts w:ascii="Arial" w:hAnsi="Arial" w:cs="Arial"/>
                <w:sz w:val="18"/>
                <w:szCs w:val="18"/>
              </w:rPr>
            </w:pPr>
            <w:r>
              <w:rPr>
                <w:rFonts w:ascii="Arial" w:hAnsi="Arial" w:cs="Arial"/>
                <w:sz w:val="18"/>
                <w:szCs w:val="18"/>
              </w:rPr>
              <w:t>1888</w:t>
            </w:r>
          </w:p>
        </w:tc>
        <w:tc>
          <w:tcPr>
            <w:tcW w:w="393" w:type="pct"/>
            <w:shd w:val="clear" w:color="auto" w:fill="auto"/>
            <w:noWrap/>
            <w:vAlign w:val="center"/>
          </w:tcPr>
          <w:p w14:paraId="30BDA2AA">
            <w:pPr>
              <w:pStyle w:val="634"/>
              <w:adjustRightInd w:val="0"/>
              <w:snapToGrid w:val="0"/>
              <w:ind w:firstLine="0" w:firstLineChars="0"/>
              <w:jc w:val="center"/>
              <w:rPr>
                <w:rFonts w:ascii="Arial" w:hAnsi="Arial" w:cs="Arial"/>
                <w:sz w:val="18"/>
                <w:szCs w:val="18"/>
              </w:rPr>
            </w:pPr>
            <w:r>
              <w:rPr>
                <w:rFonts w:ascii="Arial" w:hAnsi="Arial" w:cs="Arial"/>
                <w:sz w:val="18"/>
                <w:szCs w:val="18"/>
              </w:rPr>
              <w:t>2231</w:t>
            </w:r>
          </w:p>
        </w:tc>
        <w:tc>
          <w:tcPr>
            <w:tcW w:w="250" w:type="pct"/>
            <w:shd w:val="clear" w:color="auto" w:fill="auto"/>
            <w:vAlign w:val="center"/>
          </w:tcPr>
          <w:p w14:paraId="76162042">
            <w:pPr>
              <w:pStyle w:val="634"/>
              <w:adjustRightInd w:val="0"/>
              <w:snapToGrid w:val="0"/>
              <w:ind w:firstLine="0" w:firstLineChars="0"/>
              <w:jc w:val="center"/>
              <w:rPr>
                <w:rFonts w:ascii="Arial" w:hAnsi="Arial" w:cs="Arial"/>
                <w:sz w:val="18"/>
                <w:szCs w:val="18"/>
              </w:rPr>
            </w:pPr>
            <w:r>
              <w:rPr>
                <w:rFonts w:ascii="Arial" w:hAnsi="Arial" w:cs="Arial"/>
                <w:sz w:val="18"/>
                <w:szCs w:val="18"/>
              </w:rPr>
              <w:t>9</w:t>
            </w:r>
          </w:p>
        </w:tc>
        <w:tc>
          <w:tcPr>
            <w:tcW w:w="312" w:type="pct"/>
            <w:shd w:val="clear" w:color="auto" w:fill="auto"/>
            <w:noWrap/>
            <w:vAlign w:val="center"/>
          </w:tcPr>
          <w:p w14:paraId="49E06F46">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359" w:type="pct"/>
            <w:shd w:val="clear" w:color="auto" w:fill="auto"/>
            <w:noWrap/>
            <w:vAlign w:val="center"/>
          </w:tcPr>
          <w:p w14:paraId="4219AE77">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449" w:type="pct"/>
            <w:shd w:val="clear" w:color="auto" w:fill="auto"/>
            <w:noWrap/>
            <w:vAlign w:val="center"/>
          </w:tcPr>
          <w:p w14:paraId="6E46E37E">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305" w:type="pct"/>
            <w:shd w:val="clear" w:color="auto" w:fill="auto"/>
            <w:noWrap/>
            <w:vAlign w:val="center"/>
          </w:tcPr>
          <w:p w14:paraId="309257EE">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381" w:type="pct"/>
            <w:shd w:val="clear" w:color="auto" w:fill="auto"/>
            <w:vAlign w:val="center"/>
          </w:tcPr>
          <w:p w14:paraId="79440260">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411C1091">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CB44F88">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517" w:type="pct"/>
            <w:shd w:val="clear" w:color="auto" w:fill="auto"/>
            <w:vAlign w:val="center"/>
          </w:tcPr>
          <w:p w14:paraId="5C5C11D6">
            <w:pPr>
              <w:pStyle w:val="634"/>
              <w:adjustRightInd w:val="0"/>
              <w:snapToGrid w:val="0"/>
              <w:ind w:firstLine="0" w:firstLineChars="0"/>
              <w:jc w:val="center"/>
              <w:rPr>
                <w:rFonts w:ascii="Arial" w:hAnsi="Arial" w:cs="Arial"/>
                <w:sz w:val="18"/>
                <w:szCs w:val="18"/>
              </w:rPr>
            </w:pPr>
          </w:p>
        </w:tc>
      </w:tr>
      <w:tr w14:paraId="34142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51945925">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432CBEED">
            <w:pPr>
              <w:pStyle w:val="634"/>
              <w:adjustRightInd w:val="0"/>
              <w:snapToGrid w:val="0"/>
              <w:ind w:firstLine="0" w:firstLineChars="0"/>
              <w:jc w:val="center"/>
              <w:rPr>
                <w:rFonts w:ascii="Arial" w:hAnsi="Arial" w:cs="Arial"/>
                <w:sz w:val="18"/>
                <w:szCs w:val="18"/>
              </w:rPr>
            </w:pPr>
            <w:r>
              <w:rPr>
                <w:rFonts w:ascii="Arial" w:hAnsi="Arial" w:cs="Arial"/>
                <w:sz w:val="18"/>
                <w:szCs w:val="18"/>
              </w:rPr>
              <w:t>4#造纸</w:t>
            </w:r>
          </w:p>
        </w:tc>
        <w:tc>
          <w:tcPr>
            <w:tcW w:w="375" w:type="pct"/>
            <w:shd w:val="clear" w:color="auto" w:fill="auto"/>
            <w:noWrap/>
            <w:vAlign w:val="center"/>
          </w:tcPr>
          <w:p w14:paraId="26A565D0">
            <w:pPr>
              <w:pStyle w:val="634"/>
              <w:adjustRightInd w:val="0"/>
              <w:snapToGrid w:val="0"/>
              <w:ind w:firstLine="0" w:firstLineChars="0"/>
              <w:jc w:val="center"/>
              <w:rPr>
                <w:rFonts w:ascii="Arial" w:hAnsi="Arial" w:cs="Arial"/>
                <w:sz w:val="18"/>
                <w:szCs w:val="18"/>
              </w:rPr>
            </w:pPr>
            <w:r>
              <w:rPr>
                <w:rFonts w:ascii="Arial" w:hAnsi="Arial" w:cs="Arial"/>
                <w:sz w:val="18"/>
                <w:szCs w:val="18"/>
              </w:rPr>
              <w:t>1870</w:t>
            </w:r>
          </w:p>
        </w:tc>
        <w:tc>
          <w:tcPr>
            <w:tcW w:w="393" w:type="pct"/>
            <w:shd w:val="clear" w:color="auto" w:fill="auto"/>
            <w:noWrap/>
            <w:vAlign w:val="center"/>
          </w:tcPr>
          <w:p w14:paraId="323F9CA1">
            <w:pPr>
              <w:pStyle w:val="634"/>
              <w:adjustRightInd w:val="0"/>
              <w:snapToGrid w:val="0"/>
              <w:ind w:firstLine="0" w:firstLineChars="0"/>
              <w:jc w:val="center"/>
              <w:rPr>
                <w:rFonts w:ascii="Arial" w:hAnsi="Arial" w:cs="Arial"/>
                <w:sz w:val="18"/>
                <w:szCs w:val="18"/>
              </w:rPr>
            </w:pPr>
            <w:r>
              <w:rPr>
                <w:rFonts w:ascii="Arial" w:hAnsi="Arial" w:cs="Arial"/>
                <w:sz w:val="18"/>
                <w:szCs w:val="18"/>
              </w:rPr>
              <w:t>2190</w:t>
            </w:r>
          </w:p>
        </w:tc>
        <w:tc>
          <w:tcPr>
            <w:tcW w:w="250" w:type="pct"/>
            <w:shd w:val="clear" w:color="auto" w:fill="auto"/>
            <w:vAlign w:val="center"/>
          </w:tcPr>
          <w:p w14:paraId="4D688B94">
            <w:pPr>
              <w:pStyle w:val="634"/>
              <w:adjustRightInd w:val="0"/>
              <w:snapToGrid w:val="0"/>
              <w:ind w:firstLine="0" w:firstLineChars="0"/>
              <w:jc w:val="center"/>
              <w:rPr>
                <w:rFonts w:ascii="Arial" w:hAnsi="Arial" w:cs="Arial"/>
                <w:sz w:val="18"/>
                <w:szCs w:val="18"/>
              </w:rPr>
            </w:pPr>
            <w:r>
              <w:rPr>
                <w:rFonts w:ascii="Arial" w:hAnsi="Arial" w:cs="Arial"/>
                <w:sz w:val="18"/>
                <w:szCs w:val="18"/>
              </w:rPr>
              <w:t>8</w:t>
            </w:r>
          </w:p>
        </w:tc>
        <w:tc>
          <w:tcPr>
            <w:tcW w:w="312" w:type="pct"/>
            <w:shd w:val="clear" w:color="auto" w:fill="auto"/>
            <w:noWrap/>
            <w:vAlign w:val="center"/>
          </w:tcPr>
          <w:p w14:paraId="3EBF845B">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359" w:type="pct"/>
            <w:shd w:val="clear" w:color="auto" w:fill="auto"/>
            <w:noWrap/>
            <w:vAlign w:val="center"/>
          </w:tcPr>
          <w:p w14:paraId="54457DDC">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449" w:type="pct"/>
            <w:shd w:val="clear" w:color="auto" w:fill="auto"/>
            <w:noWrap/>
            <w:vAlign w:val="center"/>
          </w:tcPr>
          <w:p w14:paraId="08FA42DB">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305" w:type="pct"/>
            <w:shd w:val="clear" w:color="auto" w:fill="auto"/>
            <w:noWrap/>
            <w:vAlign w:val="center"/>
          </w:tcPr>
          <w:p w14:paraId="03E38E8C">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381" w:type="pct"/>
            <w:shd w:val="clear" w:color="auto" w:fill="auto"/>
            <w:vAlign w:val="center"/>
          </w:tcPr>
          <w:p w14:paraId="4BE0532C">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77E38F4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FFD98BF">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517" w:type="pct"/>
            <w:shd w:val="clear" w:color="auto" w:fill="auto"/>
            <w:vAlign w:val="center"/>
          </w:tcPr>
          <w:p w14:paraId="6ED9C980">
            <w:pPr>
              <w:pStyle w:val="634"/>
              <w:adjustRightInd w:val="0"/>
              <w:snapToGrid w:val="0"/>
              <w:ind w:firstLine="0" w:firstLineChars="0"/>
              <w:jc w:val="center"/>
              <w:rPr>
                <w:rFonts w:ascii="Arial" w:hAnsi="Arial" w:cs="Arial"/>
                <w:sz w:val="18"/>
                <w:szCs w:val="18"/>
              </w:rPr>
            </w:pPr>
          </w:p>
        </w:tc>
      </w:tr>
      <w:tr w14:paraId="26AB9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3FF69F0">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88FCD30">
            <w:pPr>
              <w:pStyle w:val="634"/>
              <w:adjustRightInd w:val="0"/>
              <w:snapToGrid w:val="0"/>
              <w:ind w:firstLine="0" w:firstLineChars="0"/>
              <w:jc w:val="center"/>
              <w:rPr>
                <w:rFonts w:ascii="Arial" w:hAnsi="Arial" w:cs="Arial"/>
                <w:sz w:val="18"/>
                <w:szCs w:val="18"/>
              </w:rPr>
            </w:pPr>
            <w:r>
              <w:rPr>
                <w:rFonts w:ascii="Arial" w:hAnsi="Arial" w:cs="Arial"/>
                <w:sz w:val="18"/>
                <w:szCs w:val="18"/>
              </w:rPr>
              <w:t>5#造纸</w:t>
            </w:r>
          </w:p>
        </w:tc>
        <w:tc>
          <w:tcPr>
            <w:tcW w:w="375" w:type="pct"/>
            <w:shd w:val="clear" w:color="auto" w:fill="auto"/>
            <w:noWrap/>
            <w:vAlign w:val="center"/>
          </w:tcPr>
          <w:p w14:paraId="3FBFA2B3">
            <w:pPr>
              <w:pStyle w:val="634"/>
              <w:adjustRightInd w:val="0"/>
              <w:snapToGrid w:val="0"/>
              <w:ind w:firstLine="0" w:firstLineChars="0"/>
              <w:jc w:val="center"/>
              <w:rPr>
                <w:rFonts w:ascii="Arial" w:hAnsi="Arial" w:cs="Arial"/>
                <w:sz w:val="18"/>
                <w:szCs w:val="18"/>
              </w:rPr>
            </w:pPr>
            <w:r>
              <w:rPr>
                <w:rFonts w:ascii="Arial" w:hAnsi="Arial" w:cs="Arial"/>
                <w:sz w:val="18"/>
                <w:szCs w:val="18"/>
              </w:rPr>
              <w:t>1827</w:t>
            </w:r>
          </w:p>
        </w:tc>
        <w:tc>
          <w:tcPr>
            <w:tcW w:w="393" w:type="pct"/>
            <w:shd w:val="clear" w:color="auto" w:fill="auto"/>
            <w:noWrap/>
            <w:vAlign w:val="center"/>
          </w:tcPr>
          <w:p w14:paraId="35D17509">
            <w:pPr>
              <w:pStyle w:val="634"/>
              <w:adjustRightInd w:val="0"/>
              <w:snapToGrid w:val="0"/>
              <w:ind w:firstLine="0" w:firstLineChars="0"/>
              <w:jc w:val="center"/>
              <w:rPr>
                <w:rFonts w:ascii="Arial" w:hAnsi="Arial" w:cs="Arial"/>
                <w:sz w:val="18"/>
                <w:szCs w:val="18"/>
              </w:rPr>
            </w:pPr>
            <w:r>
              <w:rPr>
                <w:rFonts w:ascii="Arial" w:hAnsi="Arial" w:cs="Arial"/>
                <w:sz w:val="18"/>
                <w:szCs w:val="18"/>
              </w:rPr>
              <w:t>2148</w:t>
            </w:r>
          </w:p>
        </w:tc>
        <w:tc>
          <w:tcPr>
            <w:tcW w:w="250" w:type="pct"/>
            <w:shd w:val="clear" w:color="auto" w:fill="auto"/>
            <w:vAlign w:val="center"/>
          </w:tcPr>
          <w:p w14:paraId="3F83A31A">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312" w:type="pct"/>
            <w:shd w:val="clear" w:color="auto" w:fill="auto"/>
            <w:noWrap/>
            <w:vAlign w:val="center"/>
          </w:tcPr>
          <w:p w14:paraId="3814E534">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359" w:type="pct"/>
            <w:shd w:val="clear" w:color="auto" w:fill="auto"/>
            <w:noWrap/>
            <w:vAlign w:val="center"/>
          </w:tcPr>
          <w:p w14:paraId="14A9BDAE">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449" w:type="pct"/>
            <w:shd w:val="clear" w:color="auto" w:fill="auto"/>
            <w:noWrap/>
            <w:vAlign w:val="center"/>
          </w:tcPr>
          <w:p w14:paraId="4EDE821E">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305" w:type="pct"/>
            <w:shd w:val="clear" w:color="auto" w:fill="auto"/>
            <w:noWrap/>
            <w:vAlign w:val="center"/>
          </w:tcPr>
          <w:p w14:paraId="4932A4CC">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381" w:type="pct"/>
            <w:shd w:val="clear" w:color="auto" w:fill="auto"/>
            <w:vAlign w:val="center"/>
          </w:tcPr>
          <w:p w14:paraId="36E8EF2A">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212BFBE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F6C4229">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517" w:type="pct"/>
            <w:shd w:val="clear" w:color="auto" w:fill="auto"/>
            <w:vAlign w:val="center"/>
          </w:tcPr>
          <w:p w14:paraId="6732E5ED">
            <w:pPr>
              <w:pStyle w:val="634"/>
              <w:adjustRightInd w:val="0"/>
              <w:snapToGrid w:val="0"/>
              <w:ind w:firstLine="0" w:firstLineChars="0"/>
              <w:jc w:val="center"/>
              <w:rPr>
                <w:rFonts w:ascii="Arial" w:hAnsi="Arial" w:cs="Arial"/>
                <w:sz w:val="18"/>
                <w:szCs w:val="18"/>
              </w:rPr>
            </w:pPr>
          </w:p>
        </w:tc>
      </w:tr>
      <w:tr w14:paraId="19D53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FB6D1EE">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43A05461">
            <w:pPr>
              <w:pStyle w:val="634"/>
              <w:adjustRightInd w:val="0"/>
              <w:snapToGrid w:val="0"/>
              <w:ind w:firstLine="0" w:firstLineChars="0"/>
              <w:jc w:val="center"/>
              <w:rPr>
                <w:rFonts w:ascii="Arial" w:hAnsi="Arial" w:cs="Arial"/>
                <w:sz w:val="18"/>
                <w:szCs w:val="18"/>
              </w:rPr>
            </w:pPr>
            <w:r>
              <w:rPr>
                <w:rFonts w:ascii="Arial" w:hAnsi="Arial" w:cs="Arial"/>
                <w:sz w:val="18"/>
                <w:szCs w:val="18"/>
              </w:rPr>
              <w:t>6#造纸</w:t>
            </w:r>
          </w:p>
        </w:tc>
        <w:tc>
          <w:tcPr>
            <w:tcW w:w="375" w:type="pct"/>
            <w:shd w:val="clear" w:color="auto" w:fill="auto"/>
            <w:noWrap/>
            <w:vAlign w:val="center"/>
          </w:tcPr>
          <w:p w14:paraId="78D1DA90">
            <w:pPr>
              <w:pStyle w:val="634"/>
              <w:adjustRightInd w:val="0"/>
              <w:snapToGrid w:val="0"/>
              <w:ind w:firstLine="0" w:firstLineChars="0"/>
              <w:jc w:val="center"/>
              <w:rPr>
                <w:rFonts w:ascii="Arial" w:hAnsi="Arial" w:cs="Arial"/>
                <w:sz w:val="18"/>
                <w:szCs w:val="18"/>
              </w:rPr>
            </w:pPr>
            <w:r>
              <w:rPr>
                <w:rFonts w:ascii="Arial" w:hAnsi="Arial" w:cs="Arial"/>
                <w:sz w:val="18"/>
                <w:szCs w:val="18"/>
              </w:rPr>
              <w:t>1785</w:t>
            </w:r>
          </w:p>
        </w:tc>
        <w:tc>
          <w:tcPr>
            <w:tcW w:w="393" w:type="pct"/>
            <w:shd w:val="clear" w:color="auto" w:fill="auto"/>
            <w:noWrap/>
            <w:vAlign w:val="center"/>
          </w:tcPr>
          <w:p w14:paraId="25BAB189">
            <w:pPr>
              <w:pStyle w:val="634"/>
              <w:adjustRightInd w:val="0"/>
              <w:snapToGrid w:val="0"/>
              <w:ind w:firstLine="0" w:firstLineChars="0"/>
              <w:jc w:val="center"/>
              <w:rPr>
                <w:rFonts w:ascii="Arial" w:hAnsi="Arial" w:cs="Arial"/>
                <w:sz w:val="18"/>
                <w:szCs w:val="18"/>
              </w:rPr>
            </w:pPr>
            <w:r>
              <w:rPr>
                <w:rFonts w:ascii="Arial" w:hAnsi="Arial" w:cs="Arial"/>
                <w:sz w:val="18"/>
                <w:szCs w:val="18"/>
              </w:rPr>
              <w:t>2082</w:t>
            </w:r>
          </w:p>
        </w:tc>
        <w:tc>
          <w:tcPr>
            <w:tcW w:w="250" w:type="pct"/>
            <w:shd w:val="clear" w:color="auto" w:fill="auto"/>
            <w:vAlign w:val="center"/>
          </w:tcPr>
          <w:p w14:paraId="0639ABEA">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312" w:type="pct"/>
            <w:shd w:val="clear" w:color="auto" w:fill="auto"/>
            <w:noWrap/>
            <w:vAlign w:val="center"/>
          </w:tcPr>
          <w:p w14:paraId="6D84ECFF">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359" w:type="pct"/>
            <w:shd w:val="clear" w:color="auto" w:fill="auto"/>
            <w:noWrap/>
            <w:vAlign w:val="center"/>
          </w:tcPr>
          <w:p w14:paraId="1F84ED4C">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449" w:type="pct"/>
            <w:shd w:val="clear" w:color="auto" w:fill="auto"/>
            <w:noWrap/>
            <w:vAlign w:val="center"/>
          </w:tcPr>
          <w:p w14:paraId="49903D6C">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305" w:type="pct"/>
            <w:shd w:val="clear" w:color="auto" w:fill="auto"/>
            <w:noWrap/>
            <w:vAlign w:val="center"/>
          </w:tcPr>
          <w:p w14:paraId="3D9136A5">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381" w:type="pct"/>
            <w:shd w:val="clear" w:color="auto" w:fill="auto"/>
            <w:vAlign w:val="center"/>
          </w:tcPr>
          <w:p w14:paraId="06EA2CB0">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60C1201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BFA2A56">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517" w:type="pct"/>
            <w:shd w:val="clear" w:color="auto" w:fill="auto"/>
            <w:vAlign w:val="center"/>
          </w:tcPr>
          <w:p w14:paraId="773726B7">
            <w:pPr>
              <w:pStyle w:val="634"/>
              <w:adjustRightInd w:val="0"/>
              <w:snapToGrid w:val="0"/>
              <w:ind w:firstLine="0" w:firstLineChars="0"/>
              <w:jc w:val="center"/>
              <w:rPr>
                <w:rFonts w:ascii="Arial" w:hAnsi="Arial" w:cs="Arial"/>
                <w:sz w:val="18"/>
                <w:szCs w:val="18"/>
              </w:rPr>
            </w:pPr>
          </w:p>
        </w:tc>
      </w:tr>
      <w:tr w14:paraId="67C87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381259A">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C8C3A25">
            <w:pPr>
              <w:pStyle w:val="634"/>
              <w:adjustRightInd w:val="0"/>
              <w:snapToGrid w:val="0"/>
              <w:ind w:firstLine="0" w:firstLineChars="0"/>
              <w:jc w:val="center"/>
              <w:rPr>
                <w:rFonts w:ascii="Arial" w:hAnsi="Arial" w:cs="Arial"/>
                <w:sz w:val="18"/>
                <w:szCs w:val="18"/>
              </w:rPr>
            </w:pPr>
            <w:r>
              <w:rPr>
                <w:rFonts w:ascii="Arial" w:hAnsi="Arial" w:cs="Arial"/>
                <w:sz w:val="18"/>
                <w:szCs w:val="18"/>
              </w:rPr>
              <w:t>7#造纸</w:t>
            </w:r>
          </w:p>
        </w:tc>
        <w:tc>
          <w:tcPr>
            <w:tcW w:w="375" w:type="pct"/>
            <w:shd w:val="clear" w:color="auto" w:fill="auto"/>
            <w:noWrap/>
            <w:vAlign w:val="center"/>
          </w:tcPr>
          <w:p w14:paraId="1A9F75EF">
            <w:pPr>
              <w:pStyle w:val="634"/>
              <w:adjustRightInd w:val="0"/>
              <w:snapToGrid w:val="0"/>
              <w:ind w:firstLine="0" w:firstLineChars="0"/>
              <w:jc w:val="center"/>
              <w:rPr>
                <w:rFonts w:ascii="Arial" w:hAnsi="Arial" w:cs="Arial"/>
                <w:sz w:val="18"/>
                <w:szCs w:val="18"/>
              </w:rPr>
            </w:pPr>
            <w:r>
              <w:rPr>
                <w:rFonts w:ascii="Arial" w:hAnsi="Arial" w:cs="Arial"/>
                <w:sz w:val="18"/>
                <w:szCs w:val="18"/>
              </w:rPr>
              <w:t>1908</w:t>
            </w:r>
          </w:p>
        </w:tc>
        <w:tc>
          <w:tcPr>
            <w:tcW w:w="393" w:type="pct"/>
            <w:shd w:val="clear" w:color="auto" w:fill="auto"/>
            <w:noWrap/>
            <w:vAlign w:val="center"/>
          </w:tcPr>
          <w:p w14:paraId="727C1927">
            <w:pPr>
              <w:pStyle w:val="634"/>
              <w:adjustRightInd w:val="0"/>
              <w:snapToGrid w:val="0"/>
              <w:ind w:firstLine="0" w:firstLineChars="0"/>
              <w:jc w:val="center"/>
              <w:rPr>
                <w:rFonts w:ascii="Arial" w:hAnsi="Arial" w:cs="Arial"/>
                <w:sz w:val="18"/>
                <w:szCs w:val="18"/>
              </w:rPr>
            </w:pPr>
            <w:r>
              <w:rPr>
                <w:rFonts w:ascii="Arial" w:hAnsi="Arial" w:cs="Arial"/>
                <w:sz w:val="18"/>
                <w:szCs w:val="18"/>
              </w:rPr>
              <w:t>2231</w:t>
            </w:r>
          </w:p>
        </w:tc>
        <w:tc>
          <w:tcPr>
            <w:tcW w:w="250" w:type="pct"/>
            <w:shd w:val="clear" w:color="auto" w:fill="auto"/>
            <w:vAlign w:val="center"/>
          </w:tcPr>
          <w:p w14:paraId="1DDDEA60">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312" w:type="pct"/>
            <w:shd w:val="clear" w:color="auto" w:fill="auto"/>
            <w:noWrap/>
            <w:vAlign w:val="center"/>
          </w:tcPr>
          <w:p w14:paraId="65752C6E">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359" w:type="pct"/>
            <w:shd w:val="clear" w:color="auto" w:fill="auto"/>
            <w:noWrap/>
            <w:vAlign w:val="center"/>
          </w:tcPr>
          <w:p w14:paraId="5B3663B5">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449" w:type="pct"/>
            <w:shd w:val="clear" w:color="auto" w:fill="auto"/>
            <w:noWrap/>
            <w:vAlign w:val="center"/>
          </w:tcPr>
          <w:p w14:paraId="509BF83C">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305" w:type="pct"/>
            <w:shd w:val="clear" w:color="auto" w:fill="auto"/>
            <w:noWrap/>
            <w:vAlign w:val="center"/>
          </w:tcPr>
          <w:p w14:paraId="0A8EFBB4">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381" w:type="pct"/>
            <w:shd w:val="clear" w:color="auto" w:fill="auto"/>
            <w:vAlign w:val="center"/>
          </w:tcPr>
          <w:p w14:paraId="2A5ADD11">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7ADFA33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086B26D">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517" w:type="pct"/>
            <w:shd w:val="clear" w:color="auto" w:fill="auto"/>
            <w:vAlign w:val="center"/>
          </w:tcPr>
          <w:p w14:paraId="7A77FA41">
            <w:pPr>
              <w:pStyle w:val="634"/>
              <w:adjustRightInd w:val="0"/>
              <w:snapToGrid w:val="0"/>
              <w:ind w:firstLine="0" w:firstLineChars="0"/>
              <w:jc w:val="center"/>
              <w:rPr>
                <w:rFonts w:ascii="Arial" w:hAnsi="Arial" w:cs="Arial"/>
                <w:sz w:val="18"/>
                <w:szCs w:val="18"/>
              </w:rPr>
            </w:pPr>
          </w:p>
        </w:tc>
      </w:tr>
      <w:tr w14:paraId="6C3AB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08201DF">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68E7D5C">
            <w:pPr>
              <w:pStyle w:val="634"/>
              <w:adjustRightInd w:val="0"/>
              <w:snapToGrid w:val="0"/>
              <w:ind w:firstLine="0" w:firstLineChars="0"/>
              <w:jc w:val="center"/>
              <w:rPr>
                <w:rFonts w:ascii="Arial" w:hAnsi="Arial" w:cs="Arial"/>
                <w:sz w:val="18"/>
                <w:szCs w:val="18"/>
              </w:rPr>
            </w:pPr>
            <w:r>
              <w:rPr>
                <w:rFonts w:ascii="Arial" w:hAnsi="Arial" w:cs="Arial"/>
                <w:sz w:val="18"/>
                <w:szCs w:val="18"/>
              </w:rPr>
              <w:t>8#造纸</w:t>
            </w:r>
          </w:p>
        </w:tc>
        <w:tc>
          <w:tcPr>
            <w:tcW w:w="375" w:type="pct"/>
            <w:shd w:val="clear" w:color="auto" w:fill="auto"/>
            <w:noWrap/>
            <w:vAlign w:val="center"/>
          </w:tcPr>
          <w:p w14:paraId="036C18DA">
            <w:pPr>
              <w:pStyle w:val="634"/>
              <w:adjustRightInd w:val="0"/>
              <w:snapToGrid w:val="0"/>
              <w:ind w:firstLine="0" w:firstLineChars="0"/>
              <w:jc w:val="center"/>
              <w:rPr>
                <w:rFonts w:ascii="Arial" w:hAnsi="Arial" w:cs="Arial"/>
                <w:sz w:val="18"/>
                <w:szCs w:val="18"/>
              </w:rPr>
            </w:pPr>
            <w:r>
              <w:rPr>
                <w:rFonts w:ascii="Arial" w:hAnsi="Arial" w:cs="Arial"/>
                <w:sz w:val="18"/>
                <w:szCs w:val="18"/>
              </w:rPr>
              <w:t>1890</w:t>
            </w:r>
          </w:p>
        </w:tc>
        <w:tc>
          <w:tcPr>
            <w:tcW w:w="393" w:type="pct"/>
            <w:shd w:val="clear" w:color="auto" w:fill="auto"/>
            <w:noWrap/>
            <w:vAlign w:val="center"/>
          </w:tcPr>
          <w:p w14:paraId="65022248">
            <w:pPr>
              <w:pStyle w:val="634"/>
              <w:adjustRightInd w:val="0"/>
              <w:snapToGrid w:val="0"/>
              <w:ind w:firstLine="0" w:firstLineChars="0"/>
              <w:jc w:val="center"/>
              <w:rPr>
                <w:rFonts w:ascii="Arial" w:hAnsi="Arial" w:cs="Arial"/>
                <w:sz w:val="18"/>
                <w:szCs w:val="18"/>
              </w:rPr>
            </w:pPr>
            <w:r>
              <w:rPr>
                <w:rFonts w:ascii="Arial" w:hAnsi="Arial" w:cs="Arial"/>
                <w:sz w:val="18"/>
                <w:szCs w:val="18"/>
              </w:rPr>
              <w:t>2196</w:t>
            </w:r>
          </w:p>
        </w:tc>
        <w:tc>
          <w:tcPr>
            <w:tcW w:w="250" w:type="pct"/>
            <w:shd w:val="clear" w:color="auto" w:fill="auto"/>
            <w:vAlign w:val="center"/>
          </w:tcPr>
          <w:p w14:paraId="1DEA221D">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312" w:type="pct"/>
            <w:shd w:val="clear" w:color="auto" w:fill="auto"/>
            <w:noWrap/>
            <w:vAlign w:val="center"/>
          </w:tcPr>
          <w:p w14:paraId="3A2B72F9">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359" w:type="pct"/>
            <w:shd w:val="clear" w:color="auto" w:fill="auto"/>
            <w:noWrap/>
            <w:vAlign w:val="center"/>
          </w:tcPr>
          <w:p w14:paraId="2FE69C64">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449" w:type="pct"/>
            <w:shd w:val="clear" w:color="auto" w:fill="auto"/>
            <w:noWrap/>
            <w:vAlign w:val="center"/>
          </w:tcPr>
          <w:p w14:paraId="3D0A6B51">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305" w:type="pct"/>
            <w:shd w:val="clear" w:color="auto" w:fill="auto"/>
            <w:noWrap/>
            <w:vAlign w:val="center"/>
          </w:tcPr>
          <w:p w14:paraId="53C3C4BD">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381" w:type="pct"/>
            <w:shd w:val="clear" w:color="auto" w:fill="auto"/>
            <w:vAlign w:val="center"/>
          </w:tcPr>
          <w:p w14:paraId="185F56FC">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1C98D09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D874943">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517" w:type="pct"/>
            <w:shd w:val="clear" w:color="auto" w:fill="auto"/>
            <w:vAlign w:val="center"/>
          </w:tcPr>
          <w:p w14:paraId="3A125459">
            <w:pPr>
              <w:pStyle w:val="634"/>
              <w:adjustRightInd w:val="0"/>
              <w:snapToGrid w:val="0"/>
              <w:ind w:firstLine="0" w:firstLineChars="0"/>
              <w:jc w:val="center"/>
              <w:rPr>
                <w:rFonts w:ascii="Arial" w:hAnsi="Arial" w:cs="Arial"/>
                <w:sz w:val="18"/>
                <w:szCs w:val="18"/>
              </w:rPr>
            </w:pPr>
          </w:p>
        </w:tc>
      </w:tr>
      <w:tr w14:paraId="20F7A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4CB1A63">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EC02135">
            <w:pPr>
              <w:pStyle w:val="634"/>
              <w:adjustRightInd w:val="0"/>
              <w:snapToGrid w:val="0"/>
              <w:ind w:firstLine="0" w:firstLineChars="0"/>
              <w:jc w:val="center"/>
              <w:rPr>
                <w:rFonts w:ascii="Arial" w:hAnsi="Arial" w:cs="Arial"/>
                <w:sz w:val="18"/>
                <w:szCs w:val="18"/>
              </w:rPr>
            </w:pPr>
            <w:r>
              <w:rPr>
                <w:rFonts w:ascii="Arial" w:hAnsi="Arial" w:cs="Arial"/>
                <w:sz w:val="18"/>
                <w:szCs w:val="18"/>
              </w:rPr>
              <w:t>9#造纸</w:t>
            </w:r>
          </w:p>
        </w:tc>
        <w:tc>
          <w:tcPr>
            <w:tcW w:w="375" w:type="pct"/>
            <w:shd w:val="clear" w:color="auto" w:fill="auto"/>
            <w:noWrap/>
            <w:vAlign w:val="center"/>
          </w:tcPr>
          <w:p w14:paraId="4BC6AE8B">
            <w:pPr>
              <w:pStyle w:val="634"/>
              <w:adjustRightInd w:val="0"/>
              <w:snapToGrid w:val="0"/>
              <w:ind w:firstLine="0" w:firstLineChars="0"/>
              <w:jc w:val="center"/>
              <w:rPr>
                <w:rFonts w:ascii="Arial" w:hAnsi="Arial" w:cs="Arial"/>
                <w:sz w:val="18"/>
                <w:szCs w:val="18"/>
              </w:rPr>
            </w:pPr>
            <w:r>
              <w:rPr>
                <w:rFonts w:ascii="Arial" w:hAnsi="Arial" w:cs="Arial"/>
                <w:sz w:val="18"/>
                <w:szCs w:val="18"/>
              </w:rPr>
              <w:t>1847</w:t>
            </w:r>
          </w:p>
        </w:tc>
        <w:tc>
          <w:tcPr>
            <w:tcW w:w="393" w:type="pct"/>
            <w:shd w:val="clear" w:color="auto" w:fill="auto"/>
            <w:noWrap/>
            <w:vAlign w:val="center"/>
          </w:tcPr>
          <w:p w14:paraId="2022DE7E">
            <w:pPr>
              <w:pStyle w:val="634"/>
              <w:adjustRightInd w:val="0"/>
              <w:snapToGrid w:val="0"/>
              <w:ind w:firstLine="0" w:firstLineChars="0"/>
              <w:jc w:val="center"/>
              <w:rPr>
                <w:rFonts w:ascii="Arial" w:hAnsi="Arial" w:cs="Arial"/>
                <w:sz w:val="18"/>
                <w:szCs w:val="18"/>
              </w:rPr>
            </w:pPr>
            <w:r>
              <w:rPr>
                <w:rFonts w:ascii="Arial" w:hAnsi="Arial" w:cs="Arial"/>
                <w:sz w:val="18"/>
                <w:szCs w:val="18"/>
              </w:rPr>
              <w:t>2148</w:t>
            </w:r>
          </w:p>
        </w:tc>
        <w:tc>
          <w:tcPr>
            <w:tcW w:w="250" w:type="pct"/>
            <w:shd w:val="clear" w:color="auto" w:fill="auto"/>
            <w:vAlign w:val="center"/>
          </w:tcPr>
          <w:p w14:paraId="74BE5300">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312" w:type="pct"/>
            <w:shd w:val="clear" w:color="auto" w:fill="auto"/>
            <w:noWrap/>
            <w:vAlign w:val="center"/>
          </w:tcPr>
          <w:p w14:paraId="44830EED">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359" w:type="pct"/>
            <w:shd w:val="clear" w:color="auto" w:fill="auto"/>
            <w:noWrap/>
            <w:vAlign w:val="center"/>
          </w:tcPr>
          <w:p w14:paraId="72E07189">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449" w:type="pct"/>
            <w:shd w:val="clear" w:color="auto" w:fill="auto"/>
            <w:noWrap/>
            <w:vAlign w:val="center"/>
          </w:tcPr>
          <w:p w14:paraId="27709400">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305" w:type="pct"/>
            <w:shd w:val="clear" w:color="auto" w:fill="auto"/>
            <w:noWrap/>
            <w:vAlign w:val="center"/>
          </w:tcPr>
          <w:p w14:paraId="24EA87F6">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381" w:type="pct"/>
            <w:shd w:val="clear" w:color="auto" w:fill="auto"/>
            <w:vAlign w:val="center"/>
          </w:tcPr>
          <w:p w14:paraId="546EB88A">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36AA6D9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33BCD97">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517" w:type="pct"/>
            <w:shd w:val="clear" w:color="auto" w:fill="auto"/>
            <w:vAlign w:val="center"/>
          </w:tcPr>
          <w:p w14:paraId="684B047A">
            <w:pPr>
              <w:pStyle w:val="634"/>
              <w:adjustRightInd w:val="0"/>
              <w:snapToGrid w:val="0"/>
              <w:ind w:firstLine="0" w:firstLineChars="0"/>
              <w:jc w:val="center"/>
              <w:rPr>
                <w:rFonts w:ascii="Arial" w:hAnsi="Arial" w:cs="Arial"/>
                <w:sz w:val="18"/>
                <w:szCs w:val="18"/>
              </w:rPr>
            </w:pPr>
          </w:p>
        </w:tc>
      </w:tr>
      <w:tr w14:paraId="74FBE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5802F524">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04833B80">
            <w:pPr>
              <w:pStyle w:val="634"/>
              <w:adjustRightInd w:val="0"/>
              <w:snapToGrid w:val="0"/>
              <w:ind w:firstLine="0" w:firstLineChars="0"/>
              <w:jc w:val="center"/>
              <w:rPr>
                <w:rFonts w:ascii="Arial" w:hAnsi="Arial" w:cs="Arial"/>
                <w:sz w:val="18"/>
                <w:szCs w:val="18"/>
              </w:rPr>
            </w:pPr>
            <w:r>
              <w:rPr>
                <w:rFonts w:ascii="Arial" w:hAnsi="Arial" w:cs="Arial"/>
                <w:sz w:val="18"/>
                <w:szCs w:val="18"/>
              </w:rPr>
              <w:t>10#造纸</w:t>
            </w:r>
          </w:p>
        </w:tc>
        <w:tc>
          <w:tcPr>
            <w:tcW w:w="375" w:type="pct"/>
            <w:shd w:val="clear" w:color="auto" w:fill="auto"/>
            <w:noWrap/>
            <w:vAlign w:val="center"/>
          </w:tcPr>
          <w:p w14:paraId="398E53AD">
            <w:pPr>
              <w:pStyle w:val="634"/>
              <w:adjustRightInd w:val="0"/>
              <w:snapToGrid w:val="0"/>
              <w:ind w:firstLine="0" w:firstLineChars="0"/>
              <w:jc w:val="center"/>
              <w:rPr>
                <w:rFonts w:ascii="Arial" w:hAnsi="Arial" w:cs="Arial"/>
                <w:sz w:val="18"/>
                <w:szCs w:val="18"/>
              </w:rPr>
            </w:pPr>
            <w:r>
              <w:rPr>
                <w:rFonts w:ascii="Arial" w:hAnsi="Arial" w:cs="Arial"/>
                <w:sz w:val="18"/>
                <w:szCs w:val="18"/>
              </w:rPr>
              <w:t>1805</w:t>
            </w:r>
          </w:p>
        </w:tc>
        <w:tc>
          <w:tcPr>
            <w:tcW w:w="393" w:type="pct"/>
            <w:shd w:val="clear" w:color="auto" w:fill="auto"/>
            <w:noWrap/>
            <w:vAlign w:val="center"/>
          </w:tcPr>
          <w:p w14:paraId="242CD3D7">
            <w:pPr>
              <w:pStyle w:val="634"/>
              <w:adjustRightInd w:val="0"/>
              <w:snapToGrid w:val="0"/>
              <w:ind w:firstLine="0" w:firstLineChars="0"/>
              <w:jc w:val="center"/>
              <w:rPr>
                <w:rFonts w:ascii="Arial" w:hAnsi="Arial" w:cs="Arial"/>
                <w:sz w:val="18"/>
                <w:szCs w:val="18"/>
              </w:rPr>
            </w:pPr>
            <w:r>
              <w:rPr>
                <w:rFonts w:ascii="Arial" w:hAnsi="Arial" w:cs="Arial"/>
                <w:sz w:val="18"/>
                <w:szCs w:val="18"/>
              </w:rPr>
              <w:t>2082</w:t>
            </w:r>
          </w:p>
        </w:tc>
        <w:tc>
          <w:tcPr>
            <w:tcW w:w="250" w:type="pct"/>
            <w:shd w:val="clear" w:color="auto" w:fill="auto"/>
            <w:vAlign w:val="center"/>
          </w:tcPr>
          <w:p w14:paraId="66C7973A">
            <w:pPr>
              <w:pStyle w:val="634"/>
              <w:adjustRightInd w:val="0"/>
              <w:snapToGrid w:val="0"/>
              <w:ind w:firstLine="0" w:firstLineChars="0"/>
              <w:jc w:val="center"/>
              <w:rPr>
                <w:rFonts w:ascii="Arial" w:hAnsi="Arial" w:cs="Arial"/>
                <w:sz w:val="18"/>
                <w:szCs w:val="18"/>
              </w:rPr>
            </w:pPr>
            <w:r>
              <w:rPr>
                <w:rFonts w:ascii="Arial" w:hAnsi="Arial" w:cs="Arial"/>
                <w:sz w:val="18"/>
                <w:szCs w:val="18"/>
              </w:rPr>
              <w:t>0</w:t>
            </w:r>
          </w:p>
        </w:tc>
        <w:tc>
          <w:tcPr>
            <w:tcW w:w="312" w:type="pct"/>
            <w:shd w:val="clear" w:color="auto" w:fill="auto"/>
            <w:noWrap/>
            <w:vAlign w:val="center"/>
          </w:tcPr>
          <w:p w14:paraId="120167C9">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359" w:type="pct"/>
            <w:shd w:val="clear" w:color="auto" w:fill="auto"/>
            <w:noWrap/>
            <w:vAlign w:val="center"/>
          </w:tcPr>
          <w:p w14:paraId="5AF74A15">
            <w:pPr>
              <w:pStyle w:val="634"/>
              <w:adjustRightInd w:val="0"/>
              <w:snapToGrid w:val="0"/>
              <w:ind w:firstLine="0" w:firstLineChars="0"/>
              <w:jc w:val="center"/>
              <w:rPr>
                <w:rFonts w:ascii="Arial" w:hAnsi="Arial" w:cs="Arial"/>
                <w:sz w:val="18"/>
                <w:szCs w:val="18"/>
              </w:rPr>
            </w:pPr>
            <w:r>
              <w:rPr>
                <w:rFonts w:ascii="Arial" w:hAnsi="Arial" w:cs="Arial"/>
                <w:sz w:val="18"/>
                <w:szCs w:val="18"/>
              </w:rPr>
              <w:t>0.92</w:t>
            </w:r>
          </w:p>
        </w:tc>
        <w:tc>
          <w:tcPr>
            <w:tcW w:w="449" w:type="pct"/>
            <w:shd w:val="clear" w:color="auto" w:fill="auto"/>
            <w:noWrap/>
            <w:vAlign w:val="center"/>
          </w:tcPr>
          <w:p w14:paraId="5BE1ED15">
            <w:pPr>
              <w:pStyle w:val="634"/>
              <w:adjustRightInd w:val="0"/>
              <w:snapToGrid w:val="0"/>
              <w:ind w:firstLine="0" w:firstLineChars="0"/>
              <w:jc w:val="center"/>
              <w:rPr>
                <w:rFonts w:ascii="Arial" w:hAnsi="Arial" w:cs="Arial"/>
                <w:sz w:val="18"/>
                <w:szCs w:val="18"/>
              </w:rPr>
            </w:pPr>
            <w:r>
              <w:rPr>
                <w:rFonts w:ascii="Arial" w:hAnsi="Arial" w:cs="Arial"/>
                <w:sz w:val="18"/>
                <w:szCs w:val="18"/>
              </w:rPr>
              <w:t>24.0</w:t>
            </w:r>
          </w:p>
        </w:tc>
        <w:tc>
          <w:tcPr>
            <w:tcW w:w="305" w:type="pct"/>
            <w:shd w:val="clear" w:color="auto" w:fill="auto"/>
            <w:noWrap/>
            <w:vAlign w:val="center"/>
          </w:tcPr>
          <w:p w14:paraId="05511639">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381" w:type="pct"/>
            <w:shd w:val="clear" w:color="auto" w:fill="auto"/>
            <w:vAlign w:val="center"/>
          </w:tcPr>
          <w:p w14:paraId="12CE4926">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0ED8F26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33D70FDD">
            <w:pPr>
              <w:pStyle w:val="634"/>
              <w:adjustRightInd w:val="0"/>
              <w:snapToGrid w:val="0"/>
              <w:ind w:firstLine="0" w:firstLineChars="0"/>
              <w:jc w:val="center"/>
              <w:rPr>
                <w:rFonts w:ascii="Arial" w:hAnsi="Arial" w:cs="Arial"/>
                <w:sz w:val="18"/>
                <w:szCs w:val="18"/>
              </w:rPr>
            </w:pPr>
            <w:r>
              <w:rPr>
                <w:rFonts w:ascii="Arial" w:hAnsi="Arial" w:cs="Arial"/>
                <w:sz w:val="18"/>
                <w:szCs w:val="18"/>
              </w:rPr>
              <w:t>0.0026</w:t>
            </w:r>
          </w:p>
        </w:tc>
        <w:tc>
          <w:tcPr>
            <w:tcW w:w="517" w:type="pct"/>
            <w:shd w:val="clear" w:color="auto" w:fill="auto"/>
            <w:vAlign w:val="center"/>
          </w:tcPr>
          <w:p w14:paraId="5C885398">
            <w:pPr>
              <w:pStyle w:val="634"/>
              <w:adjustRightInd w:val="0"/>
              <w:snapToGrid w:val="0"/>
              <w:ind w:firstLine="0" w:firstLineChars="0"/>
              <w:jc w:val="center"/>
              <w:rPr>
                <w:rFonts w:ascii="Arial" w:hAnsi="Arial" w:cs="Arial"/>
                <w:sz w:val="18"/>
                <w:szCs w:val="18"/>
              </w:rPr>
            </w:pPr>
          </w:p>
        </w:tc>
      </w:tr>
      <w:tr w14:paraId="386DC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E896754">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84DF3A1">
            <w:pPr>
              <w:pStyle w:val="634"/>
              <w:adjustRightInd w:val="0"/>
              <w:snapToGrid w:val="0"/>
              <w:ind w:firstLine="0" w:firstLineChars="0"/>
              <w:jc w:val="center"/>
              <w:rPr>
                <w:rFonts w:ascii="Arial" w:hAnsi="Arial" w:cs="Arial"/>
                <w:sz w:val="18"/>
                <w:szCs w:val="18"/>
              </w:rPr>
            </w:pPr>
            <w:r>
              <w:rPr>
                <w:rFonts w:ascii="Arial" w:hAnsi="Arial" w:cs="Arial"/>
                <w:sz w:val="18"/>
                <w:szCs w:val="18"/>
              </w:rPr>
              <w:t>11#转化炉</w:t>
            </w:r>
          </w:p>
        </w:tc>
        <w:tc>
          <w:tcPr>
            <w:tcW w:w="375" w:type="pct"/>
            <w:shd w:val="clear" w:color="auto" w:fill="auto"/>
            <w:noWrap/>
            <w:vAlign w:val="center"/>
          </w:tcPr>
          <w:p w14:paraId="618859E7">
            <w:pPr>
              <w:pStyle w:val="634"/>
              <w:adjustRightInd w:val="0"/>
              <w:snapToGrid w:val="0"/>
              <w:ind w:firstLine="0" w:firstLineChars="0"/>
              <w:jc w:val="center"/>
              <w:rPr>
                <w:rFonts w:ascii="Arial" w:hAnsi="Arial" w:cs="Arial"/>
                <w:sz w:val="18"/>
                <w:szCs w:val="18"/>
              </w:rPr>
            </w:pPr>
            <w:r>
              <w:rPr>
                <w:rFonts w:ascii="Arial" w:hAnsi="Arial" w:cs="Arial"/>
                <w:sz w:val="18"/>
                <w:szCs w:val="18"/>
              </w:rPr>
              <w:t>3402</w:t>
            </w:r>
          </w:p>
        </w:tc>
        <w:tc>
          <w:tcPr>
            <w:tcW w:w="393" w:type="pct"/>
            <w:shd w:val="clear" w:color="auto" w:fill="auto"/>
            <w:noWrap/>
            <w:vAlign w:val="center"/>
          </w:tcPr>
          <w:p w14:paraId="46EDDAD8">
            <w:pPr>
              <w:pStyle w:val="634"/>
              <w:adjustRightInd w:val="0"/>
              <w:snapToGrid w:val="0"/>
              <w:ind w:firstLine="0" w:firstLineChars="0"/>
              <w:jc w:val="center"/>
              <w:rPr>
                <w:rFonts w:ascii="Arial" w:hAnsi="Arial" w:cs="Arial"/>
                <w:sz w:val="18"/>
                <w:szCs w:val="18"/>
              </w:rPr>
            </w:pPr>
            <w:r>
              <w:rPr>
                <w:rFonts w:ascii="Arial" w:hAnsi="Arial" w:cs="Arial"/>
                <w:sz w:val="18"/>
                <w:szCs w:val="18"/>
              </w:rPr>
              <w:t>2548</w:t>
            </w:r>
          </w:p>
        </w:tc>
        <w:tc>
          <w:tcPr>
            <w:tcW w:w="250" w:type="pct"/>
            <w:shd w:val="clear" w:color="auto" w:fill="auto"/>
            <w:vAlign w:val="center"/>
          </w:tcPr>
          <w:p w14:paraId="2DF167D6">
            <w:pPr>
              <w:pStyle w:val="634"/>
              <w:adjustRightInd w:val="0"/>
              <w:snapToGrid w:val="0"/>
              <w:ind w:firstLine="0" w:firstLineChars="0"/>
              <w:jc w:val="center"/>
              <w:rPr>
                <w:rFonts w:ascii="Arial" w:hAnsi="Arial" w:cs="Arial"/>
                <w:sz w:val="18"/>
                <w:szCs w:val="18"/>
              </w:rPr>
            </w:pPr>
            <w:r>
              <w:rPr>
                <w:rFonts w:ascii="Arial" w:hAnsi="Arial" w:cs="Arial"/>
                <w:sz w:val="18"/>
                <w:szCs w:val="18"/>
              </w:rPr>
              <w:t>28</w:t>
            </w:r>
          </w:p>
        </w:tc>
        <w:tc>
          <w:tcPr>
            <w:tcW w:w="312" w:type="pct"/>
            <w:shd w:val="clear" w:color="auto" w:fill="auto"/>
            <w:noWrap/>
            <w:vAlign w:val="center"/>
          </w:tcPr>
          <w:p w14:paraId="21294EA4">
            <w:pPr>
              <w:pStyle w:val="634"/>
              <w:adjustRightInd w:val="0"/>
              <w:snapToGrid w:val="0"/>
              <w:ind w:firstLine="0" w:firstLineChars="0"/>
              <w:jc w:val="center"/>
              <w:rPr>
                <w:rFonts w:ascii="Arial" w:hAnsi="Arial" w:cs="Arial"/>
                <w:sz w:val="18"/>
                <w:szCs w:val="18"/>
              </w:rPr>
            </w:pPr>
            <w:r>
              <w:rPr>
                <w:rFonts w:ascii="Arial" w:hAnsi="Arial" w:cs="Arial"/>
                <w:sz w:val="18"/>
                <w:szCs w:val="18"/>
              </w:rPr>
              <w:t>20</w:t>
            </w:r>
          </w:p>
        </w:tc>
        <w:tc>
          <w:tcPr>
            <w:tcW w:w="359" w:type="pct"/>
            <w:shd w:val="clear" w:color="auto" w:fill="auto"/>
            <w:noWrap/>
            <w:vAlign w:val="center"/>
          </w:tcPr>
          <w:p w14:paraId="48BAB182">
            <w:pPr>
              <w:pStyle w:val="634"/>
              <w:adjustRightInd w:val="0"/>
              <w:snapToGrid w:val="0"/>
              <w:ind w:firstLine="0" w:firstLineChars="0"/>
              <w:jc w:val="center"/>
              <w:rPr>
                <w:rFonts w:ascii="Arial" w:hAnsi="Arial" w:cs="Arial"/>
                <w:sz w:val="18"/>
                <w:szCs w:val="18"/>
              </w:rPr>
            </w:pPr>
            <w:r>
              <w:rPr>
                <w:rFonts w:ascii="Arial" w:hAnsi="Arial" w:cs="Arial"/>
                <w:sz w:val="18"/>
                <w:szCs w:val="18"/>
              </w:rPr>
              <w:t>0.8</w:t>
            </w:r>
          </w:p>
        </w:tc>
        <w:tc>
          <w:tcPr>
            <w:tcW w:w="449" w:type="pct"/>
            <w:shd w:val="clear" w:color="auto" w:fill="auto"/>
            <w:noWrap/>
            <w:vAlign w:val="center"/>
          </w:tcPr>
          <w:p w14:paraId="3D38B074">
            <w:pPr>
              <w:pStyle w:val="634"/>
              <w:adjustRightInd w:val="0"/>
              <w:snapToGrid w:val="0"/>
              <w:ind w:firstLine="0" w:firstLineChars="0"/>
              <w:jc w:val="center"/>
              <w:rPr>
                <w:rFonts w:ascii="Arial" w:hAnsi="Arial" w:cs="Arial"/>
                <w:sz w:val="18"/>
                <w:szCs w:val="18"/>
              </w:rPr>
            </w:pPr>
            <w:r>
              <w:rPr>
                <w:rFonts w:ascii="Arial" w:hAnsi="Arial" w:cs="Arial"/>
                <w:sz w:val="18"/>
                <w:szCs w:val="18"/>
              </w:rPr>
              <w:t>18.48</w:t>
            </w:r>
          </w:p>
        </w:tc>
        <w:tc>
          <w:tcPr>
            <w:tcW w:w="305" w:type="pct"/>
            <w:shd w:val="clear" w:color="auto" w:fill="auto"/>
            <w:noWrap/>
            <w:vAlign w:val="center"/>
          </w:tcPr>
          <w:p w14:paraId="42D61F04">
            <w:pPr>
              <w:pStyle w:val="634"/>
              <w:adjustRightInd w:val="0"/>
              <w:snapToGrid w:val="0"/>
              <w:ind w:firstLine="0" w:firstLineChars="0"/>
              <w:jc w:val="center"/>
              <w:rPr>
                <w:rFonts w:ascii="Arial" w:hAnsi="Arial" w:cs="Arial"/>
                <w:sz w:val="18"/>
                <w:szCs w:val="18"/>
              </w:rPr>
            </w:pPr>
            <w:r>
              <w:rPr>
                <w:rFonts w:ascii="Arial" w:hAnsi="Arial" w:cs="Arial"/>
                <w:sz w:val="18"/>
                <w:szCs w:val="18"/>
              </w:rPr>
              <w:t>90</w:t>
            </w:r>
          </w:p>
        </w:tc>
        <w:tc>
          <w:tcPr>
            <w:tcW w:w="381" w:type="pct"/>
            <w:shd w:val="clear" w:color="auto" w:fill="auto"/>
            <w:vAlign w:val="center"/>
          </w:tcPr>
          <w:p w14:paraId="2B70C43B">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2024D4D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006FC6D">
            <w:pPr>
              <w:pStyle w:val="634"/>
              <w:adjustRightInd w:val="0"/>
              <w:snapToGrid w:val="0"/>
              <w:ind w:firstLine="0" w:firstLineChars="0"/>
              <w:jc w:val="center"/>
              <w:rPr>
                <w:rFonts w:ascii="Arial" w:hAnsi="Arial" w:cs="Arial"/>
                <w:sz w:val="18"/>
                <w:szCs w:val="18"/>
              </w:rPr>
            </w:pPr>
            <w:r>
              <w:rPr>
                <w:rFonts w:ascii="Arial" w:hAnsi="Arial" w:cs="Arial"/>
                <w:sz w:val="18"/>
                <w:szCs w:val="18"/>
              </w:rPr>
              <w:t>0.47</w:t>
            </w:r>
          </w:p>
        </w:tc>
        <w:tc>
          <w:tcPr>
            <w:tcW w:w="517" w:type="pct"/>
            <w:shd w:val="clear" w:color="auto" w:fill="auto"/>
            <w:vAlign w:val="center"/>
          </w:tcPr>
          <w:p w14:paraId="670EA8C7">
            <w:pPr>
              <w:pStyle w:val="634"/>
              <w:adjustRightInd w:val="0"/>
              <w:snapToGrid w:val="0"/>
              <w:ind w:firstLine="0" w:firstLineChars="0"/>
              <w:jc w:val="center"/>
              <w:rPr>
                <w:rFonts w:ascii="Arial" w:hAnsi="Arial" w:cs="Arial"/>
                <w:sz w:val="18"/>
                <w:szCs w:val="18"/>
              </w:rPr>
            </w:pPr>
          </w:p>
        </w:tc>
      </w:tr>
      <w:tr w14:paraId="2736C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66DA6909">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3FC624C">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12#污水站</w:t>
            </w:r>
          </w:p>
        </w:tc>
        <w:tc>
          <w:tcPr>
            <w:tcW w:w="375" w:type="pct"/>
            <w:shd w:val="clear" w:color="auto" w:fill="auto"/>
            <w:noWrap/>
            <w:vAlign w:val="center"/>
          </w:tcPr>
          <w:p w14:paraId="6453EA41">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1984</w:t>
            </w:r>
          </w:p>
        </w:tc>
        <w:tc>
          <w:tcPr>
            <w:tcW w:w="393" w:type="pct"/>
            <w:shd w:val="clear" w:color="auto" w:fill="auto"/>
            <w:noWrap/>
            <w:vAlign w:val="center"/>
          </w:tcPr>
          <w:p w14:paraId="024EA7FE">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1086</w:t>
            </w:r>
          </w:p>
        </w:tc>
        <w:tc>
          <w:tcPr>
            <w:tcW w:w="250" w:type="pct"/>
            <w:shd w:val="clear" w:color="auto" w:fill="auto"/>
            <w:vAlign w:val="center"/>
          </w:tcPr>
          <w:p w14:paraId="1E8F6FBA">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3</w:t>
            </w:r>
          </w:p>
        </w:tc>
        <w:tc>
          <w:tcPr>
            <w:tcW w:w="312" w:type="pct"/>
            <w:shd w:val="clear" w:color="auto" w:fill="auto"/>
            <w:noWrap/>
            <w:vAlign w:val="center"/>
          </w:tcPr>
          <w:p w14:paraId="7FBDEBBD">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15</w:t>
            </w:r>
          </w:p>
        </w:tc>
        <w:tc>
          <w:tcPr>
            <w:tcW w:w="359" w:type="pct"/>
            <w:shd w:val="clear" w:color="auto" w:fill="auto"/>
            <w:noWrap/>
            <w:vAlign w:val="center"/>
          </w:tcPr>
          <w:p w14:paraId="3409B935">
            <w:pPr>
              <w:pStyle w:val="41"/>
              <w:adjustRightInd w:val="0"/>
              <w:snapToGrid w:val="0"/>
              <w:spacing w:after="0"/>
              <w:ind w:firstLine="0" w:firstLineChars="0"/>
              <w:jc w:val="center"/>
              <w:rPr>
                <w:rFonts w:ascii="Arial" w:hAnsi="Arial" w:eastAsia="宋体" w:cs="Arial"/>
                <w:sz w:val="18"/>
                <w:szCs w:val="18"/>
              </w:rPr>
            </w:pPr>
            <w:r>
              <w:rPr>
                <w:rFonts w:ascii="Arial" w:hAnsi="Arial" w:eastAsia="宋体" w:cs="Arial"/>
                <w:sz w:val="18"/>
                <w:szCs w:val="18"/>
              </w:rPr>
              <w:t>0.4</w:t>
            </w:r>
          </w:p>
        </w:tc>
        <w:tc>
          <w:tcPr>
            <w:tcW w:w="449" w:type="pct"/>
            <w:shd w:val="clear" w:color="auto" w:fill="auto"/>
            <w:noWrap/>
            <w:vAlign w:val="center"/>
          </w:tcPr>
          <w:p w14:paraId="7412F05B">
            <w:pPr>
              <w:pStyle w:val="634"/>
              <w:adjustRightInd w:val="0"/>
              <w:snapToGrid w:val="0"/>
              <w:ind w:firstLine="0" w:firstLineChars="0"/>
              <w:jc w:val="center"/>
              <w:rPr>
                <w:rFonts w:ascii="Arial" w:hAnsi="Arial" w:cs="Arial"/>
                <w:sz w:val="18"/>
                <w:szCs w:val="18"/>
              </w:rPr>
            </w:pPr>
            <w:r>
              <w:rPr>
                <w:rFonts w:ascii="Arial" w:hAnsi="Arial" w:cs="Arial"/>
                <w:sz w:val="18"/>
                <w:szCs w:val="18"/>
              </w:rPr>
              <w:t>11.98</w:t>
            </w:r>
          </w:p>
        </w:tc>
        <w:tc>
          <w:tcPr>
            <w:tcW w:w="305" w:type="pct"/>
            <w:shd w:val="clear" w:color="auto" w:fill="auto"/>
            <w:noWrap/>
            <w:vAlign w:val="center"/>
          </w:tcPr>
          <w:p w14:paraId="159BC58D">
            <w:pPr>
              <w:pStyle w:val="634"/>
              <w:adjustRightInd w:val="0"/>
              <w:snapToGrid w:val="0"/>
              <w:ind w:firstLine="0" w:firstLineChars="0"/>
              <w:jc w:val="center"/>
              <w:rPr>
                <w:rFonts w:ascii="Arial" w:hAnsi="Arial" w:cs="Arial"/>
                <w:sz w:val="18"/>
                <w:szCs w:val="18"/>
              </w:rPr>
            </w:pPr>
            <w:r>
              <w:rPr>
                <w:rFonts w:ascii="Arial" w:hAnsi="Arial" w:cs="Arial"/>
                <w:sz w:val="18"/>
                <w:szCs w:val="18"/>
              </w:rPr>
              <w:t>23</w:t>
            </w:r>
          </w:p>
        </w:tc>
        <w:tc>
          <w:tcPr>
            <w:tcW w:w="381" w:type="pct"/>
            <w:shd w:val="clear" w:color="auto" w:fill="auto"/>
            <w:vAlign w:val="center"/>
          </w:tcPr>
          <w:p w14:paraId="13F67AAE">
            <w:pPr>
              <w:pStyle w:val="634"/>
              <w:adjustRightInd w:val="0"/>
              <w:snapToGrid w:val="0"/>
              <w:ind w:firstLine="0" w:firstLineChars="0"/>
              <w:jc w:val="center"/>
              <w:rPr>
                <w:rFonts w:ascii="Arial" w:hAnsi="Arial" w:cs="Arial"/>
                <w:sz w:val="18"/>
                <w:szCs w:val="18"/>
              </w:rPr>
            </w:pPr>
            <w:r>
              <w:rPr>
                <w:rFonts w:ascii="Arial" w:hAnsi="Arial" w:cs="Arial"/>
                <w:sz w:val="18"/>
                <w:szCs w:val="18"/>
              </w:rPr>
              <w:t>8760</w:t>
            </w:r>
          </w:p>
        </w:tc>
        <w:tc>
          <w:tcPr>
            <w:tcW w:w="382" w:type="pct"/>
            <w:shd w:val="clear" w:color="auto" w:fill="auto"/>
            <w:vAlign w:val="center"/>
          </w:tcPr>
          <w:p w14:paraId="71CD317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7F05ECD">
            <w:pPr>
              <w:pStyle w:val="634"/>
              <w:adjustRightInd w:val="0"/>
              <w:snapToGrid w:val="0"/>
              <w:ind w:firstLine="0" w:firstLineChars="0"/>
              <w:jc w:val="center"/>
              <w:rPr>
                <w:rFonts w:ascii="Arial" w:hAnsi="Arial" w:cs="Arial"/>
                <w:sz w:val="18"/>
                <w:szCs w:val="18"/>
              </w:rPr>
            </w:pPr>
          </w:p>
        </w:tc>
        <w:tc>
          <w:tcPr>
            <w:tcW w:w="517" w:type="pct"/>
            <w:shd w:val="clear" w:color="auto" w:fill="auto"/>
            <w:vAlign w:val="center"/>
          </w:tcPr>
          <w:p w14:paraId="0B71C8F3">
            <w:pPr>
              <w:pStyle w:val="634"/>
              <w:adjustRightInd w:val="0"/>
              <w:snapToGrid w:val="0"/>
              <w:ind w:firstLine="0" w:firstLineChars="0"/>
              <w:jc w:val="center"/>
              <w:rPr>
                <w:rFonts w:ascii="Arial" w:hAnsi="Arial" w:cs="Arial"/>
                <w:sz w:val="18"/>
                <w:szCs w:val="18"/>
              </w:rPr>
            </w:pPr>
            <w:r>
              <w:rPr>
                <w:rFonts w:ascii="Arial" w:hAnsi="Arial" w:cs="Arial"/>
                <w:sz w:val="18"/>
                <w:szCs w:val="18"/>
              </w:rPr>
              <w:t>0.198</w:t>
            </w:r>
          </w:p>
        </w:tc>
      </w:tr>
      <w:tr w14:paraId="37851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restart"/>
            <w:shd w:val="clear" w:color="auto" w:fill="auto"/>
            <w:vAlign w:val="center"/>
          </w:tcPr>
          <w:p w14:paraId="7BF1276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格派一期</w:t>
            </w:r>
          </w:p>
        </w:tc>
        <w:tc>
          <w:tcPr>
            <w:tcW w:w="500" w:type="pct"/>
            <w:shd w:val="clear" w:color="auto" w:fill="auto"/>
            <w:vAlign w:val="center"/>
          </w:tcPr>
          <w:p w14:paraId="6D81E22D">
            <w:pPr>
              <w:pStyle w:val="634"/>
              <w:adjustRightInd w:val="0"/>
              <w:snapToGrid w:val="0"/>
              <w:ind w:firstLine="0" w:firstLineChars="0"/>
              <w:jc w:val="center"/>
              <w:rPr>
                <w:rFonts w:ascii="Arial" w:hAnsi="Arial" w:cs="Arial"/>
                <w:sz w:val="18"/>
                <w:szCs w:val="18"/>
              </w:rPr>
            </w:pPr>
            <w:r>
              <w:rPr>
                <w:rFonts w:ascii="Arial" w:hAnsi="Arial" w:cs="Arial"/>
                <w:sz w:val="18"/>
                <w:szCs w:val="18"/>
              </w:rPr>
              <w:t>DA001</w:t>
            </w:r>
          </w:p>
        </w:tc>
        <w:tc>
          <w:tcPr>
            <w:tcW w:w="375" w:type="pct"/>
            <w:shd w:val="clear" w:color="auto" w:fill="auto"/>
            <w:noWrap/>
            <w:vAlign w:val="center"/>
          </w:tcPr>
          <w:p w14:paraId="2ACEBC14">
            <w:pPr>
              <w:pStyle w:val="634"/>
              <w:adjustRightInd w:val="0"/>
              <w:snapToGrid w:val="0"/>
              <w:ind w:firstLine="0" w:firstLineChars="0"/>
              <w:jc w:val="center"/>
              <w:rPr>
                <w:rFonts w:ascii="Arial" w:hAnsi="Arial" w:cs="Arial"/>
                <w:sz w:val="18"/>
                <w:szCs w:val="18"/>
              </w:rPr>
            </w:pPr>
            <w:r>
              <w:rPr>
                <w:rFonts w:ascii="Arial" w:hAnsi="Arial" w:cs="Arial"/>
                <w:sz w:val="18"/>
                <w:szCs w:val="18"/>
              </w:rPr>
              <w:t>2916</w:t>
            </w:r>
          </w:p>
        </w:tc>
        <w:tc>
          <w:tcPr>
            <w:tcW w:w="393" w:type="pct"/>
            <w:shd w:val="clear" w:color="auto" w:fill="auto"/>
            <w:noWrap/>
            <w:vAlign w:val="center"/>
          </w:tcPr>
          <w:p w14:paraId="58121C1D">
            <w:pPr>
              <w:pStyle w:val="634"/>
              <w:adjustRightInd w:val="0"/>
              <w:snapToGrid w:val="0"/>
              <w:ind w:firstLine="0" w:firstLineChars="0"/>
              <w:jc w:val="center"/>
              <w:rPr>
                <w:rFonts w:ascii="Arial" w:hAnsi="Arial" w:cs="Arial"/>
                <w:sz w:val="18"/>
                <w:szCs w:val="18"/>
              </w:rPr>
            </w:pPr>
            <w:r>
              <w:rPr>
                <w:rFonts w:ascii="Arial" w:hAnsi="Arial" w:cs="Arial"/>
                <w:sz w:val="18"/>
                <w:szCs w:val="18"/>
              </w:rPr>
              <w:t>1445</w:t>
            </w:r>
          </w:p>
        </w:tc>
        <w:tc>
          <w:tcPr>
            <w:tcW w:w="250" w:type="pct"/>
            <w:shd w:val="clear" w:color="auto" w:fill="auto"/>
            <w:vAlign w:val="center"/>
          </w:tcPr>
          <w:p w14:paraId="49CD5E00">
            <w:pPr>
              <w:pStyle w:val="634"/>
              <w:adjustRightInd w:val="0"/>
              <w:snapToGrid w:val="0"/>
              <w:ind w:firstLine="0" w:firstLineChars="0"/>
              <w:jc w:val="center"/>
              <w:rPr>
                <w:rFonts w:ascii="Arial" w:hAnsi="Arial" w:cs="Arial"/>
                <w:sz w:val="18"/>
                <w:szCs w:val="18"/>
              </w:rPr>
            </w:pPr>
            <w:r>
              <w:rPr>
                <w:rFonts w:ascii="Arial" w:hAnsi="Arial" w:cs="Arial"/>
                <w:sz w:val="18"/>
                <w:szCs w:val="18"/>
              </w:rPr>
              <w:t>19</w:t>
            </w:r>
          </w:p>
        </w:tc>
        <w:tc>
          <w:tcPr>
            <w:tcW w:w="312" w:type="pct"/>
            <w:shd w:val="clear" w:color="auto" w:fill="auto"/>
            <w:noWrap/>
            <w:vAlign w:val="center"/>
          </w:tcPr>
          <w:p w14:paraId="669BFB31">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59" w:type="pct"/>
            <w:shd w:val="clear" w:color="auto" w:fill="auto"/>
            <w:noWrap/>
            <w:vAlign w:val="center"/>
          </w:tcPr>
          <w:p w14:paraId="090074CD">
            <w:pPr>
              <w:pStyle w:val="634"/>
              <w:adjustRightInd w:val="0"/>
              <w:snapToGrid w:val="0"/>
              <w:ind w:firstLine="0" w:firstLineChars="0"/>
              <w:jc w:val="center"/>
              <w:rPr>
                <w:rFonts w:ascii="Arial" w:hAnsi="Arial" w:cs="Arial"/>
                <w:sz w:val="18"/>
                <w:szCs w:val="18"/>
              </w:rPr>
            </w:pPr>
            <w:r>
              <w:rPr>
                <w:rFonts w:ascii="Arial" w:hAnsi="Arial" w:cs="Arial"/>
                <w:sz w:val="18"/>
                <w:szCs w:val="18"/>
              </w:rPr>
              <w:t>0.45</w:t>
            </w:r>
          </w:p>
        </w:tc>
        <w:tc>
          <w:tcPr>
            <w:tcW w:w="449" w:type="pct"/>
            <w:shd w:val="clear" w:color="auto" w:fill="auto"/>
            <w:noWrap/>
            <w:vAlign w:val="center"/>
          </w:tcPr>
          <w:p w14:paraId="718D8275">
            <w:pPr>
              <w:adjustRightInd w:val="0"/>
              <w:snapToGrid w:val="0"/>
              <w:jc w:val="center"/>
              <w:rPr>
                <w:rFonts w:ascii="Arial" w:hAnsi="Arial" w:eastAsia="宋体" w:cs="Arial"/>
                <w:sz w:val="18"/>
                <w:szCs w:val="18"/>
              </w:rPr>
            </w:pPr>
            <w:r>
              <w:rPr>
                <w:rFonts w:ascii="Arial" w:hAnsi="Arial" w:eastAsia="宋体" w:cs="Arial"/>
                <w:sz w:val="18"/>
                <w:szCs w:val="18"/>
              </w:rPr>
              <w:t>10.5</w:t>
            </w:r>
          </w:p>
        </w:tc>
        <w:tc>
          <w:tcPr>
            <w:tcW w:w="305" w:type="pct"/>
            <w:shd w:val="clear" w:color="auto" w:fill="auto"/>
            <w:noWrap/>
            <w:vAlign w:val="center"/>
          </w:tcPr>
          <w:p w14:paraId="5CD2C63A">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1D0B8580">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5E0D3E9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3D26FE72">
            <w:pPr>
              <w:pStyle w:val="634"/>
              <w:adjustRightInd w:val="0"/>
              <w:snapToGrid w:val="0"/>
              <w:ind w:firstLine="0" w:firstLineChars="0"/>
              <w:jc w:val="center"/>
              <w:rPr>
                <w:rFonts w:ascii="Arial" w:hAnsi="Arial" w:cs="Arial"/>
                <w:sz w:val="18"/>
                <w:szCs w:val="18"/>
              </w:rPr>
            </w:pPr>
            <w:r>
              <w:rPr>
                <w:rFonts w:ascii="Arial" w:hAnsi="Arial" w:cs="Arial"/>
                <w:sz w:val="18"/>
                <w:szCs w:val="18"/>
              </w:rPr>
              <w:t>0.28465</w:t>
            </w:r>
          </w:p>
        </w:tc>
        <w:tc>
          <w:tcPr>
            <w:tcW w:w="517" w:type="pct"/>
            <w:shd w:val="clear" w:color="auto" w:fill="auto"/>
            <w:vAlign w:val="center"/>
          </w:tcPr>
          <w:p w14:paraId="1BFC4238">
            <w:pPr>
              <w:pStyle w:val="634"/>
              <w:adjustRightInd w:val="0"/>
              <w:snapToGrid w:val="0"/>
              <w:ind w:firstLine="0" w:firstLineChars="0"/>
              <w:jc w:val="center"/>
              <w:rPr>
                <w:rFonts w:ascii="Arial" w:hAnsi="Arial" w:cs="Arial"/>
                <w:sz w:val="18"/>
                <w:szCs w:val="18"/>
              </w:rPr>
            </w:pPr>
          </w:p>
        </w:tc>
      </w:tr>
      <w:tr w14:paraId="3E3CD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83FE8FF">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6DA40F3">
            <w:pPr>
              <w:pStyle w:val="634"/>
              <w:adjustRightInd w:val="0"/>
              <w:snapToGrid w:val="0"/>
              <w:ind w:firstLine="0" w:firstLineChars="0"/>
              <w:jc w:val="center"/>
              <w:rPr>
                <w:rFonts w:ascii="Arial" w:hAnsi="Arial" w:cs="Arial"/>
                <w:sz w:val="18"/>
                <w:szCs w:val="18"/>
              </w:rPr>
            </w:pPr>
            <w:r>
              <w:rPr>
                <w:rFonts w:ascii="Arial" w:hAnsi="Arial" w:cs="Arial"/>
                <w:sz w:val="18"/>
                <w:szCs w:val="18"/>
              </w:rPr>
              <w:t>DA002</w:t>
            </w:r>
          </w:p>
        </w:tc>
        <w:tc>
          <w:tcPr>
            <w:tcW w:w="375" w:type="pct"/>
            <w:shd w:val="clear" w:color="auto" w:fill="auto"/>
            <w:noWrap/>
            <w:vAlign w:val="center"/>
          </w:tcPr>
          <w:p w14:paraId="4DFA7A9A">
            <w:pPr>
              <w:pStyle w:val="634"/>
              <w:adjustRightInd w:val="0"/>
              <w:snapToGrid w:val="0"/>
              <w:ind w:firstLine="0" w:firstLineChars="0"/>
              <w:jc w:val="center"/>
              <w:rPr>
                <w:rFonts w:ascii="Arial" w:hAnsi="Arial" w:cs="Arial"/>
                <w:sz w:val="18"/>
                <w:szCs w:val="18"/>
              </w:rPr>
            </w:pPr>
            <w:r>
              <w:rPr>
                <w:rFonts w:ascii="Arial" w:hAnsi="Arial" w:cs="Arial"/>
                <w:sz w:val="18"/>
                <w:szCs w:val="18"/>
              </w:rPr>
              <w:t>3053</w:t>
            </w:r>
          </w:p>
        </w:tc>
        <w:tc>
          <w:tcPr>
            <w:tcW w:w="393" w:type="pct"/>
            <w:shd w:val="clear" w:color="auto" w:fill="auto"/>
            <w:noWrap/>
            <w:vAlign w:val="center"/>
          </w:tcPr>
          <w:p w14:paraId="1D3E34FF">
            <w:pPr>
              <w:pStyle w:val="634"/>
              <w:adjustRightInd w:val="0"/>
              <w:snapToGrid w:val="0"/>
              <w:ind w:firstLine="0" w:firstLineChars="0"/>
              <w:jc w:val="center"/>
              <w:rPr>
                <w:rFonts w:ascii="Arial" w:hAnsi="Arial" w:cs="Arial"/>
                <w:sz w:val="18"/>
                <w:szCs w:val="18"/>
              </w:rPr>
            </w:pPr>
            <w:r>
              <w:rPr>
                <w:rFonts w:ascii="Arial" w:hAnsi="Arial" w:cs="Arial"/>
                <w:sz w:val="18"/>
                <w:szCs w:val="18"/>
              </w:rPr>
              <w:t>1378</w:t>
            </w:r>
          </w:p>
        </w:tc>
        <w:tc>
          <w:tcPr>
            <w:tcW w:w="250" w:type="pct"/>
            <w:shd w:val="clear" w:color="auto" w:fill="auto"/>
            <w:vAlign w:val="center"/>
          </w:tcPr>
          <w:p w14:paraId="7683E650">
            <w:pPr>
              <w:pStyle w:val="634"/>
              <w:adjustRightInd w:val="0"/>
              <w:snapToGrid w:val="0"/>
              <w:ind w:firstLine="0" w:firstLineChars="0"/>
              <w:jc w:val="center"/>
              <w:rPr>
                <w:rFonts w:ascii="Arial" w:hAnsi="Arial" w:cs="Arial"/>
                <w:sz w:val="18"/>
                <w:szCs w:val="18"/>
              </w:rPr>
            </w:pPr>
            <w:r>
              <w:rPr>
                <w:rFonts w:ascii="Arial" w:hAnsi="Arial" w:cs="Arial"/>
                <w:sz w:val="18"/>
                <w:szCs w:val="18"/>
              </w:rPr>
              <w:t>19</w:t>
            </w:r>
          </w:p>
        </w:tc>
        <w:tc>
          <w:tcPr>
            <w:tcW w:w="312" w:type="pct"/>
            <w:shd w:val="clear" w:color="auto" w:fill="auto"/>
            <w:noWrap/>
            <w:vAlign w:val="center"/>
          </w:tcPr>
          <w:p w14:paraId="3D27766F">
            <w:pPr>
              <w:pStyle w:val="634"/>
              <w:adjustRightInd w:val="0"/>
              <w:snapToGrid w:val="0"/>
              <w:ind w:firstLine="0" w:firstLineChars="0"/>
              <w:jc w:val="center"/>
              <w:rPr>
                <w:rFonts w:ascii="Arial" w:hAnsi="Arial" w:cs="Arial"/>
                <w:sz w:val="18"/>
                <w:szCs w:val="18"/>
              </w:rPr>
            </w:pPr>
            <w:r>
              <w:rPr>
                <w:rFonts w:ascii="Arial" w:hAnsi="Arial" w:cs="Arial"/>
                <w:sz w:val="18"/>
                <w:szCs w:val="18"/>
              </w:rPr>
              <w:t>30</w:t>
            </w:r>
          </w:p>
        </w:tc>
        <w:tc>
          <w:tcPr>
            <w:tcW w:w="359" w:type="pct"/>
            <w:shd w:val="clear" w:color="auto" w:fill="auto"/>
            <w:noWrap/>
            <w:vAlign w:val="center"/>
          </w:tcPr>
          <w:p w14:paraId="2DF76567">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449" w:type="pct"/>
            <w:shd w:val="clear" w:color="auto" w:fill="auto"/>
            <w:noWrap/>
            <w:vAlign w:val="center"/>
          </w:tcPr>
          <w:p w14:paraId="06F9FB89">
            <w:pPr>
              <w:adjustRightInd w:val="0"/>
              <w:snapToGrid w:val="0"/>
              <w:jc w:val="center"/>
              <w:rPr>
                <w:rFonts w:ascii="Arial" w:hAnsi="Arial" w:eastAsia="宋体" w:cs="Arial"/>
                <w:sz w:val="18"/>
                <w:szCs w:val="18"/>
              </w:rPr>
            </w:pPr>
            <w:r>
              <w:rPr>
                <w:rFonts w:ascii="Arial" w:hAnsi="Arial" w:eastAsia="宋体" w:cs="Arial"/>
                <w:sz w:val="18"/>
                <w:szCs w:val="18"/>
              </w:rPr>
              <w:t>12.3</w:t>
            </w:r>
          </w:p>
        </w:tc>
        <w:tc>
          <w:tcPr>
            <w:tcW w:w="305" w:type="pct"/>
            <w:shd w:val="clear" w:color="auto" w:fill="auto"/>
            <w:noWrap/>
            <w:vAlign w:val="center"/>
          </w:tcPr>
          <w:p w14:paraId="3F336573">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31C7CCD6">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590A0256">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00879DA">
            <w:pPr>
              <w:pStyle w:val="634"/>
              <w:adjustRightInd w:val="0"/>
              <w:snapToGrid w:val="0"/>
              <w:ind w:firstLine="0" w:firstLineChars="0"/>
              <w:jc w:val="center"/>
              <w:rPr>
                <w:rFonts w:ascii="Arial" w:hAnsi="Arial" w:cs="Arial"/>
                <w:sz w:val="18"/>
                <w:szCs w:val="18"/>
              </w:rPr>
            </w:pPr>
            <w:r>
              <w:rPr>
                <w:rFonts w:ascii="Arial" w:hAnsi="Arial" w:cs="Arial"/>
                <w:sz w:val="18"/>
                <w:szCs w:val="18"/>
              </w:rPr>
              <w:t>4.69301</w:t>
            </w:r>
          </w:p>
        </w:tc>
        <w:tc>
          <w:tcPr>
            <w:tcW w:w="517" w:type="pct"/>
            <w:shd w:val="clear" w:color="auto" w:fill="auto"/>
            <w:vAlign w:val="center"/>
          </w:tcPr>
          <w:p w14:paraId="10378D85">
            <w:pPr>
              <w:pStyle w:val="634"/>
              <w:adjustRightInd w:val="0"/>
              <w:snapToGrid w:val="0"/>
              <w:ind w:firstLine="0" w:firstLineChars="0"/>
              <w:jc w:val="center"/>
              <w:rPr>
                <w:rFonts w:ascii="Arial" w:hAnsi="Arial" w:cs="Arial"/>
                <w:sz w:val="18"/>
                <w:szCs w:val="18"/>
              </w:rPr>
            </w:pPr>
          </w:p>
        </w:tc>
      </w:tr>
      <w:tr w14:paraId="4472E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3FB96E62">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47CC8463">
            <w:pPr>
              <w:pStyle w:val="634"/>
              <w:adjustRightInd w:val="0"/>
              <w:snapToGrid w:val="0"/>
              <w:ind w:firstLine="0" w:firstLineChars="0"/>
              <w:jc w:val="center"/>
              <w:rPr>
                <w:rFonts w:ascii="Arial" w:hAnsi="Arial" w:cs="Arial"/>
                <w:sz w:val="18"/>
                <w:szCs w:val="18"/>
              </w:rPr>
            </w:pPr>
            <w:r>
              <w:rPr>
                <w:rFonts w:ascii="Arial" w:hAnsi="Arial" w:cs="Arial"/>
                <w:sz w:val="18"/>
                <w:szCs w:val="18"/>
              </w:rPr>
              <w:t>DA003</w:t>
            </w:r>
          </w:p>
        </w:tc>
        <w:tc>
          <w:tcPr>
            <w:tcW w:w="375" w:type="pct"/>
            <w:shd w:val="clear" w:color="auto" w:fill="auto"/>
            <w:noWrap/>
            <w:vAlign w:val="center"/>
          </w:tcPr>
          <w:p w14:paraId="0BFF9B31">
            <w:pPr>
              <w:pStyle w:val="634"/>
              <w:adjustRightInd w:val="0"/>
              <w:snapToGrid w:val="0"/>
              <w:ind w:firstLine="0" w:firstLineChars="0"/>
              <w:jc w:val="center"/>
              <w:rPr>
                <w:rFonts w:ascii="Arial" w:hAnsi="Arial" w:cs="Arial"/>
                <w:sz w:val="18"/>
                <w:szCs w:val="18"/>
              </w:rPr>
            </w:pPr>
            <w:r>
              <w:rPr>
                <w:rFonts w:ascii="Arial" w:hAnsi="Arial" w:cs="Arial"/>
                <w:sz w:val="18"/>
                <w:szCs w:val="18"/>
              </w:rPr>
              <w:t>2901</w:t>
            </w:r>
          </w:p>
        </w:tc>
        <w:tc>
          <w:tcPr>
            <w:tcW w:w="393" w:type="pct"/>
            <w:shd w:val="clear" w:color="auto" w:fill="auto"/>
            <w:noWrap/>
            <w:vAlign w:val="center"/>
          </w:tcPr>
          <w:p w14:paraId="67F15661">
            <w:pPr>
              <w:pStyle w:val="634"/>
              <w:adjustRightInd w:val="0"/>
              <w:snapToGrid w:val="0"/>
              <w:ind w:firstLine="0" w:firstLineChars="0"/>
              <w:jc w:val="center"/>
              <w:rPr>
                <w:rFonts w:ascii="Arial" w:hAnsi="Arial" w:cs="Arial"/>
                <w:sz w:val="18"/>
                <w:szCs w:val="18"/>
              </w:rPr>
            </w:pPr>
            <w:r>
              <w:rPr>
                <w:rFonts w:ascii="Arial" w:hAnsi="Arial" w:cs="Arial"/>
                <w:sz w:val="18"/>
                <w:szCs w:val="18"/>
              </w:rPr>
              <w:t>1290</w:t>
            </w:r>
          </w:p>
        </w:tc>
        <w:tc>
          <w:tcPr>
            <w:tcW w:w="250" w:type="pct"/>
            <w:shd w:val="clear" w:color="auto" w:fill="auto"/>
            <w:vAlign w:val="center"/>
          </w:tcPr>
          <w:p w14:paraId="308BAE31">
            <w:pPr>
              <w:pStyle w:val="634"/>
              <w:adjustRightInd w:val="0"/>
              <w:snapToGrid w:val="0"/>
              <w:ind w:firstLine="0" w:firstLineChars="0"/>
              <w:jc w:val="center"/>
              <w:rPr>
                <w:rFonts w:ascii="Arial" w:hAnsi="Arial" w:cs="Arial"/>
                <w:sz w:val="18"/>
                <w:szCs w:val="18"/>
              </w:rPr>
            </w:pPr>
            <w:r>
              <w:rPr>
                <w:rFonts w:ascii="Arial" w:hAnsi="Arial" w:cs="Arial"/>
                <w:sz w:val="18"/>
                <w:szCs w:val="18"/>
              </w:rPr>
              <w:t>17</w:t>
            </w:r>
          </w:p>
        </w:tc>
        <w:tc>
          <w:tcPr>
            <w:tcW w:w="312" w:type="pct"/>
            <w:shd w:val="clear" w:color="auto" w:fill="auto"/>
            <w:noWrap/>
            <w:vAlign w:val="center"/>
          </w:tcPr>
          <w:p w14:paraId="79A6574D">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59" w:type="pct"/>
            <w:shd w:val="clear" w:color="auto" w:fill="auto"/>
            <w:noWrap/>
            <w:vAlign w:val="center"/>
          </w:tcPr>
          <w:p w14:paraId="7D702C71">
            <w:pPr>
              <w:pStyle w:val="634"/>
              <w:adjustRightInd w:val="0"/>
              <w:snapToGrid w:val="0"/>
              <w:ind w:firstLine="0" w:firstLineChars="0"/>
              <w:jc w:val="center"/>
              <w:rPr>
                <w:rFonts w:ascii="Arial" w:hAnsi="Arial" w:cs="Arial"/>
                <w:sz w:val="18"/>
                <w:szCs w:val="18"/>
              </w:rPr>
            </w:pPr>
            <w:r>
              <w:rPr>
                <w:rFonts w:ascii="Arial" w:hAnsi="Arial" w:cs="Arial"/>
                <w:sz w:val="18"/>
                <w:szCs w:val="18"/>
              </w:rPr>
              <w:t>0.45</w:t>
            </w:r>
          </w:p>
        </w:tc>
        <w:tc>
          <w:tcPr>
            <w:tcW w:w="449" w:type="pct"/>
            <w:shd w:val="clear" w:color="auto" w:fill="auto"/>
            <w:noWrap/>
            <w:vAlign w:val="center"/>
          </w:tcPr>
          <w:p w14:paraId="5365D479">
            <w:pPr>
              <w:adjustRightInd w:val="0"/>
              <w:snapToGrid w:val="0"/>
              <w:jc w:val="center"/>
              <w:rPr>
                <w:rFonts w:ascii="Arial" w:hAnsi="Arial" w:eastAsia="宋体" w:cs="Arial"/>
                <w:sz w:val="18"/>
                <w:szCs w:val="18"/>
              </w:rPr>
            </w:pPr>
            <w:r>
              <w:rPr>
                <w:rFonts w:ascii="Arial" w:hAnsi="Arial" w:eastAsia="宋体" w:cs="Arial"/>
                <w:sz w:val="18"/>
                <w:szCs w:val="18"/>
              </w:rPr>
              <w:t>10.5</w:t>
            </w:r>
          </w:p>
        </w:tc>
        <w:tc>
          <w:tcPr>
            <w:tcW w:w="305" w:type="pct"/>
            <w:shd w:val="clear" w:color="auto" w:fill="auto"/>
            <w:noWrap/>
            <w:vAlign w:val="center"/>
          </w:tcPr>
          <w:p w14:paraId="049515AE">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666D6104">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0D2FC81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D1D15CA">
            <w:pPr>
              <w:pStyle w:val="634"/>
              <w:adjustRightInd w:val="0"/>
              <w:snapToGrid w:val="0"/>
              <w:ind w:firstLine="0" w:firstLineChars="0"/>
              <w:jc w:val="center"/>
              <w:rPr>
                <w:rFonts w:ascii="Arial" w:hAnsi="Arial" w:cs="Arial"/>
                <w:sz w:val="18"/>
                <w:szCs w:val="18"/>
              </w:rPr>
            </w:pPr>
            <w:r>
              <w:rPr>
                <w:rFonts w:ascii="Arial" w:hAnsi="Arial" w:cs="Arial"/>
                <w:sz w:val="18"/>
                <w:szCs w:val="18"/>
              </w:rPr>
              <w:t>0.21035</w:t>
            </w:r>
          </w:p>
        </w:tc>
        <w:tc>
          <w:tcPr>
            <w:tcW w:w="517" w:type="pct"/>
            <w:shd w:val="clear" w:color="auto" w:fill="auto"/>
            <w:vAlign w:val="center"/>
          </w:tcPr>
          <w:p w14:paraId="5FD9DFFD">
            <w:pPr>
              <w:pStyle w:val="634"/>
              <w:adjustRightInd w:val="0"/>
              <w:snapToGrid w:val="0"/>
              <w:ind w:firstLine="0" w:firstLineChars="0"/>
              <w:jc w:val="center"/>
              <w:rPr>
                <w:rFonts w:ascii="Arial" w:hAnsi="Arial" w:cs="Arial"/>
                <w:sz w:val="18"/>
                <w:szCs w:val="18"/>
              </w:rPr>
            </w:pPr>
          </w:p>
        </w:tc>
      </w:tr>
      <w:tr w14:paraId="3FBF7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6DFD025">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5340C494">
            <w:pPr>
              <w:pStyle w:val="634"/>
              <w:adjustRightInd w:val="0"/>
              <w:snapToGrid w:val="0"/>
              <w:ind w:firstLine="0" w:firstLineChars="0"/>
              <w:jc w:val="center"/>
              <w:rPr>
                <w:rFonts w:ascii="Arial" w:hAnsi="Arial" w:cs="Arial"/>
                <w:sz w:val="18"/>
                <w:szCs w:val="18"/>
              </w:rPr>
            </w:pPr>
            <w:r>
              <w:rPr>
                <w:rFonts w:ascii="Arial" w:hAnsi="Arial" w:cs="Arial"/>
                <w:sz w:val="18"/>
                <w:szCs w:val="18"/>
              </w:rPr>
              <w:t>DA004</w:t>
            </w:r>
          </w:p>
        </w:tc>
        <w:tc>
          <w:tcPr>
            <w:tcW w:w="375" w:type="pct"/>
            <w:shd w:val="clear" w:color="auto" w:fill="auto"/>
            <w:noWrap/>
            <w:vAlign w:val="center"/>
          </w:tcPr>
          <w:p w14:paraId="76C230E3">
            <w:pPr>
              <w:pStyle w:val="634"/>
              <w:adjustRightInd w:val="0"/>
              <w:snapToGrid w:val="0"/>
              <w:ind w:firstLine="0" w:firstLineChars="0"/>
              <w:jc w:val="center"/>
              <w:rPr>
                <w:rFonts w:ascii="Arial" w:hAnsi="Arial" w:cs="Arial"/>
                <w:sz w:val="18"/>
                <w:szCs w:val="18"/>
              </w:rPr>
            </w:pPr>
            <w:r>
              <w:rPr>
                <w:rFonts w:ascii="Arial" w:hAnsi="Arial" w:cs="Arial"/>
                <w:sz w:val="18"/>
                <w:szCs w:val="18"/>
              </w:rPr>
              <w:t>2908</w:t>
            </w:r>
          </w:p>
        </w:tc>
        <w:tc>
          <w:tcPr>
            <w:tcW w:w="393" w:type="pct"/>
            <w:shd w:val="clear" w:color="auto" w:fill="auto"/>
            <w:noWrap/>
            <w:vAlign w:val="center"/>
          </w:tcPr>
          <w:p w14:paraId="12DA6D7A">
            <w:pPr>
              <w:pStyle w:val="634"/>
              <w:adjustRightInd w:val="0"/>
              <w:snapToGrid w:val="0"/>
              <w:ind w:firstLine="0" w:firstLineChars="0"/>
              <w:jc w:val="center"/>
              <w:rPr>
                <w:rFonts w:ascii="Arial" w:hAnsi="Arial" w:cs="Arial"/>
                <w:sz w:val="18"/>
                <w:szCs w:val="18"/>
              </w:rPr>
            </w:pPr>
            <w:r>
              <w:rPr>
                <w:rFonts w:ascii="Arial" w:hAnsi="Arial" w:cs="Arial"/>
                <w:sz w:val="18"/>
                <w:szCs w:val="18"/>
              </w:rPr>
              <w:t>1365</w:t>
            </w:r>
          </w:p>
        </w:tc>
        <w:tc>
          <w:tcPr>
            <w:tcW w:w="250" w:type="pct"/>
            <w:shd w:val="clear" w:color="auto" w:fill="auto"/>
            <w:vAlign w:val="center"/>
          </w:tcPr>
          <w:p w14:paraId="60A6A248">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12" w:type="pct"/>
            <w:shd w:val="clear" w:color="auto" w:fill="auto"/>
            <w:noWrap/>
            <w:vAlign w:val="center"/>
          </w:tcPr>
          <w:p w14:paraId="73AC9080">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59" w:type="pct"/>
            <w:shd w:val="clear" w:color="auto" w:fill="auto"/>
            <w:noWrap/>
            <w:vAlign w:val="center"/>
          </w:tcPr>
          <w:p w14:paraId="3E30715E">
            <w:pPr>
              <w:pStyle w:val="634"/>
              <w:adjustRightInd w:val="0"/>
              <w:snapToGrid w:val="0"/>
              <w:ind w:firstLine="0" w:firstLineChars="0"/>
              <w:jc w:val="center"/>
              <w:rPr>
                <w:rFonts w:ascii="Arial" w:hAnsi="Arial" w:cs="Arial"/>
                <w:sz w:val="18"/>
                <w:szCs w:val="18"/>
              </w:rPr>
            </w:pPr>
            <w:r>
              <w:rPr>
                <w:rFonts w:ascii="Arial" w:hAnsi="Arial" w:cs="Arial"/>
                <w:sz w:val="18"/>
                <w:szCs w:val="18"/>
              </w:rPr>
              <w:t>0.1</w:t>
            </w:r>
          </w:p>
        </w:tc>
        <w:tc>
          <w:tcPr>
            <w:tcW w:w="449" w:type="pct"/>
            <w:shd w:val="clear" w:color="auto" w:fill="auto"/>
            <w:noWrap/>
            <w:vAlign w:val="center"/>
          </w:tcPr>
          <w:p w14:paraId="6379E828">
            <w:pPr>
              <w:adjustRightInd w:val="0"/>
              <w:snapToGrid w:val="0"/>
              <w:jc w:val="center"/>
              <w:rPr>
                <w:rFonts w:ascii="Arial" w:hAnsi="Arial" w:eastAsia="宋体" w:cs="Arial"/>
                <w:sz w:val="18"/>
                <w:szCs w:val="18"/>
              </w:rPr>
            </w:pPr>
            <w:r>
              <w:rPr>
                <w:rFonts w:ascii="Arial" w:hAnsi="Arial" w:eastAsia="宋体" w:cs="Arial"/>
                <w:sz w:val="18"/>
                <w:szCs w:val="18"/>
              </w:rPr>
              <w:t>35.4</w:t>
            </w:r>
          </w:p>
        </w:tc>
        <w:tc>
          <w:tcPr>
            <w:tcW w:w="305" w:type="pct"/>
            <w:shd w:val="clear" w:color="auto" w:fill="auto"/>
            <w:noWrap/>
            <w:vAlign w:val="center"/>
          </w:tcPr>
          <w:p w14:paraId="56CC2B89">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71AEFAE9">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60DCBC2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0F2BC3D2">
            <w:pPr>
              <w:pStyle w:val="634"/>
              <w:adjustRightInd w:val="0"/>
              <w:snapToGrid w:val="0"/>
              <w:ind w:firstLine="0" w:firstLineChars="0"/>
              <w:jc w:val="center"/>
              <w:rPr>
                <w:rFonts w:ascii="Arial" w:hAnsi="Arial" w:cs="Arial"/>
                <w:sz w:val="18"/>
                <w:szCs w:val="18"/>
              </w:rPr>
            </w:pPr>
            <w:r>
              <w:rPr>
                <w:rFonts w:ascii="Arial" w:hAnsi="Arial" w:cs="Arial"/>
                <w:sz w:val="18"/>
                <w:szCs w:val="18"/>
              </w:rPr>
              <w:t>0.03927</w:t>
            </w:r>
          </w:p>
        </w:tc>
        <w:tc>
          <w:tcPr>
            <w:tcW w:w="517" w:type="pct"/>
            <w:shd w:val="clear" w:color="auto" w:fill="auto"/>
            <w:vAlign w:val="center"/>
          </w:tcPr>
          <w:p w14:paraId="1D040EFB">
            <w:pPr>
              <w:pStyle w:val="634"/>
              <w:adjustRightInd w:val="0"/>
              <w:snapToGrid w:val="0"/>
              <w:ind w:firstLine="0" w:firstLineChars="0"/>
              <w:jc w:val="center"/>
              <w:rPr>
                <w:rFonts w:ascii="Arial" w:hAnsi="Arial" w:cs="Arial"/>
                <w:sz w:val="18"/>
                <w:szCs w:val="18"/>
              </w:rPr>
            </w:pPr>
          </w:p>
        </w:tc>
      </w:tr>
      <w:tr w14:paraId="3F6AA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F16D8F2">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A8D7A7B">
            <w:pPr>
              <w:pStyle w:val="634"/>
              <w:adjustRightInd w:val="0"/>
              <w:snapToGrid w:val="0"/>
              <w:ind w:firstLine="0" w:firstLineChars="0"/>
              <w:jc w:val="center"/>
              <w:rPr>
                <w:rFonts w:ascii="Arial" w:hAnsi="Arial" w:cs="Arial"/>
                <w:sz w:val="18"/>
                <w:szCs w:val="18"/>
              </w:rPr>
            </w:pPr>
            <w:r>
              <w:rPr>
                <w:rFonts w:ascii="Arial" w:hAnsi="Arial" w:cs="Arial"/>
                <w:sz w:val="18"/>
                <w:szCs w:val="18"/>
              </w:rPr>
              <w:t>DA005</w:t>
            </w:r>
          </w:p>
        </w:tc>
        <w:tc>
          <w:tcPr>
            <w:tcW w:w="375" w:type="pct"/>
            <w:shd w:val="clear" w:color="auto" w:fill="auto"/>
            <w:noWrap/>
            <w:vAlign w:val="center"/>
          </w:tcPr>
          <w:p w14:paraId="40A08DDC">
            <w:pPr>
              <w:pStyle w:val="634"/>
              <w:adjustRightInd w:val="0"/>
              <w:snapToGrid w:val="0"/>
              <w:ind w:firstLine="0" w:firstLineChars="0"/>
              <w:jc w:val="center"/>
              <w:rPr>
                <w:rFonts w:ascii="Arial" w:hAnsi="Arial" w:cs="Arial"/>
                <w:sz w:val="18"/>
                <w:szCs w:val="18"/>
              </w:rPr>
            </w:pPr>
            <w:r>
              <w:rPr>
                <w:rFonts w:ascii="Arial" w:hAnsi="Arial" w:cs="Arial"/>
                <w:sz w:val="18"/>
                <w:szCs w:val="18"/>
              </w:rPr>
              <w:t>2826</w:t>
            </w:r>
          </w:p>
        </w:tc>
        <w:tc>
          <w:tcPr>
            <w:tcW w:w="393" w:type="pct"/>
            <w:shd w:val="clear" w:color="auto" w:fill="auto"/>
            <w:noWrap/>
            <w:vAlign w:val="center"/>
          </w:tcPr>
          <w:p w14:paraId="6A6F0E35">
            <w:pPr>
              <w:pStyle w:val="634"/>
              <w:adjustRightInd w:val="0"/>
              <w:snapToGrid w:val="0"/>
              <w:ind w:firstLine="0" w:firstLineChars="0"/>
              <w:jc w:val="center"/>
              <w:rPr>
                <w:rFonts w:ascii="Arial" w:hAnsi="Arial" w:cs="Arial"/>
                <w:sz w:val="18"/>
                <w:szCs w:val="18"/>
              </w:rPr>
            </w:pPr>
            <w:r>
              <w:rPr>
                <w:rFonts w:ascii="Arial" w:hAnsi="Arial" w:cs="Arial"/>
                <w:sz w:val="18"/>
                <w:szCs w:val="18"/>
              </w:rPr>
              <w:t>1212</w:t>
            </w:r>
          </w:p>
        </w:tc>
        <w:tc>
          <w:tcPr>
            <w:tcW w:w="250" w:type="pct"/>
            <w:shd w:val="clear" w:color="auto" w:fill="auto"/>
            <w:vAlign w:val="center"/>
          </w:tcPr>
          <w:p w14:paraId="4180E690">
            <w:pPr>
              <w:pStyle w:val="634"/>
              <w:adjustRightInd w:val="0"/>
              <w:snapToGrid w:val="0"/>
              <w:ind w:firstLine="0" w:firstLineChars="0"/>
              <w:jc w:val="center"/>
              <w:rPr>
                <w:rFonts w:ascii="Arial" w:hAnsi="Arial" w:cs="Arial"/>
                <w:sz w:val="18"/>
                <w:szCs w:val="18"/>
              </w:rPr>
            </w:pPr>
            <w:r>
              <w:rPr>
                <w:rFonts w:ascii="Arial" w:hAnsi="Arial" w:cs="Arial"/>
                <w:sz w:val="18"/>
                <w:szCs w:val="18"/>
              </w:rPr>
              <w:t>17</w:t>
            </w:r>
          </w:p>
        </w:tc>
        <w:tc>
          <w:tcPr>
            <w:tcW w:w="312" w:type="pct"/>
            <w:shd w:val="clear" w:color="auto" w:fill="auto"/>
            <w:noWrap/>
            <w:vAlign w:val="center"/>
          </w:tcPr>
          <w:p w14:paraId="0919FDF4">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59" w:type="pct"/>
            <w:shd w:val="clear" w:color="auto" w:fill="auto"/>
            <w:noWrap/>
            <w:vAlign w:val="center"/>
          </w:tcPr>
          <w:p w14:paraId="453032BC">
            <w:pPr>
              <w:pStyle w:val="634"/>
              <w:adjustRightInd w:val="0"/>
              <w:snapToGrid w:val="0"/>
              <w:ind w:firstLine="0" w:firstLineChars="0"/>
              <w:jc w:val="center"/>
              <w:rPr>
                <w:rFonts w:ascii="Arial" w:hAnsi="Arial" w:cs="Arial"/>
                <w:sz w:val="18"/>
                <w:szCs w:val="18"/>
              </w:rPr>
            </w:pPr>
            <w:r>
              <w:rPr>
                <w:rFonts w:ascii="Arial" w:hAnsi="Arial" w:cs="Arial"/>
                <w:sz w:val="18"/>
                <w:szCs w:val="18"/>
              </w:rPr>
              <w:t>1.0</w:t>
            </w:r>
          </w:p>
        </w:tc>
        <w:tc>
          <w:tcPr>
            <w:tcW w:w="449" w:type="pct"/>
            <w:shd w:val="clear" w:color="auto" w:fill="auto"/>
            <w:noWrap/>
            <w:vAlign w:val="center"/>
          </w:tcPr>
          <w:p w14:paraId="65173FDE">
            <w:pPr>
              <w:adjustRightInd w:val="0"/>
              <w:snapToGrid w:val="0"/>
              <w:jc w:val="center"/>
              <w:rPr>
                <w:rFonts w:ascii="Arial" w:hAnsi="Arial" w:eastAsia="宋体" w:cs="Arial"/>
                <w:sz w:val="18"/>
                <w:szCs w:val="18"/>
              </w:rPr>
            </w:pPr>
            <w:r>
              <w:rPr>
                <w:rFonts w:ascii="Arial" w:hAnsi="Arial" w:eastAsia="宋体" w:cs="Arial"/>
                <w:sz w:val="18"/>
                <w:szCs w:val="18"/>
              </w:rPr>
              <w:t>10.6</w:t>
            </w:r>
          </w:p>
        </w:tc>
        <w:tc>
          <w:tcPr>
            <w:tcW w:w="305" w:type="pct"/>
            <w:shd w:val="clear" w:color="auto" w:fill="auto"/>
            <w:noWrap/>
            <w:vAlign w:val="center"/>
          </w:tcPr>
          <w:p w14:paraId="47FA253A">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62730C64">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72AF4EDD">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4A715BC3">
            <w:pPr>
              <w:pStyle w:val="634"/>
              <w:adjustRightInd w:val="0"/>
              <w:snapToGrid w:val="0"/>
              <w:ind w:firstLine="0" w:firstLineChars="0"/>
              <w:jc w:val="center"/>
              <w:rPr>
                <w:rFonts w:ascii="Arial" w:hAnsi="Arial" w:cs="Arial"/>
                <w:sz w:val="18"/>
                <w:szCs w:val="18"/>
              </w:rPr>
            </w:pPr>
            <w:r>
              <w:rPr>
                <w:rFonts w:ascii="Arial" w:hAnsi="Arial" w:cs="Arial"/>
                <w:sz w:val="18"/>
                <w:szCs w:val="18"/>
              </w:rPr>
              <w:t>0.34394</w:t>
            </w:r>
          </w:p>
        </w:tc>
        <w:tc>
          <w:tcPr>
            <w:tcW w:w="517" w:type="pct"/>
            <w:shd w:val="clear" w:color="auto" w:fill="auto"/>
            <w:vAlign w:val="center"/>
          </w:tcPr>
          <w:p w14:paraId="79DA1BD5">
            <w:pPr>
              <w:pStyle w:val="634"/>
              <w:adjustRightInd w:val="0"/>
              <w:snapToGrid w:val="0"/>
              <w:ind w:firstLine="0" w:firstLineChars="0"/>
              <w:jc w:val="center"/>
              <w:rPr>
                <w:rFonts w:ascii="Arial" w:hAnsi="Arial" w:cs="Arial"/>
                <w:sz w:val="18"/>
                <w:szCs w:val="18"/>
              </w:rPr>
            </w:pPr>
          </w:p>
        </w:tc>
      </w:tr>
      <w:tr w14:paraId="1C0D8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A543104">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0AE96430">
            <w:pPr>
              <w:pStyle w:val="634"/>
              <w:adjustRightInd w:val="0"/>
              <w:snapToGrid w:val="0"/>
              <w:ind w:firstLine="0" w:firstLineChars="0"/>
              <w:jc w:val="center"/>
              <w:rPr>
                <w:rFonts w:ascii="Arial" w:hAnsi="Arial" w:cs="Arial"/>
                <w:sz w:val="18"/>
                <w:szCs w:val="18"/>
              </w:rPr>
            </w:pPr>
            <w:r>
              <w:rPr>
                <w:rFonts w:ascii="Arial" w:hAnsi="Arial" w:cs="Arial"/>
                <w:sz w:val="18"/>
                <w:szCs w:val="18"/>
              </w:rPr>
              <w:t>DA006</w:t>
            </w:r>
          </w:p>
        </w:tc>
        <w:tc>
          <w:tcPr>
            <w:tcW w:w="375" w:type="pct"/>
            <w:shd w:val="clear" w:color="auto" w:fill="auto"/>
            <w:noWrap/>
            <w:vAlign w:val="center"/>
          </w:tcPr>
          <w:p w14:paraId="36B5311F">
            <w:pPr>
              <w:pStyle w:val="634"/>
              <w:adjustRightInd w:val="0"/>
              <w:snapToGrid w:val="0"/>
              <w:ind w:firstLine="0" w:firstLineChars="0"/>
              <w:jc w:val="center"/>
              <w:rPr>
                <w:rFonts w:ascii="Arial" w:hAnsi="Arial" w:cs="Arial"/>
                <w:sz w:val="18"/>
                <w:szCs w:val="18"/>
              </w:rPr>
            </w:pPr>
            <w:r>
              <w:rPr>
                <w:rFonts w:ascii="Arial" w:hAnsi="Arial" w:cs="Arial"/>
                <w:sz w:val="18"/>
                <w:szCs w:val="18"/>
              </w:rPr>
              <w:t>3066</w:t>
            </w:r>
          </w:p>
        </w:tc>
        <w:tc>
          <w:tcPr>
            <w:tcW w:w="393" w:type="pct"/>
            <w:shd w:val="clear" w:color="auto" w:fill="auto"/>
            <w:noWrap/>
            <w:vAlign w:val="center"/>
          </w:tcPr>
          <w:p w14:paraId="602A4821">
            <w:pPr>
              <w:pStyle w:val="634"/>
              <w:adjustRightInd w:val="0"/>
              <w:snapToGrid w:val="0"/>
              <w:ind w:firstLine="0" w:firstLineChars="0"/>
              <w:jc w:val="center"/>
              <w:rPr>
                <w:rFonts w:ascii="Arial" w:hAnsi="Arial" w:cs="Arial"/>
                <w:sz w:val="18"/>
                <w:szCs w:val="18"/>
              </w:rPr>
            </w:pPr>
            <w:r>
              <w:rPr>
                <w:rFonts w:ascii="Arial" w:hAnsi="Arial" w:cs="Arial"/>
                <w:sz w:val="18"/>
                <w:szCs w:val="18"/>
              </w:rPr>
              <w:t>1442</w:t>
            </w:r>
          </w:p>
        </w:tc>
        <w:tc>
          <w:tcPr>
            <w:tcW w:w="250" w:type="pct"/>
            <w:shd w:val="clear" w:color="auto" w:fill="auto"/>
            <w:vAlign w:val="center"/>
          </w:tcPr>
          <w:p w14:paraId="511DF9F9">
            <w:pPr>
              <w:pStyle w:val="634"/>
              <w:adjustRightInd w:val="0"/>
              <w:snapToGrid w:val="0"/>
              <w:ind w:firstLine="0" w:firstLineChars="0"/>
              <w:jc w:val="center"/>
              <w:rPr>
                <w:rFonts w:ascii="Arial" w:hAnsi="Arial" w:cs="Arial"/>
                <w:sz w:val="18"/>
                <w:szCs w:val="18"/>
              </w:rPr>
            </w:pPr>
            <w:r>
              <w:rPr>
                <w:rFonts w:ascii="Arial" w:hAnsi="Arial" w:cs="Arial"/>
                <w:sz w:val="18"/>
                <w:szCs w:val="18"/>
              </w:rPr>
              <w:t>20</w:t>
            </w:r>
          </w:p>
        </w:tc>
        <w:tc>
          <w:tcPr>
            <w:tcW w:w="312" w:type="pct"/>
            <w:shd w:val="clear" w:color="auto" w:fill="auto"/>
            <w:noWrap/>
            <w:vAlign w:val="center"/>
          </w:tcPr>
          <w:p w14:paraId="060B9316">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59" w:type="pct"/>
            <w:shd w:val="clear" w:color="auto" w:fill="auto"/>
            <w:noWrap/>
            <w:vAlign w:val="center"/>
          </w:tcPr>
          <w:p w14:paraId="05166D5E">
            <w:pPr>
              <w:pStyle w:val="634"/>
              <w:adjustRightInd w:val="0"/>
              <w:snapToGrid w:val="0"/>
              <w:ind w:firstLine="0" w:firstLineChars="0"/>
              <w:jc w:val="center"/>
              <w:rPr>
                <w:rFonts w:ascii="Arial" w:hAnsi="Arial" w:cs="Arial"/>
                <w:sz w:val="18"/>
                <w:szCs w:val="18"/>
              </w:rPr>
            </w:pPr>
            <w:r>
              <w:rPr>
                <w:rFonts w:ascii="Arial" w:hAnsi="Arial" w:cs="Arial"/>
                <w:sz w:val="18"/>
                <w:szCs w:val="18"/>
              </w:rPr>
              <w:t>0.45</w:t>
            </w:r>
          </w:p>
        </w:tc>
        <w:tc>
          <w:tcPr>
            <w:tcW w:w="449" w:type="pct"/>
            <w:shd w:val="clear" w:color="auto" w:fill="auto"/>
            <w:noWrap/>
            <w:vAlign w:val="center"/>
          </w:tcPr>
          <w:p w14:paraId="486E4F5E">
            <w:pPr>
              <w:adjustRightInd w:val="0"/>
              <w:snapToGrid w:val="0"/>
              <w:jc w:val="center"/>
              <w:rPr>
                <w:rFonts w:ascii="Arial" w:hAnsi="Arial" w:eastAsia="宋体" w:cs="Arial"/>
                <w:sz w:val="18"/>
                <w:szCs w:val="18"/>
              </w:rPr>
            </w:pPr>
            <w:r>
              <w:rPr>
                <w:rFonts w:ascii="Arial" w:hAnsi="Arial" w:eastAsia="宋体" w:cs="Arial"/>
                <w:sz w:val="18"/>
                <w:szCs w:val="18"/>
              </w:rPr>
              <w:t>10.5</w:t>
            </w:r>
          </w:p>
        </w:tc>
        <w:tc>
          <w:tcPr>
            <w:tcW w:w="305" w:type="pct"/>
            <w:shd w:val="clear" w:color="auto" w:fill="auto"/>
            <w:noWrap/>
            <w:vAlign w:val="center"/>
          </w:tcPr>
          <w:p w14:paraId="4AE7A709">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33FFCE99">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77A5A49C">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28A8FD7E">
            <w:pPr>
              <w:pStyle w:val="634"/>
              <w:adjustRightInd w:val="0"/>
              <w:snapToGrid w:val="0"/>
              <w:ind w:firstLine="0" w:firstLineChars="0"/>
              <w:jc w:val="center"/>
              <w:rPr>
                <w:rFonts w:ascii="Arial" w:hAnsi="Arial" w:cs="Arial"/>
                <w:sz w:val="18"/>
                <w:szCs w:val="18"/>
              </w:rPr>
            </w:pPr>
            <w:r>
              <w:rPr>
                <w:rFonts w:ascii="Arial" w:hAnsi="Arial" w:cs="Arial"/>
                <w:sz w:val="18"/>
                <w:szCs w:val="18"/>
              </w:rPr>
              <w:t>0.14977</w:t>
            </w:r>
          </w:p>
        </w:tc>
        <w:tc>
          <w:tcPr>
            <w:tcW w:w="517" w:type="pct"/>
            <w:shd w:val="clear" w:color="auto" w:fill="auto"/>
            <w:vAlign w:val="center"/>
          </w:tcPr>
          <w:p w14:paraId="76119852">
            <w:pPr>
              <w:pStyle w:val="634"/>
              <w:adjustRightInd w:val="0"/>
              <w:snapToGrid w:val="0"/>
              <w:ind w:firstLine="0" w:firstLineChars="0"/>
              <w:jc w:val="center"/>
              <w:rPr>
                <w:rFonts w:ascii="Arial" w:hAnsi="Arial" w:cs="Arial"/>
                <w:sz w:val="18"/>
                <w:szCs w:val="18"/>
              </w:rPr>
            </w:pPr>
          </w:p>
        </w:tc>
      </w:tr>
      <w:tr w14:paraId="607C5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D3DDF39">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59A97927">
            <w:pPr>
              <w:pStyle w:val="634"/>
              <w:adjustRightInd w:val="0"/>
              <w:snapToGrid w:val="0"/>
              <w:ind w:firstLine="0" w:firstLineChars="0"/>
              <w:jc w:val="center"/>
              <w:rPr>
                <w:rFonts w:ascii="Arial" w:hAnsi="Arial" w:cs="Arial"/>
                <w:sz w:val="18"/>
                <w:szCs w:val="18"/>
              </w:rPr>
            </w:pPr>
            <w:r>
              <w:rPr>
                <w:rFonts w:ascii="Arial" w:hAnsi="Arial" w:cs="Arial"/>
                <w:sz w:val="18"/>
                <w:szCs w:val="18"/>
              </w:rPr>
              <w:t>DA007</w:t>
            </w:r>
          </w:p>
        </w:tc>
        <w:tc>
          <w:tcPr>
            <w:tcW w:w="375" w:type="pct"/>
            <w:shd w:val="clear" w:color="auto" w:fill="auto"/>
            <w:noWrap/>
            <w:vAlign w:val="center"/>
          </w:tcPr>
          <w:p w14:paraId="5599B923">
            <w:pPr>
              <w:pStyle w:val="634"/>
              <w:adjustRightInd w:val="0"/>
              <w:snapToGrid w:val="0"/>
              <w:ind w:firstLine="0" w:firstLineChars="0"/>
              <w:jc w:val="center"/>
              <w:rPr>
                <w:rFonts w:ascii="Arial" w:hAnsi="Arial" w:cs="Arial"/>
                <w:sz w:val="18"/>
                <w:szCs w:val="18"/>
              </w:rPr>
            </w:pPr>
            <w:r>
              <w:rPr>
                <w:rFonts w:ascii="Arial" w:hAnsi="Arial" w:cs="Arial"/>
                <w:sz w:val="18"/>
                <w:szCs w:val="18"/>
              </w:rPr>
              <w:t>3092</w:t>
            </w:r>
          </w:p>
        </w:tc>
        <w:tc>
          <w:tcPr>
            <w:tcW w:w="393" w:type="pct"/>
            <w:shd w:val="clear" w:color="auto" w:fill="auto"/>
            <w:noWrap/>
            <w:vAlign w:val="center"/>
          </w:tcPr>
          <w:p w14:paraId="05606A1B">
            <w:pPr>
              <w:pStyle w:val="634"/>
              <w:adjustRightInd w:val="0"/>
              <w:snapToGrid w:val="0"/>
              <w:ind w:firstLine="0" w:firstLineChars="0"/>
              <w:jc w:val="center"/>
              <w:rPr>
                <w:rFonts w:ascii="Arial" w:hAnsi="Arial" w:cs="Arial"/>
                <w:sz w:val="18"/>
                <w:szCs w:val="18"/>
              </w:rPr>
            </w:pPr>
            <w:r>
              <w:rPr>
                <w:rFonts w:ascii="Arial" w:hAnsi="Arial" w:cs="Arial"/>
                <w:sz w:val="18"/>
                <w:szCs w:val="18"/>
              </w:rPr>
              <w:t>1548</w:t>
            </w:r>
          </w:p>
        </w:tc>
        <w:tc>
          <w:tcPr>
            <w:tcW w:w="250" w:type="pct"/>
            <w:shd w:val="clear" w:color="auto" w:fill="auto"/>
            <w:vAlign w:val="center"/>
          </w:tcPr>
          <w:p w14:paraId="5ED340FC">
            <w:pPr>
              <w:pStyle w:val="634"/>
              <w:adjustRightInd w:val="0"/>
              <w:snapToGrid w:val="0"/>
              <w:ind w:firstLine="0" w:firstLineChars="0"/>
              <w:jc w:val="center"/>
              <w:rPr>
                <w:rFonts w:ascii="Arial" w:hAnsi="Arial" w:cs="Arial"/>
                <w:sz w:val="18"/>
                <w:szCs w:val="18"/>
              </w:rPr>
            </w:pPr>
            <w:r>
              <w:rPr>
                <w:rFonts w:ascii="Arial" w:hAnsi="Arial" w:cs="Arial"/>
                <w:sz w:val="18"/>
                <w:szCs w:val="18"/>
              </w:rPr>
              <w:t>20</w:t>
            </w:r>
          </w:p>
        </w:tc>
        <w:tc>
          <w:tcPr>
            <w:tcW w:w="312" w:type="pct"/>
            <w:shd w:val="clear" w:color="auto" w:fill="auto"/>
            <w:noWrap/>
            <w:vAlign w:val="center"/>
          </w:tcPr>
          <w:p w14:paraId="6970DFB5">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59" w:type="pct"/>
            <w:shd w:val="clear" w:color="auto" w:fill="auto"/>
            <w:noWrap/>
            <w:vAlign w:val="center"/>
          </w:tcPr>
          <w:p w14:paraId="2A430CA1">
            <w:pPr>
              <w:pStyle w:val="634"/>
              <w:adjustRightInd w:val="0"/>
              <w:snapToGrid w:val="0"/>
              <w:ind w:firstLine="0" w:firstLineChars="0"/>
              <w:jc w:val="center"/>
              <w:rPr>
                <w:rFonts w:ascii="Arial" w:hAnsi="Arial" w:cs="Arial"/>
                <w:sz w:val="18"/>
                <w:szCs w:val="18"/>
              </w:rPr>
            </w:pPr>
            <w:r>
              <w:rPr>
                <w:rFonts w:ascii="Arial" w:hAnsi="Arial" w:cs="Arial"/>
                <w:sz w:val="18"/>
                <w:szCs w:val="18"/>
              </w:rPr>
              <w:t>0.45</w:t>
            </w:r>
          </w:p>
        </w:tc>
        <w:tc>
          <w:tcPr>
            <w:tcW w:w="449" w:type="pct"/>
            <w:shd w:val="clear" w:color="auto" w:fill="auto"/>
            <w:noWrap/>
            <w:vAlign w:val="center"/>
          </w:tcPr>
          <w:p w14:paraId="69484936">
            <w:pPr>
              <w:adjustRightInd w:val="0"/>
              <w:snapToGrid w:val="0"/>
              <w:jc w:val="center"/>
              <w:rPr>
                <w:rFonts w:ascii="Arial" w:hAnsi="Arial" w:eastAsia="宋体" w:cs="Arial"/>
                <w:sz w:val="18"/>
                <w:szCs w:val="18"/>
              </w:rPr>
            </w:pPr>
            <w:r>
              <w:rPr>
                <w:rFonts w:ascii="Arial" w:hAnsi="Arial" w:eastAsia="宋体" w:cs="Arial"/>
                <w:sz w:val="18"/>
                <w:szCs w:val="18"/>
              </w:rPr>
              <w:t>10.5</w:t>
            </w:r>
          </w:p>
        </w:tc>
        <w:tc>
          <w:tcPr>
            <w:tcW w:w="305" w:type="pct"/>
            <w:shd w:val="clear" w:color="auto" w:fill="auto"/>
            <w:noWrap/>
            <w:vAlign w:val="center"/>
          </w:tcPr>
          <w:p w14:paraId="152D9CD3">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11E5F5F7">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3E19B7C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BAB5BB3">
            <w:pPr>
              <w:pStyle w:val="634"/>
              <w:adjustRightInd w:val="0"/>
              <w:snapToGrid w:val="0"/>
              <w:ind w:firstLine="0" w:firstLineChars="0"/>
              <w:jc w:val="center"/>
              <w:rPr>
                <w:rFonts w:ascii="Arial" w:hAnsi="Arial" w:cs="Arial"/>
                <w:sz w:val="18"/>
                <w:szCs w:val="18"/>
              </w:rPr>
            </w:pPr>
            <w:r>
              <w:rPr>
                <w:rFonts w:ascii="Arial" w:hAnsi="Arial" w:cs="Arial"/>
                <w:sz w:val="18"/>
                <w:szCs w:val="18"/>
              </w:rPr>
              <w:t>0.14977</w:t>
            </w:r>
          </w:p>
        </w:tc>
        <w:tc>
          <w:tcPr>
            <w:tcW w:w="517" w:type="pct"/>
            <w:shd w:val="clear" w:color="auto" w:fill="auto"/>
            <w:vAlign w:val="center"/>
          </w:tcPr>
          <w:p w14:paraId="77E9D424">
            <w:pPr>
              <w:pStyle w:val="634"/>
              <w:adjustRightInd w:val="0"/>
              <w:snapToGrid w:val="0"/>
              <w:ind w:firstLine="0" w:firstLineChars="0"/>
              <w:jc w:val="center"/>
              <w:rPr>
                <w:rFonts w:ascii="Arial" w:hAnsi="Arial" w:cs="Arial"/>
                <w:sz w:val="18"/>
                <w:szCs w:val="18"/>
              </w:rPr>
            </w:pPr>
          </w:p>
        </w:tc>
      </w:tr>
      <w:tr w14:paraId="735BC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1DCED8B4">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35C2265">
            <w:pPr>
              <w:pStyle w:val="634"/>
              <w:adjustRightInd w:val="0"/>
              <w:snapToGrid w:val="0"/>
              <w:ind w:firstLine="0" w:firstLineChars="0"/>
              <w:jc w:val="center"/>
              <w:rPr>
                <w:rFonts w:ascii="Arial" w:hAnsi="Arial" w:cs="Arial"/>
                <w:sz w:val="18"/>
                <w:szCs w:val="18"/>
              </w:rPr>
            </w:pPr>
            <w:r>
              <w:rPr>
                <w:rFonts w:ascii="Arial" w:hAnsi="Arial" w:cs="Arial"/>
                <w:sz w:val="18"/>
                <w:szCs w:val="18"/>
              </w:rPr>
              <w:t>DA008</w:t>
            </w:r>
          </w:p>
        </w:tc>
        <w:tc>
          <w:tcPr>
            <w:tcW w:w="375" w:type="pct"/>
            <w:shd w:val="clear" w:color="auto" w:fill="auto"/>
            <w:noWrap/>
            <w:vAlign w:val="center"/>
          </w:tcPr>
          <w:p w14:paraId="20A04E97">
            <w:pPr>
              <w:pStyle w:val="634"/>
              <w:adjustRightInd w:val="0"/>
              <w:snapToGrid w:val="0"/>
              <w:ind w:firstLine="0" w:firstLineChars="0"/>
              <w:jc w:val="center"/>
              <w:rPr>
                <w:rFonts w:ascii="Arial" w:hAnsi="Arial" w:cs="Arial"/>
                <w:sz w:val="18"/>
                <w:szCs w:val="18"/>
              </w:rPr>
            </w:pPr>
            <w:r>
              <w:rPr>
                <w:rFonts w:ascii="Arial" w:hAnsi="Arial" w:cs="Arial"/>
                <w:sz w:val="18"/>
                <w:szCs w:val="18"/>
              </w:rPr>
              <w:t>3187</w:t>
            </w:r>
          </w:p>
        </w:tc>
        <w:tc>
          <w:tcPr>
            <w:tcW w:w="393" w:type="pct"/>
            <w:shd w:val="clear" w:color="auto" w:fill="auto"/>
            <w:noWrap/>
            <w:vAlign w:val="center"/>
          </w:tcPr>
          <w:p w14:paraId="40F3BEC9">
            <w:pPr>
              <w:pStyle w:val="634"/>
              <w:adjustRightInd w:val="0"/>
              <w:snapToGrid w:val="0"/>
              <w:ind w:firstLine="0" w:firstLineChars="0"/>
              <w:jc w:val="center"/>
              <w:rPr>
                <w:rFonts w:ascii="Arial" w:hAnsi="Arial" w:cs="Arial"/>
                <w:sz w:val="18"/>
                <w:szCs w:val="18"/>
              </w:rPr>
            </w:pPr>
            <w:r>
              <w:rPr>
                <w:rFonts w:ascii="Arial" w:hAnsi="Arial" w:cs="Arial"/>
                <w:sz w:val="18"/>
                <w:szCs w:val="18"/>
              </w:rPr>
              <w:t>1520</w:t>
            </w:r>
          </w:p>
        </w:tc>
        <w:tc>
          <w:tcPr>
            <w:tcW w:w="250" w:type="pct"/>
            <w:shd w:val="clear" w:color="auto" w:fill="auto"/>
            <w:vAlign w:val="center"/>
          </w:tcPr>
          <w:p w14:paraId="61EB0D3E">
            <w:pPr>
              <w:pStyle w:val="634"/>
              <w:adjustRightInd w:val="0"/>
              <w:snapToGrid w:val="0"/>
              <w:ind w:firstLine="0" w:firstLineChars="0"/>
              <w:jc w:val="center"/>
              <w:rPr>
                <w:rFonts w:ascii="Arial" w:hAnsi="Arial" w:cs="Arial"/>
                <w:sz w:val="18"/>
                <w:szCs w:val="18"/>
              </w:rPr>
            </w:pPr>
            <w:r>
              <w:rPr>
                <w:rFonts w:ascii="Arial" w:hAnsi="Arial" w:cs="Arial"/>
                <w:sz w:val="18"/>
                <w:szCs w:val="18"/>
              </w:rPr>
              <w:t>24</w:t>
            </w:r>
          </w:p>
        </w:tc>
        <w:tc>
          <w:tcPr>
            <w:tcW w:w="312" w:type="pct"/>
            <w:shd w:val="clear" w:color="auto" w:fill="auto"/>
            <w:noWrap/>
            <w:vAlign w:val="center"/>
          </w:tcPr>
          <w:p w14:paraId="1167F6C4">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59" w:type="pct"/>
            <w:shd w:val="clear" w:color="auto" w:fill="auto"/>
            <w:noWrap/>
            <w:vAlign w:val="center"/>
          </w:tcPr>
          <w:p w14:paraId="5C727E9D">
            <w:pPr>
              <w:pStyle w:val="634"/>
              <w:adjustRightInd w:val="0"/>
              <w:snapToGrid w:val="0"/>
              <w:ind w:firstLine="0" w:firstLineChars="0"/>
              <w:jc w:val="center"/>
              <w:rPr>
                <w:rFonts w:ascii="Arial" w:hAnsi="Arial" w:cs="Arial"/>
                <w:sz w:val="18"/>
                <w:szCs w:val="18"/>
              </w:rPr>
            </w:pPr>
            <w:r>
              <w:rPr>
                <w:rFonts w:ascii="Arial" w:hAnsi="Arial" w:cs="Arial"/>
                <w:sz w:val="18"/>
                <w:szCs w:val="18"/>
              </w:rPr>
              <w:t>1.2</w:t>
            </w:r>
          </w:p>
        </w:tc>
        <w:tc>
          <w:tcPr>
            <w:tcW w:w="449" w:type="pct"/>
            <w:shd w:val="clear" w:color="auto" w:fill="auto"/>
            <w:noWrap/>
            <w:vAlign w:val="center"/>
          </w:tcPr>
          <w:p w14:paraId="2F703CD4">
            <w:pPr>
              <w:adjustRightInd w:val="0"/>
              <w:snapToGrid w:val="0"/>
              <w:jc w:val="center"/>
              <w:rPr>
                <w:rFonts w:ascii="Arial" w:hAnsi="Arial" w:eastAsia="宋体" w:cs="Arial"/>
                <w:sz w:val="18"/>
                <w:szCs w:val="18"/>
              </w:rPr>
            </w:pPr>
            <w:r>
              <w:rPr>
                <w:rFonts w:ascii="Arial" w:hAnsi="Arial" w:eastAsia="宋体" w:cs="Arial"/>
                <w:sz w:val="18"/>
                <w:szCs w:val="18"/>
              </w:rPr>
              <w:t>5.7</w:t>
            </w:r>
          </w:p>
        </w:tc>
        <w:tc>
          <w:tcPr>
            <w:tcW w:w="305" w:type="pct"/>
            <w:shd w:val="clear" w:color="auto" w:fill="auto"/>
            <w:noWrap/>
            <w:vAlign w:val="center"/>
          </w:tcPr>
          <w:p w14:paraId="7FDA6B27">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794DA4B6">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32B4C989">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5CA46A81">
            <w:pPr>
              <w:pStyle w:val="634"/>
              <w:adjustRightInd w:val="0"/>
              <w:snapToGrid w:val="0"/>
              <w:ind w:firstLine="0" w:firstLineChars="0"/>
              <w:jc w:val="center"/>
              <w:rPr>
                <w:rFonts w:ascii="Arial" w:hAnsi="Arial" w:cs="Arial"/>
                <w:sz w:val="18"/>
                <w:szCs w:val="18"/>
              </w:rPr>
            </w:pPr>
            <w:r>
              <w:rPr>
                <w:rFonts w:ascii="Arial" w:hAnsi="Arial" w:cs="Arial"/>
                <w:sz w:val="18"/>
                <w:szCs w:val="18"/>
              </w:rPr>
              <w:t>0.46586</w:t>
            </w:r>
          </w:p>
        </w:tc>
        <w:tc>
          <w:tcPr>
            <w:tcW w:w="517" w:type="pct"/>
            <w:shd w:val="clear" w:color="auto" w:fill="auto"/>
            <w:vAlign w:val="center"/>
          </w:tcPr>
          <w:p w14:paraId="2A96B99F">
            <w:pPr>
              <w:pStyle w:val="634"/>
              <w:adjustRightInd w:val="0"/>
              <w:snapToGrid w:val="0"/>
              <w:ind w:firstLine="0" w:firstLineChars="0"/>
              <w:jc w:val="center"/>
              <w:rPr>
                <w:rFonts w:ascii="Arial" w:hAnsi="Arial" w:cs="Arial"/>
                <w:sz w:val="18"/>
                <w:szCs w:val="18"/>
              </w:rPr>
            </w:pPr>
          </w:p>
        </w:tc>
      </w:tr>
      <w:tr w14:paraId="58FAA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3A16731">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02009740">
            <w:pPr>
              <w:pStyle w:val="634"/>
              <w:adjustRightInd w:val="0"/>
              <w:snapToGrid w:val="0"/>
              <w:ind w:firstLine="0" w:firstLineChars="0"/>
              <w:jc w:val="center"/>
              <w:rPr>
                <w:rFonts w:ascii="Arial" w:hAnsi="Arial" w:cs="Arial"/>
                <w:sz w:val="18"/>
                <w:szCs w:val="18"/>
              </w:rPr>
            </w:pPr>
            <w:r>
              <w:rPr>
                <w:rFonts w:ascii="Arial" w:hAnsi="Arial" w:cs="Arial"/>
                <w:sz w:val="18"/>
                <w:szCs w:val="18"/>
              </w:rPr>
              <w:t>DA009</w:t>
            </w:r>
          </w:p>
        </w:tc>
        <w:tc>
          <w:tcPr>
            <w:tcW w:w="375" w:type="pct"/>
            <w:shd w:val="clear" w:color="auto" w:fill="auto"/>
            <w:noWrap/>
            <w:vAlign w:val="center"/>
          </w:tcPr>
          <w:p w14:paraId="6BB71A8F">
            <w:pPr>
              <w:pStyle w:val="634"/>
              <w:adjustRightInd w:val="0"/>
              <w:snapToGrid w:val="0"/>
              <w:ind w:firstLine="0" w:firstLineChars="0"/>
              <w:jc w:val="center"/>
              <w:rPr>
                <w:rFonts w:ascii="Arial" w:hAnsi="Arial" w:cs="Arial"/>
                <w:sz w:val="18"/>
                <w:szCs w:val="18"/>
              </w:rPr>
            </w:pPr>
            <w:r>
              <w:rPr>
                <w:rFonts w:ascii="Arial" w:hAnsi="Arial" w:cs="Arial"/>
                <w:sz w:val="18"/>
                <w:szCs w:val="18"/>
              </w:rPr>
              <w:t>3053</w:t>
            </w:r>
          </w:p>
        </w:tc>
        <w:tc>
          <w:tcPr>
            <w:tcW w:w="393" w:type="pct"/>
            <w:shd w:val="clear" w:color="auto" w:fill="auto"/>
            <w:noWrap/>
            <w:vAlign w:val="center"/>
          </w:tcPr>
          <w:p w14:paraId="6A82D583">
            <w:pPr>
              <w:pStyle w:val="634"/>
              <w:adjustRightInd w:val="0"/>
              <w:snapToGrid w:val="0"/>
              <w:ind w:firstLine="0" w:firstLineChars="0"/>
              <w:jc w:val="center"/>
              <w:rPr>
                <w:rFonts w:ascii="Arial" w:hAnsi="Arial" w:cs="Arial"/>
                <w:sz w:val="18"/>
                <w:szCs w:val="18"/>
              </w:rPr>
            </w:pPr>
            <w:r>
              <w:rPr>
                <w:rFonts w:ascii="Arial" w:hAnsi="Arial" w:cs="Arial"/>
                <w:sz w:val="18"/>
                <w:szCs w:val="18"/>
              </w:rPr>
              <w:t>1398</w:t>
            </w:r>
          </w:p>
        </w:tc>
        <w:tc>
          <w:tcPr>
            <w:tcW w:w="250" w:type="pct"/>
            <w:shd w:val="clear" w:color="auto" w:fill="auto"/>
            <w:vAlign w:val="center"/>
          </w:tcPr>
          <w:p w14:paraId="3845F335">
            <w:pPr>
              <w:pStyle w:val="634"/>
              <w:adjustRightInd w:val="0"/>
              <w:snapToGrid w:val="0"/>
              <w:ind w:firstLine="0" w:firstLineChars="0"/>
              <w:jc w:val="center"/>
              <w:rPr>
                <w:rFonts w:ascii="Arial" w:hAnsi="Arial" w:cs="Arial"/>
                <w:sz w:val="18"/>
                <w:szCs w:val="18"/>
              </w:rPr>
            </w:pPr>
            <w:r>
              <w:rPr>
                <w:rFonts w:ascii="Arial" w:hAnsi="Arial" w:cs="Arial"/>
                <w:sz w:val="18"/>
                <w:szCs w:val="18"/>
              </w:rPr>
              <w:t>23</w:t>
            </w:r>
          </w:p>
        </w:tc>
        <w:tc>
          <w:tcPr>
            <w:tcW w:w="312" w:type="pct"/>
            <w:shd w:val="clear" w:color="auto" w:fill="auto"/>
            <w:noWrap/>
            <w:vAlign w:val="center"/>
          </w:tcPr>
          <w:p w14:paraId="6E901251">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59" w:type="pct"/>
            <w:shd w:val="clear" w:color="auto" w:fill="auto"/>
            <w:noWrap/>
            <w:vAlign w:val="center"/>
          </w:tcPr>
          <w:p w14:paraId="281B9401">
            <w:pPr>
              <w:pStyle w:val="634"/>
              <w:adjustRightInd w:val="0"/>
              <w:snapToGrid w:val="0"/>
              <w:ind w:firstLine="0" w:firstLineChars="0"/>
              <w:jc w:val="center"/>
              <w:rPr>
                <w:rFonts w:ascii="Arial" w:hAnsi="Arial" w:cs="Arial"/>
                <w:sz w:val="18"/>
                <w:szCs w:val="18"/>
              </w:rPr>
            </w:pPr>
            <w:r>
              <w:rPr>
                <w:rFonts w:ascii="Arial" w:hAnsi="Arial" w:cs="Arial"/>
                <w:sz w:val="18"/>
                <w:szCs w:val="18"/>
              </w:rPr>
              <w:t>1.2</w:t>
            </w:r>
          </w:p>
        </w:tc>
        <w:tc>
          <w:tcPr>
            <w:tcW w:w="449" w:type="pct"/>
            <w:shd w:val="clear" w:color="auto" w:fill="auto"/>
            <w:noWrap/>
            <w:vAlign w:val="center"/>
          </w:tcPr>
          <w:p w14:paraId="4509B777">
            <w:pPr>
              <w:adjustRightInd w:val="0"/>
              <w:snapToGrid w:val="0"/>
              <w:jc w:val="center"/>
              <w:rPr>
                <w:rFonts w:ascii="Arial" w:hAnsi="Arial" w:eastAsia="宋体" w:cs="Arial"/>
                <w:sz w:val="18"/>
                <w:szCs w:val="18"/>
              </w:rPr>
            </w:pPr>
            <w:r>
              <w:rPr>
                <w:rFonts w:ascii="Arial" w:hAnsi="Arial" w:eastAsia="宋体" w:cs="Arial"/>
                <w:sz w:val="18"/>
                <w:szCs w:val="18"/>
              </w:rPr>
              <w:t>5.7</w:t>
            </w:r>
          </w:p>
        </w:tc>
        <w:tc>
          <w:tcPr>
            <w:tcW w:w="305" w:type="pct"/>
            <w:shd w:val="clear" w:color="auto" w:fill="auto"/>
            <w:noWrap/>
            <w:vAlign w:val="center"/>
          </w:tcPr>
          <w:p w14:paraId="20D0268D">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6C63AC49">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46D56E25">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04EF6493">
            <w:pPr>
              <w:pStyle w:val="634"/>
              <w:adjustRightInd w:val="0"/>
              <w:snapToGrid w:val="0"/>
              <w:ind w:firstLine="0" w:firstLineChars="0"/>
              <w:jc w:val="center"/>
              <w:rPr>
                <w:rFonts w:ascii="Arial" w:hAnsi="Arial" w:cs="Arial"/>
                <w:sz w:val="18"/>
                <w:szCs w:val="18"/>
              </w:rPr>
            </w:pPr>
            <w:r>
              <w:rPr>
                <w:rFonts w:ascii="Arial" w:hAnsi="Arial" w:cs="Arial"/>
                <w:sz w:val="18"/>
                <w:szCs w:val="18"/>
              </w:rPr>
              <w:t>0.39091</w:t>
            </w:r>
          </w:p>
        </w:tc>
        <w:tc>
          <w:tcPr>
            <w:tcW w:w="517" w:type="pct"/>
            <w:shd w:val="clear" w:color="auto" w:fill="auto"/>
            <w:vAlign w:val="center"/>
          </w:tcPr>
          <w:p w14:paraId="6EF21ACA">
            <w:pPr>
              <w:pStyle w:val="634"/>
              <w:adjustRightInd w:val="0"/>
              <w:snapToGrid w:val="0"/>
              <w:ind w:firstLine="0" w:firstLineChars="0"/>
              <w:jc w:val="center"/>
              <w:rPr>
                <w:rFonts w:ascii="Arial" w:hAnsi="Arial" w:cs="Arial"/>
                <w:sz w:val="18"/>
                <w:szCs w:val="18"/>
              </w:rPr>
            </w:pPr>
          </w:p>
        </w:tc>
      </w:tr>
      <w:tr w14:paraId="51E84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23791D3A">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7862FE1A">
            <w:pPr>
              <w:pStyle w:val="634"/>
              <w:adjustRightInd w:val="0"/>
              <w:snapToGrid w:val="0"/>
              <w:ind w:firstLine="0" w:firstLineChars="0"/>
              <w:jc w:val="center"/>
              <w:rPr>
                <w:rFonts w:ascii="Arial" w:hAnsi="Arial" w:cs="Arial"/>
                <w:sz w:val="18"/>
                <w:szCs w:val="18"/>
              </w:rPr>
            </w:pPr>
            <w:r>
              <w:rPr>
                <w:rFonts w:ascii="Arial" w:hAnsi="Arial" w:cs="Arial"/>
                <w:sz w:val="18"/>
                <w:szCs w:val="18"/>
              </w:rPr>
              <w:t>DA010</w:t>
            </w:r>
          </w:p>
        </w:tc>
        <w:tc>
          <w:tcPr>
            <w:tcW w:w="375" w:type="pct"/>
            <w:shd w:val="clear" w:color="auto" w:fill="auto"/>
            <w:noWrap/>
            <w:vAlign w:val="center"/>
          </w:tcPr>
          <w:p w14:paraId="08BB28F4">
            <w:pPr>
              <w:pStyle w:val="634"/>
              <w:adjustRightInd w:val="0"/>
              <w:snapToGrid w:val="0"/>
              <w:ind w:firstLine="0" w:firstLineChars="0"/>
              <w:jc w:val="center"/>
              <w:rPr>
                <w:rFonts w:ascii="Arial" w:hAnsi="Arial" w:cs="Arial"/>
                <w:sz w:val="18"/>
                <w:szCs w:val="18"/>
              </w:rPr>
            </w:pPr>
            <w:r>
              <w:rPr>
                <w:rFonts w:ascii="Arial" w:hAnsi="Arial" w:cs="Arial"/>
                <w:sz w:val="18"/>
                <w:szCs w:val="18"/>
              </w:rPr>
              <w:t>3001</w:t>
            </w:r>
          </w:p>
        </w:tc>
        <w:tc>
          <w:tcPr>
            <w:tcW w:w="393" w:type="pct"/>
            <w:shd w:val="clear" w:color="auto" w:fill="auto"/>
            <w:noWrap/>
            <w:vAlign w:val="center"/>
          </w:tcPr>
          <w:p w14:paraId="0F1ED5B6">
            <w:pPr>
              <w:pStyle w:val="634"/>
              <w:adjustRightInd w:val="0"/>
              <w:snapToGrid w:val="0"/>
              <w:ind w:firstLine="0" w:firstLineChars="0"/>
              <w:jc w:val="center"/>
              <w:rPr>
                <w:rFonts w:ascii="Arial" w:hAnsi="Arial" w:cs="Arial"/>
                <w:sz w:val="18"/>
                <w:szCs w:val="18"/>
              </w:rPr>
            </w:pPr>
            <w:r>
              <w:rPr>
                <w:rFonts w:ascii="Arial" w:hAnsi="Arial" w:cs="Arial"/>
                <w:sz w:val="18"/>
                <w:szCs w:val="18"/>
              </w:rPr>
              <w:t>1411</w:t>
            </w:r>
          </w:p>
        </w:tc>
        <w:tc>
          <w:tcPr>
            <w:tcW w:w="250" w:type="pct"/>
            <w:shd w:val="clear" w:color="auto" w:fill="auto"/>
            <w:vAlign w:val="center"/>
          </w:tcPr>
          <w:p w14:paraId="2CF95C05">
            <w:pPr>
              <w:pStyle w:val="634"/>
              <w:adjustRightInd w:val="0"/>
              <w:snapToGrid w:val="0"/>
              <w:ind w:firstLine="0" w:firstLineChars="0"/>
              <w:jc w:val="center"/>
              <w:rPr>
                <w:rFonts w:ascii="Arial" w:hAnsi="Arial" w:cs="Arial"/>
                <w:sz w:val="18"/>
                <w:szCs w:val="18"/>
              </w:rPr>
            </w:pPr>
            <w:r>
              <w:rPr>
                <w:rFonts w:ascii="Arial" w:hAnsi="Arial" w:cs="Arial"/>
                <w:sz w:val="18"/>
                <w:szCs w:val="18"/>
              </w:rPr>
              <w:t>23</w:t>
            </w:r>
          </w:p>
        </w:tc>
        <w:tc>
          <w:tcPr>
            <w:tcW w:w="312" w:type="pct"/>
            <w:shd w:val="clear" w:color="auto" w:fill="auto"/>
            <w:noWrap/>
            <w:vAlign w:val="center"/>
          </w:tcPr>
          <w:p w14:paraId="754BE86E">
            <w:pPr>
              <w:pStyle w:val="634"/>
              <w:adjustRightInd w:val="0"/>
              <w:snapToGrid w:val="0"/>
              <w:ind w:firstLine="0" w:firstLineChars="0"/>
              <w:jc w:val="center"/>
              <w:rPr>
                <w:rFonts w:ascii="Arial" w:hAnsi="Arial" w:cs="Arial"/>
                <w:sz w:val="18"/>
                <w:szCs w:val="18"/>
              </w:rPr>
            </w:pPr>
            <w:r>
              <w:rPr>
                <w:rFonts w:ascii="Arial" w:hAnsi="Arial" w:cs="Arial"/>
                <w:sz w:val="18"/>
                <w:szCs w:val="18"/>
              </w:rPr>
              <w:t>100</w:t>
            </w:r>
          </w:p>
        </w:tc>
        <w:tc>
          <w:tcPr>
            <w:tcW w:w="359" w:type="pct"/>
            <w:shd w:val="clear" w:color="auto" w:fill="auto"/>
            <w:noWrap/>
            <w:vAlign w:val="center"/>
          </w:tcPr>
          <w:p w14:paraId="7C20C223">
            <w:pPr>
              <w:pStyle w:val="634"/>
              <w:adjustRightInd w:val="0"/>
              <w:snapToGrid w:val="0"/>
              <w:ind w:firstLine="0" w:firstLineChars="0"/>
              <w:jc w:val="center"/>
              <w:rPr>
                <w:rFonts w:ascii="Arial" w:hAnsi="Arial" w:cs="Arial"/>
                <w:sz w:val="18"/>
                <w:szCs w:val="18"/>
              </w:rPr>
            </w:pPr>
            <w:r>
              <w:rPr>
                <w:rFonts w:ascii="Arial" w:hAnsi="Arial" w:cs="Arial"/>
                <w:sz w:val="18"/>
                <w:szCs w:val="18"/>
              </w:rPr>
              <w:t>3.8</w:t>
            </w:r>
          </w:p>
        </w:tc>
        <w:tc>
          <w:tcPr>
            <w:tcW w:w="449" w:type="pct"/>
            <w:shd w:val="clear" w:color="auto" w:fill="auto"/>
            <w:noWrap/>
            <w:vAlign w:val="center"/>
          </w:tcPr>
          <w:p w14:paraId="0FC4B46D">
            <w:pPr>
              <w:adjustRightInd w:val="0"/>
              <w:snapToGrid w:val="0"/>
              <w:jc w:val="center"/>
              <w:rPr>
                <w:rFonts w:ascii="Arial" w:hAnsi="Arial" w:eastAsia="宋体" w:cs="Arial"/>
                <w:sz w:val="18"/>
                <w:szCs w:val="18"/>
              </w:rPr>
            </w:pPr>
            <w:r>
              <w:rPr>
                <w:rFonts w:ascii="Arial" w:hAnsi="Arial" w:eastAsia="宋体" w:cs="Arial"/>
                <w:sz w:val="18"/>
                <w:szCs w:val="18"/>
              </w:rPr>
              <w:t>10.0</w:t>
            </w:r>
          </w:p>
        </w:tc>
        <w:tc>
          <w:tcPr>
            <w:tcW w:w="305" w:type="pct"/>
            <w:shd w:val="clear" w:color="auto" w:fill="auto"/>
            <w:noWrap/>
            <w:vAlign w:val="center"/>
          </w:tcPr>
          <w:p w14:paraId="084A68E2">
            <w:pPr>
              <w:pStyle w:val="634"/>
              <w:adjustRightInd w:val="0"/>
              <w:snapToGrid w:val="0"/>
              <w:ind w:firstLine="0" w:firstLineChars="0"/>
              <w:jc w:val="center"/>
              <w:rPr>
                <w:rFonts w:ascii="Arial" w:hAnsi="Arial" w:cs="Arial"/>
                <w:sz w:val="18"/>
                <w:szCs w:val="18"/>
              </w:rPr>
            </w:pPr>
            <w:r>
              <w:rPr>
                <w:rFonts w:ascii="Arial" w:hAnsi="Arial" w:cs="Arial"/>
                <w:sz w:val="18"/>
                <w:szCs w:val="18"/>
              </w:rPr>
              <w:t>45</w:t>
            </w:r>
          </w:p>
        </w:tc>
        <w:tc>
          <w:tcPr>
            <w:tcW w:w="381" w:type="pct"/>
            <w:shd w:val="clear" w:color="auto" w:fill="auto"/>
            <w:vAlign w:val="center"/>
          </w:tcPr>
          <w:p w14:paraId="29A64AD1">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6B910DEA">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36CFA99E">
            <w:pPr>
              <w:pStyle w:val="634"/>
              <w:adjustRightInd w:val="0"/>
              <w:snapToGrid w:val="0"/>
              <w:ind w:firstLine="0" w:firstLineChars="0"/>
              <w:jc w:val="center"/>
              <w:rPr>
                <w:rFonts w:ascii="Arial" w:hAnsi="Arial" w:cs="Arial"/>
                <w:sz w:val="18"/>
                <w:szCs w:val="18"/>
              </w:rPr>
            </w:pPr>
            <w:r>
              <w:rPr>
                <w:rFonts w:ascii="Arial" w:hAnsi="Arial" w:cs="Arial"/>
                <w:sz w:val="18"/>
                <w:szCs w:val="18"/>
              </w:rPr>
              <w:t>7.4730</w:t>
            </w:r>
          </w:p>
        </w:tc>
        <w:tc>
          <w:tcPr>
            <w:tcW w:w="517" w:type="pct"/>
            <w:shd w:val="clear" w:color="auto" w:fill="auto"/>
            <w:vAlign w:val="center"/>
          </w:tcPr>
          <w:p w14:paraId="57AAE38B">
            <w:pPr>
              <w:pStyle w:val="634"/>
              <w:adjustRightInd w:val="0"/>
              <w:snapToGrid w:val="0"/>
              <w:ind w:firstLine="0" w:firstLineChars="0"/>
              <w:jc w:val="center"/>
              <w:rPr>
                <w:rFonts w:ascii="Arial" w:hAnsi="Arial" w:cs="Arial"/>
                <w:sz w:val="18"/>
                <w:szCs w:val="18"/>
              </w:rPr>
            </w:pPr>
          </w:p>
        </w:tc>
      </w:tr>
      <w:tr w14:paraId="34C37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560C1673">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8C62946">
            <w:pPr>
              <w:pStyle w:val="634"/>
              <w:adjustRightInd w:val="0"/>
              <w:snapToGrid w:val="0"/>
              <w:ind w:firstLine="0" w:firstLineChars="0"/>
              <w:jc w:val="center"/>
              <w:rPr>
                <w:rFonts w:ascii="Arial" w:hAnsi="Arial" w:cs="Arial"/>
                <w:sz w:val="18"/>
                <w:szCs w:val="18"/>
              </w:rPr>
            </w:pPr>
            <w:r>
              <w:rPr>
                <w:rFonts w:ascii="Arial" w:hAnsi="Arial" w:cs="Arial"/>
                <w:sz w:val="18"/>
                <w:szCs w:val="18"/>
              </w:rPr>
              <w:t>DA011</w:t>
            </w:r>
          </w:p>
        </w:tc>
        <w:tc>
          <w:tcPr>
            <w:tcW w:w="375" w:type="pct"/>
            <w:shd w:val="clear" w:color="auto" w:fill="auto"/>
            <w:noWrap/>
            <w:vAlign w:val="center"/>
          </w:tcPr>
          <w:p w14:paraId="552A20B2">
            <w:pPr>
              <w:pStyle w:val="634"/>
              <w:adjustRightInd w:val="0"/>
              <w:snapToGrid w:val="0"/>
              <w:ind w:firstLine="0" w:firstLineChars="0"/>
              <w:jc w:val="center"/>
              <w:rPr>
                <w:rFonts w:ascii="Arial" w:hAnsi="Arial" w:cs="Arial"/>
                <w:sz w:val="18"/>
                <w:szCs w:val="18"/>
              </w:rPr>
            </w:pPr>
            <w:r>
              <w:rPr>
                <w:rFonts w:ascii="Arial" w:hAnsi="Arial" w:cs="Arial"/>
                <w:sz w:val="18"/>
                <w:szCs w:val="18"/>
              </w:rPr>
              <w:t>2947</w:t>
            </w:r>
          </w:p>
        </w:tc>
        <w:tc>
          <w:tcPr>
            <w:tcW w:w="393" w:type="pct"/>
            <w:shd w:val="clear" w:color="auto" w:fill="auto"/>
            <w:noWrap/>
            <w:vAlign w:val="center"/>
          </w:tcPr>
          <w:p w14:paraId="4C352454">
            <w:pPr>
              <w:pStyle w:val="634"/>
              <w:adjustRightInd w:val="0"/>
              <w:snapToGrid w:val="0"/>
              <w:ind w:firstLine="0" w:firstLineChars="0"/>
              <w:jc w:val="center"/>
              <w:rPr>
                <w:rFonts w:ascii="Arial" w:hAnsi="Arial" w:cs="Arial"/>
                <w:sz w:val="18"/>
                <w:szCs w:val="18"/>
              </w:rPr>
            </w:pPr>
            <w:r>
              <w:rPr>
                <w:rFonts w:ascii="Arial" w:hAnsi="Arial" w:cs="Arial"/>
                <w:sz w:val="18"/>
                <w:szCs w:val="18"/>
              </w:rPr>
              <w:t>1329</w:t>
            </w:r>
          </w:p>
        </w:tc>
        <w:tc>
          <w:tcPr>
            <w:tcW w:w="250" w:type="pct"/>
            <w:shd w:val="clear" w:color="auto" w:fill="auto"/>
            <w:vAlign w:val="center"/>
          </w:tcPr>
          <w:p w14:paraId="2DBF9849">
            <w:pPr>
              <w:pStyle w:val="634"/>
              <w:adjustRightInd w:val="0"/>
              <w:snapToGrid w:val="0"/>
              <w:ind w:firstLine="0" w:firstLineChars="0"/>
              <w:jc w:val="center"/>
              <w:rPr>
                <w:rFonts w:ascii="Arial" w:hAnsi="Arial" w:cs="Arial"/>
                <w:sz w:val="18"/>
                <w:szCs w:val="18"/>
              </w:rPr>
            </w:pPr>
            <w:r>
              <w:rPr>
                <w:rFonts w:ascii="Arial" w:hAnsi="Arial" w:cs="Arial"/>
                <w:sz w:val="18"/>
                <w:szCs w:val="18"/>
              </w:rPr>
              <w:t>7</w:t>
            </w:r>
          </w:p>
        </w:tc>
        <w:tc>
          <w:tcPr>
            <w:tcW w:w="312" w:type="pct"/>
            <w:shd w:val="clear" w:color="auto" w:fill="auto"/>
            <w:noWrap/>
            <w:vAlign w:val="center"/>
          </w:tcPr>
          <w:p w14:paraId="2A420655">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59" w:type="pct"/>
            <w:shd w:val="clear" w:color="auto" w:fill="auto"/>
            <w:noWrap/>
            <w:vAlign w:val="center"/>
          </w:tcPr>
          <w:p w14:paraId="41F9AE3D">
            <w:pPr>
              <w:pStyle w:val="634"/>
              <w:adjustRightInd w:val="0"/>
              <w:snapToGrid w:val="0"/>
              <w:ind w:firstLine="0" w:firstLineChars="0"/>
              <w:jc w:val="center"/>
              <w:rPr>
                <w:rFonts w:ascii="Arial" w:hAnsi="Arial" w:cs="Arial"/>
                <w:sz w:val="18"/>
                <w:szCs w:val="18"/>
              </w:rPr>
            </w:pPr>
            <w:r>
              <w:rPr>
                <w:rFonts w:ascii="Arial" w:hAnsi="Arial" w:cs="Arial"/>
                <w:sz w:val="18"/>
                <w:szCs w:val="18"/>
              </w:rPr>
              <w:t>0.40</w:t>
            </w:r>
          </w:p>
        </w:tc>
        <w:tc>
          <w:tcPr>
            <w:tcW w:w="449" w:type="pct"/>
            <w:shd w:val="clear" w:color="auto" w:fill="auto"/>
            <w:noWrap/>
            <w:vAlign w:val="center"/>
          </w:tcPr>
          <w:p w14:paraId="229E3F51">
            <w:pPr>
              <w:adjustRightInd w:val="0"/>
              <w:snapToGrid w:val="0"/>
              <w:jc w:val="center"/>
              <w:rPr>
                <w:rFonts w:ascii="Arial" w:hAnsi="Arial" w:eastAsia="宋体" w:cs="Arial"/>
                <w:sz w:val="18"/>
                <w:szCs w:val="18"/>
              </w:rPr>
            </w:pPr>
            <w:r>
              <w:rPr>
                <w:rFonts w:ascii="Arial" w:hAnsi="Arial" w:eastAsia="宋体" w:cs="Arial"/>
                <w:sz w:val="18"/>
                <w:szCs w:val="18"/>
              </w:rPr>
              <w:t>11.1</w:t>
            </w:r>
          </w:p>
        </w:tc>
        <w:tc>
          <w:tcPr>
            <w:tcW w:w="305" w:type="pct"/>
            <w:shd w:val="clear" w:color="auto" w:fill="auto"/>
            <w:noWrap/>
            <w:vAlign w:val="center"/>
          </w:tcPr>
          <w:p w14:paraId="2BEFC225">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27F7D65E">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69E78E3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347CB6A">
            <w:pPr>
              <w:pStyle w:val="634"/>
              <w:adjustRightInd w:val="0"/>
              <w:snapToGrid w:val="0"/>
              <w:ind w:firstLine="0" w:firstLineChars="0"/>
              <w:jc w:val="center"/>
              <w:rPr>
                <w:rFonts w:ascii="Arial" w:hAnsi="Arial" w:cs="Arial"/>
                <w:sz w:val="18"/>
                <w:szCs w:val="18"/>
              </w:rPr>
            </w:pPr>
            <w:r>
              <w:rPr>
                <w:rFonts w:ascii="Arial" w:hAnsi="Arial" w:cs="Arial"/>
                <w:sz w:val="18"/>
                <w:szCs w:val="18"/>
              </w:rPr>
              <w:t>0.25</w:t>
            </w:r>
          </w:p>
        </w:tc>
        <w:tc>
          <w:tcPr>
            <w:tcW w:w="517" w:type="pct"/>
            <w:shd w:val="clear" w:color="auto" w:fill="auto"/>
            <w:vAlign w:val="center"/>
          </w:tcPr>
          <w:p w14:paraId="24538FE1">
            <w:pPr>
              <w:pStyle w:val="634"/>
              <w:adjustRightInd w:val="0"/>
              <w:snapToGrid w:val="0"/>
              <w:ind w:firstLine="0" w:firstLineChars="0"/>
              <w:jc w:val="center"/>
              <w:rPr>
                <w:rFonts w:ascii="Arial" w:hAnsi="Arial" w:cs="Arial"/>
                <w:sz w:val="18"/>
                <w:szCs w:val="18"/>
              </w:rPr>
            </w:pPr>
          </w:p>
        </w:tc>
      </w:tr>
      <w:tr w14:paraId="0CB97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93850AA">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07B6DCA">
            <w:pPr>
              <w:pStyle w:val="634"/>
              <w:adjustRightInd w:val="0"/>
              <w:snapToGrid w:val="0"/>
              <w:ind w:firstLine="0" w:firstLineChars="0"/>
              <w:jc w:val="center"/>
              <w:rPr>
                <w:rFonts w:ascii="Arial" w:hAnsi="Arial" w:cs="Arial"/>
                <w:sz w:val="18"/>
                <w:szCs w:val="18"/>
              </w:rPr>
            </w:pPr>
            <w:r>
              <w:rPr>
                <w:rFonts w:ascii="Arial" w:hAnsi="Arial" w:cs="Arial"/>
                <w:sz w:val="18"/>
                <w:szCs w:val="18"/>
              </w:rPr>
              <w:t>DA016</w:t>
            </w:r>
          </w:p>
        </w:tc>
        <w:tc>
          <w:tcPr>
            <w:tcW w:w="375" w:type="pct"/>
            <w:shd w:val="clear" w:color="auto" w:fill="auto"/>
            <w:noWrap/>
            <w:vAlign w:val="center"/>
          </w:tcPr>
          <w:p w14:paraId="6A2FA4AA">
            <w:pPr>
              <w:pStyle w:val="634"/>
              <w:adjustRightInd w:val="0"/>
              <w:snapToGrid w:val="0"/>
              <w:ind w:firstLine="0" w:firstLineChars="0"/>
              <w:jc w:val="center"/>
              <w:rPr>
                <w:rFonts w:ascii="Arial" w:hAnsi="Arial" w:cs="Arial"/>
                <w:sz w:val="18"/>
                <w:szCs w:val="18"/>
              </w:rPr>
            </w:pPr>
            <w:r>
              <w:rPr>
                <w:rFonts w:ascii="Arial" w:hAnsi="Arial" w:cs="Arial"/>
                <w:sz w:val="18"/>
                <w:szCs w:val="18"/>
              </w:rPr>
              <w:t>3037</w:t>
            </w:r>
          </w:p>
        </w:tc>
        <w:tc>
          <w:tcPr>
            <w:tcW w:w="393" w:type="pct"/>
            <w:shd w:val="clear" w:color="auto" w:fill="auto"/>
            <w:noWrap/>
            <w:vAlign w:val="center"/>
          </w:tcPr>
          <w:p w14:paraId="40CCF622">
            <w:pPr>
              <w:pStyle w:val="634"/>
              <w:adjustRightInd w:val="0"/>
              <w:snapToGrid w:val="0"/>
              <w:ind w:firstLine="0" w:firstLineChars="0"/>
              <w:jc w:val="center"/>
              <w:rPr>
                <w:rFonts w:ascii="Arial" w:hAnsi="Arial" w:cs="Arial"/>
                <w:sz w:val="18"/>
                <w:szCs w:val="18"/>
              </w:rPr>
            </w:pPr>
            <w:r>
              <w:rPr>
                <w:rFonts w:ascii="Arial" w:hAnsi="Arial" w:cs="Arial"/>
                <w:sz w:val="18"/>
                <w:szCs w:val="18"/>
              </w:rPr>
              <w:t>1703</w:t>
            </w:r>
          </w:p>
        </w:tc>
        <w:tc>
          <w:tcPr>
            <w:tcW w:w="250" w:type="pct"/>
            <w:shd w:val="clear" w:color="auto" w:fill="auto"/>
            <w:vAlign w:val="center"/>
          </w:tcPr>
          <w:p w14:paraId="120B512B">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12" w:type="pct"/>
            <w:shd w:val="clear" w:color="auto" w:fill="auto"/>
            <w:noWrap/>
            <w:vAlign w:val="center"/>
          </w:tcPr>
          <w:p w14:paraId="573597CA">
            <w:pPr>
              <w:pStyle w:val="634"/>
              <w:adjustRightInd w:val="0"/>
              <w:snapToGrid w:val="0"/>
              <w:ind w:firstLine="0" w:firstLineChars="0"/>
              <w:jc w:val="center"/>
              <w:rPr>
                <w:rFonts w:ascii="Arial" w:hAnsi="Arial" w:cs="Arial"/>
                <w:sz w:val="18"/>
                <w:szCs w:val="18"/>
              </w:rPr>
            </w:pPr>
            <w:r>
              <w:rPr>
                <w:rFonts w:ascii="Arial" w:hAnsi="Arial" w:cs="Arial"/>
                <w:sz w:val="18"/>
                <w:szCs w:val="18"/>
              </w:rPr>
              <w:t>15</w:t>
            </w:r>
          </w:p>
        </w:tc>
        <w:tc>
          <w:tcPr>
            <w:tcW w:w="359" w:type="pct"/>
            <w:shd w:val="clear" w:color="auto" w:fill="auto"/>
            <w:noWrap/>
            <w:vAlign w:val="center"/>
          </w:tcPr>
          <w:p w14:paraId="3E0D10ED">
            <w:pPr>
              <w:pStyle w:val="634"/>
              <w:adjustRightInd w:val="0"/>
              <w:snapToGrid w:val="0"/>
              <w:ind w:firstLine="0" w:firstLineChars="0"/>
              <w:jc w:val="center"/>
              <w:rPr>
                <w:rFonts w:ascii="Arial" w:hAnsi="Arial" w:cs="Arial"/>
                <w:sz w:val="18"/>
                <w:szCs w:val="18"/>
              </w:rPr>
            </w:pPr>
            <w:r>
              <w:rPr>
                <w:rFonts w:ascii="Arial" w:hAnsi="Arial" w:cs="Arial"/>
                <w:sz w:val="18"/>
                <w:szCs w:val="18"/>
              </w:rPr>
              <w:t>0.8</w:t>
            </w:r>
          </w:p>
        </w:tc>
        <w:tc>
          <w:tcPr>
            <w:tcW w:w="449" w:type="pct"/>
            <w:shd w:val="clear" w:color="auto" w:fill="auto"/>
            <w:noWrap/>
            <w:vAlign w:val="center"/>
          </w:tcPr>
          <w:p w14:paraId="164F2732">
            <w:pPr>
              <w:adjustRightInd w:val="0"/>
              <w:snapToGrid w:val="0"/>
              <w:jc w:val="center"/>
              <w:rPr>
                <w:rFonts w:ascii="Arial" w:hAnsi="Arial" w:eastAsia="宋体" w:cs="Arial"/>
                <w:sz w:val="18"/>
                <w:szCs w:val="18"/>
              </w:rPr>
            </w:pPr>
            <w:r>
              <w:rPr>
                <w:rFonts w:ascii="Arial" w:hAnsi="Arial" w:eastAsia="宋体" w:cs="Arial"/>
                <w:sz w:val="18"/>
                <w:szCs w:val="18"/>
              </w:rPr>
              <w:t>12.7</w:t>
            </w:r>
          </w:p>
        </w:tc>
        <w:tc>
          <w:tcPr>
            <w:tcW w:w="305" w:type="pct"/>
            <w:shd w:val="clear" w:color="auto" w:fill="auto"/>
            <w:noWrap/>
            <w:vAlign w:val="center"/>
          </w:tcPr>
          <w:p w14:paraId="759F6D7F">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00389428">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15986F1E">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13EB884D">
            <w:pPr>
              <w:pStyle w:val="634"/>
              <w:adjustRightInd w:val="0"/>
              <w:snapToGrid w:val="0"/>
              <w:ind w:firstLine="0" w:firstLineChars="0"/>
              <w:jc w:val="center"/>
              <w:rPr>
                <w:rFonts w:ascii="Arial" w:hAnsi="Arial" w:cs="Arial"/>
                <w:sz w:val="18"/>
                <w:szCs w:val="18"/>
              </w:rPr>
            </w:pPr>
            <w:r>
              <w:rPr>
                <w:rFonts w:ascii="Arial" w:hAnsi="Arial" w:cs="Arial"/>
                <w:sz w:val="18"/>
                <w:szCs w:val="18"/>
              </w:rPr>
              <w:t>0.0123</w:t>
            </w:r>
          </w:p>
        </w:tc>
        <w:tc>
          <w:tcPr>
            <w:tcW w:w="517" w:type="pct"/>
            <w:shd w:val="clear" w:color="auto" w:fill="auto"/>
            <w:vAlign w:val="center"/>
          </w:tcPr>
          <w:p w14:paraId="4DD8AEDF">
            <w:pPr>
              <w:pStyle w:val="634"/>
              <w:adjustRightInd w:val="0"/>
              <w:snapToGrid w:val="0"/>
              <w:ind w:firstLine="0" w:firstLineChars="0"/>
              <w:jc w:val="center"/>
              <w:rPr>
                <w:rFonts w:ascii="Arial" w:hAnsi="Arial" w:cs="Arial"/>
                <w:sz w:val="18"/>
                <w:szCs w:val="18"/>
              </w:rPr>
            </w:pPr>
          </w:p>
        </w:tc>
      </w:tr>
      <w:tr w14:paraId="07A24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1F7DEF0">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5D306C4F">
            <w:pPr>
              <w:pStyle w:val="634"/>
              <w:adjustRightInd w:val="0"/>
              <w:snapToGrid w:val="0"/>
              <w:ind w:firstLine="0" w:firstLineChars="0"/>
              <w:jc w:val="center"/>
              <w:rPr>
                <w:rFonts w:ascii="Arial" w:hAnsi="Arial" w:cs="Arial"/>
                <w:sz w:val="18"/>
                <w:szCs w:val="18"/>
              </w:rPr>
            </w:pPr>
            <w:r>
              <w:rPr>
                <w:rFonts w:ascii="Arial" w:hAnsi="Arial" w:cs="Arial"/>
                <w:sz w:val="18"/>
                <w:szCs w:val="18"/>
              </w:rPr>
              <w:t>DA</w:t>
            </w:r>
            <w:r>
              <w:rPr>
                <w:rFonts w:hint="eastAsia" w:ascii="Arial" w:hAnsi="Arial" w:cs="Arial"/>
                <w:sz w:val="18"/>
                <w:szCs w:val="18"/>
              </w:rPr>
              <w:t>017</w:t>
            </w:r>
          </w:p>
        </w:tc>
        <w:tc>
          <w:tcPr>
            <w:tcW w:w="375" w:type="pct"/>
            <w:shd w:val="clear" w:color="auto" w:fill="auto"/>
            <w:noWrap/>
            <w:vAlign w:val="center"/>
          </w:tcPr>
          <w:p w14:paraId="25B80BB6">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3285</w:t>
            </w:r>
          </w:p>
        </w:tc>
        <w:tc>
          <w:tcPr>
            <w:tcW w:w="393" w:type="pct"/>
            <w:shd w:val="clear" w:color="auto" w:fill="auto"/>
            <w:noWrap/>
            <w:vAlign w:val="center"/>
          </w:tcPr>
          <w:p w14:paraId="20A60602">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1649</w:t>
            </w:r>
          </w:p>
        </w:tc>
        <w:tc>
          <w:tcPr>
            <w:tcW w:w="250" w:type="pct"/>
            <w:shd w:val="clear" w:color="auto" w:fill="auto"/>
            <w:vAlign w:val="center"/>
          </w:tcPr>
          <w:p w14:paraId="1C4139BE">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3</w:t>
            </w:r>
          </w:p>
        </w:tc>
        <w:tc>
          <w:tcPr>
            <w:tcW w:w="312" w:type="pct"/>
            <w:shd w:val="clear" w:color="auto" w:fill="auto"/>
            <w:noWrap/>
            <w:vAlign w:val="center"/>
          </w:tcPr>
          <w:p w14:paraId="0D50FEA6">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18</w:t>
            </w:r>
          </w:p>
        </w:tc>
        <w:tc>
          <w:tcPr>
            <w:tcW w:w="359" w:type="pct"/>
            <w:shd w:val="clear" w:color="auto" w:fill="auto"/>
            <w:noWrap/>
            <w:vAlign w:val="center"/>
          </w:tcPr>
          <w:p w14:paraId="7745EADC">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1.0</w:t>
            </w:r>
          </w:p>
        </w:tc>
        <w:tc>
          <w:tcPr>
            <w:tcW w:w="449" w:type="pct"/>
            <w:shd w:val="clear" w:color="auto" w:fill="auto"/>
            <w:noWrap/>
            <w:vAlign w:val="center"/>
          </w:tcPr>
          <w:p w14:paraId="505001D7">
            <w:pPr>
              <w:adjustRightInd w:val="0"/>
              <w:snapToGrid w:val="0"/>
              <w:jc w:val="center"/>
              <w:rPr>
                <w:rFonts w:ascii="Arial" w:hAnsi="Arial" w:eastAsia="宋体" w:cs="Arial"/>
                <w:sz w:val="18"/>
                <w:szCs w:val="18"/>
              </w:rPr>
            </w:pPr>
            <w:r>
              <w:rPr>
                <w:rFonts w:hint="eastAsia" w:ascii="Arial" w:hAnsi="Arial" w:eastAsia="宋体" w:cs="Arial"/>
                <w:sz w:val="18"/>
                <w:szCs w:val="18"/>
              </w:rPr>
              <w:t>7.1</w:t>
            </w:r>
          </w:p>
        </w:tc>
        <w:tc>
          <w:tcPr>
            <w:tcW w:w="305" w:type="pct"/>
            <w:shd w:val="clear" w:color="auto" w:fill="auto"/>
            <w:noWrap/>
            <w:vAlign w:val="center"/>
          </w:tcPr>
          <w:p w14:paraId="28638221">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0C83EA7B">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3BC736E4">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491AA3C">
            <w:pPr>
              <w:pStyle w:val="634"/>
              <w:adjustRightInd w:val="0"/>
              <w:snapToGrid w:val="0"/>
              <w:ind w:firstLine="0" w:firstLineChars="0"/>
              <w:jc w:val="center"/>
              <w:rPr>
                <w:rFonts w:ascii="Arial" w:hAnsi="Arial" w:cs="Arial"/>
                <w:sz w:val="18"/>
                <w:szCs w:val="18"/>
              </w:rPr>
            </w:pPr>
          </w:p>
        </w:tc>
        <w:tc>
          <w:tcPr>
            <w:tcW w:w="517" w:type="pct"/>
            <w:shd w:val="clear" w:color="auto" w:fill="auto"/>
            <w:vAlign w:val="center"/>
          </w:tcPr>
          <w:p w14:paraId="433C9EBB">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0.0604</w:t>
            </w:r>
          </w:p>
        </w:tc>
      </w:tr>
      <w:tr w14:paraId="313EA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827A56B">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2401E193">
            <w:pPr>
              <w:pStyle w:val="634"/>
              <w:adjustRightInd w:val="0"/>
              <w:snapToGrid w:val="0"/>
              <w:ind w:firstLine="0" w:firstLineChars="0"/>
              <w:jc w:val="center"/>
              <w:rPr>
                <w:rFonts w:ascii="Arial" w:hAnsi="Arial" w:cs="Arial"/>
                <w:sz w:val="18"/>
                <w:szCs w:val="18"/>
              </w:rPr>
            </w:pPr>
            <w:r>
              <w:rPr>
                <w:rFonts w:ascii="Arial" w:hAnsi="Arial" w:cs="Arial"/>
                <w:sz w:val="18"/>
                <w:szCs w:val="18"/>
              </w:rPr>
              <w:t>DA018</w:t>
            </w:r>
          </w:p>
        </w:tc>
        <w:tc>
          <w:tcPr>
            <w:tcW w:w="375" w:type="pct"/>
            <w:shd w:val="clear" w:color="auto" w:fill="auto"/>
            <w:noWrap/>
            <w:vAlign w:val="center"/>
          </w:tcPr>
          <w:p w14:paraId="773786DC">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3208</w:t>
            </w:r>
          </w:p>
        </w:tc>
        <w:tc>
          <w:tcPr>
            <w:tcW w:w="393" w:type="pct"/>
            <w:shd w:val="clear" w:color="auto" w:fill="auto"/>
            <w:noWrap/>
            <w:vAlign w:val="center"/>
          </w:tcPr>
          <w:p w14:paraId="283DAA8C">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1618</w:t>
            </w:r>
          </w:p>
        </w:tc>
        <w:tc>
          <w:tcPr>
            <w:tcW w:w="250" w:type="pct"/>
            <w:shd w:val="clear" w:color="auto" w:fill="auto"/>
            <w:vAlign w:val="center"/>
          </w:tcPr>
          <w:p w14:paraId="60C483D1">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3</w:t>
            </w:r>
          </w:p>
        </w:tc>
        <w:tc>
          <w:tcPr>
            <w:tcW w:w="312" w:type="pct"/>
            <w:shd w:val="clear" w:color="auto" w:fill="auto"/>
            <w:noWrap/>
            <w:vAlign w:val="center"/>
          </w:tcPr>
          <w:p w14:paraId="6E01C349">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18</w:t>
            </w:r>
          </w:p>
        </w:tc>
        <w:tc>
          <w:tcPr>
            <w:tcW w:w="359" w:type="pct"/>
            <w:shd w:val="clear" w:color="auto" w:fill="auto"/>
            <w:noWrap/>
            <w:vAlign w:val="center"/>
          </w:tcPr>
          <w:p w14:paraId="54ADC9F8">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1.0</w:t>
            </w:r>
          </w:p>
        </w:tc>
        <w:tc>
          <w:tcPr>
            <w:tcW w:w="449" w:type="pct"/>
            <w:shd w:val="clear" w:color="auto" w:fill="auto"/>
            <w:noWrap/>
            <w:vAlign w:val="center"/>
          </w:tcPr>
          <w:p w14:paraId="2A2A1213">
            <w:pPr>
              <w:adjustRightInd w:val="0"/>
              <w:snapToGrid w:val="0"/>
              <w:jc w:val="center"/>
              <w:rPr>
                <w:rFonts w:ascii="Arial" w:hAnsi="Arial" w:eastAsia="宋体" w:cs="Arial"/>
                <w:sz w:val="18"/>
                <w:szCs w:val="18"/>
              </w:rPr>
            </w:pPr>
            <w:r>
              <w:rPr>
                <w:rFonts w:hint="eastAsia" w:ascii="Arial" w:hAnsi="Arial" w:eastAsia="宋体" w:cs="Arial"/>
                <w:sz w:val="18"/>
                <w:szCs w:val="18"/>
              </w:rPr>
              <w:t>7.1</w:t>
            </w:r>
          </w:p>
        </w:tc>
        <w:tc>
          <w:tcPr>
            <w:tcW w:w="305" w:type="pct"/>
            <w:shd w:val="clear" w:color="auto" w:fill="auto"/>
            <w:noWrap/>
            <w:vAlign w:val="center"/>
          </w:tcPr>
          <w:p w14:paraId="2B043AB8">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5C4D7A30">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2355590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1C4465D7">
            <w:pPr>
              <w:pStyle w:val="634"/>
              <w:adjustRightInd w:val="0"/>
              <w:snapToGrid w:val="0"/>
              <w:ind w:firstLine="0" w:firstLineChars="0"/>
              <w:jc w:val="center"/>
              <w:rPr>
                <w:rFonts w:ascii="Arial" w:hAnsi="Arial" w:cs="Arial"/>
                <w:sz w:val="18"/>
                <w:szCs w:val="18"/>
              </w:rPr>
            </w:pPr>
          </w:p>
        </w:tc>
        <w:tc>
          <w:tcPr>
            <w:tcW w:w="517" w:type="pct"/>
            <w:shd w:val="clear" w:color="auto" w:fill="auto"/>
            <w:vAlign w:val="center"/>
          </w:tcPr>
          <w:p w14:paraId="0703A0DB">
            <w:pPr>
              <w:pStyle w:val="634"/>
              <w:adjustRightInd w:val="0"/>
              <w:snapToGrid w:val="0"/>
              <w:ind w:firstLine="0" w:firstLineChars="0"/>
              <w:jc w:val="center"/>
              <w:rPr>
                <w:rFonts w:ascii="Arial" w:hAnsi="Arial" w:cs="Arial"/>
                <w:sz w:val="18"/>
                <w:szCs w:val="18"/>
              </w:rPr>
            </w:pPr>
            <w:r>
              <w:rPr>
                <w:rFonts w:hint="eastAsia" w:ascii="Arial" w:hAnsi="Arial" w:cs="Arial"/>
                <w:sz w:val="18"/>
                <w:szCs w:val="18"/>
              </w:rPr>
              <w:t>0.0604</w:t>
            </w:r>
          </w:p>
        </w:tc>
      </w:tr>
      <w:tr w14:paraId="0D96A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4C1D12A1">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12608E12">
            <w:pPr>
              <w:pStyle w:val="634"/>
              <w:adjustRightInd w:val="0"/>
              <w:snapToGrid w:val="0"/>
              <w:ind w:firstLine="0" w:firstLineChars="0"/>
              <w:jc w:val="center"/>
              <w:rPr>
                <w:rFonts w:ascii="Arial" w:hAnsi="Arial" w:cs="Arial"/>
                <w:sz w:val="18"/>
                <w:szCs w:val="18"/>
              </w:rPr>
            </w:pPr>
            <w:r>
              <w:rPr>
                <w:rFonts w:ascii="Arial" w:hAnsi="Arial" w:cs="Arial"/>
                <w:sz w:val="18"/>
                <w:szCs w:val="18"/>
              </w:rPr>
              <w:t>DA019</w:t>
            </w:r>
          </w:p>
        </w:tc>
        <w:tc>
          <w:tcPr>
            <w:tcW w:w="375" w:type="pct"/>
            <w:shd w:val="clear" w:color="auto" w:fill="auto"/>
            <w:noWrap/>
            <w:vAlign w:val="center"/>
          </w:tcPr>
          <w:p w14:paraId="1D370B61">
            <w:pPr>
              <w:pStyle w:val="634"/>
              <w:adjustRightInd w:val="0"/>
              <w:snapToGrid w:val="0"/>
              <w:ind w:firstLine="0" w:firstLineChars="0"/>
              <w:jc w:val="center"/>
              <w:rPr>
                <w:rFonts w:ascii="Arial" w:hAnsi="Arial" w:cs="Arial"/>
                <w:sz w:val="18"/>
                <w:szCs w:val="18"/>
              </w:rPr>
            </w:pPr>
            <w:r>
              <w:rPr>
                <w:rFonts w:ascii="Arial" w:hAnsi="Arial" w:cs="Arial"/>
                <w:sz w:val="18"/>
                <w:szCs w:val="18"/>
              </w:rPr>
              <w:t>3037</w:t>
            </w:r>
          </w:p>
        </w:tc>
        <w:tc>
          <w:tcPr>
            <w:tcW w:w="393" w:type="pct"/>
            <w:shd w:val="clear" w:color="auto" w:fill="auto"/>
            <w:noWrap/>
            <w:vAlign w:val="center"/>
          </w:tcPr>
          <w:p w14:paraId="63BC3C9C">
            <w:pPr>
              <w:pStyle w:val="634"/>
              <w:adjustRightInd w:val="0"/>
              <w:snapToGrid w:val="0"/>
              <w:ind w:firstLine="0" w:firstLineChars="0"/>
              <w:jc w:val="center"/>
              <w:rPr>
                <w:rFonts w:ascii="Arial" w:hAnsi="Arial" w:cs="Arial"/>
                <w:sz w:val="18"/>
                <w:szCs w:val="18"/>
              </w:rPr>
            </w:pPr>
            <w:r>
              <w:rPr>
                <w:rFonts w:ascii="Arial" w:hAnsi="Arial" w:cs="Arial"/>
                <w:sz w:val="18"/>
                <w:szCs w:val="18"/>
              </w:rPr>
              <w:t>1548</w:t>
            </w:r>
          </w:p>
        </w:tc>
        <w:tc>
          <w:tcPr>
            <w:tcW w:w="250" w:type="pct"/>
            <w:shd w:val="clear" w:color="auto" w:fill="auto"/>
            <w:vAlign w:val="center"/>
          </w:tcPr>
          <w:p w14:paraId="476E2B9A">
            <w:pPr>
              <w:pStyle w:val="634"/>
              <w:adjustRightInd w:val="0"/>
              <w:snapToGrid w:val="0"/>
              <w:ind w:firstLine="0" w:firstLineChars="0"/>
              <w:jc w:val="center"/>
              <w:rPr>
                <w:rFonts w:ascii="Arial" w:hAnsi="Arial" w:cs="Arial"/>
                <w:sz w:val="18"/>
                <w:szCs w:val="18"/>
              </w:rPr>
            </w:pPr>
            <w:r>
              <w:rPr>
                <w:rFonts w:ascii="Arial" w:hAnsi="Arial" w:cs="Arial"/>
                <w:sz w:val="18"/>
                <w:szCs w:val="18"/>
              </w:rPr>
              <w:t>4</w:t>
            </w:r>
          </w:p>
        </w:tc>
        <w:tc>
          <w:tcPr>
            <w:tcW w:w="312" w:type="pct"/>
            <w:shd w:val="clear" w:color="auto" w:fill="auto"/>
            <w:noWrap/>
            <w:vAlign w:val="center"/>
          </w:tcPr>
          <w:p w14:paraId="688B813E">
            <w:pPr>
              <w:pStyle w:val="634"/>
              <w:adjustRightInd w:val="0"/>
              <w:snapToGrid w:val="0"/>
              <w:ind w:firstLine="0" w:firstLineChars="0"/>
              <w:jc w:val="center"/>
              <w:rPr>
                <w:rFonts w:ascii="Arial" w:hAnsi="Arial" w:cs="Arial"/>
                <w:sz w:val="18"/>
                <w:szCs w:val="18"/>
              </w:rPr>
            </w:pPr>
            <w:r>
              <w:rPr>
                <w:rFonts w:ascii="Arial" w:hAnsi="Arial" w:cs="Arial"/>
                <w:sz w:val="18"/>
                <w:szCs w:val="18"/>
              </w:rPr>
              <w:t>18</w:t>
            </w:r>
          </w:p>
        </w:tc>
        <w:tc>
          <w:tcPr>
            <w:tcW w:w="359" w:type="pct"/>
            <w:shd w:val="clear" w:color="auto" w:fill="auto"/>
            <w:noWrap/>
            <w:vAlign w:val="center"/>
          </w:tcPr>
          <w:p w14:paraId="4AEA209B">
            <w:pPr>
              <w:pStyle w:val="634"/>
              <w:adjustRightInd w:val="0"/>
              <w:snapToGrid w:val="0"/>
              <w:ind w:firstLine="0" w:firstLineChars="0"/>
              <w:jc w:val="center"/>
              <w:rPr>
                <w:rFonts w:ascii="Arial" w:hAnsi="Arial" w:cs="Arial"/>
                <w:sz w:val="18"/>
                <w:szCs w:val="18"/>
              </w:rPr>
            </w:pPr>
            <w:r>
              <w:rPr>
                <w:rFonts w:ascii="Arial" w:hAnsi="Arial" w:cs="Arial"/>
                <w:sz w:val="18"/>
                <w:szCs w:val="18"/>
              </w:rPr>
              <w:t>0.7</w:t>
            </w:r>
          </w:p>
        </w:tc>
        <w:tc>
          <w:tcPr>
            <w:tcW w:w="449" w:type="pct"/>
            <w:shd w:val="clear" w:color="auto" w:fill="auto"/>
            <w:noWrap/>
            <w:vAlign w:val="center"/>
          </w:tcPr>
          <w:p w14:paraId="12F1C888">
            <w:pPr>
              <w:adjustRightInd w:val="0"/>
              <w:snapToGrid w:val="0"/>
              <w:jc w:val="center"/>
              <w:rPr>
                <w:rFonts w:ascii="Arial" w:hAnsi="Arial" w:eastAsia="宋体" w:cs="Arial"/>
                <w:sz w:val="18"/>
                <w:szCs w:val="18"/>
              </w:rPr>
            </w:pPr>
            <w:r>
              <w:rPr>
                <w:rFonts w:ascii="Arial" w:hAnsi="Arial" w:eastAsia="宋体" w:cs="Arial"/>
                <w:sz w:val="18"/>
                <w:szCs w:val="18"/>
              </w:rPr>
              <w:t>10.8</w:t>
            </w:r>
          </w:p>
        </w:tc>
        <w:tc>
          <w:tcPr>
            <w:tcW w:w="305" w:type="pct"/>
            <w:shd w:val="clear" w:color="auto" w:fill="auto"/>
            <w:noWrap/>
            <w:vAlign w:val="center"/>
          </w:tcPr>
          <w:p w14:paraId="60A6C44C">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78C58EF8">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4E0AA77F">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09C88017">
            <w:pPr>
              <w:pStyle w:val="634"/>
              <w:adjustRightInd w:val="0"/>
              <w:snapToGrid w:val="0"/>
              <w:ind w:firstLine="0" w:firstLineChars="0"/>
              <w:jc w:val="center"/>
              <w:rPr>
                <w:rFonts w:ascii="Arial" w:hAnsi="Arial" w:cs="Arial"/>
                <w:sz w:val="18"/>
                <w:szCs w:val="18"/>
              </w:rPr>
            </w:pPr>
            <w:r>
              <w:rPr>
                <w:rFonts w:ascii="Arial" w:hAnsi="Arial" w:cs="Arial"/>
                <w:sz w:val="18"/>
                <w:szCs w:val="18"/>
              </w:rPr>
              <w:t>0.1704</w:t>
            </w:r>
          </w:p>
        </w:tc>
        <w:tc>
          <w:tcPr>
            <w:tcW w:w="517" w:type="pct"/>
            <w:shd w:val="clear" w:color="auto" w:fill="auto"/>
            <w:vAlign w:val="center"/>
          </w:tcPr>
          <w:p w14:paraId="6BE6BABC">
            <w:pPr>
              <w:pStyle w:val="634"/>
              <w:adjustRightInd w:val="0"/>
              <w:snapToGrid w:val="0"/>
              <w:ind w:firstLine="0" w:firstLineChars="0"/>
              <w:jc w:val="center"/>
              <w:rPr>
                <w:rFonts w:ascii="Arial" w:hAnsi="Arial" w:cs="Arial"/>
                <w:sz w:val="18"/>
                <w:szCs w:val="18"/>
              </w:rPr>
            </w:pPr>
          </w:p>
        </w:tc>
      </w:tr>
      <w:tr w14:paraId="7BCB9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680369AE">
            <w:pPr>
              <w:pStyle w:val="1342"/>
              <w:snapToGrid w:val="0"/>
              <w:spacing w:line="240" w:lineRule="auto"/>
              <w:jc w:val="center"/>
              <w:rPr>
                <w:rFonts w:ascii="Arial" w:hAnsi="Arial" w:cs="Arial"/>
                <w:color w:val="auto"/>
                <w:sz w:val="18"/>
                <w:szCs w:val="18"/>
              </w:rPr>
            </w:pPr>
          </w:p>
        </w:tc>
        <w:tc>
          <w:tcPr>
            <w:tcW w:w="500" w:type="pct"/>
            <w:shd w:val="clear" w:color="auto" w:fill="auto"/>
            <w:vAlign w:val="center"/>
          </w:tcPr>
          <w:p w14:paraId="65FA2933">
            <w:pPr>
              <w:pStyle w:val="634"/>
              <w:adjustRightInd w:val="0"/>
              <w:snapToGrid w:val="0"/>
              <w:ind w:firstLine="0" w:firstLineChars="0"/>
              <w:jc w:val="center"/>
              <w:rPr>
                <w:rFonts w:ascii="Arial" w:hAnsi="Arial" w:cs="Arial"/>
                <w:sz w:val="18"/>
                <w:szCs w:val="18"/>
              </w:rPr>
            </w:pPr>
            <w:r>
              <w:rPr>
                <w:rFonts w:ascii="Arial" w:hAnsi="Arial" w:cs="Arial"/>
                <w:sz w:val="18"/>
                <w:szCs w:val="18"/>
              </w:rPr>
              <w:t>DA020</w:t>
            </w:r>
          </w:p>
        </w:tc>
        <w:tc>
          <w:tcPr>
            <w:tcW w:w="375" w:type="pct"/>
            <w:shd w:val="clear" w:color="auto" w:fill="auto"/>
            <w:noWrap/>
            <w:vAlign w:val="center"/>
          </w:tcPr>
          <w:p w14:paraId="490B866F">
            <w:pPr>
              <w:pStyle w:val="634"/>
              <w:adjustRightInd w:val="0"/>
              <w:snapToGrid w:val="0"/>
              <w:ind w:firstLine="0" w:firstLineChars="0"/>
              <w:jc w:val="center"/>
              <w:rPr>
                <w:rFonts w:ascii="Arial" w:hAnsi="Arial" w:cs="Arial"/>
                <w:sz w:val="18"/>
                <w:szCs w:val="18"/>
              </w:rPr>
            </w:pPr>
            <w:r>
              <w:rPr>
                <w:rFonts w:ascii="Arial" w:hAnsi="Arial" w:cs="Arial"/>
                <w:sz w:val="18"/>
                <w:szCs w:val="18"/>
              </w:rPr>
              <w:t>3190</w:t>
            </w:r>
          </w:p>
        </w:tc>
        <w:tc>
          <w:tcPr>
            <w:tcW w:w="393" w:type="pct"/>
            <w:shd w:val="clear" w:color="auto" w:fill="auto"/>
            <w:noWrap/>
            <w:vAlign w:val="center"/>
          </w:tcPr>
          <w:p w14:paraId="5A31224B">
            <w:pPr>
              <w:pStyle w:val="634"/>
              <w:adjustRightInd w:val="0"/>
              <w:snapToGrid w:val="0"/>
              <w:ind w:firstLine="0" w:firstLineChars="0"/>
              <w:jc w:val="center"/>
              <w:rPr>
                <w:rFonts w:ascii="Arial" w:hAnsi="Arial" w:cs="Arial"/>
                <w:sz w:val="18"/>
                <w:szCs w:val="18"/>
              </w:rPr>
            </w:pPr>
            <w:r>
              <w:rPr>
                <w:rFonts w:ascii="Arial" w:hAnsi="Arial" w:cs="Arial"/>
                <w:sz w:val="18"/>
                <w:szCs w:val="18"/>
              </w:rPr>
              <w:t>1463</w:t>
            </w:r>
          </w:p>
        </w:tc>
        <w:tc>
          <w:tcPr>
            <w:tcW w:w="250" w:type="pct"/>
            <w:shd w:val="clear" w:color="auto" w:fill="auto"/>
            <w:vAlign w:val="center"/>
          </w:tcPr>
          <w:p w14:paraId="29FD8C83">
            <w:pPr>
              <w:pStyle w:val="634"/>
              <w:adjustRightInd w:val="0"/>
              <w:snapToGrid w:val="0"/>
              <w:ind w:firstLine="0" w:firstLineChars="0"/>
              <w:jc w:val="center"/>
              <w:rPr>
                <w:rFonts w:ascii="Arial" w:hAnsi="Arial" w:cs="Arial"/>
                <w:sz w:val="18"/>
                <w:szCs w:val="18"/>
              </w:rPr>
            </w:pPr>
            <w:r>
              <w:rPr>
                <w:rFonts w:ascii="Arial" w:hAnsi="Arial" w:cs="Arial"/>
                <w:sz w:val="18"/>
                <w:szCs w:val="18"/>
              </w:rPr>
              <w:t>4</w:t>
            </w:r>
          </w:p>
        </w:tc>
        <w:tc>
          <w:tcPr>
            <w:tcW w:w="312" w:type="pct"/>
            <w:shd w:val="clear" w:color="auto" w:fill="auto"/>
            <w:noWrap/>
            <w:vAlign w:val="center"/>
          </w:tcPr>
          <w:p w14:paraId="7F043B54">
            <w:pPr>
              <w:pStyle w:val="634"/>
              <w:adjustRightInd w:val="0"/>
              <w:snapToGrid w:val="0"/>
              <w:ind w:firstLine="0" w:firstLineChars="0"/>
              <w:jc w:val="center"/>
              <w:rPr>
                <w:rFonts w:ascii="Arial" w:hAnsi="Arial" w:cs="Arial"/>
                <w:sz w:val="18"/>
                <w:szCs w:val="18"/>
              </w:rPr>
            </w:pPr>
            <w:r>
              <w:rPr>
                <w:rFonts w:ascii="Arial" w:hAnsi="Arial" w:cs="Arial"/>
                <w:sz w:val="18"/>
                <w:szCs w:val="18"/>
              </w:rPr>
              <w:t>18</w:t>
            </w:r>
          </w:p>
        </w:tc>
        <w:tc>
          <w:tcPr>
            <w:tcW w:w="359" w:type="pct"/>
            <w:shd w:val="clear" w:color="auto" w:fill="auto"/>
            <w:noWrap/>
            <w:vAlign w:val="center"/>
          </w:tcPr>
          <w:p w14:paraId="6064F921">
            <w:pPr>
              <w:pStyle w:val="634"/>
              <w:adjustRightInd w:val="0"/>
              <w:snapToGrid w:val="0"/>
              <w:ind w:firstLine="0" w:firstLineChars="0"/>
              <w:jc w:val="center"/>
              <w:rPr>
                <w:rFonts w:ascii="Arial" w:hAnsi="Arial" w:cs="Arial"/>
                <w:sz w:val="18"/>
                <w:szCs w:val="18"/>
              </w:rPr>
            </w:pPr>
            <w:r>
              <w:rPr>
                <w:rFonts w:ascii="Arial" w:hAnsi="Arial" w:cs="Arial"/>
                <w:sz w:val="18"/>
                <w:szCs w:val="18"/>
              </w:rPr>
              <w:t>0.7</w:t>
            </w:r>
          </w:p>
        </w:tc>
        <w:tc>
          <w:tcPr>
            <w:tcW w:w="449" w:type="pct"/>
            <w:shd w:val="clear" w:color="auto" w:fill="auto"/>
            <w:noWrap/>
            <w:vAlign w:val="center"/>
          </w:tcPr>
          <w:p w14:paraId="1CB64B52">
            <w:pPr>
              <w:adjustRightInd w:val="0"/>
              <w:snapToGrid w:val="0"/>
              <w:jc w:val="center"/>
              <w:rPr>
                <w:rFonts w:ascii="Arial" w:hAnsi="Arial" w:eastAsia="宋体" w:cs="Arial"/>
                <w:sz w:val="18"/>
                <w:szCs w:val="18"/>
              </w:rPr>
            </w:pPr>
            <w:r>
              <w:rPr>
                <w:rFonts w:ascii="Arial" w:hAnsi="Arial" w:eastAsia="宋体" w:cs="Arial"/>
                <w:sz w:val="18"/>
                <w:szCs w:val="18"/>
              </w:rPr>
              <w:t>10.8</w:t>
            </w:r>
          </w:p>
        </w:tc>
        <w:tc>
          <w:tcPr>
            <w:tcW w:w="305" w:type="pct"/>
            <w:shd w:val="clear" w:color="auto" w:fill="auto"/>
            <w:noWrap/>
            <w:vAlign w:val="center"/>
          </w:tcPr>
          <w:p w14:paraId="18744496">
            <w:pPr>
              <w:pStyle w:val="634"/>
              <w:adjustRightInd w:val="0"/>
              <w:snapToGrid w:val="0"/>
              <w:ind w:firstLine="0" w:firstLineChars="0"/>
              <w:jc w:val="center"/>
              <w:rPr>
                <w:rFonts w:ascii="Arial" w:hAnsi="Arial" w:cs="Arial"/>
                <w:sz w:val="18"/>
                <w:szCs w:val="18"/>
              </w:rPr>
            </w:pPr>
            <w:r>
              <w:rPr>
                <w:rFonts w:ascii="Arial" w:hAnsi="Arial" w:cs="Arial"/>
                <w:sz w:val="18"/>
                <w:szCs w:val="18"/>
              </w:rPr>
              <w:t>25</w:t>
            </w:r>
          </w:p>
        </w:tc>
        <w:tc>
          <w:tcPr>
            <w:tcW w:w="381" w:type="pct"/>
            <w:shd w:val="clear" w:color="auto" w:fill="auto"/>
            <w:vAlign w:val="center"/>
          </w:tcPr>
          <w:p w14:paraId="3F77E005">
            <w:pPr>
              <w:pStyle w:val="634"/>
              <w:adjustRightInd w:val="0"/>
              <w:snapToGrid w:val="0"/>
              <w:ind w:firstLine="0" w:firstLineChars="0"/>
              <w:jc w:val="center"/>
              <w:rPr>
                <w:rFonts w:ascii="Arial" w:hAnsi="Arial" w:cs="Arial"/>
                <w:sz w:val="18"/>
                <w:szCs w:val="18"/>
              </w:rPr>
            </w:pPr>
            <w:r>
              <w:rPr>
                <w:rFonts w:ascii="Arial" w:hAnsi="Arial" w:cs="Arial"/>
                <w:sz w:val="18"/>
                <w:szCs w:val="18"/>
              </w:rPr>
              <w:t>7920</w:t>
            </w:r>
          </w:p>
        </w:tc>
        <w:tc>
          <w:tcPr>
            <w:tcW w:w="382" w:type="pct"/>
            <w:shd w:val="clear" w:color="auto" w:fill="auto"/>
            <w:vAlign w:val="center"/>
          </w:tcPr>
          <w:p w14:paraId="74D9FC20">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69AA4F6F">
            <w:pPr>
              <w:pStyle w:val="634"/>
              <w:adjustRightInd w:val="0"/>
              <w:snapToGrid w:val="0"/>
              <w:ind w:firstLine="0" w:firstLineChars="0"/>
              <w:jc w:val="center"/>
              <w:rPr>
                <w:rFonts w:ascii="Arial" w:hAnsi="Arial" w:cs="Arial"/>
                <w:sz w:val="18"/>
                <w:szCs w:val="18"/>
              </w:rPr>
            </w:pPr>
            <w:r>
              <w:rPr>
                <w:rFonts w:ascii="Arial" w:hAnsi="Arial" w:cs="Arial"/>
                <w:sz w:val="18"/>
                <w:szCs w:val="18"/>
              </w:rPr>
              <w:t>0.1704</w:t>
            </w:r>
          </w:p>
        </w:tc>
        <w:tc>
          <w:tcPr>
            <w:tcW w:w="517" w:type="pct"/>
            <w:shd w:val="clear" w:color="auto" w:fill="auto"/>
            <w:vAlign w:val="center"/>
          </w:tcPr>
          <w:p w14:paraId="45B6403F">
            <w:pPr>
              <w:pStyle w:val="634"/>
              <w:adjustRightInd w:val="0"/>
              <w:snapToGrid w:val="0"/>
              <w:ind w:firstLine="0" w:firstLineChars="0"/>
              <w:jc w:val="center"/>
              <w:rPr>
                <w:rFonts w:ascii="Arial" w:hAnsi="Arial" w:cs="Arial"/>
                <w:sz w:val="18"/>
                <w:szCs w:val="18"/>
              </w:rPr>
            </w:pPr>
          </w:p>
        </w:tc>
      </w:tr>
      <w:tr w14:paraId="38823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restart"/>
            <w:shd w:val="clear" w:color="auto" w:fill="auto"/>
            <w:vAlign w:val="center"/>
          </w:tcPr>
          <w:p w14:paraId="4BBDE5EC">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碳酸镁项目</w:t>
            </w:r>
          </w:p>
        </w:tc>
        <w:tc>
          <w:tcPr>
            <w:tcW w:w="500" w:type="pct"/>
            <w:shd w:val="clear" w:color="auto" w:fill="auto"/>
            <w:vAlign w:val="center"/>
          </w:tcPr>
          <w:p w14:paraId="4F2A65BA">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DA001</w:t>
            </w:r>
          </w:p>
        </w:tc>
        <w:tc>
          <w:tcPr>
            <w:tcW w:w="375" w:type="pct"/>
            <w:shd w:val="clear" w:color="auto" w:fill="auto"/>
            <w:noWrap/>
            <w:vAlign w:val="center"/>
          </w:tcPr>
          <w:p w14:paraId="288D65FE">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162</w:t>
            </w:r>
          </w:p>
        </w:tc>
        <w:tc>
          <w:tcPr>
            <w:tcW w:w="393" w:type="pct"/>
            <w:shd w:val="clear" w:color="auto" w:fill="auto"/>
            <w:noWrap/>
            <w:vAlign w:val="center"/>
          </w:tcPr>
          <w:p w14:paraId="538E7772">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-653</w:t>
            </w:r>
          </w:p>
        </w:tc>
        <w:tc>
          <w:tcPr>
            <w:tcW w:w="250" w:type="pct"/>
            <w:shd w:val="clear" w:color="auto" w:fill="auto"/>
            <w:vAlign w:val="center"/>
          </w:tcPr>
          <w:p w14:paraId="1B8936C5">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5</w:t>
            </w:r>
          </w:p>
        </w:tc>
        <w:tc>
          <w:tcPr>
            <w:tcW w:w="312" w:type="pct"/>
            <w:shd w:val="clear" w:color="auto" w:fill="auto"/>
            <w:noWrap/>
            <w:vAlign w:val="center"/>
          </w:tcPr>
          <w:p w14:paraId="7A06DBAF">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15</w:t>
            </w:r>
          </w:p>
        </w:tc>
        <w:tc>
          <w:tcPr>
            <w:tcW w:w="359" w:type="pct"/>
            <w:shd w:val="clear" w:color="auto" w:fill="auto"/>
            <w:noWrap/>
            <w:vAlign w:val="center"/>
          </w:tcPr>
          <w:p w14:paraId="7426CAA6">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0.6</w:t>
            </w:r>
          </w:p>
        </w:tc>
        <w:tc>
          <w:tcPr>
            <w:tcW w:w="449" w:type="pct"/>
            <w:shd w:val="clear" w:color="auto" w:fill="auto"/>
            <w:noWrap/>
            <w:vAlign w:val="center"/>
          </w:tcPr>
          <w:p w14:paraId="0F3928BC">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3.9</w:t>
            </w:r>
          </w:p>
        </w:tc>
        <w:tc>
          <w:tcPr>
            <w:tcW w:w="305" w:type="pct"/>
            <w:shd w:val="clear" w:color="auto" w:fill="auto"/>
            <w:noWrap/>
            <w:vAlign w:val="center"/>
          </w:tcPr>
          <w:p w14:paraId="1EDC7377">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25</w:t>
            </w:r>
          </w:p>
        </w:tc>
        <w:tc>
          <w:tcPr>
            <w:tcW w:w="381" w:type="pct"/>
            <w:shd w:val="clear" w:color="auto" w:fill="auto"/>
            <w:vAlign w:val="center"/>
          </w:tcPr>
          <w:p w14:paraId="0A46546E">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2400</w:t>
            </w:r>
          </w:p>
        </w:tc>
        <w:tc>
          <w:tcPr>
            <w:tcW w:w="382" w:type="pct"/>
            <w:shd w:val="clear" w:color="auto" w:fill="auto"/>
            <w:vAlign w:val="center"/>
          </w:tcPr>
          <w:p w14:paraId="4721BC47">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440D219">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0.107</w:t>
            </w:r>
          </w:p>
        </w:tc>
        <w:tc>
          <w:tcPr>
            <w:tcW w:w="517" w:type="pct"/>
            <w:shd w:val="clear" w:color="auto" w:fill="auto"/>
            <w:vAlign w:val="center"/>
          </w:tcPr>
          <w:p w14:paraId="75C8EEE8">
            <w:pPr>
              <w:pStyle w:val="634"/>
              <w:adjustRightInd w:val="0"/>
              <w:snapToGrid w:val="0"/>
              <w:ind w:firstLine="0" w:firstLineChars="0"/>
              <w:jc w:val="center"/>
              <w:rPr>
                <w:rFonts w:ascii="Arial" w:hAnsi="Arial" w:cs="Arial"/>
                <w:sz w:val="18"/>
                <w:szCs w:val="18"/>
              </w:rPr>
            </w:pPr>
          </w:p>
        </w:tc>
      </w:tr>
      <w:tr w14:paraId="1A3F3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7630029F">
            <w:pPr>
              <w:widowControl/>
              <w:adjustRightInd w:val="0"/>
              <w:snapToGrid w:val="0"/>
              <w:jc w:val="center"/>
              <w:rPr>
                <w:rFonts w:ascii="Arial" w:hAnsi="Arial" w:eastAsia="宋体" w:cs="Arial"/>
                <w:kern w:val="0"/>
                <w:sz w:val="18"/>
                <w:szCs w:val="18"/>
              </w:rPr>
            </w:pPr>
          </w:p>
        </w:tc>
        <w:tc>
          <w:tcPr>
            <w:tcW w:w="500" w:type="pct"/>
            <w:shd w:val="clear" w:color="auto" w:fill="auto"/>
            <w:vAlign w:val="center"/>
          </w:tcPr>
          <w:p w14:paraId="2AE1746A">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DA002</w:t>
            </w:r>
          </w:p>
        </w:tc>
        <w:tc>
          <w:tcPr>
            <w:tcW w:w="375" w:type="pct"/>
            <w:shd w:val="clear" w:color="auto" w:fill="auto"/>
            <w:noWrap/>
            <w:vAlign w:val="center"/>
          </w:tcPr>
          <w:p w14:paraId="263BDAA7">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167</w:t>
            </w:r>
          </w:p>
        </w:tc>
        <w:tc>
          <w:tcPr>
            <w:tcW w:w="393" w:type="pct"/>
            <w:shd w:val="clear" w:color="auto" w:fill="auto"/>
            <w:noWrap/>
            <w:vAlign w:val="center"/>
          </w:tcPr>
          <w:p w14:paraId="614011D5">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-650</w:t>
            </w:r>
          </w:p>
        </w:tc>
        <w:tc>
          <w:tcPr>
            <w:tcW w:w="250" w:type="pct"/>
            <w:shd w:val="clear" w:color="auto" w:fill="auto"/>
            <w:vAlign w:val="center"/>
          </w:tcPr>
          <w:p w14:paraId="71F8F80F">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5</w:t>
            </w:r>
          </w:p>
        </w:tc>
        <w:tc>
          <w:tcPr>
            <w:tcW w:w="312" w:type="pct"/>
            <w:shd w:val="clear" w:color="auto" w:fill="auto"/>
            <w:noWrap/>
            <w:vAlign w:val="center"/>
          </w:tcPr>
          <w:p w14:paraId="775155ED">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15</w:t>
            </w:r>
          </w:p>
        </w:tc>
        <w:tc>
          <w:tcPr>
            <w:tcW w:w="359" w:type="pct"/>
            <w:shd w:val="clear" w:color="auto" w:fill="auto"/>
            <w:noWrap/>
            <w:vAlign w:val="center"/>
          </w:tcPr>
          <w:p w14:paraId="065A5651">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0.6</w:t>
            </w:r>
          </w:p>
        </w:tc>
        <w:tc>
          <w:tcPr>
            <w:tcW w:w="449" w:type="pct"/>
            <w:shd w:val="clear" w:color="auto" w:fill="auto"/>
            <w:noWrap/>
            <w:vAlign w:val="center"/>
          </w:tcPr>
          <w:p w14:paraId="52AE2695">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3.9</w:t>
            </w:r>
          </w:p>
        </w:tc>
        <w:tc>
          <w:tcPr>
            <w:tcW w:w="305" w:type="pct"/>
            <w:shd w:val="clear" w:color="auto" w:fill="auto"/>
            <w:noWrap/>
            <w:vAlign w:val="center"/>
          </w:tcPr>
          <w:p w14:paraId="7E0B1511">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25</w:t>
            </w:r>
          </w:p>
        </w:tc>
        <w:tc>
          <w:tcPr>
            <w:tcW w:w="381" w:type="pct"/>
            <w:shd w:val="clear" w:color="auto" w:fill="auto"/>
            <w:vAlign w:val="center"/>
          </w:tcPr>
          <w:p w14:paraId="0A341F72">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2400</w:t>
            </w:r>
          </w:p>
        </w:tc>
        <w:tc>
          <w:tcPr>
            <w:tcW w:w="382" w:type="pct"/>
            <w:shd w:val="clear" w:color="auto" w:fill="auto"/>
            <w:vAlign w:val="center"/>
          </w:tcPr>
          <w:p w14:paraId="0CA70C0B">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7F85BB3D">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0.119</w:t>
            </w:r>
          </w:p>
        </w:tc>
        <w:tc>
          <w:tcPr>
            <w:tcW w:w="517" w:type="pct"/>
            <w:shd w:val="clear" w:color="auto" w:fill="auto"/>
            <w:vAlign w:val="center"/>
          </w:tcPr>
          <w:p w14:paraId="486D0AAC">
            <w:pPr>
              <w:pStyle w:val="634"/>
              <w:adjustRightInd w:val="0"/>
              <w:snapToGrid w:val="0"/>
              <w:ind w:firstLine="0" w:firstLineChars="0"/>
              <w:jc w:val="center"/>
              <w:rPr>
                <w:rFonts w:ascii="Arial" w:hAnsi="Arial" w:cs="Arial"/>
                <w:sz w:val="18"/>
                <w:szCs w:val="18"/>
              </w:rPr>
            </w:pPr>
          </w:p>
        </w:tc>
      </w:tr>
      <w:tr w14:paraId="0137A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vMerge w:val="continue"/>
            <w:shd w:val="clear" w:color="auto" w:fill="auto"/>
            <w:vAlign w:val="center"/>
          </w:tcPr>
          <w:p w14:paraId="06424E73">
            <w:pPr>
              <w:widowControl/>
              <w:adjustRightInd w:val="0"/>
              <w:snapToGrid w:val="0"/>
              <w:jc w:val="center"/>
              <w:rPr>
                <w:rFonts w:ascii="Arial" w:hAnsi="Arial" w:eastAsia="宋体" w:cs="Arial"/>
                <w:kern w:val="0"/>
                <w:sz w:val="18"/>
                <w:szCs w:val="18"/>
              </w:rPr>
            </w:pPr>
          </w:p>
        </w:tc>
        <w:tc>
          <w:tcPr>
            <w:tcW w:w="500" w:type="pct"/>
            <w:shd w:val="clear" w:color="auto" w:fill="auto"/>
            <w:vAlign w:val="center"/>
          </w:tcPr>
          <w:p w14:paraId="38C856C9">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DA003</w:t>
            </w:r>
          </w:p>
        </w:tc>
        <w:tc>
          <w:tcPr>
            <w:tcW w:w="375" w:type="pct"/>
            <w:shd w:val="clear" w:color="auto" w:fill="auto"/>
            <w:noWrap/>
            <w:vAlign w:val="center"/>
          </w:tcPr>
          <w:p w14:paraId="78B64205">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151</w:t>
            </w:r>
          </w:p>
        </w:tc>
        <w:tc>
          <w:tcPr>
            <w:tcW w:w="393" w:type="pct"/>
            <w:shd w:val="clear" w:color="auto" w:fill="auto"/>
            <w:noWrap/>
            <w:vAlign w:val="center"/>
          </w:tcPr>
          <w:p w14:paraId="030FB454">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-684</w:t>
            </w:r>
          </w:p>
        </w:tc>
        <w:tc>
          <w:tcPr>
            <w:tcW w:w="250" w:type="pct"/>
            <w:shd w:val="clear" w:color="auto" w:fill="auto"/>
            <w:vAlign w:val="center"/>
          </w:tcPr>
          <w:p w14:paraId="0C85AD65">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5</w:t>
            </w:r>
          </w:p>
        </w:tc>
        <w:tc>
          <w:tcPr>
            <w:tcW w:w="312" w:type="pct"/>
            <w:shd w:val="clear" w:color="auto" w:fill="auto"/>
            <w:noWrap/>
            <w:vAlign w:val="center"/>
          </w:tcPr>
          <w:p w14:paraId="7F59BBFB">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15</w:t>
            </w:r>
          </w:p>
        </w:tc>
        <w:tc>
          <w:tcPr>
            <w:tcW w:w="359" w:type="pct"/>
            <w:shd w:val="clear" w:color="auto" w:fill="auto"/>
            <w:noWrap/>
            <w:vAlign w:val="center"/>
          </w:tcPr>
          <w:p w14:paraId="308D772C">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0.6</w:t>
            </w:r>
          </w:p>
        </w:tc>
        <w:tc>
          <w:tcPr>
            <w:tcW w:w="449" w:type="pct"/>
            <w:shd w:val="clear" w:color="auto" w:fill="auto"/>
            <w:noWrap/>
            <w:vAlign w:val="center"/>
          </w:tcPr>
          <w:p w14:paraId="3E21AC60">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3.9</w:t>
            </w:r>
          </w:p>
        </w:tc>
        <w:tc>
          <w:tcPr>
            <w:tcW w:w="305" w:type="pct"/>
            <w:shd w:val="clear" w:color="auto" w:fill="auto"/>
            <w:noWrap/>
            <w:vAlign w:val="center"/>
          </w:tcPr>
          <w:p w14:paraId="2CDEAD1A">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25</w:t>
            </w:r>
          </w:p>
        </w:tc>
        <w:tc>
          <w:tcPr>
            <w:tcW w:w="381" w:type="pct"/>
            <w:shd w:val="clear" w:color="auto" w:fill="auto"/>
            <w:vAlign w:val="center"/>
          </w:tcPr>
          <w:p w14:paraId="75A38A32">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2400</w:t>
            </w:r>
          </w:p>
        </w:tc>
        <w:tc>
          <w:tcPr>
            <w:tcW w:w="382" w:type="pct"/>
            <w:shd w:val="clear" w:color="auto" w:fill="auto"/>
            <w:vAlign w:val="center"/>
          </w:tcPr>
          <w:p w14:paraId="1DF99282">
            <w:pPr>
              <w:pStyle w:val="1342"/>
              <w:snapToGrid w:val="0"/>
              <w:spacing w:line="240" w:lineRule="auto"/>
              <w:jc w:val="center"/>
              <w:rPr>
                <w:rFonts w:ascii="Arial" w:hAnsi="Arial" w:cs="Arial"/>
                <w:color w:val="auto"/>
                <w:sz w:val="18"/>
                <w:szCs w:val="18"/>
              </w:rPr>
            </w:pPr>
            <w:r>
              <w:rPr>
                <w:rFonts w:ascii="Arial" w:hAnsi="Arial" w:cs="Arial"/>
                <w:color w:val="auto"/>
                <w:sz w:val="18"/>
                <w:szCs w:val="18"/>
              </w:rPr>
              <w:t>正常</w:t>
            </w:r>
          </w:p>
        </w:tc>
        <w:tc>
          <w:tcPr>
            <w:tcW w:w="533" w:type="pct"/>
            <w:shd w:val="clear" w:color="auto" w:fill="auto"/>
            <w:vAlign w:val="center"/>
          </w:tcPr>
          <w:p w14:paraId="0A763FE6">
            <w:pPr>
              <w:widowControl/>
              <w:adjustRightInd w:val="0"/>
              <w:snapToGrid w:val="0"/>
              <w:jc w:val="center"/>
              <w:rPr>
                <w:rFonts w:ascii="Arial" w:hAnsi="Arial" w:eastAsia="宋体" w:cs="Arial"/>
                <w:kern w:val="0"/>
                <w:sz w:val="18"/>
                <w:szCs w:val="18"/>
              </w:rPr>
            </w:pPr>
            <w:r>
              <w:rPr>
                <w:rFonts w:ascii="Arial" w:hAnsi="Arial" w:eastAsia="宋体" w:cs="Arial"/>
                <w:kern w:val="0"/>
                <w:sz w:val="18"/>
                <w:szCs w:val="18"/>
              </w:rPr>
              <w:t>0.079</w:t>
            </w:r>
          </w:p>
        </w:tc>
        <w:tc>
          <w:tcPr>
            <w:tcW w:w="517" w:type="pct"/>
            <w:shd w:val="clear" w:color="auto" w:fill="auto"/>
            <w:vAlign w:val="center"/>
          </w:tcPr>
          <w:p w14:paraId="757E16A5">
            <w:pPr>
              <w:pStyle w:val="634"/>
              <w:adjustRightInd w:val="0"/>
              <w:snapToGrid w:val="0"/>
              <w:ind w:firstLine="0" w:firstLineChars="0"/>
              <w:jc w:val="center"/>
              <w:rPr>
                <w:rFonts w:ascii="Arial" w:hAnsi="Arial" w:cs="Arial"/>
                <w:sz w:val="18"/>
                <w:szCs w:val="18"/>
              </w:rPr>
            </w:pPr>
          </w:p>
        </w:tc>
      </w:tr>
    </w:tbl>
    <w:p w14:paraId="4FC30AA8">
      <w:pPr>
        <w:keepNext/>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拟建、在建面源参数表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
        <w:gridCol w:w="1086"/>
        <w:gridCol w:w="615"/>
        <w:gridCol w:w="619"/>
        <w:gridCol w:w="549"/>
        <w:gridCol w:w="685"/>
        <w:gridCol w:w="687"/>
        <w:gridCol w:w="549"/>
        <w:gridCol w:w="880"/>
        <w:gridCol w:w="709"/>
        <w:gridCol w:w="567"/>
        <w:gridCol w:w="865"/>
        <w:gridCol w:w="790"/>
      </w:tblGrid>
      <w:tr w14:paraId="2BBD1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8" w:type="pct"/>
            <w:vMerge w:val="restart"/>
            <w:vAlign w:val="center"/>
          </w:tcPr>
          <w:p w14:paraId="087CA8F3">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项目</w:t>
            </w:r>
          </w:p>
        </w:tc>
        <w:tc>
          <w:tcPr>
            <w:tcW w:w="604" w:type="pct"/>
            <w:vMerge w:val="restart"/>
            <w:vAlign w:val="center"/>
          </w:tcPr>
          <w:p w14:paraId="316A3005">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名称</w:t>
            </w:r>
          </w:p>
        </w:tc>
        <w:tc>
          <w:tcPr>
            <w:tcW w:w="686" w:type="pct"/>
            <w:gridSpan w:val="2"/>
            <w:vAlign w:val="center"/>
          </w:tcPr>
          <w:p w14:paraId="51C0FD11">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中心坐标</w:t>
            </w:r>
          </w:p>
        </w:tc>
        <w:tc>
          <w:tcPr>
            <w:tcW w:w="305" w:type="pct"/>
            <w:vMerge w:val="restart"/>
            <w:vAlign w:val="center"/>
          </w:tcPr>
          <w:p w14:paraId="73B9596D">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面源海拔高度/m</w:t>
            </w:r>
          </w:p>
        </w:tc>
        <w:tc>
          <w:tcPr>
            <w:tcW w:w="381" w:type="pct"/>
            <w:vMerge w:val="restart"/>
            <w:vAlign w:val="center"/>
          </w:tcPr>
          <w:p w14:paraId="28A8AC27">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面源长度/m</w:t>
            </w:r>
          </w:p>
        </w:tc>
        <w:tc>
          <w:tcPr>
            <w:tcW w:w="382" w:type="pct"/>
            <w:vMerge w:val="restart"/>
            <w:vAlign w:val="center"/>
          </w:tcPr>
          <w:p w14:paraId="69E109E4">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面源宽度/m</w:t>
            </w:r>
          </w:p>
        </w:tc>
        <w:tc>
          <w:tcPr>
            <w:tcW w:w="305" w:type="pct"/>
            <w:vMerge w:val="restart"/>
            <w:vAlign w:val="center"/>
          </w:tcPr>
          <w:p w14:paraId="794552BB">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与正北向夹角/°</w:t>
            </w:r>
          </w:p>
        </w:tc>
        <w:tc>
          <w:tcPr>
            <w:tcW w:w="489" w:type="pct"/>
            <w:vMerge w:val="restart"/>
            <w:vAlign w:val="center"/>
          </w:tcPr>
          <w:p w14:paraId="7383C724">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面源有效排放高度/m</w:t>
            </w:r>
          </w:p>
        </w:tc>
        <w:tc>
          <w:tcPr>
            <w:tcW w:w="394" w:type="pct"/>
            <w:vMerge w:val="restart"/>
            <w:vAlign w:val="center"/>
          </w:tcPr>
          <w:p w14:paraId="217BAFFC">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年排放小时数</w:t>
            </w:r>
          </w:p>
        </w:tc>
        <w:tc>
          <w:tcPr>
            <w:tcW w:w="315" w:type="pct"/>
            <w:vMerge w:val="restart"/>
            <w:vAlign w:val="center"/>
          </w:tcPr>
          <w:p w14:paraId="211B0C6C">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排放工况</w:t>
            </w:r>
          </w:p>
        </w:tc>
        <w:tc>
          <w:tcPr>
            <w:tcW w:w="920" w:type="pct"/>
            <w:gridSpan w:val="2"/>
            <w:vAlign w:val="center"/>
          </w:tcPr>
          <w:p w14:paraId="25B855B7">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排放速率（kg/h）</w:t>
            </w:r>
          </w:p>
        </w:tc>
      </w:tr>
      <w:tr w14:paraId="77CC7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8" w:type="pct"/>
            <w:vMerge w:val="continue"/>
            <w:vAlign w:val="center"/>
          </w:tcPr>
          <w:p w14:paraId="10052436">
            <w:pPr>
              <w:topLinePunct/>
              <w:autoSpaceDE w:val="0"/>
              <w:autoSpaceDN w:val="0"/>
              <w:adjustRightInd w:val="0"/>
              <w:snapToGrid w:val="0"/>
              <w:jc w:val="center"/>
              <w:rPr>
                <w:rFonts w:ascii="Arial" w:hAnsi="Arial" w:eastAsia="宋体" w:cs="Arial"/>
                <w:b/>
                <w:sz w:val="18"/>
                <w:szCs w:val="18"/>
              </w:rPr>
            </w:pPr>
          </w:p>
        </w:tc>
        <w:tc>
          <w:tcPr>
            <w:tcW w:w="604" w:type="pct"/>
            <w:vMerge w:val="continue"/>
            <w:vAlign w:val="center"/>
          </w:tcPr>
          <w:p w14:paraId="304AD368">
            <w:pPr>
              <w:topLinePunct/>
              <w:autoSpaceDE w:val="0"/>
              <w:autoSpaceDN w:val="0"/>
              <w:adjustRightInd w:val="0"/>
              <w:snapToGrid w:val="0"/>
              <w:jc w:val="center"/>
              <w:rPr>
                <w:rFonts w:ascii="Arial" w:hAnsi="Arial" w:eastAsia="宋体" w:cs="Arial"/>
                <w:b/>
                <w:sz w:val="18"/>
                <w:szCs w:val="18"/>
              </w:rPr>
            </w:pPr>
          </w:p>
        </w:tc>
        <w:tc>
          <w:tcPr>
            <w:tcW w:w="342" w:type="pct"/>
            <w:vAlign w:val="center"/>
          </w:tcPr>
          <w:p w14:paraId="419D0191">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X</w:t>
            </w:r>
          </w:p>
        </w:tc>
        <w:tc>
          <w:tcPr>
            <w:tcW w:w="344" w:type="pct"/>
            <w:vAlign w:val="center"/>
          </w:tcPr>
          <w:p w14:paraId="3F51E7C6">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Y</w:t>
            </w:r>
          </w:p>
        </w:tc>
        <w:tc>
          <w:tcPr>
            <w:tcW w:w="305" w:type="pct"/>
            <w:vMerge w:val="continue"/>
            <w:vAlign w:val="center"/>
          </w:tcPr>
          <w:p w14:paraId="44357770">
            <w:pPr>
              <w:topLinePunct/>
              <w:autoSpaceDE w:val="0"/>
              <w:autoSpaceDN w:val="0"/>
              <w:adjustRightInd w:val="0"/>
              <w:snapToGrid w:val="0"/>
              <w:jc w:val="center"/>
              <w:rPr>
                <w:rFonts w:ascii="Arial" w:hAnsi="Arial" w:eastAsia="宋体" w:cs="Arial"/>
                <w:b/>
                <w:sz w:val="18"/>
                <w:szCs w:val="18"/>
              </w:rPr>
            </w:pPr>
          </w:p>
        </w:tc>
        <w:tc>
          <w:tcPr>
            <w:tcW w:w="381" w:type="pct"/>
            <w:vMerge w:val="continue"/>
            <w:vAlign w:val="center"/>
          </w:tcPr>
          <w:p w14:paraId="5233DBBA">
            <w:pPr>
              <w:topLinePunct/>
              <w:autoSpaceDE w:val="0"/>
              <w:autoSpaceDN w:val="0"/>
              <w:adjustRightInd w:val="0"/>
              <w:snapToGrid w:val="0"/>
              <w:jc w:val="center"/>
              <w:rPr>
                <w:rFonts w:ascii="Arial" w:hAnsi="Arial" w:eastAsia="宋体" w:cs="Arial"/>
                <w:b/>
                <w:sz w:val="18"/>
                <w:szCs w:val="18"/>
              </w:rPr>
            </w:pPr>
          </w:p>
        </w:tc>
        <w:tc>
          <w:tcPr>
            <w:tcW w:w="382" w:type="pct"/>
            <w:vMerge w:val="continue"/>
            <w:vAlign w:val="center"/>
          </w:tcPr>
          <w:p w14:paraId="2A8158D2">
            <w:pPr>
              <w:topLinePunct/>
              <w:autoSpaceDE w:val="0"/>
              <w:autoSpaceDN w:val="0"/>
              <w:adjustRightInd w:val="0"/>
              <w:snapToGrid w:val="0"/>
              <w:jc w:val="center"/>
              <w:rPr>
                <w:rFonts w:ascii="Arial" w:hAnsi="Arial" w:eastAsia="宋体" w:cs="Arial"/>
                <w:b/>
                <w:sz w:val="18"/>
                <w:szCs w:val="18"/>
              </w:rPr>
            </w:pPr>
          </w:p>
        </w:tc>
        <w:tc>
          <w:tcPr>
            <w:tcW w:w="305" w:type="pct"/>
            <w:vMerge w:val="continue"/>
            <w:vAlign w:val="center"/>
          </w:tcPr>
          <w:p w14:paraId="3F39397F">
            <w:pPr>
              <w:topLinePunct/>
              <w:autoSpaceDE w:val="0"/>
              <w:autoSpaceDN w:val="0"/>
              <w:adjustRightInd w:val="0"/>
              <w:snapToGrid w:val="0"/>
              <w:jc w:val="center"/>
              <w:rPr>
                <w:rFonts w:ascii="Arial" w:hAnsi="Arial" w:eastAsia="宋体" w:cs="Arial"/>
                <w:b/>
                <w:sz w:val="18"/>
                <w:szCs w:val="18"/>
              </w:rPr>
            </w:pPr>
          </w:p>
        </w:tc>
        <w:tc>
          <w:tcPr>
            <w:tcW w:w="489" w:type="pct"/>
            <w:vMerge w:val="continue"/>
            <w:vAlign w:val="center"/>
          </w:tcPr>
          <w:p w14:paraId="115F8260">
            <w:pPr>
              <w:topLinePunct/>
              <w:autoSpaceDE w:val="0"/>
              <w:autoSpaceDN w:val="0"/>
              <w:adjustRightInd w:val="0"/>
              <w:snapToGrid w:val="0"/>
              <w:jc w:val="center"/>
              <w:rPr>
                <w:rFonts w:ascii="Arial" w:hAnsi="Arial" w:eastAsia="宋体" w:cs="Arial"/>
                <w:b/>
                <w:sz w:val="18"/>
                <w:szCs w:val="18"/>
              </w:rPr>
            </w:pPr>
          </w:p>
        </w:tc>
        <w:tc>
          <w:tcPr>
            <w:tcW w:w="394" w:type="pct"/>
            <w:vMerge w:val="continue"/>
            <w:vAlign w:val="center"/>
          </w:tcPr>
          <w:p w14:paraId="18194A0F">
            <w:pPr>
              <w:topLinePunct/>
              <w:autoSpaceDE w:val="0"/>
              <w:autoSpaceDN w:val="0"/>
              <w:adjustRightInd w:val="0"/>
              <w:snapToGrid w:val="0"/>
              <w:jc w:val="center"/>
              <w:rPr>
                <w:rFonts w:ascii="Arial" w:hAnsi="Arial" w:eastAsia="宋体" w:cs="Arial"/>
                <w:b/>
                <w:sz w:val="18"/>
                <w:szCs w:val="18"/>
              </w:rPr>
            </w:pPr>
          </w:p>
        </w:tc>
        <w:tc>
          <w:tcPr>
            <w:tcW w:w="315" w:type="pct"/>
            <w:vMerge w:val="continue"/>
            <w:vAlign w:val="center"/>
          </w:tcPr>
          <w:p w14:paraId="1D3AE93C">
            <w:pPr>
              <w:topLinePunct/>
              <w:autoSpaceDE w:val="0"/>
              <w:autoSpaceDN w:val="0"/>
              <w:adjustRightInd w:val="0"/>
              <w:snapToGrid w:val="0"/>
              <w:jc w:val="center"/>
              <w:rPr>
                <w:rFonts w:ascii="Arial" w:hAnsi="Arial" w:eastAsia="宋体" w:cs="Arial"/>
                <w:b/>
                <w:sz w:val="18"/>
                <w:szCs w:val="18"/>
              </w:rPr>
            </w:pPr>
          </w:p>
        </w:tc>
        <w:tc>
          <w:tcPr>
            <w:tcW w:w="481" w:type="pct"/>
            <w:vAlign w:val="center"/>
          </w:tcPr>
          <w:p w14:paraId="781256B8">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TSP</w:t>
            </w:r>
          </w:p>
        </w:tc>
        <w:tc>
          <w:tcPr>
            <w:tcW w:w="439" w:type="pct"/>
            <w:vAlign w:val="center"/>
          </w:tcPr>
          <w:p w14:paraId="7295CC53">
            <w:pPr>
              <w:topLinePunct/>
              <w:autoSpaceDE w:val="0"/>
              <w:autoSpaceDN w:val="0"/>
              <w:adjustRightInd w:val="0"/>
              <w:snapToGrid w:val="0"/>
              <w:jc w:val="center"/>
              <w:rPr>
                <w:rFonts w:ascii="Arial" w:hAnsi="Arial" w:eastAsia="宋体" w:cs="Arial"/>
                <w:b/>
                <w:sz w:val="18"/>
                <w:szCs w:val="18"/>
              </w:rPr>
            </w:pPr>
            <w:r>
              <w:rPr>
                <w:rFonts w:ascii="Arial" w:hAnsi="Arial" w:eastAsia="宋体" w:cs="Arial"/>
                <w:b/>
                <w:sz w:val="18"/>
                <w:szCs w:val="18"/>
              </w:rPr>
              <w:t>氨</w:t>
            </w:r>
          </w:p>
        </w:tc>
      </w:tr>
      <w:tr w14:paraId="100F1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8" w:type="pct"/>
            <w:vMerge w:val="restart"/>
            <w:shd w:val="clear" w:color="auto" w:fill="auto"/>
            <w:vAlign w:val="center"/>
          </w:tcPr>
          <w:p w14:paraId="796B7C41">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金桂浆</w:t>
            </w:r>
          </w:p>
        </w:tc>
        <w:tc>
          <w:tcPr>
            <w:tcW w:w="604" w:type="pct"/>
            <w:shd w:val="clear" w:color="auto" w:fill="auto"/>
            <w:vAlign w:val="center"/>
          </w:tcPr>
          <w:p w14:paraId="2B8AD402">
            <w:pPr>
              <w:adjustRightInd w:val="0"/>
              <w:snapToGrid w:val="0"/>
              <w:jc w:val="center"/>
              <w:rPr>
                <w:rFonts w:ascii="Arial" w:hAnsi="Arial" w:eastAsia="宋体" w:cs="Arial"/>
                <w:sz w:val="18"/>
                <w:szCs w:val="18"/>
              </w:rPr>
            </w:pPr>
            <w:r>
              <w:rPr>
                <w:rFonts w:ascii="Arial" w:hAnsi="Arial" w:eastAsia="宋体" w:cs="Arial"/>
                <w:sz w:val="18"/>
                <w:szCs w:val="18"/>
              </w:rPr>
              <w:t>污水站</w:t>
            </w:r>
          </w:p>
        </w:tc>
        <w:tc>
          <w:tcPr>
            <w:tcW w:w="342" w:type="pct"/>
            <w:shd w:val="clear" w:color="auto" w:fill="auto"/>
            <w:vAlign w:val="center"/>
          </w:tcPr>
          <w:p w14:paraId="07F41717">
            <w:pPr>
              <w:adjustRightInd w:val="0"/>
              <w:snapToGrid w:val="0"/>
              <w:jc w:val="center"/>
              <w:rPr>
                <w:rFonts w:ascii="Arial" w:hAnsi="Arial" w:eastAsia="宋体" w:cs="Arial"/>
                <w:sz w:val="18"/>
                <w:szCs w:val="18"/>
              </w:rPr>
            </w:pPr>
            <w:r>
              <w:rPr>
                <w:rFonts w:ascii="Arial" w:hAnsi="Arial" w:eastAsia="宋体" w:cs="Arial"/>
                <w:sz w:val="18"/>
                <w:szCs w:val="18"/>
              </w:rPr>
              <w:t>1891</w:t>
            </w:r>
          </w:p>
        </w:tc>
        <w:tc>
          <w:tcPr>
            <w:tcW w:w="344" w:type="pct"/>
            <w:shd w:val="clear" w:color="auto" w:fill="auto"/>
            <w:vAlign w:val="center"/>
          </w:tcPr>
          <w:p w14:paraId="3A266FF9">
            <w:pPr>
              <w:adjustRightInd w:val="0"/>
              <w:snapToGrid w:val="0"/>
              <w:jc w:val="center"/>
              <w:rPr>
                <w:rFonts w:ascii="Arial" w:hAnsi="Arial" w:eastAsia="宋体" w:cs="Arial"/>
                <w:sz w:val="18"/>
                <w:szCs w:val="18"/>
              </w:rPr>
            </w:pPr>
            <w:r>
              <w:rPr>
                <w:rFonts w:ascii="Arial" w:hAnsi="Arial" w:eastAsia="宋体" w:cs="Arial"/>
                <w:sz w:val="18"/>
                <w:szCs w:val="18"/>
              </w:rPr>
              <w:t>1133</w:t>
            </w:r>
          </w:p>
        </w:tc>
        <w:tc>
          <w:tcPr>
            <w:tcW w:w="305" w:type="pct"/>
            <w:shd w:val="clear" w:color="auto" w:fill="auto"/>
            <w:vAlign w:val="center"/>
          </w:tcPr>
          <w:p w14:paraId="6FA27A25">
            <w:pPr>
              <w:adjustRightInd w:val="0"/>
              <w:snapToGrid w:val="0"/>
              <w:jc w:val="center"/>
              <w:rPr>
                <w:rFonts w:ascii="Arial" w:hAnsi="Arial" w:eastAsia="宋体" w:cs="Arial"/>
                <w:sz w:val="18"/>
                <w:szCs w:val="18"/>
              </w:rPr>
            </w:pPr>
            <w:r>
              <w:rPr>
                <w:rFonts w:ascii="Arial" w:hAnsi="Arial" w:eastAsia="宋体" w:cs="Arial"/>
                <w:sz w:val="18"/>
                <w:szCs w:val="18"/>
              </w:rPr>
              <w:t>10</w:t>
            </w:r>
          </w:p>
        </w:tc>
        <w:tc>
          <w:tcPr>
            <w:tcW w:w="381" w:type="pct"/>
            <w:shd w:val="clear" w:color="auto" w:fill="auto"/>
            <w:vAlign w:val="center"/>
          </w:tcPr>
          <w:p w14:paraId="4734E3B6">
            <w:pPr>
              <w:adjustRightInd w:val="0"/>
              <w:snapToGrid w:val="0"/>
              <w:jc w:val="center"/>
              <w:rPr>
                <w:rFonts w:ascii="Arial" w:hAnsi="Arial" w:eastAsia="宋体" w:cs="Arial"/>
                <w:sz w:val="18"/>
                <w:szCs w:val="18"/>
              </w:rPr>
            </w:pPr>
            <w:r>
              <w:rPr>
                <w:rFonts w:ascii="Arial" w:hAnsi="Arial" w:eastAsia="宋体" w:cs="Arial"/>
                <w:sz w:val="18"/>
                <w:szCs w:val="18"/>
              </w:rPr>
              <w:t>460</w:t>
            </w:r>
          </w:p>
        </w:tc>
        <w:tc>
          <w:tcPr>
            <w:tcW w:w="382" w:type="pct"/>
            <w:shd w:val="clear" w:color="auto" w:fill="auto"/>
            <w:vAlign w:val="center"/>
          </w:tcPr>
          <w:p w14:paraId="5310AA23">
            <w:pPr>
              <w:adjustRightInd w:val="0"/>
              <w:snapToGrid w:val="0"/>
              <w:jc w:val="center"/>
              <w:rPr>
                <w:rFonts w:ascii="Arial" w:hAnsi="Arial" w:eastAsia="宋体" w:cs="Arial"/>
                <w:sz w:val="18"/>
                <w:szCs w:val="18"/>
              </w:rPr>
            </w:pPr>
            <w:r>
              <w:rPr>
                <w:rFonts w:ascii="Arial" w:hAnsi="Arial" w:eastAsia="宋体" w:cs="Arial"/>
                <w:sz w:val="18"/>
                <w:szCs w:val="18"/>
              </w:rPr>
              <w:t>260</w:t>
            </w:r>
          </w:p>
        </w:tc>
        <w:tc>
          <w:tcPr>
            <w:tcW w:w="305" w:type="pct"/>
            <w:shd w:val="clear" w:color="auto" w:fill="auto"/>
            <w:vAlign w:val="center"/>
          </w:tcPr>
          <w:p w14:paraId="415BE592">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489" w:type="pct"/>
            <w:shd w:val="clear" w:color="auto" w:fill="auto"/>
            <w:vAlign w:val="center"/>
          </w:tcPr>
          <w:p w14:paraId="7D82D83E">
            <w:pPr>
              <w:adjustRightInd w:val="0"/>
              <w:snapToGrid w:val="0"/>
              <w:jc w:val="center"/>
              <w:rPr>
                <w:rFonts w:ascii="Arial" w:hAnsi="Arial" w:eastAsia="宋体" w:cs="Arial"/>
                <w:sz w:val="18"/>
                <w:szCs w:val="18"/>
              </w:rPr>
            </w:pPr>
            <w:r>
              <w:rPr>
                <w:rFonts w:ascii="Arial" w:hAnsi="Arial" w:eastAsia="宋体" w:cs="Arial"/>
                <w:sz w:val="18"/>
                <w:szCs w:val="18"/>
              </w:rPr>
              <w:t>10</w:t>
            </w:r>
          </w:p>
        </w:tc>
        <w:tc>
          <w:tcPr>
            <w:tcW w:w="394" w:type="pct"/>
            <w:vAlign w:val="center"/>
          </w:tcPr>
          <w:p w14:paraId="1FAECA4C">
            <w:pPr>
              <w:adjustRightInd w:val="0"/>
              <w:snapToGrid w:val="0"/>
              <w:jc w:val="center"/>
              <w:rPr>
                <w:rFonts w:ascii="Arial" w:hAnsi="Arial" w:eastAsia="宋体" w:cs="Arial"/>
                <w:sz w:val="18"/>
                <w:szCs w:val="18"/>
              </w:rPr>
            </w:pPr>
            <w:r>
              <w:rPr>
                <w:rFonts w:ascii="Arial" w:hAnsi="Arial" w:eastAsia="宋体" w:cs="Arial"/>
                <w:sz w:val="18"/>
                <w:szCs w:val="18"/>
              </w:rPr>
              <w:t>8760</w:t>
            </w:r>
          </w:p>
        </w:tc>
        <w:tc>
          <w:tcPr>
            <w:tcW w:w="315" w:type="pct"/>
            <w:vAlign w:val="center"/>
          </w:tcPr>
          <w:p w14:paraId="0F937E2F">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481" w:type="pct"/>
            <w:vAlign w:val="center"/>
          </w:tcPr>
          <w:p w14:paraId="285C89DF">
            <w:pPr>
              <w:topLinePunct/>
              <w:autoSpaceDE w:val="0"/>
              <w:autoSpaceDN w:val="0"/>
              <w:adjustRightInd w:val="0"/>
              <w:snapToGrid w:val="0"/>
              <w:jc w:val="center"/>
              <w:rPr>
                <w:rFonts w:ascii="Arial" w:hAnsi="Arial" w:eastAsia="宋体" w:cs="Arial"/>
                <w:sz w:val="18"/>
                <w:szCs w:val="18"/>
              </w:rPr>
            </w:pPr>
          </w:p>
        </w:tc>
        <w:tc>
          <w:tcPr>
            <w:tcW w:w="439" w:type="pct"/>
            <w:vAlign w:val="center"/>
          </w:tcPr>
          <w:p w14:paraId="0121FDB7">
            <w:pPr>
              <w:adjustRightInd w:val="0"/>
              <w:snapToGrid w:val="0"/>
              <w:jc w:val="center"/>
              <w:rPr>
                <w:rFonts w:ascii="Arial" w:hAnsi="Arial" w:eastAsia="宋体" w:cs="Arial"/>
                <w:sz w:val="18"/>
                <w:szCs w:val="18"/>
              </w:rPr>
            </w:pPr>
            <w:r>
              <w:rPr>
                <w:rFonts w:hint="eastAsia" w:ascii="Arial" w:hAnsi="Arial" w:eastAsia="宋体" w:cs="Arial"/>
                <w:sz w:val="18"/>
                <w:szCs w:val="18"/>
              </w:rPr>
              <w:t>0.1617</w:t>
            </w:r>
          </w:p>
        </w:tc>
      </w:tr>
      <w:tr w14:paraId="7EF03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8" w:type="pct"/>
            <w:vMerge w:val="continue"/>
            <w:shd w:val="clear" w:color="auto" w:fill="auto"/>
            <w:vAlign w:val="center"/>
          </w:tcPr>
          <w:p w14:paraId="2DEB38C1">
            <w:pPr>
              <w:topLinePunct/>
              <w:autoSpaceDE w:val="0"/>
              <w:autoSpaceDN w:val="0"/>
              <w:adjustRightInd w:val="0"/>
              <w:snapToGrid w:val="0"/>
              <w:jc w:val="center"/>
              <w:rPr>
                <w:rFonts w:ascii="Arial" w:hAnsi="Arial" w:eastAsia="宋体" w:cs="Arial"/>
                <w:sz w:val="18"/>
                <w:szCs w:val="18"/>
              </w:rPr>
            </w:pPr>
          </w:p>
        </w:tc>
        <w:tc>
          <w:tcPr>
            <w:tcW w:w="604" w:type="pct"/>
            <w:shd w:val="clear" w:color="auto" w:fill="auto"/>
            <w:vAlign w:val="center"/>
          </w:tcPr>
          <w:p w14:paraId="33ED0783">
            <w:pPr>
              <w:adjustRightInd w:val="0"/>
              <w:snapToGrid w:val="0"/>
              <w:jc w:val="center"/>
              <w:rPr>
                <w:rFonts w:ascii="Arial" w:hAnsi="Arial" w:eastAsia="宋体" w:cs="Arial"/>
                <w:sz w:val="18"/>
                <w:szCs w:val="18"/>
              </w:rPr>
            </w:pPr>
            <w:r>
              <w:rPr>
                <w:rFonts w:ascii="Arial" w:hAnsi="Arial" w:eastAsia="宋体" w:cs="Arial"/>
                <w:sz w:val="18"/>
                <w:szCs w:val="18"/>
              </w:rPr>
              <w:t>原木堆场</w:t>
            </w:r>
          </w:p>
          <w:p w14:paraId="2746020C">
            <w:pPr>
              <w:adjustRightInd w:val="0"/>
              <w:snapToGrid w:val="0"/>
              <w:jc w:val="center"/>
              <w:rPr>
                <w:rFonts w:ascii="Arial" w:hAnsi="Arial" w:eastAsia="宋体" w:cs="Arial"/>
                <w:sz w:val="18"/>
                <w:szCs w:val="18"/>
              </w:rPr>
            </w:pPr>
            <w:r>
              <w:rPr>
                <w:rFonts w:ascii="Arial" w:hAnsi="Arial" w:eastAsia="宋体" w:cs="Arial"/>
                <w:sz w:val="18"/>
                <w:szCs w:val="18"/>
              </w:rPr>
              <w:t>及备料车间</w:t>
            </w:r>
          </w:p>
        </w:tc>
        <w:tc>
          <w:tcPr>
            <w:tcW w:w="342" w:type="pct"/>
            <w:shd w:val="clear" w:color="auto" w:fill="auto"/>
            <w:vAlign w:val="center"/>
          </w:tcPr>
          <w:p w14:paraId="43C95333">
            <w:pPr>
              <w:adjustRightInd w:val="0"/>
              <w:snapToGrid w:val="0"/>
              <w:jc w:val="center"/>
              <w:rPr>
                <w:rFonts w:ascii="Arial" w:hAnsi="Arial" w:eastAsia="宋体" w:cs="Arial"/>
                <w:sz w:val="18"/>
                <w:szCs w:val="18"/>
              </w:rPr>
            </w:pPr>
            <w:r>
              <w:rPr>
                <w:rFonts w:ascii="Arial" w:hAnsi="Arial" w:eastAsia="宋体" w:cs="Arial"/>
                <w:sz w:val="18"/>
                <w:szCs w:val="18"/>
              </w:rPr>
              <w:t>1968</w:t>
            </w:r>
          </w:p>
        </w:tc>
        <w:tc>
          <w:tcPr>
            <w:tcW w:w="344" w:type="pct"/>
            <w:shd w:val="clear" w:color="auto" w:fill="auto"/>
            <w:vAlign w:val="center"/>
          </w:tcPr>
          <w:p w14:paraId="1D899CA4">
            <w:pPr>
              <w:adjustRightInd w:val="0"/>
              <w:snapToGrid w:val="0"/>
              <w:jc w:val="center"/>
              <w:rPr>
                <w:rFonts w:ascii="Arial" w:hAnsi="Arial" w:eastAsia="宋体" w:cs="Arial"/>
                <w:sz w:val="18"/>
                <w:szCs w:val="18"/>
              </w:rPr>
            </w:pPr>
            <w:r>
              <w:rPr>
                <w:rFonts w:ascii="Arial" w:hAnsi="Arial" w:eastAsia="宋体" w:cs="Arial"/>
                <w:sz w:val="18"/>
                <w:szCs w:val="18"/>
              </w:rPr>
              <w:t>1502</w:t>
            </w:r>
          </w:p>
        </w:tc>
        <w:tc>
          <w:tcPr>
            <w:tcW w:w="305" w:type="pct"/>
            <w:shd w:val="clear" w:color="auto" w:fill="auto"/>
            <w:vAlign w:val="center"/>
          </w:tcPr>
          <w:p w14:paraId="434AF7ED">
            <w:pPr>
              <w:adjustRightInd w:val="0"/>
              <w:snapToGrid w:val="0"/>
              <w:jc w:val="center"/>
              <w:rPr>
                <w:rFonts w:ascii="Arial" w:hAnsi="Arial" w:eastAsia="宋体" w:cs="Arial"/>
                <w:sz w:val="18"/>
                <w:szCs w:val="18"/>
              </w:rPr>
            </w:pPr>
            <w:r>
              <w:rPr>
                <w:rFonts w:ascii="Arial" w:hAnsi="Arial" w:eastAsia="宋体" w:cs="Arial"/>
                <w:sz w:val="18"/>
                <w:szCs w:val="18"/>
              </w:rPr>
              <w:t>15</w:t>
            </w:r>
          </w:p>
        </w:tc>
        <w:tc>
          <w:tcPr>
            <w:tcW w:w="381" w:type="pct"/>
            <w:shd w:val="clear" w:color="auto" w:fill="auto"/>
            <w:vAlign w:val="center"/>
          </w:tcPr>
          <w:p w14:paraId="2E16095A">
            <w:pPr>
              <w:adjustRightInd w:val="0"/>
              <w:snapToGrid w:val="0"/>
              <w:jc w:val="center"/>
              <w:rPr>
                <w:rFonts w:ascii="Arial" w:hAnsi="Arial" w:eastAsia="宋体" w:cs="Arial"/>
                <w:sz w:val="18"/>
                <w:szCs w:val="18"/>
              </w:rPr>
            </w:pPr>
            <w:r>
              <w:rPr>
                <w:rFonts w:ascii="Arial" w:hAnsi="Arial" w:eastAsia="宋体" w:cs="Arial"/>
                <w:sz w:val="18"/>
                <w:szCs w:val="18"/>
              </w:rPr>
              <w:t>458</w:t>
            </w:r>
          </w:p>
        </w:tc>
        <w:tc>
          <w:tcPr>
            <w:tcW w:w="382" w:type="pct"/>
            <w:shd w:val="clear" w:color="auto" w:fill="auto"/>
            <w:vAlign w:val="center"/>
          </w:tcPr>
          <w:p w14:paraId="1E719BC3">
            <w:pPr>
              <w:adjustRightInd w:val="0"/>
              <w:snapToGrid w:val="0"/>
              <w:jc w:val="center"/>
              <w:rPr>
                <w:rFonts w:ascii="Arial" w:hAnsi="Arial" w:eastAsia="宋体" w:cs="Arial"/>
                <w:sz w:val="18"/>
                <w:szCs w:val="18"/>
              </w:rPr>
            </w:pPr>
            <w:r>
              <w:rPr>
                <w:rFonts w:ascii="Arial" w:hAnsi="Arial" w:eastAsia="宋体" w:cs="Arial"/>
                <w:sz w:val="18"/>
                <w:szCs w:val="18"/>
              </w:rPr>
              <w:t>210</w:t>
            </w:r>
          </w:p>
        </w:tc>
        <w:tc>
          <w:tcPr>
            <w:tcW w:w="305" w:type="pct"/>
            <w:shd w:val="clear" w:color="auto" w:fill="auto"/>
            <w:vAlign w:val="center"/>
          </w:tcPr>
          <w:p w14:paraId="0771480F">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489" w:type="pct"/>
            <w:shd w:val="clear" w:color="auto" w:fill="auto"/>
            <w:vAlign w:val="center"/>
          </w:tcPr>
          <w:p w14:paraId="1FE60E1D">
            <w:pPr>
              <w:adjustRightInd w:val="0"/>
              <w:snapToGrid w:val="0"/>
              <w:jc w:val="center"/>
              <w:rPr>
                <w:rFonts w:ascii="Arial" w:hAnsi="Arial" w:eastAsia="宋体" w:cs="Arial"/>
                <w:sz w:val="18"/>
                <w:szCs w:val="18"/>
              </w:rPr>
            </w:pPr>
            <w:r>
              <w:rPr>
                <w:rFonts w:ascii="Arial" w:hAnsi="Arial" w:eastAsia="宋体" w:cs="Arial"/>
                <w:sz w:val="18"/>
                <w:szCs w:val="18"/>
              </w:rPr>
              <w:t>3</w:t>
            </w:r>
          </w:p>
        </w:tc>
        <w:tc>
          <w:tcPr>
            <w:tcW w:w="394" w:type="pct"/>
            <w:vAlign w:val="center"/>
          </w:tcPr>
          <w:p w14:paraId="57B83DE2">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315" w:type="pct"/>
            <w:vAlign w:val="center"/>
          </w:tcPr>
          <w:p w14:paraId="522AEEA7">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481" w:type="pct"/>
            <w:vAlign w:val="center"/>
          </w:tcPr>
          <w:p w14:paraId="5412578E">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0.04</w:t>
            </w:r>
          </w:p>
        </w:tc>
        <w:tc>
          <w:tcPr>
            <w:tcW w:w="439" w:type="pct"/>
            <w:vAlign w:val="center"/>
          </w:tcPr>
          <w:p w14:paraId="5EB5C916">
            <w:pPr>
              <w:adjustRightInd w:val="0"/>
              <w:snapToGrid w:val="0"/>
              <w:jc w:val="center"/>
              <w:rPr>
                <w:rFonts w:ascii="Arial" w:hAnsi="Arial" w:eastAsia="宋体" w:cs="Arial"/>
                <w:sz w:val="18"/>
                <w:szCs w:val="18"/>
              </w:rPr>
            </w:pPr>
          </w:p>
        </w:tc>
      </w:tr>
      <w:tr w14:paraId="15AB3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8" w:type="pct"/>
            <w:vMerge w:val="restart"/>
            <w:shd w:val="clear" w:color="auto" w:fill="auto"/>
            <w:vAlign w:val="center"/>
          </w:tcPr>
          <w:p w14:paraId="6170DEFA">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格派一期</w:t>
            </w:r>
          </w:p>
        </w:tc>
        <w:tc>
          <w:tcPr>
            <w:tcW w:w="604" w:type="pct"/>
            <w:shd w:val="clear" w:color="auto" w:fill="auto"/>
            <w:vAlign w:val="center"/>
          </w:tcPr>
          <w:p w14:paraId="42270426">
            <w:pPr>
              <w:adjustRightInd w:val="0"/>
              <w:snapToGrid w:val="0"/>
              <w:jc w:val="center"/>
              <w:rPr>
                <w:rFonts w:ascii="Arial" w:hAnsi="Arial" w:eastAsia="宋体" w:cs="Arial"/>
                <w:sz w:val="18"/>
                <w:szCs w:val="18"/>
              </w:rPr>
            </w:pPr>
            <w:r>
              <w:rPr>
                <w:rFonts w:ascii="Arial" w:hAnsi="Arial" w:eastAsia="宋体" w:cs="Arial"/>
                <w:sz w:val="18"/>
                <w:szCs w:val="18"/>
              </w:rPr>
              <w:t>卸料站</w:t>
            </w:r>
          </w:p>
        </w:tc>
        <w:tc>
          <w:tcPr>
            <w:tcW w:w="342" w:type="pct"/>
            <w:shd w:val="clear" w:color="auto" w:fill="auto"/>
            <w:vAlign w:val="center"/>
          </w:tcPr>
          <w:p w14:paraId="6DD6EBC9">
            <w:pPr>
              <w:adjustRightInd w:val="0"/>
              <w:snapToGrid w:val="0"/>
              <w:jc w:val="center"/>
              <w:rPr>
                <w:rFonts w:ascii="Arial" w:hAnsi="Arial" w:eastAsia="宋体" w:cs="Arial"/>
                <w:sz w:val="18"/>
                <w:szCs w:val="18"/>
              </w:rPr>
            </w:pPr>
            <w:r>
              <w:rPr>
                <w:rFonts w:ascii="Arial" w:hAnsi="Arial" w:cs="Arial"/>
                <w:sz w:val="18"/>
                <w:szCs w:val="18"/>
              </w:rPr>
              <w:t>2883</w:t>
            </w:r>
          </w:p>
        </w:tc>
        <w:tc>
          <w:tcPr>
            <w:tcW w:w="344" w:type="pct"/>
            <w:shd w:val="clear" w:color="auto" w:fill="auto"/>
            <w:vAlign w:val="center"/>
          </w:tcPr>
          <w:p w14:paraId="692070E2">
            <w:pPr>
              <w:adjustRightInd w:val="0"/>
              <w:snapToGrid w:val="0"/>
              <w:jc w:val="center"/>
              <w:rPr>
                <w:rFonts w:ascii="Arial" w:hAnsi="Arial" w:eastAsia="宋体" w:cs="Arial"/>
                <w:sz w:val="18"/>
                <w:szCs w:val="18"/>
              </w:rPr>
            </w:pPr>
            <w:r>
              <w:rPr>
                <w:rFonts w:ascii="Arial" w:hAnsi="Arial" w:cs="Arial"/>
                <w:sz w:val="18"/>
                <w:szCs w:val="18"/>
              </w:rPr>
              <w:t>1367</w:t>
            </w:r>
          </w:p>
        </w:tc>
        <w:tc>
          <w:tcPr>
            <w:tcW w:w="305" w:type="pct"/>
            <w:shd w:val="clear" w:color="auto" w:fill="auto"/>
            <w:vAlign w:val="center"/>
          </w:tcPr>
          <w:p w14:paraId="1C97797A">
            <w:pPr>
              <w:adjustRightInd w:val="0"/>
              <w:snapToGrid w:val="0"/>
              <w:jc w:val="center"/>
              <w:rPr>
                <w:rFonts w:ascii="Arial" w:hAnsi="Arial" w:eastAsia="宋体" w:cs="Arial"/>
                <w:sz w:val="18"/>
                <w:szCs w:val="18"/>
              </w:rPr>
            </w:pPr>
            <w:r>
              <w:rPr>
                <w:rFonts w:ascii="Arial" w:hAnsi="Arial" w:eastAsia="宋体" w:cs="Arial"/>
                <w:sz w:val="18"/>
                <w:szCs w:val="18"/>
              </w:rPr>
              <w:t>20</w:t>
            </w:r>
          </w:p>
        </w:tc>
        <w:tc>
          <w:tcPr>
            <w:tcW w:w="381" w:type="pct"/>
            <w:shd w:val="clear" w:color="auto" w:fill="auto"/>
            <w:vAlign w:val="center"/>
          </w:tcPr>
          <w:p w14:paraId="7A1BFBF5">
            <w:pPr>
              <w:adjustRightInd w:val="0"/>
              <w:snapToGrid w:val="0"/>
              <w:jc w:val="center"/>
              <w:rPr>
                <w:rFonts w:ascii="Arial" w:hAnsi="Arial" w:eastAsia="宋体" w:cs="Arial"/>
                <w:sz w:val="18"/>
                <w:szCs w:val="18"/>
              </w:rPr>
            </w:pPr>
            <w:r>
              <w:rPr>
                <w:rFonts w:ascii="Arial" w:hAnsi="Arial" w:eastAsia="宋体" w:cs="Arial"/>
                <w:sz w:val="18"/>
                <w:szCs w:val="18"/>
              </w:rPr>
              <w:t>120</w:t>
            </w:r>
          </w:p>
        </w:tc>
        <w:tc>
          <w:tcPr>
            <w:tcW w:w="382" w:type="pct"/>
            <w:shd w:val="clear" w:color="auto" w:fill="auto"/>
            <w:vAlign w:val="center"/>
          </w:tcPr>
          <w:p w14:paraId="1E9DE084">
            <w:pPr>
              <w:adjustRightInd w:val="0"/>
              <w:snapToGrid w:val="0"/>
              <w:jc w:val="center"/>
              <w:rPr>
                <w:rFonts w:ascii="Arial" w:hAnsi="Arial" w:eastAsia="宋体" w:cs="Arial"/>
                <w:sz w:val="18"/>
                <w:szCs w:val="18"/>
              </w:rPr>
            </w:pPr>
            <w:r>
              <w:rPr>
                <w:rFonts w:ascii="Arial" w:hAnsi="Arial" w:eastAsia="宋体" w:cs="Arial"/>
                <w:sz w:val="18"/>
                <w:szCs w:val="18"/>
              </w:rPr>
              <w:t>33</w:t>
            </w:r>
          </w:p>
        </w:tc>
        <w:tc>
          <w:tcPr>
            <w:tcW w:w="305" w:type="pct"/>
            <w:shd w:val="clear" w:color="auto" w:fill="auto"/>
            <w:vAlign w:val="center"/>
          </w:tcPr>
          <w:p w14:paraId="29BADAD5">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489" w:type="pct"/>
            <w:shd w:val="clear" w:color="auto" w:fill="auto"/>
            <w:vAlign w:val="center"/>
          </w:tcPr>
          <w:p w14:paraId="0069DDAC">
            <w:pPr>
              <w:adjustRightInd w:val="0"/>
              <w:snapToGrid w:val="0"/>
              <w:jc w:val="center"/>
              <w:rPr>
                <w:rFonts w:ascii="Arial" w:hAnsi="Arial" w:eastAsia="宋体" w:cs="Arial"/>
                <w:sz w:val="18"/>
                <w:szCs w:val="18"/>
              </w:rPr>
            </w:pPr>
            <w:r>
              <w:rPr>
                <w:rFonts w:ascii="Arial" w:hAnsi="Arial" w:eastAsia="宋体" w:cs="Arial"/>
                <w:sz w:val="18"/>
                <w:szCs w:val="18"/>
              </w:rPr>
              <w:t>8.5</w:t>
            </w:r>
          </w:p>
        </w:tc>
        <w:tc>
          <w:tcPr>
            <w:tcW w:w="394" w:type="pct"/>
            <w:vAlign w:val="center"/>
          </w:tcPr>
          <w:p w14:paraId="7869BD1D">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315" w:type="pct"/>
            <w:vAlign w:val="center"/>
          </w:tcPr>
          <w:p w14:paraId="0B88F322">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481" w:type="pct"/>
            <w:vAlign w:val="center"/>
          </w:tcPr>
          <w:p w14:paraId="1FE408F0">
            <w:pPr>
              <w:adjustRightInd w:val="0"/>
              <w:snapToGrid w:val="0"/>
              <w:jc w:val="center"/>
              <w:rPr>
                <w:rFonts w:ascii="Arial" w:hAnsi="Arial" w:eastAsia="宋体" w:cs="Arial"/>
                <w:sz w:val="18"/>
                <w:szCs w:val="18"/>
              </w:rPr>
            </w:pPr>
            <w:r>
              <w:rPr>
                <w:rFonts w:ascii="Arial" w:hAnsi="Arial" w:eastAsia="宋体" w:cs="Arial"/>
                <w:sz w:val="18"/>
                <w:szCs w:val="18"/>
              </w:rPr>
              <w:t>0.29953</w:t>
            </w:r>
          </w:p>
        </w:tc>
        <w:tc>
          <w:tcPr>
            <w:tcW w:w="439" w:type="pct"/>
            <w:vAlign w:val="center"/>
          </w:tcPr>
          <w:p w14:paraId="0A37B1C3">
            <w:pPr>
              <w:adjustRightInd w:val="0"/>
              <w:snapToGrid w:val="0"/>
              <w:jc w:val="center"/>
              <w:rPr>
                <w:rFonts w:ascii="Arial" w:hAnsi="Arial" w:eastAsia="宋体" w:cs="Arial"/>
                <w:sz w:val="18"/>
                <w:szCs w:val="18"/>
              </w:rPr>
            </w:pPr>
          </w:p>
        </w:tc>
      </w:tr>
      <w:tr w14:paraId="3AE16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8" w:type="pct"/>
            <w:vMerge w:val="continue"/>
            <w:shd w:val="clear" w:color="auto" w:fill="auto"/>
            <w:vAlign w:val="center"/>
          </w:tcPr>
          <w:p w14:paraId="65B9DEF9">
            <w:pPr>
              <w:topLinePunct/>
              <w:autoSpaceDE w:val="0"/>
              <w:autoSpaceDN w:val="0"/>
              <w:adjustRightInd w:val="0"/>
              <w:snapToGrid w:val="0"/>
              <w:jc w:val="center"/>
              <w:rPr>
                <w:rFonts w:ascii="Arial" w:hAnsi="Arial" w:eastAsia="宋体" w:cs="Arial"/>
                <w:sz w:val="18"/>
                <w:szCs w:val="18"/>
              </w:rPr>
            </w:pPr>
          </w:p>
        </w:tc>
        <w:tc>
          <w:tcPr>
            <w:tcW w:w="604" w:type="pct"/>
            <w:shd w:val="clear" w:color="auto" w:fill="auto"/>
            <w:vAlign w:val="center"/>
          </w:tcPr>
          <w:p w14:paraId="26ABED12">
            <w:pPr>
              <w:adjustRightInd w:val="0"/>
              <w:snapToGrid w:val="0"/>
              <w:jc w:val="center"/>
              <w:rPr>
                <w:rFonts w:ascii="Arial" w:hAnsi="Arial" w:eastAsia="宋体" w:cs="Arial"/>
                <w:sz w:val="18"/>
                <w:szCs w:val="18"/>
              </w:rPr>
            </w:pPr>
            <w:r>
              <w:rPr>
                <w:rFonts w:ascii="Arial" w:hAnsi="Arial" w:eastAsia="宋体" w:cs="Arial"/>
                <w:sz w:val="18"/>
                <w:szCs w:val="18"/>
              </w:rPr>
              <w:t>原料仓及配料车间</w:t>
            </w:r>
          </w:p>
        </w:tc>
        <w:tc>
          <w:tcPr>
            <w:tcW w:w="342" w:type="pct"/>
            <w:shd w:val="clear" w:color="auto" w:fill="auto"/>
            <w:vAlign w:val="center"/>
          </w:tcPr>
          <w:p w14:paraId="2CB2939F">
            <w:pPr>
              <w:adjustRightInd w:val="0"/>
              <w:snapToGrid w:val="0"/>
              <w:jc w:val="center"/>
              <w:rPr>
                <w:rFonts w:ascii="Arial" w:hAnsi="Arial" w:eastAsia="宋体" w:cs="Arial"/>
                <w:sz w:val="18"/>
                <w:szCs w:val="18"/>
              </w:rPr>
            </w:pPr>
            <w:r>
              <w:rPr>
                <w:rFonts w:ascii="Arial" w:hAnsi="Arial" w:cs="Arial"/>
                <w:sz w:val="18"/>
                <w:szCs w:val="18"/>
              </w:rPr>
              <w:t>3068</w:t>
            </w:r>
          </w:p>
        </w:tc>
        <w:tc>
          <w:tcPr>
            <w:tcW w:w="344" w:type="pct"/>
            <w:shd w:val="clear" w:color="auto" w:fill="auto"/>
            <w:vAlign w:val="center"/>
          </w:tcPr>
          <w:p w14:paraId="59D60A8F">
            <w:pPr>
              <w:adjustRightInd w:val="0"/>
              <w:snapToGrid w:val="0"/>
              <w:jc w:val="center"/>
              <w:rPr>
                <w:rFonts w:ascii="Arial" w:hAnsi="Arial" w:eastAsia="宋体" w:cs="Arial"/>
                <w:sz w:val="18"/>
                <w:szCs w:val="18"/>
              </w:rPr>
            </w:pPr>
            <w:r>
              <w:rPr>
                <w:rFonts w:ascii="Arial" w:hAnsi="Arial" w:cs="Arial"/>
                <w:sz w:val="18"/>
                <w:szCs w:val="18"/>
              </w:rPr>
              <w:t>1367</w:t>
            </w:r>
          </w:p>
        </w:tc>
        <w:tc>
          <w:tcPr>
            <w:tcW w:w="305" w:type="pct"/>
            <w:shd w:val="clear" w:color="auto" w:fill="auto"/>
            <w:vAlign w:val="center"/>
          </w:tcPr>
          <w:p w14:paraId="035FFAF3">
            <w:pPr>
              <w:adjustRightInd w:val="0"/>
              <w:snapToGrid w:val="0"/>
              <w:jc w:val="center"/>
              <w:rPr>
                <w:rFonts w:ascii="Arial" w:hAnsi="Arial" w:eastAsia="宋体" w:cs="Arial"/>
                <w:sz w:val="18"/>
                <w:szCs w:val="18"/>
              </w:rPr>
            </w:pPr>
            <w:r>
              <w:rPr>
                <w:rFonts w:ascii="Arial" w:hAnsi="Arial" w:eastAsia="宋体" w:cs="Arial"/>
                <w:sz w:val="18"/>
                <w:szCs w:val="18"/>
              </w:rPr>
              <w:t>17</w:t>
            </w:r>
          </w:p>
        </w:tc>
        <w:tc>
          <w:tcPr>
            <w:tcW w:w="381" w:type="pct"/>
            <w:shd w:val="clear" w:color="auto" w:fill="auto"/>
            <w:vAlign w:val="center"/>
          </w:tcPr>
          <w:p w14:paraId="142AFE71">
            <w:pPr>
              <w:adjustRightInd w:val="0"/>
              <w:snapToGrid w:val="0"/>
              <w:jc w:val="center"/>
              <w:rPr>
                <w:rFonts w:ascii="Arial" w:hAnsi="Arial" w:eastAsia="宋体" w:cs="Arial"/>
                <w:sz w:val="18"/>
                <w:szCs w:val="18"/>
              </w:rPr>
            </w:pPr>
            <w:r>
              <w:rPr>
                <w:rFonts w:ascii="Arial" w:hAnsi="Arial" w:eastAsia="宋体" w:cs="Arial"/>
                <w:sz w:val="18"/>
                <w:szCs w:val="18"/>
              </w:rPr>
              <w:t>246</w:t>
            </w:r>
          </w:p>
        </w:tc>
        <w:tc>
          <w:tcPr>
            <w:tcW w:w="382" w:type="pct"/>
            <w:shd w:val="clear" w:color="auto" w:fill="auto"/>
            <w:vAlign w:val="center"/>
          </w:tcPr>
          <w:p w14:paraId="506FF770">
            <w:pPr>
              <w:adjustRightInd w:val="0"/>
              <w:snapToGrid w:val="0"/>
              <w:jc w:val="center"/>
              <w:rPr>
                <w:rFonts w:ascii="Arial" w:hAnsi="Arial" w:eastAsia="宋体" w:cs="Arial"/>
                <w:sz w:val="18"/>
                <w:szCs w:val="18"/>
              </w:rPr>
            </w:pPr>
            <w:r>
              <w:rPr>
                <w:rFonts w:ascii="Arial" w:hAnsi="Arial" w:eastAsia="宋体" w:cs="Arial"/>
                <w:sz w:val="18"/>
                <w:szCs w:val="18"/>
              </w:rPr>
              <w:t>33</w:t>
            </w:r>
          </w:p>
        </w:tc>
        <w:tc>
          <w:tcPr>
            <w:tcW w:w="305" w:type="pct"/>
            <w:shd w:val="clear" w:color="auto" w:fill="auto"/>
            <w:vAlign w:val="center"/>
          </w:tcPr>
          <w:p w14:paraId="72745AFA">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489" w:type="pct"/>
            <w:shd w:val="clear" w:color="auto" w:fill="auto"/>
            <w:vAlign w:val="center"/>
          </w:tcPr>
          <w:p w14:paraId="74D31A1C">
            <w:pPr>
              <w:adjustRightInd w:val="0"/>
              <w:snapToGrid w:val="0"/>
              <w:jc w:val="center"/>
              <w:rPr>
                <w:rFonts w:ascii="Arial" w:hAnsi="Arial" w:eastAsia="宋体" w:cs="Arial"/>
                <w:sz w:val="18"/>
                <w:szCs w:val="18"/>
              </w:rPr>
            </w:pPr>
            <w:r>
              <w:rPr>
                <w:rFonts w:ascii="Arial" w:hAnsi="Arial" w:eastAsia="宋体" w:cs="Arial"/>
                <w:sz w:val="18"/>
                <w:szCs w:val="18"/>
              </w:rPr>
              <w:t>23.4</w:t>
            </w:r>
          </w:p>
        </w:tc>
        <w:tc>
          <w:tcPr>
            <w:tcW w:w="394" w:type="pct"/>
            <w:vAlign w:val="center"/>
          </w:tcPr>
          <w:p w14:paraId="619D9696">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315" w:type="pct"/>
            <w:vAlign w:val="center"/>
          </w:tcPr>
          <w:p w14:paraId="75A6E06A">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481" w:type="pct"/>
            <w:vAlign w:val="center"/>
          </w:tcPr>
          <w:p w14:paraId="1DFC403D">
            <w:pPr>
              <w:adjustRightInd w:val="0"/>
              <w:snapToGrid w:val="0"/>
              <w:jc w:val="center"/>
              <w:rPr>
                <w:rFonts w:ascii="Arial" w:hAnsi="Arial" w:eastAsia="宋体" w:cs="Arial"/>
                <w:sz w:val="18"/>
                <w:szCs w:val="18"/>
              </w:rPr>
            </w:pPr>
            <w:r>
              <w:rPr>
                <w:rFonts w:ascii="Arial" w:hAnsi="Arial" w:eastAsia="宋体" w:cs="Arial"/>
                <w:sz w:val="18"/>
                <w:szCs w:val="18"/>
              </w:rPr>
              <w:t>1.39120</w:t>
            </w:r>
          </w:p>
        </w:tc>
        <w:tc>
          <w:tcPr>
            <w:tcW w:w="439" w:type="pct"/>
            <w:vAlign w:val="center"/>
          </w:tcPr>
          <w:p w14:paraId="71393634">
            <w:pPr>
              <w:adjustRightInd w:val="0"/>
              <w:snapToGrid w:val="0"/>
              <w:jc w:val="center"/>
              <w:rPr>
                <w:rFonts w:ascii="Arial" w:hAnsi="Arial" w:eastAsia="宋体" w:cs="Arial"/>
                <w:sz w:val="18"/>
                <w:szCs w:val="18"/>
              </w:rPr>
            </w:pPr>
          </w:p>
        </w:tc>
      </w:tr>
      <w:tr w14:paraId="24786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8" w:type="pct"/>
            <w:vMerge w:val="continue"/>
            <w:shd w:val="clear" w:color="auto" w:fill="auto"/>
            <w:vAlign w:val="center"/>
          </w:tcPr>
          <w:p w14:paraId="73F13664">
            <w:pPr>
              <w:topLinePunct/>
              <w:autoSpaceDE w:val="0"/>
              <w:autoSpaceDN w:val="0"/>
              <w:adjustRightInd w:val="0"/>
              <w:snapToGrid w:val="0"/>
              <w:jc w:val="center"/>
              <w:rPr>
                <w:rFonts w:ascii="Arial" w:hAnsi="Arial" w:eastAsia="宋体" w:cs="Arial"/>
                <w:sz w:val="18"/>
                <w:szCs w:val="18"/>
              </w:rPr>
            </w:pPr>
          </w:p>
        </w:tc>
        <w:tc>
          <w:tcPr>
            <w:tcW w:w="604" w:type="pct"/>
            <w:shd w:val="clear" w:color="auto" w:fill="auto"/>
            <w:vAlign w:val="center"/>
          </w:tcPr>
          <w:p w14:paraId="07C09C42">
            <w:pPr>
              <w:adjustRightInd w:val="0"/>
              <w:snapToGrid w:val="0"/>
              <w:jc w:val="center"/>
              <w:rPr>
                <w:rFonts w:ascii="Arial" w:hAnsi="Arial" w:eastAsia="宋体" w:cs="Arial"/>
                <w:sz w:val="18"/>
                <w:szCs w:val="18"/>
              </w:rPr>
            </w:pPr>
            <w:r>
              <w:rPr>
                <w:rFonts w:ascii="Arial" w:hAnsi="Arial" w:eastAsia="宋体" w:cs="Arial"/>
                <w:sz w:val="18"/>
                <w:szCs w:val="18"/>
              </w:rPr>
              <w:t>主厂房</w:t>
            </w:r>
          </w:p>
        </w:tc>
        <w:tc>
          <w:tcPr>
            <w:tcW w:w="342" w:type="pct"/>
            <w:shd w:val="clear" w:color="auto" w:fill="auto"/>
            <w:vAlign w:val="center"/>
          </w:tcPr>
          <w:p w14:paraId="03374242">
            <w:pPr>
              <w:adjustRightInd w:val="0"/>
              <w:snapToGrid w:val="0"/>
              <w:jc w:val="center"/>
              <w:rPr>
                <w:rFonts w:ascii="Arial" w:hAnsi="Arial" w:eastAsia="宋体" w:cs="Arial"/>
                <w:sz w:val="18"/>
                <w:szCs w:val="18"/>
              </w:rPr>
            </w:pPr>
            <w:r>
              <w:rPr>
                <w:rFonts w:ascii="Arial" w:hAnsi="Arial" w:cs="Arial"/>
                <w:sz w:val="18"/>
                <w:szCs w:val="18"/>
              </w:rPr>
              <w:t>2952</w:t>
            </w:r>
          </w:p>
        </w:tc>
        <w:tc>
          <w:tcPr>
            <w:tcW w:w="344" w:type="pct"/>
            <w:shd w:val="clear" w:color="auto" w:fill="auto"/>
            <w:vAlign w:val="center"/>
          </w:tcPr>
          <w:p w14:paraId="79F58CE1">
            <w:pPr>
              <w:adjustRightInd w:val="0"/>
              <w:snapToGrid w:val="0"/>
              <w:jc w:val="center"/>
              <w:rPr>
                <w:rFonts w:ascii="Arial" w:hAnsi="Arial" w:eastAsia="宋体" w:cs="Arial"/>
                <w:sz w:val="18"/>
                <w:szCs w:val="18"/>
              </w:rPr>
            </w:pPr>
            <w:r>
              <w:rPr>
                <w:rFonts w:ascii="Arial" w:hAnsi="Arial" w:cs="Arial"/>
                <w:sz w:val="18"/>
                <w:szCs w:val="18"/>
              </w:rPr>
              <w:t>1429</w:t>
            </w:r>
          </w:p>
        </w:tc>
        <w:tc>
          <w:tcPr>
            <w:tcW w:w="305" w:type="pct"/>
            <w:shd w:val="clear" w:color="auto" w:fill="auto"/>
            <w:vAlign w:val="center"/>
          </w:tcPr>
          <w:p w14:paraId="5C2A88B4">
            <w:pPr>
              <w:adjustRightInd w:val="0"/>
              <w:snapToGrid w:val="0"/>
              <w:jc w:val="center"/>
              <w:rPr>
                <w:rFonts w:ascii="Arial" w:hAnsi="Arial" w:eastAsia="宋体" w:cs="Arial"/>
                <w:sz w:val="18"/>
                <w:szCs w:val="18"/>
              </w:rPr>
            </w:pPr>
            <w:r>
              <w:rPr>
                <w:rFonts w:ascii="Arial" w:hAnsi="Arial" w:eastAsia="宋体" w:cs="Arial"/>
                <w:sz w:val="18"/>
                <w:szCs w:val="18"/>
              </w:rPr>
              <w:t>24</w:t>
            </w:r>
          </w:p>
        </w:tc>
        <w:tc>
          <w:tcPr>
            <w:tcW w:w="381" w:type="pct"/>
            <w:shd w:val="clear" w:color="auto" w:fill="auto"/>
            <w:vAlign w:val="center"/>
          </w:tcPr>
          <w:p w14:paraId="66CB409F">
            <w:pPr>
              <w:adjustRightInd w:val="0"/>
              <w:snapToGrid w:val="0"/>
              <w:jc w:val="center"/>
              <w:rPr>
                <w:rFonts w:ascii="Arial" w:hAnsi="Arial" w:eastAsia="宋体" w:cs="Arial"/>
                <w:sz w:val="18"/>
                <w:szCs w:val="18"/>
              </w:rPr>
            </w:pPr>
            <w:r>
              <w:rPr>
                <w:rFonts w:ascii="Arial" w:hAnsi="Arial" w:eastAsia="宋体" w:cs="Arial"/>
                <w:sz w:val="18"/>
                <w:szCs w:val="18"/>
              </w:rPr>
              <w:t>183.2</w:t>
            </w:r>
          </w:p>
        </w:tc>
        <w:tc>
          <w:tcPr>
            <w:tcW w:w="382" w:type="pct"/>
            <w:shd w:val="clear" w:color="auto" w:fill="auto"/>
            <w:vAlign w:val="center"/>
          </w:tcPr>
          <w:p w14:paraId="1E7B0ECC">
            <w:pPr>
              <w:adjustRightInd w:val="0"/>
              <w:snapToGrid w:val="0"/>
              <w:jc w:val="center"/>
              <w:rPr>
                <w:rFonts w:ascii="Arial" w:hAnsi="Arial" w:eastAsia="宋体" w:cs="Arial"/>
                <w:sz w:val="18"/>
                <w:szCs w:val="18"/>
              </w:rPr>
            </w:pPr>
            <w:r>
              <w:rPr>
                <w:rFonts w:ascii="Arial" w:hAnsi="Arial" w:eastAsia="宋体" w:cs="Arial"/>
                <w:sz w:val="18"/>
                <w:szCs w:val="18"/>
              </w:rPr>
              <w:t>37.5</w:t>
            </w:r>
          </w:p>
        </w:tc>
        <w:tc>
          <w:tcPr>
            <w:tcW w:w="305" w:type="pct"/>
            <w:shd w:val="clear" w:color="auto" w:fill="auto"/>
            <w:vAlign w:val="center"/>
          </w:tcPr>
          <w:p w14:paraId="71F36553">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489" w:type="pct"/>
            <w:shd w:val="clear" w:color="auto" w:fill="auto"/>
            <w:vAlign w:val="center"/>
          </w:tcPr>
          <w:p w14:paraId="21830A5B">
            <w:pPr>
              <w:adjustRightInd w:val="0"/>
              <w:snapToGrid w:val="0"/>
              <w:jc w:val="center"/>
              <w:rPr>
                <w:rFonts w:ascii="Arial" w:hAnsi="Arial" w:eastAsia="宋体" w:cs="Arial"/>
                <w:sz w:val="18"/>
                <w:szCs w:val="18"/>
              </w:rPr>
            </w:pPr>
            <w:r>
              <w:rPr>
                <w:rFonts w:ascii="Arial" w:hAnsi="Arial" w:eastAsia="宋体" w:cs="Arial"/>
                <w:sz w:val="18"/>
                <w:szCs w:val="18"/>
              </w:rPr>
              <w:t>24</w:t>
            </w:r>
          </w:p>
        </w:tc>
        <w:tc>
          <w:tcPr>
            <w:tcW w:w="394" w:type="pct"/>
            <w:vAlign w:val="center"/>
          </w:tcPr>
          <w:p w14:paraId="3B30F96F">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315" w:type="pct"/>
            <w:vAlign w:val="center"/>
          </w:tcPr>
          <w:p w14:paraId="60DDEFE3">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481" w:type="pct"/>
            <w:vAlign w:val="center"/>
          </w:tcPr>
          <w:p w14:paraId="3D48CC21">
            <w:pPr>
              <w:adjustRightInd w:val="0"/>
              <w:snapToGrid w:val="0"/>
              <w:jc w:val="center"/>
              <w:rPr>
                <w:rFonts w:ascii="Arial" w:hAnsi="Arial" w:eastAsia="宋体" w:cs="Arial"/>
                <w:sz w:val="18"/>
                <w:szCs w:val="18"/>
              </w:rPr>
            </w:pPr>
            <w:r>
              <w:rPr>
                <w:rFonts w:ascii="Arial" w:hAnsi="Arial" w:eastAsia="宋体" w:cs="Arial"/>
                <w:sz w:val="18"/>
                <w:szCs w:val="18"/>
              </w:rPr>
              <w:t>0.45083</w:t>
            </w:r>
          </w:p>
        </w:tc>
        <w:tc>
          <w:tcPr>
            <w:tcW w:w="439" w:type="pct"/>
            <w:vAlign w:val="center"/>
          </w:tcPr>
          <w:p w14:paraId="2CCBE0B6">
            <w:pPr>
              <w:adjustRightInd w:val="0"/>
              <w:snapToGrid w:val="0"/>
              <w:jc w:val="center"/>
              <w:rPr>
                <w:rFonts w:ascii="Arial" w:hAnsi="Arial" w:eastAsia="宋体" w:cs="Arial"/>
                <w:sz w:val="18"/>
                <w:szCs w:val="18"/>
              </w:rPr>
            </w:pPr>
          </w:p>
        </w:tc>
      </w:tr>
      <w:tr w14:paraId="7CFB6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8" w:type="pct"/>
            <w:vMerge w:val="continue"/>
            <w:shd w:val="clear" w:color="auto" w:fill="auto"/>
            <w:vAlign w:val="center"/>
          </w:tcPr>
          <w:p w14:paraId="3B1FCAB7">
            <w:pPr>
              <w:topLinePunct/>
              <w:autoSpaceDE w:val="0"/>
              <w:autoSpaceDN w:val="0"/>
              <w:adjustRightInd w:val="0"/>
              <w:snapToGrid w:val="0"/>
              <w:jc w:val="center"/>
              <w:rPr>
                <w:rFonts w:ascii="Arial" w:hAnsi="Arial" w:eastAsia="宋体" w:cs="Arial"/>
                <w:sz w:val="18"/>
                <w:szCs w:val="18"/>
              </w:rPr>
            </w:pPr>
          </w:p>
        </w:tc>
        <w:tc>
          <w:tcPr>
            <w:tcW w:w="604" w:type="pct"/>
            <w:shd w:val="clear" w:color="auto" w:fill="auto"/>
            <w:vAlign w:val="center"/>
          </w:tcPr>
          <w:p w14:paraId="4DB09F7A">
            <w:pPr>
              <w:adjustRightInd w:val="0"/>
              <w:snapToGrid w:val="0"/>
              <w:jc w:val="center"/>
              <w:rPr>
                <w:rFonts w:ascii="Arial" w:hAnsi="Arial" w:eastAsia="宋体" w:cs="Arial"/>
                <w:sz w:val="18"/>
                <w:szCs w:val="18"/>
              </w:rPr>
            </w:pPr>
            <w:r>
              <w:rPr>
                <w:rFonts w:ascii="Arial" w:hAnsi="Arial" w:eastAsia="宋体" w:cs="Arial"/>
                <w:sz w:val="18"/>
                <w:szCs w:val="18"/>
              </w:rPr>
              <w:t>高镍锍浸出车间</w:t>
            </w:r>
          </w:p>
        </w:tc>
        <w:tc>
          <w:tcPr>
            <w:tcW w:w="342" w:type="pct"/>
            <w:shd w:val="clear" w:color="auto" w:fill="auto"/>
            <w:vAlign w:val="center"/>
          </w:tcPr>
          <w:p w14:paraId="0BE2F2BA">
            <w:pPr>
              <w:adjustRightInd w:val="0"/>
              <w:snapToGrid w:val="0"/>
              <w:jc w:val="center"/>
              <w:rPr>
                <w:rFonts w:ascii="Arial" w:hAnsi="Arial" w:eastAsia="宋体" w:cs="Arial"/>
                <w:sz w:val="18"/>
                <w:szCs w:val="18"/>
              </w:rPr>
            </w:pPr>
            <w:r>
              <w:rPr>
                <w:rFonts w:ascii="Arial" w:hAnsi="Arial" w:cs="Arial"/>
                <w:sz w:val="18"/>
                <w:szCs w:val="18"/>
              </w:rPr>
              <w:t>3001</w:t>
            </w:r>
          </w:p>
        </w:tc>
        <w:tc>
          <w:tcPr>
            <w:tcW w:w="344" w:type="pct"/>
            <w:shd w:val="clear" w:color="auto" w:fill="auto"/>
            <w:vAlign w:val="center"/>
          </w:tcPr>
          <w:p w14:paraId="1C867029">
            <w:pPr>
              <w:adjustRightInd w:val="0"/>
              <w:snapToGrid w:val="0"/>
              <w:jc w:val="center"/>
              <w:rPr>
                <w:rFonts w:ascii="Arial" w:hAnsi="Arial" w:eastAsia="宋体" w:cs="Arial"/>
                <w:sz w:val="18"/>
                <w:szCs w:val="18"/>
              </w:rPr>
            </w:pPr>
            <w:r>
              <w:rPr>
                <w:rFonts w:ascii="Arial" w:hAnsi="Arial" w:cs="Arial"/>
                <w:sz w:val="18"/>
                <w:szCs w:val="18"/>
              </w:rPr>
              <w:t>1512</w:t>
            </w:r>
          </w:p>
        </w:tc>
        <w:tc>
          <w:tcPr>
            <w:tcW w:w="305" w:type="pct"/>
            <w:shd w:val="clear" w:color="auto" w:fill="auto"/>
            <w:vAlign w:val="center"/>
          </w:tcPr>
          <w:p w14:paraId="6C899D46">
            <w:pPr>
              <w:adjustRightInd w:val="0"/>
              <w:snapToGrid w:val="0"/>
              <w:jc w:val="center"/>
              <w:rPr>
                <w:rFonts w:ascii="Arial" w:hAnsi="Arial" w:eastAsia="宋体" w:cs="Arial"/>
                <w:sz w:val="18"/>
                <w:szCs w:val="18"/>
              </w:rPr>
            </w:pPr>
            <w:r>
              <w:rPr>
                <w:rFonts w:ascii="Arial" w:hAnsi="Arial" w:eastAsia="宋体" w:cs="Arial"/>
                <w:sz w:val="18"/>
                <w:szCs w:val="18"/>
              </w:rPr>
              <w:t>9</w:t>
            </w:r>
          </w:p>
        </w:tc>
        <w:tc>
          <w:tcPr>
            <w:tcW w:w="381" w:type="pct"/>
            <w:shd w:val="clear" w:color="auto" w:fill="auto"/>
            <w:vAlign w:val="center"/>
          </w:tcPr>
          <w:p w14:paraId="76637219">
            <w:pPr>
              <w:adjustRightInd w:val="0"/>
              <w:snapToGrid w:val="0"/>
              <w:jc w:val="center"/>
              <w:rPr>
                <w:rFonts w:ascii="Arial" w:hAnsi="Arial" w:eastAsia="宋体" w:cs="Arial"/>
                <w:sz w:val="18"/>
                <w:szCs w:val="18"/>
              </w:rPr>
            </w:pPr>
            <w:r>
              <w:rPr>
                <w:rFonts w:ascii="Arial" w:hAnsi="Arial" w:eastAsia="宋体" w:cs="Arial"/>
                <w:sz w:val="18"/>
                <w:szCs w:val="18"/>
              </w:rPr>
              <w:t>78</w:t>
            </w:r>
          </w:p>
        </w:tc>
        <w:tc>
          <w:tcPr>
            <w:tcW w:w="382" w:type="pct"/>
            <w:shd w:val="clear" w:color="auto" w:fill="auto"/>
            <w:vAlign w:val="center"/>
          </w:tcPr>
          <w:p w14:paraId="601D2A08">
            <w:pPr>
              <w:adjustRightInd w:val="0"/>
              <w:snapToGrid w:val="0"/>
              <w:jc w:val="center"/>
              <w:rPr>
                <w:rFonts w:ascii="Arial" w:hAnsi="Arial" w:eastAsia="宋体" w:cs="Arial"/>
                <w:sz w:val="18"/>
                <w:szCs w:val="18"/>
              </w:rPr>
            </w:pPr>
            <w:r>
              <w:rPr>
                <w:rFonts w:ascii="Arial" w:hAnsi="Arial" w:eastAsia="宋体" w:cs="Arial"/>
                <w:sz w:val="18"/>
                <w:szCs w:val="18"/>
              </w:rPr>
              <w:t>18</w:t>
            </w:r>
          </w:p>
        </w:tc>
        <w:tc>
          <w:tcPr>
            <w:tcW w:w="305" w:type="pct"/>
            <w:shd w:val="clear" w:color="auto" w:fill="auto"/>
            <w:vAlign w:val="center"/>
          </w:tcPr>
          <w:p w14:paraId="59E265F9">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489" w:type="pct"/>
            <w:shd w:val="clear" w:color="auto" w:fill="auto"/>
            <w:vAlign w:val="center"/>
          </w:tcPr>
          <w:p w14:paraId="5D6EDEF7">
            <w:pPr>
              <w:adjustRightInd w:val="0"/>
              <w:snapToGrid w:val="0"/>
              <w:jc w:val="center"/>
              <w:rPr>
                <w:rFonts w:ascii="Arial" w:hAnsi="Arial" w:eastAsia="宋体" w:cs="Arial"/>
                <w:sz w:val="18"/>
                <w:szCs w:val="18"/>
              </w:rPr>
            </w:pPr>
            <w:r>
              <w:rPr>
                <w:rFonts w:ascii="Arial" w:hAnsi="Arial" w:eastAsia="宋体" w:cs="Arial"/>
                <w:sz w:val="18"/>
                <w:szCs w:val="18"/>
              </w:rPr>
              <w:t>17.4</w:t>
            </w:r>
          </w:p>
        </w:tc>
        <w:tc>
          <w:tcPr>
            <w:tcW w:w="394" w:type="pct"/>
            <w:vAlign w:val="center"/>
          </w:tcPr>
          <w:p w14:paraId="016C9DF3">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315" w:type="pct"/>
            <w:vAlign w:val="center"/>
          </w:tcPr>
          <w:p w14:paraId="3EF41C30">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481" w:type="pct"/>
            <w:vAlign w:val="center"/>
          </w:tcPr>
          <w:p w14:paraId="35EA3E06">
            <w:pPr>
              <w:adjustRightInd w:val="0"/>
              <w:snapToGrid w:val="0"/>
              <w:jc w:val="center"/>
              <w:rPr>
                <w:rFonts w:ascii="Arial" w:hAnsi="Arial" w:eastAsia="宋体" w:cs="Arial"/>
                <w:sz w:val="18"/>
                <w:szCs w:val="18"/>
              </w:rPr>
            </w:pPr>
          </w:p>
        </w:tc>
        <w:tc>
          <w:tcPr>
            <w:tcW w:w="439" w:type="pct"/>
            <w:vAlign w:val="center"/>
          </w:tcPr>
          <w:p w14:paraId="765A3049">
            <w:pPr>
              <w:adjustRightInd w:val="0"/>
              <w:snapToGrid w:val="0"/>
              <w:jc w:val="center"/>
              <w:rPr>
                <w:rFonts w:ascii="Arial" w:hAnsi="Arial" w:eastAsia="宋体" w:cs="Arial"/>
                <w:sz w:val="18"/>
                <w:szCs w:val="18"/>
              </w:rPr>
            </w:pPr>
            <w:r>
              <w:rPr>
                <w:rFonts w:ascii="Arial" w:hAnsi="Arial" w:eastAsia="宋体" w:cs="Arial"/>
                <w:sz w:val="18"/>
                <w:szCs w:val="18"/>
              </w:rPr>
              <w:t>0.1272</w:t>
            </w:r>
          </w:p>
        </w:tc>
      </w:tr>
      <w:tr w14:paraId="2541B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8" w:type="pct"/>
            <w:vMerge w:val="continue"/>
            <w:shd w:val="clear" w:color="auto" w:fill="auto"/>
            <w:vAlign w:val="center"/>
          </w:tcPr>
          <w:p w14:paraId="535E4382">
            <w:pPr>
              <w:topLinePunct/>
              <w:autoSpaceDE w:val="0"/>
              <w:autoSpaceDN w:val="0"/>
              <w:adjustRightInd w:val="0"/>
              <w:snapToGrid w:val="0"/>
              <w:jc w:val="center"/>
              <w:rPr>
                <w:rFonts w:ascii="Arial" w:hAnsi="Arial" w:eastAsia="宋体" w:cs="Arial"/>
                <w:sz w:val="18"/>
                <w:szCs w:val="18"/>
              </w:rPr>
            </w:pPr>
          </w:p>
        </w:tc>
        <w:tc>
          <w:tcPr>
            <w:tcW w:w="604" w:type="pct"/>
            <w:shd w:val="clear" w:color="auto" w:fill="auto"/>
            <w:vAlign w:val="center"/>
          </w:tcPr>
          <w:p w14:paraId="6250A6F8">
            <w:pPr>
              <w:adjustRightInd w:val="0"/>
              <w:snapToGrid w:val="0"/>
              <w:jc w:val="center"/>
              <w:rPr>
                <w:rFonts w:ascii="Arial" w:hAnsi="Arial" w:eastAsia="宋体" w:cs="Arial"/>
                <w:sz w:val="18"/>
                <w:szCs w:val="18"/>
              </w:rPr>
            </w:pPr>
            <w:r>
              <w:rPr>
                <w:rFonts w:ascii="Arial" w:hAnsi="Arial" w:eastAsia="宋体" w:cs="Arial"/>
                <w:sz w:val="18"/>
                <w:szCs w:val="18"/>
              </w:rPr>
              <w:t>硫酸镍蒸发结晶车间</w:t>
            </w:r>
          </w:p>
        </w:tc>
        <w:tc>
          <w:tcPr>
            <w:tcW w:w="342" w:type="pct"/>
            <w:shd w:val="clear" w:color="auto" w:fill="auto"/>
            <w:vAlign w:val="center"/>
          </w:tcPr>
          <w:p w14:paraId="4B2262A4">
            <w:pPr>
              <w:adjustRightInd w:val="0"/>
              <w:snapToGrid w:val="0"/>
              <w:jc w:val="center"/>
              <w:rPr>
                <w:rFonts w:ascii="Arial" w:hAnsi="Arial" w:eastAsia="宋体" w:cs="Arial"/>
                <w:sz w:val="18"/>
                <w:szCs w:val="18"/>
              </w:rPr>
            </w:pPr>
            <w:r>
              <w:rPr>
                <w:rFonts w:ascii="Arial" w:hAnsi="Arial" w:cs="Arial"/>
                <w:sz w:val="18"/>
                <w:szCs w:val="18"/>
              </w:rPr>
              <w:t>3161</w:t>
            </w:r>
          </w:p>
        </w:tc>
        <w:tc>
          <w:tcPr>
            <w:tcW w:w="344" w:type="pct"/>
            <w:shd w:val="clear" w:color="auto" w:fill="auto"/>
            <w:vAlign w:val="center"/>
          </w:tcPr>
          <w:p w14:paraId="012F12A9">
            <w:pPr>
              <w:adjustRightInd w:val="0"/>
              <w:snapToGrid w:val="0"/>
              <w:jc w:val="center"/>
              <w:rPr>
                <w:rFonts w:ascii="Arial" w:hAnsi="Arial" w:eastAsia="宋体" w:cs="Arial"/>
                <w:sz w:val="18"/>
                <w:szCs w:val="18"/>
              </w:rPr>
            </w:pPr>
            <w:r>
              <w:rPr>
                <w:rFonts w:ascii="Arial" w:hAnsi="Arial" w:cs="Arial"/>
                <w:sz w:val="18"/>
                <w:szCs w:val="18"/>
              </w:rPr>
              <w:t>1716</w:t>
            </w:r>
          </w:p>
        </w:tc>
        <w:tc>
          <w:tcPr>
            <w:tcW w:w="305" w:type="pct"/>
            <w:shd w:val="clear" w:color="auto" w:fill="auto"/>
            <w:vAlign w:val="center"/>
          </w:tcPr>
          <w:p w14:paraId="05EB9226">
            <w:pPr>
              <w:adjustRightInd w:val="0"/>
              <w:snapToGrid w:val="0"/>
              <w:jc w:val="center"/>
              <w:rPr>
                <w:rFonts w:ascii="Arial" w:hAnsi="Arial" w:eastAsia="宋体" w:cs="Arial"/>
                <w:sz w:val="18"/>
                <w:szCs w:val="18"/>
              </w:rPr>
            </w:pPr>
            <w:r>
              <w:rPr>
                <w:rFonts w:ascii="Arial" w:hAnsi="Arial" w:eastAsia="宋体" w:cs="Arial"/>
                <w:sz w:val="18"/>
                <w:szCs w:val="18"/>
              </w:rPr>
              <w:t>13</w:t>
            </w:r>
          </w:p>
        </w:tc>
        <w:tc>
          <w:tcPr>
            <w:tcW w:w="381" w:type="pct"/>
            <w:shd w:val="clear" w:color="auto" w:fill="auto"/>
            <w:vAlign w:val="center"/>
          </w:tcPr>
          <w:p w14:paraId="39526A7D">
            <w:pPr>
              <w:adjustRightInd w:val="0"/>
              <w:snapToGrid w:val="0"/>
              <w:jc w:val="center"/>
              <w:rPr>
                <w:rFonts w:ascii="Arial" w:hAnsi="Arial" w:eastAsia="宋体" w:cs="Arial"/>
                <w:sz w:val="18"/>
                <w:szCs w:val="18"/>
              </w:rPr>
            </w:pPr>
            <w:r>
              <w:rPr>
                <w:rFonts w:ascii="Arial" w:hAnsi="Arial" w:eastAsia="宋体" w:cs="Arial"/>
                <w:sz w:val="18"/>
                <w:szCs w:val="18"/>
              </w:rPr>
              <w:t>128</w:t>
            </w:r>
          </w:p>
        </w:tc>
        <w:tc>
          <w:tcPr>
            <w:tcW w:w="382" w:type="pct"/>
            <w:shd w:val="clear" w:color="auto" w:fill="auto"/>
            <w:vAlign w:val="center"/>
          </w:tcPr>
          <w:p w14:paraId="29CC029A">
            <w:pPr>
              <w:adjustRightInd w:val="0"/>
              <w:snapToGrid w:val="0"/>
              <w:jc w:val="center"/>
              <w:rPr>
                <w:rFonts w:ascii="Arial" w:hAnsi="Arial" w:eastAsia="宋体" w:cs="Arial"/>
                <w:sz w:val="18"/>
                <w:szCs w:val="18"/>
              </w:rPr>
            </w:pPr>
            <w:r>
              <w:rPr>
                <w:rFonts w:ascii="Arial" w:hAnsi="Arial" w:eastAsia="宋体" w:cs="Arial"/>
                <w:sz w:val="18"/>
                <w:szCs w:val="18"/>
              </w:rPr>
              <w:t>30</w:t>
            </w:r>
          </w:p>
        </w:tc>
        <w:tc>
          <w:tcPr>
            <w:tcW w:w="305" w:type="pct"/>
            <w:shd w:val="clear" w:color="auto" w:fill="auto"/>
            <w:vAlign w:val="center"/>
          </w:tcPr>
          <w:p w14:paraId="128CA996">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489" w:type="pct"/>
            <w:shd w:val="clear" w:color="auto" w:fill="auto"/>
            <w:vAlign w:val="center"/>
          </w:tcPr>
          <w:p w14:paraId="39529897">
            <w:pPr>
              <w:adjustRightInd w:val="0"/>
              <w:snapToGrid w:val="0"/>
              <w:jc w:val="center"/>
              <w:rPr>
                <w:rFonts w:ascii="Arial" w:hAnsi="Arial" w:eastAsia="宋体" w:cs="Arial"/>
                <w:sz w:val="18"/>
                <w:szCs w:val="18"/>
              </w:rPr>
            </w:pPr>
            <w:r>
              <w:rPr>
                <w:rFonts w:ascii="Arial" w:hAnsi="Arial" w:eastAsia="宋体" w:cs="Arial"/>
                <w:sz w:val="18"/>
                <w:szCs w:val="18"/>
              </w:rPr>
              <w:t>27</w:t>
            </w:r>
          </w:p>
        </w:tc>
        <w:tc>
          <w:tcPr>
            <w:tcW w:w="394" w:type="pct"/>
            <w:vAlign w:val="center"/>
          </w:tcPr>
          <w:p w14:paraId="30B49C11">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315" w:type="pct"/>
            <w:vAlign w:val="center"/>
          </w:tcPr>
          <w:p w14:paraId="1BD40F65">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481" w:type="pct"/>
            <w:vAlign w:val="center"/>
          </w:tcPr>
          <w:p w14:paraId="315F59A7">
            <w:pPr>
              <w:adjustRightInd w:val="0"/>
              <w:snapToGrid w:val="0"/>
              <w:jc w:val="center"/>
              <w:rPr>
                <w:rFonts w:ascii="Arial" w:hAnsi="Arial" w:eastAsia="宋体" w:cs="Arial"/>
                <w:sz w:val="18"/>
                <w:szCs w:val="18"/>
              </w:rPr>
            </w:pPr>
            <w:r>
              <w:rPr>
                <w:rFonts w:ascii="Arial" w:hAnsi="Arial" w:eastAsia="宋体" w:cs="Arial"/>
                <w:sz w:val="18"/>
                <w:szCs w:val="18"/>
              </w:rPr>
              <w:t>0.06487</w:t>
            </w:r>
          </w:p>
        </w:tc>
        <w:tc>
          <w:tcPr>
            <w:tcW w:w="439" w:type="pct"/>
            <w:vAlign w:val="center"/>
          </w:tcPr>
          <w:p w14:paraId="31FF2BD8">
            <w:pPr>
              <w:topLinePunct/>
              <w:autoSpaceDE w:val="0"/>
              <w:autoSpaceDN w:val="0"/>
              <w:adjustRightInd w:val="0"/>
              <w:snapToGrid w:val="0"/>
              <w:jc w:val="center"/>
              <w:rPr>
                <w:rFonts w:ascii="Arial" w:hAnsi="Arial" w:eastAsia="宋体" w:cs="Arial"/>
                <w:sz w:val="18"/>
                <w:szCs w:val="18"/>
              </w:rPr>
            </w:pPr>
          </w:p>
        </w:tc>
      </w:tr>
      <w:tr w14:paraId="25C2E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18" w:type="pct"/>
            <w:vMerge w:val="continue"/>
            <w:shd w:val="clear" w:color="auto" w:fill="auto"/>
            <w:vAlign w:val="center"/>
          </w:tcPr>
          <w:p w14:paraId="66392E0C">
            <w:pPr>
              <w:topLinePunct/>
              <w:autoSpaceDE w:val="0"/>
              <w:autoSpaceDN w:val="0"/>
              <w:adjustRightInd w:val="0"/>
              <w:snapToGrid w:val="0"/>
              <w:jc w:val="center"/>
              <w:rPr>
                <w:rFonts w:ascii="Arial" w:hAnsi="Arial" w:eastAsia="宋体" w:cs="Arial"/>
                <w:sz w:val="18"/>
                <w:szCs w:val="18"/>
              </w:rPr>
            </w:pPr>
          </w:p>
        </w:tc>
        <w:tc>
          <w:tcPr>
            <w:tcW w:w="604" w:type="pct"/>
            <w:shd w:val="clear" w:color="auto" w:fill="auto"/>
            <w:vAlign w:val="center"/>
          </w:tcPr>
          <w:p w14:paraId="3AA86CFC">
            <w:pPr>
              <w:adjustRightInd w:val="0"/>
              <w:snapToGrid w:val="0"/>
              <w:jc w:val="center"/>
              <w:rPr>
                <w:rFonts w:ascii="Arial" w:hAnsi="Arial" w:eastAsia="宋体" w:cs="Arial"/>
                <w:sz w:val="18"/>
                <w:szCs w:val="18"/>
              </w:rPr>
            </w:pPr>
            <w:r>
              <w:rPr>
                <w:rFonts w:ascii="Arial" w:hAnsi="Arial" w:eastAsia="宋体" w:cs="Arial"/>
                <w:sz w:val="18"/>
                <w:szCs w:val="18"/>
              </w:rPr>
              <w:t>三元车间</w:t>
            </w:r>
          </w:p>
        </w:tc>
        <w:tc>
          <w:tcPr>
            <w:tcW w:w="342" w:type="pct"/>
            <w:shd w:val="clear" w:color="auto" w:fill="auto"/>
            <w:vAlign w:val="center"/>
          </w:tcPr>
          <w:p w14:paraId="6A69C53A">
            <w:pPr>
              <w:adjustRightInd w:val="0"/>
              <w:snapToGrid w:val="0"/>
              <w:jc w:val="center"/>
              <w:rPr>
                <w:rFonts w:ascii="Arial" w:hAnsi="Arial" w:eastAsia="宋体" w:cs="Arial"/>
                <w:sz w:val="18"/>
                <w:szCs w:val="18"/>
              </w:rPr>
            </w:pPr>
            <w:r>
              <w:rPr>
                <w:rFonts w:ascii="Arial" w:hAnsi="Arial" w:cs="Arial"/>
                <w:sz w:val="18"/>
                <w:szCs w:val="18"/>
              </w:rPr>
              <w:t>3347</w:t>
            </w:r>
          </w:p>
        </w:tc>
        <w:tc>
          <w:tcPr>
            <w:tcW w:w="344" w:type="pct"/>
            <w:shd w:val="clear" w:color="auto" w:fill="auto"/>
            <w:vAlign w:val="center"/>
          </w:tcPr>
          <w:p w14:paraId="76C03F6C">
            <w:pPr>
              <w:adjustRightInd w:val="0"/>
              <w:snapToGrid w:val="0"/>
              <w:jc w:val="center"/>
              <w:rPr>
                <w:rFonts w:ascii="Arial" w:hAnsi="Arial" w:eastAsia="宋体" w:cs="Arial"/>
                <w:sz w:val="18"/>
                <w:szCs w:val="18"/>
              </w:rPr>
            </w:pPr>
            <w:r>
              <w:rPr>
                <w:rFonts w:ascii="Arial" w:hAnsi="Arial" w:cs="Arial"/>
                <w:sz w:val="18"/>
                <w:szCs w:val="18"/>
              </w:rPr>
              <w:t>1654</w:t>
            </w:r>
          </w:p>
        </w:tc>
        <w:tc>
          <w:tcPr>
            <w:tcW w:w="305" w:type="pct"/>
            <w:shd w:val="clear" w:color="auto" w:fill="auto"/>
            <w:vAlign w:val="center"/>
          </w:tcPr>
          <w:p w14:paraId="484E0E04">
            <w:pPr>
              <w:adjustRightInd w:val="0"/>
              <w:snapToGrid w:val="0"/>
              <w:jc w:val="center"/>
              <w:rPr>
                <w:rFonts w:ascii="Arial" w:hAnsi="Arial" w:eastAsia="宋体" w:cs="Arial"/>
                <w:sz w:val="18"/>
                <w:szCs w:val="18"/>
              </w:rPr>
            </w:pPr>
            <w:r>
              <w:rPr>
                <w:rFonts w:ascii="Arial" w:hAnsi="Arial" w:eastAsia="宋体" w:cs="Arial"/>
                <w:sz w:val="18"/>
                <w:szCs w:val="18"/>
              </w:rPr>
              <w:t>3</w:t>
            </w:r>
          </w:p>
        </w:tc>
        <w:tc>
          <w:tcPr>
            <w:tcW w:w="381" w:type="pct"/>
            <w:shd w:val="clear" w:color="auto" w:fill="auto"/>
            <w:vAlign w:val="center"/>
          </w:tcPr>
          <w:p w14:paraId="757C8BFD">
            <w:pPr>
              <w:adjustRightInd w:val="0"/>
              <w:snapToGrid w:val="0"/>
              <w:jc w:val="center"/>
              <w:rPr>
                <w:rFonts w:ascii="Arial" w:hAnsi="Arial" w:eastAsia="宋体" w:cs="Arial"/>
                <w:sz w:val="18"/>
                <w:szCs w:val="18"/>
              </w:rPr>
            </w:pPr>
            <w:r>
              <w:rPr>
                <w:rFonts w:ascii="Arial" w:hAnsi="Arial" w:eastAsia="宋体" w:cs="Arial"/>
                <w:sz w:val="18"/>
                <w:szCs w:val="18"/>
              </w:rPr>
              <w:t>75</w:t>
            </w:r>
          </w:p>
        </w:tc>
        <w:tc>
          <w:tcPr>
            <w:tcW w:w="382" w:type="pct"/>
            <w:shd w:val="clear" w:color="auto" w:fill="auto"/>
            <w:vAlign w:val="center"/>
          </w:tcPr>
          <w:p w14:paraId="46134F43">
            <w:pPr>
              <w:adjustRightInd w:val="0"/>
              <w:snapToGrid w:val="0"/>
              <w:jc w:val="center"/>
              <w:rPr>
                <w:rFonts w:ascii="Arial" w:hAnsi="Arial" w:eastAsia="宋体" w:cs="Arial"/>
                <w:sz w:val="18"/>
                <w:szCs w:val="18"/>
              </w:rPr>
            </w:pPr>
            <w:r>
              <w:rPr>
                <w:rFonts w:ascii="Arial" w:hAnsi="Arial" w:eastAsia="宋体" w:cs="Arial"/>
                <w:sz w:val="18"/>
                <w:szCs w:val="18"/>
              </w:rPr>
              <w:t>46.5</w:t>
            </w:r>
          </w:p>
        </w:tc>
        <w:tc>
          <w:tcPr>
            <w:tcW w:w="305" w:type="pct"/>
            <w:shd w:val="clear" w:color="auto" w:fill="auto"/>
            <w:vAlign w:val="center"/>
          </w:tcPr>
          <w:p w14:paraId="6DD49BF9">
            <w:pPr>
              <w:adjustRightInd w:val="0"/>
              <w:snapToGrid w:val="0"/>
              <w:jc w:val="center"/>
              <w:rPr>
                <w:rFonts w:ascii="Arial" w:hAnsi="Arial" w:eastAsia="宋体" w:cs="Arial"/>
                <w:sz w:val="18"/>
                <w:szCs w:val="18"/>
              </w:rPr>
            </w:pPr>
            <w:r>
              <w:rPr>
                <w:rFonts w:ascii="Arial" w:hAnsi="Arial" w:eastAsia="宋体" w:cs="Arial"/>
                <w:sz w:val="18"/>
                <w:szCs w:val="18"/>
              </w:rPr>
              <w:t>32</w:t>
            </w:r>
          </w:p>
        </w:tc>
        <w:tc>
          <w:tcPr>
            <w:tcW w:w="489" w:type="pct"/>
            <w:shd w:val="clear" w:color="auto" w:fill="auto"/>
            <w:vAlign w:val="center"/>
          </w:tcPr>
          <w:p w14:paraId="1070891C">
            <w:pPr>
              <w:adjustRightInd w:val="0"/>
              <w:snapToGrid w:val="0"/>
              <w:jc w:val="center"/>
              <w:rPr>
                <w:rFonts w:ascii="Arial" w:hAnsi="Arial" w:eastAsia="宋体" w:cs="Arial"/>
                <w:sz w:val="18"/>
                <w:szCs w:val="18"/>
              </w:rPr>
            </w:pPr>
            <w:r>
              <w:rPr>
                <w:rFonts w:ascii="Arial" w:hAnsi="Arial" w:eastAsia="宋体" w:cs="Arial"/>
                <w:sz w:val="18"/>
                <w:szCs w:val="18"/>
              </w:rPr>
              <w:t>21</w:t>
            </w:r>
          </w:p>
        </w:tc>
        <w:tc>
          <w:tcPr>
            <w:tcW w:w="394" w:type="pct"/>
            <w:vAlign w:val="center"/>
          </w:tcPr>
          <w:p w14:paraId="4848AF25">
            <w:pPr>
              <w:adjustRightInd w:val="0"/>
              <w:snapToGrid w:val="0"/>
              <w:jc w:val="center"/>
              <w:rPr>
                <w:rFonts w:ascii="Arial" w:hAnsi="Arial" w:eastAsia="宋体" w:cs="Arial"/>
                <w:sz w:val="18"/>
                <w:szCs w:val="18"/>
              </w:rPr>
            </w:pPr>
            <w:r>
              <w:rPr>
                <w:rFonts w:ascii="Arial" w:hAnsi="Arial" w:eastAsia="宋体" w:cs="Arial"/>
                <w:sz w:val="18"/>
                <w:szCs w:val="18"/>
              </w:rPr>
              <w:t>7920</w:t>
            </w:r>
          </w:p>
        </w:tc>
        <w:tc>
          <w:tcPr>
            <w:tcW w:w="315" w:type="pct"/>
            <w:vAlign w:val="center"/>
          </w:tcPr>
          <w:p w14:paraId="2773EC38">
            <w:pPr>
              <w:topLinePunct/>
              <w:autoSpaceDE w:val="0"/>
              <w:autoSpaceDN w:val="0"/>
              <w:adjustRightInd w:val="0"/>
              <w:snapToGrid w:val="0"/>
              <w:jc w:val="center"/>
              <w:rPr>
                <w:rFonts w:ascii="Arial" w:hAnsi="Arial" w:eastAsia="宋体" w:cs="Arial"/>
                <w:sz w:val="18"/>
                <w:szCs w:val="18"/>
              </w:rPr>
            </w:pPr>
            <w:r>
              <w:rPr>
                <w:rFonts w:ascii="Arial" w:hAnsi="Arial" w:eastAsia="宋体" w:cs="Arial"/>
                <w:sz w:val="18"/>
                <w:szCs w:val="18"/>
              </w:rPr>
              <w:t>正常</w:t>
            </w:r>
          </w:p>
        </w:tc>
        <w:tc>
          <w:tcPr>
            <w:tcW w:w="481" w:type="pct"/>
            <w:vAlign w:val="center"/>
          </w:tcPr>
          <w:p w14:paraId="2539E8A7">
            <w:pPr>
              <w:topLinePunct/>
              <w:autoSpaceDE w:val="0"/>
              <w:autoSpaceDN w:val="0"/>
              <w:adjustRightInd w:val="0"/>
              <w:snapToGrid w:val="0"/>
              <w:jc w:val="center"/>
              <w:rPr>
                <w:rFonts w:ascii="Arial" w:hAnsi="Arial" w:eastAsia="宋体" w:cs="Arial"/>
                <w:sz w:val="18"/>
                <w:szCs w:val="18"/>
              </w:rPr>
            </w:pPr>
          </w:p>
        </w:tc>
        <w:tc>
          <w:tcPr>
            <w:tcW w:w="439" w:type="pct"/>
            <w:vAlign w:val="center"/>
          </w:tcPr>
          <w:p w14:paraId="399F0D02">
            <w:pPr>
              <w:topLinePunct/>
              <w:autoSpaceDE w:val="0"/>
              <w:autoSpaceDN w:val="0"/>
              <w:adjustRightInd w:val="0"/>
              <w:snapToGrid w:val="0"/>
              <w:jc w:val="center"/>
              <w:rPr>
                <w:rFonts w:ascii="Arial" w:hAnsi="Arial" w:eastAsia="宋体" w:cs="Arial"/>
                <w:sz w:val="18"/>
                <w:szCs w:val="18"/>
              </w:rPr>
            </w:pPr>
            <w:r>
              <w:rPr>
                <w:rFonts w:hint="eastAsia" w:ascii="Arial" w:hAnsi="Arial" w:eastAsia="宋体" w:cs="Arial"/>
                <w:sz w:val="18"/>
                <w:szCs w:val="18"/>
              </w:rPr>
              <w:t>0.1272</w:t>
            </w:r>
          </w:p>
        </w:tc>
      </w:tr>
    </w:tbl>
    <w:p w14:paraId="40BF8712">
      <w:pPr>
        <w:pStyle w:val="474"/>
        <w:numPr>
          <w:ilvl w:val="0"/>
          <w:numId w:val="21"/>
        </w:numPr>
        <w:spacing w:line="500" w:lineRule="exact"/>
        <w:ind w:firstLineChars="0"/>
        <w:outlineLvl w:val="3"/>
        <w:rPr>
          <w:rFonts w:ascii="Arial" w:hAnsi="Arial" w:cs="Arial"/>
          <w:b/>
        </w:rPr>
      </w:pPr>
      <w:r>
        <w:rPr>
          <w:rFonts w:ascii="Arial" w:hAnsi="Arial" w:cs="Arial"/>
          <w:b/>
        </w:rPr>
        <w:t>预测情景</w:t>
      </w:r>
    </w:p>
    <w:p w14:paraId="0EAD9BBA">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根据项目的实际情况，设置了3种预测情景，具体见表4-12。</w:t>
      </w:r>
    </w:p>
    <w:p w14:paraId="353BEE69">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预测情景设置</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1728"/>
        <w:gridCol w:w="1701"/>
        <w:gridCol w:w="1701"/>
        <w:gridCol w:w="1134"/>
        <w:gridCol w:w="2082"/>
      </w:tblGrid>
      <w:tr w14:paraId="05B5E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vAlign w:val="center"/>
          </w:tcPr>
          <w:p w14:paraId="573602B1">
            <w:pPr>
              <w:spacing w:line="0" w:lineRule="atLeast"/>
              <w:jc w:val="center"/>
              <w:rPr>
                <w:rFonts w:ascii="Arial" w:hAnsi="Arial" w:eastAsia="宋体" w:cs="Arial"/>
                <w:spacing w:val="4"/>
                <w:kern w:val="0"/>
                <w:sz w:val="21"/>
                <w:szCs w:val="21"/>
              </w:rPr>
            </w:pPr>
            <w:r>
              <w:rPr>
                <w:rFonts w:hint="eastAsia" w:ascii="Arial" w:hAnsi="Arial" w:eastAsia="宋体" w:cs="Arial"/>
                <w:spacing w:val="4"/>
                <w:kern w:val="0"/>
                <w:sz w:val="21"/>
                <w:szCs w:val="21"/>
              </w:rPr>
              <w:t>评价</w:t>
            </w:r>
            <w:r>
              <w:rPr>
                <w:rFonts w:ascii="Arial" w:hAnsi="Arial" w:eastAsia="宋体" w:cs="Arial"/>
                <w:spacing w:val="4"/>
                <w:kern w:val="0"/>
                <w:sz w:val="21"/>
                <w:szCs w:val="21"/>
              </w:rPr>
              <w:t>对象</w:t>
            </w:r>
          </w:p>
        </w:tc>
        <w:tc>
          <w:tcPr>
            <w:tcW w:w="961" w:type="pct"/>
            <w:vAlign w:val="center"/>
          </w:tcPr>
          <w:p w14:paraId="4E122441">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污染源</w:t>
            </w:r>
          </w:p>
        </w:tc>
        <w:tc>
          <w:tcPr>
            <w:tcW w:w="946" w:type="pct"/>
            <w:vAlign w:val="center"/>
          </w:tcPr>
          <w:p w14:paraId="2905B74B">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污染源排放形式</w:t>
            </w:r>
          </w:p>
        </w:tc>
        <w:tc>
          <w:tcPr>
            <w:tcW w:w="946" w:type="pct"/>
            <w:vAlign w:val="center"/>
          </w:tcPr>
          <w:p w14:paraId="5B557E61">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预测因子</w:t>
            </w:r>
          </w:p>
        </w:tc>
        <w:tc>
          <w:tcPr>
            <w:tcW w:w="630" w:type="pct"/>
            <w:vAlign w:val="center"/>
          </w:tcPr>
          <w:p w14:paraId="79DE29AC">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预测内容</w:t>
            </w:r>
          </w:p>
        </w:tc>
        <w:tc>
          <w:tcPr>
            <w:tcW w:w="1157" w:type="pct"/>
            <w:vAlign w:val="center"/>
          </w:tcPr>
          <w:p w14:paraId="5AF1B4E7">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评价内容</w:t>
            </w:r>
          </w:p>
        </w:tc>
      </w:tr>
      <w:tr w14:paraId="53F4B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vMerge w:val="restart"/>
            <w:vAlign w:val="center"/>
          </w:tcPr>
          <w:p w14:paraId="2D7FEA5B">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达标区</w:t>
            </w:r>
          </w:p>
        </w:tc>
        <w:tc>
          <w:tcPr>
            <w:tcW w:w="961" w:type="pct"/>
            <w:vAlign w:val="center"/>
          </w:tcPr>
          <w:p w14:paraId="1F4E72C3">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新增污染源</w:t>
            </w:r>
          </w:p>
        </w:tc>
        <w:tc>
          <w:tcPr>
            <w:tcW w:w="946" w:type="pct"/>
            <w:vAlign w:val="center"/>
          </w:tcPr>
          <w:p w14:paraId="1F95642E">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正常排放</w:t>
            </w:r>
          </w:p>
        </w:tc>
        <w:tc>
          <w:tcPr>
            <w:tcW w:w="946" w:type="pct"/>
            <w:vAlign w:val="center"/>
          </w:tcPr>
          <w:p w14:paraId="4130FB2C">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PM</w:t>
            </w:r>
            <w:r>
              <w:rPr>
                <w:rFonts w:ascii="Arial" w:hAnsi="Arial" w:eastAsia="宋体" w:cs="Arial"/>
                <w:spacing w:val="4"/>
                <w:kern w:val="0"/>
                <w:sz w:val="21"/>
                <w:szCs w:val="21"/>
                <w:vertAlign w:val="subscript"/>
              </w:rPr>
              <w:t>10</w:t>
            </w:r>
            <w:r>
              <w:rPr>
                <w:rFonts w:ascii="Arial" w:hAnsi="Arial" w:eastAsia="宋体" w:cs="Arial"/>
                <w:spacing w:val="4"/>
                <w:kern w:val="0"/>
                <w:sz w:val="21"/>
                <w:szCs w:val="21"/>
              </w:rPr>
              <w:t>、</w:t>
            </w:r>
            <w:r>
              <w:rPr>
                <w:rFonts w:hint="eastAsia" w:ascii="Arial" w:hAnsi="Arial" w:eastAsia="宋体" w:cs="Arial"/>
                <w:spacing w:val="4"/>
                <w:kern w:val="0"/>
                <w:sz w:val="21"/>
                <w:szCs w:val="21"/>
              </w:rPr>
              <w:t>氨气、钴及其化合物</w:t>
            </w:r>
          </w:p>
        </w:tc>
        <w:tc>
          <w:tcPr>
            <w:tcW w:w="630" w:type="pct"/>
            <w:vAlign w:val="center"/>
          </w:tcPr>
          <w:p w14:paraId="0F20A53F">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短期浓度</w:t>
            </w:r>
          </w:p>
          <w:p w14:paraId="727028B1">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长期浓度</w:t>
            </w:r>
          </w:p>
        </w:tc>
        <w:tc>
          <w:tcPr>
            <w:tcW w:w="1157" w:type="pct"/>
            <w:vAlign w:val="center"/>
          </w:tcPr>
          <w:p w14:paraId="53D60117">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最大浓度占标率</w:t>
            </w:r>
          </w:p>
        </w:tc>
      </w:tr>
      <w:tr w14:paraId="25470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360" w:type="pct"/>
            <w:vMerge w:val="continue"/>
            <w:vAlign w:val="center"/>
          </w:tcPr>
          <w:p w14:paraId="6D9E22BA">
            <w:pPr>
              <w:spacing w:line="0" w:lineRule="atLeast"/>
              <w:jc w:val="center"/>
              <w:rPr>
                <w:rFonts w:ascii="Arial" w:hAnsi="Arial" w:eastAsia="宋体" w:cs="Arial"/>
                <w:spacing w:val="4"/>
                <w:kern w:val="0"/>
                <w:sz w:val="21"/>
                <w:szCs w:val="21"/>
              </w:rPr>
            </w:pPr>
          </w:p>
        </w:tc>
        <w:tc>
          <w:tcPr>
            <w:tcW w:w="961" w:type="pct"/>
            <w:vAlign w:val="center"/>
          </w:tcPr>
          <w:p w14:paraId="66A737D3">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新增污染源—“以新带老”污染源—区域削减污染源+其他在建、拟建污染源</w:t>
            </w:r>
          </w:p>
        </w:tc>
        <w:tc>
          <w:tcPr>
            <w:tcW w:w="946" w:type="pct"/>
            <w:vAlign w:val="center"/>
          </w:tcPr>
          <w:p w14:paraId="3815760A">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正常排放</w:t>
            </w:r>
          </w:p>
        </w:tc>
        <w:tc>
          <w:tcPr>
            <w:tcW w:w="946" w:type="pct"/>
            <w:vAlign w:val="center"/>
          </w:tcPr>
          <w:p w14:paraId="2A5E360D">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PM</w:t>
            </w:r>
            <w:r>
              <w:rPr>
                <w:rFonts w:ascii="Arial" w:hAnsi="Arial" w:eastAsia="宋体" w:cs="Arial"/>
                <w:spacing w:val="4"/>
                <w:kern w:val="0"/>
                <w:sz w:val="21"/>
                <w:szCs w:val="21"/>
                <w:vertAlign w:val="subscript"/>
              </w:rPr>
              <w:t>10</w:t>
            </w:r>
            <w:r>
              <w:rPr>
                <w:rFonts w:ascii="Arial" w:hAnsi="Arial" w:eastAsia="宋体" w:cs="Arial"/>
                <w:spacing w:val="4"/>
                <w:kern w:val="0"/>
                <w:sz w:val="21"/>
                <w:szCs w:val="21"/>
              </w:rPr>
              <w:t>、</w:t>
            </w:r>
            <w:r>
              <w:rPr>
                <w:rFonts w:hint="eastAsia" w:ascii="Arial" w:hAnsi="Arial" w:eastAsia="宋体" w:cs="Arial"/>
                <w:spacing w:val="4"/>
                <w:kern w:val="0"/>
                <w:sz w:val="21"/>
                <w:szCs w:val="21"/>
              </w:rPr>
              <w:t>氨气</w:t>
            </w:r>
          </w:p>
        </w:tc>
        <w:tc>
          <w:tcPr>
            <w:tcW w:w="630" w:type="pct"/>
            <w:vAlign w:val="center"/>
          </w:tcPr>
          <w:p w14:paraId="7B4C5115">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短期浓度</w:t>
            </w:r>
          </w:p>
          <w:p w14:paraId="39CF93F5">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长期浓度</w:t>
            </w:r>
          </w:p>
        </w:tc>
        <w:tc>
          <w:tcPr>
            <w:tcW w:w="1157" w:type="pct"/>
            <w:vAlign w:val="center"/>
          </w:tcPr>
          <w:p w14:paraId="6B6BE542">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叠加环境质量现状浓度后的保证率日均质量浓度和年平均质量浓度的占标率，或短期浓度的达标情况</w:t>
            </w:r>
          </w:p>
        </w:tc>
      </w:tr>
      <w:tr w14:paraId="479F1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vMerge w:val="continue"/>
            <w:vAlign w:val="center"/>
          </w:tcPr>
          <w:p w14:paraId="318608BC">
            <w:pPr>
              <w:spacing w:line="0" w:lineRule="atLeast"/>
              <w:jc w:val="center"/>
              <w:rPr>
                <w:rFonts w:ascii="Arial" w:hAnsi="Arial" w:eastAsia="宋体" w:cs="Arial"/>
                <w:spacing w:val="4"/>
                <w:kern w:val="0"/>
                <w:sz w:val="21"/>
                <w:szCs w:val="21"/>
              </w:rPr>
            </w:pPr>
          </w:p>
        </w:tc>
        <w:tc>
          <w:tcPr>
            <w:tcW w:w="961" w:type="pct"/>
            <w:vAlign w:val="center"/>
          </w:tcPr>
          <w:p w14:paraId="7E09E045">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新增污染源</w:t>
            </w:r>
          </w:p>
        </w:tc>
        <w:tc>
          <w:tcPr>
            <w:tcW w:w="946" w:type="pct"/>
            <w:vAlign w:val="center"/>
          </w:tcPr>
          <w:p w14:paraId="5BEDBE50">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非正常排放</w:t>
            </w:r>
          </w:p>
        </w:tc>
        <w:tc>
          <w:tcPr>
            <w:tcW w:w="946" w:type="pct"/>
            <w:vAlign w:val="center"/>
          </w:tcPr>
          <w:p w14:paraId="4AAAD7A8">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PM</w:t>
            </w:r>
            <w:r>
              <w:rPr>
                <w:rFonts w:ascii="Arial" w:hAnsi="Arial" w:eastAsia="宋体" w:cs="Arial"/>
                <w:spacing w:val="4"/>
                <w:kern w:val="0"/>
                <w:sz w:val="21"/>
                <w:szCs w:val="21"/>
                <w:vertAlign w:val="subscript"/>
              </w:rPr>
              <w:t>10</w:t>
            </w:r>
            <w:r>
              <w:rPr>
                <w:rFonts w:ascii="Arial" w:hAnsi="Arial" w:eastAsia="宋体" w:cs="Arial"/>
                <w:spacing w:val="4"/>
                <w:kern w:val="0"/>
                <w:sz w:val="21"/>
                <w:szCs w:val="21"/>
              </w:rPr>
              <w:t>、</w:t>
            </w:r>
            <w:r>
              <w:rPr>
                <w:rFonts w:hint="eastAsia" w:ascii="Arial" w:hAnsi="Arial" w:eastAsia="宋体" w:cs="Arial"/>
                <w:spacing w:val="4"/>
                <w:kern w:val="0"/>
                <w:sz w:val="21"/>
                <w:szCs w:val="21"/>
              </w:rPr>
              <w:t>氨气、钴及其化合物</w:t>
            </w:r>
          </w:p>
        </w:tc>
        <w:tc>
          <w:tcPr>
            <w:tcW w:w="630" w:type="pct"/>
            <w:vAlign w:val="center"/>
          </w:tcPr>
          <w:p w14:paraId="172024A5">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1h平均质量浓度</w:t>
            </w:r>
          </w:p>
        </w:tc>
        <w:tc>
          <w:tcPr>
            <w:tcW w:w="1157" w:type="pct"/>
            <w:vAlign w:val="center"/>
          </w:tcPr>
          <w:p w14:paraId="472A94E6">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最大浓度占标率</w:t>
            </w:r>
          </w:p>
        </w:tc>
      </w:tr>
      <w:tr w14:paraId="30178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vAlign w:val="center"/>
          </w:tcPr>
          <w:p w14:paraId="3D18B475">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大气环境防护距离</w:t>
            </w:r>
          </w:p>
        </w:tc>
        <w:tc>
          <w:tcPr>
            <w:tcW w:w="961" w:type="pct"/>
            <w:vAlign w:val="center"/>
          </w:tcPr>
          <w:p w14:paraId="77CFCF68">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新增污染源—“以新带老”污染源</w:t>
            </w:r>
            <w:r>
              <w:rPr>
                <w:rFonts w:hint="eastAsia" w:ascii="Arial" w:hAnsi="Arial" w:eastAsia="宋体" w:cs="Arial"/>
                <w:spacing w:val="4"/>
                <w:kern w:val="0"/>
                <w:sz w:val="21"/>
                <w:szCs w:val="21"/>
              </w:rPr>
              <w:t>+项目全厂现有污染源</w:t>
            </w:r>
          </w:p>
        </w:tc>
        <w:tc>
          <w:tcPr>
            <w:tcW w:w="946" w:type="pct"/>
            <w:vAlign w:val="center"/>
          </w:tcPr>
          <w:p w14:paraId="7A54BFFD">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正常排放</w:t>
            </w:r>
          </w:p>
        </w:tc>
        <w:tc>
          <w:tcPr>
            <w:tcW w:w="946" w:type="pct"/>
            <w:vAlign w:val="center"/>
          </w:tcPr>
          <w:p w14:paraId="20564CD1">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PM</w:t>
            </w:r>
            <w:r>
              <w:rPr>
                <w:rFonts w:ascii="Arial" w:hAnsi="Arial" w:eastAsia="宋体" w:cs="Arial"/>
                <w:spacing w:val="4"/>
                <w:kern w:val="0"/>
                <w:sz w:val="21"/>
                <w:szCs w:val="21"/>
                <w:vertAlign w:val="subscript"/>
              </w:rPr>
              <w:t>10</w:t>
            </w:r>
            <w:r>
              <w:rPr>
                <w:rFonts w:ascii="Arial" w:hAnsi="Arial" w:eastAsia="宋体" w:cs="Arial"/>
                <w:spacing w:val="4"/>
                <w:kern w:val="0"/>
                <w:sz w:val="21"/>
                <w:szCs w:val="21"/>
              </w:rPr>
              <w:t>、</w:t>
            </w:r>
            <w:r>
              <w:rPr>
                <w:rFonts w:hint="eastAsia" w:ascii="Arial" w:hAnsi="Arial" w:eastAsia="宋体" w:cs="Arial"/>
                <w:spacing w:val="4"/>
                <w:kern w:val="0"/>
                <w:sz w:val="21"/>
                <w:szCs w:val="21"/>
              </w:rPr>
              <w:t>氨气、钴及其化合物</w:t>
            </w:r>
          </w:p>
        </w:tc>
        <w:tc>
          <w:tcPr>
            <w:tcW w:w="630" w:type="pct"/>
            <w:vAlign w:val="center"/>
          </w:tcPr>
          <w:p w14:paraId="29CDA3CD">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短期浓度</w:t>
            </w:r>
          </w:p>
        </w:tc>
        <w:tc>
          <w:tcPr>
            <w:tcW w:w="1157" w:type="pct"/>
            <w:vAlign w:val="center"/>
          </w:tcPr>
          <w:p w14:paraId="5111B9F3">
            <w:pPr>
              <w:spacing w:line="0" w:lineRule="atLeast"/>
              <w:jc w:val="center"/>
              <w:rPr>
                <w:rFonts w:ascii="Arial" w:hAnsi="Arial" w:eastAsia="宋体" w:cs="Arial"/>
                <w:spacing w:val="4"/>
                <w:kern w:val="0"/>
                <w:sz w:val="21"/>
                <w:szCs w:val="21"/>
              </w:rPr>
            </w:pPr>
            <w:r>
              <w:rPr>
                <w:rFonts w:ascii="Arial" w:hAnsi="Arial" w:eastAsia="宋体" w:cs="Arial"/>
                <w:spacing w:val="4"/>
                <w:kern w:val="0"/>
                <w:sz w:val="21"/>
                <w:szCs w:val="21"/>
              </w:rPr>
              <w:t>大气环境防护距离</w:t>
            </w:r>
          </w:p>
        </w:tc>
      </w:tr>
    </w:tbl>
    <w:p w14:paraId="12B8E11A">
      <w:pPr>
        <w:pStyle w:val="474"/>
        <w:numPr>
          <w:ilvl w:val="0"/>
          <w:numId w:val="21"/>
        </w:numPr>
        <w:spacing w:line="500" w:lineRule="exact"/>
        <w:ind w:firstLineChars="0"/>
        <w:outlineLvl w:val="3"/>
        <w:rPr>
          <w:rFonts w:ascii="Arial" w:hAnsi="Arial" w:cs="Arial"/>
          <w:b/>
        </w:rPr>
      </w:pPr>
      <w:r>
        <w:rPr>
          <w:rFonts w:ascii="Arial" w:hAnsi="Arial" w:cs="Arial"/>
          <w:b/>
        </w:rPr>
        <w:t>评价内容</w:t>
      </w:r>
    </w:p>
    <w:p w14:paraId="59A07098">
      <w:pPr>
        <w:autoSpaceDE w:val="0"/>
        <w:autoSpaceDN w:val="0"/>
        <w:adjustRightInd w:val="0"/>
        <w:spacing w:line="500" w:lineRule="exact"/>
        <w:ind w:firstLine="490" w:firstLineChars="200"/>
        <w:textAlignment w:val="bottom"/>
        <w:rPr>
          <w:rFonts w:ascii="Arial" w:hAnsi="Arial" w:eastAsia="宋体" w:cs="Arial"/>
          <w:spacing w:val="10"/>
          <w:sz w:val="24"/>
        </w:rPr>
      </w:pPr>
      <w:r>
        <w:rPr>
          <w:rFonts w:ascii="Arial" w:hAnsi="Arial" w:eastAsia="宋体" w:cs="Arial"/>
          <w:spacing w:val="10"/>
          <w:sz w:val="24"/>
        </w:rPr>
        <w:t>1、项目正常排放条件下，预测环境空气保护目标和网格点主要污染物的短期浓度和长期浓度贡献值，评价其最大浓度占标率。</w:t>
      </w:r>
    </w:p>
    <w:p w14:paraId="7B0C625D">
      <w:pPr>
        <w:autoSpaceDE w:val="0"/>
        <w:autoSpaceDN w:val="0"/>
        <w:adjustRightInd w:val="0"/>
        <w:spacing w:line="500" w:lineRule="exact"/>
        <w:ind w:firstLine="490" w:firstLineChars="200"/>
        <w:textAlignment w:val="bottom"/>
        <w:rPr>
          <w:rFonts w:ascii="Arial" w:hAnsi="Arial" w:eastAsia="宋体" w:cs="Arial"/>
          <w:spacing w:val="10"/>
          <w:sz w:val="24"/>
        </w:rPr>
      </w:pPr>
      <w:r>
        <w:rPr>
          <w:rFonts w:ascii="Arial" w:hAnsi="Arial" w:eastAsia="宋体" w:cs="Arial"/>
          <w:spacing w:val="10"/>
          <w:sz w:val="24"/>
        </w:rPr>
        <w:t>2、项目正常排放条件下，预测评价叠加现状+新增污染源+其他在建、拟建项目-“以新带老”污染源相关污染源后，环境空气保护目标和网格点主要污染物保证率日平均质量浓度和年平均质量浓度的达标情况。</w:t>
      </w:r>
    </w:p>
    <w:p w14:paraId="25268040">
      <w:pPr>
        <w:spacing w:line="500" w:lineRule="exact"/>
        <w:ind w:firstLine="490" w:firstLineChars="200"/>
        <w:rPr>
          <w:rFonts w:ascii="Arial" w:hAnsi="Arial" w:eastAsia="宋体" w:cs="Arial"/>
          <w:spacing w:val="10"/>
          <w:sz w:val="24"/>
        </w:rPr>
      </w:pPr>
      <w:r>
        <w:rPr>
          <w:rFonts w:ascii="Arial" w:hAnsi="Arial" w:eastAsia="宋体" w:cs="Arial"/>
          <w:spacing w:val="10"/>
          <w:sz w:val="24"/>
        </w:rPr>
        <w:t>3、非正常排放情况下，预测环境空气环保目标和网格点主要污染物的1h最大浓度贡献值，评价其最大浓度占标率。</w:t>
      </w:r>
    </w:p>
    <w:p w14:paraId="5112D178">
      <w:pPr>
        <w:pStyle w:val="474"/>
        <w:numPr>
          <w:ilvl w:val="0"/>
          <w:numId w:val="21"/>
        </w:numPr>
        <w:spacing w:line="500" w:lineRule="exact"/>
        <w:ind w:firstLineChars="0"/>
        <w:outlineLvl w:val="3"/>
        <w:rPr>
          <w:rFonts w:ascii="Arial" w:hAnsi="Arial" w:cs="Arial"/>
          <w:b/>
        </w:rPr>
      </w:pPr>
      <w:r>
        <w:rPr>
          <w:rFonts w:ascii="Arial" w:hAnsi="Arial" w:cs="Arial"/>
          <w:b/>
        </w:rPr>
        <w:t>预测结果与评价</w:t>
      </w:r>
    </w:p>
    <w:p w14:paraId="59FAC79A">
      <w:pPr>
        <w:spacing w:line="500" w:lineRule="exact"/>
        <w:ind w:firstLine="490" w:firstLineChars="200"/>
        <w:rPr>
          <w:rFonts w:ascii="Arial" w:hAnsi="Arial" w:eastAsia="宋体" w:cs="Arial"/>
          <w:spacing w:val="10"/>
          <w:sz w:val="24"/>
        </w:rPr>
      </w:pPr>
      <w:r>
        <w:rPr>
          <w:rFonts w:ascii="Arial" w:hAnsi="Arial" w:eastAsia="宋体" w:cs="Arial"/>
          <w:spacing w:val="10"/>
          <w:sz w:val="24"/>
        </w:rPr>
        <w:t>1、新增污染源正常排放预测结果与评价</w:t>
      </w:r>
    </w:p>
    <w:p w14:paraId="04C84514">
      <w:pPr>
        <w:pStyle w:val="5"/>
        <w:adjustRightInd w:val="0"/>
        <w:snapToGrid w:val="0"/>
        <w:spacing w:line="500" w:lineRule="exact"/>
        <w:ind w:firstLine="490" w:firstLineChars="200"/>
        <w:rPr>
          <w:szCs w:val="24"/>
          <w:u w:val="single"/>
        </w:rPr>
      </w:pPr>
      <w:r>
        <w:rPr>
          <w:szCs w:val="24"/>
          <w:u w:val="single"/>
        </w:rPr>
        <w:t>根据预测结果可知，项目PM</w:t>
      </w:r>
      <w:r>
        <w:rPr>
          <w:szCs w:val="24"/>
          <w:u w:val="single"/>
          <w:vertAlign w:val="subscript"/>
        </w:rPr>
        <w:t>10</w:t>
      </w:r>
      <w:r>
        <w:rPr>
          <w:szCs w:val="24"/>
          <w:u w:val="single"/>
        </w:rPr>
        <w:t>日均浓度贡献值占标率为</w:t>
      </w:r>
      <w:r>
        <w:rPr>
          <w:rFonts w:hint="eastAsia"/>
          <w:szCs w:val="24"/>
          <w:u w:val="single"/>
        </w:rPr>
        <w:t>0.99</w:t>
      </w:r>
      <w:r>
        <w:rPr>
          <w:szCs w:val="24"/>
          <w:u w:val="single"/>
        </w:rPr>
        <w:t>%</w:t>
      </w:r>
      <w:r>
        <w:rPr>
          <w:rFonts w:hint="eastAsia"/>
          <w:szCs w:val="24"/>
          <w:u w:val="single"/>
        </w:rPr>
        <w:t>，氨气</w:t>
      </w:r>
      <w:r>
        <w:rPr>
          <w:szCs w:val="24"/>
          <w:u w:val="single"/>
        </w:rPr>
        <w:t>小时浓度贡献值占标率为</w:t>
      </w:r>
      <w:r>
        <w:rPr>
          <w:rFonts w:hint="eastAsia"/>
          <w:szCs w:val="24"/>
          <w:u w:val="single"/>
        </w:rPr>
        <w:t>39.99</w:t>
      </w:r>
      <w:r>
        <w:rPr>
          <w:szCs w:val="24"/>
          <w:u w:val="single"/>
        </w:rPr>
        <w:t>%</w:t>
      </w:r>
      <w:r>
        <w:rPr>
          <w:rFonts w:hint="eastAsia"/>
          <w:szCs w:val="24"/>
          <w:u w:val="single"/>
        </w:rPr>
        <w:t>，</w:t>
      </w:r>
      <w:r>
        <w:rPr>
          <w:szCs w:val="24"/>
          <w:u w:val="single"/>
        </w:rPr>
        <w:t>各污染物短期浓度贡献值占标率均低于100%</w:t>
      </w:r>
      <w:r>
        <w:rPr>
          <w:rFonts w:hint="eastAsia"/>
          <w:szCs w:val="24"/>
          <w:u w:val="single"/>
        </w:rPr>
        <w:t>；</w:t>
      </w:r>
      <w:r>
        <w:rPr>
          <w:szCs w:val="24"/>
          <w:u w:val="single"/>
        </w:rPr>
        <w:t>PM</w:t>
      </w:r>
      <w:r>
        <w:rPr>
          <w:szCs w:val="24"/>
          <w:u w:val="single"/>
          <w:vertAlign w:val="subscript"/>
        </w:rPr>
        <w:t>10</w:t>
      </w:r>
      <w:r>
        <w:rPr>
          <w:szCs w:val="24"/>
          <w:u w:val="single"/>
        </w:rPr>
        <w:t>年均浓度贡献值占标率为</w:t>
      </w:r>
      <w:r>
        <w:rPr>
          <w:rFonts w:hint="eastAsia"/>
          <w:szCs w:val="24"/>
          <w:u w:val="single"/>
        </w:rPr>
        <w:t>0.2</w:t>
      </w:r>
      <w:r>
        <w:rPr>
          <w:szCs w:val="24"/>
          <w:u w:val="single"/>
        </w:rPr>
        <w:t>%</w:t>
      </w:r>
      <w:r>
        <w:rPr>
          <w:rFonts w:hint="eastAsia"/>
          <w:szCs w:val="24"/>
          <w:u w:val="single"/>
        </w:rPr>
        <w:t>，</w:t>
      </w:r>
      <w:r>
        <w:rPr>
          <w:szCs w:val="24"/>
          <w:u w:val="single"/>
        </w:rPr>
        <w:t>低于30%。</w:t>
      </w:r>
    </w:p>
    <w:p w14:paraId="120EB37C">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项目新增污染源正常排放预测结果见表4-1</w:t>
      </w:r>
      <w:r>
        <w:rPr>
          <w:rFonts w:hint="eastAsia" w:ascii="Arial" w:hAnsi="Arial" w:eastAsia="宋体" w:cs="Arial"/>
          <w:spacing w:val="10"/>
          <w:sz w:val="24"/>
        </w:rPr>
        <w:t>3</w:t>
      </w:r>
      <w:r>
        <w:rPr>
          <w:rFonts w:ascii="Arial" w:hAnsi="Arial" w:eastAsia="宋体" w:cs="Arial"/>
          <w:spacing w:val="10"/>
          <w:sz w:val="24"/>
        </w:rPr>
        <w:t>。</w:t>
      </w:r>
    </w:p>
    <w:p w14:paraId="59085DC2">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正常排放贡献值预测结果</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1384"/>
        <w:gridCol w:w="715"/>
        <w:gridCol w:w="653"/>
        <w:gridCol w:w="995"/>
        <w:gridCol w:w="995"/>
        <w:gridCol w:w="1089"/>
        <w:gridCol w:w="995"/>
        <w:gridCol w:w="703"/>
        <w:gridCol w:w="606"/>
      </w:tblGrid>
      <w:tr w14:paraId="067BF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shd w:val="clear" w:color="auto" w:fill="auto"/>
            <w:noWrap/>
            <w:vAlign w:val="center"/>
          </w:tcPr>
          <w:p w14:paraId="3101C0C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污染物</w:t>
            </w:r>
          </w:p>
        </w:tc>
        <w:tc>
          <w:tcPr>
            <w:tcW w:w="0" w:type="auto"/>
            <w:vMerge w:val="restart"/>
            <w:shd w:val="clear" w:color="auto" w:fill="auto"/>
            <w:noWrap/>
            <w:vAlign w:val="center"/>
          </w:tcPr>
          <w:p w14:paraId="2B4D825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点名称</w:t>
            </w:r>
          </w:p>
        </w:tc>
        <w:tc>
          <w:tcPr>
            <w:tcW w:w="0" w:type="auto"/>
            <w:gridSpan w:val="2"/>
            <w:vAlign w:val="center"/>
          </w:tcPr>
          <w:p w14:paraId="578CFFB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坐标</w:t>
            </w:r>
          </w:p>
        </w:tc>
        <w:tc>
          <w:tcPr>
            <w:tcW w:w="0" w:type="auto"/>
            <w:vMerge w:val="restart"/>
            <w:shd w:val="clear" w:color="auto" w:fill="auto"/>
            <w:noWrap/>
            <w:vAlign w:val="center"/>
          </w:tcPr>
          <w:p w14:paraId="573BFD3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浓度类型</w:t>
            </w:r>
          </w:p>
        </w:tc>
        <w:tc>
          <w:tcPr>
            <w:tcW w:w="0" w:type="auto"/>
            <w:vMerge w:val="restart"/>
            <w:shd w:val="clear" w:color="auto" w:fill="auto"/>
            <w:noWrap/>
            <w:vAlign w:val="center"/>
          </w:tcPr>
          <w:p w14:paraId="336DA4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浓度增量</w:t>
            </w:r>
          </w:p>
          <w:p w14:paraId="104449A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0" w:type="auto"/>
            <w:vMerge w:val="restart"/>
            <w:shd w:val="clear" w:color="auto" w:fill="auto"/>
            <w:noWrap/>
            <w:vAlign w:val="center"/>
          </w:tcPr>
          <w:p w14:paraId="26CB64C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出现时间</w:t>
            </w:r>
          </w:p>
        </w:tc>
        <w:tc>
          <w:tcPr>
            <w:tcW w:w="0" w:type="auto"/>
            <w:vMerge w:val="restart"/>
            <w:shd w:val="clear" w:color="auto" w:fill="auto"/>
            <w:noWrap/>
            <w:vAlign w:val="center"/>
          </w:tcPr>
          <w:p w14:paraId="63E665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评价标准</w:t>
            </w:r>
          </w:p>
          <w:p w14:paraId="18C87B7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0" w:type="auto"/>
            <w:vMerge w:val="restart"/>
            <w:shd w:val="clear" w:color="auto" w:fill="auto"/>
            <w:noWrap/>
            <w:vAlign w:val="center"/>
          </w:tcPr>
          <w:p w14:paraId="5E3429F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占标</w:t>
            </w:r>
          </w:p>
          <w:p w14:paraId="123ABE0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率%</w:t>
            </w:r>
          </w:p>
        </w:tc>
        <w:tc>
          <w:tcPr>
            <w:tcW w:w="0" w:type="auto"/>
            <w:vMerge w:val="restart"/>
            <w:shd w:val="clear" w:color="auto" w:fill="auto"/>
            <w:noWrap/>
            <w:vAlign w:val="center"/>
          </w:tcPr>
          <w:p w14:paraId="7297D49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是否</w:t>
            </w:r>
          </w:p>
          <w:p w14:paraId="45C3E02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超标</w:t>
            </w:r>
          </w:p>
        </w:tc>
      </w:tr>
      <w:tr w14:paraId="78509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D829462">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75835CDF">
            <w:pPr>
              <w:widowControl/>
              <w:adjustRightInd w:val="0"/>
              <w:snapToGrid w:val="0"/>
              <w:jc w:val="center"/>
              <w:rPr>
                <w:rFonts w:ascii="Arial" w:hAnsi="Arial" w:cs="Arial" w:eastAsiaTheme="minorEastAsia"/>
                <w:kern w:val="0"/>
                <w:sz w:val="21"/>
                <w:szCs w:val="21"/>
                <w:u w:val="single"/>
              </w:rPr>
            </w:pPr>
          </w:p>
        </w:tc>
        <w:tc>
          <w:tcPr>
            <w:tcW w:w="0" w:type="auto"/>
            <w:vAlign w:val="center"/>
          </w:tcPr>
          <w:p w14:paraId="4B8EDF1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X</w:t>
            </w:r>
          </w:p>
        </w:tc>
        <w:tc>
          <w:tcPr>
            <w:tcW w:w="0" w:type="auto"/>
            <w:vAlign w:val="center"/>
          </w:tcPr>
          <w:p w14:paraId="4310FD1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Y</w:t>
            </w:r>
          </w:p>
        </w:tc>
        <w:tc>
          <w:tcPr>
            <w:tcW w:w="0" w:type="auto"/>
            <w:vMerge w:val="continue"/>
            <w:shd w:val="clear" w:color="auto" w:fill="auto"/>
            <w:noWrap/>
            <w:vAlign w:val="center"/>
          </w:tcPr>
          <w:p w14:paraId="7DC99093">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38BC4CF7">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2AE1796C">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26FBE7F9">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28FEF6BA">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584C0B0C">
            <w:pPr>
              <w:widowControl/>
              <w:adjustRightInd w:val="0"/>
              <w:snapToGrid w:val="0"/>
              <w:jc w:val="center"/>
              <w:rPr>
                <w:rFonts w:ascii="Arial" w:hAnsi="Arial" w:cs="Arial" w:eastAsiaTheme="minorEastAsia"/>
                <w:kern w:val="0"/>
                <w:sz w:val="21"/>
                <w:szCs w:val="21"/>
                <w:u w:val="single"/>
              </w:rPr>
            </w:pPr>
          </w:p>
        </w:tc>
      </w:tr>
      <w:tr w14:paraId="6B2CF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shd w:val="clear" w:color="auto" w:fill="auto"/>
            <w:noWrap/>
            <w:vAlign w:val="center"/>
          </w:tcPr>
          <w:p w14:paraId="47D0335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PM</w:t>
            </w:r>
            <w:r>
              <w:rPr>
                <w:rFonts w:ascii="Arial" w:hAnsi="Arial" w:cs="Arial" w:eastAsiaTheme="minorEastAsia"/>
                <w:kern w:val="0"/>
                <w:sz w:val="21"/>
                <w:szCs w:val="21"/>
                <w:u w:val="single"/>
                <w:vertAlign w:val="subscript"/>
              </w:rPr>
              <w:t>10</w:t>
            </w:r>
          </w:p>
        </w:tc>
        <w:tc>
          <w:tcPr>
            <w:tcW w:w="0" w:type="auto"/>
            <w:vMerge w:val="restart"/>
            <w:shd w:val="clear" w:color="auto" w:fill="auto"/>
            <w:noWrap/>
            <w:vAlign w:val="center"/>
          </w:tcPr>
          <w:p w14:paraId="194F073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0" w:type="auto"/>
            <w:vMerge w:val="restart"/>
            <w:vAlign w:val="center"/>
          </w:tcPr>
          <w:p w14:paraId="07D3DA8A">
            <w:pPr>
              <w:adjustRightInd w:val="0"/>
              <w:snapToGrid w:val="0"/>
              <w:jc w:val="center"/>
              <w:rPr>
                <w:rFonts w:ascii="Arial" w:hAnsi="Arial" w:eastAsia="宋体" w:cs="Arial"/>
                <w:sz w:val="21"/>
                <w:szCs w:val="21"/>
                <w:u w:val="single"/>
              </w:rPr>
            </w:pPr>
            <w:r>
              <w:rPr>
                <w:rFonts w:ascii="Arial" w:hAnsi="Arial" w:cs="Arial"/>
                <w:sz w:val="21"/>
                <w:szCs w:val="21"/>
                <w:u w:val="single"/>
              </w:rPr>
              <w:t>-73</w:t>
            </w:r>
          </w:p>
        </w:tc>
        <w:tc>
          <w:tcPr>
            <w:tcW w:w="0" w:type="auto"/>
            <w:vMerge w:val="restart"/>
            <w:vAlign w:val="center"/>
          </w:tcPr>
          <w:p w14:paraId="65739DA6">
            <w:pPr>
              <w:adjustRightInd w:val="0"/>
              <w:snapToGrid w:val="0"/>
              <w:jc w:val="center"/>
              <w:rPr>
                <w:rFonts w:ascii="Arial" w:hAnsi="Arial" w:eastAsia="宋体" w:cs="Arial"/>
                <w:sz w:val="21"/>
                <w:szCs w:val="21"/>
                <w:u w:val="single"/>
              </w:rPr>
            </w:pPr>
            <w:r>
              <w:rPr>
                <w:rFonts w:ascii="Arial" w:hAnsi="Arial" w:cs="Arial"/>
                <w:sz w:val="21"/>
                <w:szCs w:val="21"/>
                <w:u w:val="single"/>
              </w:rPr>
              <w:t>1695</w:t>
            </w:r>
          </w:p>
        </w:tc>
        <w:tc>
          <w:tcPr>
            <w:tcW w:w="0" w:type="auto"/>
            <w:shd w:val="clear" w:color="auto" w:fill="auto"/>
            <w:noWrap/>
            <w:vAlign w:val="center"/>
          </w:tcPr>
          <w:p w14:paraId="1F73C80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37CD0BB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0.07</w:t>
            </w:r>
          </w:p>
        </w:tc>
        <w:tc>
          <w:tcPr>
            <w:tcW w:w="0" w:type="auto"/>
            <w:shd w:val="clear" w:color="auto" w:fill="auto"/>
            <w:noWrap/>
            <w:vAlign w:val="center"/>
          </w:tcPr>
          <w:p w14:paraId="5046F8D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220719</w:t>
            </w:r>
          </w:p>
        </w:tc>
        <w:tc>
          <w:tcPr>
            <w:tcW w:w="0" w:type="auto"/>
            <w:shd w:val="clear" w:color="auto" w:fill="auto"/>
            <w:noWrap/>
            <w:vAlign w:val="center"/>
          </w:tcPr>
          <w:p w14:paraId="4DC4508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7F5131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0.05</w:t>
            </w:r>
          </w:p>
        </w:tc>
        <w:tc>
          <w:tcPr>
            <w:tcW w:w="0" w:type="auto"/>
            <w:shd w:val="clear" w:color="auto" w:fill="auto"/>
            <w:noWrap/>
            <w:vAlign w:val="center"/>
          </w:tcPr>
          <w:p w14:paraId="68F3C72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1F94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6256250">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53397998">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5EFA9096">
            <w:pPr>
              <w:adjustRightInd w:val="0"/>
              <w:snapToGrid w:val="0"/>
              <w:jc w:val="center"/>
              <w:rPr>
                <w:rFonts w:ascii="Arial" w:hAnsi="Arial" w:eastAsia="宋体" w:cs="Arial"/>
                <w:sz w:val="21"/>
                <w:szCs w:val="21"/>
                <w:u w:val="single"/>
              </w:rPr>
            </w:pPr>
          </w:p>
        </w:tc>
        <w:tc>
          <w:tcPr>
            <w:tcW w:w="0" w:type="auto"/>
            <w:vMerge w:val="continue"/>
            <w:vAlign w:val="center"/>
          </w:tcPr>
          <w:p w14:paraId="4D89B890">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377A3FA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67E8031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4ACB70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7994D0B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5D18146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7FD4CE3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185A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72CA3371">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5224724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5B41144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0" w:type="auto"/>
            <w:vMerge w:val="restart"/>
            <w:vAlign w:val="center"/>
          </w:tcPr>
          <w:p w14:paraId="6AB43671">
            <w:pPr>
              <w:adjustRightInd w:val="0"/>
              <w:snapToGrid w:val="0"/>
              <w:jc w:val="center"/>
              <w:rPr>
                <w:rFonts w:ascii="Arial" w:hAnsi="Arial" w:eastAsia="宋体" w:cs="Arial"/>
                <w:sz w:val="21"/>
                <w:szCs w:val="21"/>
                <w:u w:val="single"/>
              </w:rPr>
            </w:pPr>
            <w:r>
              <w:rPr>
                <w:rFonts w:ascii="Arial" w:hAnsi="Arial" w:cs="Arial"/>
                <w:sz w:val="21"/>
                <w:szCs w:val="21"/>
                <w:u w:val="single"/>
              </w:rPr>
              <w:t>241</w:t>
            </w:r>
          </w:p>
        </w:tc>
        <w:tc>
          <w:tcPr>
            <w:tcW w:w="0" w:type="auto"/>
            <w:vMerge w:val="restart"/>
            <w:vAlign w:val="center"/>
          </w:tcPr>
          <w:p w14:paraId="1E998BE8">
            <w:pPr>
              <w:adjustRightInd w:val="0"/>
              <w:snapToGrid w:val="0"/>
              <w:jc w:val="center"/>
              <w:rPr>
                <w:rFonts w:ascii="Arial" w:hAnsi="Arial" w:eastAsia="宋体" w:cs="Arial"/>
                <w:sz w:val="21"/>
                <w:szCs w:val="21"/>
                <w:u w:val="single"/>
              </w:rPr>
            </w:pPr>
            <w:r>
              <w:rPr>
                <w:rFonts w:ascii="Arial" w:hAnsi="Arial" w:cs="Arial"/>
                <w:sz w:val="21"/>
                <w:szCs w:val="21"/>
                <w:u w:val="single"/>
              </w:rPr>
              <w:t>1699</w:t>
            </w:r>
          </w:p>
        </w:tc>
        <w:tc>
          <w:tcPr>
            <w:tcW w:w="0" w:type="auto"/>
            <w:shd w:val="clear" w:color="auto" w:fill="auto"/>
            <w:noWrap/>
            <w:vAlign w:val="center"/>
          </w:tcPr>
          <w:p w14:paraId="03990A9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2138FFE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0.14</w:t>
            </w:r>
          </w:p>
        </w:tc>
        <w:tc>
          <w:tcPr>
            <w:tcW w:w="0" w:type="auto"/>
            <w:shd w:val="clear" w:color="auto" w:fill="auto"/>
            <w:noWrap/>
            <w:vAlign w:val="center"/>
          </w:tcPr>
          <w:p w14:paraId="22BD223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220718</w:t>
            </w:r>
          </w:p>
        </w:tc>
        <w:tc>
          <w:tcPr>
            <w:tcW w:w="0" w:type="auto"/>
            <w:shd w:val="clear" w:color="auto" w:fill="auto"/>
            <w:noWrap/>
            <w:vAlign w:val="center"/>
          </w:tcPr>
          <w:p w14:paraId="4CD6A31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613CC1D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0.09</w:t>
            </w:r>
          </w:p>
        </w:tc>
        <w:tc>
          <w:tcPr>
            <w:tcW w:w="0" w:type="auto"/>
            <w:shd w:val="clear" w:color="auto" w:fill="auto"/>
            <w:noWrap/>
            <w:vAlign w:val="center"/>
          </w:tcPr>
          <w:p w14:paraId="72E620C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529A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7FDC4A17">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41134499">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1B3B8AB6">
            <w:pPr>
              <w:adjustRightInd w:val="0"/>
              <w:snapToGrid w:val="0"/>
              <w:jc w:val="center"/>
              <w:rPr>
                <w:rFonts w:ascii="Arial" w:hAnsi="Arial" w:eastAsia="宋体" w:cs="Arial"/>
                <w:sz w:val="21"/>
                <w:szCs w:val="21"/>
                <w:u w:val="single"/>
              </w:rPr>
            </w:pPr>
          </w:p>
        </w:tc>
        <w:tc>
          <w:tcPr>
            <w:tcW w:w="0" w:type="auto"/>
            <w:vMerge w:val="continue"/>
            <w:vAlign w:val="center"/>
          </w:tcPr>
          <w:p w14:paraId="56451586">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3357925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4196EE1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5638252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42F5D8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6C8EF54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43656D9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A14E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493CA965">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373B5B6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0" w:type="auto"/>
            <w:vMerge w:val="restart"/>
            <w:vAlign w:val="center"/>
          </w:tcPr>
          <w:p w14:paraId="7B2DBAAE">
            <w:pPr>
              <w:adjustRightInd w:val="0"/>
              <w:snapToGrid w:val="0"/>
              <w:jc w:val="center"/>
              <w:rPr>
                <w:rFonts w:ascii="Arial" w:hAnsi="Arial" w:eastAsia="宋体" w:cs="Arial"/>
                <w:sz w:val="21"/>
                <w:szCs w:val="21"/>
                <w:u w:val="single"/>
              </w:rPr>
            </w:pPr>
            <w:r>
              <w:rPr>
                <w:rFonts w:ascii="Arial" w:hAnsi="Arial" w:cs="Arial"/>
                <w:sz w:val="21"/>
                <w:szCs w:val="21"/>
                <w:u w:val="single"/>
              </w:rPr>
              <w:t>-581</w:t>
            </w:r>
          </w:p>
        </w:tc>
        <w:tc>
          <w:tcPr>
            <w:tcW w:w="0" w:type="auto"/>
            <w:vMerge w:val="restart"/>
            <w:vAlign w:val="center"/>
          </w:tcPr>
          <w:p w14:paraId="245F9D9F">
            <w:pPr>
              <w:adjustRightInd w:val="0"/>
              <w:snapToGrid w:val="0"/>
              <w:jc w:val="center"/>
              <w:rPr>
                <w:rFonts w:ascii="Arial" w:hAnsi="Arial" w:eastAsia="宋体" w:cs="Arial"/>
                <w:sz w:val="21"/>
                <w:szCs w:val="21"/>
                <w:u w:val="single"/>
              </w:rPr>
            </w:pPr>
            <w:r>
              <w:rPr>
                <w:rFonts w:ascii="Arial" w:hAnsi="Arial" w:cs="Arial"/>
                <w:sz w:val="21"/>
                <w:szCs w:val="21"/>
                <w:u w:val="single"/>
              </w:rPr>
              <w:t>1792</w:t>
            </w:r>
          </w:p>
        </w:tc>
        <w:tc>
          <w:tcPr>
            <w:tcW w:w="0" w:type="auto"/>
            <w:shd w:val="clear" w:color="auto" w:fill="auto"/>
            <w:noWrap/>
            <w:vAlign w:val="center"/>
          </w:tcPr>
          <w:p w14:paraId="032EB2B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318A8A5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0.04</w:t>
            </w:r>
          </w:p>
        </w:tc>
        <w:tc>
          <w:tcPr>
            <w:tcW w:w="0" w:type="auto"/>
            <w:shd w:val="clear" w:color="auto" w:fill="auto"/>
            <w:noWrap/>
            <w:vAlign w:val="center"/>
          </w:tcPr>
          <w:p w14:paraId="2AEA1B7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220415</w:t>
            </w:r>
          </w:p>
        </w:tc>
        <w:tc>
          <w:tcPr>
            <w:tcW w:w="0" w:type="auto"/>
            <w:shd w:val="clear" w:color="auto" w:fill="auto"/>
            <w:noWrap/>
            <w:vAlign w:val="center"/>
          </w:tcPr>
          <w:p w14:paraId="722CE91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3FF6118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5E0B7F0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3784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E5EA81B">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6063BA8B">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6CF8632D">
            <w:pPr>
              <w:adjustRightInd w:val="0"/>
              <w:snapToGrid w:val="0"/>
              <w:jc w:val="center"/>
              <w:rPr>
                <w:rFonts w:ascii="Arial" w:hAnsi="Arial" w:eastAsia="宋体" w:cs="Arial"/>
                <w:sz w:val="21"/>
                <w:szCs w:val="21"/>
                <w:u w:val="single"/>
              </w:rPr>
            </w:pPr>
          </w:p>
        </w:tc>
        <w:tc>
          <w:tcPr>
            <w:tcW w:w="0" w:type="auto"/>
            <w:vMerge w:val="continue"/>
            <w:vAlign w:val="center"/>
          </w:tcPr>
          <w:p w14:paraId="100198C8">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284EE5A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75CC3B6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37110B6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23EE846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1059EFB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654DC48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54B8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67A9BC06">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759F24B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0" w:type="auto"/>
            <w:vMerge w:val="restart"/>
            <w:vAlign w:val="center"/>
          </w:tcPr>
          <w:p w14:paraId="755182CF">
            <w:pPr>
              <w:adjustRightInd w:val="0"/>
              <w:snapToGrid w:val="0"/>
              <w:jc w:val="center"/>
              <w:rPr>
                <w:rFonts w:ascii="Arial" w:hAnsi="Arial" w:eastAsia="宋体" w:cs="Arial"/>
                <w:sz w:val="21"/>
                <w:szCs w:val="21"/>
                <w:u w:val="single"/>
              </w:rPr>
            </w:pPr>
            <w:r>
              <w:rPr>
                <w:rFonts w:ascii="Arial" w:hAnsi="Arial" w:cs="Arial"/>
                <w:sz w:val="21"/>
                <w:szCs w:val="21"/>
                <w:u w:val="single"/>
              </w:rPr>
              <w:t>1476</w:t>
            </w:r>
          </w:p>
        </w:tc>
        <w:tc>
          <w:tcPr>
            <w:tcW w:w="0" w:type="auto"/>
            <w:vMerge w:val="restart"/>
            <w:vAlign w:val="center"/>
          </w:tcPr>
          <w:p w14:paraId="53142DB8">
            <w:pPr>
              <w:adjustRightInd w:val="0"/>
              <w:snapToGrid w:val="0"/>
              <w:jc w:val="center"/>
              <w:rPr>
                <w:rFonts w:ascii="Arial" w:hAnsi="Arial" w:eastAsia="宋体" w:cs="Arial"/>
                <w:sz w:val="21"/>
                <w:szCs w:val="21"/>
                <w:u w:val="single"/>
              </w:rPr>
            </w:pPr>
            <w:r>
              <w:rPr>
                <w:rFonts w:ascii="Arial" w:hAnsi="Arial" w:cs="Arial"/>
                <w:sz w:val="21"/>
                <w:szCs w:val="21"/>
                <w:u w:val="single"/>
              </w:rPr>
              <w:t>557</w:t>
            </w:r>
          </w:p>
        </w:tc>
        <w:tc>
          <w:tcPr>
            <w:tcW w:w="0" w:type="auto"/>
            <w:shd w:val="clear" w:color="auto" w:fill="auto"/>
            <w:noWrap/>
            <w:vAlign w:val="center"/>
          </w:tcPr>
          <w:p w14:paraId="482AC2A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2B7BA16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0.04</w:t>
            </w:r>
          </w:p>
        </w:tc>
        <w:tc>
          <w:tcPr>
            <w:tcW w:w="0" w:type="auto"/>
            <w:shd w:val="clear" w:color="auto" w:fill="auto"/>
            <w:noWrap/>
            <w:vAlign w:val="center"/>
          </w:tcPr>
          <w:p w14:paraId="40EC6AA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220703</w:t>
            </w:r>
          </w:p>
        </w:tc>
        <w:tc>
          <w:tcPr>
            <w:tcW w:w="0" w:type="auto"/>
            <w:shd w:val="clear" w:color="auto" w:fill="auto"/>
            <w:noWrap/>
            <w:vAlign w:val="center"/>
          </w:tcPr>
          <w:p w14:paraId="48C447E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2D0774D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121907C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B50C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C8060D7">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040FD793">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6ECDD01B">
            <w:pPr>
              <w:adjustRightInd w:val="0"/>
              <w:snapToGrid w:val="0"/>
              <w:jc w:val="center"/>
              <w:rPr>
                <w:rFonts w:ascii="Arial" w:hAnsi="Arial" w:eastAsia="宋体" w:cs="Arial"/>
                <w:sz w:val="21"/>
                <w:szCs w:val="21"/>
                <w:u w:val="single"/>
              </w:rPr>
            </w:pPr>
          </w:p>
        </w:tc>
        <w:tc>
          <w:tcPr>
            <w:tcW w:w="0" w:type="auto"/>
            <w:vMerge w:val="continue"/>
            <w:vAlign w:val="center"/>
          </w:tcPr>
          <w:p w14:paraId="68B5945E">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1909BE0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5CBF14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1BF314D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577462B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26FBC6B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240267B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D7AE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3FB87DB">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5397B77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0" w:type="auto"/>
            <w:vMerge w:val="restart"/>
            <w:vAlign w:val="center"/>
          </w:tcPr>
          <w:p w14:paraId="7E6576EA">
            <w:pPr>
              <w:adjustRightInd w:val="0"/>
              <w:snapToGrid w:val="0"/>
              <w:jc w:val="center"/>
              <w:rPr>
                <w:rFonts w:ascii="Arial" w:hAnsi="Arial" w:eastAsia="宋体" w:cs="Arial"/>
                <w:sz w:val="21"/>
                <w:szCs w:val="21"/>
                <w:u w:val="single"/>
              </w:rPr>
            </w:pPr>
            <w:r>
              <w:rPr>
                <w:rFonts w:ascii="Arial" w:hAnsi="Arial" w:cs="Arial"/>
                <w:sz w:val="21"/>
                <w:szCs w:val="21"/>
                <w:u w:val="single"/>
              </w:rPr>
              <w:t>1362</w:t>
            </w:r>
          </w:p>
        </w:tc>
        <w:tc>
          <w:tcPr>
            <w:tcW w:w="0" w:type="auto"/>
            <w:vMerge w:val="restart"/>
            <w:vAlign w:val="center"/>
          </w:tcPr>
          <w:p w14:paraId="158FDB6F">
            <w:pPr>
              <w:adjustRightInd w:val="0"/>
              <w:snapToGrid w:val="0"/>
              <w:jc w:val="center"/>
              <w:rPr>
                <w:rFonts w:ascii="Arial" w:hAnsi="Arial" w:eastAsia="宋体" w:cs="Arial"/>
                <w:sz w:val="21"/>
                <w:szCs w:val="21"/>
                <w:u w:val="single"/>
              </w:rPr>
            </w:pPr>
            <w:r>
              <w:rPr>
                <w:rFonts w:ascii="Arial" w:hAnsi="Arial" w:cs="Arial"/>
                <w:sz w:val="21"/>
                <w:szCs w:val="21"/>
                <w:u w:val="single"/>
              </w:rPr>
              <w:t>211</w:t>
            </w:r>
          </w:p>
        </w:tc>
        <w:tc>
          <w:tcPr>
            <w:tcW w:w="0" w:type="auto"/>
            <w:shd w:val="clear" w:color="auto" w:fill="auto"/>
            <w:noWrap/>
            <w:vAlign w:val="center"/>
          </w:tcPr>
          <w:p w14:paraId="4AE1DE8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5621E9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0.05</w:t>
            </w:r>
          </w:p>
        </w:tc>
        <w:tc>
          <w:tcPr>
            <w:tcW w:w="0" w:type="auto"/>
            <w:shd w:val="clear" w:color="auto" w:fill="auto"/>
            <w:noWrap/>
            <w:vAlign w:val="center"/>
          </w:tcPr>
          <w:p w14:paraId="6DF4CC0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220904</w:t>
            </w:r>
          </w:p>
        </w:tc>
        <w:tc>
          <w:tcPr>
            <w:tcW w:w="0" w:type="auto"/>
            <w:shd w:val="clear" w:color="auto" w:fill="auto"/>
            <w:noWrap/>
            <w:vAlign w:val="center"/>
          </w:tcPr>
          <w:p w14:paraId="63438A9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3127EA1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634B5EA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D10D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4E6E77AE">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7EF23A54">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2DB4ACD7">
            <w:pPr>
              <w:adjustRightInd w:val="0"/>
              <w:snapToGrid w:val="0"/>
              <w:jc w:val="center"/>
              <w:rPr>
                <w:rFonts w:ascii="Arial" w:hAnsi="Arial" w:eastAsia="宋体" w:cs="Arial"/>
                <w:sz w:val="21"/>
                <w:szCs w:val="21"/>
                <w:u w:val="single"/>
              </w:rPr>
            </w:pPr>
          </w:p>
        </w:tc>
        <w:tc>
          <w:tcPr>
            <w:tcW w:w="0" w:type="auto"/>
            <w:vMerge w:val="continue"/>
            <w:vAlign w:val="center"/>
          </w:tcPr>
          <w:p w14:paraId="0757858E">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43AB5D1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01E562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46DAFA9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59CD55F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3566D08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445A739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EB02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6A5CB043">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00E2DE9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w:t>
            </w:r>
          </w:p>
          <w:p w14:paraId="1A82486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幼儿园</w:t>
            </w:r>
          </w:p>
        </w:tc>
        <w:tc>
          <w:tcPr>
            <w:tcW w:w="0" w:type="auto"/>
            <w:vMerge w:val="restart"/>
            <w:vAlign w:val="center"/>
          </w:tcPr>
          <w:p w14:paraId="132099CC">
            <w:pPr>
              <w:adjustRightInd w:val="0"/>
              <w:snapToGrid w:val="0"/>
              <w:jc w:val="center"/>
              <w:rPr>
                <w:rFonts w:ascii="Arial" w:hAnsi="Arial" w:eastAsia="宋体" w:cs="Arial"/>
                <w:sz w:val="21"/>
                <w:szCs w:val="21"/>
                <w:u w:val="single"/>
              </w:rPr>
            </w:pPr>
            <w:r>
              <w:rPr>
                <w:rFonts w:ascii="Arial" w:hAnsi="Arial" w:cs="Arial"/>
                <w:sz w:val="21"/>
                <w:szCs w:val="21"/>
                <w:u w:val="single"/>
              </w:rPr>
              <w:t>-661</w:t>
            </w:r>
          </w:p>
        </w:tc>
        <w:tc>
          <w:tcPr>
            <w:tcW w:w="0" w:type="auto"/>
            <w:vMerge w:val="restart"/>
            <w:vAlign w:val="center"/>
          </w:tcPr>
          <w:p w14:paraId="64B8E82F">
            <w:pPr>
              <w:adjustRightInd w:val="0"/>
              <w:snapToGrid w:val="0"/>
              <w:jc w:val="center"/>
              <w:rPr>
                <w:rFonts w:ascii="Arial" w:hAnsi="Arial" w:eastAsia="宋体" w:cs="Arial"/>
                <w:sz w:val="21"/>
                <w:szCs w:val="21"/>
                <w:u w:val="single"/>
              </w:rPr>
            </w:pPr>
            <w:r>
              <w:rPr>
                <w:rFonts w:ascii="Arial" w:hAnsi="Arial" w:cs="Arial"/>
                <w:sz w:val="21"/>
                <w:szCs w:val="21"/>
                <w:u w:val="single"/>
              </w:rPr>
              <w:t>2701</w:t>
            </w:r>
          </w:p>
        </w:tc>
        <w:tc>
          <w:tcPr>
            <w:tcW w:w="0" w:type="auto"/>
            <w:shd w:val="clear" w:color="auto" w:fill="auto"/>
            <w:noWrap/>
            <w:vAlign w:val="center"/>
          </w:tcPr>
          <w:p w14:paraId="24B036B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172EFDC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00CA1D6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220719</w:t>
            </w:r>
          </w:p>
        </w:tc>
        <w:tc>
          <w:tcPr>
            <w:tcW w:w="0" w:type="auto"/>
            <w:shd w:val="clear" w:color="auto" w:fill="auto"/>
            <w:noWrap/>
            <w:vAlign w:val="center"/>
          </w:tcPr>
          <w:p w14:paraId="64D699A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17D2C14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0B4E1CB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39C6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748A242">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1885B0C5">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5BDB3388">
            <w:pPr>
              <w:adjustRightInd w:val="0"/>
              <w:snapToGrid w:val="0"/>
              <w:jc w:val="center"/>
              <w:rPr>
                <w:rFonts w:ascii="Arial" w:hAnsi="Arial" w:eastAsia="宋体" w:cs="Arial"/>
                <w:sz w:val="21"/>
                <w:szCs w:val="21"/>
                <w:u w:val="single"/>
              </w:rPr>
            </w:pPr>
          </w:p>
        </w:tc>
        <w:tc>
          <w:tcPr>
            <w:tcW w:w="0" w:type="auto"/>
            <w:vMerge w:val="continue"/>
            <w:vAlign w:val="center"/>
          </w:tcPr>
          <w:p w14:paraId="0354CA91">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66EBCE3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7F527D3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1A9A1C5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253E178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5A19CC1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2AB8839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AFE2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2350A49F">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67C8337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0" w:type="auto"/>
            <w:vMerge w:val="restart"/>
            <w:vAlign w:val="center"/>
          </w:tcPr>
          <w:p w14:paraId="066A3B10">
            <w:pPr>
              <w:adjustRightInd w:val="0"/>
              <w:snapToGrid w:val="0"/>
              <w:jc w:val="center"/>
              <w:rPr>
                <w:rFonts w:ascii="Arial" w:hAnsi="Arial" w:eastAsia="宋体" w:cs="Arial"/>
                <w:sz w:val="21"/>
                <w:szCs w:val="21"/>
                <w:u w:val="single"/>
              </w:rPr>
            </w:pPr>
            <w:r>
              <w:rPr>
                <w:rFonts w:ascii="Arial" w:hAnsi="Arial" w:cs="Arial"/>
                <w:sz w:val="21"/>
                <w:szCs w:val="21"/>
                <w:u w:val="single"/>
              </w:rPr>
              <w:t>1658</w:t>
            </w:r>
          </w:p>
        </w:tc>
        <w:tc>
          <w:tcPr>
            <w:tcW w:w="0" w:type="auto"/>
            <w:vMerge w:val="restart"/>
            <w:vAlign w:val="center"/>
          </w:tcPr>
          <w:p w14:paraId="34689374">
            <w:pPr>
              <w:adjustRightInd w:val="0"/>
              <w:snapToGrid w:val="0"/>
              <w:jc w:val="center"/>
              <w:rPr>
                <w:rFonts w:ascii="Arial" w:hAnsi="Arial" w:eastAsia="宋体" w:cs="Arial"/>
                <w:sz w:val="21"/>
                <w:szCs w:val="21"/>
                <w:u w:val="single"/>
              </w:rPr>
            </w:pPr>
            <w:r>
              <w:rPr>
                <w:rFonts w:ascii="Arial" w:hAnsi="Arial" w:cs="Arial"/>
                <w:sz w:val="21"/>
                <w:szCs w:val="21"/>
                <w:u w:val="single"/>
              </w:rPr>
              <w:t>345</w:t>
            </w:r>
          </w:p>
        </w:tc>
        <w:tc>
          <w:tcPr>
            <w:tcW w:w="0" w:type="auto"/>
            <w:shd w:val="clear" w:color="auto" w:fill="auto"/>
            <w:noWrap/>
            <w:vAlign w:val="center"/>
          </w:tcPr>
          <w:p w14:paraId="2AED9D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78B7D2A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3F1A634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220703</w:t>
            </w:r>
          </w:p>
        </w:tc>
        <w:tc>
          <w:tcPr>
            <w:tcW w:w="0" w:type="auto"/>
            <w:shd w:val="clear" w:color="auto" w:fill="auto"/>
            <w:noWrap/>
            <w:vAlign w:val="center"/>
          </w:tcPr>
          <w:p w14:paraId="725EB32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360C4A7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1090B86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B772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23338236">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0A17168E">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32C8FD42">
            <w:pPr>
              <w:adjustRightInd w:val="0"/>
              <w:snapToGrid w:val="0"/>
              <w:jc w:val="center"/>
              <w:rPr>
                <w:rFonts w:ascii="Arial" w:hAnsi="Arial" w:eastAsia="宋体" w:cs="Arial"/>
                <w:sz w:val="21"/>
                <w:szCs w:val="21"/>
                <w:u w:val="single"/>
              </w:rPr>
            </w:pPr>
          </w:p>
        </w:tc>
        <w:tc>
          <w:tcPr>
            <w:tcW w:w="0" w:type="auto"/>
            <w:vMerge w:val="continue"/>
            <w:vAlign w:val="center"/>
          </w:tcPr>
          <w:p w14:paraId="63A8A53E">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57D8145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1790244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0FCC316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2790EB9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7DAA637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0CB65F6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1CB7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5E62C1D">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5A371AB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0" w:type="auto"/>
            <w:vMerge w:val="restart"/>
            <w:vAlign w:val="center"/>
          </w:tcPr>
          <w:p w14:paraId="0F09CC6F">
            <w:pPr>
              <w:adjustRightInd w:val="0"/>
              <w:snapToGrid w:val="0"/>
              <w:jc w:val="center"/>
              <w:rPr>
                <w:rFonts w:ascii="Arial" w:hAnsi="Arial" w:eastAsia="宋体" w:cs="Arial"/>
                <w:sz w:val="21"/>
                <w:szCs w:val="21"/>
                <w:u w:val="single"/>
              </w:rPr>
            </w:pPr>
            <w:r>
              <w:rPr>
                <w:rFonts w:ascii="Arial" w:hAnsi="Arial" w:cs="Arial"/>
                <w:sz w:val="21"/>
                <w:szCs w:val="21"/>
                <w:u w:val="single"/>
              </w:rPr>
              <w:t>462</w:t>
            </w:r>
          </w:p>
        </w:tc>
        <w:tc>
          <w:tcPr>
            <w:tcW w:w="0" w:type="auto"/>
            <w:vMerge w:val="restart"/>
            <w:vAlign w:val="center"/>
          </w:tcPr>
          <w:p w14:paraId="05F476E6">
            <w:pPr>
              <w:adjustRightInd w:val="0"/>
              <w:snapToGrid w:val="0"/>
              <w:jc w:val="center"/>
              <w:rPr>
                <w:rFonts w:ascii="Arial" w:hAnsi="Arial" w:eastAsia="宋体" w:cs="Arial"/>
                <w:sz w:val="21"/>
                <w:szCs w:val="21"/>
                <w:u w:val="single"/>
              </w:rPr>
            </w:pPr>
            <w:r>
              <w:rPr>
                <w:rFonts w:ascii="Arial" w:hAnsi="Arial" w:cs="Arial"/>
                <w:sz w:val="21"/>
                <w:szCs w:val="21"/>
                <w:u w:val="single"/>
              </w:rPr>
              <w:t>2584</w:t>
            </w:r>
          </w:p>
        </w:tc>
        <w:tc>
          <w:tcPr>
            <w:tcW w:w="0" w:type="auto"/>
            <w:shd w:val="clear" w:color="auto" w:fill="auto"/>
            <w:noWrap/>
            <w:vAlign w:val="center"/>
          </w:tcPr>
          <w:p w14:paraId="0E820E5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2E6D606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0.06</w:t>
            </w:r>
          </w:p>
        </w:tc>
        <w:tc>
          <w:tcPr>
            <w:tcW w:w="0" w:type="auto"/>
            <w:shd w:val="clear" w:color="auto" w:fill="auto"/>
            <w:noWrap/>
            <w:vAlign w:val="center"/>
          </w:tcPr>
          <w:p w14:paraId="3517EA6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220718</w:t>
            </w:r>
          </w:p>
        </w:tc>
        <w:tc>
          <w:tcPr>
            <w:tcW w:w="0" w:type="auto"/>
            <w:shd w:val="clear" w:color="auto" w:fill="auto"/>
            <w:noWrap/>
            <w:vAlign w:val="center"/>
          </w:tcPr>
          <w:p w14:paraId="7187E72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05BBA16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0.04</w:t>
            </w:r>
          </w:p>
        </w:tc>
        <w:tc>
          <w:tcPr>
            <w:tcW w:w="0" w:type="auto"/>
            <w:shd w:val="clear" w:color="auto" w:fill="auto"/>
            <w:noWrap/>
            <w:vAlign w:val="center"/>
          </w:tcPr>
          <w:p w14:paraId="0A2CBFE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3B60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254A2C63">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29958E95">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698BC1F1">
            <w:pPr>
              <w:adjustRightInd w:val="0"/>
              <w:snapToGrid w:val="0"/>
              <w:jc w:val="center"/>
              <w:rPr>
                <w:rFonts w:ascii="Arial" w:hAnsi="Arial" w:eastAsia="宋体" w:cs="Arial"/>
                <w:sz w:val="21"/>
                <w:szCs w:val="21"/>
                <w:u w:val="single"/>
              </w:rPr>
            </w:pPr>
          </w:p>
        </w:tc>
        <w:tc>
          <w:tcPr>
            <w:tcW w:w="0" w:type="auto"/>
            <w:vMerge w:val="continue"/>
            <w:vAlign w:val="center"/>
          </w:tcPr>
          <w:p w14:paraId="319C3642">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50DA578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635D59F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0F515D3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3F71732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7E5A674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6D398BD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5024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93493E2">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4119FA2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0" w:type="auto"/>
            <w:vMerge w:val="restart"/>
            <w:vAlign w:val="center"/>
          </w:tcPr>
          <w:p w14:paraId="1C9E74B9">
            <w:pPr>
              <w:adjustRightInd w:val="0"/>
              <w:snapToGrid w:val="0"/>
              <w:jc w:val="center"/>
              <w:rPr>
                <w:rFonts w:ascii="Arial" w:hAnsi="Arial" w:eastAsia="宋体" w:cs="Arial"/>
                <w:sz w:val="21"/>
                <w:szCs w:val="21"/>
                <w:u w:val="single"/>
              </w:rPr>
            </w:pPr>
            <w:r>
              <w:rPr>
                <w:rFonts w:ascii="Arial" w:hAnsi="Arial" w:cs="Arial"/>
                <w:sz w:val="21"/>
                <w:szCs w:val="21"/>
                <w:u w:val="single"/>
              </w:rPr>
              <w:t>-1060</w:t>
            </w:r>
          </w:p>
        </w:tc>
        <w:tc>
          <w:tcPr>
            <w:tcW w:w="0" w:type="auto"/>
            <w:vMerge w:val="restart"/>
            <w:vAlign w:val="center"/>
          </w:tcPr>
          <w:p w14:paraId="05F0ACC9">
            <w:pPr>
              <w:adjustRightInd w:val="0"/>
              <w:snapToGrid w:val="0"/>
              <w:jc w:val="center"/>
              <w:rPr>
                <w:rFonts w:ascii="Arial" w:hAnsi="Arial" w:eastAsia="宋体" w:cs="Arial"/>
                <w:sz w:val="21"/>
                <w:szCs w:val="21"/>
                <w:u w:val="single"/>
              </w:rPr>
            </w:pPr>
            <w:r>
              <w:rPr>
                <w:rFonts w:ascii="Arial" w:hAnsi="Arial" w:cs="Arial"/>
                <w:sz w:val="21"/>
                <w:szCs w:val="21"/>
                <w:u w:val="single"/>
              </w:rPr>
              <w:t>2609</w:t>
            </w:r>
          </w:p>
        </w:tc>
        <w:tc>
          <w:tcPr>
            <w:tcW w:w="0" w:type="auto"/>
            <w:shd w:val="clear" w:color="auto" w:fill="auto"/>
            <w:noWrap/>
            <w:vAlign w:val="center"/>
          </w:tcPr>
          <w:p w14:paraId="7D214AB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013D764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2DEF430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w:t>
            </w:r>
          </w:p>
        </w:tc>
        <w:tc>
          <w:tcPr>
            <w:tcW w:w="0" w:type="auto"/>
            <w:shd w:val="clear" w:color="auto" w:fill="auto"/>
            <w:noWrap/>
            <w:vAlign w:val="center"/>
          </w:tcPr>
          <w:p w14:paraId="4EEC51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5B10786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21E90F7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61E7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43BA54BD">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5E51B3A5">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7F65AABD">
            <w:pPr>
              <w:adjustRightInd w:val="0"/>
              <w:snapToGrid w:val="0"/>
              <w:jc w:val="center"/>
              <w:rPr>
                <w:rFonts w:ascii="Arial" w:hAnsi="Arial" w:eastAsia="宋体" w:cs="Arial"/>
                <w:sz w:val="21"/>
                <w:szCs w:val="21"/>
                <w:u w:val="single"/>
              </w:rPr>
            </w:pPr>
          </w:p>
        </w:tc>
        <w:tc>
          <w:tcPr>
            <w:tcW w:w="0" w:type="auto"/>
            <w:vMerge w:val="continue"/>
            <w:vAlign w:val="center"/>
          </w:tcPr>
          <w:p w14:paraId="7A5400C7">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03AED6B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656F1CA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72AA9F5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16AF855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669AAE5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571E729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6278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A8B86E1">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75C2174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0" w:type="auto"/>
            <w:vMerge w:val="restart"/>
            <w:vAlign w:val="center"/>
          </w:tcPr>
          <w:p w14:paraId="32036804">
            <w:pPr>
              <w:adjustRightInd w:val="0"/>
              <w:snapToGrid w:val="0"/>
              <w:jc w:val="center"/>
              <w:rPr>
                <w:rFonts w:ascii="Arial" w:hAnsi="Arial" w:eastAsia="宋体" w:cs="Arial"/>
                <w:sz w:val="21"/>
                <w:szCs w:val="21"/>
                <w:u w:val="single"/>
              </w:rPr>
            </w:pPr>
            <w:r>
              <w:rPr>
                <w:rFonts w:ascii="Arial" w:hAnsi="Arial" w:cs="Arial"/>
                <w:sz w:val="21"/>
                <w:szCs w:val="21"/>
                <w:u w:val="single"/>
              </w:rPr>
              <w:t>1840</w:t>
            </w:r>
          </w:p>
        </w:tc>
        <w:tc>
          <w:tcPr>
            <w:tcW w:w="0" w:type="auto"/>
            <w:vMerge w:val="restart"/>
            <w:vAlign w:val="center"/>
          </w:tcPr>
          <w:p w14:paraId="47BA32E6">
            <w:pPr>
              <w:adjustRightInd w:val="0"/>
              <w:snapToGrid w:val="0"/>
              <w:jc w:val="center"/>
              <w:rPr>
                <w:rFonts w:ascii="Arial" w:hAnsi="Arial" w:eastAsia="宋体" w:cs="Arial"/>
                <w:sz w:val="21"/>
                <w:szCs w:val="21"/>
                <w:u w:val="single"/>
              </w:rPr>
            </w:pPr>
            <w:r>
              <w:rPr>
                <w:rFonts w:ascii="Arial" w:hAnsi="Arial" w:cs="Arial"/>
                <w:sz w:val="21"/>
                <w:szCs w:val="21"/>
                <w:u w:val="single"/>
              </w:rPr>
              <w:t>309</w:t>
            </w:r>
          </w:p>
        </w:tc>
        <w:tc>
          <w:tcPr>
            <w:tcW w:w="0" w:type="auto"/>
            <w:shd w:val="clear" w:color="auto" w:fill="auto"/>
            <w:noWrap/>
            <w:vAlign w:val="center"/>
          </w:tcPr>
          <w:p w14:paraId="4D3F8C6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19FA26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2C90E55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220703</w:t>
            </w:r>
          </w:p>
        </w:tc>
        <w:tc>
          <w:tcPr>
            <w:tcW w:w="0" w:type="auto"/>
            <w:shd w:val="clear" w:color="auto" w:fill="auto"/>
            <w:noWrap/>
            <w:vAlign w:val="center"/>
          </w:tcPr>
          <w:p w14:paraId="4DBBAA9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338CA7E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3612B14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78C8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59FCD3D">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4E915B0D">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395EDCE9">
            <w:pPr>
              <w:adjustRightInd w:val="0"/>
              <w:snapToGrid w:val="0"/>
              <w:jc w:val="center"/>
              <w:rPr>
                <w:rFonts w:ascii="Arial" w:hAnsi="Arial" w:eastAsia="宋体" w:cs="Arial"/>
                <w:sz w:val="21"/>
                <w:szCs w:val="21"/>
                <w:u w:val="single"/>
              </w:rPr>
            </w:pPr>
          </w:p>
        </w:tc>
        <w:tc>
          <w:tcPr>
            <w:tcW w:w="0" w:type="auto"/>
            <w:vMerge w:val="continue"/>
            <w:vAlign w:val="center"/>
          </w:tcPr>
          <w:p w14:paraId="074DB2A9">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4ACBB2F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039DA91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526BA3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067BADA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51C0FC1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7393C8D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B535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4716A9F">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7E142AE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0" w:type="auto"/>
            <w:vMerge w:val="restart"/>
            <w:vAlign w:val="center"/>
          </w:tcPr>
          <w:p w14:paraId="66BDE0C3">
            <w:pPr>
              <w:adjustRightInd w:val="0"/>
              <w:snapToGrid w:val="0"/>
              <w:jc w:val="center"/>
              <w:rPr>
                <w:rFonts w:ascii="Arial" w:hAnsi="Arial" w:eastAsia="宋体" w:cs="Arial"/>
                <w:sz w:val="21"/>
                <w:szCs w:val="21"/>
                <w:u w:val="single"/>
              </w:rPr>
            </w:pPr>
            <w:r>
              <w:rPr>
                <w:rFonts w:ascii="Arial" w:hAnsi="Arial" w:cs="Arial"/>
                <w:sz w:val="21"/>
                <w:szCs w:val="21"/>
                <w:u w:val="single"/>
              </w:rPr>
              <w:t>1088</w:t>
            </w:r>
          </w:p>
        </w:tc>
        <w:tc>
          <w:tcPr>
            <w:tcW w:w="0" w:type="auto"/>
            <w:vMerge w:val="restart"/>
            <w:vAlign w:val="center"/>
          </w:tcPr>
          <w:p w14:paraId="1D648FC1">
            <w:pPr>
              <w:adjustRightInd w:val="0"/>
              <w:snapToGrid w:val="0"/>
              <w:jc w:val="center"/>
              <w:rPr>
                <w:rFonts w:ascii="Arial" w:hAnsi="Arial" w:eastAsia="宋体" w:cs="Arial"/>
                <w:sz w:val="21"/>
                <w:szCs w:val="21"/>
                <w:u w:val="single"/>
              </w:rPr>
            </w:pPr>
            <w:r>
              <w:rPr>
                <w:rFonts w:ascii="Arial" w:hAnsi="Arial" w:cs="Arial"/>
                <w:sz w:val="21"/>
                <w:szCs w:val="21"/>
                <w:u w:val="single"/>
              </w:rPr>
              <w:t>2894</w:t>
            </w:r>
          </w:p>
        </w:tc>
        <w:tc>
          <w:tcPr>
            <w:tcW w:w="0" w:type="auto"/>
            <w:shd w:val="clear" w:color="auto" w:fill="auto"/>
            <w:noWrap/>
            <w:vAlign w:val="center"/>
          </w:tcPr>
          <w:p w14:paraId="35EB9CB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2AE78B1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0.04</w:t>
            </w:r>
          </w:p>
        </w:tc>
        <w:tc>
          <w:tcPr>
            <w:tcW w:w="0" w:type="auto"/>
            <w:shd w:val="clear" w:color="auto" w:fill="auto"/>
            <w:noWrap/>
            <w:vAlign w:val="center"/>
          </w:tcPr>
          <w:p w14:paraId="0FCEF7A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220408</w:t>
            </w:r>
          </w:p>
        </w:tc>
        <w:tc>
          <w:tcPr>
            <w:tcW w:w="0" w:type="auto"/>
            <w:shd w:val="clear" w:color="auto" w:fill="auto"/>
            <w:noWrap/>
            <w:vAlign w:val="center"/>
          </w:tcPr>
          <w:p w14:paraId="12005BE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32D34FC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6FA8D72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73FB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843FD6A">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335D8C19">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26D46497">
            <w:pPr>
              <w:adjustRightInd w:val="0"/>
              <w:snapToGrid w:val="0"/>
              <w:jc w:val="center"/>
              <w:rPr>
                <w:rFonts w:ascii="Arial" w:hAnsi="Arial" w:eastAsia="宋体" w:cs="Arial"/>
                <w:sz w:val="21"/>
                <w:szCs w:val="21"/>
                <w:u w:val="single"/>
              </w:rPr>
            </w:pPr>
          </w:p>
        </w:tc>
        <w:tc>
          <w:tcPr>
            <w:tcW w:w="0" w:type="auto"/>
            <w:vMerge w:val="continue"/>
            <w:vAlign w:val="center"/>
          </w:tcPr>
          <w:p w14:paraId="3D23AF9A">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1D146A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333398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5D5B50E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133C89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148291A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7019578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6BFF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33F6C5A">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332C582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473F283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0" w:type="auto"/>
            <w:vMerge w:val="restart"/>
            <w:vAlign w:val="center"/>
          </w:tcPr>
          <w:p w14:paraId="5CF59D9D">
            <w:pPr>
              <w:adjustRightInd w:val="0"/>
              <w:snapToGrid w:val="0"/>
              <w:jc w:val="center"/>
              <w:rPr>
                <w:rFonts w:ascii="Arial" w:hAnsi="Arial" w:eastAsia="宋体" w:cs="Arial"/>
                <w:sz w:val="21"/>
                <w:szCs w:val="21"/>
                <w:u w:val="single"/>
              </w:rPr>
            </w:pPr>
            <w:r>
              <w:rPr>
                <w:rFonts w:ascii="Arial" w:hAnsi="Arial" w:cs="Arial"/>
                <w:sz w:val="21"/>
                <w:szCs w:val="21"/>
                <w:u w:val="single"/>
              </w:rPr>
              <w:t>1951</w:t>
            </w:r>
          </w:p>
        </w:tc>
        <w:tc>
          <w:tcPr>
            <w:tcW w:w="0" w:type="auto"/>
            <w:vMerge w:val="restart"/>
            <w:vAlign w:val="center"/>
          </w:tcPr>
          <w:p w14:paraId="55AC8A9E">
            <w:pPr>
              <w:adjustRightInd w:val="0"/>
              <w:snapToGrid w:val="0"/>
              <w:jc w:val="center"/>
              <w:rPr>
                <w:rFonts w:ascii="Arial" w:hAnsi="Arial" w:eastAsia="宋体" w:cs="Arial"/>
                <w:sz w:val="21"/>
                <w:szCs w:val="21"/>
                <w:u w:val="single"/>
              </w:rPr>
            </w:pPr>
            <w:r>
              <w:rPr>
                <w:rFonts w:ascii="Arial" w:hAnsi="Arial" w:cs="Arial"/>
                <w:sz w:val="21"/>
                <w:szCs w:val="21"/>
                <w:u w:val="single"/>
              </w:rPr>
              <w:t>314</w:t>
            </w:r>
          </w:p>
        </w:tc>
        <w:tc>
          <w:tcPr>
            <w:tcW w:w="0" w:type="auto"/>
            <w:shd w:val="clear" w:color="auto" w:fill="auto"/>
            <w:noWrap/>
            <w:vAlign w:val="center"/>
          </w:tcPr>
          <w:p w14:paraId="574EAF8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00B0CFF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1A27359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220703</w:t>
            </w:r>
          </w:p>
        </w:tc>
        <w:tc>
          <w:tcPr>
            <w:tcW w:w="0" w:type="auto"/>
            <w:shd w:val="clear" w:color="auto" w:fill="auto"/>
            <w:noWrap/>
            <w:vAlign w:val="center"/>
          </w:tcPr>
          <w:p w14:paraId="6D3F82D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388ABAF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3D349EE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8533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2DEE55EA">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2B62AE40">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03C3A897">
            <w:pPr>
              <w:adjustRightInd w:val="0"/>
              <w:snapToGrid w:val="0"/>
              <w:jc w:val="center"/>
              <w:rPr>
                <w:rFonts w:ascii="Arial" w:hAnsi="Arial" w:eastAsia="宋体" w:cs="Arial"/>
                <w:sz w:val="21"/>
                <w:szCs w:val="21"/>
                <w:u w:val="single"/>
              </w:rPr>
            </w:pPr>
          </w:p>
        </w:tc>
        <w:tc>
          <w:tcPr>
            <w:tcW w:w="0" w:type="auto"/>
            <w:vMerge w:val="continue"/>
            <w:vAlign w:val="center"/>
          </w:tcPr>
          <w:p w14:paraId="04276C72">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7777FEB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5174BB1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063ACCD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18D1C36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42430C9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21467DC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56A7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B458C6B">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56289C6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0" w:type="auto"/>
            <w:vMerge w:val="restart"/>
            <w:vAlign w:val="center"/>
          </w:tcPr>
          <w:p w14:paraId="6F049905">
            <w:pPr>
              <w:adjustRightInd w:val="0"/>
              <w:snapToGrid w:val="0"/>
              <w:jc w:val="center"/>
              <w:rPr>
                <w:rFonts w:ascii="Arial" w:hAnsi="Arial" w:eastAsia="宋体" w:cs="Arial"/>
                <w:sz w:val="21"/>
                <w:szCs w:val="21"/>
                <w:u w:val="single"/>
              </w:rPr>
            </w:pPr>
            <w:r>
              <w:rPr>
                <w:rFonts w:ascii="Arial" w:hAnsi="Arial" w:cs="Arial"/>
                <w:sz w:val="21"/>
                <w:szCs w:val="21"/>
                <w:u w:val="single"/>
              </w:rPr>
              <w:t>2232</w:t>
            </w:r>
          </w:p>
        </w:tc>
        <w:tc>
          <w:tcPr>
            <w:tcW w:w="0" w:type="auto"/>
            <w:vMerge w:val="restart"/>
            <w:vAlign w:val="center"/>
          </w:tcPr>
          <w:p w14:paraId="1E6F35DA">
            <w:pPr>
              <w:adjustRightInd w:val="0"/>
              <w:snapToGrid w:val="0"/>
              <w:jc w:val="center"/>
              <w:rPr>
                <w:rFonts w:ascii="Arial" w:hAnsi="Arial" w:eastAsia="宋体" w:cs="Arial"/>
                <w:sz w:val="21"/>
                <w:szCs w:val="21"/>
                <w:u w:val="single"/>
              </w:rPr>
            </w:pPr>
            <w:r>
              <w:rPr>
                <w:rFonts w:ascii="Arial" w:hAnsi="Arial" w:cs="Arial"/>
                <w:sz w:val="21"/>
                <w:szCs w:val="21"/>
                <w:u w:val="single"/>
              </w:rPr>
              <w:t>300</w:t>
            </w:r>
          </w:p>
        </w:tc>
        <w:tc>
          <w:tcPr>
            <w:tcW w:w="0" w:type="auto"/>
            <w:shd w:val="clear" w:color="auto" w:fill="auto"/>
            <w:noWrap/>
            <w:vAlign w:val="center"/>
          </w:tcPr>
          <w:p w14:paraId="2B71A8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4254CC2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4A28E23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220703</w:t>
            </w:r>
          </w:p>
        </w:tc>
        <w:tc>
          <w:tcPr>
            <w:tcW w:w="0" w:type="auto"/>
            <w:shd w:val="clear" w:color="auto" w:fill="auto"/>
            <w:noWrap/>
            <w:vAlign w:val="center"/>
          </w:tcPr>
          <w:p w14:paraId="1D7C117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3BB774E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080D686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DA4B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FA2B598">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001D7026">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046412D0">
            <w:pPr>
              <w:adjustRightInd w:val="0"/>
              <w:snapToGrid w:val="0"/>
              <w:jc w:val="center"/>
              <w:rPr>
                <w:rFonts w:ascii="Arial" w:hAnsi="Arial" w:eastAsia="宋体" w:cs="Arial"/>
                <w:sz w:val="21"/>
                <w:szCs w:val="21"/>
                <w:u w:val="single"/>
              </w:rPr>
            </w:pPr>
          </w:p>
        </w:tc>
        <w:tc>
          <w:tcPr>
            <w:tcW w:w="0" w:type="auto"/>
            <w:vMerge w:val="continue"/>
            <w:vAlign w:val="center"/>
          </w:tcPr>
          <w:p w14:paraId="0E32611A">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3DC3D26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1C6AEC8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4CFFEC6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111DEA1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43AA3BB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74C0A5C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08A8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22C70A4">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0DEA371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0" w:type="auto"/>
            <w:vMerge w:val="restart"/>
            <w:vAlign w:val="center"/>
          </w:tcPr>
          <w:p w14:paraId="6D51572F">
            <w:pPr>
              <w:adjustRightInd w:val="0"/>
              <w:snapToGrid w:val="0"/>
              <w:jc w:val="center"/>
              <w:rPr>
                <w:rFonts w:ascii="Arial" w:hAnsi="Arial" w:eastAsia="宋体" w:cs="Arial"/>
                <w:sz w:val="21"/>
                <w:szCs w:val="21"/>
                <w:u w:val="single"/>
              </w:rPr>
            </w:pPr>
            <w:r>
              <w:rPr>
                <w:rFonts w:ascii="Arial" w:hAnsi="Arial" w:cs="Arial"/>
                <w:sz w:val="21"/>
                <w:szCs w:val="21"/>
                <w:u w:val="single"/>
              </w:rPr>
              <w:t>1403</w:t>
            </w:r>
          </w:p>
        </w:tc>
        <w:tc>
          <w:tcPr>
            <w:tcW w:w="0" w:type="auto"/>
            <w:vMerge w:val="restart"/>
            <w:vAlign w:val="center"/>
          </w:tcPr>
          <w:p w14:paraId="648A8562">
            <w:pPr>
              <w:adjustRightInd w:val="0"/>
              <w:snapToGrid w:val="0"/>
              <w:jc w:val="center"/>
              <w:rPr>
                <w:rFonts w:ascii="Arial" w:hAnsi="Arial" w:eastAsia="宋体" w:cs="Arial"/>
                <w:sz w:val="21"/>
                <w:szCs w:val="21"/>
                <w:u w:val="single"/>
              </w:rPr>
            </w:pPr>
            <w:r>
              <w:rPr>
                <w:rFonts w:ascii="Arial" w:hAnsi="Arial" w:cs="Arial"/>
                <w:sz w:val="21"/>
                <w:szCs w:val="21"/>
                <w:u w:val="single"/>
              </w:rPr>
              <w:t>3131</w:t>
            </w:r>
          </w:p>
        </w:tc>
        <w:tc>
          <w:tcPr>
            <w:tcW w:w="0" w:type="auto"/>
            <w:shd w:val="clear" w:color="auto" w:fill="auto"/>
            <w:noWrap/>
            <w:vAlign w:val="center"/>
          </w:tcPr>
          <w:p w14:paraId="312BDC3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7AACEF9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577169F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221109</w:t>
            </w:r>
          </w:p>
        </w:tc>
        <w:tc>
          <w:tcPr>
            <w:tcW w:w="0" w:type="auto"/>
            <w:shd w:val="clear" w:color="auto" w:fill="auto"/>
            <w:noWrap/>
            <w:vAlign w:val="center"/>
          </w:tcPr>
          <w:p w14:paraId="34FB4CC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27BC2CA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790ADB4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112D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4C8B0559">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0C590B4A">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4F12D532">
            <w:pPr>
              <w:adjustRightInd w:val="0"/>
              <w:snapToGrid w:val="0"/>
              <w:jc w:val="center"/>
              <w:rPr>
                <w:rFonts w:ascii="Arial" w:hAnsi="Arial" w:eastAsia="宋体" w:cs="Arial"/>
                <w:sz w:val="21"/>
                <w:szCs w:val="21"/>
                <w:u w:val="single"/>
              </w:rPr>
            </w:pPr>
          </w:p>
        </w:tc>
        <w:tc>
          <w:tcPr>
            <w:tcW w:w="0" w:type="auto"/>
            <w:vMerge w:val="continue"/>
            <w:vAlign w:val="center"/>
          </w:tcPr>
          <w:p w14:paraId="2089CBAA">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6156ECD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5EC88A6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4E73A31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45453A6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0BDE0AA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604ACFC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7962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B7579B7">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24CB248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0" w:type="auto"/>
            <w:vMerge w:val="restart"/>
            <w:vAlign w:val="center"/>
          </w:tcPr>
          <w:p w14:paraId="2045B1C7">
            <w:pPr>
              <w:adjustRightInd w:val="0"/>
              <w:snapToGrid w:val="0"/>
              <w:jc w:val="center"/>
              <w:rPr>
                <w:rFonts w:ascii="Arial" w:hAnsi="Arial" w:eastAsia="宋体" w:cs="Arial"/>
                <w:sz w:val="21"/>
                <w:szCs w:val="21"/>
                <w:u w:val="single"/>
              </w:rPr>
            </w:pPr>
            <w:r>
              <w:rPr>
                <w:rFonts w:ascii="Arial" w:hAnsi="Arial" w:cs="Arial"/>
                <w:sz w:val="21"/>
                <w:szCs w:val="21"/>
                <w:u w:val="single"/>
              </w:rPr>
              <w:t>1696</w:t>
            </w:r>
          </w:p>
        </w:tc>
        <w:tc>
          <w:tcPr>
            <w:tcW w:w="0" w:type="auto"/>
            <w:vMerge w:val="restart"/>
            <w:vAlign w:val="center"/>
          </w:tcPr>
          <w:p w14:paraId="2CC1EB7F">
            <w:pPr>
              <w:adjustRightInd w:val="0"/>
              <w:snapToGrid w:val="0"/>
              <w:jc w:val="center"/>
              <w:rPr>
                <w:rFonts w:ascii="Arial" w:hAnsi="Arial" w:eastAsia="宋体" w:cs="Arial"/>
                <w:sz w:val="21"/>
                <w:szCs w:val="21"/>
                <w:u w:val="single"/>
              </w:rPr>
            </w:pPr>
            <w:r>
              <w:rPr>
                <w:rFonts w:ascii="Arial" w:hAnsi="Arial" w:cs="Arial"/>
                <w:sz w:val="21"/>
                <w:szCs w:val="21"/>
                <w:u w:val="single"/>
              </w:rPr>
              <w:t>2536</w:t>
            </w:r>
          </w:p>
        </w:tc>
        <w:tc>
          <w:tcPr>
            <w:tcW w:w="0" w:type="auto"/>
            <w:shd w:val="clear" w:color="auto" w:fill="auto"/>
            <w:noWrap/>
            <w:vAlign w:val="center"/>
          </w:tcPr>
          <w:p w14:paraId="2674369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535DFA7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0.04</w:t>
            </w:r>
          </w:p>
        </w:tc>
        <w:tc>
          <w:tcPr>
            <w:tcW w:w="0" w:type="auto"/>
            <w:shd w:val="clear" w:color="auto" w:fill="auto"/>
            <w:noWrap/>
            <w:vAlign w:val="center"/>
          </w:tcPr>
          <w:p w14:paraId="575EA45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220727</w:t>
            </w:r>
          </w:p>
        </w:tc>
        <w:tc>
          <w:tcPr>
            <w:tcW w:w="0" w:type="auto"/>
            <w:shd w:val="clear" w:color="auto" w:fill="auto"/>
            <w:noWrap/>
            <w:vAlign w:val="center"/>
          </w:tcPr>
          <w:p w14:paraId="64D4444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3E4D008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2B19607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091C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2703C39B">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5673CBC0">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335C78AA">
            <w:pPr>
              <w:adjustRightInd w:val="0"/>
              <w:snapToGrid w:val="0"/>
              <w:jc w:val="center"/>
              <w:rPr>
                <w:rFonts w:ascii="Arial" w:hAnsi="Arial" w:eastAsia="宋体" w:cs="Arial"/>
                <w:sz w:val="21"/>
                <w:szCs w:val="21"/>
                <w:u w:val="single"/>
              </w:rPr>
            </w:pPr>
          </w:p>
        </w:tc>
        <w:tc>
          <w:tcPr>
            <w:tcW w:w="0" w:type="auto"/>
            <w:vMerge w:val="continue"/>
            <w:vAlign w:val="center"/>
          </w:tcPr>
          <w:p w14:paraId="7D8DEB85">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48913E6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0713133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01D3ED4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3A41C82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08A77AF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1C24886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7D82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36EDE70">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3F58451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0" w:type="auto"/>
            <w:vMerge w:val="restart"/>
            <w:vAlign w:val="center"/>
          </w:tcPr>
          <w:p w14:paraId="385EFAAA">
            <w:pPr>
              <w:adjustRightInd w:val="0"/>
              <w:snapToGrid w:val="0"/>
              <w:jc w:val="center"/>
              <w:rPr>
                <w:rFonts w:ascii="Arial" w:hAnsi="Arial" w:eastAsia="宋体" w:cs="Arial"/>
                <w:sz w:val="21"/>
                <w:szCs w:val="21"/>
                <w:u w:val="single"/>
              </w:rPr>
            </w:pPr>
            <w:r>
              <w:rPr>
                <w:rFonts w:ascii="Arial" w:hAnsi="Arial" w:cs="Arial"/>
                <w:sz w:val="21"/>
                <w:szCs w:val="21"/>
                <w:u w:val="single"/>
              </w:rPr>
              <w:t>-1860</w:t>
            </w:r>
          </w:p>
        </w:tc>
        <w:tc>
          <w:tcPr>
            <w:tcW w:w="0" w:type="auto"/>
            <w:vMerge w:val="restart"/>
            <w:vAlign w:val="center"/>
          </w:tcPr>
          <w:p w14:paraId="2EC322E7">
            <w:pPr>
              <w:adjustRightInd w:val="0"/>
              <w:snapToGrid w:val="0"/>
              <w:jc w:val="center"/>
              <w:rPr>
                <w:rFonts w:ascii="Arial" w:hAnsi="Arial" w:eastAsia="宋体" w:cs="Arial"/>
                <w:sz w:val="21"/>
                <w:szCs w:val="21"/>
                <w:u w:val="single"/>
              </w:rPr>
            </w:pPr>
            <w:r>
              <w:rPr>
                <w:rFonts w:ascii="Arial" w:hAnsi="Arial" w:cs="Arial"/>
                <w:sz w:val="21"/>
                <w:szCs w:val="21"/>
                <w:u w:val="single"/>
              </w:rPr>
              <w:t>2464</w:t>
            </w:r>
          </w:p>
        </w:tc>
        <w:tc>
          <w:tcPr>
            <w:tcW w:w="0" w:type="auto"/>
            <w:shd w:val="clear" w:color="auto" w:fill="auto"/>
            <w:noWrap/>
            <w:vAlign w:val="center"/>
          </w:tcPr>
          <w:p w14:paraId="0F1EB4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280F22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67BC38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220123</w:t>
            </w:r>
          </w:p>
        </w:tc>
        <w:tc>
          <w:tcPr>
            <w:tcW w:w="0" w:type="auto"/>
            <w:shd w:val="clear" w:color="auto" w:fill="auto"/>
            <w:noWrap/>
            <w:vAlign w:val="center"/>
          </w:tcPr>
          <w:p w14:paraId="3AC8465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303EB70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70FFFEA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8436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2A9F30ED">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3824C745">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75FD6D5E">
            <w:pPr>
              <w:adjustRightInd w:val="0"/>
              <w:snapToGrid w:val="0"/>
              <w:jc w:val="center"/>
              <w:rPr>
                <w:rFonts w:ascii="Arial" w:hAnsi="Arial" w:eastAsia="宋体" w:cs="Arial"/>
                <w:sz w:val="21"/>
                <w:szCs w:val="21"/>
                <w:u w:val="single"/>
              </w:rPr>
            </w:pPr>
          </w:p>
        </w:tc>
        <w:tc>
          <w:tcPr>
            <w:tcW w:w="0" w:type="auto"/>
            <w:vMerge w:val="continue"/>
            <w:vAlign w:val="center"/>
          </w:tcPr>
          <w:p w14:paraId="16599E0C">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0710DF3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D511FC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1C3D998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023756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200F03F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7B16E45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2968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C4F1907">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517FDE3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0" w:type="auto"/>
            <w:vMerge w:val="restart"/>
            <w:vAlign w:val="center"/>
          </w:tcPr>
          <w:p w14:paraId="317D8295">
            <w:pPr>
              <w:adjustRightInd w:val="0"/>
              <w:snapToGrid w:val="0"/>
              <w:jc w:val="center"/>
              <w:rPr>
                <w:rFonts w:ascii="Arial" w:hAnsi="Arial" w:eastAsia="宋体" w:cs="Arial"/>
                <w:sz w:val="21"/>
                <w:szCs w:val="21"/>
                <w:u w:val="single"/>
              </w:rPr>
            </w:pPr>
            <w:r>
              <w:rPr>
                <w:rFonts w:ascii="Arial" w:hAnsi="Arial" w:cs="Arial"/>
                <w:sz w:val="21"/>
                <w:szCs w:val="21"/>
                <w:u w:val="single"/>
              </w:rPr>
              <w:t>-2188</w:t>
            </w:r>
          </w:p>
        </w:tc>
        <w:tc>
          <w:tcPr>
            <w:tcW w:w="0" w:type="auto"/>
            <w:vMerge w:val="restart"/>
            <w:vAlign w:val="center"/>
          </w:tcPr>
          <w:p w14:paraId="37075F5A">
            <w:pPr>
              <w:adjustRightInd w:val="0"/>
              <w:snapToGrid w:val="0"/>
              <w:jc w:val="center"/>
              <w:rPr>
                <w:rFonts w:ascii="Arial" w:hAnsi="Arial" w:eastAsia="宋体" w:cs="Arial"/>
                <w:sz w:val="21"/>
                <w:szCs w:val="21"/>
                <w:u w:val="single"/>
              </w:rPr>
            </w:pPr>
            <w:r>
              <w:rPr>
                <w:rFonts w:ascii="Arial" w:hAnsi="Arial" w:cs="Arial"/>
                <w:sz w:val="21"/>
                <w:szCs w:val="21"/>
                <w:u w:val="single"/>
              </w:rPr>
              <w:t>-966</w:t>
            </w:r>
          </w:p>
        </w:tc>
        <w:tc>
          <w:tcPr>
            <w:tcW w:w="0" w:type="auto"/>
            <w:shd w:val="clear" w:color="auto" w:fill="auto"/>
            <w:noWrap/>
            <w:vAlign w:val="center"/>
          </w:tcPr>
          <w:p w14:paraId="30E1D5A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62CDB52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08ABFC2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221002</w:t>
            </w:r>
          </w:p>
        </w:tc>
        <w:tc>
          <w:tcPr>
            <w:tcW w:w="0" w:type="auto"/>
            <w:shd w:val="clear" w:color="auto" w:fill="auto"/>
            <w:noWrap/>
            <w:vAlign w:val="center"/>
          </w:tcPr>
          <w:p w14:paraId="48F438B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5C31475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698B5DB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024E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4E92CA6">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00627E1A">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5D8C5BD9">
            <w:pPr>
              <w:adjustRightInd w:val="0"/>
              <w:snapToGrid w:val="0"/>
              <w:jc w:val="center"/>
              <w:rPr>
                <w:rFonts w:ascii="Arial" w:hAnsi="Arial" w:eastAsia="宋体" w:cs="Arial"/>
                <w:sz w:val="21"/>
                <w:szCs w:val="21"/>
                <w:u w:val="single"/>
              </w:rPr>
            </w:pPr>
          </w:p>
        </w:tc>
        <w:tc>
          <w:tcPr>
            <w:tcW w:w="0" w:type="auto"/>
            <w:vMerge w:val="continue"/>
            <w:vAlign w:val="center"/>
          </w:tcPr>
          <w:p w14:paraId="6CAC7AB5">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2FEC690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1B86851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12ABAE4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5F48954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7E92CDC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60EE46F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10A8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2B99F87">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7629BF7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0" w:type="auto"/>
            <w:vMerge w:val="restart"/>
            <w:vAlign w:val="center"/>
          </w:tcPr>
          <w:p w14:paraId="3AA2B4EF">
            <w:pPr>
              <w:adjustRightInd w:val="0"/>
              <w:snapToGrid w:val="0"/>
              <w:jc w:val="center"/>
              <w:rPr>
                <w:rFonts w:ascii="Arial" w:hAnsi="Arial" w:eastAsia="宋体" w:cs="Arial"/>
                <w:sz w:val="21"/>
                <w:szCs w:val="21"/>
                <w:u w:val="single"/>
              </w:rPr>
            </w:pPr>
            <w:r>
              <w:rPr>
                <w:rFonts w:ascii="Arial" w:hAnsi="Arial" w:cs="Arial"/>
                <w:sz w:val="21"/>
                <w:szCs w:val="21"/>
                <w:u w:val="single"/>
              </w:rPr>
              <w:t>-1959</w:t>
            </w:r>
          </w:p>
        </w:tc>
        <w:tc>
          <w:tcPr>
            <w:tcW w:w="0" w:type="auto"/>
            <w:vMerge w:val="restart"/>
            <w:vAlign w:val="center"/>
          </w:tcPr>
          <w:p w14:paraId="0F040EF7">
            <w:pPr>
              <w:adjustRightInd w:val="0"/>
              <w:snapToGrid w:val="0"/>
              <w:jc w:val="center"/>
              <w:rPr>
                <w:rFonts w:ascii="Arial" w:hAnsi="Arial" w:eastAsia="宋体" w:cs="Arial"/>
                <w:sz w:val="21"/>
                <w:szCs w:val="21"/>
                <w:u w:val="single"/>
              </w:rPr>
            </w:pPr>
            <w:r>
              <w:rPr>
                <w:rFonts w:ascii="Arial" w:hAnsi="Arial" w:cs="Arial"/>
                <w:sz w:val="21"/>
                <w:szCs w:val="21"/>
                <w:u w:val="single"/>
              </w:rPr>
              <w:t>3395</w:t>
            </w:r>
          </w:p>
        </w:tc>
        <w:tc>
          <w:tcPr>
            <w:tcW w:w="0" w:type="auto"/>
            <w:shd w:val="clear" w:color="auto" w:fill="auto"/>
            <w:noWrap/>
            <w:vAlign w:val="center"/>
          </w:tcPr>
          <w:p w14:paraId="29BEE0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1AC739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680595B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w:t>
            </w:r>
          </w:p>
        </w:tc>
        <w:tc>
          <w:tcPr>
            <w:tcW w:w="0" w:type="auto"/>
            <w:shd w:val="clear" w:color="auto" w:fill="auto"/>
            <w:noWrap/>
            <w:vAlign w:val="center"/>
          </w:tcPr>
          <w:p w14:paraId="394E0AF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02076C0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71C7977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4DAF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C851B9B">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7980F7C0">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63AD76E9">
            <w:pPr>
              <w:adjustRightInd w:val="0"/>
              <w:snapToGrid w:val="0"/>
              <w:jc w:val="center"/>
              <w:rPr>
                <w:rFonts w:ascii="Arial" w:hAnsi="Arial" w:eastAsia="宋体" w:cs="Arial"/>
                <w:sz w:val="21"/>
                <w:szCs w:val="21"/>
                <w:u w:val="single"/>
              </w:rPr>
            </w:pPr>
          </w:p>
        </w:tc>
        <w:tc>
          <w:tcPr>
            <w:tcW w:w="0" w:type="auto"/>
            <w:vMerge w:val="continue"/>
            <w:vAlign w:val="center"/>
          </w:tcPr>
          <w:p w14:paraId="10B7B3B8">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727662F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42BFCF1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537856B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4AA438A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191EF82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54239A1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B1EC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F994CD2">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0724C0E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0" w:type="auto"/>
            <w:vMerge w:val="restart"/>
            <w:vAlign w:val="center"/>
          </w:tcPr>
          <w:p w14:paraId="280807C6">
            <w:pPr>
              <w:adjustRightInd w:val="0"/>
              <w:snapToGrid w:val="0"/>
              <w:jc w:val="center"/>
              <w:rPr>
                <w:rFonts w:ascii="Arial" w:hAnsi="Arial" w:eastAsia="宋体" w:cs="Arial"/>
                <w:sz w:val="21"/>
                <w:szCs w:val="21"/>
                <w:u w:val="single"/>
              </w:rPr>
            </w:pPr>
            <w:r>
              <w:rPr>
                <w:rFonts w:ascii="Arial" w:hAnsi="Arial" w:cs="Arial"/>
                <w:sz w:val="21"/>
                <w:szCs w:val="21"/>
                <w:u w:val="single"/>
              </w:rPr>
              <w:t>-1685</w:t>
            </w:r>
          </w:p>
        </w:tc>
        <w:tc>
          <w:tcPr>
            <w:tcW w:w="0" w:type="auto"/>
            <w:vMerge w:val="restart"/>
            <w:vAlign w:val="center"/>
          </w:tcPr>
          <w:p w14:paraId="571F0BD3">
            <w:pPr>
              <w:adjustRightInd w:val="0"/>
              <w:snapToGrid w:val="0"/>
              <w:jc w:val="center"/>
              <w:rPr>
                <w:rFonts w:ascii="Arial" w:hAnsi="Arial" w:eastAsia="宋体" w:cs="Arial"/>
                <w:sz w:val="21"/>
                <w:szCs w:val="21"/>
                <w:u w:val="single"/>
              </w:rPr>
            </w:pPr>
            <w:r>
              <w:rPr>
                <w:rFonts w:ascii="Arial" w:hAnsi="Arial" w:cs="Arial"/>
                <w:sz w:val="21"/>
                <w:szCs w:val="21"/>
                <w:u w:val="single"/>
              </w:rPr>
              <w:t>3597</w:t>
            </w:r>
          </w:p>
        </w:tc>
        <w:tc>
          <w:tcPr>
            <w:tcW w:w="0" w:type="auto"/>
            <w:shd w:val="clear" w:color="auto" w:fill="auto"/>
            <w:noWrap/>
            <w:vAlign w:val="center"/>
          </w:tcPr>
          <w:p w14:paraId="5D156FC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1A6DDBC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0394CA1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w:t>
            </w:r>
          </w:p>
        </w:tc>
        <w:tc>
          <w:tcPr>
            <w:tcW w:w="0" w:type="auto"/>
            <w:shd w:val="clear" w:color="auto" w:fill="auto"/>
            <w:noWrap/>
            <w:vAlign w:val="center"/>
          </w:tcPr>
          <w:p w14:paraId="7E18BC2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15F7E79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w:t>
            </w:r>
          </w:p>
        </w:tc>
        <w:tc>
          <w:tcPr>
            <w:tcW w:w="0" w:type="auto"/>
            <w:shd w:val="clear" w:color="auto" w:fill="auto"/>
            <w:noWrap/>
            <w:vAlign w:val="center"/>
          </w:tcPr>
          <w:p w14:paraId="627B314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0274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64449A9">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14CAC57E">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4207383B">
            <w:pPr>
              <w:adjustRightInd w:val="0"/>
              <w:snapToGrid w:val="0"/>
              <w:jc w:val="center"/>
              <w:rPr>
                <w:rFonts w:ascii="Arial" w:hAnsi="Arial" w:eastAsia="宋体" w:cs="Arial"/>
                <w:sz w:val="21"/>
                <w:szCs w:val="21"/>
                <w:u w:val="single"/>
              </w:rPr>
            </w:pPr>
          </w:p>
        </w:tc>
        <w:tc>
          <w:tcPr>
            <w:tcW w:w="0" w:type="auto"/>
            <w:vMerge w:val="continue"/>
            <w:vAlign w:val="center"/>
          </w:tcPr>
          <w:p w14:paraId="2A0517E3">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20721A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547E2B8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0758318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5D7017C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304DE99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38062E3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75EF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D21B406">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71042C8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0" w:type="auto"/>
            <w:vMerge w:val="restart"/>
            <w:vAlign w:val="center"/>
          </w:tcPr>
          <w:p w14:paraId="482E56BF">
            <w:pPr>
              <w:adjustRightInd w:val="0"/>
              <w:snapToGrid w:val="0"/>
              <w:jc w:val="center"/>
              <w:rPr>
                <w:rFonts w:ascii="Arial" w:hAnsi="Arial" w:eastAsia="宋体" w:cs="Arial"/>
                <w:sz w:val="21"/>
                <w:szCs w:val="21"/>
                <w:u w:val="single"/>
              </w:rPr>
            </w:pPr>
            <w:r>
              <w:rPr>
                <w:rFonts w:ascii="Arial" w:hAnsi="Arial" w:cs="Arial"/>
                <w:sz w:val="21"/>
                <w:szCs w:val="21"/>
                <w:u w:val="single"/>
              </w:rPr>
              <w:t>2354</w:t>
            </w:r>
          </w:p>
        </w:tc>
        <w:tc>
          <w:tcPr>
            <w:tcW w:w="0" w:type="auto"/>
            <w:vMerge w:val="restart"/>
            <w:vAlign w:val="center"/>
          </w:tcPr>
          <w:p w14:paraId="34C2AD56">
            <w:pPr>
              <w:adjustRightInd w:val="0"/>
              <w:snapToGrid w:val="0"/>
              <w:jc w:val="center"/>
              <w:rPr>
                <w:rFonts w:ascii="Arial" w:hAnsi="Arial" w:eastAsia="宋体" w:cs="Arial"/>
                <w:sz w:val="21"/>
                <w:szCs w:val="21"/>
                <w:u w:val="single"/>
              </w:rPr>
            </w:pPr>
            <w:r>
              <w:rPr>
                <w:rFonts w:ascii="Arial" w:hAnsi="Arial" w:cs="Arial"/>
                <w:sz w:val="21"/>
                <w:szCs w:val="21"/>
                <w:u w:val="single"/>
              </w:rPr>
              <w:t>3874</w:t>
            </w:r>
          </w:p>
        </w:tc>
        <w:tc>
          <w:tcPr>
            <w:tcW w:w="0" w:type="auto"/>
            <w:shd w:val="clear" w:color="auto" w:fill="auto"/>
            <w:noWrap/>
            <w:vAlign w:val="center"/>
          </w:tcPr>
          <w:p w14:paraId="2B808ED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7DF3A1D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0.03</w:t>
            </w:r>
          </w:p>
        </w:tc>
        <w:tc>
          <w:tcPr>
            <w:tcW w:w="0" w:type="auto"/>
            <w:shd w:val="clear" w:color="auto" w:fill="auto"/>
            <w:noWrap/>
            <w:vAlign w:val="center"/>
          </w:tcPr>
          <w:p w14:paraId="0694C4F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220725</w:t>
            </w:r>
          </w:p>
        </w:tc>
        <w:tc>
          <w:tcPr>
            <w:tcW w:w="0" w:type="auto"/>
            <w:shd w:val="clear" w:color="auto" w:fill="auto"/>
            <w:noWrap/>
            <w:vAlign w:val="center"/>
          </w:tcPr>
          <w:p w14:paraId="14552E5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22DFAE0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0.02</w:t>
            </w:r>
          </w:p>
        </w:tc>
        <w:tc>
          <w:tcPr>
            <w:tcW w:w="0" w:type="auto"/>
            <w:shd w:val="clear" w:color="auto" w:fill="auto"/>
            <w:noWrap/>
            <w:vAlign w:val="center"/>
          </w:tcPr>
          <w:p w14:paraId="7A24F88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EB07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05C7297">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45A4CD51">
            <w:pPr>
              <w:widowControl/>
              <w:adjustRightInd w:val="0"/>
              <w:snapToGrid w:val="0"/>
              <w:jc w:val="center"/>
              <w:rPr>
                <w:rFonts w:ascii="Arial" w:hAnsi="Arial" w:cs="Arial" w:eastAsiaTheme="minorEastAsia"/>
                <w:kern w:val="0"/>
                <w:sz w:val="21"/>
                <w:szCs w:val="21"/>
                <w:u w:val="single"/>
              </w:rPr>
            </w:pPr>
          </w:p>
        </w:tc>
        <w:tc>
          <w:tcPr>
            <w:tcW w:w="0" w:type="auto"/>
            <w:vMerge w:val="continue"/>
            <w:vAlign w:val="center"/>
          </w:tcPr>
          <w:p w14:paraId="5E657AAF">
            <w:pPr>
              <w:adjustRightInd w:val="0"/>
              <w:snapToGrid w:val="0"/>
              <w:jc w:val="center"/>
              <w:rPr>
                <w:rFonts w:ascii="Arial" w:hAnsi="Arial" w:eastAsia="宋体" w:cs="Arial"/>
                <w:sz w:val="21"/>
                <w:szCs w:val="21"/>
                <w:u w:val="single"/>
              </w:rPr>
            </w:pPr>
          </w:p>
        </w:tc>
        <w:tc>
          <w:tcPr>
            <w:tcW w:w="0" w:type="auto"/>
            <w:vMerge w:val="continue"/>
            <w:vAlign w:val="center"/>
          </w:tcPr>
          <w:p w14:paraId="762078BE">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56C503D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5F3026E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5550DAF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19EDCD7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52EF1E0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w:t>
            </w:r>
          </w:p>
        </w:tc>
        <w:tc>
          <w:tcPr>
            <w:tcW w:w="0" w:type="auto"/>
            <w:shd w:val="clear" w:color="auto" w:fill="auto"/>
            <w:noWrap/>
            <w:vAlign w:val="center"/>
          </w:tcPr>
          <w:p w14:paraId="3A5EB77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87EB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37593EE">
            <w:pPr>
              <w:widowControl/>
              <w:adjustRightInd w:val="0"/>
              <w:snapToGrid w:val="0"/>
              <w:jc w:val="center"/>
              <w:rPr>
                <w:rFonts w:ascii="Arial" w:hAnsi="Arial" w:cs="Arial" w:eastAsiaTheme="minorEastAsia"/>
                <w:kern w:val="0"/>
                <w:sz w:val="21"/>
                <w:szCs w:val="21"/>
                <w:u w:val="single"/>
              </w:rPr>
            </w:pPr>
          </w:p>
        </w:tc>
        <w:tc>
          <w:tcPr>
            <w:tcW w:w="0" w:type="auto"/>
            <w:vMerge w:val="restart"/>
            <w:shd w:val="clear" w:color="auto" w:fill="auto"/>
            <w:noWrap/>
            <w:vAlign w:val="center"/>
          </w:tcPr>
          <w:p w14:paraId="40B8DC1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区域最大值</w:t>
            </w:r>
          </w:p>
        </w:tc>
        <w:tc>
          <w:tcPr>
            <w:tcW w:w="0" w:type="auto"/>
            <w:vAlign w:val="center"/>
          </w:tcPr>
          <w:p w14:paraId="0EE034E7">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400</w:t>
            </w:r>
          </w:p>
        </w:tc>
        <w:tc>
          <w:tcPr>
            <w:tcW w:w="0" w:type="auto"/>
            <w:vAlign w:val="center"/>
          </w:tcPr>
          <w:p w14:paraId="4A5A2D8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600</w:t>
            </w:r>
          </w:p>
        </w:tc>
        <w:tc>
          <w:tcPr>
            <w:tcW w:w="0" w:type="auto"/>
            <w:shd w:val="clear" w:color="auto" w:fill="auto"/>
            <w:noWrap/>
            <w:vAlign w:val="center"/>
          </w:tcPr>
          <w:p w14:paraId="009162F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0" w:type="auto"/>
            <w:shd w:val="clear" w:color="auto" w:fill="auto"/>
            <w:noWrap/>
            <w:vAlign w:val="center"/>
          </w:tcPr>
          <w:p w14:paraId="648D9BA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0.99</w:t>
            </w:r>
          </w:p>
        </w:tc>
        <w:tc>
          <w:tcPr>
            <w:tcW w:w="0" w:type="auto"/>
            <w:shd w:val="clear" w:color="auto" w:fill="auto"/>
            <w:noWrap/>
            <w:vAlign w:val="center"/>
          </w:tcPr>
          <w:p w14:paraId="279949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221021</w:t>
            </w:r>
          </w:p>
        </w:tc>
        <w:tc>
          <w:tcPr>
            <w:tcW w:w="0" w:type="auto"/>
            <w:shd w:val="clear" w:color="auto" w:fill="auto"/>
            <w:noWrap/>
            <w:vAlign w:val="center"/>
          </w:tcPr>
          <w:p w14:paraId="3E9D3EE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150</w:t>
            </w:r>
          </w:p>
        </w:tc>
        <w:tc>
          <w:tcPr>
            <w:tcW w:w="0" w:type="auto"/>
            <w:shd w:val="clear" w:color="auto" w:fill="auto"/>
            <w:noWrap/>
            <w:vAlign w:val="center"/>
          </w:tcPr>
          <w:p w14:paraId="3181EA8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0.66</w:t>
            </w:r>
          </w:p>
        </w:tc>
        <w:tc>
          <w:tcPr>
            <w:tcW w:w="0" w:type="auto"/>
            <w:shd w:val="clear" w:color="auto" w:fill="auto"/>
            <w:noWrap/>
            <w:vAlign w:val="center"/>
          </w:tcPr>
          <w:p w14:paraId="600FC82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6B94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0F707A2">
            <w:pPr>
              <w:widowControl/>
              <w:adjustRightInd w:val="0"/>
              <w:snapToGrid w:val="0"/>
              <w:jc w:val="center"/>
              <w:rPr>
                <w:rFonts w:ascii="Arial" w:hAnsi="Arial" w:cs="Arial" w:eastAsiaTheme="minorEastAsia"/>
                <w:kern w:val="0"/>
                <w:sz w:val="21"/>
                <w:szCs w:val="21"/>
                <w:u w:val="single"/>
              </w:rPr>
            </w:pPr>
          </w:p>
        </w:tc>
        <w:tc>
          <w:tcPr>
            <w:tcW w:w="0" w:type="auto"/>
            <w:vMerge w:val="continue"/>
            <w:shd w:val="clear" w:color="auto" w:fill="auto"/>
            <w:noWrap/>
            <w:vAlign w:val="center"/>
          </w:tcPr>
          <w:p w14:paraId="6FEC7DC2">
            <w:pPr>
              <w:widowControl/>
              <w:adjustRightInd w:val="0"/>
              <w:snapToGrid w:val="0"/>
              <w:jc w:val="center"/>
              <w:rPr>
                <w:rFonts w:ascii="Arial" w:hAnsi="Arial" w:cs="Arial" w:eastAsiaTheme="minorEastAsia"/>
                <w:kern w:val="0"/>
                <w:sz w:val="21"/>
                <w:szCs w:val="21"/>
                <w:u w:val="single"/>
              </w:rPr>
            </w:pPr>
          </w:p>
        </w:tc>
        <w:tc>
          <w:tcPr>
            <w:tcW w:w="0" w:type="auto"/>
            <w:vAlign w:val="center"/>
          </w:tcPr>
          <w:p w14:paraId="5EA1663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400</w:t>
            </w:r>
          </w:p>
        </w:tc>
        <w:tc>
          <w:tcPr>
            <w:tcW w:w="0" w:type="auto"/>
            <w:vAlign w:val="center"/>
          </w:tcPr>
          <w:p w14:paraId="70DC78F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600</w:t>
            </w:r>
          </w:p>
        </w:tc>
        <w:tc>
          <w:tcPr>
            <w:tcW w:w="0" w:type="auto"/>
            <w:shd w:val="clear" w:color="auto" w:fill="auto"/>
            <w:noWrap/>
            <w:vAlign w:val="center"/>
          </w:tcPr>
          <w:p w14:paraId="5518B1A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F6365E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0.2</w:t>
            </w:r>
          </w:p>
        </w:tc>
        <w:tc>
          <w:tcPr>
            <w:tcW w:w="0" w:type="auto"/>
            <w:shd w:val="clear" w:color="auto" w:fill="auto"/>
            <w:noWrap/>
            <w:vAlign w:val="center"/>
          </w:tcPr>
          <w:p w14:paraId="1348FE6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7255553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0" w:type="auto"/>
            <w:shd w:val="clear" w:color="auto" w:fill="auto"/>
            <w:noWrap/>
            <w:vAlign w:val="center"/>
          </w:tcPr>
          <w:p w14:paraId="4EB312F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0.28</w:t>
            </w:r>
          </w:p>
        </w:tc>
        <w:tc>
          <w:tcPr>
            <w:tcW w:w="0" w:type="auto"/>
            <w:shd w:val="clear" w:color="auto" w:fill="auto"/>
            <w:noWrap/>
            <w:vAlign w:val="center"/>
          </w:tcPr>
          <w:p w14:paraId="46EB94D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89B7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shd w:val="clear" w:color="auto" w:fill="auto"/>
            <w:noWrap/>
            <w:vAlign w:val="center"/>
          </w:tcPr>
          <w:p w14:paraId="1E2F7E7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钴及其</w:t>
            </w:r>
          </w:p>
          <w:p w14:paraId="1F138BE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化合物</w:t>
            </w:r>
          </w:p>
        </w:tc>
        <w:tc>
          <w:tcPr>
            <w:tcW w:w="0" w:type="auto"/>
            <w:shd w:val="clear" w:color="auto" w:fill="auto"/>
            <w:noWrap/>
            <w:vAlign w:val="center"/>
          </w:tcPr>
          <w:p w14:paraId="4BEBBDC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0" w:type="auto"/>
            <w:vAlign w:val="center"/>
          </w:tcPr>
          <w:p w14:paraId="2DDBEAA9">
            <w:pPr>
              <w:adjustRightInd w:val="0"/>
              <w:snapToGrid w:val="0"/>
              <w:jc w:val="center"/>
              <w:rPr>
                <w:rFonts w:ascii="Arial" w:hAnsi="Arial" w:eastAsia="宋体" w:cs="Arial"/>
                <w:sz w:val="21"/>
                <w:szCs w:val="21"/>
                <w:u w:val="single"/>
              </w:rPr>
            </w:pPr>
            <w:r>
              <w:rPr>
                <w:rFonts w:ascii="Arial" w:hAnsi="Arial" w:cs="Arial"/>
                <w:sz w:val="21"/>
                <w:szCs w:val="21"/>
                <w:u w:val="single"/>
              </w:rPr>
              <w:t>-73</w:t>
            </w:r>
          </w:p>
        </w:tc>
        <w:tc>
          <w:tcPr>
            <w:tcW w:w="0" w:type="auto"/>
            <w:vAlign w:val="center"/>
          </w:tcPr>
          <w:p w14:paraId="68C622CB">
            <w:pPr>
              <w:adjustRightInd w:val="0"/>
              <w:snapToGrid w:val="0"/>
              <w:jc w:val="center"/>
              <w:rPr>
                <w:rFonts w:ascii="Arial" w:hAnsi="Arial" w:eastAsia="宋体" w:cs="Arial"/>
                <w:sz w:val="21"/>
                <w:szCs w:val="21"/>
                <w:u w:val="single"/>
              </w:rPr>
            </w:pPr>
            <w:r>
              <w:rPr>
                <w:rFonts w:ascii="Arial" w:hAnsi="Arial" w:cs="Arial"/>
                <w:sz w:val="21"/>
                <w:szCs w:val="21"/>
                <w:u w:val="single"/>
              </w:rPr>
              <w:t>1695</w:t>
            </w:r>
          </w:p>
        </w:tc>
        <w:tc>
          <w:tcPr>
            <w:tcW w:w="0" w:type="auto"/>
            <w:shd w:val="clear" w:color="auto" w:fill="auto"/>
            <w:noWrap/>
            <w:vAlign w:val="center"/>
          </w:tcPr>
          <w:p w14:paraId="1431B7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526A452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0.0044</w:t>
            </w:r>
          </w:p>
        </w:tc>
        <w:tc>
          <w:tcPr>
            <w:tcW w:w="0" w:type="auto"/>
            <w:shd w:val="clear" w:color="auto" w:fill="auto"/>
            <w:noWrap/>
            <w:vAlign w:val="center"/>
          </w:tcPr>
          <w:p w14:paraId="51EB06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40565B6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4BFE5D1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7845CB7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1C692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6E2816DE">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13022DC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55A3BB5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0" w:type="auto"/>
            <w:vAlign w:val="center"/>
          </w:tcPr>
          <w:p w14:paraId="05578082">
            <w:pPr>
              <w:adjustRightInd w:val="0"/>
              <w:snapToGrid w:val="0"/>
              <w:jc w:val="center"/>
              <w:rPr>
                <w:rFonts w:ascii="Arial" w:hAnsi="Arial" w:eastAsia="宋体" w:cs="Arial"/>
                <w:sz w:val="21"/>
                <w:szCs w:val="21"/>
                <w:u w:val="single"/>
              </w:rPr>
            </w:pPr>
            <w:r>
              <w:rPr>
                <w:rFonts w:ascii="Arial" w:hAnsi="Arial" w:cs="Arial"/>
                <w:sz w:val="21"/>
                <w:szCs w:val="21"/>
                <w:u w:val="single"/>
              </w:rPr>
              <w:t>241</w:t>
            </w:r>
          </w:p>
        </w:tc>
        <w:tc>
          <w:tcPr>
            <w:tcW w:w="0" w:type="auto"/>
            <w:vAlign w:val="center"/>
          </w:tcPr>
          <w:p w14:paraId="08E9A4AA">
            <w:pPr>
              <w:adjustRightInd w:val="0"/>
              <w:snapToGrid w:val="0"/>
              <w:jc w:val="center"/>
              <w:rPr>
                <w:rFonts w:ascii="Arial" w:hAnsi="Arial" w:eastAsia="宋体" w:cs="Arial"/>
                <w:sz w:val="21"/>
                <w:szCs w:val="21"/>
                <w:u w:val="single"/>
              </w:rPr>
            </w:pPr>
            <w:r>
              <w:rPr>
                <w:rFonts w:ascii="Arial" w:hAnsi="Arial" w:cs="Arial"/>
                <w:sz w:val="21"/>
                <w:szCs w:val="21"/>
                <w:u w:val="single"/>
              </w:rPr>
              <w:t>1699</w:t>
            </w:r>
          </w:p>
        </w:tc>
        <w:tc>
          <w:tcPr>
            <w:tcW w:w="0" w:type="auto"/>
            <w:shd w:val="clear" w:color="auto" w:fill="auto"/>
            <w:noWrap/>
            <w:vAlign w:val="center"/>
          </w:tcPr>
          <w:p w14:paraId="065ED26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7EBA2ED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0.0113</w:t>
            </w:r>
          </w:p>
        </w:tc>
        <w:tc>
          <w:tcPr>
            <w:tcW w:w="0" w:type="auto"/>
            <w:shd w:val="clear" w:color="auto" w:fill="auto"/>
            <w:noWrap/>
            <w:vAlign w:val="center"/>
          </w:tcPr>
          <w:p w14:paraId="47A449F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04B5A05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46D59BE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0BCB96E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340F1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99EE976">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306F00A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0" w:type="auto"/>
            <w:vAlign w:val="center"/>
          </w:tcPr>
          <w:p w14:paraId="2D79B827">
            <w:pPr>
              <w:adjustRightInd w:val="0"/>
              <w:snapToGrid w:val="0"/>
              <w:jc w:val="center"/>
              <w:rPr>
                <w:rFonts w:ascii="Arial" w:hAnsi="Arial" w:eastAsia="宋体" w:cs="Arial"/>
                <w:sz w:val="21"/>
                <w:szCs w:val="21"/>
                <w:u w:val="single"/>
              </w:rPr>
            </w:pPr>
            <w:r>
              <w:rPr>
                <w:rFonts w:ascii="Arial" w:hAnsi="Arial" w:cs="Arial"/>
                <w:sz w:val="21"/>
                <w:szCs w:val="21"/>
                <w:u w:val="single"/>
              </w:rPr>
              <w:t>-581</w:t>
            </w:r>
          </w:p>
        </w:tc>
        <w:tc>
          <w:tcPr>
            <w:tcW w:w="0" w:type="auto"/>
            <w:vAlign w:val="center"/>
          </w:tcPr>
          <w:p w14:paraId="319A78B3">
            <w:pPr>
              <w:adjustRightInd w:val="0"/>
              <w:snapToGrid w:val="0"/>
              <w:jc w:val="center"/>
              <w:rPr>
                <w:rFonts w:ascii="Arial" w:hAnsi="Arial" w:eastAsia="宋体" w:cs="Arial"/>
                <w:sz w:val="21"/>
                <w:szCs w:val="21"/>
                <w:u w:val="single"/>
              </w:rPr>
            </w:pPr>
            <w:r>
              <w:rPr>
                <w:rFonts w:ascii="Arial" w:hAnsi="Arial" w:cs="Arial"/>
                <w:sz w:val="21"/>
                <w:szCs w:val="21"/>
                <w:u w:val="single"/>
              </w:rPr>
              <w:t>1792</w:t>
            </w:r>
          </w:p>
        </w:tc>
        <w:tc>
          <w:tcPr>
            <w:tcW w:w="0" w:type="auto"/>
            <w:shd w:val="clear" w:color="auto" w:fill="auto"/>
            <w:noWrap/>
            <w:vAlign w:val="center"/>
          </w:tcPr>
          <w:p w14:paraId="0E153E4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6002D5B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0.0021</w:t>
            </w:r>
          </w:p>
        </w:tc>
        <w:tc>
          <w:tcPr>
            <w:tcW w:w="0" w:type="auto"/>
            <w:shd w:val="clear" w:color="auto" w:fill="auto"/>
            <w:noWrap/>
            <w:vAlign w:val="center"/>
          </w:tcPr>
          <w:p w14:paraId="67CD1EC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4323721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41DCD17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4F5CBEC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1402E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418BE462">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2EC565D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0" w:type="auto"/>
            <w:vAlign w:val="center"/>
          </w:tcPr>
          <w:p w14:paraId="65E07B3C">
            <w:pPr>
              <w:adjustRightInd w:val="0"/>
              <w:snapToGrid w:val="0"/>
              <w:jc w:val="center"/>
              <w:rPr>
                <w:rFonts w:ascii="Arial" w:hAnsi="Arial" w:eastAsia="宋体" w:cs="Arial"/>
                <w:sz w:val="21"/>
                <w:szCs w:val="21"/>
                <w:u w:val="single"/>
              </w:rPr>
            </w:pPr>
            <w:r>
              <w:rPr>
                <w:rFonts w:ascii="Arial" w:hAnsi="Arial" w:cs="Arial"/>
                <w:sz w:val="21"/>
                <w:szCs w:val="21"/>
                <w:u w:val="single"/>
              </w:rPr>
              <w:t>1476</w:t>
            </w:r>
          </w:p>
        </w:tc>
        <w:tc>
          <w:tcPr>
            <w:tcW w:w="0" w:type="auto"/>
            <w:vAlign w:val="center"/>
          </w:tcPr>
          <w:p w14:paraId="6FE4AB59">
            <w:pPr>
              <w:adjustRightInd w:val="0"/>
              <w:snapToGrid w:val="0"/>
              <w:jc w:val="center"/>
              <w:rPr>
                <w:rFonts w:ascii="Arial" w:hAnsi="Arial" w:eastAsia="宋体" w:cs="Arial"/>
                <w:sz w:val="21"/>
                <w:szCs w:val="21"/>
                <w:u w:val="single"/>
              </w:rPr>
            </w:pPr>
            <w:r>
              <w:rPr>
                <w:rFonts w:ascii="Arial" w:hAnsi="Arial" w:cs="Arial"/>
                <w:sz w:val="21"/>
                <w:szCs w:val="21"/>
                <w:u w:val="single"/>
              </w:rPr>
              <w:t>557</w:t>
            </w:r>
          </w:p>
        </w:tc>
        <w:tc>
          <w:tcPr>
            <w:tcW w:w="0" w:type="auto"/>
            <w:shd w:val="clear" w:color="auto" w:fill="auto"/>
            <w:noWrap/>
            <w:vAlign w:val="center"/>
          </w:tcPr>
          <w:p w14:paraId="328E6D8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1D0C484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0.0008</w:t>
            </w:r>
          </w:p>
        </w:tc>
        <w:tc>
          <w:tcPr>
            <w:tcW w:w="0" w:type="auto"/>
            <w:shd w:val="clear" w:color="auto" w:fill="auto"/>
            <w:noWrap/>
            <w:vAlign w:val="center"/>
          </w:tcPr>
          <w:p w14:paraId="7B3DB82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09CE099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40525E2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32F249B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0D4E0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4F242213">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383C129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0" w:type="auto"/>
            <w:vAlign w:val="center"/>
          </w:tcPr>
          <w:p w14:paraId="73A1DC9B">
            <w:pPr>
              <w:adjustRightInd w:val="0"/>
              <w:snapToGrid w:val="0"/>
              <w:jc w:val="center"/>
              <w:rPr>
                <w:rFonts w:ascii="Arial" w:hAnsi="Arial" w:eastAsia="宋体" w:cs="Arial"/>
                <w:sz w:val="21"/>
                <w:szCs w:val="21"/>
                <w:u w:val="single"/>
              </w:rPr>
            </w:pPr>
            <w:r>
              <w:rPr>
                <w:rFonts w:ascii="Arial" w:hAnsi="Arial" w:cs="Arial"/>
                <w:sz w:val="21"/>
                <w:szCs w:val="21"/>
                <w:u w:val="single"/>
              </w:rPr>
              <w:t>1362</w:t>
            </w:r>
          </w:p>
        </w:tc>
        <w:tc>
          <w:tcPr>
            <w:tcW w:w="0" w:type="auto"/>
            <w:vAlign w:val="center"/>
          </w:tcPr>
          <w:p w14:paraId="23991787">
            <w:pPr>
              <w:adjustRightInd w:val="0"/>
              <w:snapToGrid w:val="0"/>
              <w:jc w:val="center"/>
              <w:rPr>
                <w:rFonts w:ascii="Arial" w:hAnsi="Arial" w:eastAsia="宋体" w:cs="Arial"/>
                <w:sz w:val="21"/>
                <w:szCs w:val="21"/>
                <w:u w:val="single"/>
              </w:rPr>
            </w:pPr>
            <w:r>
              <w:rPr>
                <w:rFonts w:ascii="Arial" w:hAnsi="Arial" w:cs="Arial"/>
                <w:sz w:val="21"/>
                <w:szCs w:val="21"/>
                <w:u w:val="single"/>
              </w:rPr>
              <w:t>211</w:t>
            </w:r>
          </w:p>
        </w:tc>
        <w:tc>
          <w:tcPr>
            <w:tcW w:w="0" w:type="auto"/>
            <w:shd w:val="clear" w:color="auto" w:fill="auto"/>
            <w:noWrap/>
            <w:vAlign w:val="center"/>
          </w:tcPr>
          <w:p w14:paraId="43285B3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7E3FA67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0.0015</w:t>
            </w:r>
          </w:p>
        </w:tc>
        <w:tc>
          <w:tcPr>
            <w:tcW w:w="0" w:type="auto"/>
            <w:shd w:val="clear" w:color="auto" w:fill="auto"/>
            <w:noWrap/>
            <w:vAlign w:val="center"/>
          </w:tcPr>
          <w:p w14:paraId="6AE2157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7E5F831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3136424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099AA8E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1A991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5153BA2">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1A9D7BD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w:t>
            </w:r>
          </w:p>
          <w:p w14:paraId="26A48D3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幼儿园</w:t>
            </w:r>
          </w:p>
        </w:tc>
        <w:tc>
          <w:tcPr>
            <w:tcW w:w="0" w:type="auto"/>
            <w:vAlign w:val="center"/>
          </w:tcPr>
          <w:p w14:paraId="11CB6ED3">
            <w:pPr>
              <w:adjustRightInd w:val="0"/>
              <w:snapToGrid w:val="0"/>
              <w:jc w:val="center"/>
              <w:rPr>
                <w:rFonts w:ascii="Arial" w:hAnsi="Arial" w:eastAsia="宋体" w:cs="Arial"/>
                <w:sz w:val="21"/>
                <w:szCs w:val="21"/>
                <w:u w:val="single"/>
              </w:rPr>
            </w:pPr>
            <w:r>
              <w:rPr>
                <w:rFonts w:ascii="Arial" w:hAnsi="Arial" w:cs="Arial"/>
                <w:sz w:val="21"/>
                <w:szCs w:val="21"/>
                <w:u w:val="single"/>
              </w:rPr>
              <w:t>-661</w:t>
            </w:r>
          </w:p>
        </w:tc>
        <w:tc>
          <w:tcPr>
            <w:tcW w:w="0" w:type="auto"/>
            <w:vAlign w:val="center"/>
          </w:tcPr>
          <w:p w14:paraId="44674C53">
            <w:pPr>
              <w:adjustRightInd w:val="0"/>
              <w:snapToGrid w:val="0"/>
              <w:jc w:val="center"/>
              <w:rPr>
                <w:rFonts w:ascii="Arial" w:hAnsi="Arial" w:eastAsia="宋体" w:cs="Arial"/>
                <w:sz w:val="21"/>
                <w:szCs w:val="21"/>
                <w:u w:val="single"/>
              </w:rPr>
            </w:pPr>
            <w:r>
              <w:rPr>
                <w:rFonts w:ascii="Arial" w:hAnsi="Arial" w:cs="Arial"/>
                <w:sz w:val="21"/>
                <w:szCs w:val="21"/>
                <w:u w:val="single"/>
              </w:rPr>
              <w:t>2701</w:t>
            </w:r>
          </w:p>
        </w:tc>
        <w:tc>
          <w:tcPr>
            <w:tcW w:w="0" w:type="auto"/>
            <w:shd w:val="clear" w:color="auto" w:fill="auto"/>
            <w:noWrap/>
            <w:vAlign w:val="center"/>
          </w:tcPr>
          <w:p w14:paraId="49E7E46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6032B5A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0.001</w:t>
            </w:r>
          </w:p>
        </w:tc>
        <w:tc>
          <w:tcPr>
            <w:tcW w:w="0" w:type="auto"/>
            <w:shd w:val="clear" w:color="auto" w:fill="auto"/>
            <w:noWrap/>
            <w:vAlign w:val="center"/>
          </w:tcPr>
          <w:p w14:paraId="146FF79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267A954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47BE9A5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7632EC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688DA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7EA63DDA">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4A9FDF6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0" w:type="auto"/>
            <w:vAlign w:val="center"/>
          </w:tcPr>
          <w:p w14:paraId="724AABDD">
            <w:pPr>
              <w:adjustRightInd w:val="0"/>
              <w:snapToGrid w:val="0"/>
              <w:jc w:val="center"/>
              <w:rPr>
                <w:rFonts w:ascii="Arial" w:hAnsi="Arial" w:eastAsia="宋体" w:cs="Arial"/>
                <w:sz w:val="21"/>
                <w:szCs w:val="21"/>
                <w:u w:val="single"/>
              </w:rPr>
            </w:pPr>
            <w:r>
              <w:rPr>
                <w:rFonts w:ascii="Arial" w:hAnsi="Arial" w:cs="Arial"/>
                <w:sz w:val="21"/>
                <w:szCs w:val="21"/>
                <w:u w:val="single"/>
              </w:rPr>
              <w:t>1658</w:t>
            </w:r>
          </w:p>
        </w:tc>
        <w:tc>
          <w:tcPr>
            <w:tcW w:w="0" w:type="auto"/>
            <w:vAlign w:val="center"/>
          </w:tcPr>
          <w:p w14:paraId="35B02CA1">
            <w:pPr>
              <w:adjustRightInd w:val="0"/>
              <w:snapToGrid w:val="0"/>
              <w:jc w:val="center"/>
              <w:rPr>
                <w:rFonts w:ascii="Arial" w:hAnsi="Arial" w:eastAsia="宋体" w:cs="Arial"/>
                <w:sz w:val="21"/>
                <w:szCs w:val="21"/>
                <w:u w:val="single"/>
              </w:rPr>
            </w:pPr>
            <w:r>
              <w:rPr>
                <w:rFonts w:ascii="Arial" w:hAnsi="Arial" w:cs="Arial"/>
                <w:sz w:val="21"/>
                <w:szCs w:val="21"/>
                <w:u w:val="single"/>
              </w:rPr>
              <w:t>345</w:t>
            </w:r>
          </w:p>
        </w:tc>
        <w:tc>
          <w:tcPr>
            <w:tcW w:w="0" w:type="auto"/>
            <w:shd w:val="clear" w:color="auto" w:fill="auto"/>
            <w:noWrap/>
            <w:vAlign w:val="center"/>
          </w:tcPr>
          <w:p w14:paraId="42ACF35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7FFFCB5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0.0008</w:t>
            </w:r>
          </w:p>
        </w:tc>
        <w:tc>
          <w:tcPr>
            <w:tcW w:w="0" w:type="auto"/>
            <w:shd w:val="clear" w:color="auto" w:fill="auto"/>
            <w:noWrap/>
            <w:vAlign w:val="center"/>
          </w:tcPr>
          <w:p w14:paraId="13296D3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374F233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72066E6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7BC5A66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13F09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C5500B0">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0408340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0" w:type="auto"/>
            <w:vAlign w:val="center"/>
          </w:tcPr>
          <w:p w14:paraId="49C002EC">
            <w:pPr>
              <w:adjustRightInd w:val="0"/>
              <w:snapToGrid w:val="0"/>
              <w:jc w:val="center"/>
              <w:rPr>
                <w:rFonts w:ascii="Arial" w:hAnsi="Arial" w:eastAsia="宋体" w:cs="Arial"/>
                <w:sz w:val="21"/>
                <w:szCs w:val="21"/>
                <w:u w:val="single"/>
              </w:rPr>
            </w:pPr>
            <w:r>
              <w:rPr>
                <w:rFonts w:ascii="Arial" w:hAnsi="Arial" w:cs="Arial"/>
                <w:sz w:val="21"/>
                <w:szCs w:val="21"/>
                <w:u w:val="single"/>
              </w:rPr>
              <w:t>462</w:t>
            </w:r>
          </w:p>
        </w:tc>
        <w:tc>
          <w:tcPr>
            <w:tcW w:w="0" w:type="auto"/>
            <w:vAlign w:val="center"/>
          </w:tcPr>
          <w:p w14:paraId="663CFB89">
            <w:pPr>
              <w:adjustRightInd w:val="0"/>
              <w:snapToGrid w:val="0"/>
              <w:jc w:val="center"/>
              <w:rPr>
                <w:rFonts w:ascii="Arial" w:hAnsi="Arial" w:eastAsia="宋体" w:cs="Arial"/>
                <w:sz w:val="21"/>
                <w:szCs w:val="21"/>
                <w:u w:val="single"/>
              </w:rPr>
            </w:pPr>
            <w:r>
              <w:rPr>
                <w:rFonts w:ascii="Arial" w:hAnsi="Arial" w:cs="Arial"/>
                <w:sz w:val="21"/>
                <w:szCs w:val="21"/>
                <w:u w:val="single"/>
              </w:rPr>
              <w:t>2584</w:t>
            </w:r>
          </w:p>
        </w:tc>
        <w:tc>
          <w:tcPr>
            <w:tcW w:w="0" w:type="auto"/>
            <w:shd w:val="clear" w:color="auto" w:fill="auto"/>
            <w:noWrap/>
            <w:vAlign w:val="center"/>
          </w:tcPr>
          <w:p w14:paraId="4C8AB4E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0049C3C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0.0047</w:t>
            </w:r>
          </w:p>
        </w:tc>
        <w:tc>
          <w:tcPr>
            <w:tcW w:w="0" w:type="auto"/>
            <w:shd w:val="clear" w:color="auto" w:fill="auto"/>
            <w:noWrap/>
            <w:vAlign w:val="center"/>
          </w:tcPr>
          <w:p w14:paraId="28E7767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52B790C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673A5F0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455CCB5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0471D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0CD43EB">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2DB3538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0" w:type="auto"/>
            <w:vAlign w:val="center"/>
          </w:tcPr>
          <w:p w14:paraId="539854FB">
            <w:pPr>
              <w:adjustRightInd w:val="0"/>
              <w:snapToGrid w:val="0"/>
              <w:jc w:val="center"/>
              <w:rPr>
                <w:rFonts w:ascii="Arial" w:hAnsi="Arial" w:eastAsia="宋体" w:cs="Arial"/>
                <w:sz w:val="21"/>
                <w:szCs w:val="21"/>
                <w:u w:val="single"/>
              </w:rPr>
            </w:pPr>
            <w:r>
              <w:rPr>
                <w:rFonts w:ascii="Arial" w:hAnsi="Arial" w:cs="Arial"/>
                <w:sz w:val="21"/>
                <w:szCs w:val="21"/>
                <w:u w:val="single"/>
              </w:rPr>
              <w:t>-1060</w:t>
            </w:r>
          </w:p>
        </w:tc>
        <w:tc>
          <w:tcPr>
            <w:tcW w:w="0" w:type="auto"/>
            <w:vAlign w:val="center"/>
          </w:tcPr>
          <w:p w14:paraId="16011374">
            <w:pPr>
              <w:adjustRightInd w:val="0"/>
              <w:snapToGrid w:val="0"/>
              <w:jc w:val="center"/>
              <w:rPr>
                <w:rFonts w:ascii="Arial" w:hAnsi="Arial" w:eastAsia="宋体" w:cs="Arial"/>
                <w:sz w:val="21"/>
                <w:szCs w:val="21"/>
                <w:u w:val="single"/>
              </w:rPr>
            </w:pPr>
            <w:r>
              <w:rPr>
                <w:rFonts w:ascii="Arial" w:hAnsi="Arial" w:cs="Arial"/>
                <w:sz w:val="21"/>
                <w:szCs w:val="21"/>
                <w:u w:val="single"/>
              </w:rPr>
              <w:t>2609</w:t>
            </w:r>
          </w:p>
        </w:tc>
        <w:tc>
          <w:tcPr>
            <w:tcW w:w="0" w:type="auto"/>
            <w:shd w:val="clear" w:color="auto" w:fill="auto"/>
            <w:noWrap/>
            <w:vAlign w:val="center"/>
          </w:tcPr>
          <w:p w14:paraId="4253FCB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B11EA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0.001</w:t>
            </w:r>
          </w:p>
        </w:tc>
        <w:tc>
          <w:tcPr>
            <w:tcW w:w="0" w:type="auto"/>
            <w:shd w:val="clear" w:color="auto" w:fill="auto"/>
            <w:noWrap/>
            <w:vAlign w:val="center"/>
          </w:tcPr>
          <w:p w14:paraId="696EF4D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60B2EA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4AE9F50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0C6B1E3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77035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DD8554B">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0F4CD99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0" w:type="auto"/>
            <w:vAlign w:val="center"/>
          </w:tcPr>
          <w:p w14:paraId="12444A4E">
            <w:pPr>
              <w:adjustRightInd w:val="0"/>
              <w:snapToGrid w:val="0"/>
              <w:jc w:val="center"/>
              <w:rPr>
                <w:rFonts w:ascii="Arial" w:hAnsi="Arial" w:eastAsia="宋体" w:cs="Arial"/>
                <w:sz w:val="21"/>
                <w:szCs w:val="21"/>
                <w:u w:val="single"/>
              </w:rPr>
            </w:pPr>
            <w:r>
              <w:rPr>
                <w:rFonts w:ascii="Arial" w:hAnsi="Arial" w:cs="Arial"/>
                <w:sz w:val="21"/>
                <w:szCs w:val="21"/>
                <w:u w:val="single"/>
              </w:rPr>
              <w:t>1840</w:t>
            </w:r>
          </w:p>
        </w:tc>
        <w:tc>
          <w:tcPr>
            <w:tcW w:w="0" w:type="auto"/>
            <w:vAlign w:val="center"/>
          </w:tcPr>
          <w:p w14:paraId="60E33AA5">
            <w:pPr>
              <w:adjustRightInd w:val="0"/>
              <w:snapToGrid w:val="0"/>
              <w:jc w:val="center"/>
              <w:rPr>
                <w:rFonts w:ascii="Arial" w:hAnsi="Arial" w:eastAsia="宋体" w:cs="Arial"/>
                <w:sz w:val="21"/>
                <w:szCs w:val="21"/>
                <w:u w:val="single"/>
              </w:rPr>
            </w:pPr>
            <w:r>
              <w:rPr>
                <w:rFonts w:ascii="Arial" w:hAnsi="Arial" w:cs="Arial"/>
                <w:sz w:val="21"/>
                <w:szCs w:val="21"/>
                <w:u w:val="single"/>
              </w:rPr>
              <w:t>309</w:t>
            </w:r>
          </w:p>
        </w:tc>
        <w:tc>
          <w:tcPr>
            <w:tcW w:w="0" w:type="auto"/>
            <w:shd w:val="clear" w:color="auto" w:fill="auto"/>
            <w:noWrap/>
            <w:vAlign w:val="center"/>
          </w:tcPr>
          <w:p w14:paraId="084DC18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A054B7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0.0007</w:t>
            </w:r>
          </w:p>
        </w:tc>
        <w:tc>
          <w:tcPr>
            <w:tcW w:w="0" w:type="auto"/>
            <w:shd w:val="clear" w:color="auto" w:fill="auto"/>
            <w:noWrap/>
            <w:vAlign w:val="center"/>
          </w:tcPr>
          <w:p w14:paraId="282D6A7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7159A38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16E3658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2CBA029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36433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565D640">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3ED938A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0" w:type="auto"/>
            <w:vAlign w:val="center"/>
          </w:tcPr>
          <w:p w14:paraId="2E60467A">
            <w:pPr>
              <w:adjustRightInd w:val="0"/>
              <w:snapToGrid w:val="0"/>
              <w:jc w:val="center"/>
              <w:rPr>
                <w:rFonts w:ascii="Arial" w:hAnsi="Arial" w:eastAsia="宋体" w:cs="Arial"/>
                <w:sz w:val="21"/>
                <w:szCs w:val="21"/>
                <w:u w:val="single"/>
              </w:rPr>
            </w:pPr>
            <w:r>
              <w:rPr>
                <w:rFonts w:ascii="Arial" w:hAnsi="Arial" w:cs="Arial"/>
                <w:sz w:val="21"/>
                <w:szCs w:val="21"/>
                <w:u w:val="single"/>
              </w:rPr>
              <w:t>1088</w:t>
            </w:r>
          </w:p>
        </w:tc>
        <w:tc>
          <w:tcPr>
            <w:tcW w:w="0" w:type="auto"/>
            <w:vAlign w:val="center"/>
          </w:tcPr>
          <w:p w14:paraId="3E7C72F0">
            <w:pPr>
              <w:adjustRightInd w:val="0"/>
              <w:snapToGrid w:val="0"/>
              <w:jc w:val="center"/>
              <w:rPr>
                <w:rFonts w:ascii="Arial" w:hAnsi="Arial" w:eastAsia="宋体" w:cs="Arial"/>
                <w:sz w:val="21"/>
                <w:szCs w:val="21"/>
                <w:u w:val="single"/>
              </w:rPr>
            </w:pPr>
            <w:r>
              <w:rPr>
                <w:rFonts w:ascii="Arial" w:hAnsi="Arial" w:cs="Arial"/>
                <w:sz w:val="21"/>
                <w:szCs w:val="21"/>
                <w:u w:val="single"/>
              </w:rPr>
              <w:t>2894</w:t>
            </w:r>
          </w:p>
        </w:tc>
        <w:tc>
          <w:tcPr>
            <w:tcW w:w="0" w:type="auto"/>
            <w:shd w:val="clear" w:color="auto" w:fill="auto"/>
            <w:noWrap/>
            <w:vAlign w:val="center"/>
          </w:tcPr>
          <w:p w14:paraId="4752390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3861B0B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0.0039</w:t>
            </w:r>
          </w:p>
        </w:tc>
        <w:tc>
          <w:tcPr>
            <w:tcW w:w="0" w:type="auto"/>
            <w:shd w:val="clear" w:color="auto" w:fill="auto"/>
            <w:noWrap/>
            <w:vAlign w:val="center"/>
          </w:tcPr>
          <w:p w14:paraId="16C4E55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1A9E654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499F997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0ACEB00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0BFAE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4BBEF10E">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77328F4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69AFBE4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0" w:type="auto"/>
            <w:vAlign w:val="center"/>
          </w:tcPr>
          <w:p w14:paraId="1622C29F">
            <w:pPr>
              <w:adjustRightInd w:val="0"/>
              <w:snapToGrid w:val="0"/>
              <w:jc w:val="center"/>
              <w:rPr>
                <w:rFonts w:ascii="Arial" w:hAnsi="Arial" w:eastAsia="宋体" w:cs="Arial"/>
                <w:sz w:val="21"/>
                <w:szCs w:val="21"/>
                <w:u w:val="single"/>
              </w:rPr>
            </w:pPr>
            <w:r>
              <w:rPr>
                <w:rFonts w:ascii="Arial" w:hAnsi="Arial" w:cs="Arial"/>
                <w:sz w:val="21"/>
                <w:szCs w:val="21"/>
                <w:u w:val="single"/>
              </w:rPr>
              <w:t>1951</w:t>
            </w:r>
          </w:p>
        </w:tc>
        <w:tc>
          <w:tcPr>
            <w:tcW w:w="0" w:type="auto"/>
            <w:vAlign w:val="center"/>
          </w:tcPr>
          <w:p w14:paraId="4E90FCAB">
            <w:pPr>
              <w:adjustRightInd w:val="0"/>
              <w:snapToGrid w:val="0"/>
              <w:jc w:val="center"/>
              <w:rPr>
                <w:rFonts w:ascii="Arial" w:hAnsi="Arial" w:eastAsia="宋体" w:cs="Arial"/>
                <w:sz w:val="21"/>
                <w:szCs w:val="21"/>
                <w:u w:val="single"/>
              </w:rPr>
            </w:pPr>
            <w:r>
              <w:rPr>
                <w:rFonts w:ascii="Arial" w:hAnsi="Arial" w:cs="Arial"/>
                <w:sz w:val="21"/>
                <w:szCs w:val="21"/>
                <w:u w:val="single"/>
              </w:rPr>
              <w:t>314</w:t>
            </w:r>
          </w:p>
        </w:tc>
        <w:tc>
          <w:tcPr>
            <w:tcW w:w="0" w:type="auto"/>
            <w:shd w:val="clear" w:color="auto" w:fill="auto"/>
            <w:noWrap/>
            <w:vAlign w:val="center"/>
          </w:tcPr>
          <w:p w14:paraId="2B39FAB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6A54537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0.0006</w:t>
            </w:r>
          </w:p>
        </w:tc>
        <w:tc>
          <w:tcPr>
            <w:tcW w:w="0" w:type="auto"/>
            <w:shd w:val="clear" w:color="auto" w:fill="auto"/>
            <w:noWrap/>
            <w:vAlign w:val="center"/>
          </w:tcPr>
          <w:p w14:paraId="4011CD6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06028AF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2A9AF53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15BCEDC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657E7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35A421F">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28A76E7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0" w:type="auto"/>
            <w:vAlign w:val="center"/>
          </w:tcPr>
          <w:p w14:paraId="3A457E7B">
            <w:pPr>
              <w:adjustRightInd w:val="0"/>
              <w:snapToGrid w:val="0"/>
              <w:jc w:val="center"/>
              <w:rPr>
                <w:rFonts w:ascii="Arial" w:hAnsi="Arial" w:eastAsia="宋体" w:cs="Arial"/>
                <w:sz w:val="21"/>
                <w:szCs w:val="21"/>
                <w:u w:val="single"/>
              </w:rPr>
            </w:pPr>
            <w:r>
              <w:rPr>
                <w:rFonts w:ascii="Arial" w:hAnsi="Arial" w:cs="Arial"/>
                <w:sz w:val="21"/>
                <w:szCs w:val="21"/>
                <w:u w:val="single"/>
              </w:rPr>
              <w:t>2232</w:t>
            </w:r>
          </w:p>
        </w:tc>
        <w:tc>
          <w:tcPr>
            <w:tcW w:w="0" w:type="auto"/>
            <w:vAlign w:val="center"/>
          </w:tcPr>
          <w:p w14:paraId="171217D1">
            <w:pPr>
              <w:adjustRightInd w:val="0"/>
              <w:snapToGrid w:val="0"/>
              <w:jc w:val="center"/>
              <w:rPr>
                <w:rFonts w:ascii="Arial" w:hAnsi="Arial" w:eastAsia="宋体" w:cs="Arial"/>
                <w:sz w:val="21"/>
                <w:szCs w:val="21"/>
                <w:u w:val="single"/>
              </w:rPr>
            </w:pPr>
            <w:r>
              <w:rPr>
                <w:rFonts w:ascii="Arial" w:hAnsi="Arial" w:cs="Arial"/>
                <w:sz w:val="21"/>
                <w:szCs w:val="21"/>
                <w:u w:val="single"/>
              </w:rPr>
              <w:t>300</w:t>
            </w:r>
          </w:p>
        </w:tc>
        <w:tc>
          <w:tcPr>
            <w:tcW w:w="0" w:type="auto"/>
            <w:shd w:val="clear" w:color="auto" w:fill="auto"/>
            <w:noWrap/>
            <w:vAlign w:val="center"/>
          </w:tcPr>
          <w:p w14:paraId="2C286C5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5D02C8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0.0005</w:t>
            </w:r>
          </w:p>
        </w:tc>
        <w:tc>
          <w:tcPr>
            <w:tcW w:w="0" w:type="auto"/>
            <w:shd w:val="clear" w:color="auto" w:fill="auto"/>
            <w:noWrap/>
            <w:vAlign w:val="center"/>
          </w:tcPr>
          <w:p w14:paraId="3E490D5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139265D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725A377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0A0E667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7F8EC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403F2580">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518E70F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0" w:type="auto"/>
            <w:vAlign w:val="center"/>
          </w:tcPr>
          <w:p w14:paraId="608FDEC3">
            <w:pPr>
              <w:adjustRightInd w:val="0"/>
              <w:snapToGrid w:val="0"/>
              <w:jc w:val="center"/>
              <w:rPr>
                <w:rFonts w:ascii="Arial" w:hAnsi="Arial" w:eastAsia="宋体" w:cs="Arial"/>
                <w:sz w:val="21"/>
                <w:szCs w:val="21"/>
                <w:u w:val="single"/>
              </w:rPr>
            </w:pPr>
            <w:r>
              <w:rPr>
                <w:rFonts w:ascii="Arial" w:hAnsi="Arial" w:cs="Arial"/>
                <w:sz w:val="21"/>
                <w:szCs w:val="21"/>
                <w:u w:val="single"/>
              </w:rPr>
              <w:t>1403</w:t>
            </w:r>
          </w:p>
        </w:tc>
        <w:tc>
          <w:tcPr>
            <w:tcW w:w="0" w:type="auto"/>
            <w:vAlign w:val="center"/>
          </w:tcPr>
          <w:p w14:paraId="0A61B96F">
            <w:pPr>
              <w:adjustRightInd w:val="0"/>
              <w:snapToGrid w:val="0"/>
              <w:jc w:val="center"/>
              <w:rPr>
                <w:rFonts w:ascii="Arial" w:hAnsi="Arial" w:eastAsia="宋体" w:cs="Arial"/>
                <w:sz w:val="21"/>
                <w:szCs w:val="21"/>
                <w:u w:val="single"/>
              </w:rPr>
            </w:pPr>
            <w:r>
              <w:rPr>
                <w:rFonts w:ascii="Arial" w:hAnsi="Arial" w:cs="Arial"/>
                <w:sz w:val="21"/>
                <w:szCs w:val="21"/>
                <w:u w:val="single"/>
              </w:rPr>
              <w:t>3131</w:t>
            </w:r>
          </w:p>
        </w:tc>
        <w:tc>
          <w:tcPr>
            <w:tcW w:w="0" w:type="auto"/>
            <w:shd w:val="clear" w:color="auto" w:fill="auto"/>
            <w:noWrap/>
            <w:vAlign w:val="center"/>
          </w:tcPr>
          <w:p w14:paraId="62137B9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079266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0.0029</w:t>
            </w:r>
          </w:p>
        </w:tc>
        <w:tc>
          <w:tcPr>
            <w:tcW w:w="0" w:type="auto"/>
            <w:shd w:val="clear" w:color="auto" w:fill="auto"/>
            <w:noWrap/>
            <w:vAlign w:val="center"/>
          </w:tcPr>
          <w:p w14:paraId="62C2E90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6A72807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45B6532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7EA0F2C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12765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2371B3FC">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5C128E3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0" w:type="auto"/>
            <w:vAlign w:val="center"/>
          </w:tcPr>
          <w:p w14:paraId="4EE661EB">
            <w:pPr>
              <w:adjustRightInd w:val="0"/>
              <w:snapToGrid w:val="0"/>
              <w:jc w:val="center"/>
              <w:rPr>
                <w:rFonts w:ascii="Arial" w:hAnsi="Arial" w:eastAsia="宋体" w:cs="Arial"/>
                <w:sz w:val="21"/>
                <w:szCs w:val="21"/>
                <w:u w:val="single"/>
              </w:rPr>
            </w:pPr>
            <w:r>
              <w:rPr>
                <w:rFonts w:ascii="Arial" w:hAnsi="Arial" w:cs="Arial"/>
                <w:sz w:val="21"/>
                <w:szCs w:val="21"/>
                <w:u w:val="single"/>
              </w:rPr>
              <w:t>1696</w:t>
            </w:r>
          </w:p>
        </w:tc>
        <w:tc>
          <w:tcPr>
            <w:tcW w:w="0" w:type="auto"/>
            <w:vAlign w:val="center"/>
          </w:tcPr>
          <w:p w14:paraId="774745F7">
            <w:pPr>
              <w:adjustRightInd w:val="0"/>
              <w:snapToGrid w:val="0"/>
              <w:jc w:val="center"/>
              <w:rPr>
                <w:rFonts w:ascii="Arial" w:hAnsi="Arial" w:eastAsia="宋体" w:cs="Arial"/>
                <w:sz w:val="21"/>
                <w:szCs w:val="21"/>
                <w:u w:val="single"/>
              </w:rPr>
            </w:pPr>
            <w:r>
              <w:rPr>
                <w:rFonts w:ascii="Arial" w:hAnsi="Arial" w:cs="Arial"/>
                <w:sz w:val="21"/>
                <w:szCs w:val="21"/>
                <w:u w:val="single"/>
              </w:rPr>
              <w:t>2536</w:t>
            </w:r>
          </w:p>
        </w:tc>
        <w:tc>
          <w:tcPr>
            <w:tcW w:w="0" w:type="auto"/>
            <w:shd w:val="clear" w:color="auto" w:fill="auto"/>
            <w:noWrap/>
            <w:vAlign w:val="center"/>
          </w:tcPr>
          <w:p w14:paraId="04540D8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797534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0.0025</w:t>
            </w:r>
          </w:p>
        </w:tc>
        <w:tc>
          <w:tcPr>
            <w:tcW w:w="0" w:type="auto"/>
            <w:shd w:val="clear" w:color="auto" w:fill="auto"/>
            <w:noWrap/>
            <w:vAlign w:val="center"/>
          </w:tcPr>
          <w:p w14:paraId="73637C5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4AA6583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6A92455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087BDA6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4937C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620816D3">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6B6090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0" w:type="auto"/>
            <w:vAlign w:val="center"/>
          </w:tcPr>
          <w:p w14:paraId="7285A537">
            <w:pPr>
              <w:adjustRightInd w:val="0"/>
              <w:snapToGrid w:val="0"/>
              <w:jc w:val="center"/>
              <w:rPr>
                <w:rFonts w:ascii="Arial" w:hAnsi="Arial" w:eastAsia="宋体" w:cs="Arial"/>
                <w:sz w:val="21"/>
                <w:szCs w:val="21"/>
                <w:u w:val="single"/>
              </w:rPr>
            </w:pPr>
            <w:r>
              <w:rPr>
                <w:rFonts w:ascii="Arial" w:hAnsi="Arial" w:cs="Arial"/>
                <w:sz w:val="21"/>
                <w:szCs w:val="21"/>
                <w:u w:val="single"/>
              </w:rPr>
              <w:t>-1860</w:t>
            </w:r>
          </w:p>
        </w:tc>
        <w:tc>
          <w:tcPr>
            <w:tcW w:w="0" w:type="auto"/>
            <w:vAlign w:val="center"/>
          </w:tcPr>
          <w:p w14:paraId="0C20126A">
            <w:pPr>
              <w:adjustRightInd w:val="0"/>
              <w:snapToGrid w:val="0"/>
              <w:jc w:val="center"/>
              <w:rPr>
                <w:rFonts w:ascii="Arial" w:hAnsi="Arial" w:eastAsia="宋体" w:cs="Arial"/>
                <w:sz w:val="21"/>
                <w:szCs w:val="21"/>
                <w:u w:val="single"/>
              </w:rPr>
            </w:pPr>
            <w:r>
              <w:rPr>
                <w:rFonts w:ascii="Arial" w:hAnsi="Arial" w:cs="Arial"/>
                <w:sz w:val="21"/>
                <w:szCs w:val="21"/>
                <w:u w:val="single"/>
              </w:rPr>
              <w:t>2464</w:t>
            </w:r>
          </w:p>
        </w:tc>
        <w:tc>
          <w:tcPr>
            <w:tcW w:w="0" w:type="auto"/>
            <w:shd w:val="clear" w:color="auto" w:fill="auto"/>
            <w:noWrap/>
            <w:vAlign w:val="center"/>
          </w:tcPr>
          <w:p w14:paraId="456F217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536455A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0.0009</w:t>
            </w:r>
          </w:p>
        </w:tc>
        <w:tc>
          <w:tcPr>
            <w:tcW w:w="0" w:type="auto"/>
            <w:shd w:val="clear" w:color="auto" w:fill="auto"/>
            <w:noWrap/>
            <w:vAlign w:val="center"/>
          </w:tcPr>
          <w:p w14:paraId="4B35FB8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70FFFF9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27FCA2D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21FEDB8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5660B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7C6C7D6D">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6914C61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0" w:type="auto"/>
            <w:vAlign w:val="center"/>
          </w:tcPr>
          <w:p w14:paraId="5CFF6399">
            <w:pPr>
              <w:adjustRightInd w:val="0"/>
              <w:snapToGrid w:val="0"/>
              <w:jc w:val="center"/>
              <w:rPr>
                <w:rFonts w:ascii="Arial" w:hAnsi="Arial" w:eastAsia="宋体" w:cs="Arial"/>
                <w:sz w:val="21"/>
                <w:szCs w:val="21"/>
                <w:u w:val="single"/>
              </w:rPr>
            </w:pPr>
            <w:r>
              <w:rPr>
                <w:rFonts w:ascii="Arial" w:hAnsi="Arial" w:cs="Arial"/>
                <w:sz w:val="21"/>
                <w:szCs w:val="21"/>
                <w:u w:val="single"/>
              </w:rPr>
              <w:t>-2188</w:t>
            </w:r>
          </w:p>
        </w:tc>
        <w:tc>
          <w:tcPr>
            <w:tcW w:w="0" w:type="auto"/>
            <w:vAlign w:val="center"/>
          </w:tcPr>
          <w:p w14:paraId="4C9CD43A">
            <w:pPr>
              <w:adjustRightInd w:val="0"/>
              <w:snapToGrid w:val="0"/>
              <w:jc w:val="center"/>
              <w:rPr>
                <w:rFonts w:ascii="Arial" w:hAnsi="Arial" w:eastAsia="宋体" w:cs="Arial"/>
                <w:sz w:val="21"/>
                <w:szCs w:val="21"/>
                <w:u w:val="single"/>
              </w:rPr>
            </w:pPr>
            <w:r>
              <w:rPr>
                <w:rFonts w:ascii="Arial" w:hAnsi="Arial" w:cs="Arial"/>
                <w:sz w:val="21"/>
                <w:szCs w:val="21"/>
                <w:u w:val="single"/>
              </w:rPr>
              <w:t>-966</w:t>
            </w:r>
          </w:p>
        </w:tc>
        <w:tc>
          <w:tcPr>
            <w:tcW w:w="0" w:type="auto"/>
            <w:shd w:val="clear" w:color="auto" w:fill="auto"/>
            <w:noWrap/>
            <w:vAlign w:val="center"/>
          </w:tcPr>
          <w:p w14:paraId="3786814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3E1A29D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0.0018</w:t>
            </w:r>
          </w:p>
        </w:tc>
        <w:tc>
          <w:tcPr>
            <w:tcW w:w="0" w:type="auto"/>
            <w:shd w:val="clear" w:color="auto" w:fill="auto"/>
            <w:noWrap/>
            <w:vAlign w:val="center"/>
          </w:tcPr>
          <w:p w14:paraId="0CC47EB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693E093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0BF59CC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688BCDB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53F18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66EDD83">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7634DDC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0" w:type="auto"/>
            <w:vAlign w:val="center"/>
          </w:tcPr>
          <w:p w14:paraId="652C15EB">
            <w:pPr>
              <w:adjustRightInd w:val="0"/>
              <w:snapToGrid w:val="0"/>
              <w:jc w:val="center"/>
              <w:rPr>
                <w:rFonts w:ascii="Arial" w:hAnsi="Arial" w:eastAsia="宋体" w:cs="Arial"/>
                <w:sz w:val="21"/>
                <w:szCs w:val="21"/>
                <w:u w:val="single"/>
              </w:rPr>
            </w:pPr>
            <w:r>
              <w:rPr>
                <w:rFonts w:ascii="Arial" w:hAnsi="Arial" w:cs="Arial"/>
                <w:sz w:val="21"/>
                <w:szCs w:val="21"/>
                <w:u w:val="single"/>
              </w:rPr>
              <w:t>-1959</w:t>
            </w:r>
          </w:p>
        </w:tc>
        <w:tc>
          <w:tcPr>
            <w:tcW w:w="0" w:type="auto"/>
            <w:vAlign w:val="center"/>
          </w:tcPr>
          <w:p w14:paraId="6751CC48">
            <w:pPr>
              <w:adjustRightInd w:val="0"/>
              <w:snapToGrid w:val="0"/>
              <w:jc w:val="center"/>
              <w:rPr>
                <w:rFonts w:ascii="Arial" w:hAnsi="Arial" w:eastAsia="宋体" w:cs="Arial"/>
                <w:sz w:val="21"/>
                <w:szCs w:val="21"/>
                <w:u w:val="single"/>
              </w:rPr>
            </w:pPr>
            <w:r>
              <w:rPr>
                <w:rFonts w:ascii="Arial" w:hAnsi="Arial" w:cs="Arial"/>
                <w:sz w:val="21"/>
                <w:szCs w:val="21"/>
                <w:u w:val="single"/>
              </w:rPr>
              <w:t>3395</w:t>
            </w:r>
          </w:p>
        </w:tc>
        <w:tc>
          <w:tcPr>
            <w:tcW w:w="0" w:type="auto"/>
            <w:shd w:val="clear" w:color="auto" w:fill="auto"/>
            <w:noWrap/>
            <w:vAlign w:val="center"/>
          </w:tcPr>
          <w:p w14:paraId="4816E6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318D493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0.0006</w:t>
            </w:r>
          </w:p>
        </w:tc>
        <w:tc>
          <w:tcPr>
            <w:tcW w:w="0" w:type="auto"/>
            <w:shd w:val="clear" w:color="auto" w:fill="auto"/>
            <w:noWrap/>
            <w:vAlign w:val="center"/>
          </w:tcPr>
          <w:p w14:paraId="143EED3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4D1F4B3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44948C7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11DC854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5C57F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73D7CA07">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386E5E7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0" w:type="auto"/>
            <w:vAlign w:val="center"/>
          </w:tcPr>
          <w:p w14:paraId="7D2BA345">
            <w:pPr>
              <w:adjustRightInd w:val="0"/>
              <w:snapToGrid w:val="0"/>
              <w:jc w:val="center"/>
              <w:rPr>
                <w:rFonts w:ascii="Arial" w:hAnsi="Arial" w:eastAsia="宋体" w:cs="Arial"/>
                <w:sz w:val="21"/>
                <w:szCs w:val="21"/>
                <w:u w:val="single"/>
              </w:rPr>
            </w:pPr>
            <w:r>
              <w:rPr>
                <w:rFonts w:ascii="Arial" w:hAnsi="Arial" w:cs="Arial"/>
                <w:sz w:val="21"/>
                <w:szCs w:val="21"/>
                <w:u w:val="single"/>
              </w:rPr>
              <w:t>-1685</w:t>
            </w:r>
          </w:p>
        </w:tc>
        <w:tc>
          <w:tcPr>
            <w:tcW w:w="0" w:type="auto"/>
            <w:vAlign w:val="center"/>
          </w:tcPr>
          <w:p w14:paraId="0E23814F">
            <w:pPr>
              <w:adjustRightInd w:val="0"/>
              <w:snapToGrid w:val="0"/>
              <w:jc w:val="center"/>
              <w:rPr>
                <w:rFonts w:ascii="Arial" w:hAnsi="Arial" w:eastAsia="宋体" w:cs="Arial"/>
                <w:sz w:val="21"/>
                <w:szCs w:val="21"/>
                <w:u w:val="single"/>
              </w:rPr>
            </w:pPr>
            <w:r>
              <w:rPr>
                <w:rFonts w:ascii="Arial" w:hAnsi="Arial" w:cs="Arial"/>
                <w:sz w:val="21"/>
                <w:szCs w:val="21"/>
                <w:u w:val="single"/>
              </w:rPr>
              <w:t>3597</w:t>
            </w:r>
          </w:p>
        </w:tc>
        <w:tc>
          <w:tcPr>
            <w:tcW w:w="0" w:type="auto"/>
            <w:shd w:val="clear" w:color="auto" w:fill="auto"/>
            <w:noWrap/>
            <w:vAlign w:val="center"/>
          </w:tcPr>
          <w:p w14:paraId="0324754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8B362B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0.0006</w:t>
            </w:r>
          </w:p>
        </w:tc>
        <w:tc>
          <w:tcPr>
            <w:tcW w:w="0" w:type="auto"/>
            <w:shd w:val="clear" w:color="auto" w:fill="auto"/>
            <w:noWrap/>
            <w:vAlign w:val="center"/>
          </w:tcPr>
          <w:p w14:paraId="04DE8BA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68A0649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6C40471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78F4A48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1C51E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5ABAADE">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15C6E7C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0" w:type="auto"/>
            <w:vAlign w:val="center"/>
          </w:tcPr>
          <w:p w14:paraId="0AB5C08A">
            <w:pPr>
              <w:adjustRightInd w:val="0"/>
              <w:snapToGrid w:val="0"/>
              <w:jc w:val="center"/>
              <w:rPr>
                <w:rFonts w:ascii="Arial" w:hAnsi="Arial" w:eastAsia="宋体" w:cs="Arial"/>
                <w:sz w:val="21"/>
                <w:szCs w:val="21"/>
                <w:u w:val="single"/>
              </w:rPr>
            </w:pPr>
            <w:r>
              <w:rPr>
                <w:rFonts w:ascii="Arial" w:hAnsi="Arial" w:cs="Arial"/>
                <w:sz w:val="21"/>
                <w:szCs w:val="21"/>
                <w:u w:val="single"/>
              </w:rPr>
              <w:t>2354</w:t>
            </w:r>
          </w:p>
        </w:tc>
        <w:tc>
          <w:tcPr>
            <w:tcW w:w="0" w:type="auto"/>
            <w:vAlign w:val="center"/>
          </w:tcPr>
          <w:p w14:paraId="79A83769">
            <w:pPr>
              <w:adjustRightInd w:val="0"/>
              <w:snapToGrid w:val="0"/>
              <w:jc w:val="center"/>
              <w:rPr>
                <w:rFonts w:ascii="Arial" w:hAnsi="Arial" w:eastAsia="宋体" w:cs="Arial"/>
                <w:sz w:val="21"/>
                <w:szCs w:val="21"/>
                <w:u w:val="single"/>
              </w:rPr>
            </w:pPr>
            <w:r>
              <w:rPr>
                <w:rFonts w:ascii="Arial" w:hAnsi="Arial" w:cs="Arial"/>
                <w:sz w:val="21"/>
                <w:szCs w:val="21"/>
                <w:u w:val="single"/>
              </w:rPr>
              <w:t>3874</w:t>
            </w:r>
          </w:p>
        </w:tc>
        <w:tc>
          <w:tcPr>
            <w:tcW w:w="0" w:type="auto"/>
            <w:shd w:val="clear" w:color="auto" w:fill="auto"/>
            <w:noWrap/>
            <w:vAlign w:val="center"/>
          </w:tcPr>
          <w:p w14:paraId="4562A9B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75157A9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0.0016</w:t>
            </w:r>
          </w:p>
        </w:tc>
        <w:tc>
          <w:tcPr>
            <w:tcW w:w="0" w:type="auto"/>
            <w:shd w:val="clear" w:color="auto" w:fill="auto"/>
            <w:noWrap/>
            <w:vAlign w:val="center"/>
          </w:tcPr>
          <w:p w14:paraId="540DCE8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30B8BD5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3A44006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5DD054C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17A38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D0D7EDC">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59C879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区域最大值</w:t>
            </w:r>
          </w:p>
        </w:tc>
        <w:tc>
          <w:tcPr>
            <w:tcW w:w="0" w:type="auto"/>
            <w:vAlign w:val="center"/>
          </w:tcPr>
          <w:p w14:paraId="7ADB3A67">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400</w:t>
            </w:r>
          </w:p>
        </w:tc>
        <w:tc>
          <w:tcPr>
            <w:tcW w:w="0" w:type="auto"/>
            <w:vAlign w:val="center"/>
          </w:tcPr>
          <w:p w14:paraId="475C7EB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600</w:t>
            </w:r>
          </w:p>
        </w:tc>
        <w:tc>
          <w:tcPr>
            <w:tcW w:w="0" w:type="auto"/>
            <w:shd w:val="clear" w:color="auto" w:fill="auto"/>
            <w:noWrap/>
            <w:vAlign w:val="center"/>
          </w:tcPr>
          <w:p w14:paraId="4275677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年平均</w:t>
            </w:r>
          </w:p>
        </w:tc>
        <w:tc>
          <w:tcPr>
            <w:tcW w:w="0" w:type="auto"/>
            <w:shd w:val="clear" w:color="auto" w:fill="auto"/>
            <w:noWrap/>
            <w:vAlign w:val="center"/>
          </w:tcPr>
          <w:p w14:paraId="2D0F93F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0.1224</w:t>
            </w:r>
          </w:p>
        </w:tc>
        <w:tc>
          <w:tcPr>
            <w:tcW w:w="0" w:type="auto"/>
            <w:shd w:val="clear" w:color="auto" w:fill="auto"/>
            <w:noWrap/>
            <w:vAlign w:val="center"/>
          </w:tcPr>
          <w:p w14:paraId="49ACC3C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0" w:type="auto"/>
            <w:shd w:val="clear" w:color="auto" w:fill="auto"/>
            <w:noWrap/>
            <w:vAlign w:val="center"/>
          </w:tcPr>
          <w:p w14:paraId="03E04B1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0" w:type="auto"/>
            <w:shd w:val="clear" w:color="auto" w:fill="auto"/>
            <w:noWrap/>
            <w:vAlign w:val="center"/>
          </w:tcPr>
          <w:p w14:paraId="4EAE87D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0" w:type="auto"/>
            <w:shd w:val="clear" w:color="auto" w:fill="auto"/>
            <w:noWrap/>
            <w:vAlign w:val="center"/>
          </w:tcPr>
          <w:p w14:paraId="189E9AC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r>
      <w:tr w14:paraId="6D241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shd w:val="clear" w:color="auto" w:fill="auto"/>
            <w:noWrap/>
            <w:vAlign w:val="center"/>
          </w:tcPr>
          <w:p w14:paraId="77B66F4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氨气</w:t>
            </w:r>
          </w:p>
        </w:tc>
        <w:tc>
          <w:tcPr>
            <w:tcW w:w="0" w:type="auto"/>
            <w:shd w:val="clear" w:color="auto" w:fill="auto"/>
            <w:noWrap/>
            <w:vAlign w:val="center"/>
          </w:tcPr>
          <w:p w14:paraId="2CD8E0C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0" w:type="auto"/>
            <w:vAlign w:val="center"/>
          </w:tcPr>
          <w:p w14:paraId="1733D2E4">
            <w:pPr>
              <w:adjustRightInd w:val="0"/>
              <w:snapToGrid w:val="0"/>
              <w:jc w:val="center"/>
              <w:rPr>
                <w:rFonts w:ascii="Arial" w:hAnsi="Arial" w:eastAsia="宋体" w:cs="Arial"/>
                <w:sz w:val="21"/>
                <w:szCs w:val="21"/>
                <w:u w:val="single"/>
              </w:rPr>
            </w:pPr>
            <w:r>
              <w:rPr>
                <w:rFonts w:ascii="Arial" w:hAnsi="Arial" w:cs="Arial"/>
                <w:sz w:val="21"/>
                <w:szCs w:val="21"/>
                <w:u w:val="single"/>
              </w:rPr>
              <w:t>-73</w:t>
            </w:r>
          </w:p>
        </w:tc>
        <w:tc>
          <w:tcPr>
            <w:tcW w:w="0" w:type="auto"/>
            <w:vAlign w:val="center"/>
          </w:tcPr>
          <w:p w14:paraId="3A2E28D4">
            <w:pPr>
              <w:adjustRightInd w:val="0"/>
              <w:snapToGrid w:val="0"/>
              <w:jc w:val="center"/>
              <w:rPr>
                <w:rFonts w:ascii="Arial" w:hAnsi="Arial" w:eastAsia="宋体" w:cs="Arial"/>
                <w:sz w:val="21"/>
                <w:szCs w:val="21"/>
                <w:u w:val="single"/>
              </w:rPr>
            </w:pPr>
            <w:r>
              <w:rPr>
                <w:rFonts w:ascii="Arial" w:hAnsi="Arial" w:cs="Arial"/>
                <w:sz w:val="21"/>
                <w:szCs w:val="21"/>
                <w:u w:val="single"/>
              </w:rPr>
              <w:t>1695</w:t>
            </w:r>
          </w:p>
        </w:tc>
        <w:tc>
          <w:tcPr>
            <w:tcW w:w="0" w:type="auto"/>
            <w:shd w:val="clear" w:color="auto" w:fill="auto"/>
            <w:noWrap/>
            <w:vAlign w:val="center"/>
          </w:tcPr>
          <w:p w14:paraId="17E1291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33F2AD5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3.57</w:t>
            </w:r>
          </w:p>
        </w:tc>
        <w:tc>
          <w:tcPr>
            <w:tcW w:w="0" w:type="auto"/>
            <w:shd w:val="clear" w:color="auto" w:fill="auto"/>
            <w:noWrap/>
            <w:vAlign w:val="center"/>
          </w:tcPr>
          <w:p w14:paraId="7FF1268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22051004</w:t>
            </w:r>
          </w:p>
        </w:tc>
        <w:tc>
          <w:tcPr>
            <w:tcW w:w="0" w:type="auto"/>
            <w:shd w:val="clear" w:color="auto" w:fill="auto"/>
            <w:noWrap/>
            <w:vAlign w:val="center"/>
          </w:tcPr>
          <w:p w14:paraId="61607BF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4D8061B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1.78</w:t>
            </w:r>
          </w:p>
        </w:tc>
        <w:tc>
          <w:tcPr>
            <w:tcW w:w="0" w:type="auto"/>
            <w:shd w:val="clear" w:color="auto" w:fill="auto"/>
            <w:noWrap/>
            <w:vAlign w:val="center"/>
          </w:tcPr>
          <w:p w14:paraId="513158A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1FF2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D54D679">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5AB498D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5D57D1A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0" w:type="auto"/>
            <w:vAlign w:val="center"/>
          </w:tcPr>
          <w:p w14:paraId="0D140A28">
            <w:pPr>
              <w:adjustRightInd w:val="0"/>
              <w:snapToGrid w:val="0"/>
              <w:jc w:val="center"/>
              <w:rPr>
                <w:rFonts w:ascii="Arial" w:hAnsi="Arial" w:eastAsia="宋体" w:cs="Arial"/>
                <w:sz w:val="21"/>
                <w:szCs w:val="21"/>
                <w:u w:val="single"/>
              </w:rPr>
            </w:pPr>
            <w:r>
              <w:rPr>
                <w:rFonts w:ascii="Arial" w:hAnsi="Arial" w:cs="Arial"/>
                <w:sz w:val="21"/>
                <w:szCs w:val="21"/>
                <w:u w:val="single"/>
              </w:rPr>
              <w:t>241</w:t>
            </w:r>
          </w:p>
        </w:tc>
        <w:tc>
          <w:tcPr>
            <w:tcW w:w="0" w:type="auto"/>
            <w:vAlign w:val="center"/>
          </w:tcPr>
          <w:p w14:paraId="54D6635E">
            <w:pPr>
              <w:adjustRightInd w:val="0"/>
              <w:snapToGrid w:val="0"/>
              <w:jc w:val="center"/>
              <w:rPr>
                <w:rFonts w:ascii="Arial" w:hAnsi="Arial" w:eastAsia="宋体" w:cs="Arial"/>
                <w:sz w:val="21"/>
                <w:szCs w:val="21"/>
                <w:u w:val="single"/>
              </w:rPr>
            </w:pPr>
            <w:r>
              <w:rPr>
                <w:rFonts w:ascii="Arial" w:hAnsi="Arial" w:cs="Arial"/>
                <w:sz w:val="21"/>
                <w:szCs w:val="21"/>
                <w:u w:val="single"/>
              </w:rPr>
              <w:t>1699</w:t>
            </w:r>
          </w:p>
        </w:tc>
        <w:tc>
          <w:tcPr>
            <w:tcW w:w="0" w:type="auto"/>
            <w:shd w:val="clear" w:color="auto" w:fill="auto"/>
            <w:noWrap/>
            <w:vAlign w:val="center"/>
          </w:tcPr>
          <w:p w14:paraId="3FAEE7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3402C80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11.46</w:t>
            </w:r>
          </w:p>
        </w:tc>
        <w:tc>
          <w:tcPr>
            <w:tcW w:w="0" w:type="auto"/>
            <w:shd w:val="clear" w:color="auto" w:fill="auto"/>
            <w:noWrap/>
            <w:vAlign w:val="center"/>
          </w:tcPr>
          <w:p w14:paraId="69C0A93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22102506</w:t>
            </w:r>
          </w:p>
        </w:tc>
        <w:tc>
          <w:tcPr>
            <w:tcW w:w="0" w:type="auto"/>
            <w:shd w:val="clear" w:color="auto" w:fill="auto"/>
            <w:noWrap/>
            <w:vAlign w:val="center"/>
          </w:tcPr>
          <w:p w14:paraId="1F2828F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62B8C6A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5.73</w:t>
            </w:r>
          </w:p>
        </w:tc>
        <w:tc>
          <w:tcPr>
            <w:tcW w:w="0" w:type="auto"/>
            <w:shd w:val="clear" w:color="auto" w:fill="auto"/>
            <w:noWrap/>
            <w:vAlign w:val="center"/>
          </w:tcPr>
          <w:p w14:paraId="65AABC1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71C1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4CD4E3D">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233F47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0" w:type="auto"/>
            <w:vAlign w:val="center"/>
          </w:tcPr>
          <w:p w14:paraId="4D97EBEA">
            <w:pPr>
              <w:adjustRightInd w:val="0"/>
              <w:snapToGrid w:val="0"/>
              <w:jc w:val="center"/>
              <w:rPr>
                <w:rFonts w:ascii="Arial" w:hAnsi="Arial" w:eastAsia="宋体" w:cs="Arial"/>
                <w:sz w:val="21"/>
                <w:szCs w:val="21"/>
                <w:u w:val="single"/>
              </w:rPr>
            </w:pPr>
            <w:r>
              <w:rPr>
                <w:rFonts w:ascii="Arial" w:hAnsi="Arial" w:cs="Arial"/>
                <w:sz w:val="21"/>
                <w:szCs w:val="21"/>
                <w:u w:val="single"/>
              </w:rPr>
              <w:t>-581</w:t>
            </w:r>
          </w:p>
        </w:tc>
        <w:tc>
          <w:tcPr>
            <w:tcW w:w="0" w:type="auto"/>
            <w:vAlign w:val="center"/>
          </w:tcPr>
          <w:p w14:paraId="58425BAE">
            <w:pPr>
              <w:adjustRightInd w:val="0"/>
              <w:snapToGrid w:val="0"/>
              <w:jc w:val="center"/>
              <w:rPr>
                <w:rFonts w:ascii="Arial" w:hAnsi="Arial" w:eastAsia="宋体" w:cs="Arial"/>
                <w:sz w:val="21"/>
                <w:szCs w:val="21"/>
                <w:u w:val="single"/>
              </w:rPr>
            </w:pPr>
            <w:r>
              <w:rPr>
                <w:rFonts w:ascii="Arial" w:hAnsi="Arial" w:cs="Arial"/>
                <w:sz w:val="21"/>
                <w:szCs w:val="21"/>
                <w:u w:val="single"/>
              </w:rPr>
              <w:t>1792</w:t>
            </w:r>
          </w:p>
        </w:tc>
        <w:tc>
          <w:tcPr>
            <w:tcW w:w="0" w:type="auto"/>
            <w:shd w:val="clear" w:color="auto" w:fill="auto"/>
            <w:noWrap/>
            <w:vAlign w:val="center"/>
          </w:tcPr>
          <w:p w14:paraId="04C3FCB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6DC32F3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3.53</w:t>
            </w:r>
          </w:p>
        </w:tc>
        <w:tc>
          <w:tcPr>
            <w:tcW w:w="0" w:type="auto"/>
            <w:shd w:val="clear" w:color="auto" w:fill="auto"/>
            <w:noWrap/>
            <w:vAlign w:val="center"/>
          </w:tcPr>
          <w:p w14:paraId="73F7C51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22111623</w:t>
            </w:r>
          </w:p>
        </w:tc>
        <w:tc>
          <w:tcPr>
            <w:tcW w:w="0" w:type="auto"/>
            <w:shd w:val="clear" w:color="auto" w:fill="auto"/>
            <w:noWrap/>
            <w:vAlign w:val="center"/>
          </w:tcPr>
          <w:p w14:paraId="035121D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5A8BA27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1.76</w:t>
            </w:r>
          </w:p>
        </w:tc>
        <w:tc>
          <w:tcPr>
            <w:tcW w:w="0" w:type="auto"/>
            <w:shd w:val="clear" w:color="auto" w:fill="auto"/>
            <w:noWrap/>
            <w:vAlign w:val="center"/>
          </w:tcPr>
          <w:p w14:paraId="39E3E6D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1D4C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BD96905">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2E9EAE7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0" w:type="auto"/>
            <w:vAlign w:val="center"/>
          </w:tcPr>
          <w:p w14:paraId="189820A4">
            <w:pPr>
              <w:adjustRightInd w:val="0"/>
              <w:snapToGrid w:val="0"/>
              <w:jc w:val="center"/>
              <w:rPr>
                <w:rFonts w:ascii="Arial" w:hAnsi="Arial" w:eastAsia="宋体" w:cs="Arial"/>
                <w:sz w:val="21"/>
                <w:szCs w:val="21"/>
                <w:u w:val="single"/>
              </w:rPr>
            </w:pPr>
            <w:r>
              <w:rPr>
                <w:rFonts w:ascii="Arial" w:hAnsi="Arial" w:cs="Arial"/>
                <w:sz w:val="21"/>
                <w:szCs w:val="21"/>
                <w:u w:val="single"/>
              </w:rPr>
              <w:t>1476</w:t>
            </w:r>
          </w:p>
        </w:tc>
        <w:tc>
          <w:tcPr>
            <w:tcW w:w="0" w:type="auto"/>
            <w:vAlign w:val="center"/>
          </w:tcPr>
          <w:p w14:paraId="1F28EE66">
            <w:pPr>
              <w:adjustRightInd w:val="0"/>
              <w:snapToGrid w:val="0"/>
              <w:jc w:val="center"/>
              <w:rPr>
                <w:rFonts w:ascii="Arial" w:hAnsi="Arial" w:eastAsia="宋体" w:cs="Arial"/>
                <w:sz w:val="21"/>
                <w:szCs w:val="21"/>
                <w:u w:val="single"/>
              </w:rPr>
            </w:pPr>
            <w:r>
              <w:rPr>
                <w:rFonts w:ascii="Arial" w:hAnsi="Arial" w:cs="Arial"/>
                <w:sz w:val="21"/>
                <w:szCs w:val="21"/>
                <w:u w:val="single"/>
              </w:rPr>
              <w:t>557</w:t>
            </w:r>
          </w:p>
        </w:tc>
        <w:tc>
          <w:tcPr>
            <w:tcW w:w="0" w:type="auto"/>
            <w:shd w:val="clear" w:color="auto" w:fill="auto"/>
            <w:noWrap/>
            <w:vAlign w:val="center"/>
          </w:tcPr>
          <w:p w14:paraId="004E891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5FEDD62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11.68</w:t>
            </w:r>
          </w:p>
        </w:tc>
        <w:tc>
          <w:tcPr>
            <w:tcW w:w="0" w:type="auto"/>
            <w:shd w:val="clear" w:color="auto" w:fill="auto"/>
            <w:noWrap/>
            <w:vAlign w:val="center"/>
          </w:tcPr>
          <w:p w14:paraId="423D62B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22082424</w:t>
            </w:r>
          </w:p>
        </w:tc>
        <w:tc>
          <w:tcPr>
            <w:tcW w:w="0" w:type="auto"/>
            <w:shd w:val="clear" w:color="auto" w:fill="auto"/>
            <w:noWrap/>
            <w:vAlign w:val="center"/>
          </w:tcPr>
          <w:p w14:paraId="480213A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12B9A8F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5.84</w:t>
            </w:r>
          </w:p>
        </w:tc>
        <w:tc>
          <w:tcPr>
            <w:tcW w:w="0" w:type="auto"/>
            <w:shd w:val="clear" w:color="auto" w:fill="auto"/>
            <w:noWrap/>
            <w:vAlign w:val="center"/>
          </w:tcPr>
          <w:p w14:paraId="7793F2C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9B6D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BC76369">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0B3DAA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0" w:type="auto"/>
            <w:vAlign w:val="center"/>
          </w:tcPr>
          <w:p w14:paraId="57D1749F">
            <w:pPr>
              <w:adjustRightInd w:val="0"/>
              <w:snapToGrid w:val="0"/>
              <w:jc w:val="center"/>
              <w:rPr>
                <w:rFonts w:ascii="Arial" w:hAnsi="Arial" w:eastAsia="宋体" w:cs="Arial"/>
                <w:sz w:val="21"/>
                <w:szCs w:val="21"/>
                <w:u w:val="single"/>
              </w:rPr>
            </w:pPr>
            <w:r>
              <w:rPr>
                <w:rFonts w:ascii="Arial" w:hAnsi="Arial" w:cs="Arial"/>
                <w:sz w:val="21"/>
                <w:szCs w:val="21"/>
                <w:u w:val="single"/>
              </w:rPr>
              <w:t>1362</w:t>
            </w:r>
          </w:p>
        </w:tc>
        <w:tc>
          <w:tcPr>
            <w:tcW w:w="0" w:type="auto"/>
            <w:vAlign w:val="center"/>
          </w:tcPr>
          <w:p w14:paraId="1973CD68">
            <w:pPr>
              <w:adjustRightInd w:val="0"/>
              <w:snapToGrid w:val="0"/>
              <w:jc w:val="center"/>
              <w:rPr>
                <w:rFonts w:ascii="Arial" w:hAnsi="Arial" w:eastAsia="宋体" w:cs="Arial"/>
                <w:sz w:val="21"/>
                <w:szCs w:val="21"/>
                <w:u w:val="single"/>
              </w:rPr>
            </w:pPr>
            <w:r>
              <w:rPr>
                <w:rFonts w:ascii="Arial" w:hAnsi="Arial" w:cs="Arial"/>
                <w:sz w:val="21"/>
                <w:szCs w:val="21"/>
                <w:u w:val="single"/>
              </w:rPr>
              <w:t>211</w:t>
            </w:r>
          </w:p>
        </w:tc>
        <w:tc>
          <w:tcPr>
            <w:tcW w:w="0" w:type="auto"/>
            <w:shd w:val="clear" w:color="auto" w:fill="auto"/>
            <w:noWrap/>
            <w:vAlign w:val="center"/>
          </w:tcPr>
          <w:p w14:paraId="0A9BD9D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1801A6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14.85</w:t>
            </w:r>
          </w:p>
        </w:tc>
        <w:tc>
          <w:tcPr>
            <w:tcW w:w="0" w:type="auto"/>
            <w:shd w:val="clear" w:color="auto" w:fill="auto"/>
            <w:noWrap/>
            <w:vAlign w:val="center"/>
          </w:tcPr>
          <w:p w14:paraId="126D184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22091124</w:t>
            </w:r>
          </w:p>
        </w:tc>
        <w:tc>
          <w:tcPr>
            <w:tcW w:w="0" w:type="auto"/>
            <w:shd w:val="clear" w:color="auto" w:fill="auto"/>
            <w:noWrap/>
            <w:vAlign w:val="center"/>
          </w:tcPr>
          <w:p w14:paraId="7E4846C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35CF75D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7.43</w:t>
            </w:r>
          </w:p>
        </w:tc>
        <w:tc>
          <w:tcPr>
            <w:tcW w:w="0" w:type="auto"/>
            <w:shd w:val="clear" w:color="auto" w:fill="auto"/>
            <w:noWrap/>
            <w:vAlign w:val="center"/>
          </w:tcPr>
          <w:p w14:paraId="72E797C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70B9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5801588">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0DC6C26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w:t>
            </w:r>
          </w:p>
          <w:p w14:paraId="1D1C7B2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幼儿园</w:t>
            </w:r>
          </w:p>
        </w:tc>
        <w:tc>
          <w:tcPr>
            <w:tcW w:w="0" w:type="auto"/>
            <w:vAlign w:val="center"/>
          </w:tcPr>
          <w:p w14:paraId="68AE490F">
            <w:pPr>
              <w:adjustRightInd w:val="0"/>
              <w:snapToGrid w:val="0"/>
              <w:jc w:val="center"/>
              <w:rPr>
                <w:rFonts w:ascii="Arial" w:hAnsi="Arial" w:eastAsia="宋体" w:cs="Arial"/>
                <w:sz w:val="21"/>
                <w:szCs w:val="21"/>
                <w:u w:val="single"/>
              </w:rPr>
            </w:pPr>
            <w:r>
              <w:rPr>
                <w:rFonts w:ascii="Arial" w:hAnsi="Arial" w:cs="Arial"/>
                <w:sz w:val="21"/>
                <w:szCs w:val="21"/>
                <w:u w:val="single"/>
              </w:rPr>
              <w:t>-661</w:t>
            </w:r>
          </w:p>
        </w:tc>
        <w:tc>
          <w:tcPr>
            <w:tcW w:w="0" w:type="auto"/>
            <w:vAlign w:val="center"/>
          </w:tcPr>
          <w:p w14:paraId="0135AAE1">
            <w:pPr>
              <w:adjustRightInd w:val="0"/>
              <w:snapToGrid w:val="0"/>
              <w:jc w:val="center"/>
              <w:rPr>
                <w:rFonts w:ascii="Arial" w:hAnsi="Arial" w:eastAsia="宋体" w:cs="Arial"/>
                <w:sz w:val="21"/>
                <w:szCs w:val="21"/>
                <w:u w:val="single"/>
              </w:rPr>
            </w:pPr>
            <w:r>
              <w:rPr>
                <w:rFonts w:ascii="Arial" w:hAnsi="Arial" w:cs="Arial"/>
                <w:sz w:val="21"/>
                <w:szCs w:val="21"/>
                <w:u w:val="single"/>
              </w:rPr>
              <w:t>2701</w:t>
            </w:r>
          </w:p>
        </w:tc>
        <w:tc>
          <w:tcPr>
            <w:tcW w:w="0" w:type="auto"/>
            <w:shd w:val="clear" w:color="auto" w:fill="auto"/>
            <w:noWrap/>
            <w:vAlign w:val="center"/>
          </w:tcPr>
          <w:p w14:paraId="02E938D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4835F49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21.52</w:t>
            </w:r>
          </w:p>
        </w:tc>
        <w:tc>
          <w:tcPr>
            <w:tcW w:w="0" w:type="auto"/>
            <w:shd w:val="clear" w:color="auto" w:fill="auto"/>
            <w:noWrap/>
            <w:vAlign w:val="center"/>
          </w:tcPr>
          <w:p w14:paraId="58F5D09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22031323</w:t>
            </w:r>
          </w:p>
        </w:tc>
        <w:tc>
          <w:tcPr>
            <w:tcW w:w="0" w:type="auto"/>
            <w:shd w:val="clear" w:color="auto" w:fill="auto"/>
            <w:noWrap/>
            <w:vAlign w:val="center"/>
          </w:tcPr>
          <w:p w14:paraId="6950CA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5B6D35A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10.76</w:t>
            </w:r>
          </w:p>
        </w:tc>
        <w:tc>
          <w:tcPr>
            <w:tcW w:w="0" w:type="auto"/>
            <w:shd w:val="clear" w:color="auto" w:fill="auto"/>
            <w:noWrap/>
            <w:vAlign w:val="center"/>
          </w:tcPr>
          <w:p w14:paraId="07B0071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367F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62C1D28A">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40B6DB9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0" w:type="auto"/>
            <w:vAlign w:val="center"/>
          </w:tcPr>
          <w:p w14:paraId="4211FE93">
            <w:pPr>
              <w:adjustRightInd w:val="0"/>
              <w:snapToGrid w:val="0"/>
              <w:jc w:val="center"/>
              <w:rPr>
                <w:rFonts w:ascii="Arial" w:hAnsi="Arial" w:eastAsia="宋体" w:cs="Arial"/>
                <w:sz w:val="21"/>
                <w:szCs w:val="21"/>
                <w:u w:val="single"/>
              </w:rPr>
            </w:pPr>
            <w:r>
              <w:rPr>
                <w:rFonts w:ascii="Arial" w:hAnsi="Arial" w:cs="Arial"/>
                <w:sz w:val="21"/>
                <w:szCs w:val="21"/>
                <w:u w:val="single"/>
              </w:rPr>
              <w:t>1658</w:t>
            </w:r>
          </w:p>
        </w:tc>
        <w:tc>
          <w:tcPr>
            <w:tcW w:w="0" w:type="auto"/>
            <w:vAlign w:val="center"/>
          </w:tcPr>
          <w:p w14:paraId="47603062">
            <w:pPr>
              <w:adjustRightInd w:val="0"/>
              <w:snapToGrid w:val="0"/>
              <w:jc w:val="center"/>
              <w:rPr>
                <w:rFonts w:ascii="Arial" w:hAnsi="Arial" w:eastAsia="宋体" w:cs="Arial"/>
                <w:sz w:val="21"/>
                <w:szCs w:val="21"/>
                <w:u w:val="single"/>
              </w:rPr>
            </w:pPr>
            <w:r>
              <w:rPr>
                <w:rFonts w:ascii="Arial" w:hAnsi="Arial" w:cs="Arial"/>
                <w:sz w:val="21"/>
                <w:szCs w:val="21"/>
                <w:u w:val="single"/>
              </w:rPr>
              <w:t>345</w:t>
            </w:r>
          </w:p>
        </w:tc>
        <w:tc>
          <w:tcPr>
            <w:tcW w:w="0" w:type="auto"/>
            <w:shd w:val="clear" w:color="auto" w:fill="auto"/>
            <w:noWrap/>
            <w:vAlign w:val="center"/>
          </w:tcPr>
          <w:p w14:paraId="502CF76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681C993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21.2</w:t>
            </w:r>
          </w:p>
        </w:tc>
        <w:tc>
          <w:tcPr>
            <w:tcW w:w="0" w:type="auto"/>
            <w:shd w:val="clear" w:color="auto" w:fill="auto"/>
            <w:noWrap/>
            <w:vAlign w:val="center"/>
          </w:tcPr>
          <w:p w14:paraId="2C2EA88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22111105</w:t>
            </w:r>
          </w:p>
        </w:tc>
        <w:tc>
          <w:tcPr>
            <w:tcW w:w="0" w:type="auto"/>
            <w:shd w:val="clear" w:color="auto" w:fill="auto"/>
            <w:noWrap/>
            <w:vAlign w:val="center"/>
          </w:tcPr>
          <w:p w14:paraId="1504ED5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7911B3F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10.6</w:t>
            </w:r>
          </w:p>
        </w:tc>
        <w:tc>
          <w:tcPr>
            <w:tcW w:w="0" w:type="auto"/>
            <w:shd w:val="clear" w:color="auto" w:fill="auto"/>
            <w:noWrap/>
            <w:vAlign w:val="center"/>
          </w:tcPr>
          <w:p w14:paraId="3732D02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69C4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57625A0">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108E29D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0" w:type="auto"/>
            <w:vAlign w:val="center"/>
          </w:tcPr>
          <w:p w14:paraId="38E7F838">
            <w:pPr>
              <w:adjustRightInd w:val="0"/>
              <w:snapToGrid w:val="0"/>
              <w:jc w:val="center"/>
              <w:rPr>
                <w:rFonts w:ascii="Arial" w:hAnsi="Arial" w:eastAsia="宋体" w:cs="Arial"/>
                <w:sz w:val="21"/>
                <w:szCs w:val="21"/>
                <w:u w:val="single"/>
              </w:rPr>
            </w:pPr>
            <w:r>
              <w:rPr>
                <w:rFonts w:ascii="Arial" w:hAnsi="Arial" w:cs="Arial"/>
                <w:sz w:val="21"/>
                <w:szCs w:val="21"/>
                <w:u w:val="single"/>
              </w:rPr>
              <w:t>462</w:t>
            </w:r>
          </w:p>
        </w:tc>
        <w:tc>
          <w:tcPr>
            <w:tcW w:w="0" w:type="auto"/>
            <w:vAlign w:val="center"/>
          </w:tcPr>
          <w:p w14:paraId="362A5163">
            <w:pPr>
              <w:adjustRightInd w:val="0"/>
              <w:snapToGrid w:val="0"/>
              <w:jc w:val="center"/>
              <w:rPr>
                <w:rFonts w:ascii="Arial" w:hAnsi="Arial" w:eastAsia="宋体" w:cs="Arial"/>
                <w:sz w:val="21"/>
                <w:szCs w:val="21"/>
                <w:u w:val="single"/>
              </w:rPr>
            </w:pPr>
            <w:r>
              <w:rPr>
                <w:rFonts w:ascii="Arial" w:hAnsi="Arial" w:cs="Arial"/>
                <w:sz w:val="21"/>
                <w:szCs w:val="21"/>
                <w:u w:val="single"/>
              </w:rPr>
              <w:t>2584</w:t>
            </w:r>
          </w:p>
        </w:tc>
        <w:tc>
          <w:tcPr>
            <w:tcW w:w="0" w:type="auto"/>
            <w:shd w:val="clear" w:color="auto" w:fill="auto"/>
            <w:noWrap/>
            <w:vAlign w:val="center"/>
          </w:tcPr>
          <w:p w14:paraId="1081230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452971C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11.17</w:t>
            </w:r>
          </w:p>
        </w:tc>
        <w:tc>
          <w:tcPr>
            <w:tcW w:w="0" w:type="auto"/>
            <w:shd w:val="clear" w:color="auto" w:fill="auto"/>
            <w:noWrap/>
            <w:vAlign w:val="center"/>
          </w:tcPr>
          <w:p w14:paraId="61FE958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22082205</w:t>
            </w:r>
          </w:p>
        </w:tc>
        <w:tc>
          <w:tcPr>
            <w:tcW w:w="0" w:type="auto"/>
            <w:shd w:val="clear" w:color="auto" w:fill="auto"/>
            <w:noWrap/>
            <w:vAlign w:val="center"/>
          </w:tcPr>
          <w:p w14:paraId="7EBBBC7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0339888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5.59</w:t>
            </w:r>
          </w:p>
        </w:tc>
        <w:tc>
          <w:tcPr>
            <w:tcW w:w="0" w:type="auto"/>
            <w:shd w:val="clear" w:color="auto" w:fill="auto"/>
            <w:noWrap/>
            <w:vAlign w:val="center"/>
          </w:tcPr>
          <w:p w14:paraId="5136991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EF83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240D17B5">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25534B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0" w:type="auto"/>
            <w:vAlign w:val="center"/>
          </w:tcPr>
          <w:p w14:paraId="0793ABE5">
            <w:pPr>
              <w:adjustRightInd w:val="0"/>
              <w:snapToGrid w:val="0"/>
              <w:jc w:val="center"/>
              <w:rPr>
                <w:rFonts w:ascii="Arial" w:hAnsi="Arial" w:eastAsia="宋体" w:cs="Arial"/>
                <w:sz w:val="21"/>
                <w:szCs w:val="21"/>
                <w:u w:val="single"/>
              </w:rPr>
            </w:pPr>
            <w:r>
              <w:rPr>
                <w:rFonts w:ascii="Arial" w:hAnsi="Arial" w:cs="Arial"/>
                <w:sz w:val="21"/>
                <w:szCs w:val="21"/>
                <w:u w:val="single"/>
              </w:rPr>
              <w:t>-1060</w:t>
            </w:r>
          </w:p>
        </w:tc>
        <w:tc>
          <w:tcPr>
            <w:tcW w:w="0" w:type="auto"/>
            <w:vAlign w:val="center"/>
          </w:tcPr>
          <w:p w14:paraId="473634E7">
            <w:pPr>
              <w:adjustRightInd w:val="0"/>
              <w:snapToGrid w:val="0"/>
              <w:jc w:val="center"/>
              <w:rPr>
                <w:rFonts w:ascii="Arial" w:hAnsi="Arial" w:eastAsia="宋体" w:cs="Arial"/>
                <w:sz w:val="21"/>
                <w:szCs w:val="21"/>
                <w:u w:val="single"/>
              </w:rPr>
            </w:pPr>
            <w:r>
              <w:rPr>
                <w:rFonts w:ascii="Arial" w:hAnsi="Arial" w:cs="Arial"/>
                <w:sz w:val="21"/>
                <w:szCs w:val="21"/>
                <w:u w:val="single"/>
              </w:rPr>
              <w:t>2609</w:t>
            </w:r>
          </w:p>
        </w:tc>
        <w:tc>
          <w:tcPr>
            <w:tcW w:w="0" w:type="auto"/>
            <w:shd w:val="clear" w:color="auto" w:fill="auto"/>
            <w:noWrap/>
            <w:vAlign w:val="center"/>
          </w:tcPr>
          <w:p w14:paraId="05984B0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3E83EFF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14.96</w:t>
            </w:r>
          </w:p>
        </w:tc>
        <w:tc>
          <w:tcPr>
            <w:tcW w:w="0" w:type="auto"/>
            <w:shd w:val="clear" w:color="auto" w:fill="auto"/>
            <w:noWrap/>
            <w:vAlign w:val="center"/>
          </w:tcPr>
          <w:p w14:paraId="669A949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22052702</w:t>
            </w:r>
          </w:p>
        </w:tc>
        <w:tc>
          <w:tcPr>
            <w:tcW w:w="0" w:type="auto"/>
            <w:shd w:val="clear" w:color="auto" w:fill="auto"/>
            <w:noWrap/>
            <w:vAlign w:val="center"/>
          </w:tcPr>
          <w:p w14:paraId="5342B92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41C6AAC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7.48</w:t>
            </w:r>
          </w:p>
        </w:tc>
        <w:tc>
          <w:tcPr>
            <w:tcW w:w="0" w:type="auto"/>
            <w:shd w:val="clear" w:color="auto" w:fill="auto"/>
            <w:noWrap/>
            <w:vAlign w:val="center"/>
          </w:tcPr>
          <w:p w14:paraId="7D93177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E336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6418F09E">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2BD3BC4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0" w:type="auto"/>
            <w:vAlign w:val="center"/>
          </w:tcPr>
          <w:p w14:paraId="74EA082A">
            <w:pPr>
              <w:adjustRightInd w:val="0"/>
              <w:snapToGrid w:val="0"/>
              <w:jc w:val="center"/>
              <w:rPr>
                <w:rFonts w:ascii="Arial" w:hAnsi="Arial" w:eastAsia="宋体" w:cs="Arial"/>
                <w:sz w:val="21"/>
                <w:szCs w:val="21"/>
                <w:u w:val="single"/>
              </w:rPr>
            </w:pPr>
            <w:r>
              <w:rPr>
                <w:rFonts w:ascii="Arial" w:hAnsi="Arial" w:cs="Arial"/>
                <w:sz w:val="21"/>
                <w:szCs w:val="21"/>
                <w:u w:val="single"/>
              </w:rPr>
              <w:t>1840</w:t>
            </w:r>
          </w:p>
        </w:tc>
        <w:tc>
          <w:tcPr>
            <w:tcW w:w="0" w:type="auto"/>
            <w:vAlign w:val="center"/>
          </w:tcPr>
          <w:p w14:paraId="51482B71">
            <w:pPr>
              <w:adjustRightInd w:val="0"/>
              <w:snapToGrid w:val="0"/>
              <w:jc w:val="center"/>
              <w:rPr>
                <w:rFonts w:ascii="Arial" w:hAnsi="Arial" w:eastAsia="宋体" w:cs="Arial"/>
                <w:sz w:val="21"/>
                <w:szCs w:val="21"/>
                <w:u w:val="single"/>
              </w:rPr>
            </w:pPr>
            <w:r>
              <w:rPr>
                <w:rFonts w:ascii="Arial" w:hAnsi="Arial" w:cs="Arial"/>
                <w:sz w:val="21"/>
                <w:szCs w:val="21"/>
                <w:u w:val="single"/>
              </w:rPr>
              <w:t>309</w:t>
            </w:r>
          </w:p>
        </w:tc>
        <w:tc>
          <w:tcPr>
            <w:tcW w:w="0" w:type="auto"/>
            <w:shd w:val="clear" w:color="auto" w:fill="auto"/>
            <w:noWrap/>
            <w:vAlign w:val="center"/>
          </w:tcPr>
          <w:p w14:paraId="58B7756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111ED03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18.56</w:t>
            </w:r>
          </w:p>
        </w:tc>
        <w:tc>
          <w:tcPr>
            <w:tcW w:w="0" w:type="auto"/>
            <w:shd w:val="clear" w:color="auto" w:fill="auto"/>
            <w:noWrap/>
            <w:vAlign w:val="center"/>
          </w:tcPr>
          <w:p w14:paraId="6626E73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22111105</w:t>
            </w:r>
          </w:p>
        </w:tc>
        <w:tc>
          <w:tcPr>
            <w:tcW w:w="0" w:type="auto"/>
            <w:shd w:val="clear" w:color="auto" w:fill="auto"/>
            <w:noWrap/>
            <w:vAlign w:val="center"/>
          </w:tcPr>
          <w:p w14:paraId="7D80C78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50744A4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9.28</w:t>
            </w:r>
          </w:p>
        </w:tc>
        <w:tc>
          <w:tcPr>
            <w:tcW w:w="0" w:type="auto"/>
            <w:shd w:val="clear" w:color="auto" w:fill="auto"/>
            <w:noWrap/>
            <w:vAlign w:val="center"/>
          </w:tcPr>
          <w:p w14:paraId="18519E5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CBCB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65570F28">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57ED5EA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0" w:type="auto"/>
            <w:vAlign w:val="center"/>
          </w:tcPr>
          <w:p w14:paraId="48540BF2">
            <w:pPr>
              <w:adjustRightInd w:val="0"/>
              <w:snapToGrid w:val="0"/>
              <w:jc w:val="center"/>
              <w:rPr>
                <w:rFonts w:ascii="Arial" w:hAnsi="Arial" w:eastAsia="宋体" w:cs="Arial"/>
                <w:sz w:val="21"/>
                <w:szCs w:val="21"/>
                <w:u w:val="single"/>
              </w:rPr>
            </w:pPr>
            <w:r>
              <w:rPr>
                <w:rFonts w:ascii="Arial" w:hAnsi="Arial" w:cs="Arial"/>
                <w:sz w:val="21"/>
                <w:szCs w:val="21"/>
                <w:u w:val="single"/>
              </w:rPr>
              <w:t>1088</w:t>
            </w:r>
          </w:p>
        </w:tc>
        <w:tc>
          <w:tcPr>
            <w:tcW w:w="0" w:type="auto"/>
            <w:vAlign w:val="center"/>
          </w:tcPr>
          <w:p w14:paraId="5B5B2B5D">
            <w:pPr>
              <w:adjustRightInd w:val="0"/>
              <w:snapToGrid w:val="0"/>
              <w:jc w:val="center"/>
              <w:rPr>
                <w:rFonts w:ascii="Arial" w:hAnsi="Arial" w:eastAsia="宋体" w:cs="Arial"/>
                <w:sz w:val="21"/>
                <w:szCs w:val="21"/>
                <w:u w:val="single"/>
              </w:rPr>
            </w:pPr>
            <w:r>
              <w:rPr>
                <w:rFonts w:ascii="Arial" w:hAnsi="Arial" w:cs="Arial"/>
                <w:sz w:val="21"/>
                <w:szCs w:val="21"/>
                <w:u w:val="single"/>
              </w:rPr>
              <w:t>2894</w:t>
            </w:r>
          </w:p>
        </w:tc>
        <w:tc>
          <w:tcPr>
            <w:tcW w:w="0" w:type="auto"/>
            <w:shd w:val="clear" w:color="auto" w:fill="auto"/>
            <w:noWrap/>
            <w:vAlign w:val="center"/>
          </w:tcPr>
          <w:p w14:paraId="539B709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0D3A461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8.91</w:t>
            </w:r>
          </w:p>
        </w:tc>
        <w:tc>
          <w:tcPr>
            <w:tcW w:w="0" w:type="auto"/>
            <w:shd w:val="clear" w:color="auto" w:fill="auto"/>
            <w:noWrap/>
            <w:vAlign w:val="center"/>
          </w:tcPr>
          <w:p w14:paraId="0F9FAA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22061206</w:t>
            </w:r>
          </w:p>
        </w:tc>
        <w:tc>
          <w:tcPr>
            <w:tcW w:w="0" w:type="auto"/>
            <w:shd w:val="clear" w:color="auto" w:fill="auto"/>
            <w:noWrap/>
            <w:vAlign w:val="center"/>
          </w:tcPr>
          <w:p w14:paraId="7B6C7C3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0BE6467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4.45</w:t>
            </w:r>
          </w:p>
        </w:tc>
        <w:tc>
          <w:tcPr>
            <w:tcW w:w="0" w:type="auto"/>
            <w:shd w:val="clear" w:color="auto" w:fill="auto"/>
            <w:noWrap/>
            <w:vAlign w:val="center"/>
          </w:tcPr>
          <w:p w14:paraId="1C29054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B736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1DBD2646">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7C7207E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3DA5CC6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0" w:type="auto"/>
            <w:vAlign w:val="center"/>
          </w:tcPr>
          <w:p w14:paraId="1CA09C10">
            <w:pPr>
              <w:adjustRightInd w:val="0"/>
              <w:snapToGrid w:val="0"/>
              <w:jc w:val="center"/>
              <w:rPr>
                <w:rFonts w:ascii="Arial" w:hAnsi="Arial" w:eastAsia="宋体" w:cs="Arial"/>
                <w:sz w:val="21"/>
                <w:szCs w:val="21"/>
                <w:u w:val="single"/>
              </w:rPr>
            </w:pPr>
            <w:r>
              <w:rPr>
                <w:rFonts w:ascii="Arial" w:hAnsi="Arial" w:cs="Arial"/>
                <w:sz w:val="21"/>
                <w:szCs w:val="21"/>
                <w:u w:val="single"/>
              </w:rPr>
              <w:t>1951</w:t>
            </w:r>
          </w:p>
        </w:tc>
        <w:tc>
          <w:tcPr>
            <w:tcW w:w="0" w:type="auto"/>
            <w:vAlign w:val="center"/>
          </w:tcPr>
          <w:p w14:paraId="588FCE34">
            <w:pPr>
              <w:adjustRightInd w:val="0"/>
              <w:snapToGrid w:val="0"/>
              <w:jc w:val="center"/>
              <w:rPr>
                <w:rFonts w:ascii="Arial" w:hAnsi="Arial" w:eastAsia="宋体" w:cs="Arial"/>
                <w:sz w:val="21"/>
                <w:szCs w:val="21"/>
                <w:u w:val="single"/>
              </w:rPr>
            </w:pPr>
            <w:r>
              <w:rPr>
                <w:rFonts w:ascii="Arial" w:hAnsi="Arial" w:cs="Arial"/>
                <w:sz w:val="21"/>
                <w:szCs w:val="21"/>
                <w:u w:val="single"/>
              </w:rPr>
              <w:t>314</w:t>
            </w:r>
          </w:p>
        </w:tc>
        <w:tc>
          <w:tcPr>
            <w:tcW w:w="0" w:type="auto"/>
            <w:shd w:val="clear" w:color="auto" w:fill="auto"/>
            <w:noWrap/>
            <w:vAlign w:val="center"/>
          </w:tcPr>
          <w:p w14:paraId="1FE68A2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6A4F4EF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16.38</w:t>
            </w:r>
          </w:p>
        </w:tc>
        <w:tc>
          <w:tcPr>
            <w:tcW w:w="0" w:type="auto"/>
            <w:shd w:val="clear" w:color="auto" w:fill="auto"/>
            <w:noWrap/>
            <w:vAlign w:val="center"/>
          </w:tcPr>
          <w:p w14:paraId="7F952E2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22111105</w:t>
            </w:r>
          </w:p>
        </w:tc>
        <w:tc>
          <w:tcPr>
            <w:tcW w:w="0" w:type="auto"/>
            <w:shd w:val="clear" w:color="auto" w:fill="auto"/>
            <w:noWrap/>
            <w:vAlign w:val="center"/>
          </w:tcPr>
          <w:p w14:paraId="1919430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792D0C8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8.19</w:t>
            </w:r>
          </w:p>
        </w:tc>
        <w:tc>
          <w:tcPr>
            <w:tcW w:w="0" w:type="auto"/>
            <w:shd w:val="clear" w:color="auto" w:fill="auto"/>
            <w:noWrap/>
            <w:vAlign w:val="center"/>
          </w:tcPr>
          <w:p w14:paraId="50467E9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5D9F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55737A0D">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4A1E28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0" w:type="auto"/>
            <w:vAlign w:val="center"/>
          </w:tcPr>
          <w:p w14:paraId="0213FA24">
            <w:pPr>
              <w:adjustRightInd w:val="0"/>
              <w:snapToGrid w:val="0"/>
              <w:jc w:val="center"/>
              <w:rPr>
                <w:rFonts w:ascii="Arial" w:hAnsi="Arial" w:eastAsia="宋体" w:cs="Arial"/>
                <w:sz w:val="21"/>
                <w:szCs w:val="21"/>
                <w:u w:val="single"/>
              </w:rPr>
            </w:pPr>
            <w:r>
              <w:rPr>
                <w:rFonts w:ascii="Arial" w:hAnsi="Arial" w:cs="Arial"/>
                <w:sz w:val="21"/>
                <w:szCs w:val="21"/>
                <w:u w:val="single"/>
              </w:rPr>
              <w:t>2232</w:t>
            </w:r>
          </w:p>
        </w:tc>
        <w:tc>
          <w:tcPr>
            <w:tcW w:w="0" w:type="auto"/>
            <w:vAlign w:val="center"/>
          </w:tcPr>
          <w:p w14:paraId="536FF0D9">
            <w:pPr>
              <w:adjustRightInd w:val="0"/>
              <w:snapToGrid w:val="0"/>
              <w:jc w:val="center"/>
              <w:rPr>
                <w:rFonts w:ascii="Arial" w:hAnsi="Arial" w:eastAsia="宋体" w:cs="Arial"/>
                <w:sz w:val="21"/>
                <w:szCs w:val="21"/>
                <w:u w:val="single"/>
              </w:rPr>
            </w:pPr>
            <w:r>
              <w:rPr>
                <w:rFonts w:ascii="Arial" w:hAnsi="Arial" w:cs="Arial"/>
                <w:sz w:val="21"/>
                <w:szCs w:val="21"/>
                <w:u w:val="single"/>
              </w:rPr>
              <w:t>300</w:t>
            </w:r>
          </w:p>
        </w:tc>
        <w:tc>
          <w:tcPr>
            <w:tcW w:w="0" w:type="auto"/>
            <w:shd w:val="clear" w:color="auto" w:fill="auto"/>
            <w:noWrap/>
            <w:vAlign w:val="center"/>
          </w:tcPr>
          <w:p w14:paraId="0877906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6DEB622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11.74</w:t>
            </w:r>
          </w:p>
        </w:tc>
        <w:tc>
          <w:tcPr>
            <w:tcW w:w="0" w:type="auto"/>
            <w:shd w:val="clear" w:color="auto" w:fill="auto"/>
            <w:noWrap/>
            <w:vAlign w:val="center"/>
          </w:tcPr>
          <w:p w14:paraId="7A2289B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22111105</w:t>
            </w:r>
          </w:p>
        </w:tc>
        <w:tc>
          <w:tcPr>
            <w:tcW w:w="0" w:type="auto"/>
            <w:shd w:val="clear" w:color="auto" w:fill="auto"/>
            <w:noWrap/>
            <w:vAlign w:val="center"/>
          </w:tcPr>
          <w:p w14:paraId="1A09962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7CD164C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5.87</w:t>
            </w:r>
          </w:p>
        </w:tc>
        <w:tc>
          <w:tcPr>
            <w:tcW w:w="0" w:type="auto"/>
            <w:shd w:val="clear" w:color="auto" w:fill="auto"/>
            <w:noWrap/>
            <w:vAlign w:val="center"/>
          </w:tcPr>
          <w:p w14:paraId="0814ED2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2181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3503D57B">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6F21916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0" w:type="auto"/>
            <w:vAlign w:val="center"/>
          </w:tcPr>
          <w:p w14:paraId="75D3B4FE">
            <w:pPr>
              <w:adjustRightInd w:val="0"/>
              <w:snapToGrid w:val="0"/>
              <w:jc w:val="center"/>
              <w:rPr>
                <w:rFonts w:ascii="Arial" w:hAnsi="Arial" w:eastAsia="宋体" w:cs="Arial"/>
                <w:sz w:val="21"/>
                <w:szCs w:val="21"/>
                <w:u w:val="single"/>
              </w:rPr>
            </w:pPr>
            <w:r>
              <w:rPr>
                <w:rFonts w:ascii="Arial" w:hAnsi="Arial" w:cs="Arial"/>
                <w:sz w:val="21"/>
                <w:szCs w:val="21"/>
                <w:u w:val="single"/>
              </w:rPr>
              <w:t>1403</w:t>
            </w:r>
          </w:p>
        </w:tc>
        <w:tc>
          <w:tcPr>
            <w:tcW w:w="0" w:type="auto"/>
            <w:vAlign w:val="center"/>
          </w:tcPr>
          <w:p w14:paraId="55D3644A">
            <w:pPr>
              <w:adjustRightInd w:val="0"/>
              <w:snapToGrid w:val="0"/>
              <w:jc w:val="center"/>
              <w:rPr>
                <w:rFonts w:ascii="Arial" w:hAnsi="Arial" w:eastAsia="宋体" w:cs="Arial"/>
                <w:sz w:val="21"/>
                <w:szCs w:val="21"/>
                <w:u w:val="single"/>
              </w:rPr>
            </w:pPr>
            <w:r>
              <w:rPr>
                <w:rFonts w:ascii="Arial" w:hAnsi="Arial" w:cs="Arial"/>
                <w:sz w:val="21"/>
                <w:szCs w:val="21"/>
                <w:u w:val="single"/>
              </w:rPr>
              <w:t>3131</w:t>
            </w:r>
          </w:p>
        </w:tc>
        <w:tc>
          <w:tcPr>
            <w:tcW w:w="0" w:type="auto"/>
            <w:shd w:val="clear" w:color="auto" w:fill="auto"/>
            <w:noWrap/>
            <w:vAlign w:val="center"/>
          </w:tcPr>
          <w:p w14:paraId="29BB5A0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13789A2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9.44</w:t>
            </w:r>
          </w:p>
        </w:tc>
        <w:tc>
          <w:tcPr>
            <w:tcW w:w="0" w:type="auto"/>
            <w:shd w:val="clear" w:color="auto" w:fill="auto"/>
            <w:noWrap/>
            <w:vAlign w:val="center"/>
          </w:tcPr>
          <w:p w14:paraId="14BE901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22061206</w:t>
            </w:r>
          </w:p>
        </w:tc>
        <w:tc>
          <w:tcPr>
            <w:tcW w:w="0" w:type="auto"/>
            <w:shd w:val="clear" w:color="auto" w:fill="auto"/>
            <w:noWrap/>
            <w:vAlign w:val="center"/>
          </w:tcPr>
          <w:p w14:paraId="6DAA14C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30ECC58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4.72</w:t>
            </w:r>
          </w:p>
        </w:tc>
        <w:tc>
          <w:tcPr>
            <w:tcW w:w="0" w:type="auto"/>
            <w:shd w:val="clear" w:color="auto" w:fill="auto"/>
            <w:noWrap/>
            <w:vAlign w:val="center"/>
          </w:tcPr>
          <w:p w14:paraId="0662A9C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5CB4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41AC27A2">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0479539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0" w:type="auto"/>
            <w:vAlign w:val="center"/>
          </w:tcPr>
          <w:p w14:paraId="3D876965">
            <w:pPr>
              <w:adjustRightInd w:val="0"/>
              <w:snapToGrid w:val="0"/>
              <w:jc w:val="center"/>
              <w:rPr>
                <w:rFonts w:ascii="Arial" w:hAnsi="Arial" w:eastAsia="宋体" w:cs="Arial"/>
                <w:sz w:val="21"/>
                <w:szCs w:val="21"/>
                <w:u w:val="single"/>
              </w:rPr>
            </w:pPr>
            <w:r>
              <w:rPr>
                <w:rFonts w:ascii="Arial" w:hAnsi="Arial" w:cs="Arial"/>
                <w:sz w:val="21"/>
                <w:szCs w:val="21"/>
                <w:u w:val="single"/>
              </w:rPr>
              <w:t>1696</w:t>
            </w:r>
          </w:p>
        </w:tc>
        <w:tc>
          <w:tcPr>
            <w:tcW w:w="0" w:type="auto"/>
            <w:vAlign w:val="center"/>
          </w:tcPr>
          <w:p w14:paraId="0EE3165F">
            <w:pPr>
              <w:adjustRightInd w:val="0"/>
              <w:snapToGrid w:val="0"/>
              <w:jc w:val="center"/>
              <w:rPr>
                <w:rFonts w:ascii="Arial" w:hAnsi="Arial" w:eastAsia="宋体" w:cs="Arial"/>
                <w:sz w:val="21"/>
                <w:szCs w:val="21"/>
                <w:u w:val="single"/>
              </w:rPr>
            </w:pPr>
            <w:r>
              <w:rPr>
                <w:rFonts w:ascii="Arial" w:hAnsi="Arial" w:cs="Arial"/>
                <w:sz w:val="21"/>
                <w:szCs w:val="21"/>
                <w:u w:val="single"/>
              </w:rPr>
              <w:t>2536</w:t>
            </w:r>
          </w:p>
        </w:tc>
        <w:tc>
          <w:tcPr>
            <w:tcW w:w="0" w:type="auto"/>
            <w:shd w:val="clear" w:color="auto" w:fill="auto"/>
            <w:noWrap/>
            <w:vAlign w:val="center"/>
          </w:tcPr>
          <w:p w14:paraId="38DDE35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3367A6F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12.77</w:t>
            </w:r>
          </w:p>
        </w:tc>
        <w:tc>
          <w:tcPr>
            <w:tcW w:w="0" w:type="auto"/>
            <w:shd w:val="clear" w:color="auto" w:fill="auto"/>
            <w:noWrap/>
            <w:vAlign w:val="center"/>
          </w:tcPr>
          <w:p w14:paraId="2A7C750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22060602</w:t>
            </w:r>
          </w:p>
        </w:tc>
        <w:tc>
          <w:tcPr>
            <w:tcW w:w="0" w:type="auto"/>
            <w:shd w:val="clear" w:color="auto" w:fill="auto"/>
            <w:noWrap/>
            <w:vAlign w:val="center"/>
          </w:tcPr>
          <w:p w14:paraId="03A30CC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212CEED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6.39</w:t>
            </w:r>
          </w:p>
        </w:tc>
        <w:tc>
          <w:tcPr>
            <w:tcW w:w="0" w:type="auto"/>
            <w:shd w:val="clear" w:color="auto" w:fill="auto"/>
            <w:noWrap/>
            <w:vAlign w:val="center"/>
          </w:tcPr>
          <w:p w14:paraId="53D3F78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2C76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6163DB14">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4ED8713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0" w:type="auto"/>
            <w:vAlign w:val="center"/>
          </w:tcPr>
          <w:p w14:paraId="607D55B3">
            <w:pPr>
              <w:adjustRightInd w:val="0"/>
              <w:snapToGrid w:val="0"/>
              <w:jc w:val="center"/>
              <w:rPr>
                <w:rFonts w:ascii="Arial" w:hAnsi="Arial" w:eastAsia="宋体" w:cs="Arial"/>
                <w:sz w:val="21"/>
                <w:szCs w:val="21"/>
                <w:u w:val="single"/>
              </w:rPr>
            </w:pPr>
            <w:r>
              <w:rPr>
                <w:rFonts w:ascii="Arial" w:hAnsi="Arial" w:cs="Arial"/>
                <w:sz w:val="21"/>
                <w:szCs w:val="21"/>
                <w:u w:val="single"/>
              </w:rPr>
              <w:t>-1860</w:t>
            </w:r>
          </w:p>
        </w:tc>
        <w:tc>
          <w:tcPr>
            <w:tcW w:w="0" w:type="auto"/>
            <w:vAlign w:val="center"/>
          </w:tcPr>
          <w:p w14:paraId="434DAFBC">
            <w:pPr>
              <w:adjustRightInd w:val="0"/>
              <w:snapToGrid w:val="0"/>
              <w:jc w:val="center"/>
              <w:rPr>
                <w:rFonts w:ascii="Arial" w:hAnsi="Arial" w:eastAsia="宋体" w:cs="Arial"/>
                <w:sz w:val="21"/>
                <w:szCs w:val="21"/>
                <w:u w:val="single"/>
              </w:rPr>
            </w:pPr>
            <w:r>
              <w:rPr>
                <w:rFonts w:ascii="Arial" w:hAnsi="Arial" w:cs="Arial"/>
                <w:sz w:val="21"/>
                <w:szCs w:val="21"/>
                <w:u w:val="single"/>
              </w:rPr>
              <w:t>2464</w:t>
            </w:r>
          </w:p>
        </w:tc>
        <w:tc>
          <w:tcPr>
            <w:tcW w:w="0" w:type="auto"/>
            <w:shd w:val="clear" w:color="auto" w:fill="auto"/>
            <w:noWrap/>
            <w:vAlign w:val="center"/>
          </w:tcPr>
          <w:p w14:paraId="165B94D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526ACCC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4.31</w:t>
            </w:r>
          </w:p>
        </w:tc>
        <w:tc>
          <w:tcPr>
            <w:tcW w:w="0" w:type="auto"/>
            <w:shd w:val="clear" w:color="auto" w:fill="auto"/>
            <w:noWrap/>
            <w:vAlign w:val="center"/>
          </w:tcPr>
          <w:p w14:paraId="663E0C9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22071324</w:t>
            </w:r>
          </w:p>
        </w:tc>
        <w:tc>
          <w:tcPr>
            <w:tcW w:w="0" w:type="auto"/>
            <w:shd w:val="clear" w:color="auto" w:fill="auto"/>
            <w:noWrap/>
            <w:vAlign w:val="center"/>
          </w:tcPr>
          <w:p w14:paraId="7575B5B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3FC9753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2.15</w:t>
            </w:r>
          </w:p>
        </w:tc>
        <w:tc>
          <w:tcPr>
            <w:tcW w:w="0" w:type="auto"/>
            <w:shd w:val="clear" w:color="auto" w:fill="auto"/>
            <w:noWrap/>
            <w:vAlign w:val="center"/>
          </w:tcPr>
          <w:p w14:paraId="2EA388E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B8A7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4644DD71">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5AF011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0" w:type="auto"/>
            <w:vAlign w:val="center"/>
          </w:tcPr>
          <w:p w14:paraId="46D70A68">
            <w:pPr>
              <w:adjustRightInd w:val="0"/>
              <w:snapToGrid w:val="0"/>
              <w:jc w:val="center"/>
              <w:rPr>
                <w:rFonts w:ascii="Arial" w:hAnsi="Arial" w:eastAsia="宋体" w:cs="Arial"/>
                <w:sz w:val="21"/>
                <w:szCs w:val="21"/>
                <w:u w:val="single"/>
              </w:rPr>
            </w:pPr>
            <w:r>
              <w:rPr>
                <w:rFonts w:ascii="Arial" w:hAnsi="Arial" w:cs="Arial"/>
                <w:sz w:val="21"/>
                <w:szCs w:val="21"/>
                <w:u w:val="single"/>
              </w:rPr>
              <w:t>-2188</w:t>
            </w:r>
          </w:p>
        </w:tc>
        <w:tc>
          <w:tcPr>
            <w:tcW w:w="0" w:type="auto"/>
            <w:vAlign w:val="center"/>
          </w:tcPr>
          <w:p w14:paraId="42B707A8">
            <w:pPr>
              <w:adjustRightInd w:val="0"/>
              <w:snapToGrid w:val="0"/>
              <w:jc w:val="center"/>
              <w:rPr>
                <w:rFonts w:ascii="Arial" w:hAnsi="Arial" w:eastAsia="宋体" w:cs="Arial"/>
                <w:sz w:val="21"/>
                <w:szCs w:val="21"/>
                <w:u w:val="single"/>
              </w:rPr>
            </w:pPr>
            <w:r>
              <w:rPr>
                <w:rFonts w:ascii="Arial" w:hAnsi="Arial" w:cs="Arial"/>
                <w:sz w:val="21"/>
                <w:szCs w:val="21"/>
                <w:u w:val="single"/>
              </w:rPr>
              <w:t>-966</w:t>
            </w:r>
          </w:p>
        </w:tc>
        <w:tc>
          <w:tcPr>
            <w:tcW w:w="0" w:type="auto"/>
            <w:shd w:val="clear" w:color="auto" w:fill="auto"/>
            <w:noWrap/>
            <w:vAlign w:val="center"/>
          </w:tcPr>
          <w:p w14:paraId="02AD83A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559FC24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7.21</w:t>
            </w:r>
          </w:p>
        </w:tc>
        <w:tc>
          <w:tcPr>
            <w:tcW w:w="0" w:type="auto"/>
            <w:shd w:val="clear" w:color="auto" w:fill="auto"/>
            <w:noWrap/>
            <w:vAlign w:val="center"/>
          </w:tcPr>
          <w:p w14:paraId="6CEC20B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22042901</w:t>
            </w:r>
          </w:p>
        </w:tc>
        <w:tc>
          <w:tcPr>
            <w:tcW w:w="0" w:type="auto"/>
            <w:shd w:val="clear" w:color="auto" w:fill="auto"/>
            <w:noWrap/>
            <w:vAlign w:val="center"/>
          </w:tcPr>
          <w:p w14:paraId="39B0DD6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512BBF0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w:t>
            </w:r>
          </w:p>
        </w:tc>
        <w:tc>
          <w:tcPr>
            <w:tcW w:w="0" w:type="auto"/>
            <w:shd w:val="clear" w:color="auto" w:fill="auto"/>
            <w:noWrap/>
            <w:vAlign w:val="center"/>
          </w:tcPr>
          <w:p w14:paraId="164BF88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8536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93D34CC">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0C1F2FE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0" w:type="auto"/>
            <w:vAlign w:val="center"/>
          </w:tcPr>
          <w:p w14:paraId="237CA64D">
            <w:pPr>
              <w:adjustRightInd w:val="0"/>
              <w:snapToGrid w:val="0"/>
              <w:jc w:val="center"/>
              <w:rPr>
                <w:rFonts w:ascii="Arial" w:hAnsi="Arial" w:eastAsia="宋体" w:cs="Arial"/>
                <w:sz w:val="21"/>
                <w:szCs w:val="21"/>
                <w:u w:val="single"/>
              </w:rPr>
            </w:pPr>
            <w:r>
              <w:rPr>
                <w:rFonts w:ascii="Arial" w:hAnsi="Arial" w:cs="Arial"/>
                <w:sz w:val="21"/>
                <w:szCs w:val="21"/>
                <w:u w:val="single"/>
              </w:rPr>
              <w:t>-1959</w:t>
            </w:r>
          </w:p>
        </w:tc>
        <w:tc>
          <w:tcPr>
            <w:tcW w:w="0" w:type="auto"/>
            <w:vAlign w:val="center"/>
          </w:tcPr>
          <w:p w14:paraId="0004B078">
            <w:pPr>
              <w:adjustRightInd w:val="0"/>
              <w:snapToGrid w:val="0"/>
              <w:jc w:val="center"/>
              <w:rPr>
                <w:rFonts w:ascii="Arial" w:hAnsi="Arial" w:eastAsia="宋体" w:cs="Arial"/>
                <w:sz w:val="21"/>
                <w:szCs w:val="21"/>
                <w:u w:val="single"/>
              </w:rPr>
            </w:pPr>
            <w:r>
              <w:rPr>
                <w:rFonts w:ascii="Arial" w:hAnsi="Arial" w:cs="Arial"/>
                <w:sz w:val="21"/>
                <w:szCs w:val="21"/>
                <w:u w:val="single"/>
              </w:rPr>
              <w:t>3395</w:t>
            </w:r>
          </w:p>
        </w:tc>
        <w:tc>
          <w:tcPr>
            <w:tcW w:w="0" w:type="auto"/>
            <w:shd w:val="clear" w:color="auto" w:fill="auto"/>
            <w:noWrap/>
            <w:vAlign w:val="center"/>
          </w:tcPr>
          <w:p w14:paraId="4EF28C9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4A07472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2.58</w:t>
            </w:r>
          </w:p>
        </w:tc>
        <w:tc>
          <w:tcPr>
            <w:tcW w:w="0" w:type="auto"/>
            <w:shd w:val="clear" w:color="auto" w:fill="auto"/>
            <w:noWrap/>
            <w:vAlign w:val="center"/>
          </w:tcPr>
          <w:p w14:paraId="14419EE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22080519</w:t>
            </w:r>
          </w:p>
        </w:tc>
        <w:tc>
          <w:tcPr>
            <w:tcW w:w="0" w:type="auto"/>
            <w:shd w:val="clear" w:color="auto" w:fill="auto"/>
            <w:noWrap/>
            <w:vAlign w:val="center"/>
          </w:tcPr>
          <w:p w14:paraId="3478CCF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195B240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1.29</w:t>
            </w:r>
          </w:p>
        </w:tc>
        <w:tc>
          <w:tcPr>
            <w:tcW w:w="0" w:type="auto"/>
            <w:shd w:val="clear" w:color="auto" w:fill="auto"/>
            <w:noWrap/>
            <w:vAlign w:val="center"/>
          </w:tcPr>
          <w:p w14:paraId="5881D84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2B5F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3B44992">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3677234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0" w:type="auto"/>
            <w:vAlign w:val="center"/>
          </w:tcPr>
          <w:p w14:paraId="13905DD1">
            <w:pPr>
              <w:adjustRightInd w:val="0"/>
              <w:snapToGrid w:val="0"/>
              <w:jc w:val="center"/>
              <w:rPr>
                <w:rFonts w:ascii="Arial" w:hAnsi="Arial" w:eastAsia="宋体" w:cs="Arial"/>
                <w:sz w:val="21"/>
                <w:szCs w:val="21"/>
                <w:u w:val="single"/>
              </w:rPr>
            </w:pPr>
            <w:r>
              <w:rPr>
                <w:rFonts w:ascii="Arial" w:hAnsi="Arial" w:cs="Arial"/>
                <w:sz w:val="21"/>
                <w:szCs w:val="21"/>
                <w:u w:val="single"/>
              </w:rPr>
              <w:t>-1685</w:t>
            </w:r>
          </w:p>
        </w:tc>
        <w:tc>
          <w:tcPr>
            <w:tcW w:w="0" w:type="auto"/>
            <w:vAlign w:val="center"/>
          </w:tcPr>
          <w:p w14:paraId="246BCF4D">
            <w:pPr>
              <w:adjustRightInd w:val="0"/>
              <w:snapToGrid w:val="0"/>
              <w:jc w:val="center"/>
              <w:rPr>
                <w:rFonts w:ascii="Arial" w:hAnsi="Arial" w:eastAsia="宋体" w:cs="Arial"/>
                <w:sz w:val="21"/>
                <w:szCs w:val="21"/>
                <w:u w:val="single"/>
              </w:rPr>
            </w:pPr>
            <w:r>
              <w:rPr>
                <w:rFonts w:ascii="Arial" w:hAnsi="Arial" w:cs="Arial"/>
                <w:sz w:val="21"/>
                <w:szCs w:val="21"/>
                <w:u w:val="single"/>
              </w:rPr>
              <w:t>3597</w:t>
            </w:r>
          </w:p>
        </w:tc>
        <w:tc>
          <w:tcPr>
            <w:tcW w:w="0" w:type="auto"/>
            <w:shd w:val="clear" w:color="auto" w:fill="auto"/>
            <w:noWrap/>
            <w:vAlign w:val="center"/>
          </w:tcPr>
          <w:p w14:paraId="56FC958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33019D6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1.77</w:t>
            </w:r>
          </w:p>
        </w:tc>
        <w:tc>
          <w:tcPr>
            <w:tcW w:w="0" w:type="auto"/>
            <w:shd w:val="clear" w:color="auto" w:fill="auto"/>
            <w:noWrap/>
            <w:vAlign w:val="center"/>
          </w:tcPr>
          <w:p w14:paraId="60017E0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22072019</w:t>
            </w:r>
          </w:p>
        </w:tc>
        <w:tc>
          <w:tcPr>
            <w:tcW w:w="0" w:type="auto"/>
            <w:shd w:val="clear" w:color="auto" w:fill="auto"/>
            <w:noWrap/>
            <w:vAlign w:val="center"/>
          </w:tcPr>
          <w:p w14:paraId="344D5A3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168AD13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0.89</w:t>
            </w:r>
          </w:p>
        </w:tc>
        <w:tc>
          <w:tcPr>
            <w:tcW w:w="0" w:type="auto"/>
            <w:shd w:val="clear" w:color="auto" w:fill="auto"/>
            <w:noWrap/>
            <w:vAlign w:val="center"/>
          </w:tcPr>
          <w:p w14:paraId="6689E22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6B9F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2B2840C7">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4249DAA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0" w:type="auto"/>
            <w:vAlign w:val="center"/>
          </w:tcPr>
          <w:p w14:paraId="2656E429">
            <w:pPr>
              <w:adjustRightInd w:val="0"/>
              <w:snapToGrid w:val="0"/>
              <w:jc w:val="center"/>
              <w:rPr>
                <w:rFonts w:ascii="Arial" w:hAnsi="Arial" w:eastAsia="宋体" w:cs="Arial"/>
                <w:sz w:val="21"/>
                <w:szCs w:val="21"/>
                <w:u w:val="single"/>
              </w:rPr>
            </w:pPr>
            <w:r>
              <w:rPr>
                <w:rFonts w:ascii="Arial" w:hAnsi="Arial" w:cs="Arial"/>
                <w:sz w:val="21"/>
                <w:szCs w:val="21"/>
                <w:u w:val="single"/>
              </w:rPr>
              <w:t>2354</w:t>
            </w:r>
          </w:p>
        </w:tc>
        <w:tc>
          <w:tcPr>
            <w:tcW w:w="0" w:type="auto"/>
            <w:vAlign w:val="center"/>
          </w:tcPr>
          <w:p w14:paraId="6E7BAD0B">
            <w:pPr>
              <w:adjustRightInd w:val="0"/>
              <w:snapToGrid w:val="0"/>
              <w:jc w:val="center"/>
              <w:rPr>
                <w:rFonts w:ascii="Arial" w:hAnsi="Arial" w:eastAsia="宋体" w:cs="Arial"/>
                <w:sz w:val="21"/>
                <w:szCs w:val="21"/>
                <w:u w:val="single"/>
              </w:rPr>
            </w:pPr>
            <w:r>
              <w:rPr>
                <w:rFonts w:ascii="Arial" w:hAnsi="Arial" w:cs="Arial"/>
                <w:sz w:val="21"/>
                <w:szCs w:val="21"/>
                <w:u w:val="single"/>
              </w:rPr>
              <w:t>3874</w:t>
            </w:r>
          </w:p>
        </w:tc>
        <w:tc>
          <w:tcPr>
            <w:tcW w:w="0" w:type="auto"/>
            <w:shd w:val="clear" w:color="auto" w:fill="auto"/>
            <w:noWrap/>
            <w:vAlign w:val="center"/>
          </w:tcPr>
          <w:p w14:paraId="19AA690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398BBF8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5.63</w:t>
            </w:r>
          </w:p>
        </w:tc>
        <w:tc>
          <w:tcPr>
            <w:tcW w:w="0" w:type="auto"/>
            <w:shd w:val="clear" w:color="auto" w:fill="auto"/>
            <w:noWrap/>
            <w:vAlign w:val="center"/>
          </w:tcPr>
          <w:p w14:paraId="4140832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22060602</w:t>
            </w:r>
          </w:p>
        </w:tc>
        <w:tc>
          <w:tcPr>
            <w:tcW w:w="0" w:type="auto"/>
            <w:shd w:val="clear" w:color="auto" w:fill="auto"/>
            <w:noWrap/>
            <w:vAlign w:val="center"/>
          </w:tcPr>
          <w:p w14:paraId="62F43D7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4EE6F75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2.81</w:t>
            </w:r>
          </w:p>
        </w:tc>
        <w:tc>
          <w:tcPr>
            <w:tcW w:w="0" w:type="auto"/>
            <w:shd w:val="clear" w:color="auto" w:fill="auto"/>
            <w:noWrap/>
            <w:vAlign w:val="center"/>
          </w:tcPr>
          <w:p w14:paraId="0DAAA6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83DA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shd w:val="clear" w:color="auto" w:fill="auto"/>
            <w:noWrap/>
            <w:vAlign w:val="center"/>
          </w:tcPr>
          <w:p w14:paraId="07A22882">
            <w:pPr>
              <w:widowControl/>
              <w:adjustRightInd w:val="0"/>
              <w:snapToGrid w:val="0"/>
              <w:jc w:val="center"/>
              <w:rPr>
                <w:rFonts w:ascii="Arial" w:hAnsi="Arial" w:cs="Arial" w:eastAsiaTheme="minorEastAsia"/>
                <w:kern w:val="0"/>
                <w:sz w:val="21"/>
                <w:szCs w:val="21"/>
                <w:u w:val="single"/>
              </w:rPr>
            </w:pPr>
          </w:p>
        </w:tc>
        <w:tc>
          <w:tcPr>
            <w:tcW w:w="0" w:type="auto"/>
            <w:shd w:val="clear" w:color="auto" w:fill="auto"/>
            <w:noWrap/>
            <w:vAlign w:val="center"/>
          </w:tcPr>
          <w:p w14:paraId="72F8C44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区域最大值</w:t>
            </w:r>
          </w:p>
        </w:tc>
        <w:tc>
          <w:tcPr>
            <w:tcW w:w="0" w:type="auto"/>
            <w:vAlign w:val="center"/>
          </w:tcPr>
          <w:p w14:paraId="4C8E31A7">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400</w:t>
            </w:r>
          </w:p>
        </w:tc>
        <w:tc>
          <w:tcPr>
            <w:tcW w:w="0" w:type="auto"/>
            <w:vAlign w:val="center"/>
          </w:tcPr>
          <w:p w14:paraId="0613C27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700</w:t>
            </w:r>
          </w:p>
        </w:tc>
        <w:tc>
          <w:tcPr>
            <w:tcW w:w="0" w:type="auto"/>
            <w:shd w:val="clear" w:color="auto" w:fill="auto"/>
            <w:noWrap/>
            <w:vAlign w:val="center"/>
          </w:tcPr>
          <w:p w14:paraId="3F1901B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0" w:type="auto"/>
            <w:shd w:val="clear" w:color="auto" w:fill="auto"/>
            <w:noWrap/>
            <w:vAlign w:val="center"/>
          </w:tcPr>
          <w:p w14:paraId="3D62935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39.99</w:t>
            </w:r>
          </w:p>
        </w:tc>
        <w:tc>
          <w:tcPr>
            <w:tcW w:w="0" w:type="auto"/>
            <w:shd w:val="clear" w:color="auto" w:fill="auto"/>
            <w:noWrap/>
            <w:vAlign w:val="center"/>
          </w:tcPr>
          <w:p w14:paraId="09BAE7E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22110817</w:t>
            </w:r>
          </w:p>
        </w:tc>
        <w:tc>
          <w:tcPr>
            <w:tcW w:w="0" w:type="auto"/>
            <w:shd w:val="clear" w:color="auto" w:fill="auto"/>
            <w:noWrap/>
            <w:vAlign w:val="center"/>
          </w:tcPr>
          <w:p w14:paraId="625FD32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0" w:type="auto"/>
            <w:shd w:val="clear" w:color="auto" w:fill="auto"/>
            <w:noWrap/>
            <w:vAlign w:val="center"/>
          </w:tcPr>
          <w:p w14:paraId="11343C2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w:t>
            </w:r>
          </w:p>
        </w:tc>
        <w:tc>
          <w:tcPr>
            <w:tcW w:w="0" w:type="auto"/>
            <w:shd w:val="clear" w:color="auto" w:fill="auto"/>
            <w:noWrap/>
            <w:vAlign w:val="center"/>
          </w:tcPr>
          <w:p w14:paraId="1BF4C53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bl>
    <w:p w14:paraId="109DEA94">
      <w:pPr>
        <w:spacing w:line="500" w:lineRule="exact"/>
        <w:ind w:firstLine="490" w:firstLineChars="200"/>
        <w:rPr>
          <w:rFonts w:ascii="Arial" w:hAnsi="Arial" w:eastAsia="宋体" w:cs="Arial"/>
          <w:spacing w:val="10"/>
          <w:sz w:val="24"/>
        </w:rPr>
      </w:pPr>
      <w:r>
        <w:rPr>
          <w:rFonts w:ascii="Arial" w:hAnsi="Arial" w:eastAsia="宋体" w:cs="Arial"/>
          <w:spacing w:val="10"/>
          <w:sz w:val="24"/>
        </w:rPr>
        <w:t>2、叠加浓度预测结果与评价</w:t>
      </w:r>
    </w:p>
    <w:p w14:paraId="153CE245">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项目排放的各污染源减区域削减源，叠加现状浓度、在建拟建同类污染源后， PM</w:t>
      </w:r>
      <w:r>
        <w:rPr>
          <w:rFonts w:ascii="Arial" w:hAnsi="Arial" w:eastAsia="宋体" w:cs="Arial"/>
          <w:spacing w:val="10"/>
          <w:sz w:val="24"/>
          <w:vertAlign w:val="subscript"/>
        </w:rPr>
        <w:t>10</w:t>
      </w:r>
      <w:r>
        <w:rPr>
          <w:rFonts w:ascii="Arial" w:hAnsi="Arial" w:eastAsia="宋体" w:cs="Arial"/>
          <w:spacing w:val="10"/>
          <w:sz w:val="24"/>
        </w:rPr>
        <w:t>的保证率日平均、年平均浓度均达到《环境空气质量标准》（GB3096-2012）二级标准要求，</w:t>
      </w:r>
      <w:r>
        <w:rPr>
          <w:rFonts w:hint="eastAsia" w:ascii="Arial" w:hAnsi="Arial" w:eastAsia="宋体" w:cs="Arial"/>
          <w:spacing w:val="10"/>
          <w:sz w:val="24"/>
        </w:rPr>
        <w:t>氨气</w:t>
      </w:r>
      <w:r>
        <w:rPr>
          <w:rFonts w:ascii="Arial" w:hAnsi="Arial" w:eastAsia="宋体" w:cs="Arial"/>
          <w:spacing w:val="10"/>
          <w:sz w:val="24"/>
        </w:rPr>
        <w:t>的保证率</w:t>
      </w:r>
      <w:r>
        <w:rPr>
          <w:rFonts w:hint="eastAsia" w:ascii="Arial" w:hAnsi="Arial" w:eastAsia="宋体" w:cs="Arial"/>
          <w:spacing w:val="10"/>
          <w:sz w:val="24"/>
        </w:rPr>
        <w:t>小时值</w:t>
      </w:r>
      <w:r>
        <w:rPr>
          <w:rFonts w:ascii="Arial" w:hAnsi="Arial" w:eastAsia="宋体" w:cs="Arial"/>
          <w:spacing w:val="10"/>
          <w:sz w:val="24"/>
        </w:rPr>
        <w:t>浓度满足《环境影响评价技术导则</w:t>
      </w:r>
      <w:r>
        <w:rPr>
          <w:rFonts w:hint="eastAsia" w:ascii="Arial" w:hAnsi="Arial" w:eastAsia="宋体" w:cs="Arial"/>
          <w:spacing w:val="10"/>
          <w:sz w:val="24"/>
        </w:rPr>
        <w:t xml:space="preserve"> 大气环境</w:t>
      </w:r>
      <w:r>
        <w:rPr>
          <w:rFonts w:ascii="Arial" w:hAnsi="Arial" w:eastAsia="宋体" w:cs="Arial"/>
          <w:spacing w:val="10"/>
          <w:sz w:val="24"/>
        </w:rPr>
        <w:t>》（HJ2.2-2018）附录D的要求。</w:t>
      </w:r>
    </w:p>
    <w:p w14:paraId="5BC134E0">
      <w:pPr>
        <w:spacing w:line="500" w:lineRule="exact"/>
        <w:ind w:firstLine="490" w:firstLineChars="200"/>
        <w:rPr>
          <w:rFonts w:ascii="Arial" w:hAnsi="Arial" w:eastAsia="宋体" w:cs="Arial"/>
          <w:spacing w:val="10"/>
          <w:sz w:val="24"/>
          <w:highlight w:val="yellow"/>
        </w:rPr>
      </w:pPr>
      <w:r>
        <w:rPr>
          <w:rFonts w:ascii="Arial" w:hAnsi="Arial" w:eastAsia="宋体" w:cs="Arial"/>
          <w:spacing w:val="10"/>
          <w:sz w:val="24"/>
        </w:rPr>
        <w:t>各污染物保证率日平均浓度预测结果见表4-1</w:t>
      </w:r>
      <w:r>
        <w:rPr>
          <w:rFonts w:hint="eastAsia" w:ascii="Arial" w:hAnsi="Arial" w:eastAsia="宋体" w:cs="Arial"/>
          <w:spacing w:val="10"/>
          <w:sz w:val="24"/>
        </w:rPr>
        <w:t>4</w:t>
      </w:r>
      <w:r>
        <w:rPr>
          <w:rFonts w:ascii="Arial" w:hAnsi="Arial" w:eastAsia="宋体" w:cs="Arial"/>
          <w:spacing w:val="10"/>
          <w:sz w:val="24"/>
        </w:rPr>
        <w:t>，分布图见图4.2-5</w:t>
      </w:r>
      <w:r>
        <w:rPr>
          <w:rFonts w:hint="eastAsia" w:ascii="Arial" w:hAnsi="Arial" w:eastAsia="宋体" w:cs="Arial"/>
          <w:spacing w:val="10"/>
          <w:sz w:val="24"/>
        </w:rPr>
        <w:t>、</w:t>
      </w:r>
      <w:r>
        <w:rPr>
          <w:rFonts w:ascii="Arial" w:hAnsi="Arial" w:eastAsia="宋体" w:cs="Arial"/>
          <w:spacing w:val="10"/>
          <w:sz w:val="24"/>
        </w:rPr>
        <w:t>图4.2-</w:t>
      </w:r>
      <w:r>
        <w:rPr>
          <w:rFonts w:hint="eastAsia" w:ascii="Arial" w:hAnsi="Arial" w:eastAsia="宋体" w:cs="Arial"/>
          <w:spacing w:val="10"/>
          <w:sz w:val="24"/>
        </w:rPr>
        <w:t>6</w:t>
      </w:r>
      <w:r>
        <w:rPr>
          <w:rFonts w:ascii="Arial" w:hAnsi="Arial" w:eastAsia="宋体" w:cs="Arial"/>
          <w:spacing w:val="10"/>
          <w:sz w:val="24"/>
        </w:rPr>
        <w:t>。</w:t>
      </w:r>
    </w:p>
    <w:p w14:paraId="1E165DFA">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叠加后预测结果</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1437"/>
        <w:gridCol w:w="1034"/>
        <w:gridCol w:w="1034"/>
        <w:gridCol w:w="1131"/>
        <w:gridCol w:w="1034"/>
        <w:gridCol w:w="1034"/>
        <w:gridCol w:w="831"/>
        <w:gridCol w:w="623"/>
      </w:tblGrid>
      <w:tr w14:paraId="1C6BA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shd w:val="clear" w:color="auto" w:fill="auto"/>
            <w:noWrap/>
            <w:vAlign w:val="center"/>
          </w:tcPr>
          <w:p w14:paraId="5B20092C">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污染物</w:t>
            </w:r>
          </w:p>
        </w:tc>
        <w:tc>
          <w:tcPr>
            <w:tcW w:w="799" w:type="pct"/>
            <w:shd w:val="clear" w:color="auto" w:fill="auto"/>
            <w:noWrap/>
            <w:vAlign w:val="center"/>
          </w:tcPr>
          <w:p w14:paraId="770CD68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点名称</w:t>
            </w:r>
          </w:p>
        </w:tc>
        <w:tc>
          <w:tcPr>
            <w:tcW w:w="575" w:type="pct"/>
            <w:shd w:val="clear" w:color="auto" w:fill="auto"/>
            <w:noWrap/>
            <w:vAlign w:val="center"/>
          </w:tcPr>
          <w:p w14:paraId="428E779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浓度类型</w:t>
            </w:r>
          </w:p>
        </w:tc>
        <w:tc>
          <w:tcPr>
            <w:tcW w:w="575" w:type="pct"/>
            <w:shd w:val="clear" w:color="auto" w:fill="auto"/>
            <w:noWrap/>
            <w:vAlign w:val="center"/>
          </w:tcPr>
          <w:p w14:paraId="6E8FD7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浓度增量</w:t>
            </w:r>
          </w:p>
          <w:p w14:paraId="1F460B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629" w:type="pct"/>
            <w:shd w:val="clear" w:color="auto" w:fill="auto"/>
            <w:noWrap/>
            <w:vAlign w:val="center"/>
          </w:tcPr>
          <w:p w14:paraId="5D2EBCE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出现时间</w:t>
            </w:r>
          </w:p>
        </w:tc>
        <w:tc>
          <w:tcPr>
            <w:tcW w:w="575" w:type="pct"/>
            <w:shd w:val="clear" w:color="auto" w:fill="auto"/>
            <w:noWrap/>
            <w:vAlign w:val="center"/>
          </w:tcPr>
          <w:p w14:paraId="651307F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背景浓度</w:t>
            </w:r>
          </w:p>
          <w:p w14:paraId="2625AB8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575" w:type="pct"/>
            <w:shd w:val="clear" w:color="auto" w:fill="auto"/>
            <w:noWrap/>
            <w:vAlign w:val="center"/>
          </w:tcPr>
          <w:p w14:paraId="0E33471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叠加背景</w:t>
            </w:r>
          </w:p>
          <w:p w14:paraId="603B3BC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后浓度</w:t>
            </w:r>
          </w:p>
          <w:p w14:paraId="5B706BB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462" w:type="pct"/>
            <w:shd w:val="clear" w:color="auto" w:fill="auto"/>
            <w:noWrap/>
            <w:vAlign w:val="center"/>
          </w:tcPr>
          <w:p w14:paraId="02E187C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占标率</w:t>
            </w:r>
          </w:p>
          <w:p w14:paraId="2122A28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347" w:type="pct"/>
            <w:shd w:val="clear" w:color="auto" w:fill="auto"/>
            <w:noWrap/>
            <w:vAlign w:val="center"/>
          </w:tcPr>
          <w:p w14:paraId="48C1E89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是否</w:t>
            </w:r>
          </w:p>
          <w:p w14:paraId="5204C7A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超标</w:t>
            </w:r>
          </w:p>
        </w:tc>
      </w:tr>
      <w:tr w14:paraId="2BF75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restart"/>
            <w:shd w:val="clear" w:color="auto" w:fill="auto"/>
            <w:noWrap/>
            <w:vAlign w:val="center"/>
          </w:tcPr>
          <w:p w14:paraId="6A44216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PM</w:t>
            </w:r>
            <w:r>
              <w:rPr>
                <w:rFonts w:hint="eastAsia" w:ascii="Arial" w:hAnsi="Arial" w:cs="Arial" w:eastAsiaTheme="minorEastAsia"/>
                <w:kern w:val="0"/>
                <w:sz w:val="21"/>
                <w:szCs w:val="21"/>
                <w:u w:val="single"/>
                <w:vertAlign w:val="subscript"/>
              </w:rPr>
              <w:t>10</w:t>
            </w:r>
          </w:p>
        </w:tc>
        <w:tc>
          <w:tcPr>
            <w:tcW w:w="799" w:type="pct"/>
            <w:vMerge w:val="restart"/>
            <w:shd w:val="clear" w:color="auto" w:fill="auto"/>
            <w:noWrap/>
            <w:vAlign w:val="center"/>
          </w:tcPr>
          <w:p w14:paraId="52C2C67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575" w:type="pct"/>
            <w:shd w:val="clear" w:color="auto" w:fill="auto"/>
            <w:noWrap/>
            <w:vAlign w:val="center"/>
          </w:tcPr>
          <w:p w14:paraId="1544666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7C182B9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7.62</w:t>
            </w:r>
          </w:p>
        </w:tc>
        <w:tc>
          <w:tcPr>
            <w:tcW w:w="629" w:type="pct"/>
            <w:shd w:val="clear" w:color="auto" w:fill="auto"/>
            <w:noWrap/>
            <w:vAlign w:val="center"/>
          </w:tcPr>
          <w:p w14:paraId="464E35D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220718</w:t>
            </w:r>
          </w:p>
        </w:tc>
        <w:tc>
          <w:tcPr>
            <w:tcW w:w="575" w:type="pct"/>
            <w:shd w:val="clear" w:color="auto" w:fill="auto"/>
            <w:noWrap/>
            <w:vAlign w:val="center"/>
          </w:tcPr>
          <w:p w14:paraId="4173A9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0D2784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108.62</w:t>
            </w:r>
          </w:p>
        </w:tc>
        <w:tc>
          <w:tcPr>
            <w:tcW w:w="462" w:type="pct"/>
            <w:shd w:val="clear" w:color="auto" w:fill="auto"/>
            <w:noWrap/>
            <w:vAlign w:val="center"/>
          </w:tcPr>
          <w:p w14:paraId="402236D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72.41</w:t>
            </w:r>
          </w:p>
        </w:tc>
        <w:tc>
          <w:tcPr>
            <w:tcW w:w="347" w:type="pct"/>
            <w:shd w:val="clear" w:color="auto" w:fill="auto"/>
            <w:noWrap/>
            <w:vAlign w:val="center"/>
          </w:tcPr>
          <w:p w14:paraId="7B9F5E7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B58E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4B79B750">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177A4371">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487A158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0E99915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1.29</w:t>
            </w:r>
          </w:p>
        </w:tc>
        <w:tc>
          <w:tcPr>
            <w:tcW w:w="629" w:type="pct"/>
            <w:shd w:val="clear" w:color="auto" w:fill="auto"/>
            <w:noWrap/>
            <w:vAlign w:val="center"/>
          </w:tcPr>
          <w:p w14:paraId="3469D5F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5B42BF1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2AA8FAE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53.29</w:t>
            </w:r>
          </w:p>
        </w:tc>
        <w:tc>
          <w:tcPr>
            <w:tcW w:w="462" w:type="pct"/>
            <w:shd w:val="clear" w:color="auto" w:fill="auto"/>
            <w:noWrap/>
            <w:vAlign w:val="center"/>
          </w:tcPr>
          <w:p w14:paraId="2FAED9F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76.13</w:t>
            </w:r>
          </w:p>
        </w:tc>
        <w:tc>
          <w:tcPr>
            <w:tcW w:w="347" w:type="pct"/>
            <w:shd w:val="clear" w:color="auto" w:fill="auto"/>
            <w:noWrap/>
            <w:vAlign w:val="center"/>
          </w:tcPr>
          <w:p w14:paraId="61EDD03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C607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1DF152B8">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4DFF0D7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4CB4B06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575" w:type="pct"/>
            <w:shd w:val="clear" w:color="auto" w:fill="auto"/>
            <w:noWrap/>
            <w:vAlign w:val="center"/>
          </w:tcPr>
          <w:p w14:paraId="4ADF2F6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6F2AB57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6.25</w:t>
            </w:r>
          </w:p>
        </w:tc>
        <w:tc>
          <w:tcPr>
            <w:tcW w:w="629" w:type="pct"/>
            <w:shd w:val="clear" w:color="auto" w:fill="auto"/>
            <w:noWrap/>
            <w:vAlign w:val="center"/>
          </w:tcPr>
          <w:p w14:paraId="5481A79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220919</w:t>
            </w:r>
          </w:p>
        </w:tc>
        <w:tc>
          <w:tcPr>
            <w:tcW w:w="575" w:type="pct"/>
            <w:shd w:val="clear" w:color="auto" w:fill="auto"/>
            <w:noWrap/>
            <w:vAlign w:val="center"/>
          </w:tcPr>
          <w:p w14:paraId="0D085A8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14869A4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107.25</w:t>
            </w:r>
          </w:p>
        </w:tc>
        <w:tc>
          <w:tcPr>
            <w:tcW w:w="462" w:type="pct"/>
            <w:shd w:val="clear" w:color="auto" w:fill="auto"/>
            <w:noWrap/>
            <w:vAlign w:val="center"/>
          </w:tcPr>
          <w:p w14:paraId="0AD890F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71.5</w:t>
            </w:r>
          </w:p>
        </w:tc>
        <w:tc>
          <w:tcPr>
            <w:tcW w:w="347" w:type="pct"/>
            <w:shd w:val="clear" w:color="auto" w:fill="auto"/>
            <w:noWrap/>
            <w:vAlign w:val="center"/>
          </w:tcPr>
          <w:p w14:paraId="313D6BE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05D4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3C35DF25">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79BE534C">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158E880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1805C42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1.45</w:t>
            </w:r>
          </w:p>
        </w:tc>
        <w:tc>
          <w:tcPr>
            <w:tcW w:w="629" w:type="pct"/>
            <w:shd w:val="clear" w:color="auto" w:fill="auto"/>
            <w:noWrap/>
            <w:vAlign w:val="center"/>
          </w:tcPr>
          <w:p w14:paraId="30438BF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2A5DAD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66E6D24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53.45</w:t>
            </w:r>
          </w:p>
        </w:tc>
        <w:tc>
          <w:tcPr>
            <w:tcW w:w="462" w:type="pct"/>
            <w:shd w:val="clear" w:color="auto" w:fill="auto"/>
            <w:noWrap/>
            <w:vAlign w:val="center"/>
          </w:tcPr>
          <w:p w14:paraId="401D3AC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76.36</w:t>
            </w:r>
          </w:p>
        </w:tc>
        <w:tc>
          <w:tcPr>
            <w:tcW w:w="347" w:type="pct"/>
            <w:shd w:val="clear" w:color="auto" w:fill="auto"/>
            <w:noWrap/>
            <w:vAlign w:val="center"/>
          </w:tcPr>
          <w:p w14:paraId="3C6456A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D349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44D1B490">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3C08DA3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575" w:type="pct"/>
            <w:shd w:val="clear" w:color="auto" w:fill="auto"/>
            <w:noWrap/>
            <w:vAlign w:val="center"/>
          </w:tcPr>
          <w:p w14:paraId="3AA965E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0FB604B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2.73</w:t>
            </w:r>
          </w:p>
        </w:tc>
        <w:tc>
          <w:tcPr>
            <w:tcW w:w="629" w:type="pct"/>
            <w:shd w:val="clear" w:color="auto" w:fill="auto"/>
            <w:noWrap/>
            <w:vAlign w:val="center"/>
          </w:tcPr>
          <w:p w14:paraId="54DEA44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220526</w:t>
            </w:r>
          </w:p>
        </w:tc>
        <w:tc>
          <w:tcPr>
            <w:tcW w:w="575" w:type="pct"/>
            <w:shd w:val="clear" w:color="auto" w:fill="auto"/>
            <w:noWrap/>
            <w:vAlign w:val="center"/>
          </w:tcPr>
          <w:p w14:paraId="7C506D6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348161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103.73</w:t>
            </w:r>
          </w:p>
        </w:tc>
        <w:tc>
          <w:tcPr>
            <w:tcW w:w="462" w:type="pct"/>
            <w:shd w:val="clear" w:color="auto" w:fill="auto"/>
            <w:noWrap/>
            <w:vAlign w:val="center"/>
          </w:tcPr>
          <w:p w14:paraId="62734EE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69.15</w:t>
            </w:r>
          </w:p>
        </w:tc>
        <w:tc>
          <w:tcPr>
            <w:tcW w:w="347" w:type="pct"/>
            <w:shd w:val="clear" w:color="auto" w:fill="auto"/>
            <w:noWrap/>
            <w:vAlign w:val="center"/>
          </w:tcPr>
          <w:p w14:paraId="7CA6270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7039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3673FD8B">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1AD29D1B">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1CE1E5F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213FB6F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0.42</w:t>
            </w:r>
          </w:p>
        </w:tc>
        <w:tc>
          <w:tcPr>
            <w:tcW w:w="629" w:type="pct"/>
            <w:shd w:val="clear" w:color="auto" w:fill="auto"/>
            <w:noWrap/>
            <w:vAlign w:val="center"/>
          </w:tcPr>
          <w:p w14:paraId="245B7FE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65463D5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52AB576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52.42</w:t>
            </w:r>
          </w:p>
        </w:tc>
        <w:tc>
          <w:tcPr>
            <w:tcW w:w="462" w:type="pct"/>
            <w:shd w:val="clear" w:color="auto" w:fill="auto"/>
            <w:noWrap/>
            <w:vAlign w:val="center"/>
          </w:tcPr>
          <w:p w14:paraId="12457B8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74.88</w:t>
            </w:r>
          </w:p>
        </w:tc>
        <w:tc>
          <w:tcPr>
            <w:tcW w:w="347" w:type="pct"/>
            <w:shd w:val="clear" w:color="auto" w:fill="auto"/>
            <w:noWrap/>
            <w:vAlign w:val="center"/>
          </w:tcPr>
          <w:p w14:paraId="0EA1248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2A52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411BCA46">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622BC49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575" w:type="pct"/>
            <w:shd w:val="clear" w:color="auto" w:fill="auto"/>
            <w:noWrap/>
            <w:vAlign w:val="center"/>
          </w:tcPr>
          <w:p w14:paraId="44216A3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50F46A8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5.87</w:t>
            </w:r>
          </w:p>
        </w:tc>
        <w:tc>
          <w:tcPr>
            <w:tcW w:w="629" w:type="pct"/>
            <w:shd w:val="clear" w:color="auto" w:fill="auto"/>
            <w:noWrap/>
            <w:vAlign w:val="center"/>
          </w:tcPr>
          <w:p w14:paraId="4BA8109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220611</w:t>
            </w:r>
          </w:p>
        </w:tc>
        <w:tc>
          <w:tcPr>
            <w:tcW w:w="575" w:type="pct"/>
            <w:shd w:val="clear" w:color="auto" w:fill="auto"/>
            <w:noWrap/>
            <w:vAlign w:val="center"/>
          </w:tcPr>
          <w:p w14:paraId="09905BC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021C9CC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106.87</w:t>
            </w:r>
          </w:p>
        </w:tc>
        <w:tc>
          <w:tcPr>
            <w:tcW w:w="462" w:type="pct"/>
            <w:shd w:val="clear" w:color="auto" w:fill="auto"/>
            <w:noWrap/>
            <w:vAlign w:val="center"/>
          </w:tcPr>
          <w:p w14:paraId="1EB6874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71.25</w:t>
            </w:r>
          </w:p>
        </w:tc>
        <w:tc>
          <w:tcPr>
            <w:tcW w:w="347" w:type="pct"/>
            <w:shd w:val="clear" w:color="auto" w:fill="auto"/>
            <w:noWrap/>
            <w:vAlign w:val="center"/>
          </w:tcPr>
          <w:p w14:paraId="5B71AA7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B4FD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0447D775">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5321437F">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3E274E7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04FA9B6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0.53</w:t>
            </w:r>
          </w:p>
        </w:tc>
        <w:tc>
          <w:tcPr>
            <w:tcW w:w="629" w:type="pct"/>
            <w:shd w:val="clear" w:color="auto" w:fill="auto"/>
            <w:noWrap/>
            <w:vAlign w:val="center"/>
          </w:tcPr>
          <w:p w14:paraId="1D2791C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121092A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20D7DBB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52.53</w:t>
            </w:r>
          </w:p>
        </w:tc>
        <w:tc>
          <w:tcPr>
            <w:tcW w:w="462" w:type="pct"/>
            <w:shd w:val="clear" w:color="auto" w:fill="auto"/>
            <w:noWrap/>
            <w:vAlign w:val="center"/>
          </w:tcPr>
          <w:p w14:paraId="14144E9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75.04</w:t>
            </w:r>
          </w:p>
        </w:tc>
        <w:tc>
          <w:tcPr>
            <w:tcW w:w="347" w:type="pct"/>
            <w:shd w:val="clear" w:color="auto" w:fill="auto"/>
            <w:noWrap/>
            <w:vAlign w:val="center"/>
          </w:tcPr>
          <w:p w14:paraId="6A1824F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7B41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01D829A2">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5CC1D33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575" w:type="pct"/>
            <w:shd w:val="clear" w:color="auto" w:fill="auto"/>
            <w:noWrap/>
            <w:vAlign w:val="center"/>
          </w:tcPr>
          <w:p w14:paraId="12CFC02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470AFE8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5.14</w:t>
            </w:r>
          </w:p>
        </w:tc>
        <w:tc>
          <w:tcPr>
            <w:tcW w:w="629" w:type="pct"/>
            <w:shd w:val="clear" w:color="auto" w:fill="auto"/>
            <w:noWrap/>
            <w:vAlign w:val="center"/>
          </w:tcPr>
          <w:p w14:paraId="0BD3EFB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220429</w:t>
            </w:r>
          </w:p>
        </w:tc>
        <w:tc>
          <w:tcPr>
            <w:tcW w:w="575" w:type="pct"/>
            <w:shd w:val="clear" w:color="auto" w:fill="auto"/>
            <w:noWrap/>
            <w:vAlign w:val="center"/>
          </w:tcPr>
          <w:p w14:paraId="5C9F20E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5FBF3D2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106.14</w:t>
            </w:r>
          </w:p>
        </w:tc>
        <w:tc>
          <w:tcPr>
            <w:tcW w:w="462" w:type="pct"/>
            <w:shd w:val="clear" w:color="auto" w:fill="auto"/>
            <w:noWrap/>
            <w:vAlign w:val="center"/>
          </w:tcPr>
          <w:p w14:paraId="469AC4B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70.76</w:t>
            </w:r>
          </w:p>
        </w:tc>
        <w:tc>
          <w:tcPr>
            <w:tcW w:w="347" w:type="pct"/>
            <w:shd w:val="clear" w:color="auto" w:fill="auto"/>
            <w:noWrap/>
            <w:vAlign w:val="center"/>
          </w:tcPr>
          <w:p w14:paraId="3A793A0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8447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33B33B12">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7DEDE13A">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29E6570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04A62D4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0.64</w:t>
            </w:r>
          </w:p>
        </w:tc>
        <w:tc>
          <w:tcPr>
            <w:tcW w:w="629" w:type="pct"/>
            <w:shd w:val="clear" w:color="auto" w:fill="auto"/>
            <w:noWrap/>
            <w:vAlign w:val="center"/>
          </w:tcPr>
          <w:p w14:paraId="7623759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49635E0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041A03B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52.64</w:t>
            </w:r>
          </w:p>
        </w:tc>
        <w:tc>
          <w:tcPr>
            <w:tcW w:w="462" w:type="pct"/>
            <w:shd w:val="clear" w:color="auto" w:fill="auto"/>
            <w:noWrap/>
            <w:vAlign w:val="center"/>
          </w:tcPr>
          <w:p w14:paraId="750E260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75.2</w:t>
            </w:r>
          </w:p>
        </w:tc>
        <w:tc>
          <w:tcPr>
            <w:tcW w:w="347" w:type="pct"/>
            <w:shd w:val="clear" w:color="auto" w:fill="auto"/>
            <w:noWrap/>
            <w:vAlign w:val="center"/>
          </w:tcPr>
          <w:p w14:paraId="3AD6A9F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A24B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568C4D48">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5F7DB41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w:t>
            </w:r>
          </w:p>
          <w:p w14:paraId="74720C7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幼儿园</w:t>
            </w:r>
          </w:p>
        </w:tc>
        <w:tc>
          <w:tcPr>
            <w:tcW w:w="575" w:type="pct"/>
            <w:shd w:val="clear" w:color="auto" w:fill="auto"/>
            <w:noWrap/>
            <w:vAlign w:val="center"/>
          </w:tcPr>
          <w:p w14:paraId="56557A6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2846031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2.98</w:t>
            </w:r>
          </w:p>
        </w:tc>
        <w:tc>
          <w:tcPr>
            <w:tcW w:w="629" w:type="pct"/>
            <w:shd w:val="clear" w:color="auto" w:fill="auto"/>
            <w:noWrap/>
            <w:vAlign w:val="center"/>
          </w:tcPr>
          <w:p w14:paraId="20F2116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220720</w:t>
            </w:r>
          </w:p>
        </w:tc>
        <w:tc>
          <w:tcPr>
            <w:tcW w:w="575" w:type="pct"/>
            <w:shd w:val="clear" w:color="auto" w:fill="auto"/>
            <w:noWrap/>
            <w:vAlign w:val="center"/>
          </w:tcPr>
          <w:p w14:paraId="01927A2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6B650CE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103.98</w:t>
            </w:r>
          </w:p>
        </w:tc>
        <w:tc>
          <w:tcPr>
            <w:tcW w:w="462" w:type="pct"/>
            <w:shd w:val="clear" w:color="auto" w:fill="auto"/>
            <w:noWrap/>
            <w:vAlign w:val="center"/>
          </w:tcPr>
          <w:p w14:paraId="1EADA30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69.32</w:t>
            </w:r>
          </w:p>
        </w:tc>
        <w:tc>
          <w:tcPr>
            <w:tcW w:w="347" w:type="pct"/>
            <w:shd w:val="clear" w:color="auto" w:fill="auto"/>
            <w:noWrap/>
            <w:vAlign w:val="center"/>
          </w:tcPr>
          <w:p w14:paraId="0653710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979A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7D0F9C4A">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5AEBCC26">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2303C50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62AA03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0.34</w:t>
            </w:r>
          </w:p>
        </w:tc>
        <w:tc>
          <w:tcPr>
            <w:tcW w:w="629" w:type="pct"/>
            <w:shd w:val="clear" w:color="auto" w:fill="auto"/>
            <w:noWrap/>
            <w:vAlign w:val="center"/>
          </w:tcPr>
          <w:p w14:paraId="2F65239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5612394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142D580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52.34</w:t>
            </w:r>
          </w:p>
        </w:tc>
        <w:tc>
          <w:tcPr>
            <w:tcW w:w="462" w:type="pct"/>
            <w:shd w:val="clear" w:color="auto" w:fill="auto"/>
            <w:noWrap/>
            <w:vAlign w:val="center"/>
          </w:tcPr>
          <w:p w14:paraId="2A97C81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74.77</w:t>
            </w:r>
          </w:p>
        </w:tc>
        <w:tc>
          <w:tcPr>
            <w:tcW w:w="347" w:type="pct"/>
            <w:shd w:val="clear" w:color="auto" w:fill="auto"/>
            <w:noWrap/>
            <w:vAlign w:val="center"/>
          </w:tcPr>
          <w:p w14:paraId="1BE3B3E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B74A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1A674BF2">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07D9429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575" w:type="pct"/>
            <w:shd w:val="clear" w:color="auto" w:fill="auto"/>
            <w:noWrap/>
            <w:vAlign w:val="center"/>
          </w:tcPr>
          <w:p w14:paraId="34DCF6E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1BF9819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5.02</w:t>
            </w:r>
          </w:p>
        </w:tc>
        <w:tc>
          <w:tcPr>
            <w:tcW w:w="629" w:type="pct"/>
            <w:shd w:val="clear" w:color="auto" w:fill="auto"/>
            <w:noWrap/>
            <w:vAlign w:val="center"/>
          </w:tcPr>
          <w:p w14:paraId="4DEC7C9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220813</w:t>
            </w:r>
          </w:p>
        </w:tc>
        <w:tc>
          <w:tcPr>
            <w:tcW w:w="575" w:type="pct"/>
            <w:shd w:val="clear" w:color="auto" w:fill="auto"/>
            <w:noWrap/>
            <w:vAlign w:val="center"/>
          </w:tcPr>
          <w:p w14:paraId="0475137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1A79595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106.02</w:t>
            </w:r>
          </w:p>
        </w:tc>
        <w:tc>
          <w:tcPr>
            <w:tcW w:w="462" w:type="pct"/>
            <w:shd w:val="clear" w:color="auto" w:fill="auto"/>
            <w:noWrap/>
            <w:vAlign w:val="center"/>
          </w:tcPr>
          <w:p w14:paraId="3C64F13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70.68</w:t>
            </w:r>
          </w:p>
        </w:tc>
        <w:tc>
          <w:tcPr>
            <w:tcW w:w="347" w:type="pct"/>
            <w:shd w:val="clear" w:color="auto" w:fill="auto"/>
            <w:noWrap/>
            <w:vAlign w:val="center"/>
          </w:tcPr>
          <w:p w14:paraId="07859A1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43A8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35B874FF">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006D31DC">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781E628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40B6587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0.69</w:t>
            </w:r>
          </w:p>
        </w:tc>
        <w:tc>
          <w:tcPr>
            <w:tcW w:w="629" w:type="pct"/>
            <w:shd w:val="clear" w:color="auto" w:fill="auto"/>
            <w:noWrap/>
            <w:vAlign w:val="center"/>
          </w:tcPr>
          <w:p w14:paraId="2E6DA66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3F96767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0A4BAF6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52.69</w:t>
            </w:r>
          </w:p>
        </w:tc>
        <w:tc>
          <w:tcPr>
            <w:tcW w:w="462" w:type="pct"/>
            <w:shd w:val="clear" w:color="auto" w:fill="auto"/>
            <w:noWrap/>
            <w:vAlign w:val="center"/>
          </w:tcPr>
          <w:p w14:paraId="149441F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75.27</w:t>
            </w:r>
          </w:p>
        </w:tc>
        <w:tc>
          <w:tcPr>
            <w:tcW w:w="347" w:type="pct"/>
            <w:shd w:val="clear" w:color="auto" w:fill="auto"/>
            <w:noWrap/>
            <w:vAlign w:val="center"/>
          </w:tcPr>
          <w:p w14:paraId="16B40BE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6707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24C60765">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5C1679D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575" w:type="pct"/>
            <w:shd w:val="clear" w:color="auto" w:fill="auto"/>
            <w:noWrap/>
            <w:vAlign w:val="center"/>
          </w:tcPr>
          <w:p w14:paraId="654C35B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37B6ACA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4.01</w:t>
            </w:r>
          </w:p>
        </w:tc>
        <w:tc>
          <w:tcPr>
            <w:tcW w:w="629" w:type="pct"/>
            <w:shd w:val="clear" w:color="auto" w:fill="auto"/>
            <w:noWrap/>
            <w:vAlign w:val="center"/>
          </w:tcPr>
          <w:p w14:paraId="760ACC2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220304</w:t>
            </w:r>
          </w:p>
        </w:tc>
        <w:tc>
          <w:tcPr>
            <w:tcW w:w="575" w:type="pct"/>
            <w:shd w:val="clear" w:color="auto" w:fill="auto"/>
            <w:noWrap/>
            <w:vAlign w:val="center"/>
          </w:tcPr>
          <w:p w14:paraId="1746B83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0F157A0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105.01</w:t>
            </w:r>
          </w:p>
        </w:tc>
        <w:tc>
          <w:tcPr>
            <w:tcW w:w="462" w:type="pct"/>
            <w:shd w:val="clear" w:color="auto" w:fill="auto"/>
            <w:noWrap/>
            <w:vAlign w:val="center"/>
          </w:tcPr>
          <w:p w14:paraId="45F7684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70</w:t>
            </w:r>
          </w:p>
        </w:tc>
        <w:tc>
          <w:tcPr>
            <w:tcW w:w="347" w:type="pct"/>
            <w:shd w:val="clear" w:color="auto" w:fill="auto"/>
            <w:noWrap/>
            <w:vAlign w:val="center"/>
          </w:tcPr>
          <w:p w14:paraId="3F67A6A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B0C1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24501715">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2F92597F">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1C8020F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7A7CCC8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0.69</w:t>
            </w:r>
          </w:p>
        </w:tc>
        <w:tc>
          <w:tcPr>
            <w:tcW w:w="629" w:type="pct"/>
            <w:shd w:val="clear" w:color="auto" w:fill="auto"/>
            <w:noWrap/>
            <w:vAlign w:val="center"/>
          </w:tcPr>
          <w:p w14:paraId="20BEAD4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4E0B82F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2AAB503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52.69</w:t>
            </w:r>
          </w:p>
        </w:tc>
        <w:tc>
          <w:tcPr>
            <w:tcW w:w="462" w:type="pct"/>
            <w:shd w:val="clear" w:color="auto" w:fill="auto"/>
            <w:noWrap/>
            <w:vAlign w:val="center"/>
          </w:tcPr>
          <w:p w14:paraId="093005D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75.28</w:t>
            </w:r>
          </w:p>
        </w:tc>
        <w:tc>
          <w:tcPr>
            <w:tcW w:w="347" w:type="pct"/>
            <w:shd w:val="clear" w:color="auto" w:fill="auto"/>
            <w:noWrap/>
            <w:vAlign w:val="center"/>
          </w:tcPr>
          <w:p w14:paraId="125D297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0439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39B0A1FF">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4843892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575" w:type="pct"/>
            <w:shd w:val="clear" w:color="auto" w:fill="auto"/>
            <w:noWrap/>
            <w:vAlign w:val="center"/>
          </w:tcPr>
          <w:p w14:paraId="61F09A7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6663B60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8.08</w:t>
            </w:r>
          </w:p>
        </w:tc>
        <w:tc>
          <w:tcPr>
            <w:tcW w:w="629" w:type="pct"/>
            <w:shd w:val="clear" w:color="auto" w:fill="auto"/>
            <w:noWrap/>
            <w:vAlign w:val="center"/>
          </w:tcPr>
          <w:p w14:paraId="1A4A233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220527</w:t>
            </w:r>
          </w:p>
        </w:tc>
        <w:tc>
          <w:tcPr>
            <w:tcW w:w="575" w:type="pct"/>
            <w:shd w:val="clear" w:color="auto" w:fill="auto"/>
            <w:noWrap/>
            <w:vAlign w:val="center"/>
          </w:tcPr>
          <w:p w14:paraId="293619E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1B8C5E6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109.08</w:t>
            </w:r>
          </w:p>
        </w:tc>
        <w:tc>
          <w:tcPr>
            <w:tcW w:w="462" w:type="pct"/>
            <w:shd w:val="clear" w:color="auto" w:fill="auto"/>
            <w:noWrap/>
            <w:vAlign w:val="center"/>
          </w:tcPr>
          <w:p w14:paraId="730D703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72.72</w:t>
            </w:r>
          </w:p>
        </w:tc>
        <w:tc>
          <w:tcPr>
            <w:tcW w:w="347" w:type="pct"/>
            <w:shd w:val="clear" w:color="auto" w:fill="auto"/>
            <w:noWrap/>
            <w:vAlign w:val="center"/>
          </w:tcPr>
          <w:p w14:paraId="659640D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AD28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4D12456A">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50FDC94D">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332067F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7D4226A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0.69</w:t>
            </w:r>
          </w:p>
        </w:tc>
        <w:tc>
          <w:tcPr>
            <w:tcW w:w="629" w:type="pct"/>
            <w:shd w:val="clear" w:color="auto" w:fill="auto"/>
            <w:noWrap/>
            <w:vAlign w:val="center"/>
          </w:tcPr>
          <w:p w14:paraId="6DD1DB6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26DA559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21120F4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52.69</w:t>
            </w:r>
          </w:p>
        </w:tc>
        <w:tc>
          <w:tcPr>
            <w:tcW w:w="462" w:type="pct"/>
            <w:shd w:val="clear" w:color="auto" w:fill="auto"/>
            <w:noWrap/>
            <w:vAlign w:val="center"/>
          </w:tcPr>
          <w:p w14:paraId="4CE0913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75.27</w:t>
            </w:r>
          </w:p>
        </w:tc>
        <w:tc>
          <w:tcPr>
            <w:tcW w:w="347" w:type="pct"/>
            <w:shd w:val="clear" w:color="auto" w:fill="auto"/>
            <w:noWrap/>
            <w:vAlign w:val="center"/>
          </w:tcPr>
          <w:p w14:paraId="5E310D2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ED65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199BACA5">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043AFC3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575" w:type="pct"/>
            <w:shd w:val="clear" w:color="auto" w:fill="auto"/>
            <w:noWrap/>
            <w:vAlign w:val="center"/>
          </w:tcPr>
          <w:p w14:paraId="65EAFF1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0348A37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5.68</w:t>
            </w:r>
          </w:p>
        </w:tc>
        <w:tc>
          <w:tcPr>
            <w:tcW w:w="629" w:type="pct"/>
            <w:shd w:val="clear" w:color="auto" w:fill="auto"/>
            <w:noWrap/>
            <w:vAlign w:val="center"/>
          </w:tcPr>
          <w:p w14:paraId="14B3059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w:t>
            </w:r>
          </w:p>
        </w:tc>
        <w:tc>
          <w:tcPr>
            <w:tcW w:w="575" w:type="pct"/>
            <w:shd w:val="clear" w:color="auto" w:fill="auto"/>
            <w:noWrap/>
            <w:vAlign w:val="center"/>
          </w:tcPr>
          <w:p w14:paraId="32EA15A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594E519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106.68</w:t>
            </w:r>
          </w:p>
        </w:tc>
        <w:tc>
          <w:tcPr>
            <w:tcW w:w="462" w:type="pct"/>
            <w:shd w:val="clear" w:color="auto" w:fill="auto"/>
            <w:noWrap/>
            <w:vAlign w:val="center"/>
          </w:tcPr>
          <w:p w14:paraId="2C9CA2C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71.12</w:t>
            </w:r>
          </w:p>
        </w:tc>
        <w:tc>
          <w:tcPr>
            <w:tcW w:w="347" w:type="pct"/>
            <w:shd w:val="clear" w:color="auto" w:fill="auto"/>
            <w:noWrap/>
            <w:vAlign w:val="center"/>
          </w:tcPr>
          <w:p w14:paraId="101CE05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1293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3FB69788">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5AE0198A">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6240BAD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684DBA8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0.83</w:t>
            </w:r>
          </w:p>
        </w:tc>
        <w:tc>
          <w:tcPr>
            <w:tcW w:w="629" w:type="pct"/>
            <w:shd w:val="clear" w:color="auto" w:fill="auto"/>
            <w:noWrap/>
            <w:vAlign w:val="center"/>
          </w:tcPr>
          <w:p w14:paraId="08F9ABC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6D3ED5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1E8C513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52.83</w:t>
            </w:r>
          </w:p>
        </w:tc>
        <w:tc>
          <w:tcPr>
            <w:tcW w:w="462" w:type="pct"/>
            <w:shd w:val="clear" w:color="auto" w:fill="auto"/>
            <w:noWrap/>
            <w:vAlign w:val="center"/>
          </w:tcPr>
          <w:p w14:paraId="08146B5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75.48</w:t>
            </w:r>
          </w:p>
        </w:tc>
        <w:tc>
          <w:tcPr>
            <w:tcW w:w="347" w:type="pct"/>
            <w:shd w:val="clear" w:color="auto" w:fill="auto"/>
            <w:noWrap/>
            <w:vAlign w:val="center"/>
          </w:tcPr>
          <w:p w14:paraId="1266E9E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7924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76135EC2">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602732A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575" w:type="pct"/>
            <w:shd w:val="clear" w:color="auto" w:fill="auto"/>
            <w:noWrap/>
            <w:vAlign w:val="center"/>
          </w:tcPr>
          <w:p w14:paraId="5AD0474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034C4C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6.1</w:t>
            </w:r>
          </w:p>
        </w:tc>
        <w:tc>
          <w:tcPr>
            <w:tcW w:w="629" w:type="pct"/>
            <w:shd w:val="clear" w:color="auto" w:fill="auto"/>
            <w:noWrap/>
            <w:vAlign w:val="center"/>
          </w:tcPr>
          <w:p w14:paraId="2110A0A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220507</w:t>
            </w:r>
          </w:p>
        </w:tc>
        <w:tc>
          <w:tcPr>
            <w:tcW w:w="575" w:type="pct"/>
            <w:shd w:val="clear" w:color="auto" w:fill="auto"/>
            <w:noWrap/>
            <w:vAlign w:val="center"/>
          </w:tcPr>
          <w:p w14:paraId="15F0997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4A3B3BF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107.1</w:t>
            </w:r>
          </w:p>
        </w:tc>
        <w:tc>
          <w:tcPr>
            <w:tcW w:w="462" w:type="pct"/>
            <w:shd w:val="clear" w:color="auto" w:fill="auto"/>
            <w:noWrap/>
            <w:vAlign w:val="center"/>
          </w:tcPr>
          <w:p w14:paraId="5D77A01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71.4</w:t>
            </w:r>
          </w:p>
        </w:tc>
        <w:tc>
          <w:tcPr>
            <w:tcW w:w="347" w:type="pct"/>
            <w:shd w:val="clear" w:color="auto" w:fill="auto"/>
            <w:noWrap/>
            <w:vAlign w:val="center"/>
          </w:tcPr>
          <w:p w14:paraId="5145386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4D2E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717597AE">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4748EC77">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53A46D9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660E1ED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0.74</w:t>
            </w:r>
          </w:p>
        </w:tc>
        <w:tc>
          <w:tcPr>
            <w:tcW w:w="629" w:type="pct"/>
            <w:shd w:val="clear" w:color="auto" w:fill="auto"/>
            <w:noWrap/>
            <w:vAlign w:val="center"/>
          </w:tcPr>
          <w:p w14:paraId="46C0F84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740209D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0D4090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52.74</w:t>
            </w:r>
          </w:p>
        </w:tc>
        <w:tc>
          <w:tcPr>
            <w:tcW w:w="462" w:type="pct"/>
            <w:shd w:val="clear" w:color="auto" w:fill="auto"/>
            <w:noWrap/>
            <w:vAlign w:val="center"/>
          </w:tcPr>
          <w:p w14:paraId="01052F9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75.35</w:t>
            </w:r>
          </w:p>
        </w:tc>
        <w:tc>
          <w:tcPr>
            <w:tcW w:w="347" w:type="pct"/>
            <w:shd w:val="clear" w:color="auto" w:fill="auto"/>
            <w:noWrap/>
            <w:vAlign w:val="center"/>
          </w:tcPr>
          <w:p w14:paraId="3EFE822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71C4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69AE2B89">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59C9183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12B2A99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575" w:type="pct"/>
            <w:shd w:val="clear" w:color="auto" w:fill="auto"/>
            <w:noWrap/>
            <w:vAlign w:val="center"/>
          </w:tcPr>
          <w:p w14:paraId="6B217E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7F0ECE8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6.2</w:t>
            </w:r>
          </w:p>
        </w:tc>
        <w:tc>
          <w:tcPr>
            <w:tcW w:w="629" w:type="pct"/>
            <w:shd w:val="clear" w:color="auto" w:fill="auto"/>
            <w:noWrap/>
            <w:vAlign w:val="center"/>
          </w:tcPr>
          <w:p w14:paraId="761593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w:t>
            </w:r>
          </w:p>
        </w:tc>
        <w:tc>
          <w:tcPr>
            <w:tcW w:w="575" w:type="pct"/>
            <w:shd w:val="clear" w:color="auto" w:fill="auto"/>
            <w:noWrap/>
            <w:vAlign w:val="center"/>
          </w:tcPr>
          <w:p w14:paraId="34C348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42D091F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107.2</w:t>
            </w:r>
          </w:p>
        </w:tc>
        <w:tc>
          <w:tcPr>
            <w:tcW w:w="462" w:type="pct"/>
            <w:shd w:val="clear" w:color="auto" w:fill="auto"/>
            <w:noWrap/>
            <w:vAlign w:val="center"/>
          </w:tcPr>
          <w:p w14:paraId="567CBE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71.47</w:t>
            </w:r>
          </w:p>
        </w:tc>
        <w:tc>
          <w:tcPr>
            <w:tcW w:w="347" w:type="pct"/>
            <w:shd w:val="clear" w:color="auto" w:fill="auto"/>
            <w:noWrap/>
            <w:vAlign w:val="center"/>
          </w:tcPr>
          <w:p w14:paraId="0AB61A5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1F65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6292FE2F">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3C2E3CD2">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54E025C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3615DC7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0.93</w:t>
            </w:r>
          </w:p>
        </w:tc>
        <w:tc>
          <w:tcPr>
            <w:tcW w:w="629" w:type="pct"/>
            <w:shd w:val="clear" w:color="auto" w:fill="auto"/>
            <w:noWrap/>
            <w:vAlign w:val="center"/>
          </w:tcPr>
          <w:p w14:paraId="7FB7C2A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47B28EE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2821FE6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52.93</w:t>
            </w:r>
          </w:p>
        </w:tc>
        <w:tc>
          <w:tcPr>
            <w:tcW w:w="462" w:type="pct"/>
            <w:shd w:val="clear" w:color="auto" w:fill="auto"/>
            <w:noWrap/>
            <w:vAlign w:val="center"/>
          </w:tcPr>
          <w:p w14:paraId="3B2A7DC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75.61</w:t>
            </w:r>
          </w:p>
        </w:tc>
        <w:tc>
          <w:tcPr>
            <w:tcW w:w="347" w:type="pct"/>
            <w:shd w:val="clear" w:color="auto" w:fill="auto"/>
            <w:noWrap/>
            <w:vAlign w:val="center"/>
          </w:tcPr>
          <w:p w14:paraId="68272D0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049B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2327CD4C">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48FBA11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575" w:type="pct"/>
            <w:shd w:val="clear" w:color="auto" w:fill="auto"/>
            <w:noWrap/>
            <w:vAlign w:val="center"/>
          </w:tcPr>
          <w:p w14:paraId="785FF04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1392D15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8.93</w:t>
            </w:r>
          </w:p>
        </w:tc>
        <w:tc>
          <w:tcPr>
            <w:tcW w:w="629" w:type="pct"/>
            <w:shd w:val="clear" w:color="auto" w:fill="auto"/>
            <w:noWrap/>
            <w:vAlign w:val="center"/>
          </w:tcPr>
          <w:p w14:paraId="02755A1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220630</w:t>
            </w:r>
          </w:p>
        </w:tc>
        <w:tc>
          <w:tcPr>
            <w:tcW w:w="575" w:type="pct"/>
            <w:shd w:val="clear" w:color="auto" w:fill="auto"/>
            <w:noWrap/>
            <w:vAlign w:val="center"/>
          </w:tcPr>
          <w:p w14:paraId="6B0CC36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63B1D52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109.93</w:t>
            </w:r>
          </w:p>
        </w:tc>
        <w:tc>
          <w:tcPr>
            <w:tcW w:w="462" w:type="pct"/>
            <w:shd w:val="clear" w:color="auto" w:fill="auto"/>
            <w:noWrap/>
            <w:vAlign w:val="center"/>
          </w:tcPr>
          <w:p w14:paraId="384A747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73.29</w:t>
            </w:r>
          </w:p>
        </w:tc>
        <w:tc>
          <w:tcPr>
            <w:tcW w:w="347" w:type="pct"/>
            <w:shd w:val="clear" w:color="auto" w:fill="auto"/>
            <w:noWrap/>
            <w:vAlign w:val="center"/>
          </w:tcPr>
          <w:p w14:paraId="1B62970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A7CD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165D3D97">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1210788A">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1CECFFD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4B1F3C9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1.27</w:t>
            </w:r>
          </w:p>
        </w:tc>
        <w:tc>
          <w:tcPr>
            <w:tcW w:w="629" w:type="pct"/>
            <w:shd w:val="clear" w:color="auto" w:fill="auto"/>
            <w:noWrap/>
            <w:vAlign w:val="center"/>
          </w:tcPr>
          <w:p w14:paraId="086509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2721FC7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5DDFAEA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53.27</w:t>
            </w:r>
          </w:p>
        </w:tc>
        <w:tc>
          <w:tcPr>
            <w:tcW w:w="462" w:type="pct"/>
            <w:shd w:val="clear" w:color="auto" w:fill="auto"/>
            <w:noWrap/>
            <w:vAlign w:val="center"/>
          </w:tcPr>
          <w:p w14:paraId="693D4BA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76.1</w:t>
            </w:r>
          </w:p>
        </w:tc>
        <w:tc>
          <w:tcPr>
            <w:tcW w:w="347" w:type="pct"/>
            <w:shd w:val="clear" w:color="auto" w:fill="auto"/>
            <w:noWrap/>
            <w:vAlign w:val="center"/>
          </w:tcPr>
          <w:p w14:paraId="6F8C754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EB58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2309E0D5">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4D03014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575" w:type="pct"/>
            <w:shd w:val="clear" w:color="auto" w:fill="auto"/>
            <w:noWrap/>
            <w:vAlign w:val="center"/>
          </w:tcPr>
          <w:p w14:paraId="0753E51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3888925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3.7</w:t>
            </w:r>
          </w:p>
        </w:tc>
        <w:tc>
          <w:tcPr>
            <w:tcW w:w="629" w:type="pct"/>
            <w:shd w:val="clear" w:color="auto" w:fill="auto"/>
            <w:noWrap/>
            <w:vAlign w:val="center"/>
          </w:tcPr>
          <w:p w14:paraId="6A6254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220818</w:t>
            </w:r>
          </w:p>
        </w:tc>
        <w:tc>
          <w:tcPr>
            <w:tcW w:w="575" w:type="pct"/>
            <w:shd w:val="clear" w:color="auto" w:fill="auto"/>
            <w:noWrap/>
            <w:vAlign w:val="center"/>
          </w:tcPr>
          <w:p w14:paraId="594B684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3CED16C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104.7</w:t>
            </w:r>
          </w:p>
        </w:tc>
        <w:tc>
          <w:tcPr>
            <w:tcW w:w="462" w:type="pct"/>
            <w:shd w:val="clear" w:color="auto" w:fill="auto"/>
            <w:noWrap/>
            <w:vAlign w:val="center"/>
          </w:tcPr>
          <w:p w14:paraId="6E8EE09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69.8</w:t>
            </w:r>
          </w:p>
        </w:tc>
        <w:tc>
          <w:tcPr>
            <w:tcW w:w="347" w:type="pct"/>
            <w:shd w:val="clear" w:color="auto" w:fill="auto"/>
            <w:noWrap/>
            <w:vAlign w:val="center"/>
          </w:tcPr>
          <w:p w14:paraId="7A4A47E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8F94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66095CE5">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103DB3BB">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2A24CE0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6101764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0.6</w:t>
            </w:r>
          </w:p>
        </w:tc>
        <w:tc>
          <w:tcPr>
            <w:tcW w:w="629" w:type="pct"/>
            <w:shd w:val="clear" w:color="auto" w:fill="auto"/>
            <w:noWrap/>
            <w:vAlign w:val="center"/>
          </w:tcPr>
          <w:p w14:paraId="10236C6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3A030A8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21B8C09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52.6</w:t>
            </w:r>
          </w:p>
        </w:tc>
        <w:tc>
          <w:tcPr>
            <w:tcW w:w="462" w:type="pct"/>
            <w:shd w:val="clear" w:color="auto" w:fill="auto"/>
            <w:noWrap/>
            <w:vAlign w:val="center"/>
          </w:tcPr>
          <w:p w14:paraId="47C0C32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75.15</w:t>
            </w:r>
          </w:p>
        </w:tc>
        <w:tc>
          <w:tcPr>
            <w:tcW w:w="347" w:type="pct"/>
            <w:shd w:val="clear" w:color="auto" w:fill="auto"/>
            <w:noWrap/>
            <w:vAlign w:val="center"/>
          </w:tcPr>
          <w:p w14:paraId="490CBE9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862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5F0CBDAA">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06D4FE7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575" w:type="pct"/>
            <w:shd w:val="clear" w:color="auto" w:fill="auto"/>
            <w:noWrap/>
            <w:vAlign w:val="center"/>
          </w:tcPr>
          <w:p w14:paraId="3433280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29932D4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7.44</w:t>
            </w:r>
          </w:p>
        </w:tc>
        <w:tc>
          <w:tcPr>
            <w:tcW w:w="629" w:type="pct"/>
            <w:shd w:val="clear" w:color="auto" w:fill="auto"/>
            <w:noWrap/>
            <w:vAlign w:val="center"/>
          </w:tcPr>
          <w:p w14:paraId="0E3C87A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221006</w:t>
            </w:r>
          </w:p>
        </w:tc>
        <w:tc>
          <w:tcPr>
            <w:tcW w:w="575" w:type="pct"/>
            <w:shd w:val="clear" w:color="auto" w:fill="auto"/>
            <w:noWrap/>
            <w:vAlign w:val="center"/>
          </w:tcPr>
          <w:p w14:paraId="432D1ED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3504B35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108.44</w:t>
            </w:r>
          </w:p>
        </w:tc>
        <w:tc>
          <w:tcPr>
            <w:tcW w:w="462" w:type="pct"/>
            <w:shd w:val="clear" w:color="auto" w:fill="auto"/>
            <w:noWrap/>
            <w:vAlign w:val="center"/>
          </w:tcPr>
          <w:p w14:paraId="105FC70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72.3</w:t>
            </w:r>
          </w:p>
        </w:tc>
        <w:tc>
          <w:tcPr>
            <w:tcW w:w="347" w:type="pct"/>
            <w:shd w:val="clear" w:color="auto" w:fill="auto"/>
            <w:noWrap/>
            <w:vAlign w:val="center"/>
          </w:tcPr>
          <w:p w14:paraId="4564000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D94A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58E27B44">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039FD1BF">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253E516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62C574B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0.85</w:t>
            </w:r>
          </w:p>
        </w:tc>
        <w:tc>
          <w:tcPr>
            <w:tcW w:w="629" w:type="pct"/>
            <w:shd w:val="clear" w:color="auto" w:fill="auto"/>
            <w:noWrap/>
            <w:vAlign w:val="center"/>
          </w:tcPr>
          <w:p w14:paraId="4C1AA4C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353172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44FD397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52.85</w:t>
            </w:r>
          </w:p>
        </w:tc>
        <w:tc>
          <w:tcPr>
            <w:tcW w:w="462" w:type="pct"/>
            <w:shd w:val="clear" w:color="auto" w:fill="auto"/>
            <w:noWrap/>
            <w:vAlign w:val="center"/>
          </w:tcPr>
          <w:p w14:paraId="419288B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75.5</w:t>
            </w:r>
          </w:p>
        </w:tc>
        <w:tc>
          <w:tcPr>
            <w:tcW w:w="347" w:type="pct"/>
            <w:shd w:val="clear" w:color="auto" w:fill="auto"/>
            <w:noWrap/>
            <w:vAlign w:val="center"/>
          </w:tcPr>
          <w:p w14:paraId="2D9378F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3C1A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1BD2731B">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7396A2D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575" w:type="pct"/>
            <w:shd w:val="clear" w:color="auto" w:fill="auto"/>
            <w:noWrap/>
            <w:vAlign w:val="center"/>
          </w:tcPr>
          <w:p w14:paraId="74F19E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746A799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w:t>
            </w:r>
          </w:p>
        </w:tc>
        <w:tc>
          <w:tcPr>
            <w:tcW w:w="629" w:type="pct"/>
            <w:shd w:val="clear" w:color="auto" w:fill="auto"/>
            <w:noWrap/>
            <w:vAlign w:val="center"/>
          </w:tcPr>
          <w:p w14:paraId="33C8203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220416</w:t>
            </w:r>
          </w:p>
        </w:tc>
        <w:tc>
          <w:tcPr>
            <w:tcW w:w="575" w:type="pct"/>
            <w:shd w:val="clear" w:color="auto" w:fill="auto"/>
            <w:noWrap/>
            <w:vAlign w:val="center"/>
          </w:tcPr>
          <w:p w14:paraId="1F8920B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6AB90F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103.21</w:t>
            </w:r>
          </w:p>
        </w:tc>
        <w:tc>
          <w:tcPr>
            <w:tcW w:w="462" w:type="pct"/>
            <w:shd w:val="clear" w:color="auto" w:fill="auto"/>
            <w:noWrap/>
            <w:vAlign w:val="center"/>
          </w:tcPr>
          <w:p w14:paraId="58A401A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68.81</w:t>
            </w:r>
          </w:p>
        </w:tc>
        <w:tc>
          <w:tcPr>
            <w:tcW w:w="347" w:type="pct"/>
            <w:shd w:val="clear" w:color="auto" w:fill="auto"/>
            <w:noWrap/>
            <w:vAlign w:val="center"/>
          </w:tcPr>
          <w:p w14:paraId="26E17E9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7A9A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27E63F70">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471C73FE">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299ABBF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302A447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0.17</w:t>
            </w:r>
          </w:p>
        </w:tc>
        <w:tc>
          <w:tcPr>
            <w:tcW w:w="629" w:type="pct"/>
            <w:shd w:val="clear" w:color="auto" w:fill="auto"/>
            <w:noWrap/>
            <w:vAlign w:val="center"/>
          </w:tcPr>
          <w:p w14:paraId="6090FFC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35B1C69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001B8EE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52.17</w:t>
            </w:r>
          </w:p>
        </w:tc>
        <w:tc>
          <w:tcPr>
            <w:tcW w:w="462" w:type="pct"/>
            <w:shd w:val="clear" w:color="auto" w:fill="auto"/>
            <w:noWrap/>
            <w:vAlign w:val="center"/>
          </w:tcPr>
          <w:p w14:paraId="3C451E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74.54</w:t>
            </w:r>
          </w:p>
        </w:tc>
        <w:tc>
          <w:tcPr>
            <w:tcW w:w="347" w:type="pct"/>
            <w:shd w:val="clear" w:color="auto" w:fill="auto"/>
            <w:noWrap/>
            <w:vAlign w:val="center"/>
          </w:tcPr>
          <w:p w14:paraId="42A7BA7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9FD3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029FAF85">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431D43C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575" w:type="pct"/>
            <w:shd w:val="clear" w:color="auto" w:fill="auto"/>
            <w:noWrap/>
            <w:vAlign w:val="center"/>
          </w:tcPr>
          <w:p w14:paraId="54BE078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1934B06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3.09</w:t>
            </w:r>
          </w:p>
        </w:tc>
        <w:tc>
          <w:tcPr>
            <w:tcW w:w="629" w:type="pct"/>
            <w:shd w:val="clear" w:color="auto" w:fill="auto"/>
            <w:noWrap/>
            <w:vAlign w:val="center"/>
          </w:tcPr>
          <w:p w14:paraId="155FFC6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220611</w:t>
            </w:r>
          </w:p>
        </w:tc>
        <w:tc>
          <w:tcPr>
            <w:tcW w:w="575" w:type="pct"/>
            <w:shd w:val="clear" w:color="auto" w:fill="auto"/>
            <w:noWrap/>
            <w:vAlign w:val="center"/>
          </w:tcPr>
          <w:p w14:paraId="1E6353A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638D5C7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104.09</w:t>
            </w:r>
          </w:p>
        </w:tc>
        <w:tc>
          <w:tcPr>
            <w:tcW w:w="462" w:type="pct"/>
            <w:shd w:val="clear" w:color="auto" w:fill="auto"/>
            <w:noWrap/>
            <w:vAlign w:val="center"/>
          </w:tcPr>
          <w:p w14:paraId="4121853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69.39</w:t>
            </w:r>
          </w:p>
        </w:tc>
        <w:tc>
          <w:tcPr>
            <w:tcW w:w="347" w:type="pct"/>
            <w:shd w:val="clear" w:color="auto" w:fill="auto"/>
            <w:noWrap/>
            <w:vAlign w:val="center"/>
          </w:tcPr>
          <w:p w14:paraId="3E017BF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EE4D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6236C245">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69C7C042">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2F27931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1C42E7D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0.35</w:t>
            </w:r>
          </w:p>
        </w:tc>
        <w:tc>
          <w:tcPr>
            <w:tcW w:w="629" w:type="pct"/>
            <w:shd w:val="clear" w:color="auto" w:fill="auto"/>
            <w:noWrap/>
            <w:vAlign w:val="center"/>
          </w:tcPr>
          <w:p w14:paraId="4DC61BE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4429F24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18400A2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52.35</w:t>
            </w:r>
          </w:p>
        </w:tc>
        <w:tc>
          <w:tcPr>
            <w:tcW w:w="462" w:type="pct"/>
            <w:shd w:val="clear" w:color="auto" w:fill="auto"/>
            <w:noWrap/>
            <w:vAlign w:val="center"/>
          </w:tcPr>
          <w:p w14:paraId="6BD124E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74.79</w:t>
            </w:r>
          </w:p>
        </w:tc>
        <w:tc>
          <w:tcPr>
            <w:tcW w:w="347" w:type="pct"/>
            <w:shd w:val="clear" w:color="auto" w:fill="auto"/>
            <w:noWrap/>
            <w:vAlign w:val="center"/>
          </w:tcPr>
          <w:p w14:paraId="51824D8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D320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7BC40B51">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2AF31CA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575" w:type="pct"/>
            <w:shd w:val="clear" w:color="auto" w:fill="auto"/>
            <w:noWrap/>
            <w:vAlign w:val="center"/>
          </w:tcPr>
          <w:p w14:paraId="4B9E569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146C62E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2.39</w:t>
            </w:r>
          </w:p>
        </w:tc>
        <w:tc>
          <w:tcPr>
            <w:tcW w:w="629" w:type="pct"/>
            <w:shd w:val="clear" w:color="auto" w:fill="auto"/>
            <w:noWrap/>
            <w:vAlign w:val="center"/>
          </w:tcPr>
          <w:p w14:paraId="1D1B0A6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220720</w:t>
            </w:r>
          </w:p>
        </w:tc>
        <w:tc>
          <w:tcPr>
            <w:tcW w:w="575" w:type="pct"/>
            <w:shd w:val="clear" w:color="auto" w:fill="auto"/>
            <w:noWrap/>
            <w:vAlign w:val="center"/>
          </w:tcPr>
          <w:p w14:paraId="316B5DD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7EFB2EE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103.39</w:t>
            </w:r>
          </w:p>
        </w:tc>
        <w:tc>
          <w:tcPr>
            <w:tcW w:w="462" w:type="pct"/>
            <w:shd w:val="clear" w:color="auto" w:fill="auto"/>
            <w:noWrap/>
            <w:vAlign w:val="center"/>
          </w:tcPr>
          <w:p w14:paraId="0543708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68.93</w:t>
            </w:r>
          </w:p>
        </w:tc>
        <w:tc>
          <w:tcPr>
            <w:tcW w:w="347" w:type="pct"/>
            <w:shd w:val="clear" w:color="auto" w:fill="auto"/>
            <w:noWrap/>
            <w:vAlign w:val="center"/>
          </w:tcPr>
          <w:p w14:paraId="07406A1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71A7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124AA8D7">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553BEE43">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773055F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145F6FA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0.14</w:t>
            </w:r>
          </w:p>
        </w:tc>
        <w:tc>
          <w:tcPr>
            <w:tcW w:w="629" w:type="pct"/>
            <w:shd w:val="clear" w:color="auto" w:fill="auto"/>
            <w:noWrap/>
            <w:vAlign w:val="center"/>
          </w:tcPr>
          <w:p w14:paraId="2C4A274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33D122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7934275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52.14</w:t>
            </w:r>
          </w:p>
        </w:tc>
        <w:tc>
          <w:tcPr>
            <w:tcW w:w="462" w:type="pct"/>
            <w:shd w:val="clear" w:color="auto" w:fill="auto"/>
            <w:noWrap/>
            <w:vAlign w:val="center"/>
          </w:tcPr>
          <w:p w14:paraId="60D7373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74.49</w:t>
            </w:r>
          </w:p>
        </w:tc>
        <w:tc>
          <w:tcPr>
            <w:tcW w:w="347" w:type="pct"/>
            <w:shd w:val="clear" w:color="auto" w:fill="auto"/>
            <w:noWrap/>
            <w:vAlign w:val="center"/>
          </w:tcPr>
          <w:p w14:paraId="3B6EDCD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0026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3D5F86FC">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14CA4C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575" w:type="pct"/>
            <w:shd w:val="clear" w:color="auto" w:fill="auto"/>
            <w:noWrap/>
            <w:vAlign w:val="center"/>
          </w:tcPr>
          <w:p w14:paraId="2FE044F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49C2352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2.08</w:t>
            </w:r>
          </w:p>
        </w:tc>
        <w:tc>
          <w:tcPr>
            <w:tcW w:w="629" w:type="pct"/>
            <w:shd w:val="clear" w:color="auto" w:fill="auto"/>
            <w:noWrap/>
            <w:vAlign w:val="center"/>
          </w:tcPr>
          <w:p w14:paraId="3A7F1F2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221117</w:t>
            </w:r>
          </w:p>
        </w:tc>
        <w:tc>
          <w:tcPr>
            <w:tcW w:w="575" w:type="pct"/>
            <w:shd w:val="clear" w:color="auto" w:fill="auto"/>
            <w:noWrap/>
            <w:vAlign w:val="center"/>
          </w:tcPr>
          <w:p w14:paraId="39DB9F5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397BD97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103.08</w:t>
            </w:r>
          </w:p>
        </w:tc>
        <w:tc>
          <w:tcPr>
            <w:tcW w:w="462" w:type="pct"/>
            <w:shd w:val="clear" w:color="auto" w:fill="auto"/>
            <w:noWrap/>
            <w:vAlign w:val="center"/>
          </w:tcPr>
          <w:p w14:paraId="5F5196E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68.72</w:t>
            </w:r>
          </w:p>
        </w:tc>
        <w:tc>
          <w:tcPr>
            <w:tcW w:w="347" w:type="pct"/>
            <w:shd w:val="clear" w:color="auto" w:fill="auto"/>
            <w:noWrap/>
            <w:vAlign w:val="center"/>
          </w:tcPr>
          <w:p w14:paraId="5817B18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0FD2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16524E33">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6E8EB485">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73B042C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4BFEE53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0.15</w:t>
            </w:r>
          </w:p>
        </w:tc>
        <w:tc>
          <w:tcPr>
            <w:tcW w:w="629" w:type="pct"/>
            <w:shd w:val="clear" w:color="auto" w:fill="auto"/>
            <w:noWrap/>
            <w:vAlign w:val="center"/>
          </w:tcPr>
          <w:p w14:paraId="0CAC8B3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52653F6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113D3E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52.15</w:t>
            </w:r>
          </w:p>
        </w:tc>
        <w:tc>
          <w:tcPr>
            <w:tcW w:w="462" w:type="pct"/>
            <w:shd w:val="clear" w:color="auto" w:fill="auto"/>
            <w:noWrap/>
            <w:vAlign w:val="center"/>
          </w:tcPr>
          <w:p w14:paraId="75A24B5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74.5</w:t>
            </w:r>
          </w:p>
        </w:tc>
        <w:tc>
          <w:tcPr>
            <w:tcW w:w="347" w:type="pct"/>
            <w:shd w:val="clear" w:color="auto" w:fill="auto"/>
            <w:noWrap/>
            <w:vAlign w:val="center"/>
          </w:tcPr>
          <w:p w14:paraId="6E31A11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8712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0ABEAD8D">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5014B84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575" w:type="pct"/>
            <w:shd w:val="clear" w:color="auto" w:fill="auto"/>
            <w:noWrap/>
            <w:vAlign w:val="center"/>
          </w:tcPr>
          <w:p w14:paraId="45EDD6F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505CA43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2.86</w:t>
            </w:r>
          </w:p>
        </w:tc>
        <w:tc>
          <w:tcPr>
            <w:tcW w:w="629" w:type="pct"/>
            <w:shd w:val="clear" w:color="auto" w:fill="auto"/>
            <w:noWrap/>
            <w:vAlign w:val="center"/>
          </w:tcPr>
          <w:p w14:paraId="0D1392D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220816</w:t>
            </w:r>
          </w:p>
        </w:tc>
        <w:tc>
          <w:tcPr>
            <w:tcW w:w="575" w:type="pct"/>
            <w:shd w:val="clear" w:color="auto" w:fill="auto"/>
            <w:noWrap/>
            <w:vAlign w:val="center"/>
          </w:tcPr>
          <w:p w14:paraId="42F50DE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4E245CC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103.86</w:t>
            </w:r>
          </w:p>
        </w:tc>
        <w:tc>
          <w:tcPr>
            <w:tcW w:w="462" w:type="pct"/>
            <w:shd w:val="clear" w:color="auto" w:fill="auto"/>
            <w:noWrap/>
            <w:vAlign w:val="center"/>
          </w:tcPr>
          <w:p w14:paraId="6407CE5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69.24</w:t>
            </w:r>
          </w:p>
        </w:tc>
        <w:tc>
          <w:tcPr>
            <w:tcW w:w="347" w:type="pct"/>
            <w:shd w:val="clear" w:color="auto" w:fill="auto"/>
            <w:noWrap/>
            <w:vAlign w:val="center"/>
          </w:tcPr>
          <w:p w14:paraId="1A83416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8B40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6895AC8A">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510905FF">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6237D5A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130BAB6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0.41</w:t>
            </w:r>
          </w:p>
        </w:tc>
        <w:tc>
          <w:tcPr>
            <w:tcW w:w="629" w:type="pct"/>
            <w:shd w:val="clear" w:color="auto" w:fill="auto"/>
            <w:noWrap/>
            <w:vAlign w:val="center"/>
          </w:tcPr>
          <w:p w14:paraId="41BC4CF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6FE072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10A68D0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52.41</w:t>
            </w:r>
          </w:p>
        </w:tc>
        <w:tc>
          <w:tcPr>
            <w:tcW w:w="462" w:type="pct"/>
            <w:shd w:val="clear" w:color="auto" w:fill="auto"/>
            <w:noWrap/>
            <w:vAlign w:val="center"/>
          </w:tcPr>
          <w:p w14:paraId="607BFFC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74.88</w:t>
            </w:r>
          </w:p>
        </w:tc>
        <w:tc>
          <w:tcPr>
            <w:tcW w:w="347" w:type="pct"/>
            <w:shd w:val="clear" w:color="auto" w:fill="auto"/>
            <w:noWrap/>
            <w:vAlign w:val="center"/>
          </w:tcPr>
          <w:p w14:paraId="101174A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99FC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7CCEFE4B">
            <w:pPr>
              <w:widowControl/>
              <w:adjustRightInd w:val="0"/>
              <w:snapToGrid w:val="0"/>
              <w:jc w:val="center"/>
              <w:rPr>
                <w:rFonts w:ascii="Arial" w:hAnsi="Arial" w:cs="Arial" w:eastAsiaTheme="minorEastAsia"/>
                <w:kern w:val="0"/>
                <w:sz w:val="21"/>
                <w:szCs w:val="21"/>
                <w:u w:val="single"/>
              </w:rPr>
            </w:pPr>
          </w:p>
        </w:tc>
        <w:tc>
          <w:tcPr>
            <w:tcW w:w="799" w:type="pct"/>
            <w:vMerge w:val="restart"/>
            <w:shd w:val="clear" w:color="auto" w:fill="auto"/>
            <w:noWrap/>
            <w:vAlign w:val="center"/>
          </w:tcPr>
          <w:p w14:paraId="2BFE818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区域最大值</w:t>
            </w:r>
          </w:p>
        </w:tc>
        <w:tc>
          <w:tcPr>
            <w:tcW w:w="575" w:type="pct"/>
            <w:shd w:val="clear" w:color="auto" w:fill="auto"/>
            <w:noWrap/>
            <w:vAlign w:val="center"/>
          </w:tcPr>
          <w:p w14:paraId="5DBAE7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日平均</w:t>
            </w:r>
          </w:p>
        </w:tc>
        <w:tc>
          <w:tcPr>
            <w:tcW w:w="575" w:type="pct"/>
            <w:shd w:val="clear" w:color="auto" w:fill="auto"/>
            <w:noWrap/>
            <w:vAlign w:val="center"/>
          </w:tcPr>
          <w:p w14:paraId="665EC7E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29.68</w:t>
            </w:r>
          </w:p>
        </w:tc>
        <w:tc>
          <w:tcPr>
            <w:tcW w:w="629" w:type="pct"/>
            <w:shd w:val="clear" w:color="auto" w:fill="auto"/>
            <w:noWrap/>
            <w:vAlign w:val="center"/>
          </w:tcPr>
          <w:p w14:paraId="5D26E97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220511</w:t>
            </w:r>
          </w:p>
        </w:tc>
        <w:tc>
          <w:tcPr>
            <w:tcW w:w="575" w:type="pct"/>
            <w:shd w:val="clear" w:color="auto" w:fill="auto"/>
            <w:noWrap/>
            <w:vAlign w:val="center"/>
          </w:tcPr>
          <w:p w14:paraId="38D7553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101</w:t>
            </w:r>
          </w:p>
        </w:tc>
        <w:tc>
          <w:tcPr>
            <w:tcW w:w="575" w:type="pct"/>
            <w:shd w:val="clear" w:color="auto" w:fill="auto"/>
            <w:noWrap/>
            <w:vAlign w:val="center"/>
          </w:tcPr>
          <w:p w14:paraId="37EC264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130.68</w:t>
            </w:r>
          </w:p>
        </w:tc>
        <w:tc>
          <w:tcPr>
            <w:tcW w:w="462" w:type="pct"/>
            <w:shd w:val="clear" w:color="auto" w:fill="auto"/>
            <w:noWrap/>
            <w:vAlign w:val="center"/>
          </w:tcPr>
          <w:p w14:paraId="79850D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87.12</w:t>
            </w:r>
          </w:p>
        </w:tc>
        <w:tc>
          <w:tcPr>
            <w:tcW w:w="347" w:type="pct"/>
            <w:shd w:val="clear" w:color="auto" w:fill="auto"/>
            <w:noWrap/>
            <w:vAlign w:val="center"/>
          </w:tcPr>
          <w:p w14:paraId="005EA2F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达标</w:t>
            </w:r>
          </w:p>
        </w:tc>
      </w:tr>
      <w:tr w14:paraId="6BF22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12AECD24">
            <w:pPr>
              <w:widowControl/>
              <w:adjustRightInd w:val="0"/>
              <w:snapToGrid w:val="0"/>
              <w:jc w:val="center"/>
              <w:rPr>
                <w:rFonts w:ascii="Arial" w:hAnsi="Arial" w:cs="Arial" w:eastAsiaTheme="minorEastAsia"/>
                <w:kern w:val="0"/>
                <w:sz w:val="21"/>
                <w:szCs w:val="21"/>
                <w:u w:val="single"/>
              </w:rPr>
            </w:pPr>
          </w:p>
        </w:tc>
        <w:tc>
          <w:tcPr>
            <w:tcW w:w="799" w:type="pct"/>
            <w:vMerge w:val="continue"/>
            <w:shd w:val="clear" w:color="auto" w:fill="auto"/>
            <w:noWrap/>
            <w:vAlign w:val="center"/>
          </w:tcPr>
          <w:p w14:paraId="57009899">
            <w:pPr>
              <w:widowControl/>
              <w:adjustRightInd w:val="0"/>
              <w:snapToGrid w:val="0"/>
              <w:jc w:val="center"/>
              <w:rPr>
                <w:rFonts w:ascii="Arial" w:hAnsi="Arial" w:cs="Arial" w:eastAsiaTheme="minorEastAsia"/>
                <w:kern w:val="0"/>
                <w:sz w:val="21"/>
                <w:szCs w:val="21"/>
                <w:u w:val="single"/>
              </w:rPr>
            </w:pPr>
          </w:p>
        </w:tc>
        <w:tc>
          <w:tcPr>
            <w:tcW w:w="575" w:type="pct"/>
            <w:shd w:val="clear" w:color="auto" w:fill="auto"/>
            <w:noWrap/>
            <w:vAlign w:val="center"/>
          </w:tcPr>
          <w:p w14:paraId="4CEAFA1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全时段</w:t>
            </w:r>
          </w:p>
        </w:tc>
        <w:tc>
          <w:tcPr>
            <w:tcW w:w="575" w:type="pct"/>
            <w:shd w:val="clear" w:color="auto" w:fill="auto"/>
            <w:noWrap/>
            <w:vAlign w:val="center"/>
          </w:tcPr>
          <w:p w14:paraId="6D898D1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8.96</w:t>
            </w:r>
          </w:p>
        </w:tc>
        <w:tc>
          <w:tcPr>
            <w:tcW w:w="629" w:type="pct"/>
            <w:shd w:val="clear" w:color="auto" w:fill="auto"/>
            <w:noWrap/>
            <w:vAlign w:val="center"/>
          </w:tcPr>
          <w:p w14:paraId="50F6766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平均值</w:t>
            </w:r>
          </w:p>
        </w:tc>
        <w:tc>
          <w:tcPr>
            <w:tcW w:w="575" w:type="pct"/>
            <w:shd w:val="clear" w:color="auto" w:fill="auto"/>
            <w:noWrap/>
            <w:vAlign w:val="center"/>
          </w:tcPr>
          <w:p w14:paraId="1A2A5A7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w:t>
            </w:r>
          </w:p>
        </w:tc>
        <w:tc>
          <w:tcPr>
            <w:tcW w:w="575" w:type="pct"/>
            <w:shd w:val="clear" w:color="auto" w:fill="auto"/>
            <w:noWrap/>
            <w:vAlign w:val="center"/>
          </w:tcPr>
          <w:p w14:paraId="65DD4E6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60.96</w:t>
            </w:r>
          </w:p>
        </w:tc>
        <w:tc>
          <w:tcPr>
            <w:tcW w:w="462" w:type="pct"/>
            <w:shd w:val="clear" w:color="auto" w:fill="auto"/>
            <w:noWrap/>
            <w:vAlign w:val="center"/>
          </w:tcPr>
          <w:p w14:paraId="7616016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87.09</w:t>
            </w:r>
          </w:p>
        </w:tc>
        <w:tc>
          <w:tcPr>
            <w:tcW w:w="347" w:type="pct"/>
            <w:shd w:val="clear" w:color="auto" w:fill="auto"/>
            <w:noWrap/>
            <w:vAlign w:val="center"/>
          </w:tcPr>
          <w:p w14:paraId="45410F3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2F3B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restart"/>
            <w:shd w:val="clear" w:color="auto" w:fill="auto"/>
            <w:noWrap/>
            <w:vAlign w:val="center"/>
          </w:tcPr>
          <w:p w14:paraId="44ED518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氨气</w:t>
            </w:r>
          </w:p>
        </w:tc>
        <w:tc>
          <w:tcPr>
            <w:tcW w:w="799" w:type="pct"/>
            <w:shd w:val="clear" w:color="auto" w:fill="auto"/>
            <w:noWrap/>
            <w:vAlign w:val="center"/>
          </w:tcPr>
          <w:p w14:paraId="5F5CF7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575" w:type="pct"/>
            <w:shd w:val="clear" w:color="auto" w:fill="auto"/>
            <w:noWrap/>
            <w:vAlign w:val="center"/>
          </w:tcPr>
          <w:p w14:paraId="0C80FC4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4B5B53D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44.82</w:t>
            </w:r>
          </w:p>
        </w:tc>
        <w:tc>
          <w:tcPr>
            <w:tcW w:w="629" w:type="pct"/>
            <w:shd w:val="clear" w:color="auto" w:fill="auto"/>
            <w:noWrap/>
            <w:vAlign w:val="center"/>
          </w:tcPr>
          <w:p w14:paraId="09AB1D7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22052007</w:t>
            </w:r>
          </w:p>
        </w:tc>
        <w:tc>
          <w:tcPr>
            <w:tcW w:w="575" w:type="pct"/>
            <w:shd w:val="clear" w:color="auto" w:fill="auto"/>
            <w:noWrap/>
            <w:vAlign w:val="center"/>
          </w:tcPr>
          <w:p w14:paraId="049736D4">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381F248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124.82</w:t>
            </w:r>
          </w:p>
        </w:tc>
        <w:tc>
          <w:tcPr>
            <w:tcW w:w="462" w:type="pct"/>
            <w:shd w:val="clear" w:color="auto" w:fill="auto"/>
            <w:noWrap/>
            <w:vAlign w:val="center"/>
          </w:tcPr>
          <w:p w14:paraId="1DC83944">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62.41</w:t>
            </w:r>
          </w:p>
        </w:tc>
        <w:tc>
          <w:tcPr>
            <w:tcW w:w="347" w:type="pct"/>
            <w:shd w:val="clear" w:color="auto" w:fill="auto"/>
            <w:noWrap/>
            <w:vAlign w:val="center"/>
          </w:tcPr>
          <w:p w14:paraId="2549955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BB0E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29FFAF92">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50FF2F2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68C0F76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575" w:type="pct"/>
            <w:shd w:val="clear" w:color="auto" w:fill="auto"/>
            <w:noWrap/>
            <w:vAlign w:val="center"/>
          </w:tcPr>
          <w:p w14:paraId="4DE138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543C15D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45.59</w:t>
            </w:r>
          </w:p>
        </w:tc>
        <w:tc>
          <w:tcPr>
            <w:tcW w:w="629" w:type="pct"/>
            <w:shd w:val="clear" w:color="auto" w:fill="auto"/>
            <w:noWrap/>
            <w:vAlign w:val="center"/>
          </w:tcPr>
          <w:p w14:paraId="201F7D1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22111621</w:t>
            </w:r>
          </w:p>
        </w:tc>
        <w:tc>
          <w:tcPr>
            <w:tcW w:w="575" w:type="pct"/>
            <w:shd w:val="clear" w:color="auto" w:fill="auto"/>
            <w:noWrap/>
            <w:vAlign w:val="center"/>
          </w:tcPr>
          <w:p w14:paraId="730F22A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26B1B3E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125.59</w:t>
            </w:r>
          </w:p>
        </w:tc>
        <w:tc>
          <w:tcPr>
            <w:tcW w:w="462" w:type="pct"/>
            <w:shd w:val="clear" w:color="auto" w:fill="auto"/>
            <w:noWrap/>
            <w:vAlign w:val="center"/>
          </w:tcPr>
          <w:p w14:paraId="0A4F0D7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62.80</w:t>
            </w:r>
          </w:p>
        </w:tc>
        <w:tc>
          <w:tcPr>
            <w:tcW w:w="347" w:type="pct"/>
            <w:shd w:val="clear" w:color="auto" w:fill="auto"/>
            <w:noWrap/>
            <w:vAlign w:val="center"/>
          </w:tcPr>
          <w:p w14:paraId="15C46DB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F83A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3BEE92CF">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4A82D32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575" w:type="pct"/>
            <w:shd w:val="clear" w:color="auto" w:fill="auto"/>
            <w:noWrap/>
            <w:vAlign w:val="center"/>
          </w:tcPr>
          <w:p w14:paraId="17EB9C1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44CF1FA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19.67</w:t>
            </w:r>
          </w:p>
        </w:tc>
        <w:tc>
          <w:tcPr>
            <w:tcW w:w="629" w:type="pct"/>
            <w:shd w:val="clear" w:color="auto" w:fill="auto"/>
            <w:noWrap/>
            <w:vAlign w:val="center"/>
          </w:tcPr>
          <w:p w14:paraId="58FE1D9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22052807</w:t>
            </w:r>
          </w:p>
        </w:tc>
        <w:tc>
          <w:tcPr>
            <w:tcW w:w="575" w:type="pct"/>
            <w:shd w:val="clear" w:color="auto" w:fill="auto"/>
            <w:noWrap/>
            <w:vAlign w:val="center"/>
          </w:tcPr>
          <w:p w14:paraId="27C1EE1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55D8BA9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99.67</w:t>
            </w:r>
          </w:p>
        </w:tc>
        <w:tc>
          <w:tcPr>
            <w:tcW w:w="462" w:type="pct"/>
            <w:shd w:val="clear" w:color="auto" w:fill="auto"/>
            <w:noWrap/>
            <w:vAlign w:val="center"/>
          </w:tcPr>
          <w:p w14:paraId="767ABD1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49.84</w:t>
            </w:r>
          </w:p>
        </w:tc>
        <w:tc>
          <w:tcPr>
            <w:tcW w:w="347" w:type="pct"/>
            <w:shd w:val="clear" w:color="auto" w:fill="auto"/>
            <w:noWrap/>
            <w:vAlign w:val="center"/>
          </w:tcPr>
          <w:p w14:paraId="5DB623A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2BB6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68A0D3BD">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7CE7D82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575" w:type="pct"/>
            <w:shd w:val="clear" w:color="auto" w:fill="auto"/>
            <w:noWrap/>
            <w:vAlign w:val="center"/>
          </w:tcPr>
          <w:p w14:paraId="655BDF2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108CC19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24.59</w:t>
            </w:r>
          </w:p>
        </w:tc>
        <w:tc>
          <w:tcPr>
            <w:tcW w:w="629" w:type="pct"/>
            <w:shd w:val="clear" w:color="auto" w:fill="auto"/>
            <w:noWrap/>
            <w:vAlign w:val="center"/>
          </w:tcPr>
          <w:p w14:paraId="02EBC9A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22091003</w:t>
            </w:r>
          </w:p>
        </w:tc>
        <w:tc>
          <w:tcPr>
            <w:tcW w:w="575" w:type="pct"/>
            <w:shd w:val="clear" w:color="auto" w:fill="auto"/>
            <w:noWrap/>
            <w:vAlign w:val="center"/>
          </w:tcPr>
          <w:p w14:paraId="2AA4A314">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0910F6B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104.59</w:t>
            </w:r>
          </w:p>
        </w:tc>
        <w:tc>
          <w:tcPr>
            <w:tcW w:w="462" w:type="pct"/>
            <w:shd w:val="clear" w:color="auto" w:fill="auto"/>
            <w:noWrap/>
            <w:vAlign w:val="center"/>
          </w:tcPr>
          <w:p w14:paraId="6AD55053">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52.30</w:t>
            </w:r>
          </w:p>
        </w:tc>
        <w:tc>
          <w:tcPr>
            <w:tcW w:w="347" w:type="pct"/>
            <w:shd w:val="clear" w:color="auto" w:fill="auto"/>
            <w:noWrap/>
            <w:vAlign w:val="center"/>
          </w:tcPr>
          <w:p w14:paraId="1477607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E534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2B272DC6">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1913C8E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575" w:type="pct"/>
            <w:shd w:val="clear" w:color="auto" w:fill="auto"/>
            <w:noWrap/>
            <w:vAlign w:val="center"/>
          </w:tcPr>
          <w:p w14:paraId="270EA30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77901E7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29.56</w:t>
            </w:r>
          </w:p>
        </w:tc>
        <w:tc>
          <w:tcPr>
            <w:tcW w:w="629" w:type="pct"/>
            <w:shd w:val="clear" w:color="auto" w:fill="auto"/>
            <w:noWrap/>
            <w:vAlign w:val="center"/>
          </w:tcPr>
          <w:p w14:paraId="6EEE023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22061401</w:t>
            </w:r>
          </w:p>
        </w:tc>
        <w:tc>
          <w:tcPr>
            <w:tcW w:w="575" w:type="pct"/>
            <w:shd w:val="clear" w:color="auto" w:fill="auto"/>
            <w:noWrap/>
            <w:vAlign w:val="center"/>
          </w:tcPr>
          <w:p w14:paraId="3BD8C8C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069B8CC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109.56</w:t>
            </w:r>
          </w:p>
        </w:tc>
        <w:tc>
          <w:tcPr>
            <w:tcW w:w="462" w:type="pct"/>
            <w:shd w:val="clear" w:color="auto" w:fill="auto"/>
            <w:noWrap/>
            <w:vAlign w:val="center"/>
          </w:tcPr>
          <w:p w14:paraId="18748C4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54.78</w:t>
            </w:r>
          </w:p>
        </w:tc>
        <w:tc>
          <w:tcPr>
            <w:tcW w:w="347" w:type="pct"/>
            <w:shd w:val="clear" w:color="auto" w:fill="auto"/>
            <w:noWrap/>
            <w:vAlign w:val="center"/>
          </w:tcPr>
          <w:p w14:paraId="4A356AE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F886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5C39AF6A">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2C0B65D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w:t>
            </w:r>
          </w:p>
          <w:p w14:paraId="4C4E343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幼儿园</w:t>
            </w:r>
          </w:p>
        </w:tc>
        <w:tc>
          <w:tcPr>
            <w:tcW w:w="575" w:type="pct"/>
            <w:shd w:val="clear" w:color="auto" w:fill="auto"/>
            <w:noWrap/>
            <w:vAlign w:val="center"/>
          </w:tcPr>
          <w:p w14:paraId="6F35A5F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782C4D2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21.55</w:t>
            </w:r>
          </w:p>
        </w:tc>
        <w:tc>
          <w:tcPr>
            <w:tcW w:w="629" w:type="pct"/>
            <w:shd w:val="clear" w:color="auto" w:fill="auto"/>
            <w:noWrap/>
            <w:vAlign w:val="center"/>
          </w:tcPr>
          <w:p w14:paraId="5699480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22051105</w:t>
            </w:r>
          </w:p>
        </w:tc>
        <w:tc>
          <w:tcPr>
            <w:tcW w:w="575" w:type="pct"/>
            <w:shd w:val="clear" w:color="auto" w:fill="auto"/>
            <w:noWrap/>
            <w:vAlign w:val="center"/>
          </w:tcPr>
          <w:p w14:paraId="516E2E6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0AF7262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101.55</w:t>
            </w:r>
          </w:p>
        </w:tc>
        <w:tc>
          <w:tcPr>
            <w:tcW w:w="462" w:type="pct"/>
            <w:shd w:val="clear" w:color="auto" w:fill="auto"/>
            <w:noWrap/>
            <w:vAlign w:val="center"/>
          </w:tcPr>
          <w:p w14:paraId="467F3587">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50.78</w:t>
            </w:r>
          </w:p>
        </w:tc>
        <w:tc>
          <w:tcPr>
            <w:tcW w:w="347" w:type="pct"/>
            <w:shd w:val="clear" w:color="auto" w:fill="auto"/>
            <w:noWrap/>
            <w:vAlign w:val="center"/>
          </w:tcPr>
          <w:p w14:paraId="19355EF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C0F9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1E02E217">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6FA8618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575" w:type="pct"/>
            <w:shd w:val="clear" w:color="auto" w:fill="auto"/>
            <w:noWrap/>
            <w:vAlign w:val="center"/>
          </w:tcPr>
          <w:p w14:paraId="29B325D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58C00EE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29.83</w:t>
            </w:r>
          </w:p>
        </w:tc>
        <w:tc>
          <w:tcPr>
            <w:tcW w:w="629" w:type="pct"/>
            <w:shd w:val="clear" w:color="auto" w:fill="auto"/>
            <w:noWrap/>
            <w:vAlign w:val="center"/>
          </w:tcPr>
          <w:p w14:paraId="5B08DE0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22091003</w:t>
            </w:r>
          </w:p>
        </w:tc>
        <w:tc>
          <w:tcPr>
            <w:tcW w:w="575" w:type="pct"/>
            <w:shd w:val="clear" w:color="auto" w:fill="auto"/>
            <w:noWrap/>
            <w:vAlign w:val="center"/>
          </w:tcPr>
          <w:p w14:paraId="7E39B2A3">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0687151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109.83</w:t>
            </w:r>
          </w:p>
        </w:tc>
        <w:tc>
          <w:tcPr>
            <w:tcW w:w="462" w:type="pct"/>
            <w:shd w:val="clear" w:color="auto" w:fill="auto"/>
            <w:noWrap/>
            <w:vAlign w:val="center"/>
          </w:tcPr>
          <w:p w14:paraId="0741198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54.92</w:t>
            </w:r>
          </w:p>
        </w:tc>
        <w:tc>
          <w:tcPr>
            <w:tcW w:w="347" w:type="pct"/>
            <w:shd w:val="clear" w:color="auto" w:fill="auto"/>
            <w:noWrap/>
            <w:vAlign w:val="center"/>
          </w:tcPr>
          <w:p w14:paraId="677E1C4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1433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2C70659E">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6EF71CF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575" w:type="pct"/>
            <w:shd w:val="clear" w:color="auto" w:fill="auto"/>
            <w:noWrap/>
            <w:vAlign w:val="center"/>
          </w:tcPr>
          <w:p w14:paraId="191EFCE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54D92DB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38.28</w:t>
            </w:r>
          </w:p>
        </w:tc>
        <w:tc>
          <w:tcPr>
            <w:tcW w:w="629" w:type="pct"/>
            <w:shd w:val="clear" w:color="auto" w:fill="auto"/>
            <w:noWrap/>
            <w:vAlign w:val="center"/>
          </w:tcPr>
          <w:p w14:paraId="2ABBB2B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22052601</w:t>
            </w:r>
          </w:p>
        </w:tc>
        <w:tc>
          <w:tcPr>
            <w:tcW w:w="575" w:type="pct"/>
            <w:shd w:val="clear" w:color="auto" w:fill="auto"/>
            <w:noWrap/>
            <w:vAlign w:val="center"/>
          </w:tcPr>
          <w:p w14:paraId="7DC45CF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712F4FF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118.28</w:t>
            </w:r>
          </w:p>
        </w:tc>
        <w:tc>
          <w:tcPr>
            <w:tcW w:w="462" w:type="pct"/>
            <w:shd w:val="clear" w:color="auto" w:fill="auto"/>
            <w:noWrap/>
            <w:vAlign w:val="center"/>
          </w:tcPr>
          <w:p w14:paraId="3F1A8CB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59.14</w:t>
            </w:r>
          </w:p>
        </w:tc>
        <w:tc>
          <w:tcPr>
            <w:tcW w:w="347" w:type="pct"/>
            <w:shd w:val="clear" w:color="auto" w:fill="auto"/>
            <w:noWrap/>
            <w:vAlign w:val="center"/>
          </w:tcPr>
          <w:p w14:paraId="789543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7815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5B77094C">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00AC902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575" w:type="pct"/>
            <w:shd w:val="clear" w:color="auto" w:fill="auto"/>
            <w:noWrap/>
            <w:vAlign w:val="center"/>
          </w:tcPr>
          <w:p w14:paraId="77234FC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20B8922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42.72</w:t>
            </w:r>
          </w:p>
        </w:tc>
        <w:tc>
          <w:tcPr>
            <w:tcW w:w="629" w:type="pct"/>
            <w:shd w:val="clear" w:color="auto" w:fill="auto"/>
            <w:noWrap/>
            <w:vAlign w:val="center"/>
          </w:tcPr>
          <w:p w14:paraId="63CC007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22051105</w:t>
            </w:r>
          </w:p>
        </w:tc>
        <w:tc>
          <w:tcPr>
            <w:tcW w:w="575" w:type="pct"/>
            <w:shd w:val="clear" w:color="auto" w:fill="auto"/>
            <w:noWrap/>
            <w:vAlign w:val="center"/>
          </w:tcPr>
          <w:p w14:paraId="243BB43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217CB483">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122.72</w:t>
            </w:r>
          </w:p>
        </w:tc>
        <w:tc>
          <w:tcPr>
            <w:tcW w:w="462" w:type="pct"/>
            <w:shd w:val="clear" w:color="auto" w:fill="auto"/>
            <w:noWrap/>
            <w:vAlign w:val="center"/>
          </w:tcPr>
          <w:p w14:paraId="4825D0F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61.36</w:t>
            </w:r>
          </w:p>
        </w:tc>
        <w:tc>
          <w:tcPr>
            <w:tcW w:w="347" w:type="pct"/>
            <w:shd w:val="clear" w:color="auto" w:fill="auto"/>
            <w:noWrap/>
            <w:vAlign w:val="center"/>
          </w:tcPr>
          <w:p w14:paraId="6DCE899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7708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289A119E">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39A29B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575" w:type="pct"/>
            <w:shd w:val="clear" w:color="auto" w:fill="auto"/>
            <w:noWrap/>
            <w:vAlign w:val="center"/>
          </w:tcPr>
          <w:p w14:paraId="2E2C24E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6E905C2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29.86</w:t>
            </w:r>
          </w:p>
        </w:tc>
        <w:tc>
          <w:tcPr>
            <w:tcW w:w="629" w:type="pct"/>
            <w:shd w:val="clear" w:color="auto" w:fill="auto"/>
            <w:noWrap/>
            <w:vAlign w:val="center"/>
          </w:tcPr>
          <w:p w14:paraId="332D154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22091003</w:t>
            </w:r>
          </w:p>
        </w:tc>
        <w:tc>
          <w:tcPr>
            <w:tcW w:w="575" w:type="pct"/>
            <w:shd w:val="clear" w:color="auto" w:fill="auto"/>
            <w:noWrap/>
            <w:vAlign w:val="center"/>
          </w:tcPr>
          <w:p w14:paraId="6395D9B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06CD758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109.86</w:t>
            </w:r>
          </w:p>
        </w:tc>
        <w:tc>
          <w:tcPr>
            <w:tcW w:w="462" w:type="pct"/>
            <w:shd w:val="clear" w:color="auto" w:fill="auto"/>
            <w:noWrap/>
            <w:vAlign w:val="center"/>
          </w:tcPr>
          <w:p w14:paraId="1321A8A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54.93</w:t>
            </w:r>
          </w:p>
        </w:tc>
        <w:tc>
          <w:tcPr>
            <w:tcW w:w="347" w:type="pct"/>
            <w:shd w:val="clear" w:color="auto" w:fill="auto"/>
            <w:noWrap/>
            <w:vAlign w:val="center"/>
          </w:tcPr>
          <w:p w14:paraId="0D502A3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5BDC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1270D70F">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0DF717F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575" w:type="pct"/>
            <w:shd w:val="clear" w:color="auto" w:fill="auto"/>
            <w:noWrap/>
            <w:vAlign w:val="center"/>
          </w:tcPr>
          <w:p w14:paraId="5B5F3D7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6FC4E24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36.41</w:t>
            </w:r>
          </w:p>
        </w:tc>
        <w:tc>
          <w:tcPr>
            <w:tcW w:w="629" w:type="pct"/>
            <w:shd w:val="clear" w:color="auto" w:fill="auto"/>
            <w:noWrap/>
            <w:vAlign w:val="center"/>
          </w:tcPr>
          <w:p w14:paraId="6F2AA46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22092003</w:t>
            </w:r>
          </w:p>
        </w:tc>
        <w:tc>
          <w:tcPr>
            <w:tcW w:w="575" w:type="pct"/>
            <w:shd w:val="clear" w:color="auto" w:fill="auto"/>
            <w:noWrap/>
            <w:vAlign w:val="center"/>
          </w:tcPr>
          <w:p w14:paraId="51F1C3C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42F0AAB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116.41</w:t>
            </w:r>
          </w:p>
        </w:tc>
        <w:tc>
          <w:tcPr>
            <w:tcW w:w="462" w:type="pct"/>
            <w:shd w:val="clear" w:color="auto" w:fill="auto"/>
            <w:noWrap/>
            <w:vAlign w:val="center"/>
          </w:tcPr>
          <w:p w14:paraId="25D13CB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58.21</w:t>
            </w:r>
          </w:p>
        </w:tc>
        <w:tc>
          <w:tcPr>
            <w:tcW w:w="347" w:type="pct"/>
            <w:shd w:val="clear" w:color="auto" w:fill="auto"/>
            <w:noWrap/>
            <w:vAlign w:val="center"/>
          </w:tcPr>
          <w:p w14:paraId="671402D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2A79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5C6E3E49">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0C58521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3351C81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575" w:type="pct"/>
            <w:shd w:val="clear" w:color="auto" w:fill="auto"/>
            <w:noWrap/>
            <w:vAlign w:val="center"/>
          </w:tcPr>
          <w:p w14:paraId="6377149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6A5DE20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29.44</w:t>
            </w:r>
          </w:p>
        </w:tc>
        <w:tc>
          <w:tcPr>
            <w:tcW w:w="629" w:type="pct"/>
            <w:shd w:val="clear" w:color="auto" w:fill="auto"/>
            <w:noWrap/>
            <w:vAlign w:val="center"/>
          </w:tcPr>
          <w:p w14:paraId="2EB6474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22091003</w:t>
            </w:r>
          </w:p>
        </w:tc>
        <w:tc>
          <w:tcPr>
            <w:tcW w:w="575" w:type="pct"/>
            <w:shd w:val="clear" w:color="auto" w:fill="auto"/>
            <w:noWrap/>
            <w:vAlign w:val="center"/>
          </w:tcPr>
          <w:p w14:paraId="21D9ED07">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4066E4C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109.44</w:t>
            </w:r>
          </w:p>
        </w:tc>
        <w:tc>
          <w:tcPr>
            <w:tcW w:w="462" w:type="pct"/>
            <w:shd w:val="clear" w:color="auto" w:fill="auto"/>
            <w:noWrap/>
            <w:vAlign w:val="center"/>
          </w:tcPr>
          <w:p w14:paraId="4663B22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54.72</w:t>
            </w:r>
          </w:p>
        </w:tc>
        <w:tc>
          <w:tcPr>
            <w:tcW w:w="347" w:type="pct"/>
            <w:shd w:val="clear" w:color="auto" w:fill="auto"/>
            <w:noWrap/>
            <w:vAlign w:val="center"/>
          </w:tcPr>
          <w:p w14:paraId="79B793A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6C5C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416093CA">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311272D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575" w:type="pct"/>
            <w:shd w:val="clear" w:color="auto" w:fill="auto"/>
            <w:noWrap/>
            <w:vAlign w:val="center"/>
          </w:tcPr>
          <w:p w14:paraId="2BCB8BE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3AC1E2F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28.35</w:t>
            </w:r>
          </w:p>
        </w:tc>
        <w:tc>
          <w:tcPr>
            <w:tcW w:w="629" w:type="pct"/>
            <w:shd w:val="clear" w:color="auto" w:fill="auto"/>
            <w:noWrap/>
            <w:vAlign w:val="center"/>
          </w:tcPr>
          <w:p w14:paraId="3B2C3E3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22091003</w:t>
            </w:r>
          </w:p>
        </w:tc>
        <w:tc>
          <w:tcPr>
            <w:tcW w:w="575" w:type="pct"/>
            <w:shd w:val="clear" w:color="auto" w:fill="auto"/>
            <w:noWrap/>
            <w:vAlign w:val="center"/>
          </w:tcPr>
          <w:p w14:paraId="2B5AEDA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5A5C630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108.35</w:t>
            </w:r>
          </w:p>
        </w:tc>
        <w:tc>
          <w:tcPr>
            <w:tcW w:w="462" w:type="pct"/>
            <w:shd w:val="clear" w:color="auto" w:fill="auto"/>
            <w:noWrap/>
            <w:vAlign w:val="center"/>
          </w:tcPr>
          <w:p w14:paraId="254F0BC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54.18</w:t>
            </w:r>
          </w:p>
        </w:tc>
        <w:tc>
          <w:tcPr>
            <w:tcW w:w="347" w:type="pct"/>
            <w:shd w:val="clear" w:color="auto" w:fill="auto"/>
            <w:noWrap/>
            <w:vAlign w:val="center"/>
          </w:tcPr>
          <w:p w14:paraId="6484D3F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CAB9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7CAED760">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5A8966A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575" w:type="pct"/>
            <w:shd w:val="clear" w:color="auto" w:fill="auto"/>
            <w:noWrap/>
            <w:vAlign w:val="center"/>
          </w:tcPr>
          <w:p w14:paraId="6432DF9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0EB7968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34.67</w:t>
            </w:r>
          </w:p>
        </w:tc>
        <w:tc>
          <w:tcPr>
            <w:tcW w:w="629" w:type="pct"/>
            <w:shd w:val="clear" w:color="auto" w:fill="auto"/>
            <w:noWrap/>
            <w:vAlign w:val="center"/>
          </w:tcPr>
          <w:p w14:paraId="3417164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22071321</w:t>
            </w:r>
          </w:p>
        </w:tc>
        <w:tc>
          <w:tcPr>
            <w:tcW w:w="575" w:type="pct"/>
            <w:shd w:val="clear" w:color="auto" w:fill="auto"/>
            <w:noWrap/>
            <w:vAlign w:val="center"/>
          </w:tcPr>
          <w:p w14:paraId="74BF96E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750E3E8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114.67</w:t>
            </w:r>
          </w:p>
        </w:tc>
        <w:tc>
          <w:tcPr>
            <w:tcW w:w="462" w:type="pct"/>
            <w:shd w:val="clear" w:color="auto" w:fill="auto"/>
            <w:noWrap/>
            <w:vAlign w:val="center"/>
          </w:tcPr>
          <w:p w14:paraId="3E822DB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57.34</w:t>
            </w:r>
          </w:p>
        </w:tc>
        <w:tc>
          <w:tcPr>
            <w:tcW w:w="347" w:type="pct"/>
            <w:shd w:val="clear" w:color="auto" w:fill="auto"/>
            <w:noWrap/>
            <w:vAlign w:val="center"/>
          </w:tcPr>
          <w:p w14:paraId="2321A45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F7F3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3E884954">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0D71EAA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575" w:type="pct"/>
            <w:shd w:val="clear" w:color="auto" w:fill="auto"/>
            <w:noWrap/>
            <w:vAlign w:val="center"/>
          </w:tcPr>
          <w:p w14:paraId="6643683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430239F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27.84</w:t>
            </w:r>
          </w:p>
        </w:tc>
        <w:tc>
          <w:tcPr>
            <w:tcW w:w="629" w:type="pct"/>
            <w:shd w:val="clear" w:color="auto" w:fill="auto"/>
            <w:noWrap/>
            <w:vAlign w:val="center"/>
          </w:tcPr>
          <w:p w14:paraId="4776516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22091422</w:t>
            </w:r>
          </w:p>
        </w:tc>
        <w:tc>
          <w:tcPr>
            <w:tcW w:w="575" w:type="pct"/>
            <w:shd w:val="clear" w:color="auto" w:fill="auto"/>
            <w:noWrap/>
            <w:vAlign w:val="center"/>
          </w:tcPr>
          <w:p w14:paraId="211CED3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6DC58EA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107.84</w:t>
            </w:r>
          </w:p>
        </w:tc>
        <w:tc>
          <w:tcPr>
            <w:tcW w:w="462" w:type="pct"/>
            <w:shd w:val="clear" w:color="auto" w:fill="auto"/>
            <w:noWrap/>
            <w:vAlign w:val="center"/>
          </w:tcPr>
          <w:p w14:paraId="4EFD980B">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53.92</w:t>
            </w:r>
          </w:p>
        </w:tc>
        <w:tc>
          <w:tcPr>
            <w:tcW w:w="347" w:type="pct"/>
            <w:shd w:val="clear" w:color="auto" w:fill="auto"/>
            <w:noWrap/>
            <w:vAlign w:val="center"/>
          </w:tcPr>
          <w:p w14:paraId="71BECB0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EE8A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0F5FC60F">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683DF66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575" w:type="pct"/>
            <w:shd w:val="clear" w:color="auto" w:fill="auto"/>
            <w:noWrap/>
            <w:vAlign w:val="center"/>
          </w:tcPr>
          <w:p w14:paraId="2C23B0A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703CD69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15.27</w:t>
            </w:r>
          </w:p>
        </w:tc>
        <w:tc>
          <w:tcPr>
            <w:tcW w:w="629" w:type="pct"/>
            <w:shd w:val="clear" w:color="auto" w:fill="auto"/>
            <w:noWrap/>
            <w:vAlign w:val="center"/>
          </w:tcPr>
          <w:p w14:paraId="6900B26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22032007</w:t>
            </w:r>
          </w:p>
        </w:tc>
        <w:tc>
          <w:tcPr>
            <w:tcW w:w="575" w:type="pct"/>
            <w:shd w:val="clear" w:color="auto" w:fill="auto"/>
            <w:noWrap/>
            <w:vAlign w:val="center"/>
          </w:tcPr>
          <w:p w14:paraId="5AC9BE2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08911E7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95.27</w:t>
            </w:r>
          </w:p>
        </w:tc>
        <w:tc>
          <w:tcPr>
            <w:tcW w:w="462" w:type="pct"/>
            <w:shd w:val="clear" w:color="auto" w:fill="auto"/>
            <w:noWrap/>
            <w:vAlign w:val="center"/>
          </w:tcPr>
          <w:p w14:paraId="4249659C">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47.64</w:t>
            </w:r>
          </w:p>
        </w:tc>
        <w:tc>
          <w:tcPr>
            <w:tcW w:w="347" w:type="pct"/>
            <w:shd w:val="clear" w:color="auto" w:fill="auto"/>
            <w:noWrap/>
            <w:vAlign w:val="center"/>
          </w:tcPr>
          <w:p w14:paraId="14CBF0F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EC44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6EA15FBF">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3FE30C1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575" w:type="pct"/>
            <w:shd w:val="clear" w:color="auto" w:fill="auto"/>
            <w:noWrap/>
            <w:vAlign w:val="center"/>
          </w:tcPr>
          <w:p w14:paraId="0454736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36DBF91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32.36</w:t>
            </w:r>
          </w:p>
        </w:tc>
        <w:tc>
          <w:tcPr>
            <w:tcW w:w="629" w:type="pct"/>
            <w:shd w:val="clear" w:color="auto" w:fill="auto"/>
            <w:noWrap/>
            <w:vAlign w:val="center"/>
          </w:tcPr>
          <w:p w14:paraId="2FF04D9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22061424</w:t>
            </w:r>
          </w:p>
        </w:tc>
        <w:tc>
          <w:tcPr>
            <w:tcW w:w="575" w:type="pct"/>
            <w:shd w:val="clear" w:color="auto" w:fill="auto"/>
            <w:noWrap/>
            <w:vAlign w:val="center"/>
          </w:tcPr>
          <w:p w14:paraId="30DE3A7B">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58764E3C">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112.36</w:t>
            </w:r>
          </w:p>
        </w:tc>
        <w:tc>
          <w:tcPr>
            <w:tcW w:w="462" w:type="pct"/>
            <w:shd w:val="clear" w:color="auto" w:fill="auto"/>
            <w:noWrap/>
            <w:vAlign w:val="center"/>
          </w:tcPr>
          <w:p w14:paraId="4DA42D8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56.18</w:t>
            </w:r>
          </w:p>
        </w:tc>
        <w:tc>
          <w:tcPr>
            <w:tcW w:w="347" w:type="pct"/>
            <w:shd w:val="clear" w:color="auto" w:fill="auto"/>
            <w:noWrap/>
            <w:vAlign w:val="center"/>
          </w:tcPr>
          <w:p w14:paraId="2E74B80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0FA6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5C162794">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58F94E6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575" w:type="pct"/>
            <w:shd w:val="clear" w:color="auto" w:fill="auto"/>
            <w:noWrap/>
            <w:vAlign w:val="center"/>
          </w:tcPr>
          <w:p w14:paraId="6F41A5F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448A2D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9.39</w:t>
            </w:r>
          </w:p>
        </w:tc>
        <w:tc>
          <w:tcPr>
            <w:tcW w:w="629" w:type="pct"/>
            <w:shd w:val="clear" w:color="auto" w:fill="auto"/>
            <w:noWrap/>
            <w:vAlign w:val="center"/>
          </w:tcPr>
          <w:p w14:paraId="03ED8BD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575" w:type="pct"/>
            <w:shd w:val="clear" w:color="auto" w:fill="auto"/>
            <w:noWrap/>
            <w:vAlign w:val="center"/>
          </w:tcPr>
          <w:p w14:paraId="4B1B1A23">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69C698C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89.39</w:t>
            </w:r>
          </w:p>
        </w:tc>
        <w:tc>
          <w:tcPr>
            <w:tcW w:w="462" w:type="pct"/>
            <w:shd w:val="clear" w:color="auto" w:fill="auto"/>
            <w:noWrap/>
            <w:vAlign w:val="center"/>
          </w:tcPr>
          <w:p w14:paraId="02E062B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44.70</w:t>
            </w:r>
          </w:p>
        </w:tc>
        <w:tc>
          <w:tcPr>
            <w:tcW w:w="347" w:type="pct"/>
            <w:shd w:val="clear" w:color="auto" w:fill="auto"/>
            <w:noWrap/>
            <w:vAlign w:val="center"/>
          </w:tcPr>
          <w:p w14:paraId="7536C39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CBA5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314A7DD1">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11C982D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575" w:type="pct"/>
            <w:shd w:val="clear" w:color="auto" w:fill="auto"/>
            <w:noWrap/>
            <w:vAlign w:val="center"/>
          </w:tcPr>
          <w:p w14:paraId="7AADF3C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7E6E32E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13.15</w:t>
            </w:r>
          </w:p>
        </w:tc>
        <w:tc>
          <w:tcPr>
            <w:tcW w:w="629" w:type="pct"/>
            <w:shd w:val="clear" w:color="auto" w:fill="auto"/>
            <w:noWrap/>
            <w:vAlign w:val="center"/>
          </w:tcPr>
          <w:p w14:paraId="64A363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575" w:type="pct"/>
            <w:shd w:val="clear" w:color="auto" w:fill="auto"/>
            <w:noWrap/>
            <w:vAlign w:val="center"/>
          </w:tcPr>
          <w:p w14:paraId="6B1E4D5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0489DB7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93.15</w:t>
            </w:r>
          </w:p>
        </w:tc>
        <w:tc>
          <w:tcPr>
            <w:tcW w:w="462" w:type="pct"/>
            <w:shd w:val="clear" w:color="auto" w:fill="auto"/>
            <w:noWrap/>
            <w:vAlign w:val="center"/>
          </w:tcPr>
          <w:p w14:paraId="37B574EB">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46.58</w:t>
            </w:r>
          </w:p>
        </w:tc>
        <w:tc>
          <w:tcPr>
            <w:tcW w:w="347" w:type="pct"/>
            <w:shd w:val="clear" w:color="auto" w:fill="auto"/>
            <w:noWrap/>
            <w:vAlign w:val="center"/>
          </w:tcPr>
          <w:p w14:paraId="47532B8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62B5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7440D660">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766D0B7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575" w:type="pct"/>
            <w:shd w:val="clear" w:color="auto" w:fill="auto"/>
            <w:noWrap/>
            <w:vAlign w:val="center"/>
          </w:tcPr>
          <w:p w14:paraId="505EF34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65A709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31.69</w:t>
            </w:r>
          </w:p>
        </w:tc>
        <w:tc>
          <w:tcPr>
            <w:tcW w:w="629" w:type="pct"/>
            <w:shd w:val="clear" w:color="auto" w:fill="auto"/>
            <w:noWrap/>
            <w:vAlign w:val="center"/>
          </w:tcPr>
          <w:p w14:paraId="5411905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22071321</w:t>
            </w:r>
          </w:p>
        </w:tc>
        <w:tc>
          <w:tcPr>
            <w:tcW w:w="575" w:type="pct"/>
            <w:shd w:val="clear" w:color="auto" w:fill="auto"/>
            <w:noWrap/>
            <w:vAlign w:val="center"/>
          </w:tcPr>
          <w:p w14:paraId="40DBCBD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4B28270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111.69</w:t>
            </w:r>
          </w:p>
        </w:tc>
        <w:tc>
          <w:tcPr>
            <w:tcW w:w="462" w:type="pct"/>
            <w:shd w:val="clear" w:color="auto" w:fill="auto"/>
            <w:noWrap/>
            <w:vAlign w:val="center"/>
          </w:tcPr>
          <w:p w14:paraId="5E6E70FD">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55.85</w:t>
            </w:r>
          </w:p>
        </w:tc>
        <w:tc>
          <w:tcPr>
            <w:tcW w:w="347" w:type="pct"/>
            <w:shd w:val="clear" w:color="auto" w:fill="auto"/>
            <w:noWrap/>
            <w:vAlign w:val="center"/>
          </w:tcPr>
          <w:p w14:paraId="4DF1894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FA49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 w:type="pct"/>
            <w:vMerge w:val="continue"/>
            <w:shd w:val="clear" w:color="auto" w:fill="auto"/>
            <w:noWrap/>
            <w:vAlign w:val="center"/>
          </w:tcPr>
          <w:p w14:paraId="080DE53F">
            <w:pPr>
              <w:widowControl/>
              <w:adjustRightInd w:val="0"/>
              <w:snapToGrid w:val="0"/>
              <w:jc w:val="center"/>
              <w:rPr>
                <w:rFonts w:ascii="Arial" w:hAnsi="Arial" w:cs="Arial" w:eastAsiaTheme="minorEastAsia"/>
                <w:kern w:val="0"/>
                <w:sz w:val="21"/>
                <w:szCs w:val="21"/>
                <w:u w:val="single"/>
              </w:rPr>
            </w:pPr>
          </w:p>
        </w:tc>
        <w:tc>
          <w:tcPr>
            <w:tcW w:w="799" w:type="pct"/>
            <w:shd w:val="clear" w:color="auto" w:fill="auto"/>
            <w:noWrap/>
            <w:vAlign w:val="center"/>
          </w:tcPr>
          <w:p w14:paraId="1820688C">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区域最大值</w:t>
            </w:r>
          </w:p>
        </w:tc>
        <w:tc>
          <w:tcPr>
            <w:tcW w:w="575" w:type="pct"/>
            <w:shd w:val="clear" w:color="auto" w:fill="auto"/>
            <w:noWrap/>
            <w:vAlign w:val="center"/>
          </w:tcPr>
          <w:p w14:paraId="2E57815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75" w:type="pct"/>
            <w:shd w:val="clear" w:color="auto" w:fill="auto"/>
            <w:noWrap/>
            <w:vAlign w:val="center"/>
          </w:tcPr>
          <w:p w14:paraId="6E0A1F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42.85</w:t>
            </w:r>
          </w:p>
        </w:tc>
        <w:tc>
          <w:tcPr>
            <w:tcW w:w="629" w:type="pct"/>
            <w:shd w:val="clear" w:color="auto" w:fill="auto"/>
            <w:noWrap/>
            <w:vAlign w:val="center"/>
          </w:tcPr>
          <w:p w14:paraId="1576C25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22080501</w:t>
            </w:r>
          </w:p>
        </w:tc>
        <w:tc>
          <w:tcPr>
            <w:tcW w:w="575" w:type="pct"/>
            <w:shd w:val="clear" w:color="auto" w:fill="auto"/>
            <w:noWrap/>
            <w:vAlign w:val="center"/>
          </w:tcPr>
          <w:p w14:paraId="0809C917">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80</w:t>
            </w:r>
          </w:p>
        </w:tc>
        <w:tc>
          <w:tcPr>
            <w:tcW w:w="575" w:type="pct"/>
            <w:shd w:val="clear" w:color="auto" w:fill="auto"/>
            <w:noWrap/>
            <w:vAlign w:val="center"/>
          </w:tcPr>
          <w:p w14:paraId="7A74302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122.85</w:t>
            </w:r>
          </w:p>
        </w:tc>
        <w:tc>
          <w:tcPr>
            <w:tcW w:w="462" w:type="pct"/>
            <w:shd w:val="clear" w:color="auto" w:fill="auto"/>
            <w:noWrap/>
            <w:vAlign w:val="center"/>
          </w:tcPr>
          <w:p w14:paraId="566815D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61.43</w:t>
            </w:r>
          </w:p>
        </w:tc>
        <w:tc>
          <w:tcPr>
            <w:tcW w:w="347" w:type="pct"/>
            <w:shd w:val="clear" w:color="auto" w:fill="auto"/>
            <w:noWrap/>
            <w:vAlign w:val="center"/>
          </w:tcPr>
          <w:p w14:paraId="721BCD6C">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达标</w:t>
            </w:r>
          </w:p>
        </w:tc>
      </w:tr>
    </w:tbl>
    <w:p w14:paraId="58691EAE">
      <w:pPr>
        <w:adjustRightInd w:val="0"/>
        <w:snapToGrid w:val="0"/>
        <w:rPr>
          <w:rFonts w:ascii="Arial" w:hAnsi="Arial" w:eastAsia="宋体" w:cs="Arial"/>
          <w:spacing w:val="10"/>
          <w:sz w:val="24"/>
          <w:highlight w:val="yellow"/>
        </w:rPr>
      </w:pPr>
    </w:p>
    <w:p w14:paraId="53CAE6C1">
      <w:pPr>
        <w:adjustRightInd w:val="0"/>
        <w:snapToGrid w:val="0"/>
        <w:rPr>
          <w:rFonts w:ascii="Arial" w:hAnsi="Arial" w:eastAsia="宋体" w:cs="Arial"/>
          <w:spacing w:val="10"/>
          <w:sz w:val="24"/>
          <w:u w:val="single"/>
        </w:rPr>
      </w:pPr>
      <w:r>
        <w:rPr>
          <w:u w:val="single"/>
        </w:rPr>
        <w:drawing>
          <wp:inline distT="0" distB="0" distL="114300" distR="114300">
            <wp:extent cx="5275580" cy="3956685"/>
            <wp:effectExtent l="0" t="0" r="1270" b="571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45"/>
                    <a:stretch>
                      <a:fillRect/>
                    </a:stretch>
                  </pic:blipFill>
                  <pic:spPr>
                    <a:xfrm>
                      <a:off x="0" y="0"/>
                      <a:ext cx="5275580" cy="3956685"/>
                    </a:xfrm>
                    <a:prstGeom prst="rect">
                      <a:avLst/>
                    </a:prstGeom>
                    <a:noFill/>
                    <a:ln>
                      <a:noFill/>
                    </a:ln>
                  </pic:spPr>
                </pic:pic>
              </a:graphicData>
            </a:graphic>
          </wp:inline>
        </w:drawing>
      </w:r>
    </w:p>
    <w:p w14:paraId="2A036962">
      <w:pPr>
        <w:numPr>
          <w:ilvl w:val="0"/>
          <w:numId w:val="23"/>
        </w:numPr>
        <w:spacing w:line="500" w:lineRule="exact"/>
        <w:jc w:val="center"/>
        <w:rPr>
          <w:rFonts w:ascii="Arial" w:hAnsi="Arial" w:eastAsia="宋体" w:cs="Arial"/>
          <w:spacing w:val="10"/>
          <w:sz w:val="24"/>
          <w:szCs w:val="24"/>
          <w:u w:val="single"/>
        </w:rPr>
      </w:pPr>
      <w:r>
        <w:rPr>
          <w:rFonts w:ascii="Arial" w:hAnsi="Arial" w:eastAsia="宋体" w:cs="Arial"/>
          <w:b/>
          <w:spacing w:val="10"/>
          <w:sz w:val="24"/>
          <w:u w:val="single"/>
        </w:rPr>
        <w:t>正常排放PM</w:t>
      </w:r>
      <w:r>
        <w:rPr>
          <w:rFonts w:ascii="Arial" w:hAnsi="Arial" w:eastAsia="宋体" w:cs="Arial"/>
          <w:b/>
          <w:spacing w:val="10"/>
          <w:sz w:val="24"/>
          <w:u w:val="single"/>
          <w:vertAlign w:val="subscript"/>
        </w:rPr>
        <w:t>10</w:t>
      </w:r>
      <w:r>
        <w:rPr>
          <w:rFonts w:ascii="Arial" w:hAnsi="Arial" w:eastAsia="宋体" w:cs="Arial"/>
          <w:b/>
          <w:spacing w:val="10"/>
          <w:sz w:val="24"/>
          <w:u w:val="single"/>
        </w:rPr>
        <w:t>保证率日平均浓度分布图</w:t>
      </w:r>
    </w:p>
    <w:p w14:paraId="5FEEA453">
      <w:pPr>
        <w:adjustRightInd w:val="0"/>
        <w:snapToGrid w:val="0"/>
        <w:rPr>
          <w:rFonts w:ascii="Arial" w:hAnsi="Arial" w:eastAsia="宋体" w:cs="Arial"/>
          <w:spacing w:val="10"/>
          <w:sz w:val="24"/>
          <w:u w:val="single"/>
        </w:rPr>
      </w:pPr>
      <w:r>
        <w:rPr>
          <w:u w:val="single"/>
        </w:rPr>
        <w:drawing>
          <wp:inline distT="0" distB="0" distL="114300" distR="114300">
            <wp:extent cx="5278120" cy="4089400"/>
            <wp:effectExtent l="0" t="0" r="17780" b="635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46"/>
                    <a:stretch>
                      <a:fillRect/>
                    </a:stretch>
                  </pic:blipFill>
                  <pic:spPr>
                    <a:xfrm>
                      <a:off x="0" y="0"/>
                      <a:ext cx="5278120" cy="4089400"/>
                    </a:xfrm>
                    <a:prstGeom prst="rect">
                      <a:avLst/>
                    </a:prstGeom>
                    <a:noFill/>
                    <a:ln>
                      <a:noFill/>
                    </a:ln>
                  </pic:spPr>
                </pic:pic>
              </a:graphicData>
            </a:graphic>
          </wp:inline>
        </w:drawing>
      </w:r>
    </w:p>
    <w:p w14:paraId="6122E82E">
      <w:pPr>
        <w:numPr>
          <w:ilvl w:val="0"/>
          <w:numId w:val="23"/>
        </w:numPr>
        <w:spacing w:line="500" w:lineRule="exact"/>
        <w:jc w:val="center"/>
        <w:rPr>
          <w:rFonts w:ascii="Arial" w:hAnsi="Arial" w:eastAsia="宋体" w:cs="Arial"/>
          <w:spacing w:val="10"/>
          <w:sz w:val="24"/>
          <w:szCs w:val="24"/>
          <w:u w:val="single"/>
        </w:rPr>
      </w:pPr>
      <w:r>
        <w:rPr>
          <w:rFonts w:ascii="Arial" w:hAnsi="Arial" w:eastAsia="宋体" w:cs="Arial"/>
          <w:b/>
          <w:spacing w:val="10"/>
          <w:sz w:val="24"/>
          <w:u w:val="single"/>
        </w:rPr>
        <w:t>正常排放PM</w:t>
      </w:r>
      <w:r>
        <w:rPr>
          <w:rFonts w:ascii="Arial" w:hAnsi="Arial" w:eastAsia="宋体" w:cs="Arial"/>
          <w:b/>
          <w:spacing w:val="10"/>
          <w:sz w:val="24"/>
          <w:u w:val="single"/>
          <w:vertAlign w:val="subscript"/>
        </w:rPr>
        <w:t>10</w:t>
      </w:r>
      <w:r>
        <w:rPr>
          <w:rFonts w:ascii="Arial" w:hAnsi="Arial" w:eastAsia="宋体" w:cs="Arial"/>
          <w:b/>
          <w:spacing w:val="10"/>
          <w:sz w:val="24"/>
          <w:u w:val="single"/>
        </w:rPr>
        <w:t>保证率年平均浓度分布图</w:t>
      </w:r>
    </w:p>
    <w:p w14:paraId="1332195C">
      <w:pPr>
        <w:spacing w:line="500" w:lineRule="exact"/>
        <w:ind w:firstLine="490" w:firstLineChars="200"/>
        <w:rPr>
          <w:rFonts w:ascii="Arial" w:hAnsi="Arial" w:eastAsia="宋体" w:cs="Arial"/>
          <w:spacing w:val="10"/>
          <w:sz w:val="24"/>
        </w:rPr>
      </w:pPr>
      <w:r>
        <w:rPr>
          <w:rFonts w:ascii="Arial" w:hAnsi="Arial" w:eastAsia="宋体" w:cs="Arial"/>
          <w:spacing w:val="10"/>
          <w:sz w:val="24"/>
        </w:rPr>
        <w:t>3、非正常排放预测结果与评价</w:t>
      </w:r>
    </w:p>
    <w:p w14:paraId="0403A070">
      <w:pPr>
        <w:spacing w:line="500" w:lineRule="exact"/>
        <w:ind w:firstLine="490" w:firstLineChars="200"/>
        <w:rPr>
          <w:rFonts w:ascii="Arial" w:hAnsi="Arial" w:eastAsia="宋体" w:cs="Arial"/>
          <w:spacing w:val="10"/>
          <w:sz w:val="24"/>
        </w:rPr>
      </w:pPr>
      <w:r>
        <w:rPr>
          <w:rFonts w:ascii="Arial" w:hAnsi="Arial" w:eastAsia="宋体" w:cs="Arial"/>
          <w:spacing w:val="10"/>
          <w:sz w:val="24"/>
        </w:rPr>
        <w:t>非正常工况下，各污染因子排放预测结果详见表4-1</w:t>
      </w:r>
      <w:r>
        <w:rPr>
          <w:rFonts w:hint="eastAsia" w:ascii="Arial" w:hAnsi="Arial" w:eastAsia="宋体" w:cs="Arial"/>
          <w:spacing w:val="10"/>
          <w:sz w:val="24"/>
        </w:rPr>
        <w:t>5</w:t>
      </w:r>
      <w:r>
        <w:rPr>
          <w:rFonts w:ascii="Arial" w:hAnsi="Arial" w:eastAsia="宋体" w:cs="Arial"/>
          <w:spacing w:val="10"/>
          <w:sz w:val="24"/>
        </w:rPr>
        <w:t>。非正常排放时，各污染物浓度贡献值显著增加，其中部分区域氨气出现超标现象。为了减轻项目对外环境带来的污染，建设单位须加强管理，确保环保设施正常运行、污染物达标排放。</w:t>
      </w:r>
    </w:p>
    <w:p w14:paraId="1A2E9D24">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非正常工况下各污染因子最大落地浓度预测</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827"/>
        <w:gridCol w:w="1023"/>
        <w:gridCol w:w="1023"/>
        <w:gridCol w:w="1561"/>
        <w:gridCol w:w="1024"/>
        <w:gridCol w:w="837"/>
        <w:gridCol w:w="1024"/>
      </w:tblGrid>
      <w:tr w14:paraId="49C74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shd w:val="clear" w:color="auto" w:fill="auto"/>
            <w:noWrap/>
            <w:vAlign w:val="center"/>
          </w:tcPr>
          <w:p w14:paraId="094F274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序号</w:t>
            </w:r>
          </w:p>
        </w:tc>
        <w:tc>
          <w:tcPr>
            <w:tcW w:w="1016" w:type="pct"/>
            <w:shd w:val="clear" w:color="auto" w:fill="auto"/>
            <w:noWrap/>
            <w:vAlign w:val="center"/>
          </w:tcPr>
          <w:p w14:paraId="3CA18C6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点名称</w:t>
            </w:r>
          </w:p>
        </w:tc>
        <w:tc>
          <w:tcPr>
            <w:tcW w:w="569" w:type="pct"/>
            <w:shd w:val="clear" w:color="auto" w:fill="auto"/>
            <w:noWrap/>
            <w:vAlign w:val="center"/>
          </w:tcPr>
          <w:p w14:paraId="1C952B0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浓度类型</w:t>
            </w:r>
          </w:p>
        </w:tc>
        <w:tc>
          <w:tcPr>
            <w:tcW w:w="569" w:type="pct"/>
            <w:shd w:val="clear" w:color="auto" w:fill="auto"/>
            <w:noWrap/>
            <w:vAlign w:val="center"/>
          </w:tcPr>
          <w:p w14:paraId="21A1A2C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浓度增量</w:t>
            </w:r>
          </w:p>
          <w:p w14:paraId="50EEC5A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868" w:type="pct"/>
            <w:shd w:val="clear" w:color="auto" w:fill="auto"/>
            <w:noWrap/>
            <w:vAlign w:val="center"/>
          </w:tcPr>
          <w:p w14:paraId="73222A5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出现时间</w:t>
            </w:r>
          </w:p>
          <w:p w14:paraId="00BFBAD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(YYMMDDHH)</w:t>
            </w:r>
          </w:p>
        </w:tc>
        <w:tc>
          <w:tcPr>
            <w:tcW w:w="569" w:type="pct"/>
            <w:shd w:val="clear" w:color="auto" w:fill="auto"/>
            <w:noWrap/>
            <w:vAlign w:val="center"/>
          </w:tcPr>
          <w:p w14:paraId="567016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评价标准</w:t>
            </w:r>
          </w:p>
          <w:p w14:paraId="2513C73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(μg/m</w:t>
            </w:r>
            <w:r>
              <w:rPr>
                <w:rFonts w:ascii="Arial" w:hAnsi="Arial" w:cs="Arial" w:eastAsiaTheme="minorEastAsia"/>
                <w:kern w:val="0"/>
                <w:sz w:val="21"/>
                <w:szCs w:val="21"/>
                <w:u w:val="single"/>
                <w:vertAlign w:val="superscript"/>
              </w:rPr>
              <w:t>3</w:t>
            </w:r>
            <w:r>
              <w:rPr>
                <w:rFonts w:ascii="Arial" w:hAnsi="Arial" w:cs="Arial" w:eastAsiaTheme="minorEastAsia"/>
                <w:kern w:val="0"/>
                <w:sz w:val="21"/>
                <w:szCs w:val="21"/>
                <w:u w:val="single"/>
              </w:rPr>
              <w:t>)</w:t>
            </w:r>
          </w:p>
        </w:tc>
        <w:tc>
          <w:tcPr>
            <w:tcW w:w="465" w:type="pct"/>
            <w:shd w:val="clear" w:color="auto" w:fill="auto"/>
            <w:noWrap/>
            <w:vAlign w:val="center"/>
          </w:tcPr>
          <w:p w14:paraId="02CF308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占标率</w:t>
            </w:r>
          </w:p>
          <w:p w14:paraId="618460F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w:t>
            </w:r>
          </w:p>
        </w:tc>
        <w:tc>
          <w:tcPr>
            <w:tcW w:w="569" w:type="pct"/>
            <w:shd w:val="clear" w:color="auto" w:fill="auto"/>
            <w:noWrap/>
            <w:vAlign w:val="center"/>
          </w:tcPr>
          <w:p w14:paraId="2E889BA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是否超标</w:t>
            </w:r>
          </w:p>
        </w:tc>
      </w:tr>
      <w:tr w14:paraId="443DD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restart"/>
            <w:shd w:val="clear" w:color="auto" w:fill="auto"/>
            <w:noWrap/>
            <w:vAlign w:val="center"/>
          </w:tcPr>
          <w:p w14:paraId="7DED465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PM</w:t>
            </w:r>
            <w:r>
              <w:rPr>
                <w:rFonts w:hint="eastAsia" w:ascii="Arial" w:hAnsi="Arial" w:cs="Arial" w:eastAsiaTheme="minorEastAsia"/>
                <w:kern w:val="0"/>
                <w:sz w:val="21"/>
                <w:szCs w:val="21"/>
                <w:u w:val="single"/>
                <w:vertAlign w:val="subscript"/>
              </w:rPr>
              <w:t>10</w:t>
            </w:r>
          </w:p>
        </w:tc>
        <w:tc>
          <w:tcPr>
            <w:tcW w:w="1016" w:type="pct"/>
            <w:shd w:val="clear" w:color="auto" w:fill="auto"/>
            <w:noWrap/>
            <w:vAlign w:val="center"/>
          </w:tcPr>
          <w:p w14:paraId="12B0100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569" w:type="pct"/>
            <w:shd w:val="clear" w:color="auto" w:fill="auto"/>
            <w:noWrap/>
            <w:vAlign w:val="center"/>
          </w:tcPr>
          <w:p w14:paraId="0763E52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1E5A4E9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3.43</w:t>
            </w:r>
          </w:p>
        </w:tc>
        <w:tc>
          <w:tcPr>
            <w:tcW w:w="868" w:type="pct"/>
            <w:shd w:val="clear" w:color="auto" w:fill="auto"/>
            <w:noWrap/>
            <w:vAlign w:val="center"/>
          </w:tcPr>
          <w:p w14:paraId="0985359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22030409</w:t>
            </w:r>
          </w:p>
        </w:tc>
        <w:tc>
          <w:tcPr>
            <w:tcW w:w="569" w:type="pct"/>
            <w:shd w:val="clear" w:color="auto" w:fill="auto"/>
            <w:noWrap/>
            <w:vAlign w:val="center"/>
          </w:tcPr>
          <w:p w14:paraId="5665DA0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1C6A98F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407ADB5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031E5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139BE177">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E2549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5790FB2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569" w:type="pct"/>
            <w:shd w:val="clear" w:color="auto" w:fill="auto"/>
            <w:noWrap/>
            <w:vAlign w:val="center"/>
          </w:tcPr>
          <w:p w14:paraId="700112D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743D8B7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5.07</w:t>
            </w:r>
          </w:p>
        </w:tc>
        <w:tc>
          <w:tcPr>
            <w:tcW w:w="868" w:type="pct"/>
            <w:shd w:val="clear" w:color="auto" w:fill="auto"/>
            <w:noWrap/>
            <w:vAlign w:val="center"/>
          </w:tcPr>
          <w:p w14:paraId="781D272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22112717</w:t>
            </w:r>
          </w:p>
        </w:tc>
        <w:tc>
          <w:tcPr>
            <w:tcW w:w="569" w:type="pct"/>
            <w:shd w:val="clear" w:color="auto" w:fill="auto"/>
            <w:noWrap/>
            <w:vAlign w:val="center"/>
          </w:tcPr>
          <w:p w14:paraId="11730C6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05AFCF8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44B8DDB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46B81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D3DB840">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03D243B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569" w:type="pct"/>
            <w:shd w:val="clear" w:color="auto" w:fill="auto"/>
            <w:noWrap/>
            <w:vAlign w:val="center"/>
          </w:tcPr>
          <w:p w14:paraId="347BE95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10B39B1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3.11</w:t>
            </w:r>
          </w:p>
        </w:tc>
        <w:tc>
          <w:tcPr>
            <w:tcW w:w="868" w:type="pct"/>
            <w:shd w:val="clear" w:color="auto" w:fill="auto"/>
            <w:noWrap/>
            <w:vAlign w:val="center"/>
          </w:tcPr>
          <w:p w14:paraId="55520EE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22082520</w:t>
            </w:r>
          </w:p>
        </w:tc>
        <w:tc>
          <w:tcPr>
            <w:tcW w:w="569" w:type="pct"/>
            <w:shd w:val="clear" w:color="auto" w:fill="auto"/>
            <w:noWrap/>
            <w:vAlign w:val="center"/>
          </w:tcPr>
          <w:p w14:paraId="4811D72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6F77F85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687E0CA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06D89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1EA0E1D7">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1D04BE9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569" w:type="pct"/>
            <w:shd w:val="clear" w:color="auto" w:fill="auto"/>
            <w:noWrap/>
            <w:vAlign w:val="center"/>
          </w:tcPr>
          <w:p w14:paraId="5A1147C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63FB86B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5.03</w:t>
            </w:r>
          </w:p>
        </w:tc>
        <w:tc>
          <w:tcPr>
            <w:tcW w:w="868" w:type="pct"/>
            <w:shd w:val="clear" w:color="auto" w:fill="auto"/>
            <w:noWrap/>
            <w:vAlign w:val="center"/>
          </w:tcPr>
          <w:p w14:paraId="436C0A2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22110717</w:t>
            </w:r>
          </w:p>
        </w:tc>
        <w:tc>
          <w:tcPr>
            <w:tcW w:w="569" w:type="pct"/>
            <w:shd w:val="clear" w:color="auto" w:fill="auto"/>
            <w:noWrap/>
            <w:vAlign w:val="center"/>
          </w:tcPr>
          <w:p w14:paraId="22CD39D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3630497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757E3C34">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71B07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DB36AD8">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2716B0F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569" w:type="pct"/>
            <w:shd w:val="clear" w:color="auto" w:fill="auto"/>
            <w:noWrap/>
            <w:vAlign w:val="center"/>
          </w:tcPr>
          <w:p w14:paraId="2C8EEA8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1C8739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4.4</w:t>
            </w:r>
          </w:p>
        </w:tc>
        <w:tc>
          <w:tcPr>
            <w:tcW w:w="868" w:type="pct"/>
            <w:shd w:val="clear" w:color="auto" w:fill="auto"/>
            <w:noWrap/>
            <w:vAlign w:val="center"/>
          </w:tcPr>
          <w:p w14:paraId="02066DC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22081021</w:t>
            </w:r>
          </w:p>
        </w:tc>
        <w:tc>
          <w:tcPr>
            <w:tcW w:w="569" w:type="pct"/>
            <w:shd w:val="clear" w:color="auto" w:fill="auto"/>
            <w:noWrap/>
            <w:vAlign w:val="center"/>
          </w:tcPr>
          <w:p w14:paraId="4BAF091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14FBDFD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1DC6E0F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7FBEB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194598C4">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1E0247A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东港区第一幼儿园</w:t>
            </w:r>
          </w:p>
        </w:tc>
        <w:tc>
          <w:tcPr>
            <w:tcW w:w="569" w:type="pct"/>
            <w:shd w:val="clear" w:color="auto" w:fill="auto"/>
            <w:noWrap/>
            <w:vAlign w:val="center"/>
          </w:tcPr>
          <w:p w14:paraId="5884CC0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799519D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3.66</w:t>
            </w:r>
          </w:p>
        </w:tc>
        <w:tc>
          <w:tcPr>
            <w:tcW w:w="868" w:type="pct"/>
            <w:shd w:val="clear" w:color="auto" w:fill="auto"/>
            <w:noWrap/>
            <w:vAlign w:val="center"/>
          </w:tcPr>
          <w:p w14:paraId="680E18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22071907</w:t>
            </w:r>
          </w:p>
        </w:tc>
        <w:tc>
          <w:tcPr>
            <w:tcW w:w="569" w:type="pct"/>
            <w:shd w:val="clear" w:color="auto" w:fill="auto"/>
            <w:noWrap/>
            <w:vAlign w:val="center"/>
          </w:tcPr>
          <w:p w14:paraId="7FDDA1F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749C6BD4">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2FE1AD3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61791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53085798">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0215331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569" w:type="pct"/>
            <w:shd w:val="clear" w:color="auto" w:fill="auto"/>
            <w:noWrap/>
            <w:vAlign w:val="center"/>
          </w:tcPr>
          <w:p w14:paraId="0254ECA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F0724C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3.88</w:t>
            </w:r>
          </w:p>
        </w:tc>
        <w:tc>
          <w:tcPr>
            <w:tcW w:w="868" w:type="pct"/>
            <w:shd w:val="clear" w:color="auto" w:fill="auto"/>
            <w:noWrap/>
            <w:vAlign w:val="center"/>
          </w:tcPr>
          <w:p w14:paraId="201A9E9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569" w:type="pct"/>
            <w:shd w:val="clear" w:color="auto" w:fill="auto"/>
            <w:noWrap/>
            <w:vAlign w:val="center"/>
          </w:tcPr>
          <w:p w14:paraId="3841B5F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4BEEF9E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29F61B1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2A930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7C704B9F">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7B1208B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569" w:type="pct"/>
            <w:shd w:val="clear" w:color="auto" w:fill="auto"/>
            <w:noWrap/>
            <w:vAlign w:val="center"/>
          </w:tcPr>
          <w:p w14:paraId="7DE4914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44A5E09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3.48</w:t>
            </w:r>
          </w:p>
        </w:tc>
        <w:tc>
          <w:tcPr>
            <w:tcW w:w="868" w:type="pct"/>
            <w:shd w:val="clear" w:color="auto" w:fill="auto"/>
            <w:noWrap/>
            <w:vAlign w:val="center"/>
          </w:tcPr>
          <w:p w14:paraId="2AA65A6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22071419</w:t>
            </w:r>
          </w:p>
        </w:tc>
        <w:tc>
          <w:tcPr>
            <w:tcW w:w="569" w:type="pct"/>
            <w:shd w:val="clear" w:color="auto" w:fill="auto"/>
            <w:noWrap/>
            <w:vAlign w:val="center"/>
          </w:tcPr>
          <w:p w14:paraId="4AE5D3F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6E01825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4AF16A97">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68664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652B7C5E">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04F0AD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569" w:type="pct"/>
            <w:shd w:val="clear" w:color="auto" w:fill="auto"/>
            <w:noWrap/>
            <w:vAlign w:val="center"/>
          </w:tcPr>
          <w:p w14:paraId="035F10F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711B15D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3.17</w:t>
            </w:r>
          </w:p>
        </w:tc>
        <w:tc>
          <w:tcPr>
            <w:tcW w:w="868" w:type="pct"/>
            <w:shd w:val="clear" w:color="auto" w:fill="auto"/>
            <w:noWrap/>
            <w:vAlign w:val="center"/>
          </w:tcPr>
          <w:p w14:paraId="3722D7B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569" w:type="pct"/>
            <w:shd w:val="clear" w:color="auto" w:fill="auto"/>
            <w:noWrap/>
            <w:vAlign w:val="center"/>
          </w:tcPr>
          <w:p w14:paraId="4EB9667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399C897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4551A65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5ED59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765213F">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3DB9432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569" w:type="pct"/>
            <w:shd w:val="clear" w:color="auto" w:fill="auto"/>
            <w:noWrap/>
            <w:vAlign w:val="center"/>
          </w:tcPr>
          <w:p w14:paraId="0752242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7540F49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3.69</w:t>
            </w:r>
          </w:p>
        </w:tc>
        <w:tc>
          <w:tcPr>
            <w:tcW w:w="868" w:type="pct"/>
            <w:shd w:val="clear" w:color="auto" w:fill="auto"/>
            <w:noWrap/>
            <w:vAlign w:val="center"/>
          </w:tcPr>
          <w:p w14:paraId="57F3D5D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569" w:type="pct"/>
            <w:shd w:val="clear" w:color="auto" w:fill="auto"/>
            <w:noWrap/>
            <w:vAlign w:val="center"/>
          </w:tcPr>
          <w:p w14:paraId="4060621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4CA0E2C7">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5328C9E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2335E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423DE61A">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BB1546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569" w:type="pct"/>
            <w:shd w:val="clear" w:color="auto" w:fill="auto"/>
            <w:noWrap/>
            <w:vAlign w:val="center"/>
          </w:tcPr>
          <w:p w14:paraId="3CFFCEE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3CB16BC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3.2</w:t>
            </w:r>
          </w:p>
        </w:tc>
        <w:tc>
          <w:tcPr>
            <w:tcW w:w="868" w:type="pct"/>
            <w:shd w:val="clear" w:color="auto" w:fill="auto"/>
            <w:noWrap/>
            <w:vAlign w:val="center"/>
          </w:tcPr>
          <w:p w14:paraId="7D8189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22072404</w:t>
            </w:r>
          </w:p>
        </w:tc>
        <w:tc>
          <w:tcPr>
            <w:tcW w:w="569" w:type="pct"/>
            <w:shd w:val="clear" w:color="auto" w:fill="auto"/>
            <w:noWrap/>
            <w:vAlign w:val="center"/>
          </w:tcPr>
          <w:p w14:paraId="6D7CB25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63D2F1D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2E94F2D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433EE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667B486C">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2296496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7A8BAD8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569" w:type="pct"/>
            <w:shd w:val="clear" w:color="auto" w:fill="auto"/>
            <w:noWrap/>
            <w:vAlign w:val="center"/>
          </w:tcPr>
          <w:p w14:paraId="5B8D8A4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5FFDDB0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3.64</w:t>
            </w:r>
          </w:p>
        </w:tc>
        <w:tc>
          <w:tcPr>
            <w:tcW w:w="868" w:type="pct"/>
            <w:shd w:val="clear" w:color="auto" w:fill="auto"/>
            <w:noWrap/>
            <w:vAlign w:val="center"/>
          </w:tcPr>
          <w:p w14:paraId="28C82EE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569" w:type="pct"/>
            <w:shd w:val="clear" w:color="auto" w:fill="auto"/>
            <w:noWrap/>
            <w:vAlign w:val="center"/>
          </w:tcPr>
          <w:p w14:paraId="22BB1BF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7F2CD5B4">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760F47B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73DAC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5FDF89B7">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1DB3173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569" w:type="pct"/>
            <w:shd w:val="clear" w:color="auto" w:fill="auto"/>
            <w:noWrap/>
            <w:vAlign w:val="center"/>
          </w:tcPr>
          <w:p w14:paraId="7A8F25E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60ADBED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3.4</w:t>
            </w:r>
          </w:p>
        </w:tc>
        <w:tc>
          <w:tcPr>
            <w:tcW w:w="868" w:type="pct"/>
            <w:shd w:val="clear" w:color="auto" w:fill="auto"/>
            <w:noWrap/>
            <w:vAlign w:val="center"/>
          </w:tcPr>
          <w:p w14:paraId="0480547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22110717</w:t>
            </w:r>
          </w:p>
        </w:tc>
        <w:tc>
          <w:tcPr>
            <w:tcW w:w="569" w:type="pct"/>
            <w:shd w:val="clear" w:color="auto" w:fill="auto"/>
            <w:noWrap/>
            <w:vAlign w:val="center"/>
          </w:tcPr>
          <w:p w14:paraId="4A344E5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53AD360B">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36FF1BD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50C2C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2C66CCDA">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7ECD8B7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569" w:type="pct"/>
            <w:shd w:val="clear" w:color="auto" w:fill="auto"/>
            <w:noWrap/>
            <w:vAlign w:val="center"/>
          </w:tcPr>
          <w:p w14:paraId="2E6BCD3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78AB819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w:t>
            </w:r>
          </w:p>
        </w:tc>
        <w:tc>
          <w:tcPr>
            <w:tcW w:w="868" w:type="pct"/>
            <w:shd w:val="clear" w:color="auto" w:fill="auto"/>
            <w:noWrap/>
            <w:vAlign w:val="center"/>
          </w:tcPr>
          <w:p w14:paraId="6696EE1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22111621</w:t>
            </w:r>
          </w:p>
        </w:tc>
        <w:tc>
          <w:tcPr>
            <w:tcW w:w="569" w:type="pct"/>
            <w:shd w:val="clear" w:color="auto" w:fill="auto"/>
            <w:noWrap/>
            <w:vAlign w:val="center"/>
          </w:tcPr>
          <w:p w14:paraId="4739EFB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14ADC16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68E2682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4ABC7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5B464C5B">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32EC24D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569" w:type="pct"/>
            <w:shd w:val="clear" w:color="auto" w:fill="auto"/>
            <w:noWrap/>
            <w:vAlign w:val="center"/>
          </w:tcPr>
          <w:p w14:paraId="284D0CA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2EEBAC1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3.07</w:t>
            </w:r>
          </w:p>
        </w:tc>
        <w:tc>
          <w:tcPr>
            <w:tcW w:w="868" w:type="pct"/>
            <w:shd w:val="clear" w:color="auto" w:fill="auto"/>
            <w:noWrap/>
            <w:vAlign w:val="center"/>
          </w:tcPr>
          <w:p w14:paraId="2235385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22102721</w:t>
            </w:r>
          </w:p>
        </w:tc>
        <w:tc>
          <w:tcPr>
            <w:tcW w:w="569" w:type="pct"/>
            <w:shd w:val="clear" w:color="auto" w:fill="auto"/>
            <w:noWrap/>
            <w:vAlign w:val="center"/>
          </w:tcPr>
          <w:p w14:paraId="6EBEF02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2E0F780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227DAF5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4F3A5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B77A0D2">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77615CC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569" w:type="pct"/>
            <w:shd w:val="clear" w:color="auto" w:fill="auto"/>
            <w:noWrap/>
            <w:vAlign w:val="center"/>
          </w:tcPr>
          <w:p w14:paraId="6D30F28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9D4A30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3.05</w:t>
            </w:r>
          </w:p>
        </w:tc>
        <w:tc>
          <w:tcPr>
            <w:tcW w:w="868" w:type="pct"/>
            <w:shd w:val="clear" w:color="auto" w:fill="auto"/>
            <w:noWrap/>
            <w:vAlign w:val="center"/>
          </w:tcPr>
          <w:p w14:paraId="3D7ED46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22032007</w:t>
            </w:r>
          </w:p>
        </w:tc>
        <w:tc>
          <w:tcPr>
            <w:tcW w:w="569" w:type="pct"/>
            <w:shd w:val="clear" w:color="auto" w:fill="auto"/>
            <w:noWrap/>
            <w:vAlign w:val="center"/>
          </w:tcPr>
          <w:p w14:paraId="45A7483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3D8B175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1C0A390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5F06E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0B2791DD">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0813706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569" w:type="pct"/>
            <w:shd w:val="clear" w:color="auto" w:fill="auto"/>
            <w:noWrap/>
            <w:vAlign w:val="center"/>
          </w:tcPr>
          <w:p w14:paraId="6CCAE95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3F669FF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2.82</w:t>
            </w:r>
          </w:p>
        </w:tc>
        <w:tc>
          <w:tcPr>
            <w:tcW w:w="868" w:type="pct"/>
            <w:shd w:val="clear" w:color="auto" w:fill="auto"/>
            <w:noWrap/>
            <w:vAlign w:val="center"/>
          </w:tcPr>
          <w:p w14:paraId="5F13E68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22091606</w:t>
            </w:r>
          </w:p>
        </w:tc>
        <w:tc>
          <w:tcPr>
            <w:tcW w:w="569" w:type="pct"/>
            <w:shd w:val="clear" w:color="auto" w:fill="auto"/>
            <w:noWrap/>
            <w:vAlign w:val="center"/>
          </w:tcPr>
          <w:p w14:paraId="198099E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759DBF6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3FC40BD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068F3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26CCAE87">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15503A8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569" w:type="pct"/>
            <w:shd w:val="clear" w:color="auto" w:fill="auto"/>
            <w:noWrap/>
            <w:vAlign w:val="center"/>
          </w:tcPr>
          <w:p w14:paraId="41E2EDF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39D0062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2.72</w:t>
            </w:r>
          </w:p>
        </w:tc>
        <w:tc>
          <w:tcPr>
            <w:tcW w:w="868" w:type="pct"/>
            <w:shd w:val="clear" w:color="auto" w:fill="auto"/>
            <w:noWrap/>
            <w:vAlign w:val="center"/>
          </w:tcPr>
          <w:p w14:paraId="7C88F5C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22082523</w:t>
            </w:r>
          </w:p>
        </w:tc>
        <w:tc>
          <w:tcPr>
            <w:tcW w:w="569" w:type="pct"/>
            <w:shd w:val="clear" w:color="auto" w:fill="auto"/>
            <w:noWrap/>
            <w:vAlign w:val="center"/>
          </w:tcPr>
          <w:p w14:paraId="2D4AF8C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303646B4">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2D433684">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467D5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F7B2CD5">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7373CCC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569" w:type="pct"/>
            <w:shd w:val="clear" w:color="auto" w:fill="auto"/>
            <w:noWrap/>
            <w:vAlign w:val="center"/>
          </w:tcPr>
          <w:p w14:paraId="3C82FF1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8814D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3.11</w:t>
            </w:r>
          </w:p>
        </w:tc>
        <w:tc>
          <w:tcPr>
            <w:tcW w:w="868" w:type="pct"/>
            <w:shd w:val="clear" w:color="auto" w:fill="auto"/>
            <w:noWrap/>
            <w:vAlign w:val="center"/>
          </w:tcPr>
          <w:p w14:paraId="637400E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569" w:type="pct"/>
            <w:shd w:val="clear" w:color="auto" w:fill="auto"/>
            <w:noWrap/>
            <w:vAlign w:val="center"/>
          </w:tcPr>
          <w:p w14:paraId="7454243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5AFF357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0BB1FE8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4A319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5138C582">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09FDEE3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569" w:type="pct"/>
            <w:shd w:val="clear" w:color="auto" w:fill="auto"/>
            <w:noWrap/>
            <w:vAlign w:val="center"/>
          </w:tcPr>
          <w:p w14:paraId="6DA93DC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10B2D34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2.66</w:t>
            </w:r>
          </w:p>
        </w:tc>
        <w:tc>
          <w:tcPr>
            <w:tcW w:w="868" w:type="pct"/>
            <w:shd w:val="clear" w:color="auto" w:fill="auto"/>
            <w:noWrap/>
            <w:vAlign w:val="center"/>
          </w:tcPr>
          <w:p w14:paraId="3761282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22082903</w:t>
            </w:r>
          </w:p>
        </w:tc>
        <w:tc>
          <w:tcPr>
            <w:tcW w:w="569" w:type="pct"/>
            <w:shd w:val="clear" w:color="auto" w:fill="auto"/>
            <w:noWrap/>
            <w:vAlign w:val="center"/>
          </w:tcPr>
          <w:p w14:paraId="254F6C8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7303BF53">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71CFC12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4192F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6C1A2AF7">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42EF32F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区域最大值</w:t>
            </w:r>
          </w:p>
        </w:tc>
        <w:tc>
          <w:tcPr>
            <w:tcW w:w="569" w:type="pct"/>
            <w:shd w:val="clear" w:color="auto" w:fill="auto"/>
            <w:noWrap/>
            <w:vAlign w:val="center"/>
          </w:tcPr>
          <w:p w14:paraId="6D8374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671401E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17.63</w:t>
            </w:r>
          </w:p>
        </w:tc>
        <w:tc>
          <w:tcPr>
            <w:tcW w:w="868" w:type="pct"/>
            <w:shd w:val="clear" w:color="auto" w:fill="auto"/>
            <w:noWrap/>
            <w:vAlign w:val="center"/>
          </w:tcPr>
          <w:p w14:paraId="059AE1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22111017</w:t>
            </w:r>
          </w:p>
        </w:tc>
        <w:tc>
          <w:tcPr>
            <w:tcW w:w="569" w:type="pct"/>
            <w:shd w:val="clear" w:color="auto" w:fill="auto"/>
            <w:noWrap/>
            <w:vAlign w:val="center"/>
          </w:tcPr>
          <w:p w14:paraId="21D9179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206B9A7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5B114BB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5FB73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restart"/>
            <w:shd w:val="clear" w:color="auto" w:fill="auto"/>
            <w:noWrap/>
            <w:vAlign w:val="center"/>
          </w:tcPr>
          <w:p w14:paraId="3DBB2C8B">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钴及</w:t>
            </w:r>
          </w:p>
          <w:p w14:paraId="50A89A0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其化</w:t>
            </w:r>
          </w:p>
          <w:p w14:paraId="6F28D31B">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合物</w:t>
            </w:r>
          </w:p>
        </w:tc>
        <w:tc>
          <w:tcPr>
            <w:tcW w:w="1016" w:type="pct"/>
            <w:shd w:val="clear" w:color="auto" w:fill="auto"/>
            <w:noWrap/>
            <w:vAlign w:val="center"/>
          </w:tcPr>
          <w:p w14:paraId="0C379C3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569" w:type="pct"/>
            <w:shd w:val="clear" w:color="auto" w:fill="auto"/>
            <w:noWrap/>
            <w:vAlign w:val="center"/>
          </w:tcPr>
          <w:p w14:paraId="4C71732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375B725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2.1321</w:t>
            </w:r>
          </w:p>
        </w:tc>
        <w:tc>
          <w:tcPr>
            <w:tcW w:w="868" w:type="pct"/>
            <w:shd w:val="clear" w:color="auto" w:fill="auto"/>
            <w:noWrap/>
            <w:vAlign w:val="center"/>
          </w:tcPr>
          <w:p w14:paraId="4A3E3EE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22030409</w:t>
            </w:r>
          </w:p>
        </w:tc>
        <w:tc>
          <w:tcPr>
            <w:tcW w:w="569" w:type="pct"/>
            <w:shd w:val="clear" w:color="auto" w:fill="auto"/>
            <w:noWrap/>
            <w:vAlign w:val="center"/>
          </w:tcPr>
          <w:p w14:paraId="5100392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109E469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2307077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73B0D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11E6ABB3">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9559A6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4411AAA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569" w:type="pct"/>
            <w:shd w:val="clear" w:color="auto" w:fill="auto"/>
            <w:noWrap/>
            <w:vAlign w:val="center"/>
          </w:tcPr>
          <w:p w14:paraId="74CD845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B5AE1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3.1467</w:t>
            </w:r>
          </w:p>
        </w:tc>
        <w:tc>
          <w:tcPr>
            <w:tcW w:w="868" w:type="pct"/>
            <w:shd w:val="clear" w:color="auto" w:fill="auto"/>
            <w:noWrap/>
            <w:vAlign w:val="center"/>
          </w:tcPr>
          <w:p w14:paraId="387AD16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22112717</w:t>
            </w:r>
          </w:p>
        </w:tc>
        <w:tc>
          <w:tcPr>
            <w:tcW w:w="569" w:type="pct"/>
            <w:shd w:val="clear" w:color="auto" w:fill="auto"/>
            <w:noWrap/>
            <w:vAlign w:val="center"/>
          </w:tcPr>
          <w:p w14:paraId="5AC03B4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1BAEEAFC">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2079975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2A883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626D864D">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1EC62AF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569" w:type="pct"/>
            <w:shd w:val="clear" w:color="auto" w:fill="auto"/>
            <w:noWrap/>
            <w:vAlign w:val="center"/>
          </w:tcPr>
          <w:p w14:paraId="336BFEC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511A147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1.9317</w:t>
            </w:r>
          </w:p>
        </w:tc>
        <w:tc>
          <w:tcPr>
            <w:tcW w:w="868" w:type="pct"/>
            <w:shd w:val="clear" w:color="auto" w:fill="auto"/>
            <w:noWrap/>
            <w:vAlign w:val="center"/>
          </w:tcPr>
          <w:p w14:paraId="708F58C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22082520</w:t>
            </w:r>
          </w:p>
        </w:tc>
        <w:tc>
          <w:tcPr>
            <w:tcW w:w="569" w:type="pct"/>
            <w:shd w:val="clear" w:color="auto" w:fill="auto"/>
            <w:noWrap/>
            <w:vAlign w:val="center"/>
          </w:tcPr>
          <w:p w14:paraId="464E357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4167033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27F2D954">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4E47F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462D6483">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675BE5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569" w:type="pct"/>
            <w:shd w:val="clear" w:color="auto" w:fill="auto"/>
            <w:noWrap/>
            <w:vAlign w:val="center"/>
          </w:tcPr>
          <w:p w14:paraId="7E141E1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64D4512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3.1227</w:t>
            </w:r>
          </w:p>
        </w:tc>
        <w:tc>
          <w:tcPr>
            <w:tcW w:w="868" w:type="pct"/>
            <w:shd w:val="clear" w:color="auto" w:fill="auto"/>
            <w:noWrap/>
            <w:vAlign w:val="center"/>
          </w:tcPr>
          <w:p w14:paraId="403ACA9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22110717</w:t>
            </w:r>
          </w:p>
        </w:tc>
        <w:tc>
          <w:tcPr>
            <w:tcW w:w="569" w:type="pct"/>
            <w:shd w:val="clear" w:color="auto" w:fill="auto"/>
            <w:noWrap/>
            <w:vAlign w:val="center"/>
          </w:tcPr>
          <w:p w14:paraId="2A7AF93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4AB8991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26D4D6F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3328C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A0EA19B">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E5A912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569" w:type="pct"/>
            <w:shd w:val="clear" w:color="auto" w:fill="auto"/>
            <w:noWrap/>
            <w:vAlign w:val="center"/>
          </w:tcPr>
          <w:p w14:paraId="537F307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517391B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2.7338</w:t>
            </w:r>
          </w:p>
        </w:tc>
        <w:tc>
          <w:tcPr>
            <w:tcW w:w="868" w:type="pct"/>
            <w:shd w:val="clear" w:color="auto" w:fill="auto"/>
            <w:noWrap/>
            <w:vAlign w:val="center"/>
          </w:tcPr>
          <w:p w14:paraId="59A9C15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22081021</w:t>
            </w:r>
          </w:p>
        </w:tc>
        <w:tc>
          <w:tcPr>
            <w:tcW w:w="569" w:type="pct"/>
            <w:shd w:val="clear" w:color="auto" w:fill="auto"/>
            <w:noWrap/>
            <w:vAlign w:val="center"/>
          </w:tcPr>
          <w:p w14:paraId="606B18B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07A03D3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295814F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54C0C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FAE1D53">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15A7C43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东港区第一幼儿园</w:t>
            </w:r>
          </w:p>
        </w:tc>
        <w:tc>
          <w:tcPr>
            <w:tcW w:w="569" w:type="pct"/>
            <w:shd w:val="clear" w:color="auto" w:fill="auto"/>
            <w:noWrap/>
            <w:vAlign w:val="center"/>
          </w:tcPr>
          <w:p w14:paraId="601FE56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42B13FD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2.2727</w:t>
            </w:r>
          </w:p>
        </w:tc>
        <w:tc>
          <w:tcPr>
            <w:tcW w:w="868" w:type="pct"/>
            <w:shd w:val="clear" w:color="auto" w:fill="auto"/>
            <w:noWrap/>
            <w:vAlign w:val="center"/>
          </w:tcPr>
          <w:p w14:paraId="24EB129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22071907</w:t>
            </w:r>
          </w:p>
        </w:tc>
        <w:tc>
          <w:tcPr>
            <w:tcW w:w="569" w:type="pct"/>
            <w:shd w:val="clear" w:color="auto" w:fill="auto"/>
            <w:noWrap/>
            <w:vAlign w:val="center"/>
          </w:tcPr>
          <w:p w14:paraId="6936065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589F559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73A3249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164E3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036DF013">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2B9FB0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569" w:type="pct"/>
            <w:shd w:val="clear" w:color="auto" w:fill="auto"/>
            <w:noWrap/>
            <w:vAlign w:val="center"/>
          </w:tcPr>
          <w:p w14:paraId="2852DAB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D9CC8C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2.4084</w:t>
            </w:r>
          </w:p>
        </w:tc>
        <w:tc>
          <w:tcPr>
            <w:tcW w:w="868" w:type="pct"/>
            <w:shd w:val="clear" w:color="auto" w:fill="auto"/>
            <w:noWrap/>
            <w:vAlign w:val="center"/>
          </w:tcPr>
          <w:p w14:paraId="52CEC27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569" w:type="pct"/>
            <w:shd w:val="clear" w:color="auto" w:fill="auto"/>
            <w:noWrap/>
            <w:vAlign w:val="center"/>
          </w:tcPr>
          <w:p w14:paraId="6107696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74649A1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5279661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31C24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51A5BE5C">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E84B34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569" w:type="pct"/>
            <w:shd w:val="clear" w:color="auto" w:fill="auto"/>
            <w:noWrap/>
            <w:vAlign w:val="center"/>
          </w:tcPr>
          <w:p w14:paraId="23DF6FA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4DCC56D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2.162</w:t>
            </w:r>
          </w:p>
        </w:tc>
        <w:tc>
          <w:tcPr>
            <w:tcW w:w="868" w:type="pct"/>
            <w:shd w:val="clear" w:color="auto" w:fill="auto"/>
            <w:noWrap/>
            <w:vAlign w:val="center"/>
          </w:tcPr>
          <w:p w14:paraId="332BDD1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22071419</w:t>
            </w:r>
          </w:p>
        </w:tc>
        <w:tc>
          <w:tcPr>
            <w:tcW w:w="569" w:type="pct"/>
            <w:shd w:val="clear" w:color="auto" w:fill="auto"/>
            <w:noWrap/>
            <w:vAlign w:val="center"/>
          </w:tcPr>
          <w:p w14:paraId="34CD2ED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3E8AE17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70F9947C">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7622A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043508A0">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019889D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569" w:type="pct"/>
            <w:shd w:val="clear" w:color="auto" w:fill="auto"/>
            <w:noWrap/>
            <w:vAlign w:val="center"/>
          </w:tcPr>
          <w:p w14:paraId="53ECBAE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3BCBC3F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1.9711</w:t>
            </w:r>
          </w:p>
        </w:tc>
        <w:tc>
          <w:tcPr>
            <w:tcW w:w="868" w:type="pct"/>
            <w:shd w:val="clear" w:color="auto" w:fill="auto"/>
            <w:noWrap/>
            <w:vAlign w:val="center"/>
          </w:tcPr>
          <w:p w14:paraId="1329533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569" w:type="pct"/>
            <w:shd w:val="clear" w:color="auto" w:fill="auto"/>
            <w:noWrap/>
            <w:vAlign w:val="center"/>
          </w:tcPr>
          <w:p w14:paraId="336B1EB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2F85CD8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3B2ADB0F">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559CD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29E9D8B4">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0B2B41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569" w:type="pct"/>
            <w:shd w:val="clear" w:color="auto" w:fill="auto"/>
            <w:noWrap/>
            <w:vAlign w:val="center"/>
          </w:tcPr>
          <w:p w14:paraId="158D782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6F46E2C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2.2923</w:t>
            </w:r>
          </w:p>
        </w:tc>
        <w:tc>
          <w:tcPr>
            <w:tcW w:w="868" w:type="pct"/>
            <w:shd w:val="clear" w:color="auto" w:fill="auto"/>
            <w:noWrap/>
            <w:vAlign w:val="center"/>
          </w:tcPr>
          <w:p w14:paraId="0D75F29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569" w:type="pct"/>
            <w:shd w:val="clear" w:color="auto" w:fill="auto"/>
            <w:noWrap/>
            <w:vAlign w:val="center"/>
          </w:tcPr>
          <w:p w14:paraId="00E925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0B41863B">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6BC73DD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6396C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7CFBC9C8">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6278FBA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569" w:type="pct"/>
            <w:shd w:val="clear" w:color="auto" w:fill="auto"/>
            <w:noWrap/>
            <w:vAlign w:val="center"/>
          </w:tcPr>
          <w:p w14:paraId="565C567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2F6F0B8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1.9888</w:t>
            </w:r>
          </w:p>
        </w:tc>
        <w:tc>
          <w:tcPr>
            <w:tcW w:w="868" w:type="pct"/>
            <w:shd w:val="clear" w:color="auto" w:fill="auto"/>
            <w:noWrap/>
            <w:vAlign w:val="center"/>
          </w:tcPr>
          <w:p w14:paraId="5219CEC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22072404</w:t>
            </w:r>
          </w:p>
        </w:tc>
        <w:tc>
          <w:tcPr>
            <w:tcW w:w="569" w:type="pct"/>
            <w:shd w:val="clear" w:color="auto" w:fill="auto"/>
            <w:noWrap/>
            <w:vAlign w:val="center"/>
          </w:tcPr>
          <w:p w14:paraId="431F4E0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2300A421">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6AA5541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35B3C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2B695D7F">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04348AE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6EC1C1D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569" w:type="pct"/>
            <w:shd w:val="clear" w:color="auto" w:fill="auto"/>
            <w:noWrap/>
            <w:vAlign w:val="center"/>
          </w:tcPr>
          <w:p w14:paraId="1A3653F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313FCBC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2.2595</w:t>
            </w:r>
          </w:p>
        </w:tc>
        <w:tc>
          <w:tcPr>
            <w:tcW w:w="868" w:type="pct"/>
            <w:shd w:val="clear" w:color="auto" w:fill="auto"/>
            <w:noWrap/>
            <w:vAlign w:val="center"/>
          </w:tcPr>
          <w:p w14:paraId="777948B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22083121</w:t>
            </w:r>
          </w:p>
        </w:tc>
        <w:tc>
          <w:tcPr>
            <w:tcW w:w="569" w:type="pct"/>
            <w:shd w:val="clear" w:color="auto" w:fill="auto"/>
            <w:noWrap/>
            <w:vAlign w:val="center"/>
          </w:tcPr>
          <w:p w14:paraId="02E8646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73295CBB">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0273F61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1B710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4DF1EDED">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541827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569" w:type="pct"/>
            <w:shd w:val="clear" w:color="auto" w:fill="auto"/>
            <w:noWrap/>
            <w:vAlign w:val="center"/>
          </w:tcPr>
          <w:p w14:paraId="4D3752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5E75D27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2.1117</w:t>
            </w:r>
          </w:p>
        </w:tc>
        <w:tc>
          <w:tcPr>
            <w:tcW w:w="868" w:type="pct"/>
            <w:shd w:val="clear" w:color="auto" w:fill="auto"/>
            <w:noWrap/>
            <w:vAlign w:val="center"/>
          </w:tcPr>
          <w:p w14:paraId="69184D8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22110717</w:t>
            </w:r>
          </w:p>
        </w:tc>
        <w:tc>
          <w:tcPr>
            <w:tcW w:w="569" w:type="pct"/>
            <w:shd w:val="clear" w:color="auto" w:fill="auto"/>
            <w:noWrap/>
            <w:vAlign w:val="center"/>
          </w:tcPr>
          <w:p w14:paraId="6462877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32F390C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45063D7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5C24A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59E34E3A">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003CE91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569" w:type="pct"/>
            <w:shd w:val="clear" w:color="auto" w:fill="auto"/>
            <w:noWrap/>
            <w:vAlign w:val="center"/>
          </w:tcPr>
          <w:p w14:paraId="3BC66E3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467F3EE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1.9218</w:t>
            </w:r>
          </w:p>
        </w:tc>
        <w:tc>
          <w:tcPr>
            <w:tcW w:w="868" w:type="pct"/>
            <w:shd w:val="clear" w:color="auto" w:fill="auto"/>
            <w:noWrap/>
            <w:vAlign w:val="center"/>
          </w:tcPr>
          <w:p w14:paraId="1A9CDCA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22111621</w:t>
            </w:r>
          </w:p>
        </w:tc>
        <w:tc>
          <w:tcPr>
            <w:tcW w:w="569" w:type="pct"/>
            <w:shd w:val="clear" w:color="auto" w:fill="auto"/>
            <w:noWrap/>
            <w:vAlign w:val="center"/>
          </w:tcPr>
          <w:p w14:paraId="0EC9465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5A9B308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0EA146C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30F3D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0659D4F7">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3F4BABE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569" w:type="pct"/>
            <w:shd w:val="clear" w:color="auto" w:fill="auto"/>
            <w:noWrap/>
            <w:vAlign w:val="center"/>
          </w:tcPr>
          <w:p w14:paraId="550F4C4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46EF48C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1.9043</w:t>
            </w:r>
          </w:p>
        </w:tc>
        <w:tc>
          <w:tcPr>
            <w:tcW w:w="868" w:type="pct"/>
            <w:shd w:val="clear" w:color="auto" w:fill="auto"/>
            <w:noWrap/>
            <w:vAlign w:val="center"/>
          </w:tcPr>
          <w:p w14:paraId="64C8624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22102721</w:t>
            </w:r>
          </w:p>
        </w:tc>
        <w:tc>
          <w:tcPr>
            <w:tcW w:w="569" w:type="pct"/>
            <w:shd w:val="clear" w:color="auto" w:fill="auto"/>
            <w:noWrap/>
            <w:vAlign w:val="center"/>
          </w:tcPr>
          <w:p w14:paraId="766ED8B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157BE029">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4C53411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4FAD2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1592EDC9">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40B8E4F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569" w:type="pct"/>
            <w:shd w:val="clear" w:color="auto" w:fill="auto"/>
            <w:noWrap/>
            <w:vAlign w:val="center"/>
          </w:tcPr>
          <w:p w14:paraId="1035241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61B53A1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1.8919</w:t>
            </w:r>
          </w:p>
        </w:tc>
        <w:tc>
          <w:tcPr>
            <w:tcW w:w="868" w:type="pct"/>
            <w:shd w:val="clear" w:color="auto" w:fill="auto"/>
            <w:noWrap/>
            <w:vAlign w:val="center"/>
          </w:tcPr>
          <w:p w14:paraId="0082CB7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22032007</w:t>
            </w:r>
          </w:p>
        </w:tc>
        <w:tc>
          <w:tcPr>
            <w:tcW w:w="569" w:type="pct"/>
            <w:shd w:val="clear" w:color="auto" w:fill="auto"/>
            <w:noWrap/>
            <w:vAlign w:val="center"/>
          </w:tcPr>
          <w:p w14:paraId="34C3794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4A1080B8">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7626F5B5">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56F11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40D5FD2B">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6C5E1E8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569" w:type="pct"/>
            <w:shd w:val="clear" w:color="auto" w:fill="auto"/>
            <w:noWrap/>
            <w:vAlign w:val="center"/>
          </w:tcPr>
          <w:p w14:paraId="71C52A6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33F9A9A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1.7506</w:t>
            </w:r>
          </w:p>
        </w:tc>
        <w:tc>
          <w:tcPr>
            <w:tcW w:w="868" w:type="pct"/>
            <w:shd w:val="clear" w:color="auto" w:fill="auto"/>
            <w:noWrap/>
            <w:vAlign w:val="center"/>
          </w:tcPr>
          <w:p w14:paraId="0BED867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22091606</w:t>
            </w:r>
          </w:p>
        </w:tc>
        <w:tc>
          <w:tcPr>
            <w:tcW w:w="569" w:type="pct"/>
            <w:shd w:val="clear" w:color="auto" w:fill="auto"/>
            <w:noWrap/>
            <w:vAlign w:val="center"/>
          </w:tcPr>
          <w:p w14:paraId="324B67A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11D554C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40214216">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7F627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79BB52EE">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2269681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569" w:type="pct"/>
            <w:shd w:val="clear" w:color="auto" w:fill="auto"/>
            <w:noWrap/>
            <w:vAlign w:val="center"/>
          </w:tcPr>
          <w:p w14:paraId="40CA853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34660A9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1.6877</w:t>
            </w:r>
          </w:p>
        </w:tc>
        <w:tc>
          <w:tcPr>
            <w:tcW w:w="868" w:type="pct"/>
            <w:shd w:val="clear" w:color="auto" w:fill="auto"/>
            <w:noWrap/>
            <w:vAlign w:val="center"/>
          </w:tcPr>
          <w:p w14:paraId="49B11AB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22082523</w:t>
            </w:r>
          </w:p>
        </w:tc>
        <w:tc>
          <w:tcPr>
            <w:tcW w:w="569" w:type="pct"/>
            <w:shd w:val="clear" w:color="auto" w:fill="auto"/>
            <w:noWrap/>
            <w:vAlign w:val="center"/>
          </w:tcPr>
          <w:p w14:paraId="2A5BEDB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23BABD7A">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4E03B5CE">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3C4C3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7FFF7239">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05CDF19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569" w:type="pct"/>
            <w:shd w:val="clear" w:color="auto" w:fill="auto"/>
            <w:noWrap/>
            <w:vAlign w:val="center"/>
          </w:tcPr>
          <w:p w14:paraId="48BAE61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4519897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1.9301</w:t>
            </w:r>
          </w:p>
        </w:tc>
        <w:tc>
          <w:tcPr>
            <w:tcW w:w="868" w:type="pct"/>
            <w:shd w:val="clear" w:color="auto" w:fill="auto"/>
            <w:noWrap/>
            <w:vAlign w:val="center"/>
          </w:tcPr>
          <w:p w14:paraId="7FBCAD1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569" w:type="pct"/>
            <w:shd w:val="clear" w:color="auto" w:fill="auto"/>
            <w:noWrap/>
            <w:vAlign w:val="center"/>
          </w:tcPr>
          <w:p w14:paraId="044A4BE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314E2433">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1DCF7F1D">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5DF93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524F90C7">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172035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569" w:type="pct"/>
            <w:shd w:val="clear" w:color="auto" w:fill="auto"/>
            <w:noWrap/>
            <w:vAlign w:val="center"/>
          </w:tcPr>
          <w:p w14:paraId="1DF6699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113E531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1.6496</w:t>
            </w:r>
          </w:p>
        </w:tc>
        <w:tc>
          <w:tcPr>
            <w:tcW w:w="868" w:type="pct"/>
            <w:shd w:val="clear" w:color="auto" w:fill="auto"/>
            <w:noWrap/>
            <w:vAlign w:val="center"/>
          </w:tcPr>
          <w:p w14:paraId="1F05CBB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22082903</w:t>
            </w:r>
          </w:p>
        </w:tc>
        <w:tc>
          <w:tcPr>
            <w:tcW w:w="569" w:type="pct"/>
            <w:shd w:val="clear" w:color="auto" w:fill="auto"/>
            <w:noWrap/>
            <w:vAlign w:val="center"/>
          </w:tcPr>
          <w:p w14:paraId="3C6597E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20806F80">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7A425664">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4FF96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C1F3266">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13DD4EEB">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区域最大值</w:t>
            </w:r>
          </w:p>
        </w:tc>
        <w:tc>
          <w:tcPr>
            <w:tcW w:w="569" w:type="pct"/>
            <w:shd w:val="clear" w:color="auto" w:fill="auto"/>
            <w:noWrap/>
            <w:vAlign w:val="center"/>
          </w:tcPr>
          <w:p w14:paraId="2C295B5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49A328B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10.9442</w:t>
            </w:r>
          </w:p>
        </w:tc>
        <w:tc>
          <w:tcPr>
            <w:tcW w:w="868" w:type="pct"/>
            <w:shd w:val="clear" w:color="auto" w:fill="auto"/>
            <w:noWrap/>
            <w:vAlign w:val="center"/>
          </w:tcPr>
          <w:p w14:paraId="135E198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22111017</w:t>
            </w:r>
          </w:p>
        </w:tc>
        <w:tc>
          <w:tcPr>
            <w:tcW w:w="569" w:type="pct"/>
            <w:shd w:val="clear" w:color="auto" w:fill="auto"/>
            <w:noWrap/>
            <w:vAlign w:val="center"/>
          </w:tcPr>
          <w:p w14:paraId="1C06EF9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无标准</w:t>
            </w:r>
          </w:p>
        </w:tc>
        <w:tc>
          <w:tcPr>
            <w:tcW w:w="465" w:type="pct"/>
            <w:shd w:val="clear" w:color="auto" w:fill="auto"/>
            <w:noWrap/>
            <w:vAlign w:val="center"/>
          </w:tcPr>
          <w:p w14:paraId="51235F7B">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c>
          <w:tcPr>
            <w:tcW w:w="569" w:type="pct"/>
            <w:shd w:val="clear" w:color="auto" w:fill="auto"/>
            <w:noWrap/>
            <w:vAlign w:val="center"/>
          </w:tcPr>
          <w:p w14:paraId="5512DEC7">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w:t>
            </w:r>
          </w:p>
        </w:tc>
      </w:tr>
      <w:tr w14:paraId="1B3DF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restart"/>
            <w:shd w:val="clear" w:color="auto" w:fill="auto"/>
            <w:noWrap/>
            <w:vAlign w:val="center"/>
          </w:tcPr>
          <w:p w14:paraId="2D8294F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氨气</w:t>
            </w:r>
          </w:p>
        </w:tc>
        <w:tc>
          <w:tcPr>
            <w:tcW w:w="1016" w:type="pct"/>
            <w:shd w:val="clear" w:color="auto" w:fill="auto"/>
            <w:noWrap/>
            <w:vAlign w:val="center"/>
          </w:tcPr>
          <w:p w14:paraId="059A695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鸡墩头村</w:t>
            </w:r>
          </w:p>
        </w:tc>
        <w:tc>
          <w:tcPr>
            <w:tcW w:w="569" w:type="pct"/>
            <w:shd w:val="clear" w:color="auto" w:fill="auto"/>
            <w:noWrap/>
            <w:vAlign w:val="center"/>
          </w:tcPr>
          <w:p w14:paraId="0FC796E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76F5F30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42.5</w:t>
            </w:r>
          </w:p>
        </w:tc>
        <w:tc>
          <w:tcPr>
            <w:tcW w:w="868" w:type="pct"/>
            <w:shd w:val="clear" w:color="auto" w:fill="auto"/>
            <w:noWrap/>
            <w:vAlign w:val="center"/>
          </w:tcPr>
          <w:p w14:paraId="5478B00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22052007</w:t>
            </w:r>
          </w:p>
        </w:tc>
        <w:tc>
          <w:tcPr>
            <w:tcW w:w="569" w:type="pct"/>
            <w:shd w:val="clear" w:color="auto" w:fill="auto"/>
            <w:noWrap/>
            <w:vAlign w:val="center"/>
          </w:tcPr>
          <w:p w14:paraId="3505D2C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3B74457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21.25</w:t>
            </w:r>
          </w:p>
        </w:tc>
        <w:tc>
          <w:tcPr>
            <w:tcW w:w="569" w:type="pct"/>
            <w:shd w:val="clear" w:color="auto" w:fill="auto"/>
            <w:noWrap/>
            <w:vAlign w:val="center"/>
          </w:tcPr>
          <w:p w14:paraId="769A5F1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E0E5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27160FF">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42A2DA3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7C9A906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第五小学</w:t>
            </w:r>
          </w:p>
        </w:tc>
        <w:tc>
          <w:tcPr>
            <w:tcW w:w="569" w:type="pct"/>
            <w:shd w:val="clear" w:color="auto" w:fill="auto"/>
            <w:noWrap/>
            <w:vAlign w:val="center"/>
          </w:tcPr>
          <w:p w14:paraId="50A2952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84031C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43.81</w:t>
            </w:r>
          </w:p>
        </w:tc>
        <w:tc>
          <w:tcPr>
            <w:tcW w:w="868" w:type="pct"/>
            <w:shd w:val="clear" w:color="auto" w:fill="auto"/>
            <w:noWrap/>
            <w:vAlign w:val="center"/>
          </w:tcPr>
          <w:p w14:paraId="21C1DBB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22111621</w:t>
            </w:r>
          </w:p>
        </w:tc>
        <w:tc>
          <w:tcPr>
            <w:tcW w:w="569" w:type="pct"/>
            <w:shd w:val="clear" w:color="auto" w:fill="auto"/>
            <w:noWrap/>
            <w:vAlign w:val="center"/>
          </w:tcPr>
          <w:p w14:paraId="25168EB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6D6EB6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21.91</w:t>
            </w:r>
          </w:p>
        </w:tc>
        <w:tc>
          <w:tcPr>
            <w:tcW w:w="569" w:type="pct"/>
            <w:shd w:val="clear" w:color="auto" w:fill="auto"/>
            <w:noWrap/>
            <w:vAlign w:val="center"/>
          </w:tcPr>
          <w:p w14:paraId="4B53EF4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2AC0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736D6EC">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4DDFE21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过路山村</w:t>
            </w:r>
          </w:p>
        </w:tc>
        <w:tc>
          <w:tcPr>
            <w:tcW w:w="569" w:type="pct"/>
            <w:shd w:val="clear" w:color="auto" w:fill="auto"/>
            <w:noWrap/>
            <w:vAlign w:val="center"/>
          </w:tcPr>
          <w:p w14:paraId="20F17BB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6B2358B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26.18</w:t>
            </w:r>
          </w:p>
        </w:tc>
        <w:tc>
          <w:tcPr>
            <w:tcW w:w="868" w:type="pct"/>
            <w:shd w:val="clear" w:color="auto" w:fill="auto"/>
            <w:noWrap/>
            <w:vAlign w:val="center"/>
          </w:tcPr>
          <w:p w14:paraId="460F6AC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22052807</w:t>
            </w:r>
          </w:p>
        </w:tc>
        <w:tc>
          <w:tcPr>
            <w:tcW w:w="569" w:type="pct"/>
            <w:shd w:val="clear" w:color="auto" w:fill="auto"/>
            <w:noWrap/>
            <w:vAlign w:val="center"/>
          </w:tcPr>
          <w:p w14:paraId="587F34C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23184E6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13.09</w:t>
            </w:r>
          </w:p>
        </w:tc>
        <w:tc>
          <w:tcPr>
            <w:tcW w:w="569" w:type="pct"/>
            <w:shd w:val="clear" w:color="auto" w:fill="auto"/>
            <w:noWrap/>
            <w:vAlign w:val="center"/>
          </w:tcPr>
          <w:p w14:paraId="76854B7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4E01B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4DD9DA70">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399DD9E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上硫磺山村</w:t>
            </w:r>
          </w:p>
        </w:tc>
        <w:tc>
          <w:tcPr>
            <w:tcW w:w="569" w:type="pct"/>
            <w:shd w:val="clear" w:color="auto" w:fill="auto"/>
            <w:noWrap/>
            <w:vAlign w:val="center"/>
          </w:tcPr>
          <w:p w14:paraId="77BE076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502EDDF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54.19</w:t>
            </w:r>
          </w:p>
        </w:tc>
        <w:tc>
          <w:tcPr>
            <w:tcW w:w="868" w:type="pct"/>
            <w:shd w:val="clear" w:color="auto" w:fill="auto"/>
            <w:noWrap/>
            <w:vAlign w:val="center"/>
          </w:tcPr>
          <w:p w14:paraId="310768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22091605</w:t>
            </w:r>
          </w:p>
        </w:tc>
        <w:tc>
          <w:tcPr>
            <w:tcW w:w="569" w:type="pct"/>
            <w:shd w:val="clear" w:color="auto" w:fill="auto"/>
            <w:noWrap/>
            <w:vAlign w:val="center"/>
          </w:tcPr>
          <w:p w14:paraId="0450945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2258152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27.1</w:t>
            </w:r>
          </w:p>
        </w:tc>
        <w:tc>
          <w:tcPr>
            <w:tcW w:w="569" w:type="pct"/>
            <w:shd w:val="clear" w:color="auto" w:fill="auto"/>
            <w:noWrap/>
            <w:vAlign w:val="center"/>
          </w:tcPr>
          <w:p w14:paraId="282FD4C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7BDC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41539AE">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2D5284F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下硫磺山村</w:t>
            </w:r>
          </w:p>
        </w:tc>
        <w:tc>
          <w:tcPr>
            <w:tcW w:w="569" w:type="pct"/>
            <w:shd w:val="clear" w:color="auto" w:fill="auto"/>
            <w:noWrap/>
            <w:vAlign w:val="center"/>
          </w:tcPr>
          <w:p w14:paraId="51C4509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7353E48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67.83</w:t>
            </w:r>
          </w:p>
        </w:tc>
        <w:tc>
          <w:tcPr>
            <w:tcW w:w="868" w:type="pct"/>
            <w:shd w:val="clear" w:color="auto" w:fill="auto"/>
            <w:noWrap/>
            <w:vAlign w:val="center"/>
          </w:tcPr>
          <w:p w14:paraId="7471FF2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22080620</w:t>
            </w:r>
          </w:p>
        </w:tc>
        <w:tc>
          <w:tcPr>
            <w:tcW w:w="569" w:type="pct"/>
            <w:shd w:val="clear" w:color="auto" w:fill="auto"/>
            <w:noWrap/>
            <w:vAlign w:val="center"/>
          </w:tcPr>
          <w:p w14:paraId="54576B2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38B61F6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33.92</w:t>
            </w:r>
          </w:p>
        </w:tc>
        <w:tc>
          <w:tcPr>
            <w:tcW w:w="569" w:type="pct"/>
            <w:shd w:val="clear" w:color="auto" w:fill="auto"/>
            <w:noWrap/>
            <w:vAlign w:val="center"/>
          </w:tcPr>
          <w:p w14:paraId="3DE00F7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5A8C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27C2AD3F">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727D1BE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东港区第一幼儿园</w:t>
            </w:r>
          </w:p>
        </w:tc>
        <w:tc>
          <w:tcPr>
            <w:tcW w:w="569" w:type="pct"/>
            <w:shd w:val="clear" w:color="auto" w:fill="auto"/>
            <w:noWrap/>
            <w:vAlign w:val="center"/>
          </w:tcPr>
          <w:p w14:paraId="44A575B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1AA0E77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45.34</w:t>
            </w:r>
          </w:p>
        </w:tc>
        <w:tc>
          <w:tcPr>
            <w:tcW w:w="868" w:type="pct"/>
            <w:shd w:val="clear" w:color="auto" w:fill="auto"/>
            <w:noWrap/>
            <w:vAlign w:val="center"/>
          </w:tcPr>
          <w:p w14:paraId="29DB68E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22051105</w:t>
            </w:r>
          </w:p>
        </w:tc>
        <w:tc>
          <w:tcPr>
            <w:tcW w:w="569" w:type="pct"/>
            <w:shd w:val="clear" w:color="auto" w:fill="auto"/>
            <w:noWrap/>
            <w:vAlign w:val="center"/>
          </w:tcPr>
          <w:p w14:paraId="6153A4F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60EC125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22.67</w:t>
            </w:r>
          </w:p>
        </w:tc>
        <w:tc>
          <w:tcPr>
            <w:tcW w:w="569" w:type="pct"/>
            <w:shd w:val="clear" w:color="auto" w:fill="auto"/>
            <w:noWrap/>
            <w:vAlign w:val="center"/>
          </w:tcPr>
          <w:p w14:paraId="5B88441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5A737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06F951BD">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25C17EE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硫磺山村</w:t>
            </w:r>
          </w:p>
        </w:tc>
        <w:tc>
          <w:tcPr>
            <w:tcW w:w="569" w:type="pct"/>
            <w:shd w:val="clear" w:color="auto" w:fill="auto"/>
            <w:noWrap/>
            <w:vAlign w:val="center"/>
          </w:tcPr>
          <w:p w14:paraId="0B2E231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404BB3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66.39</w:t>
            </w:r>
          </w:p>
        </w:tc>
        <w:tc>
          <w:tcPr>
            <w:tcW w:w="868" w:type="pct"/>
            <w:shd w:val="clear" w:color="auto" w:fill="auto"/>
            <w:noWrap/>
            <w:vAlign w:val="center"/>
          </w:tcPr>
          <w:p w14:paraId="448E031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22082424</w:t>
            </w:r>
          </w:p>
        </w:tc>
        <w:tc>
          <w:tcPr>
            <w:tcW w:w="569" w:type="pct"/>
            <w:shd w:val="clear" w:color="auto" w:fill="auto"/>
            <w:noWrap/>
            <w:vAlign w:val="center"/>
          </w:tcPr>
          <w:p w14:paraId="171A783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6D8248B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33.19</w:t>
            </w:r>
          </w:p>
        </w:tc>
        <w:tc>
          <w:tcPr>
            <w:tcW w:w="569" w:type="pct"/>
            <w:shd w:val="clear" w:color="auto" w:fill="auto"/>
            <w:noWrap/>
            <w:vAlign w:val="center"/>
          </w:tcPr>
          <w:p w14:paraId="3A2C8E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EDD0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1B036370">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6C0A8F2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鲎泊潭村</w:t>
            </w:r>
          </w:p>
        </w:tc>
        <w:tc>
          <w:tcPr>
            <w:tcW w:w="569" w:type="pct"/>
            <w:shd w:val="clear" w:color="auto" w:fill="auto"/>
            <w:noWrap/>
            <w:vAlign w:val="center"/>
          </w:tcPr>
          <w:p w14:paraId="6C23F38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3A43ADF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36.37</w:t>
            </w:r>
          </w:p>
        </w:tc>
        <w:tc>
          <w:tcPr>
            <w:tcW w:w="868" w:type="pct"/>
            <w:shd w:val="clear" w:color="auto" w:fill="auto"/>
            <w:noWrap/>
            <w:vAlign w:val="center"/>
          </w:tcPr>
          <w:p w14:paraId="5175775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22052601</w:t>
            </w:r>
          </w:p>
        </w:tc>
        <w:tc>
          <w:tcPr>
            <w:tcW w:w="569" w:type="pct"/>
            <w:shd w:val="clear" w:color="auto" w:fill="auto"/>
            <w:noWrap/>
            <w:vAlign w:val="center"/>
          </w:tcPr>
          <w:p w14:paraId="226FBDD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33D393C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18.18</w:t>
            </w:r>
          </w:p>
        </w:tc>
        <w:tc>
          <w:tcPr>
            <w:tcW w:w="569" w:type="pct"/>
            <w:shd w:val="clear" w:color="auto" w:fill="auto"/>
            <w:noWrap/>
            <w:vAlign w:val="center"/>
          </w:tcPr>
          <w:p w14:paraId="56D9715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28B3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1809D22">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2E18FA4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港区中学</w:t>
            </w:r>
          </w:p>
        </w:tc>
        <w:tc>
          <w:tcPr>
            <w:tcW w:w="569" w:type="pct"/>
            <w:shd w:val="clear" w:color="auto" w:fill="auto"/>
            <w:noWrap/>
            <w:vAlign w:val="center"/>
          </w:tcPr>
          <w:p w14:paraId="0F46DA0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2C26FCA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130.67</w:t>
            </w:r>
          </w:p>
        </w:tc>
        <w:tc>
          <w:tcPr>
            <w:tcW w:w="868" w:type="pct"/>
            <w:shd w:val="clear" w:color="auto" w:fill="auto"/>
            <w:noWrap/>
            <w:vAlign w:val="center"/>
          </w:tcPr>
          <w:p w14:paraId="6EB7A91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22052702</w:t>
            </w:r>
          </w:p>
        </w:tc>
        <w:tc>
          <w:tcPr>
            <w:tcW w:w="569" w:type="pct"/>
            <w:shd w:val="clear" w:color="auto" w:fill="auto"/>
            <w:noWrap/>
            <w:vAlign w:val="center"/>
          </w:tcPr>
          <w:p w14:paraId="16E0004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2A775A9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65.34</w:t>
            </w:r>
          </w:p>
        </w:tc>
        <w:tc>
          <w:tcPr>
            <w:tcW w:w="569" w:type="pct"/>
            <w:shd w:val="clear" w:color="auto" w:fill="auto"/>
            <w:noWrap/>
            <w:vAlign w:val="center"/>
          </w:tcPr>
          <w:p w14:paraId="3FDA3E0C">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B9BB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21ACA0DF">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76A4554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新农村</w:t>
            </w:r>
          </w:p>
        </w:tc>
        <w:tc>
          <w:tcPr>
            <w:tcW w:w="569" w:type="pct"/>
            <w:shd w:val="clear" w:color="auto" w:fill="auto"/>
            <w:noWrap/>
            <w:vAlign w:val="center"/>
          </w:tcPr>
          <w:p w14:paraId="1967EBC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42CCA4E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65.38</w:t>
            </w:r>
          </w:p>
        </w:tc>
        <w:tc>
          <w:tcPr>
            <w:tcW w:w="868" w:type="pct"/>
            <w:shd w:val="clear" w:color="auto" w:fill="auto"/>
            <w:noWrap/>
            <w:vAlign w:val="center"/>
          </w:tcPr>
          <w:p w14:paraId="3FE0196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22082424</w:t>
            </w:r>
          </w:p>
        </w:tc>
        <w:tc>
          <w:tcPr>
            <w:tcW w:w="569" w:type="pct"/>
            <w:shd w:val="clear" w:color="auto" w:fill="auto"/>
            <w:noWrap/>
            <w:vAlign w:val="center"/>
          </w:tcPr>
          <w:p w14:paraId="133C31B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074BAEB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32.69</w:t>
            </w:r>
          </w:p>
        </w:tc>
        <w:tc>
          <w:tcPr>
            <w:tcW w:w="569" w:type="pct"/>
            <w:shd w:val="clear" w:color="auto" w:fill="auto"/>
            <w:noWrap/>
            <w:vAlign w:val="center"/>
          </w:tcPr>
          <w:p w14:paraId="7D79902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BA0D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60FEEC09">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2EB1F9D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老鸭坑村</w:t>
            </w:r>
          </w:p>
        </w:tc>
        <w:tc>
          <w:tcPr>
            <w:tcW w:w="569" w:type="pct"/>
            <w:shd w:val="clear" w:color="auto" w:fill="auto"/>
            <w:noWrap/>
            <w:vAlign w:val="center"/>
          </w:tcPr>
          <w:p w14:paraId="7CC9E45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684A1C3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48.86</w:t>
            </w:r>
          </w:p>
        </w:tc>
        <w:tc>
          <w:tcPr>
            <w:tcW w:w="868" w:type="pct"/>
            <w:shd w:val="clear" w:color="auto" w:fill="auto"/>
            <w:noWrap/>
            <w:vAlign w:val="center"/>
          </w:tcPr>
          <w:p w14:paraId="7E29942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22082804</w:t>
            </w:r>
          </w:p>
        </w:tc>
        <w:tc>
          <w:tcPr>
            <w:tcW w:w="569" w:type="pct"/>
            <w:shd w:val="clear" w:color="auto" w:fill="auto"/>
            <w:noWrap/>
            <w:vAlign w:val="center"/>
          </w:tcPr>
          <w:p w14:paraId="1C25165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55D641B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24.43</w:t>
            </w:r>
          </w:p>
        </w:tc>
        <w:tc>
          <w:tcPr>
            <w:tcW w:w="569" w:type="pct"/>
            <w:shd w:val="clear" w:color="auto" w:fill="auto"/>
            <w:noWrap/>
            <w:vAlign w:val="center"/>
          </w:tcPr>
          <w:p w14:paraId="17A337D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9718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14EAC288">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0D359C1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钦州港经开区</w:t>
            </w:r>
          </w:p>
          <w:p w14:paraId="5CB12F0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第七小学</w:t>
            </w:r>
          </w:p>
        </w:tc>
        <w:tc>
          <w:tcPr>
            <w:tcW w:w="569" w:type="pct"/>
            <w:shd w:val="clear" w:color="auto" w:fill="auto"/>
            <w:noWrap/>
            <w:vAlign w:val="center"/>
          </w:tcPr>
          <w:p w14:paraId="1465631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1096B9B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63.65</w:t>
            </w:r>
          </w:p>
        </w:tc>
        <w:tc>
          <w:tcPr>
            <w:tcW w:w="868" w:type="pct"/>
            <w:shd w:val="clear" w:color="auto" w:fill="auto"/>
            <w:noWrap/>
            <w:vAlign w:val="center"/>
          </w:tcPr>
          <w:p w14:paraId="015EF42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22082424</w:t>
            </w:r>
          </w:p>
        </w:tc>
        <w:tc>
          <w:tcPr>
            <w:tcW w:w="569" w:type="pct"/>
            <w:shd w:val="clear" w:color="auto" w:fill="auto"/>
            <w:noWrap/>
            <w:vAlign w:val="center"/>
          </w:tcPr>
          <w:p w14:paraId="32C933C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6BD3B78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31.83</w:t>
            </w:r>
          </w:p>
        </w:tc>
        <w:tc>
          <w:tcPr>
            <w:tcW w:w="569" w:type="pct"/>
            <w:shd w:val="clear" w:color="auto" w:fill="auto"/>
            <w:noWrap/>
            <w:vAlign w:val="center"/>
          </w:tcPr>
          <w:p w14:paraId="343391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B24B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53A7CADA">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671DE8A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大坑村</w:t>
            </w:r>
          </w:p>
        </w:tc>
        <w:tc>
          <w:tcPr>
            <w:tcW w:w="569" w:type="pct"/>
            <w:shd w:val="clear" w:color="auto" w:fill="auto"/>
            <w:noWrap/>
            <w:vAlign w:val="center"/>
          </w:tcPr>
          <w:p w14:paraId="0174531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66A4B18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56.85</w:t>
            </w:r>
          </w:p>
        </w:tc>
        <w:tc>
          <w:tcPr>
            <w:tcW w:w="868" w:type="pct"/>
            <w:shd w:val="clear" w:color="auto" w:fill="auto"/>
            <w:noWrap/>
            <w:vAlign w:val="center"/>
          </w:tcPr>
          <w:p w14:paraId="573BAB3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22082424</w:t>
            </w:r>
          </w:p>
        </w:tc>
        <w:tc>
          <w:tcPr>
            <w:tcW w:w="569" w:type="pct"/>
            <w:shd w:val="clear" w:color="auto" w:fill="auto"/>
            <w:noWrap/>
            <w:vAlign w:val="center"/>
          </w:tcPr>
          <w:p w14:paraId="272519A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5555007E">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28.43</w:t>
            </w:r>
          </w:p>
        </w:tc>
        <w:tc>
          <w:tcPr>
            <w:tcW w:w="569" w:type="pct"/>
            <w:shd w:val="clear" w:color="auto" w:fill="auto"/>
            <w:noWrap/>
            <w:vAlign w:val="center"/>
          </w:tcPr>
          <w:p w14:paraId="3900B4C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3231B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7A062017">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80A0B5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黄竹根村</w:t>
            </w:r>
          </w:p>
        </w:tc>
        <w:tc>
          <w:tcPr>
            <w:tcW w:w="569" w:type="pct"/>
            <w:shd w:val="clear" w:color="auto" w:fill="auto"/>
            <w:noWrap/>
            <w:vAlign w:val="center"/>
          </w:tcPr>
          <w:p w14:paraId="1462D61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2EBCDC8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45.92</w:t>
            </w:r>
          </w:p>
        </w:tc>
        <w:tc>
          <w:tcPr>
            <w:tcW w:w="868" w:type="pct"/>
            <w:shd w:val="clear" w:color="auto" w:fill="auto"/>
            <w:noWrap/>
            <w:vAlign w:val="center"/>
          </w:tcPr>
          <w:p w14:paraId="1E64A6D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22061206</w:t>
            </w:r>
          </w:p>
        </w:tc>
        <w:tc>
          <w:tcPr>
            <w:tcW w:w="569" w:type="pct"/>
            <w:shd w:val="clear" w:color="auto" w:fill="auto"/>
            <w:noWrap/>
            <w:vAlign w:val="center"/>
          </w:tcPr>
          <w:p w14:paraId="16608B3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10C9E7B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22.96</w:t>
            </w:r>
          </w:p>
        </w:tc>
        <w:tc>
          <w:tcPr>
            <w:tcW w:w="569" w:type="pct"/>
            <w:shd w:val="clear" w:color="auto" w:fill="auto"/>
            <w:noWrap/>
            <w:vAlign w:val="center"/>
          </w:tcPr>
          <w:p w14:paraId="2CCC3C4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1A232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38F998B1">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A6384A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龙狗坑村</w:t>
            </w:r>
          </w:p>
        </w:tc>
        <w:tc>
          <w:tcPr>
            <w:tcW w:w="569" w:type="pct"/>
            <w:shd w:val="clear" w:color="auto" w:fill="auto"/>
            <w:noWrap/>
            <w:vAlign w:val="center"/>
          </w:tcPr>
          <w:p w14:paraId="36E51060">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CB2099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52.97</w:t>
            </w:r>
          </w:p>
        </w:tc>
        <w:tc>
          <w:tcPr>
            <w:tcW w:w="868" w:type="pct"/>
            <w:shd w:val="clear" w:color="auto" w:fill="auto"/>
            <w:noWrap/>
            <w:vAlign w:val="center"/>
          </w:tcPr>
          <w:p w14:paraId="2525DF9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22060602</w:t>
            </w:r>
          </w:p>
        </w:tc>
        <w:tc>
          <w:tcPr>
            <w:tcW w:w="569" w:type="pct"/>
            <w:shd w:val="clear" w:color="auto" w:fill="auto"/>
            <w:noWrap/>
            <w:vAlign w:val="center"/>
          </w:tcPr>
          <w:p w14:paraId="38FF442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33E64AA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26.49</w:t>
            </w:r>
          </w:p>
        </w:tc>
        <w:tc>
          <w:tcPr>
            <w:tcW w:w="569" w:type="pct"/>
            <w:shd w:val="clear" w:color="auto" w:fill="auto"/>
            <w:noWrap/>
            <w:vAlign w:val="center"/>
          </w:tcPr>
          <w:p w14:paraId="24CAFB9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07E7D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51366FA1">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306552A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淡水湾村</w:t>
            </w:r>
          </w:p>
        </w:tc>
        <w:tc>
          <w:tcPr>
            <w:tcW w:w="569" w:type="pct"/>
            <w:shd w:val="clear" w:color="auto" w:fill="auto"/>
            <w:noWrap/>
            <w:vAlign w:val="center"/>
          </w:tcPr>
          <w:p w14:paraId="3A20780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AA8A61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22.82</w:t>
            </w:r>
          </w:p>
        </w:tc>
        <w:tc>
          <w:tcPr>
            <w:tcW w:w="868" w:type="pct"/>
            <w:shd w:val="clear" w:color="auto" w:fill="auto"/>
            <w:noWrap/>
            <w:vAlign w:val="center"/>
          </w:tcPr>
          <w:p w14:paraId="02F79CA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22032007</w:t>
            </w:r>
          </w:p>
        </w:tc>
        <w:tc>
          <w:tcPr>
            <w:tcW w:w="569" w:type="pct"/>
            <w:shd w:val="clear" w:color="auto" w:fill="auto"/>
            <w:noWrap/>
            <w:vAlign w:val="center"/>
          </w:tcPr>
          <w:p w14:paraId="7040F77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0762CA2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11.41</w:t>
            </w:r>
          </w:p>
        </w:tc>
        <w:tc>
          <w:tcPr>
            <w:tcW w:w="569" w:type="pct"/>
            <w:shd w:val="clear" w:color="auto" w:fill="auto"/>
            <w:noWrap/>
            <w:vAlign w:val="center"/>
          </w:tcPr>
          <w:p w14:paraId="73F1376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6015D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6567FE7B">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619A9A6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管委会办公楼</w:t>
            </w:r>
          </w:p>
        </w:tc>
        <w:tc>
          <w:tcPr>
            <w:tcW w:w="569" w:type="pct"/>
            <w:shd w:val="clear" w:color="auto" w:fill="auto"/>
            <w:noWrap/>
            <w:vAlign w:val="center"/>
          </w:tcPr>
          <w:p w14:paraId="032387C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051D26B4">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39.2</w:t>
            </w:r>
          </w:p>
        </w:tc>
        <w:tc>
          <w:tcPr>
            <w:tcW w:w="868" w:type="pct"/>
            <w:shd w:val="clear" w:color="auto" w:fill="auto"/>
            <w:noWrap/>
            <w:vAlign w:val="center"/>
          </w:tcPr>
          <w:p w14:paraId="4A62847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22080420</w:t>
            </w:r>
          </w:p>
        </w:tc>
        <w:tc>
          <w:tcPr>
            <w:tcW w:w="569" w:type="pct"/>
            <w:shd w:val="clear" w:color="auto" w:fill="auto"/>
            <w:noWrap/>
            <w:vAlign w:val="center"/>
          </w:tcPr>
          <w:p w14:paraId="40806EC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1A25F97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19.6</w:t>
            </w:r>
          </w:p>
        </w:tc>
        <w:tc>
          <w:tcPr>
            <w:tcW w:w="569" w:type="pct"/>
            <w:shd w:val="clear" w:color="auto" w:fill="auto"/>
            <w:noWrap/>
            <w:vAlign w:val="center"/>
          </w:tcPr>
          <w:p w14:paraId="3DE0472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25DE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4199BDD6">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42149ED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海关办公楼</w:t>
            </w:r>
          </w:p>
        </w:tc>
        <w:tc>
          <w:tcPr>
            <w:tcW w:w="569" w:type="pct"/>
            <w:shd w:val="clear" w:color="auto" w:fill="auto"/>
            <w:noWrap/>
            <w:vAlign w:val="center"/>
          </w:tcPr>
          <w:p w14:paraId="2C1EB81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3188E1E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12.22</w:t>
            </w:r>
          </w:p>
        </w:tc>
        <w:tc>
          <w:tcPr>
            <w:tcW w:w="868" w:type="pct"/>
            <w:shd w:val="clear" w:color="auto" w:fill="auto"/>
            <w:noWrap/>
            <w:vAlign w:val="center"/>
          </w:tcPr>
          <w:p w14:paraId="6B4E76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22082523</w:t>
            </w:r>
          </w:p>
        </w:tc>
        <w:tc>
          <w:tcPr>
            <w:tcW w:w="569" w:type="pct"/>
            <w:shd w:val="clear" w:color="auto" w:fill="auto"/>
            <w:noWrap/>
            <w:vAlign w:val="center"/>
          </w:tcPr>
          <w:p w14:paraId="3C1CD0E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3886BD2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6.11</w:t>
            </w:r>
          </w:p>
        </w:tc>
        <w:tc>
          <w:tcPr>
            <w:tcW w:w="569" w:type="pct"/>
            <w:shd w:val="clear" w:color="auto" w:fill="auto"/>
            <w:noWrap/>
            <w:vAlign w:val="center"/>
          </w:tcPr>
          <w:p w14:paraId="24126FF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2F0D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16DDE870">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5A2AC68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港区政务中心</w:t>
            </w:r>
          </w:p>
        </w:tc>
        <w:tc>
          <w:tcPr>
            <w:tcW w:w="569" w:type="pct"/>
            <w:shd w:val="clear" w:color="auto" w:fill="auto"/>
            <w:noWrap/>
            <w:vAlign w:val="center"/>
          </w:tcPr>
          <w:p w14:paraId="36104CC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2A5ED05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17.85</w:t>
            </w:r>
          </w:p>
        </w:tc>
        <w:tc>
          <w:tcPr>
            <w:tcW w:w="868" w:type="pct"/>
            <w:shd w:val="clear" w:color="auto" w:fill="auto"/>
            <w:noWrap/>
            <w:vAlign w:val="center"/>
          </w:tcPr>
          <w:p w14:paraId="126BE6E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22042407</w:t>
            </w:r>
          </w:p>
        </w:tc>
        <w:tc>
          <w:tcPr>
            <w:tcW w:w="569" w:type="pct"/>
            <w:shd w:val="clear" w:color="auto" w:fill="auto"/>
            <w:noWrap/>
            <w:vAlign w:val="center"/>
          </w:tcPr>
          <w:p w14:paraId="508646CB">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4A56C4E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8.93</w:t>
            </w:r>
          </w:p>
        </w:tc>
        <w:tc>
          <w:tcPr>
            <w:tcW w:w="569" w:type="pct"/>
            <w:shd w:val="clear" w:color="auto" w:fill="auto"/>
            <w:noWrap/>
            <w:vAlign w:val="center"/>
          </w:tcPr>
          <w:p w14:paraId="7DCC5549">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78BDE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0CAA4C5F">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7C409C6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新联村</w:t>
            </w:r>
          </w:p>
        </w:tc>
        <w:tc>
          <w:tcPr>
            <w:tcW w:w="569" w:type="pct"/>
            <w:shd w:val="clear" w:color="auto" w:fill="auto"/>
            <w:noWrap/>
            <w:vAlign w:val="center"/>
          </w:tcPr>
          <w:p w14:paraId="55BCBE42">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44DBD5A6">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41.83</w:t>
            </w:r>
          </w:p>
        </w:tc>
        <w:tc>
          <w:tcPr>
            <w:tcW w:w="868" w:type="pct"/>
            <w:shd w:val="clear" w:color="auto" w:fill="auto"/>
            <w:noWrap/>
            <w:vAlign w:val="center"/>
          </w:tcPr>
          <w:p w14:paraId="40A01BD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22071321</w:t>
            </w:r>
          </w:p>
        </w:tc>
        <w:tc>
          <w:tcPr>
            <w:tcW w:w="569" w:type="pct"/>
            <w:shd w:val="clear" w:color="auto" w:fill="auto"/>
            <w:noWrap/>
            <w:vAlign w:val="center"/>
          </w:tcPr>
          <w:p w14:paraId="59580AF3">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21A8E6F1">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20.92</w:t>
            </w:r>
          </w:p>
        </w:tc>
        <w:tc>
          <w:tcPr>
            <w:tcW w:w="569" w:type="pct"/>
            <w:shd w:val="clear" w:color="auto" w:fill="auto"/>
            <w:noWrap/>
            <w:vAlign w:val="center"/>
          </w:tcPr>
          <w:p w14:paraId="67B07D25">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达标</w:t>
            </w:r>
          </w:p>
        </w:tc>
      </w:tr>
      <w:tr w14:paraId="25D3E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vMerge w:val="continue"/>
            <w:shd w:val="clear" w:color="auto" w:fill="auto"/>
            <w:noWrap/>
            <w:vAlign w:val="center"/>
          </w:tcPr>
          <w:p w14:paraId="29429C6B">
            <w:pPr>
              <w:widowControl/>
              <w:adjustRightInd w:val="0"/>
              <w:snapToGrid w:val="0"/>
              <w:jc w:val="center"/>
              <w:rPr>
                <w:rFonts w:ascii="Arial" w:hAnsi="Arial" w:cs="Arial" w:eastAsiaTheme="minorEastAsia"/>
                <w:kern w:val="0"/>
                <w:sz w:val="21"/>
                <w:szCs w:val="21"/>
                <w:u w:val="single"/>
              </w:rPr>
            </w:pPr>
          </w:p>
        </w:tc>
        <w:tc>
          <w:tcPr>
            <w:tcW w:w="1016" w:type="pct"/>
            <w:shd w:val="clear" w:color="auto" w:fill="auto"/>
            <w:noWrap/>
            <w:vAlign w:val="center"/>
          </w:tcPr>
          <w:p w14:paraId="7B778052">
            <w:pPr>
              <w:widowControl/>
              <w:adjustRightInd w:val="0"/>
              <w:snapToGrid w:val="0"/>
              <w:jc w:val="center"/>
              <w:rPr>
                <w:rFonts w:ascii="Arial" w:hAnsi="Arial" w:cs="Arial" w:eastAsiaTheme="minorEastAsia"/>
                <w:kern w:val="0"/>
                <w:sz w:val="21"/>
                <w:szCs w:val="21"/>
                <w:u w:val="single"/>
              </w:rPr>
            </w:pPr>
            <w:r>
              <w:rPr>
                <w:rFonts w:hint="eastAsia" w:ascii="Arial" w:hAnsi="Arial" w:cs="Arial" w:eastAsiaTheme="minorEastAsia"/>
                <w:kern w:val="0"/>
                <w:sz w:val="21"/>
                <w:szCs w:val="21"/>
                <w:u w:val="single"/>
              </w:rPr>
              <w:t>区域最大值</w:t>
            </w:r>
          </w:p>
        </w:tc>
        <w:tc>
          <w:tcPr>
            <w:tcW w:w="569" w:type="pct"/>
            <w:shd w:val="clear" w:color="auto" w:fill="auto"/>
            <w:noWrap/>
            <w:vAlign w:val="center"/>
          </w:tcPr>
          <w:p w14:paraId="3282C69F">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1小时</w:t>
            </w:r>
          </w:p>
        </w:tc>
        <w:tc>
          <w:tcPr>
            <w:tcW w:w="569" w:type="pct"/>
            <w:shd w:val="clear" w:color="auto" w:fill="auto"/>
            <w:noWrap/>
            <w:vAlign w:val="center"/>
          </w:tcPr>
          <w:p w14:paraId="5E0A8CEA">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201.26</w:t>
            </w:r>
          </w:p>
        </w:tc>
        <w:tc>
          <w:tcPr>
            <w:tcW w:w="868" w:type="pct"/>
            <w:shd w:val="clear" w:color="auto" w:fill="auto"/>
            <w:noWrap/>
            <w:vAlign w:val="center"/>
          </w:tcPr>
          <w:p w14:paraId="55CCCDF7">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22061203</w:t>
            </w:r>
          </w:p>
        </w:tc>
        <w:tc>
          <w:tcPr>
            <w:tcW w:w="569" w:type="pct"/>
            <w:shd w:val="clear" w:color="auto" w:fill="auto"/>
            <w:noWrap/>
            <w:vAlign w:val="center"/>
          </w:tcPr>
          <w:p w14:paraId="2D065838">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200</w:t>
            </w:r>
          </w:p>
        </w:tc>
        <w:tc>
          <w:tcPr>
            <w:tcW w:w="465" w:type="pct"/>
            <w:shd w:val="clear" w:color="auto" w:fill="auto"/>
            <w:noWrap/>
            <w:vAlign w:val="center"/>
          </w:tcPr>
          <w:p w14:paraId="67732DDD">
            <w:pPr>
              <w:widowControl/>
              <w:adjustRightInd w:val="0"/>
              <w:snapToGrid w:val="0"/>
              <w:jc w:val="center"/>
              <w:rPr>
                <w:rFonts w:ascii="Arial" w:hAnsi="Arial" w:cs="Arial" w:eastAsiaTheme="minorEastAsia"/>
                <w:kern w:val="0"/>
                <w:sz w:val="21"/>
                <w:szCs w:val="21"/>
                <w:u w:val="single"/>
              </w:rPr>
            </w:pPr>
            <w:r>
              <w:rPr>
                <w:rFonts w:ascii="Arial" w:hAnsi="Arial" w:cs="Arial" w:eastAsiaTheme="minorEastAsia"/>
                <w:kern w:val="0"/>
                <w:sz w:val="21"/>
                <w:szCs w:val="21"/>
                <w:u w:val="single"/>
              </w:rPr>
              <w:t>100.63</w:t>
            </w:r>
          </w:p>
        </w:tc>
        <w:tc>
          <w:tcPr>
            <w:tcW w:w="569" w:type="pct"/>
            <w:shd w:val="clear" w:color="auto" w:fill="auto"/>
            <w:noWrap/>
            <w:vAlign w:val="center"/>
          </w:tcPr>
          <w:p w14:paraId="48B3691A">
            <w:pPr>
              <w:widowControl/>
              <w:adjustRightInd w:val="0"/>
              <w:snapToGrid w:val="0"/>
              <w:jc w:val="center"/>
              <w:rPr>
                <w:rFonts w:ascii="Arial" w:hAnsi="Arial" w:cs="Arial" w:eastAsiaTheme="minorEastAsia"/>
                <w:b/>
                <w:kern w:val="0"/>
                <w:sz w:val="21"/>
                <w:szCs w:val="21"/>
                <w:u w:val="single"/>
              </w:rPr>
            </w:pPr>
            <w:r>
              <w:rPr>
                <w:rFonts w:ascii="Arial" w:hAnsi="Arial" w:cs="Arial" w:eastAsiaTheme="minorEastAsia"/>
                <w:b/>
                <w:kern w:val="0"/>
                <w:sz w:val="21"/>
                <w:szCs w:val="21"/>
                <w:u w:val="single"/>
              </w:rPr>
              <w:t>超标</w:t>
            </w:r>
          </w:p>
        </w:tc>
      </w:tr>
    </w:tbl>
    <w:p w14:paraId="4C683C03">
      <w:pPr>
        <w:pStyle w:val="474"/>
        <w:numPr>
          <w:ilvl w:val="0"/>
          <w:numId w:val="21"/>
        </w:numPr>
        <w:spacing w:line="500" w:lineRule="exact"/>
        <w:ind w:firstLineChars="0"/>
        <w:outlineLvl w:val="3"/>
        <w:rPr>
          <w:rFonts w:ascii="Arial" w:hAnsi="Arial" w:cs="Arial"/>
          <w:b/>
        </w:rPr>
      </w:pPr>
      <w:r>
        <w:rPr>
          <w:rFonts w:ascii="Arial" w:hAnsi="Arial" w:cs="Arial"/>
          <w:b/>
        </w:rPr>
        <w:t>大气防护距离</w:t>
      </w:r>
    </w:p>
    <w:p w14:paraId="55D3121C">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根据拟建项目污染源与现有工程污染源叠加预测，全厂厂界外各污染物短期贡献浓度均能达到《环境空气质量标准》（GB3095-2012）二级标准及《环境影响评价技术导则 大气环境》（HJ2.2-2018）附录D，厂界外无超标区。因此，项目无需设置大气环境防护区。</w:t>
      </w:r>
    </w:p>
    <w:p w14:paraId="1D6A9FE7">
      <w:pPr>
        <w:pStyle w:val="474"/>
        <w:numPr>
          <w:ilvl w:val="0"/>
          <w:numId w:val="21"/>
        </w:numPr>
        <w:spacing w:line="500" w:lineRule="exact"/>
        <w:ind w:firstLineChars="0"/>
        <w:outlineLvl w:val="3"/>
        <w:rPr>
          <w:rFonts w:ascii="Arial" w:hAnsi="Arial" w:cs="Arial"/>
          <w:b/>
        </w:rPr>
      </w:pPr>
      <w:r>
        <w:rPr>
          <w:rFonts w:ascii="Arial" w:hAnsi="Arial" w:cs="Arial"/>
          <w:b/>
        </w:rPr>
        <w:t>厂界污染物达标分析</w:t>
      </w:r>
    </w:p>
    <w:p w14:paraId="1E8531B1">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根据预测，项目四周厂界</w:t>
      </w:r>
      <w:r>
        <w:rPr>
          <w:rFonts w:hint="eastAsia" w:ascii="Arial" w:hAnsi="Arial" w:eastAsia="宋体" w:cs="Arial"/>
          <w:spacing w:val="10"/>
          <w:sz w:val="24"/>
        </w:rPr>
        <w:t>颗粒物</w:t>
      </w:r>
      <w:r>
        <w:rPr>
          <w:rFonts w:ascii="Arial" w:hAnsi="Arial" w:eastAsia="宋体" w:cs="Arial"/>
          <w:spacing w:val="10"/>
          <w:sz w:val="24"/>
        </w:rPr>
        <w:t>浓度符合《大气污染物综合排放标准》（GB16297-1996）要求，钴及其化合物、氨气浓度符合《无机化学工业污染物排放标准》（GB31573-2015）要求。</w:t>
      </w:r>
    </w:p>
    <w:p w14:paraId="76D025CB">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厂界污染物预测结果   单位：mg/m</w:t>
      </w:r>
      <w:r>
        <w:rPr>
          <w:rFonts w:ascii="Arial" w:hAnsi="Arial" w:eastAsia="宋体" w:cs="Arial"/>
          <w:b/>
          <w:sz w:val="24"/>
          <w:szCs w:val="24"/>
          <w:vertAlign w:val="superscript"/>
        </w:rPr>
        <w:t>3</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8"/>
        <w:gridCol w:w="1755"/>
        <w:gridCol w:w="2268"/>
        <w:gridCol w:w="1812"/>
      </w:tblGrid>
      <w:tr w14:paraId="6F603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2" w:type="pct"/>
            <w:gridSpan w:val="2"/>
            <w:shd w:val="clear" w:color="auto" w:fill="auto"/>
            <w:vAlign w:val="center"/>
          </w:tcPr>
          <w:p w14:paraId="2A46DC6D">
            <w:pPr>
              <w:pStyle w:val="469"/>
              <w:rPr>
                <w:rFonts w:ascii="Arial" w:hAnsi="Arial" w:cs="Arial"/>
                <w:sz w:val="21"/>
                <w:szCs w:val="21"/>
              </w:rPr>
            </w:pPr>
            <w:r>
              <w:rPr>
                <w:rFonts w:ascii="Arial" w:hAnsi="Arial" w:cs="Arial"/>
                <w:sz w:val="21"/>
                <w:szCs w:val="21"/>
              </w:rPr>
              <w:t>污染物</w:t>
            </w:r>
          </w:p>
        </w:tc>
        <w:tc>
          <w:tcPr>
            <w:tcW w:w="1261" w:type="pct"/>
            <w:shd w:val="clear" w:color="auto" w:fill="auto"/>
            <w:vAlign w:val="center"/>
          </w:tcPr>
          <w:p w14:paraId="7B8308DA">
            <w:pPr>
              <w:autoSpaceDE w:val="0"/>
              <w:autoSpaceDN w:val="0"/>
              <w:adjustRightInd w:val="0"/>
              <w:snapToGrid w:val="0"/>
              <w:jc w:val="center"/>
              <w:rPr>
                <w:rFonts w:ascii="Arial" w:hAnsi="Arial" w:eastAsia="宋体" w:cs="Arial"/>
                <w:kern w:val="0"/>
                <w:sz w:val="21"/>
                <w:szCs w:val="21"/>
              </w:rPr>
            </w:pPr>
            <w:r>
              <w:rPr>
                <w:rFonts w:ascii="Arial" w:hAnsi="Arial" w:eastAsia="宋体" w:cs="Arial"/>
                <w:kern w:val="0"/>
                <w:sz w:val="21"/>
                <w:szCs w:val="21"/>
              </w:rPr>
              <w:t>厂界最大值</w:t>
            </w:r>
          </w:p>
        </w:tc>
        <w:tc>
          <w:tcPr>
            <w:tcW w:w="1007" w:type="pct"/>
            <w:shd w:val="clear" w:color="auto" w:fill="auto"/>
            <w:vAlign w:val="center"/>
          </w:tcPr>
          <w:p w14:paraId="6CF7896E">
            <w:pPr>
              <w:autoSpaceDE w:val="0"/>
              <w:autoSpaceDN w:val="0"/>
              <w:adjustRightInd w:val="0"/>
              <w:snapToGrid w:val="0"/>
              <w:jc w:val="center"/>
              <w:rPr>
                <w:rFonts w:ascii="Arial" w:hAnsi="Arial" w:eastAsia="宋体" w:cs="Arial"/>
                <w:kern w:val="0"/>
                <w:sz w:val="21"/>
                <w:szCs w:val="21"/>
              </w:rPr>
            </w:pPr>
            <w:r>
              <w:rPr>
                <w:rFonts w:ascii="Arial" w:hAnsi="Arial" w:eastAsia="宋体" w:cs="Arial"/>
                <w:kern w:val="0"/>
                <w:sz w:val="21"/>
                <w:szCs w:val="21"/>
              </w:rPr>
              <w:t>标准值</w:t>
            </w:r>
          </w:p>
        </w:tc>
      </w:tr>
      <w:tr w14:paraId="7CB32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6" w:type="pct"/>
            <w:shd w:val="clear" w:color="auto" w:fill="auto"/>
            <w:vAlign w:val="center"/>
          </w:tcPr>
          <w:p w14:paraId="58945251">
            <w:pPr>
              <w:pStyle w:val="469"/>
              <w:rPr>
                <w:rFonts w:ascii="Arial" w:hAnsi="Arial" w:cs="Arial"/>
                <w:sz w:val="21"/>
                <w:szCs w:val="21"/>
              </w:rPr>
            </w:pPr>
            <w:r>
              <w:rPr>
                <w:rFonts w:ascii="Arial" w:hAnsi="Arial" w:cs="Arial"/>
                <w:sz w:val="21"/>
                <w:szCs w:val="21"/>
              </w:rPr>
              <w:t>颗粒物</w:t>
            </w:r>
          </w:p>
        </w:tc>
        <w:tc>
          <w:tcPr>
            <w:tcW w:w="976" w:type="pct"/>
            <w:shd w:val="clear" w:color="auto" w:fill="auto"/>
            <w:vAlign w:val="center"/>
          </w:tcPr>
          <w:p w14:paraId="4D26D55A">
            <w:pPr>
              <w:pStyle w:val="469"/>
              <w:rPr>
                <w:rFonts w:ascii="Arial" w:hAnsi="Arial" w:cs="Arial"/>
                <w:sz w:val="21"/>
                <w:szCs w:val="21"/>
              </w:rPr>
            </w:pPr>
            <w:r>
              <w:rPr>
                <w:rFonts w:ascii="Arial" w:hAnsi="Arial" w:cs="Arial"/>
                <w:sz w:val="21"/>
                <w:szCs w:val="21"/>
              </w:rPr>
              <w:t>1小时</w:t>
            </w:r>
          </w:p>
        </w:tc>
        <w:tc>
          <w:tcPr>
            <w:tcW w:w="1261" w:type="pct"/>
            <w:shd w:val="clear" w:color="auto" w:fill="auto"/>
            <w:vAlign w:val="center"/>
          </w:tcPr>
          <w:p w14:paraId="65D3B50F">
            <w:pPr>
              <w:pStyle w:val="469"/>
              <w:rPr>
                <w:rFonts w:ascii="Arial" w:hAnsi="Arial" w:cs="Arial"/>
                <w:sz w:val="21"/>
                <w:szCs w:val="21"/>
              </w:rPr>
            </w:pPr>
            <w:r>
              <w:rPr>
                <w:rFonts w:hint="eastAsia" w:ascii="Arial" w:hAnsi="Arial" w:cs="Arial"/>
                <w:sz w:val="21"/>
                <w:szCs w:val="21"/>
              </w:rPr>
              <w:t>0.06</w:t>
            </w:r>
          </w:p>
        </w:tc>
        <w:tc>
          <w:tcPr>
            <w:tcW w:w="1007" w:type="pct"/>
            <w:shd w:val="clear" w:color="auto" w:fill="auto"/>
            <w:vAlign w:val="center"/>
          </w:tcPr>
          <w:p w14:paraId="05D5F8B7">
            <w:pPr>
              <w:pStyle w:val="469"/>
              <w:rPr>
                <w:rFonts w:ascii="Arial" w:hAnsi="Arial" w:cs="Arial"/>
                <w:sz w:val="21"/>
                <w:szCs w:val="21"/>
              </w:rPr>
            </w:pPr>
            <w:r>
              <w:rPr>
                <w:rFonts w:ascii="Arial" w:hAnsi="Arial" w:cs="Arial"/>
                <w:sz w:val="21"/>
                <w:szCs w:val="21"/>
              </w:rPr>
              <w:t>1.0</w:t>
            </w:r>
          </w:p>
        </w:tc>
      </w:tr>
      <w:tr w14:paraId="03FEF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6" w:type="pct"/>
            <w:shd w:val="clear" w:color="auto" w:fill="auto"/>
            <w:vAlign w:val="center"/>
          </w:tcPr>
          <w:p w14:paraId="7FC78295">
            <w:pPr>
              <w:pStyle w:val="469"/>
              <w:rPr>
                <w:rFonts w:ascii="Arial" w:hAnsi="Arial" w:cs="Arial"/>
                <w:sz w:val="21"/>
                <w:szCs w:val="21"/>
              </w:rPr>
            </w:pPr>
            <w:r>
              <w:rPr>
                <w:rFonts w:ascii="Arial" w:hAnsi="Arial" w:cs="Arial"/>
                <w:sz w:val="21"/>
                <w:szCs w:val="21"/>
              </w:rPr>
              <w:t>钴及其化合物</w:t>
            </w:r>
          </w:p>
        </w:tc>
        <w:tc>
          <w:tcPr>
            <w:tcW w:w="976" w:type="pct"/>
            <w:shd w:val="clear" w:color="auto" w:fill="auto"/>
            <w:vAlign w:val="center"/>
          </w:tcPr>
          <w:p w14:paraId="23E98172">
            <w:pPr>
              <w:pStyle w:val="469"/>
              <w:rPr>
                <w:rFonts w:ascii="Arial" w:hAnsi="Arial" w:cs="Arial"/>
                <w:sz w:val="21"/>
                <w:szCs w:val="21"/>
              </w:rPr>
            </w:pPr>
            <w:r>
              <w:rPr>
                <w:rFonts w:ascii="Arial" w:hAnsi="Arial" w:cs="Arial"/>
                <w:sz w:val="21"/>
                <w:szCs w:val="21"/>
              </w:rPr>
              <w:t>1小时</w:t>
            </w:r>
          </w:p>
        </w:tc>
        <w:tc>
          <w:tcPr>
            <w:tcW w:w="1261" w:type="pct"/>
            <w:shd w:val="clear" w:color="auto" w:fill="auto"/>
            <w:vAlign w:val="center"/>
          </w:tcPr>
          <w:p w14:paraId="5017BADE">
            <w:pPr>
              <w:pStyle w:val="469"/>
              <w:rPr>
                <w:rFonts w:ascii="Arial" w:hAnsi="Arial" w:cs="Arial"/>
                <w:sz w:val="21"/>
                <w:szCs w:val="21"/>
              </w:rPr>
            </w:pPr>
            <w:r>
              <w:rPr>
                <w:rFonts w:hint="eastAsia" w:ascii="Arial" w:hAnsi="Arial" w:cs="Arial"/>
                <w:sz w:val="21"/>
                <w:szCs w:val="21"/>
              </w:rPr>
              <w:t>0.0007</w:t>
            </w:r>
          </w:p>
        </w:tc>
        <w:tc>
          <w:tcPr>
            <w:tcW w:w="1007" w:type="pct"/>
            <w:shd w:val="clear" w:color="auto" w:fill="auto"/>
            <w:vAlign w:val="center"/>
          </w:tcPr>
          <w:p w14:paraId="3968C94A">
            <w:pPr>
              <w:pStyle w:val="469"/>
              <w:rPr>
                <w:rFonts w:ascii="Arial" w:hAnsi="Arial" w:cs="Arial"/>
                <w:sz w:val="21"/>
                <w:szCs w:val="21"/>
              </w:rPr>
            </w:pPr>
            <w:r>
              <w:rPr>
                <w:rFonts w:hint="eastAsia" w:ascii="Arial" w:hAnsi="Arial" w:cs="Arial"/>
                <w:sz w:val="21"/>
                <w:szCs w:val="21"/>
              </w:rPr>
              <w:t>0.005</w:t>
            </w:r>
          </w:p>
        </w:tc>
      </w:tr>
      <w:tr w14:paraId="47374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56" w:type="pct"/>
            <w:shd w:val="clear" w:color="auto" w:fill="auto"/>
            <w:vAlign w:val="center"/>
          </w:tcPr>
          <w:p w14:paraId="66A151D3">
            <w:pPr>
              <w:pStyle w:val="469"/>
              <w:rPr>
                <w:rFonts w:ascii="Arial" w:hAnsi="Arial" w:cs="Arial"/>
                <w:sz w:val="21"/>
                <w:szCs w:val="21"/>
              </w:rPr>
            </w:pPr>
            <w:r>
              <w:rPr>
                <w:rFonts w:hint="eastAsia" w:ascii="Arial" w:hAnsi="Arial" w:cs="Arial"/>
                <w:sz w:val="21"/>
                <w:szCs w:val="21"/>
              </w:rPr>
              <w:t>氨</w:t>
            </w:r>
          </w:p>
        </w:tc>
        <w:tc>
          <w:tcPr>
            <w:tcW w:w="976" w:type="pct"/>
            <w:shd w:val="clear" w:color="auto" w:fill="auto"/>
            <w:vAlign w:val="center"/>
          </w:tcPr>
          <w:p w14:paraId="55CD0928">
            <w:pPr>
              <w:pStyle w:val="469"/>
              <w:rPr>
                <w:rFonts w:ascii="Arial" w:hAnsi="Arial" w:cs="Arial"/>
                <w:sz w:val="21"/>
                <w:szCs w:val="21"/>
              </w:rPr>
            </w:pPr>
            <w:r>
              <w:rPr>
                <w:rFonts w:ascii="Arial" w:hAnsi="Arial" w:cs="Arial"/>
                <w:sz w:val="21"/>
                <w:szCs w:val="21"/>
              </w:rPr>
              <w:t>1小时</w:t>
            </w:r>
          </w:p>
        </w:tc>
        <w:tc>
          <w:tcPr>
            <w:tcW w:w="1261" w:type="pct"/>
            <w:shd w:val="clear" w:color="auto" w:fill="auto"/>
            <w:vAlign w:val="center"/>
          </w:tcPr>
          <w:p w14:paraId="35E526E3">
            <w:pPr>
              <w:pStyle w:val="469"/>
              <w:rPr>
                <w:rFonts w:ascii="Arial" w:hAnsi="Arial" w:cs="Arial"/>
                <w:sz w:val="21"/>
                <w:szCs w:val="21"/>
              </w:rPr>
            </w:pPr>
            <w:r>
              <w:rPr>
                <w:rFonts w:hint="eastAsia" w:ascii="Arial" w:hAnsi="Arial" w:cs="Arial"/>
                <w:sz w:val="21"/>
                <w:szCs w:val="21"/>
              </w:rPr>
              <w:t>0.04</w:t>
            </w:r>
          </w:p>
        </w:tc>
        <w:tc>
          <w:tcPr>
            <w:tcW w:w="1007" w:type="pct"/>
            <w:shd w:val="clear" w:color="auto" w:fill="auto"/>
            <w:vAlign w:val="center"/>
          </w:tcPr>
          <w:p w14:paraId="3311A6C3">
            <w:pPr>
              <w:pStyle w:val="469"/>
              <w:rPr>
                <w:rFonts w:ascii="Arial" w:hAnsi="Arial" w:cs="Arial"/>
                <w:sz w:val="21"/>
                <w:szCs w:val="21"/>
              </w:rPr>
            </w:pPr>
            <w:r>
              <w:rPr>
                <w:rFonts w:hint="eastAsia" w:ascii="Arial" w:hAnsi="Arial" w:cs="Arial"/>
                <w:sz w:val="21"/>
                <w:szCs w:val="21"/>
              </w:rPr>
              <w:t>0.3</w:t>
            </w:r>
          </w:p>
        </w:tc>
      </w:tr>
    </w:tbl>
    <w:p w14:paraId="2EC1D035">
      <w:pPr>
        <w:pStyle w:val="474"/>
        <w:numPr>
          <w:ilvl w:val="0"/>
          <w:numId w:val="21"/>
        </w:numPr>
        <w:spacing w:line="500" w:lineRule="exact"/>
        <w:ind w:firstLineChars="0"/>
        <w:outlineLvl w:val="3"/>
        <w:rPr>
          <w:rFonts w:ascii="Arial" w:hAnsi="Arial" w:cs="Arial"/>
          <w:b/>
        </w:rPr>
      </w:pPr>
      <w:r>
        <w:rPr>
          <w:rFonts w:ascii="Arial" w:hAnsi="Arial" w:cs="Arial"/>
          <w:b/>
        </w:rPr>
        <w:t>运输废气影响分析</w:t>
      </w:r>
    </w:p>
    <w:p w14:paraId="5C5D5A1E">
      <w:pPr>
        <w:spacing w:line="500" w:lineRule="exact"/>
        <w:ind w:firstLine="490" w:firstLineChars="200"/>
        <w:rPr>
          <w:rFonts w:ascii="Arial" w:hAnsi="Arial" w:eastAsia="宋体" w:cs="Arial"/>
          <w:spacing w:val="10"/>
          <w:sz w:val="24"/>
        </w:rPr>
      </w:pPr>
      <w:r>
        <w:rPr>
          <w:rFonts w:ascii="Arial" w:hAnsi="Arial" w:eastAsia="宋体" w:cs="Arial"/>
          <w:spacing w:val="10"/>
          <w:sz w:val="24"/>
        </w:rPr>
        <w:t>道路运输扬尘主要为厂区内沉降的粉尘、运输车辆夹带的粉尘及运输过程中洒落物料，在车辆行驶过程中扰动产生。通过对运输车辆限速行驶，物料密闭运输，加强对厂区道路的洒水降尘，同时在厂区出入口设置车轮清洗系统，减轻运输扬尘的产生。</w:t>
      </w:r>
    </w:p>
    <w:p w14:paraId="04571B13">
      <w:pPr>
        <w:spacing w:line="500" w:lineRule="exact"/>
        <w:ind w:firstLine="490" w:firstLineChars="200"/>
        <w:rPr>
          <w:rFonts w:ascii="Arial" w:hAnsi="Arial" w:eastAsia="宋体" w:cs="Arial"/>
          <w:spacing w:val="10"/>
          <w:sz w:val="24"/>
        </w:rPr>
      </w:pPr>
      <w:r>
        <w:rPr>
          <w:rFonts w:ascii="Arial" w:hAnsi="Arial" w:eastAsia="宋体" w:cs="Arial"/>
          <w:spacing w:val="10"/>
          <w:sz w:val="24"/>
        </w:rPr>
        <w:t>燃油废气主要来自运输车辆，大气污染物主要为NO</w:t>
      </w:r>
      <w:r>
        <w:rPr>
          <w:rFonts w:ascii="Arial" w:hAnsi="Arial" w:eastAsia="宋体" w:cs="Arial"/>
          <w:spacing w:val="10"/>
          <w:sz w:val="24"/>
          <w:vertAlign w:val="subscript"/>
        </w:rPr>
        <w:t>X</w:t>
      </w:r>
      <w:r>
        <w:rPr>
          <w:rFonts w:ascii="Arial" w:hAnsi="Arial" w:eastAsia="宋体" w:cs="Arial"/>
          <w:spacing w:val="10"/>
          <w:sz w:val="24"/>
        </w:rPr>
        <w:t>、碳氢化合物、CO、SO</w:t>
      </w:r>
      <w:r>
        <w:rPr>
          <w:rFonts w:ascii="Arial" w:hAnsi="Arial" w:eastAsia="宋体" w:cs="Arial"/>
          <w:spacing w:val="10"/>
          <w:sz w:val="24"/>
          <w:vertAlign w:val="subscript"/>
        </w:rPr>
        <w:t>2</w:t>
      </w:r>
      <w:r>
        <w:rPr>
          <w:rFonts w:ascii="Arial" w:hAnsi="Arial" w:eastAsia="宋体" w:cs="Arial"/>
          <w:spacing w:val="10"/>
          <w:sz w:val="24"/>
        </w:rPr>
        <w:t>等。项目应使用尾气污染物达到国家有关标准的运输车辆，严禁使用尾气超标排放的车辆；缩短怠速、减速和加速时间，增加正常运行时间，以减少尾气污染物的排放量；加强管理，及时对运输道路进行维护，对滑落到道路上的物料进行及时清理，对损坏路面及时进行修补，以提高运输效率。</w:t>
      </w:r>
    </w:p>
    <w:p w14:paraId="1CB66A24">
      <w:pPr>
        <w:pStyle w:val="474"/>
        <w:numPr>
          <w:ilvl w:val="0"/>
          <w:numId w:val="21"/>
        </w:numPr>
        <w:spacing w:line="500" w:lineRule="exact"/>
        <w:ind w:firstLineChars="0"/>
        <w:outlineLvl w:val="3"/>
        <w:rPr>
          <w:rFonts w:ascii="Arial" w:hAnsi="Arial" w:cs="Arial"/>
          <w:b/>
        </w:rPr>
      </w:pPr>
      <w:r>
        <w:rPr>
          <w:rFonts w:ascii="Arial" w:hAnsi="Arial" w:cs="Arial"/>
          <w:b/>
        </w:rPr>
        <w:t>污染物排放量核算</w:t>
      </w:r>
    </w:p>
    <w:p w14:paraId="1D12B06F">
      <w:pPr>
        <w:spacing w:line="500" w:lineRule="exact"/>
        <w:ind w:firstLine="490" w:firstLineChars="200"/>
        <w:rPr>
          <w:rFonts w:ascii="Arial" w:hAnsi="Arial" w:eastAsia="宋体" w:cs="Arial"/>
          <w:spacing w:val="10"/>
          <w:sz w:val="24"/>
        </w:rPr>
      </w:pPr>
      <w:r>
        <w:rPr>
          <w:rFonts w:ascii="Arial" w:hAnsi="Arial" w:eastAsia="宋体" w:cs="Arial"/>
          <w:spacing w:val="10"/>
          <w:sz w:val="24"/>
        </w:rPr>
        <w:t>1、有组织排放量核算</w:t>
      </w:r>
    </w:p>
    <w:p w14:paraId="7107657E">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项目变更后大气污染物有组织排放量核算表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7"/>
        <w:gridCol w:w="1678"/>
        <w:gridCol w:w="1428"/>
        <w:gridCol w:w="2196"/>
        <w:gridCol w:w="1964"/>
      </w:tblGrid>
      <w:tr w14:paraId="0E840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0" w:type="pct"/>
            <w:vMerge w:val="restart"/>
            <w:vAlign w:val="center"/>
          </w:tcPr>
          <w:p w14:paraId="43CD8471">
            <w:pPr>
              <w:adjustRightInd w:val="0"/>
              <w:snapToGrid w:val="0"/>
              <w:jc w:val="center"/>
              <w:rPr>
                <w:rFonts w:ascii="Arial" w:hAnsi="Arial" w:eastAsia="宋体" w:cs="Arial"/>
                <w:sz w:val="21"/>
                <w:szCs w:val="24"/>
              </w:rPr>
            </w:pPr>
            <w:r>
              <w:rPr>
                <w:rFonts w:ascii="Arial" w:hAnsi="Arial" w:eastAsia="宋体" w:cs="Arial"/>
                <w:sz w:val="21"/>
                <w:szCs w:val="24"/>
              </w:rPr>
              <w:t>排气筒编号</w:t>
            </w:r>
          </w:p>
        </w:tc>
        <w:tc>
          <w:tcPr>
            <w:tcW w:w="933" w:type="pct"/>
            <w:vMerge w:val="restart"/>
            <w:vAlign w:val="center"/>
          </w:tcPr>
          <w:p w14:paraId="3E5EABA8">
            <w:pPr>
              <w:adjustRightInd w:val="0"/>
              <w:snapToGrid w:val="0"/>
              <w:jc w:val="center"/>
              <w:rPr>
                <w:rFonts w:ascii="Arial" w:hAnsi="Arial" w:eastAsia="宋体" w:cs="Arial"/>
                <w:sz w:val="21"/>
                <w:szCs w:val="24"/>
              </w:rPr>
            </w:pPr>
            <w:r>
              <w:rPr>
                <w:rFonts w:ascii="Arial" w:hAnsi="Arial" w:eastAsia="宋体" w:cs="Arial"/>
                <w:sz w:val="21"/>
                <w:szCs w:val="24"/>
              </w:rPr>
              <w:t>污染物</w:t>
            </w:r>
          </w:p>
        </w:tc>
        <w:tc>
          <w:tcPr>
            <w:tcW w:w="3107" w:type="pct"/>
            <w:gridSpan w:val="3"/>
            <w:vAlign w:val="center"/>
          </w:tcPr>
          <w:p w14:paraId="50EC263F">
            <w:pPr>
              <w:widowControl/>
              <w:adjustRightInd w:val="0"/>
              <w:snapToGrid w:val="0"/>
              <w:jc w:val="center"/>
              <w:rPr>
                <w:rFonts w:ascii="Arial" w:hAnsi="Arial" w:eastAsia="宋体" w:cs="Arial"/>
                <w:kern w:val="0"/>
                <w:sz w:val="21"/>
              </w:rPr>
            </w:pPr>
            <w:r>
              <w:rPr>
                <w:rFonts w:ascii="Arial" w:hAnsi="Arial" w:eastAsia="宋体" w:cs="Arial"/>
                <w:kern w:val="0"/>
                <w:sz w:val="21"/>
              </w:rPr>
              <w:t>排放情况</w:t>
            </w:r>
          </w:p>
        </w:tc>
      </w:tr>
      <w:tr w14:paraId="7E19C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0" w:type="pct"/>
            <w:vMerge w:val="continue"/>
            <w:vAlign w:val="center"/>
          </w:tcPr>
          <w:p w14:paraId="7AF4FD6A">
            <w:pPr>
              <w:adjustRightInd w:val="0"/>
              <w:snapToGrid w:val="0"/>
              <w:jc w:val="center"/>
              <w:rPr>
                <w:rFonts w:ascii="Arial" w:hAnsi="Arial" w:eastAsia="宋体" w:cs="Arial"/>
                <w:sz w:val="21"/>
                <w:szCs w:val="24"/>
              </w:rPr>
            </w:pPr>
          </w:p>
        </w:tc>
        <w:tc>
          <w:tcPr>
            <w:tcW w:w="933" w:type="pct"/>
            <w:vMerge w:val="continue"/>
            <w:vAlign w:val="center"/>
          </w:tcPr>
          <w:p w14:paraId="23AAC1F9">
            <w:pPr>
              <w:adjustRightInd w:val="0"/>
              <w:snapToGrid w:val="0"/>
              <w:jc w:val="center"/>
              <w:rPr>
                <w:rFonts w:ascii="Arial" w:hAnsi="Arial" w:eastAsia="宋体" w:cs="Arial"/>
                <w:sz w:val="21"/>
                <w:szCs w:val="24"/>
              </w:rPr>
            </w:pPr>
          </w:p>
        </w:tc>
        <w:tc>
          <w:tcPr>
            <w:tcW w:w="794" w:type="pct"/>
            <w:vAlign w:val="center"/>
          </w:tcPr>
          <w:p w14:paraId="68E027AD">
            <w:pPr>
              <w:widowControl/>
              <w:adjustRightInd w:val="0"/>
              <w:snapToGrid w:val="0"/>
              <w:jc w:val="center"/>
              <w:rPr>
                <w:rFonts w:ascii="Arial" w:hAnsi="Arial" w:eastAsia="宋体" w:cs="Arial"/>
                <w:kern w:val="0"/>
                <w:sz w:val="21"/>
              </w:rPr>
            </w:pPr>
            <w:r>
              <w:rPr>
                <w:rFonts w:ascii="Arial" w:hAnsi="Arial" w:eastAsia="宋体" w:cs="Arial"/>
                <w:kern w:val="0"/>
                <w:sz w:val="21"/>
              </w:rPr>
              <w:t>mg/m</w:t>
            </w:r>
            <w:r>
              <w:rPr>
                <w:rFonts w:ascii="Arial" w:hAnsi="Arial" w:eastAsia="宋体" w:cs="Arial"/>
                <w:kern w:val="0"/>
                <w:sz w:val="21"/>
                <w:vertAlign w:val="superscript"/>
              </w:rPr>
              <w:t>3</w:t>
            </w:r>
          </w:p>
        </w:tc>
        <w:tc>
          <w:tcPr>
            <w:tcW w:w="1221" w:type="pct"/>
            <w:vAlign w:val="center"/>
          </w:tcPr>
          <w:p w14:paraId="7A5EF6DA">
            <w:pPr>
              <w:widowControl/>
              <w:adjustRightInd w:val="0"/>
              <w:snapToGrid w:val="0"/>
              <w:jc w:val="center"/>
              <w:rPr>
                <w:rFonts w:ascii="Arial" w:hAnsi="Arial" w:eastAsia="宋体" w:cs="Arial"/>
                <w:kern w:val="0"/>
                <w:sz w:val="21"/>
              </w:rPr>
            </w:pPr>
            <w:r>
              <w:rPr>
                <w:rFonts w:ascii="Arial" w:hAnsi="Arial" w:eastAsia="宋体" w:cs="Arial"/>
                <w:kern w:val="0"/>
                <w:sz w:val="21"/>
              </w:rPr>
              <w:t>kg/h</w:t>
            </w:r>
          </w:p>
        </w:tc>
        <w:tc>
          <w:tcPr>
            <w:tcW w:w="1092" w:type="pct"/>
            <w:vAlign w:val="center"/>
          </w:tcPr>
          <w:p w14:paraId="283115B0">
            <w:pPr>
              <w:widowControl/>
              <w:adjustRightInd w:val="0"/>
              <w:snapToGrid w:val="0"/>
              <w:jc w:val="center"/>
              <w:rPr>
                <w:rFonts w:ascii="Arial" w:hAnsi="Arial" w:eastAsia="宋体" w:cs="Arial"/>
                <w:kern w:val="0"/>
                <w:sz w:val="21"/>
              </w:rPr>
            </w:pPr>
            <w:r>
              <w:rPr>
                <w:rFonts w:ascii="Arial" w:hAnsi="Arial" w:eastAsia="宋体" w:cs="Arial"/>
                <w:kern w:val="0"/>
                <w:sz w:val="21"/>
              </w:rPr>
              <w:t>t/a</w:t>
            </w:r>
          </w:p>
        </w:tc>
      </w:tr>
      <w:tr w14:paraId="00B5E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00" w:type="pct"/>
            <w:gridSpan w:val="5"/>
            <w:vAlign w:val="center"/>
          </w:tcPr>
          <w:p w14:paraId="3E7DF1E6">
            <w:pPr>
              <w:widowControl/>
              <w:adjustRightInd w:val="0"/>
              <w:snapToGrid w:val="0"/>
              <w:jc w:val="center"/>
              <w:rPr>
                <w:rFonts w:ascii="Arial" w:hAnsi="Arial" w:eastAsia="宋体" w:cs="Arial"/>
                <w:kern w:val="0"/>
                <w:sz w:val="21"/>
              </w:rPr>
            </w:pPr>
            <w:r>
              <w:rPr>
                <w:rFonts w:ascii="Arial" w:hAnsi="Arial" w:eastAsia="宋体" w:cs="Arial"/>
                <w:kern w:val="0"/>
                <w:sz w:val="21"/>
              </w:rPr>
              <w:t>主要排放口</w:t>
            </w:r>
          </w:p>
        </w:tc>
      </w:tr>
      <w:tr w14:paraId="1577C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0" w:type="pct"/>
            <w:vAlign w:val="center"/>
          </w:tcPr>
          <w:p w14:paraId="5D410D6E">
            <w:pPr>
              <w:pStyle w:val="41"/>
              <w:adjustRightInd w:val="0"/>
              <w:snapToGrid w:val="0"/>
              <w:spacing w:after="0"/>
              <w:ind w:firstLine="0" w:firstLineChars="0"/>
              <w:jc w:val="center"/>
              <w:rPr>
                <w:rFonts w:ascii="宋体" w:hAnsi="宋体" w:eastAsia="宋体" w:cs="Arial"/>
                <w:sz w:val="21"/>
                <w:szCs w:val="21"/>
              </w:rPr>
            </w:pPr>
            <w:r>
              <w:rPr>
                <w:rFonts w:hint="eastAsia" w:ascii="宋体" w:hAnsi="宋体" w:eastAsia="宋体" w:cs="Arial"/>
                <w:sz w:val="21"/>
                <w:szCs w:val="21"/>
              </w:rPr>
              <w:t>无</w:t>
            </w:r>
          </w:p>
        </w:tc>
        <w:tc>
          <w:tcPr>
            <w:tcW w:w="933" w:type="pct"/>
            <w:vAlign w:val="center"/>
          </w:tcPr>
          <w:p w14:paraId="23AD183F">
            <w:pPr>
              <w:adjustRightInd w:val="0"/>
              <w:snapToGrid w:val="0"/>
              <w:jc w:val="center"/>
              <w:rPr>
                <w:rFonts w:ascii="Arial" w:hAnsi="Arial" w:eastAsia="宋体" w:cs="Arial"/>
                <w:sz w:val="21"/>
                <w:szCs w:val="24"/>
              </w:rPr>
            </w:pPr>
            <w:r>
              <w:rPr>
                <w:rFonts w:hint="eastAsia" w:ascii="Arial" w:hAnsi="Arial" w:eastAsia="宋体" w:cs="Arial"/>
                <w:sz w:val="21"/>
                <w:szCs w:val="24"/>
              </w:rPr>
              <w:t>/</w:t>
            </w:r>
          </w:p>
        </w:tc>
        <w:tc>
          <w:tcPr>
            <w:tcW w:w="794" w:type="pct"/>
            <w:vAlign w:val="center"/>
          </w:tcPr>
          <w:p w14:paraId="4287DB50">
            <w:pPr>
              <w:widowControl/>
              <w:adjustRightInd w:val="0"/>
              <w:snapToGrid w:val="0"/>
              <w:jc w:val="center"/>
              <w:rPr>
                <w:rFonts w:ascii="Arial" w:hAnsi="Arial" w:eastAsia="宋体" w:cs="Arial"/>
                <w:kern w:val="0"/>
                <w:sz w:val="21"/>
              </w:rPr>
            </w:pPr>
            <w:r>
              <w:rPr>
                <w:rFonts w:hint="eastAsia" w:ascii="Arial" w:hAnsi="Arial" w:eastAsia="宋体" w:cs="Arial"/>
                <w:kern w:val="0"/>
                <w:sz w:val="21"/>
              </w:rPr>
              <w:t>/</w:t>
            </w:r>
          </w:p>
        </w:tc>
        <w:tc>
          <w:tcPr>
            <w:tcW w:w="1221" w:type="pct"/>
            <w:vAlign w:val="center"/>
          </w:tcPr>
          <w:p w14:paraId="70F56F44">
            <w:pPr>
              <w:widowControl/>
              <w:adjustRightInd w:val="0"/>
              <w:snapToGrid w:val="0"/>
              <w:jc w:val="center"/>
              <w:rPr>
                <w:rFonts w:ascii="Arial" w:hAnsi="Arial" w:eastAsia="宋体" w:cs="Arial"/>
                <w:kern w:val="0"/>
                <w:sz w:val="21"/>
              </w:rPr>
            </w:pPr>
            <w:r>
              <w:rPr>
                <w:rFonts w:hint="eastAsia" w:ascii="Arial" w:hAnsi="Arial" w:eastAsia="宋体" w:cs="Arial"/>
                <w:kern w:val="0"/>
                <w:sz w:val="21"/>
              </w:rPr>
              <w:t>/</w:t>
            </w:r>
          </w:p>
        </w:tc>
        <w:tc>
          <w:tcPr>
            <w:tcW w:w="1092" w:type="pct"/>
            <w:vAlign w:val="center"/>
          </w:tcPr>
          <w:p w14:paraId="12BA706D">
            <w:pPr>
              <w:widowControl/>
              <w:adjustRightInd w:val="0"/>
              <w:snapToGrid w:val="0"/>
              <w:jc w:val="center"/>
              <w:rPr>
                <w:rFonts w:ascii="Arial" w:hAnsi="Arial" w:eastAsia="宋体" w:cs="Arial"/>
                <w:kern w:val="0"/>
                <w:sz w:val="21"/>
              </w:rPr>
            </w:pPr>
            <w:r>
              <w:rPr>
                <w:rFonts w:hint="eastAsia" w:ascii="Arial" w:hAnsi="Arial" w:eastAsia="宋体" w:cs="Arial"/>
                <w:kern w:val="0"/>
                <w:sz w:val="21"/>
              </w:rPr>
              <w:t>/</w:t>
            </w:r>
          </w:p>
        </w:tc>
      </w:tr>
      <w:tr w14:paraId="17DC0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00" w:type="pct"/>
            <w:gridSpan w:val="5"/>
            <w:vAlign w:val="center"/>
          </w:tcPr>
          <w:p w14:paraId="303FBA54">
            <w:pPr>
              <w:widowControl/>
              <w:adjustRightInd w:val="0"/>
              <w:snapToGrid w:val="0"/>
              <w:jc w:val="center"/>
              <w:rPr>
                <w:rFonts w:ascii="Arial" w:hAnsi="Arial" w:eastAsia="宋体" w:cs="Arial"/>
                <w:sz w:val="21"/>
                <w:szCs w:val="21"/>
              </w:rPr>
            </w:pPr>
            <w:r>
              <w:rPr>
                <w:rFonts w:ascii="Arial" w:hAnsi="Arial" w:eastAsia="宋体" w:cs="Arial"/>
                <w:sz w:val="21"/>
                <w:szCs w:val="21"/>
              </w:rPr>
              <w:t>一般排放口</w:t>
            </w:r>
          </w:p>
        </w:tc>
      </w:tr>
      <w:tr w14:paraId="02E80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0" w:type="pct"/>
            <w:vAlign w:val="center"/>
          </w:tcPr>
          <w:p w14:paraId="6E9DEB5E">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DA145</w:t>
            </w:r>
          </w:p>
        </w:tc>
        <w:tc>
          <w:tcPr>
            <w:tcW w:w="933" w:type="pct"/>
            <w:vAlign w:val="center"/>
          </w:tcPr>
          <w:p w14:paraId="3B5B567B">
            <w:pPr>
              <w:pStyle w:val="469"/>
              <w:rPr>
                <w:rFonts w:ascii="Arial" w:hAnsi="Arial" w:cs="Arial"/>
                <w:sz w:val="21"/>
                <w:szCs w:val="21"/>
              </w:rPr>
            </w:pPr>
            <w:r>
              <w:rPr>
                <w:rFonts w:ascii="Arial" w:hAnsi="Arial" w:cs="Arial"/>
                <w:sz w:val="21"/>
                <w:szCs w:val="21"/>
              </w:rPr>
              <w:t>氨气</w:t>
            </w:r>
          </w:p>
        </w:tc>
        <w:tc>
          <w:tcPr>
            <w:tcW w:w="794" w:type="pct"/>
            <w:vAlign w:val="center"/>
          </w:tcPr>
          <w:p w14:paraId="3A1184BA">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1221" w:type="pct"/>
            <w:vAlign w:val="center"/>
          </w:tcPr>
          <w:p w14:paraId="4D1D9774">
            <w:pPr>
              <w:pStyle w:val="5"/>
              <w:adjustRightInd w:val="0"/>
              <w:snapToGrid w:val="0"/>
              <w:spacing w:line="240" w:lineRule="auto"/>
              <w:ind w:firstLine="0"/>
              <w:jc w:val="center"/>
              <w:rPr>
                <w:sz w:val="21"/>
                <w:szCs w:val="21"/>
              </w:rPr>
            </w:pPr>
            <w:r>
              <w:rPr>
                <w:rFonts w:hint="eastAsia"/>
                <w:sz w:val="21"/>
                <w:szCs w:val="21"/>
              </w:rPr>
              <w:t>0.2682</w:t>
            </w:r>
          </w:p>
        </w:tc>
        <w:tc>
          <w:tcPr>
            <w:tcW w:w="1092" w:type="pct"/>
            <w:vAlign w:val="center"/>
          </w:tcPr>
          <w:p w14:paraId="03482CB6">
            <w:pPr>
              <w:pStyle w:val="5"/>
              <w:adjustRightInd w:val="0"/>
              <w:snapToGrid w:val="0"/>
              <w:spacing w:line="240" w:lineRule="auto"/>
              <w:ind w:firstLine="0"/>
              <w:jc w:val="center"/>
              <w:rPr>
                <w:sz w:val="21"/>
                <w:szCs w:val="21"/>
              </w:rPr>
            </w:pPr>
            <w:r>
              <w:rPr>
                <w:rFonts w:hint="eastAsia"/>
                <w:sz w:val="21"/>
                <w:szCs w:val="21"/>
              </w:rPr>
              <w:t>2.1239</w:t>
            </w:r>
          </w:p>
        </w:tc>
      </w:tr>
      <w:tr w14:paraId="254EC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0" w:type="pct"/>
            <w:vMerge w:val="restart"/>
            <w:vAlign w:val="center"/>
          </w:tcPr>
          <w:p w14:paraId="1A6EDB3F">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DA146</w:t>
            </w:r>
          </w:p>
        </w:tc>
        <w:tc>
          <w:tcPr>
            <w:tcW w:w="933" w:type="pct"/>
            <w:vAlign w:val="center"/>
          </w:tcPr>
          <w:p w14:paraId="29DDB84E">
            <w:pPr>
              <w:pStyle w:val="469"/>
              <w:rPr>
                <w:rFonts w:ascii="Arial" w:hAnsi="Arial" w:cs="Arial"/>
                <w:sz w:val="21"/>
                <w:szCs w:val="21"/>
              </w:rPr>
            </w:pPr>
            <w:r>
              <w:rPr>
                <w:rFonts w:hint="eastAsia" w:ascii="Arial" w:hAnsi="Arial" w:cs="Arial"/>
                <w:sz w:val="21"/>
                <w:szCs w:val="21"/>
              </w:rPr>
              <w:t>颗粒物</w:t>
            </w:r>
          </w:p>
        </w:tc>
        <w:tc>
          <w:tcPr>
            <w:tcW w:w="794" w:type="pct"/>
            <w:vAlign w:val="center"/>
          </w:tcPr>
          <w:p w14:paraId="39F451EF">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4.45</w:t>
            </w:r>
          </w:p>
        </w:tc>
        <w:tc>
          <w:tcPr>
            <w:tcW w:w="1221" w:type="pct"/>
            <w:vAlign w:val="center"/>
          </w:tcPr>
          <w:p w14:paraId="6CF81E08">
            <w:pPr>
              <w:pStyle w:val="5"/>
              <w:adjustRightInd w:val="0"/>
              <w:snapToGrid w:val="0"/>
              <w:spacing w:line="240" w:lineRule="auto"/>
              <w:ind w:firstLine="0"/>
              <w:jc w:val="center"/>
              <w:rPr>
                <w:sz w:val="21"/>
                <w:szCs w:val="21"/>
                <w:u w:val="single"/>
              </w:rPr>
            </w:pPr>
            <w:r>
              <w:rPr>
                <w:rFonts w:hint="eastAsia"/>
                <w:sz w:val="21"/>
                <w:szCs w:val="21"/>
                <w:u w:val="single"/>
              </w:rPr>
              <w:t>0.2093</w:t>
            </w:r>
          </w:p>
        </w:tc>
        <w:tc>
          <w:tcPr>
            <w:tcW w:w="1092" w:type="pct"/>
            <w:vAlign w:val="center"/>
          </w:tcPr>
          <w:p w14:paraId="05A4FB71">
            <w:pPr>
              <w:pStyle w:val="5"/>
              <w:adjustRightInd w:val="0"/>
              <w:snapToGrid w:val="0"/>
              <w:spacing w:line="240" w:lineRule="auto"/>
              <w:ind w:firstLine="0"/>
              <w:jc w:val="center"/>
              <w:rPr>
                <w:sz w:val="21"/>
                <w:szCs w:val="21"/>
                <w:u w:val="single"/>
              </w:rPr>
            </w:pPr>
            <w:r>
              <w:rPr>
                <w:rFonts w:hint="eastAsia"/>
                <w:sz w:val="21"/>
                <w:szCs w:val="21"/>
                <w:u w:val="single"/>
              </w:rPr>
              <w:t>1.6579</w:t>
            </w:r>
          </w:p>
        </w:tc>
      </w:tr>
      <w:tr w14:paraId="2C102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0" w:type="pct"/>
            <w:vMerge w:val="continue"/>
            <w:vAlign w:val="center"/>
          </w:tcPr>
          <w:p w14:paraId="5AFA0306">
            <w:pPr>
              <w:pStyle w:val="41"/>
              <w:adjustRightInd w:val="0"/>
              <w:snapToGrid w:val="0"/>
              <w:spacing w:after="0"/>
              <w:ind w:firstLine="0" w:firstLineChars="0"/>
              <w:jc w:val="center"/>
              <w:rPr>
                <w:rFonts w:ascii="Arial" w:hAnsi="Arial" w:cs="Arial"/>
                <w:sz w:val="21"/>
                <w:szCs w:val="21"/>
              </w:rPr>
            </w:pPr>
          </w:p>
        </w:tc>
        <w:tc>
          <w:tcPr>
            <w:tcW w:w="933" w:type="pct"/>
            <w:vAlign w:val="center"/>
          </w:tcPr>
          <w:p w14:paraId="4452F2BE">
            <w:pPr>
              <w:pStyle w:val="469"/>
              <w:rPr>
                <w:rFonts w:ascii="Arial" w:hAnsi="Arial" w:cs="Arial"/>
                <w:sz w:val="21"/>
                <w:szCs w:val="21"/>
              </w:rPr>
            </w:pPr>
            <w:r>
              <w:rPr>
                <w:rFonts w:hint="eastAsia" w:ascii="Arial" w:hAnsi="Arial" w:cs="Arial"/>
                <w:sz w:val="21"/>
                <w:szCs w:val="21"/>
              </w:rPr>
              <w:t>钴及其化合物</w:t>
            </w:r>
          </w:p>
        </w:tc>
        <w:tc>
          <w:tcPr>
            <w:tcW w:w="794" w:type="pct"/>
            <w:vAlign w:val="center"/>
          </w:tcPr>
          <w:p w14:paraId="3D373CA3">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2.76</w:t>
            </w:r>
          </w:p>
        </w:tc>
        <w:tc>
          <w:tcPr>
            <w:tcW w:w="1221" w:type="pct"/>
            <w:vAlign w:val="center"/>
          </w:tcPr>
          <w:p w14:paraId="0B1E1C59">
            <w:pPr>
              <w:pStyle w:val="5"/>
              <w:adjustRightInd w:val="0"/>
              <w:snapToGrid w:val="0"/>
              <w:spacing w:line="240" w:lineRule="auto"/>
              <w:ind w:firstLine="0"/>
              <w:jc w:val="center"/>
              <w:rPr>
                <w:sz w:val="21"/>
                <w:szCs w:val="21"/>
                <w:u w:val="single"/>
              </w:rPr>
            </w:pPr>
            <w:r>
              <w:rPr>
                <w:rFonts w:hint="eastAsia"/>
                <w:sz w:val="21"/>
                <w:szCs w:val="21"/>
                <w:u w:val="single"/>
              </w:rPr>
              <w:t>0.1299</w:t>
            </w:r>
          </w:p>
        </w:tc>
        <w:tc>
          <w:tcPr>
            <w:tcW w:w="1092" w:type="pct"/>
            <w:vAlign w:val="center"/>
          </w:tcPr>
          <w:p w14:paraId="1D3241B9">
            <w:pPr>
              <w:pStyle w:val="5"/>
              <w:adjustRightInd w:val="0"/>
              <w:snapToGrid w:val="0"/>
              <w:spacing w:line="240" w:lineRule="auto"/>
              <w:ind w:firstLine="0"/>
              <w:jc w:val="center"/>
              <w:rPr>
                <w:sz w:val="21"/>
                <w:szCs w:val="21"/>
                <w:u w:val="single"/>
              </w:rPr>
            </w:pPr>
            <w:r>
              <w:rPr>
                <w:rFonts w:hint="eastAsia"/>
                <w:sz w:val="21"/>
                <w:szCs w:val="21"/>
                <w:u w:val="single"/>
              </w:rPr>
              <w:t>1.0292</w:t>
            </w:r>
          </w:p>
        </w:tc>
      </w:tr>
      <w:tr w14:paraId="2956D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0" w:type="pct"/>
            <w:vAlign w:val="center"/>
          </w:tcPr>
          <w:p w14:paraId="02276405">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w:t>
            </w:r>
            <w:r>
              <w:rPr>
                <w:rFonts w:hint="eastAsia" w:ascii="Arial" w:hAnsi="Arial" w:cs="Arial"/>
                <w:sz w:val="21"/>
                <w:szCs w:val="21"/>
              </w:rPr>
              <w:t>067*</w:t>
            </w:r>
          </w:p>
        </w:tc>
        <w:tc>
          <w:tcPr>
            <w:tcW w:w="933" w:type="pct"/>
            <w:vAlign w:val="center"/>
          </w:tcPr>
          <w:p w14:paraId="3C34D0E2">
            <w:pPr>
              <w:pStyle w:val="469"/>
              <w:rPr>
                <w:rFonts w:ascii="Arial" w:hAnsi="Arial" w:cs="Arial"/>
                <w:sz w:val="21"/>
                <w:szCs w:val="21"/>
              </w:rPr>
            </w:pPr>
            <w:r>
              <w:rPr>
                <w:rFonts w:hint="eastAsia" w:ascii="Arial" w:hAnsi="Arial" w:cs="Arial"/>
                <w:sz w:val="21"/>
                <w:szCs w:val="21"/>
              </w:rPr>
              <w:t>氨气</w:t>
            </w:r>
          </w:p>
        </w:tc>
        <w:tc>
          <w:tcPr>
            <w:tcW w:w="794" w:type="pct"/>
            <w:vAlign w:val="center"/>
          </w:tcPr>
          <w:p w14:paraId="513E495E">
            <w:pPr>
              <w:adjustRightInd w:val="0"/>
              <w:snapToGrid w:val="0"/>
              <w:jc w:val="center"/>
              <w:rPr>
                <w:rFonts w:ascii="Arial" w:hAnsi="Arial" w:eastAsia="宋体" w:cs="Arial"/>
                <w:kern w:val="0"/>
                <w:sz w:val="21"/>
              </w:rPr>
            </w:pPr>
            <w:r>
              <w:rPr>
                <w:rFonts w:hint="eastAsia" w:ascii="Arial" w:hAnsi="Arial" w:eastAsia="宋体" w:cs="Arial"/>
                <w:kern w:val="0"/>
                <w:sz w:val="21"/>
              </w:rPr>
              <w:t>0.36</w:t>
            </w:r>
          </w:p>
        </w:tc>
        <w:tc>
          <w:tcPr>
            <w:tcW w:w="1221" w:type="pct"/>
            <w:vAlign w:val="center"/>
          </w:tcPr>
          <w:p w14:paraId="5D916EC4">
            <w:pPr>
              <w:pStyle w:val="5"/>
              <w:adjustRightInd w:val="0"/>
              <w:snapToGrid w:val="0"/>
              <w:spacing w:line="240" w:lineRule="auto"/>
              <w:ind w:firstLine="0"/>
              <w:jc w:val="center"/>
              <w:rPr>
                <w:sz w:val="21"/>
                <w:szCs w:val="21"/>
              </w:rPr>
            </w:pPr>
            <w:r>
              <w:rPr>
                <w:rFonts w:hint="eastAsia"/>
                <w:sz w:val="21"/>
                <w:szCs w:val="21"/>
              </w:rPr>
              <w:t>0.0047</w:t>
            </w:r>
          </w:p>
        </w:tc>
        <w:tc>
          <w:tcPr>
            <w:tcW w:w="1092" w:type="pct"/>
            <w:vAlign w:val="center"/>
          </w:tcPr>
          <w:p w14:paraId="2F534A51">
            <w:pPr>
              <w:pStyle w:val="5"/>
              <w:adjustRightInd w:val="0"/>
              <w:snapToGrid w:val="0"/>
              <w:spacing w:line="240" w:lineRule="auto"/>
              <w:ind w:firstLine="0"/>
              <w:jc w:val="center"/>
              <w:rPr>
                <w:sz w:val="21"/>
                <w:szCs w:val="21"/>
              </w:rPr>
            </w:pPr>
            <w:r>
              <w:rPr>
                <w:rFonts w:hint="eastAsia"/>
                <w:sz w:val="21"/>
                <w:szCs w:val="21"/>
              </w:rPr>
              <w:t>0.0369</w:t>
            </w:r>
          </w:p>
        </w:tc>
      </w:tr>
      <w:tr w14:paraId="3A20C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00" w:type="pct"/>
            <w:gridSpan w:val="5"/>
            <w:vAlign w:val="center"/>
          </w:tcPr>
          <w:p w14:paraId="04332BB7">
            <w:pPr>
              <w:pStyle w:val="5"/>
              <w:adjustRightInd w:val="0"/>
              <w:snapToGrid w:val="0"/>
              <w:spacing w:line="240" w:lineRule="auto"/>
              <w:ind w:left="529" w:firstLine="0"/>
              <w:jc w:val="center"/>
              <w:rPr>
                <w:sz w:val="21"/>
                <w:szCs w:val="21"/>
              </w:rPr>
            </w:pPr>
            <w:r>
              <w:rPr>
                <w:sz w:val="21"/>
                <w:szCs w:val="21"/>
              </w:rPr>
              <w:t>有组织排放总计</w:t>
            </w:r>
          </w:p>
        </w:tc>
      </w:tr>
      <w:tr w14:paraId="6A114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0" w:type="pct"/>
            <w:vMerge w:val="restart"/>
            <w:vAlign w:val="center"/>
          </w:tcPr>
          <w:p w14:paraId="16BD5DFF">
            <w:pPr>
              <w:widowControl/>
              <w:adjustRightInd w:val="0"/>
              <w:snapToGrid w:val="0"/>
              <w:jc w:val="center"/>
              <w:rPr>
                <w:rFonts w:ascii="Arial" w:hAnsi="Arial" w:eastAsia="宋体" w:cs="Arial"/>
                <w:kern w:val="0"/>
                <w:sz w:val="21"/>
              </w:rPr>
            </w:pPr>
            <w:r>
              <w:rPr>
                <w:rFonts w:ascii="Arial" w:hAnsi="Arial" w:eastAsia="宋体" w:cs="Arial"/>
                <w:kern w:val="0"/>
                <w:sz w:val="21"/>
              </w:rPr>
              <w:t>有组织排放总计</w:t>
            </w:r>
          </w:p>
        </w:tc>
        <w:tc>
          <w:tcPr>
            <w:tcW w:w="933" w:type="pct"/>
            <w:vAlign w:val="center"/>
          </w:tcPr>
          <w:p w14:paraId="79CBB821">
            <w:pPr>
              <w:pStyle w:val="469"/>
              <w:rPr>
                <w:rFonts w:ascii="Arial" w:hAnsi="Arial" w:cs="Arial"/>
                <w:sz w:val="21"/>
                <w:szCs w:val="21"/>
              </w:rPr>
            </w:pPr>
            <w:r>
              <w:rPr>
                <w:rFonts w:ascii="Arial" w:hAnsi="Arial" w:cs="Arial"/>
                <w:sz w:val="21"/>
                <w:szCs w:val="21"/>
              </w:rPr>
              <w:t>氨气</w:t>
            </w:r>
          </w:p>
        </w:tc>
        <w:tc>
          <w:tcPr>
            <w:tcW w:w="3107" w:type="pct"/>
            <w:gridSpan w:val="3"/>
            <w:vAlign w:val="center"/>
          </w:tcPr>
          <w:p w14:paraId="1763C88C">
            <w:pPr>
              <w:pStyle w:val="5"/>
              <w:adjustRightInd w:val="0"/>
              <w:snapToGrid w:val="0"/>
              <w:spacing w:line="240" w:lineRule="auto"/>
              <w:ind w:firstLine="0"/>
              <w:jc w:val="center"/>
              <w:rPr>
                <w:sz w:val="21"/>
                <w:szCs w:val="21"/>
              </w:rPr>
            </w:pPr>
            <w:r>
              <w:rPr>
                <w:rFonts w:hint="eastAsia"/>
                <w:sz w:val="21"/>
                <w:szCs w:val="21"/>
              </w:rPr>
              <w:t>2.1608</w:t>
            </w:r>
          </w:p>
        </w:tc>
      </w:tr>
      <w:tr w14:paraId="795F3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0" w:type="pct"/>
            <w:vMerge w:val="continue"/>
            <w:vAlign w:val="center"/>
          </w:tcPr>
          <w:p w14:paraId="34F940A0">
            <w:pPr>
              <w:widowControl/>
              <w:adjustRightInd w:val="0"/>
              <w:snapToGrid w:val="0"/>
              <w:jc w:val="center"/>
              <w:rPr>
                <w:rFonts w:ascii="Arial" w:hAnsi="Arial" w:eastAsia="宋体" w:cs="Arial"/>
                <w:kern w:val="0"/>
                <w:sz w:val="21"/>
              </w:rPr>
            </w:pPr>
          </w:p>
        </w:tc>
        <w:tc>
          <w:tcPr>
            <w:tcW w:w="933" w:type="pct"/>
            <w:vAlign w:val="center"/>
          </w:tcPr>
          <w:p w14:paraId="5930FBFC">
            <w:pPr>
              <w:pStyle w:val="469"/>
              <w:rPr>
                <w:rFonts w:ascii="Arial" w:hAnsi="Arial" w:cs="Arial"/>
                <w:sz w:val="21"/>
                <w:szCs w:val="21"/>
              </w:rPr>
            </w:pPr>
            <w:r>
              <w:rPr>
                <w:rFonts w:hint="eastAsia" w:ascii="Arial" w:hAnsi="Arial" w:cs="Arial"/>
                <w:sz w:val="21"/>
                <w:szCs w:val="21"/>
              </w:rPr>
              <w:t>颗粒物</w:t>
            </w:r>
          </w:p>
        </w:tc>
        <w:tc>
          <w:tcPr>
            <w:tcW w:w="3107" w:type="pct"/>
            <w:gridSpan w:val="3"/>
            <w:vAlign w:val="center"/>
          </w:tcPr>
          <w:p w14:paraId="473FE5C9">
            <w:pPr>
              <w:pStyle w:val="5"/>
              <w:adjustRightInd w:val="0"/>
              <w:snapToGrid w:val="0"/>
              <w:spacing w:line="240" w:lineRule="auto"/>
              <w:ind w:firstLine="0"/>
              <w:jc w:val="center"/>
              <w:rPr>
                <w:sz w:val="21"/>
                <w:szCs w:val="21"/>
                <w:u w:val="single"/>
              </w:rPr>
            </w:pPr>
            <w:r>
              <w:rPr>
                <w:rFonts w:hint="eastAsia"/>
                <w:sz w:val="21"/>
                <w:szCs w:val="21"/>
                <w:u w:val="single"/>
              </w:rPr>
              <w:t>1.6579</w:t>
            </w:r>
          </w:p>
        </w:tc>
      </w:tr>
      <w:tr w14:paraId="1B397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60" w:type="pct"/>
            <w:vMerge w:val="continue"/>
            <w:vAlign w:val="center"/>
          </w:tcPr>
          <w:p w14:paraId="54EC568A">
            <w:pPr>
              <w:widowControl/>
              <w:adjustRightInd w:val="0"/>
              <w:snapToGrid w:val="0"/>
              <w:jc w:val="center"/>
              <w:rPr>
                <w:rFonts w:ascii="Arial" w:hAnsi="Arial" w:eastAsia="宋体" w:cs="Arial"/>
                <w:kern w:val="0"/>
                <w:sz w:val="21"/>
              </w:rPr>
            </w:pPr>
          </w:p>
        </w:tc>
        <w:tc>
          <w:tcPr>
            <w:tcW w:w="933" w:type="pct"/>
            <w:vAlign w:val="center"/>
          </w:tcPr>
          <w:p w14:paraId="09C0C646">
            <w:pPr>
              <w:pStyle w:val="469"/>
              <w:rPr>
                <w:rFonts w:ascii="Arial" w:hAnsi="Arial" w:cs="Arial"/>
                <w:sz w:val="21"/>
                <w:szCs w:val="21"/>
              </w:rPr>
            </w:pPr>
            <w:r>
              <w:rPr>
                <w:rFonts w:hint="eastAsia" w:ascii="Arial" w:hAnsi="Arial" w:cs="Arial"/>
                <w:sz w:val="21"/>
                <w:szCs w:val="21"/>
              </w:rPr>
              <w:t>钴及其化合物</w:t>
            </w:r>
          </w:p>
        </w:tc>
        <w:tc>
          <w:tcPr>
            <w:tcW w:w="3107" w:type="pct"/>
            <w:gridSpan w:val="3"/>
            <w:vAlign w:val="center"/>
          </w:tcPr>
          <w:p w14:paraId="4383329D">
            <w:pPr>
              <w:pStyle w:val="5"/>
              <w:adjustRightInd w:val="0"/>
              <w:snapToGrid w:val="0"/>
              <w:spacing w:line="240" w:lineRule="auto"/>
              <w:ind w:firstLine="0"/>
              <w:jc w:val="center"/>
              <w:rPr>
                <w:sz w:val="21"/>
                <w:szCs w:val="21"/>
                <w:u w:val="single"/>
              </w:rPr>
            </w:pPr>
            <w:r>
              <w:rPr>
                <w:rFonts w:hint="eastAsia"/>
                <w:sz w:val="21"/>
                <w:szCs w:val="21"/>
                <w:u w:val="single"/>
              </w:rPr>
              <w:t>1.0292</w:t>
            </w:r>
          </w:p>
        </w:tc>
      </w:tr>
    </w:tbl>
    <w:p w14:paraId="0707E247">
      <w:pPr>
        <w:adjustRightInd w:val="0"/>
        <w:snapToGrid w:val="0"/>
        <w:ind w:firstLine="430" w:firstLineChars="200"/>
        <w:rPr>
          <w:rFonts w:ascii="Arial" w:hAnsi="Arial" w:eastAsia="宋体" w:cs="Arial"/>
          <w:spacing w:val="10"/>
          <w:sz w:val="21"/>
        </w:rPr>
      </w:pPr>
      <w:r>
        <w:rPr>
          <w:rFonts w:hint="eastAsia" w:ascii="Arial" w:hAnsi="Arial" w:eastAsia="宋体" w:cs="Arial"/>
          <w:spacing w:val="10"/>
          <w:sz w:val="21"/>
        </w:rPr>
        <w:t>*依托的DA067排气筒仅核算本项目排放量。</w:t>
      </w:r>
    </w:p>
    <w:p w14:paraId="54807B75">
      <w:pPr>
        <w:spacing w:line="500" w:lineRule="exact"/>
        <w:ind w:firstLine="490" w:firstLineChars="200"/>
        <w:rPr>
          <w:rFonts w:ascii="Arial" w:hAnsi="Arial" w:eastAsia="宋体" w:cs="Arial"/>
          <w:spacing w:val="10"/>
          <w:sz w:val="24"/>
        </w:rPr>
      </w:pPr>
      <w:r>
        <w:rPr>
          <w:rFonts w:ascii="Arial" w:hAnsi="Arial" w:eastAsia="宋体" w:cs="Arial"/>
          <w:spacing w:val="10"/>
          <w:sz w:val="24"/>
        </w:rPr>
        <w:t>2、无组织排放量核算</w:t>
      </w:r>
    </w:p>
    <w:p w14:paraId="600D2426">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项目变更后大气污染物无组织排放量核算</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8"/>
        <w:gridCol w:w="1401"/>
        <w:gridCol w:w="1414"/>
        <w:gridCol w:w="2097"/>
        <w:gridCol w:w="1122"/>
        <w:gridCol w:w="991"/>
      </w:tblGrid>
      <w:tr w14:paraId="7B41A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4" w:type="pct"/>
            <w:vMerge w:val="restart"/>
            <w:shd w:val="clear" w:color="auto" w:fill="auto"/>
            <w:vAlign w:val="center"/>
          </w:tcPr>
          <w:p w14:paraId="7330AE2D">
            <w:pPr>
              <w:pStyle w:val="5"/>
              <w:adjustRightInd w:val="0"/>
              <w:snapToGrid w:val="0"/>
              <w:spacing w:line="240" w:lineRule="auto"/>
              <w:ind w:firstLine="0"/>
              <w:jc w:val="center"/>
              <w:rPr>
                <w:sz w:val="21"/>
                <w:szCs w:val="21"/>
              </w:rPr>
            </w:pPr>
            <w:r>
              <w:rPr>
                <w:sz w:val="21"/>
                <w:szCs w:val="21"/>
              </w:rPr>
              <w:t>产污环节</w:t>
            </w:r>
          </w:p>
        </w:tc>
        <w:tc>
          <w:tcPr>
            <w:tcW w:w="779" w:type="pct"/>
            <w:vMerge w:val="restart"/>
            <w:shd w:val="clear" w:color="auto" w:fill="auto"/>
            <w:vAlign w:val="center"/>
          </w:tcPr>
          <w:p w14:paraId="2D96F587">
            <w:pPr>
              <w:pStyle w:val="5"/>
              <w:adjustRightInd w:val="0"/>
              <w:snapToGrid w:val="0"/>
              <w:spacing w:line="240" w:lineRule="auto"/>
              <w:ind w:firstLine="0"/>
              <w:jc w:val="center"/>
              <w:rPr>
                <w:sz w:val="21"/>
                <w:szCs w:val="21"/>
              </w:rPr>
            </w:pPr>
            <w:r>
              <w:rPr>
                <w:sz w:val="21"/>
                <w:szCs w:val="21"/>
              </w:rPr>
              <w:t>污染物</w:t>
            </w:r>
          </w:p>
        </w:tc>
        <w:tc>
          <w:tcPr>
            <w:tcW w:w="786" w:type="pct"/>
            <w:vMerge w:val="restart"/>
            <w:shd w:val="clear" w:color="auto" w:fill="auto"/>
            <w:vAlign w:val="center"/>
          </w:tcPr>
          <w:p w14:paraId="1355F537">
            <w:pPr>
              <w:pStyle w:val="5"/>
              <w:adjustRightInd w:val="0"/>
              <w:snapToGrid w:val="0"/>
              <w:spacing w:line="240" w:lineRule="auto"/>
              <w:ind w:firstLine="0"/>
              <w:jc w:val="center"/>
              <w:rPr>
                <w:sz w:val="21"/>
                <w:szCs w:val="21"/>
              </w:rPr>
            </w:pPr>
            <w:r>
              <w:rPr>
                <w:sz w:val="21"/>
                <w:szCs w:val="21"/>
              </w:rPr>
              <w:t>主要污染防治措施</w:t>
            </w:r>
          </w:p>
        </w:tc>
        <w:tc>
          <w:tcPr>
            <w:tcW w:w="1790" w:type="pct"/>
            <w:gridSpan w:val="2"/>
            <w:shd w:val="clear" w:color="auto" w:fill="auto"/>
            <w:vAlign w:val="center"/>
          </w:tcPr>
          <w:p w14:paraId="63AD0928">
            <w:pPr>
              <w:pStyle w:val="5"/>
              <w:adjustRightInd w:val="0"/>
              <w:snapToGrid w:val="0"/>
              <w:spacing w:line="240" w:lineRule="auto"/>
              <w:ind w:firstLine="0"/>
              <w:jc w:val="center"/>
              <w:rPr>
                <w:sz w:val="21"/>
                <w:szCs w:val="21"/>
              </w:rPr>
            </w:pPr>
            <w:r>
              <w:rPr>
                <w:sz w:val="21"/>
                <w:szCs w:val="21"/>
              </w:rPr>
              <w:t>国家或地方污染物排放标准</w:t>
            </w:r>
          </w:p>
        </w:tc>
        <w:tc>
          <w:tcPr>
            <w:tcW w:w="551" w:type="pct"/>
            <w:vMerge w:val="restart"/>
            <w:shd w:val="clear" w:color="auto" w:fill="auto"/>
            <w:vAlign w:val="center"/>
          </w:tcPr>
          <w:p w14:paraId="00453CFF">
            <w:pPr>
              <w:pStyle w:val="5"/>
              <w:adjustRightInd w:val="0"/>
              <w:snapToGrid w:val="0"/>
              <w:spacing w:line="240" w:lineRule="auto"/>
              <w:ind w:firstLine="0"/>
              <w:jc w:val="center"/>
              <w:rPr>
                <w:sz w:val="21"/>
                <w:szCs w:val="21"/>
              </w:rPr>
            </w:pPr>
            <w:r>
              <w:rPr>
                <w:sz w:val="21"/>
                <w:szCs w:val="21"/>
              </w:rPr>
              <w:t>排放量t/a</w:t>
            </w:r>
          </w:p>
        </w:tc>
      </w:tr>
      <w:tr w14:paraId="1B698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4" w:type="pct"/>
            <w:vMerge w:val="continue"/>
            <w:shd w:val="clear" w:color="auto" w:fill="auto"/>
            <w:vAlign w:val="center"/>
          </w:tcPr>
          <w:p w14:paraId="1FBB4D54">
            <w:pPr>
              <w:pStyle w:val="5"/>
              <w:adjustRightInd w:val="0"/>
              <w:snapToGrid w:val="0"/>
              <w:spacing w:line="240" w:lineRule="auto"/>
              <w:ind w:firstLine="0"/>
              <w:jc w:val="center"/>
              <w:rPr>
                <w:sz w:val="21"/>
                <w:szCs w:val="21"/>
              </w:rPr>
            </w:pPr>
          </w:p>
        </w:tc>
        <w:tc>
          <w:tcPr>
            <w:tcW w:w="779" w:type="pct"/>
            <w:vMerge w:val="continue"/>
            <w:shd w:val="clear" w:color="auto" w:fill="auto"/>
            <w:vAlign w:val="center"/>
          </w:tcPr>
          <w:p w14:paraId="6F924A7B">
            <w:pPr>
              <w:pStyle w:val="5"/>
              <w:adjustRightInd w:val="0"/>
              <w:snapToGrid w:val="0"/>
              <w:spacing w:line="240" w:lineRule="auto"/>
              <w:ind w:firstLine="0"/>
              <w:jc w:val="center"/>
              <w:rPr>
                <w:sz w:val="21"/>
                <w:szCs w:val="21"/>
              </w:rPr>
            </w:pPr>
          </w:p>
        </w:tc>
        <w:tc>
          <w:tcPr>
            <w:tcW w:w="786" w:type="pct"/>
            <w:vMerge w:val="continue"/>
            <w:shd w:val="clear" w:color="auto" w:fill="auto"/>
            <w:vAlign w:val="center"/>
          </w:tcPr>
          <w:p w14:paraId="5A404F03">
            <w:pPr>
              <w:pStyle w:val="5"/>
              <w:adjustRightInd w:val="0"/>
              <w:snapToGrid w:val="0"/>
              <w:spacing w:line="240" w:lineRule="auto"/>
              <w:ind w:firstLine="0"/>
              <w:jc w:val="center"/>
              <w:rPr>
                <w:sz w:val="21"/>
                <w:szCs w:val="21"/>
              </w:rPr>
            </w:pPr>
          </w:p>
        </w:tc>
        <w:tc>
          <w:tcPr>
            <w:tcW w:w="1166" w:type="pct"/>
            <w:shd w:val="clear" w:color="auto" w:fill="auto"/>
            <w:vAlign w:val="center"/>
          </w:tcPr>
          <w:p w14:paraId="70240984">
            <w:pPr>
              <w:pStyle w:val="469"/>
              <w:autoSpaceDE w:val="0"/>
              <w:autoSpaceDN w:val="0"/>
              <w:rPr>
                <w:rFonts w:ascii="Arial" w:hAnsi="Arial" w:cs="Arial"/>
                <w:kern w:val="0"/>
                <w:sz w:val="21"/>
                <w:szCs w:val="21"/>
              </w:rPr>
            </w:pPr>
            <w:r>
              <w:rPr>
                <w:rFonts w:ascii="Arial" w:hAnsi="Arial" w:cs="Arial"/>
                <w:kern w:val="0"/>
                <w:sz w:val="21"/>
                <w:szCs w:val="21"/>
              </w:rPr>
              <w:t>名称</w:t>
            </w:r>
          </w:p>
        </w:tc>
        <w:tc>
          <w:tcPr>
            <w:tcW w:w="624" w:type="pct"/>
            <w:shd w:val="clear" w:color="auto" w:fill="auto"/>
            <w:vAlign w:val="center"/>
          </w:tcPr>
          <w:p w14:paraId="318E0E95">
            <w:pPr>
              <w:pStyle w:val="469"/>
              <w:autoSpaceDE w:val="0"/>
              <w:autoSpaceDN w:val="0"/>
              <w:rPr>
                <w:rFonts w:ascii="Arial" w:hAnsi="Arial" w:cs="Arial"/>
                <w:kern w:val="0"/>
                <w:sz w:val="21"/>
                <w:szCs w:val="21"/>
              </w:rPr>
            </w:pPr>
            <w:r>
              <w:rPr>
                <w:rFonts w:ascii="Arial" w:hAnsi="Arial" w:cs="Arial"/>
                <w:kern w:val="0"/>
                <w:sz w:val="21"/>
                <w:szCs w:val="21"/>
              </w:rPr>
              <w:t>浓度限值</w:t>
            </w:r>
          </w:p>
          <w:p w14:paraId="31D226E6">
            <w:pPr>
              <w:pStyle w:val="469"/>
              <w:autoSpaceDE w:val="0"/>
              <w:autoSpaceDN w:val="0"/>
              <w:rPr>
                <w:rFonts w:ascii="Arial" w:hAnsi="Arial" w:cs="Arial"/>
                <w:kern w:val="0"/>
                <w:sz w:val="21"/>
                <w:szCs w:val="21"/>
              </w:rPr>
            </w:pPr>
            <w:r>
              <w:rPr>
                <w:rFonts w:ascii="Arial" w:hAnsi="Arial" w:cs="Arial"/>
                <w:kern w:val="0"/>
                <w:sz w:val="21"/>
                <w:szCs w:val="21"/>
              </w:rPr>
              <w:t>mg/m</w:t>
            </w:r>
            <w:r>
              <w:rPr>
                <w:rFonts w:ascii="Arial" w:hAnsi="Arial" w:cs="Arial"/>
                <w:kern w:val="0"/>
                <w:sz w:val="21"/>
                <w:szCs w:val="21"/>
                <w:vertAlign w:val="superscript"/>
              </w:rPr>
              <w:t>3</w:t>
            </w:r>
          </w:p>
        </w:tc>
        <w:tc>
          <w:tcPr>
            <w:tcW w:w="551" w:type="pct"/>
            <w:vMerge w:val="continue"/>
            <w:shd w:val="clear" w:color="auto" w:fill="auto"/>
            <w:vAlign w:val="center"/>
          </w:tcPr>
          <w:p w14:paraId="662B04F1">
            <w:pPr>
              <w:pStyle w:val="5"/>
              <w:adjustRightInd w:val="0"/>
              <w:snapToGrid w:val="0"/>
              <w:spacing w:line="240" w:lineRule="auto"/>
              <w:ind w:firstLine="0"/>
              <w:jc w:val="center"/>
              <w:rPr>
                <w:sz w:val="21"/>
                <w:szCs w:val="21"/>
              </w:rPr>
            </w:pPr>
          </w:p>
        </w:tc>
      </w:tr>
      <w:tr w14:paraId="1EAAD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4" w:type="pct"/>
            <w:shd w:val="clear" w:color="auto" w:fill="auto"/>
            <w:vAlign w:val="center"/>
          </w:tcPr>
          <w:p w14:paraId="3A20C0C5">
            <w:pPr>
              <w:pStyle w:val="5"/>
              <w:adjustRightInd w:val="0"/>
              <w:snapToGrid w:val="0"/>
              <w:spacing w:line="240" w:lineRule="auto"/>
              <w:ind w:firstLine="0"/>
              <w:jc w:val="center"/>
              <w:rPr>
                <w:sz w:val="21"/>
                <w:szCs w:val="21"/>
              </w:rPr>
            </w:pPr>
            <w:r>
              <w:rPr>
                <w:rFonts w:hint="eastAsia"/>
                <w:sz w:val="21"/>
                <w:szCs w:val="21"/>
              </w:rPr>
              <w:t>X19车间</w:t>
            </w:r>
          </w:p>
        </w:tc>
        <w:tc>
          <w:tcPr>
            <w:tcW w:w="779" w:type="pct"/>
            <w:shd w:val="clear" w:color="auto" w:fill="auto"/>
            <w:vAlign w:val="center"/>
          </w:tcPr>
          <w:p w14:paraId="15902900">
            <w:pPr>
              <w:pStyle w:val="5"/>
              <w:adjustRightInd w:val="0"/>
              <w:snapToGrid w:val="0"/>
              <w:spacing w:line="240" w:lineRule="auto"/>
              <w:ind w:firstLine="0"/>
              <w:jc w:val="center"/>
              <w:rPr>
                <w:sz w:val="21"/>
                <w:szCs w:val="21"/>
              </w:rPr>
            </w:pPr>
            <w:r>
              <w:rPr>
                <w:rFonts w:hint="eastAsia"/>
                <w:sz w:val="21"/>
                <w:szCs w:val="21"/>
              </w:rPr>
              <w:t>氨气</w:t>
            </w:r>
          </w:p>
        </w:tc>
        <w:tc>
          <w:tcPr>
            <w:tcW w:w="786" w:type="pct"/>
            <w:shd w:val="clear" w:color="auto" w:fill="auto"/>
            <w:vAlign w:val="center"/>
          </w:tcPr>
          <w:p w14:paraId="568199E6">
            <w:pPr>
              <w:pStyle w:val="5"/>
              <w:adjustRightInd w:val="0"/>
              <w:snapToGrid w:val="0"/>
              <w:spacing w:line="240" w:lineRule="auto"/>
              <w:ind w:firstLine="0"/>
              <w:jc w:val="center"/>
              <w:rPr>
                <w:sz w:val="21"/>
                <w:szCs w:val="21"/>
              </w:rPr>
            </w:pPr>
            <w:r>
              <w:rPr>
                <w:sz w:val="21"/>
                <w:szCs w:val="21"/>
              </w:rPr>
              <w:t>无</w:t>
            </w:r>
          </w:p>
        </w:tc>
        <w:tc>
          <w:tcPr>
            <w:tcW w:w="1166" w:type="pct"/>
            <w:shd w:val="clear" w:color="auto" w:fill="auto"/>
            <w:vAlign w:val="center"/>
          </w:tcPr>
          <w:p w14:paraId="44F9EF89">
            <w:pPr>
              <w:pStyle w:val="5"/>
              <w:adjustRightInd w:val="0"/>
              <w:snapToGrid w:val="0"/>
              <w:spacing w:line="240" w:lineRule="auto"/>
              <w:ind w:firstLine="0"/>
              <w:jc w:val="center"/>
              <w:rPr>
                <w:sz w:val="21"/>
                <w:szCs w:val="21"/>
              </w:rPr>
            </w:pPr>
            <w:r>
              <w:rPr>
                <w:sz w:val="21"/>
                <w:szCs w:val="21"/>
              </w:rPr>
              <w:t>《无机化学工业污染物排放标准》（GB31573-2015）</w:t>
            </w:r>
          </w:p>
        </w:tc>
        <w:tc>
          <w:tcPr>
            <w:tcW w:w="624" w:type="pct"/>
            <w:shd w:val="clear" w:color="auto" w:fill="auto"/>
            <w:vAlign w:val="center"/>
          </w:tcPr>
          <w:p w14:paraId="43673296">
            <w:pPr>
              <w:pStyle w:val="5"/>
              <w:adjustRightInd w:val="0"/>
              <w:snapToGrid w:val="0"/>
              <w:spacing w:line="240" w:lineRule="auto"/>
              <w:ind w:firstLine="0"/>
              <w:jc w:val="center"/>
              <w:rPr>
                <w:sz w:val="21"/>
                <w:szCs w:val="21"/>
              </w:rPr>
            </w:pPr>
            <w:r>
              <w:rPr>
                <w:rFonts w:hint="eastAsia"/>
                <w:sz w:val="21"/>
                <w:szCs w:val="21"/>
              </w:rPr>
              <w:t>0.3</w:t>
            </w:r>
          </w:p>
        </w:tc>
        <w:tc>
          <w:tcPr>
            <w:tcW w:w="551" w:type="pct"/>
            <w:shd w:val="clear" w:color="auto" w:fill="auto"/>
            <w:vAlign w:val="center"/>
          </w:tcPr>
          <w:p w14:paraId="690C79D5">
            <w:pPr>
              <w:pStyle w:val="5"/>
              <w:adjustRightInd w:val="0"/>
              <w:snapToGrid w:val="0"/>
              <w:spacing w:line="240" w:lineRule="auto"/>
              <w:ind w:firstLine="0"/>
              <w:jc w:val="center"/>
              <w:rPr>
                <w:sz w:val="21"/>
                <w:szCs w:val="21"/>
              </w:rPr>
            </w:pPr>
            <w:r>
              <w:rPr>
                <w:rFonts w:hint="eastAsia"/>
                <w:sz w:val="21"/>
                <w:szCs w:val="21"/>
              </w:rPr>
              <w:t>1.1791</w:t>
            </w:r>
          </w:p>
        </w:tc>
      </w:tr>
      <w:tr w14:paraId="7C4A4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shd w:val="clear" w:color="auto" w:fill="auto"/>
            <w:vAlign w:val="center"/>
          </w:tcPr>
          <w:p w14:paraId="1BD2AD2D">
            <w:pPr>
              <w:pStyle w:val="5"/>
              <w:adjustRightInd w:val="0"/>
              <w:snapToGrid w:val="0"/>
              <w:spacing w:line="240" w:lineRule="auto"/>
              <w:ind w:firstLine="0"/>
              <w:jc w:val="center"/>
              <w:rPr>
                <w:sz w:val="21"/>
                <w:szCs w:val="21"/>
              </w:rPr>
            </w:pPr>
            <w:r>
              <w:rPr>
                <w:sz w:val="21"/>
                <w:szCs w:val="21"/>
              </w:rPr>
              <w:t>无组织排放总计</w:t>
            </w:r>
          </w:p>
        </w:tc>
      </w:tr>
      <w:tr w14:paraId="710CA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4" w:type="pct"/>
            <w:shd w:val="clear" w:color="auto" w:fill="auto"/>
            <w:vAlign w:val="center"/>
          </w:tcPr>
          <w:p w14:paraId="49C92AF4">
            <w:pPr>
              <w:pStyle w:val="5"/>
              <w:adjustRightInd w:val="0"/>
              <w:snapToGrid w:val="0"/>
              <w:spacing w:line="240" w:lineRule="auto"/>
              <w:ind w:firstLine="0"/>
              <w:jc w:val="center"/>
              <w:rPr>
                <w:sz w:val="21"/>
                <w:szCs w:val="21"/>
              </w:rPr>
            </w:pPr>
            <w:r>
              <w:rPr>
                <w:sz w:val="21"/>
                <w:szCs w:val="21"/>
              </w:rPr>
              <w:t>无组织排放总计</w:t>
            </w:r>
          </w:p>
        </w:tc>
        <w:tc>
          <w:tcPr>
            <w:tcW w:w="779" w:type="pct"/>
            <w:shd w:val="clear" w:color="auto" w:fill="auto"/>
            <w:vAlign w:val="center"/>
          </w:tcPr>
          <w:p w14:paraId="4581A762">
            <w:pPr>
              <w:pStyle w:val="5"/>
              <w:adjustRightInd w:val="0"/>
              <w:snapToGrid w:val="0"/>
              <w:spacing w:line="240" w:lineRule="auto"/>
              <w:ind w:firstLine="0"/>
              <w:jc w:val="center"/>
              <w:rPr>
                <w:sz w:val="21"/>
                <w:szCs w:val="21"/>
              </w:rPr>
            </w:pPr>
            <w:r>
              <w:rPr>
                <w:rFonts w:hint="eastAsia"/>
                <w:sz w:val="21"/>
                <w:szCs w:val="21"/>
              </w:rPr>
              <w:t>氨气</w:t>
            </w:r>
          </w:p>
        </w:tc>
        <w:tc>
          <w:tcPr>
            <w:tcW w:w="3127" w:type="pct"/>
            <w:gridSpan w:val="4"/>
            <w:shd w:val="clear" w:color="auto" w:fill="auto"/>
            <w:vAlign w:val="center"/>
          </w:tcPr>
          <w:p w14:paraId="19FF4527">
            <w:pPr>
              <w:pStyle w:val="5"/>
              <w:adjustRightInd w:val="0"/>
              <w:snapToGrid w:val="0"/>
              <w:spacing w:line="240" w:lineRule="auto"/>
              <w:ind w:firstLine="0"/>
              <w:jc w:val="center"/>
              <w:rPr>
                <w:sz w:val="21"/>
                <w:szCs w:val="21"/>
              </w:rPr>
            </w:pPr>
            <w:r>
              <w:rPr>
                <w:rFonts w:hint="eastAsia"/>
                <w:sz w:val="21"/>
                <w:szCs w:val="21"/>
              </w:rPr>
              <w:t>1.1791</w:t>
            </w:r>
          </w:p>
        </w:tc>
      </w:tr>
    </w:tbl>
    <w:p w14:paraId="0D916438">
      <w:pPr>
        <w:spacing w:line="500" w:lineRule="exact"/>
        <w:ind w:firstLine="490" w:firstLineChars="200"/>
        <w:rPr>
          <w:rFonts w:ascii="Arial" w:hAnsi="Arial" w:eastAsia="宋体" w:cs="Arial"/>
          <w:spacing w:val="10"/>
          <w:sz w:val="24"/>
        </w:rPr>
      </w:pPr>
      <w:r>
        <w:rPr>
          <w:rFonts w:ascii="Arial" w:hAnsi="Arial" w:eastAsia="宋体" w:cs="Arial"/>
          <w:spacing w:val="10"/>
          <w:sz w:val="24"/>
        </w:rPr>
        <w:t>3、项目大气污染物年排放量核算</w:t>
      </w:r>
    </w:p>
    <w:p w14:paraId="1DBE6707">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项目变更后大气污染物年排放量核算表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9"/>
        <w:gridCol w:w="3675"/>
        <w:gridCol w:w="3739"/>
      </w:tblGrid>
      <w:tr w14:paraId="7135F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2C83313D">
            <w:pPr>
              <w:pStyle w:val="5"/>
              <w:adjustRightInd w:val="0"/>
              <w:snapToGrid w:val="0"/>
              <w:spacing w:line="240" w:lineRule="auto"/>
              <w:ind w:firstLine="0"/>
              <w:jc w:val="center"/>
              <w:rPr>
                <w:sz w:val="21"/>
                <w:szCs w:val="21"/>
              </w:rPr>
            </w:pPr>
            <w:r>
              <w:rPr>
                <w:sz w:val="21"/>
                <w:szCs w:val="21"/>
              </w:rPr>
              <w:t>序号</w:t>
            </w:r>
          </w:p>
        </w:tc>
        <w:tc>
          <w:tcPr>
            <w:tcW w:w="2043" w:type="pct"/>
            <w:vAlign w:val="center"/>
          </w:tcPr>
          <w:p w14:paraId="4004C5C1">
            <w:pPr>
              <w:pStyle w:val="5"/>
              <w:adjustRightInd w:val="0"/>
              <w:snapToGrid w:val="0"/>
              <w:spacing w:line="240" w:lineRule="auto"/>
              <w:ind w:firstLine="0"/>
              <w:jc w:val="center"/>
              <w:rPr>
                <w:sz w:val="21"/>
                <w:szCs w:val="21"/>
              </w:rPr>
            </w:pPr>
            <w:r>
              <w:rPr>
                <w:sz w:val="21"/>
                <w:szCs w:val="21"/>
              </w:rPr>
              <w:t>污染物</w:t>
            </w:r>
          </w:p>
        </w:tc>
        <w:tc>
          <w:tcPr>
            <w:tcW w:w="2079" w:type="pct"/>
            <w:vAlign w:val="center"/>
          </w:tcPr>
          <w:p w14:paraId="122359BA">
            <w:pPr>
              <w:pStyle w:val="5"/>
              <w:adjustRightInd w:val="0"/>
              <w:snapToGrid w:val="0"/>
              <w:spacing w:line="240" w:lineRule="auto"/>
              <w:ind w:firstLine="0"/>
              <w:jc w:val="center"/>
              <w:rPr>
                <w:sz w:val="21"/>
                <w:szCs w:val="21"/>
              </w:rPr>
            </w:pPr>
            <w:r>
              <w:rPr>
                <w:sz w:val="21"/>
                <w:szCs w:val="21"/>
              </w:rPr>
              <w:t>排放量（t/a）</w:t>
            </w:r>
          </w:p>
        </w:tc>
      </w:tr>
      <w:tr w14:paraId="7D1B2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3EFF4468">
            <w:pPr>
              <w:pStyle w:val="5"/>
              <w:adjustRightInd w:val="0"/>
              <w:snapToGrid w:val="0"/>
              <w:spacing w:line="240" w:lineRule="auto"/>
              <w:ind w:firstLine="0"/>
              <w:jc w:val="center"/>
              <w:rPr>
                <w:sz w:val="21"/>
                <w:szCs w:val="21"/>
              </w:rPr>
            </w:pPr>
            <w:r>
              <w:rPr>
                <w:sz w:val="21"/>
                <w:szCs w:val="21"/>
              </w:rPr>
              <w:t>1</w:t>
            </w:r>
          </w:p>
        </w:tc>
        <w:tc>
          <w:tcPr>
            <w:tcW w:w="2043" w:type="pct"/>
            <w:vAlign w:val="center"/>
          </w:tcPr>
          <w:p w14:paraId="61F02604">
            <w:pPr>
              <w:adjustRightInd w:val="0"/>
              <w:snapToGrid w:val="0"/>
              <w:jc w:val="center"/>
              <w:rPr>
                <w:rFonts w:ascii="Arial" w:hAnsi="Arial" w:eastAsia="宋体" w:cs="Arial"/>
                <w:sz w:val="21"/>
                <w:szCs w:val="24"/>
              </w:rPr>
            </w:pPr>
            <w:r>
              <w:rPr>
                <w:rFonts w:ascii="Arial" w:hAnsi="Arial" w:eastAsia="宋体" w:cs="Arial"/>
                <w:sz w:val="21"/>
                <w:szCs w:val="24"/>
              </w:rPr>
              <w:t>颗粒物</w:t>
            </w:r>
          </w:p>
        </w:tc>
        <w:tc>
          <w:tcPr>
            <w:tcW w:w="2079" w:type="pct"/>
            <w:vAlign w:val="center"/>
          </w:tcPr>
          <w:p w14:paraId="54EF584B">
            <w:pPr>
              <w:pStyle w:val="5"/>
              <w:adjustRightInd w:val="0"/>
              <w:snapToGrid w:val="0"/>
              <w:spacing w:line="240" w:lineRule="auto"/>
              <w:ind w:firstLine="0"/>
              <w:jc w:val="center"/>
              <w:rPr>
                <w:sz w:val="21"/>
                <w:szCs w:val="21"/>
                <w:u w:val="single"/>
              </w:rPr>
            </w:pPr>
            <w:r>
              <w:rPr>
                <w:rFonts w:hint="eastAsia"/>
                <w:sz w:val="21"/>
                <w:szCs w:val="21"/>
                <w:u w:val="single"/>
              </w:rPr>
              <w:t>1.6579</w:t>
            </w:r>
          </w:p>
        </w:tc>
      </w:tr>
      <w:tr w14:paraId="716AB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15492C32">
            <w:pPr>
              <w:pStyle w:val="5"/>
              <w:adjustRightInd w:val="0"/>
              <w:snapToGrid w:val="0"/>
              <w:spacing w:line="240" w:lineRule="auto"/>
              <w:ind w:firstLine="0"/>
              <w:jc w:val="center"/>
              <w:rPr>
                <w:sz w:val="21"/>
                <w:szCs w:val="21"/>
              </w:rPr>
            </w:pPr>
            <w:r>
              <w:rPr>
                <w:sz w:val="21"/>
                <w:szCs w:val="21"/>
              </w:rPr>
              <w:t>2</w:t>
            </w:r>
          </w:p>
        </w:tc>
        <w:tc>
          <w:tcPr>
            <w:tcW w:w="2043" w:type="pct"/>
            <w:vAlign w:val="center"/>
          </w:tcPr>
          <w:p w14:paraId="33314851">
            <w:pPr>
              <w:adjustRightInd w:val="0"/>
              <w:snapToGrid w:val="0"/>
              <w:jc w:val="center"/>
              <w:rPr>
                <w:rFonts w:ascii="Arial" w:hAnsi="Arial" w:eastAsia="宋体" w:cs="Arial"/>
                <w:sz w:val="21"/>
                <w:szCs w:val="24"/>
              </w:rPr>
            </w:pPr>
            <w:r>
              <w:rPr>
                <w:rFonts w:ascii="Arial" w:hAnsi="Arial" w:eastAsia="宋体" w:cs="Arial"/>
                <w:sz w:val="21"/>
                <w:szCs w:val="24"/>
              </w:rPr>
              <w:t>钴及其化合物</w:t>
            </w:r>
          </w:p>
        </w:tc>
        <w:tc>
          <w:tcPr>
            <w:tcW w:w="2079" w:type="pct"/>
            <w:vAlign w:val="center"/>
          </w:tcPr>
          <w:p w14:paraId="04B01037">
            <w:pPr>
              <w:pStyle w:val="5"/>
              <w:adjustRightInd w:val="0"/>
              <w:snapToGrid w:val="0"/>
              <w:spacing w:line="240" w:lineRule="auto"/>
              <w:ind w:firstLine="0"/>
              <w:jc w:val="center"/>
              <w:rPr>
                <w:sz w:val="21"/>
                <w:szCs w:val="21"/>
                <w:u w:val="single"/>
              </w:rPr>
            </w:pPr>
            <w:r>
              <w:rPr>
                <w:rFonts w:hint="eastAsia"/>
                <w:sz w:val="21"/>
                <w:szCs w:val="21"/>
                <w:u w:val="single"/>
              </w:rPr>
              <w:t>1.0292</w:t>
            </w:r>
          </w:p>
        </w:tc>
      </w:tr>
      <w:tr w14:paraId="2FC4F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2616C7FD">
            <w:pPr>
              <w:pStyle w:val="5"/>
              <w:adjustRightInd w:val="0"/>
              <w:snapToGrid w:val="0"/>
              <w:spacing w:line="240" w:lineRule="auto"/>
              <w:ind w:firstLine="0"/>
              <w:jc w:val="center"/>
              <w:rPr>
                <w:sz w:val="21"/>
                <w:szCs w:val="21"/>
              </w:rPr>
            </w:pPr>
            <w:r>
              <w:rPr>
                <w:rFonts w:hint="eastAsia"/>
                <w:sz w:val="21"/>
                <w:szCs w:val="21"/>
              </w:rPr>
              <w:t>3</w:t>
            </w:r>
          </w:p>
        </w:tc>
        <w:tc>
          <w:tcPr>
            <w:tcW w:w="2043" w:type="pct"/>
            <w:vAlign w:val="center"/>
          </w:tcPr>
          <w:p w14:paraId="53030CF3">
            <w:pPr>
              <w:adjustRightInd w:val="0"/>
              <w:snapToGrid w:val="0"/>
              <w:jc w:val="center"/>
              <w:rPr>
                <w:rFonts w:ascii="Arial" w:hAnsi="Arial" w:eastAsia="宋体" w:cs="Arial"/>
                <w:sz w:val="21"/>
                <w:szCs w:val="24"/>
              </w:rPr>
            </w:pPr>
            <w:r>
              <w:rPr>
                <w:rFonts w:ascii="Arial" w:hAnsi="Arial" w:eastAsia="宋体" w:cs="Arial"/>
                <w:sz w:val="21"/>
                <w:szCs w:val="24"/>
              </w:rPr>
              <w:t>氨气</w:t>
            </w:r>
          </w:p>
        </w:tc>
        <w:tc>
          <w:tcPr>
            <w:tcW w:w="2079" w:type="pct"/>
            <w:vAlign w:val="center"/>
          </w:tcPr>
          <w:p w14:paraId="3714B087">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r>
    </w:tbl>
    <w:p w14:paraId="31DB007C">
      <w:pPr>
        <w:spacing w:line="500" w:lineRule="exact"/>
        <w:ind w:firstLine="490" w:firstLineChars="200"/>
        <w:rPr>
          <w:rFonts w:ascii="Arial" w:hAnsi="Arial" w:eastAsia="宋体" w:cs="Arial"/>
          <w:spacing w:val="10"/>
          <w:sz w:val="24"/>
          <w:u w:val="single"/>
        </w:rPr>
      </w:pPr>
      <w:r>
        <w:rPr>
          <w:rFonts w:hint="eastAsia" w:ascii="Arial" w:hAnsi="Arial" w:eastAsia="宋体" w:cs="Arial"/>
          <w:spacing w:val="10"/>
          <w:sz w:val="24"/>
        </w:rPr>
        <w:t>4</w:t>
      </w:r>
      <w:r>
        <w:rPr>
          <w:rFonts w:ascii="Arial" w:hAnsi="Arial" w:eastAsia="宋体" w:cs="Arial"/>
          <w:spacing w:val="10"/>
          <w:sz w:val="24"/>
        </w:rPr>
        <w:t>、</w:t>
      </w:r>
      <w:r>
        <w:rPr>
          <w:rFonts w:ascii="Arial" w:hAnsi="Arial" w:eastAsia="宋体" w:cs="Arial"/>
          <w:spacing w:val="10"/>
          <w:sz w:val="24"/>
          <w:u w:val="single"/>
        </w:rPr>
        <w:t>项目</w:t>
      </w:r>
      <w:r>
        <w:rPr>
          <w:rFonts w:hint="eastAsia" w:ascii="Arial" w:hAnsi="Arial" w:eastAsia="宋体" w:cs="Arial"/>
          <w:spacing w:val="10"/>
          <w:sz w:val="24"/>
          <w:u w:val="single"/>
        </w:rPr>
        <w:t>非正常</w:t>
      </w:r>
      <w:r>
        <w:rPr>
          <w:rFonts w:ascii="Arial" w:hAnsi="Arial" w:eastAsia="宋体" w:cs="Arial"/>
          <w:spacing w:val="10"/>
          <w:sz w:val="24"/>
          <w:u w:val="single"/>
        </w:rPr>
        <w:t>排放量核算</w:t>
      </w:r>
    </w:p>
    <w:p w14:paraId="39AE6898">
      <w:pPr>
        <w:numPr>
          <w:ilvl w:val="0"/>
          <w:numId w:val="22"/>
        </w:numPr>
        <w:spacing w:line="500" w:lineRule="exact"/>
        <w:jc w:val="center"/>
        <w:outlineLvl w:val="4"/>
        <w:rPr>
          <w:rFonts w:ascii="Arial" w:hAnsi="Arial" w:eastAsia="宋体" w:cs="Arial"/>
          <w:b/>
          <w:sz w:val="24"/>
          <w:szCs w:val="24"/>
          <w:u w:val="single"/>
        </w:rPr>
      </w:pPr>
      <w:r>
        <w:rPr>
          <w:rFonts w:ascii="Arial" w:hAnsi="Arial" w:eastAsia="宋体" w:cs="Arial"/>
          <w:b/>
          <w:sz w:val="24"/>
          <w:szCs w:val="24"/>
          <w:u w:val="single"/>
        </w:rPr>
        <w:t>项目污染源</w:t>
      </w:r>
      <w:r>
        <w:rPr>
          <w:rFonts w:hint="eastAsia" w:ascii="Arial" w:hAnsi="Arial" w:eastAsia="宋体" w:cs="Arial"/>
          <w:b/>
          <w:sz w:val="24"/>
          <w:szCs w:val="24"/>
          <w:u w:val="single"/>
        </w:rPr>
        <w:t>非正常</w:t>
      </w:r>
      <w:r>
        <w:rPr>
          <w:rFonts w:ascii="Arial" w:hAnsi="Arial" w:eastAsia="宋体" w:cs="Arial"/>
          <w:b/>
          <w:sz w:val="24"/>
          <w:szCs w:val="24"/>
          <w:u w:val="single"/>
        </w:rPr>
        <w:t>排放量核算表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1088"/>
        <w:gridCol w:w="1228"/>
        <w:gridCol w:w="1363"/>
        <w:gridCol w:w="1171"/>
        <w:gridCol w:w="969"/>
        <w:gridCol w:w="752"/>
        <w:gridCol w:w="734"/>
        <w:gridCol w:w="735"/>
      </w:tblGrid>
      <w:tr w14:paraId="226EB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Align w:val="center"/>
          </w:tcPr>
          <w:p w14:paraId="72EF56FF">
            <w:pPr>
              <w:pStyle w:val="1737"/>
              <w:adjustRightInd w:val="0"/>
              <w:snapToGrid w:val="0"/>
              <w:spacing w:line="240" w:lineRule="auto"/>
              <w:ind w:firstLine="0" w:firstLineChars="0"/>
              <w:jc w:val="center"/>
              <w:rPr>
                <w:sz w:val="21"/>
                <w:szCs w:val="21"/>
                <w:u w:val="single"/>
              </w:rPr>
            </w:pPr>
            <w:r>
              <w:rPr>
                <w:sz w:val="21"/>
                <w:szCs w:val="21"/>
                <w:u w:val="single"/>
              </w:rPr>
              <w:t>排气筒编号</w:t>
            </w:r>
          </w:p>
        </w:tc>
        <w:tc>
          <w:tcPr>
            <w:tcW w:w="605" w:type="pct"/>
            <w:vAlign w:val="center"/>
          </w:tcPr>
          <w:p w14:paraId="62E97549">
            <w:pPr>
              <w:pStyle w:val="1737"/>
              <w:adjustRightInd w:val="0"/>
              <w:snapToGrid w:val="0"/>
              <w:spacing w:line="240" w:lineRule="auto"/>
              <w:ind w:firstLine="0" w:firstLineChars="0"/>
              <w:jc w:val="center"/>
              <w:rPr>
                <w:sz w:val="21"/>
                <w:szCs w:val="21"/>
                <w:u w:val="single"/>
              </w:rPr>
            </w:pPr>
            <w:r>
              <w:rPr>
                <w:sz w:val="21"/>
                <w:szCs w:val="21"/>
                <w:u w:val="single"/>
              </w:rPr>
              <w:t>污染源</w:t>
            </w:r>
          </w:p>
        </w:tc>
        <w:tc>
          <w:tcPr>
            <w:tcW w:w="683" w:type="pct"/>
            <w:vAlign w:val="center"/>
          </w:tcPr>
          <w:p w14:paraId="31456D14">
            <w:pPr>
              <w:pStyle w:val="1737"/>
              <w:adjustRightInd w:val="0"/>
              <w:snapToGrid w:val="0"/>
              <w:spacing w:line="240" w:lineRule="auto"/>
              <w:ind w:firstLine="0" w:firstLineChars="0"/>
              <w:jc w:val="center"/>
              <w:rPr>
                <w:sz w:val="21"/>
                <w:szCs w:val="21"/>
                <w:u w:val="single"/>
              </w:rPr>
            </w:pPr>
            <w:r>
              <w:rPr>
                <w:sz w:val="21"/>
                <w:szCs w:val="21"/>
                <w:u w:val="single"/>
              </w:rPr>
              <w:t>非正常排放原因</w:t>
            </w:r>
          </w:p>
        </w:tc>
        <w:tc>
          <w:tcPr>
            <w:tcW w:w="758" w:type="pct"/>
            <w:vAlign w:val="center"/>
          </w:tcPr>
          <w:p w14:paraId="4F765FE5">
            <w:pPr>
              <w:pStyle w:val="1737"/>
              <w:adjustRightInd w:val="0"/>
              <w:snapToGrid w:val="0"/>
              <w:spacing w:line="240" w:lineRule="auto"/>
              <w:ind w:firstLine="0" w:firstLineChars="0"/>
              <w:jc w:val="center"/>
              <w:rPr>
                <w:sz w:val="21"/>
                <w:szCs w:val="21"/>
                <w:u w:val="single"/>
              </w:rPr>
            </w:pPr>
            <w:r>
              <w:rPr>
                <w:sz w:val="21"/>
                <w:szCs w:val="21"/>
                <w:u w:val="single"/>
              </w:rPr>
              <w:t>污染物</w:t>
            </w:r>
          </w:p>
        </w:tc>
        <w:tc>
          <w:tcPr>
            <w:tcW w:w="651" w:type="pct"/>
            <w:vAlign w:val="center"/>
          </w:tcPr>
          <w:p w14:paraId="0B49C6E9">
            <w:pPr>
              <w:pStyle w:val="1737"/>
              <w:adjustRightInd w:val="0"/>
              <w:snapToGrid w:val="0"/>
              <w:spacing w:line="240" w:lineRule="auto"/>
              <w:ind w:firstLine="0" w:firstLineChars="0"/>
              <w:jc w:val="center"/>
              <w:rPr>
                <w:sz w:val="21"/>
                <w:szCs w:val="21"/>
                <w:u w:val="single"/>
              </w:rPr>
            </w:pPr>
            <w:r>
              <w:rPr>
                <w:sz w:val="21"/>
                <w:szCs w:val="21"/>
                <w:u w:val="single"/>
              </w:rPr>
              <w:t>非正常排放浓度（mg/m</w:t>
            </w:r>
            <w:r>
              <w:rPr>
                <w:sz w:val="21"/>
                <w:szCs w:val="21"/>
                <w:u w:val="single"/>
                <w:vertAlign w:val="superscript"/>
              </w:rPr>
              <w:t>3</w:t>
            </w:r>
            <w:r>
              <w:rPr>
                <w:sz w:val="21"/>
                <w:szCs w:val="21"/>
                <w:u w:val="single"/>
              </w:rPr>
              <w:t>）</w:t>
            </w:r>
          </w:p>
        </w:tc>
        <w:tc>
          <w:tcPr>
            <w:tcW w:w="539" w:type="pct"/>
            <w:vAlign w:val="center"/>
          </w:tcPr>
          <w:p w14:paraId="28608FA5">
            <w:pPr>
              <w:pStyle w:val="1737"/>
              <w:adjustRightInd w:val="0"/>
              <w:snapToGrid w:val="0"/>
              <w:spacing w:line="240" w:lineRule="auto"/>
              <w:ind w:firstLine="0" w:firstLineChars="0"/>
              <w:jc w:val="center"/>
              <w:rPr>
                <w:sz w:val="21"/>
                <w:szCs w:val="21"/>
                <w:u w:val="single"/>
              </w:rPr>
            </w:pPr>
            <w:r>
              <w:rPr>
                <w:sz w:val="21"/>
                <w:szCs w:val="21"/>
                <w:u w:val="single"/>
              </w:rPr>
              <w:t>非正常排放速率kg/h</w:t>
            </w:r>
          </w:p>
        </w:tc>
        <w:tc>
          <w:tcPr>
            <w:tcW w:w="418" w:type="pct"/>
            <w:vAlign w:val="center"/>
          </w:tcPr>
          <w:p w14:paraId="1B736CDC">
            <w:pPr>
              <w:pStyle w:val="1737"/>
              <w:adjustRightInd w:val="0"/>
              <w:snapToGrid w:val="0"/>
              <w:spacing w:line="240" w:lineRule="auto"/>
              <w:ind w:firstLine="0" w:firstLineChars="0"/>
              <w:jc w:val="center"/>
              <w:rPr>
                <w:sz w:val="21"/>
                <w:szCs w:val="21"/>
                <w:u w:val="single"/>
              </w:rPr>
            </w:pPr>
            <w:r>
              <w:rPr>
                <w:sz w:val="21"/>
                <w:szCs w:val="21"/>
                <w:u w:val="single"/>
              </w:rPr>
              <w:t>单次持续时间/h</w:t>
            </w:r>
          </w:p>
        </w:tc>
        <w:tc>
          <w:tcPr>
            <w:tcW w:w="408" w:type="pct"/>
            <w:vAlign w:val="center"/>
          </w:tcPr>
          <w:p w14:paraId="3623E513">
            <w:pPr>
              <w:pStyle w:val="1737"/>
              <w:adjustRightInd w:val="0"/>
              <w:snapToGrid w:val="0"/>
              <w:spacing w:line="240" w:lineRule="auto"/>
              <w:ind w:firstLine="0" w:firstLineChars="0"/>
              <w:jc w:val="center"/>
              <w:rPr>
                <w:sz w:val="21"/>
                <w:szCs w:val="21"/>
                <w:u w:val="single"/>
              </w:rPr>
            </w:pPr>
            <w:r>
              <w:rPr>
                <w:sz w:val="21"/>
                <w:szCs w:val="21"/>
                <w:u w:val="single"/>
              </w:rPr>
              <w:t>年发生频次/次</w:t>
            </w:r>
          </w:p>
        </w:tc>
        <w:tc>
          <w:tcPr>
            <w:tcW w:w="408" w:type="pct"/>
            <w:vAlign w:val="center"/>
          </w:tcPr>
          <w:p w14:paraId="1A17E9BD">
            <w:pPr>
              <w:pStyle w:val="1737"/>
              <w:adjustRightInd w:val="0"/>
              <w:snapToGrid w:val="0"/>
              <w:spacing w:line="240" w:lineRule="auto"/>
              <w:ind w:firstLine="0" w:firstLineChars="0"/>
              <w:jc w:val="center"/>
              <w:rPr>
                <w:sz w:val="21"/>
                <w:szCs w:val="21"/>
                <w:u w:val="single"/>
              </w:rPr>
            </w:pPr>
            <w:r>
              <w:rPr>
                <w:sz w:val="21"/>
                <w:szCs w:val="21"/>
                <w:u w:val="single"/>
              </w:rPr>
              <w:t>应对措施</w:t>
            </w:r>
          </w:p>
        </w:tc>
      </w:tr>
      <w:tr w14:paraId="56E47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Align w:val="center"/>
          </w:tcPr>
          <w:p w14:paraId="0C7CBA4F">
            <w:pPr>
              <w:pStyle w:val="41"/>
              <w:adjustRightInd w:val="0"/>
              <w:snapToGrid w:val="0"/>
              <w:spacing w:after="0"/>
              <w:ind w:firstLine="0" w:firstLineChars="0"/>
              <w:jc w:val="center"/>
              <w:rPr>
                <w:rFonts w:ascii="Arial" w:hAnsi="Arial" w:cs="Arial"/>
                <w:sz w:val="21"/>
                <w:szCs w:val="21"/>
                <w:u w:val="single"/>
              </w:rPr>
            </w:pPr>
            <w:r>
              <w:rPr>
                <w:rFonts w:ascii="Arial" w:hAnsi="Arial" w:cs="Arial"/>
                <w:sz w:val="21"/>
                <w:szCs w:val="21"/>
                <w:u w:val="single"/>
              </w:rPr>
              <w:t>DA145</w:t>
            </w:r>
          </w:p>
        </w:tc>
        <w:tc>
          <w:tcPr>
            <w:tcW w:w="605" w:type="pct"/>
            <w:vAlign w:val="center"/>
          </w:tcPr>
          <w:p w14:paraId="28042E89">
            <w:pPr>
              <w:adjustRightInd w:val="0"/>
              <w:snapToGrid w:val="0"/>
              <w:jc w:val="center"/>
              <w:rPr>
                <w:rFonts w:ascii="Arial" w:hAnsi="Arial" w:eastAsia="宋体" w:cs="Arial"/>
                <w:sz w:val="21"/>
                <w:szCs w:val="24"/>
                <w:u w:val="single"/>
              </w:rPr>
            </w:pPr>
            <w:r>
              <w:rPr>
                <w:rFonts w:hint="eastAsia" w:ascii="Arial" w:hAnsi="Arial" w:eastAsia="宋体" w:cs="Arial"/>
                <w:sz w:val="21"/>
                <w:szCs w:val="24"/>
                <w:u w:val="single"/>
              </w:rPr>
              <w:t>合成</w:t>
            </w:r>
            <w:r>
              <w:rPr>
                <w:rFonts w:ascii="Arial" w:hAnsi="Arial" w:eastAsia="宋体" w:cs="Arial"/>
                <w:sz w:val="21"/>
                <w:szCs w:val="24"/>
                <w:u w:val="single"/>
              </w:rPr>
              <w:t>反应废气、压滤废气</w:t>
            </w:r>
          </w:p>
        </w:tc>
        <w:tc>
          <w:tcPr>
            <w:tcW w:w="683" w:type="pct"/>
            <w:vAlign w:val="center"/>
          </w:tcPr>
          <w:p w14:paraId="4379FC56">
            <w:pPr>
              <w:pStyle w:val="1737"/>
              <w:adjustRightInd w:val="0"/>
              <w:snapToGrid w:val="0"/>
              <w:spacing w:line="240" w:lineRule="auto"/>
              <w:ind w:firstLine="0" w:firstLineChars="0"/>
              <w:jc w:val="center"/>
              <w:rPr>
                <w:sz w:val="21"/>
                <w:szCs w:val="21"/>
                <w:u w:val="single"/>
              </w:rPr>
            </w:pPr>
            <w:r>
              <w:rPr>
                <w:rFonts w:hint="eastAsia"/>
                <w:sz w:val="21"/>
                <w:szCs w:val="21"/>
                <w:u w:val="single"/>
              </w:rPr>
              <w:t>吸收塔故障</w:t>
            </w:r>
          </w:p>
          <w:p w14:paraId="39D23C6B">
            <w:pPr>
              <w:pStyle w:val="1737"/>
              <w:adjustRightInd w:val="0"/>
              <w:snapToGrid w:val="0"/>
              <w:spacing w:line="240" w:lineRule="auto"/>
              <w:ind w:firstLine="0" w:firstLineChars="0"/>
              <w:jc w:val="center"/>
              <w:rPr>
                <w:sz w:val="21"/>
                <w:szCs w:val="21"/>
                <w:u w:val="single"/>
              </w:rPr>
            </w:pPr>
            <w:r>
              <w:rPr>
                <w:rFonts w:hint="eastAsia"/>
                <w:sz w:val="21"/>
                <w:szCs w:val="21"/>
                <w:u w:val="single"/>
              </w:rPr>
              <w:t>效率降为0</w:t>
            </w:r>
          </w:p>
        </w:tc>
        <w:tc>
          <w:tcPr>
            <w:tcW w:w="758" w:type="pct"/>
            <w:vAlign w:val="center"/>
          </w:tcPr>
          <w:p w14:paraId="5164B228">
            <w:pPr>
              <w:pStyle w:val="469"/>
              <w:rPr>
                <w:rFonts w:ascii="Arial" w:hAnsi="Arial" w:cs="Arial"/>
                <w:sz w:val="21"/>
                <w:szCs w:val="21"/>
                <w:u w:val="single"/>
              </w:rPr>
            </w:pPr>
            <w:r>
              <w:rPr>
                <w:rFonts w:ascii="Arial" w:hAnsi="Arial" w:cs="Arial"/>
                <w:sz w:val="21"/>
                <w:szCs w:val="21"/>
                <w:u w:val="single"/>
              </w:rPr>
              <w:t>氨气</w:t>
            </w:r>
          </w:p>
        </w:tc>
        <w:tc>
          <w:tcPr>
            <w:tcW w:w="651" w:type="pct"/>
            <w:vAlign w:val="center"/>
          </w:tcPr>
          <w:p w14:paraId="1F1387D8">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57</w:t>
            </w:r>
          </w:p>
        </w:tc>
        <w:tc>
          <w:tcPr>
            <w:tcW w:w="539" w:type="pct"/>
            <w:vAlign w:val="center"/>
          </w:tcPr>
          <w:p w14:paraId="4B4F1EBE">
            <w:pPr>
              <w:pStyle w:val="5"/>
              <w:adjustRightInd w:val="0"/>
              <w:snapToGrid w:val="0"/>
              <w:spacing w:line="240" w:lineRule="auto"/>
              <w:ind w:firstLine="0"/>
              <w:jc w:val="center"/>
              <w:rPr>
                <w:sz w:val="21"/>
                <w:szCs w:val="21"/>
                <w:u w:val="single"/>
              </w:rPr>
            </w:pPr>
            <w:r>
              <w:rPr>
                <w:rFonts w:hint="eastAsia"/>
                <w:sz w:val="21"/>
                <w:szCs w:val="21"/>
                <w:u w:val="single"/>
              </w:rPr>
              <w:t>2.682</w:t>
            </w:r>
          </w:p>
        </w:tc>
        <w:tc>
          <w:tcPr>
            <w:tcW w:w="418" w:type="pct"/>
            <w:vAlign w:val="center"/>
          </w:tcPr>
          <w:p w14:paraId="355B3E7C">
            <w:pPr>
              <w:pStyle w:val="1737"/>
              <w:adjustRightInd w:val="0"/>
              <w:snapToGrid w:val="0"/>
              <w:spacing w:line="240" w:lineRule="auto"/>
              <w:ind w:firstLine="0" w:firstLineChars="0"/>
              <w:jc w:val="center"/>
              <w:rPr>
                <w:sz w:val="21"/>
                <w:szCs w:val="21"/>
                <w:u w:val="single"/>
              </w:rPr>
            </w:pPr>
            <w:r>
              <w:rPr>
                <w:sz w:val="21"/>
                <w:szCs w:val="21"/>
                <w:u w:val="single"/>
              </w:rPr>
              <w:t>1</w:t>
            </w:r>
          </w:p>
        </w:tc>
        <w:tc>
          <w:tcPr>
            <w:tcW w:w="408" w:type="pct"/>
            <w:vAlign w:val="center"/>
          </w:tcPr>
          <w:p w14:paraId="0878DE43">
            <w:pPr>
              <w:pStyle w:val="1737"/>
              <w:adjustRightInd w:val="0"/>
              <w:snapToGrid w:val="0"/>
              <w:spacing w:line="240" w:lineRule="auto"/>
              <w:ind w:firstLine="0" w:firstLineChars="0"/>
              <w:jc w:val="center"/>
              <w:rPr>
                <w:sz w:val="21"/>
                <w:szCs w:val="21"/>
                <w:u w:val="single"/>
              </w:rPr>
            </w:pPr>
            <w:r>
              <w:rPr>
                <w:sz w:val="21"/>
                <w:szCs w:val="21"/>
                <w:u w:val="single"/>
              </w:rPr>
              <w:t>1</w:t>
            </w:r>
          </w:p>
        </w:tc>
        <w:tc>
          <w:tcPr>
            <w:tcW w:w="408" w:type="pct"/>
            <w:vMerge w:val="restart"/>
            <w:vAlign w:val="center"/>
          </w:tcPr>
          <w:p w14:paraId="1FF36132">
            <w:pPr>
              <w:pStyle w:val="1737"/>
              <w:adjustRightInd w:val="0"/>
              <w:snapToGrid w:val="0"/>
              <w:spacing w:line="240" w:lineRule="auto"/>
              <w:ind w:firstLine="0" w:firstLineChars="0"/>
              <w:jc w:val="center"/>
              <w:rPr>
                <w:sz w:val="21"/>
                <w:szCs w:val="21"/>
                <w:u w:val="single"/>
              </w:rPr>
            </w:pPr>
            <w:r>
              <w:rPr>
                <w:sz w:val="21"/>
                <w:szCs w:val="21"/>
                <w:u w:val="single"/>
              </w:rPr>
              <w:t>停产</w:t>
            </w:r>
            <w:r>
              <w:rPr>
                <w:rFonts w:hint="eastAsia"/>
                <w:sz w:val="21"/>
                <w:szCs w:val="21"/>
                <w:u w:val="single"/>
              </w:rPr>
              <w:t>维修</w:t>
            </w:r>
          </w:p>
        </w:tc>
      </w:tr>
      <w:tr w14:paraId="72DAD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restart"/>
            <w:vAlign w:val="center"/>
          </w:tcPr>
          <w:p w14:paraId="16EDBECD">
            <w:pPr>
              <w:pStyle w:val="41"/>
              <w:adjustRightInd w:val="0"/>
              <w:snapToGrid w:val="0"/>
              <w:spacing w:after="0"/>
              <w:ind w:firstLine="0" w:firstLineChars="0"/>
              <w:jc w:val="center"/>
              <w:rPr>
                <w:rFonts w:ascii="Arial" w:hAnsi="Arial" w:cs="Arial"/>
                <w:sz w:val="21"/>
                <w:szCs w:val="21"/>
                <w:u w:val="single"/>
              </w:rPr>
            </w:pPr>
            <w:r>
              <w:rPr>
                <w:rFonts w:ascii="Arial" w:hAnsi="Arial" w:cs="Arial"/>
                <w:sz w:val="21"/>
                <w:szCs w:val="21"/>
                <w:u w:val="single"/>
              </w:rPr>
              <w:t>DA146</w:t>
            </w:r>
          </w:p>
        </w:tc>
        <w:tc>
          <w:tcPr>
            <w:tcW w:w="605" w:type="pct"/>
            <w:vMerge w:val="restart"/>
            <w:vAlign w:val="center"/>
          </w:tcPr>
          <w:p w14:paraId="39BD7F96">
            <w:pPr>
              <w:adjustRightInd w:val="0"/>
              <w:snapToGrid w:val="0"/>
              <w:jc w:val="center"/>
              <w:rPr>
                <w:rFonts w:ascii="Arial" w:hAnsi="Arial" w:eastAsia="宋体" w:cs="Arial"/>
                <w:sz w:val="21"/>
                <w:szCs w:val="24"/>
                <w:u w:val="single"/>
              </w:rPr>
            </w:pPr>
            <w:r>
              <w:rPr>
                <w:rFonts w:hint="eastAsia" w:ascii="Arial" w:hAnsi="Arial" w:eastAsia="宋体" w:cs="Arial"/>
                <w:sz w:val="21"/>
                <w:szCs w:val="24"/>
                <w:u w:val="single"/>
              </w:rPr>
              <w:t>烘干粉尘、破碎粉尘、包装粉尘</w:t>
            </w:r>
          </w:p>
        </w:tc>
        <w:tc>
          <w:tcPr>
            <w:tcW w:w="683" w:type="pct"/>
            <w:vMerge w:val="restart"/>
            <w:vAlign w:val="center"/>
          </w:tcPr>
          <w:p w14:paraId="35D4716A">
            <w:pPr>
              <w:pStyle w:val="1737"/>
              <w:adjustRightInd w:val="0"/>
              <w:snapToGrid w:val="0"/>
              <w:spacing w:line="240" w:lineRule="auto"/>
              <w:ind w:firstLine="0" w:firstLineChars="0"/>
              <w:jc w:val="center"/>
              <w:rPr>
                <w:sz w:val="21"/>
                <w:szCs w:val="21"/>
                <w:u w:val="single"/>
              </w:rPr>
            </w:pPr>
            <w:r>
              <w:rPr>
                <w:rFonts w:hint="eastAsia"/>
                <w:sz w:val="21"/>
                <w:szCs w:val="21"/>
                <w:u w:val="single"/>
              </w:rPr>
              <w:t>布袋除尘器</w:t>
            </w:r>
            <w:r>
              <w:rPr>
                <w:sz w:val="21"/>
                <w:szCs w:val="21"/>
                <w:u w:val="single"/>
              </w:rPr>
              <w:t>出现破损，除尘效率降为</w:t>
            </w:r>
            <w:r>
              <w:rPr>
                <w:rFonts w:hint="eastAsia"/>
                <w:sz w:val="21"/>
                <w:szCs w:val="21"/>
                <w:u w:val="single"/>
              </w:rPr>
              <w:t>90%；</w:t>
            </w:r>
            <w:r>
              <w:rPr>
                <w:sz w:val="21"/>
                <w:szCs w:val="21"/>
                <w:u w:val="single"/>
              </w:rPr>
              <w:t>吸收塔故障，效率降为</w:t>
            </w:r>
            <w:r>
              <w:rPr>
                <w:rFonts w:hint="eastAsia"/>
                <w:sz w:val="21"/>
                <w:szCs w:val="21"/>
                <w:u w:val="single"/>
              </w:rPr>
              <w:t>0</w:t>
            </w:r>
          </w:p>
        </w:tc>
        <w:tc>
          <w:tcPr>
            <w:tcW w:w="758" w:type="pct"/>
            <w:vAlign w:val="center"/>
          </w:tcPr>
          <w:p w14:paraId="320FB3C5">
            <w:pPr>
              <w:pStyle w:val="469"/>
              <w:rPr>
                <w:rFonts w:ascii="Arial" w:hAnsi="Arial" w:cs="Arial"/>
                <w:sz w:val="21"/>
                <w:szCs w:val="21"/>
                <w:u w:val="single"/>
              </w:rPr>
            </w:pPr>
            <w:r>
              <w:rPr>
                <w:rFonts w:hint="eastAsia" w:ascii="Arial" w:hAnsi="Arial" w:cs="Arial"/>
                <w:sz w:val="21"/>
                <w:szCs w:val="21"/>
                <w:u w:val="single"/>
              </w:rPr>
              <w:t>颗粒物</w:t>
            </w:r>
          </w:p>
        </w:tc>
        <w:tc>
          <w:tcPr>
            <w:tcW w:w="651" w:type="pct"/>
            <w:vAlign w:val="center"/>
          </w:tcPr>
          <w:p w14:paraId="1F705241">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45</w:t>
            </w:r>
          </w:p>
        </w:tc>
        <w:tc>
          <w:tcPr>
            <w:tcW w:w="539" w:type="pct"/>
            <w:vAlign w:val="center"/>
          </w:tcPr>
          <w:p w14:paraId="3310383E">
            <w:pPr>
              <w:pStyle w:val="5"/>
              <w:adjustRightInd w:val="0"/>
              <w:snapToGrid w:val="0"/>
              <w:spacing w:line="240" w:lineRule="auto"/>
              <w:ind w:firstLine="0"/>
              <w:jc w:val="center"/>
              <w:rPr>
                <w:sz w:val="21"/>
                <w:szCs w:val="21"/>
                <w:u w:val="single"/>
              </w:rPr>
            </w:pPr>
            <w:r>
              <w:rPr>
                <w:rFonts w:hint="eastAsia"/>
                <w:sz w:val="21"/>
                <w:szCs w:val="21"/>
                <w:u w:val="single"/>
              </w:rPr>
              <w:t>2.0933</w:t>
            </w:r>
          </w:p>
        </w:tc>
        <w:tc>
          <w:tcPr>
            <w:tcW w:w="418" w:type="pct"/>
            <w:vAlign w:val="center"/>
          </w:tcPr>
          <w:p w14:paraId="104A77F2">
            <w:pPr>
              <w:pStyle w:val="1737"/>
              <w:adjustRightInd w:val="0"/>
              <w:snapToGrid w:val="0"/>
              <w:spacing w:line="240" w:lineRule="auto"/>
              <w:ind w:firstLine="0" w:firstLineChars="0"/>
              <w:jc w:val="center"/>
              <w:rPr>
                <w:sz w:val="21"/>
                <w:szCs w:val="21"/>
                <w:u w:val="single"/>
              </w:rPr>
            </w:pPr>
            <w:r>
              <w:rPr>
                <w:sz w:val="21"/>
                <w:szCs w:val="21"/>
                <w:u w:val="single"/>
              </w:rPr>
              <w:t>1</w:t>
            </w:r>
          </w:p>
        </w:tc>
        <w:tc>
          <w:tcPr>
            <w:tcW w:w="408" w:type="pct"/>
            <w:vAlign w:val="center"/>
          </w:tcPr>
          <w:p w14:paraId="13E83517">
            <w:pPr>
              <w:pStyle w:val="1737"/>
              <w:adjustRightInd w:val="0"/>
              <w:snapToGrid w:val="0"/>
              <w:spacing w:line="240" w:lineRule="auto"/>
              <w:ind w:firstLine="0" w:firstLineChars="0"/>
              <w:jc w:val="center"/>
              <w:rPr>
                <w:sz w:val="21"/>
                <w:szCs w:val="21"/>
                <w:u w:val="single"/>
              </w:rPr>
            </w:pPr>
            <w:r>
              <w:rPr>
                <w:sz w:val="21"/>
                <w:szCs w:val="21"/>
                <w:u w:val="single"/>
              </w:rPr>
              <w:t>1</w:t>
            </w:r>
          </w:p>
        </w:tc>
        <w:tc>
          <w:tcPr>
            <w:tcW w:w="408" w:type="pct"/>
            <w:vMerge w:val="continue"/>
            <w:vAlign w:val="center"/>
          </w:tcPr>
          <w:p w14:paraId="4E497358">
            <w:pPr>
              <w:pStyle w:val="1737"/>
              <w:adjustRightInd w:val="0"/>
              <w:snapToGrid w:val="0"/>
              <w:spacing w:line="240" w:lineRule="auto"/>
              <w:ind w:firstLine="0" w:firstLineChars="0"/>
              <w:jc w:val="center"/>
              <w:rPr>
                <w:sz w:val="21"/>
                <w:szCs w:val="21"/>
                <w:u w:val="single"/>
              </w:rPr>
            </w:pPr>
          </w:p>
        </w:tc>
      </w:tr>
      <w:tr w14:paraId="7B7BC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continue"/>
            <w:vAlign w:val="center"/>
          </w:tcPr>
          <w:p w14:paraId="503B9EDA">
            <w:pPr>
              <w:pStyle w:val="41"/>
              <w:adjustRightInd w:val="0"/>
              <w:snapToGrid w:val="0"/>
              <w:spacing w:after="0"/>
              <w:ind w:firstLine="0" w:firstLineChars="0"/>
              <w:jc w:val="center"/>
              <w:rPr>
                <w:rFonts w:ascii="Arial" w:hAnsi="Arial" w:cs="Arial"/>
                <w:sz w:val="21"/>
                <w:szCs w:val="21"/>
                <w:u w:val="single"/>
              </w:rPr>
            </w:pPr>
          </w:p>
        </w:tc>
        <w:tc>
          <w:tcPr>
            <w:tcW w:w="605" w:type="pct"/>
            <w:vMerge w:val="continue"/>
            <w:vAlign w:val="center"/>
          </w:tcPr>
          <w:p w14:paraId="1A49F7A0">
            <w:pPr>
              <w:adjustRightInd w:val="0"/>
              <w:snapToGrid w:val="0"/>
              <w:jc w:val="center"/>
              <w:rPr>
                <w:rFonts w:ascii="Arial" w:hAnsi="Arial" w:eastAsia="宋体" w:cs="Arial"/>
                <w:sz w:val="21"/>
                <w:szCs w:val="24"/>
                <w:u w:val="single"/>
              </w:rPr>
            </w:pPr>
          </w:p>
        </w:tc>
        <w:tc>
          <w:tcPr>
            <w:tcW w:w="683" w:type="pct"/>
            <w:vMerge w:val="continue"/>
            <w:vAlign w:val="center"/>
          </w:tcPr>
          <w:p w14:paraId="22AD7437">
            <w:pPr>
              <w:pStyle w:val="1737"/>
              <w:adjustRightInd w:val="0"/>
              <w:snapToGrid w:val="0"/>
              <w:spacing w:line="240" w:lineRule="auto"/>
              <w:ind w:firstLine="0" w:firstLineChars="0"/>
              <w:jc w:val="center"/>
              <w:rPr>
                <w:sz w:val="21"/>
                <w:szCs w:val="21"/>
                <w:u w:val="single"/>
              </w:rPr>
            </w:pPr>
          </w:p>
        </w:tc>
        <w:tc>
          <w:tcPr>
            <w:tcW w:w="758" w:type="pct"/>
            <w:vAlign w:val="center"/>
          </w:tcPr>
          <w:p w14:paraId="73503992">
            <w:pPr>
              <w:pStyle w:val="469"/>
              <w:rPr>
                <w:rFonts w:ascii="Arial" w:hAnsi="Arial" w:cs="Arial"/>
                <w:sz w:val="21"/>
                <w:szCs w:val="21"/>
                <w:u w:val="single"/>
              </w:rPr>
            </w:pPr>
            <w:r>
              <w:rPr>
                <w:rFonts w:hint="eastAsia" w:ascii="Arial" w:hAnsi="Arial" w:cs="Arial"/>
                <w:sz w:val="21"/>
                <w:szCs w:val="21"/>
                <w:u w:val="single"/>
              </w:rPr>
              <w:t>钴</w:t>
            </w:r>
          </w:p>
        </w:tc>
        <w:tc>
          <w:tcPr>
            <w:tcW w:w="651" w:type="pct"/>
            <w:vAlign w:val="center"/>
          </w:tcPr>
          <w:p w14:paraId="67BD7CD7">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28</w:t>
            </w:r>
          </w:p>
        </w:tc>
        <w:tc>
          <w:tcPr>
            <w:tcW w:w="539" w:type="pct"/>
            <w:vAlign w:val="center"/>
          </w:tcPr>
          <w:p w14:paraId="6B6B2609">
            <w:pPr>
              <w:pStyle w:val="5"/>
              <w:adjustRightInd w:val="0"/>
              <w:snapToGrid w:val="0"/>
              <w:spacing w:line="240" w:lineRule="auto"/>
              <w:ind w:firstLine="0"/>
              <w:jc w:val="center"/>
              <w:rPr>
                <w:sz w:val="21"/>
                <w:szCs w:val="21"/>
                <w:u w:val="single"/>
              </w:rPr>
            </w:pPr>
            <w:r>
              <w:rPr>
                <w:rFonts w:hint="eastAsia"/>
                <w:sz w:val="21"/>
                <w:szCs w:val="21"/>
                <w:u w:val="single"/>
              </w:rPr>
              <w:t>1.2995</w:t>
            </w:r>
          </w:p>
        </w:tc>
        <w:tc>
          <w:tcPr>
            <w:tcW w:w="418" w:type="pct"/>
            <w:vAlign w:val="center"/>
          </w:tcPr>
          <w:p w14:paraId="089F109F">
            <w:pPr>
              <w:pStyle w:val="1737"/>
              <w:adjustRightInd w:val="0"/>
              <w:snapToGrid w:val="0"/>
              <w:spacing w:line="240" w:lineRule="auto"/>
              <w:ind w:firstLine="0" w:firstLineChars="0"/>
              <w:jc w:val="center"/>
              <w:rPr>
                <w:sz w:val="21"/>
                <w:szCs w:val="21"/>
                <w:u w:val="single"/>
              </w:rPr>
            </w:pPr>
            <w:r>
              <w:rPr>
                <w:rFonts w:hint="eastAsia"/>
                <w:sz w:val="21"/>
                <w:szCs w:val="21"/>
                <w:u w:val="single"/>
              </w:rPr>
              <w:t>1</w:t>
            </w:r>
          </w:p>
        </w:tc>
        <w:tc>
          <w:tcPr>
            <w:tcW w:w="408" w:type="pct"/>
            <w:vAlign w:val="center"/>
          </w:tcPr>
          <w:p w14:paraId="594D6639">
            <w:pPr>
              <w:pStyle w:val="1737"/>
              <w:adjustRightInd w:val="0"/>
              <w:snapToGrid w:val="0"/>
              <w:spacing w:line="240" w:lineRule="auto"/>
              <w:ind w:firstLine="0" w:firstLineChars="0"/>
              <w:jc w:val="center"/>
              <w:rPr>
                <w:sz w:val="21"/>
                <w:szCs w:val="21"/>
                <w:u w:val="single"/>
              </w:rPr>
            </w:pPr>
            <w:r>
              <w:rPr>
                <w:rFonts w:hint="eastAsia"/>
                <w:sz w:val="21"/>
                <w:szCs w:val="21"/>
                <w:u w:val="single"/>
              </w:rPr>
              <w:t>1</w:t>
            </w:r>
          </w:p>
        </w:tc>
        <w:tc>
          <w:tcPr>
            <w:tcW w:w="408" w:type="pct"/>
            <w:vMerge w:val="continue"/>
            <w:vAlign w:val="center"/>
          </w:tcPr>
          <w:p w14:paraId="095776F8">
            <w:pPr>
              <w:pStyle w:val="1737"/>
              <w:adjustRightInd w:val="0"/>
              <w:snapToGrid w:val="0"/>
              <w:spacing w:line="240" w:lineRule="auto"/>
              <w:ind w:firstLine="0" w:firstLineChars="0"/>
              <w:jc w:val="center"/>
              <w:rPr>
                <w:sz w:val="21"/>
                <w:szCs w:val="21"/>
                <w:u w:val="single"/>
              </w:rPr>
            </w:pPr>
          </w:p>
        </w:tc>
      </w:tr>
    </w:tbl>
    <w:p w14:paraId="57BD4058">
      <w:pPr>
        <w:pStyle w:val="474"/>
        <w:numPr>
          <w:ilvl w:val="0"/>
          <w:numId w:val="21"/>
        </w:numPr>
        <w:spacing w:line="500" w:lineRule="exact"/>
        <w:ind w:firstLineChars="0"/>
        <w:outlineLvl w:val="3"/>
        <w:rPr>
          <w:rFonts w:ascii="Arial" w:hAnsi="Arial" w:cs="Arial"/>
          <w:b/>
        </w:rPr>
      </w:pPr>
      <w:r>
        <w:rPr>
          <w:rFonts w:ascii="Arial" w:hAnsi="Arial" w:cs="Arial"/>
          <w:b/>
        </w:rPr>
        <w:t>小结</w:t>
      </w:r>
    </w:p>
    <w:p w14:paraId="125A544D">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项目所在地属于达标区，根据AERMOD进一步预测结果可知：</w:t>
      </w:r>
    </w:p>
    <w:p w14:paraId="2E60C9C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rPr>
        <w:t>1、项目建</w:t>
      </w:r>
      <w:r>
        <w:rPr>
          <w:rFonts w:ascii="Arial" w:hAnsi="Arial" w:eastAsia="宋体" w:cs="Arial"/>
          <w:spacing w:val="10"/>
          <w:sz w:val="24"/>
          <w:szCs w:val="24"/>
        </w:rPr>
        <w:t>成投产后，新增污染源正常排放情况下，短期浓度贡献值占标率均低于100%。</w:t>
      </w:r>
    </w:p>
    <w:p w14:paraId="52293C1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w:t>
      </w:r>
      <w:r>
        <w:rPr>
          <w:rFonts w:ascii="Arial" w:hAnsi="Arial" w:eastAsia="宋体" w:cs="Arial"/>
          <w:spacing w:val="10"/>
          <w:sz w:val="24"/>
        </w:rPr>
        <w:t>项目排放的各污染源减区域削减源，叠加现状浓度、在建拟建同类污染源后，PM</w:t>
      </w:r>
      <w:r>
        <w:rPr>
          <w:rFonts w:ascii="Arial" w:hAnsi="Arial" w:eastAsia="宋体" w:cs="Arial"/>
          <w:spacing w:val="10"/>
          <w:sz w:val="24"/>
          <w:vertAlign w:val="subscript"/>
        </w:rPr>
        <w:t>10</w:t>
      </w:r>
      <w:r>
        <w:rPr>
          <w:rFonts w:ascii="Arial" w:hAnsi="Arial" w:eastAsia="宋体" w:cs="Arial"/>
          <w:spacing w:val="10"/>
          <w:sz w:val="24"/>
        </w:rPr>
        <w:t>的保证率日平均、年平均浓度均达到《环境空气质量标准》（GB3096-2012）二级标准要求，氨气的保证率小时值浓度满足《环境影响评价技术导则</w:t>
      </w:r>
      <w:r>
        <w:rPr>
          <w:rFonts w:hint="eastAsia" w:ascii="Arial" w:hAnsi="Arial" w:eastAsia="宋体" w:cs="Arial"/>
          <w:spacing w:val="10"/>
          <w:sz w:val="24"/>
        </w:rPr>
        <w:t xml:space="preserve"> 大气环境</w:t>
      </w:r>
      <w:r>
        <w:rPr>
          <w:rFonts w:ascii="Arial" w:hAnsi="Arial" w:eastAsia="宋体" w:cs="Arial"/>
          <w:spacing w:val="10"/>
          <w:sz w:val="24"/>
        </w:rPr>
        <w:t>》（HJ2.2-2018）附录D的要求。</w:t>
      </w:r>
    </w:p>
    <w:p w14:paraId="12F34109">
      <w:pPr>
        <w:spacing w:line="500" w:lineRule="exact"/>
        <w:ind w:firstLine="490" w:firstLineChars="200"/>
        <w:rPr>
          <w:rFonts w:ascii="Arial" w:hAnsi="Arial" w:eastAsia="宋体" w:cs="Arial"/>
          <w:spacing w:val="10"/>
          <w:sz w:val="24"/>
        </w:rPr>
      </w:pPr>
      <w:r>
        <w:rPr>
          <w:rFonts w:ascii="Arial" w:hAnsi="Arial" w:eastAsia="宋体" w:cs="Arial"/>
          <w:spacing w:val="10"/>
          <w:sz w:val="24"/>
        </w:rPr>
        <w:t>3、项目大气污染物短期贡献浓度在厂界外无超标点，无需设置大气环境防护距离。</w:t>
      </w:r>
    </w:p>
    <w:p w14:paraId="1912A15B">
      <w:pPr>
        <w:spacing w:line="500" w:lineRule="exact"/>
        <w:ind w:firstLine="490" w:firstLineChars="200"/>
        <w:rPr>
          <w:rFonts w:ascii="Arial" w:hAnsi="Arial" w:eastAsia="宋体" w:cs="Arial"/>
          <w:spacing w:val="10"/>
          <w:sz w:val="24"/>
        </w:rPr>
      </w:pPr>
      <w:r>
        <w:rPr>
          <w:rFonts w:ascii="Arial" w:hAnsi="Arial" w:eastAsia="宋体" w:cs="Arial"/>
          <w:spacing w:val="10"/>
          <w:sz w:val="24"/>
        </w:rPr>
        <w:t>4、项目四周厂界各污染物浓度符合《无机化学工业污染物排放标准》（GB31573-2015）及《大气污染物综合排放标准》（GB16297-1996）要求。</w:t>
      </w:r>
    </w:p>
    <w:p w14:paraId="7AC4E48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rPr>
        <w:t>综上所述，项目建设对周边环境影响是可以接受的。项目大气环境影响评价自查表见附表2。</w:t>
      </w:r>
    </w:p>
    <w:p w14:paraId="6E808315">
      <w:pPr>
        <w:pStyle w:val="6"/>
        <w:numPr>
          <w:ilvl w:val="0"/>
          <w:numId w:val="20"/>
        </w:numPr>
        <w:tabs>
          <w:tab w:val="clear" w:pos="1789"/>
        </w:tabs>
        <w:spacing w:line="400" w:lineRule="exact"/>
        <w:rPr>
          <w:rFonts w:ascii="Arial" w:hAnsi="Arial" w:eastAsia="宋体" w:cs="Arial"/>
        </w:rPr>
      </w:pPr>
      <w:bookmarkStart w:id="304" w:name="_Toc58596460"/>
      <w:bookmarkStart w:id="305" w:name="_Toc67921873"/>
      <w:bookmarkStart w:id="306" w:name="_Toc57715620"/>
      <w:bookmarkStart w:id="307" w:name="_Toc88674774"/>
      <w:bookmarkStart w:id="308" w:name="_Toc87124259"/>
      <w:bookmarkStart w:id="309" w:name="_Toc104677301"/>
      <w:r>
        <w:rPr>
          <w:rFonts w:ascii="Arial" w:hAnsi="Arial" w:eastAsia="宋体" w:cs="Arial"/>
        </w:rPr>
        <w:t>运营期地表水环境影响分析</w:t>
      </w:r>
      <w:bookmarkEnd w:id="304"/>
      <w:bookmarkEnd w:id="305"/>
      <w:bookmarkEnd w:id="306"/>
      <w:bookmarkEnd w:id="307"/>
      <w:bookmarkEnd w:id="308"/>
      <w:bookmarkEnd w:id="309"/>
    </w:p>
    <w:p w14:paraId="5331ADB2">
      <w:pPr>
        <w:pStyle w:val="474"/>
        <w:numPr>
          <w:ilvl w:val="0"/>
          <w:numId w:val="24"/>
        </w:numPr>
        <w:spacing w:line="500" w:lineRule="exact"/>
        <w:ind w:firstLineChars="0"/>
        <w:outlineLvl w:val="3"/>
        <w:rPr>
          <w:rFonts w:ascii="Arial" w:hAnsi="Arial" w:cs="Arial"/>
          <w:b/>
        </w:rPr>
      </w:pPr>
      <w:r>
        <w:rPr>
          <w:rFonts w:ascii="Arial" w:hAnsi="Arial" w:cs="Arial"/>
          <w:b/>
        </w:rPr>
        <w:t>废水污染源及其处置方式</w:t>
      </w:r>
    </w:p>
    <w:p w14:paraId="33E16340">
      <w:pPr>
        <w:pStyle w:val="5"/>
        <w:spacing w:line="500" w:lineRule="exact"/>
        <w:ind w:firstLine="490" w:firstLineChars="200"/>
        <w:rPr>
          <w:szCs w:val="24"/>
        </w:rPr>
      </w:pPr>
      <w:bookmarkStart w:id="310" w:name="_Hlk69862976"/>
      <w:r>
        <w:rPr>
          <w:szCs w:val="24"/>
        </w:rPr>
        <w:t>1、生产废水</w:t>
      </w:r>
    </w:p>
    <w:p w14:paraId="68A96311">
      <w:pPr>
        <w:pStyle w:val="5"/>
        <w:spacing w:line="500" w:lineRule="exact"/>
        <w:ind w:firstLine="490" w:firstLineChars="200"/>
      </w:pPr>
      <w:r>
        <w:rPr>
          <w:rFonts w:hint="eastAsia"/>
          <w:u w:val="single"/>
        </w:rPr>
        <w:t>经管道收集后的生产废水和经地沟收集后的车间清洗废水一同经在X19车间经板框压滤、精密过滤器预处理满足《无机化学工业污染物排放标准》（GB31573-2015）车间排放口要求后，</w:t>
      </w:r>
      <w:r>
        <w:rPr>
          <w:rFonts w:hint="eastAsia"/>
        </w:rPr>
        <w:t>通过管道泵入S7污水处理车间，经脱氨、陶瓷膜过滤处理后，通过管道泵入S8、S9污水处理车间，经4#~12#MVR处理，MVR处理后的开路母液通过管道泵入厂区综合污水处理站，经臭氧催化氧化处理后排入废水总排口。项目生产废水处理流程见图4.2-7。</w:t>
      </w:r>
    </w:p>
    <w:p w14:paraId="454A74B1">
      <w:pPr>
        <w:pStyle w:val="5"/>
        <w:spacing w:line="360" w:lineRule="auto"/>
        <w:ind w:firstLine="0"/>
        <w:jc w:val="right"/>
        <w:rPr>
          <w:u w:val="single"/>
        </w:rPr>
      </w:pPr>
      <w:r>
        <w:rPr>
          <w:u w:val="single"/>
        </w:rPr>
        <w:object>
          <v:shape id="_x0000_i1028" o:spt="75" type="#_x0000_t75" style="height:469.3pt;width:291.05pt;" o:ole="t" filled="f" o:preferrelative="t" stroked="f" coordsize="21600,21600">
            <v:path/>
            <v:fill on="f" focussize="0,0"/>
            <v:stroke on="f" joinstyle="miter"/>
            <v:imagedata r:id="rId48" o:title=""/>
            <o:lock v:ext="edit" aspectratio="t"/>
            <w10:wrap type="none"/>
            <w10:anchorlock/>
          </v:shape>
          <o:OLEObject Type="Embed" ProgID="Visio.Drawing.11" ShapeID="_x0000_i1028" DrawAspect="Content" ObjectID="_1468075728" r:id="rId47">
            <o:LockedField>false</o:LockedField>
          </o:OLEObject>
        </w:object>
      </w:r>
    </w:p>
    <w:p w14:paraId="546B8B42">
      <w:pPr>
        <w:numPr>
          <w:ilvl w:val="0"/>
          <w:numId w:val="23"/>
        </w:numPr>
        <w:spacing w:line="500" w:lineRule="exact"/>
        <w:jc w:val="center"/>
        <w:rPr>
          <w:rFonts w:ascii="Arial" w:hAnsi="Arial" w:eastAsia="宋体" w:cs="Arial"/>
          <w:b/>
          <w:spacing w:val="10"/>
          <w:sz w:val="24"/>
          <w:u w:val="single"/>
        </w:rPr>
      </w:pPr>
      <w:r>
        <w:rPr>
          <w:rFonts w:hint="eastAsia" w:ascii="Arial" w:hAnsi="Arial" w:eastAsia="宋体" w:cs="Arial"/>
          <w:b/>
          <w:spacing w:val="10"/>
          <w:sz w:val="24"/>
          <w:u w:val="single"/>
        </w:rPr>
        <w:t>项目生产废水处理流程</w:t>
      </w:r>
    </w:p>
    <w:p w14:paraId="3CCA3E77">
      <w:pPr>
        <w:pStyle w:val="5"/>
        <w:spacing w:line="500" w:lineRule="exact"/>
        <w:ind w:firstLine="490" w:firstLineChars="200"/>
        <w:rPr>
          <w:szCs w:val="24"/>
        </w:rPr>
      </w:pPr>
      <w:r>
        <w:rPr>
          <w:szCs w:val="24"/>
        </w:rPr>
        <w:t>2、生活污水</w:t>
      </w:r>
    </w:p>
    <w:p w14:paraId="35CB2CC1">
      <w:pPr>
        <w:pStyle w:val="5"/>
        <w:spacing w:line="500" w:lineRule="exact"/>
        <w:ind w:firstLine="490" w:firstLineChars="200"/>
        <w:rPr>
          <w:szCs w:val="24"/>
        </w:rPr>
      </w:pPr>
      <w:r>
        <w:rPr>
          <w:szCs w:val="24"/>
        </w:rPr>
        <w:t>生活污水经地埋式三级化粪池处理后，与现有生活污水一同排入园区污水管道，排向大榄坪污水处理厂处理。</w:t>
      </w:r>
    </w:p>
    <w:p w14:paraId="4E80B391">
      <w:pPr>
        <w:pStyle w:val="474"/>
        <w:numPr>
          <w:ilvl w:val="0"/>
          <w:numId w:val="24"/>
        </w:numPr>
        <w:spacing w:line="500" w:lineRule="exact"/>
        <w:ind w:firstLineChars="0"/>
        <w:outlineLvl w:val="3"/>
        <w:rPr>
          <w:rFonts w:ascii="Arial" w:hAnsi="Arial" w:cs="Arial"/>
          <w:b/>
        </w:rPr>
      </w:pPr>
      <w:r>
        <w:rPr>
          <w:rFonts w:ascii="Arial" w:hAnsi="Arial" w:cs="Arial"/>
          <w:b/>
        </w:rPr>
        <w:t>废水达标可行性分析</w:t>
      </w:r>
    </w:p>
    <w:p w14:paraId="3A759825">
      <w:pPr>
        <w:pStyle w:val="5"/>
        <w:spacing w:line="500" w:lineRule="exact"/>
        <w:ind w:firstLine="490" w:firstLineChars="200"/>
        <w:rPr>
          <w:szCs w:val="24"/>
        </w:rPr>
      </w:pPr>
      <w:r>
        <w:rPr>
          <w:szCs w:val="24"/>
        </w:rPr>
        <w:t>1、车间排放口</w:t>
      </w:r>
    </w:p>
    <w:p w14:paraId="4C5A8E72">
      <w:pPr>
        <w:pStyle w:val="5"/>
        <w:spacing w:line="500" w:lineRule="exact"/>
        <w:ind w:firstLine="490" w:firstLineChars="200"/>
        <w:rPr>
          <w:szCs w:val="24"/>
          <w:highlight w:val="yellow"/>
        </w:rPr>
      </w:pPr>
      <w:r>
        <w:rPr>
          <w:rFonts w:hint="eastAsia"/>
          <w:szCs w:val="24"/>
          <w:u w:val="single"/>
        </w:rPr>
        <w:t>生产废水（W1-1）经管道收集，地面清洗废水（W1-2）经地坑收集，两股废水一同经X19车间内板框压滤机和精密过滤器处理。目前生产线在调试阶段，根据建设单位2024年7月26日~8月6日对羟基钴生产线生产废水（W1-1）、地面清洗废水（W1-2）经板框压滤、精密过滤后的废水监测，钴浓度为0.05~0.91mg/L，废水满足</w:t>
      </w:r>
      <w:r>
        <w:rPr>
          <w:szCs w:val="24"/>
          <w:u w:val="single"/>
        </w:rPr>
        <w:t>《无机化学工业污染物排放标准》（GB31573-2015）车间或生产设施废水排放口标准限值要求后，</w:t>
      </w:r>
      <w:r>
        <w:rPr>
          <w:rFonts w:hint="eastAsia"/>
          <w:u w:val="single"/>
        </w:rPr>
        <w:t>通过管道泵入S7污水处理车间。</w:t>
      </w:r>
    </w:p>
    <w:p w14:paraId="49177E6F">
      <w:pPr>
        <w:pStyle w:val="5"/>
        <w:spacing w:line="500" w:lineRule="exact"/>
        <w:ind w:firstLine="490" w:firstLineChars="200"/>
        <w:rPr>
          <w:szCs w:val="24"/>
        </w:rPr>
      </w:pPr>
      <w:r>
        <w:rPr>
          <w:szCs w:val="24"/>
        </w:rPr>
        <w:t>2、厂区总排口</w:t>
      </w:r>
    </w:p>
    <w:p w14:paraId="255A4C0E">
      <w:pPr>
        <w:pStyle w:val="5"/>
        <w:spacing w:line="500" w:lineRule="exact"/>
        <w:ind w:firstLine="490" w:firstLineChars="200"/>
        <w:rPr>
          <w:szCs w:val="24"/>
        </w:rPr>
      </w:pPr>
      <w:r>
        <w:rPr>
          <w:szCs w:val="24"/>
        </w:rPr>
        <w:t>根据上文工程分析废水源强核算，项目实施后全厂废水总排口满足《无机化学工业污染物排放标准》（GB31573-2015）</w:t>
      </w:r>
      <w:r>
        <w:rPr>
          <w:kern w:val="0"/>
          <w:szCs w:val="24"/>
        </w:rPr>
        <w:t>表1直接排放限值</w:t>
      </w:r>
      <w:r>
        <w:rPr>
          <w:szCs w:val="24"/>
        </w:rPr>
        <w:t>要求。</w:t>
      </w:r>
    </w:p>
    <w:p w14:paraId="142485DD">
      <w:pPr>
        <w:pStyle w:val="5"/>
        <w:spacing w:line="500" w:lineRule="exact"/>
        <w:ind w:firstLine="490" w:firstLineChars="200"/>
        <w:rPr>
          <w:szCs w:val="24"/>
        </w:rPr>
      </w:pPr>
      <w:r>
        <w:rPr>
          <w:szCs w:val="24"/>
        </w:rPr>
        <w:t>3、生活污水排放口</w:t>
      </w:r>
    </w:p>
    <w:p w14:paraId="58301B6B">
      <w:pPr>
        <w:pStyle w:val="5"/>
        <w:spacing w:line="500" w:lineRule="exact"/>
        <w:ind w:firstLine="490" w:firstLineChars="200"/>
        <w:rPr>
          <w:szCs w:val="24"/>
        </w:rPr>
      </w:pPr>
      <w:r>
        <w:rPr>
          <w:szCs w:val="24"/>
        </w:rPr>
        <w:t>生活污水经三级化粪池处理可满足《无机化学工业污染物排放标准》（GB31573-2015）表1间接排放限值。</w:t>
      </w:r>
    </w:p>
    <w:p w14:paraId="4898B12F">
      <w:pPr>
        <w:pStyle w:val="474"/>
        <w:numPr>
          <w:ilvl w:val="0"/>
          <w:numId w:val="24"/>
        </w:numPr>
        <w:spacing w:line="500" w:lineRule="exact"/>
        <w:ind w:firstLineChars="0"/>
        <w:outlineLvl w:val="3"/>
        <w:rPr>
          <w:rFonts w:ascii="Arial" w:hAnsi="Arial" w:cs="Arial"/>
          <w:b/>
        </w:rPr>
      </w:pPr>
      <w:r>
        <w:rPr>
          <w:rFonts w:hint="eastAsia" w:ascii="Arial" w:hAnsi="Arial" w:cs="Arial"/>
          <w:b/>
        </w:rPr>
        <w:t>海洋环境影响预测</w:t>
      </w:r>
    </w:p>
    <w:p w14:paraId="24D245B2">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近期生产废水经厂区污水处理站处理后直接排放；后期待大榄坪污水处理厂升级改造或二期扩建工程项目完成后，废水送至大榄坪污水处理厂处理达标后再进行深海排放。本次评价仅对近期废水直接排放进行分析。</w:t>
      </w:r>
    </w:p>
    <w:p w14:paraId="31C88D8A">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本项目变更后，全厂废水总排口各污染物排放量与</w:t>
      </w:r>
      <w:r>
        <w:rPr>
          <w:rFonts w:ascii="Arial" w:hAnsi="Arial" w:eastAsia="宋体" w:cs="Arial"/>
          <w:spacing w:val="10"/>
          <w:sz w:val="24"/>
          <w:szCs w:val="24"/>
        </w:rPr>
        <w:t>一期工程环评（即</w:t>
      </w:r>
      <w:r>
        <w:rPr>
          <w:rFonts w:hint="eastAsia" w:ascii="Arial" w:hAnsi="Arial" w:eastAsia="宋体" w:cs="Arial"/>
          <w:spacing w:val="10"/>
          <w:sz w:val="24"/>
          <w:szCs w:val="24"/>
        </w:rPr>
        <w:t>广西中伟新能源科技有限公司北部湾产业基地三元项目（一期一阶段）环境影响报告书</w:t>
      </w:r>
      <w:r>
        <w:rPr>
          <w:rFonts w:ascii="Arial" w:hAnsi="Arial" w:eastAsia="宋体" w:cs="Arial"/>
          <w:spacing w:val="10"/>
          <w:sz w:val="24"/>
          <w:szCs w:val="24"/>
        </w:rPr>
        <w:t>）总排口排放量相比，废水排放量、各污染物总量均有所减少，因此本次评价引用一期工程环评预测一级评价结论进行评价。</w:t>
      </w:r>
      <w:r>
        <w:rPr>
          <w:rFonts w:hint="eastAsia" w:ascii="Arial" w:hAnsi="Arial" w:eastAsia="宋体" w:cs="Arial"/>
          <w:spacing w:val="10"/>
          <w:sz w:val="24"/>
          <w:szCs w:val="24"/>
        </w:rPr>
        <w:t>变更</w:t>
      </w:r>
      <w:r>
        <w:rPr>
          <w:rFonts w:ascii="Arial" w:hAnsi="Arial" w:eastAsia="宋体" w:cs="Arial"/>
          <w:spacing w:val="10"/>
          <w:sz w:val="24"/>
          <w:szCs w:val="24"/>
        </w:rPr>
        <w:t>后外排废水情况与一期工程环评预测源强见表4-</w:t>
      </w:r>
      <w:r>
        <w:rPr>
          <w:rFonts w:hint="eastAsia" w:ascii="Arial" w:hAnsi="Arial" w:eastAsia="宋体" w:cs="Arial"/>
          <w:spacing w:val="10"/>
          <w:sz w:val="24"/>
          <w:szCs w:val="24"/>
        </w:rPr>
        <w:t>21</w:t>
      </w:r>
      <w:r>
        <w:rPr>
          <w:rFonts w:ascii="Arial" w:hAnsi="Arial" w:eastAsia="宋体" w:cs="Arial"/>
          <w:spacing w:val="10"/>
          <w:sz w:val="24"/>
          <w:szCs w:val="24"/>
        </w:rPr>
        <w:t>。</w:t>
      </w:r>
    </w:p>
    <w:p w14:paraId="75EAB2BC">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全厂外排废水与一期预测情况对比情况表</w:t>
      </w:r>
    </w:p>
    <w:tbl>
      <w:tblPr>
        <w:tblStyle w:val="8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3"/>
        <w:gridCol w:w="2465"/>
        <w:gridCol w:w="2696"/>
        <w:gridCol w:w="2927"/>
      </w:tblGrid>
      <w:tr w14:paraId="13BFC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47D7BAB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污染物</w:t>
            </w:r>
          </w:p>
        </w:tc>
        <w:tc>
          <w:tcPr>
            <w:tcW w:w="1371" w:type="pct"/>
            <w:vAlign w:val="center"/>
          </w:tcPr>
          <w:p w14:paraId="3A224E27">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变更</w:t>
            </w:r>
            <w:r>
              <w:rPr>
                <w:rFonts w:ascii="Arial" w:hAnsi="Arial" w:eastAsia="宋体" w:cs="Arial"/>
                <w:spacing w:val="10"/>
                <w:sz w:val="21"/>
                <w:szCs w:val="21"/>
              </w:rPr>
              <w:t>后全厂排污口排放量（t/a）</w:t>
            </w:r>
          </w:p>
        </w:tc>
        <w:tc>
          <w:tcPr>
            <w:tcW w:w="1499" w:type="pct"/>
            <w:vAlign w:val="center"/>
          </w:tcPr>
          <w:p w14:paraId="511D01F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一期工程环评预测排放量（t/a）</w:t>
            </w:r>
          </w:p>
        </w:tc>
        <w:tc>
          <w:tcPr>
            <w:tcW w:w="1628" w:type="pct"/>
            <w:vAlign w:val="center"/>
          </w:tcPr>
          <w:p w14:paraId="60E030D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变更后全厂排污口与一期环评预测排放量对比情况（t</w:t>
            </w:r>
            <w:r>
              <w:rPr>
                <w:rFonts w:hint="eastAsia" w:ascii="Arial" w:hAnsi="Arial" w:eastAsia="宋体" w:cs="Arial"/>
                <w:spacing w:val="10"/>
                <w:sz w:val="21"/>
                <w:szCs w:val="21"/>
              </w:rPr>
              <w:t>/a</w:t>
            </w:r>
            <w:r>
              <w:rPr>
                <w:rFonts w:ascii="Arial" w:hAnsi="Arial" w:eastAsia="宋体" w:cs="Arial"/>
                <w:spacing w:val="10"/>
                <w:sz w:val="21"/>
                <w:szCs w:val="21"/>
              </w:rPr>
              <w:t>）</w:t>
            </w:r>
          </w:p>
        </w:tc>
      </w:tr>
      <w:tr w14:paraId="09D4B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4080933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废水量</w:t>
            </w:r>
          </w:p>
        </w:tc>
        <w:tc>
          <w:tcPr>
            <w:tcW w:w="1371" w:type="pct"/>
            <w:vAlign w:val="center"/>
          </w:tcPr>
          <w:p w14:paraId="1F9C8172">
            <w:pPr>
              <w:adjustRightInd w:val="0"/>
              <w:snapToGrid w:val="0"/>
              <w:jc w:val="center"/>
              <w:rPr>
                <w:rFonts w:ascii="Arial" w:hAnsi="Arial" w:eastAsia="宋体" w:cs="Arial"/>
                <w:sz w:val="21"/>
                <w:szCs w:val="21"/>
              </w:rPr>
            </w:pPr>
            <w:r>
              <w:rPr>
                <w:rFonts w:hint="eastAsia" w:ascii="Arial" w:hAnsi="Arial" w:cs="Arial"/>
                <w:sz w:val="21"/>
                <w:szCs w:val="21"/>
              </w:rPr>
              <w:t>2002186.84</w:t>
            </w:r>
          </w:p>
        </w:tc>
        <w:tc>
          <w:tcPr>
            <w:tcW w:w="1499" w:type="pct"/>
            <w:vAlign w:val="center"/>
          </w:tcPr>
          <w:p w14:paraId="521EAB6F">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4059561</w:t>
            </w:r>
          </w:p>
        </w:tc>
        <w:tc>
          <w:tcPr>
            <w:tcW w:w="1628" w:type="pct"/>
            <w:vAlign w:val="center"/>
          </w:tcPr>
          <w:p w14:paraId="7DA3A3ED">
            <w:pPr>
              <w:adjustRightInd w:val="0"/>
              <w:snapToGrid w:val="0"/>
              <w:jc w:val="center"/>
              <w:rPr>
                <w:rFonts w:ascii="Arial" w:hAnsi="Arial" w:eastAsia="宋体" w:cs="Arial"/>
                <w:sz w:val="21"/>
                <w:szCs w:val="22"/>
              </w:rPr>
            </w:pPr>
            <w:r>
              <w:rPr>
                <w:rFonts w:ascii="Arial" w:hAnsi="Arial" w:cs="Arial"/>
                <w:sz w:val="21"/>
                <w:szCs w:val="22"/>
              </w:rPr>
              <w:t>-20</w:t>
            </w:r>
            <w:r>
              <w:rPr>
                <w:rFonts w:hint="eastAsia" w:ascii="Arial" w:hAnsi="Arial" w:cs="Arial"/>
                <w:sz w:val="21"/>
                <w:szCs w:val="22"/>
              </w:rPr>
              <w:t>57374.16</w:t>
            </w:r>
          </w:p>
        </w:tc>
      </w:tr>
      <w:tr w14:paraId="3AD0D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415BC822">
            <w:pPr>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1371" w:type="pct"/>
            <w:vAlign w:val="center"/>
          </w:tcPr>
          <w:p w14:paraId="79199B03">
            <w:pPr>
              <w:adjustRightInd w:val="0"/>
              <w:snapToGrid w:val="0"/>
              <w:jc w:val="center"/>
              <w:rPr>
                <w:rFonts w:ascii="Arial" w:hAnsi="Arial" w:eastAsia="宋体" w:cs="Arial"/>
                <w:sz w:val="21"/>
                <w:szCs w:val="21"/>
              </w:rPr>
            </w:pPr>
            <w:r>
              <w:rPr>
                <w:rFonts w:ascii="Arial" w:hAnsi="Arial" w:cs="Arial"/>
                <w:sz w:val="21"/>
                <w:szCs w:val="21"/>
              </w:rPr>
              <w:t>58.8315</w:t>
            </w:r>
          </w:p>
        </w:tc>
        <w:tc>
          <w:tcPr>
            <w:tcW w:w="1499" w:type="pct"/>
            <w:vAlign w:val="center"/>
          </w:tcPr>
          <w:p w14:paraId="665CBA0C">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175.129</w:t>
            </w:r>
          </w:p>
        </w:tc>
        <w:tc>
          <w:tcPr>
            <w:tcW w:w="1628" w:type="pct"/>
            <w:vAlign w:val="center"/>
          </w:tcPr>
          <w:p w14:paraId="0E5A5739">
            <w:pPr>
              <w:adjustRightInd w:val="0"/>
              <w:snapToGrid w:val="0"/>
              <w:jc w:val="center"/>
              <w:rPr>
                <w:rFonts w:ascii="Arial" w:hAnsi="Arial" w:eastAsia="宋体" w:cs="Arial"/>
                <w:sz w:val="21"/>
                <w:szCs w:val="22"/>
              </w:rPr>
            </w:pPr>
            <w:r>
              <w:rPr>
                <w:rFonts w:ascii="Arial" w:hAnsi="Arial" w:cs="Arial"/>
                <w:sz w:val="21"/>
                <w:szCs w:val="22"/>
              </w:rPr>
              <w:t>-116.298</w:t>
            </w:r>
          </w:p>
        </w:tc>
      </w:tr>
      <w:tr w14:paraId="1EE68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791492A6">
            <w:pPr>
              <w:adjustRightInd w:val="0"/>
              <w:snapToGrid w:val="0"/>
              <w:jc w:val="center"/>
              <w:rPr>
                <w:rFonts w:ascii="Arial" w:hAnsi="Arial" w:eastAsia="宋体" w:cs="Arial"/>
                <w:sz w:val="21"/>
                <w:szCs w:val="21"/>
              </w:rPr>
            </w:pPr>
            <w:r>
              <w:rPr>
                <w:rFonts w:ascii="Arial" w:hAnsi="Arial" w:eastAsia="宋体" w:cs="Arial"/>
                <w:sz w:val="21"/>
                <w:szCs w:val="21"/>
              </w:rPr>
              <w:t>氨氮</w:t>
            </w:r>
          </w:p>
        </w:tc>
        <w:tc>
          <w:tcPr>
            <w:tcW w:w="1371" w:type="pct"/>
            <w:vAlign w:val="center"/>
          </w:tcPr>
          <w:p w14:paraId="254AE08B">
            <w:pPr>
              <w:adjustRightInd w:val="0"/>
              <w:snapToGrid w:val="0"/>
              <w:jc w:val="center"/>
              <w:rPr>
                <w:rFonts w:ascii="Arial" w:hAnsi="Arial" w:eastAsia="宋体" w:cs="Arial"/>
                <w:sz w:val="21"/>
                <w:szCs w:val="21"/>
              </w:rPr>
            </w:pPr>
            <w:r>
              <w:rPr>
                <w:rFonts w:ascii="Arial" w:hAnsi="Arial" w:cs="Arial"/>
                <w:sz w:val="21"/>
                <w:szCs w:val="21"/>
              </w:rPr>
              <w:t>6.0813</w:t>
            </w:r>
          </w:p>
        </w:tc>
        <w:tc>
          <w:tcPr>
            <w:tcW w:w="1499" w:type="pct"/>
            <w:vAlign w:val="center"/>
          </w:tcPr>
          <w:p w14:paraId="44950040">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36.577</w:t>
            </w:r>
          </w:p>
        </w:tc>
        <w:tc>
          <w:tcPr>
            <w:tcW w:w="1628" w:type="pct"/>
            <w:vAlign w:val="center"/>
          </w:tcPr>
          <w:p w14:paraId="2337633B">
            <w:pPr>
              <w:adjustRightInd w:val="0"/>
              <w:snapToGrid w:val="0"/>
              <w:jc w:val="center"/>
              <w:rPr>
                <w:rFonts w:ascii="Arial" w:hAnsi="Arial" w:eastAsia="宋体" w:cs="Arial"/>
                <w:sz w:val="21"/>
                <w:szCs w:val="22"/>
              </w:rPr>
            </w:pPr>
            <w:r>
              <w:rPr>
                <w:rFonts w:ascii="Arial" w:hAnsi="Arial" w:cs="Arial"/>
                <w:sz w:val="21"/>
                <w:szCs w:val="22"/>
              </w:rPr>
              <w:t>-30.4957</w:t>
            </w:r>
          </w:p>
        </w:tc>
      </w:tr>
      <w:tr w14:paraId="4B13E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0D20CD2A">
            <w:pPr>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1371" w:type="pct"/>
            <w:vAlign w:val="center"/>
          </w:tcPr>
          <w:p w14:paraId="3E6B738A">
            <w:pPr>
              <w:adjustRightInd w:val="0"/>
              <w:snapToGrid w:val="0"/>
              <w:jc w:val="center"/>
              <w:rPr>
                <w:rFonts w:ascii="Arial" w:hAnsi="Arial" w:eastAsia="宋体" w:cs="Arial"/>
                <w:sz w:val="21"/>
                <w:szCs w:val="21"/>
              </w:rPr>
            </w:pPr>
            <w:r>
              <w:rPr>
                <w:rFonts w:ascii="Arial" w:hAnsi="Arial" w:cs="Arial"/>
                <w:sz w:val="21"/>
                <w:szCs w:val="21"/>
              </w:rPr>
              <w:t>15927.0315</w:t>
            </w:r>
          </w:p>
        </w:tc>
        <w:tc>
          <w:tcPr>
            <w:tcW w:w="1499" w:type="pct"/>
            <w:vAlign w:val="center"/>
          </w:tcPr>
          <w:p w14:paraId="3B3C4036">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78349.53</w:t>
            </w:r>
          </w:p>
        </w:tc>
        <w:tc>
          <w:tcPr>
            <w:tcW w:w="1628" w:type="pct"/>
            <w:vAlign w:val="center"/>
          </w:tcPr>
          <w:p w14:paraId="1178319C">
            <w:pPr>
              <w:adjustRightInd w:val="0"/>
              <w:snapToGrid w:val="0"/>
              <w:jc w:val="center"/>
              <w:rPr>
                <w:rFonts w:ascii="Arial" w:hAnsi="Arial" w:eastAsia="宋体" w:cs="Arial"/>
                <w:sz w:val="21"/>
                <w:szCs w:val="22"/>
              </w:rPr>
            </w:pPr>
            <w:r>
              <w:rPr>
                <w:rFonts w:ascii="Arial" w:hAnsi="Arial" w:cs="Arial"/>
                <w:sz w:val="21"/>
                <w:szCs w:val="22"/>
              </w:rPr>
              <w:t>-62</w:t>
            </w:r>
            <w:r>
              <w:rPr>
                <w:rFonts w:hint="eastAsia" w:ascii="Arial" w:hAnsi="Arial" w:cs="Arial"/>
                <w:sz w:val="21"/>
                <w:szCs w:val="22"/>
              </w:rPr>
              <w:t>422.4985</w:t>
            </w:r>
          </w:p>
        </w:tc>
      </w:tr>
      <w:tr w14:paraId="6CB16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558E9684">
            <w:pPr>
              <w:adjustRightInd w:val="0"/>
              <w:snapToGrid w:val="0"/>
              <w:jc w:val="center"/>
              <w:rPr>
                <w:rFonts w:ascii="Arial" w:hAnsi="Arial" w:eastAsia="宋体" w:cs="Arial"/>
                <w:sz w:val="21"/>
                <w:szCs w:val="21"/>
              </w:rPr>
            </w:pPr>
            <w:r>
              <w:rPr>
                <w:rFonts w:ascii="Arial" w:hAnsi="Arial" w:eastAsia="宋体" w:cs="Arial"/>
                <w:sz w:val="21"/>
                <w:szCs w:val="21"/>
              </w:rPr>
              <w:t>Ni</w:t>
            </w:r>
          </w:p>
        </w:tc>
        <w:tc>
          <w:tcPr>
            <w:tcW w:w="1371" w:type="pct"/>
            <w:vAlign w:val="center"/>
          </w:tcPr>
          <w:p w14:paraId="5A313B4A">
            <w:pPr>
              <w:adjustRightInd w:val="0"/>
              <w:snapToGrid w:val="0"/>
              <w:jc w:val="center"/>
              <w:rPr>
                <w:rFonts w:ascii="Arial" w:hAnsi="Arial" w:eastAsia="宋体" w:cs="Arial"/>
                <w:sz w:val="21"/>
                <w:szCs w:val="21"/>
              </w:rPr>
            </w:pPr>
            <w:r>
              <w:rPr>
                <w:rFonts w:ascii="Arial" w:hAnsi="Arial" w:cs="Arial"/>
                <w:sz w:val="21"/>
                <w:szCs w:val="21"/>
              </w:rPr>
              <w:t>0.2502</w:t>
            </w:r>
          </w:p>
        </w:tc>
        <w:tc>
          <w:tcPr>
            <w:tcW w:w="1499" w:type="pct"/>
            <w:vAlign w:val="center"/>
          </w:tcPr>
          <w:p w14:paraId="2DBC70F5">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0.284</w:t>
            </w:r>
          </w:p>
        </w:tc>
        <w:tc>
          <w:tcPr>
            <w:tcW w:w="1628" w:type="pct"/>
            <w:vAlign w:val="center"/>
          </w:tcPr>
          <w:p w14:paraId="31463023">
            <w:pPr>
              <w:adjustRightInd w:val="0"/>
              <w:snapToGrid w:val="0"/>
              <w:jc w:val="center"/>
              <w:rPr>
                <w:rFonts w:ascii="Arial" w:hAnsi="Arial" w:eastAsia="宋体" w:cs="Arial"/>
                <w:sz w:val="21"/>
                <w:szCs w:val="22"/>
              </w:rPr>
            </w:pPr>
            <w:r>
              <w:rPr>
                <w:rFonts w:ascii="Arial" w:hAnsi="Arial" w:cs="Arial"/>
                <w:sz w:val="21"/>
                <w:szCs w:val="22"/>
              </w:rPr>
              <w:t>-0.0338</w:t>
            </w:r>
          </w:p>
        </w:tc>
      </w:tr>
      <w:tr w14:paraId="1E628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6DAEB0D9">
            <w:pPr>
              <w:adjustRightInd w:val="0"/>
              <w:snapToGrid w:val="0"/>
              <w:jc w:val="center"/>
              <w:rPr>
                <w:rFonts w:ascii="Arial" w:hAnsi="Arial" w:eastAsia="宋体" w:cs="Arial"/>
                <w:sz w:val="21"/>
                <w:szCs w:val="21"/>
              </w:rPr>
            </w:pPr>
            <w:r>
              <w:rPr>
                <w:rFonts w:ascii="Arial" w:hAnsi="Arial" w:eastAsia="宋体" w:cs="Arial"/>
                <w:sz w:val="21"/>
                <w:szCs w:val="21"/>
              </w:rPr>
              <w:t>Co</w:t>
            </w:r>
          </w:p>
        </w:tc>
        <w:tc>
          <w:tcPr>
            <w:tcW w:w="1371" w:type="pct"/>
            <w:vAlign w:val="center"/>
          </w:tcPr>
          <w:p w14:paraId="61C362C0">
            <w:pPr>
              <w:adjustRightInd w:val="0"/>
              <w:snapToGrid w:val="0"/>
              <w:jc w:val="center"/>
              <w:rPr>
                <w:rFonts w:ascii="Arial" w:hAnsi="Arial" w:eastAsia="宋体" w:cs="Arial"/>
                <w:sz w:val="21"/>
                <w:szCs w:val="21"/>
              </w:rPr>
            </w:pPr>
            <w:r>
              <w:rPr>
                <w:rFonts w:ascii="Arial" w:hAnsi="Arial" w:cs="Arial"/>
                <w:sz w:val="21"/>
                <w:szCs w:val="21"/>
              </w:rPr>
              <w:t>0.3067</w:t>
            </w:r>
          </w:p>
        </w:tc>
        <w:tc>
          <w:tcPr>
            <w:tcW w:w="1499" w:type="pct"/>
            <w:vAlign w:val="center"/>
          </w:tcPr>
          <w:p w14:paraId="1FB04B93">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0.528</w:t>
            </w:r>
          </w:p>
        </w:tc>
        <w:tc>
          <w:tcPr>
            <w:tcW w:w="1628" w:type="pct"/>
            <w:vAlign w:val="center"/>
          </w:tcPr>
          <w:p w14:paraId="4950087D">
            <w:pPr>
              <w:adjustRightInd w:val="0"/>
              <w:snapToGrid w:val="0"/>
              <w:jc w:val="center"/>
              <w:rPr>
                <w:rFonts w:ascii="Arial" w:hAnsi="Arial" w:eastAsia="宋体" w:cs="Arial"/>
                <w:sz w:val="21"/>
                <w:szCs w:val="22"/>
              </w:rPr>
            </w:pPr>
            <w:r>
              <w:rPr>
                <w:rFonts w:ascii="Arial" w:hAnsi="Arial" w:cs="Arial"/>
                <w:sz w:val="21"/>
                <w:szCs w:val="22"/>
              </w:rPr>
              <w:t>-0.2213</w:t>
            </w:r>
          </w:p>
        </w:tc>
      </w:tr>
      <w:tr w14:paraId="2E5C9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449C8437">
            <w:pPr>
              <w:adjustRightInd w:val="0"/>
              <w:snapToGrid w:val="0"/>
              <w:jc w:val="center"/>
              <w:rPr>
                <w:rFonts w:ascii="Arial" w:hAnsi="Arial" w:eastAsia="宋体" w:cs="Arial"/>
                <w:sz w:val="21"/>
                <w:szCs w:val="21"/>
              </w:rPr>
            </w:pPr>
            <w:r>
              <w:rPr>
                <w:rFonts w:ascii="Arial" w:hAnsi="Arial" w:eastAsia="宋体" w:cs="Arial"/>
                <w:sz w:val="21"/>
                <w:szCs w:val="21"/>
              </w:rPr>
              <w:t>Mn</w:t>
            </w:r>
          </w:p>
        </w:tc>
        <w:tc>
          <w:tcPr>
            <w:tcW w:w="1371" w:type="pct"/>
            <w:vAlign w:val="center"/>
          </w:tcPr>
          <w:p w14:paraId="4388FC89">
            <w:pPr>
              <w:adjustRightInd w:val="0"/>
              <w:snapToGrid w:val="0"/>
              <w:jc w:val="center"/>
              <w:rPr>
                <w:rFonts w:ascii="Arial" w:hAnsi="Arial" w:eastAsia="宋体" w:cs="Arial"/>
                <w:sz w:val="21"/>
                <w:szCs w:val="21"/>
              </w:rPr>
            </w:pPr>
            <w:r>
              <w:rPr>
                <w:rFonts w:ascii="Arial" w:hAnsi="Arial" w:cs="Arial"/>
                <w:sz w:val="21"/>
                <w:szCs w:val="21"/>
              </w:rPr>
              <w:t>0.3215</w:t>
            </w:r>
          </w:p>
        </w:tc>
        <w:tc>
          <w:tcPr>
            <w:tcW w:w="1499" w:type="pct"/>
            <w:vAlign w:val="center"/>
          </w:tcPr>
          <w:p w14:paraId="794CE357">
            <w:pPr>
              <w:widowControl/>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0.812</w:t>
            </w:r>
          </w:p>
        </w:tc>
        <w:tc>
          <w:tcPr>
            <w:tcW w:w="1628" w:type="pct"/>
            <w:vAlign w:val="center"/>
          </w:tcPr>
          <w:p w14:paraId="15BA7D10">
            <w:pPr>
              <w:adjustRightInd w:val="0"/>
              <w:snapToGrid w:val="0"/>
              <w:jc w:val="center"/>
              <w:rPr>
                <w:rFonts w:ascii="Arial" w:hAnsi="Arial" w:eastAsia="宋体" w:cs="Arial"/>
                <w:sz w:val="21"/>
                <w:szCs w:val="22"/>
              </w:rPr>
            </w:pPr>
            <w:r>
              <w:rPr>
                <w:rFonts w:ascii="Arial" w:hAnsi="Arial" w:cs="Arial"/>
                <w:sz w:val="21"/>
                <w:szCs w:val="22"/>
              </w:rPr>
              <w:t>-0.4905</w:t>
            </w:r>
          </w:p>
        </w:tc>
      </w:tr>
    </w:tbl>
    <w:p w14:paraId="320FB3B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一期工程环评预测结果表明，一期正常排放和事故排放高盐废水中硫酸盐排放对相关海域带来的高盐环境未超出海洋生物的推测耐受上限。因此，一期正常排放和事故排放高盐废水对周边海域的海洋生态环境影响有限，但由于养殖区1和金鼓江红树林距离排污口最近，因此建议项目运营加强对养殖区1和金鼓江红树林相关海域环境持续监测，预警可能发生的牡蛎和红树林受高硫酸盐胁迫生长发生异常的情况。一期正常排放下，排污口所在A2排放区内有小面积COD和无机氮超四类水质标准，排放区内镍不超标；排放区范围外镍、COD、无机氮的预测值均达到《海水水质标准》的相应水质标准，满足近岸海域环境功能区划的水质保护要求。排污口附近和附近控制点Co、Mn和硫酸盐最大增量分别为0.0129mg/L、0.0196mg/L和1082.1mg/L，及1.06×10</w:t>
      </w:r>
      <w:r>
        <w:rPr>
          <w:rFonts w:ascii="Arial" w:hAnsi="Arial" w:eastAsia="宋体" w:cs="Arial"/>
          <w:spacing w:val="10"/>
          <w:sz w:val="24"/>
          <w:szCs w:val="24"/>
          <w:vertAlign w:val="superscript"/>
        </w:rPr>
        <w:t xml:space="preserve">-4 </w:t>
      </w:r>
      <w:r>
        <w:rPr>
          <w:rFonts w:ascii="Arial" w:hAnsi="Arial" w:eastAsia="宋体" w:cs="Arial"/>
          <w:spacing w:val="10"/>
          <w:sz w:val="24"/>
          <w:szCs w:val="24"/>
        </w:rPr>
        <w:t>mg/L、1.61×10</w:t>
      </w:r>
      <w:r>
        <w:rPr>
          <w:rFonts w:ascii="Arial" w:hAnsi="Arial" w:eastAsia="宋体" w:cs="Arial"/>
          <w:spacing w:val="10"/>
          <w:sz w:val="24"/>
          <w:szCs w:val="24"/>
          <w:vertAlign w:val="superscript"/>
        </w:rPr>
        <w:t>-4</w:t>
      </w:r>
      <w:r>
        <w:rPr>
          <w:rFonts w:ascii="Arial" w:hAnsi="Arial" w:eastAsia="宋体" w:cs="Arial"/>
          <w:spacing w:val="10"/>
          <w:sz w:val="24"/>
          <w:szCs w:val="24"/>
        </w:rPr>
        <w:t xml:space="preserve"> mg/L和8.9 mg/L，增量相比本底值有限，不会超出目前已有研究报道海洋生物对Co、Mn的耐受上限，排污口附近硫酸盐虽超出海洋生物推测耐受上限，但影响面积远小于3.1km</w:t>
      </w:r>
      <w:r>
        <w:rPr>
          <w:rFonts w:ascii="Arial" w:hAnsi="Arial" w:eastAsia="宋体" w:cs="Arial"/>
          <w:spacing w:val="10"/>
          <w:sz w:val="24"/>
          <w:szCs w:val="24"/>
          <w:vertAlign w:val="superscript"/>
        </w:rPr>
        <w:t>2</w:t>
      </w:r>
      <w:r>
        <w:rPr>
          <w:rFonts w:ascii="Arial" w:hAnsi="Arial" w:eastAsia="宋体" w:cs="Arial"/>
          <w:spacing w:val="10"/>
          <w:sz w:val="24"/>
          <w:szCs w:val="24"/>
        </w:rPr>
        <w:t>（排污区面积），故生态环境影响有限。一期事故排放污染物扩散计算表明，研究海域无机氮增量大且大面积超标，造成排污口附近海域水质恶化。COD、Ni满足相关水质标准。Co、Mn和硫酸盐增量也较明显，其中Co和硫酸盐在排污口附近超出了海洋生物推测耐受上限。根据《建设项目对海洋生物资源影响评价技术规程》的相关要求，一期正常排放下不会造成海洋生物资源损失，但在事故排放下COD和Ni污染指标会造成海洋生物资源损失。由于目前暂无Co、Mn和硫酸盐对海洋生物的详细影响研究，一期正常排放废水后Co、Mn和硫酸根离子虽未超出海洋生物推测耐受上限，但仍可能会对部分海洋生物产生影响，在项目运营中应密切监测排污口附近海域水质、沉积物、生物体、海洋生态及敏感目标如红树林的质量现状，同时开展典型海洋生物的Co、Mn和硫酸盐耐受实验研究，获取更多有关基础数据支撑相关因子的海洋生态影响评价。一期事故排放会造成排污口周边海域COD大面积超标，且Ni、Co、Mn和硫酸盐指标增量也比较明显，故应严禁事故排放。</w:t>
      </w:r>
    </w:p>
    <w:p w14:paraId="1F6F3766">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同时根据中国（广西）自由贸易试验区钦州港片区行政审批局于2024年7月23日批复的《广西中伟新能源项目氢氧化钴处置线技改项目环境影响报告书》，本项目实施后中伟基地全厂外排废水量及各个污染物排放量均低于或持平《广西中伟新能源项目氢氧化钴处置线技改项目环境影响报告书》中全厂的排放量（对比情况见表4-22），因此从对外环境影响考虑是可接受的。</w:t>
      </w:r>
    </w:p>
    <w:p w14:paraId="08AD0073">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全厂外排废水与</w:t>
      </w:r>
      <w:r>
        <w:rPr>
          <w:rFonts w:hint="eastAsia" w:ascii="Arial" w:hAnsi="Arial" w:eastAsia="宋体" w:cs="Arial"/>
          <w:b/>
          <w:sz w:val="24"/>
          <w:szCs w:val="24"/>
        </w:rPr>
        <w:t>氢氧化钴处置线技改项目</w:t>
      </w:r>
      <w:r>
        <w:rPr>
          <w:rFonts w:ascii="Arial" w:hAnsi="Arial" w:eastAsia="宋体" w:cs="Arial"/>
          <w:b/>
          <w:sz w:val="24"/>
          <w:szCs w:val="24"/>
        </w:rPr>
        <w:t>情况对比情况表</w:t>
      </w:r>
    </w:p>
    <w:tbl>
      <w:tblPr>
        <w:tblStyle w:val="8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3"/>
        <w:gridCol w:w="2465"/>
        <w:gridCol w:w="2696"/>
        <w:gridCol w:w="2927"/>
      </w:tblGrid>
      <w:tr w14:paraId="5940F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6FF6FEB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污染物</w:t>
            </w:r>
          </w:p>
        </w:tc>
        <w:tc>
          <w:tcPr>
            <w:tcW w:w="1371" w:type="pct"/>
            <w:vAlign w:val="center"/>
          </w:tcPr>
          <w:p w14:paraId="719587A4">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本项目变更</w:t>
            </w:r>
            <w:r>
              <w:rPr>
                <w:rFonts w:ascii="Arial" w:hAnsi="Arial" w:eastAsia="宋体" w:cs="Arial"/>
                <w:spacing w:val="10"/>
                <w:sz w:val="21"/>
                <w:szCs w:val="21"/>
              </w:rPr>
              <w:t>后全厂排污口排放量（t/a）</w:t>
            </w:r>
          </w:p>
        </w:tc>
        <w:tc>
          <w:tcPr>
            <w:tcW w:w="1499" w:type="pct"/>
            <w:vAlign w:val="center"/>
          </w:tcPr>
          <w:p w14:paraId="10819964">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氢氧化钴处置线技改项目全厂排污口</w:t>
            </w:r>
            <w:r>
              <w:rPr>
                <w:rFonts w:ascii="Arial" w:hAnsi="Arial" w:eastAsia="宋体" w:cs="Arial"/>
                <w:spacing w:val="10"/>
                <w:sz w:val="21"/>
                <w:szCs w:val="21"/>
              </w:rPr>
              <w:t>排放量（t/a）</w:t>
            </w:r>
          </w:p>
        </w:tc>
        <w:tc>
          <w:tcPr>
            <w:tcW w:w="1628" w:type="pct"/>
            <w:vAlign w:val="center"/>
          </w:tcPr>
          <w:p w14:paraId="56E639B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对比情况（t</w:t>
            </w:r>
            <w:r>
              <w:rPr>
                <w:rFonts w:hint="eastAsia" w:ascii="Arial" w:hAnsi="Arial" w:eastAsia="宋体" w:cs="Arial"/>
                <w:spacing w:val="10"/>
                <w:sz w:val="21"/>
                <w:szCs w:val="21"/>
              </w:rPr>
              <w:t>/a</w:t>
            </w:r>
            <w:r>
              <w:rPr>
                <w:rFonts w:ascii="Arial" w:hAnsi="Arial" w:eastAsia="宋体" w:cs="Arial"/>
                <w:spacing w:val="10"/>
                <w:sz w:val="21"/>
                <w:szCs w:val="21"/>
              </w:rPr>
              <w:t>）</w:t>
            </w:r>
          </w:p>
        </w:tc>
      </w:tr>
      <w:tr w14:paraId="7F3E0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2C6970C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废水量</w:t>
            </w:r>
          </w:p>
        </w:tc>
        <w:tc>
          <w:tcPr>
            <w:tcW w:w="1371" w:type="pct"/>
            <w:vAlign w:val="center"/>
          </w:tcPr>
          <w:p w14:paraId="6419259D">
            <w:pPr>
              <w:adjustRightInd w:val="0"/>
              <w:snapToGrid w:val="0"/>
              <w:jc w:val="center"/>
              <w:rPr>
                <w:rFonts w:ascii="Arial" w:hAnsi="Arial" w:eastAsia="宋体" w:cs="Arial"/>
                <w:sz w:val="21"/>
                <w:szCs w:val="21"/>
              </w:rPr>
            </w:pPr>
            <w:r>
              <w:rPr>
                <w:rFonts w:hint="eastAsia" w:ascii="Arial" w:hAnsi="Arial" w:cs="Arial"/>
                <w:sz w:val="21"/>
                <w:szCs w:val="21"/>
              </w:rPr>
              <w:t>2002186.84</w:t>
            </w:r>
          </w:p>
        </w:tc>
        <w:tc>
          <w:tcPr>
            <w:tcW w:w="1499" w:type="pct"/>
            <w:vAlign w:val="center"/>
          </w:tcPr>
          <w:p w14:paraId="33C4DA44">
            <w:pPr>
              <w:adjustRightInd w:val="0"/>
              <w:snapToGrid w:val="0"/>
              <w:jc w:val="center"/>
              <w:rPr>
                <w:rFonts w:ascii="Arial" w:hAnsi="Arial" w:eastAsia="宋体" w:cs="Arial"/>
                <w:sz w:val="21"/>
                <w:szCs w:val="21"/>
              </w:rPr>
            </w:pPr>
            <w:r>
              <w:rPr>
                <w:rFonts w:ascii="Arial" w:hAnsi="Arial" w:cs="Arial"/>
                <w:sz w:val="21"/>
                <w:szCs w:val="21"/>
              </w:rPr>
              <w:t>211</w:t>
            </w:r>
            <w:r>
              <w:rPr>
                <w:rFonts w:hint="eastAsia" w:ascii="Arial" w:hAnsi="Arial" w:cs="Arial"/>
                <w:sz w:val="21"/>
                <w:szCs w:val="21"/>
              </w:rPr>
              <w:t>3900.8</w:t>
            </w:r>
          </w:p>
        </w:tc>
        <w:tc>
          <w:tcPr>
            <w:tcW w:w="1628" w:type="pct"/>
            <w:vAlign w:val="center"/>
          </w:tcPr>
          <w:p w14:paraId="21F64191">
            <w:pPr>
              <w:adjustRightInd w:val="0"/>
              <w:snapToGrid w:val="0"/>
              <w:jc w:val="center"/>
              <w:rPr>
                <w:rFonts w:ascii="Arial" w:hAnsi="Arial" w:cs="Arial"/>
                <w:sz w:val="21"/>
                <w:szCs w:val="21"/>
              </w:rPr>
            </w:pPr>
            <w:r>
              <w:rPr>
                <w:rFonts w:hint="eastAsia" w:ascii="Arial" w:hAnsi="Arial" w:cs="Arial"/>
                <w:sz w:val="21"/>
                <w:szCs w:val="21"/>
              </w:rPr>
              <w:t>-111713.96</w:t>
            </w:r>
          </w:p>
        </w:tc>
      </w:tr>
      <w:tr w14:paraId="7CB52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09FF6BB0">
            <w:pPr>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1371" w:type="pct"/>
            <w:vAlign w:val="center"/>
          </w:tcPr>
          <w:p w14:paraId="26D2FFE7">
            <w:pPr>
              <w:adjustRightInd w:val="0"/>
              <w:snapToGrid w:val="0"/>
              <w:jc w:val="center"/>
              <w:rPr>
                <w:rFonts w:ascii="Arial" w:hAnsi="Arial" w:eastAsia="宋体" w:cs="Arial"/>
                <w:sz w:val="21"/>
                <w:szCs w:val="21"/>
              </w:rPr>
            </w:pPr>
            <w:r>
              <w:rPr>
                <w:rFonts w:ascii="Arial" w:hAnsi="Arial" w:cs="Arial"/>
                <w:sz w:val="21"/>
                <w:szCs w:val="21"/>
              </w:rPr>
              <w:t>58.8315</w:t>
            </w:r>
          </w:p>
        </w:tc>
        <w:tc>
          <w:tcPr>
            <w:tcW w:w="1499" w:type="pct"/>
            <w:vAlign w:val="center"/>
          </w:tcPr>
          <w:p w14:paraId="07B006E8">
            <w:pPr>
              <w:adjustRightInd w:val="0"/>
              <w:snapToGrid w:val="0"/>
              <w:jc w:val="center"/>
              <w:rPr>
                <w:rFonts w:ascii="Arial" w:hAnsi="Arial" w:eastAsia="宋体" w:cs="Arial"/>
                <w:sz w:val="21"/>
                <w:szCs w:val="21"/>
              </w:rPr>
            </w:pPr>
            <w:r>
              <w:rPr>
                <w:rFonts w:ascii="Arial" w:hAnsi="Arial" w:cs="Arial"/>
                <w:sz w:val="21"/>
                <w:szCs w:val="21"/>
              </w:rPr>
              <w:t>63.2529</w:t>
            </w:r>
          </w:p>
        </w:tc>
        <w:tc>
          <w:tcPr>
            <w:tcW w:w="1628" w:type="pct"/>
            <w:vAlign w:val="center"/>
          </w:tcPr>
          <w:p w14:paraId="0705986C">
            <w:pPr>
              <w:adjustRightInd w:val="0"/>
              <w:snapToGrid w:val="0"/>
              <w:jc w:val="center"/>
              <w:rPr>
                <w:rFonts w:ascii="Arial" w:hAnsi="Arial" w:cs="Arial"/>
                <w:sz w:val="21"/>
                <w:szCs w:val="21"/>
              </w:rPr>
            </w:pPr>
            <w:r>
              <w:rPr>
                <w:rFonts w:hint="eastAsia" w:ascii="Arial" w:hAnsi="Arial" w:cs="Arial"/>
                <w:sz w:val="21"/>
                <w:szCs w:val="21"/>
              </w:rPr>
              <w:t>-4.4214</w:t>
            </w:r>
          </w:p>
        </w:tc>
      </w:tr>
      <w:tr w14:paraId="16B68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4D6C4BA8">
            <w:pPr>
              <w:adjustRightInd w:val="0"/>
              <w:snapToGrid w:val="0"/>
              <w:jc w:val="center"/>
              <w:rPr>
                <w:rFonts w:ascii="Arial" w:hAnsi="Arial" w:eastAsia="宋体" w:cs="Arial"/>
                <w:sz w:val="21"/>
                <w:szCs w:val="21"/>
              </w:rPr>
            </w:pPr>
            <w:r>
              <w:rPr>
                <w:rFonts w:ascii="Arial" w:hAnsi="Arial" w:eastAsia="宋体" w:cs="Arial"/>
                <w:sz w:val="21"/>
                <w:szCs w:val="21"/>
              </w:rPr>
              <w:t>氨氮</w:t>
            </w:r>
          </w:p>
        </w:tc>
        <w:tc>
          <w:tcPr>
            <w:tcW w:w="1371" w:type="pct"/>
            <w:vAlign w:val="center"/>
          </w:tcPr>
          <w:p w14:paraId="4E9F445F">
            <w:pPr>
              <w:adjustRightInd w:val="0"/>
              <w:snapToGrid w:val="0"/>
              <w:jc w:val="center"/>
              <w:rPr>
                <w:rFonts w:ascii="Arial" w:hAnsi="Arial" w:eastAsia="宋体" w:cs="Arial"/>
                <w:sz w:val="21"/>
                <w:szCs w:val="21"/>
              </w:rPr>
            </w:pPr>
            <w:r>
              <w:rPr>
                <w:rFonts w:ascii="Arial" w:hAnsi="Arial" w:cs="Arial"/>
                <w:sz w:val="21"/>
                <w:szCs w:val="21"/>
              </w:rPr>
              <w:t>6.0813</w:t>
            </w:r>
          </w:p>
        </w:tc>
        <w:tc>
          <w:tcPr>
            <w:tcW w:w="1499" w:type="pct"/>
            <w:vAlign w:val="center"/>
          </w:tcPr>
          <w:p w14:paraId="4F0ED045">
            <w:pPr>
              <w:adjustRightInd w:val="0"/>
              <w:snapToGrid w:val="0"/>
              <w:jc w:val="center"/>
              <w:rPr>
                <w:rFonts w:ascii="Arial" w:hAnsi="Arial" w:eastAsia="宋体" w:cs="Arial"/>
                <w:sz w:val="21"/>
                <w:szCs w:val="21"/>
              </w:rPr>
            </w:pPr>
            <w:r>
              <w:rPr>
                <w:rFonts w:hint="eastAsia" w:ascii="Arial" w:hAnsi="Arial" w:cs="Arial"/>
                <w:sz w:val="21"/>
                <w:szCs w:val="21"/>
              </w:rPr>
              <w:t>6.0873</w:t>
            </w:r>
          </w:p>
        </w:tc>
        <w:tc>
          <w:tcPr>
            <w:tcW w:w="1628" w:type="pct"/>
            <w:vAlign w:val="center"/>
          </w:tcPr>
          <w:p w14:paraId="0658C627">
            <w:pPr>
              <w:adjustRightInd w:val="0"/>
              <w:snapToGrid w:val="0"/>
              <w:jc w:val="center"/>
              <w:rPr>
                <w:rFonts w:ascii="Arial" w:hAnsi="Arial" w:cs="Arial"/>
                <w:sz w:val="21"/>
                <w:szCs w:val="21"/>
              </w:rPr>
            </w:pPr>
            <w:r>
              <w:rPr>
                <w:rFonts w:hint="eastAsia" w:ascii="Arial" w:hAnsi="Arial" w:cs="Arial"/>
                <w:sz w:val="21"/>
                <w:szCs w:val="21"/>
              </w:rPr>
              <w:t>-0.006</w:t>
            </w:r>
          </w:p>
        </w:tc>
      </w:tr>
      <w:tr w14:paraId="03FBB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74483F60">
            <w:pPr>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1371" w:type="pct"/>
            <w:vAlign w:val="center"/>
          </w:tcPr>
          <w:p w14:paraId="12B42E54">
            <w:pPr>
              <w:adjustRightInd w:val="0"/>
              <w:snapToGrid w:val="0"/>
              <w:jc w:val="center"/>
              <w:rPr>
                <w:rFonts w:ascii="Arial" w:hAnsi="Arial" w:eastAsia="宋体" w:cs="Arial"/>
                <w:sz w:val="21"/>
                <w:szCs w:val="21"/>
              </w:rPr>
            </w:pPr>
            <w:r>
              <w:rPr>
                <w:rFonts w:ascii="Arial" w:hAnsi="Arial" w:cs="Arial"/>
                <w:sz w:val="21"/>
                <w:szCs w:val="21"/>
              </w:rPr>
              <w:t>15927.0315</w:t>
            </w:r>
          </w:p>
        </w:tc>
        <w:tc>
          <w:tcPr>
            <w:tcW w:w="1499" w:type="pct"/>
            <w:vAlign w:val="center"/>
          </w:tcPr>
          <w:p w14:paraId="25620816">
            <w:pPr>
              <w:adjustRightInd w:val="0"/>
              <w:snapToGrid w:val="0"/>
              <w:jc w:val="center"/>
              <w:rPr>
                <w:rFonts w:ascii="Arial" w:hAnsi="Arial" w:eastAsia="宋体" w:cs="Arial"/>
                <w:sz w:val="21"/>
                <w:szCs w:val="21"/>
              </w:rPr>
            </w:pPr>
            <w:r>
              <w:rPr>
                <w:rFonts w:hint="eastAsia" w:ascii="Arial" w:hAnsi="Arial" w:cs="Arial"/>
                <w:sz w:val="21"/>
                <w:szCs w:val="21"/>
              </w:rPr>
              <w:t>26714.545</w:t>
            </w:r>
          </w:p>
        </w:tc>
        <w:tc>
          <w:tcPr>
            <w:tcW w:w="1628" w:type="pct"/>
            <w:vAlign w:val="center"/>
          </w:tcPr>
          <w:p w14:paraId="3CDCF6FB">
            <w:pPr>
              <w:adjustRightInd w:val="0"/>
              <w:snapToGrid w:val="0"/>
              <w:jc w:val="center"/>
              <w:rPr>
                <w:rFonts w:ascii="Arial" w:hAnsi="Arial" w:cs="Arial"/>
                <w:sz w:val="21"/>
                <w:szCs w:val="21"/>
              </w:rPr>
            </w:pPr>
            <w:r>
              <w:rPr>
                <w:rFonts w:hint="eastAsia" w:ascii="Arial" w:hAnsi="Arial" w:cs="Arial"/>
                <w:sz w:val="21"/>
                <w:szCs w:val="21"/>
              </w:rPr>
              <w:t>-10787.5135</w:t>
            </w:r>
          </w:p>
        </w:tc>
      </w:tr>
      <w:tr w14:paraId="6EDCE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6BA18175">
            <w:pPr>
              <w:adjustRightInd w:val="0"/>
              <w:snapToGrid w:val="0"/>
              <w:jc w:val="center"/>
              <w:rPr>
                <w:rFonts w:ascii="Arial" w:hAnsi="Arial" w:eastAsia="宋体" w:cs="Arial"/>
                <w:sz w:val="21"/>
                <w:szCs w:val="21"/>
              </w:rPr>
            </w:pPr>
            <w:r>
              <w:rPr>
                <w:rFonts w:ascii="Arial" w:hAnsi="Arial" w:eastAsia="宋体" w:cs="Arial"/>
                <w:spacing w:val="10"/>
                <w:sz w:val="21"/>
                <w:szCs w:val="21"/>
              </w:rPr>
              <w:t>镍</w:t>
            </w:r>
          </w:p>
        </w:tc>
        <w:tc>
          <w:tcPr>
            <w:tcW w:w="1371" w:type="pct"/>
            <w:vAlign w:val="center"/>
          </w:tcPr>
          <w:p w14:paraId="2DF05AEB">
            <w:pPr>
              <w:adjustRightInd w:val="0"/>
              <w:snapToGrid w:val="0"/>
              <w:jc w:val="center"/>
              <w:rPr>
                <w:rFonts w:ascii="Arial" w:hAnsi="Arial" w:eastAsia="宋体" w:cs="Arial"/>
                <w:sz w:val="21"/>
                <w:szCs w:val="21"/>
              </w:rPr>
            </w:pPr>
            <w:r>
              <w:rPr>
                <w:rFonts w:ascii="Arial" w:hAnsi="Arial" w:cs="Arial"/>
                <w:sz w:val="21"/>
                <w:szCs w:val="21"/>
              </w:rPr>
              <w:t>0.2502</w:t>
            </w:r>
          </w:p>
        </w:tc>
        <w:tc>
          <w:tcPr>
            <w:tcW w:w="1499" w:type="pct"/>
            <w:vAlign w:val="center"/>
          </w:tcPr>
          <w:p w14:paraId="78DCB51F">
            <w:pPr>
              <w:adjustRightInd w:val="0"/>
              <w:snapToGrid w:val="0"/>
              <w:jc w:val="center"/>
              <w:rPr>
                <w:rFonts w:ascii="Arial" w:hAnsi="Arial" w:eastAsia="宋体" w:cs="Arial"/>
                <w:sz w:val="21"/>
                <w:szCs w:val="21"/>
              </w:rPr>
            </w:pPr>
            <w:r>
              <w:rPr>
                <w:rFonts w:ascii="Arial" w:hAnsi="Arial" w:cs="Arial"/>
                <w:sz w:val="21"/>
                <w:szCs w:val="21"/>
              </w:rPr>
              <w:t>0.2557</w:t>
            </w:r>
          </w:p>
        </w:tc>
        <w:tc>
          <w:tcPr>
            <w:tcW w:w="1628" w:type="pct"/>
            <w:vAlign w:val="center"/>
          </w:tcPr>
          <w:p w14:paraId="461D589A">
            <w:pPr>
              <w:adjustRightInd w:val="0"/>
              <w:snapToGrid w:val="0"/>
              <w:jc w:val="center"/>
              <w:rPr>
                <w:rFonts w:ascii="Arial" w:hAnsi="Arial" w:cs="Arial"/>
                <w:sz w:val="21"/>
                <w:szCs w:val="21"/>
              </w:rPr>
            </w:pPr>
            <w:r>
              <w:rPr>
                <w:rFonts w:hint="eastAsia" w:ascii="Arial" w:hAnsi="Arial" w:cs="Arial"/>
                <w:sz w:val="21"/>
                <w:szCs w:val="21"/>
              </w:rPr>
              <w:t>-0.0055</w:t>
            </w:r>
          </w:p>
        </w:tc>
      </w:tr>
      <w:tr w14:paraId="1D2C0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2C7C1547">
            <w:pPr>
              <w:adjustRightInd w:val="0"/>
              <w:snapToGrid w:val="0"/>
              <w:jc w:val="center"/>
              <w:rPr>
                <w:rFonts w:ascii="Arial" w:hAnsi="Arial" w:eastAsia="宋体" w:cs="Arial"/>
                <w:sz w:val="21"/>
                <w:szCs w:val="21"/>
              </w:rPr>
            </w:pPr>
            <w:r>
              <w:rPr>
                <w:rFonts w:ascii="Arial" w:hAnsi="Arial" w:eastAsia="宋体" w:cs="Arial"/>
                <w:spacing w:val="10"/>
                <w:sz w:val="21"/>
                <w:szCs w:val="21"/>
              </w:rPr>
              <w:t>钴</w:t>
            </w:r>
          </w:p>
        </w:tc>
        <w:tc>
          <w:tcPr>
            <w:tcW w:w="1371" w:type="pct"/>
            <w:vAlign w:val="center"/>
          </w:tcPr>
          <w:p w14:paraId="2F491258">
            <w:pPr>
              <w:adjustRightInd w:val="0"/>
              <w:snapToGrid w:val="0"/>
              <w:jc w:val="center"/>
              <w:rPr>
                <w:rFonts w:ascii="Arial" w:hAnsi="Arial" w:eastAsia="宋体" w:cs="Arial"/>
                <w:sz w:val="21"/>
                <w:szCs w:val="21"/>
              </w:rPr>
            </w:pPr>
            <w:r>
              <w:rPr>
                <w:rFonts w:ascii="Arial" w:hAnsi="Arial" w:cs="Arial"/>
                <w:sz w:val="21"/>
                <w:szCs w:val="21"/>
              </w:rPr>
              <w:t>0.3067</w:t>
            </w:r>
          </w:p>
        </w:tc>
        <w:tc>
          <w:tcPr>
            <w:tcW w:w="1499" w:type="pct"/>
            <w:vAlign w:val="center"/>
          </w:tcPr>
          <w:p w14:paraId="215193BC">
            <w:pPr>
              <w:adjustRightInd w:val="0"/>
              <w:snapToGrid w:val="0"/>
              <w:jc w:val="center"/>
              <w:rPr>
                <w:rFonts w:ascii="Arial" w:hAnsi="Arial" w:eastAsia="宋体" w:cs="Arial"/>
                <w:sz w:val="21"/>
                <w:szCs w:val="21"/>
              </w:rPr>
            </w:pPr>
            <w:r>
              <w:rPr>
                <w:rFonts w:ascii="Arial" w:hAnsi="Arial" w:cs="Arial"/>
                <w:sz w:val="21"/>
                <w:szCs w:val="21"/>
              </w:rPr>
              <w:t>0.3</w:t>
            </w:r>
            <w:r>
              <w:rPr>
                <w:rFonts w:hint="eastAsia" w:ascii="Arial" w:hAnsi="Arial" w:cs="Arial"/>
                <w:sz w:val="21"/>
                <w:szCs w:val="21"/>
              </w:rPr>
              <w:t>43</w:t>
            </w:r>
            <w:r>
              <w:rPr>
                <w:rFonts w:ascii="Arial" w:hAnsi="Arial" w:cs="Arial"/>
                <w:sz w:val="21"/>
                <w:szCs w:val="21"/>
              </w:rPr>
              <w:t>6</w:t>
            </w:r>
          </w:p>
        </w:tc>
        <w:tc>
          <w:tcPr>
            <w:tcW w:w="1628" w:type="pct"/>
            <w:vAlign w:val="center"/>
          </w:tcPr>
          <w:p w14:paraId="519D5E00">
            <w:pPr>
              <w:adjustRightInd w:val="0"/>
              <w:snapToGrid w:val="0"/>
              <w:jc w:val="center"/>
              <w:rPr>
                <w:rFonts w:ascii="Arial" w:hAnsi="Arial" w:cs="Arial"/>
                <w:sz w:val="21"/>
                <w:szCs w:val="21"/>
              </w:rPr>
            </w:pPr>
            <w:r>
              <w:rPr>
                <w:rFonts w:hint="eastAsia" w:ascii="Arial" w:hAnsi="Arial" w:cs="Arial"/>
                <w:sz w:val="21"/>
                <w:szCs w:val="21"/>
              </w:rPr>
              <w:t>-0.0369</w:t>
            </w:r>
          </w:p>
        </w:tc>
      </w:tr>
      <w:tr w14:paraId="05AE8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3C8F8671">
            <w:pPr>
              <w:adjustRightInd w:val="0"/>
              <w:snapToGrid w:val="0"/>
              <w:jc w:val="center"/>
              <w:rPr>
                <w:rFonts w:ascii="Arial" w:hAnsi="Arial" w:eastAsia="宋体" w:cs="Arial"/>
                <w:sz w:val="21"/>
                <w:szCs w:val="21"/>
              </w:rPr>
            </w:pPr>
            <w:r>
              <w:rPr>
                <w:rFonts w:ascii="Arial" w:hAnsi="Arial" w:eastAsia="宋体" w:cs="Arial"/>
                <w:spacing w:val="10"/>
                <w:sz w:val="21"/>
                <w:szCs w:val="21"/>
              </w:rPr>
              <w:t>锰</w:t>
            </w:r>
          </w:p>
        </w:tc>
        <w:tc>
          <w:tcPr>
            <w:tcW w:w="1371" w:type="pct"/>
            <w:vAlign w:val="center"/>
          </w:tcPr>
          <w:p w14:paraId="69256C53">
            <w:pPr>
              <w:adjustRightInd w:val="0"/>
              <w:snapToGrid w:val="0"/>
              <w:jc w:val="center"/>
              <w:rPr>
                <w:rFonts w:ascii="Arial" w:hAnsi="Arial" w:eastAsia="宋体" w:cs="Arial"/>
                <w:sz w:val="21"/>
                <w:szCs w:val="21"/>
              </w:rPr>
            </w:pPr>
            <w:r>
              <w:rPr>
                <w:rFonts w:ascii="Arial" w:hAnsi="Arial" w:cs="Arial"/>
                <w:sz w:val="21"/>
                <w:szCs w:val="21"/>
              </w:rPr>
              <w:t>0.3215</w:t>
            </w:r>
          </w:p>
        </w:tc>
        <w:tc>
          <w:tcPr>
            <w:tcW w:w="1499" w:type="pct"/>
            <w:vAlign w:val="center"/>
          </w:tcPr>
          <w:p w14:paraId="5BB98CBC">
            <w:pPr>
              <w:adjustRightInd w:val="0"/>
              <w:snapToGrid w:val="0"/>
              <w:jc w:val="center"/>
              <w:rPr>
                <w:rFonts w:ascii="Arial" w:hAnsi="Arial" w:eastAsia="宋体" w:cs="Arial"/>
                <w:sz w:val="21"/>
                <w:szCs w:val="21"/>
              </w:rPr>
            </w:pPr>
            <w:r>
              <w:rPr>
                <w:rFonts w:ascii="Arial" w:hAnsi="Arial" w:cs="Arial"/>
                <w:sz w:val="21"/>
                <w:szCs w:val="21"/>
              </w:rPr>
              <w:t>0.3</w:t>
            </w:r>
            <w:r>
              <w:rPr>
                <w:rFonts w:hint="eastAsia" w:ascii="Arial" w:hAnsi="Arial" w:cs="Arial"/>
                <w:sz w:val="21"/>
                <w:szCs w:val="21"/>
              </w:rPr>
              <w:t>54</w:t>
            </w:r>
            <w:r>
              <w:rPr>
                <w:rFonts w:ascii="Arial" w:hAnsi="Arial" w:cs="Arial"/>
                <w:sz w:val="21"/>
                <w:szCs w:val="21"/>
              </w:rPr>
              <w:t>1</w:t>
            </w:r>
          </w:p>
        </w:tc>
        <w:tc>
          <w:tcPr>
            <w:tcW w:w="1628" w:type="pct"/>
            <w:vAlign w:val="center"/>
          </w:tcPr>
          <w:p w14:paraId="7858E74E">
            <w:pPr>
              <w:adjustRightInd w:val="0"/>
              <w:snapToGrid w:val="0"/>
              <w:jc w:val="center"/>
              <w:rPr>
                <w:rFonts w:ascii="Arial" w:hAnsi="Arial" w:cs="Arial"/>
                <w:sz w:val="21"/>
                <w:szCs w:val="21"/>
              </w:rPr>
            </w:pPr>
            <w:r>
              <w:rPr>
                <w:rFonts w:hint="eastAsia" w:ascii="Arial" w:hAnsi="Arial" w:cs="Arial"/>
                <w:sz w:val="21"/>
                <w:szCs w:val="21"/>
              </w:rPr>
              <w:t>-0.0326</w:t>
            </w:r>
          </w:p>
        </w:tc>
      </w:tr>
      <w:tr w14:paraId="37A52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12A97BE3">
            <w:pPr>
              <w:adjustRightInd w:val="0"/>
              <w:snapToGrid w:val="0"/>
              <w:jc w:val="center"/>
              <w:rPr>
                <w:rFonts w:ascii="Arial" w:hAnsi="Arial" w:eastAsia="宋体" w:cs="Arial"/>
                <w:sz w:val="21"/>
                <w:szCs w:val="21"/>
              </w:rPr>
            </w:pPr>
            <w:r>
              <w:rPr>
                <w:rFonts w:ascii="Arial" w:hAnsi="Arial" w:eastAsia="宋体" w:cs="Arial"/>
                <w:sz w:val="21"/>
                <w:szCs w:val="21"/>
              </w:rPr>
              <w:t>铜</w:t>
            </w:r>
          </w:p>
        </w:tc>
        <w:tc>
          <w:tcPr>
            <w:tcW w:w="1371" w:type="pct"/>
            <w:vAlign w:val="center"/>
          </w:tcPr>
          <w:p w14:paraId="0B027C26">
            <w:pPr>
              <w:adjustRightInd w:val="0"/>
              <w:snapToGrid w:val="0"/>
              <w:jc w:val="center"/>
              <w:rPr>
                <w:rFonts w:ascii="Arial" w:hAnsi="Arial" w:eastAsia="宋体" w:cs="Arial"/>
                <w:sz w:val="21"/>
                <w:szCs w:val="21"/>
              </w:rPr>
            </w:pPr>
            <w:r>
              <w:rPr>
                <w:rFonts w:ascii="Arial" w:hAnsi="Arial" w:cs="Arial"/>
                <w:sz w:val="21"/>
                <w:szCs w:val="21"/>
              </w:rPr>
              <w:t>0.022</w:t>
            </w:r>
          </w:p>
        </w:tc>
        <w:tc>
          <w:tcPr>
            <w:tcW w:w="1499" w:type="pct"/>
            <w:vAlign w:val="center"/>
          </w:tcPr>
          <w:p w14:paraId="7961789F">
            <w:pPr>
              <w:adjustRightInd w:val="0"/>
              <w:snapToGrid w:val="0"/>
              <w:jc w:val="center"/>
              <w:rPr>
                <w:rFonts w:ascii="Arial" w:hAnsi="Arial" w:eastAsia="宋体" w:cs="Arial"/>
                <w:sz w:val="21"/>
                <w:szCs w:val="21"/>
              </w:rPr>
            </w:pPr>
            <w:r>
              <w:rPr>
                <w:rFonts w:ascii="Arial" w:hAnsi="Arial" w:cs="Arial"/>
                <w:sz w:val="21"/>
                <w:szCs w:val="21"/>
              </w:rPr>
              <w:t>0.0</w:t>
            </w:r>
            <w:r>
              <w:rPr>
                <w:rFonts w:hint="eastAsia" w:ascii="Arial" w:hAnsi="Arial" w:cs="Arial"/>
                <w:sz w:val="21"/>
                <w:szCs w:val="21"/>
              </w:rPr>
              <w:t>22</w:t>
            </w:r>
          </w:p>
        </w:tc>
        <w:tc>
          <w:tcPr>
            <w:tcW w:w="1628" w:type="pct"/>
            <w:vAlign w:val="center"/>
          </w:tcPr>
          <w:p w14:paraId="2B5D5C28">
            <w:pPr>
              <w:adjustRightInd w:val="0"/>
              <w:snapToGrid w:val="0"/>
              <w:jc w:val="center"/>
              <w:rPr>
                <w:rFonts w:ascii="Arial" w:hAnsi="Arial" w:cs="Arial"/>
                <w:sz w:val="21"/>
                <w:szCs w:val="21"/>
              </w:rPr>
            </w:pPr>
            <w:r>
              <w:rPr>
                <w:rFonts w:hint="eastAsia" w:ascii="Arial" w:hAnsi="Arial" w:cs="Arial"/>
                <w:sz w:val="21"/>
                <w:szCs w:val="21"/>
              </w:rPr>
              <w:t>0</w:t>
            </w:r>
          </w:p>
        </w:tc>
      </w:tr>
      <w:tr w14:paraId="48E3E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shd w:val="clear" w:color="auto" w:fill="auto"/>
            <w:vAlign w:val="center"/>
          </w:tcPr>
          <w:p w14:paraId="572365E0">
            <w:pPr>
              <w:adjustRightInd w:val="0"/>
              <w:snapToGrid w:val="0"/>
              <w:jc w:val="center"/>
              <w:rPr>
                <w:rFonts w:ascii="Arial" w:hAnsi="Arial" w:eastAsia="宋体" w:cs="Arial"/>
                <w:sz w:val="21"/>
                <w:szCs w:val="21"/>
              </w:rPr>
            </w:pPr>
            <w:r>
              <w:rPr>
                <w:rFonts w:ascii="Arial" w:hAnsi="Arial" w:eastAsia="宋体" w:cs="Arial"/>
                <w:sz w:val="21"/>
                <w:szCs w:val="21"/>
              </w:rPr>
              <w:t>石油类</w:t>
            </w:r>
          </w:p>
        </w:tc>
        <w:tc>
          <w:tcPr>
            <w:tcW w:w="1371" w:type="pct"/>
            <w:vAlign w:val="center"/>
          </w:tcPr>
          <w:p w14:paraId="040834A5">
            <w:pPr>
              <w:adjustRightInd w:val="0"/>
              <w:snapToGrid w:val="0"/>
              <w:jc w:val="center"/>
              <w:rPr>
                <w:rFonts w:ascii="Arial" w:hAnsi="Arial" w:eastAsia="宋体" w:cs="Arial"/>
                <w:sz w:val="21"/>
                <w:szCs w:val="21"/>
              </w:rPr>
            </w:pPr>
            <w:r>
              <w:rPr>
                <w:rFonts w:ascii="Arial" w:hAnsi="Arial" w:cs="Arial"/>
                <w:sz w:val="21"/>
                <w:szCs w:val="21"/>
              </w:rPr>
              <w:t>2.3282</w:t>
            </w:r>
          </w:p>
        </w:tc>
        <w:tc>
          <w:tcPr>
            <w:tcW w:w="1499" w:type="pct"/>
            <w:vAlign w:val="center"/>
          </w:tcPr>
          <w:p w14:paraId="49D8517E">
            <w:pPr>
              <w:adjustRightInd w:val="0"/>
              <w:snapToGrid w:val="0"/>
              <w:jc w:val="center"/>
              <w:rPr>
                <w:rFonts w:ascii="Arial" w:hAnsi="Arial" w:eastAsia="宋体" w:cs="Arial"/>
                <w:sz w:val="21"/>
                <w:szCs w:val="21"/>
              </w:rPr>
            </w:pPr>
            <w:r>
              <w:rPr>
                <w:rFonts w:ascii="Arial" w:hAnsi="Arial" w:cs="Arial"/>
                <w:sz w:val="21"/>
                <w:szCs w:val="21"/>
              </w:rPr>
              <w:t>2.</w:t>
            </w:r>
            <w:r>
              <w:rPr>
                <w:rFonts w:hint="eastAsia" w:ascii="Arial" w:hAnsi="Arial" w:cs="Arial"/>
                <w:sz w:val="21"/>
                <w:szCs w:val="21"/>
              </w:rPr>
              <w:t>328</w:t>
            </w:r>
            <w:r>
              <w:rPr>
                <w:rFonts w:ascii="Arial" w:hAnsi="Arial" w:cs="Arial"/>
                <w:sz w:val="21"/>
                <w:szCs w:val="21"/>
              </w:rPr>
              <w:t>2</w:t>
            </w:r>
          </w:p>
        </w:tc>
        <w:tc>
          <w:tcPr>
            <w:tcW w:w="1628" w:type="pct"/>
            <w:vAlign w:val="center"/>
          </w:tcPr>
          <w:p w14:paraId="0ABB276B">
            <w:pPr>
              <w:adjustRightInd w:val="0"/>
              <w:snapToGrid w:val="0"/>
              <w:jc w:val="center"/>
              <w:rPr>
                <w:rFonts w:ascii="Arial" w:hAnsi="Arial" w:cs="Arial"/>
                <w:sz w:val="21"/>
                <w:szCs w:val="21"/>
              </w:rPr>
            </w:pPr>
            <w:r>
              <w:rPr>
                <w:rFonts w:hint="eastAsia" w:ascii="Arial" w:hAnsi="Arial" w:cs="Arial"/>
                <w:sz w:val="21"/>
                <w:szCs w:val="21"/>
              </w:rPr>
              <w:t>0</w:t>
            </w:r>
          </w:p>
        </w:tc>
      </w:tr>
      <w:bookmarkEnd w:id="310"/>
    </w:tbl>
    <w:p w14:paraId="697FBAE4">
      <w:pPr>
        <w:pStyle w:val="474"/>
        <w:numPr>
          <w:ilvl w:val="0"/>
          <w:numId w:val="24"/>
        </w:numPr>
        <w:spacing w:line="500" w:lineRule="exact"/>
        <w:ind w:firstLineChars="0"/>
        <w:outlineLvl w:val="3"/>
        <w:rPr>
          <w:rFonts w:ascii="Arial" w:hAnsi="Arial" w:cs="Arial"/>
          <w:b/>
        </w:rPr>
      </w:pPr>
      <w:r>
        <w:rPr>
          <w:rFonts w:ascii="Arial" w:hAnsi="Arial" w:cs="Arial"/>
          <w:b/>
        </w:rPr>
        <w:t>依托可行性分析</w:t>
      </w:r>
    </w:p>
    <w:p w14:paraId="6431AB6C">
      <w:pPr>
        <w:pStyle w:val="5"/>
        <w:adjustRightInd w:val="0"/>
        <w:snapToGrid w:val="0"/>
        <w:spacing w:line="500" w:lineRule="exact"/>
      </w:pPr>
      <w:r>
        <w:t>1、处理规模可行性分析</w:t>
      </w:r>
    </w:p>
    <w:p w14:paraId="608A2BF8">
      <w:pPr>
        <w:pStyle w:val="5"/>
        <w:spacing w:line="500" w:lineRule="exact"/>
        <w:ind w:firstLine="490" w:firstLineChars="200"/>
        <w:rPr>
          <w:szCs w:val="24"/>
        </w:rPr>
      </w:pPr>
      <w:r>
        <w:rPr>
          <w:szCs w:val="24"/>
        </w:rPr>
        <w:t>全厂污水处理车间设置12台60t/dMVR处理高盐废水，其中</w:t>
      </w:r>
      <w:r>
        <w:rPr>
          <w:rFonts w:hint="eastAsia"/>
          <w:szCs w:val="24"/>
        </w:rPr>
        <w:t>S5车间设置1台（1#），</w:t>
      </w:r>
      <w:r>
        <w:rPr>
          <w:szCs w:val="24"/>
        </w:rPr>
        <w:t>S</w:t>
      </w:r>
      <w:r>
        <w:rPr>
          <w:rFonts w:hint="eastAsia"/>
          <w:szCs w:val="24"/>
        </w:rPr>
        <w:t>8、S9车间设置11台（2#~12#）。本项目羟基钴生产线X19车间废水依托S8、S9污水处理车间4#~12#MVR设备处理，全厂</w:t>
      </w:r>
      <w:r>
        <w:rPr>
          <w:szCs w:val="24"/>
        </w:rPr>
        <w:t>各MVR处理情况见表</w:t>
      </w:r>
      <w:r>
        <w:rPr>
          <w:rFonts w:hint="eastAsia"/>
          <w:szCs w:val="24"/>
        </w:rPr>
        <w:t>4-23</w:t>
      </w:r>
      <w:r>
        <w:rPr>
          <w:szCs w:val="24"/>
        </w:rPr>
        <w:t>。</w:t>
      </w:r>
    </w:p>
    <w:p w14:paraId="2FC5ABDA">
      <w:pPr>
        <w:numPr>
          <w:ilvl w:val="0"/>
          <w:numId w:val="22"/>
        </w:numPr>
        <w:spacing w:line="500" w:lineRule="exact"/>
        <w:jc w:val="center"/>
        <w:outlineLvl w:val="4"/>
        <w:rPr>
          <w:rFonts w:ascii="Arial" w:hAnsi="Arial" w:eastAsia="宋体" w:cs="Arial"/>
          <w:b/>
          <w:sz w:val="24"/>
          <w:szCs w:val="24"/>
        </w:rPr>
      </w:pPr>
      <w:r>
        <w:rPr>
          <w:rFonts w:hint="eastAsia" w:ascii="Arial" w:hAnsi="Arial" w:eastAsia="宋体" w:cs="Arial"/>
          <w:b/>
          <w:sz w:val="24"/>
          <w:szCs w:val="24"/>
        </w:rPr>
        <w:t>全厂</w:t>
      </w:r>
      <w:r>
        <w:rPr>
          <w:rFonts w:ascii="Arial" w:hAnsi="Arial" w:eastAsia="宋体" w:cs="Arial"/>
          <w:b/>
          <w:sz w:val="24"/>
          <w:szCs w:val="24"/>
        </w:rPr>
        <w:t>MVR处理废水情况表（单位：t/d）</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6"/>
        <w:gridCol w:w="829"/>
        <w:gridCol w:w="2206"/>
        <w:gridCol w:w="812"/>
        <w:gridCol w:w="1111"/>
        <w:gridCol w:w="992"/>
        <w:gridCol w:w="1095"/>
        <w:gridCol w:w="992"/>
      </w:tblGrid>
      <w:tr w14:paraId="125C2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vMerge w:val="restart"/>
            <w:shd w:val="clear" w:color="auto" w:fill="auto"/>
            <w:vAlign w:val="center"/>
          </w:tcPr>
          <w:p w14:paraId="4D5E8D1B">
            <w:pPr>
              <w:pStyle w:val="5"/>
              <w:adjustRightInd w:val="0"/>
              <w:snapToGrid w:val="0"/>
              <w:spacing w:line="240" w:lineRule="auto"/>
              <w:ind w:firstLine="0"/>
              <w:jc w:val="center"/>
              <w:rPr>
                <w:sz w:val="21"/>
                <w:szCs w:val="21"/>
              </w:rPr>
            </w:pPr>
            <w:r>
              <w:rPr>
                <w:sz w:val="21"/>
                <w:szCs w:val="21"/>
              </w:rPr>
              <w:t>编号</w:t>
            </w:r>
          </w:p>
        </w:tc>
        <w:tc>
          <w:tcPr>
            <w:tcW w:w="829" w:type="dxa"/>
            <w:vMerge w:val="restart"/>
            <w:shd w:val="clear" w:color="auto" w:fill="auto"/>
            <w:vAlign w:val="center"/>
          </w:tcPr>
          <w:p w14:paraId="3F582684">
            <w:pPr>
              <w:pStyle w:val="5"/>
              <w:adjustRightInd w:val="0"/>
              <w:snapToGrid w:val="0"/>
              <w:spacing w:line="240" w:lineRule="auto"/>
              <w:ind w:firstLine="0"/>
              <w:jc w:val="center"/>
              <w:rPr>
                <w:sz w:val="21"/>
                <w:szCs w:val="21"/>
              </w:rPr>
            </w:pPr>
            <w:r>
              <w:rPr>
                <w:sz w:val="21"/>
                <w:szCs w:val="21"/>
              </w:rPr>
              <w:t>位置</w:t>
            </w:r>
          </w:p>
        </w:tc>
        <w:tc>
          <w:tcPr>
            <w:tcW w:w="2206" w:type="dxa"/>
            <w:vMerge w:val="restart"/>
            <w:shd w:val="clear" w:color="auto" w:fill="auto"/>
            <w:vAlign w:val="center"/>
          </w:tcPr>
          <w:p w14:paraId="33CA6A66">
            <w:pPr>
              <w:pStyle w:val="5"/>
              <w:adjustRightInd w:val="0"/>
              <w:snapToGrid w:val="0"/>
              <w:spacing w:line="240" w:lineRule="auto"/>
              <w:ind w:firstLine="0"/>
              <w:jc w:val="center"/>
              <w:rPr>
                <w:sz w:val="21"/>
                <w:szCs w:val="21"/>
              </w:rPr>
            </w:pPr>
            <w:r>
              <w:rPr>
                <w:sz w:val="21"/>
                <w:szCs w:val="21"/>
              </w:rPr>
              <w:t>处理范围</w:t>
            </w:r>
          </w:p>
        </w:tc>
        <w:tc>
          <w:tcPr>
            <w:tcW w:w="812" w:type="dxa"/>
            <w:vMerge w:val="restart"/>
            <w:shd w:val="clear" w:color="auto" w:fill="auto"/>
            <w:vAlign w:val="center"/>
          </w:tcPr>
          <w:p w14:paraId="776099BA">
            <w:pPr>
              <w:pStyle w:val="5"/>
              <w:adjustRightInd w:val="0"/>
              <w:snapToGrid w:val="0"/>
              <w:spacing w:line="240" w:lineRule="auto"/>
              <w:ind w:firstLine="0"/>
              <w:jc w:val="center"/>
              <w:rPr>
                <w:sz w:val="21"/>
                <w:szCs w:val="21"/>
              </w:rPr>
            </w:pPr>
            <w:r>
              <w:rPr>
                <w:sz w:val="21"/>
                <w:szCs w:val="21"/>
              </w:rPr>
              <w:t>处理</w:t>
            </w:r>
          </w:p>
          <w:p w14:paraId="4FF66A22">
            <w:pPr>
              <w:pStyle w:val="5"/>
              <w:adjustRightInd w:val="0"/>
              <w:snapToGrid w:val="0"/>
              <w:spacing w:line="240" w:lineRule="auto"/>
              <w:ind w:firstLine="0"/>
              <w:jc w:val="center"/>
              <w:rPr>
                <w:sz w:val="21"/>
                <w:szCs w:val="21"/>
              </w:rPr>
            </w:pPr>
            <w:r>
              <w:rPr>
                <w:sz w:val="21"/>
                <w:szCs w:val="21"/>
              </w:rPr>
              <w:t>规模</w:t>
            </w:r>
          </w:p>
        </w:tc>
        <w:tc>
          <w:tcPr>
            <w:tcW w:w="2103" w:type="dxa"/>
            <w:gridSpan w:val="2"/>
            <w:shd w:val="clear" w:color="auto" w:fill="auto"/>
            <w:vAlign w:val="center"/>
          </w:tcPr>
          <w:p w14:paraId="3B52740B">
            <w:pPr>
              <w:pStyle w:val="5"/>
              <w:adjustRightInd w:val="0"/>
              <w:snapToGrid w:val="0"/>
              <w:spacing w:line="240" w:lineRule="auto"/>
              <w:ind w:firstLine="0"/>
              <w:jc w:val="center"/>
              <w:rPr>
                <w:sz w:val="21"/>
                <w:szCs w:val="21"/>
              </w:rPr>
            </w:pPr>
            <w:r>
              <w:rPr>
                <w:sz w:val="21"/>
                <w:szCs w:val="21"/>
              </w:rPr>
              <w:t>变更前</w:t>
            </w:r>
          </w:p>
        </w:tc>
        <w:tc>
          <w:tcPr>
            <w:tcW w:w="2087" w:type="dxa"/>
            <w:gridSpan w:val="2"/>
            <w:shd w:val="clear" w:color="auto" w:fill="auto"/>
            <w:vAlign w:val="center"/>
          </w:tcPr>
          <w:p w14:paraId="653A8DBB">
            <w:pPr>
              <w:pStyle w:val="5"/>
              <w:adjustRightInd w:val="0"/>
              <w:snapToGrid w:val="0"/>
              <w:spacing w:line="240" w:lineRule="auto"/>
              <w:ind w:firstLine="0"/>
              <w:jc w:val="center"/>
              <w:rPr>
                <w:sz w:val="21"/>
                <w:szCs w:val="21"/>
              </w:rPr>
            </w:pPr>
            <w:r>
              <w:rPr>
                <w:sz w:val="21"/>
                <w:szCs w:val="21"/>
              </w:rPr>
              <w:t>变更后</w:t>
            </w:r>
          </w:p>
        </w:tc>
      </w:tr>
      <w:tr w14:paraId="77BD8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vMerge w:val="continue"/>
            <w:shd w:val="clear" w:color="auto" w:fill="auto"/>
            <w:vAlign w:val="center"/>
          </w:tcPr>
          <w:p w14:paraId="735A2826">
            <w:pPr>
              <w:pStyle w:val="5"/>
              <w:adjustRightInd w:val="0"/>
              <w:snapToGrid w:val="0"/>
              <w:spacing w:line="240" w:lineRule="auto"/>
              <w:ind w:firstLine="0"/>
              <w:jc w:val="center"/>
              <w:rPr>
                <w:sz w:val="21"/>
                <w:szCs w:val="21"/>
              </w:rPr>
            </w:pPr>
          </w:p>
        </w:tc>
        <w:tc>
          <w:tcPr>
            <w:tcW w:w="829" w:type="dxa"/>
            <w:vMerge w:val="continue"/>
            <w:shd w:val="clear" w:color="auto" w:fill="auto"/>
            <w:vAlign w:val="center"/>
          </w:tcPr>
          <w:p w14:paraId="64C332F6">
            <w:pPr>
              <w:pStyle w:val="5"/>
              <w:adjustRightInd w:val="0"/>
              <w:snapToGrid w:val="0"/>
              <w:spacing w:line="240" w:lineRule="auto"/>
              <w:ind w:firstLine="0"/>
              <w:jc w:val="center"/>
              <w:rPr>
                <w:sz w:val="21"/>
                <w:szCs w:val="21"/>
              </w:rPr>
            </w:pPr>
          </w:p>
        </w:tc>
        <w:tc>
          <w:tcPr>
            <w:tcW w:w="2206" w:type="dxa"/>
            <w:vMerge w:val="continue"/>
            <w:shd w:val="clear" w:color="auto" w:fill="auto"/>
            <w:vAlign w:val="center"/>
          </w:tcPr>
          <w:p w14:paraId="2F86FCA2">
            <w:pPr>
              <w:pStyle w:val="5"/>
              <w:adjustRightInd w:val="0"/>
              <w:snapToGrid w:val="0"/>
              <w:spacing w:line="240" w:lineRule="auto"/>
              <w:ind w:firstLine="0"/>
              <w:jc w:val="center"/>
              <w:rPr>
                <w:sz w:val="21"/>
                <w:szCs w:val="21"/>
              </w:rPr>
            </w:pPr>
          </w:p>
        </w:tc>
        <w:tc>
          <w:tcPr>
            <w:tcW w:w="812" w:type="dxa"/>
            <w:vMerge w:val="continue"/>
            <w:shd w:val="clear" w:color="auto" w:fill="auto"/>
            <w:vAlign w:val="center"/>
          </w:tcPr>
          <w:p w14:paraId="68969097">
            <w:pPr>
              <w:pStyle w:val="5"/>
              <w:adjustRightInd w:val="0"/>
              <w:snapToGrid w:val="0"/>
              <w:spacing w:line="240" w:lineRule="auto"/>
              <w:ind w:firstLine="0"/>
              <w:jc w:val="center"/>
              <w:rPr>
                <w:sz w:val="21"/>
                <w:szCs w:val="21"/>
              </w:rPr>
            </w:pPr>
          </w:p>
        </w:tc>
        <w:tc>
          <w:tcPr>
            <w:tcW w:w="1111" w:type="dxa"/>
            <w:shd w:val="clear" w:color="auto" w:fill="auto"/>
            <w:vAlign w:val="center"/>
          </w:tcPr>
          <w:p w14:paraId="7335E478">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14:paraId="758AB3D8">
            <w:pPr>
              <w:pStyle w:val="5"/>
              <w:adjustRightInd w:val="0"/>
              <w:snapToGrid w:val="0"/>
              <w:spacing w:line="240" w:lineRule="auto"/>
              <w:ind w:firstLine="0"/>
              <w:jc w:val="center"/>
              <w:rPr>
                <w:sz w:val="21"/>
                <w:szCs w:val="21"/>
              </w:rPr>
            </w:pPr>
            <w:r>
              <w:rPr>
                <w:sz w:val="21"/>
                <w:szCs w:val="21"/>
              </w:rPr>
              <w:t>余量</w:t>
            </w:r>
          </w:p>
        </w:tc>
        <w:tc>
          <w:tcPr>
            <w:tcW w:w="1095" w:type="dxa"/>
            <w:shd w:val="clear" w:color="auto" w:fill="auto"/>
            <w:vAlign w:val="center"/>
          </w:tcPr>
          <w:p w14:paraId="6522672B">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14:paraId="73DCC6A4">
            <w:pPr>
              <w:pStyle w:val="5"/>
              <w:adjustRightInd w:val="0"/>
              <w:snapToGrid w:val="0"/>
              <w:spacing w:line="240" w:lineRule="auto"/>
              <w:ind w:firstLine="0"/>
              <w:jc w:val="center"/>
              <w:rPr>
                <w:sz w:val="21"/>
                <w:szCs w:val="21"/>
              </w:rPr>
            </w:pPr>
            <w:r>
              <w:rPr>
                <w:sz w:val="21"/>
                <w:szCs w:val="21"/>
              </w:rPr>
              <w:t>余量</w:t>
            </w:r>
          </w:p>
        </w:tc>
      </w:tr>
      <w:tr w14:paraId="2288B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shd w:val="clear" w:color="auto" w:fill="auto"/>
            <w:vAlign w:val="center"/>
          </w:tcPr>
          <w:p w14:paraId="3C48460E">
            <w:pPr>
              <w:pStyle w:val="5"/>
              <w:adjustRightInd w:val="0"/>
              <w:snapToGrid w:val="0"/>
              <w:spacing w:line="240" w:lineRule="auto"/>
              <w:ind w:firstLine="0"/>
              <w:jc w:val="center"/>
              <w:rPr>
                <w:sz w:val="21"/>
                <w:szCs w:val="21"/>
              </w:rPr>
            </w:pPr>
            <w:r>
              <w:rPr>
                <w:sz w:val="21"/>
                <w:szCs w:val="21"/>
              </w:rPr>
              <w:t>1#</w:t>
            </w:r>
          </w:p>
        </w:tc>
        <w:tc>
          <w:tcPr>
            <w:tcW w:w="829" w:type="dxa"/>
            <w:shd w:val="clear" w:color="auto" w:fill="auto"/>
            <w:vAlign w:val="center"/>
          </w:tcPr>
          <w:p w14:paraId="3BB46785">
            <w:pPr>
              <w:pStyle w:val="5"/>
              <w:adjustRightInd w:val="0"/>
              <w:snapToGrid w:val="0"/>
              <w:spacing w:line="240" w:lineRule="auto"/>
              <w:ind w:firstLine="0"/>
              <w:jc w:val="center"/>
              <w:rPr>
                <w:sz w:val="21"/>
                <w:szCs w:val="21"/>
              </w:rPr>
            </w:pPr>
            <w:r>
              <w:rPr>
                <w:sz w:val="21"/>
                <w:szCs w:val="21"/>
              </w:rPr>
              <w:t>S5车间</w:t>
            </w:r>
          </w:p>
        </w:tc>
        <w:tc>
          <w:tcPr>
            <w:tcW w:w="2206" w:type="dxa"/>
            <w:shd w:val="clear" w:color="auto" w:fill="auto"/>
            <w:vAlign w:val="center"/>
          </w:tcPr>
          <w:p w14:paraId="12F42A64">
            <w:pPr>
              <w:pStyle w:val="5"/>
              <w:adjustRightInd w:val="0"/>
              <w:snapToGrid w:val="0"/>
              <w:spacing w:line="240" w:lineRule="auto"/>
              <w:ind w:firstLine="0"/>
              <w:jc w:val="center"/>
              <w:rPr>
                <w:sz w:val="21"/>
                <w:szCs w:val="21"/>
              </w:rPr>
            </w:pPr>
            <w:r>
              <w:rPr>
                <w:sz w:val="21"/>
                <w:szCs w:val="21"/>
              </w:rPr>
              <w:t>氢氧化钴处置线萃取废水和MHP生产线萃取废水</w:t>
            </w:r>
          </w:p>
        </w:tc>
        <w:tc>
          <w:tcPr>
            <w:tcW w:w="812" w:type="dxa"/>
            <w:shd w:val="clear" w:color="auto" w:fill="auto"/>
            <w:vAlign w:val="center"/>
          </w:tcPr>
          <w:p w14:paraId="3C0B0656">
            <w:pPr>
              <w:pStyle w:val="5"/>
              <w:adjustRightInd w:val="0"/>
              <w:snapToGrid w:val="0"/>
              <w:spacing w:line="240" w:lineRule="auto"/>
              <w:ind w:firstLine="0"/>
              <w:jc w:val="center"/>
              <w:rPr>
                <w:sz w:val="21"/>
                <w:szCs w:val="21"/>
              </w:rPr>
            </w:pPr>
            <w:r>
              <w:rPr>
                <w:sz w:val="21"/>
                <w:szCs w:val="21"/>
              </w:rPr>
              <w:t>1440</w:t>
            </w:r>
          </w:p>
        </w:tc>
        <w:tc>
          <w:tcPr>
            <w:tcW w:w="1111" w:type="dxa"/>
            <w:shd w:val="clear" w:color="auto" w:fill="auto"/>
            <w:vAlign w:val="center"/>
          </w:tcPr>
          <w:p w14:paraId="0DFEDA13">
            <w:pPr>
              <w:pStyle w:val="5"/>
              <w:adjustRightInd w:val="0"/>
              <w:snapToGrid w:val="0"/>
              <w:spacing w:line="240" w:lineRule="auto"/>
              <w:ind w:firstLine="0"/>
              <w:jc w:val="center"/>
              <w:rPr>
                <w:sz w:val="21"/>
                <w:szCs w:val="21"/>
              </w:rPr>
            </w:pPr>
            <w:r>
              <w:rPr>
                <w:sz w:val="21"/>
                <w:szCs w:val="21"/>
              </w:rPr>
              <w:t>1286.4</w:t>
            </w:r>
          </w:p>
        </w:tc>
        <w:tc>
          <w:tcPr>
            <w:tcW w:w="992" w:type="dxa"/>
            <w:shd w:val="clear" w:color="auto" w:fill="auto"/>
            <w:vAlign w:val="center"/>
          </w:tcPr>
          <w:p w14:paraId="0500D3A9">
            <w:pPr>
              <w:pStyle w:val="5"/>
              <w:adjustRightInd w:val="0"/>
              <w:snapToGrid w:val="0"/>
              <w:spacing w:line="240" w:lineRule="auto"/>
              <w:ind w:firstLine="0"/>
              <w:jc w:val="center"/>
              <w:rPr>
                <w:sz w:val="21"/>
                <w:szCs w:val="21"/>
              </w:rPr>
            </w:pPr>
            <w:r>
              <w:rPr>
                <w:sz w:val="21"/>
                <w:szCs w:val="21"/>
              </w:rPr>
              <w:t>153.6</w:t>
            </w:r>
          </w:p>
        </w:tc>
        <w:tc>
          <w:tcPr>
            <w:tcW w:w="1095" w:type="dxa"/>
            <w:shd w:val="clear" w:color="auto" w:fill="auto"/>
            <w:vAlign w:val="center"/>
          </w:tcPr>
          <w:p w14:paraId="0BC4BC2F">
            <w:pPr>
              <w:pStyle w:val="5"/>
              <w:adjustRightInd w:val="0"/>
              <w:snapToGrid w:val="0"/>
              <w:spacing w:line="240" w:lineRule="auto"/>
              <w:ind w:firstLine="0"/>
              <w:jc w:val="center"/>
              <w:rPr>
                <w:sz w:val="21"/>
                <w:szCs w:val="21"/>
              </w:rPr>
            </w:pPr>
            <w:r>
              <w:rPr>
                <w:sz w:val="21"/>
                <w:szCs w:val="21"/>
              </w:rPr>
              <w:t>1286.4</w:t>
            </w:r>
          </w:p>
        </w:tc>
        <w:tc>
          <w:tcPr>
            <w:tcW w:w="992" w:type="dxa"/>
            <w:shd w:val="clear" w:color="auto" w:fill="auto"/>
            <w:vAlign w:val="center"/>
          </w:tcPr>
          <w:p w14:paraId="15741CFC">
            <w:pPr>
              <w:pStyle w:val="5"/>
              <w:adjustRightInd w:val="0"/>
              <w:snapToGrid w:val="0"/>
              <w:spacing w:line="240" w:lineRule="auto"/>
              <w:ind w:firstLine="0"/>
              <w:jc w:val="center"/>
              <w:rPr>
                <w:sz w:val="21"/>
                <w:szCs w:val="21"/>
              </w:rPr>
            </w:pPr>
            <w:r>
              <w:rPr>
                <w:sz w:val="21"/>
                <w:szCs w:val="21"/>
              </w:rPr>
              <w:t>153.6</w:t>
            </w:r>
          </w:p>
        </w:tc>
      </w:tr>
      <w:tr w14:paraId="74026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shd w:val="clear" w:color="auto" w:fill="auto"/>
            <w:vAlign w:val="center"/>
          </w:tcPr>
          <w:p w14:paraId="7197AFAE">
            <w:pPr>
              <w:pStyle w:val="5"/>
              <w:adjustRightInd w:val="0"/>
              <w:snapToGrid w:val="0"/>
              <w:spacing w:line="240" w:lineRule="auto"/>
              <w:ind w:firstLine="0"/>
              <w:jc w:val="center"/>
              <w:rPr>
                <w:sz w:val="21"/>
                <w:szCs w:val="21"/>
              </w:rPr>
            </w:pPr>
            <w:r>
              <w:rPr>
                <w:sz w:val="21"/>
                <w:szCs w:val="21"/>
              </w:rPr>
              <w:t>2#、3#</w:t>
            </w:r>
          </w:p>
        </w:tc>
        <w:tc>
          <w:tcPr>
            <w:tcW w:w="829" w:type="dxa"/>
            <w:shd w:val="clear" w:color="auto" w:fill="auto"/>
            <w:vAlign w:val="center"/>
          </w:tcPr>
          <w:p w14:paraId="633BAA3C">
            <w:pPr>
              <w:pStyle w:val="5"/>
              <w:adjustRightInd w:val="0"/>
              <w:snapToGrid w:val="0"/>
              <w:spacing w:line="240" w:lineRule="auto"/>
              <w:ind w:firstLine="0"/>
              <w:jc w:val="center"/>
              <w:rPr>
                <w:sz w:val="21"/>
                <w:szCs w:val="21"/>
              </w:rPr>
            </w:pPr>
            <w:r>
              <w:rPr>
                <w:sz w:val="21"/>
                <w:szCs w:val="21"/>
              </w:rPr>
              <w:t>S8、S9车间</w:t>
            </w:r>
          </w:p>
        </w:tc>
        <w:tc>
          <w:tcPr>
            <w:tcW w:w="2206" w:type="dxa"/>
            <w:shd w:val="clear" w:color="auto" w:fill="auto"/>
            <w:vAlign w:val="center"/>
          </w:tcPr>
          <w:p w14:paraId="02FE9BBD">
            <w:pPr>
              <w:pStyle w:val="5"/>
              <w:adjustRightInd w:val="0"/>
              <w:snapToGrid w:val="0"/>
              <w:spacing w:line="240" w:lineRule="auto"/>
              <w:ind w:firstLine="0"/>
              <w:jc w:val="center"/>
              <w:rPr>
                <w:sz w:val="21"/>
                <w:szCs w:val="21"/>
              </w:rPr>
            </w:pPr>
            <w:r>
              <w:rPr>
                <w:sz w:val="21"/>
                <w:szCs w:val="21"/>
              </w:rPr>
              <w:t>MSP生产线X21、X22车间电积镍废水和氢氧化钴处置线X23车间电积钴废水</w:t>
            </w:r>
          </w:p>
        </w:tc>
        <w:tc>
          <w:tcPr>
            <w:tcW w:w="812" w:type="dxa"/>
            <w:shd w:val="clear" w:color="auto" w:fill="auto"/>
            <w:vAlign w:val="center"/>
          </w:tcPr>
          <w:p w14:paraId="7CA95043">
            <w:pPr>
              <w:pStyle w:val="5"/>
              <w:adjustRightInd w:val="0"/>
              <w:snapToGrid w:val="0"/>
              <w:spacing w:line="240" w:lineRule="auto"/>
              <w:ind w:firstLine="0"/>
              <w:jc w:val="center"/>
              <w:rPr>
                <w:sz w:val="21"/>
                <w:szCs w:val="21"/>
              </w:rPr>
            </w:pPr>
            <w:r>
              <w:rPr>
                <w:sz w:val="21"/>
                <w:szCs w:val="21"/>
              </w:rPr>
              <w:t>2880</w:t>
            </w:r>
          </w:p>
        </w:tc>
        <w:tc>
          <w:tcPr>
            <w:tcW w:w="1111" w:type="dxa"/>
            <w:shd w:val="clear" w:color="auto" w:fill="auto"/>
            <w:vAlign w:val="center"/>
          </w:tcPr>
          <w:p w14:paraId="067919CD">
            <w:pPr>
              <w:pStyle w:val="5"/>
              <w:adjustRightInd w:val="0"/>
              <w:snapToGrid w:val="0"/>
              <w:spacing w:line="240" w:lineRule="auto"/>
              <w:ind w:firstLine="0"/>
              <w:jc w:val="center"/>
              <w:rPr>
                <w:sz w:val="21"/>
                <w:szCs w:val="21"/>
              </w:rPr>
            </w:pPr>
            <w:r>
              <w:rPr>
                <w:sz w:val="21"/>
                <w:szCs w:val="21"/>
              </w:rPr>
              <w:t>2287.69</w:t>
            </w:r>
          </w:p>
        </w:tc>
        <w:tc>
          <w:tcPr>
            <w:tcW w:w="992" w:type="dxa"/>
            <w:shd w:val="clear" w:color="auto" w:fill="auto"/>
            <w:vAlign w:val="center"/>
          </w:tcPr>
          <w:p w14:paraId="6EDF7076">
            <w:pPr>
              <w:pStyle w:val="5"/>
              <w:adjustRightInd w:val="0"/>
              <w:snapToGrid w:val="0"/>
              <w:spacing w:line="240" w:lineRule="auto"/>
              <w:ind w:firstLine="0"/>
              <w:jc w:val="center"/>
              <w:rPr>
                <w:sz w:val="21"/>
                <w:szCs w:val="21"/>
              </w:rPr>
            </w:pPr>
            <w:r>
              <w:rPr>
                <w:sz w:val="21"/>
                <w:szCs w:val="21"/>
              </w:rPr>
              <w:t>592.31</w:t>
            </w:r>
          </w:p>
        </w:tc>
        <w:tc>
          <w:tcPr>
            <w:tcW w:w="1095" w:type="dxa"/>
            <w:shd w:val="clear" w:color="auto" w:fill="auto"/>
            <w:vAlign w:val="center"/>
          </w:tcPr>
          <w:p w14:paraId="0CEA5868">
            <w:pPr>
              <w:pStyle w:val="5"/>
              <w:adjustRightInd w:val="0"/>
              <w:snapToGrid w:val="0"/>
              <w:spacing w:line="240" w:lineRule="auto"/>
              <w:ind w:firstLine="0"/>
              <w:jc w:val="center"/>
              <w:rPr>
                <w:sz w:val="21"/>
                <w:szCs w:val="21"/>
              </w:rPr>
            </w:pPr>
            <w:r>
              <w:rPr>
                <w:sz w:val="21"/>
                <w:szCs w:val="21"/>
              </w:rPr>
              <w:t>2287.69</w:t>
            </w:r>
          </w:p>
        </w:tc>
        <w:tc>
          <w:tcPr>
            <w:tcW w:w="992" w:type="dxa"/>
            <w:shd w:val="clear" w:color="auto" w:fill="auto"/>
            <w:vAlign w:val="center"/>
          </w:tcPr>
          <w:p w14:paraId="154E32E0">
            <w:pPr>
              <w:pStyle w:val="5"/>
              <w:adjustRightInd w:val="0"/>
              <w:snapToGrid w:val="0"/>
              <w:spacing w:line="240" w:lineRule="auto"/>
              <w:ind w:firstLine="0"/>
              <w:jc w:val="center"/>
              <w:rPr>
                <w:sz w:val="21"/>
                <w:szCs w:val="21"/>
              </w:rPr>
            </w:pPr>
            <w:r>
              <w:rPr>
                <w:sz w:val="21"/>
                <w:szCs w:val="21"/>
              </w:rPr>
              <w:t>592.31</w:t>
            </w:r>
          </w:p>
        </w:tc>
      </w:tr>
      <w:tr w14:paraId="27EEC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shd w:val="clear" w:color="auto" w:fill="auto"/>
            <w:vAlign w:val="center"/>
          </w:tcPr>
          <w:p w14:paraId="1BE218B0">
            <w:pPr>
              <w:pStyle w:val="5"/>
              <w:adjustRightInd w:val="0"/>
              <w:snapToGrid w:val="0"/>
              <w:spacing w:line="240" w:lineRule="auto"/>
              <w:ind w:firstLine="0"/>
              <w:jc w:val="center"/>
              <w:rPr>
                <w:sz w:val="21"/>
                <w:szCs w:val="21"/>
              </w:rPr>
            </w:pPr>
            <w:r>
              <w:rPr>
                <w:sz w:val="21"/>
                <w:szCs w:val="21"/>
              </w:rPr>
              <w:t>4#~12#</w:t>
            </w:r>
          </w:p>
        </w:tc>
        <w:tc>
          <w:tcPr>
            <w:tcW w:w="829" w:type="dxa"/>
            <w:shd w:val="clear" w:color="auto" w:fill="auto"/>
            <w:vAlign w:val="center"/>
          </w:tcPr>
          <w:p w14:paraId="4BD9EB08">
            <w:pPr>
              <w:pStyle w:val="5"/>
              <w:adjustRightInd w:val="0"/>
              <w:snapToGrid w:val="0"/>
              <w:spacing w:line="240" w:lineRule="auto"/>
              <w:ind w:firstLine="0"/>
              <w:jc w:val="center"/>
              <w:rPr>
                <w:sz w:val="21"/>
                <w:szCs w:val="21"/>
              </w:rPr>
            </w:pPr>
            <w:r>
              <w:rPr>
                <w:sz w:val="21"/>
                <w:szCs w:val="21"/>
              </w:rPr>
              <w:t>S8、S9车间</w:t>
            </w:r>
          </w:p>
        </w:tc>
        <w:tc>
          <w:tcPr>
            <w:tcW w:w="2206" w:type="dxa"/>
            <w:shd w:val="clear" w:color="auto" w:fill="auto"/>
            <w:vAlign w:val="center"/>
          </w:tcPr>
          <w:p w14:paraId="021A7C9C">
            <w:pPr>
              <w:pStyle w:val="5"/>
              <w:adjustRightInd w:val="0"/>
              <w:snapToGrid w:val="0"/>
              <w:spacing w:line="240" w:lineRule="auto"/>
              <w:ind w:firstLine="0"/>
              <w:jc w:val="center"/>
              <w:rPr>
                <w:sz w:val="21"/>
                <w:szCs w:val="21"/>
              </w:rPr>
            </w:pPr>
            <w:r>
              <w:rPr>
                <w:sz w:val="21"/>
                <w:szCs w:val="21"/>
              </w:rPr>
              <w:t>三元前驱体C1~C6车间废水</w:t>
            </w:r>
            <w:r>
              <w:rPr>
                <w:rFonts w:hint="eastAsia"/>
                <w:sz w:val="21"/>
                <w:szCs w:val="21"/>
              </w:rPr>
              <w:t>、</w:t>
            </w:r>
            <w:r>
              <w:rPr>
                <w:sz w:val="21"/>
                <w:szCs w:val="21"/>
              </w:rPr>
              <w:t>MSP生产线X5萃取车间废水、羟基钴生产线X</w:t>
            </w:r>
            <w:r>
              <w:rPr>
                <w:rFonts w:hint="eastAsia"/>
                <w:sz w:val="21"/>
                <w:szCs w:val="21"/>
              </w:rPr>
              <w:t>19车间</w:t>
            </w:r>
            <w:r>
              <w:rPr>
                <w:sz w:val="21"/>
                <w:szCs w:val="21"/>
              </w:rPr>
              <w:t>生产废水</w:t>
            </w:r>
          </w:p>
        </w:tc>
        <w:tc>
          <w:tcPr>
            <w:tcW w:w="812" w:type="dxa"/>
            <w:shd w:val="clear" w:color="auto" w:fill="auto"/>
            <w:vAlign w:val="center"/>
          </w:tcPr>
          <w:p w14:paraId="4D2B12F6">
            <w:pPr>
              <w:pStyle w:val="5"/>
              <w:adjustRightInd w:val="0"/>
              <w:snapToGrid w:val="0"/>
              <w:spacing w:line="240" w:lineRule="auto"/>
              <w:ind w:firstLine="0"/>
              <w:jc w:val="center"/>
              <w:rPr>
                <w:sz w:val="21"/>
                <w:szCs w:val="21"/>
              </w:rPr>
            </w:pPr>
            <w:r>
              <w:rPr>
                <w:sz w:val="21"/>
                <w:szCs w:val="21"/>
              </w:rPr>
              <w:t>12960</w:t>
            </w:r>
          </w:p>
        </w:tc>
        <w:tc>
          <w:tcPr>
            <w:tcW w:w="1111" w:type="dxa"/>
            <w:shd w:val="clear" w:color="auto" w:fill="auto"/>
            <w:vAlign w:val="center"/>
          </w:tcPr>
          <w:p w14:paraId="08833A3E">
            <w:pPr>
              <w:pStyle w:val="5"/>
              <w:adjustRightInd w:val="0"/>
              <w:snapToGrid w:val="0"/>
              <w:spacing w:line="240" w:lineRule="auto"/>
              <w:ind w:firstLine="0"/>
              <w:jc w:val="center"/>
              <w:rPr>
                <w:sz w:val="21"/>
                <w:szCs w:val="21"/>
              </w:rPr>
            </w:pPr>
            <w:r>
              <w:rPr>
                <w:sz w:val="21"/>
                <w:szCs w:val="21"/>
              </w:rPr>
              <w:t>10898.52</w:t>
            </w:r>
          </w:p>
        </w:tc>
        <w:tc>
          <w:tcPr>
            <w:tcW w:w="992" w:type="dxa"/>
            <w:shd w:val="clear" w:color="auto" w:fill="auto"/>
            <w:vAlign w:val="center"/>
          </w:tcPr>
          <w:p w14:paraId="2D5E22F5">
            <w:pPr>
              <w:pStyle w:val="5"/>
              <w:adjustRightInd w:val="0"/>
              <w:snapToGrid w:val="0"/>
              <w:spacing w:line="240" w:lineRule="auto"/>
              <w:ind w:firstLine="0"/>
              <w:jc w:val="center"/>
              <w:rPr>
                <w:sz w:val="21"/>
                <w:szCs w:val="21"/>
              </w:rPr>
            </w:pPr>
            <w:r>
              <w:rPr>
                <w:sz w:val="21"/>
                <w:szCs w:val="21"/>
              </w:rPr>
              <w:t>2061.48</w:t>
            </w:r>
          </w:p>
        </w:tc>
        <w:tc>
          <w:tcPr>
            <w:tcW w:w="1095" w:type="dxa"/>
            <w:shd w:val="clear" w:color="auto" w:fill="auto"/>
            <w:vAlign w:val="center"/>
          </w:tcPr>
          <w:p w14:paraId="0F6FE0F5">
            <w:pPr>
              <w:pStyle w:val="5"/>
              <w:adjustRightInd w:val="0"/>
              <w:snapToGrid w:val="0"/>
              <w:spacing w:line="240" w:lineRule="auto"/>
              <w:ind w:firstLine="0"/>
              <w:jc w:val="center"/>
              <w:rPr>
                <w:sz w:val="21"/>
                <w:szCs w:val="21"/>
              </w:rPr>
            </w:pPr>
            <w:r>
              <w:rPr>
                <w:rFonts w:hint="eastAsia"/>
                <w:sz w:val="21"/>
                <w:szCs w:val="21"/>
              </w:rPr>
              <w:t>11069.64</w:t>
            </w:r>
          </w:p>
        </w:tc>
        <w:tc>
          <w:tcPr>
            <w:tcW w:w="992" w:type="dxa"/>
            <w:shd w:val="clear" w:color="auto" w:fill="auto"/>
            <w:vAlign w:val="center"/>
          </w:tcPr>
          <w:p w14:paraId="5215C336">
            <w:pPr>
              <w:pStyle w:val="5"/>
              <w:adjustRightInd w:val="0"/>
              <w:snapToGrid w:val="0"/>
              <w:spacing w:line="240" w:lineRule="auto"/>
              <w:ind w:firstLine="0"/>
              <w:jc w:val="center"/>
              <w:rPr>
                <w:sz w:val="21"/>
                <w:szCs w:val="21"/>
              </w:rPr>
            </w:pPr>
            <w:r>
              <w:rPr>
                <w:rFonts w:hint="eastAsia"/>
                <w:sz w:val="21"/>
                <w:szCs w:val="21"/>
              </w:rPr>
              <w:t>1890.36</w:t>
            </w:r>
          </w:p>
        </w:tc>
      </w:tr>
    </w:tbl>
    <w:p w14:paraId="0F84370F">
      <w:pPr>
        <w:pStyle w:val="5"/>
        <w:spacing w:line="500" w:lineRule="exact"/>
        <w:ind w:firstLine="490" w:firstLineChars="200"/>
        <w:rPr>
          <w:szCs w:val="24"/>
        </w:rPr>
      </w:pPr>
      <w:r>
        <w:rPr>
          <w:szCs w:val="24"/>
        </w:rPr>
        <w:t>项目变更后S</w:t>
      </w:r>
      <w:r>
        <w:rPr>
          <w:rFonts w:hint="eastAsia"/>
          <w:szCs w:val="24"/>
        </w:rPr>
        <w:t>5污水处理车间</w:t>
      </w:r>
      <w:r>
        <w:rPr>
          <w:szCs w:val="24"/>
        </w:rPr>
        <w:t>1#MVR废水处理量不变，处理氢氧化钴处置线萃取废水和MHP生产线萃取废水1286.4t/d，余量153.6t/d；S</w:t>
      </w:r>
      <w:r>
        <w:rPr>
          <w:rFonts w:hint="eastAsia"/>
          <w:szCs w:val="24"/>
        </w:rPr>
        <w:t>8、S9污水处理车间2</w:t>
      </w:r>
      <w:r>
        <w:rPr>
          <w:szCs w:val="24"/>
        </w:rPr>
        <w:t>#、3</w:t>
      </w:r>
      <w:r>
        <w:rPr>
          <w:rFonts w:hint="eastAsia"/>
          <w:szCs w:val="24"/>
        </w:rPr>
        <w:t>#</w:t>
      </w:r>
      <w:r>
        <w:rPr>
          <w:szCs w:val="24"/>
        </w:rPr>
        <w:t>MVR废水处理量不变，处理MSP生产线X21、X22车间电积镍废水和氢氧化钴处置线X23车间电积钴废水</w:t>
      </w:r>
      <w:r>
        <w:rPr>
          <w:rFonts w:hint="eastAsia"/>
          <w:szCs w:val="24"/>
        </w:rPr>
        <w:t>2287.69</w:t>
      </w:r>
      <w:r>
        <w:rPr>
          <w:szCs w:val="24"/>
        </w:rPr>
        <w:t>t/d，余量</w:t>
      </w:r>
      <w:r>
        <w:rPr>
          <w:rFonts w:hint="eastAsia"/>
          <w:szCs w:val="24"/>
        </w:rPr>
        <w:t>592.31</w:t>
      </w:r>
      <w:r>
        <w:rPr>
          <w:szCs w:val="24"/>
        </w:rPr>
        <w:t>t/d；S</w:t>
      </w:r>
      <w:r>
        <w:rPr>
          <w:rFonts w:hint="eastAsia"/>
          <w:szCs w:val="24"/>
        </w:rPr>
        <w:t>8、S9污水处理车间4#~12#</w:t>
      </w:r>
      <w:r>
        <w:rPr>
          <w:szCs w:val="24"/>
        </w:rPr>
        <w:t>MVR处理三元前驱体C1~C6车间废水、MSP生产线X5萃取车间废水、羟基钴生产线X</w:t>
      </w:r>
      <w:r>
        <w:rPr>
          <w:rFonts w:hint="eastAsia"/>
          <w:szCs w:val="24"/>
        </w:rPr>
        <w:t>19车间</w:t>
      </w:r>
      <w:r>
        <w:rPr>
          <w:szCs w:val="24"/>
        </w:rPr>
        <w:t>生产废水由10898.52t</w:t>
      </w:r>
      <w:r>
        <w:rPr>
          <w:rFonts w:hint="eastAsia"/>
          <w:szCs w:val="24"/>
        </w:rPr>
        <w:t>/d变更为11069.64t/d，余量由</w:t>
      </w:r>
      <w:r>
        <w:rPr>
          <w:szCs w:val="24"/>
        </w:rPr>
        <w:t>2061.48t</w:t>
      </w:r>
      <w:r>
        <w:rPr>
          <w:rFonts w:hint="eastAsia"/>
          <w:szCs w:val="24"/>
        </w:rPr>
        <w:t>/d变更为1890.36t/d。</w:t>
      </w:r>
      <w:r>
        <w:rPr>
          <w:szCs w:val="24"/>
        </w:rPr>
        <w:t>项目设计的MVR污水处理规模可满足全厂污水处理。</w:t>
      </w:r>
    </w:p>
    <w:p w14:paraId="5E40E455">
      <w:pPr>
        <w:pStyle w:val="5"/>
        <w:adjustRightInd w:val="0"/>
        <w:snapToGrid w:val="0"/>
        <w:spacing w:line="500" w:lineRule="exact"/>
        <w:ind w:firstLine="490" w:firstLineChars="200"/>
      </w:pPr>
      <w:r>
        <w:t>2、处理工艺可行性分析</w:t>
      </w:r>
    </w:p>
    <w:p w14:paraId="7A847F52">
      <w:pPr>
        <w:pStyle w:val="5"/>
        <w:spacing w:line="500" w:lineRule="exact"/>
        <w:ind w:firstLine="490" w:firstLineChars="200"/>
        <w:rPr>
          <w:szCs w:val="24"/>
        </w:rPr>
      </w:pPr>
      <w:r>
        <w:rPr>
          <w:rFonts w:hint="eastAsia"/>
          <w:szCs w:val="24"/>
        </w:rPr>
        <w:t>（1）脱氨塔</w:t>
      </w:r>
    </w:p>
    <w:p w14:paraId="481562F3">
      <w:pPr>
        <w:pStyle w:val="5"/>
        <w:spacing w:line="500" w:lineRule="exact"/>
        <w:ind w:firstLine="490" w:firstLineChars="200"/>
        <w:rPr>
          <w:szCs w:val="24"/>
        </w:rPr>
      </w:pPr>
      <w:r>
        <w:rPr>
          <w:rFonts w:hint="eastAsia"/>
          <w:szCs w:val="24"/>
        </w:rPr>
        <w:t>项目废水在S7污水处理车间使用脱氨塔去除氨氮。废水</w:t>
      </w:r>
      <w:r>
        <w:rPr>
          <w:szCs w:val="24"/>
        </w:rPr>
        <w:t>首先与塔釜液和蒸汽冷凝水换热，预热后从中上部进入汽提精馏塔的提馏段，沿塔内部下降；再沸器生成的蒸汽进入汽提精馏塔下部，沿塔内部上升；上升蒸汽与下降液相逆流接触传质，氨从液相转移到气相，液相下降到塔釜时，氨含量小于环保指标要求的浓度。提馏段携带氨的汽相进入精馏段，与从塔顶向下流动的回流液逆流接触传质，汽相中的氨浓度上升，从塔顶离开汽提精馏塔，通过热泵系统回收潜热，然后进入冷凝器冷凝，产生设定浓度的氨水，进入氨水储罐。</w:t>
      </w:r>
    </w:p>
    <w:p w14:paraId="7781EF59">
      <w:pPr>
        <w:pStyle w:val="5"/>
        <w:spacing w:line="500" w:lineRule="exact"/>
        <w:ind w:firstLine="490" w:firstLineChars="200"/>
        <w:rPr>
          <w:szCs w:val="24"/>
          <w:highlight w:val="yellow"/>
        </w:rPr>
      </w:pPr>
      <w:r>
        <w:rPr>
          <w:rFonts w:hint="eastAsia"/>
        </w:rPr>
        <w:t>根据脱氨塔设计参数，氨氮设计进水浓度为8000mg/L，出水浓度为15mg/L，去除效率可达到99.81%；本项目生产废水中氨氮浓度为2200mg/L，小于脱氨塔设计进水浓度，本次评价保守考虑生产废水经脱氨塔处理后的氨氮浓度为15mg/L，去除效率为99%。</w:t>
      </w:r>
    </w:p>
    <w:p w14:paraId="4EC818D3">
      <w:pPr>
        <w:pStyle w:val="5"/>
        <w:spacing w:line="500" w:lineRule="exact"/>
        <w:ind w:firstLine="490" w:firstLineChars="200"/>
        <w:rPr>
          <w:szCs w:val="24"/>
        </w:rPr>
      </w:pPr>
      <w:r>
        <w:rPr>
          <w:rFonts w:hint="eastAsia"/>
          <w:szCs w:val="24"/>
        </w:rPr>
        <w:t>（2）陶瓷膜过滤</w:t>
      </w:r>
    </w:p>
    <w:p w14:paraId="6D6D3B47">
      <w:pPr>
        <w:pStyle w:val="5"/>
        <w:spacing w:line="500" w:lineRule="exact"/>
        <w:rPr>
          <w:szCs w:val="24"/>
        </w:rPr>
      </w:pPr>
      <w:r>
        <w:rPr>
          <w:rFonts w:hint="eastAsia"/>
          <w:szCs w:val="24"/>
        </w:rPr>
        <w:t>项目废水在S7污水处理车间使用陶瓷膜过滤去除钴。陶瓷膜分离技术是基于多孔陶瓷介质的筛分效应而进行的物质分离技术，采用与传统“死端过滤”“滤饼过滤”等过滤方式截然不同的动态“错流过滤”方式：即在压力驱动下，原料液在膜管内侧膜层表面以一定的流速高速流动，小分子物质（液体）沿与之垂直方向透过微孔膜，大分子物质（或固体颗粒）被膜截留，使流体达到分离浓缩和纯化的目的。</w:t>
      </w:r>
    </w:p>
    <w:p w14:paraId="128810D3">
      <w:pPr>
        <w:pStyle w:val="5"/>
        <w:adjustRightInd w:val="0"/>
        <w:snapToGrid w:val="0"/>
        <w:spacing w:line="500" w:lineRule="exact"/>
        <w:ind w:firstLine="490" w:firstLineChars="200"/>
        <w:rPr>
          <w:szCs w:val="24"/>
        </w:rPr>
      </w:pPr>
      <w:r>
        <w:rPr>
          <w:szCs w:val="24"/>
        </w:rPr>
        <w:t>根据</w:t>
      </w:r>
      <w:r>
        <w:rPr>
          <w:rFonts w:hint="eastAsia"/>
          <w:szCs w:val="24"/>
        </w:rPr>
        <w:t>中伟公司各地多年运行经验，陶瓷膜过滤去除重金属可达到91.6%以上，本次评价陶瓷膜过滤去除钴按90%计。</w:t>
      </w:r>
    </w:p>
    <w:p w14:paraId="08FA3636">
      <w:pPr>
        <w:pStyle w:val="5"/>
        <w:spacing w:line="500" w:lineRule="exact"/>
        <w:ind w:firstLine="490" w:firstLineChars="200"/>
        <w:rPr>
          <w:szCs w:val="24"/>
        </w:rPr>
      </w:pPr>
      <w:r>
        <w:rPr>
          <w:szCs w:val="24"/>
        </w:rPr>
        <w:t>（</w:t>
      </w:r>
      <w:r>
        <w:rPr>
          <w:rFonts w:hint="eastAsia"/>
          <w:szCs w:val="24"/>
        </w:rPr>
        <w:t>3</w:t>
      </w:r>
      <w:r>
        <w:rPr>
          <w:szCs w:val="24"/>
        </w:rPr>
        <w:t>）MVR蒸发结晶</w:t>
      </w:r>
    </w:p>
    <w:p w14:paraId="01FE7B01">
      <w:pPr>
        <w:pStyle w:val="5"/>
        <w:adjustRightInd w:val="0"/>
        <w:snapToGrid w:val="0"/>
        <w:spacing w:line="500" w:lineRule="exact"/>
        <w:ind w:firstLine="490" w:firstLineChars="200"/>
      </w:pPr>
      <w:r>
        <w:rPr>
          <w:rFonts w:hint="eastAsia"/>
          <w:szCs w:val="24"/>
        </w:rPr>
        <w:t>项目废水在S8、S9污水处理车间使用MVR去除硫酸盐。</w:t>
      </w:r>
      <w:r>
        <w:t>MVR即机械式蒸汽再压缩蒸发器，其原理是利用高能效蒸汽压缩机压缩蒸发产生的二次蒸汽，把电能转换成热能，提高二次蒸汽的焓，被提高热能的二次蒸汽打入蒸发室进行加热，以达到循环利用二次蒸汽已有的热能，从而可以不需要外部鲜蒸汽，通过蒸发器自循环来实现蒸发浓缩的目的。</w:t>
      </w:r>
    </w:p>
    <w:p w14:paraId="1AC1907C">
      <w:pPr>
        <w:pStyle w:val="5"/>
        <w:spacing w:line="500" w:lineRule="exact"/>
        <w:ind w:firstLine="490" w:firstLineChars="200"/>
      </w:pPr>
      <w:r>
        <w:t>根据进水水质条件，MVR采用双效降膜浓缩+强制循环蒸发结晶的方案。物料在进蒸发系统前，先经过三级预热，物料首先与MVR蒸馏水换热，再与系统内富余的二次蒸汽换热，再与鲜蒸汽换热，达到设计温度后，进入一效降膜蒸发器内进行蒸发浓缩，当物料浓缩到设计浓度时，进入二效降膜蒸发器内进行蒸发浓缩，达到设计浓度时，转移至强制循环换热器内进一步蒸发结晶，晶浆经旋流浓缩后，进入稠厚器内，稠厚器内的晶浆达到离心机进料浓度时，进行离心分离。出盐经皮带输送机送至流化床干燥系统内干燥后，进半自动打包机内打包。考虑到COD、氨氮、重金属等的富集对盐品质的影响，定期排放排浓液（开路母液）。</w:t>
      </w:r>
    </w:p>
    <w:p w14:paraId="0ED0A497">
      <w:pPr>
        <w:pStyle w:val="5"/>
        <w:spacing w:line="500" w:lineRule="exact"/>
        <w:ind w:firstLine="490" w:firstLineChars="200"/>
        <w:rPr>
          <w:highlight w:val="yellow"/>
        </w:rPr>
      </w:pPr>
      <w:r>
        <w:rPr>
          <w:szCs w:val="24"/>
        </w:rPr>
        <w:t>本项目排入MVR系统废水均为硫酸钠废水，可排入MVR内蒸发结晶。根据建设单位对MVR控制，废水经MVR蒸发结晶后硫酸盐回收率≥</w:t>
      </w:r>
      <w:r>
        <w:rPr>
          <w:rFonts w:hint="eastAsia"/>
          <w:szCs w:val="24"/>
        </w:rPr>
        <w:t>93%。</w:t>
      </w:r>
    </w:p>
    <w:p w14:paraId="75470088">
      <w:pPr>
        <w:pStyle w:val="5"/>
        <w:spacing w:line="500" w:lineRule="exact"/>
        <w:ind w:firstLine="490" w:firstLineChars="200"/>
      </w:pPr>
      <w:r>
        <w:t>3、依托排污管排放可行性分析</w:t>
      </w:r>
    </w:p>
    <w:p w14:paraId="3FEC4CC7">
      <w:pPr>
        <w:pStyle w:val="5"/>
        <w:spacing w:line="500" w:lineRule="exact"/>
        <w:ind w:firstLine="490" w:firstLineChars="200"/>
      </w:pPr>
      <w:r>
        <w:t>全厂生产废水排放口依托大榄坪污水处理厂排海管由污水处理厂接出，经第八大街及四号路转入第十一大街，最终向西进入金鼓江，排放至A2排放区。目前排海管已建成投入使用。</w:t>
      </w:r>
    </w:p>
    <w:p w14:paraId="674A535F">
      <w:pPr>
        <w:pStyle w:val="5"/>
        <w:spacing w:line="500" w:lineRule="exact"/>
        <w:ind w:firstLine="490" w:firstLineChars="200"/>
      </w:pPr>
      <w:r>
        <w:t>排海工程管道水量设计按远期规模为20万m</w:t>
      </w:r>
      <w:r>
        <w:rPr>
          <w:vertAlign w:val="superscript"/>
        </w:rPr>
        <w:t>3</w:t>
      </w:r>
      <w:r>
        <w:t>/d，管道设计流量为2893.52L/s，设计流速为1.44m/s，采用DN1600钢管。废水在钦州港大榄坪污水深海排放区A2排放口（GX070DIV）排放，排放区位置是以E108°39′12.0″、N21°39′15.0″为中心，半径1km的海域，周围设0.5km水质过渡带。大榄坪污水处理厂近期规划排水量50000 m</w:t>
      </w:r>
      <w:r>
        <w:rPr>
          <w:vertAlign w:val="superscript"/>
        </w:rPr>
        <w:t>3</w:t>
      </w:r>
      <w:r>
        <w:t>/d，广西中伟新能源科技有限公司近期规划排水量25000 m</w:t>
      </w:r>
      <w:r>
        <w:rPr>
          <w:vertAlign w:val="superscript"/>
        </w:rPr>
        <w:t>3</w:t>
      </w:r>
      <w:r>
        <w:t>/d，废水排放量小于管道设计水量，全厂总废水排放总量在规划范围内。</w:t>
      </w:r>
    </w:p>
    <w:p w14:paraId="296D3EA0">
      <w:pPr>
        <w:pStyle w:val="5"/>
        <w:spacing w:line="500" w:lineRule="exact"/>
        <w:ind w:firstLine="490" w:firstLineChars="200"/>
      </w:pPr>
      <w:r>
        <w:rPr>
          <w:rFonts w:hint="eastAsia"/>
        </w:rPr>
        <w:t>4、A2排污区纳污可行性分析</w:t>
      </w:r>
    </w:p>
    <w:p w14:paraId="5F08552B">
      <w:pPr>
        <w:pStyle w:val="5"/>
        <w:spacing w:line="500" w:lineRule="exact"/>
        <w:ind w:firstLine="490" w:firstLineChars="200"/>
      </w:pPr>
      <w:r>
        <w:rPr>
          <w:rFonts w:hint="eastAsia"/>
        </w:rPr>
        <w:t>根据《钦州港大榄坪物流加工区总体规划修编（2022-2035）环境影响报告书》，A2排污区设计容量为25万m</w:t>
      </w:r>
      <w:r>
        <w:rPr>
          <w:rFonts w:hint="eastAsia"/>
          <w:vertAlign w:val="superscript"/>
        </w:rPr>
        <w:t>3</w:t>
      </w:r>
      <w:r>
        <w:rPr>
          <w:rFonts w:hint="eastAsia"/>
        </w:rPr>
        <w:t>/d，其中COD最大允许排放量为25431.44t/a，氨氮214.62t/a，石油类194.4t/a。目前排入A2排污区有广西金桂浆纸业有限公司、大榄坪污水处理厂和本项目建设单位广西中伟新能源科技有限公司，其中广西金桂浆纸业有限公司废水排放量为5.0万m</w:t>
      </w:r>
      <w:r>
        <w:rPr>
          <w:rFonts w:hint="eastAsia"/>
          <w:vertAlign w:val="superscript"/>
        </w:rPr>
        <w:t>3</w:t>
      </w:r>
      <w:r>
        <w:rPr>
          <w:rFonts w:hint="eastAsia"/>
        </w:rPr>
        <w:t>/d，COD排放量879.45t/a，氨氮排放量9.65t/a；大榄坪污水处理厂废水排放量为0.6万m</w:t>
      </w:r>
      <w:r>
        <w:rPr>
          <w:rFonts w:hint="eastAsia"/>
          <w:vertAlign w:val="superscript"/>
        </w:rPr>
        <w:t>3</w:t>
      </w:r>
      <w:r>
        <w:rPr>
          <w:rFonts w:hint="eastAsia"/>
        </w:rPr>
        <w:t>/d，COD排放量28.727t/a，氨氮排放量2.258t/a；本项目实施后全厂废水排放量为0.61万m</w:t>
      </w:r>
      <w:r>
        <w:rPr>
          <w:rFonts w:hint="eastAsia"/>
          <w:vertAlign w:val="superscript"/>
        </w:rPr>
        <w:t>3</w:t>
      </w:r>
      <w:r>
        <w:rPr>
          <w:rFonts w:hint="eastAsia"/>
        </w:rPr>
        <w:t>/d，COD排放量58.8315t/a，氨氮排放量6.0813t/a，本项目实施后A2排污区未超过设计容量。</w:t>
      </w:r>
    </w:p>
    <w:p w14:paraId="5DB832AD">
      <w:pPr>
        <w:pStyle w:val="5"/>
        <w:adjustRightInd w:val="0"/>
        <w:snapToGrid w:val="0"/>
        <w:spacing w:line="500" w:lineRule="exact"/>
        <w:ind w:firstLine="490" w:firstLineChars="200"/>
      </w:pPr>
      <w:r>
        <w:rPr>
          <w:rFonts w:hint="eastAsia"/>
        </w:rPr>
        <w:t>5</w:t>
      </w:r>
      <w:r>
        <w:t>、生活污水依托处理可行性分析</w:t>
      </w:r>
    </w:p>
    <w:p w14:paraId="7E7D11CD">
      <w:pPr>
        <w:pStyle w:val="5"/>
        <w:adjustRightInd w:val="0"/>
        <w:snapToGrid w:val="0"/>
        <w:spacing w:line="500" w:lineRule="exact"/>
        <w:ind w:firstLine="490" w:firstLineChars="200"/>
      </w:pPr>
      <w:r>
        <w:t>生活污水经三级化粪池处理可满足大榄坪污水处理厂进水标准。大榄坪污水处理厂位于钦州市大榄坪工业区规划第八大道及五号路交汇处（厂区南侧隔路紧邻），服务范围包括大榄坪综合物流加工区、中马钦州产业园区、钦南进出口加工区、钦州港行政服务中心和钦州保税港区等，项目所在位置属于园区大榄坪污水处理厂的服务范围，周边污水管网已建成。大榄坪污水处理厂近期污水处理规模为5万m</w:t>
      </w:r>
      <w:r>
        <w:rPr>
          <w:vertAlign w:val="superscript"/>
        </w:rPr>
        <w:t>3</w:t>
      </w:r>
      <w:r>
        <w:t>/d，本次项目</w:t>
      </w:r>
      <w:r>
        <w:rPr>
          <w:rFonts w:hint="eastAsia"/>
        </w:rPr>
        <w:t>不</w:t>
      </w:r>
      <w:r>
        <w:t>新增生活污水。</w:t>
      </w:r>
    </w:p>
    <w:p w14:paraId="1F20E873">
      <w:pPr>
        <w:pStyle w:val="6"/>
        <w:numPr>
          <w:ilvl w:val="0"/>
          <w:numId w:val="20"/>
        </w:numPr>
        <w:tabs>
          <w:tab w:val="clear" w:pos="1789"/>
        </w:tabs>
        <w:spacing w:line="400" w:lineRule="exact"/>
        <w:rPr>
          <w:rFonts w:ascii="Arial" w:hAnsi="Arial" w:eastAsia="宋体" w:cs="Arial"/>
        </w:rPr>
      </w:pPr>
      <w:bookmarkStart w:id="311" w:name="_Toc88674775"/>
      <w:bookmarkStart w:id="312" w:name="_Toc57715621"/>
      <w:bookmarkStart w:id="313" w:name="_Toc58596461"/>
      <w:bookmarkStart w:id="314" w:name="_Toc87124260"/>
      <w:bookmarkStart w:id="315" w:name="_Toc104677302"/>
      <w:bookmarkStart w:id="316" w:name="_Toc67921874"/>
      <w:r>
        <w:rPr>
          <w:rFonts w:ascii="Arial" w:hAnsi="Arial" w:eastAsia="宋体" w:cs="Arial"/>
        </w:rPr>
        <w:t>运营期地下水环境影响分析</w:t>
      </w:r>
      <w:bookmarkEnd w:id="311"/>
      <w:bookmarkEnd w:id="312"/>
      <w:bookmarkEnd w:id="313"/>
      <w:bookmarkEnd w:id="314"/>
      <w:bookmarkEnd w:id="315"/>
      <w:bookmarkEnd w:id="316"/>
    </w:p>
    <w:bookmarkEnd w:id="296"/>
    <w:bookmarkEnd w:id="297"/>
    <w:p w14:paraId="4C824ABC">
      <w:pPr>
        <w:pStyle w:val="5"/>
        <w:spacing w:line="500" w:lineRule="exact"/>
        <w:rPr>
          <w:szCs w:val="24"/>
        </w:rPr>
      </w:pPr>
      <w:bookmarkStart w:id="317" w:name="_Toc301774442"/>
      <w:bookmarkStart w:id="318" w:name="_Toc301256134"/>
      <w:r>
        <w:rPr>
          <w:szCs w:val="24"/>
        </w:rPr>
        <w:t>本次地下水水文资料引用广西富吉工程技术有限公司2021年5月编制的《广西中伟新能源科技有限公司北部湾产业基地三元项目（一期一阶段）地下水环境影响评价专题报告》（以下简称一期工程地下水专题报告）。</w:t>
      </w:r>
    </w:p>
    <w:p w14:paraId="3D79E8A9">
      <w:pPr>
        <w:pStyle w:val="5"/>
        <w:numPr>
          <w:ilvl w:val="3"/>
          <w:numId w:val="25"/>
        </w:numPr>
        <w:spacing w:line="500" w:lineRule="exact"/>
        <w:ind w:left="0" w:firstLine="0"/>
        <w:outlineLvl w:val="3"/>
        <w:rPr>
          <w:b/>
          <w:szCs w:val="24"/>
        </w:rPr>
      </w:pPr>
      <w:r>
        <w:rPr>
          <w:b/>
          <w:szCs w:val="24"/>
        </w:rPr>
        <w:t>场区地层</w:t>
      </w:r>
    </w:p>
    <w:p w14:paraId="08DF777C">
      <w:pPr>
        <w:pStyle w:val="5"/>
        <w:spacing w:line="500" w:lineRule="exact"/>
        <w:rPr>
          <w:szCs w:val="24"/>
        </w:rPr>
      </w:pPr>
      <w:r>
        <w:rPr>
          <w:szCs w:val="24"/>
        </w:rPr>
        <w:t>根据一期工程地下水专题报告，场地地层岩性自上而下为第四系素填土（Q）、淤泥质砂(Q4</w:t>
      </w:r>
      <w:r>
        <w:rPr>
          <w:szCs w:val="24"/>
          <w:vertAlign w:val="superscript"/>
        </w:rPr>
        <w:t>al</w:t>
      </w:r>
      <w:r>
        <w:rPr>
          <w:szCs w:val="24"/>
        </w:rPr>
        <w:t>)，下伏岩层为侏罗系中统（J</w:t>
      </w:r>
      <w:r>
        <w:rPr>
          <w:szCs w:val="24"/>
          <w:vertAlign w:val="subscript"/>
        </w:rPr>
        <w:t>2</w:t>
      </w:r>
      <w:r>
        <w:rPr>
          <w:szCs w:val="24"/>
        </w:rPr>
        <w:t>）砂岩夹粉砂岩，依钻探揭露，场地地基土层自上而下详细叙述如下：</w:t>
      </w:r>
    </w:p>
    <w:p w14:paraId="7FF78C96">
      <w:pPr>
        <w:pStyle w:val="5"/>
        <w:spacing w:line="500" w:lineRule="exact"/>
        <w:rPr>
          <w:szCs w:val="24"/>
        </w:rPr>
      </w:pPr>
      <w:r>
        <w:rPr>
          <w:szCs w:val="24"/>
        </w:rPr>
        <w:t>1.第四系素填土（Q</w:t>
      </w:r>
      <w:r>
        <w:rPr>
          <w:szCs w:val="24"/>
          <w:vertAlign w:val="subscript"/>
        </w:rPr>
        <w:t>4</w:t>
      </w:r>
      <w:r>
        <w:rPr>
          <w:szCs w:val="24"/>
          <w:vertAlign w:val="superscript"/>
        </w:rPr>
        <w:t>ml</w:t>
      </w:r>
      <w:r>
        <w:rPr>
          <w:szCs w:val="24"/>
        </w:rPr>
        <w:t>）：玫红色、土黄色，稍湿～湿，稍密～中密状，成分由粉砂质泥岩碎块和粘土组成。场地内填土厚 1.50～8.90m；</w:t>
      </w:r>
    </w:p>
    <w:p w14:paraId="56D94DB4">
      <w:pPr>
        <w:pStyle w:val="5"/>
        <w:spacing w:line="500" w:lineRule="exact"/>
        <w:rPr>
          <w:szCs w:val="24"/>
        </w:rPr>
      </w:pPr>
      <w:r>
        <w:rPr>
          <w:szCs w:val="24"/>
        </w:rPr>
        <w:t>2.第四系淤泥质砂（Q</w:t>
      </w:r>
      <w:r>
        <w:rPr>
          <w:szCs w:val="24"/>
          <w:vertAlign w:val="subscript"/>
        </w:rPr>
        <w:t>4</w:t>
      </w:r>
      <w:r>
        <w:rPr>
          <w:szCs w:val="24"/>
          <w:vertAlign w:val="superscript"/>
        </w:rPr>
        <w:t>al</w:t>
      </w:r>
      <w:r>
        <w:rPr>
          <w:szCs w:val="24"/>
        </w:rPr>
        <w:t>）：浅灰黑色，湿，成分主要为泥质，其次为砂，无摇振反应，韧性低，干强度低，刀切面粗糙；</w:t>
      </w:r>
    </w:p>
    <w:p w14:paraId="6986CBED">
      <w:pPr>
        <w:pStyle w:val="5"/>
        <w:spacing w:line="500" w:lineRule="exact"/>
        <w:rPr>
          <w:szCs w:val="24"/>
        </w:rPr>
      </w:pPr>
      <w:r>
        <w:rPr>
          <w:szCs w:val="24"/>
        </w:rPr>
        <w:t>3.侏罗系中统（J</w:t>
      </w:r>
      <w:r>
        <w:rPr>
          <w:szCs w:val="24"/>
          <w:vertAlign w:val="subscript"/>
        </w:rPr>
        <w:t>2</w:t>
      </w:r>
      <w:r>
        <w:rPr>
          <w:szCs w:val="24"/>
        </w:rPr>
        <w:t>）砂岩夹粉砂岩：该层岩性主要为玫红色，泥质粉砂结构，中层状状构造，主要成分为石英质砂矿物，岩芯较完整，多呈柱状，少量为碎块状。分布于整个调查区内。根据场地水文勘察钻孔资料，基岩埋深 11.0～20.0m。裂隙发育，该层为厂区下伏基岩。</w:t>
      </w:r>
    </w:p>
    <w:p w14:paraId="734A459F">
      <w:pPr>
        <w:pStyle w:val="5"/>
        <w:numPr>
          <w:ilvl w:val="3"/>
          <w:numId w:val="25"/>
        </w:numPr>
        <w:spacing w:line="500" w:lineRule="exact"/>
        <w:ind w:left="0" w:firstLine="0"/>
        <w:outlineLvl w:val="3"/>
        <w:rPr>
          <w:b/>
          <w:szCs w:val="24"/>
        </w:rPr>
      </w:pPr>
      <w:r>
        <w:rPr>
          <w:b/>
          <w:szCs w:val="24"/>
        </w:rPr>
        <w:t>场区含水层及其渗透性</w:t>
      </w:r>
    </w:p>
    <w:p w14:paraId="035DCEA4">
      <w:pPr>
        <w:pStyle w:val="5"/>
        <w:spacing w:line="500" w:lineRule="exact"/>
        <w:rPr>
          <w:szCs w:val="24"/>
        </w:rPr>
      </w:pPr>
      <w:r>
        <w:rPr>
          <w:szCs w:val="24"/>
        </w:rPr>
        <w:t>1、场地含水层</w:t>
      </w:r>
    </w:p>
    <w:p w14:paraId="40CD1004">
      <w:pPr>
        <w:pStyle w:val="5"/>
        <w:spacing w:line="500" w:lineRule="exact"/>
        <w:rPr>
          <w:szCs w:val="24"/>
        </w:rPr>
      </w:pPr>
      <w:r>
        <w:rPr>
          <w:szCs w:val="24"/>
        </w:rPr>
        <w:t>根据项目区水文地质特征场地含水层主要为松散岩类孔隙水。岩性主要为淤泥质砂，中等渗透性，该层含水量贫乏。</w:t>
      </w:r>
    </w:p>
    <w:p w14:paraId="15EC4A43">
      <w:pPr>
        <w:pStyle w:val="5"/>
        <w:spacing w:line="500" w:lineRule="exact"/>
        <w:rPr>
          <w:szCs w:val="24"/>
        </w:rPr>
      </w:pPr>
      <w:r>
        <w:rPr>
          <w:szCs w:val="24"/>
        </w:rPr>
        <w:t>下伏基岩为侏罗系中统（J</w:t>
      </w:r>
      <w:r>
        <w:rPr>
          <w:szCs w:val="24"/>
          <w:vertAlign w:val="subscript"/>
        </w:rPr>
        <w:t>2</w:t>
      </w:r>
      <w:r>
        <w:rPr>
          <w:szCs w:val="24"/>
        </w:rPr>
        <w:t>）：砂岩夹粉砂岩，含构造裂隙水，透水性能差，埋深较大，为相对隔水层。</w:t>
      </w:r>
    </w:p>
    <w:p w14:paraId="24E9B9E5">
      <w:pPr>
        <w:pStyle w:val="5"/>
        <w:spacing w:line="500" w:lineRule="exact"/>
        <w:rPr>
          <w:szCs w:val="24"/>
        </w:rPr>
      </w:pPr>
      <w:r>
        <w:rPr>
          <w:szCs w:val="24"/>
        </w:rPr>
        <w:t>2、渗透性</w:t>
      </w:r>
    </w:p>
    <w:p w14:paraId="358D3998">
      <w:pPr>
        <w:pStyle w:val="5"/>
        <w:spacing w:line="500" w:lineRule="exact"/>
        <w:rPr>
          <w:szCs w:val="24"/>
        </w:rPr>
      </w:pPr>
      <w:r>
        <w:rPr>
          <w:szCs w:val="24"/>
        </w:rPr>
        <w:t>本项目区的包气带主要由第四系素填土及淤泥质砂地层组成。</w:t>
      </w:r>
    </w:p>
    <w:p w14:paraId="05E746ED">
      <w:pPr>
        <w:pStyle w:val="5"/>
        <w:spacing w:line="500" w:lineRule="exact"/>
        <w:rPr>
          <w:szCs w:val="24"/>
        </w:rPr>
      </w:pPr>
      <w:r>
        <w:rPr>
          <w:szCs w:val="24"/>
        </w:rPr>
        <w:t>根据现场双环试坑渗水实验及类似场地经验值可知，项目区及周围包气带素填土渗透系数取值 6.34×10</w:t>
      </w:r>
      <w:r>
        <w:rPr>
          <w:szCs w:val="24"/>
          <w:vertAlign w:val="superscript"/>
        </w:rPr>
        <w:t>-3</w:t>
      </w:r>
      <w:r>
        <w:rPr>
          <w:szCs w:val="24"/>
        </w:rPr>
        <w:t>cm/s，为中等透水性；淤泥质砂渗透系数取值 2.07×10</w:t>
      </w:r>
      <w:r>
        <w:rPr>
          <w:szCs w:val="24"/>
          <w:vertAlign w:val="superscript"/>
        </w:rPr>
        <w:t>-3</w:t>
      </w:r>
      <w:r>
        <w:rPr>
          <w:szCs w:val="24"/>
        </w:rPr>
        <w:t>cm/s，为中等透水性。</w:t>
      </w:r>
    </w:p>
    <w:p w14:paraId="1498A93F">
      <w:pPr>
        <w:pStyle w:val="5"/>
        <w:numPr>
          <w:ilvl w:val="3"/>
          <w:numId w:val="25"/>
        </w:numPr>
        <w:spacing w:line="500" w:lineRule="exact"/>
        <w:ind w:left="0" w:firstLine="0"/>
        <w:outlineLvl w:val="3"/>
        <w:rPr>
          <w:b/>
          <w:szCs w:val="24"/>
        </w:rPr>
      </w:pPr>
      <w:r>
        <w:rPr>
          <w:b/>
          <w:szCs w:val="24"/>
        </w:rPr>
        <w:t>场区地下水补给径流及其排泄条件</w:t>
      </w:r>
    </w:p>
    <w:p w14:paraId="3FA1A3BD">
      <w:pPr>
        <w:pStyle w:val="5"/>
        <w:spacing w:line="500" w:lineRule="exact"/>
        <w:rPr>
          <w:szCs w:val="24"/>
        </w:rPr>
      </w:pPr>
      <w:r>
        <w:rPr>
          <w:szCs w:val="24"/>
        </w:rPr>
        <w:t>场区地下水主要受降水补给，以及在海水涨潮时一定程度上接受海水补给。区内以滨海滩涂地貌为主，现状为填海区，地势较平坦，上部覆盖层透水性中等，植被稀疏，不利于地下水的聚集，补给条件中等。</w:t>
      </w:r>
    </w:p>
    <w:p w14:paraId="371358EF">
      <w:pPr>
        <w:pStyle w:val="5"/>
        <w:spacing w:line="500" w:lineRule="exact"/>
        <w:rPr>
          <w:szCs w:val="24"/>
        </w:rPr>
      </w:pPr>
      <w:r>
        <w:rPr>
          <w:szCs w:val="24"/>
        </w:rPr>
        <w:t>场区地下水主要赋存并运移于松散岩类孔隙中，地下水在含水层中通常作层状渗流运动，其地下水流向与地形基本一致，地下水流向受地形控制，总体自西北向东南方向径流、排泄。场区地下水由填海区高地以散流形式就近汇入东南侧鹿耳环江中，最终汇入钦州湾海域。</w:t>
      </w:r>
    </w:p>
    <w:p w14:paraId="7C47A967">
      <w:pPr>
        <w:pStyle w:val="5"/>
        <w:spacing w:line="500" w:lineRule="exact"/>
        <w:rPr>
          <w:szCs w:val="24"/>
        </w:rPr>
      </w:pPr>
      <w:r>
        <w:rPr>
          <w:szCs w:val="24"/>
        </w:rPr>
        <w:t>评价区含水层埋藏较浅，补迳排条件清晰，地下水类型较单一，水文地质条件较为简单。</w:t>
      </w:r>
    </w:p>
    <w:p w14:paraId="643AD9CA">
      <w:pPr>
        <w:pStyle w:val="5"/>
        <w:numPr>
          <w:ilvl w:val="3"/>
          <w:numId w:val="25"/>
        </w:numPr>
        <w:spacing w:line="500" w:lineRule="exact"/>
        <w:ind w:left="0" w:firstLine="0"/>
        <w:outlineLvl w:val="3"/>
        <w:rPr>
          <w:b/>
          <w:szCs w:val="24"/>
        </w:rPr>
      </w:pPr>
      <w:bookmarkStart w:id="319" w:name="_Hlk69863668"/>
      <w:r>
        <w:rPr>
          <w:b/>
          <w:szCs w:val="24"/>
        </w:rPr>
        <w:t>预测方法</w:t>
      </w:r>
    </w:p>
    <w:p w14:paraId="40C20083">
      <w:pPr>
        <w:autoSpaceDE w:val="0"/>
        <w:autoSpaceDN w:val="0"/>
        <w:adjustRightInd w:val="0"/>
        <w:spacing w:line="500" w:lineRule="exact"/>
        <w:ind w:firstLine="450" w:firstLineChars="200"/>
        <w:rPr>
          <w:rFonts w:ascii="Arial" w:hAnsi="Arial" w:eastAsia="宋体" w:cs="Arial"/>
          <w:sz w:val="24"/>
        </w:rPr>
      </w:pPr>
      <w:r>
        <w:rPr>
          <w:rFonts w:ascii="Arial" w:hAnsi="Arial" w:eastAsia="宋体" w:cs="Arial"/>
          <w:sz w:val="24"/>
        </w:rPr>
        <w:t>1、一维无限长多孔介质柱体，示踪剂瞬时注入</w:t>
      </w:r>
    </w:p>
    <w:p w14:paraId="6D9A6B2B">
      <w:pPr>
        <w:autoSpaceDE w:val="0"/>
        <w:autoSpaceDN w:val="0"/>
        <w:adjustRightInd w:val="0"/>
        <w:ind w:firstLine="530" w:firstLineChars="200"/>
        <w:rPr>
          <w:rFonts w:ascii="Arial" w:hAnsi="Arial" w:eastAsia="宋体" w:cs="Arial"/>
          <w:sz w:val="24"/>
        </w:rPr>
      </w:pPr>
      <w:r>
        <w:rPr>
          <w:rFonts w:ascii="Arial" w:hAnsi="Arial" w:cs="Arial"/>
        </w:rPr>
        <w:drawing>
          <wp:inline distT="0" distB="0" distL="114300" distR="114300">
            <wp:extent cx="2094865" cy="576580"/>
            <wp:effectExtent l="0" t="0" r="635" b="13970"/>
            <wp:docPr id="33"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4"/>
                    <pic:cNvPicPr>
                      <a:picLocks noChangeAspect="1"/>
                    </pic:cNvPicPr>
                  </pic:nvPicPr>
                  <pic:blipFill>
                    <a:blip r:embed="rId49"/>
                    <a:stretch>
                      <a:fillRect/>
                    </a:stretch>
                  </pic:blipFill>
                  <pic:spPr>
                    <a:xfrm>
                      <a:off x="0" y="0"/>
                      <a:ext cx="2094865" cy="576580"/>
                    </a:xfrm>
                    <a:prstGeom prst="rect">
                      <a:avLst/>
                    </a:prstGeom>
                    <a:noFill/>
                    <a:ln>
                      <a:noFill/>
                    </a:ln>
                  </pic:spPr>
                </pic:pic>
              </a:graphicData>
            </a:graphic>
          </wp:inline>
        </w:drawing>
      </w:r>
    </w:p>
    <w:p w14:paraId="580E38B2">
      <w:pPr>
        <w:autoSpaceDE w:val="0"/>
        <w:autoSpaceDN w:val="0"/>
        <w:adjustRightInd w:val="0"/>
        <w:spacing w:line="500" w:lineRule="exact"/>
        <w:ind w:firstLine="225" w:firstLineChars="100"/>
        <w:rPr>
          <w:rFonts w:ascii="Arial" w:hAnsi="Arial" w:eastAsia="宋体" w:cs="Arial"/>
          <w:sz w:val="24"/>
        </w:rPr>
      </w:pPr>
      <w:r>
        <w:rPr>
          <w:rFonts w:ascii="Arial" w:hAnsi="Arial" w:eastAsia="宋体" w:cs="Arial"/>
          <w:sz w:val="24"/>
        </w:rPr>
        <w:t>式中：X——距注入点的距离，m；</w:t>
      </w:r>
    </w:p>
    <w:p w14:paraId="34A1EA0B">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t——时间，d；</w:t>
      </w:r>
    </w:p>
    <w:p w14:paraId="429C789E">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C(x，t)——t时刻x处的示踪剂浓度，g/L；</w:t>
      </w:r>
    </w:p>
    <w:p w14:paraId="07CC3053">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m——注入的示踪剂质量，kg；</w:t>
      </w:r>
    </w:p>
    <w:p w14:paraId="3F669B59">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w——横截面面积，m</w:t>
      </w:r>
      <w:r>
        <w:rPr>
          <w:rFonts w:ascii="Arial" w:hAnsi="Arial" w:eastAsia="宋体" w:cs="Arial"/>
          <w:sz w:val="24"/>
          <w:vertAlign w:val="superscript"/>
        </w:rPr>
        <w:t>2</w:t>
      </w:r>
      <w:r>
        <w:rPr>
          <w:rFonts w:ascii="Arial" w:hAnsi="Arial" w:eastAsia="宋体" w:cs="Arial"/>
          <w:sz w:val="24"/>
        </w:rPr>
        <w:t>；</w:t>
      </w:r>
    </w:p>
    <w:p w14:paraId="5E626BD7">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u——水流速度，m/d；</w:t>
      </w:r>
    </w:p>
    <w:p w14:paraId="00CFEE07">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n</w:t>
      </w:r>
      <w:r>
        <w:rPr>
          <w:rFonts w:ascii="Arial" w:hAnsi="Arial" w:eastAsia="宋体" w:cs="Arial"/>
          <w:sz w:val="24"/>
          <w:vertAlign w:val="subscript"/>
        </w:rPr>
        <w:t>e</w:t>
      </w:r>
      <w:r>
        <w:rPr>
          <w:rFonts w:ascii="Arial" w:hAnsi="Arial" w:eastAsia="宋体" w:cs="Arial"/>
          <w:sz w:val="24"/>
        </w:rPr>
        <w:t>——有效孔隙度，无量纲；</w:t>
      </w:r>
    </w:p>
    <w:p w14:paraId="43EB2AA1">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D</w:t>
      </w:r>
      <w:r>
        <w:rPr>
          <w:rFonts w:ascii="Arial" w:hAnsi="Arial" w:eastAsia="宋体" w:cs="Arial"/>
          <w:sz w:val="24"/>
          <w:vertAlign w:val="subscript"/>
        </w:rPr>
        <w:t>L</w:t>
      </w:r>
      <w:r>
        <w:rPr>
          <w:rFonts w:ascii="Arial" w:hAnsi="Arial" w:eastAsia="宋体" w:cs="Arial"/>
          <w:sz w:val="24"/>
        </w:rPr>
        <w:t>——纵向弥散系数，m</w:t>
      </w:r>
      <w:r>
        <w:rPr>
          <w:rFonts w:ascii="Arial" w:hAnsi="Arial" w:eastAsia="宋体" w:cs="Arial"/>
          <w:sz w:val="24"/>
          <w:vertAlign w:val="superscript"/>
        </w:rPr>
        <w:t>2</w:t>
      </w:r>
      <w:r>
        <w:rPr>
          <w:rFonts w:ascii="Arial" w:hAnsi="Arial" w:eastAsia="宋体" w:cs="Arial"/>
          <w:sz w:val="24"/>
        </w:rPr>
        <w:t>/d；</w:t>
      </w:r>
    </w:p>
    <w:p w14:paraId="2FCF4326">
      <w:pPr>
        <w:autoSpaceDE w:val="0"/>
        <w:autoSpaceDN w:val="0"/>
        <w:adjustRightInd w:val="0"/>
        <w:spacing w:line="500" w:lineRule="exact"/>
        <w:ind w:firstLine="983" w:firstLineChars="437"/>
        <w:rPr>
          <w:rFonts w:ascii="Arial" w:hAnsi="Arial" w:eastAsia="宋体" w:cs="Arial"/>
          <w:sz w:val="24"/>
        </w:rPr>
      </w:pPr>
      <w:r>
        <w:rPr>
          <w:rFonts w:ascii="Arial" w:hAnsi="Arial" w:eastAsia="宋体" w:cs="Arial"/>
          <w:sz w:val="24"/>
        </w:rPr>
        <w:t>π——圆周率。</w:t>
      </w:r>
    </w:p>
    <w:p w14:paraId="3D4FD3E2">
      <w:pPr>
        <w:autoSpaceDE w:val="0"/>
        <w:autoSpaceDN w:val="0"/>
        <w:adjustRightInd w:val="0"/>
        <w:spacing w:line="500" w:lineRule="exact"/>
        <w:ind w:firstLine="450" w:firstLineChars="200"/>
        <w:rPr>
          <w:rFonts w:ascii="Arial" w:hAnsi="Arial" w:eastAsia="宋体" w:cs="Arial"/>
          <w:sz w:val="24"/>
        </w:rPr>
      </w:pPr>
      <w:r>
        <w:rPr>
          <w:rFonts w:ascii="Arial" w:hAnsi="Arial" w:eastAsia="宋体" w:cs="Arial"/>
          <w:sz w:val="24"/>
        </w:rPr>
        <w:t>2、一维半无限长多孔介质柱体，一端为定浓度边界</w:t>
      </w:r>
    </w:p>
    <w:p w14:paraId="3A805F17">
      <w:pPr>
        <w:spacing w:line="360" w:lineRule="auto"/>
        <w:ind w:firstLine="570"/>
        <w:rPr>
          <w:rFonts w:ascii="Arial" w:hAnsi="Arial" w:eastAsia="宋体" w:cs="Arial"/>
          <w:sz w:val="24"/>
        </w:rPr>
      </w:pPr>
      <w:r>
        <w:rPr>
          <w:rFonts w:ascii="Arial" w:hAnsi="Arial" w:cs="Arial"/>
        </w:rPr>
        <w:drawing>
          <wp:inline distT="0" distB="0" distL="114300" distR="114300">
            <wp:extent cx="2628900" cy="511810"/>
            <wp:effectExtent l="0" t="0" r="0" b="2540"/>
            <wp:docPr id="34"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53"/>
                    <pic:cNvPicPr>
                      <a:picLocks noChangeAspect="1"/>
                    </pic:cNvPicPr>
                  </pic:nvPicPr>
                  <pic:blipFill>
                    <a:blip r:embed="rId50"/>
                    <a:stretch>
                      <a:fillRect/>
                    </a:stretch>
                  </pic:blipFill>
                  <pic:spPr>
                    <a:xfrm>
                      <a:off x="0" y="0"/>
                      <a:ext cx="2628900" cy="511810"/>
                    </a:xfrm>
                    <a:prstGeom prst="rect">
                      <a:avLst/>
                    </a:prstGeom>
                    <a:noFill/>
                    <a:ln>
                      <a:noFill/>
                    </a:ln>
                  </pic:spPr>
                </pic:pic>
              </a:graphicData>
            </a:graphic>
          </wp:inline>
        </w:drawing>
      </w:r>
    </w:p>
    <w:p w14:paraId="69CCD4F6">
      <w:pPr>
        <w:spacing w:line="500" w:lineRule="exact"/>
        <w:ind w:firstLine="225" w:firstLineChars="100"/>
        <w:rPr>
          <w:rFonts w:ascii="Arial" w:hAnsi="Arial" w:eastAsia="宋体" w:cs="Arial"/>
          <w:sz w:val="24"/>
        </w:rPr>
      </w:pPr>
      <w:r>
        <w:rPr>
          <w:rFonts w:ascii="Arial" w:hAnsi="Arial" w:eastAsia="宋体" w:cs="Arial"/>
          <w:sz w:val="24"/>
        </w:rPr>
        <w:t>式中：C（x，t）——t 时刻x 处的污染物浓度（mg/L）；</w:t>
      </w:r>
    </w:p>
    <w:p w14:paraId="7212D8E0">
      <w:pPr>
        <w:spacing w:line="500" w:lineRule="exact"/>
        <w:ind w:firstLine="983" w:firstLineChars="437"/>
        <w:rPr>
          <w:rFonts w:ascii="Arial" w:hAnsi="Arial" w:eastAsia="宋体" w:cs="Arial"/>
          <w:sz w:val="24"/>
        </w:rPr>
      </w:pPr>
      <w:r>
        <w:rPr>
          <w:rFonts w:ascii="Arial" w:hAnsi="Arial" w:eastAsia="宋体" w:cs="Arial"/>
          <w:sz w:val="24"/>
        </w:rPr>
        <w:t>X——距注入点的距离（m）；</w:t>
      </w:r>
    </w:p>
    <w:p w14:paraId="5816FEB6">
      <w:pPr>
        <w:spacing w:line="500" w:lineRule="exact"/>
        <w:ind w:firstLine="983" w:firstLineChars="437"/>
        <w:rPr>
          <w:rFonts w:ascii="Arial" w:hAnsi="Arial" w:eastAsia="宋体" w:cs="Arial"/>
          <w:sz w:val="24"/>
        </w:rPr>
      </w:pPr>
      <w:r>
        <w:rPr>
          <w:rFonts w:ascii="Arial" w:hAnsi="Arial" w:eastAsia="宋体" w:cs="Arial"/>
          <w:sz w:val="24"/>
        </w:rPr>
        <w:t>t——时间（d）；</w:t>
      </w:r>
    </w:p>
    <w:p w14:paraId="05367758">
      <w:pPr>
        <w:spacing w:line="500" w:lineRule="exact"/>
        <w:ind w:firstLine="983" w:firstLineChars="437"/>
        <w:rPr>
          <w:rFonts w:ascii="Arial" w:hAnsi="Arial" w:eastAsia="宋体" w:cs="Arial"/>
          <w:sz w:val="24"/>
        </w:rPr>
      </w:pPr>
      <w:r>
        <w:rPr>
          <w:rFonts w:ascii="Arial" w:hAnsi="Arial" w:eastAsia="宋体" w:cs="Arial"/>
          <w:sz w:val="24"/>
        </w:rPr>
        <w:t>C</w:t>
      </w:r>
      <w:r>
        <w:rPr>
          <w:rFonts w:ascii="Arial" w:hAnsi="Arial" w:eastAsia="宋体" w:cs="Arial"/>
          <w:sz w:val="24"/>
          <w:vertAlign w:val="subscript"/>
        </w:rPr>
        <w:t>0</w:t>
      </w:r>
      <w:r>
        <w:rPr>
          <w:rFonts w:ascii="Arial" w:hAnsi="Arial" w:eastAsia="宋体" w:cs="Arial"/>
          <w:sz w:val="24"/>
        </w:rPr>
        <w:t>——注入的示踪剂浓度（g/L）；</w:t>
      </w:r>
    </w:p>
    <w:p w14:paraId="158D1BAD">
      <w:pPr>
        <w:spacing w:line="500" w:lineRule="exact"/>
        <w:ind w:firstLine="983" w:firstLineChars="437"/>
        <w:rPr>
          <w:rFonts w:ascii="Arial" w:hAnsi="Arial" w:eastAsia="宋体" w:cs="Arial"/>
          <w:sz w:val="24"/>
        </w:rPr>
      </w:pPr>
      <w:r>
        <w:rPr>
          <w:rFonts w:ascii="Arial" w:hAnsi="Arial" w:eastAsia="宋体" w:cs="Arial"/>
          <w:sz w:val="24"/>
        </w:rPr>
        <w:t>u——水流速度（m/d）；</w:t>
      </w:r>
    </w:p>
    <w:p w14:paraId="616B71DF">
      <w:pPr>
        <w:spacing w:line="500" w:lineRule="exact"/>
        <w:ind w:firstLine="983" w:firstLineChars="437"/>
        <w:rPr>
          <w:rFonts w:ascii="Arial" w:hAnsi="Arial" w:eastAsia="宋体" w:cs="Arial"/>
          <w:sz w:val="24"/>
        </w:rPr>
      </w:pPr>
      <w:r>
        <w:rPr>
          <w:rFonts w:ascii="Arial" w:hAnsi="Arial" w:eastAsia="宋体" w:cs="Arial"/>
          <w:sz w:val="24"/>
        </w:rPr>
        <w:t>D</w:t>
      </w:r>
      <w:r>
        <w:rPr>
          <w:rFonts w:ascii="Arial" w:hAnsi="Arial" w:eastAsia="宋体" w:cs="Arial"/>
          <w:sz w:val="24"/>
          <w:vertAlign w:val="subscript"/>
        </w:rPr>
        <w:t>L</w:t>
      </w:r>
      <w:r>
        <w:rPr>
          <w:rFonts w:ascii="Arial" w:hAnsi="Arial" w:eastAsia="宋体" w:cs="Arial"/>
          <w:sz w:val="24"/>
        </w:rPr>
        <w:t>——纵向弥散系数（m</w:t>
      </w:r>
      <w:r>
        <w:rPr>
          <w:rFonts w:ascii="Arial" w:hAnsi="Arial" w:eastAsia="宋体" w:cs="Arial"/>
          <w:sz w:val="24"/>
          <w:vertAlign w:val="superscript"/>
        </w:rPr>
        <w:t>2</w:t>
      </w:r>
      <w:r>
        <w:rPr>
          <w:rFonts w:ascii="Arial" w:hAnsi="Arial" w:eastAsia="宋体" w:cs="Arial"/>
          <w:sz w:val="24"/>
        </w:rPr>
        <w:t>/d）；</w:t>
      </w:r>
    </w:p>
    <w:p w14:paraId="71FC506D">
      <w:pPr>
        <w:autoSpaceDE w:val="0"/>
        <w:autoSpaceDN w:val="0"/>
        <w:adjustRightInd w:val="0"/>
        <w:spacing w:line="500" w:lineRule="exact"/>
        <w:ind w:firstLine="983" w:firstLineChars="437"/>
        <w:rPr>
          <w:rFonts w:ascii="Arial" w:hAnsi="Arial" w:eastAsia="宋体" w:cs="Arial"/>
          <w:kern w:val="0"/>
          <w:sz w:val="24"/>
          <w:szCs w:val="22"/>
        </w:rPr>
      </w:pPr>
      <w:r>
        <w:rPr>
          <w:rFonts w:ascii="Arial" w:hAnsi="Arial" w:eastAsia="宋体" w:cs="Arial"/>
          <w:sz w:val="24"/>
        </w:rPr>
        <w:t>erfc（）——余误差函数。</w:t>
      </w:r>
    </w:p>
    <w:p w14:paraId="77A64C52">
      <w:pPr>
        <w:pStyle w:val="5"/>
        <w:numPr>
          <w:ilvl w:val="3"/>
          <w:numId w:val="25"/>
        </w:numPr>
        <w:spacing w:line="500" w:lineRule="exact"/>
        <w:ind w:left="0" w:firstLine="0"/>
        <w:outlineLvl w:val="3"/>
        <w:rPr>
          <w:b/>
          <w:szCs w:val="24"/>
          <w:u w:val="single"/>
        </w:rPr>
      </w:pPr>
      <w:r>
        <w:rPr>
          <w:b/>
          <w:szCs w:val="24"/>
          <w:u w:val="single"/>
        </w:rPr>
        <w:t>水文地质参数</w:t>
      </w:r>
    </w:p>
    <w:p w14:paraId="41CAE731">
      <w:pPr>
        <w:pStyle w:val="5"/>
        <w:spacing w:line="500" w:lineRule="exact"/>
        <w:rPr>
          <w:szCs w:val="24"/>
          <w:u w:val="single"/>
        </w:rPr>
      </w:pPr>
      <w:r>
        <w:rPr>
          <w:szCs w:val="24"/>
          <w:u w:val="single"/>
        </w:rPr>
        <w:t>根据《广西中伟新能源科技有限公司北部湾产业基地三元项目（一期一阶段）地下水环境影响评价专题报告》（广西富吉工程技术有限公司，2021年5月），预测参数根据实地调查及收集区域资料选取。项目所在区域水文地质参数见表4-2</w:t>
      </w:r>
      <w:r>
        <w:rPr>
          <w:rFonts w:hint="eastAsia"/>
          <w:szCs w:val="24"/>
          <w:u w:val="single"/>
        </w:rPr>
        <w:t>4</w:t>
      </w:r>
      <w:r>
        <w:rPr>
          <w:szCs w:val="24"/>
          <w:u w:val="single"/>
        </w:rPr>
        <w:t>。</w:t>
      </w:r>
    </w:p>
    <w:p w14:paraId="201410F4">
      <w:pPr>
        <w:pStyle w:val="5"/>
        <w:spacing w:line="500" w:lineRule="exact"/>
        <w:rPr>
          <w:szCs w:val="24"/>
          <w:u w:val="single"/>
        </w:rPr>
      </w:pPr>
    </w:p>
    <w:p w14:paraId="3CDB256D">
      <w:pPr>
        <w:keepNext/>
        <w:numPr>
          <w:ilvl w:val="0"/>
          <w:numId w:val="22"/>
        </w:numPr>
        <w:spacing w:line="500" w:lineRule="exact"/>
        <w:ind w:left="0" w:firstLine="0"/>
        <w:jc w:val="center"/>
        <w:outlineLvl w:val="4"/>
        <w:rPr>
          <w:rFonts w:ascii="Arial" w:hAnsi="Arial" w:eastAsia="宋体" w:cs="Arial"/>
          <w:b/>
          <w:sz w:val="24"/>
          <w:szCs w:val="24"/>
          <w:u w:val="single"/>
        </w:rPr>
      </w:pPr>
      <w:r>
        <w:rPr>
          <w:rFonts w:ascii="Arial" w:hAnsi="Arial" w:eastAsia="宋体" w:cs="Arial"/>
          <w:b/>
          <w:sz w:val="24"/>
          <w:szCs w:val="24"/>
          <w:u w:val="single"/>
        </w:rPr>
        <w:t>水文地质评价参数表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4"/>
        <w:gridCol w:w="843"/>
        <w:gridCol w:w="986"/>
        <w:gridCol w:w="986"/>
        <w:gridCol w:w="835"/>
        <w:gridCol w:w="1139"/>
        <w:gridCol w:w="1101"/>
        <w:gridCol w:w="995"/>
        <w:gridCol w:w="864"/>
      </w:tblGrid>
      <w:tr w14:paraId="04D11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vMerge w:val="restart"/>
            <w:tcBorders>
              <w:top w:val="single" w:color="auto" w:sz="4" w:space="0"/>
            </w:tcBorders>
            <w:vAlign w:val="center"/>
          </w:tcPr>
          <w:p w14:paraId="3E3796B2">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岩土层</w:t>
            </w:r>
          </w:p>
        </w:tc>
        <w:tc>
          <w:tcPr>
            <w:tcW w:w="469" w:type="pct"/>
            <w:vMerge w:val="restart"/>
            <w:tcBorders>
              <w:top w:val="single" w:color="auto" w:sz="4" w:space="0"/>
            </w:tcBorders>
            <w:vAlign w:val="center"/>
          </w:tcPr>
          <w:p w14:paraId="759D0B2B">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岩组代号</w:t>
            </w:r>
          </w:p>
        </w:tc>
        <w:tc>
          <w:tcPr>
            <w:tcW w:w="548" w:type="pct"/>
            <w:tcBorders>
              <w:top w:val="single" w:color="auto" w:sz="4" w:space="0"/>
            </w:tcBorders>
            <w:vAlign w:val="center"/>
          </w:tcPr>
          <w:p w14:paraId="24C26F07">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水平渗透系数K</w:t>
            </w:r>
          </w:p>
        </w:tc>
        <w:tc>
          <w:tcPr>
            <w:tcW w:w="548" w:type="pct"/>
            <w:tcBorders>
              <w:top w:val="single" w:color="auto" w:sz="4" w:space="0"/>
            </w:tcBorders>
            <w:vAlign w:val="center"/>
          </w:tcPr>
          <w:p w14:paraId="522A238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流速V</w:t>
            </w:r>
          </w:p>
        </w:tc>
        <w:tc>
          <w:tcPr>
            <w:tcW w:w="464" w:type="pct"/>
            <w:tcBorders>
              <w:top w:val="single" w:color="auto" w:sz="4" w:space="0"/>
            </w:tcBorders>
            <w:vAlign w:val="center"/>
          </w:tcPr>
          <w:p w14:paraId="35A0DC0A">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入渗系数a</w:t>
            </w:r>
          </w:p>
        </w:tc>
        <w:tc>
          <w:tcPr>
            <w:tcW w:w="633" w:type="pct"/>
            <w:tcBorders>
              <w:top w:val="single" w:color="auto" w:sz="4" w:space="0"/>
            </w:tcBorders>
            <w:vAlign w:val="center"/>
          </w:tcPr>
          <w:p w14:paraId="77262CB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纵向弥散系数DL</w:t>
            </w:r>
          </w:p>
        </w:tc>
        <w:tc>
          <w:tcPr>
            <w:tcW w:w="612" w:type="pct"/>
            <w:tcBorders>
              <w:top w:val="single" w:color="auto" w:sz="4" w:space="0"/>
            </w:tcBorders>
            <w:vAlign w:val="center"/>
          </w:tcPr>
          <w:p w14:paraId="0E8F6F4F">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横向弥散系数DT</w:t>
            </w:r>
          </w:p>
        </w:tc>
        <w:tc>
          <w:tcPr>
            <w:tcW w:w="553" w:type="pct"/>
            <w:tcBorders>
              <w:top w:val="single" w:color="auto" w:sz="4" w:space="0"/>
            </w:tcBorders>
            <w:vAlign w:val="center"/>
          </w:tcPr>
          <w:p w14:paraId="2FADEDF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平均水力坡度I</w:t>
            </w:r>
          </w:p>
        </w:tc>
        <w:tc>
          <w:tcPr>
            <w:tcW w:w="480" w:type="pct"/>
            <w:tcBorders>
              <w:top w:val="single" w:color="auto" w:sz="4" w:space="0"/>
            </w:tcBorders>
            <w:vAlign w:val="center"/>
          </w:tcPr>
          <w:p w14:paraId="3E8EBC0D">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孔隙率</w:t>
            </w:r>
          </w:p>
        </w:tc>
      </w:tr>
      <w:tr w14:paraId="049AB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vMerge w:val="continue"/>
            <w:vAlign w:val="center"/>
          </w:tcPr>
          <w:p w14:paraId="643AE2E6">
            <w:pPr>
              <w:adjustRightInd w:val="0"/>
              <w:snapToGrid w:val="0"/>
              <w:jc w:val="center"/>
              <w:rPr>
                <w:rFonts w:ascii="Arial" w:hAnsi="Arial" w:eastAsia="宋体" w:cs="Arial"/>
                <w:sz w:val="21"/>
                <w:szCs w:val="21"/>
                <w:u w:val="single"/>
              </w:rPr>
            </w:pPr>
          </w:p>
        </w:tc>
        <w:tc>
          <w:tcPr>
            <w:tcW w:w="469" w:type="pct"/>
            <w:vMerge w:val="continue"/>
            <w:vAlign w:val="center"/>
          </w:tcPr>
          <w:p w14:paraId="421F6E17">
            <w:pPr>
              <w:adjustRightInd w:val="0"/>
              <w:snapToGrid w:val="0"/>
              <w:jc w:val="center"/>
              <w:rPr>
                <w:rFonts w:ascii="Arial" w:hAnsi="Arial" w:eastAsia="宋体" w:cs="Arial"/>
                <w:sz w:val="21"/>
                <w:szCs w:val="21"/>
                <w:u w:val="single"/>
              </w:rPr>
            </w:pPr>
          </w:p>
        </w:tc>
        <w:tc>
          <w:tcPr>
            <w:tcW w:w="548" w:type="pct"/>
            <w:vAlign w:val="center"/>
          </w:tcPr>
          <w:p w14:paraId="4ACF4EB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m/d</w:t>
            </w:r>
          </w:p>
        </w:tc>
        <w:tc>
          <w:tcPr>
            <w:tcW w:w="548" w:type="pct"/>
            <w:vAlign w:val="center"/>
          </w:tcPr>
          <w:p w14:paraId="0E0B543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m/d</w:t>
            </w:r>
          </w:p>
        </w:tc>
        <w:tc>
          <w:tcPr>
            <w:tcW w:w="464" w:type="pct"/>
            <w:vAlign w:val="center"/>
          </w:tcPr>
          <w:p w14:paraId="63AB83DF">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w:t>
            </w:r>
          </w:p>
        </w:tc>
        <w:tc>
          <w:tcPr>
            <w:tcW w:w="633" w:type="pct"/>
            <w:vAlign w:val="center"/>
          </w:tcPr>
          <w:p w14:paraId="45EEE870">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m</w:t>
            </w:r>
            <w:r>
              <w:rPr>
                <w:rFonts w:ascii="Arial" w:hAnsi="Arial" w:eastAsia="宋体" w:cs="Arial"/>
                <w:sz w:val="21"/>
                <w:szCs w:val="21"/>
                <w:u w:val="single"/>
                <w:vertAlign w:val="superscript"/>
              </w:rPr>
              <w:t>2</w:t>
            </w:r>
            <w:r>
              <w:rPr>
                <w:rFonts w:ascii="Arial" w:hAnsi="Arial" w:eastAsia="宋体" w:cs="Arial"/>
                <w:sz w:val="21"/>
                <w:szCs w:val="21"/>
                <w:u w:val="single"/>
              </w:rPr>
              <w:t>/d</w:t>
            </w:r>
          </w:p>
        </w:tc>
        <w:tc>
          <w:tcPr>
            <w:tcW w:w="612" w:type="pct"/>
            <w:vAlign w:val="center"/>
          </w:tcPr>
          <w:p w14:paraId="7957F623">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m</w:t>
            </w:r>
            <w:r>
              <w:rPr>
                <w:rFonts w:ascii="Arial" w:hAnsi="Arial" w:eastAsia="宋体" w:cs="Arial"/>
                <w:sz w:val="21"/>
                <w:szCs w:val="21"/>
                <w:u w:val="single"/>
                <w:vertAlign w:val="superscript"/>
              </w:rPr>
              <w:t>2</w:t>
            </w:r>
            <w:r>
              <w:rPr>
                <w:rFonts w:ascii="Arial" w:hAnsi="Arial" w:eastAsia="宋体" w:cs="Arial"/>
                <w:sz w:val="21"/>
                <w:szCs w:val="21"/>
                <w:u w:val="single"/>
              </w:rPr>
              <w:t>/d</w:t>
            </w:r>
          </w:p>
        </w:tc>
        <w:tc>
          <w:tcPr>
            <w:tcW w:w="553" w:type="pct"/>
            <w:vAlign w:val="center"/>
          </w:tcPr>
          <w:p w14:paraId="3E8A9AAB">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w:t>
            </w:r>
          </w:p>
        </w:tc>
        <w:tc>
          <w:tcPr>
            <w:tcW w:w="480" w:type="pct"/>
            <w:vAlign w:val="center"/>
          </w:tcPr>
          <w:p w14:paraId="665C78FF">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w:t>
            </w:r>
          </w:p>
        </w:tc>
      </w:tr>
      <w:tr w14:paraId="13BF1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vAlign w:val="center"/>
          </w:tcPr>
          <w:p w14:paraId="3E7FE800">
            <w:pPr>
              <w:pStyle w:val="942"/>
              <w:adjustRightInd w:val="0"/>
              <w:snapToGrid w:val="0"/>
              <w:jc w:val="center"/>
              <w:rPr>
                <w:rFonts w:ascii="Arial" w:hAnsi="Arial" w:cs="Arial"/>
                <w:sz w:val="21"/>
                <w:szCs w:val="21"/>
                <w:u w:val="single"/>
              </w:rPr>
            </w:pPr>
            <w:r>
              <w:rPr>
                <w:rFonts w:ascii="Arial" w:hAnsi="Arial" w:cs="Arial"/>
                <w:sz w:val="21"/>
                <w:szCs w:val="21"/>
                <w:u w:val="single"/>
              </w:rPr>
              <w:t>素填土</w:t>
            </w:r>
          </w:p>
        </w:tc>
        <w:tc>
          <w:tcPr>
            <w:tcW w:w="469" w:type="pct"/>
            <w:vAlign w:val="center"/>
          </w:tcPr>
          <w:p w14:paraId="4BF40AB0">
            <w:pPr>
              <w:pStyle w:val="942"/>
              <w:adjustRightInd w:val="0"/>
              <w:snapToGrid w:val="0"/>
              <w:jc w:val="center"/>
              <w:rPr>
                <w:rFonts w:ascii="Arial" w:hAnsi="Arial" w:cs="Arial"/>
                <w:sz w:val="21"/>
                <w:szCs w:val="21"/>
                <w:u w:val="single"/>
              </w:rPr>
            </w:pPr>
            <w:r>
              <w:rPr>
                <w:rFonts w:ascii="Arial" w:hAnsi="Arial" w:cs="Arial"/>
                <w:sz w:val="21"/>
                <w:szCs w:val="21"/>
                <w:u w:val="single"/>
              </w:rPr>
              <w:t>Q</w:t>
            </w:r>
          </w:p>
        </w:tc>
        <w:tc>
          <w:tcPr>
            <w:tcW w:w="548" w:type="pct"/>
            <w:vAlign w:val="center"/>
          </w:tcPr>
          <w:p w14:paraId="6C4ACEBD">
            <w:pPr>
              <w:pStyle w:val="942"/>
              <w:adjustRightInd w:val="0"/>
              <w:snapToGrid w:val="0"/>
              <w:jc w:val="center"/>
              <w:rPr>
                <w:rFonts w:ascii="Arial" w:hAnsi="Arial" w:cs="Arial"/>
                <w:sz w:val="21"/>
                <w:szCs w:val="21"/>
                <w:u w:val="single"/>
              </w:rPr>
            </w:pPr>
            <w:r>
              <w:rPr>
                <w:rFonts w:ascii="Arial" w:hAnsi="Arial" w:cs="Arial"/>
                <w:sz w:val="21"/>
                <w:szCs w:val="21"/>
                <w:u w:val="single"/>
              </w:rPr>
              <w:t>5.48</w:t>
            </w:r>
          </w:p>
        </w:tc>
        <w:tc>
          <w:tcPr>
            <w:tcW w:w="548" w:type="pct"/>
            <w:vAlign w:val="center"/>
          </w:tcPr>
          <w:p w14:paraId="0CEA0979">
            <w:pPr>
              <w:pStyle w:val="942"/>
              <w:adjustRightInd w:val="0"/>
              <w:snapToGrid w:val="0"/>
              <w:jc w:val="center"/>
              <w:rPr>
                <w:rFonts w:ascii="Arial" w:hAnsi="Arial" w:cs="Arial"/>
                <w:sz w:val="21"/>
                <w:szCs w:val="21"/>
                <w:u w:val="single"/>
              </w:rPr>
            </w:pPr>
            <w:r>
              <w:rPr>
                <w:rFonts w:ascii="Arial" w:hAnsi="Arial" w:cs="Arial"/>
                <w:sz w:val="21"/>
                <w:szCs w:val="21"/>
                <w:u w:val="single"/>
              </w:rPr>
              <w:t>0.07</w:t>
            </w:r>
          </w:p>
        </w:tc>
        <w:tc>
          <w:tcPr>
            <w:tcW w:w="464" w:type="pct"/>
            <w:vAlign w:val="center"/>
          </w:tcPr>
          <w:p w14:paraId="097A0E26">
            <w:pPr>
              <w:pStyle w:val="942"/>
              <w:adjustRightInd w:val="0"/>
              <w:snapToGrid w:val="0"/>
              <w:jc w:val="center"/>
              <w:rPr>
                <w:rFonts w:ascii="Arial" w:hAnsi="Arial" w:cs="Arial"/>
                <w:sz w:val="21"/>
                <w:szCs w:val="21"/>
                <w:u w:val="single"/>
              </w:rPr>
            </w:pPr>
            <w:r>
              <w:rPr>
                <w:rFonts w:ascii="Arial" w:hAnsi="Arial" w:cs="Arial"/>
                <w:sz w:val="21"/>
                <w:szCs w:val="21"/>
                <w:u w:val="single"/>
              </w:rPr>
              <w:t>0.20</w:t>
            </w:r>
          </w:p>
        </w:tc>
        <w:tc>
          <w:tcPr>
            <w:tcW w:w="633" w:type="pct"/>
            <w:vAlign w:val="center"/>
          </w:tcPr>
          <w:p w14:paraId="2A7D7B35">
            <w:pPr>
              <w:pStyle w:val="942"/>
              <w:adjustRightInd w:val="0"/>
              <w:snapToGrid w:val="0"/>
              <w:jc w:val="center"/>
              <w:rPr>
                <w:rFonts w:ascii="Arial" w:hAnsi="Arial" w:cs="Arial"/>
                <w:sz w:val="21"/>
                <w:szCs w:val="21"/>
                <w:u w:val="single"/>
              </w:rPr>
            </w:pPr>
            <w:r>
              <w:rPr>
                <w:rFonts w:ascii="Arial" w:hAnsi="Arial" w:cs="Arial"/>
                <w:sz w:val="21"/>
                <w:szCs w:val="21"/>
                <w:u w:val="single"/>
              </w:rPr>
              <w:t>1.0</w:t>
            </w:r>
          </w:p>
        </w:tc>
        <w:tc>
          <w:tcPr>
            <w:tcW w:w="612" w:type="pct"/>
            <w:vAlign w:val="center"/>
          </w:tcPr>
          <w:p w14:paraId="2AEC6AF6">
            <w:pPr>
              <w:pStyle w:val="942"/>
              <w:adjustRightInd w:val="0"/>
              <w:snapToGrid w:val="0"/>
              <w:jc w:val="center"/>
              <w:rPr>
                <w:rFonts w:ascii="Arial" w:hAnsi="Arial" w:cs="Arial"/>
                <w:sz w:val="21"/>
                <w:szCs w:val="21"/>
                <w:u w:val="single"/>
              </w:rPr>
            </w:pPr>
            <w:r>
              <w:rPr>
                <w:rFonts w:ascii="Arial" w:hAnsi="Arial" w:cs="Arial"/>
                <w:sz w:val="21"/>
                <w:szCs w:val="21"/>
                <w:u w:val="single"/>
              </w:rPr>
              <w:t>0.1</w:t>
            </w:r>
          </w:p>
        </w:tc>
        <w:tc>
          <w:tcPr>
            <w:tcW w:w="553" w:type="pct"/>
            <w:vAlign w:val="center"/>
          </w:tcPr>
          <w:p w14:paraId="4AD01684">
            <w:pPr>
              <w:pStyle w:val="942"/>
              <w:adjustRightInd w:val="0"/>
              <w:snapToGrid w:val="0"/>
              <w:jc w:val="center"/>
              <w:rPr>
                <w:rFonts w:ascii="Arial" w:hAnsi="Arial" w:cs="Arial"/>
                <w:sz w:val="21"/>
                <w:szCs w:val="21"/>
                <w:u w:val="single"/>
              </w:rPr>
            </w:pPr>
            <w:r>
              <w:rPr>
                <w:rFonts w:ascii="Arial" w:hAnsi="Arial" w:cs="Arial"/>
                <w:sz w:val="21"/>
                <w:szCs w:val="21"/>
                <w:u w:val="single"/>
              </w:rPr>
              <w:t>0.4</w:t>
            </w:r>
          </w:p>
        </w:tc>
        <w:tc>
          <w:tcPr>
            <w:tcW w:w="480" w:type="pct"/>
            <w:vAlign w:val="center"/>
          </w:tcPr>
          <w:p w14:paraId="2BFC93CE">
            <w:pPr>
              <w:pStyle w:val="942"/>
              <w:adjustRightInd w:val="0"/>
              <w:snapToGrid w:val="0"/>
              <w:jc w:val="center"/>
              <w:rPr>
                <w:rFonts w:ascii="Arial" w:hAnsi="Arial" w:cs="Arial"/>
                <w:sz w:val="21"/>
                <w:szCs w:val="21"/>
                <w:u w:val="single"/>
              </w:rPr>
            </w:pPr>
            <w:r>
              <w:rPr>
                <w:rFonts w:ascii="Arial" w:hAnsi="Arial" w:cs="Arial"/>
                <w:sz w:val="21"/>
                <w:szCs w:val="21"/>
                <w:u w:val="single"/>
              </w:rPr>
              <w:t>30</w:t>
            </w:r>
          </w:p>
        </w:tc>
      </w:tr>
      <w:tr w14:paraId="48D92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vAlign w:val="center"/>
          </w:tcPr>
          <w:p w14:paraId="2499B3C2">
            <w:pPr>
              <w:pStyle w:val="942"/>
              <w:adjustRightInd w:val="0"/>
              <w:snapToGrid w:val="0"/>
              <w:jc w:val="center"/>
              <w:rPr>
                <w:rFonts w:ascii="Arial" w:hAnsi="Arial" w:cs="Arial"/>
                <w:sz w:val="21"/>
                <w:szCs w:val="21"/>
                <w:u w:val="single"/>
              </w:rPr>
            </w:pPr>
            <w:r>
              <w:rPr>
                <w:rFonts w:ascii="Arial" w:hAnsi="Arial" w:cs="Arial"/>
                <w:sz w:val="21"/>
                <w:szCs w:val="21"/>
                <w:u w:val="single"/>
              </w:rPr>
              <w:t>淤泥质砂</w:t>
            </w:r>
          </w:p>
        </w:tc>
        <w:tc>
          <w:tcPr>
            <w:tcW w:w="469" w:type="pct"/>
            <w:vAlign w:val="center"/>
          </w:tcPr>
          <w:p w14:paraId="3791D220">
            <w:pPr>
              <w:pStyle w:val="942"/>
              <w:adjustRightInd w:val="0"/>
              <w:snapToGrid w:val="0"/>
              <w:jc w:val="center"/>
              <w:rPr>
                <w:rFonts w:ascii="Arial" w:hAnsi="Arial" w:cs="Arial"/>
                <w:sz w:val="21"/>
                <w:szCs w:val="21"/>
                <w:u w:val="single"/>
              </w:rPr>
            </w:pPr>
            <w:r>
              <w:rPr>
                <w:rFonts w:ascii="Arial" w:hAnsi="Arial" w:cs="Arial"/>
                <w:sz w:val="21"/>
                <w:szCs w:val="21"/>
                <w:u w:val="single"/>
              </w:rPr>
              <w:t>Q</w:t>
            </w:r>
          </w:p>
        </w:tc>
        <w:tc>
          <w:tcPr>
            <w:tcW w:w="548" w:type="pct"/>
            <w:vAlign w:val="center"/>
          </w:tcPr>
          <w:p w14:paraId="7036D563">
            <w:pPr>
              <w:pStyle w:val="942"/>
              <w:adjustRightInd w:val="0"/>
              <w:snapToGrid w:val="0"/>
              <w:jc w:val="center"/>
              <w:rPr>
                <w:rFonts w:ascii="Arial" w:hAnsi="Arial" w:cs="Arial"/>
                <w:sz w:val="21"/>
                <w:szCs w:val="21"/>
                <w:u w:val="single"/>
              </w:rPr>
            </w:pPr>
            <w:r>
              <w:rPr>
                <w:rFonts w:ascii="Arial" w:hAnsi="Arial" w:cs="Arial"/>
                <w:sz w:val="21"/>
                <w:szCs w:val="21"/>
                <w:u w:val="single"/>
              </w:rPr>
              <w:t>1.79</w:t>
            </w:r>
          </w:p>
        </w:tc>
        <w:tc>
          <w:tcPr>
            <w:tcW w:w="548" w:type="pct"/>
            <w:vAlign w:val="center"/>
          </w:tcPr>
          <w:p w14:paraId="02A526E9">
            <w:pPr>
              <w:pStyle w:val="942"/>
              <w:adjustRightInd w:val="0"/>
              <w:snapToGrid w:val="0"/>
              <w:jc w:val="center"/>
              <w:rPr>
                <w:rFonts w:ascii="Arial" w:hAnsi="Arial" w:cs="Arial"/>
                <w:sz w:val="21"/>
                <w:szCs w:val="21"/>
                <w:u w:val="single"/>
              </w:rPr>
            </w:pPr>
            <w:r>
              <w:rPr>
                <w:rFonts w:ascii="Arial" w:hAnsi="Arial" w:cs="Arial"/>
                <w:sz w:val="21"/>
                <w:szCs w:val="21"/>
                <w:u w:val="single"/>
              </w:rPr>
              <w:t>0.029</w:t>
            </w:r>
          </w:p>
        </w:tc>
        <w:tc>
          <w:tcPr>
            <w:tcW w:w="464" w:type="pct"/>
            <w:vAlign w:val="center"/>
          </w:tcPr>
          <w:p w14:paraId="14D27A82">
            <w:pPr>
              <w:pStyle w:val="942"/>
              <w:adjustRightInd w:val="0"/>
              <w:snapToGrid w:val="0"/>
              <w:jc w:val="center"/>
              <w:rPr>
                <w:rFonts w:ascii="Arial" w:hAnsi="Arial" w:cs="Arial"/>
                <w:sz w:val="21"/>
                <w:szCs w:val="21"/>
                <w:u w:val="single"/>
              </w:rPr>
            </w:pPr>
            <w:r>
              <w:rPr>
                <w:rFonts w:ascii="Arial" w:hAnsi="Arial" w:cs="Arial"/>
                <w:sz w:val="21"/>
                <w:szCs w:val="21"/>
                <w:u w:val="single"/>
              </w:rPr>
              <w:t>0.18</w:t>
            </w:r>
          </w:p>
        </w:tc>
        <w:tc>
          <w:tcPr>
            <w:tcW w:w="633" w:type="pct"/>
            <w:vAlign w:val="center"/>
          </w:tcPr>
          <w:p w14:paraId="69B29A1A">
            <w:pPr>
              <w:pStyle w:val="942"/>
              <w:adjustRightInd w:val="0"/>
              <w:snapToGrid w:val="0"/>
              <w:jc w:val="center"/>
              <w:rPr>
                <w:rFonts w:ascii="Arial" w:hAnsi="Arial" w:cs="Arial"/>
                <w:sz w:val="21"/>
                <w:szCs w:val="21"/>
                <w:u w:val="single"/>
              </w:rPr>
            </w:pPr>
            <w:r>
              <w:rPr>
                <w:rFonts w:ascii="Arial" w:hAnsi="Arial" w:cs="Arial"/>
                <w:sz w:val="21"/>
                <w:szCs w:val="21"/>
                <w:u w:val="single"/>
              </w:rPr>
              <w:t>2.0</w:t>
            </w:r>
          </w:p>
        </w:tc>
        <w:tc>
          <w:tcPr>
            <w:tcW w:w="612" w:type="pct"/>
            <w:vAlign w:val="center"/>
          </w:tcPr>
          <w:p w14:paraId="03CED63A">
            <w:pPr>
              <w:pStyle w:val="942"/>
              <w:adjustRightInd w:val="0"/>
              <w:snapToGrid w:val="0"/>
              <w:jc w:val="center"/>
              <w:rPr>
                <w:rFonts w:ascii="Arial" w:hAnsi="Arial" w:cs="Arial"/>
                <w:sz w:val="21"/>
                <w:szCs w:val="21"/>
                <w:u w:val="single"/>
              </w:rPr>
            </w:pPr>
            <w:r>
              <w:rPr>
                <w:rFonts w:ascii="Arial" w:hAnsi="Arial" w:cs="Arial"/>
                <w:sz w:val="21"/>
                <w:szCs w:val="21"/>
                <w:u w:val="single"/>
              </w:rPr>
              <w:t>0.2</w:t>
            </w:r>
          </w:p>
        </w:tc>
        <w:tc>
          <w:tcPr>
            <w:tcW w:w="553" w:type="pct"/>
            <w:vAlign w:val="center"/>
          </w:tcPr>
          <w:p w14:paraId="30FD2F6F">
            <w:pPr>
              <w:pStyle w:val="942"/>
              <w:adjustRightInd w:val="0"/>
              <w:snapToGrid w:val="0"/>
              <w:jc w:val="center"/>
              <w:rPr>
                <w:rFonts w:ascii="Arial" w:hAnsi="Arial" w:cs="Arial"/>
                <w:sz w:val="21"/>
                <w:szCs w:val="21"/>
                <w:u w:val="single"/>
              </w:rPr>
            </w:pPr>
            <w:r>
              <w:rPr>
                <w:rFonts w:ascii="Arial" w:hAnsi="Arial" w:cs="Arial"/>
                <w:sz w:val="21"/>
                <w:szCs w:val="21"/>
                <w:u w:val="single"/>
              </w:rPr>
              <w:t>0.4</w:t>
            </w:r>
          </w:p>
        </w:tc>
        <w:tc>
          <w:tcPr>
            <w:tcW w:w="480" w:type="pct"/>
            <w:vAlign w:val="center"/>
          </w:tcPr>
          <w:p w14:paraId="7C119049">
            <w:pPr>
              <w:pStyle w:val="942"/>
              <w:adjustRightInd w:val="0"/>
              <w:snapToGrid w:val="0"/>
              <w:jc w:val="center"/>
              <w:rPr>
                <w:rFonts w:ascii="Arial" w:hAnsi="Arial" w:cs="Arial"/>
                <w:sz w:val="21"/>
                <w:szCs w:val="21"/>
                <w:u w:val="single"/>
              </w:rPr>
            </w:pPr>
            <w:r>
              <w:rPr>
                <w:rFonts w:ascii="Arial" w:hAnsi="Arial" w:cs="Arial"/>
                <w:sz w:val="21"/>
                <w:szCs w:val="21"/>
                <w:u w:val="single"/>
              </w:rPr>
              <w:t>30</w:t>
            </w:r>
          </w:p>
        </w:tc>
      </w:tr>
      <w:tr w14:paraId="6D03B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vAlign w:val="center"/>
          </w:tcPr>
          <w:p w14:paraId="4EC62B49">
            <w:pPr>
              <w:pStyle w:val="942"/>
              <w:adjustRightInd w:val="0"/>
              <w:snapToGrid w:val="0"/>
              <w:jc w:val="center"/>
              <w:rPr>
                <w:rFonts w:ascii="Arial" w:hAnsi="Arial" w:cs="Arial"/>
                <w:sz w:val="21"/>
                <w:szCs w:val="21"/>
                <w:u w:val="single"/>
              </w:rPr>
            </w:pPr>
            <w:r>
              <w:rPr>
                <w:rFonts w:ascii="Arial" w:hAnsi="Arial" w:cs="Arial"/>
                <w:sz w:val="21"/>
                <w:szCs w:val="21"/>
                <w:u w:val="single"/>
              </w:rPr>
              <w:t>泥质粉砂岩</w:t>
            </w:r>
          </w:p>
        </w:tc>
        <w:tc>
          <w:tcPr>
            <w:tcW w:w="469" w:type="pct"/>
            <w:vAlign w:val="center"/>
          </w:tcPr>
          <w:p w14:paraId="23776A56">
            <w:pPr>
              <w:pStyle w:val="942"/>
              <w:adjustRightInd w:val="0"/>
              <w:snapToGrid w:val="0"/>
              <w:jc w:val="center"/>
              <w:rPr>
                <w:rFonts w:ascii="Arial" w:hAnsi="Arial" w:cs="Arial"/>
                <w:sz w:val="21"/>
                <w:szCs w:val="21"/>
                <w:u w:val="single"/>
                <w:lang w:eastAsia="zh-CN"/>
              </w:rPr>
            </w:pPr>
            <w:r>
              <w:rPr>
                <w:rFonts w:ascii="Arial" w:hAnsi="Arial" w:cs="Arial"/>
                <w:sz w:val="21"/>
                <w:szCs w:val="21"/>
                <w:u w:val="single"/>
              </w:rPr>
              <w:t>S</w:t>
            </w:r>
            <w:r>
              <w:rPr>
                <w:rFonts w:ascii="Arial" w:hAnsi="Arial" w:cs="Arial"/>
                <w:position w:val="-2"/>
                <w:sz w:val="21"/>
                <w:szCs w:val="21"/>
                <w:u w:val="single"/>
                <w:vertAlign w:val="subscript"/>
              </w:rPr>
              <w:t>1</w:t>
            </w:r>
            <w:r>
              <w:rPr>
                <w:rFonts w:ascii="Arial" w:hAnsi="Arial" w:cs="Arial"/>
                <w:sz w:val="21"/>
                <w:szCs w:val="21"/>
                <w:u w:val="single"/>
              </w:rPr>
              <w:t>ln</w:t>
            </w:r>
            <w:r>
              <w:rPr>
                <w:rFonts w:ascii="Arial" w:hAnsi="Arial" w:cs="Arial"/>
                <w:sz w:val="21"/>
                <w:szCs w:val="21"/>
                <w:u w:val="single"/>
                <w:vertAlign w:val="superscript"/>
              </w:rPr>
              <w:t>C</w:t>
            </w:r>
          </w:p>
        </w:tc>
        <w:tc>
          <w:tcPr>
            <w:tcW w:w="548" w:type="pct"/>
            <w:vAlign w:val="center"/>
          </w:tcPr>
          <w:p w14:paraId="37371E6A">
            <w:pPr>
              <w:pStyle w:val="942"/>
              <w:adjustRightInd w:val="0"/>
              <w:snapToGrid w:val="0"/>
              <w:jc w:val="center"/>
              <w:rPr>
                <w:rFonts w:ascii="Arial" w:hAnsi="Arial" w:cs="Arial"/>
                <w:sz w:val="21"/>
                <w:szCs w:val="21"/>
                <w:u w:val="single"/>
              </w:rPr>
            </w:pPr>
            <w:r>
              <w:rPr>
                <w:rFonts w:ascii="Arial" w:hAnsi="Arial" w:cs="Arial"/>
                <w:sz w:val="21"/>
                <w:szCs w:val="21"/>
                <w:u w:val="single"/>
              </w:rPr>
              <w:t>0.13</w:t>
            </w:r>
          </w:p>
        </w:tc>
        <w:tc>
          <w:tcPr>
            <w:tcW w:w="548" w:type="pct"/>
            <w:vAlign w:val="center"/>
          </w:tcPr>
          <w:p w14:paraId="589692B0">
            <w:pPr>
              <w:pStyle w:val="942"/>
              <w:adjustRightInd w:val="0"/>
              <w:snapToGrid w:val="0"/>
              <w:jc w:val="center"/>
              <w:rPr>
                <w:rFonts w:ascii="Arial" w:hAnsi="Arial" w:cs="Arial"/>
                <w:sz w:val="21"/>
                <w:szCs w:val="21"/>
                <w:u w:val="single"/>
              </w:rPr>
            </w:pPr>
            <w:r>
              <w:rPr>
                <w:rFonts w:ascii="Arial" w:hAnsi="Arial" w:cs="Arial"/>
                <w:sz w:val="21"/>
                <w:szCs w:val="21"/>
                <w:u w:val="single"/>
              </w:rPr>
              <w:t>0.01</w:t>
            </w:r>
          </w:p>
        </w:tc>
        <w:tc>
          <w:tcPr>
            <w:tcW w:w="464" w:type="pct"/>
            <w:vAlign w:val="center"/>
          </w:tcPr>
          <w:p w14:paraId="23863D09">
            <w:pPr>
              <w:pStyle w:val="942"/>
              <w:adjustRightInd w:val="0"/>
              <w:snapToGrid w:val="0"/>
              <w:jc w:val="center"/>
              <w:rPr>
                <w:rFonts w:ascii="Arial" w:hAnsi="Arial" w:cs="Arial"/>
                <w:sz w:val="21"/>
                <w:szCs w:val="21"/>
                <w:u w:val="single"/>
              </w:rPr>
            </w:pPr>
            <w:r>
              <w:rPr>
                <w:rFonts w:ascii="Arial" w:hAnsi="Arial" w:cs="Arial"/>
                <w:sz w:val="21"/>
                <w:szCs w:val="21"/>
                <w:u w:val="single"/>
              </w:rPr>
              <w:t>0.30</w:t>
            </w:r>
          </w:p>
        </w:tc>
        <w:tc>
          <w:tcPr>
            <w:tcW w:w="633" w:type="pct"/>
            <w:vAlign w:val="center"/>
          </w:tcPr>
          <w:p w14:paraId="6FE0469A">
            <w:pPr>
              <w:pStyle w:val="942"/>
              <w:adjustRightInd w:val="0"/>
              <w:snapToGrid w:val="0"/>
              <w:jc w:val="center"/>
              <w:rPr>
                <w:rFonts w:ascii="Arial" w:hAnsi="Arial" w:cs="Arial"/>
                <w:sz w:val="21"/>
                <w:szCs w:val="21"/>
                <w:u w:val="single"/>
              </w:rPr>
            </w:pPr>
            <w:r>
              <w:rPr>
                <w:rFonts w:ascii="Arial" w:hAnsi="Arial" w:cs="Arial"/>
                <w:sz w:val="21"/>
                <w:szCs w:val="21"/>
                <w:u w:val="single"/>
              </w:rPr>
              <w:t>2.0</w:t>
            </w:r>
          </w:p>
        </w:tc>
        <w:tc>
          <w:tcPr>
            <w:tcW w:w="612" w:type="pct"/>
            <w:vAlign w:val="center"/>
          </w:tcPr>
          <w:p w14:paraId="0A0174F7">
            <w:pPr>
              <w:pStyle w:val="942"/>
              <w:adjustRightInd w:val="0"/>
              <w:snapToGrid w:val="0"/>
              <w:jc w:val="center"/>
              <w:rPr>
                <w:rFonts w:ascii="Arial" w:hAnsi="Arial" w:cs="Arial"/>
                <w:sz w:val="21"/>
                <w:szCs w:val="21"/>
                <w:u w:val="single"/>
              </w:rPr>
            </w:pPr>
            <w:r>
              <w:rPr>
                <w:rFonts w:ascii="Arial" w:hAnsi="Arial" w:cs="Arial"/>
                <w:sz w:val="21"/>
                <w:szCs w:val="21"/>
                <w:u w:val="single"/>
              </w:rPr>
              <w:t>0.2</w:t>
            </w:r>
          </w:p>
        </w:tc>
        <w:tc>
          <w:tcPr>
            <w:tcW w:w="553" w:type="pct"/>
            <w:vAlign w:val="center"/>
          </w:tcPr>
          <w:p w14:paraId="74F0D44F">
            <w:pPr>
              <w:pStyle w:val="942"/>
              <w:adjustRightInd w:val="0"/>
              <w:snapToGrid w:val="0"/>
              <w:jc w:val="center"/>
              <w:rPr>
                <w:rFonts w:ascii="Arial" w:hAnsi="Arial" w:cs="Arial"/>
                <w:sz w:val="21"/>
                <w:szCs w:val="21"/>
                <w:u w:val="single"/>
              </w:rPr>
            </w:pPr>
            <w:r>
              <w:rPr>
                <w:rFonts w:ascii="Arial" w:hAnsi="Arial" w:cs="Arial"/>
                <w:sz w:val="21"/>
                <w:szCs w:val="21"/>
                <w:u w:val="single"/>
              </w:rPr>
              <w:t>0.8</w:t>
            </w:r>
          </w:p>
        </w:tc>
        <w:tc>
          <w:tcPr>
            <w:tcW w:w="480" w:type="pct"/>
            <w:vAlign w:val="center"/>
          </w:tcPr>
          <w:p w14:paraId="560DDDD3">
            <w:pPr>
              <w:pStyle w:val="942"/>
              <w:adjustRightInd w:val="0"/>
              <w:snapToGrid w:val="0"/>
              <w:jc w:val="center"/>
              <w:rPr>
                <w:rFonts w:ascii="Arial" w:hAnsi="Arial" w:cs="Arial"/>
                <w:sz w:val="21"/>
                <w:szCs w:val="21"/>
                <w:u w:val="single"/>
              </w:rPr>
            </w:pPr>
            <w:r>
              <w:rPr>
                <w:rFonts w:ascii="Arial" w:hAnsi="Arial" w:cs="Arial"/>
                <w:sz w:val="21"/>
                <w:szCs w:val="21"/>
                <w:u w:val="single"/>
              </w:rPr>
              <w:t>/</w:t>
            </w:r>
          </w:p>
        </w:tc>
      </w:tr>
    </w:tbl>
    <w:p w14:paraId="436AD8B9">
      <w:pPr>
        <w:pStyle w:val="5"/>
        <w:spacing w:line="500" w:lineRule="exact"/>
        <w:rPr>
          <w:szCs w:val="24"/>
          <w:u w:val="single"/>
        </w:rPr>
      </w:pPr>
      <w:r>
        <w:rPr>
          <w:szCs w:val="24"/>
          <w:u w:val="single"/>
        </w:rPr>
        <w:t>结合场地内地下水类型，场地内潜水含水层以松散岩类孔隙水为主，因此预测目标含水层为赋存于淤泥质砂中的松散岩类孔隙水。预测参数取上表中淤泥质砂水文地质参数。</w:t>
      </w:r>
    </w:p>
    <w:p w14:paraId="750905F3">
      <w:pPr>
        <w:pStyle w:val="5"/>
        <w:numPr>
          <w:ilvl w:val="3"/>
          <w:numId w:val="25"/>
        </w:numPr>
        <w:spacing w:line="500" w:lineRule="exact"/>
        <w:ind w:left="0" w:firstLine="0"/>
        <w:outlineLvl w:val="3"/>
        <w:rPr>
          <w:b/>
          <w:szCs w:val="24"/>
        </w:rPr>
      </w:pPr>
      <w:r>
        <w:rPr>
          <w:b/>
          <w:szCs w:val="24"/>
        </w:rPr>
        <w:t>情景设定</w:t>
      </w:r>
    </w:p>
    <w:p w14:paraId="763625D3">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1、预测时间</w:t>
      </w:r>
    </w:p>
    <w:p w14:paraId="1655F4E2">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污水对地下水的影响是无意间排放的，加之地下水隔水性能的差异性、含水层、地层分布的各向异性等原因，对地下水的预测只能建立在人为的假设基础之上，预测不同情况下的污染变化。根据导则，预测时间按拟建项目运行期间的相关时间段进行，</w:t>
      </w:r>
      <w:r>
        <w:rPr>
          <w:rFonts w:ascii="Arial" w:hAnsi="Arial" w:eastAsia="宋体" w:cs="Arial"/>
          <w:spacing w:val="10"/>
          <w:sz w:val="24"/>
          <w:szCs w:val="32"/>
          <w:u w:val="single"/>
        </w:rPr>
        <w:t>选取预测时段分别为100d、365d、1</w:t>
      </w:r>
      <w:r>
        <w:rPr>
          <w:rFonts w:hint="eastAsia" w:ascii="Arial" w:hAnsi="Arial" w:eastAsia="宋体" w:cs="Arial"/>
          <w:spacing w:val="10"/>
          <w:sz w:val="24"/>
          <w:szCs w:val="32"/>
          <w:u w:val="single"/>
        </w:rPr>
        <w:t>000</w:t>
      </w:r>
      <w:r>
        <w:rPr>
          <w:rFonts w:ascii="Arial" w:hAnsi="Arial" w:eastAsia="宋体" w:cs="Arial"/>
          <w:spacing w:val="10"/>
          <w:sz w:val="24"/>
          <w:szCs w:val="32"/>
          <w:u w:val="single"/>
        </w:rPr>
        <w:t>d。</w:t>
      </w:r>
    </w:p>
    <w:p w14:paraId="7AA044DC">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2、预测源强</w:t>
      </w:r>
    </w:p>
    <w:p w14:paraId="717EA60D">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本次模拟预测，根据污染风险分析的情景设计，在选定优先控制污染物的基础上，分别对地下水污染物在不同时段的运移距离、超标范围进行模拟预测，污染情景的源强数据通过工程分析类比调查予以确定。项目实施运行过程可能影响到地下水的为物料管道运输泄露、污水处理设施泄露和罐区泄露</w:t>
      </w:r>
      <w:r>
        <w:rPr>
          <w:rFonts w:hint="eastAsia" w:ascii="Arial" w:hAnsi="Arial" w:eastAsia="宋体" w:cs="Arial"/>
          <w:spacing w:val="10"/>
          <w:sz w:val="24"/>
          <w:szCs w:val="32"/>
        </w:rPr>
        <w:t>，</w:t>
      </w:r>
      <w:r>
        <w:rPr>
          <w:rFonts w:ascii="Arial" w:hAnsi="Arial" w:eastAsia="宋体" w:cs="Arial"/>
          <w:spacing w:val="10"/>
          <w:sz w:val="24"/>
          <w:szCs w:val="32"/>
        </w:rPr>
        <w:t>本次评价考虑</w:t>
      </w:r>
      <w:r>
        <w:rPr>
          <w:rFonts w:hint="eastAsia" w:ascii="Arial" w:hAnsi="Arial" w:eastAsia="宋体" w:cs="Arial"/>
          <w:spacing w:val="10"/>
          <w:sz w:val="24"/>
          <w:szCs w:val="32"/>
        </w:rPr>
        <w:t>洗水</w:t>
      </w:r>
      <w:r>
        <w:rPr>
          <w:rFonts w:ascii="Arial" w:hAnsi="Arial" w:eastAsia="宋体" w:cs="Arial"/>
          <w:spacing w:val="10"/>
          <w:sz w:val="24"/>
          <w:szCs w:val="32"/>
        </w:rPr>
        <w:t>外排槽发生</w:t>
      </w:r>
      <w:r>
        <w:rPr>
          <w:rFonts w:hint="eastAsia" w:ascii="Arial" w:hAnsi="Arial" w:eastAsia="宋体" w:cs="Arial"/>
          <w:spacing w:val="10"/>
          <w:sz w:val="24"/>
          <w:szCs w:val="32"/>
          <w:lang w:eastAsia="zh-CN"/>
        </w:rPr>
        <w:t>泄漏</w:t>
      </w:r>
      <w:r>
        <w:rPr>
          <w:rFonts w:ascii="Arial" w:hAnsi="Arial" w:eastAsia="宋体" w:cs="Arial"/>
          <w:spacing w:val="10"/>
          <w:sz w:val="24"/>
          <w:szCs w:val="32"/>
        </w:rPr>
        <w:t>对地下水水质影响进行预测</w:t>
      </w:r>
      <w:r>
        <w:rPr>
          <w:rFonts w:hint="eastAsia" w:ascii="Arial" w:hAnsi="Arial" w:eastAsia="宋体" w:cs="Arial"/>
          <w:spacing w:val="10"/>
          <w:sz w:val="24"/>
          <w:szCs w:val="32"/>
        </w:rPr>
        <w:t>。</w:t>
      </w:r>
      <w:r>
        <w:rPr>
          <w:rFonts w:ascii="Arial" w:hAnsi="Arial" w:eastAsia="宋体" w:cs="Arial"/>
          <w:spacing w:val="10"/>
          <w:sz w:val="24"/>
          <w:szCs w:val="32"/>
        </w:rPr>
        <w:t>当</w:t>
      </w:r>
      <w:r>
        <w:rPr>
          <w:rFonts w:hint="eastAsia" w:ascii="Arial" w:hAnsi="Arial" w:eastAsia="宋体" w:cs="Arial"/>
          <w:spacing w:val="10"/>
          <w:sz w:val="24"/>
          <w:szCs w:val="32"/>
        </w:rPr>
        <w:t>洗水</w:t>
      </w:r>
      <w:r>
        <w:rPr>
          <w:rFonts w:ascii="Arial" w:hAnsi="Arial" w:eastAsia="宋体" w:cs="Arial"/>
          <w:spacing w:val="10"/>
          <w:sz w:val="24"/>
          <w:szCs w:val="32"/>
        </w:rPr>
        <w:t>外排槽发生泄漏在围堰内贮存，从泄漏到处理、抽运完毕按</w:t>
      </w:r>
      <w:r>
        <w:rPr>
          <w:rFonts w:hint="eastAsia" w:ascii="Arial" w:hAnsi="Arial" w:eastAsia="宋体" w:cs="Arial"/>
          <w:spacing w:val="10"/>
          <w:sz w:val="24"/>
          <w:szCs w:val="32"/>
        </w:rPr>
        <w:t>1天考虑</w:t>
      </w:r>
      <w:r>
        <w:rPr>
          <w:rFonts w:ascii="Arial" w:hAnsi="Arial" w:eastAsia="宋体" w:cs="Arial"/>
          <w:spacing w:val="10"/>
          <w:sz w:val="24"/>
          <w:szCs w:val="32"/>
        </w:rPr>
        <w:t>。</w:t>
      </w:r>
    </w:p>
    <w:p w14:paraId="22B543ED">
      <w:pPr>
        <w:autoSpaceDE w:val="0"/>
        <w:autoSpaceDN w:val="0"/>
        <w:adjustRightInd w:val="0"/>
        <w:spacing w:line="500" w:lineRule="exact"/>
        <w:ind w:firstLine="490" w:firstLineChars="200"/>
        <w:rPr>
          <w:rFonts w:ascii="Arial" w:hAnsi="Arial" w:eastAsia="宋体" w:cs="Arial"/>
          <w:spacing w:val="10"/>
          <w:sz w:val="24"/>
          <w:szCs w:val="32"/>
          <w:u w:val="single"/>
        </w:rPr>
      </w:pPr>
      <w:r>
        <w:rPr>
          <w:rFonts w:ascii="Arial" w:hAnsi="Arial" w:eastAsia="宋体" w:cs="Arial"/>
          <w:spacing w:val="10"/>
          <w:sz w:val="24"/>
          <w:szCs w:val="32"/>
        </w:rPr>
        <w:t>根据《给水排水构筑物工程施工及验收规范》（GB50141-2008），水池渗水量计算应按池壁（不含内壁墙）和池底的浸湿面积计算；钢筋混凝土结构水池渗水量不得超过2L/（m</w:t>
      </w:r>
      <w:r>
        <w:rPr>
          <w:rFonts w:ascii="Arial" w:hAnsi="Arial" w:eastAsia="宋体" w:cs="Arial"/>
          <w:spacing w:val="10"/>
          <w:sz w:val="24"/>
          <w:szCs w:val="32"/>
          <w:vertAlign w:val="superscript"/>
        </w:rPr>
        <w:t>2</w:t>
      </w:r>
      <w:r>
        <w:rPr>
          <w:rFonts w:ascii="Arial" w:hAnsi="Arial" w:eastAsia="宋体" w:cs="Arial"/>
          <w:spacing w:val="10"/>
          <w:sz w:val="24"/>
          <w:szCs w:val="32"/>
        </w:rPr>
        <w:t>·d），砌体结构水池渗水量不得超过3L/（m</w:t>
      </w:r>
      <w:r>
        <w:rPr>
          <w:rFonts w:ascii="Arial" w:hAnsi="Arial" w:eastAsia="宋体" w:cs="Arial"/>
          <w:spacing w:val="10"/>
          <w:sz w:val="24"/>
          <w:szCs w:val="32"/>
          <w:vertAlign w:val="superscript"/>
        </w:rPr>
        <w:t>2</w:t>
      </w:r>
      <w:r>
        <w:rPr>
          <w:rFonts w:ascii="Arial" w:hAnsi="Arial" w:eastAsia="宋体" w:cs="Arial"/>
          <w:spacing w:val="10"/>
          <w:sz w:val="24"/>
          <w:szCs w:val="32"/>
        </w:rPr>
        <w:t>·d）</w:t>
      </w:r>
      <w:r>
        <w:rPr>
          <w:rFonts w:hint="eastAsia" w:ascii="Arial" w:hAnsi="Arial" w:eastAsia="宋体" w:cs="Arial"/>
          <w:spacing w:val="10"/>
          <w:sz w:val="24"/>
          <w:szCs w:val="32"/>
        </w:rPr>
        <w:t>。</w:t>
      </w:r>
      <w:r>
        <w:rPr>
          <w:rFonts w:ascii="Arial" w:hAnsi="Arial" w:eastAsia="宋体" w:cs="Arial"/>
          <w:spacing w:val="10"/>
          <w:sz w:val="24"/>
          <w:szCs w:val="32"/>
          <w:u w:val="single"/>
        </w:rPr>
        <w:t>本次评价选取X</w:t>
      </w:r>
      <w:r>
        <w:rPr>
          <w:rFonts w:hint="eastAsia" w:ascii="Arial" w:hAnsi="Arial" w:eastAsia="宋体" w:cs="Arial"/>
          <w:spacing w:val="10"/>
          <w:sz w:val="24"/>
          <w:szCs w:val="32"/>
          <w:u w:val="single"/>
        </w:rPr>
        <w:t>19</w:t>
      </w:r>
      <w:r>
        <w:rPr>
          <w:rFonts w:ascii="Arial" w:hAnsi="Arial" w:eastAsia="宋体" w:cs="Arial"/>
          <w:spacing w:val="10"/>
          <w:sz w:val="24"/>
          <w:szCs w:val="32"/>
          <w:u w:val="single"/>
        </w:rPr>
        <w:t>车间东面罐组洗水外排槽渗水进行分析</w:t>
      </w:r>
      <w:r>
        <w:rPr>
          <w:rFonts w:hint="eastAsia" w:ascii="Arial" w:hAnsi="Arial" w:eastAsia="宋体" w:cs="Arial"/>
          <w:spacing w:val="10"/>
          <w:sz w:val="24"/>
          <w:szCs w:val="32"/>
          <w:u w:val="single"/>
        </w:rPr>
        <w:t>，罐区围堰底部</w:t>
      </w:r>
      <w:r>
        <w:rPr>
          <w:rFonts w:ascii="Arial" w:hAnsi="Arial" w:eastAsia="宋体" w:cs="Arial"/>
          <w:spacing w:val="10"/>
          <w:sz w:val="24"/>
          <w:szCs w:val="32"/>
          <w:u w:val="single"/>
        </w:rPr>
        <w:t>为钢筋混凝土结构</w:t>
      </w:r>
      <w:r>
        <w:rPr>
          <w:rFonts w:hint="eastAsia" w:ascii="Arial" w:hAnsi="Arial" w:eastAsia="宋体" w:cs="Arial"/>
          <w:spacing w:val="10"/>
          <w:sz w:val="24"/>
          <w:szCs w:val="32"/>
          <w:u w:val="single"/>
        </w:rPr>
        <w:t>，</w:t>
      </w:r>
      <w:r>
        <w:rPr>
          <w:rFonts w:ascii="Arial" w:hAnsi="Arial" w:eastAsia="宋体" w:cs="Arial"/>
          <w:spacing w:val="10"/>
          <w:sz w:val="24"/>
          <w:szCs w:val="32"/>
          <w:u w:val="single"/>
        </w:rPr>
        <w:t>浸湿面积约</w:t>
      </w:r>
      <w:r>
        <w:rPr>
          <w:rFonts w:hint="eastAsia" w:ascii="Arial" w:hAnsi="Arial" w:eastAsia="宋体" w:cs="Arial"/>
          <w:spacing w:val="10"/>
          <w:sz w:val="24"/>
          <w:szCs w:val="32"/>
          <w:u w:val="single"/>
        </w:rPr>
        <w:t>120</w:t>
      </w:r>
      <w:r>
        <w:rPr>
          <w:rFonts w:ascii="Arial" w:hAnsi="Arial" w:eastAsia="宋体" w:cs="Arial"/>
          <w:spacing w:val="10"/>
          <w:sz w:val="24"/>
          <w:szCs w:val="32"/>
          <w:u w:val="single"/>
        </w:rPr>
        <w:t>m</w:t>
      </w:r>
      <w:r>
        <w:rPr>
          <w:rFonts w:ascii="Arial" w:hAnsi="Arial" w:eastAsia="宋体" w:cs="Arial"/>
          <w:spacing w:val="10"/>
          <w:sz w:val="24"/>
          <w:szCs w:val="32"/>
          <w:u w:val="single"/>
          <w:vertAlign w:val="superscript"/>
        </w:rPr>
        <w:t>2</w:t>
      </w:r>
      <w:r>
        <w:rPr>
          <w:rFonts w:hint="eastAsia" w:ascii="Arial" w:hAnsi="Arial" w:eastAsia="宋体" w:cs="Arial"/>
          <w:spacing w:val="10"/>
          <w:sz w:val="24"/>
          <w:szCs w:val="32"/>
          <w:u w:val="single"/>
        </w:rPr>
        <w:t>；</w:t>
      </w:r>
      <w:r>
        <w:rPr>
          <w:rFonts w:ascii="Arial" w:hAnsi="Arial" w:eastAsia="宋体" w:cs="Arial"/>
          <w:spacing w:val="10"/>
          <w:sz w:val="24"/>
          <w:szCs w:val="32"/>
          <w:u w:val="single"/>
        </w:rPr>
        <w:t>根据</w:t>
      </w:r>
      <w:r>
        <w:rPr>
          <w:rFonts w:hint="eastAsia" w:ascii="Arial" w:hAnsi="Arial" w:eastAsia="宋体" w:cs="Arial"/>
          <w:spacing w:val="10"/>
          <w:sz w:val="24"/>
          <w:szCs w:val="32"/>
          <w:u w:val="single"/>
        </w:rPr>
        <w:t>生态环境厅</w:t>
      </w:r>
      <w:r>
        <w:rPr>
          <w:rFonts w:ascii="Arial" w:hAnsi="Arial" w:eastAsia="宋体" w:cs="Arial"/>
          <w:spacing w:val="10"/>
          <w:sz w:val="24"/>
          <w:szCs w:val="32"/>
          <w:u w:val="single"/>
        </w:rPr>
        <w:t>组织的</w:t>
      </w:r>
      <w:r>
        <w:rPr>
          <w:rFonts w:hint="eastAsia" w:ascii="Arial" w:hAnsi="Arial" w:eastAsia="宋体" w:cs="Arial"/>
          <w:spacing w:val="10"/>
          <w:sz w:val="24"/>
          <w:szCs w:val="32"/>
          <w:u w:val="single"/>
        </w:rPr>
        <w:t>2023年专家库成员培训</w:t>
      </w:r>
      <w:r>
        <w:rPr>
          <w:rFonts w:ascii="Arial" w:hAnsi="Arial" w:eastAsia="宋体" w:cs="Arial"/>
          <w:spacing w:val="10"/>
          <w:sz w:val="24"/>
          <w:szCs w:val="32"/>
          <w:u w:val="single"/>
        </w:rPr>
        <w:t>，非正常工况下钢筋混凝土结构水池渗水量可按正常情况下的</w:t>
      </w:r>
      <w:r>
        <w:rPr>
          <w:rFonts w:hint="eastAsia" w:ascii="Arial" w:hAnsi="Arial" w:eastAsia="宋体" w:cs="Arial"/>
          <w:spacing w:val="10"/>
          <w:sz w:val="24"/>
          <w:szCs w:val="32"/>
          <w:u w:val="single"/>
        </w:rPr>
        <w:t>5倍计，因此本次评价</w:t>
      </w:r>
      <w:r>
        <w:rPr>
          <w:rFonts w:ascii="Arial" w:hAnsi="Arial" w:eastAsia="宋体" w:cs="Arial"/>
          <w:spacing w:val="10"/>
          <w:sz w:val="24"/>
          <w:szCs w:val="32"/>
          <w:u w:val="single"/>
        </w:rPr>
        <w:t>非正常工况下最大泄漏量</w:t>
      </w:r>
      <w:r>
        <w:rPr>
          <w:rFonts w:hint="eastAsia" w:ascii="Arial" w:hAnsi="Arial" w:eastAsia="宋体" w:cs="Arial"/>
          <w:spacing w:val="10"/>
          <w:sz w:val="24"/>
          <w:szCs w:val="32"/>
          <w:u w:val="single"/>
        </w:rPr>
        <w:t>取1.2</w:t>
      </w:r>
      <w:r>
        <w:rPr>
          <w:rFonts w:ascii="Arial" w:hAnsi="Arial" w:eastAsia="宋体" w:cs="Arial"/>
          <w:spacing w:val="10"/>
          <w:sz w:val="24"/>
          <w:szCs w:val="32"/>
          <w:u w:val="single"/>
        </w:rPr>
        <w:t>t/d。</w:t>
      </w:r>
    </w:p>
    <w:p w14:paraId="1EFB90AC">
      <w:pPr>
        <w:keepNext/>
        <w:numPr>
          <w:ilvl w:val="0"/>
          <w:numId w:val="22"/>
        </w:numPr>
        <w:spacing w:line="500" w:lineRule="exact"/>
        <w:ind w:left="0" w:firstLine="0"/>
        <w:jc w:val="center"/>
        <w:outlineLvl w:val="4"/>
        <w:rPr>
          <w:rFonts w:ascii="Arial" w:hAnsi="Arial" w:eastAsia="宋体" w:cs="Arial"/>
          <w:b/>
          <w:sz w:val="24"/>
          <w:szCs w:val="24"/>
          <w:u w:val="single"/>
        </w:rPr>
      </w:pPr>
      <w:r>
        <w:rPr>
          <w:rFonts w:ascii="Arial" w:hAnsi="Arial" w:eastAsia="宋体" w:cs="Arial"/>
          <w:b/>
          <w:sz w:val="24"/>
          <w:szCs w:val="24"/>
          <w:u w:val="single"/>
        </w:rPr>
        <w:t>非正常状况下源强</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1736"/>
        <w:gridCol w:w="3160"/>
        <w:gridCol w:w="2387"/>
      </w:tblGrid>
      <w:tr w14:paraId="3F886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1" w:type="pct"/>
            <w:vMerge w:val="restart"/>
            <w:shd w:val="clear" w:color="auto" w:fill="auto"/>
            <w:vAlign w:val="center"/>
          </w:tcPr>
          <w:p w14:paraId="33E9EB74">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污染物</w:t>
            </w:r>
          </w:p>
        </w:tc>
        <w:tc>
          <w:tcPr>
            <w:tcW w:w="965" w:type="pct"/>
            <w:vMerge w:val="restart"/>
            <w:vAlign w:val="center"/>
          </w:tcPr>
          <w:p w14:paraId="2FFA9A3B">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背景值</w:t>
            </w:r>
          </w:p>
        </w:tc>
        <w:tc>
          <w:tcPr>
            <w:tcW w:w="3084" w:type="pct"/>
            <w:gridSpan w:val="2"/>
            <w:vAlign w:val="center"/>
          </w:tcPr>
          <w:p w14:paraId="3BFBA226">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洗水外排槽发生泄</w:t>
            </w:r>
            <w:r>
              <w:rPr>
                <w:rFonts w:hint="eastAsia" w:ascii="Arial" w:hAnsi="Arial" w:eastAsia="宋体" w:cs="Arial"/>
                <w:sz w:val="21"/>
                <w:szCs w:val="21"/>
                <w:u w:val="single"/>
                <w:lang w:eastAsia="zh-CN"/>
              </w:rPr>
              <w:t>漏</w:t>
            </w:r>
          </w:p>
        </w:tc>
      </w:tr>
      <w:tr w14:paraId="4F7C0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1" w:type="pct"/>
            <w:vMerge w:val="continue"/>
            <w:shd w:val="clear" w:color="auto" w:fill="auto"/>
            <w:vAlign w:val="center"/>
          </w:tcPr>
          <w:p w14:paraId="6F0C3879">
            <w:pPr>
              <w:adjustRightInd w:val="0"/>
              <w:snapToGrid w:val="0"/>
              <w:jc w:val="center"/>
              <w:rPr>
                <w:rFonts w:ascii="Arial" w:hAnsi="Arial" w:eastAsia="宋体" w:cs="Arial"/>
                <w:sz w:val="21"/>
                <w:szCs w:val="21"/>
                <w:u w:val="single"/>
              </w:rPr>
            </w:pPr>
          </w:p>
        </w:tc>
        <w:tc>
          <w:tcPr>
            <w:tcW w:w="965" w:type="pct"/>
            <w:vMerge w:val="continue"/>
            <w:vAlign w:val="center"/>
          </w:tcPr>
          <w:p w14:paraId="42DF68ED">
            <w:pPr>
              <w:adjustRightInd w:val="0"/>
              <w:snapToGrid w:val="0"/>
              <w:jc w:val="center"/>
              <w:rPr>
                <w:rFonts w:ascii="Arial" w:hAnsi="Arial" w:eastAsia="宋体" w:cs="Arial"/>
                <w:sz w:val="21"/>
                <w:szCs w:val="21"/>
                <w:u w:val="single"/>
              </w:rPr>
            </w:pPr>
          </w:p>
        </w:tc>
        <w:tc>
          <w:tcPr>
            <w:tcW w:w="1757" w:type="pct"/>
            <w:vAlign w:val="center"/>
          </w:tcPr>
          <w:p w14:paraId="0FC92664">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排放浓度mg/L</w:t>
            </w:r>
          </w:p>
        </w:tc>
        <w:tc>
          <w:tcPr>
            <w:tcW w:w="1327" w:type="pct"/>
            <w:vAlign w:val="center"/>
          </w:tcPr>
          <w:p w14:paraId="32D2791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排放量g/d</w:t>
            </w:r>
          </w:p>
        </w:tc>
      </w:tr>
      <w:tr w14:paraId="62836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1" w:type="pct"/>
            <w:shd w:val="clear" w:color="auto" w:fill="auto"/>
            <w:vAlign w:val="center"/>
          </w:tcPr>
          <w:p w14:paraId="63585A81">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耗氧量</w:t>
            </w:r>
          </w:p>
        </w:tc>
        <w:tc>
          <w:tcPr>
            <w:tcW w:w="965" w:type="pct"/>
            <w:vAlign w:val="center"/>
          </w:tcPr>
          <w:p w14:paraId="4F94E3D9">
            <w:pPr>
              <w:adjustRightInd w:val="0"/>
              <w:snapToGrid w:val="0"/>
              <w:jc w:val="center"/>
              <w:rPr>
                <w:rFonts w:ascii="Arial" w:hAnsi="Arial" w:cs="Arial"/>
                <w:sz w:val="21"/>
                <w:szCs w:val="21"/>
                <w:u w:val="single"/>
              </w:rPr>
            </w:pPr>
            <w:r>
              <w:rPr>
                <w:rFonts w:ascii="Arial" w:hAnsi="Arial" w:cs="Arial"/>
                <w:sz w:val="21"/>
                <w:szCs w:val="21"/>
                <w:u w:val="single"/>
              </w:rPr>
              <w:t>5.37</w:t>
            </w:r>
          </w:p>
        </w:tc>
        <w:tc>
          <w:tcPr>
            <w:tcW w:w="1757" w:type="pct"/>
            <w:vAlign w:val="center"/>
          </w:tcPr>
          <w:p w14:paraId="1DF5E5A2">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83</w:t>
            </w:r>
          </w:p>
        </w:tc>
        <w:tc>
          <w:tcPr>
            <w:tcW w:w="1327" w:type="pct"/>
            <w:vAlign w:val="center"/>
          </w:tcPr>
          <w:p w14:paraId="7D773D9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99.6</w:t>
            </w:r>
          </w:p>
        </w:tc>
      </w:tr>
      <w:tr w14:paraId="0F575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1" w:type="pct"/>
            <w:shd w:val="clear" w:color="auto" w:fill="auto"/>
            <w:vAlign w:val="center"/>
          </w:tcPr>
          <w:p w14:paraId="662B834C">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氨氮</w:t>
            </w:r>
          </w:p>
        </w:tc>
        <w:tc>
          <w:tcPr>
            <w:tcW w:w="965" w:type="pct"/>
            <w:vAlign w:val="center"/>
          </w:tcPr>
          <w:p w14:paraId="2E58E575">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6.65</w:t>
            </w:r>
          </w:p>
        </w:tc>
        <w:tc>
          <w:tcPr>
            <w:tcW w:w="1757" w:type="pct"/>
            <w:vAlign w:val="center"/>
          </w:tcPr>
          <w:p w14:paraId="23679418">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2200</w:t>
            </w:r>
          </w:p>
        </w:tc>
        <w:tc>
          <w:tcPr>
            <w:tcW w:w="1327" w:type="pct"/>
            <w:vAlign w:val="center"/>
          </w:tcPr>
          <w:p w14:paraId="57A92759">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2640</w:t>
            </w:r>
          </w:p>
        </w:tc>
      </w:tr>
      <w:tr w14:paraId="6A842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1" w:type="pct"/>
            <w:shd w:val="clear" w:color="auto" w:fill="auto"/>
            <w:vAlign w:val="center"/>
          </w:tcPr>
          <w:p w14:paraId="24D2FE59">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硫酸盐</w:t>
            </w:r>
          </w:p>
        </w:tc>
        <w:tc>
          <w:tcPr>
            <w:tcW w:w="965" w:type="pct"/>
            <w:vAlign w:val="center"/>
          </w:tcPr>
          <w:p w14:paraId="4D746B3B">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828</w:t>
            </w:r>
          </w:p>
        </w:tc>
        <w:tc>
          <w:tcPr>
            <w:tcW w:w="1757" w:type="pct"/>
            <w:vAlign w:val="center"/>
          </w:tcPr>
          <w:p w14:paraId="06429A8B">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21784</w:t>
            </w:r>
          </w:p>
        </w:tc>
        <w:tc>
          <w:tcPr>
            <w:tcW w:w="1327" w:type="pct"/>
            <w:vAlign w:val="center"/>
          </w:tcPr>
          <w:p w14:paraId="442F6D62">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26140.8</w:t>
            </w:r>
          </w:p>
        </w:tc>
      </w:tr>
      <w:tr w14:paraId="6C4F2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1" w:type="pct"/>
            <w:shd w:val="clear" w:color="auto" w:fill="auto"/>
            <w:vAlign w:val="center"/>
          </w:tcPr>
          <w:p w14:paraId="6BB9A8BE">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钴</w:t>
            </w:r>
          </w:p>
        </w:tc>
        <w:tc>
          <w:tcPr>
            <w:tcW w:w="965" w:type="pct"/>
            <w:vAlign w:val="center"/>
          </w:tcPr>
          <w:p w14:paraId="4C8B8366">
            <w:pPr>
              <w:adjustRightInd w:val="0"/>
              <w:snapToGrid w:val="0"/>
              <w:jc w:val="center"/>
              <w:rPr>
                <w:rFonts w:ascii="Arial" w:hAnsi="Arial" w:eastAsia="宋体" w:cs="Arial"/>
                <w:sz w:val="21"/>
                <w:szCs w:val="21"/>
                <w:u w:val="single"/>
              </w:rPr>
            </w:pPr>
            <w:r>
              <w:rPr>
                <w:rFonts w:ascii="Arial" w:hAnsi="Arial" w:eastAsia="宋体" w:cs="Arial"/>
                <w:sz w:val="21"/>
                <w:szCs w:val="21"/>
                <w:u w:val="single"/>
              </w:rPr>
              <w:t>0.0</w:t>
            </w:r>
            <w:r>
              <w:rPr>
                <w:rFonts w:hint="eastAsia" w:ascii="Arial" w:hAnsi="Arial" w:eastAsia="宋体" w:cs="Arial"/>
                <w:sz w:val="21"/>
                <w:szCs w:val="21"/>
                <w:u w:val="single"/>
              </w:rPr>
              <w:t>1</w:t>
            </w:r>
          </w:p>
        </w:tc>
        <w:tc>
          <w:tcPr>
            <w:tcW w:w="1757" w:type="pct"/>
            <w:vAlign w:val="center"/>
          </w:tcPr>
          <w:p w14:paraId="1F3CBBFE">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1.0</w:t>
            </w:r>
          </w:p>
        </w:tc>
        <w:tc>
          <w:tcPr>
            <w:tcW w:w="1327" w:type="pct"/>
            <w:vAlign w:val="center"/>
          </w:tcPr>
          <w:p w14:paraId="7804D43D">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1.2</w:t>
            </w:r>
          </w:p>
        </w:tc>
      </w:tr>
    </w:tbl>
    <w:p w14:paraId="33AF8AD4">
      <w:pPr>
        <w:adjustRightInd w:val="0"/>
        <w:snapToGrid w:val="0"/>
        <w:rPr>
          <w:rFonts w:ascii="Arial" w:hAnsi="Arial" w:eastAsia="宋体" w:cs="Arial"/>
          <w:b/>
          <w:spacing w:val="10"/>
          <w:sz w:val="24"/>
          <w:szCs w:val="24"/>
          <w:u w:val="single"/>
        </w:rPr>
      </w:pPr>
      <w:r>
        <w:rPr>
          <w:rFonts w:hint="eastAsia" w:ascii="Arial" w:hAnsi="Arial" w:eastAsia="宋体" w:cs="Arial"/>
          <w:b/>
          <w:spacing w:val="10"/>
          <w:sz w:val="24"/>
          <w:szCs w:val="24"/>
          <w:u w:val="single"/>
        </w:rPr>
        <w:t>注：表中耗氧量数据已由COD转换；背景值未检出按检出限的一半计；背景值取背景值最大的SK03点位。</w:t>
      </w:r>
    </w:p>
    <w:p w14:paraId="706DA3EE">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3、评价标准</w:t>
      </w:r>
    </w:p>
    <w:p w14:paraId="3936D527">
      <w:pPr>
        <w:autoSpaceDE w:val="0"/>
        <w:autoSpaceDN w:val="0"/>
        <w:adjustRightInd w:val="0"/>
        <w:spacing w:line="500" w:lineRule="exact"/>
        <w:ind w:firstLine="490" w:firstLineChars="200"/>
        <w:rPr>
          <w:rFonts w:ascii="Arial" w:hAnsi="Arial" w:eastAsia="宋体" w:cs="Arial"/>
          <w:spacing w:val="10"/>
          <w:sz w:val="24"/>
          <w:szCs w:val="32"/>
        </w:rPr>
      </w:pPr>
      <w:r>
        <w:rPr>
          <w:rFonts w:ascii="Arial" w:hAnsi="Arial" w:eastAsia="宋体" w:cs="Arial"/>
          <w:spacing w:val="10"/>
          <w:sz w:val="24"/>
          <w:szCs w:val="32"/>
        </w:rPr>
        <w:t>按《地下水质量标准》（GB/T14848-2017）</w:t>
      </w:r>
      <w:r>
        <w:rPr>
          <w:rFonts w:hint="eastAsia" w:ascii="宋体" w:hAnsi="宋体" w:eastAsia="宋体" w:cs="宋体"/>
          <w:spacing w:val="10"/>
          <w:sz w:val="24"/>
          <w:szCs w:val="32"/>
        </w:rPr>
        <w:t>Ⅲ</w:t>
      </w:r>
      <w:r>
        <w:rPr>
          <w:rFonts w:ascii="Arial" w:hAnsi="Arial" w:eastAsia="宋体" w:cs="Arial"/>
          <w:spacing w:val="10"/>
          <w:sz w:val="24"/>
          <w:szCs w:val="32"/>
        </w:rPr>
        <w:t>类标准评价。</w:t>
      </w:r>
    </w:p>
    <w:p w14:paraId="079BFE08">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《地下水质量标准》</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1"/>
        <w:gridCol w:w="1799"/>
        <w:gridCol w:w="1799"/>
        <w:gridCol w:w="1799"/>
        <w:gridCol w:w="1795"/>
      </w:tblGrid>
      <w:tr w14:paraId="12DA5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pct"/>
            <w:shd w:val="clear" w:color="auto" w:fill="auto"/>
            <w:vAlign w:val="center"/>
          </w:tcPr>
          <w:p w14:paraId="066D299D">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指标</w:t>
            </w:r>
          </w:p>
        </w:tc>
        <w:tc>
          <w:tcPr>
            <w:tcW w:w="1000" w:type="pct"/>
            <w:shd w:val="clear" w:color="auto" w:fill="auto"/>
            <w:vAlign w:val="center"/>
          </w:tcPr>
          <w:p w14:paraId="24E2220F">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耗氧量</w:t>
            </w:r>
          </w:p>
        </w:tc>
        <w:tc>
          <w:tcPr>
            <w:tcW w:w="1000" w:type="pct"/>
            <w:shd w:val="clear" w:color="auto" w:fill="auto"/>
            <w:vAlign w:val="center"/>
          </w:tcPr>
          <w:p w14:paraId="124171DE">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氨氮</w:t>
            </w:r>
          </w:p>
        </w:tc>
        <w:tc>
          <w:tcPr>
            <w:tcW w:w="1000" w:type="pct"/>
            <w:shd w:val="clear" w:color="auto" w:fill="auto"/>
            <w:vAlign w:val="center"/>
          </w:tcPr>
          <w:p w14:paraId="73BA1202">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硫酸盐</w:t>
            </w:r>
          </w:p>
        </w:tc>
        <w:tc>
          <w:tcPr>
            <w:tcW w:w="999" w:type="pct"/>
            <w:shd w:val="clear" w:color="auto" w:fill="auto"/>
            <w:vAlign w:val="center"/>
          </w:tcPr>
          <w:p w14:paraId="4451D80E">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钴</w:t>
            </w:r>
          </w:p>
        </w:tc>
      </w:tr>
      <w:tr w14:paraId="270EE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pct"/>
            <w:shd w:val="clear" w:color="auto" w:fill="auto"/>
            <w:vAlign w:val="center"/>
          </w:tcPr>
          <w:p w14:paraId="5D7BF7D7">
            <w:pPr>
              <w:widowControl/>
              <w:adjustRightInd w:val="0"/>
              <w:snapToGrid w:val="0"/>
              <w:jc w:val="center"/>
              <w:rPr>
                <w:rFonts w:ascii="Arial" w:hAnsi="Arial" w:eastAsia="宋体" w:cs="Arial"/>
                <w:kern w:val="0"/>
                <w:sz w:val="21"/>
                <w:szCs w:val="21"/>
              </w:rPr>
            </w:pPr>
            <w:r>
              <w:rPr>
                <w:rFonts w:hint="eastAsia" w:ascii="宋体" w:hAnsi="宋体" w:eastAsia="宋体" w:cs="宋体"/>
                <w:kern w:val="0"/>
                <w:sz w:val="21"/>
                <w:szCs w:val="21"/>
              </w:rPr>
              <w:t>Ⅲ</w:t>
            </w:r>
            <w:r>
              <w:rPr>
                <w:rFonts w:ascii="Arial" w:hAnsi="Arial" w:eastAsia="宋体" w:cs="Arial"/>
                <w:kern w:val="0"/>
                <w:sz w:val="21"/>
                <w:szCs w:val="21"/>
              </w:rPr>
              <w:t>类标准</w:t>
            </w:r>
          </w:p>
        </w:tc>
        <w:tc>
          <w:tcPr>
            <w:tcW w:w="1000" w:type="pct"/>
            <w:shd w:val="clear" w:color="auto" w:fill="auto"/>
            <w:vAlign w:val="center"/>
          </w:tcPr>
          <w:p w14:paraId="77DFE511">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3.0</w:t>
            </w:r>
          </w:p>
        </w:tc>
        <w:tc>
          <w:tcPr>
            <w:tcW w:w="1000" w:type="pct"/>
            <w:shd w:val="clear" w:color="auto" w:fill="auto"/>
            <w:vAlign w:val="center"/>
          </w:tcPr>
          <w:p w14:paraId="6363C7F1">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0.50</w:t>
            </w:r>
          </w:p>
        </w:tc>
        <w:tc>
          <w:tcPr>
            <w:tcW w:w="1000" w:type="pct"/>
            <w:shd w:val="clear" w:color="auto" w:fill="auto"/>
            <w:vAlign w:val="center"/>
          </w:tcPr>
          <w:p w14:paraId="05FA51AE">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250</w:t>
            </w:r>
          </w:p>
        </w:tc>
        <w:tc>
          <w:tcPr>
            <w:tcW w:w="999" w:type="pct"/>
            <w:shd w:val="clear" w:color="auto" w:fill="auto"/>
            <w:vAlign w:val="center"/>
          </w:tcPr>
          <w:p w14:paraId="6F1C2D9D">
            <w:pPr>
              <w:widowControl/>
              <w:adjustRightInd w:val="0"/>
              <w:snapToGrid w:val="0"/>
              <w:jc w:val="center"/>
              <w:rPr>
                <w:rFonts w:ascii="Arial" w:hAnsi="Arial" w:eastAsia="宋体" w:cs="Arial"/>
                <w:kern w:val="0"/>
                <w:sz w:val="21"/>
                <w:szCs w:val="21"/>
              </w:rPr>
            </w:pPr>
            <w:r>
              <w:rPr>
                <w:rFonts w:ascii="Arial" w:hAnsi="Arial" w:eastAsia="宋体" w:cs="Arial"/>
                <w:kern w:val="0"/>
                <w:sz w:val="21"/>
                <w:szCs w:val="21"/>
              </w:rPr>
              <w:t>0.05</w:t>
            </w:r>
          </w:p>
        </w:tc>
      </w:tr>
    </w:tbl>
    <w:p w14:paraId="012A90FF">
      <w:pPr>
        <w:pStyle w:val="5"/>
        <w:numPr>
          <w:ilvl w:val="3"/>
          <w:numId w:val="25"/>
        </w:numPr>
        <w:spacing w:line="500" w:lineRule="exact"/>
        <w:ind w:left="0" w:firstLine="0"/>
        <w:outlineLvl w:val="3"/>
        <w:rPr>
          <w:b/>
          <w:szCs w:val="24"/>
          <w:u w:val="single"/>
        </w:rPr>
      </w:pPr>
      <w:r>
        <w:rPr>
          <w:b/>
          <w:szCs w:val="24"/>
          <w:u w:val="single"/>
        </w:rPr>
        <w:t>预测结果</w:t>
      </w:r>
    </w:p>
    <w:p w14:paraId="59093D7C">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根据预测结果可知，当</w:t>
      </w:r>
      <w:r>
        <w:rPr>
          <w:rFonts w:hint="eastAsia" w:ascii="Arial" w:hAnsi="Arial" w:eastAsia="宋体" w:cs="Arial"/>
          <w:spacing w:val="10"/>
          <w:sz w:val="24"/>
          <w:szCs w:val="24"/>
          <w:u w:val="single"/>
        </w:rPr>
        <w:t>洗水</w:t>
      </w:r>
      <w:r>
        <w:rPr>
          <w:rFonts w:ascii="Arial" w:hAnsi="Arial" w:eastAsia="宋体" w:cs="Arial"/>
          <w:spacing w:val="10"/>
          <w:sz w:val="24"/>
          <w:szCs w:val="24"/>
          <w:u w:val="single"/>
        </w:rPr>
        <w:t>外排槽泄漏后，区域地下水中的污染物逐渐增加，泄漏后100天，污水预处理设施下游100m将受到污染；泄漏后365天，下游</w:t>
      </w:r>
      <w:r>
        <w:rPr>
          <w:rFonts w:hint="eastAsia" w:ascii="Arial" w:hAnsi="Arial" w:eastAsia="宋体" w:cs="Arial"/>
          <w:spacing w:val="10"/>
          <w:sz w:val="24"/>
          <w:szCs w:val="24"/>
          <w:u w:val="single"/>
        </w:rPr>
        <w:t>20</w:t>
      </w:r>
      <w:r>
        <w:rPr>
          <w:rFonts w:ascii="Arial" w:hAnsi="Arial" w:eastAsia="宋体" w:cs="Arial"/>
          <w:spacing w:val="10"/>
          <w:sz w:val="24"/>
          <w:szCs w:val="24"/>
          <w:u w:val="single"/>
        </w:rPr>
        <w:t>0m将受到污染；泄漏后1000天，下游</w:t>
      </w:r>
      <w:r>
        <w:rPr>
          <w:rFonts w:hint="eastAsia" w:ascii="Arial" w:hAnsi="Arial" w:eastAsia="宋体" w:cs="Arial"/>
          <w:spacing w:val="10"/>
          <w:sz w:val="24"/>
          <w:szCs w:val="24"/>
          <w:u w:val="single"/>
        </w:rPr>
        <w:t>40</w:t>
      </w:r>
      <w:r>
        <w:rPr>
          <w:rFonts w:ascii="Arial" w:hAnsi="Arial" w:eastAsia="宋体" w:cs="Arial"/>
          <w:spacing w:val="10"/>
          <w:sz w:val="24"/>
          <w:szCs w:val="24"/>
          <w:u w:val="single"/>
        </w:rPr>
        <w:t>0m将受到污染。</w:t>
      </w:r>
    </w:p>
    <w:p w14:paraId="52889663">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（1）耗氧量：由于区域地下水中耗氧量背景值已超标（5.37mg/L），渗漏将加剧污染，泄漏后100天，下游</w:t>
      </w:r>
      <w:r>
        <w:rPr>
          <w:rFonts w:hint="eastAsia" w:ascii="Arial" w:hAnsi="Arial" w:eastAsia="宋体" w:cs="Arial"/>
          <w:spacing w:val="10"/>
          <w:sz w:val="24"/>
          <w:szCs w:val="24"/>
          <w:u w:val="single"/>
        </w:rPr>
        <w:t>10</w:t>
      </w:r>
      <w:r>
        <w:rPr>
          <w:rFonts w:ascii="Arial" w:hAnsi="Arial" w:eastAsia="宋体" w:cs="Arial"/>
          <w:spacing w:val="10"/>
          <w:sz w:val="24"/>
          <w:szCs w:val="24"/>
          <w:u w:val="single"/>
        </w:rPr>
        <w:t>0m耗氧量浓度趋近于背景浓度；泄漏后365天，下游1</w:t>
      </w:r>
      <w:r>
        <w:rPr>
          <w:rFonts w:hint="eastAsia" w:ascii="Arial" w:hAnsi="Arial" w:eastAsia="宋体" w:cs="Arial"/>
          <w:spacing w:val="10"/>
          <w:sz w:val="24"/>
          <w:szCs w:val="24"/>
          <w:u w:val="single"/>
        </w:rPr>
        <w:t>8</w:t>
      </w:r>
      <w:r>
        <w:rPr>
          <w:rFonts w:ascii="Arial" w:hAnsi="Arial" w:eastAsia="宋体" w:cs="Arial"/>
          <w:spacing w:val="10"/>
          <w:sz w:val="24"/>
          <w:szCs w:val="24"/>
          <w:u w:val="single"/>
        </w:rPr>
        <w:t>0m耗氧量浓度趋近于背景浓度；泄漏后1000天，下游</w:t>
      </w:r>
      <w:r>
        <w:rPr>
          <w:rFonts w:hint="eastAsia" w:ascii="Arial" w:hAnsi="Arial" w:eastAsia="宋体" w:cs="Arial"/>
          <w:spacing w:val="10"/>
          <w:sz w:val="24"/>
          <w:szCs w:val="24"/>
          <w:u w:val="single"/>
        </w:rPr>
        <w:t>28</w:t>
      </w:r>
      <w:r>
        <w:rPr>
          <w:rFonts w:ascii="Arial" w:hAnsi="Arial" w:eastAsia="宋体" w:cs="Arial"/>
          <w:spacing w:val="10"/>
          <w:sz w:val="24"/>
          <w:szCs w:val="24"/>
          <w:u w:val="single"/>
        </w:rPr>
        <w:t>0m耗氧量浓度趋近于背景浓度。</w:t>
      </w:r>
    </w:p>
    <w:p w14:paraId="5CFE3F30">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（2）氨氮：由于区域地下水中氨氮背景值已超标（6.65mg/L），渗漏将加剧污染，泄漏后100天，下游</w:t>
      </w:r>
      <w:r>
        <w:rPr>
          <w:rFonts w:hint="eastAsia" w:ascii="Arial" w:hAnsi="Arial" w:eastAsia="宋体" w:cs="Arial"/>
          <w:spacing w:val="10"/>
          <w:sz w:val="24"/>
          <w:szCs w:val="24"/>
          <w:u w:val="single"/>
        </w:rPr>
        <w:t>12</w:t>
      </w:r>
      <w:r>
        <w:rPr>
          <w:rFonts w:ascii="Arial" w:hAnsi="Arial" w:eastAsia="宋体" w:cs="Arial"/>
          <w:spacing w:val="10"/>
          <w:sz w:val="24"/>
          <w:szCs w:val="24"/>
          <w:u w:val="single"/>
        </w:rPr>
        <w:t>0m氨氮浓度趋近于背景浓度；泄漏后365天，下游</w:t>
      </w:r>
      <w:r>
        <w:rPr>
          <w:rFonts w:hint="eastAsia" w:ascii="Arial" w:hAnsi="Arial" w:eastAsia="宋体" w:cs="Arial"/>
          <w:spacing w:val="10"/>
          <w:sz w:val="24"/>
          <w:szCs w:val="24"/>
          <w:u w:val="single"/>
        </w:rPr>
        <w:t>20</w:t>
      </w:r>
      <w:r>
        <w:rPr>
          <w:rFonts w:ascii="Arial" w:hAnsi="Arial" w:eastAsia="宋体" w:cs="Arial"/>
          <w:spacing w:val="10"/>
          <w:sz w:val="24"/>
          <w:szCs w:val="24"/>
          <w:u w:val="single"/>
        </w:rPr>
        <w:t>0m氨氮浓度趋近于背景浓度；泄漏后1000天，下游</w:t>
      </w:r>
      <w:r>
        <w:rPr>
          <w:rFonts w:hint="eastAsia" w:ascii="Arial" w:hAnsi="Arial" w:eastAsia="宋体" w:cs="Arial"/>
          <w:spacing w:val="10"/>
          <w:sz w:val="24"/>
          <w:szCs w:val="24"/>
          <w:u w:val="single"/>
        </w:rPr>
        <w:t>35</w:t>
      </w:r>
      <w:r>
        <w:rPr>
          <w:rFonts w:ascii="Arial" w:hAnsi="Arial" w:eastAsia="宋体" w:cs="Arial"/>
          <w:spacing w:val="10"/>
          <w:sz w:val="24"/>
          <w:szCs w:val="24"/>
          <w:u w:val="single"/>
        </w:rPr>
        <w:t>0m氨氮浓度趋近于背景浓度。</w:t>
      </w:r>
    </w:p>
    <w:p w14:paraId="20CAEB82">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（3）硫酸盐：由于区域地下水中硫酸盐背景值已超标（828mg/L），渗漏将加剧污染，泄漏后100天，下游1</w:t>
      </w:r>
      <w:r>
        <w:rPr>
          <w:rFonts w:hint="eastAsia" w:ascii="Arial" w:hAnsi="Arial" w:eastAsia="宋体" w:cs="Arial"/>
          <w:spacing w:val="10"/>
          <w:sz w:val="24"/>
          <w:szCs w:val="24"/>
          <w:u w:val="single"/>
        </w:rPr>
        <w:t>2</w:t>
      </w:r>
      <w:r>
        <w:rPr>
          <w:rFonts w:ascii="Arial" w:hAnsi="Arial" w:eastAsia="宋体" w:cs="Arial"/>
          <w:spacing w:val="10"/>
          <w:sz w:val="24"/>
          <w:szCs w:val="24"/>
          <w:u w:val="single"/>
        </w:rPr>
        <w:t>0m硫酸盐浓度趋近于背景浓度；泄漏后365天，下游2</w:t>
      </w:r>
      <w:r>
        <w:rPr>
          <w:rFonts w:hint="eastAsia" w:ascii="Arial" w:hAnsi="Arial" w:eastAsia="宋体" w:cs="Arial"/>
          <w:spacing w:val="10"/>
          <w:sz w:val="24"/>
          <w:szCs w:val="24"/>
          <w:u w:val="single"/>
        </w:rPr>
        <w:t>2</w:t>
      </w:r>
      <w:r>
        <w:rPr>
          <w:rFonts w:ascii="Arial" w:hAnsi="Arial" w:eastAsia="宋体" w:cs="Arial"/>
          <w:spacing w:val="10"/>
          <w:sz w:val="24"/>
          <w:szCs w:val="24"/>
          <w:u w:val="single"/>
        </w:rPr>
        <w:t>0m硫酸盐浓度趋近于背景浓度；泄漏后1000天，下游</w:t>
      </w:r>
      <w:r>
        <w:rPr>
          <w:rFonts w:hint="eastAsia" w:ascii="Arial" w:hAnsi="Arial" w:eastAsia="宋体" w:cs="Arial"/>
          <w:spacing w:val="10"/>
          <w:sz w:val="24"/>
          <w:szCs w:val="24"/>
          <w:u w:val="single"/>
        </w:rPr>
        <w:t>60</w:t>
      </w:r>
      <w:r>
        <w:rPr>
          <w:rFonts w:ascii="Arial" w:hAnsi="Arial" w:eastAsia="宋体" w:cs="Arial"/>
          <w:spacing w:val="10"/>
          <w:sz w:val="24"/>
          <w:szCs w:val="24"/>
          <w:u w:val="single"/>
        </w:rPr>
        <w:t>0m硫酸盐浓度趋近于背景浓度。</w:t>
      </w:r>
    </w:p>
    <w:p w14:paraId="23B99040">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（4）钴：泄漏后100天，下游最大浓度0.</w:t>
      </w:r>
      <w:r>
        <w:rPr>
          <w:rFonts w:hint="eastAsia" w:ascii="Arial" w:hAnsi="Arial" w:eastAsia="宋体" w:cs="Arial"/>
          <w:spacing w:val="10"/>
          <w:sz w:val="24"/>
          <w:szCs w:val="24"/>
          <w:u w:val="single"/>
        </w:rPr>
        <w:t>0116</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w:t>
      </w:r>
      <w:r>
        <w:rPr>
          <w:rFonts w:ascii="Arial" w:hAnsi="Arial" w:eastAsia="宋体" w:cs="Arial"/>
          <w:spacing w:val="10"/>
          <w:sz w:val="24"/>
          <w:szCs w:val="24"/>
          <w:u w:val="single"/>
        </w:rPr>
        <w:t>泄漏后</w:t>
      </w:r>
      <w:r>
        <w:rPr>
          <w:rFonts w:hint="eastAsia" w:ascii="Arial" w:hAnsi="Arial" w:eastAsia="宋体" w:cs="Arial"/>
          <w:spacing w:val="10"/>
          <w:sz w:val="24"/>
          <w:szCs w:val="24"/>
          <w:u w:val="single"/>
        </w:rPr>
        <w:t>365</w:t>
      </w:r>
      <w:r>
        <w:rPr>
          <w:rFonts w:ascii="Arial" w:hAnsi="Arial" w:eastAsia="宋体" w:cs="Arial"/>
          <w:spacing w:val="10"/>
          <w:sz w:val="24"/>
          <w:szCs w:val="24"/>
          <w:u w:val="single"/>
        </w:rPr>
        <w:t>天，下游最大浓度0.</w:t>
      </w:r>
      <w:r>
        <w:rPr>
          <w:rFonts w:hint="eastAsia" w:ascii="Arial" w:hAnsi="Arial" w:eastAsia="宋体" w:cs="Arial"/>
          <w:spacing w:val="10"/>
          <w:sz w:val="24"/>
          <w:szCs w:val="24"/>
          <w:u w:val="single"/>
        </w:rPr>
        <w:t>0105</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w:t>
      </w:r>
      <w:r>
        <w:rPr>
          <w:rFonts w:ascii="Arial" w:hAnsi="Arial" w:eastAsia="宋体" w:cs="Arial"/>
          <w:spacing w:val="10"/>
          <w:sz w:val="24"/>
          <w:szCs w:val="24"/>
          <w:u w:val="single"/>
        </w:rPr>
        <w:t>泄漏后1</w:t>
      </w:r>
      <w:r>
        <w:rPr>
          <w:rFonts w:hint="eastAsia" w:ascii="Arial" w:hAnsi="Arial" w:eastAsia="宋体" w:cs="Arial"/>
          <w:spacing w:val="10"/>
          <w:sz w:val="24"/>
          <w:szCs w:val="24"/>
          <w:u w:val="single"/>
        </w:rPr>
        <w:t>0</w:t>
      </w:r>
      <w:r>
        <w:rPr>
          <w:rFonts w:ascii="Arial" w:hAnsi="Arial" w:eastAsia="宋体" w:cs="Arial"/>
          <w:spacing w:val="10"/>
          <w:sz w:val="24"/>
          <w:szCs w:val="24"/>
          <w:u w:val="single"/>
        </w:rPr>
        <w:t>00天，下游最大浓度0.</w:t>
      </w:r>
      <w:r>
        <w:rPr>
          <w:rFonts w:hint="eastAsia" w:ascii="Arial" w:hAnsi="Arial" w:eastAsia="宋体" w:cs="Arial"/>
          <w:spacing w:val="10"/>
          <w:sz w:val="24"/>
          <w:szCs w:val="24"/>
          <w:u w:val="single"/>
        </w:rPr>
        <w:t>0102</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。地下水水质均满足</w:t>
      </w:r>
      <w:r>
        <w:rPr>
          <w:rFonts w:ascii="Arial" w:hAnsi="Arial" w:eastAsia="宋体" w:cs="Arial"/>
          <w:spacing w:val="10"/>
          <w:sz w:val="24"/>
          <w:szCs w:val="24"/>
          <w:u w:val="single"/>
        </w:rPr>
        <w:t>《地下水质量标准》（GB/T14848-2017）</w:t>
      </w:r>
      <w:r>
        <w:rPr>
          <w:rFonts w:hint="eastAsia" w:ascii="宋体" w:hAnsi="宋体" w:eastAsia="宋体" w:cs="宋体"/>
          <w:spacing w:val="10"/>
          <w:sz w:val="24"/>
          <w:szCs w:val="24"/>
          <w:u w:val="single"/>
        </w:rPr>
        <w:t>Ⅲ</w:t>
      </w:r>
      <w:r>
        <w:rPr>
          <w:rFonts w:ascii="Arial" w:hAnsi="Arial" w:eastAsia="宋体" w:cs="Arial"/>
          <w:spacing w:val="10"/>
          <w:sz w:val="24"/>
          <w:szCs w:val="24"/>
          <w:u w:val="single"/>
        </w:rPr>
        <w:t>类水标准（0.05mg/L）。</w:t>
      </w:r>
    </w:p>
    <w:p w14:paraId="20DFBFAB">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综上所述，项目非正常工况下，区域地下水中的污染物逐渐增加，泄漏后100天，污水预处理设施下游100m将受到污染；泄漏后365天，下游</w:t>
      </w:r>
      <w:r>
        <w:rPr>
          <w:rFonts w:hint="eastAsia" w:ascii="Arial" w:hAnsi="Arial" w:eastAsia="宋体" w:cs="Arial"/>
          <w:spacing w:val="10"/>
          <w:sz w:val="24"/>
          <w:szCs w:val="24"/>
          <w:u w:val="single"/>
        </w:rPr>
        <w:t>20</w:t>
      </w:r>
      <w:r>
        <w:rPr>
          <w:rFonts w:ascii="Arial" w:hAnsi="Arial" w:eastAsia="宋体" w:cs="Arial"/>
          <w:spacing w:val="10"/>
          <w:sz w:val="24"/>
          <w:szCs w:val="24"/>
          <w:u w:val="single"/>
        </w:rPr>
        <w:t>0m将受到污染；泄漏后1000天，下游</w:t>
      </w:r>
      <w:r>
        <w:rPr>
          <w:rFonts w:hint="eastAsia" w:ascii="Arial" w:hAnsi="Arial" w:eastAsia="宋体" w:cs="Arial"/>
          <w:spacing w:val="10"/>
          <w:sz w:val="24"/>
          <w:szCs w:val="24"/>
          <w:u w:val="single"/>
        </w:rPr>
        <w:t>40</w:t>
      </w:r>
      <w:r>
        <w:rPr>
          <w:rFonts w:ascii="Arial" w:hAnsi="Arial" w:eastAsia="宋体" w:cs="Arial"/>
          <w:spacing w:val="10"/>
          <w:sz w:val="24"/>
          <w:szCs w:val="24"/>
          <w:u w:val="single"/>
        </w:rPr>
        <w:t>0m将受到污染。地下水下游不同程度出现超标现象，地下水下游无敏感目标，项目非正常工况下对周边环境影响较小。</w:t>
      </w:r>
    </w:p>
    <w:p w14:paraId="42C8C37C">
      <w:pPr>
        <w:spacing w:line="264" w:lineRule="auto"/>
        <w:ind w:firstLine="476"/>
        <w:rPr>
          <w:rFonts w:ascii="Arial" w:hAnsi="Arial" w:eastAsia="宋体" w:cs="Arial"/>
          <w:spacing w:val="10"/>
          <w:sz w:val="24"/>
          <w:szCs w:val="24"/>
          <w:u w:val="single"/>
        </w:rPr>
      </w:pPr>
      <w:r>
        <w:rPr>
          <w:rFonts w:ascii="Arial" w:hAnsi="Arial" w:eastAsia="宋体" w:cs="Arial"/>
          <w:spacing w:val="10"/>
          <w:sz w:val="24"/>
          <w:szCs w:val="24"/>
          <w:u w:val="single"/>
        </w:rPr>
        <w:t>预测结果见表</w:t>
      </w:r>
      <w:r>
        <w:rPr>
          <w:rFonts w:hint="eastAsia" w:ascii="Arial" w:hAnsi="Arial" w:eastAsia="宋体" w:cs="Arial"/>
          <w:spacing w:val="10"/>
          <w:sz w:val="24"/>
          <w:szCs w:val="24"/>
          <w:u w:val="single"/>
        </w:rPr>
        <w:t>4-27。</w:t>
      </w:r>
    </w:p>
    <w:p w14:paraId="688D4281">
      <w:pPr>
        <w:spacing w:line="264" w:lineRule="auto"/>
        <w:ind w:firstLine="476"/>
        <w:rPr>
          <w:rFonts w:ascii="Arial" w:hAnsi="Arial" w:eastAsia="宋体" w:cs="Arial"/>
          <w:spacing w:val="10"/>
          <w:sz w:val="24"/>
          <w:szCs w:val="24"/>
          <w:highlight w:val="yellow"/>
        </w:rPr>
        <w:sectPr>
          <w:footerReference r:id="rId18" w:type="default"/>
          <w:pgSz w:w="11907" w:h="16840"/>
          <w:pgMar w:top="1418" w:right="1406" w:bottom="1418" w:left="1157" w:header="1174" w:footer="1026" w:gutter="567"/>
          <w:cols w:space="720" w:num="1"/>
          <w:docGrid w:type="linesAndChars" w:linePitch="428" w:charSpace="-3161"/>
        </w:sectPr>
      </w:pPr>
    </w:p>
    <w:p w14:paraId="44B10532">
      <w:pPr>
        <w:numPr>
          <w:ilvl w:val="0"/>
          <w:numId w:val="22"/>
        </w:numPr>
        <w:adjustRightInd w:val="0"/>
        <w:snapToGrid w:val="0"/>
        <w:spacing w:line="500" w:lineRule="exact"/>
        <w:ind w:left="0" w:firstLine="0"/>
        <w:jc w:val="center"/>
        <w:outlineLvl w:val="4"/>
        <w:rPr>
          <w:rFonts w:ascii="Arial" w:hAnsi="Arial" w:eastAsia="宋体" w:cs="Arial"/>
          <w:b/>
          <w:sz w:val="24"/>
          <w:szCs w:val="24"/>
          <w:u w:val="single"/>
        </w:rPr>
      </w:pPr>
      <w:r>
        <w:rPr>
          <w:rFonts w:hint="eastAsia" w:ascii="Arial" w:hAnsi="Arial" w:eastAsia="宋体" w:cs="Arial"/>
          <w:b/>
          <w:sz w:val="24"/>
          <w:szCs w:val="24"/>
          <w:u w:val="single"/>
        </w:rPr>
        <w:t>洗水外排槽</w:t>
      </w:r>
      <w:r>
        <w:rPr>
          <w:rFonts w:ascii="Arial" w:hAnsi="Arial" w:eastAsia="宋体" w:cs="Arial"/>
          <w:b/>
          <w:sz w:val="24"/>
          <w:szCs w:val="24"/>
          <w:u w:val="single"/>
        </w:rPr>
        <w:t>泄漏预测结果（单位：mg</w:t>
      </w:r>
      <w:r>
        <w:rPr>
          <w:rFonts w:hint="eastAsia" w:ascii="Arial" w:hAnsi="Arial" w:eastAsia="宋体" w:cs="Arial"/>
          <w:b/>
          <w:sz w:val="24"/>
          <w:szCs w:val="24"/>
          <w:u w:val="single"/>
        </w:rPr>
        <w:t>/L</w:t>
      </w:r>
      <w:r>
        <w:rPr>
          <w:rFonts w:ascii="Arial" w:hAnsi="Arial" w:eastAsia="宋体" w:cs="Arial"/>
          <w:b/>
          <w:sz w:val="24"/>
          <w:szCs w:val="24"/>
          <w:u w:val="single"/>
        </w:rPr>
        <w:t>）</w:t>
      </w:r>
    </w:p>
    <w:tbl>
      <w:tblPr>
        <w:tblStyle w:val="88"/>
        <w:tblW w:w="14040" w:type="dxa"/>
        <w:tblInd w:w="93" w:type="dxa"/>
        <w:tblLayout w:type="autofit"/>
        <w:tblCellMar>
          <w:top w:w="0" w:type="dxa"/>
          <w:left w:w="108" w:type="dxa"/>
          <w:bottom w:w="0" w:type="dxa"/>
          <w:right w:w="108" w:type="dxa"/>
        </w:tblCellMar>
      </w:tblPr>
      <w:tblGrid>
        <w:gridCol w:w="1080"/>
        <w:gridCol w:w="1080"/>
        <w:gridCol w:w="1080"/>
        <w:gridCol w:w="1080"/>
        <w:gridCol w:w="1198"/>
        <w:gridCol w:w="1021"/>
        <w:gridCol w:w="1021"/>
        <w:gridCol w:w="1080"/>
        <w:gridCol w:w="1080"/>
        <w:gridCol w:w="1080"/>
        <w:gridCol w:w="1080"/>
        <w:gridCol w:w="1080"/>
        <w:gridCol w:w="1080"/>
      </w:tblGrid>
      <w:tr w14:paraId="28F217E0">
        <w:tblPrEx>
          <w:tblCellMar>
            <w:top w:w="0" w:type="dxa"/>
            <w:left w:w="108" w:type="dxa"/>
            <w:bottom w:w="0" w:type="dxa"/>
            <w:right w:w="108" w:type="dxa"/>
          </w:tblCellMar>
        </w:tblPrEx>
        <w:trPr>
          <w:trHeight w:val="340" w:hRule="atLeast"/>
        </w:trPr>
        <w:tc>
          <w:tcPr>
            <w:tcW w:w="1080" w:type="dxa"/>
            <w:tcBorders>
              <w:top w:val="single" w:color="auto" w:sz="8" w:space="0"/>
              <w:left w:val="single" w:color="auto" w:sz="8" w:space="0"/>
              <w:bottom w:val="nil"/>
              <w:right w:val="single" w:color="auto" w:sz="8" w:space="0"/>
            </w:tcBorders>
            <w:shd w:val="clear" w:color="auto" w:fill="auto"/>
            <w:noWrap/>
            <w:vAlign w:val="center"/>
          </w:tcPr>
          <w:p w14:paraId="5621377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距离</w:t>
            </w:r>
          </w:p>
        </w:tc>
        <w:tc>
          <w:tcPr>
            <w:tcW w:w="3240" w:type="dxa"/>
            <w:gridSpan w:val="3"/>
            <w:tcBorders>
              <w:top w:val="single" w:color="auto" w:sz="8" w:space="0"/>
              <w:left w:val="nil"/>
              <w:bottom w:val="single" w:color="auto" w:sz="8" w:space="0"/>
              <w:right w:val="single" w:color="000000" w:sz="8" w:space="0"/>
            </w:tcBorders>
            <w:shd w:val="clear" w:color="auto" w:fill="auto"/>
            <w:noWrap/>
            <w:vAlign w:val="center"/>
          </w:tcPr>
          <w:p w14:paraId="5359A41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耗氧量</w:t>
            </w:r>
          </w:p>
        </w:tc>
        <w:tc>
          <w:tcPr>
            <w:tcW w:w="3240" w:type="dxa"/>
            <w:gridSpan w:val="3"/>
            <w:tcBorders>
              <w:top w:val="single" w:color="auto" w:sz="8" w:space="0"/>
              <w:left w:val="nil"/>
              <w:bottom w:val="single" w:color="auto" w:sz="8" w:space="0"/>
              <w:right w:val="single" w:color="000000" w:sz="8" w:space="0"/>
            </w:tcBorders>
            <w:shd w:val="clear" w:color="auto" w:fill="auto"/>
            <w:noWrap/>
            <w:vAlign w:val="center"/>
          </w:tcPr>
          <w:p w14:paraId="30F8508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氨氮</w:t>
            </w:r>
          </w:p>
        </w:tc>
        <w:tc>
          <w:tcPr>
            <w:tcW w:w="3240" w:type="dxa"/>
            <w:gridSpan w:val="3"/>
            <w:tcBorders>
              <w:top w:val="single" w:color="auto" w:sz="8" w:space="0"/>
              <w:left w:val="nil"/>
              <w:bottom w:val="single" w:color="auto" w:sz="8" w:space="0"/>
              <w:right w:val="single" w:color="000000" w:sz="8" w:space="0"/>
            </w:tcBorders>
            <w:shd w:val="clear" w:color="auto" w:fill="auto"/>
            <w:noWrap/>
            <w:vAlign w:val="center"/>
          </w:tcPr>
          <w:p w14:paraId="413747C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硫酸盐</w:t>
            </w:r>
          </w:p>
        </w:tc>
        <w:tc>
          <w:tcPr>
            <w:tcW w:w="3240" w:type="dxa"/>
            <w:gridSpan w:val="3"/>
            <w:tcBorders>
              <w:top w:val="single" w:color="auto" w:sz="8" w:space="0"/>
              <w:left w:val="nil"/>
              <w:bottom w:val="single" w:color="auto" w:sz="8" w:space="0"/>
              <w:right w:val="single" w:color="000000" w:sz="8" w:space="0"/>
            </w:tcBorders>
            <w:shd w:val="clear" w:color="auto" w:fill="auto"/>
            <w:noWrap/>
            <w:vAlign w:val="center"/>
          </w:tcPr>
          <w:p w14:paraId="00C88DB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钴</w:t>
            </w:r>
          </w:p>
        </w:tc>
      </w:tr>
      <w:tr w14:paraId="21A79E7C">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6A8AB72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m</w:t>
            </w:r>
          </w:p>
        </w:tc>
        <w:tc>
          <w:tcPr>
            <w:tcW w:w="1080" w:type="dxa"/>
            <w:tcBorders>
              <w:top w:val="nil"/>
              <w:left w:val="nil"/>
              <w:bottom w:val="single" w:color="auto" w:sz="8" w:space="0"/>
              <w:right w:val="single" w:color="auto" w:sz="8" w:space="0"/>
            </w:tcBorders>
            <w:shd w:val="clear" w:color="auto" w:fill="auto"/>
            <w:noWrap/>
            <w:vAlign w:val="center"/>
          </w:tcPr>
          <w:p w14:paraId="66A1432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100d</w:t>
            </w:r>
          </w:p>
        </w:tc>
        <w:tc>
          <w:tcPr>
            <w:tcW w:w="1080" w:type="dxa"/>
            <w:tcBorders>
              <w:top w:val="nil"/>
              <w:left w:val="nil"/>
              <w:bottom w:val="single" w:color="auto" w:sz="8" w:space="0"/>
              <w:right w:val="single" w:color="auto" w:sz="8" w:space="0"/>
            </w:tcBorders>
            <w:shd w:val="clear" w:color="auto" w:fill="auto"/>
            <w:noWrap/>
            <w:vAlign w:val="center"/>
          </w:tcPr>
          <w:p w14:paraId="5399E13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365d</w:t>
            </w:r>
          </w:p>
        </w:tc>
        <w:tc>
          <w:tcPr>
            <w:tcW w:w="1080" w:type="dxa"/>
            <w:tcBorders>
              <w:top w:val="nil"/>
              <w:left w:val="nil"/>
              <w:bottom w:val="single" w:color="auto" w:sz="8" w:space="0"/>
              <w:right w:val="single" w:color="auto" w:sz="8" w:space="0"/>
            </w:tcBorders>
            <w:shd w:val="clear" w:color="auto" w:fill="auto"/>
            <w:noWrap/>
            <w:vAlign w:val="center"/>
          </w:tcPr>
          <w:p w14:paraId="5162081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1000d</w:t>
            </w:r>
          </w:p>
        </w:tc>
        <w:tc>
          <w:tcPr>
            <w:tcW w:w="1198" w:type="dxa"/>
            <w:tcBorders>
              <w:top w:val="nil"/>
              <w:left w:val="nil"/>
              <w:bottom w:val="single" w:color="auto" w:sz="8" w:space="0"/>
              <w:right w:val="single" w:color="auto" w:sz="8" w:space="0"/>
            </w:tcBorders>
            <w:shd w:val="clear" w:color="auto" w:fill="auto"/>
            <w:noWrap/>
            <w:vAlign w:val="center"/>
          </w:tcPr>
          <w:p w14:paraId="38DC758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100d</w:t>
            </w:r>
          </w:p>
        </w:tc>
        <w:tc>
          <w:tcPr>
            <w:tcW w:w="1021" w:type="dxa"/>
            <w:tcBorders>
              <w:top w:val="nil"/>
              <w:left w:val="nil"/>
              <w:bottom w:val="single" w:color="auto" w:sz="8" w:space="0"/>
              <w:right w:val="single" w:color="auto" w:sz="8" w:space="0"/>
            </w:tcBorders>
            <w:shd w:val="clear" w:color="auto" w:fill="auto"/>
            <w:noWrap/>
            <w:vAlign w:val="center"/>
          </w:tcPr>
          <w:p w14:paraId="7C949CF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365d</w:t>
            </w:r>
          </w:p>
        </w:tc>
        <w:tc>
          <w:tcPr>
            <w:tcW w:w="1021" w:type="dxa"/>
            <w:tcBorders>
              <w:top w:val="nil"/>
              <w:left w:val="nil"/>
              <w:bottom w:val="single" w:color="auto" w:sz="8" w:space="0"/>
              <w:right w:val="single" w:color="auto" w:sz="8" w:space="0"/>
            </w:tcBorders>
            <w:shd w:val="clear" w:color="auto" w:fill="auto"/>
            <w:noWrap/>
            <w:vAlign w:val="center"/>
          </w:tcPr>
          <w:p w14:paraId="6C56BE6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1000d</w:t>
            </w:r>
          </w:p>
        </w:tc>
        <w:tc>
          <w:tcPr>
            <w:tcW w:w="1080" w:type="dxa"/>
            <w:tcBorders>
              <w:top w:val="nil"/>
              <w:left w:val="nil"/>
              <w:bottom w:val="single" w:color="auto" w:sz="8" w:space="0"/>
              <w:right w:val="single" w:color="auto" w:sz="8" w:space="0"/>
            </w:tcBorders>
            <w:shd w:val="clear" w:color="auto" w:fill="auto"/>
            <w:noWrap/>
            <w:vAlign w:val="center"/>
          </w:tcPr>
          <w:p w14:paraId="56D2FC8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100d</w:t>
            </w:r>
          </w:p>
        </w:tc>
        <w:tc>
          <w:tcPr>
            <w:tcW w:w="1080" w:type="dxa"/>
            <w:tcBorders>
              <w:top w:val="nil"/>
              <w:left w:val="nil"/>
              <w:bottom w:val="single" w:color="auto" w:sz="8" w:space="0"/>
              <w:right w:val="single" w:color="auto" w:sz="8" w:space="0"/>
            </w:tcBorders>
            <w:shd w:val="clear" w:color="auto" w:fill="auto"/>
            <w:noWrap/>
            <w:vAlign w:val="center"/>
          </w:tcPr>
          <w:p w14:paraId="772EF77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365d</w:t>
            </w:r>
          </w:p>
        </w:tc>
        <w:tc>
          <w:tcPr>
            <w:tcW w:w="1080" w:type="dxa"/>
            <w:tcBorders>
              <w:top w:val="nil"/>
              <w:left w:val="nil"/>
              <w:bottom w:val="single" w:color="auto" w:sz="8" w:space="0"/>
              <w:right w:val="single" w:color="auto" w:sz="8" w:space="0"/>
            </w:tcBorders>
            <w:shd w:val="clear" w:color="auto" w:fill="auto"/>
            <w:noWrap/>
            <w:vAlign w:val="center"/>
          </w:tcPr>
          <w:p w14:paraId="5FD9BA4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1000d</w:t>
            </w:r>
          </w:p>
        </w:tc>
        <w:tc>
          <w:tcPr>
            <w:tcW w:w="1080" w:type="dxa"/>
            <w:tcBorders>
              <w:top w:val="nil"/>
              <w:left w:val="nil"/>
              <w:bottom w:val="single" w:color="auto" w:sz="8" w:space="0"/>
              <w:right w:val="single" w:color="auto" w:sz="8" w:space="0"/>
            </w:tcBorders>
            <w:shd w:val="clear" w:color="auto" w:fill="auto"/>
            <w:noWrap/>
            <w:vAlign w:val="center"/>
          </w:tcPr>
          <w:p w14:paraId="3ECBE21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100d</w:t>
            </w:r>
          </w:p>
        </w:tc>
        <w:tc>
          <w:tcPr>
            <w:tcW w:w="1080" w:type="dxa"/>
            <w:tcBorders>
              <w:top w:val="nil"/>
              <w:left w:val="nil"/>
              <w:bottom w:val="single" w:color="auto" w:sz="8" w:space="0"/>
              <w:right w:val="single" w:color="auto" w:sz="8" w:space="0"/>
            </w:tcBorders>
            <w:shd w:val="clear" w:color="auto" w:fill="auto"/>
            <w:noWrap/>
            <w:vAlign w:val="center"/>
          </w:tcPr>
          <w:p w14:paraId="2EACDA2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365d</w:t>
            </w:r>
          </w:p>
        </w:tc>
        <w:tc>
          <w:tcPr>
            <w:tcW w:w="1080" w:type="dxa"/>
            <w:tcBorders>
              <w:top w:val="nil"/>
              <w:left w:val="nil"/>
              <w:bottom w:val="single" w:color="auto" w:sz="8" w:space="0"/>
              <w:right w:val="single" w:color="auto" w:sz="8" w:space="0"/>
            </w:tcBorders>
            <w:shd w:val="clear" w:color="auto" w:fill="auto"/>
            <w:noWrap/>
            <w:vAlign w:val="center"/>
          </w:tcPr>
          <w:p w14:paraId="3839EF8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1000d</w:t>
            </w:r>
          </w:p>
        </w:tc>
      </w:tr>
      <w:tr w14:paraId="5DC5EF53">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3677BF9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w:t>
            </w:r>
          </w:p>
        </w:tc>
        <w:tc>
          <w:tcPr>
            <w:tcW w:w="1080" w:type="dxa"/>
            <w:tcBorders>
              <w:top w:val="nil"/>
              <w:left w:val="nil"/>
              <w:bottom w:val="single" w:color="auto" w:sz="8" w:space="0"/>
              <w:right w:val="single" w:color="auto" w:sz="8" w:space="0"/>
            </w:tcBorders>
            <w:shd w:val="clear" w:color="auto" w:fill="auto"/>
            <w:noWrap/>
            <w:vAlign w:val="center"/>
          </w:tcPr>
          <w:p w14:paraId="2AFE7ED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5.3938</w:t>
            </w:r>
          </w:p>
        </w:tc>
        <w:tc>
          <w:tcPr>
            <w:tcW w:w="1080" w:type="dxa"/>
            <w:tcBorders>
              <w:top w:val="nil"/>
              <w:left w:val="nil"/>
              <w:bottom w:val="single" w:color="auto" w:sz="8" w:space="0"/>
              <w:right w:val="single" w:color="auto" w:sz="8" w:space="0"/>
            </w:tcBorders>
            <w:shd w:val="clear" w:color="auto" w:fill="auto"/>
            <w:noWrap/>
            <w:vAlign w:val="center"/>
          </w:tcPr>
          <w:p w14:paraId="0055D12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5.3821</w:t>
            </w:r>
          </w:p>
        </w:tc>
        <w:tc>
          <w:tcPr>
            <w:tcW w:w="1080" w:type="dxa"/>
            <w:tcBorders>
              <w:top w:val="nil"/>
              <w:left w:val="nil"/>
              <w:bottom w:val="single" w:color="auto" w:sz="8" w:space="0"/>
              <w:right w:val="single" w:color="auto" w:sz="8" w:space="0"/>
            </w:tcBorders>
            <w:shd w:val="clear" w:color="auto" w:fill="auto"/>
            <w:noWrap/>
            <w:vAlign w:val="center"/>
          </w:tcPr>
          <w:p w14:paraId="7745C27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5.3768</w:t>
            </w:r>
          </w:p>
        </w:tc>
        <w:tc>
          <w:tcPr>
            <w:tcW w:w="1198" w:type="dxa"/>
            <w:tcBorders>
              <w:top w:val="nil"/>
              <w:left w:val="nil"/>
              <w:bottom w:val="single" w:color="auto" w:sz="8" w:space="0"/>
              <w:right w:val="single" w:color="auto" w:sz="8" w:space="0"/>
            </w:tcBorders>
            <w:shd w:val="clear" w:color="auto" w:fill="auto"/>
            <w:noWrap/>
            <w:vAlign w:val="center"/>
          </w:tcPr>
          <w:p w14:paraId="4A41843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7.2813</w:t>
            </w:r>
          </w:p>
        </w:tc>
        <w:tc>
          <w:tcPr>
            <w:tcW w:w="1021" w:type="dxa"/>
            <w:tcBorders>
              <w:top w:val="nil"/>
              <w:left w:val="nil"/>
              <w:bottom w:val="single" w:color="auto" w:sz="8" w:space="0"/>
              <w:right w:val="single" w:color="auto" w:sz="8" w:space="0"/>
            </w:tcBorders>
            <w:shd w:val="clear" w:color="auto" w:fill="auto"/>
            <w:noWrap/>
            <w:vAlign w:val="center"/>
          </w:tcPr>
          <w:p w14:paraId="4E7A943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6.9708</w:t>
            </w:r>
          </w:p>
        </w:tc>
        <w:tc>
          <w:tcPr>
            <w:tcW w:w="1021" w:type="dxa"/>
            <w:tcBorders>
              <w:top w:val="nil"/>
              <w:left w:val="nil"/>
              <w:bottom w:val="single" w:color="auto" w:sz="8" w:space="0"/>
              <w:right w:val="single" w:color="auto" w:sz="8" w:space="0"/>
            </w:tcBorders>
            <w:shd w:val="clear" w:color="auto" w:fill="auto"/>
            <w:noWrap/>
            <w:vAlign w:val="center"/>
          </w:tcPr>
          <w:p w14:paraId="4F93DD9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6.8312</w:t>
            </w:r>
          </w:p>
        </w:tc>
        <w:tc>
          <w:tcPr>
            <w:tcW w:w="1080" w:type="dxa"/>
            <w:tcBorders>
              <w:top w:val="nil"/>
              <w:left w:val="nil"/>
              <w:bottom w:val="single" w:color="auto" w:sz="8" w:space="0"/>
              <w:right w:val="single" w:color="auto" w:sz="8" w:space="0"/>
            </w:tcBorders>
            <w:shd w:val="clear" w:color="auto" w:fill="auto"/>
            <w:noWrap/>
            <w:vAlign w:val="center"/>
          </w:tcPr>
          <w:p w14:paraId="76A8AFC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834.2507</w:t>
            </w:r>
          </w:p>
        </w:tc>
        <w:tc>
          <w:tcPr>
            <w:tcW w:w="1080" w:type="dxa"/>
            <w:tcBorders>
              <w:top w:val="nil"/>
              <w:left w:val="nil"/>
              <w:bottom w:val="single" w:color="auto" w:sz="8" w:space="0"/>
              <w:right w:val="single" w:color="auto" w:sz="8" w:space="0"/>
            </w:tcBorders>
            <w:shd w:val="clear" w:color="auto" w:fill="auto"/>
            <w:noWrap/>
            <w:vAlign w:val="center"/>
          </w:tcPr>
          <w:p w14:paraId="406BB7B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831.1761</w:t>
            </w:r>
          </w:p>
        </w:tc>
        <w:tc>
          <w:tcPr>
            <w:tcW w:w="1080" w:type="dxa"/>
            <w:tcBorders>
              <w:top w:val="nil"/>
              <w:left w:val="nil"/>
              <w:bottom w:val="single" w:color="auto" w:sz="8" w:space="0"/>
              <w:right w:val="single" w:color="auto" w:sz="8" w:space="0"/>
            </w:tcBorders>
            <w:shd w:val="clear" w:color="auto" w:fill="auto"/>
            <w:noWrap/>
            <w:vAlign w:val="center"/>
          </w:tcPr>
          <w:p w14:paraId="7F7496B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829.7942</w:t>
            </w:r>
          </w:p>
        </w:tc>
        <w:tc>
          <w:tcPr>
            <w:tcW w:w="1080" w:type="dxa"/>
            <w:tcBorders>
              <w:top w:val="nil"/>
              <w:left w:val="nil"/>
              <w:bottom w:val="single" w:color="auto" w:sz="8" w:space="0"/>
              <w:right w:val="single" w:color="auto" w:sz="8" w:space="0"/>
            </w:tcBorders>
            <w:shd w:val="clear" w:color="auto" w:fill="auto"/>
            <w:noWrap/>
            <w:vAlign w:val="center"/>
          </w:tcPr>
          <w:p w14:paraId="36C6C82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0.0103</w:t>
            </w:r>
          </w:p>
        </w:tc>
        <w:tc>
          <w:tcPr>
            <w:tcW w:w="1080" w:type="dxa"/>
            <w:tcBorders>
              <w:top w:val="nil"/>
              <w:left w:val="nil"/>
              <w:bottom w:val="single" w:color="auto" w:sz="8" w:space="0"/>
              <w:right w:val="single" w:color="auto" w:sz="8" w:space="0"/>
            </w:tcBorders>
            <w:shd w:val="clear" w:color="auto" w:fill="auto"/>
            <w:noWrap/>
            <w:vAlign w:val="center"/>
          </w:tcPr>
          <w:p w14:paraId="02F8E90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c>
          <w:tcPr>
            <w:tcW w:w="1080" w:type="dxa"/>
            <w:tcBorders>
              <w:top w:val="nil"/>
              <w:left w:val="nil"/>
              <w:bottom w:val="single" w:color="auto" w:sz="8" w:space="0"/>
              <w:right w:val="single" w:color="auto" w:sz="8" w:space="0"/>
            </w:tcBorders>
            <w:shd w:val="clear" w:color="auto" w:fill="auto"/>
            <w:noWrap/>
            <w:vAlign w:val="center"/>
          </w:tcPr>
          <w:p w14:paraId="2210136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r>
      <w:tr w14:paraId="25FE6F9F">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0D7B32E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20</w:t>
            </w:r>
          </w:p>
        </w:tc>
        <w:tc>
          <w:tcPr>
            <w:tcW w:w="1080" w:type="dxa"/>
            <w:tcBorders>
              <w:top w:val="nil"/>
              <w:left w:val="nil"/>
              <w:bottom w:val="single" w:color="auto" w:sz="8" w:space="0"/>
              <w:right w:val="single" w:color="auto" w:sz="8" w:space="0"/>
            </w:tcBorders>
            <w:shd w:val="clear" w:color="auto" w:fill="auto"/>
            <w:noWrap/>
            <w:vAlign w:val="center"/>
          </w:tcPr>
          <w:p w14:paraId="4A5B682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5.5021</w:t>
            </w:r>
          </w:p>
        </w:tc>
        <w:tc>
          <w:tcPr>
            <w:tcW w:w="1080" w:type="dxa"/>
            <w:tcBorders>
              <w:top w:val="nil"/>
              <w:left w:val="nil"/>
              <w:bottom w:val="single" w:color="auto" w:sz="8" w:space="0"/>
              <w:right w:val="single" w:color="auto" w:sz="8" w:space="0"/>
            </w:tcBorders>
            <w:shd w:val="clear" w:color="auto" w:fill="auto"/>
            <w:noWrap/>
            <w:vAlign w:val="center"/>
          </w:tcPr>
          <w:p w14:paraId="2FB89E6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5.4053</w:t>
            </w:r>
          </w:p>
        </w:tc>
        <w:tc>
          <w:tcPr>
            <w:tcW w:w="1080" w:type="dxa"/>
            <w:tcBorders>
              <w:top w:val="nil"/>
              <w:left w:val="nil"/>
              <w:bottom w:val="single" w:color="auto" w:sz="8" w:space="0"/>
              <w:right w:val="single" w:color="auto" w:sz="8" w:space="0"/>
            </w:tcBorders>
            <w:shd w:val="clear" w:color="auto" w:fill="auto"/>
            <w:noWrap/>
            <w:vAlign w:val="center"/>
          </w:tcPr>
          <w:p w14:paraId="58A0B7C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5.3827</w:t>
            </w:r>
          </w:p>
        </w:tc>
        <w:tc>
          <w:tcPr>
            <w:tcW w:w="1198" w:type="dxa"/>
            <w:tcBorders>
              <w:top w:val="nil"/>
              <w:left w:val="nil"/>
              <w:bottom w:val="single" w:color="auto" w:sz="8" w:space="0"/>
              <w:right w:val="single" w:color="auto" w:sz="8" w:space="0"/>
            </w:tcBorders>
            <w:shd w:val="clear" w:color="auto" w:fill="auto"/>
            <w:noWrap/>
            <w:vAlign w:val="center"/>
          </w:tcPr>
          <w:p w14:paraId="28B6D3D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10.1518</w:t>
            </w:r>
          </w:p>
        </w:tc>
        <w:tc>
          <w:tcPr>
            <w:tcW w:w="1021" w:type="dxa"/>
            <w:tcBorders>
              <w:top w:val="nil"/>
              <w:left w:val="nil"/>
              <w:bottom w:val="single" w:color="auto" w:sz="8" w:space="0"/>
              <w:right w:val="single" w:color="auto" w:sz="8" w:space="0"/>
            </w:tcBorders>
            <w:shd w:val="clear" w:color="auto" w:fill="auto"/>
            <w:noWrap/>
            <w:vAlign w:val="center"/>
          </w:tcPr>
          <w:p w14:paraId="08E8A4D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7.5849</w:t>
            </w:r>
          </w:p>
        </w:tc>
        <w:tc>
          <w:tcPr>
            <w:tcW w:w="1021" w:type="dxa"/>
            <w:tcBorders>
              <w:top w:val="nil"/>
              <w:left w:val="nil"/>
              <w:bottom w:val="single" w:color="auto" w:sz="8" w:space="0"/>
              <w:right w:val="single" w:color="auto" w:sz="8" w:space="0"/>
            </w:tcBorders>
            <w:shd w:val="clear" w:color="auto" w:fill="auto"/>
            <w:noWrap/>
            <w:vAlign w:val="center"/>
          </w:tcPr>
          <w:p w14:paraId="60086A2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6.9867</w:t>
            </w:r>
          </w:p>
        </w:tc>
        <w:tc>
          <w:tcPr>
            <w:tcW w:w="1080" w:type="dxa"/>
            <w:tcBorders>
              <w:top w:val="nil"/>
              <w:left w:val="nil"/>
              <w:bottom w:val="single" w:color="auto" w:sz="8" w:space="0"/>
              <w:right w:val="single" w:color="auto" w:sz="8" w:space="0"/>
            </w:tcBorders>
            <w:shd w:val="clear" w:color="auto" w:fill="auto"/>
            <w:noWrap/>
            <w:vAlign w:val="center"/>
          </w:tcPr>
          <w:p w14:paraId="3DDD2DC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862.674</w:t>
            </w:r>
          </w:p>
        </w:tc>
        <w:tc>
          <w:tcPr>
            <w:tcW w:w="1080" w:type="dxa"/>
            <w:tcBorders>
              <w:top w:val="nil"/>
              <w:left w:val="nil"/>
              <w:bottom w:val="single" w:color="auto" w:sz="8" w:space="0"/>
              <w:right w:val="single" w:color="auto" w:sz="8" w:space="0"/>
            </w:tcBorders>
            <w:shd w:val="clear" w:color="auto" w:fill="auto"/>
            <w:noWrap/>
            <w:vAlign w:val="center"/>
          </w:tcPr>
          <w:p w14:paraId="69326D2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837.2577</w:t>
            </w:r>
          </w:p>
        </w:tc>
        <w:tc>
          <w:tcPr>
            <w:tcW w:w="1080" w:type="dxa"/>
            <w:tcBorders>
              <w:top w:val="nil"/>
              <w:left w:val="nil"/>
              <w:bottom w:val="single" w:color="auto" w:sz="8" w:space="0"/>
              <w:right w:val="single" w:color="auto" w:sz="8" w:space="0"/>
            </w:tcBorders>
            <w:shd w:val="clear" w:color="auto" w:fill="auto"/>
            <w:noWrap/>
            <w:vAlign w:val="center"/>
          </w:tcPr>
          <w:p w14:paraId="4E91878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831.3342</w:t>
            </w:r>
          </w:p>
        </w:tc>
        <w:tc>
          <w:tcPr>
            <w:tcW w:w="1080" w:type="dxa"/>
            <w:tcBorders>
              <w:top w:val="nil"/>
              <w:left w:val="nil"/>
              <w:bottom w:val="single" w:color="auto" w:sz="8" w:space="0"/>
              <w:right w:val="single" w:color="auto" w:sz="8" w:space="0"/>
            </w:tcBorders>
            <w:shd w:val="clear" w:color="auto" w:fill="auto"/>
            <w:noWrap/>
            <w:vAlign w:val="center"/>
          </w:tcPr>
          <w:p w14:paraId="4008CEC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0.0116</w:t>
            </w:r>
          </w:p>
        </w:tc>
        <w:tc>
          <w:tcPr>
            <w:tcW w:w="1080" w:type="dxa"/>
            <w:tcBorders>
              <w:top w:val="nil"/>
              <w:left w:val="nil"/>
              <w:bottom w:val="single" w:color="auto" w:sz="8" w:space="0"/>
              <w:right w:val="single" w:color="auto" w:sz="8" w:space="0"/>
            </w:tcBorders>
            <w:shd w:val="clear" w:color="auto" w:fill="auto"/>
            <w:noWrap/>
            <w:vAlign w:val="center"/>
          </w:tcPr>
          <w:p w14:paraId="2CF2BEB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0.0104</w:t>
            </w:r>
          </w:p>
        </w:tc>
        <w:tc>
          <w:tcPr>
            <w:tcW w:w="1080" w:type="dxa"/>
            <w:tcBorders>
              <w:top w:val="nil"/>
              <w:left w:val="nil"/>
              <w:bottom w:val="single" w:color="auto" w:sz="8" w:space="0"/>
              <w:right w:val="single" w:color="auto" w:sz="8" w:space="0"/>
            </w:tcBorders>
            <w:shd w:val="clear" w:color="auto" w:fill="auto"/>
            <w:noWrap/>
            <w:vAlign w:val="center"/>
          </w:tcPr>
          <w:p w14:paraId="778AE19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14:paraId="2F259197">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2D0CFF1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40</w:t>
            </w:r>
          </w:p>
        </w:tc>
        <w:tc>
          <w:tcPr>
            <w:tcW w:w="1080" w:type="dxa"/>
            <w:tcBorders>
              <w:top w:val="nil"/>
              <w:left w:val="nil"/>
              <w:bottom w:val="single" w:color="auto" w:sz="8" w:space="0"/>
              <w:right w:val="single" w:color="auto" w:sz="8" w:space="0"/>
            </w:tcBorders>
            <w:shd w:val="clear" w:color="auto" w:fill="auto"/>
            <w:noWrap/>
            <w:vAlign w:val="center"/>
          </w:tcPr>
          <w:p w14:paraId="66A3683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5.4334</w:t>
            </w:r>
          </w:p>
        </w:tc>
        <w:tc>
          <w:tcPr>
            <w:tcW w:w="1080" w:type="dxa"/>
            <w:tcBorders>
              <w:top w:val="nil"/>
              <w:left w:val="nil"/>
              <w:bottom w:val="single" w:color="auto" w:sz="8" w:space="0"/>
              <w:right w:val="single" w:color="auto" w:sz="8" w:space="0"/>
            </w:tcBorders>
            <w:shd w:val="clear" w:color="auto" w:fill="auto"/>
            <w:noWrap/>
            <w:vAlign w:val="center"/>
          </w:tcPr>
          <w:p w14:paraId="25E171F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5.4147</w:t>
            </w:r>
          </w:p>
        </w:tc>
        <w:tc>
          <w:tcPr>
            <w:tcW w:w="1080" w:type="dxa"/>
            <w:tcBorders>
              <w:top w:val="nil"/>
              <w:left w:val="nil"/>
              <w:bottom w:val="single" w:color="auto" w:sz="8" w:space="0"/>
              <w:right w:val="single" w:color="auto" w:sz="8" w:space="0"/>
            </w:tcBorders>
            <w:shd w:val="clear" w:color="auto" w:fill="auto"/>
            <w:noWrap/>
            <w:vAlign w:val="center"/>
          </w:tcPr>
          <w:p w14:paraId="54DE4A8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5.3878</w:t>
            </w:r>
          </w:p>
        </w:tc>
        <w:tc>
          <w:tcPr>
            <w:tcW w:w="1198" w:type="dxa"/>
            <w:tcBorders>
              <w:top w:val="nil"/>
              <w:left w:val="nil"/>
              <w:bottom w:val="single" w:color="auto" w:sz="8" w:space="0"/>
              <w:right w:val="single" w:color="auto" w:sz="8" w:space="0"/>
            </w:tcBorders>
            <w:shd w:val="clear" w:color="auto" w:fill="auto"/>
            <w:noWrap/>
            <w:vAlign w:val="center"/>
          </w:tcPr>
          <w:p w14:paraId="6EDEEF0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8.3299</w:t>
            </w:r>
          </w:p>
        </w:tc>
        <w:tc>
          <w:tcPr>
            <w:tcW w:w="1021" w:type="dxa"/>
            <w:tcBorders>
              <w:top w:val="nil"/>
              <w:left w:val="nil"/>
              <w:bottom w:val="single" w:color="auto" w:sz="8" w:space="0"/>
              <w:right w:val="single" w:color="auto" w:sz="8" w:space="0"/>
            </w:tcBorders>
            <w:shd w:val="clear" w:color="auto" w:fill="auto"/>
            <w:noWrap/>
            <w:vAlign w:val="center"/>
          </w:tcPr>
          <w:p w14:paraId="7985617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7.8348</w:t>
            </w:r>
          </w:p>
        </w:tc>
        <w:tc>
          <w:tcPr>
            <w:tcW w:w="1021" w:type="dxa"/>
            <w:tcBorders>
              <w:top w:val="nil"/>
              <w:left w:val="nil"/>
              <w:bottom w:val="single" w:color="auto" w:sz="8" w:space="0"/>
              <w:right w:val="single" w:color="auto" w:sz="8" w:space="0"/>
            </w:tcBorders>
            <w:shd w:val="clear" w:color="auto" w:fill="auto"/>
            <w:noWrap/>
            <w:vAlign w:val="center"/>
          </w:tcPr>
          <w:p w14:paraId="0CF8345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7.1218</w:t>
            </w:r>
          </w:p>
        </w:tc>
        <w:tc>
          <w:tcPr>
            <w:tcW w:w="1080" w:type="dxa"/>
            <w:tcBorders>
              <w:top w:val="nil"/>
              <w:left w:val="nil"/>
              <w:bottom w:val="single" w:color="auto" w:sz="8" w:space="0"/>
              <w:right w:val="single" w:color="auto" w:sz="8" w:space="0"/>
            </w:tcBorders>
            <w:shd w:val="clear" w:color="auto" w:fill="auto"/>
            <w:noWrap/>
            <w:vAlign w:val="center"/>
          </w:tcPr>
          <w:p w14:paraId="28FCFD6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844.634</w:t>
            </w:r>
          </w:p>
        </w:tc>
        <w:tc>
          <w:tcPr>
            <w:tcW w:w="1080" w:type="dxa"/>
            <w:tcBorders>
              <w:top w:val="nil"/>
              <w:left w:val="nil"/>
              <w:bottom w:val="single" w:color="auto" w:sz="8" w:space="0"/>
              <w:right w:val="single" w:color="auto" w:sz="8" w:space="0"/>
            </w:tcBorders>
            <w:shd w:val="clear" w:color="auto" w:fill="auto"/>
            <w:noWrap/>
            <w:vAlign w:val="center"/>
          </w:tcPr>
          <w:p w14:paraId="0C91D4F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839.731</w:t>
            </w:r>
          </w:p>
        </w:tc>
        <w:tc>
          <w:tcPr>
            <w:tcW w:w="1080" w:type="dxa"/>
            <w:tcBorders>
              <w:top w:val="nil"/>
              <w:left w:val="nil"/>
              <w:bottom w:val="single" w:color="auto" w:sz="8" w:space="0"/>
              <w:right w:val="single" w:color="auto" w:sz="8" w:space="0"/>
            </w:tcBorders>
            <w:shd w:val="clear" w:color="auto" w:fill="auto"/>
            <w:noWrap/>
            <w:vAlign w:val="center"/>
          </w:tcPr>
          <w:p w14:paraId="51A420A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832.6718</w:t>
            </w:r>
          </w:p>
        </w:tc>
        <w:tc>
          <w:tcPr>
            <w:tcW w:w="1080" w:type="dxa"/>
            <w:tcBorders>
              <w:top w:val="nil"/>
              <w:left w:val="nil"/>
              <w:bottom w:val="single" w:color="auto" w:sz="8" w:space="0"/>
              <w:right w:val="single" w:color="auto" w:sz="8" w:space="0"/>
            </w:tcBorders>
            <w:shd w:val="clear" w:color="auto" w:fill="auto"/>
            <w:noWrap/>
            <w:vAlign w:val="center"/>
          </w:tcPr>
          <w:p w14:paraId="2085C2D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0.0108</w:t>
            </w:r>
          </w:p>
        </w:tc>
        <w:tc>
          <w:tcPr>
            <w:tcW w:w="1080" w:type="dxa"/>
            <w:tcBorders>
              <w:top w:val="nil"/>
              <w:left w:val="nil"/>
              <w:bottom w:val="single" w:color="auto" w:sz="8" w:space="0"/>
              <w:right w:val="single" w:color="auto" w:sz="8" w:space="0"/>
            </w:tcBorders>
            <w:shd w:val="clear" w:color="auto" w:fill="auto"/>
            <w:noWrap/>
            <w:vAlign w:val="center"/>
          </w:tcPr>
          <w:p w14:paraId="468FBA7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0.0105</w:t>
            </w:r>
          </w:p>
        </w:tc>
        <w:tc>
          <w:tcPr>
            <w:tcW w:w="1080" w:type="dxa"/>
            <w:tcBorders>
              <w:top w:val="nil"/>
              <w:left w:val="nil"/>
              <w:bottom w:val="single" w:color="auto" w:sz="8" w:space="0"/>
              <w:right w:val="single" w:color="auto" w:sz="8" w:space="0"/>
            </w:tcBorders>
            <w:shd w:val="clear" w:color="auto" w:fill="auto"/>
            <w:noWrap/>
            <w:vAlign w:val="center"/>
          </w:tcPr>
          <w:p w14:paraId="12F07E2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14:paraId="261B1F4B">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4F4F106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60</w:t>
            </w:r>
          </w:p>
        </w:tc>
        <w:tc>
          <w:tcPr>
            <w:tcW w:w="1080" w:type="dxa"/>
            <w:tcBorders>
              <w:top w:val="nil"/>
              <w:left w:val="nil"/>
              <w:bottom w:val="single" w:color="auto" w:sz="8" w:space="0"/>
              <w:right w:val="single" w:color="auto" w:sz="8" w:space="0"/>
            </w:tcBorders>
            <w:shd w:val="clear" w:color="auto" w:fill="auto"/>
            <w:noWrap/>
            <w:vAlign w:val="center"/>
          </w:tcPr>
          <w:p w14:paraId="2734B18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5.3787</w:t>
            </w:r>
          </w:p>
        </w:tc>
        <w:tc>
          <w:tcPr>
            <w:tcW w:w="1080" w:type="dxa"/>
            <w:tcBorders>
              <w:top w:val="nil"/>
              <w:left w:val="nil"/>
              <w:bottom w:val="single" w:color="auto" w:sz="8" w:space="0"/>
              <w:right w:val="single" w:color="auto" w:sz="8" w:space="0"/>
            </w:tcBorders>
            <w:shd w:val="clear" w:color="auto" w:fill="auto"/>
            <w:noWrap/>
            <w:vAlign w:val="center"/>
          </w:tcPr>
          <w:p w14:paraId="2B8C7DA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5.4063</w:t>
            </w:r>
          </w:p>
        </w:tc>
        <w:tc>
          <w:tcPr>
            <w:tcW w:w="1080" w:type="dxa"/>
            <w:tcBorders>
              <w:top w:val="nil"/>
              <w:left w:val="nil"/>
              <w:bottom w:val="single" w:color="auto" w:sz="8" w:space="0"/>
              <w:right w:val="single" w:color="auto" w:sz="8" w:space="0"/>
            </w:tcBorders>
            <w:shd w:val="clear" w:color="auto" w:fill="auto"/>
            <w:noWrap/>
            <w:vAlign w:val="center"/>
          </w:tcPr>
          <w:p w14:paraId="47BCA30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5.3907</w:t>
            </w:r>
          </w:p>
        </w:tc>
        <w:tc>
          <w:tcPr>
            <w:tcW w:w="1198" w:type="dxa"/>
            <w:tcBorders>
              <w:top w:val="nil"/>
              <w:left w:val="nil"/>
              <w:bottom w:val="single" w:color="auto" w:sz="8" w:space="0"/>
              <w:right w:val="single" w:color="auto" w:sz="8" w:space="0"/>
            </w:tcBorders>
            <w:shd w:val="clear" w:color="auto" w:fill="auto"/>
            <w:noWrap/>
            <w:vAlign w:val="center"/>
          </w:tcPr>
          <w:p w14:paraId="2AC6B14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6.8808</w:t>
            </w:r>
          </w:p>
        </w:tc>
        <w:tc>
          <w:tcPr>
            <w:tcW w:w="1021" w:type="dxa"/>
            <w:tcBorders>
              <w:top w:val="nil"/>
              <w:left w:val="nil"/>
              <w:bottom w:val="single" w:color="auto" w:sz="8" w:space="0"/>
              <w:right w:val="single" w:color="auto" w:sz="8" w:space="0"/>
            </w:tcBorders>
            <w:shd w:val="clear" w:color="auto" w:fill="auto"/>
            <w:noWrap/>
            <w:vAlign w:val="center"/>
          </w:tcPr>
          <w:p w14:paraId="238B24E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7.6126</w:t>
            </w:r>
          </w:p>
        </w:tc>
        <w:tc>
          <w:tcPr>
            <w:tcW w:w="1021" w:type="dxa"/>
            <w:tcBorders>
              <w:top w:val="nil"/>
              <w:left w:val="nil"/>
              <w:bottom w:val="single" w:color="auto" w:sz="8" w:space="0"/>
              <w:right w:val="single" w:color="auto" w:sz="8" w:space="0"/>
            </w:tcBorders>
            <w:shd w:val="clear" w:color="auto" w:fill="auto"/>
            <w:noWrap/>
            <w:vAlign w:val="center"/>
          </w:tcPr>
          <w:p w14:paraId="2C13189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7.1979</w:t>
            </w:r>
          </w:p>
        </w:tc>
        <w:tc>
          <w:tcPr>
            <w:tcW w:w="1080" w:type="dxa"/>
            <w:tcBorders>
              <w:top w:val="nil"/>
              <w:left w:val="nil"/>
              <w:bottom w:val="single" w:color="auto" w:sz="8" w:space="0"/>
              <w:right w:val="single" w:color="auto" w:sz="8" w:space="0"/>
            </w:tcBorders>
            <w:shd w:val="clear" w:color="auto" w:fill="auto"/>
            <w:noWrap/>
            <w:vAlign w:val="center"/>
          </w:tcPr>
          <w:p w14:paraId="73A349E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830.2858</w:t>
            </w:r>
          </w:p>
        </w:tc>
        <w:tc>
          <w:tcPr>
            <w:tcW w:w="1080" w:type="dxa"/>
            <w:tcBorders>
              <w:top w:val="nil"/>
              <w:left w:val="nil"/>
              <w:bottom w:val="single" w:color="auto" w:sz="8" w:space="0"/>
              <w:right w:val="single" w:color="auto" w:sz="8" w:space="0"/>
            </w:tcBorders>
            <w:shd w:val="clear" w:color="auto" w:fill="auto"/>
            <w:noWrap/>
            <w:vAlign w:val="center"/>
          </w:tcPr>
          <w:p w14:paraId="5A57C03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837.5318</w:t>
            </w:r>
          </w:p>
        </w:tc>
        <w:tc>
          <w:tcPr>
            <w:tcW w:w="1080" w:type="dxa"/>
            <w:tcBorders>
              <w:top w:val="nil"/>
              <w:left w:val="nil"/>
              <w:bottom w:val="single" w:color="auto" w:sz="8" w:space="0"/>
              <w:right w:val="single" w:color="auto" w:sz="8" w:space="0"/>
            </w:tcBorders>
            <w:shd w:val="clear" w:color="auto" w:fill="auto"/>
            <w:noWrap/>
            <w:vAlign w:val="center"/>
          </w:tcPr>
          <w:p w14:paraId="7376FEB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833.4249</w:t>
            </w:r>
          </w:p>
        </w:tc>
        <w:tc>
          <w:tcPr>
            <w:tcW w:w="1080" w:type="dxa"/>
            <w:tcBorders>
              <w:top w:val="nil"/>
              <w:left w:val="nil"/>
              <w:bottom w:val="single" w:color="auto" w:sz="8" w:space="0"/>
              <w:right w:val="single" w:color="auto" w:sz="8" w:space="0"/>
            </w:tcBorders>
            <w:shd w:val="clear" w:color="auto" w:fill="auto"/>
            <w:noWrap/>
            <w:vAlign w:val="center"/>
          </w:tcPr>
          <w:p w14:paraId="371767E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c>
          <w:tcPr>
            <w:tcW w:w="1080" w:type="dxa"/>
            <w:tcBorders>
              <w:top w:val="nil"/>
              <w:left w:val="nil"/>
              <w:bottom w:val="single" w:color="auto" w:sz="8" w:space="0"/>
              <w:right w:val="single" w:color="auto" w:sz="8" w:space="0"/>
            </w:tcBorders>
            <w:shd w:val="clear" w:color="auto" w:fill="auto"/>
            <w:noWrap/>
            <w:vAlign w:val="center"/>
          </w:tcPr>
          <w:p w14:paraId="17FB1C8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0.0104</w:t>
            </w:r>
          </w:p>
        </w:tc>
        <w:tc>
          <w:tcPr>
            <w:tcW w:w="1080" w:type="dxa"/>
            <w:tcBorders>
              <w:top w:val="nil"/>
              <w:left w:val="nil"/>
              <w:bottom w:val="single" w:color="auto" w:sz="8" w:space="0"/>
              <w:right w:val="single" w:color="auto" w:sz="8" w:space="0"/>
            </w:tcBorders>
            <w:shd w:val="clear" w:color="auto" w:fill="auto"/>
            <w:noWrap/>
            <w:vAlign w:val="center"/>
          </w:tcPr>
          <w:p w14:paraId="1783608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14:paraId="5E9B2C05">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798C4A9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80</w:t>
            </w:r>
          </w:p>
        </w:tc>
        <w:tc>
          <w:tcPr>
            <w:tcW w:w="1080" w:type="dxa"/>
            <w:tcBorders>
              <w:top w:val="nil"/>
              <w:left w:val="nil"/>
              <w:bottom w:val="single" w:color="auto" w:sz="8" w:space="0"/>
              <w:right w:val="single" w:color="auto" w:sz="8" w:space="0"/>
            </w:tcBorders>
            <w:shd w:val="clear" w:color="auto" w:fill="auto"/>
            <w:noWrap/>
            <w:vAlign w:val="center"/>
          </w:tcPr>
          <w:p w14:paraId="1615CA7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5.3704</w:t>
            </w:r>
          </w:p>
        </w:tc>
        <w:tc>
          <w:tcPr>
            <w:tcW w:w="1080" w:type="dxa"/>
            <w:tcBorders>
              <w:top w:val="nil"/>
              <w:left w:val="nil"/>
              <w:bottom w:val="single" w:color="auto" w:sz="8" w:space="0"/>
              <w:right w:val="single" w:color="auto" w:sz="8" w:space="0"/>
            </w:tcBorders>
            <w:shd w:val="clear" w:color="auto" w:fill="auto"/>
            <w:noWrap/>
            <w:vAlign w:val="center"/>
          </w:tcPr>
          <w:p w14:paraId="5D03E6D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5.3906</w:t>
            </w:r>
          </w:p>
        </w:tc>
        <w:tc>
          <w:tcPr>
            <w:tcW w:w="1080" w:type="dxa"/>
            <w:tcBorders>
              <w:top w:val="nil"/>
              <w:left w:val="nil"/>
              <w:bottom w:val="single" w:color="auto" w:sz="8" w:space="0"/>
              <w:right w:val="single" w:color="auto" w:sz="8" w:space="0"/>
            </w:tcBorders>
            <w:shd w:val="clear" w:color="auto" w:fill="auto"/>
            <w:noWrap/>
            <w:vAlign w:val="center"/>
          </w:tcPr>
          <w:p w14:paraId="79BC33E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5.3906</w:t>
            </w:r>
          </w:p>
        </w:tc>
        <w:tc>
          <w:tcPr>
            <w:tcW w:w="1198" w:type="dxa"/>
            <w:tcBorders>
              <w:top w:val="nil"/>
              <w:left w:val="nil"/>
              <w:bottom w:val="single" w:color="auto" w:sz="8" w:space="0"/>
              <w:right w:val="single" w:color="auto" w:sz="8" w:space="0"/>
            </w:tcBorders>
            <w:shd w:val="clear" w:color="auto" w:fill="auto"/>
            <w:noWrap/>
            <w:vAlign w:val="center"/>
          </w:tcPr>
          <w:p w14:paraId="4420F92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6.6604</w:t>
            </w:r>
          </w:p>
        </w:tc>
        <w:tc>
          <w:tcPr>
            <w:tcW w:w="1021" w:type="dxa"/>
            <w:tcBorders>
              <w:top w:val="nil"/>
              <w:left w:val="nil"/>
              <w:bottom w:val="single" w:color="auto" w:sz="8" w:space="0"/>
              <w:right w:val="single" w:color="auto" w:sz="8" w:space="0"/>
            </w:tcBorders>
            <w:shd w:val="clear" w:color="auto" w:fill="auto"/>
            <w:noWrap/>
            <w:vAlign w:val="center"/>
          </w:tcPr>
          <w:p w14:paraId="4003BA0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7.1967</w:t>
            </w:r>
          </w:p>
        </w:tc>
        <w:tc>
          <w:tcPr>
            <w:tcW w:w="1021" w:type="dxa"/>
            <w:tcBorders>
              <w:top w:val="nil"/>
              <w:left w:val="nil"/>
              <w:bottom w:val="single" w:color="auto" w:sz="8" w:space="0"/>
              <w:right w:val="single" w:color="auto" w:sz="8" w:space="0"/>
            </w:tcBorders>
            <w:shd w:val="clear" w:color="auto" w:fill="auto"/>
            <w:noWrap/>
            <w:vAlign w:val="center"/>
          </w:tcPr>
          <w:p w14:paraId="6A040BA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7.1965</w:t>
            </w:r>
          </w:p>
        </w:tc>
        <w:tc>
          <w:tcPr>
            <w:tcW w:w="1080" w:type="dxa"/>
            <w:tcBorders>
              <w:top w:val="nil"/>
              <w:left w:val="nil"/>
              <w:bottom w:val="single" w:color="auto" w:sz="8" w:space="0"/>
              <w:right w:val="single" w:color="auto" w:sz="8" w:space="0"/>
            </w:tcBorders>
            <w:shd w:val="clear" w:color="auto" w:fill="auto"/>
            <w:noWrap/>
            <w:vAlign w:val="center"/>
          </w:tcPr>
          <w:p w14:paraId="384034E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828.1034</w:t>
            </w:r>
          </w:p>
        </w:tc>
        <w:tc>
          <w:tcPr>
            <w:tcW w:w="1080" w:type="dxa"/>
            <w:tcBorders>
              <w:top w:val="nil"/>
              <w:left w:val="nil"/>
              <w:bottom w:val="single" w:color="auto" w:sz="8" w:space="0"/>
              <w:right w:val="single" w:color="auto" w:sz="8" w:space="0"/>
            </w:tcBorders>
            <w:shd w:val="clear" w:color="auto" w:fill="auto"/>
            <w:noWrap/>
            <w:vAlign w:val="center"/>
          </w:tcPr>
          <w:p w14:paraId="123B3C7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833.4137</w:t>
            </w:r>
          </w:p>
        </w:tc>
        <w:tc>
          <w:tcPr>
            <w:tcW w:w="1080" w:type="dxa"/>
            <w:tcBorders>
              <w:top w:val="nil"/>
              <w:left w:val="nil"/>
              <w:bottom w:val="single" w:color="auto" w:sz="8" w:space="0"/>
              <w:right w:val="single" w:color="auto" w:sz="8" w:space="0"/>
            </w:tcBorders>
            <w:shd w:val="clear" w:color="auto" w:fill="auto"/>
            <w:noWrap/>
            <w:vAlign w:val="center"/>
          </w:tcPr>
          <w:p w14:paraId="058B8F4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833.4117</w:t>
            </w:r>
          </w:p>
        </w:tc>
        <w:tc>
          <w:tcPr>
            <w:tcW w:w="1080" w:type="dxa"/>
            <w:tcBorders>
              <w:top w:val="nil"/>
              <w:left w:val="nil"/>
              <w:bottom w:val="single" w:color="auto" w:sz="8" w:space="0"/>
              <w:right w:val="single" w:color="auto" w:sz="8" w:space="0"/>
            </w:tcBorders>
            <w:shd w:val="clear" w:color="auto" w:fill="auto"/>
            <w:noWrap/>
            <w:vAlign w:val="center"/>
          </w:tcPr>
          <w:p w14:paraId="5605504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24E6267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0.0103</w:t>
            </w:r>
          </w:p>
        </w:tc>
        <w:tc>
          <w:tcPr>
            <w:tcW w:w="1080" w:type="dxa"/>
            <w:tcBorders>
              <w:top w:val="nil"/>
              <w:left w:val="nil"/>
              <w:bottom w:val="single" w:color="auto" w:sz="8" w:space="0"/>
              <w:right w:val="single" w:color="auto" w:sz="8" w:space="0"/>
            </w:tcBorders>
            <w:shd w:val="clear" w:color="auto" w:fill="auto"/>
            <w:noWrap/>
            <w:vAlign w:val="center"/>
          </w:tcPr>
          <w:p w14:paraId="2C5F49B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14:paraId="63180FA0">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01F4AD6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w:t>
            </w:r>
          </w:p>
        </w:tc>
        <w:tc>
          <w:tcPr>
            <w:tcW w:w="1080" w:type="dxa"/>
            <w:tcBorders>
              <w:top w:val="nil"/>
              <w:left w:val="nil"/>
              <w:bottom w:val="single" w:color="auto" w:sz="8" w:space="0"/>
              <w:right w:val="single" w:color="auto" w:sz="8" w:space="0"/>
            </w:tcBorders>
            <w:shd w:val="clear" w:color="auto" w:fill="auto"/>
            <w:noWrap/>
            <w:vAlign w:val="center"/>
          </w:tcPr>
          <w:p w14:paraId="22AD56B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6EE4351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5.3785</w:t>
            </w:r>
          </w:p>
        </w:tc>
        <w:tc>
          <w:tcPr>
            <w:tcW w:w="1080" w:type="dxa"/>
            <w:tcBorders>
              <w:top w:val="nil"/>
              <w:left w:val="nil"/>
              <w:bottom w:val="single" w:color="auto" w:sz="8" w:space="0"/>
              <w:right w:val="single" w:color="auto" w:sz="8" w:space="0"/>
            </w:tcBorders>
            <w:shd w:val="clear" w:color="auto" w:fill="auto"/>
            <w:noWrap/>
            <w:vAlign w:val="center"/>
          </w:tcPr>
          <w:p w14:paraId="43D6CF2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5.388</w:t>
            </w:r>
          </w:p>
        </w:tc>
        <w:tc>
          <w:tcPr>
            <w:tcW w:w="1198" w:type="dxa"/>
            <w:tcBorders>
              <w:top w:val="nil"/>
              <w:left w:val="nil"/>
              <w:bottom w:val="single" w:color="auto" w:sz="8" w:space="0"/>
              <w:right w:val="single" w:color="auto" w:sz="8" w:space="0"/>
            </w:tcBorders>
            <w:shd w:val="clear" w:color="auto" w:fill="auto"/>
            <w:noWrap/>
            <w:vAlign w:val="center"/>
          </w:tcPr>
          <w:p w14:paraId="22D63D2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6.6502</w:t>
            </w:r>
          </w:p>
        </w:tc>
        <w:tc>
          <w:tcPr>
            <w:tcW w:w="1021" w:type="dxa"/>
            <w:tcBorders>
              <w:top w:val="nil"/>
              <w:left w:val="nil"/>
              <w:bottom w:val="single" w:color="auto" w:sz="8" w:space="0"/>
              <w:right w:val="single" w:color="auto" w:sz="8" w:space="0"/>
            </w:tcBorders>
            <w:shd w:val="clear" w:color="auto" w:fill="auto"/>
            <w:noWrap/>
            <w:vAlign w:val="center"/>
          </w:tcPr>
          <w:p w14:paraId="0FF3B75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6.8745</w:t>
            </w:r>
          </w:p>
        </w:tc>
        <w:tc>
          <w:tcPr>
            <w:tcW w:w="1021" w:type="dxa"/>
            <w:tcBorders>
              <w:top w:val="nil"/>
              <w:left w:val="nil"/>
              <w:bottom w:val="single" w:color="auto" w:sz="8" w:space="0"/>
              <w:right w:val="single" w:color="auto" w:sz="8" w:space="0"/>
            </w:tcBorders>
            <w:shd w:val="clear" w:color="auto" w:fill="auto"/>
            <w:noWrap/>
            <w:vAlign w:val="center"/>
          </w:tcPr>
          <w:p w14:paraId="13CC44D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7.1267</w:t>
            </w:r>
          </w:p>
        </w:tc>
        <w:tc>
          <w:tcPr>
            <w:tcW w:w="1080" w:type="dxa"/>
            <w:tcBorders>
              <w:top w:val="nil"/>
              <w:left w:val="nil"/>
              <w:bottom w:val="single" w:color="auto" w:sz="8" w:space="0"/>
              <w:right w:val="single" w:color="auto" w:sz="8" w:space="0"/>
            </w:tcBorders>
            <w:shd w:val="clear" w:color="auto" w:fill="auto"/>
            <w:noWrap/>
            <w:vAlign w:val="center"/>
          </w:tcPr>
          <w:p w14:paraId="1E7AB31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828.0016</w:t>
            </w:r>
          </w:p>
        </w:tc>
        <w:tc>
          <w:tcPr>
            <w:tcW w:w="1080" w:type="dxa"/>
            <w:tcBorders>
              <w:top w:val="nil"/>
              <w:left w:val="nil"/>
              <w:bottom w:val="single" w:color="auto" w:sz="8" w:space="0"/>
              <w:right w:val="single" w:color="auto" w:sz="8" w:space="0"/>
            </w:tcBorders>
            <w:shd w:val="clear" w:color="auto" w:fill="auto"/>
            <w:noWrap/>
            <w:vAlign w:val="center"/>
          </w:tcPr>
          <w:p w14:paraId="64356D4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830.223</w:t>
            </w:r>
          </w:p>
        </w:tc>
        <w:tc>
          <w:tcPr>
            <w:tcW w:w="1080" w:type="dxa"/>
            <w:tcBorders>
              <w:top w:val="nil"/>
              <w:left w:val="nil"/>
              <w:bottom w:val="single" w:color="auto" w:sz="8" w:space="0"/>
              <w:right w:val="single" w:color="auto" w:sz="8" w:space="0"/>
            </w:tcBorders>
            <w:shd w:val="clear" w:color="auto" w:fill="auto"/>
            <w:noWrap/>
            <w:vAlign w:val="center"/>
          </w:tcPr>
          <w:p w14:paraId="70ADC9D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832.72</w:t>
            </w:r>
          </w:p>
        </w:tc>
        <w:tc>
          <w:tcPr>
            <w:tcW w:w="1080" w:type="dxa"/>
            <w:tcBorders>
              <w:top w:val="nil"/>
              <w:left w:val="nil"/>
              <w:bottom w:val="single" w:color="auto" w:sz="8" w:space="0"/>
              <w:right w:val="single" w:color="auto" w:sz="8" w:space="0"/>
            </w:tcBorders>
            <w:shd w:val="clear" w:color="auto" w:fill="auto"/>
            <w:noWrap/>
            <w:vAlign w:val="center"/>
          </w:tcPr>
          <w:p w14:paraId="5624BB1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5A29F23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c>
          <w:tcPr>
            <w:tcW w:w="1080" w:type="dxa"/>
            <w:tcBorders>
              <w:top w:val="nil"/>
              <w:left w:val="nil"/>
              <w:bottom w:val="single" w:color="auto" w:sz="8" w:space="0"/>
              <w:right w:val="single" w:color="auto" w:sz="8" w:space="0"/>
            </w:tcBorders>
            <w:shd w:val="clear" w:color="auto" w:fill="auto"/>
            <w:noWrap/>
            <w:vAlign w:val="center"/>
          </w:tcPr>
          <w:p w14:paraId="163DFCC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14:paraId="4925855B">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0AB1739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120</w:t>
            </w:r>
          </w:p>
        </w:tc>
        <w:tc>
          <w:tcPr>
            <w:tcW w:w="1080" w:type="dxa"/>
            <w:tcBorders>
              <w:top w:val="nil"/>
              <w:left w:val="nil"/>
              <w:bottom w:val="single" w:color="auto" w:sz="8" w:space="0"/>
              <w:right w:val="single" w:color="auto" w:sz="8" w:space="0"/>
            </w:tcBorders>
            <w:shd w:val="clear" w:color="auto" w:fill="auto"/>
            <w:noWrap/>
            <w:vAlign w:val="center"/>
          </w:tcPr>
          <w:p w14:paraId="31EC571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52D6EB6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5.3726</w:t>
            </w:r>
          </w:p>
        </w:tc>
        <w:tc>
          <w:tcPr>
            <w:tcW w:w="1080" w:type="dxa"/>
            <w:tcBorders>
              <w:top w:val="nil"/>
              <w:left w:val="nil"/>
              <w:bottom w:val="single" w:color="auto" w:sz="8" w:space="0"/>
              <w:right w:val="single" w:color="auto" w:sz="8" w:space="0"/>
            </w:tcBorders>
            <w:shd w:val="clear" w:color="auto" w:fill="auto"/>
            <w:noWrap/>
            <w:vAlign w:val="center"/>
          </w:tcPr>
          <w:p w14:paraId="1A1259B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5.3839</w:t>
            </w:r>
          </w:p>
        </w:tc>
        <w:tc>
          <w:tcPr>
            <w:tcW w:w="1198" w:type="dxa"/>
            <w:tcBorders>
              <w:top w:val="nil"/>
              <w:left w:val="nil"/>
              <w:bottom w:val="single" w:color="auto" w:sz="8" w:space="0"/>
              <w:right w:val="single" w:color="auto" w:sz="8" w:space="0"/>
            </w:tcBorders>
            <w:shd w:val="clear" w:color="auto" w:fill="auto"/>
            <w:noWrap/>
            <w:vAlign w:val="center"/>
          </w:tcPr>
          <w:p w14:paraId="4D078B6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357BDFC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6.7178</w:t>
            </w:r>
          </w:p>
        </w:tc>
        <w:tc>
          <w:tcPr>
            <w:tcW w:w="1021" w:type="dxa"/>
            <w:tcBorders>
              <w:top w:val="nil"/>
              <w:left w:val="nil"/>
              <w:bottom w:val="single" w:color="auto" w:sz="8" w:space="0"/>
              <w:right w:val="single" w:color="auto" w:sz="8" w:space="0"/>
            </w:tcBorders>
            <w:shd w:val="clear" w:color="auto" w:fill="auto"/>
            <w:noWrap/>
            <w:vAlign w:val="center"/>
          </w:tcPr>
          <w:p w14:paraId="6C44F50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7.0171</w:t>
            </w:r>
          </w:p>
        </w:tc>
        <w:tc>
          <w:tcPr>
            <w:tcW w:w="1080" w:type="dxa"/>
            <w:tcBorders>
              <w:top w:val="nil"/>
              <w:left w:val="nil"/>
              <w:bottom w:val="single" w:color="auto" w:sz="8" w:space="0"/>
              <w:right w:val="single" w:color="auto" w:sz="8" w:space="0"/>
            </w:tcBorders>
            <w:shd w:val="clear" w:color="auto" w:fill="auto"/>
            <w:noWrap/>
            <w:vAlign w:val="center"/>
          </w:tcPr>
          <w:p w14:paraId="2C79645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480C14A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828.6711</w:t>
            </w:r>
          </w:p>
        </w:tc>
        <w:tc>
          <w:tcPr>
            <w:tcW w:w="1080" w:type="dxa"/>
            <w:tcBorders>
              <w:top w:val="nil"/>
              <w:left w:val="nil"/>
              <w:bottom w:val="single" w:color="auto" w:sz="8" w:space="0"/>
              <w:right w:val="single" w:color="auto" w:sz="8" w:space="0"/>
            </w:tcBorders>
            <w:shd w:val="clear" w:color="auto" w:fill="auto"/>
            <w:noWrap/>
            <w:vAlign w:val="center"/>
          </w:tcPr>
          <w:p w14:paraId="1280645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831.6353</w:t>
            </w:r>
          </w:p>
        </w:tc>
        <w:tc>
          <w:tcPr>
            <w:tcW w:w="1080" w:type="dxa"/>
            <w:tcBorders>
              <w:top w:val="nil"/>
              <w:left w:val="nil"/>
              <w:bottom w:val="single" w:color="auto" w:sz="8" w:space="0"/>
              <w:right w:val="single" w:color="auto" w:sz="8" w:space="0"/>
            </w:tcBorders>
            <w:shd w:val="clear" w:color="auto" w:fill="auto"/>
            <w:noWrap/>
            <w:vAlign w:val="center"/>
          </w:tcPr>
          <w:p w14:paraId="62954C9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14A9376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3ABEEA0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0.0102</w:t>
            </w:r>
          </w:p>
        </w:tc>
      </w:tr>
      <w:tr w14:paraId="26AE5B13">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3F79DA5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140</w:t>
            </w:r>
          </w:p>
        </w:tc>
        <w:tc>
          <w:tcPr>
            <w:tcW w:w="1080" w:type="dxa"/>
            <w:tcBorders>
              <w:top w:val="nil"/>
              <w:left w:val="nil"/>
              <w:bottom w:val="single" w:color="auto" w:sz="8" w:space="0"/>
              <w:right w:val="single" w:color="auto" w:sz="8" w:space="0"/>
            </w:tcBorders>
            <w:shd w:val="clear" w:color="auto" w:fill="auto"/>
            <w:noWrap/>
            <w:vAlign w:val="center"/>
          </w:tcPr>
          <w:p w14:paraId="40B9ECC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37BCAE5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5.3706</w:t>
            </w:r>
          </w:p>
        </w:tc>
        <w:tc>
          <w:tcPr>
            <w:tcW w:w="1080" w:type="dxa"/>
            <w:tcBorders>
              <w:top w:val="nil"/>
              <w:left w:val="nil"/>
              <w:bottom w:val="single" w:color="auto" w:sz="8" w:space="0"/>
              <w:right w:val="single" w:color="auto" w:sz="8" w:space="0"/>
            </w:tcBorders>
            <w:shd w:val="clear" w:color="auto" w:fill="auto"/>
            <w:noWrap/>
            <w:vAlign w:val="center"/>
          </w:tcPr>
          <w:p w14:paraId="5C77F2C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5.3795</w:t>
            </w:r>
          </w:p>
        </w:tc>
        <w:tc>
          <w:tcPr>
            <w:tcW w:w="1198" w:type="dxa"/>
            <w:tcBorders>
              <w:top w:val="nil"/>
              <w:left w:val="nil"/>
              <w:bottom w:val="single" w:color="auto" w:sz="8" w:space="0"/>
              <w:right w:val="single" w:color="auto" w:sz="8" w:space="0"/>
            </w:tcBorders>
            <w:shd w:val="clear" w:color="auto" w:fill="auto"/>
            <w:noWrap/>
            <w:vAlign w:val="center"/>
          </w:tcPr>
          <w:p w14:paraId="00A898B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5EF7DD6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6.6652</w:t>
            </w:r>
          </w:p>
        </w:tc>
        <w:tc>
          <w:tcPr>
            <w:tcW w:w="1021" w:type="dxa"/>
            <w:tcBorders>
              <w:top w:val="nil"/>
              <w:left w:val="nil"/>
              <w:bottom w:val="single" w:color="auto" w:sz="8" w:space="0"/>
              <w:right w:val="single" w:color="auto" w:sz="8" w:space="0"/>
            </w:tcBorders>
            <w:shd w:val="clear" w:color="auto" w:fill="auto"/>
            <w:noWrap/>
            <w:vAlign w:val="center"/>
          </w:tcPr>
          <w:p w14:paraId="65F59D5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6.9012</w:t>
            </w:r>
          </w:p>
        </w:tc>
        <w:tc>
          <w:tcPr>
            <w:tcW w:w="1080" w:type="dxa"/>
            <w:tcBorders>
              <w:top w:val="nil"/>
              <w:left w:val="nil"/>
              <w:bottom w:val="single" w:color="auto" w:sz="8" w:space="0"/>
              <w:right w:val="single" w:color="auto" w:sz="8" w:space="0"/>
            </w:tcBorders>
            <w:shd w:val="clear" w:color="auto" w:fill="auto"/>
            <w:noWrap/>
            <w:vAlign w:val="center"/>
          </w:tcPr>
          <w:p w14:paraId="1AA237F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5C4A20B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828.1504</w:t>
            </w:r>
          </w:p>
        </w:tc>
        <w:tc>
          <w:tcPr>
            <w:tcW w:w="1080" w:type="dxa"/>
            <w:tcBorders>
              <w:top w:val="nil"/>
              <w:left w:val="nil"/>
              <w:bottom w:val="single" w:color="auto" w:sz="8" w:space="0"/>
              <w:right w:val="single" w:color="auto" w:sz="8" w:space="0"/>
            </w:tcBorders>
            <w:shd w:val="clear" w:color="auto" w:fill="auto"/>
            <w:noWrap/>
            <w:vAlign w:val="center"/>
          </w:tcPr>
          <w:p w14:paraId="22D64E2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830.4576</w:t>
            </w:r>
          </w:p>
        </w:tc>
        <w:tc>
          <w:tcPr>
            <w:tcW w:w="1080" w:type="dxa"/>
            <w:tcBorders>
              <w:top w:val="nil"/>
              <w:left w:val="nil"/>
              <w:bottom w:val="single" w:color="auto" w:sz="8" w:space="0"/>
              <w:right w:val="single" w:color="auto" w:sz="8" w:space="0"/>
            </w:tcBorders>
            <w:shd w:val="clear" w:color="auto" w:fill="auto"/>
            <w:noWrap/>
            <w:vAlign w:val="center"/>
          </w:tcPr>
          <w:p w14:paraId="1281B63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153839B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290B043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r>
      <w:tr w14:paraId="5835EBAC">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09E8A34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160</w:t>
            </w:r>
          </w:p>
        </w:tc>
        <w:tc>
          <w:tcPr>
            <w:tcW w:w="1080" w:type="dxa"/>
            <w:tcBorders>
              <w:top w:val="nil"/>
              <w:left w:val="nil"/>
              <w:bottom w:val="single" w:color="auto" w:sz="8" w:space="0"/>
              <w:right w:val="single" w:color="auto" w:sz="8" w:space="0"/>
            </w:tcBorders>
            <w:shd w:val="clear" w:color="auto" w:fill="auto"/>
            <w:noWrap/>
            <w:vAlign w:val="center"/>
          </w:tcPr>
          <w:p w14:paraId="3CCB7C5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656D978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5.3701</w:t>
            </w:r>
          </w:p>
        </w:tc>
        <w:tc>
          <w:tcPr>
            <w:tcW w:w="1080" w:type="dxa"/>
            <w:tcBorders>
              <w:top w:val="nil"/>
              <w:left w:val="nil"/>
              <w:bottom w:val="single" w:color="auto" w:sz="8" w:space="0"/>
              <w:right w:val="single" w:color="auto" w:sz="8" w:space="0"/>
            </w:tcBorders>
            <w:shd w:val="clear" w:color="auto" w:fill="auto"/>
            <w:noWrap/>
            <w:vAlign w:val="center"/>
          </w:tcPr>
          <w:p w14:paraId="385BF1C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5.3758</w:t>
            </w:r>
          </w:p>
        </w:tc>
        <w:tc>
          <w:tcPr>
            <w:tcW w:w="1198" w:type="dxa"/>
            <w:tcBorders>
              <w:top w:val="nil"/>
              <w:left w:val="nil"/>
              <w:bottom w:val="single" w:color="auto" w:sz="8" w:space="0"/>
              <w:right w:val="single" w:color="auto" w:sz="8" w:space="0"/>
            </w:tcBorders>
            <w:shd w:val="clear" w:color="auto" w:fill="auto"/>
            <w:noWrap/>
            <w:vAlign w:val="center"/>
          </w:tcPr>
          <w:p w14:paraId="3A5785A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4AAE7AF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6.6525</w:t>
            </w:r>
          </w:p>
        </w:tc>
        <w:tc>
          <w:tcPr>
            <w:tcW w:w="1021" w:type="dxa"/>
            <w:tcBorders>
              <w:top w:val="nil"/>
              <w:left w:val="nil"/>
              <w:bottom w:val="single" w:color="auto" w:sz="8" w:space="0"/>
              <w:right w:val="single" w:color="auto" w:sz="8" w:space="0"/>
            </w:tcBorders>
            <w:shd w:val="clear" w:color="auto" w:fill="auto"/>
            <w:noWrap/>
            <w:vAlign w:val="center"/>
          </w:tcPr>
          <w:p w14:paraId="22B0D4F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6.8034</w:t>
            </w:r>
          </w:p>
        </w:tc>
        <w:tc>
          <w:tcPr>
            <w:tcW w:w="1080" w:type="dxa"/>
            <w:tcBorders>
              <w:top w:val="nil"/>
              <w:left w:val="nil"/>
              <w:bottom w:val="single" w:color="auto" w:sz="8" w:space="0"/>
              <w:right w:val="single" w:color="auto" w:sz="8" w:space="0"/>
            </w:tcBorders>
            <w:shd w:val="clear" w:color="auto" w:fill="auto"/>
            <w:noWrap/>
            <w:vAlign w:val="center"/>
          </w:tcPr>
          <w:p w14:paraId="74E5C84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2E41953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828.0252</w:t>
            </w:r>
          </w:p>
        </w:tc>
        <w:tc>
          <w:tcPr>
            <w:tcW w:w="1080" w:type="dxa"/>
            <w:tcBorders>
              <w:top w:val="nil"/>
              <w:left w:val="nil"/>
              <w:bottom w:val="single" w:color="auto" w:sz="8" w:space="0"/>
              <w:right w:val="single" w:color="auto" w:sz="8" w:space="0"/>
            </w:tcBorders>
            <w:shd w:val="clear" w:color="auto" w:fill="auto"/>
            <w:noWrap/>
            <w:vAlign w:val="center"/>
          </w:tcPr>
          <w:p w14:paraId="2505A8F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829.5186</w:t>
            </w:r>
          </w:p>
        </w:tc>
        <w:tc>
          <w:tcPr>
            <w:tcW w:w="1080" w:type="dxa"/>
            <w:tcBorders>
              <w:top w:val="nil"/>
              <w:left w:val="nil"/>
              <w:bottom w:val="single" w:color="auto" w:sz="8" w:space="0"/>
              <w:right w:val="single" w:color="auto" w:sz="8" w:space="0"/>
            </w:tcBorders>
            <w:shd w:val="clear" w:color="auto" w:fill="auto"/>
            <w:noWrap/>
            <w:vAlign w:val="center"/>
          </w:tcPr>
          <w:p w14:paraId="652F9A4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6E3E05A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5C6CE26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0.0101</w:t>
            </w:r>
          </w:p>
        </w:tc>
      </w:tr>
      <w:tr w14:paraId="2156BB6C">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279EFB0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180</w:t>
            </w:r>
          </w:p>
        </w:tc>
        <w:tc>
          <w:tcPr>
            <w:tcW w:w="1080" w:type="dxa"/>
            <w:tcBorders>
              <w:top w:val="nil"/>
              <w:left w:val="nil"/>
              <w:bottom w:val="single" w:color="auto" w:sz="8" w:space="0"/>
              <w:right w:val="single" w:color="auto" w:sz="8" w:space="0"/>
            </w:tcBorders>
            <w:shd w:val="clear" w:color="auto" w:fill="auto"/>
            <w:noWrap/>
            <w:vAlign w:val="center"/>
          </w:tcPr>
          <w:p w14:paraId="19120C3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646AB84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6D2C34A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5.3732</w:t>
            </w:r>
          </w:p>
        </w:tc>
        <w:tc>
          <w:tcPr>
            <w:tcW w:w="1198" w:type="dxa"/>
            <w:tcBorders>
              <w:top w:val="nil"/>
              <w:left w:val="nil"/>
              <w:bottom w:val="single" w:color="auto" w:sz="8" w:space="0"/>
              <w:right w:val="single" w:color="auto" w:sz="8" w:space="0"/>
            </w:tcBorders>
            <w:shd w:val="clear" w:color="auto" w:fill="auto"/>
            <w:noWrap/>
            <w:vAlign w:val="center"/>
          </w:tcPr>
          <w:p w14:paraId="53ED326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4DB4635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6.6503</w:t>
            </w:r>
          </w:p>
        </w:tc>
        <w:tc>
          <w:tcPr>
            <w:tcW w:w="1021" w:type="dxa"/>
            <w:tcBorders>
              <w:top w:val="nil"/>
              <w:left w:val="nil"/>
              <w:bottom w:val="single" w:color="auto" w:sz="8" w:space="0"/>
              <w:right w:val="single" w:color="auto" w:sz="8" w:space="0"/>
            </w:tcBorders>
            <w:shd w:val="clear" w:color="auto" w:fill="auto"/>
            <w:noWrap/>
            <w:vAlign w:val="center"/>
          </w:tcPr>
          <w:p w14:paraId="1C535E4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6.7338</w:t>
            </w:r>
          </w:p>
        </w:tc>
        <w:tc>
          <w:tcPr>
            <w:tcW w:w="1080" w:type="dxa"/>
            <w:tcBorders>
              <w:top w:val="nil"/>
              <w:left w:val="nil"/>
              <w:bottom w:val="single" w:color="auto" w:sz="8" w:space="0"/>
              <w:right w:val="single" w:color="auto" w:sz="8" w:space="0"/>
            </w:tcBorders>
            <w:shd w:val="clear" w:color="auto" w:fill="auto"/>
            <w:noWrap/>
            <w:vAlign w:val="center"/>
          </w:tcPr>
          <w:p w14:paraId="45550F6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6B3BD58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828.0032</w:t>
            </w:r>
          </w:p>
        </w:tc>
        <w:tc>
          <w:tcPr>
            <w:tcW w:w="1080" w:type="dxa"/>
            <w:tcBorders>
              <w:top w:val="nil"/>
              <w:left w:val="nil"/>
              <w:bottom w:val="single" w:color="auto" w:sz="8" w:space="0"/>
              <w:right w:val="single" w:color="auto" w:sz="8" w:space="0"/>
            </w:tcBorders>
            <w:shd w:val="clear" w:color="auto" w:fill="auto"/>
            <w:noWrap/>
            <w:vAlign w:val="center"/>
          </w:tcPr>
          <w:p w14:paraId="717C6FD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828.8294</w:t>
            </w:r>
          </w:p>
        </w:tc>
        <w:tc>
          <w:tcPr>
            <w:tcW w:w="1080" w:type="dxa"/>
            <w:tcBorders>
              <w:top w:val="nil"/>
              <w:left w:val="nil"/>
              <w:bottom w:val="single" w:color="auto" w:sz="8" w:space="0"/>
              <w:right w:val="single" w:color="auto" w:sz="8" w:space="0"/>
            </w:tcBorders>
            <w:shd w:val="clear" w:color="auto" w:fill="auto"/>
            <w:noWrap/>
            <w:vAlign w:val="center"/>
          </w:tcPr>
          <w:p w14:paraId="4DDB816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7900B88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2BB3873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12D212AB">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1760D66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200</w:t>
            </w:r>
          </w:p>
        </w:tc>
        <w:tc>
          <w:tcPr>
            <w:tcW w:w="1080" w:type="dxa"/>
            <w:tcBorders>
              <w:top w:val="nil"/>
              <w:left w:val="nil"/>
              <w:bottom w:val="single" w:color="auto" w:sz="8" w:space="0"/>
              <w:right w:val="single" w:color="auto" w:sz="8" w:space="0"/>
            </w:tcBorders>
            <w:shd w:val="clear" w:color="auto" w:fill="auto"/>
            <w:noWrap/>
            <w:vAlign w:val="center"/>
          </w:tcPr>
          <w:p w14:paraId="790F1CA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53CAA1E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1FB140E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5.371</w:t>
            </w:r>
          </w:p>
        </w:tc>
        <w:tc>
          <w:tcPr>
            <w:tcW w:w="1198" w:type="dxa"/>
            <w:tcBorders>
              <w:top w:val="nil"/>
              <w:left w:val="nil"/>
              <w:bottom w:val="single" w:color="auto" w:sz="8" w:space="0"/>
              <w:right w:val="single" w:color="auto" w:sz="8" w:space="0"/>
            </w:tcBorders>
            <w:shd w:val="clear" w:color="auto" w:fill="auto"/>
            <w:noWrap/>
            <w:vAlign w:val="center"/>
          </w:tcPr>
          <w:p w14:paraId="6E14BE8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2CDE399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6454ACD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6.691</w:t>
            </w:r>
          </w:p>
        </w:tc>
        <w:tc>
          <w:tcPr>
            <w:tcW w:w="1080" w:type="dxa"/>
            <w:tcBorders>
              <w:top w:val="nil"/>
              <w:left w:val="nil"/>
              <w:bottom w:val="single" w:color="auto" w:sz="8" w:space="0"/>
              <w:right w:val="single" w:color="auto" w:sz="8" w:space="0"/>
            </w:tcBorders>
            <w:shd w:val="clear" w:color="auto" w:fill="auto"/>
            <w:noWrap/>
            <w:vAlign w:val="center"/>
          </w:tcPr>
          <w:p w14:paraId="1F76F95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32492F0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828.0003</w:t>
            </w:r>
          </w:p>
        </w:tc>
        <w:tc>
          <w:tcPr>
            <w:tcW w:w="1080" w:type="dxa"/>
            <w:tcBorders>
              <w:top w:val="nil"/>
              <w:left w:val="nil"/>
              <w:bottom w:val="single" w:color="auto" w:sz="8" w:space="0"/>
              <w:right w:val="single" w:color="auto" w:sz="8" w:space="0"/>
            </w:tcBorders>
            <w:shd w:val="clear" w:color="auto" w:fill="auto"/>
            <w:noWrap/>
            <w:vAlign w:val="center"/>
          </w:tcPr>
          <w:p w14:paraId="3C9E6CB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828.4061</w:t>
            </w:r>
          </w:p>
        </w:tc>
        <w:tc>
          <w:tcPr>
            <w:tcW w:w="1080" w:type="dxa"/>
            <w:tcBorders>
              <w:top w:val="nil"/>
              <w:left w:val="nil"/>
              <w:bottom w:val="single" w:color="auto" w:sz="8" w:space="0"/>
              <w:right w:val="single" w:color="auto" w:sz="8" w:space="0"/>
            </w:tcBorders>
            <w:shd w:val="clear" w:color="auto" w:fill="auto"/>
            <w:noWrap/>
            <w:vAlign w:val="center"/>
          </w:tcPr>
          <w:p w14:paraId="24BCCF3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7A674A8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67A3D29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52472624">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2022E59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220</w:t>
            </w:r>
          </w:p>
        </w:tc>
        <w:tc>
          <w:tcPr>
            <w:tcW w:w="1080" w:type="dxa"/>
            <w:tcBorders>
              <w:top w:val="nil"/>
              <w:left w:val="nil"/>
              <w:bottom w:val="single" w:color="auto" w:sz="8" w:space="0"/>
              <w:right w:val="single" w:color="auto" w:sz="8" w:space="0"/>
            </w:tcBorders>
            <w:shd w:val="clear" w:color="auto" w:fill="auto"/>
            <w:noWrap/>
            <w:vAlign w:val="center"/>
          </w:tcPr>
          <w:p w14:paraId="75CF9A6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3863C14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65FB9D4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5.3707</w:t>
            </w:r>
          </w:p>
        </w:tc>
        <w:tc>
          <w:tcPr>
            <w:tcW w:w="1198" w:type="dxa"/>
            <w:tcBorders>
              <w:top w:val="nil"/>
              <w:left w:val="nil"/>
              <w:bottom w:val="single" w:color="auto" w:sz="8" w:space="0"/>
              <w:right w:val="single" w:color="auto" w:sz="8" w:space="0"/>
            </w:tcBorders>
            <w:shd w:val="clear" w:color="auto" w:fill="auto"/>
            <w:noWrap/>
            <w:vAlign w:val="center"/>
          </w:tcPr>
          <w:p w14:paraId="00CDCC1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721B6EA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21704CB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6.668</w:t>
            </w:r>
          </w:p>
        </w:tc>
        <w:tc>
          <w:tcPr>
            <w:tcW w:w="1080" w:type="dxa"/>
            <w:tcBorders>
              <w:top w:val="nil"/>
              <w:left w:val="nil"/>
              <w:bottom w:val="single" w:color="auto" w:sz="8" w:space="0"/>
              <w:right w:val="single" w:color="auto" w:sz="8" w:space="0"/>
            </w:tcBorders>
            <w:shd w:val="clear" w:color="auto" w:fill="auto"/>
            <w:noWrap/>
            <w:vAlign w:val="center"/>
          </w:tcPr>
          <w:p w14:paraId="6C3BE44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50B0F21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2F448A6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828.1785</w:t>
            </w:r>
          </w:p>
        </w:tc>
        <w:tc>
          <w:tcPr>
            <w:tcW w:w="1080" w:type="dxa"/>
            <w:tcBorders>
              <w:top w:val="nil"/>
              <w:left w:val="nil"/>
              <w:bottom w:val="single" w:color="auto" w:sz="8" w:space="0"/>
              <w:right w:val="single" w:color="auto" w:sz="8" w:space="0"/>
            </w:tcBorders>
            <w:shd w:val="clear" w:color="auto" w:fill="auto"/>
            <w:noWrap/>
            <w:vAlign w:val="center"/>
          </w:tcPr>
          <w:p w14:paraId="737EDC7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64DCF13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0B1F7E9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0A45DA46">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0E8F060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240</w:t>
            </w:r>
          </w:p>
        </w:tc>
        <w:tc>
          <w:tcPr>
            <w:tcW w:w="1080" w:type="dxa"/>
            <w:tcBorders>
              <w:top w:val="nil"/>
              <w:left w:val="nil"/>
              <w:bottom w:val="single" w:color="auto" w:sz="8" w:space="0"/>
              <w:right w:val="single" w:color="auto" w:sz="8" w:space="0"/>
            </w:tcBorders>
            <w:shd w:val="clear" w:color="auto" w:fill="auto"/>
            <w:noWrap/>
            <w:vAlign w:val="center"/>
          </w:tcPr>
          <w:p w14:paraId="1FE6F0F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79B6227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5B54418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5.3703</w:t>
            </w:r>
          </w:p>
        </w:tc>
        <w:tc>
          <w:tcPr>
            <w:tcW w:w="1198" w:type="dxa"/>
            <w:tcBorders>
              <w:top w:val="nil"/>
              <w:left w:val="nil"/>
              <w:bottom w:val="single" w:color="auto" w:sz="8" w:space="0"/>
              <w:right w:val="single" w:color="auto" w:sz="8" w:space="0"/>
            </w:tcBorders>
            <w:shd w:val="clear" w:color="auto" w:fill="auto"/>
            <w:noWrap/>
            <w:vAlign w:val="center"/>
          </w:tcPr>
          <w:p w14:paraId="4A63019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5341732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10EC2CF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6.6571</w:t>
            </w:r>
          </w:p>
        </w:tc>
        <w:tc>
          <w:tcPr>
            <w:tcW w:w="1080" w:type="dxa"/>
            <w:tcBorders>
              <w:top w:val="nil"/>
              <w:left w:val="nil"/>
              <w:bottom w:val="single" w:color="auto" w:sz="8" w:space="0"/>
              <w:right w:val="single" w:color="auto" w:sz="8" w:space="0"/>
            </w:tcBorders>
            <w:shd w:val="clear" w:color="auto" w:fill="auto"/>
            <w:noWrap/>
            <w:vAlign w:val="center"/>
          </w:tcPr>
          <w:p w14:paraId="4F869CC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7A3896D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67FEAFA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828.0706</w:t>
            </w:r>
          </w:p>
        </w:tc>
        <w:tc>
          <w:tcPr>
            <w:tcW w:w="1080" w:type="dxa"/>
            <w:tcBorders>
              <w:top w:val="nil"/>
              <w:left w:val="nil"/>
              <w:bottom w:val="single" w:color="auto" w:sz="8" w:space="0"/>
              <w:right w:val="single" w:color="auto" w:sz="8" w:space="0"/>
            </w:tcBorders>
            <w:shd w:val="clear" w:color="auto" w:fill="auto"/>
            <w:noWrap/>
            <w:vAlign w:val="center"/>
          </w:tcPr>
          <w:p w14:paraId="30A6ABC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0519F8D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506D403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2E989308">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34D363C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260</w:t>
            </w:r>
          </w:p>
        </w:tc>
        <w:tc>
          <w:tcPr>
            <w:tcW w:w="1080" w:type="dxa"/>
            <w:tcBorders>
              <w:top w:val="nil"/>
              <w:left w:val="nil"/>
              <w:bottom w:val="single" w:color="auto" w:sz="8" w:space="0"/>
              <w:right w:val="single" w:color="auto" w:sz="8" w:space="0"/>
            </w:tcBorders>
            <w:shd w:val="clear" w:color="auto" w:fill="auto"/>
            <w:noWrap/>
            <w:vAlign w:val="center"/>
          </w:tcPr>
          <w:p w14:paraId="2CA8AE6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5E3773B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105F2C9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5.3701</w:t>
            </w:r>
          </w:p>
        </w:tc>
        <w:tc>
          <w:tcPr>
            <w:tcW w:w="1198" w:type="dxa"/>
            <w:tcBorders>
              <w:top w:val="nil"/>
              <w:left w:val="nil"/>
              <w:bottom w:val="single" w:color="auto" w:sz="8" w:space="0"/>
              <w:right w:val="single" w:color="auto" w:sz="8" w:space="0"/>
            </w:tcBorders>
            <w:shd w:val="clear" w:color="auto" w:fill="auto"/>
            <w:noWrap/>
            <w:vAlign w:val="center"/>
          </w:tcPr>
          <w:p w14:paraId="2E3D7E8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082C08A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1C5532C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6.6525</w:t>
            </w:r>
          </w:p>
        </w:tc>
        <w:tc>
          <w:tcPr>
            <w:tcW w:w="1080" w:type="dxa"/>
            <w:tcBorders>
              <w:top w:val="nil"/>
              <w:left w:val="nil"/>
              <w:bottom w:val="single" w:color="auto" w:sz="8" w:space="0"/>
              <w:right w:val="single" w:color="auto" w:sz="8" w:space="0"/>
            </w:tcBorders>
            <w:shd w:val="clear" w:color="auto" w:fill="auto"/>
            <w:noWrap/>
            <w:vAlign w:val="center"/>
          </w:tcPr>
          <w:p w14:paraId="0B88FD8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21727DE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4054F5A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828.0251</w:t>
            </w:r>
          </w:p>
        </w:tc>
        <w:tc>
          <w:tcPr>
            <w:tcW w:w="1080" w:type="dxa"/>
            <w:tcBorders>
              <w:top w:val="nil"/>
              <w:left w:val="nil"/>
              <w:bottom w:val="single" w:color="auto" w:sz="8" w:space="0"/>
              <w:right w:val="single" w:color="auto" w:sz="8" w:space="0"/>
            </w:tcBorders>
            <w:shd w:val="clear" w:color="auto" w:fill="auto"/>
            <w:noWrap/>
            <w:vAlign w:val="center"/>
          </w:tcPr>
          <w:p w14:paraId="1661401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2BE3A6B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577E97F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56C90ED9">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2E4D6B8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280</w:t>
            </w:r>
          </w:p>
        </w:tc>
        <w:tc>
          <w:tcPr>
            <w:tcW w:w="1080" w:type="dxa"/>
            <w:tcBorders>
              <w:top w:val="nil"/>
              <w:left w:val="nil"/>
              <w:bottom w:val="single" w:color="auto" w:sz="8" w:space="0"/>
              <w:right w:val="single" w:color="auto" w:sz="8" w:space="0"/>
            </w:tcBorders>
            <w:shd w:val="clear" w:color="auto" w:fill="auto"/>
            <w:noWrap/>
            <w:vAlign w:val="center"/>
          </w:tcPr>
          <w:p w14:paraId="6B22064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1357F0D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2FC0401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14:paraId="7D67FBE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19380B0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160B453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6.6508</w:t>
            </w:r>
          </w:p>
        </w:tc>
        <w:tc>
          <w:tcPr>
            <w:tcW w:w="1080" w:type="dxa"/>
            <w:tcBorders>
              <w:top w:val="nil"/>
              <w:left w:val="nil"/>
              <w:bottom w:val="single" w:color="auto" w:sz="8" w:space="0"/>
              <w:right w:val="single" w:color="auto" w:sz="8" w:space="0"/>
            </w:tcBorders>
            <w:shd w:val="clear" w:color="auto" w:fill="auto"/>
            <w:noWrap/>
            <w:vAlign w:val="center"/>
          </w:tcPr>
          <w:p w14:paraId="496A06C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0392A69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2C0D750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828.008</w:t>
            </w:r>
          </w:p>
        </w:tc>
        <w:tc>
          <w:tcPr>
            <w:tcW w:w="1080" w:type="dxa"/>
            <w:tcBorders>
              <w:top w:val="nil"/>
              <w:left w:val="nil"/>
              <w:bottom w:val="single" w:color="auto" w:sz="8" w:space="0"/>
              <w:right w:val="single" w:color="auto" w:sz="8" w:space="0"/>
            </w:tcBorders>
            <w:shd w:val="clear" w:color="auto" w:fill="auto"/>
            <w:noWrap/>
            <w:vAlign w:val="center"/>
          </w:tcPr>
          <w:p w14:paraId="1B4E56C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276482C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55F9449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723DA74B">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7A4B8B4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300</w:t>
            </w:r>
          </w:p>
        </w:tc>
        <w:tc>
          <w:tcPr>
            <w:tcW w:w="1080" w:type="dxa"/>
            <w:tcBorders>
              <w:top w:val="nil"/>
              <w:left w:val="nil"/>
              <w:bottom w:val="single" w:color="auto" w:sz="8" w:space="0"/>
              <w:right w:val="single" w:color="auto" w:sz="8" w:space="0"/>
            </w:tcBorders>
            <w:shd w:val="clear" w:color="auto" w:fill="auto"/>
            <w:noWrap/>
            <w:vAlign w:val="center"/>
          </w:tcPr>
          <w:p w14:paraId="3F2BD51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0F9B0EE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4A97803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14:paraId="311DD48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607035F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4BD3DBB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6.6502</w:t>
            </w:r>
          </w:p>
        </w:tc>
        <w:tc>
          <w:tcPr>
            <w:tcW w:w="1080" w:type="dxa"/>
            <w:tcBorders>
              <w:top w:val="nil"/>
              <w:left w:val="nil"/>
              <w:bottom w:val="single" w:color="auto" w:sz="8" w:space="0"/>
              <w:right w:val="single" w:color="auto" w:sz="8" w:space="0"/>
            </w:tcBorders>
            <w:shd w:val="clear" w:color="auto" w:fill="auto"/>
            <w:noWrap/>
            <w:vAlign w:val="center"/>
          </w:tcPr>
          <w:p w14:paraId="199FD24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23535B8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4FEBA43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828.0023</w:t>
            </w:r>
          </w:p>
        </w:tc>
        <w:tc>
          <w:tcPr>
            <w:tcW w:w="1080" w:type="dxa"/>
            <w:tcBorders>
              <w:top w:val="nil"/>
              <w:left w:val="nil"/>
              <w:bottom w:val="single" w:color="auto" w:sz="8" w:space="0"/>
              <w:right w:val="single" w:color="auto" w:sz="8" w:space="0"/>
            </w:tcBorders>
            <w:shd w:val="clear" w:color="auto" w:fill="auto"/>
            <w:noWrap/>
            <w:vAlign w:val="center"/>
          </w:tcPr>
          <w:p w14:paraId="1E08693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43BA220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56B82A5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66572F87">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4247D7F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350</w:t>
            </w:r>
          </w:p>
        </w:tc>
        <w:tc>
          <w:tcPr>
            <w:tcW w:w="1080" w:type="dxa"/>
            <w:tcBorders>
              <w:top w:val="nil"/>
              <w:left w:val="nil"/>
              <w:bottom w:val="single" w:color="auto" w:sz="8" w:space="0"/>
              <w:right w:val="single" w:color="auto" w:sz="8" w:space="0"/>
            </w:tcBorders>
            <w:shd w:val="clear" w:color="auto" w:fill="auto"/>
            <w:noWrap/>
            <w:vAlign w:val="center"/>
          </w:tcPr>
          <w:p w14:paraId="5934F1F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5F33D61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62A91B2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14:paraId="0C82949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088BF36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7C064C6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80" w:type="dxa"/>
            <w:tcBorders>
              <w:top w:val="nil"/>
              <w:left w:val="nil"/>
              <w:bottom w:val="single" w:color="auto" w:sz="8" w:space="0"/>
              <w:right w:val="single" w:color="auto" w:sz="8" w:space="0"/>
            </w:tcBorders>
            <w:shd w:val="clear" w:color="auto" w:fill="auto"/>
            <w:noWrap/>
            <w:vAlign w:val="center"/>
          </w:tcPr>
          <w:p w14:paraId="18ADE0E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619A2E3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72EC29E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828.0006</w:t>
            </w:r>
          </w:p>
        </w:tc>
        <w:tc>
          <w:tcPr>
            <w:tcW w:w="1080" w:type="dxa"/>
            <w:tcBorders>
              <w:top w:val="nil"/>
              <w:left w:val="nil"/>
              <w:bottom w:val="single" w:color="auto" w:sz="8" w:space="0"/>
              <w:right w:val="single" w:color="auto" w:sz="8" w:space="0"/>
            </w:tcBorders>
            <w:shd w:val="clear" w:color="auto" w:fill="auto"/>
            <w:noWrap/>
            <w:vAlign w:val="center"/>
          </w:tcPr>
          <w:p w14:paraId="6910840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39A58C7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1F0A39C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34EDC8E7">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39C73CA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400</w:t>
            </w:r>
          </w:p>
        </w:tc>
        <w:tc>
          <w:tcPr>
            <w:tcW w:w="1080" w:type="dxa"/>
            <w:tcBorders>
              <w:top w:val="nil"/>
              <w:left w:val="nil"/>
              <w:bottom w:val="single" w:color="auto" w:sz="8" w:space="0"/>
              <w:right w:val="single" w:color="auto" w:sz="8" w:space="0"/>
            </w:tcBorders>
            <w:shd w:val="clear" w:color="auto" w:fill="auto"/>
            <w:noWrap/>
            <w:vAlign w:val="center"/>
          </w:tcPr>
          <w:p w14:paraId="2B6E16F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39734B0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17125B2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14:paraId="3640D56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70483E5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1E8B781A">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80" w:type="dxa"/>
            <w:tcBorders>
              <w:top w:val="nil"/>
              <w:left w:val="nil"/>
              <w:bottom w:val="single" w:color="auto" w:sz="8" w:space="0"/>
              <w:right w:val="single" w:color="auto" w:sz="8" w:space="0"/>
            </w:tcBorders>
            <w:shd w:val="clear" w:color="auto" w:fill="auto"/>
            <w:noWrap/>
            <w:vAlign w:val="center"/>
          </w:tcPr>
          <w:p w14:paraId="678B4CC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660DEF4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3FA2117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828.0001</w:t>
            </w:r>
          </w:p>
        </w:tc>
        <w:tc>
          <w:tcPr>
            <w:tcW w:w="1080" w:type="dxa"/>
            <w:tcBorders>
              <w:top w:val="nil"/>
              <w:left w:val="nil"/>
              <w:bottom w:val="single" w:color="auto" w:sz="8" w:space="0"/>
              <w:right w:val="single" w:color="auto" w:sz="8" w:space="0"/>
            </w:tcBorders>
            <w:shd w:val="clear" w:color="auto" w:fill="auto"/>
            <w:noWrap/>
            <w:vAlign w:val="center"/>
          </w:tcPr>
          <w:p w14:paraId="47861BA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7EDF28A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5226C8A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6CB90451">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21410BE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600</w:t>
            </w:r>
          </w:p>
        </w:tc>
        <w:tc>
          <w:tcPr>
            <w:tcW w:w="1080" w:type="dxa"/>
            <w:tcBorders>
              <w:top w:val="nil"/>
              <w:left w:val="nil"/>
              <w:bottom w:val="single" w:color="auto" w:sz="8" w:space="0"/>
              <w:right w:val="single" w:color="auto" w:sz="8" w:space="0"/>
            </w:tcBorders>
            <w:shd w:val="clear" w:color="auto" w:fill="auto"/>
            <w:noWrap/>
            <w:vAlign w:val="center"/>
          </w:tcPr>
          <w:p w14:paraId="5772696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5B43192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382964A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14:paraId="2707594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5FF9916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044BD944">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80" w:type="dxa"/>
            <w:tcBorders>
              <w:top w:val="nil"/>
              <w:left w:val="nil"/>
              <w:bottom w:val="single" w:color="auto" w:sz="8" w:space="0"/>
              <w:right w:val="single" w:color="auto" w:sz="8" w:space="0"/>
            </w:tcBorders>
            <w:shd w:val="clear" w:color="auto" w:fill="auto"/>
            <w:noWrap/>
            <w:vAlign w:val="center"/>
          </w:tcPr>
          <w:p w14:paraId="6CDAA5B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1B138D03">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58155C9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468D1485">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2D59171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4DD7D95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0E087C38">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10E775F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1000</w:t>
            </w:r>
          </w:p>
        </w:tc>
        <w:tc>
          <w:tcPr>
            <w:tcW w:w="1080" w:type="dxa"/>
            <w:tcBorders>
              <w:top w:val="nil"/>
              <w:left w:val="nil"/>
              <w:bottom w:val="single" w:color="auto" w:sz="8" w:space="0"/>
              <w:right w:val="single" w:color="auto" w:sz="8" w:space="0"/>
            </w:tcBorders>
            <w:shd w:val="clear" w:color="auto" w:fill="auto"/>
            <w:noWrap/>
            <w:vAlign w:val="center"/>
          </w:tcPr>
          <w:p w14:paraId="1AA62761">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73417E1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3290227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14:paraId="5E87C3F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1974C6A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2FF6915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80" w:type="dxa"/>
            <w:tcBorders>
              <w:top w:val="nil"/>
              <w:left w:val="nil"/>
              <w:bottom w:val="single" w:color="auto" w:sz="8" w:space="0"/>
              <w:right w:val="single" w:color="auto" w:sz="8" w:space="0"/>
            </w:tcBorders>
            <w:shd w:val="clear" w:color="auto" w:fill="auto"/>
            <w:noWrap/>
            <w:vAlign w:val="center"/>
          </w:tcPr>
          <w:p w14:paraId="2131D2A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0F6B1EAC">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1B846356">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40E38C3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74872019">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7EE7648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r w14:paraId="535FE303">
        <w:tblPrEx>
          <w:tblCellMar>
            <w:top w:w="0" w:type="dxa"/>
            <w:left w:w="108" w:type="dxa"/>
            <w:bottom w:w="0" w:type="dxa"/>
            <w:right w:w="108" w:type="dxa"/>
          </w:tblCellMar>
        </w:tblPrEx>
        <w:trPr>
          <w:trHeight w:val="340" w:hRule="atLeast"/>
        </w:trPr>
        <w:tc>
          <w:tcPr>
            <w:tcW w:w="1080" w:type="dxa"/>
            <w:tcBorders>
              <w:top w:val="nil"/>
              <w:left w:val="single" w:color="auto" w:sz="8" w:space="0"/>
              <w:bottom w:val="single" w:color="auto" w:sz="8" w:space="0"/>
              <w:right w:val="single" w:color="auto" w:sz="8" w:space="0"/>
            </w:tcBorders>
            <w:shd w:val="clear" w:color="auto" w:fill="auto"/>
            <w:noWrap/>
            <w:vAlign w:val="center"/>
          </w:tcPr>
          <w:p w14:paraId="7692167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1700</w:t>
            </w:r>
          </w:p>
        </w:tc>
        <w:tc>
          <w:tcPr>
            <w:tcW w:w="1080" w:type="dxa"/>
            <w:tcBorders>
              <w:top w:val="nil"/>
              <w:left w:val="nil"/>
              <w:bottom w:val="single" w:color="auto" w:sz="8" w:space="0"/>
              <w:right w:val="single" w:color="auto" w:sz="8" w:space="0"/>
            </w:tcBorders>
            <w:shd w:val="clear" w:color="auto" w:fill="auto"/>
            <w:noWrap/>
            <w:vAlign w:val="center"/>
          </w:tcPr>
          <w:p w14:paraId="5D7557F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79BD1637">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080" w:type="dxa"/>
            <w:tcBorders>
              <w:top w:val="nil"/>
              <w:left w:val="nil"/>
              <w:bottom w:val="single" w:color="auto" w:sz="8" w:space="0"/>
              <w:right w:val="single" w:color="auto" w:sz="8" w:space="0"/>
            </w:tcBorders>
            <w:shd w:val="clear" w:color="auto" w:fill="auto"/>
            <w:noWrap/>
            <w:vAlign w:val="center"/>
          </w:tcPr>
          <w:p w14:paraId="660A3A9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5.37</w:t>
            </w:r>
          </w:p>
        </w:tc>
        <w:tc>
          <w:tcPr>
            <w:tcW w:w="1198" w:type="dxa"/>
            <w:tcBorders>
              <w:top w:val="nil"/>
              <w:left w:val="nil"/>
              <w:bottom w:val="single" w:color="auto" w:sz="8" w:space="0"/>
              <w:right w:val="single" w:color="auto" w:sz="8" w:space="0"/>
            </w:tcBorders>
            <w:shd w:val="clear" w:color="auto" w:fill="auto"/>
            <w:noWrap/>
            <w:vAlign w:val="center"/>
          </w:tcPr>
          <w:p w14:paraId="31774B9D">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489C90D0">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21" w:type="dxa"/>
            <w:tcBorders>
              <w:top w:val="nil"/>
              <w:left w:val="nil"/>
              <w:bottom w:val="single" w:color="auto" w:sz="8" w:space="0"/>
              <w:right w:val="single" w:color="auto" w:sz="8" w:space="0"/>
            </w:tcBorders>
            <w:shd w:val="clear" w:color="auto" w:fill="auto"/>
            <w:noWrap/>
            <w:vAlign w:val="center"/>
          </w:tcPr>
          <w:p w14:paraId="396C600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6.65</w:t>
            </w:r>
          </w:p>
        </w:tc>
        <w:tc>
          <w:tcPr>
            <w:tcW w:w="1080" w:type="dxa"/>
            <w:tcBorders>
              <w:top w:val="nil"/>
              <w:left w:val="nil"/>
              <w:bottom w:val="single" w:color="auto" w:sz="8" w:space="0"/>
              <w:right w:val="single" w:color="auto" w:sz="8" w:space="0"/>
            </w:tcBorders>
            <w:shd w:val="clear" w:color="auto" w:fill="auto"/>
            <w:noWrap/>
            <w:vAlign w:val="center"/>
          </w:tcPr>
          <w:p w14:paraId="0DAD4FBB">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4CD8623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243CDB68">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828</w:t>
            </w:r>
          </w:p>
        </w:tc>
        <w:tc>
          <w:tcPr>
            <w:tcW w:w="1080" w:type="dxa"/>
            <w:tcBorders>
              <w:top w:val="nil"/>
              <w:left w:val="nil"/>
              <w:bottom w:val="single" w:color="auto" w:sz="8" w:space="0"/>
              <w:right w:val="single" w:color="auto" w:sz="8" w:space="0"/>
            </w:tcBorders>
            <w:shd w:val="clear" w:color="auto" w:fill="auto"/>
            <w:noWrap/>
            <w:vAlign w:val="center"/>
          </w:tcPr>
          <w:p w14:paraId="4DB9EF2F">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7119C612">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c>
          <w:tcPr>
            <w:tcW w:w="1080" w:type="dxa"/>
            <w:tcBorders>
              <w:top w:val="nil"/>
              <w:left w:val="nil"/>
              <w:bottom w:val="single" w:color="auto" w:sz="8" w:space="0"/>
              <w:right w:val="single" w:color="auto" w:sz="8" w:space="0"/>
            </w:tcBorders>
            <w:shd w:val="clear" w:color="auto" w:fill="auto"/>
            <w:noWrap/>
            <w:vAlign w:val="center"/>
          </w:tcPr>
          <w:p w14:paraId="04D0A53E">
            <w:pPr>
              <w:widowControl/>
              <w:adjustRightInd w:val="0"/>
              <w:snapToGrid w:val="0"/>
              <w:jc w:val="center"/>
              <w:rPr>
                <w:rFonts w:ascii="Arial" w:hAnsi="Arial" w:eastAsia="宋体" w:cs="Arial"/>
                <w:kern w:val="0"/>
                <w:sz w:val="21"/>
                <w:szCs w:val="21"/>
                <w:u w:val="single"/>
              </w:rPr>
            </w:pPr>
            <w:r>
              <w:rPr>
                <w:rFonts w:ascii="Arial" w:hAnsi="Arial" w:eastAsia="宋体" w:cs="Arial"/>
                <w:kern w:val="0"/>
                <w:sz w:val="21"/>
                <w:szCs w:val="21"/>
                <w:u w:val="single"/>
              </w:rPr>
              <w:t>0.01</w:t>
            </w:r>
          </w:p>
        </w:tc>
      </w:tr>
    </w:tbl>
    <w:p w14:paraId="6E7547D3">
      <w:pPr>
        <w:spacing w:line="264" w:lineRule="auto"/>
        <w:ind w:firstLine="476"/>
        <w:rPr>
          <w:rFonts w:ascii="Arial" w:hAnsi="Arial" w:eastAsia="宋体" w:cs="Arial"/>
          <w:spacing w:val="10"/>
          <w:sz w:val="24"/>
          <w:szCs w:val="24"/>
          <w:highlight w:val="yellow"/>
        </w:rPr>
        <w:sectPr>
          <w:pgSz w:w="16840" w:h="11907" w:orient="landscape"/>
          <w:pgMar w:top="1134" w:right="851" w:bottom="1134" w:left="851" w:header="1174" w:footer="1026" w:gutter="567"/>
          <w:cols w:space="720" w:num="1"/>
          <w:docGrid w:type="linesAndChars" w:linePitch="428" w:charSpace="-3161"/>
        </w:sectPr>
      </w:pPr>
    </w:p>
    <w:bookmarkEnd w:id="319"/>
    <w:p w14:paraId="0498055F">
      <w:pPr>
        <w:pStyle w:val="6"/>
        <w:numPr>
          <w:ilvl w:val="0"/>
          <w:numId w:val="20"/>
        </w:numPr>
        <w:tabs>
          <w:tab w:val="clear" w:pos="1789"/>
        </w:tabs>
        <w:spacing w:line="400" w:lineRule="exact"/>
        <w:rPr>
          <w:rFonts w:ascii="Arial" w:hAnsi="Arial" w:eastAsia="宋体" w:cs="Arial"/>
        </w:rPr>
      </w:pPr>
      <w:bookmarkStart w:id="320" w:name="_Toc104677303"/>
      <w:bookmarkStart w:id="321" w:name="_Toc88674776"/>
      <w:bookmarkStart w:id="322" w:name="_Toc87124261"/>
      <w:bookmarkStart w:id="323" w:name="_Toc67921875"/>
      <w:bookmarkStart w:id="324" w:name="_Toc58596462"/>
      <w:bookmarkStart w:id="325" w:name="_Toc57715622"/>
      <w:r>
        <w:rPr>
          <w:rFonts w:ascii="Arial" w:hAnsi="Arial" w:eastAsia="宋体" w:cs="Arial"/>
        </w:rPr>
        <w:t>运营期声环境影响分析</w:t>
      </w:r>
      <w:bookmarkEnd w:id="320"/>
      <w:bookmarkEnd w:id="321"/>
      <w:bookmarkEnd w:id="322"/>
      <w:bookmarkEnd w:id="323"/>
      <w:bookmarkEnd w:id="324"/>
      <w:bookmarkEnd w:id="325"/>
    </w:p>
    <w:p w14:paraId="5712C628">
      <w:pPr>
        <w:pStyle w:val="474"/>
        <w:numPr>
          <w:ilvl w:val="0"/>
          <w:numId w:val="26"/>
        </w:numPr>
        <w:spacing w:line="500" w:lineRule="exact"/>
        <w:ind w:firstLineChars="0"/>
        <w:outlineLvl w:val="3"/>
        <w:rPr>
          <w:rFonts w:ascii="Arial" w:hAnsi="Arial" w:cs="Arial"/>
          <w:b/>
        </w:rPr>
      </w:pPr>
      <w:r>
        <w:rPr>
          <w:rFonts w:ascii="Arial" w:hAnsi="Arial" w:cs="Arial"/>
          <w:b/>
        </w:rPr>
        <w:t>噪声源</w:t>
      </w:r>
    </w:p>
    <w:p w14:paraId="0648D2AA">
      <w:pPr>
        <w:pStyle w:val="5"/>
      </w:pPr>
      <w:r>
        <w:rPr>
          <w:rFonts w:hint="eastAsia"/>
        </w:rPr>
        <w:t>项目新增噪声源强清单见表4-28、表4-29。</w:t>
      </w:r>
    </w:p>
    <w:p w14:paraId="32C666FA">
      <w:pPr>
        <w:numPr>
          <w:ilvl w:val="0"/>
          <w:numId w:val="22"/>
        </w:numPr>
        <w:adjustRightInd w:val="0"/>
        <w:snapToGrid w:val="0"/>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项目噪声源强调查清单（室外声源）</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1665"/>
        <w:gridCol w:w="709"/>
        <w:gridCol w:w="709"/>
        <w:gridCol w:w="709"/>
        <w:gridCol w:w="455"/>
        <w:gridCol w:w="1185"/>
        <w:gridCol w:w="1666"/>
        <w:gridCol w:w="1187"/>
      </w:tblGrid>
      <w:tr w14:paraId="23145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shd w:val="clear" w:color="auto" w:fill="auto"/>
            <w:vAlign w:val="center"/>
          </w:tcPr>
          <w:p w14:paraId="00694689">
            <w:pPr>
              <w:pStyle w:val="5"/>
              <w:adjustRightInd w:val="0"/>
              <w:snapToGrid w:val="0"/>
              <w:spacing w:line="240" w:lineRule="auto"/>
              <w:ind w:firstLine="0"/>
              <w:jc w:val="center"/>
              <w:rPr>
                <w:sz w:val="21"/>
              </w:rPr>
            </w:pPr>
            <w:r>
              <w:rPr>
                <w:sz w:val="21"/>
              </w:rPr>
              <w:t>序号</w:t>
            </w:r>
          </w:p>
        </w:tc>
        <w:tc>
          <w:tcPr>
            <w:tcW w:w="926" w:type="pct"/>
            <w:vMerge w:val="restart"/>
            <w:shd w:val="clear" w:color="auto" w:fill="auto"/>
            <w:vAlign w:val="center"/>
          </w:tcPr>
          <w:p w14:paraId="61C3B4B5">
            <w:pPr>
              <w:pStyle w:val="5"/>
              <w:adjustRightInd w:val="0"/>
              <w:snapToGrid w:val="0"/>
              <w:spacing w:line="240" w:lineRule="auto"/>
              <w:ind w:firstLine="0"/>
              <w:jc w:val="center"/>
              <w:rPr>
                <w:sz w:val="21"/>
              </w:rPr>
            </w:pPr>
            <w:r>
              <w:rPr>
                <w:sz w:val="21"/>
              </w:rPr>
              <w:t>名称</w:t>
            </w:r>
          </w:p>
        </w:tc>
        <w:tc>
          <w:tcPr>
            <w:tcW w:w="394" w:type="pct"/>
            <w:vMerge w:val="restart"/>
            <w:shd w:val="clear" w:color="auto" w:fill="auto"/>
            <w:vAlign w:val="center"/>
          </w:tcPr>
          <w:p w14:paraId="2BF873C6">
            <w:pPr>
              <w:pStyle w:val="5"/>
              <w:adjustRightInd w:val="0"/>
              <w:snapToGrid w:val="0"/>
              <w:spacing w:line="240" w:lineRule="auto"/>
              <w:ind w:firstLine="0"/>
              <w:jc w:val="center"/>
              <w:rPr>
                <w:sz w:val="21"/>
              </w:rPr>
            </w:pPr>
            <w:r>
              <w:rPr>
                <w:sz w:val="21"/>
              </w:rPr>
              <w:t>型号</w:t>
            </w:r>
          </w:p>
        </w:tc>
        <w:tc>
          <w:tcPr>
            <w:tcW w:w="1041" w:type="pct"/>
            <w:gridSpan w:val="3"/>
            <w:shd w:val="clear" w:color="auto" w:fill="auto"/>
            <w:vAlign w:val="center"/>
          </w:tcPr>
          <w:p w14:paraId="757E49FE">
            <w:pPr>
              <w:pStyle w:val="5"/>
              <w:adjustRightInd w:val="0"/>
              <w:snapToGrid w:val="0"/>
              <w:spacing w:line="240" w:lineRule="auto"/>
              <w:ind w:firstLine="0"/>
              <w:jc w:val="center"/>
              <w:rPr>
                <w:sz w:val="21"/>
              </w:rPr>
            </w:pPr>
            <w:r>
              <w:rPr>
                <w:sz w:val="21"/>
              </w:rPr>
              <w:t>空间位置</w:t>
            </w:r>
          </w:p>
        </w:tc>
        <w:tc>
          <w:tcPr>
            <w:tcW w:w="659" w:type="pct"/>
            <w:vMerge w:val="restart"/>
            <w:shd w:val="clear" w:color="auto" w:fill="auto"/>
            <w:vAlign w:val="center"/>
          </w:tcPr>
          <w:p w14:paraId="08E99807">
            <w:pPr>
              <w:pStyle w:val="5"/>
              <w:adjustRightInd w:val="0"/>
              <w:snapToGrid w:val="0"/>
              <w:spacing w:line="240" w:lineRule="auto"/>
              <w:ind w:firstLine="0"/>
              <w:jc w:val="center"/>
              <w:rPr>
                <w:sz w:val="21"/>
              </w:rPr>
            </w:pPr>
            <w:r>
              <w:rPr>
                <w:sz w:val="21"/>
              </w:rPr>
              <w:t>声功率级</w:t>
            </w:r>
          </w:p>
          <w:p w14:paraId="0479F6AD">
            <w:pPr>
              <w:pStyle w:val="5"/>
              <w:adjustRightInd w:val="0"/>
              <w:snapToGrid w:val="0"/>
              <w:spacing w:line="240" w:lineRule="auto"/>
              <w:ind w:firstLine="0"/>
              <w:jc w:val="center"/>
              <w:rPr>
                <w:sz w:val="21"/>
              </w:rPr>
            </w:pPr>
            <w:r>
              <w:rPr>
                <w:sz w:val="21"/>
              </w:rPr>
              <w:t>dB（A）</w:t>
            </w:r>
          </w:p>
        </w:tc>
        <w:tc>
          <w:tcPr>
            <w:tcW w:w="926" w:type="pct"/>
            <w:vMerge w:val="restart"/>
            <w:shd w:val="clear" w:color="auto" w:fill="auto"/>
            <w:vAlign w:val="center"/>
          </w:tcPr>
          <w:p w14:paraId="55F8EBD1">
            <w:pPr>
              <w:pStyle w:val="5"/>
              <w:adjustRightInd w:val="0"/>
              <w:snapToGrid w:val="0"/>
              <w:spacing w:line="240" w:lineRule="auto"/>
              <w:ind w:firstLine="0"/>
              <w:jc w:val="center"/>
              <w:rPr>
                <w:sz w:val="21"/>
              </w:rPr>
            </w:pPr>
            <w:r>
              <w:rPr>
                <w:sz w:val="21"/>
              </w:rPr>
              <w:t>声源控制措施</w:t>
            </w:r>
          </w:p>
        </w:tc>
        <w:tc>
          <w:tcPr>
            <w:tcW w:w="660" w:type="pct"/>
            <w:vMerge w:val="restart"/>
            <w:shd w:val="clear" w:color="auto" w:fill="auto"/>
            <w:vAlign w:val="center"/>
          </w:tcPr>
          <w:p w14:paraId="497B87C4">
            <w:pPr>
              <w:pStyle w:val="5"/>
              <w:adjustRightInd w:val="0"/>
              <w:snapToGrid w:val="0"/>
              <w:spacing w:line="240" w:lineRule="auto"/>
              <w:ind w:firstLine="0"/>
              <w:jc w:val="center"/>
              <w:rPr>
                <w:sz w:val="21"/>
              </w:rPr>
            </w:pPr>
            <w:r>
              <w:rPr>
                <w:sz w:val="21"/>
              </w:rPr>
              <w:t>运行时段</w:t>
            </w:r>
          </w:p>
        </w:tc>
      </w:tr>
      <w:tr w14:paraId="229F7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shd w:val="clear" w:color="auto" w:fill="auto"/>
            <w:vAlign w:val="center"/>
          </w:tcPr>
          <w:p w14:paraId="5E82A923">
            <w:pPr>
              <w:pStyle w:val="5"/>
              <w:adjustRightInd w:val="0"/>
              <w:snapToGrid w:val="0"/>
              <w:spacing w:line="240" w:lineRule="auto"/>
              <w:ind w:firstLine="0"/>
              <w:jc w:val="center"/>
              <w:rPr>
                <w:sz w:val="21"/>
              </w:rPr>
            </w:pPr>
          </w:p>
        </w:tc>
        <w:tc>
          <w:tcPr>
            <w:tcW w:w="926" w:type="pct"/>
            <w:vMerge w:val="continue"/>
            <w:shd w:val="clear" w:color="auto" w:fill="auto"/>
            <w:vAlign w:val="center"/>
          </w:tcPr>
          <w:p w14:paraId="559F8951">
            <w:pPr>
              <w:pStyle w:val="5"/>
              <w:adjustRightInd w:val="0"/>
              <w:snapToGrid w:val="0"/>
              <w:spacing w:line="240" w:lineRule="auto"/>
              <w:ind w:firstLine="0"/>
              <w:jc w:val="center"/>
              <w:rPr>
                <w:sz w:val="21"/>
              </w:rPr>
            </w:pPr>
          </w:p>
        </w:tc>
        <w:tc>
          <w:tcPr>
            <w:tcW w:w="394" w:type="pct"/>
            <w:vMerge w:val="continue"/>
            <w:shd w:val="clear" w:color="auto" w:fill="auto"/>
            <w:vAlign w:val="center"/>
          </w:tcPr>
          <w:p w14:paraId="6463CDF4">
            <w:pPr>
              <w:pStyle w:val="5"/>
              <w:adjustRightInd w:val="0"/>
              <w:snapToGrid w:val="0"/>
              <w:spacing w:line="240" w:lineRule="auto"/>
              <w:ind w:firstLine="0"/>
              <w:jc w:val="center"/>
              <w:rPr>
                <w:sz w:val="21"/>
              </w:rPr>
            </w:pPr>
          </w:p>
        </w:tc>
        <w:tc>
          <w:tcPr>
            <w:tcW w:w="394" w:type="pct"/>
            <w:shd w:val="clear" w:color="auto" w:fill="auto"/>
            <w:vAlign w:val="center"/>
          </w:tcPr>
          <w:p w14:paraId="63E0E833">
            <w:pPr>
              <w:pStyle w:val="5"/>
              <w:adjustRightInd w:val="0"/>
              <w:snapToGrid w:val="0"/>
              <w:spacing w:line="240" w:lineRule="auto"/>
              <w:ind w:firstLine="0"/>
              <w:jc w:val="center"/>
              <w:rPr>
                <w:sz w:val="21"/>
              </w:rPr>
            </w:pPr>
            <w:r>
              <w:rPr>
                <w:sz w:val="21"/>
              </w:rPr>
              <w:t>X</w:t>
            </w:r>
          </w:p>
        </w:tc>
        <w:tc>
          <w:tcPr>
            <w:tcW w:w="394" w:type="pct"/>
            <w:shd w:val="clear" w:color="auto" w:fill="auto"/>
            <w:vAlign w:val="center"/>
          </w:tcPr>
          <w:p w14:paraId="4638CF35">
            <w:pPr>
              <w:pStyle w:val="5"/>
              <w:adjustRightInd w:val="0"/>
              <w:snapToGrid w:val="0"/>
              <w:spacing w:line="240" w:lineRule="auto"/>
              <w:ind w:firstLine="0"/>
              <w:jc w:val="center"/>
              <w:rPr>
                <w:sz w:val="21"/>
              </w:rPr>
            </w:pPr>
            <w:r>
              <w:rPr>
                <w:sz w:val="21"/>
              </w:rPr>
              <w:t>Y</w:t>
            </w:r>
          </w:p>
        </w:tc>
        <w:tc>
          <w:tcPr>
            <w:tcW w:w="253" w:type="pct"/>
            <w:shd w:val="clear" w:color="auto" w:fill="auto"/>
            <w:vAlign w:val="center"/>
          </w:tcPr>
          <w:p w14:paraId="0C720690">
            <w:pPr>
              <w:pStyle w:val="5"/>
              <w:adjustRightInd w:val="0"/>
              <w:snapToGrid w:val="0"/>
              <w:spacing w:line="240" w:lineRule="auto"/>
              <w:ind w:firstLine="0"/>
              <w:jc w:val="center"/>
              <w:rPr>
                <w:sz w:val="21"/>
              </w:rPr>
            </w:pPr>
            <w:r>
              <w:rPr>
                <w:sz w:val="21"/>
              </w:rPr>
              <w:t>Z</w:t>
            </w:r>
          </w:p>
        </w:tc>
        <w:tc>
          <w:tcPr>
            <w:tcW w:w="659" w:type="pct"/>
            <w:vMerge w:val="continue"/>
            <w:shd w:val="clear" w:color="auto" w:fill="auto"/>
            <w:vAlign w:val="center"/>
          </w:tcPr>
          <w:p w14:paraId="0D7281C8">
            <w:pPr>
              <w:pStyle w:val="5"/>
              <w:adjustRightInd w:val="0"/>
              <w:snapToGrid w:val="0"/>
              <w:spacing w:line="240" w:lineRule="auto"/>
              <w:ind w:firstLine="0"/>
              <w:jc w:val="center"/>
              <w:rPr>
                <w:sz w:val="21"/>
              </w:rPr>
            </w:pPr>
          </w:p>
        </w:tc>
        <w:tc>
          <w:tcPr>
            <w:tcW w:w="926" w:type="pct"/>
            <w:vMerge w:val="continue"/>
            <w:shd w:val="clear" w:color="auto" w:fill="auto"/>
            <w:vAlign w:val="center"/>
          </w:tcPr>
          <w:p w14:paraId="7CE9835C">
            <w:pPr>
              <w:pStyle w:val="5"/>
              <w:adjustRightInd w:val="0"/>
              <w:snapToGrid w:val="0"/>
              <w:spacing w:line="240" w:lineRule="auto"/>
              <w:ind w:firstLine="0"/>
              <w:jc w:val="center"/>
              <w:rPr>
                <w:sz w:val="21"/>
              </w:rPr>
            </w:pPr>
          </w:p>
        </w:tc>
        <w:tc>
          <w:tcPr>
            <w:tcW w:w="660" w:type="pct"/>
            <w:vMerge w:val="continue"/>
            <w:shd w:val="clear" w:color="auto" w:fill="auto"/>
            <w:vAlign w:val="center"/>
          </w:tcPr>
          <w:p w14:paraId="256158FC">
            <w:pPr>
              <w:pStyle w:val="5"/>
              <w:adjustRightInd w:val="0"/>
              <w:snapToGrid w:val="0"/>
              <w:spacing w:line="240" w:lineRule="auto"/>
              <w:ind w:firstLine="0"/>
              <w:jc w:val="center"/>
              <w:rPr>
                <w:sz w:val="21"/>
              </w:rPr>
            </w:pPr>
          </w:p>
        </w:tc>
      </w:tr>
      <w:tr w14:paraId="7D67F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shd w:val="clear" w:color="auto" w:fill="auto"/>
            <w:vAlign w:val="center"/>
          </w:tcPr>
          <w:p w14:paraId="5AF43985">
            <w:pPr>
              <w:pStyle w:val="5"/>
              <w:adjustRightInd w:val="0"/>
              <w:snapToGrid w:val="0"/>
              <w:spacing w:line="240" w:lineRule="auto"/>
              <w:ind w:firstLine="0"/>
              <w:jc w:val="center"/>
              <w:rPr>
                <w:sz w:val="21"/>
              </w:rPr>
            </w:pPr>
            <w:r>
              <w:rPr>
                <w:rFonts w:hint="eastAsia"/>
                <w:sz w:val="21"/>
              </w:rPr>
              <w:t>1</w:t>
            </w:r>
          </w:p>
        </w:tc>
        <w:tc>
          <w:tcPr>
            <w:tcW w:w="926" w:type="pct"/>
            <w:shd w:val="clear" w:color="auto" w:fill="auto"/>
            <w:vAlign w:val="center"/>
          </w:tcPr>
          <w:p w14:paraId="664F93EE">
            <w:pPr>
              <w:pStyle w:val="5"/>
              <w:adjustRightInd w:val="0"/>
              <w:snapToGrid w:val="0"/>
              <w:spacing w:line="240" w:lineRule="auto"/>
              <w:ind w:firstLine="0"/>
              <w:jc w:val="center"/>
              <w:rPr>
                <w:sz w:val="21"/>
              </w:rPr>
            </w:pPr>
            <w:r>
              <w:rPr>
                <w:sz w:val="21"/>
              </w:rPr>
              <w:t>泵集中区</w:t>
            </w:r>
          </w:p>
        </w:tc>
        <w:tc>
          <w:tcPr>
            <w:tcW w:w="394" w:type="pct"/>
            <w:shd w:val="clear" w:color="auto" w:fill="auto"/>
            <w:vAlign w:val="center"/>
          </w:tcPr>
          <w:p w14:paraId="15EB11E4">
            <w:pPr>
              <w:pStyle w:val="5"/>
              <w:adjustRightInd w:val="0"/>
              <w:snapToGrid w:val="0"/>
              <w:spacing w:line="240" w:lineRule="auto"/>
              <w:ind w:firstLine="0"/>
              <w:jc w:val="center"/>
              <w:rPr>
                <w:sz w:val="21"/>
              </w:rPr>
            </w:pPr>
            <w:r>
              <w:rPr>
                <w:sz w:val="21"/>
              </w:rPr>
              <w:t>/</w:t>
            </w:r>
          </w:p>
        </w:tc>
        <w:tc>
          <w:tcPr>
            <w:tcW w:w="394" w:type="pct"/>
            <w:shd w:val="clear" w:color="auto" w:fill="auto"/>
            <w:vAlign w:val="center"/>
          </w:tcPr>
          <w:p w14:paraId="761A180A">
            <w:pPr>
              <w:pStyle w:val="5"/>
              <w:adjustRightInd w:val="0"/>
              <w:snapToGrid w:val="0"/>
              <w:spacing w:line="240" w:lineRule="auto"/>
              <w:ind w:firstLine="0"/>
              <w:jc w:val="center"/>
              <w:rPr>
                <w:sz w:val="21"/>
              </w:rPr>
            </w:pPr>
            <w:r>
              <w:rPr>
                <w:rFonts w:hint="eastAsia"/>
                <w:sz w:val="21"/>
              </w:rPr>
              <w:t>24</w:t>
            </w:r>
          </w:p>
        </w:tc>
        <w:tc>
          <w:tcPr>
            <w:tcW w:w="394" w:type="pct"/>
            <w:shd w:val="clear" w:color="auto" w:fill="auto"/>
            <w:vAlign w:val="center"/>
          </w:tcPr>
          <w:p w14:paraId="62192B05">
            <w:pPr>
              <w:pStyle w:val="5"/>
              <w:adjustRightInd w:val="0"/>
              <w:snapToGrid w:val="0"/>
              <w:spacing w:line="240" w:lineRule="auto"/>
              <w:ind w:firstLine="0"/>
              <w:jc w:val="center"/>
              <w:rPr>
                <w:sz w:val="21"/>
              </w:rPr>
            </w:pPr>
            <w:r>
              <w:rPr>
                <w:rFonts w:hint="eastAsia"/>
                <w:sz w:val="21"/>
              </w:rPr>
              <w:t>40</w:t>
            </w:r>
          </w:p>
        </w:tc>
        <w:tc>
          <w:tcPr>
            <w:tcW w:w="253" w:type="pct"/>
            <w:shd w:val="clear" w:color="auto" w:fill="auto"/>
            <w:vAlign w:val="center"/>
          </w:tcPr>
          <w:p w14:paraId="7A945487">
            <w:pPr>
              <w:pStyle w:val="5"/>
              <w:adjustRightInd w:val="0"/>
              <w:snapToGrid w:val="0"/>
              <w:spacing w:line="240" w:lineRule="auto"/>
              <w:ind w:firstLine="0"/>
              <w:jc w:val="center"/>
              <w:rPr>
                <w:sz w:val="21"/>
              </w:rPr>
            </w:pPr>
            <w:r>
              <w:rPr>
                <w:rFonts w:hint="eastAsia"/>
                <w:sz w:val="21"/>
              </w:rPr>
              <w:t>1</w:t>
            </w:r>
          </w:p>
        </w:tc>
        <w:tc>
          <w:tcPr>
            <w:tcW w:w="659" w:type="pct"/>
            <w:shd w:val="clear" w:color="auto" w:fill="auto"/>
            <w:vAlign w:val="center"/>
          </w:tcPr>
          <w:p w14:paraId="277BA699">
            <w:pPr>
              <w:pStyle w:val="5"/>
              <w:adjustRightInd w:val="0"/>
              <w:snapToGrid w:val="0"/>
              <w:spacing w:line="240" w:lineRule="auto"/>
              <w:ind w:firstLine="0"/>
              <w:jc w:val="center"/>
              <w:rPr>
                <w:sz w:val="21"/>
              </w:rPr>
            </w:pPr>
            <w:r>
              <w:rPr>
                <w:rFonts w:hint="eastAsia"/>
                <w:sz w:val="21"/>
              </w:rPr>
              <w:t>95</w:t>
            </w:r>
          </w:p>
        </w:tc>
        <w:tc>
          <w:tcPr>
            <w:tcW w:w="926" w:type="pct"/>
            <w:shd w:val="clear" w:color="auto" w:fill="auto"/>
            <w:vAlign w:val="center"/>
          </w:tcPr>
          <w:p w14:paraId="4DB2F042">
            <w:pPr>
              <w:pStyle w:val="5"/>
              <w:adjustRightInd w:val="0"/>
              <w:snapToGrid w:val="0"/>
              <w:spacing w:line="240" w:lineRule="auto"/>
              <w:ind w:firstLine="0"/>
              <w:jc w:val="center"/>
              <w:rPr>
                <w:sz w:val="21"/>
              </w:rPr>
            </w:pPr>
            <w:r>
              <w:rPr>
                <w:sz w:val="21"/>
              </w:rPr>
              <w:t>基础减震</w:t>
            </w:r>
          </w:p>
        </w:tc>
        <w:tc>
          <w:tcPr>
            <w:tcW w:w="660" w:type="pct"/>
            <w:shd w:val="clear" w:color="auto" w:fill="auto"/>
            <w:vAlign w:val="center"/>
          </w:tcPr>
          <w:p w14:paraId="64B7E20D">
            <w:pPr>
              <w:pStyle w:val="5"/>
              <w:adjustRightInd w:val="0"/>
              <w:snapToGrid w:val="0"/>
              <w:spacing w:line="240" w:lineRule="auto"/>
              <w:ind w:firstLine="0"/>
              <w:jc w:val="center"/>
              <w:rPr>
                <w:sz w:val="21"/>
              </w:rPr>
            </w:pPr>
            <w:r>
              <w:rPr>
                <w:sz w:val="21"/>
              </w:rPr>
              <w:t>全天</w:t>
            </w:r>
          </w:p>
        </w:tc>
      </w:tr>
      <w:tr w14:paraId="63499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shd w:val="clear" w:color="auto" w:fill="auto"/>
            <w:vAlign w:val="center"/>
          </w:tcPr>
          <w:p w14:paraId="1791A224">
            <w:pPr>
              <w:pStyle w:val="5"/>
              <w:adjustRightInd w:val="0"/>
              <w:snapToGrid w:val="0"/>
              <w:spacing w:line="240" w:lineRule="auto"/>
              <w:ind w:firstLine="0"/>
              <w:jc w:val="center"/>
              <w:rPr>
                <w:sz w:val="21"/>
              </w:rPr>
            </w:pPr>
            <w:r>
              <w:rPr>
                <w:rFonts w:hint="eastAsia"/>
                <w:sz w:val="21"/>
              </w:rPr>
              <w:t>2</w:t>
            </w:r>
          </w:p>
        </w:tc>
        <w:tc>
          <w:tcPr>
            <w:tcW w:w="926" w:type="pct"/>
            <w:shd w:val="clear" w:color="auto" w:fill="auto"/>
            <w:vAlign w:val="center"/>
          </w:tcPr>
          <w:p w14:paraId="4905F8D9">
            <w:pPr>
              <w:pStyle w:val="5"/>
              <w:adjustRightInd w:val="0"/>
              <w:snapToGrid w:val="0"/>
              <w:spacing w:line="240" w:lineRule="auto"/>
              <w:ind w:firstLine="0"/>
              <w:jc w:val="center"/>
              <w:rPr>
                <w:sz w:val="21"/>
              </w:rPr>
            </w:pPr>
            <w:r>
              <w:rPr>
                <w:sz w:val="21"/>
              </w:rPr>
              <w:t>泵集中区</w:t>
            </w:r>
          </w:p>
        </w:tc>
        <w:tc>
          <w:tcPr>
            <w:tcW w:w="394" w:type="pct"/>
            <w:shd w:val="clear" w:color="auto" w:fill="auto"/>
            <w:vAlign w:val="center"/>
          </w:tcPr>
          <w:p w14:paraId="05287866">
            <w:pPr>
              <w:pStyle w:val="5"/>
              <w:adjustRightInd w:val="0"/>
              <w:snapToGrid w:val="0"/>
              <w:spacing w:line="240" w:lineRule="auto"/>
              <w:ind w:firstLine="0"/>
              <w:jc w:val="center"/>
              <w:rPr>
                <w:sz w:val="21"/>
              </w:rPr>
            </w:pPr>
            <w:r>
              <w:rPr>
                <w:sz w:val="21"/>
              </w:rPr>
              <w:t>/</w:t>
            </w:r>
          </w:p>
        </w:tc>
        <w:tc>
          <w:tcPr>
            <w:tcW w:w="394" w:type="pct"/>
            <w:shd w:val="clear" w:color="auto" w:fill="auto"/>
            <w:vAlign w:val="center"/>
          </w:tcPr>
          <w:p w14:paraId="7C9F932E">
            <w:pPr>
              <w:pStyle w:val="5"/>
              <w:adjustRightInd w:val="0"/>
              <w:snapToGrid w:val="0"/>
              <w:spacing w:line="240" w:lineRule="auto"/>
              <w:ind w:firstLine="0"/>
              <w:jc w:val="center"/>
              <w:rPr>
                <w:sz w:val="21"/>
              </w:rPr>
            </w:pPr>
            <w:r>
              <w:rPr>
                <w:rFonts w:hint="eastAsia"/>
                <w:sz w:val="21"/>
              </w:rPr>
              <w:t>-12</w:t>
            </w:r>
          </w:p>
        </w:tc>
        <w:tc>
          <w:tcPr>
            <w:tcW w:w="394" w:type="pct"/>
            <w:shd w:val="clear" w:color="auto" w:fill="auto"/>
            <w:vAlign w:val="center"/>
          </w:tcPr>
          <w:p w14:paraId="10DE3969">
            <w:pPr>
              <w:pStyle w:val="5"/>
              <w:adjustRightInd w:val="0"/>
              <w:snapToGrid w:val="0"/>
              <w:spacing w:line="240" w:lineRule="auto"/>
              <w:ind w:firstLine="0"/>
              <w:jc w:val="center"/>
              <w:rPr>
                <w:sz w:val="21"/>
              </w:rPr>
            </w:pPr>
            <w:r>
              <w:rPr>
                <w:rFonts w:hint="eastAsia"/>
                <w:sz w:val="21"/>
              </w:rPr>
              <w:t>36</w:t>
            </w:r>
          </w:p>
        </w:tc>
        <w:tc>
          <w:tcPr>
            <w:tcW w:w="253" w:type="pct"/>
            <w:shd w:val="clear" w:color="auto" w:fill="auto"/>
            <w:vAlign w:val="center"/>
          </w:tcPr>
          <w:p w14:paraId="384D21A0">
            <w:pPr>
              <w:pStyle w:val="5"/>
              <w:adjustRightInd w:val="0"/>
              <w:snapToGrid w:val="0"/>
              <w:spacing w:line="240" w:lineRule="auto"/>
              <w:ind w:firstLine="0"/>
              <w:jc w:val="center"/>
              <w:rPr>
                <w:sz w:val="21"/>
              </w:rPr>
            </w:pPr>
            <w:r>
              <w:rPr>
                <w:rFonts w:hint="eastAsia"/>
                <w:sz w:val="21"/>
              </w:rPr>
              <w:t>1</w:t>
            </w:r>
          </w:p>
        </w:tc>
        <w:tc>
          <w:tcPr>
            <w:tcW w:w="659" w:type="pct"/>
            <w:shd w:val="clear" w:color="auto" w:fill="auto"/>
            <w:vAlign w:val="center"/>
          </w:tcPr>
          <w:p w14:paraId="020FBE9C">
            <w:pPr>
              <w:pStyle w:val="5"/>
              <w:adjustRightInd w:val="0"/>
              <w:snapToGrid w:val="0"/>
              <w:spacing w:line="240" w:lineRule="auto"/>
              <w:ind w:firstLine="0"/>
              <w:jc w:val="center"/>
              <w:rPr>
                <w:sz w:val="21"/>
              </w:rPr>
            </w:pPr>
            <w:r>
              <w:rPr>
                <w:rFonts w:hint="eastAsia"/>
                <w:sz w:val="21"/>
              </w:rPr>
              <w:t>95</w:t>
            </w:r>
          </w:p>
        </w:tc>
        <w:tc>
          <w:tcPr>
            <w:tcW w:w="926" w:type="pct"/>
            <w:shd w:val="clear" w:color="auto" w:fill="auto"/>
            <w:vAlign w:val="center"/>
          </w:tcPr>
          <w:p w14:paraId="31102517">
            <w:pPr>
              <w:pStyle w:val="5"/>
              <w:adjustRightInd w:val="0"/>
              <w:snapToGrid w:val="0"/>
              <w:spacing w:line="240" w:lineRule="auto"/>
              <w:ind w:firstLine="0"/>
              <w:jc w:val="center"/>
              <w:rPr>
                <w:sz w:val="21"/>
              </w:rPr>
            </w:pPr>
            <w:r>
              <w:rPr>
                <w:sz w:val="21"/>
              </w:rPr>
              <w:t>基础减震</w:t>
            </w:r>
          </w:p>
        </w:tc>
        <w:tc>
          <w:tcPr>
            <w:tcW w:w="660" w:type="pct"/>
            <w:shd w:val="clear" w:color="auto" w:fill="auto"/>
            <w:vAlign w:val="center"/>
          </w:tcPr>
          <w:p w14:paraId="536BA299">
            <w:pPr>
              <w:pStyle w:val="5"/>
              <w:adjustRightInd w:val="0"/>
              <w:snapToGrid w:val="0"/>
              <w:spacing w:line="240" w:lineRule="auto"/>
              <w:ind w:firstLine="0"/>
              <w:jc w:val="center"/>
              <w:rPr>
                <w:sz w:val="21"/>
              </w:rPr>
            </w:pPr>
            <w:r>
              <w:rPr>
                <w:sz w:val="21"/>
              </w:rPr>
              <w:t>全天</w:t>
            </w:r>
          </w:p>
        </w:tc>
      </w:tr>
    </w:tbl>
    <w:p w14:paraId="1A35A43F">
      <w:pPr>
        <w:numPr>
          <w:ilvl w:val="0"/>
          <w:numId w:val="22"/>
        </w:numPr>
        <w:adjustRightInd w:val="0"/>
        <w:snapToGrid w:val="0"/>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项目噪声源强调查清单（室内声源）</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1"/>
        <w:gridCol w:w="1173"/>
        <w:gridCol w:w="788"/>
        <w:gridCol w:w="1155"/>
        <w:gridCol w:w="625"/>
        <w:gridCol w:w="643"/>
        <w:gridCol w:w="440"/>
        <w:gridCol w:w="837"/>
        <w:gridCol w:w="1112"/>
        <w:gridCol w:w="692"/>
        <w:gridCol w:w="1067"/>
      </w:tblGrid>
      <w:tr w14:paraId="7A7DD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vMerge w:val="restart"/>
            <w:shd w:val="clear" w:color="auto" w:fill="auto"/>
            <w:vAlign w:val="center"/>
          </w:tcPr>
          <w:p w14:paraId="16EAC20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序号</w:t>
            </w:r>
          </w:p>
        </w:tc>
        <w:tc>
          <w:tcPr>
            <w:tcW w:w="653" w:type="pct"/>
            <w:vMerge w:val="restart"/>
            <w:shd w:val="clear" w:color="auto" w:fill="auto"/>
            <w:vAlign w:val="center"/>
          </w:tcPr>
          <w:p w14:paraId="472268C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名称</w:t>
            </w:r>
          </w:p>
        </w:tc>
        <w:tc>
          <w:tcPr>
            <w:tcW w:w="433" w:type="pct"/>
            <w:vMerge w:val="restart"/>
            <w:shd w:val="clear" w:color="auto" w:fill="auto"/>
            <w:vAlign w:val="center"/>
          </w:tcPr>
          <w:p w14:paraId="0E1A52C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声功</w:t>
            </w:r>
          </w:p>
          <w:p w14:paraId="22E6E79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率级</w:t>
            </w:r>
          </w:p>
          <w:p w14:paraId="0F4EC43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dB</w:t>
            </w:r>
          </w:p>
          <w:p w14:paraId="5BCAA60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（A）</w:t>
            </w:r>
          </w:p>
        </w:tc>
        <w:tc>
          <w:tcPr>
            <w:tcW w:w="643" w:type="pct"/>
            <w:vMerge w:val="restart"/>
            <w:shd w:val="clear" w:color="auto" w:fill="auto"/>
            <w:vAlign w:val="center"/>
          </w:tcPr>
          <w:p w14:paraId="08506D4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声源控</w:t>
            </w:r>
          </w:p>
          <w:p w14:paraId="107C231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制措施</w:t>
            </w:r>
          </w:p>
        </w:tc>
        <w:tc>
          <w:tcPr>
            <w:tcW w:w="951" w:type="pct"/>
            <w:gridSpan w:val="3"/>
            <w:shd w:val="clear" w:color="auto" w:fill="auto"/>
            <w:vAlign w:val="center"/>
          </w:tcPr>
          <w:p w14:paraId="055BFAD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空间位置</w:t>
            </w:r>
          </w:p>
        </w:tc>
        <w:tc>
          <w:tcPr>
            <w:tcW w:w="466" w:type="pct"/>
            <w:vMerge w:val="restart"/>
            <w:shd w:val="clear" w:color="auto" w:fill="auto"/>
            <w:vAlign w:val="center"/>
          </w:tcPr>
          <w:p w14:paraId="34B29B6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距室</w:t>
            </w:r>
          </w:p>
          <w:p w14:paraId="430109C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内边</w:t>
            </w:r>
          </w:p>
          <w:p w14:paraId="19E0C9B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界距</w:t>
            </w:r>
          </w:p>
          <w:p w14:paraId="5FA77B0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离m</w:t>
            </w:r>
          </w:p>
        </w:tc>
        <w:tc>
          <w:tcPr>
            <w:tcW w:w="619" w:type="pct"/>
            <w:vMerge w:val="restart"/>
            <w:shd w:val="clear" w:color="auto" w:fill="auto"/>
            <w:vAlign w:val="center"/>
          </w:tcPr>
          <w:p w14:paraId="3728681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室内边界</w:t>
            </w:r>
          </w:p>
          <w:p w14:paraId="242DB69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声级dB（A）</w:t>
            </w:r>
          </w:p>
        </w:tc>
        <w:tc>
          <w:tcPr>
            <w:tcW w:w="385" w:type="pct"/>
            <w:vMerge w:val="restart"/>
            <w:shd w:val="clear" w:color="auto" w:fill="auto"/>
            <w:vAlign w:val="center"/>
          </w:tcPr>
          <w:p w14:paraId="08C3555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运行</w:t>
            </w:r>
          </w:p>
          <w:p w14:paraId="48AEB0B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时段</w:t>
            </w:r>
          </w:p>
        </w:tc>
        <w:tc>
          <w:tcPr>
            <w:tcW w:w="593" w:type="pct"/>
            <w:vMerge w:val="restart"/>
            <w:shd w:val="clear" w:color="auto" w:fill="auto"/>
            <w:vAlign w:val="center"/>
          </w:tcPr>
          <w:p w14:paraId="70BD635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建筑物插</w:t>
            </w:r>
          </w:p>
          <w:p w14:paraId="2C9825A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入损失</w:t>
            </w:r>
          </w:p>
          <w:p w14:paraId="63E8F14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dB（A）</w:t>
            </w:r>
          </w:p>
        </w:tc>
      </w:tr>
      <w:tr w14:paraId="19FB4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vMerge w:val="continue"/>
            <w:shd w:val="clear" w:color="auto" w:fill="auto"/>
            <w:vAlign w:val="center"/>
          </w:tcPr>
          <w:p w14:paraId="4A056A55">
            <w:pPr>
              <w:adjustRightInd w:val="0"/>
              <w:snapToGrid w:val="0"/>
              <w:jc w:val="center"/>
              <w:rPr>
                <w:rFonts w:ascii="Arial" w:hAnsi="Arial" w:eastAsia="宋体" w:cs="Arial"/>
                <w:spacing w:val="10"/>
                <w:sz w:val="21"/>
                <w:szCs w:val="21"/>
              </w:rPr>
            </w:pPr>
          </w:p>
        </w:tc>
        <w:tc>
          <w:tcPr>
            <w:tcW w:w="653" w:type="pct"/>
            <w:vMerge w:val="continue"/>
            <w:shd w:val="clear" w:color="auto" w:fill="auto"/>
            <w:vAlign w:val="center"/>
          </w:tcPr>
          <w:p w14:paraId="4CCD1EDD">
            <w:pPr>
              <w:adjustRightInd w:val="0"/>
              <w:snapToGrid w:val="0"/>
              <w:jc w:val="center"/>
              <w:rPr>
                <w:rFonts w:ascii="Arial" w:hAnsi="Arial" w:eastAsia="宋体" w:cs="Arial"/>
                <w:spacing w:val="10"/>
                <w:sz w:val="21"/>
                <w:szCs w:val="21"/>
              </w:rPr>
            </w:pPr>
          </w:p>
        </w:tc>
        <w:tc>
          <w:tcPr>
            <w:tcW w:w="433" w:type="pct"/>
            <w:vMerge w:val="continue"/>
            <w:shd w:val="clear" w:color="auto" w:fill="auto"/>
            <w:vAlign w:val="center"/>
          </w:tcPr>
          <w:p w14:paraId="7425D1E8">
            <w:pPr>
              <w:adjustRightInd w:val="0"/>
              <w:snapToGrid w:val="0"/>
              <w:jc w:val="center"/>
              <w:rPr>
                <w:rFonts w:ascii="Arial" w:hAnsi="Arial" w:eastAsia="宋体" w:cs="Arial"/>
                <w:spacing w:val="10"/>
                <w:sz w:val="21"/>
                <w:szCs w:val="21"/>
              </w:rPr>
            </w:pPr>
          </w:p>
        </w:tc>
        <w:tc>
          <w:tcPr>
            <w:tcW w:w="643" w:type="pct"/>
            <w:vMerge w:val="continue"/>
            <w:shd w:val="clear" w:color="auto" w:fill="auto"/>
            <w:vAlign w:val="center"/>
          </w:tcPr>
          <w:p w14:paraId="69F2B860">
            <w:pPr>
              <w:adjustRightInd w:val="0"/>
              <w:snapToGrid w:val="0"/>
              <w:jc w:val="center"/>
              <w:rPr>
                <w:rFonts w:ascii="Arial" w:hAnsi="Arial" w:eastAsia="宋体" w:cs="Arial"/>
                <w:spacing w:val="10"/>
                <w:sz w:val="21"/>
                <w:szCs w:val="21"/>
              </w:rPr>
            </w:pPr>
          </w:p>
        </w:tc>
        <w:tc>
          <w:tcPr>
            <w:tcW w:w="348" w:type="pct"/>
            <w:shd w:val="clear" w:color="auto" w:fill="auto"/>
            <w:vAlign w:val="center"/>
          </w:tcPr>
          <w:p w14:paraId="1F9827E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X</w:t>
            </w:r>
          </w:p>
        </w:tc>
        <w:tc>
          <w:tcPr>
            <w:tcW w:w="358" w:type="pct"/>
            <w:shd w:val="clear" w:color="auto" w:fill="auto"/>
            <w:vAlign w:val="center"/>
          </w:tcPr>
          <w:p w14:paraId="2B3F610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Y</w:t>
            </w:r>
          </w:p>
        </w:tc>
        <w:tc>
          <w:tcPr>
            <w:tcW w:w="245" w:type="pct"/>
            <w:shd w:val="clear" w:color="auto" w:fill="auto"/>
            <w:vAlign w:val="center"/>
          </w:tcPr>
          <w:p w14:paraId="397ACF9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Z</w:t>
            </w:r>
          </w:p>
        </w:tc>
        <w:tc>
          <w:tcPr>
            <w:tcW w:w="466" w:type="pct"/>
            <w:vMerge w:val="continue"/>
            <w:shd w:val="clear" w:color="auto" w:fill="auto"/>
            <w:vAlign w:val="center"/>
          </w:tcPr>
          <w:p w14:paraId="3779CF15">
            <w:pPr>
              <w:adjustRightInd w:val="0"/>
              <w:snapToGrid w:val="0"/>
              <w:jc w:val="center"/>
              <w:rPr>
                <w:rFonts w:ascii="Arial" w:hAnsi="Arial" w:eastAsia="宋体" w:cs="Arial"/>
                <w:spacing w:val="10"/>
                <w:sz w:val="21"/>
                <w:szCs w:val="21"/>
              </w:rPr>
            </w:pPr>
          </w:p>
        </w:tc>
        <w:tc>
          <w:tcPr>
            <w:tcW w:w="619" w:type="pct"/>
            <w:vMerge w:val="continue"/>
            <w:shd w:val="clear" w:color="auto" w:fill="auto"/>
            <w:vAlign w:val="center"/>
          </w:tcPr>
          <w:p w14:paraId="570A3790">
            <w:pPr>
              <w:adjustRightInd w:val="0"/>
              <w:snapToGrid w:val="0"/>
              <w:jc w:val="center"/>
              <w:rPr>
                <w:rFonts w:ascii="Arial" w:hAnsi="Arial" w:eastAsia="宋体" w:cs="Arial"/>
                <w:spacing w:val="10"/>
                <w:sz w:val="21"/>
                <w:szCs w:val="21"/>
              </w:rPr>
            </w:pPr>
          </w:p>
        </w:tc>
        <w:tc>
          <w:tcPr>
            <w:tcW w:w="385" w:type="pct"/>
            <w:vMerge w:val="continue"/>
            <w:shd w:val="clear" w:color="auto" w:fill="auto"/>
            <w:vAlign w:val="center"/>
          </w:tcPr>
          <w:p w14:paraId="3E026E79">
            <w:pPr>
              <w:adjustRightInd w:val="0"/>
              <w:snapToGrid w:val="0"/>
              <w:jc w:val="center"/>
              <w:rPr>
                <w:rFonts w:ascii="Arial" w:hAnsi="Arial" w:eastAsia="宋体" w:cs="Arial"/>
                <w:spacing w:val="10"/>
                <w:sz w:val="21"/>
                <w:szCs w:val="21"/>
              </w:rPr>
            </w:pPr>
          </w:p>
        </w:tc>
        <w:tc>
          <w:tcPr>
            <w:tcW w:w="593" w:type="pct"/>
            <w:vMerge w:val="continue"/>
            <w:shd w:val="clear" w:color="auto" w:fill="auto"/>
            <w:vAlign w:val="center"/>
          </w:tcPr>
          <w:p w14:paraId="7E54E5A7">
            <w:pPr>
              <w:adjustRightInd w:val="0"/>
              <w:snapToGrid w:val="0"/>
              <w:jc w:val="center"/>
              <w:rPr>
                <w:rFonts w:ascii="Arial" w:hAnsi="Arial" w:eastAsia="宋体" w:cs="Arial"/>
                <w:spacing w:val="10"/>
                <w:sz w:val="21"/>
                <w:szCs w:val="21"/>
              </w:rPr>
            </w:pPr>
          </w:p>
        </w:tc>
      </w:tr>
      <w:tr w14:paraId="7D68E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57AEFFC2">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653" w:type="pct"/>
            <w:shd w:val="clear" w:color="auto" w:fill="auto"/>
            <w:vAlign w:val="center"/>
          </w:tcPr>
          <w:p w14:paraId="6F9693B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压滤机集中区</w:t>
            </w:r>
          </w:p>
        </w:tc>
        <w:tc>
          <w:tcPr>
            <w:tcW w:w="433" w:type="pct"/>
            <w:shd w:val="clear" w:color="auto" w:fill="auto"/>
            <w:vAlign w:val="center"/>
          </w:tcPr>
          <w:p w14:paraId="7EAE8077">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643" w:type="pct"/>
            <w:shd w:val="clear" w:color="auto" w:fill="auto"/>
            <w:vAlign w:val="center"/>
          </w:tcPr>
          <w:p w14:paraId="0783481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5271AC17">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0</w:t>
            </w:r>
          </w:p>
        </w:tc>
        <w:tc>
          <w:tcPr>
            <w:tcW w:w="358" w:type="pct"/>
            <w:shd w:val="clear" w:color="auto" w:fill="auto"/>
            <w:vAlign w:val="center"/>
          </w:tcPr>
          <w:p w14:paraId="6DE3D35B">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p>
        </w:tc>
        <w:tc>
          <w:tcPr>
            <w:tcW w:w="245" w:type="pct"/>
            <w:shd w:val="clear" w:color="auto" w:fill="auto"/>
            <w:vAlign w:val="center"/>
          </w:tcPr>
          <w:p w14:paraId="58304491">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4EC347EA">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619" w:type="pct"/>
            <w:shd w:val="clear" w:color="auto" w:fill="auto"/>
            <w:vAlign w:val="center"/>
          </w:tcPr>
          <w:p w14:paraId="34AAC2A9">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385" w:type="pct"/>
            <w:shd w:val="clear" w:color="auto" w:fill="auto"/>
            <w:vAlign w:val="center"/>
          </w:tcPr>
          <w:p w14:paraId="15FAA16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4B0E448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14:paraId="2B9D5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3BECEFF5">
            <w:pPr>
              <w:adjustRightInd w:val="0"/>
              <w:snapToGrid w:val="0"/>
              <w:jc w:val="center"/>
              <w:rPr>
                <w:rFonts w:ascii="Arial" w:hAnsi="Arial" w:eastAsia="宋体" w:cs="Arial"/>
                <w:sz w:val="21"/>
                <w:szCs w:val="21"/>
              </w:rPr>
            </w:pPr>
            <w:r>
              <w:rPr>
                <w:rFonts w:hint="eastAsia" w:ascii="Arial" w:hAnsi="Arial" w:eastAsia="宋体" w:cs="Arial"/>
                <w:sz w:val="21"/>
                <w:szCs w:val="21"/>
              </w:rPr>
              <w:t>2</w:t>
            </w:r>
          </w:p>
        </w:tc>
        <w:tc>
          <w:tcPr>
            <w:tcW w:w="653" w:type="pct"/>
            <w:shd w:val="clear" w:color="auto" w:fill="auto"/>
            <w:vAlign w:val="center"/>
          </w:tcPr>
          <w:p w14:paraId="0BBE5C0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风机</w:t>
            </w:r>
          </w:p>
        </w:tc>
        <w:tc>
          <w:tcPr>
            <w:tcW w:w="433" w:type="pct"/>
            <w:shd w:val="clear" w:color="auto" w:fill="auto"/>
            <w:vAlign w:val="center"/>
          </w:tcPr>
          <w:p w14:paraId="20DE3498">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643" w:type="pct"/>
            <w:shd w:val="clear" w:color="auto" w:fill="auto"/>
            <w:vAlign w:val="center"/>
          </w:tcPr>
          <w:p w14:paraId="079464D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62ED59BB">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5</w:t>
            </w:r>
          </w:p>
        </w:tc>
        <w:tc>
          <w:tcPr>
            <w:tcW w:w="358" w:type="pct"/>
            <w:shd w:val="clear" w:color="auto" w:fill="auto"/>
            <w:vAlign w:val="center"/>
          </w:tcPr>
          <w:p w14:paraId="46983BAA">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15</w:t>
            </w:r>
          </w:p>
        </w:tc>
        <w:tc>
          <w:tcPr>
            <w:tcW w:w="245" w:type="pct"/>
            <w:shd w:val="clear" w:color="auto" w:fill="auto"/>
            <w:vAlign w:val="center"/>
          </w:tcPr>
          <w:p w14:paraId="5935D5B4">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01543848">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619" w:type="pct"/>
            <w:shd w:val="clear" w:color="auto" w:fill="auto"/>
            <w:vAlign w:val="center"/>
          </w:tcPr>
          <w:p w14:paraId="16FFC620">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385" w:type="pct"/>
            <w:shd w:val="clear" w:color="auto" w:fill="auto"/>
            <w:vAlign w:val="center"/>
          </w:tcPr>
          <w:p w14:paraId="6D60744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285A4F3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14:paraId="79B46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4E91AEBA">
            <w:pPr>
              <w:adjustRightInd w:val="0"/>
              <w:snapToGrid w:val="0"/>
              <w:jc w:val="center"/>
              <w:rPr>
                <w:rFonts w:ascii="Arial" w:hAnsi="Arial" w:eastAsia="宋体" w:cs="Arial"/>
                <w:sz w:val="21"/>
                <w:szCs w:val="21"/>
              </w:rPr>
            </w:pPr>
            <w:r>
              <w:rPr>
                <w:rFonts w:hint="eastAsia" w:ascii="Arial" w:hAnsi="Arial" w:eastAsia="宋体" w:cs="Arial"/>
                <w:sz w:val="21"/>
                <w:szCs w:val="21"/>
              </w:rPr>
              <w:t>3</w:t>
            </w:r>
          </w:p>
        </w:tc>
        <w:tc>
          <w:tcPr>
            <w:tcW w:w="653" w:type="pct"/>
            <w:shd w:val="clear" w:color="auto" w:fill="auto"/>
            <w:vAlign w:val="center"/>
          </w:tcPr>
          <w:p w14:paraId="45E8E66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风机</w:t>
            </w:r>
          </w:p>
        </w:tc>
        <w:tc>
          <w:tcPr>
            <w:tcW w:w="433" w:type="pct"/>
            <w:shd w:val="clear" w:color="auto" w:fill="auto"/>
            <w:vAlign w:val="center"/>
          </w:tcPr>
          <w:p w14:paraId="12DC7057">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643" w:type="pct"/>
            <w:shd w:val="clear" w:color="auto" w:fill="auto"/>
            <w:vAlign w:val="center"/>
          </w:tcPr>
          <w:p w14:paraId="2DCE687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62895851">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5</w:t>
            </w:r>
          </w:p>
        </w:tc>
        <w:tc>
          <w:tcPr>
            <w:tcW w:w="358" w:type="pct"/>
            <w:shd w:val="clear" w:color="auto" w:fill="auto"/>
            <w:vAlign w:val="center"/>
          </w:tcPr>
          <w:p w14:paraId="4A0E0E24">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18</w:t>
            </w:r>
          </w:p>
        </w:tc>
        <w:tc>
          <w:tcPr>
            <w:tcW w:w="245" w:type="pct"/>
            <w:shd w:val="clear" w:color="auto" w:fill="auto"/>
            <w:vAlign w:val="center"/>
          </w:tcPr>
          <w:p w14:paraId="18415871">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1DEAA6F8">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619" w:type="pct"/>
            <w:shd w:val="clear" w:color="auto" w:fill="auto"/>
            <w:vAlign w:val="center"/>
          </w:tcPr>
          <w:p w14:paraId="4E14293F">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385" w:type="pct"/>
            <w:shd w:val="clear" w:color="auto" w:fill="auto"/>
            <w:vAlign w:val="center"/>
          </w:tcPr>
          <w:p w14:paraId="767F35B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093CB9E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14:paraId="6C0A1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1A1F4A33">
            <w:pPr>
              <w:adjustRightInd w:val="0"/>
              <w:snapToGrid w:val="0"/>
              <w:jc w:val="center"/>
              <w:rPr>
                <w:rFonts w:ascii="Arial" w:hAnsi="Arial" w:eastAsia="宋体" w:cs="Arial"/>
                <w:sz w:val="21"/>
                <w:szCs w:val="21"/>
              </w:rPr>
            </w:pPr>
            <w:r>
              <w:rPr>
                <w:rFonts w:hint="eastAsia" w:ascii="Arial" w:hAnsi="Arial" w:eastAsia="宋体" w:cs="Arial"/>
                <w:sz w:val="21"/>
                <w:szCs w:val="21"/>
              </w:rPr>
              <w:t>4</w:t>
            </w:r>
          </w:p>
        </w:tc>
        <w:tc>
          <w:tcPr>
            <w:tcW w:w="653" w:type="pct"/>
            <w:shd w:val="clear" w:color="auto" w:fill="auto"/>
            <w:vAlign w:val="center"/>
          </w:tcPr>
          <w:p w14:paraId="3D6E3D00">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烘箱集中区</w:t>
            </w:r>
          </w:p>
        </w:tc>
        <w:tc>
          <w:tcPr>
            <w:tcW w:w="433" w:type="pct"/>
            <w:shd w:val="clear" w:color="auto" w:fill="auto"/>
            <w:vAlign w:val="center"/>
          </w:tcPr>
          <w:p w14:paraId="492704DD">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643" w:type="pct"/>
            <w:shd w:val="clear" w:color="auto" w:fill="auto"/>
            <w:vAlign w:val="center"/>
          </w:tcPr>
          <w:p w14:paraId="78F2604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0564ADBC">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w:t>
            </w:r>
          </w:p>
        </w:tc>
        <w:tc>
          <w:tcPr>
            <w:tcW w:w="358" w:type="pct"/>
            <w:shd w:val="clear" w:color="auto" w:fill="auto"/>
            <w:vAlign w:val="center"/>
          </w:tcPr>
          <w:p w14:paraId="0269B747">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28</w:t>
            </w:r>
          </w:p>
        </w:tc>
        <w:tc>
          <w:tcPr>
            <w:tcW w:w="245" w:type="pct"/>
            <w:shd w:val="clear" w:color="auto" w:fill="auto"/>
            <w:vAlign w:val="center"/>
          </w:tcPr>
          <w:p w14:paraId="2CA8D831">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647A888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619" w:type="pct"/>
            <w:shd w:val="clear" w:color="auto" w:fill="auto"/>
            <w:vAlign w:val="center"/>
          </w:tcPr>
          <w:p w14:paraId="4BD45A6A">
            <w:pPr>
              <w:adjustRightInd w:val="0"/>
              <w:snapToGrid w:val="0"/>
              <w:jc w:val="center"/>
              <w:rPr>
                <w:rFonts w:ascii="Arial" w:hAnsi="Arial" w:eastAsia="宋体" w:cs="Arial"/>
                <w:sz w:val="21"/>
                <w:szCs w:val="21"/>
              </w:rPr>
            </w:pPr>
            <w:r>
              <w:rPr>
                <w:rFonts w:ascii="Arial" w:hAnsi="Arial" w:cs="Arial"/>
                <w:sz w:val="21"/>
                <w:szCs w:val="21"/>
              </w:rPr>
              <w:t>6</w:t>
            </w:r>
            <w:r>
              <w:rPr>
                <w:rFonts w:hint="eastAsia" w:ascii="Arial" w:hAnsi="Arial" w:cs="Arial"/>
                <w:sz w:val="21"/>
                <w:szCs w:val="21"/>
              </w:rPr>
              <w:t>0</w:t>
            </w:r>
            <w:r>
              <w:rPr>
                <w:rFonts w:ascii="Arial" w:hAnsi="Arial" w:cs="Arial"/>
                <w:sz w:val="21"/>
                <w:szCs w:val="21"/>
              </w:rPr>
              <w:t xml:space="preserve"> </w:t>
            </w:r>
          </w:p>
        </w:tc>
        <w:tc>
          <w:tcPr>
            <w:tcW w:w="385" w:type="pct"/>
            <w:shd w:val="clear" w:color="auto" w:fill="auto"/>
            <w:vAlign w:val="center"/>
          </w:tcPr>
          <w:p w14:paraId="2C9D774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2FF52E9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14:paraId="6718C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5B4A3377">
            <w:pPr>
              <w:adjustRightInd w:val="0"/>
              <w:snapToGrid w:val="0"/>
              <w:jc w:val="center"/>
              <w:rPr>
                <w:rFonts w:ascii="Arial" w:hAnsi="Arial" w:eastAsia="宋体" w:cs="Arial"/>
                <w:sz w:val="21"/>
                <w:szCs w:val="21"/>
              </w:rPr>
            </w:pPr>
            <w:r>
              <w:rPr>
                <w:rFonts w:hint="eastAsia" w:ascii="Arial" w:hAnsi="Arial" w:eastAsia="宋体" w:cs="Arial"/>
                <w:sz w:val="21"/>
                <w:szCs w:val="21"/>
              </w:rPr>
              <w:t>5</w:t>
            </w:r>
          </w:p>
        </w:tc>
        <w:tc>
          <w:tcPr>
            <w:tcW w:w="653" w:type="pct"/>
            <w:shd w:val="clear" w:color="auto" w:fill="auto"/>
            <w:vAlign w:val="center"/>
          </w:tcPr>
          <w:p w14:paraId="48A55158">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对辊机</w:t>
            </w:r>
          </w:p>
        </w:tc>
        <w:tc>
          <w:tcPr>
            <w:tcW w:w="433" w:type="pct"/>
            <w:shd w:val="clear" w:color="auto" w:fill="auto"/>
            <w:vAlign w:val="center"/>
          </w:tcPr>
          <w:p w14:paraId="092E7324">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90</w:t>
            </w:r>
          </w:p>
        </w:tc>
        <w:tc>
          <w:tcPr>
            <w:tcW w:w="643" w:type="pct"/>
            <w:shd w:val="clear" w:color="auto" w:fill="auto"/>
            <w:vAlign w:val="center"/>
          </w:tcPr>
          <w:p w14:paraId="5603DB3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6CFD63C2">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w:t>
            </w:r>
          </w:p>
        </w:tc>
        <w:tc>
          <w:tcPr>
            <w:tcW w:w="358" w:type="pct"/>
            <w:shd w:val="clear" w:color="auto" w:fill="auto"/>
            <w:vAlign w:val="center"/>
          </w:tcPr>
          <w:p w14:paraId="4FE8EBB5">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32</w:t>
            </w:r>
          </w:p>
        </w:tc>
        <w:tc>
          <w:tcPr>
            <w:tcW w:w="245" w:type="pct"/>
            <w:shd w:val="clear" w:color="auto" w:fill="auto"/>
            <w:vAlign w:val="center"/>
          </w:tcPr>
          <w:p w14:paraId="35A75DB0">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70C20818">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p>
        </w:tc>
        <w:tc>
          <w:tcPr>
            <w:tcW w:w="619" w:type="pct"/>
            <w:shd w:val="clear" w:color="auto" w:fill="auto"/>
            <w:vAlign w:val="center"/>
          </w:tcPr>
          <w:p w14:paraId="5EBD74C8">
            <w:pPr>
              <w:adjustRightInd w:val="0"/>
              <w:snapToGrid w:val="0"/>
              <w:jc w:val="center"/>
              <w:rPr>
                <w:rFonts w:ascii="Arial" w:hAnsi="Arial" w:eastAsia="宋体" w:cs="Arial"/>
                <w:sz w:val="21"/>
                <w:szCs w:val="21"/>
              </w:rPr>
            </w:pPr>
            <w:r>
              <w:rPr>
                <w:rFonts w:ascii="Arial" w:hAnsi="Arial" w:cs="Arial"/>
                <w:sz w:val="21"/>
                <w:szCs w:val="21"/>
              </w:rPr>
              <w:t xml:space="preserve">64 </w:t>
            </w:r>
          </w:p>
        </w:tc>
        <w:tc>
          <w:tcPr>
            <w:tcW w:w="385" w:type="pct"/>
            <w:shd w:val="clear" w:color="auto" w:fill="auto"/>
            <w:vAlign w:val="center"/>
          </w:tcPr>
          <w:p w14:paraId="2536046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2454DFC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14:paraId="205D2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3CED89CC">
            <w:pPr>
              <w:adjustRightInd w:val="0"/>
              <w:snapToGrid w:val="0"/>
              <w:jc w:val="center"/>
              <w:rPr>
                <w:rFonts w:ascii="Arial" w:hAnsi="Arial" w:eastAsia="宋体" w:cs="Arial"/>
                <w:sz w:val="21"/>
                <w:szCs w:val="21"/>
              </w:rPr>
            </w:pPr>
            <w:r>
              <w:rPr>
                <w:rFonts w:hint="eastAsia" w:ascii="Arial" w:hAnsi="Arial" w:eastAsia="宋体" w:cs="Arial"/>
                <w:sz w:val="21"/>
                <w:szCs w:val="21"/>
              </w:rPr>
              <w:t>6</w:t>
            </w:r>
          </w:p>
        </w:tc>
        <w:tc>
          <w:tcPr>
            <w:tcW w:w="653" w:type="pct"/>
            <w:shd w:val="clear" w:color="auto" w:fill="auto"/>
            <w:vAlign w:val="center"/>
          </w:tcPr>
          <w:p w14:paraId="7FCC2003">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气流磨</w:t>
            </w:r>
          </w:p>
        </w:tc>
        <w:tc>
          <w:tcPr>
            <w:tcW w:w="433" w:type="pct"/>
            <w:shd w:val="clear" w:color="auto" w:fill="auto"/>
            <w:vAlign w:val="center"/>
          </w:tcPr>
          <w:p w14:paraId="54F5092D">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90</w:t>
            </w:r>
          </w:p>
        </w:tc>
        <w:tc>
          <w:tcPr>
            <w:tcW w:w="643" w:type="pct"/>
            <w:shd w:val="clear" w:color="auto" w:fill="auto"/>
            <w:vAlign w:val="center"/>
          </w:tcPr>
          <w:p w14:paraId="576DE76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2E523A8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9</w:t>
            </w:r>
          </w:p>
        </w:tc>
        <w:tc>
          <w:tcPr>
            <w:tcW w:w="358" w:type="pct"/>
            <w:shd w:val="clear" w:color="auto" w:fill="auto"/>
            <w:vAlign w:val="center"/>
          </w:tcPr>
          <w:p w14:paraId="239BE8B2">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35</w:t>
            </w:r>
          </w:p>
        </w:tc>
        <w:tc>
          <w:tcPr>
            <w:tcW w:w="245" w:type="pct"/>
            <w:shd w:val="clear" w:color="auto" w:fill="auto"/>
            <w:vAlign w:val="center"/>
          </w:tcPr>
          <w:p w14:paraId="2F3AA91D">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78769D11">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p>
        </w:tc>
        <w:tc>
          <w:tcPr>
            <w:tcW w:w="619" w:type="pct"/>
            <w:shd w:val="clear" w:color="auto" w:fill="auto"/>
            <w:vAlign w:val="center"/>
          </w:tcPr>
          <w:p w14:paraId="797485B7">
            <w:pPr>
              <w:adjustRightInd w:val="0"/>
              <w:snapToGrid w:val="0"/>
              <w:jc w:val="center"/>
              <w:rPr>
                <w:rFonts w:ascii="Arial" w:hAnsi="Arial" w:eastAsia="宋体" w:cs="Arial"/>
                <w:sz w:val="21"/>
                <w:szCs w:val="21"/>
              </w:rPr>
            </w:pPr>
            <w:r>
              <w:rPr>
                <w:rFonts w:hint="eastAsia" w:ascii="Arial" w:hAnsi="Arial" w:cs="Arial"/>
                <w:sz w:val="21"/>
                <w:szCs w:val="21"/>
              </w:rPr>
              <w:t>64</w:t>
            </w:r>
            <w:r>
              <w:rPr>
                <w:rFonts w:ascii="Arial" w:hAnsi="Arial" w:cs="Arial"/>
                <w:sz w:val="21"/>
                <w:szCs w:val="21"/>
              </w:rPr>
              <w:t xml:space="preserve"> </w:t>
            </w:r>
          </w:p>
        </w:tc>
        <w:tc>
          <w:tcPr>
            <w:tcW w:w="385" w:type="pct"/>
            <w:shd w:val="clear" w:color="auto" w:fill="auto"/>
            <w:vAlign w:val="center"/>
          </w:tcPr>
          <w:p w14:paraId="063AB71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158EBFB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14:paraId="64092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30CB8011">
            <w:pPr>
              <w:adjustRightInd w:val="0"/>
              <w:snapToGrid w:val="0"/>
              <w:jc w:val="center"/>
              <w:rPr>
                <w:rFonts w:ascii="Arial" w:hAnsi="Arial" w:eastAsia="宋体" w:cs="Arial"/>
                <w:sz w:val="21"/>
                <w:szCs w:val="21"/>
              </w:rPr>
            </w:pPr>
            <w:r>
              <w:rPr>
                <w:rFonts w:hint="eastAsia" w:ascii="Arial" w:hAnsi="Arial" w:eastAsia="宋体" w:cs="Arial"/>
                <w:sz w:val="21"/>
                <w:szCs w:val="21"/>
              </w:rPr>
              <w:t>7</w:t>
            </w:r>
          </w:p>
        </w:tc>
        <w:tc>
          <w:tcPr>
            <w:tcW w:w="653" w:type="pct"/>
            <w:shd w:val="clear" w:color="auto" w:fill="auto"/>
            <w:vAlign w:val="center"/>
          </w:tcPr>
          <w:p w14:paraId="09FCDB4E">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空压机集中区</w:t>
            </w:r>
          </w:p>
        </w:tc>
        <w:tc>
          <w:tcPr>
            <w:tcW w:w="433" w:type="pct"/>
            <w:shd w:val="clear" w:color="auto" w:fill="auto"/>
            <w:vAlign w:val="center"/>
          </w:tcPr>
          <w:p w14:paraId="4475EB9E">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643" w:type="pct"/>
            <w:shd w:val="clear" w:color="auto" w:fill="auto"/>
            <w:vAlign w:val="center"/>
          </w:tcPr>
          <w:p w14:paraId="7ADCF3A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097C0CB0">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w:t>
            </w:r>
          </w:p>
        </w:tc>
        <w:tc>
          <w:tcPr>
            <w:tcW w:w="358" w:type="pct"/>
            <w:shd w:val="clear" w:color="auto" w:fill="auto"/>
            <w:vAlign w:val="center"/>
          </w:tcPr>
          <w:p w14:paraId="76FF6645">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37</w:t>
            </w:r>
          </w:p>
        </w:tc>
        <w:tc>
          <w:tcPr>
            <w:tcW w:w="245" w:type="pct"/>
            <w:shd w:val="clear" w:color="auto" w:fill="auto"/>
            <w:vAlign w:val="center"/>
          </w:tcPr>
          <w:p w14:paraId="3F0356F5">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7E2BD270">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619" w:type="pct"/>
            <w:shd w:val="clear" w:color="auto" w:fill="auto"/>
            <w:vAlign w:val="center"/>
          </w:tcPr>
          <w:p w14:paraId="7234FFEE">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385" w:type="pct"/>
            <w:shd w:val="clear" w:color="auto" w:fill="auto"/>
            <w:vAlign w:val="center"/>
          </w:tcPr>
          <w:p w14:paraId="764B475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40FDCF5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14:paraId="596E3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4EAF88A6">
            <w:pPr>
              <w:adjustRightInd w:val="0"/>
              <w:snapToGrid w:val="0"/>
              <w:jc w:val="center"/>
              <w:rPr>
                <w:rFonts w:ascii="Arial" w:hAnsi="Arial" w:eastAsia="宋体" w:cs="Arial"/>
                <w:sz w:val="21"/>
                <w:szCs w:val="21"/>
              </w:rPr>
            </w:pPr>
            <w:r>
              <w:rPr>
                <w:rFonts w:hint="eastAsia" w:ascii="Arial" w:hAnsi="Arial" w:eastAsia="宋体" w:cs="Arial"/>
                <w:sz w:val="21"/>
                <w:szCs w:val="21"/>
              </w:rPr>
              <w:t>8</w:t>
            </w:r>
          </w:p>
        </w:tc>
        <w:tc>
          <w:tcPr>
            <w:tcW w:w="653" w:type="pct"/>
            <w:shd w:val="clear" w:color="auto" w:fill="auto"/>
            <w:vAlign w:val="center"/>
          </w:tcPr>
          <w:p w14:paraId="3F1A2B9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包装</w:t>
            </w:r>
            <w:r>
              <w:rPr>
                <w:rFonts w:ascii="Arial" w:hAnsi="Arial" w:eastAsia="宋体" w:cs="Arial"/>
                <w:spacing w:val="10"/>
                <w:sz w:val="21"/>
                <w:szCs w:val="21"/>
              </w:rPr>
              <w:t>机</w:t>
            </w:r>
          </w:p>
        </w:tc>
        <w:tc>
          <w:tcPr>
            <w:tcW w:w="433" w:type="pct"/>
            <w:shd w:val="clear" w:color="auto" w:fill="auto"/>
            <w:vAlign w:val="center"/>
          </w:tcPr>
          <w:p w14:paraId="6A06E6D1">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643" w:type="pct"/>
            <w:shd w:val="clear" w:color="auto" w:fill="auto"/>
            <w:vAlign w:val="center"/>
          </w:tcPr>
          <w:p w14:paraId="25D1CB2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7C6B47DE">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18</w:t>
            </w:r>
          </w:p>
        </w:tc>
        <w:tc>
          <w:tcPr>
            <w:tcW w:w="358" w:type="pct"/>
            <w:shd w:val="clear" w:color="auto" w:fill="auto"/>
            <w:vAlign w:val="center"/>
          </w:tcPr>
          <w:p w14:paraId="3AB1126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33</w:t>
            </w:r>
          </w:p>
        </w:tc>
        <w:tc>
          <w:tcPr>
            <w:tcW w:w="245" w:type="pct"/>
            <w:shd w:val="clear" w:color="auto" w:fill="auto"/>
            <w:vAlign w:val="center"/>
          </w:tcPr>
          <w:p w14:paraId="361BAB8C">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5E90E131">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619" w:type="pct"/>
            <w:shd w:val="clear" w:color="auto" w:fill="auto"/>
            <w:vAlign w:val="center"/>
          </w:tcPr>
          <w:p w14:paraId="771BEBA4">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385" w:type="pct"/>
            <w:shd w:val="clear" w:color="auto" w:fill="auto"/>
            <w:vAlign w:val="center"/>
          </w:tcPr>
          <w:p w14:paraId="052BE06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7F4D742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14:paraId="39499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75114BC2">
            <w:pPr>
              <w:adjustRightInd w:val="0"/>
              <w:snapToGrid w:val="0"/>
              <w:jc w:val="center"/>
              <w:rPr>
                <w:rFonts w:ascii="Arial" w:hAnsi="Arial" w:eastAsia="宋体" w:cs="Arial"/>
                <w:sz w:val="21"/>
                <w:szCs w:val="21"/>
              </w:rPr>
            </w:pPr>
            <w:r>
              <w:rPr>
                <w:rFonts w:hint="eastAsia" w:ascii="Arial" w:hAnsi="Arial" w:eastAsia="宋体" w:cs="Arial"/>
                <w:sz w:val="21"/>
                <w:szCs w:val="21"/>
              </w:rPr>
              <w:t>9</w:t>
            </w:r>
          </w:p>
        </w:tc>
        <w:tc>
          <w:tcPr>
            <w:tcW w:w="653" w:type="pct"/>
            <w:shd w:val="clear" w:color="auto" w:fill="auto"/>
            <w:vAlign w:val="center"/>
          </w:tcPr>
          <w:p w14:paraId="33943EB9">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包装</w:t>
            </w:r>
            <w:r>
              <w:rPr>
                <w:rFonts w:ascii="Arial" w:hAnsi="Arial" w:eastAsia="宋体" w:cs="Arial"/>
                <w:spacing w:val="10"/>
                <w:sz w:val="21"/>
                <w:szCs w:val="21"/>
              </w:rPr>
              <w:t>机</w:t>
            </w:r>
          </w:p>
        </w:tc>
        <w:tc>
          <w:tcPr>
            <w:tcW w:w="433" w:type="pct"/>
            <w:shd w:val="clear" w:color="auto" w:fill="auto"/>
            <w:vAlign w:val="center"/>
          </w:tcPr>
          <w:p w14:paraId="593712C0">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80</w:t>
            </w:r>
          </w:p>
        </w:tc>
        <w:tc>
          <w:tcPr>
            <w:tcW w:w="643" w:type="pct"/>
            <w:shd w:val="clear" w:color="auto" w:fill="auto"/>
            <w:vAlign w:val="center"/>
          </w:tcPr>
          <w:p w14:paraId="30D73DE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4C6E547B">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18</w:t>
            </w:r>
          </w:p>
        </w:tc>
        <w:tc>
          <w:tcPr>
            <w:tcW w:w="358" w:type="pct"/>
            <w:shd w:val="clear" w:color="auto" w:fill="auto"/>
            <w:vAlign w:val="center"/>
          </w:tcPr>
          <w:p w14:paraId="3FABC7CD">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36</w:t>
            </w:r>
          </w:p>
        </w:tc>
        <w:tc>
          <w:tcPr>
            <w:tcW w:w="245" w:type="pct"/>
            <w:shd w:val="clear" w:color="auto" w:fill="auto"/>
            <w:vAlign w:val="center"/>
          </w:tcPr>
          <w:p w14:paraId="3C1CEA80">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3C5D00F9">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619" w:type="pct"/>
            <w:shd w:val="clear" w:color="auto" w:fill="auto"/>
            <w:vAlign w:val="center"/>
          </w:tcPr>
          <w:p w14:paraId="56FB2D71">
            <w:pPr>
              <w:adjustRightInd w:val="0"/>
              <w:snapToGrid w:val="0"/>
              <w:jc w:val="center"/>
              <w:rPr>
                <w:rFonts w:ascii="Arial" w:hAnsi="Arial" w:eastAsia="宋体" w:cs="Arial"/>
                <w:sz w:val="21"/>
                <w:szCs w:val="21"/>
              </w:rPr>
            </w:pPr>
            <w:r>
              <w:rPr>
                <w:rFonts w:ascii="Arial" w:hAnsi="Arial" w:cs="Arial"/>
                <w:sz w:val="21"/>
                <w:szCs w:val="21"/>
              </w:rPr>
              <w:t xml:space="preserve">60 </w:t>
            </w:r>
          </w:p>
        </w:tc>
        <w:tc>
          <w:tcPr>
            <w:tcW w:w="385" w:type="pct"/>
            <w:shd w:val="clear" w:color="auto" w:fill="auto"/>
            <w:vAlign w:val="center"/>
          </w:tcPr>
          <w:p w14:paraId="7D0B31D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31843DF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14:paraId="3CB60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574CA01D">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653" w:type="pct"/>
            <w:shd w:val="clear" w:color="auto" w:fill="auto"/>
            <w:vAlign w:val="center"/>
          </w:tcPr>
          <w:p w14:paraId="31A7515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泵集中区</w:t>
            </w:r>
          </w:p>
        </w:tc>
        <w:tc>
          <w:tcPr>
            <w:tcW w:w="433" w:type="pct"/>
            <w:shd w:val="clear" w:color="auto" w:fill="auto"/>
            <w:vAlign w:val="center"/>
          </w:tcPr>
          <w:p w14:paraId="7AE7C05B">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95</w:t>
            </w:r>
          </w:p>
        </w:tc>
        <w:tc>
          <w:tcPr>
            <w:tcW w:w="643" w:type="pct"/>
            <w:shd w:val="clear" w:color="auto" w:fill="auto"/>
            <w:vAlign w:val="center"/>
          </w:tcPr>
          <w:p w14:paraId="27CB4FC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3DC074B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358" w:type="pct"/>
            <w:shd w:val="clear" w:color="auto" w:fill="auto"/>
            <w:vAlign w:val="center"/>
          </w:tcPr>
          <w:p w14:paraId="1B4A47C8">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-30</w:t>
            </w:r>
          </w:p>
        </w:tc>
        <w:tc>
          <w:tcPr>
            <w:tcW w:w="245" w:type="pct"/>
            <w:shd w:val="clear" w:color="auto" w:fill="auto"/>
            <w:vAlign w:val="center"/>
          </w:tcPr>
          <w:p w14:paraId="0BB07915">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0C21E1AA">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619" w:type="pct"/>
            <w:shd w:val="clear" w:color="auto" w:fill="auto"/>
            <w:vAlign w:val="center"/>
          </w:tcPr>
          <w:p w14:paraId="0ADAF1BB">
            <w:pPr>
              <w:adjustRightInd w:val="0"/>
              <w:snapToGrid w:val="0"/>
              <w:jc w:val="center"/>
              <w:rPr>
                <w:rFonts w:ascii="Arial" w:hAnsi="Arial" w:eastAsia="宋体" w:cs="Arial"/>
                <w:sz w:val="21"/>
                <w:szCs w:val="21"/>
              </w:rPr>
            </w:pPr>
            <w:r>
              <w:rPr>
                <w:rFonts w:ascii="Arial" w:hAnsi="Arial" w:cs="Arial"/>
                <w:sz w:val="21"/>
                <w:szCs w:val="21"/>
              </w:rPr>
              <w:t xml:space="preserve">75 </w:t>
            </w:r>
          </w:p>
        </w:tc>
        <w:tc>
          <w:tcPr>
            <w:tcW w:w="385" w:type="pct"/>
            <w:shd w:val="clear" w:color="auto" w:fill="auto"/>
            <w:vAlign w:val="center"/>
          </w:tcPr>
          <w:p w14:paraId="0C78448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7CEA1F0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r w14:paraId="7F103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shd w:val="clear" w:color="auto" w:fill="auto"/>
            <w:vAlign w:val="center"/>
          </w:tcPr>
          <w:p w14:paraId="2D9FCE95">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11</w:t>
            </w:r>
          </w:p>
        </w:tc>
        <w:tc>
          <w:tcPr>
            <w:tcW w:w="653" w:type="pct"/>
            <w:shd w:val="clear" w:color="auto" w:fill="auto"/>
            <w:vAlign w:val="center"/>
          </w:tcPr>
          <w:p w14:paraId="66C5013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泵集中区</w:t>
            </w:r>
          </w:p>
        </w:tc>
        <w:tc>
          <w:tcPr>
            <w:tcW w:w="433" w:type="pct"/>
            <w:shd w:val="clear" w:color="auto" w:fill="auto"/>
            <w:vAlign w:val="center"/>
          </w:tcPr>
          <w:p w14:paraId="2ECBB78D">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95</w:t>
            </w:r>
          </w:p>
        </w:tc>
        <w:tc>
          <w:tcPr>
            <w:tcW w:w="643" w:type="pct"/>
            <w:shd w:val="clear" w:color="auto" w:fill="auto"/>
            <w:vAlign w:val="center"/>
          </w:tcPr>
          <w:p w14:paraId="584D74A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基础减震</w:t>
            </w:r>
          </w:p>
        </w:tc>
        <w:tc>
          <w:tcPr>
            <w:tcW w:w="348" w:type="pct"/>
            <w:shd w:val="clear" w:color="auto" w:fill="auto"/>
            <w:vAlign w:val="center"/>
          </w:tcPr>
          <w:p w14:paraId="2E8077F1">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0</w:t>
            </w:r>
          </w:p>
        </w:tc>
        <w:tc>
          <w:tcPr>
            <w:tcW w:w="358" w:type="pct"/>
            <w:shd w:val="clear" w:color="auto" w:fill="auto"/>
            <w:vAlign w:val="center"/>
          </w:tcPr>
          <w:p w14:paraId="11863384">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33</w:t>
            </w:r>
          </w:p>
        </w:tc>
        <w:tc>
          <w:tcPr>
            <w:tcW w:w="245" w:type="pct"/>
            <w:shd w:val="clear" w:color="auto" w:fill="auto"/>
            <w:vAlign w:val="center"/>
          </w:tcPr>
          <w:p w14:paraId="6473160F">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466" w:type="pct"/>
            <w:shd w:val="clear" w:color="auto" w:fill="auto"/>
            <w:vAlign w:val="center"/>
          </w:tcPr>
          <w:p w14:paraId="2E2225C0">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619" w:type="pct"/>
            <w:shd w:val="clear" w:color="auto" w:fill="auto"/>
            <w:vAlign w:val="center"/>
          </w:tcPr>
          <w:p w14:paraId="6F0F0A98">
            <w:pPr>
              <w:adjustRightInd w:val="0"/>
              <w:snapToGrid w:val="0"/>
              <w:jc w:val="center"/>
              <w:rPr>
                <w:rFonts w:ascii="Arial" w:hAnsi="Arial" w:eastAsia="宋体" w:cs="Arial"/>
                <w:sz w:val="21"/>
                <w:szCs w:val="21"/>
              </w:rPr>
            </w:pPr>
            <w:r>
              <w:rPr>
                <w:rFonts w:ascii="Arial" w:hAnsi="Arial" w:cs="Arial"/>
                <w:sz w:val="21"/>
                <w:szCs w:val="21"/>
              </w:rPr>
              <w:t xml:space="preserve">75 </w:t>
            </w:r>
          </w:p>
        </w:tc>
        <w:tc>
          <w:tcPr>
            <w:tcW w:w="385" w:type="pct"/>
            <w:shd w:val="clear" w:color="auto" w:fill="auto"/>
            <w:vAlign w:val="center"/>
          </w:tcPr>
          <w:p w14:paraId="2F164CE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全天</w:t>
            </w:r>
          </w:p>
        </w:tc>
        <w:tc>
          <w:tcPr>
            <w:tcW w:w="593" w:type="pct"/>
            <w:shd w:val="clear" w:color="auto" w:fill="auto"/>
            <w:vAlign w:val="center"/>
          </w:tcPr>
          <w:p w14:paraId="058FF75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p>
        </w:tc>
      </w:tr>
    </w:tbl>
    <w:p w14:paraId="2BF7213D">
      <w:pPr>
        <w:pStyle w:val="474"/>
        <w:numPr>
          <w:ilvl w:val="0"/>
          <w:numId w:val="26"/>
        </w:numPr>
        <w:spacing w:line="500" w:lineRule="exact"/>
        <w:ind w:firstLineChars="0"/>
        <w:outlineLvl w:val="3"/>
        <w:rPr>
          <w:rFonts w:ascii="Arial" w:hAnsi="Arial" w:cs="Arial"/>
          <w:b/>
        </w:rPr>
      </w:pPr>
      <w:r>
        <w:rPr>
          <w:rFonts w:hint="eastAsia" w:ascii="Arial" w:hAnsi="Arial" w:cs="Arial"/>
          <w:b/>
        </w:rPr>
        <w:t>预测模式</w:t>
      </w:r>
    </w:p>
    <w:p w14:paraId="42C2ECC3">
      <w:pPr>
        <w:pStyle w:val="5"/>
        <w:spacing w:line="500" w:lineRule="exact"/>
      </w:pPr>
      <w:r>
        <w:t>根据《环境影响评价技术导则 声环境》（HJ2.4-2021），预测本项目实施后对声环境的影响。预测中应用的主要计算公式有：</w:t>
      </w:r>
    </w:p>
    <w:p w14:paraId="4B01D93E">
      <w:pPr>
        <w:pStyle w:val="5"/>
        <w:spacing w:line="500" w:lineRule="exact"/>
      </w:pPr>
      <w:r>
        <w:t>1、单个室外点声源在预测点的声级计算公式</w:t>
      </w:r>
    </w:p>
    <w:p w14:paraId="20F808A6">
      <w:pPr>
        <w:pStyle w:val="5"/>
        <w:spacing w:line="500" w:lineRule="exact"/>
      </w:pPr>
      <w:r>
        <w:t>已知声源的倍频带声功率级（从63Hz到8kHz标称频带中心频率的8个倍频带），本次采用500Hz倍频带声功率级进行噪声影响预测与评价。预测点位置的倍频带声压级Lp(r)可按公式</w:t>
      </w:r>
      <w:r>
        <w:rPr>
          <w:rFonts w:hint="eastAsia" w:ascii="宋体" w:hAnsi="宋体" w:cs="宋体"/>
        </w:rPr>
        <w:t>⑴</w:t>
      </w:r>
      <w:r>
        <w:t>计算：</w:t>
      </w:r>
    </w:p>
    <w:p w14:paraId="66709C13">
      <w:pPr>
        <w:tabs>
          <w:tab w:val="left" w:pos="180"/>
        </w:tabs>
        <w:adjustRightInd w:val="0"/>
        <w:snapToGrid w:val="0"/>
        <w:spacing w:before="428" w:beforeLines="100" w:after="214" w:afterLines="50" w:line="360" w:lineRule="auto"/>
        <w:ind w:firstLine="539"/>
        <w:rPr>
          <w:rFonts w:ascii="Arial" w:hAnsi="Arial" w:eastAsia="宋体" w:cs="Arial"/>
          <w:sz w:val="24"/>
        </w:rPr>
      </w:pPr>
      <w:r>
        <w:rPr>
          <w:rFonts w:ascii="Arial" w:hAnsi="Arial" w:eastAsia="宋体" w:cs="Arial"/>
          <w:position w:val="-14"/>
          <w:sz w:val="24"/>
        </w:rPr>
        <w:object>
          <v:shape id="_x0000_i1029" o:spt="75" type="#_x0000_t75" style="height:18.75pt;width:102pt;" o:ole="t" filled="f" o:preferrelative="t" stroked="f" coordsize="21600,21600">
            <v:path/>
            <v:fill on="f" focussize="0,0"/>
            <v:stroke on="f" joinstyle="miter"/>
            <v:imagedata r:id="rId52" o:title=""/>
            <o:lock v:ext="edit" aspectratio="t"/>
            <w10:wrap type="none"/>
            <w10:anchorlock/>
          </v:shape>
          <o:OLEObject Type="Embed" ProgID="Equation.3" ShapeID="_x0000_i1029" DrawAspect="Content" ObjectID="_1468075729" r:id="rId51">
            <o:LockedField>false</o:LockedField>
          </o:OLEObject>
        </w:object>
      </w:r>
      <w:r>
        <w:rPr>
          <w:rFonts w:ascii="Arial" w:hAnsi="Arial" w:eastAsia="宋体" w:cs="Arial"/>
          <w:sz w:val="24"/>
        </w:rPr>
        <w:t xml:space="preserve">                           </w:t>
      </w:r>
      <w:r>
        <w:rPr>
          <w:rFonts w:hint="eastAsia" w:ascii="宋体" w:hAnsi="宋体" w:eastAsia="宋体" w:cs="宋体"/>
          <w:sz w:val="24"/>
        </w:rPr>
        <w:t>⑴</w:t>
      </w:r>
    </w:p>
    <w:p w14:paraId="09206198">
      <w:pPr>
        <w:tabs>
          <w:tab w:val="left" w:pos="180"/>
        </w:tabs>
        <w:adjustRightInd w:val="0"/>
        <w:snapToGrid w:val="0"/>
        <w:spacing w:before="428" w:beforeLines="100" w:after="214" w:afterLines="50" w:line="360" w:lineRule="auto"/>
        <w:ind w:firstLine="539"/>
        <w:rPr>
          <w:rFonts w:ascii="Arial" w:hAnsi="Arial" w:eastAsia="宋体" w:cs="Arial"/>
          <w:sz w:val="24"/>
        </w:rPr>
      </w:pPr>
      <w:r>
        <w:rPr>
          <w:rFonts w:ascii="Arial" w:hAnsi="Arial" w:eastAsia="宋体" w:cs="Arial"/>
          <w:position w:val="-14"/>
          <w:sz w:val="24"/>
        </w:rPr>
        <w:object>
          <v:shape id="_x0000_i1030" o:spt="75" type="#_x0000_t75" style="height:18.75pt;width:165.75pt;" o:ole="t" filled="f" o:preferrelative="t" stroked="f" coordsize="21600,21600">
            <v:path/>
            <v:fill on="f" focussize="0,0"/>
            <v:stroke on="f" joinstyle="miter"/>
            <v:imagedata r:id="rId54" o:title=""/>
            <o:lock v:ext="edit" aspectratio="t"/>
            <w10:wrap type="none"/>
            <w10:anchorlock/>
          </v:shape>
          <o:OLEObject Type="Embed" ProgID="Equation.3" ShapeID="_x0000_i1030" DrawAspect="Content" ObjectID="_1468075730" r:id="rId53">
            <o:LockedField>false</o:LockedField>
          </o:OLEObject>
        </w:object>
      </w:r>
    </w:p>
    <w:p w14:paraId="3A4CABC8">
      <w:pPr>
        <w:pStyle w:val="5"/>
        <w:spacing w:line="520" w:lineRule="exact"/>
      </w:pPr>
      <w:r>
        <w:t>式中：L</w:t>
      </w:r>
      <w:r>
        <w:rPr>
          <w:vertAlign w:val="subscript"/>
        </w:rPr>
        <w:t>w</w:t>
      </w:r>
      <w:r>
        <w:t>—倍频带声功率级，dB；</w:t>
      </w:r>
    </w:p>
    <w:p w14:paraId="2A66EDE6">
      <w:pPr>
        <w:pStyle w:val="5"/>
        <w:spacing w:line="520" w:lineRule="exact"/>
      </w:pPr>
      <w:r>
        <w:t xml:space="preserve">      D</w:t>
      </w:r>
      <w:r>
        <w:rPr>
          <w:vertAlign w:val="subscript"/>
        </w:rPr>
        <w:t>c</w:t>
      </w:r>
      <w:r>
        <w:t>—指向性校正，dB；对辐射到自由空间的全向点声源，Dc=0dB。</w:t>
      </w:r>
    </w:p>
    <w:p w14:paraId="49C16D04">
      <w:pPr>
        <w:pStyle w:val="5"/>
        <w:spacing w:line="520" w:lineRule="exact"/>
      </w:pPr>
      <w:r>
        <w:t xml:space="preserve">      A—倍频带衰减，dB；</w:t>
      </w:r>
    </w:p>
    <w:p w14:paraId="1C8011D7">
      <w:pPr>
        <w:pStyle w:val="5"/>
        <w:spacing w:line="520" w:lineRule="exact"/>
      </w:pPr>
      <w:r>
        <w:t xml:space="preserve">      A</w:t>
      </w:r>
      <w:r>
        <w:rPr>
          <w:vertAlign w:val="subscript"/>
        </w:rPr>
        <w:t>div</w:t>
      </w:r>
      <w:r>
        <w:t>—几何发散引起的倍频带衰减，dB；</w:t>
      </w:r>
    </w:p>
    <w:p w14:paraId="78392158">
      <w:pPr>
        <w:pStyle w:val="5"/>
        <w:spacing w:line="520" w:lineRule="exact"/>
      </w:pPr>
      <w:r>
        <w:t xml:space="preserve">      A</w:t>
      </w:r>
      <w:r>
        <w:rPr>
          <w:vertAlign w:val="subscript"/>
        </w:rPr>
        <w:t>atm</w:t>
      </w:r>
      <w:r>
        <w:t>—大气吸收引起的倍频带衰减，dB；</w:t>
      </w:r>
    </w:p>
    <w:p w14:paraId="42C12EAB">
      <w:pPr>
        <w:pStyle w:val="5"/>
        <w:spacing w:line="520" w:lineRule="exact"/>
      </w:pPr>
      <w:r>
        <w:t xml:space="preserve">      A</w:t>
      </w:r>
      <w:r>
        <w:rPr>
          <w:vertAlign w:val="subscript"/>
        </w:rPr>
        <w:t>gr</w:t>
      </w:r>
      <w:r>
        <w:t>—地面效应引起的倍频带衰减，dB；</w:t>
      </w:r>
    </w:p>
    <w:p w14:paraId="08284026">
      <w:pPr>
        <w:pStyle w:val="5"/>
        <w:spacing w:line="520" w:lineRule="exact"/>
      </w:pPr>
      <w:r>
        <w:t xml:space="preserve">      A</w:t>
      </w:r>
      <w:r>
        <w:rPr>
          <w:vertAlign w:val="subscript"/>
        </w:rPr>
        <w:t>bar</w:t>
      </w:r>
      <w:r>
        <w:t>—声屏障引起的倍频带衰减，dB；</w:t>
      </w:r>
    </w:p>
    <w:p w14:paraId="0B31A61C">
      <w:pPr>
        <w:pStyle w:val="5"/>
        <w:spacing w:line="520" w:lineRule="exact"/>
      </w:pPr>
      <w:r>
        <w:t xml:space="preserve">      A</w:t>
      </w:r>
      <w:r>
        <w:rPr>
          <w:vertAlign w:val="subscript"/>
        </w:rPr>
        <w:t>misc</w:t>
      </w:r>
      <w:r>
        <w:t>—其他多方面效应引起的倍频带衰减，dB。</w:t>
      </w:r>
    </w:p>
    <w:p w14:paraId="0ABE2B69">
      <w:pPr>
        <w:pStyle w:val="5"/>
        <w:spacing w:line="520" w:lineRule="exact"/>
      </w:pPr>
      <w:r>
        <w:rPr>
          <w:rFonts w:hint="eastAsia" w:ascii="宋体" w:hAnsi="宋体" w:cs="宋体"/>
        </w:rPr>
        <w:t>Ⅰ</w:t>
      </w:r>
      <w:r>
        <w:t>、无指向性室外点声源几何发散衰减的基本公式</w:t>
      </w:r>
    </w:p>
    <w:p w14:paraId="3C940734">
      <w:pPr>
        <w:tabs>
          <w:tab w:val="left" w:pos="180"/>
        </w:tabs>
        <w:spacing w:line="360" w:lineRule="auto"/>
        <w:ind w:left="539"/>
        <w:rPr>
          <w:rFonts w:ascii="Arial" w:hAnsi="Arial" w:eastAsia="宋体" w:cs="Arial"/>
          <w:sz w:val="24"/>
        </w:rPr>
      </w:pPr>
      <w:r>
        <w:rPr>
          <w:rFonts w:ascii="Arial" w:hAnsi="Arial" w:eastAsia="宋体" w:cs="Arial"/>
          <w:position w:val="-14"/>
          <w:sz w:val="24"/>
        </w:rPr>
        <w:object>
          <v:shape id="_x0000_i1031" o:spt="75" type="#_x0000_t75" style="height:18.75pt;width:138.75pt;" o:ole="t" filled="f" o:preferrelative="t" stroked="f" coordsize="21600,21600">
            <v:path/>
            <v:fill on="f" focussize="0,0"/>
            <v:stroke on="f" joinstyle="miter"/>
            <v:imagedata r:id="rId56" o:title=""/>
            <o:lock v:ext="edit" aspectratio="t"/>
            <w10:wrap type="none"/>
            <w10:anchorlock/>
          </v:shape>
          <o:OLEObject Type="Embed" ProgID="Equation.3" ShapeID="_x0000_i1031" DrawAspect="Content" ObjectID="_1468075731" r:id="rId55">
            <o:LockedField>false</o:LockedField>
          </o:OLEObject>
        </w:object>
      </w:r>
    </w:p>
    <w:p w14:paraId="15E5283D">
      <w:pPr>
        <w:pStyle w:val="5"/>
        <w:spacing w:line="500" w:lineRule="exact"/>
      </w:pPr>
      <w:r>
        <w:rPr>
          <w:rFonts w:hint="eastAsia" w:ascii="宋体" w:hAnsi="宋体" w:cs="宋体"/>
        </w:rPr>
        <w:t>Ⅱ</w:t>
      </w:r>
      <w:r>
        <w:t>、有指向性室外点声源几何发散衰减的基本公式</w:t>
      </w:r>
    </w:p>
    <w:p w14:paraId="1345778B">
      <w:pPr>
        <w:pStyle w:val="5"/>
        <w:spacing w:line="500" w:lineRule="exact"/>
      </w:pPr>
      <w:r>
        <w:t>对于自由空间的点声源，其在某一</w:t>
      </w:r>
      <w:r>
        <w:object>
          <v:shape id="_x0000_i1032" o:spt="75" type="#_x0000_t75" style="height:14.25pt;width:9.75pt;" o:ole="t" filled="f" o:preferrelative="t" stroked="f" coordsize="21600,21600">
            <v:path/>
            <v:fill on="f" focussize="0,0"/>
            <v:stroke on="f" joinstyle="miter"/>
            <v:imagedata r:id="rId58" o:title=""/>
            <o:lock v:ext="edit" aspectratio="t"/>
            <w10:wrap type="none"/>
            <w10:anchorlock/>
          </v:shape>
          <o:OLEObject Type="Embed" ProgID="Equation.3" ShapeID="_x0000_i1032" DrawAspect="Content" ObjectID="_1468075732" r:id="rId57">
            <o:LockedField>false</o:LockedField>
          </o:OLEObject>
        </w:object>
      </w:r>
      <w:r>
        <w:t>方向上距离r处的倍频带声压级</w:t>
      </w:r>
      <w:r>
        <w:object>
          <v:shape id="_x0000_i1033" o:spt="75" type="#_x0000_t75" style="height:18.75pt;width:36.75pt;" o:ole="t" filled="f" o:preferrelative="t" stroked="f" coordsize="21600,21600">
            <v:path/>
            <v:fill on="f" focussize="0,0"/>
            <v:stroke on="f" joinstyle="miter"/>
            <v:imagedata r:id="rId60" o:title=""/>
            <o:lock v:ext="edit" aspectratio="t"/>
            <w10:wrap type="none"/>
            <w10:anchorlock/>
          </v:shape>
          <o:OLEObject Type="Embed" ProgID="Equation.3" ShapeID="_x0000_i1033" DrawAspect="Content" ObjectID="_1468075733" r:id="rId59">
            <o:LockedField>false</o:LockedField>
          </o:OLEObject>
        </w:object>
      </w:r>
      <w:r>
        <w:t>：</w:t>
      </w:r>
    </w:p>
    <w:p w14:paraId="6B07B8A1">
      <w:pPr>
        <w:tabs>
          <w:tab w:val="left" w:pos="180"/>
        </w:tabs>
        <w:spacing w:line="360" w:lineRule="auto"/>
        <w:ind w:firstLine="450" w:firstLineChars="200"/>
        <w:rPr>
          <w:rFonts w:ascii="Arial" w:hAnsi="Arial" w:eastAsia="宋体" w:cs="Arial"/>
          <w:sz w:val="24"/>
        </w:rPr>
      </w:pPr>
      <w:r>
        <w:rPr>
          <w:rFonts w:ascii="Arial" w:hAnsi="Arial" w:eastAsia="宋体" w:cs="Arial"/>
          <w:position w:val="-14"/>
          <w:sz w:val="24"/>
        </w:rPr>
        <w:object>
          <v:shape id="_x0000_i1034" o:spt="75" type="#_x0000_t75" style="height:18.75pt;width:162.75pt;" o:ole="t" filled="f" o:preferrelative="t" stroked="f" coordsize="21600,21600">
            <v:path/>
            <v:fill on="f" focussize="0,0"/>
            <v:stroke on="f" joinstyle="miter"/>
            <v:imagedata r:id="rId62" o:title=""/>
            <o:lock v:ext="edit" aspectratio="t"/>
            <w10:wrap type="none"/>
            <w10:anchorlock/>
          </v:shape>
          <o:OLEObject Type="Embed" ProgID="Equation.3" ShapeID="_x0000_i1034" DrawAspect="Content" ObjectID="_1468075734" r:id="rId61">
            <o:LockedField>false</o:LockedField>
          </o:OLEObject>
        </w:object>
      </w:r>
    </w:p>
    <w:p w14:paraId="2242EDFA">
      <w:pPr>
        <w:pStyle w:val="5"/>
        <w:spacing w:line="520" w:lineRule="exact"/>
      </w:pPr>
      <w:r>
        <w:t>式中：</w:t>
      </w:r>
      <w:r>
        <w:object>
          <v:shape id="_x0000_i1035" o:spt="75" type="#_x0000_t75" style="height:18.75pt;width:20.25pt;" o:ole="t" filled="f" o:preferrelative="t" stroked="f" coordsize="21600,21600">
            <v:path/>
            <v:fill on="f" focussize="0,0"/>
            <v:stroke on="f" joinstyle="miter"/>
            <v:imagedata r:id="rId64" o:title=""/>
            <o:lock v:ext="edit" aspectratio="t"/>
            <w10:wrap type="none"/>
            <w10:anchorlock/>
          </v:shape>
          <o:OLEObject Type="Embed" ProgID="Equation.3" ShapeID="_x0000_i1035" DrawAspect="Content" ObjectID="_1468075735" r:id="rId63">
            <o:LockedField>false</o:LockedField>
          </o:OLEObject>
        </w:object>
      </w:r>
      <w:r>
        <w:t>——为</w:t>
      </w:r>
      <w:r>
        <w:object>
          <v:shape id="_x0000_i1036" o:spt="75" type="#_x0000_t75" style="height:14.25pt;width:9.75pt;" o:ole="t" filled="f" o:preferrelative="t" stroked="f" coordsize="21600,21600">
            <v:path/>
            <v:fill on="f" focussize="0,0"/>
            <v:stroke on="f" joinstyle="miter"/>
            <v:imagedata r:id="rId66" o:title=""/>
            <o:lock v:ext="edit" aspectratio="t"/>
            <w10:wrap type="none"/>
            <w10:anchorlock/>
          </v:shape>
          <o:OLEObject Type="Embed" ProgID="Equation.3" ShapeID="_x0000_i1036" DrawAspect="Content" ObjectID="_1468075736" r:id="rId65">
            <o:LockedField>false</o:LockedField>
          </o:OLEObject>
        </w:object>
      </w:r>
      <w:r>
        <w:t>方向上的指向性参数，</w:t>
      </w:r>
      <w:r>
        <w:object>
          <v:shape id="_x0000_i1037" o:spt="75" type="#_x0000_t75" style="height:18.75pt;width:68.25pt;" o:ole="t" filled="f" o:preferrelative="t" stroked="f" coordsize="21600,21600">
            <v:path/>
            <v:fill on="f" focussize="0,0"/>
            <v:stroke on="f" joinstyle="miter"/>
            <v:imagedata r:id="rId68" o:title=""/>
            <o:lock v:ext="edit" aspectratio="t"/>
            <w10:wrap type="none"/>
            <w10:anchorlock/>
          </v:shape>
          <o:OLEObject Type="Embed" ProgID="Equation.3" ShapeID="_x0000_i1037" DrawAspect="Content" ObjectID="_1468075737" r:id="rId67">
            <o:LockedField>false</o:LockedField>
          </o:OLEObject>
        </w:object>
      </w:r>
      <w:r>
        <w:t>；</w:t>
      </w:r>
    </w:p>
    <w:p w14:paraId="7CB06276">
      <w:pPr>
        <w:pStyle w:val="5"/>
        <w:spacing w:line="520" w:lineRule="exact"/>
        <w:ind w:firstLine="1183" w:firstLineChars="483"/>
      </w:pPr>
      <w:r>
        <w:object>
          <v:shape id="_x0000_i1038" o:spt="75" type="#_x0000_t75" style="height:18.75pt;width:17.25pt;" o:ole="t" filled="f" o:preferrelative="t" stroked="f" coordsize="21600,21600">
            <v:path/>
            <v:fill on="f" focussize="0,0"/>
            <v:stroke on="f" joinstyle="miter"/>
            <v:imagedata r:id="rId70" o:title=""/>
            <o:lock v:ext="edit" aspectratio="t"/>
            <w10:wrap type="none"/>
            <w10:anchorlock/>
          </v:shape>
          <o:OLEObject Type="Embed" ProgID="Equation.3" ShapeID="_x0000_i1038" DrawAspect="Content" ObjectID="_1468075738" r:id="rId69">
            <o:LockedField>false</o:LockedField>
          </o:OLEObject>
        </w:object>
      </w:r>
      <w:r>
        <w:t>——指向性因素，</w:t>
      </w:r>
      <w:r>
        <w:object>
          <v:shape id="_x0000_i1039" o:spt="75" type="#_x0000_t75" style="height:18.75pt;width:17.25pt;" o:ole="t" filled="f" o:preferrelative="t" stroked="f" coordsize="21600,21600">
            <v:path/>
            <v:fill on="f" focussize="0,0"/>
            <v:stroke on="f" joinstyle="miter"/>
            <v:imagedata r:id="rId72" o:title=""/>
            <o:lock v:ext="edit" aspectratio="t"/>
            <w10:wrap type="none"/>
            <w10:anchorlock/>
          </v:shape>
          <o:OLEObject Type="Embed" ProgID="Equation.3" ShapeID="_x0000_i1039" DrawAspect="Content" ObjectID="_1468075739" r:id="rId71">
            <o:LockedField>false</o:LockedField>
          </o:OLEObject>
        </w:object>
      </w:r>
      <w:r>
        <w:t>=</w:t>
      </w:r>
      <w:r>
        <w:object>
          <v:shape id="_x0000_i1040" o:spt="75" type="#_x0000_t75" style="height:20.25pt;width:11.25pt;" o:ole="t" filled="f" o:preferrelative="t" stroked="f" coordsize="21600,21600">
            <v:path/>
            <v:fill on="f" focussize="0,0"/>
            <v:stroke on="f" joinstyle="miter"/>
            <v:imagedata r:id="rId74" o:title=""/>
            <o:lock v:ext="edit" aspectratio="t"/>
            <w10:wrap type="none"/>
            <w10:anchorlock/>
          </v:shape>
          <o:OLEObject Type="Embed" ProgID="Equation.3" ShapeID="_x0000_i1040" DrawAspect="Content" ObjectID="_1468075740" r:id="rId73">
            <o:LockedField>false</o:LockedField>
          </o:OLEObject>
        </w:object>
      </w:r>
      <w:r>
        <w:t>；</w:t>
      </w:r>
    </w:p>
    <w:p w14:paraId="15BE567C">
      <w:pPr>
        <w:pStyle w:val="5"/>
        <w:spacing w:line="520" w:lineRule="exact"/>
        <w:ind w:firstLine="1183" w:firstLineChars="483"/>
      </w:pPr>
      <w:r>
        <w:t>I——所有方向上的平均声强，W/m</w:t>
      </w:r>
      <w:r>
        <w:rPr>
          <w:vertAlign w:val="superscript"/>
        </w:rPr>
        <w:t>2</w:t>
      </w:r>
      <w:r>
        <w:t>；</w:t>
      </w:r>
    </w:p>
    <w:p w14:paraId="42089236">
      <w:pPr>
        <w:pStyle w:val="5"/>
        <w:spacing w:line="520" w:lineRule="exact"/>
        <w:ind w:firstLine="1183" w:firstLineChars="483"/>
      </w:pPr>
      <w:r>
        <w:object>
          <v:shape id="_x0000_i1041" o:spt="75" type="#_x0000_t75" style="height:18.75pt;width:12.75pt;" o:ole="t" filled="f" o:preferrelative="t" stroked="f" coordsize="21600,21600">
            <v:path/>
            <v:fill on="f" focussize="0,0"/>
            <v:stroke on="f" joinstyle="miter"/>
            <v:imagedata r:id="rId76" o:title=""/>
            <o:lock v:ext="edit" aspectratio="t"/>
            <w10:wrap type="none"/>
            <w10:anchorlock/>
          </v:shape>
          <o:OLEObject Type="Embed" ProgID="Equation.3" ShapeID="_x0000_i1041" DrawAspect="Content" ObjectID="_1468075741" r:id="rId75">
            <o:LockedField>false</o:LockedField>
          </o:OLEObject>
        </w:object>
      </w:r>
      <w:r>
        <w:t>——某一</w:t>
      </w:r>
      <w:r>
        <w:object>
          <v:shape id="_x0000_i1042" o:spt="75" type="#_x0000_t75" style="height:14.25pt;width:9.75pt;" o:ole="t" filled="f" o:preferrelative="t" stroked="f" coordsize="21600,21600">
            <v:path/>
            <v:fill on="f" focussize="0,0"/>
            <v:stroke on="f" joinstyle="miter"/>
            <v:imagedata r:id="rId66" o:title=""/>
            <o:lock v:ext="edit" aspectratio="t"/>
            <w10:wrap type="none"/>
            <w10:anchorlock/>
          </v:shape>
          <o:OLEObject Type="Embed" ProgID="Equation.3" ShapeID="_x0000_i1042" DrawAspect="Content" ObjectID="_1468075742" r:id="rId77">
            <o:LockedField>false</o:LockedField>
          </o:OLEObject>
        </w:object>
      </w:r>
      <w:r>
        <w:t>方向上的声强，W/m</w:t>
      </w:r>
      <w:r>
        <w:rPr>
          <w:vertAlign w:val="superscript"/>
        </w:rPr>
        <w:t>2</w:t>
      </w:r>
      <w:r>
        <w:t>。</w:t>
      </w:r>
    </w:p>
    <w:p w14:paraId="5DDE002D">
      <w:pPr>
        <w:pStyle w:val="5"/>
        <w:spacing w:line="360" w:lineRule="auto"/>
      </w:pPr>
      <w:r>
        <w:rPr>
          <w:rFonts w:hint="eastAsia" w:ascii="宋体" w:hAnsi="宋体" w:cs="宋体"/>
        </w:rPr>
        <w:t>Ⅲ</w:t>
      </w:r>
      <w:r>
        <w:t>、无限长线声源</w:t>
      </w:r>
    </w:p>
    <w:p w14:paraId="28B9A108">
      <w:pPr>
        <w:tabs>
          <w:tab w:val="left" w:pos="180"/>
        </w:tabs>
        <w:spacing w:line="360" w:lineRule="auto"/>
        <w:ind w:left="539"/>
        <w:rPr>
          <w:rFonts w:ascii="Arial" w:hAnsi="Arial" w:eastAsia="宋体" w:cs="Arial"/>
          <w:sz w:val="24"/>
        </w:rPr>
      </w:pPr>
      <w:r>
        <w:rPr>
          <w:rFonts w:ascii="Arial" w:hAnsi="Arial" w:eastAsia="宋体" w:cs="Arial"/>
          <w:position w:val="-14"/>
          <w:sz w:val="24"/>
        </w:rPr>
        <w:object>
          <v:shape id="_x0000_i1043" o:spt="75" type="#_x0000_t75" style="height:18.75pt;width:137.25pt;" o:ole="t" filled="f" o:preferrelative="t" stroked="f" coordsize="21600,21600">
            <v:path/>
            <v:fill on="f" focussize="0,0"/>
            <v:stroke on="f" joinstyle="miter"/>
            <v:imagedata r:id="rId79" o:title=""/>
            <o:lock v:ext="edit" aspectratio="t"/>
            <w10:wrap type="none"/>
            <w10:anchorlock/>
          </v:shape>
          <o:OLEObject Type="Embed" ProgID="Equation.3" ShapeID="_x0000_i1043" DrawAspect="Content" ObjectID="_1468075743" r:id="rId78">
            <o:LockedField>false</o:LockedField>
          </o:OLEObject>
        </w:object>
      </w:r>
    </w:p>
    <w:p w14:paraId="74636BD9">
      <w:pPr>
        <w:pStyle w:val="5"/>
        <w:spacing w:line="360" w:lineRule="auto"/>
      </w:pPr>
      <w:r>
        <w:rPr>
          <w:rFonts w:hint="eastAsia" w:ascii="宋体" w:hAnsi="宋体" w:cs="宋体"/>
        </w:rPr>
        <w:t>Ⅳ</w:t>
      </w:r>
      <w:r>
        <w:t>、有限长线声源</w:t>
      </w:r>
    </w:p>
    <w:p w14:paraId="252D49A9">
      <w:pPr>
        <w:tabs>
          <w:tab w:val="left" w:pos="180"/>
        </w:tabs>
        <w:spacing w:line="360" w:lineRule="auto"/>
        <w:ind w:left="539"/>
        <w:rPr>
          <w:rFonts w:ascii="Arial" w:hAnsi="Arial" w:eastAsia="宋体" w:cs="Arial"/>
          <w:sz w:val="24"/>
        </w:rPr>
      </w:pPr>
      <w:r>
        <w:rPr>
          <w:rFonts w:ascii="Arial" w:hAnsi="Arial" w:eastAsia="宋体" w:cs="Arial"/>
          <w:position w:val="-24"/>
          <w:sz w:val="24"/>
        </w:rPr>
        <w:object>
          <v:shape id="_x0000_i1044" o:spt="75" type="#_x0000_t75" style="height:32.25pt;width:171pt;" o:ole="t" filled="f" o:preferrelative="t" stroked="f" coordsize="21600,21600">
            <v:path/>
            <v:fill on="f" focussize="0,0"/>
            <v:stroke on="f" joinstyle="miter"/>
            <v:imagedata r:id="rId81" o:title=""/>
            <o:lock v:ext="edit" aspectratio="t"/>
            <w10:wrap type="none"/>
            <w10:anchorlock/>
          </v:shape>
          <o:OLEObject Type="Embed" ProgID="Equation.3" ShapeID="_x0000_i1044" DrawAspect="Content" ObjectID="_1468075744" r:id="rId80">
            <o:LockedField>false</o:LockedField>
          </o:OLEObject>
        </w:object>
      </w:r>
    </w:p>
    <w:p w14:paraId="556FAC8A">
      <w:pPr>
        <w:pStyle w:val="5"/>
        <w:spacing w:line="360" w:lineRule="auto"/>
      </w:pPr>
      <w:r>
        <w:t>当r&gt;l</w:t>
      </w:r>
      <w:r>
        <w:rPr>
          <w:vertAlign w:val="subscript"/>
        </w:rPr>
        <w:t>0</w:t>
      </w:r>
      <w:r>
        <w:t>且r</w:t>
      </w:r>
      <w:r>
        <w:rPr>
          <w:vertAlign w:val="subscript"/>
        </w:rPr>
        <w:t>0</w:t>
      </w:r>
      <w:r>
        <w:t>&gt;l</w:t>
      </w:r>
      <w:r>
        <w:rPr>
          <w:vertAlign w:val="subscript"/>
        </w:rPr>
        <w:t>0</w:t>
      </w:r>
      <w:r>
        <w:t>，公式简化为</w:t>
      </w:r>
    </w:p>
    <w:p w14:paraId="383B034C">
      <w:pPr>
        <w:tabs>
          <w:tab w:val="left" w:pos="180"/>
        </w:tabs>
        <w:spacing w:line="360" w:lineRule="auto"/>
        <w:ind w:left="539"/>
        <w:rPr>
          <w:rFonts w:ascii="Arial" w:hAnsi="Arial" w:eastAsia="宋体" w:cs="Arial"/>
          <w:sz w:val="24"/>
        </w:rPr>
      </w:pPr>
      <w:r>
        <w:rPr>
          <w:rFonts w:ascii="Arial" w:hAnsi="Arial" w:eastAsia="宋体" w:cs="Arial"/>
          <w:position w:val="-14"/>
          <w:sz w:val="24"/>
        </w:rPr>
        <w:object>
          <v:shape id="_x0000_i1045" o:spt="75" type="#_x0000_t75" style="height:18.75pt;width:138.75pt;" o:ole="t" filled="f" o:preferrelative="t" stroked="f" coordsize="21600,21600">
            <v:path/>
            <v:fill on="f" focussize="0,0"/>
            <v:stroke on="f" joinstyle="miter"/>
            <v:imagedata r:id="rId83" o:title=""/>
            <o:lock v:ext="edit" aspectratio="t"/>
            <w10:wrap type="none"/>
            <w10:anchorlock/>
          </v:shape>
          <o:OLEObject Type="Embed" ProgID="Equation.3" ShapeID="_x0000_i1045" DrawAspect="Content" ObjectID="_1468075745" r:id="rId82">
            <o:LockedField>false</o:LockedField>
          </o:OLEObject>
        </w:object>
      </w:r>
    </w:p>
    <w:p w14:paraId="4AFA5A4B">
      <w:pPr>
        <w:pStyle w:val="5"/>
        <w:spacing w:line="360" w:lineRule="auto"/>
      </w:pPr>
      <w:r>
        <w:t>当r&lt;l</w:t>
      </w:r>
      <w:r>
        <w:rPr>
          <w:vertAlign w:val="subscript"/>
        </w:rPr>
        <w:t>0</w:t>
      </w:r>
      <w:r>
        <w:t>/3且r</w:t>
      </w:r>
      <w:r>
        <w:rPr>
          <w:vertAlign w:val="subscript"/>
        </w:rPr>
        <w:t>0</w:t>
      </w:r>
      <w:r>
        <w:t>&lt;l</w:t>
      </w:r>
      <w:r>
        <w:rPr>
          <w:vertAlign w:val="subscript"/>
        </w:rPr>
        <w:t>0</w:t>
      </w:r>
      <w:r>
        <w:t>/3，公式简化为</w:t>
      </w:r>
    </w:p>
    <w:p w14:paraId="0166C75E">
      <w:pPr>
        <w:tabs>
          <w:tab w:val="left" w:pos="180"/>
        </w:tabs>
        <w:spacing w:line="360" w:lineRule="auto"/>
        <w:ind w:left="539"/>
        <w:rPr>
          <w:rFonts w:ascii="Arial" w:hAnsi="Arial" w:eastAsia="宋体" w:cs="Arial"/>
          <w:sz w:val="24"/>
        </w:rPr>
      </w:pPr>
      <w:r>
        <w:rPr>
          <w:rFonts w:ascii="Arial" w:hAnsi="Arial" w:eastAsia="宋体" w:cs="Arial"/>
          <w:position w:val="-14"/>
          <w:sz w:val="24"/>
        </w:rPr>
        <w:object>
          <v:shape id="_x0000_i1046" o:spt="75" type="#_x0000_t75" style="height:18.75pt;width:137.25pt;" o:ole="t" filled="f" o:preferrelative="t" stroked="f" coordsize="21600,21600">
            <v:path/>
            <v:fill on="f" focussize="0,0"/>
            <v:stroke on="f" joinstyle="miter"/>
            <v:imagedata r:id="rId85" o:title=""/>
            <o:lock v:ext="edit" aspectratio="t"/>
            <w10:wrap type="none"/>
            <w10:anchorlock/>
          </v:shape>
          <o:OLEObject Type="Embed" ProgID="Equation.3" ShapeID="_x0000_i1046" DrawAspect="Content" ObjectID="_1468075746" r:id="rId84">
            <o:LockedField>false</o:LockedField>
          </o:OLEObject>
        </w:object>
      </w:r>
    </w:p>
    <w:p w14:paraId="5EFB05A3">
      <w:pPr>
        <w:pStyle w:val="5"/>
        <w:spacing w:line="360" w:lineRule="auto"/>
      </w:pPr>
      <w:r>
        <w:t>当l</w:t>
      </w:r>
      <w:r>
        <w:rPr>
          <w:vertAlign w:val="subscript"/>
        </w:rPr>
        <w:t>0</w:t>
      </w:r>
      <w:r>
        <w:t>/3&lt;r&lt;l</w:t>
      </w:r>
      <w:r>
        <w:rPr>
          <w:vertAlign w:val="subscript"/>
        </w:rPr>
        <w:t>0</w:t>
      </w:r>
      <w:r>
        <w:t>且l</w:t>
      </w:r>
      <w:r>
        <w:rPr>
          <w:vertAlign w:val="subscript"/>
        </w:rPr>
        <w:t>0</w:t>
      </w:r>
      <w:r>
        <w:t>/3&lt; r</w:t>
      </w:r>
      <w:r>
        <w:rPr>
          <w:vertAlign w:val="subscript"/>
        </w:rPr>
        <w:t>0</w:t>
      </w:r>
      <w:r>
        <w:t>&lt;l</w:t>
      </w:r>
      <w:r>
        <w:rPr>
          <w:vertAlign w:val="subscript"/>
        </w:rPr>
        <w:t>0</w:t>
      </w:r>
      <w:r>
        <w:t>，公式简化为</w:t>
      </w:r>
    </w:p>
    <w:p w14:paraId="5F1429A9">
      <w:pPr>
        <w:tabs>
          <w:tab w:val="left" w:pos="180"/>
        </w:tabs>
        <w:spacing w:line="360" w:lineRule="auto"/>
        <w:ind w:left="539"/>
        <w:rPr>
          <w:rFonts w:ascii="Arial" w:hAnsi="Arial" w:eastAsia="宋体" w:cs="Arial"/>
          <w:sz w:val="24"/>
        </w:rPr>
      </w:pPr>
      <w:r>
        <w:rPr>
          <w:rFonts w:ascii="Arial" w:hAnsi="Arial" w:eastAsia="宋体" w:cs="Arial"/>
          <w:position w:val="-14"/>
          <w:sz w:val="24"/>
        </w:rPr>
        <w:object>
          <v:shape id="_x0000_i1047" o:spt="75" type="#_x0000_t75" style="height:18.75pt;width:137.25pt;" o:ole="t" filled="f" o:preferrelative="t" stroked="f" coordsize="21600,21600">
            <v:path/>
            <v:fill on="f" focussize="0,0"/>
            <v:stroke on="f" joinstyle="miter"/>
            <v:imagedata r:id="rId87" o:title=""/>
            <o:lock v:ext="edit" aspectratio="t"/>
            <w10:wrap type="none"/>
            <w10:anchorlock/>
          </v:shape>
          <o:OLEObject Type="Embed" ProgID="Equation.3" ShapeID="_x0000_i1047" DrawAspect="Content" ObjectID="_1468075747" r:id="rId86">
            <o:LockedField>false</o:LockedField>
          </o:OLEObject>
        </w:object>
      </w:r>
    </w:p>
    <w:p w14:paraId="238F2FD5">
      <w:pPr>
        <w:pStyle w:val="5"/>
        <w:spacing w:line="500" w:lineRule="exact"/>
      </w:pPr>
      <w:r>
        <w:rPr>
          <w:rFonts w:hint="eastAsia" w:ascii="宋体" w:hAnsi="宋体" w:cs="宋体"/>
        </w:rPr>
        <w:t>Ⅴ</w:t>
      </w:r>
      <w:r>
        <w:t>、面声源</w:t>
      </w:r>
    </w:p>
    <w:p w14:paraId="472AC663">
      <w:pPr>
        <w:pStyle w:val="5"/>
        <w:spacing w:line="500" w:lineRule="exact"/>
      </w:pPr>
      <w:r>
        <w:t>面声源可看做是无数点声源连续分布组合而成，其合成声级可按能量叠加法求出。</w:t>
      </w:r>
    </w:p>
    <w:p w14:paraId="4F098CCB">
      <w:pPr>
        <w:pStyle w:val="5"/>
        <w:spacing w:line="500" w:lineRule="exact"/>
      </w:pPr>
      <w:r>
        <w:rPr>
          <w:rFonts w:hint="eastAsia" w:ascii="宋体" w:hAnsi="宋体" w:cs="宋体"/>
        </w:rPr>
        <w:t>Ⅵ</w:t>
      </w:r>
      <w:r>
        <w:t>、空气衰减</w:t>
      </w:r>
    </w:p>
    <w:p w14:paraId="3C6B36DE">
      <w:pPr>
        <w:tabs>
          <w:tab w:val="left" w:pos="180"/>
        </w:tabs>
        <w:spacing w:line="360" w:lineRule="auto"/>
        <w:ind w:left="539"/>
        <w:rPr>
          <w:rFonts w:ascii="Arial" w:hAnsi="Arial" w:eastAsia="宋体" w:cs="Arial"/>
          <w:sz w:val="24"/>
        </w:rPr>
      </w:pPr>
      <w:r>
        <w:rPr>
          <w:rFonts w:ascii="Arial" w:hAnsi="Arial" w:eastAsia="宋体" w:cs="Arial"/>
          <w:position w:val="-24"/>
        </w:rPr>
        <w:object>
          <v:shape id="_x0000_i1048" o:spt="75" type="#_x0000_t75" style="height:30.75pt;width:83.25pt;" o:ole="t" filled="f" o:preferrelative="t" stroked="f" coordsize="21600,21600">
            <v:path/>
            <v:fill on="f" focussize="0,0"/>
            <v:stroke on="f" joinstyle="miter"/>
            <v:imagedata r:id="rId89" o:title=""/>
            <o:lock v:ext="edit" aspectratio="t"/>
            <w10:wrap type="none"/>
            <w10:anchorlock/>
          </v:shape>
          <o:OLEObject Type="Embed" ProgID="Equation.3" ShapeID="_x0000_i1048" DrawAspect="Content" ObjectID="_1468075748" r:id="rId88">
            <o:LockedField>false</o:LockedField>
          </o:OLEObject>
        </w:object>
      </w:r>
    </w:p>
    <w:p w14:paraId="7824A46F">
      <w:pPr>
        <w:pStyle w:val="5"/>
        <w:spacing w:line="500" w:lineRule="exact"/>
      </w:pPr>
      <w:r>
        <w:rPr>
          <w:rFonts w:hint="eastAsia" w:ascii="宋体" w:hAnsi="宋体" w:cs="宋体"/>
        </w:rPr>
        <w:t>Ⅶ</w:t>
      </w:r>
      <w:r>
        <w:t>、地面效应衰减</w:t>
      </w:r>
    </w:p>
    <w:p w14:paraId="30C52299">
      <w:pPr>
        <w:tabs>
          <w:tab w:val="left" w:pos="180"/>
        </w:tabs>
        <w:spacing w:line="360" w:lineRule="auto"/>
        <w:ind w:left="539"/>
        <w:rPr>
          <w:rFonts w:ascii="Arial" w:hAnsi="Arial" w:eastAsia="宋体" w:cs="Arial"/>
          <w:sz w:val="24"/>
        </w:rPr>
      </w:pPr>
      <w:r>
        <w:rPr>
          <w:rFonts w:ascii="Arial" w:hAnsi="Arial" w:eastAsia="宋体" w:cs="Arial"/>
          <w:position w:val="-24"/>
          <w:sz w:val="24"/>
        </w:rPr>
        <w:object>
          <v:shape id="_x0000_i1049" o:spt="75" type="#_x0000_t75" style="height:32.25pt;width:146.25pt;" o:ole="t" filled="f" o:preferrelative="t" stroked="f" coordsize="21600,21600">
            <v:path/>
            <v:fill on="f" focussize="0,0"/>
            <v:stroke on="f" joinstyle="miter"/>
            <v:imagedata r:id="rId91" o:title=""/>
            <o:lock v:ext="edit" aspectratio="t"/>
            <w10:wrap type="none"/>
            <w10:anchorlock/>
          </v:shape>
          <o:OLEObject Type="Embed" ProgID="Equation.3" ShapeID="_x0000_i1049" DrawAspect="Content" ObjectID="_1468075749" r:id="rId90">
            <o:LockedField>false</o:LockedField>
          </o:OLEObject>
        </w:object>
      </w:r>
    </w:p>
    <w:p w14:paraId="15CD0D31">
      <w:pPr>
        <w:pStyle w:val="5"/>
        <w:spacing w:line="500" w:lineRule="exact"/>
      </w:pPr>
      <w:r>
        <w:rPr>
          <w:rFonts w:hint="eastAsia" w:ascii="宋体" w:hAnsi="宋体" w:cs="宋体"/>
        </w:rPr>
        <w:t>Ⅷ</w:t>
      </w:r>
      <w:r>
        <w:t>、有限长屏障衰减</w:t>
      </w:r>
    </w:p>
    <w:p w14:paraId="767FE0D2">
      <w:pPr>
        <w:pStyle w:val="5"/>
        <w:spacing w:line="500" w:lineRule="exact"/>
      </w:pPr>
    </w:p>
    <w:p w14:paraId="22E0D832">
      <w:pPr>
        <w:tabs>
          <w:tab w:val="left" w:pos="180"/>
        </w:tabs>
        <w:spacing w:line="360" w:lineRule="auto"/>
        <w:ind w:left="540"/>
        <w:rPr>
          <w:rFonts w:ascii="Arial" w:hAnsi="Arial" w:eastAsia="宋体" w:cs="Arial"/>
          <w:sz w:val="24"/>
        </w:rPr>
      </w:pPr>
      <w:r>
        <w:drawing>
          <wp:anchor distT="0" distB="0" distL="114300" distR="114300" simplePos="0" relativeHeight="251661312" behindDoc="0" locked="0" layoutInCell="1" allowOverlap="0">
            <wp:simplePos x="0" y="0"/>
            <wp:positionH relativeFrom="column">
              <wp:posOffset>733425</wp:posOffset>
            </wp:positionH>
            <wp:positionV relativeFrom="paragraph">
              <wp:posOffset>15240</wp:posOffset>
            </wp:positionV>
            <wp:extent cx="2581275" cy="485775"/>
            <wp:effectExtent l="0" t="0" r="9525" b="8890"/>
            <wp:wrapNone/>
            <wp:docPr id="2" name="图片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98"/>
                    <pic:cNvPicPr>
                      <a:picLocks noChangeAspect="1"/>
                    </pic:cNvPicPr>
                  </pic:nvPicPr>
                  <pic:blipFill>
                    <a:blip r:embed="rId92"/>
                    <a:stretch>
                      <a:fillRect/>
                    </a:stretch>
                  </pic:blipFill>
                  <pic:spPr>
                    <a:xfrm>
                      <a:off x="0" y="0"/>
                      <a:ext cx="2581275" cy="485775"/>
                    </a:xfrm>
                    <a:prstGeom prst="rect">
                      <a:avLst/>
                    </a:prstGeom>
                    <a:noFill/>
                    <a:ln>
                      <a:noFill/>
                    </a:ln>
                  </pic:spPr>
                </pic:pic>
              </a:graphicData>
            </a:graphic>
          </wp:anchor>
        </w:drawing>
      </w:r>
      <w:r>
        <w:rPr>
          <w:rFonts w:ascii="Arial" w:hAnsi="Arial" w:eastAsia="宋体" w:cs="Arial"/>
          <w:sz w:val="24"/>
        </w:rPr>
        <w:t>A</w:t>
      </w:r>
      <w:r>
        <w:rPr>
          <w:rFonts w:ascii="Arial" w:hAnsi="Arial" w:eastAsia="宋体" w:cs="Arial"/>
          <w:sz w:val="24"/>
          <w:vertAlign w:val="subscript"/>
        </w:rPr>
        <w:t>har</w:t>
      </w:r>
      <w:r>
        <w:rPr>
          <w:rFonts w:ascii="Arial" w:hAnsi="Arial" w:eastAsia="宋体" w:cs="Arial"/>
          <w:sz w:val="24"/>
        </w:rPr>
        <w:t>=</w:t>
      </w:r>
    </w:p>
    <w:p w14:paraId="26D2AC0A">
      <w:pPr>
        <w:pStyle w:val="5"/>
        <w:spacing w:line="500" w:lineRule="exact"/>
      </w:pPr>
      <w:r>
        <w:t>已知靠近声源处某点的倍频带声压级L</w:t>
      </w:r>
      <w:r>
        <w:rPr>
          <w:vertAlign w:val="subscript"/>
        </w:rPr>
        <w:t>p</w:t>
      </w:r>
      <w:r>
        <w:t>(r</w:t>
      </w:r>
      <w:r>
        <w:rPr>
          <w:vertAlign w:val="subscript"/>
        </w:rPr>
        <w:t>0</w:t>
      </w:r>
      <w:r>
        <w:t>)时，相同方向预测点位置的倍频带声压级L</w:t>
      </w:r>
      <w:r>
        <w:rPr>
          <w:vertAlign w:val="subscript"/>
        </w:rPr>
        <w:t>p</w:t>
      </w:r>
      <w:r>
        <w:t>(r)可按公式</w:t>
      </w:r>
      <w:r>
        <w:rPr>
          <w:rFonts w:hint="eastAsia" w:ascii="宋体" w:hAnsi="宋体" w:cs="宋体"/>
        </w:rPr>
        <w:t>⑵</w:t>
      </w:r>
      <w:r>
        <w:t>计算：</w:t>
      </w:r>
    </w:p>
    <w:p w14:paraId="7B1EC61C">
      <w:pPr>
        <w:tabs>
          <w:tab w:val="left" w:pos="180"/>
        </w:tabs>
        <w:spacing w:line="360" w:lineRule="auto"/>
        <w:ind w:firstLine="539"/>
        <w:rPr>
          <w:rFonts w:ascii="Arial" w:hAnsi="Arial" w:eastAsia="宋体" w:cs="Arial"/>
          <w:sz w:val="24"/>
        </w:rPr>
      </w:pPr>
      <w:r>
        <w:rPr>
          <w:rFonts w:ascii="Arial" w:hAnsi="Arial" w:eastAsia="宋体" w:cs="Arial"/>
          <w:position w:val="-14"/>
          <w:sz w:val="24"/>
        </w:rPr>
        <w:object>
          <v:shape id="_x0000_i1050" o:spt="75" type="#_x0000_t75" style="height:18.75pt;width:93.75pt;" o:ole="t" filled="f" o:preferrelative="t" stroked="f" coordsize="21600,21600">
            <v:path/>
            <v:fill on="f" focussize="0,0"/>
            <v:stroke on="f" joinstyle="miter"/>
            <v:imagedata r:id="rId94" o:title=""/>
            <o:lock v:ext="edit" aspectratio="t"/>
            <w10:wrap type="none"/>
            <w10:anchorlock/>
          </v:shape>
          <o:OLEObject Type="Embed" ProgID="Equation.3" ShapeID="_x0000_i1050" DrawAspect="Content" ObjectID="_1468075750" r:id="rId93">
            <o:LockedField>false</o:LockedField>
          </o:OLEObject>
        </w:object>
      </w:r>
      <w:r>
        <w:rPr>
          <w:rFonts w:ascii="Arial" w:hAnsi="Arial" w:eastAsia="宋体" w:cs="Arial"/>
          <w:sz w:val="24"/>
        </w:rPr>
        <w:t xml:space="preserve">                             </w:t>
      </w:r>
      <w:r>
        <w:rPr>
          <w:rFonts w:hint="eastAsia" w:ascii="宋体" w:hAnsi="宋体" w:eastAsia="宋体" w:cs="宋体"/>
          <w:sz w:val="24"/>
        </w:rPr>
        <w:t>⑵</w:t>
      </w:r>
    </w:p>
    <w:p w14:paraId="66A30F23">
      <w:pPr>
        <w:pStyle w:val="5"/>
        <w:spacing w:line="500" w:lineRule="exact"/>
      </w:pPr>
      <w:r>
        <w:t>预测点的A声级L</w:t>
      </w:r>
      <w:r>
        <w:rPr>
          <w:vertAlign w:val="subscript"/>
        </w:rPr>
        <w:t>A</w:t>
      </w:r>
      <w:r>
        <w:t>(r)，可利用8个倍频带的声压级按公式</w:t>
      </w:r>
      <w:r>
        <w:rPr>
          <w:rFonts w:hint="eastAsia" w:ascii="宋体" w:hAnsi="宋体" w:cs="宋体"/>
        </w:rPr>
        <w:t>⑶</w:t>
      </w:r>
      <w:r>
        <w:t>计算：</w:t>
      </w:r>
    </w:p>
    <w:p w14:paraId="1888B25F">
      <w:pPr>
        <w:tabs>
          <w:tab w:val="left" w:pos="180"/>
        </w:tabs>
        <w:spacing w:line="360" w:lineRule="auto"/>
        <w:ind w:firstLine="539"/>
        <w:rPr>
          <w:rFonts w:ascii="Arial" w:hAnsi="Arial" w:eastAsia="宋体" w:cs="Arial"/>
          <w:sz w:val="24"/>
        </w:rPr>
      </w:pPr>
      <w:r>
        <w:rPr>
          <w:rFonts w:ascii="Arial" w:hAnsi="Arial" w:eastAsia="宋体" w:cs="Arial"/>
          <w:position w:val="-28"/>
          <w:sz w:val="24"/>
        </w:rPr>
        <w:object>
          <v:shape id="_x0000_i1051" o:spt="75" type="#_x0000_t75" style="height:33.75pt;width:149.25pt;" o:ole="t" filled="f" o:preferrelative="t" stroked="f" coordsize="21600,21600">
            <v:path/>
            <v:fill on="f" focussize="0,0"/>
            <v:stroke on="f" joinstyle="miter"/>
            <v:imagedata r:id="rId96" o:title=""/>
            <o:lock v:ext="edit" aspectratio="t"/>
            <w10:wrap type="none"/>
            <w10:anchorlock/>
          </v:shape>
          <o:OLEObject Type="Embed" ProgID="Equation.3" ShapeID="_x0000_i1051" DrawAspect="Content" ObjectID="_1468075751" r:id="rId95">
            <o:LockedField>false</o:LockedField>
          </o:OLEObject>
        </w:object>
      </w:r>
      <w:r>
        <w:rPr>
          <w:rFonts w:ascii="Arial" w:hAnsi="Arial" w:eastAsia="宋体" w:cs="Arial"/>
          <w:sz w:val="24"/>
        </w:rPr>
        <w:t xml:space="preserve">                    </w:t>
      </w:r>
      <w:r>
        <w:rPr>
          <w:rFonts w:hint="eastAsia" w:ascii="宋体" w:hAnsi="宋体" w:eastAsia="宋体" w:cs="宋体"/>
          <w:sz w:val="24"/>
        </w:rPr>
        <w:t>⑶</w:t>
      </w:r>
    </w:p>
    <w:p w14:paraId="4F2F9544">
      <w:pPr>
        <w:pStyle w:val="5"/>
        <w:spacing w:line="500" w:lineRule="exact"/>
      </w:pPr>
      <w:r>
        <w:t>式中：L</w:t>
      </w:r>
      <w:r>
        <w:rPr>
          <w:vertAlign w:val="subscript"/>
        </w:rPr>
        <w:t>pi</w:t>
      </w:r>
      <w:r>
        <w:t>(r)—预测点（r）处，第i倍频带声压级，dB；</w:t>
      </w:r>
    </w:p>
    <w:p w14:paraId="6F7E38BA">
      <w:pPr>
        <w:pStyle w:val="5"/>
        <w:spacing w:line="500" w:lineRule="exact"/>
      </w:pPr>
      <w:r>
        <w:t xml:space="preserve">      </w:t>
      </w:r>
      <w:r>
        <w:object>
          <v:shape id="_x0000_i1052" o:spt="75" type="#_x0000_t75" style="height:18.75pt;width:20.25pt;" o:ole="t" filled="f" o:preferrelative="t" stroked="f" coordsize="21600,21600">
            <v:path/>
            <v:fill on="f" focussize="0,0"/>
            <v:stroke on="f" joinstyle="miter"/>
            <v:imagedata r:id="rId98" o:title=""/>
            <o:lock v:ext="edit" aspectratio="t"/>
            <w10:wrap type="none"/>
            <w10:anchorlock/>
          </v:shape>
          <o:OLEObject Type="Embed" ProgID="Equation.3" ShapeID="_x0000_i1052" DrawAspect="Content" ObjectID="_1468075752" r:id="rId97">
            <o:LockedField>false</o:LockedField>
          </o:OLEObject>
        </w:object>
      </w:r>
      <w:r>
        <w:t>—i倍频带A计权网络修正值，dB。</w:t>
      </w:r>
    </w:p>
    <w:p w14:paraId="58532E68">
      <w:pPr>
        <w:pStyle w:val="5"/>
        <w:spacing w:line="500" w:lineRule="exact"/>
      </w:pPr>
      <w:r>
        <w:t>在不能取得声源倍频带声功率级或倍频带声压级，只能获得A声功率级或某点的A声级时，可按公式</w:t>
      </w:r>
      <w:r>
        <w:rPr>
          <w:rFonts w:hint="eastAsia" w:ascii="宋体" w:hAnsi="宋体" w:cs="宋体"/>
        </w:rPr>
        <w:t>⑷</w:t>
      </w:r>
      <w:r>
        <w:t>和</w:t>
      </w:r>
      <w:r>
        <w:rPr>
          <w:rFonts w:hint="eastAsia" w:ascii="宋体" w:hAnsi="宋体" w:cs="宋体"/>
        </w:rPr>
        <w:t>⑸</w:t>
      </w:r>
      <w:r>
        <w:t>作近似计算：</w:t>
      </w:r>
    </w:p>
    <w:p w14:paraId="0A2828EC">
      <w:pPr>
        <w:tabs>
          <w:tab w:val="left" w:pos="180"/>
        </w:tabs>
        <w:spacing w:line="360" w:lineRule="auto"/>
        <w:ind w:firstLine="539"/>
        <w:rPr>
          <w:rFonts w:ascii="Arial" w:hAnsi="Arial" w:eastAsia="宋体" w:cs="Arial"/>
          <w:sz w:val="24"/>
        </w:rPr>
      </w:pPr>
      <w:r>
        <w:rPr>
          <w:rFonts w:ascii="Arial" w:hAnsi="Arial" w:eastAsia="宋体" w:cs="Arial"/>
          <w:position w:val="-12"/>
          <w:sz w:val="24"/>
        </w:rPr>
        <w:object>
          <v:shape id="_x0000_i1053" o:spt="75" type="#_x0000_t75" style="height:18.75pt;width:105.75pt;" o:ole="t" filled="f" o:preferrelative="t" stroked="f" coordsize="21600,21600">
            <v:path/>
            <v:fill on="f" focussize="0,0"/>
            <v:stroke on="f" joinstyle="miter"/>
            <v:imagedata r:id="rId100" o:title=""/>
            <o:lock v:ext="edit" aspectratio="t"/>
            <w10:wrap type="none"/>
            <w10:anchorlock/>
          </v:shape>
          <o:OLEObject Type="Embed" ProgID="Equation.3" ShapeID="_x0000_i1053" DrawAspect="Content" ObjectID="_1468075753" r:id="rId99">
            <o:LockedField>false</o:LockedField>
          </o:OLEObject>
        </w:object>
      </w:r>
      <w:r>
        <w:rPr>
          <w:rFonts w:ascii="Arial" w:hAnsi="Arial" w:eastAsia="宋体" w:cs="Arial"/>
          <w:sz w:val="24"/>
        </w:rPr>
        <w:t xml:space="preserve">                           </w:t>
      </w:r>
      <w:r>
        <w:rPr>
          <w:rFonts w:hint="eastAsia" w:ascii="宋体" w:hAnsi="宋体" w:eastAsia="宋体" w:cs="宋体"/>
          <w:sz w:val="24"/>
        </w:rPr>
        <w:t>⑷</w:t>
      </w:r>
    </w:p>
    <w:p w14:paraId="41B690BE">
      <w:pPr>
        <w:tabs>
          <w:tab w:val="left" w:pos="180"/>
        </w:tabs>
        <w:spacing w:line="360" w:lineRule="auto"/>
        <w:rPr>
          <w:rFonts w:ascii="Arial" w:hAnsi="Arial" w:eastAsia="宋体" w:cs="Arial"/>
          <w:sz w:val="24"/>
        </w:rPr>
      </w:pPr>
      <w:r>
        <w:rPr>
          <w:rFonts w:ascii="Arial" w:hAnsi="Arial" w:eastAsia="宋体" w:cs="Arial"/>
          <w:sz w:val="24"/>
        </w:rPr>
        <w:t xml:space="preserve">或  </w:t>
      </w:r>
      <w:r>
        <w:rPr>
          <w:rFonts w:ascii="Arial" w:hAnsi="Arial" w:eastAsia="宋体" w:cs="Arial"/>
          <w:position w:val="-12"/>
          <w:sz w:val="24"/>
        </w:rPr>
        <w:object>
          <v:shape id="_x0000_i1054" o:spt="75" type="#_x0000_t75" style="height:18.75pt;width:93.75pt;" o:ole="t" filled="f" o:preferrelative="t" stroked="f" coordsize="21600,21600">
            <v:path/>
            <v:fill on="f" focussize="0,0"/>
            <v:stroke on="f" joinstyle="miter"/>
            <v:imagedata r:id="rId102" o:title=""/>
            <o:lock v:ext="edit" aspectratio="t"/>
            <w10:wrap type="none"/>
            <w10:anchorlock/>
          </v:shape>
          <o:OLEObject Type="Embed" ProgID="Equation.3" ShapeID="_x0000_i1054" DrawAspect="Content" ObjectID="_1468075754" r:id="rId101">
            <o:LockedField>false</o:LockedField>
          </o:OLEObject>
        </w:object>
      </w:r>
      <w:r>
        <w:rPr>
          <w:rFonts w:ascii="Arial" w:hAnsi="Arial" w:eastAsia="宋体" w:cs="Arial"/>
          <w:sz w:val="24"/>
        </w:rPr>
        <w:t xml:space="preserve">                              </w:t>
      </w:r>
      <w:r>
        <w:rPr>
          <w:rFonts w:hint="eastAsia" w:ascii="宋体" w:hAnsi="宋体" w:eastAsia="宋体" w:cs="宋体"/>
          <w:sz w:val="24"/>
        </w:rPr>
        <w:t>⑸</w:t>
      </w:r>
    </w:p>
    <w:p w14:paraId="13DBACE8">
      <w:pPr>
        <w:pStyle w:val="5"/>
        <w:spacing w:line="520" w:lineRule="exact"/>
      </w:pPr>
      <w:r>
        <w:t>A可选择对A声级影响最大的倍频带计算，一般可选中心频率为500Hz的倍频带作估算。</w:t>
      </w:r>
    </w:p>
    <w:p w14:paraId="6D84F8A0">
      <w:pPr>
        <w:pStyle w:val="5"/>
        <w:spacing w:line="520" w:lineRule="exact"/>
      </w:pPr>
      <w:r>
        <w:t>2、室内声源等效室外声源声功率级计算方法</w:t>
      </w:r>
    </w:p>
    <w:p w14:paraId="214302BF">
      <w:pPr>
        <w:pStyle w:val="5"/>
        <w:spacing w:line="520" w:lineRule="exact"/>
      </w:pPr>
      <w:r>
        <w:t>设靠近开口处（或窗户）室内、室外某倍频带的声压级分别为L</w:t>
      </w:r>
      <w:r>
        <w:rPr>
          <w:vertAlign w:val="subscript"/>
        </w:rPr>
        <w:t>p1</w:t>
      </w:r>
      <w:r>
        <w:t>和L</w:t>
      </w:r>
      <w:r>
        <w:rPr>
          <w:vertAlign w:val="subscript"/>
        </w:rPr>
        <w:t>p2</w:t>
      </w:r>
      <w:r>
        <w:t>。若声源所在室内声场为近似扩散声场，则室外的倍频带声压级可按公式</w:t>
      </w:r>
      <w:r>
        <w:rPr>
          <w:rFonts w:hint="eastAsia" w:ascii="宋体" w:hAnsi="宋体" w:cs="宋体"/>
        </w:rPr>
        <w:t>⑹</w:t>
      </w:r>
      <w:r>
        <w:t>近似求出：</w:t>
      </w:r>
    </w:p>
    <w:p w14:paraId="22CD0D2A">
      <w:pPr>
        <w:spacing w:line="360" w:lineRule="auto"/>
        <w:ind w:firstLine="539"/>
        <w:rPr>
          <w:rFonts w:ascii="Arial" w:hAnsi="Arial" w:eastAsia="宋体" w:cs="Arial"/>
          <w:sz w:val="24"/>
        </w:rPr>
      </w:pPr>
      <w:r>
        <w:rPr>
          <w:rFonts w:ascii="Arial" w:hAnsi="Arial" w:eastAsia="宋体" w:cs="Arial"/>
          <w:position w:val="-14"/>
          <w:sz w:val="24"/>
        </w:rPr>
        <w:object>
          <v:shape id="_x0000_i1055" o:spt="75" type="#_x0000_t75" style="height:18.75pt;width:99.75pt;" o:ole="t" filled="f" o:preferrelative="t" stroked="f" coordsize="21600,21600">
            <v:path/>
            <v:fill on="f" focussize="0,0"/>
            <v:stroke on="f" joinstyle="miter"/>
            <v:imagedata r:id="rId104" o:title=""/>
            <o:lock v:ext="edit" aspectratio="t"/>
            <w10:wrap type="none"/>
            <w10:anchorlock/>
          </v:shape>
          <o:OLEObject Type="Embed" ProgID="Equation.3" ShapeID="_x0000_i1055" DrawAspect="Content" ObjectID="_1468075755" r:id="rId103">
            <o:LockedField>false</o:LockedField>
          </o:OLEObject>
        </w:object>
      </w:r>
      <w:r>
        <w:rPr>
          <w:rFonts w:ascii="Arial" w:hAnsi="Arial" w:eastAsia="宋体" w:cs="Arial"/>
          <w:sz w:val="24"/>
        </w:rPr>
        <w:t xml:space="preserve">                          </w:t>
      </w:r>
      <w:r>
        <w:rPr>
          <w:rFonts w:hint="eastAsia" w:ascii="宋体" w:hAnsi="宋体" w:eastAsia="宋体" w:cs="宋体"/>
          <w:sz w:val="24"/>
        </w:rPr>
        <w:t>⑹</w:t>
      </w:r>
    </w:p>
    <w:p w14:paraId="2F7ECB71">
      <w:pPr>
        <w:pStyle w:val="5"/>
        <w:spacing w:line="500" w:lineRule="exact"/>
      </w:pPr>
      <w:r>
        <w:t>式中：TL－隔墙（或窗户）倍频带的隔声量，dB。</w:t>
      </w:r>
    </w:p>
    <w:p w14:paraId="2E4F76F5">
      <w:pPr>
        <w:pStyle w:val="5"/>
        <w:spacing w:line="500" w:lineRule="exact"/>
      </w:pPr>
      <w:r>
        <w:t>也可按公式</w:t>
      </w:r>
      <w:r>
        <w:rPr>
          <w:rFonts w:hint="eastAsia" w:ascii="宋体" w:hAnsi="宋体" w:cs="宋体"/>
        </w:rPr>
        <w:t>⑺</w:t>
      </w:r>
      <w:r>
        <w:t>计算某一室内声源靠近围护结构处产生的倍频带声压级：</w:t>
      </w:r>
    </w:p>
    <w:p w14:paraId="399364BA">
      <w:pPr>
        <w:spacing w:line="360" w:lineRule="auto"/>
        <w:ind w:firstLine="539"/>
        <w:rPr>
          <w:rFonts w:ascii="Arial" w:hAnsi="Arial" w:eastAsia="宋体" w:cs="Arial"/>
          <w:sz w:val="24"/>
        </w:rPr>
      </w:pPr>
      <w:r>
        <w:rPr>
          <w:rFonts w:ascii="Arial" w:hAnsi="Arial" w:eastAsia="宋体" w:cs="Arial"/>
          <w:position w:val="-24"/>
          <w:sz w:val="24"/>
        </w:rPr>
        <w:object>
          <v:shape id="_x0000_i1056" o:spt="75" type="#_x0000_t75" style="height:30.75pt;width:134.25pt;" o:ole="t" filled="f" o:preferrelative="t" stroked="f" coordsize="21600,21600">
            <v:path/>
            <v:fill on="f" focussize="0,0"/>
            <v:stroke on="f" joinstyle="miter"/>
            <v:imagedata r:id="rId106" o:title=""/>
            <o:lock v:ext="edit" aspectratio="t"/>
            <w10:wrap type="none"/>
            <w10:anchorlock/>
          </v:shape>
          <o:OLEObject Type="Embed" ProgID="Equation.3" ShapeID="_x0000_i1056" DrawAspect="Content" ObjectID="_1468075756" r:id="rId105">
            <o:LockedField>false</o:LockedField>
          </o:OLEObject>
        </w:object>
      </w:r>
      <w:r>
        <w:rPr>
          <w:rFonts w:ascii="Arial" w:hAnsi="Arial" w:eastAsia="宋体" w:cs="Arial"/>
          <w:sz w:val="24"/>
        </w:rPr>
        <w:t xml:space="preserve">                    </w:t>
      </w:r>
      <w:r>
        <w:rPr>
          <w:rFonts w:hint="eastAsia" w:ascii="宋体" w:hAnsi="宋体" w:eastAsia="宋体" w:cs="宋体"/>
          <w:sz w:val="24"/>
        </w:rPr>
        <w:t>⑺</w:t>
      </w:r>
    </w:p>
    <w:p w14:paraId="668C1799">
      <w:pPr>
        <w:pStyle w:val="5"/>
        <w:spacing w:line="500" w:lineRule="exact"/>
      </w:pPr>
      <w:r>
        <w:t>式中：Q—指向性因数；通常对无指向性声源，当声源放在房间中心式，Q=1；当放在一面墙的中心时，Q=2；当放在两面墙夹角处时，Q=4；当放在三面墙夹角处时，Q=8。</w:t>
      </w:r>
    </w:p>
    <w:p w14:paraId="2772353B">
      <w:pPr>
        <w:pStyle w:val="5"/>
        <w:spacing w:line="500" w:lineRule="exact"/>
      </w:pPr>
      <w:r>
        <w:t xml:space="preserve"> R—房间常数；</w:t>
      </w:r>
      <w:r>
        <w:object>
          <v:shape id="_x0000_i1057" o:spt="75" type="#_x0000_t75" style="height:15.75pt;width:76.5pt;" o:ole="t" filled="f" o:preferrelative="t" stroked="f" coordsize="21600,21600">
            <v:path/>
            <v:fill on="f" focussize="0,0"/>
            <v:stroke on="f" joinstyle="miter"/>
            <v:imagedata r:id="rId108" o:title=""/>
            <o:lock v:ext="edit" aspectratio="t"/>
            <w10:wrap type="none"/>
            <w10:anchorlock/>
          </v:shape>
          <o:OLEObject Type="Embed" ProgID="Equation.3" ShapeID="_x0000_i1057" DrawAspect="Content" ObjectID="_1468075757" r:id="rId107">
            <o:LockedField>false</o:LockedField>
          </o:OLEObject>
        </w:object>
      </w:r>
      <w:r>
        <w:t>，S为房间内表面面积，m</w:t>
      </w:r>
      <w:r>
        <w:rPr>
          <w:vertAlign w:val="superscript"/>
        </w:rPr>
        <w:t>2</w:t>
      </w:r>
      <w:r>
        <w:t>；</w:t>
      </w:r>
      <w:r>
        <w:object>
          <v:shape id="_x0000_i1058" o:spt="75" type="#_x0000_t75" style="height:11.25pt;width:11.25pt;" o:ole="t" filled="f" o:preferrelative="t" stroked="f" coordsize="21600,21600">
            <v:path/>
            <v:fill on="f" focussize="0,0"/>
            <v:stroke on="f" joinstyle="miter"/>
            <v:imagedata r:id="rId110" o:title=""/>
            <o:lock v:ext="edit" aspectratio="t"/>
            <w10:wrap type="none"/>
            <w10:anchorlock/>
          </v:shape>
          <o:OLEObject Type="Embed" ProgID="Equation.3" ShapeID="_x0000_i1058" DrawAspect="Content" ObjectID="_1468075758" r:id="rId109">
            <o:LockedField>false</o:LockedField>
          </o:OLEObject>
        </w:object>
      </w:r>
      <w:r>
        <w:t>为平均吸声系数。</w:t>
      </w:r>
    </w:p>
    <w:p w14:paraId="6370DA72">
      <w:pPr>
        <w:pStyle w:val="5"/>
        <w:spacing w:line="500" w:lineRule="exact"/>
      </w:pPr>
      <w:r>
        <w:t xml:space="preserve"> r—声源到靠近围护结构某点处的距离，m。</w:t>
      </w:r>
    </w:p>
    <w:p w14:paraId="7B792239">
      <w:pPr>
        <w:pStyle w:val="5"/>
        <w:spacing w:line="500" w:lineRule="exact"/>
      </w:pPr>
      <w:r>
        <w:t>然后按公式</w:t>
      </w:r>
      <w:r>
        <w:rPr>
          <w:rFonts w:hint="eastAsia" w:ascii="宋体" w:hAnsi="宋体" w:cs="宋体"/>
        </w:rPr>
        <w:t>⑻</w:t>
      </w:r>
      <w:r>
        <w:t>计算出所有室内声源在围护结构处产生的i倍频带声压级：</w:t>
      </w:r>
    </w:p>
    <w:p w14:paraId="7122EA9A">
      <w:pPr>
        <w:spacing w:line="360" w:lineRule="auto"/>
        <w:ind w:firstLine="539"/>
        <w:rPr>
          <w:rFonts w:ascii="Arial" w:hAnsi="Arial" w:eastAsia="宋体" w:cs="Arial"/>
          <w:sz w:val="24"/>
        </w:rPr>
      </w:pPr>
      <w:r>
        <w:rPr>
          <w:rFonts w:ascii="Arial" w:hAnsi="Arial" w:eastAsia="宋体" w:cs="Arial"/>
          <w:position w:val="-30"/>
          <w:sz w:val="24"/>
        </w:rPr>
        <w:object>
          <v:shape id="_x0000_i1059" o:spt="75" type="#_x0000_t75" style="height:35.25pt;width:131.25pt;" o:ole="t" filled="f" o:preferrelative="t" stroked="f" coordsize="21600,21600">
            <v:path/>
            <v:fill on="f" focussize="0,0"/>
            <v:stroke on="f" joinstyle="miter"/>
            <v:imagedata r:id="rId112" o:title=""/>
            <o:lock v:ext="edit" aspectratio="t"/>
            <w10:wrap type="none"/>
            <w10:anchorlock/>
          </v:shape>
          <o:OLEObject Type="Embed" ProgID="Equation.3" ShapeID="_x0000_i1059" DrawAspect="Content" ObjectID="_1468075759" r:id="rId111">
            <o:LockedField>false</o:LockedField>
          </o:OLEObject>
        </w:object>
      </w:r>
      <w:r>
        <w:rPr>
          <w:rFonts w:ascii="Arial" w:hAnsi="Arial" w:eastAsia="宋体" w:cs="Arial"/>
          <w:sz w:val="24"/>
        </w:rPr>
        <w:t xml:space="preserve">                    </w:t>
      </w:r>
      <w:r>
        <w:rPr>
          <w:rFonts w:hint="eastAsia" w:ascii="宋体" w:hAnsi="宋体" w:eastAsia="宋体" w:cs="宋体"/>
          <w:sz w:val="24"/>
        </w:rPr>
        <w:t>⑻</w:t>
      </w:r>
    </w:p>
    <w:p w14:paraId="638F0690">
      <w:pPr>
        <w:pStyle w:val="5"/>
        <w:spacing w:line="500" w:lineRule="exact"/>
      </w:pPr>
      <w:r>
        <w:t>式中：L</w:t>
      </w:r>
      <w:r>
        <w:rPr>
          <w:vertAlign w:val="subscript"/>
        </w:rPr>
        <w:t>P1i</w:t>
      </w:r>
      <w:r>
        <w:t>(T)—靠近围护结构处室内N个声源i倍频带的叠加声压级，dB；</w:t>
      </w:r>
    </w:p>
    <w:p w14:paraId="00FB9C75">
      <w:pPr>
        <w:pStyle w:val="5"/>
        <w:spacing w:line="500" w:lineRule="exact"/>
      </w:pPr>
      <w:r>
        <w:t xml:space="preserve">      L</w:t>
      </w:r>
      <w:r>
        <w:rPr>
          <w:vertAlign w:val="subscript"/>
        </w:rPr>
        <w:t>P1ij</w:t>
      </w:r>
      <w:r>
        <w:t>—室内j声源i倍频带的声压级，dB；</w:t>
      </w:r>
    </w:p>
    <w:p w14:paraId="4FADD552">
      <w:pPr>
        <w:pStyle w:val="5"/>
        <w:spacing w:line="500" w:lineRule="exact"/>
      </w:pPr>
      <w:r>
        <w:t xml:space="preserve">      N—室内声源总数。</w:t>
      </w:r>
    </w:p>
    <w:p w14:paraId="5ADD9A0F">
      <w:pPr>
        <w:pStyle w:val="5"/>
        <w:spacing w:line="500" w:lineRule="exact"/>
      </w:pPr>
      <w:r>
        <w:t>在室内近似为扩散声场时，按公式</w:t>
      </w:r>
      <w:r>
        <w:rPr>
          <w:rFonts w:hint="eastAsia" w:ascii="宋体" w:hAnsi="宋体" w:cs="宋体"/>
        </w:rPr>
        <w:t>⑼</w:t>
      </w:r>
      <w:r>
        <w:t>计算出靠近室外围护结构处的声压级：</w:t>
      </w:r>
    </w:p>
    <w:p w14:paraId="026C0CA4">
      <w:pPr>
        <w:spacing w:line="360" w:lineRule="auto"/>
        <w:ind w:firstLine="539"/>
        <w:rPr>
          <w:rFonts w:ascii="Arial" w:hAnsi="Arial" w:eastAsia="宋体" w:cs="Arial"/>
          <w:sz w:val="24"/>
        </w:rPr>
      </w:pPr>
      <w:r>
        <w:rPr>
          <w:rFonts w:ascii="Arial" w:hAnsi="Arial" w:eastAsia="宋体" w:cs="Arial"/>
          <w:position w:val="-12"/>
          <w:sz w:val="24"/>
        </w:rPr>
        <w:object>
          <v:shape id="_x0000_i1060" o:spt="75" type="#_x0000_t75" style="height:18.75pt;width:139.5pt;" o:ole="t" filled="f" o:preferrelative="t" stroked="f" coordsize="21600,21600">
            <v:path/>
            <v:fill on="f" focussize="0,0"/>
            <v:stroke on="f" joinstyle="miter"/>
            <v:imagedata r:id="rId114" o:title=""/>
            <o:lock v:ext="edit" aspectratio="t"/>
            <w10:wrap type="none"/>
            <w10:anchorlock/>
          </v:shape>
          <o:OLEObject Type="Embed" ProgID="Equation.3" ShapeID="_x0000_i1060" DrawAspect="Content" ObjectID="_1468075760" r:id="rId113">
            <o:LockedField>false</o:LockedField>
          </o:OLEObject>
        </w:object>
      </w:r>
      <w:r>
        <w:rPr>
          <w:rFonts w:ascii="Arial" w:hAnsi="Arial" w:eastAsia="宋体" w:cs="Arial"/>
          <w:sz w:val="24"/>
        </w:rPr>
        <w:t xml:space="preserve">                  </w:t>
      </w:r>
      <w:r>
        <w:rPr>
          <w:rFonts w:hint="eastAsia" w:ascii="宋体" w:hAnsi="宋体" w:eastAsia="宋体" w:cs="宋体"/>
          <w:sz w:val="24"/>
        </w:rPr>
        <w:t>⑼</w:t>
      </w:r>
    </w:p>
    <w:p w14:paraId="062DA53B">
      <w:pPr>
        <w:pStyle w:val="5"/>
        <w:spacing w:line="520" w:lineRule="exact"/>
      </w:pPr>
      <w:r>
        <w:t>式中：L</w:t>
      </w:r>
      <w:r>
        <w:rPr>
          <w:vertAlign w:val="subscript"/>
        </w:rPr>
        <w:t>P2i</w:t>
      </w:r>
      <w:r>
        <w:t>(T)—靠近围护结构处室外N个声源i倍频带的叠加声压级，dB；</w:t>
      </w:r>
    </w:p>
    <w:p w14:paraId="20287E03">
      <w:pPr>
        <w:pStyle w:val="5"/>
        <w:spacing w:line="520" w:lineRule="exact"/>
      </w:pPr>
      <w:r>
        <w:t xml:space="preserve">      TL</w:t>
      </w:r>
      <w:r>
        <w:rPr>
          <w:vertAlign w:val="subscript"/>
        </w:rPr>
        <w:t>i</w:t>
      </w:r>
      <w:r>
        <w:t>—围护结构i倍频带的隔声量，dB。</w:t>
      </w:r>
    </w:p>
    <w:p w14:paraId="4C76FEB0">
      <w:pPr>
        <w:pStyle w:val="5"/>
        <w:spacing w:line="520" w:lineRule="exact"/>
      </w:pPr>
      <w:r>
        <w:t>然后按公式</w:t>
      </w:r>
      <w:r>
        <w:rPr>
          <w:rFonts w:hint="eastAsia" w:ascii="宋体" w:hAnsi="宋体" w:cs="宋体"/>
        </w:rPr>
        <w:t>⑽</w:t>
      </w:r>
      <w:r>
        <w:t>将室外声源的声压级和透过面积换算成等效的室外声源，计算出中心位置位于透声面积（S）处的等效声源的倍频带声功率级。</w:t>
      </w:r>
    </w:p>
    <w:p w14:paraId="0C158D14">
      <w:pPr>
        <w:spacing w:line="360" w:lineRule="auto"/>
        <w:ind w:firstLine="539"/>
        <w:rPr>
          <w:rFonts w:ascii="Arial" w:hAnsi="Arial" w:eastAsia="宋体" w:cs="Arial"/>
          <w:sz w:val="24"/>
        </w:rPr>
      </w:pPr>
      <w:r>
        <w:rPr>
          <w:rFonts w:ascii="Arial" w:hAnsi="Arial" w:eastAsia="宋体" w:cs="Arial"/>
          <w:position w:val="-12"/>
          <w:sz w:val="24"/>
        </w:rPr>
        <w:object>
          <v:shape id="_x0000_i1061" o:spt="75" type="#_x0000_t75" style="height:18.75pt;width:104.25pt;" o:ole="t" filled="f" o:preferrelative="t" stroked="f" coordsize="21600,21600">
            <v:path/>
            <v:fill on="f" focussize="0,0"/>
            <v:stroke on="f" joinstyle="miter"/>
            <v:imagedata r:id="rId116" o:title=""/>
            <o:lock v:ext="edit" aspectratio="t"/>
            <w10:wrap type="none"/>
            <w10:anchorlock/>
          </v:shape>
          <o:OLEObject Type="Embed" ProgID="Equation.3" ShapeID="_x0000_i1061" DrawAspect="Content" ObjectID="_1468075761" r:id="rId115">
            <o:LockedField>false</o:LockedField>
          </o:OLEObject>
        </w:object>
      </w:r>
      <w:r>
        <w:rPr>
          <w:rFonts w:ascii="Arial" w:hAnsi="Arial" w:eastAsia="宋体" w:cs="Arial"/>
          <w:sz w:val="24"/>
        </w:rPr>
        <w:t xml:space="preserve">                         </w:t>
      </w:r>
      <w:r>
        <w:rPr>
          <w:rFonts w:hint="eastAsia" w:ascii="宋体" w:hAnsi="宋体" w:eastAsia="宋体" w:cs="宋体"/>
          <w:sz w:val="24"/>
        </w:rPr>
        <w:t>⑽</w:t>
      </w:r>
    </w:p>
    <w:p w14:paraId="31D2000C">
      <w:pPr>
        <w:pStyle w:val="5"/>
        <w:spacing w:line="500" w:lineRule="exact"/>
        <w:ind w:firstLine="490" w:firstLineChars="200"/>
      </w:pPr>
      <w:r>
        <w:t>然后按室外声源预测方法计算预测点处的A声级。</w:t>
      </w:r>
    </w:p>
    <w:p w14:paraId="6058A6A5">
      <w:pPr>
        <w:pStyle w:val="5"/>
        <w:spacing w:line="500" w:lineRule="exact"/>
        <w:ind w:firstLine="490" w:firstLineChars="200"/>
      </w:pPr>
      <w:r>
        <w:t>3、噪声贡献值计算</w:t>
      </w:r>
    </w:p>
    <w:p w14:paraId="43FE036C">
      <w:pPr>
        <w:pStyle w:val="5"/>
        <w:spacing w:line="500" w:lineRule="exact"/>
        <w:ind w:firstLine="490" w:firstLineChars="200"/>
      </w:pPr>
      <w:r>
        <w:t>设第i个室外声源在预测点产生的A声级为L</w:t>
      </w:r>
      <w:r>
        <w:rPr>
          <w:vertAlign w:val="subscript"/>
        </w:rPr>
        <w:t>Ai</w:t>
      </w:r>
      <w:r>
        <w:t>，在T时间内该声源工作时间为ti；第j个等效室外声源在预测点产生的A声级为L</w:t>
      </w:r>
      <w:r>
        <w:rPr>
          <w:vertAlign w:val="subscript"/>
        </w:rPr>
        <w:t>Aj</w:t>
      </w:r>
      <w:r>
        <w:t>，在T时间内该声源工作时间为tj，则拟建工程声源对预测点产生的贡献值（Leqg）为：</w:t>
      </w:r>
    </w:p>
    <w:p w14:paraId="02D62D44">
      <w:pPr>
        <w:spacing w:line="360" w:lineRule="auto"/>
        <w:ind w:firstLine="539"/>
        <w:rPr>
          <w:rFonts w:ascii="Arial" w:hAnsi="Arial" w:eastAsia="宋体" w:cs="Arial"/>
          <w:sz w:val="24"/>
        </w:rPr>
      </w:pPr>
      <w:r>
        <w:rPr>
          <w:rFonts w:ascii="Arial" w:hAnsi="Arial" w:eastAsia="宋体" w:cs="Arial"/>
          <w:position w:val="-30"/>
          <w:sz w:val="24"/>
        </w:rPr>
        <w:object>
          <v:shape id="_x0000_i1062" o:spt="75" type="#_x0000_t75" style="height:35.25pt;width:204pt;" o:ole="t" filled="f" o:preferrelative="t" stroked="f" coordsize="21600,21600">
            <v:path/>
            <v:fill on="f" focussize="0,0"/>
            <v:stroke on="f" joinstyle="miter"/>
            <v:imagedata r:id="rId118" o:title=""/>
            <o:lock v:ext="edit" aspectratio="t"/>
            <w10:wrap type="none"/>
            <w10:anchorlock/>
          </v:shape>
          <o:OLEObject Type="Embed" ProgID="Equation.3" ShapeID="_x0000_i1062" DrawAspect="Content" ObjectID="_1468075762" r:id="rId117">
            <o:LockedField>false</o:LockedField>
          </o:OLEObject>
        </w:object>
      </w:r>
      <w:r>
        <w:rPr>
          <w:rFonts w:ascii="Arial" w:hAnsi="Arial" w:eastAsia="宋体" w:cs="Arial"/>
          <w:sz w:val="24"/>
        </w:rPr>
        <w:t xml:space="preserve">        （11）</w:t>
      </w:r>
    </w:p>
    <w:p w14:paraId="6D9333CF">
      <w:pPr>
        <w:pStyle w:val="5"/>
        <w:spacing w:line="500" w:lineRule="exact"/>
      </w:pPr>
      <w:r>
        <w:t>式中：t</w:t>
      </w:r>
      <w:r>
        <w:rPr>
          <w:vertAlign w:val="subscript"/>
        </w:rPr>
        <w:t>j</w:t>
      </w:r>
      <w:r>
        <w:t>—在T时间内j声源工作时间，s；</w:t>
      </w:r>
    </w:p>
    <w:p w14:paraId="43378F8D">
      <w:pPr>
        <w:pStyle w:val="5"/>
        <w:spacing w:line="500" w:lineRule="exact"/>
      </w:pPr>
      <w:r>
        <w:t xml:space="preserve">      t</w:t>
      </w:r>
      <w:r>
        <w:rPr>
          <w:vertAlign w:val="subscript"/>
        </w:rPr>
        <w:t>i</w:t>
      </w:r>
      <w:r>
        <w:t>—在T时间内i声源工作时间，s；</w:t>
      </w:r>
    </w:p>
    <w:p w14:paraId="458AEEA9">
      <w:pPr>
        <w:pStyle w:val="5"/>
        <w:spacing w:line="500" w:lineRule="exact"/>
      </w:pPr>
      <w:r>
        <w:t xml:space="preserve">      T—用于计算等效声级的时间，s；</w:t>
      </w:r>
    </w:p>
    <w:p w14:paraId="7DF2AC72">
      <w:pPr>
        <w:pStyle w:val="5"/>
        <w:spacing w:line="500" w:lineRule="exact"/>
      </w:pPr>
      <w:r>
        <w:t xml:space="preserve">      N—室外声源个数；</w:t>
      </w:r>
    </w:p>
    <w:p w14:paraId="61CE968F">
      <w:pPr>
        <w:pStyle w:val="5"/>
        <w:spacing w:line="500" w:lineRule="exact"/>
      </w:pPr>
      <w:r>
        <w:t xml:space="preserve">      M—等效室外声源个数。</w:t>
      </w:r>
    </w:p>
    <w:p w14:paraId="4D72E39C">
      <w:pPr>
        <w:pStyle w:val="5"/>
        <w:spacing w:line="500" w:lineRule="exact"/>
        <w:ind w:firstLine="490" w:firstLineChars="200"/>
      </w:pPr>
      <w:r>
        <w:t>4、预测点预测值计算</w:t>
      </w:r>
    </w:p>
    <w:p w14:paraId="4B92B495">
      <w:pPr>
        <w:spacing w:line="360" w:lineRule="auto"/>
        <w:ind w:firstLine="450" w:firstLineChars="200"/>
        <w:rPr>
          <w:rFonts w:ascii="Arial" w:hAnsi="Arial" w:eastAsia="宋体" w:cs="Arial"/>
          <w:sz w:val="24"/>
        </w:rPr>
      </w:pPr>
      <w:r>
        <w:rPr>
          <w:rFonts w:ascii="Arial" w:hAnsi="Arial" w:eastAsia="宋体" w:cs="Arial"/>
          <w:position w:val="-14"/>
          <w:sz w:val="24"/>
        </w:rPr>
        <w:object>
          <v:shape id="_x0000_i1063" o:spt="75" type="#_x0000_t75" style="height:21.75pt;width:134.25pt;" o:ole="t" filled="f" o:preferrelative="t" stroked="f" coordsize="21600,21600">
            <v:path/>
            <v:fill on="f" focussize="0,0"/>
            <v:stroke on="f" joinstyle="miter"/>
            <v:imagedata r:id="rId120" o:title=""/>
            <o:lock v:ext="edit" aspectratio="t"/>
            <w10:wrap type="none"/>
            <w10:anchorlock/>
          </v:shape>
          <o:OLEObject Type="Embed" ProgID="Equation.3" ShapeID="_x0000_i1063" DrawAspect="Content" ObjectID="_1468075763" r:id="rId119">
            <o:LockedField>false</o:LockedField>
          </o:OLEObject>
        </w:object>
      </w:r>
      <w:r>
        <w:rPr>
          <w:rFonts w:ascii="Arial" w:hAnsi="Arial" w:eastAsia="宋体" w:cs="Arial"/>
          <w:sz w:val="24"/>
        </w:rPr>
        <w:t xml:space="preserve">                    （12）</w:t>
      </w:r>
    </w:p>
    <w:p w14:paraId="56269AF5">
      <w:pPr>
        <w:pStyle w:val="5"/>
        <w:spacing w:line="500" w:lineRule="exact"/>
      </w:pPr>
      <w:r>
        <w:t xml:space="preserve">    式中：L</w:t>
      </w:r>
      <w:r>
        <w:rPr>
          <w:vertAlign w:val="subscript"/>
        </w:rPr>
        <w:t>eqg</w:t>
      </w:r>
      <w:r>
        <w:t>—建设项目声源在预测点的等效声级贡献值，dB(A)；</w:t>
      </w:r>
    </w:p>
    <w:p w14:paraId="22139940">
      <w:pPr>
        <w:pStyle w:val="5"/>
        <w:spacing w:line="500" w:lineRule="exact"/>
        <w:ind w:firstLine="490" w:firstLineChars="200"/>
        <w:rPr>
          <w:highlight w:val="yellow"/>
        </w:rPr>
      </w:pPr>
      <w:r>
        <w:rPr>
          <w:szCs w:val="24"/>
        </w:rPr>
        <w:t xml:space="preserve">        </w:t>
      </w:r>
      <w:r>
        <w:t xml:space="preserve"> L</w:t>
      </w:r>
      <w:r>
        <w:rPr>
          <w:vertAlign w:val="subscript"/>
        </w:rPr>
        <w:t>eqb</w:t>
      </w:r>
      <w:r>
        <w:t>—预测点的背景值，dB(A)。</w:t>
      </w:r>
    </w:p>
    <w:p w14:paraId="64EAE378">
      <w:pPr>
        <w:pStyle w:val="474"/>
        <w:numPr>
          <w:ilvl w:val="0"/>
          <w:numId w:val="26"/>
        </w:numPr>
        <w:spacing w:line="500" w:lineRule="exact"/>
        <w:ind w:firstLineChars="0"/>
        <w:outlineLvl w:val="3"/>
        <w:rPr>
          <w:rFonts w:ascii="Arial" w:hAnsi="Arial" w:cs="Arial"/>
          <w:b/>
        </w:rPr>
      </w:pPr>
      <w:r>
        <w:rPr>
          <w:rFonts w:ascii="Arial" w:hAnsi="Arial" w:cs="Arial"/>
          <w:b/>
        </w:rPr>
        <w:t>预测结果与评价</w:t>
      </w:r>
    </w:p>
    <w:p w14:paraId="22256DC7">
      <w:pPr>
        <w:pStyle w:val="5"/>
        <w:spacing w:line="500" w:lineRule="exact"/>
        <w:ind w:firstLine="490" w:firstLineChars="200"/>
      </w:pPr>
      <w:r>
        <w:t>在计算声能在户外传播中各种衰减因素时，只考虑屏障衰减、距离衰减，</w:t>
      </w:r>
      <w:r>
        <w:rPr>
          <w:rFonts w:hint="eastAsia"/>
          <w:lang w:eastAsia="zh-CN"/>
        </w:rPr>
        <w:t>其他影响</w:t>
      </w:r>
      <w:r>
        <w:t>的衰减如空气吸收、地面效应、温度梯度等均作为预测计算的安全系数。根据以上给出的预测模式，代入相关的声源资料，计算出项目对厂界的噪声贡献值。</w:t>
      </w:r>
    </w:p>
    <w:p w14:paraId="10F13673">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各声源噪声贡献预测结果表     单位：dB（A）</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6"/>
        <w:gridCol w:w="1014"/>
        <w:gridCol w:w="1018"/>
        <w:gridCol w:w="872"/>
        <w:gridCol w:w="872"/>
        <w:gridCol w:w="872"/>
        <w:gridCol w:w="872"/>
        <w:gridCol w:w="873"/>
        <w:gridCol w:w="854"/>
      </w:tblGrid>
      <w:tr w14:paraId="22554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1" w:type="pct"/>
            <w:vMerge w:val="restart"/>
            <w:vAlign w:val="center"/>
          </w:tcPr>
          <w:p w14:paraId="10C29460">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预测点</w:t>
            </w:r>
          </w:p>
        </w:tc>
        <w:tc>
          <w:tcPr>
            <w:tcW w:w="1130" w:type="pct"/>
            <w:gridSpan w:val="2"/>
            <w:vAlign w:val="center"/>
          </w:tcPr>
          <w:p w14:paraId="13C2DC01">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贡献值</w:t>
            </w:r>
          </w:p>
        </w:tc>
        <w:tc>
          <w:tcPr>
            <w:tcW w:w="970" w:type="pct"/>
            <w:gridSpan w:val="2"/>
            <w:vAlign w:val="center"/>
          </w:tcPr>
          <w:p w14:paraId="357EBD86">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背景值</w:t>
            </w:r>
          </w:p>
        </w:tc>
        <w:tc>
          <w:tcPr>
            <w:tcW w:w="970" w:type="pct"/>
            <w:gridSpan w:val="2"/>
            <w:vAlign w:val="center"/>
          </w:tcPr>
          <w:p w14:paraId="5A398922">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叠加值</w:t>
            </w:r>
          </w:p>
        </w:tc>
        <w:tc>
          <w:tcPr>
            <w:tcW w:w="959" w:type="pct"/>
            <w:gridSpan w:val="2"/>
            <w:vAlign w:val="center"/>
          </w:tcPr>
          <w:p w14:paraId="6C4EB3D1">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标准值</w:t>
            </w:r>
          </w:p>
        </w:tc>
      </w:tr>
      <w:tr w14:paraId="49FC2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1" w:type="pct"/>
            <w:vMerge w:val="continue"/>
            <w:vAlign w:val="center"/>
          </w:tcPr>
          <w:p w14:paraId="3D0FF258">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p>
        </w:tc>
        <w:tc>
          <w:tcPr>
            <w:tcW w:w="564" w:type="pct"/>
            <w:vAlign w:val="center"/>
          </w:tcPr>
          <w:p w14:paraId="27D0DE4E">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昼间</w:t>
            </w:r>
          </w:p>
        </w:tc>
        <w:tc>
          <w:tcPr>
            <w:tcW w:w="566" w:type="pct"/>
            <w:vAlign w:val="center"/>
          </w:tcPr>
          <w:p w14:paraId="12ED22FE">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夜间</w:t>
            </w:r>
          </w:p>
        </w:tc>
        <w:tc>
          <w:tcPr>
            <w:tcW w:w="485" w:type="pct"/>
            <w:vAlign w:val="center"/>
          </w:tcPr>
          <w:p w14:paraId="2E6416C8">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昼间</w:t>
            </w:r>
          </w:p>
        </w:tc>
        <w:tc>
          <w:tcPr>
            <w:tcW w:w="485" w:type="pct"/>
            <w:vAlign w:val="center"/>
          </w:tcPr>
          <w:p w14:paraId="50CACC73">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夜间</w:t>
            </w:r>
          </w:p>
        </w:tc>
        <w:tc>
          <w:tcPr>
            <w:tcW w:w="485" w:type="pct"/>
            <w:vAlign w:val="center"/>
          </w:tcPr>
          <w:p w14:paraId="0F1230CC">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昼间</w:t>
            </w:r>
          </w:p>
        </w:tc>
        <w:tc>
          <w:tcPr>
            <w:tcW w:w="485" w:type="pct"/>
            <w:vAlign w:val="center"/>
          </w:tcPr>
          <w:p w14:paraId="47E6AD7E">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夜间</w:t>
            </w:r>
          </w:p>
        </w:tc>
        <w:tc>
          <w:tcPr>
            <w:tcW w:w="485" w:type="pct"/>
            <w:vAlign w:val="center"/>
          </w:tcPr>
          <w:p w14:paraId="779A9B21">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昼间</w:t>
            </w:r>
          </w:p>
        </w:tc>
        <w:tc>
          <w:tcPr>
            <w:tcW w:w="474" w:type="pct"/>
            <w:vAlign w:val="center"/>
          </w:tcPr>
          <w:p w14:paraId="013E3176">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夜间</w:t>
            </w:r>
          </w:p>
        </w:tc>
      </w:tr>
      <w:tr w14:paraId="398DB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1" w:type="pct"/>
            <w:vAlign w:val="center"/>
          </w:tcPr>
          <w:p w14:paraId="68A5EC2D">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厂界</w:t>
            </w:r>
            <w:r>
              <w:rPr>
                <w:rFonts w:ascii="Arial" w:hAnsi="Arial" w:cs="Arial"/>
                <w:kern w:val="2"/>
              </w:rPr>
              <w:t>东面</w:t>
            </w:r>
          </w:p>
        </w:tc>
        <w:tc>
          <w:tcPr>
            <w:tcW w:w="564" w:type="pct"/>
            <w:vAlign w:val="center"/>
          </w:tcPr>
          <w:p w14:paraId="40627455">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51.56</w:t>
            </w:r>
          </w:p>
        </w:tc>
        <w:tc>
          <w:tcPr>
            <w:tcW w:w="566" w:type="pct"/>
            <w:vAlign w:val="center"/>
          </w:tcPr>
          <w:p w14:paraId="1C15AFA2">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51.56</w:t>
            </w:r>
          </w:p>
        </w:tc>
        <w:tc>
          <w:tcPr>
            <w:tcW w:w="485" w:type="pct"/>
            <w:vAlign w:val="center"/>
          </w:tcPr>
          <w:p w14:paraId="06FF89A9">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62</w:t>
            </w:r>
          </w:p>
        </w:tc>
        <w:tc>
          <w:tcPr>
            <w:tcW w:w="485" w:type="pct"/>
            <w:vAlign w:val="center"/>
          </w:tcPr>
          <w:p w14:paraId="1450C787">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52</w:t>
            </w:r>
          </w:p>
        </w:tc>
        <w:tc>
          <w:tcPr>
            <w:tcW w:w="485" w:type="pct"/>
            <w:vAlign w:val="center"/>
          </w:tcPr>
          <w:p w14:paraId="7A03432E">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62.47</w:t>
            </w:r>
          </w:p>
        </w:tc>
        <w:tc>
          <w:tcPr>
            <w:tcW w:w="485" w:type="pct"/>
            <w:vAlign w:val="center"/>
          </w:tcPr>
          <w:p w14:paraId="6A35444E">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53.46</w:t>
            </w:r>
          </w:p>
        </w:tc>
        <w:tc>
          <w:tcPr>
            <w:tcW w:w="485" w:type="pct"/>
            <w:vAlign w:val="center"/>
          </w:tcPr>
          <w:p w14:paraId="188A4346">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65</w:t>
            </w:r>
          </w:p>
        </w:tc>
        <w:tc>
          <w:tcPr>
            <w:tcW w:w="474" w:type="pct"/>
            <w:vAlign w:val="center"/>
          </w:tcPr>
          <w:p w14:paraId="0B438D3B">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55</w:t>
            </w:r>
          </w:p>
        </w:tc>
      </w:tr>
      <w:tr w14:paraId="1B987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1" w:type="pct"/>
            <w:vAlign w:val="center"/>
          </w:tcPr>
          <w:p w14:paraId="0CCFE845">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厂界</w:t>
            </w:r>
            <w:r>
              <w:rPr>
                <w:rFonts w:ascii="Arial" w:hAnsi="Arial" w:cs="Arial"/>
                <w:kern w:val="2"/>
              </w:rPr>
              <w:t>南面</w:t>
            </w:r>
          </w:p>
        </w:tc>
        <w:tc>
          <w:tcPr>
            <w:tcW w:w="564" w:type="pct"/>
            <w:vAlign w:val="center"/>
          </w:tcPr>
          <w:p w14:paraId="1F0E6188">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11.32</w:t>
            </w:r>
          </w:p>
        </w:tc>
        <w:tc>
          <w:tcPr>
            <w:tcW w:w="566" w:type="pct"/>
            <w:vAlign w:val="center"/>
          </w:tcPr>
          <w:p w14:paraId="05C0564E">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11.32</w:t>
            </w:r>
          </w:p>
        </w:tc>
        <w:tc>
          <w:tcPr>
            <w:tcW w:w="485" w:type="pct"/>
            <w:vAlign w:val="center"/>
          </w:tcPr>
          <w:p w14:paraId="3EBBB525">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59</w:t>
            </w:r>
          </w:p>
        </w:tc>
        <w:tc>
          <w:tcPr>
            <w:tcW w:w="485" w:type="pct"/>
            <w:vAlign w:val="center"/>
          </w:tcPr>
          <w:p w14:paraId="422118DE">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48</w:t>
            </w:r>
          </w:p>
        </w:tc>
        <w:tc>
          <w:tcPr>
            <w:tcW w:w="485" w:type="pct"/>
            <w:vAlign w:val="center"/>
          </w:tcPr>
          <w:p w14:paraId="0AC3E0FB">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59</w:t>
            </w:r>
          </w:p>
        </w:tc>
        <w:tc>
          <w:tcPr>
            <w:tcW w:w="485" w:type="pct"/>
            <w:vAlign w:val="center"/>
          </w:tcPr>
          <w:p w14:paraId="179AB8FB">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48</w:t>
            </w:r>
          </w:p>
        </w:tc>
        <w:tc>
          <w:tcPr>
            <w:tcW w:w="485" w:type="pct"/>
            <w:vAlign w:val="center"/>
          </w:tcPr>
          <w:p w14:paraId="25B726B7">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65</w:t>
            </w:r>
          </w:p>
        </w:tc>
        <w:tc>
          <w:tcPr>
            <w:tcW w:w="474" w:type="pct"/>
            <w:vAlign w:val="center"/>
          </w:tcPr>
          <w:p w14:paraId="7E54F06D">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55</w:t>
            </w:r>
          </w:p>
        </w:tc>
      </w:tr>
      <w:tr w14:paraId="75F17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1" w:type="pct"/>
            <w:vAlign w:val="center"/>
          </w:tcPr>
          <w:p w14:paraId="440FE9B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厂界</w:t>
            </w:r>
            <w:r>
              <w:rPr>
                <w:rFonts w:ascii="Arial" w:hAnsi="Arial" w:cs="Arial"/>
                <w:kern w:val="2"/>
              </w:rPr>
              <w:t>西面</w:t>
            </w:r>
          </w:p>
        </w:tc>
        <w:tc>
          <w:tcPr>
            <w:tcW w:w="564" w:type="pct"/>
            <w:vAlign w:val="center"/>
          </w:tcPr>
          <w:p w14:paraId="31857FF3">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13.62</w:t>
            </w:r>
          </w:p>
        </w:tc>
        <w:tc>
          <w:tcPr>
            <w:tcW w:w="566" w:type="pct"/>
            <w:vAlign w:val="center"/>
          </w:tcPr>
          <w:p w14:paraId="698A53C8">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13.62</w:t>
            </w:r>
          </w:p>
        </w:tc>
        <w:tc>
          <w:tcPr>
            <w:tcW w:w="485" w:type="pct"/>
            <w:vAlign w:val="center"/>
          </w:tcPr>
          <w:p w14:paraId="7ABD1CEF">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59</w:t>
            </w:r>
          </w:p>
        </w:tc>
        <w:tc>
          <w:tcPr>
            <w:tcW w:w="485" w:type="pct"/>
            <w:vAlign w:val="center"/>
          </w:tcPr>
          <w:p w14:paraId="440BF1A3">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47</w:t>
            </w:r>
          </w:p>
        </w:tc>
        <w:tc>
          <w:tcPr>
            <w:tcW w:w="485" w:type="pct"/>
            <w:vAlign w:val="center"/>
          </w:tcPr>
          <w:p w14:paraId="1941DAF3">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59</w:t>
            </w:r>
          </w:p>
        </w:tc>
        <w:tc>
          <w:tcPr>
            <w:tcW w:w="485" w:type="pct"/>
            <w:vAlign w:val="center"/>
          </w:tcPr>
          <w:p w14:paraId="0E7962DD">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47</w:t>
            </w:r>
          </w:p>
        </w:tc>
        <w:tc>
          <w:tcPr>
            <w:tcW w:w="485" w:type="pct"/>
            <w:vAlign w:val="center"/>
          </w:tcPr>
          <w:p w14:paraId="61D26FCE">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70</w:t>
            </w:r>
          </w:p>
        </w:tc>
        <w:tc>
          <w:tcPr>
            <w:tcW w:w="474" w:type="pct"/>
            <w:vAlign w:val="center"/>
          </w:tcPr>
          <w:p w14:paraId="61182287">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55</w:t>
            </w:r>
          </w:p>
        </w:tc>
      </w:tr>
      <w:tr w14:paraId="797BB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1" w:type="pct"/>
            <w:vAlign w:val="center"/>
          </w:tcPr>
          <w:p w14:paraId="4B4B995C">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厂界</w:t>
            </w:r>
            <w:r>
              <w:rPr>
                <w:rFonts w:ascii="Arial" w:hAnsi="Arial" w:cs="Arial"/>
                <w:kern w:val="2"/>
              </w:rPr>
              <w:t>北面</w:t>
            </w:r>
          </w:p>
        </w:tc>
        <w:tc>
          <w:tcPr>
            <w:tcW w:w="564" w:type="pct"/>
            <w:vAlign w:val="center"/>
          </w:tcPr>
          <w:p w14:paraId="2E472BF9">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9.95</w:t>
            </w:r>
          </w:p>
        </w:tc>
        <w:tc>
          <w:tcPr>
            <w:tcW w:w="566" w:type="pct"/>
            <w:vAlign w:val="center"/>
          </w:tcPr>
          <w:p w14:paraId="7B6EC938">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9.95</w:t>
            </w:r>
          </w:p>
        </w:tc>
        <w:tc>
          <w:tcPr>
            <w:tcW w:w="485" w:type="pct"/>
            <w:vAlign w:val="center"/>
          </w:tcPr>
          <w:p w14:paraId="642A5A69">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58</w:t>
            </w:r>
          </w:p>
        </w:tc>
        <w:tc>
          <w:tcPr>
            <w:tcW w:w="485" w:type="pct"/>
            <w:vAlign w:val="center"/>
          </w:tcPr>
          <w:p w14:paraId="47DB4BBB">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45</w:t>
            </w:r>
          </w:p>
        </w:tc>
        <w:tc>
          <w:tcPr>
            <w:tcW w:w="485" w:type="pct"/>
            <w:vAlign w:val="center"/>
          </w:tcPr>
          <w:p w14:paraId="42F519C1">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58</w:t>
            </w:r>
          </w:p>
        </w:tc>
        <w:tc>
          <w:tcPr>
            <w:tcW w:w="485" w:type="pct"/>
            <w:vAlign w:val="center"/>
          </w:tcPr>
          <w:p w14:paraId="4FE9CC44">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45</w:t>
            </w:r>
          </w:p>
        </w:tc>
        <w:tc>
          <w:tcPr>
            <w:tcW w:w="485" w:type="pct"/>
            <w:vAlign w:val="center"/>
          </w:tcPr>
          <w:p w14:paraId="574E2DA9">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65</w:t>
            </w:r>
          </w:p>
        </w:tc>
        <w:tc>
          <w:tcPr>
            <w:tcW w:w="474" w:type="pct"/>
            <w:vAlign w:val="center"/>
          </w:tcPr>
          <w:p w14:paraId="6D3A87E1">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55</w:t>
            </w:r>
          </w:p>
        </w:tc>
      </w:tr>
      <w:tr w14:paraId="76787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1" w:type="pct"/>
            <w:vAlign w:val="center"/>
          </w:tcPr>
          <w:p w14:paraId="1AB35795">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鸡墩头村</w:t>
            </w:r>
          </w:p>
        </w:tc>
        <w:tc>
          <w:tcPr>
            <w:tcW w:w="564" w:type="pct"/>
            <w:vAlign w:val="center"/>
          </w:tcPr>
          <w:p w14:paraId="6D339F4E">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10.02</w:t>
            </w:r>
          </w:p>
        </w:tc>
        <w:tc>
          <w:tcPr>
            <w:tcW w:w="566" w:type="pct"/>
            <w:vAlign w:val="center"/>
          </w:tcPr>
          <w:p w14:paraId="70736BAB">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10.02</w:t>
            </w:r>
          </w:p>
        </w:tc>
        <w:tc>
          <w:tcPr>
            <w:tcW w:w="485" w:type="pct"/>
            <w:vAlign w:val="center"/>
          </w:tcPr>
          <w:p w14:paraId="16F67489">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48.5</w:t>
            </w:r>
          </w:p>
        </w:tc>
        <w:tc>
          <w:tcPr>
            <w:tcW w:w="485" w:type="pct"/>
            <w:vAlign w:val="center"/>
          </w:tcPr>
          <w:p w14:paraId="07E17787">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43.4</w:t>
            </w:r>
          </w:p>
        </w:tc>
        <w:tc>
          <w:tcPr>
            <w:tcW w:w="485" w:type="pct"/>
            <w:vAlign w:val="center"/>
          </w:tcPr>
          <w:p w14:paraId="6FB31BA8">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48.5</w:t>
            </w:r>
          </w:p>
        </w:tc>
        <w:tc>
          <w:tcPr>
            <w:tcW w:w="485" w:type="pct"/>
            <w:vAlign w:val="center"/>
          </w:tcPr>
          <w:p w14:paraId="4538DCEA">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hint="eastAsia" w:ascii="Arial" w:hAnsi="Arial" w:cs="Arial"/>
                <w:kern w:val="2"/>
              </w:rPr>
              <w:t>43.4</w:t>
            </w:r>
          </w:p>
        </w:tc>
        <w:tc>
          <w:tcPr>
            <w:tcW w:w="485" w:type="pct"/>
            <w:vAlign w:val="center"/>
          </w:tcPr>
          <w:p w14:paraId="317FD19A">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60</w:t>
            </w:r>
          </w:p>
        </w:tc>
        <w:tc>
          <w:tcPr>
            <w:tcW w:w="474" w:type="pct"/>
            <w:vAlign w:val="center"/>
          </w:tcPr>
          <w:p w14:paraId="0F98DD8F">
            <w:pPr>
              <w:pStyle w:val="714"/>
              <w:widowControl w:val="0"/>
              <w:pBdr>
                <w:left w:val="none" w:color="auto" w:sz="0" w:space="0"/>
                <w:bottom w:val="none" w:color="auto" w:sz="0" w:space="0"/>
                <w:right w:val="none" w:color="auto" w:sz="0" w:space="0"/>
              </w:pBdr>
              <w:spacing w:before="0" w:beforeAutospacing="0" w:after="0" w:afterAutospacing="0" w:line="240" w:lineRule="exact"/>
              <w:rPr>
                <w:rFonts w:ascii="Arial" w:hAnsi="Arial" w:cs="Arial"/>
                <w:kern w:val="2"/>
              </w:rPr>
            </w:pPr>
            <w:r>
              <w:rPr>
                <w:rFonts w:ascii="Arial" w:hAnsi="Arial" w:cs="Arial"/>
                <w:kern w:val="2"/>
              </w:rPr>
              <w:t>50</w:t>
            </w:r>
          </w:p>
        </w:tc>
      </w:tr>
    </w:tbl>
    <w:p w14:paraId="078307A6">
      <w:pPr>
        <w:pStyle w:val="5"/>
        <w:spacing w:line="500" w:lineRule="exact"/>
        <w:ind w:firstLine="490" w:firstLineChars="200"/>
        <w:rPr>
          <w:highlight w:val="yellow"/>
        </w:rPr>
      </w:pPr>
    </w:p>
    <w:p w14:paraId="48C9212E">
      <w:pPr>
        <w:pStyle w:val="5"/>
        <w:spacing w:line="240" w:lineRule="auto"/>
        <w:ind w:firstLine="0"/>
        <w:rPr>
          <w:highlight w:val="yellow"/>
        </w:rPr>
      </w:pPr>
      <w:r>
        <w:drawing>
          <wp:inline distT="0" distB="0" distL="114300" distR="114300">
            <wp:extent cx="5485765" cy="6424295"/>
            <wp:effectExtent l="0" t="0" r="635" b="1460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121"/>
                    <a:stretch>
                      <a:fillRect/>
                    </a:stretch>
                  </pic:blipFill>
                  <pic:spPr>
                    <a:xfrm>
                      <a:off x="0" y="0"/>
                      <a:ext cx="5485765" cy="6424295"/>
                    </a:xfrm>
                    <a:prstGeom prst="rect">
                      <a:avLst/>
                    </a:prstGeom>
                    <a:noFill/>
                    <a:ln>
                      <a:noFill/>
                    </a:ln>
                  </pic:spPr>
                </pic:pic>
              </a:graphicData>
            </a:graphic>
          </wp:inline>
        </w:drawing>
      </w:r>
    </w:p>
    <w:p w14:paraId="670AAC30">
      <w:pPr>
        <w:numPr>
          <w:ilvl w:val="0"/>
          <w:numId w:val="23"/>
        </w:numPr>
        <w:spacing w:line="500" w:lineRule="exact"/>
        <w:ind w:left="0" w:firstLine="0"/>
        <w:jc w:val="center"/>
        <w:rPr>
          <w:rFonts w:ascii="Arial" w:hAnsi="Arial" w:eastAsia="宋体" w:cs="Arial"/>
          <w:b/>
          <w:spacing w:val="10"/>
          <w:sz w:val="24"/>
        </w:rPr>
      </w:pPr>
      <w:r>
        <w:rPr>
          <w:rFonts w:ascii="Arial" w:hAnsi="Arial" w:eastAsia="宋体" w:cs="Arial"/>
          <w:b/>
          <w:spacing w:val="10"/>
          <w:sz w:val="24"/>
        </w:rPr>
        <w:t>项目噪声等效声值曲线图</w:t>
      </w:r>
    </w:p>
    <w:p w14:paraId="1F7C9C69">
      <w:pPr>
        <w:pStyle w:val="5"/>
        <w:spacing w:line="500" w:lineRule="exact"/>
        <w:ind w:firstLine="490" w:firstLineChars="200"/>
      </w:pPr>
      <w:r>
        <w:t>根据预测结果，厂界东、南、北面噪声预测值符合《工业企业厂界环境噪声排放标准》（GB12348-2008）中3类标准限值的要求，厂界西面符合4类标准限值要求，鸡墩头村噪声预测值符合《声环境质量标准》（GB3096-2008）2类区标准。</w:t>
      </w:r>
    </w:p>
    <w:p w14:paraId="0A891C00">
      <w:pPr>
        <w:pStyle w:val="6"/>
        <w:numPr>
          <w:ilvl w:val="0"/>
          <w:numId w:val="20"/>
        </w:numPr>
        <w:tabs>
          <w:tab w:val="clear" w:pos="1789"/>
        </w:tabs>
        <w:spacing w:line="400" w:lineRule="exact"/>
        <w:rPr>
          <w:rFonts w:ascii="Arial" w:hAnsi="Arial" w:eastAsia="宋体" w:cs="Arial"/>
        </w:rPr>
      </w:pPr>
      <w:bookmarkStart w:id="326" w:name="_Toc104677304"/>
      <w:bookmarkStart w:id="327" w:name="_Toc88674777"/>
      <w:bookmarkStart w:id="328" w:name="_Toc58596463"/>
      <w:bookmarkStart w:id="329" w:name="_Toc87124262"/>
      <w:bookmarkStart w:id="330" w:name="_Toc57715623"/>
      <w:bookmarkStart w:id="331" w:name="_Toc67921876"/>
      <w:r>
        <w:rPr>
          <w:rFonts w:ascii="Arial" w:hAnsi="Arial" w:eastAsia="宋体" w:cs="Arial"/>
        </w:rPr>
        <w:t>运营期固体废物影响分析</w:t>
      </w:r>
      <w:bookmarkEnd w:id="326"/>
      <w:bookmarkEnd w:id="327"/>
      <w:bookmarkEnd w:id="328"/>
      <w:bookmarkEnd w:id="329"/>
      <w:bookmarkEnd w:id="330"/>
      <w:bookmarkEnd w:id="331"/>
    </w:p>
    <w:p w14:paraId="4903D3C9">
      <w:pPr>
        <w:pStyle w:val="5"/>
      </w:pPr>
      <w:r>
        <w:t>项目变更后固废产排情况见表4-</w:t>
      </w:r>
      <w:r>
        <w:rPr>
          <w:rFonts w:hint="eastAsia"/>
        </w:rPr>
        <w:t>31</w:t>
      </w:r>
      <w:r>
        <w:t>。</w:t>
      </w:r>
    </w:p>
    <w:p w14:paraId="32E0B12B">
      <w:pPr>
        <w:keepNext/>
        <w:numPr>
          <w:ilvl w:val="0"/>
          <w:numId w:val="22"/>
        </w:numPr>
        <w:adjustRightInd w:val="0"/>
        <w:snapToGrid w:val="0"/>
        <w:spacing w:line="500" w:lineRule="exact"/>
        <w:ind w:left="0" w:firstLine="0"/>
        <w:jc w:val="center"/>
        <w:outlineLvl w:val="4"/>
        <w:rPr>
          <w:rFonts w:ascii="Arial" w:hAnsi="Arial" w:eastAsia="宋体" w:cs="Arial"/>
          <w:b/>
          <w:sz w:val="24"/>
          <w:szCs w:val="21"/>
        </w:rPr>
      </w:pPr>
      <w:r>
        <w:rPr>
          <w:rFonts w:ascii="Arial" w:hAnsi="Arial" w:eastAsia="宋体" w:cs="Arial"/>
          <w:b/>
          <w:sz w:val="24"/>
          <w:szCs w:val="21"/>
        </w:rPr>
        <w:t>项目变更后固废产排情况</w:t>
      </w:r>
    </w:p>
    <w:bookmarkEnd w:id="317"/>
    <w:bookmarkEnd w:id="318"/>
    <w:tbl>
      <w:tblPr>
        <w:tblStyle w:val="8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57" w:type="dxa"/>
        </w:tblCellMar>
      </w:tblPr>
      <w:tblGrid>
        <w:gridCol w:w="1175"/>
        <w:gridCol w:w="1367"/>
        <w:gridCol w:w="1435"/>
        <w:gridCol w:w="1967"/>
        <w:gridCol w:w="985"/>
        <w:gridCol w:w="982"/>
        <w:gridCol w:w="980"/>
      </w:tblGrid>
      <w:tr w14:paraId="12AAC8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7" w:type="dxa"/>
          </w:tblCellMar>
        </w:tblPrEx>
        <w:trPr>
          <w:cantSplit/>
          <w:trHeight w:val="347" w:hRule="atLeast"/>
          <w:tblHeader/>
          <w:jc w:val="center"/>
        </w:trPr>
        <w:tc>
          <w:tcPr>
            <w:tcW w:w="661" w:type="pct"/>
            <w:vMerge w:val="restart"/>
            <w:tcMar>
              <w:left w:w="57" w:type="dxa"/>
              <w:right w:w="57" w:type="dxa"/>
            </w:tcMar>
            <w:vAlign w:val="center"/>
          </w:tcPr>
          <w:p w14:paraId="70F98EB7">
            <w:pPr>
              <w:spacing w:line="0" w:lineRule="atLeast"/>
              <w:jc w:val="center"/>
              <w:rPr>
                <w:rFonts w:ascii="Arial" w:hAnsi="Arial" w:eastAsia="宋体" w:cs="Arial"/>
                <w:sz w:val="21"/>
                <w:szCs w:val="21"/>
              </w:rPr>
            </w:pPr>
            <w:r>
              <w:rPr>
                <w:rFonts w:ascii="Arial" w:hAnsi="Arial" w:eastAsia="宋体" w:cs="Arial"/>
                <w:sz w:val="21"/>
                <w:szCs w:val="21"/>
              </w:rPr>
              <w:t>装置名称</w:t>
            </w:r>
          </w:p>
        </w:tc>
        <w:tc>
          <w:tcPr>
            <w:tcW w:w="769" w:type="pct"/>
            <w:vMerge w:val="restart"/>
            <w:tcMar>
              <w:left w:w="57" w:type="dxa"/>
              <w:right w:w="57" w:type="dxa"/>
            </w:tcMar>
            <w:vAlign w:val="center"/>
          </w:tcPr>
          <w:p w14:paraId="30E5095A">
            <w:pPr>
              <w:spacing w:line="0" w:lineRule="atLeast"/>
              <w:jc w:val="center"/>
              <w:rPr>
                <w:rFonts w:ascii="Arial" w:hAnsi="Arial" w:eastAsia="宋体" w:cs="Arial"/>
                <w:sz w:val="21"/>
                <w:szCs w:val="21"/>
              </w:rPr>
            </w:pPr>
            <w:r>
              <w:rPr>
                <w:rFonts w:ascii="Arial" w:hAnsi="Arial" w:eastAsia="宋体" w:cs="Arial"/>
                <w:sz w:val="21"/>
                <w:szCs w:val="21"/>
              </w:rPr>
              <w:t>固废名称</w:t>
            </w:r>
          </w:p>
        </w:tc>
        <w:tc>
          <w:tcPr>
            <w:tcW w:w="807" w:type="pct"/>
            <w:vMerge w:val="restart"/>
            <w:tcMar>
              <w:left w:w="57" w:type="dxa"/>
              <w:right w:w="57" w:type="dxa"/>
            </w:tcMar>
            <w:vAlign w:val="center"/>
          </w:tcPr>
          <w:p w14:paraId="5DA499BC">
            <w:pPr>
              <w:spacing w:line="0" w:lineRule="atLeast"/>
              <w:jc w:val="center"/>
              <w:rPr>
                <w:rFonts w:ascii="Arial" w:hAnsi="Arial" w:eastAsia="宋体" w:cs="Arial"/>
                <w:sz w:val="21"/>
                <w:szCs w:val="21"/>
              </w:rPr>
            </w:pPr>
            <w:r>
              <w:rPr>
                <w:rFonts w:ascii="Arial" w:hAnsi="Arial" w:eastAsia="宋体" w:cs="Arial"/>
                <w:sz w:val="21"/>
                <w:szCs w:val="21"/>
              </w:rPr>
              <w:t>主要成分</w:t>
            </w:r>
          </w:p>
        </w:tc>
        <w:tc>
          <w:tcPr>
            <w:tcW w:w="1106" w:type="pct"/>
            <w:vMerge w:val="restart"/>
            <w:tcMar>
              <w:left w:w="57" w:type="dxa"/>
              <w:right w:w="57" w:type="dxa"/>
            </w:tcMar>
            <w:vAlign w:val="center"/>
          </w:tcPr>
          <w:p w14:paraId="0EAAAB8C">
            <w:pPr>
              <w:spacing w:line="0" w:lineRule="atLeast"/>
              <w:jc w:val="center"/>
              <w:rPr>
                <w:rFonts w:ascii="Arial" w:hAnsi="Arial" w:eastAsia="宋体" w:cs="Arial"/>
                <w:sz w:val="21"/>
                <w:szCs w:val="21"/>
              </w:rPr>
            </w:pPr>
            <w:r>
              <w:rPr>
                <w:rFonts w:ascii="Arial" w:hAnsi="Arial" w:eastAsia="宋体" w:cs="Arial"/>
                <w:sz w:val="21"/>
                <w:szCs w:val="21"/>
              </w:rPr>
              <w:t>固废类别</w:t>
            </w:r>
          </w:p>
        </w:tc>
        <w:tc>
          <w:tcPr>
            <w:tcW w:w="1657" w:type="pct"/>
            <w:gridSpan w:val="3"/>
            <w:vAlign w:val="center"/>
          </w:tcPr>
          <w:p w14:paraId="4483E310">
            <w:pPr>
              <w:spacing w:line="0" w:lineRule="atLeast"/>
              <w:jc w:val="center"/>
              <w:rPr>
                <w:rFonts w:ascii="Arial" w:hAnsi="Arial" w:eastAsia="宋体" w:cs="Arial"/>
                <w:sz w:val="21"/>
                <w:szCs w:val="21"/>
              </w:rPr>
            </w:pPr>
            <w:r>
              <w:rPr>
                <w:rFonts w:ascii="Arial" w:hAnsi="Arial" w:eastAsia="宋体" w:cs="Arial"/>
                <w:sz w:val="21"/>
                <w:szCs w:val="21"/>
              </w:rPr>
              <w:t>变更后情况</w:t>
            </w:r>
          </w:p>
        </w:tc>
      </w:tr>
      <w:tr w14:paraId="7E4D85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7" w:type="dxa"/>
          </w:tblCellMar>
        </w:tblPrEx>
        <w:trPr>
          <w:cantSplit/>
          <w:trHeight w:val="347" w:hRule="atLeast"/>
          <w:tblHeader/>
          <w:jc w:val="center"/>
        </w:trPr>
        <w:tc>
          <w:tcPr>
            <w:tcW w:w="661" w:type="pct"/>
            <w:vMerge w:val="continue"/>
            <w:tcMar>
              <w:left w:w="57" w:type="dxa"/>
              <w:right w:w="57" w:type="dxa"/>
            </w:tcMar>
            <w:vAlign w:val="center"/>
          </w:tcPr>
          <w:p w14:paraId="3CD737B1">
            <w:pPr>
              <w:spacing w:line="0" w:lineRule="atLeast"/>
              <w:jc w:val="center"/>
              <w:rPr>
                <w:rFonts w:ascii="Arial" w:hAnsi="Arial" w:eastAsia="宋体" w:cs="Arial"/>
                <w:sz w:val="21"/>
                <w:szCs w:val="21"/>
              </w:rPr>
            </w:pPr>
          </w:p>
        </w:tc>
        <w:tc>
          <w:tcPr>
            <w:tcW w:w="769" w:type="pct"/>
            <w:vMerge w:val="continue"/>
            <w:tcMar>
              <w:left w:w="57" w:type="dxa"/>
              <w:right w:w="57" w:type="dxa"/>
            </w:tcMar>
            <w:vAlign w:val="center"/>
          </w:tcPr>
          <w:p w14:paraId="27804915">
            <w:pPr>
              <w:spacing w:line="0" w:lineRule="atLeast"/>
              <w:jc w:val="center"/>
              <w:rPr>
                <w:rFonts w:ascii="Arial" w:hAnsi="Arial" w:eastAsia="宋体" w:cs="Arial"/>
                <w:sz w:val="21"/>
                <w:szCs w:val="21"/>
              </w:rPr>
            </w:pPr>
          </w:p>
        </w:tc>
        <w:tc>
          <w:tcPr>
            <w:tcW w:w="807" w:type="pct"/>
            <w:vMerge w:val="continue"/>
            <w:tcMar>
              <w:left w:w="57" w:type="dxa"/>
              <w:right w:w="57" w:type="dxa"/>
            </w:tcMar>
            <w:vAlign w:val="center"/>
          </w:tcPr>
          <w:p w14:paraId="7F8084EA">
            <w:pPr>
              <w:spacing w:line="0" w:lineRule="atLeast"/>
              <w:jc w:val="center"/>
              <w:rPr>
                <w:rFonts w:ascii="Arial" w:hAnsi="Arial" w:eastAsia="宋体" w:cs="Arial"/>
                <w:sz w:val="21"/>
                <w:szCs w:val="21"/>
              </w:rPr>
            </w:pPr>
          </w:p>
        </w:tc>
        <w:tc>
          <w:tcPr>
            <w:tcW w:w="1106" w:type="pct"/>
            <w:vMerge w:val="continue"/>
            <w:tcMar>
              <w:left w:w="57" w:type="dxa"/>
              <w:right w:w="57" w:type="dxa"/>
            </w:tcMar>
            <w:vAlign w:val="center"/>
          </w:tcPr>
          <w:p w14:paraId="0078007E">
            <w:pPr>
              <w:spacing w:line="0" w:lineRule="atLeast"/>
              <w:jc w:val="center"/>
              <w:rPr>
                <w:rFonts w:ascii="Arial" w:hAnsi="Arial" w:eastAsia="宋体" w:cs="Arial"/>
                <w:sz w:val="21"/>
                <w:szCs w:val="21"/>
              </w:rPr>
            </w:pPr>
          </w:p>
        </w:tc>
        <w:tc>
          <w:tcPr>
            <w:tcW w:w="554" w:type="pct"/>
            <w:vAlign w:val="center"/>
          </w:tcPr>
          <w:p w14:paraId="16B7A270">
            <w:pPr>
              <w:spacing w:line="0" w:lineRule="atLeast"/>
              <w:jc w:val="center"/>
              <w:rPr>
                <w:rFonts w:ascii="Arial" w:hAnsi="Arial" w:eastAsia="宋体" w:cs="Arial"/>
                <w:sz w:val="21"/>
                <w:szCs w:val="21"/>
              </w:rPr>
            </w:pPr>
            <w:r>
              <w:rPr>
                <w:rFonts w:ascii="Arial" w:hAnsi="Arial" w:eastAsia="宋体" w:cs="Arial"/>
                <w:sz w:val="21"/>
                <w:szCs w:val="21"/>
              </w:rPr>
              <w:t>产生量（t/a）</w:t>
            </w:r>
          </w:p>
        </w:tc>
        <w:tc>
          <w:tcPr>
            <w:tcW w:w="552" w:type="pct"/>
            <w:vAlign w:val="center"/>
          </w:tcPr>
          <w:p w14:paraId="1DDF732A">
            <w:pPr>
              <w:spacing w:line="0" w:lineRule="atLeast"/>
              <w:jc w:val="center"/>
              <w:rPr>
                <w:rFonts w:ascii="Arial" w:hAnsi="Arial" w:eastAsia="宋体" w:cs="Arial"/>
                <w:sz w:val="21"/>
                <w:szCs w:val="21"/>
              </w:rPr>
            </w:pPr>
            <w:r>
              <w:rPr>
                <w:rFonts w:ascii="Arial" w:hAnsi="Arial" w:eastAsia="宋体" w:cs="Arial"/>
                <w:sz w:val="21"/>
                <w:szCs w:val="21"/>
              </w:rPr>
              <w:t>处理量（t/a）</w:t>
            </w:r>
          </w:p>
        </w:tc>
        <w:tc>
          <w:tcPr>
            <w:tcW w:w="551" w:type="pct"/>
            <w:vAlign w:val="center"/>
          </w:tcPr>
          <w:p w14:paraId="2051D462">
            <w:pPr>
              <w:spacing w:line="0" w:lineRule="atLeast"/>
              <w:jc w:val="center"/>
              <w:rPr>
                <w:rFonts w:ascii="Arial" w:hAnsi="Arial" w:eastAsia="宋体" w:cs="Arial"/>
                <w:sz w:val="21"/>
                <w:szCs w:val="21"/>
              </w:rPr>
            </w:pPr>
            <w:r>
              <w:rPr>
                <w:rFonts w:ascii="Arial" w:hAnsi="Arial" w:eastAsia="宋体" w:cs="Arial"/>
                <w:sz w:val="21"/>
                <w:szCs w:val="21"/>
              </w:rPr>
              <w:t>去向</w:t>
            </w:r>
          </w:p>
        </w:tc>
      </w:tr>
      <w:tr w14:paraId="4EE797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7" w:type="dxa"/>
          </w:tblCellMar>
        </w:tblPrEx>
        <w:trPr>
          <w:cantSplit/>
          <w:trHeight w:val="347" w:hRule="atLeast"/>
          <w:tblHeader/>
          <w:jc w:val="center"/>
        </w:trPr>
        <w:tc>
          <w:tcPr>
            <w:tcW w:w="661" w:type="pct"/>
            <w:tcMar>
              <w:left w:w="57" w:type="dxa"/>
              <w:right w:w="57" w:type="dxa"/>
            </w:tcMar>
            <w:vAlign w:val="center"/>
          </w:tcPr>
          <w:p w14:paraId="7F0E771B">
            <w:pPr>
              <w:spacing w:line="0" w:lineRule="atLeast"/>
              <w:jc w:val="center"/>
              <w:rPr>
                <w:rFonts w:ascii="Arial" w:hAnsi="Arial" w:eastAsia="宋体" w:cs="Arial"/>
                <w:sz w:val="21"/>
                <w:szCs w:val="21"/>
              </w:rPr>
            </w:pPr>
            <w:r>
              <w:rPr>
                <w:rFonts w:ascii="Arial" w:hAnsi="Arial" w:eastAsia="宋体" w:cs="Arial"/>
                <w:sz w:val="21"/>
                <w:szCs w:val="21"/>
              </w:rPr>
              <w:t>布袋除尘器</w:t>
            </w:r>
          </w:p>
        </w:tc>
        <w:tc>
          <w:tcPr>
            <w:tcW w:w="769" w:type="pct"/>
            <w:tcMar>
              <w:left w:w="57" w:type="dxa"/>
              <w:right w:w="57" w:type="dxa"/>
            </w:tcMar>
            <w:vAlign w:val="center"/>
          </w:tcPr>
          <w:p w14:paraId="68FC3806">
            <w:pPr>
              <w:spacing w:line="0" w:lineRule="atLeast"/>
              <w:jc w:val="center"/>
              <w:rPr>
                <w:rFonts w:ascii="Arial" w:hAnsi="Arial" w:eastAsia="宋体" w:cs="Arial"/>
                <w:sz w:val="21"/>
                <w:szCs w:val="21"/>
              </w:rPr>
            </w:pPr>
            <w:r>
              <w:rPr>
                <w:rFonts w:hint="eastAsia" w:ascii="Arial" w:hAnsi="Arial" w:eastAsia="宋体" w:cs="Arial"/>
                <w:sz w:val="21"/>
                <w:szCs w:val="21"/>
              </w:rPr>
              <w:t>收集粉尘</w:t>
            </w:r>
            <w:r>
              <w:rPr>
                <w:rFonts w:ascii="Arial" w:hAnsi="Arial" w:eastAsia="宋体" w:cs="Arial"/>
                <w:sz w:val="21"/>
                <w:szCs w:val="21"/>
              </w:rPr>
              <w:t>（S1-1）</w:t>
            </w:r>
          </w:p>
        </w:tc>
        <w:tc>
          <w:tcPr>
            <w:tcW w:w="807" w:type="pct"/>
            <w:tcMar>
              <w:left w:w="57" w:type="dxa"/>
              <w:right w:w="57" w:type="dxa"/>
            </w:tcMar>
            <w:vAlign w:val="center"/>
          </w:tcPr>
          <w:p w14:paraId="2EFE29B4">
            <w:pPr>
              <w:spacing w:line="0" w:lineRule="atLeast"/>
              <w:jc w:val="center"/>
              <w:rPr>
                <w:rFonts w:ascii="Arial" w:hAnsi="Arial" w:eastAsia="宋体" w:cs="Arial"/>
                <w:sz w:val="21"/>
                <w:szCs w:val="21"/>
              </w:rPr>
            </w:pPr>
            <w:r>
              <w:rPr>
                <w:rFonts w:hint="eastAsia" w:ascii="Arial" w:hAnsi="Arial" w:eastAsia="宋体" w:cs="Arial"/>
                <w:sz w:val="21"/>
                <w:szCs w:val="21"/>
              </w:rPr>
              <w:t>羟基钴</w:t>
            </w:r>
            <w:r>
              <w:rPr>
                <w:rFonts w:ascii="Arial" w:hAnsi="Arial" w:eastAsia="宋体" w:cs="Arial"/>
                <w:sz w:val="21"/>
                <w:szCs w:val="21"/>
              </w:rPr>
              <w:t>产品</w:t>
            </w:r>
          </w:p>
        </w:tc>
        <w:tc>
          <w:tcPr>
            <w:tcW w:w="1106" w:type="pct"/>
            <w:tcMar>
              <w:left w:w="57" w:type="dxa"/>
              <w:right w:w="57" w:type="dxa"/>
            </w:tcMar>
            <w:vAlign w:val="center"/>
          </w:tcPr>
          <w:p w14:paraId="6792AAF7">
            <w:pPr>
              <w:spacing w:line="0" w:lineRule="atLeast"/>
              <w:jc w:val="center"/>
              <w:rPr>
                <w:rFonts w:ascii="Arial" w:hAnsi="Arial" w:eastAsia="宋体" w:cs="Arial"/>
                <w:sz w:val="21"/>
                <w:szCs w:val="21"/>
              </w:rPr>
            </w:pPr>
            <w:r>
              <w:rPr>
                <w:rFonts w:ascii="Arial" w:hAnsi="Arial" w:eastAsia="宋体" w:cs="Arial"/>
                <w:kern w:val="0"/>
                <w:sz w:val="21"/>
                <w:szCs w:val="21"/>
              </w:rPr>
              <w:t>不作为固体废物管理</w:t>
            </w:r>
          </w:p>
        </w:tc>
        <w:tc>
          <w:tcPr>
            <w:tcW w:w="554" w:type="pct"/>
            <w:vAlign w:val="center"/>
          </w:tcPr>
          <w:p w14:paraId="00B5B800">
            <w:pPr>
              <w:spacing w:line="0" w:lineRule="atLeast"/>
              <w:jc w:val="center"/>
              <w:rPr>
                <w:rFonts w:ascii="Arial" w:hAnsi="Arial" w:eastAsia="宋体" w:cs="Arial"/>
                <w:sz w:val="21"/>
                <w:szCs w:val="21"/>
              </w:rPr>
            </w:pPr>
            <w:r>
              <w:rPr>
                <w:rFonts w:hint="eastAsia" w:ascii="Arial" w:hAnsi="Arial" w:eastAsia="宋体" w:cs="Arial"/>
                <w:sz w:val="21"/>
                <w:szCs w:val="21"/>
              </w:rPr>
              <w:t>1.062</w:t>
            </w:r>
          </w:p>
        </w:tc>
        <w:tc>
          <w:tcPr>
            <w:tcW w:w="552" w:type="pct"/>
            <w:vAlign w:val="center"/>
          </w:tcPr>
          <w:p w14:paraId="56608B8D">
            <w:pPr>
              <w:spacing w:line="0" w:lineRule="atLeast"/>
              <w:jc w:val="center"/>
              <w:rPr>
                <w:rFonts w:ascii="Arial" w:hAnsi="Arial" w:eastAsia="宋体" w:cs="Arial"/>
                <w:sz w:val="21"/>
                <w:szCs w:val="21"/>
              </w:rPr>
            </w:pPr>
            <w:r>
              <w:rPr>
                <w:rFonts w:hint="eastAsia" w:ascii="Arial" w:hAnsi="Arial" w:eastAsia="宋体" w:cs="Arial"/>
                <w:sz w:val="21"/>
                <w:szCs w:val="21"/>
              </w:rPr>
              <w:t>1.062</w:t>
            </w:r>
          </w:p>
        </w:tc>
        <w:tc>
          <w:tcPr>
            <w:tcW w:w="551" w:type="pct"/>
            <w:vAlign w:val="center"/>
          </w:tcPr>
          <w:p w14:paraId="50D678DD">
            <w:pPr>
              <w:spacing w:line="0" w:lineRule="atLeast"/>
              <w:jc w:val="center"/>
              <w:rPr>
                <w:rFonts w:ascii="Arial" w:hAnsi="Arial" w:eastAsia="宋体" w:cs="Arial"/>
                <w:sz w:val="21"/>
                <w:szCs w:val="21"/>
              </w:rPr>
            </w:pPr>
            <w:r>
              <w:rPr>
                <w:rFonts w:hint="eastAsia" w:ascii="Arial" w:hAnsi="Arial" w:eastAsia="宋体" w:cs="Arial"/>
                <w:sz w:val="21"/>
                <w:szCs w:val="21"/>
              </w:rPr>
              <w:t>X19车间回用</w:t>
            </w:r>
          </w:p>
        </w:tc>
      </w:tr>
      <w:tr w14:paraId="2BC9FD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7" w:type="dxa"/>
          </w:tblCellMar>
        </w:tblPrEx>
        <w:trPr>
          <w:cantSplit/>
          <w:trHeight w:val="347" w:hRule="atLeast"/>
          <w:tblHeader/>
          <w:jc w:val="center"/>
        </w:trPr>
        <w:tc>
          <w:tcPr>
            <w:tcW w:w="661" w:type="pct"/>
            <w:tcMar>
              <w:left w:w="57" w:type="dxa"/>
              <w:right w:w="57" w:type="dxa"/>
            </w:tcMar>
            <w:vAlign w:val="center"/>
          </w:tcPr>
          <w:p w14:paraId="25996167">
            <w:pPr>
              <w:spacing w:line="0" w:lineRule="atLeast"/>
              <w:jc w:val="center"/>
              <w:rPr>
                <w:rFonts w:ascii="Arial" w:hAnsi="Arial" w:eastAsia="宋体" w:cs="Arial"/>
                <w:sz w:val="21"/>
                <w:szCs w:val="21"/>
              </w:rPr>
            </w:pPr>
            <w:r>
              <w:rPr>
                <w:rFonts w:ascii="Arial" w:hAnsi="Arial" w:eastAsia="宋体" w:cs="Arial"/>
                <w:sz w:val="21"/>
                <w:szCs w:val="21"/>
              </w:rPr>
              <w:t>吸收塔</w:t>
            </w:r>
          </w:p>
        </w:tc>
        <w:tc>
          <w:tcPr>
            <w:tcW w:w="769" w:type="pct"/>
            <w:tcMar>
              <w:left w:w="57" w:type="dxa"/>
              <w:right w:w="57" w:type="dxa"/>
            </w:tcMar>
            <w:vAlign w:val="center"/>
          </w:tcPr>
          <w:p w14:paraId="083A63F2">
            <w:pPr>
              <w:spacing w:line="0" w:lineRule="atLeast"/>
              <w:jc w:val="center"/>
              <w:rPr>
                <w:rFonts w:ascii="Arial" w:hAnsi="Arial" w:eastAsia="宋体" w:cs="Arial"/>
                <w:sz w:val="21"/>
                <w:szCs w:val="21"/>
              </w:rPr>
            </w:pPr>
            <w:r>
              <w:rPr>
                <w:rFonts w:ascii="Arial" w:hAnsi="Arial" w:eastAsia="宋体" w:cs="Arial"/>
                <w:sz w:val="21"/>
                <w:szCs w:val="21"/>
              </w:rPr>
              <w:t>沉淀渣（S</w:t>
            </w:r>
            <w:r>
              <w:rPr>
                <w:rFonts w:hint="eastAsia" w:ascii="Arial" w:hAnsi="Arial" w:eastAsia="宋体" w:cs="Arial"/>
                <w:sz w:val="21"/>
                <w:szCs w:val="21"/>
              </w:rPr>
              <w:t>1-2</w:t>
            </w:r>
            <w:r>
              <w:rPr>
                <w:rFonts w:ascii="Arial" w:hAnsi="Arial" w:eastAsia="宋体" w:cs="Arial"/>
                <w:sz w:val="21"/>
                <w:szCs w:val="21"/>
              </w:rPr>
              <w:t>）</w:t>
            </w:r>
          </w:p>
        </w:tc>
        <w:tc>
          <w:tcPr>
            <w:tcW w:w="807" w:type="pct"/>
            <w:tcMar>
              <w:left w:w="57" w:type="dxa"/>
              <w:right w:w="57" w:type="dxa"/>
            </w:tcMar>
            <w:vAlign w:val="center"/>
          </w:tcPr>
          <w:p w14:paraId="4318DEE1">
            <w:pPr>
              <w:spacing w:line="0" w:lineRule="atLeast"/>
              <w:jc w:val="center"/>
              <w:rPr>
                <w:rFonts w:ascii="Arial" w:hAnsi="Arial" w:eastAsia="宋体" w:cs="Arial"/>
                <w:sz w:val="21"/>
                <w:szCs w:val="21"/>
              </w:rPr>
            </w:pPr>
            <w:r>
              <w:rPr>
                <w:rFonts w:hint="eastAsia" w:ascii="Arial" w:hAnsi="Arial" w:eastAsia="宋体" w:cs="Arial"/>
                <w:sz w:val="21"/>
                <w:szCs w:val="21"/>
              </w:rPr>
              <w:t>含Co滤渣</w:t>
            </w:r>
          </w:p>
        </w:tc>
        <w:tc>
          <w:tcPr>
            <w:tcW w:w="1106" w:type="pct"/>
            <w:tcMar>
              <w:left w:w="57" w:type="dxa"/>
              <w:right w:w="57" w:type="dxa"/>
            </w:tcMar>
            <w:vAlign w:val="center"/>
          </w:tcPr>
          <w:p w14:paraId="2C2B3EC6">
            <w:pPr>
              <w:spacing w:line="0" w:lineRule="atLeast"/>
              <w:jc w:val="center"/>
              <w:rPr>
                <w:rFonts w:ascii="Arial" w:hAnsi="Arial" w:eastAsia="宋体" w:cs="Arial"/>
                <w:kern w:val="0"/>
                <w:sz w:val="21"/>
                <w:szCs w:val="21"/>
              </w:rPr>
            </w:pPr>
            <w:r>
              <w:rPr>
                <w:rFonts w:ascii="Arial" w:hAnsi="Arial" w:eastAsia="宋体" w:cs="Arial"/>
                <w:kern w:val="0"/>
                <w:sz w:val="21"/>
                <w:szCs w:val="21"/>
              </w:rPr>
              <w:t>不作为固体废物管理</w:t>
            </w:r>
          </w:p>
        </w:tc>
        <w:tc>
          <w:tcPr>
            <w:tcW w:w="554" w:type="pct"/>
            <w:vAlign w:val="center"/>
          </w:tcPr>
          <w:p w14:paraId="1213EE06">
            <w:pPr>
              <w:spacing w:line="0" w:lineRule="atLeast"/>
              <w:jc w:val="center"/>
              <w:rPr>
                <w:rFonts w:ascii="Arial" w:hAnsi="Arial" w:eastAsia="宋体" w:cs="Arial"/>
                <w:sz w:val="21"/>
                <w:szCs w:val="21"/>
              </w:rPr>
            </w:pPr>
            <w:r>
              <w:rPr>
                <w:rFonts w:hint="eastAsia" w:ascii="Arial" w:hAnsi="Arial" w:eastAsia="宋体" w:cs="Arial"/>
                <w:sz w:val="21"/>
                <w:szCs w:val="21"/>
              </w:rPr>
              <w:t>14.834</w:t>
            </w:r>
          </w:p>
        </w:tc>
        <w:tc>
          <w:tcPr>
            <w:tcW w:w="552" w:type="pct"/>
            <w:vAlign w:val="center"/>
          </w:tcPr>
          <w:p w14:paraId="219F2995">
            <w:pPr>
              <w:spacing w:line="0" w:lineRule="atLeast"/>
              <w:jc w:val="center"/>
              <w:rPr>
                <w:rFonts w:ascii="Arial" w:hAnsi="Arial" w:eastAsia="宋体" w:cs="Arial"/>
                <w:sz w:val="21"/>
                <w:szCs w:val="21"/>
              </w:rPr>
            </w:pPr>
            <w:r>
              <w:rPr>
                <w:rFonts w:hint="eastAsia" w:ascii="Arial" w:hAnsi="Arial" w:eastAsia="宋体" w:cs="Arial"/>
                <w:sz w:val="21"/>
                <w:szCs w:val="21"/>
              </w:rPr>
              <w:t>14.834</w:t>
            </w:r>
          </w:p>
        </w:tc>
        <w:tc>
          <w:tcPr>
            <w:tcW w:w="551" w:type="pct"/>
            <w:vAlign w:val="center"/>
          </w:tcPr>
          <w:p w14:paraId="720B04F4">
            <w:pPr>
              <w:spacing w:line="0" w:lineRule="atLeast"/>
              <w:jc w:val="center"/>
              <w:rPr>
                <w:rFonts w:ascii="Arial" w:hAnsi="Arial" w:eastAsia="宋体" w:cs="Arial"/>
                <w:sz w:val="21"/>
                <w:szCs w:val="21"/>
              </w:rPr>
            </w:pPr>
            <w:r>
              <w:rPr>
                <w:rFonts w:hint="eastAsia" w:ascii="Arial" w:hAnsi="Arial" w:eastAsia="宋体" w:cs="Arial"/>
                <w:sz w:val="21"/>
                <w:szCs w:val="21"/>
              </w:rPr>
              <w:t>X13车间回用</w:t>
            </w:r>
          </w:p>
        </w:tc>
      </w:tr>
      <w:tr w14:paraId="1D73DC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7" w:type="dxa"/>
          </w:tblCellMar>
        </w:tblPrEx>
        <w:trPr>
          <w:cantSplit/>
          <w:trHeight w:val="347" w:hRule="atLeast"/>
          <w:tblHeader/>
          <w:jc w:val="center"/>
        </w:trPr>
        <w:tc>
          <w:tcPr>
            <w:tcW w:w="661" w:type="pct"/>
            <w:tcMar>
              <w:left w:w="57" w:type="dxa"/>
              <w:right w:w="57" w:type="dxa"/>
            </w:tcMar>
            <w:vAlign w:val="center"/>
          </w:tcPr>
          <w:p w14:paraId="7F20301C">
            <w:pPr>
              <w:spacing w:line="0" w:lineRule="atLeast"/>
              <w:jc w:val="center"/>
              <w:rPr>
                <w:rFonts w:ascii="Arial" w:hAnsi="Arial" w:eastAsia="宋体" w:cs="Arial"/>
                <w:sz w:val="21"/>
                <w:szCs w:val="21"/>
              </w:rPr>
            </w:pPr>
            <w:r>
              <w:rPr>
                <w:rFonts w:hint="eastAsia" w:ascii="Arial" w:hAnsi="Arial" w:eastAsia="宋体" w:cs="Arial"/>
                <w:sz w:val="21"/>
                <w:szCs w:val="21"/>
              </w:rPr>
              <w:t>精密过滤器</w:t>
            </w:r>
          </w:p>
        </w:tc>
        <w:tc>
          <w:tcPr>
            <w:tcW w:w="769" w:type="pct"/>
            <w:tcMar>
              <w:left w:w="57" w:type="dxa"/>
              <w:right w:w="57" w:type="dxa"/>
            </w:tcMar>
            <w:vAlign w:val="center"/>
          </w:tcPr>
          <w:p w14:paraId="10E2A467">
            <w:pPr>
              <w:spacing w:line="0" w:lineRule="atLeast"/>
              <w:jc w:val="center"/>
              <w:rPr>
                <w:rFonts w:ascii="Arial" w:hAnsi="Arial" w:eastAsia="宋体" w:cs="Arial"/>
                <w:sz w:val="21"/>
                <w:szCs w:val="21"/>
              </w:rPr>
            </w:pPr>
            <w:r>
              <w:rPr>
                <w:rFonts w:hint="eastAsia" w:ascii="Arial" w:hAnsi="Arial" w:eastAsia="宋体" w:cs="Arial"/>
                <w:sz w:val="21"/>
                <w:szCs w:val="21"/>
              </w:rPr>
              <w:t>微孔过滤膜（S1-3）</w:t>
            </w:r>
          </w:p>
        </w:tc>
        <w:tc>
          <w:tcPr>
            <w:tcW w:w="807" w:type="pct"/>
            <w:tcMar>
              <w:left w:w="57" w:type="dxa"/>
              <w:right w:w="57" w:type="dxa"/>
            </w:tcMar>
            <w:vAlign w:val="center"/>
          </w:tcPr>
          <w:p w14:paraId="61C9AB34">
            <w:pPr>
              <w:spacing w:line="0" w:lineRule="atLeast"/>
              <w:jc w:val="center"/>
              <w:rPr>
                <w:rFonts w:ascii="Arial" w:hAnsi="Arial" w:eastAsia="宋体" w:cs="Arial"/>
                <w:sz w:val="21"/>
                <w:szCs w:val="21"/>
              </w:rPr>
            </w:pPr>
            <w:r>
              <w:rPr>
                <w:rFonts w:hint="eastAsia" w:ascii="Arial" w:hAnsi="Arial" w:eastAsia="宋体" w:cs="Arial"/>
                <w:sz w:val="21"/>
                <w:szCs w:val="21"/>
              </w:rPr>
              <w:t>过滤膜</w:t>
            </w:r>
          </w:p>
        </w:tc>
        <w:tc>
          <w:tcPr>
            <w:tcW w:w="1106" w:type="pct"/>
            <w:tcMar>
              <w:left w:w="57" w:type="dxa"/>
              <w:right w:w="57" w:type="dxa"/>
            </w:tcMar>
            <w:vAlign w:val="center"/>
          </w:tcPr>
          <w:p w14:paraId="10B9D50B">
            <w:pPr>
              <w:spacing w:line="0" w:lineRule="atLeast"/>
              <w:jc w:val="center"/>
              <w:rPr>
                <w:rFonts w:ascii="Arial" w:hAnsi="Arial" w:eastAsia="宋体" w:cs="Arial"/>
                <w:kern w:val="0"/>
                <w:sz w:val="21"/>
                <w:szCs w:val="21"/>
              </w:rPr>
            </w:pPr>
            <w:r>
              <w:rPr>
                <w:rFonts w:hint="eastAsia" w:ascii="Arial" w:hAnsi="Arial" w:eastAsia="宋体" w:cs="Arial"/>
                <w:kern w:val="0"/>
                <w:sz w:val="21"/>
                <w:szCs w:val="21"/>
              </w:rPr>
              <w:t>一般工业固体废物</w:t>
            </w:r>
          </w:p>
          <w:p w14:paraId="442EB0BB">
            <w:pPr>
              <w:spacing w:line="0" w:lineRule="atLeast"/>
              <w:jc w:val="center"/>
              <w:rPr>
                <w:rFonts w:ascii="Arial" w:hAnsi="Arial" w:eastAsia="宋体" w:cs="Arial"/>
                <w:kern w:val="0"/>
                <w:sz w:val="21"/>
                <w:szCs w:val="21"/>
              </w:rPr>
            </w:pPr>
            <w:r>
              <w:rPr>
                <w:rFonts w:ascii="Arial" w:hAnsi="Arial" w:eastAsia="宋体" w:cs="Arial"/>
                <w:kern w:val="0"/>
                <w:sz w:val="21"/>
                <w:szCs w:val="21"/>
              </w:rPr>
              <w:t>900-009-S59</w:t>
            </w:r>
          </w:p>
        </w:tc>
        <w:tc>
          <w:tcPr>
            <w:tcW w:w="554" w:type="pct"/>
            <w:vAlign w:val="center"/>
          </w:tcPr>
          <w:p w14:paraId="4E3ED671">
            <w:pPr>
              <w:spacing w:line="0" w:lineRule="atLeast"/>
              <w:jc w:val="center"/>
              <w:rPr>
                <w:rFonts w:ascii="Arial" w:hAnsi="Arial" w:eastAsia="宋体" w:cs="Arial"/>
                <w:sz w:val="21"/>
                <w:szCs w:val="21"/>
              </w:rPr>
            </w:pPr>
            <w:r>
              <w:rPr>
                <w:rFonts w:hint="eastAsia" w:ascii="Arial" w:hAnsi="Arial" w:eastAsia="宋体" w:cs="Arial"/>
                <w:sz w:val="21"/>
                <w:szCs w:val="21"/>
              </w:rPr>
              <w:t>0.05</w:t>
            </w:r>
          </w:p>
        </w:tc>
        <w:tc>
          <w:tcPr>
            <w:tcW w:w="552" w:type="pct"/>
            <w:vAlign w:val="center"/>
          </w:tcPr>
          <w:p w14:paraId="5BB58517">
            <w:pPr>
              <w:spacing w:line="0" w:lineRule="atLeast"/>
              <w:jc w:val="center"/>
              <w:rPr>
                <w:rFonts w:ascii="Arial" w:hAnsi="Arial" w:eastAsia="宋体" w:cs="Arial"/>
                <w:sz w:val="21"/>
                <w:szCs w:val="21"/>
              </w:rPr>
            </w:pPr>
            <w:r>
              <w:rPr>
                <w:rFonts w:hint="eastAsia" w:ascii="Arial" w:hAnsi="Arial" w:eastAsia="宋体" w:cs="Arial"/>
                <w:sz w:val="21"/>
                <w:szCs w:val="21"/>
              </w:rPr>
              <w:t>0.05</w:t>
            </w:r>
          </w:p>
        </w:tc>
        <w:tc>
          <w:tcPr>
            <w:tcW w:w="551" w:type="pct"/>
            <w:vAlign w:val="center"/>
          </w:tcPr>
          <w:p w14:paraId="5DBFAD9A">
            <w:pPr>
              <w:spacing w:line="0" w:lineRule="atLeast"/>
              <w:jc w:val="center"/>
              <w:rPr>
                <w:rFonts w:ascii="Arial" w:hAnsi="Arial" w:eastAsia="宋体" w:cs="Arial"/>
                <w:sz w:val="21"/>
                <w:szCs w:val="21"/>
              </w:rPr>
            </w:pPr>
            <w:r>
              <w:rPr>
                <w:rFonts w:hint="eastAsia" w:ascii="Arial" w:hAnsi="Arial" w:eastAsia="宋体" w:cs="Arial"/>
                <w:sz w:val="21"/>
                <w:szCs w:val="21"/>
              </w:rPr>
              <w:t>委托处理</w:t>
            </w:r>
          </w:p>
        </w:tc>
      </w:tr>
      <w:tr w14:paraId="3BAFE8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7" w:type="dxa"/>
          </w:tblCellMar>
        </w:tblPrEx>
        <w:trPr>
          <w:cantSplit/>
          <w:trHeight w:val="347" w:hRule="atLeast"/>
          <w:tblHeader/>
          <w:jc w:val="center"/>
        </w:trPr>
        <w:tc>
          <w:tcPr>
            <w:tcW w:w="661" w:type="pct"/>
            <w:tcMar>
              <w:left w:w="57" w:type="dxa"/>
              <w:right w:w="57" w:type="dxa"/>
            </w:tcMar>
            <w:vAlign w:val="center"/>
          </w:tcPr>
          <w:p w14:paraId="00DF7931">
            <w:pPr>
              <w:spacing w:line="0" w:lineRule="atLeast"/>
              <w:jc w:val="center"/>
              <w:rPr>
                <w:rFonts w:ascii="Arial" w:hAnsi="Arial" w:eastAsia="宋体" w:cs="Arial"/>
                <w:sz w:val="21"/>
                <w:szCs w:val="21"/>
              </w:rPr>
            </w:pPr>
            <w:r>
              <w:rPr>
                <w:rFonts w:hint="eastAsia" w:ascii="Arial" w:hAnsi="Arial" w:eastAsia="宋体" w:cs="Arial"/>
                <w:sz w:val="21"/>
                <w:szCs w:val="21"/>
              </w:rPr>
              <w:t>精密过滤器</w:t>
            </w:r>
          </w:p>
          <w:p w14:paraId="1838F9FC">
            <w:pPr>
              <w:spacing w:line="0" w:lineRule="atLeast"/>
              <w:jc w:val="center"/>
              <w:rPr>
                <w:rFonts w:ascii="Arial" w:hAnsi="Arial" w:eastAsia="宋体" w:cs="Arial"/>
                <w:sz w:val="21"/>
                <w:szCs w:val="21"/>
              </w:rPr>
            </w:pPr>
            <w:r>
              <w:rPr>
                <w:rFonts w:hint="eastAsia" w:ascii="Arial" w:hAnsi="Arial" w:eastAsia="宋体" w:cs="Arial"/>
                <w:sz w:val="21"/>
                <w:szCs w:val="21"/>
              </w:rPr>
              <w:t>板框压滤机</w:t>
            </w:r>
          </w:p>
        </w:tc>
        <w:tc>
          <w:tcPr>
            <w:tcW w:w="769" w:type="pct"/>
            <w:tcMar>
              <w:left w:w="57" w:type="dxa"/>
              <w:right w:w="57" w:type="dxa"/>
            </w:tcMar>
            <w:vAlign w:val="center"/>
          </w:tcPr>
          <w:p w14:paraId="5CDB0054">
            <w:pPr>
              <w:spacing w:line="0" w:lineRule="atLeast"/>
              <w:jc w:val="center"/>
              <w:rPr>
                <w:rFonts w:ascii="Arial" w:hAnsi="Arial" w:eastAsia="宋体" w:cs="Arial"/>
                <w:sz w:val="21"/>
                <w:szCs w:val="21"/>
              </w:rPr>
            </w:pPr>
            <w:r>
              <w:rPr>
                <w:rFonts w:hint="eastAsia" w:ascii="Arial" w:hAnsi="Arial" w:eastAsia="宋体" w:cs="Arial"/>
                <w:sz w:val="21"/>
                <w:szCs w:val="21"/>
              </w:rPr>
              <w:t>滤渣（S1-4）</w:t>
            </w:r>
          </w:p>
        </w:tc>
        <w:tc>
          <w:tcPr>
            <w:tcW w:w="807" w:type="pct"/>
            <w:tcMar>
              <w:left w:w="57" w:type="dxa"/>
              <w:right w:w="57" w:type="dxa"/>
            </w:tcMar>
            <w:vAlign w:val="center"/>
          </w:tcPr>
          <w:p w14:paraId="58A87C4E">
            <w:pPr>
              <w:spacing w:line="0" w:lineRule="atLeast"/>
              <w:jc w:val="center"/>
              <w:rPr>
                <w:rFonts w:ascii="Arial" w:hAnsi="Arial" w:eastAsia="宋体" w:cs="Arial"/>
                <w:sz w:val="21"/>
                <w:szCs w:val="21"/>
              </w:rPr>
            </w:pPr>
            <w:r>
              <w:rPr>
                <w:rFonts w:hint="eastAsia" w:ascii="Arial" w:hAnsi="Arial" w:eastAsia="宋体" w:cs="Arial"/>
                <w:sz w:val="21"/>
                <w:szCs w:val="21"/>
              </w:rPr>
              <w:t>钴</w:t>
            </w:r>
          </w:p>
        </w:tc>
        <w:tc>
          <w:tcPr>
            <w:tcW w:w="1106" w:type="pct"/>
            <w:tcMar>
              <w:left w:w="57" w:type="dxa"/>
              <w:right w:w="57" w:type="dxa"/>
            </w:tcMar>
            <w:vAlign w:val="center"/>
          </w:tcPr>
          <w:p w14:paraId="52B5A024">
            <w:pPr>
              <w:spacing w:line="0" w:lineRule="atLeast"/>
              <w:jc w:val="center"/>
              <w:rPr>
                <w:rFonts w:ascii="Arial" w:hAnsi="Arial" w:eastAsia="宋体" w:cs="Arial"/>
                <w:sz w:val="21"/>
                <w:szCs w:val="21"/>
              </w:rPr>
            </w:pPr>
            <w:r>
              <w:rPr>
                <w:rFonts w:ascii="Arial" w:hAnsi="Arial" w:eastAsia="宋体" w:cs="Arial"/>
                <w:kern w:val="0"/>
                <w:sz w:val="21"/>
                <w:szCs w:val="21"/>
              </w:rPr>
              <w:t>不</w:t>
            </w:r>
            <w:r>
              <w:rPr>
                <w:rFonts w:hint="eastAsia" w:ascii="Arial" w:hAnsi="Arial" w:eastAsia="宋体" w:cs="Arial"/>
                <w:kern w:val="0"/>
                <w:sz w:val="21"/>
                <w:szCs w:val="21"/>
              </w:rPr>
              <w:t>按</w:t>
            </w:r>
            <w:r>
              <w:rPr>
                <w:rFonts w:ascii="Arial" w:hAnsi="Arial" w:eastAsia="宋体" w:cs="Arial"/>
                <w:kern w:val="0"/>
                <w:sz w:val="21"/>
                <w:szCs w:val="21"/>
              </w:rPr>
              <w:t>固体废物管理</w:t>
            </w:r>
          </w:p>
        </w:tc>
        <w:tc>
          <w:tcPr>
            <w:tcW w:w="554" w:type="pct"/>
            <w:vAlign w:val="center"/>
          </w:tcPr>
          <w:p w14:paraId="1CCD5CD2">
            <w:pPr>
              <w:spacing w:line="0" w:lineRule="atLeast"/>
              <w:jc w:val="center"/>
              <w:rPr>
                <w:rFonts w:ascii="Arial" w:hAnsi="Arial" w:eastAsia="宋体" w:cs="Arial"/>
                <w:sz w:val="21"/>
                <w:szCs w:val="21"/>
              </w:rPr>
            </w:pPr>
            <w:r>
              <w:rPr>
                <w:rFonts w:hint="eastAsia" w:ascii="Arial" w:hAnsi="Arial" w:eastAsia="宋体" w:cs="Arial"/>
                <w:sz w:val="21"/>
                <w:szCs w:val="21"/>
              </w:rPr>
              <w:t>1</w:t>
            </w:r>
            <w:r>
              <w:rPr>
                <w:rFonts w:ascii="Arial" w:hAnsi="Arial" w:eastAsia="宋体" w:cs="Arial"/>
                <w:sz w:val="21"/>
                <w:szCs w:val="21"/>
              </w:rPr>
              <w:t>.</w:t>
            </w:r>
            <w:r>
              <w:rPr>
                <w:rFonts w:hint="eastAsia" w:ascii="Arial" w:hAnsi="Arial" w:eastAsia="宋体" w:cs="Arial"/>
                <w:sz w:val="21"/>
                <w:szCs w:val="21"/>
              </w:rPr>
              <w:t>2</w:t>
            </w:r>
          </w:p>
        </w:tc>
        <w:tc>
          <w:tcPr>
            <w:tcW w:w="552" w:type="pct"/>
            <w:vAlign w:val="center"/>
          </w:tcPr>
          <w:p w14:paraId="0D6EB2AB">
            <w:pPr>
              <w:spacing w:line="0" w:lineRule="atLeast"/>
              <w:jc w:val="center"/>
              <w:rPr>
                <w:rFonts w:ascii="Arial" w:hAnsi="Arial" w:eastAsia="宋体" w:cs="Arial"/>
                <w:sz w:val="21"/>
                <w:szCs w:val="21"/>
              </w:rPr>
            </w:pPr>
            <w:r>
              <w:rPr>
                <w:rFonts w:hint="eastAsia" w:ascii="Arial" w:hAnsi="Arial" w:eastAsia="宋体" w:cs="Arial"/>
                <w:sz w:val="21"/>
                <w:szCs w:val="21"/>
              </w:rPr>
              <w:t>1</w:t>
            </w:r>
            <w:r>
              <w:rPr>
                <w:rFonts w:ascii="Arial" w:hAnsi="Arial" w:eastAsia="宋体" w:cs="Arial"/>
                <w:sz w:val="21"/>
                <w:szCs w:val="21"/>
              </w:rPr>
              <w:t>.</w:t>
            </w:r>
            <w:r>
              <w:rPr>
                <w:rFonts w:hint="eastAsia" w:ascii="Arial" w:hAnsi="Arial" w:eastAsia="宋体" w:cs="Arial"/>
                <w:sz w:val="21"/>
                <w:szCs w:val="21"/>
              </w:rPr>
              <w:t>2</w:t>
            </w:r>
          </w:p>
        </w:tc>
        <w:tc>
          <w:tcPr>
            <w:tcW w:w="551" w:type="pct"/>
            <w:vAlign w:val="center"/>
          </w:tcPr>
          <w:p w14:paraId="6AC8FD72">
            <w:pPr>
              <w:spacing w:line="0" w:lineRule="atLeast"/>
              <w:jc w:val="center"/>
              <w:rPr>
                <w:rFonts w:ascii="Arial" w:hAnsi="Arial" w:eastAsia="宋体" w:cs="Arial"/>
                <w:sz w:val="21"/>
                <w:szCs w:val="21"/>
              </w:rPr>
            </w:pPr>
            <w:r>
              <w:rPr>
                <w:rFonts w:hint="eastAsia" w:ascii="Arial" w:hAnsi="Arial" w:eastAsia="宋体" w:cs="Arial"/>
                <w:sz w:val="21"/>
                <w:szCs w:val="21"/>
              </w:rPr>
              <w:t>X19车间压滤</w:t>
            </w:r>
          </w:p>
        </w:tc>
      </w:tr>
      <w:tr w14:paraId="188927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7" w:type="dxa"/>
          </w:tblCellMar>
        </w:tblPrEx>
        <w:trPr>
          <w:cantSplit/>
          <w:trHeight w:val="347" w:hRule="atLeast"/>
          <w:tblHeader/>
          <w:jc w:val="center"/>
        </w:trPr>
        <w:tc>
          <w:tcPr>
            <w:tcW w:w="661" w:type="pct"/>
            <w:tcMar>
              <w:left w:w="57" w:type="dxa"/>
              <w:right w:w="57" w:type="dxa"/>
            </w:tcMar>
            <w:vAlign w:val="center"/>
          </w:tcPr>
          <w:p w14:paraId="6677CB38">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包装</w:t>
            </w:r>
          </w:p>
        </w:tc>
        <w:tc>
          <w:tcPr>
            <w:tcW w:w="769" w:type="pct"/>
            <w:tcMar>
              <w:left w:w="57" w:type="dxa"/>
              <w:right w:w="57" w:type="dxa"/>
            </w:tcMar>
            <w:vAlign w:val="center"/>
          </w:tcPr>
          <w:p w14:paraId="1CBC172F">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废包装袋（S1-5）</w:t>
            </w:r>
          </w:p>
        </w:tc>
        <w:tc>
          <w:tcPr>
            <w:tcW w:w="807" w:type="pct"/>
            <w:tcMar>
              <w:left w:w="57" w:type="dxa"/>
              <w:right w:w="57" w:type="dxa"/>
            </w:tcMar>
            <w:vAlign w:val="center"/>
          </w:tcPr>
          <w:p w14:paraId="76D238DE">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塑料</w:t>
            </w:r>
          </w:p>
        </w:tc>
        <w:tc>
          <w:tcPr>
            <w:tcW w:w="1106" w:type="pct"/>
            <w:tcMar>
              <w:left w:w="57" w:type="dxa"/>
              <w:right w:w="57" w:type="dxa"/>
            </w:tcMar>
            <w:vAlign w:val="center"/>
          </w:tcPr>
          <w:p w14:paraId="79DC91D5">
            <w:pPr>
              <w:spacing w:line="0" w:lineRule="atLeast"/>
              <w:jc w:val="center"/>
              <w:rPr>
                <w:rFonts w:ascii="Arial" w:hAnsi="Arial" w:eastAsia="宋体" w:cs="Arial"/>
                <w:kern w:val="0"/>
                <w:sz w:val="21"/>
                <w:szCs w:val="21"/>
                <w:u w:val="single"/>
              </w:rPr>
            </w:pPr>
            <w:r>
              <w:rPr>
                <w:rFonts w:hint="eastAsia" w:ascii="Arial" w:hAnsi="Arial" w:eastAsia="宋体" w:cs="Arial"/>
                <w:kern w:val="0"/>
                <w:sz w:val="21"/>
                <w:szCs w:val="21"/>
                <w:u w:val="single"/>
              </w:rPr>
              <w:t>一般工业固体废物</w:t>
            </w:r>
          </w:p>
          <w:p w14:paraId="1DD39BE1">
            <w:pPr>
              <w:spacing w:line="0" w:lineRule="atLeast"/>
              <w:jc w:val="center"/>
              <w:rPr>
                <w:rFonts w:ascii="Arial" w:hAnsi="Arial" w:eastAsia="宋体" w:cs="Arial"/>
                <w:kern w:val="0"/>
                <w:sz w:val="21"/>
                <w:szCs w:val="21"/>
                <w:u w:val="single"/>
              </w:rPr>
            </w:pPr>
            <w:r>
              <w:rPr>
                <w:rFonts w:ascii="Arial" w:hAnsi="Arial" w:eastAsia="宋体" w:cs="Arial"/>
                <w:kern w:val="0"/>
                <w:sz w:val="21"/>
                <w:szCs w:val="21"/>
                <w:u w:val="single"/>
              </w:rPr>
              <w:t>900-003-S17</w:t>
            </w:r>
          </w:p>
        </w:tc>
        <w:tc>
          <w:tcPr>
            <w:tcW w:w="554" w:type="pct"/>
            <w:vAlign w:val="center"/>
          </w:tcPr>
          <w:p w14:paraId="5A0FD82F">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29.57</w:t>
            </w:r>
          </w:p>
        </w:tc>
        <w:tc>
          <w:tcPr>
            <w:tcW w:w="552" w:type="pct"/>
            <w:vAlign w:val="center"/>
          </w:tcPr>
          <w:p w14:paraId="2CE56DEC">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29.57</w:t>
            </w:r>
          </w:p>
        </w:tc>
        <w:tc>
          <w:tcPr>
            <w:tcW w:w="551" w:type="pct"/>
            <w:vAlign w:val="center"/>
          </w:tcPr>
          <w:p w14:paraId="78B6D152">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废包装袋生产线</w:t>
            </w:r>
          </w:p>
        </w:tc>
      </w:tr>
      <w:tr w14:paraId="244A1D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7" w:type="dxa"/>
          </w:tblCellMar>
        </w:tblPrEx>
        <w:trPr>
          <w:cantSplit/>
          <w:trHeight w:val="347" w:hRule="atLeast"/>
          <w:tblHeader/>
          <w:jc w:val="center"/>
        </w:trPr>
        <w:tc>
          <w:tcPr>
            <w:tcW w:w="661" w:type="pct"/>
            <w:tcMar>
              <w:left w:w="57" w:type="dxa"/>
              <w:right w:w="57" w:type="dxa"/>
            </w:tcMar>
            <w:vAlign w:val="center"/>
          </w:tcPr>
          <w:p w14:paraId="60C7FA32">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沉降粉尘</w:t>
            </w:r>
          </w:p>
        </w:tc>
        <w:tc>
          <w:tcPr>
            <w:tcW w:w="769" w:type="pct"/>
            <w:tcMar>
              <w:left w:w="57" w:type="dxa"/>
              <w:right w:w="57" w:type="dxa"/>
            </w:tcMar>
            <w:vAlign w:val="center"/>
          </w:tcPr>
          <w:p w14:paraId="72D6487F">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沉降粉尘（S1-6）</w:t>
            </w:r>
          </w:p>
        </w:tc>
        <w:tc>
          <w:tcPr>
            <w:tcW w:w="807" w:type="pct"/>
            <w:tcMar>
              <w:left w:w="57" w:type="dxa"/>
              <w:right w:w="57" w:type="dxa"/>
            </w:tcMar>
            <w:vAlign w:val="center"/>
          </w:tcPr>
          <w:p w14:paraId="21A82567">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钴</w:t>
            </w:r>
          </w:p>
        </w:tc>
        <w:tc>
          <w:tcPr>
            <w:tcW w:w="1106" w:type="pct"/>
            <w:tcMar>
              <w:left w:w="57" w:type="dxa"/>
              <w:right w:w="57" w:type="dxa"/>
            </w:tcMar>
            <w:vAlign w:val="center"/>
          </w:tcPr>
          <w:p w14:paraId="4AAF9E3C">
            <w:pPr>
              <w:spacing w:line="0" w:lineRule="atLeast"/>
              <w:jc w:val="center"/>
              <w:rPr>
                <w:rFonts w:ascii="Arial" w:hAnsi="Arial" w:eastAsia="宋体" w:cs="Arial"/>
                <w:kern w:val="0"/>
                <w:sz w:val="21"/>
                <w:szCs w:val="21"/>
                <w:u w:val="single"/>
              </w:rPr>
            </w:pPr>
            <w:r>
              <w:rPr>
                <w:rFonts w:hint="eastAsia" w:ascii="Arial" w:hAnsi="Arial" w:eastAsia="宋体" w:cs="Arial"/>
                <w:kern w:val="0"/>
                <w:sz w:val="21"/>
                <w:szCs w:val="21"/>
                <w:u w:val="single"/>
              </w:rPr>
              <w:t>一般工业固体废物</w:t>
            </w:r>
          </w:p>
          <w:p w14:paraId="4E563804">
            <w:pPr>
              <w:spacing w:line="0" w:lineRule="atLeast"/>
              <w:jc w:val="center"/>
              <w:rPr>
                <w:rFonts w:ascii="Arial" w:hAnsi="Arial" w:eastAsia="宋体" w:cs="Arial"/>
                <w:kern w:val="0"/>
                <w:sz w:val="21"/>
                <w:szCs w:val="21"/>
                <w:u w:val="single"/>
              </w:rPr>
            </w:pPr>
            <w:r>
              <w:rPr>
                <w:rFonts w:hint="eastAsia" w:ascii="Arial" w:hAnsi="Arial" w:eastAsia="宋体" w:cs="Arial"/>
                <w:kern w:val="0"/>
                <w:sz w:val="21"/>
                <w:szCs w:val="21"/>
                <w:u w:val="single"/>
              </w:rPr>
              <w:t>900-002-S17</w:t>
            </w:r>
          </w:p>
        </w:tc>
        <w:tc>
          <w:tcPr>
            <w:tcW w:w="554" w:type="pct"/>
            <w:vAlign w:val="center"/>
          </w:tcPr>
          <w:p w14:paraId="5CAFD196">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0.12</w:t>
            </w:r>
          </w:p>
        </w:tc>
        <w:tc>
          <w:tcPr>
            <w:tcW w:w="552" w:type="pct"/>
            <w:vAlign w:val="center"/>
          </w:tcPr>
          <w:p w14:paraId="6008430E">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0.12</w:t>
            </w:r>
          </w:p>
        </w:tc>
        <w:tc>
          <w:tcPr>
            <w:tcW w:w="551" w:type="pct"/>
            <w:vAlign w:val="center"/>
          </w:tcPr>
          <w:p w14:paraId="38014894">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X19车间回用</w:t>
            </w:r>
          </w:p>
        </w:tc>
      </w:tr>
      <w:tr w14:paraId="17652E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7" w:type="dxa"/>
          </w:tblCellMar>
        </w:tblPrEx>
        <w:trPr>
          <w:cantSplit/>
          <w:trHeight w:val="347" w:hRule="atLeast"/>
          <w:tblHeader/>
          <w:jc w:val="center"/>
        </w:trPr>
        <w:tc>
          <w:tcPr>
            <w:tcW w:w="661" w:type="pct"/>
            <w:tcMar>
              <w:left w:w="57" w:type="dxa"/>
              <w:right w:w="57" w:type="dxa"/>
            </w:tcMar>
            <w:vAlign w:val="center"/>
          </w:tcPr>
          <w:p w14:paraId="4A4B1EEC">
            <w:pPr>
              <w:spacing w:line="0" w:lineRule="atLeast"/>
              <w:jc w:val="center"/>
              <w:rPr>
                <w:rFonts w:ascii="Arial" w:hAnsi="Arial" w:eastAsia="宋体" w:cs="Arial"/>
                <w:sz w:val="21"/>
                <w:szCs w:val="21"/>
              </w:rPr>
            </w:pPr>
            <w:r>
              <w:rPr>
                <w:rFonts w:ascii="Arial" w:hAnsi="Arial" w:eastAsia="宋体" w:cs="Arial"/>
                <w:sz w:val="21"/>
                <w:szCs w:val="21"/>
              </w:rPr>
              <w:t>设备维修</w:t>
            </w:r>
          </w:p>
        </w:tc>
        <w:tc>
          <w:tcPr>
            <w:tcW w:w="769" w:type="pct"/>
            <w:tcMar>
              <w:left w:w="57" w:type="dxa"/>
              <w:right w:w="57" w:type="dxa"/>
            </w:tcMar>
            <w:vAlign w:val="center"/>
          </w:tcPr>
          <w:p w14:paraId="3EEE3194">
            <w:pPr>
              <w:pStyle w:val="5"/>
              <w:adjustRightInd w:val="0"/>
              <w:snapToGrid w:val="0"/>
              <w:spacing w:line="240" w:lineRule="auto"/>
              <w:ind w:firstLine="0"/>
              <w:jc w:val="center"/>
              <w:rPr>
                <w:sz w:val="21"/>
                <w:szCs w:val="21"/>
              </w:rPr>
            </w:pPr>
            <w:r>
              <w:rPr>
                <w:sz w:val="21"/>
                <w:szCs w:val="21"/>
              </w:rPr>
              <w:t>废润滑油（S</w:t>
            </w:r>
            <w:r>
              <w:rPr>
                <w:rFonts w:hint="eastAsia"/>
                <w:sz w:val="21"/>
                <w:szCs w:val="21"/>
              </w:rPr>
              <w:t>2</w:t>
            </w:r>
            <w:r>
              <w:rPr>
                <w:sz w:val="21"/>
                <w:szCs w:val="21"/>
              </w:rPr>
              <w:t>-1）</w:t>
            </w:r>
          </w:p>
        </w:tc>
        <w:tc>
          <w:tcPr>
            <w:tcW w:w="807" w:type="pct"/>
            <w:tcMar>
              <w:left w:w="57" w:type="dxa"/>
              <w:right w:w="57" w:type="dxa"/>
            </w:tcMar>
            <w:vAlign w:val="center"/>
          </w:tcPr>
          <w:p w14:paraId="52F0DF8B">
            <w:pPr>
              <w:pStyle w:val="5"/>
              <w:adjustRightInd w:val="0"/>
              <w:snapToGrid w:val="0"/>
              <w:spacing w:line="240" w:lineRule="auto"/>
              <w:ind w:firstLine="0"/>
              <w:jc w:val="center"/>
              <w:rPr>
                <w:sz w:val="21"/>
                <w:szCs w:val="21"/>
              </w:rPr>
            </w:pPr>
            <w:r>
              <w:rPr>
                <w:sz w:val="21"/>
                <w:szCs w:val="21"/>
              </w:rPr>
              <w:t>废润滑油</w:t>
            </w:r>
          </w:p>
        </w:tc>
        <w:tc>
          <w:tcPr>
            <w:tcW w:w="1106" w:type="pct"/>
            <w:tcMar>
              <w:left w:w="57" w:type="dxa"/>
              <w:right w:w="57" w:type="dxa"/>
            </w:tcMar>
            <w:vAlign w:val="center"/>
          </w:tcPr>
          <w:p w14:paraId="7DBCBD18">
            <w:pPr>
              <w:spacing w:line="0" w:lineRule="atLeast"/>
              <w:jc w:val="center"/>
              <w:rPr>
                <w:rFonts w:ascii="Arial" w:hAnsi="Arial" w:eastAsia="宋体" w:cs="Arial"/>
                <w:kern w:val="0"/>
                <w:sz w:val="21"/>
                <w:szCs w:val="21"/>
              </w:rPr>
            </w:pPr>
            <w:r>
              <w:rPr>
                <w:rFonts w:ascii="Arial" w:hAnsi="Arial" w:eastAsia="宋体" w:cs="Arial"/>
                <w:kern w:val="0"/>
                <w:sz w:val="21"/>
                <w:szCs w:val="21"/>
              </w:rPr>
              <w:t>危险废物900-214-08</w:t>
            </w:r>
          </w:p>
        </w:tc>
        <w:tc>
          <w:tcPr>
            <w:tcW w:w="554" w:type="pct"/>
            <w:vAlign w:val="center"/>
          </w:tcPr>
          <w:p w14:paraId="4CAF4D9C">
            <w:pPr>
              <w:spacing w:line="0" w:lineRule="atLeast"/>
              <w:jc w:val="center"/>
              <w:rPr>
                <w:rFonts w:ascii="Arial" w:hAnsi="Arial" w:eastAsia="宋体" w:cs="Arial"/>
                <w:sz w:val="21"/>
                <w:szCs w:val="21"/>
              </w:rPr>
            </w:pPr>
            <w:r>
              <w:rPr>
                <w:rFonts w:hint="eastAsia" w:ascii="Arial" w:hAnsi="Arial" w:eastAsia="宋体" w:cs="Arial"/>
                <w:sz w:val="21"/>
                <w:szCs w:val="21"/>
              </w:rPr>
              <w:t>0.5</w:t>
            </w:r>
          </w:p>
        </w:tc>
        <w:tc>
          <w:tcPr>
            <w:tcW w:w="552" w:type="pct"/>
            <w:vAlign w:val="center"/>
          </w:tcPr>
          <w:p w14:paraId="7C41384E">
            <w:pPr>
              <w:spacing w:line="0" w:lineRule="atLeast"/>
              <w:jc w:val="center"/>
              <w:rPr>
                <w:rFonts w:ascii="Arial" w:hAnsi="Arial" w:eastAsia="宋体" w:cs="Arial"/>
                <w:sz w:val="21"/>
                <w:szCs w:val="21"/>
              </w:rPr>
            </w:pPr>
            <w:r>
              <w:rPr>
                <w:rFonts w:hint="eastAsia" w:ascii="Arial" w:hAnsi="Arial" w:eastAsia="宋体" w:cs="Arial"/>
                <w:sz w:val="21"/>
                <w:szCs w:val="21"/>
              </w:rPr>
              <w:t>0.5</w:t>
            </w:r>
          </w:p>
        </w:tc>
        <w:tc>
          <w:tcPr>
            <w:tcW w:w="551" w:type="pct"/>
            <w:vAlign w:val="center"/>
          </w:tcPr>
          <w:p w14:paraId="6D19F1FB">
            <w:pPr>
              <w:spacing w:line="0" w:lineRule="atLeast"/>
              <w:jc w:val="center"/>
              <w:rPr>
                <w:rFonts w:ascii="Arial" w:hAnsi="Arial" w:eastAsia="宋体" w:cs="Arial"/>
                <w:sz w:val="21"/>
                <w:szCs w:val="21"/>
              </w:rPr>
            </w:pPr>
            <w:r>
              <w:rPr>
                <w:rFonts w:ascii="Arial" w:hAnsi="Arial" w:eastAsia="宋体" w:cs="Arial"/>
                <w:sz w:val="21"/>
                <w:szCs w:val="21"/>
              </w:rPr>
              <w:t>委托处理</w:t>
            </w:r>
          </w:p>
        </w:tc>
      </w:tr>
      <w:tr w14:paraId="3AAE7D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7" w:type="dxa"/>
          </w:tblCellMar>
        </w:tblPrEx>
        <w:trPr>
          <w:cantSplit/>
          <w:trHeight w:val="347" w:hRule="atLeast"/>
          <w:tblHeader/>
          <w:jc w:val="center"/>
        </w:trPr>
        <w:tc>
          <w:tcPr>
            <w:tcW w:w="661" w:type="pct"/>
            <w:tcMar>
              <w:left w:w="57" w:type="dxa"/>
              <w:right w:w="57" w:type="dxa"/>
            </w:tcMar>
            <w:vAlign w:val="center"/>
          </w:tcPr>
          <w:p w14:paraId="1FC461F4">
            <w:pPr>
              <w:spacing w:line="0" w:lineRule="atLeast"/>
              <w:jc w:val="center"/>
              <w:rPr>
                <w:rFonts w:ascii="Arial" w:hAnsi="Arial" w:eastAsia="宋体" w:cs="Arial"/>
                <w:sz w:val="21"/>
                <w:szCs w:val="21"/>
              </w:rPr>
            </w:pPr>
            <w:r>
              <w:rPr>
                <w:rFonts w:ascii="Arial" w:hAnsi="Arial" w:eastAsia="宋体" w:cs="Arial"/>
                <w:sz w:val="21"/>
                <w:szCs w:val="21"/>
              </w:rPr>
              <w:t>员工</w:t>
            </w:r>
          </w:p>
        </w:tc>
        <w:tc>
          <w:tcPr>
            <w:tcW w:w="769" w:type="pct"/>
            <w:tcMar>
              <w:left w:w="57" w:type="dxa"/>
              <w:right w:w="57" w:type="dxa"/>
            </w:tcMar>
            <w:vAlign w:val="center"/>
          </w:tcPr>
          <w:p w14:paraId="4BEE9CEA">
            <w:pPr>
              <w:pStyle w:val="5"/>
              <w:adjustRightInd w:val="0"/>
              <w:snapToGrid w:val="0"/>
              <w:spacing w:line="240" w:lineRule="auto"/>
              <w:ind w:firstLine="0"/>
              <w:jc w:val="center"/>
              <w:rPr>
                <w:sz w:val="21"/>
                <w:szCs w:val="21"/>
              </w:rPr>
            </w:pPr>
            <w:r>
              <w:rPr>
                <w:sz w:val="21"/>
                <w:szCs w:val="21"/>
              </w:rPr>
              <w:t>生活垃圾（S</w:t>
            </w:r>
            <w:r>
              <w:rPr>
                <w:rFonts w:hint="eastAsia"/>
                <w:sz w:val="21"/>
                <w:szCs w:val="21"/>
              </w:rPr>
              <w:t>2</w:t>
            </w:r>
            <w:r>
              <w:rPr>
                <w:sz w:val="21"/>
                <w:szCs w:val="21"/>
              </w:rPr>
              <w:t>-2）</w:t>
            </w:r>
          </w:p>
        </w:tc>
        <w:tc>
          <w:tcPr>
            <w:tcW w:w="807" w:type="pct"/>
            <w:tcMar>
              <w:left w:w="57" w:type="dxa"/>
              <w:right w:w="57" w:type="dxa"/>
            </w:tcMar>
            <w:vAlign w:val="center"/>
          </w:tcPr>
          <w:p w14:paraId="1C069D98">
            <w:pPr>
              <w:pStyle w:val="5"/>
              <w:adjustRightInd w:val="0"/>
              <w:snapToGrid w:val="0"/>
              <w:spacing w:line="240" w:lineRule="auto"/>
              <w:ind w:firstLine="0"/>
              <w:jc w:val="center"/>
              <w:rPr>
                <w:sz w:val="21"/>
                <w:szCs w:val="21"/>
              </w:rPr>
            </w:pPr>
            <w:r>
              <w:rPr>
                <w:sz w:val="21"/>
                <w:szCs w:val="21"/>
              </w:rPr>
              <w:t>生活垃圾</w:t>
            </w:r>
          </w:p>
        </w:tc>
        <w:tc>
          <w:tcPr>
            <w:tcW w:w="1106" w:type="pct"/>
            <w:tcMar>
              <w:left w:w="57" w:type="dxa"/>
              <w:right w:w="57" w:type="dxa"/>
            </w:tcMar>
            <w:vAlign w:val="center"/>
          </w:tcPr>
          <w:p w14:paraId="44D888DD">
            <w:pPr>
              <w:spacing w:line="0" w:lineRule="atLeast"/>
              <w:jc w:val="center"/>
              <w:rPr>
                <w:rFonts w:ascii="Arial" w:hAnsi="Arial" w:eastAsia="宋体" w:cs="Arial"/>
                <w:kern w:val="0"/>
                <w:sz w:val="21"/>
                <w:szCs w:val="21"/>
              </w:rPr>
            </w:pPr>
            <w:r>
              <w:rPr>
                <w:rFonts w:ascii="Arial" w:hAnsi="Arial" w:eastAsia="宋体" w:cs="Arial"/>
                <w:kern w:val="0"/>
                <w:sz w:val="21"/>
                <w:szCs w:val="21"/>
              </w:rPr>
              <w:t>生活垃圾</w:t>
            </w:r>
          </w:p>
        </w:tc>
        <w:tc>
          <w:tcPr>
            <w:tcW w:w="554" w:type="pct"/>
            <w:vAlign w:val="center"/>
          </w:tcPr>
          <w:p w14:paraId="42076C6A">
            <w:pPr>
              <w:spacing w:line="0" w:lineRule="atLeast"/>
              <w:jc w:val="center"/>
              <w:rPr>
                <w:rFonts w:ascii="Arial" w:hAnsi="Arial" w:eastAsia="宋体" w:cs="Arial"/>
                <w:sz w:val="21"/>
                <w:szCs w:val="21"/>
              </w:rPr>
            </w:pPr>
            <w:r>
              <w:rPr>
                <w:rFonts w:hint="eastAsia" w:ascii="Arial" w:hAnsi="Arial" w:eastAsia="宋体" w:cs="Arial"/>
                <w:sz w:val="21"/>
                <w:szCs w:val="21"/>
              </w:rPr>
              <w:t>10</w:t>
            </w:r>
          </w:p>
        </w:tc>
        <w:tc>
          <w:tcPr>
            <w:tcW w:w="552" w:type="pct"/>
            <w:vAlign w:val="center"/>
          </w:tcPr>
          <w:p w14:paraId="31D6E817">
            <w:pPr>
              <w:spacing w:line="0" w:lineRule="atLeast"/>
              <w:jc w:val="center"/>
              <w:rPr>
                <w:rFonts w:ascii="Arial" w:hAnsi="Arial" w:eastAsia="宋体" w:cs="Arial"/>
                <w:sz w:val="21"/>
                <w:szCs w:val="21"/>
              </w:rPr>
            </w:pPr>
            <w:r>
              <w:rPr>
                <w:rFonts w:hint="eastAsia" w:ascii="Arial" w:hAnsi="Arial" w:eastAsia="宋体" w:cs="Arial"/>
                <w:sz w:val="21"/>
                <w:szCs w:val="21"/>
              </w:rPr>
              <w:t>10</w:t>
            </w:r>
          </w:p>
        </w:tc>
        <w:tc>
          <w:tcPr>
            <w:tcW w:w="551" w:type="pct"/>
            <w:vAlign w:val="center"/>
          </w:tcPr>
          <w:p w14:paraId="1C927C12">
            <w:pPr>
              <w:spacing w:line="0" w:lineRule="atLeast"/>
              <w:jc w:val="center"/>
              <w:rPr>
                <w:rFonts w:ascii="Arial" w:hAnsi="Arial" w:eastAsia="宋体" w:cs="Arial"/>
                <w:sz w:val="21"/>
                <w:szCs w:val="21"/>
              </w:rPr>
            </w:pPr>
            <w:r>
              <w:rPr>
                <w:rFonts w:ascii="Arial" w:hAnsi="Arial" w:eastAsia="宋体" w:cs="Arial"/>
                <w:sz w:val="21"/>
                <w:szCs w:val="21"/>
              </w:rPr>
              <w:t>委托处理</w:t>
            </w:r>
          </w:p>
        </w:tc>
      </w:tr>
    </w:tbl>
    <w:p w14:paraId="5310A156">
      <w:pPr>
        <w:pStyle w:val="5"/>
        <w:numPr>
          <w:ilvl w:val="1"/>
          <w:numId w:val="27"/>
        </w:numPr>
        <w:spacing w:line="500" w:lineRule="exact"/>
        <w:ind w:left="0" w:firstLine="0"/>
        <w:outlineLvl w:val="3"/>
        <w:rPr>
          <w:b/>
        </w:rPr>
      </w:pPr>
      <w:r>
        <w:rPr>
          <w:rFonts w:hint="eastAsia"/>
          <w:b/>
        </w:rPr>
        <w:t>一般</w:t>
      </w:r>
      <w:r>
        <w:rPr>
          <w:b/>
        </w:rPr>
        <w:t>工业固体废物</w:t>
      </w:r>
    </w:p>
    <w:p w14:paraId="400A4F49">
      <w:pPr>
        <w:pStyle w:val="5"/>
        <w:spacing w:line="500" w:lineRule="exact"/>
        <w:ind w:firstLine="490" w:firstLineChars="200"/>
      </w:pPr>
      <w:r>
        <w:rPr>
          <w:szCs w:val="24"/>
          <w:u w:val="single"/>
        </w:rPr>
        <w:t>本项目产生的</w:t>
      </w:r>
      <w:r>
        <w:rPr>
          <w:rFonts w:hint="eastAsia"/>
          <w:szCs w:val="24"/>
          <w:u w:val="single"/>
        </w:rPr>
        <w:t>一般工业固体废物主要为</w:t>
      </w:r>
      <w:r>
        <w:rPr>
          <w:rFonts w:hint="eastAsia"/>
          <w:u w:val="single"/>
        </w:rPr>
        <w:t>精密过滤器通过设备上的微孔过滤膜、废包装袋和沉降粉尘。微孔过滤膜（废物代码</w:t>
      </w:r>
      <w:r>
        <w:rPr>
          <w:u w:val="single"/>
        </w:rPr>
        <w:t>900-009-S59</w:t>
      </w:r>
      <w:r>
        <w:rPr>
          <w:rFonts w:hint="eastAsia"/>
          <w:u w:val="single"/>
        </w:rPr>
        <w:t>）约每年更换一次，产生量约为0.05t/a，委托一般工业固体废物单位</w:t>
      </w:r>
      <w:r>
        <w:rPr>
          <w:bCs/>
          <w:u w:val="single"/>
        </w:rPr>
        <w:t>综合处理</w:t>
      </w:r>
      <w:r>
        <w:rPr>
          <w:rFonts w:hint="eastAsia"/>
          <w:bCs/>
          <w:u w:val="single"/>
        </w:rPr>
        <w:t>；</w:t>
      </w:r>
      <w:r>
        <w:rPr>
          <w:bCs/>
          <w:u w:val="single"/>
        </w:rPr>
        <w:t>废包装袋（</w:t>
      </w:r>
      <w:r>
        <w:rPr>
          <w:rFonts w:hint="eastAsia"/>
          <w:u w:val="single"/>
        </w:rPr>
        <w:t>废物代码</w:t>
      </w:r>
      <w:r>
        <w:rPr>
          <w:u w:val="single"/>
        </w:rPr>
        <w:t>900-003-S17</w:t>
      </w:r>
      <w:r>
        <w:rPr>
          <w:bCs/>
          <w:u w:val="single"/>
        </w:rPr>
        <w:t>）产生量为</w:t>
      </w:r>
      <w:r>
        <w:rPr>
          <w:rFonts w:hint="eastAsia"/>
          <w:bCs/>
          <w:u w:val="single"/>
        </w:rPr>
        <w:t>29.57t/a（约147843个/a），</w:t>
      </w:r>
      <w:r>
        <w:rPr>
          <w:rFonts w:hint="eastAsia"/>
          <w:u w:val="single"/>
        </w:rPr>
        <w:t>经收集后定期送入位于地块三废包装袋生产线回用；车间沉降粉尘（废物代码</w:t>
      </w:r>
      <w:r>
        <w:rPr>
          <w:u w:val="single"/>
        </w:rPr>
        <w:t>900-002-S17</w:t>
      </w:r>
      <w:r>
        <w:rPr>
          <w:rFonts w:hint="eastAsia"/>
          <w:u w:val="single"/>
        </w:rPr>
        <w:t>）产生量为0.12t/a，经车间吸尘器收集后定期送入溶解车间回用。</w:t>
      </w:r>
    </w:p>
    <w:p w14:paraId="669084B3">
      <w:pPr>
        <w:pStyle w:val="5"/>
        <w:numPr>
          <w:ilvl w:val="1"/>
          <w:numId w:val="27"/>
        </w:numPr>
        <w:spacing w:line="500" w:lineRule="exact"/>
        <w:ind w:left="0" w:firstLine="0"/>
        <w:outlineLvl w:val="3"/>
        <w:rPr>
          <w:b/>
        </w:rPr>
      </w:pPr>
      <w:r>
        <w:rPr>
          <w:b/>
        </w:rPr>
        <w:t>危险废物</w:t>
      </w:r>
    </w:p>
    <w:p w14:paraId="513FB76B">
      <w:pPr>
        <w:pStyle w:val="5"/>
        <w:spacing w:line="500" w:lineRule="exact"/>
        <w:ind w:firstLine="490" w:firstLineChars="200"/>
      </w:pPr>
      <w:r>
        <w:t>1、产生情况</w:t>
      </w:r>
    </w:p>
    <w:p w14:paraId="146C6F65">
      <w:pPr>
        <w:pStyle w:val="5"/>
        <w:spacing w:line="500" w:lineRule="exact"/>
        <w:ind w:firstLine="490" w:firstLineChars="200"/>
      </w:pPr>
      <w:r>
        <w:t>本项目产生的危废主要为废润滑油，废润滑油为机械设备维修、保养过程中产生，产生量为</w:t>
      </w:r>
      <w:r>
        <w:rPr>
          <w:rFonts w:hint="eastAsia"/>
        </w:rPr>
        <w:t>0.5</w:t>
      </w:r>
      <w:r>
        <w:t>t/a。</w:t>
      </w:r>
    </w:p>
    <w:p w14:paraId="1EFA4245">
      <w:pPr>
        <w:pStyle w:val="5"/>
        <w:spacing w:line="500" w:lineRule="exact"/>
        <w:ind w:firstLine="490" w:firstLineChars="200"/>
      </w:pPr>
      <w:r>
        <w:t>2、收集方式</w:t>
      </w:r>
    </w:p>
    <w:p w14:paraId="01CD1CF9">
      <w:pPr>
        <w:pStyle w:val="5"/>
        <w:spacing w:line="500" w:lineRule="exact"/>
        <w:ind w:firstLine="490" w:firstLineChars="200"/>
      </w:pPr>
      <w:r>
        <w:t>废润滑油采用密闭油桶收集，暂存危废暂存间临时储存。</w:t>
      </w:r>
    </w:p>
    <w:p w14:paraId="34DD3002">
      <w:pPr>
        <w:pStyle w:val="5"/>
        <w:spacing w:line="500" w:lineRule="exact"/>
        <w:ind w:firstLine="490" w:firstLineChars="200"/>
      </w:pPr>
      <w:r>
        <w:t>3、危险废物临时贮存场所</w:t>
      </w:r>
    </w:p>
    <w:p w14:paraId="2487955F">
      <w:pPr>
        <w:pStyle w:val="5"/>
        <w:spacing w:line="500" w:lineRule="exact"/>
        <w:ind w:firstLine="490" w:firstLineChars="200"/>
      </w:pPr>
      <w:r>
        <w:t>废润滑油密闭收集后，暂存于现有工程危废暂存间，危废暂存间为位于地块二西侧，面积约为800m</w:t>
      </w:r>
      <w:r>
        <w:rPr>
          <w:vertAlign w:val="superscript"/>
        </w:rPr>
        <w:t>2</w:t>
      </w:r>
      <w:r>
        <w:t>，设计危废最大储存量约为1000t；其中废润滑油储存能力</w:t>
      </w:r>
      <w:r>
        <w:rPr>
          <w:rFonts w:hint="eastAsia"/>
        </w:rPr>
        <w:t>120t，</w:t>
      </w:r>
      <w:r>
        <w:t>余量可满足拟建项目危废暂存。危废间现已建成，已按照《危险废物贮存污染控制标准》(GB18597-2023)要求对</w:t>
      </w:r>
      <w:bookmarkStart w:id="332" w:name="_Hlk52305161"/>
      <w:r>
        <w:t>暂存间</w:t>
      </w:r>
      <w:bookmarkEnd w:id="332"/>
      <w:r>
        <w:t>内的危废暂存间进行防风、防雨、防晒、防渗漏处理。</w:t>
      </w:r>
    </w:p>
    <w:p w14:paraId="007A236D">
      <w:pPr>
        <w:pStyle w:val="5"/>
        <w:spacing w:line="500" w:lineRule="exact"/>
        <w:ind w:firstLine="490" w:firstLineChars="200"/>
      </w:pPr>
      <w:r>
        <w:rPr>
          <w:rFonts w:hint="eastAsia"/>
        </w:rPr>
        <w:t>本项目产生废润滑油为0.5t/a，平均每半年产生一次，即每次产生量为0.25t；</w:t>
      </w:r>
      <w:r>
        <w:t>危废暂存间废润滑油剩余储存能力约</w:t>
      </w:r>
      <w:r>
        <w:rPr>
          <w:rFonts w:hint="eastAsia"/>
        </w:rPr>
        <w:t>120t，余量可满足本项目危险废物的存放。</w:t>
      </w:r>
    </w:p>
    <w:p w14:paraId="68ADABC4">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项目危险废物贮存场所（设施）基本情况表</w:t>
      </w:r>
    </w:p>
    <w:tbl>
      <w:tblPr>
        <w:tblStyle w:val="88"/>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42"/>
        <w:gridCol w:w="1459"/>
        <w:gridCol w:w="908"/>
        <w:gridCol w:w="1279"/>
        <w:gridCol w:w="1133"/>
        <w:gridCol w:w="851"/>
        <w:gridCol w:w="710"/>
        <w:gridCol w:w="710"/>
        <w:gridCol w:w="801"/>
      </w:tblGrid>
      <w:tr w14:paraId="4373AB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5" w:type="pct"/>
            <w:vAlign w:val="center"/>
          </w:tcPr>
          <w:p w14:paraId="69A36D9F">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贮存场所</w:t>
            </w:r>
          </w:p>
          <w:p w14:paraId="3DB155E3">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名称</w:t>
            </w:r>
          </w:p>
        </w:tc>
        <w:tc>
          <w:tcPr>
            <w:tcW w:w="811" w:type="pct"/>
            <w:vAlign w:val="center"/>
          </w:tcPr>
          <w:p w14:paraId="5738B93C">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危险废物名称</w:t>
            </w:r>
          </w:p>
        </w:tc>
        <w:tc>
          <w:tcPr>
            <w:tcW w:w="505" w:type="pct"/>
            <w:vAlign w:val="center"/>
          </w:tcPr>
          <w:p w14:paraId="36270F7C">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危险废物类别</w:t>
            </w:r>
          </w:p>
        </w:tc>
        <w:tc>
          <w:tcPr>
            <w:tcW w:w="711" w:type="pct"/>
            <w:vAlign w:val="center"/>
          </w:tcPr>
          <w:p w14:paraId="1389D5FA">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危险废物</w:t>
            </w:r>
          </w:p>
          <w:p w14:paraId="29E287B3">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代码</w:t>
            </w:r>
          </w:p>
        </w:tc>
        <w:tc>
          <w:tcPr>
            <w:tcW w:w="630" w:type="pct"/>
            <w:vAlign w:val="center"/>
          </w:tcPr>
          <w:p w14:paraId="727CBA7C">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位置</w:t>
            </w:r>
          </w:p>
        </w:tc>
        <w:tc>
          <w:tcPr>
            <w:tcW w:w="473" w:type="pct"/>
            <w:vAlign w:val="center"/>
          </w:tcPr>
          <w:p w14:paraId="360B2CCB">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占地面积</w:t>
            </w:r>
          </w:p>
        </w:tc>
        <w:tc>
          <w:tcPr>
            <w:tcW w:w="395" w:type="pct"/>
            <w:vAlign w:val="center"/>
          </w:tcPr>
          <w:p w14:paraId="65C24A6D">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贮存方式</w:t>
            </w:r>
          </w:p>
        </w:tc>
        <w:tc>
          <w:tcPr>
            <w:tcW w:w="395" w:type="pct"/>
            <w:vAlign w:val="center"/>
          </w:tcPr>
          <w:p w14:paraId="69AE19E7">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贮存</w:t>
            </w:r>
          </w:p>
          <w:p w14:paraId="572498BF">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能力</w:t>
            </w:r>
          </w:p>
        </w:tc>
        <w:tc>
          <w:tcPr>
            <w:tcW w:w="445" w:type="pct"/>
            <w:vAlign w:val="center"/>
          </w:tcPr>
          <w:p w14:paraId="3204AB75">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贮存</w:t>
            </w:r>
          </w:p>
          <w:p w14:paraId="783279B2">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周期</w:t>
            </w:r>
          </w:p>
        </w:tc>
      </w:tr>
      <w:tr w14:paraId="7533A6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35" w:type="pct"/>
            <w:vAlign w:val="center"/>
          </w:tcPr>
          <w:p w14:paraId="4793E21F">
            <w:pPr>
              <w:topLinePunct/>
              <w:adjustRightInd w:val="0"/>
              <w:snapToGrid w:val="0"/>
              <w:jc w:val="center"/>
              <w:rPr>
                <w:rFonts w:ascii="Arial" w:hAnsi="Arial" w:eastAsia="宋体" w:cs="Arial"/>
                <w:kern w:val="0"/>
                <w:sz w:val="21"/>
                <w:szCs w:val="21"/>
              </w:rPr>
            </w:pPr>
            <w:r>
              <w:rPr>
                <w:rFonts w:ascii="Arial" w:hAnsi="Arial" w:eastAsia="宋体" w:cs="Arial"/>
                <w:sz w:val="21"/>
                <w:szCs w:val="21"/>
              </w:rPr>
              <w:t>危险废物暂存间</w:t>
            </w:r>
          </w:p>
        </w:tc>
        <w:tc>
          <w:tcPr>
            <w:tcW w:w="811" w:type="pct"/>
            <w:vAlign w:val="center"/>
          </w:tcPr>
          <w:p w14:paraId="0F568DA4">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废润滑油</w:t>
            </w:r>
          </w:p>
        </w:tc>
        <w:tc>
          <w:tcPr>
            <w:tcW w:w="505" w:type="pct"/>
            <w:vAlign w:val="center"/>
          </w:tcPr>
          <w:p w14:paraId="06847FE8">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HW08</w:t>
            </w:r>
          </w:p>
        </w:tc>
        <w:tc>
          <w:tcPr>
            <w:tcW w:w="711" w:type="pct"/>
            <w:vAlign w:val="center"/>
          </w:tcPr>
          <w:p w14:paraId="242BAB05">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900-214-08</w:t>
            </w:r>
          </w:p>
        </w:tc>
        <w:tc>
          <w:tcPr>
            <w:tcW w:w="630" w:type="pct"/>
            <w:vAlign w:val="center"/>
          </w:tcPr>
          <w:p w14:paraId="3A4C9A16">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地块二西侧</w:t>
            </w:r>
          </w:p>
        </w:tc>
        <w:tc>
          <w:tcPr>
            <w:tcW w:w="473" w:type="pct"/>
            <w:vAlign w:val="center"/>
          </w:tcPr>
          <w:p w14:paraId="27C00B78">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800m</w:t>
            </w:r>
            <w:r>
              <w:rPr>
                <w:rFonts w:ascii="Arial" w:hAnsi="Arial" w:eastAsia="宋体" w:cs="Arial"/>
                <w:kern w:val="0"/>
                <w:sz w:val="21"/>
                <w:szCs w:val="21"/>
                <w:vertAlign w:val="superscript"/>
              </w:rPr>
              <w:t>2</w:t>
            </w:r>
          </w:p>
        </w:tc>
        <w:tc>
          <w:tcPr>
            <w:tcW w:w="395" w:type="pct"/>
            <w:vAlign w:val="center"/>
          </w:tcPr>
          <w:p w14:paraId="0D84CD65">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桶装</w:t>
            </w:r>
          </w:p>
        </w:tc>
        <w:tc>
          <w:tcPr>
            <w:tcW w:w="395" w:type="pct"/>
            <w:vAlign w:val="center"/>
          </w:tcPr>
          <w:p w14:paraId="3AC84427">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1</w:t>
            </w:r>
            <w:r>
              <w:rPr>
                <w:rFonts w:hint="eastAsia" w:ascii="Arial" w:hAnsi="Arial" w:eastAsia="宋体" w:cs="Arial"/>
                <w:kern w:val="0"/>
                <w:sz w:val="21"/>
                <w:szCs w:val="21"/>
              </w:rPr>
              <w:t>2</w:t>
            </w:r>
            <w:r>
              <w:rPr>
                <w:rFonts w:ascii="Arial" w:hAnsi="Arial" w:eastAsia="宋体" w:cs="Arial"/>
                <w:kern w:val="0"/>
                <w:sz w:val="21"/>
                <w:szCs w:val="21"/>
              </w:rPr>
              <w:t>0t</w:t>
            </w:r>
          </w:p>
        </w:tc>
        <w:tc>
          <w:tcPr>
            <w:tcW w:w="445" w:type="pct"/>
            <w:vAlign w:val="center"/>
          </w:tcPr>
          <w:p w14:paraId="2FEB694E">
            <w:pPr>
              <w:topLinePunct/>
              <w:adjustRightInd w:val="0"/>
              <w:snapToGrid w:val="0"/>
              <w:jc w:val="center"/>
              <w:rPr>
                <w:rFonts w:ascii="Arial" w:hAnsi="Arial" w:eastAsia="宋体" w:cs="Arial"/>
                <w:kern w:val="0"/>
                <w:sz w:val="21"/>
                <w:szCs w:val="21"/>
              </w:rPr>
            </w:pPr>
            <w:r>
              <w:rPr>
                <w:rFonts w:ascii="Arial" w:hAnsi="Arial" w:eastAsia="宋体" w:cs="Arial"/>
                <w:kern w:val="0"/>
                <w:sz w:val="21"/>
                <w:szCs w:val="21"/>
              </w:rPr>
              <w:t>3个月</w:t>
            </w:r>
          </w:p>
        </w:tc>
      </w:tr>
    </w:tbl>
    <w:p w14:paraId="598F51A2">
      <w:pPr>
        <w:pStyle w:val="5"/>
        <w:spacing w:line="500" w:lineRule="exact"/>
        <w:ind w:firstLine="490" w:firstLineChars="200"/>
      </w:pPr>
      <w:r>
        <w:t>4、运输</w:t>
      </w:r>
    </w:p>
    <w:p w14:paraId="6A3B92A2">
      <w:pPr>
        <w:pStyle w:val="5"/>
        <w:spacing w:line="500" w:lineRule="exact"/>
      </w:pPr>
      <w:r>
        <w:t>项目产生的危险废物委托有相关资质的单位收集处置，运输过程由受委托单位负责。危险废物运输应由具有从事危险废物运输经营许可</w:t>
      </w:r>
      <w:r>
        <w:rPr>
          <w:rFonts w:hint="eastAsia"/>
        </w:rPr>
        <w:t>证</w:t>
      </w:r>
      <w:r>
        <w:t>的运输单位完成，运输应满足《危险废物收集 贮存 运输技术规范》（HJ 2025-2012）。</w:t>
      </w:r>
    </w:p>
    <w:p w14:paraId="0A754871">
      <w:pPr>
        <w:pStyle w:val="5"/>
        <w:spacing w:line="500" w:lineRule="exact"/>
      </w:pPr>
      <w:r>
        <w:rPr>
          <w:rFonts w:hint="eastAsia" w:ascii="宋体" w:hAnsi="宋体" w:cs="宋体"/>
        </w:rPr>
        <w:t>⑴</w:t>
      </w:r>
      <w:r>
        <w:t>运输危险废物的车辆必须严格交通、消防、治安等法规并控制车速，保持与前车的距离，严禁违章超车，确保行车安全；装载危废的车辆不得在居民集聚区、行人稠密地段、风景游览区停车；</w:t>
      </w:r>
    </w:p>
    <w:p w14:paraId="5068C6A1">
      <w:pPr>
        <w:pStyle w:val="5"/>
        <w:spacing w:line="500" w:lineRule="exact"/>
      </w:pPr>
      <w:r>
        <w:rPr>
          <w:rFonts w:hint="eastAsia" w:ascii="宋体" w:hAnsi="宋体" w:cs="宋体"/>
        </w:rPr>
        <w:t>⑵</w:t>
      </w:r>
      <w:r>
        <w:t>运输危险废物必须配备随车人员在途中经常检查，不得搭乘无关人员，车上人员严禁吸烟；</w:t>
      </w:r>
    </w:p>
    <w:p w14:paraId="5E98F570">
      <w:pPr>
        <w:pStyle w:val="5"/>
        <w:spacing w:line="500" w:lineRule="exact"/>
      </w:pPr>
      <w:r>
        <w:rPr>
          <w:rFonts w:hint="eastAsia" w:ascii="宋体" w:hAnsi="宋体" w:cs="宋体"/>
        </w:rPr>
        <w:t>⑶</w:t>
      </w:r>
      <w:r>
        <w:t>根据车上废物性质，采取遮阳、控温、防火、防爆、防震、防水、防冻等措施；</w:t>
      </w:r>
    </w:p>
    <w:p w14:paraId="2D0CB98F">
      <w:pPr>
        <w:pStyle w:val="5"/>
        <w:spacing w:line="500" w:lineRule="exact"/>
      </w:pPr>
      <w:r>
        <w:rPr>
          <w:rFonts w:hint="eastAsia" w:ascii="宋体" w:hAnsi="宋体" w:cs="宋体"/>
        </w:rPr>
        <w:t>⑷</w:t>
      </w:r>
      <w:r>
        <w:t>危险废物随车人员不得擅自改变作业计划，严禁擅自拼装、超载。危险废物运输应优先安排；</w:t>
      </w:r>
    </w:p>
    <w:p w14:paraId="5C375DB1">
      <w:pPr>
        <w:pStyle w:val="5"/>
        <w:spacing w:line="500" w:lineRule="exact"/>
        <w:ind w:firstLine="490" w:firstLineChars="200"/>
      </w:pPr>
      <w:r>
        <w:rPr>
          <w:rFonts w:hint="eastAsia" w:ascii="宋体" w:hAnsi="宋体" w:cs="宋体"/>
        </w:rPr>
        <w:t>⑸</w:t>
      </w:r>
      <w:r>
        <w:t>危险废物装卸作业必须严格遵守操作规程，轻装、轻卸，严禁摔碰、撞击、重压、倒置。</w:t>
      </w:r>
    </w:p>
    <w:p w14:paraId="531238B9">
      <w:pPr>
        <w:pStyle w:val="5"/>
        <w:spacing w:line="500" w:lineRule="exact"/>
        <w:ind w:firstLine="490" w:firstLineChars="200"/>
      </w:pPr>
      <w:r>
        <w:t>5、处置方式</w:t>
      </w:r>
    </w:p>
    <w:p w14:paraId="7D1700D9">
      <w:pPr>
        <w:pStyle w:val="5"/>
        <w:spacing w:line="500" w:lineRule="exact"/>
      </w:pPr>
      <w:r>
        <w:t>废润滑油（危废代码900-214-08）拟暂存现有工程危废暂存间内，定期委托具有相应资质单位上门回收处置。</w:t>
      </w:r>
    </w:p>
    <w:p w14:paraId="76887765">
      <w:pPr>
        <w:pStyle w:val="5"/>
        <w:spacing w:line="500" w:lineRule="exact"/>
        <w:ind w:firstLine="490" w:firstLineChars="200"/>
      </w:pPr>
      <w:r>
        <w:t>6、管理要求</w:t>
      </w:r>
    </w:p>
    <w:p w14:paraId="6C59538D">
      <w:pPr>
        <w:pStyle w:val="5"/>
        <w:spacing w:line="500" w:lineRule="exact"/>
        <w:ind w:firstLine="490" w:firstLineChars="200"/>
      </w:pPr>
      <w:r>
        <w:t>根据《排污许可证申请与核发技术规范 工业固体废物（试行）》（HJ1200-2021），企业应建立环境管理台账制度，按照《危险废物产生单位管理计划制定指南》制定危险废物环境管理台账。</w:t>
      </w:r>
    </w:p>
    <w:p w14:paraId="39E73DC9">
      <w:pPr>
        <w:pStyle w:val="5"/>
        <w:spacing w:line="500" w:lineRule="exact"/>
        <w:ind w:firstLine="490" w:firstLineChars="200"/>
      </w:pPr>
      <w:r>
        <w:t>根据危险废物的产生工序记录、危险废物特性和危险废物产生情况，如实填写危险废物产生工序记录表、危险废物特性表、危险废物产生情况一览表（详见指南附表1.1~1.3）。</w:t>
      </w:r>
    </w:p>
    <w:p w14:paraId="773A21B5">
      <w:pPr>
        <w:pStyle w:val="5"/>
        <w:spacing w:line="500" w:lineRule="exact"/>
        <w:ind w:firstLine="490" w:firstLineChars="200"/>
      </w:pPr>
      <w:r>
        <w:t>根据危险废物产生、贮存、利用处置等环节的动态流向，如实填写危险废物产生环节记录表、贮存环节记录表、产生单位自行利用处置环节记录表（详见指南附表2.1~2.3）。</w:t>
      </w:r>
    </w:p>
    <w:p w14:paraId="0C2C06DB">
      <w:pPr>
        <w:pStyle w:val="5"/>
        <w:spacing w:line="500" w:lineRule="exact"/>
        <w:ind w:firstLine="490" w:firstLineChars="200"/>
      </w:pPr>
      <w:r>
        <w:t>定期（如按月、季或年）汇总危险废物台账记录表和转移联单，总结危险废物产生量、自行利用处置情况、委托外单位利用处置情况、临时贮存量等内容，形成内部报表。相应的产生工序调查表及工序图、危险废物特性表、危险废物产生情况一览表、委托利用处置合同、台账记录表和转移联单等相关材料要随报表封装。</w:t>
      </w:r>
    </w:p>
    <w:p w14:paraId="100FBAD5">
      <w:pPr>
        <w:pStyle w:val="5"/>
        <w:spacing w:line="500" w:lineRule="exact"/>
        <w:ind w:firstLine="490" w:firstLineChars="200"/>
      </w:pPr>
      <w:r>
        <w:t>危险废物台账应分类装订成册，由专人管理，防止遗失。有条件的单位应采用信息软件辅助记录和管理危险废物台账。危险废物台账保存期限至少为5年。</w:t>
      </w:r>
    </w:p>
    <w:p w14:paraId="467F247E">
      <w:pPr>
        <w:pStyle w:val="5"/>
        <w:spacing w:line="500" w:lineRule="exact"/>
        <w:ind w:firstLine="490" w:firstLineChars="200"/>
      </w:pPr>
      <w:r>
        <w:t>7、结论</w:t>
      </w:r>
    </w:p>
    <w:p w14:paraId="16A7C892">
      <w:pPr>
        <w:pStyle w:val="5"/>
        <w:spacing w:line="500" w:lineRule="exact"/>
        <w:ind w:firstLine="490" w:firstLineChars="200"/>
      </w:pPr>
      <w:r>
        <w:t>危废暂存间位于地块二西侧，选址远离居民敏感点，位于所在区域敏感点的下风向，采用密闭容器储存减少危废挥发气体产生的影响，满足《危险废物贮存污染控制标准》（GB18597-2023）要求。同时危废暂存间配备活性炭吸附装置，正常贮存情况下，对周边环境空气、地表水、地下水、土壤以及周边环境敏感点影响不大。</w:t>
      </w:r>
    </w:p>
    <w:p w14:paraId="3DC657DD">
      <w:pPr>
        <w:pStyle w:val="5"/>
        <w:numPr>
          <w:ilvl w:val="1"/>
          <w:numId w:val="27"/>
        </w:numPr>
        <w:spacing w:line="500" w:lineRule="exact"/>
        <w:ind w:left="0" w:firstLine="0"/>
        <w:outlineLvl w:val="3"/>
        <w:rPr>
          <w:b/>
        </w:rPr>
      </w:pPr>
      <w:r>
        <w:rPr>
          <w:b/>
        </w:rPr>
        <w:t>生活垃圾</w:t>
      </w:r>
    </w:p>
    <w:p w14:paraId="7D25966B">
      <w:pPr>
        <w:pStyle w:val="5"/>
        <w:spacing w:line="500" w:lineRule="exact"/>
        <w:ind w:firstLine="490" w:firstLineChars="200"/>
      </w:pPr>
      <w:r>
        <w:t>生活垃圾收集后由环卫部门清运处理，不置于外界环境中，不会对周边环境造成不利影响。</w:t>
      </w:r>
    </w:p>
    <w:p w14:paraId="26087E9C">
      <w:pPr>
        <w:pStyle w:val="474"/>
        <w:spacing w:line="500" w:lineRule="exact"/>
        <w:ind w:firstLine="489"/>
        <w:rPr>
          <w:rFonts w:ascii="Arial" w:hAnsi="Arial" w:cs="Arial"/>
          <w:spacing w:val="10"/>
        </w:rPr>
      </w:pPr>
      <w:r>
        <w:rPr>
          <w:rFonts w:ascii="Arial" w:hAnsi="Arial" w:cs="Arial"/>
          <w:spacing w:val="10"/>
        </w:rPr>
        <w:t>综上所述，项目固体废物处置符合国家技术政策及相关的环保要求，最终均可得到合理有效处置，不会对周边环境造成二次污染。</w:t>
      </w:r>
    </w:p>
    <w:p w14:paraId="2EEDE457">
      <w:pPr>
        <w:pStyle w:val="6"/>
        <w:numPr>
          <w:ilvl w:val="0"/>
          <w:numId w:val="20"/>
        </w:numPr>
        <w:tabs>
          <w:tab w:val="clear" w:pos="1789"/>
        </w:tabs>
        <w:spacing w:line="400" w:lineRule="exact"/>
        <w:rPr>
          <w:rFonts w:ascii="Arial" w:hAnsi="Arial" w:eastAsia="宋体" w:cs="Arial"/>
        </w:rPr>
      </w:pPr>
      <w:bookmarkStart w:id="333" w:name="_Toc88674778"/>
      <w:bookmarkStart w:id="334" w:name="_Toc58596464"/>
      <w:bookmarkStart w:id="335" w:name="_Toc104677309"/>
      <w:bookmarkStart w:id="336" w:name="_Toc57715624"/>
      <w:bookmarkStart w:id="337" w:name="_Toc67921877"/>
      <w:bookmarkStart w:id="338" w:name="_Toc87124263"/>
      <w:r>
        <w:rPr>
          <w:rFonts w:ascii="Arial" w:hAnsi="Arial" w:eastAsia="宋体" w:cs="Arial"/>
        </w:rPr>
        <w:t>运营期土壤影响分析</w:t>
      </w:r>
      <w:bookmarkEnd w:id="333"/>
      <w:bookmarkEnd w:id="334"/>
      <w:bookmarkEnd w:id="335"/>
      <w:bookmarkEnd w:id="336"/>
      <w:bookmarkEnd w:id="337"/>
      <w:bookmarkEnd w:id="338"/>
    </w:p>
    <w:p w14:paraId="775DA3E3">
      <w:pPr>
        <w:pStyle w:val="5"/>
        <w:numPr>
          <w:ilvl w:val="0"/>
          <w:numId w:val="28"/>
        </w:numPr>
        <w:ind w:left="0" w:firstLine="0"/>
        <w:outlineLvl w:val="3"/>
        <w:rPr>
          <w:b/>
        </w:rPr>
      </w:pPr>
      <w:r>
        <w:rPr>
          <w:b/>
        </w:rPr>
        <w:t>土壤环境影响类型与影响途经识别</w:t>
      </w:r>
    </w:p>
    <w:p w14:paraId="5E6523D7">
      <w:pPr>
        <w:pStyle w:val="474"/>
        <w:spacing w:line="500" w:lineRule="exact"/>
        <w:ind w:firstLine="489"/>
        <w:rPr>
          <w:rFonts w:ascii="Arial" w:hAnsi="Arial" w:cs="Arial"/>
          <w:spacing w:val="10"/>
        </w:rPr>
      </w:pPr>
      <w:r>
        <w:rPr>
          <w:rFonts w:ascii="Arial" w:hAnsi="Arial" w:cs="Arial"/>
          <w:spacing w:val="10"/>
        </w:rPr>
        <w:t>土壤环境影响类型与影响途经识别见表4-</w:t>
      </w:r>
      <w:r>
        <w:rPr>
          <w:rFonts w:hint="eastAsia" w:ascii="Arial" w:hAnsi="Arial" w:cs="Arial"/>
          <w:spacing w:val="10"/>
        </w:rPr>
        <w:t>33</w:t>
      </w:r>
      <w:r>
        <w:rPr>
          <w:rFonts w:ascii="Arial" w:hAnsi="Arial" w:cs="Arial"/>
          <w:spacing w:val="10"/>
        </w:rPr>
        <w:t>。</w:t>
      </w:r>
    </w:p>
    <w:p w14:paraId="691CC9FE">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土壤环境影响类型与影响途经表</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9"/>
        <w:gridCol w:w="1799"/>
        <w:gridCol w:w="1798"/>
        <w:gridCol w:w="1798"/>
        <w:gridCol w:w="1799"/>
      </w:tblGrid>
      <w:tr w14:paraId="065C9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vMerge w:val="restart"/>
            <w:shd w:val="clear" w:color="auto" w:fill="auto"/>
            <w:vAlign w:val="center"/>
          </w:tcPr>
          <w:p w14:paraId="107DFBC7">
            <w:pPr>
              <w:adjustRightInd w:val="0"/>
              <w:snapToGrid w:val="0"/>
              <w:jc w:val="center"/>
              <w:rPr>
                <w:rFonts w:ascii="Arial" w:hAnsi="Arial" w:eastAsia="宋体" w:cs="Arial"/>
                <w:sz w:val="21"/>
                <w:szCs w:val="24"/>
              </w:rPr>
            </w:pPr>
            <w:r>
              <w:rPr>
                <w:rFonts w:ascii="Arial" w:hAnsi="Arial" w:eastAsia="宋体" w:cs="Arial"/>
                <w:sz w:val="21"/>
                <w:szCs w:val="24"/>
              </w:rPr>
              <w:t>不同时段</w:t>
            </w:r>
          </w:p>
        </w:tc>
        <w:tc>
          <w:tcPr>
            <w:tcW w:w="7194" w:type="dxa"/>
            <w:gridSpan w:val="4"/>
            <w:shd w:val="clear" w:color="auto" w:fill="auto"/>
            <w:vAlign w:val="center"/>
          </w:tcPr>
          <w:p w14:paraId="4C30C75A">
            <w:pPr>
              <w:adjustRightInd w:val="0"/>
              <w:snapToGrid w:val="0"/>
              <w:jc w:val="center"/>
              <w:rPr>
                <w:rFonts w:ascii="Arial" w:hAnsi="Arial" w:eastAsia="宋体" w:cs="Arial"/>
                <w:sz w:val="21"/>
                <w:szCs w:val="24"/>
              </w:rPr>
            </w:pPr>
            <w:r>
              <w:rPr>
                <w:rFonts w:ascii="Arial" w:hAnsi="Arial" w:eastAsia="宋体" w:cs="Arial"/>
                <w:sz w:val="21"/>
                <w:szCs w:val="24"/>
              </w:rPr>
              <w:t>污染影响型</w:t>
            </w:r>
          </w:p>
        </w:tc>
      </w:tr>
      <w:tr w14:paraId="48675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vMerge w:val="continue"/>
            <w:shd w:val="clear" w:color="auto" w:fill="auto"/>
            <w:vAlign w:val="center"/>
          </w:tcPr>
          <w:p w14:paraId="29B98170">
            <w:pPr>
              <w:adjustRightInd w:val="0"/>
              <w:snapToGrid w:val="0"/>
              <w:jc w:val="center"/>
              <w:rPr>
                <w:rFonts w:ascii="Arial" w:hAnsi="Arial" w:eastAsia="宋体" w:cs="Arial"/>
                <w:sz w:val="21"/>
                <w:szCs w:val="24"/>
              </w:rPr>
            </w:pPr>
          </w:p>
        </w:tc>
        <w:tc>
          <w:tcPr>
            <w:tcW w:w="1799" w:type="dxa"/>
            <w:shd w:val="clear" w:color="auto" w:fill="auto"/>
            <w:vAlign w:val="center"/>
          </w:tcPr>
          <w:p w14:paraId="4CA75DBC">
            <w:pPr>
              <w:adjustRightInd w:val="0"/>
              <w:snapToGrid w:val="0"/>
              <w:jc w:val="center"/>
              <w:rPr>
                <w:rFonts w:ascii="Arial" w:hAnsi="Arial" w:eastAsia="宋体" w:cs="Arial"/>
                <w:sz w:val="21"/>
                <w:szCs w:val="24"/>
              </w:rPr>
            </w:pPr>
            <w:r>
              <w:rPr>
                <w:rFonts w:ascii="Arial" w:hAnsi="Arial" w:eastAsia="宋体" w:cs="Arial"/>
                <w:sz w:val="21"/>
                <w:szCs w:val="24"/>
              </w:rPr>
              <w:t>大气沉降</w:t>
            </w:r>
          </w:p>
        </w:tc>
        <w:tc>
          <w:tcPr>
            <w:tcW w:w="1798" w:type="dxa"/>
            <w:shd w:val="clear" w:color="auto" w:fill="auto"/>
            <w:vAlign w:val="center"/>
          </w:tcPr>
          <w:p w14:paraId="4BC3CA0A">
            <w:pPr>
              <w:adjustRightInd w:val="0"/>
              <w:snapToGrid w:val="0"/>
              <w:jc w:val="center"/>
              <w:rPr>
                <w:rFonts w:ascii="Arial" w:hAnsi="Arial" w:eastAsia="宋体" w:cs="Arial"/>
                <w:sz w:val="21"/>
                <w:szCs w:val="24"/>
              </w:rPr>
            </w:pPr>
            <w:r>
              <w:rPr>
                <w:rFonts w:ascii="Arial" w:hAnsi="Arial" w:eastAsia="宋体" w:cs="Arial"/>
                <w:sz w:val="21"/>
                <w:szCs w:val="24"/>
              </w:rPr>
              <w:t>地面漫流</w:t>
            </w:r>
          </w:p>
        </w:tc>
        <w:tc>
          <w:tcPr>
            <w:tcW w:w="1798" w:type="dxa"/>
            <w:shd w:val="clear" w:color="auto" w:fill="auto"/>
            <w:vAlign w:val="center"/>
          </w:tcPr>
          <w:p w14:paraId="312ACC2F">
            <w:pPr>
              <w:adjustRightInd w:val="0"/>
              <w:snapToGrid w:val="0"/>
              <w:jc w:val="center"/>
              <w:rPr>
                <w:rFonts w:ascii="Arial" w:hAnsi="Arial" w:eastAsia="宋体" w:cs="Arial"/>
                <w:sz w:val="21"/>
                <w:szCs w:val="24"/>
              </w:rPr>
            </w:pPr>
            <w:r>
              <w:rPr>
                <w:rFonts w:ascii="Arial" w:hAnsi="Arial" w:eastAsia="宋体" w:cs="Arial"/>
                <w:sz w:val="21"/>
                <w:szCs w:val="24"/>
              </w:rPr>
              <w:t>垂直下渗</w:t>
            </w:r>
          </w:p>
        </w:tc>
        <w:tc>
          <w:tcPr>
            <w:tcW w:w="1799" w:type="dxa"/>
            <w:shd w:val="clear" w:color="auto" w:fill="auto"/>
            <w:vAlign w:val="center"/>
          </w:tcPr>
          <w:p w14:paraId="51E7E5CA">
            <w:pPr>
              <w:adjustRightInd w:val="0"/>
              <w:snapToGrid w:val="0"/>
              <w:jc w:val="center"/>
              <w:rPr>
                <w:rFonts w:ascii="Arial" w:hAnsi="Arial" w:eastAsia="宋体" w:cs="Arial"/>
                <w:sz w:val="21"/>
                <w:szCs w:val="24"/>
              </w:rPr>
            </w:pPr>
            <w:r>
              <w:rPr>
                <w:rFonts w:ascii="Arial" w:hAnsi="Arial" w:eastAsia="宋体" w:cs="Arial"/>
                <w:sz w:val="21"/>
                <w:szCs w:val="24"/>
              </w:rPr>
              <w:t>其他</w:t>
            </w:r>
          </w:p>
        </w:tc>
      </w:tr>
      <w:tr w14:paraId="7515F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shd w:val="clear" w:color="auto" w:fill="auto"/>
            <w:vAlign w:val="center"/>
          </w:tcPr>
          <w:p w14:paraId="3EAE4A2E">
            <w:pPr>
              <w:adjustRightInd w:val="0"/>
              <w:snapToGrid w:val="0"/>
              <w:jc w:val="center"/>
              <w:rPr>
                <w:rFonts w:ascii="Arial" w:hAnsi="Arial" w:eastAsia="宋体" w:cs="Arial"/>
                <w:sz w:val="21"/>
                <w:szCs w:val="24"/>
              </w:rPr>
            </w:pPr>
            <w:r>
              <w:rPr>
                <w:rFonts w:ascii="Arial" w:hAnsi="Arial" w:eastAsia="宋体" w:cs="Arial"/>
                <w:sz w:val="21"/>
                <w:szCs w:val="24"/>
              </w:rPr>
              <w:t>建设期</w:t>
            </w:r>
          </w:p>
        </w:tc>
        <w:tc>
          <w:tcPr>
            <w:tcW w:w="1799" w:type="dxa"/>
            <w:shd w:val="clear" w:color="auto" w:fill="auto"/>
            <w:vAlign w:val="center"/>
          </w:tcPr>
          <w:p w14:paraId="3F60A6C5">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14:paraId="79EAA828">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14:paraId="3A420982">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9" w:type="dxa"/>
            <w:shd w:val="clear" w:color="auto" w:fill="auto"/>
            <w:vAlign w:val="center"/>
          </w:tcPr>
          <w:p w14:paraId="12738730">
            <w:pPr>
              <w:adjustRightInd w:val="0"/>
              <w:snapToGrid w:val="0"/>
              <w:jc w:val="center"/>
              <w:rPr>
                <w:rFonts w:ascii="Arial" w:hAnsi="Arial" w:eastAsia="宋体" w:cs="Arial"/>
                <w:sz w:val="21"/>
                <w:szCs w:val="24"/>
              </w:rPr>
            </w:pPr>
            <w:r>
              <w:rPr>
                <w:rFonts w:ascii="Arial" w:hAnsi="Arial" w:eastAsia="宋体" w:cs="Arial"/>
                <w:sz w:val="21"/>
                <w:szCs w:val="24"/>
              </w:rPr>
              <w:t>/</w:t>
            </w:r>
          </w:p>
        </w:tc>
      </w:tr>
      <w:tr w14:paraId="6EA9A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shd w:val="clear" w:color="auto" w:fill="auto"/>
            <w:vAlign w:val="center"/>
          </w:tcPr>
          <w:p w14:paraId="65B5D4C6">
            <w:pPr>
              <w:adjustRightInd w:val="0"/>
              <w:snapToGrid w:val="0"/>
              <w:jc w:val="center"/>
              <w:rPr>
                <w:rFonts w:ascii="Arial" w:hAnsi="Arial" w:eastAsia="宋体" w:cs="Arial"/>
                <w:sz w:val="21"/>
                <w:szCs w:val="24"/>
              </w:rPr>
            </w:pPr>
            <w:r>
              <w:rPr>
                <w:rFonts w:ascii="Arial" w:hAnsi="Arial" w:eastAsia="宋体" w:cs="Arial"/>
                <w:sz w:val="21"/>
                <w:szCs w:val="24"/>
              </w:rPr>
              <w:t>运营期</w:t>
            </w:r>
          </w:p>
        </w:tc>
        <w:tc>
          <w:tcPr>
            <w:tcW w:w="1799" w:type="dxa"/>
            <w:shd w:val="clear" w:color="auto" w:fill="auto"/>
            <w:vAlign w:val="center"/>
          </w:tcPr>
          <w:p w14:paraId="0BB092EA">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14:paraId="1000CC77">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14:paraId="09B0A037">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9" w:type="dxa"/>
            <w:shd w:val="clear" w:color="auto" w:fill="auto"/>
            <w:vAlign w:val="center"/>
          </w:tcPr>
          <w:p w14:paraId="57FF0D2F">
            <w:pPr>
              <w:adjustRightInd w:val="0"/>
              <w:snapToGrid w:val="0"/>
              <w:jc w:val="center"/>
              <w:rPr>
                <w:rFonts w:ascii="Arial" w:hAnsi="Arial" w:eastAsia="宋体" w:cs="Arial"/>
                <w:sz w:val="21"/>
                <w:szCs w:val="24"/>
              </w:rPr>
            </w:pPr>
            <w:r>
              <w:rPr>
                <w:rFonts w:ascii="Arial" w:hAnsi="Arial" w:eastAsia="宋体" w:cs="Arial"/>
                <w:sz w:val="21"/>
                <w:szCs w:val="24"/>
              </w:rPr>
              <w:t>/</w:t>
            </w:r>
          </w:p>
        </w:tc>
      </w:tr>
      <w:tr w14:paraId="7AD7D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9" w:type="dxa"/>
            <w:shd w:val="clear" w:color="auto" w:fill="auto"/>
            <w:vAlign w:val="center"/>
          </w:tcPr>
          <w:p w14:paraId="7E9A0EF7">
            <w:pPr>
              <w:adjustRightInd w:val="0"/>
              <w:snapToGrid w:val="0"/>
              <w:jc w:val="center"/>
              <w:rPr>
                <w:rFonts w:ascii="Arial" w:hAnsi="Arial" w:eastAsia="宋体" w:cs="Arial"/>
                <w:sz w:val="21"/>
                <w:szCs w:val="24"/>
              </w:rPr>
            </w:pPr>
            <w:r>
              <w:rPr>
                <w:rFonts w:ascii="Arial" w:hAnsi="Arial" w:eastAsia="宋体" w:cs="Arial"/>
                <w:sz w:val="21"/>
                <w:szCs w:val="24"/>
              </w:rPr>
              <w:t>服务期满后</w:t>
            </w:r>
          </w:p>
        </w:tc>
        <w:tc>
          <w:tcPr>
            <w:tcW w:w="1799" w:type="dxa"/>
            <w:shd w:val="clear" w:color="auto" w:fill="auto"/>
            <w:vAlign w:val="center"/>
          </w:tcPr>
          <w:p w14:paraId="773D1F53">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14:paraId="7EE7AE42">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8" w:type="dxa"/>
            <w:shd w:val="clear" w:color="auto" w:fill="auto"/>
            <w:vAlign w:val="center"/>
          </w:tcPr>
          <w:p w14:paraId="1915049A">
            <w:pPr>
              <w:adjustRightInd w:val="0"/>
              <w:snapToGrid w:val="0"/>
              <w:jc w:val="center"/>
              <w:rPr>
                <w:rFonts w:ascii="Arial" w:hAnsi="Arial" w:eastAsia="宋体" w:cs="Arial"/>
                <w:sz w:val="21"/>
                <w:szCs w:val="24"/>
              </w:rPr>
            </w:pPr>
            <w:r>
              <w:rPr>
                <w:rFonts w:ascii="Arial" w:hAnsi="Arial" w:eastAsia="宋体" w:cs="Arial"/>
                <w:sz w:val="21"/>
                <w:szCs w:val="24"/>
              </w:rPr>
              <w:t>/</w:t>
            </w:r>
          </w:p>
        </w:tc>
        <w:tc>
          <w:tcPr>
            <w:tcW w:w="1799" w:type="dxa"/>
            <w:shd w:val="clear" w:color="auto" w:fill="auto"/>
            <w:vAlign w:val="center"/>
          </w:tcPr>
          <w:p w14:paraId="565E4DB4">
            <w:pPr>
              <w:adjustRightInd w:val="0"/>
              <w:snapToGrid w:val="0"/>
              <w:jc w:val="center"/>
              <w:rPr>
                <w:rFonts w:ascii="Arial" w:hAnsi="Arial" w:eastAsia="宋体" w:cs="Arial"/>
                <w:sz w:val="21"/>
                <w:szCs w:val="24"/>
              </w:rPr>
            </w:pPr>
            <w:r>
              <w:rPr>
                <w:rFonts w:ascii="Arial" w:hAnsi="Arial" w:eastAsia="宋体" w:cs="Arial"/>
                <w:sz w:val="21"/>
                <w:szCs w:val="24"/>
              </w:rPr>
              <w:t>/</w:t>
            </w:r>
          </w:p>
        </w:tc>
      </w:tr>
    </w:tbl>
    <w:p w14:paraId="4460DDFE">
      <w:pPr>
        <w:pStyle w:val="5"/>
        <w:numPr>
          <w:ilvl w:val="0"/>
          <w:numId w:val="28"/>
        </w:numPr>
        <w:ind w:left="0" w:firstLine="0"/>
        <w:outlineLvl w:val="3"/>
        <w:rPr>
          <w:b/>
        </w:rPr>
      </w:pPr>
      <w:r>
        <w:rPr>
          <w:b/>
        </w:rPr>
        <w:t>土壤环境影响源及影响因子识别</w:t>
      </w:r>
    </w:p>
    <w:p w14:paraId="53313642">
      <w:pPr>
        <w:pStyle w:val="474"/>
        <w:spacing w:line="500" w:lineRule="exact"/>
        <w:ind w:firstLine="489"/>
        <w:rPr>
          <w:rFonts w:ascii="Arial" w:hAnsi="Arial" w:cs="Arial"/>
          <w:spacing w:val="10"/>
        </w:rPr>
      </w:pPr>
      <w:r>
        <w:rPr>
          <w:rFonts w:ascii="Arial" w:hAnsi="Arial" w:cs="Arial"/>
          <w:spacing w:val="10"/>
        </w:rPr>
        <w:t>土壤环境影响源及影响因子识别见表4-3</w:t>
      </w:r>
      <w:r>
        <w:rPr>
          <w:rFonts w:hint="eastAsia" w:ascii="Arial" w:hAnsi="Arial" w:cs="Arial"/>
          <w:spacing w:val="10"/>
        </w:rPr>
        <w:t>4</w:t>
      </w:r>
      <w:r>
        <w:rPr>
          <w:rFonts w:ascii="Arial" w:hAnsi="Arial" w:cs="Arial"/>
          <w:spacing w:val="10"/>
        </w:rPr>
        <w:t>。</w:t>
      </w:r>
    </w:p>
    <w:p w14:paraId="21FB6BC7">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污染影响型建设项目土壤环境影响源及影响因子识别表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1272"/>
        <w:gridCol w:w="1419"/>
        <w:gridCol w:w="2410"/>
        <w:gridCol w:w="2061"/>
        <w:gridCol w:w="727"/>
      </w:tblGrid>
      <w:tr w14:paraId="0DBB6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14" w:type="pct"/>
            <w:shd w:val="clear" w:color="auto" w:fill="auto"/>
            <w:vAlign w:val="center"/>
          </w:tcPr>
          <w:p w14:paraId="4562770D">
            <w:pPr>
              <w:adjustRightInd w:val="0"/>
              <w:snapToGrid w:val="0"/>
              <w:jc w:val="center"/>
              <w:rPr>
                <w:rFonts w:ascii="Arial" w:hAnsi="Arial" w:eastAsia="宋体" w:cs="Arial"/>
                <w:sz w:val="21"/>
                <w:szCs w:val="21"/>
              </w:rPr>
            </w:pPr>
            <w:r>
              <w:rPr>
                <w:rFonts w:ascii="Arial" w:hAnsi="Arial" w:eastAsia="宋体" w:cs="Arial"/>
                <w:sz w:val="21"/>
                <w:szCs w:val="21"/>
              </w:rPr>
              <w:t>污染源</w:t>
            </w:r>
          </w:p>
        </w:tc>
        <w:tc>
          <w:tcPr>
            <w:tcW w:w="707" w:type="pct"/>
            <w:shd w:val="clear" w:color="auto" w:fill="auto"/>
            <w:vAlign w:val="center"/>
          </w:tcPr>
          <w:p w14:paraId="6D7E0BAE">
            <w:pPr>
              <w:adjustRightInd w:val="0"/>
              <w:snapToGrid w:val="0"/>
              <w:jc w:val="center"/>
              <w:rPr>
                <w:rFonts w:ascii="Arial" w:hAnsi="Arial" w:eastAsia="宋体" w:cs="Arial"/>
                <w:sz w:val="21"/>
                <w:szCs w:val="21"/>
              </w:rPr>
            </w:pPr>
            <w:r>
              <w:rPr>
                <w:rFonts w:ascii="Arial" w:hAnsi="Arial" w:eastAsia="宋体" w:cs="Arial"/>
                <w:sz w:val="21"/>
                <w:szCs w:val="21"/>
              </w:rPr>
              <w:t>工艺</w:t>
            </w:r>
          </w:p>
        </w:tc>
        <w:tc>
          <w:tcPr>
            <w:tcW w:w="789" w:type="pct"/>
            <w:shd w:val="clear" w:color="auto" w:fill="auto"/>
            <w:vAlign w:val="center"/>
          </w:tcPr>
          <w:p w14:paraId="179309E0">
            <w:pPr>
              <w:adjustRightInd w:val="0"/>
              <w:snapToGrid w:val="0"/>
              <w:jc w:val="center"/>
              <w:rPr>
                <w:rFonts w:ascii="Arial" w:hAnsi="Arial" w:eastAsia="宋体" w:cs="Arial"/>
                <w:sz w:val="21"/>
                <w:szCs w:val="21"/>
              </w:rPr>
            </w:pPr>
            <w:r>
              <w:rPr>
                <w:rFonts w:ascii="Arial" w:hAnsi="Arial" w:eastAsia="宋体" w:cs="Arial"/>
                <w:sz w:val="21"/>
                <w:szCs w:val="21"/>
              </w:rPr>
              <w:t>污染途经</w:t>
            </w:r>
          </w:p>
        </w:tc>
        <w:tc>
          <w:tcPr>
            <w:tcW w:w="1340" w:type="pct"/>
            <w:shd w:val="clear" w:color="auto" w:fill="auto"/>
            <w:vAlign w:val="center"/>
          </w:tcPr>
          <w:p w14:paraId="7EEE8CFF">
            <w:pPr>
              <w:adjustRightInd w:val="0"/>
              <w:snapToGrid w:val="0"/>
              <w:jc w:val="center"/>
              <w:rPr>
                <w:rFonts w:ascii="Arial" w:hAnsi="Arial" w:eastAsia="宋体" w:cs="Arial"/>
                <w:sz w:val="21"/>
                <w:szCs w:val="21"/>
              </w:rPr>
            </w:pPr>
            <w:r>
              <w:rPr>
                <w:rFonts w:ascii="Arial" w:hAnsi="Arial" w:eastAsia="宋体" w:cs="Arial"/>
                <w:sz w:val="21"/>
                <w:szCs w:val="21"/>
              </w:rPr>
              <w:t>全部污染物指标</w:t>
            </w:r>
          </w:p>
        </w:tc>
        <w:tc>
          <w:tcPr>
            <w:tcW w:w="1146" w:type="pct"/>
            <w:shd w:val="clear" w:color="auto" w:fill="auto"/>
            <w:vAlign w:val="center"/>
          </w:tcPr>
          <w:p w14:paraId="20A3FC70">
            <w:pPr>
              <w:adjustRightInd w:val="0"/>
              <w:snapToGrid w:val="0"/>
              <w:jc w:val="center"/>
              <w:rPr>
                <w:rFonts w:ascii="Arial" w:hAnsi="Arial" w:eastAsia="宋体" w:cs="Arial"/>
                <w:sz w:val="21"/>
                <w:szCs w:val="21"/>
              </w:rPr>
            </w:pPr>
            <w:r>
              <w:rPr>
                <w:rFonts w:ascii="Arial" w:hAnsi="Arial" w:eastAsia="宋体" w:cs="Arial"/>
                <w:sz w:val="21"/>
                <w:szCs w:val="21"/>
              </w:rPr>
              <w:t>特征因子</w:t>
            </w:r>
          </w:p>
        </w:tc>
        <w:tc>
          <w:tcPr>
            <w:tcW w:w="404" w:type="pct"/>
            <w:shd w:val="clear" w:color="auto" w:fill="auto"/>
            <w:vAlign w:val="center"/>
          </w:tcPr>
          <w:p w14:paraId="4E181A72">
            <w:pPr>
              <w:adjustRightInd w:val="0"/>
              <w:snapToGrid w:val="0"/>
              <w:jc w:val="center"/>
              <w:rPr>
                <w:rFonts w:ascii="Arial" w:hAnsi="Arial" w:eastAsia="宋体" w:cs="Arial"/>
                <w:sz w:val="21"/>
                <w:szCs w:val="21"/>
              </w:rPr>
            </w:pPr>
            <w:r>
              <w:rPr>
                <w:rFonts w:ascii="Arial" w:hAnsi="Arial" w:eastAsia="宋体" w:cs="Arial"/>
                <w:sz w:val="21"/>
                <w:szCs w:val="21"/>
              </w:rPr>
              <w:t>备注</w:t>
            </w:r>
          </w:p>
        </w:tc>
      </w:tr>
      <w:tr w14:paraId="7A7CA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14" w:type="pct"/>
            <w:shd w:val="clear" w:color="auto" w:fill="auto"/>
            <w:vAlign w:val="center"/>
          </w:tcPr>
          <w:p w14:paraId="692CE52C">
            <w:pPr>
              <w:adjustRightInd w:val="0"/>
              <w:snapToGrid w:val="0"/>
              <w:jc w:val="center"/>
              <w:rPr>
                <w:rFonts w:ascii="Arial" w:hAnsi="Arial" w:eastAsia="宋体" w:cs="Arial"/>
                <w:sz w:val="21"/>
                <w:szCs w:val="21"/>
              </w:rPr>
            </w:pPr>
            <w:r>
              <w:rPr>
                <w:rFonts w:hint="eastAsia" w:ascii="Arial" w:hAnsi="Arial" w:eastAsia="宋体" w:cs="Arial"/>
                <w:sz w:val="21"/>
                <w:szCs w:val="21"/>
              </w:rPr>
              <w:t>DA146排气筒</w:t>
            </w:r>
          </w:p>
        </w:tc>
        <w:tc>
          <w:tcPr>
            <w:tcW w:w="707" w:type="pct"/>
            <w:shd w:val="clear" w:color="auto" w:fill="auto"/>
            <w:vAlign w:val="center"/>
          </w:tcPr>
          <w:p w14:paraId="7A60A5E4">
            <w:pPr>
              <w:adjustRightInd w:val="0"/>
              <w:snapToGrid w:val="0"/>
              <w:jc w:val="center"/>
              <w:rPr>
                <w:rFonts w:ascii="Arial" w:hAnsi="Arial" w:eastAsia="宋体" w:cs="Arial"/>
                <w:sz w:val="21"/>
                <w:szCs w:val="21"/>
              </w:rPr>
            </w:pPr>
            <w:r>
              <w:rPr>
                <w:rFonts w:hint="eastAsia" w:ascii="Arial" w:hAnsi="Arial" w:eastAsia="宋体" w:cs="Arial"/>
                <w:sz w:val="21"/>
                <w:szCs w:val="21"/>
              </w:rPr>
              <w:t>烘干</w:t>
            </w:r>
            <w:r>
              <w:rPr>
                <w:rFonts w:ascii="Arial" w:hAnsi="Arial" w:eastAsia="宋体" w:cs="Arial"/>
                <w:sz w:val="21"/>
                <w:szCs w:val="21"/>
              </w:rPr>
              <w:t>、破碎、包装</w:t>
            </w:r>
          </w:p>
        </w:tc>
        <w:tc>
          <w:tcPr>
            <w:tcW w:w="789" w:type="pct"/>
            <w:shd w:val="clear" w:color="auto" w:fill="auto"/>
            <w:vAlign w:val="center"/>
          </w:tcPr>
          <w:p w14:paraId="68C92505">
            <w:pPr>
              <w:adjustRightInd w:val="0"/>
              <w:snapToGrid w:val="0"/>
              <w:jc w:val="center"/>
              <w:rPr>
                <w:rFonts w:ascii="Arial" w:hAnsi="Arial" w:eastAsia="宋体" w:cs="Arial"/>
                <w:sz w:val="21"/>
                <w:szCs w:val="21"/>
              </w:rPr>
            </w:pPr>
            <w:r>
              <w:rPr>
                <w:rFonts w:ascii="Arial" w:hAnsi="Arial" w:eastAsia="宋体" w:cs="Arial"/>
                <w:sz w:val="21"/>
                <w:szCs w:val="21"/>
              </w:rPr>
              <w:t>大气沉降</w:t>
            </w:r>
          </w:p>
        </w:tc>
        <w:tc>
          <w:tcPr>
            <w:tcW w:w="1340" w:type="pct"/>
            <w:shd w:val="clear" w:color="auto" w:fill="auto"/>
            <w:vAlign w:val="center"/>
          </w:tcPr>
          <w:p w14:paraId="079E2123">
            <w:pPr>
              <w:adjustRightInd w:val="0"/>
              <w:snapToGrid w:val="0"/>
              <w:jc w:val="center"/>
              <w:rPr>
                <w:rFonts w:ascii="Arial" w:hAnsi="Arial" w:eastAsia="宋体" w:cs="Arial"/>
                <w:sz w:val="21"/>
                <w:szCs w:val="21"/>
              </w:rPr>
            </w:pPr>
            <w:r>
              <w:rPr>
                <w:rFonts w:ascii="Arial" w:hAnsi="Arial" w:eastAsia="宋体" w:cs="Arial"/>
                <w:sz w:val="21"/>
                <w:szCs w:val="21"/>
              </w:rPr>
              <w:t>颗粒物、</w:t>
            </w:r>
            <w:r>
              <w:rPr>
                <w:rFonts w:hint="eastAsia" w:ascii="Arial" w:hAnsi="Arial" w:eastAsia="宋体" w:cs="Arial"/>
                <w:sz w:val="21"/>
                <w:szCs w:val="21"/>
              </w:rPr>
              <w:t>钴</w:t>
            </w:r>
          </w:p>
        </w:tc>
        <w:tc>
          <w:tcPr>
            <w:tcW w:w="1146" w:type="pct"/>
            <w:shd w:val="clear" w:color="auto" w:fill="auto"/>
            <w:vAlign w:val="center"/>
          </w:tcPr>
          <w:p w14:paraId="5869F9E7">
            <w:pPr>
              <w:adjustRightInd w:val="0"/>
              <w:snapToGrid w:val="0"/>
              <w:jc w:val="center"/>
              <w:rPr>
                <w:rFonts w:ascii="Arial" w:hAnsi="Arial" w:eastAsia="宋体" w:cs="Arial"/>
                <w:sz w:val="21"/>
                <w:szCs w:val="21"/>
              </w:rPr>
            </w:pPr>
            <w:r>
              <w:rPr>
                <w:rFonts w:hint="eastAsia" w:ascii="Arial" w:hAnsi="Arial" w:eastAsia="宋体" w:cs="Arial"/>
                <w:sz w:val="21"/>
                <w:szCs w:val="21"/>
              </w:rPr>
              <w:t>钴</w:t>
            </w:r>
          </w:p>
        </w:tc>
        <w:tc>
          <w:tcPr>
            <w:tcW w:w="404" w:type="pct"/>
            <w:shd w:val="clear" w:color="auto" w:fill="auto"/>
            <w:vAlign w:val="center"/>
          </w:tcPr>
          <w:p w14:paraId="74A509FA">
            <w:pPr>
              <w:adjustRightInd w:val="0"/>
              <w:snapToGrid w:val="0"/>
              <w:jc w:val="center"/>
              <w:rPr>
                <w:rFonts w:ascii="Arial" w:hAnsi="Arial" w:eastAsia="宋体" w:cs="Arial"/>
                <w:sz w:val="21"/>
                <w:szCs w:val="21"/>
              </w:rPr>
            </w:pPr>
            <w:r>
              <w:rPr>
                <w:rFonts w:ascii="Arial" w:hAnsi="Arial" w:eastAsia="宋体" w:cs="Arial"/>
                <w:sz w:val="21"/>
                <w:szCs w:val="21"/>
              </w:rPr>
              <w:t>连续</w:t>
            </w:r>
          </w:p>
        </w:tc>
      </w:tr>
      <w:tr w14:paraId="132C1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14" w:type="pct"/>
            <w:shd w:val="clear" w:color="auto" w:fill="auto"/>
            <w:vAlign w:val="center"/>
          </w:tcPr>
          <w:p w14:paraId="1C20FC8E">
            <w:pPr>
              <w:adjustRightInd w:val="0"/>
              <w:snapToGrid w:val="0"/>
              <w:jc w:val="center"/>
              <w:rPr>
                <w:rFonts w:ascii="Arial" w:hAnsi="Arial" w:eastAsia="宋体" w:cs="Arial"/>
                <w:sz w:val="21"/>
                <w:szCs w:val="21"/>
              </w:rPr>
            </w:pPr>
            <w:r>
              <w:rPr>
                <w:rFonts w:ascii="Arial" w:hAnsi="Arial" w:eastAsia="宋体" w:cs="Arial"/>
                <w:sz w:val="21"/>
                <w:szCs w:val="21"/>
              </w:rPr>
              <w:t>储槽</w:t>
            </w:r>
          </w:p>
        </w:tc>
        <w:tc>
          <w:tcPr>
            <w:tcW w:w="707" w:type="pct"/>
            <w:shd w:val="clear" w:color="auto" w:fill="auto"/>
            <w:vAlign w:val="center"/>
          </w:tcPr>
          <w:p w14:paraId="38859A8B">
            <w:pPr>
              <w:adjustRightInd w:val="0"/>
              <w:snapToGrid w:val="0"/>
              <w:jc w:val="center"/>
              <w:rPr>
                <w:rFonts w:ascii="Arial" w:hAnsi="Arial" w:eastAsia="宋体" w:cs="Arial"/>
                <w:sz w:val="21"/>
                <w:szCs w:val="21"/>
              </w:rPr>
            </w:pPr>
            <w:r>
              <w:rPr>
                <w:rFonts w:ascii="Arial" w:hAnsi="Arial" w:eastAsia="宋体" w:cs="Arial"/>
                <w:sz w:val="21"/>
                <w:szCs w:val="21"/>
              </w:rPr>
              <w:t>储槽</w:t>
            </w:r>
          </w:p>
        </w:tc>
        <w:tc>
          <w:tcPr>
            <w:tcW w:w="789" w:type="pct"/>
            <w:shd w:val="clear" w:color="auto" w:fill="auto"/>
            <w:vAlign w:val="center"/>
          </w:tcPr>
          <w:p w14:paraId="7886A0DB">
            <w:pPr>
              <w:adjustRightInd w:val="0"/>
              <w:snapToGrid w:val="0"/>
              <w:jc w:val="center"/>
              <w:rPr>
                <w:rFonts w:ascii="Arial" w:hAnsi="Arial" w:eastAsia="宋体" w:cs="Arial"/>
                <w:sz w:val="21"/>
                <w:szCs w:val="21"/>
              </w:rPr>
            </w:pPr>
            <w:r>
              <w:rPr>
                <w:rFonts w:ascii="Arial" w:hAnsi="Arial" w:eastAsia="宋体" w:cs="Arial"/>
                <w:sz w:val="21"/>
                <w:szCs w:val="21"/>
              </w:rPr>
              <w:t>垂直下渗</w:t>
            </w:r>
          </w:p>
        </w:tc>
        <w:tc>
          <w:tcPr>
            <w:tcW w:w="1340" w:type="pct"/>
            <w:shd w:val="clear" w:color="auto" w:fill="auto"/>
            <w:vAlign w:val="center"/>
          </w:tcPr>
          <w:p w14:paraId="5FD5F402">
            <w:pPr>
              <w:adjustRightInd w:val="0"/>
              <w:snapToGrid w:val="0"/>
              <w:jc w:val="center"/>
              <w:rPr>
                <w:rFonts w:ascii="Arial" w:hAnsi="Arial" w:eastAsia="宋体" w:cs="Arial"/>
                <w:sz w:val="21"/>
                <w:szCs w:val="21"/>
              </w:rPr>
            </w:pPr>
            <w:r>
              <w:rPr>
                <w:rFonts w:ascii="Arial" w:hAnsi="Arial" w:eastAsia="宋体" w:cs="Arial"/>
                <w:sz w:val="21"/>
                <w:szCs w:val="21"/>
              </w:rPr>
              <w:t>氨水、</w:t>
            </w:r>
            <w:r>
              <w:rPr>
                <w:rFonts w:hint="eastAsia" w:ascii="Arial" w:hAnsi="Arial" w:eastAsia="宋体" w:cs="Arial"/>
                <w:sz w:val="21"/>
                <w:szCs w:val="21"/>
              </w:rPr>
              <w:t>氢氧化钠</w:t>
            </w:r>
          </w:p>
        </w:tc>
        <w:tc>
          <w:tcPr>
            <w:tcW w:w="1146" w:type="pct"/>
            <w:shd w:val="clear" w:color="auto" w:fill="auto"/>
            <w:vAlign w:val="center"/>
          </w:tcPr>
          <w:p w14:paraId="2DFED3B5">
            <w:pPr>
              <w:adjustRightInd w:val="0"/>
              <w:snapToGrid w:val="0"/>
              <w:jc w:val="center"/>
              <w:rPr>
                <w:rFonts w:ascii="Arial" w:hAnsi="Arial" w:eastAsia="宋体" w:cs="Arial"/>
                <w:sz w:val="21"/>
                <w:szCs w:val="21"/>
              </w:rPr>
            </w:pPr>
            <w:r>
              <w:rPr>
                <w:rFonts w:ascii="Arial" w:hAnsi="Arial" w:eastAsia="宋体" w:cs="Arial"/>
                <w:sz w:val="21"/>
                <w:szCs w:val="21"/>
              </w:rPr>
              <w:t>氨水、</w:t>
            </w:r>
            <w:r>
              <w:rPr>
                <w:rFonts w:hint="eastAsia" w:ascii="Arial" w:hAnsi="Arial" w:eastAsia="宋体" w:cs="Arial"/>
                <w:sz w:val="21"/>
                <w:szCs w:val="21"/>
              </w:rPr>
              <w:t>氢氧化钠</w:t>
            </w:r>
          </w:p>
        </w:tc>
        <w:tc>
          <w:tcPr>
            <w:tcW w:w="404" w:type="pct"/>
            <w:shd w:val="clear" w:color="auto" w:fill="auto"/>
            <w:vAlign w:val="center"/>
          </w:tcPr>
          <w:p w14:paraId="240C9E92">
            <w:pPr>
              <w:adjustRightInd w:val="0"/>
              <w:snapToGrid w:val="0"/>
              <w:jc w:val="center"/>
              <w:rPr>
                <w:rFonts w:ascii="Arial" w:hAnsi="Arial" w:eastAsia="宋体" w:cs="Arial"/>
                <w:sz w:val="21"/>
                <w:szCs w:val="21"/>
              </w:rPr>
            </w:pPr>
            <w:r>
              <w:rPr>
                <w:rFonts w:ascii="Arial" w:hAnsi="Arial" w:eastAsia="宋体" w:cs="Arial"/>
                <w:sz w:val="21"/>
                <w:szCs w:val="21"/>
              </w:rPr>
              <w:t>事故</w:t>
            </w:r>
          </w:p>
        </w:tc>
      </w:tr>
      <w:tr w14:paraId="6C87C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14" w:type="pct"/>
            <w:vMerge w:val="restart"/>
            <w:shd w:val="clear" w:color="auto" w:fill="auto"/>
            <w:vAlign w:val="center"/>
          </w:tcPr>
          <w:p w14:paraId="1E49B12C">
            <w:pPr>
              <w:adjustRightInd w:val="0"/>
              <w:snapToGrid w:val="0"/>
              <w:jc w:val="center"/>
              <w:rPr>
                <w:rFonts w:ascii="Arial" w:hAnsi="Arial" w:eastAsia="宋体" w:cs="Arial"/>
                <w:sz w:val="21"/>
                <w:szCs w:val="21"/>
              </w:rPr>
            </w:pPr>
            <w:r>
              <w:rPr>
                <w:rFonts w:ascii="Arial" w:hAnsi="Arial" w:eastAsia="宋体" w:cs="Arial"/>
                <w:sz w:val="21"/>
                <w:szCs w:val="21"/>
              </w:rPr>
              <w:t>污水</w:t>
            </w:r>
            <w:r>
              <w:rPr>
                <w:rFonts w:hint="eastAsia" w:ascii="Arial" w:hAnsi="Arial" w:eastAsia="宋体" w:cs="Arial"/>
                <w:sz w:val="21"/>
                <w:szCs w:val="21"/>
              </w:rPr>
              <w:t>外排槽</w:t>
            </w:r>
          </w:p>
        </w:tc>
        <w:tc>
          <w:tcPr>
            <w:tcW w:w="707" w:type="pct"/>
            <w:vMerge w:val="restart"/>
            <w:shd w:val="clear" w:color="auto" w:fill="auto"/>
            <w:vAlign w:val="center"/>
          </w:tcPr>
          <w:p w14:paraId="0C1EA919">
            <w:pPr>
              <w:adjustRightInd w:val="0"/>
              <w:snapToGrid w:val="0"/>
              <w:jc w:val="center"/>
              <w:rPr>
                <w:rFonts w:ascii="Arial" w:hAnsi="Arial" w:eastAsia="宋体" w:cs="Arial"/>
                <w:sz w:val="21"/>
                <w:szCs w:val="21"/>
              </w:rPr>
            </w:pPr>
            <w:r>
              <w:rPr>
                <w:rFonts w:ascii="Arial" w:hAnsi="Arial" w:eastAsia="宋体" w:cs="Arial"/>
                <w:sz w:val="21"/>
                <w:szCs w:val="21"/>
              </w:rPr>
              <w:t>污水处理</w:t>
            </w:r>
          </w:p>
        </w:tc>
        <w:tc>
          <w:tcPr>
            <w:tcW w:w="789" w:type="pct"/>
            <w:shd w:val="clear" w:color="auto" w:fill="auto"/>
            <w:vAlign w:val="center"/>
          </w:tcPr>
          <w:p w14:paraId="0F49DBD5">
            <w:pPr>
              <w:adjustRightInd w:val="0"/>
              <w:snapToGrid w:val="0"/>
              <w:jc w:val="center"/>
              <w:rPr>
                <w:rFonts w:ascii="Arial" w:hAnsi="Arial" w:eastAsia="宋体" w:cs="Arial"/>
                <w:sz w:val="21"/>
                <w:szCs w:val="21"/>
              </w:rPr>
            </w:pPr>
            <w:r>
              <w:rPr>
                <w:rFonts w:ascii="Arial" w:hAnsi="Arial" w:eastAsia="宋体" w:cs="Arial"/>
                <w:sz w:val="21"/>
                <w:szCs w:val="21"/>
              </w:rPr>
              <w:t>地面漫流</w:t>
            </w:r>
          </w:p>
        </w:tc>
        <w:tc>
          <w:tcPr>
            <w:tcW w:w="1340" w:type="pct"/>
            <w:shd w:val="clear" w:color="auto" w:fill="auto"/>
            <w:vAlign w:val="center"/>
          </w:tcPr>
          <w:p w14:paraId="1F833340">
            <w:pPr>
              <w:adjustRightInd w:val="0"/>
              <w:snapToGrid w:val="0"/>
              <w:jc w:val="center"/>
              <w:rPr>
                <w:rFonts w:ascii="Arial" w:hAnsi="Arial" w:eastAsia="宋体" w:cs="Arial"/>
                <w:sz w:val="21"/>
                <w:szCs w:val="21"/>
              </w:rPr>
            </w:pPr>
            <w:r>
              <w:rPr>
                <w:rFonts w:ascii="Arial" w:hAnsi="Arial" w:eastAsia="宋体" w:cs="Arial"/>
                <w:sz w:val="21"/>
                <w:szCs w:val="21"/>
              </w:rPr>
              <w:t>COD、氨氮、钴、硫酸盐</w:t>
            </w:r>
          </w:p>
        </w:tc>
        <w:tc>
          <w:tcPr>
            <w:tcW w:w="1146" w:type="pct"/>
            <w:shd w:val="clear" w:color="auto" w:fill="auto"/>
            <w:vAlign w:val="center"/>
          </w:tcPr>
          <w:p w14:paraId="0751F2EC">
            <w:pPr>
              <w:adjustRightInd w:val="0"/>
              <w:snapToGrid w:val="0"/>
              <w:jc w:val="center"/>
              <w:rPr>
                <w:rFonts w:ascii="Arial" w:hAnsi="Arial" w:eastAsia="宋体" w:cs="Arial"/>
                <w:sz w:val="21"/>
                <w:szCs w:val="21"/>
              </w:rPr>
            </w:pPr>
            <w:r>
              <w:rPr>
                <w:rFonts w:ascii="Arial" w:hAnsi="Arial" w:eastAsia="宋体" w:cs="Arial"/>
                <w:sz w:val="21"/>
                <w:szCs w:val="21"/>
              </w:rPr>
              <w:t>钴、硫酸盐</w:t>
            </w:r>
          </w:p>
        </w:tc>
        <w:tc>
          <w:tcPr>
            <w:tcW w:w="404" w:type="pct"/>
            <w:shd w:val="clear" w:color="auto" w:fill="auto"/>
            <w:vAlign w:val="center"/>
          </w:tcPr>
          <w:p w14:paraId="6DE104F3">
            <w:pPr>
              <w:adjustRightInd w:val="0"/>
              <w:snapToGrid w:val="0"/>
              <w:jc w:val="center"/>
              <w:rPr>
                <w:rFonts w:ascii="Arial" w:hAnsi="Arial" w:eastAsia="宋体" w:cs="Arial"/>
                <w:sz w:val="21"/>
                <w:szCs w:val="21"/>
              </w:rPr>
            </w:pPr>
            <w:r>
              <w:rPr>
                <w:rFonts w:ascii="Arial" w:hAnsi="Arial" w:eastAsia="宋体" w:cs="Arial"/>
                <w:sz w:val="21"/>
                <w:szCs w:val="21"/>
              </w:rPr>
              <w:t>事故</w:t>
            </w:r>
          </w:p>
        </w:tc>
      </w:tr>
      <w:tr w14:paraId="224B2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14" w:type="pct"/>
            <w:vMerge w:val="continue"/>
            <w:shd w:val="clear" w:color="auto" w:fill="auto"/>
            <w:vAlign w:val="center"/>
          </w:tcPr>
          <w:p w14:paraId="2FFC6E0F">
            <w:pPr>
              <w:adjustRightInd w:val="0"/>
              <w:snapToGrid w:val="0"/>
              <w:jc w:val="center"/>
              <w:rPr>
                <w:rFonts w:ascii="Arial" w:hAnsi="Arial" w:eastAsia="宋体" w:cs="Arial"/>
                <w:sz w:val="21"/>
                <w:szCs w:val="21"/>
              </w:rPr>
            </w:pPr>
          </w:p>
        </w:tc>
        <w:tc>
          <w:tcPr>
            <w:tcW w:w="707" w:type="pct"/>
            <w:vMerge w:val="continue"/>
            <w:shd w:val="clear" w:color="auto" w:fill="auto"/>
            <w:vAlign w:val="center"/>
          </w:tcPr>
          <w:p w14:paraId="02170E18">
            <w:pPr>
              <w:adjustRightInd w:val="0"/>
              <w:snapToGrid w:val="0"/>
              <w:jc w:val="center"/>
              <w:rPr>
                <w:rFonts w:ascii="Arial" w:hAnsi="Arial" w:eastAsia="宋体" w:cs="Arial"/>
                <w:sz w:val="21"/>
                <w:szCs w:val="21"/>
              </w:rPr>
            </w:pPr>
          </w:p>
        </w:tc>
        <w:tc>
          <w:tcPr>
            <w:tcW w:w="789" w:type="pct"/>
            <w:shd w:val="clear" w:color="auto" w:fill="auto"/>
            <w:vAlign w:val="center"/>
          </w:tcPr>
          <w:p w14:paraId="49845DA0">
            <w:pPr>
              <w:adjustRightInd w:val="0"/>
              <w:snapToGrid w:val="0"/>
              <w:jc w:val="center"/>
              <w:rPr>
                <w:rFonts w:ascii="Arial" w:hAnsi="Arial" w:eastAsia="宋体" w:cs="Arial"/>
                <w:sz w:val="21"/>
                <w:szCs w:val="21"/>
              </w:rPr>
            </w:pPr>
            <w:r>
              <w:rPr>
                <w:rFonts w:ascii="Arial" w:hAnsi="Arial" w:eastAsia="宋体" w:cs="Arial"/>
                <w:sz w:val="21"/>
                <w:szCs w:val="21"/>
              </w:rPr>
              <w:t>垂直下渗</w:t>
            </w:r>
          </w:p>
        </w:tc>
        <w:tc>
          <w:tcPr>
            <w:tcW w:w="1340" w:type="pct"/>
            <w:shd w:val="clear" w:color="auto" w:fill="auto"/>
            <w:vAlign w:val="center"/>
          </w:tcPr>
          <w:p w14:paraId="760891B9">
            <w:pPr>
              <w:adjustRightInd w:val="0"/>
              <w:snapToGrid w:val="0"/>
              <w:jc w:val="center"/>
              <w:rPr>
                <w:rFonts w:ascii="Arial" w:hAnsi="Arial" w:eastAsia="宋体" w:cs="Arial"/>
                <w:sz w:val="21"/>
                <w:szCs w:val="21"/>
              </w:rPr>
            </w:pPr>
            <w:r>
              <w:rPr>
                <w:rFonts w:ascii="Arial" w:hAnsi="Arial" w:eastAsia="宋体" w:cs="Arial"/>
                <w:sz w:val="21"/>
                <w:szCs w:val="21"/>
              </w:rPr>
              <w:t>COD、氨氮、钴、硫酸盐</w:t>
            </w:r>
          </w:p>
        </w:tc>
        <w:tc>
          <w:tcPr>
            <w:tcW w:w="1146" w:type="pct"/>
            <w:shd w:val="clear" w:color="auto" w:fill="auto"/>
            <w:vAlign w:val="center"/>
          </w:tcPr>
          <w:p w14:paraId="41CB6BCE">
            <w:pPr>
              <w:adjustRightInd w:val="0"/>
              <w:snapToGrid w:val="0"/>
              <w:jc w:val="center"/>
              <w:rPr>
                <w:rFonts w:ascii="Arial" w:hAnsi="Arial" w:eastAsia="宋体" w:cs="Arial"/>
                <w:sz w:val="21"/>
                <w:szCs w:val="21"/>
              </w:rPr>
            </w:pPr>
            <w:r>
              <w:rPr>
                <w:rFonts w:ascii="Arial" w:hAnsi="Arial" w:eastAsia="宋体" w:cs="Arial"/>
                <w:sz w:val="21"/>
                <w:szCs w:val="21"/>
              </w:rPr>
              <w:t>钴、硫酸盐</w:t>
            </w:r>
          </w:p>
        </w:tc>
        <w:tc>
          <w:tcPr>
            <w:tcW w:w="404" w:type="pct"/>
            <w:shd w:val="clear" w:color="auto" w:fill="auto"/>
            <w:vAlign w:val="center"/>
          </w:tcPr>
          <w:p w14:paraId="33F39295">
            <w:pPr>
              <w:adjustRightInd w:val="0"/>
              <w:snapToGrid w:val="0"/>
              <w:jc w:val="center"/>
              <w:rPr>
                <w:rFonts w:ascii="Arial" w:hAnsi="Arial" w:eastAsia="宋体" w:cs="Arial"/>
                <w:sz w:val="21"/>
                <w:szCs w:val="21"/>
              </w:rPr>
            </w:pPr>
            <w:r>
              <w:rPr>
                <w:rFonts w:ascii="Arial" w:hAnsi="Arial" w:eastAsia="宋体" w:cs="Arial"/>
                <w:sz w:val="21"/>
                <w:szCs w:val="21"/>
              </w:rPr>
              <w:t>事故</w:t>
            </w:r>
          </w:p>
        </w:tc>
      </w:tr>
    </w:tbl>
    <w:p w14:paraId="37703C24">
      <w:pPr>
        <w:pStyle w:val="5"/>
        <w:numPr>
          <w:ilvl w:val="0"/>
          <w:numId w:val="28"/>
        </w:numPr>
        <w:adjustRightInd w:val="0"/>
        <w:snapToGrid w:val="0"/>
        <w:spacing w:line="500" w:lineRule="exact"/>
        <w:ind w:left="0" w:firstLine="0"/>
        <w:outlineLvl w:val="3"/>
        <w:rPr>
          <w:b/>
        </w:rPr>
      </w:pPr>
      <w:r>
        <w:rPr>
          <w:b/>
        </w:rPr>
        <w:t>土壤环境影响分析</w:t>
      </w:r>
    </w:p>
    <w:p w14:paraId="67C00C30">
      <w:pPr>
        <w:spacing w:line="500" w:lineRule="exact"/>
        <w:ind w:firstLine="450" w:firstLineChars="200"/>
        <w:rPr>
          <w:rFonts w:ascii="Arial" w:hAnsi="Arial" w:eastAsia="宋体" w:cs="Arial"/>
          <w:snapToGrid w:val="0"/>
          <w:kern w:val="0"/>
          <w:sz w:val="24"/>
          <w:szCs w:val="21"/>
        </w:rPr>
      </w:pPr>
      <w:r>
        <w:rPr>
          <w:rFonts w:ascii="Arial" w:hAnsi="Arial" w:eastAsia="宋体" w:cs="Arial"/>
          <w:snapToGrid w:val="0"/>
          <w:kern w:val="0"/>
          <w:sz w:val="24"/>
          <w:szCs w:val="21"/>
        </w:rPr>
        <w:t>1、大气沉降对土壤的影响</w:t>
      </w:r>
    </w:p>
    <w:p w14:paraId="4DA088D8">
      <w:pPr>
        <w:spacing w:line="500" w:lineRule="exact"/>
        <w:ind w:firstLine="450" w:firstLineChars="200"/>
        <w:rPr>
          <w:rFonts w:ascii="Arial" w:hAnsi="Arial" w:eastAsia="宋体" w:cs="Arial"/>
          <w:snapToGrid w:val="0"/>
          <w:kern w:val="0"/>
          <w:sz w:val="24"/>
          <w:szCs w:val="21"/>
        </w:rPr>
      </w:pPr>
      <w:r>
        <w:rPr>
          <w:rFonts w:hint="eastAsia" w:ascii="Arial" w:hAnsi="Arial" w:eastAsia="宋体" w:cs="Arial"/>
          <w:snapToGrid w:val="0"/>
          <w:kern w:val="0"/>
          <w:sz w:val="24"/>
          <w:szCs w:val="21"/>
        </w:rPr>
        <w:t>（1）颗粒物对土壤影响</w:t>
      </w:r>
    </w:p>
    <w:p w14:paraId="22AEA687">
      <w:pPr>
        <w:spacing w:line="500" w:lineRule="exact"/>
        <w:ind w:firstLine="450" w:firstLineChars="200"/>
        <w:rPr>
          <w:rFonts w:ascii="Arial" w:hAnsi="Arial" w:eastAsia="宋体" w:cs="Arial"/>
          <w:snapToGrid w:val="0"/>
          <w:kern w:val="0"/>
          <w:sz w:val="24"/>
          <w:szCs w:val="21"/>
        </w:rPr>
      </w:pPr>
      <w:r>
        <w:rPr>
          <w:rFonts w:ascii="Arial" w:hAnsi="Arial" w:eastAsia="宋体" w:cs="Arial"/>
          <w:snapToGrid w:val="0"/>
          <w:kern w:val="0"/>
          <w:sz w:val="24"/>
          <w:szCs w:val="21"/>
        </w:rPr>
        <w:t>项目排放的</w:t>
      </w:r>
      <w:r>
        <w:rPr>
          <w:rFonts w:hint="eastAsia" w:ascii="Arial" w:hAnsi="Arial" w:eastAsia="宋体" w:cs="Arial"/>
          <w:snapToGrid w:val="0"/>
          <w:kern w:val="0"/>
          <w:sz w:val="24"/>
          <w:szCs w:val="21"/>
        </w:rPr>
        <w:t>颗粒物中的钴及其化合物</w:t>
      </w:r>
      <w:r>
        <w:rPr>
          <w:rFonts w:ascii="Arial" w:hAnsi="Arial" w:eastAsia="宋体" w:cs="Arial"/>
          <w:snapToGrid w:val="0"/>
          <w:kern w:val="0"/>
          <w:sz w:val="24"/>
          <w:szCs w:val="21"/>
        </w:rPr>
        <w:t>对周围土壤环境的污染，主要是以大气扩散沉降的方式进入土壤，在土壤中与某些物质发生物理、化学作用，</w:t>
      </w:r>
      <w:r>
        <w:rPr>
          <w:rFonts w:hint="eastAsia" w:ascii="Arial" w:hAnsi="Arial" w:eastAsia="宋体" w:cs="Arial"/>
          <w:snapToGrid w:val="0"/>
          <w:kern w:val="0"/>
          <w:sz w:val="24"/>
          <w:szCs w:val="21"/>
        </w:rPr>
        <w:t>钴及其化合物</w:t>
      </w:r>
      <w:r>
        <w:rPr>
          <w:rFonts w:ascii="Arial" w:hAnsi="Arial" w:eastAsia="宋体" w:cs="Arial"/>
          <w:snapToGrid w:val="0"/>
          <w:kern w:val="0"/>
          <w:sz w:val="24"/>
          <w:szCs w:val="21"/>
        </w:rPr>
        <w:t>在土壤中不易被自然淋溶迁移。为了解项目大气中</w:t>
      </w:r>
      <w:r>
        <w:rPr>
          <w:rFonts w:hint="eastAsia" w:ascii="Arial" w:hAnsi="Arial" w:eastAsia="宋体" w:cs="Arial"/>
          <w:snapToGrid w:val="0"/>
          <w:kern w:val="0"/>
          <w:sz w:val="24"/>
          <w:szCs w:val="21"/>
        </w:rPr>
        <w:t>钴及其化合物</w:t>
      </w:r>
      <w:r>
        <w:rPr>
          <w:rFonts w:ascii="Arial" w:hAnsi="Arial" w:eastAsia="宋体" w:cs="Arial"/>
          <w:snapToGrid w:val="0"/>
          <w:kern w:val="0"/>
          <w:sz w:val="24"/>
          <w:szCs w:val="21"/>
        </w:rPr>
        <w:t>对土壤的影响，本环评对</w:t>
      </w:r>
      <w:r>
        <w:rPr>
          <w:rFonts w:hint="eastAsia" w:ascii="Arial" w:hAnsi="Arial" w:eastAsia="宋体" w:cs="Arial"/>
          <w:snapToGrid w:val="0"/>
          <w:kern w:val="0"/>
          <w:sz w:val="24"/>
          <w:szCs w:val="21"/>
        </w:rPr>
        <w:t>钴及其化合物</w:t>
      </w:r>
      <w:r>
        <w:rPr>
          <w:rFonts w:ascii="Arial" w:hAnsi="Arial" w:eastAsia="宋体" w:cs="Arial"/>
          <w:snapToGrid w:val="0"/>
          <w:kern w:val="0"/>
          <w:sz w:val="24"/>
          <w:szCs w:val="21"/>
        </w:rPr>
        <w:t>在土壤中的累积影响进行预测分析。</w:t>
      </w:r>
    </w:p>
    <w:p w14:paraId="21375DA4">
      <w:pPr>
        <w:spacing w:line="500" w:lineRule="exact"/>
        <w:ind w:firstLine="450" w:firstLineChars="200"/>
        <w:rPr>
          <w:rFonts w:ascii="Arial" w:hAnsi="Arial" w:eastAsia="宋体" w:cs="Arial"/>
          <w:snapToGrid w:val="0"/>
          <w:kern w:val="0"/>
          <w:sz w:val="24"/>
          <w:szCs w:val="21"/>
        </w:rPr>
      </w:pPr>
      <w:r>
        <w:rPr>
          <w:rFonts w:hint="eastAsia" w:ascii="Arial" w:hAnsi="Arial" w:eastAsia="宋体" w:cs="Arial"/>
          <w:snapToGrid w:val="0"/>
          <w:kern w:val="0"/>
          <w:sz w:val="24"/>
          <w:szCs w:val="21"/>
        </w:rPr>
        <w:t>钴及其化合物</w:t>
      </w:r>
      <w:r>
        <w:rPr>
          <w:rFonts w:ascii="Arial" w:hAnsi="Arial" w:eastAsia="宋体" w:cs="Arial"/>
          <w:snapToGrid w:val="0"/>
          <w:kern w:val="0"/>
          <w:sz w:val="24"/>
          <w:szCs w:val="21"/>
        </w:rPr>
        <w:t>对土壤的累积影响采用《环境影响评价技术导则 土壤环境（试行）》（HJ964-2018）附录E土壤环境影响预测方法计算：</w:t>
      </w:r>
    </w:p>
    <w:p w14:paraId="641012D3">
      <w:pPr>
        <w:spacing w:line="500" w:lineRule="exact"/>
        <w:ind w:firstLine="450" w:firstLineChars="200"/>
        <w:rPr>
          <w:rFonts w:ascii="Arial" w:hAnsi="Arial" w:eastAsia="宋体" w:cs="Arial"/>
          <w:snapToGrid w:val="0"/>
          <w:kern w:val="0"/>
          <w:sz w:val="24"/>
          <w:szCs w:val="21"/>
        </w:rPr>
      </w:pPr>
      <w:r>
        <w:rPr>
          <w:rFonts w:ascii="Arial" w:hAnsi="Arial" w:eastAsia="宋体" w:cs="Arial"/>
          <w:snapToGrid w:val="0"/>
          <w:kern w:val="0"/>
          <w:sz w:val="24"/>
          <w:szCs w:val="21"/>
        </w:rPr>
        <w:t xml:space="preserve">    </w:t>
      </w:r>
      <w:r>
        <w:rPr>
          <w:rFonts w:ascii="Cambria Math" w:hAnsi="Cambria Math" w:eastAsia="宋体" w:cs="Cambria Math"/>
          <w:snapToGrid w:val="0"/>
          <w:kern w:val="0"/>
          <w:sz w:val="24"/>
          <w:szCs w:val="21"/>
        </w:rPr>
        <w:t>△</w:t>
      </w:r>
      <w:r>
        <w:rPr>
          <w:rFonts w:ascii="Arial" w:hAnsi="Arial" w:eastAsia="宋体" w:cs="Arial"/>
          <w:snapToGrid w:val="0"/>
          <w:kern w:val="0"/>
          <w:sz w:val="24"/>
          <w:szCs w:val="21"/>
        </w:rPr>
        <w:t>S=n（Is-Ls-Rs）/（ Ρ</w:t>
      </w:r>
      <w:r>
        <w:rPr>
          <w:rFonts w:ascii="Arial" w:hAnsi="Arial" w:eastAsia="宋体" w:cs="Arial"/>
          <w:snapToGrid w:val="0"/>
          <w:kern w:val="0"/>
          <w:sz w:val="24"/>
          <w:szCs w:val="21"/>
          <w:vertAlign w:val="subscript"/>
        </w:rPr>
        <w:t>b</w:t>
      </w:r>
      <w:r>
        <w:rPr>
          <w:rFonts w:ascii="Arial" w:hAnsi="Arial" w:eastAsia="宋体" w:cs="Arial"/>
          <w:snapToGrid w:val="0"/>
          <w:kern w:val="0"/>
          <w:sz w:val="24"/>
          <w:szCs w:val="21"/>
        </w:rPr>
        <w:t>×A×D）</w:t>
      </w:r>
    </w:p>
    <w:p w14:paraId="57AF15F9">
      <w:pPr>
        <w:spacing w:line="500" w:lineRule="exact"/>
        <w:ind w:firstLine="450" w:firstLineChars="200"/>
        <w:rPr>
          <w:rFonts w:ascii="Arial" w:hAnsi="Arial" w:eastAsia="宋体" w:cs="Arial"/>
          <w:snapToGrid w:val="0"/>
          <w:kern w:val="0"/>
          <w:sz w:val="24"/>
          <w:szCs w:val="21"/>
        </w:rPr>
      </w:pPr>
      <w:r>
        <w:rPr>
          <w:rFonts w:ascii="Arial" w:hAnsi="Arial" w:eastAsia="宋体" w:cs="Arial"/>
          <w:snapToGrid w:val="0"/>
          <w:kern w:val="0"/>
          <w:sz w:val="24"/>
          <w:szCs w:val="21"/>
        </w:rPr>
        <w:t xml:space="preserve">      S=S</w:t>
      </w:r>
      <w:r>
        <w:rPr>
          <w:rFonts w:ascii="Arial" w:hAnsi="Arial" w:eastAsia="宋体" w:cs="Arial"/>
          <w:snapToGrid w:val="0"/>
          <w:kern w:val="0"/>
          <w:sz w:val="24"/>
          <w:szCs w:val="21"/>
          <w:vertAlign w:val="subscript"/>
        </w:rPr>
        <w:t>b</w:t>
      </w:r>
      <w:r>
        <w:rPr>
          <w:rFonts w:ascii="Arial" w:hAnsi="Arial" w:eastAsia="宋体" w:cs="Arial"/>
          <w:snapToGrid w:val="0"/>
          <w:kern w:val="0"/>
          <w:sz w:val="24"/>
          <w:szCs w:val="21"/>
        </w:rPr>
        <w:t>+</w:t>
      </w:r>
      <w:r>
        <w:rPr>
          <w:rFonts w:ascii="Cambria Math" w:hAnsi="Cambria Math" w:eastAsia="宋体" w:cs="Cambria Math"/>
          <w:snapToGrid w:val="0"/>
          <w:kern w:val="0"/>
          <w:sz w:val="24"/>
          <w:szCs w:val="21"/>
        </w:rPr>
        <w:t>△</w:t>
      </w:r>
      <w:r>
        <w:rPr>
          <w:rFonts w:ascii="Arial" w:hAnsi="Arial" w:eastAsia="宋体" w:cs="Arial"/>
          <w:snapToGrid w:val="0"/>
          <w:kern w:val="0"/>
          <w:sz w:val="24"/>
          <w:szCs w:val="21"/>
        </w:rPr>
        <w:t>S</w:t>
      </w:r>
    </w:p>
    <w:p w14:paraId="72EACBD1">
      <w:pPr>
        <w:spacing w:line="500" w:lineRule="exact"/>
        <w:ind w:firstLine="450" w:firstLineChars="200"/>
        <w:rPr>
          <w:rFonts w:ascii="Arial" w:hAnsi="Arial" w:eastAsia="宋体" w:cs="Arial"/>
          <w:snapToGrid w:val="0"/>
          <w:kern w:val="0"/>
          <w:sz w:val="24"/>
          <w:szCs w:val="21"/>
        </w:rPr>
      </w:pPr>
      <w:r>
        <w:rPr>
          <w:rFonts w:ascii="Arial" w:hAnsi="Arial" w:eastAsia="宋体" w:cs="Arial"/>
          <w:snapToGrid w:val="0"/>
          <w:kern w:val="0"/>
          <w:sz w:val="24"/>
          <w:szCs w:val="21"/>
        </w:rPr>
        <w:t>式中：</w:t>
      </w:r>
      <w:r>
        <w:rPr>
          <w:rFonts w:ascii="Cambria Math" w:hAnsi="Cambria Math" w:eastAsia="宋体" w:cs="Cambria Math"/>
          <w:snapToGrid w:val="0"/>
          <w:kern w:val="0"/>
          <w:sz w:val="24"/>
          <w:szCs w:val="21"/>
        </w:rPr>
        <w:t>△</w:t>
      </w:r>
      <w:r>
        <w:rPr>
          <w:rFonts w:ascii="Arial" w:hAnsi="Arial" w:eastAsia="宋体" w:cs="Arial"/>
          <w:snapToGrid w:val="0"/>
          <w:kern w:val="0"/>
          <w:sz w:val="24"/>
          <w:szCs w:val="21"/>
        </w:rPr>
        <w:t>S：单位质量表层土壤中某种物质的增量，g/kg；</w:t>
      </w:r>
    </w:p>
    <w:p w14:paraId="349A1361">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S：单位质量土壤中某种物质的预测值，g/kg；</w:t>
      </w:r>
    </w:p>
    <w:p w14:paraId="15E62CDC">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S</w:t>
      </w:r>
      <w:r>
        <w:rPr>
          <w:rFonts w:ascii="Arial" w:hAnsi="Arial" w:eastAsia="宋体" w:cs="Arial"/>
          <w:snapToGrid w:val="0"/>
          <w:kern w:val="0"/>
          <w:sz w:val="24"/>
          <w:szCs w:val="21"/>
          <w:vertAlign w:val="subscript"/>
        </w:rPr>
        <w:t>b</w:t>
      </w:r>
      <w:r>
        <w:rPr>
          <w:rFonts w:ascii="Arial" w:hAnsi="Arial" w:eastAsia="宋体" w:cs="Arial"/>
          <w:snapToGrid w:val="0"/>
          <w:kern w:val="0"/>
          <w:sz w:val="24"/>
          <w:szCs w:val="21"/>
        </w:rPr>
        <w:t>：单位质量土壤中某种物质的现状值，g/kg；</w:t>
      </w:r>
    </w:p>
    <w:p w14:paraId="3A53A560">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Is：预测评价范围内单位年份表层土壤中某种物质的输入量，g；</w:t>
      </w:r>
    </w:p>
    <w:p w14:paraId="35FC2938">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Ls：预测评价范围内单位年份表层土壤中某种物质经淋溶排出的量，g；</w:t>
      </w:r>
    </w:p>
    <w:p w14:paraId="25C61EEA">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Rs：预测评价范围内单位年份表层土壤中某种物质经径流排出的量，g；</w:t>
      </w:r>
    </w:p>
    <w:p w14:paraId="3C9CBB1E">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Ρ</w:t>
      </w:r>
      <w:r>
        <w:rPr>
          <w:rFonts w:ascii="Arial" w:hAnsi="Arial" w:eastAsia="宋体" w:cs="Arial"/>
          <w:snapToGrid w:val="0"/>
          <w:kern w:val="0"/>
          <w:sz w:val="24"/>
          <w:szCs w:val="21"/>
          <w:vertAlign w:val="subscript"/>
        </w:rPr>
        <w:t>b</w:t>
      </w:r>
      <w:r>
        <w:rPr>
          <w:rFonts w:ascii="Arial" w:hAnsi="Arial" w:eastAsia="宋体" w:cs="Arial"/>
          <w:snapToGrid w:val="0"/>
          <w:kern w:val="0"/>
          <w:sz w:val="24"/>
          <w:szCs w:val="21"/>
        </w:rPr>
        <w:t>：表层土壤容重，kg/m</w:t>
      </w:r>
      <w:r>
        <w:rPr>
          <w:rFonts w:ascii="Arial" w:hAnsi="Arial" w:eastAsia="宋体" w:cs="Arial"/>
          <w:snapToGrid w:val="0"/>
          <w:kern w:val="0"/>
          <w:sz w:val="24"/>
          <w:szCs w:val="21"/>
          <w:vertAlign w:val="superscript"/>
        </w:rPr>
        <w:t>3</w:t>
      </w:r>
      <w:r>
        <w:rPr>
          <w:rFonts w:ascii="Arial" w:hAnsi="Arial" w:eastAsia="宋体" w:cs="Arial"/>
          <w:snapToGrid w:val="0"/>
          <w:kern w:val="0"/>
          <w:sz w:val="24"/>
          <w:szCs w:val="21"/>
        </w:rPr>
        <w:t>，本项目表层土壤容重为1220kg/m</w:t>
      </w:r>
      <w:r>
        <w:rPr>
          <w:rFonts w:ascii="Arial" w:hAnsi="Arial" w:eastAsia="宋体" w:cs="Arial"/>
          <w:snapToGrid w:val="0"/>
          <w:kern w:val="0"/>
          <w:sz w:val="24"/>
          <w:szCs w:val="21"/>
          <w:vertAlign w:val="superscript"/>
        </w:rPr>
        <w:t>3</w:t>
      </w:r>
      <w:r>
        <w:rPr>
          <w:rFonts w:ascii="Arial" w:hAnsi="Arial" w:eastAsia="宋体" w:cs="Arial"/>
          <w:snapToGrid w:val="0"/>
          <w:kern w:val="0"/>
          <w:sz w:val="24"/>
          <w:szCs w:val="21"/>
        </w:rPr>
        <w:t>；</w:t>
      </w:r>
    </w:p>
    <w:p w14:paraId="63C34C02">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A：预测评价范围，m</w:t>
      </w:r>
      <w:r>
        <w:rPr>
          <w:rFonts w:ascii="Arial" w:hAnsi="Arial" w:eastAsia="宋体" w:cs="Arial"/>
          <w:snapToGrid w:val="0"/>
          <w:kern w:val="0"/>
          <w:sz w:val="24"/>
          <w:szCs w:val="21"/>
          <w:vertAlign w:val="superscript"/>
        </w:rPr>
        <w:t>2</w:t>
      </w:r>
      <w:r>
        <w:rPr>
          <w:rFonts w:ascii="Arial" w:hAnsi="Arial" w:eastAsia="宋体" w:cs="Arial"/>
          <w:snapToGrid w:val="0"/>
          <w:kern w:val="0"/>
          <w:sz w:val="24"/>
          <w:szCs w:val="21"/>
        </w:rPr>
        <w:t>，按单位面积1m</w:t>
      </w:r>
      <w:r>
        <w:rPr>
          <w:rFonts w:ascii="Arial" w:hAnsi="Arial" w:eastAsia="宋体" w:cs="Arial"/>
          <w:snapToGrid w:val="0"/>
          <w:kern w:val="0"/>
          <w:sz w:val="24"/>
          <w:szCs w:val="21"/>
          <w:vertAlign w:val="superscript"/>
        </w:rPr>
        <w:t>2</w:t>
      </w:r>
      <w:r>
        <w:rPr>
          <w:rFonts w:ascii="Arial" w:hAnsi="Arial" w:eastAsia="宋体" w:cs="Arial"/>
          <w:snapToGrid w:val="0"/>
          <w:kern w:val="0"/>
          <w:sz w:val="24"/>
          <w:szCs w:val="21"/>
        </w:rPr>
        <w:t>；</w:t>
      </w:r>
    </w:p>
    <w:p w14:paraId="5647C7F6">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D：表层土壤深度，一般取0.2m；</w:t>
      </w:r>
    </w:p>
    <w:p w14:paraId="1ACEFD0A">
      <w:pPr>
        <w:spacing w:line="500" w:lineRule="exact"/>
        <w:ind w:firstLine="1125" w:firstLineChars="500"/>
        <w:rPr>
          <w:rFonts w:ascii="Arial" w:hAnsi="Arial" w:eastAsia="宋体" w:cs="Arial"/>
          <w:snapToGrid w:val="0"/>
          <w:kern w:val="0"/>
          <w:sz w:val="24"/>
          <w:szCs w:val="21"/>
        </w:rPr>
      </w:pPr>
      <w:r>
        <w:rPr>
          <w:rFonts w:ascii="Arial" w:hAnsi="Arial" w:eastAsia="宋体" w:cs="Arial"/>
          <w:snapToGrid w:val="0"/>
          <w:kern w:val="0"/>
          <w:sz w:val="24"/>
          <w:szCs w:val="21"/>
        </w:rPr>
        <w:t>n：持续年份，a，分别取1、5、10、30年。</w:t>
      </w:r>
    </w:p>
    <w:p w14:paraId="11CE25DA">
      <w:pPr>
        <w:pStyle w:val="474"/>
        <w:ind w:firstLine="489"/>
        <w:rPr>
          <w:rFonts w:ascii="Arial" w:hAnsi="Arial" w:cs="Arial"/>
          <w:spacing w:val="10"/>
        </w:rPr>
      </w:pPr>
      <w:r>
        <w:rPr>
          <w:rFonts w:hint="eastAsia" w:ascii="Arial" w:hAnsi="Arial" w:cs="Arial"/>
          <w:spacing w:val="10"/>
        </w:rPr>
        <w:t>钴及其化合物</w:t>
      </w:r>
      <w:r>
        <w:rPr>
          <w:rFonts w:ascii="Arial" w:hAnsi="Arial" w:cs="Arial"/>
          <w:spacing w:val="10"/>
        </w:rPr>
        <w:t>在土壤中不易被自然淋溶迁移，考虑污染物输入量中自然输入量与自然淋溶迁移量的动态平衡，土壤背景值较为稳定平衡时，自然输入量等于自然淋溶迁移量。即不考虑某种物质经淋溶或径流排出量，均按0计算，项目</w:t>
      </w:r>
      <w:r>
        <w:rPr>
          <w:rFonts w:hint="eastAsia" w:ascii="Arial" w:hAnsi="Arial" w:cs="Arial"/>
          <w:snapToGrid w:val="0"/>
          <w:kern w:val="0"/>
          <w:szCs w:val="21"/>
        </w:rPr>
        <w:t>钴及其化合物</w:t>
      </w:r>
      <w:r>
        <w:rPr>
          <w:rFonts w:ascii="Arial" w:hAnsi="Arial" w:cs="Arial"/>
          <w:spacing w:val="10"/>
        </w:rPr>
        <w:t>的累积影响最大。</w:t>
      </w:r>
    </w:p>
    <w:p w14:paraId="2C8EDF08">
      <w:pPr>
        <w:pStyle w:val="474"/>
        <w:ind w:firstLine="489"/>
        <w:rPr>
          <w:rFonts w:ascii="Arial" w:hAnsi="Arial" w:cs="Arial"/>
          <w:spacing w:val="10"/>
        </w:rPr>
      </w:pPr>
      <w:r>
        <w:rPr>
          <w:rFonts w:ascii="Arial" w:hAnsi="Arial" w:cs="Arial"/>
          <w:spacing w:val="10"/>
        </w:rPr>
        <w:t>烟气中的污染物在表层土壤的输入量为干沉降量和湿沉降量两部分，由于项目排放烟尘的粒度较细，受重用作用沉降的颗粒物较少，绝大部分颗粒物沉降主要以湿沉降为主，因此本次预测以干沉降占10%，湿沉降占90%。则项目污染物的输入量为：</w:t>
      </w:r>
    </w:p>
    <w:p w14:paraId="000F10A6">
      <w:pPr>
        <w:pStyle w:val="474"/>
        <w:ind w:firstLine="1208" w:firstLineChars="493"/>
        <w:rPr>
          <w:rFonts w:ascii="Arial" w:hAnsi="Arial" w:cs="Arial"/>
          <w:spacing w:val="10"/>
        </w:rPr>
      </w:pPr>
      <w:r>
        <w:rPr>
          <w:rFonts w:ascii="Cambria Math" w:hAnsi="Cambria Math" w:cs="Cambria Math"/>
          <w:spacing w:val="10"/>
        </w:rPr>
        <w:t>△</w:t>
      </w:r>
      <w:r>
        <w:rPr>
          <w:rFonts w:ascii="Arial" w:hAnsi="Arial" w:cs="Arial"/>
          <w:spacing w:val="10"/>
        </w:rPr>
        <w:t>S=10×S</w:t>
      </w:r>
      <w:r>
        <w:rPr>
          <w:rFonts w:ascii="Arial" w:hAnsi="Arial" w:cs="Arial"/>
          <w:spacing w:val="10"/>
          <w:vertAlign w:val="subscript"/>
        </w:rPr>
        <w:t>干</w:t>
      </w:r>
    </w:p>
    <w:p w14:paraId="5CFE6281">
      <w:pPr>
        <w:pStyle w:val="474"/>
        <w:ind w:firstLine="1208" w:firstLineChars="493"/>
        <w:rPr>
          <w:rFonts w:ascii="Arial" w:hAnsi="Arial" w:cs="Arial"/>
          <w:spacing w:val="10"/>
        </w:rPr>
      </w:pPr>
      <w:r>
        <w:rPr>
          <w:rFonts w:ascii="Arial" w:hAnsi="Arial" w:cs="Arial"/>
          <w:spacing w:val="10"/>
        </w:rPr>
        <w:t>S</w:t>
      </w:r>
      <w:r>
        <w:rPr>
          <w:rFonts w:ascii="Arial" w:hAnsi="Arial" w:cs="Arial"/>
          <w:spacing w:val="10"/>
          <w:vertAlign w:val="subscript"/>
        </w:rPr>
        <w:t>干</w:t>
      </w:r>
      <w:r>
        <w:rPr>
          <w:rFonts w:ascii="Arial" w:hAnsi="Arial" w:cs="Arial"/>
          <w:spacing w:val="10"/>
        </w:rPr>
        <w:t>=C×V×T/M</w:t>
      </w:r>
    </w:p>
    <w:p w14:paraId="2615E388">
      <w:pPr>
        <w:pStyle w:val="474"/>
        <w:ind w:firstLine="489"/>
        <w:rPr>
          <w:rFonts w:ascii="Arial" w:hAnsi="Arial" w:cs="Arial"/>
          <w:spacing w:val="10"/>
        </w:rPr>
      </w:pPr>
      <w:r>
        <w:rPr>
          <w:rFonts w:ascii="Arial" w:hAnsi="Arial" w:cs="Arial"/>
          <w:spacing w:val="10"/>
        </w:rPr>
        <w:t>式中：</w:t>
      </w:r>
      <w:r>
        <w:rPr>
          <w:rFonts w:ascii="Cambria Math" w:hAnsi="Cambria Math" w:cs="Cambria Math"/>
          <w:spacing w:val="10"/>
        </w:rPr>
        <w:t>△</w:t>
      </w:r>
      <w:r>
        <w:rPr>
          <w:rFonts w:ascii="Arial" w:hAnsi="Arial" w:cs="Arial"/>
          <w:spacing w:val="10"/>
        </w:rPr>
        <w:t>S：单位面积的污染物沉降量，mg/kg；</w:t>
      </w:r>
    </w:p>
    <w:p w14:paraId="30C69267">
      <w:pPr>
        <w:pStyle w:val="474"/>
        <w:ind w:left="1693" w:leftChars="500" w:hanging="368" w:hangingChars="150"/>
        <w:rPr>
          <w:rFonts w:ascii="Arial" w:hAnsi="Arial" w:cs="Arial"/>
          <w:spacing w:val="10"/>
        </w:rPr>
      </w:pPr>
      <w:r>
        <w:rPr>
          <w:rFonts w:ascii="Arial" w:hAnsi="Arial" w:cs="Arial"/>
          <w:spacing w:val="10"/>
        </w:rPr>
        <w:t>S干：单位面积的污染物干沉降量，mg/kg；</w:t>
      </w:r>
    </w:p>
    <w:p w14:paraId="4CEB4386">
      <w:pPr>
        <w:pStyle w:val="474"/>
        <w:ind w:firstLine="1225" w:firstLineChars="500"/>
        <w:rPr>
          <w:rFonts w:ascii="Arial" w:hAnsi="Arial" w:cs="Arial"/>
          <w:spacing w:val="10"/>
        </w:rPr>
      </w:pPr>
      <w:r>
        <w:rPr>
          <w:rFonts w:ascii="Arial" w:hAnsi="Arial" w:cs="Arial"/>
          <w:spacing w:val="10"/>
        </w:rPr>
        <w:t>C：污染物浓度，mg/m</w:t>
      </w:r>
      <w:r>
        <w:rPr>
          <w:rFonts w:ascii="Arial" w:hAnsi="Arial" w:cs="Arial"/>
          <w:spacing w:val="10"/>
          <w:vertAlign w:val="superscript"/>
        </w:rPr>
        <w:t>3</w:t>
      </w:r>
      <w:r>
        <w:rPr>
          <w:rFonts w:ascii="Arial" w:hAnsi="Arial" w:cs="Arial"/>
          <w:spacing w:val="10"/>
        </w:rPr>
        <w:t>；</w:t>
      </w:r>
    </w:p>
    <w:p w14:paraId="788A37CE">
      <w:pPr>
        <w:pStyle w:val="474"/>
        <w:ind w:left="1693" w:leftChars="500" w:hanging="368" w:hangingChars="150"/>
        <w:rPr>
          <w:rFonts w:ascii="Arial" w:hAnsi="Arial" w:cs="Arial"/>
          <w:spacing w:val="10"/>
        </w:rPr>
      </w:pPr>
      <w:r>
        <w:rPr>
          <w:rFonts w:ascii="Arial" w:hAnsi="Arial" w:cs="Arial"/>
          <w:spacing w:val="10"/>
        </w:rPr>
        <w:t>V：污染物沉降速率，m/s；由于项目排放烟尘的粒度较细，沉降速率取0.1cm/s(即0.001m/s)；</w:t>
      </w:r>
    </w:p>
    <w:p w14:paraId="698BC8A7">
      <w:pPr>
        <w:pStyle w:val="474"/>
        <w:ind w:firstLine="1225" w:firstLineChars="500"/>
        <w:rPr>
          <w:rFonts w:ascii="Arial" w:hAnsi="Arial" w:cs="Arial"/>
          <w:spacing w:val="10"/>
        </w:rPr>
      </w:pPr>
      <w:r>
        <w:rPr>
          <w:rFonts w:ascii="Arial" w:hAnsi="Arial" w:cs="Arial"/>
          <w:spacing w:val="10"/>
        </w:rPr>
        <w:t>T：年内污染物沉降时间，s。</w:t>
      </w:r>
    </w:p>
    <w:p w14:paraId="329DA162">
      <w:pPr>
        <w:pStyle w:val="474"/>
        <w:ind w:firstLine="1225" w:firstLineChars="500"/>
        <w:rPr>
          <w:rFonts w:ascii="Arial" w:hAnsi="Arial" w:cs="Arial"/>
          <w:spacing w:val="10"/>
        </w:rPr>
      </w:pPr>
      <w:r>
        <w:rPr>
          <w:rFonts w:ascii="Arial" w:hAnsi="Arial" w:cs="Arial"/>
          <w:spacing w:val="10"/>
        </w:rPr>
        <w:t>M：单位面积土壤质量，kg/m</w:t>
      </w:r>
      <w:r>
        <w:rPr>
          <w:rFonts w:ascii="Arial" w:hAnsi="Arial" w:cs="Arial"/>
          <w:spacing w:val="10"/>
          <w:vertAlign w:val="superscript"/>
        </w:rPr>
        <w:t>2</w:t>
      </w:r>
      <w:r>
        <w:rPr>
          <w:rFonts w:ascii="Arial" w:hAnsi="Arial" w:cs="Arial"/>
          <w:spacing w:val="10"/>
        </w:rPr>
        <w:t>，为厚度(0.2m)×土壤容重（根据监测取1.37g/cm</w:t>
      </w:r>
      <w:r>
        <w:rPr>
          <w:rFonts w:ascii="Arial" w:hAnsi="Arial" w:cs="Arial"/>
          <w:spacing w:val="10"/>
          <w:vertAlign w:val="superscript"/>
        </w:rPr>
        <w:t>3</w:t>
      </w:r>
      <w:r>
        <w:rPr>
          <w:rFonts w:ascii="Arial" w:hAnsi="Arial" w:cs="Arial"/>
          <w:spacing w:val="10"/>
        </w:rPr>
        <w:t>）。</w:t>
      </w:r>
    </w:p>
    <w:p w14:paraId="644509F6">
      <w:pPr>
        <w:pStyle w:val="474"/>
        <w:spacing w:line="500" w:lineRule="exact"/>
        <w:ind w:firstLine="489"/>
        <w:rPr>
          <w:rFonts w:ascii="Arial" w:hAnsi="Arial" w:cs="Arial"/>
          <w:spacing w:val="10"/>
        </w:rPr>
      </w:pPr>
      <w:r>
        <w:rPr>
          <w:rFonts w:ascii="Arial" w:hAnsi="Arial" w:cs="Arial"/>
          <w:spacing w:val="10"/>
        </w:rPr>
        <w:t>根据大气预测结果可知大气沉降最大落地浓度点位于厂址南面，用地类型为建设用地，由于项目土壤评价范围内有农业用地和建设用地，因此本次评价选取厂区南面（大气沉降最大落地浓度点）和项目周边农业用地中受项目影响最大点（鸡墩头村）进行预测。</w:t>
      </w:r>
    </w:p>
    <w:p w14:paraId="479C08A5">
      <w:pPr>
        <w:numPr>
          <w:ilvl w:val="0"/>
          <w:numId w:val="22"/>
        </w:numPr>
        <w:spacing w:line="500" w:lineRule="exact"/>
        <w:ind w:left="0" w:firstLine="0"/>
        <w:jc w:val="center"/>
        <w:outlineLvl w:val="4"/>
        <w:rPr>
          <w:rFonts w:ascii="Arial" w:hAnsi="Arial" w:eastAsia="宋体" w:cs="Arial"/>
          <w:b/>
          <w:sz w:val="24"/>
          <w:szCs w:val="24"/>
        </w:rPr>
      </w:pPr>
      <w:bookmarkStart w:id="339" w:name="_Hlk69865160"/>
      <w:r>
        <w:rPr>
          <w:rFonts w:ascii="Arial" w:hAnsi="Arial" w:eastAsia="宋体" w:cs="Arial"/>
          <w:b/>
          <w:sz w:val="24"/>
          <w:szCs w:val="24"/>
        </w:rPr>
        <w:t>土壤累积影响预测</w:t>
      </w:r>
      <w:bookmarkEnd w:id="339"/>
      <w:r>
        <w:rPr>
          <w:rFonts w:ascii="Arial" w:hAnsi="Arial" w:eastAsia="宋体" w:cs="Arial"/>
          <w:b/>
          <w:sz w:val="24"/>
          <w:szCs w:val="24"/>
        </w:rPr>
        <w:t>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1273"/>
        <w:gridCol w:w="802"/>
        <w:gridCol w:w="1347"/>
        <w:gridCol w:w="1347"/>
        <w:gridCol w:w="1347"/>
        <w:gridCol w:w="1348"/>
        <w:gridCol w:w="765"/>
      </w:tblGrid>
      <w:tr w14:paraId="57F88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tcBorders>
              <w:top w:val="single" w:color="auto" w:sz="4" w:space="0"/>
              <w:left w:val="single" w:color="auto" w:sz="4" w:space="0"/>
              <w:bottom w:val="single" w:color="auto" w:sz="4" w:space="0"/>
              <w:right w:val="single" w:color="auto" w:sz="4" w:space="0"/>
            </w:tcBorders>
            <w:vAlign w:val="center"/>
          </w:tcPr>
          <w:p w14:paraId="48047975">
            <w:pPr>
              <w:pStyle w:val="5"/>
              <w:adjustRightInd w:val="0"/>
              <w:snapToGrid w:val="0"/>
              <w:spacing w:line="240" w:lineRule="auto"/>
              <w:ind w:firstLine="0"/>
              <w:jc w:val="center"/>
              <w:rPr>
                <w:sz w:val="21"/>
                <w:szCs w:val="21"/>
                <w:u w:val="single"/>
              </w:rPr>
            </w:pPr>
            <w:r>
              <w:rPr>
                <w:sz w:val="21"/>
                <w:szCs w:val="21"/>
                <w:u w:val="single"/>
              </w:rPr>
              <w:t>因子</w:t>
            </w:r>
          </w:p>
        </w:tc>
        <w:tc>
          <w:tcPr>
            <w:tcW w:w="708" w:type="pct"/>
            <w:tcBorders>
              <w:top w:val="single" w:color="auto" w:sz="4" w:space="0"/>
              <w:left w:val="single" w:color="auto" w:sz="4" w:space="0"/>
              <w:bottom w:val="single" w:color="auto" w:sz="4" w:space="0"/>
              <w:right w:val="single" w:color="auto" w:sz="4" w:space="0"/>
            </w:tcBorders>
            <w:vAlign w:val="center"/>
          </w:tcPr>
          <w:p w14:paraId="6EB45D56">
            <w:pPr>
              <w:pStyle w:val="5"/>
              <w:adjustRightInd w:val="0"/>
              <w:snapToGrid w:val="0"/>
              <w:spacing w:line="240" w:lineRule="auto"/>
              <w:ind w:firstLine="0"/>
              <w:jc w:val="center"/>
              <w:rPr>
                <w:sz w:val="21"/>
                <w:szCs w:val="21"/>
                <w:u w:val="single"/>
              </w:rPr>
            </w:pPr>
            <w:r>
              <w:rPr>
                <w:sz w:val="21"/>
                <w:szCs w:val="21"/>
                <w:u w:val="single"/>
              </w:rPr>
              <w:t>点位</w:t>
            </w:r>
          </w:p>
        </w:tc>
        <w:tc>
          <w:tcPr>
            <w:tcW w:w="446" w:type="pct"/>
            <w:tcBorders>
              <w:top w:val="single" w:color="auto" w:sz="4" w:space="0"/>
              <w:left w:val="single" w:color="auto" w:sz="4" w:space="0"/>
              <w:bottom w:val="single" w:color="auto" w:sz="4" w:space="0"/>
              <w:right w:val="single" w:color="auto" w:sz="4" w:space="0"/>
            </w:tcBorders>
            <w:vAlign w:val="center"/>
          </w:tcPr>
          <w:p w14:paraId="186D924C">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时段</w:t>
            </w:r>
          </w:p>
        </w:tc>
        <w:tc>
          <w:tcPr>
            <w:tcW w:w="749" w:type="pct"/>
            <w:tcBorders>
              <w:top w:val="single" w:color="auto" w:sz="4" w:space="0"/>
              <w:left w:val="single" w:color="auto" w:sz="4" w:space="0"/>
              <w:bottom w:val="single" w:color="auto" w:sz="4" w:space="0"/>
              <w:right w:val="single" w:color="auto" w:sz="4" w:space="0"/>
            </w:tcBorders>
            <w:vAlign w:val="center"/>
          </w:tcPr>
          <w:p w14:paraId="3E92305F">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累积值</w:t>
            </w:r>
          </w:p>
          <w:p w14:paraId="09568049">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（mg/kg）</w:t>
            </w:r>
          </w:p>
        </w:tc>
        <w:tc>
          <w:tcPr>
            <w:tcW w:w="749" w:type="pct"/>
            <w:tcBorders>
              <w:top w:val="single" w:color="auto" w:sz="4" w:space="0"/>
              <w:left w:val="single" w:color="auto" w:sz="4" w:space="0"/>
              <w:bottom w:val="single" w:color="auto" w:sz="4" w:space="0"/>
              <w:right w:val="single" w:color="auto" w:sz="4" w:space="0"/>
            </w:tcBorders>
            <w:vAlign w:val="center"/>
          </w:tcPr>
          <w:p w14:paraId="568426D7">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背景值</w:t>
            </w:r>
          </w:p>
          <w:p w14:paraId="26D2FA65">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（mg/kg）</w:t>
            </w:r>
          </w:p>
        </w:tc>
        <w:tc>
          <w:tcPr>
            <w:tcW w:w="749" w:type="pct"/>
            <w:tcBorders>
              <w:top w:val="single" w:color="auto" w:sz="4" w:space="0"/>
              <w:left w:val="single" w:color="auto" w:sz="4" w:space="0"/>
              <w:bottom w:val="single" w:color="auto" w:sz="4" w:space="0"/>
              <w:right w:val="single" w:color="auto" w:sz="4" w:space="0"/>
            </w:tcBorders>
            <w:vAlign w:val="center"/>
          </w:tcPr>
          <w:p w14:paraId="06DCCAF0">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叠加值</w:t>
            </w:r>
          </w:p>
          <w:p w14:paraId="5F620F49">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（mg/kg）</w:t>
            </w:r>
          </w:p>
        </w:tc>
        <w:tc>
          <w:tcPr>
            <w:tcW w:w="749" w:type="pct"/>
            <w:tcBorders>
              <w:top w:val="single" w:color="auto" w:sz="4" w:space="0"/>
              <w:left w:val="single" w:color="auto" w:sz="4" w:space="0"/>
              <w:bottom w:val="single" w:color="auto" w:sz="4" w:space="0"/>
              <w:right w:val="single" w:color="auto" w:sz="4" w:space="0"/>
            </w:tcBorders>
            <w:vAlign w:val="center"/>
          </w:tcPr>
          <w:p w14:paraId="4FF142E7">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标准值</w:t>
            </w:r>
          </w:p>
          <w:p w14:paraId="75A07A85">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（mg/kg）</w:t>
            </w:r>
          </w:p>
        </w:tc>
        <w:tc>
          <w:tcPr>
            <w:tcW w:w="425" w:type="pct"/>
            <w:tcBorders>
              <w:top w:val="single" w:color="auto" w:sz="4" w:space="0"/>
              <w:left w:val="single" w:color="auto" w:sz="4" w:space="0"/>
              <w:bottom w:val="single" w:color="auto" w:sz="4" w:space="0"/>
              <w:right w:val="single" w:color="auto" w:sz="4" w:space="0"/>
            </w:tcBorders>
            <w:vAlign w:val="center"/>
          </w:tcPr>
          <w:p w14:paraId="28894205">
            <w:pPr>
              <w:pStyle w:val="5"/>
              <w:adjustRightInd w:val="0"/>
              <w:snapToGrid w:val="0"/>
              <w:spacing w:line="240" w:lineRule="auto"/>
              <w:ind w:firstLine="0"/>
              <w:jc w:val="center"/>
              <w:rPr>
                <w:sz w:val="21"/>
                <w:szCs w:val="21"/>
                <w:u w:val="single"/>
              </w:rPr>
            </w:pPr>
            <w:r>
              <w:rPr>
                <w:sz w:val="21"/>
                <w:szCs w:val="21"/>
                <w:u w:val="single"/>
              </w:rPr>
              <w:t>达标</w:t>
            </w:r>
          </w:p>
          <w:p w14:paraId="34B67D7A">
            <w:pPr>
              <w:pStyle w:val="5"/>
              <w:adjustRightInd w:val="0"/>
              <w:snapToGrid w:val="0"/>
              <w:spacing w:line="240" w:lineRule="auto"/>
              <w:ind w:firstLine="0"/>
              <w:jc w:val="center"/>
              <w:rPr>
                <w:sz w:val="21"/>
                <w:szCs w:val="21"/>
                <w:u w:val="single"/>
              </w:rPr>
            </w:pPr>
            <w:r>
              <w:rPr>
                <w:sz w:val="21"/>
                <w:szCs w:val="21"/>
                <w:u w:val="single"/>
              </w:rPr>
              <w:t>情况</w:t>
            </w:r>
          </w:p>
        </w:tc>
      </w:tr>
      <w:tr w14:paraId="23E0C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restart"/>
            <w:tcBorders>
              <w:top w:val="single" w:color="auto" w:sz="4" w:space="0"/>
              <w:left w:val="single" w:color="auto" w:sz="4" w:space="0"/>
              <w:right w:val="single" w:color="auto" w:sz="4" w:space="0"/>
            </w:tcBorders>
            <w:vAlign w:val="center"/>
          </w:tcPr>
          <w:p w14:paraId="751F1424">
            <w:pPr>
              <w:pStyle w:val="5"/>
              <w:adjustRightInd w:val="0"/>
              <w:snapToGrid w:val="0"/>
              <w:spacing w:line="240" w:lineRule="auto"/>
              <w:ind w:firstLine="0"/>
              <w:jc w:val="center"/>
              <w:rPr>
                <w:sz w:val="21"/>
                <w:szCs w:val="21"/>
                <w:u w:val="single"/>
              </w:rPr>
            </w:pPr>
            <w:r>
              <w:rPr>
                <w:rFonts w:hint="eastAsia"/>
                <w:sz w:val="21"/>
                <w:szCs w:val="21"/>
                <w:u w:val="single"/>
              </w:rPr>
              <w:t>钴</w:t>
            </w:r>
          </w:p>
        </w:tc>
        <w:tc>
          <w:tcPr>
            <w:tcW w:w="708" w:type="pct"/>
            <w:vMerge w:val="restart"/>
            <w:tcBorders>
              <w:top w:val="single" w:color="auto" w:sz="4" w:space="0"/>
              <w:left w:val="single" w:color="auto" w:sz="4" w:space="0"/>
              <w:right w:val="single" w:color="auto" w:sz="4" w:space="0"/>
            </w:tcBorders>
            <w:vAlign w:val="center"/>
          </w:tcPr>
          <w:p w14:paraId="4454A1DD">
            <w:pPr>
              <w:pStyle w:val="5"/>
              <w:adjustRightInd w:val="0"/>
              <w:snapToGrid w:val="0"/>
              <w:spacing w:line="240" w:lineRule="auto"/>
              <w:ind w:firstLine="0"/>
              <w:jc w:val="center"/>
              <w:rPr>
                <w:sz w:val="21"/>
                <w:szCs w:val="21"/>
                <w:u w:val="single"/>
              </w:rPr>
            </w:pPr>
            <w:r>
              <w:rPr>
                <w:sz w:val="21"/>
                <w:szCs w:val="21"/>
                <w:u w:val="single"/>
              </w:rPr>
              <w:t>厂区南面</w:t>
            </w:r>
          </w:p>
        </w:tc>
        <w:tc>
          <w:tcPr>
            <w:tcW w:w="446" w:type="pct"/>
            <w:tcBorders>
              <w:top w:val="single" w:color="auto" w:sz="4" w:space="0"/>
              <w:left w:val="single" w:color="auto" w:sz="4" w:space="0"/>
              <w:bottom w:val="single" w:color="auto" w:sz="4" w:space="0"/>
              <w:right w:val="single" w:color="auto" w:sz="4" w:space="0"/>
            </w:tcBorders>
            <w:vAlign w:val="center"/>
          </w:tcPr>
          <w:p w14:paraId="7DD26DA1">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1年</w:t>
            </w:r>
          </w:p>
        </w:tc>
        <w:tc>
          <w:tcPr>
            <w:tcW w:w="749" w:type="pct"/>
            <w:tcBorders>
              <w:top w:val="single" w:color="auto" w:sz="4" w:space="0"/>
              <w:left w:val="single" w:color="auto" w:sz="4" w:space="0"/>
              <w:bottom w:val="single" w:color="auto" w:sz="4" w:space="0"/>
              <w:right w:val="single" w:color="auto" w:sz="4" w:space="0"/>
            </w:tcBorders>
            <w:vAlign w:val="center"/>
          </w:tcPr>
          <w:p w14:paraId="0CC4AB3C">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0.1276</w:t>
            </w:r>
          </w:p>
        </w:tc>
        <w:tc>
          <w:tcPr>
            <w:tcW w:w="749" w:type="pct"/>
            <w:tcBorders>
              <w:top w:val="single" w:color="auto" w:sz="4" w:space="0"/>
              <w:left w:val="single" w:color="auto" w:sz="4" w:space="0"/>
              <w:bottom w:val="single" w:color="auto" w:sz="4" w:space="0"/>
              <w:right w:val="single" w:color="auto" w:sz="4" w:space="0"/>
            </w:tcBorders>
            <w:vAlign w:val="center"/>
          </w:tcPr>
          <w:p w14:paraId="6FE9C614">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2.26</w:t>
            </w:r>
          </w:p>
        </w:tc>
        <w:tc>
          <w:tcPr>
            <w:tcW w:w="749" w:type="pct"/>
            <w:tcBorders>
              <w:top w:val="single" w:color="auto" w:sz="4" w:space="0"/>
              <w:left w:val="single" w:color="auto" w:sz="4" w:space="0"/>
              <w:bottom w:val="single" w:color="auto" w:sz="4" w:space="0"/>
              <w:right w:val="single" w:color="auto" w:sz="4" w:space="0"/>
            </w:tcBorders>
            <w:vAlign w:val="center"/>
          </w:tcPr>
          <w:p w14:paraId="7660F0B0">
            <w:pPr>
              <w:adjustRightInd w:val="0"/>
              <w:snapToGrid w:val="0"/>
              <w:jc w:val="center"/>
              <w:rPr>
                <w:rFonts w:ascii="Arial" w:hAnsi="Arial" w:eastAsia="宋体" w:cs="Arial"/>
                <w:sz w:val="21"/>
                <w:szCs w:val="22"/>
                <w:u w:val="single"/>
              </w:rPr>
            </w:pPr>
            <w:r>
              <w:rPr>
                <w:rFonts w:ascii="Arial" w:hAnsi="Arial" w:cs="Arial"/>
                <w:sz w:val="21"/>
                <w:szCs w:val="22"/>
                <w:u w:val="single"/>
              </w:rPr>
              <w:t>2.3876</w:t>
            </w:r>
          </w:p>
        </w:tc>
        <w:tc>
          <w:tcPr>
            <w:tcW w:w="749" w:type="pct"/>
            <w:tcBorders>
              <w:top w:val="single" w:color="auto" w:sz="4" w:space="0"/>
              <w:left w:val="single" w:color="auto" w:sz="4" w:space="0"/>
              <w:bottom w:val="single" w:color="auto" w:sz="4" w:space="0"/>
              <w:right w:val="single" w:color="auto" w:sz="4" w:space="0"/>
            </w:tcBorders>
            <w:vAlign w:val="center"/>
          </w:tcPr>
          <w:p w14:paraId="7FFE80DA">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70</w:t>
            </w:r>
          </w:p>
        </w:tc>
        <w:tc>
          <w:tcPr>
            <w:tcW w:w="425" w:type="pct"/>
            <w:tcBorders>
              <w:top w:val="single" w:color="auto" w:sz="4" w:space="0"/>
              <w:left w:val="single" w:color="auto" w:sz="4" w:space="0"/>
              <w:bottom w:val="single" w:color="auto" w:sz="4" w:space="0"/>
              <w:right w:val="single" w:color="auto" w:sz="4" w:space="0"/>
            </w:tcBorders>
            <w:vAlign w:val="center"/>
          </w:tcPr>
          <w:p w14:paraId="61A22135">
            <w:pPr>
              <w:pStyle w:val="5"/>
              <w:adjustRightInd w:val="0"/>
              <w:snapToGrid w:val="0"/>
              <w:spacing w:line="240" w:lineRule="auto"/>
              <w:ind w:firstLine="0"/>
              <w:jc w:val="center"/>
              <w:rPr>
                <w:sz w:val="21"/>
                <w:szCs w:val="21"/>
                <w:u w:val="single"/>
              </w:rPr>
            </w:pPr>
            <w:r>
              <w:rPr>
                <w:sz w:val="21"/>
                <w:szCs w:val="21"/>
                <w:u w:val="single"/>
              </w:rPr>
              <w:t>达标</w:t>
            </w:r>
          </w:p>
        </w:tc>
      </w:tr>
      <w:tr w14:paraId="291FA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tcBorders>
              <w:left w:val="single" w:color="auto" w:sz="4" w:space="0"/>
              <w:right w:val="single" w:color="auto" w:sz="4" w:space="0"/>
            </w:tcBorders>
            <w:vAlign w:val="center"/>
          </w:tcPr>
          <w:p w14:paraId="01E78CB4">
            <w:pPr>
              <w:pStyle w:val="5"/>
              <w:adjustRightInd w:val="0"/>
              <w:snapToGrid w:val="0"/>
              <w:spacing w:line="240" w:lineRule="auto"/>
              <w:ind w:firstLine="0"/>
              <w:jc w:val="center"/>
              <w:rPr>
                <w:sz w:val="21"/>
                <w:szCs w:val="21"/>
                <w:u w:val="single"/>
              </w:rPr>
            </w:pPr>
          </w:p>
        </w:tc>
        <w:tc>
          <w:tcPr>
            <w:tcW w:w="708" w:type="pct"/>
            <w:vMerge w:val="continue"/>
            <w:tcBorders>
              <w:left w:val="single" w:color="auto" w:sz="4" w:space="0"/>
              <w:right w:val="single" w:color="auto" w:sz="4" w:space="0"/>
            </w:tcBorders>
            <w:vAlign w:val="center"/>
          </w:tcPr>
          <w:p w14:paraId="2B0D92E9">
            <w:pPr>
              <w:pStyle w:val="5"/>
              <w:adjustRightInd w:val="0"/>
              <w:snapToGrid w:val="0"/>
              <w:spacing w:line="240" w:lineRule="auto"/>
              <w:ind w:firstLine="0"/>
              <w:jc w:val="center"/>
              <w:rPr>
                <w:sz w:val="21"/>
                <w:szCs w:val="21"/>
                <w:u w:val="single"/>
              </w:rPr>
            </w:pPr>
          </w:p>
        </w:tc>
        <w:tc>
          <w:tcPr>
            <w:tcW w:w="446" w:type="pct"/>
            <w:tcBorders>
              <w:top w:val="single" w:color="auto" w:sz="4" w:space="0"/>
              <w:left w:val="single" w:color="auto" w:sz="4" w:space="0"/>
              <w:bottom w:val="single" w:color="auto" w:sz="4" w:space="0"/>
              <w:right w:val="single" w:color="auto" w:sz="4" w:space="0"/>
            </w:tcBorders>
            <w:vAlign w:val="center"/>
          </w:tcPr>
          <w:p w14:paraId="42C9ACFE">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5年</w:t>
            </w:r>
          </w:p>
        </w:tc>
        <w:tc>
          <w:tcPr>
            <w:tcW w:w="749" w:type="pct"/>
            <w:tcBorders>
              <w:top w:val="single" w:color="auto" w:sz="4" w:space="0"/>
              <w:left w:val="single" w:color="auto" w:sz="4" w:space="0"/>
              <w:bottom w:val="single" w:color="auto" w:sz="4" w:space="0"/>
              <w:right w:val="single" w:color="auto" w:sz="4" w:space="0"/>
            </w:tcBorders>
            <w:vAlign w:val="center"/>
          </w:tcPr>
          <w:p w14:paraId="4DFE6D88">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0.638</w:t>
            </w:r>
          </w:p>
        </w:tc>
        <w:tc>
          <w:tcPr>
            <w:tcW w:w="749" w:type="pct"/>
            <w:tcBorders>
              <w:top w:val="single" w:color="auto" w:sz="4" w:space="0"/>
              <w:left w:val="single" w:color="auto" w:sz="4" w:space="0"/>
              <w:bottom w:val="single" w:color="auto" w:sz="4" w:space="0"/>
              <w:right w:val="single" w:color="auto" w:sz="4" w:space="0"/>
            </w:tcBorders>
            <w:vAlign w:val="center"/>
          </w:tcPr>
          <w:p w14:paraId="34BCCB68">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2.26</w:t>
            </w:r>
          </w:p>
        </w:tc>
        <w:tc>
          <w:tcPr>
            <w:tcW w:w="749" w:type="pct"/>
            <w:tcBorders>
              <w:top w:val="single" w:color="auto" w:sz="4" w:space="0"/>
              <w:left w:val="single" w:color="auto" w:sz="4" w:space="0"/>
              <w:bottom w:val="single" w:color="auto" w:sz="4" w:space="0"/>
              <w:right w:val="single" w:color="auto" w:sz="4" w:space="0"/>
            </w:tcBorders>
            <w:vAlign w:val="center"/>
          </w:tcPr>
          <w:p w14:paraId="49D415D2">
            <w:pPr>
              <w:adjustRightInd w:val="0"/>
              <w:snapToGrid w:val="0"/>
              <w:jc w:val="center"/>
              <w:rPr>
                <w:rFonts w:ascii="Arial" w:hAnsi="Arial" w:eastAsia="宋体" w:cs="Arial"/>
                <w:sz w:val="21"/>
                <w:szCs w:val="22"/>
                <w:u w:val="single"/>
              </w:rPr>
            </w:pPr>
            <w:r>
              <w:rPr>
                <w:rFonts w:ascii="Arial" w:hAnsi="Arial" w:cs="Arial"/>
                <w:sz w:val="21"/>
                <w:szCs w:val="22"/>
                <w:u w:val="single"/>
              </w:rPr>
              <w:t>2.898</w:t>
            </w:r>
          </w:p>
        </w:tc>
        <w:tc>
          <w:tcPr>
            <w:tcW w:w="749" w:type="pct"/>
            <w:tcBorders>
              <w:top w:val="single" w:color="auto" w:sz="4" w:space="0"/>
              <w:left w:val="single" w:color="auto" w:sz="4" w:space="0"/>
              <w:bottom w:val="single" w:color="auto" w:sz="4" w:space="0"/>
              <w:right w:val="single" w:color="auto" w:sz="4" w:space="0"/>
            </w:tcBorders>
            <w:vAlign w:val="center"/>
          </w:tcPr>
          <w:p w14:paraId="6855E63D">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70</w:t>
            </w:r>
          </w:p>
        </w:tc>
        <w:tc>
          <w:tcPr>
            <w:tcW w:w="425" w:type="pct"/>
            <w:tcBorders>
              <w:top w:val="single" w:color="auto" w:sz="4" w:space="0"/>
              <w:left w:val="single" w:color="auto" w:sz="4" w:space="0"/>
              <w:bottom w:val="single" w:color="auto" w:sz="4" w:space="0"/>
              <w:right w:val="single" w:color="auto" w:sz="4" w:space="0"/>
            </w:tcBorders>
            <w:vAlign w:val="center"/>
          </w:tcPr>
          <w:p w14:paraId="426EA0E8">
            <w:pPr>
              <w:pStyle w:val="5"/>
              <w:adjustRightInd w:val="0"/>
              <w:snapToGrid w:val="0"/>
              <w:spacing w:line="240" w:lineRule="auto"/>
              <w:ind w:firstLine="0"/>
              <w:jc w:val="center"/>
              <w:rPr>
                <w:sz w:val="21"/>
                <w:szCs w:val="21"/>
                <w:u w:val="single"/>
              </w:rPr>
            </w:pPr>
            <w:r>
              <w:rPr>
                <w:sz w:val="21"/>
                <w:szCs w:val="21"/>
                <w:u w:val="single"/>
              </w:rPr>
              <w:t>达标</w:t>
            </w:r>
          </w:p>
        </w:tc>
      </w:tr>
      <w:tr w14:paraId="74A13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tcBorders>
              <w:left w:val="single" w:color="auto" w:sz="4" w:space="0"/>
              <w:right w:val="single" w:color="auto" w:sz="4" w:space="0"/>
            </w:tcBorders>
            <w:vAlign w:val="center"/>
          </w:tcPr>
          <w:p w14:paraId="3EB9E05F">
            <w:pPr>
              <w:pStyle w:val="5"/>
              <w:adjustRightInd w:val="0"/>
              <w:snapToGrid w:val="0"/>
              <w:spacing w:line="240" w:lineRule="auto"/>
              <w:ind w:firstLine="0"/>
              <w:jc w:val="center"/>
              <w:rPr>
                <w:sz w:val="21"/>
                <w:szCs w:val="21"/>
                <w:u w:val="single"/>
              </w:rPr>
            </w:pPr>
          </w:p>
        </w:tc>
        <w:tc>
          <w:tcPr>
            <w:tcW w:w="708" w:type="pct"/>
            <w:vMerge w:val="continue"/>
            <w:tcBorders>
              <w:left w:val="single" w:color="auto" w:sz="4" w:space="0"/>
              <w:right w:val="single" w:color="auto" w:sz="4" w:space="0"/>
            </w:tcBorders>
            <w:vAlign w:val="center"/>
          </w:tcPr>
          <w:p w14:paraId="7BE1602B">
            <w:pPr>
              <w:pStyle w:val="5"/>
              <w:adjustRightInd w:val="0"/>
              <w:snapToGrid w:val="0"/>
              <w:spacing w:line="240" w:lineRule="auto"/>
              <w:ind w:firstLine="0"/>
              <w:jc w:val="center"/>
              <w:rPr>
                <w:sz w:val="21"/>
                <w:szCs w:val="21"/>
                <w:u w:val="single"/>
              </w:rPr>
            </w:pPr>
          </w:p>
        </w:tc>
        <w:tc>
          <w:tcPr>
            <w:tcW w:w="446" w:type="pct"/>
            <w:tcBorders>
              <w:top w:val="single" w:color="auto" w:sz="4" w:space="0"/>
              <w:left w:val="single" w:color="auto" w:sz="4" w:space="0"/>
              <w:bottom w:val="single" w:color="auto" w:sz="4" w:space="0"/>
              <w:right w:val="single" w:color="auto" w:sz="4" w:space="0"/>
            </w:tcBorders>
            <w:vAlign w:val="center"/>
          </w:tcPr>
          <w:p w14:paraId="103352A7">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10年</w:t>
            </w:r>
          </w:p>
        </w:tc>
        <w:tc>
          <w:tcPr>
            <w:tcW w:w="749" w:type="pct"/>
            <w:tcBorders>
              <w:top w:val="single" w:color="auto" w:sz="4" w:space="0"/>
              <w:left w:val="single" w:color="auto" w:sz="4" w:space="0"/>
              <w:bottom w:val="single" w:color="auto" w:sz="4" w:space="0"/>
              <w:right w:val="single" w:color="auto" w:sz="4" w:space="0"/>
            </w:tcBorders>
            <w:vAlign w:val="center"/>
          </w:tcPr>
          <w:p w14:paraId="1BF67C0E">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1.276</w:t>
            </w:r>
          </w:p>
        </w:tc>
        <w:tc>
          <w:tcPr>
            <w:tcW w:w="749" w:type="pct"/>
            <w:tcBorders>
              <w:top w:val="single" w:color="auto" w:sz="4" w:space="0"/>
              <w:left w:val="single" w:color="auto" w:sz="4" w:space="0"/>
              <w:bottom w:val="single" w:color="auto" w:sz="4" w:space="0"/>
              <w:right w:val="single" w:color="auto" w:sz="4" w:space="0"/>
            </w:tcBorders>
            <w:vAlign w:val="center"/>
          </w:tcPr>
          <w:p w14:paraId="5A01DF14">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2.26</w:t>
            </w:r>
          </w:p>
        </w:tc>
        <w:tc>
          <w:tcPr>
            <w:tcW w:w="749" w:type="pct"/>
            <w:tcBorders>
              <w:top w:val="single" w:color="auto" w:sz="4" w:space="0"/>
              <w:left w:val="single" w:color="auto" w:sz="4" w:space="0"/>
              <w:bottom w:val="single" w:color="auto" w:sz="4" w:space="0"/>
              <w:right w:val="single" w:color="auto" w:sz="4" w:space="0"/>
            </w:tcBorders>
            <w:vAlign w:val="center"/>
          </w:tcPr>
          <w:p w14:paraId="14D7F2BC">
            <w:pPr>
              <w:adjustRightInd w:val="0"/>
              <w:snapToGrid w:val="0"/>
              <w:jc w:val="center"/>
              <w:rPr>
                <w:rFonts w:ascii="Arial" w:hAnsi="Arial" w:eastAsia="宋体" w:cs="Arial"/>
                <w:sz w:val="21"/>
                <w:szCs w:val="22"/>
                <w:u w:val="single"/>
              </w:rPr>
            </w:pPr>
            <w:r>
              <w:rPr>
                <w:rFonts w:ascii="Arial" w:hAnsi="Arial" w:cs="Arial"/>
                <w:sz w:val="21"/>
                <w:szCs w:val="22"/>
                <w:u w:val="single"/>
              </w:rPr>
              <w:t>3.536</w:t>
            </w:r>
          </w:p>
        </w:tc>
        <w:tc>
          <w:tcPr>
            <w:tcW w:w="749" w:type="pct"/>
            <w:tcBorders>
              <w:top w:val="single" w:color="auto" w:sz="4" w:space="0"/>
              <w:left w:val="single" w:color="auto" w:sz="4" w:space="0"/>
              <w:bottom w:val="single" w:color="auto" w:sz="4" w:space="0"/>
              <w:right w:val="single" w:color="auto" w:sz="4" w:space="0"/>
            </w:tcBorders>
            <w:vAlign w:val="center"/>
          </w:tcPr>
          <w:p w14:paraId="3B87E26D">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70</w:t>
            </w:r>
          </w:p>
        </w:tc>
        <w:tc>
          <w:tcPr>
            <w:tcW w:w="425" w:type="pct"/>
            <w:tcBorders>
              <w:top w:val="single" w:color="auto" w:sz="4" w:space="0"/>
              <w:left w:val="single" w:color="auto" w:sz="4" w:space="0"/>
              <w:bottom w:val="single" w:color="auto" w:sz="4" w:space="0"/>
              <w:right w:val="single" w:color="auto" w:sz="4" w:space="0"/>
            </w:tcBorders>
            <w:vAlign w:val="center"/>
          </w:tcPr>
          <w:p w14:paraId="6706380D">
            <w:pPr>
              <w:pStyle w:val="5"/>
              <w:adjustRightInd w:val="0"/>
              <w:snapToGrid w:val="0"/>
              <w:spacing w:line="240" w:lineRule="auto"/>
              <w:ind w:firstLine="0"/>
              <w:jc w:val="center"/>
              <w:rPr>
                <w:sz w:val="21"/>
                <w:szCs w:val="21"/>
                <w:u w:val="single"/>
              </w:rPr>
            </w:pPr>
            <w:r>
              <w:rPr>
                <w:sz w:val="21"/>
                <w:szCs w:val="21"/>
                <w:u w:val="single"/>
              </w:rPr>
              <w:t>达标</w:t>
            </w:r>
          </w:p>
        </w:tc>
      </w:tr>
      <w:tr w14:paraId="04F3B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tcBorders>
              <w:left w:val="single" w:color="auto" w:sz="4" w:space="0"/>
              <w:right w:val="single" w:color="auto" w:sz="4" w:space="0"/>
            </w:tcBorders>
            <w:vAlign w:val="center"/>
          </w:tcPr>
          <w:p w14:paraId="68BBEF2D">
            <w:pPr>
              <w:pStyle w:val="5"/>
              <w:adjustRightInd w:val="0"/>
              <w:snapToGrid w:val="0"/>
              <w:spacing w:line="240" w:lineRule="auto"/>
              <w:ind w:firstLine="0"/>
              <w:jc w:val="center"/>
              <w:rPr>
                <w:sz w:val="21"/>
                <w:szCs w:val="21"/>
                <w:u w:val="single"/>
              </w:rPr>
            </w:pPr>
          </w:p>
        </w:tc>
        <w:tc>
          <w:tcPr>
            <w:tcW w:w="708" w:type="pct"/>
            <w:vMerge w:val="continue"/>
            <w:tcBorders>
              <w:left w:val="single" w:color="auto" w:sz="4" w:space="0"/>
              <w:bottom w:val="single" w:color="auto" w:sz="4" w:space="0"/>
              <w:right w:val="single" w:color="auto" w:sz="4" w:space="0"/>
            </w:tcBorders>
            <w:vAlign w:val="center"/>
          </w:tcPr>
          <w:p w14:paraId="0CD37BD3">
            <w:pPr>
              <w:pStyle w:val="5"/>
              <w:adjustRightInd w:val="0"/>
              <w:snapToGrid w:val="0"/>
              <w:spacing w:line="240" w:lineRule="auto"/>
              <w:ind w:firstLine="0"/>
              <w:jc w:val="center"/>
              <w:rPr>
                <w:sz w:val="21"/>
                <w:szCs w:val="21"/>
                <w:u w:val="single"/>
              </w:rPr>
            </w:pPr>
          </w:p>
        </w:tc>
        <w:tc>
          <w:tcPr>
            <w:tcW w:w="446" w:type="pct"/>
            <w:tcBorders>
              <w:top w:val="single" w:color="auto" w:sz="4" w:space="0"/>
              <w:left w:val="single" w:color="auto" w:sz="4" w:space="0"/>
              <w:bottom w:val="single" w:color="auto" w:sz="4" w:space="0"/>
              <w:right w:val="single" w:color="auto" w:sz="4" w:space="0"/>
            </w:tcBorders>
            <w:vAlign w:val="center"/>
          </w:tcPr>
          <w:p w14:paraId="28420567">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30年</w:t>
            </w:r>
          </w:p>
        </w:tc>
        <w:tc>
          <w:tcPr>
            <w:tcW w:w="749" w:type="pct"/>
            <w:tcBorders>
              <w:top w:val="single" w:color="auto" w:sz="4" w:space="0"/>
              <w:left w:val="single" w:color="auto" w:sz="4" w:space="0"/>
              <w:bottom w:val="single" w:color="auto" w:sz="4" w:space="0"/>
              <w:right w:val="single" w:color="auto" w:sz="4" w:space="0"/>
            </w:tcBorders>
            <w:vAlign w:val="center"/>
          </w:tcPr>
          <w:p w14:paraId="07D5F94B">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3.828</w:t>
            </w:r>
          </w:p>
        </w:tc>
        <w:tc>
          <w:tcPr>
            <w:tcW w:w="749" w:type="pct"/>
            <w:tcBorders>
              <w:top w:val="single" w:color="auto" w:sz="4" w:space="0"/>
              <w:left w:val="single" w:color="auto" w:sz="4" w:space="0"/>
              <w:bottom w:val="single" w:color="auto" w:sz="4" w:space="0"/>
              <w:right w:val="single" w:color="auto" w:sz="4" w:space="0"/>
            </w:tcBorders>
            <w:vAlign w:val="center"/>
          </w:tcPr>
          <w:p w14:paraId="36C9608D">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2.26</w:t>
            </w:r>
          </w:p>
        </w:tc>
        <w:tc>
          <w:tcPr>
            <w:tcW w:w="749" w:type="pct"/>
            <w:tcBorders>
              <w:top w:val="single" w:color="auto" w:sz="4" w:space="0"/>
              <w:left w:val="single" w:color="auto" w:sz="4" w:space="0"/>
              <w:bottom w:val="single" w:color="auto" w:sz="4" w:space="0"/>
              <w:right w:val="single" w:color="auto" w:sz="4" w:space="0"/>
            </w:tcBorders>
            <w:vAlign w:val="center"/>
          </w:tcPr>
          <w:p w14:paraId="6689E4CD">
            <w:pPr>
              <w:adjustRightInd w:val="0"/>
              <w:snapToGrid w:val="0"/>
              <w:jc w:val="center"/>
              <w:rPr>
                <w:rFonts w:ascii="Arial" w:hAnsi="Arial" w:eastAsia="宋体" w:cs="Arial"/>
                <w:sz w:val="21"/>
                <w:szCs w:val="22"/>
                <w:u w:val="single"/>
              </w:rPr>
            </w:pPr>
            <w:r>
              <w:rPr>
                <w:rFonts w:ascii="Arial" w:hAnsi="Arial" w:cs="Arial"/>
                <w:sz w:val="21"/>
                <w:szCs w:val="22"/>
                <w:u w:val="single"/>
              </w:rPr>
              <w:t>6.088</w:t>
            </w:r>
          </w:p>
        </w:tc>
        <w:tc>
          <w:tcPr>
            <w:tcW w:w="749" w:type="pct"/>
            <w:tcBorders>
              <w:top w:val="single" w:color="auto" w:sz="4" w:space="0"/>
              <w:left w:val="single" w:color="auto" w:sz="4" w:space="0"/>
              <w:bottom w:val="single" w:color="auto" w:sz="4" w:space="0"/>
              <w:right w:val="single" w:color="auto" w:sz="4" w:space="0"/>
            </w:tcBorders>
            <w:vAlign w:val="center"/>
          </w:tcPr>
          <w:p w14:paraId="531B75AC">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70</w:t>
            </w:r>
          </w:p>
        </w:tc>
        <w:tc>
          <w:tcPr>
            <w:tcW w:w="425" w:type="pct"/>
            <w:tcBorders>
              <w:top w:val="single" w:color="auto" w:sz="4" w:space="0"/>
              <w:left w:val="single" w:color="auto" w:sz="4" w:space="0"/>
              <w:bottom w:val="single" w:color="auto" w:sz="4" w:space="0"/>
              <w:right w:val="single" w:color="auto" w:sz="4" w:space="0"/>
            </w:tcBorders>
            <w:vAlign w:val="center"/>
          </w:tcPr>
          <w:p w14:paraId="5F7E2239">
            <w:pPr>
              <w:pStyle w:val="5"/>
              <w:adjustRightInd w:val="0"/>
              <w:snapToGrid w:val="0"/>
              <w:spacing w:line="240" w:lineRule="auto"/>
              <w:ind w:firstLine="0"/>
              <w:jc w:val="center"/>
              <w:rPr>
                <w:sz w:val="21"/>
                <w:szCs w:val="21"/>
                <w:u w:val="single"/>
              </w:rPr>
            </w:pPr>
            <w:r>
              <w:rPr>
                <w:sz w:val="21"/>
                <w:szCs w:val="21"/>
                <w:u w:val="single"/>
              </w:rPr>
              <w:t>达标</w:t>
            </w:r>
          </w:p>
        </w:tc>
      </w:tr>
      <w:tr w14:paraId="35B0E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tcBorders>
              <w:left w:val="single" w:color="auto" w:sz="4" w:space="0"/>
              <w:right w:val="single" w:color="auto" w:sz="4" w:space="0"/>
            </w:tcBorders>
            <w:vAlign w:val="center"/>
          </w:tcPr>
          <w:p w14:paraId="15B0F4BC">
            <w:pPr>
              <w:pStyle w:val="5"/>
              <w:adjustRightInd w:val="0"/>
              <w:snapToGrid w:val="0"/>
              <w:spacing w:line="240" w:lineRule="auto"/>
              <w:ind w:firstLine="0"/>
              <w:jc w:val="center"/>
              <w:rPr>
                <w:sz w:val="21"/>
                <w:szCs w:val="21"/>
                <w:u w:val="single"/>
              </w:rPr>
            </w:pPr>
          </w:p>
        </w:tc>
        <w:tc>
          <w:tcPr>
            <w:tcW w:w="708" w:type="pct"/>
            <w:vMerge w:val="restart"/>
            <w:tcBorders>
              <w:top w:val="single" w:color="auto" w:sz="4" w:space="0"/>
              <w:left w:val="single" w:color="auto" w:sz="4" w:space="0"/>
              <w:right w:val="single" w:color="auto" w:sz="4" w:space="0"/>
            </w:tcBorders>
            <w:vAlign w:val="center"/>
          </w:tcPr>
          <w:p w14:paraId="40A97CA8">
            <w:pPr>
              <w:pStyle w:val="5"/>
              <w:adjustRightInd w:val="0"/>
              <w:snapToGrid w:val="0"/>
              <w:spacing w:line="240" w:lineRule="auto"/>
              <w:ind w:firstLine="0"/>
              <w:jc w:val="center"/>
              <w:rPr>
                <w:sz w:val="21"/>
                <w:szCs w:val="21"/>
                <w:u w:val="single"/>
              </w:rPr>
            </w:pPr>
            <w:r>
              <w:rPr>
                <w:sz w:val="21"/>
                <w:szCs w:val="21"/>
                <w:u w:val="single"/>
              </w:rPr>
              <w:t>鸡墩头村</w:t>
            </w:r>
          </w:p>
        </w:tc>
        <w:tc>
          <w:tcPr>
            <w:tcW w:w="446" w:type="pct"/>
            <w:tcBorders>
              <w:top w:val="single" w:color="auto" w:sz="4" w:space="0"/>
              <w:left w:val="single" w:color="auto" w:sz="4" w:space="0"/>
              <w:bottom w:val="single" w:color="auto" w:sz="4" w:space="0"/>
              <w:right w:val="single" w:color="auto" w:sz="4" w:space="0"/>
            </w:tcBorders>
            <w:vAlign w:val="center"/>
          </w:tcPr>
          <w:p w14:paraId="412000E3">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1年</w:t>
            </w:r>
          </w:p>
        </w:tc>
        <w:tc>
          <w:tcPr>
            <w:tcW w:w="749" w:type="pct"/>
            <w:tcBorders>
              <w:top w:val="single" w:color="auto" w:sz="4" w:space="0"/>
              <w:left w:val="single" w:color="auto" w:sz="4" w:space="0"/>
              <w:bottom w:val="single" w:color="auto" w:sz="4" w:space="0"/>
              <w:right w:val="single" w:color="auto" w:sz="4" w:space="0"/>
            </w:tcBorders>
            <w:vAlign w:val="center"/>
          </w:tcPr>
          <w:p w14:paraId="03CEE5BA">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0.0032</w:t>
            </w:r>
          </w:p>
        </w:tc>
        <w:tc>
          <w:tcPr>
            <w:tcW w:w="749" w:type="pct"/>
            <w:tcBorders>
              <w:top w:val="single" w:color="auto" w:sz="4" w:space="0"/>
              <w:left w:val="single" w:color="auto" w:sz="4" w:space="0"/>
              <w:bottom w:val="single" w:color="auto" w:sz="4" w:space="0"/>
              <w:right w:val="single" w:color="auto" w:sz="4" w:space="0"/>
            </w:tcBorders>
            <w:vAlign w:val="center"/>
          </w:tcPr>
          <w:p w14:paraId="334FBB35">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5.16</w:t>
            </w:r>
          </w:p>
        </w:tc>
        <w:tc>
          <w:tcPr>
            <w:tcW w:w="749" w:type="pct"/>
            <w:tcBorders>
              <w:top w:val="single" w:color="auto" w:sz="4" w:space="0"/>
              <w:left w:val="single" w:color="auto" w:sz="4" w:space="0"/>
              <w:bottom w:val="single" w:color="auto" w:sz="4" w:space="0"/>
              <w:right w:val="single" w:color="auto" w:sz="4" w:space="0"/>
            </w:tcBorders>
            <w:vAlign w:val="center"/>
          </w:tcPr>
          <w:p w14:paraId="14CDA14B">
            <w:pPr>
              <w:adjustRightInd w:val="0"/>
              <w:snapToGrid w:val="0"/>
              <w:jc w:val="center"/>
              <w:rPr>
                <w:rFonts w:ascii="Arial" w:hAnsi="Arial" w:eastAsia="宋体" w:cs="Arial"/>
                <w:sz w:val="21"/>
                <w:szCs w:val="22"/>
                <w:u w:val="single"/>
              </w:rPr>
            </w:pPr>
            <w:r>
              <w:rPr>
                <w:rFonts w:ascii="Arial" w:hAnsi="Arial" w:cs="Arial"/>
                <w:sz w:val="21"/>
                <w:szCs w:val="22"/>
                <w:u w:val="single"/>
              </w:rPr>
              <w:t>5.1632</w:t>
            </w:r>
          </w:p>
        </w:tc>
        <w:tc>
          <w:tcPr>
            <w:tcW w:w="749" w:type="pct"/>
            <w:tcBorders>
              <w:top w:val="single" w:color="auto" w:sz="4" w:space="0"/>
              <w:left w:val="single" w:color="auto" w:sz="4" w:space="0"/>
              <w:bottom w:val="single" w:color="auto" w:sz="4" w:space="0"/>
              <w:right w:val="single" w:color="auto" w:sz="4" w:space="0"/>
            </w:tcBorders>
            <w:vAlign w:val="center"/>
          </w:tcPr>
          <w:p w14:paraId="2FB18733">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w:t>
            </w:r>
          </w:p>
        </w:tc>
        <w:tc>
          <w:tcPr>
            <w:tcW w:w="425" w:type="pct"/>
            <w:tcBorders>
              <w:top w:val="single" w:color="auto" w:sz="4" w:space="0"/>
              <w:left w:val="single" w:color="auto" w:sz="4" w:space="0"/>
              <w:bottom w:val="single" w:color="auto" w:sz="4" w:space="0"/>
              <w:right w:val="single" w:color="auto" w:sz="4" w:space="0"/>
            </w:tcBorders>
            <w:vAlign w:val="center"/>
          </w:tcPr>
          <w:p w14:paraId="489C77E8">
            <w:pPr>
              <w:pStyle w:val="5"/>
              <w:adjustRightInd w:val="0"/>
              <w:snapToGrid w:val="0"/>
              <w:spacing w:line="240" w:lineRule="auto"/>
              <w:ind w:firstLine="0"/>
              <w:jc w:val="center"/>
              <w:rPr>
                <w:sz w:val="21"/>
                <w:szCs w:val="21"/>
                <w:u w:val="single"/>
              </w:rPr>
            </w:pPr>
            <w:r>
              <w:rPr>
                <w:sz w:val="21"/>
                <w:szCs w:val="21"/>
                <w:u w:val="single"/>
              </w:rPr>
              <w:t>达标</w:t>
            </w:r>
          </w:p>
        </w:tc>
      </w:tr>
      <w:tr w14:paraId="4F4FD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tcBorders>
              <w:left w:val="single" w:color="auto" w:sz="4" w:space="0"/>
              <w:right w:val="single" w:color="auto" w:sz="4" w:space="0"/>
            </w:tcBorders>
            <w:vAlign w:val="center"/>
          </w:tcPr>
          <w:p w14:paraId="5F326D27">
            <w:pPr>
              <w:pStyle w:val="5"/>
              <w:adjustRightInd w:val="0"/>
              <w:snapToGrid w:val="0"/>
              <w:spacing w:line="240" w:lineRule="auto"/>
              <w:ind w:firstLine="0"/>
              <w:jc w:val="center"/>
              <w:rPr>
                <w:sz w:val="21"/>
                <w:szCs w:val="21"/>
                <w:u w:val="single"/>
              </w:rPr>
            </w:pPr>
          </w:p>
        </w:tc>
        <w:tc>
          <w:tcPr>
            <w:tcW w:w="708" w:type="pct"/>
            <w:vMerge w:val="continue"/>
            <w:tcBorders>
              <w:left w:val="single" w:color="auto" w:sz="4" w:space="0"/>
              <w:right w:val="single" w:color="auto" w:sz="4" w:space="0"/>
            </w:tcBorders>
            <w:vAlign w:val="center"/>
          </w:tcPr>
          <w:p w14:paraId="2C925B31">
            <w:pPr>
              <w:pStyle w:val="5"/>
              <w:adjustRightInd w:val="0"/>
              <w:snapToGrid w:val="0"/>
              <w:spacing w:line="240" w:lineRule="auto"/>
              <w:ind w:firstLine="0"/>
              <w:jc w:val="center"/>
              <w:rPr>
                <w:sz w:val="21"/>
                <w:szCs w:val="21"/>
                <w:u w:val="single"/>
              </w:rPr>
            </w:pPr>
          </w:p>
        </w:tc>
        <w:tc>
          <w:tcPr>
            <w:tcW w:w="446" w:type="pct"/>
            <w:tcBorders>
              <w:top w:val="single" w:color="auto" w:sz="4" w:space="0"/>
              <w:left w:val="single" w:color="auto" w:sz="4" w:space="0"/>
              <w:bottom w:val="single" w:color="auto" w:sz="4" w:space="0"/>
              <w:right w:val="single" w:color="auto" w:sz="4" w:space="0"/>
            </w:tcBorders>
            <w:vAlign w:val="center"/>
          </w:tcPr>
          <w:p w14:paraId="05C14178">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5年</w:t>
            </w:r>
          </w:p>
        </w:tc>
        <w:tc>
          <w:tcPr>
            <w:tcW w:w="749" w:type="pct"/>
            <w:tcBorders>
              <w:top w:val="single" w:color="auto" w:sz="4" w:space="0"/>
              <w:left w:val="single" w:color="auto" w:sz="4" w:space="0"/>
              <w:bottom w:val="single" w:color="auto" w:sz="4" w:space="0"/>
              <w:right w:val="single" w:color="auto" w:sz="4" w:space="0"/>
            </w:tcBorders>
            <w:vAlign w:val="center"/>
          </w:tcPr>
          <w:p w14:paraId="61F943D3">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0.016</w:t>
            </w:r>
          </w:p>
        </w:tc>
        <w:tc>
          <w:tcPr>
            <w:tcW w:w="749" w:type="pct"/>
            <w:tcBorders>
              <w:top w:val="single" w:color="auto" w:sz="4" w:space="0"/>
              <w:left w:val="single" w:color="auto" w:sz="4" w:space="0"/>
              <w:bottom w:val="single" w:color="auto" w:sz="4" w:space="0"/>
              <w:right w:val="single" w:color="auto" w:sz="4" w:space="0"/>
            </w:tcBorders>
            <w:vAlign w:val="center"/>
          </w:tcPr>
          <w:p w14:paraId="32ABEE70">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5.16</w:t>
            </w:r>
          </w:p>
        </w:tc>
        <w:tc>
          <w:tcPr>
            <w:tcW w:w="749" w:type="pct"/>
            <w:tcBorders>
              <w:top w:val="single" w:color="auto" w:sz="4" w:space="0"/>
              <w:left w:val="single" w:color="auto" w:sz="4" w:space="0"/>
              <w:bottom w:val="single" w:color="auto" w:sz="4" w:space="0"/>
              <w:right w:val="single" w:color="auto" w:sz="4" w:space="0"/>
            </w:tcBorders>
            <w:vAlign w:val="center"/>
          </w:tcPr>
          <w:p w14:paraId="08E7110A">
            <w:pPr>
              <w:adjustRightInd w:val="0"/>
              <w:snapToGrid w:val="0"/>
              <w:jc w:val="center"/>
              <w:rPr>
                <w:rFonts w:ascii="Arial" w:hAnsi="Arial" w:eastAsia="宋体" w:cs="Arial"/>
                <w:sz w:val="21"/>
                <w:szCs w:val="22"/>
                <w:u w:val="single"/>
              </w:rPr>
            </w:pPr>
            <w:r>
              <w:rPr>
                <w:rFonts w:ascii="Arial" w:hAnsi="Arial" w:cs="Arial"/>
                <w:sz w:val="21"/>
                <w:szCs w:val="22"/>
                <w:u w:val="single"/>
              </w:rPr>
              <w:t>5.176</w:t>
            </w:r>
          </w:p>
        </w:tc>
        <w:tc>
          <w:tcPr>
            <w:tcW w:w="749" w:type="pct"/>
            <w:tcBorders>
              <w:top w:val="single" w:color="auto" w:sz="4" w:space="0"/>
              <w:left w:val="single" w:color="auto" w:sz="4" w:space="0"/>
              <w:bottom w:val="single" w:color="auto" w:sz="4" w:space="0"/>
              <w:right w:val="single" w:color="auto" w:sz="4" w:space="0"/>
            </w:tcBorders>
            <w:vAlign w:val="center"/>
          </w:tcPr>
          <w:p w14:paraId="238551A6">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w:t>
            </w:r>
          </w:p>
        </w:tc>
        <w:tc>
          <w:tcPr>
            <w:tcW w:w="425" w:type="pct"/>
            <w:tcBorders>
              <w:top w:val="single" w:color="auto" w:sz="4" w:space="0"/>
              <w:left w:val="single" w:color="auto" w:sz="4" w:space="0"/>
              <w:bottom w:val="single" w:color="auto" w:sz="4" w:space="0"/>
              <w:right w:val="single" w:color="auto" w:sz="4" w:space="0"/>
            </w:tcBorders>
            <w:vAlign w:val="center"/>
          </w:tcPr>
          <w:p w14:paraId="4C9A1CCE">
            <w:pPr>
              <w:pStyle w:val="5"/>
              <w:adjustRightInd w:val="0"/>
              <w:snapToGrid w:val="0"/>
              <w:spacing w:line="240" w:lineRule="auto"/>
              <w:ind w:firstLine="0"/>
              <w:jc w:val="center"/>
              <w:rPr>
                <w:sz w:val="21"/>
                <w:szCs w:val="21"/>
                <w:u w:val="single"/>
              </w:rPr>
            </w:pPr>
            <w:r>
              <w:rPr>
                <w:sz w:val="21"/>
                <w:szCs w:val="21"/>
                <w:u w:val="single"/>
              </w:rPr>
              <w:t>达标</w:t>
            </w:r>
          </w:p>
        </w:tc>
      </w:tr>
      <w:tr w14:paraId="72B5C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tcBorders>
              <w:left w:val="single" w:color="auto" w:sz="4" w:space="0"/>
              <w:right w:val="single" w:color="auto" w:sz="4" w:space="0"/>
            </w:tcBorders>
            <w:vAlign w:val="center"/>
          </w:tcPr>
          <w:p w14:paraId="45698503">
            <w:pPr>
              <w:pStyle w:val="5"/>
              <w:adjustRightInd w:val="0"/>
              <w:snapToGrid w:val="0"/>
              <w:spacing w:line="240" w:lineRule="auto"/>
              <w:ind w:firstLine="0"/>
              <w:jc w:val="center"/>
              <w:rPr>
                <w:sz w:val="21"/>
                <w:szCs w:val="21"/>
                <w:u w:val="single"/>
              </w:rPr>
            </w:pPr>
          </w:p>
        </w:tc>
        <w:tc>
          <w:tcPr>
            <w:tcW w:w="708" w:type="pct"/>
            <w:vMerge w:val="continue"/>
            <w:tcBorders>
              <w:left w:val="single" w:color="auto" w:sz="4" w:space="0"/>
              <w:right w:val="single" w:color="auto" w:sz="4" w:space="0"/>
            </w:tcBorders>
            <w:vAlign w:val="center"/>
          </w:tcPr>
          <w:p w14:paraId="7C20AB56">
            <w:pPr>
              <w:pStyle w:val="5"/>
              <w:adjustRightInd w:val="0"/>
              <w:snapToGrid w:val="0"/>
              <w:spacing w:line="240" w:lineRule="auto"/>
              <w:ind w:firstLine="0"/>
              <w:jc w:val="center"/>
              <w:rPr>
                <w:sz w:val="21"/>
                <w:szCs w:val="21"/>
                <w:u w:val="single"/>
              </w:rPr>
            </w:pPr>
          </w:p>
        </w:tc>
        <w:tc>
          <w:tcPr>
            <w:tcW w:w="446" w:type="pct"/>
            <w:tcBorders>
              <w:top w:val="single" w:color="auto" w:sz="4" w:space="0"/>
              <w:left w:val="single" w:color="auto" w:sz="4" w:space="0"/>
              <w:bottom w:val="single" w:color="auto" w:sz="4" w:space="0"/>
              <w:right w:val="single" w:color="auto" w:sz="4" w:space="0"/>
            </w:tcBorders>
            <w:vAlign w:val="center"/>
          </w:tcPr>
          <w:p w14:paraId="0C5A0DFD">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10年</w:t>
            </w:r>
          </w:p>
        </w:tc>
        <w:tc>
          <w:tcPr>
            <w:tcW w:w="749" w:type="pct"/>
            <w:tcBorders>
              <w:top w:val="single" w:color="auto" w:sz="4" w:space="0"/>
              <w:left w:val="single" w:color="auto" w:sz="4" w:space="0"/>
              <w:bottom w:val="single" w:color="auto" w:sz="4" w:space="0"/>
              <w:right w:val="single" w:color="auto" w:sz="4" w:space="0"/>
            </w:tcBorders>
            <w:vAlign w:val="center"/>
          </w:tcPr>
          <w:p w14:paraId="75D74D3E">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0.032</w:t>
            </w:r>
          </w:p>
        </w:tc>
        <w:tc>
          <w:tcPr>
            <w:tcW w:w="749" w:type="pct"/>
            <w:tcBorders>
              <w:top w:val="single" w:color="auto" w:sz="4" w:space="0"/>
              <w:left w:val="single" w:color="auto" w:sz="4" w:space="0"/>
              <w:bottom w:val="single" w:color="auto" w:sz="4" w:space="0"/>
              <w:right w:val="single" w:color="auto" w:sz="4" w:space="0"/>
            </w:tcBorders>
            <w:vAlign w:val="center"/>
          </w:tcPr>
          <w:p w14:paraId="5FBB356A">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5.16</w:t>
            </w:r>
          </w:p>
        </w:tc>
        <w:tc>
          <w:tcPr>
            <w:tcW w:w="749" w:type="pct"/>
            <w:tcBorders>
              <w:top w:val="single" w:color="auto" w:sz="4" w:space="0"/>
              <w:left w:val="single" w:color="auto" w:sz="4" w:space="0"/>
              <w:bottom w:val="single" w:color="auto" w:sz="4" w:space="0"/>
              <w:right w:val="single" w:color="auto" w:sz="4" w:space="0"/>
            </w:tcBorders>
            <w:vAlign w:val="center"/>
          </w:tcPr>
          <w:p w14:paraId="2BFD00F2">
            <w:pPr>
              <w:adjustRightInd w:val="0"/>
              <w:snapToGrid w:val="0"/>
              <w:jc w:val="center"/>
              <w:rPr>
                <w:rFonts w:ascii="Arial" w:hAnsi="Arial" w:eastAsia="宋体" w:cs="Arial"/>
                <w:sz w:val="21"/>
                <w:szCs w:val="22"/>
                <w:u w:val="single"/>
              </w:rPr>
            </w:pPr>
            <w:r>
              <w:rPr>
                <w:rFonts w:ascii="Arial" w:hAnsi="Arial" w:cs="Arial"/>
                <w:sz w:val="21"/>
                <w:szCs w:val="22"/>
                <w:u w:val="single"/>
              </w:rPr>
              <w:t>5.192</w:t>
            </w:r>
          </w:p>
        </w:tc>
        <w:tc>
          <w:tcPr>
            <w:tcW w:w="749" w:type="pct"/>
            <w:tcBorders>
              <w:top w:val="single" w:color="auto" w:sz="4" w:space="0"/>
              <w:left w:val="single" w:color="auto" w:sz="4" w:space="0"/>
              <w:bottom w:val="single" w:color="auto" w:sz="4" w:space="0"/>
              <w:right w:val="single" w:color="auto" w:sz="4" w:space="0"/>
            </w:tcBorders>
            <w:vAlign w:val="center"/>
          </w:tcPr>
          <w:p w14:paraId="241A0ACC">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w:t>
            </w:r>
          </w:p>
        </w:tc>
        <w:tc>
          <w:tcPr>
            <w:tcW w:w="425" w:type="pct"/>
            <w:tcBorders>
              <w:top w:val="single" w:color="auto" w:sz="4" w:space="0"/>
              <w:left w:val="single" w:color="auto" w:sz="4" w:space="0"/>
              <w:bottom w:val="single" w:color="auto" w:sz="4" w:space="0"/>
              <w:right w:val="single" w:color="auto" w:sz="4" w:space="0"/>
            </w:tcBorders>
            <w:vAlign w:val="center"/>
          </w:tcPr>
          <w:p w14:paraId="161D0782">
            <w:pPr>
              <w:pStyle w:val="5"/>
              <w:adjustRightInd w:val="0"/>
              <w:snapToGrid w:val="0"/>
              <w:spacing w:line="240" w:lineRule="auto"/>
              <w:ind w:firstLine="0"/>
              <w:jc w:val="center"/>
              <w:rPr>
                <w:sz w:val="21"/>
                <w:szCs w:val="21"/>
                <w:u w:val="single"/>
              </w:rPr>
            </w:pPr>
            <w:r>
              <w:rPr>
                <w:sz w:val="21"/>
                <w:szCs w:val="21"/>
                <w:u w:val="single"/>
              </w:rPr>
              <w:t>达标</w:t>
            </w:r>
          </w:p>
        </w:tc>
      </w:tr>
      <w:tr w14:paraId="0E29D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tcBorders>
              <w:left w:val="single" w:color="auto" w:sz="4" w:space="0"/>
              <w:right w:val="single" w:color="auto" w:sz="4" w:space="0"/>
            </w:tcBorders>
            <w:vAlign w:val="center"/>
          </w:tcPr>
          <w:p w14:paraId="41965512">
            <w:pPr>
              <w:pStyle w:val="5"/>
              <w:adjustRightInd w:val="0"/>
              <w:snapToGrid w:val="0"/>
              <w:spacing w:line="240" w:lineRule="auto"/>
              <w:ind w:firstLine="0"/>
              <w:jc w:val="center"/>
              <w:rPr>
                <w:sz w:val="21"/>
                <w:szCs w:val="21"/>
                <w:u w:val="single"/>
              </w:rPr>
            </w:pPr>
          </w:p>
        </w:tc>
        <w:tc>
          <w:tcPr>
            <w:tcW w:w="708" w:type="pct"/>
            <w:vMerge w:val="continue"/>
            <w:tcBorders>
              <w:left w:val="single" w:color="auto" w:sz="4" w:space="0"/>
              <w:right w:val="single" w:color="auto" w:sz="4" w:space="0"/>
            </w:tcBorders>
            <w:vAlign w:val="center"/>
          </w:tcPr>
          <w:p w14:paraId="3F4A67FC">
            <w:pPr>
              <w:pStyle w:val="5"/>
              <w:adjustRightInd w:val="0"/>
              <w:snapToGrid w:val="0"/>
              <w:spacing w:line="240" w:lineRule="auto"/>
              <w:ind w:firstLine="0"/>
              <w:jc w:val="center"/>
              <w:rPr>
                <w:sz w:val="21"/>
                <w:szCs w:val="21"/>
                <w:u w:val="single"/>
              </w:rPr>
            </w:pPr>
          </w:p>
        </w:tc>
        <w:tc>
          <w:tcPr>
            <w:tcW w:w="446" w:type="pct"/>
            <w:tcBorders>
              <w:top w:val="single" w:color="auto" w:sz="4" w:space="0"/>
              <w:left w:val="single" w:color="auto" w:sz="4" w:space="0"/>
              <w:bottom w:val="single" w:color="auto" w:sz="4" w:space="0"/>
              <w:right w:val="single" w:color="auto" w:sz="4" w:space="0"/>
            </w:tcBorders>
            <w:vAlign w:val="center"/>
          </w:tcPr>
          <w:p w14:paraId="2483FD39">
            <w:pPr>
              <w:adjustRightInd w:val="0"/>
              <w:snapToGrid w:val="0"/>
              <w:jc w:val="center"/>
              <w:rPr>
                <w:rFonts w:ascii="Arial" w:hAnsi="Arial" w:eastAsia="宋体" w:cs="Arial"/>
                <w:sz w:val="21"/>
                <w:szCs w:val="22"/>
                <w:u w:val="single"/>
              </w:rPr>
            </w:pPr>
            <w:r>
              <w:rPr>
                <w:rFonts w:ascii="Arial" w:hAnsi="Arial" w:eastAsia="宋体" w:cs="Arial"/>
                <w:sz w:val="21"/>
                <w:szCs w:val="22"/>
                <w:u w:val="single"/>
              </w:rPr>
              <w:t>30年</w:t>
            </w:r>
          </w:p>
        </w:tc>
        <w:tc>
          <w:tcPr>
            <w:tcW w:w="749" w:type="pct"/>
            <w:tcBorders>
              <w:top w:val="single" w:color="auto" w:sz="4" w:space="0"/>
              <w:left w:val="single" w:color="auto" w:sz="4" w:space="0"/>
              <w:bottom w:val="single" w:color="auto" w:sz="4" w:space="0"/>
              <w:right w:val="single" w:color="auto" w:sz="4" w:space="0"/>
            </w:tcBorders>
            <w:vAlign w:val="center"/>
          </w:tcPr>
          <w:p w14:paraId="769642E7">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0.096</w:t>
            </w:r>
          </w:p>
        </w:tc>
        <w:tc>
          <w:tcPr>
            <w:tcW w:w="749" w:type="pct"/>
            <w:tcBorders>
              <w:top w:val="single" w:color="auto" w:sz="4" w:space="0"/>
              <w:left w:val="single" w:color="auto" w:sz="4" w:space="0"/>
              <w:bottom w:val="single" w:color="auto" w:sz="4" w:space="0"/>
              <w:right w:val="single" w:color="auto" w:sz="4" w:space="0"/>
            </w:tcBorders>
            <w:vAlign w:val="center"/>
          </w:tcPr>
          <w:p w14:paraId="7D9197E4">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5.16</w:t>
            </w:r>
          </w:p>
        </w:tc>
        <w:tc>
          <w:tcPr>
            <w:tcW w:w="749" w:type="pct"/>
            <w:tcBorders>
              <w:top w:val="single" w:color="auto" w:sz="4" w:space="0"/>
              <w:left w:val="single" w:color="auto" w:sz="4" w:space="0"/>
              <w:bottom w:val="single" w:color="auto" w:sz="4" w:space="0"/>
              <w:right w:val="single" w:color="auto" w:sz="4" w:space="0"/>
            </w:tcBorders>
            <w:vAlign w:val="center"/>
          </w:tcPr>
          <w:p w14:paraId="557D0F52">
            <w:pPr>
              <w:adjustRightInd w:val="0"/>
              <w:snapToGrid w:val="0"/>
              <w:jc w:val="center"/>
              <w:rPr>
                <w:rFonts w:ascii="Arial" w:hAnsi="Arial" w:eastAsia="宋体" w:cs="Arial"/>
                <w:sz w:val="21"/>
                <w:szCs w:val="22"/>
                <w:u w:val="single"/>
              </w:rPr>
            </w:pPr>
            <w:r>
              <w:rPr>
                <w:rFonts w:ascii="Arial" w:hAnsi="Arial" w:cs="Arial"/>
                <w:sz w:val="21"/>
                <w:szCs w:val="22"/>
                <w:u w:val="single"/>
              </w:rPr>
              <w:t>5.256</w:t>
            </w:r>
          </w:p>
        </w:tc>
        <w:tc>
          <w:tcPr>
            <w:tcW w:w="749" w:type="pct"/>
            <w:tcBorders>
              <w:top w:val="single" w:color="auto" w:sz="4" w:space="0"/>
              <w:left w:val="single" w:color="auto" w:sz="4" w:space="0"/>
              <w:bottom w:val="single" w:color="auto" w:sz="4" w:space="0"/>
              <w:right w:val="single" w:color="auto" w:sz="4" w:space="0"/>
            </w:tcBorders>
            <w:vAlign w:val="center"/>
          </w:tcPr>
          <w:p w14:paraId="39C1A29E">
            <w:pPr>
              <w:adjustRightInd w:val="0"/>
              <w:snapToGrid w:val="0"/>
              <w:jc w:val="center"/>
              <w:rPr>
                <w:rFonts w:ascii="Arial" w:hAnsi="Arial" w:eastAsia="宋体" w:cs="Arial"/>
                <w:sz w:val="21"/>
                <w:szCs w:val="22"/>
                <w:u w:val="single"/>
              </w:rPr>
            </w:pPr>
            <w:r>
              <w:rPr>
                <w:rFonts w:hint="eastAsia" w:ascii="Arial" w:hAnsi="Arial" w:eastAsia="宋体" w:cs="Arial"/>
                <w:sz w:val="21"/>
                <w:szCs w:val="22"/>
                <w:u w:val="single"/>
              </w:rPr>
              <w:t>/</w:t>
            </w:r>
          </w:p>
        </w:tc>
        <w:tc>
          <w:tcPr>
            <w:tcW w:w="425" w:type="pct"/>
            <w:tcBorders>
              <w:top w:val="single" w:color="auto" w:sz="4" w:space="0"/>
              <w:left w:val="single" w:color="auto" w:sz="4" w:space="0"/>
              <w:bottom w:val="single" w:color="auto" w:sz="4" w:space="0"/>
              <w:right w:val="single" w:color="auto" w:sz="4" w:space="0"/>
            </w:tcBorders>
            <w:vAlign w:val="center"/>
          </w:tcPr>
          <w:p w14:paraId="54885B78">
            <w:pPr>
              <w:pStyle w:val="5"/>
              <w:adjustRightInd w:val="0"/>
              <w:snapToGrid w:val="0"/>
              <w:spacing w:line="240" w:lineRule="auto"/>
              <w:ind w:firstLine="0"/>
              <w:jc w:val="center"/>
              <w:rPr>
                <w:sz w:val="21"/>
                <w:szCs w:val="21"/>
                <w:u w:val="single"/>
              </w:rPr>
            </w:pPr>
            <w:r>
              <w:rPr>
                <w:sz w:val="21"/>
                <w:szCs w:val="21"/>
                <w:u w:val="single"/>
              </w:rPr>
              <w:t>达标</w:t>
            </w:r>
          </w:p>
        </w:tc>
      </w:tr>
    </w:tbl>
    <w:p w14:paraId="7708152F">
      <w:pPr>
        <w:pStyle w:val="474"/>
        <w:spacing w:line="500" w:lineRule="exact"/>
        <w:ind w:firstLine="489"/>
        <w:rPr>
          <w:rFonts w:ascii="Arial" w:hAnsi="Arial" w:cs="Arial"/>
          <w:spacing w:val="10"/>
        </w:rPr>
      </w:pPr>
      <w:r>
        <w:rPr>
          <w:rFonts w:ascii="Arial" w:hAnsi="Arial" w:cs="Arial"/>
          <w:spacing w:val="10"/>
        </w:rPr>
        <w:t>项目排放的</w:t>
      </w:r>
      <w:r>
        <w:rPr>
          <w:rFonts w:hint="eastAsia" w:ascii="Arial" w:hAnsi="Arial" w:cs="Arial"/>
          <w:snapToGrid w:val="0"/>
          <w:kern w:val="0"/>
          <w:szCs w:val="21"/>
        </w:rPr>
        <w:t>钴及其化合物</w:t>
      </w:r>
      <w:r>
        <w:rPr>
          <w:rFonts w:ascii="Arial" w:hAnsi="Arial" w:cs="Arial"/>
          <w:spacing w:val="10"/>
        </w:rPr>
        <w:t>对周边土壤有一定的累积影响，厂区周边建设用地均可达到《土壤环境质量 建设用地土壤污染风险管控标准（试行）》（GB36600-2018）中第二类用地筛选值标准。</w:t>
      </w:r>
    </w:p>
    <w:p w14:paraId="0C21AA2F">
      <w:pPr>
        <w:pStyle w:val="474"/>
        <w:spacing w:line="500" w:lineRule="exact"/>
        <w:ind w:firstLine="489"/>
        <w:rPr>
          <w:rFonts w:ascii="Arial" w:hAnsi="Arial" w:cs="Arial"/>
          <w:spacing w:val="10"/>
        </w:rPr>
      </w:pPr>
      <w:r>
        <w:rPr>
          <w:rFonts w:hint="eastAsia" w:ascii="Arial" w:hAnsi="Arial" w:cs="Arial"/>
          <w:spacing w:val="10"/>
        </w:rPr>
        <w:t>（2）</w:t>
      </w:r>
      <w:r>
        <w:rPr>
          <w:rFonts w:ascii="Arial" w:hAnsi="Arial" w:cs="Arial"/>
          <w:spacing w:val="10"/>
        </w:rPr>
        <w:t>氨气对土壤环境影响</w:t>
      </w:r>
    </w:p>
    <w:p w14:paraId="028A752A">
      <w:pPr>
        <w:pStyle w:val="474"/>
        <w:spacing w:line="500" w:lineRule="exact"/>
        <w:ind w:firstLine="489"/>
        <w:rPr>
          <w:rFonts w:ascii="Arial" w:hAnsi="Arial" w:cs="Arial"/>
          <w:spacing w:val="10"/>
        </w:rPr>
      </w:pPr>
      <w:r>
        <w:rPr>
          <w:rFonts w:ascii="Arial" w:hAnsi="Arial" w:cs="Arial"/>
          <w:spacing w:val="10"/>
        </w:rPr>
        <w:t>根据大气预测结果可知，区域</w:t>
      </w:r>
      <w:r>
        <w:rPr>
          <w:rFonts w:hint="eastAsia" w:ascii="Arial" w:hAnsi="Arial" w:cs="Arial"/>
          <w:spacing w:val="10"/>
        </w:rPr>
        <w:t>氨气</w:t>
      </w:r>
      <w:r>
        <w:rPr>
          <w:rFonts w:ascii="Arial" w:hAnsi="Arial" w:cs="Arial"/>
          <w:spacing w:val="10"/>
        </w:rPr>
        <w:t>小时贡献值最大浓度为</w:t>
      </w:r>
      <w:r>
        <w:rPr>
          <w:rFonts w:hint="eastAsia" w:ascii="Arial" w:hAnsi="Arial" w:cs="Arial"/>
          <w:spacing w:val="10"/>
        </w:rPr>
        <w:t>39.97</w:t>
      </w:r>
      <w:r>
        <w:rPr>
          <w:rFonts w:ascii="Arial" w:hAnsi="Arial" w:cs="Arial"/>
          <w:spacing w:val="10"/>
        </w:rPr>
        <w:t>μg/m</w:t>
      </w:r>
      <w:r>
        <w:rPr>
          <w:rFonts w:ascii="Arial" w:hAnsi="Arial" w:cs="Arial"/>
          <w:spacing w:val="10"/>
          <w:vertAlign w:val="superscript"/>
        </w:rPr>
        <w:t>3</w:t>
      </w:r>
      <w:r>
        <w:rPr>
          <w:rFonts w:hint="eastAsia" w:ascii="Arial" w:hAnsi="Arial" w:cs="Arial"/>
          <w:spacing w:val="10"/>
        </w:rPr>
        <w:t>，</w:t>
      </w:r>
      <w:r>
        <w:rPr>
          <w:rFonts w:ascii="Arial" w:hAnsi="Arial" w:cs="Arial"/>
          <w:spacing w:val="10"/>
        </w:rPr>
        <w:t>排放的浓度较低，并且均为气体物质，不易沉降，对土壤环境影响较小。</w:t>
      </w:r>
    </w:p>
    <w:p w14:paraId="14BD868E">
      <w:pPr>
        <w:pStyle w:val="474"/>
        <w:ind w:firstLine="489"/>
        <w:rPr>
          <w:rFonts w:ascii="Arial" w:hAnsi="Arial" w:cs="Arial"/>
          <w:spacing w:val="10"/>
        </w:rPr>
      </w:pPr>
      <w:r>
        <w:rPr>
          <w:rFonts w:ascii="Arial" w:hAnsi="Arial" w:cs="Arial"/>
          <w:spacing w:val="10"/>
        </w:rPr>
        <w:t>2、垂直下渗对土壤影响分析</w:t>
      </w:r>
    </w:p>
    <w:p w14:paraId="45DFB534">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项目垂直下渗对土壤影响主要为事故状态下车间各储槽、污水外排槽渗漏等。由于</w:t>
      </w:r>
      <w:r>
        <w:rPr>
          <w:rFonts w:hint="eastAsia" w:ascii="Arial" w:hAnsi="Arial" w:eastAsia="宋体" w:cs="Arial"/>
          <w:spacing w:val="10"/>
          <w:sz w:val="24"/>
        </w:rPr>
        <w:t>项目</w:t>
      </w:r>
      <w:r>
        <w:rPr>
          <w:rFonts w:ascii="Arial" w:hAnsi="Arial" w:eastAsia="宋体" w:cs="Arial"/>
          <w:spacing w:val="10"/>
          <w:sz w:val="24"/>
        </w:rPr>
        <w:t>各储槽均为</w:t>
      </w:r>
      <w:r>
        <w:rPr>
          <w:rFonts w:hint="eastAsia" w:ascii="Arial" w:hAnsi="Arial" w:eastAsia="宋体" w:cs="Arial"/>
          <w:spacing w:val="10"/>
          <w:sz w:val="24"/>
        </w:rPr>
        <w:t>地面</w:t>
      </w:r>
      <w:r>
        <w:rPr>
          <w:rFonts w:ascii="Arial" w:hAnsi="Arial" w:eastAsia="宋体" w:cs="Arial"/>
          <w:spacing w:val="10"/>
          <w:sz w:val="24"/>
        </w:rPr>
        <w:t>槽罐，发生渗漏时易发现，且各槽罐区设置围堰，</w:t>
      </w:r>
      <w:r>
        <w:rPr>
          <w:rFonts w:hint="eastAsia" w:ascii="Arial" w:hAnsi="Arial" w:eastAsia="宋体" w:cs="Arial"/>
          <w:spacing w:val="10"/>
          <w:sz w:val="24"/>
        </w:rPr>
        <w:t>围堰</w:t>
      </w:r>
      <w:r>
        <w:rPr>
          <w:rFonts w:ascii="Arial" w:hAnsi="Arial" w:eastAsia="宋体" w:cs="Arial"/>
          <w:spacing w:val="10"/>
          <w:sz w:val="24"/>
        </w:rPr>
        <w:t>采取防渗措施，因此本次评价不考虑垂直下渗对土壤影响情形。</w:t>
      </w:r>
    </w:p>
    <w:p w14:paraId="32375E8A">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3、地面漫流对土壤影响分析</w:t>
      </w:r>
    </w:p>
    <w:p w14:paraId="11329506">
      <w:pPr>
        <w:spacing w:line="500" w:lineRule="exact"/>
        <w:ind w:firstLine="490" w:firstLineChars="200"/>
        <w:jc w:val="left"/>
        <w:rPr>
          <w:rFonts w:ascii="Arial" w:hAnsi="Arial" w:cs="Arial"/>
          <w:spacing w:val="10"/>
        </w:rPr>
      </w:pPr>
      <w:r>
        <w:rPr>
          <w:rFonts w:ascii="Arial" w:hAnsi="Arial" w:eastAsia="宋体" w:cs="Arial"/>
          <w:spacing w:val="10"/>
          <w:sz w:val="24"/>
        </w:rPr>
        <w:t>项目地面漫流对土壤影响主要为事故状态下污水</w:t>
      </w:r>
      <w:r>
        <w:rPr>
          <w:rFonts w:hint="eastAsia" w:ascii="Arial" w:hAnsi="Arial" w:eastAsia="宋体" w:cs="Arial"/>
          <w:spacing w:val="10"/>
          <w:sz w:val="24"/>
        </w:rPr>
        <w:t>外排槽</w:t>
      </w:r>
      <w:r>
        <w:rPr>
          <w:rFonts w:ascii="Arial" w:hAnsi="Arial" w:eastAsia="宋体" w:cs="Arial"/>
          <w:spacing w:val="10"/>
          <w:sz w:val="24"/>
        </w:rPr>
        <w:t>泄漏</w:t>
      </w:r>
      <w:r>
        <w:rPr>
          <w:rFonts w:hint="eastAsia" w:ascii="Arial" w:hAnsi="Arial" w:eastAsia="宋体" w:cs="Arial"/>
          <w:spacing w:val="10"/>
          <w:sz w:val="24"/>
        </w:rPr>
        <w:t>导致</w:t>
      </w:r>
      <w:r>
        <w:rPr>
          <w:rFonts w:ascii="Arial" w:hAnsi="Arial" w:eastAsia="宋体" w:cs="Arial"/>
          <w:spacing w:val="10"/>
          <w:sz w:val="24"/>
        </w:rPr>
        <w:t>废水漫流。由于废水外排槽设置围堰，当污水</w:t>
      </w:r>
      <w:r>
        <w:rPr>
          <w:rFonts w:hint="eastAsia" w:ascii="Arial" w:hAnsi="Arial" w:eastAsia="宋体" w:cs="Arial"/>
          <w:spacing w:val="10"/>
          <w:sz w:val="24"/>
        </w:rPr>
        <w:t>外排槽</w:t>
      </w:r>
      <w:r>
        <w:rPr>
          <w:rFonts w:ascii="Arial" w:hAnsi="Arial" w:eastAsia="宋体" w:cs="Arial"/>
          <w:spacing w:val="10"/>
          <w:sz w:val="24"/>
        </w:rPr>
        <w:t>泄漏污水发生漫流时，废水能截留在</w:t>
      </w:r>
      <w:r>
        <w:rPr>
          <w:rFonts w:hint="eastAsia" w:ascii="Arial" w:hAnsi="Arial" w:eastAsia="宋体" w:cs="Arial"/>
          <w:spacing w:val="10"/>
          <w:sz w:val="24"/>
        </w:rPr>
        <w:t>围堰</w:t>
      </w:r>
      <w:r>
        <w:rPr>
          <w:rFonts w:ascii="Arial" w:hAnsi="Arial" w:eastAsia="宋体" w:cs="Arial"/>
          <w:spacing w:val="10"/>
          <w:sz w:val="24"/>
        </w:rPr>
        <w:t>内，应急水泵可及时将废水通过管道抽送至事故池中，因此本次评价不考虑地面漫流对土壤影响情形。</w:t>
      </w:r>
    </w:p>
    <w:p w14:paraId="5C8BC631">
      <w:pPr>
        <w:pStyle w:val="474"/>
        <w:spacing w:line="500" w:lineRule="exact"/>
        <w:ind w:firstLine="489"/>
        <w:rPr>
          <w:rFonts w:ascii="Arial" w:hAnsi="Arial" w:cs="Arial"/>
          <w:spacing w:val="10"/>
        </w:rPr>
      </w:pPr>
      <w:r>
        <w:rPr>
          <w:rFonts w:ascii="Arial" w:hAnsi="Arial" w:cs="Arial"/>
          <w:spacing w:val="10"/>
        </w:rPr>
        <w:t>4、小结</w:t>
      </w:r>
    </w:p>
    <w:p w14:paraId="793F3CC9">
      <w:pPr>
        <w:pStyle w:val="474"/>
        <w:ind w:firstLine="489"/>
        <w:rPr>
          <w:rFonts w:ascii="Arial" w:hAnsi="Arial" w:cs="Arial"/>
          <w:spacing w:val="10"/>
        </w:rPr>
      </w:pPr>
      <w:r>
        <w:rPr>
          <w:rFonts w:ascii="Arial" w:hAnsi="Arial" w:cs="Arial"/>
          <w:spacing w:val="10"/>
        </w:rPr>
        <w:t>项目所在区域土壤环境受本项目大气沉降影响、垂直下渗和地面漫流影响，大气沉降主要影响因素为钴及其化合物，垂直下渗</w:t>
      </w:r>
      <w:r>
        <w:rPr>
          <w:rFonts w:hint="eastAsia" w:ascii="Arial" w:hAnsi="Arial" w:cs="Arial"/>
          <w:spacing w:val="10"/>
        </w:rPr>
        <w:t>、</w:t>
      </w:r>
      <w:r>
        <w:rPr>
          <w:rFonts w:ascii="Arial" w:hAnsi="Arial" w:cs="Arial"/>
          <w:spacing w:val="10"/>
        </w:rPr>
        <w:t>地面漫流主要因素为</w:t>
      </w:r>
      <w:r>
        <w:rPr>
          <w:rFonts w:hint="eastAsia" w:ascii="Arial" w:hAnsi="Arial" w:cs="Arial"/>
          <w:spacing w:val="10"/>
        </w:rPr>
        <w:t>储槽</w:t>
      </w:r>
      <w:r>
        <w:rPr>
          <w:rFonts w:ascii="Arial" w:hAnsi="Arial" w:cs="Arial"/>
          <w:spacing w:val="10"/>
        </w:rPr>
        <w:t>泄漏。通过上述分析可知，项目排放的</w:t>
      </w:r>
      <w:r>
        <w:rPr>
          <w:rFonts w:hint="eastAsia" w:ascii="Arial" w:hAnsi="Arial" w:cs="Arial"/>
          <w:spacing w:val="10"/>
        </w:rPr>
        <w:t>钴及其化合物</w:t>
      </w:r>
      <w:r>
        <w:rPr>
          <w:rFonts w:ascii="Arial" w:hAnsi="Arial" w:cs="Arial"/>
          <w:spacing w:val="10"/>
        </w:rPr>
        <w:t>对周边土壤有一定的累积影响，但厂区周边建设用地均可达到《土壤环境质量 建设用地土壤污染风险管控标准（试行）》（GB36600-2018）中第二类用地筛选值标准；垂直下渗对土壤影响主要为事故状态下车间各储槽、污水外排槽渗漏等。由于</w:t>
      </w:r>
      <w:r>
        <w:rPr>
          <w:rFonts w:hint="eastAsia" w:ascii="Arial" w:hAnsi="Arial" w:cs="Arial"/>
          <w:spacing w:val="10"/>
        </w:rPr>
        <w:t>项目</w:t>
      </w:r>
      <w:r>
        <w:rPr>
          <w:rFonts w:ascii="Arial" w:hAnsi="Arial" w:cs="Arial"/>
          <w:spacing w:val="10"/>
        </w:rPr>
        <w:t>各储槽均为</w:t>
      </w:r>
      <w:r>
        <w:rPr>
          <w:rFonts w:hint="eastAsia" w:ascii="Arial" w:hAnsi="Arial" w:cs="Arial"/>
          <w:spacing w:val="10"/>
        </w:rPr>
        <w:t>地面</w:t>
      </w:r>
      <w:r>
        <w:rPr>
          <w:rFonts w:ascii="Arial" w:hAnsi="Arial" w:cs="Arial"/>
          <w:spacing w:val="10"/>
        </w:rPr>
        <w:t>槽罐，发生渗漏时易发现，且各槽罐区设置围堰，</w:t>
      </w:r>
      <w:r>
        <w:rPr>
          <w:rFonts w:hint="eastAsia" w:ascii="Arial" w:hAnsi="Arial" w:cs="Arial"/>
          <w:spacing w:val="10"/>
        </w:rPr>
        <w:t>围堰</w:t>
      </w:r>
      <w:r>
        <w:rPr>
          <w:rFonts w:ascii="Arial" w:hAnsi="Arial" w:cs="Arial"/>
          <w:spacing w:val="10"/>
        </w:rPr>
        <w:t>采取防渗措施，因此本次评价不考虑垂直下渗对土壤影响情形；地面漫流对土壤影响主要为事故状态下污水</w:t>
      </w:r>
      <w:r>
        <w:rPr>
          <w:rFonts w:hint="eastAsia" w:ascii="Arial" w:hAnsi="Arial" w:cs="Arial"/>
          <w:spacing w:val="10"/>
        </w:rPr>
        <w:t>外排槽</w:t>
      </w:r>
      <w:r>
        <w:rPr>
          <w:rFonts w:ascii="Arial" w:hAnsi="Arial" w:cs="Arial"/>
          <w:spacing w:val="10"/>
        </w:rPr>
        <w:t>泄漏</w:t>
      </w:r>
      <w:r>
        <w:rPr>
          <w:rFonts w:hint="eastAsia" w:ascii="Arial" w:hAnsi="Arial" w:cs="Arial"/>
          <w:spacing w:val="10"/>
        </w:rPr>
        <w:t>导致</w:t>
      </w:r>
      <w:r>
        <w:rPr>
          <w:rFonts w:ascii="Arial" w:hAnsi="Arial" w:cs="Arial"/>
          <w:spacing w:val="10"/>
        </w:rPr>
        <w:t>废水漫流。由于废水外排槽设置围堰，当污水</w:t>
      </w:r>
      <w:r>
        <w:rPr>
          <w:rFonts w:hint="eastAsia" w:ascii="Arial" w:hAnsi="Arial" w:cs="Arial"/>
          <w:spacing w:val="10"/>
        </w:rPr>
        <w:t>外排槽</w:t>
      </w:r>
      <w:r>
        <w:rPr>
          <w:rFonts w:ascii="Arial" w:hAnsi="Arial" w:cs="Arial"/>
          <w:spacing w:val="10"/>
        </w:rPr>
        <w:t>泄漏污水发生漫流时，废水能截留在</w:t>
      </w:r>
      <w:r>
        <w:rPr>
          <w:rFonts w:hint="eastAsia" w:ascii="Arial" w:hAnsi="Arial" w:cs="Arial"/>
          <w:spacing w:val="10"/>
        </w:rPr>
        <w:t>围堰</w:t>
      </w:r>
      <w:r>
        <w:rPr>
          <w:rFonts w:ascii="Arial" w:hAnsi="Arial" w:cs="Arial"/>
          <w:spacing w:val="10"/>
        </w:rPr>
        <w:t>内，应急水泵可及时将废水通过管道抽送至事故池中，因此本次评价不考虑地面漫流对土壤影响情形。</w:t>
      </w:r>
    </w:p>
    <w:p w14:paraId="0A0BD5F2">
      <w:pPr>
        <w:pStyle w:val="6"/>
        <w:numPr>
          <w:ilvl w:val="0"/>
          <w:numId w:val="20"/>
        </w:numPr>
        <w:tabs>
          <w:tab w:val="clear" w:pos="1789"/>
        </w:tabs>
        <w:spacing w:line="400" w:lineRule="exact"/>
        <w:rPr>
          <w:rFonts w:ascii="Arial" w:hAnsi="Arial" w:eastAsia="宋体" w:cs="Arial"/>
        </w:rPr>
      </w:pPr>
      <w:r>
        <w:rPr>
          <w:rFonts w:ascii="Arial" w:hAnsi="Arial" w:eastAsia="宋体" w:cs="Arial"/>
        </w:rPr>
        <w:t>运营期生态影响分析</w:t>
      </w:r>
    </w:p>
    <w:p w14:paraId="031B6030">
      <w:pPr>
        <w:pStyle w:val="474"/>
        <w:spacing w:line="500" w:lineRule="exact"/>
        <w:ind w:firstLine="489"/>
        <w:rPr>
          <w:rFonts w:ascii="Arial" w:hAnsi="Arial" w:cs="Arial"/>
          <w:spacing w:val="10"/>
        </w:rPr>
      </w:pPr>
      <w:r>
        <w:rPr>
          <w:rFonts w:ascii="Arial" w:hAnsi="Arial" w:cs="Arial"/>
          <w:spacing w:val="10"/>
        </w:rPr>
        <w:t>变更工程在现有厂区、车间范围内，项目区附近均为工业用地，主要植被为工业区内工业企业绿化植被及市政绿化植被，周边无大型野生动物出没。拟建项目的实施对周边生态环境影响较小。</w:t>
      </w:r>
    </w:p>
    <w:p w14:paraId="4C45B88D">
      <w:pPr>
        <w:pStyle w:val="4"/>
        <w:numPr>
          <w:ilvl w:val="1"/>
          <w:numId w:val="11"/>
        </w:numPr>
        <w:tabs>
          <w:tab w:val="left" w:pos="3217"/>
        </w:tabs>
        <w:spacing w:before="214" w:beforeLines="50" w:after="214" w:afterLines="50" w:line="500" w:lineRule="exact"/>
        <w:ind w:left="567"/>
        <w:rPr>
          <w:rFonts w:ascii="Arial" w:eastAsia="宋体" w:cs="Arial"/>
          <w:b/>
        </w:rPr>
      </w:pPr>
      <w:bookmarkStart w:id="340" w:name="_Toc185950230"/>
      <w:bookmarkStart w:id="341" w:name="_Toc166675372"/>
      <w:bookmarkStart w:id="342" w:name="_Toc182491391"/>
      <w:r>
        <w:rPr>
          <w:rFonts w:ascii="Arial" w:eastAsia="宋体" w:cs="Arial"/>
          <w:b/>
        </w:rPr>
        <w:t>风险评价</w:t>
      </w:r>
      <w:bookmarkEnd w:id="340"/>
      <w:bookmarkEnd w:id="341"/>
      <w:bookmarkEnd w:id="342"/>
    </w:p>
    <w:p w14:paraId="29C5CC06">
      <w:pPr>
        <w:pStyle w:val="474"/>
        <w:spacing w:line="500" w:lineRule="exact"/>
        <w:ind w:firstLine="489"/>
        <w:rPr>
          <w:rFonts w:ascii="Arial" w:hAnsi="Arial" w:cs="Arial"/>
          <w:spacing w:val="10"/>
        </w:rPr>
      </w:pPr>
      <w:r>
        <w:rPr>
          <w:rFonts w:hint="eastAsia" w:ascii="Arial" w:hAnsi="Arial" w:cs="Arial"/>
          <w:spacing w:val="10"/>
          <w:szCs w:val="24"/>
        </w:rPr>
        <w:t>由于二阶段项目的三元前驱体生产线及相关配套工程已完成环保验收，企业排污许可证已包括该部分内容，其环保手续均已履行，本报告风险评价内容不再考虑三元前驱体生产线。</w:t>
      </w:r>
    </w:p>
    <w:p w14:paraId="2430C1A5">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风险调查</w:t>
      </w:r>
    </w:p>
    <w:p w14:paraId="7D81AB02">
      <w:pPr>
        <w:numPr>
          <w:ilvl w:val="0"/>
          <w:numId w:val="30"/>
        </w:numPr>
        <w:spacing w:line="500" w:lineRule="exact"/>
        <w:jc w:val="left"/>
        <w:outlineLvl w:val="3"/>
        <w:rPr>
          <w:rFonts w:ascii="Arial" w:hAnsi="Arial" w:eastAsia="宋体" w:cs="Arial"/>
          <w:b/>
          <w:bCs/>
          <w:spacing w:val="10"/>
          <w:sz w:val="24"/>
          <w:szCs w:val="22"/>
        </w:rPr>
      </w:pPr>
      <w:r>
        <w:rPr>
          <w:rFonts w:ascii="Arial" w:hAnsi="Arial" w:eastAsia="宋体" w:cs="Arial"/>
          <w:b/>
          <w:bCs/>
          <w:spacing w:val="10"/>
          <w:sz w:val="24"/>
          <w:szCs w:val="22"/>
        </w:rPr>
        <w:t>风险源调查</w:t>
      </w:r>
    </w:p>
    <w:p w14:paraId="728A6449">
      <w:pPr>
        <w:spacing w:line="500" w:lineRule="exact"/>
        <w:ind w:firstLine="450" w:firstLineChars="200"/>
        <w:rPr>
          <w:rFonts w:ascii="Arial" w:hAnsi="Arial" w:eastAsia="宋体" w:cs="Arial"/>
          <w:sz w:val="24"/>
          <w:szCs w:val="24"/>
        </w:rPr>
      </w:pPr>
      <w:r>
        <w:rPr>
          <w:rFonts w:ascii="Arial" w:hAnsi="Arial" w:eastAsia="宋体" w:cs="Arial"/>
          <w:sz w:val="24"/>
          <w:szCs w:val="24"/>
        </w:rPr>
        <w:t>1.危险物质识别</w:t>
      </w:r>
    </w:p>
    <w:p w14:paraId="42362866">
      <w:pPr>
        <w:spacing w:line="500" w:lineRule="exact"/>
        <w:ind w:firstLine="490" w:firstLineChars="200"/>
        <w:jc w:val="left"/>
        <w:rPr>
          <w:rFonts w:ascii="Arial" w:hAnsi="Arial" w:eastAsia="宋体" w:cs="Arial"/>
          <w:spacing w:val="10"/>
          <w:sz w:val="24"/>
          <w:szCs w:val="22"/>
        </w:rPr>
      </w:pPr>
      <w:r>
        <w:rPr>
          <w:rFonts w:ascii="Arial" w:hAnsi="Arial" w:eastAsia="宋体" w:cs="Arial"/>
          <w:spacing w:val="10"/>
          <w:sz w:val="24"/>
          <w:szCs w:val="22"/>
        </w:rPr>
        <w:t>根据项目生产、使用、储存的物质并根据《建设项目环境风险评价技术导则》（HJ169-2018）（以下简称“风险导则”）识别是否属于危险物质，详见表4-</w:t>
      </w:r>
      <w:r>
        <w:rPr>
          <w:rFonts w:hint="eastAsia" w:ascii="Arial" w:hAnsi="Arial" w:eastAsia="宋体" w:cs="Arial"/>
          <w:spacing w:val="10"/>
          <w:sz w:val="24"/>
          <w:szCs w:val="22"/>
        </w:rPr>
        <w:t>36</w:t>
      </w:r>
      <w:r>
        <w:rPr>
          <w:rFonts w:ascii="Arial" w:hAnsi="Arial" w:eastAsia="宋体" w:cs="Arial"/>
          <w:spacing w:val="10"/>
          <w:sz w:val="24"/>
          <w:szCs w:val="22"/>
        </w:rPr>
        <w:t>。</w:t>
      </w:r>
    </w:p>
    <w:p w14:paraId="32B8AFD7">
      <w:pPr>
        <w:spacing w:line="500" w:lineRule="exact"/>
        <w:ind w:firstLine="490" w:firstLineChars="200"/>
        <w:jc w:val="left"/>
        <w:rPr>
          <w:rFonts w:ascii="Arial" w:hAnsi="Arial" w:eastAsia="宋体" w:cs="Arial"/>
          <w:spacing w:val="10"/>
          <w:sz w:val="24"/>
          <w:szCs w:val="22"/>
        </w:rPr>
      </w:pPr>
    </w:p>
    <w:p w14:paraId="723E9C53">
      <w:pPr>
        <w:numPr>
          <w:ilvl w:val="0"/>
          <w:numId w:val="22"/>
        </w:numPr>
        <w:spacing w:line="500" w:lineRule="exact"/>
        <w:jc w:val="center"/>
        <w:outlineLvl w:val="4"/>
        <w:rPr>
          <w:rFonts w:ascii="Arial" w:hAnsi="Arial" w:eastAsia="宋体" w:cs="Arial"/>
          <w:b/>
          <w:sz w:val="24"/>
          <w:szCs w:val="24"/>
        </w:rPr>
      </w:pPr>
      <w:r>
        <w:rPr>
          <w:rFonts w:ascii="Arial" w:hAnsi="Arial" w:eastAsia="宋体" w:cs="Arial"/>
          <w:b/>
          <w:sz w:val="24"/>
          <w:szCs w:val="24"/>
        </w:rPr>
        <w:t>危险物质识别表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6"/>
        <w:gridCol w:w="4230"/>
        <w:gridCol w:w="3017"/>
      </w:tblGrid>
      <w:tr w14:paraId="551C0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71" w:type="pct"/>
            <w:tcBorders>
              <w:top w:val="single" w:color="auto" w:sz="4" w:space="0"/>
              <w:left w:val="single" w:color="auto" w:sz="4" w:space="0"/>
              <w:bottom w:val="single" w:color="auto" w:sz="4" w:space="0"/>
              <w:right w:val="single" w:color="auto" w:sz="4" w:space="0"/>
            </w:tcBorders>
            <w:shd w:val="clear" w:color="auto" w:fill="auto"/>
            <w:vAlign w:val="center"/>
          </w:tcPr>
          <w:p w14:paraId="67001875">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序号</w:t>
            </w:r>
          </w:p>
        </w:tc>
        <w:tc>
          <w:tcPr>
            <w:tcW w:w="2352" w:type="pct"/>
            <w:tcBorders>
              <w:top w:val="single" w:color="auto" w:sz="4" w:space="0"/>
              <w:left w:val="single" w:color="auto" w:sz="4" w:space="0"/>
              <w:bottom w:val="single" w:color="auto" w:sz="4" w:space="0"/>
              <w:right w:val="single" w:color="auto" w:sz="4" w:space="0"/>
            </w:tcBorders>
            <w:shd w:val="clear" w:color="auto" w:fill="auto"/>
            <w:vAlign w:val="center"/>
          </w:tcPr>
          <w:p w14:paraId="09B72789">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物质名称</w:t>
            </w:r>
          </w:p>
        </w:tc>
        <w:tc>
          <w:tcPr>
            <w:tcW w:w="1677" w:type="pct"/>
            <w:tcBorders>
              <w:top w:val="single" w:color="auto" w:sz="4" w:space="0"/>
              <w:left w:val="single" w:color="auto" w:sz="4" w:space="0"/>
              <w:bottom w:val="single" w:color="auto" w:sz="4" w:space="0"/>
              <w:right w:val="single" w:color="auto" w:sz="4" w:space="0"/>
            </w:tcBorders>
            <w:shd w:val="clear" w:color="auto" w:fill="auto"/>
            <w:vAlign w:val="center"/>
          </w:tcPr>
          <w:p w14:paraId="52745CE1">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是否属于危险物质</w:t>
            </w:r>
          </w:p>
        </w:tc>
      </w:tr>
      <w:tr w14:paraId="52183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1" w:type="pct"/>
            <w:tcBorders>
              <w:top w:val="single" w:color="auto" w:sz="4" w:space="0"/>
              <w:left w:val="single" w:color="auto" w:sz="4" w:space="0"/>
              <w:bottom w:val="single" w:color="auto" w:sz="4" w:space="0"/>
              <w:right w:val="single" w:color="auto" w:sz="4" w:space="0"/>
            </w:tcBorders>
            <w:shd w:val="clear" w:color="auto" w:fill="auto"/>
            <w:vAlign w:val="center"/>
          </w:tcPr>
          <w:p w14:paraId="2E54A302">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1</w:t>
            </w:r>
          </w:p>
        </w:tc>
        <w:tc>
          <w:tcPr>
            <w:tcW w:w="2352" w:type="pct"/>
            <w:tcBorders>
              <w:top w:val="single" w:color="auto" w:sz="4" w:space="0"/>
              <w:left w:val="single" w:color="auto" w:sz="4" w:space="0"/>
              <w:bottom w:val="single" w:color="auto" w:sz="4" w:space="0"/>
              <w:right w:val="single" w:color="auto" w:sz="4" w:space="0"/>
            </w:tcBorders>
            <w:shd w:val="clear" w:color="auto" w:fill="auto"/>
            <w:vAlign w:val="center"/>
          </w:tcPr>
          <w:p w14:paraId="7FFE497B">
            <w:pPr>
              <w:widowControl/>
              <w:adjustRightInd w:val="0"/>
              <w:snapToGrid w:val="0"/>
              <w:jc w:val="center"/>
              <w:textAlignment w:val="center"/>
              <w:rPr>
                <w:rFonts w:ascii="Arial" w:hAnsi="Arial" w:eastAsia="宋体" w:cs="Arial"/>
                <w:kern w:val="0"/>
                <w:sz w:val="21"/>
                <w:szCs w:val="21"/>
              </w:rPr>
            </w:pPr>
            <w:r>
              <w:rPr>
                <w:rFonts w:hint="eastAsia" w:ascii="Arial" w:hAnsi="Arial" w:eastAsia="宋体" w:cs="Arial"/>
                <w:kern w:val="0"/>
                <w:sz w:val="21"/>
                <w:szCs w:val="21"/>
              </w:rPr>
              <w:t>硫酸钴晶体</w:t>
            </w:r>
          </w:p>
        </w:tc>
        <w:tc>
          <w:tcPr>
            <w:tcW w:w="1677" w:type="pct"/>
            <w:tcBorders>
              <w:top w:val="single" w:color="auto" w:sz="4" w:space="0"/>
              <w:left w:val="single" w:color="auto" w:sz="4" w:space="0"/>
              <w:bottom w:val="single" w:color="auto" w:sz="4" w:space="0"/>
              <w:right w:val="single" w:color="auto" w:sz="4" w:space="0"/>
            </w:tcBorders>
            <w:shd w:val="clear" w:color="auto" w:fill="auto"/>
            <w:vAlign w:val="center"/>
          </w:tcPr>
          <w:p w14:paraId="5955F801">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是</w:t>
            </w:r>
          </w:p>
        </w:tc>
      </w:tr>
      <w:tr w14:paraId="338D8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1" w:type="pct"/>
            <w:tcBorders>
              <w:top w:val="single" w:color="auto" w:sz="4" w:space="0"/>
              <w:left w:val="single" w:color="auto" w:sz="4" w:space="0"/>
              <w:bottom w:val="single" w:color="auto" w:sz="4" w:space="0"/>
              <w:right w:val="single" w:color="auto" w:sz="4" w:space="0"/>
            </w:tcBorders>
            <w:shd w:val="clear" w:color="auto" w:fill="auto"/>
            <w:vAlign w:val="center"/>
          </w:tcPr>
          <w:p w14:paraId="05E320D6">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2</w:t>
            </w:r>
          </w:p>
        </w:tc>
        <w:tc>
          <w:tcPr>
            <w:tcW w:w="2352" w:type="pct"/>
            <w:tcBorders>
              <w:top w:val="single" w:color="auto" w:sz="4" w:space="0"/>
              <w:left w:val="single" w:color="auto" w:sz="4" w:space="0"/>
              <w:bottom w:val="single" w:color="auto" w:sz="4" w:space="0"/>
              <w:right w:val="single" w:color="auto" w:sz="4" w:space="0"/>
            </w:tcBorders>
            <w:shd w:val="clear" w:color="auto" w:fill="auto"/>
            <w:vAlign w:val="center"/>
          </w:tcPr>
          <w:p w14:paraId="756F65F7">
            <w:pPr>
              <w:adjustRightInd w:val="0"/>
              <w:snapToGrid w:val="0"/>
              <w:jc w:val="center"/>
              <w:rPr>
                <w:rFonts w:ascii="Arial" w:hAnsi="Arial" w:eastAsia="宋体" w:cs="Arial"/>
                <w:sz w:val="21"/>
                <w:szCs w:val="21"/>
              </w:rPr>
            </w:pPr>
            <w:r>
              <w:rPr>
                <w:rFonts w:ascii="Arial" w:hAnsi="Arial" w:eastAsia="宋体" w:cs="Arial"/>
                <w:sz w:val="21"/>
                <w:szCs w:val="21"/>
              </w:rPr>
              <w:t>27.5%双氧水</w:t>
            </w:r>
          </w:p>
        </w:tc>
        <w:tc>
          <w:tcPr>
            <w:tcW w:w="1677" w:type="pct"/>
            <w:tcBorders>
              <w:top w:val="single" w:color="auto" w:sz="4" w:space="0"/>
              <w:left w:val="single" w:color="auto" w:sz="4" w:space="0"/>
              <w:bottom w:val="single" w:color="auto" w:sz="4" w:space="0"/>
              <w:right w:val="single" w:color="auto" w:sz="4" w:space="0"/>
            </w:tcBorders>
            <w:shd w:val="clear" w:color="auto" w:fill="auto"/>
            <w:vAlign w:val="center"/>
          </w:tcPr>
          <w:p w14:paraId="4DA7A5B9">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否</w:t>
            </w:r>
          </w:p>
        </w:tc>
      </w:tr>
      <w:tr w14:paraId="2AD8E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1" w:type="pct"/>
            <w:tcBorders>
              <w:top w:val="single" w:color="auto" w:sz="4" w:space="0"/>
              <w:left w:val="single" w:color="auto" w:sz="4" w:space="0"/>
              <w:bottom w:val="single" w:color="auto" w:sz="4" w:space="0"/>
              <w:right w:val="single" w:color="auto" w:sz="4" w:space="0"/>
            </w:tcBorders>
            <w:shd w:val="clear" w:color="auto" w:fill="auto"/>
            <w:vAlign w:val="center"/>
          </w:tcPr>
          <w:p w14:paraId="569117B8">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3</w:t>
            </w:r>
          </w:p>
        </w:tc>
        <w:tc>
          <w:tcPr>
            <w:tcW w:w="2352" w:type="pct"/>
            <w:tcBorders>
              <w:top w:val="single" w:color="auto" w:sz="4" w:space="0"/>
              <w:left w:val="single" w:color="auto" w:sz="4" w:space="0"/>
              <w:bottom w:val="single" w:color="auto" w:sz="4" w:space="0"/>
              <w:right w:val="single" w:color="auto" w:sz="4" w:space="0"/>
            </w:tcBorders>
            <w:shd w:val="clear" w:color="auto" w:fill="auto"/>
            <w:vAlign w:val="center"/>
          </w:tcPr>
          <w:p w14:paraId="1747E31C">
            <w:pPr>
              <w:adjustRightInd w:val="0"/>
              <w:snapToGrid w:val="0"/>
              <w:jc w:val="center"/>
              <w:rPr>
                <w:rFonts w:ascii="Arial" w:hAnsi="Arial" w:eastAsia="宋体" w:cs="Arial"/>
                <w:sz w:val="21"/>
                <w:szCs w:val="21"/>
              </w:rPr>
            </w:pPr>
            <w:r>
              <w:rPr>
                <w:rFonts w:ascii="Arial" w:hAnsi="Arial" w:eastAsia="宋体" w:cs="Arial"/>
                <w:sz w:val="21"/>
                <w:szCs w:val="21"/>
              </w:rPr>
              <w:t>32%液碱</w:t>
            </w:r>
          </w:p>
        </w:tc>
        <w:tc>
          <w:tcPr>
            <w:tcW w:w="1677" w:type="pct"/>
            <w:tcBorders>
              <w:top w:val="single" w:color="auto" w:sz="4" w:space="0"/>
              <w:left w:val="single" w:color="auto" w:sz="4" w:space="0"/>
              <w:bottom w:val="single" w:color="auto" w:sz="4" w:space="0"/>
              <w:right w:val="single" w:color="auto" w:sz="4" w:space="0"/>
            </w:tcBorders>
            <w:shd w:val="clear" w:color="auto" w:fill="auto"/>
            <w:vAlign w:val="center"/>
          </w:tcPr>
          <w:p w14:paraId="3BE066EA">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否</w:t>
            </w:r>
          </w:p>
        </w:tc>
      </w:tr>
      <w:tr w14:paraId="6DA97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1" w:type="pct"/>
            <w:tcBorders>
              <w:top w:val="single" w:color="auto" w:sz="4" w:space="0"/>
              <w:left w:val="single" w:color="auto" w:sz="4" w:space="0"/>
              <w:bottom w:val="single" w:color="auto" w:sz="4" w:space="0"/>
              <w:right w:val="single" w:color="auto" w:sz="4" w:space="0"/>
            </w:tcBorders>
            <w:shd w:val="clear" w:color="auto" w:fill="auto"/>
            <w:vAlign w:val="center"/>
          </w:tcPr>
          <w:p w14:paraId="5EEC843B">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4</w:t>
            </w:r>
          </w:p>
        </w:tc>
        <w:tc>
          <w:tcPr>
            <w:tcW w:w="2352" w:type="pct"/>
            <w:tcBorders>
              <w:top w:val="single" w:color="auto" w:sz="4" w:space="0"/>
              <w:left w:val="single" w:color="auto" w:sz="4" w:space="0"/>
              <w:bottom w:val="single" w:color="auto" w:sz="4" w:space="0"/>
              <w:right w:val="single" w:color="auto" w:sz="4" w:space="0"/>
            </w:tcBorders>
            <w:shd w:val="clear" w:color="auto" w:fill="auto"/>
            <w:vAlign w:val="center"/>
          </w:tcPr>
          <w:p w14:paraId="3299A69F">
            <w:pPr>
              <w:adjustRightInd w:val="0"/>
              <w:snapToGrid w:val="0"/>
              <w:jc w:val="center"/>
              <w:rPr>
                <w:rFonts w:ascii="Arial" w:hAnsi="Arial" w:eastAsia="宋体" w:cs="Arial"/>
                <w:sz w:val="21"/>
                <w:szCs w:val="21"/>
              </w:rPr>
            </w:pPr>
            <w:r>
              <w:rPr>
                <w:rFonts w:ascii="Arial" w:hAnsi="Arial" w:eastAsia="宋体" w:cs="Arial"/>
                <w:sz w:val="21"/>
                <w:szCs w:val="21"/>
              </w:rPr>
              <w:t>21%氨水</w:t>
            </w:r>
          </w:p>
        </w:tc>
        <w:tc>
          <w:tcPr>
            <w:tcW w:w="1677" w:type="pct"/>
            <w:tcBorders>
              <w:top w:val="single" w:color="auto" w:sz="4" w:space="0"/>
              <w:left w:val="single" w:color="auto" w:sz="4" w:space="0"/>
              <w:bottom w:val="single" w:color="auto" w:sz="4" w:space="0"/>
              <w:right w:val="single" w:color="auto" w:sz="4" w:space="0"/>
            </w:tcBorders>
            <w:shd w:val="clear" w:color="auto" w:fill="auto"/>
            <w:vAlign w:val="center"/>
          </w:tcPr>
          <w:p w14:paraId="4B99FDC6">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是</w:t>
            </w:r>
          </w:p>
        </w:tc>
      </w:tr>
      <w:tr w14:paraId="1C7D6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1" w:type="pct"/>
            <w:tcBorders>
              <w:top w:val="single" w:color="auto" w:sz="4" w:space="0"/>
              <w:left w:val="single" w:color="auto" w:sz="4" w:space="0"/>
              <w:bottom w:val="single" w:color="auto" w:sz="4" w:space="0"/>
              <w:right w:val="single" w:color="auto" w:sz="4" w:space="0"/>
            </w:tcBorders>
            <w:shd w:val="clear" w:color="auto" w:fill="auto"/>
            <w:vAlign w:val="center"/>
          </w:tcPr>
          <w:p w14:paraId="185BC99F">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5</w:t>
            </w:r>
          </w:p>
        </w:tc>
        <w:tc>
          <w:tcPr>
            <w:tcW w:w="2352" w:type="pct"/>
            <w:tcBorders>
              <w:top w:val="single" w:color="auto" w:sz="4" w:space="0"/>
              <w:left w:val="single" w:color="auto" w:sz="4" w:space="0"/>
              <w:bottom w:val="single" w:color="auto" w:sz="4" w:space="0"/>
              <w:right w:val="single" w:color="auto" w:sz="4" w:space="0"/>
            </w:tcBorders>
            <w:shd w:val="clear" w:color="auto" w:fill="auto"/>
            <w:vAlign w:val="center"/>
          </w:tcPr>
          <w:p w14:paraId="14528BA4">
            <w:pPr>
              <w:adjustRightInd w:val="0"/>
              <w:snapToGrid w:val="0"/>
              <w:jc w:val="center"/>
              <w:rPr>
                <w:rFonts w:ascii="Arial" w:hAnsi="Arial" w:eastAsia="宋体" w:cs="Arial"/>
                <w:sz w:val="21"/>
                <w:szCs w:val="21"/>
              </w:rPr>
            </w:pPr>
            <w:r>
              <w:rPr>
                <w:rFonts w:ascii="Arial" w:hAnsi="Arial" w:eastAsia="宋体" w:cs="Arial"/>
                <w:sz w:val="21"/>
                <w:szCs w:val="21"/>
              </w:rPr>
              <w:t>纯水</w:t>
            </w:r>
          </w:p>
        </w:tc>
        <w:tc>
          <w:tcPr>
            <w:tcW w:w="1677" w:type="pct"/>
            <w:tcBorders>
              <w:top w:val="single" w:color="auto" w:sz="4" w:space="0"/>
              <w:left w:val="single" w:color="auto" w:sz="4" w:space="0"/>
              <w:bottom w:val="single" w:color="auto" w:sz="4" w:space="0"/>
              <w:right w:val="single" w:color="auto" w:sz="4" w:space="0"/>
            </w:tcBorders>
            <w:shd w:val="clear" w:color="auto" w:fill="auto"/>
            <w:vAlign w:val="center"/>
          </w:tcPr>
          <w:p w14:paraId="3DC3D2DE">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否</w:t>
            </w:r>
          </w:p>
        </w:tc>
      </w:tr>
      <w:tr w14:paraId="58DF4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1" w:type="pct"/>
            <w:tcBorders>
              <w:top w:val="single" w:color="auto" w:sz="4" w:space="0"/>
              <w:left w:val="single" w:color="auto" w:sz="4" w:space="0"/>
              <w:bottom w:val="single" w:color="auto" w:sz="4" w:space="0"/>
              <w:right w:val="single" w:color="auto" w:sz="4" w:space="0"/>
            </w:tcBorders>
            <w:shd w:val="clear" w:color="auto" w:fill="auto"/>
            <w:vAlign w:val="center"/>
          </w:tcPr>
          <w:p w14:paraId="113E1F2C">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6</w:t>
            </w:r>
          </w:p>
        </w:tc>
        <w:tc>
          <w:tcPr>
            <w:tcW w:w="2352" w:type="pct"/>
            <w:tcBorders>
              <w:top w:val="single" w:color="auto" w:sz="4" w:space="0"/>
              <w:left w:val="single" w:color="auto" w:sz="4" w:space="0"/>
              <w:bottom w:val="single" w:color="auto" w:sz="4" w:space="0"/>
              <w:right w:val="single" w:color="auto" w:sz="4" w:space="0"/>
            </w:tcBorders>
            <w:shd w:val="clear" w:color="auto" w:fill="auto"/>
            <w:vAlign w:val="center"/>
          </w:tcPr>
          <w:p w14:paraId="173E9C8D">
            <w:pPr>
              <w:widowControl/>
              <w:adjustRightInd w:val="0"/>
              <w:snapToGrid w:val="0"/>
              <w:jc w:val="center"/>
              <w:textAlignment w:val="center"/>
              <w:rPr>
                <w:rFonts w:ascii="Arial" w:hAnsi="Arial" w:eastAsia="宋体" w:cs="Arial"/>
                <w:kern w:val="0"/>
                <w:sz w:val="21"/>
                <w:szCs w:val="21"/>
              </w:rPr>
            </w:pPr>
            <w:r>
              <w:rPr>
                <w:rFonts w:hint="eastAsia" w:ascii="Arial" w:hAnsi="Arial" w:eastAsia="宋体" w:cs="Arial"/>
                <w:kern w:val="0"/>
                <w:sz w:val="21"/>
                <w:szCs w:val="21"/>
              </w:rPr>
              <w:t>蒸汽</w:t>
            </w:r>
          </w:p>
        </w:tc>
        <w:tc>
          <w:tcPr>
            <w:tcW w:w="1677" w:type="pct"/>
            <w:tcBorders>
              <w:top w:val="single" w:color="auto" w:sz="4" w:space="0"/>
              <w:left w:val="single" w:color="auto" w:sz="4" w:space="0"/>
              <w:bottom w:val="single" w:color="auto" w:sz="4" w:space="0"/>
              <w:right w:val="single" w:color="auto" w:sz="4" w:space="0"/>
            </w:tcBorders>
            <w:shd w:val="clear" w:color="auto" w:fill="auto"/>
            <w:vAlign w:val="center"/>
          </w:tcPr>
          <w:p w14:paraId="58087E3A">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否</w:t>
            </w:r>
          </w:p>
        </w:tc>
      </w:tr>
      <w:tr w14:paraId="3339E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1" w:type="pct"/>
            <w:tcBorders>
              <w:top w:val="single" w:color="auto" w:sz="4" w:space="0"/>
              <w:left w:val="single" w:color="auto" w:sz="4" w:space="0"/>
              <w:bottom w:val="single" w:color="auto" w:sz="4" w:space="0"/>
              <w:right w:val="single" w:color="auto" w:sz="4" w:space="0"/>
            </w:tcBorders>
            <w:shd w:val="clear" w:color="auto" w:fill="auto"/>
            <w:vAlign w:val="center"/>
          </w:tcPr>
          <w:p w14:paraId="08FF1A07">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7</w:t>
            </w:r>
          </w:p>
        </w:tc>
        <w:tc>
          <w:tcPr>
            <w:tcW w:w="2352" w:type="pct"/>
            <w:tcBorders>
              <w:top w:val="single" w:color="auto" w:sz="4" w:space="0"/>
              <w:left w:val="single" w:color="auto" w:sz="4" w:space="0"/>
              <w:bottom w:val="single" w:color="auto" w:sz="4" w:space="0"/>
              <w:right w:val="single" w:color="auto" w:sz="4" w:space="0"/>
            </w:tcBorders>
            <w:shd w:val="clear" w:color="auto" w:fill="auto"/>
            <w:vAlign w:val="center"/>
          </w:tcPr>
          <w:p w14:paraId="3D964068">
            <w:pPr>
              <w:widowControl/>
              <w:adjustRightInd w:val="0"/>
              <w:snapToGrid w:val="0"/>
              <w:jc w:val="center"/>
              <w:textAlignment w:val="center"/>
              <w:rPr>
                <w:rFonts w:ascii="Arial" w:hAnsi="Arial" w:eastAsia="宋体" w:cs="Arial"/>
                <w:kern w:val="0"/>
                <w:sz w:val="21"/>
                <w:szCs w:val="21"/>
              </w:rPr>
            </w:pPr>
            <w:r>
              <w:rPr>
                <w:rFonts w:hint="eastAsia" w:ascii="Arial" w:hAnsi="Arial" w:eastAsia="宋体" w:cs="Arial"/>
                <w:kern w:val="0"/>
                <w:sz w:val="21"/>
                <w:szCs w:val="21"/>
              </w:rPr>
              <w:t>生产废水</w:t>
            </w:r>
          </w:p>
        </w:tc>
        <w:tc>
          <w:tcPr>
            <w:tcW w:w="1677" w:type="pct"/>
            <w:tcBorders>
              <w:top w:val="single" w:color="auto" w:sz="4" w:space="0"/>
              <w:left w:val="single" w:color="auto" w:sz="4" w:space="0"/>
              <w:bottom w:val="single" w:color="auto" w:sz="4" w:space="0"/>
              <w:right w:val="single" w:color="auto" w:sz="4" w:space="0"/>
            </w:tcBorders>
            <w:shd w:val="clear" w:color="auto" w:fill="auto"/>
            <w:vAlign w:val="center"/>
          </w:tcPr>
          <w:p w14:paraId="4831A2A8">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是</w:t>
            </w:r>
          </w:p>
        </w:tc>
      </w:tr>
      <w:tr w14:paraId="004B1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1" w:type="pct"/>
            <w:tcBorders>
              <w:top w:val="single" w:color="auto" w:sz="4" w:space="0"/>
              <w:left w:val="single" w:color="auto" w:sz="4" w:space="0"/>
              <w:bottom w:val="single" w:color="auto" w:sz="4" w:space="0"/>
              <w:right w:val="single" w:color="auto" w:sz="4" w:space="0"/>
            </w:tcBorders>
            <w:shd w:val="clear" w:color="auto" w:fill="auto"/>
            <w:vAlign w:val="center"/>
          </w:tcPr>
          <w:p w14:paraId="508B44A1">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8</w:t>
            </w:r>
          </w:p>
        </w:tc>
        <w:tc>
          <w:tcPr>
            <w:tcW w:w="2352" w:type="pct"/>
            <w:tcBorders>
              <w:top w:val="single" w:color="auto" w:sz="4" w:space="0"/>
              <w:left w:val="single" w:color="auto" w:sz="4" w:space="0"/>
              <w:bottom w:val="single" w:color="auto" w:sz="4" w:space="0"/>
              <w:right w:val="single" w:color="auto" w:sz="4" w:space="0"/>
            </w:tcBorders>
            <w:shd w:val="clear" w:color="auto" w:fill="auto"/>
            <w:vAlign w:val="center"/>
          </w:tcPr>
          <w:p w14:paraId="09D4AEA1">
            <w:pPr>
              <w:widowControl/>
              <w:adjustRightInd w:val="0"/>
              <w:snapToGrid w:val="0"/>
              <w:jc w:val="center"/>
              <w:textAlignment w:val="center"/>
              <w:rPr>
                <w:rFonts w:ascii="Arial" w:hAnsi="Arial" w:eastAsia="宋体" w:cs="Arial"/>
                <w:kern w:val="0"/>
                <w:sz w:val="21"/>
                <w:szCs w:val="21"/>
              </w:rPr>
            </w:pPr>
            <w:r>
              <w:rPr>
                <w:rFonts w:hint="eastAsia" w:ascii="Arial" w:hAnsi="Arial" w:eastAsia="宋体" w:cs="Arial"/>
                <w:kern w:val="0"/>
                <w:sz w:val="21"/>
                <w:szCs w:val="21"/>
              </w:rPr>
              <w:t>稀硫酸（15%~20%）</w:t>
            </w:r>
          </w:p>
        </w:tc>
        <w:tc>
          <w:tcPr>
            <w:tcW w:w="1677" w:type="pct"/>
            <w:tcBorders>
              <w:top w:val="single" w:color="auto" w:sz="4" w:space="0"/>
              <w:left w:val="single" w:color="auto" w:sz="4" w:space="0"/>
              <w:bottom w:val="single" w:color="auto" w:sz="4" w:space="0"/>
              <w:right w:val="single" w:color="auto" w:sz="4" w:space="0"/>
            </w:tcBorders>
            <w:shd w:val="clear" w:color="auto" w:fill="auto"/>
            <w:vAlign w:val="center"/>
          </w:tcPr>
          <w:p w14:paraId="3F3C1DAC">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是</w:t>
            </w:r>
          </w:p>
        </w:tc>
      </w:tr>
      <w:tr w14:paraId="5F5B3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1" w:type="pct"/>
            <w:tcBorders>
              <w:top w:val="single" w:color="auto" w:sz="4" w:space="0"/>
              <w:left w:val="single" w:color="auto" w:sz="4" w:space="0"/>
              <w:bottom w:val="single" w:color="auto" w:sz="4" w:space="0"/>
              <w:right w:val="single" w:color="auto" w:sz="4" w:space="0"/>
            </w:tcBorders>
            <w:shd w:val="clear" w:color="auto" w:fill="auto"/>
            <w:vAlign w:val="center"/>
          </w:tcPr>
          <w:p w14:paraId="5BF3840D">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9</w:t>
            </w:r>
          </w:p>
        </w:tc>
        <w:tc>
          <w:tcPr>
            <w:tcW w:w="2352" w:type="pct"/>
            <w:tcBorders>
              <w:top w:val="single" w:color="auto" w:sz="4" w:space="0"/>
              <w:left w:val="single" w:color="auto" w:sz="4" w:space="0"/>
              <w:bottom w:val="single" w:color="auto" w:sz="4" w:space="0"/>
              <w:right w:val="single" w:color="auto" w:sz="4" w:space="0"/>
            </w:tcBorders>
            <w:shd w:val="clear" w:color="auto" w:fill="auto"/>
            <w:vAlign w:val="center"/>
          </w:tcPr>
          <w:p w14:paraId="281DCAC1">
            <w:pPr>
              <w:widowControl/>
              <w:adjustRightInd w:val="0"/>
              <w:snapToGrid w:val="0"/>
              <w:jc w:val="center"/>
              <w:textAlignment w:val="center"/>
              <w:rPr>
                <w:rFonts w:ascii="Arial" w:hAnsi="Arial" w:eastAsia="宋体" w:cs="Arial"/>
                <w:kern w:val="0"/>
                <w:sz w:val="21"/>
                <w:szCs w:val="21"/>
              </w:rPr>
            </w:pPr>
            <w:r>
              <w:rPr>
                <w:rFonts w:hint="eastAsia" w:ascii="Arial" w:hAnsi="Arial" w:eastAsia="宋体" w:cs="Arial"/>
                <w:kern w:val="0"/>
                <w:sz w:val="21"/>
                <w:szCs w:val="21"/>
              </w:rPr>
              <w:t>羟基钴</w:t>
            </w:r>
          </w:p>
        </w:tc>
        <w:tc>
          <w:tcPr>
            <w:tcW w:w="1677" w:type="pct"/>
            <w:tcBorders>
              <w:top w:val="single" w:color="auto" w:sz="4" w:space="0"/>
              <w:left w:val="single" w:color="auto" w:sz="4" w:space="0"/>
              <w:bottom w:val="single" w:color="auto" w:sz="4" w:space="0"/>
              <w:right w:val="single" w:color="auto" w:sz="4" w:space="0"/>
            </w:tcBorders>
            <w:shd w:val="clear" w:color="auto" w:fill="auto"/>
            <w:vAlign w:val="center"/>
          </w:tcPr>
          <w:p w14:paraId="19F822C9">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是</w:t>
            </w:r>
          </w:p>
        </w:tc>
      </w:tr>
    </w:tbl>
    <w:p w14:paraId="493C84FF">
      <w:pPr>
        <w:spacing w:line="500" w:lineRule="exact"/>
        <w:ind w:firstLine="450" w:firstLineChars="200"/>
        <w:jc w:val="left"/>
        <w:rPr>
          <w:rFonts w:ascii="Arial" w:hAnsi="Arial" w:eastAsia="宋体" w:cs="Arial"/>
          <w:spacing w:val="10"/>
          <w:sz w:val="24"/>
          <w:szCs w:val="22"/>
        </w:rPr>
      </w:pPr>
      <w:r>
        <w:rPr>
          <w:rFonts w:ascii="Arial" w:hAnsi="Arial" w:eastAsia="宋体" w:cs="Arial"/>
          <w:sz w:val="24"/>
          <w:szCs w:val="24"/>
        </w:rPr>
        <w:t>2.危险物质数量和分布情况</w:t>
      </w:r>
    </w:p>
    <w:p w14:paraId="31C70560">
      <w:pPr>
        <w:spacing w:line="500" w:lineRule="exact"/>
        <w:ind w:firstLine="490" w:firstLineChars="200"/>
        <w:jc w:val="left"/>
        <w:rPr>
          <w:rFonts w:ascii="Arial" w:hAnsi="Arial" w:eastAsia="宋体" w:cs="Arial"/>
          <w:sz w:val="24"/>
          <w:szCs w:val="24"/>
        </w:rPr>
      </w:pPr>
      <w:r>
        <w:rPr>
          <w:rFonts w:ascii="Arial" w:hAnsi="Arial" w:eastAsia="宋体" w:cs="Arial"/>
          <w:spacing w:val="10"/>
          <w:sz w:val="24"/>
          <w:szCs w:val="22"/>
        </w:rPr>
        <w:t>根据表4-</w:t>
      </w:r>
      <w:r>
        <w:rPr>
          <w:rFonts w:hint="eastAsia" w:ascii="Arial" w:hAnsi="Arial" w:eastAsia="宋体" w:cs="Arial"/>
          <w:spacing w:val="10"/>
          <w:sz w:val="24"/>
          <w:szCs w:val="22"/>
        </w:rPr>
        <w:t>36</w:t>
      </w:r>
      <w:r>
        <w:rPr>
          <w:rFonts w:ascii="Arial" w:hAnsi="Arial" w:eastAsia="宋体" w:cs="Arial"/>
          <w:spacing w:val="10"/>
          <w:sz w:val="24"/>
          <w:szCs w:val="22"/>
        </w:rPr>
        <w:t>，项目危险物质的分布情况及</w:t>
      </w:r>
      <w:r>
        <w:rPr>
          <w:rFonts w:ascii="Arial" w:hAnsi="Arial" w:eastAsia="宋体" w:cs="Arial"/>
          <w:sz w:val="24"/>
          <w:szCs w:val="24"/>
        </w:rPr>
        <w:t>最大存在量见表4-</w:t>
      </w:r>
      <w:r>
        <w:rPr>
          <w:rFonts w:hint="eastAsia" w:ascii="Arial" w:hAnsi="Arial" w:eastAsia="宋体" w:cs="Arial"/>
          <w:sz w:val="24"/>
          <w:szCs w:val="24"/>
        </w:rPr>
        <w:t>37</w:t>
      </w:r>
      <w:r>
        <w:rPr>
          <w:rFonts w:ascii="Arial" w:hAnsi="Arial" w:eastAsia="宋体" w:cs="Arial"/>
          <w:sz w:val="24"/>
          <w:szCs w:val="24"/>
        </w:rPr>
        <w:t>。</w:t>
      </w:r>
    </w:p>
    <w:p w14:paraId="3B260C71">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危险物质分布情况</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2257"/>
        <w:gridCol w:w="3272"/>
        <w:gridCol w:w="2648"/>
      </w:tblGrid>
      <w:tr w14:paraId="0C409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4" w:type="pct"/>
            <w:tcBorders>
              <w:top w:val="single" w:color="auto" w:sz="4" w:space="0"/>
              <w:left w:val="single" w:color="auto" w:sz="4" w:space="0"/>
              <w:right w:val="single" w:color="auto" w:sz="4" w:space="0"/>
            </w:tcBorders>
            <w:vAlign w:val="center"/>
          </w:tcPr>
          <w:p w14:paraId="3DB8195A">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序号</w:t>
            </w:r>
          </w:p>
        </w:tc>
        <w:tc>
          <w:tcPr>
            <w:tcW w:w="1255" w:type="pct"/>
            <w:tcBorders>
              <w:top w:val="single" w:color="auto" w:sz="4" w:space="0"/>
              <w:left w:val="single" w:color="auto" w:sz="4" w:space="0"/>
              <w:right w:val="single" w:color="auto" w:sz="4" w:space="0"/>
            </w:tcBorders>
            <w:vAlign w:val="center"/>
          </w:tcPr>
          <w:p w14:paraId="5AB1646A">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危险物质名称</w:t>
            </w:r>
          </w:p>
        </w:tc>
        <w:tc>
          <w:tcPr>
            <w:tcW w:w="1819" w:type="pct"/>
            <w:tcBorders>
              <w:top w:val="single" w:color="auto" w:sz="4" w:space="0"/>
              <w:left w:val="single" w:color="auto" w:sz="4" w:space="0"/>
              <w:right w:val="single" w:color="auto" w:sz="4" w:space="0"/>
            </w:tcBorders>
            <w:vAlign w:val="center"/>
          </w:tcPr>
          <w:p w14:paraId="626624BA">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分布情况</w:t>
            </w:r>
          </w:p>
        </w:tc>
        <w:tc>
          <w:tcPr>
            <w:tcW w:w="1472" w:type="pct"/>
            <w:tcBorders>
              <w:top w:val="single" w:color="auto" w:sz="4" w:space="0"/>
              <w:left w:val="single" w:color="auto" w:sz="4" w:space="0"/>
              <w:bottom w:val="single" w:color="auto" w:sz="4" w:space="0"/>
              <w:right w:val="single" w:color="auto" w:sz="4" w:space="0"/>
            </w:tcBorders>
            <w:vAlign w:val="center"/>
          </w:tcPr>
          <w:p w14:paraId="039BD4D5">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最大存在量（t）</w:t>
            </w:r>
          </w:p>
        </w:tc>
      </w:tr>
      <w:tr w14:paraId="1982B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restart"/>
            <w:tcBorders>
              <w:top w:val="single" w:color="auto" w:sz="4" w:space="0"/>
              <w:left w:val="single" w:color="auto" w:sz="4" w:space="0"/>
              <w:right w:val="single" w:color="auto" w:sz="4" w:space="0"/>
            </w:tcBorders>
            <w:vAlign w:val="center"/>
          </w:tcPr>
          <w:p w14:paraId="25614C7E">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1</w:t>
            </w:r>
          </w:p>
        </w:tc>
        <w:tc>
          <w:tcPr>
            <w:tcW w:w="1255" w:type="pct"/>
            <w:vMerge w:val="restart"/>
            <w:tcBorders>
              <w:top w:val="single" w:color="auto" w:sz="4" w:space="0"/>
              <w:left w:val="single" w:color="auto" w:sz="4" w:space="0"/>
              <w:right w:val="single" w:color="auto" w:sz="4" w:space="0"/>
            </w:tcBorders>
            <w:vAlign w:val="center"/>
          </w:tcPr>
          <w:p w14:paraId="20C04ABA">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kern w:val="0"/>
                <w:sz w:val="21"/>
                <w:szCs w:val="21"/>
              </w:rPr>
              <w:t>硫酸钴晶体</w:t>
            </w:r>
          </w:p>
        </w:tc>
        <w:tc>
          <w:tcPr>
            <w:tcW w:w="1819" w:type="pct"/>
            <w:tcBorders>
              <w:top w:val="single" w:color="auto" w:sz="4" w:space="0"/>
              <w:left w:val="single" w:color="auto" w:sz="4" w:space="0"/>
              <w:bottom w:val="single" w:color="auto" w:sz="4" w:space="0"/>
              <w:right w:val="single" w:color="auto" w:sz="4" w:space="0"/>
            </w:tcBorders>
            <w:vAlign w:val="center"/>
          </w:tcPr>
          <w:p w14:paraId="0BFF89F4">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X1</w:t>
            </w:r>
            <w:r>
              <w:rPr>
                <w:rFonts w:hint="eastAsia" w:ascii="Arial" w:hAnsi="Arial" w:eastAsia="宋体" w:cs="Arial"/>
                <w:spacing w:val="10"/>
                <w:sz w:val="21"/>
                <w:szCs w:val="21"/>
              </w:rPr>
              <w:t>9</w:t>
            </w:r>
            <w:r>
              <w:rPr>
                <w:rFonts w:ascii="Arial" w:hAnsi="Arial" w:eastAsia="宋体" w:cs="Arial"/>
                <w:spacing w:val="10"/>
                <w:sz w:val="21"/>
                <w:szCs w:val="21"/>
              </w:rPr>
              <w:t>车间</w:t>
            </w:r>
            <w:r>
              <w:rPr>
                <w:rFonts w:hint="eastAsia" w:ascii="Arial" w:hAnsi="Arial" w:eastAsia="宋体" w:cs="Arial"/>
                <w:spacing w:val="10"/>
                <w:sz w:val="21"/>
                <w:szCs w:val="21"/>
              </w:rPr>
              <w:t>原料暂存区</w:t>
            </w:r>
          </w:p>
        </w:tc>
        <w:tc>
          <w:tcPr>
            <w:tcW w:w="1472" w:type="pct"/>
            <w:tcBorders>
              <w:top w:val="single" w:color="auto" w:sz="4" w:space="0"/>
              <w:left w:val="single" w:color="auto" w:sz="4" w:space="0"/>
              <w:bottom w:val="single" w:color="auto" w:sz="4" w:space="0"/>
              <w:right w:val="single" w:color="auto" w:sz="4" w:space="0"/>
            </w:tcBorders>
            <w:vAlign w:val="center"/>
          </w:tcPr>
          <w:p w14:paraId="655C1AF3">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100（折钴20.45）</w:t>
            </w:r>
          </w:p>
        </w:tc>
      </w:tr>
      <w:tr w14:paraId="6B18F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left w:val="single" w:color="auto" w:sz="4" w:space="0"/>
              <w:bottom w:val="single" w:color="auto" w:sz="4" w:space="0"/>
              <w:right w:val="single" w:color="auto" w:sz="4" w:space="0"/>
            </w:tcBorders>
            <w:vAlign w:val="center"/>
          </w:tcPr>
          <w:p w14:paraId="46AB4D68">
            <w:pPr>
              <w:adjustRightInd w:val="0"/>
              <w:snapToGrid w:val="0"/>
              <w:spacing w:line="240" w:lineRule="exact"/>
              <w:jc w:val="center"/>
              <w:rPr>
                <w:rFonts w:ascii="Arial" w:hAnsi="Arial" w:eastAsia="宋体" w:cs="Arial"/>
                <w:spacing w:val="10"/>
                <w:sz w:val="21"/>
                <w:szCs w:val="21"/>
              </w:rPr>
            </w:pPr>
          </w:p>
        </w:tc>
        <w:tc>
          <w:tcPr>
            <w:tcW w:w="1255" w:type="pct"/>
            <w:vMerge w:val="continue"/>
            <w:tcBorders>
              <w:left w:val="single" w:color="auto" w:sz="4" w:space="0"/>
              <w:bottom w:val="single" w:color="auto" w:sz="4" w:space="0"/>
              <w:right w:val="single" w:color="auto" w:sz="4" w:space="0"/>
            </w:tcBorders>
            <w:vAlign w:val="center"/>
          </w:tcPr>
          <w:p w14:paraId="34C56972">
            <w:pPr>
              <w:adjustRightInd w:val="0"/>
              <w:snapToGrid w:val="0"/>
              <w:spacing w:line="240" w:lineRule="exact"/>
              <w:jc w:val="center"/>
              <w:rPr>
                <w:rFonts w:ascii="Arial" w:hAnsi="Arial" w:eastAsia="宋体" w:cs="Arial"/>
                <w:kern w:val="0"/>
                <w:sz w:val="21"/>
                <w:szCs w:val="21"/>
              </w:rPr>
            </w:pPr>
          </w:p>
        </w:tc>
        <w:tc>
          <w:tcPr>
            <w:tcW w:w="1819" w:type="pct"/>
            <w:tcBorders>
              <w:top w:val="single" w:color="auto" w:sz="4" w:space="0"/>
              <w:left w:val="single" w:color="auto" w:sz="4" w:space="0"/>
              <w:bottom w:val="single" w:color="auto" w:sz="4" w:space="0"/>
              <w:right w:val="single" w:color="auto" w:sz="4" w:space="0"/>
            </w:tcBorders>
            <w:vAlign w:val="center"/>
          </w:tcPr>
          <w:p w14:paraId="146B0C04">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X1</w:t>
            </w:r>
            <w:r>
              <w:rPr>
                <w:rFonts w:hint="eastAsia" w:ascii="Arial" w:hAnsi="Arial" w:eastAsia="宋体" w:cs="Arial"/>
                <w:spacing w:val="10"/>
                <w:sz w:val="21"/>
                <w:szCs w:val="21"/>
              </w:rPr>
              <w:t>9</w:t>
            </w:r>
            <w:r>
              <w:rPr>
                <w:rFonts w:ascii="Arial" w:hAnsi="Arial" w:eastAsia="宋体" w:cs="Arial"/>
                <w:spacing w:val="10"/>
                <w:sz w:val="21"/>
                <w:szCs w:val="21"/>
              </w:rPr>
              <w:t>车间</w:t>
            </w:r>
            <w:r>
              <w:rPr>
                <w:rFonts w:hint="eastAsia" w:ascii="Arial" w:hAnsi="Arial" w:eastAsia="宋体" w:cs="Arial"/>
                <w:spacing w:val="10"/>
                <w:sz w:val="21"/>
                <w:szCs w:val="21"/>
              </w:rPr>
              <w:t>湿区</w:t>
            </w:r>
          </w:p>
        </w:tc>
        <w:tc>
          <w:tcPr>
            <w:tcW w:w="1472" w:type="pct"/>
            <w:tcBorders>
              <w:top w:val="single" w:color="auto" w:sz="4" w:space="0"/>
              <w:left w:val="single" w:color="auto" w:sz="4" w:space="0"/>
              <w:bottom w:val="single" w:color="auto" w:sz="4" w:space="0"/>
              <w:right w:val="single" w:color="auto" w:sz="4" w:space="0"/>
            </w:tcBorders>
            <w:vAlign w:val="center"/>
          </w:tcPr>
          <w:p w14:paraId="69B8A182">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2.29（折钴）</w:t>
            </w:r>
          </w:p>
        </w:tc>
      </w:tr>
      <w:tr w14:paraId="61553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restart"/>
            <w:tcBorders>
              <w:top w:val="single" w:color="auto" w:sz="4" w:space="0"/>
              <w:left w:val="single" w:color="auto" w:sz="4" w:space="0"/>
              <w:right w:val="single" w:color="auto" w:sz="4" w:space="0"/>
            </w:tcBorders>
            <w:vAlign w:val="center"/>
          </w:tcPr>
          <w:p w14:paraId="36DFF291">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2</w:t>
            </w:r>
          </w:p>
        </w:tc>
        <w:tc>
          <w:tcPr>
            <w:tcW w:w="1255" w:type="pct"/>
            <w:vMerge w:val="restart"/>
            <w:tcBorders>
              <w:top w:val="single" w:color="auto" w:sz="4" w:space="0"/>
              <w:left w:val="single" w:color="auto" w:sz="4" w:space="0"/>
              <w:right w:val="single" w:color="auto" w:sz="4" w:space="0"/>
            </w:tcBorders>
            <w:vAlign w:val="center"/>
          </w:tcPr>
          <w:p w14:paraId="48697453">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21%氨水</w:t>
            </w:r>
          </w:p>
        </w:tc>
        <w:tc>
          <w:tcPr>
            <w:tcW w:w="1819" w:type="pct"/>
            <w:tcBorders>
              <w:top w:val="single" w:color="auto" w:sz="4" w:space="0"/>
              <w:left w:val="single" w:color="auto" w:sz="4" w:space="0"/>
              <w:bottom w:val="single" w:color="auto" w:sz="4" w:space="0"/>
              <w:right w:val="single" w:color="auto" w:sz="4" w:space="0"/>
            </w:tcBorders>
            <w:vAlign w:val="center"/>
          </w:tcPr>
          <w:p w14:paraId="10A07137">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X19车间（西面氨水中转罐）</w:t>
            </w:r>
          </w:p>
        </w:tc>
        <w:tc>
          <w:tcPr>
            <w:tcW w:w="1472" w:type="pct"/>
            <w:tcBorders>
              <w:top w:val="single" w:color="auto" w:sz="4" w:space="0"/>
              <w:left w:val="single" w:color="auto" w:sz="4" w:space="0"/>
              <w:bottom w:val="single" w:color="auto" w:sz="4" w:space="0"/>
              <w:right w:val="single" w:color="auto" w:sz="4" w:space="0"/>
            </w:tcBorders>
            <w:vAlign w:val="center"/>
          </w:tcPr>
          <w:p w14:paraId="76241562">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4.1</w:t>
            </w:r>
          </w:p>
        </w:tc>
      </w:tr>
      <w:tr w14:paraId="01AF8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Merge w:val="continue"/>
            <w:tcBorders>
              <w:left w:val="single" w:color="auto" w:sz="4" w:space="0"/>
              <w:right w:val="single" w:color="auto" w:sz="4" w:space="0"/>
            </w:tcBorders>
            <w:vAlign w:val="center"/>
          </w:tcPr>
          <w:p w14:paraId="1D694A48">
            <w:pPr>
              <w:adjustRightInd w:val="0"/>
              <w:snapToGrid w:val="0"/>
              <w:spacing w:line="240" w:lineRule="exact"/>
              <w:jc w:val="center"/>
              <w:rPr>
                <w:rFonts w:ascii="Arial" w:hAnsi="Arial" w:eastAsia="宋体" w:cs="Arial"/>
                <w:spacing w:val="10"/>
                <w:sz w:val="21"/>
                <w:szCs w:val="21"/>
              </w:rPr>
            </w:pPr>
          </w:p>
        </w:tc>
        <w:tc>
          <w:tcPr>
            <w:tcW w:w="1255" w:type="pct"/>
            <w:vMerge w:val="continue"/>
            <w:tcBorders>
              <w:left w:val="single" w:color="auto" w:sz="4" w:space="0"/>
              <w:right w:val="single" w:color="auto" w:sz="4" w:space="0"/>
            </w:tcBorders>
            <w:vAlign w:val="center"/>
          </w:tcPr>
          <w:p w14:paraId="6B5379EE">
            <w:pPr>
              <w:adjustRightInd w:val="0"/>
              <w:snapToGrid w:val="0"/>
              <w:spacing w:line="240" w:lineRule="exact"/>
              <w:jc w:val="center"/>
              <w:rPr>
                <w:rFonts w:ascii="Arial" w:hAnsi="Arial" w:eastAsia="宋体" w:cs="Arial"/>
                <w:spacing w:val="10"/>
                <w:sz w:val="21"/>
                <w:szCs w:val="21"/>
              </w:rPr>
            </w:pPr>
          </w:p>
        </w:tc>
        <w:tc>
          <w:tcPr>
            <w:tcW w:w="1819" w:type="pct"/>
            <w:tcBorders>
              <w:top w:val="single" w:color="auto" w:sz="4" w:space="0"/>
              <w:left w:val="single" w:color="auto" w:sz="4" w:space="0"/>
              <w:bottom w:val="single" w:color="auto" w:sz="4" w:space="0"/>
              <w:right w:val="single" w:color="auto" w:sz="4" w:space="0"/>
            </w:tcBorders>
            <w:vAlign w:val="center"/>
          </w:tcPr>
          <w:p w14:paraId="7C798E20">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X1</w:t>
            </w:r>
            <w:r>
              <w:rPr>
                <w:rFonts w:hint="eastAsia" w:ascii="Arial" w:hAnsi="Arial" w:eastAsia="宋体" w:cs="Arial"/>
                <w:spacing w:val="10"/>
                <w:sz w:val="21"/>
                <w:szCs w:val="21"/>
              </w:rPr>
              <w:t>9</w:t>
            </w:r>
            <w:r>
              <w:rPr>
                <w:rFonts w:ascii="Arial" w:hAnsi="Arial" w:eastAsia="宋体" w:cs="Arial"/>
                <w:spacing w:val="10"/>
                <w:sz w:val="21"/>
                <w:szCs w:val="21"/>
              </w:rPr>
              <w:t>车间</w:t>
            </w:r>
            <w:r>
              <w:rPr>
                <w:rFonts w:hint="eastAsia" w:ascii="Arial" w:hAnsi="Arial" w:eastAsia="宋体" w:cs="Arial"/>
                <w:spacing w:val="10"/>
                <w:sz w:val="21"/>
                <w:szCs w:val="21"/>
              </w:rPr>
              <w:t>湿区</w:t>
            </w:r>
          </w:p>
        </w:tc>
        <w:tc>
          <w:tcPr>
            <w:tcW w:w="1472" w:type="pct"/>
            <w:tcBorders>
              <w:top w:val="single" w:color="auto" w:sz="4" w:space="0"/>
              <w:left w:val="single" w:color="auto" w:sz="4" w:space="0"/>
              <w:bottom w:val="single" w:color="auto" w:sz="4" w:space="0"/>
              <w:right w:val="single" w:color="auto" w:sz="4" w:space="0"/>
            </w:tcBorders>
            <w:vAlign w:val="center"/>
          </w:tcPr>
          <w:p w14:paraId="5E4E6CC4">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2.22</w:t>
            </w:r>
          </w:p>
        </w:tc>
      </w:tr>
      <w:tr w14:paraId="0CC7A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tcBorders>
              <w:top w:val="single" w:color="auto" w:sz="4" w:space="0"/>
              <w:left w:val="single" w:color="auto" w:sz="4" w:space="0"/>
              <w:bottom w:val="single" w:color="auto" w:sz="4" w:space="0"/>
              <w:right w:val="single" w:color="auto" w:sz="4" w:space="0"/>
            </w:tcBorders>
            <w:vAlign w:val="center"/>
          </w:tcPr>
          <w:p w14:paraId="44F0243C">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3</w:t>
            </w:r>
          </w:p>
        </w:tc>
        <w:tc>
          <w:tcPr>
            <w:tcW w:w="1255" w:type="pct"/>
            <w:tcBorders>
              <w:top w:val="single" w:color="auto" w:sz="4" w:space="0"/>
              <w:left w:val="single" w:color="auto" w:sz="4" w:space="0"/>
              <w:bottom w:val="single" w:color="auto" w:sz="4" w:space="0"/>
              <w:right w:val="single" w:color="auto" w:sz="4" w:space="0"/>
            </w:tcBorders>
            <w:vAlign w:val="center"/>
          </w:tcPr>
          <w:p w14:paraId="4BAAEC3D">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kern w:val="0"/>
                <w:sz w:val="21"/>
                <w:szCs w:val="21"/>
                <w:lang w:bidi="ar"/>
              </w:rPr>
              <w:t>生产废水（中转）</w:t>
            </w:r>
          </w:p>
        </w:tc>
        <w:tc>
          <w:tcPr>
            <w:tcW w:w="1819" w:type="pct"/>
            <w:tcBorders>
              <w:top w:val="single" w:color="auto" w:sz="4" w:space="0"/>
              <w:left w:val="single" w:color="auto" w:sz="4" w:space="0"/>
              <w:bottom w:val="single" w:color="auto" w:sz="4" w:space="0"/>
              <w:right w:val="single" w:color="auto" w:sz="4" w:space="0"/>
            </w:tcBorders>
            <w:vAlign w:val="center"/>
          </w:tcPr>
          <w:p w14:paraId="7735B3DA">
            <w:pPr>
              <w:adjustRightInd w:val="0"/>
              <w:snapToGrid w:val="0"/>
              <w:jc w:val="center"/>
              <w:rPr>
                <w:rFonts w:ascii="Arial" w:hAnsi="Arial" w:eastAsia="宋体" w:cs="Arial"/>
                <w:sz w:val="21"/>
                <w:szCs w:val="21"/>
                <w:highlight w:val="yellow"/>
              </w:rPr>
            </w:pPr>
            <w:r>
              <w:rPr>
                <w:rFonts w:hint="eastAsia" w:ascii="Arial" w:hAnsi="Arial" w:eastAsia="宋体" w:cs="Arial"/>
                <w:spacing w:val="10"/>
                <w:sz w:val="21"/>
                <w:szCs w:val="21"/>
              </w:rPr>
              <w:t>X19车间（东面洗水外排槽）</w:t>
            </w:r>
          </w:p>
        </w:tc>
        <w:tc>
          <w:tcPr>
            <w:tcW w:w="1472" w:type="pct"/>
            <w:tcBorders>
              <w:top w:val="single" w:color="auto" w:sz="4" w:space="0"/>
              <w:left w:val="single" w:color="auto" w:sz="4" w:space="0"/>
              <w:bottom w:val="single" w:color="auto" w:sz="4" w:space="0"/>
              <w:right w:val="single" w:color="auto" w:sz="4" w:space="0"/>
            </w:tcBorders>
            <w:vAlign w:val="center"/>
          </w:tcPr>
          <w:p w14:paraId="6241AE46">
            <w:pPr>
              <w:adjustRightInd w:val="0"/>
              <w:snapToGrid w:val="0"/>
              <w:jc w:val="center"/>
              <w:rPr>
                <w:rFonts w:ascii="Arial" w:hAnsi="Arial" w:eastAsia="宋体" w:cs="Arial"/>
                <w:sz w:val="21"/>
                <w:szCs w:val="21"/>
                <w:highlight w:val="yellow"/>
              </w:rPr>
            </w:pPr>
            <w:r>
              <w:rPr>
                <w:rFonts w:hint="eastAsia" w:ascii="Arial" w:hAnsi="Arial" w:eastAsia="宋体" w:cs="Arial"/>
                <w:sz w:val="21"/>
                <w:szCs w:val="21"/>
              </w:rPr>
              <w:t>75</w:t>
            </w:r>
            <w:r>
              <w:rPr>
                <w:rFonts w:hint="eastAsia" w:ascii="Arial" w:hAnsi="Arial" w:eastAsia="宋体" w:cs="Arial"/>
                <w:spacing w:val="10"/>
                <w:sz w:val="21"/>
                <w:szCs w:val="21"/>
              </w:rPr>
              <w:t>（折钴0.000075）</w:t>
            </w:r>
          </w:p>
        </w:tc>
      </w:tr>
      <w:tr w14:paraId="2AB90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tcBorders>
              <w:top w:val="single" w:color="auto" w:sz="4" w:space="0"/>
              <w:left w:val="single" w:color="auto" w:sz="4" w:space="0"/>
              <w:bottom w:val="single" w:color="auto" w:sz="4" w:space="0"/>
              <w:right w:val="single" w:color="auto" w:sz="4" w:space="0"/>
            </w:tcBorders>
            <w:vAlign w:val="center"/>
          </w:tcPr>
          <w:p w14:paraId="63182CF9">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4</w:t>
            </w:r>
          </w:p>
        </w:tc>
        <w:tc>
          <w:tcPr>
            <w:tcW w:w="1255" w:type="pct"/>
            <w:tcBorders>
              <w:top w:val="single" w:color="auto" w:sz="4" w:space="0"/>
              <w:left w:val="single" w:color="auto" w:sz="4" w:space="0"/>
              <w:bottom w:val="single" w:color="auto" w:sz="4" w:space="0"/>
              <w:right w:val="single" w:color="auto" w:sz="4" w:space="0"/>
            </w:tcBorders>
            <w:vAlign w:val="center"/>
          </w:tcPr>
          <w:p w14:paraId="31822C71">
            <w:pPr>
              <w:adjustRightInd w:val="0"/>
              <w:snapToGrid w:val="0"/>
              <w:spacing w:line="240" w:lineRule="exact"/>
              <w:jc w:val="center"/>
              <w:rPr>
                <w:rFonts w:ascii="Arial" w:hAnsi="Arial" w:eastAsia="宋体" w:cs="Arial"/>
                <w:kern w:val="0"/>
                <w:sz w:val="21"/>
                <w:szCs w:val="21"/>
                <w:lang w:bidi="ar"/>
              </w:rPr>
            </w:pPr>
            <w:r>
              <w:rPr>
                <w:rFonts w:hint="eastAsia" w:ascii="Arial" w:hAnsi="Arial" w:eastAsia="宋体" w:cs="Arial"/>
                <w:kern w:val="0"/>
                <w:sz w:val="21"/>
                <w:szCs w:val="21"/>
                <w:lang w:bidi="ar"/>
              </w:rPr>
              <w:t>稀硫酸</w:t>
            </w:r>
          </w:p>
        </w:tc>
        <w:tc>
          <w:tcPr>
            <w:tcW w:w="1819" w:type="pct"/>
            <w:tcBorders>
              <w:top w:val="single" w:color="auto" w:sz="4" w:space="0"/>
              <w:left w:val="single" w:color="auto" w:sz="4" w:space="0"/>
              <w:bottom w:val="single" w:color="auto" w:sz="4" w:space="0"/>
              <w:right w:val="single" w:color="auto" w:sz="4" w:space="0"/>
            </w:tcBorders>
            <w:vAlign w:val="center"/>
          </w:tcPr>
          <w:p w14:paraId="69EFB8AD">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X19车间（西面配酸槽）</w:t>
            </w:r>
          </w:p>
        </w:tc>
        <w:tc>
          <w:tcPr>
            <w:tcW w:w="1472" w:type="pct"/>
            <w:tcBorders>
              <w:top w:val="single" w:color="auto" w:sz="4" w:space="0"/>
              <w:left w:val="single" w:color="auto" w:sz="4" w:space="0"/>
              <w:bottom w:val="single" w:color="auto" w:sz="4" w:space="0"/>
              <w:right w:val="single" w:color="auto" w:sz="4" w:space="0"/>
            </w:tcBorders>
            <w:vAlign w:val="center"/>
          </w:tcPr>
          <w:p w14:paraId="2C8CA595">
            <w:pPr>
              <w:adjustRightInd w:val="0"/>
              <w:snapToGrid w:val="0"/>
              <w:jc w:val="center"/>
              <w:rPr>
                <w:rFonts w:ascii="Arial" w:hAnsi="Arial" w:eastAsia="宋体" w:cs="Arial"/>
                <w:sz w:val="21"/>
                <w:szCs w:val="21"/>
              </w:rPr>
            </w:pPr>
            <w:r>
              <w:rPr>
                <w:rFonts w:hint="eastAsia" w:ascii="Arial" w:hAnsi="Arial" w:eastAsia="宋体" w:cs="Arial"/>
                <w:sz w:val="21"/>
                <w:szCs w:val="21"/>
              </w:rPr>
              <w:t>1（折纯0.2）</w:t>
            </w:r>
          </w:p>
        </w:tc>
      </w:tr>
      <w:tr w14:paraId="33629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tcBorders>
              <w:top w:val="single" w:color="auto" w:sz="4" w:space="0"/>
              <w:left w:val="single" w:color="auto" w:sz="4" w:space="0"/>
              <w:right w:val="single" w:color="auto" w:sz="4" w:space="0"/>
            </w:tcBorders>
            <w:vAlign w:val="center"/>
          </w:tcPr>
          <w:p w14:paraId="18032301">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5</w:t>
            </w:r>
          </w:p>
        </w:tc>
        <w:tc>
          <w:tcPr>
            <w:tcW w:w="1255" w:type="pct"/>
            <w:tcBorders>
              <w:top w:val="single" w:color="auto" w:sz="4" w:space="0"/>
              <w:left w:val="single" w:color="auto" w:sz="4" w:space="0"/>
              <w:right w:val="single" w:color="auto" w:sz="4" w:space="0"/>
            </w:tcBorders>
            <w:vAlign w:val="center"/>
          </w:tcPr>
          <w:p w14:paraId="4B62A7B1">
            <w:pPr>
              <w:adjustRightInd w:val="0"/>
              <w:snapToGrid w:val="0"/>
              <w:spacing w:line="240" w:lineRule="exact"/>
              <w:jc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羟基钴</w:t>
            </w:r>
          </w:p>
        </w:tc>
        <w:tc>
          <w:tcPr>
            <w:tcW w:w="1819" w:type="pct"/>
            <w:tcBorders>
              <w:top w:val="single" w:color="auto" w:sz="4" w:space="0"/>
              <w:left w:val="single" w:color="auto" w:sz="4" w:space="0"/>
              <w:bottom w:val="single" w:color="auto" w:sz="4" w:space="0"/>
              <w:right w:val="single" w:color="auto" w:sz="4" w:space="0"/>
            </w:tcBorders>
            <w:vAlign w:val="center"/>
          </w:tcPr>
          <w:p w14:paraId="22C81256">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X1</w:t>
            </w:r>
            <w:r>
              <w:rPr>
                <w:rFonts w:hint="eastAsia" w:ascii="Arial" w:hAnsi="Arial" w:eastAsia="宋体" w:cs="Arial"/>
                <w:spacing w:val="10"/>
                <w:sz w:val="21"/>
                <w:szCs w:val="21"/>
                <w:u w:val="single"/>
              </w:rPr>
              <w:t>9</w:t>
            </w:r>
            <w:r>
              <w:rPr>
                <w:rFonts w:ascii="Arial" w:hAnsi="Arial" w:eastAsia="宋体" w:cs="Arial"/>
                <w:spacing w:val="10"/>
                <w:sz w:val="21"/>
                <w:szCs w:val="21"/>
                <w:u w:val="single"/>
              </w:rPr>
              <w:t>车间</w:t>
            </w:r>
            <w:r>
              <w:rPr>
                <w:rFonts w:hint="eastAsia" w:ascii="Arial" w:hAnsi="Arial" w:eastAsia="宋体" w:cs="Arial"/>
                <w:spacing w:val="10"/>
                <w:sz w:val="21"/>
                <w:szCs w:val="21"/>
                <w:u w:val="single"/>
              </w:rPr>
              <w:t>产品区</w:t>
            </w:r>
          </w:p>
        </w:tc>
        <w:tc>
          <w:tcPr>
            <w:tcW w:w="1472" w:type="pct"/>
            <w:tcBorders>
              <w:top w:val="single" w:color="auto" w:sz="4" w:space="0"/>
              <w:left w:val="single" w:color="auto" w:sz="4" w:space="0"/>
              <w:bottom w:val="single" w:color="auto" w:sz="4" w:space="0"/>
              <w:right w:val="single" w:color="auto" w:sz="4" w:space="0"/>
            </w:tcBorders>
            <w:vAlign w:val="center"/>
          </w:tcPr>
          <w:p w14:paraId="70742955">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20（</w:t>
            </w:r>
            <w:r>
              <w:rPr>
                <w:rFonts w:hint="eastAsia" w:ascii="Arial" w:hAnsi="Arial" w:eastAsia="宋体" w:cs="Arial"/>
                <w:spacing w:val="10"/>
                <w:sz w:val="21"/>
                <w:szCs w:val="21"/>
                <w:u w:val="single"/>
              </w:rPr>
              <w:t>折钴12.416</w:t>
            </w:r>
            <w:r>
              <w:rPr>
                <w:rFonts w:hint="eastAsia" w:ascii="Arial" w:hAnsi="Arial" w:eastAsia="宋体" w:cs="Arial"/>
                <w:sz w:val="21"/>
                <w:szCs w:val="21"/>
                <w:u w:val="single"/>
              </w:rPr>
              <w:t>）</w:t>
            </w:r>
          </w:p>
        </w:tc>
      </w:tr>
    </w:tbl>
    <w:p w14:paraId="6813A6D7">
      <w:pPr>
        <w:spacing w:line="500" w:lineRule="exact"/>
        <w:ind w:firstLine="450" w:firstLineChars="200"/>
        <w:rPr>
          <w:rFonts w:ascii="Arial" w:hAnsi="Arial" w:eastAsia="宋体" w:cs="Arial"/>
          <w:sz w:val="24"/>
          <w:szCs w:val="24"/>
        </w:rPr>
      </w:pPr>
      <w:r>
        <w:rPr>
          <w:rFonts w:ascii="Arial" w:hAnsi="Arial" w:eastAsia="宋体" w:cs="Arial"/>
          <w:sz w:val="24"/>
          <w:szCs w:val="24"/>
        </w:rPr>
        <w:t>3.生产工艺特点</w:t>
      </w:r>
    </w:p>
    <w:p w14:paraId="54F48662">
      <w:pPr>
        <w:spacing w:line="500" w:lineRule="exact"/>
        <w:ind w:firstLine="490" w:firstLineChars="200"/>
        <w:jc w:val="left"/>
        <w:rPr>
          <w:rFonts w:ascii="Arial" w:hAnsi="Arial" w:eastAsia="宋体" w:cs="Arial"/>
          <w:spacing w:val="10"/>
          <w:sz w:val="24"/>
          <w:szCs w:val="22"/>
        </w:rPr>
      </w:pPr>
      <w:r>
        <w:rPr>
          <w:rFonts w:ascii="Arial" w:hAnsi="Arial" w:eastAsia="宋体" w:cs="Arial"/>
          <w:spacing w:val="10"/>
          <w:sz w:val="24"/>
          <w:szCs w:val="22"/>
        </w:rPr>
        <w:t>根据《国家安全监管总局关于公布首批重点监管的危险化工工艺目录的通知》（安监总管三〔2009〕116号）中附件1以及《国家安全监管总局关于公布第二批重点监管危险化工工艺目录和调整首批重点监管危险化工工艺中部分典型工艺的通知》（国家安监总管三〔2013〕3号），项目涉及氧化工艺。</w:t>
      </w:r>
    </w:p>
    <w:p w14:paraId="43D4363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4.危险物质安全技术说明书（MSDS）</w:t>
      </w:r>
    </w:p>
    <w:p w14:paraId="3F31BDCB">
      <w:pPr>
        <w:numPr>
          <w:ilvl w:val="0"/>
          <w:numId w:val="22"/>
        </w:numPr>
        <w:spacing w:line="500" w:lineRule="exact"/>
        <w:ind w:left="0" w:firstLine="0"/>
        <w:jc w:val="center"/>
        <w:outlineLvl w:val="4"/>
        <w:rPr>
          <w:rFonts w:ascii="Arial" w:hAnsi="Arial" w:eastAsia="宋体" w:cs="Arial"/>
          <w:b/>
          <w:bCs/>
          <w:spacing w:val="10"/>
          <w:sz w:val="24"/>
          <w:szCs w:val="22"/>
        </w:rPr>
      </w:pPr>
      <w:r>
        <w:rPr>
          <w:rFonts w:ascii="Arial" w:hAnsi="Arial" w:eastAsia="宋体" w:cs="Arial"/>
          <w:b/>
          <w:bCs/>
          <w:spacing w:val="10"/>
          <w:sz w:val="24"/>
          <w:szCs w:val="22"/>
        </w:rPr>
        <w:t>氨水安全技术说明书</w:t>
      </w:r>
    </w:p>
    <w:tbl>
      <w:tblPr>
        <w:tblStyle w:val="88"/>
        <w:tblW w:w="89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1383"/>
        <w:gridCol w:w="2302"/>
        <w:gridCol w:w="1861"/>
        <w:gridCol w:w="2262"/>
      </w:tblGrid>
      <w:tr w14:paraId="14C39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restart"/>
            <w:vAlign w:val="center"/>
          </w:tcPr>
          <w:p w14:paraId="724AE358">
            <w:pPr>
              <w:spacing w:line="240" w:lineRule="exact"/>
              <w:jc w:val="center"/>
              <w:rPr>
                <w:rFonts w:ascii="Arial" w:hAnsi="Arial" w:eastAsia="宋体" w:cs="Arial"/>
                <w:sz w:val="21"/>
                <w:szCs w:val="21"/>
              </w:rPr>
            </w:pPr>
            <w:r>
              <w:rPr>
                <w:rFonts w:ascii="Arial" w:hAnsi="Arial" w:eastAsia="宋体" w:cs="Arial"/>
                <w:sz w:val="21"/>
                <w:szCs w:val="21"/>
              </w:rPr>
              <w:t>标识</w:t>
            </w:r>
          </w:p>
        </w:tc>
        <w:tc>
          <w:tcPr>
            <w:tcW w:w="1383" w:type="dxa"/>
            <w:vAlign w:val="center"/>
          </w:tcPr>
          <w:p w14:paraId="3E009590">
            <w:pPr>
              <w:spacing w:line="240" w:lineRule="exact"/>
              <w:jc w:val="center"/>
              <w:rPr>
                <w:rFonts w:ascii="Arial" w:hAnsi="Arial" w:eastAsia="宋体" w:cs="Arial"/>
                <w:sz w:val="21"/>
                <w:szCs w:val="21"/>
              </w:rPr>
            </w:pPr>
            <w:r>
              <w:rPr>
                <w:rFonts w:ascii="Arial" w:hAnsi="Arial" w:eastAsia="宋体" w:cs="Arial"/>
                <w:sz w:val="21"/>
                <w:szCs w:val="21"/>
              </w:rPr>
              <w:t>中文名</w:t>
            </w:r>
          </w:p>
        </w:tc>
        <w:tc>
          <w:tcPr>
            <w:tcW w:w="2302" w:type="dxa"/>
            <w:vAlign w:val="center"/>
          </w:tcPr>
          <w:p w14:paraId="3776930C">
            <w:pPr>
              <w:spacing w:line="240" w:lineRule="exact"/>
              <w:jc w:val="center"/>
              <w:rPr>
                <w:rFonts w:ascii="Arial" w:hAnsi="Arial" w:eastAsia="宋体" w:cs="Arial"/>
                <w:sz w:val="21"/>
                <w:szCs w:val="21"/>
              </w:rPr>
            </w:pPr>
            <w:r>
              <w:rPr>
                <w:rFonts w:ascii="Arial" w:hAnsi="Arial" w:eastAsia="宋体" w:cs="Arial"/>
                <w:sz w:val="21"/>
                <w:szCs w:val="21"/>
              </w:rPr>
              <w:t>氨水、氨溶液</w:t>
            </w:r>
          </w:p>
        </w:tc>
        <w:tc>
          <w:tcPr>
            <w:tcW w:w="1861" w:type="dxa"/>
            <w:vAlign w:val="center"/>
          </w:tcPr>
          <w:p w14:paraId="5AF4161D">
            <w:pPr>
              <w:spacing w:line="240" w:lineRule="exact"/>
              <w:jc w:val="center"/>
              <w:rPr>
                <w:rFonts w:ascii="Arial" w:hAnsi="Arial" w:eastAsia="宋体" w:cs="Arial"/>
                <w:sz w:val="21"/>
                <w:szCs w:val="21"/>
              </w:rPr>
            </w:pPr>
            <w:r>
              <w:rPr>
                <w:rFonts w:ascii="Arial" w:hAnsi="Arial" w:eastAsia="宋体" w:cs="Arial"/>
                <w:sz w:val="21"/>
                <w:szCs w:val="21"/>
              </w:rPr>
              <w:t>英文名</w:t>
            </w:r>
          </w:p>
        </w:tc>
        <w:tc>
          <w:tcPr>
            <w:tcW w:w="2262" w:type="dxa"/>
            <w:vAlign w:val="center"/>
          </w:tcPr>
          <w:p w14:paraId="61013FCF">
            <w:pPr>
              <w:spacing w:line="240" w:lineRule="exact"/>
              <w:jc w:val="center"/>
              <w:rPr>
                <w:rFonts w:ascii="Arial" w:hAnsi="Arial" w:eastAsia="宋体" w:cs="Arial"/>
                <w:sz w:val="21"/>
                <w:szCs w:val="21"/>
              </w:rPr>
            </w:pPr>
            <w:r>
              <w:rPr>
                <w:rFonts w:ascii="Arial" w:hAnsi="Arial" w:eastAsia="宋体" w:cs="Arial"/>
                <w:sz w:val="21"/>
                <w:szCs w:val="21"/>
              </w:rPr>
              <w:t>Ammonia water；</w:t>
            </w:r>
          </w:p>
          <w:p w14:paraId="07F9C9E9">
            <w:pPr>
              <w:spacing w:line="240" w:lineRule="exact"/>
              <w:jc w:val="center"/>
              <w:rPr>
                <w:rFonts w:ascii="Arial" w:hAnsi="Arial" w:eastAsia="宋体" w:cs="Arial"/>
                <w:sz w:val="21"/>
                <w:szCs w:val="21"/>
              </w:rPr>
            </w:pPr>
            <w:r>
              <w:rPr>
                <w:rFonts w:ascii="Arial" w:hAnsi="Arial" w:eastAsia="宋体" w:cs="Arial"/>
                <w:sz w:val="21"/>
                <w:szCs w:val="21"/>
              </w:rPr>
              <w:t>Ammonium hydroxide</w:t>
            </w:r>
          </w:p>
        </w:tc>
      </w:tr>
      <w:tr w14:paraId="7CBC1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2F86B73F">
            <w:pPr>
              <w:spacing w:line="240" w:lineRule="exact"/>
              <w:jc w:val="center"/>
              <w:rPr>
                <w:rFonts w:ascii="Arial" w:hAnsi="Arial" w:eastAsia="宋体" w:cs="Arial"/>
                <w:sz w:val="21"/>
                <w:szCs w:val="21"/>
              </w:rPr>
            </w:pPr>
          </w:p>
        </w:tc>
        <w:tc>
          <w:tcPr>
            <w:tcW w:w="1383" w:type="dxa"/>
            <w:vAlign w:val="center"/>
          </w:tcPr>
          <w:p w14:paraId="5E30BB16">
            <w:pPr>
              <w:spacing w:line="240" w:lineRule="exact"/>
              <w:jc w:val="center"/>
              <w:rPr>
                <w:rFonts w:ascii="Arial" w:hAnsi="Arial" w:eastAsia="宋体" w:cs="Arial"/>
                <w:sz w:val="21"/>
                <w:szCs w:val="21"/>
              </w:rPr>
            </w:pPr>
            <w:r>
              <w:rPr>
                <w:rFonts w:ascii="Arial" w:hAnsi="Arial" w:eastAsia="宋体" w:cs="Arial"/>
                <w:sz w:val="21"/>
                <w:szCs w:val="21"/>
              </w:rPr>
              <w:t>分子式</w:t>
            </w:r>
          </w:p>
        </w:tc>
        <w:tc>
          <w:tcPr>
            <w:tcW w:w="2302" w:type="dxa"/>
            <w:vAlign w:val="center"/>
          </w:tcPr>
          <w:p w14:paraId="0E86149C">
            <w:pPr>
              <w:spacing w:line="240" w:lineRule="exact"/>
              <w:jc w:val="center"/>
              <w:rPr>
                <w:rFonts w:ascii="Arial" w:hAnsi="Arial" w:eastAsia="宋体" w:cs="Arial"/>
                <w:sz w:val="21"/>
                <w:szCs w:val="21"/>
              </w:rPr>
            </w:pPr>
            <w:r>
              <w:rPr>
                <w:rFonts w:ascii="Arial" w:hAnsi="Arial" w:eastAsia="宋体" w:cs="Arial"/>
                <w:sz w:val="21"/>
                <w:szCs w:val="21"/>
              </w:rPr>
              <w:t>NH</w:t>
            </w:r>
            <w:r>
              <w:rPr>
                <w:rFonts w:ascii="Arial" w:hAnsi="Arial" w:eastAsia="宋体" w:cs="Arial"/>
                <w:sz w:val="21"/>
                <w:szCs w:val="21"/>
                <w:vertAlign w:val="subscript"/>
              </w:rPr>
              <w:t>4</w:t>
            </w:r>
            <w:r>
              <w:rPr>
                <w:rFonts w:ascii="Arial" w:hAnsi="Arial" w:eastAsia="宋体" w:cs="Arial"/>
                <w:sz w:val="21"/>
                <w:szCs w:val="21"/>
              </w:rPr>
              <w:t>OH</w:t>
            </w:r>
          </w:p>
        </w:tc>
        <w:tc>
          <w:tcPr>
            <w:tcW w:w="1861" w:type="dxa"/>
            <w:vAlign w:val="center"/>
          </w:tcPr>
          <w:p w14:paraId="48D16170">
            <w:pPr>
              <w:spacing w:line="240" w:lineRule="exact"/>
              <w:jc w:val="center"/>
              <w:rPr>
                <w:rFonts w:ascii="Arial" w:hAnsi="Arial" w:eastAsia="宋体" w:cs="Arial"/>
                <w:sz w:val="21"/>
                <w:szCs w:val="21"/>
              </w:rPr>
            </w:pPr>
            <w:r>
              <w:rPr>
                <w:rFonts w:ascii="Arial" w:hAnsi="Arial" w:eastAsia="宋体" w:cs="Arial"/>
                <w:sz w:val="21"/>
                <w:szCs w:val="21"/>
              </w:rPr>
              <w:t>目录序号</w:t>
            </w:r>
          </w:p>
        </w:tc>
        <w:tc>
          <w:tcPr>
            <w:tcW w:w="2262" w:type="dxa"/>
            <w:vAlign w:val="center"/>
          </w:tcPr>
          <w:p w14:paraId="2393EB71">
            <w:pPr>
              <w:spacing w:line="240" w:lineRule="exact"/>
              <w:jc w:val="center"/>
              <w:rPr>
                <w:rFonts w:ascii="Arial" w:hAnsi="Arial" w:eastAsia="宋体" w:cs="Arial"/>
                <w:sz w:val="21"/>
                <w:szCs w:val="21"/>
              </w:rPr>
            </w:pPr>
            <w:r>
              <w:rPr>
                <w:rFonts w:ascii="Arial" w:hAnsi="Arial" w:eastAsia="宋体" w:cs="Arial"/>
                <w:sz w:val="21"/>
                <w:szCs w:val="21"/>
              </w:rPr>
              <w:t>35</w:t>
            </w:r>
          </w:p>
        </w:tc>
      </w:tr>
      <w:tr w14:paraId="68489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576A7D7C">
            <w:pPr>
              <w:spacing w:line="240" w:lineRule="exact"/>
              <w:jc w:val="center"/>
              <w:rPr>
                <w:rFonts w:ascii="Arial" w:hAnsi="Arial" w:eastAsia="宋体" w:cs="Arial"/>
                <w:sz w:val="21"/>
                <w:szCs w:val="21"/>
              </w:rPr>
            </w:pPr>
          </w:p>
        </w:tc>
        <w:tc>
          <w:tcPr>
            <w:tcW w:w="1383" w:type="dxa"/>
            <w:vAlign w:val="center"/>
          </w:tcPr>
          <w:p w14:paraId="2B5CE17A">
            <w:pPr>
              <w:spacing w:line="240" w:lineRule="exact"/>
              <w:jc w:val="center"/>
              <w:rPr>
                <w:rFonts w:ascii="Arial" w:hAnsi="Arial" w:eastAsia="宋体" w:cs="Arial"/>
                <w:sz w:val="21"/>
                <w:szCs w:val="21"/>
              </w:rPr>
            </w:pPr>
            <w:r>
              <w:rPr>
                <w:rFonts w:ascii="Arial" w:hAnsi="Arial" w:eastAsia="宋体" w:cs="Arial"/>
                <w:sz w:val="21"/>
                <w:szCs w:val="21"/>
              </w:rPr>
              <w:t>分子量</w:t>
            </w:r>
          </w:p>
        </w:tc>
        <w:tc>
          <w:tcPr>
            <w:tcW w:w="2302" w:type="dxa"/>
            <w:vAlign w:val="center"/>
          </w:tcPr>
          <w:p w14:paraId="2542E096">
            <w:pPr>
              <w:spacing w:line="240" w:lineRule="exact"/>
              <w:jc w:val="center"/>
              <w:rPr>
                <w:rFonts w:ascii="Arial" w:hAnsi="Arial" w:eastAsia="宋体" w:cs="Arial"/>
                <w:sz w:val="21"/>
                <w:szCs w:val="21"/>
              </w:rPr>
            </w:pPr>
            <w:r>
              <w:rPr>
                <w:rFonts w:ascii="Arial" w:hAnsi="Arial" w:eastAsia="宋体" w:cs="Arial"/>
                <w:sz w:val="21"/>
                <w:szCs w:val="21"/>
              </w:rPr>
              <w:t>35.05</w:t>
            </w:r>
          </w:p>
        </w:tc>
        <w:tc>
          <w:tcPr>
            <w:tcW w:w="1861" w:type="dxa"/>
            <w:vAlign w:val="center"/>
          </w:tcPr>
          <w:p w14:paraId="11AE971D">
            <w:pPr>
              <w:spacing w:line="240" w:lineRule="exact"/>
              <w:jc w:val="center"/>
              <w:rPr>
                <w:rFonts w:ascii="Arial" w:hAnsi="Arial" w:eastAsia="宋体" w:cs="Arial"/>
                <w:sz w:val="21"/>
                <w:szCs w:val="21"/>
              </w:rPr>
            </w:pPr>
            <w:r>
              <w:rPr>
                <w:rFonts w:ascii="Arial" w:hAnsi="Arial" w:eastAsia="宋体" w:cs="Arial"/>
                <w:sz w:val="21"/>
                <w:szCs w:val="21"/>
              </w:rPr>
              <w:t>UN编号</w:t>
            </w:r>
          </w:p>
        </w:tc>
        <w:tc>
          <w:tcPr>
            <w:tcW w:w="2262" w:type="dxa"/>
            <w:vAlign w:val="center"/>
          </w:tcPr>
          <w:p w14:paraId="71E7E4FC">
            <w:pPr>
              <w:spacing w:line="240" w:lineRule="exact"/>
              <w:jc w:val="center"/>
              <w:rPr>
                <w:rFonts w:ascii="Arial" w:hAnsi="Arial" w:eastAsia="宋体" w:cs="Arial"/>
                <w:sz w:val="21"/>
                <w:szCs w:val="21"/>
              </w:rPr>
            </w:pPr>
            <w:r>
              <w:rPr>
                <w:rFonts w:ascii="Arial" w:hAnsi="Arial" w:eastAsia="宋体" w:cs="Arial"/>
                <w:sz w:val="21"/>
                <w:szCs w:val="21"/>
              </w:rPr>
              <w:t>2672</w:t>
            </w:r>
          </w:p>
        </w:tc>
      </w:tr>
      <w:tr w14:paraId="0AC57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4345FA42">
            <w:pPr>
              <w:spacing w:line="240" w:lineRule="exact"/>
              <w:jc w:val="center"/>
              <w:rPr>
                <w:rFonts w:ascii="Arial" w:hAnsi="Arial" w:eastAsia="宋体" w:cs="Arial"/>
                <w:sz w:val="21"/>
                <w:szCs w:val="21"/>
              </w:rPr>
            </w:pPr>
          </w:p>
        </w:tc>
        <w:tc>
          <w:tcPr>
            <w:tcW w:w="1383" w:type="dxa"/>
            <w:vAlign w:val="center"/>
          </w:tcPr>
          <w:p w14:paraId="6E9E810D">
            <w:pPr>
              <w:spacing w:line="240" w:lineRule="exact"/>
              <w:jc w:val="center"/>
              <w:rPr>
                <w:rFonts w:ascii="Arial" w:hAnsi="Arial" w:eastAsia="宋体" w:cs="Arial"/>
                <w:sz w:val="21"/>
                <w:szCs w:val="21"/>
              </w:rPr>
            </w:pPr>
          </w:p>
        </w:tc>
        <w:tc>
          <w:tcPr>
            <w:tcW w:w="2302" w:type="dxa"/>
            <w:vAlign w:val="center"/>
          </w:tcPr>
          <w:p w14:paraId="51C9D013">
            <w:pPr>
              <w:spacing w:line="240" w:lineRule="exact"/>
              <w:jc w:val="center"/>
              <w:rPr>
                <w:rFonts w:ascii="Arial" w:hAnsi="Arial" w:eastAsia="宋体" w:cs="Arial"/>
                <w:sz w:val="21"/>
                <w:szCs w:val="21"/>
              </w:rPr>
            </w:pPr>
          </w:p>
        </w:tc>
        <w:tc>
          <w:tcPr>
            <w:tcW w:w="1861" w:type="dxa"/>
            <w:vAlign w:val="center"/>
          </w:tcPr>
          <w:p w14:paraId="46404896">
            <w:pPr>
              <w:spacing w:line="240" w:lineRule="exact"/>
              <w:jc w:val="center"/>
              <w:rPr>
                <w:rFonts w:ascii="Arial" w:hAnsi="Arial" w:eastAsia="宋体" w:cs="Arial"/>
                <w:sz w:val="21"/>
                <w:szCs w:val="21"/>
              </w:rPr>
            </w:pPr>
            <w:r>
              <w:rPr>
                <w:rFonts w:ascii="Arial" w:hAnsi="Arial" w:eastAsia="宋体" w:cs="Arial"/>
                <w:sz w:val="21"/>
                <w:szCs w:val="21"/>
              </w:rPr>
              <w:t>CAS号</w:t>
            </w:r>
          </w:p>
        </w:tc>
        <w:tc>
          <w:tcPr>
            <w:tcW w:w="2262" w:type="dxa"/>
            <w:vAlign w:val="center"/>
          </w:tcPr>
          <w:p w14:paraId="2B2D7A9C">
            <w:pPr>
              <w:spacing w:line="240" w:lineRule="exact"/>
              <w:jc w:val="center"/>
              <w:rPr>
                <w:rFonts w:ascii="Arial" w:hAnsi="Arial" w:eastAsia="宋体" w:cs="Arial"/>
                <w:sz w:val="21"/>
                <w:szCs w:val="21"/>
              </w:rPr>
            </w:pPr>
            <w:r>
              <w:rPr>
                <w:rFonts w:ascii="Arial" w:hAnsi="Arial" w:eastAsia="宋体" w:cs="Arial"/>
                <w:sz w:val="21"/>
                <w:szCs w:val="21"/>
              </w:rPr>
              <w:t>1336-21-6</w:t>
            </w:r>
          </w:p>
        </w:tc>
      </w:tr>
      <w:tr w14:paraId="4229A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556D6920">
            <w:pPr>
              <w:spacing w:line="240" w:lineRule="exact"/>
              <w:jc w:val="center"/>
              <w:rPr>
                <w:rFonts w:ascii="Arial" w:hAnsi="Arial" w:eastAsia="宋体" w:cs="Arial"/>
                <w:sz w:val="21"/>
                <w:szCs w:val="21"/>
              </w:rPr>
            </w:pPr>
          </w:p>
        </w:tc>
        <w:tc>
          <w:tcPr>
            <w:tcW w:w="7808" w:type="dxa"/>
            <w:gridSpan w:val="4"/>
          </w:tcPr>
          <w:p w14:paraId="6166DC98">
            <w:pPr>
              <w:spacing w:line="240" w:lineRule="exact"/>
              <w:rPr>
                <w:rFonts w:ascii="Arial" w:hAnsi="Arial" w:eastAsia="宋体" w:cs="Arial"/>
                <w:sz w:val="21"/>
                <w:szCs w:val="21"/>
              </w:rPr>
            </w:pPr>
            <w:r>
              <w:rPr>
                <w:rFonts w:ascii="Arial" w:hAnsi="Arial" w:eastAsia="宋体" w:cs="Arial"/>
                <w:sz w:val="21"/>
                <w:szCs w:val="21"/>
              </w:rPr>
              <w:t>皮肤腐蚀/刺激，类别1B；严重眼损伤/眼刺激，类别1；特异性靶器官毒性-一次接触,类别3（呼吸道刺激）；危害水生环境-急性危害，类别1</w:t>
            </w:r>
          </w:p>
        </w:tc>
      </w:tr>
      <w:tr w14:paraId="4F2AF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restart"/>
            <w:vAlign w:val="center"/>
          </w:tcPr>
          <w:p w14:paraId="535C78D9">
            <w:pPr>
              <w:spacing w:line="240" w:lineRule="exact"/>
              <w:jc w:val="center"/>
              <w:rPr>
                <w:rFonts w:ascii="Arial" w:hAnsi="Arial" w:eastAsia="宋体" w:cs="Arial"/>
                <w:sz w:val="21"/>
                <w:szCs w:val="21"/>
              </w:rPr>
            </w:pPr>
            <w:r>
              <w:rPr>
                <w:rFonts w:ascii="Arial" w:hAnsi="Arial" w:eastAsia="宋体" w:cs="Arial"/>
                <w:sz w:val="21"/>
                <w:szCs w:val="21"/>
              </w:rPr>
              <w:t>理化性质</w:t>
            </w:r>
          </w:p>
        </w:tc>
        <w:tc>
          <w:tcPr>
            <w:tcW w:w="1383" w:type="dxa"/>
            <w:vAlign w:val="center"/>
          </w:tcPr>
          <w:p w14:paraId="1D94F8FF">
            <w:pPr>
              <w:spacing w:line="240" w:lineRule="exact"/>
              <w:jc w:val="center"/>
              <w:rPr>
                <w:rFonts w:ascii="Arial" w:hAnsi="Arial" w:eastAsia="宋体" w:cs="Arial"/>
                <w:sz w:val="21"/>
                <w:szCs w:val="21"/>
              </w:rPr>
            </w:pPr>
            <w:r>
              <w:rPr>
                <w:rFonts w:ascii="Arial" w:hAnsi="Arial" w:eastAsia="宋体" w:cs="Arial"/>
                <w:sz w:val="21"/>
                <w:szCs w:val="21"/>
              </w:rPr>
              <w:t>熔点(</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14:paraId="77211225">
            <w:pPr>
              <w:spacing w:line="240" w:lineRule="exact"/>
              <w:jc w:val="center"/>
              <w:rPr>
                <w:rFonts w:ascii="Arial" w:hAnsi="Arial" w:eastAsia="宋体" w:cs="Arial"/>
                <w:sz w:val="21"/>
                <w:szCs w:val="21"/>
              </w:rPr>
            </w:pPr>
            <w:r>
              <w:rPr>
                <w:rFonts w:ascii="Arial" w:hAnsi="Arial" w:eastAsia="宋体" w:cs="Arial"/>
                <w:sz w:val="21"/>
                <w:szCs w:val="21"/>
              </w:rPr>
              <w:t>无资料</w:t>
            </w:r>
          </w:p>
        </w:tc>
        <w:tc>
          <w:tcPr>
            <w:tcW w:w="1861" w:type="dxa"/>
            <w:vAlign w:val="center"/>
          </w:tcPr>
          <w:p w14:paraId="4AC20888">
            <w:pPr>
              <w:spacing w:line="240" w:lineRule="exact"/>
              <w:jc w:val="center"/>
              <w:rPr>
                <w:rFonts w:ascii="Arial" w:hAnsi="Arial" w:eastAsia="宋体" w:cs="Arial"/>
                <w:sz w:val="21"/>
                <w:szCs w:val="21"/>
              </w:rPr>
            </w:pPr>
            <w:r>
              <w:rPr>
                <w:rFonts w:ascii="Arial" w:hAnsi="Arial" w:eastAsia="宋体" w:cs="Arial"/>
                <w:sz w:val="21"/>
                <w:szCs w:val="21"/>
              </w:rPr>
              <w:t>相对密度(水=1)</w:t>
            </w:r>
          </w:p>
        </w:tc>
        <w:tc>
          <w:tcPr>
            <w:tcW w:w="2262" w:type="dxa"/>
            <w:vAlign w:val="center"/>
          </w:tcPr>
          <w:p w14:paraId="10CE2340">
            <w:pPr>
              <w:spacing w:line="240" w:lineRule="exact"/>
              <w:jc w:val="center"/>
              <w:rPr>
                <w:rFonts w:ascii="Arial" w:hAnsi="Arial" w:eastAsia="宋体" w:cs="Arial"/>
                <w:sz w:val="21"/>
                <w:szCs w:val="21"/>
              </w:rPr>
            </w:pPr>
            <w:r>
              <w:rPr>
                <w:rFonts w:ascii="Arial" w:hAnsi="Arial" w:eastAsia="宋体" w:cs="Arial"/>
                <w:sz w:val="21"/>
                <w:szCs w:val="21"/>
              </w:rPr>
              <w:t>0.91</w:t>
            </w:r>
          </w:p>
        </w:tc>
      </w:tr>
      <w:tr w14:paraId="0E398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3EB4BC57">
            <w:pPr>
              <w:spacing w:line="240" w:lineRule="exact"/>
              <w:jc w:val="center"/>
              <w:rPr>
                <w:rFonts w:ascii="Arial" w:hAnsi="Arial" w:eastAsia="宋体" w:cs="Arial"/>
                <w:sz w:val="21"/>
                <w:szCs w:val="21"/>
              </w:rPr>
            </w:pPr>
          </w:p>
        </w:tc>
        <w:tc>
          <w:tcPr>
            <w:tcW w:w="1383" w:type="dxa"/>
            <w:vAlign w:val="center"/>
          </w:tcPr>
          <w:p w14:paraId="36AA23D5">
            <w:pPr>
              <w:spacing w:line="240" w:lineRule="exact"/>
              <w:jc w:val="center"/>
              <w:rPr>
                <w:rFonts w:ascii="Arial" w:hAnsi="Arial" w:eastAsia="宋体" w:cs="Arial"/>
                <w:sz w:val="21"/>
                <w:szCs w:val="21"/>
              </w:rPr>
            </w:pPr>
            <w:r>
              <w:rPr>
                <w:rFonts w:ascii="Arial" w:hAnsi="Arial" w:eastAsia="宋体" w:cs="Arial"/>
                <w:sz w:val="21"/>
                <w:szCs w:val="21"/>
              </w:rPr>
              <w:t>沸点(</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14:paraId="382D6E22">
            <w:pPr>
              <w:spacing w:line="240" w:lineRule="exact"/>
              <w:jc w:val="center"/>
              <w:rPr>
                <w:rFonts w:ascii="Arial" w:hAnsi="Arial" w:eastAsia="宋体" w:cs="Arial"/>
                <w:sz w:val="21"/>
                <w:szCs w:val="21"/>
              </w:rPr>
            </w:pPr>
            <w:r>
              <w:rPr>
                <w:rFonts w:ascii="Arial" w:hAnsi="Arial" w:eastAsia="宋体" w:cs="Arial"/>
                <w:sz w:val="21"/>
                <w:szCs w:val="21"/>
              </w:rPr>
              <w:t>无资料</w:t>
            </w:r>
          </w:p>
        </w:tc>
        <w:tc>
          <w:tcPr>
            <w:tcW w:w="1861" w:type="dxa"/>
            <w:vAlign w:val="center"/>
          </w:tcPr>
          <w:p w14:paraId="41E6DA54">
            <w:pPr>
              <w:spacing w:line="240" w:lineRule="exact"/>
              <w:jc w:val="center"/>
              <w:rPr>
                <w:rFonts w:ascii="Arial" w:hAnsi="Arial" w:eastAsia="宋体" w:cs="Arial"/>
                <w:sz w:val="21"/>
                <w:szCs w:val="21"/>
              </w:rPr>
            </w:pPr>
            <w:r>
              <w:rPr>
                <w:rFonts w:ascii="Arial" w:hAnsi="Arial" w:eastAsia="宋体" w:cs="Arial"/>
                <w:sz w:val="21"/>
                <w:szCs w:val="21"/>
              </w:rPr>
              <w:t>相对密度(空气=1)</w:t>
            </w:r>
          </w:p>
        </w:tc>
        <w:tc>
          <w:tcPr>
            <w:tcW w:w="2262" w:type="dxa"/>
            <w:vAlign w:val="center"/>
          </w:tcPr>
          <w:p w14:paraId="5052A966">
            <w:pPr>
              <w:spacing w:line="240" w:lineRule="exact"/>
              <w:jc w:val="center"/>
              <w:rPr>
                <w:rFonts w:ascii="Arial" w:hAnsi="Arial" w:eastAsia="宋体" w:cs="Arial"/>
                <w:sz w:val="21"/>
                <w:szCs w:val="21"/>
              </w:rPr>
            </w:pPr>
            <w:r>
              <w:rPr>
                <w:rFonts w:ascii="Arial" w:hAnsi="Arial" w:eastAsia="宋体" w:cs="Arial"/>
                <w:sz w:val="21"/>
                <w:szCs w:val="21"/>
              </w:rPr>
              <w:t>无资料</w:t>
            </w:r>
          </w:p>
        </w:tc>
      </w:tr>
      <w:tr w14:paraId="41131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4F53170B">
            <w:pPr>
              <w:spacing w:line="240" w:lineRule="exact"/>
              <w:jc w:val="center"/>
              <w:rPr>
                <w:rFonts w:ascii="Arial" w:hAnsi="Arial" w:eastAsia="宋体" w:cs="Arial"/>
                <w:sz w:val="21"/>
                <w:szCs w:val="21"/>
              </w:rPr>
            </w:pPr>
          </w:p>
        </w:tc>
        <w:tc>
          <w:tcPr>
            <w:tcW w:w="1383" w:type="dxa"/>
            <w:vAlign w:val="center"/>
          </w:tcPr>
          <w:p w14:paraId="41A7F270">
            <w:pPr>
              <w:spacing w:line="240" w:lineRule="exact"/>
              <w:jc w:val="center"/>
              <w:rPr>
                <w:rFonts w:ascii="Arial" w:hAnsi="Arial" w:eastAsia="宋体" w:cs="Arial"/>
                <w:sz w:val="21"/>
                <w:szCs w:val="21"/>
              </w:rPr>
            </w:pPr>
            <w:r>
              <w:rPr>
                <w:rFonts w:ascii="Arial" w:hAnsi="Arial" w:eastAsia="宋体" w:cs="Arial"/>
                <w:sz w:val="21"/>
                <w:szCs w:val="21"/>
              </w:rPr>
              <w:t>溶解性</w:t>
            </w:r>
          </w:p>
        </w:tc>
        <w:tc>
          <w:tcPr>
            <w:tcW w:w="2302" w:type="dxa"/>
            <w:vAlign w:val="center"/>
          </w:tcPr>
          <w:p w14:paraId="630C8CAD">
            <w:pPr>
              <w:spacing w:line="240" w:lineRule="exact"/>
              <w:jc w:val="center"/>
              <w:rPr>
                <w:rFonts w:ascii="Arial" w:hAnsi="Arial" w:eastAsia="宋体" w:cs="Arial"/>
                <w:sz w:val="21"/>
                <w:szCs w:val="21"/>
              </w:rPr>
            </w:pPr>
            <w:r>
              <w:rPr>
                <w:rFonts w:ascii="Arial" w:hAnsi="Arial" w:eastAsia="宋体" w:cs="Arial"/>
                <w:sz w:val="21"/>
                <w:szCs w:val="21"/>
              </w:rPr>
              <w:t>溶于水、醇</w:t>
            </w:r>
          </w:p>
        </w:tc>
        <w:tc>
          <w:tcPr>
            <w:tcW w:w="1861" w:type="dxa"/>
            <w:vAlign w:val="center"/>
          </w:tcPr>
          <w:p w14:paraId="737DA874">
            <w:pPr>
              <w:spacing w:line="240" w:lineRule="exact"/>
              <w:jc w:val="center"/>
              <w:rPr>
                <w:rFonts w:ascii="Arial" w:hAnsi="Arial" w:eastAsia="宋体" w:cs="Arial"/>
                <w:sz w:val="21"/>
                <w:szCs w:val="21"/>
              </w:rPr>
            </w:pPr>
            <w:r>
              <w:rPr>
                <w:rFonts w:ascii="Arial" w:hAnsi="Arial" w:eastAsia="宋体" w:cs="Arial"/>
                <w:sz w:val="21"/>
                <w:szCs w:val="21"/>
              </w:rPr>
              <w:t>饱和蒸汽压(kPa)</w:t>
            </w:r>
          </w:p>
        </w:tc>
        <w:tc>
          <w:tcPr>
            <w:tcW w:w="2262" w:type="dxa"/>
            <w:vAlign w:val="center"/>
          </w:tcPr>
          <w:p w14:paraId="36B461A7">
            <w:pPr>
              <w:spacing w:line="240" w:lineRule="exact"/>
              <w:jc w:val="center"/>
              <w:rPr>
                <w:rFonts w:ascii="Arial" w:hAnsi="Arial" w:eastAsia="宋体" w:cs="Arial"/>
                <w:sz w:val="21"/>
                <w:szCs w:val="21"/>
              </w:rPr>
            </w:pPr>
            <w:r>
              <w:rPr>
                <w:rFonts w:ascii="Arial" w:hAnsi="Arial" w:eastAsia="宋体" w:cs="Arial"/>
                <w:sz w:val="21"/>
                <w:szCs w:val="21"/>
              </w:rPr>
              <w:t>1.59(20</w:t>
            </w:r>
            <w:r>
              <w:rPr>
                <w:rFonts w:hint="eastAsia" w:ascii="宋体" w:hAnsi="宋体" w:eastAsia="宋体" w:cs="宋体"/>
                <w:sz w:val="21"/>
                <w:szCs w:val="21"/>
              </w:rPr>
              <w:t>℃</w:t>
            </w:r>
            <w:r>
              <w:rPr>
                <w:rFonts w:ascii="Arial" w:hAnsi="Arial" w:eastAsia="宋体" w:cs="Arial"/>
                <w:sz w:val="21"/>
                <w:szCs w:val="21"/>
              </w:rPr>
              <w:t>)</w:t>
            </w:r>
          </w:p>
        </w:tc>
      </w:tr>
      <w:tr w14:paraId="3F887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13C1E886">
            <w:pPr>
              <w:spacing w:line="240" w:lineRule="exact"/>
              <w:jc w:val="center"/>
              <w:rPr>
                <w:rFonts w:ascii="Arial" w:hAnsi="Arial" w:eastAsia="宋体" w:cs="Arial"/>
                <w:sz w:val="21"/>
                <w:szCs w:val="21"/>
              </w:rPr>
            </w:pPr>
          </w:p>
        </w:tc>
        <w:tc>
          <w:tcPr>
            <w:tcW w:w="1383" w:type="dxa"/>
            <w:vAlign w:val="center"/>
          </w:tcPr>
          <w:p w14:paraId="110221B1">
            <w:pPr>
              <w:spacing w:line="240" w:lineRule="exact"/>
              <w:jc w:val="center"/>
              <w:rPr>
                <w:rFonts w:ascii="Arial" w:hAnsi="Arial" w:eastAsia="宋体" w:cs="Arial"/>
                <w:sz w:val="21"/>
                <w:szCs w:val="21"/>
              </w:rPr>
            </w:pPr>
            <w:r>
              <w:rPr>
                <w:rFonts w:ascii="Arial" w:hAnsi="Arial" w:eastAsia="宋体" w:cs="Arial"/>
                <w:sz w:val="21"/>
                <w:szCs w:val="21"/>
              </w:rPr>
              <w:t>临界温度(</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14:paraId="19D341F2">
            <w:pPr>
              <w:spacing w:line="240" w:lineRule="exact"/>
              <w:jc w:val="center"/>
              <w:rPr>
                <w:rFonts w:ascii="Arial" w:hAnsi="Arial" w:eastAsia="宋体" w:cs="Arial"/>
                <w:sz w:val="21"/>
                <w:szCs w:val="21"/>
              </w:rPr>
            </w:pPr>
            <w:r>
              <w:rPr>
                <w:rFonts w:ascii="Arial" w:hAnsi="Arial" w:eastAsia="宋体" w:cs="Arial"/>
                <w:sz w:val="21"/>
                <w:szCs w:val="21"/>
              </w:rPr>
              <w:t>无资料</w:t>
            </w:r>
          </w:p>
        </w:tc>
        <w:tc>
          <w:tcPr>
            <w:tcW w:w="1861" w:type="dxa"/>
            <w:vAlign w:val="center"/>
          </w:tcPr>
          <w:p w14:paraId="58958EB2">
            <w:pPr>
              <w:spacing w:line="240" w:lineRule="exact"/>
              <w:jc w:val="center"/>
              <w:rPr>
                <w:rFonts w:ascii="Arial" w:hAnsi="Arial" w:eastAsia="宋体" w:cs="Arial"/>
                <w:sz w:val="21"/>
                <w:szCs w:val="21"/>
              </w:rPr>
            </w:pPr>
            <w:r>
              <w:rPr>
                <w:rFonts w:ascii="Arial" w:hAnsi="Arial" w:eastAsia="宋体" w:cs="Arial"/>
                <w:sz w:val="21"/>
                <w:szCs w:val="21"/>
              </w:rPr>
              <w:t>临界压力(MPa)</w:t>
            </w:r>
          </w:p>
        </w:tc>
        <w:tc>
          <w:tcPr>
            <w:tcW w:w="2262" w:type="dxa"/>
            <w:vAlign w:val="center"/>
          </w:tcPr>
          <w:p w14:paraId="7C901BD3">
            <w:pPr>
              <w:spacing w:line="240" w:lineRule="exact"/>
              <w:jc w:val="center"/>
              <w:rPr>
                <w:rFonts w:ascii="Arial" w:hAnsi="Arial" w:eastAsia="宋体" w:cs="Arial"/>
                <w:sz w:val="21"/>
                <w:szCs w:val="21"/>
              </w:rPr>
            </w:pPr>
            <w:r>
              <w:rPr>
                <w:rFonts w:ascii="Arial" w:hAnsi="Arial" w:eastAsia="宋体" w:cs="Arial"/>
                <w:sz w:val="21"/>
                <w:szCs w:val="21"/>
              </w:rPr>
              <w:t>无资料</w:t>
            </w:r>
          </w:p>
        </w:tc>
      </w:tr>
      <w:tr w14:paraId="1C170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70CB7237">
            <w:pPr>
              <w:spacing w:line="240" w:lineRule="exact"/>
              <w:jc w:val="center"/>
              <w:rPr>
                <w:rFonts w:ascii="Arial" w:hAnsi="Arial" w:eastAsia="宋体" w:cs="Arial"/>
                <w:sz w:val="21"/>
                <w:szCs w:val="21"/>
              </w:rPr>
            </w:pPr>
          </w:p>
        </w:tc>
        <w:tc>
          <w:tcPr>
            <w:tcW w:w="1383" w:type="dxa"/>
            <w:vAlign w:val="center"/>
          </w:tcPr>
          <w:p w14:paraId="47E9A02A">
            <w:pPr>
              <w:spacing w:line="240" w:lineRule="exact"/>
              <w:jc w:val="center"/>
              <w:rPr>
                <w:rFonts w:ascii="Arial" w:hAnsi="Arial" w:eastAsia="宋体" w:cs="Arial"/>
                <w:sz w:val="21"/>
                <w:szCs w:val="21"/>
              </w:rPr>
            </w:pPr>
            <w:r>
              <w:rPr>
                <w:rFonts w:ascii="Arial" w:hAnsi="Arial" w:eastAsia="宋体" w:cs="Arial"/>
                <w:sz w:val="21"/>
                <w:szCs w:val="21"/>
              </w:rPr>
              <w:t>性状</w:t>
            </w:r>
          </w:p>
        </w:tc>
        <w:tc>
          <w:tcPr>
            <w:tcW w:w="6425" w:type="dxa"/>
            <w:gridSpan w:val="3"/>
            <w:vAlign w:val="center"/>
          </w:tcPr>
          <w:p w14:paraId="68B25295">
            <w:pPr>
              <w:spacing w:line="240" w:lineRule="exact"/>
              <w:jc w:val="center"/>
              <w:rPr>
                <w:rFonts w:ascii="Arial" w:hAnsi="Arial" w:eastAsia="宋体" w:cs="Arial"/>
                <w:sz w:val="21"/>
                <w:szCs w:val="21"/>
              </w:rPr>
            </w:pPr>
            <w:r>
              <w:rPr>
                <w:rFonts w:ascii="Arial" w:hAnsi="Arial" w:eastAsia="宋体" w:cs="Arial"/>
                <w:sz w:val="21"/>
                <w:szCs w:val="21"/>
              </w:rPr>
              <w:t>无色透明液体，有强烈的刺激性臭味</w:t>
            </w:r>
          </w:p>
        </w:tc>
      </w:tr>
      <w:tr w14:paraId="6D095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3AF9B6D3">
            <w:pPr>
              <w:spacing w:line="240" w:lineRule="exact"/>
              <w:jc w:val="center"/>
              <w:rPr>
                <w:rFonts w:ascii="Arial" w:hAnsi="Arial" w:eastAsia="宋体" w:cs="Arial"/>
                <w:sz w:val="21"/>
                <w:szCs w:val="21"/>
              </w:rPr>
            </w:pPr>
          </w:p>
        </w:tc>
        <w:tc>
          <w:tcPr>
            <w:tcW w:w="1383" w:type="dxa"/>
            <w:vAlign w:val="center"/>
          </w:tcPr>
          <w:p w14:paraId="18E78197">
            <w:pPr>
              <w:spacing w:line="240" w:lineRule="exact"/>
              <w:jc w:val="center"/>
              <w:rPr>
                <w:rFonts w:ascii="Arial" w:hAnsi="Arial" w:eastAsia="宋体" w:cs="Arial"/>
                <w:sz w:val="21"/>
                <w:szCs w:val="21"/>
              </w:rPr>
            </w:pPr>
            <w:r>
              <w:rPr>
                <w:rFonts w:ascii="Arial" w:hAnsi="Arial" w:eastAsia="宋体" w:cs="Arial"/>
                <w:sz w:val="21"/>
                <w:szCs w:val="21"/>
              </w:rPr>
              <w:t>主要用途</w:t>
            </w:r>
          </w:p>
        </w:tc>
        <w:tc>
          <w:tcPr>
            <w:tcW w:w="6425" w:type="dxa"/>
            <w:gridSpan w:val="3"/>
            <w:vAlign w:val="center"/>
          </w:tcPr>
          <w:p w14:paraId="04633588">
            <w:pPr>
              <w:spacing w:line="240" w:lineRule="exact"/>
              <w:jc w:val="center"/>
              <w:rPr>
                <w:rFonts w:ascii="Arial" w:hAnsi="Arial" w:eastAsia="宋体" w:cs="Arial"/>
                <w:sz w:val="21"/>
                <w:szCs w:val="21"/>
              </w:rPr>
            </w:pPr>
            <w:r>
              <w:rPr>
                <w:rFonts w:ascii="Arial" w:hAnsi="Arial" w:eastAsia="宋体" w:cs="Arial"/>
                <w:sz w:val="21"/>
                <w:szCs w:val="21"/>
              </w:rPr>
              <w:t>用于制药工业，纱罩业，晒图，农业施肥等</w:t>
            </w:r>
          </w:p>
        </w:tc>
      </w:tr>
      <w:tr w14:paraId="0BDB1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restart"/>
            <w:vAlign w:val="center"/>
          </w:tcPr>
          <w:p w14:paraId="19F4337E">
            <w:pPr>
              <w:spacing w:line="240" w:lineRule="exact"/>
              <w:jc w:val="center"/>
              <w:rPr>
                <w:rFonts w:ascii="Arial" w:hAnsi="Arial" w:eastAsia="宋体" w:cs="Arial"/>
                <w:sz w:val="21"/>
                <w:szCs w:val="21"/>
              </w:rPr>
            </w:pPr>
            <w:r>
              <w:rPr>
                <w:rFonts w:ascii="Arial" w:hAnsi="Arial" w:eastAsia="宋体" w:cs="Arial"/>
                <w:sz w:val="21"/>
                <w:szCs w:val="21"/>
              </w:rPr>
              <w:t>燃烧爆炸危险性</w:t>
            </w:r>
          </w:p>
        </w:tc>
        <w:tc>
          <w:tcPr>
            <w:tcW w:w="1383" w:type="dxa"/>
            <w:vAlign w:val="center"/>
          </w:tcPr>
          <w:p w14:paraId="486825B1">
            <w:pPr>
              <w:spacing w:line="240" w:lineRule="exact"/>
              <w:jc w:val="center"/>
              <w:rPr>
                <w:rFonts w:ascii="Arial" w:hAnsi="Arial" w:eastAsia="宋体" w:cs="Arial"/>
                <w:sz w:val="21"/>
                <w:szCs w:val="21"/>
              </w:rPr>
            </w:pPr>
            <w:r>
              <w:rPr>
                <w:rFonts w:ascii="Arial" w:hAnsi="Arial" w:eastAsia="宋体" w:cs="Arial"/>
                <w:sz w:val="21"/>
                <w:szCs w:val="21"/>
              </w:rPr>
              <w:t>燃烧性</w:t>
            </w:r>
          </w:p>
        </w:tc>
        <w:tc>
          <w:tcPr>
            <w:tcW w:w="2302" w:type="dxa"/>
            <w:vAlign w:val="center"/>
          </w:tcPr>
          <w:p w14:paraId="5E7AC4A0">
            <w:pPr>
              <w:spacing w:line="240" w:lineRule="exact"/>
              <w:jc w:val="center"/>
              <w:rPr>
                <w:rFonts w:ascii="Arial" w:hAnsi="Arial" w:eastAsia="宋体" w:cs="Arial"/>
                <w:sz w:val="21"/>
                <w:szCs w:val="21"/>
              </w:rPr>
            </w:pPr>
            <w:r>
              <w:rPr>
                <w:rFonts w:ascii="Arial" w:hAnsi="Arial" w:eastAsia="宋体" w:cs="Arial"/>
                <w:sz w:val="21"/>
                <w:szCs w:val="21"/>
              </w:rPr>
              <w:t>不燃</w:t>
            </w:r>
          </w:p>
        </w:tc>
        <w:tc>
          <w:tcPr>
            <w:tcW w:w="1861" w:type="dxa"/>
            <w:vAlign w:val="center"/>
          </w:tcPr>
          <w:p w14:paraId="26D61959">
            <w:pPr>
              <w:spacing w:line="240" w:lineRule="exact"/>
              <w:jc w:val="center"/>
              <w:rPr>
                <w:rFonts w:ascii="Arial" w:hAnsi="Arial" w:eastAsia="宋体" w:cs="Arial"/>
                <w:sz w:val="21"/>
                <w:szCs w:val="21"/>
              </w:rPr>
            </w:pPr>
            <w:r>
              <w:rPr>
                <w:rFonts w:ascii="Arial" w:hAnsi="Arial" w:eastAsia="宋体" w:cs="Arial"/>
                <w:sz w:val="21"/>
                <w:szCs w:val="21"/>
              </w:rPr>
              <w:t>燃烧分解产物</w:t>
            </w:r>
          </w:p>
        </w:tc>
        <w:tc>
          <w:tcPr>
            <w:tcW w:w="2262" w:type="dxa"/>
            <w:vAlign w:val="center"/>
          </w:tcPr>
          <w:p w14:paraId="7E974265">
            <w:pPr>
              <w:spacing w:line="240" w:lineRule="exact"/>
              <w:jc w:val="center"/>
              <w:rPr>
                <w:rFonts w:ascii="Arial" w:hAnsi="Arial" w:eastAsia="宋体" w:cs="Arial"/>
                <w:sz w:val="21"/>
                <w:szCs w:val="21"/>
              </w:rPr>
            </w:pPr>
            <w:r>
              <w:rPr>
                <w:rFonts w:ascii="Arial" w:hAnsi="Arial" w:eastAsia="宋体" w:cs="Arial"/>
                <w:sz w:val="21"/>
                <w:szCs w:val="21"/>
              </w:rPr>
              <w:t>氨</w:t>
            </w:r>
          </w:p>
        </w:tc>
      </w:tr>
      <w:tr w14:paraId="7BD3B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70520A8A">
            <w:pPr>
              <w:spacing w:line="240" w:lineRule="exact"/>
              <w:jc w:val="center"/>
              <w:rPr>
                <w:rFonts w:ascii="Arial" w:hAnsi="Arial" w:eastAsia="宋体" w:cs="Arial"/>
                <w:sz w:val="21"/>
                <w:szCs w:val="21"/>
              </w:rPr>
            </w:pPr>
          </w:p>
        </w:tc>
        <w:tc>
          <w:tcPr>
            <w:tcW w:w="1383" w:type="dxa"/>
            <w:vAlign w:val="center"/>
          </w:tcPr>
          <w:p w14:paraId="166B3DD5">
            <w:pPr>
              <w:spacing w:line="240" w:lineRule="exact"/>
              <w:jc w:val="center"/>
              <w:rPr>
                <w:rFonts w:ascii="Arial" w:hAnsi="Arial" w:eastAsia="宋体" w:cs="Arial"/>
                <w:sz w:val="21"/>
                <w:szCs w:val="21"/>
              </w:rPr>
            </w:pPr>
            <w:r>
              <w:rPr>
                <w:rFonts w:ascii="Arial" w:hAnsi="Arial" w:eastAsia="宋体" w:cs="Arial"/>
                <w:sz w:val="21"/>
                <w:szCs w:val="21"/>
              </w:rPr>
              <w:t>聚合危害</w:t>
            </w:r>
          </w:p>
        </w:tc>
        <w:tc>
          <w:tcPr>
            <w:tcW w:w="2302" w:type="dxa"/>
            <w:vAlign w:val="center"/>
          </w:tcPr>
          <w:p w14:paraId="2B2FC4DC">
            <w:pPr>
              <w:spacing w:line="240" w:lineRule="exact"/>
              <w:jc w:val="center"/>
              <w:rPr>
                <w:rFonts w:ascii="Arial" w:hAnsi="Arial" w:eastAsia="宋体" w:cs="Arial"/>
                <w:sz w:val="21"/>
                <w:szCs w:val="21"/>
              </w:rPr>
            </w:pPr>
            <w:r>
              <w:rPr>
                <w:rFonts w:ascii="Arial" w:hAnsi="Arial" w:eastAsia="宋体" w:cs="Arial"/>
                <w:sz w:val="21"/>
                <w:szCs w:val="21"/>
              </w:rPr>
              <w:t>不聚合</w:t>
            </w:r>
          </w:p>
        </w:tc>
        <w:tc>
          <w:tcPr>
            <w:tcW w:w="1861" w:type="dxa"/>
            <w:vAlign w:val="center"/>
          </w:tcPr>
          <w:p w14:paraId="629FF367">
            <w:pPr>
              <w:spacing w:line="240" w:lineRule="exact"/>
              <w:jc w:val="center"/>
              <w:rPr>
                <w:rFonts w:ascii="Arial" w:hAnsi="Arial" w:eastAsia="宋体" w:cs="Arial"/>
                <w:sz w:val="21"/>
                <w:szCs w:val="21"/>
              </w:rPr>
            </w:pPr>
            <w:r>
              <w:rPr>
                <w:rFonts w:ascii="Arial" w:hAnsi="Arial" w:eastAsia="宋体" w:cs="Arial"/>
                <w:sz w:val="21"/>
                <w:szCs w:val="21"/>
              </w:rPr>
              <w:t>稳定性</w:t>
            </w:r>
          </w:p>
        </w:tc>
        <w:tc>
          <w:tcPr>
            <w:tcW w:w="2262" w:type="dxa"/>
            <w:vAlign w:val="center"/>
          </w:tcPr>
          <w:p w14:paraId="2D499B33">
            <w:pPr>
              <w:spacing w:line="240" w:lineRule="exact"/>
              <w:jc w:val="center"/>
              <w:rPr>
                <w:rFonts w:ascii="Arial" w:hAnsi="Arial" w:eastAsia="宋体" w:cs="Arial"/>
                <w:sz w:val="21"/>
                <w:szCs w:val="21"/>
              </w:rPr>
            </w:pPr>
            <w:r>
              <w:rPr>
                <w:rFonts w:ascii="Arial" w:hAnsi="Arial" w:eastAsia="宋体" w:cs="Arial"/>
                <w:sz w:val="21"/>
                <w:szCs w:val="21"/>
              </w:rPr>
              <w:t>稳定</w:t>
            </w:r>
          </w:p>
        </w:tc>
      </w:tr>
      <w:tr w14:paraId="57DB8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037DEEBC">
            <w:pPr>
              <w:spacing w:line="240" w:lineRule="exact"/>
              <w:jc w:val="center"/>
              <w:rPr>
                <w:rFonts w:ascii="Arial" w:hAnsi="Arial" w:eastAsia="宋体" w:cs="Arial"/>
                <w:sz w:val="21"/>
                <w:szCs w:val="21"/>
              </w:rPr>
            </w:pPr>
          </w:p>
        </w:tc>
        <w:tc>
          <w:tcPr>
            <w:tcW w:w="1383" w:type="dxa"/>
            <w:vAlign w:val="center"/>
          </w:tcPr>
          <w:p w14:paraId="113C5A92">
            <w:pPr>
              <w:spacing w:line="240" w:lineRule="exact"/>
              <w:jc w:val="center"/>
              <w:rPr>
                <w:rFonts w:ascii="Arial" w:hAnsi="Arial" w:eastAsia="宋体" w:cs="Arial"/>
                <w:sz w:val="21"/>
                <w:szCs w:val="21"/>
              </w:rPr>
            </w:pPr>
            <w:r>
              <w:rPr>
                <w:rFonts w:ascii="Arial" w:hAnsi="Arial" w:eastAsia="宋体" w:cs="Arial"/>
                <w:sz w:val="21"/>
                <w:szCs w:val="21"/>
              </w:rPr>
              <w:t>禁忌物</w:t>
            </w:r>
          </w:p>
        </w:tc>
        <w:tc>
          <w:tcPr>
            <w:tcW w:w="6425" w:type="dxa"/>
            <w:gridSpan w:val="3"/>
            <w:vAlign w:val="center"/>
          </w:tcPr>
          <w:p w14:paraId="536B5653">
            <w:pPr>
              <w:spacing w:line="240" w:lineRule="exact"/>
              <w:jc w:val="center"/>
              <w:rPr>
                <w:rFonts w:ascii="Arial" w:hAnsi="Arial" w:eastAsia="宋体" w:cs="Arial"/>
                <w:sz w:val="21"/>
                <w:szCs w:val="21"/>
              </w:rPr>
            </w:pPr>
            <w:r>
              <w:rPr>
                <w:rFonts w:ascii="Arial" w:hAnsi="Arial" w:eastAsia="宋体" w:cs="Arial"/>
                <w:sz w:val="21"/>
                <w:szCs w:val="21"/>
              </w:rPr>
              <w:t>酸类、铝、铜</w:t>
            </w:r>
          </w:p>
        </w:tc>
      </w:tr>
      <w:tr w14:paraId="7D765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1CA3A572">
            <w:pPr>
              <w:spacing w:line="240" w:lineRule="exact"/>
              <w:jc w:val="center"/>
              <w:rPr>
                <w:rFonts w:ascii="Arial" w:hAnsi="Arial" w:eastAsia="宋体" w:cs="Arial"/>
                <w:sz w:val="21"/>
                <w:szCs w:val="21"/>
              </w:rPr>
            </w:pPr>
          </w:p>
        </w:tc>
        <w:tc>
          <w:tcPr>
            <w:tcW w:w="1383" w:type="dxa"/>
            <w:vAlign w:val="center"/>
          </w:tcPr>
          <w:p w14:paraId="4D0ED6F6">
            <w:pPr>
              <w:spacing w:line="240" w:lineRule="exact"/>
              <w:jc w:val="center"/>
              <w:rPr>
                <w:rFonts w:ascii="Arial" w:hAnsi="Arial" w:eastAsia="宋体" w:cs="Arial"/>
                <w:sz w:val="21"/>
                <w:szCs w:val="21"/>
              </w:rPr>
            </w:pPr>
            <w:r>
              <w:rPr>
                <w:rFonts w:ascii="Arial" w:hAnsi="Arial" w:eastAsia="宋体" w:cs="Arial"/>
                <w:sz w:val="21"/>
                <w:szCs w:val="21"/>
              </w:rPr>
              <w:t>危险特性</w:t>
            </w:r>
          </w:p>
        </w:tc>
        <w:tc>
          <w:tcPr>
            <w:tcW w:w="6425" w:type="dxa"/>
            <w:gridSpan w:val="3"/>
            <w:vAlign w:val="center"/>
          </w:tcPr>
          <w:p w14:paraId="4D597F52">
            <w:pPr>
              <w:spacing w:line="240" w:lineRule="exact"/>
              <w:jc w:val="center"/>
              <w:rPr>
                <w:rFonts w:ascii="Arial" w:hAnsi="Arial" w:eastAsia="宋体" w:cs="Arial"/>
                <w:spacing w:val="-6"/>
                <w:sz w:val="21"/>
                <w:szCs w:val="21"/>
              </w:rPr>
            </w:pPr>
            <w:r>
              <w:rPr>
                <w:rFonts w:ascii="Arial" w:hAnsi="Arial" w:eastAsia="宋体" w:cs="Arial"/>
                <w:sz w:val="21"/>
                <w:szCs w:val="21"/>
              </w:rPr>
              <w:t>易分解放出氨气，温度较高，分解速度越快，可形成爆炸性气体环境</w:t>
            </w:r>
          </w:p>
        </w:tc>
      </w:tr>
      <w:tr w14:paraId="7833A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3F468BBA">
            <w:pPr>
              <w:spacing w:line="240" w:lineRule="exact"/>
              <w:jc w:val="center"/>
              <w:rPr>
                <w:rFonts w:ascii="Arial" w:hAnsi="Arial" w:eastAsia="宋体" w:cs="Arial"/>
                <w:sz w:val="21"/>
                <w:szCs w:val="21"/>
              </w:rPr>
            </w:pPr>
          </w:p>
        </w:tc>
        <w:tc>
          <w:tcPr>
            <w:tcW w:w="1383" w:type="dxa"/>
            <w:vAlign w:val="center"/>
          </w:tcPr>
          <w:p w14:paraId="106B3903">
            <w:pPr>
              <w:spacing w:line="240" w:lineRule="exact"/>
              <w:jc w:val="center"/>
              <w:rPr>
                <w:rFonts w:ascii="Arial" w:hAnsi="Arial" w:eastAsia="宋体" w:cs="Arial"/>
                <w:sz w:val="21"/>
                <w:szCs w:val="21"/>
              </w:rPr>
            </w:pPr>
            <w:r>
              <w:rPr>
                <w:rFonts w:ascii="Arial" w:hAnsi="Arial" w:eastAsia="宋体" w:cs="Arial"/>
                <w:sz w:val="21"/>
                <w:szCs w:val="21"/>
              </w:rPr>
              <w:t>灭火剂</w:t>
            </w:r>
          </w:p>
        </w:tc>
        <w:tc>
          <w:tcPr>
            <w:tcW w:w="6425" w:type="dxa"/>
            <w:gridSpan w:val="3"/>
            <w:vAlign w:val="center"/>
          </w:tcPr>
          <w:p w14:paraId="7C76E4C7">
            <w:pPr>
              <w:spacing w:line="240" w:lineRule="exact"/>
              <w:jc w:val="center"/>
              <w:rPr>
                <w:rFonts w:ascii="Arial" w:hAnsi="Arial" w:eastAsia="宋体" w:cs="Arial"/>
                <w:sz w:val="21"/>
                <w:szCs w:val="21"/>
              </w:rPr>
            </w:pPr>
            <w:r>
              <w:rPr>
                <w:rFonts w:ascii="Arial" w:hAnsi="Arial" w:eastAsia="宋体" w:cs="Arial"/>
                <w:sz w:val="21"/>
                <w:szCs w:val="21"/>
              </w:rPr>
              <w:t>水、雾状水、砂土</w:t>
            </w:r>
          </w:p>
        </w:tc>
      </w:tr>
      <w:tr w14:paraId="7FE5A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Align w:val="center"/>
          </w:tcPr>
          <w:p w14:paraId="7144DF58">
            <w:pPr>
              <w:spacing w:line="240" w:lineRule="exact"/>
              <w:jc w:val="center"/>
              <w:rPr>
                <w:rFonts w:ascii="Arial" w:hAnsi="Arial" w:eastAsia="宋体" w:cs="Arial"/>
                <w:sz w:val="21"/>
                <w:szCs w:val="21"/>
              </w:rPr>
            </w:pPr>
            <w:r>
              <w:rPr>
                <w:rFonts w:ascii="Arial" w:hAnsi="Arial" w:eastAsia="宋体" w:cs="Arial"/>
                <w:sz w:val="21"/>
                <w:szCs w:val="21"/>
              </w:rPr>
              <w:t>毒性</w:t>
            </w:r>
          </w:p>
        </w:tc>
        <w:tc>
          <w:tcPr>
            <w:tcW w:w="7808" w:type="dxa"/>
            <w:gridSpan w:val="4"/>
          </w:tcPr>
          <w:p w14:paraId="7A393651">
            <w:pPr>
              <w:spacing w:line="240" w:lineRule="exact"/>
              <w:rPr>
                <w:rFonts w:ascii="Arial" w:hAnsi="Arial" w:eastAsia="宋体" w:cs="Arial"/>
                <w:sz w:val="21"/>
                <w:szCs w:val="21"/>
              </w:rPr>
            </w:pPr>
            <w:r>
              <w:rPr>
                <w:rFonts w:ascii="Arial" w:hAnsi="Arial" w:eastAsia="宋体" w:cs="Arial"/>
                <w:sz w:val="21"/>
                <w:szCs w:val="21"/>
              </w:rPr>
              <w:t>接触限值：中国MAC未制定标准；前苏联MAC未制定标准；美国TLV-TWA未制定标准；美国TLV-STEL未制定标准</w:t>
            </w:r>
          </w:p>
        </w:tc>
      </w:tr>
      <w:tr w14:paraId="52C73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Align w:val="center"/>
          </w:tcPr>
          <w:p w14:paraId="28E975C7">
            <w:pPr>
              <w:spacing w:line="240" w:lineRule="exact"/>
              <w:jc w:val="center"/>
              <w:rPr>
                <w:rFonts w:ascii="Arial" w:hAnsi="Arial" w:eastAsia="宋体" w:cs="Arial"/>
                <w:sz w:val="21"/>
                <w:szCs w:val="21"/>
              </w:rPr>
            </w:pPr>
            <w:r>
              <w:rPr>
                <w:rFonts w:ascii="Arial" w:hAnsi="Arial" w:eastAsia="宋体" w:cs="Arial"/>
                <w:sz w:val="21"/>
                <w:szCs w:val="21"/>
              </w:rPr>
              <w:t>人体危害</w:t>
            </w:r>
          </w:p>
        </w:tc>
        <w:tc>
          <w:tcPr>
            <w:tcW w:w="7808" w:type="dxa"/>
            <w:gridSpan w:val="4"/>
          </w:tcPr>
          <w:p w14:paraId="1F580DD0">
            <w:pPr>
              <w:spacing w:line="240" w:lineRule="exact"/>
              <w:rPr>
                <w:rFonts w:ascii="Arial" w:hAnsi="Arial" w:eastAsia="宋体" w:cs="Arial"/>
                <w:sz w:val="21"/>
                <w:szCs w:val="21"/>
              </w:rPr>
            </w:pPr>
            <w:r>
              <w:rPr>
                <w:rFonts w:ascii="Arial" w:hAnsi="Arial" w:eastAsia="宋体" w:cs="Arial"/>
                <w:sz w:val="21"/>
                <w:szCs w:val="21"/>
              </w:rPr>
              <w:t>吸入后对鼻、喉和肺有刺激性，引起咳嗽、气短和哮喘等；重者发生喉头水肿、肺水肿及心、肝、肾损害。溅入眼内可造成灼伤。皮肤接触可致灼伤。口服灼伤消化道。</w:t>
            </w:r>
          </w:p>
          <w:p w14:paraId="1016B916">
            <w:pPr>
              <w:spacing w:line="240" w:lineRule="exact"/>
              <w:rPr>
                <w:rFonts w:ascii="Arial" w:hAnsi="Arial" w:eastAsia="宋体" w:cs="Arial"/>
                <w:sz w:val="21"/>
                <w:szCs w:val="21"/>
              </w:rPr>
            </w:pPr>
            <w:r>
              <w:rPr>
                <w:rFonts w:ascii="Arial" w:hAnsi="Arial" w:eastAsia="宋体" w:cs="Arial"/>
                <w:sz w:val="21"/>
                <w:szCs w:val="21"/>
              </w:rPr>
              <w:t>慢性影响：反复低浓度接触，可引起支气管炎；可致皮炎</w:t>
            </w:r>
          </w:p>
        </w:tc>
      </w:tr>
      <w:tr w14:paraId="15810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Align w:val="center"/>
          </w:tcPr>
          <w:p w14:paraId="3E93B882">
            <w:pPr>
              <w:spacing w:line="240" w:lineRule="exact"/>
              <w:jc w:val="center"/>
              <w:rPr>
                <w:rFonts w:ascii="Arial" w:hAnsi="Arial" w:eastAsia="宋体" w:cs="Arial"/>
                <w:sz w:val="21"/>
                <w:szCs w:val="21"/>
              </w:rPr>
            </w:pPr>
            <w:r>
              <w:rPr>
                <w:rFonts w:ascii="Arial" w:hAnsi="Arial" w:eastAsia="宋体" w:cs="Arial"/>
                <w:sz w:val="21"/>
                <w:szCs w:val="21"/>
              </w:rPr>
              <w:t>急救</w:t>
            </w:r>
          </w:p>
        </w:tc>
        <w:tc>
          <w:tcPr>
            <w:tcW w:w="7808" w:type="dxa"/>
            <w:gridSpan w:val="4"/>
          </w:tcPr>
          <w:p w14:paraId="441A2D37">
            <w:pPr>
              <w:spacing w:line="240" w:lineRule="exact"/>
              <w:rPr>
                <w:rFonts w:ascii="Arial" w:hAnsi="Arial" w:eastAsia="宋体" w:cs="Arial"/>
                <w:sz w:val="21"/>
                <w:szCs w:val="21"/>
              </w:rPr>
            </w:pPr>
            <w:r>
              <w:rPr>
                <w:rFonts w:ascii="Arial" w:hAnsi="Arial" w:eastAsia="宋体" w:cs="Arial"/>
                <w:sz w:val="21"/>
                <w:szCs w:val="21"/>
              </w:rPr>
              <w:t>皮肤接触立即脱去被污染的衣着，用大量流动清水冲洗，至少15分钟。就医。</w:t>
            </w:r>
          </w:p>
          <w:p w14:paraId="3B457697">
            <w:pPr>
              <w:spacing w:line="240" w:lineRule="exact"/>
              <w:rPr>
                <w:rFonts w:ascii="Arial" w:hAnsi="Arial" w:eastAsia="宋体" w:cs="Arial"/>
                <w:sz w:val="21"/>
                <w:szCs w:val="21"/>
              </w:rPr>
            </w:pPr>
            <w:r>
              <w:rPr>
                <w:rFonts w:ascii="Arial" w:hAnsi="Arial" w:eastAsia="宋体" w:cs="Arial"/>
                <w:sz w:val="21"/>
                <w:szCs w:val="21"/>
              </w:rPr>
              <w:t>吸入后迅速脱离现场至空气新鲜处；保持呼吸道通畅。如呼吸困难，给输氧。如呼吸停止，立即进行人工呼吸。就医。</w:t>
            </w:r>
          </w:p>
          <w:p w14:paraId="72E35000">
            <w:pPr>
              <w:spacing w:line="240" w:lineRule="exact"/>
              <w:rPr>
                <w:rFonts w:ascii="Arial" w:hAnsi="Arial" w:eastAsia="宋体" w:cs="Arial"/>
                <w:sz w:val="21"/>
                <w:szCs w:val="21"/>
              </w:rPr>
            </w:pPr>
            <w:r>
              <w:rPr>
                <w:rFonts w:ascii="Arial" w:hAnsi="Arial" w:eastAsia="宋体" w:cs="Arial"/>
                <w:sz w:val="21"/>
                <w:szCs w:val="21"/>
              </w:rPr>
              <w:t>误服者用水漱口，给饮牛奶或蛋清。就医</w:t>
            </w:r>
          </w:p>
        </w:tc>
      </w:tr>
      <w:tr w14:paraId="506BE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Align w:val="center"/>
          </w:tcPr>
          <w:p w14:paraId="11B69F78">
            <w:pPr>
              <w:spacing w:line="240" w:lineRule="exact"/>
              <w:jc w:val="center"/>
              <w:rPr>
                <w:rFonts w:ascii="Arial" w:hAnsi="Arial" w:eastAsia="宋体" w:cs="Arial"/>
                <w:sz w:val="21"/>
                <w:szCs w:val="21"/>
              </w:rPr>
            </w:pPr>
            <w:r>
              <w:rPr>
                <w:rFonts w:ascii="Arial" w:hAnsi="Arial" w:eastAsia="宋体" w:cs="Arial"/>
                <w:sz w:val="21"/>
                <w:szCs w:val="21"/>
              </w:rPr>
              <w:t>防护</w:t>
            </w:r>
          </w:p>
        </w:tc>
        <w:tc>
          <w:tcPr>
            <w:tcW w:w="7808" w:type="dxa"/>
            <w:gridSpan w:val="4"/>
          </w:tcPr>
          <w:p w14:paraId="26106F4D">
            <w:pPr>
              <w:spacing w:line="240" w:lineRule="exact"/>
              <w:rPr>
                <w:rFonts w:ascii="Arial" w:hAnsi="Arial" w:eastAsia="宋体" w:cs="Arial"/>
                <w:sz w:val="21"/>
                <w:szCs w:val="21"/>
              </w:rPr>
            </w:pPr>
            <w:r>
              <w:rPr>
                <w:rFonts w:ascii="Arial" w:hAnsi="Arial" w:eastAsia="宋体" w:cs="Arial"/>
                <w:sz w:val="21"/>
                <w:szCs w:val="21"/>
              </w:rPr>
              <w:t>工程控制：严加密闭，提供充分的局部排风。提供安全淋浴和洗眼设备。</w:t>
            </w:r>
          </w:p>
          <w:p w14:paraId="5F8A92FF">
            <w:pPr>
              <w:spacing w:line="240" w:lineRule="exact"/>
              <w:rPr>
                <w:rFonts w:ascii="Arial" w:hAnsi="Arial" w:eastAsia="宋体" w:cs="Arial"/>
                <w:sz w:val="21"/>
                <w:szCs w:val="21"/>
              </w:rPr>
            </w:pPr>
            <w:r>
              <w:rPr>
                <w:rFonts w:ascii="Arial" w:hAnsi="Arial" w:eastAsia="宋体" w:cs="Arial"/>
                <w:sz w:val="21"/>
                <w:szCs w:val="21"/>
              </w:rPr>
              <w:t>个体防护：可能接触其蒸气时，应该佩戴导管式防毒面具或直接式防毒面具（半面罩）。戴化学安全防护眼镜。穿防酸碱工作服。戴橡胶手套。</w:t>
            </w:r>
          </w:p>
          <w:p w14:paraId="6236190D">
            <w:pPr>
              <w:spacing w:line="240" w:lineRule="exact"/>
              <w:rPr>
                <w:rFonts w:ascii="Arial" w:hAnsi="Arial" w:eastAsia="宋体" w:cs="Arial"/>
                <w:sz w:val="21"/>
                <w:szCs w:val="21"/>
              </w:rPr>
            </w:pPr>
            <w:r>
              <w:rPr>
                <w:rFonts w:hint="eastAsia" w:ascii="Arial" w:hAnsi="Arial" w:eastAsia="宋体" w:cs="Arial"/>
                <w:sz w:val="21"/>
                <w:szCs w:val="21"/>
                <w:lang w:eastAsia="zh-CN"/>
              </w:rPr>
              <w:t>其他</w:t>
            </w:r>
            <w:r>
              <w:rPr>
                <w:rFonts w:ascii="Arial" w:hAnsi="Arial" w:eastAsia="宋体" w:cs="Arial"/>
                <w:sz w:val="21"/>
                <w:szCs w:val="21"/>
              </w:rPr>
              <w:t>：工作现场禁止吸烟、进食和饮水。工作毕淋浴更衣。保持良好卫生习惯</w:t>
            </w:r>
          </w:p>
        </w:tc>
      </w:tr>
      <w:tr w14:paraId="0F767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Align w:val="center"/>
          </w:tcPr>
          <w:p w14:paraId="57A78CBD">
            <w:pPr>
              <w:spacing w:line="240" w:lineRule="exact"/>
              <w:jc w:val="center"/>
              <w:rPr>
                <w:rFonts w:ascii="Arial" w:hAnsi="Arial" w:eastAsia="宋体" w:cs="Arial"/>
                <w:sz w:val="21"/>
                <w:szCs w:val="21"/>
              </w:rPr>
            </w:pPr>
            <w:r>
              <w:rPr>
                <w:rFonts w:ascii="Arial" w:hAnsi="Arial" w:eastAsia="宋体" w:cs="Arial"/>
                <w:sz w:val="21"/>
                <w:szCs w:val="21"/>
              </w:rPr>
              <w:t>泄漏处理</w:t>
            </w:r>
          </w:p>
        </w:tc>
        <w:tc>
          <w:tcPr>
            <w:tcW w:w="7808" w:type="dxa"/>
            <w:gridSpan w:val="4"/>
          </w:tcPr>
          <w:p w14:paraId="51CF1C21">
            <w:pPr>
              <w:spacing w:line="240" w:lineRule="exact"/>
              <w:rPr>
                <w:rFonts w:ascii="Arial" w:hAnsi="Arial" w:eastAsia="宋体" w:cs="Arial"/>
                <w:sz w:val="21"/>
                <w:szCs w:val="21"/>
              </w:rPr>
            </w:pPr>
            <w:r>
              <w:rPr>
                <w:rFonts w:ascii="Arial" w:hAnsi="Arial" w:eastAsia="宋体" w:cs="Arial"/>
                <w:sz w:val="21"/>
                <w:szCs w:val="21"/>
              </w:rPr>
              <w:t>迅速撤离泄漏污染区人员至安全区，并进行隔离，严格限制出入。建议应急处理人员戴自给正压式呼吸器，穿防酸碱工作服。不要直接接触泄漏物。尽可能切断泄漏源。防止进入下水道、排洪沟等限制性空间。</w:t>
            </w:r>
          </w:p>
          <w:p w14:paraId="1177064B">
            <w:pPr>
              <w:spacing w:line="240" w:lineRule="exact"/>
              <w:rPr>
                <w:rFonts w:ascii="Arial" w:hAnsi="Arial" w:eastAsia="宋体" w:cs="Arial"/>
                <w:sz w:val="21"/>
                <w:szCs w:val="21"/>
              </w:rPr>
            </w:pPr>
            <w:r>
              <w:rPr>
                <w:rFonts w:ascii="Arial" w:hAnsi="Arial" w:eastAsia="宋体" w:cs="Arial"/>
                <w:sz w:val="21"/>
                <w:szCs w:val="21"/>
              </w:rPr>
              <w:t>小量泄漏：用砂土、蛭石</w:t>
            </w:r>
            <w:r>
              <w:rPr>
                <w:rFonts w:ascii="Arial" w:hAnsi="Arial" w:cs="Arial"/>
                <w:sz w:val="21"/>
                <w:szCs w:val="21"/>
              </w:rPr>
              <w:t>或其他</w:t>
            </w:r>
            <w:r>
              <w:rPr>
                <w:rFonts w:ascii="Arial" w:hAnsi="Arial" w:eastAsia="宋体" w:cs="Arial"/>
                <w:sz w:val="21"/>
                <w:szCs w:val="21"/>
              </w:rPr>
              <w:t>惰性材料吸收。也可以用大量水冲洗，洗水稀释后放入废水系统。</w:t>
            </w:r>
          </w:p>
          <w:p w14:paraId="1E3918BB">
            <w:pPr>
              <w:spacing w:line="240" w:lineRule="exact"/>
              <w:rPr>
                <w:rFonts w:ascii="Arial" w:hAnsi="Arial" w:eastAsia="宋体" w:cs="Arial"/>
                <w:sz w:val="21"/>
                <w:szCs w:val="21"/>
              </w:rPr>
            </w:pPr>
            <w:r>
              <w:rPr>
                <w:rFonts w:ascii="Arial" w:hAnsi="Arial" w:eastAsia="宋体" w:cs="Arial"/>
                <w:sz w:val="21"/>
                <w:szCs w:val="21"/>
              </w:rPr>
              <w:t>大量泄漏：构筑围堤或挖坑收容；用泵转移至槽车或专用收集器内，回收或运至废物处理场所处置</w:t>
            </w:r>
          </w:p>
        </w:tc>
      </w:tr>
      <w:tr w14:paraId="41AF8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Align w:val="center"/>
          </w:tcPr>
          <w:p w14:paraId="4F6229E0">
            <w:pPr>
              <w:spacing w:line="240" w:lineRule="exact"/>
              <w:jc w:val="center"/>
              <w:rPr>
                <w:rFonts w:ascii="Arial" w:hAnsi="Arial" w:eastAsia="宋体" w:cs="Arial"/>
                <w:sz w:val="21"/>
                <w:szCs w:val="21"/>
              </w:rPr>
            </w:pPr>
            <w:r>
              <w:rPr>
                <w:rFonts w:ascii="Arial" w:hAnsi="Arial" w:eastAsia="宋体" w:cs="Arial"/>
                <w:sz w:val="21"/>
                <w:szCs w:val="21"/>
              </w:rPr>
              <w:t>储运</w:t>
            </w:r>
          </w:p>
        </w:tc>
        <w:tc>
          <w:tcPr>
            <w:tcW w:w="7808" w:type="dxa"/>
            <w:gridSpan w:val="4"/>
          </w:tcPr>
          <w:p w14:paraId="03ED4CFF">
            <w:pPr>
              <w:spacing w:line="240" w:lineRule="exact"/>
              <w:rPr>
                <w:rFonts w:ascii="Arial" w:hAnsi="Arial" w:eastAsia="宋体" w:cs="Arial"/>
                <w:spacing w:val="-2"/>
                <w:sz w:val="21"/>
                <w:szCs w:val="21"/>
              </w:rPr>
            </w:pPr>
            <w:r>
              <w:rPr>
                <w:rFonts w:ascii="Arial" w:hAnsi="Arial" w:eastAsia="宋体" w:cs="Arial"/>
                <w:spacing w:val="-2"/>
                <w:sz w:val="21"/>
                <w:szCs w:val="21"/>
              </w:rPr>
              <w:t>储存于阴凉、干燥、通风良好的仓间。远离火种、热源，防止阳光直射。保持容器密封。应与酸类、金属粉末等分开存放。露天贮罐夏季要有降温措施。分装和搬运作业要注意个人防护。搬运时要轻装轻卸，防止包装及容器损坏。运输按规定路线行驶，勿在居民区和人口稠密区停留</w:t>
            </w:r>
          </w:p>
        </w:tc>
      </w:tr>
    </w:tbl>
    <w:p w14:paraId="059659C3">
      <w:pPr>
        <w:numPr>
          <w:ilvl w:val="0"/>
          <w:numId w:val="22"/>
        </w:numPr>
        <w:spacing w:line="500" w:lineRule="exact"/>
        <w:ind w:left="0" w:firstLine="0"/>
        <w:jc w:val="center"/>
        <w:outlineLvl w:val="4"/>
        <w:rPr>
          <w:rFonts w:ascii="Arial" w:hAnsi="Arial" w:eastAsia="宋体" w:cs="Arial"/>
          <w:b/>
          <w:bCs/>
          <w:spacing w:val="10"/>
          <w:sz w:val="24"/>
          <w:szCs w:val="22"/>
        </w:rPr>
      </w:pPr>
      <w:r>
        <w:rPr>
          <w:rFonts w:hint="eastAsia" w:ascii="Arial" w:hAnsi="Arial" w:eastAsia="宋体" w:cs="Arial"/>
          <w:b/>
          <w:bCs/>
          <w:spacing w:val="10"/>
          <w:sz w:val="24"/>
          <w:szCs w:val="22"/>
        </w:rPr>
        <w:t>硫酸安全技术说明书</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61"/>
        <w:gridCol w:w="171"/>
        <w:gridCol w:w="351"/>
        <w:gridCol w:w="183"/>
        <w:gridCol w:w="174"/>
        <w:gridCol w:w="707"/>
        <w:gridCol w:w="531"/>
        <w:gridCol w:w="351"/>
        <w:gridCol w:w="523"/>
        <w:gridCol w:w="360"/>
        <w:gridCol w:w="167"/>
        <w:gridCol w:w="362"/>
        <w:gridCol w:w="178"/>
        <w:gridCol w:w="872"/>
        <w:gridCol w:w="358"/>
        <w:gridCol w:w="2644"/>
      </w:tblGrid>
      <w:tr w14:paraId="1A2C5E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53" w:type="pct"/>
            <w:gridSpan w:val="9"/>
            <w:tcBorders>
              <w:top w:val="single" w:color="auto" w:sz="6" w:space="0"/>
              <w:left w:val="single" w:color="auto" w:sz="6" w:space="0"/>
              <w:bottom w:val="single" w:color="auto" w:sz="6" w:space="0"/>
              <w:right w:val="single" w:color="auto" w:sz="6" w:space="0"/>
            </w:tcBorders>
            <w:vAlign w:val="center"/>
          </w:tcPr>
          <w:p w14:paraId="73FE4BF4">
            <w:pPr>
              <w:snapToGrid w:val="0"/>
              <w:rPr>
                <w:rFonts w:ascii="Arial" w:hAnsi="Arial" w:eastAsia="宋体" w:cs="Arial"/>
                <w:sz w:val="21"/>
                <w:szCs w:val="21"/>
              </w:rPr>
            </w:pPr>
            <w:r>
              <w:rPr>
                <w:rFonts w:ascii="Arial" w:hAnsi="Arial" w:eastAsia="宋体" w:cs="Arial"/>
                <w:sz w:val="21"/>
                <w:szCs w:val="21"/>
              </w:rPr>
              <w:t>化学品中文名称：硫酸</w:t>
            </w:r>
          </w:p>
        </w:tc>
        <w:tc>
          <w:tcPr>
            <w:tcW w:w="2747" w:type="pct"/>
            <w:gridSpan w:val="7"/>
            <w:tcBorders>
              <w:top w:val="single" w:color="auto" w:sz="6" w:space="0"/>
              <w:left w:val="single" w:color="auto" w:sz="6" w:space="0"/>
              <w:bottom w:val="single" w:color="auto" w:sz="6" w:space="0"/>
              <w:right w:val="single" w:color="auto" w:sz="6" w:space="0"/>
            </w:tcBorders>
            <w:vAlign w:val="center"/>
          </w:tcPr>
          <w:p w14:paraId="7DB4BFBB">
            <w:pPr>
              <w:snapToGrid w:val="0"/>
              <w:rPr>
                <w:rFonts w:ascii="Arial" w:hAnsi="Arial" w:eastAsia="宋体" w:cs="Arial"/>
                <w:sz w:val="21"/>
                <w:szCs w:val="21"/>
              </w:rPr>
            </w:pPr>
            <w:r>
              <w:rPr>
                <w:rFonts w:ascii="Arial" w:hAnsi="Arial" w:eastAsia="宋体" w:cs="Arial"/>
                <w:sz w:val="21"/>
                <w:szCs w:val="21"/>
              </w:rPr>
              <w:t>危规号  81007</w:t>
            </w:r>
          </w:p>
        </w:tc>
      </w:tr>
      <w:tr w14:paraId="04C36F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53" w:type="pct"/>
            <w:gridSpan w:val="9"/>
            <w:tcBorders>
              <w:top w:val="single" w:color="auto" w:sz="6" w:space="0"/>
              <w:left w:val="single" w:color="auto" w:sz="6" w:space="0"/>
              <w:bottom w:val="single" w:color="auto" w:sz="6" w:space="0"/>
              <w:right w:val="single" w:color="auto" w:sz="6" w:space="0"/>
            </w:tcBorders>
            <w:vAlign w:val="center"/>
          </w:tcPr>
          <w:p w14:paraId="3343470D">
            <w:pPr>
              <w:snapToGrid w:val="0"/>
              <w:rPr>
                <w:rFonts w:ascii="Arial" w:hAnsi="Arial" w:eastAsia="宋体" w:cs="Arial"/>
                <w:sz w:val="21"/>
                <w:szCs w:val="21"/>
              </w:rPr>
            </w:pPr>
            <w:r>
              <w:rPr>
                <w:rFonts w:ascii="Arial" w:hAnsi="Arial" w:eastAsia="宋体" w:cs="Arial"/>
                <w:sz w:val="21"/>
                <w:szCs w:val="21"/>
              </w:rPr>
              <w:t>化学品英文名称：</w:t>
            </w:r>
            <w:r>
              <w:rPr>
                <w:rFonts w:ascii="Arial" w:hAnsi="Arial" w:eastAsia="宋体" w:cs="Arial"/>
                <w:sz w:val="21"/>
                <w:szCs w:val="21"/>
                <w:shd w:val="clear" w:color="auto" w:fill="FFFFFF"/>
              </w:rPr>
              <w:t>Sulfuric acid</w:t>
            </w:r>
          </w:p>
        </w:tc>
        <w:tc>
          <w:tcPr>
            <w:tcW w:w="2747" w:type="pct"/>
            <w:gridSpan w:val="7"/>
            <w:tcBorders>
              <w:top w:val="single" w:color="auto" w:sz="6" w:space="0"/>
              <w:left w:val="single" w:color="auto" w:sz="6" w:space="0"/>
              <w:bottom w:val="single" w:color="auto" w:sz="6" w:space="0"/>
              <w:right w:val="single" w:color="auto" w:sz="6" w:space="0"/>
            </w:tcBorders>
            <w:vAlign w:val="center"/>
          </w:tcPr>
          <w:p w14:paraId="37098F18">
            <w:pPr>
              <w:snapToGrid w:val="0"/>
              <w:rPr>
                <w:rFonts w:ascii="Arial" w:hAnsi="Arial" w:eastAsia="宋体" w:cs="Arial"/>
                <w:sz w:val="21"/>
                <w:szCs w:val="21"/>
              </w:rPr>
            </w:pPr>
            <w:r>
              <w:rPr>
                <w:rFonts w:ascii="Arial" w:hAnsi="Arial" w:eastAsia="宋体" w:cs="Arial"/>
                <w:sz w:val="21"/>
                <w:szCs w:val="21"/>
              </w:rPr>
              <w:t>CAS：</w:t>
            </w:r>
            <w:r>
              <w:rPr>
                <w:rFonts w:ascii="Arial" w:hAnsi="Arial" w:eastAsia="宋体" w:cs="Arial"/>
                <w:sz w:val="21"/>
                <w:szCs w:val="21"/>
                <w:shd w:val="clear" w:color="auto" w:fill="FFFFFF"/>
              </w:rPr>
              <w:t>7664-93-9</w:t>
            </w:r>
          </w:p>
        </w:tc>
      </w:tr>
      <w:tr w14:paraId="3824EA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53" w:type="pct"/>
            <w:gridSpan w:val="9"/>
            <w:tcBorders>
              <w:top w:val="single" w:color="auto" w:sz="6" w:space="0"/>
              <w:left w:val="single" w:color="auto" w:sz="6" w:space="0"/>
              <w:bottom w:val="single" w:color="auto" w:sz="6" w:space="0"/>
              <w:right w:val="single" w:color="auto" w:sz="6" w:space="0"/>
            </w:tcBorders>
            <w:vAlign w:val="center"/>
          </w:tcPr>
          <w:p w14:paraId="589D1F4A">
            <w:pPr>
              <w:snapToGrid w:val="0"/>
              <w:rPr>
                <w:rFonts w:ascii="Arial" w:hAnsi="Arial" w:eastAsia="宋体" w:cs="Arial"/>
                <w:sz w:val="21"/>
                <w:szCs w:val="21"/>
              </w:rPr>
            </w:pPr>
            <w:r>
              <w:rPr>
                <w:rFonts w:ascii="Arial" w:hAnsi="Arial" w:eastAsia="宋体" w:cs="Arial"/>
                <w:sz w:val="21"/>
                <w:szCs w:val="21"/>
              </w:rPr>
              <w:t>分子式：</w:t>
            </w:r>
            <w:r>
              <w:rPr>
                <w:rFonts w:ascii="Arial" w:hAnsi="Arial" w:eastAsia="宋体" w:cs="Arial"/>
                <w:sz w:val="21"/>
                <w:szCs w:val="21"/>
                <w:shd w:val="clear" w:color="auto" w:fill="FFFFFF"/>
              </w:rPr>
              <w:t>H</w:t>
            </w:r>
            <w:r>
              <w:rPr>
                <w:rFonts w:ascii="Cambria Math" w:hAnsi="Cambria Math" w:eastAsia="宋体" w:cs="Cambria Math"/>
                <w:sz w:val="21"/>
                <w:szCs w:val="21"/>
                <w:shd w:val="clear" w:color="auto" w:fill="FFFFFF"/>
              </w:rPr>
              <w:t>₂</w:t>
            </w:r>
            <w:r>
              <w:rPr>
                <w:rFonts w:ascii="Arial" w:hAnsi="Arial" w:eastAsia="宋体" w:cs="Arial"/>
                <w:sz w:val="21"/>
                <w:szCs w:val="21"/>
                <w:shd w:val="clear" w:color="auto" w:fill="FFFFFF"/>
              </w:rPr>
              <w:t>SO</w:t>
            </w:r>
            <w:r>
              <w:rPr>
                <w:rFonts w:ascii="Cambria Math" w:hAnsi="Cambria Math" w:eastAsia="宋体" w:cs="Cambria Math"/>
                <w:sz w:val="21"/>
                <w:szCs w:val="21"/>
                <w:shd w:val="clear" w:color="auto" w:fill="FFFFFF"/>
              </w:rPr>
              <w:t>₄</w:t>
            </w:r>
          </w:p>
        </w:tc>
        <w:tc>
          <w:tcPr>
            <w:tcW w:w="2747" w:type="pct"/>
            <w:gridSpan w:val="7"/>
            <w:tcBorders>
              <w:top w:val="single" w:color="auto" w:sz="6" w:space="0"/>
              <w:left w:val="single" w:color="auto" w:sz="6" w:space="0"/>
              <w:bottom w:val="single" w:color="auto" w:sz="6" w:space="0"/>
              <w:right w:val="single" w:color="auto" w:sz="6" w:space="0"/>
            </w:tcBorders>
            <w:vAlign w:val="center"/>
          </w:tcPr>
          <w:p w14:paraId="1EC64A81">
            <w:pPr>
              <w:snapToGrid w:val="0"/>
              <w:rPr>
                <w:rFonts w:ascii="Arial" w:hAnsi="Arial" w:eastAsia="宋体" w:cs="Arial"/>
                <w:sz w:val="21"/>
                <w:szCs w:val="21"/>
              </w:rPr>
            </w:pPr>
            <w:r>
              <w:rPr>
                <w:rFonts w:ascii="Arial" w:hAnsi="Arial" w:eastAsia="宋体" w:cs="Arial"/>
                <w:sz w:val="21"/>
                <w:szCs w:val="21"/>
              </w:rPr>
              <w:t>分子量：</w:t>
            </w:r>
            <w:r>
              <w:rPr>
                <w:rFonts w:ascii="Arial" w:hAnsi="Arial" w:eastAsia="宋体" w:cs="Arial"/>
                <w:sz w:val="21"/>
                <w:szCs w:val="21"/>
                <w:shd w:val="clear" w:color="auto" w:fill="FFFFFF"/>
              </w:rPr>
              <w:t>98.078</w:t>
            </w:r>
          </w:p>
        </w:tc>
      </w:tr>
      <w:tr w14:paraId="008F03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6"/>
            <w:tcBorders>
              <w:top w:val="single" w:color="auto" w:sz="6" w:space="0"/>
              <w:left w:val="single" w:color="auto" w:sz="6" w:space="0"/>
              <w:bottom w:val="single" w:color="auto" w:sz="6" w:space="0"/>
              <w:right w:val="single" w:color="auto" w:sz="6" w:space="0"/>
            </w:tcBorders>
            <w:vAlign w:val="center"/>
          </w:tcPr>
          <w:p w14:paraId="7B477CE3">
            <w:pPr>
              <w:snapToGrid w:val="0"/>
              <w:rPr>
                <w:rFonts w:ascii="Arial" w:hAnsi="Arial" w:eastAsia="宋体" w:cs="Arial"/>
                <w:sz w:val="21"/>
                <w:szCs w:val="21"/>
              </w:rPr>
            </w:pPr>
            <w:r>
              <w:rPr>
                <w:rFonts w:ascii="Arial" w:hAnsi="Arial" w:eastAsia="宋体" w:cs="Arial"/>
                <w:sz w:val="21"/>
                <w:szCs w:val="21"/>
              </w:rPr>
              <w:t>理化特性</w:t>
            </w:r>
          </w:p>
        </w:tc>
      </w:tr>
      <w:tr w14:paraId="742FDB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9" w:type="pct"/>
            <w:gridSpan w:val="5"/>
            <w:tcBorders>
              <w:top w:val="single" w:color="auto" w:sz="6" w:space="0"/>
              <w:left w:val="single" w:color="auto" w:sz="6" w:space="0"/>
              <w:bottom w:val="single" w:color="auto" w:sz="6" w:space="0"/>
              <w:right w:val="single" w:color="auto" w:sz="6" w:space="0"/>
            </w:tcBorders>
            <w:vAlign w:val="center"/>
          </w:tcPr>
          <w:p w14:paraId="0993B7E9">
            <w:pPr>
              <w:snapToGrid w:val="0"/>
              <w:rPr>
                <w:rFonts w:ascii="Arial" w:hAnsi="Arial" w:eastAsia="宋体" w:cs="Arial"/>
                <w:sz w:val="21"/>
                <w:szCs w:val="21"/>
              </w:rPr>
            </w:pPr>
            <w:r>
              <w:rPr>
                <w:rFonts w:ascii="Arial" w:hAnsi="Arial" w:eastAsia="宋体" w:cs="Arial"/>
                <w:sz w:val="21"/>
                <w:szCs w:val="21"/>
              </w:rPr>
              <w:t>熔点（</w:t>
            </w:r>
            <w:r>
              <w:rPr>
                <w:rFonts w:hint="eastAsia" w:ascii="宋体" w:hAnsi="宋体" w:eastAsia="宋体" w:cs="宋体"/>
                <w:sz w:val="21"/>
                <w:szCs w:val="21"/>
              </w:rPr>
              <w:t>℃</w:t>
            </w:r>
            <w:r>
              <w:rPr>
                <w:rFonts w:ascii="Arial" w:hAnsi="Arial" w:eastAsia="宋体" w:cs="Arial"/>
                <w:sz w:val="21"/>
                <w:szCs w:val="21"/>
              </w:rPr>
              <w:t>）</w:t>
            </w:r>
          </w:p>
        </w:tc>
        <w:tc>
          <w:tcPr>
            <w:tcW w:w="393" w:type="pct"/>
            <w:tcBorders>
              <w:top w:val="single" w:color="auto" w:sz="6" w:space="0"/>
              <w:left w:val="single" w:color="auto" w:sz="6" w:space="0"/>
              <w:bottom w:val="single" w:color="auto" w:sz="6" w:space="0"/>
              <w:right w:val="single" w:color="auto" w:sz="6" w:space="0"/>
            </w:tcBorders>
            <w:vAlign w:val="center"/>
          </w:tcPr>
          <w:p w14:paraId="030326D6">
            <w:pPr>
              <w:snapToGrid w:val="0"/>
              <w:rPr>
                <w:rFonts w:ascii="Arial" w:hAnsi="Arial" w:eastAsia="宋体" w:cs="Arial"/>
                <w:sz w:val="21"/>
                <w:szCs w:val="21"/>
              </w:rPr>
            </w:pPr>
            <w:r>
              <w:rPr>
                <w:rFonts w:ascii="Arial" w:hAnsi="Arial" w:eastAsia="宋体" w:cs="Arial"/>
                <w:sz w:val="21"/>
                <w:szCs w:val="21"/>
              </w:rPr>
              <w:t>10.5</w:t>
            </w:r>
          </w:p>
        </w:tc>
        <w:tc>
          <w:tcPr>
            <w:tcW w:w="981" w:type="pct"/>
            <w:gridSpan w:val="4"/>
            <w:tcBorders>
              <w:top w:val="single" w:color="auto" w:sz="6" w:space="0"/>
              <w:left w:val="single" w:color="auto" w:sz="6" w:space="0"/>
              <w:bottom w:val="single" w:color="auto" w:sz="6" w:space="0"/>
              <w:right w:val="single" w:color="auto" w:sz="6" w:space="0"/>
            </w:tcBorders>
            <w:vAlign w:val="center"/>
          </w:tcPr>
          <w:p w14:paraId="2AF59FC5">
            <w:pPr>
              <w:snapToGrid w:val="0"/>
              <w:rPr>
                <w:rFonts w:ascii="Arial" w:hAnsi="Arial" w:eastAsia="宋体" w:cs="Arial"/>
                <w:sz w:val="21"/>
                <w:szCs w:val="21"/>
              </w:rPr>
            </w:pPr>
            <w:r>
              <w:rPr>
                <w:rFonts w:ascii="Arial" w:hAnsi="Arial" w:eastAsia="宋体" w:cs="Arial"/>
                <w:sz w:val="21"/>
                <w:szCs w:val="21"/>
              </w:rPr>
              <w:t>沸点（</w:t>
            </w:r>
            <w:r>
              <w:rPr>
                <w:rFonts w:hint="eastAsia" w:ascii="宋体" w:hAnsi="宋体" w:eastAsia="宋体" w:cs="宋体"/>
                <w:sz w:val="21"/>
                <w:szCs w:val="21"/>
              </w:rPr>
              <w:t>℃</w:t>
            </w:r>
            <w:r>
              <w:rPr>
                <w:rFonts w:ascii="Arial" w:hAnsi="Arial" w:eastAsia="宋体" w:cs="Arial"/>
                <w:sz w:val="21"/>
                <w:szCs w:val="21"/>
              </w:rPr>
              <w:t>）</w:t>
            </w:r>
          </w:p>
        </w:tc>
        <w:tc>
          <w:tcPr>
            <w:tcW w:w="2547" w:type="pct"/>
            <w:gridSpan w:val="6"/>
            <w:tcBorders>
              <w:top w:val="single" w:color="auto" w:sz="6" w:space="0"/>
              <w:left w:val="single" w:color="auto" w:sz="6" w:space="0"/>
              <w:bottom w:val="single" w:color="auto" w:sz="6" w:space="0"/>
              <w:right w:val="single" w:color="auto" w:sz="6" w:space="0"/>
            </w:tcBorders>
            <w:vAlign w:val="center"/>
          </w:tcPr>
          <w:p w14:paraId="2BFF175B">
            <w:pPr>
              <w:snapToGrid w:val="0"/>
              <w:rPr>
                <w:rFonts w:ascii="Arial" w:hAnsi="Arial" w:eastAsia="宋体" w:cs="Arial"/>
                <w:sz w:val="21"/>
                <w:szCs w:val="21"/>
              </w:rPr>
            </w:pPr>
            <w:r>
              <w:rPr>
                <w:rFonts w:ascii="Arial" w:hAnsi="Arial" w:eastAsia="宋体" w:cs="Arial"/>
                <w:sz w:val="21"/>
                <w:szCs w:val="21"/>
              </w:rPr>
              <w:t>330.0</w:t>
            </w:r>
          </w:p>
        </w:tc>
      </w:tr>
      <w:tr w14:paraId="1F204C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9" w:type="pct"/>
            <w:gridSpan w:val="5"/>
            <w:tcBorders>
              <w:top w:val="single" w:color="auto" w:sz="6" w:space="0"/>
              <w:left w:val="single" w:color="auto" w:sz="6" w:space="0"/>
              <w:bottom w:val="single" w:color="auto" w:sz="6" w:space="0"/>
              <w:right w:val="single" w:color="auto" w:sz="6" w:space="0"/>
            </w:tcBorders>
            <w:vAlign w:val="center"/>
          </w:tcPr>
          <w:p w14:paraId="6B05CDF4">
            <w:pPr>
              <w:snapToGrid w:val="0"/>
              <w:rPr>
                <w:rFonts w:ascii="Arial" w:hAnsi="Arial" w:eastAsia="宋体" w:cs="Arial"/>
                <w:sz w:val="21"/>
                <w:szCs w:val="21"/>
              </w:rPr>
            </w:pPr>
            <w:r>
              <w:rPr>
                <w:rFonts w:ascii="Arial" w:hAnsi="Arial" w:eastAsia="宋体" w:cs="Arial"/>
                <w:sz w:val="21"/>
                <w:szCs w:val="21"/>
              </w:rPr>
              <w:t>比重（水=1）</w:t>
            </w:r>
          </w:p>
        </w:tc>
        <w:tc>
          <w:tcPr>
            <w:tcW w:w="393" w:type="pct"/>
            <w:tcBorders>
              <w:top w:val="single" w:color="auto" w:sz="6" w:space="0"/>
              <w:left w:val="single" w:color="auto" w:sz="6" w:space="0"/>
              <w:bottom w:val="single" w:color="auto" w:sz="6" w:space="0"/>
              <w:right w:val="single" w:color="auto" w:sz="6" w:space="0"/>
            </w:tcBorders>
            <w:vAlign w:val="center"/>
          </w:tcPr>
          <w:p w14:paraId="58BAEE45">
            <w:pPr>
              <w:snapToGrid w:val="0"/>
              <w:rPr>
                <w:rFonts w:ascii="Arial" w:hAnsi="Arial" w:eastAsia="宋体" w:cs="Arial"/>
                <w:sz w:val="21"/>
                <w:szCs w:val="21"/>
              </w:rPr>
            </w:pPr>
            <w:r>
              <w:rPr>
                <w:rFonts w:ascii="Arial" w:hAnsi="Arial" w:eastAsia="宋体" w:cs="Arial"/>
                <w:sz w:val="21"/>
                <w:szCs w:val="21"/>
              </w:rPr>
              <w:t>1.83</w:t>
            </w:r>
          </w:p>
        </w:tc>
        <w:tc>
          <w:tcPr>
            <w:tcW w:w="981" w:type="pct"/>
            <w:gridSpan w:val="4"/>
            <w:tcBorders>
              <w:top w:val="single" w:color="auto" w:sz="6" w:space="0"/>
              <w:left w:val="single" w:color="auto" w:sz="6" w:space="0"/>
              <w:bottom w:val="single" w:color="auto" w:sz="6" w:space="0"/>
              <w:right w:val="single" w:color="auto" w:sz="6" w:space="0"/>
            </w:tcBorders>
            <w:vAlign w:val="center"/>
          </w:tcPr>
          <w:p w14:paraId="1653A4CF">
            <w:pPr>
              <w:snapToGrid w:val="0"/>
              <w:rPr>
                <w:rFonts w:ascii="Arial" w:hAnsi="Arial" w:eastAsia="宋体" w:cs="Arial"/>
                <w:sz w:val="21"/>
                <w:szCs w:val="21"/>
              </w:rPr>
            </w:pPr>
            <w:r>
              <w:rPr>
                <w:rFonts w:ascii="Arial" w:hAnsi="Arial" w:eastAsia="宋体" w:cs="Arial"/>
                <w:sz w:val="21"/>
                <w:szCs w:val="21"/>
              </w:rPr>
              <w:t>饱和蒸气压（kPa）</w:t>
            </w:r>
          </w:p>
        </w:tc>
        <w:tc>
          <w:tcPr>
            <w:tcW w:w="2547" w:type="pct"/>
            <w:gridSpan w:val="6"/>
            <w:tcBorders>
              <w:top w:val="single" w:color="auto" w:sz="6" w:space="0"/>
              <w:left w:val="single" w:color="auto" w:sz="6" w:space="0"/>
              <w:bottom w:val="single" w:color="auto" w:sz="6" w:space="0"/>
              <w:right w:val="single" w:color="auto" w:sz="6" w:space="0"/>
            </w:tcBorders>
            <w:vAlign w:val="center"/>
          </w:tcPr>
          <w:p w14:paraId="21E66794">
            <w:pPr>
              <w:snapToGrid w:val="0"/>
              <w:rPr>
                <w:rFonts w:ascii="Arial" w:hAnsi="Arial" w:eastAsia="宋体" w:cs="Arial"/>
                <w:sz w:val="21"/>
                <w:szCs w:val="21"/>
              </w:rPr>
            </w:pPr>
            <w:r>
              <w:rPr>
                <w:rFonts w:ascii="Arial" w:hAnsi="Arial" w:eastAsia="宋体" w:cs="Arial"/>
                <w:sz w:val="21"/>
                <w:szCs w:val="21"/>
              </w:rPr>
              <w:t>0.13（145.8</w:t>
            </w:r>
            <w:r>
              <w:rPr>
                <w:rFonts w:hint="eastAsia" w:ascii="宋体" w:hAnsi="宋体" w:eastAsia="宋体" w:cs="宋体"/>
                <w:sz w:val="21"/>
                <w:szCs w:val="21"/>
              </w:rPr>
              <w:t>℃</w:t>
            </w:r>
            <w:r>
              <w:rPr>
                <w:rFonts w:ascii="Arial" w:hAnsi="Arial" w:eastAsia="宋体" w:cs="Arial"/>
                <w:sz w:val="21"/>
                <w:szCs w:val="21"/>
              </w:rPr>
              <w:t>）</w:t>
            </w:r>
          </w:p>
        </w:tc>
      </w:tr>
      <w:tr w14:paraId="65978C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9" w:type="pct"/>
            <w:gridSpan w:val="5"/>
            <w:tcBorders>
              <w:top w:val="single" w:color="auto" w:sz="6" w:space="0"/>
              <w:left w:val="single" w:color="auto" w:sz="6" w:space="0"/>
              <w:bottom w:val="single" w:color="auto" w:sz="6" w:space="0"/>
              <w:right w:val="single" w:color="auto" w:sz="6" w:space="0"/>
            </w:tcBorders>
            <w:vAlign w:val="center"/>
          </w:tcPr>
          <w:p w14:paraId="3513F874">
            <w:pPr>
              <w:snapToGrid w:val="0"/>
              <w:rPr>
                <w:rFonts w:ascii="Arial" w:hAnsi="Arial" w:eastAsia="宋体" w:cs="Arial"/>
                <w:sz w:val="21"/>
                <w:szCs w:val="21"/>
              </w:rPr>
            </w:pPr>
            <w:r>
              <w:rPr>
                <w:rFonts w:ascii="Arial" w:hAnsi="Arial" w:eastAsia="宋体" w:cs="Arial"/>
                <w:sz w:val="21"/>
                <w:szCs w:val="21"/>
              </w:rPr>
              <w:t>蒸气密度（空气=1）</w:t>
            </w:r>
          </w:p>
        </w:tc>
        <w:tc>
          <w:tcPr>
            <w:tcW w:w="393" w:type="pct"/>
            <w:tcBorders>
              <w:top w:val="single" w:color="auto" w:sz="6" w:space="0"/>
              <w:left w:val="single" w:color="auto" w:sz="6" w:space="0"/>
              <w:bottom w:val="single" w:color="auto" w:sz="6" w:space="0"/>
              <w:right w:val="single" w:color="auto" w:sz="6" w:space="0"/>
            </w:tcBorders>
            <w:vAlign w:val="center"/>
          </w:tcPr>
          <w:p w14:paraId="5A2F5BC5">
            <w:pPr>
              <w:snapToGrid w:val="0"/>
              <w:rPr>
                <w:rFonts w:ascii="Arial" w:hAnsi="Arial" w:eastAsia="宋体" w:cs="Arial"/>
                <w:sz w:val="21"/>
                <w:szCs w:val="21"/>
              </w:rPr>
            </w:pPr>
            <w:r>
              <w:rPr>
                <w:rFonts w:ascii="Arial" w:hAnsi="Arial" w:eastAsia="宋体" w:cs="Arial"/>
                <w:sz w:val="21"/>
                <w:szCs w:val="21"/>
              </w:rPr>
              <w:t>3.4</w:t>
            </w:r>
          </w:p>
        </w:tc>
        <w:tc>
          <w:tcPr>
            <w:tcW w:w="981" w:type="pct"/>
            <w:gridSpan w:val="4"/>
            <w:tcBorders>
              <w:top w:val="single" w:color="auto" w:sz="6" w:space="0"/>
              <w:left w:val="single" w:color="auto" w:sz="6" w:space="0"/>
              <w:bottom w:val="single" w:color="auto" w:sz="6" w:space="0"/>
              <w:right w:val="single" w:color="auto" w:sz="6" w:space="0"/>
            </w:tcBorders>
            <w:vAlign w:val="center"/>
          </w:tcPr>
          <w:p w14:paraId="65E08867">
            <w:pPr>
              <w:snapToGrid w:val="0"/>
              <w:rPr>
                <w:rFonts w:ascii="Arial" w:hAnsi="Arial" w:eastAsia="宋体" w:cs="Arial"/>
                <w:sz w:val="21"/>
                <w:szCs w:val="21"/>
              </w:rPr>
            </w:pPr>
            <w:r>
              <w:rPr>
                <w:rFonts w:ascii="Arial" w:hAnsi="Arial" w:eastAsia="宋体" w:cs="Arial"/>
                <w:sz w:val="21"/>
                <w:szCs w:val="21"/>
              </w:rPr>
              <w:t>溶解性</w:t>
            </w:r>
          </w:p>
        </w:tc>
        <w:tc>
          <w:tcPr>
            <w:tcW w:w="2547" w:type="pct"/>
            <w:gridSpan w:val="6"/>
            <w:tcBorders>
              <w:top w:val="single" w:color="auto" w:sz="6" w:space="0"/>
              <w:left w:val="single" w:color="auto" w:sz="6" w:space="0"/>
              <w:bottom w:val="single" w:color="auto" w:sz="6" w:space="0"/>
              <w:right w:val="single" w:color="auto" w:sz="6" w:space="0"/>
            </w:tcBorders>
            <w:vAlign w:val="center"/>
          </w:tcPr>
          <w:p w14:paraId="71DDD093">
            <w:pPr>
              <w:snapToGrid w:val="0"/>
              <w:rPr>
                <w:rFonts w:ascii="Arial" w:hAnsi="Arial" w:eastAsia="宋体" w:cs="Arial"/>
                <w:sz w:val="21"/>
                <w:szCs w:val="21"/>
              </w:rPr>
            </w:pPr>
            <w:r>
              <w:rPr>
                <w:rFonts w:ascii="Arial" w:hAnsi="Arial" w:eastAsia="宋体" w:cs="Arial"/>
                <w:sz w:val="21"/>
                <w:szCs w:val="21"/>
              </w:rPr>
              <w:t>与水混溶。</w:t>
            </w:r>
          </w:p>
        </w:tc>
      </w:tr>
      <w:tr w14:paraId="14833B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9" w:type="pct"/>
            <w:gridSpan w:val="5"/>
            <w:tcBorders>
              <w:top w:val="single" w:color="auto" w:sz="6" w:space="0"/>
              <w:left w:val="single" w:color="auto" w:sz="6" w:space="0"/>
              <w:bottom w:val="single" w:color="auto" w:sz="6" w:space="0"/>
              <w:right w:val="single" w:color="auto" w:sz="6" w:space="0"/>
            </w:tcBorders>
            <w:vAlign w:val="center"/>
          </w:tcPr>
          <w:p w14:paraId="01F959FF">
            <w:pPr>
              <w:snapToGrid w:val="0"/>
              <w:rPr>
                <w:rFonts w:ascii="Arial" w:hAnsi="Arial" w:eastAsia="宋体" w:cs="Arial"/>
                <w:sz w:val="21"/>
                <w:szCs w:val="21"/>
              </w:rPr>
            </w:pPr>
            <w:r>
              <w:rPr>
                <w:rFonts w:ascii="Arial" w:hAnsi="Arial" w:eastAsia="宋体" w:cs="Arial"/>
                <w:sz w:val="21"/>
                <w:szCs w:val="21"/>
              </w:rPr>
              <w:t>外观与性状</w:t>
            </w:r>
          </w:p>
        </w:tc>
        <w:tc>
          <w:tcPr>
            <w:tcW w:w="3921" w:type="pct"/>
            <w:gridSpan w:val="11"/>
            <w:tcBorders>
              <w:top w:val="single" w:color="auto" w:sz="6" w:space="0"/>
              <w:left w:val="single" w:color="auto" w:sz="6" w:space="0"/>
              <w:bottom w:val="single" w:color="auto" w:sz="6" w:space="0"/>
              <w:right w:val="single" w:color="auto" w:sz="6" w:space="0"/>
            </w:tcBorders>
            <w:vAlign w:val="center"/>
          </w:tcPr>
          <w:p w14:paraId="55FE36A5">
            <w:pPr>
              <w:snapToGrid w:val="0"/>
              <w:rPr>
                <w:rFonts w:ascii="Arial" w:hAnsi="Arial" w:eastAsia="宋体" w:cs="Arial"/>
                <w:sz w:val="21"/>
                <w:szCs w:val="21"/>
              </w:rPr>
            </w:pPr>
            <w:r>
              <w:rPr>
                <w:rFonts w:ascii="Arial" w:hAnsi="Arial" w:eastAsia="宋体" w:cs="Arial"/>
                <w:sz w:val="21"/>
                <w:szCs w:val="21"/>
              </w:rPr>
              <w:t>纯品为无色透明油状液体，无臭。</w:t>
            </w:r>
          </w:p>
        </w:tc>
      </w:tr>
      <w:tr w14:paraId="151D308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6"/>
            <w:tcBorders>
              <w:top w:val="single" w:color="auto" w:sz="6" w:space="0"/>
              <w:left w:val="single" w:color="auto" w:sz="6" w:space="0"/>
              <w:bottom w:val="single" w:color="auto" w:sz="6" w:space="0"/>
              <w:right w:val="single" w:color="auto" w:sz="6" w:space="0"/>
            </w:tcBorders>
            <w:vAlign w:val="center"/>
          </w:tcPr>
          <w:p w14:paraId="099ADD01">
            <w:pPr>
              <w:snapToGrid w:val="0"/>
              <w:rPr>
                <w:rFonts w:ascii="Arial" w:hAnsi="Arial" w:eastAsia="宋体" w:cs="Arial"/>
                <w:sz w:val="21"/>
                <w:szCs w:val="21"/>
              </w:rPr>
            </w:pPr>
            <w:r>
              <w:rPr>
                <w:rFonts w:ascii="Arial" w:hAnsi="Arial" w:eastAsia="宋体" w:cs="Arial"/>
                <w:sz w:val="21"/>
                <w:szCs w:val="21"/>
              </w:rPr>
              <w:t>火灾爆炸危险性</w:t>
            </w:r>
          </w:p>
        </w:tc>
      </w:tr>
      <w:tr w14:paraId="5529CDC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82" w:type="pct"/>
            <w:gridSpan w:val="4"/>
            <w:tcBorders>
              <w:top w:val="single" w:color="auto" w:sz="6" w:space="0"/>
              <w:left w:val="single" w:color="auto" w:sz="6" w:space="0"/>
              <w:bottom w:val="single" w:color="auto" w:sz="6" w:space="0"/>
              <w:right w:val="single" w:color="auto" w:sz="6" w:space="0"/>
            </w:tcBorders>
            <w:vAlign w:val="center"/>
          </w:tcPr>
          <w:p w14:paraId="1BDC6C1D">
            <w:pPr>
              <w:snapToGrid w:val="0"/>
              <w:rPr>
                <w:rFonts w:ascii="Arial" w:hAnsi="Arial" w:eastAsia="宋体" w:cs="Arial"/>
                <w:sz w:val="21"/>
                <w:szCs w:val="21"/>
              </w:rPr>
            </w:pPr>
            <w:r>
              <w:rPr>
                <w:rFonts w:ascii="Arial" w:hAnsi="Arial" w:eastAsia="宋体" w:cs="Arial"/>
                <w:sz w:val="21"/>
                <w:szCs w:val="21"/>
              </w:rPr>
              <w:t>闪点（</w:t>
            </w:r>
            <w:r>
              <w:rPr>
                <w:rFonts w:hint="eastAsia" w:ascii="宋体" w:hAnsi="宋体" w:eastAsia="宋体" w:cs="宋体"/>
                <w:sz w:val="21"/>
                <w:szCs w:val="21"/>
              </w:rPr>
              <w:t>℃</w:t>
            </w:r>
            <w:r>
              <w:rPr>
                <w:rFonts w:ascii="Arial" w:hAnsi="Arial" w:eastAsia="宋体" w:cs="Arial"/>
                <w:sz w:val="21"/>
                <w:szCs w:val="21"/>
              </w:rPr>
              <w:t>）</w:t>
            </w:r>
          </w:p>
        </w:tc>
        <w:tc>
          <w:tcPr>
            <w:tcW w:w="785" w:type="pct"/>
            <w:gridSpan w:val="3"/>
            <w:tcBorders>
              <w:top w:val="single" w:color="auto" w:sz="6" w:space="0"/>
              <w:left w:val="single" w:color="auto" w:sz="6" w:space="0"/>
              <w:bottom w:val="single" w:color="auto" w:sz="6" w:space="0"/>
              <w:right w:val="single" w:color="auto" w:sz="6" w:space="0"/>
            </w:tcBorders>
            <w:vAlign w:val="center"/>
          </w:tcPr>
          <w:p w14:paraId="722C54AC">
            <w:pPr>
              <w:snapToGrid w:val="0"/>
              <w:rPr>
                <w:rFonts w:ascii="Arial" w:hAnsi="Arial" w:eastAsia="宋体" w:cs="Arial"/>
                <w:sz w:val="21"/>
                <w:szCs w:val="21"/>
              </w:rPr>
            </w:pPr>
            <w:r>
              <w:rPr>
                <w:rFonts w:ascii="Arial" w:hAnsi="Arial" w:eastAsia="宋体" w:cs="Arial"/>
                <w:sz w:val="21"/>
                <w:szCs w:val="21"/>
              </w:rPr>
              <w:t>无意义</w:t>
            </w:r>
          </w:p>
        </w:tc>
        <w:tc>
          <w:tcPr>
            <w:tcW w:w="1079" w:type="pct"/>
            <w:gridSpan w:val="6"/>
            <w:tcBorders>
              <w:top w:val="single" w:color="auto" w:sz="6" w:space="0"/>
              <w:left w:val="single" w:color="auto" w:sz="6" w:space="0"/>
              <w:bottom w:val="single" w:color="auto" w:sz="6" w:space="0"/>
              <w:right w:val="single" w:color="auto" w:sz="6" w:space="0"/>
            </w:tcBorders>
            <w:vAlign w:val="center"/>
          </w:tcPr>
          <w:p w14:paraId="29B936E8">
            <w:pPr>
              <w:snapToGrid w:val="0"/>
              <w:rPr>
                <w:rFonts w:ascii="Arial" w:hAnsi="Arial" w:eastAsia="宋体" w:cs="Arial"/>
                <w:sz w:val="21"/>
                <w:szCs w:val="21"/>
              </w:rPr>
            </w:pPr>
            <w:r>
              <w:rPr>
                <w:rFonts w:ascii="Arial" w:hAnsi="Arial" w:eastAsia="宋体" w:cs="Arial"/>
                <w:sz w:val="21"/>
                <w:szCs w:val="21"/>
              </w:rPr>
              <w:t>爆炸极限（％）</w:t>
            </w:r>
          </w:p>
        </w:tc>
        <w:tc>
          <w:tcPr>
            <w:tcW w:w="2154" w:type="pct"/>
            <w:gridSpan w:val="3"/>
            <w:tcBorders>
              <w:top w:val="single" w:color="auto" w:sz="6" w:space="0"/>
              <w:left w:val="single" w:color="auto" w:sz="6" w:space="0"/>
              <w:bottom w:val="single" w:color="auto" w:sz="6" w:space="0"/>
              <w:right w:val="single" w:color="auto" w:sz="6" w:space="0"/>
            </w:tcBorders>
            <w:vAlign w:val="center"/>
          </w:tcPr>
          <w:p w14:paraId="417C35D4">
            <w:pPr>
              <w:snapToGrid w:val="0"/>
              <w:rPr>
                <w:rFonts w:ascii="Arial" w:hAnsi="Arial" w:eastAsia="宋体" w:cs="Arial"/>
                <w:sz w:val="21"/>
                <w:szCs w:val="21"/>
              </w:rPr>
            </w:pPr>
            <w:r>
              <w:rPr>
                <w:rFonts w:ascii="Arial" w:hAnsi="Arial" w:eastAsia="宋体" w:cs="Arial"/>
                <w:sz w:val="21"/>
                <w:szCs w:val="21"/>
              </w:rPr>
              <w:t>无意义</w:t>
            </w:r>
          </w:p>
        </w:tc>
      </w:tr>
      <w:tr w14:paraId="618B320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90" w:type="pct"/>
            <w:tcBorders>
              <w:top w:val="single" w:color="auto" w:sz="6" w:space="0"/>
              <w:left w:val="single" w:color="auto" w:sz="6" w:space="0"/>
              <w:bottom w:val="single" w:color="auto" w:sz="6" w:space="0"/>
              <w:right w:val="single" w:color="auto" w:sz="6" w:space="0"/>
            </w:tcBorders>
            <w:vAlign w:val="center"/>
          </w:tcPr>
          <w:p w14:paraId="3FC8E566">
            <w:pPr>
              <w:snapToGrid w:val="0"/>
              <w:rPr>
                <w:rFonts w:ascii="Arial" w:hAnsi="Arial" w:eastAsia="宋体" w:cs="Arial"/>
                <w:sz w:val="21"/>
                <w:szCs w:val="21"/>
              </w:rPr>
            </w:pPr>
            <w:r>
              <w:rPr>
                <w:rFonts w:ascii="Arial" w:hAnsi="Arial" w:eastAsia="宋体" w:cs="Arial"/>
                <w:sz w:val="21"/>
                <w:szCs w:val="21"/>
              </w:rPr>
              <w:t>危险特性</w:t>
            </w:r>
          </w:p>
        </w:tc>
        <w:tc>
          <w:tcPr>
            <w:tcW w:w="4410" w:type="pct"/>
            <w:gridSpan w:val="15"/>
            <w:tcBorders>
              <w:top w:val="single" w:color="auto" w:sz="6" w:space="0"/>
              <w:left w:val="single" w:color="auto" w:sz="6" w:space="0"/>
              <w:bottom w:val="single" w:color="auto" w:sz="6" w:space="0"/>
              <w:right w:val="single" w:color="auto" w:sz="6" w:space="0"/>
            </w:tcBorders>
            <w:vAlign w:val="center"/>
          </w:tcPr>
          <w:p w14:paraId="19154F2D">
            <w:pPr>
              <w:snapToGrid w:val="0"/>
              <w:rPr>
                <w:rFonts w:ascii="Arial" w:hAnsi="Arial" w:eastAsia="宋体" w:cs="Arial"/>
                <w:sz w:val="21"/>
                <w:szCs w:val="21"/>
              </w:rPr>
            </w:pPr>
            <w:r>
              <w:rPr>
                <w:rFonts w:ascii="Arial" w:hAnsi="Arial" w:eastAsia="宋体" w:cs="Arial"/>
                <w:sz w:val="21"/>
                <w:szCs w:val="21"/>
              </w:rPr>
              <w:t>遇水大量放热，可发生沸溅。与易燃物（如苯）和可燃物（如糖、维生素等）接触会发生剧烈反应，甚至引起燃烧。遇电石、高氯酸盐、</w:t>
            </w:r>
            <w:r>
              <w:rPr>
                <w:rFonts w:hint="eastAsia" w:ascii="Arial" w:hAnsi="Arial" w:eastAsia="宋体" w:cs="Arial"/>
                <w:sz w:val="21"/>
                <w:szCs w:val="21"/>
              </w:rPr>
              <w:t>磷酸</w:t>
            </w:r>
            <w:r>
              <w:rPr>
                <w:rFonts w:ascii="Arial" w:hAnsi="Arial" w:eastAsia="宋体" w:cs="Arial"/>
                <w:sz w:val="21"/>
                <w:szCs w:val="21"/>
              </w:rPr>
              <w:t>盐、硝酸盐、苦味酸盐、金属粉末等猛烈反应，发生爆炸或燃烧。有强烈的腐蚀性和洗水性。</w:t>
            </w:r>
          </w:p>
        </w:tc>
      </w:tr>
      <w:tr w14:paraId="7509EF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90" w:type="pct"/>
            <w:tcBorders>
              <w:top w:val="single" w:color="auto" w:sz="6" w:space="0"/>
              <w:left w:val="single" w:color="auto" w:sz="6" w:space="0"/>
              <w:bottom w:val="single" w:color="auto" w:sz="6" w:space="0"/>
              <w:right w:val="single" w:color="auto" w:sz="6" w:space="0"/>
            </w:tcBorders>
            <w:vAlign w:val="center"/>
          </w:tcPr>
          <w:p w14:paraId="340A6D90">
            <w:pPr>
              <w:snapToGrid w:val="0"/>
              <w:rPr>
                <w:rFonts w:ascii="Arial" w:hAnsi="Arial" w:eastAsia="宋体" w:cs="Arial"/>
                <w:sz w:val="21"/>
                <w:szCs w:val="21"/>
              </w:rPr>
            </w:pPr>
            <w:r>
              <w:rPr>
                <w:rFonts w:ascii="Arial" w:hAnsi="Arial" w:eastAsia="宋体" w:cs="Arial"/>
                <w:sz w:val="21"/>
                <w:szCs w:val="21"/>
              </w:rPr>
              <w:t>灭火方法</w:t>
            </w:r>
          </w:p>
        </w:tc>
        <w:tc>
          <w:tcPr>
            <w:tcW w:w="4410" w:type="pct"/>
            <w:gridSpan w:val="15"/>
            <w:tcBorders>
              <w:top w:val="single" w:color="auto" w:sz="6" w:space="0"/>
              <w:left w:val="single" w:color="auto" w:sz="6" w:space="0"/>
              <w:bottom w:val="single" w:color="auto" w:sz="6" w:space="0"/>
              <w:right w:val="single" w:color="auto" w:sz="6" w:space="0"/>
            </w:tcBorders>
            <w:vAlign w:val="center"/>
          </w:tcPr>
          <w:p w14:paraId="0F1A0A4D">
            <w:pPr>
              <w:snapToGrid w:val="0"/>
              <w:rPr>
                <w:rFonts w:ascii="Arial" w:hAnsi="Arial" w:eastAsia="宋体" w:cs="Arial"/>
                <w:sz w:val="21"/>
                <w:szCs w:val="21"/>
              </w:rPr>
            </w:pPr>
            <w:r>
              <w:rPr>
                <w:rFonts w:ascii="Arial" w:hAnsi="Arial" w:eastAsia="宋体" w:cs="Arial"/>
                <w:sz w:val="21"/>
                <w:szCs w:val="21"/>
              </w:rPr>
              <w:t>消防人员必须穿全身耐酸碱消防服。灭火剂：干粉、二氧化碳、砂土。避免水流冲击物品，以免遇水会放出大量热量发生喷溅而灼伤皮肤。</w:t>
            </w:r>
          </w:p>
        </w:tc>
      </w:tr>
      <w:tr w14:paraId="3AEFFF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6"/>
            <w:tcBorders>
              <w:top w:val="single" w:color="auto" w:sz="6" w:space="0"/>
              <w:left w:val="single" w:color="auto" w:sz="6" w:space="0"/>
              <w:bottom w:val="single" w:color="auto" w:sz="6" w:space="0"/>
              <w:right w:val="single" w:color="auto" w:sz="6" w:space="0"/>
            </w:tcBorders>
            <w:vAlign w:val="center"/>
          </w:tcPr>
          <w:p w14:paraId="193254E8">
            <w:pPr>
              <w:snapToGrid w:val="0"/>
              <w:rPr>
                <w:rFonts w:ascii="Arial" w:hAnsi="Arial" w:eastAsia="宋体" w:cs="Arial"/>
                <w:sz w:val="21"/>
                <w:szCs w:val="21"/>
              </w:rPr>
            </w:pPr>
            <w:r>
              <w:rPr>
                <w:rFonts w:ascii="Arial" w:hAnsi="Arial" w:eastAsia="宋体" w:cs="Arial"/>
                <w:sz w:val="21"/>
                <w:szCs w:val="21"/>
              </w:rPr>
              <w:t>反应活性</w:t>
            </w:r>
          </w:p>
        </w:tc>
      </w:tr>
      <w:tr w14:paraId="60A522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0" w:type="pct"/>
            <w:gridSpan w:val="3"/>
            <w:tcBorders>
              <w:top w:val="single" w:color="auto" w:sz="6" w:space="0"/>
              <w:left w:val="single" w:color="auto" w:sz="6" w:space="0"/>
              <w:bottom w:val="single" w:color="auto" w:sz="6" w:space="0"/>
              <w:right w:val="single" w:color="auto" w:sz="6" w:space="0"/>
            </w:tcBorders>
            <w:vAlign w:val="center"/>
          </w:tcPr>
          <w:p w14:paraId="243B0BE8">
            <w:pPr>
              <w:snapToGrid w:val="0"/>
              <w:rPr>
                <w:rFonts w:ascii="Arial" w:hAnsi="Arial" w:eastAsia="宋体" w:cs="Arial"/>
                <w:sz w:val="21"/>
                <w:szCs w:val="21"/>
              </w:rPr>
            </w:pPr>
            <w:r>
              <w:rPr>
                <w:rFonts w:ascii="Arial" w:hAnsi="Arial" w:eastAsia="宋体" w:cs="Arial"/>
                <w:sz w:val="21"/>
                <w:szCs w:val="21"/>
              </w:rPr>
              <w:t>稳定性</w:t>
            </w:r>
          </w:p>
        </w:tc>
        <w:tc>
          <w:tcPr>
            <w:tcW w:w="1082" w:type="pct"/>
            <w:gridSpan w:val="5"/>
            <w:tcBorders>
              <w:top w:val="single" w:color="auto" w:sz="6" w:space="0"/>
              <w:left w:val="single" w:color="auto" w:sz="6" w:space="0"/>
              <w:bottom w:val="single" w:color="auto" w:sz="6" w:space="0"/>
              <w:right w:val="single" w:color="auto" w:sz="6" w:space="0"/>
            </w:tcBorders>
            <w:vAlign w:val="center"/>
          </w:tcPr>
          <w:p w14:paraId="08449C13">
            <w:pPr>
              <w:snapToGrid w:val="0"/>
              <w:rPr>
                <w:rFonts w:ascii="Arial" w:hAnsi="Arial" w:eastAsia="宋体" w:cs="Arial"/>
                <w:sz w:val="21"/>
                <w:szCs w:val="21"/>
              </w:rPr>
            </w:pPr>
            <w:r>
              <w:rPr>
                <w:rFonts w:ascii="Arial" w:hAnsi="Arial" w:eastAsia="宋体" w:cs="Arial"/>
                <w:sz w:val="21"/>
                <w:szCs w:val="21"/>
              </w:rPr>
              <w:t xml:space="preserve">稳定 </w:t>
            </w:r>
          </w:p>
        </w:tc>
        <w:tc>
          <w:tcPr>
            <w:tcW w:w="785" w:type="pct"/>
            <w:gridSpan w:val="4"/>
            <w:tcBorders>
              <w:top w:val="single" w:color="auto" w:sz="6" w:space="0"/>
              <w:left w:val="single" w:color="auto" w:sz="6" w:space="0"/>
              <w:bottom w:val="single" w:color="auto" w:sz="6" w:space="0"/>
              <w:right w:val="single" w:color="auto" w:sz="6" w:space="0"/>
            </w:tcBorders>
            <w:vAlign w:val="center"/>
          </w:tcPr>
          <w:p w14:paraId="4B2441BE">
            <w:pPr>
              <w:snapToGrid w:val="0"/>
              <w:rPr>
                <w:rFonts w:ascii="Arial" w:hAnsi="Arial" w:eastAsia="宋体" w:cs="Arial"/>
                <w:sz w:val="21"/>
                <w:szCs w:val="21"/>
              </w:rPr>
            </w:pPr>
            <w:r>
              <w:rPr>
                <w:rFonts w:ascii="Arial" w:hAnsi="Arial" w:eastAsia="宋体" w:cs="Arial"/>
                <w:sz w:val="21"/>
                <w:szCs w:val="21"/>
              </w:rPr>
              <w:t>聚合危险性</w:t>
            </w:r>
          </w:p>
        </w:tc>
        <w:tc>
          <w:tcPr>
            <w:tcW w:w="2253" w:type="pct"/>
            <w:gridSpan w:val="4"/>
            <w:tcBorders>
              <w:top w:val="single" w:color="auto" w:sz="6" w:space="0"/>
              <w:left w:val="single" w:color="auto" w:sz="6" w:space="0"/>
              <w:bottom w:val="single" w:color="auto" w:sz="6" w:space="0"/>
              <w:right w:val="single" w:color="auto" w:sz="6" w:space="0"/>
            </w:tcBorders>
            <w:vAlign w:val="center"/>
          </w:tcPr>
          <w:p w14:paraId="48FB02BF">
            <w:pPr>
              <w:snapToGrid w:val="0"/>
              <w:rPr>
                <w:rFonts w:ascii="Arial" w:hAnsi="Arial" w:eastAsia="宋体" w:cs="Arial"/>
                <w:sz w:val="21"/>
                <w:szCs w:val="21"/>
              </w:rPr>
            </w:pPr>
            <w:r>
              <w:rPr>
                <w:rFonts w:ascii="Arial" w:hAnsi="Arial" w:eastAsia="宋体" w:cs="Arial"/>
                <w:sz w:val="21"/>
                <w:szCs w:val="21"/>
              </w:rPr>
              <w:t>不聚合</w:t>
            </w:r>
          </w:p>
        </w:tc>
      </w:tr>
      <w:tr w14:paraId="11762B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0" w:type="pct"/>
            <w:gridSpan w:val="3"/>
            <w:tcBorders>
              <w:top w:val="single" w:color="auto" w:sz="6" w:space="0"/>
              <w:left w:val="single" w:color="auto" w:sz="6" w:space="0"/>
              <w:bottom w:val="single" w:color="auto" w:sz="6" w:space="0"/>
              <w:right w:val="single" w:color="auto" w:sz="6" w:space="0"/>
            </w:tcBorders>
            <w:vAlign w:val="center"/>
          </w:tcPr>
          <w:p w14:paraId="3A2446D7">
            <w:pPr>
              <w:snapToGrid w:val="0"/>
              <w:rPr>
                <w:rFonts w:ascii="Arial" w:hAnsi="Arial" w:eastAsia="宋体" w:cs="Arial"/>
                <w:sz w:val="21"/>
                <w:szCs w:val="21"/>
              </w:rPr>
            </w:pPr>
            <w:r>
              <w:rPr>
                <w:rFonts w:ascii="Arial" w:hAnsi="Arial" w:eastAsia="宋体" w:cs="Arial"/>
                <w:sz w:val="21"/>
                <w:szCs w:val="21"/>
              </w:rPr>
              <w:t>禁忌物</w:t>
            </w:r>
          </w:p>
        </w:tc>
        <w:tc>
          <w:tcPr>
            <w:tcW w:w="1573" w:type="pct"/>
            <w:gridSpan w:val="7"/>
            <w:tcBorders>
              <w:top w:val="single" w:color="auto" w:sz="6" w:space="0"/>
              <w:left w:val="single" w:color="auto" w:sz="6" w:space="0"/>
              <w:bottom w:val="single" w:color="auto" w:sz="6" w:space="0"/>
              <w:right w:val="single" w:color="auto" w:sz="6" w:space="0"/>
            </w:tcBorders>
            <w:vAlign w:val="center"/>
          </w:tcPr>
          <w:p w14:paraId="1CBE8604">
            <w:pPr>
              <w:snapToGrid w:val="0"/>
              <w:rPr>
                <w:rFonts w:ascii="Arial" w:hAnsi="Arial" w:eastAsia="宋体" w:cs="Arial"/>
                <w:sz w:val="21"/>
                <w:szCs w:val="21"/>
              </w:rPr>
            </w:pPr>
            <w:r>
              <w:rPr>
                <w:rFonts w:ascii="Arial" w:hAnsi="Arial" w:eastAsia="宋体" w:cs="Arial"/>
                <w:sz w:val="21"/>
                <w:szCs w:val="21"/>
              </w:rPr>
              <w:t>碱类、碱金属、水、强还原剂、易燃和可燃物。</w:t>
            </w:r>
          </w:p>
        </w:tc>
        <w:tc>
          <w:tcPr>
            <w:tcW w:w="1077" w:type="pct"/>
            <w:gridSpan w:val="5"/>
            <w:tcBorders>
              <w:top w:val="single" w:color="auto" w:sz="6" w:space="0"/>
              <w:left w:val="single" w:color="auto" w:sz="6" w:space="0"/>
              <w:bottom w:val="single" w:color="auto" w:sz="6" w:space="0"/>
              <w:right w:val="single" w:color="auto" w:sz="6" w:space="0"/>
            </w:tcBorders>
            <w:vAlign w:val="center"/>
          </w:tcPr>
          <w:p w14:paraId="54280E1C">
            <w:pPr>
              <w:snapToGrid w:val="0"/>
              <w:rPr>
                <w:rFonts w:ascii="Arial" w:hAnsi="Arial" w:eastAsia="宋体" w:cs="Arial"/>
                <w:sz w:val="21"/>
                <w:szCs w:val="21"/>
              </w:rPr>
            </w:pPr>
            <w:r>
              <w:rPr>
                <w:rFonts w:ascii="Arial" w:hAnsi="Arial" w:eastAsia="宋体" w:cs="Arial"/>
                <w:sz w:val="21"/>
                <w:szCs w:val="21"/>
              </w:rPr>
              <w:t>燃烧（分解）产物</w:t>
            </w:r>
          </w:p>
        </w:tc>
        <w:tc>
          <w:tcPr>
            <w:tcW w:w="1470" w:type="pct"/>
            <w:tcBorders>
              <w:top w:val="single" w:color="auto" w:sz="6" w:space="0"/>
              <w:left w:val="single" w:color="auto" w:sz="6" w:space="0"/>
              <w:bottom w:val="single" w:color="auto" w:sz="6" w:space="0"/>
              <w:right w:val="single" w:color="auto" w:sz="6" w:space="0"/>
            </w:tcBorders>
            <w:vAlign w:val="center"/>
          </w:tcPr>
          <w:p w14:paraId="1FB22D07">
            <w:pPr>
              <w:snapToGrid w:val="0"/>
              <w:rPr>
                <w:rFonts w:ascii="Arial" w:hAnsi="Arial" w:eastAsia="宋体" w:cs="Arial"/>
                <w:sz w:val="21"/>
                <w:szCs w:val="21"/>
              </w:rPr>
            </w:pPr>
            <w:r>
              <w:rPr>
                <w:rFonts w:ascii="Arial" w:hAnsi="Arial" w:eastAsia="宋体" w:cs="Arial"/>
                <w:sz w:val="21"/>
                <w:szCs w:val="21"/>
              </w:rPr>
              <w:t>氧化硫</w:t>
            </w:r>
          </w:p>
        </w:tc>
      </w:tr>
      <w:tr w14:paraId="30854B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6"/>
            <w:tcBorders>
              <w:top w:val="single" w:color="auto" w:sz="6" w:space="0"/>
              <w:left w:val="single" w:color="auto" w:sz="6" w:space="0"/>
              <w:bottom w:val="single" w:color="auto" w:sz="6" w:space="0"/>
              <w:right w:val="single" w:color="auto" w:sz="6" w:space="0"/>
            </w:tcBorders>
            <w:vAlign w:val="center"/>
          </w:tcPr>
          <w:p w14:paraId="7D794627">
            <w:pPr>
              <w:snapToGrid w:val="0"/>
              <w:rPr>
                <w:rFonts w:ascii="Arial" w:hAnsi="Arial" w:eastAsia="宋体" w:cs="Arial"/>
                <w:sz w:val="21"/>
                <w:szCs w:val="21"/>
              </w:rPr>
            </w:pPr>
            <w:r>
              <w:rPr>
                <w:rFonts w:ascii="Arial" w:hAnsi="Arial" w:eastAsia="宋体" w:cs="Arial"/>
                <w:sz w:val="21"/>
                <w:szCs w:val="21"/>
              </w:rPr>
              <w:t>健康危害性</w:t>
            </w:r>
          </w:p>
        </w:tc>
      </w:tr>
      <w:tr w14:paraId="2A9A8B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85" w:type="pct"/>
            <w:gridSpan w:val="2"/>
            <w:tcBorders>
              <w:top w:val="single" w:color="auto" w:sz="6" w:space="0"/>
              <w:left w:val="single" w:color="auto" w:sz="6" w:space="0"/>
              <w:bottom w:val="single" w:color="auto" w:sz="6" w:space="0"/>
              <w:right w:val="single" w:color="auto" w:sz="6" w:space="0"/>
            </w:tcBorders>
            <w:vAlign w:val="center"/>
          </w:tcPr>
          <w:p w14:paraId="04ACF378">
            <w:pPr>
              <w:snapToGrid w:val="0"/>
              <w:rPr>
                <w:rFonts w:ascii="Arial" w:hAnsi="Arial" w:eastAsia="宋体" w:cs="Arial"/>
                <w:sz w:val="21"/>
                <w:szCs w:val="21"/>
              </w:rPr>
            </w:pPr>
            <w:r>
              <w:rPr>
                <w:rFonts w:ascii="Arial" w:hAnsi="Arial" w:eastAsia="宋体" w:cs="Arial"/>
                <w:sz w:val="21"/>
                <w:szCs w:val="21"/>
              </w:rPr>
              <w:t>侵入途径</w:t>
            </w:r>
          </w:p>
        </w:tc>
        <w:tc>
          <w:tcPr>
            <w:tcW w:w="4315" w:type="pct"/>
            <w:gridSpan w:val="14"/>
            <w:tcBorders>
              <w:top w:val="single" w:color="auto" w:sz="6" w:space="0"/>
              <w:left w:val="single" w:color="auto" w:sz="6" w:space="0"/>
              <w:bottom w:val="single" w:color="auto" w:sz="6" w:space="0"/>
              <w:right w:val="single" w:color="auto" w:sz="6" w:space="0"/>
            </w:tcBorders>
            <w:vAlign w:val="center"/>
          </w:tcPr>
          <w:p w14:paraId="7A04F0E5">
            <w:pPr>
              <w:snapToGrid w:val="0"/>
              <w:rPr>
                <w:rFonts w:ascii="Arial" w:hAnsi="Arial" w:eastAsia="宋体" w:cs="Arial"/>
                <w:sz w:val="21"/>
                <w:szCs w:val="21"/>
              </w:rPr>
            </w:pPr>
            <w:r>
              <w:rPr>
                <w:rFonts w:ascii="Arial" w:hAnsi="Arial" w:eastAsia="宋体" w:cs="Arial"/>
                <w:sz w:val="21"/>
                <w:szCs w:val="21"/>
              </w:rPr>
              <w:t>吸入、食入</w:t>
            </w:r>
          </w:p>
        </w:tc>
      </w:tr>
      <w:tr w14:paraId="4AA143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85" w:type="pct"/>
            <w:gridSpan w:val="2"/>
            <w:tcBorders>
              <w:top w:val="single" w:color="auto" w:sz="6" w:space="0"/>
              <w:left w:val="single" w:color="auto" w:sz="6" w:space="0"/>
              <w:bottom w:val="single" w:color="auto" w:sz="6" w:space="0"/>
              <w:right w:val="single" w:color="auto" w:sz="6" w:space="0"/>
            </w:tcBorders>
            <w:vAlign w:val="center"/>
          </w:tcPr>
          <w:p w14:paraId="05D880A1">
            <w:pPr>
              <w:snapToGrid w:val="0"/>
              <w:rPr>
                <w:rFonts w:ascii="Arial" w:hAnsi="Arial" w:eastAsia="宋体" w:cs="Arial"/>
                <w:sz w:val="21"/>
                <w:szCs w:val="21"/>
              </w:rPr>
            </w:pPr>
            <w:r>
              <w:rPr>
                <w:rFonts w:ascii="Arial" w:hAnsi="Arial" w:eastAsia="宋体" w:cs="Arial"/>
                <w:sz w:val="21"/>
                <w:szCs w:val="21"/>
              </w:rPr>
              <w:t>急性毒性</w:t>
            </w:r>
          </w:p>
        </w:tc>
        <w:tc>
          <w:tcPr>
            <w:tcW w:w="4315" w:type="pct"/>
            <w:gridSpan w:val="14"/>
            <w:tcBorders>
              <w:top w:val="single" w:color="auto" w:sz="6" w:space="0"/>
              <w:left w:val="single" w:color="auto" w:sz="6" w:space="0"/>
              <w:bottom w:val="single" w:color="auto" w:sz="6" w:space="0"/>
              <w:right w:val="single" w:color="auto" w:sz="6" w:space="0"/>
            </w:tcBorders>
            <w:vAlign w:val="center"/>
          </w:tcPr>
          <w:p w14:paraId="5DCB5BD4">
            <w:pPr>
              <w:snapToGrid w:val="0"/>
              <w:rPr>
                <w:rFonts w:ascii="Arial" w:hAnsi="Arial" w:eastAsia="宋体" w:cs="Arial"/>
                <w:sz w:val="21"/>
                <w:szCs w:val="21"/>
              </w:rPr>
            </w:pPr>
            <w:r>
              <w:rPr>
                <w:rFonts w:ascii="Arial" w:hAnsi="Arial" w:eastAsia="宋体" w:cs="Arial"/>
                <w:sz w:val="21"/>
                <w:szCs w:val="21"/>
              </w:rPr>
              <w:t>LD</w:t>
            </w:r>
            <w:r>
              <w:rPr>
                <w:rFonts w:ascii="Arial" w:hAnsi="Arial" w:eastAsia="宋体" w:cs="Arial"/>
                <w:sz w:val="21"/>
                <w:szCs w:val="21"/>
                <w:vertAlign w:val="subscript"/>
              </w:rPr>
              <w:t>50</w:t>
            </w:r>
            <w:r>
              <w:rPr>
                <w:rFonts w:ascii="Arial" w:hAnsi="Arial" w:eastAsia="宋体" w:cs="Arial"/>
                <w:sz w:val="21"/>
                <w:szCs w:val="21"/>
              </w:rPr>
              <w:t xml:space="preserve">  2140mg/kg（大鼠经口）；</w:t>
            </w:r>
          </w:p>
          <w:p w14:paraId="5D8ECED2">
            <w:pPr>
              <w:snapToGrid w:val="0"/>
              <w:rPr>
                <w:rFonts w:ascii="Arial" w:hAnsi="Arial" w:eastAsia="宋体" w:cs="Arial"/>
                <w:sz w:val="21"/>
                <w:szCs w:val="21"/>
              </w:rPr>
            </w:pPr>
            <w:r>
              <w:rPr>
                <w:rFonts w:ascii="Arial" w:hAnsi="Arial" w:eastAsia="宋体" w:cs="Arial"/>
                <w:sz w:val="21"/>
                <w:szCs w:val="21"/>
              </w:rPr>
              <w:t>LC</w:t>
            </w:r>
            <w:r>
              <w:rPr>
                <w:rFonts w:ascii="Arial" w:hAnsi="Arial" w:eastAsia="宋体" w:cs="Arial"/>
                <w:sz w:val="21"/>
                <w:szCs w:val="21"/>
                <w:vertAlign w:val="subscript"/>
              </w:rPr>
              <w:t>50</w:t>
            </w:r>
            <w:r>
              <w:rPr>
                <w:rFonts w:ascii="Arial" w:hAnsi="Arial" w:eastAsia="宋体" w:cs="Arial"/>
                <w:sz w:val="21"/>
                <w:szCs w:val="21"/>
              </w:rPr>
              <w:t xml:space="preserve">  510mg/m</w:t>
            </w:r>
            <w:r>
              <w:rPr>
                <w:rFonts w:ascii="Arial" w:hAnsi="Arial" w:eastAsia="宋体" w:cs="Arial"/>
                <w:sz w:val="21"/>
                <w:szCs w:val="21"/>
                <w:vertAlign w:val="superscript"/>
              </w:rPr>
              <w:t>3</w:t>
            </w:r>
            <w:r>
              <w:rPr>
                <w:rFonts w:ascii="Arial" w:hAnsi="Arial" w:eastAsia="宋体" w:cs="Arial"/>
                <w:sz w:val="21"/>
                <w:szCs w:val="21"/>
              </w:rPr>
              <w:t>,2小时（大鼠吸入）；320mg/m</w:t>
            </w:r>
            <w:r>
              <w:rPr>
                <w:rFonts w:ascii="Arial" w:hAnsi="Arial" w:eastAsia="宋体" w:cs="Arial"/>
                <w:sz w:val="21"/>
                <w:szCs w:val="21"/>
                <w:vertAlign w:val="superscript"/>
              </w:rPr>
              <w:t>3</w:t>
            </w:r>
            <w:r>
              <w:rPr>
                <w:rFonts w:ascii="Arial" w:hAnsi="Arial" w:eastAsia="宋体" w:cs="Arial"/>
                <w:sz w:val="21"/>
                <w:szCs w:val="21"/>
              </w:rPr>
              <w:t>,2小时（小鼠吸入）</w:t>
            </w:r>
          </w:p>
        </w:tc>
      </w:tr>
      <w:tr w14:paraId="5C7492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6"/>
            <w:tcBorders>
              <w:top w:val="single" w:color="auto" w:sz="6" w:space="0"/>
              <w:left w:val="single" w:color="auto" w:sz="6" w:space="0"/>
              <w:bottom w:val="single" w:color="auto" w:sz="6" w:space="0"/>
              <w:right w:val="single" w:color="auto" w:sz="6" w:space="0"/>
            </w:tcBorders>
            <w:vAlign w:val="center"/>
          </w:tcPr>
          <w:p w14:paraId="27A0BCB7">
            <w:pPr>
              <w:snapToGrid w:val="0"/>
              <w:rPr>
                <w:rFonts w:ascii="Arial" w:hAnsi="Arial" w:eastAsia="宋体" w:cs="Arial"/>
                <w:sz w:val="21"/>
                <w:szCs w:val="21"/>
              </w:rPr>
            </w:pPr>
            <w:r>
              <w:rPr>
                <w:rFonts w:ascii="Arial" w:hAnsi="Arial" w:eastAsia="宋体" w:cs="Arial"/>
                <w:sz w:val="21"/>
                <w:szCs w:val="21"/>
              </w:rPr>
              <w:t xml:space="preserve">健康危害（急性和慢性）：对皮肤、粘膜等组织有强烈的刺激和腐蚀作用。蒸气或雾可引起结膜炎、结膜水肿、角膜混浊，以致失明；引起呼吸道刺激，重者发生呼吸困难和肺水肿；高浓度引起喉痉挛或声门水肿而窒息死亡。口服后引起消化道烧伤以致溃疡形成；严重者可能胃穿孔、腹膜炎、肾损害、休克等。皮肤灼伤轻者出现红斑，重者形成溃疡，愈后斑痕收缩影响功能。溅入眼内可造成灼伤，甚至角膜穿孔、全眼炎以致失明。慢性影响：牙齿酸蚀症、慢性支气管炎、肺气肿和肺硬化。 </w:t>
            </w:r>
          </w:p>
        </w:tc>
      </w:tr>
      <w:tr w14:paraId="77BCBB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6"/>
            <w:tcBorders>
              <w:top w:val="single" w:color="auto" w:sz="6" w:space="0"/>
              <w:left w:val="single" w:color="auto" w:sz="6" w:space="0"/>
              <w:bottom w:val="single" w:color="auto" w:sz="6" w:space="0"/>
              <w:right w:val="single" w:color="auto" w:sz="6" w:space="0"/>
            </w:tcBorders>
            <w:vAlign w:val="center"/>
          </w:tcPr>
          <w:p w14:paraId="7F1585D8">
            <w:pPr>
              <w:snapToGrid w:val="0"/>
              <w:rPr>
                <w:rFonts w:ascii="Arial" w:hAnsi="Arial" w:eastAsia="宋体" w:cs="Arial"/>
                <w:sz w:val="21"/>
                <w:szCs w:val="21"/>
              </w:rPr>
            </w:pPr>
            <w:r>
              <w:rPr>
                <w:rFonts w:ascii="Arial" w:hAnsi="Arial" w:eastAsia="宋体" w:cs="Arial"/>
                <w:sz w:val="21"/>
                <w:szCs w:val="21"/>
              </w:rPr>
              <w:t>泄漏紧急处理：迅速撤离泄漏污染区人员到安全区，并进行隔离，严格限制出入。建议应急处理人员戴自给正压式呼吸器，穿防酸碱工作服。不要直接接触泄漏物。尽可能切断泄漏源，防止进入下水道、排洪沟等限制性空间。小量泄漏：用砂土、干燥石灰或苏打灰混合。也可用大量水冲洗，洗水稀释后放入废水系统。大量泄漏：构筑围堤或挖坑收容；用泵转移至槽车或专用收集器内，回收或运至废物处理场所处置。</w:t>
            </w:r>
          </w:p>
        </w:tc>
      </w:tr>
      <w:tr w14:paraId="11C1FB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6"/>
            <w:tcBorders>
              <w:top w:val="single" w:color="auto" w:sz="6" w:space="0"/>
              <w:left w:val="single" w:color="auto" w:sz="6" w:space="0"/>
              <w:bottom w:val="single" w:color="auto" w:sz="6" w:space="0"/>
              <w:right w:val="single" w:color="auto" w:sz="6" w:space="0"/>
            </w:tcBorders>
            <w:vAlign w:val="center"/>
          </w:tcPr>
          <w:p w14:paraId="1E7536BF">
            <w:pPr>
              <w:snapToGrid w:val="0"/>
              <w:rPr>
                <w:rFonts w:ascii="Arial" w:hAnsi="Arial" w:eastAsia="宋体" w:cs="Arial"/>
                <w:sz w:val="21"/>
                <w:szCs w:val="21"/>
              </w:rPr>
            </w:pPr>
            <w:r>
              <w:rPr>
                <w:rFonts w:ascii="Arial" w:hAnsi="Arial" w:eastAsia="宋体" w:cs="Arial"/>
                <w:sz w:val="21"/>
                <w:szCs w:val="21"/>
              </w:rPr>
              <w:t>储运注意事项：储存于阴凉、干燥、通风良好的仓间内。应与易燃或可燃物、碱类、金属粉末等分开存放。不可混储混运。搬运时要轻装轻卸，防止包装及容器损坏。分装和搬运作业液注意个人防护。</w:t>
            </w:r>
          </w:p>
        </w:tc>
      </w:tr>
      <w:tr w14:paraId="4A52BC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6"/>
            <w:tcBorders>
              <w:top w:val="single" w:color="auto" w:sz="6" w:space="0"/>
              <w:left w:val="single" w:color="auto" w:sz="6" w:space="0"/>
              <w:bottom w:val="single" w:color="auto" w:sz="6" w:space="0"/>
              <w:right w:val="single" w:color="auto" w:sz="6" w:space="0"/>
            </w:tcBorders>
            <w:vAlign w:val="center"/>
          </w:tcPr>
          <w:p w14:paraId="59D48DDA">
            <w:pPr>
              <w:snapToGrid w:val="0"/>
              <w:rPr>
                <w:rFonts w:ascii="Arial" w:hAnsi="Arial" w:eastAsia="宋体" w:cs="Arial"/>
                <w:sz w:val="21"/>
                <w:szCs w:val="21"/>
              </w:rPr>
            </w:pPr>
            <w:r>
              <w:rPr>
                <w:rFonts w:ascii="Arial" w:hAnsi="Arial" w:eastAsia="宋体" w:cs="Arial"/>
                <w:sz w:val="21"/>
                <w:szCs w:val="21"/>
              </w:rPr>
              <w:t>防护措施</w:t>
            </w:r>
          </w:p>
        </w:tc>
      </w:tr>
      <w:tr w14:paraId="0EE063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0" w:type="pct"/>
            <w:gridSpan w:val="3"/>
            <w:tcBorders>
              <w:top w:val="single" w:color="auto" w:sz="6" w:space="0"/>
              <w:left w:val="single" w:color="auto" w:sz="6" w:space="0"/>
              <w:bottom w:val="single" w:color="auto" w:sz="6" w:space="0"/>
              <w:right w:val="single" w:color="auto" w:sz="6" w:space="0"/>
            </w:tcBorders>
            <w:vAlign w:val="center"/>
          </w:tcPr>
          <w:p w14:paraId="6306744D">
            <w:pPr>
              <w:snapToGrid w:val="0"/>
              <w:rPr>
                <w:rFonts w:ascii="Arial" w:hAnsi="Arial" w:eastAsia="宋体" w:cs="Arial"/>
                <w:sz w:val="21"/>
                <w:szCs w:val="21"/>
              </w:rPr>
            </w:pPr>
            <w:r>
              <w:rPr>
                <w:rFonts w:ascii="Arial" w:hAnsi="Arial" w:eastAsia="宋体" w:cs="Arial"/>
                <w:sz w:val="21"/>
                <w:szCs w:val="21"/>
              </w:rPr>
              <w:t>车间卫生标准</w:t>
            </w:r>
          </w:p>
        </w:tc>
        <w:tc>
          <w:tcPr>
            <w:tcW w:w="4120" w:type="pct"/>
            <w:gridSpan w:val="13"/>
            <w:tcBorders>
              <w:top w:val="single" w:color="auto" w:sz="6" w:space="0"/>
              <w:left w:val="single" w:color="auto" w:sz="6" w:space="0"/>
              <w:bottom w:val="single" w:color="auto" w:sz="6" w:space="0"/>
              <w:right w:val="single" w:color="auto" w:sz="6" w:space="0"/>
            </w:tcBorders>
            <w:vAlign w:val="center"/>
          </w:tcPr>
          <w:p w14:paraId="09A8A5C9">
            <w:pPr>
              <w:snapToGrid w:val="0"/>
              <w:rPr>
                <w:rFonts w:ascii="Arial" w:hAnsi="Arial" w:eastAsia="宋体" w:cs="Arial"/>
                <w:sz w:val="21"/>
                <w:szCs w:val="21"/>
              </w:rPr>
            </w:pPr>
            <w:r>
              <w:rPr>
                <w:rFonts w:ascii="Arial" w:hAnsi="Arial" w:eastAsia="宋体" w:cs="Arial"/>
                <w:sz w:val="21"/>
                <w:szCs w:val="21"/>
              </w:rPr>
              <w:t>中  国MAC(mg/m</w:t>
            </w:r>
            <w:r>
              <w:rPr>
                <w:rFonts w:ascii="Arial" w:hAnsi="Arial" w:eastAsia="宋体" w:cs="Arial"/>
                <w:sz w:val="21"/>
                <w:szCs w:val="21"/>
                <w:vertAlign w:val="superscript"/>
              </w:rPr>
              <w:t>3</w:t>
            </w:r>
            <w:r>
              <w:rPr>
                <w:rFonts w:ascii="Arial" w:hAnsi="Arial" w:eastAsia="宋体" w:cs="Arial"/>
                <w:sz w:val="21"/>
                <w:szCs w:val="21"/>
              </w:rPr>
              <w:t>)  2</w:t>
            </w:r>
          </w:p>
          <w:p w14:paraId="25ECD482">
            <w:pPr>
              <w:snapToGrid w:val="0"/>
              <w:rPr>
                <w:rFonts w:ascii="Arial" w:hAnsi="Arial" w:eastAsia="宋体" w:cs="Arial"/>
                <w:sz w:val="21"/>
                <w:szCs w:val="21"/>
              </w:rPr>
            </w:pPr>
            <w:r>
              <w:rPr>
                <w:rFonts w:ascii="Arial" w:hAnsi="Arial" w:eastAsia="宋体" w:cs="Arial"/>
                <w:sz w:val="21"/>
                <w:szCs w:val="21"/>
              </w:rPr>
              <w:t>前苏联MAC(mg/m</w:t>
            </w:r>
            <w:r>
              <w:rPr>
                <w:rFonts w:ascii="Arial" w:hAnsi="Arial" w:eastAsia="宋体" w:cs="Arial"/>
                <w:sz w:val="21"/>
                <w:szCs w:val="21"/>
                <w:vertAlign w:val="superscript"/>
              </w:rPr>
              <w:t>3</w:t>
            </w:r>
            <w:r>
              <w:rPr>
                <w:rFonts w:ascii="Arial" w:hAnsi="Arial" w:eastAsia="宋体" w:cs="Arial"/>
                <w:sz w:val="21"/>
                <w:szCs w:val="21"/>
              </w:rPr>
              <w:t>)  1</w:t>
            </w:r>
          </w:p>
          <w:p w14:paraId="09A13375">
            <w:pPr>
              <w:snapToGrid w:val="0"/>
              <w:rPr>
                <w:rFonts w:ascii="Arial" w:hAnsi="Arial" w:eastAsia="宋体" w:cs="Arial"/>
                <w:sz w:val="21"/>
                <w:szCs w:val="21"/>
              </w:rPr>
            </w:pPr>
            <w:r>
              <w:rPr>
                <w:rFonts w:ascii="Arial" w:hAnsi="Arial" w:eastAsia="宋体" w:cs="Arial"/>
                <w:sz w:val="21"/>
                <w:szCs w:val="21"/>
              </w:rPr>
              <w:t>美  国TLV-TWA    ACGIH 1 mg/m</w:t>
            </w:r>
            <w:r>
              <w:rPr>
                <w:rFonts w:ascii="Arial" w:hAnsi="Arial" w:eastAsia="宋体" w:cs="Arial"/>
                <w:sz w:val="21"/>
                <w:szCs w:val="21"/>
                <w:vertAlign w:val="superscript"/>
              </w:rPr>
              <w:t>3</w:t>
            </w:r>
          </w:p>
          <w:p w14:paraId="083FB3C6">
            <w:pPr>
              <w:snapToGrid w:val="0"/>
              <w:rPr>
                <w:rFonts w:ascii="Arial" w:hAnsi="Arial" w:eastAsia="宋体" w:cs="Arial"/>
                <w:sz w:val="21"/>
                <w:szCs w:val="21"/>
              </w:rPr>
            </w:pPr>
            <w:r>
              <w:rPr>
                <w:rFonts w:ascii="Arial" w:hAnsi="Arial" w:eastAsia="宋体" w:cs="Arial"/>
                <w:sz w:val="21"/>
                <w:szCs w:val="21"/>
              </w:rPr>
              <w:t>美  国TLV-STEL   ACGIH 3 mg/m</w:t>
            </w:r>
            <w:r>
              <w:rPr>
                <w:rFonts w:ascii="Arial" w:hAnsi="Arial" w:eastAsia="宋体" w:cs="Arial"/>
                <w:sz w:val="21"/>
                <w:szCs w:val="21"/>
                <w:vertAlign w:val="superscript"/>
              </w:rPr>
              <w:t>3</w:t>
            </w:r>
          </w:p>
        </w:tc>
      </w:tr>
      <w:tr w14:paraId="272AB2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0" w:type="pct"/>
            <w:gridSpan w:val="3"/>
            <w:tcBorders>
              <w:top w:val="single" w:color="auto" w:sz="6" w:space="0"/>
              <w:left w:val="single" w:color="auto" w:sz="6" w:space="0"/>
              <w:bottom w:val="single" w:color="auto" w:sz="6" w:space="0"/>
              <w:right w:val="single" w:color="auto" w:sz="6" w:space="0"/>
            </w:tcBorders>
            <w:vAlign w:val="center"/>
          </w:tcPr>
          <w:p w14:paraId="5146FB25">
            <w:pPr>
              <w:snapToGrid w:val="0"/>
              <w:rPr>
                <w:rFonts w:ascii="Arial" w:hAnsi="Arial" w:eastAsia="宋体" w:cs="Arial"/>
                <w:sz w:val="21"/>
                <w:szCs w:val="21"/>
              </w:rPr>
            </w:pPr>
            <w:r>
              <w:rPr>
                <w:rFonts w:ascii="Arial" w:hAnsi="Arial" w:eastAsia="宋体" w:cs="Arial"/>
                <w:sz w:val="21"/>
                <w:szCs w:val="21"/>
              </w:rPr>
              <w:t>工程控制</w:t>
            </w:r>
          </w:p>
        </w:tc>
        <w:tc>
          <w:tcPr>
            <w:tcW w:w="4120" w:type="pct"/>
            <w:gridSpan w:val="13"/>
            <w:tcBorders>
              <w:top w:val="single" w:color="auto" w:sz="6" w:space="0"/>
              <w:left w:val="single" w:color="auto" w:sz="6" w:space="0"/>
              <w:bottom w:val="single" w:color="auto" w:sz="6" w:space="0"/>
              <w:right w:val="single" w:color="auto" w:sz="6" w:space="0"/>
            </w:tcBorders>
            <w:vAlign w:val="center"/>
          </w:tcPr>
          <w:p w14:paraId="2B1D8958">
            <w:pPr>
              <w:snapToGrid w:val="0"/>
              <w:rPr>
                <w:rFonts w:ascii="Arial" w:hAnsi="Arial" w:eastAsia="宋体" w:cs="Arial"/>
                <w:sz w:val="21"/>
                <w:szCs w:val="21"/>
              </w:rPr>
            </w:pPr>
            <w:r>
              <w:rPr>
                <w:rFonts w:ascii="Arial" w:hAnsi="Arial" w:eastAsia="宋体" w:cs="Arial"/>
                <w:sz w:val="21"/>
                <w:szCs w:val="21"/>
              </w:rPr>
              <w:t>严加密闭，加强排风。尽可能机械化、自动化。提供安全淋浴和洗眼设备</w:t>
            </w:r>
          </w:p>
        </w:tc>
      </w:tr>
      <w:tr w14:paraId="21C64C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0" w:type="pct"/>
            <w:gridSpan w:val="3"/>
            <w:vMerge w:val="restart"/>
            <w:tcBorders>
              <w:top w:val="single" w:color="auto" w:sz="6" w:space="0"/>
              <w:left w:val="single" w:color="auto" w:sz="6" w:space="0"/>
              <w:bottom w:val="single" w:color="auto" w:sz="6" w:space="0"/>
              <w:right w:val="single" w:color="auto" w:sz="6" w:space="0"/>
            </w:tcBorders>
            <w:vAlign w:val="center"/>
          </w:tcPr>
          <w:p w14:paraId="2C16BD5F">
            <w:pPr>
              <w:snapToGrid w:val="0"/>
              <w:rPr>
                <w:rFonts w:ascii="Arial" w:hAnsi="Arial" w:eastAsia="宋体" w:cs="Arial"/>
                <w:sz w:val="21"/>
                <w:szCs w:val="21"/>
              </w:rPr>
            </w:pPr>
            <w:r>
              <w:rPr>
                <w:rFonts w:ascii="Arial" w:hAnsi="Arial" w:eastAsia="宋体" w:cs="Arial"/>
                <w:sz w:val="21"/>
                <w:szCs w:val="21"/>
              </w:rPr>
              <w:t>呼吸系统防护</w:t>
            </w:r>
          </w:p>
        </w:tc>
        <w:tc>
          <w:tcPr>
            <w:tcW w:w="1666" w:type="pct"/>
            <w:gridSpan w:val="8"/>
            <w:vMerge w:val="restart"/>
            <w:tcBorders>
              <w:top w:val="single" w:color="auto" w:sz="6" w:space="0"/>
              <w:left w:val="single" w:color="auto" w:sz="6" w:space="0"/>
              <w:bottom w:val="single" w:color="auto" w:sz="6" w:space="0"/>
              <w:right w:val="single" w:color="auto" w:sz="6" w:space="0"/>
            </w:tcBorders>
            <w:vAlign w:val="center"/>
          </w:tcPr>
          <w:p w14:paraId="7F6BA366">
            <w:pPr>
              <w:snapToGrid w:val="0"/>
              <w:rPr>
                <w:rFonts w:ascii="Arial" w:hAnsi="Arial" w:eastAsia="宋体" w:cs="Arial"/>
                <w:sz w:val="21"/>
                <w:szCs w:val="21"/>
              </w:rPr>
            </w:pPr>
            <w:r>
              <w:rPr>
                <w:rFonts w:ascii="Arial" w:hAnsi="Arial" w:eastAsia="宋体" w:cs="Arial"/>
                <w:sz w:val="21"/>
                <w:szCs w:val="21"/>
              </w:rPr>
              <w:t>可能接触其烟雾时，应该佩戴自吸过滤式防毒面具（全面罩）或空气呼吸器。紧急事态抢救或撤离时，佩戴氧气呼吸器。</w:t>
            </w:r>
          </w:p>
        </w:tc>
        <w:tc>
          <w:tcPr>
            <w:tcW w:w="785" w:type="pct"/>
            <w:gridSpan w:val="3"/>
            <w:tcBorders>
              <w:top w:val="single" w:color="auto" w:sz="6" w:space="0"/>
              <w:left w:val="single" w:color="auto" w:sz="6" w:space="0"/>
              <w:bottom w:val="single" w:color="auto" w:sz="6" w:space="0"/>
              <w:right w:val="single" w:color="auto" w:sz="6" w:space="0"/>
            </w:tcBorders>
            <w:vAlign w:val="center"/>
          </w:tcPr>
          <w:p w14:paraId="5F68819B">
            <w:pPr>
              <w:snapToGrid w:val="0"/>
              <w:rPr>
                <w:rFonts w:ascii="Arial" w:hAnsi="Arial" w:eastAsia="宋体" w:cs="Arial"/>
                <w:sz w:val="21"/>
                <w:szCs w:val="21"/>
              </w:rPr>
            </w:pPr>
            <w:r>
              <w:rPr>
                <w:rFonts w:ascii="Arial" w:hAnsi="Arial" w:eastAsia="宋体" w:cs="Arial"/>
                <w:sz w:val="21"/>
                <w:szCs w:val="21"/>
              </w:rPr>
              <w:t>身体防护</w:t>
            </w:r>
          </w:p>
        </w:tc>
        <w:tc>
          <w:tcPr>
            <w:tcW w:w="1669" w:type="pct"/>
            <w:gridSpan w:val="2"/>
            <w:tcBorders>
              <w:top w:val="single" w:color="auto" w:sz="6" w:space="0"/>
              <w:left w:val="single" w:color="auto" w:sz="6" w:space="0"/>
              <w:bottom w:val="single" w:color="auto" w:sz="6" w:space="0"/>
              <w:right w:val="single" w:color="auto" w:sz="6" w:space="0"/>
            </w:tcBorders>
            <w:vAlign w:val="center"/>
          </w:tcPr>
          <w:p w14:paraId="4740F365">
            <w:pPr>
              <w:snapToGrid w:val="0"/>
              <w:rPr>
                <w:rFonts w:ascii="Arial" w:hAnsi="Arial" w:eastAsia="宋体" w:cs="Arial"/>
                <w:sz w:val="21"/>
                <w:szCs w:val="21"/>
              </w:rPr>
            </w:pPr>
            <w:r>
              <w:rPr>
                <w:rFonts w:ascii="Arial" w:hAnsi="Arial" w:eastAsia="宋体" w:cs="Arial"/>
                <w:sz w:val="21"/>
                <w:szCs w:val="21"/>
              </w:rPr>
              <w:t>穿橡胶耐酸碱服。</w:t>
            </w:r>
          </w:p>
        </w:tc>
      </w:tr>
      <w:tr w14:paraId="6245F9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gridSpan w:val="3"/>
            <w:vMerge w:val="continue"/>
            <w:tcBorders>
              <w:top w:val="single" w:color="auto" w:sz="6" w:space="0"/>
              <w:left w:val="single" w:color="auto" w:sz="6" w:space="0"/>
              <w:bottom w:val="single" w:color="auto" w:sz="6" w:space="0"/>
              <w:right w:val="single" w:color="auto" w:sz="6" w:space="0"/>
            </w:tcBorders>
            <w:vAlign w:val="center"/>
          </w:tcPr>
          <w:p w14:paraId="4F755A6E">
            <w:pPr>
              <w:widowControl/>
              <w:jc w:val="left"/>
              <w:rPr>
                <w:rFonts w:ascii="Arial" w:hAnsi="Arial" w:eastAsia="宋体" w:cs="Arial"/>
                <w:sz w:val="21"/>
                <w:szCs w:val="21"/>
              </w:rPr>
            </w:pPr>
          </w:p>
        </w:tc>
        <w:tc>
          <w:tcPr>
            <w:tcW w:w="0" w:type="auto"/>
            <w:gridSpan w:val="8"/>
            <w:vMerge w:val="continue"/>
            <w:tcBorders>
              <w:top w:val="single" w:color="auto" w:sz="6" w:space="0"/>
              <w:left w:val="single" w:color="auto" w:sz="6" w:space="0"/>
              <w:bottom w:val="single" w:color="auto" w:sz="6" w:space="0"/>
              <w:right w:val="single" w:color="auto" w:sz="6" w:space="0"/>
            </w:tcBorders>
            <w:vAlign w:val="center"/>
          </w:tcPr>
          <w:p w14:paraId="641B076C">
            <w:pPr>
              <w:widowControl/>
              <w:jc w:val="left"/>
              <w:rPr>
                <w:rFonts w:ascii="Arial" w:hAnsi="Arial" w:eastAsia="宋体" w:cs="Arial"/>
                <w:sz w:val="21"/>
                <w:szCs w:val="21"/>
              </w:rPr>
            </w:pPr>
          </w:p>
        </w:tc>
        <w:tc>
          <w:tcPr>
            <w:tcW w:w="785" w:type="pct"/>
            <w:gridSpan w:val="3"/>
            <w:tcBorders>
              <w:top w:val="single" w:color="auto" w:sz="6" w:space="0"/>
              <w:left w:val="single" w:color="auto" w:sz="6" w:space="0"/>
              <w:bottom w:val="single" w:color="auto" w:sz="6" w:space="0"/>
              <w:right w:val="single" w:color="auto" w:sz="6" w:space="0"/>
            </w:tcBorders>
            <w:vAlign w:val="center"/>
          </w:tcPr>
          <w:p w14:paraId="7BF8B5CA">
            <w:pPr>
              <w:snapToGrid w:val="0"/>
              <w:rPr>
                <w:rFonts w:ascii="Arial" w:hAnsi="Arial" w:eastAsia="宋体" w:cs="Arial"/>
                <w:sz w:val="21"/>
                <w:szCs w:val="21"/>
              </w:rPr>
            </w:pPr>
            <w:r>
              <w:rPr>
                <w:rFonts w:ascii="Arial" w:hAnsi="Arial" w:eastAsia="宋体" w:cs="Arial"/>
                <w:sz w:val="21"/>
                <w:szCs w:val="21"/>
              </w:rPr>
              <w:t>手防护</w:t>
            </w:r>
          </w:p>
        </w:tc>
        <w:tc>
          <w:tcPr>
            <w:tcW w:w="1669" w:type="pct"/>
            <w:gridSpan w:val="2"/>
            <w:tcBorders>
              <w:top w:val="single" w:color="auto" w:sz="6" w:space="0"/>
              <w:left w:val="single" w:color="auto" w:sz="6" w:space="0"/>
              <w:bottom w:val="single" w:color="auto" w:sz="6" w:space="0"/>
              <w:right w:val="single" w:color="auto" w:sz="6" w:space="0"/>
            </w:tcBorders>
            <w:vAlign w:val="center"/>
          </w:tcPr>
          <w:p w14:paraId="0F62F461">
            <w:pPr>
              <w:snapToGrid w:val="0"/>
              <w:rPr>
                <w:rFonts w:ascii="Arial" w:hAnsi="Arial" w:eastAsia="宋体" w:cs="Arial"/>
                <w:sz w:val="21"/>
                <w:szCs w:val="21"/>
              </w:rPr>
            </w:pPr>
            <w:r>
              <w:rPr>
                <w:rFonts w:ascii="Arial" w:hAnsi="Arial" w:eastAsia="宋体" w:cs="Arial"/>
                <w:sz w:val="21"/>
                <w:szCs w:val="21"/>
              </w:rPr>
              <w:t>戴橡胶耐酸碱手套</w:t>
            </w:r>
          </w:p>
        </w:tc>
      </w:tr>
      <w:tr w14:paraId="4114277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gridSpan w:val="3"/>
            <w:vMerge w:val="continue"/>
            <w:tcBorders>
              <w:top w:val="single" w:color="auto" w:sz="6" w:space="0"/>
              <w:left w:val="single" w:color="auto" w:sz="6" w:space="0"/>
              <w:bottom w:val="single" w:color="auto" w:sz="6" w:space="0"/>
              <w:right w:val="single" w:color="auto" w:sz="6" w:space="0"/>
            </w:tcBorders>
            <w:vAlign w:val="center"/>
          </w:tcPr>
          <w:p w14:paraId="3184F338">
            <w:pPr>
              <w:widowControl/>
              <w:jc w:val="left"/>
              <w:rPr>
                <w:rFonts w:ascii="Arial" w:hAnsi="Arial" w:eastAsia="宋体" w:cs="Arial"/>
                <w:sz w:val="21"/>
                <w:szCs w:val="21"/>
              </w:rPr>
            </w:pPr>
          </w:p>
        </w:tc>
        <w:tc>
          <w:tcPr>
            <w:tcW w:w="0" w:type="auto"/>
            <w:gridSpan w:val="8"/>
            <w:vMerge w:val="continue"/>
            <w:tcBorders>
              <w:top w:val="single" w:color="auto" w:sz="6" w:space="0"/>
              <w:left w:val="single" w:color="auto" w:sz="6" w:space="0"/>
              <w:bottom w:val="single" w:color="auto" w:sz="6" w:space="0"/>
              <w:right w:val="single" w:color="auto" w:sz="6" w:space="0"/>
            </w:tcBorders>
            <w:vAlign w:val="center"/>
          </w:tcPr>
          <w:p w14:paraId="54736B42">
            <w:pPr>
              <w:widowControl/>
              <w:jc w:val="left"/>
              <w:rPr>
                <w:rFonts w:ascii="Arial" w:hAnsi="Arial" w:eastAsia="宋体" w:cs="Arial"/>
                <w:sz w:val="21"/>
                <w:szCs w:val="21"/>
              </w:rPr>
            </w:pPr>
          </w:p>
        </w:tc>
        <w:tc>
          <w:tcPr>
            <w:tcW w:w="785" w:type="pct"/>
            <w:gridSpan w:val="3"/>
            <w:tcBorders>
              <w:top w:val="single" w:color="auto" w:sz="6" w:space="0"/>
              <w:left w:val="single" w:color="auto" w:sz="6" w:space="0"/>
              <w:bottom w:val="single" w:color="auto" w:sz="6" w:space="0"/>
              <w:right w:val="single" w:color="auto" w:sz="6" w:space="0"/>
            </w:tcBorders>
            <w:vAlign w:val="center"/>
          </w:tcPr>
          <w:p w14:paraId="6AE69A7E">
            <w:pPr>
              <w:snapToGrid w:val="0"/>
              <w:rPr>
                <w:rFonts w:ascii="Arial" w:hAnsi="Arial" w:eastAsia="宋体" w:cs="Arial"/>
                <w:sz w:val="21"/>
                <w:szCs w:val="21"/>
              </w:rPr>
            </w:pPr>
            <w:r>
              <w:rPr>
                <w:rFonts w:ascii="Arial" w:hAnsi="Arial" w:eastAsia="宋体" w:cs="Arial"/>
                <w:sz w:val="21"/>
                <w:szCs w:val="21"/>
              </w:rPr>
              <w:t>眼睛防护</w:t>
            </w:r>
          </w:p>
        </w:tc>
        <w:tc>
          <w:tcPr>
            <w:tcW w:w="1669" w:type="pct"/>
            <w:gridSpan w:val="2"/>
            <w:tcBorders>
              <w:top w:val="single" w:color="auto" w:sz="6" w:space="0"/>
              <w:left w:val="single" w:color="auto" w:sz="6" w:space="0"/>
              <w:bottom w:val="single" w:color="auto" w:sz="6" w:space="0"/>
              <w:right w:val="single" w:color="auto" w:sz="6" w:space="0"/>
            </w:tcBorders>
            <w:vAlign w:val="center"/>
          </w:tcPr>
          <w:p w14:paraId="2BC1B39C">
            <w:pPr>
              <w:snapToGrid w:val="0"/>
              <w:rPr>
                <w:rFonts w:ascii="Arial" w:hAnsi="Arial" w:eastAsia="宋体" w:cs="Arial"/>
                <w:sz w:val="21"/>
                <w:szCs w:val="21"/>
              </w:rPr>
            </w:pPr>
            <w:r>
              <w:rPr>
                <w:rFonts w:ascii="Arial" w:hAnsi="Arial" w:eastAsia="宋体" w:cs="Arial"/>
                <w:sz w:val="21"/>
                <w:szCs w:val="21"/>
              </w:rPr>
              <w:t>呼吸系统防护中已经作防护</w:t>
            </w:r>
          </w:p>
        </w:tc>
      </w:tr>
      <w:tr w14:paraId="15FCD4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0" w:type="pct"/>
            <w:gridSpan w:val="3"/>
            <w:tcBorders>
              <w:top w:val="single" w:color="auto" w:sz="6" w:space="0"/>
              <w:left w:val="single" w:color="auto" w:sz="6" w:space="0"/>
              <w:bottom w:val="single" w:color="auto" w:sz="6" w:space="0"/>
              <w:right w:val="single" w:color="auto" w:sz="6" w:space="0"/>
            </w:tcBorders>
            <w:vAlign w:val="center"/>
          </w:tcPr>
          <w:p w14:paraId="3D39BD45">
            <w:pPr>
              <w:snapToGrid w:val="0"/>
              <w:rPr>
                <w:rFonts w:ascii="Arial" w:hAnsi="Arial" w:eastAsia="宋体" w:cs="Arial"/>
                <w:sz w:val="21"/>
                <w:szCs w:val="21"/>
              </w:rPr>
            </w:pPr>
            <w:r>
              <w:rPr>
                <w:rFonts w:ascii="Arial" w:hAnsi="Arial" w:eastAsia="宋体" w:cs="Arial"/>
                <w:sz w:val="21"/>
                <w:szCs w:val="21"/>
              </w:rPr>
              <w:t>其他</w:t>
            </w:r>
          </w:p>
        </w:tc>
        <w:tc>
          <w:tcPr>
            <w:tcW w:w="4120" w:type="pct"/>
            <w:gridSpan w:val="13"/>
            <w:tcBorders>
              <w:top w:val="single" w:color="auto" w:sz="6" w:space="0"/>
              <w:left w:val="single" w:color="auto" w:sz="6" w:space="0"/>
              <w:bottom w:val="single" w:color="auto" w:sz="6" w:space="0"/>
              <w:right w:val="single" w:color="auto" w:sz="6" w:space="0"/>
            </w:tcBorders>
            <w:vAlign w:val="center"/>
          </w:tcPr>
          <w:p w14:paraId="6B1EC1C7">
            <w:pPr>
              <w:snapToGrid w:val="0"/>
              <w:rPr>
                <w:rFonts w:ascii="Arial" w:hAnsi="Arial" w:eastAsia="宋体" w:cs="Arial"/>
                <w:sz w:val="21"/>
                <w:szCs w:val="21"/>
              </w:rPr>
            </w:pPr>
            <w:r>
              <w:rPr>
                <w:rFonts w:ascii="Arial" w:hAnsi="Arial" w:eastAsia="宋体" w:cs="Arial"/>
                <w:sz w:val="21"/>
                <w:szCs w:val="21"/>
              </w:rPr>
              <w:t>工作现场严禁吸烟、进食和饮水。工作毕，淋浴更衣。注意个人清洁卫生。</w:t>
            </w:r>
          </w:p>
        </w:tc>
      </w:tr>
    </w:tbl>
    <w:p w14:paraId="1F74BB3D">
      <w:pPr>
        <w:numPr>
          <w:ilvl w:val="0"/>
          <w:numId w:val="22"/>
        </w:numPr>
        <w:spacing w:line="500" w:lineRule="exact"/>
        <w:ind w:left="0" w:firstLine="0"/>
        <w:jc w:val="center"/>
        <w:outlineLvl w:val="4"/>
        <w:rPr>
          <w:rFonts w:ascii="Arial" w:hAnsi="Arial" w:eastAsia="宋体" w:cs="Arial"/>
          <w:b/>
          <w:bCs/>
          <w:spacing w:val="10"/>
          <w:sz w:val="24"/>
          <w:szCs w:val="22"/>
        </w:rPr>
      </w:pPr>
      <w:r>
        <w:rPr>
          <w:rFonts w:hint="eastAsia" w:ascii="Arial" w:hAnsi="Arial" w:eastAsia="宋体" w:cs="Arial"/>
          <w:b/>
          <w:bCs/>
          <w:spacing w:val="10"/>
          <w:sz w:val="24"/>
          <w:szCs w:val="22"/>
        </w:rPr>
        <w:t>钴</w:t>
      </w:r>
      <w:r>
        <w:rPr>
          <w:rFonts w:ascii="Arial" w:hAnsi="Arial" w:eastAsia="宋体" w:cs="Arial"/>
          <w:b/>
          <w:bCs/>
          <w:spacing w:val="10"/>
          <w:sz w:val="24"/>
          <w:szCs w:val="22"/>
        </w:rPr>
        <w:t>安全技术说明书</w:t>
      </w:r>
    </w:p>
    <w:tbl>
      <w:tblPr>
        <w:tblStyle w:val="88"/>
        <w:tblW w:w="89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1374"/>
        <w:gridCol w:w="9"/>
        <w:gridCol w:w="2302"/>
        <w:gridCol w:w="1861"/>
        <w:gridCol w:w="2262"/>
      </w:tblGrid>
      <w:tr w14:paraId="091C8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restart"/>
            <w:vAlign w:val="center"/>
          </w:tcPr>
          <w:p w14:paraId="5C3FDBD7">
            <w:pPr>
              <w:spacing w:line="240" w:lineRule="exact"/>
              <w:jc w:val="center"/>
              <w:rPr>
                <w:rFonts w:ascii="Arial" w:hAnsi="Arial" w:eastAsia="宋体" w:cs="Arial"/>
                <w:sz w:val="21"/>
                <w:szCs w:val="21"/>
              </w:rPr>
            </w:pPr>
            <w:r>
              <w:rPr>
                <w:rFonts w:ascii="Arial" w:hAnsi="Arial" w:eastAsia="宋体" w:cs="Arial"/>
                <w:sz w:val="21"/>
                <w:szCs w:val="21"/>
              </w:rPr>
              <w:t>标识</w:t>
            </w:r>
          </w:p>
        </w:tc>
        <w:tc>
          <w:tcPr>
            <w:tcW w:w="1383" w:type="dxa"/>
            <w:gridSpan w:val="2"/>
            <w:vAlign w:val="center"/>
          </w:tcPr>
          <w:p w14:paraId="18E1A84A">
            <w:pPr>
              <w:spacing w:line="240" w:lineRule="exact"/>
              <w:jc w:val="center"/>
              <w:rPr>
                <w:rFonts w:ascii="Arial" w:hAnsi="Arial" w:eastAsia="宋体" w:cs="Arial"/>
                <w:sz w:val="21"/>
                <w:szCs w:val="21"/>
              </w:rPr>
            </w:pPr>
            <w:r>
              <w:rPr>
                <w:rFonts w:ascii="Arial" w:hAnsi="Arial" w:eastAsia="宋体" w:cs="Arial"/>
                <w:sz w:val="21"/>
                <w:szCs w:val="21"/>
              </w:rPr>
              <w:t>中文名</w:t>
            </w:r>
          </w:p>
        </w:tc>
        <w:tc>
          <w:tcPr>
            <w:tcW w:w="2302" w:type="dxa"/>
            <w:vAlign w:val="center"/>
          </w:tcPr>
          <w:p w14:paraId="2401E8EA">
            <w:pPr>
              <w:spacing w:line="240" w:lineRule="exact"/>
              <w:jc w:val="center"/>
              <w:rPr>
                <w:rFonts w:ascii="Arial" w:hAnsi="Arial" w:eastAsia="宋体" w:cs="Arial"/>
                <w:sz w:val="21"/>
                <w:szCs w:val="21"/>
              </w:rPr>
            </w:pPr>
            <w:r>
              <w:rPr>
                <w:rFonts w:hint="eastAsia" w:ascii="Arial" w:hAnsi="Arial" w:eastAsia="宋体" w:cs="Arial"/>
                <w:sz w:val="21"/>
                <w:szCs w:val="21"/>
              </w:rPr>
              <w:t>钴</w:t>
            </w:r>
          </w:p>
        </w:tc>
        <w:tc>
          <w:tcPr>
            <w:tcW w:w="1861" w:type="dxa"/>
            <w:vAlign w:val="center"/>
          </w:tcPr>
          <w:p w14:paraId="78511E2A">
            <w:pPr>
              <w:spacing w:line="240" w:lineRule="exact"/>
              <w:jc w:val="center"/>
              <w:rPr>
                <w:rFonts w:ascii="Arial" w:hAnsi="Arial" w:eastAsia="宋体" w:cs="Arial"/>
                <w:sz w:val="21"/>
                <w:szCs w:val="21"/>
              </w:rPr>
            </w:pPr>
            <w:r>
              <w:rPr>
                <w:rFonts w:ascii="Arial" w:hAnsi="Arial" w:eastAsia="宋体" w:cs="Arial"/>
                <w:sz w:val="21"/>
                <w:szCs w:val="21"/>
              </w:rPr>
              <w:t>英文名</w:t>
            </w:r>
          </w:p>
        </w:tc>
        <w:tc>
          <w:tcPr>
            <w:tcW w:w="2262" w:type="dxa"/>
            <w:vAlign w:val="center"/>
          </w:tcPr>
          <w:p w14:paraId="5AFF2432">
            <w:pPr>
              <w:spacing w:line="240" w:lineRule="exact"/>
              <w:jc w:val="center"/>
              <w:rPr>
                <w:rFonts w:ascii="Arial" w:hAnsi="Arial" w:eastAsia="宋体" w:cs="Arial"/>
                <w:sz w:val="21"/>
                <w:szCs w:val="21"/>
              </w:rPr>
            </w:pPr>
            <w:r>
              <w:rPr>
                <w:rFonts w:hint="eastAsia" w:ascii="Arial" w:hAnsi="Arial" w:eastAsia="宋体" w:cs="Arial"/>
                <w:sz w:val="21"/>
                <w:szCs w:val="21"/>
              </w:rPr>
              <w:t>cobalt</w:t>
            </w:r>
          </w:p>
        </w:tc>
      </w:tr>
      <w:tr w14:paraId="4275A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2617099E">
            <w:pPr>
              <w:spacing w:line="240" w:lineRule="exact"/>
              <w:jc w:val="center"/>
              <w:rPr>
                <w:rFonts w:ascii="Arial" w:hAnsi="Arial" w:eastAsia="宋体" w:cs="Arial"/>
                <w:sz w:val="21"/>
                <w:szCs w:val="21"/>
              </w:rPr>
            </w:pPr>
          </w:p>
        </w:tc>
        <w:tc>
          <w:tcPr>
            <w:tcW w:w="1383" w:type="dxa"/>
            <w:gridSpan w:val="2"/>
            <w:vAlign w:val="center"/>
          </w:tcPr>
          <w:p w14:paraId="5CD8C2CC">
            <w:pPr>
              <w:spacing w:line="240" w:lineRule="exact"/>
              <w:jc w:val="center"/>
              <w:rPr>
                <w:rFonts w:ascii="Arial" w:hAnsi="Arial" w:eastAsia="宋体" w:cs="Arial"/>
                <w:sz w:val="21"/>
                <w:szCs w:val="21"/>
              </w:rPr>
            </w:pPr>
            <w:r>
              <w:rPr>
                <w:rFonts w:ascii="Arial" w:hAnsi="Arial" w:eastAsia="宋体" w:cs="Arial"/>
                <w:sz w:val="21"/>
                <w:szCs w:val="21"/>
              </w:rPr>
              <w:t>分子式</w:t>
            </w:r>
          </w:p>
        </w:tc>
        <w:tc>
          <w:tcPr>
            <w:tcW w:w="2302" w:type="dxa"/>
            <w:vAlign w:val="center"/>
          </w:tcPr>
          <w:p w14:paraId="02B5E222">
            <w:pPr>
              <w:spacing w:line="240" w:lineRule="exact"/>
              <w:jc w:val="center"/>
              <w:rPr>
                <w:rFonts w:ascii="Arial" w:hAnsi="Arial" w:eastAsia="宋体" w:cs="Arial"/>
                <w:sz w:val="21"/>
                <w:szCs w:val="21"/>
              </w:rPr>
            </w:pPr>
            <w:r>
              <w:rPr>
                <w:rFonts w:hint="eastAsia" w:ascii="Arial" w:hAnsi="Arial" w:eastAsia="宋体" w:cs="Arial"/>
                <w:sz w:val="21"/>
                <w:szCs w:val="21"/>
              </w:rPr>
              <w:t>Co</w:t>
            </w:r>
          </w:p>
        </w:tc>
        <w:tc>
          <w:tcPr>
            <w:tcW w:w="1861" w:type="dxa"/>
            <w:vAlign w:val="center"/>
          </w:tcPr>
          <w:p w14:paraId="16B0D38C">
            <w:pPr>
              <w:spacing w:line="240" w:lineRule="exact"/>
              <w:jc w:val="center"/>
              <w:rPr>
                <w:rFonts w:ascii="Arial" w:hAnsi="Arial" w:eastAsia="宋体" w:cs="Arial"/>
                <w:sz w:val="21"/>
                <w:szCs w:val="21"/>
              </w:rPr>
            </w:pPr>
            <w:r>
              <w:rPr>
                <w:rFonts w:ascii="Arial" w:hAnsi="Arial" w:eastAsia="宋体" w:cs="Arial"/>
                <w:sz w:val="21"/>
                <w:szCs w:val="21"/>
              </w:rPr>
              <w:t>UN编号</w:t>
            </w:r>
          </w:p>
        </w:tc>
        <w:tc>
          <w:tcPr>
            <w:tcW w:w="2262" w:type="dxa"/>
            <w:vAlign w:val="center"/>
          </w:tcPr>
          <w:p w14:paraId="18B0673F">
            <w:pPr>
              <w:spacing w:line="240" w:lineRule="exact"/>
              <w:jc w:val="center"/>
              <w:rPr>
                <w:rFonts w:ascii="Arial" w:hAnsi="Arial" w:eastAsia="宋体" w:cs="Arial"/>
                <w:sz w:val="21"/>
                <w:szCs w:val="21"/>
              </w:rPr>
            </w:pPr>
          </w:p>
        </w:tc>
      </w:tr>
      <w:tr w14:paraId="69419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37A15F90">
            <w:pPr>
              <w:spacing w:line="240" w:lineRule="exact"/>
              <w:jc w:val="center"/>
              <w:rPr>
                <w:rFonts w:ascii="Arial" w:hAnsi="Arial" w:eastAsia="宋体" w:cs="Arial"/>
                <w:sz w:val="21"/>
                <w:szCs w:val="21"/>
              </w:rPr>
            </w:pPr>
          </w:p>
        </w:tc>
        <w:tc>
          <w:tcPr>
            <w:tcW w:w="1383" w:type="dxa"/>
            <w:gridSpan w:val="2"/>
            <w:vAlign w:val="center"/>
          </w:tcPr>
          <w:p w14:paraId="44DBF32D">
            <w:pPr>
              <w:spacing w:line="240" w:lineRule="exact"/>
              <w:jc w:val="center"/>
              <w:rPr>
                <w:rFonts w:ascii="Arial" w:hAnsi="Arial" w:eastAsia="宋体" w:cs="Arial"/>
                <w:sz w:val="21"/>
                <w:szCs w:val="21"/>
              </w:rPr>
            </w:pPr>
            <w:r>
              <w:rPr>
                <w:rFonts w:ascii="Arial" w:hAnsi="Arial" w:eastAsia="宋体" w:cs="Arial"/>
                <w:sz w:val="21"/>
                <w:szCs w:val="21"/>
              </w:rPr>
              <w:t>分子量</w:t>
            </w:r>
          </w:p>
        </w:tc>
        <w:tc>
          <w:tcPr>
            <w:tcW w:w="2302" w:type="dxa"/>
            <w:vAlign w:val="center"/>
          </w:tcPr>
          <w:p w14:paraId="450CD359">
            <w:pPr>
              <w:spacing w:line="240" w:lineRule="exact"/>
              <w:jc w:val="center"/>
              <w:rPr>
                <w:rFonts w:ascii="Arial" w:hAnsi="Arial" w:eastAsia="宋体" w:cs="Arial"/>
                <w:sz w:val="21"/>
                <w:szCs w:val="21"/>
              </w:rPr>
            </w:pPr>
            <w:r>
              <w:rPr>
                <w:rFonts w:hint="eastAsia" w:ascii="Arial" w:hAnsi="Arial" w:eastAsia="宋体" w:cs="Arial"/>
                <w:sz w:val="21"/>
                <w:szCs w:val="21"/>
              </w:rPr>
              <w:t>58.933</w:t>
            </w:r>
          </w:p>
        </w:tc>
        <w:tc>
          <w:tcPr>
            <w:tcW w:w="1861" w:type="dxa"/>
            <w:vAlign w:val="center"/>
          </w:tcPr>
          <w:p w14:paraId="1814DA8C">
            <w:pPr>
              <w:spacing w:line="240" w:lineRule="exact"/>
              <w:jc w:val="center"/>
              <w:rPr>
                <w:rFonts w:ascii="Arial" w:hAnsi="Arial" w:eastAsia="宋体" w:cs="Arial"/>
                <w:sz w:val="21"/>
                <w:szCs w:val="21"/>
              </w:rPr>
            </w:pPr>
            <w:r>
              <w:rPr>
                <w:rFonts w:ascii="Arial" w:hAnsi="Arial" w:eastAsia="宋体" w:cs="Arial"/>
                <w:sz w:val="21"/>
                <w:szCs w:val="21"/>
              </w:rPr>
              <w:t>CAS号</w:t>
            </w:r>
          </w:p>
        </w:tc>
        <w:tc>
          <w:tcPr>
            <w:tcW w:w="2262" w:type="dxa"/>
            <w:vAlign w:val="center"/>
          </w:tcPr>
          <w:p w14:paraId="7310DED5">
            <w:pPr>
              <w:spacing w:line="240" w:lineRule="exact"/>
              <w:jc w:val="center"/>
              <w:rPr>
                <w:rFonts w:ascii="Arial" w:hAnsi="Arial" w:eastAsia="宋体" w:cs="Arial"/>
                <w:sz w:val="21"/>
                <w:szCs w:val="21"/>
              </w:rPr>
            </w:pPr>
            <w:r>
              <w:rPr>
                <w:rFonts w:hint="eastAsia" w:ascii="Arial" w:hAnsi="Arial" w:eastAsia="宋体" w:cs="Arial"/>
                <w:sz w:val="21"/>
                <w:szCs w:val="21"/>
              </w:rPr>
              <w:t>7440-48-4</w:t>
            </w:r>
          </w:p>
        </w:tc>
      </w:tr>
      <w:tr w14:paraId="12696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restart"/>
            <w:vAlign w:val="center"/>
          </w:tcPr>
          <w:p w14:paraId="145DE8BD">
            <w:pPr>
              <w:spacing w:line="240" w:lineRule="exact"/>
              <w:jc w:val="center"/>
              <w:rPr>
                <w:rFonts w:ascii="Arial" w:hAnsi="Arial" w:eastAsia="宋体" w:cs="Arial"/>
                <w:sz w:val="21"/>
                <w:szCs w:val="21"/>
              </w:rPr>
            </w:pPr>
            <w:r>
              <w:rPr>
                <w:rFonts w:ascii="Arial" w:hAnsi="Arial" w:eastAsia="宋体" w:cs="Arial"/>
                <w:sz w:val="21"/>
                <w:szCs w:val="21"/>
              </w:rPr>
              <w:t>理化性质</w:t>
            </w:r>
          </w:p>
        </w:tc>
        <w:tc>
          <w:tcPr>
            <w:tcW w:w="1383" w:type="dxa"/>
            <w:gridSpan w:val="2"/>
            <w:vAlign w:val="center"/>
          </w:tcPr>
          <w:p w14:paraId="71B648F7">
            <w:pPr>
              <w:spacing w:line="240" w:lineRule="exact"/>
              <w:jc w:val="center"/>
              <w:rPr>
                <w:rFonts w:ascii="Arial" w:hAnsi="Arial" w:eastAsia="宋体" w:cs="Arial"/>
                <w:sz w:val="21"/>
                <w:szCs w:val="21"/>
              </w:rPr>
            </w:pPr>
            <w:r>
              <w:rPr>
                <w:rFonts w:ascii="Arial" w:hAnsi="Arial" w:eastAsia="宋体" w:cs="Arial"/>
                <w:sz w:val="21"/>
                <w:szCs w:val="21"/>
              </w:rPr>
              <w:t>熔点(</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14:paraId="791A0F4F">
            <w:pPr>
              <w:spacing w:line="240" w:lineRule="exact"/>
              <w:jc w:val="center"/>
              <w:rPr>
                <w:rFonts w:ascii="Arial" w:hAnsi="Arial" w:eastAsia="宋体" w:cs="Arial"/>
                <w:sz w:val="21"/>
                <w:szCs w:val="21"/>
              </w:rPr>
            </w:pPr>
            <w:r>
              <w:rPr>
                <w:rFonts w:hint="eastAsia" w:ascii="Arial" w:hAnsi="Arial" w:eastAsia="宋体" w:cs="Arial"/>
                <w:sz w:val="21"/>
                <w:szCs w:val="21"/>
              </w:rPr>
              <w:t>1490</w:t>
            </w:r>
          </w:p>
        </w:tc>
        <w:tc>
          <w:tcPr>
            <w:tcW w:w="1861" w:type="dxa"/>
            <w:vAlign w:val="center"/>
          </w:tcPr>
          <w:p w14:paraId="77CA32F8">
            <w:pPr>
              <w:spacing w:line="240" w:lineRule="exact"/>
              <w:jc w:val="center"/>
              <w:rPr>
                <w:rFonts w:ascii="Arial" w:hAnsi="Arial" w:eastAsia="宋体" w:cs="Arial"/>
                <w:sz w:val="21"/>
                <w:szCs w:val="21"/>
              </w:rPr>
            </w:pPr>
            <w:r>
              <w:rPr>
                <w:rFonts w:ascii="Arial" w:hAnsi="Arial" w:eastAsia="宋体" w:cs="Arial"/>
                <w:sz w:val="21"/>
                <w:szCs w:val="21"/>
              </w:rPr>
              <w:t>相对密度(水=1)</w:t>
            </w:r>
          </w:p>
        </w:tc>
        <w:tc>
          <w:tcPr>
            <w:tcW w:w="2262" w:type="dxa"/>
            <w:vAlign w:val="center"/>
          </w:tcPr>
          <w:p w14:paraId="23125C3E">
            <w:pPr>
              <w:spacing w:line="240" w:lineRule="exact"/>
              <w:jc w:val="center"/>
              <w:rPr>
                <w:rFonts w:ascii="Arial" w:hAnsi="Arial" w:eastAsia="宋体" w:cs="Arial"/>
                <w:sz w:val="21"/>
                <w:szCs w:val="21"/>
              </w:rPr>
            </w:pPr>
            <w:r>
              <w:rPr>
                <w:rFonts w:hint="eastAsia" w:ascii="Arial" w:hAnsi="Arial" w:eastAsia="宋体" w:cs="Arial"/>
                <w:sz w:val="21"/>
                <w:szCs w:val="21"/>
              </w:rPr>
              <w:t>8.9</w:t>
            </w:r>
          </w:p>
        </w:tc>
      </w:tr>
      <w:tr w14:paraId="47533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715390D3">
            <w:pPr>
              <w:spacing w:line="240" w:lineRule="exact"/>
              <w:jc w:val="center"/>
              <w:rPr>
                <w:rFonts w:ascii="Arial" w:hAnsi="Arial" w:eastAsia="宋体" w:cs="Arial"/>
                <w:sz w:val="21"/>
                <w:szCs w:val="21"/>
              </w:rPr>
            </w:pPr>
          </w:p>
        </w:tc>
        <w:tc>
          <w:tcPr>
            <w:tcW w:w="1383" w:type="dxa"/>
            <w:gridSpan w:val="2"/>
            <w:vAlign w:val="center"/>
          </w:tcPr>
          <w:p w14:paraId="2DE7E078">
            <w:pPr>
              <w:spacing w:line="240" w:lineRule="exact"/>
              <w:jc w:val="center"/>
              <w:rPr>
                <w:rFonts w:ascii="Arial" w:hAnsi="Arial" w:eastAsia="宋体" w:cs="Arial"/>
                <w:sz w:val="21"/>
                <w:szCs w:val="21"/>
              </w:rPr>
            </w:pPr>
            <w:r>
              <w:rPr>
                <w:rFonts w:ascii="Arial" w:hAnsi="Arial" w:eastAsia="宋体" w:cs="Arial"/>
                <w:sz w:val="21"/>
                <w:szCs w:val="21"/>
              </w:rPr>
              <w:t>沸点(</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14:paraId="339B3223">
            <w:pPr>
              <w:spacing w:line="240" w:lineRule="exact"/>
              <w:jc w:val="center"/>
              <w:rPr>
                <w:rFonts w:ascii="Arial" w:hAnsi="Arial" w:eastAsia="宋体" w:cs="Arial"/>
                <w:sz w:val="21"/>
                <w:szCs w:val="21"/>
              </w:rPr>
            </w:pPr>
            <w:r>
              <w:rPr>
                <w:rFonts w:hint="eastAsia" w:ascii="Arial" w:hAnsi="Arial" w:eastAsia="宋体" w:cs="Arial"/>
                <w:sz w:val="21"/>
                <w:szCs w:val="21"/>
              </w:rPr>
              <w:t>3520</w:t>
            </w:r>
          </w:p>
        </w:tc>
        <w:tc>
          <w:tcPr>
            <w:tcW w:w="1861" w:type="dxa"/>
            <w:vAlign w:val="center"/>
          </w:tcPr>
          <w:p w14:paraId="63DF3AAF">
            <w:pPr>
              <w:spacing w:line="240" w:lineRule="exact"/>
              <w:jc w:val="center"/>
              <w:rPr>
                <w:rFonts w:ascii="Arial" w:hAnsi="Arial" w:eastAsia="宋体" w:cs="Arial"/>
                <w:sz w:val="21"/>
                <w:szCs w:val="21"/>
              </w:rPr>
            </w:pPr>
            <w:r>
              <w:rPr>
                <w:rFonts w:ascii="Arial" w:hAnsi="Arial" w:eastAsia="宋体" w:cs="Arial"/>
                <w:sz w:val="21"/>
                <w:szCs w:val="21"/>
              </w:rPr>
              <w:t>相对密度(空气=1)</w:t>
            </w:r>
          </w:p>
        </w:tc>
        <w:tc>
          <w:tcPr>
            <w:tcW w:w="2262" w:type="dxa"/>
            <w:vAlign w:val="center"/>
          </w:tcPr>
          <w:p w14:paraId="05DB40D7">
            <w:pPr>
              <w:spacing w:line="240" w:lineRule="exact"/>
              <w:jc w:val="center"/>
              <w:rPr>
                <w:rFonts w:ascii="Arial" w:hAnsi="Arial" w:eastAsia="宋体" w:cs="Arial"/>
                <w:sz w:val="21"/>
                <w:szCs w:val="21"/>
              </w:rPr>
            </w:pPr>
            <w:r>
              <w:rPr>
                <w:rFonts w:ascii="Arial" w:hAnsi="Arial" w:eastAsia="宋体" w:cs="Arial"/>
                <w:sz w:val="21"/>
                <w:szCs w:val="21"/>
              </w:rPr>
              <w:t>无资料</w:t>
            </w:r>
          </w:p>
        </w:tc>
      </w:tr>
      <w:tr w14:paraId="74DF2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5E459315">
            <w:pPr>
              <w:spacing w:line="240" w:lineRule="exact"/>
              <w:jc w:val="center"/>
              <w:rPr>
                <w:rFonts w:ascii="Arial" w:hAnsi="Arial" w:eastAsia="宋体" w:cs="Arial"/>
                <w:sz w:val="21"/>
                <w:szCs w:val="21"/>
              </w:rPr>
            </w:pPr>
          </w:p>
        </w:tc>
        <w:tc>
          <w:tcPr>
            <w:tcW w:w="1383" w:type="dxa"/>
            <w:gridSpan w:val="2"/>
            <w:vAlign w:val="center"/>
          </w:tcPr>
          <w:p w14:paraId="2E2870E2">
            <w:pPr>
              <w:spacing w:line="240" w:lineRule="exact"/>
              <w:jc w:val="center"/>
              <w:rPr>
                <w:rFonts w:ascii="Arial" w:hAnsi="Arial" w:eastAsia="宋体" w:cs="Arial"/>
                <w:sz w:val="21"/>
                <w:szCs w:val="21"/>
              </w:rPr>
            </w:pPr>
            <w:r>
              <w:rPr>
                <w:rFonts w:ascii="Arial" w:hAnsi="Arial" w:eastAsia="宋体" w:cs="Arial"/>
                <w:sz w:val="21"/>
                <w:szCs w:val="21"/>
              </w:rPr>
              <w:t>溶解性</w:t>
            </w:r>
          </w:p>
        </w:tc>
        <w:tc>
          <w:tcPr>
            <w:tcW w:w="2302" w:type="dxa"/>
            <w:vAlign w:val="center"/>
          </w:tcPr>
          <w:p w14:paraId="607F694A">
            <w:pPr>
              <w:spacing w:line="240" w:lineRule="exact"/>
              <w:jc w:val="center"/>
              <w:rPr>
                <w:rFonts w:ascii="Arial" w:hAnsi="Arial" w:eastAsia="宋体" w:cs="Arial"/>
                <w:sz w:val="21"/>
                <w:szCs w:val="21"/>
              </w:rPr>
            </w:pPr>
            <w:r>
              <w:rPr>
                <w:rFonts w:hint="eastAsia" w:ascii="Arial" w:hAnsi="Arial" w:eastAsia="宋体" w:cs="Arial"/>
                <w:sz w:val="21"/>
                <w:szCs w:val="21"/>
              </w:rPr>
              <w:t>能逐渐溶于稀盐酸和硫酸，易溶于硝酸</w:t>
            </w:r>
          </w:p>
        </w:tc>
        <w:tc>
          <w:tcPr>
            <w:tcW w:w="1861" w:type="dxa"/>
            <w:vAlign w:val="center"/>
          </w:tcPr>
          <w:p w14:paraId="12F717E6">
            <w:pPr>
              <w:spacing w:line="240" w:lineRule="exact"/>
              <w:jc w:val="center"/>
              <w:rPr>
                <w:rFonts w:ascii="Arial" w:hAnsi="Arial" w:eastAsia="宋体" w:cs="Arial"/>
                <w:sz w:val="21"/>
                <w:szCs w:val="21"/>
              </w:rPr>
            </w:pPr>
            <w:r>
              <w:rPr>
                <w:rFonts w:ascii="Arial" w:hAnsi="Arial" w:eastAsia="宋体" w:cs="Arial"/>
                <w:sz w:val="21"/>
                <w:szCs w:val="21"/>
              </w:rPr>
              <w:t>饱和蒸汽压(kPa)</w:t>
            </w:r>
          </w:p>
        </w:tc>
        <w:tc>
          <w:tcPr>
            <w:tcW w:w="2262" w:type="dxa"/>
            <w:vAlign w:val="center"/>
          </w:tcPr>
          <w:p w14:paraId="2C5C8821">
            <w:pPr>
              <w:spacing w:line="240" w:lineRule="exact"/>
              <w:jc w:val="center"/>
              <w:rPr>
                <w:rFonts w:ascii="Arial" w:hAnsi="Arial" w:eastAsia="宋体" w:cs="Arial"/>
                <w:sz w:val="21"/>
                <w:szCs w:val="21"/>
              </w:rPr>
            </w:pPr>
            <w:r>
              <w:rPr>
                <w:rFonts w:ascii="Arial" w:hAnsi="Arial" w:eastAsia="宋体" w:cs="Arial"/>
                <w:sz w:val="21"/>
                <w:szCs w:val="21"/>
              </w:rPr>
              <w:t>无资料</w:t>
            </w:r>
          </w:p>
        </w:tc>
      </w:tr>
      <w:tr w14:paraId="133B6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31194618">
            <w:pPr>
              <w:spacing w:line="240" w:lineRule="exact"/>
              <w:jc w:val="center"/>
              <w:rPr>
                <w:rFonts w:ascii="Arial" w:hAnsi="Arial" w:eastAsia="宋体" w:cs="Arial"/>
                <w:sz w:val="21"/>
                <w:szCs w:val="21"/>
              </w:rPr>
            </w:pPr>
          </w:p>
        </w:tc>
        <w:tc>
          <w:tcPr>
            <w:tcW w:w="1383" w:type="dxa"/>
            <w:gridSpan w:val="2"/>
            <w:vAlign w:val="center"/>
          </w:tcPr>
          <w:p w14:paraId="31A2DF83">
            <w:pPr>
              <w:spacing w:line="240" w:lineRule="exact"/>
              <w:jc w:val="center"/>
              <w:rPr>
                <w:rFonts w:ascii="Arial" w:hAnsi="Arial" w:eastAsia="宋体" w:cs="Arial"/>
                <w:sz w:val="21"/>
                <w:szCs w:val="21"/>
              </w:rPr>
            </w:pPr>
            <w:r>
              <w:rPr>
                <w:rFonts w:ascii="Arial" w:hAnsi="Arial" w:eastAsia="宋体" w:cs="Arial"/>
                <w:sz w:val="21"/>
                <w:szCs w:val="21"/>
              </w:rPr>
              <w:t>引燃温度(</w:t>
            </w:r>
            <w:r>
              <w:rPr>
                <w:rFonts w:hint="eastAsia" w:ascii="宋体" w:hAnsi="宋体" w:eastAsia="宋体" w:cs="宋体"/>
                <w:sz w:val="21"/>
                <w:szCs w:val="21"/>
              </w:rPr>
              <w:t>℃</w:t>
            </w:r>
            <w:r>
              <w:rPr>
                <w:rFonts w:ascii="Arial" w:hAnsi="Arial" w:eastAsia="宋体" w:cs="Arial"/>
                <w:sz w:val="21"/>
                <w:szCs w:val="21"/>
              </w:rPr>
              <w:t>)</w:t>
            </w:r>
          </w:p>
        </w:tc>
        <w:tc>
          <w:tcPr>
            <w:tcW w:w="2302" w:type="dxa"/>
            <w:vAlign w:val="center"/>
          </w:tcPr>
          <w:p w14:paraId="5065616E">
            <w:pPr>
              <w:spacing w:line="240" w:lineRule="exact"/>
              <w:jc w:val="center"/>
              <w:rPr>
                <w:rFonts w:ascii="Arial" w:hAnsi="Arial" w:eastAsia="宋体" w:cs="Arial"/>
                <w:sz w:val="21"/>
                <w:szCs w:val="21"/>
              </w:rPr>
            </w:pPr>
            <w:r>
              <w:rPr>
                <w:rFonts w:hint="eastAsia" w:ascii="Arial" w:hAnsi="Arial" w:eastAsia="宋体" w:cs="Arial"/>
                <w:sz w:val="21"/>
                <w:szCs w:val="21"/>
              </w:rPr>
              <w:t>/</w:t>
            </w:r>
          </w:p>
        </w:tc>
        <w:tc>
          <w:tcPr>
            <w:tcW w:w="1861" w:type="dxa"/>
            <w:vAlign w:val="center"/>
          </w:tcPr>
          <w:p w14:paraId="5C57A5AE">
            <w:pPr>
              <w:spacing w:line="240" w:lineRule="exact"/>
              <w:jc w:val="center"/>
              <w:rPr>
                <w:rFonts w:ascii="Arial" w:hAnsi="Arial" w:eastAsia="宋体" w:cs="Arial"/>
                <w:sz w:val="21"/>
                <w:szCs w:val="21"/>
              </w:rPr>
            </w:pPr>
            <w:r>
              <w:rPr>
                <w:rFonts w:ascii="Arial" w:hAnsi="Arial" w:eastAsia="宋体" w:cs="Arial"/>
                <w:sz w:val="21"/>
                <w:szCs w:val="21"/>
              </w:rPr>
              <w:t>闪点(</w:t>
            </w:r>
            <w:r>
              <w:rPr>
                <w:rFonts w:hint="eastAsia" w:ascii="宋体" w:hAnsi="宋体" w:eastAsia="宋体" w:cs="宋体"/>
                <w:sz w:val="21"/>
                <w:szCs w:val="21"/>
              </w:rPr>
              <w:t>℃</w:t>
            </w:r>
            <w:r>
              <w:rPr>
                <w:rFonts w:ascii="Arial" w:hAnsi="Arial" w:eastAsia="宋体" w:cs="Arial"/>
                <w:sz w:val="21"/>
                <w:szCs w:val="21"/>
              </w:rPr>
              <w:t>)</w:t>
            </w:r>
          </w:p>
        </w:tc>
        <w:tc>
          <w:tcPr>
            <w:tcW w:w="2262" w:type="dxa"/>
            <w:vAlign w:val="center"/>
          </w:tcPr>
          <w:p w14:paraId="297BF38E">
            <w:pPr>
              <w:spacing w:line="240" w:lineRule="exact"/>
              <w:jc w:val="center"/>
              <w:rPr>
                <w:rFonts w:ascii="Arial" w:hAnsi="Arial" w:eastAsia="宋体" w:cs="Arial"/>
                <w:sz w:val="21"/>
                <w:szCs w:val="21"/>
              </w:rPr>
            </w:pPr>
            <w:r>
              <w:rPr>
                <w:rFonts w:ascii="Arial" w:hAnsi="Arial" w:eastAsia="宋体" w:cs="Arial"/>
                <w:sz w:val="21"/>
                <w:szCs w:val="21"/>
              </w:rPr>
              <w:t>无资料</w:t>
            </w:r>
          </w:p>
        </w:tc>
      </w:tr>
      <w:tr w14:paraId="20951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68A934B3">
            <w:pPr>
              <w:spacing w:line="240" w:lineRule="exact"/>
              <w:jc w:val="center"/>
              <w:rPr>
                <w:rFonts w:ascii="Arial" w:hAnsi="Arial" w:eastAsia="宋体" w:cs="Arial"/>
                <w:sz w:val="21"/>
                <w:szCs w:val="21"/>
              </w:rPr>
            </w:pPr>
          </w:p>
        </w:tc>
        <w:tc>
          <w:tcPr>
            <w:tcW w:w="1383" w:type="dxa"/>
            <w:gridSpan w:val="2"/>
            <w:vAlign w:val="center"/>
          </w:tcPr>
          <w:p w14:paraId="3E57A40C">
            <w:pPr>
              <w:spacing w:line="240" w:lineRule="exact"/>
              <w:jc w:val="center"/>
              <w:rPr>
                <w:rFonts w:ascii="Arial" w:hAnsi="Arial" w:eastAsia="宋体" w:cs="Arial"/>
                <w:sz w:val="21"/>
                <w:szCs w:val="21"/>
              </w:rPr>
            </w:pPr>
            <w:r>
              <w:rPr>
                <w:rFonts w:ascii="Arial" w:hAnsi="Arial" w:eastAsia="宋体" w:cs="Arial"/>
                <w:sz w:val="21"/>
                <w:szCs w:val="21"/>
              </w:rPr>
              <w:t>性状</w:t>
            </w:r>
          </w:p>
        </w:tc>
        <w:tc>
          <w:tcPr>
            <w:tcW w:w="6425" w:type="dxa"/>
            <w:gridSpan w:val="3"/>
            <w:vAlign w:val="center"/>
          </w:tcPr>
          <w:p w14:paraId="433D4537">
            <w:pPr>
              <w:spacing w:line="240" w:lineRule="exact"/>
              <w:jc w:val="center"/>
              <w:rPr>
                <w:rFonts w:ascii="Arial" w:hAnsi="Arial" w:eastAsia="宋体" w:cs="Arial"/>
                <w:sz w:val="21"/>
                <w:szCs w:val="21"/>
              </w:rPr>
            </w:pPr>
            <w:r>
              <w:rPr>
                <w:rFonts w:ascii="Arial" w:hAnsi="Arial" w:eastAsia="宋体" w:cs="Arial"/>
                <w:sz w:val="21"/>
                <w:szCs w:val="21"/>
              </w:rPr>
              <w:t>银灰色</w:t>
            </w:r>
            <w:r>
              <w:rPr>
                <w:rFonts w:hint="eastAsia" w:ascii="Arial" w:hAnsi="Arial" w:eastAsia="宋体" w:cs="Arial"/>
                <w:sz w:val="21"/>
                <w:szCs w:val="21"/>
              </w:rPr>
              <w:t>金属，硬而有延展性</w:t>
            </w:r>
          </w:p>
        </w:tc>
      </w:tr>
      <w:tr w14:paraId="282AB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125AB3D9">
            <w:pPr>
              <w:spacing w:line="240" w:lineRule="exact"/>
              <w:jc w:val="center"/>
              <w:rPr>
                <w:rFonts w:ascii="Arial" w:hAnsi="Arial" w:eastAsia="宋体" w:cs="Arial"/>
                <w:sz w:val="21"/>
                <w:szCs w:val="21"/>
              </w:rPr>
            </w:pPr>
          </w:p>
        </w:tc>
        <w:tc>
          <w:tcPr>
            <w:tcW w:w="1383" w:type="dxa"/>
            <w:gridSpan w:val="2"/>
            <w:vAlign w:val="center"/>
          </w:tcPr>
          <w:p w14:paraId="3CB24467">
            <w:pPr>
              <w:spacing w:line="240" w:lineRule="exact"/>
              <w:jc w:val="center"/>
              <w:rPr>
                <w:rFonts w:ascii="Arial" w:hAnsi="Arial" w:eastAsia="宋体" w:cs="Arial"/>
                <w:sz w:val="21"/>
                <w:szCs w:val="21"/>
              </w:rPr>
            </w:pPr>
            <w:r>
              <w:rPr>
                <w:rFonts w:hint="eastAsia" w:ascii="Arial" w:hAnsi="Arial" w:eastAsia="宋体" w:cs="Arial"/>
                <w:sz w:val="21"/>
                <w:szCs w:val="21"/>
              </w:rPr>
              <w:t>化学性质</w:t>
            </w:r>
          </w:p>
        </w:tc>
        <w:tc>
          <w:tcPr>
            <w:tcW w:w="6425" w:type="dxa"/>
            <w:gridSpan w:val="3"/>
            <w:vAlign w:val="center"/>
          </w:tcPr>
          <w:p w14:paraId="1DF70294">
            <w:pPr>
              <w:spacing w:line="240" w:lineRule="exact"/>
              <w:jc w:val="center"/>
              <w:rPr>
                <w:rFonts w:ascii="Arial" w:hAnsi="Arial" w:eastAsia="宋体" w:cs="Arial"/>
                <w:sz w:val="21"/>
                <w:szCs w:val="21"/>
              </w:rPr>
            </w:pPr>
            <w:r>
              <w:rPr>
                <w:rFonts w:hint="eastAsia" w:ascii="Arial" w:hAnsi="Arial" w:eastAsia="宋体" w:cs="Arial"/>
                <w:sz w:val="21"/>
                <w:szCs w:val="21"/>
              </w:rPr>
              <w:t>高温下发生氧化作用。加热时，钴与氧、硫、氯、溴等发生剧烈反应，生产相应化合物。</w:t>
            </w:r>
          </w:p>
        </w:tc>
      </w:tr>
      <w:tr w14:paraId="76397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09807DEF">
            <w:pPr>
              <w:spacing w:line="240" w:lineRule="exact"/>
              <w:jc w:val="center"/>
              <w:rPr>
                <w:rFonts w:ascii="Arial" w:hAnsi="Arial" w:eastAsia="宋体" w:cs="Arial"/>
                <w:sz w:val="21"/>
                <w:szCs w:val="21"/>
              </w:rPr>
            </w:pPr>
          </w:p>
        </w:tc>
        <w:tc>
          <w:tcPr>
            <w:tcW w:w="1383" w:type="dxa"/>
            <w:gridSpan w:val="2"/>
            <w:vAlign w:val="center"/>
          </w:tcPr>
          <w:p w14:paraId="216BFC4A">
            <w:pPr>
              <w:spacing w:line="240" w:lineRule="exact"/>
              <w:jc w:val="center"/>
              <w:rPr>
                <w:rFonts w:ascii="Arial" w:hAnsi="Arial" w:eastAsia="宋体" w:cs="Arial"/>
                <w:sz w:val="21"/>
                <w:szCs w:val="21"/>
              </w:rPr>
            </w:pPr>
            <w:r>
              <w:rPr>
                <w:rFonts w:ascii="Arial" w:hAnsi="Arial" w:eastAsia="宋体" w:cs="Arial"/>
                <w:sz w:val="21"/>
                <w:szCs w:val="21"/>
              </w:rPr>
              <w:t>主要用途</w:t>
            </w:r>
          </w:p>
        </w:tc>
        <w:tc>
          <w:tcPr>
            <w:tcW w:w="6425" w:type="dxa"/>
            <w:gridSpan w:val="3"/>
            <w:vAlign w:val="center"/>
          </w:tcPr>
          <w:p w14:paraId="46BA5AC7">
            <w:pPr>
              <w:spacing w:line="240" w:lineRule="exact"/>
              <w:jc w:val="center"/>
              <w:rPr>
                <w:rFonts w:ascii="Arial" w:hAnsi="Arial" w:eastAsia="宋体" w:cs="Arial"/>
                <w:sz w:val="21"/>
                <w:szCs w:val="21"/>
              </w:rPr>
            </w:pPr>
            <w:r>
              <w:rPr>
                <w:rFonts w:hint="eastAsia" w:ascii="Arial" w:hAnsi="Arial" w:eastAsia="宋体" w:cs="Arial"/>
                <w:sz w:val="21"/>
                <w:szCs w:val="21"/>
              </w:rPr>
              <w:t>用于制超硬耐热合金和磁性合金、钴化合物、催化剂、电灯丝和瓷器釉料。钴60用于物体内部探测、医疗几示踪物等。</w:t>
            </w:r>
          </w:p>
        </w:tc>
      </w:tr>
      <w:tr w14:paraId="6D62E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restart"/>
            <w:vAlign w:val="center"/>
          </w:tcPr>
          <w:p w14:paraId="14C2AEA9">
            <w:pPr>
              <w:spacing w:line="240" w:lineRule="exact"/>
              <w:jc w:val="center"/>
              <w:rPr>
                <w:rFonts w:ascii="Arial" w:hAnsi="Arial" w:eastAsia="宋体" w:cs="Arial"/>
                <w:sz w:val="21"/>
                <w:szCs w:val="21"/>
              </w:rPr>
            </w:pPr>
            <w:r>
              <w:rPr>
                <w:rFonts w:ascii="Arial" w:hAnsi="Arial" w:eastAsia="宋体" w:cs="Arial"/>
                <w:sz w:val="21"/>
                <w:szCs w:val="21"/>
              </w:rPr>
              <w:t>危险性概述</w:t>
            </w:r>
          </w:p>
        </w:tc>
        <w:tc>
          <w:tcPr>
            <w:tcW w:w="1383" w:type="dxa"/>
            <w:gridSpan w:val="2"/>
            <w:vAlign w:val="center"/>
          </w:tcPr>
          <w:p w14:paraId="0BB3475D">
            <w:pPr>
              <w:spacing w:line="240" w:lineRule="exact"/>
              <w:jc w:val="center"/>
              <w:rPr>
                <w:rFonts w:ascii="Arial" w:hAnsi="Arial" w:eastAsia="宋体" w:cs="Arial"/>
                <w:sz w:val="21"/>
                <w:szCs w:val="21"/>
              </w:rPr>
            </w:pPr>
            <w:r>
              <w:rPr>
                <w:rFonts w:ascii="Arial" w:hAnsi="Arial" w:eastAsia="宋体" w:cs="Arial"/>
                <w:sz w:val="21"/>
                <w:szCs w:val="21"/>
              </w:rPr>
              <w:t>健康危害</w:t>
            </w:r>
          </w:p>
        </w:tc>
        <w:tc>
          <w:tcPr>
            <w:tcW w:w="6425" w:type="dxa"/>
            <w:gridSpan w:val="3"/>
            <w:vAlign w:val="center"/>
          </w:tcPr>
          <w:p w14:paraId="77C57693">
            <w:pPr>
              <w:spacing w:line="240" w:lineRule="exact"/>
              <w:jc w:val="center"/>
              <w:rPr>
                <w:rFonts w:ascii="Arial" w:hAnsi="Arial" w:eastAsia="宋体" w:cs="Arial"/>
                <w:sz w:val="21"/>
                <w:szCs w:val="21"/>
              </w:rPr>
            </w:pPr>
            <w:r>
              <w:rPr>
                <w:rFonts w:hint="eastAsia" w:ascii="Arial" w:hAnsi="Arial" w:eastAsia="宋体" w:cs="Arial"/>
                <w:sz w:val="21"/>
                <w:szCs w:val="21"/>
              </w:rPr>
              <w:t>钴尘可引起"硬质合金病"("硬金属病")，表现为过敏性哮喘,呼吸困难、干咳、偶有化学性肺炎(间质性肺炎)，肺水肿。脱离接触后症状缓解。CoO也可引起哮喘。钴对皮肤的影响主要为过敏性或刺激性皮炎。吸入醋酸钴粉尘可引起急性化学性胃炎症状,有恶心、呕吐、上腹部剧痛,后可有呕血及便血。</w:t>
            </w:r>
          </w:p>
        </w:tc>
      </w:tr>
      <w:tr w14:paraId="068FF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05C4806C">
            <w:pPr>
              <w:spacing w:line="240" w:lineRule="exact"/>
              <w:jc w:val="center"/>
              <w:rPr>
                <w:rFonts w:ascii="Arial" w:hAnsi="Arial" w:eastAsia="宋体" w:cs="Arial"/>
                <w:sz w:val="21"/>
                <w:szCs w:val="21"/>
              </w:rPr>
            </w:pPr>
          </w:p>
        </w:tc>
        <w:tc>
          <w:tcPr>
            <w:tcW w:w="1383" w:type="dxa"/>
            <w:gridSpan w:val="2"/>
            <w:vAlign w:val="center"/>
          </w:tcPr>
          <w:p w14:paraId="5E7F615C">
            <w:pPr>
              <w:spacing w:line="240" w:lineRule="exact"/>
              <w:jc w:val="center"/>
              <w:rPr>
                <w:rFonts w:ascii="Arial" w:hAnsi="Arial" w:eastAsia="宋体" w:cs="Arial"/>
                <w:sz w:val="21"/>
                <w:szCs w:val="21"/>
              </w:rPr>
            </w:pPr>
            <w:r>
              <w:rPr>
                <w:rFonts w:ascii="Arial" w:hAnsi="Arial" w:eastAsia="宋体" w:cs="Arial"/>
                <w:sz w:val="21"/>
                <w:szCs w:val="21"/>
              </w:rPr>
              <w:t>环境危害</w:t>
            </w:r>
          </w:p>
        </w:tc>
        <w:tc>
          <w:tcPr>
            <w:tcW w:w="6425" w:type="dxa"/>
            <w:gridSpan w:val="3"/>
            <w:vAlign w:val="center"/>
          </w:tcPr>
          <w:p w14:paraId="57C6F41E">
            <w:pPr>
              <w:spacing w:line="240" w:lineRule="exact"/>
              <w:jc w:val="center"/>
              <w:rPr>
                <w:rFonts w:ascii="Arial" w:hAnsi="Arial" w:eastAsia="宋体" w:cs="Arial"/>
                <w:sz w:val="21"/>
                <w:szCs w:val="21"/>
              </w:rPr>
            </w:pPr>
            <w:r>
              <w:rPr>
                <w:rFonts w:hint="eastAsia" w:ascii="Arial" w:hAnsi="Arial" w:eastAsia="宋体" w:cs="Arial"/>
                <w:sz w:val="21"/>
                <w:szCs w:val="21"/>
              </w:rPr>
              <w:t>/</w:t>
            </w:r>
          </w:p>
        </w:tc>
      </w:tr>
      <w:tr w14:paraId="0F900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Merge w:val="continue"/>
            <w:vAlign w:val="center"/>
          </w:tcPr>
          <w:p w14:paraId="5C6CB581">
            <w:pPr>
              <w:spacing w:line="240" w:lineRule="exact"/>
              <w:jc w:val="center"/>
              <w:rPr>
                <w:rFonts w:ascii="Arial" w:hAnsi="Arial" w:eastAsia="宋体" w:cs="Arial"/>
                <w:sz w:val="21"/>
                <w:szCs w:val="21"/>
              </w:rPr>
            </w:pPr>
          </w:p>
        </w:tc>
        <w:tc>
          <w:tcPr>
            <w:tcW w:w="1383" w:type="dxa"/>
            <w:gridSpan w:val="2"/>
            <w:vAlign w:val="center"/>
          </w:tcPr>
          <w:p w14:paraId="517BFAA4">
            <w:pPr>
              <w:spacing w:line="240" w:lineRule="exact"/>
              <w:jc w:val="center"/>
              <w:rPr>
                <w:rFonts w:ascii="Arial" w:hAnsi="Arial" w:eastAsia="宋体" w:cs="Arial"/>
                <w:sz w:val="21"/>
                <w:szCs w:val="21"/>
              </w:rPr>
            </w:pPr>
            <w:r>
              <w:rPr>
                <w:rFonts w:ascii="Arial" w:hAnsi="Arial" w:eastAsia="宋体" w:cs="Arial"/>
                <w:sz w:val="21"/>
                <w:szCs w:val="21"/>
              </w:rPr>
              <w:t>燃爆危险</w:t>
            </w:r>
          </w:p>
        </w:tc>
        <w:tc>
          <w:tcPr>
            <w:tcW w:w="6425" w:type="dxa"/>
            <w:gridSpan w:val="3"/>
            <w:vAlign w:val="center"/>
          </w:tcPr>
          <w:p w14:paraId="1C4B4B2F">
            <w:pPr>
              <w:spacing w:line="240" w:lineRule="exact"/>
              <w:jc w:val="center"/>
              <w:rPr>
                <w:rFonts w:ascii="Arial" w:hAnsi="Arial" w:eastAsia="宋体" w:cs="Arial"/>
                <w:sz w:val="21"/>
                <w:szCs w:val="21"/>
              </w:rPr>
            </w:pPr>
            <w:r>
              <w:rPr>
                <w:rFonts w:hint="eastAsia" w:ascii="Arial" w:hAnsi="Arial" w:eastAsia="宋体" w:cs="Arial"/>
                <w:sz w:val="21"/>
                <w:szCs w:val="21"/>
              </w:rPr>
              <w:t>/</w:t>
            </w:r>
          </w:p>
        </w:tc>
      </w:tr>
      <w:tr w14:paraId="7E094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Align w:val="center"/>
          </w:tcPr>
          <w:p w14:paraId="23BF47B9">
            <w:pPr>
              <w:spacing w:line="240" w:lineRule="exact"/>
              <w:jc w:val="center"/>
              <w:rPr>
                <w:rFonts w:ascii="Arial" w:hAnsi="Arial" w:eastAsia="宋体" w:cs="Arial"/>
                <w:sz w:val="21"/>
                <w:szCs w:val="21"/>
              </w:rPr>
            </w:pPr>
            <w:r>
              <w:rPr>
                <w:rFonts w:ascii="Arial" w:hAnsi="Arial" w:eastAsia="宋体" w:cs="Arial"/>
                <w:sz w:val="21"/>
                <w:szCs w:val="21"/>
              </w:rPr>
              <w:t>急救措施</w:t>
            </w:r>
          </w:p>
        </w:tc>
        <w:tc>
          <w:tcPr>
            <w:tcW w:w="1383" w:type="dxa"/>
            <w:gridSpan w:val="2"/>
            <w:vAlign w:val="center"/>
          </w:tcPr>
          <w:p w14:paraId="7C2F4085">
            <w:pPr>
              <w:spacing w:line="240" w:lineRule="exact"/>
              <w:jc w:val="center"/>
              <w:rPr>
                <w:rFonts w:ascii="Arial" w:hAnsi="Arial" w:eastAsia="宋体" w:cs="Arial"/>
                <w:sz w:val="21"/>
                <w:szCs w:val="21"/>
              </w:rPr>
            </w:pPr>
            <w:r>
              <w:rPr>
                <w:rFonts w:ascii="Arial" w:hAnsi="Arial" w:eastAsia="宋体" w:cs="Arial"/>
                <w:sz w:val="21"/>
                <w:szCs w:val="21"/>
              </w:rPr>
              <w:t>食入</w:t>
            </w:r>
          </w:p>
        </w:tc>
        <w:tc>
          <w:tcPr>
            <w:tcW w:w="6425" w:type="dxa"/>
            <w:gridSpan w:val="3"/>
            <w:vAlign w:val="center"/>
          </w:tcPr>
          <w:p w14:paraId="3BCB36FC">
            <w:pPr>
              <w:spacing w:line="240" w:lineRule="exact"/>
              <w:jc w:val="center"/>
              <w:rPr>
                <w:rFonts w:ascii="Arial" w:hAnsi="Arial" w:eastAsia="宋体" w:cs="Arial"/>
                <w:sz w:val="21"/>
                <w:szCs w:val="21"/>
              </w:rPr>
            </w:pPr>
            <w:r>
              <w:rPr>
                <w:rFonts w:hint="eastAsia" w:ascii="Arial" w:hAnsi="Arial" w:eastAsia="宋体" w:cs="Arial"/>
                <w:sz w:val="21"/>
                <w:szCs w:val="21"/>
              </w:rPr>
              <w:t>误服钴盐，应洗胃；溶液溅入眼，用清水或生理盐水冲洗至少15分钟。</w:t>
            </w:r>
          </w:p>
        </w:tc>
      </w:tr>
      <w:tr w14:paraId="29119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Align w:val="center"/>
          </w:tcPr>
          <w:p w14:paraId="450401F2">
            <w:pPr>
              <w:spacing w:line="240" w:lineRule="exact"/>
              <w:jc w:val="center"/>
              <w:rPr>
                <w:rFonts w:ascii="Arial" w:hAnsi="Arial" w:eastAsia="宋体" w:cs="Arial"/>
                <w:sz w:val="21"/>
                <w:szCs w:val="21"/>
                <w:highlight w:val="yellow"/>
              </w:rPr>
            </w:pPr>
            <w:r>
              <w:rPr>
                <w:rFonts w:hint="eastAsia" w:ascii="Arial" w:hAnsi="Arial" w:eastAsia="宋体" w:cs="Arial"/>
                <w:sz w:val="21"/>
                <w:szCs w:val="21"/>
              </w:rPr>
              <w:t>储存运输</w:t>
            </w:r>
          </w:p>
        </w:tc>
        <w:tc>
          <w:tcPr>
            <w:tcW w:w="7808" w:type="dxa"/>
            <w:gridSpan w:val="5"/>
            <w:vAlign w:val="center"/>
          </w:tcPr>
          <w:p w14:paraId="45CB7343">
            <w:pPr>
              <w:spacing w:line="240" w:lineRule="exact"/>
              <w:jc w:val="center"/>
              <w:rPr>
                <w:rFonts w:ascii="Arial" w:hAnsi="Arial" w:eastAsia="宋体" w:cs="Arial"/>
                <w:sz w:val="21"/>
                <w:szCs w:val="21"/>
                <w:highlight w:val="yellow"/>
              </w:rPr>
            </w:pPr>
            <w:r>
              <w:rPr>
                <w:rFonts w:hint="eastAsia" w:ascii="Arial" w:hAnsi="Arial" w:eastAsia="宋体" w:cs="Arial"/>
                <w:sz w:val="21"/>
                <w:szCs w:val="21"/>
              </w:rPr>
              <w:t>应按照(GB13690-1992)易燃易爆危险品规定办理，夏季应早晚运输，防止阳光</w:t>
            </w:r>
            <w:r>
              <w:rPr>
                <w:rFonts w:hint="eastAsia" w:ascii="Arial" w:hAnsi="Arial" w:eastAsia="宋体" w:cs="Arial"/>
                <w:sz w:val="21"/>
                <w:szCs w:val="21"/>
                <w:lang w:eastAsia="zh-CN"/>
              </w:rPr>
              <w:t>暴晒</w:t>
            </w:r>
            <w:r>
              <w:rPr>
                <w:rFonts w:hint="eastAsia" w:ascii="Arial" w:hAnsi="Arial" w:eastAsia="宋体" w:cs="Arial"/>
                <w:sz w:val="21"/>
                <w:szCs w:val="21"/>
              </w:rPr>
              <w:t>，搬运中不得过度撞击、震荡、不得与固化剂同车运输。储存过程中必须干燥、通风、隔热、无阳光直射、温度应在25℃以下。产品包装桶堆放最好不多于两层，盖紧桶盖。</w:t>
            </w:r>
          </w:p>
        </w:tc>
      </w:tr>
      <w:tr w14:paraId="4E98C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vAlign w:val="center"/>
          </w:tcPr>
          <w:p w14:paraId="23B60E58">
            <w:pPr>
              <w:spacing w:line="240" w:lineRule="exact"/>
              <w:jc w:val="center"/>
              <w:rPr>
                <w:rFonts w:ascii="Arial" w:hAnsi="Arial" w:eastAsia="宋体" w:cs="Arial"/>
                <w:sz w:val="21"/>
                <w:szCs w:val="21"/>
              </w:rPr>
            </w:pPr>
            <w:r>
              <w:rPr>
                <w:rFonts w:ascii="Arial" w:hAnsi="Arial" w:eastAsia="宋体" w:cs="Arial"/>
                <w:sz w:val="21"/>
                <w:szCs w:val="21"/>
              </w:rPr>
              <w:t>毒理学</w:t>
            </w:r>
          </w:p>
        </w:tc>
        <w:tc>
          <w:tcPr>
            <w:tcW w:w="1374" w:type="dxa"/>
            <w:vAlign w:val="center"/>
          </w:tcPr>
          <w:p w14:paraId="1A511518">
            <w:pPr>
              <w:spacing w:line="240" w:lineRule="exact"/>
              <w:jc w:val="center"/>
              <w:rPr>
                <w:rFonts w:ascii="Arial" w:hAnsi="Arial" w:eastAsia="宋体" w:cs="Arial"/>
                <w:sz w:val="21"/>
                <w:szCs w:val="21"/>
              </w:rPr>
            </w:pPr>
            <w:r>
              <w:rPr>
                <w:rFonts w:ascii="Arial" w:hAnsi="Arial" w:eastAsia="宋体" w:cs="Arial"/>
                <w:sz w:val="21"/>
                <w:szCs w:val="21"/>
              </w:rPr>
              <w:t>急性毒性</w:t>
            </w:r>
          </w:p>
        </w:tc>
        <w:tc>
          <w:tcPr>
            <w:tcW w:w="6434" w:type="dxa"/>
            <w:gridSpan w:val="4"/>
            <w:vAlign w:val="center"/>
          </w:tcPr>
          <w:p w14:paraId="33A30C5E">
            <w:pPr>
              <w:spacing w:line="240" w:lineRule="exact"/>
              <w:jc w:val="center"/>
              <w:rPr>
                <w:rFonts w:ascii="Arial" w:hAnsi="Arial" w:eastAsia="宋体" w:cs="Arial"/>
                <w:sz w:val="21"/>
                <w:szCs w:val="21"/>
              </w:rPr>
            </w:pPr>
            <w:r>
              <w:rPr>
                <w:rFonts w:ascii="Arial" w:hAnsi="Arial" w:eastAsia="宋体" w:cs="Arial"/>
                <w:sz w:val="21"/>
                <w:szCs w:val="21"/>
              </w:rPr>
              <w:t>LD</w:t>
            </w:r>
            <w:r>
              <w:rPr>
                <w:rFonts w:ascii="Arial" w:hAnsi="Arial" w:eastAsia="宋体" w:cs="Arial"/>
                <w:sz w:val="21"/>
                <w:szCs w:val="21"/>
                <w:vertAlign w:val="subscript"/>
              </w:rPr>
              <w:t>50</w:t>
            </w:r>
            <w:r>
              <w:rPr>
                <w:rFonts w:ascii="Arial" w:hAnsi="Arial" w:eastAsia="宋体" w:cs="Arial"/>
                <w:sz w:val="21"/>
                <w:szCs w:val="21"/>
              </w:rPr>
              <w:t>：</w:t>
            </w:r>
            <w:r>
              <w:rPr>
                <w:rFonts w:hint="eastAsia" w:ascii="Arial" w:hAnsi="Arial" w:eastAsia="宋体" w:cs="Arial"/>
                <w:sz w:val="21"/>
                <w:szCs w:val="21"/>
              </w:rPr>
              <w:t>无资料</w:t>
            </w:r>
            <w:r>
              <w:rPr>
                <w:rFonts w:ascii="Arial" w:hAnsi="Arial" w:eastAsia="宋体" w:cs="Arial"/>
                <w:sz w:val="21"/>
                <w:szCs w:val="21"/>
              </w:rPr>
              <w:t>；LC</w:t>
            </w:r>
            <w:r>
              <w:rPr>
                <w:rFonts w:ascii="Arial" w:hAnsi="Arial" w:eastAsia="宋体" w:cs="Arial"/>
                <w:sz w:val="21"/>
                <w:szCs w:val="21"/>
                <w:vertAlign w:val="subscript"/>
              </w:rPr>
              <w:t>50</w:t>
            </w:r>
            <w:r>
              <w:rPr>
                <w:rFonts w:ascii="Arial" w:hAnsi="Arial" w:eastAsia="宋体" w:cs="Arial"/>
                <w:sz w:val="21"/>
                <w:szCs w:val="21"/>
              </w:rPr>
              <w:t>：无资料</w:t>
            </w:r>
            <w:r>
              <w:rPr>
                <w:rFonts w:hint="eastAsia" w:ascii="Arial" w:hAnsi="Arial" w:eastAsia="宋体" w:cs="Arial"/>
                <w:sz w:val="21"/>
                <w:szCs w:val="21"/>
              </w:rPr>
              <w:t>；</w:t>
            </w:r>
          </w:p>
          <w:p w14:paraId="111E330A">
            <w:pPr>
              <w:spacing w:line="240" w:lineRule="exact"/>
              <w:jc w:val="center"/>
              <w:rPr>
                <w:rFonts w:ascii="Arial" w:hAnsi="Arial" w:eastAsia="宋体" w:cs="Arial"/>
                <w:sz w:val="21"/>
                <w:szCs w:val="21"/>
              </w:rPr>
            </w:pPr>
            <w:r>
              <w:rPr>
                <w:rFonts w:hint="eastAsia" w:ascii="Arial" w:hAnsi="Arial" w:eastAsia="宋体" w:cs="Arial"/>
                <w:sz w:val="21"/>
                <w:szCs w:val="21"/>
              </w:rPr>
              <w:t>经常注射钴制剂或暴露于过量的原始钴环境中，可引起钴中毒。儿童对钴的毒性敏感，应避免使用每千克体重超过1mg的剂量。</w:t>
            </w:r>
          </w:p>
        </w:tc>
      </w:tr>
    </w:tbl>
    <w:p w14:paraId="55E341ED">
      <w:pPr>
        <w:numPr>
          <w:ilvl w:val="0"/>
          <w:numId w:val="30"/>
        </w:numPr>
        <w:spacing w:line="500" w:lineRule="exact"/>
        <w:jc w:val="left"/>
        <w:outlineLvl w:val="3"/>
        <w:rPr>
          <w:rFonts w:ascii="Arial" w:hAnsi="Arial" w:eastAsia="宋体" w:cs="Arial"/>
          <w:b/>
          <w:bCs/>
          <w:spacing w:val="10"/>
          <w:sz w:val="24"/>
          <w:szCs w:val="22"/>
        </w:rPr>
      </w:pPr>
      <w:r>
        <w:rPr>
          <w:rFonts w:ascii="Arial" w:hAnsi="Arial" w:eastAsia="宋体" w:cs="Arial"/>
          <w:b/>
          <w:bCs/>
          <w:spacing w:val="10"/>
          <w:sz w:val="24"/>
          <w:szCs w:val="22"/>
        </w:rPr>
        <w:t>环境敏感目标调查</w:t>
      </w:r>
    </w:p>
    <w:p w14:paraId="0A650C06">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项目周边敏感目标调查情况见表4-</w:t>
      </w:r>
      <w:r>
        <w:rPr>
          <w:rFonts w:hint="eastAsia" w:ascii="Arial" w:hAnsi="Arial" w:eastAsia="宋体" w:cs="Arial"/>
          <w:spacing w:val="10"/>
          <w:sz w:val="24"/>
          <w:szCs w:val="24"/>
        </w:rPr>
        <w:t>41</w:t>
      </w:r>
      <w:r>
        <w:rPr>
          <w:rFonts w:ascii="Arial" w:hAnsi="Arial" w:eastAsia="宋体" w:cs="Arial"/>
          <w:spacing w:val="10"/>
          <w:sz w:val="24"/>
          <w:szCs w:val="24"/>
        </w:rPr>
        <w:t>。</w:t>
      </w:r>
    </w:p>
    <w:p w14:paraId="618AFD5F">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建设项目环境敏感特征表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687"/>
        <w:gridCol w:w="1865"/>
        <w:gridCol w:w="606"/>
        <w:gridCol w:w="1070"/>
        <w:gridCol w:w="221"/>
        <w:gridCol w:w="1293"/>
        <w:gridCol w:w="1385"/>
        <w:gridCol w:w="1192"/>
      </w:tblGrid>
      <w:tr w14:paraId="7AFB8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tcBorders>
              <w:top w:val="single" w:color="auto" w:sz="4" w:space="0"/>
              <w:left w:val="single" w:color="auto" w:sz="4" w:space="0"/>
              <w:bottom w:val="single" w:color="auto" w:sz="4" w:space="0"/>
              <w:right w:val="single" w:color="auto" w:sz="4" w:space="0"/>
            </w:tcBorders>
            <w:vAlign w:val="center"/>
          </w:tcPr>
          <w:p w14:paraId="2C271262">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类别</w:t>
            </w:r>
          </w:p>
        </w:tc>
        <w:tc>
          <w:tcPr>
            <w:tcW w:w="4625" w:type="pct"/>
            <w:gridSpan w:val="8"/>
            <w:tcBorders>
              <w:top w:val="single" w:color="auto" w:sz="4" w:space="0"/>
              <w:left w:val="single" w:color="auto" w:sz="4" w:space="0"/>
              <w:bottom w:val="single" w:color="auto" w:sz="4" w:space="0"/>
              <w:right w:val="single" w:color="auto" w:sz="4" w:space="0"/>
            </w:tcBorders>
            <w:vAlign w:val="center"/>
          </w:tcPr>
          <w:p w14:paraId="71F91084">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环境敏感特征</w:t>
            </w:r>
          </w:p>
        </w:tc>
      </w:tr>
      <w:tr w14:paraId="0DE81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restart"/>
            <w:tcBorders>
              <w:top w:val="single" w:color="auto" w:sz="4" w:space="0"/>
              <w:left w:val="single" w:color="auto" w:sz="4" w:space="0"/>
              <w:bottom w:val="single" w:color="auto" w:sz="4" w:space="0"/>
              <w:right w:val="single" w:color="auto" w:sz="4" w:space="0"/>
            </w:tcBorders>
            <w:vAlign w:val="center"/>
          </w:tcPr>
          <w:p w14:paraId="1F541BF0">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环境空气</w:t>
            </w:r>
          </w:p>
        </w:tc>
        <w:tc>
          <w:tcPr>
            <w:tcW w:w="4625" w:type="pct"/>
            <w:gridSpan w:val="8"/>
            <w:tcBorders>
              <w:top w:val="single" w:color="auto" w:sz="4" w:space="0"/>
              <w:left w:val="single" w:color="auto" w:sz="4" w:space="0"/>
              <w:bottom w:val="single" w:color="auto" w:sz="4" w:space="0"/>
              <w:right w:val="single" w:color="auto" w:sz="4" w:space="0"/>
            </w:tcBorders>
            <w:vAlign w:val="center"/>
          </w:tcPr>
          <w:p w14:paraId="78C08CD7">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厂区周边5km范围内</w:t>
            </w:r>
          </w:p>
        </w:tc>
      </w:tr>
      <w:tr w14:paraId="32108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1D067983">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1C705F93">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序号</w:t>
            </w:r>
          </w:p>
        </w:tc>
        <w:tc>
          <w:tcPr>
            <w:tcW w:w="1374" w:type="pct"/>
            <w:gridSpan w:val="2"/>
            <w:tcBorders>
              <w:top w:val="single" w:color="auto" w:sz="4" w:space="0"/>
              <w:left w:val="single" w:color="auto" w:sz="4" w:space="0"/>
              <w:bottom w:val="single" w:color="auto" w:sz="4" w:space="0"/>
              <w:right w:val="single" w:color="auto" w:sz="4" w:space="0"/>
            </w:tcBorders>
            <w:vAlign w:val="center"/>
          </w:tcPr>
          <w:p w14:paraId="1E0F3ABC">
            <w:pPr>
              <w:widowControl/>
              <w:adjustRightInd w:val="0"/>
              <w:snapToGrid w:val="0"/>
              <w:jc w:val="center"/>
              <w:textAlignment w:val="center"/>
              <w:rPr>
                <w:rFonts w:ascii="Arial" w:hAnsi="Arial" w:eastAsia="宋体" w:cs="Arial"/>
                <w:sz w:val="21"/>
                <w:szCs w:val="21"/>
              </w:rPr>
            </w:pPr>
            <w:r>
              <w:rPr>
                <w:rFonts w:ascii="Arial" w:hAnsi="Arial" w:eastAsia="宋体" w:cs="Arial"/>
                <w:kern w:val="0"/>
                <w:sz w:val="21"/>
                <w:szCs w:val="21"/>
                <w:lang w:bidi="ar"/>
              </w:rPr>
              <w:t>名称</w:t>
            </w:r>
          </w:p>
        </w:tc>
        <w:tc>
          <w:tcPr>
            <w:tcW w:w="595" w:type="pct"/>
            <w:tcBorders>
              <w:top w:val="single" w:color="auto" w:sz="4" w:space="0"/>
              <w:left w:val="single" w:color="auto" w:sz="4" w:space="0"/>
              <w:bottom w:val="single" w:color="auto" w:sz="4" w:space="0"/>
              <w:right w:val="single" w:color="auto" w:sz="4" w:space="0"/>
            </w:tcBorders>
            <w:vAlign w:val="center"/>
          </w:tcPr>
          <w:p w14:paraId="494CF7D7">
            <w:pPr>
              <w:widowControl/>
              <w:adjustRightInd w:val="0"/>
              <w:snapToGrid w:val="0"/>
              <w:jc w:val="center"/>
              <w:textAlignment w:val="center"/>
              <w:rPr>
                <w:rFonts w:ascii="Arial" w:hAnsi="Arial" w:eastAsia="宋体" w:cs="Arial"/>
                <w:sz w:val="21"/>
                <w:szCs w:val="21"/>
              </w:rPr>
            </w:pPr>
            <w:r>
              <w:rPr>
                <w:rFonts w:ascii="Arial" w:hAnsi="Arial" w:eastAsia="宋体" w:cs="Arial"/>
                <w:kern w:val="0"/>
                <w:sz w:val="21"/>
                <w:szCs w:val="21"/>
                <w:lang w:bidi="ar"/>
              </w:rPr>
              <w:t>相对厂址方位</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28CCE021">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离厂界最近距离（m）</w:t>
            </w:r>
          </w:p>
        </w:tc>
        <w:tc>
          <w:tcPr>
            <w:tcW w:w="770" w:type="pct"/>
            <w:tcBorders>
              <w:top w:val="single" w:color="auto" w:sz="4" w:space="0"/>
              <w:left w:val="single" w:color="auto" w:sz="4" w:space="0"/>
              <w:bottom w:val="single" w:color="auto" w:sz="4" w:space="0"/>
              <w:right w:val="single" w:color="auto" w:sz="4" w:space="0"/>
            </w:tcBorders>
            <w:vAlign w:val="center"/>
          </w:tcPr>
          <w:p w14:paraId="56BF107A">
            <w:pPr>
              <w:widowControl/>
              <w:adjustRightInd w:val="0"/>
              <w:snapToGrid w:val="0"/>
              <w:jc w:val="center"/>
              <w:textAlignment w:val="center"/>
              <w:rPr>
                <w:rFonts w:ascii="Arial" w:hAnsi="Arial" w:eastAsia="宋体" w:cs="Arial"/>
                <w:kern w:val="0"/>
                <w:sz w:val="21"/>
                <w:szCs w:val="21"/>
                <w:lang w:bidi="ar"/>
              </w:rPr>
            </w:pPr>
            <w:r>
              <w:rPr>
                <w:rFonts w:ascii="Arial" w:hAnsi="Arial" w:eastAsia="宋体" w:cs="Arial"/>
                <w:kern w:val="0"/>
                <w:sz w:val="21"/>
                <w:szCs w:val="21"/>
                <w:lang w:bidi="ar"/>
              </w:rPr>
              <w:t>属性</w:t>
            </w:r>
          </w:p>
        </w:tc>
        <w:tc>
          <w:tcPr>
            <w:tcW w:w="662" w:type="pct"/>
            <w:tcBorders>
              <w:top w:val="single" w:color="auto" w:sz="4" w:space="0"/>
              <w:left w:val="single" w:color="auto" w:sz="4" w:space="0"/>
              <w:bottom w:val="single" w:color="auto" w:sz="4" w:space="0"/>
              <w:right w:val="single" w:color="auto" w:sz="4" w:space="0"/>
            </w:tcBorders>
            <w:vAlign w:val="center"/>
          </w:tcPr>
          <w:p w14:paraId="7AE804E3">
            <w:pPr>
              <w:widowControl/>
              <w:adjustRightInd w:val="0"/>
              <w:snapToGrid w:val="0"/>
              <w:jc w:val="center"/>
              <w:textAlignment w:val="center"/>
              <w:rPr>
                <w:rFonts w:ascii="Arial" w:hAnsi="Arial" w:eastAsia="宋体" w:cs="Arial"/>
                <w:sz w:val="21"/>
                <w:szCs w:val="21"/>
              </w:rPr>
            </w:pPr>
            <w:r>
              <w:rPr>
                <w:rFonts w:ascii="Arial" w:hAnsi="Arial" w:eastAsia="宋体" w:cs="Arial"/>
                <w:sz w:val="21"/>
                <w:szCs w:val="21"/>
              </w:rPr>
              <w:t>规模（人）</w:t>
            </w:r>
          </w:p>
        </w:tc>
      </w:tr>
      <w:tr w14:paraId="15509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3E145CBB">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2E365118">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4D1D36B">
            <w:pPr>
              <w:adjustRightInd w:val="0"/>
              <w:snapToGrid w:val="0"/>
              <w:jc w:val="center"/>
              <w:rPr>
                <w:rFonts w:ascii="Arial" w:hAnsi="Arial" w:eastAsia="宋体" w:cs="Arial"/>
                <w:sz w:val="21"/>
                <w:szCs w:val="21"/>
              </w:rPr>
            </w:pPr>
            <w:r>
              <w:rPr>
                <w:rFonts w:ascii="Arial" w:hAnsi="Arial" w:eastAsia="宋体" w:cs="Arial"/>
                <w:sz w:val="21"/>
                <w:szCs w:val="21"/>
              </w:rPr>
              <w:t>鸡墩头村</w:t>
            </w:r>
          </w:p>
        </w:tc>
        <w:tc>
          <w:tcPr>
            <w:tcW w:w="595" w:type="pct"/>
            <w:tcBorders>
              <w:top w:val="single" w:color="auto" w:sz="4" w:space="0"/>
              <w:left w:val="single" w:color="auto" w:sz="4" w:space="0"/>
              <w:bottom w:val="single" w:color="auto" w:sz="4" w:space="0"/>
              <w:right w:val="single" w:color="auto" w:sz="4" w:space="0"/>
            </w:tcBorders>
            <w:vAlign w:val="center"/>
          </w:tcPr>
          <w:p w14:paraId="30A89793">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4ECBA4DD">
            <w:pPr>
              <w:adjustRightInd w:val="0"/>
              <w:snapToGrid w:val="0"/>
              <w:jc w:val="center"/>
              <w:rPr>
                <w:rFonts w:ascii="Arial" w:hAnsi="Arial" w:eastAsia="宋体" w:cs="Arial"/>
                <w:sz w:val="21"/>
                <w:szCs w:val="21"/>
              </w:rPr>
            </w:pPr>
            <w:r>
              <w:rPr>
                <w:rFonts w:ascii="Arial" w:hAnsi="Arial" w:eastAsia="宋体" w:cs="Arial"/>
                <w:sz w:val="21"/>
                <w:szCs w:val="21"/>
              </w:rPr>
              <w:t>10</w:t>
            </w:r>
          </w:p>
        </w:tc>
        <w:tc>
          <w:tcPr>
            <w:tcW w:w="770" w:type="pct"/>
            <w:tcBorders>
              <w:top w:val="single" w:color="auto" w:sz="4" w:space="0"/>
              <w:left w:val="single" w:color="auto" w:sz="4" w:space="0"/>
              <w:bottom w:val="single" w:color="auto" w:sz="4" w:space="0"/>
              <w:right w:val="single" w:color="auto" w:sz="4" w:space="0"/>
            </w:tcBorders>
            <w:vAlign w:val="center"/>
          </w:tcPr>
          <w:p w14:paraId="7580908B">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603611AA">
            <w:pPr>
              <w:adjustRightInd w:val="0"/>
              <w:snapToGrid w:val="0"/>
              <w:jc w:val="center"/>
              <w:rPr>
                <w:rFonts w:ascii="Arial" w:hAnsi="Arial" w:eastAsia="宋体" w:cs="Arial"/>
                <w:sz w:val="21"/>
                <w:szCs w:val="21"/>
              </w:rPr>
            </w:pPr>
            <w:r>
              <w:rPr>
                <w:rFonts w:ascii="Arial" w:hAnsi="Arial" w:cs="Arial"/>
                <w:sz w:val="21"/>
                <w:szCs w:val="21"/>
              </w:rPr>
              <w:t>700</w:t>
            </w:r>
          </w:p>
        </w:tc>
      </w:tr>
      <w:tr w14:paraId="47946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5022540F">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4FFFA17C">
            <w:pPr>
              <w:adjustRightInd w:val="0"/>
              <w:snapToGrid w:val="0"/>
              <w:jc w:val="center"/>
              <w:rPr>
                <w:rFonts w:ascii="Arial" w:hAnsi="Arial" w:eastAsia="宋体" w:cs="Arial"/>
                <w:sz w:val="21"/>
                <w:szCs w:val="21"/>
              </w:rPr>
            </w:pPr>
            <w:r>
              <w:rPr>
                <w:rFonts w:ascii="Arial" w:hAnsi="Arial" w:eastAsia="宋体" w:cs="Arial"/>
                <w:sz w:val="21"/>
                <w:szCs w:val="21"/>
              </w:rPr>
              <w:t>2</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CE2EA51">
            <w:pPr>
              <w:adjustRightInd w:val="0"/>
              <w:snapToGrid w:val="0"/>
              <w:jc w:val="center"/>
              <w:rPr>
                <w:rFonts w:ascii="Arial" w:hAnsi="Arial" w:eastAsia="宋体" w:cs="Arial"/>
                <w:sz w:val="21"/>
                <w:szCs w:val="21"/>
              </w:rPr>
            </w:pPr>
            <w:r>
              <w:rPr>
                <w:rFonts w:ascii="Arial" w:hAnsi="Arial" w:eastAsia="宋体" w:cs="Arial"/>
                <w:sz w:val="21"/>
                <w:szCs w:val="21"/>
              </w:rPr>
              <w:t>钦州港经开区第五小学</w:t>
            </w:r>
          </w:p>
        </w:tc>
        <w:tc>
          <w:tcPr>
            <w:tcW w:w="595" w:type="pct"/>
            <w:tcBorders>
              <w:top w:val="single" w:color="auto" w:sz="4" w:space="0"/>
              <w:left w:val="single" w:color="auto" w:sz="4" w:space="0"/>
              <w:bottom w:val="single" w:color="auto" w:sz="4" w:space="0"/>
              <w:right w:val="single" w:color="auto" w:sz="4" w:space="0"/>
            </w:tcBorders>
            <w:vAlign w:val="center"/>
          </w:tcPr>
          <w:p w14:paraId="4843D7DA">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6DBCA966">
            <w:pPr>
              <w:adjustRightInd w:val="0"/>
              <w:snapToGrid w:val="0"/>
              <w:jc w:val="center"/>
              <w:rPr>
                <w:rFonts w:ascii="Arial" w:hAnsi="Arial" w:eastAsia="宋体" w:cs="Arial"/>
                <w:sz w:val="21"/>
                <w:szCs w:val="21"/>
              </w:rPr>
            </w:pPr>
            <w:r>
              <w:rPr>
                <w:rFonts w:ascii="Arial" w:hAnsi="Arial" w:eastAsia="宋体" w:cs="Arial"/>
                <w:sz w:val="21"/>
                <w:szCs w:val="21"/>
              </w:rPr>
              <w:t>215</w:t>
            </w:r>
          </w:p>
        </w:tc>
        <w:tc>
          <w:tcPr>
            <w:tcW w:w="770" w:type="pct"/>
            <w:tcBorders>
              <w:top w:val="single" w:color="auto" w:sz="4" w:space="0"/>
              <w:left w:val="single" w:color="auto" w:sz="4" w:space="0"/>
              <w:bottom w:val="single" w:color="auto" w:sz="4" w:space="0"/>
              <w:right w:val="single" w:color="auto" w:sz="4" w:space="0"/>
            </w:tcBorders>
            <w:vAlign w:val="center"/>
          </w:tcPr>
          <w:p w14:paraId="79BB9AC6">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662" w:type="pct"/>
            <w:tcBorders>
              <w:top w:val="single" w:color="auto" w:sz="4" w:space="0"/>
              <w:left w:val="single" w:color="auto" w:sz="4" w:space="0"/>
              <w:bottom w:val="single" w:color="auto" w:sz="4" w:space="0"/>
              <w:right w:val="single" w:color="auto" w:sz="4" w:space="0"/>
            </w:tcBorders>
            <w:vAlign w:val="center"/>
          </w:tcPr>
          <w:p w14:paraId="2D2D8D59">
            <w:pPr>
              <w:adjustRightInd w:val="0"/>
              <w:snapToGrid w:val="0"/>
              <w:jc w:val="center"/>
              <w:rPr>
                <w:rFonts w:ascii="Arial" w:hAnsi="Arial" w:eastAsia="宋体" w:cs="Arial"/>
                <w:sz w:val="21"/>
                <w:szCs w:val="21"/>
              </w:rPr>
            </w:pPr>
            <w:r>
              <w:rPr>
                <w:rFonts w:ascii="Arial" w:hAnsi="Arial" w:cs="Arial"/>
                <w:sz w:val="21"/>
                <w:szCs w:val="21"/>
              </w:rPr>
              <w:t>500</w:t>
            </w:r>
          </w:p>
        </w:tc>
      </w:tr>
      <w:tr w14:paraId="5ED86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42907EF">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55221EBC">
            <w:pPr>
              <w:adjustRightInd w:val="0"/>
              <w:snapToGrid w:val="0"/>
              <w:jc w:val="center"/>
              <w:rPr>
                <w:rFonts w:ascii="Arial" w:hAnsi="Arial" w:eastAsia="宋体" w:cs="Arial"/>
                <w:sz w:val="21"/>
                <w:szCs w:val="21"/>
              </w:rPr>
            </w:pPr>
            <w:r>
              <w:rPr>
                <w:rFonts w:ascii="Arial" w:hAnsi="Arial" w:eastAsia="宋体" w:cs="Arial"/>
                <w:sz w:val="21"/>
                <w:szCs w:val="21"/>
              </w:rPr>
              <w:t>3</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901F402">
            <w:pPr>
              <w:adjustRightInd w:val="0"/>
              <w:snapToGrid w:val="0"/>
              <w:jc w:val="center"/>
              <w:rPr>
                <w:rFonts w:ascii="Arial" w:hAnsi="Arial" w:eastAsia="宋体" w:cs="Arial"/>
                <w:sz w:val="21"/>
                <w:szCs w:val="21"/>
              </w:rPr>
            </w:pPr>
            <w:r>
              <w:rPr>
                <w:rFonts w:ascii="Arial" w:hAnsi="Arial" w:eastAsia="宋体" w:cs="Arial"/>
                <w:sz w:val="21"/>
                <w:szCs w:val="21"/>
              </w:rPr>
              <w:t>过路山村</w:t>
            </w:r>
          </w:p>
        </w:tc>
        <w:tc>
          <w:tcPr>
            <w:tcW w:w="595" w:type="pct"/>
            <w:tcBorders>
              <w:top w:val="single" w:color="auto" w:sz="4" w:space="0"/>
              <w:left w:val="single" w:color="auto" w:sz="4" w:space="0"/>
              <w:bottom w:val="single" w:color="auto" w:sz="4" w:space="0"/>
              <w:right w:val="single" w:color="auto" w:sz="4" w:space="0"/>
            </w:tcBorders>
            <w:vAlign w:val="center"/>
          </w:tcPr>
          <w:p w14:paraId="7AFA9ECE">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7BAB39DF">
            <w:pPr>
              <w:adjustRightInd w:val="0"/>
              <w:snapToGrid w:val="0"/>
              <w:jc w:val="center"/>
              <w:rPr>
                <w:rFonts w:ascii="Arial" w:hAnsi="Arial" w:eastAsia="宋体" w:cs="Arial"/>
                <w:sz w:val="21"/>
                <w:szCs w:val="21"/>
              </w:rPr>
            </w:pPr>
            <w:r>
              <w:rPr>
                <w:rFonts w:ascii="Arial" w:hAnsi="Arial" w:eastAsia="宋体" w:cs="Arial"/>
                <w:sz w:val="21"/>
                <w:szCs w:val="21"/>
              </w:rPr>
              <w:t>420</w:t>
            </w:r>
          </w:p>
        </w:tc>
        <w:tc>
          <w:tcPr>
            <w:tcW w:w="770" w:type="pct"/>
            <w:tcBorders>
              <w:top w:val="single" w:color="auto" w:sz="4" w:space="0"/>
              <w:left w:val="single" w:color="auto" w:sz="4" w:space="0"/>
              <w:bottom w:val="single" w:color="auto" w:sz="4" w:space="0"/>
              <w:right w:val="single" w:color="auto" w:sz="4" w:space="0"/>
            </w:tcBorders>
            <w:vAlign w:val="center"/>
          </w:tcPr>
          <w:p w14:paraId="72D815B9">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66C641D5">
            <w:pPr>
              <w:adjustRightInd w:val="0"/>
              <w:snapToGrid w:val="0"/>
              <w:jc w:val="center"/>
              <w:rPr>
                <w:rFonts w:ascii="Arial" w:hAnsi="Arial" w:eastAsia="宋体" w:cs="Arial"/>
                <w:sz w:val="21"/>
                <w:szCs w:val="21"/>
              </w:rPr>
            </w:pPr>
            <w:r>
              <w:rPr>
                <w:rFonts w:ascii="Arial" w:hAnsi="Arial" w:cs="Arial"/>
                <w:sz w:val="21"/>
                <w:szCs w:val="21"/>
              </w:rPr>
              <w:t>500</w:t>
            </w:r>
          </w:p>
        </w:tc>
      </w:tr>
      <w:tr w14:paraId="5BA8B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F73420D">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73B9AF08">
            <w:pPr>
              <w:adjustRightInd w:val="0"/>
              <w:snapToGrid w:val="0"/>
              <w:jc w:val="center"/>
              <w:rPr>
                <w:rFonts w:ascii="Arial" w:hAnsi="Arial" w:eastAsia="宋体" w:cs="Arial"/>
                <w:sz w:val="21"/>
                <w:szCs w:val="21"/>
              </w:rPr>
            </w:pPr>
            <w:r>
              <w:rPr>
                <w:rFonts w:ascii="Arial" w:hAnsi="Arial" w:eastAsia="宋体" w:cs="Arial"/>
                <w:sz w:val="21"/>
                <w:szCs w:val="21"/>
              </w:rPr>
              <w:t>4</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57CBC98">
            <w:pPr>
              <w:adjustRightInd w:val="0"/>
              <w:snapToGrid w:val="0"/>
              <w:jc w:val="center"/>
              <w:rPr>
                <w:rFonts w:ascii="Arial" w:hAnsi="Arial" w:eastAsia="宋体" w:cs="Arial"/>
                <w:sz w:val="21"/>
                <w:szCs w:val="21"/>
              </w:rPr>
            </w:pPr>
            <w:r>
              <w:rPr>
                <w:rFonts w:ascii="Arial" w:hAnsi="Arial" w:eastAsia="宋体" w:cs="Arial"/>
                <w:sz w:val="21"/>
                <w:szCs w:val="21"/>
              </w:rPr>
              <w:t>上硫磺山村</w:t>
            </w:r>
          </w:p>
        </w:tc>
        <w:tc>
          <w:tcPr>
            <w:tcW w:w="595" w:type="pct"/>
            <w:tcBorders>
              <w:top w:val="single" w:color="auto" w:sz="4" w:space="0"/>
              <w:left w:val="single" w:color="auto" w:sz="4" w:space="0"/>
              <w:bottom w:val="single" w:color="auto" w:sz="4" w:space="0"/>
              <w:right w:val="single" w:color="auto" w:sz="4" w:space="0"/>
            </w:tcBorders>
            <w:vAlign w:val="center"/>
          </w:tcPr>
          <w:p w14:paraId="0D5BE246">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19043CBF">
            <w:pPr>
              <w:adjustRightInd w:val="0"/>
              <w:snapToGrid w:val="0"/>
              <w:jc w:val="center"/>
              <w:rPr>
                <w:rFonts w:ascii="Arial" w:hAnsi="Arial" w:eastAsia="宋体" w:cs="Arial"/>
                <w:sz w:val="21"/>
                <w:szCs w:val="21"/>
              </w:rPr>
            </w:pPr>
            <w:r>
              <w:rPr>
                <w:rFonts w:ascii="Arial" w:hAnsi="Arial" w:eastAsia="宋体" w:cs="Arial"/>
                <w:sz w:val="21"/>
                <w:szCs w:val="21"/>
              </w:rPr>
              <w:t>1055</w:t>
            </w:r>
          </w:p>
        </w:tc>
        <w:tc>
          <w:tcPr>
            <w:tcW w:w="770" w:type="pct"/>
            <w:tcBorders>
              <w:top w:val="single" w:color="auto" w:sz="4" w:space="0"/>
              <w:left w:val="single" w:color="auto" w:sz="4" w:space="0"/>
              <w:bottom w:val="single" w:color="auto" w:sz="4" w:space="0"/>
              <w:right w:val="single" w:color="auto" w:sz="4" w:space="0"/>
            </w:tcBorders>
            <w:vAlign w:val="center"/>
          </w:tcPr>
          <w:p w14:paraId="529B3065">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269C77B2">
            <w:pPr>
              <w:adjustRightInd w:val="0"/>
              <w:snapToGrid w:val="0"/>
              <w:jc w:val="center"/>
              <w:rPr>
                <w:rFonts w:ascii="Arial" w:hAnsi="Arial" w:eastAsia="宋体" w:cs="Arial"/>
                <w:sz w:val="21"/>
                <w:szCs w:val="21"/>
              </w:rPr>
            </w:pPr>
            <w:r>
              <w:rPr>
                <w:rFonts w:ascii="Arial" w:hAnsi="Arial" w:cs="Arial"/>
                <w:sz w:val="21"/>
                <w:szCs w:val="21"/>
              </w:rPr>
              <w:t>200</w:t>
            </w:r>
          </w:p>
        </w:tc>
      </w:tr>
      <w:tr w14:paraId="5662C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7339CD5C">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0B884879">
            <w:pPr>
              <w:adjustRightInd w:val="0"/>
              <w:snapToGrid w:val="0"/>
              <w:jc w:val="center"/>
              <w:rPr>
                <w:rFonts w:ascii="Arial" w:hAnsi="Arial" w:eastAsia="宋体" w:cs="Arial"/>
                <w:sz w:val="21"/>
                <w:szCs w:val="21"/>
              </w:rPr>
            </w:pPr>
            <w:r>
              <w:rPr>
                <w:rFonts w:ascii="Arial" w:hAnsi="Arial" w:eastAsia="宋体" w:cs="Arial"/>
                <w:sz w:val="21"/>
                <w:szCs w:val="21"/>
              </w:rPr>
              <w:t>5</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650FBCA">
            <w:pPr>
              <w:adjustRightInd w:val="0"/>
              <w:snapToGrid w:val="0"/>
              <w:jc w:val="center"/>
              <w:rPr>
                <w:rFonts w:ascii="Arial" w:hAnsi="Arial" w:eastAsia="宋体" w:cs="Arial"/>
                <w:sz w:val="21"/>
                <w:szCs w:val="21"/>
              </w:rPr>
            </w:pPr>
            <w:r>
              <w:rPr>
                <w:rFonts w:ascii="Arial" w:hAnsi="Arial" w:eastAsia="宋体" w:cs="Arial"/>
                <w:sz w:val="21"/>
                <w:szCs w:val="21"/>
              </w:rPr>
              <w:t>下硫磺山村</w:t>
            </w:r>
          </w:p>
        </w:tc>
        <w:tc>
          <w:tcPr>
            <w:tcW w:w="595" w:type="pct"/>
            <w:tcBorders>
              <w:top w:val="single" w:color="auto" w:sz="4" w:space="0"/>
              <w:left w:val="single" w:color="auto" w:sz="4" w:space="0"/>
              <w:bottom w:val="single" w:color="auto" w:sz="4" w:space="0"/>
              <w:right w:val="single" w:color="auto" w:sz="4" w:space="0"/>
            </w:tcBorders>
            <w:vAlign w:val="center"/>
          </w:tcPr>
          <w:p w14:paraId="6BD81FD7">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5D4A626E">
            <w:pPr>
              <w:adjustRightInd w:val="0"/>
              <w:snapToGrid w:val="0"/>
              <w:jc w:val="center"/>
              <w:rPr>
                <w:rFonts w:ascii="Arial" w:hAnsi="Arial" w:eastAsia="宋体" w:cs="Arial"/>
                <w:sz w:val="21"/>
                <w:szCs w:val="21"/>
              </w:rPr>
            </w:pPr>
            <w:r>
              <w:rPr>
                <w:rFonts w:ascii="Arial" w:hAnsi="Arial" w:eastAsia="宋体" w:cs="Arial"/>
                <w:sz w:val="21"/>
                <w:szCs w:val="21"/>
              </w:rPr>
              <w:t>1105</w:t>
            </w:r>
          </w:p>
        </w:tc>
        <w:tc>
          <w:tcPr>
            <w:tcW w:w="770" w:type="pct"/>
            <w:tcBorders>
              <w:top w:val="single" w:color="auto" w:sz="4" w:space="0"/>
              <w:left w:val="single" w:color="auto" w:sz="4" w:space="0"/>
              <w:bottom w:val="single" w:color="auto" w:sz="4" w:space="0"/>
              <w:right w:val="single" w:color="auto" w:sz="4" w:space="0"/>
            </w:tcBorders>
            <w:vAlign w:val="center"/>
          </w:tcPr>
          <w:p w14:paraId="09AF0263">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19FB3D13">
            <w:pPr>
              <w:adjustRightInd w:val="0"/>
              <w:snapToGrid w:val="0"/>
              <w:jc w:val="center"/>
              <w:rPr>
                <w:rFonts w:ascii="Arial" w:hAnsi="Arial" w:eastAsia="宋体" w:cs="Arial"/>
                <w:sz w:val="21"/>
                <w:szCs w:val="21"/>
              </w:rPr>
            </w:pPr>
            <w:r>
              <w:rPr>
                <w:rFonts w:ascii="Arial" w:hAnsi="Arial" w:cs="Arial"/>
                <w:sz w:val="21"/>
                <w:szCs w:val="21"/>
              </w:rPr>
              <w:t>68</w:t>
            </w:r>
          </w:p>
        </w:tc>
      </w:tr>
      <w:tr w14:paraId="484DD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5D4C4E4">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6E923392">
            <w:pPr>
              <w:adjustRightInd w:val="0"/>
              <w:snapToGrid w:val="0"/>
              <w:jc w:val="center"/>
              <w:rPr>
                <w:rFonts w:ascii="Arial" w:hAnsi="Arial" w:eastAsia="宋体" w:cs="Arial"/>
                <w:sz w:val="21"/>
                <w:szCs w:val="21"/>
              </w:rPr>
            </w:pPr>
            <w:r>
              <w:rPr>
                <w:rFonts w:ascii="Arial" w:hAnsi="Arial" w:eastAsia="宋体" w:cs="Arial"/>
                <w:sz w:val="21"/>
                <w:szCs w:val="21"/>
              </w:rPr>
              <w:t>6</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9D15295">
            <w:pPr>
              <w:adjustRightInd w:val="0"/>
              <w:snapToGrid w:val="0"/>
              <w:jc w:val="center"/>
              <w:rPr>
                <w:rFonts w:ascii="Arial" w:hAnsi="Arial" w:eastAsia="宋体" w:cs="Arial"/>
                <w:sz w:val="21"/>
                <w:szCs w:val="21"/>
              </w:rPr>
            </w:pPr>
            <w:r>
              <w:rPr>
                <w:rFonts w:ascii="Arial" w:hAnsi="Arial" w:eastAsia="宋体" w:cs="Arial"/>
                <w:sz w:val="21"/>
                <w:szCs w:val="21"/>
              </w:rPr>
              <w:t>东港区第一幼儿园</w:t>
            </w:r>
          </w:p>
        </w:tc>
        <w:tc>
          <w:tcPr>
            <w:tcW w:w="595" w:type="pct"/>
            <w:tcBorders>
              <w:top w:val="single" w:color="auto" w:sz="4" w:space="0"/>
              <w:left w:val="single" w:color="auto" w:sz="4" w:space="0"/>
              <w:bottom w:val="single" w:color="auto" w:sz="4" w:space="0"/>
              <w:right w:val="single" w:color="auto" w:sz="4" w:space="0"/>
            </w:tcBorders>
            <w:vAlign w:val="center"/>
          </w:tcPr>
          <w:p w14:paraId="6E5A29B8">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13FF60F9">
            <w:pPr>
              <w:adjustRightInd w:val="0"/>
              <w:snapToGrid w:val="0"/>
              <w:jc w:val="center"/>
              <w:rPr>
                <w:rFonts w:ascii="Arial" w:hAnsi="Arial" w:eastAsia="宋体" w:cs="Arial"/>
                <w:sz w:val="21"/>
                <w:szCs w:val="21"/>
              </w:rPr>
            </w:pPr>
            <w:r>
              <w:rPr>
                <w:rFonts w:ascii="Arial" w:hAnsi="Arial" w:eastAsia="宋体" w:cs="Arial"/>
                <w:sz w:val="21"/>
                <w:szCs w:val="21"/>
              </w:rPr>
              <w:t>1110</w:t>
            </w:r>
          </w:p>
        </w:tc>
        <w:tc>
          <w:tcPr>
            <w:tcW w:w="770" w:type="pct"/>
            <w:tcBorders>
              <w:top w:val="single" w:color="auto" w:sz="4" w:space="0"/>
              <w:left w:val="single" w:color="auto" w:sz="4" w:space="0"/>
              <w:bottom w:val="single" w:color="auto" w:sz="4" w:space="0"/>
              <w:right w:val="single" w:color="auto" w:sz="4" w:space="0"/>
            </w:tcBorders>
            <w:vAlign w:val="center"/>
          </w:tcPr>
          <w:p w14:paraId="4737DDF0">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662" w:type="pct"/>
            <w:tcBorders>
              <w:top w:val="single" w:color="auto" w:sz="4" w:space="0"/>
              <w:left w:val="single" w:color="auto" w:sz="4" w:space="0"/>
              <w:bottom w:val="single" w:color="auto" w:sz="4" w:space="0"/>
              <w:right w:val="single" w:color="auto" w:sz="4" w:space="0"/>
            </w:tcBorders>
            <w:vAlign w:val="center"/>
          </w:tcPr>
          <w:p w14:paraId="454A23D8">
            <w:pPr>
              <w:adjustRightInd w:val="0"/>
              <w:snapToGrid w:val="0"/>
              <w:jc w:val="center"/>
              <w:rPr>
                <w:rFonts w:ascii="Arial" w:hAnsi="Arial" w:eastAsia="宋体" w:cs="Arial"/>
                <w:sz w:val="21"/>
                <w:szCs w:val="21"/>
              </w:rPr>
            </w:pPr>
            <w:r>
              <w:rPr>
                <w:rFonts w:ascii="Arial" w:hAnsi="Arial" w:cs="Arial"/>
                <w:sz w:val="21"/>
                <w:szCs w:val="21"/>
              </w:rPr>
              <w:t>270</w:t>
            </w:r>
          </w:p>
        </w:tc>
      </w:tr>
      <w:tr w14:paraId="45748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6E7B570B">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0CC7404D">
            <w:pPr>
              <w:adjustRightInd w:val="0"/>
              <w:snapToGrid w:val="0"/>
              <w:jc w:val="center"/>
              <w:rPr>
                <w:rFonts w:ascii="Arial" w:hAnsi="Arial" w:eastAsia="宋体" w:cs="Arial"/>
                <w:sz w:val="21"/>
                <w:szCs w:val="21"/>
              </w:rPr>
            </w:pPr>
            <w:r>
              <w:rPr>
                <w:rFonts w:ascii="Arial" w:hAnsi="Arial" w:eastAsia="宋体" w:cs="Arial"/>
                <w:sz w:val="21"/>
                <w:szCs w:val="21"/>
              </w:rPr>
              <w:t>7</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2FA94D3">
            <w:pPr>
              <w:adjustRightInd w:val="0"/>
              <w:snapToGrid w:val="0"/>
              <w:jc w:val="center"/>
              <w:rPr>
                <w:rFonts w:ascii="Arial" w:hAnsi="Arial" w:eastAsia="宋体" w:cs="Arial"/>
                <w:sz w:val="21"/>
                <w:szCs w:val="21"/>
              </w:rPr>
            </w:pPr>
            <w:r>
              <w:rPr>
                <w:rFonts w:ascii="Arial" w:hAnsi="Arial" w:eastAsia="宋体" w:cs="Arial"/>
                <w:sz w:val="21"/>
                <w:szCs w:val="21"/>
              </w:rPr>
              <w:t>硫磺山村</w:t>
            </w:r>
          </w:p>
        </w:tc>
        <w:tc>
          <w:tcPr>
            <w:tcW w:w="595" w:type="pct"/>
            <w:tcBorders>
              <w:top w:val="single" w:color="auto" w:sz="4" w:space="0"/>
              <w:left w:val="single" w:color="auto" w:sz="4" w:space="0"/>
              <w:bottom w:val="single" w:color="auto" w:sz="4" w:space="0"/>
              <w:right w:val="single" w:color="auto" w:sz="4" w:space="0"/>
            </w:tcBorders>
            <w:vAlign w:val="center"/>
          </w:tcPr>
          <w:p w14:paraId="722C4E19">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28BD010E">
            <w:pPr>
              <w:adjustRightInd w:val="0"/>
              <w:snapToGrid w:val="0"/>
              <w:jc w:val="center"/>
              <w:rPr>
                <w:rFonts w:ascii="Arial" w:hAnsi="Arial" w:eastAsia="宋体" w:cs="Arial"/>
                <w:sz w:val="21"/>
                <w:szCs w:val="21"/>
              </w:rPr>
            </w:pPr>
            <w:r>
              <w:rPr>
                <w:rFonts w:ascii="Arial" w:hAnsi="Arial" w:eastAsia="宋体" w:cs="Arial"/>
                <w:sz w:val="21"/>
                <w:szCs w:val="21"/>
              </w:rPr>
              <w:t>1205</w:t>
            </w:r>
          </w:p>
        </w:tc>
        <w:tc>
          <w:tcPr>
            <w:tcW w:w="770" w:type="pct"/>
            <w:tcBorders>
              <w:top w:val="single" w:color="auto" w:sz="4" w:space="0"/>
              <w:left w:val="single" w:color="auto" w:sz="4" w:space="0"/>
              <w:bottom w:val="single" w:color="auto" w:sz="4" w:space="0"/>
              <w:right w:val="single" w:color="auto" w:sz="4" w:space="0"/>
            </w:tcBorders>
            <w:vAlign w:val="center"/>
          </w:tcPr>
          <w:p w14:paraId="75DE462E">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6B375994">
            <w:pPr>
              <w:adjustRightInd w:val="0"/>
              <w:snapToGrid w:val="0"/>
              <w:jc w:val="center"/>
              <w:rPr>
                <w:rFonts w:ascii="Arial" w:hAnsi="Arial" w:eastAsia="宋体" w:cs="Arial"/>
                <w:sz w:val="21"/>
                <w:szCs w:val="21"/>
              </w:rPr>
            </w:pPr>
            <w:r>
              <w:rPr>
                <w:rFonts w:ascii="Arial" w:hAnsi="Arial" w:cs="Arial"/>
                <w:sz w:val="21"/>
                <w:szCs w:val="21"/>
              </w:rPr>
              <w:t>127</w:t>
            </w:r>
          </w:p>
        </w:tc>
      </w:tr>
      <w:tr w14:paraId="7D6A4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18C38F2">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1B716C17">
            <w:pPr>
              <w:adjustRightInd w:val="0"/>
              <w:snapToGrid w:val="0"/>
              <w:jc w:val="center"/>
              <w:rPr>
                <w:rFonts w:ascii="Arial" w:hAnsi="Arial" w:eastAsia="宋体" w:cs="Arial"/>
                <w:sz w:val="21"/>
                <w:szCs w:val="21"/>
              </w:rPr>
            </w:pPr>
            <w:r>
              <w:rPr>
                <w:rFonts w:ascii="Arial" w:hAnsi="Arial" w:eastAsia="宋体" w:cs="Arial"/>
                <w:sz w:val="21"/>
                <w:szCs w:val="21"/>
              </w:rPr>
              <w:t>8</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94C6F77">
            <w:pPr>
              <w:adjustRightInd w:val="0"/>
              <w:snapToGrid w:val="0"/>
              <w:jc w:val="center"/>
              <w:rPr>
                <w:rFonts w:ascii="Arial" w:hAnsi="Arial" w:eastAsia="宋体" w:cs="Arial"/>
                <w:sz w:val="21"/>
                <w:szCs w:val="21"/>
              </w:rPr>
            </w:pPr>
            <w:r>
              <w:rPr>
                <w:rFonts w:ascii="Arial" w:hAnsi="Arial" w:eastAsia="宋体" w:cs="Arial"/>
                <w:sz w:val="21"/>
                <w:szCs w:val="21"/>
              </w:rPr>
              <w:t>鲎泊潭村</w:t>
            </w:r>
          </w:p>
        </w:tc>
        <w:tc>
          <w:tcPr>
            <w:tcW w:w="595" w:type="pct"/>
            <w:tcBorders>
              <w:top w:val="single" w:color="auto" w:sz="4" w:space="0"/>
              <w:left w:val="single" w:color="auto" w:sz="4" w:space="0"/>
              <w:bottom w:val="single" w:color="auto" w:sz="4" w:space="0"/>
              <w:right w:val="single" w:color="auto" w:sz="4" w:space="0"/>
            </w:tcBorders>
            <w:vAlign w:val="center"/>
          </w:tcPr>
          <w:p w14:paraId="345D2284">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7401E636">
            <w:pPr>
              <w:adjustRightInd w:val="0"/>
              <w:snapToGrid w:val="0"/>
              <w:jc w:val="center"/>
              <w:rPr>
                <w:rFonts w:ascii="Arial" w:hAnsi="Arial" w:eastAsia="宋体" w:cs="Arial"/>
                <w:sz w:val="21"/>
                <w:szCs w:val="21"/>
              </w:rPr>
            </w:pPr>
            <w:r>
              <w:rPr>
                <w:rFonts w:ascii="Arial" w:hAnsi="Arial" w:eastAsia="宋体" w:cs="Arial"/>
                <w:sz w:val="21"/>
                <w:szCs w:val="21"/>
              </w:rPr>
              <w:t>1280</w:t>
            </w:r>
          </w:p>
        </w:tc>
        <w:tc>
          <w:tcPr>
            <w:tcW w:w="770" w:type="pct"/>
            <w:tcBorders>
              <w:top w:val="single" w:color="auto" w:sz="4" w:space="0"/>
              <w:left w:val="single" w:color="auto" w:sz="4" w:space="0"/>
              <w:bottom w:val="single" w:color="auto" w:sz="4" w:space="0"/>
              <w:right w:val="single" w:color="auto" w:sz="4" w:space="0"/>
            </w:tcBorders>
            <w:vAlign w:val="center"/>
          </w:tcPr>
          <w:p w14:paraId="07E991AB">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2685FDE7">
            <w:pPr>
              <w:adjustRightInd w:val="0"/>
              <w:snapToGrid w:val="0"/>
              <w:jc w:val="center"/>
              <w:rPr>
                <w:rFonts w:ascii="Arial" w:hAnsi="Arial" w:eastAsia="宋体" w:cs="Arial"/>
                <w:sz w:val="21"/>
                <w:szCs w:val="21"/>
              </w:rPr>
            </w:pPr>
            <w:r>
              <w:rPr>
                <w:rFonts w:ascii="Arial" w:hAnsi="Arial" w:cs="Arial"/>
                <w:sz w:val="21"/>
                <w:szCs w:val="21"/>
              </w:rPr>
              <w:t>240</w:t>
            </w:r>
          </w:p>
        </w:tc>
      </w:tr>
      <w:tr w14:paraId="576D9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70BC15F0">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7AA27F5C">
            <w:pPr>
              <w:adjustRightInd w:val="0"/>
              <w:snapToGrid w:val="0"/>
              <w:jc w:val="center"/>
              <w:rPr>
                <w:rFonts w:ascii="Arial" w:hAnsi="Arial" w:eastAsia="宋体" w:cs="Arial"/>
                <w:sz w:val="21"/>
                <w:szCs w:val="21"/>
              </w:rPr>
            </w:pPr>
            <w:r>
              <w:rPr>
                <w:rFonts w:ascii="Arial" w:hAnsi="Arial" w:eastAsia="宋体" w:cs="Arial"/>
                <w:sz w:val="21"/>
                <w:szCs w:val="21"/>
              </w:rPr>
              <w:t>9</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6FCF145">
            <w:pPr>
              <w:adjustRightInd w:val="0"/>
              <w:snapToGrid w:val="0"/>
              <w:jc w:val="center"/>
              <w:rPr>
                <w:rFonts w:ascii="Arial" w:hAnsi="Arial" w:eastAsia="宋体" w:cs="Arial"/>
                <w:sz w:val="21"/>
                <w:szCs w:val="21"/>
              </w:rPr>
            </w:pPr>
            <w:r>
              <w:rPr>
                <w:rFonts w:ascii="Arial" w:hAnsi="Arial" w:eastAsia="宋体" w:cs="Arial"/>
                <w:sz w:val="21"/>
                <w:szCs w:val="21"/>
              </w:rPr>
              <w:t>港区中学</w:t>
            </w:r>
          </w:p>
        </w:tc>
        <w:tc>
          <w:tcPr>
            <w:tcW w:w="595" w:type="pct"/>
            <w:tcBorders>
              <w:top w:val="single" w:color="auto" w:sz="4" w:space="0"/>
              <w:left w:val="single" w:color="auto" w:sz="4" w:space="0"/>
              <w:bottom w:val="single" w:color="auto" w:sz="4" w:space="0"/>
              <w:right w:val="single" w:color="auto" w:sz="4" w:space="0"/>
            </w:tcBorders>
            <w:vAlign w:val="center"/>
          </w:tcPr>
          <w:p w14:paraId="70C0BFDA">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2D8CFB98">
            <w:pPr>
              <w:adjustRightInd w:val="0"/>
              <w:snapToGrid w:val="0"/>
              <w:jc w:val="center"/>
              <w:rPr>
                <w:rFonts w:ascii="Arial" w:hAnsi="Arial" w:eastAsia="宋体" w:cs="Arial"/>
                <w:sz w:val="21"/>
                <w:szCs w:val="21"/>
              </w:rPr>
            </w:pPr>
            <w:r>
              <w:rPr>
                <w:rFonts w:ascii="Arial" w:hAnsi="Arial" w:eastAsia="宋体" w:cs="Arial"/>
                <w:sz w:val="21"/>
                <w:szCs w:val="21"/>
              </w:rPr>
              <w:t>1425</w:t>
            </w:r>
          </w:p>
        </w:tc>
        <w:tc>
          <w:tcPr>
            <w:tcW w:w="770" w:type="pct"/>
            <w:tcBorders>
              <w:top w:val="single" w:color="auto" w:sz="4" w:space="0"/>
              <w:left w:val="single" w:color="auto" w:sz="4" w:space="0"/>
              <w:bottom w:val="single" w:color="auto" w:sz="4" w:space="0"/>
              <w:right w:val="single" w:color="auto" w:sz="4" w:space="0"/>
            </w:tcBorders>
            <w:vAlign w:val="center"/>
          </w:tcPr>
          <w:p w14:paraId="149CB131">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662" w:type="pct"/>
            <w:tcBorders>
              <w:top w:val="single" w:color="auto" w:sz="4" w:space="0"/>
              <w:left w:val="single" w:color="auto" w:sz="4" w:space="0"/>
              <w:bottom w:val="single" w:color="auto" w:sz="4" w:space="0"/>
              <w:right w:val="single" w:color="auto" w:sz="4" w:space="0"/>
            </w:tcBorders>
            <w:vAlign w:val="center"/>
          </w:tcPr>
          <w:p w14:paraId="5A465667">
            <w:pPr>
              <w:adjustRightInd w:val="0"/>
              <w:snapToGrid w:val="0"/>
              <w:jc w:val="center"/>
              <w:rPr>
                <w:rFonts w:ascii="Arial" w:hAnsi="Arial" w:eastAsia="宋体" w:cs="Arial"/>
                <w:sz w:val="21"/>
                <w:szCs w:val="21"/>
              </w:rPr>
            </w:pPr>
            <w:r>
              <w:rPr>
                <w:rFonts w:ascii="Arial" w:hAnsi="Arial" w:cs="Arial"/>
                <w:sz w:val="21"/>
                <w:szCs w:val="21"/>
              </w:rPr>
              <w:t>1000</w:t>
            </w:r>
          </w:p>
        </w:tc>
      </w:tr>
      <w:tr w14:paraId="55B79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154F05B">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529597EB">
            <w:pPr>
              <w:adjustRightInd w:val="0"/>
              <w:snapToGrid w:val="0"/>
              <w:jc w:val="center"/>
              <w:rPr>
                <w:rFonts w:ascii="Arial" w:hAnsi="Arial" w:eastAsia="宋体" w:cs="Arial"/>
                <w:sz w:val="21"/>
                <w:szCs w:val="21"/>
              </w:rPr>
            </w:pPr>
            <w:r>
              <w:rPr>
                <w:rFonts w:ascii="Arial" w:hAnsi="Arial" w:eastAsia="宋体" w:cs="Arial"/>
                <w:sz w:val="21"/>
                <w:szCs w:val="21"/>
              </w:rPr>
              <w:t>10</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FF1E970">
            <w:pPr>
              <w:adjustRightInd w:val="0"/>
              <w:snapToGrid w:val="0"/>
              <w:jc w:val="center"/>
              <w:rPr>
                <w:rFonts w:ascii="Arial" w:hAnsi="Arial" w:eastAsia="宋体" w:cs="Arial"/>
                <w:sz w:val="21"/>
                <w:szCs w:val="21"/>
              </w:rPr>
            </w:pPr>
            <w:r>
              <w:rPr>
                <w:rFonts w:ascii="Arial" w:hAnsi="Arial" w:eastAsia="宋体" w:cs="Arial"/>
                <w:sz w:val="21"/>
                <w:szCs w:val="21"/>
              </w:rPr>
              <w:t>新农村</w:t>
            </w:r>
          </w:p>
        </w:tc>
        <w:tc>
          <w:tcPr>
            <w:tcW w:w="595" w:type="pct"/>
            <w:tcBorders>
              <w:top w:val="single" w:color="auto" w:sz="4" w:space="0"/>
              <w:left w:val="single" w:color="auto" w:sz="4" w:space="0"/>
              <w:bottom w:val="single" w:color="auto" w:sz="4" w:space="0"/>
              <w:right w:val="single" w:color="auto" w:sz="4" w:space="0"/>
            </w:tcBorders>
            <w:vAlign w:val="center"/>
          </w:tcPr>
          <w:p w14:paraId="0E954A14">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10479352">
            <w:pPr>
              <w:adjustRightInd w:val="0"/>
              <w:snapToGrid w:val="0"/>
              <w:jc w:val="center"/>
              <w:rPr>
                <w:rFonts w:ascii="Arial" w:hAnsi="Arial" w:eastAsia="宋体" w:cs="Arial"/>
                <w:sz w:val="21"/>
                <w:szCs w:val="21"/>
              </w:rPr>
            </w:pPr>
            <w:r>
              <w:rPr>
                <w:rFonts w:ascii="Arial" w:hAnsi="Arial" w:eastAsia="宋体" w:cs="Arial"/>
                <w:sz w:val="21"/>
                <w:szCs w:val="21"/>
              </w:rPr>
              <w:t>1440</w:t>
            </w:r>
          </w:p>
        </w:tc>
        <w:tc>
          <w:tcPr>
            <w:tcW w:w="770" w:type="pct"/>
            <w:tcBorders>
              <w:top w:val="single" w:color="auto" w:sz="4" w:space="0"/>
              <w:left w:val="single" w:color="auto" w:sz="4" w:space="0"/>
              <w:bottom w:val="single" w:color="auto" w:sz="4" w:space="0"/>
              <w:right w:val="single" w:color="auto" w:sz="4" w:space="0"/>
            </w:tcBorders>
            <w:vAlign w:val="center"/>
          </w:tcPr>
          <w:p w14:paraId="24EB7128">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7760C021">
            <w:pPr>
              <w:adjustRightInd w:val="0"/>
              <w:snapToGrid w:val="0"/>
              <w:jc w:val="center"/>
              <w:rPr>
                <w:rFonts w:ascii="Arial" w:hAnsi="Arial" w:eastAsia="宋体" w:cs="Arial"/>
                <w:sz w:val="21"/>
                <w:szCs w:val="21"/>
              </w:rPr>
            </w:pPr>
            <w:r>
              <w:rPr>
                <w:rFonts w:ascii="Arial" w:hAnsi="Arial" w:cs="Arial"/>
                <w:sz w:val="21"/>
                <w:szCs w:val="21"/>
              </w:rPr>
              <w:t>420</w:t>
            </w:r>
          </w:p>
        </w:tc>
      </w:tr>
      <w:tr w14:paraId="3AADE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006D33E2">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786C198C">
            <w:pPr>
              <w:adjustRightInd w:val="0"/>
              <w:snapToGrid w:val="0"/>
              <w:jc w:val="center"/>
              <w:rPr>
                <w:rFonts w:ascii="Arial" w:hAnsi="Arial" w:eastAsia="宋体" w:cs="Arial"/>
                <w:sz w:val="21"/>
                <w:szCs w:val="21"/>
              </w:rPr>
            </w:pPr>
            <w:r>
              <w:rPr>
                <w:rFonts w:ascii="Arial" w:hAnsi="Arial" w:eastAsia="宋体" w:cs="Arial"/>
                <w:sz w:val="21"/>
                <w:szCs w:val="21"/>
              </w:rPr>
              <w:t>11</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61D15C1">
            <w:pPr>
              <w:adjustRightInd w:val="0"/>
              <w:snapToGrid w:val="0"/>
              <w:jc w:val="center"/>
              <w:rPr>
                <w:rFonts w:ascii="Arial" w:hAnsi="Arial" w:eastAsia="宋体" w:cs="Arial"/>
                <w:sz w:val="21"/>
                <w:szCs w:val="21"/>
              </w:rPr>
            </w:pPr>
            <w:r>
              <w:rPr>
                <w:rFonts w:ascii="Arial" w:hAnsi="Arial" w:eastAsia="宋体" w:cs="Arial"/>
                <w:sz w:val="21"/>
                <w:szCs w:val="21"/>
              </w:rPr>
              <w:t>老鸭坑村</w:t>
            </w:r>
          </w:p>
        </w:tc>
        <w:tc>
          <w:tcPr>
            <w:tcW w:w="595" w:type="pct"/>
            <w:tcBorders>
              <w:top w:val="single" w:color="auto" w:sz="4" w:space="0"/>
              <w:left w:val="single" w:color="auto" w:sz="4" w:space="0"/>
              <w:bottom w:val="single" w:color="auto" w:sz="4" w:space="0"/>
              <w:right w:val="single" w:color="auto" w:sz="4" w:space="0"/>
            </w:tcBorders>
            <w:vAlign w:val="center"/>
          </w:tcPr>
          <w:p w14:paraId="04D88946">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0216F516">
            <w:pPr>
              <w:adjustRightInd w:val="0"/>
              <w:snapToGrid w:val="0"/>
              <w:jc w:val="center"/>
              <w:rPr>
                <w:rFonts w:ascii="Arial" w:hAnsi="Arial" w:eastAsia="宋体" w:cs="Arial"/>
                <w:sz w:val="21"/>
                <w:szCs w:val="21"/>
              </w:rPr>
            </w:pPr>
            <w:r>
              <w:rPr>
                <w:rFonts w:ascii="Arial" w:hAnsi="Arial" w:eastAsia="宋体" w:cs="Arial"/>
                <w:sz w:val="21"/>
                <w:szCs w:val="21"/>
              </w:rPr>
              <w:t>1475</w:t>
            </w:r>
          </w:p>
        </w:tc>
        <w:tc>
          <w:tcPr>
            <w:tcW w:w="770" w:type="pct"/>
            <w:tcBorders>
              <w:top w:val="single" w:color="auto" w:sz="4" w:space="0"/>
              <w:left w:val="single" w:color="auto" w:sz="4" w:space="0"/>
              <w:bottom w:val="single" w:color="auto" w:sz="4" w:space="0"/>
              <w:right w:val="single" w:color="auto" w:sz="4" w:space="0"/>
            </w:tcBorders>
            <w:vAlign w:val="center"/>
          </w:tcPr>
          <w:p w14:paraId="45C4F860">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30795B3D">
            <w:pPr>
              <w:adjustRightInd w:val="0"/>
              <w:snapToGrid w:val="0"/>
              <w:jc w:val="center"/>
              <w:rPr>
                <w:rFonts w:ascii="Arial" w:hAnsi="Arial" w:eastAsia="宋体" w:cs="Arial"/>
                <w:sz w:val="21"/>
                <w:szCs w:val="21"/>
              </w:rPr>
            </w:pPr>
            <w:r>
              <w:rPr>
                <w:rFonts w:ascii="Arial" w:hAnsi="Arial" w:cs="Arial"/>
                <w:sz w:val="21"/>
                <w:szCs w:val="21"/>
              </w:rPr>
              <w:t>300</w:t>
            </w:r>
          </w:p>
        </w:tc>
      </w:tr>
      <w:tr w14:paraId="2529B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3D8CA058">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56F0193F">
            <w:pPr>
              <w:adjustRightInd w:val="0"/>
              <w:snapToGrid w:val="0"/>
              <w:jc w:val="center"/>
              <w:rPr>
                <w:rFonts w:ascii="Arial" w:hAnsi="Arial" w:eastAsia="宋体" w:cs="Arial"/>
                <w:sz w:val="21"/>
                <w:szCs w:val="21"/>
              </w:rPr>
            </w:pPr>
            <w:r>
              <w:rPr>
                <w:rFonts w:ascii="Arial" w:hAnsi="Arial" w:eastAsia="宋体" w:cs="Arial"/>
                <w:sz w:val="21"/>
                <w:szCs w:val="21"/>
              </w:rPr>
              <w:t>12</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4057874">
            <w:pPr>
              <w:adjustRightInd w:val="0"/>
              <w:snapToGrid w:val="0"/>
              <w:jc w:val="center"/>
              <w:rPr>
                <w:rFonts w:ascii="Arial" w:hAnsi="Arial" w:eastAsia="宋体" w:cs="Arial"/>
                <w:sz w:val="21"/>
                <w:szCs w:val="21"/>
              </w:rPr>
            </w:pPr>
            <w:r>
              <w:rPr>
                <w:rFonts w:ascii="Arial" w:hAnsi="Arial" w:eastAsia="宋体" w:cs="Arial"/>
                <w:sz w:val="21"/>
                <w:szCs w:val="21"/>
              </w:rPr>
              <w:t>钦州港经开区第七小学</w:t>
            </w:r>
          </w:p>
        </w:tc>
        <w:tc>
          <w:tcPr>
            <w:tcW w:w="595" w:type="pct"/>
            <w:tcBorders>
              <w:top w:val="single" w:color="auto" w:sz="4" w:space="0"/>
              <w:left w:val="single" w:color="auto" w:sz="4" w:space="0"/>
              <w:bottom w:val="single" w:color="auto" w:sz="4" w:space="0"/>
              <w:right w:val="single" w:color="auto" w:sz="4" w:space="0"/>
            </w:tcBorders>
            <w:vAlign w:val="center"/>
          </w:tcPr>
          <w:p w14:paraId="70EAC990">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7A4387D4">
            <w:pPr>
              <w:adjustRightInd w:val="0"/>
              <w:snapToGrid w:val="0"/>
              <w:jc w:val="center"/>
              <w:rPr>
                <w:rFonts w:ascii="Arial" w:hAnsi="Arial" w:eastAsia="宋体" w:cs="Arial"/>
                <w:sz w:val="21"/>
                <w:szCs w:val="21"/>
              </w:rPr>
            </w:pPr>
            <w:r>
              <w:rPr>
                <w:rFonts w:ascii="Arial" w:hAnsi="Arial" w:eastAsia="宋体" w:cs="Arial"/>
                <w:sz w:val="21"/>
                <w:szCs w:val="21"/>
              </w:rPr>
              <w:t>1620</w:t>
            </w:r>
          </w:p>
        </w:tc>
        <w:tc>
          <w:tcPr>
            <w:tcW w:w="770" w:type="pct"/>
            <w:tcBorders>
              <w:top w:val="single" w:color="auto" w:sz="4" w:space="0"/>
              <w:left w:val="single" w:color="auto" w:sz="4" w:space="0"/>
              <w:bottom w:val="single" w:color="auto" w:sz="4" w:space="0"/>
              <w:right w:val="single" w:color="auto" w:sz="4" w:space="0"/>
            </w:tcBorders>
            <w:vAlign w:val="center"/>
          </w:tcPr>
          <w:p w14:paraId="0BBECD39">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662" w:type="pct"/>
            <w:tcBorders>
              <w:top w:val="single" w:color="auto" w:sz="4" w:space="0"/>
              <w:left w:val="single" w:color="auto" w:sz="4" w:space="0"/>
              <w:bottom w:val="single" w:color="auto" w:sz="4" w:space="0"/>
              <w:right w:val="single" w:color="auto" w:sz="4" w:space="0"/>
            </w:tcBorders>
            <w:vAlign w:val="center"/>
          </w:tcPr>
          <w:p w14:paraId="31D3CB44">
            <w:pPr>
              <w:adjustRightInd w:val="0"/>
              <w:snapToGrid w:val="0"/>
              <w:jc w:val="center"/>
              <w:rPr>
                <w:rFonts w:ascii="Arial" w:hAnsi="Arial" w:eastAsia="宋体" w:cs="Arial"/>
                <w:sz w:val="21"/>
                <w:szCs w:val="21"/>
              </w:rPr>
            </w:pPr>
            <w:r>
              <w:rPr>
                <w:rFonts w:ascii="Arial" w:hAnsi="Arial" w:cs="Arial"/>
                <w:sz w:val="21"/>
                <w:szCs w:val="21"/>
              </w:rPr>
              <w:t>350</w:t>
            </w:r>
          </w:p>
        </w:tc>
      </w:tr>
      <w:tr w14:paraId="7AA1B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4C14EE79">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5A0D7DDC">
            <w:pPr>
              <w:adjustRightInd w:val="0"/>
              <w:snapToGrid w:val="0"/>
              <w:jc w:val="center"/>
              <w:rPr>
                <w:rFonts w:ascii="Arial" w:hAnsi="Arial" w:eastAsia="宋体" w:cs="Arial"/>
                <w:sz w:val="21"/>
                <w:szCs w:val="21"/>
              </w:rPr>
            </w:pPr>
            <w:r>
              <w:rPr>
                <w:rFonts w:ascii="Arial" w:hAnsi="Arial" w:eastAsia="宋体" w:cs="Arial"/>
                <w:sz w:val="21"/>
                <w:szCs w:val="21"/>
              </w:rPr>
              <w:t>13</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2A23BF5">
            <w:pPr>
              <w:adjustRightInd w:val="0"/>
              <w:snapToGrid w:val="0"/>
              <w:jc w:val="center"/>
              <w:rPr>
                <w:rFonts w:ascii="Arial" w:hAnsi="Arial" w:eastAsia="宋体" w:cs="Arial"/>
                <w:sz w:val="21"/>
                <w:szCs w:val="21"/>
              </w:rPr>
            </w:pPr>
            <w:r>
              <w:rPr>
                <w:rFonts w:ascii="Arial" w:hAnsi="Arial" w:eastAsia="宋体" w:cs="Arial"/>
                <w:sz w:val="21"/>
                <w:szCs w:val="21"/>
              </w:rPr>
              <w:t>大坑村</w:t>
            </w:r>
          </w:p>
        </w:tc>
        <w:tc>
          <w:tcPr>
            <w:tcW w:w="595" w:type="pct"/>
            <w:tcBorders>
              <w:top w:val="single" w:color="auto" w:sz="4" w:space="0"/>
              <w:left w:val="single" w:color="auto" w:sz="4" w:space="0"/>
              <w:bottom w:val="single" w:color="auto" w:sz="4" w:space="0"/>
              <w:right w:val="single" w:color="auto" w:sz="4" w:space="0"/>
            </w:tcBorders>
            <w:vAlign w:val="center"/>
          </w:tcPr>
          <w:p w14:paraId="34E31A72">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077A453C">
            <w:pPr>
              <w:adjustRightInd w:val="0"/>
              <w:snapToGrid w:val="0"/>
              <w:jc w:val="center"/>
              <w:rPr>
                <w:rFonts w:ascii="Arial" w:hAnsi="Arial" w:eastAsia="宋体" w:cs="Arial"/>
                <w:sz w:val="21"/>
                <w:szCs w:val="21"/>
              </w:rPr>
            </w:pPr>
            <w:r>
              <w:rPr>
                <w:rFonts w:ascii="Arial" w:hAnsi="Arial" w:eastAsia="宋体" w:cs="Arial"/>
                <w:sz w:val="21"/>
                <w:szCs w:val="21"/>
              </w:rPr>
              <w:t>1755</w:t>
            </w:r>
          </w:p>
        </w:tc>
        <w:tc>
          <w:tcPr>
            <w:tcW w:w="770" w:type="pct"/>
            <w:tcBorders>
              <w:top w:val="single" w:color="auto" w:sz="4" w:space="0"/>
              <w:left w:val="single" w:color="auto" w:sz="4" w:space="0"/>
              <w:bottom w:val="single" w:color="auto" w:sz="4" w:space="0"/>
              <w:right w:val="single" w:color="auto" w:sz="4" w:space="0"/>
            </w:tcBorders>
            <w:vAlign w:val="center"/>
          </w:tcPr>
          <w:p w14:paraId="78BEBCA6">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485832CD">
            <w:pPr>
              <w:adjustRightInd w:val="0"/>
              <w:snapToGrid w:val="0"/>
              <w:jc w:val="center"/>
              <w:rPr>
                <w:rFonts w:ascii="Arial" w:hAnsi="Arial" w:eastAsia="宋体" w:cs="Arial"/>
                <w:sz w:val="21"/>
                <w:szCs w:val="21"/>
              </w:rPr>
            </w:pPr>
            <w:r>
              <w:rPr>
                <w:rFonts w:ascii="Arial" w:hAnsi="Arial" w:cs="Arial"/>
                <w:sz w:val="21"/>
                <w:szCs w:val="21"/>
              </w:rPr>
              <w:t>107</w:t>
            </w:r>
          </w:p>
        </w:tc>
      </w:tr>
      <w:tr w14:paraId="55234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A0717A2">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6D226536">
            <w:pPr>
              <w:adjustRightInd w:val="0"/>
              <w:snapToGrid w:val="0"/>
              <w:jc w:val="center"/>
              <w:rPr>
                <w:rFonts w:ascii="Arial" w:hAnsi="Arial" w:eastAsia="宋体" w:cs="Arial"/>
                <w:sz w:val="21"/>
                <w:szCs w:val="21"/>
              </w:rPr>
            </w:pPr>
            <w:r>
              <w:rPr>
                <w:rFonts w:ascii="Arial" w:hAnsi="Arial" w:eastAsia="宋体" w:cs="Arial"/>
                <w:sz w:val="21"/>
                <w:szCs w:val="21"/>
              </w:rPr>
              <w:t>14</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B91ADC5">
            <w:pPr>
              <w:adjustRightInd w:val="0"/>
              <w:snapToGrid w:val="0"/>
              <w:jc w:val="center"/>
              <w:rPr>
                <w:rFonts w:ascii="Arial" w:hAnsi="Arial" w:eastAsia="宋体" w:cs="Arial"/>
                <w:sz w:val="21"/>
                <w:szCs w:val="21"/>
              </w:rPr>
            </w:pPr>
            <w:r>
              <w:rPr>
                <w:rFonts w:ascii="Arial" w:hAnsi="Arial" w:eastAsia="宋体" w:cs="Arial"/>
                <w:sz w:val="21"/>
                <w:szCs w:val="21"/>
              </w:rPr>
              <w:t>黄竹根村</w:t>
            </w:r>
          </w:p>
        </w:tc>
        <w:tc>
          <w:tcPr>
            <w:tcW w:w="595" w:type="pct"/>
            <w:tcBorders>
              <w:top w:val="single" w:color="auto" w:sz="4" w:space="0"/>
              <w:left w:val="single" w:color="auto" w:sz="4" w:space="0"/>
              <w:bottom w:val="single" w:color="auto" w:sz="4" w:space="0"/>
              <w:right w:val="single" w:color="auto" w:sz="4" w:space="0"/>
            </w:tcBorders>
            <w:vAlign w:val="center"/>
          </w:tcPr>
          <w:p w14:paraId="7EC440CB">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49F6B0F8">
            <w:pPr>
              <w:adjustRightInd w:val="0"/>
              <w:snapToGrid w:val="0"/>
              <w:jc w:val="center"/>
              <w:rPr>
                <w:rFonts w:ascii="Arial" w:hAnsi="Arial" w:eastAsia="宋体" w:cs="Arial"/>
                <w:sz w:val="21"/>
                <w:szCs w:val="21"/>
              </w:rPr>
            </w:pPr>
            <w:r>
              <w:rPr>
                <w:rFonts w:ascii="Arial" w:hAnsi="Arial" w:eastAsia="宋体" w:cs="Arial"/>
                <w:sz w:val="21"/>
                <w:szCs w:val="21"/>
              </w:rPr>
              <w:t>1805</w:t>
            </w:r>
          </w:p>
        </w:tc>
        <w:tc>
          <w:tcPr>
            <w:tcW w:w="770" w:type="pct"/>
            <w:tcBorders>
              <w:top w:val="single" w:color="auto" w:sz="4" w:space="0"/>
              <w:left w:val="single" w:color="auto" w:sz="4" w:space="0"/>
              <w:bottom w:val="single" w:color="auto" w:sz="4" w:space="0"/>
              <w:right w:val="single" w:color="auto" w:sz="4" w:space="0"/>
            </w:tcBorders>
            <w:vAlign w:val="center"/>
          </w:tcPr>
          <w:p w14:paraId="17EFF270">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6B346C15">
            <w:pPr>
              <w:adjustRightInd w:val="0"/>
              <w:snapToGrid w:val="0"/>
              <w:jc w:val="center"/>
              <w:rPr>
                <w:rFonts w:ascii="Arial" w:hAnsi="Arial" w:eastAsia="宋体" w:cs="Arial"/>
                <w:sz w:val="21"/>
                <w:szCs w:val="21"/>
              </w:rPr>
            </w:pPr>
            <w:r>
              <w:rPr>
                <w:rFonts w:ascii="Arial" w:hAnsi="Arial" w:cs="Arial"/>
                <w:sz w:val="21"/>
                <w:szCs w:val="21"/>
              </w:rPr>
              <w:t>140</w:t>
            </w:r>
          </w:p>
        </w:tc>
      </w:tr>
      <w:tr w14:paraId="63278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4476734A">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0F31AA50">
            <w:pPr>
              <w:adjustRightInd w:val="0"/>
              <w:snapToGrid w:val="0"/>
              <w:jc w:val="center"/>
              <w:rPr>
                <w:rFonts w:ascii="Arial" w:hAnsi="Arial" w:eastAsia="宋体" w:cs="Arial"/>
                <w:sz w:val="21"/>
                <w:szCs w:val="21"/>
              </w:rPr>
            </w:pPr>
            <w:r>
              <w:rPr>
                <w:rFonts w:ascii="Arial" w:hAnsi="Arial" w:eastAsia="宋体" w:cs="Arial"/>
                <w:sz w:val="21"/>
                <w:szCs w:val="21"/>
              </w:rPr>
              <w:t>15</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F5F7D06">
            <w:pPr>
              <w:adjustRightInd w:val="0"/>
              <w:snapToGrid w:val="0"/>
              <w:jc w:val="center"/>
              <w:rPr>
                <w:rFonts w:ascii="Arial" w:hAnsi="Arial" w:eastAsia="宋体" w:cs="Arial"/>
                <w:sz w:val="21"/>
                <w:szCs w:val="21"/>
              </w:rPr>
            </w:pPr>
            <w:r>
              <w:rPr>
                <w:rFonts w:ascii="Arial" w:hAnsi="Arial" w:eastAsia="宋体" w:cs="Arial"/>
                <w:sz w:val="21"/>
                <w:szCs w:val="21"/>
              </w:rPr>
              <w:t>龙狗坑村</w:t>
            </w:r>
          </w:p>
        </w:tc>
        <w:tc>
          <w:tcPr>
            <w:tcW w:w="595" w:type="pct"/>
            <w:tcBorders>
              <w:top w:val="single" w:color="auto" w:sz="4" w:space="0"/>
              <w:left w:val="single" w:color="auto" w:sz="4" w:space="0"/>
              <w:bottom w:val="single" w:color="auto" w:sz="4" w:space="0"/>
              <w:right w:val="single" w:color="auto" w:sz="4" w:space="0"/>
            </w:tcBorders>
            <w:vAlign w:val="center"/>
          </w:tcPr>
          <w:p w14:paraId="0D4C57B4">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44CD4611">
            <w:pPr>
              <w:adjustRightInd w:val="0"/>
              <w:snapToGrid w:val="0"/>
              <w:jc w:val="center"/>
              <w:rPr>
                <w:rFonts w:ascii="Arial" w:hAnsi="Arial" w:eastAsia="宋体" w:cs="Arial"/>
                <w:sz w:val="21"/>
                <w:szCs w:val="21"/>
              </w:rPr>
            </w:pPr>
            <w:r>
              <w:rPr>
                <w:rFonts w:ascii="Arial" w:hAnsi="Arial" w:eastAsia="宋体" w:cs="Arial"/>
                <w:sz w:val="21"/>
                <w:szCs w:val="21"/>
              </w:rPr>
              <w:t>1820</w:t>
            </w:r>
          </w:p>
        </w:tc>
        <w:tc>
          <w:tcPr>
            <w:tcW w:w="770" w:type="pct"/>
            <w:tcBorders>
              <w:top w:val="single" w:color="auto" w:sz="4" w:space="0"/>
              <w:left w:val="single" w:color="auto" w:sz="4" w:space="0"/>
              <w:bottom w:val="single" w:color="auto" w:sz="4" w:space="0"/>
              <w:right w:val="single" w:color="auto" w:sz="4" w:space="0"/>
            </w:tcBorders>
            <w:vAlign w:val="center"/>
          </w:tcPr>
          <w:p w14:paraId="1205E46D">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0718F2CE">
            <w:pPr>
              <w:adjustRightInd w:val="0"/>
              <w:snapToGrid w:val="0"/>
              <w:jc w:val="center"/>
              <w:rPr>
                <w:rFonts w:ascii="Arial" w:hAnsi="Arial" w:eastAsia="宋体" w:cs="Arial"/>
                <w:sz w:val="21"/>
                <w:szCs w:val="21"/>
              </w:rPr>
            </w:pPr>
            <w:r>
              <w:rPr>
                <w:rFonts w:ascii="Arial" w:hAnsi="Arial" w:cs="Arial"/>
                <w:sz w:val="21"/>
                <w:szCs w:val="21"/>
              </w:rPr>
              <w:t>140</w:t>
            </w:r>
          </w:p>
        </w:tc>
      </w:tr>
      <w:tr w14:paraId="2160B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7F821C15">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3D7C3FC6">
            <w:pPr>
              <w:adjustRightInd w:val="0"/>
              <w:snapToGrid w:val="0"/>
              <w:jc w:val="center"/>
              <w:rPr>
                <w:rFonts w:ascii="Arial" w:hAnsi="Arial" w:eastAsia="宋体" w:cs="Arial"/>
                <w:sz w:val="21"/>
                <w:szCs w:val="21"/>
              </w:rPr>
            </w:pPr>
            <w:r>
              <w:rPr>
                <w:rFonts w:ascii="Arial" w:hAnsi="Arial" w:eastAsia="宋体" w:cs="Arial"/>
                <w:sz w:val="21"/>
                <w:szCs w:val="21"/>
              </w:rPr>
              <w:t>16</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2A7695E">
            <w:pPr>
              <w:adjustRightInd w:val="0"/>
              <w:snapToGrid w:val="0"/>
              <w:jc w:val="center"/>
              <w:rPr>
                <w:rFonts w:ascii="Arial" w:hAnsi="Arial" w:eastAsia="宋体" w:cs="Arial"/>
                <w:sz w:val="21"/>
                <w:szCs w:val="21"/>
              </w:rPr>
            </w:pPr>
            <w:r>
              <w:rPr>
                <w:rFonts w:ascii="Arial" w:hAnsi="Arial" w:eastAsia="宋体" w:cs="Arial"/>
                <w:sz w:val="21"/>
                <w:szCs w:val="21"/>
              </w:rPr>
              <w:t>淡水湾村</w:t>
            </w:r>
          </w:p>
        </w:tc>
        <w:tc>
          <w:tcPr>
            <w:tcW w:w="595" w:type="pct"/>
            <w:tcBorders>
              <w:top w:val="single" w:color="auto" w:sz="4" w:space="0"/>
              <w:left w:val="single" w:color="auto" w:sz="4" w:space="0"/>
              <w:bottom w:val="single" w:color="auto" w:sz="4" w:space="0"/>
              <w:right w:val="single" w:color="auto" w:sz="4" w:space="0"/>
            </w:tcBorders>
            <w:vAlign w:val="center"/>
          </w:tcPr>
          <w:p w14:paraId="4B821E34">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59CD8FAC">
            <w:pPr>
              <w:adjustRightInd w:val="0"/>
              <w:snapToGrid w:val="0"/>
              <w:jc w:val="center"/>
              <w:rPr>
                <w:rFonts w:ascii="Arial" w:hAnsi="Arial" w:eastAsia="宋体" w:cs="Arial"/>
                <w:sz w:val="21"/>
                <w:szCs w:val="21"/>
              </w:rPr>
            </w:pPr>
            <w:r>
              <w:rPr>
                <w:rFonts w:ascii="Arial" w:hAnsi="Arial" w:eastAsia="宋体" w:cs="Arial"/>
                <w:sz w:val="21"/>
                <w:szCs w:val="21"/>
              </w:rPr>
              <w:t>1860</w:t>
            </w:r>
          </w:p>
        </w:tc>
        <w:tc>
          <w:tcPr>
            <w:tcW w:w="770" w:type="pct"/>
            <w:tcBorders>
              <w:top w:val="single" w:color="auto" w:sz="4" w:space="0"/>
              <w:left w:val="single" w:color="auto" w:sz="4" w:space="0"/>
              <w:bottom w:val="single" w:color="auto" w:sz="4" w:space="0"/>
              <w:right w:val="single" w:color="auto" w:sz="4" w:space="0"/>
            </w:tcBorders>
            <w:vAlign w:val="center"/>
          </w:tcPr>
          <w:p w14:paraId="3E0DB112">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2E4ED57C">
            <w:pPr>
              <w:adjustRightInd w:val="0"/>
              <w:snapToGrid w:val="0"/>
              <w:jc w:val="center"/>
              <w:rPr>
                <w:rFonts w:ascii="Arial" w:hAnsi="Arial" w:eastAsia="宋体" w:cs="Arial"/>
                <w:sz w:val="21"/>
                <w:szCs w:val="21"/>
              </w:rPr>
            </w:pPr>
            <w:r>
              <w:rPr>
                <w:rFonts w:ascii="Arial" w:hAnsi="Arial" w:cs="Arial"/>
                <w:sz w:val="21"/>
                <w:szCs w:val="21"/>
              </w:rPr>
              <w:t>300</w:t>
            </w:r>
          </w:p>
        </w:tc>
      </w:tr>
      <w:tr w14:paraId="4BF58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164B54B9">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62FDF7F3">
            <w:pPr>
              <w:adjustRightInd w:val="0"/>
              <w:snapToGrid w:val="0"/>
              <w:jc w:val="center"/>
              <w:rPr>
                <w:rFonts w:ascii="Arial" w:hAnsi="Arial" w:eastAsia="宋体" w:cs="Arial"/>
                <w:sz w:val="21"/>
                <w:szCs w:val="21"/>
              </w:rPr>
            </w:pPr>
            <w:r>
              <w:rPr>
                <w:rFonts w:ascii="Arial" w:hAnsi="Arial" w:eastAsia="宋体" w:cs="Arial"/>
                <w:sz w:val="21"/>
                <w:szCs w:val="21"/>
              </w:rPr>
              <w:t>17</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41E0EB4">
            <w:pPr>
              <w:adjustRightInd w:val="0"/>
              <w:snapToGrid w:val="0"/>
              <w:jc w:val="center"/>
              <w:rPr>
                <w:rFonts w:ascii="Arial" w:hAnsi="Arial" w:eastAsia="宋体" w:cs="Arial"/>
                <w:sz w:val="21"/>
                <w:szCs w:val="21"/>
              </w:rPr>
            </w:pPr>
            <w:r>
              <w:rPr>
                <w:rFonts w:ascii="Arial" w:hAnsi="Arial" w:eastAsia="宋体" w:cs="Arial"/>
                <w:sz w:val="21"/>
                <w:szCs w:val="21"/>
              </w:rPr>
              <w:t>钦州保税港区办公楼</w:t>
            </w:r>
          </w:p>
        </w:tc>
        <w:tc>
          <w:tcPr>
            <w:tcW w:w="595" w:type="pct"/>
            <w:tcBorders>
              <w:top w:val="single" w:color="auto" w:sz="4" w:space="0"/>
              <w:left w:val="single" w:color="auto" w:sz="4" w:space="0"/>
              <w:bottom w:val="single" w:color="auto" w:sz="4" w:space="0"/>
              <w:right w:val="single" w:color="auto" w:sz="4" w:space="0"/>
            </w:tcBorders>
            <w:vAlign w:val="center"/>
          </w:tcPr>
          <w:p w14:paraId="5026D8AB">
            <w:pPr>
              <w:adjustRightInd w:val="0"/>
              <w:snapToGrid w:val="0"/>
              <w:jc w:val="center"/>
              <w:rPr>
                <w:rFonts w:ascii="Arial" w:hAnsi="Arial" w:eastAsia="宋体" w:cs="Arial"/>
                <w:sz w:val="21"/>
                <w:szCs w:val="21"/>
              </w:rPr>
            </w:pPr>
            <w:r>
              <w:rPr>
                <w:rFonts w:ascii="Arial" w:hAnsi="Arial" w:eastAsia="宋体" w:cs="Arial"/>
                <w:sz w:val="21"/>
                <w:szCs w:val="21"/>
              </w:rPr>
              <w:t>西南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7D530AAF">
            <w:pPr>
              <w:adjustRightInd w:val="0"/>
              <w:snapToGrid w:val="0"/>
              <w:jc w:val="center"/>
              <w:rPr>
                <w:rFonts w:ascii="Arial" w:hAnsi="Arial" w:eastAsia="宋体" w:cs="Arial"/>
                <w:sz w:val="21"/>
                <w:szCs w:val="21"/>
              </w:rPr>
            </w:pPr>
            <w:r>
              <w:rPr>
                <w:rFonts w:ascii="Arial" w:hAnsi="Arial" w:eastAsia="宋体" w:cs="Arial"/>
                <w:sz w:val="21"/>
                <w:szCs w:val="21"/>
              </w:rPr>
              <w:t>1995</w:t>
            </w:r>
          </w:p>
        </w:tc>
        <w:tc>
          <w:tcPr>
            <w:tcW w:w="770" w:type="pct"/>
            <w:tcBorders>
              <w:top w:val="single" w:color="auto" w:sz="4" w:space="0"/>
              <w:left w:val="single" w:color="auto" w:sz="4" w:space="0"/>
              <w:bottom w:val="single" w:color="auto" w:sz="4" w:space="0"/>
              <w:right w:val="single" w:color="auto" w:sz="4" w:space="0"/>
            </w:tcBorders>
            <w:vAlign w:val="center"/>
          </w:tcPr>
          <w:p w14:paraId="75CDD15C">
            <w:pPr>
              <w:adjustRightInd w:val="0"/>
              <w:snapToGrid w:val="0"/>
              <w:jc w:val="center"/>
              <w:rPr>
                <w:rFonts w:ascii="Arial" w:hAnsi="Arial" w:eastAsia="宋体" w:cs="Arial"/>
                <w:sz w:val="21"/>
                <w:szCs w:val="21"/>
              </w:rPr>
            </w:pPr>
            <w:r>
              <w:rPr>
                <w:rFonts w:ascii="Arial" w:hAnsi="Arial" w:eastAsia="宋体" w:cs="Arial"/>
                <w:sz w:val="21"/>
                <w:szCs w:val="21"/>
              </w:rPr>
              <w:t>政府机构</w:t>
            </w:r>
          </w:p>
        </w:tc>
        <w:tc>
          <w:tcPr>
            <w:tcW w:w="662" w:type="pct"/>
            <w:tcBorders>
              <w:top w:val="single" w:color="auto" w:sz="4" w:space="0"/>
              <w:left w:val="single" w:color="auto" w:sz="4" w:space="0"/>
              <w:bottom w:val="single" w:color="auto" w:sz="4" w:space="0"/>
              <w:right w:val="single" w:color="auto" w:sz="4" w:space="0"/>
            </w:tcBorders>
            <w:vAlign w:val="center"/>
          </w:tcPr>
          <w:p w14:paraId="73E5A4F0">
            <w:pPr>
              <w:adjustRightInd w:val="0"/>
              <w:snapToGrid w:val="0"/>
              <w:jc w:val="center"/>
              <w:rPr>
                <w:rFonts w:ascii="Arial" w:hAnsi="Arial" w:eastAsia="宋体" w:cs="Arial"/>
                <w:sz w:val="21"/>
                <w:szCs w:val="21"/>
              </w:rPr>
            </w:pPr>
            <w:r>
              <w:rPr>
                <w:rFonts w:ascii="Arial" w:hAnsi="Arial" w:cs="Arial"/>
                <w:sz w:val="21"/>
                <w:szCs w:val="21"/>
              </w:rPr>
              <w:t>1000</w:t>
            </w:r>
          </w:p>
        </w:tc>
      </w:tr>
      <w:tr w14:paraId="76046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57E5240">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7A2626A1">
            <w:pPr>
              <w:adjustRightInd w:val="0"/>
              <w:snapToGrid w:val="0"/>
              <w:jc w:val="center"/>
              <w:rPr>
                <w:rFonts w:ascii="Arial" w:hAnsi="Arial" w:eastAsia="宋体" w:cs="Arial"/>
                <w:sz w:val="21"/>
                <w:szCs w:val="21"/>
              </w:rPr>
            </w:pPr>
            <w:r>
              <w:rPr>
                <w:rFonts w:ascii="Arial" w:hAnsi="Arial" w:eastAsia="宋体" w:cs="Arial"/>
                <w:sz w:val="21"/>
                <w:szCs w:val="21"/>
              </w:rPr>
              <w:t>18</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4A4F656">
            <w:pPr>
              <w:adjustRightInd w:val="0"/>
              <w:snapToGrid w:val="0"/>
              <w:jc w:val="center"/>
              <w:rPr>
                <w:rFonts w:ascii="Arial" w:hAnsi="Arial" w:eastAsia="宋体" w:cs="Arial"/>
                <w:sz w:val="21"/>
                <w:szCs w:val="21"/>
              </w:rPr>
            </w:pPr>
            <w:r>
              <w:rPr>
                <w:rFonts w:ascii="Arial" w:hAnsi="Arial" w:eastAsia="宋体" w:cs="Arial"/>
                <w:sz w:val="21"/>
                <w:szCs w:val="21"/>
              </w:rPr>
              <w:t>海关办公楼</w:t>
            </w:r>
          </w:p>
        </w:tc>
        <w:tc>
          <w:tcPr>
            <w:tcW w:w="595" w:type="pct"/>
            <w:tcBorders>
              <w:top w:val="single" w:color="auto" w:sz="4" w:space="0"/>
              <w:left w:val="single" w:color="auto" w:sz="4" w:space="0"/>
              <w:bottom w:val="single" w:color="auto" w:sz="4" w:space="0"/>
              <w:right w:val="single" w:color="auto" w:sz="4" w:space="0"/>
            </w:tcBorders>
            <w:vAlign w:val="center"/>
          </w:tcPr>
          <w:p w14:paraId="678B00DB">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5AACB390">
            <w:pPr>
              <w:adjustRightInd w:val="0"/>
              <w:snapToGrid w:val="0"/>
              <w:jc w:val="center"/>
              <w:rPr>
                <w:rFonts w:ascii="Arial" w:hAnsi="Arial" w:eastAsia="宋体" w:cs="Arial"/>
                <w:sz w:val="21"/>
                <w:szCs w:val="21"/>
              </w:rPr>
            </w:pPr>
            <w:r>
              <w:rPr>
                <w:rFonts w:ascii="Arial" w:hAnsi="Arial" w:eastAsia="宋体" w:cs="Arial"/>
                <w:sz w:val="21"/>
                <w:szCs w:val="21"/>
              </w:rPr>
              <w:t>2385</w:t>
            </w:r>
          </w:p>
        </w:tc>
        <w:tc>
          <w:tcPr>
            <w:tcW w:w="770" w:type="pct"/>
            <w:tcBorders>
              <w:top w:val="single" w:color="auto" w:sz="4" w:space="0"/>
              <w:left w:val="single" w:color="auto" w:sz="4" w:space="0"/>
              <w:bottom w:val="single" w:color="auto" w:sz="4" w:space="0"/>
              <w:right w:val="single" w:color="auto" w:sz="4" w:space="0"/>
            </w:tcBorders>
            <w:vAlign w:val="center"/>
          </w:tcPr>
          <w:p w14:paraId="2E718BA2">
            <w:pPr>
              <w:adjustRightInd w:val="0"/>
              <w:snapToGrid w:val="0"/>
              <w:jc w:val="center"/>
              <w:rPr>
                <w:rFonts w:ascii="Arial" w:hAnsi="Arial" w:eastAsia="宋体" w:cs="Arial"/>
                <w:sz w:val="21"/>
                <w:szCs w:val="21"/>
              </w:rPr>
            </w:pPr>
            <w:r>
              <w:rPr>
                <w:rFonts w:ascii="Arial" w:hAnsi="Arial" w:eastAsia="宋体" w:cs="Arial"/>
                <w:sz w:val="21"/>
                <w:szCs w:val="21"/>
              </w:rPr>
              <w:t>办公楼</w:t>
            </w:r>
          </w:p>
        </w:tc>
        <w:tc>
          <w:tcPr>
            <w:tcW w:w="662" w:type="pct"/>
            <w:tcBorders>
              <w:top w:val="single" w:color="auto" w:sz="4" w:space="0"/>
              <w:left w:val="single" w:color="auto" w:sz="4" w:space="0"/>
              <w:bottom w:val="single" w:color="auto" w:sz="4" w:space="0"/>
              <w:right w:val="single" w:color="auto" w:sz="4" w:space="0"/>
            </w:tcBorders>
            <w:vAlign w:val="center"/>
          </w:tcPr>
          <w:p w14:paraId="5506840B">
            <w:pPr>
              <w:adjustRightInd w:val="0"/>
              <w:snapToGrid w:val="0"/>
              <w:jc w:val="center"/>
              <w:rPr>
                <w:rFonts w:ascii="Arial" w:hAnsi="Arial" w:eastAsia="宋体" w:cs="Arial"/>
                <w:sz w:val="21"/>
                <w:szCs w:val="21"/>
              </w:rPr>
            </w:pPr>
            <w:r>
              <w:rPr>
                <w:rFonts w:ascii="Arial" w:hAnsi="Arial" w:cs="Arial"/>
                <w:sz w:val="21"/>
                <w:szCs w:val="21"/>
              </w:rPr>
              <w:t>300</w:t>
            </w:r>
          </w:p>
        </w:tc>
      </w:tr>
      <w:tr w14:paraId="7BB78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27DFA32">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55F4073C">
            <w:pPr>
              <w:adjustRightInd w:val="0"/>
              <w:snapToGrid w:val="0"/>
              <w:jc w:val="center"/>
              <w:rPr>
                <w:rFonts w:ascii="Arial" w:hAnsi="Arial" w:eastAsia="宋体" w:cs="Arial"/>
                <w:sz w:val="21"/>
                <w:szCs w:val="21"/>
              </w:rPr>
            </w:pPr>
            <w:r>
              <w:rPr>
                <w:rFonts w:ascii="Arial" w:hAnsi="Arial" w:eastAsia="宋体" w:cs="Arial"/>
                <w:sz w:val="21"/>
                <w:szCs w:val="21"/>
              </w:rPr>
              <w:t>19</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DC6760C">
            <w:pPr>
              <w:adjustRightInd w:val="0"/>
              <w:snapToGrid w:val="0"/>
              <w:jc w:val="center"/>
              <w:rPr>
                <w:rFonts w:ascii="Arial" w:hAnsi="Arial" w:eastAsia="宋体" w:cs="Arial"/>
                <w:sz w:val="21"/>
                <w:szCs w:val="21"/>
              </w:rPr>
            </w:pPr>
            <w:r>
              <w:rPr>
                <w:rFonts w:ascii="Arial" w:hAnsi="Arial" w:eastAsia="宋体" w:cs="Arial"/>
                <w:sz w:val="21"/>
                <w:szCs w:val="21"/>
              </w:rPr>
              <w:t>港区政务中心</w:t>
            </w:r>
          </w:p>
        </w:tc>
        <w:tc>
          <w:tcPr>
            <w:tcW w:w="595" w:type="pct"/>
            <w:tcBorders>
              <w:top w:val="single" w:color="auto" w:sz="4" w:space="0"/>
              <w:left w:val="single" w:color="auto" w:sz="4" w:space="0"/>
              <w:bottom w:val="single" w:color="auto" w:sz="4" w:space="0"/>
              <w:right w:val="single" w:color="auto" w:sz="4" w:space="0"/>
            </w:tcBorders>
            <w:vAlign w:val="center"/>
          </w:tcPr>
          <w:p w14:paraId="11AB5765">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75447788">
            <w:pPr>
              <w:adjustRightInd w:val="0"/>
              <w:snapToGrid w:val="0"/>
              <w:jc w:val="center"/>
              <w:rPr>
                <w:rFonts w:ascii="Arial" w:hAnsi="Arial" w:eastAsia="宋体" w:cs="Arial"/>
                <w:sz w:val="21"/>
                <w:szCs w:val="21"/>
              </w:rPr>
            </w:pPr>
            <w:r>
              <w:rPr>
                <w:rFonts w:ascii="Arial" w:hAnsi="Arial" w:eastAsia="宋体" w:cs="Arial"/>
                <w:sz w:val="21"/>
                <w:szCs w:val="21"/>
              </w:rPr>
              <w:t>2400</w:t>
            </w:r>
          </w:p>
        </w:tc>
        <w:tc>
          <w:tcPr>
            <w:tcW w:w="770" w:type="pct"/>
            <w:tcBorders>
              <w:top w:val="single" w:color="auto" w:sz="4" w:space="0"/>
              <w:left w:val="single" w:color="auto" w:sz="4" w:space="0"/>
              <w:bottom w:val="single" w:color="auto" w:sz="4" w:space="0"/>
              <w:right w:val="single" w:color="auto" w:sz="4" w:space="0"/>
            </w:tcBorders>
            <w:vAlign w:val="center"/>
          </w:tcPr>
          <w:p w14:paraId="5EAAA54C">
            <w:pPr>
              <w:adjustRightInd w:val="0"/>
              <w:snapToGrid w:val="0"/>
              <w:jc w:val="center"/>
              <w:rPr>
                <w:rFonts w:ascii="Arial" w:hAnsi="Arial" w:eastAsia="宋体" w:cs="Arial"/>
                <w:sz w:val="21"/>
                <w:szCs w:val="21"/>
              </w:rPr>
            </w:pPr>
            <w:r>
              <w:rPr>
                <w:rFonts w:ascii="Arial" w:hAnsi="Arial" w:eastAsia="宋体" w:cs="Arial"/>
                <w:sz w:val="21"/>
                <w:szCs w:val="21"/>
              </w:rPr>
              <w:t>办公楼</w:t>
            </w:r>
          </w:p>
        </w:tc>
        <w:tc>
          <w:tcPr>
            <w:tcW w:w="662" w:type="pct"/>
            <w:tcBorders>
              <w:top w:val="single" w:color="auto" w:sz="4" w:space="0"/>
              <w:left w:val="single" w:color="auto" w:sz="4" w:space="0"/>
              <w:bottom w:val="single" w:color="auto" w:sz="4" w:space="0"/>
              <w:right w:val="single" w:color="auto" w:sz="4" w:space="0"/>
            </w:tcBorders>
            <w:vAlign w:val="center"/>
          </w:tcPr>
          <w:p w14:paraId="53944F6A">
            <w:pPr>
              <w:adjustRightInd w:val="0"/>
              <w:snapToGrid w:val="0"/>
              <w:jc w:val="center"/>
              <w:rPr>
                <w:rFonts w:ascii="Arial" w:hAnsi="Arial" w:eastAsia="宋体" w:cs="Arial"/>
                <w:sz w:val="21"/>
                <w:szCs w:val="21"/>
              </w:rPr>
            </w:pPr>
            <w:r>
              <w:rPr>
                <w:rFonts w:ascii="Arial" w:hAnsi="Arial" w:cs="Arial"/>
                <w:sz w:val="21"/>
                <w:szCs w:val="21"/>
              </w:rPr>
              <w:t>500</w:t>
            </w:r>
          </w:p>
        </w:tc>
      </w:tr>
      <w:tr w14:paraId="061A7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4B4AEC0F">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144ED524">
            <w:pPr>
              <w:adjustRightInd w:val="0"/>
              <w:snapToGrid w:val="0"/>
              <w:jc w:val="center"/>
              <w:rPr>
                <w:rFonts w:ascii="Arial" w:hAnsi="Arial" w:eastAsia="宋体" w:cs="Arial"/>
                <w:sz w:val="21"/>
                <w:szCs w:val="21"/>
              </w:rPr>
            </w:pPr>
            <w:r>
              <w:rPr>
                <w:rFonts w:ascii="Arial" w:hAnsi="Arial" w:eastAsia="宋体" w:cs="Arial"/>
                <w:sz w:val="21"/>
                <w:szCs w:val="21"/>
              </w:rPr>
              <w:t>20</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F5389D1">
            <w:pPr>
              <w:adjustRightInd w:val="0"/>
              <w:snapToGrid w:val="0"/>
              <w:jc w:val="center"/>
              <w:rPr>
                <w:rFonts w:ascii="Arial" w:hAnsi="Arial" w:eastAsia="宋体" w:cs="Arial"/>
                <w:sz w:val="21"/>
                <w:szCs w:val="21"/>
              </w:rPr>
            </w:pPr>
            <w:r>
              <w:rPr>
                <w:rFonts w:ascii="Arial" w:hAnsi="Arial" w:eastAsia="宋体" w:cs="Arial"/>
                <w:sz w:val="21"/>
                <w:szCs w:val="21"/>
              </w:rPr>
              <w:t>港区第四小学</w:t>
            </w:r>
          </w:p>
        </w:tc>
        <w:tc>
          <w:tcPr>
            <w:tcW w:w="595" w:type="pct"/>
            <w:tcBorders>
              <w:top w:val="single" w:color="auto" w:sz="4" w:space="0"/>
              <w:left w:val="single" w:color="auto" w:sz="4" w:space="0"/>
              <w:bottom w:val="single" w:color="auto" w:sz="4" w:space="0"/>
              <w:right w:val="single" w:color="auto" w:sz="4" w:space="0"/>
            </w:tcBorders>
            <w:vAlign w:val="center"/>
          </w:tcPr>
          <w:p w14:paraId="32DAD232">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0FBE95A5">
            <w:pPr>
              <w:adjustRightInd w:val="0"/>
              <w:snapToGrid w:val="0"/>
              <w:jc w:val="center"/>
              <w:rPr>
                <w:rFonts w:ascii="Arial" w:hAnsi="Arial" w:eastAsia="宋体" w:cs="Arial"/>
                <w:sz w:val="21"/>
                <w:szCs w:val="21"/>
              </w:rPr>
            </w:pPr>
            <w:r>
              <w:rPr>
                <w:rFonts w:ascii="Arial" w:hAnsi="Arial" w:eastAsia="宋体" w:cs="Arial"/>
                <w:sz w:val="21"/>
                <w:szCs w:val="21"/>
              </w:rPr>
              <w:t>2910</w:t>
            </w:r>
          </w:p>
        </w:tc>
        <w:tc>
          <w:tcPr>
            <w:tcW w:w="770" w:type="pct"/>
            <w:tcBorders>
              <w:top w:val="single" w:color="auto" w:sz="4" w:space="0"/>
              <w:left w:val="single" w:color="auto" w:sz="4" w:space="0"/>
              <w:bottom w:val="single" w:color="auto" w:sz="4" w:space="0"/>
              <w:right w:val="single" w:color="auto" w:sz="4" w:space="0"/>
            </w:tcBorders>
            <w:vAlign w:val="center"/>
          </w:tcPr>
          <w:p w14:paraId="1D7F8760">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662" w:type="pct"/>
            <w:tcBorders>
              <w:top w:val="single" w:color="auto" w:sz="4" w:space="0"/>
              <w:left w:val="single" w:color="auto" w:sz="4" w:space="0"/>
              <w:bottom w:val="single" w:color="auto" w:sz="4" w:space="0"/>
              <w:right w:val="single" w:color="auto" w:sz="4" w:space="0"/>
            </w:tcBorders>
            <w:vAlign w:val="center"/>
          </w:tcPr>
          <w:p w14:paraId="40793CB3">
            <w:pPr>
              <w:adjustRightInd w:val="0"/>
              <w:snapToGrid w:val="0"/>
              <w:jc w:val="center"/>
              <w:rPr>
                <w:rFonts w:ascii="Arial" w:hAnsi="Arial" w:eastAsia="宋体" w:cs="Arial"/>
                <w:sz w:val="21"/>
                <w:szCs w:val="21"/>
              </w:rPr>
            </w:pPr>
            <w:r>
              <w:rPr>
                <w:rFonts w:ascii="Arial" w:hAnsi="Arial" w:cs="Arial"/>
                <w:sz w:val="21"/>
                <w:szCs w:val="21"/>
              </w:rPr>
              <w:t>300</w:t>
            </w:r>
          </w:p>
        </w:tc>
      </w:tr>
      <w:tr w14:paraId="31D47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411A28A1">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23958C5F">
            <w:pPr>
              <w:adjustRightInd w:val="0"/>
              <w:snapToGrid w:val="0"/>
              <w:jc w:val="center"/>
              <w:rPr>
                <w:rFonts w:ascii="Arial" w:hAnsi="Arial" w:eastAsia="宋体" w:cs="Arial"/>
                <w:sz w:val="21"/>
                <w:szCs w:val="21"/>
              </w:rPr>
            </w:pPr>
            <w:r>
              <w:rPr>
                <w:rFonts w:ascii="Arial" w:hAnsi="Arial" w:eastAsia="宋体" w:cs="Arial"/>
                <w:sz w:val="21"/>
                <w:szCs w:val="21"/>
              </w:rPr>
              <w:t>21</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B36D0DC">
            <w:pPr>
              <w:adjustRightInd w:val="0"/>
              <w:snapToGrid w:val="0"/>
              <w:jc w:val="center"/>
              <w:rPr>
                <w:rFonts w:ascii="Arial" w:hAnsi="Arial" w:eastAsia="宋体" w:cs="Arial"/>
                <w:sz w:val="21"/>
                <w:szCs w:val="21"/>
              </w:rPr>
            </w:pPr>
            <w:r>
              <w:rPr>
                <w:rFonts w:ascii="Arial" w:hAnsi="Arial" w:eastAsia="宋体" w:cs="Arial"/>
                <w:sz w:val="21"/>
                <w:szCs w:val="21"/>
              </w:rPr>
              <w:t>蚝蛎墩村</w:t>
            </w:r>
          </w:p>
        </w:tc>
        <w:tc>
          <w:tcPr>
            <w:tcW w:w="595" w:type="pct"/>
            <w:tcBorders>
              <w:top w:val="single" w:color="auto" w:sz="4" w:space="0"/>
              <w:left w:val="single" w:color="auto" w:sz="4" w:space="0"/>
              <w:bottom w:val="single" w:color="auto" w:sz="4" w:space="0"/>
              <w:right w:val="single" w:color="auto" w:sz="4" w:space="0"/>
            </w:tcBorders>
            <w:vAlign w:val="center"/>
          </w:tcPr>
          <w:p w14:paraId="40F7522D">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6B186269">
            <w:pPr>
              <w:adjustRightInd w:val="0"/>
              <w:snapToGrid w:val="0"/>
              <w:jc w:val="center"/>
              <w:rPr>
                <w:rFonts w:ascii="Arial" w:hAnsi="Arial" w:eastAsia="宋体" w:cs="Arial"/>
                <w:sz w:val="21"/>
                <w:szCs w:val="21"/>
              </w:rPr>
            </w:pPr>
            <w:r>
              <w:rPr>
                <w:rFonts w:ascii="Arial" w:hAnsi="Arial" w:eastAsia="宋体" w:cs="Arial"/>
                <w:sz w:val="21"/>
                <w:szCs w:val="21"/>
              </w:rPr>
              <w:t>2945</w:t>
            </w:r>
          </w:p>
        </w:tc>
        <w:tc>
          <w:tcPr>
            <w:tcW w:w="770" w:type="pct"/>
            <w:tcBorders>
              <w:top w:val="single" w:color="auto" w:sz="4" w:space="0"/>
              <w:left w:val="single" w:color="auto" w:sz="4" w:space="0"/>
              <w:bottom w:val="single" w:color="auto" w:sz="4" w:space="0"/>
              <w:right w:val="single" w:color="auto" w:sz="4" w:space="0"/>
            </w:tcBorders>
            <w:vAlign w:val="center"/>
          </w:tcPr>
          <w:p w14:paraId="21843CB9">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691A524E">
            <w:pPr>
              <w:adjustRightInd w:val="0"/>
              <w:snapToGrid w:val="0"/>
              <w:jc w:val="center"/>
              <w:rPr>
                <w:rFonts w:ascii="Arial" w:hAnsi="Arial" w:eastAsia="宋体" w:cs="Arial"/>
                <w:sz w:val="21"/>
                <w:szCs w:val="21"/>
              </w:rPr>
            </w:pPr>
            <w:r>
              <w:rPr>
                <w:rFonts w:ascii="Arial" w:hAnsi="Arial" w:cs="Arial"/>
                <w:sz w:val="21"/>
                <w:szCs w:val="21"/>
              </w:rPr>
              <w:t>380</w:t>
            </w:r>
          </w:p>
        </w:tc>
      </w:tr>
      <w:tr w14:paraId="62FC1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3EE6B7E2">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3429345E">
            <w:pPr>
              <w:adjustRightInd w:val="0"/>
              <w:snapToGrid w:val="0"/>
              <w:jc w:val="center"/>
              <w:rPr>
                <w:rFonts w:ascii="Arial" w:hAnsi="Arial" w:eastAsia="宋体" w:cs="Arial"/>
                <w:sz w:val="21"/>
                <w:szCs w:val="21"/>
              </w:rPr>
            </w:pPr>
            <w:r>
              <w:rPr>
                <w:rFonts w:ascii="Arial" w:hAnsi="Arial" w:eastAsia="宋体" w:cs="Arial"/>
                <w:sz w:val="21"/>
                <w:szCs w:val="21"/>
              </w:rPr>
              <w:t>22</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BCAB6C4">
            <w:pPr>
              <w:adjustRightInd w:val="0"/>
              <w:snapToGrid w:val="0"/>
              <w:jc w:val="center"/>
              <w:rPr>
                <w:rFonts w:ascii="Arial" w:hAnsi="Arial" w:eastAsia="宋体" w:cs="Arial"/>
                <w:sz w:val="21"/>
                <w:szCs w:val="21"/>
              </w:rPr>
            </w:pPr>
            <w:r>
              <w:rPr>
                <w:rFonts w:ascii="Arial" w:hAnsi="Arial" w:eastAsia="宋体" w:cs="Arial"/>
                <w:sz w:val="21"/>
                <w:szCs w:val="21"/>
              </w:rPr>
              <w:t>新联村</w:t>
            </w:r>
          </w:p>
        </w:tc>
        <w:tc>
          <w:tcPr>
            <w:tcW w:w="595" w:type="pct"/>
            <w:tcBorders>
              <w:top w:val="single" w:color="auto" w:sz="4" w:space="0"/>
              <w:left w:val="single" w:color="auto" w:sz="4" w:space="0"/>
              <w:bottom w:val="single" w:color="auto" w:sz="4" w:space="0"/>
              <w:right w:val="single" w:color="auto" w:sz="4" w:space="0"/>
            </w:tcBorders>
            <w:vAlign w:val="center"/>
          </w:tcPr>
          <w:p w14:paraId="1AD25506">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1214762A">
            <w:pPr>
              <w:adjustRightInd w:val="0"/>
              <w:snapToGrid w:val="0"/>
              <w:jc w:val="center"/>
              <w:rPr>
                <w:rFonts w:ascii="Arial" w:hAnsi="Arial" w:eastAsia="宋体" w:cs="Arial"/>
                <w:sz w:val="21"/>
                <w:szCs w:val="21"/>
              </w:rPr>
            </w:pPr>
            <w:r>
              <w:rPr>
                <w:rFonts w:ascii="Arial" w:hAnsi="Arial" w:eastAsia="宋体" w:cs="Arial"/>
                <w:sz w:val="21"/>
                <w:szCs w:val="21"/>
              </w:rPr>
              <w:t>2955</w:t>
            </w:r>
          </w:p>
        </w:tc>
        <w:tc>
          <w:tcPr>
            <w:tcW w:w="770" w:type="pct"/>
            <w:tcBorders>
              <w:top w:val="single" w:color="auto" w:sz="4" w:space="0"/>
              <w:left w:val="single" w:color="auto" w:sz="4" w:space="0"/>
              <w:bottom w:val="single" w:color="auto" w:sz="4" w:space="0"/>
              <w:right w:val="single" w:color="auto" w:sz="4" w:space="0"/>
            </w:tcBorders>
            <w:vAlign w:val="center"/>
          </w:tcPr>
          <w:p w14:paraId="3605D877">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194E1158">
            <w:pPr>
              <w:adjustRightInd w:val="0"/>
              <w:snapToGrid w:val="0"/>
              <w:jc w:val="center"/>
              <w:rPr>
                <w:rFonts w:ascii="Arial" w:hAnsi="Arial" w:eastAsia="宋体" w:cs="Arial"/>
                <w:sz w:val="21"/>
                <w:szCs w:val="21"/>
              </w:rPr>
            </w:pPr>
            <w:r>
              <w:rPr>
                <w:rFonts w:ascii="Arial" w:hAnsi="Arial" w:cs="Arial"/>
                <w:sz w:val="21"/>
                <w:szCs w:val="21"/>
              </w:rPr>
              <w:t>744</w:t>
            </w:r>
          </w:p>
        </w:tc>
      </w:tr>
      <w:tr w14:paraId="5F8EF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7BB38FB6">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329D3427">
            <w:pPr>
              <w:adjustRightInd w:val="0"/>
              <w:snapToGrid w:val="0"/>
              <w:jc w:val="center"/>
              <w:rPr>
                <w:rFonts w:ascii="Arial" w:hAnsi="Arial" w:eastAsia="宋体" w:cs="Arial"/>
                <w:sz w:val="21"/>
                <w:szCs w:val="21"/>
              </w:rPr>
            </w:pPr>
            <w:r>
              <w:rPr>
                <w:rFonts w:ascii="Arial" w:hAnsi="Arial" w:eastAsia="宋体" w:cs="Arial"/>
                <w:sz w:val="21"/>
                <w:szCs w:val="21"/>
              </w:rPr>
              <w:t>23</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3E67989">
            <w:pPr>
              <w:adjustRightInd w:val="0"/>
              <w:snapToGrid w:val="0"/>
              <w:jc w:val="center"/>
              <w:rPr>
                <w:rFonts w:ascii="Arial" w:hAnsi="Arial" w:eastAsia="宋体" w:cs="Arial"/>
                <w:sz w:val="21"/>
                <w:szCs w:val="21"/>
              </w:rPr>
            </w:pPr>
            <w:r>
              <w:rPr>
                <w:rFonts w:ascii="Arial" w:hAnsi="Arial" w:eastAsia="宋体" w:cs="Arial"/>
                <w:sz w:val="21"/>
                <w:szCs w:val="21"/>
              </w:rPr>
              <w:t>大岭脚村</w:t>
            </w:r>
          </w:p>
        </w:tc>
        <w:tc>
          <w:tcPr>
            <w:tcW w:w="595" w:type="pct"/>
            <w:tcBorders>
              <w:top w:val="single" w:color="auto" w:sz="4" w:space="0"/>
              <w:left w:val="single" w:color="auto" w:sz="4" w:space="0"/>
              <w:bottom w:val="single" w:color="auto" w:sz="4" w:space="0"/>
              <w:right w:val="single" w:color="auto" w:sz="4" w:space="0"/>
            </w:tcBorders>
            <w:vAlign w:val="center"/>
          </w:tcPr>
          <w:p w14:paraId="4BD14D8B">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37989FFE">
            <w:pPr>
              <w:adjustRightInd w:val="0"/>
              <w:snapToGrid w:val="0"/>
              <w:jc w:val="center"/>
              <w:rPr>
                <w:rFonts w:ascii="Arial" w:hAnsi="Arial" w:eastAsia="宋体" w:cs="Arial"/>
                <w:sz w:val="21"/>
                <w:szCs w:val="21"/>
              </w:rPr>
            </w:pPr>
            <w:r>
              <w:rPr>
                <w:rFonts w:ascii="Arial" w:hAnsi="Arial" w:eastAsia="宋体" w:cs="Arial"/>
                <w:sz w:val="21"/>
                <w:szCs w:val="21"/>
              </w:rPr>
              <w:t>3050</w:t>
            </w:r>
          </w:p>
        </w:tc>
        <w:tc>
          <w:tcPr>
            <w:tcW w:w="770" w:type="pct"/>
            <w:tcBorders>
              <w:top w:val="single" w:color="auto" w:sz="4" w:space="0"/>
              <w:left w:val="single" w:color="auto" w:sz="4" w:space="0"/>
              <w:bottom w:val="single" w:color="auto" w:sz="4" w:space="0"/>
              <w:right w:val="single" w:color="auto" w:sz="4" w:space="0"/>
            </w:tcBorders>
            <w:vAlign w:val="center"/>
          </w:tcPr>
          <w:p w14:paraId="753EAC96">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006FE41E">
            <w:pPr>
              <w:adjustRightInd w:val="0"/>
              <w:snapToGrid w:val="0"/>
              <w:jc w:val="center"/>
              <w:rPr>
                <w:rFonts w:ascii="Arial" w:hAnsi="Arial" w:eastAsia="宋体" w:cs="Arial"/>
                <w:sz w:val="21"/>
                <w:szCs w:val="21"/>
              </w:rPr>
            </w:pPr>
            <w:r>
              <w:rPr>
                <w:rFonts w:ascii="Arial" w:hAnsi="Arial" w:cs="Arial"/>
                <w:sz w:val="21"/>
                <w:szCs w:val="21"/>
              </w:rPr>
              <w:t>106</w:t>
            </w:r>
          </w:p>
        </w:tc>
      </w:tr>
      <w:tr w14:paraId="2A762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0B78F39F">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3A26E025">
            <w:pPr>
              <w:adjustRightInd w:val="0"/>
              <w:snapToGrid w:val="0"/>
              <w:jc w:val="center"/>
              <w:rPr>
                <w:rFonts w:ascii="Arial" w:hAnsi="Arial" w:eastAsia="宋体" w:cs="Arial"/>
                <w:sz w:val="21"/>
                <w:szCs w:val="21"/>
              </w:rPr>
            </w:pPr>
            <w:r>
              <w:rPr>
                <w:rFonts w:ascii="Arial" w:hAnsi="Arial" w:eastAsia="宋体" w:cs="Arial"/>
                <w:sz w:val="21"/>
                <w:szCs w:val="21"/>
              </w:rPr>
              <w:t>24</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071CCED">
            <w:pPr>
              <w:adjustRightInd w:val="0"/>
              <w:snapToGrid w:val="0"/>
              <w:jc w:val="center"/>
              <w:rPr>
                <w:rFonts w:ascii="Arial" w:hAnsi="Arial" w:eastAsia="宋体" w:cs="Arial"/>
                <w:sz w:val="21"/>
                <w:szCs w:val="21"/>
              </w:rPr>
            </w:pPr>
            <w:r>
              <w:rPr>
                <w:rFonts w:ascii="Arial" w:hAnsi="Arial" w:eastAsia="宋体" w:cs="Arial"/>
                <w:sz w:val="21"/>
                <w:szCs w:val="21"/>
              </w:rPr>
              <w:t>细垌环村</w:t>
            </w:r>
          </w:p>
        </w:tc>
        <w:tc>
          <w:tcPr>
            <w:tcW w:w="595" w:type="pct"/>
            <w:tcBorders>
              <w:top w:val="single" w:color="auto" w:sz="4" w:space="0"/>
              <w:left w:val="single" w:color="auto" w:sz="4" w:space="0"/>
              <w:bottom w:val="single" w:color="auto" w:sz="4" w:space="0"/>
              <w:right w:val="single" w:color="auto" w:sz="4" w:space="0"/>
            </w:tcBorders>
            <w:vAlign w:val="center"/>
          </w:tcPr>
          <w:p w14:paraId="28CF5FA3">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3694CB41">
            <w:pPr>
              <w:adjustRightInd w:val="0"/>
              <w:snapToGrid w:val="0"/>
              <w:jc w:val="center"/>
              <w:rPr>
                <w:rFonts w:ascii="Arial" w:hAnsi="Arial" w:eastAsia="宋体" w:cs="Arial"/>
                <w:sz w:val="21"/>
                <w:szCs w:val="21"/>
              </w:rPr>
            </w:pPr>
            <w:r>
              <w:rPr>
                <w:rFonts w:ascii="Arial" w:hAnsi="Arial" w:eastAsia="宋体" w:cs="Arial"/>
                <w:sz w:val="21"/>
                <w:szCs w:val="21"/>
              </w:rPr>
              <w:t>3130</w:t>
            </w:r>
          </w:p>
        </w:tc>
        <w:tc>
          <w:tcPr>
            <w:tcW w:w="770" w:type="pct"/>
            <w:tcBorders>
              <w:top w:val="single" w:color="auto" w:sz="4" w:space="0"/>
              <w:left w:val="single" w:color="auto" w:sz="4" w:space="0"/>
              <w:bottom w:val="single" w:color="auto" w:sz="4" w:space="0"/>
              <w:right w:val="single" w:color="auto" w:sz="4" w:space="0"/>
            </w:tcBorders>
            <w:vAlign w:val="center"/>
          </w:tcPr>
          <w:p w14:paraId="05465632">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7665623A">
            <w:pPr>
              <w:adjustRightInd w:val="0"/>
              <w:snapToGrid w:val="0"/>
              <w:jc w:val="center"/>
              <w:rPr>
                <w:rFonts w:ascii="Arial" w:hAnsi="Arial" w:eastAsia="宋体" w:cs="Arial"/>
                <w:sz w:val="21"/>
                <w:szCs w:val="21"/>
              </w:rPr>
            </w:pPr>
            <w:r>
              <w:rPr>
                <w:rFonts w:ascii="Arial" w:hAnsi="Arial" w:cs="Arial"/>
                <w:sz w:val="21"/>
                <w:szCs w:val="21"/>
              </w:rPr>
              <w:t>200</w:t>
            </w:r>
          </w:p>
        </w:tc>
      </w:tr>
      <w:tr w14:paraId="7B5AE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13053E4A">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4B335561">
            <w:pPr>
              <w:adjustRightInd w:val="0"/>
              <w:snapToGrid w:val="0"/>
              <w:jc w:val="center"/>
              <w:rPr>
                <w:rFonts w:ascii="Arial" w:hAnsi="Arial" w:eastAsia="宋体" w:cs="Arial"/>
                <w:sz w:val="21"/>
                <w:szCs w:val="21"/>
              </w:rPr>
            </w:pPr>
            <w:r>
              <w:rPr>
                <w:rFonts w:ascii="Arial" w:hAnsi="Arial" w:eastAsia="宋体" w:cs="Arial"/>
                <w:sz w:val="21"/>
                <w:szCs w:val="21"/>
              </w:rPr>
              <w:t>25</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B5F426F">
            <w:pPr>
              <w:adjustRightInd w:val="0"/>
              <w:snapToGrid w:val="0"/>
              <w:jc w:val="center"/>
              <w:rPr>
                <w:rFonts w:ascii="Arial" w:hAnsi="Arial" w:eastAsia="宋体" w:cs="Arial"/>
                <w:sz w:val="21"/>
                <w:szCs w:val="21"/>
              </w:rPr>
            </w:pPr>
            <w:r>
              <w:rPr>
                <w:rFonts w:ascii="Arial" w:hAnsi="Arial" w:eastAsia="宋体" w:cs="Arial"/>
                <w:sz w:val="21"/>
                <w:szCs w:val="21"/>
              </w:rPr>
              <w:t>金鼓村</w:t>
            </w:r>
          </w:p>
        </w:tc>
        <w:tc>
          <w:tcPr>
            <w:tcW w:w="595" w:type="pct"/>
            <w:tcBorders>
              <w:top w:val="single" w:color="auto" w:sz="4" w:space="0"/>
              <w:left w:val="single" w:color="auto" w:sz="4" w:space="0"/>
              <w:bottom w:val="single" w:color="auto" w:sz="4" w:space="0"/>
              <w:right w:val="single" w:color="auto" w:sz="4" w:space="0"/>
            </w:tcBorders>
            <w:vAlign w:val="center"/>
          </w:tcPr>
          <w:p w14:paraId="608447C8">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4DC2AAFB">
            <w:pPr>
              <w:adjustRightInd w:val="0"/>
              <w:snapToGrid w:val="0"/>
              <w:jc w:val="center"/>
              <w:rPr>
                <w:rFonts w:ascii="Arial" w:hAnsi="Arial" w:eastAsia="宋体" w:cs="Arial"/>
                <w:sz w:val="21"/>
                <w:szCs w:val="21"/>
              </w:rPr>
            </w:pPr>
            <w:r>
              <w:rPr>
                <w:rFonts w:ascii="Arial" w:hAnsi="Arial" w:eastAsia="宋体" w:cs="Arial"/>
                <w:sz w:val="21"/>
                <w:szCs w:val="21"/>
              </w:rPr>
              <w:t>3135</w:t>
            </w:r>
          </w:p>
        </w:tc>
        <w:tc>
          <w:tcPr>
            <w:tcW w:w="770" w:type="pct"/>
            <w:tcBorders>
              <w:top w:val="single" w:color="auto" w:sz="4" w:space="0"/>
              <w:left w:val="single" w:color="auto" w:sz="4" w:space="0"/>
              <w:bottom w:val="single" w:color="auto" w:sz="4" w:space="0"/>
              <w:right w:val="single" w:color="auto" w:sz="4" w:space="0"/>
            </w:tcBorders>
            <w:vAlign w:val="center"/>
          </w:tcPr>
          <w:p w14:paraId="40264B88">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182C6CE9">
            <w:pPr>
              <w:adjustRightInd w:val="0"/>
              <w:snapToGrid w:val="0"/>
              <w:jc w:val="center"/>
              <w:rPr>
                <w:rFonts w:ascii="Arial" w:hAnsi="Arial" w:eastAsia="宋体" w:cs="Arial"/>
                <w:sz w:val="21"/>
                <w:szCs w:val="21"/>
              </w:rPr>
            </w:pPr>
            <w:r>
              <w:rPr>
                <w:rFonts w:ascii="Arial" w:hAnsi="Arial" w:cs="Arial"/>
                <w:sz w:val="21"/>
                <w:szCs w:val="21"/>
              </w:rPr>
              <w:t>800</w:t>
            </w:r>
          </w:p>
        </w:tc>
      </w:tr>
      <w:tr w14:paraId="782EF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6A0C6ACC">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796A12CF">
            <w:pPr>
              <w:adjustRightInd w:val="0"/>
              <w:snapToGrid w:val="0"/>
              <w:jc w:val="center"/>
              <w:rPr>
                <w:rFonts w:ascii="Arial" w:hAnsi="Arial" w:eastAsia="宋体" w:cs="Arial"/>
                <w:sz w:val="21"/>
                <w:szCs w:val="21"/>
              </w:rPr>
            </w:pPr>
            <w:r>
              <w:rPr>
                <w:rFonts w:ascii="Arial" w:hAnsi="Arial" w:eastAsia="宋体" w:cs="Arial"/>
                <w:sz w:val="21"/>
                <w:szCs w:val="21"/>
              </w:rPr>
              <w:t>26</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5609551">
            <w:pPr>
              <w:adjustRightInd w:val="0"/>
              <w:snapToGrid w:val="0"/>
              <w:jc w:val="center"/>
              <w:rPr>
                <w:rFonts w:ascii="Arial" w:hAnsi="Arial" w:eastAsia="宋体" w:cs="Arial"/>
                <w:sz w:val="21"/>
                <w:szCs w:val="21"/>
              </w:rPr>
            </w:pPr>
            <w:r>
              <w:rPr>
                <w:rFonts w:ascii="Arial" w:hAnsi="Arial" w:eastAsia="宋体" w:cs="Arial"/>
                <w:sz w:val="21"/>
                <w:szCs w:val="21"/>
              </w:rPr>
              <w:t>鹿耳环村</w:t>
            </w:r>
          </w:p>
        </w:tc>
        <w:tc>
          <w:tcPr>
            <w:tcW w:w="595" w:type="pct"/>
            <w:tcBorders>
              <w:top w:val="single" w:color="auto" w:sz="4" w:space="0"/>
              <w:left w:val="single" w:color="auto" w:sz="4" w:space="0"/>
              <w:bottom w:val="single" w:color="auto" w:sz="4" w:space="0"/>
              <w:right w:val="single" w:color="auto" w:sz="4" w:space="0"/>
            </w:tcBorders>
            <w:vAlign w:val="center"/>
          </w:tcPr>
          <w:p w14:paraId="154D4A07">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511D9CEC">
            <w:pPr>
              <w:adjustRightInd w:val="0"/>
              <w:snapToGrid w:val="0"/>
              <w:jc w:val="center"/>
              <w:rPr>
                <w:rFonts w:ascii="Arial" w:hAnsi="Arial" w:eastAsia="宋体" w:cs="Arial"/>
                <w:sz w:val="21"/>
                <w:szCs w:val="21"/>
              </w:rPr>
            </w:pPr>
            <w:r>
              <w:rPr>
                <w:rFonts w:ascii="Arial" w:hAnsi="Arial" w:eastAsia="宋体" w:cs="Arial"/>
                <w:sz w:val="21"/>
                <w:szCs w:val="21"/>
              </w:rPr>
              <w:t>3135</w:t>
            </w:r>
          </w:p>
        </w:tc>
        <w:tc>
          <w:tcPr>
            <w:tcW w:w="770" w:type="pct"/>
            <w:tcBorders>
              <w:top w:val="single" w:color="auto" w:sz="4" w:space="0"/>
              <w:left w:val="single" w:color="auto" w:sz="4" w:space="0"/>
              <w:bottom w:val="single" w:color="auto" w:sz="4" w:space="0"/>
              <w:right w:val="single" w:color="auto" w:sz="4" w:space="0"/>
            </w:tcBorders>
            <w:vAlign w:val="center"/>
          </w:tcPr>
          <w:p w14:paraId="7819F448">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16BD533D">
            <w:pPr>
              <w:adjustRightInd w:val="0"/>
              <w:snapToGrid w:val="0"/>
              <w:jc w:val="center"/>
              <w:rPr>
                <w:rFonts w:ascii="Arial" w:hAnsi="Arial" w:eastAsia="宋体" w:cs="Arial"/>
                <w:sz w:val="21"/>
                <w:szCs w:val="21"/>
              </w:rPr>
            </w:pPr>
            <w:r>
              <w:rPr>
                <w:rFonts w:ascii="Arial" w:hAnsi="Arial" w:cs="Arial"/>
                <w:sz w:val="21"/>
                <w:szCs w:val="21"/>
              </w:rPr>
              <w:t>1500</w:t>
            </w:r>
          </w:p>
        </w:tc>
      </w:tr>
      <w:tr w14:paraId="24A59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3E1F428F">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504943E3">
            <w:pPr>
              <w:adjustRightInd w:val="0"/>
              <w:snapToGrid w:val="0"/>
              <w:jc w:val="center"/>
              <w:rPr>
                <w:rFonts w:ascii="Arial" w:hAnsi="Arial" w:eastAsia="宋体" w:cs="Arial"/>
                <w:sz w:val="21"/>
                <w:szCs w:val="21"/>
              </w:rPr>
            </w:pPr>
            <w:r>
              <w:rPr>
                <w:rFonts w:ascii="Arial" w:hAnsi="Arial" w:eastAsia="宋体" w:cs="Arial"/>
                <w:sz w:val="21"/>
                <w:szCs w:val="21"/>
              </w:rPr>
              <w:t>27</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5BE306F">
            <w:pPr>
              <w:adjustRightInd w:val="0"/>
              <w:snapToGrid w:val="0"/>
              <w:jc w:val="center"/>
              <w:rPr>
                <w:rFonts w:ascii="Arial" w:hAnsi="Arial" w:eastAsia="宋体" w:cs="Arial"/>
                <w:sz w:val="21"/>
                <w:szCs w:val="21"/>
              </w:rPr>
            </w:pPr>
            <w:r>
              <w:rPr>
                <w:rFonts w:ascii="Arial" w:hAnsi="Arial" w:eastAsia="宋体" w:cs="Arial"/>
                <w:sz w:val="21"/>
                <w:szCs w:val="21"/>
              </w:rPr>
              <w:t>金鼓社区</w:t>
            </w:r>
          </w:p>
        </w:tc>
        <w:tc>
          <w:tcPr>
            <w:tcW w:w="595" w:type="pct"/>
            <w:tcBorders>
              <w:top w:val="single" w:color="auto" w:sz="4" w:space="0"/>
              <w:left w:val="single" w:color="auto" w:sz="4" w:space="0"/>
              <w:bottom w:val="single" w:color="auto" w:sz="4" w:space="0"/>
              <w:right w:val="single" w:color="auto" w:sz="4" w:space="0"/>
            </w:tcBorders>
            <w:vAlign w:val="center"/>
          </w:tcPr>
          <w:p w14:paraId="0C54EB6B">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30D81A39">
            <w:pPr>
              <w:adjustRightInd w:val="0"/>
              <w:snapToGrid w:val="0"/>
              <w:jc w:val="center"/>
              <w:rPr>
                <w:rFonts w:ascii="Arial" w:hAnsi="Arial" w:eastAsia="宋体" w:cs="Arial"/>
                <w:sz w:val="21"/>
                <w:szCs w:val="21"/>
              </w:rPr>
            </w:pPr>
            <w:r>
              <w:rPr>
                <w:rFonts w:ascii="Arial" w:hAnsi="Arial" w:eastAsia="宋体" w:cs="Arial"/>
                <w:sz w:val="21"/>
                <w:szCs w:val="21"/>
              </w:rPr>
              <w:t>3220</w:t>
            </w:r>
          </w:p>
        </w:tc>
        <w:tc>
          <w:tcPr>
            <w:tcW w:w="770" w:type="pct"/>
            <w:tcBorders>
              <w:top w:val="single" w:color="auto" w:sz="4" w:space="0"/>
              <w:left w:val="single" w:color="auto" w:sz="4" w:space="0"/>
              <w:bottom w:val="single" w:color="auto" w:sz="4" w:space="0"/>
              <w:right w:val="single" w:color="auto" w:sz="4" w:space="0"/>
            </w:tcBorders>
            <w:vAlign w:val="center"/>
          </w:tcPr>
          <w:p w14:paraId="6D72D8F1">
            <w:pPr>
              <w:adjustRightInd w:val="0"/>
              <w:snapToGrid w:val="0"/>
              <w:jc w:val="center"/>
              <w:rPr>
                <w:rFonts w:ascii="Arial" w:hAnsi="Arial" w:eastAsia="宋体" w:cs="Arial"/>
                <w:sz w:val="21"/>
                <w:szCs w:val="21"/>
              </w:rPr>
            </w:pPr>
            <w:r>
              <w:rPr>
                <w:rFonts w:ascii="Arial" w:hAnsi="Arial" w:eastAsia="宋体" w:cs="Arial"/>
                <w:sz w:val="21"/>
                <w:szCs w:val="21"/>
              </w:rPr>
              <w:t>居民集中区</w:t>
            </w:r>
          </w:p>
        </w:tc>
        <w:tc>
          <w:tcPr>
            <w:tcW w:w="662" w:type="pct"/>
            <w:tcBorders>
              <w:top w:val="single" w:color="auto" w:sz="4" w:space="0"/>
              <w:left w:val="single" w:color="auto" w:sz="4" w:space="0"/>
              <w:bottom w:val="single" w:color="auto" w:sz="4" w:space="0"/>
              <w:right w:val="single" w:color="auto" w:sz="4" w:space="0"/>
            </w:tcBorders>
            <w:vAlign w:val="center"/>
          </w:tcPr>
          <w:p w14:paraId="69F98664">
            <w:pPr>
              <w:adjustRightInd w:val="0"/>
              <w:snapToGrid w:val="0"/>
              <w:jc w:val="center"/>
              <w:rPr>
                <w:rFonts w:ascii="Arial" w:hAnsi="Arial" w:eastAsia="宋体" w:cs="Arial"/>
                <w:sz w:val="21"/>
                <w:szCs w:val="21"/>
              </w:rPr>
            </w:pPr>
            <w:r>
              <w:rPr>
                <w:rFonts w:ascii="Arial" w:hAnsi="Arial" w:cs="Arial"/>
                <w:sz w:val="21"/>
                <w:szCs w:val="21"/>
              </w:rPr>
              <w:t>2520</w:t>
            </w:r>
          </w:p>
        </w:tc>
      </w:tr>
      <w:tr w14:paraId="190F5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7FFC9290">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178F8A96">
            <w:pPr>
              <w:adjustRightInd w:val="0"/>
              <w:snapToGrid w:val="0"/>
              <w:jc w:val="center"/>
              <w:rPr>
                <w:rFonts w:ascii="Arial" w:hAnsi="Arial" w:eastAsia="宋体" w:cs="Arial"/>
                <w:sz w:val="21"/>
                <w:szCs w:val="21"/>
              </w:rPr>
            </w:pPr>
            <w:r>
              <w:rPr>
                <w:rFonts w:ascii="Arial" w:hAnsi="Arial" w:eastAsia="宋体" w:cs="Arial"/>
                <w:sz w:val="21"/>
                <w:szCs w:val="21"/>
              </w:rPr>
              <w:t>28</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8C46219">
            <w:pPr>
              <w:adjustRightInd w:val="0"/>
              <w:snapToGrid w:val="0"/>
              <w:jc w:val="center"/>
              <w:rPr>
                <w:rFonts w:ascii="Arial" w:hAnsi="Arial" w:eastAsia="宋体" w:cs="Arial"/>
                <w:sz w:val="21"/>
                <w:szCs w:val="21"/>
              </w:rPr>
            </w:pPr>
            <w:r>
              <w:rPr>
                <w:rFonts w:ascii="Arial" w:hAnsi="Arial" w:eastAsia="宋体" w:cs="Arial"/>
                <w:sz w:val="21"/>
                <w:szCs w:val="21"/>
              </w:rPr>
              <w:t>第一垌村</w:t>
            </w:r>
          </w:p>
        </w:tc>
        <w:tc>
          <w:tcPr>
            <w:tcW w:w="595" w:type="pct"/>
            <w:tcBorders>
              <w:top w:val="single" w:color="auto" w:sz="4" w:space="0"/>
              <w:left w:val="single" w:color="auto" w:sz="4" w:space="0"/>
              <w:bottom w:val="single" w:color="auto" w:sz="4" w:space="0"/>
              <w:right w:val="single" w:color="auto" w:sz="4" w:space="0"/>
            </w:tcBorders>
            <w:vAlign w:val="center"/>
          </w:tcPr>
          <w:p w14:paraId="20F44F79">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57998822">
            <w:pPr>
              <w:adjustRightInd w:val="0"/>
              <w:snapToGrid w:val="0"/>
              <w:jc w:val="center"/>
              <w:rPr>
                <w:rFonts w:ascii="Arial" w:hAnsi="Arial" w:eastAsia="宋体" w:cs="Arial"/>
                <w:sz w:val="21"/>
                <w:szCs w:val="21"/>
              </w:rPr>
            </w:pPr>
            <w:r>
              <w:rPr>
                <w:rFonts w:ascii="Arial" w:hAnsi="Arial" w:eastAsia="宋体" w:cs="Arial"/>
                <w:sz w:val="21"/>
                <w:szCs w:val="21"/>
              </w:rPr>
              <w:t>3430</w:t>
            </w:r>
          </w:p>
        </w:tc>
        <w:tc>
          <w:tcPr>
            <w:tcW w:w="770" w:type="pct"/>
            <w:tcBorders>
              <w:top w:val="single" w:color="auto" w:sz="4" w:space="0"/>
              <w:left w:val="single" w:color="auto" w:sz="4" w:space="0"/>
              <w:bottom w:val="single" w:color="auto" w:sz="4" w:space="0"/>
              <w:right w:val="single" w:color="auto" w:sz="4" w:space="0"/>
            </w:tcBorders>
            <w:vAlign w:val="center"/>
          </w:tcPr>
          <w:p w14:paraId="38085C84">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33D1F777">
            <w:pPr>
              <w:adjustRightInd w:val="0"/>
              <w:snapToGrid w:val="0"/>
              <w:jc w:val="center"/>
              <w:rPr>
                <w:rFonts w:ascii="Arial" w:hAnsi="Arial" w:cs="Arial"/>
                <w:sz w:val="21"/>
                <w:szCs w:val="21"/>
              </w:rPr>
            </w:pPr>
            <w:r>
              <w:rPr>
                <w:rFonts w:ascii="Arial" w:hAnsi="Arial" w:cs="Arial"/>
                <w:sz w:val="21"/>
                <w:szCs w:val="21"/>
              </w:rPr>
              <w:t>180</w:t>
            </w:r>
          </w:p>
        </w:tc>
      </w:tr>
      <w:tr w14:paraId="306CD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7D6DFCD7">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7F89BC23">
            <w:pPr>
              <w:adjustRightInd w:val="0"/>
              <w:snapToGrid w:val="0"/>
              <w:jc w:val="center"/>
              <w:rPr>
                <w:rFonts w:ascii="Arial" w:hAnsi="Arial" w:eastAsia="宋体" w:cs="Arial"/>
                <w:sz w:val="21"/>
                <w:szCs w:val="21"/>
              </w:rPr>
            </w:pPr>
            <w:r>
              <w:rPr>
                <w:rFonts w:ascii="Arial" w:hAnsi="Arial" w:eastAsia="宋体" w:cs="Arial"/>
                <w:sz w:val="21"/>
                <w:szCs w:val="21"/>
              </w:rPr>
              <w:t>29</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2038A9E">
            <w:pPr>
              <w:adjustRightInd w:val="0"/>
              <w:snapToGrid w:val="0"/>
              <w:jc w:val="center"/>
              <w:rPr>
                <w:rFonts w:ascii="Arial" w:hAnsi="Arial" w:eastAsia="宋体" w:cs="Arial"/>
                <w:sz w:val="21"/>
                <w:szCs w:val="21"/>
              </w:rPr>
            </w:pPr>
            <w:r>
              <w:rPr>
                <w:rFonts w:ascii="Arial" w:hAnsi="Arial" w:eastAsia="宋体" w:cs="Arial"/>
                <w:sz w:val="21"/>
                <w:szCs w:val="21"/>
              </w:rPr>
              <w:t>大垌口村</w:t>
            </w:r>
          </w:p>
        </w:tc>
        <w:tc>
          <w:tcPr>
            <w:tcW w:w="595" w:type="pct"/>
            <w:tcBorders>
              <w:top w:val="single" w:color="auto" w:sz="4" w:space="0"/>
              <w:left w:val="single" w:color="auto" w:sz="4" w:space="0"/>
              <w:bottom w:val="single" w:color="auto" w:sz="4" w:space="0"/>
              <w:right w:val="single" w:color="auto" w:sz="4" w:space="0"/>
            </w:tcBorders>
            <w:vAlign w:val="center"/>
          </w:tcPr>
          <w:p w14:paraId="3CE9ABA3">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6B6A56B1">
            <w:pPr>
              <w:adjustRightInd w:val="0"/>
              <w:snapToGrid w:val="0"/>
              <w:jc w:val="center"/>
              <w:rPr>
                <w:rFonts w:ascii="Arial" w:hAnsi="Arial" w:eastAsia="宋体" w:cs="Arial"/>
                <w:sz w:val="21"/>
                <w:szCs w:val="21"/>
              </w:rPr>
            </w:pPr>
            <w:r>
              <w:rPr>
                <w:rFonts w:ascii="Arial" w:hAnsi="Arial" w:eastAsia="宋体" w:cs="Arial"/>
                <w:sz w:val="21"/>
                <w:szCs w:val="21"/>
              </w:rPr>
              <w:t>3430</w:t>
            </w:r>
          </w:p>
        </w:tc>
        <w:tc>
          <w:tcPr>
            <w:tcW w:w="770" w:type="pct"/>
            <w:tcBorders>
              <w:top w:val="single" w:color="auto" w:sz="4" w:space="0"/>
              <w:left w:val="single" w:color="auto" w:sz="4" w:space="0"/>
              <w:bottom w:val="single" w:color="auto" w:sz="4" w:space="0"/>
              <w:right w:val="single" w:color="auto" w:sz="4" w:space="0"/>
            </w:tcBorders>
            <w:vAlign w:val="center"/>
          </w:tcPr>
          <w:p w14:paraId="698CB344">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55C6385B">
            <w:pPr>
              <w:adjustRightInd w:val="0"/>
              <w:snapToGrid w:val="0"/>
              <w:jc w:val="center"/>
              <w:rPr>
                <w:rFonts w:ascii="Arial" w:hAnsi="Arial" w:cs="Arial"/>
                <w:sz w:val="21"/>
                <w:szCs w:val="21"/>
              </w:rPr>
            </w:pPr>
            <w:r>
              <w:rPr>
                <w:rFonts w:ascii="Arial" w:hAnsi="Arial" w:cs="Arial"/>
                <w:sz w:val="21"/>
                <w:szCs w:val="21"/>
              </w:rPr>
              <w:t>224</w:t>
            </w:r>
          </w:p>
        </w:tc>
      </w:tr>
      <w:tr w14:paraId="037E9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597B355F">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66BB7459">
            <w:pPr>
              <w:adjustRightInd w:val="0"/>
              <w:snapToGrid w:val="0"/>
              <w:jc w:val="center"/>
              <w:rPr>
                <w:rFonts w:ascii="Arial" w:hAnsi="Arial" w:eastAsia="宋体" w:cs="Arial"/>
                <w:sz w:val="21"/>
                <w:szCs w:val="21"/>
              </w:rPr>
            </w:pPr>
            <w:r>
              <w:rPr>
                <w:rFonts w:ascii="Arial" w:hAnsi="Arial" w:eastAsia="宋体" w:cs="Arial"/>
                <w:sz w:val="21"/>
                <w:szCs w:val="21"/>
              </w:rPr>
              <w:t>30</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06B5751">
            <w:pPr>
              <w:adjustRightInd w:val="0"/>
              <w:snapToGrid w:val="0"/>
              <w:jc w:val="center"/>
              <w:rPr>
                <w:rFonts w:ascii="Arial" w:hAnsi="Arial" w:eastAsia="宋体" w:cs="Arial"/>
                <w:sz w:val="21"/>
                <w:szCs w:val="21"/>
              </w:rPr>
            </w:pPr>
            <w:r>
              <w:rPr>
                <w:rFonts w:ascii="Arial" w:hAnsi="Arial" w:eastAsia="宋体" w:cs="Arial"/>
                <w:sz w:val="21"/>
                <w:szCs w:val="21"/>
              </w:rPr>
              <w:t>新联初中</w:t>
            </w:r>
          </w:p>
        </w:tc>
        <w:tc>
          <w:tcPr>
            <w:tcW w:w="595" w:type="pct"/>
            <w:tcBorders>
              <w:top w:val="single" w:color="auto" w:sz="4" w:space="0"/>
              <w:left w:val="single" w:color="auto" w:sz="4" w:space="0"/>
              <w:bottom w:val="single" w:color="auto" w:sz="4" w:space="0"/>
              <w:right w:val="single" w:color="auto" w:sz="4" w:space="0"/>
            </w:tcBorders>
            <w:vAlign w:val="center"/>
          </w:tcPr>
          <w:p w14:paraId="7101A839">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679F7ED4">
            <w:pPr>
              <w:adjustRightInd w:val="0"/>
              <w:snapToGrid w:val="0"/>
              <w:jc w:val="center"/>
              <w:rPr>
                <w:rFonts w:ascii="Arial" w:hAnsi="Arial" w:eastAsia="宋体" w:cs="Arial"/>
                <w:sz w:val="21"/>
                <w:szCs w:val="21"/>
              </w:rPr>
            </w:pPr>
            <w:r>
              <w:rPr>
                <w:rFonts w:ascii="Arial" w:hAnsi="Arial" w:eastAsia="宋体" w:cs="Arial"/>
                <w:sz w:val="21"/>
                <w:szCs w:val="21"/>
              </w:rPr>
              <w:t>3600</w:t>
            </w:r>
          </w:p>
        </w:tc>
        <w:tc>
          <w:tcPr>
            <w:tcW w:w="770" w:type="pct"/>
            <w:tcBorders>
              <w:top w:val="single" w:color="auto" w:sz="4" w:space="0"/>
              <w:left w:val="single" w:color="auto" w:sz="4" w:space="0"/>
              <w:bottom w:val="single" w:color="auto" w:sz="4" w:space="0"/>
              <w:right w:val="single" w:color="auto" w:sz="4" w:space="0"/>
            </w:tcBorders>
            <w:vAlign w:val="center"/>
          </w:tcPr>
          <w:p w14:paraId="6CD1690C">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662" w:type="pct"/>
            <w:tcBorders>
              <w:top w:val="single" w:color="auto" w:sz="4" w:space="0"/>
              <w:left w:val="single" w:color="auto" w:sz="4" w:space="0"/>
              <w:bottom w:val="single" w:color="auto" w:sz="4" w:space="0"/>
              <w:right w:val="single" w:color="auto" w:sz="4" w:space="0"/>
            </w:tcBorders>
            <w:vAlign w:val="center"/>
          </w:tcPr>
          <w:p w14:paraId="38B7EFFD">
            <w:pPr>
              <w:adjustRightInd w:val="0"/>
              <w:snapToGrid w:val="0"/>
              <w:jc w:val="center"/>
              <w:rPr>
                <w:rFonts w:ascii="Arial" w:hAnsi="Arial" w:cs="Arial"/>
                <w:sz w:val="21"/>
                <w:szCs w:val="21"/>
              </w:rPr>
            </w:pPr>
            <w:r>
              <w:rPr>
                <w:rFonts w:ascii="Arial" w:hAnsi="Arial" w:cs="Arial"/>
                <w:sz w:val="21"/>
                <w:szCs w:val="21"/>
              </w:rPr>
              <w:t>480</w:t>
            </w:r>
          </w:p>
        </w:tc>
      </w:tr>
      <w:tr w14:paraId="743EC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A4796FA">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1777B2F0">
            <w:pPr>
              <w:adjustRightInd w:val="0"/>
              <w:snapToGrid w:val="0"/>
              <w:jc w:val="center"/>
              <w:rPr>
                <w:rFonts w:ascii="Arial" w:hAnsi="Arial" w:eastAsia="宋体" w:cs="Arial"/>
                <w:sz w:val="21"/>
                <w:szCs w:val="21"/>
              </w:rPr>
            </w:pPr>
            <w:r>
              <w:rPr>
                <w:rFonts w:ascii="Arial" w:hAnsi="Arial" w:eastAsia="宋体" w:cs="Arial"/>
                <w:sz w:val="21"/>
                <w:szCs w:val="21"/>
              </w:rPr>
              <w:t>31</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6186AEA">
            <w:pPr>
              <w:adjustRightInd w:val="0"/>
              <w:snapToGrid w:val="0"/>
              <w:jc w:val="center"/>
              <w:rPr>
                <w:rFonts w:ascii="Arial" w:hAnsi="Arial" w:eastAsia="宋体" w:cs="Arial"/>
                <w:sz w:val="21"/>
                <w:szCs w:val="21"/>
              </w:rPr>
            </w:pPr>
            <w:r>
              <w:rPr>
                <w:rFonts w:ascii="Arial" w:hAnsi="Arial" w:eastAsia="宋体" w:cs="Arial"/>
                <w:sz w:val="21"/>
                <w:szCs w:val="21"/>
              </w:rPr>
              <w:t>苦竹坑村</w:t>
            </w:r>
          </w:p>
        </w:tc>
        <w:tc>
          <w:tcPr>
            <w:tcW w:w="595" w:type="pct"/>
            <w:tcBorders>
              <w:top w:val="single" w:color="auto" w:sz="4" w:space="0"/>
              <w:left w:val="single" w:color="auto" w:sz="4" w:space="0"/>
              <w:bottom w:val="single" w:color="auto" w:sz="4" w:space="0"/>
              <w:right w:val="single" w:color="auto" w:sz="4" w:space="0"/>
            </w:tcBorders>
            <w:vAlign w:val="center"/>
          </w:tcPr>
          <w:p w14:paraId="51CA8905">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61F761E0">
            <w:pPr>
              <w:adjustRightInd w:val="0"/>
              <w:snapToGrid w:val="0"/>
              <w:jc w:val="center"/>
              <w:rPr>
                <w:rFonts w:ascii="Arial" w:hAnsi="Arial" w:eastAsia="宋体" w:cs="Arial"/>
                <w:sz w:val="21"/>
                <w:szCs w:val="21"/>
              </w:rPr>
            </w:pPr>
            <w:r>
              <w:rPr>
                <w:rFonts w:ascii="Arial" w:hAnsi="Arial" w:eastAsia="宋体" w:cs="Arial"/>
                <w:sz w:val="21"/>
                <w:szCs w:val="21"/>
              </w:rPr>
              <w:t>4030</w:t>
            </w:r>
          </w:p>
        </w:tc>
        <w:tc>
          <w:tcPr>
            <w:tcW w:w="770" w:type="pct"/>
            <w:tcBorders>
              <w:top w:val="single" w:color="auto" w:sz="4" w:space="0"/>
              <w:left w:val="single" w:color="auto" w:sz="4" w:space="0"/>
              <w:bottom w:val="single" w:color="auto" w:sz="4" w:space="0"/>
              <w:right w:val="single" w:color="auto" w:sz="4" w:space="0"/>
            </w:tcBorders>
            <w:vAlign w:val="center"/>
          </w:tcPr>
          <w:p w14:paraId="6A72BF24">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4F1BB014">
            <w:pPr>
              <w:adjustRightInd w:val="0"/>
              <w:snapToGrid w:val="0"/>
              <w:jc w:val="center"/>
              <w:rPr>
                <w:rFonts w:ascii="Arial" w:hAnsi="Arial" w:cs="Arial"/>
                <w:sz w:val="21"/>
                <w:szCs w:val="21"/>
              </w:rPr>
            </w:pPr>
            <w:r>
              <w:rPr>
                <w:rFonts w:ascii="Arial" w:hAnsi="Arial" w:cs="Arial"/>
                <w:sz w:val="21"/>
                <w:szCs w:val="21"/>
              </w:rPr>
              <w:t>245</w:t>
            </w:r>
          </w:p>
        </w:tc>
      </w:tr>
      <w:tr w14:paraId="501B1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8625AB9">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603F33A9">
            <w:pPr>
              <w:adjustRightInd w:val="0"/>
              <w:snapToGrid w:val="0"/>
              <w:jc w:val="center"/>
              <w:rPr>
                <w:rFonts w:ascii="Arial" w:hAnsi="Arial" w:eastAsia="宋体" w:cs="Arial"/>
                <w:sz w:val="21"/>
                <w:szCs w:val="21"/>
              </w:rPr>
            </w:pPr>
            <w:r>
              <w:rPr>
                <w:rFonts w:ascii="Arial" w:hAnsi="Arial" w:eastAsia="宋体" w:cs="Arial"/>
                <w:sz w:val="21"/>
                <w:szCs w:val="21"/>
              </w:rPr>
              <w:t>32</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3ADCD08">
            <w:pPr>
              <w:adjustRightInd w:val="0"/>
              <w:snapToGrid w:val="0"/>
              <w:jc w:val="center"/>
              <w:rPr>
                <w:rFonts w:ascii="Arial" w:hAnsi="Arial" w:eastAsia="宋体" w:cs="Arial"/>
                <w:sz w:val="21"/>
                <w:szCs w:val="21"/>
              </w:rPr>
            </w:pPr>
            <w:r>
              <w:rPr>
                <w:rFonts w:ascii="Arial" w:hAnsi="Arial" w:eastAsia="宋体" w:cs="Arial"/>
                <w:sz w:val="21"/>
                <w:szCs w:val="21"/>
              </w:rPr>
              <w:t>松柏港村</w:t>
            </w:r>
          </w:p>
        </w:tc>
        <w:tc>
          <w:tcPr>
            <w:tcW w:w="595" w:type="pct"/>
            <w:tcBorders>
              <w:top w:val="single" w:color="auto" w:sz="4" w:space="0"/>
              <w:left w:val="single" w:color="auto" w:sz="4" w:space="0"/>
              <w:bottom w:val="single" w:color="auto" w:sz="4" w:space="0"/>
              <w:right w:val="single" w:color="auto" w:sz="4" w:space="0"/>
            </w:tcBorders>
            <w:vAlign w:val="center"/>
          </w:tcPr>
          <w:p w14:paraId="6D9FA8A9">
            <w:pPr>
              <w:adjustRightInd w:val="0"/>
              <w:snapToGrid w:val="0"/>
              <w:jc w:val="center"/>
              <w:rPr>
                <w:rFonts w:ascii="Arial" w:hAnsi="Arial" w:eastAsia="宋体" w:cs="Arial"/>
                <w:sz w:val="21"/>
                <w:szCs w:val="21"/>
              </w:rPr>
            </w:pPr>
            <w:r>
              <w:rPr>
                <w:rFonts w:ascii="Arial" w:hAnsi="Arial" w:eastAsia="宋体" w:cs="Arial"/>
                <w:sz w:val="21"/>
                <w:szCs w:val="21"/>
              </w:rPr>
              <w:t>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211645DF">
            <w:pPr>
              <w:adjustRightInd w:val="0"/>
              <w:snapToGrid w:val="0"/>
              <w:jc w:val="center"/>
              <w:rPr>
                <w:rFonts w:ascii="Arial" w:hAnsi="Arial" w:eastAsia="宋体" w:cs="Arial"/>
                <w:sz w:val="21"/>
                <w:szCs w:val="21"/>
              </w:rPr>
            </w:pPr>
            <w:r>
              <w:rPr>
                <w:rFonts w:ascii="Arial" w:hAnsi="Arial" w:eastAsia="宋体" w:cs="Arial"/>
                <w:sz w:val="21"/>
                <w:szCs w:val="21"/>
              </w:rPr>
              <w:t>4120</w:t>
            </w:r>
          </w:p>
        </w:tc>
        <w:tc>
          <w:tcPr>
            <w:tcW w:w="770" w:type="pct"/>
            <w:tcBorders>
              <w:top w:val="single" w:color="auto" w:sz="4" w:space="0"/>
              <w:left w:val="single" w:color="auto" w:sz="4" w:space="0"/>
              <w:bottom w:val="single" w:color="auto" w:sz="4" w:space="0"/>
              <w:right w:val="single" w:color="auto" w:sz="4" w:space="0"/>
            </w:tcBorders>
            <w:vAlign w:val="center"/>
          </w:tcPr>
          <w:p w14:paraId="6E8333D5">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3A685895">
            <w:pPr>
              <w:adjustRightInd w:val="0"/>
              <w:snapToGrid w:val="0"/>
              <w:jc w:val="center"/>
              <w:rPr>
                <w:rFonts w:ascii="Arial" w:hAnsi="Arial" w:cs="Arial"/>
                <w:sz w:val="21"/>
                <w:szCs w:val="21"/>
              </w:rPr>
            </w:pPr>
            <w:r>
              <w:rPr>
                <w:rFonts w:ascii="Arial" w:hAnsi="Arial" w:cs="Arial"/>
                <w:sz w:val="21"/>
                <w:szCs w:val="21"/>
              </w:rPr>
              <w:t>152</w:t>
            </w:r>
          </w:p>
        </w:tc>
      </w:tr>
      <w:tr w14:paraId="28ABE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3B27FCCD">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081A2A27">
            <w:pPr>
              <w:adjustRightInd w:val="0"/>
              <w:snapToGrid w:val="0"/>
              <w:jc w:val="center"/>
              <w:rPr>
                <w:rFonts w:ascii="Arial" w:hAnsi="Arial" w:eastAsia="宋体" w:cs="Arial"/>
                <w:sz w:val="21"/>
                <w:szCs w:val="21"/>
              </w:rPr>
            </w:pPr>
            <w:r>
              <w:rPr>
                <w:rFonts w:ascii="Arial" w:hAnsi="Arial" w:eastAsia="宋体" w:cs="Arial"/>
                <w:sz w:val="21"/>
                <w:szCs w:val="21"/>
              </w:rPr>
              <w:t>33</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ECFE04C">
            <w:pPr>
              <w:adjustRightInd w:val="0"/>
              <w:snapToGrid w:val="0"/>
              <w:jc w:val="center"/>
              <w:rPr>
                <w:rFonts w:ascii="Arial" w:hAnsi="Arial" w:eastAsia="宋体" w:cs="Arial"/>
                <w:sz w:val="21"/>
                <w:szCs w:val="21"/>
              </w:rPr>
            </w:pPr>
            <w:r>
              <w:rPr>
                <w:rFonts w:ascii="Arial" w:hAnsi="Arial" w:eastAsia="宋体" w:cs="Arial"/>
                <w:sz w:val="21"/>
                <w:szCs w:val="21"/>
              </w:rPr>
              <w:t>新村</w:t>
            </w:r>
          </w:p>
        </w:tc>
        <w:tc>
          <w:tcPr>
            <w:tcW w:w="595" w:type="pct"/>
            <w:tcBorders>
              <w:top w:val="single" w:color="auto" w:sz="4" w:space="0"/>
              <w:left w:val="single" w:color="auto" w:sz="4" w:space="0"/>
              <w:bottom w:val="single" w:color="auto" w:sz="4" w:space="0"/>
              <w:right w:val="single" w:color="auto" w:sz="4" w:space="0"/>
            </w:tcBorders>
            <w:vAlign w:val="center"/>
          </w:tcPr>
          <w:p w14:paraId="37DCC469">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2B67D347">
            <w:pPr>
              <w:adjustRightInd w:val="0"/>
              <w:snapToGrid w:val="0"/>
              <w:jc w:val="center"/>
              <w:rPr>
                <w:rFonts w:ascii="Arial" w:hAnsi="Arial" w:eastAsia="宋体" w:cs="Arial"/>
                <w:sz w:val="21"/>
                <w:szCs w:val="21"/>
              </w:rPr>
            </w:pPr>
            <w:r>
              <w:rPr>
                <w:rFonts w:ascii="Arial" w:hAnsi="Arial" w:eastAsia="宋体" w:cs="Arial"/>
                <w:sz w:val="21"/>
                <w:szCs w:val="21"/>
              </w:rPr>
              <w:t>4195</w:t>
            </w:r>
          </w:p>
        </w:tc>
        <w:tc>
          <w:tcPr>
            <w:tcW w:w="770" w:type="pct"/>
            <w:tcBorders>
              <w:top w:val="single" w:color="auto" w:sz="4" w:space="0"/>
              <w:left w:val="single" w:color="auto" w:sz="4" w:space="0"/>
              <w:bottom w:val="single" w:color="auto" w:sz="4" w:space="0"/>
              <w:right w:val="single" w:color="auto" w:sz="4" w:space="0"/>
            </w:tcBorders>
            <w:vAlign w:val="center"/>
          </w:tcPr>
          <w:p w14:paraId="49210A2F">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13907A2E">
            <w:pPr>
              <w:adjustRightInd w:val="0"/>
              <w:snapToGrid w:val="0"/>
              <w:jc w:val="center"/>
              <w:rPr>
                <w:rFonts w:ascii="Arial" w:hAnsi="Arial" w:cs="Arial"/>
                <w:sz w:val="21"/>
                <w:szCs w:val="21"/>
              </w:rPr>
            </w:pPr>
            <w:r>
              <w:rPr>
                <w:rFonts w:ascii="Arial" w:hAnsi="Arial" w:cs="Arial"/>
                <w:sz w:val="21"/>
                <w:szCs w:val="21"/>
              </w:rPr>
              <w:t>380</w:t>
            </w:r>
          </w:p>
        </w:tc>
      </w:tr>
      <w:tr w14:paraId="51635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65BCEB30">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1B976BB4">
            <w:pPr>
              <w:adjustRightInd w:val="0"/>
              <w:snapToGrid w:val="0"/>
              <w:jc w:val="center"/>
              <w:rPr>
                <w:rFonts w:ascii="Arial" w:hAnsi="Arial" w:eastAsia="宋体" w:cs="Arial"/>
                <w:sz w:val="21"/>
                <w:szCs w:val="21"/>
              </w:rPr>
            </w:pPr>
            <w:r>
              <w:rPr>
                <w:rFonts w:ascii="Arial" w:hAnsi="Arial" w:eastAsia="宋体" w:cs="Arial"/>
                <w:sz w:val="21"/>
                <w:szCs w:val="21"/>
              </w:rPr>
              <w:t>34</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B0B9503">
            <w:pPr>
              <w:adjustRightInd w:val="0"/>
              <w:snapToGrid w:val="0"/>
              <w:jc w:val="center"/>
              <w:rPr>
                <w:rFonts w:ascii="Arial" w:hAnsi="Arial" w:eastAsia="宋体" w:cs="Arial"/>
                <w:sz w:val="21"/>
                <w:szCs w:val="21"/>
              </w:rPr>
            </w:pPr>
            <w:r>
              <w:rPr>
                <w:rFonts w:ascii="Arial" w:hAnsi="Arial" w:eastAsia="宋体" w:cs="Arial"/>
                <w:sz w:val="21"/>
                <w:szCs w:val="21"/>
              </w:rPr>
              <w:t>平山村</w:t>
            </w:r>
          </w:p>
        </w:tc>
        <w:tc>
          <w:tcPr>
            <w:tcW w:w="595" w:type="pct"/>
            <w:tcBorders>
              <w:top w:val="single" w:color="auto" w:sz="4" w:space="0"/>
              <w:left w:val="single" w:color="auto" w:sz="4" w:space="0"/>
              <w:bottom w:val="single" w:color="auto" w:sz="4" w:space="0"/>
              <w:right w:val="single" w:color="auto" w:sz="4" w:space="0"/>
            </w:tcBorders>
            <w:vAlign w:val="center"/>
          </w:tcPr>
          <w:p w14:paraId="2660458B">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5658BAD7">
            <w:pPr>
              <w:adjustRightInd w:val="0"/>
              <w:snapToGrid w:val="0"/>
              <w:jc w:val="center"/>
              <w:rPr>
                <w:rFonts w:ascii="Arial" w:hAnsi="Arial" w:eastAsia="宋体" w:cs="Arial"/>
                <w:sz w:val="21"/>
                <w:szCs w:val="21"/>
              </w:rPr>
            </w:pPr>
            <w:r>
              <w:rPr>
                <w:rFonts w:ascii="Arial" w:hAnsi="Arial" w:eastAsia="宋体" w:cs="Arial"/>
                <w:sz w:val="21"/>
                <w:szCs w:val="21"/>
              </w:rPr>
              <w:t>4295</w:t>
            </w:r>
          </w:p>
        </w:tc>
        <w:tc>
          <w:tcPr>
            <w:tcW w:w="770" w:type="pct"/>
            <w:tcBorders>
              <w:top w:val="single" w:color="auto" w:sz="4" w:space="0"/>
              <w:left w:val="single" w:color="auto" w:sz="4" w:space="0"/>
              <w:bottom w:val="single" w:color="auto" w:sz="4" w:space="0"/>
              <w:right w:val="single" w:color="auto" w:sz="4" w:space="0"/>
            </w:tcBorders>
            <w:vAlign w:val="center"/>
          </w:tcPr>
          <w:p w14:paraId="25049FAD">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3D6E73F5">
            <w:pPr>
              <w:adjustRightInd w:val="0"/>
              <w:snapToGrid w:val="0"/>
              <w:jc w:val="center"/>
              <w:rPr>
                <w:rFonts w:ascii="Arial" w:hAnsi="Arial" w:eastAsia="宋体" w:cs="Arial"/>
                <w:sz w:val="21"/>
                <w:szCs w:val="21"/>
              </w:rPr>
            </w:pPr>
            <w:r>
              <w:rPr>
                <w:rFonts w:ascii="Arial" w:hAnsi="Arial" w:cs="Arial"/>
                <w:sz w:val="21"/>
                <w:szCs w:val="21"/>
              </w:rPr>
              <w:t>1600</w:t>
            </w:r>
          </w:p>
        </w:tc>
      </w:tr>
      <w:tr w14:paraId="1F36F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6BD1A3C4">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6484913C">
            <w:pPr>
              <w:adjustRightInd w:val="0"/>
              <w:snapToGrid w:val="0"/>
              <w:jc w:val="center"/>
              <w:rPr>
                <w:rFonts w:ascii="Arial" w:hAnsi="Arial" w:eastAsia="宋体" w:cs="Arial"/>
                <w:sz w:val="21"/>
                <w:szCs w:val="21"/>
              </w:rPr>
            </w:pPr>
            <w:r>
              <w:rPr>
                <w:rFonts w:ascii="Arial" w:hAnsi="Arial" w:eastAsia="宋体" w:cs="Arial"/>
                <w:sz w:val="21"/>
                <w:szCs w:val="21"/>
              </w:rPr>
              <w:t>35</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CC48E87">
            <w:pPr>
              <w:adjustRightInd w:val="0"/>
              <w:snapToGrid w:val="0"/>
              <w:jc w:val="center"/>
              <w:rPr>
                <w:rFonts w:ascii="Arial" w:hAnsi="Arial" w:eastAsia="宋体" w:cs="Arial"/>
                <w:sz w:val="21"/>
                <w:szCs w:val="21"/>
              </w:rPr>
            </w:pPr>
            <w:r>
              <w:rPr>
                <w:rFonts w:ascii="Arial" w:hAnsi="Arial" w:eastAsia="宋体" w:cs="Arial"/>
                <w:sz w:val="21"/>
                <w:szCs w:val="21"/>
              </w:rPr>
              <w:t>粟地脚村</w:t>
            </w:r>
          </w:p>
        </w:tc>
        <w:tc>
          <w:tcPr>
            <w:tcW w:w="595" w:type="pct"/>
            <w:tcBorders>
              <w:top w:val="single" w:color="auto" w:sz="4" w:space="0"/>
              <w:left w:val="single" w:color="auto" w:sz="4" w:space="0"/>
              <w:bottom w:val="single" w:color="auto" w:sz="4" w:space="0"/>
              <w:right w:val="single" w:color="auto" w:sz="4" w:space="0"/>
            </w:tcBorders>
            <w:vAlign w:val="center"/>
          </w:tcPr>
          <w:p w14:paraId="2B9CA1D1">
            <w:pPr>
              <w:adjustRightInd w:val="0"/>
              <w:snapToGrid w:val="0"/>
              <w:jc w:val="center"/>
              <w:rPr>
                <w:rFonts w:ascii="Arial" w:hAnsi="Arial" w:eastAsia="宋体" w:cs="Arial"/>
                <w:sz w:val="21"/>
                <w:szCs w:val="21"/>
              </w:rPr>
            </w:pPr>
            <w:r>
              <w:rPr>
                <w:rFonts w:ascii="Arial" w:hAnsi="Arial" w:eastAsia="宋体" w:cs="Arial"/>
                <w:sz w:val="21"/>
                <w:szCs w:val="21"/>
              </w:rPr>
              <w:t>东</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32F8A16C">
            <w:pPr>
              <w:adjustRightInd w:val="0"/>
              <w:snapToGrid w:val="0"/>
              <w:jc w:val="center"/>
              <w:rPr>
                <w:rFonts w:ascii="Arial" w:hAnsi="Arial" w:eastAsia="宋体" w:cs="Arial"/>
                <w:sz w:val="21"/>
                <w:szCs w:val="21"/>
              </w:rPr>
            </w:pPr>
            <w:r>
              <w:rPr>
                <w:rFonts w:ascii="Arial" w:hAnsi="Arial" w:eastAsia="宋体" w:cs="Arial"/>
                <w:sz w:val="21"/>
                <w:szCs w:val="21"/>
              </w:rPr>
              <w:t>4350</w:t>
            </w:r>
          </w:p>
        </w:tc>
        <w:tc>
          <w:tcPr>
            <w:tcW w:w="770" w:type="pct"/>
            <w:tcBorders>
              <w:top w:val="single" w:color="auto" w:sz="4" w:space="0"/>
              <w:left w:val="single" w:color="auto" w:sz="4" w:space="0"/>
              <w:bottom w:val="single" w:color="auto" w:sz="4" w:space="0"/>
              <w:right w:val="single" w:color="auto" w:sz="4" w:space="0"/>
            </w:tcBorders>
            <w:vAlign w:val="center"/>
          </w:tcPr>
          <w:p w14:paraId="0755858D">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76F1397A">
            <w:pPr>
              <w:adjustRightInd w:val="0"/>
              <w:snapToGrid w:val="0"/>
              <w:jc w:val="center"/>
              <w:rPr>
                <w:rFonts w:ascii="Arial" w:hAnsi="Arial" w:cs="Arial"/>
                <w:sz w:val="21"/>
                <w:szCs w:val="21"/>
              </w:rPr>
            </w:pPr>
            <w:r>
              <w:rPr>
                <w:rFonts w:ascii="Arial" w:hAnsi="Arial" w:cs="Arial"/>
                <w:sz w:val="21"/>
                <w:szCs w:val="21"/>
              </w:rPr>
              <w:t>360</w:t>
            </w:r>
          </w:p>
        </w:tc>
      </w:tr>
      <w:tr w14:paraId="479EF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1A2A80B4">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6B98455E">
            <w:pPr>
              <w:adjustRightInd w:val="0"/>
              <w:snapToGrid w:val="0"/>
              <w:jc w:val="center"/>
              <w:rPr>
                <w:rFonts w:ascii="Arial" w:hAnsi="Arial" w:eastAsia="宋体" w:cs="Arial"/>
                <w:sz w:val="21"/>
                <w:szCs w:val="21"/>
              </w:rPr>
            </w:pPr>
            <w:r>
              <w:rPr>
                <w:rFonts w:ascii="Arial" w:hAnsi="Arial" w:eastAsia="宋体" w:cs="Arial"/>
                <w:sz w:val="21"/>
                <w:szCs w:val="21"/>
              </w:rPr>
              <w:t>36</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BAA0808">
            <w:pPr>
              <w:adjustRightInd w:val="0"/>
              <w:snapToGrid w:val="0"/>
              <w:jc w:val="center"/>
              <w:rPr>
                <w:rFonts w:ascii="Arial" w:hAnsi="Arial" w:eastAsia="宋体" w:cs="Arial"/>
                <w:sz w:val="21"/>
                <w:szCs w:val="21"/>
              </w:rPr>
            </w:pPr>
            <w:r>
              <w:rPr>
                <w:rFonts w:ascii="Arial" w:hAnsi="Arial" w:eastAsia="宋体" w:cs="Arial"/>
                <w:sz w:val="21"/>
                <w:szCs w:val="21"/>
              </w:rPr>
              <w:t>沙岗头村</w:t>
            </w:r>
          </w:p>
        </w:tc>
        <w:tc>
          <w:tcPr>
            <w:tcW w:w="595" w:type="pct"/>
            <w:tcBorders>
              <w:top w:val="single" w:color="auto" w:sz="4" w:space="0"/>
              <w:left w:val="single" w:color="auto" w:sz="4" w:space="0"/>
              <w:bottom w:val="single" w:color="auto" w:sz="4" w:space="0"/>
              <w:right w:val="single" w:color="auto" w:sz="4" w:space="0"/>
            </w:tcBorders>
            <w:vAlign w:val="center"/>
          </w:tcPr>
          <w:p w14:paraId="5502EF80">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6CAADE1C">
            <w:pPr>
              <w:adjustRightInd w:val="0"/>
              <w:snapToGrid w:val="0"/>
              <w:jc w:val="center"/>
              <w:rPr>
                <w:rFonts w:ascii="Arial" w:hAnsi="Arial" w:eastAsia="宋体" w:cs="Arial"/>
                <w:sz w:val="21"/>
                <w:szCs w:val="21"/>
              </w:rPr>
            </w:pPr>
            <w:r>
              <w:rPr>
                <w:rFonts w:ascii="Arial" w:hAnsi="Arial" w:eastAsia="宋体" w:cs="Arial"/>
                <w:sz w:val="21"/>
                <w:szCs w:val="21"/>
              </w:rPr>
              <w:t>4870</w:t>
            </w:r>
          </w:p>
        </w:tc>
        <w:tc>
          <w:tcPr>
            <w:tcW w:w="770" w:type="pct"/>
            <w:tcBorders>
              <w:top w:val="single" w:color="auto" w:sz="4" w:space="0"/>
              <w:left w:val="single" w:color="auto" w:sz="4" w:space="0"/>
              <w:bottom w:val="single" w:color="auto" w:sz="4" w:space="0"/>
              <w:right w:val="single" w:color="auto" w:sz="4" w:space="0"/>
            </w:tcBorders>
            <w:vAlign w:val="center"/>
          </w:tcPr>
          <w:p w14:paraId="7217C57D">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15004D37">
            <w:pPr>
              <w:adjustRightInd w:val="0"/>
              <w:snapToGrid w:val="0"/>
              <w:jc w:val="center"/>
              <w:rPr>
                <w:rFonts w:ascii="Arial" w:hAnsi="Arial" w:cs="Arial"/>
                <w:sz w:val="21"/>
                <w:szCs w:val="21"/>
              </w:rPr>
            </w:pPr>
            <w:r>
              <w:rPr>
                <w:rFonts w:ascii="Arial" w:hAnsi="Arial" w:cs="Arial"/>
                <w:sz w:val="21"/>
                <w:szCs w:val="21"/>
              </w:rPr>
              <w:t>440</w:t>
            </w:r>
          </w:p>
        </w:tc>
      </w:tr>
      <w:tr w14:paraId="097B5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37F9CC24">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05194E2F">
            <w:pPr>
              <w:adjustRightInd w:val="0"/>
              <w:snapToGrid w:val="0"/>
              <w:jc w:val="center"/>
              <w:rPr>
                <w:rFonts w:ascii="Arial" w:hAnsi="Arial" w:eastAsia="宋体" w:cs="Arial"/>
                <w:sz w:val="21"/>
                <w:szCs w:val="21"/>
              </w:rPr>
            </w:pPr>
            <w:r>
              <w:rPr>
                <w:rFonts w:ascii="Arial" w:hAnsi="Arial" w:eastAsia="宋体" w:cs="Arial"/>
                <w:sz w:val="21"/>
                <w:szCs w:val="21"/>
              </w:rPr>
              <w:t>37</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6D91107">
            <w:pPr>
              <w:adjustRightInd w:val="0"/>
              <w:snapToGrid w:val="0"/>
              <w:jc w:val="center"/>
              <w:rPr>
                <w:rFonts w:ascii="Arial" w:hAnsi="Arial" w:eastAsia="宋体" w:cs="Arial"/>
                <w:sz w:val="21"/>
                <w:szCs w:val="21"/>
              </w:rPr>
            </w:pPr>
            <w:r>
              <w:rPr>
                <w:rFonts w:ascii="Arial" w:hAnsi="Arial" w:eastAsia="宋体" w:cs="Arial"/>
                <w:sz w:val="21"/>
                <w:szCs w:val="21"/>
              </w:rPr>
              <w:t>榕树灶村</w:t>
            </w:r>
          </w:p>
        </w:tc>
        <w:tc>
          <w:tcPr>
            <w:tcW w:w="595" w:type="pct"/>
            <w:tcBorders>
              <w:top w:val="single" w:color="auto" w:sz="4" w:space="0"/>
              <w:left w:val="single" w:color="auto" w:sz="4" w:space="0"/>
              <w:bottom w:val="single" w:color="auto" w:sz="4" w:space="0"/>
              <w:right w:val="single" w:color="auto" w:sz="4" w:space="0"/>
            </w:tcBorders>
            <w:vAlign w:val="center"/>
          </w:tcPr>
          <w:p w14:paraId="406F1CF9">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01B757B9">
            <w:pPr>
              <w:adjustRightInd w:val="0"/>
              <w:snapToGrid w:val="0"/>
              <w:jc w:val="center"/>
              <w:rPr>
                <w:rFonts w:ascii="Arial" w:hAnsi="Arial" w:eastAsia="宋体" w:cs="Arial"/>
                <w:sz w:val="21"/>
                <w:szCs w:val="21"/>
              </w:rPr>
            </w:pPr>
            <w:r>
              <w:rPr>
                <w:rFonts w:ascii="Arial" w:hAnsi="Arial" w:eastAsia="宋体" w:cs="Arial"/>
                <w:sz w:val="21"/>
                <w:szCs w:val="21"/>
              </w:rPr>
              <w:t>5220</w:t>
            </w:r>
          </w:p>
        </w:tc>
        <w:tc>
          <w:tcPr>
            <w:tcW w:w="770" w:type="pct"/>
            <w:tcBorders>
              <w:top w:val="single" w:color="auto" w:sz="4" w:space="0"/>
              <w:left w:val="single" w:color="auto" w:sz="4" w:space="0"/>
              <w:bottom w:val="single" w:color="auto" w:sz="4" w:space="0"/>
              <w:right w:val="single" w:color="auto" w:sz="4" w:space="0"/>
            </w:tcBorders>
            <w:vAlign w:val="center"/>
          </w:tcPr>
          <w:p w14:paraId="71AD10D2">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176B4679">
            <w:pPr>
              <w:adjustRightInd w:val="0"/>
              <w:snapToGrid w:val="0"/>
              <w:jc w:val="center"/>
              <w:rPr>
                <w:rFonts w:ascii="Arial" w:hAnsi="Arial" w:eastAsia="宋体" w:cs="Arial"/>
                <w:sz w:val="21"/>
                <w:szCs w:val="21"/>
              </w:rPr>
            </w:pPr>
            <w:r>
              <w:rPr>
                <w:rFonts w:ascii="Arial" w:hAnsi="Arial" w:eastAsia="宋体" w:cs="Arial"/>
                <w:sz w:val="21"/>
                <w:szCs w:val="21"/>
              </w:rPr>
              <w:t>238</w:t>
            </w:r>
          </w:p>
        </w:tc>
      </w:tr>
      <w:tr w14:paraId="3E984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5B9FAAEC">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176D06EA">
            <w:pPr>
              <w:adjustRightInd w:val="0"/>
              <w:snapToGrid w:val="0"/>
              <w:jc w:val="center"/>
              <w:rPr>
                <w:rFonts w:ascii="Arial" w:hAnsi="Arial" w:eastAsia="宋体" w:cs="Arial"/>
                <w:sz w:val="21"/>
                <w:szCs w:val="21"/>
              </w:rPr>
            </w:pPr>
            <w:r>
              <w:rPr>
                <w:rFonts w:ascii="Arial" w:hAnsi="Arial" w:eastAsia="宋体" w:cs="Arial"/>
                <w:sz w:val="21"/>
                <w:szCs w:val="21"/>
              </w:rPr>
              <w:t>38</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CAEF70E">
            <w:pPr>
              <w:adjustRightInd w:val="0"/>
              <w:snapToGrid w:val="0"/>
              <w:jc w:val="center"/>
              <w:rPr>
                <w:rFonts w:ascii="Arial" w:hAnsi="Arial" w:eastAsia="宋体" w:cs="Arial"/>
                <w:sz w:val="21"/>
                <w:szCs w:val="21"/>
              </w:rPr>
            </w:pPr>
            <w:r>
              <w:rPr>
                <w:rFonts w:ascii="Arial" w:hAnsi="Arial" w:eastAsia="宋体" w:cs="Arial"/>
                <w:sz w:val="21"/>
                <w:szCs w:val="21"/>
              </w:rPr>
              <w:t>水榕冲村</w:t>
            </w:r>
          </w:p>
        </w:tc>
        <w:tc>
          <w:tcPr>
            <w:tcW w:w="595" w:type="pct"/>
            <w:tcBorders>
              <w:top w:val="single" w:color="auto" w:sz="4" w:space="0"/>
              <w:left w:val="single" w:color="auto" w:sz="4" w:space="0"/>
              <w:bottom w:val="single" w:color="auto" w:sz="4" w:space="0"/>
              <w:right w:val="single" w:color="auto" w:sz="4" w:space="0"/>
            </w:tcBorders>
            <w:vAlign w:val="center"/>
          </w:tcPr>
          <w:p w14:paraId="6F48A8D4">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5181B790">
            <w:pPr>
              <w:adjustRightInd w:val="0"/>
              <w:snapToGrid w:val="0"/>
              <w:jc w:val="center"/>
              <w:rPr>
                <w:rFonts w:ascii="Arial" w:hAnsi="Arial" w:eastAsia="宋体" w:cs="Arial"/>
                <w:sz w:val="21"/>
                <w:szCs w:val="21"/>
              </w:rPr>
            </w:pPr>
            <w:r>
              <w:rPr>
                <w:rFonts w:ascii="Arial" w:hAnsi="Arial" w:eastAsia="宋体" w:cs="Arial"/>
                <w:sz w:val="21"/>
                <w:szCs w:val="21"/>
              </w:rPr>
              <w:t>5275</w:t>
            </w:r>
          </w:p>
        </w:tc>
        <w:tc>
          <w:tcPr>
            <w:tcW w:w="770" w:type="pct"/>
            <w:tcBorders>
              <w:top w:val="single" w:color="auto" w:sz="4" w:space="0"/>
              <w:left w:val="single" w:color="auto" w:sz="4" w:space="0"/>
              <w:bottom w:val="single" w:color="auto" w:sz="4" w:space="0"/>
              <w:right w:val="single" w:color="auto" w:sz="4" w:space="0"/>
            </w:tcBorders>
            <w:vAlign w:val="center"/>
          </w:tcPr>
          <w:p w14:paraId="786BF48A">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60913B2E">
            <w:pPr>
              <w:adjustRightInd w:val="0"/>
              <w:snapToGrid w:val="0"/>
              <w:jc w:val="center"/>
              <w:rPr>
                <w:rFonts w:ascii="Arial" w:hAnsi="Arial" w:cs="Arial"/>
                <w:sz w:val="21"/>
                <w:szCs w:val="21"/>
              </w:rPr>
            </w:pPr>
            <w:r>
              <w:rPr>
                <w:rFonts w:ascii="Arial" w:hAnsi="Arial" w:cs="Arial"/>
                <w:sz w:val="21"/>
                <w:szCs w:val="21"/>
              </w:rPr>
              <w:t>410</w:t>
            </w:r>
          </w:p>
        </w:tc>
      </w:tr>
      <w:tr w14:paraId="2D414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72E99FEC">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07A90C69">
            <w:pPr>
              <w:adjustRightInd w:val="0"/>
              <w:snapToGrid w:val="0"/>
              <w:jc w:val="center"/>
              <w:rPr>
                <w:rFonts w:ascii="Arial" w:hAnsi="Arial" w:eastAsia="宋体" w:cs="Arial"/>
                <w:sz w:val="21"/>
                <w:szCs w:val="21"/>
              </w:rPr>
            </w:pPr>
            <w:r>
              <w:rPr>
                <w:rFonts w:ascii="Arial" w:hAnsi="Arial" w:eastAsia="宋体" w:cs="Arial"/>
                <w:sz w:val="21"/>
                <w:szCs w:val="21"/>
              </w:rPr>
              <w:t>39</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B4DCC5E">
            <w:pPr>
              <w:adjustRightInd w:val="0"/>
              <w:snapToGrid w:val="0"/>
              <w:jc w:val="center"/>
              <w:rPr>
                <w:rFonts w:ascii="Arial" w:hAnsi="Arial" w:eastAsia="宋体" w:cs="Arial"/>
                <w:sz w:val="21"/>
                <w:szCs w:val="21"/>
              </w:rPr>
            </w:pPr>
            <w:r>
              <w:rPr>
                <w:rFonts w:ascii="Arial" w:hAnsi="Arial" w:eastAsia="宋体" w:cs="Arial"/>
                <w:sz w:val="21"/>
                <w:szCs w:val="21"/>
              </w:rPr>
              <w:t>天塘村</w:t>
            </w:r>
          </w:p>
        </w:tc>
        <w:tc>
          <w:tcPr>
            <w:tcW w:w="595" w:type="pct"/>
            <w:tcBorders>
              <w:top w:val="single" w:color="auto" w:sz="4" w:space="0"/>
              <w:left w:val="single" w:color="auto" w:sz="4" w:space="0"/>
              <w:bottom w:val="single" w:color="auto" w:sz="4" w:space="0"/>
              <w:right w:val="single" w:color="auto" w:sz="4" w:space="0"/>
            </w:tcBorders>
            <w:vAlign w:val="center"/>
          </w:tcPr>
          <w:p w14:paraId="72A62323">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6A9EF29E">
            <w:pPr>
              <w:adjustRightInd w:val="0"/>
              <w:snapToGrid w:val="0"/>
              <w:jc w:val="center"/>
              <w:rPr>
                <w:rFonts w:ascii="Arial" w:hAnsi="Arial" w:eastAsia="宋体" w:cs="Arial"/>
                <w:sz w:val="21"/>
                <w:szCs w:val="21"/>
              </w:rPr>
            </w:pPr>
            <w:r>
              <w:rPr>
                <w:rFonts w:ascii="Arial" w:hAnsi="Arial" w:eastAsia="宋体" w:cs="Arial"/>
                <w:sz w:val="21"/>
                <w:szCs w:val="21"/>
              </w:rPr>
              <w:t>5305</w:t>
            </w:r>
          </w:p>
        </w:tc>
        <w:tc>
          <w:tcPr>
            <w:tcW w:w="770" w:type="pct"/>
            <w:tcBorders>
              <w:top w:val="single" w:color="auto" w:sz="4" w:space="0"/>
              <w:left w:val="single" w:color="auto" w:sz="4" w:space="0"/>
              <w:bottom w:val="single" w:color="auto" w:sz="4" w:space="0"/>
              <w:right w:val="single" w:color="auto" w:sz="4" w:space="0"/>
            </w:tcBorders>
            <w:vAlign w:val="center"/>
          </w:tcPr>
          <w:p w14:paraId="6ECE8FCE">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056FCE12">
            <w:pPr>
              <w:adjustRightInd w:val="0"/>
              <w:snapToGrid w:val="0"/>
              <w:jc w:val="center"/>
              <w:rPr>
                <w:rFonts w:ascii="Arial" w:hAnsi="Arial" w:cs="Arial"/>
                <w:sz w:val="21"/>
                <w:szCs w:val="21"/>
              </w:rPr>
            </w:pPr>
            <w:r>
              <w:rPr>
                <w:rFonts w:ascii="Arial" w:hAnsi="Arial" w:cs="Arial"/>
                <w:sz w:val="21"/>
                <w:szCs w:val="21"/>
              </w:rPr>
              <w:t>252</w:t>
            </w:r>
          </w:p>
        </w:tc>
      </w:tr>
      <w:tr w14:paraId="49E09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3B99AC43">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11725ED5">
            <w:pPr>
              <w:adjustRightInd w:val="0"/>
              <w:snapToGrid w:val="0"/>
              <w:jc w:val="center"/>
              <w:rPr>
                <w:rFonts w:ascii="Arial" w:hAnsi="Arial" w:eastAsia="宋体" w:cs="Arial"/>
                <w:sz w:val="21"/>
                <w:szCs w:val="21"/>
              </w:rPr>
            </w:pPr>
            <w:r>
              <w:rPr>
                <w:rFonts w:ascii="Arial" w:hAnsi="Arial" w:eastAsia="宋体" w:cs="Arial"/>
                <w:sz w:val="21"/>
                <w:szCs w:val="21"/>
              </w:rPr>
              <w:t>40</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BACD8B5">
            <w:pPr>
              <w:adjustRightInd w:val="0"/>
              <w:snapToGrid w:val="0"/>
              <w:jc w:val="center"/>
              <w:rPr>
                <w:rFonts w:ascii="Arial" w:hAnsi="Arial" w:eastAsia="宋体" w:cs="Arial"/>
                <w:sz w:val="21"/>
                <w:szCs w:val="21"/>
              </w:rPr>
            </w:pPr>
            <w:r>
              <w:rPr>
                <w:rFonts w:ascii="Arial" w:hAnsi="Arial" w:eastAsia="宋体" w:cs="Arial"/>
                <w:sz w:val="21"/>
                <w:szCs w:val="21"/>
              </w:rPr>
              <w:t>大坪村</w:t>
            </w:r>
          </w:p>
        </w:tc>
        <w:tc>
          <w:tcPr>
            <w:tcW w:w="595" w:type="pct"/>
            <w:tcBorders>
              <w:top w:val="single" w:color="auto" w:sz="4" w:space="0"/>
              <w:left w:val="single" w:color="auto" w:sz="4" w:space="0"/>
              <w:bottom w:val="single" w:color="auto" w:sz="4" w:space="0"/>
              <w:right w:val="single" w:color="auto" w:sz="4" w:space="0"/>
            </w:tcBorders>
            <w:vAlign w:val="center"/>
          </w:tcPr>
          <w:p w14:paraId="610294F5">
            <w:pPr>
              <w:adjustRightInd w:val="0"/>
              <w:snapToGrid w:val="0"/>
              <w:jc w:val="center"/>
              <w:rPr>
                <w:rFonts w:ascii="Arial" w:hAnsi="Arial" w:eastAsia="宋体" w:cs="Arial"/>
                <w:sz w:val="21"/>
                <w:szCs w:val="21"/>
              </w:rPr>
            </w:pPr>
            <w:r>
              <w:rPr>
                <w:rFonts w:ascii="Arial" w:hAnsi="Arial" w:eastAsia="宋体" w:cs="Arial"/>
                <w:sz w:val="21"/>
                <w:szCs w:val="21"/>
              </w:rPr>
              <w:t>东北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3B1968ED">
            <w:pPr>
              <w:adjustRightInd w:val="0"/>
              <w:snapToGrid w:val="0"/>
              <w:jc w:val="center"/>
              <w:rPr>
                <w:rFonts w:ascii="Arial" w:hAnsi="Arial" w:eastAsia="宋体" w:cs="Arial"/>
                <w:sz w:val="21"/>
                <w:szCs w:val="21"/>
              </w:rPr>
            </w:pPr>
            <w:r>
              <w:rPr>
                <w:rFonts w:ascii="Arial" w:hAnsi="Arial" w:eastAsia="宋体" w:cs="Arial"/>
                <w:sz w:val="21"/>
                <w:szCs w:val="21"/>
              </w:rPr>
              <w:t>5360</w:t>
            </w:r>
          </w:p>
        </w:tc>
        <w:tc>
          <w:tcPr>
            <w:tcW w:w="770" w:type="pct"/>
            <w:tcBorders>
              <w:top w:val="single" w:color="auto" w:sz="4" w:space="0"/>
              <w:left w:val="single" w:color="auto" w:sz="4" w:space="0"/>
              <w:bottom w:val="single" w:color="auto" w:sz="4" w:space="0"/>
              <w:right w:val="single" w:color="auto" w:sz="4" w:space="0"/>
            </w:tcBorders>
            <w:vAlign w:val="center"/>
          </w:tcPr>
          <w:p w14:paraId="58DB117B">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673A7D2A">
            <w:pPr>
              <w:adjustRightInd w:val="0"/>
              <w:snapToGrid w:val="0"/>
              <w:jc w:val="center"/>
              <w:rPr>
                <w:rFonts w:ascii="Arial" w:hAnsi="Arial" w:cs="Arial"/>
                <w:sz w:val="21"/>
                <w:szCs w:val="21"/>
              </w:rPr>
            </w:pPr>
            <w:r>
              <w:rPr>
                <w:rFonts w:ascii="Arial" w:hAnsi="Arial" w:cs="Arial"/>
                <w:sz w:val="21"/>
                <w:szCs w:val="21"/>
              </w:rPr>
              <w:t>160</w:t>
            </w:r>
          </w:p>
        </w:tc>
      </w:tr>
      <w:tr w14:paraId="22E79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4886F1EF">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7BFC2BE5">
            <w:pPr>
              <w:adjustRightInd w:val="0"/>
              <w:snapToGrid w:val="0"/>
              <w:jc w:val="center"/>
              <w:rPr>
                <w:rFonts w:ascii="Arial" w:hAnsi="Arial" w:eastAsia="宋体" w:cs="Arial"/>
                <w:sz w:val="21"/>
                <w:szCs w:val="21"/>
              </w:rPr>
            </w:pPr>
            <w:r>
              <w:rPr>
                <w:rFonts w:ascii="Arial" w:hAnsi="Arial" w:eastAsia="宋体" w:cs="Arial"/>
                <w:sz w:val="21"/>
                <w:szCs w:val="21"/>
              </w:rPr>
              <w:t>41</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42CFABD">
            <w:pPr>
              <w:adjustRightInd w:val="0"/>
              <w:snapToGrid w:val="0"/>
              <w:jc w:val="center"/>
              <w:rPr>
                <w:rFonts w:ascii="Arial" w:hAnsi="Arial" w:eastAsia="宋体" w:cs="Arial"/>
                <w:sz w:val="21"/>
                <w:szCs w:val="21"/>
              </w:rPr>
            </w:pPr>
            <w:r>
              <w:rPr>
                <w:rFonts w:ascii="Arial" w:hAnsi="Arial" w:eastAsia="宋体" w:cs="Arial"/>
                <w:sz w:val="21"/>
                <w:szCs w:val="21"/>
              </w:rPr>
              <w:t>开发区第二小学</w:t>
            </w:r>
          </w:p>
        </w:tc>
        <w:tc>
          <w:tcPr>
            <w:tcW w:w="595" w:type="pct"/>
            <w:tcBorders>
              <w:top w:val="single" w:color="auto" w:sz="4" w:space="0"/>
              <w:left w:val="single" w:color="auto" w:sz="4" w:space="0"/>
              <w:bottom w:val="single" w:color="auto" w:sz="4" w:space="0"/>
              <w:right w:val="single" w:color="auto" w:sz="4" w:space="0"/>
            </w:tcBorders>
            <w:vAlign w:val="center"/>
          </w:tcPr>
          <w:p w14:paraId="1C9BD298">
            <w:pPr>
              <w:adjustRightInd w:val="0"/>
              <w:snapToGrid w:val="0"/>
              <w:jc w:val="center"/>
              <w:rPr>
                <w:rFonts w:ascii="Arial" w:hAnsi="Arial" w:eastAsia="宋体" w:cs="Arial"/>
                <w:sz w:val="21"/>
                <w:szCs w:val="21"/>
              </w:rPr>
            </w:pPr>
            <w:r>
              <w:rPr>
                <w:rFonts w:ascii="Arial" w:hAnsi="Arial" w:eastAsia="宋体" w:cs="Arial"/>
                <w:sz w:val="21"/>
                <w:szCs w:val="21"/>
              </w:rPr>
              <w:t>西北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20EAD1F6">
            <w:pPr>
              <w:adjustRightInd w:val="0"/>
              <w:snapToGrid w:val="0"/>
              <w:jc w:val="center"/>
              <w:rPr>
                <w:rFonts w:ascii="Arial" w:hAnsi="Arial" w:eastAsia="宋体" w:cs="Arial"/>
                <w:sz w:val="21"/>
                <w:szCs w:val="21"/>
              </w:rPr>
            </w:pPr>
            <w:r>
              <w:rPr>
                <w:rFonts w:ascii="Arial" w:hAnsi="Arial" w:eastAsia="宋体" w:cs="Arial"/>
                <w:sz w:val="21"/>
                <w:szCs w:val="21"/>
              </w:rPr>
              <w:t>5570</w:t>
            </w:r>
          </w:p>
        </w:tc>
        <w:tc>
          <w:tcPr>
            <w:tcW w:w="770" w:type="pct"/>
            <w:tcBorders>
              <w:top w:val="single" w:color="auto" w:sz="4" w:space="0"/>
              <w:left w:val="single" w:color="auto" w:sz="4" w:space="0"/>
              <w:bottom w:val="single" w:color="auto" w:sz="4" w:space="0"/>
              <w:right w:val="single" w:color="auto" w:sz="4" w:space="0"/>
            </w:tcBorders>
            <w:vAlign w:val="center"/>
          </w:tcPr>
          <w:p w14:paraId="6B857B71">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662" w:type="pct"/>
            <w:tcBorders>
              <w:top w:val="single" w:color="auto" w:sz="4" w:space="0"/>
              <w:left w:val="single" w:color="auto" w:sz="4" w:space="0"/>
              <w:bottom w:val="single" w:color="auto" w:sz="4" w:space="0"/>
              <w:right w:val="single" w:color="auto" w:sz="4" w:space="0"/>
            </w:tcBorders>
            <w:vAlign w:val="center"/>
          </w:tcPr>
          <w:p w14:paraId="7ADD9D47">
            <w:pPr>
              <w:adjustRightInd w:val="0"/>
              <w:snapToGrid w:val="0"/>
              <w:jc w:val="center"/>
              <w:rPr>
                <w:rFonts w:ascii="Arial" w:hAnsi="Arial" w:cs="Arial"/>
                <w:sz w:val="21"/>
                <w:szCs w:val="21"/>
              </w:rPr>
            </w:pPr>
            <w:r>
              <w:rPr>
                <w:rFonts w:ascii="Arial" w:hAnsi="Arial" w:cs="Arial"/>
                <w:sz w:val="21"/>
                <w:szCs w:val="21"/>
              </w:rPr>
              <w:t>1078</w:t>
            </w:r>
          </w:p>
        </w:tc>
      </w:tr>
      <w:tr w14:paraId="62764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99D2A26">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0D66BBE4">
            <w:pPr>
              <w:adjustRightInd w:val="0"/>
              <w:snapToGrid w:val="0"/>
              <w:jc w:val="center"/>
              <w:rPr>
                <w:rFonts w:ascii="Arial" w:hAnsi="Arial" w:eastAsia="宋体" w:cs="Arial"/>
                <w:sz w:val="21"/>
                <w:szCs w:val="21"/>
              </w:rPr>
            </w:pPr>
            <w:r>
              <w:rPr>
                <w:rFonts w:ascii="Arial" w:hAnsi="Arial" w:eastAsia="宋体" w:cs="Arial"/>
                <w:sz w:val="21"/>
                <w:szCs w:val="21"/>
              </w:rPr>
              <w:t>42</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942C344">
            <w:pPr>
              <w:adjustRightInd w:val="0"/>
              <w:snapToGrid w:val="0"/>
              <w:jc w:val="center"/>
              <w:rPr>
                <w:rFonts w:ascii="Arial" w:hAnsi="Arial" w:eastAsia="宋体" w:cs="Arial"/>
                <w:sz w:val="21"/>
                <w:szCs w:val="21"/>
              </w:rPr>
            </w:pPr>
            <w:r>
              <w:rPr>
                <w:rFonts w:ascii="Arial" w:hAnsi="Arial" w:eastAsia="宋体" w:cs="Arial"/>
                <w:sz w:val="21"/>
                <w:szCs w:val="21"/>
              </w:rPr>
              <w:t>大环村</w:t>
            </w:r>
          </w:p>
        </w:tc>
        <w:tc>
          <w:tcPr>
            <w:tcW w:w="595" w:type="pct"/>
            <w:tcBorders>
              <w:top w:val="single" w:color="auto" w:sz="4" w:space="0"/>
              <w:left w:val="single" w:color="auto" w:sz="4" w:space="0"/>
              <w:bottom w:val="single" w:color="auto" w:sz="4" w:space="0"/>
              <w:right w:val="single" w:color="auto" w:sz="4" w:space="0"/>
            </w:tcBorders>
            <w:vAlign w:val="center"/>
          </w:tcPr>
          <w:p w14:paraId="5149CC56">
            <w:pPr>
              <w:adjustRightInd w:val="0"/>
              <w:snapToGrid w:val="0"/>
              <w:jc w:val="center"/>
              <w:rPr>
                <w:rFonts w:ascii="Arial" w:hAnsi="Arial" w:eastAsia="宋体" w:cs="Arial"/>
                <w:sz w:val="21"/>
                <w:szCs w:val="21"/>
              </w:rPr>
            </w:pPr>
            <w:r>
              <w:rPr>
                <w:rFonts w:ascii="Arial" w:hAnsi="Arial" w:eastAsia="宋体" w:cs="Arial"/>
                <w:sz w:val="21"/>
                <w:szCs w:val="21"/>
              </w:rPr>
              <w:t>东南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1730E7C5">
            <w:pPr>
              <w:adjustRightInd w:val="0"/>
              <w:snapToGrid w:val="0"/>
              <w:jc w:val="center"/>
              <w:rPr>
                <w:rFonts w:ascii="Arial" w:hAnsi="Arial" w:eastAsia="宋体" w:cs="Arial"/>
                <w:sz w:val="21"/>
                <w:szCs w:val="21"/>
              </w:rPr>
            </w:pPr>
            <w:r>
              <w:rPr>
                <w:rFonts w:ascii="Arial" w:hAnsi="Arial" w:eastAsia="宋体" w:cs="Arial"/>
                <w:sz w:val="21"/>
                <w:szCs w:val="21"/>
              </w:rPr>
              <w:t>5765</w:t>
            </w:r>
          </w:p>
        </w:tc>
        <w:tc>
          <w:tcPr>
            <w:tcW w:w="770" w:type="pct"/>
            <w:tcBorders>
              <w:top w:val="single" w:color="auto" w:sz="4" w:space="0"/>
              <w:left w:val="single" w:color="auto" w:sz="4" w:space="0"/>
              <w:bottom w:val="single" w:color="auto" w:sz="4" w:space="0"/>
              <w:right w:val="single" w:color="auto" w:sz="4" w:space="0"/>
            </w:tcBorders>
            <w:vAlign w:val="center"/>
          </w:tcPr>
          <w:p w14:paraId="4A3832F4">
            <w:pPr>
              <w:adjustRightInd w:val="0"/>
              <w:snapToGrid w:val="0"/>
              <w:jc w:val="center"/>
              <w:rPr>
                <w:rFonts w:ascii="Arial" w:hAnsi="Arial" w:eastAsia="宋体" w:cs="Arial"/>
                <w:sz w:val="21"/>
                <w:szCs w:val="21"/>
              </w:rPr>
            </w:pPr>
            <w:r>
              <w:rPr>
                <w:rFonts w:ascii="Arial" w:hAnsi="Arial" w:eastAsia="宋体" w:cs="Arial"/>
                <w:sz w:val="21"/>
                <w:szCs w:val="21"/>
              </w:rPr>
              <w:t>村庄</w:t>
            </w:r>
          </w:p>
        </w:tc>
        <w:tc>
          <w:tcPr>
            <w:tcW w:w="662" w:type="pct"/>
            <w:tcBorders>
              <w:top w:val="single" w:color="auto" w:sz="4" w:space="0"/>
              <w:left w:val="single" w:color="auto" w:sz="4" w:space="0"/>
              <w:bottom w:val="single" w:color="auto" w:sz="4" w:space="0"/>
              <w:right w:val="single" w:color="auto" w:sz="4" w:space="0"/>
            </w:tcBorders>
            <w:vAlign w:val="center"/>
          </w:tcPr>
          <w:p w14:paraId="690791EE">
            <w:pPr>
              <w:adjustRightInd w:val="0"/>
              <w:snapToGrid w:val="0"/>
              <w:jc w:val="center"/>
              <w:rPr>
                <w:rFonts w:ascii="Arial" w:hAnsi="Arial" w:eastAsia="宋体" w:cs="Arial"/>
                <w:sz w:val="21"/>
                <w:szCs w:val="21"/>
              </w:rPr>
            </w:pPr>
            <w:r>
              <w:rPr>
                <w:rFonts w:ascii="Arial" w:hAnsi="Arial" w:eastAsia="宋体" w:cs="Arial"/>
                <w:sz w:val="21"/>
                <w:szCs w:val="21"/>
              </w:rPr>
              <w:t>1576</w:t>
            </w:r>
          </w:p>
        </w:tc>
      </w:tr>
      <w:tr w14:paraId="651F3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6ED1E02A">
            <w:pPr>
              <w:widowControl/>
              <w:jc w:val="left"/>
              <w:rPr>
                <w:rFonts w:ascii="Arial" w:hAnsi="Arial" w:eastAsia="宋体" w:cs="Arial"/>
                <w:kern w:val="0"/>
                <w:sz w:val="21"/>
                <w:szCs w:val="21"/>
                <w:lang w:bidi="ar"/>
              </w:rPr>
            </w:pPr>
          </w:p>
        </w:tc>
        <w:tc>
          <w:tcPr>
            <w:tcW w:w="382" w:type="pct"/>
            <w:tcBorders>
              <w:top w:val="single" w:color="auto" w:sz="4" w:space="0"/>
              <w:left w:val="single" w:color="auto" w:sz="4" w:space="0"/>
              <w:bottom w:val="single" w:color="auto" w:sz="4" w:space="0"/>
              <w:right w:val="single" w:color="auto" w:sz="4" w:space="0"/>
            </w:tcBorders>
            <w:vAlign w:val="center"/>
          </w:tcPr>
          <w:p w14:paraId="0491931D">
            <w:pPr>
              <w:adjustRightInd w:val="0"/>
              <w:snapToGrid w:val="0"/>
              <w:jc w:val="center"/>
              <w:rPr>
                <w:rFonts w:ascii="Arial" w:hAnsi="Arial" w:eastAsia="宋体" w:cs="Arial"/>
                <w:sz w:val="21"/>
                <w:szCs w:val="21"/>
              </w:rPr>
            </w:pPr>
            <w:r>
              <w:rPr>
                <w:rFonts w:ascii="Arial" w:hAnsi="Arial" w:eastAsia="宋体" w:cs="Arial"/>
                <w:sz w:val="21"/>
                <w:szCs w:val="21"/>
              </w:rPr>
              <w:t>43</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FC569B8">
            <w:pPr>
              <w:adjustRightInd w:val="0"/>
              <w:snapToGrid w:val="0"/>
              <w:jc w:val="center"/>
              <w:rPr>
                <w:rFonts w:ascii="Arial" w:hAnsi="Arial" w:eastAsia="宋体" w:cs="Arial"/>
                <w:sz w:val="21"/>
                <w:szCs w:val="21"/>
              </w:rPr>
            </w:pPr>
            <w:r>
              <w:rPr>
                <w:rFonts w:ascii="Arial" w:hAnsi="Arial" w:eastAsia="宋体" w:cs="Arial"/>
                <w:sz w:val="21"/>
                <w:szCs w:val="21"/>
              </w:rPr>
              <w:t>大环小学</w:t>
            </w:r>
          </w:p>
        </w:tc>
        <w:tc>
          <w:tcPr>
            <w:tcW w:w="595" w:type="pct"/>
            <w:tcBorders>
              <w:top w:val="single" w:color="auto" w:sz="4" w:space="0"/>
              <w:left w:val="single" w:color="auto" w:sz="4" w:space="0"/>
              <w:bottom w:val="single" w:color="auto" w:sz="4" w:space="0"/>
              <w:right w:val="single" w:color="auto" w:sz="4" w:space="0"/>
            </w:tcBorders>
            <w:vAlign w:val="center"/>
          </w:tcPr>
          <w:p w14:paraId="33759BCD">
            <w:pPr>
              <w:adjustRightInd w:val="0"/>
              <w:snapToGrid w:val="0"/>
              <w:jc w:val="center"/>
              <w:rPr>
                <w:rFonts w:ascii="Arial" w:hAnsi="Arial" w:eastAsia="宋体" w:cs="Arial"/>
                <w:sz w:val="21"/>
                <w:szCs w:val="21"/>
              </w:rPr>
            </w:pPr>
            <w:r>
              <w:rPr>
                <w:rFonts w:ascii="Arial" w:hAnsi="Arial" w:eastAsia="宋体" w:cs="Arial"/>
                <w:sz w:val="21"/>
                <w:szCs w:val="21"/>
              </w:rPr>
              <w:t>东南</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41E6C6CA">
            <w:pPr>
              <w:adjustRightInd w:val="0"/>
              <w:snapToGrid w:val="0"/>
              <w:jc w:val="center"/>
              <w:rPr>
                <w:rFonts w:ascii="Arial" w:hAnsi="Arial" w:eastAsia="宋体" w:cs="Arial"/>
                <w:sz w:val="21"/>
                <w:szCs w:val="21"/>
              </w:rPr>
            </w:pPr>
            <w:r>
              <w:rPr>
                <w:rFonts w:ascii="Arial" w:hAnsi="Arial" w:eastAsia="宋体" w:cs="Arial"/>
                <w:sz w:val="21"/>
                <w:szCs w:val="21"/>
              </w:rPr>
              <w:t>6175</w:t>
            </w:r>
          </w:p>
        </w:tc>
        <w:tc>
          <w:tcPr>
            <w:tcW w:w="770" w:type="pct"/>
            <w:tcBorders>
              <w:top w:val="single" w:color="auto" w:sz="4" w:space="0"/>
              <w:left w:val="single" w:color="auto" w:sz="4" w:space="0"/>
              <w:bottom w:val="single" w:color="auto" w:sz="4" w:space="0"/>
              <w:right w:val="single" w:color="auto" w:sz="4" w:space="0"/>
            </w:tcBorders>
            <w:vAlign w:val="center"/>
          </w:tcPr>
          <w:p w14:paraId="4D64F984">
            <w:pPr>
              <w:adjustRightInd w:val="0"/>
              <w:snapToGrid w:val="0"/>
              <w:jc w:val="center"/>
              <w:rPr>
                <w:rFonts w:ascii="Arial" w:hAnsi="Arial" w:eastAsia="宋体" w:cs="Arial"/>
                <w:sz w:val="21"/>
                <w:szCs w:val="21"/>
              </w:rPr>
            </w:pPr>
            <w:r>
              <w:rPr>
                <w:rFonts w:ascii="Arial" w:hAnsi="Arial" w:eastAsia="宋体" w:cs="Arial"/>
                <w:sz w:val="21"/>
                <w:szCs w:val="21"/>
              </w:rPr>
              <w:t>学校</w:t>
            </w:r>
          </w:p>
        </w:tc>
        <w:tc>
          <w:tcPr>
            <w:tcW w:w="662" w:type="pct"/>
            <w:tcBorders>
              <w:top w:val="single" w:color="auto" w:sz="4" w:space="0"/>
              <w:left w:val="single" w:color="auto" w:sz="4" w:space="0"/>
              <w:bottom w:val="single" w:color="auto" w:sz="4" w:space="0"/>
              <w:right w:val="single" w:color="auto" w:sz="4" w:space="0"/>
            </w:tcBorders>
            <w:vAlign w:val="center"/>
          </w:tcPr>
          <w:p w14:paraId="35C51764">
            <w:pPr>
              <w:adjustRightInd w:val="0"/>
              <w:snapToGrid w:val="0"/>
              <w:jc w:val="center"/>
              <w:rPr>
                <w:rFonts w:ascii="Arial" w:hAnsi="Arial" w:cs="Arial"/>
                <w:sz w:val="21"/>
                <w:szCs w:val="21"/>
              </w:rPr>
            </w:pPr>
            <w:r>
              <w:rPr>
                <w:rFonts w:ascii="Arial" w:hAnsi="Arial" w:cs="Arial"/>
                <w:sz w:val="21"/>
                <w:szCs w:val="21"/>
              </w:rPr>
              <w:t>330</w:t>
            </w:r>
          </w:p>
        </w:tc>
      </w:tr>
      <w:tr w14:paraId="2DBB3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7A0FA062">
            <w:pPr>
              <w:widowControl/>
              <w:jc w:val="left"/>
              <w:rPr>
                <w:rFonts w:ascii="Arial" w:hAnsi="Arial" w:eastAsia="宋体" w:cs="Arial"/>
                <w:kern w:val="0"/>
                <w:sz w:val="21"/>
                <w:szCs w:val="21"/>
                <w:lang w:bidi="ar"/>
              </w:rPr>
            </w:pPr>
          </w:p>
        </w:tc>
        <w:tc>
          <w:tcPr>
            <w:tcW w:w="3963" w:type="pct"/>
            <w:gridSpan w:val="7"/>
            <w:tcBorders>
              <w:top w:val="single" w:color="auto" w:sz="4" w:space="0"/>
              <w:left w:val="single" w:color="auto" w:sz="4" w:space="0"/>
              <w:bottom w:val="single" w:color="auto" w:sz="4" w:space="0"/>
              <w:right w:val="single" w:color="auto" w:sz="4" w:space="0"/>
            </w:tcBorders>
            <w:vAlign w:val="center"/>
          </w:tcPr>
          <w:p w14:paraId="4488C730">
            <w:pPr>
              <w:adjustRightInd w:val="0"/>
              <w:snapToGrid w:val="0"/>
              <w:jc w:val="center"/>
              <w:rPr>
                <w:rFonts w:ascii="Arial" w:hAnsi="Arial" w:eastAsia="宋体" w:cs="Arial"/>
                <w:kern w:val="0"/>
                <w:sz w:val="21"/>
                <w:szCs w:val="21"/>
              </w:rPr>
            </w:pPr>
            <w:r>
              <w:rPr>
                <w:rFonts w:ascii="Arial" w:hAnsi="Arial" w:eastAsia="宋体" w:cs="Arial"/>
                <w:kern w:val="0"/>
                <w:sz w:val="21"/>
                <w:szCs w:val="21"/>
              </w:rPr>
              <w:t>厂址周边500m范围内人口数小计</w:t>
            </w:r>
          </w:p>
        </w:tc>
        <w:tc>
          <w:tcPr>
            <w:tcW w:w="662" w:type="pct"/>
            <w:tcBorders>
              <w:top w:val="single" w:color="auto" w:sz="4" w:space="0"/>
              <w:left w:val="single" w:color="auto" w:sz="4" w:space="0"/>
              <w:bottom w:val="single" w:color="auto" w:sz="4" w:space="0"/>
              <w:right w:val="single" w:color="auto" w:sz="4" w:space="0"/>
            </w:tcBorders>
            <w:vAlign w:val="center"/>
          </w:tcPr>
          <w:p w14:paraId="4E4E5261">
            <w:pPr>
              <w:adjustRightInd w:val="0"/>
              <w:snapToGrid w:val="0"/>
              <w:jc w:val="center"/>
              <w:rPr>
                <w:rFonts w:ascii="Arial" w:hAnsi="Arial" w:eastAsia="宋体" w:cs="Arial"/>
                <w:kern w:val="0"/>
                <w:sz w:val="21"/>
                <w:szCs w:val="21"/>
              </w:rPr>
            </w:pPr>
            <w:r>
              <w:rPr>
                <w:rFonts w:ascii="Arial" w:hAnsi="Arial" w:eastAsia="宋体" w:cs="Arial"/>
                <w:kern w:val="0"/>
                <w:sz w:val="21"/>
                <w:szCs w:val="21"/>
              </w:rPr>
              <w:t>1700</w:t>
            </w:r>
          </w:p>
        </w:tc>
      </w:tr>
      <w:tr w14:paraId="59BA7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02B4334F">
            <w:pPr>
              <w:widowControl/>
              <w:jc w:val="left"/>
              <w:rPr>
                <w:rFonts w:ascii="Arial" w:hAnsi="Arial" w:eastAsia="宋体" w:cs="Arial"/>
                <w:kern w:val="0"/>
                <w:sz w:val="21"/>
                <w:szCs w:val="21"/>
                <w:lang w:bidi="ar"/>
              </w:rPr>
            </w:pPr>
          </w:p>
        </w:tc>
        <w:tc>
          <w:tcPr>
            <w:tcW w:w="3963" w:type="pct"/>
            <w:gridSpan w:val="7"/>
            <w:tcBorders>
              <w:top w:val="single" w:color="auto" w:sz="4" w:space="0"/>
              <w:left w:val="single" w:color="auto" w:sz="4" w:space="0"/>
              <w:bottom w:val="single" w:color="auto" w:sz="4" w:space="0"/>
              <w:right w:val="single" w:color="auto" w:sz="4" w:space="0"/>
            </w:tcBorders>
            <w:vAlign w:val="center"/>
          </w:tcPr>
          <w:p w14:paraId="56211871">
            <w:pPr>
              <w:adjustRightInd w:val="0"/>
              <w:snapToGrid w:val="0"/>
              <w:jc w:val="center"/>
              <w:rPr>
                <w:rFonts w:ascii="Arial" w:hAnsi="Arial" w:eastAsia="宋体" w:cs="Arial"/>
                <w:kern w:val="0"/>
                <w:sz w:val="21"/>
                <w:szCs w:val="21"/>
              </w:rPr>
            </w:pPr>
            <w:r>
              <w:rPr>
                <w:rFonts w:ascii="Arial" w:hAnsi="Arial" w:eastAsia="宋体" w:cs="Arial"/>
                <w:kern w:val="0"/>
                <w:sz w:val="21"/>
                <w:szCs w:val="21"/>
              </w:rPr>
              <w:t>厂址周边5000m范围内人口数小计</w:t>
            </w:r>
          </w:p>
        </w:tc>
        <w:tc>
          <w:tcPr>
            <w:tcW w:w="662" w:type="pct"/>
            <w:tcBorders>
              <w:top w:val="single" w:color="auto" w:sz="4" w:space="0"/>
              <w:left w:val="single" w:color="auto" w:sz="4" w:space="0"/>
              <w:bottom w:val="single" w:color="auto" w:sz="4" w:space="0"/>
              <w:right w:val="single" w:color="auto" w:sz="4" w:space="0"/>
            </w:tcBorders>
            <w:vAlign w:val="center"/>
          </w:tcPr>
          <w:p w14:paraId="4EB3907A">
            <w:pPr>
              <w:adjustRightInd w:val="0"/>
              <w:snapToGrid w:val="0"/>
              <w:jc w:val="center"/>
              <w:rPr>
                <w:rFonts w:ascii="Arial" w:hAnsi="Arial" w:eastAsia="宋体" w:cs="Arial"/>
                <w:kern w:val="0"/>
                <w:sz w:val="21"/>
                <w:szCs w:val="21"/>
              </w:rPr>
            </w:pPr>
            <w:r>
              <w:rPr>
                <w:rFonts w:ascii="Arial" w:hAnsi="Arial" w:eastAsia="宋体" w:cs="Arial"/>
                <w:kern w:val="0"/>
                <w:sz w:val="21"/>
                <w:szCs w:val="21"/>
              </w:rPr>
              <w:t>2.18万人</w:t>
            </w:r>
          </w:p>
        </w:tc>
      </w:tr>
      <w:tr w14:paraId="51225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61B19571">
            <w:pPr>
              <w:widowControl/>
              <w:jc w:val="left"/>
              <w:rPr>
                <w:rFonts w:ascii="Arial" w:hAnsi="Arial" w:eastAsia="宋体" w:cs="Arial"/>
                <w:kern w:val="0"/>
                <w:sz w:val="21"/>
                <w:szCs w:val="21"/>
                <w:lang w:bidi="ar"/>
              </w:rPr>
            </w:pPr>
          </w:p>
        </w:tc>
        <w:tc>
          <w:tcPr>
            <w:tcW w:w="3963" w:type="pct"/>
            <w:gridSpan w:val="7"/>
            <w:tcBorders>
              <w:top w:val="single" w:color="auto" w:sz="4" w:space="0"/>
              <w:left w:val="single" w:color="auto" w:sz="4" w:space="0"/>
              <w:bottom w:val="single" w:color="auto" w:sz="4" w:space="0"/>
              <w:right w:val="single" w:color="auto" w:sz="4" w:space="0"/>
            </w:tcBorders>
            <w:vAlign w:val="center"/>
          </w:tcPr>
          <w:p w14:paraId="74BF06A9">
            <w:pPr>
              <w:adjustRightInd w:val="0"/>
              <w:snapToGrid w:val="0"/>
              <w:jc w:val="center"/>
              <w:rPr>
                <w:rFonts w:ascii="Arial" w:hAnsi="Arial" w:eastAsia="宋体" w:cs="Arial"/>
                <w:kern w:val="0"/>
                <w:sz w:val="21"/>
                <w:szCs w:val="21"/>
              </w:rPr>
            </w:pPr>
            <w:r>
              <w:rPr>
                <w:rFonts w:ascii="Arial" w:hAnsi="Arial" w:eastAsia="宋体" w:cs="Arial"/>
                <w:kern w:val="0"/>
                <w:sz w:val="21"/>
                <w:szCs w:val="21"/>
              </w:rPr>
              <w:t>大气环境敏感程度E值</w:t>
            </w:r>
          </w:p>
        </w:tc>
        <w:tc>
          <w:tcPr>
            <w:tcW w:w="662" w:type="pct"/>
            <w:tcBorders>
              <w:top w:val="single" w:color="auto" w:sz="4" w:space="0"/>
              <w:left w:val="single" w:color="auto" w:sz="4" w:space="0"/>
              <w:bottom w:val="single" w:color="auto" w:sz="4" w:space="0"/>
              <w:right w:val="single" w:color="auto" w:sz="4" w:space="0"/>
            </w:tcBorders>
            <w:vAlign w:val="center"/>
          </w:tcPr>
          <w:p w14:paraId="5F6F6FD6">
            <w:pPr>
              <w:adjustRightInd w:val="0"/>
              <w:snapToGrid w:val="0"/>
              <w:jc w:val="center"/>
              <w:rPr>
                <w:rFonts w:ascii="Arial" w:hAnsi="Arial" w:eastAsia="宋体" w:cs="Arial"/>
                <w:kern w:val="0"/>
                <w:sz w:val="21"/>
                <w:szCs w:val="21"/>
              </w:rPr>
            </w:pPr>
            <w:r>
              <w:rPr>
                <w:rFonts w:ascii="Arial" w:hAnsi="Arial" w:eastAsia="宋体" w:cs="Arial"/>
                <w:kern w:val="0"/>
                <w:sz w:val="21"/>
                <w:szCs w:val="21"/>
              </w:rPr>
              <w:t>E1</w:t>
            </w:r>
          </w:p>
        </w:tc>
      </w:tr>
      <w:tr w14:paraId="22D2E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restart"/>
            <w:tcBorders>
              <w:top w:val="single" w:color="auto" w:sz="4" w:space="0"/>
              <w:left w:val="single" w:color="auto" w:sz="4" w:space="0"/>
              <w:bottom w:val="single" w:color="auto" w:sz="4" w:space="0"/>
              <w:right w:val="single" w:color="auto" w:sz="4" w:space="0"/>
            </w:tcBorders>
            <w:vAlign w:val="center"/>
          </w:tcPr>
          <w:p w14:paraId="2E0BFAA9">
            <w:pPr>
              <w:adjustRightInd w:val="0"/>
              <w:snapToGrid w:val="0"/>
              <w:jc w:val="center"/>
              <w:rPr>
                <w:rFonts w:ascii="Arial" w:hAnsi="Arial" w:eastAsia="宋体" w:cs="Arial"/>
                <w:sz w:val="21"/>
                <w:szCs w:val="21"/>
              </w:rPr>
            </w:pPr>
            <w:r>
              <w:rPr>
                <w:rFonts w:ascii="Arial" w:hAnsi="Arial" w:eastAsia="宋体" w:cs="Arial"/>
                <w:sz w:val="21"/>
                <w:szCs w:val="21"/>
              </w:rPr>
              <w:t>地表水</w:t>
            </w:r>
          </w:p>
        </w:tc>
        <w:tc>
          <w:tcPr>
            <w:tcW w:w="4625" w:type="pct"/>
            <w:gridSpan w:val="8"/>
            <w:tcBorders>
              <w:top w:val="single" w:color="auto" w:sz="4" w:space="0"/>
              <w:left w:val="single" w:color="auto" w:sz="4" w:space="0"/>
              <w:bottom w:val="single" w:color="auto" w:sz="4" w:space="0"/>
              <w:right w:val="single" w:color="auto" w:sz="4" w:space="0"/>
            </w:tcBorders>
            <w:vAlign w:val="center"/>
          </w:tcPr>
          <w:p w14:paraId="1C9BDF51">
            <w:pPr>
              <w:adjustRightInd w:val="0"/>
              <w:snapToGrid w:val="0"/>
              <w:jc w:val="center"/>
              <w:rPr>
                <w:rFonts w:ascii="Arial" w:hAnsi="Arial" w:eastAsia="宋体" w:cs="Arial"/>
                <w:kern w:val="0"/>
                <w:sz w:val="21"/>
                <w:szCs w:val="21"/>
              </w:rPr>
            </w:pPr>
            <w:r>
              <w:rPr>
                <w:rFonts w:ascii="Arial" w:hAnsi="Arial" w:eastAsia="宋体" w:cs="Arial"/>
                <w:kern w:val="0"/>
                <w:sz w:val="21"/>
                <w:szCs w:val="21"/>
              </w:rPr>
              <w:t>受纳水体</w:t>
            </w:r>
          </w:p>
        </w:tc>
      </w:tr>
      <w:tr w14:paraId="16B04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10570990">
            <w:pPr>
              <w:widowControl/>
              <w:jc w:val="left"/>
              <w:rPr>
                <w:rFonts w:ascii="Arial" w:hAnsi="Arial" w:eastAsia="宋体" w:cs="Arial"/>
                <w:sz w:val="21"/>
                <w:szCs w:val="21"/>
              </w:rPr>
            </w:pPr>
          </w:p>
        </w:tc>
        <w:tc>
          <w:tcPr>
            <w:tcW w:w="382" w:type="pct"/>
            <w:tcBorders>
              <w:top w:val="single" w:color="auto" w:sz="4" w:space="0"/>
              <w:left w:val="single" w:color="auto" w:sz="4" w:space="0"/>
              <w:bottom w:val="single" w:color="auto" w:sz="4" w:space="0"/>
              <w:right w:val="single" w:color="auto" w:sz="4" w:space="0"/>
            </w:tcBorders>
            <w:vAlign w:val="center"/>
          </w:tcPr>
          <w:p w14:paraId="7616A164">
            <w:pPr>
              <w:adjustRightInd w:val="0"/>
              <w:snapToGrid w:val="0"/>
              <w:jc w:val="center"/>
              <w:rPr>
                <w:rFonts w:ascii="Arial" w:hAnsi="Arial" w:eastAsia="宋体" w:cs="Arial"/>
                <w:sz w:val="21"/>
                <w:szCs w:val="21"/>
              </w:rPr>
            </w:pPr>
            <w:r>
              <w:rPr>
                <w:rFonts w:ascii="Arial" w:hAnsi="Arial" w:eastAsia="宋体" w:cs="Arial"/>
                <w:sz w:val="21"/>
                <w:szCs w:val="21"/>
              </w:rPr>
              <w:t>序号</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D3A6F7D">
            <w:pPr>
              <w:adjustRightInd w:val="0"/>
              <w:snapToGrid w:val="0"/>
              <w:jc w:val="center"/>
              <w:rPr>
                <w:rFonts w:ascii="Arial" w:hAnsi="Arial" w:eastAsia="宋体" w:cs="Arial"/>
                <w:kern w:val="0"/>
                <w:sz w:val="21"/>
                <w:szCs w:val="21"/>
              </w:rPr>
            </w:pPr>
            <w:r>
              <w:rPr>
                <w:rFonts w:ascii="Arial" w:hAnsi="Arial" w:eastAsia="宋体" w:cs="Arial"/>
                <w:kern w:val="0"/>
                <w:sz w:val="21"/>
                <w:szCs w:val="21"/>
              </w:rPr>
              <w:t>收纳水体名称</w:t>
            </w:r>
          </w:p>
        </w:tc>
        <w:tc>
          <w:tcPr>
            <w:tcW w:w="1437" w:type="pct"/>
            <w:gridSpan w:val="3"/>
            <w:tcBorders>
              <w:top w:val="single" w:color="auto" w:sz="4" w:space="0"/>
              <w:left w:val="single" w:color="auto" w:sz="4" w:space="0"/>
              <w:bottom w:val="single" w:color="auto" w:sz="4" w:space="0"/>
              <w:right w:val="single" w:color="auto" w:sz="4" w:space="0"/>
            </w:tcBorders>
            <w:vAlign w:val="center"/>
          </w:tcPr>
          <w:p w14:paraId="25D3F97C">
            <w:pPr>
              <w:adjustRightInd w:val="0"/>
              <w:snapToGrid w:val="0"/>
              <w:jc w:val="center"/>
              <w:rPr>
                <w:rFonts w:ascii="Arial" w:hAnsi="Arial" w:eastAsia="宋体" w:cs="Arial"/>
                <w:sz w:val="21"/>
                <w:szCs w:val="21"/>
              </w:rPr>
            </w:pPr>
            <w:r>
              <w:rPr>
                <w:rFonts w:ascii="Arial" w:hAnsi="Arial" w:eastAsia="宋体" w:cs="Arial"/>
                <w:sz w:val="21"/>
                <w:szCs w:val="21"/>
              </w:rPr>
              <w:t>排放点水域环境功能</w:t>
            </w:r>
          </w:p>
        </w:tc>
        <w:tc>
          <w:tcPr>
            <w:tcW w:w="1432" w:type="pct"/>
            <w:gridSpan w:val="2"/>
            <w:tcBorders>
              <w:top w:val="single" w:color="auto" w:sz="4" w:space="0"/>
              <w:left w:val="single" w:color="auto" w:sz="4" w:space="0"/>
              <w:bottom w:val="single" w:color="auto" w:sz="4" w:space="0"/>
              <w:right w:val="single" w:color="auto" w:sz="4" w:space="0"/>
            </w:tcBorders>
            <w:vAlign w:val="center"/>
          </w:tcPr>
          <w:p w14:paraId="5016D32D">
            <w:pPr>
              <w:adjustRightInd w:val="0"/>
              <w:snapToGrid w:val="0"/>
              <w:jc w:val="center"/>
              <w:rPr>
                <w:rFonts w:ascii="Arial" w:hAnsi="Arial" w:eastAsia="宋体" w:cs="Arial"/>
                <w:kern w:val="0"/>
                <w:sz w:val="21"/>
                <w:szCs w:val="21"/>
              </w:rPr>
            </w:pPr>
            <w:r>
              <w:rPr>
                <w:rFonts w:ascii="Arial" w:hAnsi="Arial" w:eastAsia="宋体" w:cs="Arial"/>
                <w:kern w:val="0"/>
                <w:sz w:val="21"/>
                <w:szCs w:val="21"/>
                <w:lang w:eastAsia="en-US"/>
              </w:rPr>
              <w:t>24h内流经范围/km</w:t>
            </w:r>
          </w:p>
        </w:tc>
      </w:tr>
      <w:tr w14:paraId="65FC4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0412D37E">
            <w:pPr>
              <w:widowControl/>
              <w:jc w:val="left"/>
              <w:rPr>
                <w:rFonts w:ascii="Arial" w:hAnsi="Arial" w:eastAsia="宋体" w:cs="Arial"/>
                <w:sz w:val="21"/>
                <w:szCs w:val="21"/>
              </w:rPr>
            </w:pPr>
          </w:p>
        </w:tc>
        <w:tc>
          <w:tcPr>
            <w:tcW w:w="382" w:type="pct"/>
            <w:tcBorders>
              <w:top w:val="single" w:color="auto" w:sz="4" w:space="0"/>
              <w:left w:val="single" w:color="auto" w:sz="4" w:space="0"/>
              <w:bottom w:val="single" w:color="auto" w:sz="4" w:space="0"/>
              <w:right w:val="single" w:color="auto" w:sz="4" w:space="0"/>
            </w:tcBorders>
            <w:vAlign w:val="center"/>
          </w:tcPr>
          <w:p w14:paraId="614829D1">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87914BD">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南海纳污区</w:t>
            </w:r>
          </w:p>
        </w:tc>
        <w:tc>
          <w:tcPr>
            <w:tcW w:w="1437" w:type="pct"/>
            <w:gridSpan w:val="3"/>
            <w:tcBorders>
              <w:top w:val="single" w:color="auto" w:sz="4" w:space="0"/>
              <w:left w:val="single" w:color="auto" w:sz="4" w:space="0"/>
              <w:bottom w:val="single" w:color="auto" w:sz="4" w:space="0"/>
              <w:right w:val="single" w:color="auto" w:sz="4" w:space="0"/>
            </w:tcBorders>
            <w:vAlign w:val="center"/>
          </w:tcPr>
          <w:p w14:paraId="481D5A05">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四类水质目标</w:t>
            </w:r>
          </w:p>
        </w:tc>
        <w:tc>
          <w:tcPr>
            <w:tcW w:w="1432" w:type="pct"/>
            <w:gridSpan w:val="2"/>
            <w:tcBorders>
              <w:top w:val="single" w:color="auto" w:sz="4" w:space="0"/>
              <w:left w:val="single" w:color="auto" w:sz="4" w:space="0"/>
              <w:bottom w:val="single" w:color="auto" w:sz="4" w:space="0"/>
              <w:right w:val="single" w:color="auto" w:sz="4" w:space="0"/>
            </w:tcBorders>
            <w:vAlign w:val="center"/>
          </w:tcPr>
          <w:p w14:paraId="291356F9">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w:t>
            </w:r>
          </w:p>
        </w:tc>
      </w:tr>
      <w:tr w14:paraId="5E64B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1AB67146">
            <w:pPr>
              <w:widowControl/>
              <w:jc w:val="left"/>
              <w:rPr>
                <w:rFonts w:ascii="Arial" w:hAnsi="Arial" w:eastAsia="宋体" w:cs="Arial"/>
                <w:sz w:val="21"/>
                <w:szCs w:val="21"/>
              </w:rPr>
            </w:pPr>
          </w:p>
        </w:tc>
        <w:tc>
          <w:tcPr>
            <w:tcW w:w="4625" w:type="pct"/>
            <w:gridSpan w:val="8"/>
            <w:tcBorders>
              <w:top w:val="single" w:color="auto" w:sz="4" w:space="0"/>
              <w:left w:val="single" w:color="auto" w:sz="4" w:space="0"/>
              <w:bottom w:val="single" w:color="auto" w:sz="4" w:space="0"/>
              <w:right w:val="single" w:color="auto" w:sz="4" w:space="0"/>
            </w:tcBorders>
            <w:vAlign w:val="center"/>
          </w:tcPr>
          <w:p w14:paraId="6424447F">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内陆水体排放点下游 10 km（近岸海域一个潮周期最大水平距离两倍）范围内敏感目标</w:t>
            </w:r>
          </w:p>
        </w:tc>
      </w:tr>
      <w:tr w14:paraId="7AA87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5849D668">
            <w:pPr>
              <w:widowControl/>
              <w:jc w:val="left"/>
              <w:rPr>
                <w:rFonts w:ascii="Arial" w:hAnsi="Arial" w:eastAsia="宋体" w:cs="Arial"/>
                <w:sz w:val="21"/>
                <w:szCs w:val="21"/>
              </w:rPr>
            </w:pPr>
          </w:p>
        </w:tc>
        <w:tc>
          <w:tcPr>
            <w:tcW w:w="382" w:type="pct"/>
            <w:tcBorders>
              <w:top w:val="single" w:color="auto" w:sz="4" w:space="0"/>
              <w:left w:val="single" w:color="auto" w:sz="4" w:space="0"/>
              <w:bottom w:val="single" w:color="auto" w:sz="4" w:space="0"/>
              <w:right w:val="single" w:color="auto" w:sz="4" w:space="0"/>
            </w:tcBorders>
            <w:vAlign w:val="center"/>
          </w:tcPr>
          <w:p w14:paraId="23B342FA">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序号</w:t>
            </w:r>
          </w:p>
        </w:tc>
        <w:tc>
          <w:tcPr>
            <w:tcW w:w="1037"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F1D3994">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敏感目标名称</w:t>
            </w:r>
          </w:p>
        </w:tc>
        <w:tc>
          <w:tcPr>
            <w:tcW w:w="1055" w:type="pct"/>
            <w:gridSpan w:val="3"/>
            <w:tcBorders>
              <w:top w:val="single" w:color="auto" w:sz="4" w:space="0"/>
              <w:left w:val="single" w:color="auto" w:sz="4" w:space="0"/>
              <w:bottom w:val="single" w:color="auto" w:sz="4" w:space="0"/>
              <w:right w:val="single" w:color="auto" w:sz="4" w:space="0"/>
            </w:tcBorders>
            <w:vAlign w:val="center"/>
          </w:tcPr>
          <w:p w14:paraId="0F36A48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环境敏感特征</w:t>
            </w:r>
          </w:p>
        </w:tc>
        <w:tc>
          <w:tcPr>
            <w:tcW w:w="719" w:type="pct"/>
            <w:tcBorders>
              <w:top w:val="single" w:color="auto" w:sz="4" w:space="0"/>
              <w:left w:val="single" w:color="auto" w:sz="4" w:space="0"/>
              <w:bottom w:val="single" w:color="auto" w:sz="4" w:space="0"/>
              <w:right w:val="single" w:color="auto" w:sz="4" w:space="0"/>
            </w:tcBorders>
            <w:vAlign w:val="center"/>
          </w:tcPr>
          <w:p w14:paraId="3E53A17F">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水质目标</w:t>
            </w:r>
          </w:p>
        </w:tc>
        <w:tc>
          <w:tcPr>
            <w:tcW w:w="1432" w:type="pct"/>
            <w:gridSpan w:val="2"/>
            <w:tcBorders>
              <w:top w:val="single" w:color="auto" w:sz="4" w:space="0"/>
              <w:left w:val="single" w:color="auto" w:sz="4" w:space="0"/>
              <w:bottom w:val="single" w:color="auto" w:sz="4" w:space="0"/>
              <w:right w:val="single" w:color="auto" w:sz="4" w:space="0"/>
            </w:tcBorders>
            <w:vAlign w:val="center"/>
          </w:tcPr>
          <w:p w14:paraId="29674AAC">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与排放点距离/km</w:t>
            </w:r>
          </w:p>
        </w:tc>
      </w:tr>
      <w:tr w14:paraId="418FB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2B1898CB">
            <w:pPr>
              <w:widowControl/>
              <w:jc w:val="left"/>
              <w:rPr>
                <w:rFonts w:ascii="Arial" w:hAnsi="Arial" w:eastAsia="宋体" w:cs="Arial"/>
                <w:sz w:val="21"/>
                <w:szCs w:val="21"/>
              </w:rPr>
            </w:pPr>
          </w:p>
        </w:tc>
        <w:tc>
          <w:tcPr>
            <w:tcW w:w="382" w:type="pct"/>
            <w:tcBorders>
              <w:top w:val="single" w:color="auto" w:sz="4" w:space="0"/>
              <w:left w:val="single" w:color="auto" w:sz="4" w:space="0"/>
              <w:bottom w:val="single" w:color="auto" w:sz="4" w:space="0"/>
              <w:right w:val="single" w:color="auto" w:sz="4" w:space="0"/>
            </w:tcBorders>
            <w:vAlign w:val="center"/>
          </w:tcPr>
          <w:p w14:paraId="69AA7FA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1</w:t>
            </w:r>
          </w:p>
        </w:tc>
        <w:tc>
          <w:tcPr>
            <w:tcW w:w="1037"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CF1318B">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鹿耳环江红树林区</w:t>
            </w:r>
          </w:p>
        </w:tc>
        <w:tc>
          <w:tcPr>
            <w:tcW w:w="1055" w:type="pct"/>
            <w:gridSpan w:val="3"/>
            <w:tcBorders>
              <w:top w:val="single" w:color="auto" w:sz="4" w:space="0"/>
              <w:left w:val="single" w:color="auto" w:sz="4" w:space="0"/>
              <w:bottom w:val="single" w:color="auto" w:sz="4" w:space="0"/>
              <w:right w:val="single" w:color="auto" w:sz="4" w:space="0"/>
            </w:tcBorders>
            <w:vAlign w:val="center"/>
          </w:tcPr>
          <w:p w14:paraId="5C067A96">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w:t>
            </w:r>
          </w:p>
        </w:tc>
        <w:tc>
          <w:tcPr>
            <w:tcW w:w="719" w:type="pct"/>
            <w:tcBorders>
              <w:top w:val="single" w:color="auto" w:sz="4" w:space="0"/>
              <w:left w:val="single" w:color="auto" w:sz="4" w:space="0"/>
              <w:bottom w:val="single" w:color="auto" w:sz="4" w:space="0"/>
              <w:right w:val="single" w:color="auto" w:sz="4" w:space="0"/>
            </w:tcBorders>
            <w:vAlign w:val="center"/>
          </w:tcPr>
          <w:p w14:paraId="7F99A534">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w:t>
            </w:r>
          </w:p>
        </w:tc>
        <w:tc>
          <w:tcPr>
            <w:tcW w:w="1432" w:type="pct"/>
            <w:gridSpan w:val="2"/>
            <w:tcBorders>
              <w:top w:val="single" w:color="auto" w:sz="4" w:space="0"/>
              <w:left w:val="single" w:color="auto" w:sz="4" w:space="0"/>
              <w:bottom w:val="single" w:color="auto" w:sz="4" w:space="0"/>
              <w:right w:val="single" w:color="auto" w:sz="4" w:space="0"/>
            </w:tcBorders>
            <w:vAlign w:val="center"/>
          </w:tcPr>
          <w:p w14:paraId="4463BE7E">
            <w:pPr>
              <w:topLinePunct/>
              <w:autoSpaceDE w:val="0"/>
              <w:autoSpaceDN w:val="0"/>
              <w:adjustRightInd w:val="0"/>
              <w:snapToGrid w:val="0"/>
              <w:jc w:val="center"/>
              <w:rPr>
                <w:rFonts w:ascii="Arial" w:hAnsi="Arial" w:eastAsia="宋体" w:cs="Arial"/>
                <w:sz w:val="21"/>
                <w:szCs w:val="24"/>
              </w:rPr>
            </w:pPr>
            <w:r>
              <w:rPr>
                <w:rFonts w:ascii="Arial" w:hAnsi="Arial" w:eastAsia="宋体" w:cs="Arial"/>
                <w:sz w:val="21"/>
                <w:szCs w:val="24"/>
              </w:rPr>
              <w:t>7</w:t>
            </w:r>
          </w:p>
        </w:tc>
      </w:tr>
      <w:tr w14:paraId="6F8BE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40B91017">
            <w:pPr>
              <w:widowControl/>
              <w:jc w:val="left"/>
              <w:rPr>
                <w:rFonts w:ascii="Arial" w:hAnsi="Arial" w:eastAsia="宋体" w:cs="Arial"/>
                <w:sz w:val="21"/>
                <w:szCs w:val="21"/>
              </w:rPr>
            </w:pPr>
          </w:p>
        </w:tc>
        <w:tc>
          <w:tcPr>
            <w:tcW w:w="3963" w:type="pct"/>
            <w:gridSpan w:val="7"/>
            <w:tcBorders>
              <w:top w:val="single" w:color="auto" w:sz="4" w:space="0"/>
              <w:left w:val="single" w:color="auto" w:sz="4" w:space="0"/>
              <w:bottom w:val="single" w:color="auto" w:sz="4" w:space="0"/>
              <w:right w:val="single" w:color="auto" w:sz="4" w:space="0"/>
            </w:tcBorders>
            <w:vAlign w:val="center"/>
          </w:tcPr>
          <w:p w14:paraId="16AB1873">
            <w:pPr>
              <w:adjustRightInd w:val="0"/>
              <w:snapToGrid w:val="0"/>
              <w:jc w:val="center"/>
              <w:rPr>
                <w:rFonts w:ascii="Arial" w:hAnsi="Arial" w:eastAsia="宋体" w:cs="Arial"/>
                <w:kern w:val="0"/>
                <w:sz w:val="21"/>
                <w:szCs w:val="21"/>
              </w:rPr>
            </w:pPr>
            <w:r>
              <w:rPr>
                <w:rFonts w:ascii="Arial" w:hAnsi="Arial" w:eastAsia="宋体" w:cs="Arial"/>
                <w:kern w:val="0"/>
                <w:sz w:val="21"/>
                <w:szCs w:val="21"/>
              </w:rPr>
              <w:t>地表水环境敏感程度E值</w:t>
            </w:r>
          </w:p>
        </w:tc>
        <w:tc>
          <w:tcPr>
            <w:tcW w:w="662" w:type="pct"/>
            <w:tcBorders>
              <w:top w:val="single" w:color="auto" w:sz="4" w:space="0"/>
              <w:left w:val="single" w:color="auto" w:sz="4" w:space="0"/>
              <w:bottom w:val="single" w:color="auto" w:sz="4" w:space="0"/>
              <w:right w:val="single" w:color="auto" w:sz="4" w:space="0"/>
            </w:tcBorders>
            <w:vAlign w:val="center"/>
          </w:tcPr>
          <w:p w14:paraId="3CD5C24D">
            <w:pPr>
              <w:adjustRightInd w:val="0"/>
              <w:snapToGrid w:val="0"/>
              <w:jc w:val="center"/>
              <w:rPr>
                <w:rFonts w:ascii="Arial" w:hAnsi="Arial" w:eastAsia="宋体" w:cs="Arial"/>
                <w:kern w:val="0"/>
                <w:sz w:val="21"/>
                <w:szCs w:val="21"/>
              </w:rPr>
            </w:pPr>
            <w:r>
              <w:rPr>
                <w:rFonts w:ascii="Arial" w:hAnsi="Arial" w:eastAsia="宋体" w:cs="Arial"/>
                <w:kern w:val="0"/>
                <w:sz w:val="21"/>
                <w:szCs w:val="21"/>
              </w:rPr>
              <w:t>E2</w:t>
            </w:r>
          </w:p>
        </w:tc>
      </w:tr>
      <w:tr w14:paraId="6BABF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restart"/>
            <w:tcBorders>
              <w:top w:val="single" w:color="auto" w:sz="4" w:space="0"/>
              <w:left w:val="single" w:color="auto" w:sz="4" w:space="0"/>
              <w:bottom w:val="single" w:color="auto" w:sz="4" w:space="0"/>
              <w:right w:val="single" w:color="auto" w:sz="4" w:space="0"/>
            </w:tcBorders>
            <w:vAlign w:val="center"/>
          </w:tcPr>
          <w:p w14:paraId="65DA2E70">
            <w:pPr>
              <w:adjustRightInd w:val="0"/>
              <w:snapToGrid w:val="0"/>
              <w:jc w:val="center"/>
              <w:rPr>
                <w:rFonts w:ascii="Arial" w:hAnsi="Arial" w:eastAsia="宋体" w:cs="Arial"/>
                <w:sz w:val="21"/>
                <w:szCs w:val="21"/>
              </w:rPr>
            </w:pPr>
            <w:r>
              <w:rPr>
                <w:rFonts w:ascii="Arial" w:hAnsi="Arial" w:eastAsia="宋体" w:cs="Arial"/>
                <w:sz w:val="21"/>
                <w:szCs w:val="21"/>
              </w:rPr>
              <w:t>地下水</w:t>
            </w:r>
          </w:p>
        </w:tc>
        <w:tc>
          <w:tcPr>
            <w:tcW w:w="382" w:type="pct"/>
            <w:tcBorders>
              <w:top w:val="single" w:color="auto" w:sz="4" w:space="0"/>
              <w:left w:val="single" w:color="auto" w:sz="4" w:space="0"/>
              <w:bottom w:val="single" w:color="auto" w:sz="4" w:space="0"/>
              <w:right w:val="single" w:color="auto" w:sz="4" w:space="0"/>
            </w:tcBorders>
            <w:vAlign w:val="center"/>
          </w:tcPr>
          <w:p w14:paraId="7E346137">
            <w:pPr>
              <w:adjustRightInd w:val="0"/>
              <w:snapToGrid w:val="0"/>
              <w:jc w:val="center"/>
              <w:rPr>
                <w:rFonts w:ascii="Arial" w:hAnsi="Arial" w:eastAsia="宋体" w:cs="Arial"/>
                <w:sz w:val="21"/>
                <w:szCs w:val="21"/>
              </w:rPr>
            </w:pPr>
            <w:r>
              <w:rPr>
                <w:rFonts w:ascii="Arial" w:hAnsi="Arial" w:eastAsia="宋体" w:cs="Arial"/>
                <w:sz w:val="21"/>
                <w:szCs w:val="21"/>
              </w:rPr>
              <w:t>序号</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A8275B7">
            <w:pPr>
              <w:adjustRightInd w:val="0"/>
              <w:snapToGrid w:val="0"/>
              <w:jc w:val="center"/>
              <w:rPr>
                <w:rFonts w:ascii="Arial" w:hAnsi="Arial" w:eastAsia="宋体" w:cs="Arial"/>
                <w:sz w:val="21"/>
                <w:szCs w:val="21"/>
              </w:rPr>
            </w:pPr>
            <w:r>
              <w:rPr>
                <w:rFonts w:ascii="Arial" w:hAnsi="Arial" w:eastAsia="宋体" w:cs="Arial"/>
                <w:sz w:val="21"/>
                <w:szCs w:val="21"/>
              </w:rPr>
              <w:t>环境敏感区名称</w:t>
            </w:r>
          </w:p>
        </w:tc>
        <w:tc>
          <w:tcPr>
            <w:tcW w:w="595" w:type="pct"/>
            <w:tcBorders>
              <w:top w:val="single" w:color="auto" w:sz="4" w:space="0"/>
              <w:left w:val="single" w:color="auto" w:sz="4" w:space="0"/>
              <w:bottom w:val="single" w:color="auto" w:sz="4" w:space="0"/>
              <w:right w:val="single" w:color="auto" w:sz="4" w:space="0"/>
            </w:tcBorders>
            <w:vAlign w:val="center"/>
          </w:tcPr>
          <w:p w14:paraId="39EAB556">
            <w:pPr>
              <w:adjustRightInd w:val="0"/>
              <w:snapToGrid w:val="0"/>
              <w:jc w:val="center"/>
              <w:rPr>
                <w:rFonts w:ascii="Arial" w:hAnsi="Arial" w:eastAsia="宋体" w:cs="Arial"/>
                <w:sz w:val="21"/>
                <w:szCs w:val="21"/>
              </w:rPr>
            </w:pPr>
            <w:r>
              <w:rPr>
                <w:rFonts w:ascii="Arial" w:hAnsi="Arial" w:eastAsia="宋体" w:cs="Arial"/>
                <w:sz w:val="21"/>
                <w:szCs w:val="21"/>
              </w:rPr>
              <w:t>环境敏感特征</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7C3B857F">
            <w:pPr>
              <w:adjustRightInd w:val="0"/>
              <w:snapToGrid w:val="0"/>
              <w:jc w:val="center"/>
              <w:rPr>
                <w:rFonts w:ascii="Arial" w:hAnsi="Arial" w:eastAsia="宋体" w:cs="Arial"/>
                <w:sz w:val="21"/>
                <w:szCs w:val="21"/>
              </w:rPr>
            </w:pPr>
            <w:r>
              <w:rPr>
                <w:rFonts w:ascii="Arial" w:hAnsi="Arial" w:eastAsia="宋体" w:cs="Arial"/>
                <w:sz w:val="21"/>
                <w:szCs w:val="21"/>
              </w:rPr>
              <w:t>水质目标</w:t>
            </w:r>
          </w:p>
        </w:tc>
        <w:tc>
          <w:tcPr>
            <w:tcW w:w="770" w:type="pct"/>
            <w:tcBorders>
              <w:top w:val="single" w:color="auto" w:sz="4" w:space="0"/>
              <w:left w:val="single" w:color="auto" w:sz="4" w:space="0"/>
              <w:bottom w:val="single" w:color="auto" w:sz="4" w:space="0"/>
              <w:right w:val="single" w:color="auto" w:sz="4" w:space="0"/>
            </w:tcBorders>
            <w:vAlign w:val="center"/>
          </w:tcPr>
          <w:p w14:paraId="127D5080">
            <w:pPr>
              <w:adjustRightInd w:val="0"/>
              <w:snapToGrid w:val="0"/>
              <w:jc w:val="center"/>
              <w:rPr>
                <w:rFonts w:ascii="Arial" w:hAnsi="Arial" w:eastAsia="宋体" w:cs="Arial"/>
                <w:sz w:val="21"/>
                <w:szCs w:val="21"/>
              </w:rPr>
            </w:pPr>
            <w:r>
              <w:rPr>
                <w:rFonts w:ascii="Arial" w:hAnsi="Arial" w:eastAsia="宋体" w:cs="Arial"/>
                <w:sz w:val="21"/>
                <w:szCs w:val="21"/>
              </w:rPr>
              <w:t>包气带防污性能</w:t>
            </w:r>
          </w:p>
        </w:tc>
        <w:tc>
          <w:tcPr>
            <w:tcW w:w="662" w:type="pct"/>
            <w:tcBorders>
              <w:top w:val="single" w:color="auto" w:sz="4" w:space="0"/>
              <w:left w:val="single" w:color="auto" w:sz="4" w:space="0"/>
              <w:bottom w:val="single" w:color="auto" w:sz="4" w:space="0"/>
              <w:right w:val="single" w:color="auto" w:sz="4" w:space="0"/>
            </w:tcBorders>
            <w:vAlign w:val="center"/>
          </w:tcPr>
          <w:p w14:paraId="6C85FF9C">
            <w:pPr>
              <w:adjustRightInd w:val="0"/>
              <w:snapToGrid w:val="0"/>
              <w:jc w:val="center"/>
              <w:rPr>
                <w:rFonts w:ascii="Arial" w:hAnsi="Arial" w:eastAsia="宋体" w:cs="Arial"/>
                <w:sz w:val="21"/>
                <w:szCs w:val="21"/>
              </w:rPr>
            </w:pPr>
            <w:r>
              <w:rPr>
                <w:rFonts w:ascii="Arial" w:hAnsi="Arial" w:eastAsia="宋体" w:cs="Arial"/>
                <w:sz w:val="21"/>
                <w:szCs w:val="21"/>
              </w:rPr>
              <w:t>与下游厂界距离/m</w:t>
            </w:r>
          </w:p>
        </w:tc>
      </w:tr>
      <w:tr w14:paraId="57008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403A6444">
            <w:pPr>
              <w:widowControl/>
              <w:jc w:val="left"/>
              <w:rPr>
                <w:rFonts w:ascii="Arial" w:hAnsi="Arial" w:eastAsia="宋体" w:cs="Arial"/>
                <w:sz w:val="21"/>
                <w:szCs w:val="21"/>
              </w:rPr>
            </w:pPr>
          </w:p>
        </w:tc>
        <w:tc>
          <w:tcPr>
            <w:tcW w:w="382" w:type="pct"/>
            <w:tcBorders>
              <w:top w:val="single" w:color="auto" w:sz="4" w:space="0"/>
              <w:left w:val="single" w:color="auto" w:sz="4" w:space="0"/>
              <w:bottom w:val="single" w:color="auto" w:sz="4" w:space="0"/>
              <w:right w:val="single" w:color="auto" w:sz="4" w:space="0"/>
            </w:tcBorders>
            <w:vAlign w:val="center"/>
          </w:tcPr>
          <w:p w14:paraId="1B254A77">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1374"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0A66ED5">
            <w:pPr>
              <w:adjustRightInd w:val="0"/>
              <w:snapToGrid w:val="0"/>
              <w:jc w:val="center"/>
              <w:rPr>
                <w:rFonts w:ascii="Arial" w:hAnsi="Arial" w:eastAsia="宋体" w:cs="Arial"/>
                <w:sz w:val="21"/>
                <w:szCs w:val="21"/>
              </w:rPr>
            </w:pPr>
            <w:r>
              <w:rPr>
                <w:rFonts w:ascii="Arial" w:hAnsi="Arial" w:eastAsia="宋体" w:cs="Arial"/>
                <w:sz w:val="21"/>
                <w:szCs w:val="21"/>
              </w:rPr>
              <w:t>无</w:t>
            </w:r>
          </w:p>
        </w:tc>
        <w:tc>
          <w:tcPr>
            <w:tcW w:w="595" w:type="pct"/>
            <w:tcBorders>
              <w:top w:val="single" w:color="auto" w:sz="4" w:space="0"/>
              <w:left w:val="single" w:color="auto" w:sz="4" w:space="0"/>
              <w:bottom w:val="single" w:color="auto" w:sz="4" w:space="0"/>
              <w:right w:val="single" w:color="auto" w:sz="4" w:space="0"/>
            </w:tcBorders>
            <w:vAlign w:val="center"/>
          </w:tcPr>
          <w:p w14:paraId="0BF68C51">
            <w:pPr>
              <w:adjustRightInd w:val="0"/>
              <w:snapToGrid w:val="0"/>
              <w:jc w:val="center"/>
              <w:rPr>
                <w:rFonts w:ascii="Arial" w:hAnsi="Arial" w:eastAsia="宋体" w:cs="Arial"/>
                <w:sz w:val="21"/>
                <w:szCs w:val="21"/>
              </w:rPr>
            </w:pPr>
            <w:r>
              <w:rPr>
                <w:rFonts w:ascii="Arial" w:hAnsi="Arial" w:eastAsia="宋体" w:cs="Arial"/>
                <w:sz w:val="21"/>
                <w:szCs w:val="21"/>
              </w:rPr>
              <w:t>不敏感</w:t>
            </w:r>
          </w:p>
        </w:tc>
        <w:tc>
          <w:tcPr>
            <w:tcW w:w="842" w:type="pct"/>
            <w:gridSpan w:val="2"/>
            <w:tcBorders>
              <w:top w:val="single" w:color="auto" w:sz="4" w:space="0"/>
              <w:left w:val="single" w:color="auto" w:sz="4" w:space="0"/>
              <w:bottom w:val="single" w:color="auto" w:sz="4" w:space="0"/>
              <w:right w:val="single" w:color="auto" w:sz="4" w:space="0"/>
            </w:tcBorders>
            <w:vAlign w:val="center"/>
          </w:tcPr>
          <w:p w14:paraId="0C71B5FA">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770" w:type="pct"/>
            <w:tcBorders>
              <w:top w:val="single" w:color="auto" w:sz="4" w:space="0"/>
              <w:left w:val="single" w:color="auto" w:sz="4" w:space="0"/>
              <w:bottom w:val="single" w:color="auto" w:sz="4" w:space="0"/>
              <w:right w:val="single" w:color="auto" w:sz="4" w:space="0"/>
            </w:tcBorders>
            <w:vAlign w:val="center"/>
          </w:tcPr>
          <w:p w14:paraId="015EFFCB">
            <w:pPr>
              <w:adjustRightInd w:val="0"/>
              <w:snapToGrid w:val="0"/>
              <w:jc w:val="center"/>
              <w:rPr>
                <w:rFonts w:ascii="Arial" w:hAnsi="Arial" w:eastAsia="宋体" w:cs="Arial"/>
                <w:sz w:val="21"/>
                <w:szCs w:val="21"/>
              </w:rPr>
            </w:pPr>
            <w:r>
              <w:rPr>
                <w:rFonts w:ascii="Arial" w:hAnsi="Arial" w:eastAsia="宋体" w:cs="Arial"/>
                <w:sz w:val="21"/>
                <w:szCs w:val="21"/>
              </w:rPr>
              <w:t>D1</w:t>
            </w:r>
          </w:p>
        </w:tc>
        <w:tc>
          <w:tcPr>
            <w:tcW w:w="662" w:type="pct"/>
            <w:tcBorders>
              <w:top w:val="single" w:color="auto" w:sz="4" w:space="0"/>
              <w:left w:val="single" w:color="auto" w:sz="4" w:space="0"/>
              <w:bottom w:val="single" w:color="auto" w:sz="4" w:space="0"/>
              <w:right w:val="single" w:color="auto" w:sz="4" w:space="0"/>
            </w:tcBorders>
            <w:vAlign w:val="center"/>
          </w:tcPr>
          <w:p w14:paraId="3487C0E9">
            <w:pPr>
              <w:adjustRightInd w:val="0"/>
              <w:snapToGrid w:val="0"/>
              <w:jc w:val="center"/>
              <w:rPr>
                <w:rFonts w:ascii="Arial" w:hAnsi="Arial" w:eastAsia="宋体" w:cs="Arial"/>
                <w:sz w:val="21"/>
                <w:szCs w:val="21"/>
              </w:rPr>
            </w:pPr>
            <w:r>
              <w:rPr>
                <w:rFonts w:ascii="Arial" w:hAnsi="Arial" w:eastAsia="宋体" w:cs="Arial"/>
                <w:sz w:val="21"/>
                <w:szCs w:val="21"/>
              </w:rPr>
              <w:t>/</w:t>
            </w:r>
          </w:p>
        </w:tc>
      </w:tr>
      <w:tr w14:paraId="74AF2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5" w:type="pct"/>
            <w:vMerge w:val="continue"/>
            <w:tcBorders>
              <w:top w:val="single" w:color="auto" w:sz="4" w:space="0"/>
              <w:left w:val="single" w:color="auto" w:sz="4" w:space="0"/>
              <w:bottom w:val="single" w:color="auto" w:sz="4" w:space="0"/>
              <w:right w:val="single" w:color="auto" w:sz="4" w:space="0"/>
            </w:tcBorders>
            <w:vAlign w:val="center"/>
          </w:tcPr>
          <w:p w14:paraId="4A86EF0B">
            <w:pPr>
              <w:widowControl/>
              <w:jc w:val="left"/>
              <w:rPr>
                <w:rFonts w:ascii="Arial" w:hAnsi="Arial" w:eastAsia="宋体" w:cs="Arial"/>
                <w:sz w:val="21"/>
                <w:szCs w:val="21"/>
              </w:rPr>
            </w:pPr>
          </w:p>
        </w:tc>
        <w:tc>
          <w:tcPr>
            <w:tcW w:w="3963" w:type="pct"/>
            <w:gridSpan w:val="7"/>
            <w:tcBorders>
              <w:top w:val="single" w:color="auto" w:sz="4" w:space="0"/>
              <w:left w:val="single" w:color="auto" w:sz="4" w:space="0"/>
              <w:bottom w:val="single" w:color="auto" w:sz="4" w:space="0"/>
              <w:right w:val="single" w:color="auto" w:sz="4" w:space="0"/>
            </w:tcBorders>
            <w:vAlign w:val="center"/>
          </w:tcPr>
          <w:p w14:paraId="358D4F50">
            <w:pPr>
              <w:adjustRightInd w:val="0"/>
              <w:snapToGrid w:val="0"/>
              <w:jc w:val="center"/>
              <w:rPr>
                <w:rFonts w:ascii="Arial" w:hAnsi="Arial" w:eastAsia="宋体" w:cs="Arial"/>
                <w:kern w:val="0"/>
                <w:sz w:val="21"/>
                <w:szCs w:val="21"/>
              </w:rPr>
            </w:pPr>
            <w:r>
              <w:rPr>
                <w:rFonts w:ascii="Arial" w:hAnsi="Arial" w:eastAsia="宋体" w:cs="Arial"/>
                <w:kern w:val="0"/>
                <w:sz w:val="21"/>
                <w:szCs w:val="21"/>
              </w:rPr>
              <w:t>地下水环境敏感程度E值</w:t>
            </w:r>
          </w:p>
        </w:tc>
        <w:tc>
          <w:tcPr>
            <w:tcW w:w="662" w:type="pct"/>
            <w:tcBorders>
              <w:top w:val="single" w:color="auto" w:sz="4" w:space="0"/>
              <w:left w:val="single" w:color="auto" w:sz="4" w:space="0"/>
              <w:bottom w:val="single" w:color="auto" w:sz="4" w:space="0"/>
              <w:right w:val="single" w:color="auto" w:sz="4" w:space="0"/>
            </w:tcBorders>
            <w:vAlign w:val="center"/>
          </w:tcPr>
          <w:p w14:paraId="0928937F">
            <w:pPr>
              <w:adjustRightInd w:val="0"/>
              <w:snapToGrid w:val="0"/>
              <w:jc w:val="center"/>
              <w:rPr>
                <w:rFonts w:ascii="Arial" w:hAnsi="Arial" w:eastAsia="宋体" w:cs="Arial"/>
                <w:kern w:val="0"/>
                <w:sz w:val="21"/>
                <w:szCs w:val="21"/>
              </w:rPr>
            </w:pPr>
            <w:r>
              <w:rPr>
                <w:rFonts w:ascii="Arial" w:hAnsi="Arial" w:eastAsia="宋体" w:cs="Arial"/>
                <w:kern w:val="0"/>
                <w:sz w:val="21"/>
                <w:szCs w:val="21"/>
                <w:lang w:eastAsia="en-US"/>
              </w:rPr>
              <w:t>E2</w:t>
            </w:r>
          </w:p>
        </w:tc>
      </w:tr>
    </w:tbl>
    <w:p w14:paraId="7E06503F">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环境风险潜势初判</w:t>
      </w:r>
    </w:p>
    <w:p w14:paraId="53417F24">
      <w:pPr>
        <w:spacing w:line="500" w:lineRule="exact"/>
        <w:ind w:firstLine="476"/>
        <w:rPr>
          <w:rFonts w:ascii="Arial" w:hAnsi="Arial" w:eastAsia="宋体" w:cs="Arial"/>
          <w:spacing w:val="10"/>
          <w:sz w:val="24"/>
        </w:rPr>
      </w:pPr>
      <w:r>
        <w:rPr>
          <w:rFonts w:ascii="Arial" w:hAnsi="Arial" w:eastAsia="宋体" w:cs="Arial"/>
          <w:spacing w:val="10"/>
          <w:sz w:val="24"/>
        </w:rPr>
        <w:t>根据《建设项目环境风险评价技术导则》（HJ169-2018）（以下简称“风险导则”），建设项目环境风险潜势划分为</w:t>
      </w:r>
      <w:r>
        <w:rPr>
          <w:rFonts w:hint="eastAsia" w:ascii="宋体" w:hAnsi="宋体" w:eastAsia="宋体" w:cs="宋体"/>
          <w:spacing w:val="10"/>
          <w:sz w:val="24"/>
        </w:rPr>
        <w:t>Ⅰ</w:t>
      </w:r>
      <w:r>
        <w:rPr>
          <w:rFonts w:ascii="Arial" w:hAnsi="Arial" w:eastAsia="宋体" w:cs="Arial"/>
          <w:spacing w:val="10"/>
          <w:sz w:val="24"/>
        </w:rPr>
        <w:t>、</w:t>
      </w:r>
      <w:r>
        <w:rPr>
          <w:rFonts w:hint="eastAsia" w:ascii="宋体" w:hAnsi="宋体" w:eastAsia="宋体" w:cs="宋体"/>
          <w:spacing w:val="10"/>
          <w:sz w:val="24"/>
        </w:rPr>
        <w:t>Ⅱ</w:t>
      </w:r>
      <w:r>
        <w:rPr>
          <w:rFonts w:ascii="Arial" w:hAnsi="Arial" w:eastAsia="宋体" w:cs="Arial"/>
          <w:spacing w:val="10"/>
          <w:sz w:val="24"/>
        </w:rPr>
        <w:t>、</w:t>
      </w:r>
      <w:r>
        <w:rPr>
          <w:rFonts w:hint="eastAsia" w:ascii="宋体" w:hAnsi="宋体" w:eastAsia="宋体" w:cs="宋体"/>
          <w:spacing w:val="10"/>
          <w:sz w:val="24"/>
        </w:rPr>
        <w:t>Ⅲ</w:t>
      </w:r>
      <w:r>
        <w:rPr>
          <w:rFonts w:ascii="Arial" w:hAnsi="Arial" w:eastAsia="宋体" w:cs="Arial"/>
          <w:spacing w:val="10"/>
          <w:sz w:val="24"/>
        </w:rPr>
        <w:t>、</w:t>
      </w:r>
      <w:r>
        <w:rPr>
          <w:rFonts w:hint="eastAsia" w:ascii="宋体" w:hAnsi="宋体" w:eastAsia="宋体" w:cs="宋体"/>
          <w:spacing w:val="10"/>
          <w:sz w:val="24"/>
        </w:rPr>
        <w:t>Ⅳ</w:t>
      </w:r>
      <w:r>
        <w:rPr>
          <w:rFonts w:ascii="Arial" w:hAnsi="Arial" w:eastAsia="宋体" w:cs="Arial"/>
          <w:spacing w:val="10"/>
          <w:sz w:val="24"/>
        </w:rPr>
        <w:t>/</w:t>
      </w:r>
      <w:r>
        <w:rPr>
          <w:rFonts w:hint="eastAsia" w:ascii="宋体" w:hAnsi="宋体" w:eastAsia="宋体" w:cs="宋体"/>
          <w:spacing w:val="10"/>
          <w:sz w:val="24"/>
        </w:rPr>
        <w:t>Ⅳ</w:t>
      </w:r>
      <w:r>
        <w:rPr>
          <w:rFonts w:ascii="Arial" w:hAnsi="Arial" w:eastAsia="宋体" w:cs="Arial"/>
          <w:spacing w:val="10"/>
          <w:sz w:val="24"/>
        </w:rPr>
        <w:t>+级，划分依据见表4-</w:t>
      </w:r>
      <w:r>
        <w:rPr>
          <w:rFonts w:hint="eastAsia" w:ascii="Arial" w:hAnsi="Arial" w:eastAsia="宋体" w:cs="Arial"/>
          <w:spacing w:val="10"/>
          <w:sz w:val="24"/>
        </w:rPr>
        <w:t>42</w:t>
      </w:r>
      <w:r>
        <w:rPr>
          <w:rFonts w:ascii="Arial" w:hAnsi="Arial" w:eastAsia="宋体" w:cs="Arial"/>
          <w:spacing w:val="10"/>
          <w:sz w:val="24"/>
        </w:rPr>
        <w:t>。</w:t>
      </w:r>
    </w:p>
    <w:p w14:paraId="12B76478">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建设项目环境风险潜势划分</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8"/>
        <w:gridCol w:w="1691"/>
        <w:gridCol w:w="1691"/>
        <w:gridCol w:w="1691"/>
        <w:gridCol w:w="1692"/>
      </w:tblGrid>
      <w:tr w14:paraId="21156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vMerge w:val="restart"/>
            <w:tcBorders>
              <w:top w:val="single" w:color="auto" w:sz="4" w:space="0"/>
              <w:left w:val="single" w:color="auto" w:sz="4" w:space="0"/>
              <w:bottom w:val="single" w:color="auto" w:sz="4" w:space="0"/>
              <w:right w:val="single" w:color="auto" w:sz="4" w:space="0"/>
            </w:tcBorders>
            <w:vAlign w:val="center"/>
          </w:tcPr>
          <w:p w14:paraId="209601A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环境敏感程度（E）</w:t>
            </w:r>
          </w:p>
        </w:tc>
        <w:tc>
          <w:tcPr>
            <w:tcW w:w="6765" w:type="dxa"/>
            <w:gridSpan w:val="4"/>
            <w:tcBorders>
              <w:top w:val="single" w:color="auto" w:sz="4" w:space="0"/>
              <w:left w:val="single" w:color="auto" w:sz="4" w:space="0"/>
              <w:bottom w:val="single" w:color="auto" w:sz="4" w:space="0"/>
              <w:right w:val="single" w:color="auto" w:sz="4" w:space="0"/>
            </w:tcBorders>
            <w:vAlign w:val="center"/>
          </w:tcPr>
          <w:p w14:paraId="35C9FDA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危险物质及工艺系统危险性（P）</w:t>
            </w:r>
          </w:p>
        </w:tc>
      </w:tr>
      <w:tr w14:paraId="6F5C9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93" w:type="dxa"/>
            <w:vMerge w:val="continue"/>
            <w:tcBorders>
              <w:top w:val="single" w:color="auto" w:sz="4" w:space="0"/>
              <w:left w:val="single" w:color="auto" w:sz="4" w:space="0"/>
              <w:bottom w:val="single" w:color="auto" w:sz="4" w:space="0"/>
              <w:right w:val="single" w:color="auto" w:sz="4" w:space="0"/>
            </w:tcBorders>
            <w:vAlign w:val="center"/>
          </w:tcPr>
          <w:p w14:paraId="4CAD6719">
            <w:pPr>
              <w:widowControl/>
              <w:jc w:val="left"/>
              <w:rPr>
                <w:rFonts w:ascii="Arial" w:hAnsi="Arial" w:eastAsia="宋体" w:cs="Arial"/>
                <w:spacing w:val="10"/>
                <w:sz w:val="21"/>
                <w:szCs w:val="21"/>
              </w:rPr>
            </w:pPr>
          </w:p>
        </w:tc>
        <w:tc>
          <w:tcPr>
            <w:tcW w:w="1691" w:type="dxa"/>
            <w:tcBorders>
              <w:top w:val="single" w:color="auto" w:sz="4" w:space="0"/>
              <w:left w:val="single" w:color="auto" w:sz="4" w:space="0"/>
              <w:bottom w:val="single" w:color="auto" w:sz="4" w:space="0"/>
              <w:right w:val="single" w:color="auto" w:sz="4" w:space="0"/>
            </w:tcBorders>
            <w:vAlign w:val="center"/>
          </w:tcPr>
          <w:p w14:paraId="3359126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极高危害（P1）</w:t>
            </w:r>
          </w:p>
        </w:tc>
        <w:tc>
          <w:tcPr>
            <w:tcW w:w="1691" w:type="dxa"/>
            <w:tcBorders>
              <w:top w:val="single" w:color="auto" w:sz="4" w:space="0"/>
              <w:left w:val="single" w:color="auto" w:sz="4" w:space="0"/>
              <w:bottom w:val="single" w:color="auto" w:sz="4" w:space="0"/>
              <w:right w:val="single" w:color="auto" w:sz="4" w:space="0"/>
            </w:tcBorders>
            <w:vAlign w:val="center"/>
          </w:tcPr>
          <w:p w14:paraId="7B230D7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高度危害（P2）</w:t>
            </w:r>
          </w:p>
        </w:tc>
        <w:tc>
          <w:tcPr>
            <w:tcW w:w="1691" w:type="dxa"/>
            <w:tcBorders>
              <w:top w:val="single" w:color="auto" w:sz="4" w:space="0"/>
              <w:left w:val="single" w:color="auto" w:sz="4" w:space="0"/>
              <w:bottom w:val="single" w:color="auto" w:sz="4" w:space="0"/>
              <w:right w:val="single" w:color="auto" w:sz="4" w:space="0"/>
            </w:tcBorders>
            <w:vAlign w:val="center"/>
          </w:tcPr>
          <w:p w14:paraId="0AC7B21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中度危害（P3）</w:t>
            </w:r>
          </w:p>
        </w:tc>
        <w:tc>
          <w:tcPr>
            <w:tcW w:w="1692" w:type="dxa"/>
            <w:tcBorders>
              <w:top w:val="single" w:color="auto" w:sz="4" w:space="0"/>
              <w:left w:val="single" w:color="auto" w:sz="4" w:space="0"/>
              <w:bottom w:val="single" w:color="auto" w:sz="4" w:space="0"/>
              <w:right w:val="single" w:color="auto" w:sz="4" w:space="0"/>
            </w:tcBorders>
            <w:vAlign w:val="center"/>
          </w:tcPr>
          <w:p w14:paraId="2A07267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轻度危害（P4）</w:t>
            </w:r>
          </w:p>
        </w:tc>
      </w:tr>
      <w:tr w14:paraId="1D781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14:paraId="4DB32B3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环境高度敏感区（E1）</w:t>
            </w:r>
          </w:p>
        </w:tc>
        <w:tc>
          <w:tcPr>
            <w:tcW w:w="1691" w:type="dxa"/>
            <w:tcBorders>
              <w:top w:val="single" w:color="auto" w:sz="4" w:space="0"/>
              <w:left w:val="single" w:color="auto" w:sz="4" w:space="0"/>
              <w:bottom w:val="single" w:color="auto" w:sz="4" w:space="0"/>
              <w:right w:val="single" w:color="auto" w:sz="4" w:space="0"/>
            </w:tcBorders>
            <w:vAlign w:val="center"/>
          </w:tcPr>
          <w:p w14:paraId="6D8DA895">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p>
        </w:tc>
        <w:tc>
          <w:tcPr>
            <w:tcW w:w="1691" w:type="dxa"/>
            <w:tcBorders>
              <w:top w:val="single" w:color="auto" w:sz="4" w:space="0"/>
              <w:left w:val="single" w:color="auto" w:sz="4" w:space="0"/>
              <w:bottom w:val="single" w:color="auto" w:sz="4" w:space="0"/>
              <w:right w:val="single" w:color="auto" w:sz="4" w:space="0"/>
            </w:tcBorders>
            <w:vAlign w:val="center"/>
          </w:tcPr>
          <w:p w14:paraId="6E894088">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p>
        </w:tc>
        <w:tc>
          <w:tcPr>
            <w:tcW w:w="1691" w:type="dxa"/>
            <w:tcBorders>
              <w:top w:val="single" w:color="auto" w:sz="4" w:space="0"/>
              <w:left w:val="single" w:color="auto" w:sz="4" w:space="0"/>
              <w:bottom w:val="single" w:color="auto" w:sz="4" w:space="0"/>
              <w:right w:val="single" w:color="auto" w:sz="4" w:space="0"/>
            </w:tcBorders>
            <w:vAlign w:val="center"/>
          </w:tcPr>
          <w:p w14:paraId="227D8A88">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2" w:type="dxa"/>
            <w:tcBorders>
              <w:top w:val="single" w:color="auto" w:sz="4" w:space="0"/>
              <w:left w:val="single" w:color="auto" w:sz="4" w:space="0"/>
              <w:bottom w:val="single" w:color="auto" w:sz="4" w:space="0"/>
              <w:right w:val="single" w:color="auto" w:sz="4" w:space="0"/>
            </w:tcBorders>
            <w:vAlign w:val="center"/>
          </w:tcPr>
          <w:p w14:paraId="45385740">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r>
      <w:tr w14:paraId="30182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14:paraId="22ED2F1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环境中度敏感区（E2）</w:t>
            </w:r>
          </w:p>
        </w:tc>
        <w:tc>
          <w:tcPr>
            <w:tcW w:w="1691" w:type="dxa"/>
            <w:tcBorders>
              <w:top w:val="single" w:color="auto" w:sz="4" w:space="0"/>
              <w:left w:val="single" w:color="auto" w:sz="4" w:space="0"/>
              <w:bottom w:val="single" w:color="auto" w:sz="4" w:space="0"/>
              <w:right w:val="single" w:color="auto" w:sz="4" w:space="0"/>
            </w:tcBorders>
            <w:vAlign w:val="center"/>
          </w:tcPr>
          <w:p w14:paraId="0034359D">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p>
        </w:tc>
        <w:tc>
          <w:tcPr>
            <w:tcW w:w="1691" w:type="dxa"/>
            <w:tcBorders>
              <w:top w:val="single" w:color="auto" w:sz="4" w:space="0"/>
              <w:left w:val="single" w:color="auto" w:sz="4" w:space="0"/>
              <w:bottom w:val="single" w:color="auto" w:sz="4" w:space="0"/>
              <w:right w:val="single" w:color="auto" w:sz="4" w:space="0"/>
            </w:tcBorders>
            <w:vAlign w:val="center"/>
          </w:tcPr>
          <w:p w14:paraId="6DF97A9C">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14:paraId="16E1A3D1">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2" w:type="dxa"/>
            <w:tcBorders>
              <w:top w:val="single" w:color="auto" w:sz="4" w:space="0"/>
              <w:left w:val="single" w:color="auto" w:sz="4" w:space="0"/>
              <w:bottom w:val="single" w:color="auto" w:sz="4" w:space="0"/>
              <w:right w:val="single" w:color="auto" w:sz="4" w:space="0"/>
            </w:tcBorders>
            <w:vAlign w:val="center"/>
          </w:tcPr>
          <w:p w14:paraId="6956556D">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r>
      <w:tr w14:paraId="3B9A8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14:paraId="28D92C3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环境低度敏感区（E3）</w:t>
            </w:r>
          </w:p>
        </w:tc>
        <w:tc>
          <w:tcPr>
            <w:tcW w:w="1691" w:type="dxa"/>
            <w:tcBorders>
              <w:top w:val="single" w:color="auto" w:sz="4" w:space="0"/>
              <w:left w:val="single" w:color="auto" w:sz="4" w:space="0"/>
              <w:bottom w:val="single" w:color="auto" w:sz="4" w:space="0"/>
              <w:right w:val="single" w:color="auto" w:sz="4" w:space="0"/>
            </w:tcBorders>
            <w:vAlign w:val="center"/>
          </w:tcPr>
          <w:p w14:paraId="2E828556">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14:paraId="60420D08">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14:paraId="60FACF1C">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c>
          <w:tcPr>
            <w:tcW w:w="1692" w:type="dxa"/>
            <w:tcBorders>
              <w:top w:val="single" w:color="auto" w:sz="4" w:space="0"/>
              <w:left w:val="single" w:color="auto" w:sz="4" w:space="0"/>
              <w:bottom w:val="single" w:color="auto" w:sz="4" w:space="0"/>
              <w:right w:val="single" w:color="auto" w:sz="4" w:space="0"/>
            </w:tcBorders>
            <w:vAlign w:val="center"/>
          </w:tcPr>
          <w:p w14:paraId="10E851E5">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Ⅰ</w:t>
            </w:r>
          </w:p>
        </w:tc>
      </w:tr>
      <w:tr w14:paraId="6E88C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93" w:type="dxa"/>
            <w:gridSpan w:val="5"/>
            <w:tcBorders>
              <w:top w:val="single" w:color="auto" w:sz="4" w:space="0"/>
              <w:left w:val="single" w:color="auto" w:sz="4" w:space="0"/>
              <w:bottom w:val="single" w:color="auto" w:sz="4" w:space="0"/>
              <w:right w:val="single" w:color="auto" w:sz="4" w:space="0"/>
            </w:tcBorders>
            <w:vAlign w:val="center"/>
          </w:tcPr>
          <w:p w14:paraId="324079AD">
            <w:pPr>
              <w:adjustRightInd w:val="0"/>
              <w:snapToGrid w:val="0"/>
              <w:rPr>
                <w:rFonts w:ascii="Arial" w:hAnsi="Arial" w:eastAsia="宋体" w:cs="Arial"/>
                <w:spacing w:val="10"/>
                <w:sz w:val="21"/>
                <w:szCs w:val="21"/>
              </w:rPr>
            </w:pPr>
            <w:r>
              <w:rPr>
                <w:rFonts w:ascii="Arial" w:hAnsi="Arial" w:eastAsia="宋体" w:cs="Arial"/>
                <w:spacing w:val="10"/>
                <w:sz w:val="21"/>
                <w:szCs w:val="21"/>
              </w:rPr>
              <w:t>注：</w:t>
            </w: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r>
              <w:rPr>
                <w:rFonts w:ascii="Arial" w:hAnsi="Arial" w:eastAsia="宋体" w:cs="Arial"/>
                <w:spacing w:val="10"/>
                <w:sz w:val="21"/>
                <w:szCs w:val="21"/>
              </w:rPr>
              <w:t>为极高环境风险。</w:t>
            </w:r>
          </w:p>
        </w:tc>
      </w:tr>
    </w:tbl>
    <w:p w14:paraId="0F7DF623">
      <w:pPr>
        <w:numPr>
          <w:ilvl w:val="0"/>
          <w:numId w:val="31"/>
        </w:numPr>
        <w:spacing w:line="500" w:lineRule="exact"/>
        <w:jc w:val="left"/>
        <w:outlineLvl w:val="3"/>
        <w:rPr>
          <w:rFonts w:ascii="Arial" w:hAnsi="Arial" w:eastAsia="宋体" w:cs="Arial"/>
          <w:b/>
          <w:spacing w:val="10"/>
          <w:sz w:val="24"/>
        </w:rPr>
      </w:pPr>
      <w:r>
        <w:rPr>
          <w:rFonts w:ascii="Arial" w:hAnsi="Arial" w:eastAsia="宋体" w:cs="Arial"/>
          <w:b/>
          <w:spacing w:val="10"/>
          <w:sz w:val="24"/>
        </w:rPr>
        <w:t>危险性P的确定</w:t>
      </w:r>
    </w:p>
    <w:p w14:paraId="6E585B47">
      <w:pPr>
        <w:spacing w:line="500" w:lineRule="exact"/>
        <w:ind w:firstLine="476"/>
        <w:rPr>
          <w:rFonts w:ascii="Arial" w:hAnsi="Arial" w:eastAsia="宋体" w:cs="Arial"/>
          <w:spacing w:val="10"/>
          <w:sz w:val="24"/>
        </w:rPr>
      </w:pPr>
      <w:r>
        <w:rPr>
          <w:rFonts w:ascii="Arial" w:hAnsi="Arial" w:eastAsia="宋体" w:cs="Arial"/>
          <w:spacing w:val="10"/>
          <w:sz w:val="24"/>
        </w:rPr>
        <w:t>根据定量分析危险物质数量与临界量的比值（Q）和所属行业及生产工艺特点（M），进行判定危险物质及工艺系统危险性（P）。</w:t>
      </w:r>
    </w:p>
    <w:p w14:paraId="4EB2A655">
      <w:pPr>
        <w:spacing w:line="500" w:lineRule="exact"/>
        <w:ind w:firstLine="476"/>
        <w:rPr>
          <w:rFonts w:ascii="Arial" w:hAnsi="Arial" w:eastAsia="宋体" w:cs="Arial"/>
          <w:spacing w:val="10"/>
          <w:sz w:val="24"/>
        </w:rPr>
      </w:pPr>
      <w:r>
        <w:rPr>
          <w:rFonts w:ascii="Arial" w:hAnsi="Arial" w:eastAsia="宋体" w:cs="Arial"/>
          <w:spacing w:val="10"/>
          <w:sz w:val="24"/>
        </w:rPr>
        <w:t>1.Q值的确定</w:t>
      </w:r>
    </w:p>
    <w:p w14:paraId="36A3E851">
      <w:pPr>
        <w:spacing w:line="500" w:lineRule="exact"/>
        <w:ind w:firstLine="476"/>
        <w:rPr>
          <w:rFonts w:ascii="Arial" w:hAnsi="Arial" w:eastAsia="宋体" w:cs="Arial"/>
          <w:spacing w:val="10"/>
          <w:sz w:val="24"/>
        </w:rPr>
      </w:pPr>
      <w:r>
        <w:rPr>
          <w:rFonts w:ascii="Arial" w:hAnsi="Arial" w:eastAsia="宋体" w:cs="Arial"/>
          <w:spacing w:val="10"/>
          <w:sz w:val="24"/>
        </w:rPr>
        <w:t>根据风险导则附录B及《危险化学品重大危险源辨识》（GB18218-2018），项目危险物质Q值确定见表4-</w:t>
      </w:r>
      <w:r>
        <w:rPr>
          <w:rFonts w:hint="eastAsia" w:ascii="Arial" w:hAnsi="Arial" w:eastAsia="宋体" w:cs="Arial"/>
          <w:spacing w:val="10"/>
          <w:sz w:val="24"/>
        </w:rPr>
        <w:t>43</w:t>
      </w:r>
      <w:r>
        <w:rPr>
          <w:rFonts w:ascii="Arial" w:hAnsi="Arial" w:eastAsia="宋体" w:cs="Arial"/>
          <w:spacing w:val="10"/>
          <w:sz w:val="24"/>
        </w:rPr>
        <w:t>。</w:t>
      </w:r>
    </w:p>
    <w:p w14:paraId="4914324F">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项目危险物质Q值确定表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9"/>
        <w:gridCol w:w="2157"/>
        <w:gridCol w:w="1272"/>
        <w:gridCol w:w="2126"/>
        <w:gridCol w:w="1460"/>
        <w:gridCol w:w="1349"/>
      </w:tblGrid>
      <w:tr w14:paraId="3B109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50" w:type="pct"/>
            <w:tcBorders>
              <w:top w:val="single" w:color="auto" w:sz="4" w:space="0"/>
              <w:left w:val="single" w:color="auto" w:sz="4" w:space="0"/>
              <w:bottom w:val="single" w:color="auto" w:sz="4" w:space="0"/>
              <w:right w:val="single" w:color="auto" w:sz="4" w:space="0"/>
            </w:tcBorders>
            <w:vAlign w:val="center"/>
          </w:tcPr>
          <w:p w14:paraId="26DAD419">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序号</w:t>
            </w:r>
          </w:p>
        </w:tc>
        <w:tc>
          <w:tcPr>
            <w:tcW w:w="1199" w:type="pct"/>
            <w:tcBorders>
              <w:top w:val="single" w:color="auto" w:sz="4" w:space="0"/>
              <w:left w:val="single" w:color="auto" w:sz="4" w:space="0"/>
              <w:bottom w:val="single" w:color="auto" w:sz="4" w:space="0"/>
              <w:right w:val="single" w:color="auto" w:sz="4" w:space="0"/>
            </w:tcBorders>
            <w:vAlign w:val="center"/>
          </w:tcPr>
          <w:p w14:paraId="34077CED">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物质名称</w:t>
            </w:r>
          </w:p>
        </w:tc>
        <w:tc>
          <w:tcPr>
            <w:tcW w:w="707" w:type="pct"/>
            <w:tcBorders>
              <w:top w:val="single" w:color="auto" w:sz="4" w:space="0"/>
              <w:left w:val="single" w:color="auto" w:sz="4" w:space="0"/>
              <w:bottom w:val="single" w:color="auto" w:sz="4" w:space="0"/>
              <w:right w:val="single" w:color="auto" w:sz="4" w:space="0"/>
            </w:tcBorders>
            <w:vAlign w:val="center"/>
          </w:tcPr>
          <w:p w14:paraId="1E5072A1">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CAS号</w:t>
            </w:r>
          </w:p>
        </w:tc>
        <w:tc>
          <w:tcPr>
            <w:tcW w:w="1182" w:type="pct"/>
            <w:tcBorders>
              <w:top w:val="single" w:color="auto" w:sz="4" w:space="0"/>
              <w:left w:val="single" w:color="auto" w:sz="4" w:space="0"/>
              <w:bottom w:val="single" w:color="auto" w:sz="4" w:space="0"/>
              <w:right w:val="single" w:color="auto" w:sz="4" w:space="0"/>
            </w:tcBorders>
            <w:vAlign w:val="center"/>
          </w:tcPr>
          <w:p w14:paraId="0F4A5EDC">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最大存在量总量q</w:t>
            </w:r>
            <w:r>
              <w:rPr>
                <w:rFonts w:ascii="Arial" w:hAnsi="Arial" w:eastAsia="宋体" w:cs="Arial"/>
                <w:spacing w:val="10"/>
                <w:sz w:val="21"/>
                <w:szCs w:val="21"/>
                <w:vertAlign w:val="subscript"/>
              </w:rPr>
              <w:t>n</w:t>
            </w:r>
            <w:r>
              <w:rPr>
                <w:rFonts w:ascii="Arial" w:hAnsi="Arial" w:eastAsia="宋体" w:cs="Arial"/>
                <w:spacing w:val="10"/>
                <w:sz w:val="21"/>
                <w:szCs w:val="21"/>
              </w:rPr>
              <w:t>/t</w:t>
            </w:r>
          </w:p>
        </w:tc>
        <w:tc>
          <w:tcPr>
            <w:tcW w:w="811" w:type="pct"/>
            <w:tcBorders>
              <w:top w:val="single" w:color="auto" w:sz="4" w:space="0"/>
              <w:left w:val="single" w:color="auto" w:sz="4" w:space="0"/>
              <w:bottom w:val="single" w:color="auto" w:sz="4" w:space="0"/>
              <w:right w:val="single" w:color="auto" w:sz="4" w:space="0"/>
            </w:tcBorders>
            <w:vAlign w:val="center"/>
          </w:tcPr>
          <w:p w14:paraId="3325E5A1">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最大临界量</w:t>
            </w:r>
          </w:p>
          <w:p w14:paraId="4FE724CF">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Q</w:t>
            </w:r>
            <w:r>
              <w:rPr>
                <w:rFonts w:ascii="Arial" w:hAnsi="Arial" w:eastAsia="宋体" w:cs="Arial"/>
                <w:spacing w:val="10"/>
                <w:sz w:val="21"/>
                <w:szCs w:val="21"/>
                <w:vertAlign w:val="subscript"/>
              </w:rPr>
              <w:t>n</w:t>
            </w:r>
            <w:r>
              <w:rPr>
                <w:rFonts w:ascii="Arial" w:hAnsi="Arial" w:eastAsia="宋体" w:cs="Arial"/>
                <w:spacing w:val="10"/>
                <w:sz w:val="21"/>
                <w:szCs w:val="21"/>
              </w:rPr>
              <w:t>/t</w:t>
            </w:r>
          </w:p>
        </w:tc>
        <w:tc>
          <w:tcPr>
            <w:tcW w:w="750" w:type="pct"/>
            <w:tcBorders>
              <w:top w:val="single" w:color="auto" w:sz="4" w:space="0"/>
              <w:left w:val="single" w:color="auto" w:sz="4" w:space="0"/>
              <w:bottom w:val="single" w:color="auto" w:sz="4" w:space="0"/>
              <w:right w:val="single" w:color="auto" w:sz="4" w:space="0"/>
            </w:tcBorders>
            <w:vAlign w:val="center"/>
          </w:tcPr>
          <w:p w14:paraId="717BF270">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该物质Q值</w:t>
            </w:r>
          </w:p>
        </w:tc>
      </w:tr>
      <w:tr w14:paraId="49CE3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 w:type="pct"/>
            <w:tcBorders>
              <w:top w:val="single" w:color="auto" w:sz="4" w:space="0"/>
              <w:left w:val="single" w:color="auto" w:sz="4" w:space="0"/>
              <w:bottom w:val="single" w:color="auto" w:sz="4" w:space="0"/>
              <w:right w:val="single" w:color="auto" w:sz="4" w:space="0"/>
            </w:tcBorders>
            <w:vAlign w:val="center"/>
          </w:tcPr>
          <w:p w14:paraId="06D772C1">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1</w:t>
            </w:r>
          </w:p>
        </w:tc>
        <w:tc>
          <w:tcPr>
            <w:tcW w:w="1199" w:type="pct"/>
            <w:tcBorders>
              <w:top w:val="single" w:color="auto" w:sz="4" w:space="0"/>
              <w:left w:val="single" w:color="auto" w:sz="4" w:space="0"/>
              <w:bottom w:val="single" w:color="auto" w:sz="4" w:space="0"/>
              <w:right w:val="single" w:color="auto" w:sz="4" w:space="0"/>
            </w:tcBorders>
            <w:vAlign w:val="center"/>
          </w:tcPr>
          <w:p w14:paraId="125A08EB">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kern w:val="0"/>
                <w:sz w:val="21"/>
                <w:szCs w:val="21"/>
              </w:rPr>
              <w:t>硫酸钴晶体</w:t>
            </w:r>
          </w:p>
        </w:tc>
        <w:tc>
          <w:tcPr>
            <w:tcW w:w="707" w:type="pct"/>
            <w:tcBorders>
              <w:top w:val="single" w:color="auto" w:sz="4" w:space="0"/>
              <w:left w:val="single" w:color="auto" w:sz="4" w:space="0"/>
              <w:bottom w:val="single" w:color="auto" w:sz="4" w:space="0"/>
              <w:right w:val="single" w:color="auto" w:sz="4" w:space="0"/>
            </w:tcBorders>
            <w:vAlign w:val="center"/>
          </w:tcPr>
          <w:p w14:paraId="2314D8B1">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182" w:type="pct"/>
            <w:tcBorders>
              <w:top w:val="single" w:color="auto" w:sz="4" w:space="0"/>
              <w:left w:val="single" w:color="auto" w:sz="4" w:space="0"/>
              <w:bottom w:val="single" w:color="auto" w:sz="4" w:space="0"/>
              <w:right w:val="single" w:color="auto" w:sz="4" w:space="0"/>
            </w:tcBorders>
            <w:vAlign w:val="center"/>
          </w:tcPr>
          <w:p w14:paraId="71C9D66A">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22.74</w:t>
            </w:r>
            <w:r>
              <w:rPr>
                <w:rFonts w:ascii="Arial" w:hAnsi="Arial" w:eastAsia="宋体" w:cs="Arial"/>
                <w:spacing w:val="10"/>
                <w:sz w:val="21"/>
                <w:szCs w:val="21"/>
              </w:rPr>
              <w:t>（折算钴）</w:t>
            </w:r>
          </w:p>
        </w:tc>
        <w:tc>
          <w:tcPr>
            <w:tcW w:w="811" w:type="pct"/>
            <w:tcBorders>
              <w:top w:val="single" w:color="auto" w:sz="4" w:space="0"/>
              <w:left w:val="single" w:color="auto" w:sz="4" w:space="0"/>
              <w:bottom w:val="single" w:color="auto" w:sz="4" w:space="0"/>
              <w:right w:val="single" w:color="auto" w:sz="4" w:space="0"/>
            </w:tcBorders>
            <w:vAlign w:val="center"/>
          </w:tcPr>
          <w:p w14:paraId="673391B9">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0.25</w:t>
            </w:r>
          </w:p>
        </w:tc>
        <w:tc>
          <w:tcPr>
            <w:tcW w:w="750" w:type="pct"/>
            <w:tcBorders>
              <w:top w:val="single" w:color="auto" w:sz="4" w:space="0"/>
              <w:left w:val="single" w:color="auto" w:sz="4" w:space="0"/>
              <w:bottom w:val="single" w:color="auto" w:sz="4" w:space="0"/>
              <w:right w:val="single" w:color="auto" w:sz="4" w:space="0"/>
            </w:tcBorders>
            <w:vAlign w:val="center"/>
          </w:tcPr>
          <w:p w14:paraId="406A51BB">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90.96</w:t>
            </w:r>
          </w:p>
        </w:tc>
      </w:tr>
      <w:tr w14:paraId="48035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 w:type="pct"/>
            <w:tcBorders>
              <w:top w:val="single" w:color="auto" w:sz="4" w:space="0"/>
              <w:left w:val="single" w:color="auto" w:sz="4" w:space="0"/>
              <w:bottom w:val="single" w:color="auto" w:sz="4" w:space="0"/>
              <w:right w:val="single" w:color="auto" w:sz="4" w:space="0"/>
            </w:tcBorders>
            <w:vAlign w:val="center"/>
          </w:tcPr>
          <w:p w14:paraId="0867507F">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2</w:t>
            </w:r>
          </w:p>
        </w:tc>
        <w:tc>
          <w:tcPr>
            <w:tcW w:w="1199" w:type="pct"/>
            <w:tcBorders>
              <w:top w:val="single" w:color="auto" w:sz="4" w:space="0"/>
              <w:left w:val="single" w:color="auto" w:sz="4" w:space="0"/>
              <w:bottom w:val="single" w:color="auto" w:sz="4" w:space="0"/>
              <w:right w:val="single" w:color="auto" w:sz="4" w:space="0"/>
            </w:tcBorders>
            <w:vAlign w:val="center"/>
          </w:tcPr>
          <w:p w14:paraId="7E87CBAF">
            <w:pPr>
              <w:adjustRightInd w:val="0"/>
              <w:snapToGrid w:val="0"/>
              <w:spacing w:line="240" w:lineRule="exact"/>
              <w:jc w:val="center"/>
              <w:rPr>
                <w:rFonts w:ascii="Arial" w:hAnsi="Arial" w:eastAsia="宋体" w:cs="Arial"/>
                <w:kern w:val="0"/>
                <w:sz w:val="21"/>
                <w:szCs w:val="21"/>
              </w:rPr>
            </w:pPr>
            <w:r>
              <w:rPr>
                <w:rFonts w:hint="eastAsia" w:ascii="Arial" w:hAnsi="Arial" w:eastAsia="宋体" w:cs="Arial"/>
                <w:kern w:val="0"/>
                <w:sz w:val="21"/>
                <w:szCs w:val="21"/>
              </w:rPr>
              <w:t>21%氨水</w:t>
            </w:r>
          </w:p>
        </w:tc>
        <w:tc>
          <w:tcPr>
            <w:tcW w:w="707" w:type="pct"/>
            <w:tcBorders>
              <w:top w:val="single" w:color="auto" w:sz="4" w:space="0"/>
              <w:left w:val="single" w:color="auto" w:sz="4" w:space="0"/>
              <w:bottom w:val="single" w:color="auto" w:sz="4" w:space="0"/>
              <w:right w:val="single" w:color="auto" w:sz="4" w:space="0"/>
            </w:tcBorders>
            <w:vAlign w:val="center"/>
          </w:tcPr>
          <w:p w14:paraId="3A9DF794">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1336-21-6</w:t>
            </w:r>
          </w:p>
        </w:tc>
        <w:tc>
          <w:tcPr>
            <w:tcW w:w="1182" w:type="pct"/>
            <w:tcBorders>
              <w:top w:val="single" w:color="auto" w:sz="4" w:space="0"/>
              <w:left w:val="single" w:color="auto" w:sz="4" w:space="0"/>
              <w:bottom w:val="single" w:color="auto" w:sz="4" w:space="0"/>
              <w:right w:val="single" w:color="auto" w:sz="4" w:space="0"/>
            </w:tcBorders>
            <w:vAlign w:val="center"/>
          </w:tcPr>
          <w:p w14:paraId="592FBE1C">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6.32</w:t>
            </w:r>
          </w:p>
        </w:tc>
        <w:tc>
          <w:tcPr>
            <w:tcW w:w="811" w:type="pct"/>
            <w:tcBorders>
              <w:top w:val="single" w:color="auto" w:sz="4" w:space="0"/>
              <w:left w:val="single" w:color="auto" w:sz="4" w:space="0"/>
              <w:bottom w:val="single" w:color="auto" w:sz="4" w:space="0"/>
              <w:right w:val="single" w:color="auto" w:sz="4" w:space="0"/>
            </w:tcBorders>
            <w:vAlign w:val="center"/>
          </w:tcPr>
          <w:p w14:paraId="179D0DBE">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750" w:type="pct"/>
            <w:tcBorders>
              <w:top w:val="single" w:color="auto" w:sz="4" w:space="0"/>
              <w:left w:val="single" w:color="auto" w:sz="4" w:space="0"/>
              <w:bottom w:val="single" w:color="auto" w:sz="4" w:space="0"/>
              <w:right w:val="single" w:color="auto" w:sz="4" w:space="0"/>
            </w:tcBorders>
            <w:vAlign w:val="center"/>
          </w:tcPr>
          <w:p w14:paraId="7F24F621">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0.632</w:t>
            </w:r>
          </w:p>
        </w:tc>
      </w:tr>
      <w:tr w14:paraId="6FF54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 w:type="pct"/>
            <w:tcBorders>
              <w:top w:val="single" w:color="auto" w:sz="4" w:space="0"/>
              <w:left w:val="single" w:color="auto" w:sz="4" w:space="0"/>
              <w:bottom w:val="single" w:color="auto" w:sz="4" w:space="0"/>
              <w:right w:val="single" w:color="auto" w:sz="4" w:space="0"/>
            </w:tcBorders>
            <w:vAlign w:val="center"/>
          </w:tcPr>
          <w:p w14:paraId="42CC121A">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3</w:t>
            </w:r>
          </w:p>
        </w:tc>
        <w:tc>
          <w:tcPr>
            <w:tcW w:w="1199" w:type="pct"/>
            <w:tcBorders>
              <w:top w:val="single" w:color="auto" w:sz="4" w:space="0"/>
              <w:left w:val="single" w:color="auto" w:sz="4" w:space="0"/>
              <w:bottom w:val="single" w:color="auto" w:sz="4" w:space="0"/>
              <w:right w:val="single" w:color="auto" w:sz="4" w:space="0"/>
            </w:tcBorders>
            <w:vAlign w:val="center"/>
          </w:tcPr>
          <w:p w14:paraId="29DF441E">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kern w:val="0"/>
                <w:sz w:val="21"/>
                <w:szCs w:val="21"/>
                <w:lang w:bidi="ar"/>
              </w:rPr>
              <w:t>生产废水</w:t>
            </w:r>
          </w:p>
        </w:tc>
        <w:tc>
          <w:tcPr>
            <w:tcW w:w="707" w:type="pct"/>
            <w:tcBorders>
              <w:top w:val="single" w:color="auto" w:sz="4" w:space="0"/>
              <w:left w:val="single" w:color="auto" w:sz="4" w:space="0"/>
              <w:bottom w:val="single" w:color="auto" w:sz="4" w:space="0"/>
              <w:right w:val="single" w:color="auto" w:sz="4" w:space="0"/>
            </w:tcBorders>
            <w:vAlign w:val="center"/>
          </w:tcPr>
          <w:p w14:paraId="7544F01D">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182" w:type="pct"/>
            <w:tcBorders>
              <w:top w:val="single" w:color="auto" w:sz="4" w:space="0"/>
              <w:left w:val="single" w:color="auto" w:sz="4" w:space="0"/>
              <w:bottom w:val="single" w:color="auto" w:sz="4" w:space="0"/>
              <w:right w:val="single" w:color="auto" w:sz="4" w:space="0"/>
            </w:tcBorders>
            <w:vAlign w:val="center"/>
          </w:tcPr>
          <w:p w14:paraId="70BC71BB">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0.000075</w:t>
            </w:r>
            <w:r>
              <w:rPr>
                <w:rFonts w:ascii="Arial" w:hAnsi="Arial" w:eastAsia="宋体" w:cs="Arial"/>
                <w:spacing w:val="10"/>
                <w:sz w:val="21"/>
                <w:szCs w:val="21"/>
              </w:rPr>
              <w:t>（折算钴）</w:t>
            </w:r>
          </w:p>
        </w:tc>
        <w:tc>
          <w:tcPr>
            <w:tcW w:w="811" w:type="pct"/>
            <w:tcBorders>
              <w:top w:val="single" w:color="auto" w:sz="4" w:space="0"/>
              <w:left w:val="single" w:color="auto" w:sz="4" w:space="0"/>
              <w:bottom w:val="single" w:color="auto" w:sz="4" w:space="0"/>
              <w:right w:val="single" w:color="auto" w:sz="4" w:space="0"/>
            </w:tcBorders>
            <w:vAlign w:val="center"/>
          </w:tcPr>
          <w:p w14:paraId="0864140A">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0.25</w:t>
            </w:r>
          </w:p>
        </w:tc>
        <w:tc>
          <w:tcPr>
            <w:tcW w:w="750" w:type="pct"/>
            <w:tcBorders>
              <w:top w:val="single" w:color="auto" w:sz="4" w:space="0"/>
              <w:left w:val="single" w:color="auto" w:sz="4" w:space="0"/>
              <w:bottom w:val="single" w:color="auto" w:sz="4" w:space="0"/>
              <w:right w:val="single" w:color="auto" w:sz="4" w:space="0"/>
            </w:tcBorders>
            <w:vAlign w:val="center"/>
          </w:tcPr>
          <w:p w14:paraId="026175EA">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0.0003</w:t>
            </w:r>
          </w:p>
        </w:tc>
      </w:tr>
      <w:tr w14:paraId="31AF7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 w:type="pct"/>
            <w:tcBorders>
              <w:top w:val="single" w:color="auto" w:sz="4" w:space="0"/>
              <w:left w:val="single" w:color="auto" w:sz="4" w:space="0"/>
              <w:bottom w:val="single" w:color="auto" w:sz="4" w:space="0"/>
              <w:right w:val="single" w:color="auto" w:sz="4" w:space="0"/>
            </w:tcBorders>
            <w:vAlign w:val="center"/>
          </w:tcPr>
          <w:p w14:paraId="2EC81F9C">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4</w:t>
            </w:r>
          </w:p>
        </w:tc>
        <w:tc>
          <w:tcPr>
            <w:tcW w:w="1199" w:type="pct"/>
            <w:tcBorders>
              <w:top w:val="single" w:color="auto" w:sz="4" w:space="0"/>
              <w:left w:val="single" w:color="auto" w:sz="4" w:space="0"/>
              <w:bottom w:val="single" w:color="auto" w:sz="4" w:space="0"/>
              <w:right w:val="single" w:color="auto" w:sz="4" w:space="0"/>
            </w:tcBorders>
            <w:vAlign w:val="center"/>
          </w:tcPr>
          <w:p w14:paraId="4E7182E8">
            <w:pPr>
              <w:adjustRightInd w:val="0"/>
              <w:snapToGrid w:val="0"/>
              <w:spacing w:line="240" w:lineRule="exact"/>
              <w:jc w:val="center"/>
              <w:rPr>
                <w:rFonts w:ascii="Arial" w:hAnsi="Arial" w:eastAsia="宋体" w:cs="Arial"/>
                <w:kern w:val="0"/>
                <w:sz w:val="21"/>
                <w:szCs w:val="21"/>
                <w:lang w:bidi="ar"/>
              </w:rPr>
            </w:pPr>
            <w:r>
              <w:rPr>
                <w:rFonts w:hint="eastAsia" w:ascii="Arial" w:hAnsi="Arial" w:eastAsia="宋体" w:cs="Arial"/>
                <w:kern w:val="0"/>
                <w:sz w:val="21"/>
                <w:szCs w:val="21"/>
                <w:lang w:bidi="ar"/>
              </w:rPr>
              <w:t>稀硫酸</w:t>
            </w:r>
          </w:p>
        </w:tc>
        <w:tc>
          <w:tcPr>
            <w:tcW w:w="707" w:type="pct"/>
            <w:tcBorders>
              <w:top w:val="single" w:color="auto" w:sz="4" w:space="0"/>
              <w:left w:val="single" w:color="auto" w:sz="4" w:space="0"/>
              <w:bottom w:val="single" w:color="auto" w:sz="4" w:space="0"/>
              <w:right w:val="single" w:color="auto" w:sz="4" w:space="0"/>
            </w:tcBorders>
            <w:vAlign w:val="center"/>
          </w:tcPr>
          <w:p w14:paraId="73B7D2F3">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7664-93-9</w:t>
            </w:r>
          </w:p>
        </w:tc>
        <w:tc>
          <w:tcPr>
            <w:tcW w:w="1182" w:type="pct"/>
            <w:tcBorders>
              <w:top w:val="single" w:color="auto" w:sz="4" w:space="0"/>
              <w:left w:val="single" w:color="auto" w:sz="4" w:space="0"/>
              <w:bottom w:val="single" w:color="auto" w:sz="4" w:space="0"/>
              <w:right w:val="single" w:color="auto" w:sz="4" w:space="0"/>
            </w:tcBorders>
            <w:vAlign w:val="center"/>
          </w:tcPr>
          <w:p w14:paraId="6E2497DB">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0.2（折纯）</w:t>
            </w:r>
          </w:p>
        </w:tc>
        <w:tc>
          <w:tcPr>
            <w:tcW w:w="811" w:type="pct"/>
            <w:tcBorders>
              <w:top w:val="single" w:color="auto" w:sz="4" w:space="0"/>
              <w:left w:val="single" w:color="auto" w:sz="4" w:space="0"/>
              <w:bottom w:val="single" w:color="auto" w:sz="4" w:space="0"/>
              <w:right w:val="single" w:color="auto" w:sz="4" w:space="0"/>
            </w:tcBorders>
            <w:vAlign w:val="center"/>
          </w:tcPr>
          <w:p w14:paraId="0CE295D6">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w:t>
            </w:r>
          </w:p>
        </w:tc>
        <w:tc>
          <w:tcPr>
            <w:tcW w:w="750" w:type="pct"/>
            <w:tcBorders>
              <w:top w:val="single" w:color="auto" w:sz="4" w:space="0"/>
              <w:left w:val="single" w:color="auto" w:sz="4" w:space="0"/>
              <w:bottom w:val="single" w:color="auto" w:sz="4" w:space="0"/>
              <w:right w:val="single" w:color="auto" w:sz="4" w:space="0"/>
            </w:tcBorders>
            <w:vAlign w:val="center"/>
          </w:tcPr>
          <w:p w14:paraId="6B9AEE28">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0.02</w:t>
            </w:r>
          </w:p>
        </w:tc>
      </w:tr>
      <w:tr w14:paraId="34A3F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 w:type="pct"/>
            <w:tcBorders>
              <w:top w:val="single" w:color="auto" w:sz="4" w:space="0"/>
              <w:left w:val="single" w:color="auto" w:sz="4" w:space="0"/>
              <w:bottom w:val="single" w:color="auto" w:sz="4" w:space="0"/>
              <w:right w:val="single" w:color="auto" w:sz="4" w:space="0"/>
            </w:tcBorders>
            <w:vAlign w:val="center"/>
          </w:tcPr>
          <w:p w14:paraId="335A7F41">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5</w:t>
            </w:r>
          </w:p>
        </w:tc>
        <w:tc>
          <w:tcPr>
            <w:tcW w:w="1199" w:type="pct"/>
            <w:tcBorders>
              <w:top w:val="single" w:color="auto" w:sz="4" w:space="0"/>
              <w:left w:val="single" w:color="auto" w:sz="4" w:space="0"/>
              <w:bottom w:val="single" w:color="auto" w:sz="4" w:space="0"/>
              <w:right w:val="single" w:color="auto" w:sz="4" w:space="0"/>
            </w:tcBorders>
            <w:vAlign w:val="center"/>
          </w:tcPr>
          <w:p w14:paraId="31D0B030">
            <w:pPr>
              <w:adjustRightInd w:val="0"/>
              <w:snapToGrid w:val="0"/>
              <w:spacing w:line="240" w:lineRule="exact"/>
              <w:jc w:val="center"/>
              <w:rPr>
                <w:rFonts w:ascii="Arial" w:hAnsi="Arial" w:eastAsia="宋体" w:cs="Arial"/>
                <w:kern w:val="0"/>
                <w:sz w:val="21"/>
                <w:szCs w:val="21"/>
                <w:u w:val="single"/>
                <w:lang w:bidi="ar"/>
              </w:rPr>
            </w:pPr>
            <w:r>
              <w:rPr>
                <w:rFonts w:hint="eastAsia" w:ascii="Arial" w:hAnsi="Arial" w:eastAsia="宋体" w:cs="Arial"/>
                <w:kern w:val="0"/>
                <w:sz w:val="21"/>
                <w:szCs w:val="21"/>
                <w:u w:val="single"/>
                <w:lang w:bidi="ar"/>
              </w:rPr>
              <w:t>羟基钴</w:t>
            </w:r>
          </w:p>
        </w:tc>
        <w:tc>
          <w:tcPr>
            <w:tcW w:w="707" w:type="pct"/>
            <w:tcBorders>
              <w:top w:val="single" w:color="auto" w:sz="4" w:space="0"/>
              <w:left w:val="single" w:color="auto" w:sz="4" w:space="0"/>
              <w:bottom w:val="single" w:color="auto" w:sz="4" w:space="0"/>
              <w:right w:val="single" w:color="auto" w:sz="4" w:space="0"/>
            </w:tcBorders>
            <w:vAlign w:val="center"/>
          </w:tcPr>
          <w:p w14:paraId="2E03F788">
            <w:pPr>
              <w:adjustRightInd w:val="0"/>
              <w:snapToGrid w:val="0"/>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w:t>
            </w:r>
          </w:p>
        </w:tc>
        <w:tc>
          <w:tcPr>
            <w:tcW w:w="1182" w:type="pct"/>
            <w:tcBorders>
              <w:top w:val="single" w:color="auto" w:sz="4" w:space="0"/>
              <w:left w:val="single" w:color="auto" w:sz="4" w:space="0"/>
              <w:bottom w:val="single" w:color="auto" w:sz="4" w:space="0"/>
              <w:right w:val="single" w:color="auto" w:sz="4" w:space="0"/>
            </w:tcBorders>
            <w:vAlign w:val="center"/>
          </w:tcPr>
          <w:p w14:paraId="693BEAEE">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12.416</w:t>
            </w:r>
            <w:r>
              <w:rPr>
                <w:rFonts w:ascii="Arial" w:hAnsi="Arial" w:eastAsia="宋体" w:cs="Arial"/>
                <w:spacing w:val="10"/>
                <w:sz w:val="21"/>
                <w:szCs w:val="21"/>
                <w:u w:val="single"/>
              </w:rPr>
              <w:t>（折算钴）</w:t>
            </w:r>
          </w:p>
        </w:tc>
        <w:tc>
          <w:tcPr>
            <w:tcW w:w="811" w:type="pct"/>
            <w:tcBorders>
              <w:top w:val="single" w:color="auto" w:sz="4" w:space="0"/>
              <w:left w:val="single" w:color="auto" w:sz="4" w:space="0"/>
              <w:bottom w:val="single" w:color="auto" w:sz="4" w:space="0"/>
              <w:right w:val="single" w:color="auto" w:sz="4" w:space="0"/>
            </w:tcBorders>
            <w:vAlign w:val="center"/>
          </w:tcPr>
          <w:p w14:paraId="3AB09416">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0.25</w:t>
            </w:r>
          </w:p>
        </w:tc>
        <w:tc>
          <w:tcPr>
            <w:tcW w:w="750" w:type="pct"/>
            <w:tcBorders>
              <w:top w:val="single" w:color="auto" w:sz="4" w:space="0"/>
              <w:left w:val="single" w:color="auto" w:sz="4" w:space="0"/>
              <w:bottom w:val="single" w:color="auto" w:sz="4" w:space="0"/>
              <w:right w:val="single" w:color="auto" w:sz="4" w:space="0"/>
            </w:tcBorders>
            <w:vAlign w:val="center"/>
          </w:tcPr>
          <w:p w14:paraId="232DF1DA">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49.664</w:t>
            </w:r>
          </w:p>
        </w:tc>
      </w:tr>
      <w:tr w14:paraId="343EE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0" w:type="pct"/>
            <w:gridSpan w:val="5"/>
            <w:tcBorders>
              <w:top w:val="single" w:color="auto" w:sz="4" w:space="0"/>
              <w:left w:val="single" w:color="auto" w:sz="4" w:space="0"/>
              <w:bottom w:val="single" w:color="auto" w:sz="4" w:space="0"/>
              <w:right w:val="single" w:color="auto" w:sz="4" w:space="0"/>
            </w:tcBorders>
            <w:vAlign w:val="center"/>
          </w:tcPr>
          <w:p w14:paraId="10DCA86B">
            <w:pPr>
              <w:adjustRightInd w:val="0"/>
              <w:snapToGrid w:val="0"/>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项目Q值∑</w:t>
            </w:r>
          </w:p>
        </w:tc>
        <w:tc>
          <w:tcPr>
            <w:tcW w:w="750" w:type="pct"/>
            <w:tcBorders>
              <w:top w:val="single" w:color="auto" w:sz="4" w:space="0"/>
              <w:left w:val="single" w:color="auto" w:sz="4" w:space="0"/>
              <w:bottom w:val="single" w:color="auto" w:sz="4" w:space="0"/>
              <w:right w:val="single" w:color="auto" w:sz="4" w:space="0"/>
            </w:tcBorders>
            <w:vAlign w:val="center"/>
          </w:tcPr>
          <w:p w14:paraId="7C35BA74">
            <w:pPr>
              <w:adjustRightInd w:val="0"/>
              <w:snapToGrid w:val="0"/>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141.2763</w:t>
            </w:r>
          </w:p>
        </w:tc>
      </w:tr>
    </w:tbl>
    <w:p w14:paraId="6D19D255">
      <w:pPr>
        <w:spacing w:line="264" w:lineRule="auto"/>
        <w:ind w:firstLine="476"/>
        <w:rPr>
          <w:rFonts w:ascii="Arial" w:hAnsi="Arial" w:eastAsia="宋体" w:cs="Arial"/>
          <w:spacing w:val="10"/>
          <w:sz w:val="24"/>
        </w:rPr>
      </w:pPr>
      <w:r>
        <w:rPr>
          <w:rFonts w:ascii="Arial" w:hAnsi="Arial" w:eastAsia="宋体" w:cs="Arial"/>
          <w:spacing w:val="10"/>
          <w:sz w:val="24"/>
        </w:rPr>
        <w:t>根据计算，</w:t>
      </w:r>
      <w:r>
        <w:rPr>
          <w:rFonts w:ascii="Arial" w:hAnsi="Arial" w:eastAsia="宋体" w:cs="Arial"/>
          <w:spacing w:val="10"/>
          <w:sz w:val="24"/>
          <w:u w:val="single"/>
        </w:rPr>
        <w:t>项目Q值大于</w:t>
      </w:r>
      <w:r>
        <w:rPr>
          <w:rFonts w:hint="eastAsia" w:ascii="Arial" w:hAnsi="Arial" w:eastAsia="宋体" w:cs="Arial"/>
          <w:spacing w:val="10"/>
          <w:sz w:val="24"/>
          <w:u w:val="single"/>
        </w:rPr>
        <w:t>100</w:t>
      </w:r>
      <w:r>
        <w:rPr>
          <w:rFonts w:ascii="Arial" w:hAnsi="Arial" w:eastAsia="宋体" w:cs="Arial"/>
          <w:spacing w:val="10"/>
          <w:sz w:val="24"/>
          <w:u w:val="single"/>
        </w:rPr>
        <w:t>。</w:t>
      </w:r>
    </w:p>
    <w:p w14:paraId="12A6FE51">
      <w:pPr>
        <w:spacing w:line="500" w:lineRule="exact"/>
        <w:ind w:firstLine="476"/>
        <w:rPr>
          <w:rFonts w:ascii="Arial" w:hAnsi="Arial" w:eastAsia="宋体" w:cs="Arial"/>
          <w:spacing w:val="10"/>
          <w:sz w:val="24"/>
        </w:rPr>
      </w:pPr>
      <w:r>
        <w:rPr>
          <w:rFonts w:ascii="Arial" w:hAnsi="Arial" w:eastAsia="宋体" w:cs="Arial"/>
          <w:spacing w:val="10"/>
          <w:sz w:val="24"/>
        </w:rPr>
        <w:t>2.M值的确定</w:t>
      </w:r>
    </w:p>
    <w:p w14:paraId="2B773195">
      <w:pPr>
        <w:spacing w:line="500" w:lineRule="exact"/>
        <w:ind w:firstLine="476"/>
        <w:rPr>
          <w:rFonts w:ascii="Arial" w:hAnsi="Arial" w:eastAsia="宋体" w:cs="Arial"/>
          <w:spacing w:val="10"/>
          <w:sz w:val="24"/>
        </w:rPr>
      </w:pPr>
      <w:r>
        <w:rPr>
          <w:rFonts w:ascii="Arial" w:hAnsi="Arial" w:eastAsia="宋体" w:cs="Arial"/>
          <w:bCs/>
          <w:spacing w:val="10"/>
          <w:sz w:val="24"/>
        </w:rPr>
        <w:t>根据项目所属行业及生产工艺特点，将M划分为（1）M＞20；（2）10＜M≤20；（3）5＜M≤10；（4）M=5，分别以M1，M2，M3和M4表示。</w:t>
      </w:r>
      <w:r>
        <w:rPr>
          <w:rFonts w:ascii="Arial" w:hAnsi="Arial" w:eastAsia="宋体" w:cs="Arial"/>
          <w:spacing w:val="10"/>
          <w:sz w:val="24"/>
        </w:rPr>
        <w:t>项目M值计算详见表4-</w:t>
      </w:r>
      <w:r>
        <w:rPr>
          <w:rFonts w:hint="eastAsia" w:ascii="Arial" w:hAnsi="Arial" w:eastAsia="宋体" w:cs="Arial"/>
          <w:spacing w:val="10"/>
          <w:sz w:val="24"/>
        </w:rPr>
        <w:t>44</w:t>
      </w:r>
      <w:r>
        <w:rPr>
          <w:rFonts w:ascii="Arial" w:hAnsi="Arial" w:eastAsia="宋体" w:cs="Arial"/>
          <w:spacing w:val="10"/>
          <w:sz w:val="24"/>
        </w:rPr>
        <w:t>。</w:t>
      </w:r>
    </w:p>
    <w:p w14:paraId="16B5F7E6">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行业及生产工艺（M）</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4818"/>
        <w:gridCol w:w="995"/>
        <w:gridCol w:w="1363"/>
        <w:gridCol w:w="858"/>
      </w:tblGrid>
      <w:tr w14:paraId="7A4DA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pct"/>
            <w:tcBorders>
              <w:top w:val="single" w:color="auto" w:sz="4" w:space="0"/>
              <w:left w:val="single" w:color="auto" w:sz="4" w:space="0"/>
              <w:bottom w:val="single" w:color="auto" w:sz="4" w:space="0"/>
              <w:right w:val="single" w:color="auto" w:sz="4" w:space="0"/>
            </w:tcBorders>
            <w:vAlign w:val="center"/>
          </w:tcPr>
          <w:p w14:paraId="5DF3F31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行业</w:t>
            </w:r>
          </w:p>
        </w:tc>
        <w:tc>
          <w:tcPr>
            <w:tcW w:w="2679" w:type="pct"/>
            <w:tcBorders>
              <w:top w:val="single" w:color="auto" w:sz="4" w:space="0"/>
              <w:left w:val="single" w:color="auto" w:sz="4" w:space="0"/>
              <w:bottom w:val="single" w:color="auto" w:sz="4" w:space="0"/>
              <w:right w:val="single" w:color="auto" w:sz="4" w:space="0"/>
            </w:tcBorders>
            <w:vAlign w:val="center"/>
          </w:tcPr>
          <w:p w14:paraId="72C0BC1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评估依据</w:t>
            </w:r>
          </w:p>
        </w:tc>
        <w:tc>
          <w:tcPr>
            <w:tcW w:w="553" w:type="pct"/>
            <w:tcBorders>
              <w:top w:val="single" w:color="auto" w:sz="4" w:space="0"/>
              <w:left w:val="single" w:color="auto" w:sz="4" w:space="0"/>
              <w:bottom w:val="single" w:color="auto" w:sz="4" w:space="0"/>
              <w:right w:val="single" w:color="auto" w:sz="4" w:space="0"/>
            </w:tcBorders>
            <w:vAlign w:val="center"/>
          </w:tcPr>
          <w:p w14:paraId="66FC0A2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分值</w:t>
            </w:r>
          </w:p>
        </w:tc>
        <w:tc>
          <w:tcPr>
            <w:tcW w:w="758" w:type="pct"/>
            <w:tcBorders>
              <w:top w:val="single" w:color="auto" w:sz="4" w:space="0"/>
              <w:left w:val="single" w:color="auto" w:sz="4" w:space="0"/>
              <w:bottom w:val="single" w:color="auto" w:sz="4" w:space="0"/>
              <w:right w:val="single" w:color="auto" w:sz="4" w:space="0"/>
            </w:tcBorders>
            <w:vAlign w:val="center"/>
          </w:tcPr>
          <w:p w14:paraId="6E1D7D1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本项目</w:t>
            </w:r>
          </w:p>
        </w:tc>
        <w:tc>
          <w:tcPr>
            <w:tcW w:w="477" w:type="pct"/>
            <w:tcBorders>
              <w:top w:val="single" w:color="auto" w:sz="4" w:space="0"/>
              <w:left w:val="single" w:color="auto" w:sz="4" w:space="0"/>
              <w:bottom w:val="single" w:color="auto" w:sz="4" w:space="0"/>
              <w:right w:val="single" w:color="auto" w:sz="4" w:space="0"/>
            </w:tcBorders>
            <w:vAlign w:val="center"/>
          </w:tcPr>
          <w:p w14:paraId="7C55954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计分</w:t>
            </w:r>
          </w:p>
        </w:tc>
      </w:tr>
      <w:tr w14:paraId="0D237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pct"/>
            <w:vMerge w:val="restart"/>
            <w:tcBorders>
              <w:top w:val="single" w:color="auto" w:sz="4" w:space="0"/>
              <w:left w:val="single" w:color="auto" w:sz="4" w:space="0"/>
              <w:bottom w:val="single" w:color="auto" w:sz="4" w:space="0"/>
              <w:right w:val="single" w:color="auto" w:sz="4" w:space="0"/>
            </w:tcBorders>
            <w:vAlign w:val="center"/>
          </w:tcPr>
          <w:p w14:paraId="111FA9ED">
            <w:pPr>
              <w:adjustRightInd w:val="0"/>
              <w:snapToGrid w:val="0"/>
              <w:rPr>
                <w:rFonts w:ascii="Arial" w:hAnsi="Arial" w:eastAsia="宋体" w:cs="Arial"/>
                <w:spacing w:val="10"/>
                <w:sz w:val="21"/>
                <w:szCs w:val="21"/>
              </w:rPr>
            </w:pPr>
            <w:r>
              <w:rPr>
                <w:rFonts w:ascii="Arial" w:hAnsi="Arial" w:eastAsia="宋体" w:cs="Arial"/>
                <w:spacing w:val="10"/>
                <w:sz w:val="21"/>
                <w:szCs w:val="21"/>
              </w:rPr>
              <w:t>石化、化工、医药、轻工、化纤、有色冶炼等</w:t>
            </w:r>
          </w:p>
        </w:tc>
        <w:tc>
          <w:tcPr>
            <w:tcW w:w="2679" w:type="pct"/>
            <w:tcBorders>
              <w:top w:val="single" w:color="auto" w:sz="4" w:space="0"/>
              <w:left w:val="single" w:color="auto" w:sz="4" w:space="0"/>
              <w:bottom w:val="single" w:color="auto" w:sz="4" w:space="0"/>
              <w:right w:val="single" w:color="auto" w:sz="4" w:space="0"/>
            </w:tcBorders>
            <w:vAlign w:val="center"/>
          </w:tcPr>
          <w:p w14:paraId="06C697C8">
            <w:pPr>
              <w:adjustRightInd w:val="0"/>
              <w:snapToGrid w:val="0"/>
              <w:rPr>
                <w:rFonts w:ascii="Arial" w:hAnsi="Arial" w:eastAsia="宋体" w:cs="Arial"/>
                <w:spacing w:val="10"/>
                <w:sz w:val="21"/>
                <w:szCs w:val="21"/>
              </w:rPr>
            </w:pPr>
            <w:r>
              <w:rPr>
                <w:rFonts w:ascii="Arial" w:hAnsi="Arial" w:eastAsia="宋体" w:cs="Arial"/>
                <w:spacing w:val="10"/>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553" w:type="pct"/>
            <w:tcBorders>
              <w:top w:val="single" w:color="auto" w:sz="4" w:space="0"/>
              <w:left w:val="single" w:color="auto" w:sz="4" w:space="0"/>
              <w:bottom w:val="single" w:color="auto" w:sz="4" w:space="0"/>
              <w:right w:val="single" w:color="auto" w:sz="4" w:space="0"/>
            </w:tcBorders>
            <w:vAlign w:val="center"/>
          </w:tcPr>
          <w:p w14:paraId="0BB98D5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10/套</w:t>
            </w:r>
          </w:p>
        </w:tc>
        <w:tc>
          <w:tcPr>
            <w:tcW w:w="758" w:type="pct"/>
            <w:tcBorders>
              <w:top w:val="single" w:color="auto" w:sz="4" w:space="0"/>
              <w:left w:val="single" w:color="auto" w:sz="4" w:space="0"/>
              <w:bottom w:val="single" w:color="auto" w:sz="4" w:space="0"/>
              <w:right w:val="single" w:color="auto" w:sz="4" w:space="0"/>
            </w:tcBorders>
            <w:vAlign w:val="center"/>
          </w:tcPr>
          <w:p w14:paraId="68708A4A">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羟基钴生产线有2</w:t>
            </w:r>
            <w:r>
              <w:rPr>
                <w:rFonts w:ascii="Arial" w:hAnsi="Arial" w:eastAsia="宋体" w:cs="Arial"/>
                <w:spacing w:val="10"/>
                <w:sz w:val="21"/>
                <w:szCs w:val="21"/>
              </w:rPr>
              <w:t xml:space="preserve">套氧化工艺 </w:t>
            </w:r>
          </w:p>
        </w:tc>
        <w:tc>
          <w:tcPr>
            <w:tcW w:w="477" w:type="pct"/>
            <w:tcBorders>
              <w:top w:val="single" w:color="auto" w:sz="4" w:space="0"/>
              <w:left w:val="single" w:color="auto" w:sz="4" w:space="0"/>
              <w:bottom w:val="single" w:color="auto" w:sz="4" w:space="0"/>
              <w:right w:val="single" w:color="auto" w:sz="4" w:space="0"/>
            </w:tcBorders>
            <w:vAlign w:val="center"/>
          </w:tcPr>
          <w:p w14:paraId="4076157F">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w:t>
            </w:r>
            <w:r>
              <w:rPr>
                <w:rFonts w:ascii="Arial" w:hAnsi="Arial" w:eastAsia="宋体" w:cs="Arial"/>
                <w:spacing w:val="10"/>
                <w:sz w:val="21"/>
                <w:szCs w:val="21"/>
              </w:rPr>
              <w:t>0</w:t>
            </w:r>
          </w:p>
        </w:tc>
      </w:tr>
      <w:tr w14:paraId="6A2AC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3902316">
            <w:pPr>
              <w:widowControl/>
              <w:jc w:val="left"/>
              <w:rPr>
                <w:rFonts w:ascii="Arial" w:hAnsi="Arial" w:eastAsia="宋体" w:cs="Arial"/>
                <w:spacing w:val="10"/>
                <w:sz w:val="21"/>
                <w:szCs w:val="21"/>
              </w:rPr>
            </w:pPr>
          </w:p>
        </w:tc>
        <w:tc>
          <w:tcPr>
            <w:tcW w:w="2679" w:type="pct"/>
            <w:tcBorders>
              <w:top w:val="single" w:color="auto" w:sz="4" w:space="0"/>
              <w:left w:val="single" w:color="auto" w:sz="4" w:space="0"/>
              <w:bottom w:val="single" w:color="auto" w:sz="4" w:space="0"/>
              <w:right w:val="single" w:color="auto" w:sz="4" w:space="0"/>
            </w:tcBorders>
            <w:vAlign w:val="center"/>
          </w:tcPr>
          <w:p w14:paraId="6B9EB8B7">
            <w:pPr>
              <w:adjustRightInd w:val="0"/>
              <w:snapToGrid w:val="0"/>
              <w:rPr>
                <w:rFonts w:ascii="Arial" w:hAnsi="Arial" w:eastAsia="宋体" w:cs="Arial"/>
                <w:spacing w:val="10"/>
                <w:sz w:val="21"/>
                <w:szCs w:val="21"/>
              </w:rPr>
            </w:pPr>
            <w:r>
              <w:rPr>
                <w:rFonts w:ascii="Arial" w:hAnsi="Arial" w:eastAsia="宋体" w:cs="Arial"/>
                <w:spacing w:val="10"/>
                <w:sz w:val="21"/>
                <w:szCs w:val="21"/>
              </w:rPr>
              <w:t>无机酸制酸工艺、焦化工艺</w:t>
            </w:r>
          </w:p>
        </w:tc>
        <w:tc>
          <w:tcPr>
            <w:tcW w:w="553" w:type="pct"/>
            <w:tcBorders>
              <w:top w:val="single" w:color="auto" w:sz="4" w:space="0"/>
              <w:left w:val="single" w:color="auto" w:sz="4" w:space="0"/>
              <w:bottom w:val="single" w:color="auto" w:sz="4" w:space="0"/>
              <w:right w:val="single" w:color="auto" w:sz="4" w:space="0"/>
            </w:tcBorders>
            <w:vAlign w:val="center"/>
          </w:tcPr>
          <w:p w14:paraId="4321276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5/套</w:t>
            </w:r>
          </w:p>
        </w:tc>
        <w:tc>
          <w:tcPr>
            <w:tcW w:w="758" w:type="pct"/>
            <w:tcBorders>
              <w:top w:val="single" w:color="auto" w:sz="4" w:space="0"/>
              <w:left w:val="single" w:color="auto" w:sz="4" w:space="0"/>
              <w:bottom w:val="single" w:color="auto" w:sz="4" w:space="0"/>
              <w:right w:val="single" w:color="auto" w:sz="4" w:space="0"/>
            </w:tcBorders>
            <w:vAlign w:val="center"/>
          </w:tcPr>
          <w:p w14:paraId="69F0D1C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无</w:t>
            </w:r>
          </w:p>
        </w:tc>
        <w:tc>
          <w:tcPr>
            <w:tcW w:w="477" w:type="pct"/>
            <w:tcBorders>
              <w:top w:val="single" w:color="auto" w:sz="4" w:space="0"/>
              <w:left w:val="single" w:color="auto" w:sz="4" w:space="0"/>
              <w:bottom w:val="single" w:color="auto" w:sz="4" w:space="0"/>
              <w:right w:val="single" w:color="auto" w:sz="4" w:space="0"/>
            </w:tcBorders>
            <w:vAlign w:val="center"/>
          </w:tcPr>
          <w:p w14:paraId="56ADF20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w:t>
            </w:r>
          </w:p>
        </w:tc>
      </w:tr>
      <w:tr w14:paraId="3BC14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6D6D94C">
            <w:pPr>
              <w:widowControl/>
              <w:jc w:val="left"/>
              <w:rPr>
                <w:rFonts w:ascii="Arial" w:hAnsi="Arial" w:eastAsia="宋体" w:cs="Arial"/>
                <w:spacing w:val="10"/>
                <w:sz w:val="21"/>
                <w:szCs w:val="21"/>
              </w:rPr>
            </w:pPr>
          </w:p>
        </w:tc>
        <w:tc>
          <w:tcPr>
            <w:tcW w:w="2679" w:type="pct"/>
            <w:tcBorders>
              <w:top w:val="single" w:color="auto" w:sz="4" w:space="0"/>
              <w:left w:val="single" w:color="auto" w:sz="4" w:space="0"/>
              <w:bottom w:val="single" w:color="auto" w:sz="4" w:space="0"/>
              <w:right w:val="single" w:color="auto" w:sz="4" w:space="0"/>
            </w:tcBorders>
            <w:vAlign w:val="center"/>
          </w:tcPr>
          <w:p w14:paraId="7B5ADE98">
            <w:pPr>
              <w:adjustRightInd w:val="0"/>
              <w:snapToGrid w:val="0"/>
              <w:rPr>
                <w:rFonts w:ascii="Arial" w:hAnsi="Arial" w:eastAsia="宋体" w:cs="Arial"/>
                <w:spacing w:val="10"/>
                <w:sz w:val="21"/>
                <w:szCs w:val="21"/>
              </w:rPr>
            </w:pPr>
            <w:r>
              <w:rPr>
                <w:rFonts w:ascii="Arial" w:hAnsi="Arial" w:eastAsia="宋体" w:cs="Arial"/>
                <w:spacing w:val="10"/>
                <w:sz w:val="21"/>
                <w:szCs w:val="21"/>
              </w:rPr>
              <w:t>其他高温或高压，且涉及危险物质的工艺过程</w:t>
            </w:r>
            <w:r>
              <w:rPr>
                <w:rFonts w:ascii="Arial" w:hAnsi="Arial" w:eastAsia="宋体" w:cs="Arial"/>
                <w:spacing w:val="10"/>
                <w:sz w:val="21"/>
                <w:szCs w:val="21"/>
                <w:vertAlign w:val="superscript"/>
              </w:rPr>
              <w:t>a</w:t>
            </w:r>
            <w:r>
              <w:rPr>
                <w:rFonts w:ascii="Arial" w:hAnsi="Arial" w:eastAsia="宋体" w:cs="Arial"/>
                <w:spacing w:val="10"/>
                <w:sz w:val="21"/>
                <w:szCs w:val="21"/>
              </w:rPr>
              <w:t>、危险物质贮存储罐</w:t>
            </w:r>
          </w:p>
        </w:tc>
        <w:tc>
          <w:tcPr>
            <w:tcW w:w="553" w:type="pct"/>
            <w:tcBorders>
              <w:top w:val="single" w:color="auto" w:sz="4" w:space="0"/>
              <w:left w:val="single" w:color="auto" w:sz="4" w:space="0"/>
              <w:bottom w:val="single" w:color="auto" w:sz="4" w:space="0"/>
              <w:right w:val="single" w:color="auto" w:sz="4" w:space="0"/>
            </w:tcBorders>
            <w:vAlign w:val="center"/>
          </w:tcPr>
          <w:p w14:paraId="681A70F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5/套（罐区）</w:t>
            </w:r>
          </w:p>
        </w:tc>
        <w:tc>
          <w:tcPr>
            <w:tcW w:w="758" w:type="pct"/>
            <w:tcBorders>
              <w:top w:val="single" w:color="auto" w:sz="4" w:space="0"/>
              <w:left w:val="single" w:color="auto" w:sz="4" w:space="0"/>
              <w:bottom w:val="single" w:color="auto" w:sz="4" w:space="0"/>
              <w:right w:val="single" w:color="auto" w:sz="4" w:space="0"/>
            </w:tcBorders>
            <w:vAlign w:val="center"/>
          </w:tcPr>
          <w:p w14:paraId="596BB3F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无，均</w:t>
            </w:r>
            <w:r>
              <w:rPr>
                <w:rFonts w:hint="eastAsia" w:ascii="Arial" w:hAnsi="Arial" w:eastAsia="宋体" w:cs="Arial"/>
                <w:spacing w:val="10"/>
                <w:sz w:val="21"/>
                <w:szCs w:val="21"/>
              </w:rPr>
              <w:t>无高</w:t>
            </w:r>
            <w:r>
              <w:rPr>
                <w:rFonts w:ascii="Arial" w:hAnsi="Arial" w:eastAsia="宋体" w:cs="Arial"/>
                <w:spacing w:val="10"/>
                <w:sz w:val="21"/>
                <w:szCs w:val="21"/>
              </w:rPr>
              <w:t>温</w:t>
            </w:r>
            <w:r>
              <w:rPr>
                <w:rFonts w:hint="eastAsia" w:ascii="Arial" w:hAnsi="Arial" w:eastAsia="宋体" w:cs="Arial"/>
                <w:spacing w:val="10"/>
                <w:sz w:val="21"/>
                <w:szCs w:val="21"/>
              </w:rPr>
              <w:t>高</w:t>
            </w:r>
            <w:r>
              <w:rPr>
                <w:rFonts w:ascii="Arial" w:hAnsi="Arial" w:eastAsia="宋体" w:cs="Arial"/>
                <w:spacing w:val="10"/>
                <w:sz w:val="21"/>
                <w:szCs w:val="21"/>
              </w:rPr>
              <w:t>压</w:t>
            </w:r>
          </w:p>
        </w:tc>
        <w:tc>
          <w:tcPr>
            <w:tcW w:w="477" w:type="pct"/>
            <w:tcBorders>
              <w:top w:val="single" w:color="auto" w:sz="4" w:space="0"/>
              <w:left w:val="single" w:color="auto" w:sz="4" w:space="0"/>
              <w:bottom w:val="single" w:color="auto" w:sz="4" w:space="0"/>
              <w:right w:val="single" w:color="auto" w:sz="4" w:space="0"/>
            </w:tcBorders>
            <w:vAlign w:val="center"/>
          </w:tcPr>
          <w:p w14:paraId="13E4634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w:t>
            </w:r>
          </w:p>
        </w:tc>
      </w:tr>
      <w:tr w14:paraId="32CB8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pct"/>
            <w:tcBorders>
              <w:top w:val="single" w:color="auto" w:sz="4" w:space="0"/>
              <w:left w:val="single" w:color="auto" w:sz="4" w:space="0"/>
              <w:bottom w:val="single" w:color="auto" w:sz="4" w:space="0"/>
              <w:right w:val="single" w:color="auto" w:sz="4" w:space="0"/>
            </w:tcBorders>
            <w:vAlign w:val="center"/>
          </w:tcPr>
          <w:p w14:paraId="018E429F">
            <w:pPr>
              <w:adjustRightInd w:val="0"/>
              <w:snapToGrid w:val="0"/>
              <w:rPr>
                <w:rFonts w:ascii="Arial" w:hAnsi="Arial" w:eastAsia="宋体" w:cs="Arial"/>
                <w:spacing w:val="10"/>
                <w:sz w:val="21"/>
                <w:szCs w:val="21"/>
              </w:rPr>
            </w:pPr>
            <w:r>
              <w:rPr>
                <w:rFonts w:ascii="Arial" w:hAnsi="Arial" w:eastAsia="宋体" w:cs="Arial"/>
                <w:spacing w:val="10"/>
                <w:sz w:val="21"/>
                <w:szCs w:val="21"/>
              </w:rPr>
              <w:t>管道、港口/码头等</w:t>
            </w:r>
          </w:p>
        </w:tc>
        <w:tc>
          <w:tcPr>
            <w:tcW w:w="2679" w:type="pct"/>
            <w:tcBorders>
              <w:top w:val="single" w:color="auto" w:sz="4" w:space="0"/>
              <w:left w:val="single" w:color="auto" w:sz="4" w:space="0"/>
              <w:bottom w:val="single" w:color="auto" w:sz="4" w:space="0"/>
              <w:right w:val="single" w:color="auto" w:sz="4" w:space="0"/>
            </w:tcBorders>
            <w:vAlign w:val="center"/>
          </w:tcPr>
          <w:p w14:paraId="499E8954">
            <w:pPr>
              <w:adjustRightInd w:val="0"/>
              <w:snapToGrid w:val="0"/>
              <w:rPr>
                <w:rFonts w:ascii="Arial" w:hAnsi="Arial" w:eastAsia="宋体" w:cs="Arial"/>
                <w:spacing w:val="10"/>
                <w:sz w:val="21"/>
                <w:szCs w:val="21"/>
              </w:rPr>
            </w:pPr>
            <w:r>
              <w:rPr>
                <w:rFonts w:ascii="Arial" w:hAnsi="Arial" w:eastAsia="宋体" w:cs="Arial"/>
                <w:spacing w:val="10"/>
                <w:sz w:val="21"/>
                <w:szCs w:val="21"/>
              </w:rPr>
              <w:t>设计危险物质管道运输项目、港口/码头等</w:t>
            </w:r>
          </w:p>
        </w:tc>
        <w:tc>
          <w:tcPr>
            <w:tcW w:w="553" w:type="pct"/>
            <w:tcBorders>
              <w:top w:val="single" w:color="auto" w:sz="4" w:space="0"/>
              <w:left w:val="single" w:color="auto" w:sz="4" w:space="0"/>
              <w:bottom w:val="single" w:color="auto" w:sz="4" w:space="0"/>
              <w:right w:val="single" w:color="auto" w:sz="4" w:space="0"/>
            </w:tcBorders>
            <w:vAlign w:val="center"/>
          </w:tcPr>
          <w:p w14:paraId="620744D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w:t>
            </w:r>
          </w:p>
        </w:tc>
        <w:tc>
          <w:tcPr>
            <w:tcW w:w="758" w:type="pct"/>
            <w:tcBorders>
              <w:top w:val="single" w:color="auto" w:sz="4" w:space="0"/>
              <w:left w:val="single" w:color="auto" w:sz="4" w:space="0"/>
              <w:bottom w:val="single" w:color="auto" w:sz="4" w:space="0"/>
              <w:right w:val="single" w:color="auto" w:sz="4" w:space="0"/>
            </w:tcBorders>
            <w:vAlign w:val="center"/>
          </w:tcPr>
          <w:p w14:paraId="4BE9C66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不属于该行业</w:t>
            </w:r>
          </w:p>
        </w:tc>
        <w:tc>
          <w:tcPr>
            <w:tcW w:w="477" w:type="pct"/>
            <w:tcBorders>
              <w:top w:val="single" w:color="auto" w:sz="4" w:space="0"/>
              <w:left w:val="single" w:color="auto" w:sz="4" w:space="0"/>
              <w:bottom w:val="single" w:color="auto" w:sz="4" w:space="0"/>
              <w:right w:val="single" w:color="auto" w:sz="4" w:space="0"/>
            </w:tcBorders>
            <w:vAlign w:val="center"/>
          </w:tcPr>
          <w:p w14:paraId="626E0BE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r>
      <w:tr w14:paraId="73BA1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pct"/>
            <w:tcBorders>
              <w:top w:val="single" w:color="auto" w:sz="4" w:space="0"/>
              <w:left w:val="single" w:color="auto" w:sz="4" w:space="0"/>
              <w:bottom w:val="single" w:color="auto" w:sz="4" w:space="0"/>
              <w:right w:val="single" w:color="auto" w:sz="4" w:space="0"/>
            </w:tcBorders>
            <w:vAlign w:val="center"/>
          </w:tcPr>
          <w:p w14:paraId="44388F65">
            <w:pPr>
              <w:adjustRightInd w:val="0"/>
              <w:snapToGrid w:val="0"/>
              <w:rPr>
                <w:rFonts w:ascii="Arial" w:hAnsi="Arial" w:eastAsia="宋体" w:cs="Arial"/>
                <w:spacing w:val="10"/>
                <w:sz w:val="21"/>
                <w:szCs w:val="21"/>
              </w:rPr>
            </w:pPr>
            <w:r>
              <w:rPr>
                <w:rFonts w:ascii="Arial" w:hAnsi="Arial" w:eastAsia="宋体" w:cs="Arial"/>
                <w:spacing w:val="10"/>
                <w:sz w:val="21"/>
                <w:szCs w:val="21"/>
              </w:rPr>
              <w:t>石油天然气</w:t>
            </w:r>
          </w:p>
        </w:tc>
        <w:tc>
          <w:tcPr>
            <w:tcW w:w="2679" w:type="pct"/>
            <w:tcBorders>
              <w:top w:val="single" w:color="auto" w:sz="4" w:space="0"/>
              <w:left w:val="single" w:color="auto" w:sz="4" w:space="0"/>
              <w:bottom w:val="single" w:color="auto" w:sz="4" w:space="0"/>
              <w:right w:val="single" w:color="auto" w:sz="4" w:space="0"/>
            </w:tcBorders>
            <w:vAlign w:val="center"/>
          </w:tcPr>
          <w:p w14:paraId="48E1FF57">
            <w:pPr>
              <w:adjustRightInd w:val="0"/>
              <w:snapToGrid w:val="0"/>
              <w:rPr>
                <w:rFonts w:ascii="Arial" w:hAnsi="Arial" w:eastAsia="宋体" w:cs="Arial"/>
                <w:spacing w:val="10"/>
                <w:sz w:val="21"/>
                <w:szCs w:val="21"/>
              </w:rPr>
            </w:pPr>
            <w:r>
              <w:rPr>
                <w:rFonts w:ascii="Arial" w:hAnsi="Arial" w:eastAsia="宋体" w:cs="Arial"/>
                <w:spacing w:val="10"/>
                <w:sz w:val="21"/>
                <w:szCs w:val="21"/>
              </w:rPr>
              <w:t>石油、天然气、页岩气开采（含净化），气库（不含加气站的气库），油库（不含加气站的油库）、油气管线</w:t>
            </w:r>
            <w:r>
              <w:rPr>
                <w:rFonts w:ascii="Arial" w:hAnsi="Arial" w:eastAsia="宋体" w:cs="Arial"/>
                <w:spacing w:val="10"/>
                <w:sz w:val="21"/>
                <w:szCs w:val="21"/>
                <w:vertAlign w:val="superscript"/>
              </w:rPr>
              <w:t>b</w:t>
            </w:r>
            <w:r>
              <w:rPr>
                <w:rFonts w:ascii="Arial" w:hAnsi="Arial" w:eastAsia="宋体" w:cs="Arial"/>
                <w:spacing w:val="10"/>
                <w:sz w:val="21"/>
                <w:szCs w:val="21"/>
              </w:rPr>
              <w:t>（不含城镇燃气管线）</w:t>
            </w:r>
          </w:p>
        </w:tc>
        <w:tc>
          <w:tcPr>
            <w:tcW w:w="553" w:type="pct"/>
            <w:tcBorders>
              <w:top w:val="single" w:color="auto" w:sz="4" w:space="0"/>
              <w:left w:val="single" w:color="auto" w:sz="4" w:space="0"/>
              <w:bottom w:val="single" w:color="auto" w:sz="4" w:space="0"/>
              <w:right w:val="single" w:color="auto" w:sz="4" w:space="0"/>
            </w:tcBorders>
            <w:vAlign w:val="center"/>
          </w:tcPr>
          <w:p w14:paraId="210D8AC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w:t>
            </w:r>
          </w:p>
        </w:tc>
        <w:tc>
          <w:tcPr>
            <w:tcW w:w="758" w:type="pct"/>
            <w:tcBorders>
              <w:top w:val="single" w:color="auto" w:sz="4" w:space="0"/>
              <w:left w:val="single" w:color="auto" w:sz="4" w:space="0"/>
              <w:bottom w:val="single" w:color="auto" w:sz="4" w:space="0"/>
              <w:right w:val="single" w:color="auto" w:sz="4" w:space="0"/>
            </w:tcBorders>
            <w:vAlign w:val="center"/>
          </w:tcPr>
          <w:p w14:paraId="1F924D9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不属于该行业</w:t>
            </w:r>
          </w:p>
        </w:tc>
        <w:tc>
          <w:tcPr>
            <w:tcW w:w="477" w:type="pct"/>
            <w:tcBorders>
              <w:top w:val="single" w:color="auto" w:sz="4" w:space="0"/>
              <w:left w:val="single" w:color="auto" w:sz="4" w:space="0"/>
              <w:bottom w:val="single" w:color="auto" w:sz="4" w:space="0"/>
              <w:right w:val="single" w:color="auto" w:sz="4" w:space="0"/>
            </w:tcBorders>
            <w:vAlign w:val="center"/>
          </w:tcPr>
          <w:p w14:paraId="4AB7440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r>
      <w:tr w14:paraId="7E62B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pct"/>
            <w:tcBorders>
              <w:top w:val="single" w:color="auto" w:sz="4" w:space="0"/>
              <w:left w:val="single" w:color="auto" w:sz="4" w:space="0"/>
              <w:bottom w:val="single" w:color="auto" w:sz="4" w:space="0"/>
              <w:right w:val="single" w:color="auto" w:sz="4" w:space="0"/>
            </w:tcBorders>
            <w:vAlign w:val="center"/>
          </w:tcPr>
          <w:p w14:paraId="4527BB2B">
            <w:pPr>
              <w:adjustRightInd w:val="0"/>
              <w:snapToGrid w:val="0"/>
              <w:rPr>
                <w:rFonts w:ascii="Arial" w:hAnsi="Arial" w:eastAsia="宋体" w:cs="Arial"/>
                <w:spacing w:val="10"/>
                <w:sz w:val="21"/>
                <w:szCs w:val="21"/>
              </w:rPr>
            </w:pPr>
            <w:r>
              <w:rPr>
                <w:rFonts w:ascii="Arial" w:hAnsi="Arial" w:eastAsia="宋体" w:cs="Arial"/>
                <w:spacing w:val="10"/>
                <w:sz w:val="21"/>
                <w:szCs w:val="21"/>
              </w:rPr>
              <w:t>其他</w:t>
            </w:r>
          </w:p>
        </w:tc>
        <w:tc>
          <w:tcPr>
            <w:tcW w:w="2679" w:type="pct"/>
            <w:tcBorders>
              <w:top w:val="single" w:color="auto" w:sz="4" w:space="0"/>
              <w:left w:val="single" w:color="auto" w:sz="4" w:space="0"/>
              <w:bottom w:val="single" w:color="auto" w:sz="4" w:space="0"/>
              <w:right w:val="single" w:color="auto" w:sz="4" w:space="0"/>
            </w:tcBorders>
            <w:vAlign w:val="center"/>
          </w:tcPr>
          <w:p w14:paraId="20444D32">
            <w:pPr>
              <w:adjustRightInd w:val="0"/>
              <w:snapToGrid w:val="0"/>
              <w:rPr>
                <w:rFonts w:ascii="Arial" w:hAnsi="Arial" w:eastAsia="宋体" w:cs="Arial"/>
                <w:spacing w:val="10"/>
                <w:sz w:val="21"/>
                <w:szCs w:val="21"/>
              </w:rPr>
            </w:pPr>
            <w:r>
              <w:rPr>
                <w:rFonts w:ascii="Arial" w:hAnsi="Arial" w:eastAsia="宋体" w:cs="Arial"/>
                <w:spacing w:val="10"/>
                <w:sz w:val="21"/>
                <w:szCs w:val="21"/>
              </w:rPr>
              <w:t>涉及危险物质使用、贮存的项目</w:t>
            </w:r>
          </w:p>
        </w:tc>
        <w:tc>
          <w:tcPr>
            <w:tcW w:w="553" w:type="pct"/>
            <w:tcBorders>
              <w:top w:val="single" w:color="auto" w:sz="4" w:space="0"/>
              <w:left w:val="single" w:color="auto" w:sz="4" w:space="0"/>
              <w:bottom w:val="single" w:color="auto" w:sz="4" w:space="0"/>
              <w:right w:val="single" w:color="auto" w:sz="4" w:space="0"/>
            </w:tcBorders>
            <w:vAlign w:val="center"/>
          </w:tcPr>
          <w:p w14:paraId="7752323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w:t>
            </w:r>
          </w:p>
        </w:tc>
        <w:tc>
          <w:tcPr>
            <w:tcW w:w="758" w:type="pct"/>
            <w:tcBorders>
              <w:top w:val="single" w:color="auto" w:sz="4" w:space="0"/>
              <w:left w:val="single" w:color="auto" w:sz="4" w:space="0"/>
              <w:bottom w:val="single" w:color="auto" w:sz="4" w:space="0"/>
              <w:right w:val="single" w:color="auto" w:sz="4" w:space="0"/>
            </w:tcBorders>
            <w:vAlign w:val="center"/>
          </w:tcPr>
          <w:p w14:paraId="275CFA3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不属于该行业</w:t>
            </w:r>
          </w:p>
        </w:tc>
        <w:tc>
          <w:tcPr>
            <w:tcW w:w="477" w:type="pct"/>
            <w:tcBorders>
              <w:top w:val="single" w:color="auto" w:sz="4" w:space="0"/>
              <w:left w:val="single" w:color="auto" w:sz="4" w:space="0"/>
              <w:bottom w:val="single" w:color="auto" w:sz="4" w:space="0"/>
              <w:right w:val="single" w:color="auto" w:sz="4" w:space="0"/>
            </w:tcBorders>
            <w:vAlign w:val="center"/>
          </w:tcPr>
          <w:p w14:paraId="34F6E2A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r>
      <w:tr w14:paraId="68B22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2BCC7CC0">
            <w:pPr>
              <w:adjustRightInd w:val="0"/>
              <w:snapToGrid w:val="0"/>
              <w:rPr>
                <w:rFonts w:ascii="Arial" w:hAnsi="Arial" w:eastAsia="宋体" w:cs="Arial"/>
                <w:spacing w:val="10"/>
                <w:sz w:val="21"/>
                <w:szCs w:val="21"/>
              </w:rPr>
            </w:pPr>
            <w:r>
              <w:rPr>
                <w:rFonts w:ascii="Arial" w:hAnsi="Arial" w:eastAsia="宋体" w:cs="Arial"/>
                <w:spacing w:val="10"/>
                <w:sz w:val="21"/>
                <w:szCs w:val="21"/>
              </w:rPr>
              <w:t>a：高温值工艺温度≥300</w:t>
            </w:r>
            <w:r>
              <w:rPr>
                <w:rFonts w:hint="eastAsia" w:ascii="宋体" w:hAnsi="宋体" w:eastAsia="宋体" w:cs="宋体"/>
                <w:spacing w:val="10"/>
                <w:sz w:val="21"/>
                <w:szCs w:val="21"/>
              </w:rPr>
              <w:t>℃</w:t>
            </w:r>
            <w:r>
              <w:rPr>
                <w:rFonts w:ascii="Arial" w:hAnsi="Arial" w:eastAsia="宋体" w:cs="Arial"/>
                <w:spacing w:val="10"/>
                <w:sz w:val="21"/>
                <w:szCs w:val="21"/>
              </w:rPr>
              <w:t>，高压指压力容器的设计压力（P）≥10.0MPa；</w:t>
            </w:r>
          </w:p>
          <w:p w14:paraId="5EDA94A9">
            <w:pPr>
              <w:adjustRightInd w:val="0"/>
              <w:snapToGrid w:val="0"/>
              <w:rPr>
                <w:rFonts w:ascii="Arial" w:hAnsi="Arial" w:eastAsia="宋体" w:cs="Arial"/>
                <w:spacing w:val="10"/>
                <w:sz w:val="21"/>
                <w:szCs w:val="21"/>
              </w:rPr>
            </w:pPr>
            <w:r>
              <w:rPr>
                <w:rFonts w:ascii="Arial" w:hAnsi="Arial" w:eastAsia="宋体" w:cs="Arial"/>
                <w:spacing w:val="10"/>
                <w:sz w:val="21"/>
                <w:szCs w:val="21"/>
              </w:rPr>
              <w:t>b：长输管道运输项目应按站场、管线分段进行评价。</w:t>
            </w:r>
          </w:p>
          <w:p w14:paraId="0285F91B">
            <w:pPr>
              <w:adjustRightInd w:val="0"/>
              <w:snapToGrid w:val="0"/>
              <w:jc w:val="left"/>
              <w:rPr>
                <w:rFonts w:ascii="Arial" w:hAnsi="Arial" w:eastAsia="宋体" w:cs="Arial"/>
                <w:spacing w:val="10"/>
                <w:sz w:val="21"/>
                <w:szCs w:val="21"/>
              </w:rPr>
            </w:pPr>
            <w:r>
              <w:rPr>
                <w:rFonts w:ascii="Arial" w:hAnsi="Arial" w:eastAsia="宋体" w:cs="Arial"/>
                <w:spacing w:val="10"/>
                <w:sz w:val="21"/>
                <w:szCs w:val="21"/>
              </w:rPr>
              <w:t>M1：M＞20；M2：10＜M≤20；M3：5＜M≤10；M4：M=5。</w:t>
            </w:r>
          </w:p>
        </w:tc>
      </w:tr>
    </w:tbl>
    <w:p w14:paraId="16BDAF82">
      <w:pPr>
        <w:spacing w:line="500" w:lineRule="exact"/>
        <w:ind w:firstLine="476"/>
        <w:rPr>
          <w:rFonts w:ascii="Arial" w:hAnsi="Arial" w:eastAsia="宋体" w:cs="Arial"/>
          <w:spacing w:val="10"/>
          <w:sz w:val="24"/>
        </w:rPr>
      </w:pPr>
      <w:r>
        <w:rPr>
          <w:rFonts w:ascii="Arial" w:hAnsi="Arial" w:eastAsia="宋体" w:cs="Arial"/>
          <w:spacing w:val="10"/>
          <w:sz w:val="24"/>
        </w:rPr>
        <w:t>根据上表可知，项目M为</w:t>
      </w:r>
      <w:r>
        <w:rPr>
          <w:rFonts w:hint="eastAsia" w:ascii="Arial" w:hAnsi="Arial" w:eastAsia="宋体" w:cs="Arial"/>
          <w:spacing w:val="10"/>
          <w:sz w:val="24"/>
        </w:rPr>
        <w:t>2</w:t>
      </w:r>
      <w:r>
        <w:rPr>
          <w:rFonts w:ascii="Arial" w:hAnsi="Arial" w:eastAsia="宋体" w:cs="Arial"/>
          <w:spacing w:val="10"/>
          <w:sz w:val="24"/>
        </w:rPr>
        <w:t>0，属于M</w:t>
      </w:r>
      <w:r>
        <w:rPr>
          <w:rFonts w:hint="eastAsia" w:ascii="Arial" w:hAnsi="Arial" w:eastAsia="宋体" w:cs="Arial"/>
          <w:spacing w:val="10"/>
          <w:sz w:val="24"/>
        </w:rPr>
        <w:t>2</w:t>
      </w:r>
      <w:r>
        <w:rPr>
          <w:rFonts w:ascii="Arial" w:hAnsi="Arial" w:eastAsia="宋体" w:cs="Arial"/>
          <w:spacing w:val="10"/>
          <w:sz w:val="24"/>
        </w:rPr>
        <w:t>级别。</w:t>
      </w:r>
    </w:p>
    <w:p w14:paraId="0602CE12">
      <w:pPr>
        <w:spacing w:line="500" w:lineRule="exact"/>
        <w:ind w:firstLine="476"/>
        <w:rPr>
          <w:rFonts w:ascii="Arial" w:hAnsi="Arial" w:eastAsia="宋体" w:cs="Arial"/>
          <w:spacing w:val="10"/>
          <w:sz w:val="24"/>
        </w:rPr>
      </w:pPr>
      <w:r>
        <w:rPr>
          <w:rFonts w:ascii="Arial" w:hAnsi="Arial" w:eastAsia="宋体" w:cs="Arial"/>
          <w:spacing w:val="10"/>
          <w:sz w:val="24"/>
        </w:rPr>
        <w:t>3.危险物质及工艺系统危险性分级</w:t>
      </w:r>
    </w:p>
    <w:p w14:paraId="34A832BA">
      <w:pPr>
        <w:spacing w:line="500" w:lineRule="exact"/>
        <w:ind w:firstLine="476"/>
        <w:rPr>
          <w:rFonts w:ascii="Arial" w:hAnsi="Arial" w:eastAsia="宋体" w:cs="Arial"/>
          <w:spacing w:val="10"/>
          <w:sz w:val="24"/>
        </w:rPr>
      </w:pPr>
      <w:r>
        <w:rPr>
          <w:rFonts w:ascii="Arial" w:hAnsi="Arial" w:eastAsia="宋体" w:cs="Arial"/>
          <w:spacing w:val="10"/>
          <w:sz w:val="24"/>
        </w:rPr>
        <w:t>项目危险物质及工艺系统危险性判定详见表4-</w:t>
      </w:r>
      <w:r>
        <w:rPr>
          <w:rFonts w:hint="eastAsia" w:ascii="Arial" w:hAnsi="Arial" w:eastAsia="宋体" w:cs="Arial"/>
          <w:spacing w:val="10"/>
          <w:sz w:val="24"/>
        </w:rPr>
        <w:t>45</w:t>
      </w:r>
      <w:r>
        <w:rPr>
          <w:rFonts w:ascii="Arial" w:hAnsi="Arial" w:eastAsia="宋体" w:cs="Arial"/>
          <w:spacing w:val="10"/>
          <w:sz w:val="24"/>
        </w:rPr>
        <w:t>。</w:t>
      </w:r>
    </w:p>
    <w:p w14:paraId="33AEC72A">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危险物质及工艺系统危险性等级判断（P）</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8"/>
        <w:gridCol w:w="1691"/>
        <w:gridCol w:w="1691"/>
        <w:gridCol w:w="1691"/>
        <w:gridCol w:w="1692"/>
      </w:tblGrid>
      <w:tr w14:paraId="7A6A9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vMerge w:val="restart"/>
            <w:tcBorders>
              <w:top w:val="single" w:color="auto" w:sz="4" w:space="0"/>
              <w:left w:val="single" w:color="auto" w:sz="4" w:space="0"/>
              <w:bottom w:val="single" w:color="auto" w:sz="4" w:space="0"/>
              <w:right w:val="single" w:color="auto" w:sz="4" w:space="0"/>
            </w:tcBorders>
            <w:vAlign w:val="center"/>
          </w:tcPr>
          <w:p w14:paraId="531B559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危险物质数量与临界量比值（Q）</w:t>
            </w:r>
          </w:p>
        </w:tc>
        <w:tc>
          <w:tcPr>
            <w:tcW w:w="6765" w:type="dxa"/>
            <w:gridSpan w:val="4"/>
            <w:tcBorders>
              <w:top w:val="single" w:color="auto" w:sz="4" w:space="0"/>
              <w:left w:val="single" w:color="auto" w:sz="4" w:space="0"/>
              <w:bottom w:val="single" w:color="auto" w:sz="4" w:space="0"/>
              <w:right w:val="single" w:color="auto" w:sz="4" w:space="0"/>
            </w:tcBorders>
            <w:vAlign w:val="center"/>
          </w:tcPr>
          <w:p w14:paraId="5AAEAE8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行业及生产工艺（M）</w:t>
            </w:r>
          </w:p>
        </w:tc>
      </w:tr>
      <w:tr w14:paraId="355E4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vMerge w:val="continue"/>
            <w:tcBorders>
              <w:top w:val="single" w:color="auto" w:sz="4" w:space="0"/>
              <w:left w:val="single" w:color="auto" w:sz="4" w:space="0"/>
              <w:bottom w:val="single" w:color="auto" w:sz="4" w:space="0"/>
              <w:right w:val="single" w:color="auto" w:sz="4" w:space="0"/>
            </w:tcBorders>
            <w:vAlign w:val="center"/>
          </w:tcPr>
          <w:p w14:paraId="665E0C4F">
            <w:pPr>
              <w:widowControl/>
              <w:jc w:val="left"/>
              <w:rPr>
                <w:rFonts w:ascii="Arial" w:hAnsi="Arial" w:eastAsia="宋体" w:cs="Arial"/>
                <w:spacing w:val="10"/>
                <w:sz w:val="21"/>
                <w:szCs w:val="21"/>
              </w:rPr>
            </w:pPr>
          </w:p>
        </w:tc>
        <w:tc>
          <w:tcPr>
            <w:tcW w:w="1691" w:type="dxa"/>
            <w:tcBorders>
              <w:top w:val="single" w:color="auto" w:sz="4" w:space="0"/>
              <w:left w:val="single" w:color="auto" w:sz="4" w:space="0"/>
              <w:bottom w:val="single" w:color="auto" w:sz="4" w:space="0"/>
              <w:right w:val="single" w:color="auto" w:sz="4" w:space="0"/>
            </w:tcBorders>
            <w:vAlign w:val="center"/>
          </w:tcPr>
          <w:p w14:paraId="410B11A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M1</w:t>
            </w:r>
          </w:p>
        </w:tc>
        <w:tc>
          <w:tcPr>
            <w:tcW w:w="1691" w:type="dxa"/>
            <w:tcBorders>
              <w:top w:val="single" w:color="auto" w:sz="4" w:space="0"/>
              <w:left w:val="single" w:color="auto" w:sz="4" w:space="0"/>
              <w:bottom w:val="single" w:color="auto" w:sz="4" w:space="0"/>
              <w:right w:val="single" w:color="auto" w:sz="4" w:space="0"/>
            </w:tcBorders>
            <w:vAlign w:val="center"/>
          </w:tcPr>
          <w:p w14:paraId="60B0530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M2</w:t>
            </w:r>
          </w:p>
        </w:tc>
        <w:tc>
          <w:tcPr>
            <w:tcW w:w="1691" w:type="dxa"/>
            <w:tcBorders>
              <w:top w:val="single" w:color="auto" w:sz="4" w:space="0"/>
              <w:left w:val="single" w:color="auto" w:sz="4" w:space="0"/>
              <w:bottom w:val="single" w:color="auto" w:sz="4" w:space="0"/>
              <w:right w:val="single" w:color="auto" w:sz="4" w:space="0"/>
            </w:tcBorders>
            <w:vAlign w:val="center"/>
          </w:tcPr>
          <w:p w14:paraId="676D67C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M3</w:t>
            </w:r>
          </w:p>
        </w:tc>
        <w:tc>
          <w:tcPr>
            <w:tcW w:w="1692" w:type="dxa"/>
            <w:tcBorders>
              <w:top w:val="single" w:color="auto" w:sz="4" w:space="0"/>
              <w:left w:val="single" w:color="auto" w:sz="4" w:space="0"/>
              <w:bottom w:val="single" w:color="auto" w:sz="4" w:space="0"/>
              <w:right w:val="single" w:color="auto" w:sz="4" w:space="0"/>
            </w:tcBorders>
            <w:vAlign w:val="center"/>
          </w:tcPr>
          <w:p w14:paraId="6B33981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M4</w:t>
            </w:r>
          </w:p>
        </w:tc>
      </w:tr>
      <w:tr w14:paraId="57A4F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shd w:val="clear" w:color="auto" w:fill="auto"/>
            <w:vAlign w:val="center"/>
          </w:tcPr>
          <w:p w14:paraId="7CC1AE7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Q≥100</w:t>
            </w: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14:paraId="2D4F4C1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P1</w:t>
            </w: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14:paraId="56272389">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P1</w:t>
            </w: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14:paraId="368B316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P2</w:t>
            </w:r>
          </w:p>
        </w:tc>
        <w:tc>
          <w:tcPr>
            <w:tcW w:w="1692" w:type="dxa"/>
            <w:tcBorders>
              <w:top w:val="single" w:color="auto" w:sz="4" w:space="0"/>
              <w:left w:val="single" w:color="auto" w:sz="4" w:space="0"/>
              <w:bottom w:val="single" w:color="auto" w:sz="4" w:space="0"/>
              <w:right w:val="single" w:color="auto" w:sz="4" w:space="0"/>
            </w:tcBorders>
            <w:shd w:val="clear" w:color="auto" w:fill="auto"/>
            <w:vAlign w:val="center"/>
          </w:tcPr>
          <w:p w14:paraId="14F35F8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P3</w:t>
            </w:r>
          </w:p>
        </w:tc>
      </w:tr>
      <w:tr w14:paraId="11405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14:paraId="6E5E49C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10≤Q≤100</w:t>
            </w:r>
          </w:p>
        </w:tc>
        <w:tc>
          <w:tcPr>
            <w:tcW w:w="1691" w:type="dxa"/>
            <w:tcBorders>
              <w:top w:val="single" w:color="auto" w:sz="4" w:space="0"/>
              <w:left w:val="single" w:color="auto" w:sz="4" w:space="0"/>
              <w:bottom w:val="single" w:color="auto" w:sz="4" w:space="0"/>
              <w:right w:val="single" w:color="auto" w:sz="4" w:space="0"/>
            </w:tcBorders>
            <w:vAlign w:val="center"/>
          </w:tcPr>
          <w:p w14:paraId="3240A13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P1</w:t>
            </w:r>
          </w:p>
        </w:tc>
        <w:tc>
          <w:tcPr>
            <w:tcW w:w="1691" w:type="dxa"/>
            <w:tcBorders>
              <w:top w:val="single" w:color="auto" w:sz="4" w:space="0"/>
              <w:left w:val="single" w:color="auto" w:sz="4" w:space="0"/>
              <w:bottom w:val="single" w:color="auto" w:sz="4" w:space="0"/>
              <w:right w:val="single" w:color="auto" w:sz="4" w:space="0"/>
            </w:tcBorders>
            <w:vAlign w:val="center"/>
          </w:tcPr>
          <w:p w14:paraId="7474CF9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P2</w:t>
            </w:r>
          </w:p>
        </w:tc>
        <w:tc>
          <w:tcPr>
            <w:tcW w:w="1691" w:type="dxa"/>
            <w:tcBorders>
              <w:top w:val="single" w:color="auto" w:sz="4" w:space="0"/>
              <w:left w:val="single" w:color="auto" w:sz="4" w:space="0"/>
              <w:bottom w:val="single" w:color="auto" w:sz="4" w:space="0"/>
              <w:right w:val="single" w:color="auto" w:sz="4" w:space="0"/>
            </w:tcBorders>
            <w:vAlign w:val="center"/>
          </w:tcPr>
          <w:p w14:paraId="404D625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P3</w:t>
            </w:r>
          </w:p>
        </w:tc>
        <w:tc>
          <w:tcPr>
            <w:tcW w:w="1692" w:type="dxa"/>
            <w:tcBorders>
              <w:top w:val="single" w:color="auto" w:sz="4" w:space="0"/>
              <w:left w:val="single" w:color="auto" w:sz="4" w:space="0"/>
              <w:bottom w:val="single" w:color="auto" w:sz="4" w:space="0"/>
              <w:right w:val="single" w:color="auto" w:sz="4" w:space="0"/>
            </w:tcBorders>
            <w:vAlign w:val="center"/>
          </w:tcPr>
          <w:p w14:paraId="73C2BFA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P4</w:t>
            </w:r>
          </w:p>
        </w:tc>
      </w:tr>
      <w:tr w14:paraId="2220E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14:paraId="6D59DCE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1≤Q≤10</w:t>
            </w:r>
          </w:p>
        </w:tc>
        <w:tc>
          <w:tcPr>
            <w:tcW w:w="1691" w:type="dxa"/>
            <w:tcBorders>
              <w:top w:val="single" w:color="auto" w:sz="4" w:space="0"/>
              <w:left w:val="single" w:color="auto" w:sz="4" w:space="0"/>
              <w:bottom w:val="single" w:color="auto" w:sz="4" w:space="0"/>
              <w:right w:val="single" w:color="auto" w:sz="4" w:space="0"/>
            </w:tcBorders>
            <w:vAlign w:val="center"/>
          </w:tcPr>
          <w:p w14:paraId="2B7B71D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P2</w:t>
            </w:r>
          </w:p>
        </w:tc>
        <w:tc>
          <w:tcPr>
            <w:tcW w:w="1691" w:type="dxa"/>
            <w:tcBorders>
              <w:top w:val="single" w:color="auto" w:sz="4" w:space="0"/>
              <w:left w:val="single" w:color="auto" w:sz="4" w:space="0"/>
              <w:bottom w:val="single" w:color="auto" w:sz="4" w:space="0"/>
              <w:right w:val="single" w:color="auto" w:sz="4" w:space="0"/>
            </w:tcBorders>
            <w:vAlign w:val="center"/>
          </w:tcPr>
          <w:p w14:paraId="39CA1CE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P3</w:t>
            </w:r>
          </w:p>
        </w:tc>
        <w:tc>
          <w:tcPr>
            <w:tcW w:w="1691" w:type="dxa"/>
            <w:tcBorders>
              <w:top w:val="single" w:color="auto" w:sz="4" w:space="0"/>
              <w:left w:val="single" w:color="auto" w:sz="4" w:space="0"/>
              <w:bottom w:val="single" w:color="auto" w:sz="4" w:space="0"/>
              <w:right w:val="single" w:color="auto" w:sz="4" w:space="0"/>
            </w:tcBorders>
            <w:vAlign w:val="center"/>
          </w:tcPr>
          <w:p w14:paraId="19C338F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P4</w:t>
            </w:r>
          </w:p>
        </w:tc>
        <w:tc>
          <w:tcPr>
            <w:tcW w:w="1692" w:type="dxa"/>
            <w:tcBorders>
              <w:top w:val="single" w:color="auto" w:sz="4" w:space="0"/>
              <w:left w:val="single" w:color="auto" w:sz="4" w:space="0"/>
              <w:bottom w:val="single" w:color="auto" w:sz="4" w:space="0"/>
              <w:right w:val="single" w:color="auto" w:sz="4" w:space="0"/>
            </w:tcBorders>
            <w:vAlign w:val="center"/>
          </w:tcPr>
          <w:p w14:paraId="716DF36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P4</w:t>
            </w:r>
          </w:p>
        </w:tc>
      </w:tr>
    </w:tbl>
    <w:p w14:paraId="640A8D72">
      <w:pPr>
        <w:spacing w:line="500" w:lineRule="exact"/>
        <w:ind w:firstLine="476"/>
        <w:rPr>
          <w:rFonts w:ascii="Arial" w:hAnsi="Arial" w:eastAsia="宋体" w:cs="Arial"/>
          <w:spacing w:val="10"/>
          <w:sz w:val="24"/>
        </w:rPr>
      </w:pPr>
      <w:r>
        <w:rPr>
          <w:rFonts w:ascii="Arial" w:hAnsi="Arial" w:eastAsia="宋体" w:cs="Arial"/>
          <w:spacing w:val="10"/>
          <w:sz w:val="24"/>
        </w:rPr>
        <w:t>综上分析，项目危险物质数量与临界量的</w:t>
      </w:r>
      <w:r>
        <w:rPr>
          <w:rFonts w:ascii="Arial" w:hAnsi="Arial" w:eastAsia="宋体" w:cs="Arial"/>
          <w:spacing w:val="10"/>
          <w:sz w:val="24"/>
          <w:u w:val="single"/>
        </w:rPr>
        <w:t>比值Q大于</w:t>
      </w:r>
      <w:r>
        <w:rPr>
          <w:rFonts w:hint="eastAsia" w:ascii="Arial" w:hAnsi="Arial" w:eastAsia="宋体" w:cs="Arial"/>
          <w:spacing w:val="10"/>
          <w:sz w:val="24"/>
          <w:u w:val="single"/>
        </w:rPr>
        <w:t>100</w:t>
      </w:r>
      <w:r>
        <w:rPr>
          <w:rFonts w:ascii="Arial" w:hAnsi="Arial" w:eastAsia="宋体" w:cs="Arial"/>
          <w:spacing w:val="10"/>
          <w:sz w:val="24"/>
        </w:rPr>
        <w:t>，所属行业及生产工艺特点为M</w:t>
      </w:r>
      <w:r>
        <w:rPr>
          <w:rFonts w:hint="eastAsia" w:ascii="Arial" w:hAnsi="Arial" w:eastAsia="宋体" w:cs="Arial"/>
          <w:spacing w:val="10"/>
          <w:sz w:val="24"/>
        </w:rPr>
        <w:t>2</w:t>
      </w:r>
      <w:r>
        <w:rPr>
          <w:rFonts w:ascii="Arial" w:hAnsi="Arial" w:eastAsia="宋体" w:cs="Arial"/>
          <w:spacing w:val="10"/>
          <w:sz w:val="24"/>
        </w:rPr>
        <w:t>级别，</w:t>
      </w:r>
      <w:r>
        <w:rPr>
          <w:rFonts w:ascii="Arial" w:hAnsi="Arial" w:eastAsia="宋体" w:cs="Arial"/>
          <w:spacing w:val="10"/>
          <w:sz w:val="24"/>
          <w:u w:val="single"/>
        </w:rPr>
        <w:t>则项目危险物质及工艺系统危险性判定为P</w:t>
      </w:r>
      <w:r>
        <w:rPr>
          <w:rFonts w:hint="eastAsia" w:ascii="Arial" w:hAnsi="Arial" w:eastAsia="宋体" w:cs="Arial"/>
          <w:spacing w:val="10"/>
          <w:sz w:val="24"/>
          <w:u w:val="single"/>
        </w:rPr>
        <w:t>1</w:t>
      </w:r>
      <w:r>
        <w:rPr>
          <w:rFonts w:ascii="Arial" w:hAnsi="Arial" w:eastAsia="宋体" w:cs="Arial"/>
          <w:spacing w:val="10"/>
          <w:sz w:val="24"/>
        </w:rPr>
        <w:t>。</w:t>
      </w:r>
    </w:p>
    <w:p w14:paraId="03E13944">
      <w:pPr>
        <w:numPr>
          <w:ilvl w:val="0"/>
          <w:numId w:val="31"/>
        </w:numPr>
        <w:spacing w:line="500" w:lineRule="exact"/>
        <w:jc w:val="left"/>
        <w:outlineLvl w:val="3"/>
        <w:rPr>
          <w:rFonts w:ascii="Arial" w:hAnsi="Arial" w:eastAsia="宋体" w:cs="Arial"/>
          <w:b/>
          <w:spacing w:val="10"/>
          <w:sz w:val="24"/>
        </w:rPr>
      </w:pPr>
      <w:r>
        <w:rPr>
          <w:rFonts w:ascii="Arial" w:hAnsi="Arial" w:eastAsia="宋体" w:cs="Arial"/>
          <w:b/>
          <w:spacing w:val="10"/>
          <w:sz w:val="24"/>
        </w:rPr>
        <w:t>环境敏感程度E的确定</w:t>
      </w:r>
    </w:p>
    <w:p w14:paraId="725E99ED">
      <w:pPr>
        <w:spacing w:line="500" w:lineRule="exact"/>
        <w:ind w:firstLine="476"/>
        <w:rPr>
          <w:rFonts w:ascii="Arial" w:hAnsi="Arial" w:eastAsia="宋体" w:cs="Arial"/>
          <w:spacing w:val="10"/>
          <w:sz w:val="24"/>
        </w:rPr>
      </w:pPr>
      <w:r>
        <w:rPr>
          <w:rFonts w:ascii="Arial" w:hAnsi="Arial" w:eastAsia="宋体" w:cs="Arial"/>
          <w:spacing w:val="10"/>
          <w:sz w:val="24"/>
        </w:rPr>
        <w:t>根据危险物质在事故情况下的环境影响途径，结合大气、地表水及地下水环境的敏感程度对环境敏感程度E进行判定。</w:t>
      </w:r>
    </w:p>
    <w:p w14:paraId="32440A17">
      <w:pPr>
        <w:spacing w:line="264" w:lineRule="auto"/>
        <w:ind w:firstLine="476"/>
        <w:rPr>
          <w:rFonts w:ascii="Arial" w:hAnsi="Arial" w:eastAsia="宋体" w:cs="Arial"/>
          <w:spacing w:val="10"/>
          <w:sz w:val="24"/>
        </w:rPr>
      </w:pPr>
      <w:r>
        <w:rPr>
          <w:rFonts w:ascii="Arial" w:hAnsi="Arial" w:eastAsia="宋体" w:cs="Arial"/>
          <w:spacing w:val="10"/>
          <w:sz w:val="24"/>
        </w:rPr>
        <w:t>1.大气环境敏感程度</w:t>
      </w:r>
    </w:p>
    <w:p w14:paraId="7743EAE5">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大气环境敏感程度分级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8319"/>
      </w:tblGrid>
      <w:tr w14:paraId="56B5E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tcBorders>
              <w:top w:val="single" w:color="auto" w:sz="4" w:space="0"/>
              <w:left w:val="single" w:color="auto" w:sz="4" w:space="0"/>
              <w:bottom w:val="single" w:color="auto" w:sz="4" w:space="0"/>
              <w:right w:val="single" w:color="auto" w:sz="4" w:space="0"/>
            </w:tcBorders>
            <w:vAlign w:val="center"/>
          </w:tcPr>
          <w:p w14:paraId="03974B8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分级</w:t>
            </w:r>
          </w:p>
        </w:tc>
        <w:tc>
          <w:tcPr>
            <w:tcW w:w="4625" w:type="pct"/>
            <w:tcBorders>
              <w:top w:val="single" w:color="auto" w:sz="4" w:space="0"/>
              <w:left w:val="single" w:color="auto" w:sz="4" w:space="0"/>
              <w:bottom w:val="single" w:color="auto" w:sz="4" w:space="0"/>
              <w:right w:val="single" w:color="auto" w:sz="4" w:space="0"/>
            </w:tcBorders>
            <w:vAlign w:val="center"/>
          </w:tcPr>
          <w:p w14:paraId="5E39491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大气环境敏感性</w:t>
            </w:r>
          </w:p>
        </w:tc>
      </w:tr>
      <w:tr w14:paraId="00A89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tcBorders>
              <w:top w:val="single" w:color="auto" w:sz="4" w:space="0"/>
              <w:left w:val="single" w:color="auto" w:sz="4" w:space="0"/>
              <w:bottom w:val="single" w:color="auto" w:sz="4" w:space="0"/>
              <w:right w:val="single" w:color="auto" w:sz="4" w:space="0"/>
            </w:tcBorders>
            <w:vAlign w:val="center"/>
          </w:tcPr>
          <w:p w14:paraId="1BC7B31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4625" w:type="pct"/>
            <w:tcBorders>
              <w:top w:val="single" w:color="auto" w:sz="4" w:space="0"/>
              <w:left w:val="single" w:color="auto" w:sz="4" w:space="0"/>
              <w:bottom w:val="single" w:color="auto" w:sz="4" w:space="0"/>
              <w:right w:val="single" w:color="auto" w:sz="4" w:space="0"/>
            </w:tcBorders>
            <w:vAlign w:val="center"/>
          </w:tcPr>
          <w:p w14:paraId="572D51D1">
            <w:pPr>
              <w:adjustRightInd w:val="0"/>
              <w:snapToGrid w:val="0"/>
              <w:rPr>
                <w:rFonts w:ascii="Arial" w:hAnsi="Arial" w:eastAsia="宋体" w:cs="Arial"/>
                <w:spacing w:val="10"/>
                <w:sz w:val="21"/>
                <w:szCs w:val="21"/>
              </w:rPr>
            </w:pPr>
            <w:r>
              <w:rPr>
                <w:rFonts w:ascii="Arial" w:hAnsi="Arial" w:eastAsia="宋体" w:cs="Arial"/>
                <w:spacing w:val="10"/>
                <w:sz w:val="21"/>
                <w:szCs w:val="21"/>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2FB59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tcBorders>
              <w:top w:val="single" w:color="auto" w:sz="4" w:space="0"/>
              <w:left w:val="single" w:color="auto" w:sz="4" w:space="0"/>
              <w:bottom w:val="single" w:color="auto" w:sz="4" w:space="0"/>
              <w:right w:val="single" w:color="auto" w:sz="4" w:space="0"/>
            </w:tcBorders>
            <w:vAlign w:val="center"/>
          </w:tcPr>
          <w:p w14:paraId="5E1EF2B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c>
          <w:tcPr>
            <w:tcW w:w="4625" w:type="pct"/>
            <w:tcBorders>
              <w:top w:val="single" w:color="auto" w:sz="4" w:space="0"/>
              <w:left w:val="single" w:color="auto" w:sz="4" w:space="0"/>
              <w:bottom w:val="single" w:color="auto" w:sz="4" w:space="0"/>
              <w:right w:val="single" w:color="auto" w:sz="4" w:space="0"/>
            </w:tcBorders>
            <w:vAlign w:val="center"/>
          </w:tcPr>
          <w:p w14:paraId="6451C313">
            <w:pPr>
              <w:adjustRightInd w:val="0"/>
              <w:snapToGrid w:val="0"/>
              <w:rPr>
                <w:rFonts w:ascii="Arial" w:hAnsi="Arial" w:eastAsia="宋体" w:cs="Arial"/>
                <w:spacing w:val="10"/>
                <w:sz w:val="21"/>
                <w:szCs w:val="21"/>
              </w:rPr>
            </w:pPr>
            <w:r>
              <w:rPr>
                <w:rFonts w:ascii="Arial" w:hAnsi="Arial" w:eastAsia="宋体" w:cs="Arial"/>
                <w:spacing w:val="10"/>
                <w:sz w:val="21"/>
                <w:szCs w:val="21"/>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34B01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tcBorders>
              <w:top w:val="single" w:color="auto" w:sz="4" w:space="0"/>
              <w:left w:val="single" w:color="auto" w:sz="4" w:space="0"/>
              <w:bottom w:val="single" w:color="auto" w:sz="4" w:space="0"/>
              <w:right w:val="single" w:color="auto" w:sz="4" w:space="0"/>
            </w:tcBorders>
            <w:vAlign w:val="center"/>
          </w:tcPr>
          <w:p w14:paraId="63E7BEE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c>
          <w:tcPr>
            <w:tcW w:w="4625" w:type="pct"/>
            <w:tcBorders>
              <w:top w:val="single" w:color="auto" w:sz="4" w:space="0"/>
              <w:left w:val="single" w:color="auto" w:sz="4" w:space="0"/>
              <w:bottom w:val="single" w:color="auto" w:sz="4" w:space="0"/>
              <w:right w:val="single" w:color="auto" w:sz="4" w:space="0"/>
            </w:tcBorders>
            <w:vAlign w:val="center"/>
          </w:tcPr>
          <w:p w14:paraId="4C92BED7">
            <w:pPr>
              <w:adjustRightInd w:val="0"/>
              <w:snapToGrid w:val="0"/>
              <w:rPr>
                <w:rFonts w:ascii="Arial" w:hAnsi="Arial" w:eastAsia="宋体" w:cs="Arial"/>
                <w:spacing w:val="10"/>
                <w:sz w:val="21"/>
                <w:szCs w:val="21"/>
              </w:rPr>
            </w:pPr>
            <w:r>
              <w:rPr>
                <w:rFonts w:ascii="Arial" w:hAnsi="Arial" w:eastAsia="宋体" w:cs="Arial"/>
                <w:spacing w:val="10"/>
                <w:sz w:val="21"/>
                <w:szCs w:val="21"/>
              </w:rPr>
              <w:t>周边5km范围内居住区、医疗卫生、文化教育、科研、行政办公等机构人口总数小于1万人；或周边500m范围内人口总数小于500人；油气、化学品输送管线管段周边200m范围内，每千米管段人口数小于100人。</w:t>
            </w:r>
          </w:p>
        </w:tc>
      </w:tr>
    </w:tbl>
    <w:p w14:paraId="626292C8">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根据上文可知，项目周边500m范围内人口总数为1700人，5km范围内人口总数约2.18万人，则大气环境敏感程度判定为E1。</w:t>
      </w:r>
    </w:p>
    <w:p w14:paraId="7AA5FBBD">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2.地表水环境敏感程度</w:t>
      </w:r>
    </w:p>
    <w:p w14:paraId="4CB76FE1">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依据事故情况下危险物质泄漏到水体的排放点受纳地表水体功能敏感性（F），与下游环境敏感目标（S）情况，对地表水环境敏感程度进行分级。</w:t>
      </w:r>
    </w:p>
    <w:p w14:paraId="344BEC12">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地表水功能敏感性分区</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7826"/>
      </w:tblGrid>
      <w:tr w14:paraId="4607A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14:paraId="5FAC468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敏感性</w:t>
            </w:r>
          </w:p>
        </w:tc>
        <w:tc>
          <w:tcPr>
            <w:tcW w:w="4351" w:type="pct"/>
            <w:tcBorders>
              <w:top w:val="single" w:color="auto" w:sz="4" w:space="0"/>
              <w:left w:val="single" w:color="auto" w:sz="4" w:space="0"/>
              <w:bottom w:val="single" w:color="auto" w:sz="4" w:space="0"/>
              <w:right w:val="single" w:color="auto" w:sz="4" w:space="0"/>
            </w:tcBorders>
            <w:vAlign w:val="center"/>
          </w:tcPr>
          <w:p w14:paraId="6F19A62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地表水环境敏感特征</w:t>
            </w:r>
          </w:p>
        </w:tc>
      </w:tr>
      <w:tr w14:paraId="35F3A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14:paraId="2E95986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敏感F1</w:t>
            </w:r>
          </w:p>
        </w:tc>
        <w:tc>
          <w:tcPr>
            <w:tcW w:w="4351" w:type="pct"/>
            <w:tcBorders>
              <w:top w:val="single" w:color="auto" w:sz="4" w:space="0"/>
              <w:left w:val="single" w:color="auto" w:sz="4" w:space="0"/>
              <w:bottom w:val="single" w:color="auto" w:sz="4" w:space="0"/>
              <w:right w:val="single" w:color="auto" w:sz="4" w:space="0"/>
            </w:tcBorders>
            <w:vAlign w:val="center"/>
          </w:tcPr>
          <w:p w14:paraId="3C0564AA">
            <w:pPr>
              <w:adjustRightInd w:val="0"/>
              <w:snapToGrid w:val="0"/>
              <w:rPr>
                <w:rFonts w:ascii="Arial" w:hAnsi="Arial" w:eastAsia="宋体" w:cs="Arial"/>
                <w:spacing w:val="10"/>
                <w:sz w:val="21"/>
                <w:szCs w:val="21"/>
              </w:rPr>
            </w:pPr>
            <w:r>
              <w:rPr>
                <w:rFonts w:ascii="Arial" w:hAnsi="Arial" w:eastAsia="宋体" w:cs="Arial"/>
                <w:spacing w:val="10"/>
                <w:sz w:val="21"/>
                <w:szCs w:val="21"/>
              </w:rPr>
              <w:t>排放点进入地表水水域环境功能为</w:t>
            </w:r>
            <w:r>
              <w:rPr>
                <w:rFonts w:hint="eastAsia" w:ascii="宋体" w:hAnsi="宋体" w:eastAsia="宋体" w:cs="宋体"/>
                <w:spacing w:val="10"/>
                <w:sz w:val="21"/>
                <w:szCs w:val="21"/>
              </w:rPr>
              <w:t>Ⅱ</w:t>
            </w:r>
            <w:r>
              <w:rPr>
                <w:rFonts w:ascii="Arial" w:hAnsi="Arial" w:eastAsia="宋体" w:cs="Arial"/>
                <w:spacing w:val="10"/>
                <w:sz w:val="21"/>
                <w:szCs w:val="21"/>
              </w:rPr>
              <w:t>类及以上，或海水水质分类第一类；或以发生事故时，危险物质泄漏到水体的排放表算起，排放进入受纳河流最大流速时，24h流经范围内涉跨国界的</w:t>
            </w:r>
          </w:p>
        </w:tc>
      </w:tr>
      <w:tr w14:paraId="7E1CB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14:paraId="5FD325D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较敏感F2</w:t>
            </w:r>
          </w:p>
        </w:tc>
        <w:tc>
          <w:tcPr>
            <w:tcW w:w="4351" w:type="pct"/>
            <w:tcBorders>
              <w:top w:val="single" w:color="auto" w:sz="4" w:space="0"/>
              <w:left w:val="single" w:color="auto" w:sz="4" w:space="0"/>
              <w:bottom w:val="single" w:color="auto" w:sz="4" w:space="0"/>
              <w:right w:val="single" w:color="auto" w:sz="4" w:space="0"/>
            </w:tcBorders>
            <w:vAlign w:val="center"/>
          </w:tcPr>
          <w:p w14:paraId="42602949">
            <w:pPr>
              <w:adjustRightInd w:val="0"/>
              <w:snapToGrid w:val="0"/>
              <w:rPr>
                <w:rFonts w:ascii="Arial" w:hAnsi="Arial" w:eastAsia="宋体" w:cs="Arial"/>
                <w:spacing w:val="10"/>
                <w:sz w:val="21"/>
                <w:szCs w:val="21"/>
              </w:rPr>
            </w:pPr>
            <w:r>
              <w:rPr>
                <w:rFonts w:ascii="Arial" w:hAnsi="Arial" w:eastAsia="宋体" w:cs="Arial"/>
                <w:spacing w:val="10"/>
                <w:sz w:val="21"/>
                <w:szCs w:val="21"/>
              </w:rPr>
              <w:t>排放点进入地表水水域环境功能为</w:t>
            </w:r>
            <w:r>
              <w:rPr>
                <w:rFonts w:hint="eastAsia" w:ascii="宋体" w:hAnsi="宋体" w:eastAsia="宋体" w:cs="宋体"/>
                <w:spacing w:val="10"/>
                <w:sz w:val="21"/>
                <w:szCs w:val="21"/>
              </w:rPr>
              <w:t>Ⅲ</w:t>
            </w:r>
            <w:r>
              <w:rPr>
                <w:rFonts w:ascii="Arial" w:hAnsi="Arial" w:eastAsia="宋体" w:cs="Arial"/>
                <w:spacing w:val="10"/>
                <w:sz w:val="21"/>
                <w:szCs w:val="21"/>
              </w:rPr>
              <w:t>类，或海水水质分类第二类；或以发生事故时，危险物质泄漏到水体的排放表算起，排放进入受纳河流最大流速时，24h流经范围内涉跨省界的</w:t>
            </w:r>
          </w:p>
        </w:tc>
      </w:tr>
      <w:tr w14:paraId="400C1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14:paraId="2DAB4C2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低敏感F3</w:t>
            </w:r>
          </w:p>
        </w:tc>
        <w:tc>
          <w:tcPr>
            <w:tcW w:w="4351" w:type="pct"/>
            <w:tcBorders>
              <w:top w:val="single" w:color="auto" w:sz="4" w:space="0"/>
              <w:left w:val="single" w:color="auto" w:sz="4" w:space="0"/>
              <w:bottom w:val="single" w:color="auto" w:sz="4" w:space="0"/>
              <w:right w:val="single" w:color="auto" w:sz="4" w:space="0"/>
            </w:tcBorders>
            <w:vAlign w:val="center"/>
          </w:tcPr>
          <w:p w14:paraId="1F955C8C">
            <w:pPr>
              <w:adjustRightInd w:val="0"/>
              <w:snapToGrid w:val="0"/>
              <w:rPr>
                <w:rFonts w:ascii="Arial" w:hAnsi="Arial" w:eastAsia="宋体" w:cs="Arial"/>
                <w:spacing w:val="10"/>
                <w:sz w:val="21"/>
                <w:szCs w:val="21"/>
              </w:rPr>
            </w:pPr>
            <w:r>
              <w:rPr>
                <w:rFonts w:ascii="Arial" w:hAnsi="Arial" w:eastAsia="宋体" w:cs="Arial"/>
                <w:spacing w:val="10"/>
                <w:sz w:val="21"/>
                <w:szCs w:val="21"/>
              </w:rPr>
              <w:t>上述地区之外的其他地区</w:t>
            </w:r>
          </w:p>
        </w:tc>
      </w:tr>
    </w:tbl>
    <w:p w14:paraId="2B80853C">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环境敏感目标分级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8319"/>
      </w:tblGrid>
      <w:tr w14:paraId="24B95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tcBorders>
              <w:top w:val="single" w:color="auto" w:sz="4" w:space="0"/>
              <w:left w:val="single" w:color="auto" w:sz="4" w:space="0"/>
              <w:bottom w:val="single" w:color="auto" w:sz="4" w:space="0"/>
              <w:right w:val="single" w:color="auto" w:sz="4" w:space="0"/>
            </w:tcBorders>
            <w:vAlign w:val="center"/>
          </w:tcPr>
          <w:p w14:paraId="7C8418F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分级</w:t>
            </w:r>
          </w:p>
        </w:tc>
        <w:tc>
          <w:tcPr>
            <w:tcW w:w="4625" w:type="pct"/>
            <w:tcBorders>
              <w:top w:val="single" w:color="auto" w:sz="4" w:space="0"/>
              <w:left w:val="single" w:color="auto" w:sz="4" w:space="0"/>
              <w:bottom w:val="single" w:color="auto" w:sz="4" w:space="0"/>
              <w:right w:val="single" w:color="auto" w:sz="4" w:space="0"/>
            </w:tcBorders>
            <w:vAlign w:val="center"/>
          </w:tcPr>
          <w:p w14:paraId="72BF01E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环境敏感目标</w:t>
            </w:r>
          </w:p>
        </w:tc>
      </w:tr>
      <w:tr w14:paraId="096D6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tcBorders>
              <w:top w:val="single" w:color="auto" w:sz="4" w:space="0"/>
              <w:left w:val="single" w:color="auto" w:sz="4" w:space="0"/>
              <w:bottom w:val="single" w:color="auto" w:sz="4" w:space="0"/>
              <w:right w:val="single" w:color="auto" w:sz="4" w:space="0"/>
            </w:tcBorders>
            <w:vAlign w:val="center"/>
          </w:tcPr>
          <w:p w14:paraId="758FC45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S1</w:t>
            </w:r>
          </w:p>
        </w:tc>
        <w:tc>
          <w:tcPr>
            <w:tcW w:w="4625" w:type="pct"/>
            <w:tcBorders>
              <w:top w:val="single" w:color="auto" w:sz="4" w:space="0"/>
              <w:left w:val="single" w:color="auto" w:sz="4" w:space="0"/>
              <w:bottom w:val="single" w:color="auto" w:sz="4" w:space="0"/>
              <w:right w:val="single" w:color="auto" w:sz="4" w:space="0"/>
            </w:tcBorders>
            <w:vAlign w:val="center"/>
          </w:tcPr>
          <w:p w14:paraId="276C866A">
            <w:pPr>
              <w:adjustRightInd w:val="0"/>
              <w:snapToGrid w:val="0"/>
              <w:rPr>
                <w:rFonts w:ascii="Arial" w:hAnsi="Arial" w:eastAsia="宋体" w:cs="Arial"/>
                <w:spacing w:val="10"/>
                <w:sz w:val="21"/>
                <w:szCs w:val="21"/>
              </w:rPr>
            </w:pPr>
            <w:r>
              <w:rPr>
                <w:rFonts w:ascii="Arial" w:hAnsi="Arial" w:eastAsia="宋体" w:cs="Arial"/>
                <w:spacing w:val="10"/>
                <w:sz w:val="21"/>
                <w:szCs w:val="21"/>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7CC04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tcBorders>
              <w:top w:val="single" w:color="auto" w:sz="4" w:space="0"/>
              <w:left w:val="single" w:color="auto" w:sz="4" w:space="0"/>
              <w:bottom w:val="single" w:color="auto" w:sz="4" w:space="0"/>
              <w:right w:val="single" w:color="auto" w:sz="4" w:space="0"/>
            </w:tcBorders>
            <w:vAlign w:val="center"/>
          </w:tcPr>
          <w:p w14:paraId="446AB77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S2</w:t>
            </w:r>
          </w:p>
        </w:tc>
        <w:tc>
          <w:tcPr>
            <w:tcW w:w="4625" w:type="pct"/>
            <w:tcBorders>
              <w:top w:val="single" w:color="auto" w:sz="4" w:space="0"/>
              <w:left w:val="single" w:color="auto" w:sz="4" w:space="0"/>
              <w:bottom w:val="single" w:color="auto" w:sz="4" w:space="0"/>
              <w:right w:val="single" w:color="auto" w:sz="4" w:space="0"/>
            </w:tcBorders>
            <w:vAlign w:val="center"/>
          </w:tcPr>
          <w:p w14:paraId="4D0CBD20">
            <w:pPr>
              <w:adjustRightInd w:val="0"/>
              <w:snapToGrid w:val="0"/>
              <w:rPr>
                <w:rFonts w:ascii="Arial" w:hAnsi="Arial" w:eastAsia="宋体" w:cs="Arial"/>
                <w:spacing w:val="10"/>
                <w:sz w:val="21"/>
                <w:szCs w:val="21"/>
              </w:rPr>
            </w:pPr>
            <w:r>
              <w:rPr>
                <w:rFonts w:ascii="Arial" w:hAnsi="Arial" w:eastAsia="宋体" w:cs="Arial"/>
                <w:spacing w:val="10"/>
                <w:sz w:val="21"/>
                <w:szCs w:val="21"/>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滨海风景旅游区；具有重要经济价值的海洋生物生存区域</w:t>
            </w:r>
          </w:p>
        </w:tc>
      </w:tr>
      <w:tr w14:paraId="29BC8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tcBorders>
              <w:top w:val="single" w:color="auto" w:sz="4" w:space="0"/>
              <w:left w:val="single" w:color="auto" w:sz="4" w:space="0"/>
              <w:bottom w:val="single" w:color="auto" w:sz="4" w:space="0"/>
              <w:right w:val="single" w:color="auto" w:sz="4" w:space="0"/>
            </w:tcBorders>
            <w:vAlign w:val="center"/>
          </w:tcPr>
          <w:p w14:paraId="76BA71F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S3</w:t>
            </w:r>
          </w:p>
        </w:tc>
        <w:tc>
          <w:tcPr>
            <w:tcW w:w="4625" w:type="pct"/>
            <w:tcBorders>
              <w:top w:val="single" w:color="auto" w:sz="4" w:space="0"/>
              <w:left w:val="single" w:color="auto" w:sz="4" w:space="0"/>
              <w:bottom w:val="single" w:color="auto" w:sz="4" w:space="0"/>
              <w:right w:val="single" w:color="auto" w:sz="4" w:space="0"/>
            </w:tcBorders>
            <w:vAlign w:val="center"/>
          </w:tcPr>
          <w:p w14:paraId="69B39734">
            <w:pPr>
              <w:adjustRightInd w:val="0"/>
              <w:snapToGrid w:val="0"/>
              <w:rPr>
                <w:rFonts w:ascii="Arial" w:hAnsi="Arial" w:eastAsia="宋体" w:cs="Arial"/>
                <w:spacing w:val="10"/>
                <w:sz w:val="21"/>
                <w:szCs w:val="21"/>
              </w:rPr>
            </w:pPr>
            <w:r>
              <w:rPr>
                <w:rFonts w:ascii="Arial" w:hAnsi="Arial" w:eastAsia="宋体" w:cs="Arial"/>
                <w:spacing w:val="10"/>
                <w:sz w:val="21"/>
                <w:szCs w:val="21"/>
              </w:rPr>
              <w:t>排放点下游（顺水流向）10km范围内、近岸海域一个潮周期水质点可能达到的最大水平距离的两倍范围内无上述类型1和类型2包括的敏感保护目标</w:t>
            </w:r>
          </w:p>
        </w:tc>
      </w:tr>
    </w:tbl>
    <w:p w14:paraId="41266777">
      <w:pPr>
        <w:keepNext/>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地表水环境敏感程度分级</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4"/>
        <w:gridCol w:w="2083"/>
        <w:gridCol w:w="2083"/>
        <w:gridCol w:w="2083"/>
      </w:tblGrid>
      <w:tr w14:paraId="3C795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pct"/>
            <w:vMerge w:val="restart"/>
            <w:tcBorders>
              <w:top w:val="single" w:color="auto" w:sz="4" w:space="0"/>
              <w:left w:val="single" w:color="auto" w:sz="4" w:space="0"/>
              <w:bottom w:val="single" w:color="auto" w:sz="4" w:space="0"/>
              <w:right w:val="single" w:color="auto" w:sz="4" w:space="0"/>
            </w:tcBorders>
            <w:vAlign w:val="center"/>
          </w:tcPr>
          <w:p w14:paraId="795C1D8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环境敏感目标</w:t>
            </w:r>
          </w:p>
        </w:tc>
        <w:tc>
          <w:tcPr>
            <w:tcW w:w="3474" w:type="pct"/>
            <w:gridSpan w:val="3"/>
            <w:tcBorders>
              <w:top w:val="single" w:color="auto" w:sz="4" w:space="0"/>
              <w:left w:val="single" w:color="auto" w:sz="4" w:space="0"/>
              <w:bottom w:val="single" w:color="auto" w:sz="4" w:space="0"/>
              <w:right w:val="single" w:color="auto" w:sz="4" w:space="0"/>
            </w:tcBorders>
            <w:vAlign w:val="center"/>
          </w:tcPr>
          <w:p w14:paraId="5DE5304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地表水功能敏感性</w:t>
            </w:r>
          </w:p>
        </w:tc>
      </w:tr>
      <w:tr w14:paraId="225AF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15E43748">
            <w:pPr>
              <w:widowControl/>
              <w:jc w:val="left"/>
              <w:rPr>
                <w:rFonts w:ascii="Arial" w:hAnsi="Arial" w:eastAsia="宋体" w:cs="Arial"/>
                <w:spacing w:val="10"/>
                <w:sz w:val="21"/>
                <w:szCs w:val="21"/>
              </w:rPr>
            </w:pPr>
          </w:p>
        </w:tc>
        <w:tc>
          <w:tcPr>
            <w:tcW w:w="1158" w:type="pct"/>
            <w:tcBorders>
              <w:top w:val="single" w:color="auto" w:sz="4" w:space="0"/>
              <w:left w:val="single" w:color="auto" w:sz="4" w:space="0"/>
              <w:bottom w:val="single" w:color="auto" w:sz="4" w:space="0"/>
              <w:right w:val="single" w:color="auto" w:sz="4" w:space="0"/>
            </w:tcBorders>
            <w:vAlign w:val="center"/>
          </w:tcPr>
          <w:p w14:paraId="6F29885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F1</w:t>
            </w:r>
          </w:p>
        </w:tc>
        <w:tc>
          <w:tcPr>
            <w:tcW w:w="1158" w:type="pct"/>
            <w:tcBorders>
              <w:top w:val="single" w:color="auto" w:sz="4" w:space="0"/>
              <w:left w:val="single" w:color="auto" w:sz="4" w:space="0"/>
              <w:bottom w:val="single" w:color="auto" w:sz="4" w:space="0"/>
              <w:right w:val="single" w:color="auto" w:sz="4" w:space="0"/>
            </w:tcBorders>
            <w:vAlign w:val="center"/>
          </w:tcPr>
          <w:p w14:paraId="2761555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F2</w:t>
            </w:r>
          </w:p>
        </w:tc>
        <w:tc>
          <w:tcPr>
            <w:tcW w:w="1158" w:type="pct"/>
            <w:tcBorders>
              <w:top w:val="single" w:color="auto" w:sz="4" w:space="0"/>
              <w:left w:val="single" w:color="auto" w:sz="4" w:space="0"/>
              <w:bottom w:val="single" w:color="auto" w:sz="4" w:space="0"/>
              <w:right w:val="single" w:color="auto" w:sz="4" w:space="0"/>
            </w:tcBorders>
            <w:vAlign w:val="center"/>
          </w:tcPr>
          <w:p w14:paraId="5C14BB1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F3</w:t>
            </w:r>
          </w:p>
        </w:tc>
      </w:tr>
      <w:tr w14:paraId="5F6ED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pct"/>
            <w:tcBorders>
              <w:top w:val="single" w:color="auto" w:sz="4" w:space="0"/>
              <w:left w:val="single" w:color="auto" w:sz="4" w:space="0"/>
              <w:bottom w:val="single" w:color="auto" w:sz="4" w:space="0"/>
              <w:right w:val="single" w:color="auto" w:sz="4" w:space="0"/>
            </w:tcBorders>
            <w:vAlign w:val="center"/>
          </w:tcPr>
          <w:p w14:paraId="15E9A47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S1</w:t>
            </w:r>
          </w:p>
        </w:tc>
        <w:tc>
          <w:tcPr>
            <w:tcW w:w="1158" w:type="pct"/>
            <w:tcBorders>
              <w:top w:val="single" w:color="auto" w:sz="4" w:space="0"/>
              <w:left w:val="single" w:color="auto" w:sz="4" w:space="0"/>
              <w:bottom w:val="single" w:color="auto" w:sz="4" w:space="0"/>
              <w:right w:val="single" w:color="auto" w:sz="4" w:space="0"/>
            </w:tcBorders>
            <w:vAlign w:val="center"/>
          </w:tcPr>
          <w:p w14:paraId="3F567D5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1158" w:type="pct"/>
            <w:tcBorders>
              <w:top w:val="single" w:color="auto" w:sz="4" w:space="0"/>
              <w:left w:val="single" w:color="auto" w:sz="4" w:space="0"/>
              <w:bottom w:val="single" w:color="auto" w:sz="4" w:space="0"/>
              <w:right w:val="single" w:color="auto" w:sz="4" w:space="0"/>
            </w:tcBorders>
            <w:vAlign w:val="center"/>
          </w:tcPr>
          <w:p w14:paraId="7413108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1158" w:type="pct"/>
            <w:tcBorders>
              <w:top w:val="single" w:color="auto" w:sz="4" w:space="0"/>
              <w:left w:val="single" w:color="auto" w:sz="4" w:space="0"/>
              <w:bottom w:val="single" w:color="auto" w:sz="4" w:space="0"/>
              <w:right w:val="single" w:color="auto" w:sz="4" w:space="0"/>
            </w:tcBorders>
            <w:vAlign w:val="center"/>
          </w:tcPr>
          <w:p w14:paraId="1A6CEA8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r>
      <w:tr w14:paraId="4EECC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pct"/>
            <w:tcBorders>
              <w:top w:val="single" w:color="auto" w:sz="4" w:space="0"/>
              <w:left w:val="single" w:color="auto" w:sz="4" w:space="0"/>
              <w:bottom w:val="single" w:color="auto" w:sz="4" w:space="0"/>
              <w:right w:val="single" w:color="auto" w:sz="4" w:space="0"/>
            </w:tcBorders>
            <w:vAlign w:val="center"/>
          </w:tcPr>
          <w:p w14:paraId="39C7E75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S2</w:t>
            </w:r>
          </w:p>
        </w:tc>
        <w:tc>
          <w:tcPr>
            <w:tcW w:w="1158" w:type="pct"/>
            <w:tcBorders>
              <w:top w:val="single" w:color="auto" w:sz="4" w:space="0"/>
              <w:left w:val="single" w:color="auto" w:sz="4" w:space="0"/>
              <w:bottom w:val="single" w:color="auto" w:sz="4" w:space="0"/>
              <w:right w:val="single" w:color="auto" w:sz="4" w:space="0"/>
            </w:tcBorders>
            <w:vAlign w:val="center"/>
          </w:tcPr>
          <w:p w14:paraId="4503625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1158" w:type="pct"/>
            <w:tcBorders>
              <w:top w:val="single" w:color="auto" w:sz="4" w:space="0"/>
              <w:left w:val="single" w:color="auto" w:sz="4" w:space="0"/>
              <w:bottom w:val="single" w:color="auto" w:sz="4" w:space="0"/>
              <w:right w:val="single" w:color="auto" w:sz="4" w:space="0"/>
            </w:tcBorders>
            <w:vAlign w:val="center"/>
          </w:tcPr>
          <w:p w14:paraId="2DE0FDC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c>
          <w:tcPr>
            <w:tcW w:w="1158" w:type="pct"/>
            <w:tcBorders>
              <w:top w:val="single" w:color="auto" w:sz="4" w:space="0"/>
              <w:left w:val="single" w:color="auto" w:sz="4" w:space="0"/>
              <w:bottom w:val="single" w:color="auto" w:sz="4" w:space="0"/>
              <w:right w:val="single" w:color="auto" w:sz="4" w:space="0"/>
            </w:tcBorders>
            <w:vAlign w:val="center"/>
          </w:tcPr>
          <w:p w14:paraId="2B75528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r>
      <w:tr w14:paraId="22F4B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pct"/>
            <w:tcBorders>
              <w:top w:val="single" w:color="auto" w:sz="4" w:space="0"/>
              <w:left w:val="single" w:color="auto" w:sz="4" w:space="0"/>
              <w:bottom w:val="single" w:color="auto" w:sz="4" w:space="0"/>
              <w:right w:val="single" w:color="auto" w:sz="4" w:space="0"/>
            </w:tcBorders>
            <w:vAlign w:val="center"/>
          </w:tcPr>
          <w:p w14:paraId="6C2B6A2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S3</w:t>
            </w:r>
          </w:p>
        </w:tc>
        <w:tc>
          <w:tcPr>
            <w:tcW w:w="1158" w:type="pct"/>
            <w:tcBorders>
              <w:top w:val="single" w:color="auto" w:sz="4" w:space="0"/>
              <w:left w:val="single" w:color="auto" w:sz="4" w:space="0"/>
              <w:bottom w:val="single" w:color="auto" w:sz="4" w:space="0"/>
              <w:right w:val="single" w:color="auto" w:sz="4" w:space="0"/>
            </w:tcBorders>
            <w:vAlign w:val="center"/>
          </w:tcPr>
          <w:p w14:paraId="5894B5D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1158" w:type="pct"/>
            <w:tcBorders>
              <w:top w:val="single" w:color="auto" w:sz="4" w:space="0"/>
              <w:left w:val="single" w:color="auto" w:sz="4" w:space="0"/>
              <w:bottom w:val="single" w:color="auto" w:sz="4" w:space="0"/>
              <w:right w:val="single" w:color="auto" w:sz="4" w:space="0"/>
            </w:tcBorders>
            <w:vAlign w:val="center"/>
          </w:tcPr>
          <w:p w14:paraId="5C11824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c>
          <w:tcPr>
            <w:tcW w:w="1158" w:type="pct"/>
            <w:tcBorders>
              <w:top w:val="single" w:color="auto" w:sz="4" w:space="0"/>
              <w:left w:val="single" w:color="auto" w:sz="4" w:space="0"/>
              <w:bottom w:val="single" w:color="auto" w:sz="4" w:space="0"/>
              <w:right w:val="single" w:color="auto" w:sz="4" w:space="0"/>
            </w:tcBorders>
            <w:vAlign w:val="center"/>
          </w:tcPr>
          <w:p w14:paraId="26BFB0F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r>
    </w:tbl>
    <w:p w14:paraId="225184CD">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项目如若危险物质泄漏到</w:t>
      </w:r>
      <w:r>
        <w:rPr>
          <w:rFonts w:hint="eastAsia" w:ascii="Arial" w:hAnsi="Arial" w:eastAsia="宋体" w:cs="Arial"/>
          <w:spacing w:val="10"/>
          <w:sz w:val="24"/>
        </w:rPr>
        <w:t>近岸海域一个潮周期水质点可能达到的最大水平距离的两倍范围内</w:t>
      </w:r>
      <w:r>
        <w:rPr>
          <w:rFonts w:ascii="Arial" w:hAnsi="Arial" w:eastAsia="宋体" w:cs="Arial"/>
          <w:spacing w:val="10"/>
          <w:sz w:val="24"/>
        </w:rPr>
        <w:t>有鹿耳环江红树林区，地表水功能敏感性分区E2。</w:t>
      </w:r>
    </w:p>
    <w:p w14:paraId="2C607FB8">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3.地下水环境</w:t>
      </w:r>
    </w:p>
    <w:p w14:paraId="0D10881E">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依据地下水功能敏感性与包气带防污性能，对地下水环境敏感程度进行分级判定。</w:t>
      </w:r>
    </w:p>
    <w:p w14:paraId="4E42AB4F">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地下水功能敏感性分区</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7667"/>
      </w:tblGrid>
      <w:tr w14:paraId="0C940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pct"/>
            <w:tcBorders>
              <w:top w:val="single" w:color="auto" w:sz="4" w:space="0"/>
              <w:left w:val="single" w:color="auto" w:sz="4" w:space="0"/>
              <w:bottom w:val="single" w:color="auto" w:sz="4" w:space="0"/>
              <w:right w:val="single" w:color="auto" w:sz="4" w:space="0"/>
            </w:tcBorders>
            <w:vAlign w:val="center"/>
          </w:tcPr>
          <w:p w14:paraId="6EB2C95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敏感性</w:t>
            </w:r>
          </w:p>
        </w:tc>
        <w:tc>
          <w:tcPr>
            <w:tcW w:w="4263" w:type="pct"/>
            <w:tcBorders>
              <w:top w:val="single" w:color="auto" w:sz="4" w:space="0"/>
              <w:left w:val="single" w:color="auto" w:sz="4" w:space="0"/>
              <w:bottom w:val="single" w:color="auto" w:sz="4" w:space="0"/>
              <w:right w:val="single" w:color="auto" w:sz="4" w:space="0"/>
            </w:tcBorders>
            <w:vAlign w:val="center"/>
          </w:tcPr>
          <w:p w14:paraId="5BE21D8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地下水环境敏感特征</w:t>
            </w:r>
          </w:p>
        </w:tc>
      </w:tr>
      <w:tr w14:paraId="4D400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pct"/>
            <w:tcBorders>
              <w:top w:val="single" w:color="auto" w:sz="4" w:space="0"/>
              <w:left w:val="single" w:color="auto" w:sz="4" w:space="0"/>
              <w:bottom w:val="single" w:color="auto" w:sz="4" w:space="0"/>
              <w:right w:val="single" w:color="auto" w:sz="4" w:space="0"/>
            </w:tcBorders>
            <w:vAlign w:val="center"/>
          </w:tcPr>
          <w:p w14:paraId="26D1F85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敏感G1</w:t>
            </w:r>
          </w:p>
        </w:tc>
        <w:tc>
          <w:tcPr>
            <w:tcW w:w="4263" w:type="pct"/>
            <w:tcBorders>
              <w:top w:val="single" w:color="auto" w:sz="4" w:space="0"/>
              <w:left w:val="single" w:color="auto" w:sz="4" w:space="0"/>
              <w:bottom w:val="single" w:color="auto" w:sz="4" w:space="0"/>
              <w:right w:val="single" w:color="auto" w:sz="4" w:space="0"/>
            </w:tcBorders>
            <w:vAlign w:val="center"/>
          </w:tcPr>
          <w:p w14:paraId="6030DAA0">
            <w:pPr>
              <w:adjustRightInd w:val="0"/>
              <w:snapToGrid w:val="0"/>
              <w:rPr>
                <w:rFonts w:ascii="Arial" w:hAnsi="Arial" w:eastAsia="宋体" w:cs="Arial"/>
                <w:spacing w:val="10"/>
                <w:sz w:val="21"/>
                <w:szCs w:val="21"/>
              </w:rPr>
            </w:pPr>
            <w:r>
              <w:rPr>
                <w:rFonts w:ascii="Arial" w:hAnsi="Arial" w:eastAsia="宋体" w:cs="Arial"/>
                <w:spacing w:val="10"/>
                <w:sz w:val="21"/>
                <w:szCs w:val="21"/>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5D8BF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pct"/>
            <w:tcBorders>
              <w:top w:val="single" w:color="auto" w:sz="4" w:space="0"/>
              <w:left w:val="single" w:color="auto" w:sz="4" w:space="0"/>
              <w:bottom w:val="single" w:color="auto" w:sz="4" w:space="0"/>
              <w:right w:val="single" w:color="auto" w:sz="4" w:space="0"/>
            </w:tcBorders>
            <w:vAlign w:val="center"/>
          </w:tcPr>
          <w:p w14:paraId="2D81F74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较敏感G2</w:t>
            </w:r>
          </w:p>
        </w:tc>
        <w:tc>
          <w:tcPr>
            <w:tcW w:w="4263" w:type="pct"/>
            <w:tcBorders>
              <w:top w:val="single" w:color="auto" w:sz="4" w:space="0"/>
              <w:left w:val="single" w:color="auto" w:sz="4" w:space="0"/>
              <w:bottom w:val="single" w:color="auto" w:sz="4" w:space="0"/>
              <w:right w:val="single" w:color="auto" w:sz="4" w:space="0"/>
            </w:tcBorders>
            <w:vAlign w:val="center"/>
          </w:tcPr>
          <w:p w14:paraId="6DF7FC03">
            <w:pPr>
              <w:adjustRightInd w:val="0"/>
              <w:snapToGrid w:val="0"/>
              <w:rPr>
                <w:rFonts w:ascii="Arial" w:hAnsi="Arial" w:eastAsia="宋体" w:cs="Arial"/>
                <w:spacing w:val="10"/>
                <w:sz w:val="21"/>
                <w:szCs w:val="21"/>
                <w:vertAlign w:val="superscript"/>
              </w:rPr>
            </w:pPr>
            <w:r>
              <w:rPr>
                <w:rFonts w:ascii="Arial" w:hAnsi="Arial" w:eastAsia="宋体" w:cs="Arial"/>
                <w:spacing w:val="10"/>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ascii="Arial" w:hAnsi="Arial" w:eastAsia="宋体" w:cs="Arial"/>
                <w:spacing w:val="10"/>
                <w:sz w:val="21"/>
                <w:szCs w:val="21"/>
                <w:vertAlign w:val="superscript"/>
              </w:rPr>
              <w:t>a</w:t>
            </w:r>
          </w:p>
        </w:tc>
      </w:tr>
      <w:tr w14:paraId="58018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pct"/>
            <w:tcBorders>
              <w:top w:val="single" w:color="auto" w:sz="4" w:space="0"/>
              <w:left w:val="single" w:color="auto" w:sz="4" w:space="0"/>
              <w:bottom w:val="single" w:color="auto" w:sz="4" w:space="0"/>
              <w:right w:val="single" w:color="auto" w:sz="4" w:space="0"/>
            </w:tcBorders>
            <w:vAlign w:val="center"/>
          </w:tcPr>
          <w:p w14:paraId="5DE1FC9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不敏感G3</w:t>
            </w:r>
          </w:p>
        </w:tc>
        <w:tc>
          <w:tcPr>
            <w:tcW w:w="4263" w:type="pct"/>
            <w:tcBorders>
              <w:top w:val="single" w:color="auto" w:sz="4" w:space="0"/>
              <w:left w:val="single" w:color="auto" w:sz="4" w:space="0"/>
              <w:bottom w:val="single" w:color="auto" w:sz="4" w:space="0"/>
              <w:right w:val="single" w:color="auto" w:sz="4" w:space="0"/>
            </w:tcBorders>
            <w:vAlign w:val="center"/>
          </w:tcPr>
          <w:p w14:paraId="41A45299">
            <w:pPr>
              <w:adjustRightInd w:val="0"/>
              <w:snapToGrid w:val="0"/>
              <w:rPr>
                <w:rFonts w:ascii="Arial" w:hAnsi="Arial" w:eastAsia="宋体" w:cs="Arial"/>
                <w:spacing w:val="10"/>
                <w:sz w:val="21"/>
                <w:szCs w:val="21"/>
              </w:rPr>
            </w:pPr>
            <w:r>
              <w:rPr>
                <w:rFonts w:ascii="Arial" w:hAnsi="Arial" w:eastAsia="宋体" w:cs="Arial"/>
                <w:spacing w:val="10"/>
                <w:sz w:val="21"/>
                <w:szCs w:val="21"/>
              </w:rPr>
              <w:t>上述地区之外的其他地区</w:t>
            </w:r>
          </w:p>
        </w:tc>
      </w:tr>
      <w:tr w14:paraId="2D4BC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2"/>
            <w:tcBorders>
              <w:top w:val="single" w:color="auto" w:sz="4" w:space="0"/>
              <w:left w:val="single" w:color="auto" w:sz="4" w:space="0"/>
              <w:bottom w:val="single" w:color="auto" w:sz="4" w:space="0"/>
              <w:right w:val="single" w:color="auto" w:sz="4" w:space="0"/>
            </w:tcBorders>
            <w:vAlign w:val="center"/>
          </w:tcPr>
          <w:p w14:paraId="4DFE3BDF">
            <w:pPr>
              <w:adjustRightInd w:val="0"/>
              <w:snapToGrid w:val="0"/>
              <w:rPr>
                <w:rFonts w:ascii="Arial" w:hAnsi="Arial" w:eastAsia="宋体" w:cs="Arial"/>
                <w:spacing w:val="10"/>
                <w:sz w:val="21"/>
                <w:szCs w:val="21"/>
              </w:rPr>
            </w:pPr>
            <w:r>
              <w:rPr>
                <w:rFonts w:ascii="Arial" w:hAnsi="Arial" w:eastAsia="宋体" w:cs="Arial"/>
                <w:spacing w:val="10"/>
                <w:sz w:val="21"/>
                <w:szCs w:val="21"/>
              </w:rPr>
              <w:t>a：“环境敏感区”是指《建设项目环境影响评价分类管理名录》中所界定的涉及地下水的环境敏感区</w:t>
            </w:r>
          </w:p>
        </w:tc>
      </w:tr>
    </w:tbl>
    <w:p w14:paraId="4FA39CCF">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包气带防污性能分级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7667"/>
      </w:tblGrid>
      <w:tr w14:paraId="3A7CE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pct"/>
            <w:tcBorders>
              <w:top w:val="single" w:color="auto" w:sz="4" w:space="0"/>
              <w:left w:val="single" w:color="auto" w:sz="4" w:space="0"/>
              <w:bottom w:val="single" w:color="auto" w:sz="4" w:space="0"/>
              <w:right w:val="single" w:color="auto" w:sz="4" w:space="0"/>
            </w:tcBorders>
            <w:vAlign w:val="center"/>
          </w:tcPr>
          <w:p w14:paraId="52C3A00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分级</w:t>
            </w:r>
          </w:p>
        </w:tc>
        <w:tc>
          <w:tcPr>
            <w:tcW w:w="4263" w:type="pct"/>
            <w:tcBorders>
              <w:top w:val="single" w:color="auto" w:sz="4" w:space="0"/>
              <w:left w:val="single" w:color="auto" w:sz="4" w:space="0"/>
              <w:bottom w:val="single" w:color="auto" w:sz="4" w:space="0"/>
              <w:right w:val="single" w:color="auto" w:sz="4" w:space="0"/>
            </w:tcBorders>
            <w:vAlign w:val="center"/>
          </w:tcPr>
          <w:p w14:paraId="35DEAC1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包气带岩土的渗透性能</w:t>
            </w:r>
          </w:p>
        </w:tc>
      </w:tr>
      <w:tr w14:paraId="51243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pct"/>
            <w:tcBorders>
              <w:top w:val="single" w:color="auto" w:sz="4" w:space="0"/>
              <w:left w:val="single" w:color="auto" w:sz="4" w:space="0"/>
              <w:bottom w:val="single" w:color="auto" w:sz="4" w:space="0"/>
              <w:right w:val="single" w:color="auto" w:sz="4" w:space="0"/>
            </w:tcBorders>
            <w:vAlign w:val="center"/>
          </w:tcPr>
          <w:p w14:paraId="65547B9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D3</w:t>
            </w:r>
          </w:p>
        </w:tc>
        <w:tc>
          <w:tcPr>
            <w:tcW w:w="4263" w:type="pct"/>
            <w:tcBorders>
              <w:top w:val="single" w:color="auto" w:sz="4" w:space="0"/>
              <w:left w:val="single" w:color="auto" w:sz="4" w:space="0"/>
              <w:bottom w:val="single" w:color="auto" w:sz="4" w:space="0"/>
              <w:right w:val="single" w:color="auto" w:sz="4" w:space="0"/>
            </w:tcBorders>
            <w:vAlign w:val="center"/>
          </w:tcPr>
          <w:p w14:paraId="7515672E">
            <w:pPr>
              <w:adjustRightInd w:val="0"/>
              <w:snapToGrid w:val="0"/>
              <w:rPr>
                <w:rFonts w:ascii="Arial" w:hAnsi="Arial" w:eastAsia="宋体" w:cs="Arial"/>
                <w:spacing w:val="10"/>
                <w:sz w:val="21"/>
                <w:szCs w:val="21"/>
              </w:rPr>
            </w:pPr>
            <w:r>
              <w:rPr>
                <w:rFonts w:ascii="Arial" w:hAnsi="Arial" w:eastAsia="宋体" w:cs="Arial"/>
                <w:spacing w:val="10"/>
                <w:sz w:val="21"/>
                <w:szCs w:val="21"/>
              </w:rPr>
              <w:t>Mb≥1.0m，K≤1.0×10</w:t>
            </w:r>
            <w:r>
              <w:rPr>
                <w:rFonts w:ascii="Arial" w:hAnsi="Arial" w:eastAsia="宋体" w:cs="Arial"/>
                <w:spacing w:val="10"/>
                <w:sz w:val="21"/>
                <w:szCs w:val="21"/>
                <w:vertAlign w:val="superscript"/>
              </w:rPr>
              <w:t>-6</w:t>
            </w:r>
            <w:r>
              <w:rPr>
                <w:rFonts w:ascii="Arial" w:hAnsi="Arial" w:eastAsia="宋体" w:cs="Arial"/>
                <w:spacing w:val="10"/>
                <w:sz w:val="21"/>
                <w:szCs w:val="21"/>
              </w:rPr>
              <w:t>cm/s，且分布连续、稳定</w:t>
            </w:r>
          </w:p>
        </w:tc>
      </w:tr>
      <w:tr w14:paraId="6C1B2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pct"/>
            <w:tcBorders>
              <w:top w:val="single" w:color="auto" w:sz="4" w:space="0"/>
              <w:left w:val="single" w:color="auto" w:sz="4" w:space="0"/>
              <w:bottom w:val="single" w:color="auto" w:sz="4" w:space="0"/>
              <w:right w:val="single" w:color="auto" w:sz="4" w:space="0"/>
            </w:tcBorders>
            <w:vAlign w:val="center"/>
          </w:tcPr>
          <w:p w14:paraId="74C7E79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D2</w:t>
            </w:r>
          </w:p>
        </w:tc>
        <w:tc>
          <w:tcPr>
            <w:tcW w:w="4263" w:type="pct"/>
            <w:tcBorders>
              <w:top w:val="single" w:color="auto" w:sz="4" w:space="0"/>
              <w:left w:val="single" w:color="auto" w:sz="4" w:space="0"/>
              <w:bottom w:val="single" w:color="auto" w:sz="4" w:space="0"/>
              <w:right w:val="single" w:color="auto" w:sz="4" w:space="0"/>
            </w:tcBorders>
            <w:vAlign w:val="center"/>
          </w:tcPr>
          <w:p w14:paraId="340D8D70">
            <w:pPr>
              <w:adjustRightInd w:val="0"/>
              <w:snapToGrid w:val="0"/>
              <w:rPr>
                <w:rFonts w:ascii="Arial" w:hAnsi="Arial" w:eastAsia="宋体" w:cs="Arial"/>
                <w:spacing w:val="10"/>
                <w:sz w:val="21"/>
                <w:szCs w:val="21"/>
              </w:rPr>
            </w:pPr>
            <w:r>
              <w:rPr>
                <w:rFonts w:ascii="Arial" w:hAnsi="Arial" w:eastAsia="宋体" w:cs="Arial"/>
                <w:spacing w:val="10"/>
                <w:sz w:val="21"/>
                <w:szCs w:val="21"/>
              </w:rPr>
              <w:t>0.5m≤Mb＜1.0m，K≤1.0×10</w:t>
            </w:r>
            <w:r>
              <w:rPr>
                <w:rFonts w:ascii="Arial" w:hAnsi="Arial" w:eastAsia="宋体" w:cs="Arial"/>
                <w:spacing w:val="10"/>
                <w:sz w:val="21"/>
                <w:szCs w:val="21"/>
                <w:vertAlign w:val="superscript"/>
              </w:rPr>
              <w:t>-6</w:t>
            </w:r>
            <w:r>
              <w:rPr>
                <w:rFonts w:ascii="Arial" w:hAnsi="Arial" w:eastAsia="宋体" w:cs="Arial"/>
                <w:spacing w:val="10"/>
                <w:sz w:val="21"/>
                <w:szCs w:val="21"/>
              </w:rPr>
              <w:t>cm/s，且分布连续、稳定</w:t>
            </w:r>
          </w:p>
          <w:p w14:paraId="06F7D10A">
            <w:pPr>
              <w:adjustRightInd w:val="0"/>
              <w:snapToGrid w:val="0"/>
              <w:rPr>
                <w:rFonts w:ascii="Arial" w:hAnsi="Arial" w:eastAsia="宋体" w:cs="Arial"/>
                <w:spacing w:val="10"/>
                <w:sz w:val="21"/>
                <w:szCs w:val="21"/>
              </w:rPr>
            </w:pPr>
            <w:r>
              <w:rPr>
                <w:rFonts w:ascii="Arial" w:hAnsi="Arial" w:eastAsia="宋体" w:cs="Arial"/>
                <w:spacing w:val="10"/>
                <w:sz w:val="21"/>
                <w:szCs w:val="21"/>
              </w:rPr>
              <w:t>Mb≥1.0m，1.0×10</w:t>
            </w:r>
            <w:r>
              <w:rPr>
                <w:rFonts w:ascii="Arial" w:hAnsi="Arial" w:eastAsia="宋体" w:cs="Arial"/>
                <w:spacing w:val="10"/>
                <w:sz w:val="21"/>
                <w:szCs w:val="21"/>
                <w:vertAlign w:val="superscript"/>
              </w:rPr>
              <w:t>-6</w:t>
            </w:r>
            <w:r>
              <w:rPr>
                <w:rFonts w:ascii="Arial" w:hAnsi="Arial" w:eastAsia="宋体" w:cs="Arial"/>
                <w:spacing w:val="10"/>
                <w:sz w:val="21"/>
                <w:szCs w:val="21"/>
              </w:rPr>
              <w:t>cm/s＜K≤1.0×10</w:t>
            </w:r>
            <w:r>
              <w:rPr>
                <w:rFonts w:ascii="Arial" w:hAnsi="Arial" w:eastAsia="宋体" w:cs="Arial"/>
                <w:spacing w:val="10"/>
                <w:sz w:val="21"/>
                <w:szCs w:val="21"/>
                <w:vertAlign w:val="superscript"/>
              </w:rPr>
              <w:t>-4</w:t>
            </w:r>
            <w:r>
              <w:rPr>
                <w:rFonts w:ascii="Arial" w:hAnsi="Arial" w:eastAsia="宋体" w:cs="Arial"/>
                <w:spacing w:val="10"/>
                <w:sz w:val="21"/>
                <w:szCs w:val="21"/>
              </w:rPr>
              <w:t>cm/s，且分布连续、稳定</w:t>
            </w:r>
          </w:p>
        </w:tc>
      </w:tr>
      <w:tr w14:paraId="466EF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 w:type="pct"/>
            <w:tcBorders>
              <w:top w:val="single" w:color="auto" w:sz="4" w:space="0"/>
              <w:left w:val="single" w:color="auto" w:sz="4" w:space="0"/>
              <w:bottom w:val="single" w:color="auto" w:sz="4" w:space="0"/>
              <w:right w:val="single" w:color="auto" w:sz="4" w:space="0"/>
            </w:tcBorders>
            <w:vAlign w:val="center"/>
          </w:tcPr>
          <w:p w14:paraId="69B9AC2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D1</w:t>
            </w:r>
          </w:p>
        </w:tc>
        <w:tc>
          <w:tcPr>
            <w:tcW w:w="4263" w:type="pct"/>
            <w:tcBorders>
              <w:top w:val="single" w:color="auto" w:sz="4" w:space="0"/>
              <w:left w:val="single" w:color="auto" w:sz="4" w:space="0"/>
              <w:bottom w:val="single" w:color="auto" w:sz="4" w:space="0"/>
              <w:right w:val="single" w:color="auto" w:sz="4" w:space="0"/>
            </w:tcBorders>
            <w:vAlign w:val="center"/>
          </w:tcPr>
          <w:p w14:paraId="130F20ED">
            <w:pPr>
              <w:adjustRightInd w:val="0"/>
              <w:snapToGrid w:val="0"/>
              <w:rPr>
                <w:rFonts w:ascii="Arial" w:hAnsi="Arial" w:eastAsia="宋体" w:cs="Arial"/>
                <w:spacing w:val="10"/>
                <w:sz w:val="21"/>
                <w:szCs w:val="21"/>
              </w:rPr>
            </w:pPr>
            <w:r>
              <w:rPr>
                <w:rFonts w:ascii="Arial" w:hAnsi="Arial" w:eastAsia="宋体" w:cs="Arial"/>
                <w:spacing w:val="10"/>
                <w:sz w:val="21"/>
                <w:szCs w:val="21"/>
              </w:rPr>
              <w:t>岩（土）层不满足上述“D2”和“D3”条件</w:t>
            </w:r>
          </w:p>
        </w:tc>
      </w:tr>
      <w:tr w14:paraId="117B6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2"/>
            <w:tcBorders>
              <w:top w:val="single" w:color="auto" w:sz="4" w:space="0"/>
              <w:left w:val="single" w:color="auto" w:sz="4" w:space="0"/>
              <w:bottom w:val="single" w:color="auto" w:sz="4" w:space="0"/>
              <w:right w:val="single" w:color="auto" w:sz="4" w:space="0"/>
            </w:tcBorders>
            <w:vAlign w:val="center"/>
          </w:tcPr>
          <w:p w14:paraId="292527FA">
            <w:pPr>
              <w:adjustRightInd w:val="0"/>
              <w:snapToGrid w:val="0"/>
              <w:rPr>
                <w:rFonts w:ascii="Arial" w:hAnsi="Arial" w:eastAsia="宋体" w:cs="Arial"/>
                <w:spacing w:val="10"/>
                <w:sz w:val="21"/>
                <w:szCs w:val="21"/>
              </w:rPr>
            </w:pPr>
            <w:r>
              <w:rPr>
                <w:rFonts w:ascii="Arial" w:hAnsi="Arial" w:eastAsia="宋体" w:cs="Arial"/>
                <w:spacing w:val="10"/>
                <w:sz w:val="21"/>
                <w:szCs w:val="21"/>
              </w:rPr>
              <w:t>Mb：岩土层单层厚度；K：渗透系数。</w:t>
            </w:r>
          </w:p>
        </w:tc>
      </w:tr>
    </w:tbl>
    <w:p w14:paraId="45921E9D">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地下水环境敏感程度分级</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4"/>
        <w:gridCol w:w="2083"/>
        <w:gridCol w:w="2083"/>
        <w:gridCol w:w="2083"/>
      </w:tblGrid>
      <w:tr w14:paraId="31D07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pct"/>
            <w:vMerge w:val="restart"/>
            <w:tcBorders>
              <w:top w:val="single" w:color="auto" w:sz="4" w:space="0"/>
              <w:left w:val="single" w:color="auto" w:sz="4" w:space="0"/>
              <w:bottom w:val="single" w:color="auto" w:sz="4" w:space="0"/>
              <w:right w:val="single" w:color="auto" w:sz="4" w:space="0"/>
            </w:tcBorders>
            <w:vAlign w:val="center"/>
          </w:tcPr>
          <w:p w14:paraId="11AD538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包气带防污性能</w:t>
            </w:r>
          </w:p>
        </w:tc>
        <w:tc>
          <w:tcPr>
            <w:tcW w:w="3474" w:type="pct"/>
            <w:gridSpan w:val="3"/>
            <w:tcBorders>
              <w:top w:val="single" w:color="auto" w:sz="4" w:space="0"/>
              <w:left w:val="single" w:color="auto" w:sz="4" w:space="0"/>
              <w:bottom w:val="single" w:color="auto" w:sz="4" w:space="0"/>
              <w:right w:val="single" w:color="auto" w:sz="4" w:space="0"/>
            </w:tcBorders>
            <w:vAlign w:val="center"/>
          </w:tcPr>
          <w:p w14:paraId="416A9B3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地下水功能敏感性</w:t>
            </w:r>
          </w:p>
        </w:tc>
      </w:tr>
      <w:tr w14:paraId="23622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5EF903F">
            <w:pPr>
              <w:widowControl/>
              <w:jc w:val="left"/>
              <w:rPr>
                <w:rFonts w:ascii="Arial" w:hAnsi="Arial" w:eastAsia="宋体" w:cs="Arial"/>
                <w:spacing w:val="10"/>
                <w:sz w:val="21"/>
                <w:szCs w:val="21"/>
              </w:rPr>
            </w:pPr>
          </w:p>
        </w:tc>
        <w:tc>
          <w:tcPr>
            <w:tcW w:w="1158" w:type="pct"/>
            <w:tcBorders>
              <w:top w:val="single" w:color="auto" w:sz="4" w:space="0"/>
              <w:left w:val="single" w:color="auto" w:sz="4" w:space="0"/>
              <w:bottom w:val="single" w:color="auto" w:sz="4" w:space="0"/>
              <w:right w:val="single" w:color="auto" w:sz="4" w:space="0"/>
            </w:tcBorders>
            <w:vAlign w:val="center"/>
          </w:tcPr>
          <w:p w14:paraId="727D78E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G1</w:t>
            </w:r>
          </w:p>
        </w:tc>
        <w:tc>
          <w:tcPr>
            <w:tcW w:w="1158" w:type="pct"/>
            <w:tcBorders>
              <w:top w:val="single" w:color="auto" w:sz="4" w:space="0"/>
              <w:left w:val="single" w:color="auto" w:sz="4" w:space="0"/>
              <w:bottom w:val="single" w:color="auto" w:sz="4" w:space="0"/>
              <w:right w:val="single" w:color="auto" w:sz="4" w:space="0"/>
            </w:tcBorders>
            <w:vAlign w:val="center"/>
          </w:tcPr>
          <w:p w14:paraId="52953D9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G2</w:t>
            </w:r>
          </w:p>
        </w:tc>
        <w:tc>
          <w:tcPr>
            <w:tcW w:w="1158" w:type="pct"/>
            <w:tcBorders>
              <w:top w:val="single" w:color="auto" w:sz="4" w:space="0"/>
              <w:left w:val="single" w:color="auto" w:sz="4" w:space="0"/>
              <w:bottom w:val="single" w:color="auto" w:sz="4" w:space="0"/>
              <w:right w:val="single" w:color="auto" w:sz="4" w:space="0"/>
            </w:tcBorders>
            <w:vAlign w:val="center"/>
          </w:tcPr>
          <w:p w14:paraId="4267CE4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G3</w:t>
            </w:r>
          </w:p>
        </w:tc>
      </w:tr>
      <w:tr w14:paraId="49AEC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pct"/>
            <w:tcBorders>
              <w:top w:val="single" w:color="auto" w:sz="4" w:space="0"/>
              <w:left w:val="single" w:color="auto" w:sz="4" w:space="0"/>
              <w:bottom w:val="single" w:color="auto" w:sz="4" w:space="0"/>
              <w:right w:val="single" w:color="auto" w:sz="4" w:space="0"/>
            </w:tcBorders>
            <w:vAlign w:val="center"/>
          </w:tcPr>
          <w:p w14:paraId="074B750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D1</w:t>
            </w:r>
          </w:p>
        </w:tc>
        <w:tc>
          <w:tcPr>
            <w:tcW w:w="1158" w:type="pct"/>
            <w:tcBorders>
              <w:top w:val="single" w:color="auto" w:sz="4" w:space="0"/>
              <w:left w:val="single" w:color="auto" w:sz="4" w:space="0"/>
              <w:bottom w:val="single" w:color="auto" w:sz="4" w:space="0"/>
              <w:right w:val="single" w:color="auto" w:sz="4" w:space="0"/>
            </w:tcBorders>
            <w:vAlign w:val="center"/>
          </w:tcPr>
          <w:p w14:paraId="74D53C9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1158" w:type="pct"/>
            <w:tcBorders>
              <w:top w:val="single" w:color="auto" w:sz="4" w:space="0"/>
              <w:left w:val="single" w:color="auto" w:sz="4" w:space="0"/>
              <w:bottom w:val="single" w:color="auto" w:sz="4" w:space="0"/>
              <w:right w:val="single" w:color="auto" w:sz="4" w:space="0"/>
            </w:tcBorders>
            <w:vAlign w:val="center"/>
          </w:tcPr>
          <w:p w14:paraId="3382961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1158" w:type="pct"/>
            <w:tcBorders>
              <w:top w:val="single" w:color="auto" w:sz="4" w:space="0"/>
              <w:left w:val="single" w:color="auto" w:sz="4" w:space="0"/>
              <w:bottom w:val="single" w:color="auto" w:sz="4" w:space="0"/>
              <w:right w:val="single" w:color="auto" w:sz="4" w:space="0"/>
            </w:tcBorders>
            <w:vAlign w:val="center"/>
          </w:tcPr>
          <w:p w14:paraId="33C5E35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r>
      <w:tr w14:paraId="6A708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pct"/>
            <w:tcBorders>
              <w:top w:val="single" w:color="auto" w:sz="4" w:space="0"/>
              <w:left w:val="single" w:color="auto" w:sz="4" w:space="0"/>
              <w:bottom w:val="single" w:color="auto" w:sz="4" w:space="0"/>
              <w:right w:val="single" w:color="auto" w:sz="4" w:space="0"/>
            </w:tcBorders>
            <w:vAlign w:val="center"/>
          </w:tcPr>
          <w:p w14:paraId="51EC2DE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D2</w:t>
            </w:r>
          </w:p>
        </w:tc>
        <w:tc>
          <w:tcPr>
            <w:tcW w:w="1158" w:type="pct"/>
            <w:tcBorders>
              <w:top w:val="single" w:color="auto" w:sz="4" w:space="0"/>
              <w:left w:val="single" w:color="auto" w:sz="4" w:space="0"/>
              <w:bottom w:val="single" w:color="auto" w:sz="4" w:space="0"/>
              <w:right w:val="single" w:color="auto" w:sz="4" w:space="0"/>
            </w:tcBorders>
            <w:vAlign w:val="center"/>
          </w:tcPr>
          <w:p w14:paraId="6CA9B75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E1</w:t>
            </w:r>
          </w:p>
        </w:tc>
        <w:tc>
          <w:tcPr>
            <w:tcW w:w="1158" w:type="pct"/>
            <w:tcBorders>
              <w:top w:val="single" w:color="auto" w:sz="4" w:space="0"/>
              <w:left w:val="single" w:color="auto" w:sz="4" w:space="0"/>
              <w:bottom w:val="single" w:color="auto" w:sz="4" w:space="0"/>
              <w:right w:val="single" w:color="auto" w:sz="4" w:space="0"/>
            </w:tcBorders>
            <w:vAlign w:val="center"/>
          </w:tcPr>
          <w:p w14:paraId="45EBFFF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c>
          <w:tcPr>
            <w:tcW w:w="1158" w:type="pct"/>
            <w:tcBorders>
              <w:top w:val="single" w:color="auto" w:sz="4" w:space="0"/>
              <w:left w:val="single" w:color="auto" w:sz="4" w:space="0"/>
              <w:bottom w:val="single" w:color="auto" w:sz="4" w:space="0"/>
              <w:right w:val="single" w:color="auto" w:sz="4" w:space="0"/>
            </w:tcBorders>
            <w:vAlign w:val="center"/>
          </w:tcPr>
          <w:p w14:paraId="09C8765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r>
      <w:tr w14:paraId="56801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pct"/>
            <w:tcBorders>
              <w:top w:val="single" w:color="auto" w:sz="4" w:space="0"/>
              <w:left w:val="single" w:color="auto" w:sz="4" w:space="0"/>
              <w:bottom w:val="single" w:color="auto" w:sz="4" w:space="0"/>
              <w:right w:val="single" w:color="auto" w:sz="4" w:space="0"/>
            </w:tcBorders>
            <w:vAlign w:val="center"/>
          </w:tcPr>
          <w:p w14:paraId="7A7F02E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D3</w:t>
            </w:r>
          </w:p>
        </w:tc>
        <w:tc>
          <w:tcPr>
            <w:tcW w:w="1158" w:type="pct"/>
            <w:tcBorders>
              <w:top w:val="single" w:color="auto" w:sz="4" w:space="0"/>
              <w:left w:val="single" w:color="auto" w:sz="4" w:space="0"/>
              <w:bottom w:val="single" w:color="auto" w:sz="4" w:space="0"/>
              <w:right w:val="single" w:color="auto" w:sz="4" w:space="0"/>
            </w:tcBorders>
            <w:vAlign w:val="center"/>
          </w:tcPr>
          <w:p w14:paraId="759E678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E2</w:t>
            </w:r>
          </w:p>
        </w:tc>
        <w:tc>
          <w:tcPr>
            <w:tcW w:w="1158" w:type="pct"/>
            <w:tcBorders>
              <w:top w:val="single" w:color="auto" w:sz="4" w:space="0"/>
              <w:left w:val="single" w:color="auto" w:sz="4" w:space="0"/>
              <w:bottom w:val="single" w:color="auto" w:sz="4" w:space="0"/>
              <w:right w:val="single" w:color="auto" w:sz="4" w:space="0"/>
            </w:tcBorders>
            <w:vAlign w:val="center"/>
          </w:tcPr>
          <w:p w14:paraId="58F66E3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c>
          <w:tcPr>
            <w:tcW w:w="1158" w:type="pct"/>
            <w:tcBorders>
              <w:top w:val="single" w:color="auto" w:sz="4" w:space="0"/>
              <w:left w:val="single" w:color="auto" w:sz="4" w:space="0"/>
              <w:bottom w:val="single" w:color="auto" w:sz="4" w:space="0"/>
              <w:right w:val="single" w:color="auto" w:sz="4" w:space="0"/>
            </w:tcBorders>
            <w:vAlign w:val="center"/>
          </w:tcPr>
          <w:p w14:paraId="00EE716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E3</w:t>
            </w:r>
          </w:p>
        </w:tc>
      </w:tr>
    </w:tbl>
    <w:p w14:paraId="0A18C50F">
      <w:pPr>
        <w:adjustRightInd w:val="0"/>
        <w:snapToGrid w:val="0"/>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项目周边无集中式饮用水水源地保护区及特殊地下水保护区，场地周边村民饮用水主要为自来水，地下水环境敏感特征为不敏感（G3）；根据调查，本项目包气带岩土的渗透系数K为6.34×10</w:t>
      </w:r>
      <w:r>
        <w:rPr>
          <w:rFonts w:ascii="Arial" w:hAnsi="Arial" w:eastAsia="宋体" w:cs="Arial"/>
          <w:spacing w:val="10"/>
          <w:sz w:val="24"/>
          <w:vertAlign w:val="superscript"/>
        </w:rPr>
        <w:t>-3</w:t>
      </w:r>
      <w:r>
        <w:rPr>
          <w:rFonts w:ascii="Arial" w:hAnsi="Arial" w:eastAsia="宋体" w:cs="Arial"/>
          <w:spacing w:val="10"/>
          <w:sz w:val="24"/>
        </w:rPr>
        <w:t>cm/s，包气带防污性能为D1。因此，项目地下水敏感程度分级为E2。</w:t>
      </w:r>
    </w:p>
    <w:p w14:paraId="734C74C9">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环境风险潜势判定</w:t>
      </w:r>
    </w:p>
    <w:p w14:paraId="572946E4">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项目环境风险潜势划分</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8"/>
        <w:gridCol w:w="1691"/>
        <w:gridCol w:w="1691"/>
        <w:gridCol w:w="1691"/>
        <w:gridCol w:w="1692"/>
      </w:tblGrid>
      <w:tr w14:paraId="7C166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vMerge w:val="restart"/>
            <w:tcBorders>
              <w:top w:val="single" w:color="auto" w:sz="4" w:space="0"/>
              <w:left w:val="single" w:color="auto" w:sz="4" w:space="0"/>
              <w:bottom w:val="single" w:color="auto" w:sz="4" w:space="0"/>
              <w:right w:val="single" w:color="auto" w:sz="4" w:space="0"/>
            </w:tcBorders>
            <w:vAlign w:val="center"/>
          </w:tcPr>
          <w:p w14:paraId="65918D0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环境敏感程度（E）</w:t>
            </w:r>
          </w:p>
        </w:tc>
        <w:tc>
          <w:tcPr>
            <w:tcW w:w="6765" w:type="dxa"/>
            <w:gridSpan w:val="4"/>
            <w:tcBorders>
              <w:top w:val="single" w:color="auto" w:sz="4" w:space="0"/>
              <w:left w:val="single" w:color="auto" w:sz="4" w:space="0"/>
              <w:bottom w:val="single" w:color="auto" w:sz="4" w:space="0"/>
              <w:right w:val="single" w:color="auto" w:sz="4" w:space="0"/>
            </w:tcBorders>
            <w:vAlign w:val="center"/>
          </w:tcPr>
          <w:p w14:paraId="1BDCAE4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危险物质及工艺系统危险性（P）</w:t>
            </w:r>
          </w:p>
        </w:tc>
      </w:tr>
      <w:tr w14:paraId="19732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93" w:type="dxa"/>
            <w:vMerge w:val="continue"/>
            <w:tcBorders>
              <w:top w:val="single" w:color="auto" w:sz="4" w:space="0"/>
              <w:left w:val="single" w:color="auto" w:sz="4" w:space="0"/>
              <w:bottom w:val="single" w:color="auto" w:sz="4" w:space="0"/>
              <w:right w:val="single" w:color="auto" w:sz="4" w:space="0"/>
            </w:tcBorders>
            <w:vAlign w:val="center"/>
          </w:tcPr>
          <w:p w14:paraId="03795851">
            <w:pPr>
              <w:widowControl/>
              <w:jc w:val="left"/>
              <w:rPr>
                <w:rFonts w:ascii="Arial" w:hAnsi="Arial" w:eastAsia="宋体" w:cs="Arial"/>
                <w:spacing w:val="10"/>
                <w:sz w:val="21"/>
                <w:szCs w:val="21"/>
              </w:rPr>
            </w:pPr>
          </w:p>
        </w:tc>
        <w:tc>
          <w:tcPr>
            <w:tcW w:w="1691" w:type="dxa"/>
            <w:tcBorders>
              <w:top w:val="single" w:color="auto" w:sz="4" w:space="0"/>
              <w:left w:val="single" w:color="auto" w:sz="4" w:space="0"/>
              <w:bottom w:val="single" w:color="auto" w:sz="4" w:space="0"/>
              <w:right w:val="single" w:color="auto" w:sz="4" w:space="0"/>
            </w:tcBorders>
            <w:vAlign w:val="center"/>
          </w:tcPr>
          <w:p w14:paraId="613DDB3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极高危害（P1）</w:t>
            </w:r>
          </w:p>
        </w:tc>
        <w:tc>
          <w:tcPr>
            <w:tcW w:w="1691" w:type="dxa"/>
            <w:tcBorders>
              <w:top w:val="single" w:color="auto" w:sz="4" w:space="0"/>
              <w:left w:val="single" w:color="auto" w:sz="4" w:space="0"/>
              <w:bottom w:val="single" w:color="auto" w:sz="4" w:space="0"/>
              <w:right w:val="single" w:color="auto" w:sz="4" w:space="0"/>
            </w:tcBorders>
            <w:vAlign w:val="center"/>
          </w:tcPr>
          <w:p w14:paraId="1D0EB06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高度危害（P2）</w:t>
            </w:r>
          </w:p>
        </w:tc>
        <w:tc>
          <w:tcPr>
            <w:tcW w:w="1691" w:type="dxa"/>
            <w:tcBorders>
              <w:top w:val="single" w:color="auto" w:sz="4" w:space="0"/>
              <w:left w:val="single" w:color="auto" w:sz="4" w:space="0"/>
              <w:bottom w:val="single" w:color="auto" w:sz="4" w:space="0"/>
              <w:right w:val="single" w:color="auto" w:sz="4" w:space="0"/>
            </w:tcBorders>
            <w:vAlign w:val="center"/>
          </w:tcPr>
          <w:p w14:paraId="5791615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中度危害（P3）</w:t>
            </w:r>
          </w:p>
        </w:tc>
        <w:tc>
          <w:tcPr>
            <w:tcW w:w="1692" w:type="dxa"/>
            <w:tcBorders>
              <w:top w:val="single" w:color="auto" w:sz="4" w:space="0"/>
              <w:left w:val="single" w:color="auto" w:sz="4" w:space="0"/>
              <w:bottom w:val="single" w:color="auto" w:sz="4" w:space="0"/>
              <w:right w:val="single" w:color="auto" w:sz="4" w:space="0"/>
            </w:tcBorders>
            <w:vAlign w:val="center"/>
          </w:tcPr>
          <w:p w14:paraId="7F4F1F5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轻度危害（P4）</w:t>
            </w:r>
          </w:p>
        </w:tc>
      </w:tr>
      <w:tr w14:paraId="506E5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14:paraId="710B019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环境高度敏感区（E1）</w:t>
            </w:r>
          </w:p>
        </w:tc>
        <w:tc>
          <w:tcPr>
            <w:tcW w:w="1691" w:type="dxa"/>
            <w:tcBorders>
              <w:top w:val="single" w:color="auto" w:sz="4" w:space="0"/>
              <w:left w:val="single" w:color="auto" w:sz="4" w:space="0"/>
              <w:bottom w:val="single" w:color="auto" w:sz="4" w:space="0"/>
              <w:right w:val="single" w:color="auto" w:sz="4" w:space="0"/>
            </w:tcBorders>
            <w:vAlign w:val="center"/>
          </w:tcPr>
          <w:p w14:paraId="4E48E601">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p>
        </w:tc>
        <w:tc>
          <w:tcPr>
            <w:tcW w:w="1691" w:type="dxa"/>
            <w:tcBorders>
              <w:top w:val="single" w:color="auto" w:sz="4" w:space="0"/>
              <w:left w:val="single" w:color="auto" w:sz="4" w:space="0"/>
              <w:bottom w:val="single" w:color="auto" w:sz="4" w:space="0"/>
              <w:right w:val="single" w:color="auto" w:sz="4" w:space="0"/>
            </w:tcBorders>
            <w:vAlign w:val="center"/>
          </w:tcPr>
          <w:p w14:paraId="5DACA0C8">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p>
        </w:tc>
        <w:tc>
          <w:tcPr>
            <w:tcW w:w="1691" w:type="dxa"/>
            <w:tcBorders>
              <w:top w:val="single" w:color="auto" w:sz="4" w:space="0"/>
              <w:left w:val="single" w:color="auto" w:sz="4" w:space="0"/>
              <w:bottom w:val="single" w:color="auto" w:sz="4" w:space="0"/>
              <w:right w:val="single" w:color="auto" w:sz="4" w:space="0"/>
            </w:tcBorders>
            <w:vAlign w:val="center"/>
          </w:tcPr>
          <w:p w14:paraId="42A1127D">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2" w:type="dxa"/>
            <w:tcBorders>
              <w:top w:val="single" w:color="auto" w:sz="4" w:space="0"/>
              <w:left w:val="single" w:color="auto" w:sz="4" w:space="0"/>
              <w:bottom w:val="single" w:color="auto" w:sz="4" w:space="0"/>
              <w:right w:val="single" w:color="auto" w:sz="4" w:space="0"/>
            </w:tcBorders>
            <w:vAlign w:val="center"/>
          </w:tcPr>
          <w:p w14:paraId="384F2C96">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r>
      <w:tr w14:paraId="73F8B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14:paraId="33BBF6A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环境中度敏感区（E2）</w:t>
            </w:r>
          </w:p>
        </w:tc>
        <w:tc>
          <w:tcPr>
            <w:tcW w:w="1691" w:type="dxa"/>
            <w:tcBorders>
              <w:top w:val="single" w:color="auto" w:sz="4" w:space="0"/>
              <w:left w:val="single" w:color="auto" w:sz="4" w:space="0"/>
              <w:bottom w:val="single" w:color="auto" w:sz="4" w:space="0"/>
              <w:right w:val="single" w:color="auto" w:sz="4" w:space="0"/>
            </w:tcBorders>
            <w:vAlign w:val="center"/>
          </w:tcPr>
          <w:p w14:paraId="4CF29BF1">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p>
        </w:tc>
        <w:tc>
          <w:tcPr>
            <w:tcW w:w="1691" w:type="dxa"/>
            <w:tcBorders>
              <w:top w:val="single" w:color="auto" w:sz="4" w:space="0"/>
              <w:left w:val="single" w:color="auto" w:sz="4" w:space="0"/>
              <w:bottom w:val="single" w:color="auto" w:sz="4" w:space="0"/>
              <w:right w:val="single" w:color="auto" w:sz="4" w:space="0"/>
            </w:tcBorders>
            <w:vAlign w:val="center"/>
          </w:tcPr>
          <w:p w14:paraId="125551A2">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14:paraId="6E296899">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2" w:type="dxa"/>
            <w:tcBorders>
              <w:top w:val="single" w:color="auto" w:sz="4" w:space="0"/>
              <w:left w:val="single" w:color="auto" w:sz="4" w:space="0"/>
              <w:bottom w:val="single" w:color="auto" w:sz="4" w:space="0"/>
              <w:right w:val="single" w:color="auto" w:sz="4" w:space="0"/>
            </w:tcBorders>
            <w:vAlign w:val="center"/>
          </w:tcPr>
          <w:p w14:paraId="459EB0FD">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r>
      <w:tr w14:paraId="63F95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14:paraId="2806138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环境低度敏感区（E3）</w:t>
            </w:r>
          </w:p>
        </w:tc>
        <w:tc>
          <w:tcPr>
            <w:tcW w:w="1691" w:type="dxa"/>
            <w:tcBorders>
              <w:top w:val="single" w:color="auto" w:sz="4" w:space="0"/>
              <w:left w:val="single" w:color="auto" w:sz="4" w:space="0"/>
              <w:bottom w:val="single" w:color="auto" w:sz="4" w:space="0"/>
              <w:right w:val="single" w:color="auto" w:sz="4" w:space="0"/>
            </w:tcBorders>
            <w:vAlign w:val="center"/>
          </w:tcPr>
          <w:p w14:paraId="0C292D98">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14:paraId="22C6CF20">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14:paraId="4004CD3A">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c>
          <w:tcPr>
            <w:tcW w:w="1692" w:type="dxa"/>
            <w:tcBorders>
              <w:top w:val="single" w:color="auto" w:sz="4" w:space="0"/>
              <w:left w:val="single" w:color="auto" w:sz="4" w:space="0"/>
              <w:bottom w:val="single" w:color="auto" w:sz="4" w:space="0"/>
              <w:right w:val="single" w:color="auto" w:sz="4" w:space="0"/>
            </w:tcBorders>
            <w:vAlign w:val="center"/>
          </w:tcPr>
          <w:p w14:paraId="1341F24E">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Ⅰ</w:t>
            </w:r>
          </w:p>
        </w:tc>
      </w:tr>
      <w:tr w14:paraId="6782B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93" w:type="dxa"/>
            <w:gridSpan w:val="5"/>
            <w:tcBorders>
              <w:top w:val="single" w:color="auto" w:sz="4" w:space="0"/>
              <w:left w:val="single" w:color="auto" w:sz="4" w:space="0"/>
              <w:bottom w:val="single" w:color="auto" w:sz="4" w:space="0"/>
              <w:right w:val="single" w:color="auto" w:sz="4" w:space="0"/>
            </w:tcBorders>
            <w:vAlign w:val="center"/>
          </w:tcPr>
          <w:p w14:paraId="6EC06F8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注：</w:t>
            </w: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r>
              <w:rPr>
                <w:rFonts w:ascii="Arial" w:hAnsi="Arial" w:eastAsia="宋体" w:cs="Arial"/>
                <w:spacing w:val="10"/>
                <w:sz w:val="21"/>
                <w:szCs w:val="21"/>
              </w:rPr>
              <w:t>为极高环境风险。</w:t>
            </w:r>
          </w:p>
        </w:tc>
      </w:tr>
    </w:tbl>
    <w:p w14:paraId="1CC68B49">
      <w:pPr>
        <w:spacing w:line="500" w:lineRule="exact"/>
        <w:ind w:firstLine="490" w:firstLineChars="200"/>
        <w:jc w:val="left"/>
        <w:rPr>
          <w:rFonts w:ascii="Arial" w:hAnsi="Arial" w:eastAsia="宋体" w:cs="Arial"/>
          <w:spacing w:val="10"/>
          <w:sz w:val="24"/>
          <w:szCs w:val="24"/>
        </w:rPr>
      </w:pPr>
      <w:r>
        <w:rPr>
          <w:rFonts w:ascii="Arial" w:hAnsi="Arial" w:eastAsia="宋体" w:cs="Arial"/>
          <w:spacing w:val="10"/>
          <w:sz w:val="24"/>
          <w:szCs w:val="24"/>
        </w:rPr>
        <w:t>根据对项目涉及的物质和工艺系统的危险性及其所在地的环境敏感程度分析，对照环境风险潜势划分，</w:t>
      </w:r>
      <w:r>
        <w:rPr>
          <w:rFonts w:ascii="Arial" w:hAnsi="Arial" w:eastAsia="宋体" w:cs="Arial"/>
          <w:spacing w:val="10"/>
          <w:sz w:val="24"/>
          <w:szCs w:val="24"/>
          <w:u w:val="single"/>
        </w:rPr>
        <w:t>将项目大气、地表水及地下水环境风险潜势分别判定为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级。因此，项目环境风险潜势综合等级为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u w:val="single"/>
        </w:rPr>
        <w:t>级。</w:t>
      </w:r>
    </w:p>
    <w:p w14:paraId="07DA2493">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评价工作等级和评价范围</w:t>
      </w:r>
    </w:p>
    <w:p w14:paraId="56B9BF97">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评价工作等级划分</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8"/>
        <w:gridCol w:w="1691"/>
        <w:gridCol w:w="1691"/>
        <w:gridCol w:w="1691"/>
        <w:gridCol w:w="1692"/>
      </w:tblGrid>
      <w:tr w14:paraId="4E6AE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14:paraId="2EF7F9C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环境风险潜势</w:t>
            </w:r>
          </w:p>
        </w:tc>
        <w:tc>
          <w:tcPr>
            <w:tcW w:w="1691" w:type="dxa"/>
            <w:tcBorders>
              <w:top w:val="single" w:color="auto" w:sz="4" w:space="0"/>
              <w:left w:val="single" w:color="auto" w:sz="4" w:space="0"/>
              <w:bottom w:val="single" w:color="auto" w:sz="4" w:space="0"/>
              <w:right w:val="single" w:color="auto" w:sz="4" w:space="0"/>
            </w:tcBorders>
            <w:vAlign w:val="center"/>
          </w:tcPr>
          <w:p w14:paraId="7A36B6D6">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Ⅳ</w:t>
            </w:r>
            <w:r>
              <w:rPr>
                <w:rFonts w:ascii="Arial" w:hAnsi="Arial" w:eastAsia="宋体" w:cs="Arial"/>
                <w:spacing w:val="10"/>
                <w:sz w:val="21"/>
                <w:szCs w:val="21"/>
              </w:rPr>
              <w:t>、</w:t>
            </w:r>
            <w:r>
              <w:rPr>
                <w:rFonts w:hint="eastAsia" w:ascii="宋体" w:hAnsi="宋体" w:eastAsia="宋体" w:cs="宋体"/>
                <w:spacing w:val="10"/>
                <w:sz w:val="21"/>
                <w:szCs w:val="21"/>
              </w:rPr>
              <w:t>Ⅳ</w:t>
            </w:r>
            <w:r>
              <w:rPr>
                <w:rFonts w:ascii="Arial" w:hAnsi="Arial" w:eastAsia="宋体" w:cs="Arial"/>
                <w:spacing w:val="10"/>
                <w:sz w:val="21"/>
                <w:szCs w:val="21"/>
                <w:vertAlign w:val="superscript"/>
              </w:rPr>
              <w:t>+</w:t>
            </w:r>
          </w:p>
        </w:tc>
        <w:tc>
          <w:tcPr>
            <w:tcW w:w="1691" w:type="dxa"/>
            <w:tcBorders>
              <w:top w:val="single" w:color="auto" w:sz="4" w:space="0"/>
              <w:left w:val="single" w:color="auto" w:sz="4" w:space="0"/>
              <w:bottom w:val="single" w:color="auto" w:sz="4" w:space="0"/>
              <w:right w:val="single" w:color="auto" w:sz="4" w:space="0"/>
            </w:tcBorders>
            <w:vAlign w:val="center"/>
          </w:tcPr>
          <w:p w14:paraId="201124A2">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Ⅲ</w:t>
            </w:r>
          </w:p>
        </w:tc>
        <w:tc>
          <w:tcPr>
            <w:tcW w:w="1691" w:type="dxa"/>
            <w:tcBorders>
              <w:top w:val="single" w:color="auto" w:sz="4" w:space="0"/>
              <w:left w:val="single" w:color="auto" w:sz="4" w:space="0"/>
              <w:bottom w:val="single" w:color="auto" w:sz="4" w:space="0"/>
              <w:right w:val="single" w:color="auto" w:sz="4" w:space="0"/>
            </w:tcBorders>
            <w:vAlign w:val="center"/>
          </w:tcPr>
          <w:p w14:paraId="4CB71C1D">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Ⅱ</w:t>
            </w:r>
          </w:p>
        </w:tc>
        <w:tc>
          <w:tcPr>
            <w:tcW w:w="1692" w:type="dxa"/>
            <w:tcBorders>
              <w:top w:val="single" w:color="auto" w:sz="4" w:space="0"/>
              <w:left w:val="single" w:color="auto" w:sz="4" w:space="0"/>
              <w:bottom w:val="single" w:color="auto" w:sz="4" w:space="0"/>
              <w:right w:val="single" w:color="auto" w:sz="4" w:space="0"/>
            </w:tcBorders>
            <w:vAlign w:val="center"/>
          </w:tcPr>
          <w:p w14:paraId="27BE6665">
            <w:pPr>
              <w:adjustRightInd w:val="0"/>
              <w:snapToGrid w:val="0"/>
              <w:jc w:val="center"/>
              <w:rPr>
                <w:rFonts w:ascii="Arial" w:hAnsi="Arial" w:eastAsia="宋体" w:cs="Arial"/>
                <w:spacing w:val="10"/>
                <w:sz w:val="21"/>
                <w:szCs w:val="21"/>
              </w:rPr>
            </w:pPr>
            <w:r>
              <w:rPr>
                <w:rFonts w:hint="eastAsia" w:ascii="宋体" w:hAnsi="宋体" w:eastAsia="宋体" w:cs="宋体"/>
                <w:spacing w:val="10"/>
                <w:sz w:val="21"/>
                <w:szCs w:val="21"/>
              </w:rPr>
              <w:t>Ⅰ</w:t>
            </w:r>
          </w:p>
        </w:tc>
      </w:tr>
      <w:tr w14:paraId="5041C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28" w:type="dxa"/>
            <w:tcBorders>
              <w:top w:val="single" w:color="auto" w:sz="4" w:space="0"/>
              <w:left w:val="single" w:color="auto" w:sz="4" w:space="0"/>
              <w:bottom w:val="single" w:color="auto" w:sz="4" w:space="0"/>
              <w:right w:val="single" w:color="auto" w:sz="4" w:space="0"/>
            </w:tcBorders>
            <w:vAlign w:val="center"/>
          </w:tcPr>
          <w:p w14:paraId="7707C88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评价工作等级</w:t>
            </w:r>
          </w:p>
        </w:tc>
        <w:tc>
          <w:tcPr>
            <w:tcW w:w="1691" w:type="dxa"/>
            <w:tcBorders>
              <w:top w:val="single" w:color="auto" w:sz="4" w:space="0"/>
              <w:left w:val="single" w:color="auto" w:sz="4" w:space="0"/>
              <w:bottom w:val="single" w:color="auto" w:sz="4" w:space="0"/>
              <w:right w:val="single" w:color="auto" w:sz="4" w:space="0"/>
            </w:tcBorders>
            <w:vAlign w:val="center"/>
          </w:tcPr>
          <w:p w14:paraId="00A5992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一</w:t>
            </w:r>
          </w:p>
        </w:tc>
        <w:tc>
          <w:tcPr>
            <w:tcW w:w="1691" w:type="dxa"/>
            <w:tcBorders>
              <w:top w:val="single" w:color="auto" w:sz="4" w:space="0"/>
              <w:left w:val="single" w:color="auto" w:sz="4" w:space="0"/>
              <w:bottom w:val="single" w:color="auto" w:sz="4" w:space="0"/>
              <w:right w:val="single" w:color="auto" w:sz="4" w:space="0"/>
            </w:tcBorders>
            <w:vAlign w:val="center"/>
          </w:tcPr>
          <w:p w14:paraId="6BF1FFA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二</w:t>
            </w:r>
          </w:p>
        </w:tc>
        <w:tc>
          <w:tcPr>
            <w:tcW w:w="1691" w:type="dxa"/>
            <w:tcBorders>
              <w:top w:val="single" w:color="auto" w:sz="4" w:space="0"/>
              <w:left w:val="single" w:color="auto" w:sz="4" w:space="0"/>
              <w:bottom w:val="single" w:color="auto" w:sz="4" w:space="0"/>
              <w:right w:val="single" w:color="auto" w:sz="4" w:space="0"/>
            </w:tcBorders>
            <w:vAlign w:val="center"/>
          </w:tcPr>
          <w:p w14:paraId="3DE8AAB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w:t>
            </w:r>
          </w:p>
        </w:tc>
        <w:tc>
          <w:tcPr>
            <w:tcW w:w="1692" w:type="dxa"/>
            <w:tcBorders>
              <w:top w:val="single" w:color="auto" w:sz="4" w:space="0"/>
              <w:left w:val="single" w:color="auto" w:sz="4" w:space="0"/>
              <w:bottom w:val="single" w:color="auto" w:sz="4" w:space="0"/>
              <w:right w:val="single" w:color="auto" w:sz="4" w:space="0"/>
            </w:tcBorders>
            <w:vAlign w:val="center"/>
          </w:tcPr>
          <w:p w14:paraId="21EB0594">
            <w:pPr>
              <w:adjustRightInd w:val="0"/>
              <w:snapToGrid w:val="0"/>
              <w:jc w:val="center"/>
              <w:rPr>
                <w:rFonts w:ascii="Arial" w:hAnsi="Arial" w:eastAsia="宋体" w:cs="Arial"/>
                <w:spacing w:val="10"/>
                <w:sz w:val="21"/>
                <w:szCs w:val="21"/>
                <w:vertAlign w:val="superscript"/>
              </w:rPr>
            </w:pPr>
            <w:r>
              <w:rPr>
                <w:rFonts w:ascii="Arial" w:hAnsi="Arial" w:eastAsia="宋体" w:cs="Arial"/>
                <w:spacing w:val="10"/>
                <w:sz w:val="21"/>
                <w:szCs w:val="21"/>
              </w:rPr>
              <w:t>简单分析</w:t>
            </w:r>
            <w:r>
              <w:rPr>
                <w:rFonts w:ascii="Arial" w:hAnsi="Arial" w:eastAsia="宋体" w:cs="Arial"/>
                <w:spacing w:val="10"/>
                <w:sz w:val="21"/>
                <w:szCs w:val="21"/>
                <w:vertAlign w:val="superscript"/>
              </w:rPr>
              <w:t>a</w:t>
            </w:r>
          </w:p>
        </w:tc>
      </w:tr>
      <w:tr w14:paraId="15686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93" w:type="dxa"/>
            <w:gridSpan w:val="5"/>
            <w:tcBorders>
              <w:top w:val="single" w:color="auto" w:sz="4" w:space="0"/>
              <w:left w:val="single" w:color="auto" w:sz="4" w:space="0"/>
              <w:bottom w:val="single" w:color="auto" w:sz="4" w:space="0"/>
              <w:right w:val="single" w:color="auto" w:sz="4" w:space="0"/>
            </w:tcBorders>
            <w:vAlign w:val="center"/>
          </w:tcPr>
          <w:p w14:paraId="0795B5B4">
            <w:pPr>
              <w:adjustRightInd w:val="0"/>
              <w:snapToGrid w:val="0"/>
              <w:rPr>
                <w:rFonts w:ascii="Arial" w:hAnsi="Arial" w:eastAsia="宋体" w:cs="Arial"/>
                <w:spacing w:val="10"/>
                <w:sz w:val="21"/>
                <w:szCs w:val="21"/>
              </w:rPr>
            </w:pPr>
            <w:r>
              <w:rPr>
                <w:rFonts w:ascii="Arial" w:hAnsi="Arial" w:eastAsia="宋体" w:cs="Arial"/>
                <w:spacing w:val="10"/>
                <w:sz w:val="21"/>
                <w:szCs w:val="21"/>
              </w:rPr>
              <w:t>a：是相对详细评价工作内容而言，在描述危险物质、环境影响途径、环境危害后果、风险防范措施等方面给出定性的说明。见附录A。</w:t>
            </w:r>
          </w:p>
        </w:tc>
      </w:tr>
    </w:tbl>
    <w:p w14:paraId="6099A2D9">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项目环境风险潜势综合等级为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u w:val="single"/>
        </w:rPr>
        <w:t>级</w:t>
      </w:r>
      <w:r>
        <w:rPr>
          <w:rFonts w:ascii="Arial" w:hAnsi="Arial" w:eastAsia="宋体" w:cs="Arial"/>
          <w:spacing w:val="10"/>
          <w:sz w:val="24"/>
        </w:rPr>
        <w:t>，根据上表可知项目风险评价工作等级定为一级。</w:t>
      </w:r>
    </w:p>
    <w:p w14:paraId="010940B1">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u w:val="single"/>
        </w:rPr>
        <w:t>项目大气、地表水及地下水环境风险潜势</w:t>
      </w:r>
      <w:r>
        <w:rPr>
          <w:rFonts w:ascii="Arial" w:hAnsi="Arial" w:eastAsia="宋体" w:cs="Arial"/>
          <w:spacing w:val="10"/>
          <w:sz w:val="24"/>
          <w:szCs w:val="24"/>
          <w:u w:val="single"/>
        </w:rPr>
        <w:t>分别为</w:t>
      </w:r>
      <w:r>
        <w:rPr>
          <w:rFonts w:hint="eastAsia" w:ascii="宋体" w:hAnsi="宋体" w:eastAsia="宋体" w:cs="宋体"/>
          <w:spacing w:val="10"/>
          <w:sz w:val="24"/>
          <w:szCs w:val="24"/>
          <w:u w:val="single"/>
        </w:rPr>
        <w:t>Ⅳ</w:t>
      </w:r>
      <w:r>
        <w:rPr>
          <w:rFonts w:hint="eastAsia" w:ascii="宋体" w:hAnsi="宋体" w:eastAsia="宋体" w:cs="宋体"/>
          <w:spacing w:val="10"/>
          <w:sz w:val="24"/>
          <w:szCs w:val="24"/>
          <w:u w:val="single"/>
          <w:vertAlign w:val="superscript"/>
        </w:rPr>
        <w:t>+</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w:t>
      </w:r>
      <w:r>
        <w:rPr>
          <w:rFonts w:hint="eastAsia" w:ascii="宋体" w:hAnsi="宋体" w:eastAsia="宋体" w:cs="宋体"/>
          <w:spacing w:val="10"/>
          <w:sz w:val="24"/>
          <w:szCs w:val="24"/>
          <w:u w:val="single"/>
        </w:rPr>
        <w:t>Ⅳ</w:t>
      </w:r>
      <w:r>
        <w:rPr>
          <w:rFonts w:ascii="Arial" w:hAnsi="Arial" w:eastAsia="宋体" w:cs="Arial"/>
          <w:spacing w:val="10"/>
          <w:sz w:val="24"/>
          <w:szCs w:val="24"/>
          <w:u w:val="single"/>
        </w:rPr>
        <w:t>级，</w:t>
      </w:r>
      <w:r>
        <w:rPr>
          <w:rFonts w:hint="eastAsia" w:ascii="Arial" w:hAnsi="Arial" w:eastAsia="宋体" w:cs="Arial"/>
          <w:spacing w:val="10"/>
          <w:sz w:val="24"/>
          <w:u w:val="single"/>
        </w:rPr>
        <w:t>则项目大气、地表水及地下水环境风险评价等级均为一级</w:t>
      </w:r>
      <w:r>
        <w:rPr>
          <w:rFonts w:ascii="Arial" w:hAnsi="Arial" w:eastAsia="宋体" w:cs="Arial"/>
          <w:spacing w:val="10"/>
          <w:sz w:val="24"/>
        </w:rPr>
        <w:t>。大气评价范围为项目边界5km范围；地下水环境风险评价范围与地下水调查范围相同。</w:t>
      </w:r>
    </w:p>
    <w:p w14:paraId="5B038251">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风险识别</w:t>
      </w:r>
    </w:p>
    <w:p w14:paraId="30AB4A39">
      <w:pPr>
        <w:spacing w:line="500" w:lineRule="exact"/>
        <w:jc w:val="left"/>
        <w:outlineLvl w:val="3"/>
        <w:rPr>
          <w:rFonts w:ascii="Arial" w:hAnsi="Arial" w:eastAsia="宋体" w:cs="Arial"/>
          <w:b/>
          <w:spacing w:val="10"/>
          <w:sz w:val="24"/>
        </w:rPr>
      </w:pPr>
      <w:r>
        <w:rPr>
          <w:rFonts w:ascii="Arial" w:hAnsi="Arial" w:eastAsia="宋体" w:cs="Arial"/>
          <w:b/>
          <w:spacing w:val="10"/>
          <w:sz w:val="24"/>
        </w:rPr>
        <w:t>4.3.5.1 风险识别内容</w:t>
      </w:r>
    </w:p>
    <w:p w14:paraId="364B481F">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1、物质危险性识别</w:t>
      </w:r>
    </w:p>
    <w:p w14:paraId="011A97D2">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项目使用的主要原辅材料、燃料、产品、污染物、火灾和爆炸伴生/次生物汇总于4-</w:t>
      </w:r>
      <w:r>
        <w:rPr>
          <w:rFonts w:hint="eastAsia" w:ascii="Arial" w:hAnsi="Arial" w:eastAsia="宋体" w:cs="Arial"/>
          <w:spacing w:val="10"/>
          <w:sz w:val="24"/>
        </w:rPr>
        <w:t>55</w:t>
      </w:r>
      <w:r>
        <w:rPr>
          <w:rFonts w:ascii="Arial" w:hAnsi="Arial" w:eastAsia="宋体" w:cs="Arial"/>
          <w:spacing w:val="10"/>
          <w:sz w:val="24"/>
        </w:rPr>
        <w:t>。</w:t>
      </w:r>
    </w:p>
    <w:p w14:paraId="743EFC7F">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主要物质识别汇总表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1802"/>
        <w:gridCol w:w="6475"/>
      </w:tblGrid>
      <w:tr w14:paraId="36908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tcBorders>
              <w:top w:val="single" w:color="auto" w:sz="4" w:space="0"/>
              <w:left w:val="single" w:color="auto" w:sz="4" w:space="0"/>
              <w:bottom w:val="single" w:color="auto" w:sz="4" w:space="0"/>
              <w:right w:val="single" w:color="auto" w:sz="4" w:space="0"/>
            </w:tcBorders>
            <w:vAlign w:val="center"/>
          </w:tcPr>
          <w:p w14:paraId="2F699098">
            <w:pPr>
              <w:adjustRightInd w:val="0"/>
              <w:snapToGrid w:val="0"/>
              <w:rPr>
                <w:rFonts w:ascii="Arial" w:hAnsi="Arial" w:eastAsia="宋体" w:cs="Arial"/>
                <w:spacing w:val="10"/>
                <w:sz w:val="21"/>
                <w:szCs w:val="21"/>
              </w:rPr>
            </w:pPr>
            <w:r>
              <w:rPr>
                <w:rFonts w:ascii="Arial" w:hAnsi="Arial" w:eastAsia="宋体" w:cs="Arial"/>
                <w:spacing w:val="10"/>
                <w:sz w:val="21"/>
                <w:szCs w:val="21"/>
              </w:rPr>
              <w:t>序号</w:t>
            </w:r>
          </w:p>
        </w:tc>
        <w:tc>
          <w:tcPr>
            <w:tcW w:w="1002" w:type="pct"/>
            <w:tcBorders>
              <w:top w:val="single" w:color="auto" w:sz="4" w:space="0"/>
              <w:left w:val="single" w:color="auto" w:sz="4" w:space="0"/>
              <w:bottom w:val="single" w:color="auto" w:sz="4" w:space="0"/>
              <w:right w:val="single" w:color="auto" w:sz="4" w:space="0"/>
            </w:tcBorders>
            <w:vAlign w:val="center"/>
          </w:tcPr>
          <w:p w14:paraId="7FDCF15B">
            <w:pPr>
              <w:adjustRightInd w:val="0"/>
              <w:snapToGrid w:val="0"/>
              <w:rPr>
                <w:rFonts w:ascii="Arial" w:hAnsi="Arial" w:eastAsia="宋体" w:cs="Arial"/>
                <w:spacing w:val="10"/>
                <w:sz w:val="21"/>
                <w:szCs w:val="21"/>
              </w:rPr>
            </w:pPr>
            <w:r>
              <w:rPr>
                <w:rFonts w:ascii="Arial" w:hAnsi="Arial" w:eastAsia="宋体" w:cs="Arial"/>
                <w:spacing w:val="10"/>
                <w:sz w:val="21"/>
                <w:szCs w:val="21"/>
              </w:rPr>
              <w:t>类别</w:t>
            </w:r>
          </w:p>
        </w:tc>
        <w:tc>
          <w:tcPr>
            <w:tcW w:w="3600" w:type="pct"/>
            <w:tcBorders>
              <w:top w:val="single" w:color="auto" w:sz="4" w:space="0"/>
              <w:left w:val="single" w:color="auto" w:sz="4" w:space="0"/>
              <w:bottom w:val="single" w:color="auto" w:sz="4" w:space="0"/>
              <w:right w:val="single" w:color="auto" w:sz="4" w:space="0"/>
            </w:tcBorders>
            <w:vAlign w:val="center"/>
          </w:tcPr>
          <w:p w14:paraId="5A241D9A">
            <w:pPr>
              <w:adjustRightInd w:val="0"/>
              <w:snapToGrid w:val="0"/>
              <w:rPr>
                <w:rFonts w:ascii="Arial" w:hAnsi="Arial" w:eastAsia="宋体" w:cs="Arial"/>
                <w:spacing w:val="10"/>
                <w:sz w:val="21"/>
                <w:szCs w:val="21"/>
              </w:rPr>
            </w:pPr>
            <w:r>
              <w:rPr>
                <w:rFonts w:ascii="Arial" w:hAnsi="Arial" w:eastAsia="宋体" w:cs="Arial"/>
                <w:spacing w:val="10"/>
                <w:sz w:val="21"/>
                <w:szCs w:val="21"/>
              </w:rPr>
              <w:t>主要物质</w:t>
            </w:r>
          </w:p>
        </w:tc>
      </w:tr>
      <w:tr w14:paraId="56A27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tcBorders>
              <w:top w:val="single" w:color="auto" w:sz="4" w:space="0"/>
              <w:left w:val="single" w:color="auto" w:sz="4" w:space="0"/>
              <w:bottom w:val="single" w:color="auto" w:sz="4" w:space="0"/>
              <w:right w:val="single" w:color="auto" w:sz="4" w:space="0"/>
            </w:tcBorders>
            <w:vAlign w:val="center"/>
          </w:tcPr>
          <w:p w14:paraId="6265A97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w:t>
            </w:r>
          </w:p>
        </w:tc>
        <w:tc>
          <w:tcPr>
            <w:tcW w:w="1002" w:type="pct"/>
            <w:tcBorders>
              <w:top w:val="single" w:color="auto" w:sz="4" w:space="0"/>
              <w:left w:val="single" w:color="auto" w:sz="4" w:space="0"/>
              <w:bottom w:val="single" w:color="auto" w:sz="4" w:space="0"/>
              <w:right w:val="single" w:color="auto" w:sz="4" w:space="0"/>
            </w:tcBorders>
            <w:vAlign w:val="center"/>
          </w:tcPr>
          <w:p w14:paraId="71225633">
            <w:pPr>
              <w:adjustRightInd w:val="0"/>
              <w:snapToGrid w:val="0"/>
              <w:rPr>
                <w:rFonts w:ascii="Arial" w:hAnsi="Arial" w:eastAsia="宋体" w:cs="Arial"/>
                <w:spacing w:val="10"/>
                <w:sz w:val="21"/>
                <w:szCs w:val="21"/>
              </w:rPr>
            </w:pPr>
            <w:r>
              <w:rPr>
                <w:rFonts w:ascii="Arial" w:hAnsi="Arial" w:eastAsia="宋体" w:cs="Arial"/>
                <w:spacing w:val="10"/>
                <w:sz w:val="21"/>
                <w:szCs w:val="21"/>
              </w:rPr>
              <w:t>原辅材料</w:t>
            </w:r>
          </w:p>
        </w:tc>
        <w:tc>
          <w:tcPr>
            <w:tcW w:w="3600" w:type="pct"/>
            <w:tcBorders>
              <w:top w:val="single" w:color="auto" w:sz="4" w:space="0"/>
              <w:left w:val="single" w:color="auto" w:sz="4" w:space="0"/>
              <w:bottom w:val="single" w:color="auto" w:sz="4" w:space="0"/>
              <w:right w:val="single" w:color="auto" w:sz="4" w:space="0"/>
            </w:tcBorders>
            <w:vAlign w:val="center"/>
          </w:tcPr>
          <w:p w14:paraId="4D51CFEC">
            <w:pPr>
              <w:adjustRightInd w:val="0"/>
              <w:snapToGrid w:val="0"/>
              <w:rPr>
                <w:rFonts w:ascii="Arial" w:hAnsi="Arial" w:eastAsia="宋体" w:cs="Arial"/>
                <w:spacing w:val="10"/>
                <w:sz w:val="21"/>
                <w:szCs w:val="21"/>
              </w:rPr>
            </w:pPr>
            <w:r>
              <w:rPr>
                <w:rFonts w:hint="eastAsia" w:ascii="Arial" w:hAnsi="Arial" w:eastAsia="宋体" w:cs="Arial"/>
                <w:kern w:val="0"/>
                <w:sz w:val="21"/>
                <w:szCs w:val="21"/>
                <w:lang w:bidi="ar"/>
              </w:rPr>
              <w:t>硫酸钴晶体、27.5%双氧水、32%液碱、21%氨水、纯水、蒸汽、稀硫酸</w:t>
            </w:r>
          </w:p>
        </w:tc>
      </w:tr>
      <w:tr w14:paraId="2E829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tcBorders>
              <w:top w:val="single" w:color="auto" w:sz="4" w:space="0"/>
              <w:left w:val="single" w:color="auto" w:sz="4" w:space="0"/>
              <w:bottom w:val="single" w:color="auto" w:sz="4" w:space="0"/>
              <w:right w:val="single" w:color="auto" w:sz="4" w:space="0"/>
            </w:tcBorders>
            <w:vAlign w:val="center"/>
          </w:tcPr>
          <w:p w14:paraId="30FECE2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w:t>
            </w:r>
          </w:p>
        </w:tc>
        <w:tc>
          <w:tcPr>
            <w:tcW w:w="1002" w:type="pct"/>
            <w:tcBorders>
              <w:top w:val="single" w:color="auto" w:sz="4" w:space="0"/>
              <w:left w:val="single" w:color="auto" w:sz="4" w:space="0"/>
              <w:bottom w:val="single" w:color="auto" w:sz="4" w:space="0"/>
              <w:right w:val="single" w:color="auto" w:sz="4" w:space="0"/>
            </w:tcBorders>
            <w:vAlign w:val="center"/>
          </w:tcPr>
          <w:p w14:paraId="3A371E5C">
            <w:pPr>
              <w:adjustRightInd w:val="0"/>
              <w:snapToGrid w:val="0"/>
              <w:rPr>
                <w:rFonts w:ascii="Arial" w:hAnsi="Arial" w:eastAsia="宋体" w:cs="Arial"/>
                <w:spacing w:val="10"/>
                <w:sz w:val="21"/>
                <w:szCs w:val="21"/>
              </w:rPr>
            </w:pPr>
            <w:r>
              <w:rPr>
                <w:rFonts w:ascii="Arial" w:hAnsi="Arial" w:eastAsia="宋体" w:cs="Arial"/>
                <w:spacing w:val="10"/>
                <w:sz w:val="21"/>
                <w:szCs w:val="21"/>
              </w:rPr>
              <w:t>中间产品、副产品、最终产品</w:t>
            </w:r>
          </w:p>
        </w:tc>
        <w:tc>
          <w:tcPr>
            <w:tcW w:w="3600" w:type="pct"/>
            <w:tcBorders>
              <w:top w:val="single" w:color="auto" w:sz="4" w:space="0"/>
              <w:left w:val="single" w:color="auto" w:sz="4" w:space="0"/>
              <w:bottom w:val="single" w:color="auto" w:sz="4" w:space="0"/>
              <w:right w:val="single" w:color="auto" w:sz="4" w:space="0"/>
            </w:tcBorders>
            <w:vAlign w:val="center"/>
          </w:tcPr>
          <w:p w14:paraId="6F947CBF">
            <w:pPr>
              <w:adjustRightInd w:val="0"/>
              <w:snapToGrid w:val="0"/>
              <w:rPr>
                <w:rFonts w:ascii="Arial" w:hAnsi="Arial" w:eastAsia="宋体" w:cs="Arial"/>
                <w:spacing w:val="10"/>
                <w:sz w:val="21"/>
                <w:szCs w:val="21"/>
              </w:rPr>
            </w:pPr>
            <w:r>
              <w:rPr>
                <w:rFonts w:hint="eastAsia" w:ascii="Arial" w:hAnsi="Arial" w:eastAsia="宋体" w:cs="Arial"/>
                <w:kern w:val="0"/>
                <w:sz w:val="21"/>
                <w:szCs w:val="21"/>
                <w:lang w:bidi="ar"/>
              </w:rPr>
              <w:t>羟基钴</w:t>
            </w:r>
          </w:p>
        </w:tc>
      </w:tr>
      <w:tr w14:paraId="55CCE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tcBorders>
              <w:top w:val="single" w:color="auto" w:sz="4" w:space="0"/>
              <w:left w:val="single" w:color="auto" w:sz="4" w:space="0"/>
              <w:bottom w:val="single" w:color="auto" w:sz="4" w:space="0"/>
              <w:right w:val="single" w:color="auto" w:sz="4" w:space="0"/>
            </w:tcBorders>
            <w:vAlign w:val="center"/>
          </w:tcPr>
          <w:p w14:paraId="62D8B5D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w:t>
            </w:r>
          </w:p>
        </w:tc>
        <w:tc>
          <w:tcPr>
            <w:tcW w:w="1002" w:type="pct"/>
            <w:tcBorders>
              <w:top w:val="single" w:color="auto" w:sz="4" w:space="0"/>
              <w:left w:val="single" w:color="auto" w:sz="4" w:space="0"/>
              <w:bottom w:val="single" w:color="auto" w:sz="4" w:space="0"/>
              <w:right w:val="single" w:color="auto" w:sz="4" w:space="0"/>
            </w:tcBorders>
            <w:vAlign w:val="center"/>
          </w:tcPr>
          <w:p w14:paraId="2EC3CFEB">
            <w:pPr>
              <w:adjustRightInd w:val="0"/>
              <w:snapToGrid w:val="0"/>
              <w:rPr>
                <w:rFonts w:ascii="Arial" w:hAnsi="Arial" w:eastAsia="宋体" w:cs="Arial"/>
                <w:spacing w:val="10"/>
                <w:sz w:val="21"/>
                <w:szCs w:val="21"/>
              </w:rPr>
            </w:pPr>
            <w:r>
              <w:rPr>
                <w:rFonts w:ascii="Arial" w:hAnsi="Arial" w:eastAsia="宋体" w:cs="Arial"/>
                <w:spacing w:val="10"/>
                <w:sz w:val="21"/>
                <w:szCs w:val="21"/>
              </w:rPr>
              <w:t>燃料</w:t>
            </w:r>
          </w:p>
        </w:tc>
        <w:tc>
          <w:tcPr>
            <w:tcW w:w="3600" w:type="pct"/>
            <w:tcBorders>
              <w:top w:val="single" w:color="auto" w:sz="4" w:space="0"/>
              <w:left w:val="single" w:color="auto" w:sz="4" w:space="0"/>
              <w:bottom w:val="single" w:color="auto" w:sz="4" w:space="0"/>
              <w:right w:val="single" w:color="auto" w:sz="4" w:space="0"/>
            </w:tcBorders>
            <w:vAlign w:val="center"/>
          </w:tcPr>
          <w:p w14:paraId="290C3EAB">
            <w:pPr>
              <w:adjustRightInd w:val="0"/>
              <w:snapToGrid w:val="0"/>
              <w:rPr>
                <w:rFonts w:ascii="Arial" w:hAnsi="Arial" w:eastAsia="宋体" w:cs="Arial"/>
                <w:spacing w:val="10"/>
                <w:sz w:val="21"/>
                <w:szCs w:val="21"/>
              </w:rPr>
            </w:pPr>
            <w:r>
              <w:rPr>
                <w:rFonts w:ascii="Arial" w:hAnsi="Arial" w:eastAsia="宋体" w:cs="Arial"/>
                <w:spacing w:val="10"/>
                <w:sz w:val="21"/>
                <w:szCs w:val="21"/>
              </w:rPr>
              <w:t>无</w:t>
            </w:r>
          </w:p>
        </w:tc>
      </w:tr>
      <w:tr w14:paraId="04F36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tcBorders>
              <w:top w:val="single" w:color="auto" w:sz="4" w:space="0"/>
              <w:left w:val="single" w:color="auto" w:sz="4" w:space="0"/>
              <w:bottom w:val="single" w:color="auto" w:sz="4" w:space="0"/>
              <w:right w:val="single" w:color="auto" w:sz="4" w:space="0"/>
            </w:tcBorders>
            <w:vAlign w:val="center"/>
          </w:tcPr>
          <w:p w14:paraId="30C15D5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w:t>
            </w:r>
          </w:p>
        </w:tc>
        <w:tc>
          <w:tcPr>
            <w:tcW w:w="1002" w:type="pct"/>
            <w:tcBorders>
              <w:top w:val="single" w:color="auto" w:sz="4" w:space="0"/>
              <w:left w:val="single" w:color="auto" w:sz="4" w:space="0"/>
              <w:bottom w:val="single" w:color="auto" w:sz="4" w:space="0"/>
              <w:right w:val="single" w:color="auto" w:sz="4" w:space="0"/>
            </w:tcBorders>
            <w:vAlign w:val="center"/>
          </w:tcPr>
          <w:p w14:paraId="052791A7">
            <w:pPr>
              <w:adjustRightInd w:val="0"/>
              <w:snapToGrid w:val="0"/>
              <w:rPr>
                <w:rFonts w:ascii="Arial" w:hAnsi="Arial" w:eastAsia="宋体" w:cs="Arial"/>
                <w:spacing w:val="10"/>
                <w:sz w:val="21"/>
                <w:szCs w:val="21"/>
              </w:rPr>
            </w:pPr>
            <w:r>
              <w:rPr>
                <w:rFonts w:ascii="Arial" w:hAnsi="Arial" w:eastAsia="宋体" w:cs="Arial"/>
                <w:spacing w:val="10"/>
                <w:sz w:val="21"/>
                <w:szCs w:val="21"/>
              </w:rPr>
              <w:t>污染物</w:t>
            </w:r>
          </w:p>
        </w:tc>
        <w:tc>
          <w:tcPr>
            <w:tcW w:w="3600" w:type="pct"/>
            <w:tcBorders>
              <w:top w:val="single" w:color="auto" w:sz="4" w:space="0"/>
              <w:left w:val="single" w:color="auto" w:sz="4" w:space="0"/>
              <w:bottom w:val="single" w:color="auto" w:sz="4" w:space="0"/>
              <w:right w:val="single" w:color="auto" w:sz="4" w:space="0"/>
            </w:tcBorders>
            <w:vAlign w:val="center"/>
          </w:tcPr>
          <w:p w14:paraId="5A0B777A">
            <w:pPr>
              <w:adjustRightInd w:val="0"/>
              <w:snapToGrid w:val="0"/>
              <w:rPr>
                <w:rFonts w:ascii="Arial" w:hAnsi="Arial" w:eastAsia="宋体" w:cs="Arial"/>
                <w:spacing w:val="10"/>
                <w:sz w:val="21"/>
                <w:szCs w:val="21"/>
              </w:rPr>
            </w:pPr>
            <w:r>
              <w:rPr>
                <w:rFonts w:ascii="Arial" w:hAnsi="Arial" w:eastAsia="宋体" w:cs="Arial"/>
                <w:spacing w:val="10"/>
                <w:sz w:val="21"/>
                <w:szCs w:val="21"/>
              </w:rPr>
              <w:t>颗粒物、</w:t>
            </w:r>
            <w:r>
              <w:rPr>
                <w:rFonts w:hint="eastAsia" w:ascii="Arial" w:hAnsi="Arial" w:eastAsia="宋体" w:cs="Arial"/>
                <w:spacing w:val="10"/>
                <w:sz w:val="21"/>
                <w:szCs w:val="21"/>
              </w:rPr>
              <w:t>氨气、钴及其化合物</w:t>
            </w:r>
          </w:p>
        </w:tc>
      </w:tr>
      <w:tr w14:paraId="40E49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tcBorders>
              <w:top w:val="single" w:color="auto" w:sz="4" w:space="0"/>
              <w:left w:val="single" w:color="auto" w:sz="4" w:space="0"/>
              <w:bottom w:val="single" w:color="auto" w:sz="4" w:space="0"/>
              <w:right w:val="single" w:color="auto" w:sz="4" w:space="0"/>
            </w:tcBorders>
            <w:vAlign w:val="center"/>
          </w:tcPr>
          <w:p w14:paraId="0980061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w:t>
            </w:r>
          </w:p>
        </w:tc>
        <w:tc>
          <w:tcPr>
            <w:tcW w:w="1002" w:type="pct"/>
            <w:tcBorders>
              <w:top w:val="single" w:color="auto" w:sz="4" w:space="0"/>
              <w:left w:val="single" w:color="auto" w:sz="4" w:space="0"/>
              <w:bottom w:val="single" w:color="auto" w:sz="4" w:space="0"/>
              <w:right w:val="single" w:color="auto" w:sz="4" w:space="0"/>
            </w:tcBorders>
            <w:vAlign w:val="center"/>
          </w:tcPr>
          <w:p w14:paraId="0F767387">
            <w:pPr>
              <w:adjustRightInd w:val="0"/>
              <w:snapToGrid w:val="0"/>
              <w:rPr>
                <w:rFonts w:ascii="Arial" w:hAnsi="Arial" w:eastAsia="宋体" w:cs="Arial"/>
                <w:spacing w:val="10"/>
                <w:sz w:val="21"/>
                <w:szCs w:val="21"/>
              </w:rPr>
            </w:pPr>
            <w:r>
              <w:rPr>
                <w:rFonts w:ascii="Arial" w:hAnsi="Arial" w:eastAsia="宋体" w:cs="Arial"/>
                <w:spacing w:val="10"/>
                <w:sz w:val="21"/>
                <w:szCs w:val="21"/>
              </w:rPr>
              <w:t>火灾和爆炸伴生/次生物</w:t>
            </w:r>
          </w:p>
        </w:tc>
        <w:tc>
          <w:tcPr>
            <w:tcW w:w="3600" w:type="pct"/>
            <w:tcBorders>
              <w:top w:val="single" w:color="auto" w:sz="4" w:space="0"/>
              <w:left w:val="single" w:color="auto" w:sz="4" w:space="0"/>
              <w:bottom w:val="single" w:color="auto" w:sz="4" w:space="0"/>
              <w:right w:val="single" w:color="auto" w:sz="4" w:space="0"/>
            </w:tcBorders>
            <w:vAlign w:val="center"/>
          </w:tcPr>
          <w:p w14:paraId="4E3ACD58">
            <w:pPr>
              <w:adjustRightInd w:val="0"/>
              <w:snapToGrid w:val="0"/>
              <w:rPr>
                <w:rFonts w:ascii="Arial" w:hAnsi="Arial" w:eastAsia="宋体" w:cs="Arial"/>
                <w:spacing w:val="10"/>
                <w:sz w:val="21"/>
                <w:szCs w:val="21"/>
              </w:rPr>
            </w:pPr>
            <w:r>
              <w:rPr>
                <w:rFonts w:ascii="Arial" w:hAnsi="Arial" w:eastAsia="宋体" w:cs="Arial"/>
                <w:spacing w:val="10"/>
                <w:sz w:val="21"/>
                <w:szCs w:val="21"/>
              </w:rPr>
              <w:t>一氧化碳、二氧化硫；火灾产生的次生污染物消防废水</w:t>
            </w:r>
          </w:p>
        </w:tc>
      </w:tr>
    </w:tbl>
    <w:p w14:paraId="1CA2CC88">
      <w:pPr>
        <w:spacing w:line="500" w:lineRule="exact"/>
        <w:ind w:firstLine="450" w:firstLineChars="200"/>
        <w:jc w:val="left"/>
        <w:rPr>
          <w:rFonts w:ascii="Arial" w:hAnsi="Arial" w:eastAsia="宋体" w:cs="Arial"/>
          <w:kern w:val="0"/>
          <w:sz w:val="24"/>
          <w:szCs w:val="24"/>
          <w:lang w:bidi="ar"/>
        </w:rPr>
      </w:pPr>
      <w:r>
        <w:rPr>
          <w:rFonts w:ascii="Arial" w:hAnsi="Arial" w:eastAsia="宋体" w:cs="Arial"/>
          <w:kern w:val="0"/>
          <w:sz w:val="24"/>
          <w:szCs w:val="24"/>
          <w:lang w:bidi="ar"/>
        </w:rPr>
        <w:t>按照风险导则附录B识别出的危险物质包括：</w:t>
      </w:r>
      <w:r>
        <w:rPr>
          <w:rFonts w:hint="eastAsia" w:ascii="Arial" w:hAnsi="Arial" w:eastAsia="宋体" w:cs="Arial"/>
          <w:kern w:val="0"/>
          <w:sz w:val="24"/>
          <w:szCs w:val="24"/>
          <w:lang w:bidi="ar"/>
        </w:rPr>
        <w:t>硫酸钴晶体、21%氨水</w:t>
      </w:r>
      <w:r>
        <w:rPr>
          <w:rFonts w:ascii="Arial" w:hAnsi="Arial" w:eastAsia="宋体" w:cs="Arial"/>
          <w:kern w:val="0"/>
          <w:sz w:val="24"/>
          <w:szCs w:val="24"/>
          <w:lang w:bidi="ar"/>
        </w:rPr>
        <w:t>、</w:t>
      </w:r>
      <w:r>
        <w:rPr>
          <w:rFonts w:hint="eastAsia" w:ascii="Arial" w:hAnsi="Arial" w:eastAsia="宋体" w:cs="Arial"/>
          <w:kern w:val="0"/>
          <w:sz w:val="24"/>
          <w:szCs w:val="24"/>
          <w:lang w:bidi="ar"/>
        </w:rPr>
        <w:t>氨气、钴及其化合物</w:t>
      </w:r>
      <w:r>
        <w:rPr>
          <w:rFonts w:ascii="Arial" w:hAnsi="Arial" w:eastAsia="宋体" w:cs="Arial"/>
          <w:kern w:val="0"/>
          <w:sz w:val="24"/>
          <w:szCs w:val="24"/>
          <w:lang w:bidi="ar"/>
        </w:rPr>
        <w:t>、</w:t>
      </w:r>
      <w:r>
        <w:rPr>
          <w:rFonts w:hint="eastAsia" w:ascii="Arial" w:hAnsi="Arial" w:eastAsia="宋体" w:cs="Arial"/>
          <w:kern w:val="0"/>
          <w:sz w:val="24"/>
          <w:szCs w:val="24"/>
          <w:lang w:bidi="ar"/>
        </w:rPr>
        <w:t>硫酸、</w:t>
      </w:r>
      <w:r>
        <w:rPr>
          <w:rFonts w:ascii="Arial" w:hAnsi="Arial" w:eastAsia="宋体" w:cs="Arial"/>
          <w:kern w:val="0"/>
          <w:sz w:val="24"/>
          <w:szCs w:val="24"/>
          <w:lang w:bidi="ar"/>
        </w:rPr>
        <w:t>一氧化碳、二氧化硫。这部分危险物质危险特性见表4-</w:t>
      </w:r>
      <w:r>
        <w:rPr>
          <w:rFonts w:hint="eastAsia" w:ascii="Arial" w:hAnsi="Arial" w:eastAsia="宋体" w:cs="Arial"/>
          <w:kern w:val="0"/>
          <w:sz w:val="24"/>
          <w:szCs w:val="24"/>
          <w:lang w:bidi="ar"/>
        </w:rPr>
        <w:t>55</w:t>
      </w:r>
      <w:r>
        <w:rPr>
          <w:rFonts w:ascii="Arial" w:hAnsi="Arial" w:eastAsia="宋体" w:cs="Arial"/>
          <w:kern w:val="0"/>
          <w:sz w:val="24"/>
          <w:szCs w:val="24"/>
          <w:lang w:bidi="ar"/>
        </w:rPr>
        <w:t>。</w:t>
      </w:r>
    </w:p>
    <w:p w14:paraId="4626A00A">
      <w:pPr>
        <w:widowControl/>
        <w:jc w:val="left"/>
        <w:rPr>
          <w:rFonts w:ascii="Arial" w:hAnsi="Arial" w:eastAsia="宋体" w:cs="Arial"/>
          <w:spacing w:val="10"/>
          <w:sz w:val="24"/>
          <w:highlight w:val="yellow"/>
        </w:rPr>
        <w:sectPr>
          <w:pgSz w:w="11907" w:h="16840"/>
          <w:pgMar w:top="1418" w:right="1406" w:bottom="1418" w:left="1157" w:header="1174" w:footer="1026" w:gutter="567"/>
          <w:cols w:space="720" w:num="1"/>
          <w:docGrid w:type="linesAndChars" w:linePitch="428" w:charSpace="-3161"/>
        </w:sectPr>
      </w:pPr>
    </w:p>
    <w:p w14:paraId="44368A9F">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项目危险物质危险特性表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33"/>
        <w:gridCol w:w="642"/>
        <w:gridCol w:w="483"/>
        <w:gridCol w:w="1219"/>
        <w:gridCol w:w="4328"/>
        <w:gridCol w:w="814"/>
        <w:gridCol w:w="1073"/>
        <w:gridCol w:w="1235"/>
        <w:gridCol w:w="2214"/>
        <w:gridCol w:w="1038"/>
      </w:tblGrid>
      <w:tr w14:paraId="4F1EA9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61" w:type="pct"/>
            <w:vAlign w:val="center"/>
          </w:tcPr>
          <w:p w14:paraId="7B70C961">
            <w:pPr>
              <w:adjustRightInd w:val="0"/>
              <w:snapToGrid w:val="0"/>
              <w:jc w:val="center"/>
              <w:rPr>
                <w:rFonts w:ascii="Arial" w:hAnsi="Arial" w:eastAsia="宋体" w:cs="Arial"/>
                <w:sz w:val="21"/>
                <w:szCs w:val="21"/>
              </w:rPr>
            </w:pPr>
            <w:r>
              <w:rPr>
                <w:rFonts w:ascii="Arial" w:hAnsi="Arial" w:eastAsia="宋体" w:cs="Arial"/>
                <w:sz w:val="21"/>
                <w:szCs w:val="21"/>
              </w:rPr>
              <w:t>序号</w:t>
            </w:r>
          </w:p>
        </w:tc>
        <w:tc>
          <w:tcPr>
            <w:tcW w:w="238" w:type="pct"/>
            <w:vAlign w:val="center"/>
          </w:tcPr>
          <w:p w14:paraId="30EA835A">
            <w:pPr>
              <w:adjustRightInd w:val="0"/>
              <w:snapToGrid w:val="0"/>
              <w:jc w:val="center"/>
              <w:rPr>
                <w:rFonts w:ascii="Arial" w:hAnsi="Arial" w:eastAsia="宋体" w:cs="Arial"/>
                <w:sz w:val="21"/>
                <w:szCs w:val="21"/>
              </w:rPr>
            </w:pPr>
            <w:r>
              <w:rPr>
                <w:rFonts w:ascii="Arial" w:hAnsi="Arial" w:eastAsia="宋体" w:cs="Arial"/>
                <w:sz w:val="21"/>
                <w:szCs w:val="21"/>
              </w:rPr>
              <w:t>物料名称</w:t>
            </w:r>
          </w:p>
        </w:tc>
        <w:tc>
          <w:tcPr>
            <w:tcW w:w="179" w:type="pct"/>
            <w:vAlign w:val="center"/>
          </w:tcPr>
          <w:p w14:paraId="2FBDE9F0">
            <w:pPr>
              <w:adjustRightInd w:val="0"/>
              <w:snapToGrid w:val="0"/>
              <w:jc w:val="center"/>
              <w:rPr>
                <w:rFonts w:ascii="Arial" w:hAnsi="Arial" w:eastAsia="宋体" w:cs="Arial"/>
                <w:sz w:val="21"/>
                <w:szCs w:val="21"/>
              </w:rPr>
            </w:pPr>
            <w:r>
              <w:rPr>
                <w:rFonts w:ascii="Arial" w:hAnsi="Arial" w:eastAsia="宋体" w:cs="Arial"/>
                <w:sz w:val="21"/>
                <w:szCs w:val="21"/>
              </w:rPr>
              <w:t>相态</w:t>
            </w:r>
          </w:p>
        </w:tc>
        <w:tc>
          <w:tcPr>
            <w:tcW w:w="452" w:type="pct"/>
            <w:vAlign w:val="center"/>
          </w:tcPr>
          <w:p w14:paraId="23C478A7">
            <w:pPr>
              <w:adjustRightInd w:val="0"/>
              <w:snapToGrid w:val="0"/>
              <w:jc w:val="center"/>
              <w:rPr>
                <w:rFonts w:ascii="Arial" w:hAnsi="Arial" w:eastAsia="宋体" w:cs="Arial"/>
                <w:sz w:val="21"/>
                <w:szCs w:val="21"/>
              </w:rPr>
            </w:pPr>
            <w:r>
              <w:rPr>
                <w:rFonts w:ascii="Arial" w:hAnsi="Arial" w:eastAsia="宋体" w:cs="Arial"/>
                <w:sz w:val="21"/>
                <w:szCs w:val="21"/>
              </w:rPr>
              <w:t>CAS号</w:t>
            </w:r>
          </w:p>
        </w:tc>
        <w:tc>
          <w:tcPr>
            <w:tcW w:w="1605" w:type="pct"/>
            <w:vAlign w:val="center"/>
          </w:tcPr>
          <w:p w14:paraId="435557B0">
            <w:pPr>
              <w:adjustRightInd w:val="0"/>
              <w:snapToGrid w:val="0"/>
              <w:jc w:val="center"/>
              <w:rPr>
                <w:rFonts w:ascii="Arial" w:hAnsi="Arial" w:eastAsia="宋体" w:cs="Arial"/>
                <w:sz w:val="21"/>
                <w:szCs w:val="21"/>
              </w:rPr>
            </w:pPr>
            <w:r>
              <w:rPr>
                <w:rFonts w:ascii="Arial" w:hAnsi="Arial" w:eastAsia="宋体" w:cs="Arial"/>
                <w:sz w:val="21"/>
                <w:szCs w:val="21"/>
              </w:rPr>
              <w:t>危险特性</w:t>
            </w:r>
          </w:p>
        </w:tc>
        <w:tc>
          <w:tcPr>
            <w:tcW w:w="302" w:type="pct"/>
            <w:vAlign w:val="center"/>
          </w:tcPr>
          <w:p w14:paraId="3C11DD8B">
            <w:pPr>
              <w:adjustRightInd w:val="0"/>
              <w:snapToGrid w:val="0"/>
              <w:jc w:val="center"/>
              <w:rPr>
                <w:rFonts w:ascii="Arial" w:hAnsi="Arial" w:eastAsia="宋体" w:cs="Arial"/>
                <w:sz w:val="21"/>
                <w:szCs w:val="21"/>
              </w:rPr>
            </w:pPr>
            <w:r>
              <w:rPr>
                <w:rFonts w:ascii="Arial" w:hAnsi="Arial" w:eastAsia="宋体" w:cs="Arial"/>
                <w:sz w:val="21"/>
                <w:szCs w:val="21"/>
              </w:rPr>
              <w:t>闪点（</w:t>
            </w:r>
            <w:r>
              <w:rPr>
                <w:rFonts w:hint="eastAsia" w:ascii="宋体" w:hAnsi="宋体" w:eastAsia="宋体" w:cs="宋体"/>
                <w:sz w:val="21"/>
                <w:szCs w:val="21"/>
              </w:rPr>
              <w:t>℃</w:t>
            </w:r>
            <w:r>
              <w:rPr>
                <w:rFonts w:ascii="Arial" w:hAnsi="Arial" w:eastAsia="宋体" w:cs="Arial"/>
                <w:sz w:val="21"/>
                <w:szCs w:val="21"/>
              </w:rPr>
              <w:t>）</w:t>
            </w:r>
          </w:p>
        </w:tc>
        <w:tc>
          <w:tcPr>
            <w:tcW w:w="398" w:type="pct"/>
            <w:vAlign w:val="center"/>
          </w:tcPr>
          <w:p w14:paraId="146CF8D6">
            <w:pPr>
              <w:adjustRightInd w:val="0"/>
              <w:snapToGrid w:val="0"/>
              <w:jc w:val="center"/>
              <w:rPr>
                <w:rFonts w:ascii="Arial" w:hAnsi="Arial" w:eastAsia="宋体" w:cs="Arial"/>
                <w:sz w:val="21"/>
                <w:szCs w:val="21"/>
              </w:rPr>
            </w:pPr>
            <w:r>
              <w:rPr>
                <w:rFonts w:ascii="Arial" w:hAnsi="Arial" w:eastAsia="宋体" w:cs="Arial"/>
                <w:sz w:val="21"/>
                <w:szCs w:val="21"/>
              </w:rPr>
              <w:t>引燃温度（</w:t>
            </w:r>
            <w:r>
              <w:rPr>
                <w:rFonts w:hint="eastAsia" w:ascii="宋体" w:hAnsi="宋体" w:eastAsia="宋体" w:cs="宋体"/>
                <w:sz w:val="21"/>
                <w:szCs w:val="21"/>
              </w:rPr>
              <w:t>℃</w:t>
            </w:r>
            <w:r>
              <w:rPr>
                <w:rFonts w:ascii="Arial" w:hAnsi="Arial" w:eastAsia="宋体" w:cs="Arial"/>
                <w:sz w:val="21"/>
                <w:szCs w:val="21"/>
              </w:rPr>
              <w:t>）</w:t>
            </w:r>
          </w:p>
        </w:tc>
        <w:tc>
          <w:tcPr>
            <w:tcW w:w="458" w:type="pct"/>
            <w:vAlign w:val="center"/>
          </w:tcPr>
          <w:p w14:paraId="3392ED54">
            <w:pPr>
              <w:adjustRightInd w:val="0"/>
              <w:snapToGrid w:val="0"/>
              <w:jc w:val="center"/>
              <w:rPr>
                <w:rFonts w:ascii="Arial" w:hAnsi="Arial" w:eastAsia="宋体" w:cs="Arial"/>
                <w:sz w:val="21"/>
                <w:szCs w:val="21"/>
              </w:rPr>
            </w:pPr>
            <w:r>
              <w:rPr>
                <w:rFonts w:ascii="Arial" w:hAnsi="Arial" w:eastAsia="宋体" w:cs="Arial"/>
                <w:sz w:val="21"/>
                <w:szCs w:val="21"/>
              </w:rPr>
              <w:t>爆炸极限（%/%）</w:t>
            </w:r>
          </w:p>
        </w:tc>
        <w:tc>
          <w:tcPr>
            <w:tcW w:w="821" w:type="pct"/>
            <w:vAlign w:val="center"/>
          </w:tcPr>
          <w:p w14:paraId="26A78336">
            <w:pPr>
              <w:adjustRightInd w:val="0"/>
              <w:snapToGrid w:val="0"/>
              <w:jc w:val="center"/>
              <w:rPr>
                <w:rFonts w:ascii="Arial" w:hAnsi="Arial" w:eastAsia="宋体" w:cs="Arial"/>
                <w:sz w:val="21"/>
                <w:szCs w:val="21"/>
              </w:rPr>
            </w:pPr>
            <w:r>
              <w:rPr>
                <w:rFonts w:ascii="Arial" w:hAnsi="Arial" w:eastAsia="宋体" w:cs="Arial"/>
                <w:sz w:val="21"/>
                <w:szCs w:val="21"/>
              </w:rPr>
              <w:t>毒理学资料</w:t>
            </w:r>
          </w:p>
        </w:tc>
        <w:tc>
          <w:tcPr>
            <w:tcW w:w="385" w:type="pct"/>
            <w:vAlign w:val="center"/>
          </w:tcPr>
          <w:p w14:paraId="03618457">
            <w:pPr>
              <w:adjustRightInd w:val="0"/>
              <w:snapToGrid w:val="0"/>
              <w:jc w:val="center"/>
              <w:rPr>
                <w:rFonts w:ascii="Arial" w:hAnsi="Arial" w:eastAsia="宋体" w:cs="Arial"/>
                <w:sz w:val="21"/>
                <w:szCs w:val="21"/>
              </w:rPr>
            </w:pPr>
            <w:r>
              <w:rPr>
                <w:rFonts w:ascii="Arial" w:hAnsi="Arial" w:eastAsia="宋体" w:cs="Arial"/>
                <w:sz w:val="21"/>
                <w:szCs w:val="21"/>
              </w:rPr>
              <w:t>分布位置</w:t>
            </w:r>
          </w:p>
        </w:tc>
      </w:tr>
      <w:tr w14:paraId="17EB104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1" w:type="pct"/>
            <w:vAlign w:val="center"/>
          </w:tcPr>
          <w:p w14:paraId="665151C0">
            <w:pPr>
              <w:adjustRightInd w:val="0"/>
              <w:snapToGrid w:val="0"/>
              <w:jc w:val="center"/>
              <w:rPr>
                <w:rFonts w:ascii="Arial" w:hAnsi="Arial" w:eastAsia="宋体" w:cs="Arial"/>
                <w:sz w:val="21"/>
                <w:szCs w:val="21"/>
              </w:rPr>
            </w:pPr>
            <w:r>
              <w:rPr>
                <w:rFonts w:ascii="Arial" w:hAnsi="Arial" w:eastAsia="宋体" w:cs="Arial"/>
                <w:sz w:val="21"/>
                <w:szCs w:val="21"/>
              </w:rPr>
              <w:t>1</w:t>
            </w:r>
          </w:p>
        </w:tc>
        <w:tc>
          <w:tcPr>
            <w:tcW w:w="238" w:type="pct"/>
            <w:vAlign w:val="center"/>
          </w:tcPr>
          <w:p w14:paraId="58BA12BB">
            <w:pPr>
              <w:adjustRightInd w:val="0"/>
              <w:snapToGrid w:val="0"/>
              <w:jc w:val="center"/>
              <w:rPr>
                <w:rFonts w:ascii="Arial" w:hAnsi="Arial" w:eastAsia="宋体" w:cs="Arial"/>
                <w:sz w:val="21"/>
                <w:szCs w:val="21"/>
              </w:rPr>
            </w:pPr>
            <w:r>
              <w:rPr>
                <w:rFonts w:hint="eastAsia" w:ascii="Arial" w:hAnsi="Arial" w:eastAsia="宋体" w:cs="Arial"/>
                <w:sz w:val="21"/>
                <w:szCs w:val="21"/>
              </w:rPr>
              <w:t>氨水</w:t>
            </w:r>
          </w:p>
        </w:tc>
        <w:tc>
          <w:tcPr>
            <w:tcW w:w="179" w:type="pct"/>
            <w:vAlign w:val="center"/>
          </w:tcPr>
          <w:p w14:paraId="756D83EB">
            <w:pPr>
              <w:adjustRightInd w:val="0"/>
              <w:snapToGrid w:val="0"/>
              <w:jc w:val="center"/>
              <w:rPr>
                <w:rFonts w:ascii="Arial" w:hAnsi="Arial" w:eastAsia="宋体" w:cs="Arial"/>
                <w:sz w:val="21"/>
                <w:szCs w:val="21"/>
              </w:rPr>
            </w:pPr>
            <w:r>
              <w:rPr>
                <w:rFonts w:ascii="Arial" w:hAnsi="Arial" w:eastAsia="宋体" w:cs="Arial"/>
                <w:sz w:val="21"/>
                <w:szCs w:val="21"/>
              </w:rPr>
              <w:t>液</w:t>
            </w:r>
          </w:p>
        </w:tc>
        <w:tc>
          <w:tcPr>
            <w:tcW w:w="452" w:type="pct"/>
            <w:vAlign w:val="center"/>
          </w:tcPr>
          <w:p w14:paraId="056AD579">
            <w:pPr>
              <w:adjustRightInd w:val="0"/>
              <w:snapToGrid w:val="0"/>
              <w:jc w:val="center"/>
              <w:rPr>
                <w:rFonts w:ascii="Arial" w:hAnsi="Arial" w:eastAsia="宋体" w:cs="Arial"/>
                <w:kern w:val="0"/>
                <w:sz w:val="21"/>
                <w:szCs w:val="21"/>
              </w:rPr>
            </w:pPr>
            <w:r>
              <w:rPr>
                <w:rFonts w:ascii="Arial" w:hAnsi="Arial" w:eastAsia="宋体" w:cs="Arial"/>
                <w:sz w:val="21"/>
                <w:szCs w:val="21"/>
              </w:rPr>
              <w:t>1336-21-6</w:t>
            </w:r>
          </w:p>
        </w:tc>
        <w:tc>
          <w:tcPr>
            <w:tcW w:w="1605" w:type="pct"/>
            <w:vAlign w:val="center"/>
          </w:tcPr>
          <w:p w14:paraId="6E8C2340">
            <w:pPr>
              <w:adjustRightInd w:val="0"/>
              <w:snapToGrid w:val="0"/>
              <w:jc w:val="center"/>
              <w:rPr>
                <w:rFonts w:ascii="Arial" w:hAnsi="Arial" w:eastAsia="宋体" w:cs="Arial"/>
                <w:sz w:val="21"/>
                <w:szCs w:val="21"/>
              </w:rPr>
            </w:pPr>
            <w:r>
              <w:rPr>
                <w:rFonts w:hint="eastAsia" w:ascii="Arial" w:hAnsi="Arial" w:eastAsia="宋体" w:cs="Arial"/>
                <w:sz w:val="21"/>
                <w:szCs w:val="21"/>
              </w:rPr>
              <w:t>易分解放出氨气，温度较高，分解速度越快，可形成爆炸性气体环境</w:t>
            </w:r>
          </w:p>
        </w:tc>
        <w:tc>
          <w:tcPr>
            <w:tcW w:w="302" w:type="pct"/>
            <w:vAlign w:val="center"/>
          </w:tcPr>
          <w:p w14:paraId="1131331B">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pct"/>
            <w:vAlign w:val="center"/>
          </w:tcPr>
          <w:p w14:paraId="2782592B">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58" w:type="pct"/>
            <w:vAlign w:val="center"/>
          </w:tcPr>
          <w:p w14:paraId="4EA38F9A">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821" w:type="pct"/>
            <w:vAlign w:val="center"/>
          </w:tcPr>
          <w:p w14:paraId="73C8DDA2">
            <w:pPr>
              <w:adjustRightInd w:val="0"/>
              <w:snapToGrid w:val="0"/>
              <w:jc w:val="center"/>
              <w:rPr>
                <w:rFonts w:ascii="Arial" w:hAnsi="Arial" w:eastAsia="宋体" w:cs="Arial"/>
                <w:kern w:val="0"/>
                <w:sz w:val="21"/>
                <w:szCs w:val="21"/>
              </w:rPr>
            </w:pPr>
            <w:r>
              <w:rPr>
                <w:rFonts w:ascii="Arial" w:hAnsi="Arial" w:eastAsia="宋体" w:cs="Arial"/>
                <w:sz w:val="21"/>
                <w:szCs w:val="21"/>
              </w:rPr>
              <w:t>/</w:t>
            </w:r>
          </w:p>
        </w:tc>
        <w:tc>
          <w:tcPr>
            <w:tcW w:w="385" w:type="pct"/>
            <w:vAlign w:val="center"/>
          </w:tcPr>
          <w:p w14:paraId="7BEB961F">
            <w:pPr>
              <w:adjustRightInd w:val="0"/>
              <w:snapToGrid w:val="0"/>
              <w:jc w:val="center"/>
              <w:rPr>
                <w:rFonts w:ascii="Arial" w:hAnsi="Arial" w:eastAsia="宋体" w:cs="Arial"/>
                <w:sz w:val="21"/>
                <w:szCs w:val="21"/>
              </w:rPr>
            </w:pPr>
            <w:r>
              <w:rPr>
                <w:rFonts w:ascii="Arial" w:hAnsi="Arial" w:eastAsia="宋体" w:cs="Arial"/>
                <w:kern w:val="0"/>
                <w:sz w:val="21"/>
                <w:szCs w:val="21"/>
                <w:lang w:bidi="ar"/>
              </w:rPr>
              <w:t>X</w:t>
            </w:r>
            <w:r>
              <w:rPr>
                <w:rFonts w:hint="eastAsia" w:ascii="Arial" w:hAnsi="Arial" w:eastAsia="宋体" w:cs="Arial"/>
                <w:kern w:val="0"/>
                <w:sz w:val="21"/>
                <w:szCs w:val="21"/>
                <w:lang w:bidi="ar"/>
              </w:rPr>
              <w:t>19</w:t>
            </w:r>
            <w:r>
              <w:rPr>
                <w:rFonts w:ascii="Arial" w:hAnsi="Arial" w:eastAsia="宋体" w:cs="Arial"/>
                <w:kern w:val="0"/>
                <w:sz w:val="21"/>
                <w:szCs w:val="21"/>
                <w:lang w:bidi="ar"/>
              </w:rPr>
              <w:t>车间</w:t>
            </w:r>
          </w:p>
        </w:tc>
      </w:tr>
      <w:tr w14:paraId="4EF8EF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1" w:type="pct"/>
            <w:vAlign w:val="center"/>
          </w:tcPr>
          <w:p w14:paraId="2FDC7F16">
            <w:pPr>
              <w:adjustRightInd w:val="0"/>
              <w:snapToGrid w:val="0"/>
              <w:jc w:val="center"/>
              <w:rPr>
                <w:rFonts w:ascii="Arial" w:hAnsi="Arial" w:eastAsia="宋体" w:cs="Arial"/>
                <w:sz w:val="21"/>
                <w:szCs w:val="21"/>
              </w:rPr>
            </w:pPr>
            <w:r>
              <w:rPr>
                <w:rFonts w:ascii="Arial" w:hAnsi="Arial" w:eastAsia="宋体" w:cs="Arial"/>
                <w:sz w:val="21"/>
                <w:szCs w:val="21"/>
              </w:rPr>
              <w:t>2</w:t>
            </w:r>
          </w:p>
        </w:tc>
        <w:tc>
          <w:tcPr>
            <w:tcW w:w="238" w:type="pct"/>
            <w:vAlign w:val="center"/>
          </w:tcPr>
          <w:p w14:paraId="39043C2B">
            <w:pPr>
              <w:adjustRightInd w:val="0"/>
              <w:snapToGrid w:val="0"/>
              <w:jc w:val="center"/>
              <w:rPr>
                <w:rFonts w:ascii="Arial" w:hAnsi="Arial" w:eastAsia="宋体" w:cs="Arial"/>
                <w:sz w:val="21"/>
                <w:szCs w:val="21"/>
              </w:rPr>
            </w:pPr>
            <w:r>
              <w:rPr>
                <w:rFonts w:hint="eastAsia" w:ascii="Arial" w:hAnsi="Arial" w:eastAsia="宋体" w:cs="Arial"/>
                <w:sz w:val="21"/>
                <w:szCs w:val="21"/>
              </w:rPr>
              <w:t>氨</w:t>
            </w:r>
          </w:p>
        </w:tc>
        <w:tc>
          <w:tcPr>
            <w:tcW w:w="179" w:type="pct"/>
            <w:vAlign w:val="center"/>
          </w:tcPr>
          <w:p w14:paraId="72851AE7">
            <w:pPr>
              <w:adjustRightInd w:val="0"/>
              <w:snapToGrid w:val="0"/>
              <w:jc w:val="center"/>
              <w:rPr>
                <w:rFonts w:ascii="Arial" w:hAnsi="Arial" w:eastAsia="宋体" w:cs="Arial"/>
                <w:sz w:val="21"/>
                <w:szCs w:val="21"/>
              </w:rPr>
            </w:pPr>
            <w:r>
              <w:rPr>
                <w:rFonts w:hint="eastAsia" w:ascii="Arial" w:hAnsi="Arial" w:eastAsia="宋体" w:cs="Arial"/>
                <w:sz w:val="21"/>
                <w:szCs w:val="21"/>
              </w:rPr>
              <w:t>气</w:t>
            </w:r>
          </w:p>
        </w:tc>
        <w:tc>
          <w:tcPr>
            <w:tcW w:w="452" w:type="pct"/>
            <w:vAlign w:val="center"/>
          </w:tcPr>
          <w:p w14:paraId="7766159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7664-41-7</w:t>
            </w:r>
          </w:p>
        </w:tc>
        <w:tc>
          <w:tcPr>
            <w:tcW w:w="1605" w:type="pct"/>
            <w:vAlign w:val="center"/>
          </w:tcPr>
          <w:p w14:paraId="22571D7F">
            <w:pPr>
              <w:adjustRightInd w:val="0"/>
              <w:snapToGrid w:val="0"/>
              <w:jc w:val="center"/>
              <w:rPr>
                <w:rFonts w:ascii="Arial" w:hAnsi="Arial" w:eastAsia="宋体" w:cs="Arial"/>
                <w:sz w:val="21"/>
                <w:szCs w:val="21"/>
              </w:rPr>
            </w:pPr>
            <w:r>
              <w:rPr>
                <w:rFonts w:hint="eastAsia" w:ascii="Arial" w:hAnsi="Arial" w:eastAsia="宋体" w:cs="Arial"/>
                <w:sz w:val="21"/>
                <w:szCs w:val="21"/>
              </w:rPr>
              <w:t>与空气混合能形成爆炸混合。遇明火、高热能引起燃烧爆炸。与氟、氯等接触会发生剧烈的化学反应。若遇高热，容器内压增大，有开裂和爆炸的危险。</w:t>
            </w:r>
          </w:p>
        </w:tc>
        <w:tc>
          <w:tcPr>
            <w:tcW w:w="302" w:type="pct"/>
            <w:vAlign w:val="center"/>
          </w:tcPr>
          <w:p w14:paraId="03134A50">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398" w:type="pct"/>
            <w:vAlign w:val="center"/>
          </w:tcPr>
          <w:p w14:paraId="161682E2">
            <w:pPr>
              <w:adjustRightInd w:val="0"/>
              <w:snapToGrid w:val="0"/>
              <w:jc w:val="center"/>
              <w:rPr>
                <w:rFonts w:ascii="Arial" w:hAnsi="Arial" w:eastAsia="宋体" w:cs="Arial"/>
                <w:sz w:val="21"/>
                <w:szCs w:val="21"/>
              </w:rPr>
            </w:pPr>
            <w:r>
              <w:rPr>
                <w:rFonts w:hint="eastAsia" w:ascii="Arial" w:hAnsi="Arial" w:eastAsia="宋体" w:cs="Arial"/>
                <w:sz w:val="21"/>
                <w:szCs w:val="21"/>
              </w:rPr>
              <w:t>651</w:t>
            </w:r>
          </w:p>
        </w:tc>
        <w:tc>
          <w:tcPr>
            <w:tcW w:w="458" w:type="pct"/>
            <w:vAlign w:val="center"/>
          </w:tcPr>
          <w:p w14:paraId="78A7C4D5">
            <w:pPr>
              <w:adjustRightInd w:val="0"/>
              <w:snapToGrid w:val="0"/>
              <w:jc w:val="center"/>
              <w:rPr>
                <w:rFonts w:ascii="Arial" w:hAnsi="Arial" w:eastAsia="宋体" w:cs="Arial"/>
                <w:sz w:val="21"/>
                <w:szCs w:val="21"/>
              </w:rPr>
            </w:pPr>
            <w:r>
              <w:rPr>
                <w:rFonts w:hint="eastAsia" w:ascii="Arial" w:hAnsi="Arial" w:eastAsia="宋体" w:cs="Arial"/>
                <w:sz w:val="21"/>
                <w:szCs w:val="21"/>
              </w:rPr>
              <w:t>27.4~15.7</w:t>
            </w:r>
          </w:p>
        </w:tc>
        <w:tc>
          <w:tcPr>
            <w:tcW w:w="821" w:type="pct"/>
            <w:vAlign w:val="center"/>
          </w:tcPr>
          <w:p w14:paraId="57372114">
            <w:pPr>
              <w:adjustRightInd w:val="0"/>
              <w:snapToGrid w:val="0"/>
              <w:jc w:val="center"/>
              <w:rPr>
                <w:rFonts w:ascii="Arial" w:hAnsi="Arial" w:eastAsia="宋体" w:cs="Arial"/>
                <w:sz w:val="21"/>
                <w:szCs w:val="21"/>
              </w:rPr>
            </w:pPr>
            <w:r>
              <w:rPr>
                <w:rFonts w:ascii="Arial" w:hAnsi="Arial" w:eastAsia="宋体" w:cs="Arial"/>
                <w:sz w:val="21"/>
                <w:szCs w:val="21"/>
              </w:rPr>
              <w:t>LD</w:t>
            </w:r>
            <w:r>
              <w:rPr>
                <w:rFonts w:ascii="Arial" w:hAnsi="Arial" w:eastAsia="宋体" w:cs="Arial"/>
                <w:sz w:val="21"/>
                <w:szCs w:val="21"/>
                <w:vertAlign w:val="subscript"/>
              </w:rPr>
              <w:t>50</w:t>
            </w:r>
            <w:r>
              <w:rPr>
                <w:rFonts w:ascii="Arial" w:hAnsi="Arial" w:eastAsia="宋体" w:cs="Arial"/>
                <w:sz w:val="21"/>
                <w:szCs w:val="21"/>
              </w:rPr>
              <w:t>：</w:t>
            </w:r>
            <w:r>
              <w:rPr>
                <w:rFonts w:hint="eastAsia" w:ascii="Arial" w:hAnsi="Arial" w:eastAsia="宋体" w:cs="Arial"/>
                <w:sz w:val="21"/>
                <w:szCs w:val="21"/>
              </w:rPr>
              <w:t>350mg/kg（大鼠经口）</w:t>
            </w:r>
            <w:r>
              <w:rPr>
                <w:rFonts w:ascii="Arial" w:hAnsi="Arial" w:eastAsia="宋体" w:cs="Arial"/>
                <w:sz w:val="21"/>
                <w:szCs w:val="21"/>
              </w:rPr>
              <w:t>；</w:t>
            </w:r>
          </w:p>
          <w:p w14:paraId="78FCE649">
            <w:pPr>
              <w:adjustRightInd w:val="0"/>
              <w:snapToGrid w:val="0"/>
              <w:jc w:val="center"/>
              <w:rPr>
                <w:rFonts w:ascii="Arial" w:hAnsi="Arial" w:eastAsia="宋体" w:cs="Arial"/>
                <w:kern w:val="0"/>
                <w:sz w:val="21"/>
                <w:szCs w:val="21"/>
              </w:rPr>
            </w:pPr>
            <w:r>
              <w:rPr>
                <w:rFonts w:ascii="Arial" w:hAnsi="Arial" w:eastAsia="宋体" w:cs="Arial"/>
                <w:sz w:val="21"/>
                <w:szCs w:val="21"/>
              </w:rPr>
              <w:t>LC</w:t>
            </w:r>
            <w:r>
              <w:rPr>
                <w:rFonts w:ascii="Arial" w:hAnsi="Arial" w:eastAsia="宋体" w:cs="Arial"/>
                <w:sz w:val="21"/>
                <w:szCs w:val="21"/>
                <w:vertAlign w:val="subscript"/>
              </w:rPr>
              <w:t>50</w:t>
            </w:r>
            <w:r>
              <w:rPr>
                <w:rFonts w:ascii="Arial" w:hAnsi="Arial" w:eastAsia="宋体" w:cs="Arial"/>
                <w:sz w:val="21"/>
                <w:szCs w:val="21"/>
              </w:rPr>
              <w:t>：</w:t>
            </w:r>
            <w:r>
              <w:rPr>
                <w:rFonts w:hint="eastAsia" w:ascii="Arial" w:hAnsi="Arial" w:eastAsia="宋体" w:cs="Arial"/>
                <w:sz w:val="21"/>
                <w:szCs w:val="21"/>
              </w:rPr>
              <w:t>1390mg/kg，4小时（大鼠吸入）</w:t>
            </w:r>
          </w:p>
        </w:tc>
        <w:tc>
          <w:tcPr>
            <w:tcW w:w="385" w:type="pct"/>
            <w:vAlign w:val="center"/>
          </w:tcPr>
          <w:p w14:paraId="191B7F8C">
            <w:pPr>
              <w:adjustRightInd w:val="0"/>
              <w:snapToGrid w:val="0"/>
              <w:jc w:val="center"/>
              <w:rPr>
                <w:rFonts w:ascii="Arial" w:hAnsi="Arial" w:eastAsia="宋体" w:cs="Arial"/>
                <w:sz w:val="21"/>
                <w:szCs w:val="21"/>
              </w:rPr>
            </w:pPr>
            <w:r>
              <w:rPr>
                <w:rFonts w:ascii="Arial" w:hAnsi="Arial" w:eastAsia="宋体" w:cs="Arial"/>
                <w:kern w:val="0"/>
                <w:sz w:val="21"/>
                <w:szCs w:val="21"/>
                <w:lang w:bidi="ar"/>
              </w:rPr>
              <w:t>X</w:t>
            </w:r>
            <w:r>
              <w:rPr>
                <w:rFonts w:hint="eastAsia" w:ascii="Arial" w:hAnsi="Arial" w:eastAsia="宋体" w:cs="Arial"/>
                <w:kern w:val="0"/>
                <w:sz w:val="21"/>
                <w:szCs w:val="21"/>
                <w:lang w:bidi="ar"/>
              </w:rPr>
              <w:t>19</w:t>
            </w:r>
            <w:r>
              <w:rPr>
                <w:rFonts w:ascii="Arial" w:hAnsi="Arial" w:eastAsia="宋体" w:cs="Arial"/>
                <w:kern w:val="0"/>
                <w:sz w:val="21"/>
                <w:szCs w:val="21"/>
                <w:lang w:bidi="ar"/>
              </w:rPr>
              <w:t>车间</w:t>
            </w:r>
            <w:r>
              <w:rPr>
                <w:rFonts w:hint="eastAsia" w:ascii="Arial" w:hAnsi="Arial" w:eastAsia="宋体" w:cs="Arial"/>
                <w:kern w:val="0"/>
                <w:sz w:val="21"/>
                <w:szCs w:val="21"/>
                <w:lang w:bidi="ar"/>
              </w:rPr>
              <w:t>排气筒</w:t>
            </w:r>
          </w:p>
        </w:tc>
      </w:tr>
      <w:tr w14:paraId="36CCE3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1" w:type="pct"/>
            <w:vAlign w:val="center"/>
          </w:tcPr>
          <w:p w14:paraId="3F0CEDAB">
            <w:pPr>
              <w:adjustRightInd w:val="0"/>
              <w:snapToGrid w:val="0"/>
              <w:jc w:val="center"/>
              <w:rPr>
                <w:rFonts w:ascii="Arial" w:hAnsi="Arial" w:eastAsia="宋体" w:cs="Arial"/>
                <w:sz w:val="21"/>
                <w:szCs w:val="21"/>
              </w:rPr>
            </w:pPr>
            <w:r>
              <w:rPr>
                <w:rFonts w:hint="eastAsia" w:ascii="Arial" w:hAnsi="Arial" w:eastAsia="宋体" w:cs="Arial"/>
                <w:sz w:val="21"/>
                <w:szCs w:val="21"/>
              </w:rPr>
              <w:t>3</w:t>
            </w:r>
          </w:p>
        </w:tc>
        <w:tc>
          <w:tcPr>
            <w:tcW w:w="238" w:type="pct"/>
            <w:vAlign w:val="center"/>
          </w:tcPr>
          <w:p w14:paraId="6E068339">
            <w:pPr>
              <w:adjustRightInd w:val="0"/>
              <w:snapToGrid w:val="0"/>
              <w:jc w:val="center"/>
              <w:rPr>
                <w:rFonts w:ascii="Arial" w:hAnsi="Arial" w:eastAsia="宋体" w:cs="Arial"/>
                <w:sz w:val="21"/>
                <w:szCs w:val="21"/>
              </w:rPr>
            </w:pPr>
            <w:r>
              <w:rPr>
                <w:rFonts w:ascii="Arial" w:hAnsi="Arial" w:eastAsia="宋体" w:cs="Arial"/>
                <w:sz w:val="21"/>
                <w:szCs w:val="21"/>
              </w:rPr>
              <w:t>硫酸</w:t>
            </w:r>
          </w:p>
        </w:tc>
        <w:tc>
          <w:tcPr>
            <w:tcW w:w="179" w:type="pct"/>
            <w:vAlign w:val="center"/>
          </w:tcPr>
          <w:p w14:paraId="0AE51433">
            <w:pPr>
              <w:adjustRightInd w:val="0"/>
              <w:snapToGrid w:val="0"/>
              <w:jc w:val="center"/>
              <w:rPr>
                <w:rFonts w:ascii="Arial" w:hAnsi="Arial" w:eastAsia="宋体" w:cs="Arial"/>
                <w:sz w:val="21"/>
                <w:szCs w:val="21"/>
              </w:rPr>
            </w:pPr>
            <w:r>
              <w:rPr>
                <w:rFonts w:ascii="Arial" w:hAnsi="Arial" w:eastAsia="宋体" w:cs="Arial"/>
                <w:sz w:val="21"/>
                <w:szCs w:val="21"/>
              </w:rPr>
              <w:t>液</w:t>
            </w:r>
          </w:p>
        </w:tc>
        <w:tc>
          <w:tcPr>
            <w:tcW w:w="452" w:type="pct"/>
            <w:vAlign w:val="center"/>
          </w:tcPr>
          <w:p w14:paraId="1144B0FC">
            <w:pPr>
              <w:adjustRightInd w:val="0"/>
              <w:snapToGrid w:val="0"/>
              <w:jc w:val="center"/>
              <w:rPr>
                <w:rFonts w:ascii="Arial" w:hAnsi="Arial" w:eastAsia="宋体" w:cs="Arial"/>
                <w:kern w:val="0"/>
                <w:sz w:val="21"/>
                <w:szCs w:val="21"/>
              </w:rPr>
            </w:pPr>
            <w:r>
              <w:rPr>
                <w:rFonts w:ascii="Arial" w:hAnsi="Arial" w:eastAsia="宋体" w:cs="Arial"/>
                <w:spacing w:val="10"/>
                <w:sz w:val="21"/>
                <w:szCs w:val="21"/>
              </w:rPr>
              <w:t>7664-93-9</w:t>
            </w:r>
          </w:p>
        </w:tc>
        <w:tc>
          <w:tcPr>
            <w:tcW w:w="1605" w:type="pct"/>
            <w:vAlign w:val="center"/>
          </w:tcPr>
          <w:p w14:paraId="13467FD4">
            <w:pPr>
              <w:adjustRightInd w:val="0"/>
              <w:snapToGrid w:val="0"/>
              <w:jc w:val="center"/>
              <w:rPr>
                <w:rFonts w:ascii="Arial" w:hAnsi="Arial" w:eastAsia="宋体" w:cs="Arial"/>
                <w:sz w:val="21"/>
                <w:szCs w:val="21"/>
              </w:rPr>
            </w:pPr>
            <w:r>
              <w:rPr>
                <w:rFonts w:ascii="Arial" w:hAnsi="Arial" w:eastAsia="宋体" w:cs="Arial"/>
                <w:sz w:val="21"/>
                <w:szCs w:val="21"/>
              </w:rPr>
              <w:t>遇水大量放热，可发生沸溅。与易燃物（如苯）和可燃物（如糖、维生素等）接触会发生剧烈反应，甚至引起燃烧。遇电石、高氯酸盐、</w:t>
            </w:r>
            <w:r>
              <w:rPr>
                <w:rFonts w:hint="eastAsia" w:ascii="Arial" w:hAnsi="Arial" w:eastAsia="宋体" w:cs="Arial"/>
                <w:sz w:val="21"/>
                <w:szCs w:val="21"/>
              </w:rPr>
              <w:t>磷酸</w:t>
            </w:r>
            <w:r>
              <w:rPr>
                <w:rFonts w:ascii="Arial" w:hAnsi="Arial" w:eastAsia="宋体" w:cs="Arial"/>
                <w:sz w:val="21"/>
                <w:szCs w:val="21"/>
              </w:rPr>
              <w:t>盐、硝酸盐、苦味酸盐、金属粉末等猛烈反应，发生爆炸或燃烧。</w:t>
            </w:r>
            <w:r>
              <w:rPr>
                <w:rFonts w:ascii="Arial" w:hAnsi="Arial" w:eastAsia="宋体" w:cs="Arial"/>
                <w:kern w:val="0"/>
                <w:sz w:val="21"/>
                <w:szCs w:val="21"/>
              </w:rPr>
              <w:t>有强烈的腐蚀性和洗水性。</w:t>
            </w:r>
          </w:p>
        </w:tc>
        <w:tc>
          <w:tcPr>
            <w:tcW w:w="302" w:type="pct"/>
            <w:vAlign w:val="center"/>
          </w:tcPr>
          <w:p w14:paraId="12A2980C">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pct"/>
            <w:vAlign w:val="center"/>
          </w:tcPr>
          <w:p w14:paraId="02AFC866">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58" w:type="pct"/>
            <w:vAlign w:val="center"/>
          </w:tcPr>
          <w:p w14:paraId="2CA7A1D6">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821" w:type="pct"/>
            <w:vAlign w:val="center"/>
          </w:tcPr>
          <w:p w14:paraId="35F84BBD">
            <w:pPr>
              <w:adjustRightInd w:val="0"/>
              <w:snapToGrid w:val="0"/>
              <w:jc w:val="center"/>
              <w:rPr>
                <w:rFonts w:ascii="Arial" w:hAnsi="Arial" w:eastAsia="宋体" w:cs="Arial"/>
                <w:kern w:val="0"/>
                <w:sz w:val="21"/>
                <w:szCs w:val="21"/>
              </w:rPr>
            </w:pPr>
            <w:r>
              <w:rPr>
                <w:rFonts w:ascii="Arial" w:hAnsi="Arial" w:eastAsia="宋体" w:cs="Arial"/>
                <w:kern w:val="0"/>
                <w:sz w:val="21"/>
                <w:szCs w:val="21"/>
              </w:rPr>
              <w:t>LD</w:t>
            </w:r>
            <w:r>
              <w:rPr>
                <w:rFonts w:ascii="Arial" w:hAnsi="Arial" w:eastAsia="宋体" w:cs="Arial"/>
                <w:kern w:val="0"/>
                <w:sz w:val="21"/>
                <w:szCs w:val="21"/>
                <w:vertAlign w:val="subscript"/>
              </w:rPr>
              <w:t>50</w:t>
            </w:r>
            <w:r>
              <w:rPr>
                <w:rFonts w:ascii="Arial" w:hAnsi="Arial" w:eastAsia="宋体" w:cs="Arial"/>
                <w:kern w:val="0"/>
                <w:sz w:val="21"/>
                <w:szCs w:val="21"/>
              </w:rPr>
              <w:t>：2140mg/kg（大鼠经口）；LC</w:t>
            </w:r>
            <w:r>
              <w:rPr>
                <w:rFonts w:ascii="Arial" w:hAnsi="Arial" w:eastAsia="宋体" w:cs="Arial"/>
                <w:kern w:val="0"/>
                <w:sz w:val="21"/>
                <w:szCs w:val="21"/>
                <w:vertAlign w:val="subscript"/>
              </w:rPr>
              <w:t>50</w:t>
            </w:r>
            <w:r>
              <w:rPr>
                <w:rFonts w:ascii="Arial" w:hAnsi="Arial" w:eastAsia="宋体" w:cs="Arial"/>
                <w:kern w:val="0"/>
                <w:sz w:val="21"/>
                <w:szCs w:val="21"/>
              </w:rPr>
              <w:t>：510mg/m</w:t>
            </w:r>
            <w:r>
              <w:rPr>
                <w:rFonts w:ascii="Arial" w:hAnsi="Arial" w:eastAsia="宋体" w:cs="Arial"/>
                <w:kern w:val="0"/>
                <w:sz w:val="21"/>
                <w:szCs w:val="21"/>
                <w:vertAlign w:val="superscript"/>
              </w:rPr>
              <w:t>3</w:t>
            </w:r>
            <w:r>
              <w:rPr>
                <w:rFonts w:ascii="Arial" w:hAnsi="Arial" w:eastAsia="宋体" w:cs="Arial"/>
                <w:kern w:val="0"/>
                <w:sz w:val="21"/>
                <w:szCs w:val="21"/>
              </w:rPr>
              <w:t>,2小时（大鼠吸入）；320mg/m</w:t>
            </w:r>
            <w:r>
              <w:rPr>
                <w:rFonts w:ascii="Arial" w:hAnsi="Arial" w:eastAsia="宋体" w:cs="Arial"/>
                <w:kern w:val="0"/>
                <w:sz w:val="21"/>
                <w:szCs w:val="21"/>
                <w:vertAlign w:val="superscript"/>
              </w:rPr>
              <w:t>3</w:t>
            </w:r>
            <w:r>
              <w:rPr>
                <w:rFonts w:ascii="Arial" w:hAnsi="Arial" w:eastAsia="宋体" w:cs="Arial"/>
                <w:kern w:val="0"/>
                <w:sz w:val="21"/>
                <w:szCs w:val="21"/>
              </w:rPr>
              <w:t>，2小时（小鼠吸入）</w:t>
            </w:r>
          </w:p>
        </w:tc>
        <w:tc>
          <w:tcPr>
            <w:tcW w:w="385" w:type="pct"/>
            <w:vAlign w:val="center"/>
          </w:tcPr>
          <w:p w14:paraId="117E5699">
            <w:pPr>
              <w:adjustRightInd w:val="0"/>
              <w:snapToGrid w:val="0"/>
              <w:jc w:val="center"/>
              <w:rPr>
                <w:rFonts w:ascii="Arial" w:hAnsi="Arial" w:eastAsia="宋体" w:cs="Arial"/>
                <w:kern w:val="0"/>
                <w:sz w:val="21"/>
                <w:szCs w:val="21"/>
                <w:lang w:bidi="ar"/>
              </w:rPr>
            </w:pPr>
            <w:r>
              <w:rPr>
                <w:rFonts w:ascii="Arial" w:hAnsi="Arial" w:eastAsia="宋体" w:cs="Arial"/>
                <w:kern w:val="0"/>
                <w:sz w:val="21"/>
                <w:szCs w:val="21"/>
                <w:lang w:bidi="ar"/>
              </w:rPr>
              <w:t>X</w:t>
            </w:r>
            <w:r>
              <w:rPr>
                <w:rFonts w:hint="eastAsia" w:ascii="Arial" w:hAnsi="Arial" w:eastAsia="宋体" w:cs="Arial"/>
                <w:kern w:val="0"/>
                <w:sz w:val="21"/>
                <w:szCs w:val="21"/>
                <w:lang w:bidi="ar"/>
              </w:rPr>
              <w:t>19</w:t>
            </w:r>
            <w:r>
              <w:rPr>
                <w:rFonts w:ascii="Arial" w:hAnsi="Arial" w:eastAsia="宋体" w:cs="Arial"/>
                <w:kern w:val="0"/>
                <w:sz w:val="21"/>
                <w:szCs w:val="21"/>
                <w:lang w:bidi="ar"/>
              </w:rPr>
              <w:t>车间</w:t>
            </w:r>
          </w:p>
        </w:tc>
      </w:tr>
      <w:tr w14:paraId="539B5C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1" w:type="pct"/>
            <w:vAlign w:val="center"/>
          </w:tcPr>
          <w:p w14:paraId="6D370CE0">
            <w:pPr>
              <w:adjustRightInd w:val="0"/>
              <w:snapToGrid w:val="0"/>
              <w:jc w:val="center"/>
              <w:rPr>
                <w:rFonts w:ascii="Arial" w:hAnsi="Arial" w:eastAsia="宋体" w:cs="Arial"/>
                <w:sz w:val="21"/>
                <w:szCs w:val="21"/>
              </w:rPr>
            </w:pPr>
            <w:r>
              <w:rPr>
                <w:rFonts w:hint="eastAsia" w:ascii="Arial" w:hAnsi="Arial" w:eastAsia="宋体" w:cs="Arial"/>
                <w:sz w:val="21"/>
                <w:szCs w:val="21"/>
              </w:rPr>
              <w:t>4</w:t>
            </w:r>
          </w:p>
        </w:tc>
        <w:tc>
          <w:tcPr>
            <w:tcW w:w="238" w:type="pct"/>
            <w:vAlign w:val="center"/>
          </w:tcPr>
          <w:p w14:paraId="73F5EC87">
            <w:pPr>
              <w:adjustRightInd w:val="0"/>
              <w:snapToGrid w:val="0"/>
              <w:jc w:val="center"/>
              <w:rPr>
                <w:rFonts w:ascii="Arial" w:hAnsi="Arial" w:eastAsia="宋体" w:cs="Arial"/>
                <w:sz w:val="21"/>
                <w:szCs w:val="21"/>
              </w:rPr>
            </w:pPr>
            <w:r>
              <w:rPr>
                <w:rFonts w:ascii="Arial" w:hAnsi="Arial" w:eastAsia="宋体" w:cs="Arial"/>
                <w:sz w:val="21"/>
                <w:szCs w:val="21"/>
              </w:rPr>
              <w:t>一氧化碳</w:t>
            </w:r>
          </w:p>
        </w:tc>
        <w:tc>
          <w:tcPr>
            <w:tcW w:w="179" w:type="pct"/>
            <w:vAlign w:val="center"/>
          </w:tcPr>
          <w:p w14:paraId="3C7FDA53">
            <w:pPr>
              <w:adjustRightInd w:val="0"/>
              <w:snapToGrid w:val="0"/>
              <w:jc w:val="center"/>
              <w:rPr>
                <w:rFonts w:ascii="Arial" w:hAnsi="Arial" w:eastAsia="宋体" w:cs="Arial"/>
                <w:sz w:val="21"/>
                <w:szCs w:val="21"/>
              </w:rPr>
            </w:pPr>
            <w:r>
              <w:rPr>
                <w:rFonts w:ascii="Arial" w:hAnsi="Arial" w:eastAsia="宋体" w:cs="Arial"/>
                <w:sz w:val="21"/>
                <w:szCs w:val="21"/>
              </w:rPr>
              <w:t>气</w:t>
            </w:r>
          </w:p>
        </w:tc>
        <w:tc>
          <w:tcPr>
            <w:tcW w:w="452" w:type="pct"/>
            <w:vAlign w:val="center"/>
          </w:tcPr>
          <w:p w14:paraId="0FE76F8E">
            <w:pPr>
              <w:adjustRightInd w:val="0"/>
              <w:snapToGrid w:val="0"/>
              <w:jc w:val="center"/>
              <w:rPr>
                <w:rFonts w:ascii="Arial" w:hAnsi="Arial" w:eastAsia="宋体" w:cs="Arial"/>
                <w:sz w:val="21"/>
                <w:szCs w:val="21"/>
              </w:rPr>
            </w:pPr>
            <w:r>
              <w:rPr>
                <w:rFonts w:ascii="Arial" w:hAnsi="Arial" w:eastAsia="宋体" w:cs="Arial"/>
                <w:sz w:val="21"/>
                <w:szCs w:val="21"/>
              </w:rPr>
              <w:t>630-08-0</w:t>
            </w:r>
          </w:p>
        </w:tc>
        <w:tc>
          <w:tcPr>
            <w:tcW w:w="1605" w:type="pct"/>
            <w:vAlign w:val="center"/>
          </w:tcPr>
          <w:p w14:paraId="3CAF666A">
            <w:pPr>
              <w:adjustRightInd w:val="0"/>
              <w:snapToGrid w:val="0"/>
              <w:jc w:val="center"/>
              <w:rPr>
                <w:rFonts w:ascii="Arial" w:hAnsi="Arial" w:eastAsia="宋体" w:cs="Arial"/>
                <w:sz w:val="21"/>
                <w:szCs w:val="21"/>
              </w:rPr>
            </w:pPr>
            <w:r>
              <w:rPr>
                <w:rFonts w:ascii="Arial" w:hAnsi="Arial" w:eastAsia="宋体" w:cs="Arial"/>
                <w:sz w:val="21"/>
                <w:szCs w:val="21"/>
              </w:rPr>
              <w:t>易燃易爆气体。与空气混合能形成爆炸性混合物，遇明火、高热能引起燃烧爆炸。</w:t>
            </w:r>
          </w:p>
        </w:tc>
        <w:tc>
          <w:tcPr>
            <w:tcW w:w="302" w:type="pct"/>
            <w:vAlign w:val="center"/>
          </w:tcPr>
          <w:p w14:paraId="2FF8C374">
            <w:pPr>
              <w:adjustRightInd w:val="0"/>
              <w:snapToGrid w:val="0"/>
              <w:jc w:val="center"/>
              <w:rPr>
                <w:rFonts w:ascii="Arial" w:hAnsi="Arial" w:eastAsia="宋体" w:cs="Arial"/>
                <w:sz w:val="21"/>
                <w:szCs w:val="21"/>
              </w:rPr>
            </w:pPr>
            <w:r>
              <w:rPr>
                <w:rFonts w:ascii="Arial" w:hAnsi="Arial" w:eastAsia="宋体" w:cs="Arial"/>
                <w:sz w:val="21"/>
                <w:szCs w:val="21"/>
              </w:rPr>
              <w:t>&lt;-50</w:t>
            </w:r>
            <w:r>
              <w:rPr>
                <w:rFonts w:hint="eastAsia" w:ascii="宋体" w:hAnsi="宋体" w:eastAsia="宋体" w:cs="宋体"/>
                <w:sz w:val="21"/>
                <w:szCs w:val="21"/>
              </w:rPr>
              <w:t>℃</w:t>
            </w:r>
          </w:p>
        </w:tc>
        <w:tc>
          <w:tcPr>
            <w:tcW w:w="398" w:type="pct"/>
            <w:vAlign w:val="center"/>
          </w:tcPr>
          <w:p w14:paraId="756F15E6">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58" w:type="pct"/>
            <w:vAlign w:val="center"/>
          </w:tcPr>
          <w:p w14:paraId="41A813D0">
            <w:pPr>
              <w:adjustRightInd w:val="0"/>
              <w:snapToGrid w:val="0"/>
              <w:jc w:val="center"/>
              <w:rPr>
                <w:rFonts w:ascii="Arial" w:hAnsi="Arial" w:eastAsia="宋体" w:cs="Arial"/>
                <w:sz w:val="21"/>
                <w:szCs w:val="21"/>
              </w:rPr>
            </w:pPr>
            <w:r>
              <w:rPr>
                <w:rFonts w:ascii="Arial" w:hAnsi="Arial" w:eastAsia="宋体" w:cs="Arial"/>
                <w:sz w:val="21"/>
                <w:szCs w:val="21"/>
              </w:rPr>
              <w:t>27.4~15.37</w:t>
            </w:r>
          </w:p>
        </w:tc>
        <w:tc>
          <w:tcPr>
            <w:tcW w:w="821" w:type="pct"/>
            <w:vAlign w:val="center"/>
          </w:tcPr>
          <w:p w14:paraId="680CE4C2">
            <w:pPr>
              <w:adjustRightInd w:val="0"/>
              <w:snapToGrid w:val="0"/>
              <w:jc w:val="center"/>
              <w:rPr>
                <w:rFonts w:ascii="Arial" w:hAnsi="Arial" w:eastAsia="宋体" w:cs="Arial"/>
                <w:sz w:val="21"/>
                <w:szCs w:val="21"/>
              </w:rPr>
            </w:pPr>
            <w:r>
              <w:rPr>
                <w:rFonts w:ascii="Arial" w:hAnsi="Arial" w:eastAsia="宋体" w:cs="Arial"/>
                <w:sz w:val="21"/>
                <w:szCs w:val="21"/>
              </w:rPr>
              <w:t>LD</w:t>
            </w:r>
            <w:r>
              <w:rPr>
                <w:rFonts w:ascii="Arial" w:hAnsi="Arial" w:eastAsia="宋体" w:cs="Arial"/>
                <w:sz w:val="21"/>
                <w:szCs w:val="21"/>
                <w:vertAlign w:val="subscript"/>
              </w:rPr>
              <w:t>50</w:t>
            </w:r>
            <w:r>
              <w:rPr>
                <w:rFonts w:ascii="Arial" w:hAnsi="Arial" w:eastAsia="宋体" w:cs="Arial"/>
                <w:sz w:val="21"/>
                <w:szCs w:val="21"/>
              </w:rPr>
              <w:t>：无资料；</w:t>
            </w:r>
          </w:p>
          <w:p w14:paraId="51B0CA48">
            <w:pPr>
              <w:adjustRightInd w:val="0"/>
              <w:snapToGrid w:val="0"/>
              <w:jc w:val="center"/>
              <w:rPr>
                <w:rFonts w:ascii="Arial" w:hAnsi="Arial" w:eastAsia="宋体" w:cs="Arial"/>
                <w:sz w:val="21"/>
                <w:szCs w:val="21"/>
              </w:rPr>
            </w:pPr>
            <w:r>
              <w:rPr>
                <w:rFonts w:ascii="Arial" w:hAnsi="Arial" w:eastAsia="宋体" w:cs="Arial"/>
                <w:sz w:val="21"/>
                <w:szCs w:val="21"/>
              </w:rPr>
              <w:t>LC</w:t>
            </w:r>
            <w:r>
              <w:rPr>
                <w:rFonts w:ascii="Arial" w:hAnsi="Arial" w:eastAsia="宋体" w:cs="Arial"/>
                <w:sz w:val="21"/>
                <w:szCs w:val="21"/>
                <w:vertAlign w:val="subscript"/>
              </w:rPr>
              <w:t>50</w:t>
            </w:r>
            <w:r>
              <w:rPr>
                <w:rFonts w:ascii="Arial" w:hAnsi="Arial" w:eastAsia="宋体" w:cs="Arial"/>
                <w:sz w:val="21"/>
                <w:szCs w:val="21"/>
              </w:rPr>
              <w:t>：1807ppm/4小时（大鼠吸入）</w:t>
            </w:r>
          </w:p>
        </w:tc>
        <w:tc>
          <w:tcPr>
            <w:tcW w:w="385" w:type="pct"/>
            <w:vAlign w:val="center"/>
          </w:tcPr>
          <w:p w14:paraId="064D03E7">
            <w:pPr>
              <w:adjustRightInd w:val="0"/>
              <w:snapToGrid w:val="0"/>
              <w:jc w:val="center"/>
              <w:rPr>
                <w:rFonts w:ascii="Arial" w:hAnsi="Arial" w:eastAsia="宋体" w:cs="Arial"/>
                <w:sz w:val="21"/>
                <w:szCs w:val="21"/>
              </w:rPr>
            </w:pPr>
            <w:r>
              <w:rPr>
                <w:rFonts w:ascii="Arial" w:hAnsi="Arial" w:eastAsia="宋体" w:cs="Arial"/>
                <w:spacing w:val="10"/>
                <w:sz w:val="21"/>
                <w:szCs w:val="21"/>
              </w:rPr>
              <w:t>火灾和爆炸伴生/次生物</w:t>
            </w:r>
          </w:p>
        </w:tc>
      </w:tr>
      <w:tr w14:paraId="60A552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1" w:type="pct"/>
            <w:vAlign w:val="center"/>
          </w:tcPr>
          <w:p w14:paraId="0A48F027">
            <w:pPr>
              <w:adjustRightInd w:val="0"/>
              <w:snapToGrid w:val="0"/>
              <w:jc w:val="center"/>
              <w:rPr>
                <w:rFonts w:ascii="Arial" w:hAnsi="Arial" w:eastAsia="宋体" w:cs="Arial"/>
                <w:sz w:val="21"/>
                <w:szCs w:val="21"/>
              </w:rPr>
            </w:pPr>
            <w:r>
              <w:rPr>
                <w:rFonts w:hint="eastAsia" w:ascii="Arial" w:hAnsi="Arial" w:eastAsia="宋体" w:cs="Arial"/>
                <w:sz w:val="21"/>
                <w:szCs w:val="21"/>
              </w:rPr>
              <w:t>5</w:t>
            </w:r>
          </w:p>
        </w:tc>
        <w:tc>
          <w:tcPr>
            <w:tcW w:w="238" w:type="pct"/>
            <w:vAlign w:val="center"/>
          </w:tcPr>
          <w:p w14:paraId="2B31CBE8">
            <w:pPr>
              <w:adjustRightInd w:val="0"/>
              <w:snapToGrid w:val="0"/>
              <w:jc w:val="center"/>
              <w:rPr>
                <w:rFonts w:ascii="Arial" w:hAnsi="Arial" w:eastAsia="宋体" w:cs="Arial"/>
                <w:sz w:val="21"/>
                <w:szCs w:val="21"/>
              </w:rPr>
            </w:pPr>
            <w:r>
              <w:rPr>
                <w:rFonts w:ascii="Arial" w:hAnsi="Arial" w:eastAsia="宋体" w:cs="Arial"/>
                <w:sz w:val="21"/>
                <w:szCs w:val="21"/>
              </w:rPr>
              <w:t>二氧化硫</w:t>
            </w:r>
          </w:p>
        </w:tc>
        <w:tc>
          <w:tcPr>
            <w:tcW w:w="179" w:type="pct"/>
            <w:vAlign w:val="center"/>
          </w:tcPr>
          <w:p w14:paraId="30683E8D">
            <w:pPr>
              <w:adjustRightInd w:val="0"/>
              <w:snapToGrid w:val="0"/>
              <w:jc w:val="center"/>
              <w:rPr>
                <w:rFonts w:ascii="Arial" w:hAnsi="Arial" w:eastAsia="宋体" w:cs="Arial"/>
                <w:sz w:val="21"/>
                <w:szCs w:val="21"/>
              </w:rPr>
            </w:pPr>
            <w:r>
              <w:rPr>
                <w:rFonts w:ascii="Arial" w:hAnsi="Arial" w:eastAsia="宋体" w:cs="Arial"/>
                <w:sz w:val="21"/>
                <w:szCs w:val="21"/>
              </w:rPr>
              <w:t>气</w:t>
            </w:r>
          </w:p>
        </w:tc>
        <w:tc>
          <w:tcPr>
            <w:tcW w:w="452" w:type="pct"/>
            <w:vAlign w:val="center"/>
          </w:tcPr>
          <w:p w14:paraId="2A3474B3">
            <w:pPr>
              <w:adjustRightInd w:val="0"/>
              <w:snapToGrid w:val="0"/>
              <w:jc w:val="center"/>
              <w:rPr>
                <w:rFonts w:ascii="Arial" w:hAnsi="Arial" w:eastAsia="宋体" w:cs="Arial"/>
                <w:sz w:val="21"/>
                <w:szCs w:val="21"/>
              </w:rPr>
            </w:pPr>
            <w:r>
              <w:rPr>
                <w:rFonts w:ascii="Arial" w:hAnsi="Arial" w:eastAsia="宋体" w:cs="Arial"/>
                <w:sz w:val="21"/>
                <w:szCs w:val="21"/>
              </w:rPr>
              <w:t>7446-09-5</w:t>
            </w:r>
          </w:p>
        </w:tc>
        <w:tc>
          <w:tcPr>
            <w:tcW w:w="1605" w:type="pct"/>
            <w:vAlign w:val="center"/>
          </w:tcPr>
          <w:p w14:paraId="396DC9D3">
            <w:pPr>
              <w:adjustRightInd w:val="0"/>
              <w:snapToGrid w:val="0"/>
              <w:jc w:val="center"/>
              <w:rPr>
                <w:rFonts w:ascii="Arial" w:hAnsi="Arial" w:eastAsia="宋体" w:cs="Arial"/>
                <w:sz w:val="21"/>
                <w:szCs w:val="21"/>
              </w:rPr>
            </w:pPr>
            <w:r>
              <w:rPr>
                <w:rFonts w:ascii="Arial" w:hAnsi="Arial" w:eastAsia="宋体" w:cs="Arial"/>
                <w:sz w:val="21"/>
                <w:szCs w:val="21"/>
              </w:rPr>
              <w:t>不燃。遇高热，容器内压增大，有开裂和爆炸的危险。</w:t>
            </w:r>
          </w:p>
        </w:tc>
        <w:tc>
          <w:tcPr>
            <w:tcW w:w="302" w:type="pct"/>
            <w:vAlign w:val="center"/>
          </w:tcPr>
          <w:p w14:paraId="43E4727A">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398" w:type="pct"/>
            <w:vAlign w:val="center"/>
          </w:tcPr>
          <w:p w14:paraId="2E088F75">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458" w:type="pct"/>
            <w:vAlign w:val="center"/>
          </w:tcPr>
          <w:p w14:paraId="19744CE1">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821" w:type="pct"/>
            <w:vAlign w:val="center"/>
          </w:tcPr>
          <w:p w14:paraId="1DB61142">
            <w:pPr>
              <w:adjustRightInd w:val="0"/>
              <w:snapToGrid w:val="0"/>
              <w:jc w:val="center"/>
              <w:rPr>
                <w:rFonts w:ascii="Arial" w:hAnsi="Arial" w:eastAsia="宋体" w:cs="Arial"/>
                <w:sz w:val="21"/>
                <w:szCs w:val="21"/>
              </w:rPr>
            </w:pPr>
            <w:r>
              <w:rPr>
                <w:rFonts w:ascii="Arial" w:hAnsi="Arial" w:eastAsia="宋体" w:cs="Arial"/>
                <w:sz w:val="21"/>
                <w:szCs w:val="21"/>
              </w:rPr>
              <w:t>LD</w:t>
            </w:r>
            <w:r>
              <w:rPr>
                <w:rFonts w:ascii="Arial" w:hAnsi="Arial" w:eastAsia="宋体" w:cs="Arial"/>
                <w:sz w:val="21"/>
                <w:szCs w:val="21"/>
                <w:vertAlign w:val="subscript"/>
              </w:rPr>
              <w:t>50</w:t>
            </w:r>
            <w:r>
              <w:rPr>
                <w:rFonts w:ascii="Arial" w:hAnsi="Arial" w:eastAsia="宋体" w:cs="Arial"/>
                <w:sz w:val="21"/>
                <w:szCs w:val="21"/>
              </w:rPr>
              <w:t>：无资料；</w:t>
            </w:r>
          </w:p>
          <w:p w14:paraId="6CC0C952">
            <w:pPr>
              <w:widowControl/>
              <w:adjustRightInd w:val="0"/>
              <w:snapToGrid w:val="0"/>
              <w:jc w:val="center"/>
              <w:rPr>
                <w:rFonts w:ascii="Arial" w:hAnsi="Arial" w:eastAsia="宋体" w:cs="Arial"/>
                <w:sz w:val="21"/>
                <w:szCs w:val="21"/>
              </w:rPr>
            </w:pPr>
            <w:r>
              <w:rPr>
                <w:rFonts w:ascii="Arial" w:hAnsi="Arial" w:eastAsia="宋体" w:cs="Arial"/>
                <w:sz w:val="21"/>
                <w:szCs w:val="21"/>
              </w:rPr>
              <w:t>LC</w:t>
            </w:r>
            <w:r>
              <w:rPr>
                <w:rFonts w:ascii="Arial" w:hAnsi="Arial" w:eastAsia="宋体" w:cs="Arial"/>
                <w:sz w:val="21"/>
                <w:szCs w:val="21"/>
                <w:vertAlign w:val="subscript"/>
              </w:rPr>
              <w:t>50</w:t>
            </w:r>
            <w:r>
              <w:rPr>
                <w:rFonts w:ascii="Arial" w:hAnsi="Arial" w:eastAsia="宋体" w:cs="Arial"/>
                <w:sz w:val="21"/>
                <w:szCs w:val="21"/>
              </w:rPr>
              <w:t>：2520ppm/1小时（大鼠吸入），3000ppm/30分钟（小鼠吸入）</w:t>
            </w:r>
          </w:p>
        </w:tc>
        <w:tc>
          <w:tcPr>
            <w:tcW w:w="385" w:type="pct"/>
            <w:vAlign w:val="center"/>
          </w:tcPr>
          <w:p w14:paraId="3AF83F68">
            <w:pPr>
              <w:adjustRightInd w:val="0"/>
              <w:snapToGrid w:val="0"/>
              <w:jc w:val="center"/>
              <w:rPr>
                <w:rFonts w:ascii="Arial" w:hAnsi="Arial" w:eastAsia="宋体" w:cs="Arial"/>
                <w:sz w:val="21"/>
                <w:szCs w:val="21"/>
              </w:rPr>
            </w:pPr>
            <w:r>
              <w:rPr>
                <w:rFonts w:ascii="Arial" w:hAnsi="Arial" w:eastAsia="宋体" w:cs="Arial"/>
                <w:spacing w:val="10"/>
                <w:sz w:val="21"/>
                <w:szCs w:val="21"/>
              </w:rPr>
              <w:t>火灾和爆炸伴生/次生物</w:t>
            </w:r>
          </w:p>
        </w:tc>
      </w:tr>
    </w:tbl>
    <w:p w14:paraId="416AEEEB">
      <w:pPr>
        <w:widowControl/>
        <w:jc w:val="left"/>
        <w:rPr>
          <w:rFonts w:ascii="Arial" w:hAnsi="Arial" w:eastAsia="宋体" w:cs="Arial"/>
          <w:spacing w:val="10"/>
          <w:sz w:val="24"/>
          <w:highlight w:val="yellow"/>
        </w:rPr>
      </w:pPr>
    </w:p>
    <w:p w14:paraId="5A6A1BC3">
      <w:pPr>
        <w:widowControl/>
        <w:jc w:val="left"/>
        <w:rPr>
          <w:rFonts w:ascii="Arial" w:hAnsi="Arial" w:eastAsia="宋体" w:cs="Arial"/>
          <w:spacing w:val="10"/>
          <w:sz w:val="24"/>
          <w:highlight w:val="yellow"/>
        </w:rPr>
        <w:sectPr>
          <w:pgSz w:w="16840" w:h="11907" w:orient="landscape"/>
          <w:pgMar w:top="1157" w:right="1678" w:bottom="1406" w:left="1899" w:header="1174" w:footer="1026" w:gutter="567"/>
          <w:cols w:space="720" w:num="1"/>
          <w:docGrid w:type="linesAndChars" w:linePitch="428" w:charSpace="-3161"/>
        </w:sectPr>
      </w:pPr>
    </w:p>
    <w:p w14:paraId="7C325183">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2.生产系统危险性识别</w:t>
      </w:r>
    </w:p>
    <w:p w14:paraId="316E18FC">
      <w:pPr>
        <w:spacing w:line="500" w:lineRule="exact"/>
        <w:ind w:firstLine="490" w:firstLineChars="200"/>
        <w:rPr>
          <w:rFonts w:ascii="Arial" w:hAnsi="Arial" w:eastAsia="宋体" w:cs="Arial"/>
          <w:bCs/>
          <w:spacing w:val="10"/>
          <w:sz w:val="24"/>
          <w:szCs w:val="24"/>
        </w:rPr>
      </w:pPr>
      <w:r>
        <w:rPr>
          <w:rFonts w:ascii="Arial" w:hAnsi="Arial" w:eastAsia="宋体" w:cs="Arial"/>
          <w:bCs/>
          <w:spacing w:val="10"/>
          <w:sz w:val="24"/>
          <w:szCs w:val="24"/>
        </w:rPr>
        <w:t>（1）生产装置危险性识别</w:t>
      </w:r>
    </w:p>
    <w:p w14:paraId="67C141E7">
      <w:pPr>
        <w:spacing w:line="500" w:lineRule="exact"/>
        <w:ind w:firstLine="490" w:firstLineChars="200"/>
        <w:rPr>
          <w:rFonts w:ascii="Arial" w:hAnsi="Arial" w:eastAsia="宋体" w:cs="Arial"/>
          <w:spacing w:val="10"/>
          <w:sz w:val="24"/>
          <w:szCs w:val="22"/>
        </w:rPr>
      </w:pPr>
      <w:r>
        <w:rPr>
          <w:rFonts w:ascii="Arial" w:hAnsi="Arial" w:eastAsia="宋体" w:cs="Arial"/>
          <w:spacing w:val="10"/>
          <w:sz w:val="24"/>
          <w:szCs w:val="22"/>
        </w:rPr>
        <w:t>项目</w:t>
      </w:r>
      <w:r>
        <w:rPr>
          <w:rFonts w:hint="eastAsia" w:ascii="Arial" w:hAnsi="Arial" w:eastAsia="宋体" w:cs="Arial"/>
          <w:spacing w:val="10"/>
          <w:sz w:val="24"/>
          <w:szCs w:val="22"/>
        </w:rPr>
        <w:t>羟基钴生产线合成</w:t>
      </w:r>
      <w:r>
        <w:rPr>
          <w:rFonts w:ascii="Arial" w:hAnsi="Arial" w:eastAsia="宋体" w:cs="Arial"/>
          <w:spacing w:val="10"/>
          <w:sz w:val="24"/>
          <w:szCs w:val="22"/>
        </w:rPr>
        <w:t>工序，</w:t>
      </w:r>
      <w:r>
        <w:rPr>
          <w:rFonts w:hint="eastAsia" w:ascii="Arial" w:hAnsi="Arial" w:eastAsia="宋体" w:cs="Arial"/>
          <w:spacing w:val="10"/>
          <w:sz w:val="24"/>
          <w:szCs w:val="22"/>
        </w:rPr>
        <w:t>在反应釜中加入硫酸钴溶液和32%液碱，同时加入21%氨水（络合剂）、双氧水（氧化剂）进行反应，得到羟基钴料浆，反应过程涉及氧化工艺，合成工序不涉及高温和高压，</w:t>
      </w:r>
      <w:r>
        <w:rPr>
          <w:rFonts w:ascii="Arial" w:hAnsi="Arial" w:eastAsia="宋体" w:cs="Arial"/>
          <w:spacing w:val="10"/>
          <w:sz w:val="24"/>
          <w:szCs w:val="22"/>
        </w:rPr>
        <w:t>原料</w:t>
      </w:r>
      <w:r>
        <w:rPr>
          <w:rFonts w:hint="eastAsia" w:ascii="Arial" w:hAnsi="Arial" w:eastAsia="宋体" w:cs="Arial"/>
          <w:spacing w:val="10"/>
          <w:sz w:val="24"/>
          <w:szCs w:val="22"/>
        </w:rPr>
        <w:t>、</w:t>
      </w:r>
      <w:r>
        <w:rPr>
          <w:rFonts w:ascii="Arial" w:hAnsi="Arial" w:eastAsia="宋体" w:cs="Arial"/>
          <w:spacing w:val="10"/>
          <w:sz w:val="24"/>
          <w:szCs w:val="22"/>
        </w:rPr>
        <w:t>产物</w:t>
      </w:r>
      <w:r>
        <w:rPr>
          <w:rFonts w:hint="eastAsia" w:ascii="Arial" w:hAnsi="Arial" w:eastAsia="宋体" w:cs="Arial"/>
          <w:spacing w:val="10"/>
          <w:sz w:val="24"/>
          <w:szCs w:val="22"/>
        </w:rPr>
        <w:t>和</w:t>
      </w:r>
      <w:r>
        <w:rPr>
          <w:rFonts w:ascii="Arial" w:hAnsi="Arial" w:eastAsia="宋体" w:cs="Arial"/>
          <w:spacing w:val="10"/>
          <w:sz w:val="24"/>
          <w:szCs w:val="22"/>
        </w:rPr>
        <w:t>反应</w:t>
      </w:r>
      <w:r>
        <w:rPr>
          <w:rFonts w:hint="eastAsia" w:ascii="Arial" w:hAnsi="Arial" w:eastAsia="宋体" w:cs="Arial"/>
          <w:spacing w:val="10"/>
          <w:sz w:val="24"/>
          <w:szCs w:val="22"/>
        </w:rPr>
        <w:t>过程</w:t>
      </w:r>
      <w:r>
        <w:rPr>
          <w:rFonts w:ascii="Arial" w:hAnsi="Arial" w:eastAsia="宋体" w:cs="Arial"/>
          <w:spacing w:val="10"/>
          <w:sz w:val="24"/>
          <w:szCs w:val="22"/>
        </w:rPr>
        <w:t>无燃爆危险性，</w:t>
      </w:r>
      <w:r>
        <w:rPr>
          <w:rFonts w:ascii="Arial" w:hAnsi="Arial" w:eastAsia="宋体" w:cs="Arial"/>
          <w:sz w:val="24"/>
          <w:szCs w:val="24"/>
        </w:rPr>
        <w:t>可能</w:t>
      </w:r>
      <w:r>
        <w:rPr>
          <w:rFonts w:hint="eastAsia" w:ascii="Arial" w:hAnsi="Arial" w:eastAsia="宋体" w:cs="Arial"/>
          <w:sz w:val="24"/>
          <w:szCs w:val="24"/>
        </w:rPr>
        <w:t>有液体泄漏</w:t>
      </w:r>
      <w:r>
        <w:rPr>
          <w:rFonts w:ascii="Arial" w:hAnsi="Arial" w:eastAsia="宋体" w:cs="Arial"/>
          <w:sz w:val="24"/>
          <w:szCs w:val="24"/>
        </w:rPr>
        <w:t>风险</w:t>
      </w:r>
      <w:r>
        <w:rPr>
          <w:rFonts w:hint="eastAsia" w:ascii="Arial" w:hAnsi="Arial" w:eastAsia="宋体" w:cs="Arial"/>
          <w:sz w:val="24"/>
          <w:szCs w:val="24"/>
        </w:rPr>
        <w:t>。</w:t>
      </w:r>
    </w:p>
    <w:p w14:paraId="7C0A2A42">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（2）储运设施危险性识别</w:t>
      </w:r>
    </w:p>
    <w:p w14:paraId="2D042309">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储运设施危险性识别表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3214"/>
        <w:gridCol w:w="2502"/>
        <w:gridCol w:w="2131"/>
      </w:tblGrid>
      <w:tr w14:paraId="5D5AF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7" w:type="pct"/>
            <w:vAlign w:val="center"/>
          </w:tcPr>
          <w:p w14:paraId="12C0C9E4">
            <w:pPr>
              <w:adjustRightInd w:val="0"/>
              <w:snapToGrid w:val="0"/>
              <w:jc w:val="center"/>
              <w:rPr>
                <w:rFonts w:ascii="Arial" w:hAnsi="Arial" w:eastAsia="宋体" w:cs="Arial"/>
                <w:sz w:val="21"/>
                <w:szCs w:val="21"/>
              </w:rPr>
            </w:pPr>
            <w:r>
              <w:rPr>
                <w:rFonts w:ascii="Arial" w:hAnsi="Arial" w:eastAsia="宋体" w:cs="Arial"/>
                <w:sz w:val="21"/>
                <w:szCs w:val="21"/>
              </w:rPr>
              <w:t>序号</w:t>
            </w:r>
          </w:p>
        </w:tc>
        <w:tc>
          <w:tcPr>
            <w:tcW w:w="1787" w:type="pct"/>
            <w:vAlign w:val="center"/>
          </w:tcPr>
          <w:p w14:paraId="090DFD75">
            <w:pPr>
              <w:adjustRightInd w:val="0"/>
              <w:snapToGrid w:val="0"/>
              <w:jc w:val="center"/>
              <w:rPr>
                <w:rFonts w:ascii="Arial" w:hAnsi="Arial" w:eastAsia="宋体" w:cs="Arial"/>
                <w:sz w:val="21"/>
                <w:szCs w:val="21"/>
              </w:rPr>
            </w:pPr>
            <w:r>
              <w:rPr>
                <w:rFonts w:ascii="Arial" w:hAnsi="Arial" w:eastAsia="宋体" w:cs="Arial"/>
                <w:sz w:val="21"/>
                <w:szCs w:val="21"/>
              </w:rPr>
              <w:t>储运设施</w:t>
            </w:r>
          </w:p>
        </w:tc>
        <w:tc>
          <w:tcPr>
            <w:tcW w:w="1391" w:type="pct"/>
            <w:vAlign w:val="center"/>
          </w:tcPr>
          <w:p w14:paraId="78C12BDF">
            <w:pPr>
              <w:adjustRightInd w:val="0"/>
              <w:snapToGrid w:val="0"/>
              <w:jc w:val="center"/>
              <w:rPr>
                <w:rFonts w:ascii="Arial" w:hAnsi="Arial" w:eastAsia="宋体" w:cs="Arial"/>
                <w:sz w:val="21"/>
                <w:szCs w:val="21"/>
              </w:rPr>
            </w:pPr>
            <w:r>
              <w:rPr>
                <w:rFonts w:ascii="Arial" w:hAnsi="Arial" w:eastAsia="宋体" w:cs="Arial"/>
                <w:sz w:val="21"/>
                <w:szCs w:val="21"/>
              </w:rPr>
              <w:t>危险物质</w:t>
            </w:r>
          </w:p>
        </w:tc>
        <w:tc>
          <w:tcPr>
            <w:tcW w:w="1185" w:type="pct"/>
            <w:vAlign w:val="center"/>
          </w:tcPr>
          <w:p w14:paraId="25BCF6F6">
            <w:pPr>
              <w:adjustRightInd w:val="0"/>
              <w:snapToGrid w:val="0"/>
              <w:jc w:val="center"/>
              <w:rPr>
                <w:rFonts w:ascii="Arial" w:hAnsi="Arial" w:eastAsia="宋体" w:cs="Arial"/>
                <w:sz w:val="21"/>
                <w:szCs w:val="21"/>
              </w:rPr>
            </w:pPr>
            <w:r>
              <w:rPr>
                <w:rFonts w:ascii="Arial" w:hAnsi="Arial" w:eastAsia="宋体" w:cs="Arial"/>
                <w:sz w:val="21"/>
                <w:szCs w:val="21"/>
              </w:rPr>
              <w:t>位置</w:t>
            </w:r>
          </w:p>
        </w:tc>
      </w:tr>
      <w:tr w14:paraId="17205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7" w:type="pct"/>
            <w:vAlign w:val="center"/>
          </w:tcPr>
          <w:p w14:paraId="052A9EE7">
            <w:pPr>
              <w:adjustRightInd w:val="0"/>
              <w:snapToGrid w:val="0"/>
              <w:jc w:val="center"/>
              <w:rPr>
                <w:rFonts w:ascii="Arial" w:hAnsi="Arial" w:eastAsia="宋体" w:cs="Arial"/>
                <w:sz w:val="21"/>
                <w:szCs w:val="21"/>
              </w:rPr>
            </w:pPr>
            <w:r>
              <w:rPr>
                <w:rFonts w:hint="eastAsia" w:ascii="Arial" w:hAnsi="Arial" w:eastAsia="宋体" w:cs="Arial"/>
                <w:sz w:val="21"/>
                <w:szCs w:val="21"/>
              </w:rPr>
              <w:t>1</w:t>
            </w:r>
          </w:p>
        </w:tc>
        <w:tc>
          <w:tcPr>
            <w:tcW w:w="1787" w:type="pct"/>
            <w:vAlign w:val="center"/>
          </w:tcPr>
          <w:p w14:paraId="4F1EB658">
            <w:pPr>
              <w:adjustRightInd w:val="0"/>
              <w:snapToGrid w:val="0"/>
              <w:jc w:val="center"/>
              <w:rPr>
                <w:rFonts w:ascii="Arial" w:hAnsi="Arial" w:eastAsia="宋体" w:cs="Arial"/>
                <w:sz w:val="21"/>
                <w:szCs w:val="21"/>
              </w:rPr>
            </w:pPr>
            <w:r>
              <w:rPr>
                <w:rFonts w:hint="eastAsia" w:ascii="Arial" w:hAnsi="Arial" w:eastAsia="宋体" w:cs="Arial"/>
                <w:kern w:val="0"/>
                <w:sz w:val="21"/>
                <w:szCs w:val="21"/>
              </w:rPr>
              <w:t>硫酸钴晶体</w:t>
            </w:r>
          </w:p>
        </w:tc>
        <w:tc>
          <w:tcPr>
            <w:tcW w:w="1391" w:type="pct"/>
            <w:vAlign w:val="center"/>
          </w:tcPr>
          <w:p w14:paraId="6846312C">
            <w:pPr>
              <w:adjustRightInd w:val="0"/>
              <w:snapToGrid w:val="0"/>
              <w:jc w:val="center"/>
              <w:rPr>
                <w:rFonts w:ascii="Arial" w:hAnsi="Arial" w:eastAsia="宋体" w:cs="Arial"/>
                <w:sz w:val="21"/>
                <w:szCs w:val="21"/>
              </w:rPr>
            </w:pPr>
            <w:r>
              <w:rPr>
                <w:rFonts w:hint="eastAsia" w:ascii="Arial" w:hAnsi="Arial" w:eastAsia="宋体" w:cs="Arial"/>
                <w:kern w:val="0"/>
                <w:sz w:val="21"/>
                <w:szCs w:val="21"/>
              </w:rPr>
              <w:t>钴</w:t>
            </w:r>
          </w:p>
        </w:tc>
        <w:tc>
          <w:tcPr>
            <w:tcW w:w="1185" w:type="pct"/>
            <w:vAlign w:val="center"/>
          </w:tcPr>
          <w:p w14:paraId="67D951B4">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r>
              <w:rPr>
                <w:rFonts w:hint="eastAsia" w:ascii="Arial" w:hAnsi="Arial" w:eastAsia="宋体" w:cs="Arial"/>
                <w:spacing w:val="10"/>
                <w:sz w:val="21"/>
                <w:szCs w:val="21"/>
              </w:rPr>
              <w:t>原料暂存区</w:t>
            </w:r>
          </w:p>
        </w:tc>
      </w:tr>
      <w:tr w14:paraId="4321C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7" w:type="pct"/>
            <w:vAlign w:val="center"/>
          </w:tcPr>
          <w:p w14:paraId="4E85E3FD">
            <w:pPr>
              <w:adjustRightInd w:val="0"/>
              <w:snapToGrid w:val="0"/>
              <w:jc w:val="center"/>
              <w:rPr>
                <w:rFonts w:ascii="Arial" w:hAnsi="Arial" w:eastAsia="宋体" w:cs="Arial"/>
                <w:sz w:val="21"/>
                <w:szCs w:val="21"/>
              </w:rPr>
            </w:pPr>
            <w:r>
              <w:rPr>
                <w:rFonts w:hint="eastAsia" w:ascii="Arial" w:hAnsi="Arial" w:eastAsia="宋体" w:cs="Arial"/>
                <w:sz w:val="21"/>
                <w:szCs w:val="21"/>
              </w:rPr>
              <w:t>2</w:t>
            </w:r>
          </w:p>
        </w:tc>
        <w:tc>
          <w:tcPr>
            <w:tcW w:w="1787" w:type="pct"/>
            <w:vAlign w:val="center"/>
          </w:tcPr>
          <w:p w14:paraId="018840D3">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氨水罐（5m</w:t>
            </w:r>
            <w:r>
              <w:rPr>
                <w:rFonts w:hint="eastAsia" w:ascii="Arial" w:hAnsi="Arial" w:eastAsia="宋体" w:cs="Arial"/>
                <w:kern w:val="0"/>
                <w:sz w:val="21"/>
                <w:szCs w:val="21"/>
                <w:vertAlign w:val="superscript"/>
              </w:rPr>
              <w:t>3</w:t>
            </w:r>
            <w:r>
              <w:rPr>
                <w:rFonts w:hint="eastAsia" w:ascii="Arial" w:hAnsi="Arial" w:eastAsia="宋体" w:cs="Arial"/>
                <w:kern w:val="0"/>
                <w:sz w:val="21"/>
                <w:szCs w:val="21"/>
              </w:rPr>
              <w:t>）</w:t>
            </w:r>
          </w:p>
        </w:tc>
        <w:tc>
          <w:tcPr>
            <w:tcW w:w="1391" w:type="pct"/>
            <w:vAlign w:val="center"/>
          </w:tcPr>
          <w:p w14:paraId="632B7EF2">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21%氨水</w:t>
            </w:r>
          </w:p>
        </w:tc>
        <w:tc>
          <w:tcPr>
            <w:tcW w:w="1185" w:type="pct"/>
            <w:vAlign w:val="center"/>
          </w:tcPr>
          <w:p w14:paraId="16B1EEC6">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r>
              <w:rPr>
                <w:rFonts w:hint="eastAsia" w:ascii="Arial" w:hAnsi="Arial" w:eastAsia="宋体" w:cs="Arial"/>
                <w:spacing w:val="10"/>
                <w:sz w:val="21"/>
                <w:szCs w:val="21"/>
              </w:rPr>
              <w:t>西面</w:t>
            </w:r>
          </w:p>
        </w:tc>
      </w:tr>
      <w:tr w14:paraId="00FEE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7" w:type="pct"/>
            <w:vAlign w:val="center"/>
          </w:tcPr>
          <w:p w14:paraId="02CB768E">
            <w:pPr>
              <w:adjustRightInd w:val="0"/>
              <w:snapToGrid w:val="0"/>
              <w:jc w:val="center"/>
              <w:rPr>
                <w:rFonts w:ascii="Arial" w:hAnsi="Arial" w:eastAsia="宋体" w:cs="Arial"/>
                <w:sz w:val="21"/>
                <w:szCs w:val="21"/>
              </w:rPr>
            </w:pPr>
            <w:r>
              <w:rPr>
                <w:rFonts w:hint="eastAsia" w:ascii="Arial" w:hAnsi="Arial" w:eastAsia="宋体" w:cs="Arial"/>
                <w:sz w:val="21"/>
                <w:szCs w:val="21"/>
              </w:rPr>
              <w:t>3</w:t>
            </w:r>
          </w:p>
        </w:tc>
        <w:tc>
          <w:tcPr>
            <w:tcW w:w="1787" w:type="pct"/>
            <w:vAlign w:val="center"/>
          </w:tcPr>
          <w:p w14:paraId="528FCD72">
            <w:pPr>
              <w:adjustRightInd w:val="0"/>
              <w:snapToGrid w:val="0"/>
              <w:jc w:val="center"/>
              <w:rPr>
                <w:rFonts w:ascii="Arial" w:hAnsi="Arial" w:eastAsia="宋体" w:cs="Arial"/>
                <w:kern w:val="0"/>
                <w:sz w:val="21"/>
                <w:szCs w:val="21"/>
              </w:rPr>
            </w:pPr>
            <w:r>
              <w:rPr>
                <w:rFonts w:hint="eastAsia" w:ascii="Arial" w:hAnsi="Arial" w:eastAsia="宋体" w:cs="Arial"/>
                <w:spacing w:val="10"/>
                <w:sz w:val="21"/>
                <w:szCs w:val="21"/>
              </w:rPr>
              <w:t>洗水外排槽</w:t>
            </w:r>
            <w:r>
              <w:rPr>
                <w:rFonts w:hint="eastAsia" w:ascii="Arial" w:hAnsi="Arial" w:eastAsia="宋体" w:cs="Arial"/>
                <w:kern w:val="0"/>
                <w:sz w:val="21"/>
                <w:szCs w:val="21"/>
              </w:rPr>
              <w:t>（75m</w:t>
            </w:r>
            <w:r>
              <w:rPr>
                <w:rFonts w:hint="eastAsia" w:ascii="Arial" w:hAnsi="Arial" w:eastAsia="宋体" w:cs="Arial"/>
                <w:kern w:val="0"/>
                <w:sz w:val="21"/>
                <w:szCs w:val="21"/>
                <w:vertAlign w:val="superscript"/>
              </w:rPr>
              <w:t>3</w:t>
            </w:r>
            <w:r>
              <w:rPr>
                <w:rFonts w:hint="eastAsia" w:ascii="Arial" w:hAnsi="Arial" w:eastAsia="宋体" w:cs="Arial"/>
                <w:kern w:val="0"/>
                <w:sz w:val="21"/>
                <w:szCs w:val="21"/>
              </w:rPr>
              <w:t>）</w:t>
            </w:r>
          </w:p>
        </w:tc>
        <w:tc>
          <w:tcPr>
            <w:tcW w:w="1391" w:type="pct"/>
            <w:vAlign w:val="center"/>
          </w:tcPr>
          <w:p w14:paraId="71C98088">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钴</w:t>
            </w:r>
          </w:p>
        </w:tc>
        <w:tc>
          <w:tcPr>
            <w:tcW w:w="1185" w:type="pct"/>
            <w:vAlign w:val="center"/>
          </w:tcPr>
          <w:p w14:paraId="5A54C463">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r>
              <w:rPr>
                <w:rFonts w:hint="eastAsia" w:ascii="Arial" w:hAnsi="Arial" w:eastAsia="宋体" w:cs="Arial"/>
                <w:spacing w:val="10"/>
                <w:sz w:val="21"/>
                <w:szCs w:val="21"/>
              </w:rPr>
              <w:t>东面</w:t>
            </w:r>
          </w:p>
        </w:tc>
      </w:tr>
      <w:tr w14:paraId="2A56A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7" w:type="pct"/>
            <w:vAlign w:val="center"/>
          </w:tcPr>
          <w:p w14:paraId="4D2B6ADF">
            <w:pPr>
              <w:adjustRightInd w:val="0"/>
              <w:snapToGrid w:val="0"/>
              <w:jc w:val="center"/>
              <w:rPr>
                <w:rFonts w:ascii="Arial" w:hAnsi="Arial" w:eastAsia="宋体" w:cs="Arial"/>
                <w:sz w:val="21"/>
                <w:szCs w:val="21"/>
              </w:rPr>
            </w:pPr>
            <w:r>
              <w:rPr>
                <w:rFonts w:hint="eastAsia" w:ascii="Arial" w:hAnsi="Arial" w:eastAsia="宋体" w:cs="Arial"/>
                <w:sz w:val="21"/>
                <w:szCs w:val="21"/>
              </w:rPr>
              <w:t>4</w:t>
            </w:r>
          </w:p>
        </w:tc>
        <w:tc>
          <w:tcPr>
            <w:tcW w:w="1787" w:type="pct"/>
            <w:vAlign w:val="center"/>
          </w:tcPr>
          <w:p w14:paraId="15AFBE7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配酸槽（最大贮存1t稀硫酸）</w:t>
            </w:r>
          </w:p>
        </w:tc>
        <w:tc>
          <w:tcPr>
            <w:tcW w:w="1391" w:type="pct"/>
            <w:vAlign w:val="center"/>
          </w:tcPr>
          <w:p w14:paraId="122A84D2">
            <w:pPr>
              <w:adjustRightInd w:val="0"/>
              <w:snapToGrid w:val="0"/>
              <w:jc w:val="center"/>
              <w:rPr>
                <w:rFonts w:ascii="Arial" w:hAnsi="Arial" w:eastAsia="宋体" w:cs="Arial"/>
                <w:kern w:val="0"/>
                <w:sz w:val="21"/>
                <w:szCs w:val="21"/>
              </w:rPr>
            </w:pPr>
            <w:r>
              <w:rPr>
                <w:rFonts w:hint="eastAsia" w:ascii="Arial" w:hAnsi="Arial" w:eastAsia="宋体" w:cs="Arial"/>
                <w:kern w:val="0"/>
                <w:sz w:val="21"/>
                <w:szCs w:val="21"/>
              </w:rPr>
              <w:t>硫酸</w:t>
            </w:r>
          </w:p>
        </w:tc>
        <w:tc>
          <w:tcPr>
            <w:tcW w:w="1185" w:type="pct"/>
            <w:vAlign w:val="center"/>
          </w:tcPr>
          <w:p w14:paraId="04361880">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r>
              <w:rPr>
                <w:rFonts w:hint="eastAsia" w:ascii="Arial" w:hAnsi="Arial" w:eastAsia="宋体" w:cs="Arial"/>
                <w:spacing w:val="10"/>
                <w:sz w:val="21"/>
                <w:szCs w:val="21"/>
              </w:rPr>
              <w:t>西面</w:t>
            </w:r>
          </w:p>
        </w:tc>
      </w:tr>
      <w:tr w14:paraId="1CE29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637" w:type="pct"/>
            <w:vAlign w:val="center"/>
          </w:tcPr>
          <w:p w14:paraId="5855125E">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5</w:t>
            </w:r>
          </w:p>
        </w:tc>
        <w:tc>
          <w:tcPr>
            <w:tcW w:w="1787" w:type="pct"/>
            <w:vAlign w:val="center"/>
          </w:tcPr>
          <w:p w14:paraId="52AE96C2">
            <w:pPr>
              <w:adjustRightInd w:val="0"/>
              <w:snapToGrid w:val="0"/>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羟基钴</w:t>
            </w:r>
          </w:p>
        </w:tc>
        <w:tc>
          <w:tcPr>
            <w:tcW w:w="1391" w:type="pct"/>
            <w:vAlign w:val="center"/>
          </w:tcPr>
          <w:p w14:paraId="0EDA7EED">
            <w:pPr>
              <w:adjustRightInd w:val="0"/>
              <w:snapToGrid w:val="0"/>
              <w:jc w:val="center"/>
              <w:rPr>
                <w:rFonts w:ascii="Arial" w:hAnsi="Arial" w:eastAsia="宋体" w:cs="Arial"/>
                <w:kern w:val="0"/>
                <w:sz w:val="21"/>
                <w:szCs w:val="21"/>
                <w:u w:val="single"/>
              </w:rPr>
            </w:pPr>
            <w:r>
              <w:rPr>
                <w:rFonts w:hint="eastAsia" w:ascii="Arial" w:hAnsi="Arial" w:eastAsia="宋体" w:cs="Arial"/>
                <w:kern w:val="0"/>
                <w:sz w:val="21"/>
                <w:szCs w:val="21"/>
                <w:u w:val="single"/>
              </w:rPr>
              <w:t>钴</w:t>
            </w:r>
          </w:p>
        </w:tc>
        <w:tc>
          <w:tcPr>
            <w:tcW w:w="1185" w:type="pct"/>
            <w:vAlign w:val="center"/>
          </w:tcPr>
          <w:p w14:paraId="6F43F388">
            <w:pPr>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X19车间产品区</w:t>
            </w:r>
          </w:p>
        </w:tc>
      </w:tr>
    </w:tbl>
    <w:p w14:paraId="3B3DBEF2">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储运设施的危险物质在储存过程可能产生泄漏风险，主要原因有：</w:t>
      </w:r>
      <w:r>
        <w:rPr>
          <w:rFonts w:hint="eastAsia" w:ascii="宋体" w:hAnsi="宋体" w:eastAsia="宋体" w:cs="宋体"/>
          <w:spacing w:val="10"/>
          <w:sz w:val="24"/>
          <w:szCs w:val="24"/>
        </w:rPr>
        <w:t>①</w:t>
      </w:r>
      <w:r>
        <w:rPr>
          <w:rFonts w:ascii="Arial" w:hAnsi="Arial" w:eastAsia="宋体" w:cs="Arial"/>
          <w:spacing w:val="10"/>
          <w:sz w:val="24"/>
          <w:szCs w:val="24"/>
        </w:rPr>
        <w:t>罐体腐蚀破裂；</w:t>
      </w:r>
      <w:r>
        <w:rPr>
          <w:rFonts w:hint="eastAsia" w:ascii="宋体" w:hAnsi="宋体" w:eastAsia="宋体" w:cs="宋体"/>
          <w:spacing w:val="10"/>
          <w:sz w:val="24"/>
          <w:szCs w:val="24"/>
        </w:rPr>
        <w:t>②</w:t>
      </w:r>
      <w:r>
        <w:rPr>
          <w:rFonts w:ascii="Arial" w:hAnsi="Arial" w:eastAsia="宋体" w:cs="Arial"/>
          <w:spacing w:val="10"/>
          <w:sz w:val="24"/>
          <w:szCs w:val="24"/>
        </w:rPr>
        <w:t>罐体焊缝开裂；</w:t>
      </w:r>
      <w:r>
        <w:rPr>
          <w:rFonts w:hint="eastAsia" w:ascii="宋体" w:hAnsi="宋体" w:eastAsia="宋体" w:cs="宋体"/>
          <w:spacing w:val="10"/>
          <w:sz w:val="24"/>
          <w:szCs w:val="24"/>
        </w:rPr>
        <w:t>③</w:t>
      </w:r>
      <w:r>
        <w:rPr>
          <w:rFonts w:ascii="Arial" w:hAnsi="Arial" w:eastAsia="宋体" w:cs="Arial"/>
          <w:spacing w:val="10"/>
          <w:sz w:val="24"/>
          <w:szCs w:val="24"/>
        </w:rPr>
        <w:t>罐体与管线接头密封损坏或螺丝松动；</w:t>
      </w:r>
      <w:r>
        <w:rPr>
          <w:rFonts w:hint="eastAsia" w:ascii="宋体" w:hAnsi="宋体" w:eastAsia="宋体" w:cs="宋体"/>
          <w:spacing w:val="10"/>
          <w:sz w:val="24"/>
          <w:szCs w:val="24"/>
        </w:rPr>
        <w:t>④</w:t>
      </w:r>
      <w:r>
        <w:rPr>
          <w:rFonts w:ascii="Arial" w:hAnsi="Arial" w:eastAsia="宋体" w:cs="Arial"/>
          <w:spacing w:val="10"/>
          <w:sz w:val="24"/>
          <w:szCs w:val="24"/>
        </w:rPr>
        <w:t>进料口阀门密封不严或螺丝松动等。</w:t>
      </w:r>
    </w:p>
    <w:p w14:paraId="4AD30C4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（3）公辅工程危险性识别</w:t>
      </w:r>
    </w:p>
    <w:p w14:paraId="1D8BBD4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w:t>
      </w:r>
      <w:r>
        <w:rPr>
          <w:rFonts w:hint="eastAsia" w:ascii="Arial" w:hAnsi="Arial" w:eastAsia="宋体" w:cs="Arial"/>
          <w:spacing w:val="10"/>
          <w:sz w:val="24"/>
          <w:szCs w:val="24"/>
        </w:rPr>
        <w:t>公辅工程不涉及危险物质</w:t>
      </w:r>
      <w:r>
        <w:rPr>
          <w:rFonts w:ascii="Arial" w:hAnsi="Arial" w:eastAsia="宋体" w:cs="Arial"/>
          <w:spacing w:val="10"/>
          <w:sz w:val="24"/>
          <w:szCs w:val="24"/>
        </w:rPr>
        <w:t>。</w:t>
      </w:r>
    </w:p>
    <w:p w14:paraId="14E8A4A2">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（4）环保工程危险性识别</w:t>
      </w:r>
    </w:p>
    <w:p w14:paraId="3C00A6E8">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项目羟基钴生产废水经板框压滤预处理后，暂存于洗水外排槽，再通过管道泵入S7污水处理车间进一步处理，洗水外排槽内的生产废水含钴离子，</w:t>
      </w:r>
      <w:r>
        <w:rPr>
          <w:rFonts w:ascii="Arial" w:hAnsi="Arial" w:eastAsia="宋体" w:cs="Arial"/>
          <w:spacing w:val="10"/>
          <w:sz w:val="24"/>
          <w:szCs w:val="24"/>
        </w:rPr>
        <w:t>属危险物质</w:t>
      </w:r>
      <w:r>
        <w:rPr>
          <w:rFonts w:hint="eastAsia" w:ascii="Arial" w:hAnsi="Arial" w:eastAsia="宋体" w:cs="Arial"/>
          <w:spacing w:val="10"/>
          <w:sz w:val="24"/>
          <w:szCs w:val="24"/>
        </w:rPr>
        <w:t>；项目有组织排放的氨经吸收塔处理，有组织排放的钴及其化合物经布袋除尘器处理，氨水罐产生的氨以无组织形式排放，氨、钴及其化合物均属危险物质</w:t>
      </w:r>
      <w:r>
        <w:rPr>
          <w:rFonts w:ascii="Arial" w:hAnsi="Arial" w:eastAsia="宋体" w:cs="Arial"/>
          <w:spacing w:val="10"/>
          <w:sz w:val="24"/>
          <w:szCs w:val="24"/>
        </w:rPr>
        <w:t>。</w:t>
      </w:r>
    </w:p>
    <w:p w14:paraId="000FD3C6">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3.事故伴生/次生危险性</w:t>
      </w:r>
    </w:p>
    <w:p w14:paraId="7A3BFCF6">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项目发生火灾、爆炸进入大气的燃烧产物主要为CO、SO</w:t>
      </w:r>
      <w:r>
        <w:rPr>
          <w:rFonts w:ascii="Arial" w:hAnsi="Arial" w:eastAsia="宋体" w:cs="Arial"/>
          <w:spacing w:val="10"/>
          <w:sz w:val="24"/>
          <w:szCs w:val="24"/>
          <w:vertAlign w:val="subscript"/>
        </w:rPr>
        <w:t>2</w:t>
      </w:r>
      <w:r>
        <w:rPr>
          <w:rFonts w:ascii="Arial" w:hAnsi="Arial" w:eastAsia="宋体" w:cs="Arial"/>
          <w:spacing w:val="10"/>
          <w:sz w:val="24"/>
          <w:szCs w:val="24"/>
        </w:rPr>
        <w:t>，具有一定的毒性，会形成次生环境污染事故。火灾爆炸过程中消防产生的废水会对地表水、地下水和土壤产生影响。</w:t>
      </w:r>
    </w:p>
    <w:p w14:paraId="6A6465B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4.重点风险源识别</w:t>
      </w:r>
    </w:p>
    <w:p w14:paraId="28A04C1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综上分析，本次评价采用定性法确定重点风险源，以危险物质超过临界量且不易发现的风险源识别为重点风险源。项目</w:t>
      </w:r>
      <w:r>
        <w:rPr>
          <w:rFonts w:hint="eastAsia" w:ascii="Arial" w:hAnsi="Arial" w:eastAsia="宋体" w:cs="Arial"/>
          <w:spacing w:val="10"/>
          <w:sz w:val="24"/>
          <w:szCs w:val="24"/>
        </w:rPr>
        <w:t>的</w:t>
      </w:r>
      <w:r>
        <w:rPr>
          <w:rFonts w:ascii="Arial" w:hAnsi="Arial" w:eastAsia="宋体" w:cs="Arial"/>
          <w:spacing w:val="10"/>
          <w:sz w:val="24"/>
          <w:szCs w:val="24"/>
        </w:rPr>
        <w:t>重点风险源主要是</w:t>
      </w:r>
      <w:r>
        <w:rPr>
          <w:rFonts w:hint="eastAsia" w:ascii="Arial" w:hAnsi="Arial" w:eastAsia="宋体" w:cs="Arial"/>
          <w:spacing w:val="10"/>
          <w:sz w:val="24"/>
          <w:szCs w:val="24"/>
        </w:rPr>
        <w:t>X19车间</w:t>
      </w:r>
      <w:r>
        <w:rPr>
          <w:rFonts w:ascii="Arial" w:hAnsi="Arial" w:eastAsia="宋体" w:cs="Arial"/>
          <w:spacing w:val="10"/>
          <w:sz w:val="24"/>
          <w:szCs w:val="24"/>
        </w:rPr>
        <w:t>。</w:t>
      </w:r>
    </w:p>
    <w:p w14:paraId="28940A4A">
      <w:pPr>
        <w:spacing w:line="500" w:lineRule="exact"/>
        <w:jc w:val="left"/>
        <w:outlineLvl w:val="3"/>
        <w:rPr>
          <w:rFonts w:ascii="Arial" w:hAnsi="Arial" w:eastAsia="宋体" w:cs="Arial"/>
          <w:b/>
          <w:spacing w:val="10"/>
          <w:sz w:val="24"/>
        </w:rPr>
      </w:pPr>
      <w:r>
        <w:rPr>
          <w:rFonts w:ascii="Arial" w:hAnsi="Arial" w:eastAsia="宋体" w:cs="Arial"/>
          <w:b/>
          <w:spacing w:val="10"/>
          <w:sz w:val="24"/>
        </w:rPr>
        <w:t>4.3.5.2 风险识别结果</w:t>
      </w:r>
    </w:p>
    <w:p w14:paraId="525B7CFE">
      <w:pPr>
        <w:spacing w:line="500" w:lineRule="exact"/>
        <w:ind w:firstLine="489"/>
        <w:jc w:val="left"/>
        <w:rPr>
          <w:rFonts w:ascii="Arial" w:hAnsi="Arial" w:eastAsia="宋体" w:cs="Arial"/>
          <w:spacing w:val="10"/>
          <w:sz w:val="24"/>
          <w:szCs w:val="24"/>
        </w:rPr>
      </w:pPr>
      <w:r>
        <w:rPr>
          <w:rFonts w:ascii="Arial" w:hAnsi="Arial" w:eastAsia="宋体" w:cs="Arial"/>
          <w:spacing w:val="10"/>
          <w:sz w:val="24"/>
          <w:szCs w:val="24"/>
        </w:rPr>
        <w:t>根据物质危险性识别、生产系统危险性识别，项目环境风险识别结果见表4-</w:t>
      </w:r>
      <w:r>
        <w:rPr>
          <w:rFonts w:hint="eastAsia" w:ascii="Arial" w:hAnsi="Arial" w:eastAsia="宋体" w:cs="Arial"/>
          <w:spacing w:val="10"/>
          <w:sz w:val="24"/>
          <w:szCs w:val="24"/>
        </w:rPr>
        <w:t>58</w:t>
      </w:r>
      <w:r>
        <w:rPr>
          <w:rFonts w:ascii="Arial" w:hAnsi="Arial" w:eastAsia="宋体" w:cs="Arial"/>
          <w:spacing w:val="10"/>
          <w:sz w:val="24"/>
          <w:szCs w:val="24"/>
        </w:rPr>
        <w:t>，危险单元分布见附图10。</w:t>
      </w:r>
    </w:p>
    <w:p w14:paraId="1AD6FA63">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项目环境风险识别汇总表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2"/>
        <w:gridCol w:w="1401"/>
        <w:gridCol w:w="1417"/>
        <w:gridCol w:w="1275"/>
        <w:gridCol w:w="851"/>
        <w:gridCol w:w="1417"/>
        <w:gridCol w:w="1221"/>
        <w:gridCol w:w="719"/>
      </w:tblGrid>
      <w:tr w14:paraId="05253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385" w:type="pct"/>
            <w:vAlign w:val="center"/>
          </w:tcPr>
          <w:p w14:paraId="445060D6">
            <w:pPr>
              <w:adjustRightInd w:val="0"/>
              <w:snapToGrid w:val="0"/>
              <w:jc w:val="center"/>
              <w:rPr>
                <w:rFonts w:ascii="Arial" w:hAnsi="Arial" w:eastAsia="宋体" w:cs="Arial"/>
                <w:sz w:val="21"/>
                <w:szCs w:val="21"/>
              </w:rPr>
            </w:pPr>
            <w:r>
              <w:rPr>
                <w:rFonts w:ascii="Arial" w:hAnsi="Arial" w:eastAsia="宋体" w:cs="Arial"/>
                <w:sz w:val="21"/>
                <w:szCs w:val="21"/>
              </w:rPr>
              <w:t>序号</w:t>
            </w:r>
          </w:p>
        </w:tc>
        <w:tc>
          <w:tcPr>
            <w:tcW w:w="779" w:type="pct"/>
            <w:vAlign w:val="center"/>
          </w:tcPr>
          <w:p w14:paraId="5A9FC669">
            <w:pPr>
              <w:adjustRightInd w:val="0"/>
              <w:snapToGrid w:val="0"/>
              <w:jc w:val="center"/>
              <w:rPr>
                <w:rFonts w:ascii="Arial" w:hAnsi="Arial" w:eastAsia="宋体" w:cs="Arial"/>
                <w:sz w:val="21"/>
                <w:szCs w:val="21"/>
              </w:rPr>
            </w:pPr>
            <w:r>
              <w:rPr>
                <w:rFonts w:ascii="Arial" w:hAnsi="Arial" w:eastAsia="宋体" w:cs="Arial"/>
                <w:sz w:val="21"/>
                <w:szCs w:val="21"/>
              </w:rPr>
              <w:t>危险单元</w:t>
            </w:r>
          </w:p>
        </w:tc>
        <w:tc>
          <w:tcPr>
            <w:tcW w:w="788" w:type="pct"/>
            <w:vAlign w:val="center"/>
          </w:tcPr>
          <w:p w14:paraId="3E8B8DBA">
            <w:pPr>
              <w:adjustRightInd w:val="0"/>
              <w:snapToGrid w:val="0"/>
              <w:jc w:val="center"/>
              <w:rPr>
                <w:rFonts w:ascii="Arial" w:hAnsi="Arial" w:eastAsia="宋体" w:cs="Arial"/>
                <w:sz w:val="21"/>
                <w:szCs w:val="21"/>
              </w:rPr>
            </w:pPr>
            <w:r>
              <w:rPr>
                <w:rFonts w:ascii="Arial" w:hAnsi="Arial" w:eastAsia="宋体" w:cs="Arial"/>
                <w:sz w:val="21"/>
                <w:szCs w:val="21"/>
              </w:rPr>
              <w:t>风险源</w:t>
            </w:r>
          </w:p>
        </w:tc>
        <w:tc>
          <w:tcPr>
            <w:tcW w:w="709" w:type="pct"/>
            <w:vAlign w:val="center"/>
          </w:tcPr>
          <w:p w14:paraId="0AC8DB69">
            <w:pPr>
              <w:adjustRightInd w:val="0"/>
              <w:snapToGrid w:val="0"/>
              <w:jc w:val="center"/>
              <w:rPr>
                <w:rFonts w:ascii="Arial" w:hAnsi="Arial" w:eastAsia="宋体" w:cs="Arial"/>
                <w:sz w:val="21"/>
                <w:szCs w:val="21"/>
              </w:rPr>
            </w:pPr>
            <w:r>
              <w:rPr>
                <w:rFonts w:ascii="Arial" w:hAnsi="Arial" w:eastAsia="宋体" w:cs="Arial"/>
                <w:sz w:val="21"/>
                <w:szCs w:val="21"/>
              </w:rPr>
              <w:t>主要危险物质</w:t>
            </w:r>
          </w:p>
        </w:tc>
        <w:tc>
          <w:tcPr>
            <w:tcW w:w="473" w:type="pct"/>
            <w:vAlign w:val="center"/>
          </w:tcPr>
          <w:p w14:paraId="5695FF85">
            <w:pPr>
              <w:adjustRightInd w:val="0"/>
              <w:snapToGrid w:val="0"/>
              <w:jc w:val="center"/>
              <w:rPr>
                <w:rFonts w:ascii="Arial" w:hAnsi="Arial" w:eastAsia="宋体" w:cs="Arial"/>
                <w:sz w:val="21"/>
                <w:szCs w:val="21"/>
              </w:rPr>
            </w:pPr>
            <w:r>
              <w:rPr>
                <w:rFonts w:ascii="Arial" w:hAnsi="Arial" w:eastAsia="宋体" w:cs="Arial"/>
                <w:sz w:val="21"/>
                <w:szCs w:val="21"/>
              </w:rPr>
              <w:t>环境风险类型</w:t>
            </w:r>
          </w:p>
        </w:tc>
        <w:tc>
          <w:tcPr>
            <w:tcW w:w="788" w:type="pct"/>
            <w:vAlign w:val="center"/>
          </w:tcPr>
          <w:p w14:paraId="537869E1">
            <w:pPr>
              <w:adjustRightInd w:val="0"/>
              <w:snapToGrid w:val="0"/>
              <w:jc w:val="center"/>
              <w:rPr>
                <w:rFonts w:ascii="Arial" w:hAnsi="Arial" w:eastAsia="宋体" w:cs="Arial"/>
                <w:sz w:val="21"/>
                <w:szCs w:val="21"/>
              </w:rPr>
            </w:pPr>
            <w:r>
              <w:rPr>
                <w:rFonts w:ascii="Arial" w:hAnsi="Arial" w:eastAsia="宋体" w:cs="Arial"/>
                <w:sz w:val="21"/>
                <w:szCs w:val="21"/>
              </w:rPr>
              <w:t>环境影响途径</w:t>
            </w:r>
          </w:p>
        </w:tc>
        <w:tc>
          <w:tcPr>
            <w:tcW w:w="679" w:type="pct"/>
            <w:vAlign w:val="center"/>
          </w:tcPr>
          <w:p w14:paraId="4D82D167">
            <w:pPr>
              <w:adjustRightInd w:val="0"/>
              <w:snapToGrid w:val="0"/>
              <w:jc w:val="center"/>
              <w:rPr>
                <w:rFonts w:ascii="Arial" w:hAnsi="Arial" w:eastAsia="宋体" w:cs="Arial"/>
                <w:sz w:val="21"/>
                <w:szCs w:val="21"/>
              </w:rPr>
            </w:pPr>
            <w:r>
              <w:rPr>
                <w:rFonts w:ascii="Arial" w:hAnsi="Arial" w:eastAsia="宋体" w:cs="Arial"/>
                <w:sz w:val="21"/>
                <w:szCs w:val="21"/>
              </w:rPr>
              <w:t>可能受影响的敏感目标</w:t>
            </w:r>
          </w:p>
        </w:tc>
        <w:tc>
          <w:tcPr>
            <w:tcW w:w="399" w:type="pct"/>
            <w:vAlign w:val="center"/>
          </w:tcPr>
          <w:p w14:paraId="2EA82F24">
            <w:pPr>
              <w:adjustRightInd w:val="0"/>
              <w:snapToGrid w:val="0"/>
              <w:jc w:val="center"/>
              <w:rPr>
                <w:rFonts w:ascii="Arial" w:hAnsi="Arial" w:eastAsia="宋体" w:cs="Arial"/>
                <w:sz w:val="21"/>
                <w:szCs w:val="21"/>
              </w:rPr>
            </w:pPr>
            <w:r>
              <w:rPr>
                <w:rFonts w:ascii="Arial" w:hAnsi="Arial" w:eastAsia="宋体" w:cs="Arial"/>
                <w:sz w:val="21"/>
                <w:szCs w:val="21"/>
              </w:rPr>
              <w:t>备注</w:t>
            </w:r>
          </w:p>
        </w:tc>
      </w:tr>
      <w:tr w14:paraId="49622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5" w:type="pct"/>
            <w:vAlign w:val="center"/>
          </w:tcPr>
          <w:p w14:paraId="01129516">
            <w:pPr>
              <w:adjustRightInd w:val="0"/>
              <w:snapToGrid w:val="0"/>
              <w:jc w:val="center"/>
              <w:rPr>
                <w:rFonts w:ascii="Arial" w:hAnsi="Arial" w:eastAsia="宋体" w:cs="Arial"/>
                <w:sz w:val="21"/>
                <w:szCs w:val="21"/>
              </w:rPr>
            </w:pPr>
            <w:r>
              <w:rPr>
                <w:rFonts w:hint="eastAsia" w:ascii="Arial" w:hAnsi="Arial" w:eastAsia="宋体" w:cs="Arial"/>
                <w:sz w:val="21"/>
                <w:szCs w:val="21"/>
              </w:rPr>
              <w:t>1</w:t>
            </w:r>
          </w:p>
        </w:tc>
        <w:tc>
          <w:tcPr>
            <w:tcW w:w="779" w:type="pct"/>
            <w:vAlign w:val="center"/>
          </w:tcPr>
          <w:p w14:paraId="40EE17A0">
            <w:pPr>
              <w:adjustRightInd w:val="0"/>
              <w:snapToGrid w:val="0"/>
              <w:jc w:val="center"/>
              <w:rPr>
                <w:rFonts w:ascii="Arial" w:hAnsi="Arial" w:eastAsia="宋体" w:cs="Arial"/>
                <w:sz w:val="21"/>
                <w:szCs w:val="21"/>
              </w:rPr>
            </w:pPr>
            <w:r>
              <w:rPr>
                <w:rFonts w:hint="eastAsia" w:ascii="Arial" w:hAnsi="Arial" w:eastAsia="宋体" w:cs="Arial"/>
                <w:sz w:val="21"/>
                <w:szCs w:val="21"/>
              </w:rPr>
              <w:t>X19车间</w:t>
            </w:r>
          </w:p>
        </w:tc>
        <w:tc>
          <w:tcPr>
            <w:tcW w:w="788" w:type="pct"/>
            <w:vAlign w:val="center"/>
          </w:tcPr>
          <w:p w14:paraId="090D3C88">
            <w:pPr>
              <w:adjustRightInd w:val="0"/>
              <w:snapToGrid w:val="0"/>
              <w:jc w:val="center"/>
              <w:rPr>
                <w:rFonts w:ascii="Arial" w:hAnsi="Arial" w:eastAsia="宋体" w:cs="Arial"/>
                <w:sz w:val="21"/>
                <w:szCs w:val="21"/>
              </w:rPr>
            </w:pPr>
            <w:r>
              <w:rPr>
                <w:rFonts w:hint="eastAsia" w:ascii="Arial" w:hAnsi="Arial" w:eastAsia="宋体" w:cs="Arial"/>
                <w:sz w:val="21"/>
                <w:szCs w:val="21"/>
              </w:rPr>
              <w:t>氨水罐、溶解槽、反应斧、洗水外排槽、配酸槽</w:t>
            </w:r>
          </w:p>
        </w:tc>
        <w:tc>
          <w:tcPr>
            <w:tcW w:w="709" w:type="pct"/>
            <w:vAlign w:val="center"/>
          </w:tcPr>
          <w:p w14:paraId="5BD7DF75">
            <w:pPr>
              <w:adjustRightInd w:val="0"/>
              <w:snapToGrid w:val="0"/>
              <w:jc w:val="center"/>
              <w:rPr>
                <w:rFonts w:ascii="Arial" w:hAnsi="Arial" w:eastAsia="宋体" w:cs="Arial"/>
                <w:sz w:val="21"/>
                <w:szCs w:val="21"/>
              </w:rPr>
            </w:pPr>
            <w:r>
              <w:rPr>
                <w:rFonts w:hint="eastAsia" w:ascii="Arial" w:hAnsi="Arial" w:eastAsia="宋体" w:cs="Arial"/>
                <w:sz w:val="21"/>
                <w:szCs w:val="21"/>
              </w:rPr>
              <w:t>21%氨水、钴离子、氨、硫酸</w:t>
            </w:r>
          </w:p>
        </w:tc>
        <w:tc>
          <w:tcPr>
            <w:tcW w:w="473" w:type="pct"/>
            <w:vAlign w:val="center"/>
          </w:tcPr>
          <w:p w14:paraId="03A4723C">
            <w:pPr>
              <w:adjustRightInd w:val="0"/>
              <w:snapToGrid w:val="0"/>
              <w:jc w:val="center"/>
              <w:rPr>
                <w:rFonts w:ascii="Arial" w:hAnsi="Arial" w:eastAsia="宋体" w:cs="Arial"/>
                <w:sz w:val="21"/>
                <w:szCs w:val="21"/>
              </w:rPr>
            </w:pPr>
            <w:r>
              <w:rPr>
                <w:rFonts w:hint="eastAsia" w:ascii="Arial" w:hAnsi="Arial" w:eastAsia="宋体" w:cs="Arial"/>
                <w:sz w:val="21"/>
                <w:szCs w:val="21"/>
              </w:rPr>
              <w:t>泄漏</w:t>
            </w:r>
          </w:p>
        </w:tc>
        <w:tc>
          <w:tcPr>
            <w:tcW w:w="788" w:type="pct"/>
            <w:vAlign w:val="center"/>
          </w:tcPr>
          <w:p w14:paraId="56BF1C65">
            <w:pPr>
              <w:adjustRightInd w:val="0"/>
              <w:snapToGrid w:val="0"/>
              <w:jc w:val="center"/>
              <w:rPr>
                <w:rFonts w:ascii="Arial" w:hAnsi="Arial" w:eastAsia="宋体" w:cs="Arial"/>
                <w:sz w:val="21"/>
                <w:szCs w:val="21"/>
              </w:rPr>
            </w:pPr>
            <w:r>
              <w:rPr>
                <w:rFonts w:ascii="Arial" w:hAnsi="Arial" w:eastAsia="宋体" w:cs="Arial"/>
                <w:sz w:val="21"/>
                <w:szCs w:val="21"/>
              </w:rPr>
              <w:t>地表水、地下水、土壤</w:t>
            </w:r>
          </w:p>
        </w:tc>
        <w:tc>
          <w:tcPr>
            <w:tcW w:w="679" w:type="pct"/>
            <w:vAlign w:val="center"/>
          </w:tcPr>
          <w:p w14:paraId="7CB13C29">
            <w:pPr>
              <w:adjustRightInd w:val="0"/>
              <w:snapToGrid w:val="0"/>
              <w:jc w:val="center"/>
              <w:rPr>
                <w:rFonts w:ascii="Arial" w:hAnsi="Arial" w:eastAsia="宋体" w:cs="Arial"/>
                <w:sz w:val="21"/>
                <w:szCs w:val="21"/>
              </w:rPr>
            </w:pPr>
            <w:r>
              <w:rPr>
                <w:rFonts w:ascii="Arial" w:hAnsi="Arial" w:eastAsia="宋体" w:cs="Arial"/>
                <w:sz w:val="21"/>
                <w:szCs w:val="21"/>
              </w:rPr>
              <w:t>周边居民、大气、地表水、地下水、土壤</w:t>
            </w:r>
          </w:p>
        </w:tc>
        <w:tc>
          <w:tcPr>
            <w:tcW w:w="399" w:type="pct"/>
            <w:vAlign w:val="center"/>
          </w:tcPr>
          <w:p w14:paraId="365DD932">
            <w:pPr>
              <w:adjustRightInd w:val="0"/>
              <w:snapToGrid w:val="0"/>
              <w:jc w:val="center"/>
              <w:rPr>
                <w:rFonts w:ascii="Arial" w:hAnsi="Arial" w:eastAsia="宋体" w:cs="Arial"/>
                <w:sz w:val="21"/>
                <w:szCs w:val="21"/>
              </w:rPr>
            </w:pPr>
            <w:r>
              <w:rPr>
                <w:rFonts w:ascii="Arial" w:hAnsi="Arial" w:eastAsia="宋体" w:cs="Arial"/>
                <w:sz w:val="21"/>
                <w:szCs w:val="21"/>
              </w:rPr>
              <w:t>新增危险单元</w:t>
            </w:r>
          </w:p>
        </w:tc>
      </w:tr>
    </w:tbl>
    <w:p w14:paraId="557F5B61">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风险事故情形分析</w:t>
      </w:r>
    </w:p>
    <w:p w14:paraId="11E18869">
      <w:pPr>
        <w:numPr>
          <w:ilvl w:val="0"/>
          <w:numId w:val="32"/>
        </w:numPr>
        <w:spacing w:line="500" w:lineRule="exact"/>
        <w:jc w:val="left"/>
        <w:outlineLvl w:val="3"/>
        <w:rPr>
          <w:rFonts w:ascii="Arial" w:hAnsi="Arial" w:eastAsia="宋体" w:cs="Arial"/>
          <w:b/>
          <w:sz w:val="24"/>
        </w:rPr>
      </w:pPr>
      <w:r>
        <w:rPr>
          <w:rFonts w:ascii="Arial" w:hAnsi="Arial" w:eastAsia="宋体" w:cs="Arial"/>
          <w:b/>
          <w:sz w:val="24"/>
        </w:rPr>
        <w:t>事故案例</w:t>
      </w:r>
    </w:p>
    <w:p w14:paraId="143AD467">
      <w:pPr>
        <w:spacing w:line="500" w:lineRule="exact"/>
        <w:ind w:firstLine="490" w:firstLineChars="200"/>
        <w:rPr>
          <w:rFonts w:ascii="Arial" w:hAnsi="Arial" w:eastAsia="宋体" w:cs="Arial"/>
          <w:spacing w:val="10"/>
          <w:sz w:val="24"/>
        </w:rPr>
      </w:pPr>
      <w:r>
        <w:rPr>
          <w:rFonts w:ascii="Arial" w:hAnsi="Arial" w:eastAsia="宋体" w:cs="Arial"/>
          <w:spacing w:val="10"/>
          <w:sz w:val="24"/>
        </w:rPr>
        <w:t>1、有毒有害物质泄漏资料统计与分析</w:t>
      </w:r>
    </w:p>
    <w:p w14:paraId="2FF325FF">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生产物质危险性分析和以往事故调查，物料输送管路系统及贮存系统是最有可能发生泄漏的地方。泄漏产生的直接后果为大量有毒有害气体直接外排，液体泄漏后通过蒸发扩散至外环境，处理事故时泄漏的液体进入水体等，都可能造成较为严重的环境危害，甚至威胁到周围居民的安全。</w:t>
      </w:r>
    </w:p>
    <w:p w14:paraId="1E05726B">
      <w:pPr>
        <w:spacing w:line="500" w:lineRule="exact"/>
        <w:ind w:firstLine="490" w:firstLineChars="200"/>
        <w:rPr>
          <w:rFonts w:ascii="Arial" w:hAnsi="Arial" w:eastAsia="宋体" w:cs="Arial"/>
          <w:spacing w:val="10"/>
          <w:sz w:val="24"/>
        </w:rPr>
      </w:pPr>
      <w:r>
        <w:rPr>
          <w:rFonts w:ascii="Arial" w:hAnsi="Arial" w:eastAsia="宋体" w:cs="Arial"/>
          <w:spacing w:val="10"/>
          <w:sz w:val="24"/>
        </w:rPr>
        <w:t>（1）物料输送管路系统事故</w:t>
      </w:r>
    </w:p>
    <w:p w14:paraId="520330FC">
      <w:pPr>
        <w:spacing w:line="500" w:lineRule="exact"/>
        <w:ind w:firstLine="490" w:firstLineChars="200"/>
        <w:rPr>
          <w:rFonts w:ascii="Arial" w:hAnsi="Arial" w:eastAsia="宋体" w:cs="Arial"/>
          <w:spacing w:val="10"/>
          <w:sz w:val="24"/>
        </w:rPr>
      </w:pPr>
      <w:r>
        <w:rPr>
          <w:rFonts w:ascii="Arial" w:hAnsi="Arial" w:eastAsia="宋体" w:cs="Arial"/>
          <w:spacing w:val="10"/>
          <w:sz w:val="24"/>
        </w:rPr>
        <w:t>物料输送管道与设备相接的管线、法兰、接头、弯头产生松动、脱落或管口焊缝开裂造成的泄漏；物料输送系统各类阀门壳体、盖孔等损坏造成的泄漏。</w:t>
      </w:r>
    </w:p>
    <w:p w14:paraId="5F7B23A3">
      <w:pPr>
        <w:spacing w:line="500" w:lineRule="exact"/>
        <w:ind w:firstLine="490" w:firstLineChars="200"/>
        <w:rPr>
          <w:rFonts w:ascii="Arial" w:hAnsi="Arial" w:eastAsia="宋体" w:cs="Arial"/>
          <w:spacing w:val="10"/>
          <w:sz w:val="24"/>
        </w:rPr>
      </w:pPr>
      <w:r>
        <w:rPr>
          <w:rFonts w:ascii="Arial" w:hAnsi="Arial" w:eastAsia="宋体" w:cs="Arial"/>
          <w:spacing w:val="10"/>
          <w:sz w:val="24"/>
        </w:rPr>
        <w:t>（2）贮存系统事故</w:t>
      </w:r>
    </w:p>
    <w:p w14:paraId="12131A3B">
      <w:pPr>
        <w:spacing w:line="500" w:lineRule="exact"/>
        <w:ind w:firstLine="490" w:firstLineChars="200"/>
        <w:rPr>
          <w:rFonts w:ascii="Arial" w:hAnsi="Arial" w:eastAsia="宋体" w:cs="Arial"/>
          <w:spacing w:val="10"/>
          <w:sz w:val="24"/>
        </w:rPr>
      </w:pPr>
      <w:r>
        <w:rPr>
          <w:rFonts w:ascii="Arial" w:hAnsi="Arial" w:eastAsia="宋体" w:cs="Arial"/>
          <w:spacing w:val="10"/>
          <w:sz w:val="24"/>
        </w:rPr>
        <w:t>主要包括贮存容器破裂造成的泄漏，各类接头破裂产生的泄漏。罐体和罐区是重点防范的主要区域。罐体发生泄漏、爆炸的原因有以下方面：</w:t>
      </w:r>
    </w:p>
    <w:p w14:paraId="01E20023">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罐体较大泄漏、爆炸：由于罐体锈蚀、地震或其他自然原因造成罐体变形泄漏，有可能造成对周围环境的严重污染，危及当地人畜的健康和安全，可能甚至可能发生爆炸和火灾，造成重大损失。当人为管理不当或疏忽时也可能造成上述后果。发生此类事故持续时间较短、源强较大。类比国内外其他生产厂家，该种事故发生概率极小。</w:t>
      </w:r>
    </w:p>
    <w:p w14:paraId="562BE2C1">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罐体较小泄漏：贮存过程造成的污染，主要为贮罐破损或装罐过程产生的污染。在加强管理和定期检查的情况下，贮罐破损事故可基本消除，但装罐过程泄漏现象不可避免。因此装罐过程中的泄漏是主要的泄漏源，主要可能产生由于管理不当或罐体老化在管道接口处可能有较小泄漏，会对生产工人造成危害可能中毒。</w:t>
      </w:r>
    </w:p>
    <w:p w14:paraId="6CA6EE1D">
      <w:pPr>
        <w:spacing w:line="500" w:lineRule="exact"/>
        <w:ind w:firstLine="490" w:firstLineChars="200"/>
        <w:rPr>
          <w:rFonts w:ascii="Arial" w:hAnsi="Arial" w:eastAsia="宋体" w:cs="Arial"/>
          <w:spacing w:val="10"/>
          <w:sz w:val="24"/>
        </w:rPr>
      </w:pPr>
      <w:r>
        <w:rPr>
          <w:rFonts w:hint="eastAsia" w:ascii="宋体" w:hAnsi="宋体" w:eastAsia="宋体" w:cs="宋体"/>
          <w:spacing w:val="10"/>
          <w:sz w:val="24"/>
        </w:rPr>
        <w:t>③</w:t>
      </w:r>
      <w:r>
        <w:rPr>
          <w:rFonts w:ascii="Arial" w:hAnsi="Arial" w:eastAsia="宋体" w:cs="Arial"/>
          <w:spacing w:val="10"/>
          <w:sz w:val="24"/>
        </w:rPr>
        <w:t>罐区事故风险：生产过程中由于管理不善、设备失修，意外跳闸、仪表失灵、技术水平低等原因可能有个别处发生跑、冒、滴、漏现象会对工人有不利影响，可能引发中毒，也可能在某死角积聚发生火灾或爆炸。</w:t>
      </w:r>
    </w:p>
    <w:p w14:paraId="5B09C3DF">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对国内化工行业事故发生原因的调查统计，化工行业以设备、管道、贮罐破损泄漏等引起的事故比例最高，而造成设备破损泄漏的直接原因多为管理不善、未定时检修造成，其中以违反操作规程、操作失误等人为因素引起的事故比例较高。表4-</w:t>
      </w:r>
      <w:r>
        <w:rPr>
          <w:rFonts w:hint="eastAsia" w:ascii="Arial" w:hAnsi="Arial" w:eastAsia="宋体" w:cs="Arial"/>
          <w:spacing w:val="10"/>
          <w:sz w:val="24"/>
        </w:rPr>
        <w:t>59</w:t>
      </w:r>
      <w:r>
        <w:rPr>
          <w:rFonts w:ascii="Arial" w:hAnsi="Arial" w:eastAsia="宋体" w:cs="Arial"/>
          <w:spacing w:val="10"/>
          <w:sz w:val="24"/>
        </w:rPr>
        <w:t>给出我国化工企业一般泄漏事故原因概率统计情况。</w:t>
      </w:r>
    </w:p>
    <w:p w14:paraId="20AC2D3D">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我国化工企业一般泄漏事故原因概率</w:t>
      </w:r>
    </w:p>
    <w:tbl>
      <w:tblPr>
        <w:tblStyle w:val="88"/>
        <w:tblW w:w="898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47"/>
        <w:gridCol w:w="2246"/>
        <w:gridCol w:w="2246"/>
        <w:gridCol w:w="2246"/>
      </w:tblGrid>
      <w:tr w14:paraId="65FE78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48" w:type="dxa"/>
            <w:tcBorders>
              <w:top w:val="single" w:color="auto" w:sz="6" w:space="0"/>
              <w:left w:val="single" w:color="auto" w:sz="6" w:space="0"/>
              <w:bottom w:val="single" w:color="auto" w:sz="6" w:space="0"/>
              <w:right w:val="single" w:color="auto" w:sz="6" w:space="0"/>
            </w:tcBorders>
            <w:vAlign w:val="center"/>
          </w:tcPr>
          <w:p w14:paraId="08502DD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事故原因</w:t>
            </w:r>
          </w:p>
        </w:tc>
        <w:tc>
          <w:tcPr>
            <w:tcW w:w="2248" w:type="dxa"/>
            <w:tcBorders>
              <w:top w:val="single" w:color="auto" w:sz="6" w:space="0"/>
              <w:left w:val="single" w:color="auto" w:sz="6" w:space="0"/>
              <w:bottom w:val="single" w:color="auto" w:sz="6" w:space="0"/>
              <w:right w:val="single" w:color="auto" w:sz="6" w:space="0"/>
            </w:tcBorders>
            <w:vAlign w:val="center"/>
          </w:tcPr>
          <w:p w14:paraId="06FC53AD">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设备（贮罐、管道等）</w:t>
            </w:r>
          </w:p>
        </w:tc>
        <w:tc>
          <w:tcPr>
            <w:tcW w:w="2248" w:type="dxa"/>
            <w:tcBorders>
              <w:top w:val="single" w:color="auto" w:sz="6" w:space="0"/>
              <w:left w:val="single" w:color="auto" w:sz="6" w:space="0"/>
              <w:bottom w:val="single" w:color="auto" w:sz="6" w:space="0"/>
              <w:right w:val="single" w:color="auto" w:sz="6" w:space="0"/>
            </w:tcBorders>
            <w:vAlign w:val="center"/>
          </w:tcPr>
          <w:p w14:paraId="1922C5E7">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人为因素</w:t>
            </w:r>
          </w:p>
        </w:tc>
        <w:tc>
          <w:tcPr>
            <w:tcW w:w="2248" w:type="dxa"/>
            <w:tcBorders>
              <w:top w:val="single" w:color="auto" w:sz="6" w:space="0"/>
              <w:left w:val="single" w:color="auto" w:sz="6" w:space="0"/>
              <w:bottom w:val="single" w:color="auto" w:sz="6" w:space="0"/>
              <w:right w:val="single" w:color="auto" w:sz="6" w:space="0"/>
            </w:tcBorders>
            <w:vAlign w:val="center"/>
          </w:tcPr>
          <w:p w14:paraId="660EEF48">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自然因素</w:t>
            </w:r>
          </w:p>
        </w:tc>
      </w:tr>
      <w:tr w14:paraId="07A365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48" w:type="dxa"/>
            <w:tcBorders>
              <w:top w:val="single" w:color="auto" w:sz="6" w:space="0"/>
              <w:left w:val="single" w:color="auto" w:sz="6" w:space="0"/>
              <w:bottom w:val="single" w:color="auto" w:sz="6" w:space="0"/>
              <w:right w:val="single" w:color="auto" w:sz="6" w:space="0"/>
            </w:tcBorders>
            <w:vAlign w:val="center"/>
          </w:tcPr>
          <w:p w14:paraId="6E53045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出现几率（%）</w:t>
            </w:r>
          </w:p>
        </w:tc>
        <w:tc>
          <w:tcPr>
            <w:tcW w:w="2248" w:type="dxa"/>
            <w:tcBorders>
              <w:top w:val="single" w:color="auto" w:sz="6" w:space="0"/>
              <w:left w:val="single" w:color="auto" w:sz="6" w:space="0"/>
              <w:bottom w:val="single" w:color="auto" w:sz="6" w:space="0"/>
              <w:right w:val="single" w:color="auto" w:sz="6" w:space="0"/>
            </w:tcBorders>
            <w:vAlign w:val="center"/>
          </w:tcPr>
          <w:p w14:paraId="01DB7274">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72</w:t>
            </w:r>
          </w:p>
        </w:tc>
        <w:tc>
          <w:tcPr>
            <w:tcW w:w="2248" w:type="dxa"/>
            <w:tcBorders>
              <w:top w:val="single" w:color="auto" w:sz="6" w:space="0"/>
              <w:left w:val="single" w:color="auto" w:sz="6" w:space="0"/>
              <w:bottom w:val="single" w:color="auto" w:sz="6" w:space="0"/>
              <w:right w:val="single" w:color="auto" w:sz="6" w:space="0"/>
            </w:tcBorders>
            <w:vAlign w:val="center"/>
          </w:tcPr>
          <w:p w14:paraId="5AC2799F">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12</w:t>
            </w:r>
          </w:p>
        </w:tc>
        <w:tc>
          <w:tcPr>
            <w:tcW w:w="2248" w:type="dxa"/>
            <w:tcBorders>
              <w:top w:val="single" w:color="auto" w:sz="6" w:space="0"/>
              <w:left w:val="single" w:color="auto" w:sz="6" w:space="0"/>
              <w:bottom w:val="single" w:color="auto" w:sz="6" w:space="0"/>
              <w:right w:val="single" w:color="auto" w:sz="6" w:space="0"/>
            </w:tcBorders>
            <w:vAlign w:val="center"/>
          </w:tcPr>
          <w:p w14:paraId="71C0AC6A">
            <w:pPr>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16</w:t>
            </w:r>
          </w:p>
        </w:tc>
      </w:tr>
    </w:tbl>
    <w:p w14:paraId="228091C4">
      <w:pPr>
        <w:spacing w:line="500" w:lineRule="exact"/>
        <w:ind w:firstLine="490" w:firstLineChars="200"/>
        <w:rPr>
          <w:rFonts w:ascii="Arial" w:hAnsi="Arial" w:eastAsia="宋体" w:cs="Arial"/>
          <w:spacing w:val="10"/>
          <w:sz w:val="24"/>
        </w:rPr>
      </w:pPr>
      <w:r>
        <w:rPr>
          <w:rFonts w:ascii="Arial" w:hAnsi="Arial" w:eastAsia="宋体" w:cs="Arial"/>
          <w:spacing w:val="10"/>
          <w:sz w:val="24"/>
        </w:rPr>
        <w:t>通过对全国35家石化工厂38年间事故调查情况分析，储运系统的事故主要为火灾、爆炸和溢油。其中火灾、爆炸的原因主要为：思想麻痹、违章动火；生产操作过程中产生静电，引起火灾爆炸；违章操作引起冒顶，遇明火发生火灾；设备不防爆，引起火灾。溢油（泄漏）的主要原因为：操作马虎，冒顶跑油；设备损坏发生跑油；装车跑油。由表</w:t>
      </w:r>
      <w:r>
        <w:rPr>
          <w:rFonts w:hint="eastAsia" w:ascii="Arial" w:hAnsi="Arial" w:eastAsia="宋体" w:cs="Arial"/>
          <w:spacing w:val="10"/>
          <w:sz w:val="24"/>
        </w:rPr>
        <w:t>4-60</w:t>
      </w:r>
      <w:r>
        <w:rPr>
          <w:rFonts w:ascii="Arial" w:hAnsi="Arial" w:eastAsia="宋体" w:cs="Arial"/>
          <w:spacing w:val="10"/>
          <w:sz w:val="24"/>
        </w:rPr>
        <w:t>可知，储运区发生事故中，火灾爆炸均为油罐的事故，跑油包括罐区和管线，跑油事故发生的概率大于爆炸事故，但其频率也较低，仅为40年一次。表4-</w:t>
      </w:r>
      <w:r>
        <w:rPr>
          <w:rFonts w:hint="eastAsia" w:ascii="Arial" w:hAnsi="Arial" w:eastAsia="宋体" w:cs="Arial"/>
          <w:spacing w:val="10"/>
          <w:sz w:val="24"/>
        </w:rPr>
        <w:t>61</w:t>
      </w:r>
      <w:r>
        <w:rPr>
          <w:rFonts w:ascii="Arial" w:hAnsi="Arial" w:eastAsia="宋体" w:cs="Arial"/>
          <w:spacing w:val="10"/>
          <w:sz w:val="24"/>
        </w:rPr>
        <w:t>列出了事故状态下有关设备典型泄漏损坏情况。</w:t>
      </w:r>
    </w:p>
    <w:p w14:paraId="3964BF9B">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储运系统事故统计结果</w:t>
      </w:r>
    </w:p>
    <w:tbl>
      <w:tblPr>
        <w:tblStyle w:val="88"/>
        <w:tblW w:w="898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993"/>
        <w:gridCol w:w="2996"/>
        <w:gridCol w:w="2996"/>
      </w:tblGrid>
      <w:tr w14:paraId="1AD2F6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996" w:type="dxa"/>
            <w:tcBorders>
              <w:top w:val="single" w:color="auto" w:sz="6" w:space="0"/>
              <w:left w:val="single" w:color="auto" w:sz="6" w:space="0"/>
              <w:bottom w:val="single" w:color="auto" w:sz="6" w:space="0"/>
              <w:right w:val="single" w:color="auto" w:sz="6" w:space="0"/>
            </w:tcBorders>
            <w:vAlign w:val="center"/>
          </w:tcPr>
          <w:p w14:paraId="6917680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事故类型</w:t>
            </w:r>
          </w:p>
        </w:tc>
        <w:tc>
          <w:tcPr>
            <w:tcW w:w="2998" w:type="dxa"/>
            <w:tcBorders>
              <w:top w:val="single" w:color="auto" w:sz="6" w:space="0"/>
              <w:left w:val="single" w:color="auto" w:sz="6" w:space="0"/>
              <w:bottom w:val="single" w:color="auto" w:sz="6" w:space="0"/>
              <w:right w:val="single" w:color="auto" w:sz="6" w:space="0"/>
            </w:tcBorders>
            <w:vAlign w:val="center"/>
          </w:tcPr>
          <w:p w14:paraId="41FE189A">
            <w:pPr>
              <w:snapToGrid w:val="0"/>
              <w:jc w:val="center"/>
              <w:rPr>
                <w:rFonts w:ascii="Arial" w:hAnsi="Arial" w:eastAsia="宋体" w:cs="Arial"/>
                <w:spacing w:val="10"/>
                <w:sz w:val="21"/>
                <w:szCs w:val="21"/>
              </w:rPr>
            </w:pPr>
            <w:r>
              <w:rPr>
                <w:rFonts w:ascii="Arial" w:hAnsi="Arial" w:eastAsia="宋体" w:cs="Arial"/>
                <w:spacing w:val="10"/>
                <w:sz w:val="21"/>
                <w:szCs w:val="21"/>
              </w:rPr>
              <w:t>发生次数</w:t>
            </w:r>
          </w:p>
        </w:tc>
        <w:tc>
          <w:tcPr>
            <w:tcW w:w="2998" w:type="dxa"/>
            <w:tcBorders>
              <w:top w:val="single" w:color="auto" w:sz="6" w:space="0"/>
              <w:left w:val="single" w:color="auto" w:sz="6" w:space="0"/>
              <w:bottom w:val="single" w:color="auto" w:sz="6" w:space="0"/>
              <w:right w:val="single" w:color="auto" w:sz="6" w:space="0"/>
            </w:tcBorders>
            <w:vAlign w:val="center"/>
          </w:tcPr>
          <w:p w14:paraId="4C0299CC">
            <w:pPr>
              <w:snapToGrid w:val="0"/>
              <w:jc w:val="center"/>
              <w:rPr>
                <w:rFonts w:ascii="Arial" w:hAnsi="Arial" w:eastAsia="宋体" w:cs="Arial"/>
                <w:spacing w:val="10"/>
                <w:sz w:val="21"/>
                <w:szCs w:val="21"/>
              </w:rPr>
            </w:pPr>
            <w:r>
              <w:rPr>
                <w:rFonts w:ascii="Arial" w:hAnsi="Arial" w:eastAsia="宋体" w:cs="Arial"/>
                <w:spacing w:val="10"/>
                <w:sz w:val="21"/>
                <w:szCs w:val="21"/>
              </w:rPr>
              <w:t>发生频率（1/年·厂）</w:t>
            </w:r>
          </w:p>
        </w:tc>
      </w:tr>
      <w:tr w14:paraId="25433B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996" w:type="dxa"/>
            <w:tcBorders>
              <w:top w:val="single" w:color="auto" w:sz="6" w:space="0"/>
              <w:left w:val="single" w:color="auto" w:sz="6" w:space="0"/>
              <w:bottom w:val="single" w:color="auto" w:sz="6" w:space="0"/>
              <w:right w:val="single" w:color="auto" w:sz="6" w:space="0"/>
            </w:tcBorders>
            <w:vAlign w:val="center"/>
          </w:tcPr>
          <w:p w14:paraId="2A42EE3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火灾、爆炸</w:t>
            </w:r>
          </w:p>
        </w:tc>
        <w:tc>
          <w:tcPr>
            <w:tcW w:w="2998" w:type="dxa"/>
            <w:tcBorders>
              <w:top w:val="single" w:color="auto" w:sz="6" w:space="0"/>
              <w:left w:val="single" w:color="auto" w:sz="6" w:space="0"/>
              <w:bottom w:val="single" w:color="auto" w:sz="6" w:space="0"/>
              <w:right w:val="single" w:color="auto" w:sz="6" w:space="0"/>
            </w:tcBorders>
            <w:vAlign w:val="center"/>
          </w:tcPr>
          <w:p w14:paraId="64B8601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9</w:t>
            </w:r>
          </w:p>
        </w:tc>
        <w:tc>
          <w:tcPr>
            <w:tcW w:w="2998" w:type="dxa"/>
            <w:tcBorders>
              <w:top w:val="single" w:color="auto" w:sz="6" w:space="0"/>
              <w:left w:val="single" w:color="auto" w:sz="6" w:space="0"/>
              <w:bottom w:val="single" w:color="auto" w:sz="6" w:space="0"/>
              <w:right w:val="single" w:color="auto" w:sz="6" w:space="0"/>
            </w:tcBorders>
            <w:vAlign w:val="center"/>
          </w:tcPr>
          <w:p w14:paraId="104AEBC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0.0068（160年一次）</w:t>
            </w:r>
          </w:p>
        </w:tc>
      </w:tr>
      <w:tr w14:paraId="2BDBD3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996" w:type="dxa"/>
            <w:tcBorders>
              <w:top w:val="single" w:color="auto" w:sz="6" w:space="0"/>
              <w:left w:val="single" w:color="auto" w:sz="6" w:space="0"/>
              <w:bottom w:val="single" w:color="auto" w:sz="6" w:space="0"/>
              <w:right w:val="single" w:color="auto" w:sz="6" w:space="0"/>
            </w:tcBorders>
            <w:vAlign w:val="center"/>
          </w:tcPr>
          <w:p w14:paraId="1F3D702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溢油（泄漏）</w:t>
            </w:r>
          </w:p>
        </w:tc>
        <w:tc>
          <w:tcPr>
            <w:tcW w:w="2998" w:type="dxa"/>
            <w:tcBorders>
              <w:top w:val="single" w:color="auto" w:sz="6" w:space="0"/>
              <w:left w:val="single" w:color="auto" w:sz="6" w:space="0"/>
              <w:bottom w:val="single" w:color="auto" w:sz="6" w:space="0"/>
              <w:right w:val="single" w:color="auto" w:sz="6" w:space="0"/>
            </w:tcBorders>
            <w:vAlign w:val="center"/>
          </w:tcPr>
          <w:p w14:paraId="1304BA3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37</w:t>
            </w:r>
          </w:p>
        </w:tc>
        <w:tc>
          <w:tcPr>
            <w:tcW w:w="2998" w:type="dxa"/>
            <w:tcBorders>
              <w:top w:val="single" w:color="auto" w:sz="6" w:space="0"/>
              <w:left w:val="single" w:color="auto" w:sz="6" w:space="0"/>
              <w:bottom w:val="single" w:color="auto" w:sz="6" w:space="0"/>
              <w:right w:val="single" w:color="auto" w:sz="6" w:space="0"/>
            </w:tcBorders>
            <w:vAlign w:val="center"/>
          </w:tcPr>
          <w:p w14:paraId="3768002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0.0278（40年一次）</w:t>
            </w:r>
          </w:p>
        </w:tc>
      </w:tr>
    </w:tbl>
    <w:p w14:paraId="2B57744C">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事故下设备典型泄漏表</w:t>
      </w:r>
    </w:p>
    <w:tbl>
      <w:tblPr>
        <w:tblStyle w:val="88"/>
        <w:tblW w:w="898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20"/>
        <w:gridCol w:w="1211"/>
        <w:gridCol w:w="2554"/>
        <w:gridCol w:w="2199"/>
        <w:gridCol w:w="2201"/>
      </w:tblGrid>
      <w:tr w14:paraId="189B5B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tblHeader/>
          <w:jc w:val="center"/>
        </w:trPr>
        <w:tc>
          <w:tcPr>
            <w:tcW w:w="820" w:type="dxa"/>
            <w:tcBorders>
              <w:top w:val="single" w:color="auto" w:sz="6" w:space="0"/>
              <w:left w:val="single" w:color="auto" w:sz="6" w:space="0"/>
              <w:bottom w:val="single" w:color="auto" w:sz="6" w:space="0"/>
              <w:right w:val="single" w:color="auto" w:sz="6" w:space="0"/>
            </w:tcBorders>
            <w:vAlign w:val="center"/>
          </w:tcPr>
          <w:p w14:paraId="551551A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序号</w:t>
            </w:r>
          </w:p>
        </w:tc>
        <w:tc>
          <w:tcPr>
            <w:tcW w:w="1212" w:type="dxa"/>
            <w:tcBorders>
              <w:top w:val="single" w:color="auto" w:sz="6" w:space="0"/>
              <w:left w:val="single" w:color="auto" w:sz="6" w:space="0"/>
              <w:bottom w:val="single" w:color="auto" w:sz="6" w:space="0"/>
              <w:right w:val="single" w:color="auto" w:sz="6" w:space="0"/>
            </w:tcBorders>
            <w:vAlign w:val="center"/>
          </w:tcPr>
          <w:p w14:paraId="2DE9C5B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设备名称</w:t>
            </w:r>
          </w:p>
        </w:tc>
        <w:tc>
          <w:tcPr>
            <w:tcW w:w="2556" w:type="dxa"/>
            <w:tcBorders>
              <w:top w:val="single" w:color="auto" w:sz="6" w:space="0"/>
              <w:left w:val="single" w:color="auto" w:sz="6" w:space="0"/>
              <w:bottom w:val="single" w:color="auto" w:sz="6" w:space="0"/>
              <w:right w:val="single" w:color="auto" w:sz="6" w:space="0"/>
            </w:tcBorders>
            <w:vAlign w:val="center"/>
          </w:tcPr>
          <w:p w14:paraId="7C53B03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设备种类</w:t>
            </w:r>
          </w:p>
        </w:tc>
        <w:tc>
          <w:tcPr>
            <w:tcW w:w="2201" w:type="dxa"/>
            <w:tcBorders>
              <w:top w:val="single" w:color="auto" w:sz="6" w:space="0"/>
              <w:left w:val="single" w:color="auto" w:sz="6" w:space="0"/>
              <w:bottom w:val="single" w:color="auto" w:sz="6" w:space="0"/>
              <w:right w:val="single" w:color="auto" w:sz="6" w:space="0"/>
            </w:tcBorders>
            <w:vAlign w:val="center"/>
          </w:tcPr>
          <w:p w14:paraId="319CE01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典型泄漏</w:t>
            </w:r>
          </w:p>
        </w:tc>
        <w:tc>
          <w:tcPr>
            <w:tcW w:w="2203" w:type="dxa"/>
            <w:tcBorders>
              <w:top w:val="single" w:color="auto" w:sz="6" w:space="0"/>
              <w:left w:val="single" w:color="auto" w:sz="6" w:space="0"/>
              <w:bottom w:val="single" w:color="auto" w:sz="6" w:space="0"/>
              <w:right w:val="single" w:color="auto" w:sz="6" w:space="0"/>
            </w:tcBorders>
            <w:vAlign w:val="center"/>
          </w:tcPr>
          <w:p w14:paraId="6A4C9FC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损坏尺寸</w:t>
            </w:r>
          </w:p>
        </w:tc>
      </w:tr>
      <w:tr w14:paraId="601D28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820" w:type="dxa"/>
            <w:vMerge w:val="restart"/>
            <w:tcBorders>
              <w:top w:val="single" w:color="auto" w:sz="6" w:space="0"/>
              <w:left w:val="single" w:color="auto" w:sz="6" w:space="0"/>
              <w:bottom w:val="single" w:color="auto" w:sz="6" w:space="0"/>
              <w:right w:val="single" w:color="auto" w:sz="6" w:space="0"/>
            </w:tcBorders>
            <w:vAlign w:val="center"/>
          </w:tcPr>
          <w:p w14:paraId="1B0205C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w:t>
            </w:r>
          </w:p>
        </w:tc>
        <w:tc>
          <w:tcPr>
            <w:tcW w:w="1212" w:type="dxa"/>
            <w:vMerge w:val="restart"/>
            <w:tcBorders>
              <w:top w:val="single" w:color="auto" w:sz="6" w:space="0"/>
              <w:left w:val="single" w:color="auto" w:sz="6" w:space="0"/>
              <w:bottom w:val="single" w:color="auto" w:sz="6" w:space="0"/>
              <w:right w:val="single" w:color="auto" w:sz="6" w:space="0"/>
            </w:tcBorders>
            <w:vAlign w:val="center"/>
          </w:tcPr>
          <w:p w14:paraId="37A4724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管道</w:t>
            </w:r>
          </w:p>
        </w:tc>
        <w:tc>
          <w:tcPr>
            <w:tcW w:w="2556" w:type="dxa"/>
            <w:vMerge w:val="restart"/>
            <w:tcBorders>
              <w:top w:val="single" w:color="auto" w:sz="6" w:space="0"/>
              <w:left w:val="single" w:color="auto" w:sz="6" w:space="0"/>
              <w:bottom w:val="single" w:color="auto" w:sz="6" w:space="0"/>
              <w:right w:val="single" w:color="auto" w:sz="6" w:space="0"/>
            </w:tcBorders>
            <w:vAlign w:val="center"/>
          </w:tcPr>
          <w:p w14:paraId="3AC085C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管道、法兰、接头、弯头</w:t>
            </w:r>
          </w:p>
        </w:tc>
        <w:tc>
          <w:tcPr>
            <w:tcW w:w="2201" w:type="dxa"/>
            <w:tcBorders>
              <w:top w:val="single" w:color="auto" w:sz="6" w:space="0"/>
              <w:left w:val="single" w:color="auto" w:sz="6" w:space="0"/>
              <w:bottom w:val="single" w:color="auto" w:sz="6" w:space="0"/>
              <w:right w:val="single" w:color="auto" w:sz="6" w:space="0"/>
            </w:tcBorders>
            <w:vAlign w:val="center"/>
          </w:tcPr>
          <w:p w14:paraId="06D8EC6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法兰泄漏</w:t>
            </w:r>
          </w:p>
        </w:tc>
        <w:tc>
          <w:tcPr>
            <w:tcW w:w="2203" w:type="dxa"/>
            <w:tcBorders>
              <w:top w:val="single" w:color="auto" w:sz="6" w:space="0"/>
              <w:left w:val="single" w:color="auto" w:sz="6" w:space="0"/>
              <w:bottom w:val="single" w:color="auto" w:sz="6" w:space="0"/>
              <w:right w:val="single" w:color="auto" w:sz="6" w:space="0"/>
            </w:tcBorders>
            <w:vAlign w:val="center"/>
          </w:tcPr>
          <w:p w14:paraId="4AF2CFD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20%管径</w:t>
            </w:r>
          </w:p>
        </w:tc>
      </w:tr>
      <w:tr w14:paraId="37FC79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14:paraId="59B8E00C">
            <w:pPr>
              <w:widowControl/>
              <w:jc w:val="left"/>
              <w:rPr>
                <w:rFonts w:ascii="Arial" w:hAnsi="Arial" w:eastAsia="宋体" w:cs="Arial"/>
                <w:spacing w:val="10"/>
                <w:sz w:val="21"/>
                <w:szCs w:val="21"/>
              </w:rPr>
            </w:pPr>
          </w:p>
        </w:tc>
        <w:tc>
          <w:tcPr>
            <w:tcW w:w="1212" w:type="dxa"/>
            <w:vMerge w:val="continue"/>
            <w:tcBorders>
              <w:top w:val="single" w:color="auto" w:sz="6" w:space="0"/>
              <w:left w:val="single" w:color="auto" w:sz="6" w:space="0"/>
              <w:bottom w:val="single" w:color="auto" w:sz="6" w:space="0"/>
              <w:right w:val="single" w:color="auto" w:sz="6" w:space="0"/>
            </w:tcBorders>
            <w:vAlign w:val="center"/>
          </w:tcPr>
          <w:p w14:paraId="24780A2C">
            <w:pPr>
              <w:widowControl/>
              <w:jc w:val="left"/>
              <w:rPr>
                <w:rFonts w:ascii="Arial" w:hAnsi="Arial" w:eastAsia="宋体" w:cs="Arial"/>
                <w:spacing w:val="10"/>
                <w:sz w:val="21"/>
                <w:szCs w:val="21"/>
              </w:rPr>
            </w:pPr>
          </w:p>
        </w:tc>
        <w:tc>
          <w:tcPr>
            <w:tcW w:w="2556" w:type="dxa"/>
            <w:vMerge w:val="continue"/>
            <w:tcBorders>
              <w:top w:val="single" w:color="auto" w:sz="6" w:space="0"/>
              <w:left w:val="single" w:color="auto" w:sz="6" w:space="0"/>
              <w:bottom w:val="single" w:color="auto" w:sz="6" w:space="0"/>
              <w:right w:val="single" w:color="auto" w:sz="6" w:space="0"/>
            </w:tcBorders>
            <w:vAlign w:val="center"/>
          </w:tcPr>
          <w:p w14:paraId="2C2AFD59">
            <w:pPr>
              <w:widowControl/>
              <w:jc w:val="left"/>
              <w:rPr>
                <w:rFonts w:ascii="Arial" w:hAnsi="Arial" w:eastAsia="宋体" w:cs="Arial"/>
                <w:spacing w:val="10"/>
                <w:sz w:val="21"/>
                <w:szCs w:val="21"/>
              </w:rPr>
            </w:pPr>
          </w:p>
        </w:tc>
        <w:tc>
          <w:tcPr>
            <w:tcW w:w="2201" w:type="dxa"/>
            <w:tcBorders>
              <w:top w:val="single" w:color="auto" w:sz="6" w:space="0"/>
              <w:left w:val="single" w:color="auto" w:sz="6" w:space="0"/>
              <w:bottom w:val="single" w:color="auto" w:sz="6" w:space="0"/>
              <w:right w:val="single" w:color="auto" w:sz="6" w:space="0"/>
            </w:tcBorders>
            <w:vAlign w:val="center"/>
          </w:tcPr>
          <w:p w14:paraId="0845FE2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管道泄漏</w:t>
            </w:r>
          </w:p>
        </w:tc>
        <w:tc>
          <w:tcPr>
            <w:tcW w:w="2203" w:type="dxa"/>
            <w:tcBorders>
              <w:top w:val="single" w:color="auto" w:sz="6" w:space="0"/>
              <w:left w:val="single" w:color="auto" w:sz="6" w:space="0"/>
              <w:bottom w:val="single" w:color="auto" w:sz="6" w:space="0"/>
              <w:right w:val="single" w:color="auto" w:sz="6" w:space="0"/>
            </w:tcBorders>
            <w:vAlign w:val="center"/>
          </w:tcPr>
          <w:p w14:paraId="0032CD5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20%~100%管径</w:t>
            </w:r>
          </w:p>
        </w:tc>
      </w:tr>
      <w:tr w14:paraId="7FE3D3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14:paraId="6BDD0043">
            <w:pPr>
              <w:widowControl/>
              <w:jc w:val="left"/>
              <w:rPr>
                <w:rFonts w:ascii="Arial" w:hAnsi="Arial" w:eastAsia="宋体" w:cs="Arial"/>
                <w:spacing w:val="10"/>
                <w:sz w:val="21"/>
                <w:szCs w:val="21"/>
              </w:rPr>
            </w:pPr>
          </w:p>
        </w:tc>
        <w:tc>
          <w:tcPr>
            <w:tcW w:w="1212" w:type="dxa"/>
            <w:vMerge w:val="continue"/>
            <w:tcBorders>
              <w:top w:val="single" w:color="auto" w:sz="6" w:space="0"/>
              <w:left w:val="single" w:color="auto" w:sz="6" w:space="0"/>
              <w:bottom w:val="single" w:color="auto" w:sz="6" w:space="0"/>
              <w:right w:val="single" w:color="auto" w:sz="6" w:space="0"/>
            </w:tcBorders>
            <w:vAlign w:val="center"/>
          </w:tcPr>
          <w:p w14:paraId="185FE9CD">
            <w:pPr>
              <w:widowControl/>
              <w:jc w:val="left"/>
              <w:rPr>
                <w:rFonts w:ascii="Arial" w:hAnsi="Arial" w:eastAsia="宋体" w:cs="Arial"/>
                <w:spacing w:val="10"/>
                <w:sz w:val="21"/>
                <w:szCs w:val="21"/>
              </w:rPr>
            </w:pPr>
          </w:p>
        </w:tc>
        <w:tc>
          <w:tcPr>
            <w:tcW w:w="2556" w:type="dxa"/>
            <w:vMerge w:val="continue"/>
            <w:tcBorders>
              <w:top w:val="single" w:color="auto" w:sz="6" w:space="0"/>
              <w:left w:val="single" w:color="auto" w:sz="6" w:space="0"/>
              <w:bottom w:val="single" w:color="auto" w:sz="6" w:space="0"/>
              <w:right w:val="single" w:color="auto" w:sz="6" w:space="0"/>
            </w:tcBorders>
            <w:vAlign w:val="center"/>
          </w:tcPr>
          <w:p w14:paraId="329920D6">
            <w:pPr>
              <w:widowControl/>
              <w:jc w:val="left"/>
              <w:rPr>
                <w:rFonts w:ascii="Arial" w:hAnsi="Arial" w:eastAsia="宋体" w:cs="Arial"/>
                <w:spacing w:val="10"/>
                <w:sz w:val="21"/>
                <w:szCs w:val="21"/>
              </w:rPr>
            </w:pPr>
          </w:p>
        </w:tc>
        <w:tc>
          <w:tcPr>
            <w:tcW w:w="2201" w:type="dxa"/>
            <w:tcBorders>
              <w:top w:val="single" w:color="auto" w:sz="6" w:space="0"/>
              <w:left w:val="single" w:color="auto" w:sz="6" w:space="0"/>
              <w:bottom w:val="single" w:color="auto" w:sz="6" w:space="0"/>
              <w:right w:val="single" w:color="auto" w:sz="6" w:space="0"/>
            </w:tcBorders>
            <w:vAlign w:val="center"/>
          </w:tcPr>
          <w:p w14:paraId="378D708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接头损坏</w:t>
            </w:r>
          </w:p>
        </w:tc>
        <w:tc>
          <w:tcPr>
            <w:tcW w:w="2203" w:type="dxa"/>
            <w:tcBorders>
              <w:top w:val="single" w:color="auto" w:sz="6" w:space="0"/>
              <w:left w:val="single" w:color="auto" w:sz="6" w:space="0"/>
              <w:bottom w:val="single" w:color="auto" w:sz="6" w:space="0"/>
              <w:right w:val="single" w:color="auto" w:sz="6" w:space="0"/>
            </w:tcBorders>
            <w:vAlign w:val="center"/>
          </w:tcPr>
          <w:p w14:paraId="4822F37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20%~100%管径</w:t>
            </w:r>
          </w:p>
        </w:tc>
      </w:tr>
      <w:tr w14:paraId="09430F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14:paraId="622F444F">
            <w:pPr>
              <w:widowControl/>
              <w:jc w:val="left"/>
              <w:rPr>
                <w:rFonts w:ascii="Arial" w:hAnsi="Arial" w:eastAsia="宋体" w:cs="Arial"/>
                <w:spacing w:val="10"/>
                <w:sz w:val="21"/>
                <w:szCs w:val="21"/>
              </w:rPr>
            </w:pPr>
          </w:p>
        </w:tc>
        <w:tc>
          <w:tcPr>
            <w:tcW w:w="1212" w:type="dxa"/>
            <w:vMerge w:val="continue"/>
            <w:tcBorders>
              <w:top w:val="single" w:color="auto" w:sz="6" w:space="0"/>
              <w:left w:val="single" w:color="auto" w:sz="6" w:space="0"/>
              <w:bottom w:val="single" w:color="auto" w:sz="6" w:space="0"/>
              <w:right w:val="single" w:color="auto" w:sz="6" w:space="0"/>
            </w:tcBorders>
            <w:vAlign w:val="center"/>
          </w:tcPr>
          <w:p w14:paraId="4A5C8236">
            <w:pPr>
              <w:widowControl/>
              <w:jc w:val="left"/>
              <w:rPr>
                <w:rFonts w:ascii="Arial" w:hAnsi="Arial" w:eastAsia="宋体" w:cs="Arial"/>
                <w:spacing w:val="10"/>
                <w:sz w:val="21"/>
                <w:szCs w:val="21"/>
              </w:rPr>
            </w:pPr>
          </w:p>
        </w:tc>
        <w:tc>
          <w:tcPr>
            <w:tcW w:w="2556" w:type="dxa"/>
            <w:vMerge w:val="continue"/>
            <w:tcBorders>
              <w:top w:val="single" w:color="auto" w:sz="6" w:space="0"/>
              <w:left w:val="single" w:color="auto" w:sz="6" w:space="0"/>
              <w:bottom w:val="single" w:color="auto" w:sz="6" w:space="0"/>
              <w:right w:val="single" w:color="auto" w:sz="6" w:space="0"/>
            </w:tcBorders>
            <w:vAlign w:val="center"/>
          </w:tcPr>
          <w:p w14:paraId="59FC2097">
            <w:pPr>
              <w:widowControl/>
              <w:jc w:val="left"/>
              <w:rPr>
                <w:rFonts w:ascii="Arial" w:hAnsi="Arial" w:eastAsia="宋体" w:cs="Arial"/>
                <w:spacing w:val="10"/>
                <w:sz w:val="21"/>
                <w:szCs w:val="21"/>
              </w:rPr>
            </w:pPr>
          </w:p>
        </w:tc>
        <w:tc>
          <w:tcPr>
            <w:tcW w:w="2201" w:type="dxa"/>
            <w:tcBorders>
              <w:top w:val="single" w:color="auto" w:sz="6" w:space="0"/>
              <w:left w:val="single" w:color="auto" w:sz="6" w:space="0"/>
              <w:bottom w:val="single" w:color="auto" w:sz="6" w:space="0"/>
              <w:right w:val="single" w:color="auto" w:sz="6" w:space="0"/>
            </w:tcBorders>
            <w:vAlign w:val="center"/>
          </w:tcPr>
          <w:p w14:paraId="387B2BE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焊点断裂</w:t>
            </w:r>
          </w:p>
        </w:tc>
        <w:tc>
          <w:tcPr>
            <w:tcW w:w="2203" w:type="dxa"/>
            <w:tcBorders>
              <w:top w:val="single" w:color="auto" w:sz="6" w:space="0"/>
              <w:left w:val="single" w:color="auto" w:sz="6" w:space="0"/>
              <w:bottom w:val="single" w:color="auto" w:sz="6" w:space="0"/>
              <w:right w:val="single" w:color="auto" w:sz="6" w:space="0"/>
            </w:tcBorders>
            <w:vAlign w:val="center"/>
          </w:tcPr>
          <w:p w14:paraId="6851129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20%~100%管径</w:t>
            </w:r>
          </w:p>
        </w:tc>
      </w:tr>
      <w:tr w14:paraId="0EA1841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820" w:type="dxa"/>
            <w:vMerge w:val="restart"/>
            <w:tcBorders>
              <w:top w:val="single" w:color="auto" w:sz="6" w:space="0"/>
              <w:left w:val="single" w:color="auto" w:sz="6" w:space="0"/>
              <w:bottom w:val="single" w:color="auto" w:sz="6" w:space="0"/>
              <w:right w:val="single" w:color="auto" w:sz="6" w:space="0"/>
            </w:tcBorders>
            <w:vAlign w:val="center"/>
          </w:tcPr>
          <w:p w14:paraId="6CB5DFB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w:t>
            </w:r>
          </w:p>
        </w:tc>
        <w:tc>
          <w:tcPr>
            <w:tcW w:w="1212" w:type="dxa"/>
            <w:vMerge w:val="restart"/>
            <w:tcBorders>
              <w:top w:val="single" w:color="auto" w:sz="6" w:space="0"/>
              <w:left w:val="single" w:color="auto" w:sz="6" w:space="0"/>
              <w:bottom w:val="single" w:color="auto" w:sz="6" w:space="0"/>
              <w:right w:val="single" w:color="auto" w:sz="6" w:space="0"/>
            </w:tcBorders>
            <w:vAlign w:val="center"/>
          </w:tcPr>
          <w:p w14:paraId="185436E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阀</w:t>
            </w:r>
          </w:p>
        </w:tc>
        <w:tc>
          <w:tcPr>
            <w:tcW w:w="2556" w:type="dxa"/>
            <w:vMerge w:val="restart"/>
            <w:tcBorders>
              <w:top w:val="single" w:color="auto" w:sz="6" w:space="0"/>
              <w:left w:val="single" w:color="auto" w:sz="6" w:space="0"/>
              <w:bottom w:val="single" w:color="auto" w:sz="6" w:space="0"/>
              <w:right w:val="single" w:color="auto" w:sz="6" w:space="0"/>
            </w:tcBorders>
            <w:vAlign w:val="center"/>
          </w:tcPr>
          <w:p w14:paraId="71CA805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球、阀门</w:t>
            </w:r>
          </w:p>
        </w:tc>
        <w:tc>
          <w:tcPr>
            <w:tcW w:w="2201" w:type="dxa"/>
            <w:tcBorders>
              <w:top w:val="single" w:color="auto" w:sz="6" w:space="0"/>
              <w:left w:val="single" w:color="auto" w:sz="6" w:space="0"/>
              <w:bottom w:val="single" w:color="auto" w:sz="6" w:space="0"/>
              <w:right w:val="single" w:color="auto" w:sz="6" w:space="0"/>
            </w:tcBorders>
            <w:vAlign w:val="center"/>
          </w:tcPr>
          <w:p w14:paraId="00AAC70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壳泄漏</w:t>
            </w:r>
          </w:p>
        </w:tc>
        <w:tc>
          <w:tcPr>
            <w:tcW w:w="2203" w:type="dxa"/>
            <w:tcBorders>
              <w:top w:val="single" w:color="auto" w:sz="6" w:space="0"/>
              <w:left w:val="single" w:color="auto" w:sz="6" w:space="0"/>
              <w:bottom w:val="single" w:color="auto" w:sz="6" w:space="0"/>
              <w:right w:val="single" w:color="auto" w:sz="6" w:space="0"/>
            </w:tcBorders>
            <w:vAlign w:val="center"/>
          </w:tcPr>
          <w:p w14:paraId="32A2123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20%~100%管径</w:t>
            </w:r>
          </w:p>
        </w:tc>
      </w:tr>
      <w:tr w14:paraId="1FAD6E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14:paraId="6554A5CE">
            <w:pPr>
              <w:widowControl/>
              <w:jc w:val="left"/>
              <w:rPr>
                <w:rFonts w:ascii="Arial" w:hAnsi="Arial" w:eastAsia="宋体" w:cs="Arial"/>
                <w:spacing w:val="10"/>
                <w:sz w:val="21"/>
                <w:szCs w:val="21"/>
              </w:rPr>
            </w:pPr>
          </w:p>
        </w:tc>
        <w:tc>
          <w:tcPr>
            <w:tcW w:w="1212" w:type="dxa"/>
            <w:vMerge w:val="continue"/>
            <w:tcBorders>
              <w:top w:val="single" w:color="auto" w:sz="6" w:space="0"/>
              <w:left w:val="single" w:color="auto" w:sz="6" w:space="0"/>
              <w:bottom w:val="single" w:color="auto" w:sz="6" w:space="0"/>
              <w:right w:val="single" w:color="auto" w:sz="6" w:space="0"/>
            </w:tcBorders>
            <w:vAlign w:val="center"/>
          </w:tcPr>
          <w:p w14:paraId="7B69AA4F">
            <w:pPr>
              <w:widowControl/>
              <w:jc w:val="left"/>
              <w:rPr>
                <w:rFonts w:ascii="Arial" w:hAnsi="Arial" w:eastAsia="宋体" w:cs="Arial"/>
                <w:spacing w:val="10"/>
                <w:sz w:val="21"/>
                <w:szCs w:val="21"/>
              </w:rPr>
            </w:pPr>
          </w:p>
        </w:tc>
        <w:tc>
          <w:tcPr>
            <w:tcW w:w="2556" w:type="dxa"/>
            <w:vMerge w:val="continue"/>
            <w:tcBorders>
              <w:top w:val="single" w:color="auto" w:sz="6" w:space="0"/>
              <w:left w:val="single" w:color="auto" w:sz="6" w:space="0"/>
              <w:bottom w:val="single" w:color="auto" w:sz="6" w:space="0"/>
              <w:right w:val="single" w:color="auto" w:sz="6" w:space="0"/>
            </w:tcBorders>
            <w:vAlign w:val="center"/>
          </w:tcPr>
          <w:p w14:paraId="1FB79263">
            <w:pPr>
              <w:widowControl/>
              <w:jc w:val="left"/>
              <w:rPr>
                <w:rFonts w:ascii="Arial" w:hAnsi="Arial" w:eastAsia="宋体" w:cs="Arial"/>
                <w:spacing w:val="10"/>
                <w:sz w:val="21"/>
                <w:szCs w:val="21"/>
              </w:rPr>
            </w:pPr>
          </w:p>
        </w:tc>
        <w:tc>
          <w:tcPr>
            <w:tcW w:w="2201" w:type="dxa"/>
            <w:tcBorders>
              <w:top w:val="single" w:color="auto" w:sz="6" w:space="0"/>
              <w:left w:val="single" w:color="auto" w:sz="6" w:space="0"/>
              <w:bottom w:val="single" w:color="auto" w:sz="6" w:space="0"/>
              <w:right w:val="single" w:color="auto" w:sz="6" w:space="0"/>
            </w:tcBorders>
            <w:vAlign w:val="center"/>
          </w:tcPr>
          <w:p w14:paraId="607792D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盖孔泄漏</w:t>
            </w:r>
          </w:p>
        </w:tc>
        <w:tc>
          <w:tcPr>
            <w:tcW w:w="2203" w:type="dxa"/>
            <w:tcBorders>
              <w:top w:val="single" w:color="auto" w:sz="6" w:space="0"/>
              <w:left w:val="single" w:color="auto" w:sz="6" w:space="0"/>
              <w:bottom w:val="single" w:color="auto" w:sz="6" w:space="0"/>
              <w:right w:val="single" w:color="auto" w:sz="6" w:space="0"/>
            </w:tcBorders>
            <w:vAlign w:val="center"/>
          </w:tcPr>
          <w:p w14:paraId="664928C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20%管径</w:t>
            </w:r>
          </w:p>
        </w:tc>
      </w:tr>
      <w:tr w14:paraId="2C07A8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14:paraId="5B73E32F">
            <w:pPr>
              <w:widowControl/>
              <w:jc w:val="left"/>
              <w:rPr>
                <w:rFonts w:ascii="Arial" w:hAnsi="Arial" w:eastAsia="宋体" w:cs="Arial"/>
                <w:spacing w:val="10"/>
                <w:sz w:val="21"/>
                <w:szCs w:val="21"/>
              </w:rPr>
            </w:pPr>
          </w:p>
        </w:tc>
        <w:tc>
          <w:tcPr>
            <w:tcW w:w="1212" w:type="dxa"/>
            <w:vMerge w:val="continue"/>
            <w:tcBorders>
              <w:top w:val="single" w:color="auto" w:sz="6" w:space="0"/>
              <w:left w:val="single" w:color="auto" w:sz="6" w:space="0"/>
              <w:bottom w:val="single" w:color="auto" w:sz="6" w:space="0"/>
              <w:right w:val="single" w:color="auto" w:sz="6" w:space="0"/>
            </w:tcBorders>
            <w:vAlign w:val="center"/>
          </w:tcPr>
          <w:p w14:paraId="07DF6A01">
            <w:pPr>
              <w:widowControl/>
              <w:jc w:val="left"/>
              <w:rPr>
                <w:rFonts w:ascii="Arial" w:hAnsi="Arial" w:eastAsia="宋体" w:cs="Arial"/>
                <w:spacing w:val="10"/>
                <w:sz w:val="21"/>
                <w:szCs w:val="21"/>
              </w:rPr>
            </w:pPr>
          </w:p>
        </w:tc>
        <w:tc>
          <w:tcPr>
            <w:tcW w:w="2556" w:type="dxa"/>
            <w:vMerge w:val="continue"/>
            <w:tcBorders>
              <w:top w:val="single" w:color="auto" w:sz="6" w:space="0"/>
              <w:left w:val="single" w:color="auto" w:sz="6" w:space="0"/>
              <w:bottom w:val="single" w:color="auto" w:sz="6" w:space="0"/>
              <w:right w:val="single" w:color="auto" w:sz="6" w:space="0"/>
            </w:tcBorders>
            <w:vAlign w:val="center"/>
          </w:tcPr>
          <w:p w14:paraId="20F2595E">
            <w:pPr>
              <w:widowControl/>
              <w:jc w:val="left"/>
              <w:rPr>
                <w:rFonts w:ascii="Arial" w:hAnsi="Arial" w:eastAsia="宋体" w:cs="Arial"/>
                <w:spacing w:val="10"/>
                <w:sz w:val="21"/>
                <w:szCs w:val="21"/>
              </w:rPr>
            </w:pPr>
          </w:p>
        </w:tc>
        <w:tc>
          <w:tcPr>
            <w:tcW w:w="2201" w:type="dxa"/>
            <w:tcBorders>
              <w:top w:val="single" w:color="auto" w:sz="6" w:space="0"/>
              <w:left w:val="single" w:color="auto" w:sz="6" w:space="0"/>
              <w:bottom w:val="single" w:color="auto" w:sz="6" w:space="0"/>
              <w:right w:val="single" w:color="auto" w:sz="6" w:space="0"/>
            </w:tcBorders>
            <w:vAlign w:val="center"/>
          </w:tcPr>
          <w:p w14:paraId="0C5B3D0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杆损坏</w:t>
            </w:r>
          </w:p>
        </w:tc>
        <w:tc>
          <w:tcPr>
            <w:tcW w:w="2203" w:type="dxa"/>
            <w:tcBorders>
              <w:top w:val="single" w:color="auto" w:sz="6" w:space="0"/>
              <w:left w:val="single" w:color="auto" w:sz="6" w:space="0"/>
              <w:bottom w:val="single" w:color="auto" w:sz="6" w:space="0"/>
              <w:right w:val="single" w:color="auto" w:sz="6" w:space="0"/>
            </w:tcBorders>
            <w:vAlign w:val="center"/>
          </w:tcPr>
          <w:p w14:paraId="2341BD4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20%管径</w:t>
            </w:r>
          </w:p>
        </w:tc>
      </w:tr>
      <w:tr w14:paraId="3E2758D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820" w:type="dxa"/>
            <w:vMerge w:val="restart"/>
            <w:tcBorders>
              <w:top w:val="single" w:color="auto" w:sz="6" w:space="0"/>
              <w:left w:val="single" w:color="auto" w:sz="6" w:space="0"/>
              <w:bottom w:val="single" w:color="auto" w:sz="6" w:space="0"/>
              <w:right w:val="single" w:color="auto" w:sz="6" w:space="0"/>
            </w:tcBorders>
            <w:vAlign w:val="center"/>
          </w:tcPr>
          <w:p w14:paraId="3CC9070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w:t>
            </w:r>
          </w:p>
        </w:tc>
        <w:tc>
          <w:tcPr>
            <w:tcW w:w="1212" w:type="dxa"/>
            <w:vMerge w:val="restart"/>
            <w:tcBorders>
              <w:top w:val="single" w:color="auto" w:sz="6" w:space="0"/>
              <w:left w:val="single" w:color="auto" w:sz="6" w:space="0"/>
              <w:bottom w:val="single" w:color="auto" w:sz="6" w:space="0"/>
              <w:right w:val="single" w:color="auto" w:sz="6" w:space="0"/>
            </w:tcBorders>
            <w:vAlign w:val="center"/>
          </w:tcPr>
          <w:p w14:paraId="07203F2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贮罐</w:t>
            </w:r>
          </w:p>
        </w:tc>
        <w:tc>
          <w:tcPr>
            <w:tcW w:w="2556" w:type="dxa"/>
            <w:vMerge w:val="restart"/>
            <w:tcBorders>
              <w:top w:val="single" w:color="auto" w:sz="6" w:space="0"/>
              <w:left w:val="single" w:color="auto" w:sz="6" w:space="0"/>
              <w:bottom w:val="single" w:color="auto" w:sz="6" w:space="0"/>
              <w:right w:val="single" w:color="auto" w:sz="6" w:space="0"/>
            </w:tcBorders>
            <w:vAlign w:val="center"/>
          </w:tcPr>
          <w:p w14:paraId="7B22EB2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露天贮罐</w:t>
            </w:r>
          </w:p>
        </w:tc>
        <w:tc>
          <w:tcPr>
            <w:tcW w:w="2201" w:type="dxa"/>
            <w:tcBorders>
              <w:top w:val="single" w:color="auto" w:sz="6" w:space="0"/>
              <w:left w:val="single" w:color="auto" w:sz="6" w:space="0"/>
              <w:bottom w:val="single" w:color="auto" w:sz="6" w:space="0"/>
              <w:right w:val="single" w:color="auto" w:sz="6" w:space="0"/>
            </w:tcBorders>
            <w:vAlign w:val="center"/>
          </w:tcPr>
          <w:p w14:paraId="05A3C49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容器损坏</w:t>
            </w:r>
          </w:p>
        </w:tc>
        <w:tc>
          <w:tcPr>
            <w:tcW w:w="2203" w:type="dxa"/>
            <w:tcBorders>
              <w:top w:val="single" w:color="auto" w:sz="6" w:space="0"/>
              <w:left w:val="single" w:color="auto" w:sz="6" w:space="0"/>
              <w:bottom w:val="single" w:color="auto" w:sz="6" w:space="0"/>
              <w:right w:val="single" w:color="auto" w:sz="6" w:space="0"/>
            </w:tcBorders>
            <w:vAlign w:val="center"/>
          </w:tcPr>
          <w:p w14:paraId="76B94F6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全部破裂</w:t>
            </w:r>
          </w:p>
        </w:tc>
      </w:tr>
      <w:tr w14:paraId="59FDBF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820" w:type="dxa"/>
            <w:vMerge w:val="continue"/>
            <w:tcBorders>
              <w:top w:val="single" w:color="auto" w:sz="6" w:space="0"/>
              <w:left w:val="single" w:color="auto" w:sz="6" w:space="0"/>
              <w:bottom w:val="single" w:color="auto" w:sz="6" w:space="0"/>
              <w:right w:val="single" w:color="auto" w:sz="6" w:space="0"/>
            </w:tcBorders>
            <w:vAlign w:val="center"/>
          </w:tcPr>
          <w:p w14:paraId="0687FBDD">
            <w:pPr>
              <w:widowControl/>
              <w:jc w:val="left"/>
              <w:rPr>
                <w:rFonts w:ascii="Arial" w:hAnsi="Arial" w:eastAsia="宋体" w:cs="Arial"/>
                <w:spacing w:val="10"/>
                <w:sz w:val="21"/>
                <w:szCs w:val="21"/>
              </w:rPr>
            </w:pPr>
          </w:p>
        </w:tc>
        <w:tc>
          <w:tcPr>
            <w:tcW w:w="1212" w:type="dxa"/>
            <w:vMerge w:val="continue"/>
            <w:tcBorders>
              <w:top w:val="single" w:color="auto" w:sz="6" w:space="0"/>
              <w:left w:val="single" w:color="auto" w:sz="6" w:space="0"/>
              <w:bottom w:val="single" w:color="auto" w:sz="6" w:space="0"/>
              <w:right w:val="single" w:color="auto" w:sz="6" w:space="0"/>
            </w:tcBorders>
            <w:vAlign w:val="center"/>
          </w:tcPr>
          <w:p w14:paraId="29D5F2E7">
            <w:pPr>
              <w:widowControl/>
              <w:jc w:val="left"/>
              <w:rPr>
                <w:rFonts w:ascii="Arial" w:hAnsi="Arial" w:eastAsia="宋体" w:cs="Arial"/>
                <w:spacing w:val="10"/>
                <w:sz w:val="21"/>
                <w:szCs w:val="21"/>
              </w:rPr>
            </w:pPr>
          </w:p>
        </w:tc>
        <w:tc>
          <w:tcPr>
            <w:tcW w:w="2556" w:type="dxa"/>
            <w:vMerge w:val="continue"/>
            <w:tcBorders>
              <w:top w:val="single" w:color="auto" w:sz="6" w:space="0"/>
              <w:left w:val="single" w:color="auto" w:sz="6" w:space="0"/>
              <w:bottom w:val="single" w:color="auto" w:sz="6" w:space="0"/>
              <w:right w:val="single" w:color="auto" w:sz="6" w:space="0"/>
            </w:tcBorders>
            <w:vAlign w:val="center"/>
          </w:tcPr>
          <w:p w14:paraId="0FD44271">
            <w:pPr>
              <w:widowControl/>
              <w:jc w:val="left"/>
              <w:rPr>
                <w:rFonts w:ascii="Arial" w:hAnsi="Arial" w:eastAsia="宋体" w:cs="Arial"/>
                <w:spacing w:val="10"/>
                <w:sz w:val="21"/>
                <w:szCs w:val="21"/>
              </w:rPr>
            </w:pPr>
          </w:p>
        </w:tc>
        <w:tc>
          <w:tcPr>
            <w:tcW w:w="2201" w:type="dxa"/>
            <w:tcBorders>
              <w:top w:val="single" w:color="auto" w:sz="6" w:space="0"/>
              <w:left w:val="single" w:color="auto" w:sz="6" w:space="0"/>
              <w:bottom w:val="single" w:color="auto" w:sz="6" w:space="0"/>
              <w:right w:val="single" w:color="auto" w:sz="6" w:space="0"/>
            </w:tcBorders>
            <w:vAlign w:val="center"/>
          </w:tcPr>
          <w:p w14:paraId="5D05973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接头泄漏</w:t>
            </w:r>
          </w:p>
        </w:tc>
        <w:tc>
          <w:tcPr>
            <w:tcW w:w="2203" w:type="dxa"/>
            <w:tcBorders>
              <w:top w:val="single" w:color="auto" w:sz="6" w:space="0"/>
              <w:left w:val="single" w:color="auto" w:sz="6" w:space="0"/>
              <w:bottom w:val="single" w:color="auto" w:sz="6" w:space="0"/>
              <w:right w:val="single" w:color="auto" w:sz="6" w:space="0"/>
            </w:tcBorders>
            <w:vAlign w:val="center"/>
          </w:tcPr>
          <w:p w14:paraId="3A86A1E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20%~100%管径</w:t>
            </w:r>
          </w:p>
        </w:tc>
      </w:tr>
    </w:tbl>
    <w:p w14:paraId="76AD83D6">
      <w:pPr>
        <w:spacing w:line="500" w:lineRule="exact"/>
        <w:ind w:firstLine="490" w:firstLineChars="200"/>
        <w:rPr>
          <w:rFonts w:ascii="Arial" w:hAnsi="Arial" w:eastAsia="宋体" w:cs="Arial"/>
          <w:spacing w:val="10"/>
          <w:sz w:val="24"/>
        </w:rPr>
      </w:pPr>
      <w:r>
        <w:rPr>
          <w:rFonts w:ascii="Arial" w:hAnsi="Arial" w:eastAsia="宋体" w:cs="Arial"/>
          <w:spacing w:val="10"/>
          <w:sz w:val="24"/>
        </w:rPr>
        <w:t>2、事故案例</w:t>
      </w:r>
    </w:p>
    <w:p w14:paraId="79A7AEB6">
      <w:pPr>
        <w:spacing w:line="500" w:lineRule="exact"/>
        <w:ind w:firstLine="490" w:firstLineChars="200"/>
        <w:rPr>
          <w:rFonts w:ascii="Arial" w:hAnsi="Arial" w:eastAsia="宋体" w:cs="Arial"/>
          <w:spacing w:val="10"/>
          <w:sz w:val="24"/>
        </w:rPr>
      </w:pPr>
      <w:r>
        <w:rPr>
          <w:rFonts w:ascii="Arial" w:hAnsi="Arial" w:eastAsia="宋体" w:cs="Arial"/>
          <w:spacing w:val="10"/>
          <w:sz w:val="24"/>
        </w:rPr>
        <w:t>（1）</w:t>
      </w:r>
      <w:r>
        <w:rPr>
          <w:rFonts w:hint="eastAsia" w:ascii="Arial" w:hAnsi="Arial" w:eastAsia="宋体" w:cs="Arial"/>
          <w:spacing w:val="10"/>
          <w:sz w:val="24"/>
        </w:rPr>
        <w:t>2007</w:t>
      </w:r>
      <w:r>
        <w:rPr>
          <w:rFonts w:ascii="Arial" w:hAnsi="Arial" w:eastAsia="宋体" w:cs="Arial"/>
          <w:spacing w:val="10"/>
          <w:sz w:val="24"/>
        </w:rPr>
        <w:t>年</w:t>
      </w:r>
      <w:r>
        <w:rPr>
          <w:rFonts w:hint="eastAsia" w:ascii="Arial" w:hAnsi="Arial" w:eastAsia="宋体" w:cs="Arial"/>
          <w:spacing w:val="10"/>
          <w:sz w:val="24"/>
        </w:rPr>
        <w:t>6</w:t>
      </w:r>
      <w:r>
        <w:rPr>
          <w:rFonts w:ascii="Arial" w:hAnsi="Arial" w:eastAsia="宋体" w:cs="Arial"/>
          <w:spacing w:val="10"/>
          <w:sz w:val="24"/>
        </w:rPr>
        <w:t>月1</w:t>
      </w:r>
      <w:r>
        <w:rPr>
          <w:rFonts w:hint="eastAsia" w:ascii="Arial" w:hAnsi="Arial" w:eastAsia="宋体" w:cs="Arial"/>
          <w:spacing w:val="10"/>
          <w:sz w:val="24"/>
        </w:rPr>
        <w:t>6</w:t>
      </w:r>
      <w:r>
        <w:rPr>
          <w:rFonts w:ascii="Arial" w:hAnsi="Arial" w:eastAsia="宋体" w:cs="Arial"/>
          <w:spacing w:val="10"/>
          <w:sz w:val="24"/>
        </w:rPr>
        <w:t>日</w:t>
      </w:r>
      <w:r>
        <w:rPr>
          <w:rFonts w:hint="eastAsia" w:ascii="Arial" w:hAnsi="Arial" w:eastAsia="宋体" w:cs="Arial"/>
          <w:spacing w:val="10"/>
          <w:sz w:val="24"/>
        </w:rPr>
        <w:t>晚8时许</w:t>
      </w:r>
      <w:r>
        <w:rPr>
          <w:rFonts w:ascii="Arial" w:hAnsi="Arial" w:eastAsia="宋体" w:cs="Arial"/>
          <w:spacing w:val="10"/>
          <w:sz w:val="24"/>
        </w:rPr>
        <w:t>，</w:t>
      </w:r>
      <w:r>
        <w:rPr>
          <w:rFonts w:hint="eastAsia" w:ascii="Arial" w:hAnsi="Arial" w:eastAsia="宋体" w:cs="Arial"/>
          <w:spacing w:val="10"/>
          <w:sz w:val="24"/>
        </w:rPr>
        <w:t>位于崂山区崂山路的青岛崂特啤酒有限公司制冷车间1个装有1吨多的氨水罐阀门破损</w:t>
      </w:r>
      <w:r>
        <w:rPr>
          <w:rFonts w:hint="eastAsia" w:ascii="Arial" w:hAnsi="Arial" w:eastAsia="宋体" w:cs="Arial"/>
          <w:spacing w:val="10"/>
          <w:sz w:val="24"/>
          <w:lang w:eastAsia="zh-CN"/>
        </w:rPr>
        <w:t>泄漏</w:t>
      </w:r>
      <w:r>
        <w:rPr>
          <w:rFonts w:hint="eastAsia" w:ascii="Arial" w:hAnsi="Arial" w:eastAsia="宋体" w:cs="Arial"/>
          <w:spacing w:val="10"/>
          <w:sz w:val="24"/>
        </w:rPr>
        <w:t>，与崂特公司一墙之隔的敬老院众多老人出现不适反应，有6人出现恶心头晕等不适症状。</w:t>
      </w:r>
    </w:p>
    <w:p w14:paraId="30E673A1">
      <w:pPr>
        <w:spacing w:line="500" w:lineRule="exact"/>
        <w:ind w:firstLine="490" w:firstLineChars="200"/>
        <w:rPr>
          <w:rFonts w:ascii="Arial" w:hAnsi="Arial" w:eastAsia="宋体" w:cs="Arial"/>
          <w:spacing w:val="10"/>
          <w:sz w:val="24"/>
        </w:rPr>
      </w:pPr>
      <w:r>
        <w:rPr>
          <w:rFonts w:ascii="Arial" w:hAnsi="Arial" w:eastAsia="宋体" w:cs="Arial"/>
          <w:spacing w:val="10"/>
          <w:sz w:val="24"/>
        </w:rPr>
        <w:t>（2）</w:t>
      </w:r>
      <w:r>
        <w:rPr>
          <w:rFonts w:hint="eastAsia" w:ascii="Arial" w:hAnsi="Arial" w:eastAsia="宋体" w:cs="Arial"/>
          <w:spacing w:val="10"/>
          <w:sz w:val="24"/>
        </w:rPr>
        <w:t>2016年11月8日上午9时43分许，山东淄博周村嘉周热电有限公司脱硫脱硝装置氨水罐发生爆炸，经初步确认，事故造成2人经抢救无效死亡，9人受伤</w:t>
      </w:r>
      <w:r>
        <w:rPr>
          <w:rFonts w:ascii="Arial" w:hAnsi="Arial" w:eastAsia="宋体" w:cs="Arial"/>
          <w:spacing w:val="10"/>
          <w:sz w:val="24"/>
        </w:rPr>
        <w:t>。</w:t>
      </w:r>
    </w:p>
    <w:p w14:paraId="13EEB68A">
      <w:pPr>
        <w:numPr>
          <w:ilvl w:val="0"/>
          <w:numId w:val="32"/>
        </w:numPr>
        <w:spacing w:line="500" w:lineRule="exact"/>
        <w:jc w:val="left"/>
        <w:outlineLvl w:val="3"/>
        <w:rPr>
          <w:rFonts w:ascii="Arial" w:hAnsi="Arial" w:eastAsia="宋体" w:cs="Arial"/>
          <w:b/>
          <w:sz w:val="24"/>
        </w:rPr>
      </w:pPr>
      <w:r>
        <w:rPr>
          <w:rFonts w:ascii="Arial" w:hAnsi="Arial" w:eastAsia="宋体" w:cs="Arial"/>
          <w:b/>
          <w:sz w:val="24"/>
        </w:rPr>
        <w:t>风险事故情形设定</w:t>
      </w:r>
    </w:p>
    <w:p w14:paraId="47DD97CF">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项目风险事故主要是火灾、爆炸事故及泄漏对环境的影响，顶端事故与基本事件的关联具体见图4.3-1。</w:t>
      </w:r>
    </w:p>
    <w:p w14:paraId="1B15CB93">
      <w:pPr>
        <w:jc w:val="center"/>
        <w:rPr>
          <w:rFonts w:ascii="Arial" w:hAnsi="Arial" w:eastAsia="宋体" w:cs="Arial"/>
          <w:spacing w:val="10"/>
          <w:sz w:val="24"/>
        </w:rPr>
      </w:pPr>
      <w:r>
        <w:rPr>
          <w:rFonts w:ascii="Arial" w:hAnsi="Arial" w:eastAsia="宋体" w:cs="Arial"/>
          <w:spacing w:val="10"/>
          <w:sz w:val="24"/>
        </w:rPr>
        <w:drawing>
          <wp:inline distT="0" distB="0" distL="114300" distR="114300">
            <wp:extent cx="4316095" cy="4542155"/>
            <wp:effectExtent l="0" t="0" r="8255" b="10795"/>
            <wp:docPr id="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pic:cNvPicPr>
                      <a:picLocks noChangeAspect="1"/>
                    </pic:cNvPicPr>
                  </pic:nvPicPr>
                  <pic:blipFill>
                    <a:blip r:embed="rId122"/>
                    <a:stretch>
                      <a:fillRect/>
                    </a:stretch>
                  </pic:blipFill>
                  <pic:spPr>
                    <a:xfrm>
                      <a:off x="0" y="0"/>
                      <a:ext cx="4316095" cy="4542155"/>
                    </a:xfrm>
                    <a:prstGeom prst="rect">
                      <a:avLst/>
                    </a:prstGeom>
                    <a:noFill/>
                    <a:ln>
                      <a:noFill/>
                    </a:ln>
                  </pic:spPr>
                </pic:pic>
              </a:graphicData>
            </a:graphic>
          </wp:inline>
        </w:drawing>
      </w:r>
    </w:p>
    <w:p w14:paraId="2E2F850B">
      <w:pPr>
        <w:spacing w:line="500" w:lineRule="exact"/>
        <w:ind w:firstLine="490" w:firstLineChars="200"/>
        <w:jc w:val="center"/>
        <w:rPr>
          <w:rFonts w:ascii="Arial" w:hAnsi="Arial" w:eastAsia="宋体" w:cs="Arial"/>
          <w:b/>
          <w:spacing w:val="10"/>
          <w:sz w:val="24"/>
        </w:rPr>
      </w:pPr>
      <w:r>
        <w:rPr>
          <w:rFonts w:ascii="Arial" w:hAnsi="Arial" w:eastAsia="宋体" w:cs="Arial"/>
          <w:b/>
          <w:spacing w:val="10"/>
          <w:sz w:val="24"/>
        </w:rPr>
        <w:t>图4.3-1  顶端事故与基本事件关联图</w:t>
      </w:r>
    </w:p>
    <w:p w14:paraId="700FCB23">
      <w:pPr>
        <w:spacing w:line="500" w:lineRule="exact"/>
        <w:ind w:firstLine="490" w:firstLineChars="200"/>
        <w:rPr>
          <w:rFonts w:ascii="Arial" w:hAnsi="Arial" w:eastAsia="宋体" w:cs="Arial"/>
          <w:spacing w:val="10"/>
          <w:sz w:val="24"/>
        </w:rPr>
      </w:pPr>
      <w:r>
        <w:rPr>
          <w:rFonts w:ascii="Arial" w:hAnsi="Arial" w:eastAsia="宋体" w:cs="Arial"/>
          <w:spacing w:val="10"/>
          <w:sz w:val="24"/>
        </w:rPr>
        <w:t>由图4.3-1可知，项目发生燃烧爆炸事故是由两个“中间事件”（设备泄漏、火源）同时发生所造成的。因此，防止原料泄漏是防止发生燃爆事故的关键，另外安全管理，严禁吸烟和动用明火，防止铁器撞击，也是防止燃爆事故发生的必要条件。本次评价的潜在事故的事件树分析具体见图4.3-2。</w:t>
      </w:r>
    </w:p>
    <w:p w14:paraId="28F0FD3F">
      <w:pPr>
        <w:rPr>
          <w:rFonts w:ascii="Arial" w:hAnsi="Arial" w:eastAsia="宋体" w:cs="Arial"/>
          <w:spacing w:val="10"/>
          <w:sz w:val="24"/>
        </w:rPr>
      </w:pPr>
      <w:r>
        <w:rPr>
          <w:rFonts w:ascii="Arial" w:hAnsi="Arial" w:eastAsia="宋体" w:cs="Arial"/>
          <w:spacing w:val="10"/>
          <w:sz w:val="24"/>
        </w:rPr>
        <w:drawing>
          <wp:inline distT="0" distB="0" distL="114300" distR="114300">
            <wp:extent cx="5572125" cy="2533650"/>
            <wp:effectExtent l="0" t="0" r="9525" b="0"/>
            <wp:docPr id="37"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3"/>
                    <pic:cNvPicPr>
                      <a:picLocks noChangeAspect="1"/>
                    </pic:cNvPicPr>
                  </pic:nvPicPr>
                  <pic:blipFill>
                    <a:blip r:embed="rId123"/>
                    <a:stretch>
                      <a:fillRect/>
                    </a:stretch>
                  </pic:blipFill>
                  <pic:spPr>
                    <a:xfrm>
                      <a:off x="0" y="0"/>
                      <a:ext cx="5572125" cy="2533650"/>
                    </a:xfrm>
                    <a:prstGeom prst="rect">
                      <a:avLst/>
                    </a:prstGeom>
                    <a:noFill/>
                    <a:ln>
                      <a:noFill/>
                    </a:ln>
                  </pic:spPr>
                </pic:pic>
              </a:graphicData>
            </a:graphic>
          </wp:inline>
        </w:drawing>
      </w:r>
    </w:p>
    <w:p w14:paraId="4030135B">
      <w:pPr>
        <w:spacing w:line="500" w:lineRule="exact"/>
        <w:ind w:firstLine="490" w:firstLineChars="200"/>
        <w:jc w:val="center"/>
        <w:rPr>
          <w:rFonts w:ascii="Arial" w:hAnsi="Arial" w:eastAsia="宋体" w:cs="Arial"/>
          <w:b/>
          <w:spacing w:val="10"/>
          <w:sz w:val="24"/>
        </w:rPr>
      </w:pPr>
      <w:r>
        <w:rPr>
          <w:rFonts w:ascii="Arial" w:hAnsi="Arial" w:eastAsia="宋体" w:cs="Arial"/>
          <w:b/>
          <w:spacing w:val="10"/>
          <w:sz w:val="24"/>
        </w:rPr>
        <w:t>图4.3-2  储罐、管道系统事件树示意图</w:t>
      </w:r>
    </w:p>
    <w:p w14:paraId="0F63701D">
      <w:pPr>
        <w:spacing w:line="500" w:lineRule="exact"/>
        <w:ind w:firstLine="490" w:firstLineChars="200"/>
        <w:rPr>
          <w:rFonts w:ascii="Arial" w:hAnsi="Arial" w:eastAsia="宋体" w:cs="Arial"/>
          <w:spacing w:val="10"/>
          <w:sz w:val="24"/>
        </w:rPr>
      </w:pPr>
      <w:r>
        <w:rPr>
          <w:rFonts w:ascii="Arial" w:hAnsi="Arial" w:eastAsia="宋体" w:cs="Arial"/>
          <w:spacing w:val="10"/>
          <w:sz w:val="24"/>
        </w:rPr>
        <w:t>由图4.3-2可知，项目物料泄漏风险事故对环境的影响与泄漏时间及各种应急处理措施的有效性密切相关。同时，储罐、管道等物料泄漏，极可能引发燃爆危害事故或扩散污染事故。</w:t>
      </w:r>
    </w:p>
    <w:p w14:paraId="74D0CB25">
      <w:pPr>
        <w:spacing w:line="500" w:lineRule="exact"/>
        <w:ind w:firstLine="490" w:firstLineChars="200"/>
        <w:rPr>
          <w:rFonts w:ascii="Arial" w:hAnsi="Arial" w:eastAsia="宋体" w:cs="Arial"/>
          <w:spacing w:val="10"/>
          <w:sz w:val="24"/>
        </w:rPr>
      </w:pPr>
      <w:r>
        <w:rPr>
          <w:rFonts w:ascii="Arial" w:hAnsi="Arial" w:eastAsia="宋体" w:cs="Arial"/>
          <w:spacing w:val="10"/>
          <w:sz w:val="24"/>
        </w:rPr>
        <w:t>风险事故情形设定由以下原则：</w:t>
      </w:r>
    </w:p>
    <w:p w14:paraId="090E36A4">
      <w:pPr>
        <w:spacing w:line="500" w:lineRule="exact"/>
        <w:ind w:firstLine="490" w:firstLineChars="200"/>
        <w:rPr>
          <w:rFonts w:ascii="Arial" w:hAnsi="Arial" w:eastAsia="宋体" w:cs="Arial"/>
          <w:spacing w:val="10"/>
          <w:sz w:val="24"/>
        </w:rPr>
      </w:pPr>
      <w:r>
        <w:rPr>
          <w:rFonts w:ascii="Arial" w:hAnsi="Arial" w:eastAsia="宋体" w:cs="Arial"/>
          <w:spacing w:val="10"/>
          <w:sz w:val="24"/>
        </w:rPr>
        <w:t>1.同一种危险物质可能有多种环境风险类型。风险事故情形应包括危险物质泄漏，以及火灾、爆炸等引发的伴生/次生污染物排放情形。对不同环境要素产生影响的风险事故情形，应分别进行设定。</w:t>
      </w:r>
    </w:p>
    <w:p w14:paraId="0152F026">
      <w:pPr>
        <w:spacing w:line="500" w:lineRule="exact"/>
        <w:ind w:firstLine="490" w:firstLineChars="200"/>
        <w:rPr>
          <w:rFonts w:ascii="Arial" w:hAnsi="Arial" w:eastAsia="宋体" w:cs="Arial"/>
          <w:spacing w:val="10"/>
          <w:sz w:val="24"/>
        </w:rPr>
      </w:pPr>
      <w:r>
        <w:rPr>
          <w:rFonts w:ascii="Arial" w:hAnsi="Arial" w:eastAsia="宋体" w:cs="Arial"/>
          <w:spacing w:val="10"/>
          <w:sz w:val="24"/>
        </w:rPr>
        <w:t>2.对于火灾、爆炸事故，需将事故中未完全燃烧的危险物质在高温下迅速挥发释放至大气，以及燃烧过程中产生的伴生/次生污染物对环境的影响作为风险事故情形设定的内容。</w:t>
      </w:r>
    </w:p>
    <w:p w14:paraId="65D3889E">
      <w:pPr>
        <w:spacing w:line="500" w:lineRule="exact"/>
        <w:ind w:firstLine="490" w:firstLineChars="200"/>
        <w:rPr>
          <w:rFonts w:ascii="Arial" w:hAnsi="Arial" w:eastAsia="宋体" w:cs="Arial"/>
          <w:spacing w:val="10"/>
          <w:sz w:val="24"/>
        </w:rPr>
      </w:pPr>
      <w:r>
        <w:rPr>
          <w:rFonts w:ascii="Arial" w:hAnsi="Arial" w:eastAsia="宋体" w:cs="Arial"/>
          <w:spacing w:val="10"/>
          <w:sz w:val="24"/>
        </w:rPr>
        <w:t>3.设定的风险事故情形发生可能性应处于合理的区间，并与经济技术发展水平相适应。一般而言，发生频率小于10</w:t>
      </w:r>
      <w:r>
        <w:rPr>
          <w:rFonts w:ascii="Arial" w:hAnsi="Arial" w:eastAsia="宋体" w:cs="Arial"/>
          <w:spacing w:val="10"/>
          <w:sz w:val="24"/>
          <w:vertAlign w:val="superscript"/>
        </w:rPr>
        <w:t>-6</w:t>
      </w:r>
      <w:r>
        <w:rPr>
          <w:rFonts w:ascii="Arial" w:hAnsi="Arial" w:eastAsia="宋体" w:cs="Arial"/>
          <w:spacing w:val="10"/>
          <w:sz w:val="24"/>
        </w:rPr>
        <w:t>/年的事件是极小概率事件，可作为代表性事故情形中最大可信事故设定的参考。</w:t>
      </w:r>
    </w:p>
    <w:p w14:paraId="7F2CF2AF">
      <w:pPr>
        <w:spacing w:line="500" w:lineRule="exact"/>
        <w:ind w:firstLine="490" w:firstLineChars="200"/>
        <w:rPr>
          <w:rFonts w:ascii="Arial" w:hAnsi="Arial" w:eastAsia="宋体" w:cs="Arial"/>
          <w:spacing w:val="10"/>
          <w:sz w:val="24"/>
        </w:rPr>
      </w:pPr>
      <w:r>
        <w:rPr>
          <w:rFonts w:ascii="Arial" w:hAnsi="Arial" w:eastAsia="宋体" w:cs="Arial"/>
          <w:spacing w:val="10"/>
          <w:sz w:val="24"/>
        </w:rPr>
        <w:t>4.风险事故情形设定的不确定性与筛选。由于事故触发因素具有不确定性，因此事故情形的设定并不能包含全部可能的环境风险，但通过具有代表性的事故情形分析可为风险管理提供科学依据。事故情形的设定应在环境风险识别的基础上筛选，设定的事故情形应具有危险物质、环境危害、影响途径等方面的代表性。</w:t>
      </w:r>
    </w:p>
    <w:p w14:paraId="7A670E58">
      <w:pPr>
        <w:numPr>
          <w:ilvl w:val="0"/>
          <w:numId w:val="32"/>
        </w:numPr>
        <w:spacing w:line="500" w:lineRule="exact"/>
        <w:jc w:val="left"/>
        <w:outlineLvl w:val="3"/>
        <w:rPr>
          <w:rFonts w:ascii="Arial" w:hAnsi="Arial" w:eastAsia="宋体" w:cs="Arial"/>
          <w:b/>
          <w:sz w:val="24"/>
        </w:rPr>
      </w:pPr>
      <w:r>
        <w:rPr>
          <w:rFonts w:ascii="Arial" w:hAnsi="Arial" w:eastAsia="宋体" w:cs="Arial"/>
          <w:b/>
          <w:sz w:val="24"/>
        </w:rPr>
        <w:t>风险事故情形设定结果</w:t>
      </w:r>
    </w:p>
    <w:p w14:paraId="5E9E4007">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根据《建设项目环境风险评价技术导则》（HJ169-2018）</w:t>
      </w:r>
      <w:r>
        <w:rPr>
          <w:rFonts w:ascii="Arial" w:hAnsi="Arial" w:eastAsia="宋体" w:cs="Arial"/>
          <w:spacing w:val="12"/>
          <w:sz w:val="24"/>
        </w:rPr>
        <w:t>附录E，常见部件、设备泄漏情形的发生概率见表4-</w:t>
      </w:r>
      <w:r>
        <w:rPr>
          <w:rFonts w:hint="eastAsia" w:ascii="Arial" w:hAnsi="Arial" w:eastAsia="宋体" w:cs="Arial"/>
          <w:spacing w:val="12"/>
          <w:sz w:val="24"/>
        </w:rPr>
        <w:t>62</w:t>
      </w:r>
      <w:r>
        <w:rPr>
          <w:rFonts w:ascii="Arial" w:hAnsi="Arial" w:eastAsia="宋体" w:cs="Arial"/>
          <w:spacing w:val="12"/>
          <w:sz w:val="24"/>
        </w:rPr>
        <w:t>。</w:t>
      </w:r>
    </w:p>
    <w:p w14:paraId="780B2255">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生产装置与管线泄漏概率表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6"/>
        <w:gridCol w:w="3694"/>
        <w:gridCol w:w="2083"/>
      </w:tblGrid>
      <w:tr w14:paraId="6532A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788" w:type="pct"/>
            <w:tcBorders>
              <w:top w:val="single" w:color="auto" w:sz="4" w:space="0"/>
              <w:left w:val="single" w:color="auto" w:sz="4" w:space="0"/>
              <w:bottom w:val="single" w:color="auto" w:sz="4" w:space="0"/>
              <w:right w:val="single" w:color="auto" w:sz="4" w:space="0"/>
            </w:tcBorders>
            <w:vAlign w:val="center"/>
          </w:tcPr>
          <w:p w14:paraId="5E311641">
            <w:pPr>
              <w:spacing w:line="240" w:lineRule="exact"/>
              <w:jc w:val="center"/>
              <w:rPr>
                <w:rFonts w:ascii="Arial" w:hAnsi="Arial" w:eastAsia="宋体" w:cs="Arial"/>
                <w:spacing w:val="10"/>
                <w:sz w:val="21"/>
                <w:szCs w:val="21"/>
              </w:rPr>
            </w:pPr>
            <w:r>
              <w:rPr>
                <w:rFonts w:ascii="Arial" w:hAnsi="Arial" w:eastAsia="宋体" w:cs="Arial"/>
                <w:spacing w:val="10"/>
                <w:sz w:val="21"/>
                <w:szCs w:val="21"/>
              </w:rPr>
              <w:t>部件类型</w:t>
            </w:r>
          </w:p>
        </w:tc>
        <w:tc>
          <w:tcPr>
            <w:tcW w:w="2054" w:type="pct"/>
            <w:tcBorders>
              <w:top w:val="single" w:color="auto" w:sz="4" w:space="0"/>
              <w:left w:val="single" w:color="auto" w:sz="4" w:space="0"/>
              <w:bottom w:val="single" w:color="auto" w:sz="4" w:space="0"/>
              <w:right w:val="single" w:color="auto" w:sz="4" w:space="0"/>
            </w:tcBorders>
            <w:vAlign w:val="center"/>
          </w:tcPr>
          <w:p w14:paraId="1C2FB3BA">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泄漏模式</w:t>
            </w:r>
          </w:p>
        </w:tc>
        <w:tc>
          <w:tcPr>
            <w:tcW w:w="1158" w:type="pct"/>
            <w:tcBorders>
              <w:top w:val="single" w:color="auto" w:sz="4" w:space="0"/>
              <w:left w:val="single" w:color="auto" w:sz="4" w:space="0"/>
              <w:bottom w:val="single" w:color="auto" w:sz="4" w:space="0"/>
              <w:right w:val="single" w:color="auto" w:sz="4" w:space="0"/>
            </w:tcBorders>
            <w:vAlign w:val="center"/>
          </w:tcPr>
          <w:p w14:paraId="6D0EA090">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泄漏频率</w:t>
            </w:r>
          </w:p>
        </w:tc>
      </w:tr>
      <w:tr w14:paraId="56434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8" w:type="pct"/>
            <w:tcBorders>
              <w:top w:val="single" w:color="auto" w:sz="4" w:space="0"/>
              <w:left w:val="single" w:color="auto" w:sz="4" w:space="0"/>
              <w:bottom w:val="single" w:color="auto" w:sz="4" w:space="0"/>
              <w:right w:val="single" w:color="auto" w:sz="4" w:space="0"/>
            </w:tcBorders>
            <w:vAlign w:val="center"/>
          </w:tcPr>
          <w:p w14:paraId="62E858DB">
            <w:pPr>
              <w:spacing w:line="240" w:lineRule="exact"/>
              <w:rPr>
                <w:rFonts w:ascii="Arial" w:hAnsi="Arial" w:eastAsia="宋体" w:cs="Arial"/>
                <w:spacing w:val="10"/>
                <w:sz w:val="21"/>
                <w:szCs w:val="21"/>
              </w:rPr>
            </w:pPr>
            <w:r>
              <w:rPr>
                <w:rFonts w:ascii="Arial" w:hAnsi="Arial" w:eastAsia="宋体" w:cs="Arial"/>
                <w:spacing w:val="10"/>
                <w:sz w:val="21"/>
                <w:szCs w:val="21"/>
              </w:rPr>
              <w:t>反应器/工艺储罐/气体储罐/塔器</w:t>
            </w:r>
          </w:p>
        </w:tc>
        <w:tc>
          <w:tcPr>
            <w:tcW w:w="2054" w:type="pct"/>
            <w:tcBorders>
              <w:top w:val="single" w:color="auto" w:sz="4" w:space="0"/>
              <w:left w:val="single" w:color="auto" w:sz="4" w:space="0"/>
              <w:bottom w:val="single" w:color="auto" w:sz="4" w:space="0"/>
              <w:right w:val="single" w:color="auto" w:sz="4" w:space="0"/>
            </w:tcBorders>
            <w:vAlign w:val="center"/>
          </w:tcPr>
          <w:p w14:paraId="06A5BF5A">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泄漏孔径为10mm孔径</w:t>
            </w:r>
          </w:p>
          <w:p w14:paraId="1FAA817E">
            <w:pPr>
              <w:spacing w:line="240" w:lineRule="exact"/>
              <w:rPr>
                <w:rFonts w:ascii="Arial" w:hAnsi="Arial" w:eastAsia="宋体" w:cs="Arial"/>
                <w:spacing w:val="10"/>
                <w:sz w:val="21"/>
                <w:szCs w:val="21"/>
              </w:rPr>
            </w:pPr>
            <w:r>
              <w:rPr>
                <w:rFonts w:ascii="Arial" w:hAnsi="Arial" w:eastAsia="宋体" w:cs="Arial"/>
                <w:spacing w:val="10"/>
                <w:sz w:val="21"/>
                <w:szCs w:val="21"/>
              </w:rPr>
              <w:t>10min内储罐泄漏完</w:t>
            </w:r>
          </w:p>
          <w:p w14:paraId="6B366F2D">
            <w:pPr>
              <w:spacing w:line="240" w:lineRule="exact"/>
              <w:rPr>
                <w:rFonts w:ascii="Arial" w:hAnsi="Arial" w:eastAsia="宋体" w:cs="Arial"/>
                <w:spacing w:val="10"/>
                <w:sz w:val="21"/>
                <w:szCs w:val="21"/>
              </w:rPr>
            </w:pPr>
            <w:r>
              <w:rPr>
                <w:rFonts w:ascii="Arial" w:hAnsi="Arial" w:eastAsia="宋体" w:cs="Arial"/>
                <w:spacing w:val="10"/>
                <w:sz w:val="21"/>
                <w:szCs w:val="21"/>
              </w:rPr>
              <w:t>储罐全破裂</w:t>
            </w:r>
          </w:p>
        </w:tc>
        <w:tc>
          <w:tcPr>
            <w:tcW w:w="1158" w:type="pct"/>
            <w:tcBorders>
              <w:top w:val="single" w:color="auto" w:sz="4" w:space="0"/>
              <w:left w:val="single" w:color="auto" w:sz="4" w:space="0"/>
              <w:bottom w:val="single" w:color="auto" w:sz="4" w:space="0"/>
              <w:right w:val="single" w:color="auto" w:sz="4" w:space="0"/>
            </w:tcBorders>
            <w:vAlign w:val="center"/>
          </w:tcPr>
          <w:p w14:paraId="2253F83A">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-4</w:t>
            </w:r>
            <w:r>
              <w:rPr>
                <w:rFonts w:ascii="Arial" w:hAnsi="Arial" w:eastAsia="宋体" w:cs="Arial"/>
                <w:spacing w:val="10"/>
                <w:sz w:val="21"/>
                <w:szCs w:val="21"/>
              </w:rPr>
              <w:t>/a</w:t>
            </w:r>
          </w:p>
          <w:p w14:paraId="0A668BAF">
            <w:pPr>
              <w:spacing w:line="240" w:lineRule="exact"/>
              <w:rPr>
                <w:rFonts w:ascii="Arial" w:hAnsi="Arial" w:eastAsia="宋体" w:cs="Arial"/>
                <w:spacing w:val="10"/>
                <w:sz w:val="21"/>
                <w:szCs w:val="21"/>
              </w:rPr>
            </w:pPr>
            <w:r>
              <w:rPr>
                <w:rFonts w:ascii="Arial" w:hAnsi="Arial" w:eastAsia="宋体" w:cs="Arial"/>
                <w:spacing w:val="10"/>
                <w:sz w:val="21"/>
                <w:szCs w:val="21"/>
              </w:rPr>
              <w:t>5.00×10</w:t>
            </w:r>
            <w:r>
              <w:rPr>
                <w:rFonts w:ascii="Arial" w:hAnsi="Arial" w:eastAsia="宋体" w:cs="Arial"/>
                <w:spacing w:val="10"/>
                <w:sz w:val="21"/>
                <w:szCs w:val="21"/>
                <w:vertAlign w:val="superscript"/>
              </w:rPr>
              <w:t>-6</w:t>
            </w:r>
            <w:r>
              <w:rPr>
                <w:rFonts w:ascii="Arial" w:hAnsi="Arial" w:eastAsia="宋体" w:cs="Arial"/>
                <w:spacing w:val="10"/>
                <w:sz w:val="21"/>
                <w:szCs w:val="21"/>
              </w:rPr>
              <w:t>/a</w:t>
            </w:r>
          </w:p>
          <w:p w14:paraId="1B097E69">
            <w:pPr>
              <w:spacing w:line="240" w:lineRule="exact"/>
              <w:rPr>
                <w:rFonts w:ascii="Arial" w:hAnsi="Arial" w:eastAsia="宋体" w:cs="Arial"/>
                <w:spacing w:val="10"/>
                <w:sz w:val="21"/>
                <w:szCs w:val="21"/>
              </w:rPr>
            </w:pPr>
            <w:r>
              <w:rPr>
                <w:rFonts w:ascii="Arial" w:hAnsi="Arial" w:eastAsia="宋体" w:cs="Arial"/>
                <w:spacing w:val="10"/>
                <w:sz w:val="21"/>
                <w:szCs w:val="21"/>
              </w:rPr>
              <w:t>5.00×10</w:t>
            </w:r>
            <w:r>
              <w:rPr>
                <w:rFonts w:ascii="Arial" w:hAnsi="Arial" w:eastAsia="宋体" w:cs="Arial"/>
                <w:spacing w:val="10"/>
                <w:sz w:val="21"/>
                <w:szCs w:val="21"/>
                <w:vertAlign w:val="superscript"/>
              </w:rPr>
              <w:t>-6</w:t>
            </w:r>
            <w:r>
              <w:rPr>
                <w:rFonts w:ascii="Arial" w:hAnsi="Arial" w:eastAsia="宋体" w:cs="Arial"/>
                <w:spacing w:val="10"/>
                <w:sz w:val="21"/>
                <w:szCs w:val="21"/>
              </w:rPr>
              <w:t>/a</w:t>
            </w:r>
          </w:p>
        </w:tc>
      </w:tr>
      <w:tr w14:paraId="26EFC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8" w:type="pct"/>
            <w:tcBorders>
              <w:top w:val="single" w:color="auto" w:sz="4" w:space="0"/>
              <w:left w:val="single" w:color="auto" w:sz="4" w:space="0"/>
              <w:bottom w:val="single" w:color="auto" w:sz="4" w:space="0"/>
              <w:right w:val="single" w:color="auto" w:sz="4" w:space="0"/>
            </w:tcBorders>
            <w:vAlign w:val="center"/>
          </w:tcPr>
          <w:p w14:paraId="6D16534A">
            <w:pPr>
              <w:spacing w:line="240" w:lineRule="exact"/>
              <w:rPr>
                <w:rFonts w:ascii="Arial" w:hAnsi="Arial" w:eastAsia="宋体" w:cs="Arial"/>
                <w:spacing w:val="10"/>
                <w:sz w:val="21"/>
                <w:szCs w:val="21"/>
              </w:rPr>
            </w:pPr>
            <w:r>
              <w:rPr>
                <w:rFonts w:ascii="Arial" w:hAnsi="Arial" w:eastAsia="宋体" w:cs="Arial"/>
                <w:spacing w:val="10"/>
                <w:sz w:val="21"/>
                <w:szCs w:val="21"/>
              </w:rPr>
              <w:t>常压单包容储罐</w:t>
            </w:r>
          </w:p>
        </w:tc>
        <w:tc>
          <w:tcPr>
            <w:tcW w:w="2054" w:type="pct"/>
            <w:tcBorders>
              <w:top w:val="single" w:color="auto" w:sz="4" w:space="0"/>
              <w:left w:val="single" w:color="auto" w:sz="4" w:space="0"/>
              <w:bottom w:val="single" w:color="auto" w:sz="4" w:space="0"/>
              <w:right w:val="single" w:color="auto" w:sz="4" w:space="0"/>
            </w:tcBorders>
            <w:vAlign w:val="center"/>
          </w:tcPr>
          <w:p w14:paraId="0C864189">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泄漏孔径为10mm孔径</w:t>
            </w:r>
          </w:p>
          <w:p w14:paraId="158CDDCB">
            <w:pPr>
              <w:spacing w:line="240" w:lineRule="exact"/>
              <w:rPr>
                <w:rFonts w:ascii="Arial" w:hAnsi="Arial" w:eastAsia="宋体" w:cs="Arial"/>
                <w:spacing w:val="10"/>
                <w:sz w:val="21"/>
                <w:szCs w:val="21"/>
              </w:rPr>
            </w:pPr>
            <w:r>
              <w:rPr>
                <w:rFonts w:ascii="Arial" w:hAnsi="Arial" w:eastAsia="宋体" w:cs="Arial"/>
                <w:spacing w:val="10"/>
                <w:sz w:val="21"/>
                <w:szCs w:val="21"/>
              </w:rPr>
              <w:t>10min内储罐泄漏完</w:t>
            </w:r>
          </w:p>
          <w:p w14:paraId="582570FD">
            <w:pPr>
              <w:spacing w:line="240" w:lineRule="exact"/>
              <w:rPr>
                <w:rFonts w:ascii="Arial" w:hAnsi="Arial" w:eastAsia="宋体" w:cs="Arial"/>
                <w:spacing w:val="10"/>
                <w:sz w:val="21"/>
                <w:szCs w:val="21"/>
              </w:rPr>
            </w:pPr>
            <w:r>
              <w:rPr>
                <w:rFonts w:ascii="Arial" w:hAnsi="Arial" w:eastAsia="宋体" w:cs="Arial"/>
                <w:spacing w:val="10"/>
                <w:sz w:val="21"/>
                <w:szCs w:val="21"/>
              </w:rPr>
              <w:t>储罐全破裂</w:t>
            </w:r>
          </w:p>
        </w:tc>
        <w:tc>
          <w:tcPr>
            <w:tcW w:w="1158" w:type="pct"/>
            <w:tcBorders>
              <w:top w:val="single" w:color="auto" w:sz="4" w:space="0"/>
              <w:left w:val="single" w:color="auto" w:sz="4" w:space="0"/>
              <w:bottom w:val="single" w:color="auto" w:sz="4" w:space="0"/>
              <w:right w:val="single" w:color="auto" w:sz="4" w:space="0"/>
            </w:tcBorders>
            <w:vAlign w:val="center"/>
          </w:tcPr>
          <w:p w14:paraId="2F6C7540">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-4</w:t>
            </w:r>
            <w:r>
              <w:rPr>
                <w:rFonts w:ascii="Arial" w:hAnsi="Arial" w:eastAsia="宋体" w:cs="Arial"/>
                <w:spacing w:val="10"/>
                <w:sz w:val="21"/>
                <w:szCs w:val="21"/>
              </w:rPr>
              <w:t>/a</w:t>
            </w:r>
          </w:p>
          <w:p w14:paraId="6EDADBD5">
            <w:pPr>
              <w:spacing w:line="240" w:lineRule="exact"/>
              <w:rPr>
                <w:rFonts w:ascii="Arial" w:hAnsi="Arial" w:eastAsia="宋体" w:cs="Arial"/>
                <w:spacing w:val="10"/>
                <w:sz w:val="21"/>
                <w:szCs w:val="21"/>
              </w:rPr>
            </w:pPr>
            <w:r>
              <w:rPr>
                <w:rFonts w:ascii="Arial" w:hAnsi="Arial" w:eastAsia="宋体" w:cs="Arial"/>
                <w:spacing w:val="10"/>
                <w:sz w:val="21"/>
                <w:szCs w:val="21"/>
              </w:rPr>
              <w:t>5.00×10</w:t>
            </w:r>
            <w:r>
              <w:rPr>
                <w:rFonts w:ascii="Arial" w:hAnsi="Arial" w:eastAsia="宋体" w:cs="Arial"/>
                <w:spacing w:val="10"/>
                <w:sz w:val="21"/>
                <w:szCs w:val="21"/>
                <w:vertAlign w:val="superscript"/>
              </w:rPr>
              <w:t>-6</w:t>
            </w:r>
            <w:r>
              <w:rPr>
                <w:rFonts w:ascii="Arial" w:hAnsi="Arial" w:eastAsia="宋体" w:cs="Arial"/>
                <w:spacing w:val="10"/>
                <w:sz w:val="21"/>
                <w:szCs w:val="21"/>
              </w:rPr>
              <w:t>/a</w:t>
            </w:r>
          </w:p>
          <w:p w14:paraId="5D307470">
            <w:pPr>
              <w:spacing w:line="240" w:lineRule="exact"/>
              <w:rPr>
                <w:rFonts w:ascii="Arial" w:hAnsi="Arial" w:eastAsia="宋体" w:cs="Arial"/>
                <w:spacing w:val="10"/>
                <w:sz w:val="21"/>
                <w:szCs w:val="21"/>
              </w:rPr>
            </w:pPr>
            <w:r>
              <w:rPr>
                <w:rFonts w:ascii="Arial" w:hAnsi="Arial" w:eastAsia="宋体" w:cs="Arial"/>
                <w:spacing w:val="10"/>
                <w:sz w:val="21"/>
                <w:szCs w:val="21"/>
              </w:rPr>
              <w:t>5.00×10</w:t>
            </w:r>
            <w:r>
              <w:rPr>
                <w:rFonts w:ascii="Arial" w:hAnsi="Arial" w:eastAsia="宋体" w:cs="Arial"/>
                <w:spacing w:val="10"/>
                <w:sz w:val="21"/>
                <w:szCs w:val="21"/>
                <w:vertAlign w:val="superscript"/>
              </w:rPr>
              <w:t>-6</w:t>
            </w:r>
            <w:r>
              <w:rPr>
                <w:rFonts w:ascii="Arial" w:hAnsi="Arial" w:eastAsia="宋体" w:cs="Arial"/>
                <w:spacing w:val="10"/>
                <w:sz w:val="21"/>
                <w:szCs w:val="21"/>
              </w:rPr>
              <w:t>/a</w:t>
            </w:r>
          </w:p>
        </w:tc>
      </w:tr>
      <w:tr w14:paraId="01F39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8" w:type="pct"/>
            <w:tcBorders>
              <w:top w:val="single" w:color="auto" w:sz="4" w:space="0"/>
              <w:left w:val="single" w:color="auto" w:sz="4" w:space="0"/>
              <w:bottom w:val="single" w:color="auto" w:sz="4" w:space="0"/>
              <w:right w:val="single" w:color="auto" w:sz="4" w:space="0"/>
            </w:tcBorders>
            <w:vAlign w:val="center"/>
          </w:tcPr>
          <w:p w14:paraId="5704C1B3">
            <w:pPr>
              <w:spacing w:line="240" w:lineRule="exact"/>
              <w:rPr>
                <w:rFonts w:ascii="Arial" w:hAnsi="Arial" w:eastAsia="宋体" w:cs="Arial"/>
                <w:spacing w:val="10"/>
                <w:sz w:val="21"/>
                <w:szCs w:val="21"/>
              </w:rPr>
            </w:pPr>
            <w:r>
              <w:rPr>
                <w:rFonts w:ascii="Arial" w:hAnsi="Arial" w:eastAsia="宋体" w:cs="Arial"/>
                <w:spacing w:val="10"/>
                <w:sz w:val="21"/>
                <w:szCs w:val="21"/>
              </w:rPr>
              <w:t>常压双包容储罐</w:t>
            </w:r>
          </w:p>
        </w:tc>
        <w:tc>
          <w:tcPr>
            <w:tcW w:w="2054" w:type="pct"/>
            <w:tcBorders>
              <w:top w:val="single" w:color="auto" w:sz="4" w:space="0"/>
              <w:left w:val="single" w:color="auto" w:sz="4" w:space="0"/>
              <w:bottom w:val="single" w:color="auto" w:sz="4" w:space="0"/>
              <w:right w:val="single" w:color="auto" w:sz="4" w:space="0"/>
            </w:tcBorders>
            <w:vAlign w:val="center"/>
          </w:tcPr>
          <w:p w14:paraId="6C87C1C6">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泄漏孔径为10mm孔径</w:t>
            </w:r>
          </w:p>
          <w:p w14:paraId="2F21A94A">
            <w:pPr>
              <w:spacing w:line="240" w:lineRule="exact"/>
              <w:rPr>
                <w:rFonts w:ascii="Arial" w:hAnsi="Arial" w:eastAsia="宋体" w:cs="Arial"/>
                <w:spacing w:val="10"/>
                <w:sz w:val="21"/>
                <w:szCs w:val="21"/>
              </w:rPr>
            </w:pPr>
            <w:r>
              <w:rPr>
                <w:rFonts w:ascii="Arial" w:hAnsi="Arial" w:eastAsia="宋体" w:cs="Arial"/>
                <w:spacing w:val="10"/>
                <w:sz w:val="21"/>
                <w:szCs w:val="21"/>
              </w:rPr>
              <w:t>10min内储罐泄漏完</w:t>
            </w:r>
          </w:p>
          <w:p w14:paraId="39684623">
            <w:pPr>
              <w:spacing w:line="240" w:lineRule="exact"/>
              <w:rPr>
                <w:rFonts w:ascii="Arial" w:hAnsi="Arial" w:eastAsia="宋体" w:cs="Arial"/>
                <w:spacing w:val="10"/>
                <w:sz w:val="21"/>
                <w:szCs w:val="21"/>
              </w:rPr>
            </w:pPr>
            <w:r>
              <w:rPr>
                <w:rFonts w:ascii="Arial" w:hAnsi="Arial" w:eastAsia="宋体" w:cs="Arial"/>
                <w:spacing w:val="10"/>
                <w:sz w:val="21"/>
                <w:szCs w:val="21"/>
              </w:rPr>
              <w:t>储罐全破裂</w:t>
            </w:r>
          </w:p>
        </w:tc>
        <w:tc>
          <w:tcPr>
            <w:tcW w:w="1158" w:type="pct"/>
            <w:tcBorders>
              <w:top w:val="single" w:color="auto" w:sz="4" w:space="0"/>
              <w:left w:val="single" w:color="auto" w:sz="4" w:space="0"/>
              <w:bottom w:val="single" w:color="auto" w:sz="4" w:space="0"/>
              <w:right w:val="single" w:color="auto" w:sz="4" w:space="0"/>
            </w:tcBorders>
            <w:vAlign w:val="center"/>
          </w:tcPr>
          <w:p w14:paraId="705786C7">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-4</w:t>
            </w:r>
            <w:r>
              <w:rPr>
                <w:rFonts w:ascii="Arial" w:hAnsi="Arial" w:eastAsia="宋体" w:cs="Arial"/>
                <w:spacing w:val="10"/>
                <w:sz w:val="21"/>
                <w:szCs w:val="21"/>
              </w:rPr>
              <w:t>/a</w:t>
            </w:r>
          </w:p>
          <w:p w14:paraId="68DA66DE">
            <w:pPr>
              <w:spacing w:line="240" w:lineRule="exact"/>
              <w:rPr>
                <w:rFonts w:ascii="Arial" w:hAnsi="Arial" w:eastAsia="宋体" w:cs="Arial"/>
                <w:spacing w:val="10"/>
                <w:sz w:val="21"/>
                <w:szCs w:val="21"/>
              </w:rPr>
            </w:pPr>
            <w:r>
              <w:rPr>
                <w:rFonts w:ascii="Arial" w:hAnsi="Arial" w:eastAsia="宋体" w:cs="Arial"/>
                <w:spacing w:val="10"/>
                <w:sz w:val="21"/>
                <w:szCs w:val="21"/>
              </w:rPr>
              <w:t>1.25×10</w:t>
            </w:r>
            <w:r>
              <w:rPr>
                <w:rFonts w:ascii="Arial" w:hAnsi="Arial" w:eastAsia="宋体" w:cs="Arial"/>
                <w:spacing w:val="10"/>
                <w:sz w:val="21"/>
                <w:szCs w:val="21"/>
                <w:vertAlign w:val="superscript"/>
              </w:rPr>
              <w:t>-8</w:t>
            </w:r>
            <w:r>
              <w:rPr>
                <w:rFonts w:ascii="Arial" w:hAnsi="Arial" w:eastAsia="宋体" w:cs="Arial"/>
                <w:spacing w:val="10"/>
                <w:sz w:val="21"/>
                <w:szCs w:val="21"/>
              </w:rPr>
              <w:t>/a</w:t>
            </w:r>
          </w:p>
          <w:p w14:paraId="1DA9461E">
            <w:pPr>
              <w:spacing w:line="240" w:lineRule="exact"/>
              <w:rPr>
                <w:rFonts w:ascii="Arial" w:hAnsi="Arial" w:eastAsia="宋体" w:cs="Arial"/>
                <w:spacing w:val="10"/>
                <w:sz w:val="21"/>
                <w:szCs w:val="21"/>
              </w:rPr>
            </w:pPr>
            <w:r>
              <w:rPr>
                <w:rFonts w:ascii="Arial" w:hAnsi="Arial" w:eastAsia="宋体" w:cs="Arial"/>
                <w:spacing w:val="10"/>
                <w:sz w:val="21"/>
                <w:szCs w:val="21"/>
              </w:rPr>
              <w:t>1.25×10</w:t>
            </w:r>
            <w:r>
              <w:rPr>
                <w:rFonts w:ascii="Arial" w:hAnsi="Arial" w:eastAsia="宋体" w:cs="Arial"/>
                <w:spacing w:val="10"/>
                <w:sz w:val="21"/>
                <w:szCs w:val="21"/>
                <w:vertAlign w:val="superscript"/>
              </w:rPr>
              <w:t>-8</w:t>
            </w:r>
            <w:r>
              <w:rPr>
                <w:rFonts w:ascii="Arial" w:hAnsi="Arial" w:eastAsia="宋体" w:cs="Arial"/>
                <w:spacing w:val="10"/>
                <w:sz w:val="21"/>
                <w:szCs w:val="21"/>
              </w:rPr>
              <w:t>/a</w:t>
            </w:r>
          </w:p>
        </w:tc>
      </w:tr>
      <w:tr w14:paraId="45AEA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8" w:type="pct"/>
            <w:tcBorders>
              <w:top w:val="single" w:color="auto" w:sz="4" w:space="0"/>
              <w:left w:val="single" w:color="auto" w:sz="4" w:space="0"/>
              <w:bottom w:val="single" w:color="auto" w:sz="4" w:space="0"/>
              <w:right w:val="single" w:color="auto" w:sz="4" w:space="0"/>
            </w:tcBorders>
            <w:vAlign w:val="center"/>
          </w:tcPr>
          <w:p w14:paraId="79D53A9F">
            <w:pPr>
              <w:spacing w:line="240" w:lineRule="exact"/>
              <w:rPr>
                <w:rFonts w:ascii="Arial" w:hAnsi="Arial" w:eastAsia="宋体" w:cs="Arial"/>
                <w:spacing w:val="10"/>
                <w:sz w:val="21"/>
                <w:szCs w:val="21"/>
              </w:rPr>
            </w:pPr>
            <w:r>
              <w:rPr>
                <w:rFonts w:ascii="Arial" w:hAnsi="Arial" w:eastAsia="宋体" w:cs="Arial"/>
                <w:spacing w:val="10"/>
                <w:sz w:val="21"/>
                <w:szCs w:val="21"/>
              </w:rPr>
              <w:t>常压全包容储罐</w:t>
            </w:r>
          </w:p>
        </w:tc>
        <w:tc>
          <w:tcPr>
            <w:tcW w:w="2054" w:type="pct"/>
            <w:tcBorders>
              <w:top w:val="single" w:color="auto" w:sz="4" w:space="0"/>
              <w:left w:val="single" w:color="auto" w:sz="4" w:space="0"/>
              <w:bottom w:val="single" w:color="auto" w:sz="4" w:space="0"/>
              <w:right w:val="single" w:color="auto" w:sz="4" w:space="0"/>
            </w:tcBorders>
            <w:vAlign w:val="center"/>
          </w:tcPr>
          <w:p w14:paraId="0436E765">
            <w:pPr>
              <w:spacing w:line="240" w:lineRule="exact"/>
              <w:rPr>
                <w:rFonts w:ascii="Arial" w:hAnsi="Arial" w:eastAsia="宋体" w:cs="Arial"/>
                <w:spacing w:val="10"/>
                <w:sz w:val="21"/>
                <w:szCs w:val="21"/>
              </w:rPr>
            </w:pPr>
            <w:r>
              <w:rPr>
                <w:rFonts w:ascii="Arial" w:hAnsi="Arial" w:eastAsia="宋体" w:cs="Arial"/>
                <w:spacing w:val="10"/>
                <w:sz w:val="21"/>
                <w:szCs w:val="21"/>
              </w:rPr>
              <w:t>储罐全破裂</w:t>
            </w:r>
          </w:p>
        </w:tc>
        <w:tc>
          <w:tcPr>
            <w:tcW w:w="1158" w:type="pct"/>
            <w:tcBorders>
              <w:top w:val="single" w:color="auto" w:sz="4" w:space="0"/>
              <w:left w:val="single" w:color="auto" w:sz="4" w:space="0"/>
              <w:bottom w:val="single" w:color="auto" w:sz="4" w:space="0"/>
              <w:right w:val="single" w:color="auto" w:sz="4" w:space="0"/>
            </w:tcBorders>
            <w:vAlign w:val="center"/>
          </w:tcPr>
          <w:p w14:paraId="4957BB06">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-8</w:t>
            </w:r>
            <w:r>
              <w:rPr>
                <w:rFonts w:ascii="Arial" w:hAnsi="Arial" w:eastAsia="宋体" w:cs="Arial"/>
                <w:spacing w:val="10"/>
                <w:sz w:val="21"/>
                <w:szCs w:val="21"/>
              </w:rPr>
              <w:t>/a</w:t>
            </w:r>
          </w:p>
        </w:tc>
      </w:tr>
      <w:tr w14:paraId="4E833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8" w:type="pct"/>
            <w:tcBorders>
              <w:top w:val="single" w:color="auto" w:sz="4" w:space="0"/>
              <w:left w:val="single" w:color="auto" w:sz="4" w:space="0"/>
              <w:bottom w:val="single" w:color="auto" w:sz="4" w:space="0"/>
              <w:right w:val="single" w:color="auto" w:sz="4" w:space="0"/>
            </w:tcBorders>
            <w:vAlign w:val="center"/>
          </w:tcPr>
          <w:p w14:paraId="58DF0B9A">
            <w:pPr>
              <w:spacing w:line="240" w:lineRule="exact"/>
              <w:rPr>
                <w:rFonts w:ascii="Arial" w:hAnsi="Arial" w:eastAsia="宋体" w:cs="Arial"/>
                <w:spacing w:val="10"/>
                <w:sz w:val="21"/>
                <w:szCs w:val="21"/>
              </w:rPr>
            </w:pPr>
            <w:r>
              <w:rPr>
                <w:rFonts w:ascii="Arial" w:hAnsi="Arial" w:eastAsia="宋体" w:cs="Arial"/>
                <w:spacing w:val="10"/>
                <w:sz w:val="21"/>
                <w:szCs w:val="21"/>
              </w:rPr>
              <w:t>内径≤75mm的管道</w:t>
            </w:r>
          </w:p>
        </w:tc>
        <w:tc>
          <w:tcPr>
            <w:tcW w:w="2054" w:type="pct"/>
            <w:tcBorders>
              <w:top w:val="single" w:color="auto" w:sz="4" w:space="0"/>
              <w:left w:val="single" w:color="auto" w:sz="4" w:space="0"/>
              <w:bottom w:val="single" w:color="auto" w:sz="4" w:space="0"/>
              <w:right w:val="single" w:color="auto" w:sz="4" w:space="0"/>
            </w:tcBorders>
            <w:vAlign w:val="center"/>
          </w:tcPr>
          <w:p w14:paraId="7FCCE8CF">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泄漏孔径为10%孔径</w:t>
            </w:r>
          </w:p>
          <w:p w14:paraId="730C538B">
            <w:pPr>
              <w:spacing w:line="240" w:lineRule="exact"/>
              <w:rPr>
                <w:rFonts w:ascii="Arial" w:hAnsi="Arial" w:eastAsia="宋体" w:cs="Arial"/>
                <w:spacing w:val="10"/>
                <w:sz w:val="21"/>
                <w:szCs w:val="21"/>
              </w:rPr>
            </w:pPr>
            <w:r>
              <w:rPr>
                <w:rFonts w:ascii="Arial" w:hAnsi="Arial" w:eastAsia="宋体" w:cs="Arial"/>
                <w:spacing w:val="10"/>
                <w:sz w:val="21"/>
                <w:szCs w:val="21"/>
              </w:rPr>
              <w:t>全管径泄漏</w:t>
            </w:r>
          </w:p>
        </w:tc>
        <w:tc>
          <w:tcPr>
            <w:tcW w:w="1158" w:type="pct"/>
            <w:tcBorders>
              <w:top w:val="single" w:color="auto" w:sz="4" w:space="0"/>
              <w:left w:val="single" w:color="auto" w:sz="4" w:space="0"/>
              <w:bottom w:val="single" w:color="auto" w:sz="4" w:space="0"/>
              <w:right w:val="single" w:color="auto" w:sz="4" w:space="0"/>
            </w:tcBorders>
            <w:vAlign w:val="center"/>
          </w:tcPr>
          <w:p w14:paraId="3AEDEF90">
            <w:pPr>
              <w:spacing w:line="240" w:lineRule="exact"/>
              <w:rPr>
                <w:rFonts w:ascii="Arial" w:hAnsi="Arial" w:eastAsia="宋体" w:cs="Arial"/>
                <w:spacing w:val="10"/>
                <w:sz w:val="21"/>
                <w:szCs w:val="21"/>
              </w:rPr>
            </w:pPr>
            <w:r>
              <w:rPr>
                <w:rFonts w:ascii="Arial" w:hAnsi="Arial" w:eastAsia="宋体" w:cs="Arial"/>
                <w:spacing w:val="10"/>
                <w:sz w:val="21"/>
                <w:szCs w:val="21"/>
              </w:rPr>
              <w:t>5.00×10</w:t>
            </w:r>
            <w:r>
              <w:rPr>
                <w:rFonts w:ascii="Arial" w:hAnsi="Arial" w:eastAsia="宋体" w:cs="Arial"/>
                <w:spacing w:val="10"/>
                <w:sz w:val="21"/>
                <w:szCs w:val="21"/>
                <w:vertAlign w:val="superscript"/>
              </w:rPr>
              <w:t>-6</w:t>
            </w:r>
            <w:r>
              <w:rPr>
                <w:rFonts w:ascii="Arial" w:hAnsi="Arial" w:eastAsia="宋体" w:cs="Arial"/>
                <w:spacing w:val="10"/>
                <w:sz w:val="21"/>
                <w:szCs w:val="21"/>
              </w:rPr>
              <w:t>/（m·a）</w:t>
            </w:r>
          </w:p>
          <w:p w14:paraId="550C28B9">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-6</w:t>
            </w:r>
            <w:r>
              <w:rPr>
                <w:rFonts w:ascii="Arial" w:hAnsi="Arial" w:eastAsia="宋体" w:cs="Arial"/>
                <w:spacing w:val="10"/>
                <w:sz w:val="21"/>
                <w:szCs w:val="21"/>
              </w:rPr>
              <w:t>/（m·a）</w:t>
            </w:r>
          </w:p>
        </w:tc>
      </w:tr>
      <w:tr w14:paraId="58965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8" w:type="pct"/>
            <w:tcBorders>
              <w:top w:val="single" w:color="auto" w:sz="4" w:space="0"/>
              <w:left w:val="single" w:color="auto" w:sz="4" w:space="0"/>
              <w:bottom w:val="single" w:color="auto" w:sz="4" w:space="0"/>
              <w:right w:val="single" w:color="auto" w:sz="4" w:space="0"/>
            </w:tcBorders>
            <w:vAlign w:val="center"/>
          </w:tcPr>
          <w:p w14:paraId="19FBA724">
            <w:pPr>
              <w:spacing w:line="240" w:lineRule="exact"/>
              <w:rPr>
                <w:rFonts w:ascii="Arial" w:hAnsi="Arial" w:eastAsia="宋体" w:cs="Arial"/>
                <w:spacing w:val="10"/>
                <w:sz w:val="21"/>
                <w:szCs w:val="21"/>
              </w:rPr>
            </w:pPr>
            <w:r>
              <w:rPr>
                <w:rFonts w:ascii="Arial" w:hAnsi="Arial" w:eastAsia="宋体" w:cs="Arial"/>
                <w:spacing w:val="10"/>
                <w:sz w:val="21"/>
                <w:szCs w:val="21"/>
              </w:rPr>
              <w:t>75mm＜内径≤150mm的管道</w:t>
            </w:r>
          </w:p>
        </w:tc>
        <w:tc>
          <w:tcPr>
            <w:tcW w:w="2054" w:type="pct"/>
            <w:tcBorders>
              <w:top w:val="single" w:color="auto" w:sz="4" w:space="0"/>
              <w:left w:val="single" w:color="auto" w:sz="4" w:space="0"/>
              <w:bottom w:val="single" w:color="auto" w:sz="4" w:space="0"/>
              <w:right w:val="single" w:color="auto" w:sz="4" w:space="0"/>
            </w:tcBorders>
            <w:vAlign w:val="center"/>
          </w:tcPr>
          <w:p w14:paraId="6647D742">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泄漏孔径为10%孔径</w:t>
            </w:r>
          </w:p>
          <w:p w14:paraId="6D19EE3E">
            <w:pPr>
              <w:spacing w:line="240" w:lineRule="exact"/>
              <w:rPr>
                <w:rFonts w:ascii="Arial" w:hAnsi="Arial" w:eastAsia="宋体" w:cs="Arial"/>
                <w:spacing w:val="10"/>
                <w:sz w:val="21"/>
                <w:szCs w:val="21"/>
              </w:rPr>
            </w:pPr>
            <w:r>
              <w:rPr>
                <w:rFonts w:ascii="Arial" w:hAnsi="Arial" w:eastAsia="宋体" w:cs="Arial"/>
                <w:spacing w:val="10"/>
                <w:sz w:val="21"/>
                <w:szCs w:val="21"/>
              </w:rPr>
              <w:t>全管径泄漏</w:t>
            </w:r>
          </w:p>
        </w:tc>
        <w:tc>
          <w:tcPr>
            <w:tcW w:w="1158" w:type="pct"/>
            <w:tcBorders>
              <w:top w:val="single" w:color="auto" w:sz="4" w:space="0"/>
              <w:left w:val="single" w:color="auto" w:sz="4" w:space="0"/>
              <w:bottom w:val="single" w:color="auto" w:sz="4" w:space="0"/>
              <w:right w:val="single" w:color="auto" w:sz="4" w:space="0"/>
            </w:tcBorders>
            <w:vAlign w:val="center"/>
          </w:tcPr>
          <w:p w14:paraId="16D5B69D">
            <w:pPr>
              <w:spacing w:line="240" w:lineRule="exact"/>
              <w:rPr>
                <w:rFonts w:ascii="Arial" w:hAnsi="Arial" w:eastAsia="宋体" w:cs="Arial"/>
                <w:spacing w:val="10"/>
                <w:sz w:val="21"/>
                <w:szCs w:val="21"/>
              </w:rPr>
            </w:pPr>
            <w:r>
              <w:rPr>
                <w:rFonts w:ascii="Arial" w:hAnsi="Arial" w:eastAsia="宋体" w:cs="Arial"/>
                <w:spacing w:val="10"/>
                <w:sz w:val="21"/>
                <w:szCs w:val="21"/>
              </w:rPr>
              <w:t>2.00×10</w:t>
            </w:r>
            <w:r>
              <w:rPr>
                <w:rFonts w:ascii="Arial" w:hAnsi="Arial" w:eastAsia="宋体" w:cs="Arial"/>
                <w:spacing w:val="10"/>
                <w:sz w:val="21"/>
                <w:szCs w:val="21"/>
                <w:vertAlign w:val="superscript"/>
              </w:rPr>
              <w:t>-6</w:t>
            </w:r>
            <w:r>
              <w:rPr>
                <w:rFonts w:ascii="Arial" w:hAnsi="Arial" w:eastAsia="宋体" w:cs="Arial"/>
                <w:spacing w:val="10"/>
                <w:sz w:val="21"/>
                <w:szCs w:val="21"/>
              </w:rPr>
              <w:t>/（m·a）</w:t>
            </w:r>
          </w:p>
          <w:p w14:paraId="1FCB62B4">
            <w:pPr>
              <w:spacing w:line="240" w:lineRule="exact"/>
              <w:rPr>
                <w:rFonts w:ascii="Arial" w:hAnsi="Arial" w:eastAsia="宋体" w:cs="Arial"/>
                <w:spacing w:val="10"/>
                <w:sz w:val="21"/>
                <w:szCs w:val="21"/>
              </w:rPr>
            </w:pPr>
            <w:r>
              <w:rPr>
                <w:rFonts w:ascii="Arial" w:hAnsi="Arial" w:eastAsia="宋体" w:cs="Arial"/>
                <w:spacing w:val="10"/>
                <w:sz w:val="21"/>
                <w:szCs w:val="21"/>
              </w:rPr>
              <w:t>3.00×10</w:t>
            </w:r>
            <w:r>
              <w:rPr>
                <w:rFonts w:ascii="Arial" w:hAnsi="Arial" w:eastAsia="宋体" w:cs="Arial"/>
                <w:spacing w:val="10"/>
                <w:sz w:val="21"/>
                <w:szCs w:val="21"/>
                <w:vertAlign w:val="superscript"/>
              </w:rPr>
              <w:t>-7</w:t>
            </w:r>
            <w:r>
              <w:rPr>
                <w:rFonts w:ascii="Arial" w:hAnsi="Arial" w:eastAsia="宋体" w:cs="Arial"/>
                <w:spacing w:val="10"/>
                <w:sz w:val="21"/>
                <w:szCs w:val="21"/>
              </w:rPr>
              <w:t>/（m·a）</w:t>
            </w:r>
          </w:p>
        </w:tc>
      </w:tr>
      <w:tr w14:paraId="52C2B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8" w:type="pct"/>
            <w:tcBorders>
              <w:top w:val="single" w:color="auto" w:sz="4" w:space="0"/>
              <w:left w:val="single" w:color="auto" w:sz="4" w:space="0"/>
              <w:bottom w:val="single" w:color="auto" w:sz="4" w:space="0"/>
              <w:right w:val="single" w:color="auto" w:sz="4" w:space="0"/>
            </w:tcBorders>
            <w:vAlign w:val="center"/>
          </w:tcPr>
          <w:p w14:paraId="1AFB03DD">
            <w:pPr>
              <w:spacing w:line="240" w:lineRule="exact"/>
              <w:rPr>
                <w:rFonts w:ascii="Arial" w:hAnsi="Arial" w:eastAsia="宋体" w:cs="Arial"/>
                <w:spacing w:val="10"/>
                <w:sz w:val="21"/>
                <w:szCs w:val="21"/>
              </w:rPr>
            </w:pPr>
            <w:r>
              <w:rPr>
                <w:rFonts w:ascii="Arial" w:hAnsi="Arial" w:eastAsia="宋体" w:cs="Arial"/>
                <w:spacing w:val="10"/>
                <w:sz w:val="21"/>
                <w:szCs w:val="21"/>
              </w:rPr>
              <w:t>内径＞150mm的管道</w:t>
            </w:r>
          </w:p>
        </w:tc>
        <w:tc>
          <w:tcPr>
            <w:tcW w:w="2054" w:type="pct"/>
            <w:tcBorders>
              <w:top w:val="single" w:color="auto" w:sz="4" w:space="0"/>
              <w:left w:val="single" w:color="auto" w:sz="4" w:space="0"/>
              <w:bottom w:val="single" w:color="auto" w:sz="4" w:space="0"/>
              <w:right w:val="single" w:color="auto" w:sz="4" w:space="0"/>
            </w:tcBorders>
            <w:vAlign w:val="center"/>
          </w:tcPr>
          <w:p w14:paraId="2ACFE9BD">
            <w:pPr>
              <w:spacing w:line="240" w:lineRule="exact"/>
              <w:rPr>
                <w:rFonts w:ascii="Arial" w:hAnsi="Arial" w:eastAsia="宋体" w:cs="Arial"/>
                <w:spacing w:val="10"/>
                <w:sz w:val="21"/>
                <w:szCs w:val="21"/>
              </w:rPr>
            </w:pPr>
            <w:r>
              <w:rPr>
                <w:rFonts w:ascii="Arial" w:hAnsi="Arial" w:eastAsia="宋体" w:cs="Arial"/>
                <w:spacing w:val="10"/>
                <w:sz w:val="21"/>
                <w:szCs w:val="21"/>
              </w:rPr>
              <w:t>泄漏孔径为10%孔径（最大50mm）</w:t>
            </w:r>
          </w:p>
          <w:p w14:paraId="0546B0D6">
            <w:pPr>
              <w:spacing w:line="240" w:lineRule="exact"/>
              <w:rPr>
                <w:rFonts w:ascii="Arial" w:hAnsi="Arial" w:eastAsia="宋体" w:cs="Arial"/>
                <w:spacing w:val="10"/>
                <w:sz w:val="21"/>
                <w:szCs w:val="21"/>
              </w:rPr>
            </w:pPr>
            <w:r>
              <w:rPr>
                <w:rFonts w:ascii="Arial" w:hAnsi="Arial" w:eastAsia="宋体" w:cs="Arial"/>
                <w:spacing w:val="10"/>
                <w:sz w:val="21"/>
                <w:szCs w:val="21"/>
              </w:rPr>
              <w:t>全管径泄漏</w:t>
            </w:r>
          </w:p>
        </w:tc>
        <w:tc>
          <w:tcPr>
            <w:tcW w:w="1158" w:type="pct"/>
            <w:tcBorders>
              <w:top w:val="single" w:color="auto" w:sz="4" w:space="0"/>
              <w:left w:val="single" w:color="auto" w:sz="4" w:space="0"/>
              <w:bottom w:val="single" w:color="auto" w:sz="4" w:space="0"/>
              <w:right w:val="single" w:color="auto" w:sz="4" w:space="0"/>
            </w:tcBorders>
            <w:vAlign w:val="center"/>
          </w:tcPr>
          <w:p w14:paraId="03FAA590">
            <w:pPr>
              <w:spacing w:line="240" w:lineRule="exact"/>
              <w:rPr>
                <w:rFonts w:ascii="Arial" w:hAnsi="Arial" w:eastAsia="宋体" w:cs="Arial"/>
                <w:spacing w:val="10"/>
                <w:sz w:val="21"/>
                <w:szCs w:val="21"/>
              </w:rPr>
            </w:pPr>
            <w:r>
              <w:rPr>
                <w:rFonts w:ascii="Arial" w:hAnsi="Arial" w:eastAsia="宋体" w:cs="Arial"/>
                <w:spacing w:val="10"/>
                <w:sz w:val="21"/>
                <w:szCs w:val="21"/>
              </w:rPr>
              <w:t>2.40×10</w:t>
            </w:r>
            <w:r>
              <w:rPr>
                <w:rFonts w:ascii="Arial" w:hAnsi="Arial" w:eastAsia="宋体" w:cs="Arial"/>
                <w:spacing w:val="10"/>
                <w:sz w:val="21"/>
                <w:szCs w:val="21"/>
                <w:vertAlign w:val="superscript"/>
              </w:rPr>
              <w:t>-6</w:t>
            </w:r>
            <w:r>
              <w:rPr>
                <w:rFonts w:ascii="Arial" w:hAnsi="Arial" w:eastAsia="宋体" w:cs="Arial"/>
                <w:spacing w:val="10"/>
                <w:sz w:val="21"/>
                <w:szCs w:val="21"/>
              </w:rPr>
              <w:t>/（m·a）</w:t>
            </w:r>
          </w:p>
          <w:p w14:paraId="41AE320B">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-7</w:t>
            </w:r>
            <w:r>
              <w:rPr>
                <w:rFonts w:ascii="Arial" w:hAnsi="Arial" w:eastAsia="宋体" w:cs="Arial"/>
                <w:spacing w:val="10"/>
                <w:sz w:val="21"/>
                <w:szCs w:val="21"/>
              </w:rPr>
              <w:t>/（m·a）</w:t>
            </w:r>
          </w:p>
        </w:tc>
      </w:tr>
      <w:tr w14:paraId="5C3E6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8" w:type="pct"/>
            <w:tcBorders>
              <w:top w:val="single" w:color="auto" w:sz="4" w:space="0"/>
              <w:left w:val="single" w:color="auto" w:sz="4" w:space="0"/>
              <w:bottom w:val="single" w:color="auto" w:sz="4" w:space="0"/>
              <w:right w:val="single" w:color="auto" w:sz="4" w:space="0"/>
            </w:tcBorders>
            <w:vAlign w:val="center"/>
          </w:tcPr>
          <w:p w14:paraId="13810B52">
            <w:pPr>
              <w:spacing w:line="240" w:lineRule="exact"/>
              <w:rPr>
                <w:rFonts w:ascii="Arial" w:hAnsi="Arial" w:eastAsia="宋体" w:cs="Arial"/>
                <w:spacing w:val="10"/>
                <w:sz w:val="21"/>
                <w:szCs w:val="21"/>
              </w:rPr>
            </w:pPr>
            <w:r>
              <w:rPr>
                <w:rFonts w:ascii="Arial" w:hAnsi="Arial" w:eastAsia="宋体" w:cs="Arial"/>
                <w:spacing w:val="10"/>
                <w:sz w:val="21"/>
                <w:szCs w:val="21"/>
              </w:rPr>
              <w:t>泵体和压缩机</w:t>
            </w:r>
          </w:p>
        </w:tc>
        <w:tc>
          <w:tcPr>
            <w:tcW w:w="2054" w:type="pct"/>
            <w:tcBorders>
              <w:top w:val="single" w:color="auto" w:sz="4" w:space="0"/>
              <w:left w:val="single" w:color="auto" w:sz="4" w:space="0"/>
              <w:bottom w:val="single" w:color="auto" w:sz="4" w:space="0"/>
              <w:right w:val="single" w:color="auto" w:sz="4" w:space="0"/>
            </w:tcBorders>
            <w:vAlign w:val="center"/>
          </w:tcPr>
          <w:p w14:paraId="589BF54C">
            <w:pPr>
              <w:spacing w:line="240" w:lineRule="exact"/>
              <w:rPr>
                <w:rFonts w:ascii="Arial" w:hAnsi="Arial" w:eastAsia="宋体" w:cs="Arial"/>
                <w:spacing w:val="10"/>
                <w:sz w:val="21"/>
                <w:szCs w:val="21"/>
              </w:rPr>
            </w:pPr>
            <w:r>
              <w:rPr>
                <w:rFonts w:ascii="Arial" w:hAnsi="Arial" w:eastAsia="宋体" w:cs="Arial"/>
                <w:spacing w:val="10"/>
                <w:sz w:val="21"/>
                <w:szCs w:val="21"/>
              </w:rPr>
              <w:t>泵体和压缩机最大连接管泄漏孔径为10%孔径（最大50mm）</w:t>
            </w:r>
          </w:p>
          <w:p w14:paraId="721E3A66">
            <w:pPr>
              <w:spacing w:line="240" w:lineRule="exact"/>
              <w:rPr>
                <w:rFonts w:ascii="Arial" w:hAnsi="Arial" w:eastAsia="宋体" w:cs="Arial"/>
                <w:spacing w:val="10"/>
                <w:sz w:val="21"/>
                <w:szCs w:val="21"/>
              </w:rPr>
            </w:pPr>
            <w:r>
              <w:rPr>
                <w:rFonts w:ascii="Arial" w:hAnsi="Arial" w:eastAsia="宋体" w:cs="Arial"/>
                <w:spacing w:val="10"/>
                <w:sz w:val="21"/>
                <w:szCs w:val="21"/>
              </w:rPr>
              <w:t>泵体和压缩机最大连接管全管径泄漏</w:t>
            </w:r>
          </w:p>
        </w:tc>
        <w:tc>
          <w:tcPr>
            <w:tcW w:w="1158" w:type="pct"/>
            <w:tcBorders>
              <w:top w:val="single" w:color="auto" w:sz="4" w:space="0"/>
              <w:left w:val="single" w:color="auto" w:sz="4" w:space="0"/>
              <w:bottom w:val="single" w:color="auto" w:sz="4" w:space="0"/>
              <w:right w:val="single" w:color="auto" w:sz="4" w:space="0"/>
            </w:tcBorders>
            <w:vAlign w:val="center"/>
          </w:tcPr>
          <w:p w14:paraId="0CB35A70">
            <w:pPr>
              <w:spacing w:line="240" w:lineRule="exact"/>
              <w:rPr>
                <w:rFonts w:ascii="Arial" w:hAnsi="Arial" w:eastAsia="宋体" w:cs="Arial"/>
                <w:spacing w:val="10"/>
                <w:sz w:val="21"/>
                <w:szCs w:val="21"/>
              </w:rPr>
            </w:pPr>
            <w:r>
              <w:rPr>
                <w:rFonts w:ascii="Arial" w:hAnsi="Arial" w:eastAsia="宋体" w:cs="Arial"/>
                <w:spacing w:val="10"/>
                <w:sz w:val="21"/>
                <w:szCs w:val="21"/>
              </w:rPr>
              <w:t>4.00×10</w:t>
            </w:r>
            <w:r>
              <w:rPr>
                <w:rFonts w:ascii="Arial" w:hAnsi="Arial" w:eastAsia="宋体" w:cs="Arial"/>
                <w:spacing w:val="10"/>
                <w:sz w:val="21"/>
                <w:szCs w:val="21"/>
                <w:vertAlign w:val="superscript"/>
              </w:rPr>
              <w:t>-4</w:t>
            </w:r>
            <w:r>
              <w:rPr>
                <w:rFonts w:ascii="Arial" w:hAnsi="Arial" w:eastAsia="宋体" w:cs="Arial"/>
                <w:spacing w:val="10"/>
                <w:sz w:val="21"/>
                <w:szCs w:val="21"/>
              </w:rPr>
              <w:t>/a</w:t>
            </w:r>
          </w:p>
          <w:p w14:paraId="57A12612">
            <w:pPr>
              <w:spacing w:line="240" w:lineRule="exact"/>
              <w:rPr>
                <w:rFonts w:ascii="Arial" w:hAnsi="Arial" w:eastAsia="宋体" w:cs="Arial"/>
                <w:spacing w:val="10"/>
                <w:sz w:val="21"/>
                <w:szCs w:val="21"/>
              </w:rPr>
            </w:pPr>
            <w:r>
              <w:rPr>
                <w:rFonts w:ascii="Arial" w:hAnsi="Arial" w:eastAsia="宋体" w:cs="Arial"/>
                <w:spacing w:val="10"/>
                <w:sz w:val="21"/>
                <w:szCs w:val="21"/>
              </w:rPr>
              <w:t>1.00×10</w:t>
            </w:r>
            <w:r>
              <w:rPr>
                <w:rFonts w:ascii="Arial" w:hAnsi="Arial" w:eastAsia="宋体" w:cs="Arial"/>
                <w:spacing w:val="10"/>
                <w:sz w:val="21"/>
                <w:szCs w:val="21"/>
                <w:vertAlign w:val="superscript"/>
              </w:rPr>
              <w:t>-4</w:t>
            </w:r>
            <w:r>
              <w:rPr>
                <w:rFonts w:ascii="Arial" w:hAnsi="Arial" w:eastAsia="宋体" w:cs="Arial"/>
                <w:spacing w:val="10"/>
                <w:sz w:val="21"/>
                <w:szCs w:val="21"/>
              </w:rPr>
              <w:t>/a</w:t>
            </w:r>
          </w:p>
        </w:tc>
      </w:tr>
      <w:tr w14:paraId="6BCB1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8" w:type="pct"/>
            <w:tcBorders>
              <w:top w:val="single" w:color="auto" w:sz="4" w:space="0"/>
              <w:left w:val="single" w:color="auto" w:sz="4" w:space="0"/>
              <w:bottom w:val="single" w:color="auto" w:sz="4" w:space="0"/>
              <w:right w:val="single" w:color="auto" w:sz="4" w:space="0"/>
            </w:tcBorders>
            <w:vAlign w:val="center"/>
          </w:tcPr>
          <w:p w14:paraId="601821A8">
            <w:pPr>
              <w:spacing w:line="240" w:lineRule="exact"/>
              <w:rPr>
                <w:rFonts w:ascii="Arial" w:hAnsi="Arial" w:eastAsia="宋体" w:cs="Arial"/>
                <w:spacing w:val="10"/>
                <w:sz w:val="21"/>
                <w:szCs w:val="21"/>
              </w:rPr>
            </w:pPr>
            <w:r>
              <w:rPr>
                <w:rFonts w:ascii="Arial" w:hAnsi="Arial" w:eastAsia="宋体" w:cs="Arial"/>
                <w:spacing w:val="10"/>
                <w:sz w:val="21"/>
                <w:szCs w:val="21"/>
              </w:rPr>
              <w:t>装卸臂</w:t>
            </w:r>
          </w:p>
        </w:tc>
        <w:tc>
          <w:tcPr>
            <w:tcW w:w="2054" w:type="pct"/>
            <w:tcBorders>
              <w:top w:val="single" w:color="auto" w:sz="4" w:space="0"/>
              <w:left w:val="single" w:color="auto" w:sz="4" w:space="0"/>
              <w:bottom w:val="single" w:color="auto" w:sz="4" w:space="0"/>
              <w:right w:val="single" w:color="auto" w:sz="4" w:space="0"/>
            </w:tcBorders>
            <w:vAlign w:val="center"/>
          </w:tcPr>
          <w:p w14:paraId="18D01C86">
            <w:pPr>
              <w:spacing w:line="240" w:lineRule="exact"/>
              <w:rPr>
                <w:rFonts w:ascii="Arial" w:hAnsi="Arial" w:eastAsia="宋体" w:cs="Arial"/>
                <w:spacing w:val="10"/>
                <w:sz w:val="21"/>
                <w:szCs w:val="21"/>
              </w:rPr>
            </w:pPr>
            <w:r>
              <w:rPr>
                <w:rFonts w:ascii="Arial" w:hAnsi="Arial" w:eastAsia="宋体" w:cs="Arial"/>
                <w:spacing w:val="10"/>
                <w:sz w:val="21"/>
                <w:szCs w:val="21"/>
              </w:rPr>
              <w:t>装卸臂连接管泄漏孔径为10%孔径（最大50mm）</w:t>
            </w:r>
          </w:p>
          <w:p w14:paraId="02E30924">
            <w:pPr>
              <w:spacing w:line="240" w:lineRule="exact"/>
              <w:rPr>
                <w:rFonts w:ascii="Arial" w:hAnsi="Arial" w:eastAsia="宋体" w:cs="Arial"/>
                <w:spacing w:val="10"/>
                <w:sz w:val="21"/>
                <w:szCs w:val="21"/>
              </w:rPr>
            </w:pPr>
            <w:r>
              <w:rPr>
                <w:rFonts w:ascii="Arial" w:hAnsi="Arial" w:eastAsia="宋体" w:cs="Arial"/>
                <w:spacing w:val="10"/>
                <w:sz w:val="21"/>
                <w:szCs w:val="21"/>
              </w:rPr>
              <w:t>装卸臂全管径泄漏</w:t>
            </w:r>
          </w:p>
        </w:tc>
        <w:tc>
          <w:tcPr>
            <w:tcW w:w="1158" w:type="pct"/>
            <w:tcBorders>
              <w:top w:val="single" w:color="auto" w:sz="4" w:space="0"/>
              <w:left w:val="single" w:color="auto" w:sz="4" w:space="0"/>
              <w:bottom w:val="single" w:color="auto" w:sz="4" w:space="0"/>
              <w:right w:val="single" w:color="auto" w:sz="4" w:space="0"/>
            </w:tcBorders>
            <w:vAlign w:val="center"/>
          </w:tcPr>
          <w:p w14:paraId="5AE24FFE">
            <w:pPr>
              <w:spacing w:line="240" w:lineRule="exact"/>
              <w:rPr>
                <w:rFonts w:ascii="Arial" w:hAnsi="Arial" w:eastAsia="宋体" w:cs="Arial"/>
                <w:spacing w:val="10"/>
                <w:sz w:val="21"/>
                <w:szCs w:val="21"/>
              </w:rPr>
            </w:pPr>
            <w:r>
              <w:rPr>
                <w:rFonts w:ascii="Arial" w:hAnsi="Arial" w:eastAsia="宋体" w:cs="Arial"/>
                <w:spacing w:val="10"/>
                <w:sz w:val="21"/>
                <w:szCs w:val="21"/>
              </w:rPr>
              <w:t>3.00×10</w:t>
            </w:r>
            <w:r>
              <w:rPr>
                <w:rFonts w:ascii="Arial" w:hAnsi="Arial" w:eastAsia="宋体" w:cs="Arial"/>
                <w:spacing w:val="10"/>
                <w:sz w:val="21"/>
                <w:szCs w:val="21"/>
                <w:vertAlign w:val="superscript"/>
              </w:rPr>
              <w:t>-7</w:t>
            </w:r>
            <w:r>
              <w:rPr>
                <w:rFonts w:ascii="Arial" w:hAnsi="Arial" w:eastAsia="宋体" w:cs="Arial"/>
                <w:spacing w:val="10"/>
                <w:sz w:val="21"/>
                <w:szCs w:val="21"/>
              </w:rPr>
              <w:t>/h</w:t>
            </w:r>
          </w:p>
          <w:p w14:paraId="372399AB">
            <w:pPr>
              <w:spacing w:line="240" w:lineRule="exact"/>
              <w:rPr>
                <w:rFonts w:ascii="Arial" w:hAnsi="Arial" w:eastAsia="宋体" w:cs="Arial"/>
                <w:spacing w:val="10"/>
                <w:sz w:val="21"/>
                <w:szCs w:val="21"/>
              </w:rPr>
            </w:pPr>
            <w:r>
              <w:rPr>
                <w:rFonts w:ascii="Arial" w:hAnsi="Arial" w:eastAsia="宋体" w:cs="Arial"/>
                <w:spacing w:val="10"/>
                <w:sz w:val="21"/>
                <w:szCs w:val="21"/>
              </w:rPr>
              <w:t>3.00×10</w:t>
            </w:r>
            <w:r>
              <w:rPr>
                <w:rFonts w:ascii="Arial" w:hAnsi="Arial" w:eastAsia="宋体" w:cs="Arial"/>
                <w:spacing w:val="10"/>
                <w:sz w:val="21"/>
                <w:szCs w:val="21"/>
                <w:vertAlign w:val="superscript"/>
              </w:rPr>
              <w:t>-8</w:t>
            </w:r>
            <w:r>
              <w:rPr>
                <w:rFonts w:ascii="Arial" w:hAnsi="Arial" w:eastAsia="宋体" w:cs="Arial"/>
                <w:spacing w:val="10"/>
                <w:sz w:val="21"/>
                <w:szCs w:val="21"/>
              </w:rPr>
              <w:t>/h</w:t>
            </w:r>
          </w:p>
        </w:tc>
      </w:tr>
      <w:tr w14:paraId="3B2B0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88" w:type="pct"/>
            <w:tcBorders>
              <w:top w:val="single" w:color="auto" w:sz="4" w:space="0"/>
              <w:left w:val="single" w:color="auto" w:sz="4" w:space="0"/>
              <w:bottom w:val="single" w:color="auto" w:sz="4" w:space="0"/>
              <w:right w:val="single" w:color="auto" w:sz="4" w:space="0"/>
            </w:tcBorders>
            <w:vAlign w:val="center"/>
          </w:tcPr>
          <w:p w14:paraId="6837C2F8">
            <w:pPr>
              <w:spacing w:line="240" w:lineRule="exact"/>
              <w:rPr>
                <w:rFonts w:ascii="Arial" w:hAnsi="Arial" w:eastAsia="宋体" w:cs="Arial"/>
                <w:spacing w:val="10"/>
                <w:sz w:val="21"/>
                <w:szCs w:val="21"/>
              </w:rPr>
            </w:pPr>
            <w:r>
              <w:rPr>
                <w:rFonts w:ascii="Arial" w:hAnsi="Arial" w:eastAsia="宋体" w:cs="Arial"/>
                <w:spacing w:val="10"/>
                <w:sz w:val="21"/>
                <w:szCs w:val="21"/>
              </w:rPr>
              <w:t>装卸软管</w:t>
            </w:r>
          </w:p>
        </w:tc>
        <w:tc>
          <w:tcPr>
            <w:tcW w:w="2054" w:type="pct"/>
            <w:tcBorders>
              <w:top w:val="single" w:color="auto" w:sz="4" w:space="0"/>
              <w:left w:val="single" w:color="auto" w:sz="4" w:space="0"/>
              <w:bottom w:val="single" w:color="auto" w:sz="4" w:space="0"/>
              <w:right w:val="single" w:color="auto" w:sz="4" w:space="0"/>
            </w:tcBorders>
            <w:vAlign w:val="center"/>
          </w:tcPr>
          <w:p w14:paraId="3E3F886C">
            <w:pPr>
              <w:spacing w:line="240" w:lineRule="exact"/>
              <w:rPr>
                <w:rFonts w:ascii="Arial" w:hAnsi="Arial" w:eastAsia="宋体" w:cs="Arial"/>
                <w:spacing w:val="10"/>
                <w:sz w:val="21"/>
                <w:szCs w:val="21"/>
              </w:rPr>
            </w:pPr>
            <w:r>
              <w:rPr>
                <w:rFonts w:ascii="Arial" w:hAnsi="Arial" w:eastAsia="宋体" w:cs="Arial"/>
                <w:spacing w:val="10"/>
                <w:sz w:val="21"/>
                <w:szCs w:val="21"/>
              </w:rPr>
              <w:t>装卸软管连接管泄漏孔径为10%孔径（最大50mm）</w:t>
            </w:r>
          </w:p>
          <w:p w14:paraId="26617964">
            <w:pPr>
              <w:spacing w:line="240" w:lineRule="exact"/>
              <w:rPr>
                <w:rFonts w:ascii="Arial" w:hAnsi="Arial" w:eastAsia="宋体" w:cs="Arial"/>
                <w:spacing w:val="10"/>
                <w:sz w:val="21"/>
                <w:szCs w:val="21"/>
              </w:rPr>
            </w:pPr>
            <w:r>
              <w:rPr>
                <w:rFonts w:ascii="Arial" w:hAnsi="Arial" w:eastAsia="宋体" w:cs="Arial"/>
                <w:spacing w:val="10"/>
                <w:sz w:val="21"/>
                <w:szCs w:val="21"/>
              </w:rPr>
              <w:t>装卸软管全管径泄漏</w:t>
            </w:r>
          </w:p>
        </w:tc>
        <w:tc>
          <w:tcPr>
            <w:tcW w:w="1158" w:type="pct"/>
            <w:tcBorders>
              <w:top w:val="single" w:color="auto" w:sz="4" w:space="0"/>
              <w:left w:val="single" w:color="auto" w:sz="4" w:space="0"/>
              <w:bottom w:val="single" w:color="auto" w:sz="4" w:space="0"/>
              <w:right w:val="single" w:color="auto" w:sz="4" w:space="0"/>
            </w:tcBorders>
            <w:vAlign w:val="center"/>
          </w:tcPr>
          <w:p w14:paraId="047AC939">
            <w:pPr>
              <w:spacing w:line="240" w:lineRule="exact"/>
              <w:rPr>
                <w:rFonts w:ascii="Arial" w:hAnsi="Arial" w:eastAsia="宋体" w:cs="Arial"/>
                <w:spacing w:val="10"/>
                <w:sz w:val="21"/>
                <w:szCs w:val="21"/>
              </w:rPr>
            </w:pPr>
            <w:r>
              <w:rPr>
                <w:rFonts w:ascii="Arial" w:hAnsi="Arial" w:eastAsia="宋体" w:cs="Arial"/>
                <w:spacing w:val="10"/>
                <w:sz w:val="21"/>
                <w:szCs w:val="21"/>
              </w:rPr>
              <w:t>4.00×10</w:t>
            </w:r>
            <w:r>
              <w:rPr>
                <w:rFonts w:ascii="Arial" w:hAnsi="Arial" w:eastAsia="宋体" w:cs="Arial"/>
                <w:spacing w:val="10"/>
                <w:sz w:val="21"/>
                <w:szCs w:val="21"/>
                <w:vertAlign w:val="superscript"/>
              </w:rPr>
              <w:t>-5</w:t>
            </w:r>
            <w:r>
              <w:rPr>
                <w:rFonts w:ascii="Arial" w:hAnsi="Arial" w:eastAsia="宋体" w:cs="Arial"/>
                <w:spacing w:val="10"/>
                <w:sz w:val="21"/>
                <w:szCs w:val="21"/>
              </w:rPr>
              <w:t>/h</w:t>
            </w:r>
          </w:p>
          <w:p w14:paraId="758645A7">
            <w:pPr>
              <w:spacing w:line="240" w:lineRule="exact"/>
              <w:rPr>
                <w:rFonts w:ascii="Arial" w:hAnsi="Arial" w:eastAsia="宋体" w:cs="Arial"/>
                <w:spacing w:val="10"/>
                <w:sz w:val="21"/>
                <w:szCs w:val="21"/>
              </w:rPr>
            </w:pPr>
            <w:r>
              <w:rPr>
                <w:rFonts w:ascii="Arial" w:hAnsi="Arial" w:eastAsia="宋体" w:cs="Arial"/>
                <w:spacing w:val="10"/>
                <w:sz w:val="21"/>
                <w:szCs w:val="21"/>
              </w:rPr>
              <w:t>4.00×10</w:t>
            </w:r>
            <w:r>
              <w:rPr>
                <w:rFonts w:ascii="Arial" w:hAnsi="Arial" w:eastAsia="宋体" w:cs="Arial"/>
                <w:spacing w:val="10"/>
                <w:sz w:val="21"/>
                <w:szCs w:val="21"/>
                <w:vertAlign w:val="superscript"/>
              </w:rPr>
              <w:t>-6</w:t>
            </w:r>
            <w:r>
              <w:rPr>
                <w:rFonts w:ascii="Arial" w:hAnsi="Arial" w:eastAsia="宋体" w:cs="Arial"/>
                <w:spacing w:val="10"/>
                <w:sz w:val="21"/>
                <w:szCs w:val="21"/>
              </w:rPr>
              <w:t>/h</w:t>
            </w:r>
          </w:p>
        </w:tc>
      </w:tr>
    </w:tbl>
    <w:p w14:paraId="7DFDA63D">
      <w:pPr>
        <w:spacing w:line="500" w:lineRule="exact"/>
        <w:ind w:firstLine="490" w:firstLineChars="200"/>
        <w:rPr>
          <w:rFonts w:ascii="Arial" w:hAnsi="Arial" w:eastAsia="宋体" w:cs="Arial"/>
          <w:spacing w:val="10"/>
          <w:sz w:val="24"/>
        </w:rPr>
      </w:pPr>
      <w:r>
        <w:rPr>
          <w:rFonts w:ascii="Arial" w:hAnsi="Arial" w:eastAsia="宋体" w:cs="Arial"/>
          <w:spacing w:val="10"/>
          <w:sz w:val="24"/>
        </w:rPr>
        <w:t>根据国内类似行业多年经验，事故发生原因和出现几率见表4-</w:t>
      </w:r>
      <w:r>
        <w:rPr>
          <w:rFonts w:hint="eastAsia" w:ascii="Arial" w:hAnsi="Arial" w:eastAsia="宋体" w:cs="Arial"/>
          <w:spacing w:val="10"/>
          <w:sz w:val="24"/>
        </w:rPr>
        <w:t>63</w:t>
      </w:r>
      <w:r>
        <w:rPr>
          <w:rFonts w:ascii="Arial" w:hAnsi="Arial" w:eastAsia="宋体" w:cs="Arial"/>
          <w:spacing w:val="10"/>
          <w:sz w:val="24"/>
        </w:rPr>
        <w:t>。</w:t>
      </w:r>
    </w:p>
    <w:p w14:paraId="06DF7A15">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行业事故原因及出现几率统计表</w:t>
      </w:r>
    </w:p>
    <w:tbl>
      <w:tblPr>
        <w:tblStyle w:val="8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85" w:type="dxa"/>
          <w:bottom w:w="0" w:type="dxa"/>
          <w:right w:w="85" w:type="dxa"/>
        </w:tblCellMar>
      </w:tblPr>
      <w:tblGrid>
        <w:gridCol w:w="5229"/>
        <w:gridCol w:w="3718"/>
      </w:tblGrid>
      <w:tr w14:paraId="58CB38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922" w:type="pct"/>
            <w:tcBorders>
              <w:top w:val="single" w:color="auto" w:sz="8" w:space="0"/>
              <w:left w:val="single" w:color="auto" w:sz="4" w:space="0"/>
              <w:bottom w:val="single" w:color="auto" w:sz="4" w:space="0"/>
              <w:right w:val="single" w:color="auto" w:sz="4" w:space="0"/>
            </w:tcBorders>
            <w:vAlign w:val="center"/>
          </w:tcPr>
          <w:p w14:paraId="465B3E4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事故原因</w:t>
            </w:r>
          </w:p>
        </w:tc>
        <w:tc>
          <w:tcPr>
            <w:tcW w:w="2078" w:type="pct"/>
            <w:tcBorders>
              <w:top w:val="single" w:color="auto" w:sz="8" w:space="0"/>
              <w:left w:val="single" w:color="auto" w:sz="4" w:space="0"/>
              <w:bottom w:val="single" w:color="auto" w:sz="4" w:space="0"/>
              <w:right w:val="single" w:color="auto" w:sz="8" w:space="0"/>
            </w:tcBorders>
            <w:vAlign w:val="center"/>
          </w:tcPr>
          <w:p w14:paraId="35715B6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出现几率（%）</w:t>
            </w:r>
          </w:p>
        </w:tc>
      </w:tr>
      <w:tr w14:paraId="010799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922" w:type="pct"/>
            <w:tcBorders>
              <w:top w:val="single" w:color="auto" w:sz="4" w:space="0"/>
              <w:left w:val="single" w:color="auto" w:sz="4" w:space="0"/>
              <w:bottom w:val="single" w:color="auto" w:sz="4" w:space="0"/>
              <w:right w:val="single" w:color="auto" w:sz="4" w:space="0"/>
            </w:tcBorders>
            <w:vAlign w:val="center"/>
          </w:tcPr>
          <w:p w14:paraId="07335F0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贮罐、管道和设备破损</w:t>
            </w:r>
          </w:p>
        </w:tc>
        <w:tc>
          <w:tcPr>
            <w:tcW w:w="2078" w:type="pct"/>
            <w:tcBorders>
              <w:top w:val="single" w:color="auto" w:sz="4" w:space="0"/>
              <w:left w:val="single" w:color="auto" w:sz="4" w:space="0"/>
              <w:bottom w:val="single" w:color="auto" w:sz="4" w:space="0"/>
              <w:right w:val="single" w:color="auto" w:sz="8" w:space="0"/>
            </w:tcBorders>
            <w:vAlign w:val="center"/>
          </w:tcPr>
          <w:p w14:paraId="58D1BB3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60</w:t>
            </w:r>
          </w:p>
        </w:tc>
      </w:tr>
      <w:tr w14:paraId="380880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922" w:type="pct"/>
            <w:tcBorders>
              <w:top w:val="single" w:color="auto" w:sz="4" w:space="0"/>
              <w:left w:val="single" w:color="auto" w:sz="4" w:space="0"/>
              <w:bottom w:val="single" w:color="auto" w:sz="4" w:space="0"/>
              <w:right w:val="single" w:color="auto" w:sz="4" w:space="0"/>
            </w:tcBorders>
            <w:vAlign w:val="center"/>
          </w:tcPr>
          <w:p w14:paraId="1B87556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废气处理系统故障</w:t>
            </w:r>
          </w:p>
        </w:tc>
        <w:tc>
          <w:tcPr>
            <w:tcW w:w="2078" w:type="pct"/>
            <w:tcBorders>
              <w:top w:val="single" w:color="auto" w:sz="4" w:space="0"/>
              <w:left w:val="single" w:color="auto" w:sz="4" w:space="0"/>
              <w:bottom w:val="single" w:color="auto" w:sz="4" w:space="0"/>
              <w:right w:val="single" w:color="auto" w:sz="8" w:space="0"/>
            </w:tcBorders>
            <w:vAlign w:val="center"/>
          </w:tcPr>
          <w:p w14:paraId="31E4F7F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w:t>
            </w:r>
          </w:p>
        </w:tc>
      </w:tr>
      <w:tr w14:paraId="0EC15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922" w:type="pct"/>
            <w:tcBorders>
              <w:top w:val="single" w:color="auto" w:sz="4" w:space="0"/>
              <w:left w:val="single" w:color="auto" w:sz="4" w:space="0"/>
              <w:bottom w:val="single" w:color="auto" w:sz="4" w:space="0"/>
              <w:right w:val="single" w:color="auto" w:sz="4" w:space="0"/>
            </w:tcBorders>
            <w:vAlign w:val="center"/>
          </w:tcPr>
          <w:p w14:paraId="39291EB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生产装置爆炸</w:t>
            </w:r>
          </w:p>
        </w:tc>
        <w:tc>
          <w:tcPr>
            <w:tcW w:w="2078" w:type="pct"/>
            <w:tcBorders>
              <w:top w:val="single" w:color="auto" w:sz="4" w:space="0"/>
              <w:left w:val="single" w:color="auto" w:sz="4" w:space="0"/>
              <w:bottom w:val="single" w:color="auto" w:sz="4" w:space="0"/>
              <w:right w:val="single" w:color="auto" w:sz="8" w:space="0"/>
            </w:tcBorders>
            <w:vAlign w:val="center"/>
          </w:tcPr>
          <w:p w14:paraId="798C19A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0.5</w:t>
            </w:r>
          </w:p>
        </w:tc>
      </w:tr>
      <w:tr w14:paraId="20AE6A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922" w:type="pct"/>
            <w:tcBorders>
              <w:top w:val="single" w:color="auto" w:sz="4" w:space="0"/>
              <w:left w:val="single" w:color="auto" w:sz="4" w:space="0"/>
              <w:bottom w:val="single" w:color="auto" w:sz="4" w:space="0"/>
              <w:right w:val="single" w:color="auto" w:sz="4" w:space="0"/>
            </w:tcBorders>
            <w:vAlign w:val="center"/>
          </w:tcPr>
          <w:p w14:paraId="2A4CE48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物料泄漏发生火灾</w:t>
            </w:r>
          </w:p>
        </w:tc>
        <w:tc>
          <w:tcPr>
            <w:tcW w:w="2078" w:type="pct"/>
            <w:tcBorders>
              <w:top w:val="single" w:color="auto" w:sz="4" w:space="0"/>
              <w:left w:val="single" w:color="auto" w:sz="4" w:space="0"/>
              <w:bottom w:val="single" w:color="auto" w:sz="4" w:space="0"/>
              <w:right w:val="single" w:color="auto" w:sz="8" w:space="0"/>
            </w:tcBorders>
            <w:vAlign w:val="center"/>
          </w:tcPr>
          <w:p w14:paraId="62E9069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0.5</w:t>
            </w:r>
          </w:p>
        </w:tc>
      </w:tr>
      <w:tr w14:paraId="25442F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2922" w:type="pct"/>
            <w:tcBorders>
              <w:top w:val="single" w:color="auto" w:sz="4" w:space="0"/>
              <w:left w:val="single" w:color="auto" w:sz="4" w:space="0"/>
              <w:bottom w:val="single" w:color="auto" w:sz="4" w:space="0"/>
              <w:right w:val="single" w:color="auto" w:sz="4" w:space="0"/>
            </w:tcBorders>
            <w:vAlign w:val="center"/>
          </w:tcPr>
          <w:p w14:paraId="5E3E716B">
            <w:pPr>
              <w:adjustRightInd w:val="0"/>
              <w:snapToGrid w:val="0"/>
              <w:jc w:val="center"/>
              <w:rPr>
                <w:rFonts w:hint="eastAsia" w:ascii="Arial" w:hAnsi="Arial" w:eastAsia="宋体" w:cs="Arial"/>
                <w:spacing w:val="10"/>
                <w:sz w:val="21"/>
                <w:szCs w:val="21"/>
                <w:lang w:eastAsia="zh-CN"/>
              </w:rPr>
            </w:pPr>
            <w:r>
              <w:rPr>
                <w:rFonts w:hint="eastAsia" w:ascii="Arial" w:hAnsi="Arial" w:eastAsia="宋体" w:cs="Arial"/>
                <w:spacing w:val="10"/>
                <w:sz w:val="21"/>
                <w:szCs w:val="21"/>
                <w:lang w:eastAsia="zh-CN"/>
              </w:rPr>
              <w:t>其他</w:t>
            </w:r>
          </w:p>
        </w:tc>
        <w:tc>
          <w:tcPr>
            <w:tcW w:w="2078" w:type="pct"/>
            <w:tcBorders>
              <w:top w:val="single" w:color="auto" w:sz="4" w:space="0"/>
              <w:left w:val="single" w:color="auto" w:sz="4" w:space="0"/>
              <w:bottom w:val="single" w:color="auto" w:sz="4" w:space="0"/>
              <w:right w:val="single" w:color="auto" w:sz="8" w:space="0"/>
            </w:tcBorders>
            <w:vAlign w:val="center"/>
          </w:tcPr>
          <w:p w14:paraId="1C91ED2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29</w:t>
            </w:r>
          </w:p>
        </w:tc>
      </w:tr>
    </w:tbl>
    <w:p w14:paraId="43D3107D">
      <w:pPr>
        <w:spacing w:line="500" w:lineRule="exact"/>
        <w:ind w:firstLine="490" w:firstLineChars="200"/>
        <w:rPr>
          <w:rFonts w:ascii="Arial" w:hAnsi="Arial" w:eastAsia="宋体" w:cs="Arial"/>
          <w:b/>
          <w:spacing w:val="10"/>
          <w:sz w:val="24"/>
        </w:rPr>
      </w:pPr>
      <w:r>
        <w:rPr>
          <w:rFonts w:ascii="Arial" w:hAnsi="Arial" w:eastAsia="宋体" w:cs="Arial"/>
          <w:b/>
          <w:spacing w:val="10"/>
          <w:sz w:val="24"/>
        </w:rPr>
        <w:t>项目风险事故情形设定如下：</w:t>
      </w:r>
    </w:p>
    <w:p w14:paraId="132C7344">
      <w:pPr>
        <w:spacing w:line="500" w:lineRule="exact"/>
        <w:ind w:firstLine="490" w:firstLineChars="200"/>
        <w:rPr>
          <w:rFonts w:ascii="Arial" w:hAnsi="Arial" w:eastAsia="宋体" w:cs="Arial"/>
          <w:spacing w:val="10"/>
          <w:sz w:val="24"/>
        </w:rPr>
      </w:pPr>
      <w:r>
        <w:rPr>
          <w:rFonts w:ascii="Arial" w:hAnsi="Arial" w:eastAsia="宋体" w:cs="Arial"/>
          <w:spacing w:val="10"/>
          <w:sz w:val="24"/>
        </w:rPr>
        <w:t>项目具有多个事故风险源，从全过程生产及储运过程均有可能发生重大环境污染事故。</w:t>
      </w:r>
      <w:r>
        <w:rPr>
          <w:rFonts w:hint="eastAsia" w:ascii="Arial" w:hAnsi="Arial" w:eastAsia="宋体" w:cs="Arial"/>
          <w:spacing w:val="10"/>
          <w:sz w:val="24"/>
        </w:rPr>
        <w:t>在</w:t>
      </w:r>
      <w:r>
        <w:rPr>
          <w:rFonts w:ascii="Arial" w:hAnsi="Arial" w:eastAsia="宋体" w:cs="Arial"/>
          <w:spacing w:val="10"/>
          <w:sz w:val="24"/>
        </w:rPr>
        <w:t>风险识别</w:t>
      </w:r>
      <w:r>
        <w:rPr>
          <w:rFonts w:hint="eastAsia" w:ascii="Arial" w:hAnsi="Arial" w:eastAsia="宋体" w:cs="Arial"/>
          <w:spacing w:val="10"/>
          <w:sz w:val="24"/>
        </w:rPr>
        <w:t>的基础上，本报告</w:t>
      </w:r>
      <w:r>
        <w:rPr>
          <w:rFonts w:ascii="Arial" w:hAnsi="Arial" w:eastAsia="宋体" w:cs="Arial"/>
          <w:spacing w:val="10"/>
          <w:sz w:val="24"/>
        </w:rPr>
        <w:t>主要考虑重点风险源的事故，</w:t>
      </w:r>
      <w:r>
        <w:rPr>
          <w:rFonts w:hint="eastAsia" w:ascii="Arial" w:hAnsi="Arial" w:eastAsia="宋体" w:cs="Arial"/>
          <w:spacing w:val="10"/>
          <w:sz w:val="24"/>
        </w:rPr>
        <w:t>存在量超过临界量的危险物质、毒性终点浓度较小的危险物质。因此，本报告最大可信事故主要考虑X19车间的氨水罐、洗水外排槽及配酸槽泄漏，具体</w:t>
      </w:r>
      <w:r>
        <w:rPr>
          <w:rFonts w:ascii="Arial" w:hAnsi="Arial" w:eastAsia="宋体" w:cs="Arial"/>
          <w:spacing w:val="10"/>
          <w:sz w:val="24"/>
        </w:rPr>
        <w:t>如下：</w:t>
      </w:r>
    </w:p>
    <w:p w14:paraId="2B4EA1BD">
      <w:pPr>
        <w:spacing w:line="500" w:lineRule="exact"/>
        <w:ind w:firstLine="490" w:firstLineChars="200"/>
        <w:rPr>
          <w:rFonts w:ascii="Arial" w:hAnsi="Arial" w:eastAsia="宋体" w:cs="Arial"/>
          <w:spacing w:val="10"/>
          <w:sz w:val="24"/>
        </w:rPr>
      </w:pPr>
      <w:r>
        <w:rPr>
          <w:rFonts w:ascii="Arial" w:hAnsi="Arial" w:eastAsia="宋体" w:cs="Arial"/>
          <w:spacing w:val="10"/>
          <w:sz w:val="24"/>
        </w:rPr>
        <w:t>1.大气：</w:t>
      </w:r>
      <w:r>
        <w:rPr>
          <w:rFonts w:hint="eastAsia" w:ascii="Arial" w:hAnsi="Arial" w:eastAsia="宋体" w:cs="Arial"/>
          <w:spacing w:val="10"/>
          <w:sz w:val="24"/>
        </w:rPr>
        <w:t>X19车间的氨水罐泄漏，氨进入大气；</w:t>
      </w:r>
    </w:p>
    <w:p w14:paraId="029FA5AF">
      <w:pPr>
        <w:spacing w:line="500" w:lineRule="exact"/>
        <w:ind w:firstLine="490" w:firstLineChars="200"/>
        <w:rPr>
          <w:rFonts w:ascii="Arial" w:hAnsi="Arial" w:eastAsia="宋体" w:cs="Arial"/>
          <w:spacing w:val="10"/>
          <w:sz w:val="24"/>
        </w:rPr>
      </w:pPr>
      <w:r>
        <w:rPr>
          <w:rFonts w:ascii="Arial" w:hAnsi="Arial" w:eastAsia="宋体" w:cs="Arial"/>
          <w:spacing w:val="10"/>
          <w:sz w:val="24"/>
        </w:rPr>
        <w:t>2.地下水：</w:t>
      </w:r>
      <w:r>
        <w:rPr>
          <w:rFonts w:hint="eastAsia" w:ascii="Arial" w:hAnsi="Arial" w:eastAsia="宋体" w:cs="Arial"/>
          <w:spacing w:val="10"/>
          <w:sz w:val="24"/>
        </w:rPr>
        <w:t>X19车间的洗水外排槽泄漏</w:t>
      </w:r>
      <w:r>
        <w:rPr>
          <w:rFonts w:ascii="Arial" w:hAnsi="Arial" w:eastAsia="宋体" w:cs="Arial"/>
          <w:spacing w:val="10"/>
          <w:sz w:val="24"/>
        </w:rPr>
        <w:t>，</w:t>
      </w:r>
      <w:r>
        <w:rPr>
          <w:rFonts w:hint="eastAsia" w:ascii="Arial" w:hAnsi="Arial" w:eastAsia="宋体" w:cs="Arial"/>
          <w:spacing w:val="10"/>
          <w:sz w:val="24"/>
        </w:rPr>
        <w:t>防渗系统破损，含钴废水</w:t>
      </w:r>
      <w:r>
        <w:rPr>
          <w:rFonts w:ascii="Arial" w:hAnsi="Arial" w:eastAsia="宋体" w:cs="Arial"/>
          <w:spacing w:val="10"/>
          <w:sz w:val="24"/>
        </w:rPr>
        <w:t>进入地下水；</w:t>
      </w:r>
    </w:p>
    <w:p w14:paraId="41A3CBC5">
      <w:pPr>
        <w:spacing w:line="500" w:lineRule="exact"/>
        <w:ind w:firstLine="490" w:firstLineChars="200"/>
        <w:rPr>
          <w:rFonts w:ascii="Arial" w:hAnsi="Arial" w:eastAsia="宋体" w:cs="Arial"/>
          <w:spacing w:val="10"/>
          <w:sz w:val="24"/>
        </w:rPr>
      </w:pPr>
      <w:r>
        <w:rPr>
          <w:rFonts w:ascii="Arial" w:hAnsi="Arial" w:eastAsia="宋体" w:cs="Arial"/>
          <w:spacing w:val="10"/>
          <w:sz w:val="24"/>
        </w:rPr>
        <w:t>3.地表水：X</w:t>
      </w:r>
      <w:r>
        <w:rPr>
          <w:rFonts w:hint="eastAsia" w:ascii="Arial" w:hAnsi="Arial" w:eastAsia="宋体" w:cs="Arial"/>
          <w:spacing w:val="10"/>
          <w:sz w:val="24"/>
        </w:rPr>
        <w:t>19</w:t>
      </w:r>
      <w:r>
        <w:rPr>
          <w:rFonts w:ascii="Arial" w:hAnsi="Arial" w:eastAsia="宋体" w:cs="Arial"/>
          <w:spacing w:val="10"/>
          <w:sz w:val="24"/>
        </w:rPr>
        <w:t>车间的</w:t>
      </w:r>
      <w:r>
        <w:rPr>
          <w:rFonts w:hint="eastAsia" w:ascii="Arial" w:hAnsi="Arial" w:eastAsia="宋体" w:cs="Arial"/>
          <w:spacing w:val="10"/>
          <w:sz w:val="24"/>
        </w:rPr>
        <w:t>配酸槽</w:t>
      </w:r>
      <w:r>
        <w:rPr>
          <w:rFonts w:ascii="Arial" w:hAnsi="Arial" w:eastAsia="宋体" w:cs="Arial"/>
          <w:spacing w:val="10"/>
          <w:sz w:val="24"/>
        </w:rPr>
        <w:t>泄漏，</w:t>
      </w:r>
      <w:r>
        <w:rPr>
          <w:rFonts w:hint="eastAsia" w:ascii="Arial" w:hAnsi="Arial" w:eastAsia="宋体" w:cs="Arial"/>
          <w:spacing w:val="10"/>
          <w:sz w:val="24"/>
        </w:rPr>
        <w:t>稀硫酸</w:t>
      </w:r>
      <w:r>
        <w:rPr>
          <w:rFonts w:ascii="Arial" w:hAnsi="Arial" w:eastAsia="宋体" w:cs="Arial"/>
          <w:spacing w:val="10"/>
          <w:sz w:val="24"/>
        </w:rPr>
        <w:t>可能进入地表水。</w:t>
      </w:r>
    </w:p>
    <w:p w14:paraId="43CD09F4">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最大可信事故及概率表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9"/>
        <w:gridCol w:w="1739"/>
        <w:gridCol w:w="3687"/>
        <w:gridCol w:w="1415"/>
        <w:gridCol w:w="1513"/>
      </w:tblGrid>
      <w:tr w14:paraId="3118D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55" w:type="pct"/>
            <w:tcBorders>
              <w:top w:val="single" w:color="auto" w:sz="4" w:space="0"/>
              <w:left w:val="single" w:color="auto" w:sz="4" w:space="0"/>
              <w:bottom w:val="single" w:color="auto" w:sz="4" w:space="0"/>
              <w:right w:val="single" w:color="auto" w:sz="4" w:space="0"/>
            </w:tcBorders>
            <w:vAlign w:val="center"/>
          </w:tcPr>
          <w:p w14:paraId="2C03A7C3">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967" w:type="pct"/>
            <w:tcBorders>
              <w:top w:val="single" w:color="auto" w:sz="4" w:space="0"/>
              <w:left w:val="single" w:color="auto" w:sz="4" w:space="0"/>
              <w:bottom w:val="single" w:color="auto" w:sz="4" w:space="0"/>
              <w:right w:val="single" w:color="auto" w:sz="4" w:space="0"/>
            </w:tcBorders>
            <w:vAlign w:val="center"/>
          </w:tcPr>
          <w:p w14:paraId="2347C0AE">
            <w:pPr>
              <w:spacing w:line="240" w:lineRule="exact"/>
              <w:jc w:val="center"/>
              <w:rPr>
                <w:rFonts w:ascii="Arial" w:hAnsi="Arial" w:eastAsia="宋体" w:cs="Arial"/>
                <w:sz w:val="21"/>
                <w:szCs w:val="21"/>
              </w:rPr>
            </w:pPr>
            <w:r>
              <w:rPr>
                <w:rFonts w:ascii="Arial" w:hAnsi="Arial" w:eastAsia="宋体" w:cs="Arial"/>
                <w:sz w:val="21"/>
                <w:szCs w:val="21"/>
              </w:rPr>
              <w:t>危险单元</w:t>
            </w:r>
          </w:p>
        </w:tc>
        <w:tc>
          <w:tcPr>
            <w:tcW w:w="2050" w:type="pct"/>
            <w:tcBorders>
              <w:top w:val="single" w:color="auto" w:sz="4" w:space="0"/>
              <w:left w:val="single" w:color="auto" w:sz="4" w:space="0"/>
              <w:bottom w:val="single" w:color="auto" w:sz="4" w:space="0"/>
              <w:right w:val="single" w:color="auto" w:sz="4" w:space="0"/>
            </w:tcBorders>
            <w:vAlign w:val="center"/>
          </w:tcPr>
          <w:p w14:paraId="12B788B6">
            <w:pPr>
              <w:spacing w:line="240" w:lineRule="exact"/>
              <w:jc w:val="center"/>
              <w:rPr>
                <w:rFonts w:ascii="Arial" w:hAnsi="Arial" w:eastAsia="宋体" w:cs="Arial"/>
                <w:sz w:val="21"/>
                <w:szCs w:val="21"/>
              </w:rPr>
            </w:pPr>
            <w:r>
              <w:rPr>
                <w:rFonts w:ascii="Arial" w:hAnsi="Arial" w:eastAsia="宋体" w:cs="Arial"/>
                <w:sz w:val="21"/>
                <w:szCs w:val="21"/>
              </w:rPr>
              <w:t>最大可信事故情景描述</w:t>
            </w:r>
          </w:p>
        </w:tc>
        <w:tc>
          <w:tcPr>
            <w:tcW w:w="787" w:type="pct"/>
            <w:tcBorders>
              <w:top w:val="single" w:color="auto" w:sz="4" w:space="0"/>
              <w:left w:val="single" w:color="auto" w:sz="4" w:space="0"/>
              <w:bottom w:val="single" w:color="auto" w:sz="4" w:space="0"/>
              <w:right w:val="single" w:color="auto" w:sz="4" w:space="0"/>
            </w:tcBorders>
            <w:vAlign w:val="center"/>
          </w:tcPr>
          <w:p w14:paraId="26047C1F">
            <w:pPr>
              <w:spacing w:line="240" w:lineRule="exact"/>
              <w:jc w:val="center"/>
              <w:rPr>
                <w:rFonts w:ascii="Arial" w:hAnsi="Arial" w:eastAsia="宋体" w:cs="Arial"/>
                <w:sz w:val="21"/>
                <w:szCs w:val="21"/>
              </w:rPr>
            </w:pPr>
            <w:r>
              <w:rPr>
                <w:rFonts w:ascii="Arial" w:hAnsi="Arial" w:eastAsia="宋体" w:cs="Arial"/>
                <w:sz w:val="21"/>
                <w:szCs w:val="21"/>
              </w:rPr>
              <w:t>风险因子</w:t>
            </w:r>
          </w:p>
        </w:tc>
        <w:tc>
          <w:tcPr>
            <w:tcW w:w="841" w:type="pct"/>
            <w:tcBorders>
              <w:top w:val="single" w:color="auto" w:sz="4" w:space="0"/>
              <w:left w:val="single" w:color="auto" w:sz="4" w:space="0"/>
              <w:bottom w:val="single" w:color="auto" w:sz="4" w:space="0"/>
              <w:right w:val="single" w:color="auto" w:sz="4" w:space="0"/>
            </w:tcBorders>
            <w:vAlign w:val="center"/>
          </w:tcPr>
          <w:p w14:paraId="151A681D">
            <w:pPr>
              <w:spacing w:line="240" w:lineRule="exact"/>
              <w:jc w:val="center"/>
              <w:rPr>
                <w:rFonts w:ascii="Arial" w:hAnsi="Arial" w:eastAsia="宋体" w:cs="Arial"/>
                <w:sz w:val="21"/>
                <w:szCs w:val="21"/>
              </w:rPr>
            </w:pPr>
            <w:r>
              <w:rPr>
                <w:rFonts w:ascii="Arial" w:hAnsi="Arial" w:eastAsia="宋体" w:cs="Arial"/>
                <w:sz w:val="21"/>
                <w:szCs w:val="21"/>
              </w:rPr>
              <w:t>事故概率</w:t>
            </w:r>
          </w:p>
        </w:tc>
      </w:tr>
      <w:tr w14:paraId="0F722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tcBorders>
              <w:top w:val="single" w:color="auto" w:sz="4" w:space="0"/>
              <w:left w:val="single" w:color="auto" w:sz="4" w:space="0"/>
              <w:bottom w:val="single" w:color="auto" w:sz="4" w:space="0"/>
              <w:right w:val="single" w:color="auto" w:sz="4" w:space="0"/>
            </w:tcBorders>
            <w:vAlign w:val="center"/>
          </w:tcPr>
          <w:p w14:paraId="2050CB5A">
            <w:pPr>
              <w:spacing w:line="240" w:lineRule="exact"/>
              <w:jc w:val="center"/>
              <w:rPr>
                <w:rFonts w:ascii="Arial" w:hAnsi="Arial" w:eastAsia="宋体" w:cs="Arial"/>
                <w:sz w:val="21"/>
                <w:szCs w:val="21"/>
              </w:rPr>
            </w:pPr>
            <w:r>
              <w:rPr>
                <w:rFonts w:hint="eastAsia" w:ascii="Arial" w:hAnsi="Arial" w:eastAsia="宋体" w:cs="Arial"/>
                <w:sz w:val="21"/>
                <w:szCs w:val="21"/>
              </w:rPr>
              <w:t>1</w:t>
            </w:r>
          </w:p>
        </w:tc>
        <w:tc>
          <w:tcPr>
            <w:tcW w:w="967" w:type="pct"/>
            <w:tcBorders>
              <w:top w:val="single" w:color="auto" w:sz="4" w:space="0"/>
              <w:left w:val="single" w:color="auto" w:sz="4" w:space="0"/>
              <w:bottom w:val="single" w:color="auto" w:sz="4" w:space="0"/>
              <w:right w:val="single" w:color="auto" w:sz="4" w:space="0"/>
            </w:tcBorders>
            <w:vAlign w:val="center"/>
          </w:tcPr>
          <w:p w14:paraId="5695F46A">
            <w:pPr>
              <w:spacing w:line="240" w:lineRule="exact"/>
              <w:jc w:val="center"/>
              <w:rPr>
                <w:rFonts w:ascii="Arial" w:hAnsi="Arial" w:eastAsia="宋体" w:cs="Arial"/>
                <w:sz w:val="21"/>
                <w:szCs w:val="21"/>
              </w:rPr>
            </w:pPr>
            <w:r>
              <w:rPr>
                <w:rFonts w:hint="eastAsia" w:ascii="Arial" w:hAnsi="Arial" w:eastAsia="宋体" w:cs="Arial"/>
                <w:sz w:val="21"/>
                <w:szCs w:val="21"/>
              </w:rPr>
              <w:t>X19车间</w:t>
            </w:r>
          </w:p>
        </w:tc>
        <w:tc>
          <w:tcPr>
            <w:tcW w:w="2050" w:type="pct"/>
            <w:tcBorders>
              <w:top w:val="single" w:color="auto" w:sz="4" w:space="0"/>
              <w:left w:val="single" w:color="auto" w:sz="4" w:space="0"/>
              <w:bottom w:val="single" w:color="auto" w:sz="4" w:space="0"/>
              <w:right w:val="single" w:color="auto" w:sz="4" w:space="0"/>
            </w:tcBorders>
            <w:vAlign w:val="center"/>
          </w:tcPr>
          <w:p w14:paraId="51CE739A">
            <w:pPr>
              <w:spacing w:line="240" w:lineRule="exact"/>
              <w:jc w:val="center"/>
              <w:rPr>
                <w:rFonts w:ascii="Arial" w:hAnsi="Arial" w:eastAsia="宋体" w:cs="Arial"/>
                <w:sz w:val="21"/>
                <w:szCs w:val="21"/>
              </w:rPr>
            </w:pPr>
            <w:r>
              <w:rPr>
                <w:rFonts w:hint="eastAsia" w:ascii="Arial" w:hAnsi="Arial" w:eastAsia="宋体" w:cs="Arial"/>
                <w:sz w:val="21"/>
                <w:szCs w:val="21"/>
              </w:rPr>
              <w:t>5m</w:t>
            </w:r>
            <w:r>
              <w:rPr>
                <w:rFonts w:hint="eastAsia" w:ascii="Arial" w:hAnsi="Arial" w:eastAsia="宋体" w:cs="Arial"/>
                <w:sz w:val="21"/>
                <w:szCs w:val="21"/>
                <w:vertAlign w:val="superscript"/>
              </w:rPr>
              <w:t>3</w:t>
            </w:r>
            <w:r>
              <w:rPr>
                <w:rFonts w:hint="eastAsia" w:ascii="Arial" w:hAnsi="Arial" w:eastAsia="宋体" w:cs="Arial"/>
                <w:sz w:val="21"/>
                <w:szCs w:val="21"/>
              </w:rPr>
              <w:t>氨水罐10min全泄漏</w:t>
            </w:r>
          </w:p>
        </w:tc>
        <w:tc>
          <w:tcPr>
            <w:tcW w:w="787" w:type="pct"/>
            <w:tcBorders>
              <w:top w:val="single" w:color="auto" w:sz="4" w:space="0"/>
              <w:left w:val="single" w:color="auto" w:sz="4" w:space="0"/>
              <w:bottom w:val="single" w:color="auto" w:sz="4" w:space="0"/>
              <w:right w:val="single" w:color="auto" w:sz="4" w:space="0"/>
            </w:tcBorders>
            <w:vAlign w:val="center"/>
          </w:tcPr>
          <w:p w14:paraId="7835C6C4">
            <w:pPr>
              <w:spacing w:line="240" w:lineRule="exact"/>
              <w:jc w:val="center"/>
              <w:rPr>
                <w:rFonts w:ascii="Arial" w:hAnsi="Arial" w:eastAsia="宋体" w:cs="Arial"/>
                <w:sz w:val="21"/>
                <w:szCs w:val="21"/>
              </w:rPr>
            </w:pPr>
            <w:r>
              <w:rPr>
                <w:rFonts w:hint="eastAsia" w:ascii="Arial" w:hAnsi="Arial" w:eastAsia="宋体" w:cs="Arial"/>
                <w:sz w:val="21"/>
                <w:szCs w:val="21"/>
              </w:rPr>
              <w:t>氨</w:t>
            </w:r>
          </w:p>
        </w:tc>
        <w:tc>
          <w:tcPr>
            <w:tcW w:w="841" w:type="pct"/>
            <w:tcBorders>
              <w:top w:val="single" w:color="auto" w:sz="4" w:space="0"/>
              <w:left w:val="single" w:color="auto" w:sz="4" w:space="0"/>
              <w:bottom w:val="single" w:color="auto" w:sz="4" w:space="0"/>
              <w:right w:val="single" w:color="auto" w:sz="4" w:space="0"/>
            </w:tcBorders>
            <w:vAlign w:val="center"/>
          </w:tcPr>
          <w:p w14:paraId="421735A7">
            <w:pPr>
              <w:spacing w:line="240" w:lineRule="exact"/>
              <w:jc w:val="center"/>
              <w:rPr>
                <w:rFonts w:ascii="Arial" w:hAnsi="Arial" w:eastAsia="宋体" w:cs="Arial"/>
                <w:sz w:val="21"/>
                <w:szCs w:val="21"/>
              </w:rPr>
            </w:pPr>
            <w:r>
              <w:rPr>
                <w:rFonts w:ascii="Arial" w:hAnsi="Arial" w:eastAsia="宋体" w:cs="Arial"/>
                <w:sz w:val="21"/>
                <w:szCs w:val="21"/>
              </w:rPr>
              <w:t>5×10</w:t>
            </w:r>
            <w:r>
              <w:rPr>
                <w:rFonts w:ascii="Arial" w:hAnsi="Arial" w:eastAsia="宋体" w:cs="Arial"/>
                <w:sz w:val="21"/>
                <w:szCs w:val="21"/>
                <w:vertAlign w:val="superscript"/>
              </w:rPr>
              <w:t>-6</w:t>
            </w:r>
          </w:p>
        </w:tc>
      </w:tr>
      <w:tr w14:paraId="567CF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tcBorders>
              <w:top w:val="single" w:color="auto" w:sz="4" w:space="0"/>
              <w:left w:val="single" w:color="auto" w:sz="4" w:space="0"/>
              <w:bottom w:val="single" w:color="auto" w:sz="4" w:space="0"/>
              <w:right w:val="single" w:color="auto" w:sz="4" w:space="0"/>
            </w:tcBorders>
            <w:vAlign w:val="center"/>
          </w:tcPr>
          <w:p w14:paraId="29B2BBEF">
            <w:pPr>
              <w:spacing w:line="240" w:lineRule="exact"/>
              <w:jc w:val="center"/>
              <w:rPr>
                <w:rFonts w:ascii="Arial" w:hAnsi="Arial" w:eastAsia="宋体" w:cs="Arial"/>
                <w:sz w:val="21"/>
                <w:szCs w:val="21"/>
              </w:rPr>
            </w:pPr>
            <w:r>
              <w:rPr>
                <w:rFonts w:ascii="Arial" w:hAnsi="Arial" w:eastAsia="宋体" w:cs="Arial"/>
                <w:sz w:val="21"/>
                <w:szCs w:val="21"/>
              </w:rPr>
              <w:t>2</w:t>
            </w:r>
          </w:p>
        </w:tc>
        <w:tc>
          <w:tcPr>
            <w:tcW w:w="967" w:type="pct"/>
            <w:tcBorders>
              <w:top w:val="single" w:color="auto" w:sz="4" w:space="0"/>
              <w:left w:val="single" w:color="auto" w:sz="4" w:space="0"/>
              <w:bottom w:val="single" w:color="auto" w:sz="4" w:space="0"/>
              <w:right w:val="single" w:color="auto" w:sz="4" w:space="0"/>
            </w:tcBorders>
            <w:vAlign w:val="center"/>
          </w:tcPr>
          <w:p w14:paraId="48E08223">
            <w:pPr>
              <w:spacing w:line="240" w:lineRule="exact"/>
              <w:jc w:val="center"/>
              <w:rPr>
                <w:rFonts w:ascii="Arial" w:hAnsi="Arial" w:eastAsia="宋体" w:cs="Arial"/>
                <w:sz w:val="21"/>
                <w:szCs w:val="21"/>
              </w:rPr>
            </w:pPr>
            <w:r>
              <w:rPr>
                <w:rFonts w:ascii="Arial" w:hAnsi="Arial" w:eastAsia="宋体" w:cs="Arial"/>
                <w:sz w:val="21"/>
                <w:szCs w:val="21"/>
              </w:rPr>
              <w:t>X1</w:t>
            </w:r>
            <w:r>
              <w:rPr>
                <w:rFonts w:hint="eastAsia" w:ascii="Arial" w:hAnsi="Arial" w:eastAsia="宋体" w:cs="Arial"/>
                <w:sz w:val="21"/>
                <w:szCs w:val="21"/>
              </w:rPr>
              <w:t>9</w:t>
            </w:r>
            <w:r>
              <w:rPr>
                <w:rFonts w:ascii="Arial" w:hAnsi="Arial" w:eastAsia="宋体" w:cs="Arial"/>
                <w:sz w:val="21"/>
                <w:szCs w:val="21"/>
              </w:rPr>
              <w:t>车间</w:t>
            </w:r>
          </w:p>
        </w:tc>
        <w:tc>
          <w:tcPr>
            <w:tcW w:w="2050" w:type="pct"/>
            <w:tcBorders>
              <w:top w:val="single" w:color="auto" w:sz="4" w:space="0"/>
              <w:left w:val="single" w:color="auto" w:sz="4" w:space="0"/>
              <w:bottom w:val="single" w:color="auto" w:sz="4" w:space="0"/>
              <w:right w:val="single" w:color="auto" w:sz="4" w:space="0"/>
            </w:tcBorders>
            <w:vAlign w:val="center"/>
          </w:tcPr>
          <w:p w14:paraId="67ED4909">
            <w:pPr>
              <w:spacing w:line="240" w:lineRule="exact"/>
              <w:jc w:val="center"/>
              <w:rPr>
                <w:rFonts w:ascii="Arial" w:hAnsi="Arial" w:eastAsia="宋体" w:cs="Arial"/>
                <w:sz w:val="21"/>
                <w:szCs w:val="21"/>
              </w:rPr>
            </w:pPr>
            <w:r>
              <w:rPr>
                <w:rFonts w:ascii="Arial" w:hAnsi="Arial" w:eastAsia="宋体" w:cs="Arial"/>
                <w:sz w:val="21"/>
                <w:szCs w:val="21"/>
              </w:rPr>
              <w:t>1台</w:t>
            </w:r>
            <w:r>
              <w:rPr>
                <w:rFonts w:hint="eastAsia" w:ascii="Arial" w:hAnsi="Arial" w:eastAsia="宋体" w:cs="Arial"/>
                <w:sz w:val="21"/>
                <w:szCs w:val="21"/>
              </w:rPr>
              <w:t>75</w:t>
            </w:r>
            <w:r>
              <w:rPr>
                <w:rFonts w:ascii="Arial" w:hAnsi="Arial" w:eastAsia="宋体" w:cs="Arial"/>
                <w:sz w:val="21"/>
                <w:szCs w:val="21"/>
              </w:rPr>
              <w:t>m</w:t>
            </w:r>
            <w:r>
              <w:rPr>
                <w:rFonts w:ascii="Arial" w:hAnsi="Arial" w:eastAsia="宋体" w:cs="Arial"/>
                <w:sz w:val="21"/>
                <w:szCs w:val="21"/>
                <w:vertAlign w:val="superscript"/>
              </w:rPr>
              <w:t>3</w:t>
            </w:r>
            <w:r>
              <w:rPr>
                <w:rFonts w:hint="eastAsia" w:ascii="Arial" w:hAnsi="Arial" w:eastAsia="宋体" w:cs="Arial"/>
                <w:sz w:val="21"/>
                <w:szCs w:val="21"/>
              </w:rPr>
              <w:t>洗水外排槽</w:t>
            </w:r>
            <w:r>
              <w:rPr>
                <w:rFonts w:ascii="Arial" w:hAnsi="Arial" w:eastAsia="宋体" w:cs="Arial"/>
                <w:sz w:val="21"/>
                <w:szCs w:val="21"/>
              </w:rPr>
              <w:t>全罐泄漏，防渗系统破损，</w:t>
            </w:r>
            <w:r>
              <w:rPr>
                <w:rFonts w:hint="eastAsia" w:ascii="Arial" w:hAnsi="Arial" w:eastAsia="宋体" w:cs="Arial"/>
                <w:sz w:val="21"/>
                <w:szCs w:val="21"/>
              </w:rPr>
              <w:t>含钴废水</w:t>
            </w:r>
            <w:r>
              <w:rPr>
                <w:rFonts w:ascii="Arial" w:hAnsi="Arial" w:eastAsia="宋体" w:cs="Arial"/>
                <w:sz w:val="21"/>
                <w:szCs w:val="21"/>
              </w:rPr>
              <w:t>进入地下水</w:t>
            </w:r>
          </w:p>
        </w:tc>
        <w:tc>
          <w:tcPr>
            <w:tcW w:w="787" w:type="pct"/>
            <w:tcBorders>
              <w:top w:val="single" w:color="auto" w:sz="4" w:space="0"/>
              <w:left w:val="single" w:color="auto" w:sz="4" w:space="0"/>
              <w:bottom w:val="single" w:color="auto" w:sz="4" w:space="0"/>
              <w:right w:val="single" w:color="auto" w:sz="4" w:space="0"/>
            </w:tcBorders>
            <w:vAlign w:val="center"/>
          </w:tcPr>
          <w:p w14:paraId="1517D3AF">
            <w:pPr>
              <w:spacing w:line="240" w:lineRule="exact"/>
              <w:jc w:val="center"/>
              <w:rPr>
                <w:rFonts w:ascii="Arial" w:hAnsi="Arial" w:eastAsia="宋体" w:cs="Arial"/>
                <w:sz w:val="21"/>
                <w:szCs w:val="21"/>
              </w:rPr>
            </w:pPr>
            <w:r>
              <w:rPr>
                <w:rFonts w:hint="eastAsia" w:ascii="Arial" w:hAnsi="Arial" w:eastAsia="宋体" w:cs="Arial"/>
                <w:sz w:val="21"/>
                <w:szCs w:val="21"/>
              </w:rPr>
              <w:t>钴离子</w:t>
            </w:r>
          </w:p>
        </w:tc>
        <w:tc>
          <w:tcPr>
            <w:tcW w:w="841" w:type="pct"/>
            <w:tcBorders>
              <w:top w:val="single" w:color="auto" w:sz="4" w:space="0"/>
              <w:left w:val="single" w:color="auto" w:sz="4" w:space="0"/>
              <w:bottom w:val="single" w:color="auto" w:sz="4" w:space="0"/>
              <w:right w:val="single" w:color="auto" w:sz="4" w:space="0"/>
            </w:tcBorders>
            <w:vAlign w:val="center"/>
          </w:tcPr>
          <w:p w14:paraId="4E20AC40">
            <w:pPr>
              <w:spacing w:line="240" w:lineRule="exact"/>
              <w:jc w:val="center"/>
              <w:rPr>
                <w:rFonts w:ascii="Arial" w:hAnsi="Arial" w:eastAsia="宋体" w:cs="Arial"/>
                <w:sz w:val="21"/>
                <w:szCs w:val="21"/>
              </w:rPr>
            </w:pPr>
            <w:r>
              <w:rPr>
                <w:rFonts w:ascii="Arial" w:hAnsi="Arial" w:eastAsia="宋体" w:cs="Arial"/>
                <w:sz w:val="21"/>
                <w:szCs w:val="21"/>
              </w:rPr>
              <w:t>5×10</w:t>
            </w:r>
            <w:r>
              <w:rPr>
                <w:rFonts w:ascii="Arial" w:hAnsi="Arial" w:eastAsia="宋体" w:cs="Arial"/>
                <w:sz w:val="21"/>
                <w:szCs w:val="21"/>
                <w:vertAlign w:val="superscript"/>
              </w:rPr>
              <w:t>-6</w:t>
            </w:r>
          </w:p>
        </w:tc>
      </w:tr>
      <w:tr w14:paraId="20938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5" w:type="pct"/>
            <w:tcBorders>
              <w:top w:val="single" w:color="auto" w:sz="4" w:space="0"/>
              <w:left w:val="single" w:color="auto" w:sz="4" w:space="0"/>
              <w:bottom w:val="single" w:color="auto" w:sz="4" w:space="0"/>
              <w:right w:val="single" w:color="auto" w:sz="4" w:space="0"/>
            </w:tcBorders>
            <w:vAlign w:val="center"/>
          </w:tcPr>
          <w:p w14:paraId="1440FEC5">
            <w:pPr>
              <w:spacing w:line="240" w:lineRule="exact"/>
              <w:jc w:val="center"/>
              <w:rPr>
                <w:rFonts w:ascii="Arial" w:hAnsi="Arial" w:eastAsia="宋体" w:cs="Arial"/>
                <w:sz w:val="21"/>
                <w:szCs w:val="21"/>
              </w:rPr>
            </w:pPr>
            <w:r>
              <w:rPr>
                <w:rFonts w:ascii="Arial" w:hAnsi="Arial" w:eastAsia="宋体" w:cs="Arial"/>
                <w:sz w:val="21"/>
                <w:szCs w:val="21"/>
              </w:rPr>
              <w:t>3</w:t>
            </w:r>
          </w:p>
        </w:tc>
        <w:tc>
          <w:tcPr>
            <w:tcW w:w="967" w:type="pct"/>
            <w:tcBorders>
              <w:top w:val="single" w:color="auto" w:sz="4" w:space="0"/>
              <w:left w:val="single" w:color="auto" w:sz="4" w:space="0"/>
              <w:bottom w:val="single" w:color="auto" w:sz="4" w:space="0"/>
              <w:right w:val="single" w:color="auto" w:sz="4" w:space="0"/>
            </w:tcBorders>
            <w:vAlign w:val="center"/>
          </w:tcPr>
          <w:p w14:paraId="1C7A795A">
            <w:pPr>
              <w:spacing w:line="240" w:lineRule="exact"/>
              <w:jc w:val="center"/>
              <w:rPr>
                <w:rFonts w:ascii="Arial" w:hAnsi="Arial" w:eastAsia="宋体" w:cs="Arial"/>
                <w:sz w:val="21"/>
                <w:szCs w:val="21"/>
              </w:rPr>
            </w:pPr>
            <w:r>
              <w:rPr>
                <w:rFonts w:ascii="Arial" w:hAnsi="Arial" w:eastAsia="宋体" w:cs="Arial"/>
                <w:sz w:val="21"/>
                <w:szCs w:val="21"/>
              </w:rPr>
              <w:t>X</w:t>
            </w:r>
            <w:r>
              <w:rPr>
                <w:rFonts w:hint="eastAsia" w:ascii="Arial" w:hAnsi="Arial" w:eastAsia="宋体" w:cs="Arial"/>
                <w:sz w:val="21"/>
                <w:szCs w:val="21"/>
              </w:rPr>
              <w:t>19</w:t>
            </w:r>
            <w:r>
              <w:rPr>
                <w:rFonts w:ascii="Arial" w:hAnsi="Arial" w:eastAsia="宋体" w:cs="Arial"/>
                <w:sz w:val="21"/>
                <w:szCs w:val="21"/>
              </w:rPr>
              <w:t>车间</w:t>
            </w:r>
          </w:p>
        </w:tc>
        <w:tc>
          <w:tcPr>
            <w:tcW w:w="2050" w:type="pct"/>
            <w:tcBorders>
              <w:top w:val="single" w:color="auto" w:sz="4" w:space="0"/>
              <w:left w:val="single" w:color="auto" w:sz="4" w:space="0"/>
              <w:bottom w:val="single" w:color="auto" w:sz="4" w:space="0"/>
              <w:right w:val="single" w:color="auto" w:sz="4" w:space="0"/>
            </w:tcBorders>
            <w:vAlign w:val="center"/>
          </w:tcPr>
          <w:p w14:paraId="218E2480">
            <w:pPr>
              <w:spacing w:line="240" w:lineRule="exact"/>
              <w:jc w:val="center"/>
              <w:rPr>
                <w:rFonts w:ascii="Arial" w:hAnsi="Arial" w:eastAsia="宋体" w:cs="Arial"/>
                <w:sz w:val="21"/>
                <w:szCs w:val="21"/>
              </w:rPr>
            </w:pPr>
            <w:r>
              <w:rPr>
                <w:rFonts w:hint="eastAsia" w:ascii="Arial" w:hAnsi="Arial" w:eastAsia="宋体" w:cs="Arial"/>
                <w:sz w:val="21"/>
                <w:szCs w:val="21"/>
              </w:rPr>
              <w:t>配酸槽</w:t>
            </w:r>
            <w:r>
              <w:rPr>
                <w:rFonts w:ascii="Arial" w:hAnsi="Arial" w:eastAsia="宋体" w:cs="Arial"/>
                <w:sz w:val="21"/>
                <w:szCs w:val="21"/>
              </w:rPr>
              <w:t>全</w:t>
            </w:r>
            <w:r>
              <w:rPr>
                <w:rFonts w:hint="eastAsia" w:ascii="Arial" w:hAnsi="Arial" w:eastAsia="宋体" w:cs="Arial"/>
                <w:sz w:val="21"/>
                <w:szCs w:val="21"/>
              </w:rPr>
              <w:t>部</w:t>
            </w:r>
            <w:r>
              <w:rPr>
                <w:rFonts w:ascii="Arial" w:hAnsi="Arial" w:eastAsia="宋体" w:cs="Arial"/>
                <w:sz w:val="21"/>
                <w:szCs w:val="21"/>
              </w:rPr>
              <w:t>泄漏，硫酸可能进入地表水体</w:t>
            </w:r>
          </w:p>
        </w:tc>
        <w:tc>
          <w:tcPr>
            <w:tcW w:w="787" w:type="pct"/>
            <w:tcBorders>
              <w:top w:val="single" w:color="auto" w:sz="4" w:space="0"/>
              <w:left w:val="single" w:color="auto" w:sz="4" w:space="0"/>
              <w:bottom w:val="single" w:color="auto" w:sz="4" w:space="0"/>
              <w:right w:val="single" w:color="auto" w:sz="4" w:space="0"/>
            </w:tcBorders>
            <w:vAlign w:val="center"/>
          </w:tcPr>
          <w:p w14:paraId="651AFBD1">
            <w:pPr>
              <w:spacing w:line="240" w:lineRule="exact"/>
              <w:jc w:val="center"/>
              <w:rPr>
                <w:rFonts w:ascii="Arial" w:hAnsi="Arial" w:eastAsia="宋体" w:cs="Arial"/>
                <w:sz w:val="21"/>
                <w:szCs w:val="21"/>
              </w:rPr>
            </w:pPr>
            <w:r>
              <w:rPr>
                <w:rFonts w:ascii="Arial" w:hAnsi="Arial" w:eastAsia="宋体" w:cs="Arial"/>
                <w:sz w:val="21"/>
                <w:szCs w:val="21"/>
              </w:rPr>
              <w:t>硫酸</w:t>
            </w:r>
          </w:p>
        </w:tc>
        <w:tc>
          <w:tcPr>
            <w:tcW w:w="841" w:type="pct"/>
            <w:tcBorders>
              <w:top w:val="single" w:color="auto" w:sz="4" w:space="0"/>
              <w:left w:val="single" w:color="auto" w:sz="4" w:space="0"/>
              <w:bottom w:val="single" w:color="auto" w:sz="4" w:space="0"/>
              <w:right w:val="single" w:color="auto" w:sz="4" w:space="0"/>
            </w:tcBorders>
            <w:vAlign w:val="center"/>
          </w:tcPr>
          <w:p w14:paraId="573B7F67">
            <w:pPr>
              <w:spacing w:line="240" w:lineRule="exact"/>
              <w:jc w:val="center"/>
              <w:rPr>
                <w:rFonts w:ascii="Arial" w:hAnsi="Arial" w:eastAsia="宋体" w:cs="Arial"/>
                <w:sz w:val="21"/>
                <w:szCs w:val="21"/>
              </w:rPr>
            </w:pPr>
            <w:r>
              <w:rPr>
                <w:rFonts w:ascii="Arial" w:hAnsi="Arial" w:eastAsia="宋体" w:cs="Arial"/>
                <w:sz w:val="21"/>
                <w:szCs w:val="21"/>
              </w:rPr>
              <w:t>5×10</w:t>
            </w:r>
            <w:r>
              <w:rPr>
                <w:rFonts w:ascii="Arial" w:hAnsi="Arial" w:eastAsia="宋体" w:cs="Arial"/>
                <w:sz w:val="21"/>
                <w:szCs w:val="21"/>
                <w:vertAlign w:val="superscript"/>
              </w:rPr>
              <w:t>-6</w:t>
            </w:r>
          </w:p>
        </w:tc>
      </w:tr>
    </w:tbl>
    <w:p w14:paraId="562DC94C">
      <w:pPr>
        <w:numPr>
          <w:ilvl w:val="0"/>
          <w:numId w:val="32"/>
        </w:numPr>
        <w:spacing w:line="500" w:lineRule="exact"/>
        <w:jc w:val="left"/>
        <w:outlineLvl w:val="3"/>
        <w:rPr>
          <w:rFonts w:ascii="Arial" w:hAnsi="Arial" w:eastAsia="宋体" w:cs="Arial"/>
          <w:b/>
          <w:sz w:val="24"/>
        </w:rPr>
      </w:pPr>
      <w:r>
        <w:rPr>
          <w:rFonts w:ascii="Arial" w:hAnsi="Arial" w:eastAsia="宋体" w:cs="Arial"/>
          <w:b/>
          <w:sz w:val="24"/>
        </w:rPr>
        <w:t>源项分析</w:t>
      </w:r>
    </w:p>
    <w:p w14:paraId="35905495">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1.氨水中转罐泄漏</w:t>
      </w:r>
    </w:p>
    <w:p w14:paraId="7D09A826">
      <w:pPr>
        <w:pStyle w:val="474"/>
        <w:spacing w:line="500" w:lineRule="exact"/>
        <w:ind w:firstLine="489"/>
        <w:rPr>
          <w:rFonts w:ascii="Arial" w:cs="Arial"/>
          <w:spacing w:val="10"/>
        </w:rPr>
      </w:pPr>
      <w:r>
        <w:rPr>
          <w:rFonts w:hint="eastAsia" w:ascii="Arial" w:cs="Arial"/>
          <w:spacing w:val="10"/>
        </w:rPr>
        <w:t>X19车间最大贮存约4.1</w:t>
      </w:r>
      <w:r>
        <w:rPr>
          <w:rFonts w:ascii="Arial" w:cs="Arial"/>
          <w:spacing w:val="10"/>
        </w:rPr>
        <w:t>t</w:t>
      </w:r>
      <w:r>
        <w:rPr>
          <w:rFonts w:hint="eastAsia" w:ascii="Arial" w:cs="Arial"/>
          <w:spacing w:val="10"/>
        </w:rPr>
        <w:t>的氨水罐</w:t>
      </w:r>
      <w:r>
        <w:rPr>
          <w:rFonts w:ascii="Arial" w:cs="Arial"/>
          <w:spacing w:val="10"/>
        </w:rPr>
        <w:t>10min</w:t>
      </w:r>
      <w:r>
        <w:rPr>
          <w:rFonts w:hint="eastAsia" w:ascii="Arial" w:cs="Arial"/>
          <w:spacing w:val="10"/>
        </w:rPr>
        <w:t>泄漏完，围堰（5.6m×3.7m×0.6m）形成的液池面积22.72m</w:t>
      </w:r>
      <w:r>
        <w:rPr>
          <w:rFonts w:hint="eastAsia" w:ascii="Arial" w:cs="Arial"/>
          <w:spacing w:val="10"/>
          <w:vertAlign w:val="superscript"/>
        </w:rPr>
        <w:t>2</w:t>
      </w:r>
      <w:r>
        <w:rPr>
          <w:rFonts w:hint="eastAsia" w:ascii="Arial" w:cs="Arial"/>
          <w:spacing w:val="10"/>
        </w:rPr>
        <w:t>。</w:t>
      </w:r>
    </w:p>
    <w:p w14:paraId="7684B9B4">
      <w:pPr>
        <w:pStyle w:val="474"/>
        <w:spacing w:line="500" w:lineRule="exact"/>
        <w:ind w:firstLine="489"/>
        <w:rPr>
          <w:rFonts w:ascii="Arial" w:cs="Arial"/>
          <w:spacing w:val="10"/>
        </w:rPr>
      </w:pPr>
      <w:r>
        <w:rPr>
          <w:rFonts w:hint="eastAsia" w:ascii="Arial" w:cs="Arial"/>
          <w:spacing w:val="10"/>
        </w:rPr>
        <w:t>根据风险导则，泄漏液体的蒸发分为闪蒸蒸发、热量蒸发和质量蒸发三种，其蒸发总量为这三种蒸发之和。根据导则中闪蒸蒸发及热量蒸发估算公式（</w:t>
      </w:r>
      <w:r>
        <w:rPr>
          <w:rFonts w:ascii="Arial" w:cs="Arial"/>
          <w:spacing w:val="10"/>
        </w:rPr>
        <w:t>F.9~F.11</w:t>
      </w:r>
      <w:r>
        <w:rPr>
          <w:rFonts w:hint="eastAsia" w:ascii="Arial" w:cs="Arial"/>
          <w:spacing w:val="10"/>
        </w:rPr>
        <w:t>），氨水的沸点为</w:t>
      </w:r>
      <w:r>
        <w:rPr>
          <w:rFonts w:ascii="Arial" w:cs="Arial"/>
          <w:spacing w:val="10"/>
        </w:rPr>
        <w:t>36</w:t>
      </w:r>
      <w:r>
        <w:rPr>
          <w:rFonts w:hint="eastAsia" w:ascii="Arial" w:cs="Arial"/>
          <w:spacing w:val="10"/>
        </w:rPr>
        <w:t>℃，高于其储存温度（</w:t>
      </w:r>
      <w:r>
        <w:rPr>
          <w:rFonts w:ascii="Arial" w:cs="Arial"/>
          <w:spacing w:val="10"/>
        </w:rPr>
        <w:t>25</w:t>
      </w:r>
      <w:r>
        <w:rPr>
          <w:rFonts w:hint="eastAsia" w:ascii="Arial" w:cs="Arial"/>
          <w:spacing w:val="10"/>
        </w:rPr>
        <w:t>℃）及环境温度（平均气温</w:t>
      </w:r>
      <w:r>
        <w:rPr>
          <w:rFonts w:ascii="Arial" w:cs="Arial"/>
          <w:spacing w:val="10"/>
        </w:rPr>
        <w:t>22.</w:t>
      </w:r>
      <w:r>
        <w:rPr>
          <w:rFonts w:hint="eastAsia" w:ascii="Arial" w:cs="Arial"/>
          <w:spacing w:val="10"/>
        </w:rPr>
        <w:t>9℃），因此仅计算质量蒸发，计算公式如下。</w:t>
      </w:r>
    </w:p>
    <w:p w14:paraId="5CD530FD">
      <w:pPr>
        <w:pStyle w:val="474"/>
        <w:spacing w:line="240" w:lineRule="auto"/>
        <w:ind w:firstLine="1328" w:firstLineChars="542"/>
        <w:rPr>
          <w:rFonts w:ascii="Arial" w:hAnsi="Arial" w:cs="Arial"/>
          <w:spacing w:val="10"/>
        </w:rPr>
      </w:pPr>
      <w:r>
        <w:rPr>
          <w:rFonts w:ascii="Arial" w:hAnsi="Arial" w:cs="Arial"/>
          <w:spacing w:val="10"/>
          <w:position w:val="-30"/>
        </w:rPr>
        <w:object>
          <v:shape id="_x0000_i1064" o:spt="75" type="#_x0000_t75" style="height:38.25pt;width:117pt;" o:ole="t" filled="f" o:preferrelative="t" stroked="f" coordsize="21600,21600">
            <v:path/>
            <v:fill on="f" focussize="0,0"/>
            <v:stroke on="f" joinstyle="miter"/>
            <v:imagedata r:id="rId125" o:title=""/>
            <o:lock v:ext="edit" aspectratio="t"/>
            <w10:wrap type="none"/>
            <w10:anchorlock/>
          </v:shape>
          <o:OLEObject Type="Embed" ProgID="Equation.3" ShapeID="_x0000_i1064" DrawAspect="Content" ObjectID="_1468075764" r:id="rId124">
            <o:LockedField>false</o:LockedField>
          </o:OLEObject>
        </w:object>
      </w:r>
    </w:p>
    <w:p w14:paraId="79C54AD3">
      <w:pPr>
        <w:pStyle w:val="474"/>
        <w:spacing w:line="500" w:lineRule="exact"/>
        <w:ind w:firstLine="489"/>
        <w:rPr>
          <w:rFonts w:ascii="Arial" w:hAnsi="Arial" w:cs="Arial"/>
          <w:spacing w:val="10"/>
        </w:rPr>
      </w:pPr>
      <w:r>
        <w:rPr>
          <w:rFonts w:hint="eastAsia" w:ascii="Arial" w:hAnsi="Arial" w:cs="Arial"/>
          <w:spacing w:val="10"/>
        </w:rPr>
        <w:t>式中：</w:t>
      </w:r>
      <w:r>
        <w:rPr>
          <w:rFonts w:ascii="Arial" w:hAnsi="Arial" w:cs="Arial"/>
          <w:spacing w:val="10"/>
        </w:rPr>
        <w:t>Q</w:t>
      </w:r>
      <w:r>
        <w:rPr>
          <w:rFonts w:ascii="Arial" w:hAnsi="Arial" w:cs="Arial"/>
          <w:spacing w:val="10"/>
          <w:vertAlign w:val="subscript"/>
        </w:rPr>
        <w:t>3</w:t>
      </w:r>
      <w:r>
        <w:rPr>
          <w:rFonts w:hint="eastAsia" w:ascii="Arial" w:hAnsi="Arial" w:cs="Arial"/>
          <w:spacing w:val="10"/>
        </w:rPr>
        <w:t>——质量蒸发速率，</w:t>
      </w:r>
      <w:r>
        <w:rPr>
          <w:rFonts w:ascii="Arial" w:hAnsi="Arial" w:cs="Arial"/>
          <w:spacing w:val="10"/>
        </w:rPr>
        <w:t>kg/s</w:t>
      </w:r>
      <w:r>
        <w:rPr>
          <w:rFonts w:hint="eastAsia" w:ascii="Arial" w:hAnsi="Arial" w:cs="Arial"/>
          <w:spacing w:val="10"/>
        </w:rPr>
        <w:t>；</w:t>
      </w:r>
    </w:p>
    <w:p w14:paraId="20D47697">
      <w:pPr>
        <w:pStyle w:val="474"/>
        <w:spacing w:line="500" w:lineRule="exact"/>
        <w:ind w:firstLine="489"/>
        <w:rPr>
          <w:rFonts w:ascii="Arial" w:hAnsi="Arial" w:cs="Arial"/>
          <w:spacing w:val="10"/>
        </w:rPr>
      </w:pPr>
      <w:r>
        <w:rPr>
          <w:rFonts w:ascii="Arial" w:hAnsi="Arial" w:cs="Arial"/>
          <w:spacing w:val="10"/>
        </w:rPr>
        <w:t xml:space="preserve">      p</w:t>
      </w:r>
      <w:r>
        <w:rPr>
          <w:rFonts w:hint="eastAsia" w:ascii="Arial" w:hAnsi="Arial" w:cs="Arial"/>
          <w:spacing w:val="10"/>
        </w:rPr>
        <w:t>——液体表面蒸汽压，</w:t>
      </w:r>
      <w:r>
        <w:rPr>
          <w:rFonts w:ascii="Arial" w:hAnsi="Arial" w:cs="Arial"/>
          <w:spacing w:val="10"/>
        </w:rPr>
        <w:t>Pa</w:t>
      </w:r>
      <w:r>
        <w:rPr>
          <w:rFonts w:hint="eastAsia" w:ascii="Arial" w:hAnsi="Arial" w:cs="Arial"/>
          <w:spacing w:val="10"/>
        </w:rPr>
        <w:t>，</w:t>
      </w:r>
      <w:r>
        <w:rPr>
          <w:rFonts w:ascii="Arial" w:hAnsi="Arial" w:cs="Arial"/>
          <w:spacing w:val="10"/>
        </w:rPr>
        <w:t>51740Pa</w:t>
      </w:r>
      <w:r>
        <w:rPr>
          <w:rFonts w:hint="eastAsia" w:ascii="Arial" w:hAnsi="Arial" w:cs="Arial"/>
          <w:spacing w:val="10"/>
        </w:rPr>
        <w:t>；</w:t>
      </w:r>
    </w:p>
    <w:p w14:paraId="11D6551A">
      <w:pPr>
        <w:pStyle w:val="474"/>
        <w:spacing w:line="500" w:lineRule="exact"/>
        <w:ind w:firstLine="489"/>
        <w:rPr>
          <w:rFonts w:ascii="Arial" w:hAnsi="Arial" w:cs="Arial"/>
          <w:spacing w:val="10"/>
        </w:rPr>
      </w:pPr>
      <w:r>
        <w:rPr>
          <w:rFonts w:ascii="Arial" w:hAnsi="Arial" w:cs="Arial"/>
          <w:spacing w:val="10"/>
        </w:rPr>
        <w:t xml:space="preserve">      R</w:t>
      </w:r>
      <w:r>
        <w:rPr>
          <w:rFonts w:hint="eastAsia" w:ascii="Arial" w:hAnsi="Arial" w:cs="Arial"/>
          <w:spacing w:val="10"/>
        </w:rPr>
        <w:t>——气体常数，</w:t>
      </w:r>
      <w:r>
        <w:rPr>
          <w:rFonts w:ascii="Arial" w:hAnsi="Arial" w:cs="Arial"/>
          <w:spacing w:val="10"/>
        </w:rPr>
        <w:t>J/</w:t>
      </w:r>
      <w:r>
        <w:rPr>
          <w:rFonts w:hint="eastAsia" w:ascii="Arial" w:hAnsi="Arial" w:cs="Arial"/>
          <w:spacing w:val="10"/>
        </w:rPr>
        <w:t>（</w:t>
      </w:r>
      <w:r>
        <w:rPr>
          <w:rFonts w:ascii="Arial" w:hAnsi="Arial" w:cs="Arial"/>
          <w:spacing w:val="10"/>
        </w:rPr>
        <w:t>mol</w:t>
      </w:r>
      <w:r>
        <w:rPr>
          <w:rFonts w:hint="eastAsia" w:ascii="Arial" w:hAnsi="Arial" w:cs="Arial"/>
          <w:spacing w:val="10"/>
        </w:rPr>
        <w:t>·</w:t>
      </w:r>
      <w:r>
        <w:rPr>
          <w:rFonts w:ascii="Arial" w:hAnsi="Arial" w:cs="Arial"/>
          <w:spacing w:val="10"/>
        </w:rPr>
        <w:t>K</w:t>
      </w:r>
      <w:r>
        <w:rPr>
          <w:rFonts w:hint="eastAsia" w:ascii="Arial" w:hAnsi="Arial" w:cs="Arial"/>
          <w:spacing w:val="10"/>
        </w:rPr>
        <w:t>），</w:t>
      </w:r>
      <w:r>
        <w:rPr>
          <w:rFonts w:ascii="Arial" w:hAnsi="Arial" w:cs="Arial"/>
          <w:spacing w:val="10"/>
        </w:rPr>
        <w:t>8.314J/</w:t>
      </w:r>
      <w:r>
        <w:rPr>
          <w:rFonts w:hint="eastAsia" w:ascii="Arial" w:hAnsi="Arial" w:cs="Arial"/>
          <w:spacing w:val="10"/>
        </w:rPr>
        <w:t>（</w:t>
      </w:r>
      <w:r>
        <w:rPr>
          <w:rFonts w:ascii="Arial" w:hAnsi="Arial" w:cs="Arial"/>
          <w:spacing w:val="10"/>
        </w:rPr>
        <w:t>mol</w:t>
      </w:r>
      <w:r>
        <w:rPr>
          <w:rFonts w:hint="eastAsia" w:ascii="Arial" w:hAnsi="Arial" w:cs="Arial"/>
          <w:spacing w:val="10"/>
        </w:rPr>
        <w:t>·</w:t>
      </w:r>
      <w:r>
        <w:rPr>
          <w:rFonts w:ascii="Arial" w:hAnsi="Arial" w:cs="Arial"/>
          <w:spacing w:val="10"/>
        </w:rPr>
        <w:t>K</w:t>
      </w:r>
      <w:r>
        <w:rPr>
          <w:rFonts w:hint="eastAsia" w:ascii="Arial" w:hAnsi="Arial" w:cs="Arial"/>
          <w:spacing w:val="10"/>
        </w:rPr>
        <w:t>）；</w:t>
      </w:r>
    </w:p>
    <w:p w14:paraId="668B7C8B">
      <w:pPr>
        <w:pStyle w:val="474"/>
        <w:spacing w:line="500" w:lineRule="exact"/>
        <w:ind w:firstLine="489"/>
        <w:rPr>
          <w:rFonts w:ascii="Arial" w:hAnsi="Arial" w:cs="Arial"/>
          <w:spacing w:val="10"/>
        </w:rPr>
      </w:pPr>
      <w:r>
        <w:rPr>
          <w:rFonts w:ascii="Arial" w:hAnsi="Arial" w:cs="Arial"/>
          <w:spacing w:val="10"/>
        </w:rPr>
        <w:t xml:space="preserve">      T</w:t>
      </w:r>
      <w:r>
        <w:rPr>
          <w:rFonts w:ascii="Arial" w:hAnsi="Arial" w:cs="Arial"/>
          <w:spacing w:val="10"/>
          <w:vertAlign w:val="subscript"/>
        </w:rPr>
        <w:t>0</w:t>
      </w:r>
      <w:r>
        <w:rPr>
          <w:rFonts w:hint="eastAsia" w:ascii="Arial" w:hAnsi="Arial" w:cs="Arial"/>
          <w:spacing w:val="10"/>
        </w:rPr>
        <w:t>——环境温度，</w:t>
      </w:r>
      <w:r>
        <w:rPr>
          <w:rFonts w:ascii="Arial" w:hAnsi="Arial" w:cs="Arial"/>
          <w:spacing w:val="10"/>
        </w:rPr>
        <w:t>K</w:t>
      </w:r>
      <w:r>
        <w:rPr>
          <w:rFonts w:hint="eastAsia" w:ascii="Arial" w:hAnsi="Arial" w:cs="Arial"/>
          <w:spacing w:val="10"/>
        </w:rPr>
        <w:t>，</w:t>
      </w:r>
      <w:r>
        <w:rPr>
          <w:rFonts w:ascii="Arial" w:hAnsi="Arial" w:cs="Arial"/>
          <w:spacing w:val="10"/>
        </w:rPr>
        <w:t>298K</w:t>
      </w:r>
      <w:r>
        <w:rPr>
          <w:rFonts w:hint="eastAsia" w:ascii="Arial" w:hAnsi="Arial" w:cs="Arial"/>
          <w:spacing w:val="10"/>
        </w:rPr>
        <w:t>；</w:t>
      </w:r>
    </w:p>
    <w:p w14:paraId="1035BFE2">
      <w:pPr>
        <w:pStyle w:val="474"/>
        <w:spacing w:line="500" w:lineRule="exact"/>
        <w:ind w:firstLine="489"/>
        <w:rPr>
          <w:rFonts w:ascii="Arial" w:hAnsi="Arial" w:cs="Arial"/>
          <w:spacing w:val="10"/>
        </w:rPr>
      </w:pPr>
      <w:r>
        <w:rPr>
          <w:rFonts w:ascii="Arial" w:hAnsi="Arial" w:cs="Arial"/>
          <w:spacing w:val="10"/>
        </w:rPr>
        <w:t xml:space="preserve">      M</w:t>
      </w:r>
      <w:r>
        <w:rPr>
          <w:rFonts w:hint="eastAsia" w:ascii="Arial" w:hAnsi="Arial" w:cs="Arial"/>
          <w:spacing w:val="10"/>
        </w:rPr>
        <w:t>——物质的摩尔质量，</w:t>
      </w:r>
      <w:r>
        <w:rPr>
          <w:rFonts w:ascii="Arial" w:hAnsi="Arial" w:cs="Arial"/>
          <w:spacing w:val="10"/>
        </w:rPr>
        <w:t>kg/mol</w:t>
      </w:r>
      <w:r>
        <w:rPr>
          <w:rFonts w:hint="eastAsia" w:ascii="Arial" w:hAnsi="Arial" w:cs="Arial"/>
          <w:spacing w:val="10"/>
        </w:rPr>
        <w:t>，</w:t>
      </w:r>
      <w:r>
        <w:rPr>
          <w:rFonts w:ascii="Arial" w:hAnsi="Arial" w:cs="Arial"/>
          <w:spacing w:val="10"/>
        </w:rPr>
        <w:t>0.017kg/mol</w:t>
      </w:r>
      <w:r>
        <w:rPr>
          <w:rFonts w:hint="eastAsia" w:ascii="Arial" w:hAnsi="Arial" w:cs="Arial"/>
          <w:spacing w:val="10"/>
        </w:rPr>
        <w:t>；</w:t>
      </w:r>
    </w:p>
    <w:p w14:paraId="790EFD57">
      <w:pPr>
        <w:pStyle w:val="474"/>
        <w:spacing w:line="500" w:lineRule="exact"/>
        <w:ind w:firstLine="489"/>
        <w:rPr>
          <w:rFonts w:ascii="Arial" w:hAnsi="Arial" w:cs="Arial"/>
          <w:spacing w:val="10"/>
        </w:rPr>
      </w:pPr>
      <w:r>
        <w:rPr>
          <w:rFonts w:ascii="Arial" w:hAnsi="Arial" w:cs="Arial"/>
          <w:spacing w:val="10"/>
        </w:rPr>
        <w:t xml:space="preserve">      u</w:t>
      </w:r>
      <w:r>
        <w:rPr>
          <w:rFonts w:hint="eastAsia" w:ascii="Arial" w:hAnsi="Arial" w:cs="Arial"/>
          <w:spacing w:val="10"/>
        </w:rPr>
        <w:t>——风速，</w:t>
      </w:r>
      <w:r>
        <w:rPr>
          <w:rFonts w:ascii="Arial" w:hAnsi="Arial" w:cs="Arial"/>
          <w:spacing w:val="10"/>
        </w:rPr>
        <w:t>m/s</w:t>
      </w:r>
      <w:r>
        <w:rPr>
          <w:rFonts w:hint="eastAsia" w:ascii="Arial" w:hAnsi="Arial" w:cs="Arial"/>
          <w:spacing w:val="10"/>
        </w:rPr>
        <w:t>，最不利气象条件下为</w:t>
      </w:r>
      <w:r>
        <w:rPr>
          <w:rFonts w:ascii="Arial" w:hAnsi="Arial" w:cs="Arial"/>
          <w:spacing w:val="10"/>
        </w:rPr>
        <w:t>1.5m/s</w:t>
      </w:r>
      <w:r>
        <w:rPr>
          <w:rFonts w:hint="eastAsia" w:ascii="Arial" w:hAnsi="Arial" w:cs="Arial"/>
          <w:spacing w:val="10"/>
        </w:rPr>
        <w:t>，常见气象条件下为</w:t>
      </w:r>
      <w:r>
        <w:rPr>
          <w:rFonts w:ascii="Arial" w:hAnsi="Arial" w:cs="Arial"/>
          <w:spacing w:val="10"/>
        </w:rPr>
        <w:t>3.</w:t>
      </w:r>
      <w:r>
        <w:rPr>
          <w:rFonts w:hint="eastAsia" w:ascii="Arial" w:hAnsi="Arial" w:cs="Arial"/>
          <w:spacing w:val="10"/>
        </w:rPr>
        <w:t>2</w:t>
      </w:r>
      <w:r>
        <w:rPr>
          <w:rFonts w:ascii="Arial" w:hAnsi="Arial" w:cs="Arial"/>
          <w:spacing w:val="10"/>
        </w:rPr>
        <w:t>8m/s</w:t>
      </w:r>
      <w:r>
        <w:rPr>
          <w:rFonts w:hint="eastAsia" w:ascii="Arial" w:hAnsi="Arial" w:cs="Arial"/>
          <w:spacing w:val="10"/>
        </w:rPr>
        <w:t>；</w:t>
      </w:r>
    </w:p>
    <w:p w14:paraId="4F19F44E">
      <w:pPr>
        <w:pStyle w:val="474"/>
        <w:spacing w:line="500" w:lineRule="exact"/>
        <w:ind w:firstLine="489"/>
        <w:rPr>
          <w:rFonts w:ascii="Arial" w:hAnsi="Arial" w:cs="Arial"/>
          <w:spacing w:val="10"/>
        </w:rPr>
      </w:pPr>
      <w:r>
        <w:rPr>
          <w:rFonts w:ascii="Arial" w:hAnsi="Arial" w:cs="Arial"/>
          <w:spacing w:val="10"/>
        </w:rPr>
        <w:t xml:space="preserve">      r</w:t>
      </w:r>
      <w:r>
        <w:rPr>
          <w:rFonts w:hint="eastAsia" w:ascii="Arial" w:hAnsi="Arial" w:cs="Arial"/>
          <w:spacing w:val="10"/>
        </w:rPr>
        <w:t>——液池半径，</w:t>
      </w:r>
      <w:r>
        <w:rPr>
          <w:rFonts w:ascii="Arial" w:hAnsi="Arial" w:cs="Arial"/>
          <w:spacing w:val="10"/>
        </w:rPr>
        <w:t>m</w:t>
      </w:r>
      <w:r>
        <w:rPr>
          <w:rFonts w:hint="eastAsia" w:ascii="Arial" w:hAnsi="Arial" w:cs="Arial"/>
          <w:spacing w:val="10"/>
        </w:rPr>
        <w:t>，等效半径2.69</w:t>
      </w:r>
      <w:r>
        <w:rPr>
          <w:rFonts w:ascii="Arial" w:hAnsi="Arial" w:cs="Arial"/>
          <w:spacing w:val="10"/>
        </w:rPr>
        <w:t>m</w:t>
      </w:r>
      <w:r>
        <w:rPr>
          <w:rFonts w:hint="eastAsia" w:ascii="Arial" w:hAnsi="Arial" w:cs="Arial"/>
          <w:spacing w:val="10"/>
        </w:rPr>
        <w:t>；</w:t>
      </w:r>
    </w:p>
    <w:p w14:paraId="31BE3E5C">
      <w:pPr>
        <w:pStyle w:val="474"/>
        <w:spacing w:line="500" w:lineRule="exact"/>
        <w:ind w:firstLine="489"/>
        <w:rPr>
          <w:rFonts w:ascii="Arial" w:hAnsi="Arial" w:cs="Arial"/>
          <w:spacing w:val="10"/>
        </w:rPr>
      </w:pPr>
      <w:r>
        <w:rPr>
          <w:rFonts w:ascii="Arial" w:hAnsi="Arial" w:cs="Arial"/>
          <w:spacing w:val="10"/>
        </w:rPr>
        <w:t xml:space="preserve">      α</w:t>
      </w:r>
      <w:r>
        <w:rPr>
          <w:rFonts w:hint="eastAsia" w:ascii="Arial" w:cs="Arial"/>
          <w:spacing w:val="10"/>
        </w:rPr>
        <w:t>，</w:t>
      </w:r>
      <w:r>
        <w:rPr>
          <w:rFonts w:ascii="Arial" w:hAnsi="Arial" w:cs="Arial"/>
          <w:spacing w:val="10"/>
        </w:rPr>
        <w:t>n——</w:t>
      </w:r>
      <w:r>
        <w:rPr>
          <w:rFonts w:hint="eastAsia" w:ascii="Arial" w:cs="Arial"/>
          <w:spacing w:val="10"/>
        </w:rPr>
        <w:t>大气稳定度系数，按导则表</w:t>
      </w:r>
      <w:r>
        <w:rPr>
          <w:rFonts w:ascii="Arial" w:hAnsi="Arial" w:cs="Arial"/>
          <w:spacing w:val="10"/>
        </w:rPr>
        <w:t>F.3</w:t>
      </w:r>
      <w:r>
        <w:rPr>
          <w:rFonts w:hint="eastAsia" w:ascii="Arial" w:hAnsi="Arial" w:cs="Arial"/>
          <w:spacing w:val="10"/>
        </w:rPr>
        <w:t>，最不利气象条件</w:t>
      </w:r>
      <w:r>
        <w:rPr>
          <w:rFonts w:ascii="Arial" w:hAnsi="Arial" w:cs="Arial"/>
          <w:spacing w:val="10"/>
        </w:rPr>
        <w:t>F</w:t>
      </w:r>
      <w:r>
        <w:rPr>
          <w:rFonts w:hint="eastAsia" w:ascii="Arial" w:hAnsi="Arial" w:cs="Arial"/>
          <w:spacing w:val="10"/>
        </w:rPr>
        <w:t>稳定度时，</w:t>
      </w:r>
      <w:r>
        <w:rPr>
          <w:rFonts w:ascii="Arial" w:hAnsi="Arial" w:cs="Arial"/>
          <w:spacing w:val="10"/>
        </w:rPr>
        <w:t>α</w:t>
      </w:r>
      <w:r>
        <w:rPr>
          <w:rFonts w:hint="eastAsia" w:ascii="Arial" w:hAnsi="Arial" w:cs="Arial"/>
          <w:spacing w:val="10"/>
        </w:rPr>
        <w:t>为</w:t>
      </w:r>
      <w:r>
        <w:rPr>
          <w:rFonts w:ascii="Arial" w:hAnsi="Arial" w:cs="Arial"/>
          <w:spacing w:val="10"/>
        </w:rPr>
        <w:t>5.285</w:t>
      </w:r>
      <w:r>
        <w:rPr>
          <w:rFonts w:hint="eastAsia" w:ascii="Arial" w:hAnsi="Arial" w:cs="Arial"/>
          <w:spacing w:val="10"/>
        </w:rPr>
        <w:t>×</w:t>
      </w:r>
      <w:r>
        <w:rPr>
          <w:rFonts w:ascii="Arial" w:hAnsi="Arial" w:cs="Arial"/>
          <w:spacing w:val="10"/>
        </w:rPr>
        <w:t>10</w:t>
      </w:r>
      <w:r>
        <w:rPr>
          <w:rFonts w:ascii="Arial" w:hAnsi="Arial" w:cs="Arial"/>
          <w:spacing w:val="10"/>
          <w:vertAlign w:val="superscript"/>
        </w:rPr>
        <w:t>-3</w:t>
      </w:r>
      <w:r>
        <w:rPr>
          <w:rFonts w:hint="eastAsia" w:ascii="Arial" w:hAnsi="Arial" w:cs="Arial"/>
          <w:spacing w:val="10"/>
        </w:rPr>
        <w:t>，</w:t>
      </w:r>
      <w:r>
        <w:rPr>
          <w:rFonts w:ascii="Arial" w:hAnsi="Arial" w:cs="Arial"/>
          <w:spacing w:val="10"/>
        </w:rPr>
        <w:t>n</w:t>
      </w:r>
      <w:r>
        <w:rPr>
          <w:rFonts w:hint="eastAsia" w:ascii="Arial" w:hAnsi="Arial" w:cs="Arial"/>
          <w:spacing w:val="10"/>
        </w:rPr>
        <w:t>为</w:t>
      </w:r>
      <w:r>
        <w:rPr>
          <w:rFonts w:ascii="Arial" w:hAnsi="Arial" w:cs="Arial"/>
          <w:spacing w:val="10"/>
        </w:rPr>
        <w:t>0.3</w:t>
      </w:r>
      <w:r>
        <w:rPr>
          <w:rFonts w:hint="eastAsia" w:ascii="Arial" w:hAnsi="Arial" w:cs="Arial"/>
          <w:spacing w:val="10"/>
        </w:rPr>
        <w:t>；常见气象条件</w:t>
      </w:r>
      <w:r>
        <w:rPr>
          <w:rFonts w:ascii="Arial" w:hAnsi="Arial" w:cs="Arial"/>
          <w:spacing w:val="10"/>
        </w:rPr>
        <w:t>D</w:t>
      </w:r>
      <w:r>
        <w:rPr>
          <w:rFonts w:hint="eastAsia" w:ascii="Arial" w:hAnsi="Arial" w:cs="Arial"/>
          <w:spacing w:val="10"/>
        </w:rPr>
        <w:t>稳定度时，</w:t>
      </w:r>
      <w:r>
        <w:rPr>
          <w:rFonts w:ascii="Arial" w:hAnsi="Arial" w:cs="Arial"/>
          <w:spacing w:val="10"/>
        </w:rPr>
        <w:t>α</w:t>
      </w:r>
      <w:r>
        <w:rPr>
          <w:rFonts w:hint="eastAsia" w:ascii="Arial" w:hAnsi="Arial" w:cs="Arial"/>
          <w:spacing w:val="10"/>
        </w:rPr>
        <w:t>为</w:t>
      </w:r>
      <w:r>
        <w:rPr>
          <w:rFonts w:ascii="Arial" w:hAnsi="Arial" w:cs="Arial"/>
          <w:spacing w:val="10"/>
        </w:rPr>
        <w:t>4.685</w:t>
      </w:r>
      <w:r>
        <w:rPr>
          <w:rFonts w:hint="eastAsia" w:ascii="Arial" w:hAnsi="Arial" w:cs="Arial"/>
          <w:spacing w:val="10"/>
        </w:rPr>
        <w:t>×</w:t>
      </w:r>
      <w:r>
        <w:rPr>
          <w:rFonts w:ascii="Arial" w:hAnsi="Arial" w:cs="Arial"/>
          <w:spacing w:val="10"/>
        </w:rPr>
        <w:t>10</w:t>
      </w:r>
      <w:r>
        <w:rPr>
          <w:rFonts w:ascii="Arial" w:hAnsi="Arial" w:cs="Arial"/>
          <w:spacing w:val="10"/>
          <w:vertAlign w:val="superscript"/>
        </w:rPr>
        <w:t>-3</w:t>
      </w:r>
      <w:r>
        <w:rPr>
          <w:rFonts w:hint="eastAsia" w:ascii="Arial" w:hAnsi="Arial" w:cs="Arial"/>
          <w:spacing w:val="10"/>
        </w:rPr>
        <w:t>，</w:t>
      </w:r>
      <w:r>
        <w:rPr>
          <w:rFonts w:ascii="Arial" w:hAnsi="Arial" w:cs="Arial"/>
          <w:spacing w:val="10"/>
        </w:rPr>
        <w:t>n</w:t>
      </w:r>
      <w:r>
        <w:rPr>
          <w:rFonts w:hint="eastAsia" w:ascii="Arial" w:hAnsi="Arial" w:cs="Arial"/>
          <w:spacing w:val="10"/>
        </w:rPr>
        <w:t>为</w:t>
      </w:r>
      <w:r>
        <w:rPr>
          <w:rFonts w:ascii="Arial" w:hAnsi="Arial" w:cs="Arial"/>
          <w:spacing w:val="10"/>
        </w:rPr>
        <w:t>0.25</w:t>
      </w:r>
      <w:r>
        <w:rPr>
          <w:rFonts w:hint="eastAsia" w:ascii="Arial" w:hAnsi="Arial" w:cs="Arial"/>
          <w:spacing w:val="10"/>
        </w:rPr>
        <w:t>。</w:t>
      </w:r>
    </w:p>
    <w:p w14:paraId="6A6B2A15">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经计算，最不利气象条件下，氨的质量蒸发速率为</w:t>
      </w:r>
      <w:r>
        <w:rPr>
          <w:rFonts w:ascii="Arial" w:hAnsi="Arial" w:eastAsia="宋体" w:cs="Arial"/>
          <w:spacing w:val="10"/>
          <w:sz w:val="24"/>
        </w:rPr>
        <w:t>0.</w:t>
      </w:r>
      <w:r>
        <w:rPr>
          <w:rFonts w:hint="eastAsia" w:ascii="Arial" w:hAnsi="Arial" w:eastAsia="宋体" w:cs="Arial"/>
          <w:spacing w:val="10"/>
          <w:sz w:val="24"/>
        </w:rPr>
        <w:t>014</w:t>
      </w:r>
      <w:r>
        <w:rPr>
          <w:rFonts w:ascii="Arial" w:hAnsi="Arial" w:eastAsia="宋体" w:cs="Arial"/>
          <w:spacing w:val="10"/>
          <w:sz w:val="24"/>
        </w:rPr>
        <w:t>kg/s</w:t>
      </w:r>
      <w:r>
        <w:rPr>
          <w:rFonts w:hint="eastAsia" w:ascii="Arial" w:hAnsi="Arial" w:eastAsia="宋体" w:cs="Arial"/>
          <w:spacing w:val="10"/>
          <w:sz w:val="24"/>
        </w:rPr>
        <w:t>，烟团初始密度未大于空气密度，不计算理查德森数，扩散计算采用AFTOX模式；常见气象条件下，氨的质量蒸发速率</w:t>
      </w:r>
      <w:r>
        <w:rPr>
          <w:rFonts w:ascii="Arial" w:hAnsi="Arial" w:eastAsia="宋体" w:cs="Arial"/>
          <w:spacing w:val="10"/>
          <w:sz w:val="24"/>
        </w:rPr>
        <w:t>0.</w:t>
      </w:r>
      <w:r>
        <w:rPr>
          <w:rFonts w:hint="eastAsia" w:ascii="Arial" w:hAnsi="Arial" w:eastAsia="宋体" w:cs="Arial"/>
          <w:spacing w:val="10"/>
          <w:sz w:val="24"/>
        </w:rPr>
        <w:t>022</w:t>
      </w:r>
      <w:r>
        <w:rPr>
          <w:rFonts w:ascii="Arial" w:hAnsi="Arial" w:eastAsia="宋体" w:cs="Arial"/>
          <w:spacing w:val="10"/>
          <w:sz w:val="24"/>
        </w:rPr>
        <w:t>kg/s</w:t>
      </w:r>
      <w:r>
        <w:rPr>
          <w:rFonts w:hint="eastAsia" w:ascii="Arial" w:hAnsi="Arial" w:eastAsia="宋体" w:cs="Arial"/>
          <w:spacing w:val="10"/>
          <w:sz w:val="24"/>
        </w:rPr>
        <w:t>，烟团初始密度未大于空气密度，不计算理查德森数，扩散计算采用AFTOX模式。根据导则，一般情况蒸发时间可按</w:t>
      </w:r>
      <w:r>
        <w:rPr>
          <w:rFonts w:ascii="Arial" w:hAnsi="Arial" w:eastAsia="宋体" w:cs="Arial"/>
          <w:spacing w:val="10"/>
          <w:sz w:val="24"/>
        </w:rPr>
        <w:t>15~30min</w:t>
      </w:r>
      <w:r>
        <w:rPr>
          <w:rFonts w:hint="eastAsia" w:ascii="Arial" w:hAnsi="Arial" w:eastAsia="宋体" w:cs="Arial"/>
          <w:spacing w:val="10"/>
          <w:sz w:val="24"/>
        </w:rPr>
        <w:t>计，本次评价取30</w:t>
      </w:r>
      <w:r>
        <w:rPr>
          <w:rFonts w:ascii="Arial" w:hAnsi="Arial" w:eastAsia="宋体" w:cs="Arial"/>
          <w:spacing w:val="10"/>
          <w:sz w:val="24"/>
        </w:rPr>
        <w:t>min</w:t>
      </w:r>
      <w:r>
        <w:rPr>
          <w:rFonts w:hint="eastAsia" w:ascii="Arial" w:hAnsi="Arial" w:eastAsia="宋体" w:cs="Arial"/>
          <w:spacing w:val="10"/>
          <w:sz w:val="24"/>
        </w:rPr>
        <w:t>，则最不利气象条件及常见气象条件下氨蒸发总量分别为25.2</w:t>
      </w:r>
      <w:r>
        <w:rPr>
          <w:rFonts w:ascii="Arial" w:hAnsi="Arial" w:eastAsia="宋体" w:cs="Arial"/>
          <w:spacing w:val="10"/>
          <w:sz w:val="24"/>
        </w:rPr>
        <w:t>kg</w:t>
      </w:r>
      <w:r>
        <w:rPr>
          <w:rFonts w:hint="eastAsia" w:ascii="Arial" w:hAnsi="Arial" w:eastAsia="宋体" w:cs="Arial"/>
          <w:spacing w:val="10"/>
          <w:sz w:val="24"/>
        </w:rPr>
        <w:t>、39.6</w:t>
      </w:r>
      <w:r>
        <w:rPr>
          <w:rFonts w:ascii="Arial" w:hAnsi="Arial" w:eastAsia="宋体" w:cs="Arial"/>
          <w:spacing w:val="10"/>
          <w:sz w:val="24"/>
        </w:rPr>
        <w:t>kg</w:t>
      </w:r>
      <w:r>
        <w:rPr>
          <w:rFonts w:hint="eastAsia" w:ascii="Arial" w:hAnsi="Arial" w:eastAsia="宋体" w:cs="Arial"/>
          <w:spacing w:val="10"/>
          <w:sz w:val="24"/>
        </w:rPr>
        <w:t>。</w:t>
      </w:r>
    </w:p>
    <w:p w14:paraId="2C3A5F97">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2</w:t>
      </w:r>
      <w:r>
        <w:rPr>
          <w:rFonts w:ascii="Arial" w:hAnsi="Arial" w:eastAsia="宋体" w:cs="Arial"/>
          <w:spacing w:val="10"/>
          <w:sz w:val="24"/>
        </w:rPr>
        <w:t>.</w:t>
      </w:r>
      <w:r>
        <w:rPr>
          <w:rFonts w:hint="eastAsia" w:ascii="Arial" w:hAnsi="Arial" w:eastAsia="宋体" w:cs="Arial"/>
          <w:spacing w:val="10"/>
          <w:sz w:val="24"/>
        </w:rPr>
        <w:t>洗水外排槽</w:t>
      </w:r>
      <w:r>
        <w:rPr>
          <w:rFonts w:ascii="Arial" w:hAnsi="Arial" w:eastAsia="宋体" w:cs="Arial"/>
          <w:spacing w:val="10"/>
          <w:sz w:val="24"/>
        </w:rPr>
        <w:t>泄漏</w:t>
      </w:r>
    </w:p>
    <w:p w14:paraId="5671F647">
      <w:pPr>
        <w:spacing w:line="500" w:lineRule="exact"/>
        <w:ind w:firstLine="490" w:firstLineChars="200"/>
        <w:rPr>
          <w:rFonts w:ascii="Arial" w:hAnsi="Arial" w:eastAsia="宋体" w:cs="Arial"/>
          <w:spacing w:val="10"/>
          <w:sz w:val="24"/>
        </w:rPr>
      </w:pPr>
      <w:r>
        <w:rPr>
          <w:rFonts w:ascii="Arial" w:hAnsi="Arial" w:eastAsia="宋体" w:cs="Arial"/>
          <w:spacing w:val="10"/>
          <w:sz w:val="24"/>
        </w:rPr>
        <w:t>假设</w:t>
      </w:r>
      <w:r>
        <w:rPr>
          <w:rFonts w:hint="eastAsia" w:ascii="Arial" w:hAnsi="Arial" w:eastAsia="宋体" w:cs="Arial"/>
          <w:spacing w:val="10"/>
          <w:sz w:val="24"/>
        </w:rPr>
        <w:t>X19车间</w:t>
      </w:r>
      <w:r>
        <w:rPr>
          <w:rFonts w:ascii="Arial" w:hAnsi="Arial" w:eastAsia="宋体" w:cs="Arial"/>
          <w:spacing w:val="10"/>
          <w:sz w:val="24"/>
        </w:rPr>
        <w:t>1台</w:t>
      </w:r>
      <w:r>
        <w:rPr>
          <w:rFonts w:hint="eastAsia" w:ascii="Arial" w:hAnsi="Arial" w:eastAsia="宋体" w:cs="Arial"/>
          <w:spacing w:val="10"/>
          <w:sz w:val="24"/>
        </w:rPr>
        <w:t>75</w:t>
      </w:r>
      <w:r>
        <w:rPr>
          <w:rFonts w:ascii="Arial" w:hAnsi="Arial" w:eastAsia="宋体" w:cs="Arial"/>
          <w:spacing w:val="10"/>
          <w:sz w:val="24"/>
        </w:rPr>
        <w:t>m</w:t>
      </w:r>
      <w:r>
        <w:rPr>
          <w:rFonts w:ascii="Arial" w:hAnsi="Arial" w:eastAsia="宋体" w:cs="Arial"/>
          <w:spacing w:val="10"/>
          <w:sz w:val="24"/>
          <w:vertAlign w:val="superscript"/>
        </w:rPr>
        <w:t>3</w:t>
      </w:r>
      <w:r>
        <w:rPr>
          <w:rFonts w:hint="eastAsia" w:ascii="Arial" w:hAnsi="Arial" w:eastAsia="宋体" w:cs="Arial"/>
          <w:spacing w:val="10"/>
          <w:sz w:val="24"/>
        </w:rPr>
        <w:t>洗水外排槽</w:t>
      </w:r>
      <w:r>
        <w:rPr>
          <w:rFonts w:ascii="Arial" w:hAnsi="Arial" w:eastAsia="宋体" w:cs="Arial"/>
          <w:spacing w:val="10"/>
          <w:sz w:val="24"/>
        </w:rPr>
        <w:t>发生破损全</w:t>
      </w:r>
      <w:r>
        <w:rPr>
          <w:rFonts w:hint="eastAsia" w:ascii="Arial" w:hAnsi="Arial" w:eastAsia="宋体" w:cs="Arial"/>
          <w:spacing w:val="10"/>
          <w:sz w:val="24"/>
        </w:rPr>
        <w:t>部</w:t>
      </w:r>
      <w:r>
        <w:rPr>
          <w:rFonts w:ascii="Arial" w:hAnsi="Arial" w:eastAsia="宋体" w:cs="Arial"/>
          <w:spacing w:val="10"/>
          <w:sz w:val="24"/>
        </w:rPr>
        <w:t>泄漏，</w:t>
      </w:r>
      <w:r>
        <w:rPr>
          <w:rFonts w:hint="eastAsia" w:ascii="Arial" w:hAnsi="Arial" w:eastAsia="宋体" w:cs="Arial"/>
          <w:spacing w:val="10"/>
          <w:sz w:val="24"/>
        </w:rPr>
        <w:t>槽罐区</w:t>
      </w:r>
      <w:r>
        <w:rPr>
          <w:rFonts w:ascii="Arial" w:hAnsi="Arial" w:eastAsia="宋体" w:cs="Arial"/>
          <w:spacing w:val="10"/>
          <w:sz w:val="24"/>
        </w:rPr>
        <w:t>地坪破损</w:t>
      </w:r>
      <w:r>
        <w:rPr>
          <w:rFonts w:ascii="Arial" w:hAnsi="Arial" w:eastAsia="宋体" w:cs="Arial"/>
          <w:spacing w:val="10"/>
          <w:sz w:val="24"/>
          <w:szCs w:val="24"/>
        </w:rPr>
        <w:t>（</w:t>
      </w:r>
      <w:r>
        <w:rPr>
          <w:rFonts w:hint="eastAsia" w:ascii="Arial" w:hAnsi="Arial" w:eastAsia="宋体" w:cs="Arial"/>
          <w:spacing w:val="10"/>
          <w:sz w:val="24"/>
          <w:szCs w:val="24"/>
        </w:rPr>
        <w:t>假设破损</w:t>
      </w:r>
      <w:r>
        <w:rPr>
          <w:rFonts w:ascii="Arial" w:hAnsi="Arial" w:eastAsia="宋体" w:cs="Arial"/>
          <w:spacing w:val="10"/>
          <w:sz w:val="24"/>
          <w:szCs w:val="24"/>
        </w:rPr>
        <w:t>面积为</w:t>
      </w:r>
      <w:r>
        <w:rPr>
          <w:rFonts w:hint="eastAsia" w:ascii="Arial" w:hAnsi="Arial" w:eastAsia="宋体" w:cs="Arial"/>
          <w:spacing w:val="10"/>
          <w:sz w:val="24"/>
          <w:szCs w:val="24"/>
        </w:rPr>
        <w:t>2</w:t>
      </w:r>
      <w:r>
        <w:rPr>
          <w:rFonts w:ascii="Arial" w:hAnsi="Arial" w:eastAsia="宋体" w:cs="Arial"/>
          <w:spacing w:val="10"/>
          <w:sz w:val="24"/>
          <w:szCs w:val="24"/>
        </w:rPr>
        <w:t>0m</w:t>
      </w:r>
      <w:r>
        <w:rPr>
          <w:rFonts w:ascii="Arial" w:hAnsi="Arial" w:eastAsia="宋体" w:cs="Arial"/>
          <w:spacing w:val="10"/>
          <w:sz w:val="24"/>
          <w:szCs w:val="24"/>
          <w:vertAlign w:val="superscript"/>
        </w:rPr>
        <w:t>2</w:t>
      </w:r>
      <w:r>
        <w:rPr>
          <w:rFonts w:ascii="Arial" w:hAnsi="Arial" w:eastAsia="宋体" w:cs="Arial"/>
          <w:spacing w:val="10"/>
          <w:sz w:val="24"/>
          <w:szCs w:val="24"/>
        </w:rPr>
        <w:t>），发生风险事故后，24h内泄漏得到控制，则风险事故下渗时间为24h。渗漏强度</w:t>
      </w:r>
      <w:r>
        <w:rPr>
          <w:rFonts w:hint="eastAsia" w:ascii="Arial" w:hAnsi="Arial" w:eastAsia="宋体" w:cs="Arial"/>
          <w:spacing w:val="10"/>
          <w:sz w:val="24"/>
          <w:szCs w:val="24"/>
        </w:rPr>
        <w:t>以</w:t>
      </w:r>
      <w:r>
        <w:rPr>
          <w:rFonts w:ascii="Arial" w:hAnsi="Arial" w:eastAsia="宋体" w:cs="Arial"/>
          <w:spacing w:val="10"/>
          <w:sz w:val="24"/>
          <w:szCs w:val="24"/>
        </w:rPr>
        <w:t>钢筋混凝土结构渗漏强度2L/（m</w:t>
      </w:r>
      <w:r>
        <w:rPr>
          <w:rFonts w:ascii="Arial" w:hAnsi="Arial" w:eastAsia="宋体" w:cs="Arial"/>
          <w:spacing w:val="10"/>
          <w:sz w:val="24"/>
          <w:szCs w:val="24"/>
          <w:vertAlign w:val="superscript"/>
        </w:rPr>
        <w:t>2</w:t>
      </w:r>
      <w:r>
        <w:rPr>
          <w:rFonts w:ascii="Arial" w:hAnsi="Arial" w:eastAsia="宋体" w:cs="Arial"/>
          <w:spacing w:val="10"/>
          <w:sz w:val="24"/>
          <w:szCs w:val="24"/>
        </w:rPr>
        <w:t>·d）</w:t>
      </w:r>
      <w:r>
        <w:rPr>
          <w:rFonts w:hint="eastAsia" w:ascii="Arial" w:hAnsi="Arial" w:eastAsia="宋体" w:cs="Arial"/>
          <w:spacing w:val="10"/>
          <w:sz w:val="24"/>
          <w:szCs w:val="24"/>
        </w:rPr>
        <w:t>的100倍考虑</w:t>
      </w:r>
      <w:r>
        <w:rPr>
          <w:rFonts w:ascii="Arial" w:hAnsi="Arial" w:eastAsia="宋体" w:cs="Arial"/>
          <w:spacing w:val="10"/>
          <w:sz w:val="24"/>
          <w:szCs w:val="24"/>
        </w:rPr>
        <w:t>，则</w:t>
      </w:r>
      <w:r>
        <w:rPr>
          <w:rFonts w:hint="eastAsia" w:ascii="Arial" w:hAnsi="Arial" w:eastAsia="宋体" w:cs="Arial"/>
          <w:spacing w:val="10"/>
          <w:sz w:val="24"/>
          <w:szCs w:val="24"/>
        </w:rPr>
        <w:t>含钴废水渗漏量</w:t>
      </w:r>
      <w:r>
        <w:rPr>
          <w:rFonts w:ascii="Arial" w:hAnsi="Arial" w:eastAsia="宋体" w:cs="Arial"/>
          <w:spacing w:val="10"/>
          <w:sz w:val="24"/>
          <w:szCs w:val="24"/>
        </w:rPr>
        <w:t>为</w:t>
      </w:r>
      <w:r>
        <w:rPr>
          <w:rFonts w:hint="eastAsia" w:ascii="Arial" w:hAnsi="Arial" w:eastAsia="宋体" w:cs="Arial"/>
          <w:spacing w:val="10"/>
          <w:sz w:val="24"/>
          <w:szCs w:val="24"/>
        </w:rPr>
        <w:t>400</w:t>
      </w:r>
      <w:r>
        <w:rPr>
          <w:rFonts w:ascii="Arial" w:hAnsi="Arial" w:eastAsia="宋体" w:cs="Arial"/>
          <w:spacing w:val="10"/>
          <w:sz w:val="24"/>
          <w:szCs w:val="24"/>
        </w:rPr>
        <w:t>0L/d，本报告以</w:t>
      </w:r>
      <w:r>
        <w:rPr>
          <w:rFonts w:hint="eastAsia" w:ascii="Arial" w:hAnsi="Arial" w:eastAsia="宋体" w:cs="Arial"/>
          <w:spacing w:val="10"/>
          <w:sz w:val="24"/>
          <w:szCs w:val="24"/>
        </w:rPr>
        <w:t>钴、COD、氨氮、硫酸盐</w:t>
      </w:r>
      <w:r>
        <w:rPr>
          <w:rFonts w:ascii="Arial" w:hAnsi="Arial" w:eastAsia="宋体" w:cs="Arial"/>
          <w:spacing w:val="10"/>
          <w:sz w:val="24"/>
          <w:szCs w:val="24"/>
        </w:rPr>
        <w:t>作为预测因子，进入地下水中的</w:t>
      </w:r>
      <w:r>
        <w:rPr>
          <w:rFonts w:hint="eastAsia" w:ascii="Arial" w:hAnsi="Arial" w:eastAsia="宋体" w:cs="Arial"/>
          <w:spacing w:val="10"/>
          <w:sz w:val="24"/>
          <w:szCs w:val="24"/>
        </w:rPr>
        <w:t>污染物分别为0.004kg、0.6</w:t>
      </w:r>
      <w:r>
        <w:rPr>
          <w:rFonts w:ascii="Arial" w:hAnsi="Arial" w:eastAsia="宋体" w:cs="Arial"/>
          <w:spacing w:val="10"/>
          <w:sz w:val="24"/>
          <w:szCs w:val="24"/>
        </w:rPr>
        <w:t>kg</w:t>
      </w:r>
      <w:r>
        <w:rPr>
          <w:rFonts w:hint="eastAsia" w:ascii="Arial" w:hAnsi="Arial" w:eastAsia="宋体" w:cs="Arial"/>
          <w:spacing w:val="10"/>
          <w:sz w:val="24"/>
          <w:szCs w:val="24"/>
        </w:rPr>
        <w:t>、3kg、87.427kg</w:t>
      </w:r>
      <w:r>
        <w:rPr>
          <w:rFonts w:ascii="Arial" w:hAnsi="Arial" w:eastAsia="宋体" w:cs="Arial"/>
          <w:spacing w:val="10"/>
          <w:sz w:val="24"/>
          <w:szCs w:val="24"/>
        </w:rPr>
        <w:t>。</w:t>
      </w:r>
    </w:p>
    <w:p w14:paraId="6D01D423">
      <w:pPr>
        <w:spacing w:line="500" w:lineRule="exact"/>
        <w:ind w:firstLine="490" w:firstLineChars="200"/>
        <w:rPr>
          <w:rFonts w:ascii="Arial" w:hAnsi="Arial" w:eastAsia="宋体" w:cs="Arial"/>
          <w:spacing w:val="10"/>
          <w:sz w:val="24"/>
        </w:rPr>
      </w:pPr>
      <w:r>
        <w:rPr>
          <w:rFonts w:ascii="Arial" w:hAnsi="Arial" w:eastAsia="宋体" w:cs="Arial"/>
          <w:spacing w:val="10"/>
          <w:sz w:val="24"/>
        </w:rPr>
        <w:t>3</w:t>
      </w:r>
      <w:r>
        <w:rPr>
          <w:rFonts w:hint="eastAsia" w:ascii="Arial" w:hAnsi="Arial" w:eastAsia="宋体" w:cs="Arial"/>
          <w:spacing w:val="10"/>
          <w:sz w:val="24"/>
        </w:rPr>
        <w:t>.配酸槽</w:t>
      </w:r>
      <w:r>
        <w:rPr>
          <w:rFonts w:ascii="Arial" w:hAnsi="Arial" w:eastAsia="宋体" w:cs="Arial"/>
          <w:spacing w:val="10"/>
          <w:sz w:val="24"/>
        </w:rPr>
        <w:t>泄漏</w:t>
      </w:r>
    </w:p>
    <w:p w14:paraId="7A343474">
      <w:pPr>
        <w:spacing w:line="500" w:lineRule="exact"/>
        <w:ind w:firstLine="490" w:firstLineChars="200"/>
        <w:rPr>
          <w:rFonts w:ascii="Arial" w:hAnsi="Arial" w:eastAsia="宋体" w:cs="Arial"/>
          <w:spacing w:val="10"/>
          <w:sz w:val="24"/>
        </w:rPr>
      </w:pPr>
      <w:r>
        <w:rPr>
          <w:rFonts w:ascii="Arial" w:hAnsi="Arial" w:eastAsia="宋体" w:cs="Arial"/>
          <w:spacing w:val="10"/>
          <w:sz w:val="24"/>
        </w:rPr>
        <w:t>假设</w:t>
      </w:r>
      <w:r>
        <w:rPr>
          <w:rFonts w:hint="eastAsia" w:ascii="Arial" w:hAnsi="Arial" w:eastAsia="宋体" w:cs="Arial"/>
          <w:spacing w:val="10"/>
          <w:sz w:val="24"/>
        </w:rPr>
        <w:t>X19车间最大贮存1t的配酸槽</w:t>
      </w:r>
      <w:r>
        <w:rPr>
          <w:rFonts w:ascii="Arial" w:hAnsi="Arial" w:eastAsia="宋体" w:cs="Arial"/>
          <w:spacing w:val="10"/>
          <w:sz w:val="24"/>
        </w:rPr>
        <w:t>10min全</w:t>
      </w:r>
      <w:r>
        <w:rPr>
          <w:rFonts w:hint="eastAsia" w:ascii="Arial" w:hAnsi="Arial" w:eastAsia="宋体" w:cs="Arial"/>
          <w:spacing w:val="10"/>
          <w:sz w:val="24"/>
        </w:rPr>
        <w:t>部</w:t>
      </w:r>
      <w:r>
        <w:rPr>
          <w:rFonts w:ascii="Arial" w:hAnsi="Arial" w:eastAsia="宋体" w:cs="Arial"/>
          <w:spacing w:val="10"/>
          <w:sz w:val="24"/>
        </w:rPr>
        <w:t>泄漏，</w:t>
      </w:r>
      <w:r>
        <w:rPr>
          <w:rFonts w:hint="eastAsia" w:ascii="Arial" w:hAnsi="Arial" w:eastAsia="宋体" w:cs="Arial"/>
          <w:spacing w:val="10"/>
          <w:sz w:val="24"/>
        </w:rPr>
        <w:t>15%~20%的稀硫酸最大</w:t>
      </w:r>
      <w:r>
        <w:rPr>
          <w:rFonts w:ascii="Arial" w:hAnsi="Arial" w:eastAsia="宋体" w:cs="Arial"/>
          <w:spacing w:val="10"/>
          <w:sz w:val="24"/>
        </w:rPr>
        <w:t>泄漏量</w:t>
      </w:r>
      <w:r>
        <w:rPr>
          <w:rFonts w:hint="eastAsia" w:ascii="Arial" w:hAnsi="Arial" w:eastAsia="宋体" w:cs="Arial"/>
          <w:spacing w:val="10"/>
          <w:sz w:val="24"/>
        </w:rPr>
        <w:t>为1</w:t>
      </w:r>
      <w:r>
        <w:rPr>
          <w:rFonts w:ascii="Arial" w:hAnsi="Arial" w:eastAsia="宋体" w:cs="Arial"/>
          <w:spacing w:val="10"/>
          <w:sz w:val="24"/>
        </w:rPr>
        <w:t>t。</w:t>
      </w:r>
    </w:p>
    <w:p w14:paraId="3FCD3C27">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项目风险源强一览表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2"/>
        <w:gridCol w:w="978"/>
        <w:gridCol w:w="737"/>
        <w:gridCol w:w="845"/>
        <w:gridCol w:w="853"/>
        <w:gridCol w:w="1074"/>
        <w:gridCol w:w="987"/>
        <w:gridCol w:w="957"/>
        <w:gridCol w:w="1067"/>
        <w:gridCol w:w="1053"/>
      </w:tblGrid>
      <w:tr w14:paraId="5D897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6" w:type="pct"/>
            <w:tcBorders>
              <w:top w:val="single" w:color="auto" w:sz="4" w:space="0"/>
              <w:left w:val="single" w:color="auto" w:sz="4" w:space="0"/>
              <w:bottom w:val="single" w:color="auto" w:sz="4" w:space="0"/>
              <w:right w:val="single" w:color="auto" w:sz="4" w:space="0"/>
            </w:tcBorders>
            <w:vAlign w:val="center"/>
          </w:tcPr>
          <w:p w14:paraId="3F89814E">
            <w:pPr>
              <w:spacing w:line="240" w:lineRule="exact"/>
              <w:jc w:val="center"/>
              <w:rPr>
                <w:rFonts w:ascii="Arial" w:hAnsi="Arial" w:eastAsia="宋体" w:cs="Arial"/>
                <w:sz w:val="21"/>
                <w:szCs w:val="21"/>
              </w:rPr>
            </w:pPr>
            <w:r>
              <w:rPr>
                <w:rFonts w:ascii="Arial" w:hAnsi="Arial" w:eastAsia="宋体" w:cs="Arial"/>
                <w:sz w:val="21"/>
                <w:szCs w:val="21"/>
              </w:rPr>
              <w:t>序号</w:t>
            </w:r>
          </w:p>
        </w:tc>
        <w:tc>
          <w:tcPr>
            <w:tcW w:w="544" w:type="pct"/>
            <w:tcBorders>
              <w:top w:val="single" w:color="auto" w:sz="4" w:space="0"/>
              <w:left w:val="single" w:color="auto" w:sz="4" w:space="0"/>
              <w:bottom w:val="single" w:color="auto" w:sz="4" w:space="0"/>
              <w:right w:val="single" w:color="auto" w:sz="4" w:space="0"/>
            </w:tcBorders>
            <w:vAlign w:val="center"/>
          </w:tcPr>
          <w:p w14:paraId="19325EB6">
            <w:pPr>
              <w:spacing w:line="240" w:lineRule="exact"/>
              <w:jc w:val="center"/>
              <w:rPr>
                <w:rFonts w:ascii="Arial" w:hAnsi="Arial" w:eastAsia="宋体" w:cs="Arial"/>
                <w:sz w:val="21"/>
                <w:szCs w:val="21"/>
              </w:rPr>
            </w:pPr>
            <w:r>
              <w:rPr>
                <w:rFonts w:ascii="Arial" w:hAnsi="Arial" w:eastAsia="宋体" w:cs="Arial"/>
                <w:sz w:val="21"/>
                <w:szCs w:val="21"/>
              </w:rPr>
              <w:t>风险事故情形描述</w:t>
            </w:r>
          </w:p>
        </w:tc>
        <w:tc>
          <w:tcPr>
            <w:tcW w:w="410" w:type="pct"/>
            <w:tcBorders>
              <w:top w:val="single" w:color="auto" w:sz="4" w:space="0"/>
              <w:left w:val="single" w:color="auto" w:sz="4" w:space="0"/>
              <w:bottom w:val="single" w:color="auto" w:sz="4" w:space="0"/>
              <w:right w:val="single" w:color="auto" w:sz="4" w:space="0"/>
            </w:tcBorders>
            <w:vAlign w:val="center"/>
          </w:tcPr>
          <w:p w14:paraId="3C6829A2">
            <w:pPr>
              <w:spacing w:line="240" w:lineRule="exact"/>
              <w:jc w:val="center"/>
              <w:rPr>
                <w:rFonts w:ascii="Arial" w:hAnsi="Arial" w:eastAsia="宋体" w:cs="Arial"/>
                <w:sz w:val="21"/>
                <w:szCs w:val="21"/>
              </w:rPr>
            </w:pPr>
            <w:r>
              <w:rPr>
                <w:rFonts w:ascii="Arial" w:hAnsi="Arial" w:eastAsia="宋体" w:cs="Arial"/>
                <w:sz w:val="21"/>
                <w:szCs w:val="21"/>
              </w:rPr>
              <w:t>危险单元</w:t>
            </w:r>
          </w:p>
        </w:tc>
        <w:tc>
          <w:tcPr>
            <w:tcW w:w="470" w:type="pct"/>
            <w:tcBorders>
              <w:top w:val="single" w:color="auto" w:sz="4" w:space="0"/>
              <w:left w:val="single" w:color="auto" w:sz="4" w:space="0"/>
              <w:bottom w:val="single" w:color="auto" w:sz="4" w:space="0"/>
              <w:right w:val="single" w:color="auto" w:sz="4" w:space="0"/>
            </w:tcBorders>
            <w:vAlign w:val="center"/>
          </w:tcPr>
          <w:p w14:paraId="03120A91">
            <w:pPr>
              <w:spacing w:line="240" w:lineRule="exact"/>
              <w:jc w:val="center"/>
              <w:rPr>
                <w:rFonts w:ascii="Arial" w:hAnsi="Arial" w:eastAsia="宋体" w:cs="Arial"/>
                <w:sz w:val="21"/>
                <w:szCs w:val="21"/>
              </w:rPr>
            </w:pPr>
            <w:r>
              <w:rPr>
                <w:rFonts w:ascii="Arial" w:hAnsi="Arial" w:eastAsia="宋体" w:cs="Arial"/>
                <w:sz w:val="21"/>
                <w:szCs w:val="21"/>
              </w:rPr>
              <w:t>危险物质</w:t>
            </w:r>
          </w:p>
        </w:tc>
        <w:tc>
          <w:tcPr>
            <w:tcW w:w="474" w:type="pct"/>
            <w:tcBorders>
              <w:top w:val="single" w:color="auto" w:sz="4" w:space="0"/>
              <w:left w:val="single" w:color="auto" w:sz="4" w:space="0"/>
              <w:bottom w:val="single" w:color="auto" w:sz="4" w:space="0"/>
              <w:right w:val="single" w:color="auto" w:sz="4" w:space="0"/>
            </w:tcBorders>
            <w:vAlign w:val="center"/>
          </w:tcPr>
          <w:p w14:paraId="662C0090">
            <w:pPr>
              <w:spacing w:line="240" w:lineRule="exact"/>
              <w:jc w:val="center"/>
              <w:rPr>
                <w:rFonts w:ascii="Arial" w:hAnsi="Arial" w:eastAsia="宋体" w:cs="Arial"/>
                <w:sz w:val="21"/>
                <w:szCs w:val="21"/>
              </w:rPr>
            </w:pPr>
            <w:r>
              <w:rPr>
                <w:rFonts w:ascii="Arial" w:hAnsi="Arial" w:eastAsia="宋体" w:cs="Arial"/>
                <w:sz w:val="21"/>
                <w:szCs w:val="21"/>
              </w:rPr>
              <w:t>影响途径</w:t>
            </w:r>
          </w:p>
        </w:tc>
        <w:tc>
          <w:tcPr>
            <w:tcW w:w="597" w:type="pct"/>
            <w:tcBorders>
              <w:top w:val="single" w:color="auto" w:sz="4" w:space="0"/>
              <w:left w:val="single" w:color="auto" w:sz="4" w:space="0"/>
              <w:bottom w:val="single" w:color="auto" w:sz="4" w:space="0"/>
              <w:right w:val="single" w:color="auto" w:sz="4" w:space="0"/>
            </w:tcBorders>
            <w:vAlign w:val="center"/>
          </w:tcPr>
          <w:p w14:paraId="411E94BE">
            <w:pPr>
              <w:spacing w:line="240" w:lineRule="exact"/>
              <w:jc w:val="center"/>
              <w:rPr>
                <w:rFonts w:ascii="Arial" w:hAnsi="Arial" w:eastAsia="宋体" w:cs="Arial"/>
                <w:sz w:val="21"/>
                <w:szCs w:val="21"/>
              </w:rPr>
            </w:pPr>
            <w:r>
              <w:rPr>
                <w:rFonts w:ascii="Arial" w:hAnsi="Arial" w:eastAsia="宋体" w:cs="Arial"/>
                <w:sz w:val="21"/>
                <w:szCs w:val="21"/>
              </w:rPr>
              <w:t>释放或泄漏速率/（kg/s）</w:t>
            </w:r>
          </w:p>
        </w:tc>
        <w:tc>
          <w:tcPr>
            <w:tcW w:w="549" w:type="pct"/>
            <w:tcBorders>
              <w:top w:val="single" w:color="auto" w:sz="4" w:space="0"/>
              <w:left w:val="single" w:color="auto" w:sz="4" w:space="0"/>
              <w:bottom w:val="single" w:color="auto" w:sz="4" w:space="0"/>
              <w:right w:val="single" w:color="auto" w:sz="4" w:space="0"/>
            </w:tcBorders>
            <w:vAlign w:val="center"/>
          </w:tcPr>
          <w:p w14:paraId="4D3D143D">
            <w:pPr>
              <w:spacing w:line="240" w:lineRule="exact"/>
              <w:jc w:val="center"/>
              <w:rPr>
                <w:rFonts w:ascii="Arial" w:hAnsi="Arial" w:eastAsia="宋体" w:cs="Arial"/>
                <w:sz w:val="21"/>
                <w:szCs w:val="21"/>
              </w:rPr>
            </w:pPr>
            <w:r>
              <w:rPr>
                <w:rFonts w:ascii="Arial" w:hAnsi="Arial" w:eastAsia="宋体" w:cs="Arial"/>
                <w:sz w:val="21"/>
                <w:szCs w:val="21"/>
              </w:rPr>
              <w:t>释放或泄漏时间</w:t>
            </w:r>
          </w:p>
        </w:tc>
        <w:tc>
          <w:tcPr>
            <w:tcW w:w="532" w:type="pct"/>
            <w:tcBorders>
              <w:top w:val="single" w:color="auto" w:sz="4" w:space="0"/>
              <w:left w:val="single" w:color="auto" w:sz="4" w:space="0"/>
              <w:bottom w:val="single" w:color="auto" w:sz="4" w:space="0"/>
              <w:right w:val="single" w:color="auto" w:sz="4" w:space="0"/>
            </w:tcBorders>
            <w:vAlign w:val="center"/>
          </w:tcPr>
          <w:p w14:paraId="3B3E527C">
            <w:pPr>
              <w:spacing w:line="240" w:lineRule="exact"/>
              <w:jc w:val="center"/>
              <w:rPr>
                <w:rFonts w:ascii="Arial" w:hAnsi="Arial" w:eastAsia="宋体" w:cs="Arial"/>
                <w:sz w:val="21"/>
                <w:szCs w:val="21"/>
              </w:rPr>
            </w:pPr>
            <w:r>
              <w:rPr>
                <w:rFonts w:ascii="Arial" w:hAnsi="Arial" w:eastAsia="宋体" w:cs="Arial"/>
                <w:sz w:val="21"/>
                <w:szCs w:val="21"/>
              </w:rPr>
              <w:t>最大释放或泄漏量/kg</w:t>
            </w:r>
          </w:p>
        </w:tc>
        <w:tc>
          <w:tcPr>
            <w:tcW w:w="593" w:type="pct"/>
            <w:tcBorders>
              <w:top w:val="single" w:color="auto" w:sz="4" w:space="0"/>
              <w:left w:val="single" w:color="auto" w:sz="4" w:space="0"/>
              <w:bottom w:val="single" w:color="auto" w:sz="4" w:space="0"/>
              <w:right w:val="single" w:color="auto" w:sz="4" w:space="0"/>
            </w:tcBorders>
            <w:vAlign w:val="center"/>
          </w:tcPr>
          <w:p w14:paraId="60EF2F38">
            <w:pPr>
              <w:spacing w:line="240" w:lineRule="exact"/>
              <w:jc w:val="center"/>
              <w:rPr>
                <w:rFonts w:ascii="Arial" w:hAnsi="Arial" w:eastAsia="宋体" w:cs="Arial"/>
                <w:sz w:val="21"/>
                <w:szCs w:val="21"/>
              </w:rPr>
            </w:pPr>
            <w:r>
              <w:rPr>
                <w:rFonts w:ascii="Arial" w:hAnsi="Arial" w:eastAsia="宋体" w:cs="Arial"/>
                <w:sz w:val="21"/>
                <w:szCs w:val="21"/>
              </w:rPr>
              <w:t>泄漏液体蒸发量/kg</w:t>
            </w:r>
          </w:p>
        </w:tc>
        <w:tc>
          <w:tcPr>
            <w:tcW w:w="585" w:type="pct"/>
            <w:tcBorders>
              <w:top w:val="single" w:color="auto" w:sz="4" w:space="0"/>
              <w:left w:val="single" w:color="auto" w:sz="4" w:space="0"/>
              <w:bottom w:val="single" w:color="auto" w:sz="4" w:space="0"/>
              <w:right w:val="single" w:color="auto" w:sz="4" w:space="0"/>
            </w:tcBorders>
            <w:vAlign w:val="center"/>
          </w:tcPr>
          <w:p w14:paraId="52F35ED2">
            <w:pPr>
              <w:spacing w:line="240" w:lineRule="exact"/>
              <w:jc w:val="center"/>
              <w:rPr>
                <w:rFonts w:ascii="Arial" w:hAnsi="Arial" w:eastAsia="宋体" w:cs="Arial"/>
                <w:sz w:val="21"/>
                <w:szCs w:val="21"/>
              </w:rPr>
            </w:pPr>
            <w:r>
              <w:rPr>
                <w:rFonts w:ascii="Arial" w:hAnsi="Arial" w:eastAsia="宋体" w:cs="Arial"/>
                <w:sz w:val="21"/>
                <w:szCs w:val="21"/>
              </w:rPr>
              <w:t>其他事故源参数</w:t>
            </w:r>
          </w:p>
        </w:tc>
      </w:tr>
      <w:tr w14:paraId="1ADE0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6" w:type="pct"/>
            <w:tcBorders>
              <w:top w:val="single" w:color="auto" w:sz="4" w:space="0"/>
              <w:left w:val="single" w:color="auto" w:sz="4" w:space="0"/>
              <w:bottom w:val="single" w:color="auto" w:sz="4" w:space="0"/>
              <w:right w:val="single" w:color="auto" w:sz="4" w:space="0"/>
            </w:tcBorders>
            <w:vAlign w:val="center"/>
          </w:tcPr>
          <w:p w14:paraId="7CEF45E0">
            <w:pPr>
              <w:spacing w:line="240" w:lineRule="exact"/>
              <w:jc w:val="center"/>
              <w:rPr>
                <w:rFonts w:ascii="Arial" w:hAnsi="Arial" w:eastAsia="宋体" w:cs="Arial"/>
                <w:sz w:val="21"/>
                <w:szCs w:val="21"/>
              </w:rPr>
            </w:pPr>
            <w:r>
              <w:rPr>
                <w:rFonts w:ascii="Arial" w:hAnsi="Arial" w:eastAsia="宋体" w:cs="Arial"/>
                <w:sz w:val="21"/>
                <w:szCs w:val="21"/>
              </w:rPr>
              <w:t>1</w:t>
            </w:r>
          </w:p>
        </w:tc>
        <w:tc>
          <w:tcPr>
            <w:tcW w:w="544" w:type="pct"/>
            <w:tcBorders>
              <w:top w:val="single" w:color="auto" w:sz="4" w:space="0"/>
              <w:left w:val="single" w:color="auto" w:sz="4" w:space="0"/>
              <w:bottom w:val="single" w:color="auto" w:sz="4" w:space="0"/>
              <w:right w:val="single" w:color="auto" w:sz="4" w:space="0"/>
            </w:tcBorders>
            <w:vAlign w:val="center"/>
          </w:tcPr>
          <w:p w14:paraId="02588E6D">
            <w:pPr>
              <w:spacing w:line="240" w:lineRule="exact"/>
              <w:jc w:val="center"/>
              <w:rPr>
                <w:rFonts w:ascii="Arial" w:hAnsi="Arial" w:eastAsia="宋体" w:cs="Arial"/>
                <w:sz w:val="21"/>
                <w:szCs w:val="21"/>
              </w:rPr>
            </w:pPr>
            <w:r>
              <w:rPr>
                <w:rFonts w:hint="eastAsia" w:ascii="Arial" w:hAnsi="Arial" w:eastAsia="宋体" w:cs="Arial"/>
                <w:sz w:val="21"/>
                <w:szCs w:val="21"/>
              </w:rPr>
              <w:t>氨水罐泄漏</w:t>
            </w:r>
          </w:p>
        </w:tc>
        <w:tc>
          <w:tcPr>
            <w:tcW w:w="410" w:type="pct"/>
            <w:tcBorders>
              <w:top w:val="single" w:color="auto" w:sz="4" w:space="0"/>
              <w:left w:val="single" w:color="auto" w:sz="4" w:space="0"/>
              <w:bottom w:val="single" w:color="auto" w:sz="4" w:space="0"/>
              <w:right w:val="single" w:color="auto" w:sz="4" w:space="0"/>
            </w:tcBorders>
            <w:vAlign w:val="center"/>
          </w:tcPr>
          <w:p w14:paraId="1A5C9C61">
            <w:pPr>
              <w:spacing w:line="240" w:lineRule="exact"/>
              <w:jc w:val="center"/>
              <w:rPr>
                <w:rFonts w:ascii="Arial" w:hAnsi="Arial" w:eastAsia="宋体" w:cs="Arial"/>
                <w:sz w:val="21"/>
                <w:szCs w:val="21"/>
              </w:rPr>
            </w:pPr>
            <w:r>
              <w:rPr>
                <w:rFonts w:hint="eastAsia" w:ascii="Arial" w:hAnsi="Arial" w:eastAsia="宋体" w:cs="Arial"/>
                <w:sz w:val="21"/>
                <w:szCs w:val="21"/>
              </w:rPr>
              <w:t>X19车间</w:t>
            </w:r>
          </w:p>
        </w:tc>
        <w:tc>
          <w:tcPr>
            <w:tcW w:w="470" w:type="pct"/>
            <w:tcBorders>
              <w:top w:val="single" w:color="auto" w:sz="4" w:space="0"/>
              <w:left w:val="single" w:color="auto" w:sz="4" w:space="0"/>
              <w:bottom w:val="single" w:color="auto" w:sz="4" w:space="0"/>
              <w:right w:val="single" w:color="auto" w:sz="4" w:space="0"/>
            </w:tcBorders>
            <w:vAlign w:val="center"/>
          </w:tcPr>
          <w:p w14:paraId="6DE7F23B">
            <w:pPr>
              <w:spacing w:line="240" w:lineRule="exact"/>
              <w:jc w:val="center"/>
              <w:rPr>
                <w:rFonts w:ascii="Arial" w:hAnsi="Arial" w:eastAsia="宋体" w:cs="Arial"/>
                <w:sz w:val="21"/>
                <w:szCs w:val="21"/>
              </w:rPr>
            </w:pPr>
            <w:r>
              <w:rPr>
                <w:rFonts w:hint="eastAsia" w:ascii="Arial" w:hAnsi="Arial" w:eastAsia="宋体" w:cs="Arial"/>
                <w:sz w:val="21"/>
                <w:szCs w:val="21"/>
              </w:rPr>
              <w:t>氨</w:t>
            </w:r>
          </w:p>
        </w:tc>
        <w:tc>
          <w:tcPr>
            <w:tcW w:w="474" w:type="pct"/>
            <w:tcBorders>
              <w:top w:val="single" w:color="auto" w:sz="4" w:space="0"/>
              <w:left w:val="single" w:color="auto" w:sz="4" w:space="0"/>
              <w:bottom w:val="single" w:color="auto" w:sz="4" w:space="0"/>
              <w:right w:val="single" w:color="auto" w:sz="4" w:space="0"/>
            </w:tcBorders>
            <w:vAlign w:val="center"/>
          </w:tcPr>
          <w:p w14:paraId="7644ACBA">
            <w:pPr>
              <w:spacing w:line="240" w:lineRule="exact"/>
              <w:jc w:val="center"/>
              <w:rPr>
                <w:rFonts w:ascii="Arial" w:hAnsi="Arial" w:eastAsia="宋体" w:cs="Arial"/>
                <w:sz w:val="21"/>
                <w:szCs w:val="21"/>
              </w:rPr>
            </w:pPr>
            <w:r>
              <w:rPr>
                <w:rFonts w:hint="eastAsia" w:ascii="Arial" w:hAnsi="Arial" w:eastAsia="宋体" w:cs="Arial"/>
                <w:sz w:val="21"/>
                <w:szCs w:val="21"/>
              </w:rPr>
              <w:t>进入大气</w:t>
            </w:r>
          </w:p>
        </w:tc>
        <w:tc>
          <w:tcPr>
            <w:tcW w:w="597" w:type="pct"/>
            <w:tcBorders>
              <w:top w:val="single" w:color="auto" w:sz="4" w:space="0"/>
              <w:left w:val="single" w:color="auto" w:sz="4" w:space="0"/>
              <w:bottom w:val="single" w:color="auto" w:sz="4" w:space="0"/>
              <w:right w:val="single" w:color="auto" w:sz="4" w:space="0"/>
            </w:tcBorders>
            <w:vAlign w:val="center"/>
          </w:tcPr>
          <w:p w14:paraId="43A35FF8">
            <w:pPr>
              <w:spacing w:line="240" w:lineRule="exact"/>
              <w:jc w:val="center"/>
              <w:rPr>
                <w:rFonts w:ascii="Arial" w:hAnsi="Arial" w:eastAsia="宋体" w:cs="Arial"/>
                <w:sz w:val="21"/>
                <w:szCs w:val="21"/>
              </w:rPr>
            </w:pPr>
            <w:r>
              <w:rPr>
                <w:rFonts w:hint="eastAsia" w:ascii="Arial" w:hAnsi="Arial" w:eastAsia="宋体" w:cs="Arial"/>
                <w:sz w:val="21"/>
                <w:szCs w:val="21"/>
              </w:rPr>
              <w:t>0.014</w:t>
            </w:r>
          </w:p>
          <w:p w14:paraId="6DA5856F">
            <w:pPr>
              <w:spacing w:line="240" w:lineRule="exact"/>
              <w:jc w:val="center"/>
              <w:rPr>
                <w:rFonts w:ascii="Arial" w:hAnsi="Arial" w:eastAsia="宋体" w:cs="Arial"/>
                <w:sz w:val="21"/>
                <w:szCs w:val="21"/>
              </w:rPr>
            </w:pPr>
            <w:r>
              <w:rPr>
                <w:rFonts w:hint="eastAsia" w:ascii="Arial" w:hAnsi="Arial" w:eastAsia="宋体" w:cs="Arial"/>
                <w:sz w:val="21"/>
                <w:szCs w:val="21"/>
              </w:rPr>
              <w:t>0.022</w:t>
            </w:r>
          </w:p>
        </w:tc>
        <w:tc>
          <w:tcPr>
            <w:tcW w:w="549" w:type="pct"/>
            <w:tcBorders>
              <w:top w:val="single" w:color="auto" w:sz="4" w:space="0"/>
              <w:left w:val="single" w:color="auto" w:sz="4" w:space="0"/>
              <w:bottom w:val="single" w:color="auto" w:sz="4" w:space="0"/>
              <w:right w:val="single" w:color="auto" w:sz="4" w:space="0"/>
            </w:tcBorders>
            <w:vAlign w:val="center"/>
          </w:tcPr>
          <w:p w14:paraId="01FCD316">
            <w:pPr>
              <w:spacing w:line="240" w:lineRule="exact"/>
              <w:jc w:val="center"/>
              <w:rPr>
                <w:rFonts w:ascii="Arial" w:hAnsi="Arial" w:eastAsia="宋体" w:cs="Arial"/>
                <w:sz w:val="21"/>
                <w:szCs w:val="21"/>
              </w:rPr>
            </w:pPr>
            <w:r>
              <w:rPr>
                <w:rFonts w:hint="eastAsia" w:ascii="Arial" w:hAnsi="Arial" w:eastAsia="宋体" w:cs="Arial"/>
                <w:sz w:val="21"/>
                <w:szCs w:val="21"/>
              </w:rPr>
              <w:t>30min</w:t>
            </w:r>
          </w:p>
        </w:tc>
        <w:tc>
          <w:tcPr>
            <w:tcW w:w="532" w:type="pct"/>
            <w:tcBorders>
              <w:top w:val="single" w:color="auto" w:sz="4" w:space="0"/>
              <w:left w:val="single" w:color="auto" w:sz="4" w:space="0"/>
              <w:bottom w:val="single" w:color="auto" w:sz="4" w:space="0"/>
              <w:right w:val="single" w:color="auto" w:sz="4" w:space="0"/>
            </w:tcBorders>
            <w:vAlign w:val="center"/>
          </w:tcPr>
          <w:p w14:paraId="5B3AABDD">
            <w:pPr>
              <w:spacing w:line="240" w:lineRule="exact"/>
              <w:jc w:val="center"/>
              <w:rPr>
                <w:rFonts w:ascii="Arial" w:hAnsi="Arial" w:eastAsia="宋体" w:cs="Arial"/>
                <w:sz w:val="21"/>
                <w:szCs w:val="21"/>
              </w:rPr>
            </w:pPr>
            <w:r>
              <w:rPr>
                <w:rFonts w:hint="eastAsia" w:ascii="Arial" w:hAnsi="Arial" w:eastAsia="宋体" w:cs="Arial"/>
                <w:sz w:val="21"/>
                <w:szCs w:val="21"/>
              </w:rPr>
              <w:t>/</w:t>
            </w:r>
          </w:p>
        </w:tc>
        <w:tc>
          <w:tcPr>
            <w:tcW w:w="593" w:type="pct"/>
            <w:tcBorders>
              <w:top w:val="single" w:color="auto" w:sz="4" w:space="0"/>
              <w:left w:val="single" w:color="auto" w:sz="4" w:space="0"/>
              <w:bottom w:val="single" w:color="auto" w:sz="4" w:space="0"/>
              <w:right w:val="single" w:color="auto" w:sz="4" w:space="0"/>
            </w:tcBorders>
            <w:vAlign w:val="center"/>
          </w:tcPr>
          <w:p w14:paraId="74E011F4">
            <w:pPr>
              <w:spacing w:line="240" w:lineRule="exact"/>
              <w:jc w:val="center"/>
              <w:rPr>
                <w:rFonts w:ascii="Arial" w:hAnsi="Arial" w:eastAsia="宋体" w:cs="Arial"/>
                <w:sz w:val="21"/>
                <w:szCs w:val="21"/>
              </w:rPr>
            </w:pPr>
            <w:r>
              <w:rPr>
                <w:rFonts w:hint="eastAsia" w:ascii="Arial" w:hAnsi="Arial" w:eastAsia="宋体" w:cs="Arial"/>
                <w:sz w:val="21"/>
                <w:szCs w:val="21"/>
              </w:rPr>
              <w:t>25.2</w:t>
            </w:r>
          </w:p>
          <w:p w14:paraId="531DB839">
            <w:pPr>
              <w:spacing w:line="240" w:lineRule="exact"/>
              <w:jc w:val="center"/>
              <w:rPr>
                <w:rFonts w:ascii="Arial" w:hAnsi="Arial" w:eastAsia="宋体" w:cs="Arial"/>
                <w:sz w:val="21"/>
                <w:szCs w:val="21"/>
              </w:rPr>
            </w:pPr>
            <w:r>
              <w:rPr>
                <w:rFonts w:hint="eastAsia" w:ascii="Arial" w:hAnsi="Arial" w:eastAsia="宋体" w:cs="Arial"/>
                <w:sz w:val="21"/>
                <w:szCs w:val="21"/>
              </w:rPr>
              <w:t>39.6</w:t>
            </w:r>
          </w:p>
        </w:tc>
        <w:tc>
          <w:tcPr>
            <w:tcW w:w="585" w:type="pct"/>
            <w:tcBorders>
              <w:top w:val="single" w:color="auto" w:sz="4" w:space="0"/>
              <w:left w:val="single" w:color="auto" w:sz="4" w:space="0"/>
              <w:bottom w:val="single" w:color="auto" w:sz="4" w:space="0"/>
              <w:right w:val="single" w:color="auto" w:sz="4" w:space="0"/>
            </w:tcBorders>
            <w:vAlign w:val="center"/>
          </w:tcPr>
          <w:p w14:paraId="363142D7">
            <w:pPr>
              <w:spacing w:line="240" w:lineRule="exact"/>
              <w:jc w:val="center"/>
              <w:rPr>
                <w:rFonts w:ascii="Arial" w:hAnsi="Arial" w:eastAsia="宋体" w:cs="Arial"/>
                <w:sz w:val="21"/>
                <w:szCs w:val="21"/>
              </w:rPr>
            </w:pPr>
            <w:r>
              <w:rPr>
                <w:rFonts w:hint="eastAsia" w:ascii="Arial" w:hAnsi="Arial" w:eastAsia="宋体" w:cs="Arial"/>
                <w:sz w:val="21"/>
                <w:szCs w:val="21"/>
              </w:rPr>
              <w:t>/</w:t>
            </w:r>
          </w:p>
        </w:tc>
      </w:tr>
      <w:tr w14:paraId="0DE27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6" w:type="pct"/>
            <w:tcBorders>
              <w:top w:val="single" w:color="auto" w:sz="4" w:space="0"/>
              <w:left w:val="single" w:color="auto" w:sz="4" w:space="0"/>
              <w:bottom w:val="single" w:color="auto" w:sz="4" w:space="0"/>
              <w:right w:val="single" w:color="auto" w:sz="4" w:space="0"/>
            </w:tcBorders>
            <w:vAlign w:val="center"/>
          </w:tcPr>
          <w:p w14:paraId="53BF319C">
            <w:pPr>
              <w:spacing w:line="240" w:lineRule="exact"/>
              <w:jc w:val="center"/>
              <w:rPr>
                <w:rFonts w:ascii="Arial" w:hAnsi="Arial" w:eastAsia="宋体" w:cs="Arial"/>
                <w:sz w:val="21"/>
                <w:szCs w:val="21"/>
              </w:rPr>
            </w:pPr>
            <w:r>
              <w:rPr>
                <w:rFonts w:hint="eastAsia" w:ascii="Arial" w:hAnsi="Arial" w:eastAsia="宋体" w:cs="Arial"/>
                <w:sz w:val="21"/>
                <w:szCs w:val="21"/>
              </w:rPr>
              <w:t>2</w:t>
            </w:r>
          </w:p>
        </w:tc>
        <w:tc>
          <w:tcPr>
            <w:tcW w:w="544" w:type="pct"/>
            <w:tcBorders>
              <w:top w:val="single" w:color="auto" w:sz="4" w:space="0"/>
              <w:left w:val="single" w:color="auto" w:sz="4" w:space="0"/>
              <w:bottom w:val="single" w:color="auto" w:sz="4" w:space="0"/>
              <w:right w:val="single" w:color="auto" w:sz="4" w:space="0"/>
            </w:tcBorders>
            <w:vAlign w:val="center"/>
          </w:tcPr>
          <w:p w14:paraId="68DF1B5D">
            <w:pPr>
              <w:spacing w:line="240" w:lineRule="exact"/>
              <w:jc w:val="center"/>
              <w:rPr>
                <w:rFonts w:ascii="Arial" w:hAnsi="Arial" w:eastAsia="宋体" w:cs="Arial"/>
                <w:sz w:val="21"/>
                <w:szCs w:val="21"/>
              </w:rPr>
            </w:pPr>
            <w:r>
              <w:rPr>
                <w:rFonts w:hint="eastAsia" w:ascii="Arial" w:hAnsi="Arial" w:eastAsia="宋体" w:cs="Arial"/>
                <w:sz w:val="21"/>
                <w:szCs w:val="21"/>
              </w:rPr>
              <w:t>洗水外排槽</w:t>
            </w:r>
            <w:r>
              <w:rPr>
                <w:rFonts w:ascii="Arial" w:hAnsi="Arial" w:eastAsia="宋体" w:cs="Arial"/>
                <w:sz w:val="21"/>
                <w:szCs w:val="21"/>
              </w:rPr>
              <w:t>泄漏</w:t>
            </w:r>
          </w:p>
        </w:tc>
        <w:tc>
          <w:tcPr>
            <w:tcW w:w="410" w:type="pct"/>
            <w:tcBorders>
              <w:top w:val="single" w:color="auto" w:sz="4" w:space="0"/>
              <w:left w:val="single" w:color="auto" w:sz="4" w:space="0"/>
              <w:bottom w:val="single" w:color="auto" w:sz="4" w:space="0"/>
              <w:right w:val="single" w:color="auto" w:sz="4" w:space="0"/>
            </w:tcBorders>
            <w:vAlign w:val="center"/>
          </w:tcPr>
          <w:p w14:paraId="5229BBFD">
            <w:pPr>
              <w:spacing w:line="240" w:lineRule="exact"/>
              <w:jc w:val="center"/>
              <w:rPr>
                <w:rFonts w:ascii="Arial" w:hAnsi="Arial" w:eastAsia="宋体" w:cs="Arial"/>
                <w:sz w:val="21"/>
                <w:szCs w:val="21"/>
              </w:rPr>
            </w:pPr>
            <w:r>
              <w:rPr>
                <w:rFonts w:ascii="Arial" w:hAnsi="Arial" w:eastAsia="宋体" w:cs="Arial"/>
                <w:sz w:val="21"/>
                <w:szCs w:val="21"/>
              </w:rPr>
              <w:t>X1</w:t>
            </w:r>
            <w:r>
              <w:rPr>
                <w:rFonts w:hint="eastAsia" w:ascii="Arial" w:hAnsi="Arial" w:eastAsia="宋体" w:cs="Arial"/>
                <w:sz w:val="21"/>
                <w:szCs w:val="21"/>
              </w:rPr>
              <w:t>9</w:t>
            </w:r>
            <w:r>
              <w:rPr>
                <w:rFonts w:ascii="Arial" w:hAnsi="Arial" w:eastAsia="宋体" w:cs="Arial"/>
                <w:sz w:val="21"/>
                <w:szCs w:val="21"/>
              </w:rPr>
              <w:t>车间</w:t>
            </w:r>
          </w:p>
        </w:tc>
        <w:tc>
          <w:tcPr>
            <w:tcW w:w="470" w:type="pct"/>
            <w:tcBorders>
              <w:top w:val="single" w:color="auto" w:sz="4" w:space="0"/>
              <w:left w:val="single" w:color="auto" w:sz="4" w:space="0"/>
              <w:bottom w:val="single" w:color="auto" w:sz="4" w:space="0"/>
              <w:right w:val="single" w:color="auto" w:sz="4" w:space="0"/>
            </w:tcBorders>
            <w:vAlign w:val="center"/>
          </w:tcPr>
          <w:p w14:paraId="261DC6C2">
            <w:pPr>
              <w:spacing w:line="240" w:lineRule="exact"/>
              <w:jc w:val="center"/>
              <w:rPr>
                <w:rFonts w:ascii="Arial" w:hAnsi="Arial" w:eastAsia="宋体" w:cs="Arial"/>
                <w:sz w:val="21"/>
                <w:szCs w:val="21"/>
              </w:rPr>
            </w:pPr>
            <w:r>
              <w:rPr>
                <w:rFonts w:hint="eastAsia" w:ascii="Arial" w:hAnsi="Arial" w:eastAsia="宋体" w:cs="Arial"/>
                <w:sz w:val="21"/>
                <w:szCs w:val="21"/>
              </w:rPr>
              <w:t>钴及其化合物</w:t>
            </w:r>
          </w:p>
        </w:tc>
        <w:tc>
          <w:tcPr>
            <w:tcW w:w="474" w:type="pct"/>
            <w:tcBorders>
              <w:top w:val="single" w:color="auto" w:sz="4" w:space="0"/>
              <w:left w:val="single" w:color="auto" w:sz="4" w:space="0"/>
              <w:bottom w:val="single" w:color="auto" w:sz="4" w:space="0"/>
              <w:right w:val="single" w:color="auto" w:sz="4" w:space="0"/>
            </w:tcBorders>
            <w:vAlign w:val="center"/>
          </w:tcPr>
          <w:p w14:paraId="5F5EBEE4">
            <w:pPr>
              <w:spacing w:line="240" w:lineRule="exact"/>
              <w:jc w:val="center"/>
              <w:rPr>
                <w:rFonts w:ascii="Arial" w:hAnsi="Arial" w:eastAsia="宋体" w:cs="Arial"/>
                <w:sz w:val="21"/>
                <w:szCs w:val="21"/>
              </w:rPr>
            </w:pPr>
            <w:r>
              <w:rPr>
                <w:rFonts w:ascii="Arial" w:hAnsi="Arial" w:eastAsia="宋体" w:cs="Arial"/>
                <w:sz w:val="21"/>
                <w:szCs w:val="21"/>
              </w:rPr>
              <w:t>进入地下水</w:t>
            </w:r>
          </w:p>
        </w:tc>
        <w:tc>
          <w:tcPr>
            <w:tcW w:w="597" w:type="pct"/>
            <w:tcBorders>
              <w:top w:val="single" w:color="auto" w:sz="4" w:space="0"/>
              <w:left w:val="single" w:color="auto" w:sz="4" w:space="0"/>
              <w:bottom w:val="single" w:color="auto" w:sz="4" w:space="0"/>
              <w:right w:val="single" w:color="auto" w:sz="4" w:space="0"/>
            </w:tcBorders>
            <w:vAlign w:val="center"/>
          </w:tcPr>
          <w:p w14:paraId="50CE166E">
            <w:pPr>
              <w:spacing w:line="240" w:lineRule="exact"/>
              <w:jc w:val="center"/>
              <w:rPr>
                <w:rFonts w:ascii="Arial" w:hAnsi="Arial" w:eastAsia="宋体" w:cs="Arial"/>
                <w:sz w:val="21"/>
                <w:szCs w:val="21"/>
                <w:vertAlign w:val="superscript"/>
              </w:rPr>
            </w:pPr>
            <w:r>
              <w:rPr>
                <w:rFonts w:hint="eastAsia" w:ascii="Arial" w:hAnsi="Arial" w:eastAsia="宋体" w:cs="Arial"/>
                <w:sz w:val="21"/>
                <w:szCs w:val="21"/>
              </w:rPr>
              <w:t>0.004kg/d</w:t>
            </w:r>
          </w:p>
        </w:tc>
        <w:tc>
          <w:tcPr>
            <w:tcW w:w="549" w:type="pct"/>
            <w:tcBorders>
              <w:top w:val="single" w:color="auto" w:sz="4" w:space="0"/>
              <w:left w:val="single" w:color="auto" w:sz="4" w:space="0"/>
              <w:bottom w:val="single" w:color="auto" w:sz="4" w:space="0"/>
              <w:right w:val="single" w:color="auto" w:sz="4" w:space="0"/>
            </w:tcBorders>
            <w:vAlign w:val="center"/>
          </w:tcPr>
          <w:p w14:paraId="0D3F5F7E">
            <w:pPr>
              <w:spacing w:line="240" w:lineRule="exact"/>
              <w:jc w:val="center"/>
              <w:rPr>
                <w:rFonts w:ascii="Arial" w:hAnsi="Arial" w:eastAsia="宋体" w:cs="Arial"/>
                <w:sz w:val="21"/>
                <w:szCs w:val="21"/>
              </w:rPr>
            </w:pPr>
            <w:r>
              <w:rPr>
                <w:rFonts w:ascii="Arial" w:hAnsi="Arial" w:eastAsia="宋体" w:cs="Arial"/>
                <w:sz w:val="21"/>
                <w:szCs w:val="21"/>
              </w:rPr>
              <w:t>24h</w:t>
            </w:r>
          </w:p>
        </w:tc>
        <w:tc>
          <w:tcPr>
            <w:tcW w:w="532" w:type="pct"/>
            <w:tcBorders>
              <w:top w:val="single" w:color="auto" w:sz="4" w:space="0"/>
              <w:left w:val="single" w:color="auto" w:sz="4" w:space="0"/>
              <w:bottom w:val="single" w:color="auto" w:sz="4" w:space="0"/>
              <w:right w:val="single" w:color="auto" w:sz="4" w:space="0"/>
            </w:tcBorders>
            <w:vAlign w:val="center"/>
          </w:tcPr>
          <w:p w14:paraId="533F1CF8">
            <w:pPr>
              <w:spacing w:line="240" w:lineRule="exact"/>
              <w:jc w:val="center"/>
              <w:rPr>
                <w:rFonts w:ascii="Arial" w:hAnsi="Arial" w:eastAsia="宋体" w:cs="Arial"/>
                <w:sz w:val="21"/>
                <w:szCs w:val="21"/>
              </w:rPr>
            </w:pPr>
            <w:r>
              <w:rPr>
                <w:rFonts w:hint="eastAsia" w:ascii="Arial" w:hAnsi="Arial" w:eastAsia="宋体" w:cs="Arial"/>
                <w:sz w:val="21"/>
                <w:szCs w:val="21"/>
              </w:rPr>
              <w:t>0.004</w:t>
            </w:r>
          </w:p>
        </w:tc>
        <w:tc>
          <w:tcPr>
            <w:tcW w:w="593" w:type="pct"/>
            <w:tcBorders>
              <w:top w:val="single" w:color="auto" w:sz="4" w:space="0"/>
              <w:left w:val="single" w:color="auto" w:sz="4" w:space="0"/>
              <w:bottom w:val="single" w:color="auto" w:sz="4" w:space="0"/>
              <w:right w:val="single" w:color="auto" w:sz="4" w:space="0"/>
            </w:tcBorders>
            <w:vAlign w:val="center"/>
          </w:tcPr>
          <w:p w14:paraId="374738C6">
            <w:pPr>
              <w:spacing w:line="240" w:lineRule="exact"/>
              <w:jc w:val="center"/>
              <w:rPr>
                <w:rFonts w:ascii="Arial" w:hAnsi="Arial" w:eastAsia="宋体" w:cs="Arial"/>
                <w:sz w:val="21"/>
                <w:szCs w:val="21"/>
              </w:rPr>
            </w:pPr>
            <w:r>
              <w:rPr>
                <w:rFonts w:ascii="Arial" w:hAnsi="Arial" w:eastAsia="宋体" w:cs="Arial"/>
                <w:sz w:val="21"/>
                <w:szCs w:val="21"/>
              </w:rPr>
              <w:t>/</w:t>
            </w:r>
          </w:p>
        </w:tc>
        <w:tc>
          <w:tcPr>
            <w:tcW w:w="585" w:type="pct"/>
            <w:tcBorders>
              <w:top w:val="single" w:color="auto" w:sz="4" w:space="0"/>
              <w:left w:val="single" w:color="auto" w:sz="4" w:space="0"/>
              <w:bottom w:val="single" w:color="auto" w:sz="4" w:space="0"/>
              <w:right w:val="single" w:color="auto" w:sz="4" w:space="0"/>
            </w:tcBorders>
            <w:vAlign w:val="center"/>
          </w:tcPr>
          <w:p w14:paraId="4259E63C">
            <w:pPr>
              <w:spacing w:line="240" w:lineRule="exact"/>
              <w:jc w:val="center"/>
              <w:rPr>
                <w:rFonts w:ascii="Arial" w:hAnsi="Arial" w:eastAsia="宋体" w:cs="Arial"/>
                <w:sz w:val="21"/>
                <w:szCs w:val="21"/>
              </w:rPr>
            </w:pPr>
            <w:r>
              <w:rPr>
                <w:rFonts w:ascii="Arial" w:hAnsi="Arial" w:eastAsia="宋体" w:cs="Arial"/>
                <w:sz w:val="21"/>
                <w:szCs w:val="21"/>
              </w:rPr>
              <w:t>/</w:t>
            </w:r>
          </w:p>
        </w:tc>
      </w:tr>
      <w:tr w14:paraId="13B04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6" w:type="pct"/>
            <w:tcBorders>
              <w:top w:val="single" w:color="auto" w:sz="4" w:space="0"/>
              <w:left w:val="single" w:color="auto" w:sz="4" w:space="0"/>
              <w:bottom w:val="single" w:color="auto" w:sz="4" w:space="0"/>
              <w:right w:val="single" w:color="auto" w:sz="4" w:space="0"/>
            </w:tcBorders>
            <w:vAlign w:val="center"/>
          </w:tcPr>
          <w:p w14:paraId="432DDB32">
            <w:pPr>
              <w:spacing w:line="240" w:lineRule="exact"/>
              <w:jc w:val="center"/>
              <w:rPr>
                <w:rFonts w:ascii="Arial" w:hAnsi="Arial" w:eastAsia="宋体" w:cs="Arial"/>
                <w:sz w:val="21"/>
                <w:szCs w:val="21"/>
              </w:rPr>
            </w:pPr>
            <w:r>
              <w:rPr>
                <w:rFonts w:hint="eastAsia" w:ascii="Arial" w:hAnsi="Arial" w:eastAsia="宋体" w:cs="Arial"/>
                <w:sz w:val="21"/>
                <w:szCs w:val="21"/>
              </w:rPr>
              <w:t>3</w:t>
            </w:r>
          </w:p>
        </w:tc>
        <w:tc>
          <w:tcPr>
            <w:tcW w:w="544" w:type="pct"/>
            <w:tcBorders>
              <w:top w:val="single" w:color="auto" w:sz="4" w:space="0"/>
              <w:left w:val="single" w:color="auto" w:sz="4" w:space="0"/>
              <w:bottom w:val="single" w:color="auto" w:sz="4" w:space="0"/>
              <w:right w:val="single" w:color="auto" w:sz="4" w:space="0"/>
            </w:tcBorders>
            <w:vAlign w:val="center"/>
          </w:tcPr>
          <w:p w14:paraId="513EDF5C">
            <w:pPr>
              <w:spacing w:line="240" w:lineRule="exact"/>
              <w:jc w:val="center"/>
              <w:rPr>
                <w:rFonts w:ascii="Arial" w:hAnsi="Arial" w:eastAsia="宋体" w:cs="Arial"/>
                <w:sz w:val="21"/>
                <w:szCs w:val="21"/>
              </w:rPr>
            </w:pPr>
            <w:r>
              <w:rPr>
                <w:rFonts w:hint="eastAsia" w:ascii="Arial" w:hAnsi="Arial" w:eastAsia="宋体" w:cs="Arial"/>
                <w:sz w:val="21"/>
                <w:szCs w:val="21"/>
              </w:rPr>
              <w:t>配酸储罐泄漏</w:t>
            </w:r>
          </w:p>
        </w:tc>
        <w:tc>
          <w:tcPr>
            <w:tcW w:w="410" w:type="pct"/>
            <w:tcBorders>
              <w:top w:val="single" w:color="auto" w:sz="4" w:space="0"/>
              <w:left w:val="single" w:color="auto" w:sz="4" w:space="0"/>
              <w:bottom w:val="single" w:color="auto" w:sz="4" w:space="0"/>
              <w:right w:val="single" w:color="auto" w:sz="4" w:space="0"/>
            </w:tcBorders>
            <w:vAlign w:val="center"/>
          </w:tcPr>
          <w:p w14:paraId="740BB039">
            <w:pPr>
              <w:spacing w:line="240" w:lineRule="exact"/>
              <w:jc w:val="center"/>
              <w:rPr>
                <w:rFonts w:ascii="Arial" w:hAnsi="Arial" w:eastAsia="宋体" w:cs="Arial"/>
                <w:sz w:val="21"/>
                <w:szCs w:val="21"/>
              </w:rPr>
            </w:pPr>
            <w:r>
              <w:rPr>
                <w:rFonts w:ascii="Arial" w:hAnsi="Arial" w:eastAsia="宋体" w:cs="Arial"/>
                <w:sz w:val="21"/>
                <w:szCs w:val="21"/>
              </w:rPr>
              <w:t>X</w:t>
            </w:r>
            <w:r>
              <w:rPr>
                <w:rFonts w:hint="eastAsia" w:ascii="Arial" w:hAnsi="Arial" w:eastAsia="宋体" w:cs="Arial"/>
                <w:sz w:val="21"/>
                <w:szCs w:val="21"/>
              </w:rPr>
              <w:t>19车间</w:t>
            </w:r>
          </w:p>
        </w:tc>
        <w:tc>
          <w:tcPr>
            <w:tcW w:w="470" w:type="pct"/>
            <w:tcBorders>
              <w:top w:val="single" w:color="auto" w:sz="4" w:space="0"/>
              <w:left w:val="single" w:color="auto" w:sz="4" w:space="0"/>
              <w:bottom w:val="single" w:color="auto" w:sz="4" w:space="0"/>
              <w:right w:val="single" w:color="auto" w:sz="4" w:space="0"/>
            </w:tcBorders>
            <w:vAlign w:val="center"/>
          </w:tcPr>
          <w:p w14:paraId="7F7478CF">
            <w:pPr>
              <w:spacing w:line="240" w:lineRule="exact"/>
              <w:jc w:val="center"/>
              <w:rPr>
                <w:rFonts w:ascii="Arial" w:hAnsi="Arial" w:eastAsia="宋体" w:cs="Arial"/>
                <w:sz w:val="21"/>
                <w:szCs w:val="21"/>
              </w:rPr>
            </w:pPr>
            <w:r>
              <w:rPr>
                <w:rFonts w:ascii="Arial" w:hAnsi="Arial" w:eastAsia="宋体" w:cs="Arial"/>
                <w:sz w:val="21"/>
                <w:szCs w:val="21"/>
              </w:rPr>
              <w:t>硫酸</w:t>
            </w:r>
          </w:p>
        </w:tc>
        <w:tc>
          <w:tcPr>
            <w:tcW w:w="474" w:type="pct"/>
            <w:tcBorders>
              <w:top w:val="single" w:color="auto" w:sz="4" w:space="0"/>
              <w:left w:val="single" w:color="auto" w:sz="4" w:space="0"/>
              <w:bottom w:val="single" w:color="auto" w:sz="4" w:space="0"/>
              <w:right w:val="single" w:color="auto" w:sz="4" w:space="0"/>
            </w:tcBorders>
            <w:vAlign w:val="center"/>
          </w:tcPr>
          <w:p w14:paraId="324B9203">
            <w:pPr>
              <w:spacing w:line="240" w:lineRule="exact"/>
              <w:jc w:val="center"/>
              <w:rPr>
                <w:rFonts w:ascii="Arial" w:hAnsi="Arial" w:eastAsia="宋体" w:cs="Arial"/>
                <w:sz w:val="21"/>
                <w:szCs w:val="21"/>
              </w:rPr>
            </w:pPr>
            <w:r>
              <w:rPr>
                <w:rFonts w:ascii="Arial" w:hAnsi="Arial" w:eastAsia="宋体" w:cs="Arial"/>
                <w:sz w:val="21"/>
                <w:szCs w:val="21"/>
              </w:rPr>
              <w:t>进入地表水</w:t>
            </w:r>
          </w:p>
        </w:tc>
        <w:tc>
          <w:tcPr>
            <w:tcW w:w="597" w:type="pct"/>
            <w:tcBorders>
              <w:top w:val="single" w:color="auto" w:sz="4" w:space="0"/>
              <w:left w:val="single" w:color="auto" w:sz="4" w:space="0"/>
              <w:bottom w:val="single" w:color="auto" w:sz="4" w:space="0"/>
              <w:right w:val="single" w:color="auto" w:sz="4" w:space="0"/>
            </w:tcBorders>
            <w:vAlign w:val="center"/>
          </w:tcPr>
          <w:p w14:paraId="182D5DD3">
            <w:pPr>
              <w:spacing w:line="240" w:lineRule="exact"/>
              <w:jc w:val="center"/>
              <w:rPr>
                <w:rFonts w:ascii="Arial" w:hAnsi="Arial" w:eastAsia="宋体" w:cs="Arial"/>
                <w:sz w:val="21"/>
                <w:szCs w:val="21"/>
              </w:rPr>
            </w:pPr>
            <w:r>
              <w:rPr>
                <w:rFonts w:hint="eastAsia" w:ascii="Arial" w:hAnsi="Arial" w:eastAsia="宋体" w:cs="Arial"/>
                <w:sz w:val="21"/>
                <w:szCs w:val="21"/>
              </w:rPr>
              <w:t>1.7</w:t>
            </w:r>
          </w:p>
        </w:tc>
        <w:tc>
          <w:tcPr>
            <w:tcW w:w="549" w:type="pct"/>
            <w:tcBorders>
              <w:top w:val="single" w:color="auto" w:sz="4" w:space="0"/>
              <w:left w:val="single" w:color="auto" w:sz="4" w:space="0"/>
              <w:bottom w:val="single" w:color="auto" w:sz="4" w:space="0"/>
              <w:right w:val="single" w:color="auto" w:sz="4" w:space="0"/>
            </w:tcBorders>
            <w:vAlign w:val="center"/>
          </w:tcPr>
          <w:p w14:paraId="1F752E3D">
            <w:pPr>
              <w:spacing w:line="240" w:lineRule="exact"/>
              <w:jc w:val="center"/>
              <w:rPr>
                <w:rFonts w:ascii="Arial" w:hAnsi="Arial" w:eastAsia="宋体" w:cs="Arial"/>
                <w:sz w:val="21"/>
                <w:szCs w:val="21"/>
              </w:rPr>
            </w:pPr>
            <w:r>
              <w:rPr>
                <w:rFonts w:hint="eastAsia" w:ascii="Arial" w:hAnsi="Arial" w:eastAsia="宋体" w:cs="Arial"/>
                <w:sz w:val="21"/>
                <w:szCs w:val="21"/>
              </w:rPr>
              <w:t>10min</w:t>
            </w:r>
          </w:p>
        </w:tc>
        <w:tc>
          <w:tcPr>
            <w:tcW w:w="532" w:type="pct"/>
            <w:tcBorders>
              <w:top w:val="single" w:color="auto" w:sz="4" w:space="0"/>
              <w:left w:val="single" w:color="auto" w:sz="4" w:space="0"/>
              <w:bottom w:val="single" w:color="auto" w:sz="4" w:space="0"/>
              <w:right w:val="single" w:color="auto" w:sz="4" w:space="0"/>
            </w:tcBorders>
            <w:vAlign w:val="center"/>
          </w:tcPr>
          <w:p w14:paraId="6D7B91AE">
            <w:pPr>
              <w:spacing w:line="240" w:lineRule="exact"/>
              <w:jc w:val="center"/>
              <w:rPr>
                <w:rFonts w:ascii="Arial" w:hAnsi="Arial" w:eastAsia="宋体" w:cs="Arial"/>
                <w:sz w:val="21"/>
                <w:szCs w:val="21"/>
              </w:rPr>
            </w:pPr>
            <w:r>
              <w:rPr>
                <w:rFonts w:hint="eastAsia" w:ascii="Arial" w:hAnsi="Arial" w:eastAsia="宋体" w:cs="Arial"/>
                <w:sz w:val="21"/>
                <w:szCs w:val="21"/>
              </w:rPr>
              <w:t>1000</w:t>
            </w:r>
          </w:p>
        </w:tc>
        <w:tc>
          <w:tcPr>
            <w:tcW w:w="593" w:type="pct"/>
            <w:tcBorders>
              <w:top w:val="single" w:color="auto" w:sz="4" w:space="0"/>
              <w:left w:val="single" w:color="auto" w:sz="4" w:space="0"/>
              <w:bottom w:val="single" w:color="auto" w:sz="4" w:space="0"/>
              <w:right w:val="single" w:color="auto" w:sz="4" w:space="0"/>
            </w:tcBorders>
            <w:vAlign w:val="center"/>
          </w:tcPr>
          <w:p w14:paraId="3890B0E7">
            <w:pPr>
              <w:spacing w:line="240" w:lineRule="exact"/>
              <w:jc w:val="center"/>
              <w:rPr>
                <w:rFonts w:ascii="Arial" w:hAnsi="Arial" w:eastAsia="宋体" w:cs="Arial"/>
                <w:sz w:val="21"/>
                <w:szCs w:val="21"/>
              </w:rPr>
            </w:pPr>
            <w:r>
              <w:rPr>
                <w:rFonts w:hint="eastAsia" w:ascii="Arial" w:hAnsi="Arial" w:eastAsia="宋体" w:cs="Arial"/>
                <w:sz w:val="21"/>
                <w:szCs w:val="21"/>
              </w:rPr>
              <w:t>/</w:t>
            </w:r>
          </w:p>
        </w:tc>
        <w:tc>
          <w:tcPr>
            <w:tcW w:w="585" w:type="pct"/>
            <w:tcBorders>
              <w:top w:val="single" w:color="auto" w:sz="4" w:space="0"/>
              <w:left w:val="single" w:color="auto" w:sz="4" w:space="0"/>
              <w:bottom w:val="single" w:color="auto" w:sz="4" w:space="0"/>
              <w:right w:val="single" w:color="auto" w:sz="4" w:space="0"/>
            </w:tcBorders>
            <w:vAlign w:val="center"/>
          </w:tcPr>
          <w:p w14:paraId="21DF6EF4">
            <w:pPr>
              <w:spacing w:line="240" w:lineRule="exact"/>
              <w:jc w:val="center"/>
              <w:rPr>
                <w:rFonts w:ascii="Arial" w:hAnsi="Arial" w:eastAsia="宋体" w:cs="Arial"/>
                <w:sz w:val="21"/>
                <w:szCs w:val="21"/>
              </w:rPr>
            </w:pPr>
            <w:r>
              <w:rPr>
                <w:rFonts w:hint="eastAsia" w:ascii="Arial" w:hAnsi="Arial" w:eastAsia="宋体" w:cs="Arial"/>
                <w:sz w:val="21"/>
                <w:szCs w:val="21"/>
              </w:rPr>
              <w:t>/</w:t>
            </w:r>
          </w:p>
        </w:tc>
      </w:tr>
    </w:tbl>
    <w:p w14:paraId="6BFCF3B2">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w:t>
      </w:r>
      <w:r>
        <w:rPr>
          <w:rFonts w:hint="eastAsia" w:ascii="Arial" w:hAnsi="Arial" w:eastAsia="宋体" w:cs="Arial"/>
          <w:b/>
          <w:bCs/>
          <w:sz w:val="24"/>
          <w:szCs w:val="24"/>
        </w:rPr>
        <w:t>预测与评价</w:t>
      </w:r>
    </w:p>
    <w:p w14:paraId="621DE5DA">
      <w:pPr>
        <w:numPr>
          <w:ilvl w:val="0"/>
          <w:numId w:val="33"/>
        </w:numPr>
        <w:spacing w:line="500" w:lineRule="exact"/>
        <w:jc w:val="left"/>
        <w:outlineLvl w:val="3"/>
        <w:rPr>
          <w:rFonts w:ascii="Arial" w:hAnsi="Arial" w:eastAsia="宋体" w:cs="Arial"/>
          <w:b/>
          <w:sz w:val="24"/>
        </w:rPr>
      </w:pPr>
      <w:r>
        <w:rPr>
          <w:rFonts w:ascii="Arial" w:hAnsi="Arial" w:eastAsia="宋体" w:cs="Arial"/>
          <w:b/>
          <w:sz w:val="24"/>
        </w:rPr>
        <w:t>大气风险影响分析</w:t>
      </w:r>
    </w:p>
    <w:p w14:paraId="3007D581">
      <w:pPr>
        <w:spacing w:line="500" w:lineRule="exact"/>
        <w:ind w:firstLine="490" w:firstLineChars="200"/>
        <w:rPr>
          <w:rFonts w:ascii="Arial" w:hAnsi="Arial" w:eastAsia="宋体" w:cs="Arial"/>
          <w:spacing w:val="10"/>
          <w:sz w:val="24"/>
        </w:rPr>
      </w:pPr>
      <w:r>
        <w:rPr>
          <w:rFonts w:ascii="Arial" w:hAnsi="Arial" w:eastAsia="宋体" w:cs="Arial"/>
          <w:spacing w:val="10"/>
          <w:sz w:val="24"/>
        </w:rPr>
        <w:t>1.预测模型及参数</w:t>
      </w:r>
    </w:p>
    <w:p w14:paraId="379692A0">
      <w:pPr>
        <w:spacing w:line="500" w:lineRule="exact"/>
        <w:ind w:firstLine="489"/>
        <w:jc w:val="left"/>
        <w:rPr>
          <w:rFonts w:ascii="Arial" w:hAnsi="Arial" w:eastAsia="宋体" w:cs="Arial"/>
          <w:spacing w:val="10"/>
          <w:sz w:val="24"/>
        </w:rPr>
      </w:pPr>
      <w:r>
        <w:rPr>
          <w:rFonts w:ascii="Arial" w:hAnsi="Arial" w:eastAsia="宋体" w:cs="Arial"/>
          <w:spacing w:val="10"/>
          <w:sz w:val="24"/>
        </w:rPr>
        <w:t>（1）预测模</w:t>
      </w:r>
      <w:r>
        <w:rPr>
          <w:rFonts w:ascii="Arial" w:hAnsi="Arial" w:eastAsia="宋体" w:cs="Arial"/>
          <w:sz w:val="24"/>
        </w:rPr>
        <w:t>型</w:t>
      </w:r>
    </w:p>
    <w:p w14:paraId="2683D905">
      <w:pPr>
        <w:spacing w:line="500" w:lineRule="exact"/>
        <w:ind w:firstLine="489"/>
        <w:jc w:val="left"/>
        <w:rPr>
          <w:rFonts w:ascii="Arial" w:hAnsi="Arial" w:eastAsia="宋体" w:cs="Arial"/>
          <w:spacing w:val="10"/>
          <w:sz w:val="24"/>
        </w:rPr>
      </w:pPr>
      <w:r>
        <w:rPr>
          <w:rFonts w:ascii="Arial" w:hAnsi="Arial" w:eastAsia="宋体" w:cs="Arial"/>
          <w:spacing w:val="10"/>
          <w:sz w:val="24"/>
        </w:rPr>
        <w:t>烟团/烟羽是否为重质气体，取决于它相对空气的“过剩密度”和环境条件等因素。通常采用理查德森数（Ri）进行判断。Ri的概念公式为：</w:t>
      </w:r>
    </w:p>
    <w:p w14:paraId="2B2966F0">
      <w:pPr>
        <w:spacing w:line="500" w:lineRule="exact"/>
        <w:ind w:firstLine="489"/>
        <w:jc w:val="left"/>
        <w:rPr>
          <w:rFonts w:ascii="Arial" w:hAnsi="Arial" w:eastAsia="宋体" w:cs="Arial"/>
          <w:spacing w:val="10"/>
          <w:sz w:val="24"/>
        </w:rPr>
      </w:pPr>
      <w:r>
        <w:rPr>
          <w:rFonts w:ascii="Arial" w:hAnsi="Arial" w:eastAsia="宋体" w:cs="Arial"/>
          <w:spacing w:val="10"/>
          <w:sz w:val="24"/>
        </w:rPr>
        <w:t>Ri=烟团的势能/环境的湍流动能。</w:t>
      </w:r>
    </w:p>
    <w:p w14:paraId="6E5EE205">
      <w:pPr>
        <w:spacing w:line="500" w:lineRule="exact"/>
        <w:ind w:firstLine="489"/>
        <w:jc w:val="left"/>
        <w:rPr>
          <w:rFonts w:ascii="Arial" w:hAnsi="Arial" w:eastAsia="宋体" w:cs="Arial"/>
          <w:spacing w:val="10"/>
          <w:sz w:val="24"/>
        </w:rPr>
      </w:pPr>
      <w:r>
        <w:rPr>
          <w:rFonts w:ascii="Arial" w:hAnsi="Arial" w:eastAsia="宋体" w:cs="Arial"/>
          <w:spacing w:val="10"/>
          <w:sz w:val="24"/>
        </w:rPr>
        <w:t>Ri是个流体动力学参数。根据不同的排放性质，理查德森数的计算公式不同。一般地，依据排放类型，理查德森数的计算分连续排放、瞬时排放两种形式：</w:t>
      </w:r>
    </w:p>
    <w:p w14:paraId="4911DC0B">
      <w:pPr>
        <w:ind w:firstLine="488"/>
        <w:jc w:val="left"/>
        <w:rPr>
          <w:rFonts w:ascii="Arial" w:hAnsi="Arial" w:eastAsia="宋体" w:cs="Arial"/>
          <w:sz w:val="24"/>
        </w:rPr>
      </w:pPr>
      <w:r>
        <w:rPr>
          <w:rFonts w:ascii="Arial" w:hAnsi="Arial" w:eastAsia="宋体" w:cs="Arial"/>
          <w:spacing w:val="10"/>
          <w:sz w:val="24"/>
        </w:rPr>
        <w:t>连续排放：</w:t>
      </w:r>
      <w:r>
        <w:rPr>
          <w:rFonts w:ascii="Arial" w:hAnsi="Arial" w:eastAsia="宋体" w:cs="Arial"/>
          <w:sz w:val="24"/>
        </w:rPr>
        <w:drawing>
          <wp:inline distT="0" distB="0" distL="114300" distR="114300">
            <wp:extent cx="2562225" cy="752475"/>
            <wp:effectExtent l="0" t="0" r="9525" b="9525"/>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126"/>
                    <a:stretch>
                      <a:fillRect/>
                    </a:stretch>
                  </pic:blipFill>
                  <pic:spPr>
                    <a:xfrm>
                      <a:off x="0" y="0"/>
                      <a:ext cx="2562225" cy="752475"/>
                    </a:xfrm>
                    <a:prstGeom prst="rect">
                      <a:avLst/>
                    </a:prstGeom>
                    <a:noFill/>
                    <a:ln>
                      <a:noFill/>
                    </a:ln>
                  </pic:spPr>
                </pic:pic>
              </a:graphicData>
            </a:graphic>
          </wp:inline>
        </w:drawing>
      </w:r>
    </w:p>
    <w:p w14:paraId="4D336025">
      <w:pPr>
        <w:ind w:firstLine="488"/>
        <w:jc w:val="left"/>
        <w:rPr>
          <w:rFonts w:ascii="Arial" w:hAnsi="Arial" w:eastAsia="宋体" w:cs="Arial"/>
          <w:spacing w:val="10"/>
          <w:sz w:val="24"/>
        </w:rPr>
      </w:pPr>
      <w:r>
        <w:rPr>
          <w:rFonts w:ascii="Arial" w:hAnsi="Arial" w:eastAsia="宋体" w:cs="Arial"/>
          <w:spacing w:val="10"/>
          <w:sz w:val="24"/>
        </w:rPr>
        <w:t>瞬时排放：</w:t>
      </w:r>
      <w:r>
        <w:rPr>
          <w:rFonts w:ascii="Arial" w:hAnsi="Arial" w:eastAsia="宋体" w:cs="Arial"/>
          <w:sz w:val="24"/>
        </w:rPr>
        <w:drawing>
          <wp:inline distT="0" distB="0" distL="114300" distR="114300">
            <wp:extent cx="2980690" cy="714375"/>
            <wp:effectExtent l="0" t="0" r="10160" b="9525"/>
            <wp:docPr id="39"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8"/>
                    <pic:cNvPicPr>
                      <a:picLocks noChangeAspect="1"/>
                    </pic:cNvPicPr>
                  </pic:nvPicPr>
                  <pic:blipFill>
                    <a:blip r:embed="rId127"/>
                    <a:stretch>
                      <a:fillRect/>
                    </a:stretch>
                  </pic:blipFill>
                  <pic:spPr>
                    <a:xfrm>
                      <a:off x="0" y="0"/>
                      <a:ext cx="2980690" cy="714375"/>
                    </a:xfrm>
                    <a:prstGeom prst="rect">
                      <a:avLst/>
                    </a:prstGeom>
                    <a:noFill/>
                    <a:ln>
                      <a:noFill/>
                    </a:ln>
                  </pic:spPr>
                </pic:pic>
              </a:graphicData>
            </a:graphic>
          </wp:inline>
        </w:drawing>
      </w:r>
    </w:p>
    <w:p w14:paraId="46FC5697">
      <w:pPr>
        <w:spacing w:line="500" w:lineRule="exact"/>
        <w:ind w:firstLine="489"/>
        <w:jc w:val="left"/>
        <w:rPr>
          <w:rFonts w:ascii="Arial" w:hAnsi="Arial" w:eastAsia="宋体" w:cs="Arial"/>
          <w:spacing w:val="10"/>
          <w:sz w:val="24"/>
        </w:rPr>
      </w:pPr>
      <w:r>
        <w:rPr>
          <w:rFonts w:ascii="Arial" w:hAnsi="Arial" w:eastAsia="宋体" w:cs="Arial"/>
          <w:spacing w:val="10"/>
          <w:sz w:val="24"/>
        </w:rPr>
        <w:t>式中：ρ</w:t>
      </w:r>
      <w:r>
        <w:rPr>
          <w:rFonts w:ascii="Arial" w:hAnsi="Arial" w:eastAsia="宋体" w:cs="Arial"/>
          <w:spacing w:val="10"/>
          <w:sz w:val="24"/>
          <w:vertAlign w:val="subscript"/>
        </w:rPr>
        <w:t>rel</w:t>
      </w:r>
      <w:r>
        <w:rPr>
          <w:rFonts w:ascii="Arial" w:hAnsi="Arial" w:eastAsia="宋体" w:cs="Arial"/>
          <w:spacing w:val="10"/>
          <w:sz w:val="24"/>
        </w:rPr>
        <w:t>——排放物质进入大气的初始密度，kg/m</w:t>
      </w:r>
      <w:r>
        <w:rPr>
          <w:rFonts w:ascii="Arial" w:hAnsi="Arial" w:eastAsia="宋体" w:cs="Arial"/>
          <w:spacing w:val="10"/>
          <w:sz w:val="24"/>
          <w:vertAlign w:val="superscript"/>
        </w:rPr>
        <w:t>3</w:t>
      </w:r>
      <w:r>
        <w:rPr>
          <w:rFonts w:ascii="Arial" w:hAnsi="Arial" w:eastAsia="宋体" w:cs="Arial"/>
          <w:spacing w:val="10"/>
          <w:sz w:val="24"/>
        </w:rPr>
        <w:t>；</w:t>
      </w:r>
    </w:p>
    <w:p w14:paraId="5992AEF4">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ρ</w:t>
      </w:r>
      <w:r>
        <w:rPr>
          <w:rFonts w:ascii="Arial" w:hAnsi="Arial" w:eastAsia="宋体" w:cs="Arial"/>
          <w:spacing w:val="10"/>
          <w:sz w:val="24"/>
          <w:vertAlign w:val="subscript"/>
        </w:rPr>
        <w:t>a</w:t>
      </w:r>
      <w:r>
        <w:rPr>
          <w:rFonts w:ascii="Arial" w:hAnsi="Arial" w:eastAsia="宋体" w:cs="Arial"/>
          <w:spacing w:val="10"/>
          <w:sz w:val="24"/>
        </w:rPr>
        <w:t>——环境空气密度，kg/m</w:t>
      </w:r>
      <w:r>
        <w:rPr>
          <w:rFonts w:ascii="Arial" w:hAnsi="Arial" w:eastAsia="宋体" w:cs="Arial"/>
          <w:spacing w:val="10"/>
          <w:sz w:val="24"/>
          <w:vertAlign w:val="superscript"/>
        </w:rPr>
        <w:t>3</w:t>
      </w:r>
      <w:r>
        <w:rPr>
          <w:rFonts w:ascii="Arial" w:hAnsi="Arial" w:eastAsia="宋体" w:cs="Arial"/>
          <w:spacing w:val="10"/>
          <w:sz w:val="24"/>
        </w:rPr>
        <w:t>；</w:t>
      </w:r>
    </w:p>
    <w:p w14:paraId="6B4EA725">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Q——连续排放烟羽的排放速率，kg/s；</w:t>
      </w:r>
    </w:p>
    <w:p w14:paraId="436F34D8">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Q</w:t>
      </w:r>
      <w:r>
        <w:rPr>
          <w:rFonts w:ascii="Arial" w:hAnsi="Arial" w:eastAsia="宋体" w:cs="Arial"/>
          <w:spacing w:val="10"/>
          <w:sz w:val="24"/>
          <w:vertAlign w:val="subscript"/>
        </w:rPr>
        <w:t>t</w:t>
      </w:r>
      <w:r>
        <w:rPr>
          <w:rFonts w:ascii="Arial" w:hAnsi="Arial" w:eastAsia="宋体" w:cs="Arial"/>
          <w:spacing w:val="10"/>
          <w:sz w:val="24"/>
        </w:rPr>
        <w:t>——瞬时排放的物质质量，kg；</w:t>
      </w:r>
    </w:p>
    <w:p w14:paraId="1C4B2CCB">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D</w:t>
      </w:r>
      <w:r>
        <w:rPr>
          <w:rFonts w:ascii="Arial" w:hAnsi="Arial" w:eastAsia="宋体" w:cs="Arial"/>
          <w:spacing w:val="10"/>
          <w:sz w:val="24"/>
          <w:vertAlign w:val="subscript"/>
        </w:rPr>
        <w:t>rel</w:t>
      </w:r>
      <w:r>
        <w:rPr>
          <w:rFonts w:ascii="Arial" w:hAnsi="Arial" w:eastAsia="宋体" w:cs="Arial"/>
          <w:spacing w:val="10"/>
          <w:sz w:val="24"/>
        </w:rPr>
        <w:t>——初始的烟团宽度，即源直径，m；</w:t>
      </w:r>
    </w:p>
    <w:p w14:paraId="0B0237EC">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U</w:t>
      </w:r>
      <w:r>
        <w:rPr>
          <w:rFonts w:ascii="Arial" w:hAnsi="Arial" w:eastAsia="宋体" w:cs="Arial"/>
          <w:spacing w:val="10"/>
          <w:sz w:val="24"/>
          <w:vertAlign w:val="subscript"/>
        </w:rPr>
        <w:t>r</w:t>
      </w:r>
      <w:r>
        <w:rPr>
          <w:rFonts w:ascii="Arial" w:hAnsi="Arial" w:eastAsia="宋体" w:cs="Arial"/>
          <w:spacing w:val="10"/>
          <w:sz w:val="24"/>
        </w:rPr>
        <w:t>——10m高处风速，m/s。</w:t>
      </w:r>
    </w:p>
    <w:p w14:paraId="6F2819D8">
      <w:pPr>
        <w:spacing w:line="500" w:lineRule="exact"/>
        <w:ind w:firstLine="489"/>
        <w:jc w:val="left"/>
        <w:rPr>
          <w:rFonts w:ascii="Arial" w:hAnsi="Arial" w:eastAsia="宋体" w:cs="Arial"/>
          <w:spacing w:val="10"/>
          <w:sz w:val="24"/>
        </w:rPr>
      </w:pPr>
      <w:r>
        <w:rPr>
          <w:rFonts w:ascii="Arial" w:hAnsi="Arial" w:eastAsia="宋体" w:cs="Arial"/>
          <w:spacing w:val="10"/>
          <w:sz w:val="24"/>
        </w:rPr>
        <w:t>判定连续排放还是瞬时排放，可通过对比排放时间T</w:t>
      </w:r>
      <w:r>
        <w:rPr>
          <w:rFonts w:ascii="Arial" w:hAnsi="Arial" w:eastAsia="宋体" w:cs="Arial"/>
          <w:spacing w:val="10"/>
          <w:sz w:val="24"/>
          <w:vertAlign w:val="subscript"/>
        </w:rPr>
        <w:t>d</w:t>
      </w:r>
      <w:r>
        <w:rPr>
          <w:rFonts w:ascii="Arial" w:hAnsi="Arial" w:eastAsia="宋体" w:cs="Arial"/>
          <w:spacing w:val="10"/>
          <w:sz w:val="24"/>
        </w:rPr>
        <w:t>和污染物到达最近的受体点（网格点或敏感点）的时间T确定。</w:t>
      </w:r>
    </w:p>
    <w:p w14:paraId="70746DC0">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T=2X/ U</w:t>
      </w:r>
      <w:r>
        <w:rPr>
          <w:rFonts w:ascii="Arial" w:hAnsi="Arial" w:eastAsia="宋体" w:cs="Arial"/>
          <w:spacing w:val="10"/>
          <w:sz w:val="24"/>
          <w:vertAlign w:val="subscript"/>
        </w:rPr>
        <w:t>r</w:t>
      </w:r>
    </w:p>
    <w:p w14:paraId="3DA34960">
      <w:pPr>
        <w:spacing w:line="500" w:lineRule="exact"/>
        <w:ind w:firstLine="489"/>
        <w:jc w:val="left"/>
        <w:rPr>
          <w:rFonts w:ascii="Arial" w:hAnsi="Arial" w:eastAsia="宋体" w:cs="Arial"/>
          <w:spacing w:val="10"/>
          <w:sz w:val="24"/>
        </w:rPr>
      </w:pPr>
      <w:r>
        <w:rPr>
          <w:rFonts w:ascii="Arial" w:hAnsi="Arial" w:eastAsia="宋体" w:cs="Arial"/>
          <w:spacing w:val="10"/>
          <w:sz w:val="24"/>
        </w:rPr>
        <w:t>式中：X——事故发生地与计算点的距离，m；</w:t>
      </w:r>
    </w:p>
    <w:p w14:paraId="3C42ADA2">
      <w:pPr>
        <w:spacing w:line="500" w:lineRule="exact"/>
        <w:ind w:firstLine="489"/>
        <w:jc w:val="left"/>
        <w:rPr>
          <w:rFonts w:ascii="Arial" w:hAnsi="Arial" w:eastAsia="宋体" w:cs="Arial"/>
          <w:spacing w:val="10"/>
          <w:sz w:val="24"/>
        </w:rPr>
      </w:pPr>
      <w:r>
        <w:rPr>
          <w:rFonts w:ascii="Arial" w:hAnsi="Arial" w:eastAsia="宋体" w:cs="Arial"/>
          <w:spacing w:val="10"/>
          <w:sz w:val="24"/>
        </w:rPr>
        <w:t xml:space="preserve">      U</w:t>
      </w:r>
      <w:r>
        <w:rPr>
          <w:rFonts w:ascii="Arial" w:hAnsi="Arial" w:eastAsia="宋体" w:cs="Arial"/>
          <w:spacing w:val="10"/>
          <w:sz w:val="24"/>
          <w:vertAlign w:val="subscript"/>
        </w:rPr>
        <w:t>r</w:t>
      </w:r>
      <w:r>
        <w:rPr>
          <w:rFonts w:ascii="Arial" w:hAnsi="Arial" w:eastAsia="宋体" w:cs="Arial"/>
          <w:spacing w:val="10"/>
          <w:sz w:val="24"/>
        </w:rPr>
        <w:t>——10m高处风速，m/s。假设风速和风向在T时间段内保持不变。</w:t>
      </w:r>
    </w:p>
    <w:p w14:paraId="650BFDCF">
      <w:pPr>
        <w:spacing w:line="500" w:lineRule="exact"/>
        <w:ind w:firstLine="489"/>
        <w:jc w:val="left"/>
        <w:rPr>
          <w:rFonts w:ascii="Arial" w:hAnsi="Arial" w:eastAsia="宋体" w:cs="Arial"/>
          <w:spacing w:val="10"/>
          <w:sz w:val="24"/>
        </w:rPr>
      </w:pPr>
      <w:r>
        <w:rPr>
          <w:rFonts w:ascii="Arial" w:hAnsi="Arial" w:eastAsia="宋体" w:cs="Arial"/>
          <w:spacing w:val="10"/>
          <w:sz w:val="24"/>
        </w:rPr>
        <w:t>当T</w:t>
      </w:r>
      <w:r>
        <w:rPr>
          <w:rFonts w:ascii="Arial" w:hAnsi="Arial" w:eastAsia="宋体" w:cs="Arial"/>
          <w:spacing w:val="10"/>
          <w:sz w:val="24"/>
          <w:vertAlign w:val="subscript"/>
        </w:rPr>
        <w:t>d</w:t>
      </w:r>
      <w:r>
        <w:rPr>
          <w:rFonts w:ascii="Arial" w:hAnsi="Arial" w:eastAsia="宋体" w:cs="Arial"/>
          <w:spacing w:val="10"/>
          <w:sz w:val="24"/>
        </w:rPr>
        <w:t>＞T时，可被认为是连续排放的；当T</w:t>
      </w:r>
      <w:r>
        <w:rPr>
          <w:rFonts w:ascii="Arial" w:hAnsi="Arial" w:eastAsia="宋体" w:cs="Arial"/>
          <w:spacing w:val="10"/>
          <w:sz w:val="24"/>
          <w:vertAlign w:val="subscript"/>
        </w:rPr>
        <w:t>d</w:t>
      </w:r>
      <w:r>
        <w:rPr>
          <w:rFonts w:ascii="Arial" w:hAnsi="Arial" w:eastAsia="宋体" w:cs="Arial"/>
          <w:spacing w:val="10"/>
          <w:sz w:val="24"/>
        </w:rPr>
        <w:t>＜T时，可被认为是瞬时排放。</w:t>
      </w:r>
    </w:p>
    <w:p w14:paraId="1814E5DD">
      <w:pPr>
        <w:spacing w:line="500" w:lineRule="exact"/>
        <w:ind w:firstLine="489"/>
        <w:jc w:val="left"/>
        <w:rPr>
          <w:rFonts w:ascii="Arial" w:hAnsi="Arial" w:eastAsia="宋体" w:cs="Arial"/>
          <w:spacing w:val="10"/>
          <w:sz w:val="24"/>
        </w:rPr>
      </w:pPr>
      <w:r>
        <w:rPr>
          <w:rFonts w:ascii="Arial" w:hAnsi="Arial" w:eastAsia="宋体" w:cs="Arial"/>
          <w:spacing w:val="10"/>
          <w:sz w:val="24"/>
        </w:rPr>
        <w:t>对于连续排放，Ri≥1/6为重质气体，Ri&lt; 1/6为轻质气体；对于瞬时排放，Ri&gt;0.04为重质气体，Ri≤0.04为轻质气体。当Ri处于临界值附近时，说明烟团/烟羽既不是典型的重质气体扩散，也不是典型的轻质气体扩散。可以进行敏感性分析，分别采用重质气体和轻质气体模型进行模拟，选取影响范围最大的结果。</w:t>
      </w:r>
    </w:p>
    <w:p w14:paraId="74C305D4">
      <w:pPr>
        <w:spacing w:line="500" w:lineRule="exact"/>
        <w:ind w:firstLine="489"/>
        <w:jc w:val="left"/>
        <w:rPr>
          <w:rFonts w:ascii="Arial" w:hAnsi="Arial" w:eastAsia="宋体" w:cs="Arial"/>
          <w:spacing w:val="10"/>
          <w:sz w:val="24"/>
        </w:rPr>
      </w:pPr>
      <w:r>
        <w:rPr>
          <w:rFonts w:hint="eastAsia" w:ascii="Arial" w:hAnsi="Arial" w:eastAsia="宋体" w:cs="Arial"/>
          <w:spacing w:val="10"/>
          <w:sz w:val="24"/>
        </w:rPr>
        <w:t>根据EIAProA2018计算，氨水罐泄漏，最不利气象条件下，烟团初始密度0.966kg/m</w:t>
      </w:r>
      <w:r>
        <w:rPr>
          <w:rFonts w:hint="eastAsia" w:ascii="Arial" w:hAnsi="Arial" w:eastAsia="宋体" w:cs="Arial"/>
          <w:spacing w:val="10"/>
          <w:sz w:val="24"/>
          <w:vertAlign w:val="superscript"/>
        </w:rPr>
        <w:t>3</w:t>
      </w:r>
      <w:r>
        <w:rPr>
          <w:rFonts w:hint="eastAsia" w:ascii="Arial" w:hAnsi="Arial" w:eastAsia="宋体" w:cs="Arial"/>
          <w:spacing w:val="10"/>
          <w:sz w:val="24"/>
        </w:rPr>
        <w:t>小于当前空气密度1.185kg/m</w:t>
      </w:r>
      <w:r>
        <w:rPr>
          <w:rFonts w:hint="eastAsia" w:ascii="Arial" w:hAnsi="Arial" w:eastAsia="宋体" w:cs="Arial"/>
          <w:spacing w:val="10"/>
          <w:sz w:val="24"/>
          <w:vertAlign w:val="superscript"/>
        </w:rPr>
        <w:t>3</w:t>
      </w:r>
      <w:r>
        <w:rPr>
          <w:rFonts w:hint="eastAsia" w:ascii="Arial" w:hAnsi="Arial" w:eastAsia="宋体" w:cs="Arial"/>
          <w:spacing w:val="10"/>
          <w:sz w:val="24"/>
        </w:rPr>
        <w:t>；常见气象条件下，烟团初始密度0.989kg/m</w:t>
      </w:r>
      <w:r>
        <w:rPr>
          <w:rFonts w:hint="eastAsia" w:ascii="Arial" w:hAnsi="Arial" w:eastAsia="宋体" w:cs="Arial"/>
          <w:spacing w:val="10"/>
          <w:sz w:val="24"/>
          <w:vertAlign w:val="superscript"/>
        </w:rPr>
        <w:t>3</w:t>
      </w:r>
      <w:r>
        <w:rPr>
          <w:rFonts w:hint="eastAsia" w:ascii="Arial" w:hAnsi="Arial" w:eastAsia="宋体" w:cs="Arial"/>
          <w:spacing w:val="10"/>
          <w:sz w:val="24"/>
        </w:rPr>
        <w:t>小于当前空气密度1.196 kg/m</w:t>
      </w:r>
      <w:r>
        <w:rPr>
          <w:rFonts w:hint="eastAsia" w:ascii="Arial" w:hAnsi="Arial" w:eastAsia="宋体" w:cs="Arial"/>
          <w:spacing w:val="10"/>
          <w:sz w:val="24"/>
          <w:vertAlign w:val="superscript"/>
        </w:rPr>
        <w:t>3</w:t>
      </w:r>
      <w:r>
        <w:rPr>
          <w:rFonts w:hint="eastAsia" w:ascii="Arial" w:hAnsi="Arial" w:eastAsia="宋体" w:cs="Arial"/>
          <w:spacing w:val="10"/>
          <w:sz w:val="24"/>
        </w:rPr>
        <w:t>。因此，氨水罐泄漏，氨排放预测均采用AFTOX预测模型。</w:t>
      </w:r>
    </w:p>
    <w:p w14:paraId="78C39F35">
      <w:pPr>
        <w:spacing w:line="500" w:lineRule="exact"/>
        <w:ind w:firstLine="489"/>
        <w:jc w:val="left"/>
        <w:rPr>
          <w:rFonts w:ascii="Arial" w:hAnsi="Arial" w:eastAsia="宋体" w:cs="Arial"/>
          <w:spacing w:val="10"/>
          <w:sz w:val="24"/>
        </w:rPr>
      </w:pPr>
      <w:r>
        <w:rPr>
          <w:rFonts w:hint="eastAsia" w:ascii="Arial" w:hAnsi="Arial" w:eastAsia="宋体" w:cs="Arial"/>
          <w:spacing w:val="10"/>
          <w:sz w:val="24"/>
        </w:rPr>
        <w:t>（2）</w:t>
      </w:r>
      <w:r>
        <w:rPr>
          <w:rFonts w:ascii="Arial" w:hAnsi="Arial" w:eastAsia="宋体" w:cs="Arial"/>
          <w:spacing w:val="10"/>
          <w:sz w:val="24"/>
        </w:rPr>
        <w:t>预测参数</w:t>
      </w:r>
    </w:p>
    <w:p w14:paraId="03BFA493">
      <w:pPr>
        <w:spacing w:line="500" w:lineRule="exact"/>
        <w:ind w:firstLine="489"/>
        <w:jc w:val="left"/>
        <w:rPr>
          <w:rFonts w:ascii="Arial" w:hAnsi="Arial" w:eastAsia="宋体" w:cs="Arial"/>
          <w:spacing w:val="10"/>
          <w:sz w:val="24"/>
        </w:rPr>
      </w:pPr>
      <w:r>
        <w:rPr>
          <w:rFonts w:ascii="Arial" w:hAnsi="Arial" w:eastAsia="宋体" w:cs="Arial"/>
          <w:spacing w:val="10"/>
          <w:sz w:val="24"/>
        </w:rPr>
        <w:t>预测主要参数见表4-</w:t>
      </w:r>
      <w:r>
        <w:rPr>
          <w:rFonts w:hint="eastAsia" w:ascii="Arial" w:hAnsi="Arial" w:eastAsia="宋体" w:cs="Arial"/>
          <w:spacing w:val="10"/>
          <w:sz w:val="24"/>
        </w:rPr>
        <w:t>66</w:t>
      </w:r>
      <w:r>
        <w:rPr>
          <w:rFonts w:ascii="Arial" w:hAnsi="Arial" w:eastAsia="宋体" w:cs="Arial"/>
          <w:spacing w:val="10"/>
          <w:sz w:val="24"/>
        </w:rPr>
        <w:t>。</w:t>
      </w:r>
    </w:p>
    <w:p w14:paraId="6A1959AA">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大气风险预测模型主要参数表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7"/>
        <w:gridCol w:w="2552"/>
        <w:gridCol w:w="2410"/>
        <w:gridCol w:w="2364"/>
      </w:tblGrid>
      <w:tr w14:paraId="0CD36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927" w:type="pct"/>
            <w:tcBorders>
              <w:top w:val="single" w:color="auto" w:sz="4" w:space="0"/>
              <w:left w:val="single" w:color="auto" w:sz="4" w:space="0"/>
              <w:bottom w:val="single" w:color="auto" w:sz="4" w:space="0"/>
              <w:right w:val="single" w:color="auto" w:sz="4" w:space="0"/>
            </w:tcBorders>
            <w:vAlign w:val="center"/>
          </w:tcPr>
          <w:p w14:paraId="6991CCC9">
            <w:pPr>
              <w:adjustRightInd w:val="0"/>
              <w:snapToGrid w:val="0"/>
              <w:jc w:val="center"/>
              <w:rPr>
                <w:rFonts w:ascii="Arial" w:hAnsi="Arial" w:eastAsia="宋体" w:cs="Arial"/>
                <w:sz w:val="21"/>
                <w:szCs w:val="21"/>
              </w:rPr>
            </w:pPr>
            <w:r>
              <w:rPr>
                <w:rFonts w:ascii="Arial" w:hAnsi="Arial" w:eastAsia="宋体" w:cs="Arial"/>
                <w:sz w:val="21"/>
                <w:szCs w:val="21"/>
              </w:rPr>
              <w:t>参数类型</w:t>
            </w:r>
          </w:p>
        </w:tc>
        <w:tc>
          <w:tcPr>
            <w:tcW w:w="1419" w:type="pct"/>
            <w:tcBorders>
              <w:top w:val="single" w:color="auto" w:sz="4" w:space="0"/>
              <w:left w:val="single" w:color="auto" w:sz="4" w:space="0"/>
              <w:bottom w:val="single" w:color="auto" w:sz="4" w:space="0"/>
              <w:right w:val="single" w:color="auto" w:sz="4" w:space="0"/>
            </w:tcBorders>
            <w:vAlign w:val="center"/>
          </w:tcPr>
          <w:p w14:paraId="196A28CB">
            <w:pPr>
              <w:adjustRightInd w:val="0"/>
              <w:snapToGrid w:val="0"/>
              <w:jc w:val="center"/>
              <w:rPr>
                <w:rFonts w:ascii="Arial" w:hAnsi="Arial" w:eastAsia="宋体" w:cs="Arial"/>
                <w:sz w:val="21"/>
                <w:szCs w:val="21"/>
              </w:rPr>
            </w:pPr>
            <w:r>
              <w:rPr>
                <w:rFonts w:ascii="Arial" w:hAnsi="Arial" w:eastAsia="宋体" w:cs="Arial"/>
                <w:sz w:val="21"/>
                <w:szCs w:val="21"/>
              </w:rPr>
              <w:t>选项</w:t>
            </w:r>
          </w:p>
        </w:tc>
        <w:tc>
          <w:tcPr>
            <w:tcW w:w="2654" w:type="pct"/>
            <w:gridSpan w:val="2"/>
            <w:tcBorders>
              <w:top w:val="single" w:color="auto" w:sz="4" w:space="0"/>
              <w:left w:val="single" w:color="auto" w:sz="4" w:space="0"/>
              <w:bottom w:val="single" w:color="auto" w:sz="4" w:space="0"/>
              <w:right w:val="single" w:color="auto" w:sz="4" w:space="0"/>
            </w:tcBorders>
            <w:vAlign w:val="center"/>
          </w:tcPr>
          <w:p w14:paraId="18ABAB32">
            <w:pPr>
              <w:adjustRightInd w:val="0"/>
              <w:snapToGrid w:val="0"/>
              <w:jc w:val="center"/>
              <w:rPr>
                <w:rFonts w:ascii="Arial" w:hAnsi="Arial" w:eastAsia="宋体" w:cs="Arial"/>
                <w:sz w:val="21"/>
                <w:szCs w:val="21"/>
              </w:rPr>
            </w:pPr>
            <w:r>
              <w:rPr>
                <w:rFonts w:hint="eastAsia" w:ascii="Arial" w:hAnsi="Arial" w:eastAsia="宋体" w:cs="Arial"/>
                <w:sz w:val="21"/>
                <w:szCs w:val="21"/>
              </w:rPr>
              <w:t>氨水中转罐泄漏</w:t>
            </w:r>
          </w:p>
        </w:tc>
      </w:tr>
      <w:tr w14:paraId="61FD7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restart"/>
            <w:tcBorders>
              <w:top w:val="single" w:color="auto" w:sz="4" w:space="0"/>
              <w:left w:val="single" w:color="auto" w:sz="4" w:space="0"/>
              <w:bottom w:val="single" w:color="auto" w:sz="4" w:space="0"/>
              <w:right w:val="single" w:color="auto" w:sz="4" w:space="0"/>
            </w:tcBorders>
            <w:vAlign w:val="center"/>
          </w:tcPr>
          <w:p w14:paraId="242AD9D6">
            <w:pPr>
              <w:adjustRightInd w:val="0"/>
              <w:snapToGrid w:val="0"/>
              <w:jc w:val="center"/>
              <w:rPr>
                <w:rFonts w:ascii="Arial" w:hAnsi="Arial" w:eastAsia="宋体" w:cs="Arial"/>
                <w:sz w:val="21"/>
                <w:szCs w:val="21"/>
              </w:rPr>
            </w:pPr>
            <w:r>
              <w:rPr>
                <w:rFonts w:ascii="Arial" w:hAnsi="Arial" w:eastAsia="宋体" w:cs="Arial"/>
                <w:sz w:val="21"/>
                <w:szCs w:val="21"/>
              </w:rPr>
              <w:t>基本情况</w:t>
            </w:r>
          </w:p>
        </w:tc>
        <w:tc>
          <w:tcPr>
            <w:tcW w:w="1419" w:type="pct"/>
            <w:tcBorders>
              <w:top w:val="single" w:color="auto" w:sz="4" w:space="0"/>
              <w:left w:val="single" w:color="auto" w:sz="4" w:space="0"/>
              <w:bottom w:val="single" w:color="auto" w:sz="4" w:space="0"/>
              <w:right w:val="single" w:color="auto" w:sz="4" w:space="0"/>
            </w:tcBorders>
            <w:vAlign w:val="center"/>
          </w:tcPr>
          <w:p w14:paraId="1AF3A276">
            <w:pPr>
              <w:adjustRightInd w:val="0"/>
              <w:snapToGrid w:val="0"/>
              <w:jc w:val="center"/>
              <w:rPr>
                <w:rFonts w:ascii="Arial" w:hAnsi="Arial" w:eastAsia="宋体" w:cs="Arial"/>
                <w:sz w:val="21"/>
                <w:szCs w:val="21"/>
              </w:rPr>
            </w:pPr>
            <w:r>
              <w:rPr>
                <w:rFonts w:ascii="Arial" w:hAnsi="Arial" w:eastAsia="宋体" w:cs="Arial"/>
                <w:sz w:val="21"/>
                <w:szCs w:val="21"/>
              </w:rPr>
              <w:t>事故源经度/（°）</w:t>
            </w:r>
          </w:p>
        </w:tc>
        <w:tc>
          <w:tcPr>
            <w:tcW w:w="2654" w:type="pct"/>
            <w:gridSpan w:val="2"/>
            <w:tcBorders>
              <w:top w:val="single" w:color="auto" w:sz="4" w:space="0"/>
              <w:left w:val="single" w:color="auto" w:sz="4" w:space="0"/>
              <w:bottom w:val="single" w:color="auto" w:sz="4" w:space="0"/>
              <w:right w:val="single" w:color="auto" w:sz="4" w:space="0"/>
            </w:tcBorders>
            <w:vAlign w:val="center"/>
          </w:tcPr>
          <w:p w14:paraId="0FAC59CB">
            <w:pPr>
              <w:adjustRightInd w:val="0"/>
              <w:snapToGrid w:val="0"/>
              <w:jc w:val="center"/>
              <w:rPr>
                <w:rFonts w:ascii="Arial" w:hAnsi="Arial" w:eastAsia="宋体" w:cs="Arial"/>
                <w:sz w:val="21"/>
                <w:szCs w:val="21"/>
              </w:rPr>
            </w:pPr>
            <w:r>
              <w:rPr>
                <w:rFonts w:hint="eastAsia" w:ascii="Arial" w:hAnsi="Arial" w:eastAsia="宋体" w:cs="Arial"/>
                <w:sz w:val="21"/>
                <w:szCs w:val="21"/>
              </w:rPr>
              <w:t>108.672535</w:t>
            </w:r>
          </w:p>
        </w:tc>
      </w:tr>
      <w:tr w14:paraId="5CED2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continue"/>
            <w:tcBorders>
              <w:top w:val="single" w:color="auto" w:sz="4" w:space="0"/>
              <w:left w:val="single" w:color="auto" w:sz="4" w:space="0"/>
              <w:bottom w:val="single" w:color="auto" w:sz="4" w:space="0"/>
              <w:right w:val="single" w:color="auto" w:sz="4" w:space="0"/>
            </w:tcBorders>
            <w:vAlign w:val="center"/>
          </w:tcPr>
          <w:p w14:paraId="545D74FF">
            <w:pPr>
              <w:widowControl/>
              <w:jc w:val="left"/>
              <w:rPr>
                <w:rFonts w:ascii="Arial" w:hAnsi="Arial" w:eastAsia="宋体" w:cs="Arial"/>
                <w:sz w:val="21"/>
                <w:szCs w:val="21"/>
              </w:rPr>
            </w:pPr>
          </w:p>
        </w:tc>
        <w:tc>
          <w:tcPr>
            <w:tcW w:w="1419" w:type="pct"/>
            <w:tcBorders>
              <w:top w:val="single" w:color="auto" w:sz="4" w:space="0"/>
              <w:left w:val="single" w:color="auto" w:sz="4" w:space="0"/>
              <w:bottom w:val="single" w:color="auto" w:sz="4" w:space="0"/>
              <w:right w:val="single" w:color="auto" w:sz="4" w:space="0"/>
            </w:tcBorders>
            <w:vAlign w:val="center"/>
          </w:tcPr>
          <w:p w14:paraId="205E4902">
            <w:pPr>
              <w:adjustRightInd w:val="0"/>
              <w:snapToGrid w:val="0"/>
              <w:jc w:val="center"/>
              <w:rPr>
                <w:rFonts w:ascii="Arial" w:hAnsi="Arial" w:eastAsia="宋体" w:cs="Arial"/>
                <w:sz w:val="21"/>
                <w:szCs w:val="21"/>
              </w:rPr>
            </w:pPr>
            <w:r>
              <w:rPr>
                <w:rFonts w:ascii="Arial" w:hAnsi="Arial" w:eastAsia="宋体" w:cs="Arial"/>
                <w:sz w:val="21"/>
                <w:szCs w:val="21"/>
              </w:rPr>
              <w:t>事故源纬度/（°）</w:t>
            </w:r>
          </w:p>
        </w:tc>
        <w:tc>
          <w:tcPr>
            <w:tcW w:w="2654" w:type="pct"/>
            <w:gridSpan w:val="2"/>
            <w:tcBorders>
              <w:top w:val="single" w:color="auto" w:sz="4" w:space="0"/>
              <w:left w:val="single" w:color="auto" w:sz="4" w:space="0"/>
              <w:bottom w:val="single" w:color="auto" w:sz="4" w:space="0"/>
              <w:right w:val="single" w:color="auto" w:sz="4" w:space="0"/>
            </w:tcBorders>
            <w:vAlign w:val="center"/>
          </w:tcPr>
          <w:p w14:paraId="5C239A8E">
            <w:pPr>
              <w:adjustRightInd w:val="0"/>
              <w:snapToGrid w:val="0"/>
              <w:jc w:val="center"/>
              <w:rPr>
                <w:rFonts w:ascii="Arial" w:hAnsi="Arial" w:eastAsia="宋体" w:cs="Arial"/>
                <w:sz w:val="21"/>
                <w:szCs w:val="21"/>
              </w:rPr>
            </w:pPr>
            <w:r>
              <w:rPr>
                <w:rFonts w:hint="eastAsia" w:ascii="Arial" w:hAnsi="Arial" w:eastAsia="宋体" w:cs="Arial"/>
                <w:sz w:val="21"/>
                <w:szCs w:val="21"/>
              </w:rPr>
              <w:t>21.707738</w:t>
            </w:r>
          </w:p>
        </w:tc>
      </w:tr>
      <w:tr w14:paraId="1740F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continue"/>
            <w:tcBorders>
              <w:top w:val="single" w:color="auto" w:sz="4" w:space="0"/>
              <w:left w:val="single" w:color="auto" w:sz="4" w:space="0"/>
              <w:bottom w:val="single" w:color="auto" w:sz="4" w:space="0"/>
              <w:right w:val="single" w:color="auto" w:sz="4" w:space="0"/>
            </w:tcBorders>
            <w:vAlign w:val="center"/>
          </w:tcPr>
          <w:p w14:paraId="113F698B">
            <w:pPr>
              <w:widowControl/>
              <w:jc w:val="left"/>
              <w:rPr>
                <w:rFonts w:ascii="Arial" w:hAnsi="Arial" w:eastAsia="宋体" w:cs="Arial"/>
                <w:sz w:val="21"/>
                <w:szCs w:val="21"/>
              </w:rPr>
            </w:pPr>
          </w:p>
        </w:tc>
        <w:tc>
          <w:tcPr>
            <w:tcW w:w="1419" w:type="pct"/>
            <w:tcBorders>
              <w:top w:val="single" w:color="auto" w:sz="4" w:space="0"/>
              <w:left w:val="single" w:color="auto" w:sz="4" w:space="0"/>
              <w:bottom w:val="single" w:color="auto" w:sz="4" w:space="0"/>
              <w:right w:val="single" w:color="auto" w:sz="4" w:space="0"/>
            </w:tcBorders>
            <w:vAlign w:val="center"/>
          </w:tcPr>
          <w:p w14:paraId="48C0BF67">
            <w:pPr>
              <w:adjustRightInd w:val="0"/>
              <w:snapToGrid w:val="0"/>
              <w:jc w:val="center"/>
              <w:rPr>
                <w:rFonts w:ascii="Arial" w:hAnsi="Arial" w:eastAsia="宋体" w:cs="Arial"/>
                <w:sz w:val="21"/>
                <w:szCs w:val="21"/>
              </w:rPr>
            </w:pPr>
            <w:r>
              <w:rPr>
                <w:rFonts w:ascii="Arial" w:hAnsi="Arial" w:eastAsia="宋体" w:cs="Arial"/>
                <w:sz w:val="21"/>
                <w:szCs w:val="21"/>
              </w:rPr>
              <w:t>事故源类型</w:t>
            </w:r>
          </w:p>
        </w:tc>
        <w:tc>
          <w:tcPr>
            <w:tcW w:w="2654" w:type="pct"/>
            <w:gridSpan w:val="2"/>
            <w:tcBorders>
              <w:top w:val="single" w:color="auto" w:sz="4" w:space="0"/>
              <w:left w:val="single" w:color="auto" w:sz="4" w:space="0"/>
              <w:bottom w:val="single" w:color="auto" w:sz="4" w:space="0"/>
              <w:right w:val="single" w:color="auto" w:sz="4" w:space="0"/>
            </w:tcBorders>
            <w:vAlign w:val="center"/>
          </w:tcPr>
          <w:p w14:paraId="257BBE51">
            <w:pPr>
              <w:adjustRightInd w:val="0"/>
              <w:snapToGrid w:val="0"/>
              <w:jc w:val="center"/>
              <w:rPr>
                <w:rFonts w:ascii="Arial" w:hAnsi="Arial" w:eastAsia="宋体" w:cs="Arial"/>
                <w:sz w:val="21"/>
                <w:szCs w:val="21"/>
              </w:rPr>
            </w:pPr>
            <w:r>
              <w:rPr>
                <w:rFonts w:hint="eastAsia" w:ascii="Arial" w:hAnsi="Arial" w:eastAsia="宋体" w:cs="Arial"/>
                <w:sz w:val="21"/>
                <w:szCs w:val="21"/>
              </w:rPr>
              <w:t>5m</w:t>
            </w:r>
            <w:r>
              <w:rPr>
                <w:rFonts w:hint="eastAsia" w:ascii="Arial" w:hAnsi="Arial" w:eastAsia="宋体" w:cs="Arial"/>
                <w:sz w:val="21"/>
                <w:szCs w:val="21"/>
                <w:vertAlign w:val="superscript"/>
              </w:rPr>
              <w:t>3</w:t>
            </w:r>
            <w:r>
              <w:rPr>
                <w:rFonts w:hint="eastAsia" w:ascii="Arial" w:hAnsi="Arial" w:eastAsia="宋体" w:cs="Arial"/>
                <w:sz w:val="21"/>
                <w:szCs w:val="21"/>
              </w:rPr>
              <w:t>氨水罐10min全泄漏</w:t>
            </w:r>
          </w:p>
        </w:tc>
      </w:tr>
      <w:tr w14:paraId="45AF5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restart"/>
            <w:tcBorders>
              <w:top w:val="single" w:color="auto" w:sz="4" w:space="0"/>
              <w:left w:val="single" w:color="auto" w:sz="4" w:space="0"/>
              <w:bottom w:val="single" w:color="auto" w:sz="4" w:space="0"/>
              <w:right w:val="single" w:color="auto" w:sz="4" w:space="0"/>
            </w:tcBorders>
            <w:vAlign w:val="center"/>
          </w:tcPr>
          <w:p w14:paraId="31A33658">
            <w:pPr>
              <w:adjustRightInd w:val="0"/>
              <w:snapToGrid w:val="0"/>
              <w:jc w:val="center"/>
              <w:rPr>
                <w:rFonts w:ascii="Arial" w:hAnsi="Arial" w:eastAsia="宋体" w:cs="Arial"/>
                <w:sz w:val="21"/>
                <w:szCs w:val="21"/>
              </w:rPr>
            </w:pPr>
            <w:r>
              <w:rPr>
                <w:rFonts w:ascii="Arial" w:hAnsi="Arial" w:eastAsia="宋体" w:cs="Arial"/>
                <w:sz w:val="21"/>
                <w:szCs w:val="21"/>
              </w:rPr>
              <w:t>气象参数</w:t>
            </w:r>
          </w:p>
        </w:tc>
        <w:tc>
          <w:tcPr>
            <w:tcW w:w="1419" w:type="pct"/>
            <w:tcBorders>
              <w:top w:val="single" w:color="auto" w:sz="4" w:space="0"/>
              <w:left w:val="single" w:color="auto" w:sz="4" w:space="0"/>
              <w:bottom w:val="single" w:color="auto" w:sz="4" w:space="0"/>
              <w:right w:val="single" w:color="auto" w:sz="4" w:space="0"/>
            </w:tcBorders>
            <w:vAlign w:val="center"/>
          </w:tcPr>
          <w:p w14:paraId="5D68A9C1">
            <w:pPr>
              <w:adjustRightInd w:val="0"/>
              <w:snapToGrid w:val="0"/>
              <w:jc w:val="center"/>
              <w:rPr>
                <w:rFonts w:ascii="Arial" w:hAnsi="Arial" w:eastAsia="宋体" w:cs="Arial"/>
                <w:sz w:val="21"/>
                <w:szCs w:val="21"/>
              </w:rPr>
            </w:pPr>
            <w:r>
              <w:rPr>
                <w:rFonts w:ascii="Arial" w:hAnsi="Arial" w:eastAsia="宋体" w:cs="Arial"/>
                <w:sz w:val="21"/>
                <w:szCs w:val="21"/>
              </w:rPr>
              <w:t>气象条件类型</w:t>
            </w:r>
          </w:p>
        </w:tc>
        <w:tc>
          <w:tcPr>
            <w:tcW w:w="1340" w:type="pct"/>
            <w:tcBorders>
              <w:top w:val="single" w:color="auto" w:sz="4" w:space="0"/>
              <w:left w:val="single" w:color="auto" w:sz="4" w:space="0"/>
              <w:bottom w:val="single" w:color="auto" w:sz="4" w:space="0"/>
              <w:right w:val="single" w:color="auto" w:sz="4" w:space="0"/>
            </w:tcBorders>
            <w:vAlign w:val="center"/>
          </w:tcPr>
          <w:p w14:paraId="13453E83">
            <w:pPr>
              <w:adjustRightInd w:val="0"/>
              <w:snapToGrid w:val="0"/>
              <w:jc w:val="center"/>
              <w:rPr>
                <w:rFonts w:ascii="Arial" w:hAnsi="Arial" w:eastAsia="宋体" w:cs="Arial"/>
                <w:sz w:val="21"/>
                <w:szCs w:val="21"/>
              </w:rPr>
            </w:pPr>
            <w:r>
              <w:rPr>
                <w:rFonts w:ascii="Arial" w:hAnsi="Arial" w:eastAsia="宋体" w:cs="Arial"/>
                <w:sz w:val="21"/>
                <w:szCs w:val="21"/>
              </w:rPr>
              <w:t>最不利气象</w:t>
            </w:r>
          </w:p>
        </w:tc>
        <w:tc>
          <w:tcPr>
            <w:tcW w:w="1314" w:type="pct"/>
            <w:tcBorders>
              <w:top w:val="single" w:color="auto" w:sz="4" w:space="0"/>
              <w:left w:val="single" w:color="auto" w:sz="4" w:space="0"/>
              <w:bottom w:val="single" w:color="auto" w:sz="4" w:space="0"/>
              <w:right w:val="single" w:color="auto" w:sz="4" w:space="0"/>
            </w:tcBorders>
            <w:vAlign w:val="center"/>
          </w:tcPr>
          <w:p w14:paraId="627BE28E">
            <w:pPr>
              <w:adjustRightInd w:val="0"/>
              <w:snapToGrid w:val="0"/>
              <w:jc w:val="center"/>
              <w:rPr>
                <w:rFonts w:ascii="Arial" w:hAnsi="Arial" w:eastAsia="宋体" w:cs="Arial"/>
                <w:sz w:val="21"/>
                <w:szCs w:val="21"/>
              </w:rPr>
            </w:pPr>
            <w:r>
              <w:rPr>
                <w:rFonts w:ascii="Arial" w:hAnsi="Arial" w:eastAsia="宋体" w:cs="Arial"/>
                <w:sz w:val="21"/>
                <w:szCs w:val="21"/>
              </w:rPr>
              <w:t>最常见气象</w:t>
            </w:r>
          </w:p>
        </w:tc>
      </w:tr>
      <w:tr w14:paraId="5BD94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continue"/>
            <w:tcBorders>
              <w:top w:val="single" w:color="auto" w:sz="4" w:space="0"/>
              <w:left w:val="single" w:color="auto" w:sz="4" w:space="0"/>
              <w:bottom w:val="single" w:color="auto" w:sz="4" w:space="0"/>
              <w:right w:val="single" w:color="auto" w:sz="4" w:space="0"/>
            </w:tcBorders>
            <w:vAlign w:val="center"/>
          </w:tcPr>
          <w:p w14:paraId="73FF7749">
            <w:pPr>
              <w:widowControl/>
              <w:jc w:val="left"/>
              <w:rPr>
                <w:rFonts w:ascii="Arial" w:hAnsi="Arial" w:eastAsia="宋体" w:cs="Arial"/>
                <w:sz w:val="21"/>
                <w:szCs w:val="21"/>
              </w:rPr>
            </w:pPr>
          </w:p>
        </w:tc>
        <w:tc>
          <w:tcPr>
            <w:tcW w:w="1419" w:type="pct"/>
            <w:tcBorders>
              <w:top w:val="single" w:color="auto" w:sz="4" w:space="0"/>
              <w:left w:val="single" w:color="auto" w:sz="4" w:space="0"/>
              <w:bottom w:val="single" w:color="auto" w:sz="4" w:space="0"/>
              <w:right w:val="single" w:color="auto" w:sz="4" w:space="0"/>
            </w:tcBorders>
            <w:vAlign w:val="center"/>
          </w:tcPr>
          <w:p w14:paraId="2A901F36">
            <w:pPr>
              <w:adjustRightInd w:val="0"/>
              <w:snapToGrid w:val="0"/>
              <w:jc w:val="center"/>
              <w:rPr>
                <w:rFonts w:ascii="Arial" w:hAnsi="Arial" w:eastAsia="宋体" w:cs="Arial"/>
                <w:sz w:val="21"/>
                <w:szCs w:val="21"/>
              </w:rPr>
            </w:pPr>
            <w:r>
              <w:rPr>
                <w:rFonts w:ascii="Arial" w:hAnsi="Arial" w:eastAsia="宋体" w:cs="Arial"/>
                <w:sz w:val="21"/>
                <w:szCs w:val="21"/>
              </w:rPr>
              <w:t>风速/（m/s）</w:t>
            </w:r>
          </w:p>
        </w:tc>
        <w:tc>
          <w:tcPr>
            <w:tcW w:w="1340" w:type="pct"/>
            <w:tcBorders>
              <w:top w:val="single" w:color="auto" w:sz="4" w:space="0"/>
              <w:left w:val="single" w:color="auto" w:sz="4" w:space="0"/>
              <w:bottom w:val="single" w:color="auto" w:sz="4" w:space="0"/>
              <w:right w:val="single" w:color="auto" w:sz="4" w:space="0"/>
            </w:tcBorders>
            <w:vAlign w:val="center"/>
          </w:tcPr>
          <w:p w14:paraId="760A1F79">
            <w:pPr>
              <w:adjustRightInd w:val="0"/>
              <w:snapToGrid w:val="0"/>
              <w:jc w:val="center"/>
              <w:rPr>
                <w:rFonts w:ascii="Arial" w:hAnsi="Arial" w:eastAsia="宋体" w:cs="Arial"/>
                <w:sz w:val="21"/>
                <w:szCs w:val="21"/>
              </w:rPr>
            </w:pPr>
            <w:r>
              <w:rPr>
                <w:rFonts w:ascii="Arial" w:hAnsi="Arial" w:eastAsia="宋体" w:cs="Arial"/>
                <w:sz w:val="21"/>
                <w:szCs w:val="21"/>
              </w:rPr>
              <w:t>1.5</w:t>
            </w:r>
          </w:p>
        </w:tc>
        <w:tc>
          <w:tcPr>
            <w:tcW w:w="1314" w:type="pct"/>
            <w:tcBorders>
              <w:top w:val="single" w:color="auto" w:sz="4" w:space="0"/>
              <w:left w:val="single" w:color="auto" w:sz="4" w:space="0"/>
              <w:bottom w:val="single" w:color="auto" w:sz="4" w:space="0"/>
              <w:right w:val="single" w:color="auto" w:sz="4" w:space="0"/>
            </w:tcBorders>
            <w:vAlign w:val="center"/>
          </w:tcPr>
          <w:p w14:paraId="7D666262">
            <w:pPr>
              <w:adjustRightInd w:val="0"/>
              <w:snapToGrid w:val="0"/>
              <w:jc w:val="center"/>
              <w:rPr>
                <w:rFonts w:ascii="Arial" w:hAnsi="Arial" w:eastAsia="宋体" w:cs="Arial"/>
                <w:sz w:val="21"/>
                <w:szCs w:val="21"/>
              </w:rPr>
            </w:pPr>
            <w:r>
              <w:rPr>
                <w:rFonts w:ascii="Arial" w:hAnsi="Arial" w:eastAsia="宋体" w:cs="Arial"/>
                <w:sz w:val="21"/>
                <w:szCs w:val="21"/>
              </w:rPr>
              <w:t>3.28</w:t>
            </w:r>
          </w:p>
        </w:tc>
      </w:tr>
      <w:tr w14:paraId="24C1B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continue"/>
            <w:tcBorders>
              <w:top w:val="single" w:color="auto" w:sz="4" w:space="0"/>
              <w:left w:val="single" w:color="auto" w:sz="4" w:space="0"/>
              <w:bottom w:val="single" w:color="auto" w:sz="4" w:space="0"/>
              <w:right w:val="single" w:color="auto" w:sz="4" w:space="0"/>
            </w:tcBorders>
            <w:vAlign w:val="center"/>
          </w:tcPr>
          <w:p w14:paraId="3A58B0ED">
            <w:pPr>
              <w:widowControl/>
              <w:jc w:val="left"/>
              <w:rPr>
                <w:rFonts w:ascii="Arial" w:hAnsi="Arial" w:eastAsia="宋体" w:cs="Arial"/>
                <w:sz w:val="21"/>
                <w:szCs w:val="21"/>
              </w:rPr>
            </w:pPr>
          </w:p>
        </w:tc>
        <w:tc>
          <w:tcPr>
            <w:tcW w:w="1419" w:type="pct"/>
            <w:tcBorders>
              <w:top w:val="single" w:color="auto" w:sz="4" w:space="0"/>
              <w:left w:val="single" w:color="auto" w:sz="4" w:space="0"/>
              <w:bottom w:val="single" w:color="auto" w:sz="4" w:space="0"/>
              <w:right w:val="single" w:color="auto" w:sz="4" w:space="0"/>
            </w:tcBorders>
            <w:vAlign w:val="center"/>
          </w:tcPr>
          <w:p w14:paraId="7788598C">
            <w:pPr>
              <w:adjustRightInd w:val="0"/>
              <w:snapToGrid w:val="0"/>
              <w:jc w:val="center"/>
              <w:rPr>
                <w:rFonts w:ascii="Arial" w:hAnsi="Arial" w:eastAsia="宋体" w:cs="Arial"/>
                <w:sz w:val="21"/>
                <w:szCs w:val="21"/>
              </w:rPr>
            </w:pPr>
            <w:r>
              <w:rPr>
                <w:rFonts w:ascii="Arial" w:hAnsi="Arial" w:eastAsia="宋体" w:cs="Arial"/>
                <w:sz w:val="21"/>
                <w:szCs w:val="21"/>
              </w:rPr>
              <w:t>环境温度/</w:t>
            </w:r>
            <w:r>
              <w:rPr>
                <w:rFonts w:hint="eastAsia" w:ascii="宋体" w:hAnsi="宋体" w:eastAsia="宋体" w:cs="宋体"/>
                <w:sz w:val="21"/>
                <w:szCs w:val="21"/>
              </w:rPr>
              <w:t>℃</w:t>
            </w:r>
          </w:p>
        </w:tc>
        <w:tc>
          <w:tcPr>
            <w:tcW w:w="1340" w:type="pct"/>
            <w:tcBorders>
              <w:top w:val="single" w:color="auto" w:sz="4" w:space="0"/>
              <w:left w:val="single" w:color="auto" w:sz="4" w:space="0"/>
              <w:bottom w:val="single" w:color="auto" w:sz="4" w:space="0"/>
              <w:right w:val="single" w:color="auto" w:sz="4" w:space="0"/>
            </w:tcBorders>
            <w:vAlign w:val="center"/>
          </w:tcPr>
          <w:p w14:paraId="44E04DD0">
            <w:pPr>
              <w:adjustRightInd w:val="0"/>
              <w:snapToGrid w:val="0"/>
              <w:jc w:val="center"/>
              <w:rPr>
                <w:rFonts w:ascii="Arial" w:hAnsi="Arial" w:eastAsia="宋体" w:cs="Arial"/>
                <w:sz w:val="21"/>
                <w:szCs w:val="21"/>
              </w:rPr>
            </w:pPr>
            <w:r>
              <w:rPr>
                <w:rFonts w:ascii="Arial" w:hAnsi="Arial" w:eastAsia="宋体" w:cs="Arial"/>
                <w:sz w:val="21"/>
                <w:szCs w:val="21"/>
              </w:rPr>
              <w:t>25</w:t>
            </w:r>
          </w:p>
        </w:tc>
        <w:tc>
          <w:tcPr>
            <w:tcW w:w="1314" w:type="pct"/>
            <w:tcBorders>
              <w:top w:val="single" w:color="auto" w:sz="4" w:space="0"/>
              <w:left w:val="single" w:color="auto" w:sz="4" w:space="0"/>
              <w:bottom w:val="single" w:color="auto" w:sz="4" w:space="0"/>
              <w:right w:val="single" w:color="auto" w:sz="4" w:space="0"/>
            </w:tcBorders>
            <w:vAlign w:val="center"/>
          </w:tcPr>
          <w:p w14:paraId="6C160B70">
            <w:pPr>
              <w:adjustRightInd w:val="0"/>
              <w:snapToGrid w:val="0"/>
              <w:jc w:val="center"/>
              <w:rPr>
                <w:rFonts w:ascii="Arial" w:hAnsi="Arial" w:eastAsia="宋体" w:cs="Arial"/>
                <w:sz w:val="21"/>
                <w:szCs w:val="21"/>
              </w:rPr>
            </w:pPr>
            <w:r>
              <w:rPr>
                <w:rFonts w:ascii="Arial" w:hAnsi="Arial" w:eastAsia="宋体" w:cs="Arial"/>
                <w:sz w:val="21"/>
                <w:szCs w:val="21"/>
              </w:rPr>
              <w:t>22.33</w:t>
            </w:r>
          </w:p>
        </w:tc>
      </w:tr>
      <w:tr w14:paraId="004A2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continue"/>
            <w:tcBorders>
              <w:top w:val="single" w:color="auto" w:sz="4" w:space="0"/>
              <w:left w:val="single" w:color="auto" w:sz="4" w:space="0"/>
              <w:bottom w:val="single" w:color="auto" w:sz="4" w:space="0"/>
              <w:right w:val="single" w:color="auto" w:sz="4" w:space="0"/>
            </w:tcBorders>
            <w:vAlign w:val="center"/>
          </w:tcPr>
          <w:p w14:paraId="35A04FB9">
            <w:pPr>
              <w:widowControl/>
              <w:jc w:val="left"/>
              <w:rPr>
                <w:rFonts w:ascii="Arial" w:hAnsi="Arial" w:eastAsia="宋体" w:cs="Arial"/>
                <w:sz w:val="21"/>
                <w:szCs w:val="21"/>
              </w:rPr>
            </w:pPr>
          </w:p>
        </w:tc>
        <w:tc>
          <w:tcPr>
            <w:tcW w:w="1419" w:type="pct"/>
            <w:tcBorders>
              <w:top w:val="single" w:color="auto" w:sz="4" w:space="0"/>
              <w:left w:val="single" w:color="auto" w:sz="4" w:space="0"/>
              <w:bottom w:val="single" w:color="auto" w:sz="4" w:space="0"/>
              <w:right w:val="single" w:color="auto" w:sz="4" w:space="0"/>
            </w:tcBorders>
            <w:vAlign w:val="center"/>
          </w:tcPr>
          <w:p w14:paraId="621F2EE4">
            <w:pPr>
              <w:adjustRightInd w:val="0"/>
              <w:snapToGrid w:val="0"/>
              <w:jc w:val="center"/>
              <w:rPr>
                <w:rFonts w:ascii="Arial" w:hAnsi="Arial" w:eastAsia="宋体" w:cs="Arial"/>
                <w:sz w:val="21"/>
                <w:szCs w:val="21"/>
              </w:rPr>
            </w:pPr>
            <w:r>
              <w:rPr>
                <w:rFonts w:ascii="Arial" w:hAnsi="Arial" w:eastAsia="宋体" w:cs="Arial"/>
                <w:sz w:val="21"/>
                <w:szCs w:val="21"/>
              </w:rPr>
              <w:t>相对湿度/%</w:t>
            </w:r>
          </w:p>
        </w:tc>
        <w:tc>
          <w:tcPr>
            <w:tcW w:w="1340" w:type="pct"/>
            <w:tcBorders>
              <w:top w:val="single" w:color="auto" w:sz="4" w:space="0"/>
              <w:left w:val="single" w:color="auto" w:sz="4" w:space="0"/>
              <w:bottom w:val="single" w:color="auto" w:sz="4" w:space="0"/>
              <w:right w:val="single" w:color="auto" w:sz="4" w:space="0"/>
            </w:tcBorders>
            <w:vAlign w:val="center"/>
          </w:tcPr>
          <w:p w14:paraId="6156D3FE">
            <w:pPr>
              <w:adjustRightInd w:val="0"/>
              <w:snapToGrid w:val="0"/>
              <w:jc w:val="center"/>
              <w:rPr>
                <w:rFonts w:ascii="Arial" w:hAnsi="Arial" w:eastAsia="宋体" w:cs="Arial"/>
                <w:sz w:val="21"/>
                <w:szCs w:val="21"/>
              </w:rPr>
            </w:pPr>
            <w:r>
              <w:rPr>
                <w:rFonts w:ascii="Arial" w:hAnsi="Arial" w:eastAsia="宋体" w:cs="Arial"/>
                <w:sz w:val="21"/>
                <w:szCs w:val="21"/>
              </w:rPr>
              <w:t>50</w:t>
            </w:r>
          </w:p>
        </w:tc>
        <w:tc>
          <w:tcPr>
            <w:tcW w:w="1314" w:type="pct"/>
            <w:tcBorders>
              <w:top w:val="single" w:color="auto" w:sz="4" w:space="0"/>
              <w:left w:val="single" w:color="auto" w:sz="4" w:space="0"/>
              <w:bottom w:val="single" w:color="auto" w:sz="4" w:space="0"/>
              <w:right w:val="single" w:color="auto" w:sz="4" w:space="0"/>
            </w:tcBorders>
            <w:vAlign w:val="center"/>
          </w:tcPr>
          <w:p w14:paraId="5B0F9814">
            <w:pPr>
              <w:adjustRightInd w:val="0"/>
              <w:snapToGrid w:val="0"/>
              <w:jc w:val="center"/>
              <w:rPr>
                <w:rFonts w:ascii="Arial" w:hAnsi="Arial" w:eastAsia="宋体" w:cs="Arial"/>
                <w:sz w:val="21"/>
                <w:szCs w:val="21"/>
              </w:rPr>
            </w:pPr>
            <w:r>
              <w:rPr>
                <w:rFonts w:ascii="Arial" w:hAnsi="Arial" w:eastAsia="宋体" w:cs="Arial"/>
                <w:sz w:val="21"/>
                <w:szCs w:val="21"/>
              </w:rPr>
              <w:t>70</w:t>
            </w:r>
          </w:p>
        </w:tc>
      </w:tr>
      <w:tr w14:paraId="21A9F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continue"/>
            <w:tcBorders>
              <w:top w:val="single" w:color="auto" w:sz="4" w:space="0"/>
              <w:left w:val="single" w:color="auto" w:sz="4" w:space="0"/>
              <w:bottom w:val="single" w:color="auto" w:sz="4" w:space="0"/>
              <w:right w:val="single" w:color="auto" w:sz="4" w:space="0"/>
            </w:tcBorders>
            <w:vAlign w:val="center"/>
          </w:tcPr>
          <w:p w14:paraId="38675D7A">
            <w:pPr>
              <w:widowControl/>
              <w:jc w:val="left"/>
              <w:rPr>
                <w:rFonts w:ascii="Arial" w:hAnsi="Arial" w:eastAsia="宋体" w:cs="Arial"/>
                <w:sz w:val="21"/>
                <w:szCs w:val="21"/>
              </w:rPr>
            </w:pPr>
          </w:p>
        </w:tc>
        <w:tc>
          <w:tcPr>
            <w:tcW w:w="1419" w:type="pct"/>
            <w:tcBorders>
              <w:top w:val="single" w:color="auto" w:sz="4" w:space="0"/>
              <w:left w:val="single" w:color="auto" w:sz="4" w:space="0"/>
              <w:bottom w:val="single" w:color="auto" w:sz="4" w:space="0"/>
              <w:right w:val="single" w:color="auto" w:sz="4" w:space="0"/>
            </w:tcBorders>
            <w:vAlign w:val="center"/>
          </w:tcPr>
          <w:p w14:paraId="7079DC06">
            <w:pPr>
              <w:adjustRightInd w:val="0"/>
              <w:snapToGrid w:val="0"/>
              <w:jc w:val="center"/>
              <w:rPr>
                <w:rFonts w:ascii="Arial" w:hAnsi="Arial" w:eastAsia="宋体" w:cs="Arial"/>
                <w:sz w:val="21"/>
                <w:szCs w:val="21"/>
              </w:rPr>
            </w:pPr>
            <w:r>
              <w:rPr>
                <w:rFonts w:ascii="Arial" w:hAnsi="Arial" w:eastAsia="宋体" w:cs="Arial"/>
                <w:sz w:val="21"/>
                <w:szCs w:val="21"/>
              </w:rPr>
              <w:t>稳定度</w:t>
            </w:r>
          </w:p>
        </w:tc>
        <w:tc>
          <w:tcPr>
            <w:tcW w:w="1340" w:type="pct"/>
            <w:tcBorders>
              <w:top w:val="single" w:color="auto" w:sz="4" w:space="0"/>
              <w:left w:val="single" w:color="auto" w:sz="4" w:space="0"/>
              <w:bottom w:val="single" w:color="auto" w:sz="4" w:space="0"/>
              <w:right w:val="single" w:color="auto" w:sz="4" w:space="0"/>
            </w:tcBorders>
            <w:vAlign w:val="center"/>
          </w:tcPr>
          <w:p w14:paraId="0DFABE14">
            <w:pPr>
              <w:adjustRightInd w:val="0"/>
              <w:snapToGrid w:val="0"/>
              <w:jc w:val="center"/>
              <w:rPr>
                <w:rFonts w:ascii="Arial" w:hAnsi="Arial" w:eastAsia="宋体" w:cs="Arial"/>
                <w:sz w:val="21"/>
                <w:szCs w:val="21"/>
              </w:rPr>
            </w:pPr>
            <w:r>
              <w:rPr>
                <w:rFonts w:ascii="Arial" w:hAnsi="Arial" w:eastAsia="宋体" w:cs="Arial"/>
                <w:sz w:val="21"/>
                <w:szCs w:val="21"/>
              </w:rPr>
              <w:t>F</w:t>
            </w:r>
          </w:p>
        </w:tc>
        <w:tc>
          <w:tcPr>
            <w:tcW w:w="1314" w:type="pct"/>
            <w:tcBorders>
              <w:top w:val="single" w:color="auto" w:sz="4" w:space="0"/>
              <w:left w:val="single" w:color="auto" w:sz="4" w:space="0"/>
              <w:bottom w:val="single" w:color="auto" w:sz="4" w:space="0"/>
              <w:right w:val="single" w:color="auto" w:sz="4" w:space="0"/>
            </w:tcBorders>
            <w:vAlign w:val="center"/>
          </w:tcPr>
          <w:p w14:paraId="675ACE52">
            <w:pPr>
              <w:adjustRightInd w:val="0"/>
              <w:snapToGrid w:val="0"/>
              <w:jc w:val="center"/>
              <w:rPr>
                <w:rFonts w:ascii="Arial" w:hAnsi="Arial" w:eastAsia="宋体" w:cs="Arial"/>
                <w:sz w:val="21"/>
                <w:szCs w:val="21"/>
              </w:rPr>
            </w:pPr>
            <w:r>
              <w:rPr>
                <w:rFonts w:ascii="Arial" w:hAnsi="Arial" w:eastAsia="宋体" w:cs="Arial"/>
                <w:sz w:val="21"/>
                <w:szCs w:val="21"/>
              </w:rPr>
              <w:t>D</w:t>
            </w:r>
          </w:p>
        </w:tc>
      </w:tr>
      <w:tr w14:paraId="6E33C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restart"/>
            <w:tcBorders>
              <w:top w:val="single" w:color="auto" w:sz="4" w:space="0"/>
              <w:left w:val="single" w:color="auto" w:sz="4" w:space="0"/>
              <w:bottom w:val="single" w:color="auto" w:sz="4" w:space="0"/>
              <w:right w:val="single" w:color="auto" w:sz="4" w:space="0"/>
            </w:tcBorders>
            <w:vAlign w:val="center"/>
          </w:tcPr>
          <w:p w14:paraId="116D0091">
            <w:pPr>
              <w:adjustRightInd w:val="0"/>
              <w:snapToGrid w:val="0"/>
              <w:jc w:val="center"/>
              <w:rPr>
                <w:rFonts w:ascii="Arial" w:hAnsi="Arial" w:eastAsia="宋体" w:cs="Arial"/>
                <w:sz w:val="21"/>
                <w:szCs w:val="21"/>
              </w:rPr>
            </w:pPr>
            <w:r>
              <w:rPr>
                <w:rFonts w:ascii="Arial" w:hAnsi="Arial" w:eastAsia="宋体" w:cs="Arial"/>
                <w:sz w:val="21"/>
                <w:szCs w:val="21"/>
              </w:rPr>
              <w:t>其他参数</w:t>
            </w:r>
          </w:p>
        </w:tc>
        <w:tc>
          <w:tcPr>
            <w:tcW w:w="1419" w:type="pct"/>
            <w:tcBorders>
              <w:top w:val="single" w:color="auto" w:sz="4" w:space="0"/>
              <w:left w:val="single" w:color="auto" w:sz="4" w:space="0"/>
              <w:bottom w:val="single" w:color="auto" w:sz="4" w:space="0"/>
              <w:right w:val="single" w:color="auto" w:sz="4" w:space="0"/>
            </w:tcBorders>
            <w:vAlign w:val="center"/>
          </w:tcPr>
          <w:p w14:paraId="1DBB81B6">
            <w:pPr>
              <w:adjustRightInd w:val="0"/>
              <w:snapToGrid w:val="0"/>
              <w:jc w:val="center"/>
              <w:rPr>
                <w:rFonts w:ascii="Arial" w:hAnsi="Arial" w:eastAsia="宋体" w:cs="Arial"/>
                <w:sz w:val="21"/>
                <w:szCs w:val="21"/>
              </w:rPr>
            </w:pPr>
            <w:r>
              <w:rPr>
                <w:rFonts w:ascii="Arial" w:hAnsi="Arial" w:eastAsia="宋体" w:cs="Arial"/>
                <w:sz w:val="21"/>
                <w:szCs w:val="21"/>
              </w:rPr>
              <w:t>地表粗糙度/m</w:t>
            </w:r>
          </w:p>
        </w:tc>
        <w:tc>
          <w:tcPr>
            <w:tcW w:w="2654" w:type="pct"/>
            <w:gridSpan w:val="2"/>
            <w:tcBorders>
              <w:top w:val="single" w:color="auto" w:sz="4" w:space="0"/>
              <w:left w:val="single" w:color="auto" w:sz="4" w:space="0"/>
              <w:bottom w:val="single" w:color="auto" w:sz="4" w:space="0"/>
              <w:right w:val="single" w:color="auto" w:sz="4" w:space="0"/>
            </w:tcBorders>
            <w:vAlign w:val="center"/>
          </w:tcPr>
          <w:p w14:paraId="3D6BDE16">
            <w:pPr>
              <w:adjustRightInd w:val="0"/>
              <w:snapToGrid w:val="0"/>
              <w:jc w:val="center"/>
              <w:rPr>
                <w:rFonts w:ascii="Arial" w:hAnsi="Arial" w:eastAsia="宋体" w:cs="Arial"/>
                <w:sz w:val="21"/>
                <w:szCs w:val="21"/>
              </w:rPr>
            </w:pPr>
            <w:r>
              <w:rPr>
                <w:rFonts w:ascii="Arial" w:hAnsi="Arial" w:eastAsia="宋体" w:cs="Arial"/>
                <w:sz w:val="21"/>
                <w:szCs w:val="21"/>
              </w:rPr>
              <w:t>1.0</w:t>
            </w:r>
          </w:p>
        </w:tc>
      </w:tr>
      <w:tr w14:paraId="1551C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continue"/>
            <w:tcBorders>
              <w:top w:val="single" w:color="auto" w:sz="4" w:space="0"/>
              <w:left w:val="single" w:color="auto" w:sz="4" w:space="0"/>
              <w:bottom w:val="single" w:color="auto" w:sz="4" w:space="0"/>
              <w:right w:val="single" w:color="auto" w:sz="4" w:space="0"/>
            </w:tcBorders>
            <w:vAlign w:val="center"/>
          </w:tcPr>
          <w:p w14:paraId="53D79F48">
            <w:pPr>
              <w:widowControl/>
              <w:jc w:val="left"/>
              <w:rPr>
                <w:rFonts w:ascii="Arial" w:hAnsi="Arial" w:eastAsia="宋体" w:cs="Arial"/>
                <w:sz w:val="21"/>
                <w:szCs w:val="21"/>
              </w:rPr>
            </w:pPr>
          </w:p>
        </w:tc>
        <w:tc>
          <w:tcPr>
            <w:tcW w:w="1419" w:type="pct"/>
            <w:tcBorders>
              <w:top w:val="single" w:color="auto" w:sz="4" w:space="0"/>
              <w:left w:val="single" w:color="auto" w:sz="4" w:space="0"/>
              <w:bottom w:val="single" w:color="auto" w:sz="4" w:space="0"/>
              <w:right w:val="single" w:color="auto" w:sz="4" w:space="0"/>
            </w:tcBorders>
            <w:vAlign w:val="center"/>
          </w:tcPr>
          <w:p w14:paraId="120680EC">
            <w:pPr>
              <w:adjustRightInd w:val="0"/>
              <w:snapToGrid w:val="0"/>
              <w:jc w:val="center"/>
              <w:rPr>
                <w:rFonts w:ascii="Arial" w:hAnsi="Arial" w:eastAsia="宋体" w:cs="Arial"/>
                <w:sz w:val="21"/>
                <w:szCs w:val="21"/>
              </w:rPr>
            </w:pPr>
            <w:r>
              <w:rPr>
                <w:rFonts w:ascii="Arial" w:hAnsi="Arial" w:eastAsia="宋体" w:cs="Arial"/>
                <w:sz w:val="21"/>
                <w:szCs w:val="21"/>
              </w:rPr>
              <w:t>是否考虑地形</w:t>
            </w:r>
          </w:p>
        </w:tc>
        <w:tc>
          <w:tcPr>
            <w:tcW w:w="2654" w:type="pct"/>
            <w:gridSpan w:val="2"/>
            <w:tcBorders>
              <w:top w:val="single" w:color="auto" w:sz="4" w:space="0"/>
              <w:left w:val="single" w:color="auto" w:sz="4" w:space="0"/>
              <w:bottom w:val="single" w:color="auto" w:sz="4" w:space="0"/>
              <w:right w:val="single" w:color="auto" w:sz="4" w:space="0"/>
            </w:tcBorders>
            <w:vAlign w:val="center"/>
          </w:tcPr>
          <w:p w14:paraId="1E8CA990">
            <w:pPr>
              <w:adjustRightInd w:val="0"/>
              <w:snapToGrid w:val="0"/>
              <w:jc w:val="center"/>
              <w:rPr>
                <w:rFonts w:ascii="Arial" w:hAnsi="Arial" w:eastAsia="宋体" w:cs="Arial"/>
                <w:sz w:val="21"/>
                <w:szCs w:val="21"/>
              </w:rPr>
            </w:pPr>
            <w:r>
              <w:rPr>
                <w:rFonts w:ascii="Arial" w:hAnsi="Arial" w:eastAsia="宋体" w:cs="Arial"/>
                <w:sz w:val="21"/>
                <w:szCs w:val="21"/>
              </w:rPr>
              <w:t>否</w:t>
            </w:r>
          </w:p>
        </w:tc>
      </w:tr>
      <w:tr w14:paraId="32ABD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7" w:type="pct"/>
            <w:vMerge w:val="continue"/>
            <w:tcBorders>
              <w:top w:val="single" w:color="auto" w:sz="4" w:space="0"/>
              <w:left w:val="single" w:color="auto" w:sz="4" w:space="0"/>
              <w:bottom w:val="single" w:color="auto" w:sz="4" w:space="0"/>
              <w:right w:val="single" w:color="auto" w:sz="4" w:space="0"/>
            </w:tcBorders>
            <w:vAlign w:val="center"/>
          </w:tcPr>
          <w:p w14:paraId="7E15DCBC">
            <w:pPr>
              <w:widowControl/>
              <w:jc w:val="left"/>
              <w:rPr>
                <w:rFonts w:ascii="Arial" w:hAnsi="Arial" w:eastAsia="宋体" w:cs="Arial"/>
                <w:sz w:val="21"/>
                <w:szCs w:val="21"/>
              </w:rPr>
            </w:pPr>
          </w:p>
        </w:tc>
        <w:tc>
          <w:tcPr>
            <w:tcW w:w="1419" w:type="pct"/>
            <w:tcBorders>
              <w:top w:val="single" w:color="auto" w:sz="4" w:space="0"/>
              <w:left w:val="single" w:color="auto" w:sz="4" w:space="0"/>
              <w:bottom w:val="single" w:color="auto" w:sz="4" w:space="0"/>
              <w:right w:val="single" w:color="auto" w:sz="4" w:space="0"/>
            </w:tcBorders>
            <w:vAlign w:val="center"/>
          </w:tcPr>
          <w:p w14:paraId="27C2138E">
            <w:pPr>
              <w:adjustRightInd w:val="0"/>
              <w:snapToGrid w:val="0"/>
              <w:jc w:val="center"/>
              <w:rPr>
                <w:rFonts w:ascii="Arial" w:hAnsi="Arial" w:eastAsia="宋体" w:cs="Arial"/>
                <w:sz w:val="21"/>
                <w:szCs w:val="21"/>
              </w:rPr>
            </w:pPr>
            <w:r>
              <w:rPr>
                <w:rFonts w:ascii="Arial" w:hAnsi="Arial" w:eastAsia="宋体" w:cs="Arial"/>
                <w:sz w:val="21"/>
                <w:szCs w:val="21"/>
              </w:rPr>
              <w:t>地形数据精度/m</w:t>
            </w:r>
          </w:p>
        </w:tc>
        <w:tc>
          <w:tcPr>
            <w:tcW w:w="2654" w:type="pct"/>
            <w:gridSpan w:val="2"/>
            <w:tcBorders>
              <w:top w:val="single" w:color="auto" w:sz="4" w:space="0"/>
              <w:left w:val="single" w:color="auto" w:sz="4" w:space="0"/>
              <w:bottom w:val="single" w:color="auto" w:sz="4" w:space="0"/>
              <w:right w:val="single" w:color="auto" w:sz="4" w:space="0"/>
            </w:tcBorders>
            <w:vAlign w:val="center"/>
          </w:tcPr>
          <w:p w14:paraId="5B7500C8">
            <w:pPr>
              <w:adjustRightInd w:val="0"/>
              <w:snapToGrid w:val="0"/>
              <w:jc w:val="center"/>
              <w:rPr>
                <w:rFonts w:ascii="Arial" w:hAnsi="Arial" w:eastAsia="宋体" w:cs="Arial"/>
                <w:sz w:val="21"/>
                <w:szCs w:val="21"/>
              </w:rPr>
            </w:pPr>
            <w:r>
              <w:rPr>
                <w:rFonts w:ascii="Arial" w:hAnsi="Arial" w:eastAsia="宋体" w:cs="Arial"/>
                <w:sz w:val="21"/>
                <w:szCs w:val="21"/>
              </w:rPr>
              <w:t>90</w:t>
            </w:r>
          </w:p>
        </w:tc>
      </w:tr>
    </w:tbl>
    <w:p w14:paraId="0635729D">
      <w:pPr>
        <w:spacing w:line="500" w:lineRule="exact"/>
        <w:ind w:firstLine="489"/>
        <w:jc w:val="left"/>
        <w:rPr>
          <w:rFonts w:ascii="Arial" w:hAnsi="Arial" w:eastAsia="宋体" w:cs="Arial"/>
          <w:spacing w:val="10"/>
          <w:sz w:val="24"/>
        </w:rPr>
      </w:pPr>
      <w:r>
        <w:rPr>
          <w:rFonts w:ascii="Arial" w:hAnsi="Arial" w:eastAsia="宋体" w:cs="Arial"/>
          <w:spacing w:val="10"/>
          <w:sz w:val="24"/>
        </w:rPr>
        <w:t>2.预测结果</w:t>
      </w:r>
    </w:p>
    <w:p w14:paraId="4B7A990C">
      <w:pPr>
        <w:spacing w:line="500" w:lineRule="exact"/>
        <w:ind w:firstLine="489"/>
        <w:jc w:val="left"/>
        <w:rPr>
          <w:rFonts w:ascii="Arial" w:hAnsi="Arial" w:eastAsia="宋体" w:cs="Arial"/>
          <w:spacing w:val="10"/>
          <w:sz w:val="24"/>
        </w:rPr>
      </w:pPr>
      <w:r>
        <w:rPr>
          <w:rFonts w:hint="eastAsia" w:ascii="Arial" w:hAnsi="Arial" w:eastAsia="宋体" w:cs="Arial"/>
          <w:spacing w:val="10"/>
          <w:sz w:val="24"/>
        </w:rPr>
        <w:t>（1）氨水泄漏</w:t>
      </w:r>
    </w:p>
    <w:p w14:paraId="394E3B0D">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氨水泄漏</w:t>
      </w:r>
      <w:r>
        <w:rPr>
          <w:rFonts w:ascii="Arial" w:hAnsi="Arial" w:eastAsia="宋体" w:cs="Arial"/>
          <w:b/>
          <w:sz w:val="24"/>
          <w:szCs w:val="24"/>
        </w:rPr>
        <w:t>轴向预测结果</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5"/>
        <w:gridCol w:w="1833"/>
        <w:gridCol w:w="1833"/>
        <w:gridCol w:w="1833"/>
        <w:gridCol w:w="1829"/>
      </w:tblGrid>
      <w:tr w14:paraId="1DA27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926" w:type="pct"/>
            <w:vMerge w:val="restart"/>
            <w:vAlign w:val="center"/>
          </w:tcPr>
          <w:p w14:paraId="093C2576">
            <w:pPr>
              <w:adjustRightInd w:val="0"/>
              <w:snapToGrid w:val="0"/>
              <w:jc w:val="center"/>
              <w:rPr>
                <w:rFonts w:ascii="Arial" w:hAnsi="Arial" w:eastAsia="宋体" w:cs="Arial"/>
                <w:sz w:val="21"/>
                <w:szCs w:val="21"/>
              </w:rPr>
            </w:pPr>
            <w:r>
              <w:rPr>
                <w:rFonts w:ascii="Arial" w:hAnsi="Arial" w:eastAsia="宋体" w:cs="Arial"/>
                <w:sz w:val="21"/>
                <w:szCs w:val="21"/>
              </w:rPr>
              <w:t>距离(m)</w:t>
            </w:r>
          </w:p>
        </w:tc>
        <w:tc>
          <w:tcPr>
            <w:tcW w:w="2038" w:type="pct"/>
            <w:gridSpan w:val="2"/>
            <w:vAlign w:val="center"/>
          </w:tcPr>
          <w:p w14:paraId="6375DB22">
            <w:pPr>
              <w:adjustRightInd w:val="0"/>
              <w:snapToGrid w:val="0"/>
              <w:jc w:val="center"/>
              <w:rPr>
                <w:rFonts w:ascii="Arial" w:hAnsi="Arial" w:eastAsia="宋体" w:cs="Arial"/>
                <w:sz w:val="21"/>
                <w:szCs w:val="21"/>
              </w:rPr>
            </w:pPr>
            <w:r>
              <w:rPr>
                <w:rFonts w:hint="eastAsia" w:ascii="Arial" w:hAnsi="Arial" w:eastAsia="宋体" w:cs="Arial"/>
                <w:sz w:val="21"/>
                <w:szCs w:val="21"/>
              </w:rPr>
              <w:t>最不利气象</w:t>
            </w:r>
          </w:p>
        </w:tc>
        <w:tc>
          <w:tcPr>
            <w:tcW w:w="2036" w:type="pct"/>
            <w:gridSpan w:val="2"/>
            <w:vAlign w:val="center"/>
          </w:tcPr>
          <w:p w14:paraId="3B649B31">
            <w:pPr>
              <w:adjustRightInd w:val="0"/>
              <w:snapToGrid w:val="0"/>
              <w:jc w:val="center"/>
              <w:rPr>
                <w:rFonts w:ascii="Arial" w:hAnsi="Arial" w:eastAsia="宋体" w:cs="Arial"/>
                <w:sz w:val="21"/>
                <w:szCs w:val="21"/>
              </w:rPr>
            </w:pPr>
            <w:r>
              <w:rPr>
                <w:rFonts w:hint="eastAsia" w:ascii="Arial" w:hAnsi="Arial" w:eastAsia="宋体" w:cs="Arial"/>
                <w:sz w:val="21"/>
                <w:szCs w:val="21"/>
              </w:rPr>
              <w:t>常见气象</w:t>
            </w:r>
          </w:p>
        </w:tc>
      </w:tr>
      <w:tr w14:paraId="70189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926" w:type="pct"/>
            <w:vMerge w:val="continue"/>
            <w:vAlign w:val="center"/>
          </w:tcPr>
          <w:p w14:paraId="7D1FB167">
            <w:pPr>
              <w:adjustRightInd w:val="0"/>
              <w:snapToGrid w:val="0"/>
              <w:jc w:val="center"/>
              <w:rPr>
                <w:rFonts w:ascii="Arial" w:hAnsi="Arial" w:eastAsia="宋体" w:cs="Arial"/>
                <w:sz w:val="21"/>
                <w:szCs w:val="21"/>
              </w:rPr>
            </w:pPr>
          </w:p>
        </w:tc>
        <w:tc>
          <w:tcPr>
            <w:tcW w:w="1019" w:type="pct"/>
            <w:vAlign w:val="center"/>
          </w:tcPr>
          <w:p w14:paraId="43E5BFEB">
            <w:pPr>
              <w:adjustRightInd w:val="0"/>
              <w:snapToGrid w:val="0"/>
              <w:jc w:val="center"/>
              <w:rPr>
                <w:rFonts w:ascii="Arial" w:hAnsi="Arial" w:eastAsia="宋体" w:cs="Arial"/>
                <w:sz w:val="21"/>
                <w:szCs w:val="21"/>
              </w:rPr>
            </w:pPr>
            <w:r>
              <w:rPr>
                <w:rFonts w:ascii="Arial" w:hAnsi="Arial" w:eastAsia="宋体" w:cs="Arial"/>
                <w:sz w:val="21"/>
                <w:szCs w:val="21"/>
              </w:rPr>
              <w:t>浓度出现时间(min)</w:t>
            </w:r>
          </w:p>
        </w:tc>
        <w:tc>
          <w:tcPr>
            <w:tcW w:w="1019" w:type="pct"/>
            <w:vAlign w:val="center"/>
          </w:tcPr>
          <w:p w14:paraId="60006BD1">
            <w:pPr>
              <w:adjustRightInd w:val="0"/>
              <w:snapToGrid w:val="0"/>
              <w:jc w:val="center"/>
              <w:rPr>
                <w:rFonts w:ascii="Arial" w:hAnsi="Arial" w:eastAsia="宋体" w:cs="Arial"/>
                <w:sz w:val="21"/>
                <w:szCs w:val="21"/>
              </w:rPr>
            </w:pPr>
            <w:r>
              <w:rPr>
                <w:rFonts w:ascii="Arial" w:hAnsi="Arial" w:eastAsia="宋体" w:cs="Arial"/>
                <w:sz w:val="21"/>
                <w:szCs w:val="21"/>
              </w:rPr>
              <w:t>高峰浓度(mg/m</w:t>
            </w:r>
            <w:r>
              <w:rPr>
                <w:rFonts w:ascii="Arial" w:hAnsi="Arial" w:eastAsia="宋体" w:cs="Arial"/>
                <w:sz w:val="21"/>
                <w:szCs w:val="21"/>
                <w:vertAlign w:val="superscript"/>
              </w:rPr>
              <w:t>3</w:t>
            </w:r>
            <w:r>
              <w:rPr>
                <w:rFonts w:ascii="Arial" w:hAnsi="Arial" w:eastAsia="宋体" w:cs="Arial"/>
                <w:sz w:val="21"/>
                <w:szCs w:val="21"/>
              </w:rPr>
              <w:t>)</w:t>
            </w:r>
          </w:p>
        </w:tc>
        <w:tc>
          <w:tcPr>
            <w:tcW w:w="1019" w:type="pct"/>
            <w:vAlign w:val="center"/>
          </w:tcPr>
          <w:p w14:paraId="0B351BC7">
            <w:pPr>
              <w:adjustRightInd w:val="0"/>
              <w:snapToGrid w:val="0"/>
              <w:jc w:val="center"/>
              <w:rPr>
                <w:rFonts w:ascii="Arial" w:hAnsi="Arial" w:eastAsia="宋体" w:cs="Arial"/>
                <w:sz w:val="21"/>
                <w:szCs w:val="21"/>
              </w:rPr>
            </w:pPr>
            <w:r>
              <w:rPr>
                <w:rFonts w:ascii="Arial" w:hAnsi="Arial" w:eastAsia="宋体" w:cs="Arial"/>
                <w:sz w:val="21"/>
                <w:szCs w:val="21"/>
              </w:rPr>
              <w:t>出现时间(min)</w:t>
            </w:r>
          </w:p>
        </w:tc>
        <w:tc>
          <w:tcPr>
            <w:tcW w:w="1017" w:type="pct"/>
            <w:vAlign w:val="center"/>
          </w:tcPr>
          <w:p w14:paraId="0F775585">
            <w:pPr>
              <w:adjustRightInd w:val="0"/>
              <w:snapToGrid w:val="0"/>
              <w:jc w:val="center"/>
              <w:rPr>
                <w:rFonts w:ascii="Arial" w:hAnsi="Arial" w:eastAsia="宋体" w:cs="Arial"/>
                <w:sz w:val="21"/>
                <w:szCs w:val="21"/>
              </w:rPr>
            </w:pPr>
            <w:r>
              <w:rPr>
                <w:rFonts w:ascii="Arial" w:hAnsi="Arial" w:eastAsia="宋体" w:cs="Arial"/>
                <w:sz w:val="21"/>
                <w:szCs w:val="21"/>
              </w:rPr>
              <w:t>高峰浓度(mg/m</w:t>
            </w:r>
            <w:r>
              <w:rPr>
                <w:rFonts w:ascii="Arial" w:hAnsi="Arial" w:eastAsia="宋体" w:cs="Arial"/>
                <w:sz w:val="21"/>
                <w:szCs w:val="21"/>
                <w:vertAlign w:val="superscript"/>
              </w:rPr>
              <w:t>3</w:t>
            </w:r>
            <w:r>
              <w:rPr>
                <w:rFonts w:ascii="Arial" w:hAnsi="Arial" w:eastAsia="宋体" w:cs="Arial"/>
                <w:sz w:val="21"/>
                <w:szCs w:val="21"/>
              </w:rPr>
              <w:t>)</w:t>
            </w:r>
          </w:p>
        </w:tc>
      </w:tr>
      <w:tr w14:paraId="59F29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7AD6AF74">
            <w:pPr>
              <w:adjustRightInd w:val="0"/>
              <w:snapToGrid w:val="0"/>
              <w:jc w:val="center"/>
              <w:rPr>
                <w:rFonts w:ascii="Arial" w:hAnsi="Arial" w:eastAsia="宋体" w:cs="Arial"/>
                <w:sz w:val="21"/>
                <w:szCs w:val="21"/>
              </w:rPr>
            </w:pPr>
            <w:r>
              <w:rPr>
                <w:rFonts w:ascii="Arial" w:hAnsi="Arial" w:eastAsia="宋体" w:cs="Arial"/>
                <w:sz w:val="21"/>
                <w:szCs w:val="21"/>
              </w:rPr>
              <w:t xml:space="preserve">10 </w:t>
            </w:r>
          </w:p>
        </w:tc>
        <w:tc>
          <w:tcPr>
            <w:tcW w:w="1019" w:type="pct"/>
            <w:vAlign w:val="center"/>
          </w:tcPr>
          <w:p w14:paraId="1915ED8E">
            <w:pPr>
              <w:adjustRightInd w:val="0"/>
              <w:snapToGrid w:val="0"/>
              <w:jc w:val="center"/>
              <w:rPr>
                <w:rFonts w:ascii="Arial" w:hAnsi="Arial" w:eastAsia="宋体" w:cs="Arial"/>
                <w:sz w:val="21"/>
                <w:szCs w:val="21"/>
              </w:rPr>
            </w:pPr>
            <w:r>
              <w:rPr>
                <w:rFonts w:hint="eastAsia" w:ascii="Arial" w:hAnsi="Arial" w:eastAsia="宋体" w:cs="Arial"/>
                <w:sz w:val="21"/>
                <w:szCs w:val="21"/>
              </w:rPr>
              <w:t>0.11</w:t>
            </w:r>
          </w:p>
        </w:tc>
        <w:tc>
          <w:tcPr>
            <w:tcW w:w="1019" w:type="pct"/>
            <w:vAlign w:val="center"/>
          </w:tcPr>
          <w:p w14:paraId="7947102A">
            <w:pPr>
              <w:adjustRightInd w:val="0"/>
              <w:snapToGrid w:val="0"/>
              <w:jc w:val="center"/>
              <w:rPr>
                <w:rFonts w:ascii="Arial" w:hAnsi="Arial" w:eastAsia="宋体" w:cs="Arial"/>
                <w:sz w:val="21"/>
                <w:szCs w:val="21"/>
              </w:rPr>
            </w:pPr>
            <w:r>
              <w:rPr>
                <w:rFonts w:hint="eastAsia" w:ascii="Arial" w:hAnsi="Arial" w:eastAsia="宋体" w:cs="Arial"/>
                <w:sz w:val="21"/>
                <w:szCs w:val="21"/>
              </w:rPr>
              <w:t>410.87</w:t>
            </w:r>
          </w:p>
        </w:tc>
        <w:tc>
          <w:tcPr>
            <w:tcW w:w="1019" w:type="pct"/>
            <w:vAlign w:val="center"/>
          </w:tcPr>
          <w:p w14:paraId="36440236">
            <w:pPr>
              <w:adjustRightInd w:val="0"/>
              <w:snapToGrid w:val="0"/>
              <w:jc w:val="center"/>
              <w:rPr>
                <w:rFonts w:ascii="Arial" w:hAnsi="Arial" w:eastAsia="宋体" w:cs="Arial"/>
                <w:sz w:val="21"/>
                <w:szCs w:val="21"/>
              </w:rPr>
            </w:pPr>
            <w:r>
              <w:rPr>
                <w:rFonts w:hint="eastAsia" w:ascii="Arial" w:hAnsi="Arial" w:eastAsia="宋体" w:cs="Arial"/>
                <w:sz w:val="21"/>
                <w:szCs w:val="21"/>
              </w:rPr>
              <w:t>0.05</w:t>
            </w:r>
          </w:p>
        </w:tc>
        <w:tc>
          <w:tcPr>
            <w:tcW w:w="1017" w:type="pct"/>
            <w:vAlign w:val="center"/>
          </w:tcPr>
          <w:p w14:paraId="6A159B45">
            <w:pPr>
              <w:adjustRightInd w:val="0"/>
              <w:snapToGrid w:val="0"/>
              <w:jc w:val="center"/>
              <w:rPr>
                <w:rFonts w:ascii="Arial" w:hAnsi="Arial" w:eastAsia="宋体" w:cs="Arial"/>
                <w:sz w:val="21"/>
                <w:szCs w:val="21"/>
              </w:rPr>
            </w:pPr>
            <w:r>
              <w:rPr>
                <w:rFonts w:hint="eastAsia" w:ascii="Arial" w:hAnsi="Arial" w:eastAsia="宋体" w:cs="Arial"/>
                <w:sz w:val="21"/>
                <w:szCs w:val="21"/>
              </w:rPr>
              <w:t>271.48</w:t>
            </w:r>
          </w:p>
        </w:tc>
      </w:tr>
      <w:tr w14:paraId="5FEC3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4A4F345B">
            <w:pPr>
              <w:adjustRightInd w:val="0"/>
              <w:snapToGrid w:val="0"/>
              <w:jc w:val="center"/>
              <w:rPr>
                <w:rFonts w:ascii="Arial" w:hAnsi="Arial" w:eastAsia="宋体" w:cs="Arial"/>
                <w:sz w:val="21"/>
                <w:szCs w:val="21"/>
              </w:rPr>
            </w:pPr>
            <w:r>
              <w:rPr>
                <w:rFonts w:ascii="Arial" w:hAnsi="Arial" w:eastAsia="宋体" w:cs="Arial"/>
                <w:sz w:val="21"/>
                <w:szCs w:val="21"/>
              </w:rPr>
              <w:t>50</w:t>
            </w:r>
          </w:p>
        </w:tc>
        <w:tc>
          <w:tcPr>
            <w:tcW w:w="1019" w:type="pct"/>
            <w:vAlign w:val="center"/>
          </w:tcPr>
          <w:p w14:paraId="5B985116">
            <w:pPr>
              <w:adjustRightInd w:val="0"/>
              <w:snapToGrid w:val="0"/>
              <w:jc w:val="center"/>
              <w:rPr>
                <w:rFonts w:ascii="Arial" w:hAnsi="Arial" w:eastAsia="宋体" w:cs="Arial"/>
                <w:sz w:val="21"/>
                <w:szCs w:val="21"/>
              </w:rPr>
            </w:pPr>
            <w:r>
              <w:rPr>
                <w:rFonts w:hint="eastAsia" w:ascii="Arial" w:hAnsi="Arial" w:eastAsia="宋体" w:cs="Arial"/>
                <w:sz w:val="21"/>
                <w:szCs w:val="21"/>
              </w:rPr>
              <w:t>0.56</w:t>
            </w:r>
          </w:p>
        </w:tc>
        <w:tc>
          <w:tcPr>
            <w:tcW w:w="1019" w:type="pct"/>
            <w:vAlign w:val="center"/>
          </w:tcPr>
          <w:p w14:paraId="7D6BA483">
            <w:pPr>
              <w:adjustRightInd w:val="0"/>
              <w:snapToGrid w:val="0"/>
              <w:jc w:val="center"/>
              <w:rPr>
                <w:rFonts w:ascii="Arial" w:hAnsi="Arial" w:eastAsia="宋体" w:cs="Arial"/>
                <w:sz w:val="21"/>
                <w:szCs w:val="21"/>
              </w:rPr>
            </w:pPr>
            <w:r>
              <w:rPr>
                <w:rFonts w:hint="eastAsia" w:ascii="Arial" w:hAnsi="Arial" w:eastAsia="宋体" w:cs="Arial"/>
                <w:sz w:val="21"/>
                <w:szCs w:val="21"/>
              </w:rPr>
              <w:t>370.70</w:t>
            </w:r>
          </w:p>
        </w:tc>
        <w:tc>
          <w:tcPr>
            <w:tcW w:w="1019" w:type="pct"/>
            <w:vAlign w:val="center"/>
          </w:tcPr>
          <w:p w14:paraId="25932888">
            <w:pPr>
              <w:adjustRightInd w:val="0"/>
              <w:snapToGrid w:val="0"/>
              <w:jc w:val="center"/>
              <w:rPr>
                <w:rFonts w:ascii="Arial" w:hAnsi="Arial" w:eastAsia="宋体" w:cs="Arial"/>
                <w:sz w:val="21"/>
                <w:szCs w:val="21"/>
              </w:rPr>
            </w:pPr>
            <w:r>
              <w:rPr>
                <w:rFonts w:hint="eastAsia" w:ascii="Arial" w:hAnsi="Arial" w:eastAsia="宋体" w:cs="Arial"/>
                <w:sz w:val="21"/>
                <w:szCs w:val="21"/>
              </w:rPr>
              <w:t>0.25</w:t>
            </w:r>
          </w:p>
        </w:tc>
        <w:tc>
          <w:tcPr>
            <w:tcW w:w="1017" w:type="pct"/>
            <w:vAlign w:val="center"/>
          </w:tcPr>
          <w:p w14:paraId="1986B576">
            <w:pPr>
              <w:adjustRightInd w:val="0"/>
              <w:snapToGrid w:val="0"/>
              <w:jc w:val="center"/>
              <w:rPr>
                <w:rFonts w:ascii="Arial" w:hAnsi="Arial" w:eastAsia="宋体" w:cs="Arial"/>
                <w:sz w:val="21"/>
                <w:szCs w:val="21"/>
              </w:rPr>
            </w:pPr>
            <w:r>
              <w:rPr>
                <w:rFonts w:hint="eastAsia" w:ascii="Arial" w:hAnsi="Arial" w:eastAsia="宋体" w:cs="Arial"/>
                <w:sz w:val="21"/>
                <w:szCs w:val="21"/>
              </w:rPr>
              <w:t>37.346</w:t>
            </w:r>
          </w:p>
        </w:tc>
      </w:tr>
      <w:tr w14:paraId="09EB5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032E4076">
            <w:pPr>
              <w:adjustRightInd w:val="0"/>
              <w:snapToGrid w:val="0"/>
              <w:jc w:val="center"/>
              <w:rPr>
                <w:rFonts w:ascii="Arial" w:hAnsi="Arial" w:eastAsia="宋体" w:cs="Arial"/>
                <w:sz w:val="21"/>
                <w:szCs w:val="21"/>
              </w:rPr>
            </w:pPr>
            <w:r>
              <w:rPr>
                <w:rFonts w:ascii="Arial" w:hAnsi="Arial" w:eastAsia="宋体" w:cs="Arial"/>
                <w:sz w:val="21"/>
                <w:szCs w:val="21"/>
              </w:rPr>
              <w:t>100</w:t>
            </w:r>
          </w:p>
        </w:tc>
        <w:tc>
          <w:tcPr>
            <w:tcW w:w="1019" w:type="pct"/>
            <w:vAlign w:val="center"/>
          </w:tcPr>
          <w:p w14:paraId="206B9E86">
            <w:pPr>
              <w:adjustRightInd w:val="0"/>
              <w:snapToGrid w:val="0"/>
              <w:jc w:val="center"/>
              <w:rPr>
                <w:rFonts w:ascii="Arial" w:hAnsi="Arial" w:eastAsia="宋体" w:cs="Arial"/>
                <w:sz w:val="21"/>
                <w:szCs w:val="21"/>
              </w:rPr>
            </w:pPr>
            <w:r>
              <w:rPr>
                <w:rFonts w:hint="eastAsia" w:ascii="Arial" w:hAnsi="Arial" w:eastAsia="宋体" w:cs="Arial"/>
                <w:sz w:val="21"/>
                <w:szCs w:val="21"/>
              </w:rPr>
              <w:t>1.11</w:t>
            </w:r>
          </w:p>
        </w:tc>
        <w:tc>
          <w:tcPr>
            <w:tcW w:w="1019" w:type="pct"/>
            <w:vAlign w:val="center"/>
          </w:tcPr>
          <w:p w14:paraId="5BAD423D">
            <w:pPr>
              <w:adjustRightInd w:val="0"/>
              <w:snapToGrid w:val="0"/>
              <w:jc w:val="center"/>
              <w:rPr>
                <w:rFonts w:ascii="Arial" w:hAnsi="Arial" w:eastAsia="宋体" w:cs="Arial"/>
                <w:sz w:val="21"/>
                <w:szCs w:val="21"/>
              </w:rPr>
            </w:pPr>
            <w:r>
              <w:rPr>
                <w:rFonts w:hint="eastAsia" w:ascii="Arial" w:hAnsi="Arial" w:eastAsia="宋体" w:cs="Arial"/>
                <w:sz w:val="21"/>
                <w:szCs w:val="21"/>
              </w:rPr>
              <w:t>178.12</w:t>
            </w:r>
          </w:p>
        </w:tc>
        <w:tc>
          <w:tcPr>
            <w:tcW w:w="1019" w:type="pct"/>
            <w:vAlign w:val="center"/>
          </w:tcPr>
          <w:p w14:paraId="20D2FA8D">
            <w:pPr>
              <w:adjustRightInd w:val="0"/>
              <w:snapToGrid w:val="0"/>
              <w:jc w:val="center"/>
              <w:rPr>
                <w:rFonts w:ascii="Arial" w:hAnsi="Arial" w:eastAsia="宋体" w:cs="Arial"/>
                <w:sz w:val="21"/>
                <w:szCs w:val="21"/>
              </w:rPr>
            </w:pPr>
            <w:r>
              <w:rPr>
                <w:rFonts w:hint="eastAsia" w:ascii="Arial" w:hAnsi="Arial" w:eastAsia="宋体" w:cs="Arial"/>
                <w:sz w:val="21"/>
                <w:szCs w:val="21"/>
              </w:rPr>
              <w:t>0.51</w:t>
            </w:r>
          </w:p>
        </w:tc>
        <w:tc>
          <w:tcPr>
            <w:tcW w:w="1017" w:type="pct"/>
            <w:vAlign w:val="center"/>
          </w:tcPr>
          <w:p w14:paraId="58E2A546">
            <w:pPr>
              <w:adjustRightInd w:val="0"/>
              <w:snapToGrid w:val="0"/>
              <w:jc w:val="center"/>
              <w:rPr>
                <w:rFonts w:ascii="Arial" w:hAnsi="Arial" w:eastAsia="宋体" w:cs="Arial"/>
                <w:sz w:val="21"/>
                <w:szCs w:val="21"/>
              </w:rPr>
            </w:pPr>
            <w:r>
              <w:rPr>
                <w:rFonts w:hint="eastAsia" w:ascii="Arial" w:hAnsi="Arial" w:eastAsia="宋体" w:cs="Arial"/>
                <w:sz w:val="21"/>
                <w:szCs w:val="21"/>
              </w:rPr>
              <w:t>11.936</w:t>
            </w:r>
          </w:p>
        </w:tc>
      </w:tr>
      <w:tr w14:paraId="084F4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242EBA7F">
            <w:pPr>
              <w:adjustRightInd w:val="0"/>
              <w:snapToGrid w:val="0"/>
              <w:jc w:val="center"/>
              <w:rPr>
                <w:rFonts w:ascii="Arial" w:hAnsi="Arial" w:eastAsia="宋体" w:cs="Arial"/>
                <w:sz w:val="21"/>
                <w:szCs w:val="21"/>
              </w:rPr>
            </w:pPr>
            <w:r>
              <w:rPr>
                <w:rFonts w:ascii="Arial" w:hAnsi="Arial" w:eastAsia="宋体" w:cs="Arial"/>
                <w:sz w:val="21"/>
                <w:szCs w:val="21"/>
              </w:rPr>
              <w:t>150</w:t>
            </w:r>
          </w:p>
        </w:tc>
        <w:tc>
          <w:tcPr>
            <w:tcW w:w="1019" w:type="pct"/>
            <w:vAlign w:val="center"/>
          </w:tcPr>
          <w:p w14:paraId="2FB5613F">
            <w:pPr>
              <w:adjustRightInd w:val="0"/>
              <w:snapToGrid w:val="0"/>
              <w:jc w:val="center"/>
              <w:rPr>
                <w:rFonts w:ascii="Arial" w:hAnsi="Arial" w:eastAsia="宋体" w:cs="Arial"/>
                <w:sz w:val="21"/>
                <w:szCs w:val="21"/>
              </w:rPr>
            </w:pPr>
            <w:r>
              <w:rPr>
                <w:rFonts w:hint="eastAsia" w:ascii="Arial" w:hAnsi="Arial" w:eastAsia="宋体" w:cs="Arial"/>
                <w:sz w:val="21"/>
                <w:szCs w:val="21"/>
              </w:rPr>
              <w:t>1.67</w:t>
            </w:r>
          </w:p>
        </w:tc>
        <w:tc>
          <w:tcPr>
            <w:tcW w:w="1019" w:type="pct"/>
            <w:vAlign w:val="center"/>
          </w:tcPr>
          <w:p w14:paraId="5C606FD2">
            <w:pPr>
              <w:adjustRightInd w:val="0"/>
              <w:snapToGrid w:val="0"/>
              <w:jc w:val="center"/>
              <w:rPr>
                <w:rFonts w:ascii="Arial" w:hAnsi="Arial" w:eastAsia="宋体" w:cs="Arial"/>
                <w:sz w:val="21"/>
                <w:szCs w:val="21"/>
              </w:rPr>
            </w:pPr>
            <w:r>
              <w:rPr>
                <w:rFonts w:hint="eastAsia" w:ascii="Arial" w:hAnsi="Arial" w:eastAsia="宋体" w:cs="Arial"/>
                <w:sz w:val="21"/>
                <w:szCs w:val="21"/>
              </w:rPr>
              <w:t>103.70</w:t>
            </w:r>
          </w:p>
        </w:tc>
        <w:tc>
          <w:tcPr>
            <w:tcW w:w="1019" w:type="pct"/>
            <w:vAlign w:val="center"/>
          </w:tcPr>
          <w:p w14:paraId="7AAEC57E">
            <w:pPr>
              <w:adjustRightInd w:val="0"/>
              <w:snapToGrid w:val="0"/>
              <w:jc w:val="center"/>
              <w:rPr>
                <w:rFonts w:ascii="Arial" w:hAnsi="Arial" w:eastAsia="宋体" w:cs="Arial"/>
                <w:sz w:val="21"/>
                <w:szCs w:val="21"/>
              </w:rPr>
            </w:pPr>
            <w:r>
              <w:rPr>
                <w:rFonts w:hint="eastAsia" w:ascii="Arial" w:hAnsi="Arial" w:eastAsia="宋体" w:cs="Arial"/>
                <w:sz w:val="21"/>
                <w:szCs w:val="21"/>
              </w:rPr>
              <w:t>0.76</w:t>
            </w:r>
          </w:p>
        </w:tc>
        <w:tc>
          <w:tcPr>
            <w:tcW w:w="1017" w:type="pct"/>
            <w:vAlign w:val="center"/>
          </w:tcPr>
          <w:p w14:paraId="1DDB7CCB">
            <w:pPr>
              <w:adjustRightInd w:val="0"/>
              <w:snapToGrid w:val="0"/>
              <w:jc w:val="center"/>
              <w:rPr>
                <w:rFonts w:ascii="Arial" w:hAnsi="Arial" w:eastAsia="宋体" w:cs="Arial"/>
                <w:sz w:val="21"/>
                <w:szCs w:val="21"/>
              </w:rPr>
            </w:pPr>
            <w:r>
              <w:rPr>
                <w:rFonts w:hint="eastAsia" w:ascii="Arial" w:hAnsi="Arial" w:eastAsia="宋体" w:cs="Arial"/>
                <w:sz w:val="21"/>
                <w:szCs w:val="21"/>
              </w:rPr>
              <w:t>5.9861</w:t>
            </w:r>
          </w:p>
        </w:tc>
      </w:tr>
      <w:tr w14:paraId="6B9A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63985494">
            <w:pPr>
              <w:adjustRightInd w:val="0"/>
              <w:snapToGrid w:val="0"/>
              <w:jc w:val="center"/>
              <w:rPr>
                <w:rFonts w:ascii="Arial" w:hAnsi="Arial" w:eastAsia="宋体" w:cs="Arial"/>
                <w:sz w:val="21"/>
                <w:szCs w:val="21"/>
              </w:rPr>
            </w:pPr>
            <w:r>
              <w:rPr>
                <w:rFonts w:ascii="Arial" w:hAnsi="Arial" w:eastAsia="宋体" w:cs="Arial"/>
                <w:sz w:val="21"/>
                <w:szCs w:val="21"/>
              </w:rPr>
              <w:t>200</w:t>
            </w:r>
          </w:p>
        </w:tc>
        <w:tc>
          <w:tcPr>
            <w:tcW w:w="1019" w:type="pct"/>
            <w:vAlign w:val="center"/>
          </w:tcPr>
          <w:p w14:paraId="65F1A8D3">
            <w:pPr>
              <w:adjustRightInd w:val="0"/>
              <w:snapToGrid w:val="0"/>
              <w:jc w:val="center"/>
              <w:rPr>
                <w:rFonts w:ascii="Arial" w:hAnsi="Arial" w:eastAsia="宋体" w:cs="Arial"/>
                <w:sz w:val="21"/>
                <w:szCs w:val="21"/>
              </w:rPr>
            </w:pPr>
            <w:r>
              <w:rPr>
                <w:rFonts w:hint="eastAsia" w:ascii="Arial" w:hAnsi="Arial" w:eastAsia="宋体" w:cs="Arial"/>
                <w:sz w:val="21"/>
                <w:szCs w:val="21"/>
              </w:rPr>
              <w:t>2.22</w:t>
            </w:r>
          </w:p>
        </w:tc>
        <w:tc>
          <w:tcPr>
            <w:tcW w:w="1019" w:type="pct"/>
            <w:vAlign w:val="center"/>
          </w:tcPr>
          <w:p w14:paraId="02E6988C">
            <w:pPr>
              <w:adjustRightInd w:val="0"/>
              <w:snapToGrid w:val="0"/>
              <w:jc w:val="center"/>
              <w:rPr>
                <w:rFonts w:ascii="Arial" w:hAnsi="Arial" w:eastAsia="宋体" w:cs="Arial"/>
                <w:sz w:val="21"/>
                <w:szCs w:val="21"/>
              </w:rPr>
            </w:pPr>
            <w:r>
              <w:rPr>
                <w:rFonts w:hint="eastAsia" w:ascii="Arial" w:hAnsi="Arial" w:eastAsia="宋体" w:cs="Arial"/>
                <w:sz w:val="21"/>
                <w:szCs w:val="21"/>
              </w:rPr>
              <w:t>68.099</w:t>
            </w:r>
          </w:p>
        </w:tc>
        <w:tc>
          <w:tcPr>
            <w:tcW w:w="1019" w:type="pct"/>
            <w:vAlign w:val="center"/>
          </w:tcPr>
          <w:p w14:paraId="6376E9EE">
            <w:pPr>
              <w:adjustRightInd w:val="0"/>
              <w:snapToGrid w:val="0"/>
              <w:jc w:val="center"/>
              <w:rPr>
                <w:rFonts w:ascii="Arial" w:hAnsi="Arial" w:eastAsia="宋体" w:cs="Arial"/>
                <w:sz w:val="21"/>
                <w:szCs w:val="21"/>
              </w:rPr>
            </w:pPr>
            <w:r>
              <w:rPr>
                <w:rFonts w:hint="eastAsia" w:ascii="Arial" w:hAnsi="Arial" w:eastAsia="宋体" w:cs="Arial"/>
                <w:sz w:val="21"/>
                <w:szCs w:val="21"/>
              </w:rPr>
              <w:t>1.02</w:t>
            </w:r>
          </w:p>
        </w:tc>
        <w:tc>
          <w:tcPr>
            <w:tcW w:w="1017" w:type="pct"/>
            <w:vAlign w:val="center"/>
          </w:tcPr>
          <w:p w14:paraId="63F93CB5">
            <w:pPr>
              <w:adjustRightInd w:val="0"/>
              <w:snapToGrid w:val="0"/>
              <w:jc w:val="center"/>
              <w:rPr>
                <w:rFonts w:ascii="Arial" w:hAnsi="Arial" w:eastAsia="宋体" w:cs="Arial"/>
                <w:sz w:val="21"/>
                <w:szCs w:val="21"/>
              </w:rPr>
            </w:pPr>
            <w:r>
              <w:rPr>
                <w:rFonts w:hint="eastAsia" w:ascii="Arial" w:hAnsi="Arial" w:eastAsia="宋体" w:cs="Arial"/>
                <w:sz w:val="21"/>
                <w:szCs w:val="21"/>
              </w:rPr>
              <w:t>3.6511</w:t>
            </w:r>
          </w:p>
        </w:tc>
      </w:tr>
      <w:tr w14:paraId="7DFE8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2E166D50">
            <w:pPr>
              <w:adjustRightInd w:val="0"/>
              <w:snapToGrid w:val="0"/>
              <w:jc w:val="center"/>
              <w:rPr>
                <w:rFonts w:ascii="Arial" w:hAnsi="Arial" w:eastAsia="宋体" w:cs="Arial"/>
                <w:sz w:val="21"/>
                <w:szCs w:val="21"/>
              </w:rPr>
            </w:pPr>
            <w:r>
              <w:rPr>
                <w:rFonts w:ascii="Arial" w:hAnsi="Arial" w:eastAsia="宋体" w:cs="Arial"/>
                <w:sz w:val="21"/>
                <w:szCs w:val="21"/>
              </w:rPr>
              <w:t>250</w:t>
            </w:r>
          </w:p>
        </w:tc>
        <w:tc>
          <w:tcPr>
            <w:tcW w:w="1019" w:type="pct"/>
            <w:vAlign w:val="center"/>
          </w:tcPr>
          <w:p w14:paraId="2D6C5321">
            <w:pPr>
              <w:adjustRightInd w:val="0"/>
              <w:snapToGrid w:val="0"/>
              <w:jc w:val="center"/>
              <w:rPr>
                <w:rFonts w:ascii="Arial" w:hAnsi="Arial" w:eastAsia="宋体" w:cs="Arial"/>
                <w:sz w:val="21"/>
                <w:szCs w:val="21"/>
              </w:rPr>
            </w:pPr>
            <w:r>
              <w:rPr>
                <w:rFonts w:hint="eastAsia" w:ascii="Arial" w:hAnsi="Arial" w:eastAsia="宋体" w:cs="Arial"/>
                <w:sz w:val="21"/>
                <w:szCs w:val="21"/>
              </w:rPr>
              <w:t>2.78</w:t>
            </w:r>
          </w:p>
        </w:tc>
        <w:tc>
          <w:tcPr>
            <w:tcW w:w="1019" w:type="pct"/>
            <w:vAlign w:val="center"/>
          </w:tcPr>
          <w:p w14:paraId="2FBDF441">
            <w:pPr>
              <w:adjustRightInd w:val="0"/>
              <w:snapToGrid w:val="0"/>
              <w:jc w:val="center"/>
              <w:rPr>
                <w:rFonts w:ascii="Arial" w:hAnsi="Arial" w:eastAsia="宋体" w:cs="Arial"/>
                <w:sz w:val="21"/>
                <w:szCs w:val="21"/>
              </w:rPr>
            </w:pPr>
            <w:r>
              <w:rPr>
                <w:rFonts w:hint="eastAsia" w:ascii="Arial" w:hAnsi="Arial" w:eastAsia="宋体" w:cs="Arial"/>
                <w:sz w:val="21"/>
                <w:szCs w:val="21"/>
              </w:rPr>
              <w:t>48.429</w:t>
            </w:r>
          </w:p>
        </w:tc>
        <w:tc>
          <w:tcPr>
            <w:tcW w:w="1019" w:type="pct"/>
            <w:vAlign w:val="center"/>
          </w:tcPr>
          <w:p w14:paraId="25501E3B">
            <w:pPr>
              <w:adjustRightInd w:val="0"/>
              <w:snapToGrid w:val="0"/>
              <w:jc w:val="center"/>
              <w:rPr>
                <w:rFonts w:ascii="Arial" w:hAnsi="Arial" w:eastAsia="宋体" w:cs="Arial"/>
                <w:sz w:val="21"/>
                <w:szCs w:val="21"/>
              </w:rPr>
            </w:pPr>
            <w:r>
              <w:rPr>
                <w:rFonts w:hint="eastAsia" w:ascii="Arial" w:hAnsi="Arial" w:eastAsia="宋体" w:cs="Arial"/>
                <w:sz w:val="21"/>
                <w:szCs w:val="21"/>
              </w:rPr>
              <w:t>1.27</w:t>
            </w:r>
          </w:p>
        </w:tc>
        <w:tc>
          <w:tcPr>
            <w:tcW w:w="1017" w:type="pct"/>
            <w:vAlign w:val="center"/>
          </w:tcPr>
          <w:p w14:paraId="0DA49541">
            <w:pPr>
              <w:adjustRightInd w:val="0"/>
              <w:snapToGrid w:val="0"/>
              <w:jc w:val="center"/>
              <w:rPr>
                <w:rFonts w:ascii="Arial" w:hAnsi="Arial" w:eastAsia="宋体" w:cs="Arial"/>
                <w:sz w:val="21"/>
                <w:szCs w:val="21"/>
              </w:rPr>
            </w:pPr>
            <w:r>
              <w:rPr>
                <w:rFonts w:hint="eastAsia" w:ascii="Arial" w:hAnsi="Arial" w:eastAsia="宋体" w:cs="Arial"/>
                <w:sz w:val="21"/>
                <w:szCs w:val="21"/>
              </w:rPr>
              <w:t>2.4840</w:t>
            </w:r>
          </w:p>
        </w:tc>
      </w:tr>
      <w:tr w14:paraId="3EB9A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298AD5CA">
            <w:pPr>
              <w:adjustRightInd w:val="0"/>
              <w:snapToGrid w:val="0"/>
              <w:jc w:val="center"/>
              <w:rPr>
                <w:rFonts w:ascii="Arial" w:hAnsi="Arial" w:eastAsia="宋体" w:cs="Arial"/>
                <w:sz w:val="21"/>
                <w:szCs w:val="21"/>
              </w:rPr>
            </w:pPr>
            <w:r>
              <w:rPr>
                <w:rFonts w:ascii="Arial" w:hAnsi="Arial" w:eastAsia="宋体" w:cs="Arial"/>
                <w:sz w:val="21"/>
                <w:szCs w:val="21"/>
              </w:rPr>
              <w:t>300</w:t>
            </w:r>
          </w:p>
        </w:tc>
        <w:tc>
          <w:tcPr>
            <w:tcW w:w="1019" w:type="pct"/>
            <w:vAlign w:val="center"/>
          </w:tcPr>
          <w:p w14:paraId="4E386AA4">
            <w:pPr>
              <w:adjustRightInd w:val="0"/>
              <w:snapToGrid w:val="0"/>
              <w:jc w:val="center"/>
              <w:rPr>
                <w:rFonts w:ascii="Arial" w:hAnsi="Arial" w:eastAsia="宋体" w:cs="Arial"/>
                <w:sz w:val="21"/>
                <w:szCs w:val="21"/>
              </w:rPr>
            </w:pPr>
            <w:r>
              <w:rPr>
                <w:rFonts w:hint="eastAsia" w:ascii="Arial" w:hAnsi="Arial" w:eastAsia="宋体" w:cs="Arial"/>
                <w:sz w:val="21"/>
                <w:szCs w:val="21"/>
              </w:rPr>
              <w:t>3.33</w:t>
            </w:r>
          </w:p>
        </w:tc>
        <w:tc>
          <w:tcPr>
            <w:tcW w:w="1019" w:type="pct"/>
            <w:vAlign w:val="center"/>
          </w:tcPr>
          <w:p w14:paraId="6560019F">
            <w:pPr>
              <w:adjustRightInd w:val="0"/>
              <w:snapToGrid w:val="0"/>
              <w:jc w:val="center"/>
              <w:rPr>
                <w:rFonts w:ascii="Arial" w:hAnsi="Arial" w:eastAsia="宋体" w:cs="Arial"/>
                <w:sz w:val="21"/>
                <w:szCs w:val="21"/>
              </w:rPr>
            </w:pPr>
            <w:r>
              <w:rPr>
                <w:rFonts w:hint="eastAsia" w:ascii="Arial" w:hAnsi="Arial" w:eastAsia="宋体" w:cs="Arial"/>
                <w:sz w:val="21"/>
                <w:szCs w:val="21"/>
              </w:rPr>
              <w:t>36.400</w:t>
            </w:r>
          </w:p>
        </w:tc>
        <w:tc>
          <w:tcPr>
            <w:tcW w:w="1019" w:type="pct"/>
            <w:vAlign w:val="center"/>
          </w:tcPr>
          <w:p w14:paraId="2F2B2E1E">
            <w:pPr>
              <w:adjustRightInd w:val="0"/>
              <w:snapToGrid w:val="0"/>
              <w:jc w:val="center"/>
              <w:rPr>
                <w:rFonts w:ascii="Arial" w:hAnsi="Arial" w:eastAsia="宋体" w:cs="Arial"/>
                <w:sz w:val="21"/>
                <w:szCs w:val="21"/>
              </w:rPr>
            </w:pPr>
            <w:r>
              <w:rPr>
                <w:rFonts w:hint="eastAsia" w:ascii="Arial" w:hAnsi="Arial" w:eastAsia="宋体" w:cs="Arial"/>
                <w:sz w:val="21"/>
                <w:szCs w:val="21"/>
              </w:rPr>
              <w:t>1.52</w:t>
            </w:r>
          </w:p>
        </w:tc>
        <w:tc>
          <w:tcPr>
            <w:tcW w:w="1017" w:type="pct"/>
            <w:vAlign w:val="center"/>
          </w:tcPr>
          <w:p w14:paraId="26950A52">
            <w:pPr>
              <w:adjustRightInd w:val="0"/>
              <w:snapToGrid w:val="0"/>
              <w:jc w:val="center"/>
              <w:rPr>
                <w:rFonts w:ascii="Arial" w:hAnsi="Arial" w:eastAsia="宋体" w:cs="Arial"/>
                <w:sz w:val="21"/>
                <w:szCs w:val="21"/>
              </w:rPr>
            </w:pPr>
            <w:r>
              <w:rPr>
                <w:rFonts w:hint="eastAsia" w:ascii="Arial" w:hAnsi="Arial" w:eastAsia="宋体" w:cs="Arial"/>
                <w:sz w:val="21"/>
                <w:szCs w:val="21"/>
              </w:rPr>
              <w:t>1.8120</w:t>
            </w:r>
          </w:p>
        </w:tc>
      </w:tr>
      <w:tr w14:paraId="5DE63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728740B7">
            <w:pPr>
              <w:adjustRightInd w:val="0"/>
              <w:snapToGrid w:val="0"/>
              <w:jc w:val="center"/>
              <w:rPr>
                <w:rFonts w:ascii="Arial" w:hAnsi="Arial" w:eastAsia="宋体" w:cs="Arial"/>
                <w:sz w:val="21"/>
                <w:szCs w:val="21"/>
              </w:rPr>
            </w:pPr>
            <w:r>
              <w:rPr>
                <w:rFonts w:ascii="Arial" w:hAnsi="Arial" w:eastAsia="宋体" w:cs="Arial"/>
                <w:sz w:val="21"/>
                <w:szCs w:val="21"/>
              </w:rPr>
              <w:t>350</w:t>
            </w:r>
          </w:p>
        </w:tc>
        <w:tc>
          <w:tcPr>
            <w:tcW w:w="1019" w:type="pct"/>
            <w:vAlign w:val="center"/>
          </w:tcPr>
          <w:p w14:paraId="49CAB154">
            <w:pPr>
              <w:adjustRightInd w:val="0"/>
              <w:snapToGrid w:val="0"/>
              <w:jc w:val="center"/>
              <w:rPr>
                <w:rFonts w:ascii="Arial" w:hAnsi="Arial" w:eastAsia="宋体" w:cs="Arial"/>
                <w:sz w:val="21"/>
                <w:szCs w:val="21"/>
              </w:rPr>
            </w:pPr>
            <w:r>
              <w:rPr>
                <w:rFonts w:hint="eastAsia" w:ascii="Arial" w:hAnsi="Arial" w:eastAsia="宋体" w:cs="Arial"/>
                <w:sz w:val="21"/>
                <w:szCs w:val="21"/>
              </w:rPr>
              <w:t>3.89</w:t>
            </w:r>
          </w:p>
        </w:tc>
        <w:tc>
          <w:tcPr>
            <w:tcW w:w="1019" w:type="pct"/>
            <w:vAlign w:val="center"/>
          </w:tcPr>
          <w:p w14:paraId="0001BF4F">
            <w:pPr>
              <w:adjustRightInd w:val="0"/>
              <w:snapToGrid w:val="0"/>
              <w:jc w:val="center"/>
              <w:rPr>
                <w:rFonts w:ascii="Arial" w:hAnsi="Arial" w:eastAsia="宋体" w:cs="Arial"/>
                <w:sz w:val="21"/>
                <w:szCs w:val="21"/>
              </w:rPr>
            </w:pPr>
            <w:r>
              <w:rPr>
                <w:rFonts w:hint="eastAsia" w:ascii="Arial" w:hAnsi="Arial" w:eastAsia="宋体" w:cs="Arial"/>
                <w:sz w:val="21"/>
                <w:szCs w:val="21"/>
              </w:rPr>
              <w:t>28.485</w:t>
            </w:r>
          </w:p>
        </w:tc>
        <w:tc>
          <w:tcPr>
            <w:tcW w:w="1019" w:type="pct"/>
            <w:vAlign w:val="center"/>
          </w:tcPr>
          <w:p w14:paraId="5E14DA5E">
            <w:pPr>
              <w:adjustRightInd w:val="0"/>
              <w:snapToGrid w:val="0"/>
              <w:jc w:val="center"/>
              <w:rPr>
                <w:rFonts w:ascii="Arial" w:hAnsi="Arial" w:eastAsia="宋体" w:cs="Arial"/>
                <w:sz w:val="21"/>
                <w:szCs w:val="21"/>
              </w:rPr>
            </w:pPr>
            <w:r>
              <w:rPr>
                <w:rFonts w:hint="eastAsia" w:ascii="Arial" w:hAnsi="Arial" w:eastAsia="宋体" w:cs="Arial"/>
                <w:sz w:val="21"/>
                <w:szCs w:val="21"/>
              </w:rPr>
              <w:t>1.78</w:t>
            </w:r>
          </w:p>
        </w:tc>
        <w:tc>
          <w:tcPr>
            <w:tcW w:w="1017" w:type="pct"/>
            <w:vAlign w:val="center"/>
          </w:tcPr>
          <w:p w14:paraId="610A297B">
            <w:pPr>
              <w:adjustRightInd w:val="0"/>
              <w:snapToGrid w:val="0"/>
              <w:jc w:val="center"/>
              <w:rPr>
                <w:rFonts w:ascii="Arial" w:hAnsi="Arial" w:eastAsia="宋体" w:cs="Arial"/>
                <w:sz w:val="21"/>
                <w:szCs w:val="21"/>
              </w:rPr>
            </w:pPr>
            <w:r>
              <w:rPr>
                <w:rFonts w:hint="eastAsia" w:ascii="Arial" w:hAnsi="Arial" w:eastAsia="宋体" w:cs="Arial"/>
                <w:sz w:val="21"/>
                <w:szCs w:val="21"/>
              </w:rPr>
              <w:t>1.3872</w:t>
            </w:r>
          </w:p>
        </w:tc>
      </w:tr>
      <w:tr w14:paraId="3A085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64392AA8">
            <w:pPr>
              <w:adjustRightInd w:val="0"/>
              <w:snapToGrid w:val="0"/>
              <w:jc w:val="center"/>
              <w:rPr>
                <w:rFonts w:ascii="Arial" w:hAnsi="Arial" w:eastAsia="宋体" w:cs="Arial"/>
                <w:sz w:val="21"/>
                <w:szCs w:val="21"/>
              </w:rPr>
            </w:pPr>
            <w:r>
              <w:rPr>
                <w:rFonts w:ascii="Arial" w:hAnsi="Arial" w:eastAsia="宋体" w:cs="Arial"/>
                <w:sz w:val="21"/>
                <w:szCs w:val="21"/>
              </w:rPr>
              <w:t>400</w:t>
            </w:r>
          </w:p>
        </w:tc>
        <w:tc>
          <w:tcPr>
            <w:tcW w:w="1019" w:type="pct"/>
            <w:vAlign w:val="center"/>
          </w:tcPr>
          <w:p w14:paraId="00266798">
            <w:pPr>
              <w:adjustRightInd w:val="0"/>
              <w:snapToGrid w:val="0"/>
              <w:jc w:val="center"/>
              <w:rPr>
                <w:rFonts w:ascii="Arial" w:hAnsi="Arial" w:eastAsia="宋体" w:cs="Arial"/>
                <w:sz w:val="21"/>
                <w:szCs w:val="21"/>
              </w:rPr>
            </w:pPr>
            <w:r>
              <w:rPr>
                <w:rFonts w:hint="eastAsia" w:ascii="Arial" w:hAnsi="Arial" w:eastAsia="宋体" w:cs="Arial"/>
                <w:sz w:val="21"/>
                <w:szCs w:val="21"/>
              </w:rPr>
              <w:t>4.44</w:t>
            </w:r>
          </w:p>
        </w:tc>
        <w:tc>
          <w:tcPr>
            <w:tcW w:w="1019" w:type="pct"/>
            <w:vAlign w:val="center"/>
          </w:tcPr>
          <w:p w14:paraId="5C60EFA9">
            <w:pPr>
              <w:adjustRightInd w:val="0"/>
              <w:snapToGrid w:val="0"/>
              <w:jc w:val="center"/>
              <w:rPr>
                <w:rFonts w:ascii="Arial" w:hAnsi="Arial" w:eastAsia="宋体" w:cs="Arial"/>
                <w:sz w:val="21"/>
                <w:szCs w:val="21"/>
              </w:rPr>
            </w:pPr>
            <w:r>
              <w:rPr>
                <w:rFonts w:hint="eastAsia" w:ascii="Arial" w:hAnsi="Arial" w:eastAsia="宋体" w:cs="Arial"/>
                <w:sz w:val="21"/>
                <w:szCs w:val="21"/>
              </w:rPr>
              <w:t>22.982</w:t>
            </w:r>
          </w:p>
        </w:tc>
        <w:tc>
          <w:tcPr>
            <w:tcW w:w="1019" w:type="pct"/>
            <w:vAlign w:val="center"/>
          </w:tcPr>
          <w:p w14:paraId="0DD6FE24">
            <w:pPr>
              <w:adjustRightInd w:val="0"/>
              <w:snapToGrid w:val="0"/>
              <w:jc w:val="center"/>
              <w:rPr>
                <w:rFonts w:ascii="Arial" w:hAnsi="Arial" w:eastAsia="宋体" w:cs="Arial"/>
                <w:sz w:val="21"/>
                <w:szCs w:val="21"/>
              </w:rPr>
            </w:pPr>
            <w:r>
              <w:rPr>
                <w:rFonts w:hint="eastAsia" w:ascii="Arial" w:hAnsi="Arial" w:eastAsia="宋体" w:cs="Arial"/>
                <w:sz w:val="21"/>
                <w:szCs w:val="21"/>
              </w:rPr>
              <w:t>2.03</w:t>
            </w:r>
          </w:p>
        </w:tc>
        <w:tc>
          <w:tcPr>
            <w:tcW w:w="1017" w:type="pct"/>
            <w:vAlign w:val="center"/>
          </w:tcPr>
          <w:p w14:paraId="0BE0617B">
            <w:pPr>
              <w:adjustRightInd w:val="0"/>
              <w:snapToGrid w:val="0"/>
              <w:jc w:val="center"/>
              <w:rPr>
                <w:rFonts w:ascii="Arial" w:hAnsi="Arial" w:eastAsia="宋体" w:cs="Arial"/>
                <w:sz w:val="21"/>
                <w:szCs w:val="21"/>
              </w:rPr>
            </w:pPr>
            <w:r>
              <w:rPr>
                <w:rFonts w:hint="eastAsia" w:ascii="Arial" w:hAnsi="Arial" w:eastAsia="宋体" w:cs="Arial"/>
                <w:sz w:val="21"/>
                <w:szCs w:val="21"/>
              </w:rPr>
              <w:t>1.1004</w:t>
            </w:r>
          </w:p>
        </w:tc>
      </w:tr>
      <w:tr w14:paraId="767BD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6D79C219">
            <w:pPr>
              <w:adjustRightInd w:val="0"/>
              <w:snapToGrid w:val="0"/>
              <w:jc w:val="center"/>
              <w:rPr>
                <w:rFonts w:ascii="Arial" w:hAnsi="Arial" w:eastAsia="宋体" w:cs="Arial"/>
                <w:sz w:val="21"/>
                <w:szCs w:val="21"/>
              </w:rPr>
            </w:pPr>
            <w:r>
              <w:rPr>
                <w:rFonts w:ascii="Arial" w:hAnsi="Arial" w:eastAsia="宋体" w:cs="Arial"/>
                <w:sz w:val="21"/>
                <w:szCs w:val="21"/>
              </w:rPr>
              <w:t>450</w:t>
            </w:r>
          </w:p>
        </w:tc>
        <w:tc>
          <w:tcPr>
            <w:tcW w:w="1019" w:type="pct"/>
            <w:vAlign w:val="center"/>
          </w:tcPr>
          <w:p w14:paraId="73183C47">
            <w:pPr>
              <w:adjustRightInd w:val="0"/>
              <w:snapToGrid w:val="0"/>
              <w:jc w:val="center"/>
              <w:rPr>
                <w:rFonts w:ascii="Arial" w:hAnsi="Arial" w:eastAsia="宋体" w:cs="Arial"/>
                <w:sz w:val="21"/>
                <w:szCs w:val="21"/>
              </w:rPr>
            </w:pPr>
            <w:r>
              <w:rPr>
                <w:rFonts w:hint="eastAsia" w:ascii="Arial" w:hAnsi="Arial" w:eastAsia="宋体" w:cs="Arial"/>
                <w:sz w:val="21"/>
                <w:szCs w:val="21"/>
              </w:rPr>
              <w:t>5.00</w:t>
            </w:r>
          </w:p>
        </w:tc>
        <w:tc>
          <w:tcPr>
            <w:tcW w:w="1019" w:type="pct"/>
            <w:vAlign w:val="center"/>
          </w:tcPr>
          <w:p w14:paraId="03CD7219">
            <w:pPr>
              <w:adjustRightInd w:val="0"/>
              <w:snapToGrid w:val="0"/>
              <w:jc w:val="center"/>
              <w:rPr>
                <w:rFonts w:ascii="Arial" w:hAnsi="Arial" w:eastAsia="宋体" w:cs="Arial"/>
                <w:sz w:val="21"/>
                <w:szCs w:val="21"/>
              </w:rPr>
            </w:pPr>
            <w:r>
              <w:rPr>
                <w:rFonts w:hint="eastAsia" w:ascii="Arial" w:hAnsi="Arial" w:eastAsia="宋体" w:cs="Arial"/>
                <w:sz w:val="21"/>
                <w:szCs w:val="21"/>
              </w:rPr>
              <w:t>18.991</w:t>
            </w:r>
          </w:p>
        </w:tc>
        <w:tc>
          <w:tcPr>
            <w:tcW w:w="1019" w:type="pct"/>
            <w:vAlign w:val="center"/>
          </w:tcPr>
          <w:p w14:paraId="7B9ED7C2">
            <w:pPr>
              <w:adjustRightInd w:val="0"/>
              <w:snapToGrid w:val="0"/>
              <w:jc w:val="center"/>
              <w:rPr>
                <w:rFonts w:ascii="Arial" w:hAnsi="Arial" w:eastAsia="宋体" w:cs="Arial"/>
                <w:sz w:val="21"/>
                <w:szCs w:val="21"/>
              </w:rPr>
            </w:pPr>
            <w:r>
              <w:rPr>
                <w:rFonts w:hint="eastAsia" w:ascii="Arial" w:hAnsi="Arial" w:eastAsia="宋体" w:cs="Arial"/>
                <w:sz w:val="21"/>
                <w:szCs w:val="21"/>
              </w:rPr>
              <w:t>2.29</w:t>
            </w:r>
          </w:p>
        </w:tc>
        <w:tc>
          <w:tcPr>
            <w:tcW w:w="1017" w:type="pct"/>
            <w:vAlign w:val="center"/>
          </w:tcPr>
          <w:p w14:paraId="17C833E7">
            <w:pPr>
              <w:adjustRightInd w:val="0"/>
              <w:snapToGrid w:val="0"/>
              <w:jc w:val="center"/>
              <w:rPr>
                <w:rFonts w:ascii="Arial" w:hAnsi="Arial" w:eastAsia="宋体" w:cs="Arial"/>
                <w:sz w:val="21"/>
                <w:szCs w:val="21"/>
              </w:rPr>
            </w:pPr>
            <w:r>
              <w:rPr>
                <w:rFonts w:hint="eastAsia" w:ascii="Arial" w:hAnsi="Arial" w:eastAsia="宋体" w:cs="Arial"/>
                <w:sz w:val="21"/>
                <w:szCs w:val="21"/>
              </w:rPr>
              <w:t>0.8970</w:t>
            </w:r>
          </w:p>
        </w:tc>
      </w:tr>
      <w:tr w14:paraId="7E81B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0765F529">
            <w:pPr>
              <w:adjustRightInd w:val="0"/>
              <w:snapToGrid w:val="0"/>
              <w:jc w:val="center"/>
              <w:rPr>
                <w:rFonts w:ascii="Arial" w:hAnsi="Arial" w:eastAsia="宋体" w:cs="Arial"/>
                <w:sz w:val="21"/>
                <w:szCs w:val="21"/>
              </w:rPr>
            </w:pPr>
            <w:r>
              <w:rPr>
                <w:rFonts w:ascii="Arial" w:hAnsi="Arial" w:eastAsia="宋体" w:cs="Arial"/>
                <w:sz w:val="21"/>
                <w:szCs w:val="21"/>
              </w:rPr>
              <w:t>500</w:t>
            </w:r>
          </w:p>
        </w:tc>
        <w:tc>
          <w:tcPr>
            <w:tcW w:w="1019" w:type="pct"/>
            <w:vAlign w:val="center"/>
          </w:tcPr>
          <w:p w14:paraId="6D7AE4C2">
            <w:pPr>
              <w:adjustRightInd w:val="0"/>
              <w:snapToGrid w:val="0"/>
              <w:jc w:val="center"/>
              <w:rPr>
                <w:rFonts w:ascii="Arial" w:hAnsi="Arial" w:eastAsia="宋体" w:cs="Arial"/>
                <w:sz w:val="21"/>
                <w:szCs w:val="21"/>
              </w:rPr>
            </w:pPr>
            <w:r>
              <w:rPr>
                <w:rFonts w:hint="eastAsia" w:ascii="Arial" w:hAnsi="Arial" w:eastAsia="宋体" w:cs="Arial"/>
                <w:sz w:val="21"/>
                <w:szCs w:val="21"/>
              </w:rPr>
              <w:t>5.56</w:t>
            </w:r>
          </w:p>
        </w:tc>
        <w:tc>
          <w:tcPr>
            <w:tcW w:w="1019" w:type="pct"/>
            <w:vAlign w:val="center"/>
          </w:tcPr>
          <w:p w14:paraId="1EA6CF87">
            <w:pPr>
              <w:adjustRightInd w:val="0"/>
              <w:snapToGrid w:val="0"/>
              <w:jc w:val="center"/>
              <w:rPr>
                <w:rFonts w:ascii="Arial" w:hAnsi="Arial" w:eastAsia="宋体" w:cs="Arial"/>
                <w:sz w:val="21"/>
                <w:szCs w:val="21"/>
              </w:rPr>
            </w:pPr>
            <w:r>
              <w:rPr>
                <w:rFonts w:hint="eastAsia" w:ascii="Arial" w:hAnsi="Arial" w:eastAsia="宋体" w:cs="Arial"/>
                <w:sz w:val="21"/>
                <w:szCs w:val="21"/>
              </w:rPr>
              <w:t>15.996</w:t>
            </w:r>
          </w:p>
        </w:tc>
        <w:tc>
          <w:tcPr>
            <w:tcW w:w="1019" w:type="pct"/>
            <w:vAlign w:val="center"/>
          </w:tcPr>
          <w:p w14:paraId="00743B00">
            <w:pPr>
              <w:adjustRightInd w:val="0"/>
              <w:snapToGrid w:val="0"/>
              <w:jc w:val="center"/>
              <w:rPr>
                <w:rFonts w:ascii="Arial" w:hAnsi="Arial" w:eastAsia="宋体" w:cs="Arial"/>
                <w:sz w:val="21"/>
                <w:szCs w:val="21"/>
              </w:rPr>
            </w:pPr>
            <w:r>
              <w:rPr>
                <w:rFonts w:hint="eastAsia" w:ascii="Arial" w:hAnsi="Arial" w:eastAsia="宋体" w:cs="Arial"/>
                <w:sz w:val="21"/>
                <w:szCs w:val="21"/>
              </w:rPr>
              <w:t>2.54</w:t>
            </w:r>
          </w:p>
        </w:tc>
        <w:tc>
          <w:tcPr>
            <w:tcW w:w="1017" w:type="pct"/>
            <w:vAlign w:val="center"/>
          </w:tcPr>
          <w:p w14:paraId="06081105">
            <w:pPr>
              <w:adjustRightInd w:val="0"/>
              <w:snapToGrid w:val="0"/>
              <w:jc w:val="center"/>
              <w:rPr>
                <w:rFonts w:ascii="Arial" w:hAnsi="Arial" w:eastAsia="宋体" w:cs="Arial"/>
                <w:sz w:val="21"/>
                <w:szCs w:val="21"/>
              </w:rPr>
            </w:pPr>
            <w:r>
              <w:rPr>
                <w:rFonts w:hint="eastAsia" w:ascii="Arial" w:hAnsi="Arial" w:eastAsia="宋体" w:cs="Arial"/>
                <w:sz w:val="21"/>
                <w:szCs w:val="21"/>
              </w:rPr>
              <w:t>0.7470</w:t>
            </w:r>
          </w:p>
        </w:tc>
      </w:tr>
      <w:tr w14:paraId="57D74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509B5BA2">
            <w:pPr>
              <w:adjustRightInd w:val="0"/>
              <w:snapToGrid w:val="0"/>
              <w:jc w:val="center"/>
              <w:rPr>
                <w:rFonts w:ascii="Arial" w:hAnsi="Arial" w:eastAsia="宋体" w:cs="Arial"/>
                <w:sz w:val="21"/>
                <w:szCs w:val="21"/>
              </w:rPr>
            </w:pPr>
            <w:r>
              <w:rPr>
                <w:rFonts w:ascii="Arial" w:hAnsi="Arial" w:eastAsia="宋体" w:cs="Arial"/>
                <w:sz w:val="21"/>
                <w:szCs w:val="21"/>
              </w:rPr>
              <w:t>700</w:t>
            </w:r>
          </w:p>
        </w:tc>
        <w:tc>
          <w:tcPr>
            <w:tcW w:w="1019" w:type="pct"/>
            <w:vAlign w:val="center"/>
          </w:tcPr>
          <w:p w14:paraId="731746EA">
            <w:pPr>
              <w:adjustRightInd w:val="0"/>
              <w:snapToGrid w:val="0"/>
              <w:jc w:val="center"/>
              <w:rPr>
                <w:rFonts w:ascii="Arial" w:hAnsi="Arial" w:eastAsia="宋体" w:cs="Arial"/>
                <w:sz w:val="21"/>
                <w:szCs w:val="21"/>
              </w:rPr>
            </w:pPr>
            <w:r>
              <w:rPr>
                <w:rFonts w:hint="eastAsia" w:ascii="Arial" w:hAnsi="Arial" w:eastAsia="宋体" w:cs="Arial"/>
                <w:sz w:val="21"/>
                <w:szCs w:val="21"/>
              </w:rPr>
              <w:t>7.78</w:t>
            </w:r>
          </w:p>
        </w:tc>
        <w:tc>
          <w:tcPr>
            <w:tcW w:w="1019" w:type="pct"/>
            <w:vAlign w:val="center"/>
          </w:tcPr>
          <w:p w14:paraId="5F0882E1">
            <w:pPr>
              <w:adjustRightInd w:val="0"/>
              <w:snapToGrid w:val="0"/>
              <w:jc w:val="center"/>
              <w:rPr>
                <w:rFonts w:ascii="Arial" w:hAnsi="Arial" w:eastAsia="宋体" w:cs="Arial"/>
                <w:sz w:val="21"/>
                <w:szCs w:val="21"/>
              </w:rPr>
            </w:pPr>
            <w:r>
              <w:rPr>
                <w:rFonts w:hint="eastAsia" w:ascii="Arial" w:hAnsi="Arial" w:eastAsia="宋体" w:cs="Arial"/>
                <w:sz w:val="21"/>
                <w:szCs w:val="21"/>
              </w:rPr>
              <w:t>9.2042</w:t>
            </w:r>
          </w:p>
        </w:tc>
        <w:tc>
          <w:tcPr>
            <w:tcW w:w="1019" w:type="pct"/>
            <w:vAlign w:val="center"/>
          </w:tcPr>
          <w:p w14:paraId="6491E5F3">
            <w:pPr>
              <w:adjustRightInd w:val="0"/>
              <w:snapToGrid w:val="0"/>
              <w:jc w:val="center"/>
              <w:rPr>
                <w:rFonts w:ascii="Arial" w:hAnsi="Arial" w:eastAsia="宋体" w:cs="Arial"/>
                <w:sz w:val="21"/>
                <w:szCs w:val="21"/>
              </w:rPr>
            </w:pPr>
            <w:r>
              <w:rPr>
                <w:rFonts w:hint="eastAsia" w:ascii="Arial" w:hAnsi="Arial" w:eastAsia="宋体" w:cs="Arial"/>
                <w:sz w:val="21"/>
                <w:szCs w:val="21"/>
              </w:rPr>
              <w:t>3.56</w:t>
            </w:r>
          </w:p>
        </w:tc>
        <w:tc>
          <w:tcPr>
            <w:tcW w:w="1017" w:type="pct"/>
            <w:vAlign w:val="center"/>
          </w:tcPr>
          <w:p w14:paraId="4C2F90EA">
            <w:pPr>
              <w:adjustRightInd w:val="0"/>
              <w:snapToGrid w:val="0"/>
              <w:jc w:val="center"/>
              <w:rPr>
                <w:rFonts w:ascii="Arial" w:hAnsi="Arial" w:eastAsia="宋体" w:cs="Arial"/>
                <w:sz w:val="21"/>
                <w:szCs w:val="21"/>
              </w:rPr>
            </w:pPr>
            <w:r>
              <w:rPr>
                <w:rFonts w:hint="eastAsia" w:ascii="Arial" w:hAnsi="Arial" w:eastAsia="宋体" w:cs="Arial"/>
                <w:sz w:val="21"/>
                <w:szCs w:val="21"/>
              </w:rPr>
              <w:t>0.4163</w:t>
            </w:r>
          </w:p>
        </w:tc>
      </w:tr>
      <w:tr w14:paraId="66FCF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77FC1CDD">
            <w:pPr>
              <w:adjustRightInd w:val="0"/>
              <w:snapToGrid w:val="0"/>
              <w:jc w:val="center"/>
              <w:rPr>
                <w:rFonts w:ascii="Arial" w:hAnsi="Arial" w:eastAsia="宋体" w:cs="Arial"/>
                <w:sz w:val="21"/>
                <w:szCs w:val="21"/>
              </w:rPr>
            </w:pPr>
            <w:r>
              <w:rPr>
                <w:rFonts w:ascii="Arial" w:hAnsi="Arial" w:eastAsia="宋体" w:cs="Arial"/>
                <w:sz w:val="21"/>
                <w:szCs w:val="21"/>
              </w:rPr>
              <w:t>1000</w:t>
            </w:r>
          </w:p>
        </w:tc>
        <w:tc>
          <w:tcPr>
            <w:tcW w:w="1019" w:type="pct"/>
            <w:vAlign w:val="center"/>
          </w:tcPr>
          <w:p w14:paraId="1DEC306A">
            <w:pPr>
              <w:adjustRightInd w:val="0"/>
              <w:snapToGrid w:val="0"/>
              <w:jc w:val="center"/>
              <w:rPr>
                <w:rFonts w:ascii="Arial" w:hAnsi="Arial" w:eastAsia="宋体" w:cs="Arial"/>
                <w:sz w:val="21"/>
                <w:szCs w:val="21"/>
              </w:rPr>
            </w:pPr>
            <w:r>
              <w:rPr>
                <w:rFonts w:hint="eastAsia" w:ascii="Arial" w:hAnsi="Arial" w:eastAsia="宋体" w:cs="Arial"/>
                <w:sz w:val="21"/>
                <w:szCs w:val="21"/>
              </w:rPr>
              <w:t>11.11</w:t>
            </w:r>
          </w:p>
        </w:tc>
        <w:tc>
          <w:tcPr>
            <w:tcW w:w="1019" w:type="pct"/>
            <w:vAlign w:val="center"/>
          </w:tcPr>
          <w:p w14:paraId="090A1C2A">
            <w:pPr>
              <w:adjustRightInd w:val="0"/>
              <w:snapToGrid w:val="0"/>
              <w:jc w:val="center"/>
              <w:rPr>
                <w:rFonts w:ascii="Arial" w:hAnsi="Arial" w:eastAsia="宋体" w:cs="Arial"/>
                <w:sz w:val="21"/>
                <w:szCs w:val="21"/>
              </w:rPr>
            </w:pPr>
            <w:r>
              <w:rPr>
                <w:rFonts w:hint="eastAsia" w:ascii="Arial" w:hAnsi="Arial" w:eastAsia="宋体" w:cs="Arial"/>
                <w:sz w:val="21"/>
                <w:szCs w:val="21"/>
              </w:rPr>
              <w:t>5.0962</w:t>
            </w:r>
          </w:p>
        </w:tc>
        <w:tc>
          <w:tcPr>
            <w:tcW w:w="1019" w:type="pct"/>
            <w:vAlign w:val="center"/>
          </w:tcPr>
          <w:p w14:paraId="63E73FF0">
            <w:pPr>
              <w:adjustRightInd w:val="0"/>
              <w:snapToGrid w:val="0"/>
              <w:jc w:val="center"/>
              <w:rPr>
                <w:rFonts w:ascii="Arial" w:hAnsi="Arial" w:eastAsia="宋体" w:cs="Arial"/>
                <w:sz w:val="21"/>
                <w:szCs w:val="21"/>
              </w:rPr>
            </w:pPr>
            <w:r>
              <w:rPr>
                <w:rFonts w:hint="eastAsia" w:ascii="Arial" w:hAnsi="Arial" w:eastAsia="宋体" w:cs="Arial"/>
                <w:sz w:val="21"/>
                <w:szCs w:val="21"/>
              </w:rPr>
              <w:t>5.08</w:t>
            </w:r>
          </w:p>
        </w:tc>
        <w:tc>
          <w:tcPr>
            <w:tcW w:w="1017" w:type="pct"/>
            <w:vAlign w:val="center"/>
          </w:tcPr>
          <w:p w14:paraId="398CBB5F">
            <w:pPr>
              <w:adjustRightInd w:val="0"/>
              <w:snapToGrid w:val="0"/>
              <w:jc w:val="center"/>
              <w:rPr>
                <w:rFonts w:ascii="Arial" w:hAnsi="Arial" w:eastAsia="宋体" w:cs="Arial"/>
                <w:sz w:val="21"/>
                <w:szCs w:val="21"/>
              </w:rPr>
            </w:pPr>
            <w:r>
              <w:rPr>
                <w:rFonts w:hint="eastAsia" w:ascii="Arial" w:hAnsi="Arial" w:eastAsia="宋体" w:cs="Arial"/>
                <w:sz w:val="21"/>
                <w:szCs w:val="21"/>
              </w:rPr>
              <w:t>0.2239</w:t>
            </w:r>
          </w:p>
        </w:tc>
      </w:tr>
      <w:tr w14:paraId="5C894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11649AA8">
            <w:pPr>
              <w:adjustRightInd w:val="0"/>
              <w:snapToGrid w:val="0"/>
              <w:jc w:val="center"/>
              <w:rPr>
                <w:rFonts w:ascii="Arial" w:hAnsi="Arial" w:eastAsia="宋体" w:cs="Arial"/>
                <w:sz w:val="21"/>
                <w:szCs w:val="21"/>
              </w:rPr>
            </w:pPr>
            <w:r>
              <w:rPr>
                <w:rFonts w:ascii="Arial" w:hAnsi="Arial" w:eastAsia="宋体" w:cs="Arial"/>
                <w:sz w:val="21"/>
                <w:szCs w:val="21"/>
              </w:rPr>
              <w:t>1500</w:t>
            </w:r>
          </w:p>
        </w:tc>
        <w:tc>
          <w:tcPr>
            <w:tcW w:w="1019" w:type="pct"/>
            <w:vAlign w:val="center"/>
          </w:tcPr>
          <w:p w14:paraId="5B8DEB9B">
            <w:pPr>
              <w:adjustRightInd w:val="0"/>
              <w:snapToGrid w:val="0"/>
              <w:jc w:val="center"/>
              <w:rPr>
                <w:rFonts w:ascii="Arial" w:hAnsi="Arial" w:eastAsia="宋体" w:cs="Arial"/>
                <w:sz w:val="21"/>
                <w:szCs w:val="21"/>
              </w:rPr>
            </w:pPr>
            <w:r>
              <w:rPr>
                <w:rFonts w:hint="eastAsia" w:ascii="Arial" w:hAnsi="Arial" w:eastAsia="宋体" w:cs="Arial"/>
                <w:sz w:val="21"/>
                <w:szCs w:val="21"/>
              </w:rPr>
              <w:t>16.67</w:t>
            </w:r>
          </w:p>
        </w:tc>
        <w:tc>
          <w:tcPr>
            <w:tcW w:w="1019" w:type="pct"/>
            <w:vAlign w:val="center"/>
          </w:tcPr>
          <w:p w14:paraId="6E948B92">
            <w:pPr>
              <w:adjustRightInd w:val="0"/>
              <w:snapToGrid w:val="0"/>
              <w:jc w:val="center"/>
              <w:rPr>
                <w:rFonts w:ascii="Arial" w:hAnsi="Arial" w:eastAsia="宋体" w:cs="Arial"/>
                <w:sz w:val="21"/>
                <w:szCs w:val="21"/>
              </w:rPr>
            </w:pPr>
            <w:r>
              <w:rPr>
                <w:rFonts w:hint="eastAsia" w:ascii="Arial" w:hAnsi="Arial" w:eastAsia="宋体" w:cs="Arial"/>
                <w:sz w:val="21"/>
                <w:szCs w:val="21"/>
              </w:rPr>
              <w:t>2.6318</w:t>
            </w:r>
          </w:p>
        </w:tc>
        <w:tc>
          <w:tcPr>
            <w:tcW w:w="1019" w:type="pct"/>
            <w:vAlign w:val="center"/>
          </w:tcPr>
          <w:p w14:paraId="53BB6051">
            <w:pPr>
              <w:adjustRightInd w:val="0"/>
              <w:snapToGrid w:val="0"/>
              <w:jc w:val="center"/>
              <w:rPr>
                <w:rFonts w:ascii="Arial" w:hAnsi="Arial" w:eastAsia="宋体" w:cs="Arial"/>
                <w:sz w:val="21"/>
                <w:szCs w:val="21"/>
              </w:rPr>
            </w:pPr>
            <w:r>
              <w:rPr>
                <w:rFonts w:hint="eastAsia" w:ascii="Arial" w:hAnsi="Arial" w:eastAsia="宋体" w:cs="Arial"/>
                <w:sz w:val="21"/>
                <w:szCs w:val="21"/>
              </w:rPr>
              <w:t>7.62</w:t>
            </w:r>
          </w:p>
        </w:tc>
        <w:tc>
          <w:tcPr>
            <w:tcW w:w="1017" w:type="pct"/>
            <w:vAlign w:val="center"/>
          </w:tcPr>
          <w:p w14:paraId="566ADC11">
            <w:pPr>
              <w:adjustRightInd w:val="0"/>
              <w:snapToGrid w:val="0"/>
              <w:jc w:val="center"/>
              <w:rPr>
                <w:rFonts w:ascii="Arial" w:hAnsi="Arial" w:eastAsia="宋体" w:cs="Arial"/>
                <w:sz w:val="21"/>
                <w:szCs w:val="21"/>
              </w:rPr>
            </w:pPr>
            <w:r>
              <w:rPr>
                <w:rFonts w:hint="eastAsia" w:ascii="Arial" w:hAnsi="Arial" w:eastAsia="宋体" w:cs="Arial"/>
                <w:sz w:val="21"/>
                <w:szCs w:val="21"/>
              </w:rPr>
              <w:t>0.1189</w:t>
            </w:r>
          </w:p>
        </w:tc>
      </w:tr>
      <w:tr w14:paraId="40074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1A6CDD04">
            <w:pPr>
              <w:adjustRightInd w:val="0"/>
              <w:snapToGrid w:val="0"/>
              <w:jc w:val="center"/>
              <w:rPr>
                <w:rFonts w:ascii="Arial" w:hAnsi="Arial" w:eastAsia="宋体" w:cs="Arial"/>
                <w:sz w:val="21"/>
                <w:szCs w:val="21"/>
              </w:rPr>
            </w:pPr>
            <w:r>
              <w:rPr>
                <w:rFonts w:ascii="Arial" w:hAnsi="Arial" w:eastAsia="宋体" w:cs="Arial"/>
                <w:sz w:val="21"/>
                <w:szCs w:val="21"/>
              </w:rPr>
              <w:t>2000</w:t>
            </w:r>
          </w:p>
        </w:tc>
        <w:tc>
          <w:tcPr>
            <w:tcW w:w="1019" w:type="pct"/>
            <w:vAlign w:val="center"/>
          </w:tcPr>
          <w:p w14:paraId="5D67AAAF">
            <w:pPr>
              <w:adjustRightInd w:val="0"/>
              <w:snapToGrid w:val="0"/>
              <w:jc w:val="center"/>
              <w:rPr>
                <w:rFonts w:ascii="Arial" w:hAnsi="Arial" w:eastAsia="宋体" w:cs="Arial"/>
                <w:sz w:val="21"/>
                <w:szCs w:val="21"/>
              </w:rPr>
            </w:pPr>
            <w:r>
              <w:rPr>
                <w:rFonts w:hint="eastAsia" w:ascii="Arial" w:hAnsi="Arial" w:eastAsia="宋体" w:cs="Arial"/>
                <w:sz w:val="21"/>
                <w:szCs w:val="21"/>
              </w:rPr>
              <w:t>22.22</w:t>
            </w:r>
          </w:p>
        </w:tc>
        <w:tc>
          <w:tcPr>
            <w:tcW w:w="1019" w:type="pct"/>
            <w:vAlign w:val="center"/>
          </w:tcPr>
          <w:p w14:paraId="6D0BD94F">
            <w:pPr>
              <w:adjustRightInd w:val="0"/>
              <w:snapToGrid w:val="0"/>
              <w:jc w:val="center"/>
              <w:rPr>
                <w:rFonts w:ascii="Arial" w:hAnsi="Arial" w:eastAsia="宋体" w:cs="Arial"/>
                <w:sz w:val="21"/>
                <w:szCs w:val="21"/>
              </w:rPr>
            </w:pPr>
            <w:r>
              <w:rPr>
                <w:rFonts w:hint="eastAsia" w:ascii="Arial" w:hAnsi="Arial" w:eastAsia="宋体" w:cs="Arial"/>
                <w:sz w:val="21"/>
                <w:szCs w:val="21"/>
              </w:rPr>
              <w:t>1.7949</w:t>
            </w:r>
          </w:p>
        </w:tc>
        <w:tc>
          <w:tcPr>
            <w:tcW w:w="1019" w:type="pct"/>
            <w:vAlign w:val="center"/>
          </w:tcPr>
          <w:p w14:paraId="7A9C8E74">
            <w:pPr>
              <w:adjustRightInd w:val="0"/>
              <w:snapToGrid w:val="0"/>
              <w:jc w:val="center"/>
              <w:rPr>
                <w:rFonts w:ascii="Arial" w:hAnsi="Arial" w:eastAsia="宋体" w:cs="Arial"/>
                <w:sz w:val="21"/>
                <w:szCs w:val="21"/>
              </w:rPr>
            </w:pPr>
            <w:r>
              <w:rPr>
                <w:rFonts w:hint="eastAsia" w:ascii="Arial" w:hAnsi="Arial" w:eastAsia="宋体" w:cs="Arial"/>
                <w:sz w:val="21"/>
                <w:szCs w:val="21"/>
              </w:rPr>
              <w:t>10.16</w:t>
            </w:r>
          </w:p>
        </w:tc>
        <w:tc>
          <w:tcPr>
            <w:tcW w:w="1017" w:type="pct"/>
            <w:vAlign w:val="center"/>
          </w:tcPr>
          <w:p w14:paraId="6311E190">
            <w:pPr>
              <w:adjustRightInd w:val="0"/>
              <w:snapToGrid w:val="0"/>
              <w:jc w:val="center"/>
              <w:rPr>
                <w:rFonts w:ascii="Arial" w:hAnsi="Arial" w:eastAsia="宋体" w:cs="Arial"/>
                <w:sz w:val="21"/>
                <w:szCs w:val="21"/>
              </w:rPr>
            </w:pPr>
            <w:r>
              <w:rPr>
                <w:rFonts w:hint="eastAsia" w:ascii="Arial" w:hAnsi="Arial" w:eastAsia="宋体" w:cs="Arial"/>
                <w:sz w:val="21"/>
                <w:szCs w:val="21"/>
              </w:rPr>
              <w:t>0.0777</w:t>
            </w:r>
          </w:p>
        </w:tc>
      </w:tr>
      <w:tr w14:paraId="25D06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7156A313">
            <w:pPr>
              <w:adjustRightInd w:val="0"/>
              <w:snapToGrid w:val="0"/>
              <w:jc w:val="center"/>
              <w:rPr>
                <w:rFonts w:ascii="Arial" w:hAnsi="Arial" w:eastAsia="宋体" w:cs="Arial"/>
                <w:sz w:val="21"/>
                <w:szCs w:val="21"/>
              </w:rPr>
            </w:pPr>
            <w:r>
              <w:rPr>
                <w:rFonts w:ascii="Arial" w:hAnsi="Arial" w:eastAsia="宋体" w:cs="Arial"/>
                <w:sz w:val="21"/>
                <w:szCs w:val="21"/>
              </w:rPr>
              <w:t>2500</w:t>
            </w:r>
          </w:p>
        </w:tc>
        <w:tc>
          <w:tcPr>
            <w:tcW w:w="1019" w:type="pct"/>
            <w:vAlign w:val="center"/>
          </w:tcPr>
          <w:p w14:paraId="23BB0192">
            <w:pPr>
              <w:adjustRightInd w:val="0"/>
              <w:snapToGrid w:val="0"/>
              <w:jc w:val="center"/>
              <w:rPr>
                <w:rFonts w:ascii="Arial" w:hAnsi="Arial" w:eastAsia="宋体" w:cs="Arial"/>
                <w:sz w:val="21"/>
                <w:szCs w:val="21"/>
              </w:rPr>
            </w:pPr>
            <w:r>
              <w:rPr>
                <w:rFonts w:hint="eastAsia" w:ascii="Arial" w:hAnsi="Arial" w:eastAsia="宋体" w:cs="Arial"/>
                <w:sz w:val="21"/>
                <w:szCs w:val="21"/>
              </w:rPr>
              <w:t>27.78</w:t>
            </w:r>
          </w:p>
        </w:tc>
        <w:tc>
          <w:tcPr>
            <w:tcW w:w="1019" w:type="pct"/>
            <w:vAlign w:val="center"/>
          </w:tcPr>
          <w:p w14:paraId="583806A5">
            <w:pPr>
              <w:adjustRightInd w:val="0"/>
              <w:snapToGrid w:val="0"/>
              <w:jc w:val="center"/>
              <w:rPr>
                <w:rFonts w:ascii="Arial" w:hAnsi="Arial" w:eastAsia="宋体" w:cs="Arial"/>
                <w:sz w:val="21"/>
                <w:szCs w:val="21"/>
              </w:rPr>
            </w:pPr>
            <w:r>
              <w:rPr>
                <w:rFonts w:hint="eastAsia" w:ascii="Arial" w:hAnsi="Arial" w:eastAsia="宋体" w:cs="Arial"/>
                <w:sz w:val="21"/>
                <w:szCs w:val="21"/>
              </w:rPr>
              <w:t>1.3334</w:t>
            </w:r>
          </w:p>
        </w:tc>
        <w:tc>
          <w:tcPr>
            <w:tcW w:w="1019" w:type="pct"/>
            <w:vAlign w:val="center"/>
          </w:tcPr>
          <w:p w14:paraId="7863C227">
            <w:pPr>
              <w:adjustRightInd w:val="0"/>
              <w:snapToGrid w:val="0"/>
              <w:jc w:val="center"/>
              <w:rPr>
                <w:rFonts w:ascii="Arial" w:hAnsi="Arial" w:eastAsia="宋体" w:cs="Arial"/>
                <w:sz w:val="21"/>
                <w:szCs w:val="21"/>
              </w:rPr>
            </w:pPr>
            <w:r>
              <w:rPr>
                <w:rFonts w:hint="eastAsia" w:ascii="Arial" w:hAnsi="Arial" w:eastAsia="宋体" w:cs="Arial"/>
                <w:sz w:val="21"/>
                <w:szCs w:val="21"/>
              </w:rPr>
              <w:t>11.43</w:t>
            </w:r>
          </w:p>
        </w:tc>
        <w:tc>
          <w:tcPr>
            <w:tcW w:w="1017" w:type="pct"/>
            <w:vAlign w:val="center"/>
          </w:tcPr>
          <w:p w14:paraId="261C46AF">
            <w:pPr>
              <w:adjustRightInd w:val="0"/>
              <w:snapToGrid w:val="0"/>
              <w:jc w:val="center"/>
              <w:rPr>
                <w:rFonts w:ascii="Arial" w:hAnsi="Arial" w:eastAsia="宋体" w:cs="Arial"/>
                <w:sz w:val="21"/>
                <w:szCs w:val="21"/>
              </w:rPr>
            </w:pPr>
            <w:r>
              <w:rPr>
                <w:rFonts w:hint="eastAsia" w:ascii="Arial" w:hAnsi="Arial" w:eastAsia="宋体" w:cs="Arial"/>
                <w:sz w:val="21"/>
                <w:szCs w:val="21"/>
              </w:rPr>
              <w:t>0.0652</w:t>
            </w:r>
          </w:p>
        </w:tc>
      </w:tr>
      <w:tr w14:paraId="5BB88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47DCB564">
            <w:pPr>
              <w:adjustRightInd w:val="0"/>
              <w:snapToGrid w:val="0"/>
              <w:jc w:val="center"/>
              <w:rPr>
                <w:rFonts w:ascii="Arial" w:hAnsi="Arial" w:eastAsia="宋体" w:cs="Arial"/>
                <w:sz w:val="21"/>
                <w:szCs w:val="21"/>
              </w:rPr>
            </w:pPr>
            <w:r>
              <w:rPr>
                <w:rFonts w:ascii="Arial" w:hAnsi="Arial" w:eastAsia="宋体" w:cs="Arial"/>
                <w:sz w:val="21"/>
                <w:szCs w:val="21"/>
              </w:rPr>
              <w:t>3000</w:t>
            </w:r>
          </w:p>
        </w:tc>
        <w:tc>
          <w:tcPr>
            <w:tcW w:w="1019" w:type="pct"/>
            <w:vAlign w:val="center"/>
          </w:tcPr>
          <w:p w14:paraId="792799B6">
            <w:pPr>
              <w:adjustRightInd w:val="0"/>
              <w:snapToGrid w:val="0"/>
              <w:jc w:val="center"/>
              <w:rPr>
                <w:rFonts w:ascii="Arial" w:hAnsi="Arial" w:eastAsia="宋体" w:cs="Arial"/>
                <w:sz w:val="21"/>
                <w:szCs w:val="21"/>
              </w:rPr>
            </w:pPr>
            <w:r>
              <w:rPr>
                <w:rFonts w:hint="eastAsia" w:ascii="Arial" w:hAnsi="Arial" w:eastAsia="宋体" w:cs="Arial"/>
                <w:sz w:val="21"/>
                <w:szCs w:val="21"/>
              </w:rPr>
              <w:t>38.333</w:t>
            </w:r>
          </w:p>
        </w:tc>
        <w:tc>
          <w:tcPr>
            <w:tcW w:w="1019" w:type="pct"/>
            <w:vAlign w:val="center"/>
          </w:tcPr>
          <w:p w14:paraId="7F40D9E4">
            <w:pPr>
              <w:adjustRightInd w:val="0"/>
              <w:snapToGrid w:val="0"/>
              <w:jc w:val="center"/>
              <w:rPr>
                <w:rFonts w:ascii="Arial" w:hAnsi="Arial" w:eastAsia="宋体" w:cs="Arial"/>
                <w:sz w:val="21"/>
                <w:szCs w:val="21"/>
              </w:rPr>
            </w:pPr>
            <w:r>
              <w:rPr>
                <w:rFonts w:hint="eastAsia" w:ascii="Arial" w:hAnsi="Arial" w:eastAsia="宋体" w:cs="Arial"/>
                <w:sz w:val="21"/>
                <w:szCs w:val="21"/>
              </w:rPr>
              <w:t>1.0457</w:t>
            </w:r>
          </w:p>
        </w:tc>
        <w:tc>
          <w:tcPr>
            <w:tcW w:w="1019" w:type="pct"/>
            <w:vAlign w:val="center"/>
          </w:tcPr>
          <w:p w14:paraId="75F40CEA">
            <w:pPr>
              <w:adjustRightInd w:val="0"/>
              <w:snapToGrid w:val="0"/>
              <w:jc w:val="center"/>
              <w:rPr>
                <w:rFonts w:ascii="Arial" w:hAnsi="Arial" w:eastAsia="宋体" w:cs="Arial"/>
                <w:sz w:val="21"/>
                <w:szCs w:val="21"/>
              </w:rPr>
            </w:pPr>
            <w:r>
              <w:rPr>
                <w:rFonts w:hint="eastAsia" w:ascii="Arial" w:hAnsi="Arial" w:eastAsia="宋体" w:cs="Arial"/>
                <w:sz w:val="21"/>
                <w:szCs w:val="21"/>
              </w:rPr>
              <w:t>15.24</w:t>
            </w:r>
          </w:p>
        </w:tc>
        <w:tc>
          <w:tcPr>
            <w:tcW w:w="1017" w:type="pct"/>
            <w:vAlign w:val="center"/>
          </w:tcPr>
          <w:p w14:paraId="2EA06E69">
            <w:pPr>
              <w:adjustRightInd w:val="0"/>
              <w:snapToGrid w:val="0"/>
              <w:jc w:val="center"/>
              <w:rPr>
                <w:rFonts w:ascii="Arial" w:hAnsi="Arial" w:eastAsia="宋体" w:cs="Arial"/>
                <w:sz w:val="21"/>
                <w:szCs w:val="21"/>
              </w:rPr>
            </w:pPr>
            <w:r>
              <w:rPr>
                <w:rFonts w:hint="eastAsia" w:ascii="Arial" w:hAnsi="Arial" w:eastAsia="宋体" w:cs="Arial"/>
                <w:sz w:val="21"/>
                <w:szCs w:val="21"/>
              </w:rPr>
              <w:t>0.0426</w:t>
            </w:r>
          </w:p>
        </w:tc>
      </w:tr>
      <w:tr w14:paraId="1BDF3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501EA865">
            <w:pPr>
              <w:adjustRightInd w:val="0"/>
              <w:snapToGrid w:val="0"/>
              <w:jc w:val="center"/>
              <w:rPr>
                <w:rFonts w:ascii="Arial" w:hAnsi="Arial" w:eastAsia="宋体" w:cs="Arial"/>
                <w:sz w:val="21"/>
                <w:szCs w:val="21"/>
              </w:rPr>
            </w:pPr>
            <w:r>
              <w:rPr>
                <w:rFonts w:ascii="Arial" w:hAnsi="Arial" w:eastAsia="宋体" w:cs="Arial"/>
                <w:sz w:val="21"/>
                <w:szCs w:val="21"/>
              </w:rPr>
              <w:t>3500</w:t>
            </w:r>
          </w:p>
        </w:tc>
        <w:tc>
          <w:tcPr>
            <w:tcW w:w="1019" w:type="pct"/>
            <w:vAlign w:val="center"/>
          </w:tcPr>
          <w:p w14:paraId="432EFACA">
            <w:pPr>
              <w:adjustRightInd w:val="0"/>
              <w:snapToGrid w:val="0"/>
              <w:jc w:val="center"/>
              <w:rPr>
                <w:rFonts w:ascii="Arial" w:hAnsi="Arial" w:eastAsia="宋体" w:cs="Arial"/>
                <w:sz w:val="21"/>
                <w:szCs w:val="21"/>
              </w:rPr>
            </w:pPr>
            <w:r>
              <w:rPr>
                <w:rFonts w:hint="eastAsia" w:ascii="Arial" w:hAnsi="Arial" w:eastAsia="宋体" w:cs="Arial"/>
                <w:sz w:val="21"/>
                <w:szCs w:val="21"/>
              </w:rPr>
              <w:t>43.889</w:t>
            </w:r>
          </w:p>
        </w:tc>
        <w:tc>
          <w:tcPr>
            <w:tcW w:w="1019" w:type="pct"/>
            <w:vAlign w:val="center"/>
          </w:tcPr>
          <w:p w14:paraId="7C57F7E3">
            <w:pPr>
              <w:adjustRightInd w:val="0"/>
              <w:snapToGrid w:val="0"/>
              <w:jc w:val="center"/>
              <w:rPr>
                <w:rFonts w:ascii="Arial" w:hAnsi="Arial" w:eastAsia="宋体" w:cs="Arial"/>
                <w:sz w:val="21"/>
                <w:szCs w:val="21"/>
              </w:rPr>
            </w:pPr>
            <w:r>
              <w:rPr>
                <w:rFonts w:hint="eastAsia" w:ascii="Arial" w:hAnsi="Arial" w:eastAsia="宋体" w:cs="Arial"/>
                <w:sz w:val="21"/>
                <w:szCs w:val="21"/>
              </w:rPr>
              <w:t>0.8514</w:t>
            </w:r>
          </w:p>
        </w:tc>
        <w:tc>
          <w:tcPr>
            <w:tcW w:w="1019" w:type="pct"/>
            <w:vAlign w:val="center"/>
          </w:tcPr>
          <w:p w14:paraId="55CDBDDE">
            <w:pPr>
              <w:adjustRightInd w:val="0"/>
              <w:snapToGrid w:val="0"/>
              <w:jc w:val="center"/>
              <w:rPr>
                <w:rFonts w:ascii="Arial" w:hAnsi="Arial" w:eastAsia="宋体" w:cs="Arial"/>
                <w:sz w:val="21"/>
                <w:szCs w:val="21"/>
              </w:rPr>
            </w:pPr>
            <w:r>
              <w:rPr>
                <w:rFonts w:hint="eastAsia" w:ascii="Arial" w:hAnsi="Arial" w:eastAsia="宋体" w:cs="Arial"/>
                <w:sz w:val="21"/>
                <w:szCs w:val="21"/>
              </w:rPr>
              <w:t>17.79</w:t>
            </w:r>
          </w:p>
        </w:tc>
        <w:tc>
          <w:tcPr>
            <w:tcW w:w="1017" w:type="pct"/>
            <w:vAlign w:val="center"/>
          </w:tcPr>
          <w:p w14:paraId="50F9D7F9">
            <w:pPr>
              <w:adjustRightInd w:val="0"/>
              <w:snapToGrid w:val="0"/>
              <w:jc w:val="center"/>
              <w:rPr>
                <w:rFonts w:ascii="Arial" w:hAnsi="Arial" w:eastAsia="宋体" w:cs="Arial"/>
                <w:sz w:val="21"/>
                <w:szCs w:val="21"/>
              </w:rPr>
            </w:pPr>
            <w:r>
              <w:rPr>
                <w:rFonts w:hint="eastAsia" w:ascii="Arial" w:hAnsi="Arial" w:eastAsia="宋体" w:cs="Arial"/>
                <w:sz w:val="21"/>
                <w:szCs w:val="21"/>
              </w:rPr>
              <w:t>0.0339</w:t>
            </w:r>
          </w:p>
        </w:tc>
      </w:tr>
      <w:tr w14:paraId="57F5B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5DFF76F6">
            <w:pPr>
              <w:adjustRightInd w:val="0"/>
              <w:snapToGrid w:val="0"/>
              <w:jc w:val="center"/>
              <w:rPr>
                <w:rFonts w:ascii="Arial" w:hAnsi="Arial" w:eastAsia="宋体" w:cs="Arial"/>
                <w:sz w:val="21"/>
                <w:szCs w:val="21"/>
              </w:rPr>
            </w:pPr>
            <w:r>
              <w:rPr>
                <w:rFonts w:ascii="Arial" w:hAnsi="Arial" w:eastAsia="宋体" w:cs="Arial"/>
                <w:sz w:val="21"/>
                <w:szCs w:val="21"/>
              </w:rPr>
              <w:t>4000</w:t>
            </w:r>
          </w:p>
        </w:tc>
        <w:tc>
          <w:tcPr>
            <w:tcW w:w="1019" w:type="pct"/>
            <w:vAlign w:val="center"/>
          </w:tcPr>
          <w:p w14:paraId="2C83B5A7">
            <w:pPr>
              <w:adjustRightInd w:val="0"/>
              <w:snapToGrid w:val="0"/>
              <w:jc w:val="center"/>
              <w:rPr>
                <w:rFonts w:ascii="Arial" w:hAnsi="Arial" w:eastAsia="宋体" w:cs="Arial"/>
                <w:sz w:val="21"/>
                <w:szCs w:val="21"/>
              </w:rPr>
            </w:pPr>
            <w:r>
              <w:rPr>
                <w:rFonts w:hint="eastAsia" w:ascii="Arial" w:hAnsi="Arial" w:eastAsia="宋体" w:cs="Arial"/>
                <w:sz w:val="21"/>
                <w:szCs w:val="21"/>
              </w:rPr>
              <w:t>50.44</w:t>
            </w:r>
          </w:p>
        </w:tc>
        <w:tc>
          <w:tcPr>
            <w:tcW w:w="1019" w:type="pct"/>
            <w:vAlign w:val="center"/>
          </w:tcPr>
          <w:p w14:paraId="53DC8BED">
            <w:pPr>
              <w:adjustRightInd w:val="0"/>
              <w:snapToGrid w:val="0"/>
              <w:jc w:val="center"/>
              <w:rPr>
                <w:rFonts w:ascii="Arial" w:hAnsi="Arial" w:eastAsia="宋体" w:cs="Arial"/>
                <w:sz w:val="21"/>
                <w:szCs w:val="21"/>
              </w:rPr>
            </w:pPr>
            <w:r>
              <w:rPr>
                <w:rFonts w:hint="eastAsia" w:ascii="Arial" w:hAnsi="Arial" w:eastAsia="宋体" w:cs="Arial"/>
                <w:sz w:val="21"/>
                <w:szCs w:val="21"/>
              </w:rPr>
              <w:t>0.7125</w:t>
            </w:r>
          </w:p>
        </w:tc>
        <w:tc>
          <w:tcPr>
            <w:tcW w:w="1019" w:type="pct"/>
            <w:vAlign w:val="center"/>
          </w:tcPr>
          <w:p w14:paraId="4EF0EF25">
            <w:pPr>
              <w:adjustRightInd w:val="0"/>
              <w:snapToGrid w:val="0"/>
              <w:jc w:val="center"/>
              <w:rPr>
                <w:rFonts w:ascii="Arial" w:hAnsi="Arial" w:eastAsia="宋体" w:cs="Arial"/>
                <w:sz w:val="21"/>
                <w:szCs w:val="21"/>
              </w:rPr>
            </w:pPr>
            <w:r>
              <w:rPr>
                <w:rFonts w:hint="eastAsia" w:ascii="Arial" w:hAnsi="Arial" w:eastAsia="宋体" w:cs="Arial"/>
                <w:sz w:val="21"/>
                <w:szCs w:val="21"/>
              </w:rPr>
              <w:t>20.33</w:t>
            </w:r>
          </w:p>
        </w:tc>
        <w:tc>
          <w:tcPr>
            <w:tcW w:w="1017" w:type="pct"/>
            <w:vAlign w:val="center"/>
          </w:tcPr>
          <w:p w14:paraId="0C133570">
            <w:pPr>
              <w:adjustRightInd w:val="0"/>
              <w:snapToGrid w:val="0"/>
              <w:jc w:val="center"/>
              <w:rPr>
                <w:rFonts w:ascii="Arial" w:hAnsi="Arial" w:eastAsia="宋体" w:cs="Arial"/>
                <w:sz w:val="21"/>
                <w:szCs w:val="21"/>
              </w:rPr>
            </w:pPr>
            <w:r>
              <w:rPr>
                <w:rFonts w:hint="eastAsia" w:ascii="Arial" w:hAnsi="Arial" w:eastAsia="宋体" w:cs="Arial"/>
                <w:sz w:val="21"/>
                <w:szCs w:val="21"/>
              </w:rPr>
              <w:t>0.0278</w:t>
            </w:r>
          </w:p>
        </w:tc>
      </w:tr>
      <w:tr w14:paraId="4D8E5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08BD2D90">
            <w:pPr>
              <w:adjustRightInd w:val="0"/>
              <w:snapToGrid w:val="0"/>
              <w:jc w:val="center"/>
              <w:rPr>
                <w:rFonts w:ascii="Arial" w:hAnsi="Arial" w:eastAsia="宋体" w:cs="Arial"/>
                <w:sz w:val="21"/>
                <w:szCs w:val="21"/>
              </w:rPr>
            </w:pPr>
            <w:r>
              <w:rPr>
                <w:rFonts w:ascii="Arial" w:hAnsi="Arial" w:eastAsia="宋体" w:cs="Arial"/>
                <w:sz w:val="21"/>
                <w:szCs w:val="21"/>
              </w:rPr>
              <w:t>4500</w:t>
            </w:r>
          </w:p>
        </w:tc>
        <w:tc>
          <w:tcPr>
            <w:tcW w:w="1019" w:type="pct"/>
            <w:vAlign w:val="center"/>
          </w:tcPr>
          <w:p w14:paraId="5C89AD4D">
            <w:pPr>
              <w:adjustRightInd w:val="0"/>
              <w:snapToGrid w:val="0"/>
              <w:jc w:val="center"/>
              <w:rPr>
                <w:rFonts w:ascii="Arial" w:hAnsi="Arial" w:eastAsia="宋体" w:cs="Arial"/>
                <w:sz w:val="21"/>
                <w:szCs w:val="21"/>
              </w:rPr>
            </w:pPr>
            <w:r>
              <w:rPr>
                <w:rFonts w:hint="eastAsia" w:ascii="Arial" w:hAnsi="Arial" w:eastAsia="宋体" w:cs="Arial"/>
                <w:sz w:val="21"/>
                <w:szCs w:val="21"/>
              </w:rPr>
              <w:t>57.00</w:t>
            </w:r>
          </w:p>
        </w:tc>
        <w:tc>
          <w:tcPr>
            <w:tcW w:w="1019" w:type="pct"/>
            <w:vAlign w:val="center"/>
          </w:tcPr>
          <w:p w14:paraId="28CA4175">
            <w:pPr>
              <w:adjustRightInd w:val="0"/>
              <w:snapToGrid w:val="0"/>
              <w:jc w:val="center"/>
              <w:rPr>
                <w:rFonts w:ascii="Arial" w:hAnsi="Arial" w:eastAsia="宋体" w:cs="Arial"/>
                <w:sz w:val="21"/>
                <w:szCs w:val="21"/>
              </w:rPr>
            </w:pPr>
            <w:r>
              <w:rPr>
                <w:rFonts w:hint="eastAsia" w:ascii="Arial" w:hAnsi="Arial" w:eastAsia="宋体" w:cs="Arial"/>
                <w:sz w:val="21"/>
                <w:szCs w:val="21"/>
              </w:rPr>
              <w:t>0.6088</w:t>
            </w:r>
          </w:p>
        </w:tc>
        <w:tc>
          <w:tcPr>
            <w:tcW w:w="1019" w:type="pct"/>
            <w:vAlign w:val="center"/>
          </w:tcPr>
          <w:p w14:paraId="723E0137">
            <w:pPr>
              <w:adjustRightInd w:val="0"/>
              <w:snapToGrid w:val="0"/>
              <w:jc w:val="center"/>
              <w:rPr>
                <w:rFonts w:ascii="Arial" w:hAnsi="Arial" w:eastAsia="宋体" w:cs="Arial"/>
                <w:sz w:val="21"/>
                <w:szCs w:val="21"/>
              </w:rPr>
            </w:pPr>
            <w:r>
              <w:rPr>
                <w:rFonts w:hint="eastAsia" w:ascii="Arial" w:hAnsi="Arial" w:eastAsia="宋体" w:cs="Arial"/>
                <w:sz w:val="21"/>
                <w:szCs w:val="21"/>
              </w:rPr>
              <w:t>22.87</w:t>
            </w:r>
          </w:p>
        </w:tc>
        <w:tc>
          <w:tcPr>
            <w:tcW w:w="1017" w:type="pct"/>
            <w:vAlign w:val="center"/>
          </w:tcPr>
          <w:p w14:paraId="4FC18168">
            <w:pPr>
              <w:adjustRightInd w:val="0"/>
              <w:snapToGrid w:val="0"/>
              <w:jc w:val="center"/>
              <w:rPr>
                <w:rFonts w:ascii="Arial" w:hAnsi="Arial" w:eastAsia="宋体" w:cs="Arial"/>
                <w:sz w:val="21"/>
                <w:szCs w:val="21"/>
              </w:rPr>
            </w:pPr>
            <w:r>
              <w:rPr>
                <w:rFonts w:hint="eastAsia" w:ascii="Arial" w:hAnsi="Arial" w:eastAsia="宋体" w:cs="Arial"/>
                <w:sz w:val="21"/>
                <w:szCs w:val="21"/>
              </w:rPr>
              <w:t>0.0234</w:t>
            </w:r>
          </w:p>
        </w:tc>
      </w:tr>
      <w:tr w14:paraId="6039C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68DEAD42">
            <w:pPr>
              <w:adjustRightInd w:val="0"/>
              <w:snapToGrid w:val="0"/>
              <w:jc w:val="center"/>
              <w:rPr>
                <w:rFonts w:ascii="Arial" w:hAnsi="Arial" w:eastAsia="宋体" w:cs="Arial"/>
                <w:sz w:val="21"/>
                <w:szCs w:val="21"/>
              </w:rPr>
            </w:pPr>
            <w:r>
              <w:rPr>
                <w:rFonts w:ascii="Arial" w:hAnsi="Arial" w:eastAsia="宋体" w:cs="Arial"/>
                <w:sz w:val="21"/>
                <w:szCs w:val="21"/>
              </w:rPr>
              <w:t>5000</w:t>
            </w:r>
          </w:p>
        </w:tc>
        <w:tc>
          <w:tcPr>
            <w:tcW w:w="1019" w:type="pct"/>
            <w:vAlign w:val="center"/>
          </w:tcPr>
          <w:p w14:paraId="41A99FA8">
            <w:pPr>
              <w:adjustRightInd w:val="0"/>
              <w:snapToGrid w:val="0"/>
              <w:jc w:val="center"/>
              <w:rPr>
                <w:rFonts w:ascii="Arial" w:hAnsi="Arial" w:eastAsia="宋体" w:cs="Arial"/>
                <w:sz w:val="21"/>
                <w:szCs w:val="21"/>
              </w:rPr>
            </w:pPr>
            <w:r>
              <w:rPr>
                <w:rFonts w:hint="eastAsia" w:ascii="Arial" w:hAnsi="Arial" w:eastAsia="宋体" w:cs="Arial"/>
                <w:sz w:val="21"/>
                <w:szCs w:val="21"/>
              </w:rPr>
              <w:t>62.56</w:t>
            </w:r>
          </w:p>
        </w:tc>
        <w:tc>
          <w:tcPr>
            <w:tcW w:w="1019" w:type="pct"/>
            <w:vAlign w:val="center"/>
          </w:tcPr>
          <w:p w14:paraId="235ED257">
            <w:pPr>
              <w:adjustRightInd w:val="0"/>
              <w:snapToGrid w:val="0"/>
              <w:jc w:val="center"/>
              <w:rPr>
                <w:rFonts w:ascii="Arial" w:hAnsi="Arial" w:eastAsia="宋体" w:cs="Arial"/>
                <w:sz w:val="21"/>
                <w:szCs w:val="21"/>
              </w:rPr>
            </w:pPr>
            <w:r>
              <w:rPr>
                <w:rFonts w:hint="eastAsia" w:ascii="Arial" w:hAnsi="Arial" w:eastAsia="宋体" w:cs="Arial"/>
                <w:sz w:val="21"/>
                <w:szCs w:val="21"/>
              </w:rPr>
              <w:t>0.5289</w:t>
            </w:r>
          </w:p>
        </w:tc>
        <w:tc>
          <w:tcPr>
            <w:tcW w:w="1019" w:type="pct"/>
            <w:vAlign w:val="center"/>
          </w:tcPr>
          <w:p w14:paraId="07B81313">
            <w:pPr>
              <w:adjustRightInd w:val="0"/>
              <w:snapToGrid w:val="0"/>
              <w:jc w:val="center"/>
              <w:rPr>
                <w:rFonts w:ascii="Arial" w:hAnsi="Arial" w:eastAsia="宋体" w:cs="Arial"/>
                <w:sz w:val="21"/>
                <w:szCs w:val="21"/>
              </w:rPr>
            </w:pPr>
            <w:r>
              <w:rPr>
                <w:rFonts w:hint="eastAsia" w:ascii="Arial" w:hAnsi="Arial" w:eastAsia="宋体" w:cs="Arial"/>
                <w:sz w:val="21"/>
                <w:szCs w:val="21"/>
              </w:rPr>
              <w:t>25.41</w:t>
            </w:r>
          </w:p>
        </w:tc>
        <w:tc>
          <w:tcPr>
            <w:tcW w:w="1017" w:type="pct"/>
            <w:vAlign w:val="center"/>
          </w:tcPr>
          <w:p w14:paraId="3BC06D9C">
            <w:pPr>
              <w:adjustRightInd w:val="0"/>
              <w:snapToGrid w:val="0"/>
              <w:jc w:val="center"/>
              <w:rPr>
                <w:rFonts w:ascii="Arial" w:hAnsi="Arial" w:eastAsia="宋体" w:cs="Arial"/>
                <w:sz w:val="21"/>
                <w:szCs w:val="21"/>
              </w:rPr>
            </w:pPr>
            <w:r>
              <w:rPr>
                <w:rFonts w:hint="eastAsia" w:ascii="Arial" w:hAnsi="Arial" w:eastAsia="宋体" w:cs="Arial"/>
                <w:sz w:val="21"/>
                <w:szCs w:val="21"/>
              </w:rPr>
              <w:t>0.0200</w:t>
            </w:r>
          </w:p>
        </w:tc>
      </w:tr>
      <w:tr w14:paraId="4D8FA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926" w:type="pct"/>
            <w:vAlign w:val="center"/>
          </w:tcPr>
          <w:p w14:paraId="244EE774">
            <w:pPr>
              <w:adjustRightInd w:val="0"/>
              <w:snapToGrid w:val="0"/>
              <w:jc w:val="center"/>
              <w:rPr>
                <w:rFonts w:ascii="Arial" w:hAnsi="Arial" w:eastAsia="宋体" w:cs="Arial"/>
                <w:sz w:val="21"/>
                <w:szCs w:val="21"/>
              </w:rPr>
            </w:pPr>
            <w:r>
              <w:rPr>
                <w:rFonts w:ascii="Arial" w:hAnsi="Arial" w:eastAsia="宋体" w:cs="Arial"/>
                <w:sz w:val="21"/>
                <w:szCs w:val="21"/>
              </w:rPr>
              <w:t>6000</w:t>
            </w:r>
          </w:p>
        </w:tc>
        <w:tc>
          <w:tcPr>
            <w:tcW w:w="1019" w:type="pct"/>
            <w:vAlign w:val="center"/>
          </w:tcPr>
          <w:p w14:paraId="021224E3">
            <w:pPr>
              <w:adjustRightInd w:val="0"/>
              <w:snapToGrid w:val="0"/>
              <w:jc w:val="center"/>
              <w:rPr>
                <w:rFonts w:ascii="Arial" w:hAnsi="Arial" w:eastAsia="宋体" w:cs="Arial"/>
                <w:sz w:val="21"/>
                <w:szCs w:val="21"/>
              </w:rPr>
            </w:pPr>
            <w:r>
              <w:rPr>
                <w:rFonts w:hint="eastAsia" w:ascii="Arial" w:hAnsi="Arial" w:eastAsia="宋体" w:cs="Arial"/>
                <w:sz w:val="21"/>
                <w:szCs w:val="21"/>
              </w:rPr>
              <w:t>74.67</w:t>
            </w:r>
          </w:p>
        </w:tc>
        <w:tc>
          <w:tcPr>
            <w:tcW w:w="1019" w:type="pct"/>
            <w:vAlign w:val="center"/>
          </w:tcPr>
          <w:p w14:paraId="0D1DC07B">
            <w:pPr>
              <w:adjustRightInd w:val="0"/>
              <w:snapToGrid w:val="0"/>
              <w:jc w:val="center"/>
              <w:rPr>
                <w:rFonts w:ascii="Arial" w:hAnsi="Arial" w:eastAsia="宋体" w:cs="Arial"/>
                <w:sz w:val="21"/>
                <w:szCs w:val="21"/>
              </w:rPr>
            </w:pPr>
            <w:r>
              <w:rPr>
                <w:rFonts w:hint="eastAsia" w:ascii="Arial" w:hAnsi="Arial" w:eastAsia="宋体" w:cs="Arial"/>
                <w:sz w:val="21"/>
                <w:szCs w:val="21"/>
              </w:rPr>
              <w:t>0.4146</w:t>
            </w:r>
          </w:p>
        </w:tc>
        <w:tc>
          <w:tcPr>
            <w:tcW w:w="1019" w:type="pct"/>
            <w:vAlign w:val="center"/>
          </w:tcPr>
          <w:p w14:paraId="496DE203">
            <w:pPr>
              <w:adjustRightInd w:val="0"/>
              <w:snapToGrid w:val="0"/>
              <w:jc w:val="center"/>
              <w:rPr>
                <w:rFonts w:ascii="Arial" w:hAnsi="Arial" w:eastAsia="宋体" w:cs="Arial"/>
                <w:sz w:val="21"/>
                <w:szCs w:val="21"/>
              </w:rPr>
            </w:pPr>
            <w:r>
              <w:rPr>
                <w:rFonts w:hint="eastAsia" w:ascii="Arial" w:hAnsi="Arial" w:eastAsia="宋体" w:cs="Arial"/>
                <w:sz w:val="21"/>
                <w:szCs w:val="21"/>
              </w:rPr>
              <w:t>45.49</w:t>
            </w:r>
          </w:p>
        </w:tc>
        <w:tc>
          <w:tcPr>
            <w:tcW w:w="1017" w:type="pct"/>
            <w:vAlign w:val="center"/>
          </w:tcPr>
          <w:p w14:paraId="178467D2">
            <w:pPr>
              <w:adjustRightInd w:val="0"/>
              <w:snapToGrid w:val="0"/>
              <w:jc w:val="center"/>
              <w:rPr>
                <w:rFonts w:ascii="Arial" w:hAnsi="Arial" w:eastAsia="宋体" w:cs="Arial"/>
                <w:sz w:val="21"/>
                <w:szCs w:val="21"/>
              </w:rPr>
            </w:pPr>
            <w:r>
              <w:rPr>
                <w:rFonts w:hint="eastAsia" w:ascii="Arial" w:hAnsi="Arial" w:eastAsia="宋体" w:cs="Arial"/>
                <w:sz w:val="21"/>
                <w:szCs w:val="21"/>
              </w:rPr>
              <w:t>0.0153</w:t>
            </w:r>
          </w:p>
        </w:tc>
      </w:tr>
    </w:tbl>
    <w:p w14:paraId="1BDC293E">
      <w:pPr>
        <w:spacing w:line="500" w:lineRule="exact"/>
        <w:ind w:firstLine="489"/>
        <w:jc w:val="left"/>
        <w:rPr>
          <w:rFonts w:ascii="Arial" w:hAnsi="Arial" w:eastAsia="宋体" w:cs="Arial"/>
          <w:spacing w:val="10"/>
          <w:sz w:val="24"/>
        </w:rPr>
      </w:pPr>
    </w:p>
    <w:p w14:paraId="6826FEF2">
      <w:pPr>
        <w:spacing w:line="500" w:lineRule="exact"/>
        <w:ind w:firstLine="489"/>
        <w:jc w:val="left"/>
        <w:rPr>
          <w:rFonts w:ascii="Arial" w:hAnsi="Arial" w:eastAsia="宋体" w:cs="Arial"/>
          <w:spacing w:val="10"/>
          <w:sz w:val="24"/>
        </w:rPr>
      </w:pPr>
    </w:p>
    <w:p w14:paraId="3B0F786F">
      <w:pPr>
        <w:spacing w:line="500" w:lineRule="exact"/>
        <w:ind w:firstLine="489"/>
        <w:jc w:val="left"/>
        <w:rPr>
          <w:rFonts w:ascii="Arial" w:hAnsi="Arial" w:eastAsia="宋体" w:cs="Arial"/>
          <w:spacing w:val="10"/>
          <w:sz w:val="24"/>
        </w:rPr>
      </w:pPr>
    </w:p>
    <w:p w14:paraId="5B8C1117">
      <w:pPr>
        <w:spacing w:line="500" w:lineRule="exact"/>
        <w:ind w:firstLine="489"/>
        <w:jc w:val="left"/>
        <w:rPr>
          <w:rFonts w:ascii="Arial" w:hAnsi="Arial" w:eastAsia="宋体" w:cs="Arial"/>
          <w:spacing w:val="10"/>
          <w:sz w:val="24"/>
        </w:rPr>
      </w:pPr>
    </w:p>
    <w:p w14:paraId="2778863C">
      <w:pPr>
        <w:spacing w:line="500" w:lineRule="exact"/>
        <w:ind w:firstLine="489"/>
        <w:jc w:val="left"/>
        <w:rPr>
          <w:rFonts w:ascii="Arial" w:hAnsi="Arial" w:eastAsia="宋体" w:cs="Arial"/>
          <w:spacing w:val="10"/>
          <w:sz w:val="24"/>
        </w:rPr>
      </w:pPr>
    </w:p>
    <w:p w14:paraId="55C26E55">
      <w:pPr>
        <w:spacing w:line="500" w:lineRule="exact"/>
        <w:ind w:firstLine="489"/>
        <w:jc w:val="left"/>
        <w:rPr>
          <w:rFonts w:ascii="Arial" w:hAnsi="Arial" w:eastAsia="宋体" w:cs="Arial"/>
          <w:spacing w:val="10"/>
          <w:sz w:val="24"/>
        </w:rPr>
      </w:pPr>
    </w:p>
    <w:p w14:paraId="1F0F981C">
      <w:pPr>
        <w:jc w:val="center"/>
        <w:rPr>
          <w:rFonts w:ascii="Arial" w:hAnsi="Arial" w:eastAsia="宋体" w:cs="Arial"/>
          <w:spacing w:val="10"/>
          <w:sz w:val="24"/>
        </w:rPr>
      </w:pPr>
      <w:r>
        <w:drawing>
          <wp:inline distT="0" distB="0" distL="114300" distR="114300">
            <wp:extent cx="5487670" cy="3435350"/>
            <wp:effectExtent l="0" t="0" r="17780" b="1270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128"/>
                    <a:stretch>
                      <a:fillRect/>
                    </a:stretch>
                  </pic:blipFill>
                  <pic:spPr>
                    <a:xfrm>
                      <a:off x="0" y="0"/>
                      <a:ext cx="5487670" cy="3435350"/>
                    </a:xfrm>
                    <a:prstGeom prst="rect">
                      <a:avLst/>
                    </a:prstGeom>
                    <a:noFill/>
                    <a:ln>
                      <a:noFill/>
                    </a:ln>
                  </pic:spPr>
                </pic:pic>
              </a:graphicData>
            </a:graphic>
          </wp:inline>
        </w:drawing>
      </w:r>
    </w:p>
    <w:p w14:paraId="344B2CDC">
      <w:pPr>
        <w:spacing w:line="500" w:lineRule="exact"/>
        <w:ind w:firstLine="489"/>
        <w:jc w:val="center"/>
        <w:rPr>
          <w:rFonts w:ascii="Arial" w:hAnsi="Arial" w:eastAsia="宋体" w:cs="Arial"/>
          <w:spacing w:val="10"/>
          <w:sz w:val="24"/>
        </w:rPr>
      </w:pPr>
      <w:r>
        <w:rPr>
          <w:rFonts w:ascii="Arial" w:hAnsi="Arial" w:eastAsia="宋体" w:cs="Arial"/>
          <w:b/>
          <w:sz w:val="24"/>
        </w:rPr>
        <w:t xml:space="preserve">图4.3-3  </w:t>
      </w:r>
      <w:r>
        <w:rPr>
          <w:rFonts w:hint="eastAsia" w:ascii="Arial" w:hAnsi="Arial" w:eastAsia="宋体" w:cs="Arial"/>
          <w:b/>
          <w:sz w:val="24"/>
        </w:rPr>
        <w:t>氨水</w:t>
      </w:r>
      <w:r>
        <w:rPr>
          <w:rFonts w:ascii="Arial" w:hAnsi="Arial" w:eastAsia="宋体" w:cs="Arial"/>
          <w:b/>
          <w:sz w:val="24"/>
        </w:rPr>
        <w:t>泄漏最大影响范围图（最不利</w:t>
      </w:r>
      <w:r>
        <w:rPr>
          <w:rFonts w:hint="eastAsia" w:ascii="Arial" w:hAnsi="Arial" w:eastAsia="宋体" w:cs="Arial"/>
          <w:b/>
          <w:sz w:val="24"/>
        </w:rPr>
        <w:t>气象）</w:t>
      </w:r>
    </w:p>
    <w:p w14:paraId="4304C0B9">
      <w:pPr>
        <w:jc w:val="left"/>
        <w:rPr>
          <w:rFonts w:ascii="Arial" w:hAnsi="Arial" w:eastAsia="宋体" w:cs="Arial"/>
          <w:spacing w:val="10"/>
          <w:sz w:val="24"/>
        </w:rPr>
      </w:pPr>
      <w:r>
        <w:drawing>
          <wp:inline distT="0" distB="0" distL="114300" distR="114300">
            <wp:extent cx="5487670" cy="3435350"/>
            <wp:effectExtent l="0" t="0" r="17780" b="12700"/>
            <wp:docPr id="42"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0"/>
                    <pic:cNvPicPr>
                      <a:picLocks noChangeAspect="1"/>
                    </pic:cNvPicPr>
                  </pic:nvPicPr>
                  <pic:blipFill>
                    <a:blip r:embed="rId129"/>
                    <a:stretch>
                      <a:fillRect/>
                    </a:stretch>
                  </pic:blipFill>
                  <pic:spPr>
                    <a:xfrm>
                      <a:off x="0" y="0"/>
                      <a:ext cx="5487670" cy="3435350"/>
                    </a:xfrm>
                    <a:prstGeom prst="rect">
                      <a:avLst/>
                    </a:prstGeom>
                    <a:noFill/>
                    <a:ln>
                      <a:noFill/>
                    </a:ln>
                  </pic:spPr>
                </pic:pic>
              </a:graphicData>
            </a:graphic>
          </wp:inline>
        </w:drawing>
      </w:r>
    </w:p>
    <w:p w14:paraId="28625A04">
      <w:pPr>
        <w:spacing w:line="500" w:lineRule="exact"/>
        <w:ind w:firstLine="489"/>
        <w:jc w:val="center"/>
        <w:rPr>
          <w:rFonts w:ascii="Arial" w:hAnsi="Arial" w:eastAsia="宋体" w:cs="Arial"/>
          <w:b/>
          <w:sz w:val="24"/>
        </w:rPr>
      </w:pPr>
      <w:r>
        <w:rPr>
          <w:rFonts w:ascii="Arial" w:hAnsi="Arial" w:eastAsia="宋体" w:cs="Arial"/>
          <w:b/>
          <w:sz w:val="24"/>
        </w:rPr>
        <w:t>图4.3-</w:t>
      </w:r>
      <w:r>
        <w:rPr>
          <w:rFonts w:hint="eastAsia" w:ascii="Arial" w:hAnsi="Arial" w:eastAsia="宋体" w:cs="Arial"/>
          <w:b/>
          <w:sz w:val="24"/>
        </w:rPr>
        <w:t>4</w:t>
      </w:r>
      <w:r>
        <w:rPr>
          <w:rFonts w:ascii="Arial" w:hAnsi="Arial" w:eastAsia="宋体" w:cs="Arial"/>
          <w:b/>
          <w:sz w:val="24"/>
        </w:rPr>
        <w:t xml:space="preserve">  </w:t>
      </w:r>
      <w:r>
        <w:rPr>
          <w:rFonts w:hint="eastAsia" w:ascii="Arial" w:hAnsi="Arial" w:eastAsia="宋体" w:cs="Arial"/>
          <w:b/>
          <w:sz w:val="24"/>
        </w:rPr>
        <w:t>氨水</w:t>
      </w:r>
      <w:r>
        <w:rPr>
          <w:rFonts w:ascii="Arial" w:hAnsi="Arial" w:eastAsia="宋体" w:cs="Arial"/>
          <w:b/>
          <w:sz w:val="24"/>
        </w:rPr>
        <w:t>泄漏最大影响范围图（</w:t>
      </w:r>
      <w:r>
        <w:rPr>
          <w:rFonts w:hint="eastAsia" w:ascii="Arial" w:hAnsi="Arial" w:eastAsia="宋体" w:cs="Arial"/>
          <w:b/>
          <w:sz w:val="24"/>
        </w:rPr>
        <w:t>常见气象）</w:t>
      </w:r>
    </w:p>
    <w:p w14:paraId="60241901">
      <w:pPr>
        <w:spacing w:line="500" w:lineRule="exact"/>
        <w:ind w:firstLine="489"/>
        <w:jc w:val="center"/>
        <w:rPr>
          <w:rFonts w:ascii="Arial" w:hAnsi="Arial" w:eastAsia="宋体" w:cs="Arial"/>
          <w:b/>
          <w:sz w:val="24"/>
        </w:rPr>
      </w:pPr>
    </w:p>
    <w:p w14:paraId="63E01520">
      <w:pPr>
        <w:spacing w:line="500" w:lineRule="exact"/>
        <w:ind w:firstLine="489"/>
        <w:jc w:val="center"/>
        <w:rPr>
          <w:rFonts w:ascii="Arial" w:hAnsi="Arial" w:eastAsia="宋体" w:cs="Arial"/>
          <w:spacing w:val="10"/>
          <w:sz w:val="24"/>
        </w:rPr>
      </w:pPr>
    </w:p>
    <w:p w14:paraId="26975DB2">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关心</w:t>
      </w:r>
      <w:r>
        <w:rPr>
          <w:rFonts w:ascii="Arial" w:hAnsi="Arial" w:eastAsia="宋体" w:cs="Arial"/>
          <w:b/>
          <w:sz w:val="24"/>
          <w:szCs w:val="24"/>
        </w:rPr>
        <w:t>点</w:t>
      </w:r>
      <w:r>
        <w:rPr>
          <w:rFonts w:hint="eastAsia" w:ascii="Arial" w:hAnsi="Arial" w:eastAsia="宋体" w:cs="Arial"/>
          <w:b/>
          <w:sz w:val="24"/>
          <w:szCs w:val="24"/>
        </w:rPr>
        <w:t>氨</w:t>
      </w:r>
      <w:r>
        <w:rPr>
          <w:rFonts w:ascii="Arial" w:hAnsi="Arial" w:eastAsia="宋体" w:cs="Arial"/>
          <w:b/>
          <w:sz w:val="24"/>
          <w:szCs w:val="24"/>
        </w:rPr>
        <w:t>浓度随时间变化情况（最不利气象）   单位：mg/m</w:t>
      </w:r>
      <w:r>
        <w:rPr>
          <w:rFonts w:ascii="Arial" w:hAnsi="Arial" w:eastAsia="宋体" w:cs="Arial"/>
          <w:b/>
          <w:sz w:val="24"/>
          <w:szCs w:val="24"/>
          <w:vertAlign w:val="superscript"/>
        </w:rPr>
        <w:t>3</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9"/>
        <w:gridCol w:w="1108"/>
        <w:gridCol w:w="1108"/>
        <w:gridCol w:w="1108"/>
        <w:gridCol w:w="1108"/>
        <w:gridCol w:w="1108"/>
        <w:gridCol w:w="1108"/>
        <w:gridCol w:w="1106"/>
      </w:tblGrid>
      <w:tr w14:paraId="29F9D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17F22CD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名称</w:t>
            </w:r>
          </w:p>
        </w:tc>
        <w:tc>
          <w:tcPr>
            <w:tcW w:w="616" w:type="pct"/>
            <w:shd w:val="clear" w:color="auto" w:fill="auto"/>
            <w:vAlign w:val="center"/>
          </w:tcPr>
          <w:p w14:paraId="40ADF56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5min</w:t>
            </w:r>
          </w:p>
        </w:tc>
        <w:tc>
          <w:tcPr>
            <w:tcW w:w="616" w:type="pct"/>
            <w:shd w:val="clear" w:color="auto" w:fill="auto"/>
            <w:vAlign w:val="center"/>
          </w:tcPr>
          <w:p w14:paraId="6CACB2C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10min</w:t>
            </w:r>
          </w:p>
        </w:tc>
        <w:tc>
          <w:tcPr>
            <w:tcW w:w="616" w:type="pct"/>
            <w:shd w:val="clear" w:color="auto" w:fill="auto"/>
            <w:vAlign w:val="center"/>
          </w:tcPr>
          <w:p w14:paraId="3853833D">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15</w:t>
            </w:r>
            <w:r>
              <w:rPr>
                <w:rFonts w:ascii="Arial" w:hAnsi="Arial" w:eastAsia="宋体" w:cs="Arial"/>
                <w:spacing w:val="10"/>
                <w:sz w:val="21"/>
                <w:szCs w:val="21"/>
              </w:rPr>
              <w:t>min</w:t>
            </w:r>
          </w:p>
        </w:tc>
        <w:tc>
          <w:tcPr>
            <w:tcW w:w="616" w:type="pct"/>
            <w:shd w:val="clear" w:color="auto" w:fill="auto"/>
            <w:vAlign w:val="center"/>
          </w:tcPr>
          <w:p w14:paraId="76DE9A3E">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25</w:t>
            </w:r>
            <w:r>
              <w:rPr>
                <w:rFonts w:ascii="Arial" w:hAnsi="Arial" w:eastAsia="宋体" w:cs="Arial"/>
                <w:spacing w:val="10"/>
                <w:sz w:val="21"/>
                <w:szCs w:val="21"/>
              </w:rPr>
              <w:t>min</w:t>
            </w:r>
          </w:p>
        </w:tc>
        <w:tc>
          <w:tcPr>
            <w:tcW w:w="616" w:type="pct"/>
            <w:shd w:val="clear" w:color="auto" w:fill="auto"/>
            <w:vAlign w:val="center"/>
          </w:tcPr>
          <w:p w14:paraId="54D0299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40min</w:t>
            </w:r>
          </w:p>
        </w:tc>
        <w:tc>
          <w:tcPr>
            <w:tcW w:w="616" w:type="pct"/>
            <w:shd w:val="clear" w:color="auto" w:fill="auto"/>
            <w:vAlign w:val="center"/>
          </w:tcPr>
          <w:p w14:paraId="50D97E3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50min</w:t>
            </w:r>
          </w:p>
        </w:tc>
        <w:tc>
          <w:tcPr>
            <w:tcW w:w="615" w:type="pct"/>
            <w:shd w:val="clear" w:color="auto" w:fill="auto"/>
            <w:vAlign w:val="center"/>
          </w:tcPr>
          <w:p w14:paraId="42CC12C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60min</w:t>
            </w:r>
          </w:p>
        </w:tc>
      </w:tr>
      <w:tr w14:paraId="59AF7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70CE317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硫磺山村</w:t>
            </w:r>
          </w:p>
        </w:tc>
        <w:tc>
          <w:tcPr>
            <w:tcW w:w="616" w:type="pct"/>
            <w:shd w:val="clear" w:color="auto" w:fill="auto"/>
            <w:vAlign w:val="center"/>
          </w:tcPr>
          <w:p w14:paraId="314C200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5076AF1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4282F2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3.4396</w:t>
            </w:r>
          </w:p>
        </w:tc>
        <w:tc>
          <w:tcPr>
            <w:tcW w:w="616" w:type="pct"/>
            <w:shd w:val="clear" w:color="auto" w:fill="auto"/>
            <w:vAlign w:val="center"/>
          </w:tcPr>
          <w:p w14:paraId="44A568D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3.4396</w:t>
            </w:r>
          </w:p>
        </w:tc>
        <w:tc>
          <w:tcPr>
            <w:tcW w:w="616" w:type="pct"/>
            <w:shd w:val="clear" w:color="auto" w:fill="auto"/>
            <w:vAlign w:val="center"/>
          </w:tcPr>
          <w:p w14:paraId="18B40E8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3.4394</w:t>
            </w:r>
          </w:p>
        </w:tc>
        <w:tc>
          <w:tcPr>
            <w:tcW w:w="616" w:type="pct"/>
            <w:shd w:val="clear" w:color="auto" w:fill="auto"/>
            <w:vAlign w:val="center"/>
          </w:tcPr>
          <w:p w14:paraId="4E9ECFC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5" w:type="pct"/>
            <w:shd w:val="clear" w:color="auto" w:fill="auto"/>
            <w:vAlign w:val="center"/>
          </w:tcPr>
          <w:p w14:paraId="3D96B52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14:paraId="4FF6B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3C28304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平山村</w:t>
            </w:r>
          </w:p>
        </w:tc>
        <w:tc>
          <w:tcPr>
            <w:tcW w:w="616" w:type="pct"/>
            <w:shd w:val="clear" w:color="auto" w:fill="auto"/>
            <w:vAlign w:val="center"/>
          </w:tcPr>
          <w:p w14:paraId="6CD1EA5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4C18DD4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0EEEC5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8EE0B9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F3E8F9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E18875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0.2811</w:t>
            </w:r>
          </w:p>
        </w:tc>
        <w:tc>
          <w:tcPr>
            <w:tcW w:w="615" w:type="pct"/>
            <w:shd w:val="clear" w:color="auto" w:fill="auto"/>
            <w:vAlign w:val="center"/>
          </w:tcPr>
          <w:p w14:paraId="2E0D515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0.6070</w:t>
            </w:r>
          </w:p>
        </w:tc>
      </w:tr>
      <w:tr w14:paraId="38BA3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4625EE0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大环村</w:t>
            </w:r>
          </w:p>
        </w:tc>
        <w:tc>
          <w:tcPr>
            <w:tcW w:w="616" w:type="pct"/>
            <w:shd w:val="clear" w:color="auto" w:fill="auto"/>
            <w:vAlign w:val="center"/>
          </w:tcPr>
          <w:p w14:paraId="382A7F7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516956D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5135690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090BBD4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22688D4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FFFCF4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5" w:type="pct"/>
            <w:shd w:val="clear" w:color="auto" w:fill="auto"/>
            <w:vAlign w:val="center"/>
          </w:tcPr>
          <w:p w14:paraId="33BEC5E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14:paraId="11219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5BDDEA9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鸡墩头村</w:t>
            </w:r>
          </w:p>
        </w:tc>
        <w:tc>
          <w:tcPr>
            <w:tcW w:w="616" w:type="pct"/>
            <w:shd w:val="clear" w:color="auto" w:fill="auto"/>
            <w:vAlign w:val="center"/>
          </w:tcPr>
          <w:p w14:paraId="6B7EB37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6B8F1E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3024A14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4.3427</w:t>
            </w:r>
          </w:p>
        </w:tc>
        <w:tc>
          <w:tcPr>
            <w:tcW w:w="616" w:type="pct"/>
            <w:shd w:val="clear" w:color="auto" w:fill="auto"/>
            <w:vAlign w:val="center"/>
          </w:tcPr>
          <w:p w14:paraId="084B03F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4.3427</w:t>
            </w:r>
          </w:p>
        </w:tc>
        <w:tc>
          <w:tcPr>
            <w:tcW w:w="616" w:type="pct"/>
            <w:shd w:val="clear" w:color="auto" w:fill="auto"/>
            <w:vAlign w:val="center"/>
          </w:tcPr>
          <w:p w14:paraId="40E4144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4.3425</w:t>
            </w:r>
          </w:p>
        </w:tc>
        <w:tc>
          <w:tcPr>
            <w:tcW w:w="616" w:type="pct"/>
            <w:shd w:val="clear" w:color="auto" w:fill="auto"/>
            <w:vAlign w:val="center"/>
          </w:tcPr>
          <w:p w14:paraId="08EA400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5" w:type="pct"/>
            <w:shd w:val="clear" w:color="auto" w:fill="auto"/>
            <w:vAlign w:val="center"/>
          </w:tcPr>
          <w:p w14:paraId="1DA6554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14:paraId="2DA28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50D994F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第五小学</w:t>
            </w:r>
          </w:p>
        </w:tc>
        <w:tc>
          <w:tcPr>
            <w:tcW w:w="616" w:type="pct"/>
            <w:shd w:val="clear" w:color="auto" w:fill="auto"/>
            <w:vAlign w:val="center"/>
          </w:tcPr>
          <w:p w14:paraId="4635259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FF00BD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370305D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3.0480</w:t>
            </w:r>
          </w:p>
        </w:tc>
        <w:tc>
          <w:tcPr>
            <w:tcW w:w="616" w:type="pct"/>
            <w:shd w:val="clear" w:color="auto" w:fill="auto"/>
            <w:vAlign w:val="center"/>
          </w:tcPr>
          <w:p w14:paraId="0A0478C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3.0480</w:t>
            </w:r>
          </w:p>
        </w:tc>
        <w:tc>
          <w:tcPr>
            <w:tcW w:w="616" w:type="pct"/>
            <w:shd w:val="clear" w:color="auto" w:fill="auto"/>
            <w:vAlign w:val="center"/>
          </w:tcPr>
          <w:p w14:paraId="689B2CE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3.0478</w:t>
            </w:r>
          </w:p>
        </w:tc>
        <w:tc>
          <w:tcPr>
            <w:tcW w:w="616" w:type="pct"/>
            <w:shd w:val="clear" w:color="auto" w:fill="auto"/>
            <w:vAlign w:val="center"/>
          </w:tcPr>
          <w:p w14:paraId="2417AC3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5" w:type="pct"/>
            <w:shd w:val="clear" w:color="auto" w:fill="auto"/>
            <w:vAlign w:val="center"/>
          </w:tcPr>
          <w:p w14:paraId="3B364FD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14:paraId="7419E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4F057BE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港区中学</w:t>
            </w:r>
          </w:p>
        </w:tc>
        <w:tc>
          <w:tcPr>
            <w:tcW w:w="616" w:type="pct"/>
            <w:shd w:val="clear" w:color="auto" w:fill="auto"/>
            <w:vAlign w:val="center"/>
          </w:tcPr>
          <w:p w14:paraId="207006C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04C16F7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0BDDFA4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5DD74BA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277E726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1.2336</w:t>
            </w:r>
          </w:p>
        </w:tc>
        <w:tc>
          <w:tcPr>
            <w:tcW w:w="616" w:type="pct"/>
            <w:shd w:val="clear" w:color="auto" w:fill="auto"/>
            <w:vAlign w:val="center"/>
          </w:tcPr>
          <w:p w14:paraId="38F6C0D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1.2336</w:t>
            </w:r>
          </w:p>
        </w:tc>
        <w:tc>
          <w:tcPr>
            <w:tcW w:w="615" w:type="pct"/>
            <w:shd w:val="clear" w:color="auto" w:fill="auto"/>
            <w:vAlign w:val="center"/>
          </w:tcPr>
          <w:p w14:paraId="6D51BF0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0.3807</w:t>
            </w:r>
          </w:p>
        </w:tc>
      </w:tr>
      <w:tr w14:paraId="0A2BA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211BCC1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沙岗头村</w:t>
            </w:r>
          </w:p>
        </w:tc>
        <w:tc>
          <w:tcPr>
            <w:tcW w:w="616" w:type="pct"/>
            <w:shd w:val="clear" w:color="auto" w:fill="auto"/>
            <w:vAlign w:val="center"/>
          </w:tcPr>
          <w:p w14:paraId="427166B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37D9A6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549A005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330B108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4A85AA2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04DCE92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5" w:type="pct"/>
            <w:shd w:val="clear" w:color="auto" w:fill="auto"/>
            <w:vAlign w:val="center"/>
          </w:tcPr>
          <w:p w14:paraId="29E9D20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14:paraId="1177C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476787E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金鼓社区</w:t>
            </w:r>
          </w:p>
        </w:tc>
        <w:tc>
          <w:tcPr>
            <w:tcW w:w="616" w:type="pct"/>
            <w:shd w:val="clear" w:color="auto" w:fill="auto"/>
            <w:vAlign w:val="center"/>
          </w:tcPr>
          <w:p w14:paraId="69D5EB9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4EBB893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0B8C1E3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970A51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179124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6CC01CB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0.3836</w:t>
            </w:r>
          </w:p>
        </w:tc>
        <w:tc>
          <w:tcPr>
            <w:tcW w:w="615" w:type="pct"/>
            <w:shd w:val="clear" w:color="auto" w:fill="auto"/>
            <w:vAlign w:val="center"/>
          </w:tcPr>
          <w:p w14:paraId="211A854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0.6171</w:t>
            </w:r>
          </w:p>
        </w:tc>
      </w:tr>
      <w:tr w14:paraId="36251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3AC37F9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鹿耳环村</w:t>
            </w:r>
          </w:p>
        </w:tc>
        <w:tc>
          <w:tcPr>
            <w:tcW w:w="616" w:type="pct"/>
            <w:shd w:val="clear" w:color="auto" w:fill="auto"/>
            <w:vAlign w:val="center"/>
          </w:tcPr>
          <w:p w14:paraId="7902CA8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B1F79F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0198224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4466B96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33E3A18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0.8811</w:t>
            </w:r>
          </w:p>
        </w:tc>
        <w:tc>
          <w:tcPr>
            <w:tcW w:w="616" w:type="pct"/>
            <w:shd w:val="clear" w:color="auto" w:fill="auto"/>
            <w:vAlign w:val="center"/>
          </w:tcPr>
          <w:p w14:paraId="3EB96A3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0.8954</w:t>
            </w:r>
          </w:p>
        </w:tc>
        <w:tc>
          <w:tcPr>
            <w:tcW w:w="615" w:type="pct"/>
            <w:shd w:val="clear" w:color="auto" w:fill="auto"/>
            <w:vAlign w:val="center"/>
          </w:tcPr>
          <w:p w14:paraId="6A2C076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0.8954</w:t>
            </w:r>
          </w:p>
        </w:tc>
      </w:tr>
      <w:tr w14:paraId="7BB63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48A31E6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水榕冲村</w:t>
            </w:r>
          </w:p>
        </w:tc>
        <w:tc>
          <w:tcPr>
            <w:tcW w:w="616" w:type="pct"/>
            <w:shd w:val="clear" w:color="auto" w:fill="auto"/>
            <w:vAlign w:val="center"/>
          </w:tcPr>
          <w:p w14:paraId="34D2207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C35821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2BCDE53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4DFFFF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06AB5E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48D0B08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5" w:type="pct"/>
            <w:shd w:val="clear" w:color="auto" w:fill="auto"/>
            <w:vAlign w:val="center"/>
          </w:tcPr>
          <w:p w14:paraId="0911675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0.0239</w:t>
            </w:r>
          </w:p>
        </w:tc>
      </w:tr>
    </w:tbl>
    <w:p w14:paraId="18D5C0A7">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关心</w:t>
      </w:r>
      <w:r>
        <w:rPr>
          <w:rFonts w:ascii="Arial" w:hAnsi="Arial" w:eastAsia="宋体" w:cs="Arial"/>
          <w:b/>
          <w:sz w:val="24"/>
          <w:szCs w:val="24"/>
        </w:rPr>
        <w:t>点</w:t>
      </w:r>
      <w:r>
        <w:rPr>
          <w:rFonts w:hint="eastAsia" w:ascii="Arial" w:hAnsi="Arial" w:eastAsia="宋体" w:cs="Arial"/>
          <w:b/>
          <w:sz w:val="24"/>
          <w:szCs w:val="24"/>
        </w:rPr>
        <w:t>氨</w:t>
      </w:r>
      <w:r>
        <w:rPr>
          <w:rFonts w:ascii="Arial" w:hAnsi="Arial" w:eastAsia="宋体" w:cs="Arial"/>
          <w:b/>
          <w:sz w:val="24"/>
          <w:szCs w:val="24"/>
        </w:rPr>
        <w:t>浓度随时间变化情况（</w:t>
      </w:r>
      <w:r>
        <w:rPr>
          <w:rFonts w:hint="eastAsia" w:ascii="Arial" w:hAnsi="Arial" w:eastAsia="宋体" w:cs="Arial"/>
          <w:b/>
          <w:sz w:val="24"/>
          <w:szCs w:val="24"/>
        </w:rPr>
        <w:t>常见</w:t>
      </w:r>
      <w:r>
        <w:rPr>
          <w:rFonts w:ascii="Arial" w:hAnsi="Arial" w:eastAsia="宋体" w:cs="Arial"/>
          <w:b/>
          <w:sz w:val="24"/>
          <w:szCs w:val="24"/>
        </w:rPr>
        <w:t>气象）   单位：mg/m</w:t>
      </w:r>
      <w:r>
        <w:rPr>
          <w:rFonts w:ascii="Arial" w:hAnsi="Arial" w:eastAsia="宋体" w:cs="Arial"/>
          <w:b/>
          <w:sz w:val="24"/>
          <w:szCs w:val="24"/>
          <w:vertAlign w:val="superscript"/>
        </w:rPr>
        <w:t>3</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9"/>
        <w:gridCol w:w="1108"/>
        <w:gridCol w:w="1108"/>
        <w:gridCol w:w="1108"/>
        <w:gridCol w:w="1108"/>
        <w:gridCol w:w="1108"/>
        <w:gridCol w:w="1108"/>
        <w:gridCol w:w="1106"/>
      </w:tblGrid>
      <w:tr w14:paraId="2D5FE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5B4C8E8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名称</w:t>
            </w:r>
          </w:p>
        </w:tc>
        <w:tc>
          <w:tcPr>
            <w:tcW w:w="616" w:type="pct"/>
            <w:shd w:val="clear" w:color="auto" w:fill="auto"/>
            <w:vAlign w:val="center"/>
          </w:tcPr>
          <w:p w14:paraId="23048BF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5min</w:t>
            </w:r>
          </w:p>
        </w:tc>
        <w:tc>
          <w:tcPr>
            <w:tcW w:w="616" w:type="pct"/>
            <w:shd w:val="clear" w:color="auto" w:fill="auto"/>
            <w:vAlign w:val="center"/>
          </w:tcPr>
          <w:p w14:paraId="0079473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10min</w:t>
            </w:r>
          </w:p>
        </w:tc>
        <w:tc>
          <w:tcPr>
            <w:tcW w:w="616" w:type="pct"/>
            <w:shd w:val="clear" w:color="auto" w:fill="auto"/>
            <w:vAlign w:val="center"/>
          </w:tcPr>
          <w:p w14:paraId="47ACBD7A">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15</w:t>
            </w:r>
            <w:r>
              <w:rPr>
                <w:rFonts w:ascii="Arial" w:hAnsi="Arial" w:eastAsia="宋体" w:cs="Arial"/>
                <w:spacing w:val="10"/>
                <w:sz w:val="21"/>
                <w:szCs w:val="21"/>
              </w:rPr>
              <w:t>min</w:t>
            </w:r>
          </w:p>
        </w:tc>
        <w:tc>
          <w:tcPr>
            <w:tcW w:w="616" w:type="pct"/>
            <w:shd w:val="clear" w:color="auto" w:fill="auto"/>
            <w:vAlign w:val="center"/>
          </w:tcPr>
          <w:p w14:paraId="48EDBE46">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25</w:t>
            </w:r>
            <w:r>
              <w:rPr>
                <w:rFonts w:ascii="Arial" w:hAnsi="Arial" w:eastAsia="宋体" w:cs="Arial"/>
                <w:spacing w:val="10"/>
                <w:sz w:val="21"/>
                <w:szCs w:val="21"/>
              </w:rPr>
              <w:t>min</w:t>
            </w:r>
          </w:p>
        </w:tc>
        <w:tc>
          <w:tcPr>
            <w:tcW w:w="616" w:type="pct"/>
            <w:shd w:val="clear" w:color="auto" w:fill="auto"/>
            <w:vAlign w:val="center"/>
          </w:tcPr>
          <w:p w14:paraId="63A9574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40min</w:t>
            </w:r>
          </w:p>
        </w:tc>
        <w:tc>
          <w:tcPr>
            <w:tcW w:w="616" w:type="pct"/>
            <w:shd w:val="clear" w:color="auto" w:fill="auto"/>
            <w:vAlign w:val="center"/>
          </w:tcPr>
          <w:p w14:paraId="7285FC1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50min</w:t>
            </w:r>
          </w:p>
        </w:tc>
        <w:tc>
          <w:tcPr>
            <w:tcW w:w="615" w:type="pct"/>
            <w:shd w:val="clear" w:color="auto" w:fill="auto"/>
            <w:vAlign w:val="center"/>
          </w:tcPr>
          <w:p w14:paraId="1924A1C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60min</w:t>
            </w:r>
          </w:p>
        </w:tc>
      </w:tr>
      <w:tr w14:paraId="19909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52FFC96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硫磺山村</w:t>
            </w:r>
          </w:p>
        </w:tc>
        <w:tc>
          <w:tcPr>
            <w:tcW w:w="616" w:type="pct"/>
            <w:shd w:val="clear" w:color="auto" w:fill="auto"/>
            <w:vAlign w:val="center"/>
          </w:tcPr>
          <w:p w14:paraId="39DD7B4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00CE77D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0.1521</w:t>
            </w:r>
          </w:p>
        </w:tc>
        <w:tc>
          <w:tcPr>
            <w:tcW w:w="616" w:type="pct"/>
            <w:shd w:val="clear" w:color="auto" w:fill="auto"/>
            <w:vAlign w:val="center"/>
          </w:tcPr>
          <w:p w14:paraId="0BD7EC9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0.1521</w:t>
            </w:r>
          </w:p>
        </w:tc>
        <w:tc>
          <w:tcPr>
            <w:tcW w:w="616" w:type="pct"/>
            <w:shd w:val="clear" w:color="auto" w:fill="auto"/>
            <w:vAlign w:val="center"/>
          </w:tcPr>
          <w:p w14:paraId="759C17E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0.1521</w:t>
            </w:r>
          </w:p>
        </w:tc>
        <w:tc>
          <w:tcPr>
            <w:tcW w:w="616" w:type="pct"/>
            <w:shd w:val="clear" w:color="auto" w:fill="auto"/>
            <w:vAlign w:val="center"/>
          </w:tcPr>
          <w:p w14:paraId="004DBCF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415823D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5" w:type="pct"/>
            <w:shd w:val="clear" w:color="auto" w:fill="auto"/>
            <w:vAlign w:val="center"/>
          </w:tcPr>
          <w:p w14:paraId="6D6367C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14:paraId="220EB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5A7F67E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平山村</w:t>
            </w:r>
          </w:p>
        </w:tc>
        <w:tc>
          <w:tcPr>
            <w:tcW w:w="616" w:type="pct"/>
            <w:shd w:val="clear" w:color="auto" w:fill="auto"/>
            <w:vAlign w:val="center"/>
          </w:tcPr>
          <w:p w14:paraId="64C32C3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2E84258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E9F927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6AC1C4F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0.0233</w:t>
            </w:r>
          </w:p>
        </w:tc>
        <w:tc>
          <w:tcPr>
            <w:tcW w:w="616" w:type="pct"/>
            <w:shd w:val="clear" w:color="auto" w:fill="auto"/>
            <w:vAlign w:val="center"/>
          </w:tcPr>
          <w:p w14:paraId="26AD9E8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0.0233</w:t>
            </w:r>
          </w:p>
        </w:tc>
        <w:tc>
          <w:tcPr>
            <w:tcW w:w="616" w:type="pct"/>
            <w:shd w:val="clear" w:color="auto" w:fill="auto"/>
            <w:vAlign w:val="center"/>
          </w:tcPr>
          <w:p w14:paraId="6DA8863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0.0199</w:t>
            </w:r>
          </w:p>
        </w:tc>
        <w:tc>
          <w:tcPr>
            <w:tcW w:w="615" w:type="pct"/>
            <w:shd w:val="clear" w:color="auto" w:fill="auto"/>
            <w:vAlign w:val="center"/>
          </w:tcPr>
          <w:p w14:paraId="7532345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0.0002</w:t>
            </w:r>
          </w:p>
        </w:tc>
      </w:tr>
      <w:tr w14:paraId="58FEE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2A5CC54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大环村</w:t>
            </w:r>
          </w:p>
        </w:tc>
        <w:tc>
          <w:tcPr>
            <w:tcW w:w="616" w:type="pct"/>
            <w:shd w:val="clear" w:color="auto" w:fill="auto"/>
            <w:vAlign w:val="center"/>
          </w:tcPr>
          <w:p w14:paraId="4409F76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4D663CB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6633CE5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6C807AC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7F24E6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0.0142</w:t>
            </w:r>
          </w:p>
        </w:tc>
        <w:tc>
          <w:tcPr>
            <w:tcW w:w="616" w:type="pct"/>
            <w:shd w:val="clear" w:color="auto" w:fill="auto"/>
            <w:vAlign w:val="center"/>
          </w:tcPr>
          <w:p w14:paraId="45B77F7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0.0144</w:t>
            </w:r>
          </w:p>
        </w:tc>
        <w:tc>
          <w:tcPr>
            <w:tcW w:w="615" w:type="pct"/>
            <w:shd w:val="clear" w:color="auto" w:fill="auto"/>
            <w:vAlign w:val="center"/>
          </w:tcPr>
          <w:p w14:paraId="2BA0F5B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0.0098</w:t>
            </w:r>
          </w:p>
        </w:tc>
      </w:tr>
      <w:tr w14:paraId="1C39C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4679469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鸡墩头村</w:t>
            </w:r>
          </w:p>
        </w:tc>
        <w:tc>
          <w:tcPr>
            <w:tcW w:w="616" w:type="pct"/>
            <w:shd w:val="clear" w:color="auto" w:fill="auto"/>
            <w:vAlign w:val="center"/>
          </w:tcPr>
          <w:p w14:paraId="3595019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0.1869</w:t>
            </w:r>
          </w:p>
        </w:tc>
        <w:tc>
          <w:tcPr>
            <w:tcW w:w="616" w:type="pct"/>
            <w:shd w:val="clear" w:color="auto" w:fill="auto"/>
            <w:vAlign w:val="center"/>
          </w:tcPr>
          <w:p w14:paraId="306BD52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0.1869</w:t>
            </w:r>
          </w:p>
        </w:tc>
        <w:tc>
          <w:tcPr>
            <w:tcW w:w="616" w:type="pct"/>
            <w:shd w:val="clear" w:color="auto" w:fill="auto"/>
            <w:vAlign w:val="center"/>
          </w:tcPr>
          <w:p w14:paraId="33DE03D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0.1869</w:t>
            </w:r>
          </w:p>
        </w:tc>
        <w:tc>
          <w:tcPr>
            <w:tcW w:w="616" w:type="pct"/>
            <w:shd w:val="clear" w:color="auto" w:fill="auto"/>
            <w:vAlign w:val="center"/>
          </w:tcPr>
          <w:p w14:paraId="6745A5B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0.1869</w:t>
            </w:r>
          </w:p>
        </w:tc>
        <w:tc>
          <w:tcPr>
            <w:tcW w:w="616" w:type="pct"/>
            <w:shd w:val="clear" w:color="auto" w:fill="auto"/>
            <w:vAlign w:val="center"/>
          </w:tcPr>
          <w:p w14:paraId="75F4600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3B15165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5" w:type="pct"/>
            <w:shd w:val="clear" w:color="auto" w:fill="auto"/>
            <w:vAlign w:val="center"/>
          </w:tcPr>
          <w:p w14:paraId="3306856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14:paraId="21D60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6EF6C7A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第五小学</w:t>
            </w:r>
          </w:p>
        </w:tc>
        <w:tc>
          <w:tcPr>
            <w:tcW w:w="616" w:type="pct"/>
            <w:shd w:val="clear" w:color="auto" w:fill="auto"/>
            <w:vAlign w:val="center"/>
          </w:tcPr>
          <w:p w14:paraId="0C55F9D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595E21A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0.1367</w:t>
            </w:r>
          </w:p>
        </w:tc>
        <w:tc>
          <w:tcPr>
            <w:tcW w:w="616" w:type="pct"/>
            <w:shd w:val="clear" w:color="auto" w:fill="auto"/>
            <w:vAlign w:val="center"/>
          </w:tcPr>
          <w:p w14:paraId="0B3D727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0.1367</w:t>
            </w:r>
          </w:p>
        </w:tc>
        <w:tc>
          <w:tcPr>
            <w:tcW w:w="616" w:type="pct"/>
            <w:shd w:val="clear" w:color="auto" w:fill="auto"/>
            <w:vAlign w:val="center"/>
          </w:tcPr>
          <w:p w14:paraId="4F5BEEB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0.1367</w:t>
            </w:r>
          </w:p>
        </w:tc>
        <w:tc>
          <w:tcPr>
            <w:tcW w:w="616" w:type="pct"/>
            <w:shd w:val="clear" w:color="auto" w:fill="auto"/>
            <w:vAlign w:val="center"/>
          </w:tcPr>
          <w:p w14:paraId="14E15C3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c>
          <w:tcPr>
            <w:tcW w:w="616" w:type="pct"/>
            <w:shd w:val="clear" w:color="auto" w:fill="auto"/>
            <w:vAlign w:val="center"/>
          </w:tcPr>
          <w:p w14:paraId="249A6D6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5" w:type="pct"/>
            <w:shd w:val="clear" w:color="auto" w:fill="auto"/>
            <w:vAlign w:val="center"/>
          </w:tcPr>
          <w:p w14:paraId="5363418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14:paraId="07C05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2A8CAD3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港区中学</w:t>
            </w:r>
          </w:p>
        </w:tc>
        <w:tc>
          <w:tcPr>
            <w:tcW w:w="616" w:type="pct"/>
            <w:shd w:val="clear" w:color="auto" w:fill="auto"/>
            <w:vAlign w:val="center"/>
          </w:tcPr>
          <w:p w14:paraId="71DE33F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47C061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550249F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0.0511</w:t>
            </w:r>
          </w:p>
        </w:tc>
        <w:tc>
          <w:tcPr>
            <w:tcW w:w="616" w:type="pct"/>
            <w:shd w:val="clear" w:color="auto" w:fill="auto"/>
            <w:vAlign w:val="center"/>
          </w:tcPr>
          <w:p w14:paraId="53DB753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0.0511</w:t>
            </w:r>
          </w:p>
        </w:tc>
        <w:tc>
          <w:tcPr>
            <w:tcW w:w="616" w:type="pct"/>
            <w:shd w:val="clear" w:color="auto" w:fill="auto"/>
            <w:vAlign w:val="center"/>
          </w:tcPr>
          <w:p w14:paraId="252BE66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0.0500</w:t>
            </w:r>
          </w:p>
        </w:tc>
        <w:tc>
          <w:tcPr>
            <w:tcW w:w="616" w:type="pct"/>
            <w:shd w:val="clear" w:color="auto" w:fill="auto"/>
            <w:vAlign w:val="center"/>
          </w:tcPr>
          <w:p w14:paraId="203355E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5" w:type="pct"/>
            <w:shd w:val="clear" w:color="auto" w:fill="auto"/>
            <w:vAlign w:val="center"/>
          </w:tcPr>
          <w:p w14:paraId="6C72B61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14:paraId="61B71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788676A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沙岗头村</w:t>
            </w:r>
          </w:p>
        </w:tc>
        <w:tc>
          <w:tcPr>
            <w:tcW w:w="616" w:type="pct"/>
            <w:shd w:val="clear" w:color="auto" w:fill="auto"/>
            <w:vAlign w:val="center"/>
          </w:tcPr>
          <w:p w14:paraId="59823F0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4B9CF0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74842A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4A326F2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0BDF7E5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0.0152</w:t>
            </w:r>
          </w:p>
        </w:tc>
        <w:tc>
          <w:tcPr>
            <w:tcW w:w="616" w:type="pct"/>
            <w:shd w:val="clear" w:color="auto" w:fill="auto"/>
            <w:vAlign w:val="center"/>
          </w:tcPr>
          <w:p w14:paraId="17FDBE0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0.0152</w:t>
            </w:r>
          </w:p>
        </w:tc>
        <w:tc>
          <w:tcPr>
            <w:tcW w:w="615" w:type="pct"/>
            <w:shd w:val="clear" w:color="auto" w:fill="auto"/>
            <w:vAlign w:val="center"/>
          </w:tcPr>
          <w:p w14:paraId="7C6FA26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0.0086</w:t>
            </w:r>
          </w:p>
        </w:tc>
      </w:tr>
      <w:tr w14:paraId="01810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48DD3DC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金鼓社区</w:t>
            </w:r>
          </w:p>
        </w:tc>
        <w:tc>
          <w:tcPr>
            <w:tcW w:w="616" w:type="pct"/>
            <w:shd w:val="clear" w:color="auto" w:fill="auto"/>
            <w:vAlign w:val="center"/>
          </w:tcPr>
          <w:p w14:paraId="6A99114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0D37C96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30361F4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275ABCB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0.0237</w:t>
            </w:r>
          </w:p>
        </w:tc>
        <w:tc>
          <w:tcPr>
            <w:tcW w:w="616" w:type="pct"/>
            <w:shd w:val="clear" w:color="auto" w:fill="auto"/>
            <w:vAlign w:val="center"/>
          </w:tcPr>
          <w:p w14:paraId="5F075F3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0.0237</w:t>
            </w:r>
          </w:p>
        </w:tc>
        <w:tc>
          <w:tcPr>
            <w:tcW w:w="616" w:type="pct"/>
            <w:shd w:val="clear" w:color="auto" w:fill="auto"/>
            <w:vAlign w:val="center"/>
          </w:tcPr>
          <w:p w14:paraId="38DDE3C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0.0198</w:t>
            </w:r>
          </w:p>
        </w:tc>
        <w:tc>
          <w:tcPr>
            <w:tcW w:w="615" w:type="pct"/>
            <w:shd w:val="clear" w:color="auto" w:fill="auto"/>
            <w:vAlign w:val="center"/>
          </w:tcPr>
          <w:p w14:paraId="3377443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0.0001</w:t>
            </w:r>
          </w:p>
        </w:tc>
      </w:tr>
      <w:tr w14:paraId="7688B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4D2DABD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鹿耳环村</w:t>
            </w:r>
          </w:p>
        </w:tc>
        <w:tc>
          <w:tcPr>
            <w:tcW w:w="616" w:type="pct"/>
            <w:shd w:val="clear" w:color="auto" w:fill="auto"/>
            <w:vAlign w:val="center"/>
          </w:tcPr>
          <w:p w14:paraId="6C26700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9A4E42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65D1B91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0.0358</w:t>
            </w:r>
          </w:p>
        </w:tc>
        <w:tc>
          <w:tcPr>
            <w:tcW w:w="616" w:type="pct"/>
            <w:shd w:val="clear" w:color="auto" w:fill="auto"/>
            <w:vAlign w:val="center"/>
          </w:tcPr>
          <w:p w14:paraId="39B7343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0.0358</w:t>
            </w:r>
          </w:p>
        </w:tc>
        <w:tc>
          <w:tcPr>
            <w:tcW w:w="616" w:type="pct"/>
            <w:shd w:val="clear" w:color="auto" w:fill="auto"/>
            <w:vAlign w:val="center"/>
          </w:tcPr>
          <w:p w14:paraId="445A57E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0.0358</w:t>
            </w:r>
          </w:p>
        </w:tc>
        <w:tc>
          <w:tcPr>
            <w:tcW w:w="616" w:type="pct"/>
            <w:shd w:val="clear" w:color="auto" w:fill="auto"/>
            <w:vAlign w:val="center"/>
          </w:tcPr>
          <w:p w14:paraId="58EA13E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0.0036</w:t>
            </w:r>
          </w:p>
        </w:tc>
        <w:tc>
          <w:tcPr>
            <w:tcW w:w="615" w:type="pct"/>
            <w:shd w:val="clear" w:color="auto" w:fill="auto"/>
            <w:vAlign w:val="center"/>
          </w:tcPr>
          <w:p w14:paraId="270B45F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r>
      <w:tr w14:paraId="0CB3A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9" w:type="pct"/>
            <w:shd w:val="clear" w:color="auto" w:fill="auto"/>
            <w:vAlign w:val="center"/>
          </w:tcPr>
          <w:p w14:paraId="767CA7C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水榕冲村</w:t>
            </w:r>
          </w:p>
        </w:tc>
        <w:tc>
          <w:tcPr>
            <w:tcW w:w="616" w:type="pct"/>
            <w:shd w:val="clear" w:color="auto" w:fill="auto"/>
            <w:vAlign w:val="center"/>
          </w:tcPr>
          <w:p w14:paraId="273D773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C12CDB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786BF9A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6155001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0.0000</w:t>
            </w:r>
          </w:p>
        </w:tc>
        <w:tc>
          <w:tcPr>
            <w:tcW w:w="616" w:type="pct"/>
            <w:shd w:val="clear" w:color="auto" w:fill="auto"/>
            <w:vAlign w:val="center"/>
          </w:tcPr>
          <w:p w14:paraId="14F1416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0.0166</w:t>
            </w:r>
          </w:p>
        </w:tc>
        <w:tc>
          <w:tcPr>
            <w:tcW w:w="616" w:type="pct"/>
            <w:shd w:val="clear" w:color="auto" w:fill="auto"/>
            <w:vAlign w:val="center"/>
          </w:tcPr>
          <w:p w14:paraId="0666FE7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0.0165</w:t>
            </w:r>
          </w:p>
        </w:tc>
        <w:tc>
          <w:tcPr>
            <w:tcW w:w="615" w:type="pct"/>
            <w:shd w:val="clear" w:color="auto" w:fill="auto"/>
            <w:vAlign w:val="center"/>
          </w:tcPr>
          <w:p w14:paraId="383CB9E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0.0062</w:t>
            </w:r>
          </w:p>
        </w:tc>
      </w:tr>
    </w:tbl>
    <w:p w14:paraId="63C27C62">
      <w:pPr>
        <w:jc w:val="center"/>
        <w:rPr>
          <w:rFonts w:ascii="Arial" w:hAnsi="Arial" w:eastAsia="宋体" w:cs="Arial"/>
          <w:b/>
          <w:sz w:val="24"/>
          <w:szCs w:val="24"/>
        </w:rPr>
      </w:pPr>
      <w:r>
        <w:drawing>
          <wp:inline distT="0" distB="0" distL="0" distR="0">
            <wp:extent cx="5280025" cy="240855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30"/>
                    <a:stretch>
                      <a:fillRect/>
                    </a:stretch>
                  </pic:blipFill>
                  <pic:spPr>
                    <a:xfrm>
                      <a:off x="0" y="0"/>
                      <a:ext cx="5285314" cy="2411424"/>
                    </a:xfrm>
                    <a:prstGeom prst="rect">
                      <a:avLst/>
                    </a:prstGeom>
                  </pic:spPr>
                </pic:pic>
              </a:graphicData>
            </a:graphic>
          </wp:inline>
        </w:drawing>
      </w:r>
    </w:p>
    <w:p w14:paraId="372A94C4">
      <w:pPr>
        <w:jc w:val="center"/>
        <w:rPr>
          <w:rFonts w:ascii="Arial" w:hAnsi="Arial" w:eastAsia="宋体" w:cs="Arial"/>
          <w:b/>
          <w:sz w:val="24"/>
          <w:szCs w:val="24"/>
          <w:u w:val="single"/>
        </w:rPr>
      </w:pPr>
      <w:r>
        <w:rPr>
          <w:rFonts w:hint="eastAsia" w:ascii="Arial" w:hAnsi="Arial" w:eastAsia="宋体" w:cs="Arial"/>
          <w:b/>
          <w:sz w:val="24"/>
          <w:szCs w:val="24"/>
          <w:u w:val="single"/>
        </w:rPr>
        <w:t>图4.3-5  氨大气伤害概率估算（最不利气象）</w:t>
      </w:r>
    </w:p>
    <w:p w14:paraId="779A02E2">
      <w:pPr>
        <w:jc w:val="center"/>
        <w:rPr>
          <w:rFonts w:ascii="Arial" w:hAnsi="Arial" w:eastAsia="宋体" w:cs="Arial"/>
          <w:b/>
          <w:sz w:val="24"/>
          <w:szCs w:val="24"/>
        </w:rPr>
      </w:pPr>
      <w:r>
        <w:drawing>
          <wp:inline distT="0" distB="0" distL="0" distR="0">
            <wp:extent cx="5361305" cy="24257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31"/>
                    <a:stretch>
                      <a:fillRect/>
                    </a:stretch>
                  </pic:blipFill>
                  <pic:spPr>
                    <a:xfrm>
                      <a:off x="0" y="0"/>
                      <a:ext cx="5366578" cy="2428004"/>
                    </a:xfrm>
                    <a:prstGeom prst="rect">
                      <a:avLst/>
                    </a:prstGeom>
                  </pic:spPr>
                </pic:pic>
              </a:graphicData>
            </a:graphic>
          </wp:inline>
        </w:drawing>
      </w:r>
    </w:p>
    <w:p w14:paraId="6A6D9694">
      <w:pPr>
        <w:spacing w:line="500" w:lineRule="exact"/>
        <w:ind w:firstLine="489"/>
        <w:jc w:val="center"/>
        <w:rPr>
          <w:rFonts w:ascii="Arial" w:hAnsi="Arial" w:eastAsia="宋体" w:cs="Arial"/>
          <w:b/>
          <w:sz w:val="24"/>
          <w:szCs w:val="24"/>
          <w:u w:val="single"/>
        </w:rPr>
      </w:pPr>
      <w:r>
        <w:rPr>
          <w:rFonts w:hint="eastAsia" w:ascii="Arial" w:hAnsi="Arial" w:eastAsia="宋体" w:cs="Arial"/>
          <w:b/>
          <w:sz w:val="24"/>
          <w:szCs w:val="24"/>
          <w:u w:val="single"/>
        </w:rPr>
        <w:t>图4.3-6  氨大气伤害概率估算（常见气象）</w:t>
      </w:r>
    </w:p>
    <w:p w14:paraId="09369CFC">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氨水泄漏事故后果基本信息表</w:t>
      </w:r>
    </w:p>
    <w:tbl>
      <w:tblPr>
        <w:tblStyle w:val="88"/>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
        <w:gridCol w:w="591"/>
        <w:gridCol w:w="468"/>
        <w:gridCol w:w="1031"/>
        <w:gridCol w:w="1222"/>
        <w:gridCol w:w="467"/>
        <w:gridCol w:w="1092"/>
        <w:gridCol w:w="217"/>
        <w:gridCol w:w="1484"/>
        <w:gridCol w:w="15"/>
        <w:gridCol w:w="1499"/>
      </w:tblGrid>
      <w:tr w14:paraId="0461A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8" w:type="dxa"/>
            <w:gridSpan w:val="2"/>
            <w:vAlign w:val="center"/>
          </w:tcPr>
          <w:p w14:paraId="0F3134A2">
            <w:pPr>
              <w:adjustRightInd w:val="0"/>
              <w:snapToGrid w:val="0"/>
              <w:jc w:val="center"/>
              <w:rPr>
                <w:rFonts w:ascii="Arial" w:hAnsi="Arial" w:eastAsia="宋体" w:cs="Arial"/>
                <w:sz w:val="21"/>
                <w:szCs w:val="21"/>
              </w:rPr>
            </w:pPr>
            <w:r>
              <w:rPr>
                <w:rFonts w:ascii="Arial" w:hAnsi="Arial" w:eastAsia="宋体" w:cs="Arial"/>
                <w:sz w:val="21"/>
                <w:szCs w:val="21"/>
              </w:rPr>
              <w:t>事故情形描述</w:t>
            </w:r>
          </w:p>
        </w:tc>
        <w:tc>
          <w:tcPr>
            <w:tcW w:w="7495" w:type="dxa"/>
            <w:gridSpan w:val="9"/>
            <w:vAlign w:val="center"/>
          </w:tcPr>
          <w:p w14:paraId="6DBCF075">
            <w:pPr>
              <w:adjustRightInd w:val="0"/>
              <w:snapToGrid w:val="0"/>
              <w:jc w:val="center"/>
              <w:rPr>
                <w:rFonts w:ascii="Arial" w:hAnsi="Arial" w:eastAsia="宋体" w:cs="Arial"/>
                <w:sz w:val="21"/>
                <w:szCs w:val="21"/>
              </w:rPr>
            </w:pPr>
            <w:r>
              <w:rPr>
                <w:rFonts w:hint="eastAsia" w:ascii="Arial" w:hAnsi="Arial" w:eastAsia="宋体" w:cs="Arial"/>
                <w:sz w:val="21"/>
                <w:szCs w:val="21"/>
              </w:rPr>
              <w:t>氨水</w:t>
            </w:r>
            <w:r>
              <w:rPr>
                <w:rFonts w:ascii="Arial" w:hAnsi="Arial" w:eastAsia="宋体" w:cs="Arial"/>
                <w:sz w:val="21"/>
                <w:szCs w:val="21"/>
              </w:rPr>
              <w:t>泄漏</w:t>
            </w:r>
          </w:p>
        </w:tc>
      </w:tr>
      <w:tr w14:paraId="4C6EB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8" w:type="dxa"/>
            <w:gridSpan w:val="2"/>
            <w:vAlign w:val="center"/>
          </w:tcPr>
          <w:p w14:paraId="327F3A5E">
            <w:pPr>
              <w:adjustRightInd w:val="0"/>
              <w:snapToGrid w:val="0"/>
              <w:jc w:val="center"/>
              <w:rPr>
                <w:rFonts w:ascii="Arial" w:hAnsi="Arial" w:eastAsia="宋体" w:cs="Arial"/>
                <w:sz w:val="21"/>
                <w:szCs w:val="21"/>
              </w:rPr>
            </w:pPr>
            <w:r>
              <w:rPr>
                <w:rFonts w:ascii="Arial" w:hAnsi="Arial" w:eastAsia="宋体" w:cs="Arial"/>
                <w:sz w:val="21"/>
                <w:szCs w:val="21"/>
              </w:rPr>
              <w:t>泄漏设备类型</w:t>
            </w:r>
          </w:p>
        </w:tc>
        <w:tc>
          <w:tcPr>
            <w:tcW w:w="1499" w:type="dxa"/>
            <w:gridSpan w:val="2"/>
            <w:vAlign w:val="center"/>
          </w:tcPr>
          <w:p w14:paraId="55EF044F">
            <w:pPr>
              <w:adjustRightInd w:val="0"/>
              <w:snapToGrid w:val="0"/>
              <w:jc w:val="center"/>
              <w:rPr>
                <w:rFonts w:ascii="Arial" w:hAnsi="Arial" w:eastAsia="宋体" w:cs="Arial"/>
                <w:sz w:val="21"/>
                <w:szCs w:val="21"/>
              </w:rPr>
            </w:pPr>
            <w:r>
              <w:rPr>
                <w:rFonts w:hint="eastAsia" w:ascii="Arial" w:hAnsi="Arial" w:eastAsia="宋体" w:cs="Arial"/>
                <w:sz w:val="21"/>
                <w:szCs w:val="21"/>
              </w:rPr>
              <w:t>氨水罐</w:t>
            </w:r>
          </w:p>
        </w:tc>
        <w:tc>
          <w:tcPr>
            <w:tcW w:w="1689" w:type="dxa"/>
            <w:gridSpan w:val="2"/>
            <w:vAlign w:val="center"/>
          </w:tcPr>
          <w:p w14:paraId="4D853493">
            <w:pPr>
              <w:adjustRightInd w:val="0"/>
              <w:snapToGrid w:val="0"/>
              <w:jc w:val="center"/>
              <w:rPr>
                <w:rFonts w:ascii="Arial" w:hAnsi="Arial" w:eastAsia="宋体" w:cs="Arial"/>
                <w:sz w:val="21"/>
                <w:szCs w:val="21"/>
              </w:rPr>
            </w:pPr>
            <w:r>
              <w:rPr>
                <w:rFonts w:ascii="Arial" w:hAnsi="Arial" w:eastAsia="宋体" w:cs="Arial"/>
                <w:sz w:val="21"/>
                <w:szCs w:val="21"/>
              </w:rPr>
              <w:t>操作温度/</w:t>
            </w:r>
            <w:r>
              <w:rPr>
                <w:rFonts w:hint="eastAsia" w:ascii="宋体" w:hAnsi="宋体" w:eastAsia="宋体" w:cs="宋体"/>
                <w:sz w:val="21"/>
                <w:szCs w:val="21"/>
              </w:rPr>
              <w:t>℃</w:t>
            </w:r>
          </w:p>
        </w:tc>
        <w:tc>
          <w:tcPr>
            <w:tcW w:w="1309" w:type="dxa"/>
            <w:gridSpan w:val="2"/>
            <w:vAlign w:val="center"/>
          </w:tcPr>
          <w:p w14:paraId="0A3EB822">
            <w:pPr>
              <w:adjustRightInd w:val="0"/>
              <w:snapToGrid w:val="0"/>
              <w:jc w:val="center"/>
              <w:rPr>
                <w:rFonts w:ascii="Arial" w:hAnsi="Arial" w:eastAsia="宋体" w:cs="Arial"/>
                <w:sz w:val="21"/>
                <w:szCs w:val="21"/>
              </w:rPr>
            </w:pPr>
            <w:r>
              <w:rPr>
                <w:rFonts w:hint="eastAsia" w:ascii="Arial" w:hAnsi="Arial" w:eastAsia="宋体" w:cs="Arial"/>
                <w:sz w:val="21"/>
                <w:szCs w:val="21"/>
              </w:rPr>
              <w:t>25</w:t>
            </w:r>
          </w:p>
        </w:tc>
        <w:tc>
          <w:tcPr>
            <w:tcW w:w="1499" w:type="dxa"/>
            <w:gridSpan w:val="2"/>
            <w:vAlign w:val="center"/>
          </w:tcPr>
          <w:p w14:paraId="232AA3D4">
            <w:pPr>
              <w:adjustRightInd w:val="0"/>
              <w:snapToGrid w:val="0"/>
              <w:jc w:val="center"/>
              <w:rPr>
                <w:rFonts w:ascii="Arial" w:hAnsi="Arial" w:eastAsia="宋体" w:cs="Arial"/>
                <w:sz w:val="21"/>
                <w:szCs w:val="21"/>
              </w:rPr>
            </w:pPr>
            <w:r>
              <w:rPr>
                <w:rFonts w:ascii="Arial" w:hAnsi="Arial" w:eastAsia="宋体" w:cs="Arial"/>
                <w:sz w:val="21"/>
                <w:szCs w:val="21"/>
              </w:rPr>
              <w:t>操作压力/MPa</w:t>
            </w:r>
          </w:p>
        </w:tc>
        <w:tc>
          <w:tcPr>
            <w:tcW w:w="1499" w:type="dxa"/>
            <w:vAlign w:val="center"/>
          </w:tcPr>
          <w:p w14:paraId="35DBCDB0">
            <w:pPr>
              <w:adjustRightInd w:val="0"/>
              <w:snapToGrid w:val="0"/>
              <w:jc w:val="center"/>
              <w:rPr>
                <w:rFonts w:ascii="Arial" w:hAnsi="Arial" w:eastAsia="宋体" w:cs="Arial"/>
                <w:sz w:val="21"/>
                <w:szCs w:val="21"/>
              </w:rPr>
            </w:pPr>
            <w:r>
              <w:rPr>
                <w:rFonts w:hint="eastAsia" w:ascii="Arial" w:hAnsi="Arial" w:eastAsia="宋体" w:cs="Arial"/>
                <w:sz w:val="21"/>
                <w:szCs w:val="21"/>
              </w:rPr>
              <w:t>常压</w:t>
            </w:r>
          </w:p>
        </w:tc>
      </w:tr>
      <w:tr w14:paraId="48523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8" w:type="dxa"/>
            <w:gridSpan w:val="2"/>
            <w:vAlign w:val="center"/>
          </w:tcPr>
          <w:p w14:paraId="4DBC0EBE">
            <w:pPr>
              <w:adjustRightInd w:val="0"/>
              <w:snapToGrid w:val="0"/>
              <w:jc w:val="center"/>
              <w:rPr>
                <w:rFonts w:ascii="Arial" w:hAnsi="Arial" w:eastAsia="宋体" w:cs="Arial"/>
                <w:sz w:val="21"/>
                <w:szCs w:val="21"/>
              </w:rPr>
            </w:pPr>
            <w:r>
              <w:rPr>
                <w:rFonts w:ascii="Arial" w:hAnsi="Arial" w:eastAsia="宋体" w:cs="Arial"/>
                <w:sz w:val="21"/>
                <w:szCs w:val="21"/>
              </w:rPr>
              <w:t>泄漏危险物质</w:t>
            </w:r>
          </w:p>
        </w:tc>
        <w:tc>
          <w:tcPr>
            <w:tcW w:w="1499" w:type="dxa"/>
            <w:gridSpan w:val="2"/>
            <w:vAlign w:val="center"/>
          </w:tcPr>
          <w:p w14:paraId="428E5AC7">
            <w:pPr>
              <w:adjustRightInd w:val="0"/>
              <w:snapToGrid w:val="0"/>
              <w:jc w:val="center"/>
              <w:rPr>
                <w:rFonts w:ascii="Arial" w:hAnsi="Arial" w:eastAsia="宋体" w:cs="Arial"/>
                <w:sz w:val="21"/>
                <w:szCs w:val="21"/>
              </w:rPr>
            </w:pPr>
            <w:r>
              <w:rPr>
                <w:rFonts w:hint="eastAsia" w:ascii="Arial" w:hAnsi="Arial" w:eastAsia="宋体" w:cs="Arial"/>
                <w:sz w:val="21"/>
                <w:szCs w:val="21"/>
              </w:rPr>
              <w:t>氨水</w:t>
            </w:r>
          </w:p>
        </w:tc>
        <w:tc>
          <w:tcPr>
            <w:tcW w:w="1689" w:type="dxa"/>
            <w:gridSpan w:val="2"/>
            <w:vAlign w:val="center"/>
          </w:tcPr>
          <w:p w14:paraId="6A3D5045">
            <w:pPr>
              <w:adjustRightInd w:val="0"/>
              <w:snapToGrid w:val="0"/>
              <w:jc w:val="center"/>
              <w:rPr>
                <w:rFonts w:ascii="Arial" w:hAnsi="Arial" w:eastAsia="宋体" w:cs="Arial"/>
                <w:sz w:val="21"/>
                <w:szCs w:val="21"/>
              </w:rPr>
            </w:pPr>
            <w:r>
              <w:rPr>
                <w:rFonts w:ascii="Arial" w:hAnsi="Arial" w:eastAsia="宋体" w:cs="Arial"/>
                <w:sz w:val="21"/>
                <w:szCs w:val="21"/>
              </w:rPr>
              <w:t>最大存在量</w:t>
            </w:r>
          </w:p>
        </w:tc>
        <w:tc>
          <w:tcPr>
            <w:tcW w:w="1309" w:type="dxa"/>
            <w:gridSpan w:val="2"/>
            <w:vAlign w:val="center"/>
          </w:tcPr>
          <w:p w14:paraId="4D3D47F3">
            <w:pPr>
              <w:adjustRightInd w:val="0"/>
              <w:snapToGrid w:val="0"/>
              <w:jc w:val="center"/>
              <w:rPr>
                <w:rFonts w:ascii="Arial" w:hAnsi="Arial" w:eastAsia="宋体" w:cs="Arial"/>
                <w:sz w:val="21"/>
                <w:szCs w:val="21"/>
              </w:rPr>
            </w:pPr>
            <w:r>
              <w:rPr>
                <w:rFonts w:hint="eastAsia" w:ascii="Arial" w:hAnsi="Arial" w:eastAsia="宋体" w:cs="Arial"/>
                <w:sz w:val="21"/>
                <w:szCs w:val="21"/>
              </w:rPr>
              <w:t>4.1</w:t>
            </w:r>
            <w:r>
              <w:rPr>
                <w:rFonts w:ascii="Arial" w:hAnsi="Arial" w:eastAsia="宋体" w:cs="Arial"/>
                <w:sz w:val="21"/>
                <w:szCs w:val="21"/>
              </w:rPr>
              <w:t>t</w:t>
            </w:r>
          </w:p>
        </w:tc>
        <w:tc>
          <w:tcPr>
            <w:tcW w:w="1499" w:type="dxa"/>
            <w:gridSpan w:val="2"/>
            <w:vAlign w:val="center"/>
          </w:tcPr>
          <w:p w14:paraId="42FE09CC">
            <w:pPr>
              <w:adjustRightInd w:val="0"/>
              <w:snapToGrid w:val="0"/>
              <w:jc w:val="center"/>
              <w:rPr>
                <w:rFonts w:ascii="Arial" w:hAnsi="Arial" w:eastAsia="宋体" w:cs="Arial"/>
                <w:sz w:val="21"/>
                <w:szCs w:val="21"/>
              </w:rPr>
            </w:pPr>
            <w:r>
              <w:rPr>
                <w:rFonts w:ascii="Arial" w:hAnsi="Arial" w:eastAsia="宋体" w:cs="Arial"/>
                <w:sz w:val="21"/>
                <w:szCs w:val="21"/>
              </w:rPr>
              <w:t>泄漏孔径/mm</w:t>
            </w:r>
          </w:p>
        </w:tc>
        <w:tc>
          <w:tcPr>
            <w:tcW w:w="1499" w:type="dxa"/>
            <w:vAlign w:val="center"/>
          </w:tcPr>
          <w:p w14:paraId="26CAACC1">
            <w:pPr>
              <w:adjustRightInd w:val="0"/>
              <w:snapToGrid w:val="0"/>
              <w:jc w:val="center"/>
              <w:rPr>
                <w:rFonts w:ascii="Arial" w:hAnsi="Arial" w:eastAsia="宋体" w:cs="Arial"/>
                <w:sz w:val="21"/>
                <w:szCs w:val="21"/>
              </w:rPr>
            </w:pPr>
            <w:r>
              <w:rPr>
                <w:rFonts w:hint="eastAsia" w:ascii="Arial" w:hAnsi="Arial" w:eastAsia="宋体" w:cs="Arial"/>
                <w:sz w:val="21"/>
                <w:szCs w:val="21"/>
              </w:rPr>
              <w:t>全罐泄漏</w:t>
            </w:r>
          </w:p>
        </w:tc>
      </w:tr>
      <w:tr w14:paraId="12642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8" w:type="dxa"/>
            <w:gridSpan w:val="2"/>
            <w:vAlign w:val="center"/>
          </w:tcPr>
          <w:p w14:paraId="1482B8CB">
            <w:pPr>
              <w:adjustRightInd w:val="0"/>
              <w:snapToGrid w:val="0"/>
              <w:jc w:val="center"/>
              <w:rPr>
                <w:rFonts w:ascii="Arial" w:hAnsi="Arial" w:eastAsia="宋体" w:cs="Arial"/>
                <w:sz w:val="21"/>
                <w:szCs w:val="21"/>
              </w:rPr>
            </w:pPr>
            <w:r>
              <w:rPr>
                <w:rFonts w:ascii="Arial" w:hAnsi="Arial" w:eastAsia="宋体" w:cs="Arial"/>
                <w:sz w:val="21"/>
                <w:szCs w:val="21"/>
              </w:rPr>
              <w:t>质量蒸发速率</w:t>
            </w:r>
          </w:p>
        </w:tc>
        <w:tc>
          <w:tcPr>
            <w:tcW w:w="1499" w:type="dxa"/>
            <w:gridSpan w:val="2"/>
            <w:vAlign w:val="center"/>
          </w:tcPr>
          <w:p w14:paraId="75F7FCFD">
            <w:pPr>
              <w:adjustRightInd w:val="0"/>
              <w:snapToGrid w:val="0"/>
              <w:jc w:val="center"/>
              <w:rPr>
                <w:rFonts w:ascii="Arial" w:hAnsi="Arial" w:eastAsia="宋体" w:cs="Arial"/>
                <w:sz w:val="21"/>
                <w:szCs w:val="21"/>
              </w:rPr>
            </w:pPr>
            <w:r>
              <w:rPr>
                <w:rFonts w:hint="eastAsia" w:ascii="Arial" w:hAnsi="Arial" w:eastAsia="宋体" w:cs="Arial"/>
                <w:sz w:val="21"/>
                <w:szCs w:val="21"/>
              </w:rPr>
              <w:t>0.014kg/s</w:t>
            </w:r>
          </w:p>
          <w:p w14:paraId="45B16D6C">
            <w:pPr>
              <w:adjustRightInd w:val="0"/>
              <w:snapToGrid w:val="0"/>
              <w:jc w:val="center"/>
              <w:rPr>
                <w:rFonts w:ascii="Arial" w:hAnsi="Arial" w:eastAsia="宋体" w:cs="Arial"/>
                <w:sz w:val="21"/>
                <w:szCs w:val="21"/>
              </w:rPr>
            </w:pPr>
            <w:r>
              <w:rPr>
                <w:rFonts w:hint="eastAsia" w:ascii="Arial" w:hAnsi="Arial" w:eastAsia="宋体" w:cs="Arial"/>
                <w:sz w:val="21"/>
                <w:szCs w:val="21"/>
              </w:rPr>
              <w:t>0.022kg/s</w:t>
            </w:r>
          </w:p>
        </w:tc>
        <w:tc>
          <w:tcPr>
            <w:tcW w:w="1689" w:type="dxa"/>
            <w:gridSpan w:val="2"/>
            <w:vAlign w:val="center"/>
          </w:tcPr>
          <w:p w14:paraId="42BF9749">
            <w:pPr>
              <w:adjustRightInd w:val="0"/>
              <w:snapToGrid w:val="0"/>
              <w:jc w:val="center"/>
              <w:rPr>
                <w:rFonts w:ascii="Arial" w:hAnsi="Arial" w:eastAsia="宋体" w:cs="Arial"/>
                <w:sz w:val="21"/>
                <w:szCs w:val="21"/>
              </w:rPr>
            </w:pPr>
            <w:r>
              <w:rPr>
                <w:rFonts w:ascii="Arial" w:hAnsi="Arial" w:eastAsia="宋体" w:cs="Arial"/>
                <w:sz w:val="21"/>
                <w:szCs w:val="21"/>
              </w:rPr>
              <w:t>释放时间</w:t>
            </w:r>
          </w:p>
        </w:tc>
        <w:tc>
          <w:tcPr>
            <w:tcW w:w="1309" w:type="dxa"/>
            <w:gridSpan w:val="2"/>
            <w:vAlign w:val="center"/>
          </w:tcPr>
          <w:p w14:paraId="4B1B9732">
            <w:pPr>
              <w:adjustRightInd w:val="0"/>
              <w:snapToGrid w:val="0"/>
              <w:jc w:val="center"/>
              <w:rPr>
                <w:rFonts w:ascii="Arial" w:hAnsi="Arial" w:eastAsia="宋体" w:cs="Arial"/>
                <w:sz w:val="21"/>
                <w:szCs w:val="21"/>
              </w:rPr>
            </w:pPr>
            <w:r>
              <w:rPr>
                <w:rFonts w:hint="eastAsia" w:ascii="Arial" w:hAnsi="Arial" w:eastAsia="宋体" w:cs="Arial"/>
                <w:sz w:val="21"/>
                <w:szCs w:val="21"/>
              </w:rPr>
              <w:t>3</w:t>
            </w:r>
            <w:r>
              <w:rPr>
                <w:rFonts w:ascii="Arial" w:hAnsi="Arial" w:eastAsia="宋体" w:cs="Arial"/>
                <w:sz w:val="21"/>
                <w:szCs w:val="21"/>
              </w:rPr>
              <w:t>0min</w:t>
            </w:r>
          </w:p>
        </w:tc>
        <w:tc>
          <w:tcPr>
            <w:tcW w:w="1499" w:type="dxa"/>
            <w:gridSpan w:val="2"/>
            <w:vAlign w:val="center"/>
          </w:tcPr>
          <w:p w14:paraId="7C844488">
            <w:pPr>
              <w:adjustRightInd w:val="0"/>
              <w:snapToGrid w:val="0"/>
              <w:jc w:val="center"/>
              <w:rPr>
                <w:rFonts w:ascii="Arial" w:hAnsi="Arial" w:eastAsia="宋体" w:cs="Arial"/>
                <w:sz w:val="21"/>
                <w:szCs w:val="21"/>
              </w:rPr>
            </w:pPr>
            <w:r>
              <w:rPr>
                <w:rFonts w:ascii="Arial" w:hAnsi="Arial" w:eastAsia="宋体" w:cs="Arial"/>
                <w:sz w:val="21"/>
                <w:szCs w:val="21"/>
              </w:rPr>
              <w:t>泄漏量/kg</w:t>
            </w:r>
          </w:p>
        </w:tc>
        <w:tc>
          <w:tcPr>
            <w:tcW w:w="1499" w:type="dxa"/>
            <w:vAlign w:val="center"/>
          </w:tcPr>
          <w:p w14:paraId="794620C5">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r>
      <w:tr w14:paraId="03792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8" w:type="dxa"/>
            <w:gridSpan w:val="2"/>
            <w:vAlign w:val="center"/>
          </w:tcPr>
          <w:p w14:paraId="262F5225">
            <w:pPr>
              <w:adjustRightInd w:val="0"/>
              <w:snapToGrid w:val="0"/>
              <w:jc w:val="center"/>
              <w:rPr>
                <w:rFonts w:ascii="Arial" w:hAnsi="Arial" w:eastAsia="宋体" w:cs="Arial"/>
                <w:sz w:val="21"/>
                <w:szCs w:val="21"/>
              </w:rPr>
            </w:pPr>
            <w:r>
              <w:rPr>
                <w:rFonts w:ascii="Arial" w:hAnsi="Arial" w:eastAsia="宋体" w:cs="Arial"/>
                <w:sz w:val="21"/>
                <w:szCs w:val="21"/>
              </w:rPr>
              <w:t>泄漏高度</w:t>
            </w:r>
          </w:p>
        </w:tc>
        <w:tc>
          <w:tcPr>
            <w:tcW w:w="1499" w:type="dxa"/>
            <w:gridSpan w:val="2"/>
            <w:vAlign w:val="center"/>
          </w:tcPr>
          <w:p w14:paraId="006F15BC">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689" w:type="dxa"/>
            <w:gridSpan w:val="2"/>
            <w:vAlign w:val="center"/>
          </w:tcPr>
          <w:p w14:paraId="40A17AEE">
            <w:pPr>
              <w:adjustRightInd w:val="0"/>
              <w:snapToGrid w:val="0"/>
              <w:jc w:val="center"/>
              <w:rPr>
                <w:rFonts w:ascii="Arial" w:hAnsi="Arial" w:eastAsia="宋体" w:cs="Arial"/>
                <w:sz w:val="21"/>
                <w:szCs w:val="21"/>
              </w:rPr>
            </w:pPr>
            <w:r>
              <w:rPr>
                <w:rFonts w:ascii="Arial" w:hAnsi="Arial" w:eastAsia="宋体" w:cs="Arial"/>
                <w:sz w:val="21"/>
                <w:szCs w:val="21"/>
              </w:rPr>
              <w:t>泄漏液体蒸发量</w:t>
            </w:r>
          </w:p>
        </w:tc>
        <w:tc>
          <w:tcPr>
            <w:tcW w:w="1309" w:type="dxa"/>
            <w:gridSpan w:val="2"/>
            <w:vAlign w:val="center"/>
          </w:tcPr>
          <w:p w14:paraId="0DF5C7B2">
            <w:pPr>
              <w:spacing w:line="240" w:lineRule="exact"/>
              <w:jc w:val="center"/>
              <w:rPr>
                <w:rFonts w:ascii="Arial" w:hAnsi="Arial" w:eastAsia="宋体" w:cs="Arial"/>
                <w:sz w:val="21"/>
                <w:szCs w:val="21"/>
              </w:rPr>
            </w:pPr>
            <w:r>
              <w:rPr>
                <w:rFonts w:hint="eastAsia" w:ascii="Arial" w:hAnsi="Arial" w:eastAsia="宋体" w:cs="Arial"/>
                <w:sz w:val="21"/>
                <w:szCs w:val="21"/>
              </w:rPr>
              <w:t>25.2kg</w:t>
            </w:r>
          </w:p>
          <w:p w14:paraId="28FA9E54">
            <w:pPr>
              <w:adjustRightInd w:val="0"/>
              <w:snapToGrid w:val="0"/>
              <w:jc w:val="center"/>
              <w:rPr>
                <w:rFonts w:ascii="Arial" w:hAnsi="Arial" w:eastAsia="宋体" w:cs="Arial"/>
                <w:sz w:val="21"/>
                <w:szCs w:val="21"/>
              </w:rPr>
            </w:pPr>
            <w:r>
              <w:rPr>
                <w:rFonts w:hint="eastAsia" w:ascii="Arial" w:hAnsi="Arial" w:eastAsia="宋体" w:cs="Arial"/>
                <w:sz w:val="21"/>
                <w:szCs w:val="21"/>
              </w:rPr>
              <w:t>39.6kg</w:t>
            </w:r>
          </w:p>
        </w:tc>
        <w:tc>
          <w:tcPr>
            <w:tcW w:w="1499" w:type="dxa"/>
            <w:gridSpan w:val="2"/>
            <w:vAlign w:val="center"/>
          </w:tcPr>
          <w:p w14:paraId="3198CBDE">
            <w:pPr>
              <w:adjustRightInd w:val="0"/>
              <w:snapToGrid w:val="0"/>
              <w:jc w:val="center"/>
              <w:rPr>
                <w:rFonts w:ascii="Arial" w:hAnsi="Arial" w:eastAsia="宋体" w:cs="Arial"/>
                <w:sz w:val="21"/>
                <w:szCs w:val="21"/>
              </w:rPr>
            </w:pPr>
            <w:r>
              <w:rPr>
                <w:rFonts w:ascii="Arial" w:hAnsi="Arial" w:eastAsia="宋体" w:cs="Arial"/>
                <w:sz w:val="21"/>
                <w:szCs w:val="21"/>
              </w:rPr>
              <w:t>泄漏频率</w:t>
            </w:r>
          </w:p>
        </w:tc>
        <w:tc>
          <w:tcPr>
            <w:tcW w:w="1499" w:type="dxa"/>
            <w:vAlign w:val="center"/>
          </w:tcPr>
          <w:p w14:paraId="4DD1C4D6">
            <w:pPr>
              <w:adjustRightInd w:val="0"/>
              <w:snapToGrid w:val="0"/>
              <w:jc w:val="center"/>
              <w:rPr>
                <w:rFonts w:ascii="Arial" w:hAnsi="Arial" w:eastAsia="宋体" w:cs="Arial"/>
                <w:sz w:val="21"/>
                <w:szCs w:val="21"/>
              </w:rPr>
            </w:pPr>
            <w:r>
              <w:rPr>
                <w:rFonts w:hint="eastAsia" w:ascii="Arial" w:hAnsi="Arial" w:eastAsia="宋体" w:cs="Arial"/>
                <w:sz w:val="21"/>
                <w:szCs w:val="21"/>
              </w:rPr>
              <w:t>5</w:t>
            </w:r>
            <w:r>
              <w:rPr>
                <w:rFonts w:ascii="Arial" w:hAnsi="Arial" w:eastAsia="宋体" w:cs="Arial"/>
                <w:sz w:val="21"/>
                <w:szCs w:val="21"/>
              </w:rPr>
              <w:t>×10</w:t>
            </w:r>
            <w:r>
              <w:rPr>
                <w:rFonts w:ascii="Arial" w:hAnsi="Arial" w:eastAsia="宋体" w:cs="Arial"/>
                <w:sz w:val="21"/>
                <w:szCs w:val="21"/>
                <w:vertAlign w:val="superscript"/>
              </w:rPr>
              <w:t>-</w:t>
            </w:r>
            <w:r>
              <w:rPr>
                <w:rFonts w:hint="eastAsia" w:ascii="Arial" w:hAnsi="Arial" w:eastAsia="宋体" w:cs="Arial"/>
                <w:sz w:val="21"/>
                <w:szCs w:val="21"/>
                <w:vertAlign w:val="superscript"/>
              </w:rPr>
              <w:t>5</w:t>
            </w:r>
            <w:r>
              <w:rPr>
                <w:rFonts w:ascii="Arial" w:hAnsi="Arial" w:eastAsia="宋体" w:cs="Arial"/>
                <w:sz w:val="21"/>
                <w:szCs w:val="21"/>
              </w:rPr>
              <w:t>/a</w:t>
            </w:r>
          </w:p>
        </w:tc>
      </w:tr>
      <w:tr w14:paraId="49930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Align w:val="center"/>
          </w:tcPr>
          <w:p w14:paraId="58E5A6FD">
            <w:pPr>
              <w:adjustRightInd w:val="0"/>
              <w:snapToGrid w:val="0"/>
              <w:jc w:val="center"/>
              <w:rPr>
                <w:rFonts w:ascii="Arial" w:hAnsi="Arial" w:eastAsia="宋体" w:cs="Arial"/>
                <w:sz w:val="21"/>
                <w:szCs w:val="21"/>
              </w:rPr>
            </w:pPr>
            <w:r>
              <w:rPr>
                <w:rFonts w:ascii="Arial" w:hAnsi="Arial" w:eastAsia="宋体" w:cs="Arial"/>
                <w:sz w:val="21"/>
                <w:szCs w:val="21"/>
              </w:rPr>
              <w:t>危险</w:t>
            </w:r>
          </w:p>
          <w:p w14:paraId="7D442454">
            <w:pPr>
              <w:adjustRightInd w:val="0"/>
              <w:snapToGrid w:val="0"/>
              <w:jc w:val="center"/>
              <w:rPr>
                <w:rFonts w:ascii="Arial" w:hAnsi="Arial" w:eastAsia="宋体" w:cs="Arial"/>
                <w:sz w:val="21"/>
                <w:szCs w:val="21"/>
              </w:rPr>
            </w:pPr>
            <w:r>
              <w:rPr>
                <w:rFonts w:ascii="Arial" w:hAnsi="Arial" w:eastAsia="宋体" w:cs="Arial"/>
                <w:sz w:val="21"/>
                <w:szCs w:val="21"/>
              </w:rPr>
              <w:t>物质</w:t>
            </w:r>
          </w:p>
        </w:tc>
        <w:tc>
          <w:tcPr>
            <w:tcW w:w="1059" w:type="dxa"/>
            <w:gridSpan w:val="2"/>
            <w:vAlign w:val="center"/>
          </w:tcPr>
          <w:p w14:paraId="3A32A45A">
            <w:pPr>
              <w:adjustRightInd w:val="0"/>
              <w:snapToGrid w:val="0"/>
              <w:jc w:val="center"/>
              <w:rPr>
                <w:rFonts w:ascii="Arial" w:hAnsi="Arial" w:eastAsia="宋体" w:cs="Arial"/>
                <w:sz w:val="21"/>
                <w:szCs w:val="21"/>
              </w:rPr>
            </w:pPr>
            <w:r>
              <w:rPr>
                <w:rFonts w:ascii="Arial" w:hAnsi="Arial" w:eastAsia="宋体" w:cs="Arial"/>
                <w:sz w:val="21"/>
                <w:szCs w:val="21"/>
              </w:rPr>
              <w:t>气象条件</w:t>
            </w:r>
          </w:p>
        </w:tc>
        <w:tc>
          <w:tcPr>
            <w:tcW w:w="7027" w:type="dxa"/>
            <w:gridSpan w:val="8"/>
            <w:vAlign w:val="center"/>
          </w:tcPr>
          <w:p w14:paraId="43D7D1A9">
            <w:pPr>
              <w:adjustRightInd w:val="0"/>
              <w:snapToGrid w:val="0"/>
              <w:jc w:val="center"/>
              <w:rPr>
                <w:rFonts w:ascii="Arial" w:hAnsi="Arial" w:eastAsia="宋体" w:cs="Arial"/>
                <w:sz w:val="21"/>
                <w:szCs w:val="21"/>
              </w:rPr>
            </w:pPr>
            <w:r>
              <w:rPr>
                <w:rFonts w:ascii="Arial" w:hAnsi="Arial" w:eastAsia="宋体" w:cs="Arial"/>
                <w:sz w:val="21"/>
                <w:szCs w:val="21"/>
              </w:rPr>
              <w:t>大气环境影响</w:t>
            </w:r>
          </w:p>
        </w:tc>
      </w:tr>
      <w:tr w14:paraId="4EDFD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restart"/>
            <w:vAlign w:val="center"/>
          </w:tcPr>
          <w:p w14:paraId="286883BE">
            <w:pPr>
              <w:adjustRightInd w:val="0"/>
              <w:snapToGrid w:val="0"/>
              <w:jc w:val="center"/>
              <w:rPr>
                <w:rFonts w:ascii="Arial" w:hAnsi="Arial" w:eastAsia="宋体" w:cs="Arial"/>
                <w:sz w:val="21"/>
                <w:szCs w:val="21"/>
              </w:rPr>
            </w:pPr>
            <w:r>
              <w:rPr>
                <w:rFonts w:hint="eastAsia" w:ascii="Arial" w:hAnsi="Arial" w:eastAsia="宋体" w:cs="Arial"/>
                <w:sz w:val="21"/>
                <w:szCs w:val="21"/>
              </w:rPr>
              <w:t>氨</w:t>
            </w:r>
          </w:p>
        </w:tc>
        <w:tc>
          <w:tcPr>
            <w:tcW w:w="1059" w:type="dxa"/>
            <w:gridSpan w:val="2"/>
            <w:vMerge w:val="restart"/>
            <w:vAlign w:val="center"/>
          </w:tcPr>
          <w:p w14:paraId="4C92D4F5">
            <w:pPr>
              <w:adjustRightInd w:val="0"/>
              <w:snapToGrid w:val="0"/>
              <w:jc w:val="center"/>
              <w:rPr>
                <w:rFonts w:ascii="Arial" w:hAnsi="Arial" w:eastAsia="宋体" w:cs="Arial"/>
                <w:sz w:val="21"/>
                <w:szCs w:val="21"/>
              </w:rPr>
            </w:pPr>
            <w:r>
              <w:rPr>
                <w:rFonts w:ascii="Arial" w:hAnsi="Arial" w:eastAsia="宋体" w:cs="Arial"/>
                <w:sz w:val="21"/>
                <w:szCs w:val="21"/>
              </w:rPr>
              <w:t>最不利气象条件</w:t>
            </w:r>
          </w:p>
        </w:tc>
        <w:tc>
          <w:tcPr>
            <w:tcW w:w="2253" w:type="dxa"/>
            <w:gridSpan w:val="2"/>
            <w:vAlign w:val="center"/>
          </w:tcPr>
          <w:p w14:paraId="3800990A">
            <w:pPr>
              <w:adjustRightInd w:val="0"/>
              <w:snapToGrid w:val="0"/>
              <w:jc w:val="center"/>
              <w:rPr>
                <w:rFonts w:ascii="Arial" w:hAnsi="Arial" w:eastAsia="宋体" w:cs="Arial"/>
                <w:sz w:val="21"/>
                <w:szCs w:val="21"/>
              </w:rPr>
            </w:pPr>
            <w:r>
              <w:rPr>
                <w:rFonts w:ascii="Arial" w:hAnsi="Arial" w:eastAsia="宋体" w:cs="Arial"/>
                <w:sz w:val="21"/>
                <w:szCs w:val="21"/>
              </w:rPr>
              <w:t>指标</w:t>
            </w:r>
          </w:p>
        </w:tc>
        <w:tc>
          <w:tcPr>
            <w:tcW w:w="1559" w:type="dxa"/>
            <w:gridSpan w:val="2"/>
            <w:vAlign w:val="center"/>
          </w:tcPr>
          <w:p w14:paraId="09FBECE7">
            <w:pPr>
              <w:adjustRightInd w:val="0"/>
              <w:snapToGrid w:val="0"/>
              <w:jc w:val="center"/>
              <w:rPr>
                <w:rFonts w:ascii="Arial" w:hAnsi="Arial" w:eastAsia="宋体" w:cs="Arial"/>
                <w:sz w:val="21"/>
                <w:szCs w:val="21"/>
              </w:rPr>
            </w:pPr>
            <w:r>
              <w:rPr>
                <w:rFonts w:ascii="Arial" w:hAnsi="Arial" w:eastAsia="宋体" w:cs="Arial"/>
                <w:sz w:val="21"/>
                <w:szCs w:val="21"/>
              </w:rPr>
              <w:t>浓度值（mg/m</w:t>
            </w:r>
            <w:r>
              <w:rPr>
                <w:rFonts w:ascii="Arial" w:hAnsi="Arial" w:eastAsia="宋体" w:cs="Arial"/>
                <w:sz w:val="21"/>
                <w:szCs w:val="21"/>
                <w:vertAlign w:val="superscript"/>
              </w:rPr>
              <w:t>3</w:t>
            </w:r>
            <w:r>
              <w:rPr>
                <w:rFonts w:ascii="Arial" w:hAnsi="Arial" w:eastAsia="宋体" w:cs="Arial"/>
                <w:sz w:val="21"/>
                <w:szCs w:val="21"/>
              </w:rPr>
              <w:t>）</w:t>
            </w:r>
          </w:p>
        </w:tc>
        <w:tc>
          <w:tcPr>
            <w:tcW w:w="1701" w:type="dxa"/>
            <w:gridSpan w:val="2"/>
            <w:vAlign w:val="center"/>
          </w:tcPr>
          <w:p w14:paraId="20BC0C59">
            <w:pPr>
              <w:adjustRightInd w:val="0"/>
              <w:snapToGrid w:val="0"/>
              <w:jc w:val="center"/>
              <w:rPr>
                <w:rFonts w:ascii="Arial" w:hAnsi="Arial" w:eastAsia="宋体" w:cs="Arial"/>
                <w:sz w:val="21"/>
                <w:szCs w:val="21"/>
              </w:rPr>
            </w:pPr>
            <w:r>
              <w:rPr>
                <w:rFonts w:ascii="Arial" w:hAnsi="Arial" w:eastAsia="宋体" w:cs="Arial"/>
                <w:sz w:val="21"/>
                <w:szCs w:val="21"/>
              </w:rPr>
              <w:t>最远影响距离/m</w:t>
            </w:r>
          </w:p>
        </w:tc>
        <w:tc>
          <w:tcPr>
            <w:tcW w:w="1514" w:type="dxa"/>
            <w:gridSpan w:val="2"/>
            <w:vAlign w:val="center"/>
          </w:tcPr>
          <w:p w14:paraId="69326F2C">
            <w:pPr>
              <w:adjustRightInd w:val="0"/>
              <w:snapToGrid w:val="0"/>
              <w:jc w:val="center"/>
              <w:rPr>
                <w:rFonts w:ascii="Arial" w:hAnsi="Arial" w:eastAsia="宋体" w:cs="Arial"/>
                <w:sz w:val="21"/>
                <w:szCs w:val="21"/>
              </w:rPr>
            </w:pPr>
            <w:r>
              <w:rPr>
                <w:rFonts w:ascii="Arial" w:hAnsi="Arial" w:eastAsia="宋体" w:cs="Arial"/>
                <w:sz w:val="21"/>
                <w:szCs w:val="21"/>
              </w:rPr>
              <w:t>到达时间/min</w:t>
            </w:r>
          </w:p>
        </w:tc>
      </w:tr>
      <w:tr w14:paraId="01E3C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7C6303BB">
            <w:pPr>
              <w:adjustRightInd w:val="0"/>
              <w:snapToGrid w:val="0"/>
              <w:jc w:val="center"/>
              <w:rPr>
                <w:rFonts w:ascii="Arial" w:hAnsi="Arial" w:eastAsia="宋体" w:cs="Arial"/>
                <w:sz w:val="21"/>
                <w:szCs w:val="21"/>
              </w:rPr>
            </w:pPr>
          </w:p>
        </w:tc>
        <w:tc>
          <w:tcPr>
            <w:tcW w:w="1059" w:type="dxa"/>
            <w:gridSpan w:val="2"/>
            <w:vMerge w:val="continue"/>
            <w:vAlign w:val="center"/>
          </w:tcPr>
          <w:p w14:paraId="7D9319FC">
            <w:pPr>
              <w:adjustRightInd w:val="0"/>
              <w:snapToGrid w:val="0"/>
              <w:jc w:val="center"/>
              <w:rPr>
                <w:rFonts w:ascii="Arial" w:hAnsi="Arial" w:eastAsia="宋体" w:cs="Arial"/>
                <w:sz w:val="21"/>
                <w:szCs w:val="21"/>
              </w:rPr>
            </w:pPr>
          </w:p>
        </w:tc>
        <w:tc>
          <w:tcPr>
            <w:tcW w:w="2253" w:type="dxa"/>
            <w:gridSpan w:val="2"/>
            <w:vAlign w:val="center"/>
          </w:tcPr>
          <w:p w14:paraId="0F58DEE6">
            <w:pPr>
              <w:adjustRightInd w:val="0"/>
              <w:snapToGrid w:val="0"/>
              <w:jc w:val="center"/>
              <w:rPr>
                <w:rFonts w:ascii="Arial" w:hAnsi="Arial" w:eastAsia="宋体" w:cs="Arial"/>
                <w:sz w:val="21"/>
                <w:szCs w:val="21"/>
              </w:rPr>
            </w:pPr>
            <w:r>
              <w:rPr>
                <w:rFonts w:ascii="Arial" w:hAnsi="Arial" w:eastAsia="宋体" w:cs="Arial"/>
                <w:sz w:val="21"/>
                <w:szCs w:val="21"/>
              </w:rPr>
              <w:t>大气毒性终点浓度-1</w:t>
            </w:r>
          </w:p>
        </w:tc>
        <w:tc>
          <w:tcPr>
            <w:tcW w:w="1559" w:type="dxa"/>
            <w:gridSpan w:val="2"/>
            <w:vAlign w:val="center"/>
          </w:tcPr>
          <w:p w14:paraId="5F6BC4E4">
            <w:pPr>
              <w:adjustRightInd w:val="0"/>
              <w:snapToGrid w:val="0"/>
              <w:jc w:val="center"/>
              <w:rPr>
                <w:rFonts w:ascii="Arial" w:hAnsi="Arial" w:eastAsia="宋体" w:cs="Arial"/>
                <w:sz w:val="21"/>
                <w:szCs w:val="21"/>
              </w:rPr>
            </w:pPr>
            <w:r>
              <w:rPr>
                <w:rFonts w:hint="eastAsia" w:ascii="Arial" w:hAnsi="Arial" w:eastAsia="宋体" w:cs="Arial"/>
                <w:sz w:val="21"/>
                <w:szCs w:val="21"/>
              </w:rPr>
              <w:t>770</w:t>
            </w:r>
          </w:p>
        </w:tc>
        <w:tc>
          <w:tcPr>
            <w:tcW w:w="1701" w:type="dxa"/>
            <w:gridSpan w:val="2"/>
            <w:vAlign w:val="center"/>
          </w:tcPr>
          <w:p w14:paraId="446D4687">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2F3791DE">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r>
      <w:tr w14:paraId="506A9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1BABE474">
            <w:pPr>
              <w:adjustRightInd w:val="0"/>
              <w:snapToGrid w:val="0"/>
              <w:jc w:val="center"/>
              <w:rPr>
                <w:rFonts w:ascii="Arial" w:hAnsi="Arial" w:eastAsia="宋体" w:cs="Arial"/>
                <w:sz w:val="21"/>
                <w:szCs w:val="21"/>
              </w:rPr>
            </w:pPr>
          </w:p>
        </w:tc>
        <w:tc>
          <w:tcPr>
            <w:tcW w:w="1059" w:type="dxa"/>
            <w:gridSpan w:val="2"/>
            <w:vMerge w:val="continue"/>
            <w:vAlign w:val="center"/>
          </w:tcPr>
          <w:p w14:paraId="2C680292">
            <w:pPr>
              <w:adjustRightInd w:val="0"/>
              <w:snapToGrid w:val="0"/>
              <w:jc w:val="center"/>
              <w:rPr>
                <w:rFonts w:ascii="Arial" w:hAnsi="Arial" w:eastAsia="宋体" w:cs="Arial"/>
                <w:sz w:val="21"/>
                <w:szCs w:val="21"/>
              </w:rPr>
            </w:pPr>
          </w:p>
        </w:tc>
        <w:tc>
          <w:tcPr>
            <w:tcW w:w="2253" w:type="dxa"/>
            <w:gridSpan w:val="2"/>
            <w:vAlign w:val="center"/>
          </w:tcPr>
          <w:p w14:paraId="2D377002">
            <w:pPr>
              <w:adjustRightInd w:val="0"/>
              <w:snapToGrid w:val="0"/>
              <w:jc w:val="center"/>
              <w:rPr>
                <w:rFonts w:ascii="Arial" w:hAnsi="Arial" w:eastAsia="宋体" w:cs="Arial"/>
                <w:sz w:val="21"/>
                <w:szCs w:val="21"/>
              </w:rPr>
            </w:pPr>
            <w:r>
              <w:rPr>
                <w:rFonts w:ascii="Arial" w:hAnsi="Arial" w:eastAsia="宋体" w:cs="Arial"/>
                <w:sz w:val="21"/>
                <w:szCs w:val="21"/>
              </w:rPr>
              <w:t>大气毒性终点浓度-2</w:t>
            </w:r>
          </w:p>
        </w:tc>
        <w:tc>
          <w:tcPr>
            <w:tcW w:w="1559" w:type="dxa"/>
            <w:gridSpan w:val="2"/>
            <w:vAlign w:val="center"/>
          </w:tcPr>
          <w:p w14:paraId="42D0D5D1">
            <w:pPr>
              <w:adjustRightInd w:val="0"/>
              <w:snapToGrid w:val="0"/>
              <w:jc w:val="center"/>
              <w:rPr>
                <w:rFonts w:ascii="Arial" w:hAnsi="Arial" w:eastAsia="宋体" w:cs="Arial"/>
                <w:sz w:val="21"/>
                <w:szCs w:val="21"/>
              </w:rPr>
            </w:pPr>
            <w:r>
              <w:rPr>
                <w:rFonts w:hint="eastAsia" w:ascii="Arial" w:hAnsi="Arial" w:eastAsia="宋体" w:cs="Arial"/>
                <w:sz w:val="21"/>
                <w:szCs w:val="21"/>
              </w:rPr>
              <w:t>110</w:t>
            </w:r>
          </w:p>
        </w:tc>
        <w:tc>
          <w:tcPr>
            <w:tcW w:w="1701" w:type="dxa"/>
            <w:gridSpan w:val="2"/>
            <w:vAlign w:val="center"/>
          </w:tcPr>
          <w:p w14:paraId="60A78BA4">
            <w:pPr>
              <w:adjustRightInd w:val="0"/>
              <w:snapToGrid w:val="0"/>
              <w:jc w:val="center"/>
              <w:rPr>
                <w:rFonts w:ascii="Arial" w:hAnsi="Arial" w:eastAsia="宋体" w:cs="Arial"/>
                <w:sz w:val="21"/>
                <w:szCs w:val="21"/>
              </w:rPr>
            </w:pPr>
            <w:r>
              <w:rPr>
                <w:rFonts w:hint="eastAsia" w:ascii="Arial" w:hAnsi="Arial" w:eastAsia="宋体" w:cs="Arial"/>
                <w:sz w:val="21"/>
                <w:szCs w:val="21"/>
              </w:rPr>
              <w:t>140</w:t>
            </w:r>
          </w:p>
        </w:tc>
        <w:tc>
          <w:tcPr>
            <w:tcW w:w="1514" w:type="dxa"/>
            <w:gridSpan w:val="2"/>
            <w:vAlign w:val="center"/>
          </w:tcPr>
          <w:p w14:paraId="16A4EED1">
            <w:pPr>
              <w:adjustRightInd w:val="0"/>
              <w:snapToGrid w:val="0"/>
              <w:jc w:val="center"/>
              <w:rPr>
                <w:rFonts w:ascii="Arial" w:hAnsi="Arial" w:eastAsia="宋体" w:cs="Arial"/>
                <w:sz w:val="21"/>
                <w:szCs w:val="21"/>
              </w:rPr>
            </w:pPr>
            <w:r>
              <w:rPr>
                <w:rFonts w:hint="eastAsia" w:ascii="Arial" w:hAnsi="Arial" w:eastAsia="宋体" w:cs="Arial"/>
                <w:sz w:val="21"/>
                <w:szCs w:val="21"/>
              </w:rPr>
              <w:t>1.56</w:t>
            </w:r>
          </w:p>
        </w:tc>
      </w:tr>
      <w:tr w14:paraId="050D7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237F6864">
            <w:pPr>
              <w:adjustRightInd w:val="0"/>
              <w:snapToGrid w:val="0"/>
              <w:jc w:val="center"/>
              <w:rPr>
                <w:rFonts w:ascii="Arial" w:hAnsi="Arial" w:eastAsia="宋体" w:cs="Arial"/>
                <w:sz w:val="21"/>
                <w:szCs w:val="21"/>
              </w:rPr>
            </w:pPr>
          </w:p>
        </w:tc>
        <w:tc>
          <w:tcPr>
            <w:tcW w:w="1059" w:type="dxa"/>
            <w:gridSpan w:val="2"/>
            <w:vMerge w:val="continue"/>
            <w:vAlign w:val="center"/>
          </w:tcPr>
          <w:p w14:paraId="69D4782D">
            <w:pPr>
              <w:adjustRightInd w:val="0"/>
              <w:snapToGrid w:val="0"/>
              <w:jc w:val="center"/>
              <w:rPr>
                <w:rFonts w:ascii="Arial" w:hAnsi="Arial" w:eastAsia="宋体" w:cs="Arial"/>
                <w:sz w:val="21"/>
                <w:szCs w:val="21"/>
              </w:rPr>
            </w:pPr>
          </w:p>
        </w:tc>
        <w:tc>
          <w:tcPr>
            <w:tcW w:w="2253" w:type="dxa"/>
            <w:gridSpan w:val="2"/>
            <w:vAlign w:val="center"/>
          </w:tcPr>
          <w:p w14:paraId="17134ADD">
            <w:pPr>
              <w:adjustRightInd w:val="0"/>
              <w:snapToGrid w:val="0"/>
              <w:jc w:val="center"/>
              <w:rPr>
                <w:rFonts w:ascii="Arial" w:hAnsi="Arial" w:eastAsia="宋体" w:cs="Arial"/>
                <w:sz w:val="21"/>
                <w:szCs w:val="21"/>
              </w:rPr>
            </w:pPr>
            <w:r>
              <w:rPr>
                <w:rFonts w:ascii="Arial" w:hAnsi="Arial" w:eastAsia="宋体" w:cs="Arial"/>
                <w:sz w:val="21"/>
                <w:szCs w:val="21"/>
              </w:rPr>
              <w:t>敏感目标名称</w:t>
            </w:r>
          </w:p>
        </w:tc>
        <w:tc>
          <w:tcPr>
            <w:tcW w:w="1559" w:type="dxa"/>
            <w:gridSpan w:val="2"/>
            <w:vAlign w:val="center"/>
          </w:tcPr>
          <w:p w14:paraId="5A2BC511">
            <w:pPr>
              <w:adjustRightInd w:val="0"/>
              <w:snapToGrid w:val="0"/>
              <w:jc w:val="center"/>
              <w:rPr>
                <w:rFonts w:ascii="Arial" w:hAnsi="Arial" w:eastAsia="宋体" w:cs="Arial"/>
                <w:sz w:val="21"/>
                <w:szCs w:val="21"/>
              </w:rPr>
            </w:pPr>
            <w:r>
              <w:rPr>
                <w:rFonts w:ascii="Arial" w:hAnsi="Arial" w:eastAsia="宋体" w:cs="Arial"/>
                <w:sz w:val="21"/>
                <w:szCs w:val="21"/>
              </w:rPr>
              <w:t>超标时间/min</w:t>
            </w:r>
          </w:p>
        </w:tc>
        <w:tc>
          <w:tcPr>
            <w:tcW w:w="1701" w:type="dxa"/>
            <w:gridSpan w:val="2"/>
            <w:vAlign w:val="center"/>
          </w:tcPr>
          <w:p w14:paraId="5C3413A3">
            <w:pPr>
              <w:adjustRightInd w:val="0"/>
              <w:snapToGrid w:val="0"/>
              <w:jc w:val="center"/>
              <w:rPr>
                <w:rFonts w:ascii="Arial" w:hAnsi="Arial" w:eastAsia="宋体" w:cs="Arial"/>
                <w:sz w:val="21"/>
                <w:szCs w:val="21"/>
              </w:rPr>
            </w:pPr>
            <w:r>
              <w:rPr>
                <w:rFonts w:ascii="Arial" w:hAnsi="Arial" w:eastAsia="宋体" w:cs="Arial"/>
                <w:sz w:val="21"/>
                <w:szCs w:val="21"/>
              </w:rPr>
              <w:t>超标持续时间/min</w:t>
            </w:r>
          </w:p>
        </w:tc>
        <w:tc>
          <w:tcPr>
            <w:tcW w:w="1514" w:type="dxa"/>
            <w:gridSpan w:val="2"/>
            <w:vAlign w:val="center"/>
          </w:tcPr>
          <w:p w14:paraId="54E234B9">
            <w:pPr>
              <w:adjustRightInd w:val="0"/>
              <w:snapToGrid w:val="0"/>
              <w:jc w:val="center"/>
              <w:rPr>
                <w:rFonts w:ascii="Arial" w:hAnsi="Arial" w:eastAsia="宋体" w:cs="Arial"/>
                <w:sz w:val="21"/>
                <w:szCs w:val="21"/>
              </w:rPr>
            </w:pPr>
            <w:r>
              <w:rPr>
                <w:rFonts w:ascii="Arial" w:hAnsi="Arial" w:eastAsia="宋体" w:cs="Arial"/>
                <w:sz w:val="21"/>
                <w:szCs w:val="21"/>
              </w:rPr>
              <w:t>最大浓度（mg/m</w:t>
            </w:r>
            <w:r>
              <w:rPr>
                <w:rFonts w:ascii="Arial" w:hAnsi="Arial" w:eastAsia="宋体" w:cs="Arial"/>
                <w:sz w:val="21"/>
                <w:szCs w:val="21"/>
                <w:vertAlign w:val="superscript"/>
              </w:rPr>
              <w:t>3</w:t>
            </w:r>
            <w:r>
              <w:rPr>
                <w:rFonts w:ascii="Arial" w:hAnsi="Arial" w:eastAsia="宋体" w:cs="Arial"/>
                <w:sz w:val="21"/>
                <w:szCs w:val="21"/>
              </w:rPr>
              <w:t>）</w:t>
            </w:r>
          </w:p>
        </w:tc>
      </w:tr>
      <w:tr w14:paraId="5E3C9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7057DC22">
            <w:pPr>
              <w:adjustRightInd w:val="0"/>
              <w:snapToGrid w:val="0"/>
              <w:jc w:val="center"/>
              <w:rPr>
                <w:rFonts w:ascii="Arial" w:hAnsi="Arial" w:eastAsia="宋体" w:cs="Arial"/>
                <w:sz w:val="21"/>
                <w:szCs w:val="21"/>
              </w:rPr>
            </w:pPr>
          </w:p>
        </w:tc>
        <w:tc>
          <w:tcPr>
            <w:tcW w:w="1059" w:type="dxa"/>
            <w:gridSpan w:val="2"/>
            <w:vMerge w:val="continue"/>
            <w:vAlign w:val="center"/>
          </w:tcPr>
          <w:p w14:paraId="75A4F3EB">
            <w:pPr>
              <w:adjustRightInd w:val="0"/>
              <w:snapToGrid w:val="0"/>
              <w:jc w:val="center"/>
              <w:rPr>
                <w:rFonts w:ascii="Arial" w:hAnsi="Arial" w:eastAsia="宋体" w:cs="Arial"/>
                <w:sz w:val="21"/>
                <w:szCs w:val="21"/>
              </w:rPr>
            </w:pPr>
          </w:p>
        </w:tc>
        <w:tc>
          <w:tcPr>
            <w:tcW w:w="2253" w:type="dxa"/>
            <w:gridSpan w:val="2"/>
            <w:vAlign w:val="center"/>
          </w:tcPr>
          <w:p w14:paraId="542E6A0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硫磺山村</w:t>
            </w:r>
          </w:p>
        </w:tc>
        <w:tc>
          <w:tcPr>
            <w:tcW w:w="1559" w:type="dxa"/>
            <w:gridSpan w:val="2"/>
            <w:vAlign w:val="center"/>
          </w:tcPr>
          <w:p w14:paraId="13A70296">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091AFF20">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6BBA1ECD">
            <w:pPr>
              <w:adjustRightInd w:val="0"/>
              <w:snapToGrid w:val="0"/>
              <w:jc w:val="center"/>
              <w:rPr>
                <w:rFonts w:ascii="Arial" w:hAnsi="Arial" w:eastAsia="宋体" w:cs="Arial"/>
                <w:sz w:val="21"/>
                <w:szCs w:val="21"/>
              </w:rPr>
            </w:pPr>
            <w:r>
              <w:rPr>
                <w:rFonts w:hint="eastAsia" w:ascii="Arial" w:hAnsi="Arial" w:eastAsia="宋体" w:cs="Arial"/>
                <w:sz w:val="21"/>
                <w:szCs w:val="21"/>
              </w:rPr>
              <w:t>3.4396</w:t>
            </w:r>
          </w:p>
        </w:tc>
      </w:tr>
      <w:tr w14:paraId="021C2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5572523F">
            <w:pPr>
              <w:adjustRightInd w:val="0"/>
              <w:snapToGrid w:val="0"/>
              <w:jc w:val="center"/>
              <w:rPr>
                <w:rFonts w:ascii="Arial" w:hAnsi="Arial" w:eastAsia="宋体" w:cs="Arial"/>
                <w:sz w:val="21"/>
                <w:szCs w:val="21"/>
              </w:rPr>
            </w:pPr>
          </w:p>
        </w:tc>
        <w:tc>
          <w:tcPr>
            <w:tcW w:w="1059" w:type="dxa"/>
            <w:gridSpan w:val="2"/>
            <w:vMerge w:val="continue"/>
            <w:vAlign w:val="center"/>
          </w:tcPr>
          <w:p w14:paraId="1DCA2CEE">
            <w:pPr>
              <w:adjustRightInd w:val="0"/>
              <w:snapToGrid w:val="0"/>
              <w:jc w:val="center"/>
              <w:rPr>
                <w:rFonts w:ascii="Arial" w:hAnsi="Arial" w:eastAsia="宋体" w:cs="Arial"/>
                <w:sz w:val="21"/>
                <w:szCs w:val="21"/>
              </w:rPr>
            </w:pPr>
          </w:p>
        </w:tc>
        <w:tc>
          <w:tcPr>
            <w:tcW w:w="2253" w:type="dxa"/>
            <w:gridSpan w:val="2"/>
            <w:vAlign w:val="center"/>
          </w:tcPr>
          <w:p w14:paraId="702A6B7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平山村</w:t>
            </w:r>
          </w:p>
        </w:tc>
        <w:tc>
          <w:tcPr>
            <w:tcW w:w="1559" w:type="dxa"/>
            <w:gridSpan w:val="2"/>
            <w:vAlign w:val="center"/>
          </w:tcPr>
          <w:p w14:paraId="2669BF99">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41E824BA">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01D5CCBD">
            <w:pPr>
              <w:adjustRightInd w:val="0"/>
              <w:snapToGrid w:val="0"/>
              <w:jc w:val="center"/>
              <w:rPr>
                <w:rFonts w:ascii="Arial" w:hAnsi="Arial" w:eastAsia="宋体" w:cs="Arial"/>
                <w:sz w:val="21"/>
                <w:szCs w:val="21"/>
              </w:rPr>
            </w:pPr>
            <w:r>
              <w:rPr>
                <w:rFonts w:hint="eastAsia" w:ascii="Arial" w:hAnsi="Arial" w:eastAsia="宋体" w:cs="Arial"/>
                <w:sz w:val="21"/>
                <w:szCs w:val="21"/>
              </w:rPr>
              <w:t>0.6070</w:t>
            </w:r>
          </w:p>
        </w:tc>
      </w:tr>
      <w:tr w14:paraId="5302C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0D36A04E">
            <w:pPr>
              <w:adjustRightInd w:val="0"/>
              <w:snapToGrid w:val="0"/>
              <w:jc w:val="center"/>
              <w:rPr>
                <w:rFonts w:ascii="Arial" w:hAnsi="Arial" w:eastAsia="宋体" w:cs="Arial"/>
                <w:sz w:val="21"/>
                <w:szCs w:val="21"/>
              </w:rPr>
            </w:pPr>
          </w:p>
        </w:tc>
        <w:tc>
          <w:tcPr>
            <w:tcW w:w="1059" w:type="dxa"/>
            <w:gridSpan w:val="2"/>
            <w:vMerge w:val="continue"/>
            <w:vAlign w:val="center"/>
          </w:tcPr>
          <w:p w14:paraId="03B08BD4">
            <w:pPr>
              <w:adjustRightInd w:val="0"/>
              <w:snapToGrid w:val="0"/>
              <w:jc w:val="center"/>
              <w:rPr>
                <w:rFonts w:ascii="Arial" w:hAnsi="Arial" w:eastAsia="宋体" w:cs="Arial"/>
                <w:sz w:val="21"/>
                <w:szCs w:val="21"/>
              </w:rPr>
            </w:pPr>
          </w:p>
        </w:tc>
        <w:tc>
          <w:tcPr>
            <w:tcW w:w="2253" w:type="dxa"/>
            <w:gridSpan w:val="2"/>
            <w:vAlign w:val="center"/>
          </w:tcPr>
          <w:p w14:paraId="26F0F86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大环村</w:t>
            </w:r>
          </w:p>
        </w:tc>
        <w:tc>
          <w:tcPr>
            <w:tcW w:w="1559" w:type="dxa"/>
            <w:gridSpan w:val="2"/>
            <w:vAlign w:val="center"/>
          </w:tcPr>
          <w:p w14:paraId="0576A4DD">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339F75F2">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077C9F95">
            <w:pPr>
              <w:adjustRightInd w:val="0"/>
              <w:snapToGrid w:val="0"/>
              <w:jc w:val="center"/>
              <w:rPr>
                <w:rFonts w:ascii="Arial" w:hAnsi="Arial" w:eastAsia="宋体" w:cs="Arial"/>
                <w:sz w:val="21"/>
                <w:szCs w:val="21"/>
              </w:rPr>
            </w:pPr>
            <w:r>
              <w:rPr>
                <w:rFonts w:hint="eastAsia" w:ascii="Arial" w:hAnsi="Arial" w:eastAsia="宋体" w:cs="Arial"/>
                <w:sz w:val="21"/>
                <w:szCs w:val="21"/>
              </w:rPr>
              <w:t>0.0000</w:t>
            </w:r>
          </w:p>
        </w:tc>
      </w:tr>
      <w:tr w14:paraId="53BAB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2BE73C35">
            <w:pPr>
              <w:adjustRightInd w:val="0"/>
              <w:snapToGrid w:val="0"/>
              <w:jc w:val="center"/>
              <w:rPr>
                <w:rFonts w:ascii="Arial" w:hAnsi="Arial" w:eastAsia="宋体" w:cs="Arial"/>
                <w:sz w:val="21"/>
                <w:szCs w:val="21"/>
              </w:rPr>
            </w:pPr>
          </w:p>
        </w:tc>
        <w:tc>
          <w:tcPr>
            <w:tcW w:w="1059" w:type="dxa"/>
            <w:gridSpan w:val="2"/>
            <w:vMerge w:val="continue"/>
            <w:vAlign w:val="center"/>
          </w:tcPr>
          <w:p w14:paraId="60FD8F99">
            <w:pPr>
              <w:adjustRightInd w:val="0"/>
              <w:snapToGrid w:val="0"/>
              <w:jc w:val="center"/>
              <w:rPr>
                <w:rFonts w:ascii="Arial" w:hAnsi="Arial" w:eastAsia="宋体" w:cs="Arial"/>
                <w:sz w:val="21"/>
                <w:szCs w:val="21"/>
              </w:rPr>
            </w:pPr>
          </w:p>
        </w:tc>
        <w:tc>
          <w:tcPr>
            <w:tcW w:w="2253" w:type="dxa"/>
            <w:gridSpan w:val="2"/>
            <w:vAlign w:val="center"/>
          </w:tcPr>
          <w:p w14:paraId="7A7AD25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鸡墩头村</w:t>
            </w:r>
          </w:p>
        </w:tc>
        <w:tc>
          <w:tcPr>
            <w:tcW w:w="1559" w:type="dxa"/>
            <w:gridSpan w:val="2"/>
            <w:vAlign w:val="center"/>
          </w:tcPr>
          <w:p w14:paraId="54E389A6">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38249ADE">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6F561043">
            <w:pPr>
              <w:adjustRightInd w:val="0"/>
              <w:snapToGrid w:val="0"/>
              <w:jc w:val="center"/>
              <w:rPr>
                <w:rFonts w:ascii="Arial" w:hAnsi="Arial" w:eastAsia="宋体" w:cs="Arial"/>
                <w:sz w:val="21"/>
                <w:szCs w:val="21"/>
              </w:rPr>
            </w:pPr>
            <w:r>
              <w:rPr>
                <w:rFonts w:hint="eastAsia" w:ascii="Arial" w:hAnsi="Arial" w:eastAsia="宋体" w:cs="Arial"/>
                <w:sz w:val="21"/>
                <w:szCs w:val="21"/>
              </w:rPr>
              <w:t>4.3427</w:t>
            </w:r>
          </w:p>
        </w:tc>
      </w:tr>
      <w:tr w14:paraId="2187A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3E038A6C">
            <w:pPr>
              <w:adjustRightInd w:val="0"/>
              <w:snapToGrid w:val="0"/>
              <w:jc w:val="center"/>
              <w:rPr>
                <w:rFonts w:ascii="Arial" w:hAnsi="Arial" w:eastAsia="宋体" w:cs="Arial"/>
                <w:sz w:val="21"/>
                <w:szCs w:val="21"/>
              </w:rPr>
            </w:pPr>
          </w:p>
        </w:tc>
        <w:tc>
          <w:tcPr>
            <w:tcW w:w="1059" w:type="dxa"/>
            <w:gridSpan w:val="2"/>
            <w:vMerge w:val="continue"/>
            <w:vAlign w:val="center"/>
          </w:tcPr>
          <w:p w14:paraId="28E2254E">
            <w:pPr>
              <w:adjustRightInd w:val="0"/>
              <w:snapToGrid w:val="0"/>
              <w:jc w:val="center"/>
              <w:rPr>
                <w:rFonts w:ascii="Arial" w:hAnsi="Arial" w:eastAsia="宋体" w:cs="Arial"/>
                <w:sz w:val="21"/>
                <w:szCs w:val="21"/>
              </w:rPr>
            </w:pPr>
          </w:p>
        </w:tc>
        <w:tc>
          <w:tcPr>
            <w:tcW w:w="2253" w:type="dxa"/>
            <w:gridSpan w:val="2"/>
            <w:vAlign w:val="center"/>
          </w:tcPr>
          <w:p w14:paraId="06BDF38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第五小学</w:t>
            </w:r>
          </w:p>
        </w:tc>
        <w:tc>
          <w:tcPr>
            <w:tcW w:w="1559" w:type="dxa"/>
            <w:gridSpan w:val="2"/>
            <w:vAlign w:val="center"/>
          </w:tcPr>
          <w:p w14:paraId="40348C36">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3AF3CB5C">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35CD56CC">
            <w:pPr>
              <w:adjustRightInd w:val="0"/>
              <w:snapToGrid w:val="0"/>
              <w:jc w:val="center"/>
              <w:rPr>
                <w:rFonts w:ascii="Arial" w:hAnsi="Arial" w:eastAsia="宋体" w:cs="Arial"/>
                <w:sz w:val="21"/>
                <w:szCs w:val="21"/>
              </w:rPr>
            </w:pPr>
            <w:r>
              <w:rPr>
                <w:rFonts w:hint="eastAsia" w:ascii="Arial" w:hAnsi="Arial" w:eastAsia="宋体" w:cs="Arial"/>
                <w:sz w:val="21"/>
                <w:szCs w:val="21"/>
              </w:rPr>
              <w:t>3.0480</w:t>
            </w:r>
          </w:p>
        </w:tc>
      </w:tr>
      <w:tr w14:paraId="22E04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6C89E135">
            <w:pPr>
              <w:adjustRightInd w:val="0"/>
              <w:snapToGrid w:val="0"/>
              <w:jc w:val="center"/>
              <w:rPr>
                <w:rFonts w:ascii="Arial" w:hAnsi="Arial" w:eastAsia="宋体" w:cs="Arial"/>
                <w:sz w:val="21"/>
                <w:szCs w:val="21"/>
              </w:rPr>
            </w:pPr>
          </w:p>
        </w:tc>
        <w:tc>
          <w:tcPr>
            <w:tcW w:w="1059" w:type="dxa"/>
            <w:gridSpan w:val="2"/>
            <w:vMerge w:val="continue"/>
            <w:vAlign w:val="center"/>
          </w:tcPr>
          <w:p w14:paraId="00918FE4">
            <w:pPr>
              <w:adjustRightInd w:val="0"/>
              <w:snapToGrid w:val="0"/>
              <w:jc w:val="center"/>
              <w:rPr>
                <w:rFonts w:ascii="Arial" w:hAnsi="Arial" w:eastAsia="宋体" w:cs="Arial"/>
                <w:sz w:val="21"/>
                <w:szCs w:val="21"/>
              </w:rPr>
            </w:pPr>
          </w:p>
        </w:tc>
        <w:tc>
          <w:tcPr>
            <w:tcW w:w="2253" w:type="dxa"/>
            <w:gridSpan w:val="2"/>
            <w:vAlign w:val="center"/>
          </w:tcPr>
          <w:p w14:paraId="6B49C50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港区中学</w:t>
            </w:r>
          </w:p>
        </w:tc>
        <w:tc>
          <w:tcPr>
            <w:tcW w:w="1559" w:type="dxa"/>
            <w:gridSpan w:val="2"/>
            <w:vAlign w:val="center"/>
          </w:tcPr>
          <w:p w14:paraId="08180439">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1C66AE97">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2A448CF5">
            <w:pPr>
              <w:adjustRightInd w:val="0"/>
              <w:snapToGrid w:val="0"/>
              <w:jc w:val="center"/>
              <w:rPr>
                <w:rFonts w:ascii="Arial" w:hAnsi="Arial" w:eastAsia="宋体" w:cs="Arial"/>
                <w:sz w:val="21"/>
                <w:szCs w:val="21"/>
              </w:rPr>
            </w:pPr>
            <w:r>
              <w:rPr>
                <w:rFonts w:hint="eastAsia" w:ascii="Arial" w:hAnsi="Arial" w:eastAsia="宋体" w:cs="Arial"/>
                <w:sz w:val="21"/>
                <w:szCs w:val="21"/>
              </w:rPr>
              <w:t>1.2337</w:t>
            </w:r>
          </w:p>
        </w:tc>
      </w:tr>
      <w:tr w14:paraId="0F1DE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11D164CA">
            <w:pPr>
              <w:adjustRightInd w:val="0"/>
              <w:snapToGrid w:val="0"/>
              <w:jc w:val="center"/>
              <w:rPr>
                <w:rFonts w:ascii="Arial" w:hAnsi="Arial" w:eastAsia="宋体" w:cs="Arial"/>
                <w:sz w:val="21"/>
                <w:szCs w:val="21"/>
              </w:rPr>
            </w:pPr>
          </w:p>
        </w:tc>
        <w:tc>
          <w:tcPr>
            <w:tcW w:w="1059" w:type="dxa"/>
            <w:gridSpan w:val="2"/>
            <w:vMerge w:val="continue"/>
            <w:vAlign w:val="center"/>
          </w:tcPr>
          <w:p w14:paraId="29144E5C">
            <w:pPr>
              <w:adjustRightInd w:val="0"/>
              <w:snapToGrid w:val="0"/>
              <w:jc w:val="center"/>
              <w:rPr>
                <w:rFonts w:ascii="Arial" w:hAnsi="Arial" w:eastAsia="宋体" w:cs="Arial"/>
                <w:sz w:val="21"/>
                <w:szCs w:val="21"/>
              </w:rPr>
            </w:pPr>
          </w:p>
        </w:tc>
        <w:tc>
          <w:tcPr>
            <w:tcW w:w="2253" w:type="dxa"/>
            <w:gridSpan w:val="2"/>
            <w:vAlign w:val="center"/>
          </w:tcPr>
          <w:p w14:paraId="0B0EE30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沙岗头村</w:t>
            </w:r>
          </w:p>
        </w:tc>
        <w:tc>
          <w:tcPr>
            <w:tcW w:w="1559" w:type="dxa"/>
            <w:gridSpan w:val="2"/>
            <w:vAlign w:val="center"/>
          </w:tcPr>
          <w:p w14:paraId="5527976C">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6AE8DFF3">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02E465B1">
            <w:pPr>
              <w:adjustRightInd w:val="0"/>
              <w:snapToGrid w:val="0"/>
              <w:jc w:val="center"/>
              <w:rPr>
                <w:rFonts w:ascii="Arial" w:hAnsi="Arial" w:eastAsia="宋体" w:cs="Arial"/>
                <w:sz w:val="21"/>
                <w:szCs w:val="21"/>
              </w:rPr>
            </w:pPr>
            <w:r>
              <w:rPr>
                <w:rFonts w:hint="eastAsia" w:ascii="Arial" w:hAnsi="Arial" w:eastAsia="宋体" w:cs="Arial"/>
                <w:sz w:val="21"/>
                <w:szCs w:val="21"/>
              </w:rPr>
              <w:t>0.0001</w:t>
            </w:r>
          </w:p>
        </w:tc>
      </w:tr>
      <w:tr w14:paraId="2C174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092F2CB2">
            <w:pPr>
              <w:adjustRightInd w:val="0"/>
              <w:snapToGrid w:val="0"/>
              <w:jc w:val="center"/>
              <w:rPr>
                <w:rFonts w:ascii="Arial" w:hAnsi="Arial" w:eastAsia="宋体" w:cs="Arial"/>
                <w:sz w:val="21"/>
                <w:szCs w:val="21"/>
              </w:rPr>
            </w:pPr>
          </w:p>
        </w:tc>
        <w:tc>
          <w:tcPr>
            <w:tcW w:w="1059" w:type="dxa"/>
            <w:gridSpan w:val="2"/>
            <w:vMerge w:val="continue"/>
            <w:vAlign w:val="center"/>
          </w:tcPr>
          <w:p w14:paraId="71D262CE">
            <w:pPr>
              <w:adjustRightInd w:val="0"/>
              <w:snapToGrid w:val="0"/>
              <w:jc w:val="center"/>
              <w:rPr>
                <w:rFonts w:ascii="Arial" w:hAnsi="Arial" w:eastAsia="宋体" w:cs="Arial"/>
                <w:sz w:val="21"/>
                <w:szCs w:val="21"/>
              </w:rPr>
            </w:pPr>
          </w:p>
        </w:tc>
        <w:tc>
          <w:tcPr>
            <w:tcW w:w="2253" w:type="dxa"/>
            <w:gridSpan w:val="2"/>
            <w:vAlign w:val="center"/>
          </w:tcPr>
          <w:p w14:paraId="2F25773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金鼓社区</w:t>
            </w:r>
          </w:p>
        </w:tc>
        <w:tc>
          <w:tcPr>
            <w:tcW w:w="1559" w:type="dxa"/>
            <w:gridSpan w:val="2"/>
            <w:vAlign w:val="center"/>
          </w:tcPr>
          <w:p w14:paraId="4B5C497C">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2E7BEA39">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62D54DD1">
            <w:pPr>
              <w:adjustRightInd w:val="0"/>
              <w:snapToGrid w:val="0"/>
              <w:jc w:val="center"/>
              <w:rPr>
                <w:rFonts w:ascii="Arial" w:hAnsi="Arial" w:eastAsia="宋体" w:cs="Arial"/>
                <w:sz w:val="21"/>
                <w:szCs w:val="21"/>
              </w:rPr>
            </w:pPr>
            <w:r>
              <w:rPr>
                <w:rFonts w:hint="eastAsia" w:ascii="Arial" w:hAnsi="Arial" w:eastAsia="宋体" w:cs="Arial"/>
                <w:sz w:val="21"/>
                <w:szCs w:val="21"/>
              </w:rPr>
              <w:t>0.6171</w:t>
            </w:r>
          </w:p>
        </w:tc>
      </w:tr>
      <w:tr w14:paraId="57B50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13C6ECE1">
            <w:pPr>
              <w:adjustRightInd w:val="0"/>
              <w:snapToGrid w:val="0"/>
              <w:jc w:val="center"/>
              <w:rPr>
                <w:rFonts w:ascii="Arial" w:hAnsi="Arial" w:eastAsia="宋体" w:cs="Arial"/>
                <w:sz w:val="21"/>
                <w:szCs w:val="21"/>
              </w:rPr>
            </w:pPr>
          </w:p>
        </w:tc>
        <w:tc>
          <w:tcPr>
            <w:tcW w:w="1059" w:type="dxa"/>
            <w:gridSpan w:val="2"/>
            <w:vMerge w:val="continue"/>
            <w:vAlign w:val="center"/>
          </w:tcPr>
          <w:p w14:paraId="517A396C">
            <w:pPr>
              <w:adjustRightInd w:val="0"/>
              <w:snapToGrid w:val="0"/>
              <w:jc w:val="center"/>
              <w:rPr>
                <w:rFonts w:ascii="Arial" w:hAnsi="Arial" w:eastAsia="宋体" w:cs="Arial"/>
                <w:sz w:val="21"/>
                <w:szCs w:val="21"/>
              </w:rPr>
            </w:pPr>
          </w:p>
        </w:tc>
        <w:tc>
          <w:tcPr>
            <w:tcW w:w="2253" w:type="dxa"/>
            <w:gridSpan w:val="2"/>
            <w:vAlign w:val="center"/>
          </w:tcPr>
          <w:p w14:paraId="58F9BB3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鹿耳环村</w:t>
            </w:r>
          </w:p>
        </w:tc>
        <w:tc>
          <w:tcPr>
            <w:tcW w:w="1559" w:type="dxa"/>
            <w:gridSpan w:val="2"/>
            <w:vAlign w:val="center"/>
          </w:tcPr>
          <w:p w14:paraId="7F90757C">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63F818F2">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3FE1E257">
            <w:pPr>
              <w:adjustRightInd w:val="0"/>
              <w:snapToGrid w:val="0"/>
              <w:jc w:val="center"/>
              <w:rPr>
                <w:rFonts w:ascii="Arial" w:hAnsi="Arial" w:eastAsia="宋体" w:cs="Arial"/>
                <w:sz w:val="21"/>
                <w:szCs w:val="21"/>
              </w:rPr>
            </w:pPr>
            <w:r>
              <w:rPr>
                <w:rFonts w:hint="eastAsia" w:ascii="Arial" w:hAnsi="Arial" w:eastAsia="宋体" w:cs="Arial"/>
                <w:sz w:val="21"/>
                <w:szCs w:val="21"/>
              </w:rPr>
              <w:t>0.8954</w:t>
            </w:r>
          </w:p>
        </w:tc>
      </w:tr>
      <w:tr w14:paraId="537CD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57295C0A">
            <w:pPr>
              <w:adjustRightInd w:val="0"/>
              <w:snapToGrid w:val="0"/>
              <w:jc w:val="center"/>
              <w:rPr>
                <w:rFonts w:ascii="Arial" w:hAnsi="Arial" w:eastAsia="宋体" w:cs="Arial"/>
                <w:sz w:val="21"/>
                <w:szCs w:val="21"/>
              </w:rPr>
            </w:pPr>
          </w:p>
        </w:tc>
        <w:tc>
          <w:tcPr>
            <w:tcW w:w="1059" w:type="dxa"/>
            <w:gridSpan w:val="2"/>
            <w:vMerge w:val="continue"/>
            <w:vAlign w:val="center"/>
          </w:tcPr>
          <w:p w14:paraId="68BCD26F">
            <w:pPr>
              <w:adjustRightInd w:val="0"/>
              <w:snapToGrid w:val="0"/>
              <w:jc w:val="center"/>
              <w:rPr>
                <w:rFonts w:ascii="Arial" w:hAnsi="Arial" w:eastAsia="宋体" w:cs="Arial"/>
                <w:sz w:val="21"/>
                <w:szCs w:val="21"/>
              </w:rPr>
            </w:pPr>
          </w:p>
        </w:tc>
        <w:tc>
          <w:tcPr>
            <w:tcW w:w="2253" w:type="dxa"/>
            <w:gridSpan w:val="2"/>
            <w:vAlign w:val="center"/>
          </w:tcPr>
          <w:p w14:paraId="2EE1CE42">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水榕冲村</w:t>
            </w:r>
          </w:p>
        </w:tc>
        <w:tc>
          <w:tcPr>
            <w:tcW w:w="1559" w:type="dxa"/>
            <w:gridSpan w:val="2"/>
            <w:vAlign w:val="center"/>
          </w:tcPr>
          <w:p w14:paraId="27B27CF7">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0570D20C">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5436C051">
            <w:pPr>
              <w:adjustRightInd w:val="0"/>
              <w:snapToGrid w:val="0"/>
              <w:jc w:val="center"/>
              <w:rPr>
                <w:rFonts w:ascii="Arial" w:hAnsi="Arial" w:eastAsia="宋体" w:cs="Arial"/>
                <w:sz w:val="21"/>
                <w:szCs w:val="21"/>
              </w:rPr>
            </w:pPr>
            <w:r>
              <w:rPr>
                <w:rFonts w:hint="eastAsia" w:ascii="Arial" w:hAnsi="Arial" w:eastAsia="宋体" w:cs="Arial"/>
                <w:sz w:val="21"/>
                <w:szCs w:val="21"/>
              </w:rPr>
              <w:t>0.0239</w:t>
            </w:r>
          </w:p>
        </w:tc>
      </w:tr>
      <w:tr w14:paraId="24BD1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77977BC8">
            <w:pPr>
              <w:adjustRightInd w:val="0"/>
              <w:snapToGrid w:val="0"/>
              <w:jc w:val="center"/>
              <w:rPr>
                <w:rFonts w:ascii="Arial" w:hAnsi="Arial" w:eastAsia="宋体" w:cs="Arial"/>
                <w:sz w:val="21"/>
                <w:szCs w:val="21"/>
              </w:rPr>
            </w:pPr>
          </w:p>
        </w:tc>
        <w:tc>
          <w:tcPr>
            <w:tcW w:w="1059" w:type="dxa"/>
            <w:gridSpan w:val="2"/>
            <w:vMerge w:val="restart"/>
            <w:vAlign w:val="center"/>
          </w:tcPr>
          <w:p w14:paraId="09749308">
            <w:pPr>
              <w:adjustRightInd w:val="0"/>
              <w:snapToGrid w:val="0"/>
              <w:jc w:val="center"/>
              <w:rPr>
                <w:rFonts w:ascii="Arial" w:hAnsi="Arial" w:eastAsia="宋体" w:cs="Arial"/>
                <w:sz w:val="21"/>
                <w:szCs w:val="21"/>
              </w:rPr>
            </w:pPr>
            <w:r>
              <w:rPr>
                <w:rFonts w:ascii="Arial" w:hAnsi="Arial" w:eastAsia="宋体" w:cs="Arial"/>
                <w:sz w:val="21"/>
                <w:szCs w:val="21"/>
              </w:rPr>
              <w:t>最常见气象条件</w:t>
            </w:r>
          </w:p>
        </w:tc>
        <w:tc>
          <w:tcPr>
            <w:tcW w:w="2253" w:type="dxa"/>
            <w:gridSpan w:val="2"/>
            <w:vAlign w:val="center"/>
          </w:tcPr>
          <w:p w14:paraId="5839589F">
            <w:pPr>
              <w:adjustRightInd w:val="0"/>
              <w:snapToGrid w:val="0"/>
              <w:jc w:val="center"/>
              <w:rPr>
                <w:rFonts w:ascii="Arial" w:hAnsi="Arial" w:eastAsia="宋体" w:cs="Arial"/>
                <w:sz w:val="21"/>
                <w:szCs w:val="21"/>
              </w:rPr>
            </w:pPr>
            <w:r>
              <w:rPr>
                <w:rFonts w:ascii="Arial" w:hAnsi="Arial" w:eastAsia="宋体" w:cs="Arial"/>
                <w:sz w:val="21"/>
                <w:szCs w:val="21"/>
              </w:rPr>
              <w:t>指标</w:t>
            </w:r>
          </w:p>
        </w:tc>
        <w:tc>
          <w:tcPr>
            <w:tcW w:w="1559" w:type="dxa"/>
            <w:gridSpan w:val="2"/>
            <w:vAlign w:val="center"/>
          </w:tcPr>
          <w:p w14:paraId="2B09A6E0">
            <w:pPr>
              <w:adjustRightInd w:val="0"/>
              <w:snapToGrid w:val="0"/>
              <w:jc w:val="center"/>
              <w:rPr>
                <w:rFonts w:ascii="Arial" w:hAnsi="Arial" w:eastAsia="宋体" w:cs="Arial"/>
                <w:sz w:val="21"/>
                <w:szCs w:val="21"/>
              </w:rPr>
            </w:pPr>
            <w:r>
              <w:rPr>
                <w:rFonts w:ascii="Arial" w:hAnsi="Arial" w:eastAsia="宋体" w:cs="Arial"/>
                <w:sz w:val="21"/>
                <w:szCs w:val="21"/>
              </w:rPr>
              <w:t>浓度值（mg/m</w:t>
            </w:r>
            <w:r>
              <w:rPr>
                <w:rFonts w:ascii="Arial" w:hAnsi="Arial" w:eastAsia="宋体" w:cs="Arial"/>
                <w:sz w:val="21"/>
                <w:szCs w:val="21"/>
                <w:vertAlign w:val="superscript"/>
              </w:rPr>
              <w:t>3</w:t>
            </w:r>
            <w:r>
              <w:rPr>
                <w:rFonts w:ascii="Arial" w:hAnsi="Arial" w:eastAsia="宋体" w:cs="Arial"/>
                <w:sz w:val="21"/>
                <w:szCs w:val="21"/>
              </w:rPr>
              <w:t>）</w:t>
            </w:r>
          </w:p>
        </w:tc>
        <w:tc>
          <w:tcPr>
            <w:tcW w:w="1701" w:type="dxa"/>
            <w:gridSpan w:val="2"/>
            <w:vAlign w:val="center"/>
          </w:tcPr>
          <w:p w14:paraId="2C53B46C">
            <w:pPr>
              <w:adjustRightInd w:val="0"/>
              <w:snapToGrid w:val="0"/>
              <w:jc w:val="center"/>
              <w:rPr>
                <w:rFonts w:ascii="Arial" w:hAnsi="Arial" w:eastAsia="宋体" w:cs="Arial"/>
                <w:sz w:val="21"/>
                <w:szCs w:val="21"/>
              </w:rPr>
            </w:pPr>
            <w:r>
              <w:rPr>
                <w:rFonts w:ascii="Arial" w:hAnsi="Arial" w:eastAsia="宋体" w:cs="Arial"/>
                <w:sz w:val="21"/>
                <w:szCs w:val="21"/>
              </w:rPr>
              <w:t>最远影响距离/m</w:t>
            </w:r>
          </w:p>
        </w:tc>
        <w:tc>
          <w:tcPr>
            <w:tcW w:w="1514" w:type="dxa"/>
            <w:gridSpan w:val="2"/>
            <w:vAlign w:val="center"/>
          </w:tcPr>
          <w:p w14:paraId="223D4CEE">
            <w:pPr>
              <w:adjustRightInd w:val="0"/>
              <w:snapToGrid w:val="0"/>
              <w:jc w:val="center"/>
              <w:rPr>
                <w:rFonts w:ascii="Arial" w:hAnsi="Arial" w:eastAsia="宋体" w:cs="Arial"/>
                <w:sz w:val="21"/>
                <w:szCs w:val="21"/>
              </w:rPr>
            </w:pPr>
            <w:r>
              <w:rPr>
                <w:rFonts w:ascii="Arial" w:hAnsi="Arial" w:eastAsia="宋体" w:cs="Arial"/>
                <w:sz w:val="21"/>
                <w:szCs w:val="21"/>
              </w:rPr>
              <w:t>到达时间/min</w:t>
            </w:r>
          </w:p>
        </w:tc>
      </w:tr>
      <w:tr w14:paraId="2FA24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05C3C4B4">
            <w:pPr>
              <w:adjustRightInd w:val="0"/>
              <w:snapToGrid w:val="0"/>
              <w:jc w:val="center"/>
              <w:rPr>
                <w:rFonts w:ascii="Arial" w:hAnsi="Arial" w:eastAsia="宋体" w:cs="Arial"/>
                <w:sz w:val="21"/>
                <w:szCs w:val="21"/>
              </w:rPr>
            </w:pPr>
          </w:p>
        </w:tc>
        <w:tc>
          <w:tcPr>
            <w:tcW w:w="1059" w:type="dxa"/>
            <w:gridSpan w:val="2"/>
            <w:vMerge w:val="continue"/>
            <w:vAlign w:val="center"/>
          </w:tcPr>
          <w:p w14:paraId="425DCDFC">
            <w:pPr>
              <w:adjustRightInd w:val="0"/>
              <w:snapToGrid w:val="0"/>
              <w:jc w:val="center"/>
              <w:rPr>
                <w:rFonts w:ascii="Arial" w:hAnsi="Arial" w:eastAsia="宋体" w:cs="Arial"/>
                <w:sz w:val="21"/>
                <w:szCs w:val="21"/>
              </w:rPr>
            </w:pPr>
          </w:p>
        </w:tc>
        <w:tc>
          <w:tcPr>
            <w:tcW w:w="2253" w:type="dxa"/>
            <w:gridSpan w:val="2"/>
            <w:vAlign w:val="center"/>
          </w:tcPr>
          <w:p w14:paraId="23B416EA">
            <w:pPr>
              <w:adjustRightInd w:val="0"/>
              <w:snapToGrid w:val="0"/>
              <w:jc w:val="center"/>
              <w:rPr>
                <w:rFonts w:ascii="Arial" w:hAnsi="Arial" w:eastAsia="宋体" w:cs="Arial"/>
                <w:sz w:val="21"/>
                <w:szCs w:val="21"/>
              </w:rPr>
            </w:pPr>
            <w:r>
              <w:rPr>
                <w:rFonts w:ascii="Arial" w:hAnsi="Arial" w:eastAsia="宋体" w:cs="Arial"/>
                <w:sz w:val="21"/>
                <w:szCs w:val="21"/>
              </w:rPr>
              <w:t>大气毒性终点浓度-1</w:t>
            </w:r>
          </w:p>
        </w:tc>
        <w:tc>
          <w:tcPr>
            <w:tcW w:w="1559" w:type="dxa"/>
            <w:gridSpan w:val="2"/>
            <w:vAlign w:val="center"/>
          </w:tcPr>
          <w:p w14:paraId="4EDFC4BB">
            <w:pPr>
              <w:adjustRightInd w:val="0"/>
              <w:snapToGrid w:val="0"/>
              <w:jc w:val="center"/>
              <w:rPr>
                <w:rFonts w:ascii="Arial" w:hAnsi="Arial" w:eastAsia="宋体" w:cs="Arial"/>
                <w:sz w:val="21"/>
                <w:szCs w:val="21"/>
              </w:rPr>
            </w:pPr>
            <w:r>
              <w:rPr>
                <w:rFonts w:hint="eastAsia" w:ascii="Arial" w:hAnsi="Arial" w:eastAsia="宋体" w:cs="Arial"/>
                <w:sz w:val="21"/>
                <w:szCs w:val="21"/>
              </w:rPr>
              <w:t>770</w:t>
            </w:r>
          </w:p>
        </w:tc>
        <w:tc>
          <w:tcPr>
            <w:tcW w:w="1701" w:type="dxa"/>
            <w:gridSpan w:val="2"/>
            <w:vAlign w:val="center"/>
          </w:tcPr>
          <w:p w14:paraId="798B1CD6">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68DE34F3">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r>
      <w:tr w14:paraId="1555C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009E16E0">
            <w:pPr>
              <w:adjustRightInd w:val="0"/>
              <w:snapToGrid w:val="0"/>
              <w:jc w:val="center"/>
              <w:rPr>
                <w:rFonts w:ascii="Arial" w:hAnsi="Arial" w:eastAsia="宋体" w:cs="Arial"/>
                <w:sz w:val="21"/>
                <w:szCs w:val="21"/>
              </w:rPr>
            </w:pPr>
          </w:p>
        </w:tc>
        <w:tc>
          <w:tcPr>
            <w:tcW w:w="1059" w:type="dxa"/>
            <w:gridSpan w:val="2"/>
            <w:vMerge w:val="continue"/>
            <w:vAlign w:val="center"/>
          </w:tcPr>
          <w:p w14:paraId="4BE052E3">
            <w:pPr>
              <w:adjustRightInd w:val="0"/>
              <w:snapToGrid w:val="0"/>
              <w:jc w:val="center"/>
              <w:rPr>
                <w:rFonts w:ascii="Arial" w:hAnsi="Arial" w:eastAsia="宋体" w:cs="Arial"/>
                <w:sz w:val="21"/>
                <w:szCs w:val="21"/>
              </w:rPr>
            </w:pPr>
          </w:p>
        </w:tc>
        <w:tc>
          <w:tcPr>
            <w:tcW w:w="2253" w:type="dxa"/>
            <w:gridSpan w:val="2"/>
            <w:vAlign w:val="center"/>
          </w:tcPr>
          <w:p w14:paraId="77D89B31">
            <w:pPr>
              <w:adjustRightInd w:val="0"/>
              <w:snapToGrid w:val="0"/>
              <w:jc w:val="center"/>
              <w:rPr>
                <w:rFonts w:ascii="Arial" w:hAnsi="Arial" w:eastAsia="宋体" w:cs="Arial"/>
                <w:sz w:val="21"/>
                <w:szCs w:val="21"/>
              </w:rPr>
            </w:pPr>
            <w:r>
              <w:rPr>
                <w:rFonts w:ascii="Arial" w:hAnsi="Arial" w:eastAsia="宋体" w:cs="Arial"/>
                <w:sz w:val="21"/>
                <w:szCs w:val="21"/>
              </w:rPr>
              <w:t>大气毒性终点浓度-2</w:t>
            </w:r>
          </w:p>
        </w:tc>
        <w:tc>
          <w:tcPr>
            <w:tcW w:w="1559" w:type="dxa"/>
            <w:gridSpan w:val="2"/>
            <w:vAlign w:val="center"/>
          </w:tcPr>
          <w:p w14:paraId="4BC68C1A">
            <w:pPr>
              <w:adjustRightInd w:val="0"/>
              <w:snapToGrid w:val="0"/>
              <w:jc w:val="center"/>
              <w:rPr>
                <w:rFonts w:ascii="Arial" w:hAnsi="Arial" w:eastAsia="宋体" w:cs="Arial"/>
                <w:sz w:val="21"/>
                <w:szCs w:val="21"/>
              </w:rPr>
            </w:pPr>
            <w:r>
              <w:rPr>
                <w:rFonts w:hint="eastAsia" w:ascii="Arial" w:hAnsi="Arial" w:eastAsia="宋体" w:cs="Arial"/>
                <w:sz w:val="21"/>
                <w:szCs w:val="21"/>
              </w:rPr>
              <w:t>110</w:t>
            </w:r>
          </w:p>
        </w:tc>
        <w:tc>
          <w:tcPr>
            <w:tcW w:w="1701" w:type="dxa"/>
            <w:gridSpan w:val="2"/>
            <w:vAlign w:val="center"/>
          </w:tcPr>
          <w:p w14:paraId="1AF9B177">
            <w:pPr>
              <w:adjustRightInd w:val="0"/>
              <w:snapToGrid w:val="0"/>
              <w:jc w:val="center"/>
              <w:rPr>
                <w:rFonts w:ascii="Arial" w:hAnsi="Arial" w:eastAsia="宋体" w:cs="Arial"/>
                <w:sz w:val="21"/>
                <w:szCs w:val="21"/>
              </w:rPr>
            </w:pPr>
            <w:r>
              <w:rPr>
                <w:rFonts w:hint="eastAsia" w:ascii="Arial" w:hAnsi="Arial" w:eastAsia="宋体" w:cs="Arial"/>
                <w:sz w:val="21"/>
                <w:szCs w:val="21"/>
              </w:rPr>
              <w:t>20</w:t>
            </w:r>
          </w:p>
        </w:tc>
        <w:tc>
          <w:tcPr>
            <w:tcW w:w="1514" w:type="dxa"/>
            <w:gridSpan w:val="2"/>
            <w:vAlign w:val="center"/>
          </w:tcPr>
          <w:p w14:paraId="7819EAE8">
            <w:pPr>
              <w:adjustRightInd w:val="0"/>
              <w:snapToGrid w:val="0"/>
              <w:jc w:val="center"/>
              <w:rPr>
                <w:rFonts w:ascii="Arial" w:hAnsi="Arial" w:eastAsia="宋体" w:cs="Arial"/>
                <w:sz w:val="21"/>
                <w:szCs w:val="21"/>
              </w:rPr>
            </w:pPr>
            <w:r>
              <w:rPr>
                <w:rFonts w:hint="eastAsia" w:ascii="Arial" w:hAnsi="Arial" w:eastAsia="宋体" w:cs="Arial"/>
                <w:sz w:val="21"/>
                <w:szCs w:val="21"/>
              </w:rPr>
              <w:t>0.10</w:t>
            </w:r>
          </w:p>
        </w:tc>
      </w:tr>
      <w:tr w14:paraId="634EA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17C6081F">
            <w:pPr>
              <w:adjustRightInd w:val="0"/>
              <w:snapToGrid w:val="0"/>
              <w:jc w:val="center"/>
              <w:rPr>
                <w:rFonts w:ascii="Arial" w:hAnsi="Arial" w:eastAsia="宋体" w:cs="Arial"/>
                <w:sz w:val="21"/>
                <w:szCs w:val="21"/>
              </w:rPr>
            </w:pPr>
          </w:p>
        </w:tc>
        <w:tc>
          <w:tcPr>
            <w:tcW w:w="1059" w:type="dxa"/>
            <w:gridSpan w:val="2"/>
            <w:vMerge w:val="continue"/>
            <w:vAlign w:val="center"/>
          </w:tcPr>
          <w:p w14:paraId="23325964">
            <w:pPr>
              <w:adjustRightInd w:val="0"/>
              <w:snapToGrid w:val="0"/>
              <w:jc w:val="center"/>
              <w:rPr>
                <w:rFonts w:ascii="Arial" w:hAnsi="Arial" w:eastAsia="宋体" w:cs="Arial"/>
                <w:sz w:val="21"/>
                <w:szCs w:val="21"/>
              </w:rPr>
            </w:pPr>
          </w:p>
        </w:tc>
        <w:tc>
          <w:tcPr>
            <w:tcW w:w="2253" w:type="dxa"/>
            <w:gridSpan w:val="2"/>
            <w:vAlign w:val="center"/>
          </w:tcPr>
          <w:p w14:paraId="5D9C19C8">
            <w:pPr>
              <w:adjustRightInd w:val="0"/>
              <w:snapToGrid w:val="0"/>
              <w:jc w:val="center"/>
              <w:rPr>
                <w:rFonts w:ascii="Arial" w:hAnsi="Arial" w:eastAsia="宋体" w:cs="Arial"/>
                <w:sz w:val="21"/>
                <w:szCs w:val="21"/>
              </w:rPr>
            </w:pPr>
            <w:r>
              <w:rPr>
                <w:rFonts w:ascii="Arial" w:hAnsi="Arial" w:eastAsia="宋体" w:cs="Arial"/>
                <w:sz w:val="21"/>
                <w:szCs w:val="21"/>
              </w:rPr>
              <w:t>敏感目标名称</w:t>
            </w:r>
          </w:p>
        </w:tc>
        <w:tc>
          <w:tcPr>
            <w:tcW w:w="1559" w:type="dxa"/>
            <w:gridSpan w:val="2"/>
            <w:vAlign w:val="center"/>
          </w:tcPr>
          <w:p w14:paraId="4896004C">
            <w:pPr>
              <w:adjustRightInd w:val="0"/>
              <w:snapToGrid w:val="0"/>
              <w:jc w:val="center"/>
              <w:rPr>
                <w:rFonts w:ascii="Arial" w:hAnsi="Arial" w:eastAsia="宋体" w:cs="Arial"/>
                <w:sz w:val="21"/>
                <w:szCs w:val="21"/>
              </w:rPr>
            </w:pPr>
            <w:r>
              <w:rPr>
                <w:rFonts w:ascii="Arial" w:hAnsi="Arial" w:eastAsia="宋体" w:cs="Arial"/>
                <w:sz w:val="21"/>
                <w:szCs w:val="21"/>
              </w:rPr>
              <w:t>超标时间/min</w:t>
            </w:r>
          </w:p>
        </w:tc>
        <w:tc>
          <w:tcPr>
            <w:tcW w:w="1701" w:type="dxa"/>
            <w:gridSpan w:val="2"/>
            <w:vAlign w:val="center"/>
          </w:tcPr>
          <w:p w14:paraId="3D963A01">
            <w:pPr>
              <w:adjustRightInd w:val="0"/>
              <w:snapToGrid w:val="0"/>
              <w:jc w:val="center"/>
              <w:rPr>
                <w:rFonts w:ascii="Arial" w:hAnsi="Arial" w:eastAsia="宋体" w:cs="Arial"/>
                <w:sz w:val="21"/>
                <w:szCs w:val="21"/>
              </w:rPr>
            </w:pPr>
            <w:r>
              <w:rPr>
                <w:rFonts w:ascii="Arial" w:hAnsi="Arial" w:eastAsia="宋体" w:cs="Arial"/>
                <w:sz w:val="21"/>
                <w:szCs w:val="21"/>
              </w:rPr>
              <w:t>超标持续时间/min</w:t>
            </w:r>
          </w:p>
        </w:tc>
        <w:tc>
          <w:tcPr>
            <w:tcW w:w="1514" w:type="dxa"/>
            <w:gridSpan w:val="2"/>
            <w:vAlign w:val="center"/>
          </w:tcPr>
          <w:p w14:paraId="473BFC66">
            <w:pPr>
              <w:adjustRightInd w:val="0"/>
              <w:snapToGrid w:val="0"/>
              <w:jc w:val="center"/>
              <w:rPr>
                <w:rFonts w:ascii="Arial" w:hAnsi="Arial" w:eastAsia="宋体" w:cs="Arial"/>
                <w:sz w:val="21"/>
                <w:szCs w:val="21"/>
              </w:rPr>
            </w:pPr>
            <w:r>
              <w:rPr>
                <w:rFonts w:ascii="Arial" w:hAnsi="Arial" w:eastAsia="宋体" w:cs="Arial"/>
                <w:sz w:val="21"/>
                <w:szCs w:val="21"/>
              </w:rPr>
              <w:t>最大浓度（mg/m</w:t>
            </w:r>
            <w:r>
              <w:rPr>
                <w:rFonts w:ascii="Arial" w:hAnsi="Arial" w:eastAsia="宋体" w:cs="Arial"/>
                <w:sz w:val="21"/>
                <w:szCs w:val="21"/>
                <w:vertAlign w:val="superscript"/>
              </w:rPr>
              <w:t>3</w:t>
            </w:r>
            <w:r>
              <w:rPr>
                <w:rFonts w:ascii="Arial" w:hAnsi="Arial" w:eastAsia="宋体" w:cs="Arial"/>
                <w:sz w:val="21"/>
                <w:szCs w:val="21"/>
              </w:rPr>
              <w:t>）</w:t>
            </w:r>
          </w:p>
        </w:tc>
      </w:tr>
      <w:tr w14:paraId="58A8E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5C30DD85">
            <w:pPr>
              <w:adjustRightInd w:val="0"/>
              <w:snapToGrid w:val="0"/>
              <w:jc w:val="center"/>
              <w:rPr>
                <w:rFonts w:ascii="Arial" w:hAnsi="Arial" w:eastAsia="宋体" w:cs="Arial"/>
                <w:sz w:val="21"/>
                <w:szCs w:val="21"/>
              </w:rPr>
            </w:pPr>
          </w:p>
        </w:tc>
        <w:tc>
          <w:tcPr>
            <w:tcW w:w="1059" w:type="dxa"/>
            <w:gridSpan w:val="2"/>
            <w:vMerge w:val="continue"/>
            <w:vAlign w:val="center"/>
          </w:tcPr>
          <w:p w14:paraId="59AF0B9C">
            <w:pPr>
              <w:adjustRightInd w:val="0"/>
              <w:snapToGrid w:val="0"/>
              <w:jc w:val="center"/>
              <w:rPr>
                <w:rFonts w:ascii="Arial" w:hAnsi="Arial" w:eastAsia="宋体" w:cs="Arial"/>
                <w:sz w:val="21"/>
                <w:szCs w:val="21"/>
              </w:rPr>
            </w:pPr>
          </w:p>
        </w:tc>
        <w:tc>
          <w:tcPr>
            <w:tcW w:w="2253" w:type="dxa"/>
            <w:gridSpan w:val="2"/>
            <w:vAlign w:val="center"/>
          </w:tcPr>
          <w:p w14:paraId="2B5D46C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硫磺山村</w:t>
            </w:r>
          </w:p>
        </w:tc>
        <w:tc>
          <w:tcPr>
            <w:tcW w:w="1559" w:type="dxa"/>
            <w:gridSpan w:val="2"/>
            <w:vAlign w:val="center"/>
          </w:tcPr>
          <w:p w14:paraId="3470F15F">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6BE8A260">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56AA270C">
            <w:pPr>
              <w:adjustRightInd w:val="0"/>
              <w:snapToGrid w:val="0"/>
              <w:jc w:val="center"/>
              <w:rPr>
                <w:rFonts w:ascii="Arial" w:hAnsi="Arial" w:eastAsia="宋体" w:cs="Arial"/>
                <w:sz w:val="21"/>
                <w:szCs w:val="21"/>
              </w:rPr>
            </w:pPr>
            <w:r>
              <w:rPr>
                <w:rFonts w:hint="eastAsia" w:ascii="Arial" w:hAnsi="Arial" w:eastAsia="宋体" w:cs="Arial"/>
                <w:sz w:val="21"/>
                <w:szCs w:val="21"/>
              </w:rPr>
              <w:t>0.1521</w:t>
            </w:r>
          </w:p>
        </w:tc>
      </w:tr>
      <w:tr w14:paraId="11907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61A78997">
            <w:pPr>
              <w:adjustRightInd w:val="0"/>
              <w:snapToGrid w:val="0"/>
              <w:jc w:val="center"/>
              <w:rPr>
                <w:rFonts w:ascii="Arial" w:hAnsi="Arial" w:eastAsia="宋体" w:cs="Arial"/>
                <w:sz w:val="21"/>
                <w:szCs w:val="21"/>
              </w:rPr>
            </w:pPr>
          </w:p>
        </w:tc>
        <w:tc>
          <w:tcPr>
            <w:tcW w:w="1059" w:type="dxa"/>
            <w:gridSpan w:val="2"/>
            <w:vMerge w:val="continue"/>
            <w:vAlign w:val="center"/>
          </w:tcPr>
          <w:p w14:paraId="73565B44">
            <w:pPr>
              <w:adjustRightInd w:val="0"/>
              <w:snapToGrid w:val="0"/>
              <w:jc w:val="center"/>
              <w:rPr>
                <w:rFonts w:ascii="Arial" w:hAnsi="Arial" w:eastAsia="宋体" w:cs="Arial"/>
                <w:sz w:val="21"/>
                <w:szCs w:val="21"/>
              </w:rPr>
            </w:pPr>
          </w:p>
        </w:tc>
        <w:tc>
          <w:tcPr>
            <w:tcW w:w="2253" w:type="dxa"/>
            <w:gridSpan w:val="2"/>
            <w:vAlign w:val="center"/>
          </w:tcPr>
          <w:p w14:paraId="52F831B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平山村</w:t>
            </w:r>
          </w:p>
        </w:tc>
        <w:tc>
          <w:tcPr>
            <w:tcW w:w="1559" w:type="dxa"/>
            <w:gridSpan w:val="2"/>
            <w:vAlign w:val="center"/>
          </w:tcPr>
          <w:p w14:paraId="1699318C">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0E0E9471">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60615897">
            <w:pPr>
              <w:adjustRightInd w:val="0"/>
              <w:snapToGrid w:val="0"/>
              <w:jc w:val="center"/>
              <w:rPr>
                <w:rFonts w:ascii="Arial" w:hAnsi="Arial" w:eastAsia="宋体" w:cs="Arial"/>
                <w:sz w:val="21"/>
                <w:szCs w:val="21"/>
              </w:rPr>
            </w:pPr>
            <w:r>
              <w:rPr>
                <w:rFonts w:hint="eastAsia" w:ascii="Arial" w:hAnsi="Arial" w:eastAsia="宋体" w:cs="Arial"/>
                <w:sz w:val="21"/>
                <w:szCs w:val="21"/>
              </w:rPr>
              <w:t>0.0233</w:t>
            </w:r>
          </w:p>
        </w:tc>
      </w:tr>
      <w:tr w14:paraId="6E0F9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6D8FC834">
            <w:pPr>
              <w:adjustRightInd w:val="0"/>
              <w:snapToGrid w:val="0"/>
              <w:jc w:val="center"/>
              <w:rPr>
                <w:rFonts w:ascii="Arial" w:hAnsi="Arial" w:eastAsia="宋体" w:cs="Arial"/>
                <w:sz w:val="21"/>
                <w:szCs w:val="21"/>
              </w:rPr>
            </w:pPr>
          </w:p>
        </w:tc>
        <w:tc>
          <w:tcPr>
            <w:tcW w:w="1059" w:type="dxa"/>
            <w:gridSpan w:val="2"/>
            <w:vMerge w:val="continue"/>
            <w:vAlign w:val="center"/>
          </w:tcPr>
          <w:p w14:paraId="40006E86">
            <w:pPr>
              <w:adjustRightInd w:val="0"/>
              <w:snapToGrid w:val="0"/>
              <w:jc w:val="center"/>
              <w:rPr>
                <w:rFonts w:ascii="Arial" w:hAnsi="Arial" w:eastAsia="宋体" w:cs="Arial"/>
                <w:sz w:val="21"/>
                <w:szCs w:val="21"/>
              </w:rPr>
            </w:pPr>
          </w:p>
        </w:tc>
        <w:tc>
          <w:tcPr>
            <w:tcW w:w="2253" w:type="dxa"/>
            <w:gridSpan w:val="2"/>
            <w:vAlign w:val="center"/>
          </w:tcPr>
          <w:p w14:paraId="6B9CD96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大环村</w:t>
            </w:r>
          </w:p>
        </w:tc>
        <w:tc>
          <w:tcPr>
            <w:tcW w:w="1559" w:type="dxa"/>
            <w:gridSpan w:val="2"/>
            <w:vAlign w:val="center"/>
          </w:tcPr>
          <w:p w14:paraId="7B4E2720">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003FF2A3">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304BFC02">
            <w:pPr>
              <w:adjustRightInd w:val="0"/>
              <w:snapToGrid w:val="0"/>
              <w:jc w:val="center"/>
              <w:rPr>
                <w:rFonts w:ascii="Arial" w:hAnsi="Arial" w:eastAsia="宋体" w:cs="Arial"/>
                <w:sz w:val="21"/>
                <w:szCs w:val="21"/>
              </w:rPr>
            </w:pPr>
            <w:r>
              <w:rPr>
                <w:rFonts w:hint="eastAsia" w:ascii="Arial" w:hAnsi="Arial" w:eastAsia="宋体" w:cs="Arial"/>
                <w:sz w:val="21"/>
                <w:szCs w:val="21"/>
              </w:rPr>
              <w:t>0.0144</w:t>
            </w:r>
          </w:p>
        </w:tc>
      </w:tr>
      <w:tr w14:paraId="0E424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66939AA9">
            <w:pPr>
              <w:adjustRightInd w:val="0"/>
              <w:snapToGrid w:val="0"/>
              <w:jc w:val="center"/>
              <w:rPr>
                <w:rFonts w:ascii="Arial" w:hAnsi="Arial" w:eastAsia="宋体" w:cs="Arial"/>
                <w:sz w:val="21"/>
                <w:szCs w:val="21"/>
              </w:rPr>
            </w:pPr>
          </w:p>
        </w:tc>
        <w:tc>
          <w:tcPr>
            <w:tcW w:w="1059" w:type="dxa"/>
            <w:gridSpan w:val="2"/>
            <w:vMerge w:val="continue"/>
            <w:vAlign w:val="center"/>
          </w:tcPr>
          <w:p w14:paraId="47A1388F">
            <w:pPr>
              <w:adjustRightInd w:val="0"/>
              <w:snapToGrid w:val="0"/>
              <w:jc w:val="center"/>
              <w:rPr>
                <w:rFonts w:ascii="Arial" w:hAnsi="Arial" w:eastAsia="宋体" w:cs="Arial"/>
                <w:sz w:val="21"/>
                <w:szCs w:val="21"/>
              </w:rPr>
            </w:pPr>
          </w:p>
        </w:tc>
        <w:tc>
          <w:tcPr>
            <w:tcW w:w="2253" w:type="dxa"/>
            <w:gridSpan w:val="2"/>
            <w:vAlign w:val="center"/>
          </w:tcPr>
          <w:p w14:paraId="0F03A6C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鸡墩头村</w:t>
            </w:r>
          </w:p>
        </w:tc>
        <w:tc>
          <w:tcPr>
            <w:tcW w:w="1559" w:type="dxa"/>
            <w:gridSpan w:val="2"/>
            <w:vAlign w:val="center"/>
          </w:tcPr>
          <w:p w14:paraId="1A212E08">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05EF9C50">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544C4D67">
            <w:pPr>
              <w:adjustRightInd w:val="0"/>
              <w:snapToGrid w:val="0"/>
              <w:jc w:val="center"/>
              <w:rPr>
                <w:rFonts w:ascii="Arial" w:hAnsi="Arial" w:eastAsia="宋体" w:cs="Arial"/>
                <w:sz w:val="21"/>
                <w:szCs w:val="21"/>
              </w:rPr>
            </w:pPr>
            <w:r>
              <w:rPr>
                <w:rFonts w:hint="eastAsia" w:ascii="Arial" w:hAnsi="Arial" w:eastAsia="宋体" w:cs="Arial"/>
                <w:sz w:val="21"/>
                <w:szCs w:val="21"/>
              </w:rPr>
              <w:t>0.1869</w:t>
            </w:r>
          </w:p>
        </w:tc>
      </w:tr>
      <w:tr w14:paraId="08D21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1F818950">
            <w:pPr>
              <w:adjustRightInd w:val="0"/>
              <w:snapToGrid w:val="0"/>
              <w:jc w:val="center"/>
              <w:rPr>
                <w:rFonts w:ascii="Arial" w:hAnsi="Arial" w:eastAsia="宋体" w:cs="Arial"/>
                <w:sz w:val="21"/>
                <w:szCs w:val="21"/>
              </w:rPr>
            </w:pPr>
          </w:p>
        </w:tc>
        <w:tc>
          <w:tcPr>
            <w:tcW w:w="1059" w:type="dxa"/>
            <w:gridSpan w:val="2"/>
            <w:vMerge w:val="continue"/>
            <w:vAlign w:val="center"/>
          </w:tcPr>
          <w:p w14:paraId="477D9156">
            <w:pPr>
              <w:adjustRightInd w:val="0"/>
              <w:snapToGrid w:val="0"/>
              <w:jc w:val="center"/>
              <w:rPr>
                <w:rFonts w:ascii="Arial" w:hAnsi="Arial" w:eastAsia="宋体" w:cs="Arial"/>
                <w:sz w:val="21"/>
                <w:szCs w:val="21"/>
              </w:rPr>
            </w:pPr>
          </w:p>
        </w:tc>
        <w:tc>
          <w:tcPr>
            <w:tcW w:w="2253" w:type="dxa"/>
            <w:gridSpan w:val="2"/>
            <w:vAlign w:val="center"/>
          </w:tcPr>
          <w:p w14:paraId="373D70D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第五小学</w:t>
            </w:r>
          </w:p>
        </w:tc>
        <w:tc>
          <w:tcPr>
            <w:tcW w:w="1559" w:type="dxa"/>
            <w:gridSpan w:val="2"/>
            <w:vAlign w:val="center"/>
          </w:tcPr>
          <w:p w14:paraId="4B1E2DA9">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5FCA9285">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7963E842">
            <w:pPr>
              <w:adjustRightInd w:val="0"/>
              <w:snapToGrid w:val="0"/>
              <w:jc w:val="center"/>
              <w:rPr>
                <w:rFonts w:ascii="Arial" w:hAnsi="Arial" w:eastAsia="宋体" w:cs="Arial"/>
                <w:sz w:val="21"/>
                <w:szCs w:val="21"/>
              </w:rPr>
            </w:pPr>
            <w:r>
              <w:rPr>
                <w:rFonts w:hint="eastAsia" w:ascii="Arial" w:hAnsi="Arial" w:eastAsia="宋体" w:cs="Arial"/>
                <w:sz w:val="21"/>
                <w:szCs w:val="21"/>
              </w:rPr>
              <w:t>0.1367</w:t>
            </w:r>
          </w:p>
        </w:tc>
      </w:tr>
      <w:tr w14:paraId="75301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7E581C19">
            <w:pPr>
              <w:adjustRightInd w:val="0"/>
              <w:snapToGrid w:val="0"/>
              <w:jc w:val="center"/>
              <w:rPr>
                <w:rFonts w:ascii="Arial" w:hAnsi="Arial" w:eastAsia="宋体" w:cs="Arial"/>
                <w:sz w:val="21"/>
                <w:szCs w:val="21"/>
              </w:rPr>
            </w:pPr>
          </w:p>
        </w:tc>
        <w:tc>
          <w:tcPr>
            <w:tcW w:w="1059" w:type="dxa"/>
            <w:gridSpan w:val="2"/>
            <w:vMerge w:val="continue"/>
            <w:vAlign w:val="center"/>
          </w:tcPr>
          <w:p w14:paraId="153AE212">
            <w:pPr>
              <w:adjustRightInd w:val="0"/>
              <w:snapToGrid w:val="0"/>
              <w:jc w:val="center"/>
              <w:rPr>
                <w:rFonts w:ascii="Arial" w:hAnsi="Arial" w:eastAsia="宋体" w:cs="Arial"/>
                <w:sz w:val="21"/>
                <w:szCs w:val="21"/>
              </w:rPr>
            </w:pPr>
          </w:p>
        </w:tc>
        <w:tc>
          <w:tcPr>
            <w:tcW w:w="2253" w:type="dxa"/>
            <w:gridSpan w:val="2"/>
            <w:vAlign w:val="center"/>
          </w:tcPr>
          <w:p w14:paraId="0EFF911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港区中学</w:t>
            </w:r>
          </w:p>
        </w:tc>
        <w:tc>
          <w:tcPr>
            <w:tcW w:w="1559" w:type="dxa"/>
            <w:gridSpan w:val="2"/>
            <w:vAlign w:val="center"/>
          </w:tcPr>
          <w:p w14:paraId="7D6E4DA3">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0BA55317">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607149FB">
            <w:pPr>
              <w:adjustRightInd w:val="0"/>
              <w:snapToGrid w:val="0"/>
              <w:jc w:val="center"/>
              <w:rPr>
                <w:rFonts w:ascii="Arial" w:hAnsi="Arial" w:eastAsia="宋体" w:cs="Arial"/>
                <w:sz w:val="21"/>
                <w:szCs w:val="21"/>
              </w:rPr>
            </w:pPr>
            <w:r>
              <w:rPr>
                <w:rFonts w:hint="eastAsia" w:ascii="Arial" w:hAnsi="Arial" w:eastAsia="宋体" w:cs="Arial"/>
                <w:sz w:val="21"/>
                <w:szCs w:val="21"/>
              </w:rPr>
              <w:t>0.0511</w:t>
            </w:r>
          </w:p>
        </w:tc>
      </w:tr>
      <w:tr w14:paraId="480F5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51FA6944">
            <w:pPr>
              <w:adjustRightInd w:val="0"/>
              <w:snapToGrid w:val="0"/>
              <w:jc w:val="center"/>
              <w:rPr>
                <w:rFonts w:ascii="Arial" w:hAnsi="Arial" w:eastAsia="宋体" w:cs="Arial"/>
                <w:sz w:val="21"/>
                <w:szCs w:val="21"/>
              </w:rPr>
            </w:pPr>
          </w:p>
        </w:tc>
        <w:tc>
          <w:tcPr>
            <w:tcW w:w="1059" w:type="dxa"/>
            <w:gridSpan w:val="2"/>
            <w:vMerge w:val="continue"/>
            <w:vAlign w:val="center"/>
          </w:tcPr>
          <w:p w14:paraId="0EA53C22">
            <w:pPr>
              <w:adjustRightInd w:val="0"/>
              <w:snapToGrid w:val="0"/>
              <w:jc w:val="center"/>
              <w:rPr>
                <w:rFonts w:ascii="Arial" w:hAnsi="Arial" w:eastAsia="宋体" w:cs="Arial"/>
                <w:sz w:val="21"/>
                <w:szCs w:val="21"/>
              </w:rPr>
            </w:pPr>
          </w:p>
        </w:tc>
        <w:tc>
          <w:tcPr>
            <w:tcW w:w="2253" w:type="dxa"/>
            <w:gridSpan w:val="2"/>
            <w:vAlign w:val="center"/>
          </w:tcPr>
          <w:p w14:paraId="7400A37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沙岗头村</w:t>
            </w:r>
          </w:p>
        </w:tc>
        <w:tc>
          <w:tcPr>
            <w:tcW w:w="1559" w:type="dxa"/>
            <w:gridSpan w:val="2"/>
            <w:vAlign w:val="center"/>
          </w:tcPr>
          <w:p w14:paraId="578AFDA4">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0A316375">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23C1420B">
            <w:pPr>
              <w:adjustRightInd w:val="0"/>
              <w:snapToGrid w:val="0"/>
              <w:jc w:val="center"/>
              <w:rPr>
                <w:rFonts w:ascii="Arial" w:hAnsi="Arial" w:eastAsia="宋体" w:cs="Arial"/>
                <w:sz w:val="21"/>
                <w:szCs w:val="21"/>
              </w:rPr>
            </w:pPr>
            <w:r>
              <w:rPr>
                <w:rFonts w:hint="eastAsia" w:ascii="Arial" w:hAnsi="Arial" w:eastAsia="宋体" w:cs="Arial"/>
                <w:sz w:val="21"/>
                <w:szCs w:val="21"/>
              </w:rPr>
              <w:t>0.0153</w:t>
            </w:r>
          </w:p>
        </w:tc>
      </w:tr>
      <w:tr w14:paraId="2CC30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10B706F9">
            <w:pPr>
              <w:adjustRightInd w:val="0"/>
              <w:snapToGrid w:val="0"/>
              <w:jc w:val="center"/>
              <w:rPr>
                <w:rFonts w:ascii="Arial" w:hAnsi="Arial" w:eastAsia="宋体" w:cs="Arial"/>
                <w:sz w:val="21"/>
                <w:szCs w:val="21"/>
              </w:rPr>
            </w:pPr>
          </w:p>
        </w:tc>
        <w:tc>
          <w:tcPr>
            <w:tcW w:w="1059" w:type="dxa"/>
            <w:gridSpan w:val="2"/>
            <w:vMerge w:val="continue"/>
            <w:vAlign w:val="center"/>
          </w:tcPr>
          <w:p w14:paraId="58934B42">
            <w:pPr>
              <w:adjustRightInd w:val="0"/>
              <w:snapToGrid w:val="0"/>
              <w:jc w:val="center"/>
              <w:rPr>
                <w:rFonts w:ascii="Arial" w:hAnsi="Arial" w:eastAsia="宋体" w:cs="Arial"/>
                <w:sz w:val="21"/>
                <w:szCs w:val="21"/>
              </w:rPr>
            </w:pPr>
          </w:p>
        </w:tc>
        <w:tc>
          <w:tcPr>
            <w:tcW w:w="2253" w:type="dxa"/>
            <w:gridSpan w:val="2"/>
            <w:vAlign w:val="center"/>
          </w:tcPr>
          <w:p w14:paraId="25BB03C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金鼓社区</w:t>
            </w:r>
          </w:p>
        </w:tc>
        <w:tc>
          <w:tcPr>
            <w:tcW w:w="1559" w:type="dxa"/>
            <w:gridSpan w:val="2"/>
            <w:vAlign w:val="center"/>
          </w:tcPr>
          <w:p w14:paraId="128D0393">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46CED1CE">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0753968B">
            <w:pPr>
              <w:adjustRightInd w:val="0"/>
              <w:snapToGrid w:val="0"/>
              <w:jc w:val="center"/>
              <w:rPr>
                <w:rFonts w:ascii="Arial" w:hAnsi="Arial" w:eastAsia="宋体" w:cs="Arial"/>
                <w:sz w:val="21"/>
                <w:szCs w:val="21"/>
              </w:rPr>
            </w:pPr>
            <w:r>
              <w:rPr>
                <w:rFonts w:hint="eastAsia" w:ascii="Arial" w:hAnsi="Arial" w:eastAsia="宋体" w:cs="Arial"/>
                <w:sz w:val="21"/>
                <w:szCs w:val="21"/>
              </w:rPr>
              <w:t>0.0237</w:t>
            </w:r>
          </w:p>
        </w:tc>
      </w:tr>
      <w:tr w14:paraId="704A7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5155CCCB">
            <w:pPr>
              <w:adjustRightInd w:val="0"/>
              <w:snapToGrid w:val="0"/>
              <w:jc w:val="center"/>
              <w:rPr>
                <w:rFonts w:ascii="Arial" w:hAnsi="Arial" w:eastAsia="宋体" w:cs="Arial"/>
                <w:sz w:val="21"/>
                <w:szCs w:val="21"/>
              </w:rPr>
            </w:pPr>
          </w:p>
        </w:tc>
        <w:tc>
          <w:tcPr>
            <w:tcW w:w="1059" w:type="dxa"/>
            <w:gridSpan w:val="2"/>
            <w:vMerge w:val="continue"/>
            <w:vAlign w:val="center"/>
          </w:tcPr>
          <w:p w14:paraId="639E5705">
            <w:pPr>
              <w:adjustRightInd w:val="0"/>
              <w:snapToGrid w:val="0"/>
              <w:jc w:val="center"/>
              <w:rPr>
                <w:rFonts w:ascii="Arial" w:hAnsi="Arial" w:eastAsia="宋体" w:cs="Arial"/>
                <w:sz w:val="21"/>
                <w:szCs w:val="21"/>
              </w:rPr>
            </w:pPr>
          </w:p>
        </w:tc>
        <w:tc>
          <w:tcPr>
            <w:tcW w:w="2253" w:type="dxa"/>
            <w:gridSpan w:val="2"/>
            <w:vAlign w:val="center"/>
          </w:tcPr>
          <w:p w14:paraId="4C7D3B6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鹿耳环村</w:t>
            </w:r>
          </w:p>
        </w:tc>
        <w:tc>
          <w:tcPr>
            <w:tcW w:w="1559" w:type="dxa"/>
            <w:gridSpan w:val="2"/>
            <w:vAlign w:val="center"/>
          </w:tcPr>
          <w:p w14:paraId="7B5C970F">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2A1C26F1">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150EB535">
            <w:pPr>
              <w:adjustRightInd w:val="0"/>
              <w:snapToGrid w:val="0"/>
              <w:jc w:val="center"/>
              <w:rPr>
                <w:rFonts w:ascii="Arial" w:hAnsi="Arial" w:eastAsia="宋体" w:cs="Arial"/>
                <w:sz w:val="21"/>
                <w:szCs w:val="21"/>
              </w:rPr>
            </w:pPr>
            <w:r>
              <w:rPr>
                <w:rFonts w:hint="eastAsia" w:ascii="Arial" w:hAnsi="Arial" w:eastAsia="宋体" w:cs="Arial"/>
                <w:sz w:val="21"/>
                <w:szCs w:val="21"/>
              </w:rPr>
              <w:t>0.0358</w:t>
            </w:r>
          </w:p>
        </w:tc>
      </w:tr>
      <w:tr w14:paraId="1F4A7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 w:type="dxa"/>
            <w:vMerge w:val="continue"/>
            <w:vAlign w:val="center"/>
          </w:tcPr>
          <w:p w14:paraId="745B0401">
            <w:pPr>
              <w:adjustRightInd w:val="0"/>
              <w:snapToGrid w:val="0"/>
              <w:jc w:val="center"/>
              <w:rPr>
                <w:rFonts w:ascii="Arial" w:hAnsi="Arial" w:eastAsia="宋体" w:cs="Arial"/>
                <w:sz w:val="21"/>
                <w:szCs w:val="21"/>
              </w:rPr>
            </w:pPr>
          </w:p>
        </w:tc>
        <w:tc>
          <w:tcPr>
            <w:tcW w:w="1059" w:type="dxa"/>
            <w:gridSpan w:val="2"/>
            <w:vMerge w:val="continue"/>
            <w:vAlign w:val="center"/>
          </w:tcPr>
          <w:p w14:paraId="62B58AD4">
            <w:pPr>
              <w:adjustRightInd w:val="0"/>
              <w:snapToGrid w:val="0"/>
              <w:jc w:val="center"/>
              <w:rPr>
                <w:rFonts w:ascii="Arial" w:hAnsi="Arial" w:eastAsia="宋体" w:cs="Arial"/>
                <w:sz w:val="21"/>
                <w:szCs w:val="21"/>
              </w:rPr>
            </w:pPr>
          </w:p>
        </w:tc>
        <w:tc>
          <w:tcPr>
            <w:tcW w:w="2253" w:type="dxa"/>
            <w:gridSpan w:val="2"/>
            <w:vAlign w:val="center"/>
          </w:tcPr>
          <w:p w14:paraId="699BD99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水榕冲村</w:t>
            </w:r>
          </w:p>
        </w:tc>
        <w:tc>
          <w:tcPr>
            <w:tcW w:w="1559" w:type="dxa"/>
            <w:gridSpan w:val="2"/>
            <w:vAlign w:val="center"/>
          </w:tcPr>
          <w:p w14:paraId="1AF6F88E">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701" w:type="dxa"/>
            <w:gridSpan w:val="2"/>
            <w:vAlign w:val="center"/>
          </w:tcPr>
          <w:p w14:paraId="0FAA27BF">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1514" w:type="dxa"/>
            <w:gridSpan w:val="2"/>
            <w:vAlign w:val="center"/>
          </w:tcPr>
          <w:p w14:paraId="0DC37ACB">
            <w:pPr>
              <w:adjustRightInd w:val="0"/>
              <w:snapToGrid w:val="0"/>
              <w:jc w:val="center"/>
              <w:rPr>
                <w:rFonts w:ascii="Arial" w:hAnsi="Arial" w:eastAsia="宋体" w:cs="Arial"/>
                <w:sz w:val="21"/>
                <w:szCs w:val="21"/>
              </w:rPr>
            </w:pPr>
            <w:r>
              <w:rPr>
                <w:rFonts w:hint="eastAsia" w:ascii="Arial" w:hAnsi="Arial" w:eastAsia="宋体" w:cs="Arial"/>
                <w:sz w:val="21"/>
                <w:szCs w:val="21"/>
              </w:rPr>
              <w:t>0.0166</w:t>
            </w:r>
          </w:p>
        </w:tc>
      </w:tr>
    </w:tbl>
    <w:p w14:paraId="07DA92E1">
      <w:pPr>
        <w:spacing w:line="500" w:lineRule="exact"/>
        <w:ind w:firstLine="489"/>
        <w:jc w:val="left"/>
        <w:rPr>
          <w:rFonts w:ascii="Arial" w:hAnsi="Arial" w:eastAsia="宋体" w:cs="Arial"/>
          <w:spacing w:val="10"/>
          <w:sz w:val="24"/>
        </w:rPr>
      </w:pPr>
      <w:r>
        <w:rPr>
          <w:rFonts w:ascii="Arial" w:hAnsi="Arial" w:eastAsia="宋体" w:cs="Arial"/>
          <w:spacing w:val="10"/>
          <w:sz w:val="24"/>
        </w:rPr>
        <w:t>根据预测，</w:t>
      </w:r>
      <w:r>
        <w:rPr>
          <w:rFonts w:hint="eastAsia" w:ascii="Arial" w:hAnsi="Arial" w:eastAsia="宋体" w:cs="Arial"/>
          <w:spacing w:val="10"/>
          <w:sz w:val="24"/>
        </w:rPr>
        <w:t>氨水</w:t>
      </w:r>
      <w:r>
        <w:rPr>
          <w:rFonts w:ascii="Arial" w:hAnsi="Arial" w:eastAsia="宋体" w:cs="Arial"/>
          <w:spacing w:val="10"/>
          <w:sz w:val="24"/>
        </w:rPr>
        <w:t>泄漏：</w:t>
      </w:r>
      <w:r>
        <w:rPr>
          <w:rFonts w:ascii="Arial" w:hAnsi="Arial" w:eastAsia="宋体" w:cs="Arial"/>
          <w:spacing w:val="10"/>
          <w:sz w:val="24"/>
          <w:u w:val="single"/>
        </w:rPr>
        <w:t>最不利气象条件下，最远影响距离为</w:t>
      </w:r>
      <w:r>
        <w:rPr>
          <w:rFonts w:hint="eastAsia" w:ascii="Arial" w:hAnsi="Arial" w:eastAsia="宋体" w:cs="Arial"/>
          <w:spacing w:val="10"/>
          <w:sz w:val="24"/>
          <w:u w:val="single"/>
        </w:rPr>
        <w:t>14</w:t>
      </w:r>
      <w:r>
        <w:rPr>
          <w:rFonts w:ascii="Arial" w:hAnsi="Arial" w:eastAsia="宋体" w:cs="Arial"/>
          <w:spacing w:val="10"/>
          <w:sz w:val="24"/>
          <w:u w:val="single"/>
        </w:rPr>
        <w:t>0m，</w:t>
      </w:r>
      <w:r>
        <w:rPr>
          <w:rFonts w:hint="eastAsia" w:ascii="Arial" w:hAnsi="Arial" w:eastAsia="宋体" w:cs="Arial"/>
          <w:spacing w:val="10"/>
          <w:sz w:val="24"/>
          <w:szCs w:val="24"/>
          <w:u w:val="single"/>
        </w:rPr>
        <w:t>各敏感目标</w:t>
      </w:r>
      <w:r>
        <w:rPr>
          <w:rFonts w:hint="eastAsia" w:ascii="Arial" w:hAnsi="Arial" w:eastAsia="宋体" w:cs="Arial"/>
          <w:spacing w:val="10"/>
          <w:sz w:val="24"/>
          <w:u w:val="single"/>
        </w:rPr>
        <w:t>氨</w:t>
      </w:r>
      <w:r>
        <w:rPr>
          <w:rFonts w:ascii="Arial" w:hAnsi="Arial" w:eastAsia="宋体" w:cs="Arial"/>
          <w:spacing w:val="10"/>
          <w:sz w:val="24"/>
          <w:u w:val="single"/>
        </w:rPr>
        <w:t>浓度未超标</w:t>
      </w:r>
      <w:r>
        <w:rPr>
          <w:rFonts w:hint="eastAsia" w:ascii="Arial" w:hAnsi="Arial" w:eastAsia="宋体" w:cs="Arial"/>
          <w:spacing w:val="10"/>
          <w:sz w:val="24"/>
          <w:u w:val="single"/>
        </w:rPr>
        <w:t>，大气伤害概率为0</w:t>
      </w:r>
      <w:r>
        <w:rPr>
          <w:rFonts w:ascii="Arial" w:hAnsi="Arial" w:eastAsia="宋体" w:cs="Arial"/>
          <w:spacing w:val="10"/>
          <w:sz w:val="24"/>
          <w:u w:val="single"/>
        </w:rPr>
        <w:t>；常见气象条件下，最远影响距离为</w:t>
      </w:r>
      <w:r>
        <w:rPr>
          <w:rFonts w:hint="eastAsia" w:ascii="Arial" w:hAnsi="Arial" w:eastAsia="宋体" w:cs="Arial"/>
          <w:spacing w:val="10"/>
          <w:sz w:val="24"/>
          <w:u w:val="single"/>
        </w:rPr>
        <w:t>20</w:t>
      </w:r>
      <w:r>
        <w:rPr>
          <w:rFonts w:ascii="Arial" w:hAnsi="Arial" w:eastAsia="宋体" w:cs="Arial"/>
          <w:spacing w:val="10"/>
          <w:sz w:val="24"/>
          <w:u w:val="single"/>
        </w:rPr>
        <w:t>m，</w:t>
      </w:r>
      <w:r>
        <w:rPr>
          <w:rFonts w:hint="eastAsia" w:ascii="Arial" w:hAnsi="Arial" w:eastAsia="宋体" w:cs="Arial"/>
          <w:spacing w:val="10"/>
          <w:sz w:val="24"/>
          <w:szCs w:val="24"/>
          <w:u w:val="single"/>
        </w:rPr>
        <w:t>各敏感目标</w:t>
      </w:r>
      <w:r>
        <w:rPr>
          <w:rFonts w:hint="eastAsia" w:ascii="Arial" w:hAnsi="Arial" w:eastAsia="宋体" w:cs="Arial"/>
          <w:spacing w:val="10"/>
          <w:sz w:val="24"/>
          <w:u w:val="single"/>
        </w:rPr>
        <w:t>氨</w:t>
      </w:r>
      <w:r>
        <w:rPr>
          <w:rFonts w:ascii="Arial" w:hAnsi="Arial" w:eastAsia="宋体" w:cs="Arial"/>
          <w:spacing w:val="10"/>
          <w:sz w:val="24"/>
          <w:u w:val="single"/>
        </w:rPr>
        <w:t>浓度未超标</w:t>
      </w:r>
      <w:r>
        <w:rPr>
          <w:rFonts w:hint="eastAsia" w:ascii="Arial" w:hAnsi="Arial" w:eastAsia="宋体" w:cs="Arial"/>
          <w:spacing w:val="10"/>
          <w:sz w:val="24"/>
          <w:u w:val="single"/>
        </w:rPr>
        <w:t>，大气伤害概率为0。</w:t>
      </w:r>
    </w:p>
    <w:p w14:paraId="6741809A">
      <w:pPr>
        <w:numPr>
          <w:ilvl w:val="0"/>
          <w:numId w:val="33"/>
        </w:numPr>
        <w:spacing w:line="500" w:lineRule="exact"/>
        <w:jc w:val="left"/>
        <w:outlineLvl w:val="3"/>
        <w:rPr>
          <w:rFonts w:ascii="Arial" w:hAnsi="Arial" w:eastAsia="宋体" w:cs="Arial"/>
          <w:b/>
          <w:sz w:val="24"/>
        </w:rPr>
      </w:pPr>
      <w:r>
        <w:rPr>
          <w:rFonts w:ascii="Arial" w:hAnsi="Arial" w:eastAsia="宋体" w:cs="Arial"/>
          <w:b/>
          <w:sz w:val="24"/>
        </w:rPr>
        <w:t>地表水风险影响分析</w:t>
      </w:r>
    </w:p>
    <w:p w14:paraId="56EF7CFE">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rPr>
        <w:t>X19车间配酸槽利用原有的25m</w:t>
      </w:r>
      <w:r>
        <w:rPr>
          <w:rFonts w:hint="eastAsia" w:ascii="Arial" w:hAnsi="Arial" w:eastAsia="宋体" w:cs="Arial"/>
          <w:spacing w:val="10"/>
          <w:sz w:val="24"/>
          <w:vertAlign w:val="superscript"/>
        </w:rPr>
        <w:t>3</w:t>
      </w:r>
      <w:r>
        <w:rPr>
          <w:rFonts w:hint="eastAsia" w:ascii="Arial" w:hAnsi="Arial" w:eastAsia="宋体" w:cs="Arial"/>
          <w:spacing w:val="10"/>
          <w:sz w:val="24"/>
        </w:rPr>
        <w:t>罐体，盛装15%~20%稀硫酸，用于清洗精密过滤器，因年用量很少（约40L/a），罐体盛装量在1t左右。</w:t>
      </w:r>
      <w:r>
        <w:rPr>
          <w:rFonts w:ascii="Arial" w:hAnsi="Arial" w:eastAsia="宋体" w:cs="Arial"/>
          <w:spacing w:val="10"/>
          <w:sz w:val="24"/>
        </w:rPr>
        <w:t>假如</w:t>
      </w:r>
      <w:r>
        <w:rPr>
          <w:rFonts w:hint="eastAsia" w:ascii="Arial" w:hAnsi="Arial" w:eastAsia="宋体" w:cs="Arial"/>
          <w:spacing w:val="10"/>
          <w:sz w:val="24"/>
        </w:rPr>
        <w:t>该储槽</w:t>
      </w:r>
      <w:r>
        <w:rPr>
          <w:rFonts w:ascii="Arial" w:hAnsi="Arial" w:eastAsia="宋体" w:cs="Arial"/>
          <w:spacing w:val="10"/>
          <w:sz w:val="24"/>
          <w:szCs w:val="24"/>
        </w:rPr>
        <w:t>泄漏，</w:t>
      </w:r>
      <w:r>
        <w:rPr>
          <w:rFonts w:hint="eastAsia" w:ascii="Arial" w:hAnsi="Arial" w:eastAsia="宋体" w:cs="Arial"/>
          <w:spacing w:val="10"/>
          <w:sz w:val="24"/>
          <w:szCs w:val="24"/>
        </w:rPr>
        <w:t>一般来说稀硫酸</w:t>
      </w:r>
      <w:r>
        <w:rPr>
          <w:rFonts w:ascii="Arial" w:hAnsi="Arial" w:eastAsia="宋体" w:cs="Arial"/>
          <w:spacing w:val="10"/>
          <w:sz w:val="24"/>
          <w:szCs w:val="24"/>
        </w:rPr>
        <w:t>可</w:t>
      </w:r>
      <w:r>
        <w:rPr>
          <w:rFonts w:hint="eastAsia" w:ascii="Arial" w:hAnsi="Arial" w:eastAsia="宋体" w:cs="Arial"/>
          <w:spacing w:val="10"/>
          <w:sz w:val="24"/>
          <w:szCs w:val="24"/>
        </w:rPr>
        <w:t>全部</w:t>
      </w:r>
      <w:r>
        <w:rPr>
          <w:rFonts w:ascii="Arial" w:hAnsi="Arial" w:eastAsia="宋体" w:cs="Arial"/>
          <w:spacing w:val="10"/>
          <w:sz w:val="24"/>
          <w:szCs w:val="24"/>
        </w:rPr>
        <w:t>控制在围堰内</w:t>
      </w:r>
      <w:r>
        <w:rPr>
          <w:rFonts w:hint="eastAsia" w:ascii="Arial" w:hAnsi="Arial" w:eastAsia="宋体" w:cs="Arial"/>
          <w:spacing w:val="10"/>
          <w:sz w:val="24"/>
        </w:rPr>
        <w:t>（</w:t>
      </w:r>
      <w:r>
        <w:rPr>
          <w:rFonts w:ascii="Arial" w:hAnsi="Arial" w:eastAsia="宋体" w:cs="Arial"/>
          <w:spacing w:val="10"/>
          <w:sz w:val="24"/>
        </w:rPr>
        <w:t>围堰内有效容积约</w:t>
      </w:r>
      <w:r>
        <w:rPr>
          <w:rFonts w:hint="eastAsia" w:ascii="Arial" w:hAnsi="Arial" w:eastAsia="宋体" w:cs="Arial"/>
          <w:spacing w:val="10"/>
          <w:sz w:val="24"/>
        </w:rPr>
        <w:t>36</w:t>
      </w:r>
      <w:r>
        <w:rPr>
          <w:rFonts w:ascii="Arial" w:hAnsi="Arial" w:eastAsia="宋体" w:cs="Arial"/>
          <w:spacing w:val="10"/>
          <w:sz w:val="24"/>
          <w:szCs w:val="24"/>
        </w:rPr>
        <w:t>m</w:t>
      </w:r>
      <w:r>
        <w:rPr>
          <w:rFonts w:ascii="Arial" w:hAnsi="Arial" w:eastAsia="宋体" w:cs="Arial"/>
          <w:spacing w:val="10"/>
          <w:sz w:val="24"/>
          <w:szCs w:val="24"/>
          <w:vertAlign w:val="superscript"/>
        </w:rPr>
        <w:t>3</w:t>
      </w:r>
      <w:r>
        <w:rPr>
          <w:rFonts w:hint="eastAsia" w:ascii="Arial" w:hAnsi="Arial" w:eastAsia="宋体" w:cs="Arial"/>
          <w:spacing w:val="10"/>
          <w:sz w:val="24"/>
        </w:rPr>
        <w:t>）</w:t>
      </w:r>
      <w:r>
        <w:rPr>
          <w:rFonts w:ascii="Arial" w:hAnsi="Arial" w:eastAsia="宋体" w:cs="Arial"/>
          <w:spacing w:val="10"/>
          <w:sz w:val="24"/>
          <w:szCs w:val="24"/>
        </w:rPr>
        <w:t>。</w:t>
      </w:r>
      <w:r>
        <w:rPr>
          <w:rFonts w:hint="eastAsia" w:ascii="Arial" w:hAnsi="Arial" w:eastAsia="宋体" w:cs="Arial"/>
          <w:spacing w:val="10"/>
          <w:sz w:val="24"/>
          <w:szCs w:val="24"/>
        </w:rPr>
        <w:t>应急响应不及时、封堵阀关闭延迟或其他因素，泄漏的硫酸可能随着雨水管道向东排出厂界。</w:t>
      </w:r>
    </w:p>
    <w:p w14:paraId="3C9B0F70">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假设1t稀硫酸全部进入雨水管道，从罐体附近雨水管落水井至排水口约520m，考虑管道中10cm水深，则硫酸排出厂界的浓度约9259mg/L。</w:t>
      </w:r>
    </w:p>
    <w:p w14:paraId="23AC1C7F">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根据已批复的《广西中伟新能源科技有限公司北部湾产业基地三元项目（一期一阶段）环境影响报告书》，其运营期海洋环境影响预测与评价中的事故排放情景SO</w:t>
      </w:r>
      <w:r>
        <w:rPr>
          <w:rFonts w:hint="eastAsia" w:ascii="Arial" w:hAnsi="Arial" w:eastAsia="宋体" w:cs="Arial"/>
          <w:spacing w:val="10"/>
          <w:sz w:val="24"/>
          <w:vertAlign w:val="subscript"/>
        </w:rPr>
        <w:t>4</w:t>
      </w:r>
      <w:r>
        <w:rPr>
          <w:rFonts w:hint="eastAsia" w:ascii="Arial" w:hAnsi="Arial" w:eastAsia="宋体" w:cs="Arial"/>
          <w:spacing w:val="10"/>
          <w:sz w:val="24"/>
          <w:vertAlign w:val="superscript"/>
        </w:rPr>
        <w:t>2-</w:t>
      </w:r>
      <w:r>
        <w:rPr>
          <w:rFonts w:hint="eastAsia" w:ascii="Arial" w:hAnsi="Arial" w:eastAsia="宋体" w:cs="Arial"/>
          <w:spacing w:val="10"/>
          <w:sz w:val="24"/>
        </w:rPr>
        <w:t>源强为63262mg/L、水量25801.7m</w:t>
      </w:r>
      <w:r>
        <w:rPr>
          <w:rFonts w:hint="eastAsia" w:ascii="Arial" w:hAnsi="Arial" w:eastAsia="宋体" w:cs="Arial"/>
          <w:spacing w:val="10"/>
          <w:sz w:val="24"/>
          <w:vertAlign w:val="superscript"/>
        </w:rPr>
        <w:t>3</w:t>
      </w:r>
      <w:r>
        <w:rPr>
          <w:rFonts w:hint="eastAsia" w:ascii="Arial" w:hAnsi="Arial" w:eastAsia="宋体" w:cs="Arial"/>
          <w:spacing w:val="10"/>
          <w:sz w:val="24"/>
        </w:rPr>
        <w:t>/d，本报告风险情景污染源强小于该项目事故排放预测源强。因此，项目地表水风险影响分析引用一阶段项目事故排放预测结论进行评价。</w:t>
      </w:r>
    </w:p>
    <w:p w14:paraId="1CCE01B1">
      <w:pPr>
        <w:spacing w:line="500" w:lineRule="exact"/>
        <w:ind w:firstLine="480"/>
        <w:rPr>
          <w:rFonts w:ascii="Arial" w:hAnsi="Arial" w:eastAsia="宋体" w:cs="Arial"/>
          <w:spacing w:val="10"/>
          <w:sz w:val="24"/>
          <w:szCs w:val="24"/>
        </w:rPr>
      </w:pPr>
      <w:r>
        <w:rPr>
          <w:rFonts w:hint="eastAsia" w:ascii="Arial" w:hAnsi="Arial" w:eastAsia="宋体" w:cs="Arial"/>
          <w:spacing w:val="10"/>
          <w:sz w:val="24"/>
          <w:szCs w:val="24"/>
        </w:rPr>
        <w:t>1、对海洋生物的影响</w:t>
      </w:r>
    </w:p>
    <w:p w14:paraId="262396B4">
      <w:pPr>
        <w:spacing w:line="500" w:lineRule="exact"/>
        <w:ind w:firstLine="480"/>
        <w:rPr>
          <w:rFonts w:ascii="Arial" w:hAnsi="Arial" w:eastAsia="宋体" w:cs="Arial"/>
          <w:spacing w:val="10"/>
          <w:sz w:val="24"/>
          <w:szCs w:val="24"/>
        </w:rPr>
      </w:pPr>
      <w:r>
        <w:rPr>
          <w:rFonts w:ascii="Arial" w:hAnsi="Arial" w:eastAsia="宋体" w:cs="Arial"/>
          <w:spacing w:val="10"/>
          <w:sz w:val="24"/>
          <w:szCs w:val="24"/>
        </w:rPr>
        <w:t>硫酸盐是海水中的常量组分，目前尚无具体研究报道硫酸盐对海洋生物的毒性数据，而在缺氧环境中硫酸盐是硫还原细菌的重要食物来源，硫还原细菌对硫酸盐的还原为整个厌氧缺氧生态系统提供重要的能量支撑。</w:t>
      </w:r>
    </w:p>
    <w:p w14:paraId="3E594218">
      <w:pPr>
        <w:spacing w:line="500" w:lineRule="exact"/>
        <w:ind w:firstLine="480"/>
        <w:rPr>
          <w:rFonts w:ascii="Arial" w:hAnsi="Arial" w:eastAsia="宋体" w:cs="Arial"/>
          <w:spacing w:val="10"/>
          <w:sz w:val="24"/>
          <w:szCs w:val="24"/>
        </w:rPr>
      </w:pPr>
      <w:r>
        <w:rPr>
          <w:rFonts w:ascii="Arial" w:hAnsi="Arial" w:eastAsia="宋体" w:cs="Arial"/>
          <w:spacing w:val="10"/>
          <w:sz w:val="24"/>
          <w:szCs w:val="24"/>
        </w:rPr>
        <w:t>海水中的溶解态硫主要以硫酸根（SO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）的形式被包括浮游植物在内的光合植物所吸收利用，转变为蛋白质等含硫生物大分子，再由生产者转到消费者。动植物死亡后，蛋白质在有氧条件下经微生物分解并氧化成SO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进入再循环（沈国英等, 2010）。SO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从未被认为是限制海洋生产力的因素（Algeo et al., 2015）。然而，海洋浮游植物仍保留着重新编码基因表达以响应低浓度硫酸盐的能力。低浓度（0.576g/L）硫酸盐可明显降低浮游植物杜氏盐藻（Dunaliella salina）的生长和光合速率，还能够导致碳氮代谢的失衡，具体表现在细胞内磷酸盐、硝酸盐和铵盐浓度的增加，腺苷5’三磷酸硫酸化酶、硝酸还原酶和磷酸烯醇式丙酮酸（PEP）羧化酶等关键酶活性的改变以及核酮糖-1,5-二磷酸羧化酶、PEP羧化酶和光捕获复合蛋白等特定蛋白的增减（Giordano et al., 2000）。将人工海水中可利用性硫酸盐的浓度从2.4g/L降低到0.48g/L，球石藻（Emiliania huxleyi）的生长同样表现出明显的抑制，细胞内二甲基硫丙酸（dimethylsulfoniopropionate，DMSP）和谷胱甘肽（glutathione，GSH）的浓度也显著降低。在硫酸盐限制的情况下，球石藻可主动增加硫酸盐的摄取，但硫酸盐还原为亚硫酸盐的速率并没有受到显著影响。硫酸盐限制影响了球石藻细胞内1,718个基因的表达，其中绝大多数表达上调，包括参与碳水化合物和脂质代谢的基因，以及与应激反应相关的基因（Bochenek et al., 2013）。从地质年代尺度上看，海水硫酸盐浓度的增加可能促进了含叶绿素a+c浮游植物（包括甲藻、球石藻、硅藻）的进化扩张（Ratti et al., 2011）。另外，提高SO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浓度可能会导致重金属离子生物可利用性和毒性增强。0.03 g/L 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条件下，杜氏盐藻细胞内镉的含量仅相当于0.3g/L SO</w:t>
      </w:r>
      <w:r>
        <w:rPr>
          <w:rFonts w:ascii="Arial" w:hAnsi="Arial" w:eastAsia="宋体" w:cs="Arial"/>
          <w:spacing w:val="10"/>
          <w:sz w:val="24"/>
          <w:szCs w:val="24"/>
          <w:vertAlign w:val="subscript"/>
        </w:rPr>
        <w:t>4</w:t>
      </w:r>
      <w:r>
        <w:rPr>
          <w:rFonts w:ascii="Arial" w:hAnsi="Arial" w:eastAsia="宋体" w:cs="Arial"/>
          <w:spacing w:val="10"/>
          <w:sz w:val="24"/>
          <w:szCs w:val="24"/>
          <w:vertAlign w:val="superscript"/>
        </w:rPr>
        <w:t>2-</w:t>
      </w:r>
      <w:r>
        <w:rPr>
          <w:rFonts w:ascii="Arial" w:hAnsi="Arial" w:eastAsia="宋体" w:cs="Arial"/>
          <w:spacing w:val="10"/>
          <w:sz w:val="24"/>
          <w:szCs w:val="24"/>
        </w:rPr>
        <w:t>条件下的含量的40%左右（马福俊等, 2008）。</w:t>
      </w:r>
    </w:p>
    <w:p w14:paraId="0149703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在土壤和淡水生态系统中，硫酸盐的浓度只有10-50 μM。硫酸盐是影响河流大型底栖无脊椎动物群落结构和丰度的主要因素之一（Obolewski K, 2011; Arimoro et al., 2015）。微生物介导的硫酸盐还原过程是近岸沉积物中有机质矿化的主要末端途径之一，消耗了将近50%的有机质（Jørgensen 1982）。在无氧、富含有机质的沉积物中硫酸盐还原菌的呼吸代谢作用导致H</w:t>
      </w:r>
      <w:r>
        <w:rPr>
          <w:rFonts w:ascii="Arial" w:hAnsi="Arial" w:eastAsia="宋体" w:cs="Arial"/>
          <w:spacing w:val="10"/>
          <w:sz w:val="24"/>
          <w:szCs w:val="24"/>
          <w:vertAlign w:val="subscript"/>
        </w:rPr>
        <w:t>2</w:t>
      </w:r>
      <w:r>
        <w:rPr>
          <w:rFonts w:ascii="Arial" w:hAnsi="Arial" w:eastAsia="宋体" w:cs="Arial"/>
          <w:spacing w:val="10"/>
          <w:sz w:val="24"/>
          <w:szCs w:val="24"/>
        </w:rPr>
        <w:t>S的积累。硫化物对底栖生物具有直接的毒害作用，但是它又能通过形成不溶性金属硫化物来降低金属离子的毒性（Wang &amp; Chapman, 1999）。研究发现沉积物中硫化物的浓度与硫酸盐、有机碳和铁离子这三个变量密切相关（Pollman et al., 2017）。局部海域硫酸盐浓度波动（如高硫酸盐工业废水的排放）可能会导致沉积物中硫化物浓度的改变，进一步对底栖生物造成影响。</w:t>
      </w:r>
    </w:p>
    <w:p w14:paraId="79635548">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事故排放情况下，海域硫酸盐最大增量为12259mg/L，因此推测对排放口附近海域海洋生物产生明显影响，但影响范围仅限于排污区范围内排放口附近，影响范围有限。</w:t>
      </w:r>
    </w:p>
    <w:p w14:paraId="72CBA0CB">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2、对红树林的影响</w:t>
      </w:r>
    </w:p>
    <w:p w14:paraId="08E477D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通常认为陆地土壤表面带有负电荷，对无机阴离子没有吸附作用（徐光耀, 2016），但红树林土壤pH值通常呈酸性，可能有助于硫酸根离子的吸附，可能影响元素矿化和微生物组成、多样性及活性，进而影响红树林内元素循环。目前有关硫酸根离子对红树林的影响研究较少。在厌氧环境中，硫酸盐的增加，使得沉积物中“酸可挥发性硫化物（AVS，Acid volatile sulfide）”含量显著增加；AVS对沉积环境中的重金属离子具有极强的结合能力（Allen et al., 2003），可竞争吸附部分“酸可提取态”中的重金属，从而减小了沉积物重金属的生物可利用率，有助于沉积物重金属污染的改善。龚子同和张效补（1994）研究指出红树植物体内含硫量高，含硫量范围在0.13~0.95%之间，平均0.4%。而亚热带地区的一般灌木类植物含硫量范围0.03~0.26%，平均0.084%，远低于红树林体内含量。因此硫是红树林的重要组成或营养元素。通过调查发现，我国红树林沉积物是潜在的酸性硫酸盐土，具有高硫特征。一般滨海盐土含硫量仅0.034%，而红树林土壤中含量达0.1%以上，最多达0.43%。红树林土壤中硫主要来自海水中硫酸盐，硫酸盐通过矿物吸附沉降并埋藏在红树林土壤中，以黄钾铁矾[KFe</w:t>
      </w:r>
      <w:r>
        <w:rPr>
          <w:rFonts w:ascii="Arial" w:hAnsi="Arial" w:eastAsia="宋体" w:cs="Arial"/>
          <w:spacing w:val="10"/>
          <w:sz w:val="24"/>
          <w:szCs w:val="24"/>
          <w:vertAlign w:val="subscript"/>
        </w:rPr>
        <w:t>3</w:t>
      </w:r>
      <w:r>
        <w:rPr>
          <w:rFonts w:ascii="Arial" w:hAnsi="Arial" w:eastAsia="宋体" w:cs="Arial"/>
          <w:spacing w:val="10"/>
          <w:sz w:val="24"/>
          <w:szCs w:val="24"/>
        </w:rPr>
        <w:t>(SO</w:t>
      </w:r>
      <w:r>
        <w:rPr>
          <w:rFonts w:ascii="Arial" w:hAnsi="Arial" w:eastAsia="宋体" w:cs="Arial"/>
          <w:spacing w:val="10"/>
          <w:sz w:val="24"/>
          <w:szCs w:val="24"/>
          <w:vertAlign w:val="subscript"/>
        </w:rPr>
        <w:t>4</w:t>
      </w:r>
      <w:r>
        <w:rPr>
          <w:rFonts w:ascii="Arial" w:hAnsi="Arial" w:eastAsia="宋体" w:cs="Arial"/>
          <w:spacing w:val="10"/>
          <w:sz w:val="24"/>
          <w:szCs w:val="24"/>
        </w:rPr>
        <w:t>)</w:t>
      </w:r>
      <w:r>
        <w:rPr>
          <w:rFonts w:ascii="Arial" w:hAnsi="Arial" w:eastAsia="宋体" w:cs="Arial"/>
          <w:spacing w:val="10"/>
          <w:sz w:val="24"/>
          <w:szCs w:val="24"/>
          <w:vertAlign w:val="subscript"/>
        </w:rPr>
        <w:t>2</w:t>
      </w:r>
      <w:r>
        <w:rPr>
          <w:rFonts w:ascii="Arial" w:hAnsi="Arial" w:eastAsia="宋体" w:cs="Arial"/>
          <w:spacing w:val="10"/>
          <w:sz w:val="24"/>
          <w:szCs w:val="24"/>
        </w:rPr>
        <w:t>(OH)</w:t>
      </w:r>
      <w:r>
        <w:rPr>
          <w:rFonts w:ascii="Arial" w:hAnsi="Arial" w:eastAsia="宋体" w:cs="Arial"/>
          <w:spacing w:val="10"/>
          <w:sz w:val="24"/>
          <w:szCs w:val="24"/>
          <w:vertAlign w:val="subscript"/>
        </w:rPr>
        <w:t>6</w:t>
      </w:r>
      <w:r>
        <w:rPr>
          <w:rFonts w:ascii="Arial" w:hAnsi="Arial" w:eastAsia="宋体" w:cs="Arial"/>
          <w:spacing w:val="10"/>
          <w:sz w:val="24"/>
          <w:szCs w:val="24"/>
        </w:rPr>
        <w:t>]或钠铁矾[NaFe</w:t>
      </w:r>
      <w:r>
        <w:rPr>
          <w:rFonts w:ascii="Arial" w:hAnsi="Arial" w:eastAsia="宋体" w:cs="Arial"/>
          <w:spacing w:val="10"/>
          <w:sz w:val="24"/>
          <w:szCs w:val="24"/>
          <w:vertAlign w:val="subscript"/>
        </w:rPr>
        <w:t>3</w:t>
      </w:r>
      <w:r>
        <w:rPr>
          <w:rFonts w:ascii="Arial" w:hAnsi="Arial" w:eastAsia="宋体" w:cs="Arial"/>
          <w:spacing w:val="10"/>
          <w:sz w:val="24"/>
          <w:szCs w:val="24"/>
        </w:rPr>
        <w:t>(SO</w:t>
      </w:r>
      <w:r>
        <w:rPr>
          <w:rFonts w:ascii="Arial" w:hAnsi="Arial" w:eastAsia="宋体" w:cs="Arial"/>
          <w:spacing w:val="10"/>
          <w:sz w:val="24"/>
          <w:szCs w:val="24"/>
          <w:vertAlign w:val="subscript"/>
        </w:rPr>
        <w:t>4</w:t>
      </w:r>
      <w:r>
        <w:rPr>
          <w:rFonts w:ascii="Arial" w:hAnsi="Arial" w:eastAsia="宋体" w:cs="Arial"/>
          <w:spacing w:val="10"/>
          <w:sz w:val="24"/>
          <w:szCs w:val="24"/>
        </w:rPr>
        <w:t>)</w:t>
      </w:r>
      <w:r>
        <w:rPr>
          <w:rFonts w:ascii="Arial" w:hAnsi="Arial" w:eastAsia="宋体" w:cs="Arial"/>
          <w:spacing w:val="10"/>
          <w:sz w:val="24"/>
          <w:szCs w:val="24"/>
          <w:vertAlign w:val="subscript"/>
        </w:rPr>
        <w:t>2</w:t>
      </w:r>
      <w:r>
        <w:rPr>
          <w:rFonts w:ascii="Arial" w:hAnsi="Arial" w:eastAsia="宋体" w:cs="Arial"/>
          <w:spacing w:val="10"/>
          <w:sz w:val="24"/>
          <w:szCs w:val="24"/>
        </w:rPr>
        <w:t>(OH)</w:t>
      </w:r>
      <w:r>
        <w:rPr>
          <w:rFonts w:ascii="Arial" w:hAnsi="Arial" w:eastAsia="宋体" w:cs="Arial"/>
          <w:spacing w:val="10"/>
          <w:sz w:val="24"/>
          <w:szCs w:val="24"/>
          <w:vertAlign w:val="subscript"/>
        </w:rPr>
        <w:t>6</w:t>
      </w:r>
      <w:r>
        <w:rPr>
          <w:rFonts w:ascii="Arial" w:hAnsi="Arial" w:eastAsia="宋体" w:cs="Arial"/>
          <w:spacing w:val="10"/>
          <w:sz w:val="24"/>
          <w:szCs w:val="24"/>
        </w:rPr>
        <w:t>]形式存在；或在厌氧条件下通过硫还原细菌还原至还原态硫，与矿物铁结合生成黄铁矿(FeS</w:t>
      </w:r>
      <w:r>
        <w:rPr>
          <w:rFonts w:ascii="Arial" w:hAnsi="Arial" w:eastAsia="宋体" w:cs="Arial"/>
          <w:spacing w:val="10"/>
          <w:sz w:val="24"/>
          <w:szCs w:val="24"/>
          <w:vertAlign w:val="subscript"/>
        </w:rPr>
        <w:t>2</w:t>
      </w:r>
      <w:r>
        <w:rPr>
          <w:rFonts w:ascii="Arial" w:hAnsi="Arial" w:eastAsia="宋体" w:cs="Arial"/>
          <w:spacing w:val="10"/>
          <w:sz w:val="24"/>
          <w:szCs w:val="24"/>
        </w:rPr>
        <w:t>)。目前红树林如何吸收利用S尚不明确，但根据目前已有研究结果，红树林土壤为硫酸盐环境，硫酸盐对红树林的生长至关重要，表现为自身蛋白合成或组织构造对大量S元素的需求，以及硫酸盐-硫转化过程对红树林根本吸收P、Fe等营养元素的促进影响，因此红树林对硫酸盐的耐受程度较高，对环境硫酸盐浓度变化不敏感。</w:t>
      </w:r>
    </w:p>
    <w:p w14:paraId="3FD75DAF">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事故排放硫酸盐会扩散至金鼓江红树林分布区，增幅十分有限（＜10mg/L），影响有限，但应在排废期间密切关注红树林的生长变化。</w:t>
      </w:r>
    </w:p>
    <w:p w14:paraId="4431DAD7">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3、小结</w:t>
      </w:r>
    </w:p>
    <w:p w14:paraId="47A542E5">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rPr>
        <w:t>若配酸槽</w:t>
      </w:r>
      <w:r>
        <w:rPr>
          <w:rFonts w:hint="eastAsia" w:ascii="Arial" w:hAnsi="Arial" w:eastAsia="宋体" w:cs="Arial"/>
          <w:spacing w:val="10"/>
          <w:sz w:val="24"/>
          <w:szCs w:val="24"/>
        </w:rPr>
        <w:t>1t稀硫酸泄漏全部进入雨水管道，会导致海水中硫酸盐浓度增大，但增量有限，影响范围有限，对附近红树林的影响有限，地表水风险影响可接受。</w:t>
      </w:r>
    </w:p>
    <w:p w14:paraId="2A042E66">
      <w:pPr>
        <w:numPr>
          <w:ilvl w:val="0"/>
          <w:numId w:val="33"/>
        </w:numPr>
        <w:spacing w:line="500" w:lineRule="exact"/>
        <w:jc w:val="left"/>
        <w:outlineLvl w:val="3"/>
        <w:rPr>
          <w:rFonts w:ascii="Arial" w:hAnsi="Arial" w:eastAsia="宋体" w:cs="Arial"/>
          <w:b/>
          <w:sz w:val="24"/>
        </w:rPr>
      </w:pPr>
      <w:r>
        <w:rPr>
          <w:rFonts w:ascii="Arial" w:hAnsi="Arial" w:eastAsia="宋体" w:cs="Arial"/>
          <w:b/>
          <w:sz w:val="24"/>
        </w:rPr>
        <w:t>地下水风险影响分析</w:t>
      </w:r>
    </w:p>
    <w:p w14:paraId="7D74C569">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1.事故情景</w:t>
      </w:r>
    </w:p>
    <w:p w14:paraId="03C63C7E">
      <w:pPr>
        <w:adjustRightInd w:val="0"/>
        <w:snapToGrid w:val="0"/>
        <w:spacing w:line="500" w:lineRule="exact"/>
        <w:ind w:firstLine="476"/>
        <w:rPr>
          <w:rFonts w:ascii="Arial" w:hAnsi="Arial" w:eastAsia="宋体" w:cs="Arial"/>
          <w:spacing w:val="10"/>
          <w:sz w:val="24"/>
          <w:szCs w:val="24"/>
          <w:highlight w:val="yellow"/>
          <w:u w:val="single"/>
        </w:rPr>
      </w:pPr>
      <w:r>
        <w:rPr>
          <w:rFonts w:ascii="Arial" w:hAnsi="Arial" w:eastAsia="宋体" w:cs="Arial"/>
          <w:spacing w:val="10"/>
          <w:sz w:val="24"/>
        </w:rPr>
        <w:t>假设</w:t>
      </w:r>
      <w:r>
        <w:rPr>
          <w:rFonts w:hint="eastAsia" w:ascii="Arial" w:hAnsi="Arial" w:eastAsia="宋体" w:cs="Arial"/>
          <w:spacing w:val="10"/>
          <w:sz w:val="24"/>
        </w:rPr>
        <w:t>X19车间</w:t>
      </w:r>
      <w:r>
        <w:rPr>
          <w:rFonts w:ascii="Arial" w:hAnsi="Arial" w:eastAsia="宋体" w:cs="Arial"/>
          <w:spacing w:val="10"/>
          <w:sz w:val="24"/>
        </w:rPr>
        <w:t>1台</w:t>
      </w:r>
      <w:r>
        <w:rPr>
          <w:rFonts w:hint="eastAsia" w:ascii="Arial" w:hAnsi="Arial" w:eastAsia="宋体" w:cs="Arial"/>
          <w:spacing w:val="10"/>
          <w:sz w:val="24"/>
        </w:rPr>
        <w:t>75</w:t>
      </w:r>
      <w:r>
        <w:rPr>
          <w:rFonts w:ascii="Arial" w:hAnsi="Arial" w:eastAsia="宋体" w:cs="Arial"/>
          <w:spacing w:val="10"/>
          <w:sz w:val="24"/>
        </w:rPr>
        <w:t>m</w:t>
      </w:r>
      <w:r>
        <w:rPr>
          <w:rFonts w:ascii="Arial" w:hAnsi="Arial" w:eastAsia="宋体" w:cs="Arial"/>
          <w:spacing w:val="10"/>
          <w:sz w:val="24"/>
          <w:vertAlign w:val="superscript"/>
        </w:rPr>
        <w:t>3</w:t>
      </w:r>
      <w:r>
        <w:rPr>
          <w:rFonts w:hint="eastAsia" w:ascii="Arial" w:hAnsi="Arial" w:eastAsia="宋体" w:cs="Arial"/>
          <w:spacing w:val="10"/>
          <w:sz w:val="24"/>
        </w:rPr>
        <w:t>洗水外排槽</w:t>
      </w:r>
      <w:r>
        <w:rPr>
          <w:rFonts w:ascii="Arial" w:hAnsi="Arial" w:eastAsia="宋体" w:cs="Arial"/>
          <w:spacing w:val="10"/>
          <w:sz w:val="24"/>
        </w:rPr>
        <w:t>发生破损全</w:t>
      </w:r>
      <w:r>
        <w:rPr>
          <w:rFonts w:hint="eastAsia" w:ascii="Arial" w:hAnsi="Arial" w:eastAsia="宋体" w:cs="Arial"/>
          <w:spacing w:val="10"/>
          <w:sz w:val="24"/>
        </w:rPr>
        <w:t>部</w:t>
      </w:r>
      <w:r>
        <w:rPr>
          <w:rFonts w:ascii="Arial" w:hAnsi="Arial" w:eastAsia="宋体" w:cs="Arial"/>
          <w:spacing w:val="10"/>
          <w:sz w:val="24"/>
        </w:rPr>
        <w:t>泄漏，</w:t>
      </w:r>
      <w:r>
        <w:rPr>
          <w:rFonts w:hint="eastAsia" w:ascii="Arial" w:hAnsi="Arial" w:eastAsia="宋体" w:cs="Arial"/>
          <w:spacing w:val="10"/>
          <w:sz w:val="24"/>
        </w:rPr>
        <w:t>槽罐区</w:t>
      </w:r>
      <w:r>
        <w:rPr>
          <w:rFonts w:ascii="Arial" w:hAnsi="Arial" w:eastAsia="宋体" w:cs="Arial"/>
          <w:spacing w:val="10"/>
          <w:sz w:val="24"/>
        </w:rPr>
        <w:t>地坪破损</w:t>
      </w:r>
      <w:r>
        <w:rPr>
          <w:rFonts w:ascii="Arial" w:hAnsi="Arial" w:eastAsia="宋体" w:cs="Arial"/>
          <w:spacing w:val="10"/>
          <w:sz w:val="24"/>
          <w:szCs w:val="24"/>
        </w:rPr>
        <w:t>（</w:t>
      </w:r>
      <w:r>
        <w:rPr>
          <w:rFonts w:hint="eastAsia" w:ascii="Arial" w:hAnsi="Arial" w:eastAsia="宋体" w:cs="Arial"/>
          <w:spacing w:val="10"/>
          <w:sz w:val="24"/>
          <w:szCs w:val="24"/>
        </w:rPr>
        <w:t>假设破损</w:t>
      </w:r>
      <w:r>
        <w:rPr>
          <w:rFonts w:ascii="Arial" w:hAnsi="Arial" w:eastAsia="宋体" w:cs="Arial"/>
          <w:spacing w:val="10"/>
          <w:sz w:val="24"/>
          <w:szCs w:val="24"/>
        </w:rPr>
        <w:t>面积为</w:t>
      </w:r>
      <w:r>
        <w:rPr>
          <w:rFonts w:hint="eastAsia" w:ascii="Arial" w:hAnsi="Arial" w:eastAsia="宋体" w:cs="Arial"/>
          <w:spacing w:val="10"/>
          <w:sz w:val="24"/>
          <w:szCs w:val="24"/>
        </w:rPr>
        <w:t>2</w:t>
      </w:r>
      <w:r>
        <w:rPr>
          <w:rFonts w:ascii="Arial" w:hAnsi="Arial" w:eastAsia="宋体" w:cs="Arial"/>
          <w:spacing w:val="10"/>
          <w:sz w:val="24"/>
          <w:szCs w:val="24"/>
        </w:rPr>
        <w:t>0m</w:t>
      </w:r>
      <w:r>
        <w:rPr>
          <w:rFonts w:ascii="Arial" w:hAnsi="Arial" w:eastAsia="宋体" w:cs="Arial"/>
          <w:spacing w:val="10"/>
          <w:sz w:val="24"/>
          <w:szCs w:val="24"/>
          <w:vertAlign w:val="superscript"/>
        </w:rPr>
        <w:t>2</w:t>
      </w:r>
      <w:r>
        <w:rPr>
          <w:rFonts w:ascii="Arial" w:hAnsi="Arial" w:eastAsia="宋体" w:cs="Arial"/>
          <w:spacing w:val="10"/>
          <w:sz w:val="24"/>
          <w:szCs w:val="24"/>
        </w:rPr>
        <w:t>），发生风险事故后，24h内泄漏得到控制，则风险事故下渗时间为24h。渗漏强度</w:t>
      </w:r>
      <w:r>
        <w:rPr>
          <w:rFonts w:hint="eastAsia" w:ascii="Arial" w:hAnsi="Arial" w:eastAsia="宋体" w:cs="Arial"/>
          <w:spacing w:val="10"/>
          <w:sz w:val="24"/>
          <w:szCs w:val="24"/>
        </w:rPr>
        <w:t>以</w:t>
      </w:r>
      <w:r>
        <w:rPr>
          <w:rFonts w:ascii="Arial" w:hAnsi="Arial" w:eastAsia="宋体" w:cs="Arial"/>
          <w:spacing w:val="10"/>
          <w:sz w:val="24"/>
          <w:szCs w:val="24"/>
        </w:rPr>
        <w:t>钢筋混凝土结构渗漏强度2L/（m</w:t>
      </w:r>
      <w:r>
        <w:rPr>
          <w:rFonts w:ascii="Arial" w:hAnsi="Arial" w:eastAsia="宋体" w:cs="Arial"/>
          <w:spacing w:val="10"/>
          <w:sz w:val="24"/>
          <w:szCs w:val="24"/>
          <w:vertAlign w:val="superscript"/>
        </w:rPr>
        <w:t>2</w:t>
      </w:r>
      <w:r>
        <w:rPr>
          <w:rFonts w:ascii="Arial" w:hAnsi="Arial" w:eastAsia="宋体" w:cs="Arial"/>
          <w:spacing w:val="10"/>
          <w:sz w:val="24"/>
          <w:szCs w:val="24"/>
        </w:rPr>
        <w:t>·d）</w:t>
      </w:r>
      <w:r>
        <w:rPr>
          <w:rFonts w:hint="eastAsia" w:ascii="Arial" w:hAnsi="Arial" w:eastAsia="宋体" w:cs="Arial"/>
          <w:spacing w:val="10"/>
          <w:sz w:val="24"/>
          <w:szCs w:val="24"/>
        </w:rPr>
        <w:t>的100倍考虑</w:t>
      </w:r>
      <w:r>
        <w:rPr>
          <w:rFonts w:ascii="Arial" w:hAnsi="Arial" w:eastAsia="宋体" w:cs="Arial"/>
          <w:spacing w:val="10"/>
          <w:sz w:val="24"/>
          <w:szCs w:val="24"/>
        </w:rPr>
        <w:t>，则</w:t>
      </w:r>
      <w:r>
        <w:rPr>
          <w:rFonts w:hint="eastAsia" w:ascii="Arial" w:hAnsi="Arial" w:eastAsia="宋体" w:cs="Arial"/>
          <w:spacing w:val="10"/>
          <w:sz w:val="24"/>
          <w:szCs w:val="24"/>
        </w:rPr>
        <w:t>含钴废水渗漏量</w:t>
      </w:r>
      <w:r>
        <w:rPr>
          <w:rFonts w:ascii="Arial" w:hAnsi="Arial" w:eastAsia="宋体" w:cs="Arial"/>
          <w:spacing w:val="10"/>
          <w:sz w:val="24"/>
          <w:szCs w:val="24"/>
        </w:rPr>
        <w:t>为</w:t>
      </w:r>
      <w:r>
        <w:rPr>
          <w:rFonts w:hint="eastAsia" w:ascii="Arial" w:hAnsi="Arial" w:eastAsia="宋体" w:cs="Arial"/>
          <w:spacing w:val="10"/>
          <w:sz w:val="24"/>
          <w:szCs w:val="24"/>
        </w:rPr>
        <w:t>400</w:t>
      </w:r>
      <w:r>
        <w:rPr>
          <w:rFonts w:ascii="Arial" w:hAnsi="Arial" w:eastAsia="宋体" w:cs="Arial"/>
          <w:spacing w:val="10"/>
          <w:sz w:val="24"/>
          <w:szCs w:val="24"/>
        </w:rPr>
        <w:t>0L/d，本报告以</w:t>
      </w:r>
      <w:r>
        <w:rPr>
          <w:rFonts w:hint="eastAsia" w:ascii="Arial" w:hAnsi="Arial" w:eastAsia="宋体" w:cs="Arial"/>
          <w:spacing w:val="10"/>
          <w:sz w:val="24"/>
          <w:szCs w:val="24"/>
        </w:rPr>
        <w:t>钴、COD、氨氮、硫酸盐</w:t>
      </w:r>
      <w:r>
        <w:rPr>
          <w:rFonts w:ascii="Arial" w:hAnsi="Arial" w:eastAsia="宋体" w:cs="Arial"/>
          <w:spacing w:val="10"/>
          <w:sz w:val="24"/>
          <w:szCs w:val="24"/>
        </w:rPr>
        <w:t>作为预测因子，进入地下水中的</w:t>
      </w:r>
      <w:r>
        <w:rPr>
          <w:rFonts w:hint="eastAsia" w:ascii="Arial" w:hAnsi="Arial" w:eastAsia="宋体" w:cs="Arial"/>
          <w:spacing w:val="10"/>
          <w:sz w:val="24"/>
          <w:szCs w:val="24"/>
        </w:rPr>
        <w:t>污染物分别为0.004kg、0.6</w:t>
      </w:r>
      <w:r>
        <w:rPr>
          <w:rFonts w:ascii="Arial" w:hAnsi="Arial" w:eastAsia="宋体" w:cs="Arial"/>
          <w:spacing w:val="10"/>
          <w:sz w:val="24"/>
          <w:szCs w:val="24"/>
        </w:rPr>
        <w:t>kg</w:t>
      </w:r>
      <w:r>
        <w:rPr>
          <w:rFonts w:hint="eastAsia" w:ascii="Arial" w:hAnsi="Arial" w:eastAsia="宋体" w:cs="Arial"/>
          <w:spacing w:val="10"/>
          <w:sz w:val="24"/>
          <w:szCs w:val="24"/>
        </w:rPr>
        <w:t>、3kg、87.427kg</w:t>
      </w:r>
      <w:r>
        <w:rPr>
          <w:rFonts w:ascii="Arial" w:hAnsi="Arial" w:eastAsia="宋体" w:cs="Arial"/>
          <w:spacing w:val="10"/>
          <w:sz w:val="24"/>
          <w:szCs w:val="24"/>
        </w:rPr>
        <w:t>。</w:t>
      </w:r>
    </w:p>
    <w:p w14:paraId="670B5E40">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2、预测方法及相关参数</w:t>
      </w:r>
    </w:p>
    <w:p w14:paraId="3A2BAB18">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相关参数与地下水影响分析相同，详见&amp;4.2.3.4章节，采用</w:t>
      </w:r>
      <w:r>
        <w:rPr>
          <w:rFonts w:ascii="Arial" w:hAnsi="Arial" w:eastAsia="宋体" w:cs="Arial"/>
          <w:spacing w:val="10"/>
          <w:sz w:val="24"/>
          <w:szCs w:val="32"/>
        </w:rPr>
        <w:t>瞬时点源预测模式</w:t>
      </w:r>
      <w:r>
        <w:rPr>
          <w:rFonts w:ascii="Arial" w:hAnsi="Arial" w:eastAsia="宋体" w:cs="Arial"/>
          <w:spacing w:val="10"/>
          <w:sz w:val="24"/>
          <w:szCs w:val="24"/>
        </w:rPr>
        <w:t>。</w:t>
      </w:r>
    </w:p>
    <w:p w14:paraId="384F9C80">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3、预测结果</w:t>
      </w:r>
    </w:p>
    <w:p w14:paraId="613399BD">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洗水外排槽</w:t>
      </w:r>
      <w:r>
        <w:rPr>
          <w:rFonts w:ascii="Arial" w:hAnsi="Arial" w:eastAsia="宋体" w:cs="Arial"/>
          <w:b/>
          <w:sz w:val="24"/>
          <w:szCs w:val="24"/>
        </w:rPr>
        <w:t>泄漏</w:t>
      </w:r>
      <w:r>
        <w:rPr>
          <w:rFonts w:hint="eastAsia" w:ascii="Arial" w:hAnsi="Arial" w:eastAsia="宋体" w:cs="Arial"/>
          <w:b/>
          <w:sz w:val="24"/>
          <w:szCs w:val="24"/>
        </w:rPr>
        <w:t>钴浓度</w:t>
      </w:r>
      <w:r>
        <w:rPr>
          <w:rFonts w:ascii="Arial" w:hAnsi="Arial" w:eastAsia="宋体" w:cs="Arial"/>
          <w:b/>
          <w:sz w:val="24"/>
          <w:szCs w:val="24"/>
        </w:rPr>
        <w:t>预测结果表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173"/>
        <w:gridCol w:w="1174"/>
        <w:gridCol w:w="1173"/>
        <w:gridCol w:w="1174"/>
        <w:gridCol w:w="1173"/>
        <w:gridCol w:w="1175"/>
      </w:tblGrid>
      <w:tr w14:paraId="03D2D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vMerge w:val="restart"/>
            <w:tcBorders>
              <w:top w:val="single" w:color="auto" w:sz="4" w:space="0"/>
              <w:left w:val="single" w:color="auto" w:sz="4" w:space="0"/>
              <w:right w:val="single" w:color="auto" w:sz="4" w:space="0"/>
              <w:tl2br w:val="single" w:color="auto" w:sz="4" w:space="0"/>
            </w:tcBorders>
            <w:vAlign w:val="center"/>
          </w:tcPr>
          <w:p w14:paraId="139DCD31">
            <w:pPr>
              <w:spacing w:line="240" w:lineRule="exact"/>
              <w:jc w:val="center"/>
              <w:rPr>
                <w:rFonts w:ascii="Arial" w:hAnsi="Arial" w:eastAsia="宋体" w:cs="Arial"/>
                <w:sz w:val="21"/>
                <w:szCs w:val="21"/>
              </w:rPr>
            </w:pPr>
            <w:r>
              <w:rPr>
                <w:rFonts w:ascii="Arial" w:hAnsi="Arial" w:eastAsia="宋体" w:cs="Arial"/>
                <w:sz w:val="21"/>
                <w:szCs w:val="21"/>
              </w:rPr>
              <w:t xml:space="preserve">       浓度（</w:t>
            </w:r>
            <w:r>
              <w:rPr>
                <w:rFonts w:ascii="Arial" w:hAnsi="Arial" w:eastAsia="Times New Roman" w:cs="Arial"/>
                <w:sz w:val="21"/>
                <w:szCs w:val="21"/>
              </w:rPr>
              <w:t>m</w:t>
            </w:r>
            <w:r>
              <w:rPr>
                <w:rFonts w:ascii="Arial" w:hAnsi="Arial" w:eastAsia="宋体" w:cs="Arial"/>
                <w:sz w:val="21"/>
                <w:szCs w:val="21"/>
              </w:rPr>
              <w:t>g/L）</w:t>
            </w:r>
          </w:p>
          <w:p w14:paraId="27D58900">
            <w:pPr>
              <w:spacing w:line="240" w:lineRule="exact"/>
              <w:rPr>
                <w:rFonts w:ascii="Arial" w:hAnsi="Arial" w:eastAsia="宋体" w:cs="Arial"/>
                <w:sz w:val="21"/>
                <w:szCs w:val="21"/>
              </w:rPr>
            </w:pPr>
            <w:r>
              <w:rPr>
                <w:rFonts w:ascii="Arial" w:hAnsi="Arial" w:eastAsia="宋体" w:cs="Arial"/>
                <w:sz w:val="21"/>
                <w:szCs w:val="21"/>
              </w:rPr>
              <w:t>距离（</w:t>
            </w:r>
            <w:r>
              <w:rPr>
                <w:rFonts w:ascii="Arial" w:hAnsi="Arial" w:eastAsia="Times New Roman" w:cs="Arial"/>
                <w:sz w:val="21"/>
                <w:szCs w:val="21"/>
              </w:rPr>
              <w:t>m</w:t>
            </w:r>
            <w:r>
              <w:rPr>
                <w:rFonts w:ascii="Arial" w:hAnsi="Arial" w:eastAsia="宋体" w:cs="Arial"/>
                <w:sz w:val="21"/>
                <w:szCs w:val="21"/>
              </w:rPr>
              <w:t>）</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45F58151">
            <w:pPr>
              <w:spacing w:line="240" w:lineRule="exact"/>
              <w:jc w:val="center"/>
              <w:rPr>
                <w:rFonts w:ascii="Arial" w:hAnsi="Arial" w:eastAsia="宋体" w:cs="Arial"/>
                <w:sz w:val="21"/>
                <w:szCs w:val="21"/>
              </w:rPr>
            </w:pPr>
            <w:r>
              <w:rPr>
                <w:rFonts w:ascii="Arial" w:hAnsi="Arial" w:eastAsia="宋体" w:cs="Arial"/>
                <w:sz w:val="21"/>
                <w:szCs w:val="21"/>
              </w:rPr>
              <w:t>100d</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766EE2BB">
            <w:pPr>
              <w:spacing w:line="240" w:lineRule="exact"/>
              <w:jc w:val="center"/>
              <w:rPr>
                <w:rFonts w:ascii="Arial" w:hAnsi="Arial" w:eastAsia="宋体" w:cs="Arial"/>
                <w:sz w:val="21"/>
                <w:szCs w:val="21"/>
              </w:rPr>
            </w:pPr>
            <w:r>
              <w:rPr>
                <w:rFonts w:ascii="Arial" w:hAnsi="Arial" w:eastAsia="宋体" w:cs="Arial"/>
                <w:sz w:val="21"/>
                <w:szCs w:val="21"/>
              </w:rPr>
              <w:t>365d</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16FD05C4">
            <w:pPr>
              <w:spacing w:line="240" w:lineRule="exact"/>
              <w:jc w:val="center"/>
              <w:rPr>
                <w:rFonts w:ascii="Arial" w:hAnsi="Arial" w:eastAsia="宋体" w:cs="Arial"/>
                <w:sz w:val="21"/>
                <w:szCs w:val="21"/>
              </w:rPr>
            </w:pPr>
            <w:r>
              <w:rPr>
                <w:rFonts w:ascii="Arial" w:hAnsi="Arial" w:eastAsia="宋体" w:cs="Arial"/>
                <w:sz w:val="21"/>
                <w:szCs w:val="21"/>
              </w:rPr>
              <w:t>1000d</w:t>
            </w:r>
          </w:p>
        </w:tc>
      </w:tr>
      <w:tr w14:paraId="2BC5D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vMerge w:val="continue"/>
            <w:tcBorders>
              <w:left w:val="single" w:color="auto" w:sz="4" w:space="0"/>
              <w:bottom w:val="single" w:color="auto" w:sz="4" w:space="0"/>
              <w:right w:val="single" w:color="auto" w:sz="4" w:space="0"/>
              <w:tl2br w:val="single" w:color="auto" w:sz="4" w:space="0"/>
            </w:tcBorders>
            <w:vAlign w:val="center"/>
          </w:tcPr>
          <w:p w14:paraId="4B9AE5B6">
            <w:pPr>
              <w:spacing w:line="240" w:lineRule="exact"/>
              <w:jc w:val="center"/>
              <w:rPr>
                <w:rFonts w:ascii="Arial" w:hAnsi="Arial" w:eastAsia="宋体" w:cs="Arial"/>
                <w:sz w:val="21"/>
                <w:szCs w:val="21"/>
              </w:rPr>
            </w:pPr>
          </w:p>
        </w:tc>
        <w:tc>
          <w:tcPr>
            <w:tcW w:w="652" w:type="pct"/>
            <w:tcBorders>
              <w:top w:val="single" w:color="auto" w:sz="4" w:space="0"/>
              <w:left w:val="single" w:color="auto" w:sz="4" w:space="0"/>
              <w:bottom w:val="single" w:color="auto" w:sz="4" w:space="0"/>
              <w:right w:val="single" w:color="auto" w:sz="4" w:space="0"/>
            </w:tcBorders>
            <w:vAlign w:val="center"/>
          </w:tcPr>
          <w:p w14:paraId="106B56CE">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00EDCE98">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652" w:type="pct"/>
            <w:tcBorders>
              <w:top w:val="single" w:color="auto" w:sz="4" w:space="0"/>
              <w:left w:val="single" w:color="auto" w:sz="4" w:space="0"/>
              <w:bottom w:val="single" w:color="auto" w:sz="4" w:space="0"/>
              <w:right w:val="single" w:color="auto" w:sz="4" w:space="0"/>
            </w:tcBorders>
            <w:vAlign w:val="center"/>
          </w:tcPr>
          <w:p w14:paraId="3E1B41B6">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36B4A834">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652" w:type="pct"/>
            <w:tcBorders>
              <w:top w:val="single" w:color="auto" w:sz="4" w:space="0"/>
              <w:left w:val="single" w:color="auto" w:sz="4" w:space="0"/>
              <w:bottom w:val="single" w:color="auto" w:sz="4" w:space="0"/>
              <w:right w:val="single" w:color="auto" w:sz="4" w:space="0"/>
            </w:tcBorders>
            <w:vAlign w:val="center"/>
          </w:tcPr>
          <w:p w14:paraId="4BA5A3F6">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2C9002BD">
            <w:pPr>
              <w:spacing w:line="240" w:lineRule="exact"/>
              <w:jc w:val="center"/>
              <w:rPr>
                <w:rFonts w:ascii="Arial" w:hAnsi="Arial" w:eastAsia="宋体" w:cs="Arial"/>
                <w:sz w:val="21"/>
                <w:szCs w:val="21"/>
              </w:rPr>
            </w:pPr>
            <w:r>
              <w:rPr>
                <w:rFonts w:ascii="Arial" w:hAnsi="Arial" w:eastAsia="宋体" w:cs="Arial"/>
                <w:sz w:val="21"/>
                <w:szCs w:val="21"/>
              </w:rPr>
              <w:t>预测值</w:t>
            </w:r>
          </w:p>
        </w:tc>
      </w:tr>
      <w:tr w14:paraId="70B8E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F9C0B87">
            <w:pPr>
              <w:spacing w:line="240" w:lineRule="exact"/>
              <w:jc w:val="center"/>
              <w:rPr>
                <w:rFonts w:ascii="Arial" w:hAnsi="Arial" w:eastAsia="宋体" w:cs="Arial"/>
                <w:sz w:val="21"/>
                <w:szCs w:val="21"/>
              </w:rPr>
            </w:pPr>
            <w:r>
              <w:rPr>
                <w:rFonts w:hint="eastAsia" w:ascii="Arial" w:hAnsi="Arial" w:eastAsia="宋体" w:cs="Arial"/>
                <w:sz w:val="21"/>
                <w:szCs w:val="21"/>
              </w:rPr>
              <w:t>10</w:t>
            </w:r>
          </w:p>
        </w:tc>
        <w:tc>
          <w:tcPr>
            <w:tcW w:w="652" w:type="pct"/>
            <w:tcBorders>
              <w:top w:val="single" w:color="auto" w:sz="4" w:space="0"/>
              <w:left w:val="single" w:color="auto" w:sz="4" w:space="0"/>
              <w:bottom w:val="single" w:color="auto" w:sz="4" w:space="0"/>
              <w:right w:val="single" w:color="auto" w:sz="4" w:space="0"/>
            </w:tcBorders>
            <w:vAlign w:val="center"/>
          </w:tcPr>
          <w:p w14:paraId="00732233">
            <w:pPr>
              <w:spacing w:line="240" w:lineRule="exact"/>
              <w:jc w:val="center"/>
              <w:rPr>
                <w:rFonts w:ascii="Arial" w:hAnsi="Arial" w:eastAsia="宋体" w:cs="Arial"/>
                <w:sz w:val="21"/>
                <w:szCs w:val="21"/>
              </w:rPr>
            </w:pPr>
            <w:r>
              <w:rPr>
                <w:rFonts w:ascii="Arial" w:hAnsi="Arial" w:eastAsia="宋体" w:cs="Arial"/>
                <w:sz w:val="21"/>
                <w:szCs w:val="21"/>
              </w:rPr>
              <w:t>0.0018</w:t>
            </w:r>
          </w:p>
        </w:tc>
        <w:tc>
          <w:tcPr>
            <w:tcW w:w="653" w:type="pct"/>
            <w:tcBorders>
              <w:top w:val="single" w:color="auto" w:sz="4" w:space="0"/>
              <w:left w:val="single" w:color="auto" w:sz="4" w:space="0"/>
              <w:bottom w:val="single" w:color="auto" w:sz="4" w:space="0"/>
              <w:right w:val="single" w:color="auto" w:sz="4" w:space="0"/>
            </w:tcBorders>
            <w:vAlign w:val="center"/>
          </w:tcPr>
          <w:p w14:paraId="5BF39E12">
            <w:pPr>
              <w:spacing w:line="240" w:lineRule="exact"/>
              <w:jc w:val="center"/>
              <w:rPr>
                <w:rFonts w:ascii="Arial" w:hAnsi="Arial" w:eastAsia="宋体" w:cs="Arial"/>
                <w:sz w:val="21"/>
                <w:szCs w:val="21"/>
              </w:rPr>
            </w:pPr>
            <w:r>
              <w:rPr>
                <w:rFonts w:ascii="Arial" w:hAnsi="Arial" w:eastAsia="宋体" w:cs="Arial"/>
                <w:sz w:val="21"/>
                <w:szCs w:val="21"/>
              </w:rPr>
              <w:t>0.0118</w:t>
            </w:r>
          </w:p>
        </w:tc>
        <w:tc>
          <w:tcPr>
            <w:tcW w:w="652" w:type="pct"/>
            <w:tcBorders>
              <w:top w:val="single" w:color="auto" w:sz="4" w:space="0"/>
              <w:left w:val="single" w:color="auto" w:sz="4" w:space="0"/>
              <w:bottom w:val="single" w:color="auto" w:sz="4" w:space="0"/>
              <w:right w:val="single" w:color="auto" w:sz="4" w:space="0"/>
            </w:tcBorders>
            <w:vAlign w:val="center"/>
          </w:tcPr>
          <w:p w14:paraId="2C040470">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12B1135">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5C3FF3E5">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C7C89A3">
            <w:pPr>
              <w:spacing w:line="240" w:lineRule="exact"/>
              <w:jc w:val="center"/>
              <w:rPr>
                <w:rFonts w:ascii="Arial" w:hAnsi="Arial" w:eastAsia="宋体" w:cs="Arial"/>
                <w:sz w:val="21"/>
                <w:szCs w:val="21"/>
              </w:rPr>
            </w:pPr>
            <w:r>
              <w:rPr>
                <w:rFonts w:ascii="Arial" w:hAnsi="Arial" w:eastAsia="宋体" w:cs="Arial"/>
                <w:sz w:val="21"/>
                <w:szCs w:val="21"/>
              </w:rPr>
              <w:t>0.01</w:t>
            </w:r>
          </w:p>
        </w:tc>
      </w:tr>
      <w:tr w14:paraId="6DBD8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05648B8">
            <w:pPr>
              <w:spacing w:line="240" w:lineRule="exact"/>
              <w:jc w:val="center"/>
              <w:rPr>
                <w:rFonts w:ascii="Arial" w:hAnsi="Arial" w:eastAsia="宋体" w:cs="Arial"/>
                <w:sz w:val="21"/>
                <w:szCs w:val="21"/>
              </w:rPr>
            </w:pPr>
            <w:r>
              <w:rPr>
                <w:rFonts w:ascii="Arial" w:hAnsi="Arial" w:eastAsia="宋体" w:cs="Arial"/>
                <w:sz w:val="21"/>
                <w:szCs w:val="21"/>
              </w:rPr>
              <w:t>20</w:t>
            </w:r>
          </w:p>
        </w:tc>
        <w:tc>
          <w:tcPr>
            <w:tcW w:w="652" w:type="pct"/>
            <w:tcBorders>
              <w:top w:val="single" w:color="auto" w:sz="4" w:space="0"/>
              <w:left w:val="single" w:color="auto" w:sz="4" w:space="0"/>
              <w:bottom w:val="single" w:color="auto" w:sz="4" w:space="0"/>
              <w:right w:val="single" w:color="auto" w:sz="4" w:space="0"/>
            </w:tcBorders>
            <w:vAlign w:val="center"/>
          </w:tcPr>
          <w:p w14:paraId="093065A2">
            <w:pPr>
              <w:spacing w:line="240" w:lineRule="exact"/>
              <w:jc w:val="center"/>
              <w:rPr>
                <w:rFonts w:ascii="Arial" w:hAnsi="Arial" w:eastAsia="宋体" w:cs="Arial"/>
                <w:sz w:val="21"/>
                <w:szCs w:val="21"/>
              </w:rPr>
            </w:pPr>
            <w:r>
              <w:rPr>
                <w:rFonts w:ascii="Arial" w:hAnsi="Arial" w:eastAsia="宋体" w:cs="Arial"/>
                <w:sz w:val="21"/>
                <w:szCs w:val="21"/>
              </w:rPr>
              <w:t>0.0043</w:t>
            </w:r>
          </w:p>
        </w:tc>
        <w:tc>
          <w:tcPr>
            <w:tcW w:w="653" w:type="pct"/>
            <w:tcBorders>
              <w:top w:val="single" w:color="auto" w:sz="4" w:space="0"/>
              <w:left w:val="single" w:color="auto" w:sz="4" w:space="0"/>
              <w:bottom w:val="single" w:color="auto" w:sz="4" w:space="0"/>
              <w:right w:val="single" w:color="auto" w:sz="4" w:space="0"/>
            </w:tcBorders>
            <w:vAlign w:val="center"/>
          </w:tcPr>
          <w:p w14:paraId="20B7A077">
            <w:pPr>
              <w:spacing w:line="240" w:lineRule="exact"/>
              <w:jc w:val="center"/>
              <w:rPr>
                <w:rFonts w:ascii="Arial" w:hAnsi="Arial" w:eastAsia="宋体" w:cs="Arial"/>
                <w:sz w:val="21"/>
                <w:szCs w:val="21"/>
              </w:rPr>
            </w:pPr>
            <w:r>
              <w:rPr>
                <w:rFonts w:ascii="Arial" w:hAnsi="Arial" w:eastAsia="宋体" w:cs="Arial"/>
                <w:sz w:val="21"/>
                <w:szCs w:val="21"/>
              </w:rPr>
              <w:t>0.0143</w:t>
            </w:r>
          </w:p>
        </w:tc>
        <w:tc>
          <w:tcPr>
            <w:tcW w:w="652" w:type="pct"/>
            <w:tcBorders>
              <w:top w:val="single" w:color="auto" w:sz="4" w:space="0"/>
              <w:left w:val="single" w:color="auto" w:sz="4" w:space="0"/>
              <w:bottom w:val="single" w:color="auto" w:sz="4" w:space="0"/>
              <w:right w:val="single" w:color="auto" w:sz="4" w:space="0"/>
            </w:tcBorders>
            <w:vAlign w:val="center"/>
          </w:tcPr>
          <w:p w14:paraId="3F93C85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378A6E1">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66A6C0A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638D7DA">
            <w:pPr>
              <w:spacing w:line="240" w:lineRule="exact"/>
              <w:jc w:val="center"/>
              <w:rPr>
                <w:rFonts w:ascii="Arial" w:hAnsi="Arial" w:eastAsia="宋体" w:cs="Arial"/>
                <w:sz w:val="21"/>
                <w:szCs w:val="21"/>
              </w:rPr>
            </w:pPr>
            <w:r>
              <w:rPr>
                <w:rFonts w:ascii="Arial" w:hAnsi="Arial" w:eastAsia="宋体" w:cs="Arial"/>
                <w:sz w:val="21"/>
                <w:szCs w:val="21"/>
              </w:rPr>
              <w:t>0.01</w:t>
            </w:r>
          </w:p>
        </w:tc>
      </w:tr>
      <w:tr w14:paraId="33AE5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AF9D5C0">
            <w:pPr>
              <w:spacing w:line="240" w:lineRule="exact"/>
              <w:jc w:val="center"/>
              <w:rPr>
                <w:rFonts w:ascii="Arial" w:hAnsi="Arial" w:eastAsia="宋体" w:cs="Arial"/>
                <w:sz w:val="21"/>
                <w:szCs w:val="21"/>
              </w:rPr>
            </w:pPr>
            <w:r>
              <w:rPr>
                <w:rFonts w:ascii="Arial" w:hAnsi="Arial" w:eastAsia="宋体" w:cs="Arial"/>
                <w:sz w:val="21"/>
                <w:szCs w:val="21"/>
              </w:rPr>
              <w:t>40</w:t>
            </w:r>
          </w:p>
        </w:tc>
        <w:tc>
          <w:tcPr>
            <w:tcW w:w="652" w:type="pct"/>
            <w:tcBorders>
              <w:top w:val="single" w:color="auto" w:sz="4" w:space="0"/>
              <w:left w:val="single" w:color="auto" w:sz="4" w:space="0"/>
              <w:bottom w:val="single" w:color="auto" w:sz="4" w:space="0"/>
              <w:right w:val="single" w:color="auto" w:sz="4" w:space="0"/>
            </w:tcBorders>
            <w:vAlign w:val="center"/>
          </w:tcPr>
          <w:p w14:paraId="7D89EF34">
            <w:pPr>
              <w:spacing w:line="240" w:lineRule="exact"/>
              <w:jc w:val="center"/>
              <w:rPr>
                <w:rFonts w:ascii="Arial" w:hAnsi="Arial" w:eastAsia="宋体" w:cs="Arial"/>
                <w:sz w:val="21"/>
                <w:szCs w:val="21"/>
              </w:rPr>
            </w:pPr>
            <w:r>
              <w:rPr>
                <w:rFonts w:ascii="Arial" w:hAnsi="Arial" w:eastAsia="宋体" w:cs="Arial"/>
                <w:sz w:val="21"/>
                <w:szCs w:val="21"/>
              </w:rPr>
              <w:t>0.0117</w:t>
            </w:r>
          </w:p>
        </w:tc>
        <w:tc>
          <w:tcPr>
            <w:tcW w:w="653" w:type="pct"/>
            <w:tcBorders>
              <w:top w:val="single" w:color="auto" w:sz="4" w:space="0"/>
              <w:left w:val="single" w:color="auto" w:sz="4" w:space="0"/>
              <w:bottom w:val="single" w:color="auto" w:sz="4" w:space="0"/>
              <w:right w:val="single" w:color="auto" w:sz="4" w:space="0"/>
            </w:tcBorders>
            <w:vAlign w:val="center"/>
          </w:tcPr>
          <w:p w14:paraId="2FAA9088">
            <w:pPr>
              <w:spacing w:line="240" w:lineRule="exact"/>
              <w:jc w:val="center"/>
              <w:rPr>
                <w:rFonts w:ascii="Arial" w:hAnsi="Arial" w:eastAsia="宋体" w:cs="Arial"/>
                <w:sz w:val="21"/>
                <w:szCs w:val="21"/>
              </w:rPr>
            </w:pPr>
            <w:r>
              <w:rPr>
                <w:rFonts w:ascii="Arial" w:hAnsi="Arial" w:eastAsia="宋体" w:cs="Arial"/>
                <w:sz w:val="21"/>
                <w:szCs w:val="21"/>
              </w:rPr>
              <w:t>0.0217</w:t>
            </w:r>
          </w:p>
        </w:tc>
        <w:tc>
          <w:tcPr>
            <w:tcW w:w="652" w:type="pct"/>
            <w:tcBorders>
              <w:top w:val="single" w:color="auto" w:sz="4" w:space="0"/>
              <w:left w:val="single" w:color="auto" w:sz="4" w:space="0"/>
              <w:bottom w:val="single" w:color="auto" w:sz="4" w:space="0"/>
              <w:right w:val="single" w:color="auto" w:sz="4" w:space="0"/>
            </w:tcBorders>
            <w:vAlign w:val="center"/>
          </w:tcPr>
          <w:p w14:paraId="3D7787F3">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DA74740">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05653127">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61B62E9">
            <w:pPr>
              <w:spacing w:line="240" w:lineRule="exact"/>
              <w:jc w:val="center"/>
              <w:rPr>
                <w:rFonts w:ascii="Arial" w:hAnsi="Arial" w:eastAsia="宋体" w:cs="Arial"/>
                <w:sz w:val="21"/>
                <w:szCs w:val="21"/>
              </w:rPr>
            </w:pPr>
            <w:r>
              <w:rPr>
                <w:rFonts w:ascii="Arial" w:hAnsi="Arial" w:eastAsia="宋体" w:cs="Arial"/>
                <w:sz w:val="21"/>
                <w:szCs w:val="21"/>
              </w:rPr>
              <w:t>0.01</w:t>
            </w:r>
          </w:p>
        </w:tc>
      </w:tr>
      <w:tr w14:paraId="6E94E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4188A272">
            <w:pPr>
              <w:spacing w:line="240" w:lineRule="exact"/>
              <w:jc w:val="center"/>
              <w:rPr>
                <w:rFonts w:ascii="Arial" w:hAnsi="Arial" w:eastAsia="宋体" w:cs="Arial"/>
                <w:sz w:val="21"/>
                <w:szCs w:val="21"/>
              </w:rPr>
            </w:pPr>
            <w:r>
              <w:rPr>
                <w:rFonts w:ascii="Arial" w:hAnsi="Arial" w:eastAsia="宋体" w:cs="Arial"/>
                <w:sz w:val="21"/>
                <w:szCs w:val="21"/>
              </w:rPr>
              <w:t>60</w:t>
            </w:r>
          </w:p>
        </w:tc>
        <w:tc>
          <w:tcPr>
            <w:tcW w:w="652" w:type="pct"/>
            <w:tcBorders>
              <w:top w:val="single" w:color="auto" w:sz="4" w:space="0"/>
              <w:left w:val="single" w:color="auto" w:sz="4" w:space="0"/>
              <w:bottom w:val="single" w:color="auto" w:sz="4" w:space="0"/>
              <w:right w:val="single" w:color="auto" w:sz="4" w:space="0"/>
            </w:tcBorders>
            <w:vAlign w:val="center"/>
          </w:tcPr>
          <w:p w14:paraId="31CCCA9A">
            <w:pPr>
              <w:spacing w:line="240" w:lineRule="exact"/>
              <w:jc w:val="center"/>
              <w:rPr>
                <w:rFonts w:ascii="Arial" w:hAnsi="Arial" w:eastAsia="宋体" w:cs="Arial"/>
                <w:sz w:val="21"/>
                <w:szCs w:val="21"/>
              </w:rPr>
            </w:pPr>
            <w:r>
              <w:rPr>
                <w:rFonts w:ascii="Arial" w:hAnsi="Arial" w:eastAsia="宋体" w:cs="Arial"/>
                <w:sz w:val="21"/>
                <w:szCs w:val="21"/>
              </w:rPr>
              <w:t>0.0117</w:t>
            </w:r>
          </w:p>
        </w:tc>
        <w:tc>
          <w:tcPr>
            <w:tcW w:w="653" w:type="pct"/>
            <w:tcBorders>
              <w:top w:val="single" w:color="auto" w:sz="4" w:space="0"/>
              <w:left w:val="single" w:color="auto" w:sz="4" w:space="0"/>
              <w:bottom w:val="single" w:color="auto" w:sz="4" w:space="0"/>
              <w:right w:val="single" w:color="auto" w:sz="4" w:space="0"/>
            </w:tcBorders>
            <w:vAlign w:val="center"/>
          </w:tcPr>
          <w:p w14:paraId="188551F6">
            <w:pPr>
              <w:spacing w:line="240" w:lineRule="exact"/>
              <w:jc w:val="center"/>
              <w:rPr>
                <w:rFonts w:ascii="Arial" w:hAnsi="Arial" w:eastAsia="宋体" w:cs="Arial"/>
                <w:sz w:val="21"/>
                <w:szCs w:val="21"/>
              </w:rPr>
            </w:pPr>
            <w:r>
              <w:rPr>
                <w:rFonts w:ascii="Arial" w:hAnsi="Arial" w:eastAsia="宋体" w:cs="Arial"/>
                <w:sz w:val="21"/>
                <w:szCs w:val="21"/>
              </w:rPr>
              <w:t>0.0217</w:t>
            </w:r>
          </w:p>
        </w:tc>
        <w:tc>
          <w:tcPr>
            <w:tcW w:w="652" w:type="pct"/>
            <w:tcBorders>
              <w:top w:val="single" w:color="auto" w:sz="4" w:space="0"/>
              <w:left w:val="single" w:color="auto" w:sz="4" w:space="0"/>
              <w:bottom w:val="single" w:color="auto" w:sz="4" w:space="0"/>
              <w:right w:val="single" w:color="auto" w:sz="4" w:space="0"/>
            </w:tcBorders>
            <w:vAlign w:val="center"/>
          </w:tcPr>
          <w:p w14:paraId="4DA5FFF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4589584">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056CE869">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E1CB692">
            <w:pPr>
              <w:spacing w:line="240" w:lineRule="exact"/>
              <w:jc w:val="center"/>
              <w:rPr>
                <w:rFonts w:ascii="Arial" w:hAnsi="Arial" w:eastAsia="宋体" w:cs="Arial"/>
                <w:sz w:val="21"/>
                <w:szCs w:val="21"/>
              </w:rPr>
            </w:pPr>
            <w:r>
              <w:rPr>
                <w:rFonts w:ascii="Arial" w:hAnsi="Arial" w:eastAsia="宋体" w:cs="Arial"/>
                <w:sz w:val="21"/>
                <w:szCs w:val="21"/>
              </w:rPr>
              <w:t>0.01</w:t>
            </w:r>
          </w:p>
        </w:tc>
      </w:tr>
      <w:tr w14:paraId="1651D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0B8513E">
            <w:pPr>
              <w:spacing w:line="240" w:lineRule="exact"/>
              <w:jc w:val="center"/>
              <w:rPr>
                <w:rFonts w:ascii="Arial" w:hAnsi="Arial" w:eastAsia="宋体" w:cs="Arial"/>
                <w:sz w:val="21"/>
                <w:szCs w:val="21"/>
              </w:rPr>
            </w:pPr>
            <w:r>
              <w:rPr>
                <w:rFonts w:ascii="Arial" w:hAnsi="Arial" w:eastAsia="宋体" w:cs="Arial"/>
                <w:sz w:val="21"/>
                <w:szCs w:val="21"/>
              </w:rPr>
              <w:t>80</w:t>
            </w:r>
          </w:p>
        </w:tc>
        <w:tc>
          <w:tcPr>
            <w:tcW w:w="652" w:type="pct"/>
            <w:tcBorders>
              <w:top w:val="single" w:color="auto" w:sz="4" w:space="0"/>
              <w:left w:val="single" w:color="auto" w:sz="4" w:space="0"/>
              <w:bottom w:val="single" w:color="auto" w:sz="4" w:space="0"/>
              <w:right w:val="single" w:color="auto" w:sz="4" w:space="0"/>
            </w:tcBorders>
            <w:vAlign w:val="center"/>
          </w:tcPr>
          <w:p w14:paraId="1A11A6F2">
            <w:pPr>
              <w:spacing w:line="240" w:lineRule="exact"/>
              <w:jc w:val="center"/>
              <w:rPr>
                <w:rFonts w:ascii="Arial" w:hAnsi="Arial" w:eastAsia="宋体" w:cs="Arial"/>
                <w:sz w:val="21"/>
                <w:szCs w:val="21"/>
              </w:rPr>
            </w:pPr>
            <w:r>
              <w:rPr>
                <w:rFonts w:ascii="Arial" w:hAnsi="Arial" w:eastAsia="宋体" w:cs="Arial"/>
                <w:sz w:val="21"/>
                <w:szCs w:val="21"/>
              </w:rPr>
              <w:t>0.0043</w:t>
            </w:r>
          </w:p>
        </w:tc>
        <w:tc>
          <w:tcPr>
            <w:tcW w:w="653" w:type="pct"/>
            <w:tcBorders>
              <w:top w:val="single" w:color="auto" w:sz="4" w:space="0"/>
              <w:left w:val="single" w:color="auto" w:sz="4" w:space="0"/>
              <w:bottom w:val="single" w:color="auto" w:sz="4" w:space="0"/>
              <w:right w:val="single" w:color="auto" w:sz="4" w:space="0"/>
            </w:tcBorders>
            <w:vAlign w:val="center"/>
          </w:tcPr>
          <w:p w14:paraId="323E4936">
            <w:pPr>
              <w:spacing w:line="240" w:lineRule="exact"/>
              <w:jc w:val="center"/>
              <w:rPr>
                <w:rFonts w:ascii="Arial" w:hAnsi="Arial" w:eastAsia="宋体" w:cs="Arial"/>
                <w:sz w:val="21"/>
                <w:szCs w:val="21"/>
              </w:rPr>
            </w:pPr>
            <w:r>
              <w:rPr>
                <w:rFonts w:ascii="Arial" w:hAnsi="Arial" w:eastAsia="宋体" w:cs="Arial"/>
                <w:sz w:val="21"/>
                <w:szCs w:val="21"/>
              </w:rPr>
              <w:t>0.0143</w:t>
            </w:r>
          </w:p>
        </w:tc>
        <w:tc>
          <w:tcPr>
            <w:tcW w:w="652" w:type="pct"/>
            <w:tcBorders>
              <w:top w:val="single" w:color="auto" w:sz="4" w:space="0"/>
              <w:left w:val="single" w:color="auto" w:sz="4" w:space="0"/>
              <w:bottom w:val="single" w:color="auto" w:sz="4" w:space="0"/>
              <w:right w:val="single" w:color="auto" w:sz="4" w:space="0"/>
            </w:tcBorders>
            <w:vAlign w:val="center"/>
          </w:tcPr>
          <w:p w14:paraId="1A8B7868">
            <w:pPr>
              <w:spacing w:line="240" w:lineRule="exact"/>
              <w:jc w:val="center"/>
              <w:rPr>
                <w:rFonts w:ascii="Arial" w:hAnsi="Arial" w:eastAsia="宋体" w:cs="Arial"/>
                <w:sz w:val="21"/>
                <w:szCs w:val="21"/>
              </w:rPr>
            </w:pPr>
            <w:r>
              <w:rPr>
                <w:rFonts w:ascii="Arial" w:hAnsi="Arial" w:eastAsia="宋体" w:cs="Arial"/>
                <w:sz w:val="21"/>
                <w:szCs w:val="21"/>
              </w:rPr>
              <w:t>0.0002</w:t>
            </w:r>
          </w:p>
        </w:tc>
        <w:tc>
          <w:tcPr>
            <w:tcW w:w="653" w:type="pct"/>
            <w:tcBorders>
              <w:top w:val="single" w:color="auto" w:sz="4" w:space="0"/>
              <w:left w:val="single" w:color="auto" w:sz="4" w:space="0"/>
              <w:bottom w:val="single" w:color="auto" w:sz="4" w:space="0"/>
              <w:right w:val="single" w:color="auto" w:sz="4" w:space="0"/>
            </w:tcBorders>
            <w:vAlign w:val="center"/>
          </w:tcPr>
          <w:p w14:paraId="7396F4CF">
            <w:pPr>
              <w:spacing w:line="240" w:lineRule="exact"/>
              <w:jc w:val="center"/>
              <w:rPr>
                <w:rFonts w:ascii="Arial" w:hAnsi="Arial" w:eastAsia="宋体" w:cs="Arial"/>
                <w:sz w:val="21"/>
                <w:szCs w:val="21"/>
              </w:rPr>
            </w:pPr>
            <w:r>
              <w:rPr>
                <w:rFonts w:ascii="Arial" w:hAnsi="Arial" w:eastAsia="宋体" w:cs="Arial"/>
                <w:sz w:val="21"/>
                <w:szCs w:val="21"/>
              </w:rPr>
              <w:t>0.0102</w:t>
            </w:r>
          </w:p>
        </w:tc>
        <w:tc>
          <w:tcPr>
            <w:tcW w:w="652" w:type="pct"/>
            <w:tcBorders>
              <w:top w:val="single" w:color="auto" w:sz="4" w:space="0"/>
              <w:left w:val="single" w:color="auto" w:sz="4" w:space="0"/>
              <w:bottom w:val="single" w:color="auto" w:sz="4" w:space="0"/>
              <w:right w:val="single" w:color="auto" w:sz="4" w:space="0"/>
            </w:tcBorders>
            <w:vAlign w:val="center"/>
          </w:tcPr>
          <w:p w14:paraId="013AB0E6">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3A1193B">
            <w:pPr>
              <w:spacing w:line="240" w:lineRule="exact"/>
              <w:jc w:val="center"/>
              <w:rPr>
                <w:rFonts w:ascii="Arial" w:hAnsi="Arial" w:eastAsia="宋体" w:cs="Arial"/>
                <w:sz w:val="21"/>
                <w:szCs w:val="21"/>
              </w:rPr>
            </w:pPr>
            <w:r>
              <w:rPr>
                <w:rFonts w:ascii="Arial" w:hAnsi="Arial" w:eastAsia="宋体" w:cs="Arial"/>
                <w:sz w:val="21"/>
                <w:szCs w:val="21"/>
              </w:rPr>
              <w:t>0.01</w:t>
            </w:r>
          </w:p>
        </w:tc>
      </w:tr>
      <w:tr w14:paraId="12F07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CA5CC3E">
            <w:pPr>
              <w:spacing w:line="240" w:lineRule="exact"/>
              <w:jc w:val="center"/>
              <w:rPr>
                <w:rFonts w:ascii="Arial" w:hAnsi="Arial" w:eastAsia="宋体" w:cs="Arial"/>
                <w:sz w:val="21"/>
                <w:szCs w:val="21"/>
              </w:rPr>
            </w:pPr>
            <w:r>
              <w:rPr>
                <w:rFonts w:ascii="Arial" w:hAnsi="Arial" w:eastAsia="宋体" w:cs="Arial"/>
                <w:sz w:val="21"/>
                <w:szCs w:val="21"/>
              </w:rPr>
              <w:t>100</w:t>
            </w:r>
          </w:p>
        </w:tc>
        <w:tc>
          <w:tcPr>
            <w:tcW w:w="652" w:type="pct"/>
            <w:tcBorders>
              <w:top w:val="single" w:color="auto" w:sz="4" w:space="0"/>
              <w:left w:val="single" w:color="auto" w:sz="4" w:space="0"/>
              <w:bottom w:val="single" w:color="auto" w:sz="4" w:space="0"/>
              <w:right w:val="single" w:color="auto" w:sz="4" w:space="0"/>
            </w:tcBorders>
            <w:vAlign w:val="center"/>
          </w:tcPr>
          <w:p w14:paraId="5F994A1A">
            <w:pPr>
              <w:spacing w:line="240" w:lineRule="exact"/>
              <w:jc w:val="center"/>
              <w:rPr>
                <w:rFonts w:ascii="Arial" w:hAnsi="Arial" w:eastAsia="宋体" w:cs="Arial"/>
                <w:sz w:val="21"/>
                <w:szCs w:val="21"/>
              </w:rPr>
            </w:pPr>
            <w:r>
              <w:rPr>
                <w:rFonts w:ascii="Arial" w:hAnsi="Arial" w:eastAsia="宋体" w:cs="Arial"/>
                <w:sz w:val="21"/>
                <w:szCs w:val="21"/>
              </w:rPr>
              <w:t>0.0006</w:t>
            </w:r>
          </w:p>
        </w:tc>
        <w:tc>
          <w:tcPr>
            <w:tcW w:w="653" w:type="pct"/>
            <w:tcBorders>
              <w:top w:val="single" w:color="auto" w:sz="4" w:space="0"/>
              <w:left w:val="single" w:color="auto" w:sz="4" w:space="0"/>
              <w:bottom w:val="single" w:color="auto" w:sz="4" w:space="0"/>
              <w:right w:val="single" w:color="auto" w:sz="4" w:space="0"/>
            </w:tcBorders>
            <w:vAlign w:val="center"/>
          </w:tcPr>
          <w:p w14:paraId="16BCB0A6">
            <w:pPr>
              <w:spacing w:line="240" w:lineRule="exact"/>
              <w:jc w:val="center"/>
              <w:rPr>
                <w:rFonts w:ascii="Arial" w:hAnsi="Arial" w:eastAsia="宋体" w:cs="Arial"/>
                <w:sz w:val="21"/>
                <w:szCs w:val="21"/>
              </w:rPr>
            </w:pPr>
            <w:r>
              <w:rPr>
                <w:rFonts w:ascii="Arial" w:hAnsi="Arial" w:eastAsia="宋体" w:cs="Arial"/>
                <w:sz w:val="21"/>
                <w:szCs w:val="21"/>
              </w:rPr>
              <w:t>0.0106</w:t>
            </w:r>
          </w:p>
        </w:tc>
        <w:tc>
          <w:tcPr>
            <w:tcW w:w="652" w:type="pct"/>
            <w:tcBorders>
              <w:top w:val="single" w:color="auto" w:sz="4" w:space="0"/>
              <w:left w:val="single" w:color="auto" w:sz="4" w:space="0"/>
              <w:bottom w:val="single" w:color="auto" w:sz="4" w:space="0"/>
              <w:right w:val="single" w:color="auto" w:sz="4" w:space="0"/>
            </w:tcBorders>
            <w:vAlign w:val="center"/>
          </w:tcPr>
          <w:p w14:paraId="5FD184AE">
            <w:pPr>
              <w:spacing w:line="240" w:lineRule="exact"/>
              <w:jc w:val="center"/>
              <w:rPr>
                <w:rFonts w:ascii="Arial" w:hAnsi="Arial" w:eastAsia="宋体" w:cs="Arial"/>
                <w:sz w:val="21"/>
                <w:szCs w:val="21"/>
              </w:rPr>
            </w:pPr>
            <w:r>
              <w:rPr>
                <w:rFonts w:ascii="Arial" w:hAnsi="Arial" w:eastAsia="宋体" w:cs="Arial"/>
                <w:sz w:val="21"/>
                <w:szCs w:val="21"/>
              </w:rPr>
              <w:t>0.0007</w:t>
            </w:r>
          </w:p>
        </w:tc>
        <w:tc>
          <w:tcPr>
            <w:tcW w:w="653" w:type="pct"/>
            <w:tcBorders>
              <w:top w:val="single" w:color="auto" w:sz="4" w:space="0"/>
              <w:left w:val="single" w:color="auto" w:sz="4" w:space="0"/>
              <w:bottom w:val="single" w:color="auto" w:sz="4" w:space="0"/>
              <w:right w:val="single" w:color="auto" w:sz="4" w:space="0"/>
            </w:tcBorders>
            <w:vAlign w:val="center"/>
          </w:tcPr>
          <w:p w14:paraId="03DBDFC8">
            <w:pPr>
              <w:spacing w:line="240" w:lineRule="exact"/>
              <w:jc w:val="center"/>
              <w:rPr>
                <w:rFonts w:ascii="Arial" w:hAnsi="Arial" w:eastAsia="宋体" w:cs="Arial"/>
                <w:sz w:val="21"/>
                <w:szCs w:val="21"/>
              </w:rPr>
            </w:pPr>
            <w:r>
              <w:rPr>
                <w:rFonts w:ascii="Arial" w:hAnsi="Arial" w:eastAsia="宋体" w:cs="Arial"/>
                <w:sz w:val="21"/>
                <w:szCs w:val="21"/>
              </w:rPr>
              <w:t>0.0107</w:t>
            </w:r>
          </w:p>
        </w:tc>
        <w:tc>
          <w:tcPr>
            <w:tcW w:w="652" w:type="pct"/>
            <w:tcBorders>
              <w:top w:val="single" w:color="auto" w:sz="4" w:space="0"/>
              <w:left w:val="single" w:color="auto" w:sz="4" w:space="0"/>
              <w:bottom w:val="single" w:color="auto" w:sz="4" w:space="0"/>
              <w:right w:val="single" w:color="auto" w:sz="4" w:space="0"/>
            </w:tcBorders>
            <w:vAlign w:val="center"/>
          </w:tcPr>
          <w:p w14:paraId="2524A398">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9A4D0F1">
            <w:pPr>
              <w:spacing w:line="240" w:lineRule="exact"/>
              <w:jc w:val="center"/>
              <w:rPr>
                <w:rFonts w:ascii="Arial" w:hAnsi="Arial" w:eastAsia="宋体" w:cs="Arial"/>
                <w:sz w:val="21"/>
                <w:szCs w:val="21"/>
              </w:rPr>
            </w:pPr>
            <w:r>
              <w:rPr>
                <w:rFonts w:ascii="Arial" w:hAnsi="Arial" w:eastAsia="宋体" w:cs="Arial"/>
                <w:sz w:val="21"/>
                <w:szCs w:val="21"/>
              </w:rPr>
              <w:t>0.01</w:t>
            </w:r>
          </w:p>
        </w:tc>
      </w:tr>
      <w:tr w14:paraId="2038D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2DD4F80A">
            <w:pPr>
              <w:spacing w:line="240" w:lineRule="exact"/>
              <w:jc w:val="center"/>
              <w:rPr>
                <w:rFonts w:ascii="Arial" w:hAnsi="Arial" w:eastAsia="宋体" w:cs="Arial"/>
                <w:sz w:val="21"/>
                <w:szCs w:val="21"/>
              </w:rPr>
            </w:pPr>
            <w:r>
              <w:rPr>
                <w:rFonts w:ascii="Arial" w:hAnsi="Arial" w:eastAsia="宋体" w:cs="Arial"/>
                <w:sz w:val="21"/>
                <w:szCs w:val="21"/>
              </w:rPr>
              <w:t>120</w:t>
            </w:r>
          </w:p>
        </w:tc>
        <w:tc>
          <w:tcPr>
            <w:tcW w:w="652" w:type="pct"/>
            <w:tcBorders>
              <w:top w:val="single" w:color="auto" w:sz="4" w:space="0"/>
              <w:left w:val="single" w:color="auto" w:sz="4" w:space="0"/>
              <w:bottom w:val="single" w:color="auto" w:sz="4" w:space="0"/>
              <w:right w:val="single" w:color="auto" w:sz="4" w:space="0"/>
            </w:tcBorders>
            <w:vAlign w:val="center"/>
          </w:tcPr>
          <w:p w14:paraId="5E3C68A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E86CFE4">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24E22AC8">
            <w:pPr>
              <w:spacing w:line="240" w:lineRule="exact"/>
              <w:jc w:val="center"/>
              <w:rPr>
                <w:rFonts w:ascii="Arial" w:hAnsi="Arial" w:eastAsia="宋体" w:cs="Arial"/>
                <w:sz w:val="21"/>
                <w:szCs w:val="21"/>
              </w:rPr>
            </w:pPr>
            <w:r>
              <w:rPr>
                <w:rFonts w:ascii="Arial" w:hAnsi="Arial" w:eastAsia="宋体" w:cs="Arial"/>
                <w:sz w:val="21"/>
                <w:szCs w:val="21"/>
              </w:rPr>
              <w:t>0.0018</w:t>
            </w:r>
          </w:p>
        </w:tc>
        <w:tc>
          <w:tcPr>
            <w:tcW w:w="653" w:type="pct"/>
            <w:tcBorders>
              <w:top w:val="single" w:color="auto" w:sz="4" w:space="0"/>
              <w:left w:val="single" w:color="auto" w:sz="4" w:space="0"/>
              <w:bottom w:val="single" w:color="auto" w:sz="4" w:space="0"/>
              <w:right w:val="single" w:color="auto" w:sz="4" w:space="0"/>
            </w:tcBorders>
            <w:vAlign w:val="center"/>
          </w:tcPr>
          <w:p w14:paraId="1390030A">
            <w:pPr>
              <w:spacing w:line="240" w:lineRule="exact"/>
              <w:jc w:val="center"/>
              <w:rPr>
                <w:rFonts w:ascii="Arial" w:hAnsi="Arial" w:eastAsia="宋体" w:cs="Arial"/>
                <w:sz w:val="21"/>
                <w:szCs w:val="21"/>
              </w:rPr>
            </w:pPr>
            <w:r>
              <w:rPr>
                <w:rFonts w:ascii="Arial" w:hAnsi="Arial" w:eastAsia="宋体" w:cs="Arial"/>
                <w:sz w:val="21"/>
                <w:szCs w:val="21"/>
              </w:rPr>
              <w:t>0.0118</w:t>
            </w:r>
          </w:p>
        </w:tc>
        <w:tc>
          <w:tcPr>
            <w:tcW w:w="652" w:type="pct"/>
            <w:tcBorders>
              <w:top w:val="single" w:color="auto" w:sz="4" w:space="0"/>
              <w:left w:val="single" w:color="auto" w:sz="4" w:space="0"/>
              <w:bottom w:val="single" w:color="auto" w:sz="4" w:space="0"/>
              <w:right w:val="single" w:color="auto" w:sz="4" w:space="0"/>
            </w:tcBorders>
            <w:vAlign w:val="center"/>
          </w:tcPr>
          <w:p w14:paraId="16D15BF2">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8C10710">
            <w:pPr>
              <w:spacing w:line="240" w:lineRule="exact"/>
              <w:jc w:val="center"/>
              <w:rPr>
                <w:rFonts w:ascii="Arial" w:hAnsi="Arial" w:eastAsia="宋体" w:cs="Arial"/>
                <w:sz w:val="21"/>
                <w:szCs w:val="21"/>
              </w:rPr>
            </w:pPr>
            <w:r>
              <w:rPr>
                <w:rFonts w:ascii="Arial" w:hAnsi="Arial" w:eastAsia="宋体" w:cs="Arial"/>
                <w:sz w:val="21"/>
                <w:szCs w:val="21"/>
              </w:rPr>
              <w:t>0.01</w:t>
            </w:r>
          </w:p>
        </w:tc>
      </w:tr>
      <w:tr w14:paraId="233FB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40301E7B">
            <w:pPr>
              <w:spacing w:line="240" w:lineRule="exact"/>
              <w:jc w:val="center"/>
              <w:rPr>
                <w:rFonts w:ascii="Arial" w:hAnsi="Arial" w:eastAsia="宋体" w:cs="Arial"/>
                <w:sz w:val="21"/>
                <w:szCs w:val="21"/>
              </w:rPr>
            </w:pPr>
            <w:r>
              <w:rPr>
                <w:rFonts w:ascii="Arial" w:hAnsi="Arial" w:eastAsia="宋体" w:cs="Arial"/>
                <w:sz w:val="21"/>
                <w:szCs w:val="21"/>
              </w:rPr>
              <w:t>140</w:t>
            </w:r>
          </w:p>
        </w:tc>
        <w:tc>
          <w:tcPr>
            <w:tcW w:w="652" w:type="pct"/>
            <w:tcBorders>
              <w:top w:val="single" w:color="auto" w:sz="4" w:space="0"/>
              <w:left w:val="single" w:color="auto" w:sz="4" w:space="0"/>
              <w:bottom w:val="single" w:color="auto" w:sz="4" w:space="0"/>
              <w:right w:val="single" w:color="auto" w:sz="4" w:space="0"/>
            </w:tcBorders>
            <w:vAlign w:val="center"/>
          </w:tcPr>
          <w:p w14:paraId="110E2D4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7EABE8C">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339CF9F2">
            <w:pPr>
              <w:spacing w:line="240" w:lineRule="exact"/>
              <w:jc w:val="center"/>
              <w:rPr>
                <w:rFonts w:ascii="Arial" w:hAnsi="Arial" w:eastAsia="宋体" w:cs="Arial"/>
                <w:sz w:val="21"/>
                <w:szCs w:val="21"/>
              </w:rPr>
            </w:pPr>
            <w:r>
              <w:rPr>
                <w:rFonts w:ascii="Arial" w:hAnsi="Arial" w:eastAsia="宋体" w:cs="Arial"/>
                <w:sz w:val="21"/>
                <w:szCs w:val="21"/>
              </w:rPr>
              <w:t>0.0038</w:t>
            </w:r>
          </w:p>
        </w:tc>
        <w:tc>
          <w:tcPr>
            <w:tcW w:w="653" w:type="pct"/>
            <w:tcBorders>
              <w:top w:val="single" w:color="auto" w:sz="4" w:space="0"/>
              <w:left w:val="single" w:color="auto" w:sz="4" w:space="0"/>
              <w:bottom w:val="single" w:color="auto" w:sz="4" w:space="0"/>
              <w:right w:val="single" w:color="auto" w:sz="4" w:space="0"/>
            </w:tcBorders>
            <w:vAlign w:val="center"/>
          </w:tcPr>
          <w:p w14:paraId="282D80C6">
            <w:pPr>
              <w:spacing w:line="240" w:lineRule="exact"/>
              <w:jc w:val="center"/>
              <w:rPr>
                <w:rFonts w:ascii="Arial" w:hAnsi="Arial" w:eastAsia="宋体" w:cs="Arial"/>
                <w:sz w:val="21"/>
                <w:szCs w:val="21"/>
              </w:rPr>
            </w:pPr>
            <w:r>
              <w:rPr>
                <w:rFonts w:ascii="Arial" w:hAnsi="Arial" w:eastAsia="宋体" w:cs="Arial"/>
                <w:sz w:val="21"/>
                <w:szCs w:val="21"/>
              </w:rPr>
              <w:t>0.0138</w:t>
            </w:r>
          </w:p>
        </w:tc>
        <w:tc>
          <w:tcPr>
            <w:tcW w:w="652" w:type="pct"/>
            <w:tcBorders>
              <w:top w:val="single" w:color="auto" w:sz="4" w:space="0"/>
              <w:left w:val="single" w:color="auto" w:sz="4" w:space="0"/>
              <w:bottom w:val="single" w:color="auto" w:sz="4" w:space="0"/>
              <w:right w:val="single" w:color="auto" w:sz="4" w:space="0"/>
            </w:tcBorders>
            <w:vAlign w:val="center"/>
          </w:tcPr>
          <w:p w14:paraId="74B1E6D2">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7F0FDA6">
            <w:pPr>
              <w:spacing w:line="240" w:lineRule="exact"/>
              <w:jc w:val="center"/>
              <w:rPr>
                <w:rFonts w:ascii="Arial" w:hAnsi="Arial" w:eastAsia="宋体" w:cs="Arial"/>
                <w:sz w:val="21"/>
                <w:szCs w:val="21"/>
              </w:rPr>
            </w:pPr>
            <w:r>
              <w:rPr>
                <w:rFonts w:ascii="Arial" w:hAnsi="Arial" w:eastAsia="宋体" w:cs="Arial"/>
                <w:sz w:val="21"/>
                <w:szCs w:val="21"/>
              </w:rPr>
              <w:t>0.01</w:t>
            </w:r>
          </w:p>
        </w:tc>
      </w:tr>
      <w:tr w14:paraId="4FA2D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D6DBC93">
            <w:pPr>
              <w:spacing w:line="240" w:lineRule="exact"/>
              <w:jc w:val="center"/>
              <w:rPr>
                <w:rFonts w:ascii="Arial" w:hAnsi="Arial" w:eastAsia="宋体" w:cs="Arial"/>
                <w:sz w:val="21"/>
                <w:szCs w:val="21"/>
              </w:rPr>
            </w:pPr>
            <w:r>
              <w:rPr>
                <w:rFonts w:ascii="Arial" w:hAnsi="Arial" w:eastAsia="宋体" w:cs="Arial"/>
                <w:sz w:val="21"/>
                <w:szCs w:val="21"/>
              </w:rPr>
              <w:t>160</w:t>
            </w:r>
          </w:p>
        </w:tc>
        <w:tc>
          <w:tcPr>
            <w:tcW w:w="652" w:type="pct"/>
            <w:tcBorders>
              <w:top w:val="single" w:color="auto" w:sz="4" w:space="0"/>
              <w:left w:val="single" w:color="auto" w:sz="4" w:space="0"/>
              <w:bottom w:val="single" w:color="auto" w:sz="4" w:space="0"/>
              <w:right w:val="single" w:color="auto" w:sz="4" w:space="0"/>
            </w:tcBorders>
            <w:vAlign w:val="center"/>
          </w:tcPr>
          <w:p w14:paraId="55E83E06">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9A0583A">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27658010">
            <w:pPr>
              <w:spacing w:line="240" w:lineRule="exact"/>
              <w:jc w:val="center"/>
              <w:rPr>
                <w:rFonts w:ascii="Arial" w:hAnsi="Arial" w:eastAsia="宋体" w:cs="Arial"/>
                <w:sz w:val="21"/>
                <w:szCs w:val="21"/>
              </w:rPr>
            </w:pPr>
            <w:r>
              <w:rPr>
                <w:rFonts w:ascii="Arial" w:hAnsi="Arial" w:eastAsia="宋体" w:cs="Arial"/>
                <w:sz w:val="21"/>
                <w:szCs w:val="21"/>
              </w:rPr>
              <w:t>0.0059</w:t>
            </w:r>
          </w:p>
        </w:tc>
        <w:tc>
          <w:tcPr>
            <w:tcW w:w="653" w:type="pct"/>
            <w:tcBorders>
              <w:top w:val="single" w:color="auto" w:sz="4" w:space="0"/>
              <w:left w:val="single" w:color="auto" w:sz="4" w:space="0"/>
              <w:bottom w:val="single" w:color="auto" w:sz="4" w:space="0"/>
              <w:right w:val="single" w:color="auto" w:sz="4" w:space="0"/>
            </w:tcBorders>
            <w:vAlign w:val="center"/>
          </w:tcPr>
          <w:p w14:paraId="7BEEBB3A">
            <w:pPr>
              <w:spacing w:line="240" w:lineRule="exact"/>
              <w:jc w:val="center"/>
              <w:rPr>
                <w:rFonts w:ascii="Arial" w:hAnsi="Arial" w:eastAsia="宋体" w:cs="Arial"/>
                <w:sz w:val="21"/>
                <w:szCs w:val="21"/>
              </w:rPr>
            </w:pPr>
            <w:r>
              <w:rPr>
                <w:rFonts w:ascii="Arial" w:hAnsi="Arial" w:eastAsia="宋体" w:cs="Arial"/>
                <w:sz w:val="21"/>
                <w:szCs w:val="21"/>
              </w:rPr>
              <w:t>0.0159</w:t>
            </w:r>
          </w:p>
        </w:tc>
        <w:tc>
          <w:tcPr>
            <w:tcW w:w="652" w:type="pct"/>
            <w:tcBorders>
              <w:top w:val="single" w:color="auto" w:sz="4" w:space="0"/>
              <w:left w:val="single" w:color="auto" w:sz="4" w:space="0"/>
              <w:bottom w:val="single" w:color="auto" w:sz="4" w:space="0"/>
              <w:right w:val="single" w:color="auto" w:sz="4" w:space="0"/>
            </w:tcBorders>
            <w:vAlign w:val="center"/>
          </w:tcPr>
          <w:p w14:paraId="1091A2F9">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E25EA85">
            <w:pPr>
              <w:spacing w:line="240" w:lineRule="exact"/>
              <w:jc w:val="center"/>
              <w:rPr>
                <w:rFonts w:ascii="Arial" w:hAnsi="Arial" w:eastAsia="宋体" w:cs="Arial"/>
                <w:sz w:val="21"/>
                <w:szCs w:val="21"/>
              </w:rPr>
            </w:pPr>
            <w:r>
              <w:rPr>
                <w:rFonts w:ascii="Arial" w:hAnsi="Arial" w:eastAsia="宋体" w:cs="Arial"/>
                <w:sz w:val="21"/>
                <w:szCs w:val="21"/>
              </w:rPr>
              <w:t>0.01</w:t>
            </w:r>
          </w:p>
        </w:tc>
      </w:tr>
      <w:tr w14:paraId="44C5A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34EFBE29">
            <w:pPr>
              <w:spacing w:line="240" w:lineRule="exact"/>
              <w:jc w:val="center"/>
              <w:rPr>
                <w:rFonts w:ascii="Arial" w:hAnsi="Arial" w:eastAsia="宋体" w:cs="Arial"/>
                <w:sz w:val="21"/>
                <w:szCs w:val="21"/>
              </w:rPr>
            </w:pPr>
            <w:r>
              <w:rPr>
                <w:rFonts w:ascii="Arial" w:hAnsi="Arial" w:eastAsia="宋体" w:cs="Arial"/>
                <w:sz w:val="21"/>
                <w:szCs w:val="21"/>
              </w:rPr>
              <w:t>180</w:t>
            </w:r>
          </w:p>
        </w:tc>
        <w:tc>
          <w:tcPr>
            <w:tcW w:w="652" w:type="pct"/>
            <w:tcBorders>
              <w:top w:val="single" w:color="auto" w:sz="4" w:space="0"/>
              <w:left w:val="single" w:color="auto" w:sz="4" w:space="0"/>
              <w:bottom w:val="single" w:color="auto" w:sz="4" w:space="0"/>
              <w:right w:val="single" w:color="auto" w:sz="4" w:space="0"/>
            </w:tcBorders>
            <w:vAlign w:val="center"/>
          </w:tcPr>
          <w:p w14:paraId="6C5EEB55">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076FDD0">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3FF3D7A0">
            <w:pPr>
              <w:spacing w:line="240" w:lineRule="exact"/>
              <w:jc w:val="center"/>
              <w:rPr>
                <w:rFonts w:ascii="Arial" w:hAnsi="Arial" w:eastAsia="宋体" w:cs="Arial"/>
                <w:sz w:val="21"/>
                <w:szCs w:val="21"/>
              </w:rPr>
            </w:pPr>
            <w:r>
              <w:rPr>
                <w:rFonts w:ascii="Arial" w:hAnsi="Arial" w:eastAsia="宋体" w:cs="Arial"/>
                <w:sz w:val="21"/>
                <w:szCs w:val="21"/>
              </w:rPr>
              <w:t>0.0069</w:t>
            </w:r>
          </w:p>
        </w:tc>
        <w:tc>
          <w:tcPr>
            <w:tcW w:w="653" w:type="pct"/>
            <w:tcBorders>
              <w:top w:val="single" w:color="auto" w:sz="4" w:space="0"/>
              <w:left w:val="single" w:color="auto" w:sz="4" w:space="0"/>
              <w:bottom w:val="single" w:color="auto" w:sz="4" w:space="0"/>
              <w:right w:val="single" w:color="auto" w:sz="4" w:space="0"/>
            </w:tcBorders>
            <w:vAlign w:val="center"/>
          </w:tcPr>
          <w:p w14:paraId="08A3DE69">
            <w:pPr>
              <w:spacing w:line="240" w:lineRule="exact"/>
              <w:jc w:val="center"/>
              <w:rPr>
                <w:rFonts w:ascii="Arial" w:hAnsi="Arial" w:eastAsia="宋体" w:cs="Arial"/>
                <w:sz w:val="21"/>
                <w:szCs w:val="21"/>
              </w:rPr>
            </w:pPr>
            <w:r>
              <w:rPr>
                <w:rFonts w:ascii="Arial" w:hAnsi="Arial" w:eastAsia="宋体" w:cs="Arial"/>
                <w:sz w:val="21"/>
                <w:szCs w:val="21"/>
              </w:rPr>
              <w:t>0.0169</w:t>
            </w:r>
          </w:p>
        </w:tc>
        <w:tc>
          <w:tcPr>
            <w:tcW w:w="652" w:type="pct"/>
            <w:tcBorders>
              <w:top w:val="single" w:color="auto" w:sz="4" w:space="0"/>
              <w:left w:val="single" w:color="auto" w:sz="4" w:space="0"/>
              <w:bottom w:val="single" w:color="auto" w:sz="4" w:space="0"/>
              <w:right w:val="single" w:color="auto" w:sz="4" w:space="0"/>
            </w:tcBorders>
            <w:vAlign w:val="center"/>
          </w:tcPr>
          <w:p w14:paraId="119807F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0771DF9">
            <w:pPr>
              <w:spacing w:line="240" w:lineRule="exact"/>
              <w:jc w:val="center"/>
              <w:rPr>
                <w:rFonts w:ascii="Arial" w:hAnsi="Arial" w:eastAsia="宋体" w:cs="Arial"/>
                <w:sz w:val="21"/>
                <w:szCs w:val="21"/>
              </w:rPr>
            </w:pPr>
            <w:r>
              <w:rPr>
                <w:rFonts w:ascii="Arial" w:hAnsi="Arial" w:eastAsia="宋体" w:cs="Arial"/>
                <w:sz w:val="21"/>
                <w:szCs w:val="21"/>
              </w:rPr>
              <w:t>0.01</w:t>
            </w:r>
          </w:p>
        </w:tc>
      </w:tr>
      <w:tr w14:paraId="59D71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CD5DACD">
            <w:pPr>
              <w:spacing w:line="240" w:lineRule="exact"/>
              <w:jc w:val="center"/>
              <w:rPr>
                <w:rFonts w:ascii="Arial" w:hAnsi="Arial" w:eastAsia="宋体" w:cs="Arial"/>
                <w:sz w:val="21"/>
                <w:szCs w:val="21"/>
              </w:rPr>
            </w:pPr>
            <w:r>
              <w:rPr>
                <w:rFonts w:ascii="Arial" w:hAnsi="Arial" w:eastAsia="宋体" w:cs="Arial"/>
                <w:sz w:val="21"/>
                <w:szCs w:val="21"/>
              </w:rPr>
              <w:t>200</w:t>
            </w:r>
          </w:p>
        </w:tc>
        <w:tc>
          <w:tcPr>
            <w:tcW w:w="652" w:type="pct"/>
            <w:tcBorders>
              <w:top w:val="single" w:color="auto" w:sz="4" w:space="0"/>
              <w:left w:val="single" w:color="auto" w:sz="4" w:space="0"/>
              <w:bottom w:val="single" w:color="auto" w:sz="4" w:space="0"/>
              <w:right w:val="single" w:color="auto" w:sz="4" w:space="0"/>
            </w:tcBorders>
            <w:vAlign w:val="center"/>
          </w:tcPr>
          <w:p w14:paraId="6337D159">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F672C4E">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641B9888">
            <w:pPr>
              <w:spacing w:line="240" w:lineRule="exact"/>
              <w:jc w:val="center"/>
              <w:rPr>
                <w:rFonts w:ascii="Arial" w:hAnsi="Arial" w:eastAsia="宋体" w:cs="Arial"/>
                <w:sz w:val="21"/>
                <w:szCs w:val="21"/>
              </w:rPr>
            </w:pPr>
            <w:r>
              <w:rPr>
                <w:rFonts w:ascii="Arial" w:hAnsi="Arial" w:eastAsia="宋体" w:cs="Arial"/>
                <w:sz w:val="21"/>
                <w:szCs w:val="21"/>
              </w:rPr>
              <w:t>0.0063</w:t>
            </w:r>
          </w:p>
        </w:tc>
        <w:tc>
          <w:tcPr>
            <w:tcW w:w="653" w:type="pct"/>
            <w:tcBorders>
              <w:top w:val="single" w:color="auto" w:sz="4" w:space="0"/>
              <w:left w:val="single" w:color="auto" w:sz="4" w:space="0"/>
              <w:bottom w:val="single" w:color="auto" w:sz="4" w:space="0"/>
              <w:right w:val="single" w:color="auto" w:sz="4" w:space="0"/>
            </w:tcBorders>
            <w:vAlign w:val="center"/>
          </w:tcPr>
          <w:p w14:paraId="11B77E56">
            <w:pPr>
              <w:spacing w:line="240" w:lineRule="exact"/>
              <w:jc w:val="center"/>
              <w:rPr>
                <w:rFonts w:ascii="Arial" w:hAnsi="Arial" w:eastAsia="宋体" w:cs="Arial"/>
                <w:sz w:val="21"/>
                <w:szCs w:val="21"/>
              </w:rPr>
            </w:pPr>
            <w:r>
              <w:rPr>
                <w:rFonts w:ascii="Arial" w:hAnsi="Arial" w:eastAsia="宋体" w:cs="Arial"/>
                <w:sz w:val="21"/>
                <w:szCs w:val="21"/>
              </w:rPr>
              <w:t>0.0163</w:t>
            </w:r>
          </w:p>
        </w:tc>
        <w:tc>
          <w:tcPr>
            <w:tcW w:w="652" w:type="pct"/>
            <w:tcBorders>
              <w:top w:val="single" w:color="auto" w:sz="4" w:space="0"/>
              <w:left w:val="single" w:color="auto" w:sz="4" w:space="0"/>
              <w:bottom w:val="single" w:color="auto" w:sz="4" w:space="0"/>
              <w:right w:val="single" w:color="auto" w:sz="4" w:space="0"/>
            </w:tcBorders>
            <w:vAlign w:val="center"/>
          </w:tcPr>
          <w:p w14:paraId="4776766B">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6A9C429">
            <w:pPr>
              <w:spacing w:line="240" w:lineRule="exact"/>
              <w:jc w:val="center"/>
              <w:rPr>
                <w:rFonts w:ascii="Arial" w:hAnsi="Arial" w:eastAsia="宋体" w:cs="Arial"/>
                <w:sz w:val="21"/>
                <w:szCs w:val="21"/>
              </w:rPr>
            </w:pPr>
            <w:r>
              <w:rPr>
                <w:rFonts w:ascii="Arial" w:hAnsi="Arial" w:eastAsia="宋体" w:cs="Arial"/>
                <w:sz w:val="21"/>
                <w:szCs w:val="21"/>
              </w:rPr>
              <w:t>0.01</w:t>
            </w:r>
          </w:p>
        </w:tc>
      </w:tr>
      <w:tr w14:paraId="213E3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2AD440BF">
            <w:pPr>
              <w:spacing w:line="240" w:lineRule="exact"/>
              <w:jc w:val="center"/>
              <w:rPr>
                <w:rFonts w:ascii="Arial" w:hAnsi="Arial" w:eastAsia="宋体" w:cs="Arial"/>
                <w:sz w:val="21"/>
                <w:szCs w:val="21"/>
              </w:rPr>
            </w:pPr>
            <w:r>
              <w:rPr>
                <w:rFonts w:ascii="Arial" w:hAnsi="Arial" w:eastAsia="宋体" w:cs="Arial"/>
                <w:sz w:val="21"/>
                <w:szCs w:val="21"/>
              </w:rPr>
              <w:t>220</w:t>
            </w:r>
          </w:p>
        </w:tc>
        <w:tc>
          <w:tcPr>
            <w:tcW w:w="652" w:type="pct"/>
            <w:tcBorders>
              <w:top w:val="single" w:color="auto" w:sz="4" w:space="0"/>
              <w:left w:val="single" w:color="auto" w:sz="4" w:space="0"/>
              <w:bottom w:val="single" w:color="auto" w:sz="4" w:space="0"/>
              <w:right w:val="single" w:color="auto" w:sz="4" w:space="0"/>
            </w:tcBorders>
            <w:vAlign w:val="center"/>
          </w:tcPr>
          <w:p w14:paraId="2BC4987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01A9042">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061D0B32">
            <w:pPr>
              <w:spacing w:line="240" w:lineRule="exact"/>
              <w:jc w:val="center"/>
              <w:rPr>
                <w:rFonts w:ascii="Arial" w:hAnsi="Arial" w:eastAsia="宋体" w:cs="Arial"/>
                <w:sz w:val="21"/>
                <w:szCs w:val="21"/>
              </w:rPr>
            </w:pPr>
            <w:r>
              <w:rPr>
                <w:rFonts w:ascii="Arial" w:hAnsi="Arial" w:eastAsia="宋体" w:cs="Arial"/>
                <w:sz w:val="21"/>
                <w:szCs w:val="21"/>
              </w:rPr>
              <w:t>0.0043</w:t>
            </w:r>
          </w:p>
        </w:tc>
        <w:tc>
          <w:tcPr>
            <w:tcW w:w="653" w:type="pct"/>
            <w:tcBorders>
              <w:top w:val="single" w:color="auto" w:sz="4" w:space="0"/>
              <w:left w:val="single" w:color="auto" w:sz="4" w:space="0"/>
              <w:bottom w:val="single" w:color="auto" w:sz="4" w:space="0"/>
              <w:right w:val="single" w:color="auto" w:sz="4" w:space="0"/>
            </w:tcBorders>
            <w:vAlign w:val="center"/>
          </w:tcPr>
          <w:p w14:paraId="23434120">
            <w:pPr>
              <w:spacing w:line="240" w:lineRule="exact"/>
              <w:jc w:val="center"/>
              <w:rPr>
                <w:rFonts w:ascii="Arial" w:hAnsi="Arial" w:eastAsia="宋体" w:cs="Arial"/>
                <w:sz w:val="21"/>
                <w:szCs w:val="21"/>
              </w:rPr>
            </w:pPr>
            <w:r>
              <w:rPr>
                <w:rFonts w:ascii="Arial" w:hAnsi="Arial" w:eastAsia="宋体" w:cs="Arial"/>
                <w:sz w:val="21"/>
                <w:szCs w:val="21"/>
              </w:rPr>
              <w:t>0.0143</w:t>
            </w:r>
          </w:p>
        </w:tc>
        <w:tc>
          <w:tcPr>
            <w:tcW w:w="652" w:type="pct"/>
            <w:tcBorders>
              <w:top w:val="single" w:color="auto" w:sz="4" w:space="0"/>
              <w:left w:val="single" w:color="auto" w:sz="4" w:space="0"/>
              <w:bottom w:val="single" w:color="auto" w:sz="4" w:space="0"/>
              <w:right w:val="single" w:color="auto" w:sz="4" w:space="0"/>
            </w:tcBorders>
            <w:vAlign w:val="center"/>
          </w:tcPr>
          <w:p w14:paraId="662638C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35DD195">
            <w:pPr>
              <w:spacing w:line="240" w:lineRule="exact"/>
              <w:jc w:val="center"/>
              <w:rPr>
                <w:rFonts w:ascii="Arial" w:hAnsi="Arial" w:eastAsia="宋体" w:cs="Arial"/>
                <w:sz w:val="21"/>
                <w:szCs w:val="21"/>
              </w:rPr>
            </w:pPr>
            <w:r>
              <w:rPr>
                <w:rFonts w:ascii="Arial" w:hAnsi="Arial" w:eastAsia="宋体" w:cs="Arial"/>
                <w:sz w:val="21"/>
                <w:szCs w:val="21"/>
              </w:rPr>
              <w:t>0.01</w:t>
            </w:r>
          </w:p>
        </w:tc>
      </w:tr>
      <w:tr w14:paraId="7198C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B7A15C4">
            <w:pPr>
              <w:spacing w:line="240" w:lineRule="exact"/>
              <w:jc w:val="center"/>
              <w:rPr>
                <w:rFonts w:ascii="Arial" w:hAnsi="Arial" w:eastAsia="宋体" w:cs="Arial"/>
                <w:sz w:val="21"/>
                <w:szCs w:val="21"/>
              </w:rPr>
            </w:pPr>
            <w:r>
              <w:rPr>
                <w:rFonts w:ascii="Arial" w:hAnsi="Arial" w:eastAsia="宋体" w:cs="Arial"/>
                <w:sz w:val="21"/>
                <w:szCs w:val="21"/>
              </w:rPr>
              <w:t>240</w:t>
            </w:r>
          </w:p>
        </w:tc>
        <w:tc>
          <w:tcPr>
            <w:tcW w:w="652" w:type="pct"/>
            <w:tcBorders>
              <w:top w:val="single" w:color="auto" w:sz="4" w:space="0"/>
              <w:left w:val="single" w:color="auto" w:sz="4" w:space="0"/>
              <w:bottom w:val="single" w:color="auto" w:sz="4" w:space="0"/>
              <w:right w:val="single" w:color="auto" w:sz="4" w:space="0"/>
            </w:tcBorders>
            <w:vAlign w:val="center"/>
          </w:tcPr>
          <w:p w14:paraId="45A1EC40">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FF12A64">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11F421B0">
            <w:pPr>
              <w:spacing w:line="240" w:lineRule="exact"/>
              <w:jc w:val="center"/>
              <w:rPr>
                <w:rFonts w:ascii="Arial" w:hAnsi="Arial" w:eastAsia="宋体" w:cs="Arial"/>
                <w:sz w:val="21"/>
                <w:szCs w:val="21"/>
              </w:rPr>
            </w:pPr>
            <w:r>
              <w:rPr>
                <w:rFonts w:ascii="Arial" w:hAnsi="Arial" w:eastAsia="宋体" w:cs="Arial"/>
                <w:sz w:val="21"/>
                <w:szCs w:val="21"/>
              </w:rPr>
              <w:t>0.0022</w:t>
            </w:r>
          </w:p>
        </w:tc>
        <w:tc>
          <w:tcPr>
            <w:tcW w:w="653" w:type="pct"/>
            <w:tcBorders>
              <w:top w:val="single" w:color="auto" w:sz="4" w:space="0"/>
              <w:left w:val="single" w:color="auto" w:sz="4" w:space="0"/>
              <w:bottom w:val="single" w:color="auto" w:sz="4" w:space="0"/>
              <w:right w:val="single" w:color="auto" w:sz="4" w:space="0"/>
            </w:tcBorders>
            <w:vAlign w:val="center"/>
          </w:tcPr>
          <w:p w14:paraId="5DBD0B04">
            <w:pPr>
              <w:spacing w:line="240" w:lineRule="exact"/>
              <w:jc w:val="center"/>
              <w:rPr>
                <w:rFonts w:ascii="Arial" w:hAnsi="Arial" w:eastAsia="宋体" w:cs="Arial"/>
                <w:sz w:val="21"/>
                <w:szCs w:val="21"/>
              </w:rPr>
            </w:pPr>
            <w:r>
              <w:rPr>
                <w:rFonts w:ascii="Arial" w:hAnsi="Arial" w:eastAsia="宋体" w:cs="Arial"/>
                <w:sz w:val="21"/>
                <w:szCs w:val="21"/>
              </w:rPr>
              <w:t>0.0122</w:t>
            </w:r>
          </w:p>
        </w:tc>
        <w:tc>
          <w:tcPr>
            <w:tcW w:w="652" w:type="pct"/>
            <w:tcBorders>
              <w:top w:val="single" w:color="auto" w:sz="4" w:space="0"/>
              <w:left w:val="single" w:color="auto" w:sz="4" w:space="0"/>
              <w:bottom w:val="single" w:color="auto" w:sz="4" w:space="0"/>
              <w:right w:val="single" w:color="auto" w:sz="4" w:space="0"/>
            </w:tcBorders>
            <w:vAlign w:val="center"/>
          </w:tcPr>
          <w:p w14:paraId="385C8D7E">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1ACE9F9">
            <w:pPr>
              <w:spacing w:line="240" w:lineRule="exact"/>
              <w:jc w:val="center"/>
              <w:rPr>
                <w:rFonts w:ascii="Arial" w:hAnsi="Arial" w:eastAsia="宋体" w:cs="Arial"/>
                <w:sz w:val="21"/>
                <w:szCs w:val="21"/>
              </w:rPr>
            </w:pPr>
            <w:r>
              <w:rPr>
                <w:rFonts w:ascii="Arial" w:hAnsi="Arial" w:eastAsia="宋体" w:cs="Arial"/>
                <w:sz w:val="21"/>
                <w:szCs w:val="21"/>
              </w:rPr>
              <w:t>0.01</w:t>
            </w:r>
          </w:p>
        </w:tc>
      </w:tr>
      <w:tr w14:paraId="45775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E4CC8AC">
            <w:pPr>
              <w:spacing w:line="240" w:lineRule="exact"/>
              <w:jc w:val="center"/>
              <w:rPr>
                <w:rFonts w:ascii="Arial" w:hAnsi="Arial" w:eastAsia="宋体" w:cs="Arial"/>
                <w:sz w:val="21"/>
                <w:szCs w:val="21"/>
              </w:rPr>
            </w:pPr>
            <w:r>
              <w:rPr>
                <w:rFonts w:ascii="Arial" w:hAnsi="Arial" w:eastAsia="宋体" w:cs="Arial"/>
                <w:sz w:val="21"/>
                <w:szCs w:val="21"/>
              </w:rPr>
              <w:t>260</w:t>
            </w:r>
          </w:p>
        </w:tc>
        <w:tc>
          <w:tcPr>
            <w:tcW w:w="652" w:type="pct"/>
            <w:tcBorders>
              <w:top w:val="single" w:color="auto" w:sz="4" w:space="0"/>
              <w:left w:val="single" w:color="auto" w:sz="4" w:space="0"/>
              <w:bottom w:val="single" w:color="auto" w:sz="4" w:space="0"/>
              <w:right w:val="single" w:color="auto" w:sz="4" w:space="0"/>
            </w:tcBorders>
            <w:vAlign w:val="center"/>
          </w:tcPr>
          <w:p w14:paraId="32BB2DF3">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1DE9759">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63610387">
            <w:pPr>
              <w:spacing w:line="240" w:lineRule="exact"/>
              <w:jc w:val="center"/>
              <w:rPr>
                <w:rFonts w:ascii="Arial" w:hAnsi="Arial" w:eastAsia="宋体" w:cs="Arial"/>
                <w:sz w:val="21"/>
                <w:szCs w:val="21"/>
              </w:rPr>
            </w:pPr>
            <w:r>
              <w:rPr>
                <w:rFonts w:ascii="Arial" w:hAnsi="Arial" w:eastAsia="宋体" w:cs="Arial"/>
                <w:sz w:val="21"/>
                <w:szCs w:val="21"/>
              </w:rPr>
              <w:t>0.0009</w:t>
            </w:r>
          </w:p>
        </w:tc>
        <w:tc>
          <w:tcPr>
            <w:tcW w:w="653" w:type="pct"/>
            <w:tcBorders>
              <w:top w:val="single" w:color="auto" w:sz="4" w:space="0"/>
              <w:left w:val="single" w:color="auto" w:sz="4" w:space="0"/>
              <w:bottom w:val="single" w:color="auto" w:sz="4" w:space="0"/>
              <w:right w:val="single" w:color="auto" w:sz="4" w:space="0"/>
            </w:tcBorders>
            <w:vAlign w:val="center"/>
          </w:tcPr>
          <w:p w14:paraId="1BD135DA">
            <w:pPr>
              <w:spacing w:line="240" w:lineRule="exact"/>
              <w:jc w:val="center"/>
              <w:rPr>
                <w:rFonts w:ascii="Arial" w:hAnsi="Arial" w:eastAsia="宋体" w:cs="Arial"/>
                <w:sz w:val="21"/>
                <w:szCs w:val="21"/>
              </w:rPr>
            </w:pPr>
            <w:r>
              <w:rPr>
                <w:rFonts w:ascii="Arial" w:hAnsi="Arial" w:eastAsia="宋体" w:cs="Arial"/>
                <w:sz w:val="21"/>
                <w:szCs w:val="21"/>
              </w:rPr>
              <w:t>0.0109</w:t>
            </w:r>
          </w:p>
        </w:tc>
        <w:tc>
          <w:tcPr>
            <w:tcW w:w="652" w:type="pct"/>
            <w:tcBorders>
              <w:top w:val="single" w:color="auto" w:sz="4" w:space="0"/>
              <w:left w:val="single" w:color="auto" w:sz="4" w:space="0"/>
              <w:bottom w:val="single" w:color="auto" w:sz="4" w:space="0"/>
              <w:right w:val="single" w:color="auto" w:sz="4" w:space="0"/>
            </w:tcBorders>
            <w:vAlign w:val="center"/>
          </w:tcPr>
          <w:p w14:paraId="440B9D93">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CA8DEC8">
            <w:pPr>
              <w:spacing w:line="240" w:lineRule="exact"/>
              <w:jc w:val="center"/>
              <w:rPr>
                <w:rFonts w:ascii="Arial" w:hAnsi="Arial" w:eastAsia="宋体" w:cs="Arial"/>
                <w:sz w:val="21"/>
                <w:szCs w:val="21"/>
              </w:rPr>
            </w:pPr>
            <w:r>
              <w:rPr>
                <w:rFonts w:ascii="Arial" w:hAnsi="Arial" w:eastAsia="宋体" w:cs="Arial"/>
                <w:sz w:val="21"/>
                <w:szCs w:val="21"/>
              </w:rPr>
              <w:t>0.01</w:t>
            </w:r>
          </w:p>
        </w:tc>
      </w:tr>
      <w:tr w14:paraId="467A5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D90F449">
            <w:pPr>
              <w:spacing w:line="240" w:lineRule="exact"/>
              <w:jc w:val="center"/>
              <w:rPr>
                <w:rFonts w:ascii="Arial" w:hAnsi="Arial" w:eastAsia="宋体" w:cs="Arial"/>
                <w:sz w:val="21"/>
                <w:szCs w:val="21"/>
              </w:rPr>
            </w:pPr>
            <w:r>
              <w:rPr>
                <w:rFonts w:ascii="Arial" w:hAnsi="Arial" w:eastAsia="宋体" w:cs="Arial"/>
                <w:sz w:val="21"/>
                <w:szCs w:val="21"/>
              </w:rPr>
              <w:t>280</w:t>
            </w:r>
          </w:p>
        </w:tc>
        <w:tc>
          <w:tcPr>
            <w:tcW w:w="652" w:type="pct"/>
            <w:tcBorders>
              <w:top w:val="single" w:color="auto" w:sz="4" w:space="0"/>
              <w:left w:val="single" w:color="auto" w:sz="4" w:space="0"/>
              <w:bottom w:val="single" w:color="auto" w:sz="4" w:space="0"/>
              <w:right w:val="single" w:color="auto" w:sz="4" w:space="0"/>
            </w:tcBorders>
            <w:vAlign w:val="center"/>
          </w:tcPr>
          <w:p w14:paraId="0CF84FCB">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D19C5DC">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50C85BB8">
            <w:pPr>
              <w:spacing w:line="240" w:lineRule="exact"/>
              <w:jc w:val="center"/>
              <w:rPr>
                <w:rFonts w:ascii="Arial" w:hAnsi="Arial" w:eastAsia="宋体" w:cs="Arial"/>
                <w:sz w:val="21"/>
                <w:szCs w:val="21"/>
              </w:rPr>
            </w:pPr>
            <w:r>
              <w:rPr>
                <w:rFonts w:ascii="Arial" w:hAnsi="Arial" w:eastAsia="宋体" w:cs="Arial"/>
                <w:sz w:val="21"/>
                <w:szCs w:val="21"/>
              </w:rPr>
              <w:t>0.0003</w:t>
            </w:r>
          </w:p>
        </w:tc>
        <w:tc>
          <w:tcPr>
            <w:tcW w:w="653" w:type="pct"/>
            <w:tcBorders>
              <w:top w:val="single" w:color="auto" w:sz="4" w:space="0"/>
              <w:left w:val="single" w:color="auto" w:sz="4" w:space="0"/>
              <w:bottom w:val="single" w:color="auto" w:sz="4" w:space="0"/>
              <w:right w:val="single" w:color="auto" w:sz="4" w:space="0"/>
            </w:tcBorders>
            <w:vAlign w:val="center"/>
          </w:tcPr>
          <w:p w14:paraId="317370AB">
            <w:pPr>
              <w:spacing w:line="240" w:lineRule="exact"/>
              <w:jc w:val="center"/>
              <w:rPr>
                <w:rFonts w:ascii="Arial" w:hAnsi="Arial" w:eastAsia="宋体" w:cs="Arial"/>
                <w:sz w:val="21"/>
                <w:szCs w:val="21"/>
              </w:rPr>
            </w:pPr>
            <w:r>
              <w:rPr>
                <w:rFonts w:ascii="Arial" w:hAnsi="Arial" w:eastAsia="宋体" w:cs="Arial"/>
                <w:sz w:val="21"/>
                <w:szCs w:val="21"/>
              </w:rPr>
              <w:t>0.0103</w:t>
            </w:r>
          </w:p>
        </w:tc>
        <w:tc>
          <w:tcPr>
            <w:tcW w:w="652" w:type="pct"/>
            <w:tcBorders>
              <w:top w:val="single" w:color="auto" w:sz="4" w:space="0"/>
              <w:left w:val="single" w:color="auto" w:sz="4" w:space="0"/>
              <w:bottom w:val="single" w:color="auto" w:sz="4" w:space="0"/>
              <w:right w:val="single" w:color="auto" w:sz="4" w:space="0"/>
            </w:tcBorders>
            <w:vAlign w:val="center"/>
          </w:tcPr>
          <w:p w14:paraId="34B62D42">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BF30E59">
            <w:pPr>
              <w:spacing w:line="240" w:lineRule="exact"/>
              <w:jc w:val="center"/>
              <w:rPr>
                <w:rFonts w:ascii="Arial" w:hAnsi="Arial" w:eastAsia="宋体" w:cs="Arial"/>
                <w:sz w:val="21"/>
                <w:szCs w:val="21"/>
              </w:rPr>
            </w:pPr>
            <w:r>
              <w:rPr>
                <w:rFonts w:ascii="Arial" w:hAnsi="Arial" w:eastAsia="宋体" w:cs="Arial"/>
                <w:sz w:val="21"/>
                <w:szCs w:val="21"/>
              </w:rPr>
              <w:t>0.01</w:t>
            </w:r>
          </w:p>
        </w:tc>
      </w:tr>
      <w:tr w14:paraId="66124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D640653">
            <w:pPr>
              <w:spacing w:line="240" w:lineRule="exact"/>
              <w:jc w:val="center"/>
              <w:rPr>
                <w:rFonts w:ascii="Arial" w:hAnsi="Arial" w:eastAsia="宋体" w:cs="Arial"/>
                <w:sz w:val="21"/>
                <w:szCs w:val="21"/>
              </w:rPr>
            </w:pPr>
            <w:r>
              <w:rPr>
                <w:rFonts w:ascii="Arial" w:hAnsi="Arial" w:eastAsia="宋体" w:cs="Arial"/>
                <w:sz w:val="21"/>
                <w:szCs w:val="21"/>
              </w:rPr>
              <w:t>300</w:t>
            </w:r>
          </w:p>
        </w:tc>
        <w:tc>
          <w:tcPr>
            <w:tcW w:w="652" w:type="pct"/>
            <w:tcBorders>
              <w:top w:val="single" w:color="auto" w:sz="4" w:space="0"/>
              <w:left w:val="single" w:color="auto" w:sz="4" w:space="0"/>
              <w:bottom w:val="single" w:color="auto" w:sz="4" w:space="0"/>
              <w:right w:val="single" w:color="auto" w:sz="4" w:space="0"/>
            </w:tcBorders>
            <w:vAlign w:val="center"/>
          </w:tcPr>
          <w:p w14:paraId="61538EC5">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D98F5A1">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50140811">
            <w:pPr>
              <w:spacing w:line="240" w:lineRule="exact"/>
              <w:jc w:val="center"/>
              <w:rPr>
                <w:rFonts w:ascii="Arial" w:hAnsi="Arial" w:eastAsia="宋体" w:cs="Arial"/>
                <w:sz w:val="21"/>
                <w:szCs w:val="21"/>
              </w:rPr>
            </w:pPr>
            <w:r>
              <w:rPr>
                <w:rFonts w:ascii="Arial" w:hAnsi="Arial" w:eastAsia="宋体" w:cs="Arial"/>
                <w:sz w:val="21"/>
                <w:szCs w:val="21"/>
              </w:rPr>
              <w:t>0.0001</w:t>
            </w:r>
          </w:p>
        </w:tc>
        <w:tc>
          <w:tcPr>
            <w:tcW w:w="653" w:type="pct"/>
            <w:tcBorders>
              <w:top w:val="single" w:color="auto" w:sz="4" w:space="0"/>
              <w:left w:val="single" w:color="auto" w:sz="4" w:space="0"/>
              <w:bottom w:val="single" w:color="auto" w:sz="4" w:space="0"/>
              <w:right w:val="single" w:color="auto" w:sz="4" w:space="0"/>
            </w:tcBorders>
            <w:vAlign w:val="center"/>
          </w:tcPr>
          <w:p w14:paraId="2B864134">
            <w:pPr>
              <w:spacing w:line="240" w:lineRule="exact"/>
              <w:jc w:val="center"/>
              <w:rPr>
                <w:rFonts w:ascii="Arial" w:hAnsi="Arial" w:eastAsia="宋体" w:cs="Arial"/>
                <w:sz w:val="21"/>
                <w:szCs w:val="21"/>
              </w:rPr>
            </w:pPr>
            <w:r>
              <w:rPr>
                <w:rFonts w:ascii="Arial" w:hAnsi="Arial" w:eastAsia="宋体" w:cs="Arial"/>
                <w:sz w:val="21"/>
                <w:szCs w:val="21"/>
              </w:rPr>
              <w:t>0.0101</w:t>
            </w:r>
          </w:p>
        </w:tc>
        <w:tc>
          <w:tcPr>
            <w:tcW w:w="652" w:type="pct"/>
            <w:tcBorders>
              <w:top w:val="single" w:color="auto" w:sz="4" w:space="0"/>
              <w:left w:val="single" w:color="auto" w:sz="4" w:space="0"/>
              <w:bottom w:val="single" w:color="auto" w:sz="4" w:space="0"/>
              <w:right w:val="single" w:color="auto" w:sz="4" w:space="0"/>
            </w:tcBorders>
            <w:vAlign w:val="center"/>
          </w:tcPr>
          <w:p w14:paraId="5880373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9D406B6">
            <w:pPr>
              <w:spacing w:line="240" w:lineRule="exact"/>
              <w:jc w:val="center"/>
              <w:rPr>
                <w:rFonts w:ascii="Arial" w:hAnsi="Arial" w:eastAsia="宋体" w:cs="Arial"/>
                <w:sz w:val="21"/>
                <w:szCs w:val="21"/>
              </w:rPr>
            </w:pPr>
            <w:r>
              <w:rPr>
                <w:rFonts w:ascii="Arial" w:hAnsi="Arial" w:eastAsia="宋体" w:cs="Arial"/>
                <w:sz w:val="21"/>
                <w:szCs w:val="21"/>
              </w:rPr>
              <w:t>0.01</w:t>
            </w:r>
          </w:p>
        </w:tc>
      </w:tr>
      <w:tr w14:paraId="38DAA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76DBFDD">
            <w:pPr>
              <w:spacing w:line="240" w:lineRule="exact"/>
              <w:jc w:val="center"/>
              <w:rPr>
                <w:rFonts w:ascii="Arial" w:hAnsi="Arial" w:eastAsia="宋体" w:cs="Arial"/>
                <w:sz w:val="21"/>
                <w:szCs w:val="21"/>
              </w:rPr>
            </w:pPr>
            <w:r>
              <w:rPr>
                <w:rFonts w:ascii="Arial" w:hAnsi="Arial" w:eastAsia="宋体" w:cs="Arial"/>
                <w:sz w:val="21"/>
                <w:szCs w:val="21"/>
              </w:rPr>
              <w:t>320</w:t>
            </w:r>
          </w:p>
        </w:tc>
        <w:tc>
          <w:tcPr>
            <w:tcW w:w="652" w:type="pct"/>
            <w:tcBorders>
              <w:top w:val="single" w:color="auto" w:sz="4" w:space="0"/>
              <w:left w:val="single" w:color="auto" w:sz="4" w:space="0"/>
              <w:bottom w:val="single" w:color="auto" w:sz="4" w:space="0"/>
              <w:right w:val="single" w:color="auto" w:sz="4" w:space="0"/>
            </w:tcBorders>
            <w:vAlign w:val="center"/>
          </w:tcPr>
          <w:p w14:paraId="78666DB4">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C8B8C3A">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608F4E08">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4B17540">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56EC0B1D">
            <w:pPr>
              <w:spacing w:line="240" w:lineRule="exact"/>
              <w:jc w:val="center"/>
              <w:rPr>
                <w:rFonts w:ascii="Arial" w:hAnsi="Arial" w:eastAsia="宋体" w:cs="Arial"/>
                <w:sz w:val="21"/>
                <w:szCs w:val="21"/>
              </w:rPr>
            </w:pPr>
            <w:r>
              <w:rPr>
                <w:rFonts w:ascii="Arial" w:hAnsi="Arial" w:eastAsia="宋体" w:cs="Arial"/>
                <w:sz w:val="21"/>
                <w:szCs w:val="21"/>
              </w:rPr>
              <w:t>0.0001</w:t>
            </w:r>
          </w:p>
        </w:tc>
        <w:tc>
          <w:tcPr>
            <w:tcW w:w="653" w:type="pct"/>
            <w:tcBorders>
              <w:top w:val="single" w:color="auto" w:sz="4" w:space="0"/>
              <w:left w:val="single" w:color="auto" w:sz="4" w:space="0"/>
              <w:bottom w:val="single" w:color="auto" w:sz="4" w:space="0"/>
              <w:right w:val="single" w:color="auto" w:sz="4" w:space="0"/>
            </w:tcBorders>
            <w:vAlign w:val="center"/>
          </w:tcPr>
          <w:p w14:paraId="387342E8">
            <w:pPr>
              <w:spacing w:line="240" w:lineRule="exact"/>
              <w:jc w:val="center"/>
              <w:rPr>
                <w:rFonts w:ascii="Arial" w:hAnsi="Arial" w:eastAsia="宋体" w:cs="Arial"/>
                <w:sz w:val="21"/>
                <w:szCs w:val="21"/>
              </w:rPr>
            </w:pPr>
            <w:r>
              <w:rPr>
                <w:rFonts w:ascii="Arial" w:hAnsi="Arial" w:eastAsia="宋体" w:cs="Arial"/>
                <w:sz w:val="21"/>
                <w:szCs w:val="21"/>
              </w:rPr>
              <w:t>0.0101</w:t>
            </w:r>
          </w:p>
        </w:tc>
      </w:tr>
      <w:tr w14:paraId="71BD1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36B6FBAA">
            <w:pPr>
              <w:spacing w:line="240" w:lineRule="exact"/>
              <w:jc w:val="center"/>
              <w:rPr>
                <w:rFonts w:ascii="Arial" w:hAnsi="Arial" w:eastAsia="宋体" w:cs="Arial"/>
                <w:sz w:val="21"/>
                <w:szCs w:val="21"/>
              </w:rPr>
            </w:pPr>
            <w:r>
              <w:rPr>
                <w:rFonts w:ascii="Arial" w:hAnsi="Arial" w:eastAsia="宋体" w:cs="Arial"/>
                <w:sz w:val="21"/>
                <w:szCs w:val="21"/>
              </w:rPr>
              <w:t>340</w:t>
            </w:r>
          </w:p>
        </w:tc>
        <w:tc>
          <w:tcPr>
            <w:tcW w:w="652" w:type="pct"/>
            <w:tcBorders>
              <w:top w:val="single" w:color="auto" w:sz="4" w:space="0"/>
              <w:left w:val="single" w:color="auto" w:sz="4" w:space="0"/>
              <w:bottom w:val="single" w:color="auto" w:sz="4" w:space="0"/>
              <w:right w:val="single" w:color="auto" w:sz="4" w:space="0"/>
            </w:tcBorders>
            <w:vAlign w:val="center"/>
          </w:tcPr>
          <w:p w14:paraId="24E181E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A421A6A">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54FC52F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F087EC3">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33F3EA4A">
            <w:pPr>
              <w:spacing w:line="240" w:lineRule="exact"/>
              <w:jc w:val="center"/>
              <w:rPr>
                <w:rFonts w:ascii="Arial" w:hAnsi="Arial" w:eastAsia="宋体" w:cs="Arial"/>
                <w:sz w:val="21"/>
                <w:szCs w:val="21"/>
              </w:rPr>
            </w:pPr>
            <w:r>
              <w:rPr>
                <w:rFonts w:ascii="Arial" w:hAnsi="Arial" w:eastAsia="宋体" w:cs="Arial"/>
                <w:sz w:val="21"/>
                <w:szCs w:val="21"/>
              </w:rPr>
              <w:t>0.0002</w:t>
            </w:r>
          </w:p>
        </w:tc>
        <w:tc>
          <w:tcPr>
            <w:tcW w:w="653" w:type="pct"/>
            <w:tcBorders>
              <w:top w:val="single" w:color="auto" w:sz="4" w:space="0"/>
              <w:left w:val="single" w:color="auto" w:sz="4" w:space="0"/>
              <w:bottom w:val="single" w:color="auto" w:sz="4" w:space="0"/>
              <w:right w:val="single" w:color="auto" w:sz="4" w:space="0"/>
            </w:tcBorders>
            <w:vAlign w:val="center"/>
          </w:tcPr>
          <w:p w14:paraId="2F6FDEA4">
            <w:pPr>
              <w:spacing w:line="240" w:lineRule="exact"/>
              <w:jc w:val="center"/>
              <w:rPr>
                <w:rFonts w:ascii="Arial" w:hAnsi="Arial" w:eastAsia="宋体" w:cs="Arial"/>
                <w:sz w:val="21"/>
                <w:szCs w:val="21"/>
              </w:rPr>
            </w:pPr>
            <w:r>
              <w:rPr>
                <w:rFonts w:ascii="Arial" w:hAnsi="Arial" w:eastAsia="宋体" w:cs="Arial"/>
                <w:sz w:val="21"/>
                <w:szCs w:val="21"/>
              </w:rPr>
              <w:t>0.0102</w:t>
            </w:r>
          </w:p>
        </w:tc>
      </w:tr>
      <w:tr w14:paraId="58D46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E3CDA6D">
            <w:pPr>
              <w:spacing w:line="240" w:lineRule="exact"/>
              <w:jc w:val="center"/>
              <w:rPr>
                <w:rFonts w:ascii="Arial" w:hAnsi="Arial" w:eastAsia="宋体" w:cs="Arial"/>
                <w:sz w:val="21"/>
                <w:szCs w:val="21"/>
              </w:rPr>
            </w:pPr>
            <w:r>
              <w:rPr>
                <w:rFonts w:ascii="Arial" w:hAnsi="Arial" w:eastAsia="宋体" w:cs="Arial"/>
                <w:sz w:val="21"/>
                <w:szCs w:val="21"/>
              </w:rPr>
              <w:t>400</w:t>
            </w:r>
          </w:p>
        </w:tc>
        <w:tc>
          <w:tcPr>
            <w:tcW w:w="652" w:type="pct"/>
            <w:tcBorders>
              <w:top w:val="single" w:color="auto" w:sz="4" w:space="0"/>
              <w:left w:val="single" w:color="auto" w:sz="4" w:space="0"/>
              <w:bottom w:val="single" w:color="auto" w:sz="4" w:space="0"/>
              <w:right w:val="single" w:color="auto" w:sz="4" w:space="0"/>
            </w:tcBorders>
            <w:vAlign w:val="center"/>
          </w:tcPr>
          <w:p w14:paraId="7F948AF2">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0A34FCB">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1438C530">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0F17CE2">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2B50C328">
            <w:pPr>
              <w:spacing w:line="240" w:lineRule="exact"/>
              <w:jc w:val="center"/>
              <w:rPr>
                <w:rFonts w:ascii="Arial" w:hAnsi="Arial" w:eastAsia="宋体" w:cs="Arial"/>
                <w:sz w:val="21"/>
                <w:szCs w:val="21"/>
              </w:rPr>
            </w:pPr>
            <w:r>
              <w:rPr>
                <w:rFonts w:ascii="Arial" w:hAnsi="Arial" w:eastAsia="宋体" w:cs="Arial"/>
                <w:sz w:val="21"/>
                <w:szCs w:val="21"/>
              </w:rPr>
              <w:t>0.0012</w:t>
            </w:r>
          </w:p>
        </w:tc>
        <w:tc>
          <w:tcPr>
            <w:tcW w:w="653" w:type="pct"/>
            <w:tcBorders>
              <w:top w:val="single" w:color="auto" w:sz="4" w:space="0"/>
              <w:left w:val="single" w:color="auto" w:sz="4" w:space="0"/>
              <w:bottom w:val="single" w:color="auto" w:sz="4" w:space="0"/>
              <w:right w:val="single" w:color="auto" w:sz="4" w:space="0"/>
            </w:tcBorders>
            <w:vAlign w:val="center"/>
          </w:tcPr>
          <w:p w14:paraId="545B979E">
            <w:pPr>
              <w:spacing w:line="240" w:lineRule="exact"/>
              <w:jc w:val="center"/>
              <w:rPr>
                <w:rFonts w:ascii="Arial" w:hAnsi="Arial" w:eastAsia="宋体" w:cs="Arial"/>
                <w:sz w:val="21"/>
                <w:szCs w:val="21"/>
              </w:rPr>
            </w:pPr>
            <w:r>
              <w:rPr>
                <w:rFonts w:ascii="Arial" w:hAnsi="Arial" w:eastAsia="宋体" w:cs="Arial"/>
                <w:sz w:val="21"/>
                <w:szCs w:val="21"/>
              </w:rPr>
              <w:t>0.0112</w:t>
            </w:r>
          </w:p>
        </w:tc>
      </w:tr>
      <w:tr w14:paraId="1F2C2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7FA421F">
            <w:pPr>
              <w:spacing w:line="240" w:lineRule="exact"/>
              <w:jc w:val="center"/>
              <w:rPr>
                <w:rFonts w:ascii="Arial" w:hAnsi="Arial" w:eastAsia="宋体" w:cs="Arial"/>
                <w:sz w:val="21"/>
                <w:szCs w:val="21"/>
              </w:rPr>
            </w:pPr>
            <w:r>
              <w:rPr>
                <w:rFonts w:ascii="Arial" w:hAnsi="Arial" w:eastAsia="宋体" w:cs="Arial"/>
                <w:sz w:val="21"/>
                <w:szCs w:val="21"/>
              </w:rPr>
              <w:t>500</w:t>
            </w:r>
          </w:p>
        </w:tc>
        <w:tc>
          <w:tcPr>
            <w:tcW w:w="652" w:type="pct"/>
            <w:tcBorders>
              <w:top w:val="single" w:color="auto" w:sz="4" w:space="0"/>
              <w:left w:val="single" w:color="auto" w:sz="4" w:space="0"/>
              <w:bottom w:val="single" w:color="auto" w:sz="4" w:space="0"/>
              <w:right w:val="single" w:color="auto" w:sz="4" w:space="0"/>
            </w:tcBorders>
            <w:vAlign w:val="center"/>
          </w:tcPr>
          <w:p w14:paraId="06C7902F">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0F30449">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75F83A9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EED678F">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04AAC094">
            <w:pPr>
              <w:spacing w:line="240" w:lineRule="exact"/>
              <w:jc w:val="center"/>
              <w:rPr>
                <w:rFonts w:ascii="Arial" w:hAnsi="Arial" w:eastAsia="宋体" w:cs="Arial"/>
                <w:sz w:val="21"/>
                <w:szCs w:val="21"/>
              </w:rPr>
            </w:pPr>
            <w:r>
              <w:rPr>
                <w:rFonts w:ascii="Arial" w:hAnsi="Arial" w:eastAsia="宋体" w:cs="Arial"/>
                <w:sz w:val="21"/>
                <w:szCs w:val="21"/>
              </w:rPr>
              <w:t>0.0042</w:t>
            </w:r>
          </w:p>
        </w:tc>
        <w:tc>
          <w:tcPr>
            <w:tcW w:w="653" w:type="pct"/>
            <w:tcBorders>
              <w:top w:val="single" w:color="auto" w:sz="4" w:space="0"/>
              <w:left w:val="single" w:color="auto" w:sz="4" w:space="0"/>
              <w:bottom w:val="single" w:color="auto" w:sz="4" w:space="0"/>
              <w:right w:val="single" w:color="auto" w:sz="4" w:space="0"/>
            </w:tcBorders>
            <w:vAlign w:val="center"/>
          </w:tcPr>
          <w:p w14:paraId="25AAA943">
            <w:pPr>
              <w:spacing w:line="240" w:lineRule="exact"/>
              <w:jc w:val="center"/>
              <w:rPr>
                <w:rFonts w:ascii="Arial" w:hAnsi="Arial" w:eastAsia="宋体" w:cs="Arial"/>
                <w:sz w:val="21"/>
                <w:szCs w:val="21"/>
              </w:rPr>
            </w:pPr>
            <w:r>
              <w:rPr>
                <w:rFonts w:ascii="Arial" w:hAnsi="Arial" w:eastAsia="宋体" w:cs="Arial"/>
                <w:sz w:val="21"/>
                <w:szCs w:val="21"/>
              </w:rPr>
              <w:t>0.0142</w:t>
            </w:r>
          </w:p>
        </w:tc>
      </w:tr>
      <w:tr w14:paraId="519A9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C882EDA">
            <w:pPr>
              <w:spacing w:line="240" w:lineRule="exact"/>
              <w:jc w:val="center"/>
              <w:rPr>
                <w:rFonts w:ascii="Arial" w:hAnsi="Arial" w:eastAsia="宋体" w:cs="Arial"/>
                <w:sz w:val="21"/>
                <w:szCs w:val="21"/>
              </w:rPr>
            </w:pPr>
            <w:r>
              <w:rPr>
                <w:rFonts w:hint="eastAsia" w:ascii="Arial" w:hAnsi="Arial" w:eastAsia="宋体" w:cs="Arial"/>
                <w:sz w:val="21"/>
                <w:szCs w:val="21"/>
              </w:rPr>
              <w:t>6</w:t>
            </w:r>
            <w:r>
              <w:rPr>
                <w:rFonts w:ascii="Arial" w:hAnsi="Arial" w:eastAsia="宋体" w:cs="Arial"/>
                <w:sz w:val="21"/>
                <w:szCs w:val="21"/>
              </w:rPr>
              <w:t>00</w:t>
            </w:r>
          </w:p>
        </w:tc>
        <w:tc>
          <w:tcPr>
            <w:tcW w:w="652" w:type="pct"/>
            <w:tcBorders>
              <w:top w:val="single" w:color="auto" w:sz="4" w:space="0"/>
              <w:left w:val="single" w:color="auto" w:sz="4" w:space="0"/>
              <w:bottom w:val="single" w:color="auto" w:sz="4" w:space="0"/>
              <w:right w:val="single" w:color="auto" w:sz="4" w:space="0"/>
            </w:tcBorders>
            <w:vAlign w:val="center"/>
          </w:tcPr>
          <w:p w14:paraId="0F7A5783">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37BE8DF">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23A19A44">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9A7E1B9">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088B2078">
            <w:pPr>
              <w:spacing w:line="240" w:lineRule="exact"/>
              <w:jc w:val="center"/>
              <w:rPr>
                <w:rFonts w:ascii="Arial" w:hAnsi="Arial" w:eastAsia="宋体" w:cs="Arial"/>
                <w:sz w:val="21"/>
                <w:szCs w:val="21"/>
              </w:rPr>
            </w:pPr>
            <w:r>
              <w:rPr>
                <w:rFonts w:ascii="Arial" w:hAnsi="Arial" w:eastAsia="宋体" w:cs="Arial"/>
                <w:sz w:val="21"/>
                <w:szCs w:val="21"/>
              </w:rPr>
              <w:t>0.0012</w:t>
            </w:r>
          </w:p>
        </w:tc>
        <w:tc>
          <w:tcPr>
            <w:tcW w:w="653" w:type="pct"/>
            <w:tcBorders>
              <w:top w:val="single" w:color="auto" w:sz="4" w:space="0"/>
              <w:left w:val="single" w:color="auto" w:sz="4" w:space="0"/>
              <w:bottom w:val="single" w:color="auto" w:sz="4" w:space="0"/>
              <w:right w:val="single" w:color="auto" w:sz="4" w:space="0"/>
            </w:tcBorders>
            <w:vAlign w:val="center"/>
          </w:tcPr>
          <w:p w14:paraId="5C696027">
            <w:pPr>
              <w:spacing w:line="240" w:lineRule="exact"/>
              <w:jc w:val="center"/>
              <w:rPr>
                <w:rFonts w:ascii="Arial" w:hAnsi="Arial" w:eastAsia="宋体" w:cs="Arial"/>
                <w:sz w:val="21"/>
                <w:szCs w:val="21"/>
              </w:rPr>
            </w:pPr>
            <w:r>
              <w:rPr>
                <w:rFonts w:ascii="Arial" w:hAnsi="Arial" w:eastAsia="宋体" w:cs="Arial"/>
                <w:sz w:val="21"/>
                <w:szCs w:val="21"/>
              </w:rPr>
              <w:t>0.0112</w:t>
            </w:r>
          </w:p>
        </w:tc>
      </w:tr>
      <w:tr w14:paraId="001D5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33083B14">
            <w:pPr>
              <w:spacing w:line="240" w:lineRule="exact"/>
              <w:jc w:val="center"/>
              <w:rPr>
                <w:rFonts w:ascii="Arial" w:hAnsi="Arial" w:eastAsia="宋体" w:cs="Arial"/>
                <w:sz w:val="21"/>
                <w:szCs w:val="21"/>
              </w:rPr>
            </w:pPr>
            <w:r>
              <w:rPr>
                <w:rFonts w:ascii="Arial" w:hAnsi="Arial" w:eastAsia="宋体" w:cs="Arial"/>
                <w:sz w:val="21"/>
                <w:szCs w:val="21"/>
              </w:rPr>
              <w:t>1000</w:t>
            </w:r>
          </w:p>
        </w:tc>
        <w:tc>
          <w:tcPr>
            <w:tcW w:w="652" w:type="pct"/>
            <w:tcBorders>
              <w:top w:val="single" w:color="auto" w:sz="4" w:space="0"/>
              <w:left w:val="single" w:color="auto" w:sz="4" w:space="0"/>
              <w:bottom w:val="single" w:color="auto" w:sz="4" w:space="0"/>
              <w:right w:val="single" w:color="auto" w:sz="4" w:space="0"/>
            </w:tcBorders>
            <w:vAlign w:val="center"/>
          </w:tcPr>
          <w:p w14:paraId="5DCF452E">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39DEA85">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0C3AF757">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D2F845E">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32F5FA18">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1882C6F">
            <w:pPr>
              <w:spacing w:line="240" w:lineRule="exact"/>
              <w:jc w:val="center"/>
              <w:rPr>
                <w:rFonts w:ascii="Arial" w:hAnsi="Arial" w:eastAsia="宋体" w:cs="Arial"/>
                <w:sz w:val="21"/>
                <w:szCs w:val="21"/>
              </w:rPr>
            </w:pPr>
            <w:r>
              <w:rPr>
                <w:rFonts w:ascii="Arial" w:hAnsi="Arial" w:eastAsia="宋体" w:cs="Arial"/>
                <w:sz w:val="21"/>
                <w:szCs w:val="21"/>
              </w:rPr>
              <w:t>0.01</w:t>
            </w:r>
          </w:p>
        </w:tc>
      </w:tr>
      <w:tr w14:paraId="1CF4C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18FC35D">
            <w:pPr>
              <w:spacing w:line="240" w:lineRule="exact"/>
              <w:jc w:val="center"/>
              <w:rPr>
                <w:rFonts w:ascii="Arial" w:hAnsi="Arial" w:eastAsia="宋体" w:cs="Arial"/>
                <w:sz w:val="21"/>
                <w:szCs w:val="21"/>
              </w:rPr>
            </w:pPr>
            <w:r>
              <w:rPr>
                <w:rFonts w:ascii="Arial" w:hAnsi="Arial" w:eastAsia="宋体" w:cs="Arial"/>
                <w:sz w:val="21"/>
                <w:szCs w:val="21"/>
              </w:rPr>
              <w:t>1200</w:t>
            </w:r>
          </w:p>
        </w:tc>
        <w:tc>
          <w:tcPr>
            <w:tcW w:w="652" w:type="pct"/>
            <w:tcBorders>
              <w:top w:val="single" w:color="auto" w:sz="4" w:space="0"/>
              <w:left w:val="single" w:color="auto" w:sz="4" w:space="0"/>
              <w:bottom w:val="single" w:color="auto" w:sz="4" w:space="0"/>
              <w:right w:val="single" w:color="auto" w:sz="4" w:space="0"/>
            </w:tcBorders>
            <w:vAlign w:val="center"/>
          </w:tcPr>
          <w:p w14:paraId="0346691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F3AFA00">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5495B236">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DE294CA">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4872D4B0">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8562C77">
            <w:pPr>
              <w:spacing w:line="240" w:lineRule="exact"/>
              <w:jc w:val="center"/>
              <w:rPr>
                <w:rFonts w:ascii="Arial" w:hAnsi="Arial" w:eastAsia="宋体" w:cs="Arial"/>
                <w:sz w:val="21"/>
                <w:szCs w:val="21"/>
              </w:rPr>
            </w:pPr>
            <w:r>
              <w:rPr>
                <w:rFonts w:ascii="Arial" w:hAnsi="Arial" w:eastAsia="宋体" w:cs="Arial"/>
                <w:sz w:val="21"/>
                <w:szCs w:val="21"/>
              </w:rPr>
              <w:t>0.01</w:t>
            </w:r>
          </w:p>
        </w:tc>
      </w:tr>
      <w:tr w14:paraId="713C5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6166C73">
            <w:pPr>
              <w:spacing w:line="240" w:lineRule="exact"/>
              <w:jc w:val="center"/>
              <w:rPr>
                <w:rFonts w:ascii="Arial" w:hAnsi="Arial" w:eastAsia="宋体" w:cs="Arial"/>
                <w:sz w:val="21"/>
                <w:szCs w:val="21"/>
              </w:rPr>
            </w:pPr>
            <w:r>
              <w:rPr>
                <w:rFonts w:hint="eastAsia" w:ascii="Arial" w:hAnsi="Arial" w:eastAsia="宋体" w:cs="Arial"/>
                <w:sz w:val="21"/>
                <w:szCs w:val="21"/>
              </w:rPr>
              <w:t>1700</w:t>
            </w:r>
          </w:p>
        </w:tc>
        <w:tc>
          <w:tcPr>
            <w:tcW w:w="652" w:type="pct"/>
            <w:tcBorders>
              <w:top w:val="single" w:color="auto" w:sz="4" w:space="0"/>
              <w:left w:val="single" w:color="auto" w:sz="4" w:space="0"/>
              <w:bottom w:val="single" w:color="auto" w:sz="4" w:space="0"/>
              <w:right w:val="single" w:color="auto" w:sz="4" w:space="0"/>
            </w:tcBorders>
            <w:vAlign w:val="center"/>
          </w:tcPr>
          <w:p w14:paraId="554B6984">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91BE2F7">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4DDEFACA">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E480825">
            <w:pPr>
              <w:spacing w:line="240" w:lineRule="exact"/>
              <w:jc w:val="center"/>
              <w:rPr>
                <w:rFonts w:ascii="Arial" w:hAnsi="Arial" w:eastAsia="宋体" w:cs="Arial"/>
                <w:sz w:val="21"/>
                <w:szCs w:val="21"/>
              </w:rPr>
            </w:pPr>
            <w:r>
              <w:rPr>
                <w:rFonts w:ascii="Arial" w:hAnsi="Arial" w:eastAsia="宋体" w:cs="Arial"/>
                <w:sz w:val="21"/>
                <w:szCs w:val="21"/>
              </w:rPr>
              <w:t>0.01</w:t>
            </w:r>
          </w:p>
        </w:tc>
        <w:tc>
          <w:tcPr>
            <w:tcW w:w="652" w:type="pct"/>
            <w:tcBorders>
              <w:top w:val="single" w:color="auto" w:sz="4" w:space="0"/>
              <w:left w:val="single" w:color="auto" w:sz="4" w:space="0"/>
              <w:bottom w:val="single" w:color="auto" w:sz="4" w:space="0"/>
              <w:right w:val="single" w:color="auto" w:sz="4" w:space="0"/>
            </w:tcBorders>
            <w:vAlign w:val="center"/>
          </w:tcPr>
          <w:p w14:paraId="2C6D81CF">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0199A2D">
            <w:pPr>
              <w:spacing w:line="240" w:lineRule="exact"/>
              <w:jc w:val="center"/>
              <w:rPr>
                <w:rFonts w:ascii="Arial" w:hAnsi="Arial" w:eastAsia="宋体" w:cs="Arial"/>
                <w:sz w:val="21"/>
                <w:szCs w:val="21"/>
              </w:rPr>
            </w:pPr>
            <w:r>
              <w:rPr>
                <w:rFonts w:ascii="Arial" w:hAnsi="Arial" w:eastAsia="宋体" w:cs="Arial"/>
                <w:sz w:val="21"/>
                <w:szCs w:val="21"/>
              </w:rPr>
              <w:t>0.01</w:t>
            </w:r>
          </w:p>
        </w:tc>
      </w:tr>
    </w:tbl>
    <w:p w14:paraId="32FF9C26">
      <w:pPr>
        <w:adjustRightInd w:val="0"/>
        <w:snapToGrid w:val="0"/>
        <w:spacing w:line="240" w:lineRule="exact"/>
        <w:ind w:firstLine="476"/>
        <w:rPr>
          <w:rFonts w:ascii="Arial" w:hAnsi="Arial" w:eastAsia="宋体" w:cs="Arial"/>
          <w:spacing w:val="10"/>
          <w:sz w:val="21"/>
          <w:szCs w:val="21"/>
        </w:rPr>
      </w:pPr>
      <w:r>
        <w:rPr>
          <w:rFonts w:ascii="Arial" w:hAnsi="Arial" w:eastAsia="宋体" w:cs="Arial"/>
          <w:spacing w:val="10"/>
          <w:sz w:val="21"/>
          <w:szCs w:val="21"/>
        </w:rPr>
        <w:t>注：背景值以检出限的一半计。</w:t>
      </w:r>
    </w:p>
    <w:p w14:paraId="131629DC">
      <w:pPr>
        <w:adjustRightInd w:val="0"/>
        <w:snapToGrid w:val="0"/>
        <w:spacing w:line="240" w:lineRule="exact"/>
        <w:ind w:firstLine="476"/>
        <w:rPr>
          <w:rFonts w:ascii="Arial" w:hAnsi="Arial" w:eastAsia="宋体" w:cs="Arial"/>
          <w:spacing w:val="10"/>
          <w:sz w:val="21"/>
          <w:szCs w:val="21"/>
          <w:highlight w:val="yellow"/>
          <w:u w:val="single"/>
        </w:rPr>
      </w:pPr>
    </w:p>
    <w:p w14:paraId="54509E69">
      <w:pPr>
        <w:adjustRightInd w:val="0"/>
        <w:snapToGrid w:val="0"/>
        <w:rPr>
          <w:rFonts w:ascii="Arial" w:hAnsi="Arial" w:eastAsia="宋体" w:cs="Arial"/>
          <w:spacing w:val="10"/>
          <w:sz w:val="24"/>
          <w:szCs w:val="24"/>
          <w:highlight w:val="yellow"/>
        </w:rPr>
      </w:pPr>
      <w:r>
        <w:drawing>
          <wp:inline distT="0" distB="0" distL="114300" distR="114300">
            <wp:extent cx="5486400" cy="2165350"/>
            <wp:effectExtent l="5080" t="4445" r="13970" b="20955"/>
            <wp:docPr id="43" name="图表 27"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33D9F28B">
      <w:pPr>
        <w:adjustRightInd w:val="0"/>
        <w:snapToGrid w:val="0"/>
        <w:jc w:val="center"/>
        <w:rPr>
          <w:rFonts w:ascii="Arial" w:hAnsi="Arial" w:eastAsia="宋体" w:cs="Arial"/>
          <w:b/>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5</w:t>
      </w:r>
      <w:r>
        <w:rPr>
          <w:rFonts w:ascii="Arial" w:hAnsi="Arial" w:eastAsia="宋体" w:cs="Arial"/>
          <w:b/>
          <w:spacing w:val="10"/>
          <w:sz w:val="24"/>
          <w:szCs w:val="24"/>
        </w:rPr>
        <w:t xml:space="preserve">  事故发生后100天</w:t>
      </w:r>
      <w:r>
        <w:rPr>
          <w:rFonts w:hint="eastAsia" w:ascii="Arial" w:hAnsi="Arial" w:eastAsia="宋体" w:cs="Arial"/>
          <w:b/>
          <w:spacing w:val="10"/>
          <w:sz w:val="24"/>
          <w:szCs w:val="24"/>
        </w:rPr>
        <w:t>钴</w:t>
      </w:r>
      <w:r>
        <w:rPr>
          <w:rFonts w:ascii="Arial" w:hAnsi="Arial" w:eastAsia="宋体" w:cs="Arial"/>
          <w:b/>
          <w:spacing w:val="10"/>
          <w:sz w:val="24"/>
          <w:szCs w:val="24"/>
        </w:rPr>
        <w:t>浓度分布图</w:t>
      </w:r>
    </w:p>
    <w:p w14:paraId="4B3A9483">
      <w:pPr>
        <w:adjustRightInd w:val="0"/>
        <w:snapToGrid w:val="0"/>
        <w:rPr>
          <w:rFonts w:ascii="Arial" w:hAnsi="Arial" w:eastAsia="宋体" w:cs="Arial"/>
          <w:spacing w:val="10"/>
          <w:sz w:val="24"/>
          <w:szCs w:val="24"/>
          <w:highlight w:val="yellow"/>
        </w:rPr>
      </w:pPr>
      <w:r>
        <w:drawing>
          <wp:inline distT="0" distB="0" distL="114300" distR="114300">
            <wp:extent cx="5486400" cy="2461895"/>
            <wp:effectExtent l="4445" t="4445" r="14605" b="10160"/>
            <wp:docPr id="44" name="图表 228"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1605383">
      <w:pPr>
        <w:adjustRightInd w:val="0"/>
        <w:snapToGrid w:val="0"/>
        <w:jc w:val="center"/>
        <w:rPr>
          <w:rFonts w:ascii="Arial" w:hAnsi="Arial" w:eastAsia="宋体" w:cs="Arial"/>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6</w:t>
      </w:r>
      <w:r>
        <w:rPr>
          <w:rFonts w:ascii="Arial" w:hAnsi="Arial" w:eastAsia="宋体" w:cs="Arial"/>
          <w:b/>
          <w:spacing w:val="10"/>
          <w:sz w:val="24"/>
          <w:szCs w:val="24"/>
        </w:rPr>
        <w:t xml:space="preserve">  事故发生后365天</w:t>
      </w:r>
      <w:r>
        <w:rPr>
          <w:rFonts w:hint="eastAsia" w:ascii="Arial" w:hAnsi="Arial" w:eastAsia="宋体" w:cs="Arial"/>
          <w:b/>
          <w:spacing w:val="10"/>
          <w:sz w:val="24"/>
          <w:szCs w:val="24"/>
        </w:rPr>
        <w:t>钴</w:t>
      </w:r>
      <w:r>
        <w:rPr>
          <w:rFonts w:ascii="Arial" w:hAnsi="Arial" w:eastAsia="宋体" w:cs="Arial"/>
          <w:b/>
          <w:spacing w:val="10"/>
          <w:sz w:val="24"/>
          <w:szCs w:val="24"/>
        </w:rPr>
        <w:t>浓度分布图</w:t>
      </w:r>
    </w:p>
    <w:p w14:paraId="07708DFA">
      <w:pPr>
        <w:adjustRightInd w:val="0"/>
        <w:snapToGrid w:val="0"/>
        <w:jc w:val="center"/>
        <w:rPr>
          <w:rFonts w:ascii="Arial" w:hAnsi="Arial" w:eastAsia="宋体" w:cs="Arial"/>
          <w:spacing w:val="10"/>
          <w:sz w:val="24"/>
          <w:szCs w:val="24"/>
          <w:highlight w:val="yellow"/>
        </w:rPr>
      </w:pPr>
      <w:r>
        <w:drawing>
          <wp:inline distT="0" distB="0" distL="114300" distR="114300">
            <wp:extent cx="5486400" cy="2461895"/>
            <wp:effectExtent l="4445" t="4445" r="14605" b="10160"/>
            <wp:docPr id="45" name="图表 231"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04036AF1">
      <w:pPr>
        <w:adjustRightInd w:val="0"/>
        <w:snapToGrid w:val="0"/>
        <w:jc w:val="center"/>
        <w:rPr>
          <w:rFonts w:ascii="Arial" w:hAnsi="Arial" w:eastAsia="宋体" w:cs="Arial"/>
          <w:b/>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7</w:t>
      </w:r>
      <w:r>
        <w:rPr>
          <w:rFonts w:ascii="Arial" w:hAnsi="Arial" w:eastAsia="宋体" w:cs="Arial"/>
          <w:b/>
          <w:spacing w:val="10"/>
          <w:sz w:val="24"/>
          <w:szCs w:val="24"/>
        </w:rPr>
        <w:t xml:space="preserve">  事故发生后1000天</w:t>
      </w:r>
      <w:r>
        <w:rPr>
          <w:rFonts w:hint="eastAsia" w:ascii="Arial" w:hAnsi="Arial" w:eastAsia="宋体" w:cs="Arial"/>
          <w:b/>
          <w:spacing w:val="10"/>
          <w:sz w:val="24"/>
          <w:szCs w:val="24"/>
        </w:rPr>
        <w:t>钴</w:t>
      </w:r>
      <w:r>
        <w:rPr>
          <w:rFonts w:ascii="Arial" w:hAnsi="Arial" w:eastAsia="宋体" w:cs="Arial"/>
          <w:b/>
          <w:spacing w:val="10"/>
          <w:sz w:val="24"/>
          <w:szCs w:val="24"/>
        </w:rPr>
        <w:t>浓度分布图</w:t>
      </w:r>
    </w:p>
    <w:p w14:paraId="122A5F18">
      <w:pPr>
        <w:numPr>
          <w:ilvl w:val="0"/>
          <w:numId w:val="22"/>
        </w:numPr>
        <w:spacing w:line="500" w:lineRule="exact"/>
        <w:ind w:left="0" w:firstLine="0"/>
        <w:jc w:val="center"/>
        <w:outlineLvl w:val="4"/>
        <w:rPr>
          <w:rFonts w:ascii="Arial" w:hAnsi="Arial" w:eastAsia="宋体" w:cs="Arial"/>
          <w:b/>
          <w:sz w:val="24"/>
          <w:szCs w:val="24"/>
          <w:u w:val="single"/>
        </w:rPr>
      </w:pPr>
      <w:r>
        <w:rPr>
          <w:rFonts w:hint="eastAsia" w:ascii="Arial" w:hAnsi="Arial" w:eastAsia="宋体" w:cs="Arial"/>
          <w:b/>
          <w:sz w:val="24"/>
          <w:szCs w:val="24"/>
          <w:u w:val="single"/>
        </w:rPr>
        <w:t>洗水外排槽</w:t>
      </w:r>
      <w:r>
        <w:rPr>
          <w:rFonts w:ascii="Arial" w:hAnsi="Arial" w:eastAsia="宋体" w:cs="Arial"/>
          <w:b/>
          <w:sz w:val="24"/>
          <w:szCs w:val="24"/>
          <w:u w:val="single"/>
        </w:rPr>
        <w:t>泄漏</w:t>
      </w:r>
      <w:r>
        <w:rPr>
          <w:rFonts w:hint="eastAsia" w:ascii="Arial" w:hAnsi="Arial" w:eastAsia="宋体" w:cs="Arial"/>
          <w:b/>
          <w:sz w:val="24"/>
          <w:szCs w:val="24"/>
          <w:u w:val="single"/>
        </w:rPr>
        <w:t>耗氧量浓度</w:t>
      </w:r>
      <w:r>
        <w:rPr>
          <w:rFonts w:ascii="Arial" w:hAnsi="Arial" w:eastAsia="宋体" w:cs="Arial"/>
          <w:b/>
          <w:sz w:val="24"/>
          <w:szCs w:val="24"/>
          <w:u w:val="single"/>
        </w:rPr>
        <w:t>预测结果表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173"/>
        <w:gridCol w:w="1174"/>
        <w:gridCol w:w="1173"/>
        <w:gridCol w:w="1174"/>
        <w:gridCol w:w="1173"/>
        <w:gridCol w:w="1175"/>
      </w:tblGrid>
      <w:tr w14:paraId="7AB34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vMerge w:val="restart"/>
            <w:tcBorders>
              <w:top w:val="single" w:color="auto" w:sz="4" w:space="0"/>
              <w:left w:val="single" w:color="auto" w:sz="4" w:space="0"/>
              <w:right w:val="single" w:color="auto" w:sz="4" w:space="0"/>
              <w:tl2br w:val="single" w:color="auto" w:sz="4" w:space="0"/>
            </w:tcBorders>
            <w:vAlign w:val="center"/>
          </w:tcPr>
          <w:p w14:paraId="7E8ED064">
            <w:pPr>
              <w:spacing w:line="240" w:lineRule="exact"/>
              <w:jc w:val="right"/>
              <w:rPr>
                <w:rFonts w:ascii="Arial" w:hAnsi="Arial" w:eastAsia="宋体" w:cs="Arial"/>
                <w:sz w:val="21"/>
                <w:szCs w:val="21"/>
                <w:u w:val="single"/>
              </w:rPr>
            </w:pPr>
            <w:r>
              <w:rPr>
                <w:rFonts w:ascii="Arial" w:hAnsi="Arial" w:eastAsia="宋体" w:cs="Arial"/>
                <w:sz w:val="21"/>
                <w:szCs w:val="21"/>
                <w:u w:val="single"/>
              </w:rPr>
              <w:t>浓度（</w:t>
            </w:r>
            <w:r>
              <w:rPr>
                <w:rFonts w:ascii="Arial" w:hAnsi="Arial" w:eastAsia="Times New Roman" w:cs="Arial"/>
                <w:sz w:val="21"/>
                <w:szCs w:val="21"/>
                <w:u w:val="single"/>
              </w:rPr>
              <w:t>m</w:t>
            </w:r>
            <w:r>
              <w:rPr>
                <w:rFonts w:ascii="Arial" w:hAnsi="Arial" w:eastAsia="宋体" w:cs="Arial"/>
                <w:sz w:val="21"/>
                <w:szCs w:val="21"/>
                <w:u w:val="single"/>
              </w:rPr>
              <w:t>g/L）</w:t>
            </w:r>
          </w:p>
          <w:p w14:paraId="47DD80C4">
            <w:pPr>
              <w:spacing w:line="240" w:lineRule="exact"/>
              <w:jc w:val="left"/>
              <w:rPr>
                <w:rFonts w:ascii="Arial" w:hAnsi="Arial" w:eastAsia="宋体" w:cs="Arial"/>
                <w:sz w:val="21"/>
                <w:szCs w:val="21"/>
                <w:u w:val="single"/>
              </w:rPr>
            </w:pPr>
            <w:r>
              <w:rPr>
                <w:rFonts w:ascii="Arial" w:hAnsi="Arial" w:eastAsia="宋体" w:cs="Arial"/>
                <w:sz w:val="21"/>
                <w:szCs w:val="21"/>
                <w:u w:val="single"/>
              </w:rPr>
              <w:t>距离（</w:t>
            </w:r>
            <w:r>
              <w:rPr>
                <w:rFonts w:ascii="Arial" w:hAnsi="Arial" w:eastAsia="Times New Roman" w:cs="Arial"/>
                <w:sz w:val="21"/>
                <w:szCs w:val="21"/>
                <w:u w:val="single"/>
              </w:rPr>
              <w:t>m</w:t>
            </w:r>
            <w:r>
              <w:rPr>
                <w:rFonts w:ascii="Arial" w:hAnsi="Arial" w:eastAsia="宋体" w:cs="Arial"/>
                <w:sz w:val="21"/>
                <w:szCs w:val="21"/>
                <w:u w:val="single"/>
              </w:rPr>
              <w:t>）</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17A1C389">
            <w:pPr>
              <w:spacing w:line="240" w:lineRule="exact"/>
              <w:jc w:val="center"/>
              <w:rPr>
                <w:rFonts w:ascii="Arial" w:hAnsi="Arial" w:eastAsia="宋体" w:cs="Arial"/>
                <w:sz w:val="21"/>
                <w:szCs w:val="21"/>
                <w:u w:val="single"/>
              </w:rPr>
            </w:pPr>
            <w:r>
              <w:rPr>
                <w:rFonts w:ascii="Arial" w:hAnsi="Arial" w:eastAsia="宋体" w:cs="Arial"/>
                <w:sz w:val="21"/>
                <w:szCs w:val="21"/>
                <w:u w:val="single"/>
              </w:rPr>
              <w:t>100d</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33D71A90">
            <w:pPr>
              <w:spacing w:line="240" w:lineRule="exact"/>
              <w:jc w:val="center"/>
              <w:rPr>
                <w:rFonts w:ascii="Arial" w:hAnsi="Arial" w:eastAsia="宋体" w:cs="Arial"/>
                <w:sz w:val="21"/>
                <w:szCs w:val="21"/>
                <w:u w:val="single"/>
              </w:rPr>
            </w:pPr>
            <w:r>
              <w:rPr>
                <w:rFonts w:ascii="Arial" w:hAnsi="Arial" w:eastAsia="宋体" w:cs="Arial"/>
                <w:sz w:val="21"/>
                <w:szCs w:val="21"/>
                <w:u w:val="single"/>
              </w:rPr>
              <w:t>365d</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5E22DE34">
            <w:pPr>
              <w:spacing w:line="240" w:lineRule="exact"/>
              <w:jc w:val="center"/>
              <w:rPr>
                <w:rFonts w:ascii="Arial" w:hAnsi="Arial" w:eastAsia="宋体" w:cs="Arial"/>
                <w:sz w:val="21"/>
                <w:szCs w:val="21"/>
                <w:u w:val="single"/>
              </w:rPr>
            </w:pPr>
            <w:r>
              <w:rPr>
                <w:rFonts w:ascii="Arial" w:hAnsi="Arial" w:eastAsia="宋体" w:cs="Arial"/>
                <w:sz w:val="21"/>
                <w:szCs w:val="21"/>
                <w:u w:val="single"/>
              </w:rPr>
              <w:t>1000d</w:t>
            </w:r>
          </w:p>
        </w:tc>
      </w:tr>
      <w:tr w14:paraId="1EEBE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vMerge w:val="continue"/>
            <w:tcBorders>
              <w:left w:val="single" w:color="auto" w:sz="4" w:space="0"/>
              <w:bottom w:val="single" w:color="auto" w:sz="4" w:space="0"/>
              <w:right w:val="single" w:color="auto" w:sz="4" w:space="0"/>
              <w:tl2br w:val="single" w:color="auto" w:sz="4" w:space="0"/>
            </w:tcBorders>
            <w:vAlign w:val="center"/>
          </w:tcPr>
          <w:p w14:paraId="4BA59556">
            <w:pPr>
              <w:spacing w:line="240" w:lineRule="exact"/>
              <w:jc w:val="center"/>
              <w:rPr>
                <w:rFonts w:ascii="Arial" w:hAnsi="Arial" w:eastAsia="宋体" w:cs="Arial"/>
                <w:sz w:val="21"/>
                <w:szCs w:val="21"/>
                <w:u w:val="single"/>
              </w:rPr>
            </w:pPr>
          </w:p>
        </w:tc>
        <w:tc>
          <w:tcPr>
            <w:tcW w:w="652" w:type="pct"/>
            <w:tcBorders>
              <w:top w:val="single" w:color="auto" w:sz="4" w:space="0"/>
              <w:left w:val="single" w:color="auto" w:sz="4" w:space="0"/>
              <w:bottom w:val="single" w:color="auto" w:sz="4" w:space="0"/>
              <w:right w:val="single" w:color="auto" w:sz="4" w:space="0"/>
            </w:tcBorders>
            <w:vAlign w:val="center"/>
          </w:tcPr>
          <w:p w14:paraId="2A5EEF2B">
            <w:pPr>
              <w:spacing w:line="240" w:lineRule="exact"/>
              <w:jc w:val="center"/>
              <w:rPr>
                <w:rFonts w:ascii="Arial" w:hAnsi="Arial" w:eastAsia="宋体" w:cs="Arial"/>
                <w:sz w:val="21"/>
                <w:szCs w:val="21"/>
                <w:u w:val="single"/>
              </w:rPr>
            </w:pPr>
            <w:r>
              <w:rPr>
                <w:rFonts w:ascii="Arial" w:hAnsi="Arial" w:eastAsia="宋体" w:cs="Arial"/>
                <w:sz w:val="21"/>
                <w:szCs w:val="21"/>
                <w:u w:val="single"/>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1709FFD1">
            <w:pPr>
              <w:spacing w:line="240" w:lineRule="exact"/>
              <w:jc w:val="center"/>
              <w:rPr>
                <w:rFonts w:ascii="Arial" w:hAnsi="Arial" w:eastAsia="宋体" w:cs="Arial"/>
                <w:sz w:val="21"/>
                <w:szCs w:val="21"/>
                <w:u w:val="single"/>
              </w:rPr>
            </w:pPr>
            <w:r>
              <w:rPr>
                <w:rFonts w:ascii="Arial" w:hAnsi="Arial" w:eastAsia="宋体" w:cs="Arial"/>
                <w:sz w:val="21"/>
                <w:szCs w:val="21"/>
                <w:u w:val="single"/>
              </w:rPr>
              <w:t>预测值</w:t>
            </w:r>
          </w:p>
        </w:tc>
        <w:tc>
          <w:tcPr>
            <w:tcW w:w="652" w:type="pct"/>
            <w:tcBorders>
              <w:top w:val="single" w:color="auto" w:sz="4" w:space="0"/>
              <w:left w:val="single" w:color="auto" w:sz="4" w:space="0"/>
              <w:bottom w:val="single" w:color="auto" w:sz="4" w:space="0"/>
              <w:right w:val="single" w:color="auto" w:sz="4" w:space="0"/>
            </w:tcBorders>
            <w:vAlign w:val="center"/>
          </w:tcPr>
          <w:p w14:paraId="75A7BB6E">
            <w:pPr>
              <w:spacing w:line="240" w:lineRule="exact"/>
              <w:jc w:val="center"/>
              <w:rPr>
                <w:rFonts w:ascii="Arial" w:hAnsi="Arial" w:eastAsia="宋体" w:cs="Arial"/>
                <w:sz w:val="21"/>
                <w:szCs w:val="21"/>
                <w:u w:val="single"/>
              </w:rPr>
            </w:pPr>
            <w:r>
              <w:rPr>
                <w:rFonts w:ascii="Arial" w:hAnsi="Arial" w:eastAsia="宋体" w:cs="Arial"/>
                <w:sz w:val="21"/>
                <w:szCs w:val="21"/>
                <w:u w:val="single"/>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3ECE683E">
            <w:pPr>
              <w:spacing w:line="240" w:lineRule="exact"/>
              <w:jc w:val="center"/>
              <w:rPr>
                <w:rFonts w:ascii="Arial" w:hAnsi="Arial" w:eastAsia="宋体" w:cs="Arial"/>
                <w:sz w:val="21"/>
                <w:szCs w:val="21"/>
                <w:u w:val="single"/>
              </w:rPr>
            </w:pPr>
            <w:r>
              <w:rPr>
                <w:rFonts w:ascii="Arial" w:hAnsi="Arial" w:eastAsia="宋体" w:cs="Arial"/>
                <w:sz w:val="21"/>
                <w:szCs w:val="21"/>
                <w:u w:val="single"/>
              </w:rPr>
              <w:t>预测值</w:t>
            </w:r>
          </w:p>
        </w:tc>
        <w:tc>
          <w:tcPr>
            <w:tcW w:w="652" w:type="pct"/>
            <w:tcBorders>
              <w:top w:val="single" w:color="auto" w:sz="4" w:space="0"/>
              <w:left w:val="single" w:color="auto" w:sz="4" w:space="0"/>
              <w:bottom w:val="single" w:color="auto" w:sz="4" w:space="0"/>
              <w:right w:val="single" w:color="auto" w:sz="4" w:space="0"/>
            </w:tcBorders>
            <w:vAlign w:val="center"/>
          </w:tcPr>
          <w:p w14:paraId="0F81E0FA">
            <w:pPr>
              <w:spacing w:line="240" w:lineRule="exact"/>
              <w:jc w:val="center"/>
              <w:rPr>
                <w:rFonts w:ascii="Arial" w:hAnsi="Arial" w:eastAsia="宋体" w:cs="Arial"/>
                <w:sz w:val="21"/>
                <w:szCs w:val="21"/>
                <w:u w:val="single"/>
              </w:rPr>
            </w:pPr>
            <w:r>
              <w:rPr>
                <w:rFonts w:ascii="Arial" w:hAnsi="Arial" w:eastAsia="宋体" w:cs="Arial"/>
                <w:sz w:val="21"/>
                <w:szCs w:val="21"/>
                <w:u w:val="single"/>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04A0911E">
            <w:pPr>
              <w:spacing w:line="240" w:lineRule="exact"/>
              <w:jc w:val="center"/>
              <w:rPr>
                <w:rFonts w:ascii="Arial" w:hAnsi="Arial" w:eastAsia="宋体" w:cs="Arial"/>
                <w:sz w:val="21"/>
                <w:szCs w:val="21"/>
                <w:u w:val="single"/>
              </w:rPr>
            </w:pPr>
            <w:r>
              <w:rPr>
                <w:rFonts w:ascii="Arial" w:hAnsi="Arial" w:eastAsia="宋体" w:cs="Arial"/>
                <w:sz w:val="21"/>
                <w:szCs w:val="21"/>
                <w:u w:val="single"/>
              </w:rPr>
              <w:t>预测值</w:t>
            </w:r>
          </w:p>
        </w:tc>
      </w:tr>
      <w:tr w14:paraId="1804A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BB6E298">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10</w:t>
            </w:r>
          </w:p>
        </w:tc>
        <w:tc>
          <w:tcPr>
            <w:tcW w:w="652" w:type="pct"/>
            <w:tcBorders>
              <w:top w:val="single" w:color="auto" w:sz="4" w:space="0"/>
              <w:left w:val="single" w:color="auto" w:sz="4" w:space="0"/>
              <w:bottom w:val="single" w:color="auto" w:sz="4" w:space="0"/>
              <w:right w:val="single" w:color="auto" w:sz="4" w:space="0"/>
            </w:tcBorders>
            <w:vAlign w:val="center"/>
          </w:tcPr>
          <w:p w14:paraId="121FD18A">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0.1483</w:t>
            </w:r>
          </w:p>
        </w:tc>
        <w:tc>
          <w:tcPr>
            <w:tcW w:w="653" w:type="pct"/>
            <w:tcBorders>
              <w:top w:val="single" w:color="auto" w:sz="4" w:space="0"/>
              <w:left w:val="single" w:color="auto" w:sz="4" w:space="0"/>
              <w:bottom w:val="single" w:color="auto" w:sz="4" w:space="0"/>
              <w:right w:val="single" w:color="auto" w:sz="4" w:space="0"/>
            </w:tcBorders>
            <w:vAlign w:val="center"/>
          </w:tcPr>
          <w:p w14:paraId="69B65952">
            <w:pPr>
              <w:spacing w:line="240" w:lineRule="exact"/>
              <w:jc w:val="center"/>
              <w:rPr>
                <w:rFonts w:ascii="Arial" w:hAnsi="Arial" w:eastAsia="宋体" w:cs="Arial"/>
                <w:sz w:val="21"/>
                <w:szCs w:val="21"/>
                <w:u w:val="single"/>
              </w:rPr>
            </w:pPr>
            <w:r>
              <w:rPr>
                <w:rFonts w:ascii="Arial" w:hAnsi="Arial" w:eastAsia="宋体" w:cs="Arial"/>
                <w:sz w:val="21"/>
                <w:szCs w:val="21"/>
                <w:u w:val="single"/>
              </w:rPr>
              <w:t>5.5183</w:t>
            </w:r>
          </w:p>
        </w:tc>
        <w:tc>
          <w:tcPr>
            <w:tcW w:w="652" w:type="pct"/>
            <w:tcBorders>
              <w:top w:val="single" w:color="auto" w:sz="4" w:space="0"/>
              <w:left w:val="single" w:color="auto" w:sz="4" w:space="0"/>
              <w:bottom w:val="single" w:color="auto" w:sz="4" w:space="0"/>
              <w:right w:val="single" w:color="auto" w:sz="4" w:space="0"/>
            </w:tcBorders>
            <w:vAlign w:val="center"/>
          </w:tcPr>
          <w:p w14:paraId="138D95DA">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39BA97B9">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465B71A4">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3D238DD3">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539B3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622CB92">
            <w:pPr>
              <w:spacing w:line="240" w:lineRule="exact"/>
              <w:jc w:val="center"/>
              <w:rPr>
                <w:rFonts w:ascii="Arial" w:hAnsi="Arial" w:eastAsia="宋体" w:cs="Arial"/>
                <w:sz w:val="21"/>
                <w:szCs w:val="21"/>
                <w:u w:val="single"/>
              </w:rPr>
            </w:pPr>
            <w:r>
              <w:rPr>
                <w:rFonts w:ascii="Arial" w:hAnsi="Arial" w:eastAsia="宋体" w:cs="Arial"/>
                <w:sz w:val="21"/>
                <w:szCs w:val="21"/>
                <w:u w:val="single"/>
              </w:rPr>
              <w:t>20</w:t>
            </w:r>
          </w:p>
        </w:tc>
        <w:tc>
          <w:tcPr>
            <w:tcW w:w="652" w:type="pct"/>
            <w:tcBorders>
              <w:top w:val="single" w:color="auto" w:sz="4" w:space="0"/>
              <w:left w:val="single" w:color="auto" w:sz="4" w:space="0"/>
              <w:bottom w:val="single" w:color="auto" w:sz="4" w:space="0"/>
              <w:right w:val="single" w:color="auto" w:sz="4" w:space="0"/>
            </w:tcBorders>
            <w:vAlign w:val="center"/>
          </w:tcPr>
          <w:p w14:paraId="7FE85C34">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0.3598</w:t>
            </w:r>
          </w:p>
        </w:tc>
        <w:tc>
          <w:tcPr>
            <w:tcW w:w="653" w:type="pct"/>
            <w:tcBorders>
              <w:top w:val="single" w:color="auto" w:sz="4" w:space="0"/>
              <w:left w:val="single" w:color="auto" w:sz="4" w:space="0"/>
              <w:bottom w:val="single" w:color="auto" w:sz="4" w:space="0"/>
              <w:right w:val="single" w:color="auto" w:sz="4" w:space="0"/>
            </w:tcBorders>
            <w:vAlign w:val="center"/>
          </w:tcPr>
          <w:p w14:paraId="102631A0">
            <w:pPr>
              <w:spacing w:line="240" w:lineRule="exact"/>
              <w:jc w:val="center"/>
              <w:rPr>
                <w:rFonts w:ascii="Arial" w:hAnsi="Arial" w:eastAsia="宋体" w:cs="Arial"/>
                <w:sz w:val="21"/>
                <w:szCs w:val="21"/>
                <w:u w:val="single"/>
              </w:rPr>
            </w:pPr>
            <w:r>
              <w:rPr>
                <w:rFonts w:ascii="Arial" w:hAnsi="Arial" w:eastAsia="宋体" w:cs="Arial"/>
                <w:sz w:val="21"/>
                <w:szCs w:val="21"/>
                <w:u w:val="single"/>
              </w:rPr>
              <w:t>5.7298</w:t>
            </w:r>
          </w:p>
        </w:tc>
        <w:tc>
          <w:tcPr>
            <w:tcW w:w="652" w:type="pct"/>
            <w:tcBorders>
              <w:top w:val="single" w:color="auto" w:sz="4" w:space="0"/>
              <w:left w:val="single" w:color="auto" w:sz="4" w:space="0"/>
              <w:bottom w:val="single" w:color="auto" w:sz="4" w:space="0"/>
              <w:right w:val="single" w:color="auto" w:sz="4" w:space="0"/>
            </w:tcBorders>
            <w:vAlign w:val="center"/>
          </w:tcPr>
          <w:p w14:paraId="244A8EFC">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0.0001</w:t>
            </w:r>
          </w:p>
        </w:tc>
        <w:tc>
          <w:tcPr>
            <w:tcW w:w="653" w:type="pct"/>
            <w:tcBorders>
              <w:top w:val="single" w:color="auto" w:sz="4" w:space="0"/>
              <w:left w:val="single" w:color="auto" w:sz="4" w:space="0"/>
              <w:bottom w:val="single" w:color="auto" w:sz="4" w:space="0"/>
              <w:right w:val="single" w:color="auto" w:sz="4" w:space="0"/>
            </w:tcBorders>
            <w:vAlign w:val="center"/>
          </w:tcPr>
          <w:p w14:paraId="5B5C1470">
            <w:pPr>
              <w:spacing w:line="240" w:lineRule="exact"/>
              <w:jc w:val="center"/>
              <w:rPr>
                <w:rFonts w:ascii="Arial" w:hAnsi="Arial" w:eastAsia="宋体" w:cs="Arial"/>
                <w:sz w:val="21"/>
                <w:szCs w:val="21"/>
                <w:u w:val="single"/>
              </w:rPr>
            </w:pPr>
            <w:r>
              <w:rPr>
                <w:rFonts w:ascii="Arial" w:hAnsi="Arial" w:eastAsia="宋体" w:cs="Arial"/>
                <w:sz w:val="21"/>
                <w:szCs w:val="21"/>
                <w:u w:val="single"/>
              </w:rPr>
              <w:t>5.3701</w:t>
            </w:r>
          </w:p>
        </w:tc>
        <w:tc>
          <w:tcPr>
            <w:tcW w:w="652" w:type="pct"/>
            <w:tcBorders>
              <w:top w:val="single" w:color="auto" w:sz="4" w:space="0"/>
              <w:left w:val="single" w:color="auto" w:sz="4" w:space="0"/>
              <w:bottom w:val="single" w:color="auto" w:sz="4" w:space="0"/>
              <w:right w:val="single" w:color="auto" w:sz="4" w:space="0"/>
            </w:tcBorders>
            <w:vAlign w:val="center"/>
          </w:tcPr>
          <w:p w14:paraId="7689040C">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016D27C4">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39D2A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3ABA422">
            <w:pPr>
              <w:spacing w:line="240" w:lineRule="exact"/>
              <w:jc w:val="center"/>
              <w:rPr>
                <w:rFonts w:ascii="Arial" w:hAnsi="Arial" w:eastAsia="宋体" w:cs="Arial"/>
                <w:sz w:val="21"/>
                <w:szCs w:val="21"/>
                <w:u w:val="single"/>
              </w:rPr>
            </w:pPr>
            <w:r>
              <w:rPr>
                <w:rFonts w:ascii="Arial" w:hAnsi="Arial" w:eastAsia="宋体" w:cs="Arial"/>
                <w:sz w:val="21"/>
                <w:szCs w:val="21"/>
                <w:u w:val="single"/>
              </w:rPr>
              <w:t>40</w:t>
            </w:r>
          </w:p>
        </w:tc>
        <w:tc>
          <w:tcPr>
            <w:tcW w:w="652" w:type="pct"/>
            <w:tcBorders>
              <w:top w:val="single" w:color="auto" w:sz="4" w:space="0"/>
              <w:left w:val="single" w:color="auto" w:sz="4" w:space="0"/>
              <w:bottom w:val="single" w:color="auto" w:sz="4" w:space="0"/>
              <w:right w:val="single" w:color="auto" w:sz="4" w:space="0"/>
            </w:tcBorders>
            <w:vAlign w:val="center"/>
          </w:tcPr>
          <w:p w14:paraId="6AC456C2">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0.9779</w:t>
            </w:r>
          </w:p>
        </w:tc>
        <w:tc>
          <w:tcPr>
            <w:tcW w:w="653" w:type="pct"/>
            <w:tcBorders>
              <w:top w:val="single" w:color="auto" w:sz="4" w:space="0"/>
              <w:left w:val="single" w:color="auto" w:sz="4" w:space="0"/>
              <w:bottom w:val="single" w:color="auto" w:sz="4" w:space="0"/>
              <w:right w:val="single" w:color="auto" w:sz="4" w:space="0"/>
            </w:tcBorders>
            <w:vAlign w:val="center"/>
          </w:tcPr>
          <w:p w14:paraId="09414957">
            <w:pPr>
              <w:spacing w:line="240" w:lineRule="exact"/>
              <w:jc w:val="center"/>
              <w:rPr>
                <w:rFonts w:ascii="Arial" w:hAnsi="Arial" w:eastAsia="宋体" w:cs="Arial"/>
                <w:sz w:val="21"/>
                <w:szCs w:val="21"/>
                <w:u w:val="single"/>
              </w:rPr>
            </w:pPr>
            <w:r>
              <w:rPr>
                <w:rFonts w:ascii="Arial" w:hAnsi="Arial" w:eastAsia="宋体" w:cs="Arial"/>
                <w:sz w:val="21"/>
                <w:szCs w:val="21"/>
                <w:u w:val="single"/>
              </w:rPr>
              <w:t>6.3479</w:t>
            </w:r>
          </w:p>
        </w:tc>
        <w:tc>
          <w:tcPr>
            <w:tcW w:w="652" w:type="pct"/>
            <w:tcBorders>
              <w:top w:val="single" w:color="auto" w:sz="4" w:space="0"/>
              <w:left w:val="single" w:color="auto" w:sz="4" w:space="0"/>
              <w:bottom w:val="single" w:color="auto" w:sz="4" w:space="0"/>
              <w:right w:val="single" w:color="auto" w:sz="4" w:space="0"/>
            </w:tcBorders>
            <w:vAlign w:val="center"/>
          </w:tcPr>
          <w:p w14:paraId="28A741A2">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0.0006</w:t>
            </w:r>
          </w:p>
        </w:tc>
        <w:tc>
          <w:tcPr>
            <w:tcW w:w="653" w:type="pct"/>
            <w:tcBorders>
              <w:top w:val="single" w:color="auto" w:sz="4" w:space="0"/>
              <w:left w:val="single" w:color="auto" w:sz="4" w:space="0"/>
              <w:bottom w:val="single" w:color="auto" w:sz="4" w:space="0"/>
              <w:right w:val="single" w:color="auto" w:sz="4" w:space="0"/>
            </w:tcBorders>
            <w:vAlign w:val="center"/>
          </w:tcPr>
          <w:p w14:paraId="338DB214">
            <w:pPr>
              <w:spacing w:line="240" w:lineRule="exact"/>
              <w:jc w:val="center"/>
              <w:rPr>
                <w:rFonts w:ascii="Arial" w:hAnsi="Arial" w:eastAsia="宋体" w:cs="Arial"/>
                <w:sz w:val="21"/>
                <w:szCs w:val="21"/>
                <w:u w:val="single"/>
              </w:rPr>
            </w:pPr>
            <w:r>
              <w:rPr>
                <w:rFonts w:ascii="Arial" w:hAnsi="Arial" w:eastAsia="宋体" w:cs="Arial"/>
                <w:sz w:val="21"/>
                <w:szCs w:val="21"/>
                <w:u w:val="single"/>
              </w:rPr>
              <w:t>5.3706</w:t>
            </w:r>
          </w:p>
        </w:tc>
        <w:tc>
          <w:tcPr>
            <w:tcW w:w="652" w:type="pct"/>
            <w:tcBorders>
              <w:top w:val="single" w:color="auto" w:sz="4" w:space="0"/>
              <w:left w:val="single" w:color="auto" w:sz="4" w:space="0"/>
              <w:bottom w:val="single" w:color="auto" w:sz="4" w:space="0"/>
              <w:right w:val="single" w:color="auto" w:sz="4" w:space="0"/>
            </w:tcBorders>
            <w:vAlign w:val="center"/>
          </w:tcPr>
          <w:p w14:paraId="5DF57504">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2C970CCC">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5067A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19BFD01">
            <w:pPr>
              <w:spacing w:line="240" w:lineRule="exact"/>
              <w:jc w:val="center"/>
              <w:rPr>
                <w:rFonts w:ascii="Arial" w:hAnsi="Arial" w:eastAsia="宋体" w:cs="Arial"/>
                <w:sz w:val="21"/>
                <w:szCs w:val="21"/>
                <w:u w:val="single"/>
              </w:rPr>
            </w:pPr>
            <w:r>
              <w:rPr>
                <w:rFonts w:ascii="Arial" w:hAnsi="Arial" w:eastAsia="宋体" w:cs="Arial"/>
                <w:sz w:val="21"/>
                <w:szCs w:val="21"/>
                <w:u w:val="single"/>
              </w:rPr>
              <w:t>60</w:t>
            </w:r>
          </w:p>
        </w:tc>
        <w:tc>
          <w:tcPr>
            <w:tcW w:w="652" w:type="pct"/>
            <w:tcBorders>
              <w:top w:val="single" w:color="auto" w:sz="4" w:space="0"/>
              <w:left w:val="single" w:color="auto" w:sz="4" w:space="0"/>
              <w:bottom w:val="single" w:color="auto" w:sz="4" w:space="0"/>
              <w:right w:val="single" w:color="auto" w:sz="4" w:space="0"/>
            </w:tcBorders>
            <w:vAlign w:val="center"/>
          </w:tcPr>
          <w:p w14:paraId="38460B5F">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0.9779</w:t>
            </w:r>
          </w:p>
        </w:tc>
        <w:tc>
          <w:tcPr>
            <w:tcW w:w="653" w:type="pct"/>
            <w:tcBorders>
              <w:top w:val="single" w:color="auto" w:sz="4" w:space="0"/>
              <w:left w:val="single" w:color="auto" w:sz="4" w:space="0"/>
              <w:bottom w:val="single" w:color="auto" w:sz="4" w:space="0"/>
              <w:right w:val="single" w:color="auto" w:sz="4" w:space="0"/>
            </w:tcBorders>
            <w:vAlign w:val="center"/>
          </w:tcPr>
          <w:p w14:paraId="722F0696">
            <w:pPr>
              <w:spacing w:line="240" w:lineRule="exact"/>
              <w:jc w:val="center"/>
              <w:rPr>
                <w:rFonts w:ascii="Arial" w:hAnsi="Arial" w:eastAsia="宋体" w:cs="Arial"/>
                <w:sz w:val="21"/>
                <w:szCs w:val="21"/>
                <w:u w:val="single"/>
              </w:rPr>
            </w:pPr>
            <w:r>
              <w:rPr>
                <w:rFonts w:ascii="Arial" w:hAnsi="Arial" w:eastAsia="宋体" w:cs="Arial"/>
                <w:sz w:val="21"/>
                <w:szCs w:val="21"/>
                <w:u w:val="single"/>
              </w:rPr>
              <w:t>6.3479</w:t>
            </w:r>
          </w:p>
        </w:tc>
        <w:tc>
          <w:tcPr>
            <w:tcW w:w="652" w:type="pct"/>
            <w:tcBorders>
              <w:top w:val="single" w:color="auto" w:sz="4" w:space="0"/>
              <w:left w:val="single" w:color="auto" w:sz="4" w:space="0"/>
              <w:bottom w:val="single" w:color="auto" w:sz="4" w:space="0"/>
              <w:right w:val="single" w:color="auto" w:sz="4" w:space="0"/>
            </w:tcBorders>
            <w:vAlign w:val="center"/>
          </w:tcPr>
          <w:p w14:paraId="111CA8D9">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0.0034</w:t>
            </w:r>
          </w:p>
        </w:tc>
        <w:tc>
          <w:tcPr>
            <w:tcW w:w="653" w:type="pct"/>
            <w:tcBorders>
              <w:top w:val="single" w:color="auto" w:sz="4" w:space="0"/>
              <w:left w:val="single" w:color="auto" w:sz="4" w:space="0"/>
              <w:bottom w:val="single" w:color="auto" w:sz="4" w:space="0"/>
              <w:right w:val="single" w:color="auto" w:sz="4" w:space="0"/>
            </w:tcBorders>
            <w:vAlign w:val="center"/>
          </w:tcPr>
          <w:p w14:paraId="13864628">
            <w:pPr>
              <w:spacing w:line="240" w:lineRule="exact"/>
              <w:jc w:val="center"/>
              <w:rPr>
                <w:rFonts w:ascii="Arial" w:hAnsi="Arial" w:eastAsia="宋体" w:cs="Arial"/>
                <w:sz w:val="21"/>
                <w:szCs w:val="21"/>
                <w:u w:val="single"/>
              </w:rPr>
            </w:pPr>
            <w:r>
              <w:rPr>
                <w:rFonts w:ascii="Arial" w:hAnsi="Arial" w:eastAsia="宋体" w:cs="Arial"/>
                <w:sz w:val="21"/>
                <w:szCs w:val="21"/>
                <w:u w:val="single"/>
              </w:rPr>
              <w:t>5.3734</w:t>
            </w:r>
          </w:p>
        </w:tc>
        <w:tc>
          <w:tcPr>
            <w:tcW w:w="652" w:type="pct"/>
            <w:tcBorders>
              <w:top w:val="single" w:color="auto" w:sz="4" w:space="0"/>
              <w:left w:val="single" w:color="auto" w:sz="4" w:space="0"/>
              <w:bottom w:val="single" w:color="auto" w:sz="4" w:space="0"/>
              <w:right w:val="single" w:color="auto" w:sz="4" w:space="0"/>
            </w:tcBorders>
            <w:vAlign w:val="center"/>
          </w:tcPr>
          <w:p w14:paraId="213E1E49">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671CA15F">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61135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333036FA">
            <w:pPr>
              <w:spacing w:line="240" w:lineRule="exact"/>
              <w:jc w:val="center"/>
              <w:rPr>
                <w:rFonts w:ascii="Arial" w:hAnsi="Arial" w:eastAsia="宋体" w:cs="Arial"/>
                <w:sz w:val="21"/>
                <w:szCs w:val="21"/>
                <w:u w:val="single"/>
              </w:rPr>
            </w:pPr>
            <w:r>
              <w:rPr>
                <w:rFonts w:ascii="Arial" w:hAnsi="Arial" w:eastAsia="宋体" w:cs="Arial"/>
                <w:sz w:val="21"/>
                <w:szCs w:val="21"/>
                <w:u w:val="single"/>
              </w:rPr>
              <w:t>80</w:t>
            </w:r>
          </w:p>
        </w:tc>
        <w:tc>
          <w:tcPr>
            <w:tcW w:w="652" w:type="pct"/>
            <w:tcBorders>
              <w:top w:val="single" w:color="auto" w:sz="4" w:space="0"/>
              <w:left w:val="single" w:color="auto" w:sz="4" w:space="0"/>
              <w:bottom w:val="single" w:color="auto" w:sz="4" w:space="0"/>
              <w:right w:val="single" w:color="auto" w:sz="4" w:space="0"/>
            </w:tcBorders>
            <w:vAlign w:val="center"/>
          </w:tcPr>
          <w:p w14:paraId="5BB9E4D8">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0.3598</w:t>
            </w:r>
          </w:p>
        </w:tc>
        <w:tc>
          <w:tcPr>
            <w:tcW w:w="653" w:type="pct"/>
            <w:tcBorders>
              <w:top w:val="single" w:color="auto" w:sz="4" w:space="0"/>
              <w:left w:val="single" w:color="auto" w:sz="4" w:space="0"/>
              <w:bottom w:val="single" w:color="auto" w:sz="4" w:space="0"/>
              <w:right w:val="single" w:color="auto" w:sz="4" w:space="0"/>
            </w:tcBorders>
            <w:vAlign w:val="center"/>
          </w:tcPr>
          <w:p w14:paraId="058D0C03">
            <w:pPr>
              <w:spacing w:line="240" w:lineRule="exact"/>
              <w:jc w:val="center"/>
              <w:rPr>
                <w:rFonts w:ascii="Arial" w:hAnsi="Arial" w:eastAsia="宋体" w:cs="Arial"/>
                <w:sz w:val="21"/>
                <w:szCs w:val="21"/>
                <w:u w:val="single"/>
              </w:rPr>
            </w:pPr>
            <w:r>
              <w:rPr>
                <w:rFonts w:ascii="Arial" w:hAnsi="Arial" w:eastAsia="宋体" w:cs="Arial"/>
                <w:sz w:val="21"/>
                <w:szCs w:val="21"/>
                <w:u w:val="single"/>
              </w:rPr>
              <w:t>5.7298</w:t>
            </w:r>
          </w:p>
        </w:tc>
        <w:tc>
          <w:tcPr>
            <w:tcW w:w="652" w:type="pct"/>
            <w:tcBorders>
              <w:top w:val="single" w:color="auto" w:sz="4" w:space="0"/>
              <w:left w:val="single" w:color="auto" w:sz="4" w:space="0"/>
              <w:bottom w:val="single" w:color="auto" w:sz="4" w:space="0"/>
              <w:right w:val="single" w:color="auto" w:sz="4" w:space="0"/>
            </w:tcBorders>
            <w:vAlign w:val="center"/>
          </w:tcPr>
          <w:p w14:paraId="0F1284E4">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0.0159</w:t>
            </w:r>
          </w:p>
        </w:tc>
        <w:tc>
          <w:tcPr>
            <w:tcW w:w="653" w:type="pct"/>
            <w:tcBorders>
              <w:top w:val="single" w:color="auto" w:sz="4" w:space="0"/>
              <w:left w:val="single" w:color="auto" w:sz="4" w:space="0"/>
              <w:bottom w:val="single" w:color="auto" w:sz="4" w:space="0"/>
              <w:right w:val="single" w:color="auto" w:sz="4" w:space="0"/>
            </w:tcBorders>
            <w:vAlign w:val="center"/>
          </w:tcPr>
          <w:p w14:paraId="5480E256">
            <w:pPr>
              <w:spacing w:line="240" w:lineRule="exact"/>
              <w:jc w:val="center"/>
              <w:rPr>
                <w:rFonts w:ascii="Arial" w:hAnsi="Arial" w:eastAsia="宋体" w:cs="Arial"/>
                <w:sz w:val="21"/>
                <w:szCs w:val="21"/>
                <w:u w:val="single"/>
              </w:rPr>
            </w:pPr>
            <w:r>
              <w:rPr>
                <w:rFonts w:ascii="Arial" w:hAnsi="Arial" w:eastAsia="宋体" w:cs="Arial"/>
                <w:sz w:val="21"/>
                <w:szCs w:val="21"/>
                <w:u w:val="single"/>
              </w:rPr>
              <w:t>5.3859</w:t>
            </w:r>
          </w:p>
        </w:tc>
        <w:tc>
          <w:tcPr>
            <w:tcW w:w="652" w:type="pct"/>
            <w:tcBorders>
              <w:top w:val="single" w:color="auto" w:sz="4" w:space="0"/>
              <w:left w:val="single" w:color="auto" w:sz="4" w:space="0"/>
              <w:bottom w:val="single" w:color="auto" w:sz="4" w:space="0"/>
              <w:right w:val="single" w:color="auto" w:sz="4" w:space="0"/>
            </w:tcBorders>
            <w:vAlign w:val="center"/>
          </w:tcPr>
          <w:p w14:paraId="6F77F054">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674BC6B7">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1CF03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3D544B37">
            <w:pPr>
              <w:spacing w:line="240" w:lineRule="exact"/>
              <w:jc w:val="center"/>
              <w:rPr>
                <w:rFonts w:ascii="Arial" w:hAnsi="Arial" w:eastAsia="宋体" w:cs="Arial"/>
                <w:sz w:val="21"/>
                <w:szCs w:val="21"/>
                <w:u w:val="single"/>
              </w:rPr>
            </w:pPr>
            <w:r>
              <w:rPr>
                <w:rFonts w:ascii="Arial" w:hAnsi="Arial" w:eastAsia="宋体" w:cs="Arial"/>
                <w:sz w:val="21"/>
                <w:szCs w:val="21"/>
                <w:u w:val="single"/>
              </w:rPr>
              <w:t>100</w:t>
            </w:r>
          </w:p>
        </w:tc>
        <w:tc>
          <w:tcPr>
            <w:tcW w:w="652" w:type="pct"/>
            <w:tcBorders>
              <w:top w:val="single" w:color="auto" w:sz="4" w:space="0"/>
              <w:left w:val="single" w:color="auto" w:sz="4" w:space="0"/>
              <w:bottom w:val="single" w:color="auto" w:sz="4" w:space="0"/>
              <w:right w:val="single" w:color="auto" w:sz="4" w:space="0"/>
            </w:tcBorders>
            <w:vAlign w:val="center"/>
          </w:tcPr>
          <w:p w14:paraId="65D64715">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0.0487</w:t>
            </w:r>
          </w:p>
        </w:tc>
        <w:tc>
          <w:tcPr>
            <w:tcW w:w="653" w:type="pct"/>
            <w:tcBorders>
              <w:top w:val="single" w:color="auto" w:sz="4" w:space="0"/>
              <w:left w:val="single" w:color="auto" w:sz="4" w:space="0"/>
              <w:bottom w:val="single" w:color="auto" w:sz="4" w:space="0"/>
              <w:right w:val="single" w:color="auto" w:sz="4" w:space="0"/>
            </w:tcBorders>
            <w:vAlign w:val="center"/>
          </w:tcPr>
          <w:p w14:paraId="6871E31E">
            <w:pPr>
              <w:spacing w:line="240" w:lineRule="exact"/>
              <w:jc w:val="center"/>
              <w:rPr>
                <w:rFonts w:ascii="Arial" w:hAnsi="Arial" w:eastAsia="宋体" w:cs="Arial"/>
                <w:sz w:val="21"/>
                <w:szCs w:val="21"/>
                <w:u w:val="single"/>
              </w:rPr>
            </w:pPr>
            <w:r>
              <w:rPr>
                <w:rFonts w:ascii="Arial" w:hAnsi="Arial" w:eastAsia="宋体" w:cs="Arial"/>
                <w:sz w:val="21"/>
                <w:szCs w:val="21"/>
                <w:u w:val="single"/>
              </w:rPr>
              <w:t>5.4187</w:t>
            </w:r>
          </w:p>
        </w:tc>
        <w:tc>
          <w:tcPr>
            <w:tcW w:w="652" w:type="pct"/>
            <w:tcBorders>
              <w:top w:val="single" w:color="auto" w:sz="4" w:space="0"/>
              <w:left w:val="single" w:color="auto" w:sz="4" w:space="0"/>
              <w:bottom w:val="single" w:color="auto" w:sz="4" w:space="0"/>
              <w:right w:val="single" w:color="auto" w:sz="4" w:space="0"/>
            </w:tcBorders>
            <w:vAlign w:val="center"/>
          </w:tcPr>
          <w:p w14:paraId="7422E4B7">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0.0564</w:t>
            </w:r>
          </w:p>
        </w:tc>
        <w:tc>
          <w:tcPr>
            <w:tcW w:w="653" w:type="pct"/>
            <w:tcBorders>
              <w:top w:val="single" w:color="auto" w:sz="4" w:space="0"/>
              <w:left w:val="single" w:color="auto" w:sz="4" w:space="0"/>
              <w:bottom w:val="single" w:color="auto" w:sz="4" w:space="0"/>
              <w:right w:val="single" w:color="auto" w:sz="4" w:space="0"/>
            </w:tcBorders>
            <w:vAlign w:val="center"/>
          </w:tcPr>
          <w:p w14:paraId="79AD331E">
            <w:pPr>
              <w:spacing w:line="240" w:lineRule="exact"/>
              <w:jc w:val="center"/>
              <w:rPr>
                <w:rFonts w:ascii="Arial" w:hAnsi="Arial" w:eastAsia="宋体" w:cs="Arial"/>
                <w:sz w:val="21"/>
                <w:szCs w:val="21"/>
                <w:u w:val="single"/>
              </w:rPr>
            </w:pPr>
            <w:r>
              <w:rPr>
                <w:rFonts w:ascii="Arial" w:hAnsi="Arial" w:eastAsia="宋体" w:cs="Arial"/>
                <w:sz w:val="21"/>
                <w:szCs w:val="21"/>
                <w:u w:val="single"/>
              </w:rPr>
              <w:t>5.4264</w:t>
            </w:r>
          </w:p>
        </w:tc>
        <w:tc>
          <w:tcPr>
            <w:tcW w:w="652" w:type="pct"/>
            <w:tcBorders>
              <w:top w:val="single" w:color="auto" w:sz="4" w:space="0"/>
              <w:left w:val="single" w:color="auto" w:sz="4" w:space="0"/>
              <w:bottom w:val="single" w:color="auto" w:sz="4" w:space="0"/>
              <w:right w:val="single" w:color="auto" w:sz="4" w:space="0"/>
            </w:tcBorders>
            <w:vAlign w:val="center"/>
          </w:tcPr>
          <w:p w14:paraId="048F02CF">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7D6B6AE1">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30AF5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46534B3A">
            <w:pPr>
              <w:spacing w:line="240" w:lineRule="exact"/>
              <w:jc w:val="center"/>
              <w:rPr>
                <w:rFonts w:ascii="Arial" w:hAnsi="Arial" w:eastAsia="宋体" w:cs="Arial"/>
                <w:sz w:val="21"/>
                <w:szCs w:val="21"/>
                <w:u w:val="single"/>
              </w:rPr>
            </w:pPr>
            <w:r>
              <w:rPr>
                <w:rFonts w:ascii="Arial" w:hAnsi="Arial" w:eastAsia="宋体" w:cs="Arial"/>
                <w:sz w:val="21"/>
                <w:szCs w:val="21"/>
                <w:u w:val="single"/>
              </w:rPr>
              <w:t>120</w:t>
            </w:r>
          </w:p>
        </w:tc>
        <w:tc>
          <w:tcPr>
            <w:tcW w:w="652" w:type="pct"/>
            <w:tcBorders>
              <w:top w:val="single" w:color="auto" w:sz="4" w:space="0"/>
              <w:left w:val="single" w:color="auto" w:sz="4" w:space="0"/>
              <w:bottom w:val="single" w:color="auto" w:sz="4" w:space="0"/>
              <w:right w:val="single" w:color="auto" w:sz="4" w:space="0"/>
            </w:tcBorders>
            <w:vAlign w:val="center"/>
          </w:tcPr>
          <w:p w14:paraId="0479CBA3">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0.0024</w:t>
            </w:r>
          </w:p>
        </w:tc>
        <w:tc>
          <w:tcPr>
            <w:tcW w:w="653" w:type="pct"/>
            <w:tcBorders>
              <w:top w:val="single" w:color="auto" w:sz="4" w:space="0"/>
              <w:left w:val="single" w:color="auto" w:sz="4" w:space="0"/>
              <w:bottom w:val="single" w:color="auto" w:sz="4" w:space="0"/>
              <w:right w:val="single" w:color="auto" w:sz="4" w:space="0"/>
            </w:tcBorders>
            <w:vAlign w:val="center"/>
          </w:tcPr>
          <w:p w14:paraId="4F85DE57">
            <w:pPr>
              <w:spacing w:line="240" w:lineRule="exact"/>
              <w:jc w:val="center"/>
              <w:rPr>
                <w:rFonts w:ascii="Arial" w:hAnsi="Arial" w:eastAsia="宋体" w:cs="Arial"/>
                <w:sz w:val="21"/>
                <w:szCs w:val="21"/>
                <w:u w:val="single"/>
              </w:rPr>
            </w:pPr>
            <w:r>
              <w:rPr>
                <w:rFonts w:ascii="Arial" w:hAnsi="Arial" w:eastAsia="宋体" w:cs="Arial"/>
                <w:sz w:val="21"/>
                <w:szCs w:val="21"/>
                <w:u w:val="single"/>
              </w:rPr>
              <w:t>5.3724</w:t>
            </w:r>
          </w:p>
        </w:tc>
        <w:tc>
          <w:tcPr>
            <w:tcW w:w="652" w:type="pct"/>
            <w:tcBorders>
              <w:top w:val="single" w:color="auto" w:sz="4" w:space="0"/>
              <w:left w:val="single" w:color="auto" w:sz="4" w:space="0"/>
              <w:bottom w:val="single" w:color="auto" w:sz="4" w:space="0"/>
              <w:right w:val="single" w:color="auto" w:sz="4" w:space="0"/>
            </w:tcBorders>
            <w:vAlign w:val="center"/>
          </w:tcPr>
          <w:p w14:paraId="5DAF9D4D">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0.1522</w:t>
            </w:r>
          </w:p>
        </w:tc>
        <w:tc>
          <w:tcPr>
            <w:tcW w:w="653" w:type="pct"/>
            <w:tcBorders>
              <w:top w:val="single" w:color="auto" w:sz="4" w:space="0"/>
              <w:left w:val="single" w:color="auto" w:sz="4" w:space="0"/>
              <w:bottom w:val="single" w:color="auto" w:sz="4" w:space="0"/>
              <w:right w:val="single" w:color="auto" w:sz="4" w:space="0"/>
            </w:tcBorders>
            <w:vAlign w:val="center"/>
          </w:tcPr>
          <w:p w14:paraId="353269D1">
            <w:pPr>
              <w:spacing w:line="240" w:lineRule="exact"/>
              <w:jc w:val="center"/>
              <w:rPr>
                <w:rFonts w:ascii="Arial" w:hAnsi="Arial" w:eastAsia="宋体" w:cs="Arial"/>
                <w:sz w:val="21"/>
                <w:szCs w:val="21"/>
                <w:u w:val="single"/>
              </w:rPr>
            </w:pPr>
            <w:r>
              <w:rPr>
                <w:rFonts w:ascii="Arial" w:hAnsi="Arial" w:eastAsia="宋体" w:cs="Arial"/>
                <w:sz w:val="21"/>
                <w:szCs w:val="21"/>
                <w:u w:val="single"/>
              </w:rPr>
              <w:t>5.5222</w:t>
            </w:r>
          </w:p>
        </w:tc>
        <w:tc>
          <w:tcPr>
            <w:tcW w:w="652" w:type="pct"/>
            <w:tcBorders>
              <w:top w:val="single" w:color="auto" w:sz="4" w:space="0"/>
              <w:left w:val="single" w:color="auto" w:sz="4" w:space="0"/>
              <w:bottom w:val="single" w:color="auto" w:sz="4" w:space="0"/>
              <w:right w:val="single" w:color="auto" w:sz="4" w:space="0"/>
            </w:tcBorders>
            <w:vAlign w:val="center"/>
          </w:tcPr>
          <w:p w14:paraId="6A123E68">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58F1008F">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4D0C4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1252DC0">
            <w:pPr>
              <w:spacing w:line="240" w:lineRule="exact"/>
              <w:jc w:val="center"/>
              <w:rPr>
                <w:rFonts w:ascii="Arial" w:hAnsi="Arial" w:eastAsia="宋体" w:cs="Arial"/>
                <w:sz w:val="21"/>
                <w:szCs w:val="21"/>
                <w:u w:val="single"/>
              </w:rPr>
            </w:pPr>
            <w:r>
              <w:rPr>
                <w:rFonts w:ascii="Arial" w:hAnsi="Arial" w:eastAsia="宋体" w:cs="Arial"/>
                <w:sz w:val="21"/>
                <w:szCs w:val="21"/>
                <w:u w:val="single"/>
              </w:rPr>
              <w:t>140</w:t>
            </w:r>
          </w:p>
        </w:tc>
        <w:tc>
          <w:tcPr>
            <w:tcW w:w="652" w:type="pct"/>
            <w:tcBorders>
              <w:top w:val="single" w:color="auto" w:sz="4" w:space="0"/>
              <w:left w:val="single" w:color="auto" w:sz="4" w:space="0"/>
              <w:bottom w:val="single" w:color="auto" w:sz="4" w:space="0"/>
              <w:right w:val="single" w:color="auto" w:sz="4" w:space="0"/>
            </w:tcBorders>
            <w:vAlign w:val="center"/>
          </w:tcPr>
          <w:p w14:paraId="1A58FD50">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0.0001</w:t>
            </w:r>
          </w:p>
        </w:tc>
        <w:tc>
          <w:tcPr>
            <w:tcW w:w="653" w:type="pct"/>
            <w:tcBorders>
              <w:top w:val="single" w:color="auto" w:sz="4" w:space="0"/>
              <w:left w:val="single" w:color="auto" w:sz="4" w:space="0"/>
              <w:bottom w:val="single" w:color="auto" w:sz="4" w:space="0"/>
              <w:right w:val="single" w:color="auto" w:sz="4" w:space="0"/>
            </w:tcBorders>
            <w:vAlign w:val="center"/>
          </w:tcPr>
          <w:p w14:paraId="62FAA261">
            <w:pPr>
              <w:spacing w:line="240" w:lineRule="exact"/>
              <w:jc w:val="center"/>
              <w:rPr>
                <w:rFonts w:ascii="Arial" w:hAnsi="Arial" w:eastAsia="宋体" w:cs="Arial"/>
                <w:sz w:val="21"/>
                <w:szCs w:val="21"/>
                <w:u w:val="single"/>
              </w:rPr>
            </w:pPr>
            <w:r>
              <w:rPr>
                <w:rFonts w:ascii="Arial" w:hAnsi="Arial" w:eastAsia="宋体" w:cs="Arial"/>
                <w:sz w:val="21"/>
                <w:szCs w:val="21"/>
                <w:u w:val="single"/>
              </w:rPr>
              <w:t>5.3701</w:t>
            </w:r>
          </w:p>
        </w:tc>
        <w:tc>
          <w:tcPr>
            <w:tcW w:w="652" w:type="pct"/>
            <w:tcBorders>
              <w:top w:val="single" w:color="auto" w:sz="4" w:space="0"/>
              <w:left w:val="single" w:color="auto" w:sz="4" w:space="0"/>
              <w:bottom w:val="single" w:color="auto" w:sz="4" w:space="0"/>
              <w:right w:val="single" w:color="auto" w:sz="4" w:space="0"/>
            </w:tcBorders>
            <w:vAlign w:val="center"/>
          </w:tcPr>
          <w:p w14:paraId="4434458B">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0.3125</w:t>
            </w:r>
          </w:p>
        </w:tc>
        <w:tc>
          <w:tcPr>
            <w:tcW w:w="653" w:type="pct"/>
            <w:tcBorders>
              <w:top w:val="single" w:color="auto" w:sz="4" w:space="0"/>
              <w:left w:val="single" w:color="auto" w:sz="4" w:space="0"/>
              <w:bottom w:val="single" w:color="auto" w:sz="4" w:space="0"/>
              <w:right w:val="single" w:color="auto" w:sz="4" w:space="0"/>
            </w:tcBorders>
            <w:vAlign w:val="center"/>
          </w:tcPr>
          <w:p w14:paraId="245CCB53">
            <w:pPr>
              <w:spacing w:line="240" w:lineRule="exact"/>
              <w:jc w:val="center"/>
              <w:rPr>
                <w:rFonts w:ascii="Arial" w:hAnsi="Arial" w:eastAsia="宋体" w:cs="Arial"/>
                <w:sz w:val="21"/>
                <w:szCs w:val="21"/>
                <w:u w:val="single"/>
              </w:rPr>
            </w:pPr>
            <w:r>
              <w:rPr>
                <w:rFonts w:ascii="Arial" w:hAnsi="Arial" w:eastAsia="宋体" w:cs="Arial"/>
                <w:sz w:val="21"/>
                <w:szCs w:val="21"/>
                <w:u w:val="single"/>
              </w:rPr>
              <w:t>5.6825</w:t>
            </w:r>
          </w:p>
        </w:tc>
        <w:tc>
          <w:tcPr>
            <w:tcW w:w="652" w:type="pct"/>
            <w:tcBorders>
              <w:top w:val="single" w:color="auto" w:sz="4" w:space="0"/>
              <w:left w:val="single" w:color="auto" w:sz="4" w:space="0"/>
              <w:bottom w:val="single" w:color="auto" w:sz="4" w:space="0"/>
              <w:right w:val="single" w:color="auto" w:sz="4" w:space="0"/>
            </w:tcBorders>
            <w:vAlign w:val="center"/>
          </w:tcPr>
          <w:p w14:paraId="16F1033A">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371573E7">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46CC7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B4EB8F2">
            <w:pPr>
              <w:spacing w:line="240" w:lineRule="exact"/>
              <w:jc w:val="center"/>
              <w:rPr>
                <w:rFonts w:ascii="Arial" w:hAnsi="Arial" w:eastAsia="宋体" w:cs="Arial"/>
                <w:sz w:val="21"/>
                <w:szCs w:val="21"/>
                <w:u w:val="single"/>
              </w:rPr>
            </w:pPr>
            <w:r>
              <w:rPr>
                <w:rFonts w:ascii="Arial" w:hAnsi="Arial" w:eastAsia="宋体" w:cs="Arial"/>
                <w:sz w:val="21"/>
                <w:szCs w:val="21"/>
                <w:u w:val="single"/>
              </w:rPr>
              <w:t>160</w:t>
            </w:r>
          </w:p>
        </w:tc>
        <w:tc>
          <w:tcPr>
            <w:tcW w:w="652" w:type="pct"/>
            <w:tcBorders>
              <w:top w:val="single" w:color="auto" w:sz="4" w:space="0"/>
              <w:left w:val="single" w:color="auto" w:sz="4" w:space="0"/>
              <w:bottom w:val="single" w:color="auto" w:sz="4" w:space="0"/>
              <w:right w:val="single" w:color="auto" w:sz="4" w:space="0"/>
            </w:tcBorders>
            <w:vAlign w:val="center"/>
          </w:tcPr>
          <w:p w14:paraId="461A10A7">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70FDB081">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4F693CE6">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0.4877</w:t>
            </w:r>
          </w:p>
        </w:tc>
        <w:tc>
          <w:tcPr>
            <w:tcW w:w="653" w:type="pct"/>
            <w:tcBorders>
              <w:top w:val="single" w:color="auto" w:sz="4" w:space="0"/>
              <w:left w:val="single" w:color="auto" w:sz="4" w:space="0"/>
              <w:bottom w:val="single" w:color="auto" w:sz="4" w:space="0"/>
              <w:right w:val="single" w:color="auto" w:sz="4" w:space="0"/>
            </w:tcBorders>
            <w:vAlign w:val="center"/>
          </w:tcPr>
          <w:p w14:paraId="13521D19">
            <w:pPr>
              <w:spacing w:line="240" w:lineRule="exact"/>
              <w:jc w:val="center"/>
              <w:rPr>
                <w:rFonts w:ascii="Arial" w:hAnsi="Arial" w:eastAsia="宋体" w:cs="Arial"/>
                <w:sz w:val="21"/>
                <w:szCs w:val="21"/>
                <w:u w:val="single"/>
              </w:rPr>
            </w:pPr>
            <w:r>
              <w:rPr>
                <w:rFonts w:ascii="Arial" w:hAnsi="Arial" w:eastAsia="宋体" w:cs="Arial"/>
                <w:sz w:val="21"/>
                <w:szCs w:val="21"/>
                <w:u w:val="single"/>
              </w:rPr>
              <w:t>5.8577</w:t>
            </w:r>
          </w:p>
        </w:tc>
        <w:tc>
          <w:tcPr>
            <w:tcW w:w="652" w:type="pct"/>
            <w:tcBorders>
              <w:top w:val="single" w:color="auto" w:sz="4" w:space="0"/>
              <w:left w:val="single" w:color="auto" w:sz="4" w:space="0"/>
              <w:bottom w:val="single" w:color="auto" w:sz="4" w:space="0"/>
              <w:right w:val="single" w:color="auto" w:sz="4" w:space="0"/>
            </w:tcBorders>
            <w:vAlign w:val="center"/>
          </w:tcPr>
          <w:p w14:paraId="5032FDE1">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4F428A9D">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69BE4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2CCE93AE">
            <w:pPr>
              <w:spacing w:line="240" w:lineRule="exact"/>
              <w:jc w:val="center"/>
              <w:rPr>
                <w:rFonts w:ascii="Arial" w:hAnsi="Arial" w:eastAsia="宋体" w:cs="Arial"/>
                <w:sz w:val="21"/>
                <w:szCs w:val="21"/>
                <w:u w:val="single"/>
              </w:rPr>
            </w:pPr>
            <w:r>
              <w:rPr>
                <w:rFonts w:ascii="Arial" w:hAnsi="Arial" w:eastAsia="宋体" w:cs="Arial"/>
                <w:sz w:val="21"/>
                <w:szCs w:val="21"/>
                <w:u w:val="single"/>
              </w:rPr>
              <w:t>180</w:t>
            </w:r>
          </w:p>
        </w:tc>
        <w:tc>
          <w:tcPr>
            <w:tcW w:w="652" w:type="pct"/>
            <w:tcBorders>
              <w:top w:val="single" w:color="auto" w:sz="4" w:space="0"/>
              <w:left w:val="single" w:color="auto" w:sz="4" w:space="0"/>
              <w:bottom w:val="single" w:color="auto" w:sz="4" w:space="0"/>
              <w:right w:val="single" w:color="auto" w:sz="4" w:space="0"/>
            </w:tcBorders>
            <w:vAlign w:val="center"/>
          </w:tcPr>
          <w:p w14:paraId="0C044BE3">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1BDFF67E">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7A000DFF">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0.5788</w:t>
            </w:r>
          </w:p>
        </w:tc>
        <w:tc>
          <w:tcPr>
            <w:tcW w:w="653" w:type="pct"/>
            <w:tcBorders>
              <w:top w:val="single" w:color="auto" w:sz="4" w:space="0"/>
              <w:left w:val="single" w:color="auto" w:sz="4" w:space="0"/>
              <w:bottom w:val="single" w:color="auto" w:sz="4" w:space="0"/>
              <w:right w:val="single" w:color="auto" w:sz="4" w:space="0"/>
            </w:tcBorders>
            <w:vAlign w:val="center"/>
          </w:tcPr>
          <w:p w14:paraId="6F25E1C0">
            <w:pPr>
              <w:spacing w:line="240" w:lineRule="exact"/>
              <w:jc w:val="center"/>
              <w:rPr>
                <w:rFonts w:ascii="Arial" w:hAnsi="Arial" w:eastAsia="宋体" w:cs="Arial"/>
                <w:sz w:val="21"/>
                <w:szCs w:val="21"/>
                <w:u w:val="single"/>
              </w:rPr>
            </w:pPr>
            <w:r>
              <w:rPr>
                <w:rFonts w:ascii="Arial" w:hAnsi="Arial" w:eastAsia="宋体" w:cs="Arial"/>
                <w:sz w:val="21"/>
                <w:szCs w:val="21"/>
                <w:u w:val="single"/>
              </w:rPr>
              <w:t>5.9488</w:t>
            </w:r>
          </w:p>
        </w:tc>
        <w:tc>
          <w:tcPr>
            <w:tcW w:w="652" w:type="pct"/>
            <w:tcBorders>
              <w:top w:val="single" w:color="auto" w:sz="4" w:space="0"/>
              <w:left w:val="single" w:color="auto" w:sz="4" w:space="0"/>
              <w:bottom w:val="single" w:color="auto" w:sz="4" w:space="0"/>
              <w:right w:val="single" w:color="auto" w:sz="4" w:space="0"/>
            </w:tcBorders>
            <w:vAlign w:val="center"/>
          </w:tcPr>
          <w:p w14:paraId="1B52752B">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4565B42F">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079C7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43A12EF3">
            <w:pPr>
              <w:spacing w:line="240" w:lineRule="exact"/>
              <w:jc w:val="center"/>
              <w:rPr>
                <w:rFonts w:ascii="Arial" w:hAnsi="Arial" w:eastAsia="宋体" w:cs="Arial"/>
                <w:sz w:val="21"/>
                <w:szCs w:val="21"/>
                <w:u w:val="single"/>
              </w:rPr>
            </w:pPr>
            <w:r>
              <w:rPr>
                <w:rFonts w:ascii="Arial" w:hAnsi="Arial" w:eastAsia="宋体" w:cs="Arial"/>
                <w:sz w:val="21"/>
                <w:szCs w:val="21"/>
                <w:u w:val="single"/>
              </w:rPr>
              <w:t>200</w:t>
            </w:r>
          </w:p>
        </w:tc>
        <w:tc>
          <w:tcPr>
            <w:tcW w:w="652" w:type="pct"/>
            <w:tcBorders>
              <w:top w:val="single" w:color="auto" w:sz="4" w:space="0"/>
              <w:left w:val="single" w:color="auto" w:sz="4" w:space="0"/>
              <w:bottom w:val="single" w:color="auto" w:sz="4" w:space="0"/>
              <w:right w:val="single" w:color="auto" w:sz="4" w:space="0"/>
            </w:tcBorders>
            <w:vAlign w:val="center"/>
          </w:tcPr>
          <w:p w14:paraId="1992E836">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33E3217B">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2B883890">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0.5223</w:t>
            </w:r>
          </w:p>
        </w:tc>
        <w:tc>
          <w:tcPr>
            <w:tcW w:w="653" w:type="pct"/>
            <w:tcBorders>
              <w:top w:val="single" w:color="auto" w:sz="4" w:space="0"/>
              <w:left w:val="single" w:color="auto" w:sz="4" w:space="0"/>
              <w:bottom w:val="single" w:color="auto" w:sz="4" w:space="0"/>
              <w:right w:val="single" w:color="auto" w:sz="4" w:space="0"/>
            </w:tcBorders>
            <w:vAlign w:val="center"/>
          </w:tcPr>
          <w:p w14:paraId="23EEADBA">
            <w:pPr>
              <w:spacing w:line="240" w:lineRule="exact"/>
              <w:jc w:val="center"/>
              <w:rPr>
                <w:rFonts w:ascii="Arial" w:hAnsi="Arial" w:eastAsia="宋体" w:cs="Arial"/>
                <w:sz w:val="21"/>
                <w:szCs w:val="21"/>
                <w:u w:val="single"/>
              </w:rPr>
            </w:pPr>
            <w:r>
              <w:rPr>
                <w:rFonts w:ascii="Arial" w:hAnsi="Arial" w:eastAsia="宋体" w:cs="Arial"/>
                <w:sz w:val="21"/>
                <w:szCs w:val="21"/>
                <w:u w:val="single"/>
              </w:rPr>
              <w:t>5.8923</w:t>
            </w:r>
          </w:p>
        </w:tc>
        <w:tc>
          <w:tcPr>
            <w:tcW w:w="652" w:type="pct"/>
            <w:tcBorders>
              <w:top w:val="single" w:color="auto" w:sz="4" w:space="0"/>
              <w:left w:val="single" w:color="auto" w:sz="4" w:space="0"/>
              <w:bottom w:val="single" w:color="auto" w:sz="4" w:space="0"/>
              <w:right w:val="single" w:color="auto" w:sz="4" w:space="0"/>
            </w:tcBorders>
            <w:vAlign w:val="center"/>
          </w:tcPr>
          <w:p w14:paraId="168B8201">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01071425">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5C888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78B8340">
            <w:pPr>
              <w:spacing w:line="240" w:lineRule="exact"/>
              <w:jc w:val="center"/>
              <w:rPr>
                <w:rFonts w:ascii="Arial" w:hAnsi="Arial" w:eastAsia="宋体" w:cs="Arial"/>
                <w:sz w:val="21"/>
                <w:szCs w:val="21"/>
                <w:u w:val="single"/>
              </w:rPr>
            </w:pPr>
            <w:r>
              <w:rPr>
                <w:rFonts w:ascii="Arial" w:hAnsi="Arial" w:eastAsia="宋体" w:cs="Arial"/>
                <w:sz w:val="21"/>
                <w:szCs w:val="21"/>
                <w:u w:val="single"/>
              </w:rPr>
              <w:t>220</w:t>
            </w:r>
          </w:p>
        </w:tc>
        <w:tc>
          <w:tcPr>
            <w:tcW w:w="652" w:type="pct"/>
            <w:tcBorders>
              <w:top w:val="single" w:color="auto" w:sz="4" w:space="0"/>
              <w:left w:val="single" w:color="auto" w:sz="4" w:space="0"/>
              <w:bottom w:val="single" w:color="auto" w:sz="4" w:space="0"/>
              <w:right w:val="single" w:color="auto" w:sz="4" w:space="0"/>
            </w:tcBorders>
            <w:vAlign w:val="center"/>
          </w:tcPr>
          <w:p w14:paraId="5E36E31C">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7AB39BD9">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576EC0ED">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0.3583</w:t>
            </w:r>
          </w:p>
        </w:tc>
        <w:tc>
          <w:tcPr>
            <w:tcW w:w="653" w:type="pct"/>
            <w:tcBorders>
              <w:top w:val="single" w:color="auto" w:sz="4" w:space="0"/>
              <w:left w:val="single" w:color="auto" w:sz="4" w:space="0"/>
              <w:bottom w:val="single" w:color="auto" w:sz="4" w:space="0"/>
              <w:right w:val="single" w:color="auto" w:sz="4" w:space="0"/>
            </w:tcBorders>
            <w:vAlign w:val="center"/>
          </w:tcPr>
          <w:p w14:paraId="4EEC2FEB">
            <w:pPr>
              <w:spacing w:line="240" w:lineRule="exact"/>
              <w:jc w:val="center"/>
              <w:rPr>
                <w:rFonts w:ascii="Arial" w:hAnsi="Arial" w:eastAsia="宋体" w:cs="Arial"/>
                <w:sz w:val="21"/>
                <w:szCs w:val="21"/>
                <w:u w:val="single"/>
              </w:rPr>
            </w:pPr>
            <w:r>
              <w:rPr>
                <w:rFonts w:ascii="Arial" w:hAnsi="Arial" w:eastAsia="宋体" w:cs="Arial"/>
                <w:sz w:val="21"/>
                <w:szCs w:val="21"/>
                <w:u w:val="single"/>
              </w:rPr>
              <w:t>5.7283</w:t>
            </w:r>
          </w:p>
        </w:tc>
        <w:tc>
          <w:tcPr>
            <w:tcW w:w="652" w:type="pct"/>
            <w:tcBorders>
              <w:top w:val="single" w:color="auto" w:sz="4" w:space="0"/>
              <w:left w:val="single" w:color="auto" w:sz="4" w:space="0"/>
              <w:bottom w:val="single" w:color="auto" w:sz="4" w:space="0"/>
              <w:right w:val="single" w:color="auto" w:sz="4" w:space="0"/>
            </w:tcBorders>
            <w:vAlign w:val="center"/>
          </w:tcPr>
          <w:p w14:paraId="55F732D2">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07658413">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208A4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BEE3831">
            <w:pPr>
              <w:spacing w:line="240" w:lineRule="exact"/>
              <w:jc w:val="center"/>
              <w:rPr>
                <w:rFonts w:ascii="Arial" w:hAnsi="Arial" w:eastAsia="宋体" w:cs="Arial"/>
                <w:sz w:val="21"/>
                <w:szCs w:val="21"/>
                <w:u w:val="single"/>
              </w:rPr>
            </w:pPr>
            <w:r>
              <w:rPr>
                <w:rFonts w:ascii="Arial" w:hAnsi="Arial" w:eastAsia="宋体" w:cs="Arial"/>
                <w:sz w:val="21"/>
                <w:szCs w:val="21"/>
                <w:u w:val="single"/>
              </w:rPr>
              <w:t>240</w:t>
            </w:r>
          </w:p>
        </w:tc>
        <w:tc>
          <w:tcPr>
            <w:tcW w:w="652" w:type="pct"/>
            <w:tcBorders>
              <w:top w:val="single" w:color="auto" w:sz="4" w:space="0"/>
              <w:left w:val="single" w:color="auto" w:sz="4" w:space="0"/>
              <w:bottom w:val="single" w:color="auto" w:sz="4" w:space="0"/>
              <w:right w:val="single" w:color="auto" w:sz="4" w:space="0"/>
            </w:tcBorders>
            <w:vAlign w:val="center"/>
          </w:tcPr>
          <w:p w14:paraId="7CEEA5BC">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6A5919E6">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77438F74">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0.1869</w:t>
            </w:r>
          </w:p>
        </w:tc>
        <w:tc>
          <w:tcPr>
            <w:tcW w:w="653" w:type="pct"/>
            <w:tcBorders>
              <w:top w:val="single" w:color="auto" w:sz="4" w:space="0"/>
              <w:left w:val="single" w:color="auto" w:sz="4" w:space="0"/>
              <w:bottom w:val="single" w:color="auto" w:sz="4" w:space="0"/>
              <w:right w:val="single" w:color="auto" w:sz="4" w:space="0"/>
            </w:tcBorders>
            <w:vAlign w:val="center"/>
          </w:tcPr>
          <w:p w14:paraId="75E33B7D">
            <w:pPr>
              <w:spacing w:line="240" w:lineRule="exact"/>
              <w:jc w:val="center"/>
              <w:rPr>
                <w:rFonts w:ascii="Arial" w:hAnsi="Arial" w:eastAsia="宋体" w:cs="Arial"/>
                <w:sz w:val="21"/>
                <w:szCs w:val="21"/>
                <w:u w:val="single"/>
              </w:rPr>
            </w:pPr>
            <w:r>
              <w:rPr>
                <w:rFonts w:ascii="Arial" w:hAnsi="Arial" w:eastAsia="宋体" w:cs="Arial"/>
                <w:sz w:val="21"/>
                <w:szCs w:val="21"/>
                <w:u w:val="single"/>
              </w:rPr>
              <w:t>5.5569</w:t>
            </w:r>
          </w:p>
        </w:tc>
        <w:tc>
          <w:tcPr>
            <w:tcW w:w="652" w:type="pct"/>
            <w:tcBorders>
              <w:top w:val="single" w:color="auto" w:sz="4" w:space="0"/>
              <w:left w:val="single" w:color="auto" w:sz="4" w:space="0"/>
              <w:bottom w:val="single" w:color="auto" w:sz="4" w:space="0"/>
              <w:right w:val="single" w:color="auto" w:sz="4" w:space="0"/>
            </w:tcBorders>
            <w:vAlign w:val="center"/>
          </w:tcPr>
          <w:p w14:paraId="296E2F69">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0.0001</w:t>
            </w:r>
          </w:p>
        </w:tc>
        <w:tc>
          <w:tcPr>
            <w:tcW w:w="653" w:type="pct"/>
            <w:tcBorders>
              <w:top w:val="single" w:color="auto" w:sz="4" w:space="0"/>
              <w:left w:val="single" w:color="auto" w:sz="4" w:space="0"/>
              <w:bottom w:val="single" w:color="auto" w:sz="4" w:space="0"/>
              <w:right w:val="single" w:color="auto" w:sz="4" w:space="0"/>
            </w:tcBorders>
            <w:vAlign w:val="center"/>
          </w:tcPr>
          <w:p w14:paraId="031D9282">
            <w:pPr>
              <w:spacing w:line="240" w:lineRule="exact"/>
              <w:jc w:val="center"/>
              <w:rPr>
                <w:rFonts w:ascii="Arial" w:hAnsi="Arial" w:eastAsia="宋体" w:cs="Arial"/>
                <w:sz w:val="21"/>
                <w:szCs w:val="21"/>
                <w:u w:val="single"/>
              </w:rPr>
            </w:pPr>
            <w:r>
              <w:rPr>
                <w:rFonts w:ascii="Arial" w:hAnsi="Arial" w:eastAsia="宋体" w:cs="Arial"/>
                <w:sz w:val="21"/>
                <w:szCs w:val="21"/>
                <w:u w:val="single"/>
              </w:rPr>
              <w:t>5.3701</w:t>
            </w:r>
          </w:p>
        </w:tc>
      </w:tr>
      <w:tr w14:paraId="48788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3602F89">
            <w:pPr>
              <w:spacing w:line="240" w:lineRule="exact"/>
              <w:jc w:val="center"/>
              <w:rPr>
                <w:rFonts w:ascii="Arial" w:hAnsi="Arial" w:eastAsia="宋体" w:cs="Arial"/>
                <w:sz w:val="21"/>
                <w:szCs w:val="21"/>
                <w:u w:val="single"/>
              </w:rPr>
            </w:pPr>
            <w:r>
              <w:rPr>
                <w:rFonts w:ascii="Arial" w:hAnsi="Arial" w:eastAsia="宋体" w:cs="Arial"/>
                <w:sz w:val="21"/>
                <w:szCs w:val="21"/>
                <w:u w:val="single"/>
              </w:rPr>
              <w:t>260</w:t>
            </w:r>
          </w:p>
        </w:tc>
        <w:tc>
          <w:tcPr>
            <w:tcW w:w="652" w:type="pct"/>
            <w:tcBorders>
              <w:top w:val="single" w:color="auto" w:sz="4" w:space="0"/>
              <w:left w:val="single" w:color="auto" w:sz="4" w:space="0"/>
              <w:bottom w:val="single" w:color="auto" w:sz="4" w:space="0"/>
              <w:right w:val="single" w:color="auto" w:sz="4" w:space="0"/>
            </w:tcBorders>
            <w:vAlign w:val="center"/>
          </w:tcPr>
          <w:p w14:paraId="4C0C82B2">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16FEBE1C">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45CFEAAC">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0.0742</w:t>
            </w:r>
          </w:p>
        </w:tc>
        <w:tc>
          <w:tcPr>
            <w:tcW w:w="653" w:type="pct"/>
            <w:tcBorders>
              <w:top w:val="single" w:color="auto" w:sz="4" w:space="0"/>
              <w:left w:val="single" w:color="auto" w:sz="4" w:space="0"/>
              <w:bottom w:val="single" w:color="auto" w:sz="4" w:space="0"/>
              <w:right w:val="single" w:color="auto" w:sz="4" w:space="0"/>
            </w:tcBorders>
            <w:vAlign w:val="center"/>
          </w:tcPr>
          <w:p w14:paraId="546AB2A8">
            <w:pPr>
              <w:spacing w:line="240" w:lineRule="exact"/>
              <w:jc w:val="center"/>
              <w:rPr>
                <w:rFonts w:ascii="Arial" w:hAnsi="Arial" w:eastAsia="宋体" w:cs="Arial"/>
                <w:sz w:val="21"/>
                <w:szCs w:val="21"/>
                <w:u w:val="single"/>
              </w:rPr>
            </w:pPr>
            <w:r>
              <w:rPr>
                <w:rFonts w:ascii="Arial" w:hAnsi="Arial" w:eastAsia="宋体" w:cs="Arial"/>
                <w:sz w:val="21"/>
                <w:szCs w:val="21"/>
                <w:u w:val="single"/>
              </w:rPr>
              <w:t>5.4442</w:t>
            </w:r>
          </w:p>
        </w:tc>
        <w:tc>
          <w:tcPr>
            <w:tcW w:w="652" w:type="pct"/>
            <w:tcBorders>
              <w:top w:val="single" w:color="auto" w:sz="4" w:space="0"/>
              <w:left w:val="single" w:color="auto" w:sz="4" w:space="0"/>
              <w:bottom w:val="single" w:color="auto" w:sz="4" w:space="0"/>
              <w:right w:val="single" w:color="auto" w:sz="4" w:space="0"/>
            </w:tcBorders>
            <w:vAlign w:val="center"/>
          </w:tcPr>
          <w:p w14:paraId="1C54BFA2">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0.0003</w:t>
            </w:r>
          </w:p>
        </w:tc>
        <w:tc>
          <w:tcPr>
            <w:tcW w:w="653" w:type="pct"/>
            <w:tcBorders>
              <w:top w:val="single" w:color="auto" w:sz="4" w:space="0"/>
              <w:left w:val="single" w:color="auto" w:sz="4" w:space="0"/>
              <w:bottom w:val="single" w:color="auto" w:sz="4" w:space="0"/>
              <w:right w:val="single" w:color="auto" w:sz="4" w:space="0"/>
            </w:tcBorders>
            <w:vAlign w:val="center"/>
          </w:tcPr>
          <w:p w14:paraId="7A487334">
            <w:pPr>
              <w:spacing w:line="240" w:lineRule="exact"/>
              <w:jc w:val="center"/>
              <w:rPr>
                <w:rFonts w:ascii="Arial" w:hAnsi="Arial" w:eastAsia="宋体" w:cs="Arial"/>
                <w:sz w:val="21"/>
                <w:szCs w:val="21"/>
                <w:u w:val="single"/>
              </w:rPr>
            </w:pPr>
            <w:r>
              <w:rPr>
                <w:rFonts w:ascii="Arial" w:hAnsi="Arial" w:eastAsia="宋体" w:cs="Arial"/>
                <w:sz w:val="21"/>
                <w:szCs w:val="21"/>
                <w:u w:val="single"/>
              </w:rPr>
              <w:t>5.3703</w:t>
            </w:r>
          </w:p>
        </w:tc>
      </w:tr>
      <w:tr w14:paraId="0D4E5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389A00D">
            <w:pPr>
              <w:spacing w:line="240" w:lineRule="exact"/>
              <w:jc w:val="center"/>
              <w:rPr>
                <w:rFonts w:ascii="Arial" w:hAnsi="Arial" w:eastAsia="宋体" w:cs="Arial"/>
                <w:sz w:val="21"/>
                <w:szCs w:val="21"/>
                <w:u w:val="single"/>
              </w:rPr>
            </w:pPr>
            <w:r>
              <w:rPr>
                <w:rFonts w:ascii="Arial" w:hAnsi="Arial" w:eastAsia="宋体" w:cs="Arial"/>
                <w:sz w:val="21"/>
                <w:szCs w:val="21"/>
                <w:u w:val="single"/>
              </w:rPr>
              <w:t>280</w:t>
            </w:r>
          </w:p>
        </w:tc>
        <w:tc>
          <w:tcPr>
            <w:tcW w:w="652" w:type="pct"/>
            <w:tcBorders>
              <w:top w:val="single" w:color="auto" w:sz="4" w:space="0"/>
              <w:left w:val="single" w:color="auto" w:sz="4" w:space="0"/>
              <w:bottom w:val="single" w:color="auto" w:sz="4" w:space="0"/>
              <w:right w:val="single" w:color="auto" w:sz="4" w:space="0"/>
            </w:tcBorders>
            <w:vAlign w:val="center"/>
          </w:tcPr>
          <w:p w14:paraId="61CDE930">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3377C7CE">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1538FCDC">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0.0224</w:t>
            </w:r>
          </w:p>
        </w:tc>
        <w:tc>
          <w:tcPr>
            <w:tcW w:w="653" w:type="pct"/>
            <w:tcBorders>
              <w:top w:val="single" w:color="auto" w:sz="4" w:space="0"/>
              <w:left w:val="single" w:color="auto" w:sz="4" w:space="0"/>
              <w:bottom w:val="single" w:color="auto" w:sz="4" w:space="0"/>
              <w:right w:val="single" w:color="auto" w:sz="4" w:space="0"/>
            </w:tcBorders>
            <w:vAlign w:val="center"/>
          </w:tcPr>
          <w:p w14:paraId="4649414A">
            <w:pPr>
              <w:spacing w:line="240" w:lineRule="exact"/>
              <w:jc w:val="center"/>
              <w:rPr>
                <w:rFonts w:ascii="Arial" w:hAnsi="Arial" w:eastAsia="宋体" w:cs="Arial"/>
                <w:sz w:val="21"/>
                <w:szCs w:val="21"/>
                <w:u w:val="single"/>
              </w:rPr>
            </w:pPr>
            <w:r>
              <w:rPr>
                <w:rFonts w:ascii="Arial" w:hAnsi="Arial" w:eastAsia="宋体" w:cs="Arial"/>
                <w:sz w:val="21"/>
                <w:szCs w:val="21"/>
                <w:u w:val="single"/>
              </w:rPr>
              <w:t>5.3924</w:t>
            </w:r>
          </w:p>
        </w:tc>
        <w:tc>
          <w:tcPr>
            <w:tcW w:w="652" w:type="pct"/>
            <w:tcBorders>
              <w:top w:val="single" w:color="auto" w:sz="4" w:space="0"/>
              <w:left w:val="single" w:color="auto" w:sz="4" w:space="0"/>
              <w:bottom w:val="single" w:color="auto" w:sz="4" w:space="0"/>
              <w:right w:val="single" w:color="auto" w:sz="4" w:space="0"/>
            </w:tcBorders>
            <w:vAlign w:val="center"/>
          </w:tcPr>
          <w:p w14:paraId="035A84A9">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0.0008</w:t>
            </w:r>
          </w:p>
        </w:tc>
        <w:tc>
          <w:tcPr>
            <w:tcW w:w="653" w:type="pct"/>
            <w:tcBorders>
              <w:top w:val="single" w:color="auto" w:sz="4" w:space="0"/>
              <w:left w:val="single" w:color="auto" w:sz="4" w:space="0"/>
              <w:bottom w:val="single" w:color="auto" w:sz="4" w:space="0"/>
              <w:right w:val="single" w:color="auto" w:sz="4" w:space="0"/>
            </w:tcBorders>
            <w:vAlign w:val="center"/>
          </w:tcPr>
          <w:p w14:paraId="429FF387">
            <w:pPr>
              <w:spacing w:line="240" w:lineRule="exact"/>
              <w:jc w:val="center"/>
              <w:rPr>
                <w:rFonts w:ascii="Arial" w:hAnsi="Arial" w:eastAsia="宋体" w:cs="Arial"/>
                <w:sz w:val="21"/>
                <w:szCs w:val="21"/>
                <w:u w:val="single"/>
              </w:rPr>
            </w:pPr>
            <w:r>
              <w:rPr>
                <w:rFonts w:ascii="Arial" w:hAnsi="Arial" w:eastAsia="宋体" w:cs="Arial"/>
                <w:sz w:val="21"/>
                <w:szCs w:val="21"/>
                <w:u w:val="single"/>
              </w:rPr>
              <w:t>5.3708</w:t>
            </w:r>
          </w:p>
        </w:tc>
      </w:tr>
      <w:tr w14:paraId="7D275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2139FAF">
            <w:pPr>
              <w:spacing w:line="240" w:lineRule="exact"/>
              <w:jc w:val="center"/>
              <w:rPr>
                <w:rFonts w:ascii="Arial" w:hAnsi="Arial" w:eastAsia="宋体" w:cs="Arial"/>
                <w:sz w:val="21"/>
                <w:szCs w:val="21"/>
                <w:u w:val="single"/>
              </w:rPr>
            </w:pPr>
            <w:r>
              <w:rPr>
                <w:rFonts w:ascii="Arial" w:hAnsi="Arial" w:eastAsia="宋体" w:cs="Arial"/>
                <w:sz w:val="21"/>
                <w:szCs w:val="21"/>
                <w:u w:val="single"/>
              </w:rPr>
              <w:t>300</w:t>
            </w:r>
          </w:p>
        </w:tc>
        <w:tc>
          <w:tcPr>
            <w:tcW w:w="652" w:type="pct"/>
            <w:tcBorders>
              <w:top w:val="single" w:color="auto" w:sz="4" w:space="0"/>
              <w:left w:val="single" w:color="auto" w:sz="4" w:space="0"/>
              <w:bottom w:val="single" w:color="auto" w:sz="4" w:space="0"/>
              <w:right w:val="single" w:color="auto" w:sz="4" w:space="0"/>
            </w:tcBorders>
            <w:vAlign w:val="center"/>
          </w:tcPr>
          <w:p w14:paraId="15E1A616">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0CAD6599">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731F5C9F">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0.0051</w:t>
            </w:r>
          </w:p>
        </w:tc>
        <w:tc>
          <w:tcPr>
            <w:tcW w:w="653" w:type="pct"/>
            <w:tcBorders>
              <w:top w:val="single" w:color="auto" w:sz="4" w:space="0"/>
              <w:left w:val="single" w:color="auto" w:sz="4" w:space="0"/>
              <w:bottom w:val="single" w:color="auto" w:sz="4" w:space="0"/>
              <w:right w:val="single" w:color="auto" w:sz="4" w:space="0"/>
            </w:tcBorders>
            <w:vAlign w:val="center"/>
          </w:tcPr>
          <w:p w14:paraId="153128E4">
            <w:pPr>
              <w:spacing w:line="240" w:lineRule="exact"/>
              <w:jc w:val="center"/>
              <w:rPr>
                <w:rFonts w:ascii="Arial" w:hAnsi="Arial" w:eastAsia="宋体" w:cs="Arial"/>
                <w:sz w:val="21"/>
                <w:szCs w:val="21"/>
                <w:u w:val="single"/>
              </w:rPr>
            </w:pPr>
            <w:r>
              <w:rPr>
                <w:rFonts w:ascii="Arial" w:hAnsi="Arial" w:eastAsia="宋体" w:cs="Arial"/>
                <w:sz w:val="21"/>
                <w:szCs w:val="21"/>
                <w:u w:val="single"/>
              </w:rPr>
              <w:t>5.3751</w:t>
            </w:r>
          </w:p>
        </w:tc>
        <w:tc>
          <w:tcPr>
            <w:tcW w:w="652" w:type="pct"/>
            <w:tcBorders>
              <w:top w:val="single" w:color="auto" w:sz="4" w:space="0"/>
              <w:left w:val="single" w:color="auto" w:sz="4" w:space="0"/>
              <w:bottom w:val="single" w:color="auto" w:sz="4" w:space="0"/>
              <w:right w:val="single" w:color="auto" w:sz="4" w:space="0"/>
            </w:tcBorders>
            <w:vAlign w:val="center"/>
          </w:tcPr>
          <w:p w14:paraId="19FA6050">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0.0024</w:t>
            </w:r>
          </w:p>
        </w:tc>
        <w:tc>
          <w:tcPr>
            <w:tcW w:w="653" w:type="pct"/>
            <w:tcBorders>
              <w:top w:val="single" w:color="auto" w:sz="4" w:space="0"/>
              <w:left w:val="single" w:color="auto" w:sz="4" w:space="0"/>
              <w:bottom w:val="single" w:color="auto" w:sz="4" w:space="0"/>
              <w:right w:val="single" w:color="auto" w:sz="4" w:space="0"/>
            </w:tcBorders>
            <w:vAlign w:val="center"/>
          </w:tcPr>
          <w:p w14:paraId="354D9A5B">
            <w:pPr>
              <w:spacing w:line="240" w:lineRule="exact"/>
              <w:jc w:val="center"/>
              <w:rPr>
                <w:rFonts w:ascii="Arial" w:hAnsi="Arial" w:eastAsia="宋体" w:cs="Arial"/>
                <w:sz w:val="21"/>
                <w:szCs w:val="21"/>
                <w:u w:val="single"/>
              </w:rPr>
            </w:pPr>
            <w:r>
              <w:rPr>
                <w:rFonts w:ascii="Arial" w:hAnsi="Arial" w:eastAsia="宋体" w:cs="Arial"/>
                <w:sz w:val="21"/>
                <w:szCs w:val="21"/>
                <w:u w:val="single"/>
              </w:rPr>
              <w:t>5.3724</w:t>
            </w:r>
          </w:p>
        </w:tc>
      </w:tr>
      <w:tr w14:paraId="75750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A6F1AE6">
            <w:pPr>
              <w:spacing w:line="240" w:lineRule="exact"/>
              <w:jc w:val="center"/>
              <w:rPr>
                <w:rFonts w:ascii="Arial" w:hAnsi="Arial" w:eastAsia="宋体" w:cs="Arial"/>
                <w:sz w:val="21"/>
                <w:szCs w:val="21"/>
                <w:u w:val="single"/>
              </w:rPr>
            </w:pPr>
            <w:r>
              <w:rPr>
                <w:rFonts w:ascii="Arial" w:hAnsi="Arial" w:eastAsia="宋体" w:cs="Arial"/>
                <w:sz w:val="21"/>
                <w:szCs w:val="21"/>
                <w:u w:val="single"/>
              </w:rPr>
              <w:t>320</w:t>
            </w:r>
          </w:p>
        </w:tc>
        <w:tc>
          <w:tcPr>
            <w:tcW w:w="652" w:type="pct"/>
            <w:tcBorders>
              <w:top w:val="single" w:color="auto" w:sz="4" w:space="0"/>
              <w:left w:val="single" w:color="auto" w:sz="4" w:space="0"/>
              <w:bottom w:val="single" w:color="auto" w:sz="4" w:space="0"/>
              <w:right w:val="single" w:color="auto" w:sz="4" w:space="0"/>
            </w:tcBorders>
            <w:vAlign w:val="center"/>
          </w:tcPr>
          <w:p w14:paraId="4367E8DC">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045D0AB4">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00705983">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0.0009</w:t>
            </w:r>
          </w:p>
        </w:tc>
        <w:tc>
          <w:tcPr>
            <w:tcW w:w="653" w:type="pct"/>
            <w:tcBorders>
              <w:top w:val="single" w:color="auto" w:sz="4" w:space="0"/>
              <w:left w:val="single" w:color="auto" w:sz="4" w:space="0"/>
              <w:bottom w:val="single" w:color="auto" w:sz="4" w:space="0"/>
              <w:right w:val="single" w:color="auto" w:sz="4" w:space="0"/>
            </w:tcBorders>
            <w:vAlign w:val="center"/>
          </w:tcPr>
          <w:p w14:paraId="712699F4">
            <w:pPr>
              <w:spacing w:line="240" w:lineRule="exact"/>
              <w:jc w:val="center"/>
              <w:rPr>
                <w:rFonts w:ascii="Arial" w:hAnsi="Arial" w:eastAsia="宋体" w:cs="Arial"/>
                <w:sz w:val="21"/>
                <w:szCs w:val="21"/>
                <w:u w:val="single"/>
              </w:rPr>
            </w:pPr>
            <w:r>
              <w:rPr>
                <w:rFonts w:ascii="Arial" w:hAnsi="Arial" w:eastAsia="宋体" w:cs="Arial"/>
                <w:sz w:val="21"/>
                <w:szCs w:val="21"/>
                <w:u w:val="single"/>
              </w:rPr>
              <w:t>5.3709</w:t>
            </w:r>
          </w:p>
        </w:tc>
        <w:tc>
          <w:tcPr>
            <w:tcW w:w="652" w:type="pct"/>
            <w:tcBorders>
              <w:top w:val="single" w:color="auto" w:sz="4" w:space="0"/>
              <w:left w:val="single" w:color="auto" w:sz="4" w:space="0"/>
              <w:bottom w:val="single" w:color="auto" w:sz="4" w:space="0"/>
              <w:right w:val="single" w:color="auto" w:sz="4" w:space="0"/>
            </w:tcBorders>
            <w:vAlign w:val="center"/>
          </w:tcPr>
          <w:p w14:paraId="70ED1BA7">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0.0061</w:t>
            </w:r>
          </w:p>
        </w:tc>
        <w:tc>
          <w:tcPr>
            <w:tcW w:w="653" w:type="pct"/>
            <w:tcBorders>
              <w:top w:val="single" w:color="auto" w:sz="4" w:space="0"/>
              <w:left w:val="single" w:color="auto" w:sz="4" w:space="0"/>
              <w:bottom w:val="single" w:color="auto" w:sz="4" w:space="0"/>
              <w:right w:val="single" w:color="auto" w:sz="4" w:space="0"/>
            </w:tcBorders>
            <w:vAlign w:val="center"/>
          </w:tcPr>
          <w:p w14:paraId="534ABE58">
            <w:pPr>
              <w:spacing w:line="240" w:lineRule="exact"/>
              <w:jc w:val="center"/>
              <w:rPr>
                <w:rFonts w:ascii="Arial" w:hAnsi="Arial" w:eastAsia="宋体" w:cs="Arial"/>
                <w:sz w:val="21"/>
                <w:szCs w:val="21"/>
                <w:u w:val="single"/>
              </w:rPr>
            </w:pPr>
            <w:r>
              <w:rPr>
                <w:rFonts w:ascii="Arial" w:hAnsi="Arial" w:eastAsia="宋体" w:cs="Arial"/>
                <w:sz w:val="21"/>
                <w:szCs w:val="21"/>
                <w:u w:val="single"/>
              </w:rPr>
              <w:t>5.3761</w:t>
            </w:r>
          </w:p>
        </w:tc>
      </w:tr>
      <w:tr w14:paraId="243E4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25821A2B">
            <w:pPr>
              <w:spacing w:line="240" w:lineRule="exact"/>
              <w:jc w:val="center"/>
              <w:rPr>
                <w:rFonts w:ascii="Arial" w:hAnsi="Arial" w:eastAsia="宋体" w:cs="Arial"/>
                <w:sz w:val="21"/>
                <w:szCs w:val="21"/>
                <w:u w:val="single"/>
              </w:rPr>
            </w:pPr>
            <w:r>
              <w:rPr>
                <w:rFonts w:ascii="Arial" w:hAnsi="Arial" w:eastAsia="宋体" w:cs="Arial"/>
                <w:sz w:val="21"/>
                <w:szCs w:val="21"/>
                <w:u w:val="single"/>
              </w:rPr>
              <w:t>340</w:t>
            </w:r>
          </w:p>
        </w:tc>
        <w:tc>
          <w:tcPr>
            <w:tcW w:w="652" w:type="pct"/>
            <w:tcBorders>
              <w:top w:val="single" w:color="auto" w:sz="4" w:space="0"/>
              <w:left w:val="single" w:color="auto" w:sz="4" w:space="0"/>
              <w:bottom w:val="single" w:color="auto" w:sz="4" w:space="0"/>
              <w:right w:val="single" w:color="auto" w:sz="4" w:space="0"/>
            </w:tcBorders>
            <w:vAlign w:val="center"/>
          </w:tcPr>
          <w:p w14:paraId="0B32AB2E">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31DDC919">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24787F34">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0.0001</w:t>
            </w:r>
          </w:p>
        </w:tc>
        <w:tc>
          <w:tcPr>
            <w:tcW w:w="653" w:type="pct"/>
            <w:tcBorders>
              <w:top w:val="single" w:color="auto" w:sz="4" w:space="0"/>
              <w:left w:val="single" w:color="auto" w:sz="4" w:space="0"/>
              <w:bottom w:val="single" w:color="auto" w:sz="4" w:space="0"/>
              <w:right w:val="single" w:color="auto" w:sz="4" w:space="0"/>
            </w:tcBorders>
            <w:vAlign w:val="center"/>
          </w:tcPr>
          <w:p w14:paraId="3DB4AD6E">
            <w:pPr>
              <w:spacing w:line="240" w:lineRule="exact"/>
              <w:jc w:val="center"/>
              <w:rPr>
                <w:rFonts w:ascii="Arial" w:hAnsi="Arial" w:eastAsia="宋体" w:cs="Arial"/>
                <w:sz w:val="21"/>
                <w:szCs w:val="21"/>
                <w:u w:val="single"/>
              </w:rPr>
            </w:pPr>
            <w:r>
              <w:rPr>
                <w:rFonts w:ascii="Arial" w:hAnsi="Arial" w:eastAsia="宋体" w:cs="Arial"/>
                <w:sz w:val="21"/>
                <w:szCs w:val="21"/>
                <w:u w:val="single"/>
              </w:rPr>
              <w:t>5.3701</w:t>
            </w:r>
          </w:p>
        </w:tc>
        <w:tc>
          <w:tcPr>
            <w:tcW w:w="652" w:type="pct"/>
            <w:tcBorders>
              <w:top w:val="single" w:color="auto" w:sz="4" w:space="0"/>
              <w:left w:val="single" w:color="auto" w:sz="4" w:space="0"/>
              <w:bottom w:val="single" w:color="auto" w:sz="4" w:space="0"/>
              <w:right w:val="single" w:color="auto" w:sz="4" w:space="0"/>
            </w:tcBorders>
            <w:vAlign w:val="center"/>
          </w:tcPr>
          <w:p w14:paraId="576E2FFF">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0.0143</w:t>
            </w:r>
          </w:p>
        </w:tc>
        <w:tc>
          <w:tcPr>
            <w:tcW w:w="653" w:type="pct"/>
            <w:tcBorders>
              <w:top w:val="single" w:color="auto" w:sz="4" w:space="0"/>
              <w:left w:val="single" w:color="auto" w:sz="4" w:space="0"/>
              <w:bottom w:val="single" w:color="auto" w:sz="4" w:space="0"/>
              <w:right w:val="single" w:color="auto" w:sz="4" w:space="0"/>
            </w:tcBorders>
            <w:vAlign w:val="center"/>
          </w:tcPr>
          <w:p w14:paraId="39343E13">
            <w:pPr>
              <w:spacing w:line="240" w:lineRule="exact"/>
              <w:jc w:val="center"/>
              <w:rPr>
                <w:rFonts w:ascii="Arial" w:hAnsi="Arial" w:eastAsia="宋体" w:cs="Arial"/>
                <w:sz w:val="21"/>
                <w:szCs w:val="21"/>
                <w:u w:val="single"/>
              </w:rPr>
            </w:pPr>
            <w:r>
              <w:rPr>
                <w:rFonts w:ascii="Arial" w:hAnsi="Arial" w:eastAsia="宋体" w:cs="Arial"/>
                <w:sz w:val="21"/>
                <w:szCs w:val="21"/>
                <w:u w:val="single"/>
              </w:rPr>
              <w:t>5.3843</w:t>
            </w:r>
          </w:p>
        </w:tc>
      </w:tr>
      <w:tr w14:paraId="17318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3A050DA">
            <w:pPr>
              <w:spacing w:line="240" w:lineRule="exact"/>
              <w:jc w:val="center"/>
              <w:rPr>
                <w:rFonts w:ascii="Arial" w:hAnsi="Arial" w:eastAsia="宋体" w:cs="Arial"/>
                <w:sz w:val="21"/>
                <w:szCs w:val="21"/>
                <w:u w:val="single"/>
              </w:rPr>
            </w:pPr>
            <w:r>
              <w:rPr>
                <w:rFonts w:ascii="Arial" w:hAnsi="Arial" w:eastAsia="宋体" w:cs="Arial"/>
                <w:sz w:val="21"/>
                <w:szCs w:val="21"/>
                <w:u w:val="single"/>
              </w:rPr>
              <w:t>400</w:t>
            </w:r>
          </w:p>
        </w:tc>
        <w:tc>
          <w:tcPr>
            <w:tcW w:w="652" w:type="pct"/>
            <w:tcBorders>
              <w:top w:val="single" w:color="auto" w:sz="4" w:space="0"/>
              <w:left w:val="single" w:color="auto" w:sz="4" w:space="0"/>
              <w:bottom w:val="single" w:color="auto" w:sz="4" w:space="0"/>
              <w:right w:val="single" w:color="auto" w:sz="4" w:space="0"/>
            </w:tcBorders>
            <w:vAlign w:val="center"/>
          </w:tcPr>
          <w:p w14:paraId="384A74F7">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1B76034C">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19692CBD">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72E615FD">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7FE6881D">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0.1004</w:t>
            </w:r>
          </w:p>
        </w:tc>
        <w:tc>
          <w:tcPr>
            <w:tcW w:w="653" w:type="pct"/>
            <w:tcBorders>
              <w:top w:val="single" w:color="auto" w:sz="4" w:space="0"/>
              <w:left w:val="single" w:color="auto" w:sz="4" w:space="0"/>
              <w:bottom w:val="single" w:color="auto" w:sz="4" w:space="0"/>
              <w:right w:val="single" w:color="auto" w:sz="4" w:space="0"/>
            </w:tcBorders>
            <w:vAlign w:val="center"/>
          </w:tcPr>
          <w:p w14:paraId="4A00AE74">
            <w:pPr>
              <w:spacing w:line="240" w:lineRule="exact"/>
              <w:jc w:val="center"/>
              <w:rPr>
                <w:rFonts w:ascii="Arial" w:hAnsi="Arial" w:eastAsia="宋体" w:cs="Arial"/>
                <w:sz w:val="21"/>
                <w:szCs w:val="21"/>
                <w:u w:val="single"/>
              </w:rPr>
            </w:pPr>
            <w:r>
              <w:rPr>
                <w:rFonts w:ascii="Arial" w:hAnsi="Arial" w:eastAsia="宋体" w:cs="Arial"/>
                <w:sz w:val="21"/>
                <w:szCs w:val="21"/>
                <w:u w:val="single"/>
              </w:rPr>
              <w:t>5.4704</w:t>
            </w:r>
          </w:p>
        </w:tc>
      </w:tr>
      <w:tr w14:paraId="75367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1A05CD1">
            <w:pPr>
              <w:spacing w:line="240" w:lineRule="exact"/>
              <w:jc w:val="center"/>
              <w:rPr>
                <w:rFonts w:ascii="Arial" w:hAnsi="Arial" w:eastAsia="宋体" w:cs="Arial"/>
                <w:sz w:val="21"/>
                <w:szCs w:val="21"/>
                <w:u w:val="single"/>
              </w:rPr>
            </w:pPr>
            <w:r>
              <w:rPr>
                <w:rFonts w:ascii="Arial" w:hAnsi="Arial" w:eastAsia="宋体" w:cs="Arial"/>
                <w:sz w:val="21"/>
                <w:szCs w:val="21"/>
                <w:u w:val="single"/>
              </w:rPr>
              <w:t>500</w:t>
            </w:r>
          </w:p>
        </w:tc>
        <w:tc>
          <w:tcPr>
            <w:tcW w:w="652" w:type="pct"/>
            <w:tcBorders>
              <w:top w:val="single" w:color="auto" w:sz="4" w:space="0"/>
              <w:left w:val="single" w:color="auto" w:sz="4" w:space="0"/>
              <w:bottom w:val="single" w:color="auto" w:sz="4" w:space="0"/>
              <w:right w:val="single" w:color="auto" w:sz="4" w:space="0"/>
            </w:tcBorders>
            <w:vAlign w:val="center"/>
          </w:tcPr>
          <w:p w14:paraId="60159FB5">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389CBE2B">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7038422C">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394F87EC">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3B1E3EFA">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0.3505</w:t>
            </w:r>
          </w:p>
        </w:tc>
        <w:tc>
          <w:tcPr>
            <w:tcW w:w="653" w:type="pct"/>
            <w:tcBorders>
              <w:top w:val="single" w:color="auto" w:sz="4" w:space="0"/>
              <w:left w:val="single" w:color="auto" w:sz="4" w:space="0"/>
              <w:bottom w:val="single" w:color="auto" w:sz="4" w:space="0"/>
              <w:right w:val="single" w:color="auto" w:sz="4" w:space="0"/>
            </w:tcBorders>
            <w:vAlign w:val="center"/>
          </w:tcPr>
          <w:p w14:paraId="1262D949">
            <w:pPr>
              <w:spacing w:line="240" w:lineRule="exact"/>
              <w:jc w:val="center"/>
              <w:rPr>
                <w:rFonts w:ascii="Arial" w:hAnsi="Arial" w:eastAsia="宋体" w:cs="Arial"/>
                <w:sz w:val="21"/>
                <w:szCs w:val="21"/>
                <w:u w:val="single"/>
              </w:rPr>
            </w:pPr>
            <w:r>
              <w:rPr>
                <w:rFonts w:ascii="Arial" w:hAnsi="Arial" w:eastAsia="宋体" w:cs="Arial"/>
                <w:sz w:val="21"/>
                <w:szCs w:val="21"/>
                <w:u w:val="single"/>
              </w:rPr>
              <w:t>5.7205</w:t>
            </w:r>
          </w:p>
        </w:tc>
      </w:tr>
      <w:tr w14:paraId="17E57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46A156BD">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6</w:t>
            </w:r>
            <w:r>
              <w:rPr>
                <w:rFonts w:ascii="Arial" w:hAnsi="Arial" w:eastAsia="宋体" w:cs="Arial"/>
                <w:sz w:val="21"/>
                <w:szCs w:val="21"/>
                <w:u w:val="single"/>
              </w:rPr>
              <w:t>00</w:t>
            </w:r>
          </w:p>
        </w:tc>
        <w:tc>
          <w:tcPr>
            <w:tcW w:w="652" w:type="pct"/>
            <w:tcBorders>
              <w:top w:val="single" w:color="auto" w:sz="4" w:space="0"/>
              <w:left w:val="single" w:color="auto" w:sz="4" w:space="0"/>
              <w:bottom w:val="single" w:color="auto" w:sz="4" w:space="0"/>
              <w:right w:val="single" w:color="auto" w:sz="4" w:space="0"/>
            </w:tcBorders>
            <w:vAlign w:val="center"/>
          </w:tcPr>
          <w:p w14:paraId="36896C00">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5100FF96">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2E59F130">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4B869428">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04EE9495">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0.1004</w:t>
            </w:r>
          </w:p>
        </w:tc>
        <w:tc>
          <w:tcPr>
            <w:tcW w:w="653" w:type="pct"/>
            <w:tcBorders>
              <w:top w:val="single" w:color="auto" w:sz="4" w:space="0"/>
              <w:left w:val="single" w:color="auto" w:sz="4" w:space="0"/>
              <w:bottom w:val="single" w:color="auto" w:sz="4" w:space="0"/>
              <w:right w:val="single" w:color="auto" w:sz="4" w:space="0"/>
            </w:tcBorders>
            <w:vAlign w:val="center"/>
          </w:tcPr>
          <w:p w14:paraId="4FC6C7A2">
            <w:pPr>
              <w:spacing w:line="240" w:lineRule="exact"/>
              <w:jc w:val="center"/>
              <w:rPr>
                <w:rFonts w:ascii="Arial" w:hAnsi="Arial" w:eastAsia="宋体" w:cs="Arial"/>
                <w:sz w:val="21"/>
                <w:szCs w:val="21"/>
                <w:u w:val="single"/>
              </w:rPr>
            </w:pPr>
            <w:r>
              <w:rPr>
                <w:rFonts w:ascii="Arial" w:hAnsi="Arial" w:eastAsia="宋体" w:cs="Arial"/>
                <w:sz w:val="21"/>
                <w:szCs w:val="21"/>
                <w:u w:val="single"/>
              </w:rPr>
              <w:t>5.4704</w:t>
            </w:r>
          </w:p>
        </w:tc>
      </w:tr>
      <w:tr w14:paraId="357B7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84CEC5E">
            <w:pPr>
              <w:spacing w:line="240" w:lineRule="exact"/>
              <w:jc w:val="center"/>
              <w:rPr>
                <w:rFonts w:ascii="Arial" w:hAnsi="Arial" w:eastAsia="宋体" w:cs="Arial"/>
                <w:sz w:val="21"/>
                <w:szCs w:val="21"/>
                <w:u w:val="single"/>
              </w:rPr>
            </w:pPr>
            <w:r>
              <w:rPr>
                <w:rFonts w:ascii="Arial" w:hAnsi="Arial" w:eastAsia="宋体" w:cs="Arial"/>
                <w:sz w:val="21"/>
                <w:szCs w:val="21"/>
                <w:u w:val="single"/>
              </w:rPr>
              <w:t>1000</w:t>
            </w:r>
          </w:p>
        </w:tc>
        <w:tc>
          <w:tcPr>
            <w:tcW w:w="652" w:type="pct"/>
            <w:tcBorders>
              <w:top w:val="single" w:color="auto" w:sz="4" w:space="0"/>
              <w:left w:val="single" w:color="auto" w:sz="4" w:space="0"/>
              <w:bottom w:val="single" w:color="auto" w:sz="4" w:space="0"/>
              <w:right w:val="single" w:color="auto" w:sz="4" w:space="0"/>
            </w:tcBorders>
            <w:vAlign w:val="center"/>
          </w:tcPr>
          <w:p w14:paraId="1A14B2E2">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271F4EB0">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771A6D75">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4BE61232">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5454E932">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5883059E">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2E15F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BD78115">
            <w:pPr>
              <w:spacing w:line="240" w:lineRule="exact"/>
              <w:jc w:val="center"/>
              <w:rPr>
                <w:rFonts w:ascii="Arial" w:hAnsi="Arial" w:eastAsia="宋体" w:cs="Arial"/>
                <w:sz w:val="21"/>
                <w:szCs w:val="21"/>
                <w:u w:val="single"/>
              </w:rPr>
            </w:pPr>
            <w:r>
              <w:rPr>
                <w:rFonts w:ascii="Arial" w:hAnsi="Arial" w:eastAsia="宋体" w:cs="Arial"/>
                <w:sz w:val="21"/>
                <w:szCs w:val="21"/>
                <w:u w:val="single"/>
              </w:rPr>
              <w:t>1200</w:t>
            </w:r>
          </w:p>
        </w:tc>
        <w:tc>
          <w:tcPr>
            <w:tcW w:w="652" w:type="pct"/>
            <w:tcBorders>
              <w:top w:val="single" w:color="auto" w:sz="4" w:space="0"/>
              <w:left w:val="single" w:color="auto" w:sz="4" w:space="0"/>
              <w:bottom w:val="single" w:color="auto" w:sz="4" w:space="0"/>
              <w:right w:val="single" w:color="auto" w:sz="4" w:space="0"/>
            </w:tcBorders>
            <w:vAlign w:val="center"/>
          </w:tcPr>
          <w:p w14:paraId="757FFBEF">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49F102F3">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3E0AF952">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460B9ED9">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46D9BF6D">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2A919536">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r w14:paraId="27063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CFA84C5">
            <w:pPr>
              <w:spacing w:line="240" w:lineRule="exact"/>
              <w:jc w:val="center"/>
              <w:rPr>
                <w:rFonts w:ascii="Arial" w:hAnsi="Arial" w:eastAsia="宋体" w:cs="Arial"/>
                <w:sz w:val="21"/>
                <w:szCs w:val="21"/>
                <w:u w:val="single"/>
              </w:rPr>
            </w:pPr>
            <w:r>
              <w:rPr>
                <w:rFonts w:hint="eastAsia" w:ascii="Arial" w:hAnsi="Arial" w:eastAsia="宋体" w:cs="Arial"/>
                <w:sz w:val="21"/>
                <w:szCs w:val="21"/>
                <w:u w:val="single"/>
              </w:rPr>
              <w:t>1700</w:t>
            </w:r>
          </w:p>
        </w:tc>
        <w:tc>
          <w:tcPr>
            <w:tcW w:w="652" w:type="pct"/>
            <w:tcBorders>
              <w:top w:val="single" w:color="auto" w:sz="4" w:space="0"/>
              <w:left w:val="single" w:color="auto" w:sz="4" w:space="0"/>
              <w:bottom w:val="single" w:color="auto" w:sz="4" w:space="0"/>
              <w:right w:val="single" w:color="auto" w:sz="4" w:space="0"/>
            </w:tcBorders>
            <w:vAlign w:val="center"/>
          </w:tcPr>
          <w:p w14:paraId="51C42F4A">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6E570CC9">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1C92723C">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39351AF9">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c>
          <w:tcPr>
            <w:tcW w:w="652" w:type="pct"/>
            <w:tcBorders>
              <w:top w:val="single" w:color="auto" w:sz="4" w:space="0"/>
              <w:left w:val="single" w:color="auto" w:sz="4" w:space="0"/>
              <w:bottom w:val="single" w:color="auto" w:sz="4" w:space="0"/>
              <w:right w:val="single" w:color="auto" w:sz="4" w:space="0"/>
            </w:tcBorders>
            <w:vAlign w:val="center"/>
          </w:tcPr>
          <w:p w14:paraId="45589E9E">
            <w:pPr>
              <w:spacing w:line="240" w:lineRule="exact"/>
              <w:jc w:val="center"/>
              <w:rPr>
                <w:rFonts w:ascii="Arial" w:hAnsi="Arial" w:eastAsia="宋体" w:cs="Arial"/>
                <w:sz w:val="21"/>
                <w:szCs w:val="21"/>
                <w:u w:val="single"/>
              </w:rPr>
            </w:pPr>
            <w:r>
              <w:rPr>
                <w:rFonts w:ascii="Arial" w:hAnsi="Arial" w:eastAsia="宋体" w:cs="Arial"/>
                <w:sz w:val="21"/>
                <w:szCs w:val="21"/>
                <w:u w:val="single"/>
              </w:rPr>
              <w:t>0</w:t>
            </w:r>
          </w:p>
        </w:tc>
        <w:tc>
          <w:tcPr>
            <w:tcW w:w="653" w:type="pct"/>
            <w:tcBorders>
              <w:top w:val="single" w:color="auto" w:sz="4" w:space="0"/>
              <w:left w:val="single" w:color="auto" w:sz="4" w:space="0"/>
              <w:bottom w:val="single" w:color="auto" w:sz="4" w:space="0"/>
              <w:right w:val="single" w:color="auto" w:sz="4" w:space="0"/>
            </w:tcBorders>
            <w:vAlign w:val="center"/>
          </w:tcPr>
          <w:p w14:paraId="73C9FD45">
            <w:pPr>
              <w:spacing w:line="240" w:lineRule="exact"/>
              <w:jc w:val="center"/>
              <w:rPr>
                <w:rFonts w:ascii="Arial" w:hAnsi="Arial" w:eastAsia="宋体" w:cs="Arial"/>
                <w:sz w:val="21"/>
                <w:szCs w:val="21"/>
                <w:u w:val="single"/>
              </w:rPr>
            </w:pPr>
            <w:r>
              <w:rPr>
                <w:rFonts w:ascii="Arial" w:hAnsi="Arial" w:eastAsia="宋体" w:cs="Arial"/>
                <w:sz w:val="21"/>
                <w:szCs w:val="21"/>
                <w:u w:val="single"/>
              </w:rPr>
              <w:t>5.37</w:t>
            </w:r>
          </w:p>
        </w:tc>
      </w:tr>
    </w:tbl>
    <w:p w14:paraId="33E55F5F">
      <w:pPr>
        <w:adjustRightInd w:val="0"/>
        <w:snapToGrid w:val="0"/>
        <w:rPr>
          <w:rFonts w:ascii="Arial" w:hAnsi="Arial" w:eastAsia="宋体" w:cs="Arial"/>
          <w:b/>
          <w:spacing w:val="10"/>
          <w:sz w:val="24"/>
          <w:szCs w:val="24"/>
          <w:u w:val="single"/>
        </w:rPr>
      </w:pPr>
      <w:r>
        <w:rPr>
          <w:rFonts w:hint="eastAsia" w:ascii="Arial" w:hAnsi="Arial" w:eastAsia="宋体" w:cs="Arial"/>
          <w:b/>
          <w:spacing w:val="10"/>
          <w:sz w:val="24"/>
          <w:szCs w:val="24"/>
          <w:u w:val="single"/>
        </w:rPr>
        <w:t>注：表中耗氧量数据已由COD转换。</w:t>
      </w:r>
    </w:p>
    <w:p w14:paraId="01889130">
      <w:pPr>
        <w:adjustRightInd w:val="0"/>
        <w:snapToGrid w:val="0"/>
        <w:rPr>
          <w:rFonts w:ascii="Arial" w:hAnsi="Arial" w:eastAsia="宋体" w:cs="Arial"/>
          <w:spacing w:val="10"/>
          <w:sz w:val="24"/>
          <w:szCs w:val="24"/>
          <w:u w:val="single"/>
        </w:rPr>
      </w:pPr>
    </w:p>
    <w:p w14:paraId="6F369176">
      <w:pPr>
        <w:adjustRightInd w:val="0"/>
        <w:snapToGrid w:val="0"/>
        <w:rPr>
          <w:rFonts w:ascii="Arial" w:hAnsi="Arial" w:eastAsia="宋体" w:cs="Arial"/>
          <w:spacing w:val="10"/>
          <w:sz w:val="24"/>
          <w:szCs w:val="24"/>
          <w:highlight w:val="yellow"/>
          <w:u w:val="single"/>
        </w:rPr>
      </w:pPr>
      <w:r>
        <w:rPr>
          <w:u w:val="single"/>
        </w:rPr>
        <w:drawing>
          <wp:inline distT="0" distB="0" distL="0" distR="0">
            <wp:extent cx="5486400" cy="1768475"/>
            <wp:effectExtent l="0" t="0" r="19050" b="22225"/>
            <wp:docPr id="19" name="图表 19" title="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1B775076">
      <w:pPr>
        <w:adjustRightInd w:val="0"/>
        <w:snapToGrid w:val="0"/>
        <w:jc w:val="center"/>
        <w:rPr>
          <w:rFonts w:ascii="Arial" w:hAnsi="Arial" w:eastAsia="宋体" w:cs="Arial"/>
          <w:b/>
          <w:spacing w:val="10"/>
          <w:sz w:val="24"/>
          <w:szCs w:val="24"/>
          <w:u w:val="single"/>
        </w:rPr>
      </w:pPr>
      <w:r>
        <w:rPr>
          <w:rFonts w:ascii="Arial" w:hAnsi="Arial" w:eastAsia="宋体" w:cs="Arial"/>
          <w:b/>
          <w:spacing w:val="10"/>
          <w:sz w:val="24"/>
          <w:szCs w:val="24"/>
          <w:u w:val="single"/>
        </w:rPr>
        <w:t>图4.3-</w:t>
      </w:r>
      <w:r>
        <w:rPr>
          <w:rFonts w:hint="eastAsia" w:ascii="Arial" w:hAnsi="Arial" w:eastAsia="宋体" w:cs="Arial"/>
          <w:b/>
          <w:spacing w:val="10"/>
          <w:sz w:val="24"/>
          <w:szCs w:val="24"/>
          <w:u w:val="single"/>
        </w:rPr>
        <w:t>8</w:t>
      </w:r>
      <w:r>
        <w:rPr>
          <w:rFonts w:ascii="Arial" w:hAnsi="Arial" w:eastAsia="宋体" w:cs="Arial"/>
          <w:b/>
          <w:spacing w:val="10"/>
          <w:sz w:val="24"/>
          <w:szCs w:val="24"/>
          <w:u w:val="single"/>
        </w:rPr>
        <w:t xml:space="preserve">  事故发生后100天</w:t>
      </w:r>
      <w:r>
        <w:rPr>
          <w:rFonts w:hint="eastAsia" w:ascii="Arial" w:hAnsi="Arial" w:eastAsia="宋体" w:cs="Arial"/>
          <w:b/>
          <w:spacing w:val="10"/>
          <w:sz w:val="24"/>
          <w:szCs w:val="24"/>
          <w:u w:val="single"/>
        </w:rPr>
        <w:t>耗氧量</w:t>
      </w:r>
      <w:r>
        <w:rPr>
          <w:rFonts w:ascii="Arial" w:hAnsi="Arial" w:eastAsia="宋体" w:cs="Arial"/>
          <w:b/>
          <w:spacing w:val="10"/>
          <w:sz w:val="24"/>
          <w:szCs w:val="24"/>
          <w:u w:val="single"/>
        </w:rPr>
        <w:t>浓度分布图</w:t>
      </w:r>
    </w:p>
    <w:p w14:paraId="4B566FCC">
      <w:pPr>
        <w:adjustRightInd w:val="0"/>
        <w:snapToGrid w:val="0"/>
        <w:rPr>
          <w:rFonts w:ascii="Arial" w:hAnsi="Arial" w:eastAsia="宋体" w:cs="Arial"/>
          <w:spacing w:val="10"/>
          <w:sz w:val="24"/>
          <w:szCs w:val="24"/>
          <w:highlight w:val="yellow"/>
          <w:u w:val="single"/>
        </w:rPr>
      </w:pPr>
      <w:r>
        <w:rPr>
          <w:u w:val="single"/>
        </w:rPr>
        <w:drawing>
          <wp:inline distT="0" distB="0" distL="0" distR="0">
            <wp:extent cx="5486400" cy="2025650"/>
            <wp:effectExtent l="0" t="0" r="19050" b="12700"/>
            <wp:docPr id="20" name="图表 20" title="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4E0BB00A">
      <w:pPr>
        <w:adjustRightInd w:val="0"/>
        <w:snapToGrid w:val="0"/>
        <w:jc w:val="center"/>
        <w:rPr>
          <w:rFonts w:ascii="Arial" w:hAnsi="Arial" w:eastAsia="宋体" w:cs="Arial"/>
          <w:spacing w:val="10"/>
          <w:sz w:val="24"/>
          <w:szCs w:val="24"/>
          <w:u w:val="single"/>
        </w:rPr>
      </w:pPr>
      <w:r>
        <w:rPr>
          <w:rFonts w:ascii="Arial" w:hAnsi="Arial" w:eastAsia="宋体" w:cs="Arial"/>
          <w:b/>
          <w:spacing w:val="10"/>
          <w:sz w:val="24"/>
          <w:szCs w:val="24"/>
          <w:u w:val="single"/>
        </w:rPr>
        <w:t>图4.3-</w:t>
      </w:r>
      <w:r>
        <w:rPr>
          <w:rFonts w:hint="eastAsia" w:ascii="Arial" w:hAnsi="Arial" w:eastAsia="宋体" w:cs="Arial"/>
          <w:b/>
          <w:spacing w:val="10"/>
          <w:sz w:val="24"/>
          <w:szCs w:val="24"/>
          <w:u w:val="single"/>
        </w:rPr>
        <w:t>9</w:t>
      </w:r>
      <w:r>
        <w:rPr>
          <w:rFonts w:ascii="Arial" w:hAnsi="Arial" w:eastAsia="宋体" w:cs="Arial"/>
          <w:b/>
          <w:spacing w:val="10"/>
          <w:sz w:val="24"/>
          <w:szCs w:val="24"/>
          <w:u w:val="single"/>
        </w:rPr>
        <w:t xml:space="preserve">  事故发生后365天</w:t>
      </w:r>
      <w:r>
        <w:rPr>
          <w:rFonts w:hint="eastAsia" w:ascii="Arial" w:hAnsi="Arial" w:eastAsia="宋体" w:cs="Arial"/>
          <w:b/>
          <w:spacing w:val="10"/>
          <w:sz w:val="24"/>
          <w:szCs w:val="24"/>
          <w:u w:val="single"/>
        </w:rPr>
        <w:t>耗氧量</w:t>
      </w:r>
      <w:r>
        <w:rPr>
          <w:rFonts w:ascii="Arial" w:hAnsi="Arial" w:eastAsia="宋体" w:cs="Arial"/>
          <w:b/>
          <w:spacing w:val="10"/>
          <w:sz w:val="24"/>
          <w:szCs w:val="24"/>
          <w:u w:val="single"/>
        </w:rPr>
        <w:t>浓度分布图</w:t>
      </w:r>
    </w:p>
    <w:p w14:paraId="316D3BB0">
      <w:pPr>
        <w:adjustRightInd w:val="0"/>
        <w:snapToGrid w:val="0"/>
        <w:jc w:val="center"/>
        <w:rPr>
          <w:rFonts w:ascii="Arial" w:hAnsi="Arial" w:eastAsia="宋体" w:cs="Arial"/>
          <w:spacing w:val="10"/>
          <w:sz w:val="24"/>
          <w:szCs w:val="24"/>
          <w:highlight w:val="yellow"/>
          <w:u w:val="single"/>
        </w:rPr>
      </w:pPr>
      <w:r>
        <w:rPr>
          <w:u w:val="single"/>
        </w:rPr>
        <w:drawing>
          <wp:inline distT="0" distB="0" distL="0" distR="0">
            <wp:extent cx="5486400" cy="1997075"/>
            <wp:effectExtent l="0" t="0" r="19050" b="22225"/>
            <wp:docPr id="21" name="图表 21" title="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4697906D">
      <w:pPr>
        <w:adjustRightInd w:val="0"/>
        <w:snapToGrid w:val="0"/>
        <w:jc w:val="center"/>
        <w:rPr>
          <w:rFonts w:ascii="Arial" w:hAnsi="Arial" w:eastAsia="宋体" w:cs="Arial"/>
          <w:spacing w:val="10"/>
          <w:sz w:val="24"/>
          <w:szCs w:val="24"/>
          <w:u w:val="single"/>
        </w:rPr>
      </w:pPr>
      <w:r>
        <w:rPr>
          <w:rFonts w:ascii="Arial" w:hAnsi="Arial" w:eastAsia="宋体" w:cs="Arial"/>
          <w:b/>
          <w:spacing w:val="10"/>
          <w:sz w:val="24"/>
          <w:szCs w:val="24"/>
          <w:u w:val="single"/>
        </w:rPr>
        <w:t>图4.3-</w:t>
      </w:r>
      <w:r>
        <w:rPr>
          <w:rFonts w:hint="eastAsia" w:ascii="Arial" w:hAnsi="Arial" w:eastAsia="宋体" w:cs="Arial"/>
          <w:b/>
          <w:spacing w:val="10"/>
          <w:sz w:val="24"/>
          <w:szCs w:val="24"/>
          <w:u w:val="single"/>
        </w:rPr>
        <w:t>10</w:t>
      </w:r>
      <w:r>
        <w:rPr>
          <w:rFonts w:ascii="Arial" w:hAnsi="Arial" w:eastAsia="宋体" w:cs="Arial"/>
          <w:b/>
          <w:spacing w:val="10"/>
          <w:sz w:val="24"/>
          <w:szCs w:val="24"/>
          <w:u w:val="single"/>
        </w:rPr>
        <w:t xml:space="preserve">  事故发生后1000天</w:t>
      </w:r>
      <w:r>
        <w:rPr>
          <w:rFonts w:hint="eastAsia" w:ascii="Arial" w:hAnsi="Arial" w:eastAsia="宋体" w:cs="Arial"/>
          <w:b/>
          <w:spacing w:val="10"/>
          <w:sz w:val="24"/>
          <w:szCs w:val="24"/>
          <w:u w:val="single"/>
        </w:rPr>
        <w:t>耗氧量</w:t>
      </w:r>
      <w:r>
        <w:rPr>
          <w:rFonts w:ascii="Arial" w:hAnsi="Arial" w:eastAsia="宋体" w:cs="Arial"/>
          <w:b/>
          <w:spacing w:val="10"/>
          <w:sz w:val="24"/>
          <w:szCs w:val="24"/>
          <w:u w:val="single"/>
        </w:rPr>
        <w:t>浓度分布图</w:t>
      </w:r>
    </w:p>
    <w:p w14:paraId="3F8C75FF">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洗水外排槽</w:t>
      </w:r>
      <w:r>
        <w:rPr>
          <w:rFonts w:ascii="Arial" w:hAnsi="Arial" w:eastAsia="宋体" w:cs="Arial"/>
          <w:b/>
          <w:sz w:val="24"/>
          <w:szCs w:val="24"/>
        </w:rPr>
        <w:t>泄漏</w:t>
      </w:r>
      <w:r>
        <w:rPr>
          <w:rFonts w:hint="eastAsia" w:ascii="Arial" w:hAnsi="Arial" w:eastAsia="宋体" w:cs="Arial"/>
          <w:b/>
          <w:sz w:val="24"/>
          <w:szCs w:val="24"/>
        </w:rPr>
        <w:t>氨氮浓度</w:t>
      </w:r>
      <w:r>
        <w:rPr>
          <w:rFonts w:ascii="Arial" w:hAnsi="Arial" w:eastAsia="宋体" w:cs="Arial"/>
          <w:b/>
          <w:sz w:val="24"/>
          <w:szCs w:val="24"/>
        </w:rPr>
        <w:t>预测结果表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173"/>
        <w:gridCol w:w="1174"/>
        <w:gridCol w:w="1173"/>
        <w:gridCol w:w="1174"/>
        <w:gridCol w:w="1173"/>
        <w:gridCol w:w="1175"/>
      </w:tblGrid>
      <w:tr w14:paraId="459CC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vMerge w:val="restart"/>
            <w:tcBorders>
              <w:top w:val="single" w:color="auto" w:sz="4" w:space="0"/>
              <w:left w:val="single" w:color="auto" w:sz="4" w:space="0"/>
              <w:right w:val="single" w:color="auto" w:sz="4" w:space="0"/>
              <w:tl2br w:val="single" w:color="auto" w:sz="4" w:space="0"/>
            </w:tcBorders>
            <w:vAlign w:val="center"/>
          </w:tcPr>
          <w:p w14:paraId="0A978DA8">
            <w:pPr>
              <w:spacing w:line="240" w:lineRule="exact"/>
              <w:jc w:val="center"/>
              <w:rPr>
                <w:rFonts w:ascii="Arial" w:hAnsi="Arial" w:eastAsia="宋体" w:cs="Arial"/>
                <w:sz w:val="21"/>
                <w:szCs w:val="21"/>
              </w:rPr>
            </w:pPr>
            <w:r>
              <w:rPr>
                <w:rFonts w:ascii="Arial" w:hAnsi="Arial" w:eastAsia="宋体" w:cs="Arial"/>
                <w:sz w:val="21"/>
                <w:szCs w:val="21"/>
              </w:rPr>
              <w:t xml:space="preserve">       浓度（</w:t>
            </w:r>
            <w:r>
              <w:rPr>
                <w:rFonts w:ascii="Arial" w:hAnsi="Arial" w:eastAsia="Times New Roman" w:cs="Arial"/>
                <w:sz w:val="21"/>
                <w:szCs w:val="21"/>
              </w:rPr>
              <w:t>m</w:t>
            </w:r>
            <w:r>
              <w:rPr>
                <w:rFonts w:ascii="Arial" w:hAnsi="Arial" w:eastAsia="宋体" w:cs="Arial"/>
                <w:sz w:val="21"/>
                <w:szCs w:val="21"/>
              </w:rPr>
              <w:t>g/L）</w:t>
            </w:r>
          </w:p>
          <w:p w14:paraId="73222D96">
            <w:pPr>
              <w:spacing w:line="240" w:lineRule="exact"/>
              <w:rPr>
                <w:rFonts w:ascii="Arial" w:hAnsi="Arial" w:eastAsia="宋体" w:cs="Arial"/>
                <w:sz w:val="21"/>
                <w:szCs w:val="21"/>
              </w:rPr>
            </w:pPr>
            <w:r>
              <w:rPr>
                <w:rFonts w:ascii="Arial" w:hAnsi="Arial" w:eastAsia="宋体" w:cs="Arial"/>
                <w:sz w:val="21"/>
                <w:szCs w:val="21"/>
              </w:rPr>
              <w:t>距离（</w:t>
            </w:r>
            <w:r>
              <w:rPr>
                <w:rFonts w:ascii="Arial" w:hAnsi="Arial" w:eastAsia="Times New Roman" w:cs="Arial"/>
                <w:sz w:val="21"/>
                <w:szCs w:val="21"/>
              </w:rPr>
              <w:t>m</w:t>
            </w:r>
            <w:r>
              <w:rPr>
                <w:rFonts w:ascii="Arial" w:hAnsi="Arial" w:eastAsia="宋体" w:cs="Arial"/>
                <w:sz w:val="21"/>
                <w:szCs w:val="21"/>
              </w:rPr>
              <w:t>）</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013BBF3E">
            <w:pPr>
              <w:spacing w:line="240" w:lineRule="exact"/>
              <w:jc w:val="center"/>
              <w:rPr>
                <w:rFonts w:ascii="Arial" w:hAnsi="Arial" w:eastAsia="宋体" w:cs="Arial"/>
                <w:sz w:val="21"/>
                <w:szCs w:val="21"/>
              </w:rPr>
            </w:pPr>
            <w:r>
              <w:rPr>
                <w:rFonts w:ascii="Arial" w:hAnsi="Arial" w:eastAsia="宋体" w:cs="Arial"/>
                <w:sz w:val="21"/>
                <w:szCs w:val="21"/>
              </w:rPr>
              <w:t>100d</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6C2468CA">
            <w:pPr>
              <w:spacing w:line="240" w:lineRule="exact"/>
              <w:jc w:val="center"/>
              <w:rPr>
                <w:rFonts w:ascii="Arial" w:hAnsi="Arial" w:eastAsia="宋体" w:cs="Arial"/>
                <w:sz w:val="21"/>
                <w:szCs w:val="21"/>
              </w:rPr>
            </w:pPr>
            <w:r>
              <w:rPr>
                <w:rFonts w:ascii="Arial" w:hAnsi="Arial" w:eastAsia="宋体" w:cs="Arial"/>
                <w:sz w:val="21"/>
                <w:szCs w:val="21"/>
              </w:rPr>
              <w:t>365d</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4BD50139">
            <w:pPr>
              <w:spacing w:line="240" w:lineRule="exact"/>
              <w:jc w:val="center"/>
              <w:rPr>
                <w:rFonts w:ascii="Arial" w:hAnsi="Arial" w:eastAsia="宋体" w:cs="Arial"/>
                <w:sz w:val="21"/>
                <w:szCs w:val="21"/>
              </w:rPr>
            </w:pPr>
            <w:r>
              <w:rPr>
                <w:rFonts w:ascii="Arial" w:hAnsi="Arial" w:eastAsia="宋体" w:cs="Arial"/>
                <w:sz w:val="21"/>
                <w:szCs w:val="21"/>
              </w:rPr>
              <w:t>1000d</w:t>
            </w:r>
          </w:p>
        </w:tc>
      </w:tr>
      <w:tr w14:paraId="6C635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vMerge w:val="continue"/>
            <w:tcBorders>
              <w:left w:val="single" w:color="auto" w:sz="4" w:space="0"/>
              <w:bottom w:val="single" w:color="auto" w:sz="4" w:space="0"/>
              <w:right w:val="single" w:color="auto" w:sz="4" w:space="0"/>
              <w:tl2br w:val="single" w:color="auto" w:sz="4" w:space="0"/>
            </w:tcBorders>
            <w:vAlign w:val="center"/>
          </w:tcPr>
          <w:p w14:paraId="2A6661C6">
            <w:pPr>
              <w:spacing w:line="240" w:lineRule="exact"/>
              <w:jc w:val="center"/>
              <w:rPr>
                <w:rFonts w:ascii="Arial" w:hAnsi="Arial" w:eastAsia="宋体" w:cs="Arial"/>
                <w:sz w:val="21"/>
                <w:szCs w:val="21"/>
              </w:rPr>
            </w:pPr>
          </w:p>
        </w:tc>
        <w:tc>
          <w:tcPr>
            <w:tcW w:w="652" w:type="pct"/>
            <w:tcBorders>
              <w:top w:val="single" w:color="auto" w:sz="4" w:space="0"/>
              <w:left w:val="single" w:color="auto" w:sz="4" w:space="0"/>
              <w:bottom w:val="single" w:color="auto" w:sz="4" w:space="0"/>
              <w:right w:val="single" w:color="auto" w:sz="4" w:space="0"/>
            </w:tcBorders>
            <w:vAlign w:val="center"/>
          </w:tcPr>
          <w:p w14:paraId="34C1B13D">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05B92F81">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652" w:type="pct"/>
            <w:tcBorders>
              <w:top w:val="single" w:color="auto" w:sz="4" w:space="0"/>
              <w:left w:val="single" w:color="auto" w:sz="4" w:space="0"/>
              <w:bottom w:val="single" w:color="auto" w:sz="4" w:space="0"/>
              <w:right w:val="single" w:color="auto" w:sz="4" w:space="0"/>
            </w:tcBorders>
            <w:vAlign w:val="center"/>
          </w:tcPr>
          <w:p w14:paraId="2C602023">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7EBDA1FF">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652" w:type="pct"/>
            <w:tcBorders>
              <w:top w:val="single" w:color="auto" w:sz="4" w:space="0"/>
              <w:left w:val="single" w:color="auto" w:sz="4" w:space="0"/>
              <w:bottom w:val="single" w:color="auto" w:sz="4" w:space="0"/>
              <w:right w:val="single" w:color="auto" w:sz="4" w:space="0"/>
            </w:tcBorders>
            <w:vAlign w:val="center"/>
          </w:tcPr>
          <w:p w14:paraId="4BFCB82F">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3932C95A">
            <w:pPr>
              <w:spacing w:line="240" w:lineRule="exact"/>
              <w:jc w:val="center"/>
              <w:rPr>
                <w:rFonts w:ascii="Arial" w:hAnsi="Arial" w:eastAsia="宋体" w:cs="Arial"/>
                <w:sz w:val="21"/>
                <w:szCs w:val="21"/>
              </w:rPr>
            </w:pPr>
            <w:r>
              <w:rPr>
                <w:rFonts w:ascii="Arial" w:hAnsi="Arial" w:eastAsia="宋体" w:cs="Arial"/>
                <w:sz w:val="21"/>
                <w:szCs w:val="21"/>
              </w:rPr>
              <w:t>预测值</w:t>
            </w:r>
          </w:p>
        </w:tc>
      </w:tr>
      <w:tr w14:paraId="5F3BB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3A624C73">
            <w:pPr>
              <w:spacing w:line="240" w:lineRule="exact"/>
              <w:jc w:val="center"/>
              <w:rPr>
                <w:rFonts w:ascii="Arial" w:hAnsi="Arial" w:eastAsia="宋体" w:cs="Arial"/>
                <w:sz w:val="21"/>
                <w:szCs w:val="21"/>
              </w:rPr>
            </w:pPr>
            <w:r>
              <w:rPr>
                <w:rFonts w:hint="eastAsia" w:ascii="Arial" w:hAnsi="Arial" w:eastAsia="宋体" w:cs="Arial"/>
                <w:sz w:val="21"/>
                <w:szCs w:val="21"/>
              </w:rPr>
              <w:t>10</w:t>
            </w:r>
          </w:p>
        </w:tc>
        <w:tc>
          <w:tcPr>
            <w:tcW w:w="652" w:type="pct"/>
            <w:tcBorders>
              <w:top w:val="single" w:color="auto" w:sz="4" w:space="0"/>
              <w:left w:val="single" w:color="auto" w:sz="4" w:space="0"/>
              <w:bottom w:val="single" w:color="auto" w:sz="4" w:space="0"/>
              <w:right w:val="single" w:color="auto" w:sz="4" w:space="0"/>
            </w:tcBorders>
            <w:vAlign w:val="center"/>
          </w:tcPr>
          <w:p w14:paraId="681BBDE7">
            <w:pPr>
              <w:spacing w:line="240" w:lineRule="exact"/>
              <w:jc w:val="center"/>
              <w:rPr>
                <w:rFonts w:ascii="Arial" w:hAnsi="Arial" w:eastAsia="宋体" w:cs="Arial"/>
                <w:sz w:val="21"/>
                <w:szCs w:val="21"/>
              </w:rPr>
            </w:pPr>
            <w:r>
              <w:rPr>
                <w:rFonts w:ascii="Arial" w:hAnsi="Arial" w:eastAsia="宋体" w:cs="Arial"/>
                <w:sz w:val="21"/>
                <w:szCs w:val="21"/>
              </w:rPr>
              <w:t>1.35</w:t>
            </w:r>
          </w:p>
        </w:tc>
        <w:tc>
          <w:tcPr>
            <w:tcW w:w="653" w:type="pct"/>
            <w:tcBorders>
              <w:top w:val="single" w:color="auto" w:sz="4" w:space="0"/>
              <w:left w:val="single" w:color="auto" w:sz="4" w:space="0"/>
              <w:bottom w:val="single" w:color="auto" w:sz="4" w:space="0"/>
              <w:right w:val="single" w:color="auto" w:sz="4" w:space="0"/>
            </w:tcBorders>
            <w:vAlign w:val="center"/>
          </w:tcPr>
          <w:p w14:paraId="0B5136DD">
            <w:pPr>
              <w:spacing w:line="240" w:lineRule="exact"/>
              <w:jc w:val="center"/>
              <w:rPr>
                <w:rFonts w:ascii="Arial" w:hAnsi="Arial" w:eastAsia="宋体" w:cs="Arial"/>
                <w:sz w:val="21"/>
                <w:szCs w:val="21"/>
              </w:rPr>
            </w:pPr>
            <w:r>
              <w:rPr>
                <w:rFonts w:ascii="Arial" w:hAnsi="Arial" w:eastAsia="宋体" w:cs="Arial"/>
                <w:sz w:val="21"/>
                <w:szCs w:val="21"/>
              </w:rPr>
              <w:t>8</w:t>
            </w:r>
          </w:p>
        </w:tc>
        <w:tc>
          <w:tcPr>
            <w:tcW w:w="652" w:type="pct"/>
            <w:tcBorders>
              <w:top w:val="single" w:color="auto" w:sz="4" w:space="0"/>
              <w:left w:val="single" w:color="auto" w:sz="4" w:space="0"/>
              <w:bottom w:val="single" w:color="auto" w:sz="4" w:space="0"/>
              <w:right w:val="single" w:color="auto" w:sz="4" w:space="0"/>
            </w:tcBorders>
            <w:vAlign w:val="center"/>
          </w:tcPr>
          <w:p w14:paraId="45B27DFF">
            <w:pPr>
              <w:spacing w:line="240" w:lineRule="exact"/>
              <w:jc w:val="center"/>
              <w:rPr>
                <w:rFonts w:ascii="Arial" w:hAnsi="Arial" w:eastAsia="宋体" w:cs="Arial"/>
                <w:sz w:val="21"/>
                <w:szCs w:val="21"/>
              </w:rPr>
            </w:pPr>
            <w:r>
              <w:rPr>
                <w:rFonts w:ascii="Arial" w:hAnsi="Arial" w:eastAsia="宋体" w:cs="Arial"/>
                <w:sz w:val="21"/>
                <w:szCs w:val="21"/>
              </w:rPr>
              <w:t>0.0002</w:t>
            </w:r>
          </w:p>
        </w:tc>
        <w:tc>
          <w:tcPr>
            <w:tcW w:w="653" w:type="pct"/>
            <w:tcBorders>
              <w:top w:val="single" w:color="auto" w:sz="4" w:space="0"/>
              <w:left w:val="single" w:color="auto" w:sz="4" w:space="0"/>
              <w:bottom w:val="single" w:color="auto" w:sz="4" w:space="0"/>
              <w:right w:val="single" w:color="auto" w:sz="4" w:space="0"/>
            </w:tcBorders>
            <w:vAlign w:val="center"/>
          </w:tcPr>
          <w:p w14:paraId="6B9884F0">
            <w:pPr>
              <w:spacing w:line="240" w:lineRule="exact"/>
              <w:jc w:val="center"/>
              <w:rPr>
                <w:rFonts w:ascii="Arial" w:hAnsi="Arial" w:eastAsia="宋体" w:cs="Arial"/>
                <w:sz w:val="21"/>
                <w:szCs w:val="21"/>
              </w:rPr>
            </w:pPr>
            <w:r>
              <w:rPr>
                <w:rFonts w:ascii="Arial" w:hAnsi="Arial" w:eastAsia="宋体" w:cs="Arial"/>
                <w:sz w:val="21"/>
                <w:szCs w:val="21"/>
              </w:rPr>
              <w:t>6.6502</w:t>
            </w:r>
          </w:p>
        </w:tc>
        <w:tc>
          <w:tcPr>
            <w:tcW w:w="652" w:type="pct"/>
            <w:tcBorders>
              <w:top w:val="single" w:color="auto" w:sz="4" w:space="0"/>
              <w:left w:val="single" w:color="auto" w:sz="4" w:space="0"/>
              <w:bottom w:val="single" w:color="auto" w:sz="4" w:space="0"/>
              <w:right w:val="single" w:color="auto" w:sz="4" w:space="0"/>
            </w:tcBorders>
            <w:vAlign w:val="center"/>
          </w:tcPr>
          <w:p w14:paraId="5530DB34">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E564902">
            <w:pPr>
              <w:spacing w:line="240" w:lineRule="exact"/>
              <w:jc w:val="center"/>
              <w:rPr>
                <w:rFonts w:ascii="Arial" w:hAnsi="Arial" w:eastAsia="宋体" w:cs="Arial"/>
                <w:sz w:val="21"/>
                <w:szCs w:val="21"/>
              </w:rPr>
            </w:pPr>
            <w:r>
              <w:rPr>
                <w:rFonts w:ascii="Arial" w:hAnsi="Arial" w:eastAsia="宋体" w:cs="Arial"/>
                <w:sz w:val="21"/>
                <w:szCs w:val="21"/>
              </w:rPr>
              <w:t>6.65</w:t>
            </w:r>
          </w:p>
        </w:tc>
      </w:tr>
      <w:tr w14:paraId="13A51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156B2A6">
            <w:pPr>
              <w:spacing w:line="240" w:lineRule="exact"/>
              <w:jc w:val="center"/>
              <w:rPr>
                <w:rFonts w:ascii="Arial" w:hAnsi="Arial" w:eastAsia="宋体" w:cs="Arial"/>
                <w:sz w:val="21"/>
                <w:szCs w:val="21"/>
              </w:rPr>
            </w:pPr>
            <w:r>
              <w:rPr>
                <w:rFonts w:ascii="Arial" w:hAnsi="Arial" w:eastAsia="宋体" w:cs="Arial"/>
                <w:sz w:val="21"/>
                <w:szCs w:val="21"/>
              </w:rPr>
              <w:t>20</w:t>
            </w:r>
          </w:p>
        </w:tc>
        <w:tc>
          <w:tcPr>
            <w:tcW w:w="652" w:type="pct"/>
            <w:tcBorders>
              <w:top w:val="single" w:color="auto" w:sz="4" w:space="0"/>
              <w:left w:val="single" w:color="auto" w:sz="4" w:space="0"/>
              <w:bottom w:val="single" w:color="auto" w:sz="4" w:space="0"/>
              <w:right w:val="single" w:color="auto" w:sz="4" w:space="0"/>
            </w:tcBorders>
            <w:vAlign w:val="center"/>
          </w:tcPr>
          <w:p w14:paraId="46104FD7">
            <w:pPr>
              <w:spacing w:line="240" w:lineRule="exact"/>
              <w:jc w:val="center"/>
              <w:rPr>
                <w:rFonts w:ascii="Arial" w:hAnsi="Arial" w:eastAsia="宋体" w:cs="Arial"/>
                <w:sz w:val="21"/>
                <w:szCs w:val="21"/>
              </w:rPr>
            </w:pPr>
            <w:r>
              <w:rPr>
                <w:rFonts w:ascii="Arial" w:hAnsi="Arial" w:eastAsia="宋体" w:cs="Arial"/>
                <w:sz w:val="21"/>
                <w:szCs w:val="21"/>
              </w:rPr>
              <w:t>3.2379</w:t>
            </w:r>
          </w:p>
        </w:tc>
        <w:tc>
          <w:tcPr>
            <w:tcW w:w="653" w:type="pct"/>
            <w:tcBorders>
              <w:top w:val="single" w:color="auto" w:sz="4" w:space="0"/>
              <w:left w:val="single" w:color="auto" w:sz="4" w:space="0"/>
              <w:bottom w:val="single" w:color="auto" w:sz="4" w:space="0"/>
              <w:right w:val="single" w:color="auto" w:sz="4" w:space="0"/>
            </w:tcBorders>
            <w:vAlign w:val="center"/>
          </w:tcPr>
          <w:p w14:paraId="7AD3B428">
            <w:pPr>
              <w:spacing w:line="240" w:lineRule="exact"/>
              <w:jc w:val="center"/>
              <w:rPr>
                <w:rFonts w:ascii="Arial" w:hAnsi="Arial" w:eastAsia="宋体" w:cs="Arial"/>
                <w:sz w:val="21"/>
                <w:szCs w:val="21"/>
              </w:rPr>
            </w:pPr>
            <w:r>
              <w:rPr>
                <w:rFonts w:ascii="Arial" w:hAnsi="Arial" w:eastAsia="宋体" w:cs="Arial"/>
                <w:sz w:val="21"/>
                <w:szCs w:val="21"/>
              </w:rPr>
              <w:t>9.8879</w:t>
            </w:r>
          </w:p>
        </w:tc>
        <w:tc>
          <w:tcPr>
            <w:tcW w:w="652" w:type="pct"/>
            <w:tcBorders>
              <w:top w:val="single" w:color="auto" w:sz="4" w:space="0"/>
              <w:left w:val="single" w:color="auto" w:sz="4" w:space="0"/>
              <w:bottom w:val="single" w:color="auto" w:sz="4" w:space="0"/>
              <w:right w:val="single" w:color="auto" w:sz="4" w:space="0"/>
            </w:tcBorders>
            <w:vAlign w:val="center"/>
          </w:tcPr>
          <w:p w14:paraId="26B3668F">
            <w:pPr>
              <w:spacing w:line="240" w:lineRule="exact"/>
              <w:jc w:val="center"/>
              <w:rPr>
                <w:rFonts w:ascii="Arial" w:hAnsi="Arial" w:eastAsia="宋体" w:cs="Arial"/>
                <w:sz w:val="21"/>
                <w:szCs w:val="21"/>
              </w:rPr>
            </w:pPr>
            <w:r>
              <w:rPr>
                <w:rFonts w:ascii="Arial" w:hAnsi="Arial" w:eastAsia="宋体" w:cs="Arial"/>
                <w:sz w:val="21"/>
                <w:szCs w:val="21"/>
              </w:rPr>
              <w:t>0.0006</w:t>
            </w:r>
          </w:p>
        </w:tc>
        <w:tc>
          <w:tcPr>
            <w:tcW w:w="653" w:type="pct"/>
            <w:tcBorders>
              <w:top w:val="single" w:color="auto" w:sz="4" w:space="0"/>
              <w:left w:val="single" w:color="auto" w:sz="4" w:space="0"/>
              <w:bottom w:val="single" w:color="auto" w:sz="4" w:space="0"/>
              <w:right w:val="single" w:color="auto" w:sz="4" w:space="0"/>
            </w:tcBorders>
            <w:vAlign w:val="center"/>
          </w:tcPr>
          <w:p w14:paraId="4B723186">
            <w:pPr>
              <w:spacing w:line="240" w:lineRule="exact"/>
              <w:jc w:val="center"/>
              <w:rPr>
                <w:rFonts w:ascii="Arial" w:hAnsi="Arial" w:eastAsia="宋体" w:cs="Arial"/>
                <w:sz w:val="21"/>
                <w:szCs w:val="21"/>
              </w:rPr>
            </w:pPr>
            <w:r>
              <w:rPr>
                <w:rFonts w:ascii="Arial" w:hAnsi="Arial" w:eastAsia="宋体" w:cs="Arial"/>
                <w:sz w:val="21"/>
                <w:szCs w:val="21"/>
              </w:rPr>
              <w:t>6.6506</w:t>
            </w:r>
          </w:p>
        </w:tc>
        <w:tc>
          <w:tcPr>
            <w:tcW w:w="652" w:type="pct"/>
            <w:tcBorders>
              <w:top w:val="single" w:color="auto" w:sz="4" w:space="0"/>
              <w:left w:val="single" w:color="auto" w:sz="4" w:space="0"/>
              <w:bottom w:val="single" w:color="auto" w:sz="4" w:space="0"/>
              <w:right w:val="single" w:color="auto" w:sz="4" w:space="0"/>
            </w:tcBorders>
            <w:vAlign w:val="center"/>
          </w:tcPr>
          <w:p w14:paraId="76E2B6A5">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285D764">
            <w:pPr>
              <w:spacing w:line="240" w:lineRule="exact"/>
              <w:jc w:val="center"/>
              <w:rPr>
                <w:rFonts w:ascii="Arial" w:hAnsi="Arial" w:eastAsia="宋体" w:cs="Arial"/>
                <w:sz w:val="21"/>
                <w:szCs w:val="21"/>
              </w:rPr>
            </w:pPr>
            <w:r>
              <w:rPr>
                <w:rFonts w:ascii="Arial" w:hAnsi="Arial" w:eastAsia="宋体" w:cs="Arial"/>
                <w:sz w:val="21"/>
                <w:szCs w:val="21"/>
              </w:rPr>
              <w:t>6.65</w:t>
            </w:r>
          </w:p>
        </w:tc>
      </w:tr>
      <w:tr w14:paraId="30FC6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3F5C4FF7">
            <w:pPr>
              <w:spacing w:line="240" w:lineRule="exact"/>
              <w:jc w:val="center"/>
              <w:rPr>
                <w:rFonts w:ascii="Arial" w:hAnsi="Arial" w:eastAsia="宋体" w:cs="Arial"/>
                <w:sz w:val="21"/>
                <w:szCs w:val="21"/>
              </w:rPr>
            </w:pPr>
            <w:r>
              <w:rPr>
                <w:rFonts w:ascii="Arial" w:hAnsi="Arial" w:eastAsia="宋体" w:cs="Arial"/>
                <w:sz w:val="21"/>
                <w:szCs w:val="21"/>
              </w:rPr>
              <w:t>40</w:t>
            </w:r>
          </w:p>
        </w:tc>
        <w:tc>
          <w:tcPr>
            <w:tcW w:w="652" w:type="pct"/>
            <w:tcBorders>
              <w:top w:val="single" w:color="auto" w:sz="4" w:space="0"/>
              <w:left w:val="single" w:color="auto" w:sz="4" w:space="0"/>
              <w:bottom w:val="single" w:color="auto" w:sz="4" w:space="0"/>
              <w:right w:val="single" w:color="auto" w:sz="4" w:space="0"/>
            </w:tcBorders>
            <w:vAlign w:val="center"/>
          </w:tcPr>
          <w:p w14:paraId="5374840E">
            <w:pPr>
              <w:spacing w:line="240" w:lineRule="exact"/>
              <w:jc w:val="center"/>
              <w:rPr>
                <w:rFonts w:ascii="Arial" w:hAnsi="Arial" w:eastAsia="宋体" w:cs="Arial"/>
                <w:sz w:val="21"/>
                <w:szCs w:val="21"/>
              </w:rPr>
            </w:pPr>
            <w:r>
              <w:rPr>
                <w:rFonts w:ascii="Arial" w:hAnsi="Arial" w:eastAsia="宋体" w:cs="Arial"/>
                <w:sz w:val="21"/>
                <w:szCs w:val="21"/>
              </w:rPr>
              <w:t>8.8016</w:t>
            </w:r>
          </w:p>
        </w:tc>
        <w:tc>
          <w:tcPr>
            <w:tcW w:w="653" w:type="pct"/>
            <w:tcBorders>
              <w:top w:val="single" w:color="auto" w:sz="4" w:space="0"/>
              <w:left w:val="single" w:color="auto" w:sz="4" w:space="0"/>
              <w:bottom w:val="single" w:color="auto" w:sz="4" w:space="0"/>
              <w:right w:val="single" w:color="auto" w:sz="4" w:space="0"/>
            </w:tcBorders>
            <w:vAlign w:val="center"/>
          </w:tcPr>
          <w:p w14:paraId="37FAF84F">
            <w:pPr>
              <w:spacing w:line="240" w:lineRule="exact"/>
              <w:jc w:val="center"/>
              <w:rPr>
                <w:rFonts w:ascii="Arial" w:hAnsi="Arial" w:eastAsia="宋体" w:cs="Arial"/>
                <w:sz w:val="21"/>
                <w:szCs w:val="21"/>
              </w:rPr>
            </w:pPr>
            <w:r>
              <w:rPr>
                <w:rFonts w:ascii="Arial" w:hAnsi="Arial" w:eastAsia="宋体" w:cs="Arial"/>
                <w:sz w:val="21"/>
                <w:szCs w:val="21"/>
              </w:rPr>
              <w:t>15.4516</w:t>
            </w:r>
          </w:p>
        </w:tc>
        <w:tc>
          <w:tcPr>
            <w:tcW w:w="652" w:type="pct"/>
            <w:tcBorders>
              <w:top w:val="single" w:color="auto" w:sz="4" w:space="0"/>
              <w:left w:val="single" w:color="auto" w:sz="4" w:space="0"/>
              <w:bottom w:val="single" w:color="auto" w:sz="4" w:space="0"/>
              <w:right w:val="single" w:color="auto" w:sz="4" w:space="0"/>
            </w:tcBorders>
            <w:vAlign w:val="center"/>
          </w:tcPr>
          <w:p w14:paraId="3214C5C4">
            <w:pPr>
              <w:spacing w:line="240" w:lineRule="exact"/>
              <w:jc w:val="center"/>
              <w:rPr>
                <w:rFonts w:ascii="Arial" w:hAnsi="Arial" w:eastAsia="宋体" w:cs="Arial"/>
                <w:sz w:val="21"/>
                <w:szCs w:val="21"/>
              </w:rPr>
            </w:pPr>
            <w:r>
              <w:rPr>
                <w:rFonts w:ascii="Arial" w:hAnsi="Arial" w:eastAsia="宋体" w:cs="Arial"/>
                <w:sz w:val="21"/>
                <w:szCs w:val="21"/>
              </w:rPr>
              <w:t>0.005</w:t>
            </w:r>
          </w:p>
        </w:tc>
        <w:tc>
          <w:tcPr>
            <w:tcW w:w="653" w:type="pct"/>
            <w:tcBorders>
              <w:top w:val="single" w:color="auto" w:sz="4" w:space="0"/>
              <w:left w:val="single" w:color="auto" w:sz="4" w:space="0"/>
              <w:bottom w:val="single" w:color="auto" w:sz="4" w:space="0"/>
              <w:right w:val="single" w:color="auto" w:sz="4" w:space="0"/>
            </w:tcBorders>
            <w:vAlign w:val="center"/>
          </w:tcPr>
          <w:p w14:paraId="61F3CC97">
            <w:pPr>
              <w:spacing w:line="240" w:lineRule="exact"/>
              <w:jc w:val="center"/>
              <w:rPr>
                <w:rFonts w:ascii="Arial" w:hAnsi="Arial" w:eastAsia="宋体" w:cs="Arial"/>
                <w:sz w:val="21"/>
                <w:szCs w:val="21"/>
              </w:rPr>
            </w:pPr>
            <w:r>
              <w:rPr>
                <w:rFonts w:ascii="Arial" w:hAnsi="Arial" w:eastAsia="宋体" w:cs="Arial"/>
                <w:sz w:val="21"/>
                <w:szCs w:val="21"/>
              </w:rPr>
              <w:t>6.655</w:t>
            </w:r>
          </w:p>
        </w:tc>
        <w:tc>
          <w:tcPr>
            <w:tcW w:w="652" w:type="pct"/>
            <w:tcBorders>
              <w:top w:val="single" w:color="auto" w:sz="4" w:space="0"/>
              <w:left w:val="single" w:color="auto" w:sz="4" w:space="0"/>
              <w:bottom w:val="single" w:color="auto" w:sz="4" w:space="0"/>
              <w:right w:val="single" w:color="auto" w:sz="4" w:space="0"/>
            </w:tcBorders>
            <w:vAlign w:val="center"/>
          </w:tcPr>
          <w:p w14:paraId="60FC9545">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4F75ECB">
            <w:pPr>
              <w:spacing w:line="240" w:lineRule="exact"/>
              <w:jc w:val="center"/>
              <w:rPr>
                <w:rFonts w:ascii="Arial" w:hAnsi="Arial" w:eastAsia="宋体" w:cs="Arial"/>
                <w:sz w:val="21"/>
                <w:szCs w:val="21"/>
              </w:rPr>
            </w:pPr>
            <w:r>
              <w:rPr>
                <w:rFonts w:ascii="Arial" w:hAnsi="Arial" w:eastAsia="宋体" w:cs="Arial"/>
                <w:sz w:val="21"/>
                <w:szCs w:val="21"/>
              </w:rPr>
              <w:t>6.65</w:t>
            </w:r>
          </w:p>
        </w:tc>
      </w:tr>
      <w:tr w14:paraId="36287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EE34939">
            <w:pPr>
              <w:spacing w:line="240" w:lineRule="exact"/>
              <w:jc w:val="center"/>
              <w:rPr>
                <w:rFonts w:ascii="Arial" w:hAnsi="Arial" w:eastAsia="宋体" w:cs="Arial"/>
                <w:sz w:val="21"/>
                <w:szCs w:val="21"/>
              </w:rPr>
            </w:pPr>
            <w:r>
              <w:rPr>
                <w:rFonts w:ascii="Arial" w:hAnsi="Arial" w:eastAsia="宋体" w:cs="Arial"/>
                <w:sz w:val="21"/>
                <w:szCs w:val="21"/>
              </w:rPr>
              <w:t>60</w:t>
            </w:r>
          </w:p>
        </w:tc>
        <w:tc>
          <w:tcPr>
            <w:tcW w:w="652" w:type="pct"/>
            <w:tcBorders>
              <w:top w:val="single" w:color="auto" w:sz="4" w:space="0"/>
              <w:left w:val="single" w:color="auto" w:sz="4" w:space="0"/>
              <w:bottom w:val="single" w:color="auto" w:sz="4" w:space="0"/>
              <w:right w:val="single" w:color="auto" w:sz="4" w:space="0"/>
            </w:tcBorders>
            <w:vAlign w:val="center"/>
          </w:tcPr>
          <w:p w14:paraId="507CF802">
            <w:pPr>
              <w:spacing w:line="240" w:lineRule="exact"/>
              <w:jc w:val="center"/>
              <w:rPr>
                <w:rFonts w:ascii="Arial" w:hAnsi="Arial" w:eastAsia="宋体" w:cs="Arial"/>
                <w:sz w:val="21"/>
                <w:szCs w:val="21"/>
              </w:rPr>
            </w:pPr>
            <w:r>
              <w:rPr>
                <w:rFonts w:ascii="Arial" w:hAnsi="Arial" w:eastAsia="宋体" w:cs="Arial"/>
                <w:sz w:val="21"/>
                <w:szCs w:val="21"/>
              </w:rPr>
              <w:t>8.8016</w:t>
            </w:r>
          </w:p>
        </w:tc>
        <w:tc>
          <w:tcPr>
            <w:tcW w:w="653" w:type="pct"/>
            <w:tcBorders>
              <w:top w:val="single" w:color="auto" w:sz="4" w:space="0"/>
              <w:left w:val="single" w:color="auto" w:sz="4" w:space="0"/>
              <w:bottom w:val="single" w:color="auto" w:sz="4" w:space="0"/>
              <w:right w:val="single" w:color="auto" w:sz="4" w:space="0"/>
            </w:tcBorders>
            <w:vAlign w:val="center"/>
          </w:tcPr>
          <w:p w14:paraId="65433892">
            <w:pPr>
              <w:spacing w:line="240" w:lineRule="exact"/>
              <w:jc w:val="center"/>
              <w:rPr>
                <w:rFonts w:ascii="Arial" w:hAnsi="Arial" w:eastAsia="宋体" w:cs="Arial"/>
                <w:sz w:val="21"/>
                <w:szCs w:val="21"/>
              </w:rPr>
            </w:pPr>
            <w:r>
              <w:rPr>
                <w:rFonts w:ascii="Arial" w:hAnsi="Arial" w:eastAsia="宋体" w:cs="Arial"/>
                <w:sz w:val="21"/>
                <w:szCs w:val="21"/>
              </w:rPr>
              <w:t>15.4516</w:t>
            </w:r>
          </w:p>
        </w:tc>
        <w:tc>
          <w:tcPr>
            <w:tcW w:w="652" w:type="pct"/>
            <w:tcBorders>
              <w:top w:val="single" w:color="auto" w:sz="4" w:space="0"/>
              <w:left w:val="single" w:color="auto" w:sz="4" w:space="0"/>
              <w:bottom w:val="single" w:color="auto" w:sz="4" w:space="0"/>
              <w:right w:val="single" w:color="auto" w:sz="4" w:space="0"/>
            </w:tcBorders>
            <w:vAlign w:val="center"/>
          </w:tcPr>
          <w:p w14:paraId="5EDE1CB1">
            <w:pPr>
              <w:spacing w:line="240" w:lineRule="exact"/>
              <w:jc w:val="center"/>
              <w:rPr>
                <w:rFonts w:ascii="Arial" w:hAnsi="Arial" w:eastAsia="宋体" w:cs="Arial"/>
                <w:sz w:val="21"/>
                <w:szCs w:val="21"/>
              </w:rPr>
            </w:pPr>
            <w:r>
              <w:rPr>
                <w:rFonts w:ascii="Arial" w:hAnsi="Arial" w:eastAsia="宋体" w:cs="Arial"/>
                <w:sz w:val="21"/>
                <w:szCs w:val="21"/>
              </w:rPr>
              <w:t>0.0306</w:t>
            </w:r>
          </w:p>
        </w:tc>
        <w:tc>
          <w:tcPr>
            <w:tcW w:w="653" w:type="pct"/>
            <w:tcBorders>
              <w:top w:val="single" w:color="auto" w:sz="4" w:space="0"/>
              <w:left w:val="single" w:color="auto" w:sz="4" w:space="0"/>
              <w:bottom w:val="single" w:color="auto" w:sz="4" w:space="0"/>
              <w:right w:val="single" w:color="auto" w:sz="4" w:space="0"/>
            </w:tcBorders>
            <w:vAlign w:val="center"/>
          </w:tcPr>
          <w:p w14:paraId="09FFA279">
            <w:pPr>
              <w:spacing w:line="240" w:lineRule="exact"/>
              <w:jc w:val="center"/>
              <w:rPr>
                <w:rFonts w:ascii="Arial" w:hAnsi="Arial" w:eastAsia="宋体" w:cs="Arial"/>
                <w:sz w:val="21"/>
                <w:szCs w:val="21"/>
              </w:rPr>
            </w:pPr>
            <w:r>
              <w:rPr>
                <w:rFonts w:ascii="Arial" w:hAnsi="Arial" w:eastAsia="宋体" w:cs="Arial"/>
                <w:sz w:val="21"/>
                <w:szCs w:val="21"/>
              </w:rPr>
              <w:t>6.6806</w:t>
            </w:r>
          </w:p>
        </w:tc>
        <w:tc>
          <w:tcPr>
            <w:tcW w:w="652" w:type="pct"/>
            <w:tcBorders>
              <w:top w:val="single" w:color="auto" w:sz="4" w:space="0"/>
              <w:left w:val="single" w:color="auto" w:sz="4" w:space="0"/>
              <w:bottom w:val="single" w:color="auto" w:sz="4" w:space="0"/>
              <w:right w:val="single" w:color="auto" w:sz="4" w:space="0"/>
            </w:tcBorders>
            <w:vAlign w:val="center"/>
          </w:tcPr>
          <w:p w14:paraId="2F08AC36">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AC36C8E">
            <w:pPr>
              <w:spacing w:line="240" w:lineRule="exact"/>
              <w:jc w:val="center"/>
              <w:rPr>
                <w:rFonts w:ascii="Arial" w:hAnsi="Arial" w:eastAsia="宋体" w:cs="Arial"/>
                <w:sz w:val="21"/>
                <w:szCs w:val="21"/>
              </w:rPr>
            </w:pPr>
            <w:r>
              <w:rPr>
                <w:rFonts w:ascii="Arial" w:hAnsi="Arial" w:eastAsia="宋体" w:cs="Arial"/>
                <w:sz w:val="21"/>
                <w:szCs w:val="21"/>
              </w:rPr>
              <w:t>6.65</w:t>
            </w:r>
          </w:p>
        </w:tc>
      </w:tr>
      <w:tr w14:paraId="6FC1D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4912E833">
            <w:pPr>
              <w:spacing w:line="240" w:lineRule="exact"/>
              <w:jc w:val="center"/>
              <w:rPr>
                <w:rFonts w:ascii="Arial" w:hAnsi="Arial" w:eastAsia="宋体" w:cs="Arial"/>
                <w:sz w:val="21"/>
                <w:szCs w:val="21"/>
              </w:rPr>
            </w:pPr>
            <w:r>
              <w:rPr>
                <w:rFonts w:ascii="Arial" w:hAnsi="Arial" w:eastAsia="宋体" w:cs="Arial"/>
                <w:sz w:val="21"/>
                <w:szCs w:val="21"/>
              </w:rPr>
              <w:t>80</w:t>
            </w:r>
          </w:p>
        </w:tc>
        <w:tc>
          <w:tcPr>
            <w:tcW w:w="652" w:type="pct"/>
            <w:tcBorders>
              <w:top w:val="single" w:color="auto" w:sz="4" w:space="0"/>
              <w:left w:val="single" w:color="auto" w:sz="4" w:space="0"/>
              <w:bottom w:val="single" w:color="auto" w:sz="4" w:space="0"/>
              <w:right w:val="single" w:color="auto" w:sz="4" w:space="0"/>
            </w:tcBorders>
            <w:vAlign w:val="center"/>
          </w:tcPr>
          <w:p w14:paraId="7562C431">
            <w:pPr>
              <w:spacing w:line="240" w:lineRule="exact"/>
              <w:jc w:val="center"/>
              <w:rPr>
                <w:rFonts w:ascii="Arial" w:hAnsi="Arial" w:eastAsia="宋体" w:cs="Arial"/>
                <w:sz w:val="21"/>
                <w:szCs w:val="21"/>
              </w:rPr>
            </w:pPr>
            <w:r>
              <w:rPr>
                <w:rFonts w:ascii="Arial" w:hAnsi="Arial" w:eastAsia="宋体" w:cs="Arial"/>
                <w:sz w:val="21"/>
                <w:szCs w:val="21"/>
              </w:rPr>
              <w:t>3.2379</w:t>
            </w:r>
          </w:p>
        </w:tc>
        <w:tc>
          <w:tcPr>
            <w:tcW w:w="653" w:type="pct"/>
            <w:tcBorders>
              <w:top w:val="single" w:color="auto" w:sz="4" w:space="0"/>
              <w:left w:val="single" w:color="auto" w:sz="4" w:space="0"/>
              <w:bottom w:val="single" w:color="auto" w:sz="4" w:space="0"/>
              <w:right w:val="single" w:color="auto" w:sz="4" w:space="0"/>
            </w:tcBorders>
            <w:vAlign w:val="center"/>
          </w:tcPr>
          <w:p w14:paraId="690D7992">
            <w:pPr>
              <w:spacing w:line="240" w:lineRule="exact"/>
              <w:jc w:val="center"/>
              <w:rPr>
                <w:rFonts w:ascii="Arial" w:hAnsi="Arial" w:eastAsia="宋体" w:cs="Arial"/>
                <w:sz w:val="21"/>
                <w:szCs w:val="21"/>
              </w:rPr>
            </w:pPr>
            <w:r>
              <w:rPr>
                <w:rFonts w:ascii="Arial" w:hAnsi="Arial" w:eastAsia="宋体" w:cs="Arial"/>
                <w:sz w:val="21"/>
                <w:szCs w:val="21"/>
              </w:rPr>
              <w:t>9.8879</w:t>
            </w:r>
          </w:p>
        </w:tc>
        <w:tc>
          <w:tcPr>
            <w:tcW w:w="652" w:type="pct"/>
            <w:tcBorders>
              <w:top w:val="single" w:color="auto" w:sz="4" w:space="0"/>
              <w:left w:val="single" w:color="auto" w:sz="4" w:space="0"/>
              <w:bottom w:val="single" w:color="auto" w:sz="4" w:space="0"/>
              <w:right w:val="single" w:color="auto" w:sz="4" w:space="0"/>
            </w:tcBorders>
            <w:vAlign w:val="center"/>
          </w:tcPr>
          <w:p w14:paraId="44FDB3ED">
            <w:pPr>
              <w:spacing w:line="240" w:lineRule="exact"/>
              <w:jc w:val="center"/>
              <w:rPr>
                <w:rFonts w:ascii="Arial" w:hAnsi="Arial" w:eastAsia="宋体" w:cs="Arial"/>
                <w:sz w:val="21"/>
                <w:szCs w:val="21"/>
              </w:rPr>
            </w:pPr>
            <w:r>
              <w:rPr>
                <w:rFonts w:ascii="Arial" w:hAnsi="Arial" w:eastAsia="宋体" w:cs="Arial"/>
                <w:sz w:val="21"/>
                <w:szCs w:val="21"/>
              </w:rPr>
              <w:t>0.1429</w:t>
            </w:r>
          </w:p>
        </w:tc>
        <w:tc>
          <w:tcPr>
            <w:tcW w:w="653" w:type="pct"/>
            <w:tcBorders>
              <w:top w:val="single" w:color="auto" w:sz="4" w:space="0"/>
              <w:left w:val="single" w:color="auto" w:sz="4" w:space="0"/>
              <w:bottom w:val="single" w:color="auto" w:sz="4" w:space="0"/>
              <w:right w:val="single" w:color="auto" w:sz="4" w:space="0"/>
            </w:tcBorders>
            <w:vAlign w:val="center"/>
          </w:tcPr>
          <w:p w14:paraId="53EC556D">
            <w:pPr>
              <w:spacing w:line="240" w:lineRule="exact"/>
              <w:jc w:val="center"/>
              <w:rPr>
                <w:rFonts w:ascii="Arial" w:hAnsi="Arial" w:eastAsia="宋体" w:cs="Arial"/>
                <w:sz w:val="21"/>
                <w:szCs w:val="21"/>
              </w:rPr>
            </w:pPr>
            <w:r>
              <w:rPr>
                <w:rFonts w:ascii="Arial" w:hAnsi="Arial" w:eastAsia="宋体" w:cs="Arial"/>
                <w:sz w:val="21"/>
                <w:szCs w:val="21"/>
              </w:rPr>
              <w:t>6.7929</w:t>
            </w:r>
          </w:p>
        </w:tc>
        <w:tc>
          <w:tcPr>
            <w:tcW w:w="652" w:type="pct"/>
            <w:tcBorders>
              <w:top w:val="single" w:color="auto" w:sz="4" w:space="0"/>
              <w:left w:val="single" w:color="auto" w:sz="4" w:space="0"/>
              <w:bottom w:val="single" w:color="auto" w:sz="4" w:space="0"/>
              <w:right w:val="single" w:color="auto" w:sz="4" w:space="0"/>
            </w:tcBorders>
            <w:vAlign w:val="center"/>
          </w:tcPr>
          <w:p w14:paraId="2C9617A2">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5155DF2">
            <w:pPr>
              <w:spacing w:line="240" w:lineRule="exact"/>
              <w:jc w:val="center"/>
              <w:rPr>
                <w:rFonts w:ascii="Arial" w:hAnsi="Arial" w:eastAsia="宋体" w:cs="Arial"/>
                <w:sz w:val="21"/>
                <w:szCs w:val="21"/>
              </w:rPr>
            </w:pPr>
            <w:r>
              <w:rPr>
                <w:rFonts w:ascii="Arial" w:hAnsi="Arial" w:eastAsia="宋体" w:cs="Arial"/>
                <w:sz w:val="21"/>
                <w:szCs w:val="21"/>
              </w:rPr>
              <w:t>6.65</w:t>
            </w:r>
          </w:p>
        </w:tc>
      </w:tr>
      <w:tr w14:paraId="65F1F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AE12140">
            <w:pPr>
              <w:spacing w:line="240" w:lineRule="exact"/>
              <w:jc w:val="center"/>
              <w:rPr>
                <w:rFonts w:ascii="Arial" w:hAnsi="Arial" w:eastAsia="宋体" w:cs="Arial"/>
                <w:sz w:val="21"/>
                <w:szCs w:val="21"/>
              </w:rPr>
            </w:pPr>
            <w:r>
              <w:rPr>
                <w:rFonts w:ascii="Arial" w:hAnsi="Arial" w:eastAsia="宋体" w:cs="Arial"/>
                <w:sz w:val="21"/>
                <w:szCs w:val="21"/>
              </w:rPr>
              <w:t>100</w:t>
            </w:r>
          </w:p>
        </w:tc>
        <w:tc>
          <w:tcPr>
            <w:tcW w:w="652" w:type="pct"/>
            <w:tcBorders>
              <w:top w:val="single" w:color="auto" w:sz="4" w:space="0"/>
              <w:left w:val="single" w:color="auto" w:sz="4" w:space="0"/>
              <w:bottom w:val="single" w:color="auto" w:sz="4" w:space="0"/>
              <w:right w:val="single" w:color="auto" w:sz="4" w:space="0"/>
            </w:tcBorders>
            <w:vAlign w:val="center"/>
          </w:tcPr>
          <w:p w14:paraId="29C58D90">
            <w:pPr>
              <w:spacing w:line="240" w:lineRule="exact"/>
              <w:jc w:val="center"/>
              <w:rPr>
                <w:rFonts w:ascii="Arial" w:hAnsi="Arial" w:eastAsia="宋体" w:cs="Arial"/>
                <w:sz w:val="21"/>
                <w:szCs w:val="21"/>
              </w:rPr>
            </w:pPr>
            <w:r>
              <w:rPr>
                <w:rFonts w:ascii="Arial" w:hAnsi="Arial" w:eastAsia="宋体" w:cs="Arial"/>
                <w:sz w:val="21"/>
                <w:szCs w:val="21"/>
              </w:rPr>
              <w:t>0.4382</w:t>
            </w:r>
          </w:p>
        </w:tc>
        <w:tc>
          <w:tcPr>
            <w:tcW w:w="653" w:type="pct"/>
            <w:tcBorders>
              <w:top w:val="single" w:color="auto" w:sz="4" w:space="0"/>
              <w:left w:val="single" w:color="auto" w:sz="4" w:space="0"/>
              <w:bottom w:val="single" w:color="auto" w:sz="4" w:space="0"/>
              <w:right w:val="single" w:color="auto" w:sz="4" w:space="0"/>
            </w:tcBorders>
            <w:vAlign w:val="center"/>
          </w:tcPr>
          <w:p w14:paraId="1AD483CA">
            <w:pPr>
              <w:spacing w:line="240" w:lineRule="exact"/>
              <w:jc w:val="center"/>
              <w:rPr>
                <w:rFonts w:ascii="Arial" w:hAnsi="Arial" w:eastAsia="宋体" w:cs="Arial"/>
                <w:sz w:val="21"/>
                <w:szCs w:val="21"/>
              </w:rPr>
            </w:pPr>
            <w:r>
              <w:rPr>
                <w:rFonts w:ascii="Arial" w:hAnsi="Arial" w:eastAsia="宋体" w:cs="Arial"/>
                <w:sz w:val="21"/>
                <w:szCs w:val="21"/>
              </w:rPr>
              <w:t>7.0882</w:t>
            </w:r>
          </w:p>
        </w:tc>
        <w:tc>
          <w:tcPr>
            <w:tcW w:w="652" w:type="pct"/>
            <w:tcBorders>
              <w:top w:val="single" w:color="auto" w:sz="4" w:space="0"/>
              <w:left w:val="single" w:color="auto" w:sz="4" w:space="0"/>
              <w:bottom w:val="single" w:color="auto" w:sz="4" w:space="0"/>
              <w:right w:val="single" w:color="auto" w:sz="4" w:space="0"/>
            </w:tcBorders>
            <w:vAlign w:val="center"/>
          </w:tcPr>
          <w:p w14:paraId="65D091E1">
            <w:pPr>
              <w:spacing w:line="240" w:lineRule="exact"/>
              <w:jc w:val="center"/>
              <w:rPr>
                <w:rFonts w:ascii="Arial" w:hAnsi="Arial" w:eastAsia="宋体" w:cs="Arial"/>
                <w:sz w:val="21"/>
                <w:szCs w:val="21"/>
              </w:rPr>
            </w:pPr>
            <w:r>
              <w:rPr>
                <w:rFonts w:ascii="Arial" w:hAnsi="Arial" w:eastAsia="宋体" w:cs="Arial"/>
                <w:sz w:val="21"/>
                <w:szCs w:val="21"/>
              </w:rPr>
              <w:t>0.5075</w:t>
            </w:r>
          </w:p>
        </w:tc>
        <w:tc>
          <w:tcPr>
            <w:tcW w:w="653" w:type="pct"/>
            <w:tcBorders>
              <w:top w:val="single" w:color="auto" w:sz="4" w:space="0"/>
              <w:left w:val="single" w:color="auto" w:sz="4" w:space="0"/>
              <w:bottom w:val="single" w:color="auto" w:sz="4" w:space="0"/>
              <w:right w:val="single" w:color="auto" w:sz="4" w:space="0"/>
            </w:tcBorders>
            <w:vAlign w:val="center"/>
          </w:tcPr>
          <w:p w14:paraId="0D79591B">
            <w:pPr>
              <w:spacing w:line="240" w:lineRule="exact"/>
              <w:jc w:val="center"/>
              <w:rPr>
                <w:rFonts w:ascii="Arial" w:hAnsi="Arial" w:eastAsia="宋体" w:cs="Arial"/>
                <w:sz w:val="21"/>
                <w:szCs w:val="21"/>
              </w:rPr>
            </w:pPr>
            <w:r>
              <w:rPr>
                <w:rFonts w:ascii="Arial" w:hAnsi="Arial" w:eastAsia="宋体" w:cs="Arial"/>
                <w:sz w:val="21"/>
                <w:szCs w:val="21"/>
              </w:rPr>
              <w:t>7.1575</w:t>
            </w:r>
          </w:p>
        </w:tc>
        <w:tc>
          <w:tcPr>
            <w:tcW w:w="652" w:type="pct"/>
            <w:tcBorders>
              <w:top w:val="single" w:color="auto" w:sz="4" w:space="0"/>
              <w:left w:val="single" w:color="auto" w:sz="4" w:space="0"/>
              <w:bottom w:val="single" w:color="auto" w:sz="4" w:space="0"/>
              <w:right w:val="single" w:color="auto" w:sz="4" w:space="0"/>
            </w:tcBorders>
            <w:vAlign w:val="center"/>
          </w:tcPr>
          <w:p w14:paraId="035C17A9">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F04605E">
            <w:pPr>
              <w:spacing w:line="240" w:lineRule="exact"/>
              <w:jc w:val="center"/>
              <w:rPr>
                <w:rFonts w:ascii="Arial" w:hAnsi="Arial" w:eastAsia="宋体" w:cs="Arial"/>
                <w:sz w:val="21"/>
                <w:szCs w:val="21"/>
              </w:rPr>
            </w:pPr>
            <w:r>
              <w:rPr>
                <w:rFonts w:ascii="Arial" w:hAnsi="Arial" w:eastAsia="宋体" w:cs="Arial"/>
                <w:sz w:val="21"/>
                <w:szCs w:val="21"/>
              </w:rPr>
              <w:t>6.65</w:t>
            </w:r>
          </w:p>
        </w:tc>
      </w:tr>
      <w:tr w14:paraId="785F6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F67C24E">
            <w:pPr>
              <w:spacing w:line="240" w:lineRule="exact"/>
              <w:jc w:val="center"/>
              <w:rPr>
                <w:rFonts w:ascii="Arial" w:hAnsi="Arial" w:eastAsia="宋体" w:cs="Arial"/>
                <w:sz w:val="21"/>
                <w:szCs w:val="21"/>
              </w:rPr>
            </w:pPr>
            <w:r>
              <w:rPr>
                <w:rFonts w:ascii="Arial" w:hAnsi="Arial" w:eastAsia="宋体" w:cs="Arial"/>
                <w:sz w:val="21"/>
                <w:szCs w:val="21"/>
              </w:rPr>
              <w:t>120</w:t>
            </w:r>
          </w:p>
        </w:tc>
        <w:tc>
          <w:tcPr>
            <w:tcW w:w="652" w:type="pct"/>
            <w:tcBorders>
              <w:top w:val="single" w:color="auto" w:sz="4" w:space="0"/>
              <w:left w:val="single" w:color="auto" w:sz="4" w:space="0"/>
              <w:bottom w:val="single" w:color="auto" w:sz="4" w:space="0"/>
              <w:right w:val="single" w:color="auto" w:sz="4" w:space="0"/>
            </w:tcBorders>
            <w:vAlign w:val="center"/>
          </w:tcPr>
          <w:p w14:paraId="1A95D8A5">
            <w:pPr>
              <w:spacing w:line="240" w:lineRule="exact"/>
              <w:jc w:val="center"/>
              <w:rPr>
                <w:rFonts w:ascii="Arial" w:hAnsi="Arial" w:eastAsia="宋体" w:cs="Arial"/>
                <w:sz w:val="21"/>
                <w:szCs w:val="21"/>
              </w:rPr>
            </w:pPr>
            <w:r>
              <w:rPr>
                <w:rFonts w:ascii="Arial" w:hAnsi="Arial" w:eastAsia="宋体" w:cs="Arial"/>
                <w:sz w:val="21"/>
                <w:szCs w:val="21"/>
              </w:rPr>
              <w:t>0.0218</w:t>
            </w:r>
          </w:p>
        </w:tc>
        <w:tc>
          <w:tcPr>
            <w:tcW w:w="653" w:type="pct"/>
            <w:tcBorders>
              <w:top w:val="single" w:color="auto" w:sz="4" w:space="0"/>
              <w:left w:val="single" w:color="auto" w:sz="4" w:space="0"/>
              <w:bottom w:val="single" w:color="auto" w:sz="4" w:space="0"/>
              <w:right w:val="single" w:color="auto" w:sz="4" w:space="0"/>
            </w:tcBorders>
            <w:vAlign w:val="center"/>
          </w:tcPr>
          <w:p w14:paraId="01A4EF29">
            <w:pPr>
              <w:spacing w:line="240" w:lineRule="exact"/>
              <w:jc w:val="center"/>
              <w:rPr>
                <w:rFonts w:ascii="Arial" w:hAnsi="Arial" w:eastAsia="宋体" w:cs="Arial"/>
                <w:sz w:val="21"/>
                <w:szCs w:val="21"/>
              </w:rPr>
            </w:pPr>
            <w:r>
              <w:rPr>
                <w:rFonts w:ascii="Arial" w:hAnsi="Arial" w:eastAsia="宋体" w:cs="Arial"/>
                <w:sz w:val="21"/>
                <w:szCs w:val="21"/>
              </w:rPr>
              <w:t>6.6718</w:t>
            </w:r>
          </w:p>
        </w:tc>
        <w:tc>
          <w:tcPr>
            <w:tcW w:w="652" w:type="pct"/>
            <w:tcBorders>
              <w:top w:val="single" w:color="auto" w:sz="4" w:space="0"/>
              <w:left w:val="single" w:color="auto" w:sz="4" w:space="0"/>
              <w:bottom w:val="single" w:color="auto" w:sz="4" w:space="0"/>
              <w:right w:val="single" w:color="auto" w:sz="4" w:space="0"/>
            </w:tcBorders>
            <w:vAlign w:val="center"/>
          </w:tcPr>
          <w:p w14:paraId="2F77BABB">
            <w:pPr>
              <w:spacing w:line="240" w:lineRule="exact"/>
              <w:jc w:val="center"/>
              <w:rPr>
                <w:rFonts w:ascii="Arial" w:hAnsi="Arial" w:eastAsia="宋体" w:cs="Arial"/>
                <w:sz w:val="21"/>
                <w:szCs w:val="21"/>
              </w:rPr>
            </w:pPr>
            <w:r>
              <w:rPr>
                <w:rFonts w:ascii="Arial" w:hAnsi="Arial" w:eastAsia="宋体" w:cs="Arial"/>
                <w:sz w:val="21"/>
                <w:szCs w:val="21"/>
              </w:rPr>
              <w:t>1.37</w:t>
            </w:r>
          </w:p>
        </w:tc>
        <w:tc>
          <w:tcPr>
            <w:tcW w:w="653" w:type="pct"/>
            <w:tcBorders>
              <w:top w:val="single" w:color="auto" w:sz="4" w:space="0"/>
              <w:left w:val="single" w:color="auto" w:sz="4" w:space="0"/>
              <w:bottom w:val="single" w:color="auto" w:sz="4" w:space="0"/>
              <w:right w:val="single" w:color="auto" w:sz="4" w:space="0"/>
            </w:tcBorders>
            <w:vAlign w:val="center"/>
          </w:tcPr>
          <w:p w14:paraId="1F4372AD">
            <w:pPr>
              <w:spacing w:line="240" w:lineRule="exact"/>
              <w:jc w:val="center"/>
              <w:rPr>
                <w:rFonts w:ascii="Arial" w:hAnsi="Arial" w:eastAsia="宋体" w:cs="Arial"/>
                <w:sz w:val="21"/>
                <w:szCs w:val="21"/>
              </w:rPr>
            </w:pPr>
            <w:r>
              <w:rPr>
                <w:rFonts w:ascii="Arial" w:hAnsi="Arial" w:eastAsia="宋体" w:cs="Arial"/>
                <w:sz w:val="21"/>
                <w:szCs w:val="21"/>
              </w:rPr>
              <w:t>8.02</w:t>
            </w:r>
          </w:p>
        </w:tc>
        <w:tc>
          <w:tcPr>
            <w:tcW w:w="652" w:type="pct"/>
            <w:tcBorders>
              <w:top w:val="single" w:color="auto" w:sz="4" w:space="0"/>
              <w:left w:val="single" w:color="auto" w:sz="4" w:space="0"/>
              <w:bottom w:val="single" w:color="auto" w:sz="4" w:space="0"/>
              <w:right w:val="single" w:color="auto" w:sz="4" w:space="0"/>
            </w:tcBorders>
            <w:vAlign w:val="center"/>
          </w:tcPr>
          <w:p w14:paraId="7993148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A88422C">
            <w:pPr>
              <w:spacing w:line="240" w:lineRule="exact"/>
              <w:jc w:val="center"/>
              <w:rPr>
                <w:rFonts w:ascii="Arial" w:hAnsi="Arial" w:eastAsia="宋体" w:cs="Arial"/>
                <w:sz w:val="21"/>
                <w:szCs w:val="21"/>
              </w:rPr>
            </w:pPr>
            <w:r>
              <w:rPr>
                <w:rFonts w:ascii="Arial" w:hAnsi="Arial" w:eastAsia="宋体" w:cs="Arial"/>
                <w:sz w:val="21"/>
                <w:szCs w:val="21"/>
              </w:rPr>
              <w:t>6.65</w:t>
            </w:r>
          </w:p>
        </w:tc>
      </w:tr>
      <w:tr w14:paraId="13A43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EBB5AB4">
            <w:pPr>
              <w:spacing w:line="240" w:lineRule="exact"/>
              <w:jc w:val="center"/>
              <w:rPr>
                <w:rFonts w:ascii="Arial" w:hAnsi="Arial" w:eastAsia="宋体" w:cs="Arial"/>
                <w:sz w:val="21"/>
                <w:szCs w:val="21"/>
              </w:rPr>
            </w:pPr>
            <w:r>
              <w:rPr>
                <w:rFonts w:ascii="Arial" w:hAnsi="Arial" w:eastAsia="宋体" w:cs="Arial"/>
                <w:sz w:val="21"/>
                <w:szCs w:val="21"/>
              </w:rPr>
              <w:t>140</w:t>
            </w:r>
          </w:p>
        </w:tc>
        <w:tc>
          <w:tcPr>
            <w:tcW w:w="652" w:type="pct"/>
            <w:tcBorders>
              <w:top w:val="single" w:color="auto" w:sz="4" w:space="0"/>
              <w:left w:val="single" w:color="auto" w:sz="4" w:space="0"/>
              <w:bottom w:val="single" w:color="auto" w:sz="4" w:space="0"/>
              <w:right w:val="single" w:color="auto" w:sz="4" w:space="0"/>
            </w:tcBorders>
            <w:vAlign w:val="center"/>
          </w:tcPr>
          <w:p w14:paraId="7493964F">
            <w:pPr>
              <w:spacing w:line="240" w:lineRule="exact"/>
              <w:jc w:val="center"/>
              <w:rPr>
                <w:rFonts w:ascii="Arial" w:hAnsi="Arial" w:eastAsia="宋体" w:cs="Arial"/>
                <w:sz w:val="21"/>
                <w:szCs w:val="21"/>
              </w:rPr>
            </w:pPr>
            <w:r>
              <w:rPr>
                <w:rFonts w:ascii="Arial" w:hAnsi="Arial" w:eastAsia="宋体" w:cs="Arial"/>
                <w:sz w:val="21"/>
                <w:szCs w:val="21"/>
              </w:rPr>
              <w:t>0.0004</w:t>
            </w:r>
          </w:p>
        </w:tc>
        <w:tc>
          <w:tcPr>
            <w:tcW w:w="653" w:type="pct"/>
            <w:tcBorders>
              <w:top w:val="single" w:color="auto" w:sz="4" w:space="0"/>
              <w:left w:val="single" w:color="auto" w:sz="4" w:space="0"/>
              <w:bottom w:val="single" w:color="auto" w:sz="4" w:space="0"/>
              <w:right w:val="single" w:color="auto" w:sz="4" w:space="0"/>
            </w:tcBorders>
            <w:vAlign w:val="center"/>
          </w:tcPr>
          <w:p w14:paraId="5CFA5CB1">
            <w:pPr>
              <w:spacing w:line="240" w:lineRule="exact"/>
              <w:jc w:val="center"/>
              <w:rPr>
                <w:rFonts w:ascii="Arial" w:hAnsi="Arial" w:eastAsia="宋体" w:cs="Arial"/>
                <w:sz w:val="21"/>
                <w:szCs w:val="21"/>
              </w:rPr>
            </w:pPr>
            <w:r>
              <w:rPr>
                <w:rFonts w:ascii="Arial" w:hAnsi="Arial" w:eastAsia="宋体" w:cs="Arial"/>
                <w:sz w:val="21"/>
                <w:szCs w:val="21"/>
              </w:rPr>
              <w:t>6.6504</w:t>
            </w:r>
          </w:p>
        </w:tc>
        <w:tc>
          <w:tcPr>
            <w:tcW w:w="652" w:type="pct"/>
            <w:tcBorders>
              <w:top w:val="single" w:color="auto" w:sz="4" w:space="0"/>
              <w:left w:val="single" w:color="auto" w:sz="4" w:space="0"/>
              <w:bottom w:val="single" w:color="auto" w:sz="4" w:space="0"/>
              <w:right w:val="single" w:color="auto" w:sz="4" w:space="0"/>
            </w:tcBorders>
            <w:vAlign w:val="center"/>
          </w:tcPr>
          <w:p w14:paraId="0BC2E638">
            <w:pPr>
              <w:spacing w:line="240" w:lineRule="exact"/>
              <w:jc w:val="center"/>
              <w:rPr>
                <w:rFonts w:ascii="Arial" w:hAnsi="Arial" w:eastAsia="宋体" w:cs="Arial"/>
                <w:sz w:val="21"/>
                <w:szCs w:val="21"/>
              </w:rPr>
            </w:pPr>
            <w:r>
              <w:rPr>
                <w:rFonts w:ascii="Arial" w:hAnsi="Arial" w:eastAsia="宋体" w:cs="Arial"/>
                <w:sz w:val="21"/>
                <w:szCs w:val="21"/>
              </w:rPr>
              <w:t>2.8123</w:t>
            </w:r>
          </w:p>
        </w:tc>
        <w:tc>
          <w:tcPr>
            <w:tcW w:w="653" w:type="pct"/>
            <w:tcBorders>
              <w:top w:val="single" w:color="auto" w:sz="4" w:space="0"/>
              <w:left w:val="single" w:color="auto" w:sz="4" w:space="0"/>
              <w:bottom w:val="single" w:color="auto" w:sz="4" w:space="0"/>
              <w:right w:val="single" w:color="auto" w:sz="4" w:space="0"/>
            </w:tcBorders>
            <w:vAlign w:val="center"/>
          </w:tcPr>
          <w:p w14:paraId="4F06A5BE">
            <w:pPr>
              <w:spacing w:line="240" w:lineRule="exact"/>
              <w:jc w:val="center"/>
              <w:rPr>
                <w:rFonts w:ascii="Arial" w:hAnsi="Arial" w:eastAsia="宋体" w:cs="Arial"/>
                <w:sz w:val="21"/>
                <w:szCs w:val="21"/>
              </w:rPr>
            </w:pPr>
            <w:r>
              <w:rPr>
                <w:rFonts w:ascii="Arial" w:hAnsi="Arial" w:eastAsia="宋体" w:cs="Arial"/>
                <w:sz w:val="21"/>
                <w:szCs w:val="21"/>
              </w:rPr>
              <w:t>9.4623</w:t>
            </w:r>
          </w:p>
        </w:tc>
        <w:tc>
          <w:tcPr>
            <w:tcW w:w="652" w:type="pct"/>
            <w:tcBorders>
              <w:top w:val="single" w:color="auto" w:sz="4" w:space="0"/>
              <w:left w:val="single" w:color="auto" w:sz="4" w:space="0"/>
              <w:bottom w:val="single" w:color="auto" w:sz="4" w:space="0"/>
              <w:right w:val="single" w:color="auto" w:sz="4" w:space="0"/>
            </w:tcBorders>
            <w:vAlign w:val="center"/>
          </w:tcPr>
          <w:p w14:paraId="4D115B17">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DE05EDE">
            <w:pPr>
              <w:spacing w:line="240" w:lineRule="exact"/>
              <w:jc w:val="center"/>
              <w:rPr>
                <w:rFonts w:ascii="Arial" w:hAnsi="Arial" w:eastAsia="宋体" w:cs="Arial"/>
                <w:sz w:val="21"/>
                <w:szCs w:val="21"/>
              </w:rPr>
            </w:pPr>
            <w:r>
              <w:rPr>
                <w:rFonts w:ascii="Arial" w:hAnsi="Arial" w:eastAsia="宋体" w:cs="Arial"/>
                <w:sz w:val="21"/>
                <w:szCs w:val="21"/>
              </w:rPr>
              <w:t>6.65</w:t>
            </w:r>
          </w:p>
        </w:tc>
      </w:tr>
      <w:tr w14:paraId="1A88A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E1855C7">
            <w:pPr>
              <w:spacing w:line="240" w:lineRule="exact"/>
              <w:jc w:val="center"/>
              <w:rPr>
                <w:rFonts w:ascii="Arial" w:hAnsi="Arial" w:eastAsia="宋体" w:cs="Arial"/>
                <w:sz w:val="21"/>
                <w:szCs w:val="21"/>
              </w:rPr>
            </w:pPr>
            <w:r>
              <w:rPr>
                <w:rFonts w:ascii="Arial" w:hAnsi="Arial" w:eastAsia="宋体" w:cs="Arial"/>
                <w:sz w:val="21"/>
                <w:szCs w:val="21"/>
              </w:rPr>
              <w:t>160</w:t>
            </w:r>
          </w:p>
        </w:tc>
        <w:tc>
          <w:tcPr>
            <w:tcW w:w="652" w:type="pct"/>
            <w:tcBorders>
              <w:top w:val="single" w:color="auto" w:sz="4" w:space="0"/>
              <w:left w:val="single" w:color="auto" w:sz="4" w:space="0"/>
              <w:bottom w:val="single" w:color="auto" w:sz="4" w:space="0"/>
              <w:right w:val="single" w:color="auto" w:sz="4" w:space="0"/>
            </w:tcBorders>
            <w:vAlign w:val="center"/>
          </w:tcPr>
          <w:p w14:paraId="269F6D84">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D391999">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2297E8B6">
            <w:pPr>
              <w:spacing w:line="240" w:lineRule="exact"/>
              <w:jc w:val="center"/>
              <w:rPr>
                <w:rFonts w:ascii="Arial" w:hAnsi="Arial" w:eastAsia="宋体" w:cs="Arial"/>
                <w:sz w:val="21"/>
                <w:szCs w:val="21"/>
              </w:rPr>
            </w:pPr>
            <w:r>
              <w:rPr>
                <w:rFonts w:ascii="Arial" w:hAnsi="Arial" w:eastAsia="宋体" w:cs="Arial"/>
                <w:sz w:val="21"/>
                <w:szCs w:val="21"/>
              </w:rPr>
              <w:t>4.3894</w:t>
            </w:r>
          </w:p>
        </w:tc>
        <w:tc>
          <w:tcPr>
            <w:tcW w:w="653" w:type="pct"/>
            <w:tcBorders>
              <w:top w:val="single" w:color="auto" w:sz="4" w:space="0"/>
              <w:left w:val="single" w:color="auto" w:sz="4" w:space="0"/>
              <w:bottom w:val="single" w:color="auto" w:sz="4" w:space="0"/>
              <w:right w:val="single" w:color="auto" w:sz="4" w:space="0"/>
            </w:tcBorders>
            <w:vAlign w:val="center"/>
          </w:tcPr>
          <w:p w14:paraId="38C757B3">
            <w:pPr>
              <w:spacing w:line="240" w:lineRule="exact"/>
              <w:jc w:val="center"/>
              <w:rPr>
                <w:rFonts w:ascii="Arial" w:hAnsi="Arial" w:eastAsia="宋体" w:cs="Arial"/>
                <w:sz w:val="21"/>
                <w:szCs w:val="21"/>
              </w:rPr>
            </w:pPr>
            <w:r>
              <w:rPr>
                <w:rFonts w:ascii="Arial" w:hAnsi="Arial" w:eastAsia="宋体" w:cs="Arial"/>
                <w:sz w:val="21"/>
                <w:szCs w:val="21"/>
              </w:rPr>
              <w:t>11.0394</w:t>
            </w:r>
          </w:p>
        </w:tc>
        <w:tc>
          <w:tcPr>
            <w:tcW w:w="652" w:type="pct"/>
            <w:tcBorders>
              <w:top w:val="single" w:color="auto" w:sz="4" w:space="0"/>
              <w:left w:val="single" w:color="auto" w:sz="4" w:space="0"/>
              <w:bottom w:val="single" w:color="auto" w:sz="4" w:space="0"/>
              <w:right w:val="single" w:color="auto" w:sz="4" w:space="0"/>
            </w:tcBorders>
            <w:vAlign w:val="center"/>
          </w:tcPr>
          <w:p w14:paraId="527C2FB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1404AF8">
            <w:pPr>
              <w:spacing w:line="240" w:lineRule="exact"/>
              <w:jc w:val="center"/>
              <w:rPr>
                <w:rFonts w:ascii="Arial" w:hAnsi="Arial" w:eastAsia="宋体" w:cs="Arial"/>
                <w:sz w:val="21"/>
                <w:szCs w:val="21"/>
              </w:rPr>
            </w:pPr>
            <w:r>
              <w:rPr>
                <w:rFonts w:ascii="Arial" w:hAnsi="Arial" w:eastAsia="宋体" w:cs="Arial"/>
                <w:sz w:val="21"/>
                <w:szCs w:val="21"/>
              </w:rPr>
              <w:t>6.65</w:t>
            </w:r>
          </w:p>
        </w:tc>
      </w:tr>
      <w:tr w14:paraId="02AF5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8BD31A6">
            <w:pPr>
              <w:spacing w:line="240" w:lineRule="exact"/>
              <w:jc w:val="center"/>
              <w:rPr>
                <w:rFonts w:ascii="Arial" w:hAnsi="Arial" w:eastAsia="宋体" w:cs="Arial"/>
                <w:sz w:val="21"/>
                <w:szCs w:val="21"/>
              </w:rPr>
            </w:pPr>
            <w:r>
              <w:rPr>
                <w:rFonts w:ascii="Arial" w:hAnsi="Arial" w:eastAsia="宋体" w:cs="Arial"/>
                <w:sz w:val="21"/>
                <w:szCs w:val="21"/>
              </w:rPr>
              <w:t>180</w:t>
            </w:r>
          </w:p>
        </w:tc>
        <w:tc>
          <w:tcPr>
            <w:tcW w:w="652" w:type="pct"/>
            <w:tcBorders>
              <w:top w:val="single" w:color="auto" w:sz="4" w:space="0"/>
              <w:left w:val="single" w:color="auto" w:sz="4" w:space="0"/>
              <w:bottom w:val="single" w:color="auto" w:sz="4" w:space="0"/>
              <w:right w:val="single" w:color="auto" w:sz="4" w:space="0"/>
            </w:tcBorders>
            <w:vAlign w:val="center"/>
          </w:tcPr>
          <w:p w14:paraId="5D2673A0">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72E99CE">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41CF395F">
            <w:pPr>
              <w:spacing w:line="240" w:lineRule="exact"/>
              <w:jc w:val="center"/>
              <w:rPr>
                <w:rFonts w:ascii="Arial" w:hAnsi="Arial" w:eastAsia="宋体" w:cs="Arial"/>
                <w:sz w:val="21"/>
                <w:szCs w:val="21"/>
              </w:rPr>
            </w:pPr>
            <w:r>
              <w:rPr>
                <w:rFonts w:ascii="Arial" w:hAnsi="Arial" w:eastAsia="宋体" w:cs="Arial"/>
                <w:sz w:val="21"/>
                <w:szCs w:val="21"/>
              </w:rPr>
              <w:t>5.2092</w:t>
            </w:r>
          </w:p>
        </w:tc>
        <w:tc>
          <w:tcPr>
            <w:tcW w:w="653" w:type="pct"/>
            <w:tcBorders>
              <w:top w:val="single" w:color="auto" w:sz="4" w:space="0"/>
              <w:left w:val="single" w:color="auto" w:sz="4" w:space="0"/>
              <w:bottom w:val="single" w:color="auto" w:sz="4" w:space="0"/>
              <w:right w:val="single" w:color="auto" w:sz="4" w:space="0"/>
            </w:tcBorders>
            <w:vAlign w:val="center"/>
          </w:tcPr>
          <w:p w14:paraId="45D8BA91">
            <w:pPr>
              <w:spacing w:line="240" w:lineRule="exact"/>
              <w:jc w:val="center"/>
              <w:rPr>
                <w:rFonts w:ascii="Arial" w:hAnsi="Arial" w:eastAsia="宋体" w:cs="Arial"/>
                <w:sz w:val="21"/>
                <w:szCs w:val="21"/>
              </w:rPr>
            </w:pPr>
            <w:r>
              <w:rPr>
                <w:rFonts w:ascii="Arial" w:hAnsi="Arial" w:eastAsia="宋体" w:cs="Arial"/>
                <w:sz w:val="21"/>
                <w:szCs w:val="21"/>
              </w:rPr>
              <w:t>11.8592</w:t>
            </w:r>
          </w:p>
        </w:tc>
        <w:tc>
          <w:tcPr>
            <w:tcW w:w="652" w:type="pct"/>
            <w:tcBorders>
              <w:top w:val="single" w:color="auto" w:sz="4" w:space="0"/>
              <w:left w:val="single" w:color="auto" w:sz="4" w:space="0"/>
              <w:bottom w:val="single" w:color="auto" w:sz="4" w:space="0"/>
              <w:right w:val="single" w:color="auto" w:sz="4" w:space="0"/>
            </w:tcBorders>
            <w:vAlign w:val="center"/>
          </w:tcPr>
          <w:p w14:paraId="267A2A57">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7B70108">
            <w:pPr>
              <w:spacing w:line="240" w:lineRule="exact"/>
              <w:jc w:val="center"/>
              <w:rPr>
                <w:rFonts w:ascii="Arial" w:hAnsi="Arial" w:eastAsia="宋体" w:cs="Arial"/>
                <w:sz w:val="21"/>
                <w:szCs w:val="21"/>
              </w:rPr>
            </w:pPr>
            <w:r>
              <w:rPr>
                <w:rFonts w:ascii="Arial" w:hAnsi="Arial" w:eastAsia="宋体" w:cs="Arial"/>
                <w:sz w:val="21"/>
                <w:szCs w:val="21"/>
              </w:rPr>
              <w:t>6.65</w:t>
            </w:r>
          </w:p>
        </w:tc>
      </w:tr>
      <w:tr w14:paraId="73895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BA71686">
            <w:pPr>
              <w:spacing w:line="240" w:lineRule="exact"/>
              <w:jc w:val="center"/>
              <w:rPr>
                <w:rFonts w:ascii="Arial" w:hAnsi="Arial" w:eastAsia="宋体" w:cs="Arial"/>
                <w:sz w:val="21"/>
                <w:szCs w:val="21"/>
              </w:rPr>
            </w:pPr>
            <w:r>
              <w:rPr>
                <w:rFonts w:ascii="Arial" w:hAnsi="Arial" w:eastAsia="宋体" w:cs="Arial"/>
                <w:sz w:val="21"/>
                <w:szCs w:val="21"/>
              </w:rPr>
              <w:t>200</w:t>
            </w:r>
          </w:p>
        </w:tc>
        <w:tc>
          <w:tcPr>
            <w:tcW w:w="652" w:type="pct"/>
            <w:tcBorders>
              <w:top w:val="single" w:color="auto" w:sz="4" w:space="0"/>
              <w:left w:val="single" w:color="auto" w:sz="4" w:space="0"/>
              <w:bottom w:val="single" w:color="auto" w:sz="4" w:space="0"/>
              <w:right w:val="single" w:color="auto" w:sz="4" w:space="0"/>
            </w:tcBorders>
            <w:vAlign w:val="center"/>
          </w:tcPr>
          <w:p w14:paraId="7417C448">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ED1F870">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6834CB4F">
            <w:pPr>
              <w:spacing w:line="240" w:lineRule="exact"/>
              <w:jc w:val="center"/>
              <w:rPr>
                <w:rFonts w:ascii="Arial" w:hAnsi="Arial" w:eastAsia="宋体" w:cs="Arial"/>
                <w:sz w:val="21"/>
                <w:szCs w:val="21"/>
              </w:rPr>
            </w:pPr>
            <w:r>
              <w:rPr>
                <w:rFonts w:ascii="Arial" w:hAnsi="Arial" w:eastAsia="宋体" w:cs="Arial"/>
                <w:sz w:val="21"/>
                <w:szCs w:val="21"/>
              </w:rPr>
              <w:t>4.7006</w:t>
            </w:r>
          </w:p>
        </w:tc>
        <w:tc>
          <w:tcPr>
            <w:tcW w:w="653" w:type="pct"/>
            <w:tcBorders>
              <w:top w:val="single" w:color="auto" w:sz="4" w:space="0"/>
              <w:left w:val="single" w:color="auto" w:sz="4" w:space="0"/>
              <w:bottom w:val="single" w:color="auto" w:sz="4" w:space="0"/>
              <w:right w:val="single" w:color="auto" w:sz="4" w:space="0"/>
            </w:tcBorders>
            <w:vAlign w:val="center"/>
          </w:tcPr>
          <w:p w14:paraId="4C6881BF">
            <w:pPr>
              <w:spacing w:line="240" w:lineRule="exact"/>
              <w:jc w:val="center"/>
              <w:rPr>
                <w:rFonts w:ascii="Arial" w:hAnsi="Arial" w:eastAsia="宋体" w:cs="Arial"/>
                <w:sz w:val="21"/>
                <w:szCs w:val="21"/>
              </w:rPr>
            </w:pPr>
            <w:r>
              <w:rPr>
                <w:rFonts w:ascii="Arial" w:hAnsi="Arial" w:eastAsia="宋体" w:cs="Arial"/>
                <w:sz w:val="21"/>
                <w:szCs w:val="21"/>
              </w:rPr>
              <w:t>11.3506</w:t>
            </w:r>
          </w:p>
        </w:tc>
        <w:tc>
          <w:tcPr>
            <w:tcW w:w="652" w:type="pct"/>
            <w:tcBorders>
              <w:top w:val="single" w:color="auto" w:sz="4" w:space="0"/>
              <w:left w:val="single" w:color="auto" w:sz="4" w:space="0"/>
              <w:bottom w:val="single" w:color="auto" w:sz="4" w:space="0"/>
              <w:right w:val="single" w:color="auto" w:sz="4" w:space="0"/>
            </w:tcBorders>
            <w:vAlign w:val="center"/>
          </w:tcPr>
          <w:p w14:paraId="60465360">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4F985A9">
            <w:pPr>
              <w:spacing w:line="240" w:lineRule="exact"/>
              <w:jc w:val="center"/>
              <w:rPr>
                <w:rFonts w:ascii="Arial" w:hAnsi="Arial" w:eastAsia="宋体" w:cs="Arial"/>
                <w:sz w:val="21"/>
                <w:szCs w:val="21"/>
              </w:rPr>
            </w:pPr>
            <w:r>
              <w:rPr>
                <w:rFonts w:ascii="Arial" w:hAnsi="Arial" w:eastAsia="宋体" w:cs="Arial"/>
                <w:sz w:val="21"/>
                <w:szCs w:val="21"/>
              </w:rPr>
              <w:t>6.65</w:t>
            </w:r>
          </w:p>
        </w:tc>
      </w:tr>
      <w:tr w14:paraId="32B64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7645306">
            <w:pPr>
              <w:spacing w:line="240" w:lineRule="exact"/>
              <w:jc w:val="center"/>
              <w:rPr>
                <w:rFonts w:ascii="Arial" w:hAnsi="Arial" w:eastAsia="宋体" w:cs="Arial"/>
                <w:sz w:val="21"/>
                <w:szCs w:val="21"/>
              </w:rPr>
            </w:pPr>
            <w:r>
              <w:rPr>
                <w:rFonts w:ascii="Arial" w:hAnsi="Arial" w:eastAsia="宋体" w:cs="Arial"/>
                <w:sz w:val="21"/>
                <w:szCs w:val="21"/>
              </w:rPr>
              <w:t>220</w:t>
            </w:r>
          </w:p>
        </w:tc>
        <w:tc>
          <w:tcPr>
            <w:tcW w:w="652" w:type="pct"/>
            <w:tcBorders>
              <w:top w:val="single" w:color="auto" w:sz="4" w:space="0"/>
              <w:left w:val="single" w:color="auto" w:sz="4" w:space="0"/>
              <w:bottom w:val="single" w:color="auto" w:sz="4" w:space="0"/>
              <w:right w:val="single" w:color="auto" w:sz="4" w:space="0"/>
            </w:tcBorders>
            <w:vAlign w:val="center"/>
          </w:tcPr>
          <w:p w14:paraId="5ED2122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C103212">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545DC1B1">
            <w:pPr>
              <w:spacing w:line="240" w:lineRule="exact"/>
              <w:jc w:val="center"/>
              <w:rPr>
                <w:rFonts w:ascii="Arial" w:hAnsi="Arial" w:eastAsia="宋体" w:cs="Arial"/>
                <w:sz w:val="21"/>
                <w:szCs w:val="21"/>
              </w:rPr>
            </w:pPr>
            <w:r>
              <w:rPr>
                <w:rFonts w:ascii="Arial" w:hAnsi="Arial" w:eastAsia="宋体" w:cs="Arial"/>
                <w:sz w:val="21"/>
                <w:szCs w:val="21"/>
              </w:rPr>
              <w:t>3.2252</w:t>
            </w:r>
          </w:p>
        </w:tc>
        <w:tc>
          <w:tcPr>
            <w:tcW w:w="653" w:type="pct"/>
            <w:tcBorders>
              <w:top w:val="single" w:color="auto" w:sz="4" w:space="0"/>
              <w:left w:val="single" w:color="auto" w:sz="4" w:space="0"/>
              <w:bottom w:val="single" w:color="auto" w:sz="4" w:space="0"/>
              <w:right w:val="single" w:color="auto" w:sz="4" w:space="0"/>
            </w:tcBorders>
            <w:vAlign w:val="center"/>
          </w:tcPr>
          <w:p w14:paraId="2BDC8562">
            <w:pPr>
              <w:spacing w:line="240" w:lineRule="exact"/>
              <w:jc w:val="center"/>
              <w:rPr>
                <w:rFonts w:ascii="Arial" w:hAnsi="Arial" w:eastAsia="宋体" w:cs="Arial"/>
                <w:sz w:val="21"/>
                <w:szCs w:val="21"/>
              </w:rPr>
            </w:pPr>
            <w:r>
              <w:rPr>
                <w:rFonts w:ascii="Arial" w:hAnsi="Arial" w:eastAsia="宋体" w:cs="Arial"/>
                <w:sz w:val="21"/>
                <w:szCs w:val="21"/>
              </w:rPr>
              <w:t>9.8752</w:t>
            </w:r>
          </w:p>
        </w:tc>
        <w:tc>
          <w:tcPr>
            <w:tcW w:w="652" w:type="pct"/>
            <w:tcBorders>
              <w:top w:val="single" w:color="auto" w:sz="4" w:space="0"/>
              <w:left w:val="single" w:color="auto" w:sz="4" w:space="0"/>
              <w:bottom w:val="single" w:color="auto" w:sz="4" w:space="0"/>
              <w:right w:val="single" w:color="auto" w:sz="4" w:space="0"/>
            </w:tcBorders>
            <w:vAlign w:val="center"/>
          </w:tcPr>
          <w:p w14:paraId="45F5D186">
            <w:pPr>
              <w:spacing w:line="240" w:lineRule="exact"/>
              <w:jc w:val="center"/>
              <w:rPr>
                <w:rFonts w:ascii="Arial" w:hAnsi="Arial" w:eastAsia="宋体" w:cs="Arial"/>
                <w:sz w:val="21"/>
                <w:szCs w:val="21"/>
              </w:rPr>
            </w:pPr>
            <w:r>
              <w:rPr>
                <w:rFonts w:ascii="Arial" w:hAnsi="Arial" w:eastAsia="宋体" w:cs="Arial"/>
                <w:sz w:val="21"/>
                <w:szCs w:val="21"/>
              </w:rPr>
              <w:t>0.0002</w:t>
            </w:r>
          </w:p>
        </w:tc>
        <w:tc>
          <w:tcPr>
            <w:tcW w:w="653" w:type="pct"/>
            <w:tcBorders>
              <w:top w:val="single" w:color="auto" w:sz="4" w:space="0"/>
              <w:left w:val="single" w:color="auto" w:sz="4" w:space="0"/>
              <w:bottom w:val="single" w:color="auto" w:sz="4" w:space="0"/>
              <w:right w:val="single" w:color="auto" w:sz="4" w:space="0"/>
            </w:tcBorders>
            <w:vAlign w:val="center"/>
          </w:tcPr>
          <w:p w14:paraId="0273E21E">
            <w:pPr>
              <w:spacing w:line="240" w:lineRule="exact"/>
              <w:jc w:val="center"/>
              <w:rPr>
                <w:rFonts w:ascii="Arial" w:hAnsi="Arial" w:eastAsia="宋体" w:cs="Arial"/>
                <w:sz w:val="21"/>
                <w:szCs w:val="21"/>
              </w:rPr>
            </w:pPr>
            <w:r>
              <w:rPr>
                <w:rFonts w:ascii="Arial" w:hAnsi="Arial" w:eastAsia="宋体" w:cs="Arial"/>
                <w:sz w:val="21"/>
                <w:szCs w:val="21"/>
              </w:rPr>
              <w:t>6.6502</w:t>
            </w:r>
          </w:p>
        </w:tc>
      </w:tr>
      <w:tr w14:paraId="47EF3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54C7FAF">
            <w:pPr>
              <w:spacing w:line="240" w:lineRule="exact"/>
              <w:jc w:val="center"/>
              <w:rPr>
                <w:rFonts w:ascii="Arial" w:hAnsi="Arial" w:eastAsia="宋体" w:cs="Arial"/>
                <w:sz w:val="21"/>
                <w:szCs w:val="21"/>
              </w:rPr>
            </w:pPr>
            <w:r>
              <w:rPr>
                <w:rFonts w:ascii="Arial" w:hAnsi="Arial" w:eastAsia="宋体" w:cs="Arial"/>
                <w:sz w:val="21"/>
                <w:szCs w:val="21"/>
              </w:rPr>
              <w:t>240</w:t>
            </w:r>
          </w:p>
        </w:tc>
        <w:tc>
          <w:tcPr>
            <w:tcW w:w="652" w:type="pct"/>
            <w:tcBorders>
              <w:top w:val="single" w:color="auto" w:sz="4" w:space="0"/>
              <w:left w:val="single" w:color="auto" w:sz="4" w:space="0"/>
              <w:bottom w:val="single" w:color="auto" w:sz="4" w:space="0"/>
              <w:right w:val="single" w:color="auto" w:sz="4" w:space="0"/>
            </w:tcBorders>
            <w:vAlign w:val="center"/>
          </w:tcPr>
          <w:p w14:paraId="32CB160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4198A0D">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52D1D755">
            <w:pPr>
              <w:spacing w:line="240" w:lineRule="exact"/>
              <w:jc w:val="center"/>
              <w:rPr>
                <w:rFonts w:ascii="Arial" w:hAnsi="Arial" w:eastAsia="宋体" w:cs="Arial"/>
                <w:sz w:val="21"/>
                <w:szCs w:val="21"/>
              </w:rPr>
            </w:pPr>
            <w:r>
              <w:rPr>
                <w:rFonts w:ascii="Arial" w:hAnsi="Arial" w:eastAsia="宋体" w:cs="Arial"/>
                <w:sz w:val="21"/>
                <w:szCs w:val="21"/>
              </w:rPr>
              <w:t>1.6825</w:t>
            </w:r>
          </w:p>
        </w:tc>
        <w:tc>
          <w:tcPr>
            <w:tcW w:w="653" w:type="pct"/>
            <w:tcBorders>
              <w:top w:val="single" w:color="auto" w:sz="4" w:space="0"/>
              <w:left w:val="single" w:color="auto" w:sz="4" w:space="0"/>
              <w:bottom w:val="single" w:color="auto" w:sz="4" w:space="0"/>
              <w:right w:val="single" w:color="auto" w:sz="4" w:space="0"/>
            </w:tcBorders>
            <w:vAlign w:val="center"/>
          </w:tcPr>
          <w:p w14:paraId="573EC413">
            <w:pPr>
              <w:spacing w:line="240" w:lineRule="exact"/>
              <w:jc w:val="center"/>
              <w:rPr>
                <w:rFonts w:ascii="Arial" w:hAnsi="Arial" w:eastAsia="宋体" w:cs="Arial"/>
                <w:sz w:val="21"/>
                <w:szCs w:val="21"/>
              </w:rPr>
            </w:pPr>
            <w:r>
              <w:rPr>
                <w:rFonts w:ascii="Arial" w:hAnsi="Arial" w:eastAsia="宋体" w:cs="Arial"/>
                <w:sz w:val="21"/>
                <w:szCs w:val="21"/>
              </w:rPr>
              <w:t>8.3325</w:t>
            </w:r>
          </w:p>
        </w:tc>
        <w:tc>
          <w:tcPr>
            <w:tcW w:w="652" w:type="pct"/>
            <w:tcBorders>
              <w:top w:val="single" w:color="auto" w:sz="4" w:space="0"/>
              <w:left w:val="single" w:color="auto" w:sz="4" w:space="0"/>
              <w:bottom w:val="single" w:color="auto" w:sz="4" w:space="0"/>
              <w:right w:val="single" w:color="auto" w:sz="4" w:space="0"/>
            </w:tcBorders>
            <w:vAlign w:val="center"/>
          </w:tcPr>
          <w:p w14:paraId="1DF4F1D5">
            <w:pPr>
              <w:spacing w:line="240" w:lineRule="exact"/>
              <w:jc w:val="center"/>
              <w:rPr>
                <w:rFonts w:ascii="Arial" w:hAnsi="Arial" w:eastAsia="宋体" w:cs="Arial"/>
                <w:sz w:val="21"/>
                <w:szCs w:val="21"/>
              </w:rPr>
            </w:pPr>
            <w:r>
              <w:rPr>
                <w:rFonts w:ascii="Arial" w:hAnsi="Arial" w:eastAsia="宋体" w:cs="Arial"/>
                <w:sz w:val="21"/>
                <w:szCs w:val="21"/>
              </w:rPr>
              <w:t>0.0007</w:t>
            </w:r>
          </w:p>
        </w:tc>
        <w:tc>
          <w:tcPr>
            <w:tcW w:w="653" w:type="pct"/>
            <w:tcBorders>
              <w:top w:val="single" w:color="auto" w:sz="4" w:space="0"/>
              <w:left w:val="single" w:color="auto" w:sz="4" w:space="0"/>
              <w:bottom w:val="single" w:color="auto" w:sz="4" w:space="0"/>
              <w:right w:val="single" w:color="auto" w:sz="4" w:space="0"/>
            </w:tcBorders>
            <w:vAlign w:val="center"/>
          </w:tcPr>
          <w:p w14:paraId="58EE458E">
            <w:pPr>
              <w:spacing w:line="240" w:lineRule="exact"/>
              <w:jc w:val="center"/>
              <w:rPr>
                <w:rFonts w:ascii="Arial" w:hAnsi="Arial" w:eastAsia="宋体" w:cs="Arial"/>
                <w:sz w:val="21"/>
                <w:szCs w:val="21"/>
              </w:rPr>
            </w:pPr>
            <w:r>
              <w:rPr>
                <w:rFonts w:ascii="Arial" w:hAnsi="Arial" w:eastAsia="宋体" w:cs="Arial"/>
                <w:sz w:val="21"/>
                <w:szCs w:val="21"/>
              </w:rPr>
              <w:t>6.6507</w:t>
            </w:r>
          </w:p>
        </w:tc>
      </w:tr>
      <w:tr w14:paraId="26DD6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3EF28B52">
            <w:pPr>
              <w:spacing w:line="240" w:lineRule="exact"/>
              <w:jc w:val="center"/>
              <w:rPr>
                <w:rFonts w:ascii="Arial" w:hAnsi="Arial" w:eastAsia="宋体" w:cs="Arial"/>
                <w:sz w:val="21"/>
                <w:szCs w:val="21"/>
              </w:rPr>
            </w:pPr>
            <w:r>
              <w:rPr>
                <w:rFonts w:ascii="Arial" w:hAnsi="Arial" w:eastAsia="宋体" w:cs="Arial"/>
                <w:sz w:val="21"/>
                <w:szCs w:val="21"/>
              </w:rPr>
              <w:t>260</w:t>
            </w:r>
          </w:p>
        </w:tc>
        <w:tc>
          <w:tcPr>
            <w:tcW w:w="652" w:type="pct"/>
            <w:tcBorders>
              <w:top w:val="single" w:color="auto" w:sz="4" w:space="0"/>
              <w:left w:val="single" w:color="auto" w:sz="4" w:space="0"/>
              <w:bottom w:val="single" w:color="auto" w:sz="4" w:space="0"/>
              <w:right w:val="single" w:color="auto" w:sz="4" w:space="0"/>
            </w:tcBorders>
            <w:vAlign w:val="center"/>
          </w:tcPr>
          <w:p w14:paraId="79D7A46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0CBC90E">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04ED07D0">
            <w:pPr>
              <w:spacing w:line="240" w:lineRule="exact"/>
              <w:jc w:val="center"/>
              <w:rPr>
                <w:rFonts w:ascii="Arial" w:hAnsi="Arial" w:eastAsia="宋体" w:cs="Arial"/>
                <w:sz w:val="21"/>
                <w:szCs w:val="21"/>
              </w:rPr>
            </w:pPr>
            <w:r>
              <w:rPr>
                <w:rFonts w:ascii="Arial" w:hAnsi="Arial" w:eastAsia="宋体" w:cs="Arial"/>
                <w:sz w:val="21"/>
                <w:szCs w:val="21"/>
              </w:rPr>
              <w:t>0.6674</w:t>
            </w:r>
          </w:p>
        </w:tc>
        <w:tc>
          <w:tcPr>
            <w:tcW w:w="653" w:type="pct"/>
            <w:tcBorders>
              <w:top w:val="single" w:color="auto" w:sz="4" w:space="0"/>
              <w:left w:val="single" w:color="auto" w:sz="4" w:space="0"/>
              <w:bottom w:val="single" w:color="auto" w:sz="4" w:space="0"/>
              <w:right w:val="single" w:color="auto" w:sz="4" w:space="0"/>
            </w:tcBorders>
            <w:vAlign w:val="center"/>
          </w:tcPr>
          <w:p w14:paraId="1451755B">
            <w:pPr>
              <w:spacing w:line="240" w:lineRule="exact"/>
              <w:jc w:val="center"/>
              <w:rPr>
                <w:rFonts w:ascii="Arial" w:hAnsi="Arial" w:eastAsia="宋体" w:cs="Arial"/>
                <w:sz w:val="21"/>
                <w:szCs w:val="21"/>
              </w:rPr>
            </w:pPr>
            <w:r>
              <w:rPr>
                <w:rFonts w:ascii="Arial" w:hAnsi="Arial" w:eastAsia="宋体" w:cs="Arial"/>
                <w:sz w:val="21"/>
                <w:szCs w:val="21"/>
              </w:rPr>
              <w:t>7.3174</w:t>
            </w:r>
          </w:p>
        </w:tc>
        <w:tc>
          <w:tcPr>
            <w:tcW w:w="652" w:type="pct"/>
            <w:tcBorders>
              <w:top w:val="single" w:color="auto" w:sz="4" w:space="0"/>
              <w:left w:val="single" w:color="auto" w:sz="4" w:space="0"/>
              <w:bottom w:val="single" w:color="auto" w:sz="4" w:space="0"/>
              <w:right w:val="single" w:color="auto" w:sz="4" w:space="0"/>
            </w:tcBorders>
            <w:vAlign w:val="center"/>
          </w:tcPr>
          <w:p w14:paraId="140FDFC8">
            <w:pPr>
              <w:spacing w:line="240" w:lineRule="exact"/>
              <w:jc w:val="center"/>
              <w:rPr>
                <w:rFonts w:ascii="Arial" w:hAnsi="Arial" w:eastAsia="宋体" w:cs="Arial"/>
                <w:sz w:val="21"/>
                <w:szCs w:val="21"/>
              </w:rPr>
            </w:pPr>
            <w:r>
              <w:rPr>
                <w:rFonts w:ascii="Arial" w:hAnsi="Arial" w:eastAsia="宋体" w:cs="Arial"/>
                <w:sz w:val="21"/>
                <w:szCs w:val="21"/>
              </w:rPr>
              <w:t>0.0024</w:t>
            </w:r>
          </w:p>
        </w:tc>
        <w:tc>
          <w:tcPr>
            <w:tcW w:w="653" w:type="pct"/>
            <w:tcBorders>
              <w:top w:val="single" w:color="auto" w:sz="4" w:space="0"/>
              <w:left w:val="single" w:color="auto" w:sz="4" w:space="0"/>
              <w:bottom w:val="single" w:color="auto" w:sz="4" w:space="0"/>
              <w:right w:val="single" w:color="auto" w:sz="4" w:space="0"/>
            </w:tcBorders>
            <w:vAlign w:val="center"/>
          </w:tcPr>
          <w:p w14:paraId="4008A637">
            <w:pPr>
              <w:spacing w:line="240" w:lineRule="exact"/>
              <w:jc w:val="center"/>
              <w:rPr>
                <w:rFonts w:ascii="Arial" w:hAnsi="Arial" w:eastAsia="宋体" w:cs="Arial"/>
                <w:sz w:val="21"/>
                <w:szCs w:val="21"/>
              </w:rPr>
            </w:pPr>
            <w:r>
              <w:rPr>
                <w:rFonts w:ascii="Arial" w:hAnsi="Arial" w:eastAsia="宋体" w:cs="Arial"/>
                <w:sz w:val="21"/>
                <w:szCs w:val="21"/>
              </w:rPr>
              <w:t>6.6524</w:t>
            </w:r>
          </w:p>
        </w:tc>
      </w:tr>
      <w:tr w14:paraId="646E4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794EF95">
            <w:pPr>
              <w:spacing w:line="240" w:lineRule="exact"/>
              <w:jc w:val="center"/>
              <w:rPr>
                <w:rFonts w:ascii="Arial" w:hAnsi="Arial" w:eastAsia="宋体" w:cs="Arial"/>
                <w:sz w:val="21"/>
                <w:szCs w:val="21"/>
              </w:rPr>
            </w:pPr>
            <w:r>
              <w:rPr>
                <w:rFonts w:ascii="Arial" w:hAnsi="Arial" w:eastAsia="宋体" w:cs="Arial"/>
                <w:sz w:val="21"/>
                <w:szCs w:val="21"/>
              </w:rPr>
              <w:t>280</w:t>
            </w:r>
          </w:p>
        </w:tc>
        <w:tc>
          <w:tcPr>
            <w:tcW w:w="652" w:type="pct"/>
            <w:tcBorders>
              <w:top w:val="single" w:color="auto" w:sz="4" w:space="0"/>
              <w:left w:val="single" w:color="auto" w:sz="4" w:space="0"/>
              <w:bottom w:val="single" w:color="auto" w:sz="4" w:space="0"/>
              <w:right w:val="single" w:color="auto" w:sz="4" w:space="0"/>
            </w:tcBorders>
            <w:vAlign w:val="center"/>
          </w:tcPr>
          <w:p w14:paraId="47B7EF23">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65DDA8B">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0995F59E">
            <w:pPr>
              <w:spacing w:line="240" w:lineRule="exact"/>
              <w:jc w:val="center"/>
              <w:rPr>
                <w:rFonts w:ascii="Arial" w:hAnsi="Arial" w:eastAsia="宋体" w:cs="Arial"/>
                <w:sz w:val="21"/>
                <w:szCs w:val="21"/>
              </w:rPr>
            </w:pPr>
            <w:r>
              <w:rPr>
                <w:rFonts w:ascii="Arial" w:hAnsi="Arial" w:eastAsia="宋体" w:cs="Arial"/>
                <w:sz w:val="21"/>
                <w:szCs w:val="21"/>
              </w:rPr>
              <w:t>0.2013</w:t>
            </w:r>
          </w:p>
        </w:tc>
        <w:tc>
          <w:tcPr>
            <w:tcW w:w="653" w:type="pct"/>
            <w:tcBorders>
              <w:top w:val="single" w:color="auto" w:sz="4" w:space="0"/>
              <w:left w:val="single" w:color="auto" w:sz="4" w:space="0"/>
              <w:bottom w:val="single" w:color="auto" w:sz="4" w:space="0"/>
              <w:right w:val="single" w:color="auto" w:sz="4" w:space="0"/>
            </w:tcBorders>
            <w:vAlign w:val="center"/>
          </w:tcPr>
          <w:p w14:paraId="58FC7042">
            <w:pPr>
              <w:spacing w:line="240" w:lineRule="exact"/>
              <w:jc w:val="center"/>
              <w:rPr>
                <w:rFonts w:ascii="Arial" w:hAnsi="Arial" w:eastAsia="宋体" w:cs="Arial"/>
                <w:sz w:val="21"/>
                <w:szCs w:val="21"/>
              </w:rPr>
            </w:pPr>
            <w:r>
              <w:rPr>
                <w:rFonts w:ascii="Arial" w:hAnsi="Arial" w:eastAsia="宋体" w:cs="Arial"/>
                <w:sz w:val="21"/>
                <w:szCs w:val="21"/>
              </w:rPr>
              <w:t>6.8513</w:t>
            </w:r>
          </w:p>
        </w:tc>
        <w:tc>
          <w:tcPr>
            <w:tcW w:w="652" w:type="pct"/>
            <w:tcBorders>
              <w:top w:val="single" w:color="auto" w:sz="4" w:space="0"/>
              <w:left w:val="single" w:color="auto" w:sz="4" w:space="0"/>
              <w:bottom w:val="single" w:color="auto" w:sz="4" w:space="0"/>
              <w:right w:val="single" w:color="auto" w:sz="4" w:space="0"/>
            </w:tcBorders>
            <w:vAlign w:val="center"/>
          </w:tcPr>
          <w:p w14:paraId="676B8737">
            <w:pPr>
              <w:spacing w:line="240" w:lineRule="exact"/>
              <w:jc w:val="center"/>
              <w:rPr>
                <w:rFonts w:ascii="Arial" w:hAnsi="Arial" w:eastAsia="宋体" w:cs="Arial"/>
                <w:sz w:val="21"/>
                <w:szCs w:val="21"/>
              </w:rPr>
            </w:pPr>
            <w:r>
              <w:rPr>
                <w:rFonts w:ascii="Arial" w:hAnsi="Arial" w:eastAsia="宋体" w:cs="Arial"/>
                <w:sz w:val="21"/>
                <w:szCs w:val="21"/>
              </w:rPr>
              <w:t>0.0074</w:t>
            </w:r>
          </w:p>
        </w:tc>
        <w:tc>
          <w:tcPr>
            <w:tcW w:w="653" w:type="pct"/>
            <w:tcBorders>
              <w:top w:val="single" w:color="auto" w:sz="4" w:space="0"/>
              <w:left w:val="single" w:color="auto" w:sz="4" w:space="0"/>
              <w:bottom w:val="single" w:color="auto" w:sz="4" w:space="0"/>
              <w:right w:val="single" w:color="auto" w:sz="4" w:space="0"/>
            </w:tcBorders>
            <w:vAlign w:val="center"/>
          </w:tcPr>
          <w:p w14:paraId="232F30C2">
            <w:pPr>
              <w:spacing w:line="240" w:lineRule="exact"/>
              <w:jc w:val="center"/>
              <w:rPr>
                <w:rFonts w:ascii="Arial" w:hAnsi="Arial" w:eastAsia="宋体" w:cs="Arial"/>
                <w:sz w:val="21"/>
                <w:szCs w:val="21"/>
              </w:rPr>
            </w:pPr>
            <w:r>
              <w:rPr>
                <w:rFonts w:ascii="Arial" w:hAnsi="Arial" w:eastAsia="宋体" w:cs="Arial"/>
                <w:sz w:val="21"/>
                <w:szCs w:val="21"/>
              </w:rPr>
              <w:t>6.6574</w:t>
            </w:r>
          </w:p>
        </w:tc>
      </w:tr>
      <w:tr w14:paraId="55D41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662DD6B">
            <w:pPr>
              <w:spacing w:line="240" w:lineRule="exact"/>
              <w:jc w:val="center"/>
              <w:rPr>
                <w:rFonts w:ascii="Arial" w:hAnsi="Arial" w:eastAsia="宋体" w:cs="Arial"/>
                <w:sz w:val="21"/>
                <w:szCs w:val="21"/>
              </w:rPr>
            </w:pPr>
            <w:r>
              <w:rPr>
                <w:rFonts w:ascii="Arial" w:hAnsi="Arial" w:eastAsia="宋体" w:cs="Arial"/>
                <w:sz w:val="21"/>
                <w:szCs w:val="21"/>
              </w:rPr>
              <w:t>300</w:t>
            </w:r>
          </w:p>
        </w:tc>
        <w:tc>
          <w:tcPr>
            <w:tcW w:w="652" w:type="pct"/>
            <w:tcBorders>
              <w:top w:val="single" w:color="auto" w:sz="4" w:space="0"/>
              <w:left w:val="single" w:color="auto" w:sz="4" w:space="0"/>
              <w:bottom w:val="single" w:color="auto" w:sz="4" w:space="0"/>
              <w:right w:val="single" w:color="auto" w:sz="4" w:space="0"/>
            </w:tcBorders>
            <w:vAlign w:val="center"/>
          </w:tcPr>
          <w:p w14:paraId="49D53F6A">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4EEB4EE">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249FC5C3">
            <w:pPr>
              <w:spacing w:line="240" w:lineRule="exact"/>
              <w:jc w:val="center"/>
              <w:rPr>
                <w:rFonts w:ascii="Arial" w:hAnsi="Arial" w:eastAsia="宋体" w:cs="Arial"/>
                <w:sz w:val="21"/>
                <w:szCs w:val="21"/>
              </w:rPr>
            </w:pPr>
            <w:r>
              <w:rPr>
                <w:rFonts w:ascii="Arial" w:hAnsi="Arial" w:eastAsia="宋体" w:cs="Arial"/>
                <w:sz w:val="21"/>
                <w:szCs w:val="21"/>
              </w:rPr>
              <w:t>0.0462</w:t>
            </w:r>
          </w:p>
        </w:tc>
        <w:tc>
          <w:tcPr>
            <w:tcW w:w="653" w:type="pct"/>
            <w:tcBorders>
              <w:top w:val="single" w:color="auto" w:sz="4" w:space="0"/>
              <w:left w:val="single" w:color="auto" w:sz="4" w:space="0"/>
              <w:bottom w:val="single" w:color="auto" w:sz="4" w:space="0"/>
              <w:right w:val="single" w:color="auto" w:sz="4" w:space="0"/>
            </w:tcBorders>
            <w:vAlign w:val="center"/>
          </w:tcPr>
          <w:p w14:paraId="20727F44">
            <w:pPr>
              <w:spacing w:line="240" w:lineRule="exact"/>
              <w:jc w:val="center"/>
              <w:rPr>
                <w:rFonts w:ascii="Arial" w:hAnsi="Arial" w:eastAsia="宋体" w:cs="Arial"/>
                <w:sz w:val="21"/>
                <w:szCs w:val="21"/>
              </w:rPr>
            </w:pPr>
            <w:r>
              <w:rPr>
                <w:rFonts w:ascii="Arial" w:hAnsi="Arial" w:eastAsia="宋体" w:cs="Arial"/>
                <w:sz w:val="21"/>
                <w:szCs w:val="21"/>
              </w:rPr>
              <w:t>6.6962</w:t>
            </w:r>
          </w:p>
        </w:tc>
        <w:tc>
          <w:tcPr>
            <w:tcW w:w="652" w:type="pct"/>
            <w:tcBorders>
              <w:top w:val="single" w:color="auto" w:sz="4" w:space="0"/>
              <w:left w:val="single" w:color="auto" w:sz="4" w:space="0"/>
              <w:bottom w:val="single" w:color="auto" w:sz="4" w:space="0"/>
              <w:right w:val="single" w:color="auto" w:sz="4" w:space="0"/>
            </w:tcBorders>
            <w:vAlign w:val="center"/>
          </w:tcPr>
          <w:p w14:paraId="63891ABC">
            <w:pPr>
              <w:spacing w:line="240" w:lineRule="exact"/>
              <w:jc w:val="center"/>
              <w:rPr>
                <w:rFonts w:ascii="Arial" w:hAnsi="Arial" w:eastAsia="宋体" w:cs="Arial"/>
                <w:sz w:val="21"/>
                <w:szCs w:val="21"/>
              </w:rPr>
            </w:pPr>
            <w:r>
              <w:rPr>
                <w:rFonts w:ascii="Arial" w:hAnsi="Arial" w:eastAsia="宋体" w:cs="Arial"/>
                <w:sz w:val="21"/>
                <w:szCs w:val="21"/>
              </w:rPr>
              <w:t>0.0215</w:t>
            </w:r>
          </w:p>
        </w:tc>
        <w:tc>
          <w:tcPr>
            <w:tcW w:w="653" w:type="pct"/>
            <w:tcBorders>
              <w:top w:val="single" w:color="auto" w:sz="4" w:space="0"/>
              <w:left w:val="single" w:color="auto" w:sz="4" w:space="0"/>
              <w:bottom w:val="single" w:color="auto" w:sz="4" w:space="0"/>
              <w:right w:val="single" w:color="auto" w:sz="4" w:space="0"/>
            </w:tcBorders>
            <w:vAlign w:val="center"/>
          </w:tcPr>
          <w:p w14:paraId="1DD37FA2">
            <w:pPr>
              <w:spacing w:line="240" w:lineRule="exact"/>
              <w:jc w:val="center"/>
              <w:rPr>
                <w:rFonts w:ascii="Arial" w:hAnsi="Arial" w:eastAsia="宋体" w:cs="Arial"/>
                <w:sz w:val="21"/>
                <w:szCs w:val="21"/>
              </w:rPr>
            </w:pPr>
            <w:r>
              <w:rPr>
                <w:rFonts w:ascii="Arial" w:hAnsi="Arial" w:eastAsia="宋体" w:cs="Arial"/>
                <w:sz w:val="21"/>
                <w:szCs w:val="21"/>
              </w:rPr>
              <w:t>6.6715</w:t>
            </w:r>
          </w:p>
        </w:tc>
      </w:tr>
      <w:tr w14:paraId="5E51A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452E146C">
            <w:pPr>
              <w:spacing w:line="240" w:lineRule="exact"/>
              <w:jc w:val="center"/>
              <w:rPr>
                <w:rFonts w:ascii="Arial" w:hAnsi="Arial" w:eastAsia="宋体" w:cs="Arial"/>
                <w:sz w:val="21"/>
                <w:szCs w:val="21"/>
              </w:rPr>
            </w:pPr>
            <w:r>
              <w:rPr>
                <w:rFonts w:ascii="Arial" w:hAnsi="Arial" w:eastAsia="宋体" w:cs="Arial"/>
                <w:sz w:val="21"/>
                <w:szCs w:val="21"/>
              </w:rPr>
              <w:t>320</w:t>
            </w:r>
          </w:p>
        </w:tc>
        <w:tc>
          <w:tcPr>
            <w:tcW w:w="652" w:type="pct"/>
            <w:tcBorders>
              <w:top w:val="single" w:color="auto" w:sz="4" w:space="0"/>
              <w:left w:val="single" w:color="auto" w:sz="4" w:space="0"/>
              <w:bottom w:val="single" w:color="auto" w:sz="4" w:space="0"/>
              <w:right w:val="single" w:color="auto" w:sz="4" w:space="0"/>
            </w:tcBorders>
            <w:vAlign w:val="center"/>
          </w:tcPr>
          <w:p w14:paraId="13D24090">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403992D">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1918040E">
            <w:pPr>
              <w:spacing w:line="240" w:lineRule="exact"/>
              <w:jc w:val="center"/>
              <w:rPr>
                <w:rFonts w:ascii="Arial" w:hAnsi="Arial" w:eastAsia="宋体" w:cs="Arial"/>
                <w:sz w:val="21"/>
                <w:szCs w:val="21"/>
              </w:rPr>
            </w:pPr>
            <w:r>
              <w:rPr>
                <w:rFonts w:ascii="Arial" w:hAnsi="Arial" w:eastAsia="宋体" w:cs="Arial"/>
                <w:sz w:val="21"/>
                <w:szCs w:val="21"/>
              </w:rPr>
              <w:t>0.008</w:t>
            </w:r>
          </w:p>
        </w:tc>
        <w:tc>
          <w:tcPr>
            <w:tcW w:w="653" w:type="pct"/>
            <w:tcBorders>
              <w:top w:val="single" w:color="auto" w:sz="4" w:space="0"/>
              <w:left w:val="single" w:color="auto" w:sz="4" w:space="0"/>
              <w:bottom w:val="single" w:color="auto" w:sz="4" w:space="0"/>
              <w:right w:val="single" w:color="auto" w:sz="4" w:space="0"/>
            </w:tcBorders>
            <w:vAlign w:val="center"/>
          </w:tcPr>
          <w:p w14:paraId="4960431C">
            <w:pPr>
              <w:spacing w:line="240" w:lineRule="exact"/>
              <w:jc w:val="center"/>
              <w:rPr>
                <w:rFonts w:ascii="Arial" w:hAnsi="Arial" w:eastAsia="宋体" w:cs="Arial"/>
                <w:sz w:val="21"/>
                <w:szCs w:val="21"/>
              </w:rPr>
            </w:pPr>
            <w:r>
              <w:rPr>
                <w:rFonts w:ascii="Arial" w:hAnsi="Arial" w:eastAsia="宋体" w:cs="Arial"/>
                <w:sz w:val="21"/>
                <w:szCs w:val="21"/>
              </w:rPr>
              <w:t>6.658</w:t>
            </w:r>
          </w:p>
        </w:tc>
        <w:tc>
          <w:tcPr>
            <w:tcW w:w="652" w:type="pct"/>
            <w:tcBorders>
              <w:top w:val="single" w:color="auto" w:sz="4" w:space="0"/>
              <w:left w:val="single" w:color="auto" w:sz="4" w:space="0"/>
              <w:bottom w:val="single" w:color="auto" w:sz="4" w:space="0"/>
              <w:right w:val="single" w:color="auto" w:sz="4" w:space="0"/>
            </w:tcBorders>
            <w:vAlign w:val="center"/>
          </w:tcPr>
          <w:p w14:paraId="0CFB6197">
            <w:pPr>
              <w:spacing w:line="240" w:lineRule="exact"/>
              <w:jc w:val="center"/>
              <w:rPr>
                <w:rFonts w:ascii="Arial" w:hAnsi="Arial" w:eastAsia="宋体" w:cs="Arial"/>
                <w:sz w:val="21"/>
                <w:szCs w:val="21"/>
              </w:rPr>
            </w:pPr>
            <w:r>
              <w:rPr>
                <w:rFonts w:ascii="Arial" w:hAnsi="Arial" w:eastAsia="宋体" w:cs="Arial"/>
                <w:sz w:val="21"/>
                <w:szCs w:val="21"/>
              </w:rPr>
              <w:t>0.0549</w:t>
            </w:r>
          </w:p>
        </w:tc>
        <w:tc>
          <w:tcPr>
            <w:tcW w:w="653" w:type="pct"/>
            <w:tcBorders>
              <w:top w:val="single" w:color="auto" w:sz="4" w:space="0"/>
              <w:left w:val="single" w:color="auto" w:sz="4" w:space="0"/>
              <w:bottom w:val="single" w:color="auto" w:sz="4" w:space="0"/>
              <w:right w:val="single" w:color="auto" w:sz="4" w:space="0"/>
            </w:tcBorders>
            <w:vAlign w:val="center"/>
          </w:tcPr>
          <w:p w14:paraId="22DB9E39">
            <w:pPr>
              <w:spacing w:line="240" w:lineRule="exact"/>
              <w:jc w:val="center"/>
              <w:rPr>
                <w:rFonts w:ascii="Arial" w:hAnsi="Arial" w:eastAsia="宋体" w:cs="Arial"/>
                <w:sz w:val="21"/>
                <w:szCs w:val="21"/>
              </w:rPr>
            </w:pPr>
            <w:r>
              <w:rPr>
                <w:rFonts w:ascii="Arial" w:hAnsi="Arial" w:eastAsia="宋体" w:cs="Arial"/>
                <w:sz w:val="21"/>
                <w:szCs w:val="21"/>
              </w:rPr>
              <w:t>6.7049</w:t>
            </w:r>
          </w:p>
        </w:tc>
      </w:tr>
      <w:tr w14:paraId="54B32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D3F8ECE">
            <w:pPr>
              <w:spacing w:line="240" w:lineRule="exact"/>
              <w:jc w:val="center"/>
              <w:rPr>
                <w:rFonts w:ascii="Arial" w:hAnsi="Arial" w:eastAsia="宋体" w:cs="Arial"/>
                <w:sz w:val="21"/>
                <w:szCs w:val="21"/>
              </w:rPr>
            </w:pPr>
            <w:r>
              <w:rPr>
                <w:rFonts w:ascii="Arial" w:hAnsi="Arial" w:eastAsia="宋体" w:cs="Arial"/>
                <w:sz w:val="21"/>
                <w:szCs w:val="21"/>
              </w:rPr>
              <w:t>340</w:t>
            </w:r>
          </w:p>
        </w:tc>
        <w:tc>
          <w:tcPr>
            <w:tcW w:w="652" w:type="pct"/>
            <w:tcBorders>
              <w:top w:val="single" w:color="auto" w:sz="4" w:space="0"/>
              <w:left w:val="single" w:color="auto" w:sz="4" w:space="0"/>
              <w:bottom w:val="single" w:color="auto" w:sz="4" w:space="0"/>
              <w:right w:val="single" w:color="auto" w:sz="4" w:space="0"/>
            </w:tcBorders>
            <w:vAlign w:val="center"/>
          </w:tcPr>
          <w:p w14:paraId="0A565D24">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E3FDB90">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62D6E09A">
            <w:pPr>
              <w:spacing w:line="240" w:lineRule="exact"/>
              <w:jc w:val="center"/>
              <w:rPr>
                <w:rFonts w:ascii="Arial" w:hAnsi="Arial" w:eastAsia="宋体" w:cs="Arial"/>
                <w:sz w:val="21"/>
                <w:szCs w:val="21"/>
              </w:rPr>
            </w:pPr>
            <w:r>
              <w:rPr>
                <w:rFonts w:ascii="Arial" w:hAnsi="Arial" w:eastAsia="宋体" w:cs="Arial"/>
                <w:sz w:val="21"/>
                <w:szCs w:val="21"/>
              </w:rPr>
              <w:t>0.0011</w:t>
            </w:r>
          </w:p>
        </w:tc>
        <w:tc>
          <w:tcPr>
            <w:tcW w:w="653" w:type="pct"/>
            <w:tcBorders>
              <w:top w:val="single" w:color="auto" w:sz="4" w:space="0"/>
              <w:left w:val="single" w:color="auto" w:sz="4" w:space="0"/>
              <w:bottom w:val="single" w:color="auto" w:sz="4" w:space="0"/>
              <w:right w:val="single" w:color="auto" w:sz="4" w:space="0"/>
            </w:tcBorders>
            <w:vAlign w:val="center"/>
          </w:tcPr>
          <w:p w14:paraId="6873641C">
            <w:pPr>
              <w:spacing w:line="240" w:lineRule="exact"/>
              <w:jc w:val="center"/>
              <w:rPr>
                <w:rFonts w:ascii="Arial" w:hAnsi="Arial" w:eastAsia="宋体" w:cs="Arial"/>
                <w:sz w:val="21"/>
                <w:szCs w:val="21"/>
              </w:rPr>
            </w:pPr>
            <w:r>
              <w:rPr>
                <w:rFonts w:ascii="Arial" w:hAnsi="Arial" w:eastAsia="宋体" w:cs="Arial"/>
                <w:sz w:val="21"/>
                <w:szCs w:val="21"/>
              </w:rPr>
              <w:t>6.6511</w:t>
            </w:r>
          </w:p>
        </w:tc>
        <w:tc>
          <w:tcPr>
            <w:tcW w:w="652" w:type="pct"/>
            <w:tcBorders>
              <w:top w:val="single" w:color="auto" w:sz="4" w:space="0"/>
              <w:left w:val="single" w:color="auto" w:sz="4" w:space="0"/>
              <w:bottom w:val="single" w:color="auto" w:sz="4" w:space="0"/>
              <w:right w:val="single" w:color="auto" w:sz="4" w:space="0"/>
            </w:tcBorders>
            <w:vAlign w:val="center"/>
          </w:tcPr>
          <w:p w14:paraId="2DD48327">
            <w:pPr>
              <w:spacing w:line="240" w:lineRule="exact"/>
              <w:jc w:val="center"/>
              <w:rPr>
                <w:rFonts w:ascii="Arial" w:hAnsi="Arial" w:eastAsia="宋体" w:cs="Arial"/>
                <w:sz w:val="21"/>
                <w:szCs w:val="21"/>
              </w:rPr>
            </w:pPr>
            <w:r>
              <w:rPr>
                <w:rFonts w:ascii="Arial" w:hAnsi="Arial" w:eastAsia="宋体" w:cs="Arial"/>
                <w:sz w:val="21"/>
                <w:szCs w:val="21"/>
              </w:rPr>
              <w:t>0.1286</w:t>
            </w:r>
          </w:p>
        </w:tc>
        <w:tc>
          <w:tcPr>
            <w:tcW w:w="653" w:type="pct"/>
            <w:tcBorders>
              <w:top w:val="single" w:color="auto" w:sz="4" w:space="0"/>
              <w:left w:val="single" w:color="auto" w:sz="4" w:space="0"/>
              <w:bottom w:val="single" w:color="auto" w:sz="4" w:space="0"/>
              <w:right w:val="single" w:color="auto" w:sz="4" w:space="0"/>
            </w:tcBorders>
            <w:vAlign w:val="center"/>
          </w:tcPr>
          <w:p w14:paraId="4CB8481B">
            <w:pPr>
              <w:spacing w:line="240" w:lineRule="exact"/>
              <w:jc w:val="center"/>
              <w:rPr>
                <w:rFonts w:ascii="Arial" w:hAnsi="Arial" w:eastAsia="宋体" w:cs="Arial"/>
                <w:sz w:val="21"/>
                <w:szCs w:val="21"/>
              </w:rPr>
            </w:pPr>
            <w:r>
              <w:rPr>
                <w:rFonts w:ascii="Arial" w:hAnsi="Arial" w:eastAsia="宋体" w:cs="Arial"/>
                <w:sz w:val="21"/>
                <w:szCs w:val="21"/>
              </w:rPr>
              <w:t>6.7786</w:t>
            </w:r>
          </w:p>
        </w:tc>
      </w:tr>
      <w:tr w14:paraId="1AE94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79D62C1">
            <w:pPr>
              <w:spacing w:line="240" w:lineRule="exact"/>
              <w:jc w:val="center"/>
              <w:rPr>
                <w:rFonts w:ascii="Arial" w:hAnsi="Arial" w:eastAsia="宋体" w:cs="Arial"/>
                <w:sz w:val="21"/>
                <w:szCs w:val="21"/>
              </w:rPr>
            </w:pPr>
            <w:r>
              <w:rPr>
                <w:rFonts w:ascii="Arial" w:hAnsi="Arial" w:eastAsia="宋体" w:cs="Arial"/>
                <w:sz w:val="21"/>
                <w:szCs w:val="21"/>
              </w:rPr>
              <w:t>400</w:t>
            </w:r>
          </w:p>
        </w:tc>
        <w:tc>
          <w:tcPr>
            <w:tcW w:w="652" w:type="pct"/>
            <w:tcBorders>
              <w:top w:val="single" w:color="auto" w:sz="4" w:space="0"/>
              <w:left w:val="single" w:color="auto" w:sz="4" w:space="0"/>
              <w:bottom w:val="single" w:color="auto" w:sz="4" w:space="0"/>
              <w:right w:val="single" w:color="auto" w:sz="4" w:space="0"/>
            </w:tcBorders>
            <w:vAlign w:val="center"/>
          </w:tcPr>
          <w:p w14:paraId="6BE27634">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9DD9EE7">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7625E10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637A776">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40201789">
            <w:pPr>
              <w:spacing w:line="240" w:lineRule="exact"/>
              <w:jc w:val="center"/>
              <w:rPr>
                <w:rFonts w:ascii="Arial" w:hAnsi="Arial" w:eastAsia="宋体" w:cs="Arial"/>
                <w:sz w:val="21"/>
                <w:szCs w:val="21"/>
              </w:rPr>
            </w:pPr>
            <w:r>
              <w:rPr>
                <w:rFonts w:ascii="Arial" w:hAnsi="Arial" w:eastAsia="宋体" w:cs="Arial"/>
                <w:sz w:val="21"/>
                <w:szCs w:val="21"/>
              </w:rPr>
              <w:t>0.9036</w:t>
            </w:r>
          </w:p>
        </w:tc>
        <w:tc>
          <w:tcPr>
            <w:tcW w:w="653" w:type="pct"/>
            <w:tcBorders>
              <w:top w:val="single" w:color="auto" w:sz="4" w:space="0"/>
              <w:left w:val="single" w:color="auto" w:sz="4" w:space="0"/>
              <w:bottom w:val="single" w:color="auto" w:sz="4" w:space="0"/>
              <w:right w:val="single" w:color="auto" w:sz="4" w:space="0"/>
            </w:tcBorders>
            <w:vAlign w:val="center"/>
          </w:tcPr>
          <w:p w14:paraId="2A33A90E">
            <w:pPr>
              <w:spacing w:line="240" w:lineRule="exact"/>
              <w:jc w:val="center"/>
              <w:rPr>
                <w:rFonts w:ascii="Arial" w:hAnsi="Arial" w:eastAsia="宋体" w:cs="Arial"/>
                <w:sz w:val="21"/>
                <w:szCs w:val="21"/>
              </w:rPr>
            </w:pPr>
            <w:r>
              <w:rPr>
                <w:rFonts w:ascii="Arial" w:hAnsi="Arial" w:eastAsia="宋体" w:cs="Arial"/>
                <w:sz w:val="21"/>
                <w:szCs w:val="21"/>
              </w:rPr>
              <w:t>7.5536</w:t>
            </w:r>
          </w:p>
        </w:tc>
      </w:tr>
      <w:tr w14:paraId="1748F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14CD9E6">
            <w:pPr>
              <w:spacing w:line="240" w:lineRule="exact"/>
              <w:jc w:val="center"/>
              <w:rPr>
                <w:rFonts w:ascii="Arial" w:hAnsi="Arial" w:eastAsia="宋体" w:cs="Arial"/>
                <w:sz w:val="21"/>
                <w:szCs w:val="21"/>
              </w:rPr>
            </w:pPr>
            <w:r>
              <w:rPr>
                <w:rFonts w:ascii="Arial" w:hAnsi="Arial" w:eastAsia="宋体" w:cs="Arial"/>
                <w:sz w:val="21"/>
                <w:szCs w:val="21"/>
              </w:rPr>
              <w:t>500</w:t>
            </w:r>
          </w:p>
        </w:tc>
        <w:tc>
          <w:tcPr>
            <w:tcW w:w="652" w:type="pct"/>
            <w:tcBorders>
              <w:top w:val="single" w:color="auto" w:sz="4" w:space="0"/>
              <w:left w:val="single" w:color="auto" w:sz="4" w:space="0"/>
              <w:bottom w:val="single" w:color="auto" w:sz="4" w:space="0"/>
              <w:right w:val="single" w:color="auto" w:sz="4" w:space="0"/>
            </w:tcBorders>
            <w:vAlign w:val="center"/>
          </w:tcPr>
          <w:p w14:paraId="7C5005B9">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4F87AC1">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6B89F662">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6BDF741">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60C33095">
            <w:pPr>
              <w:spacing w:line="240" w:lineRule="exact"/>
              <w:jc w:val="center"/>
              <w:rPr>
                <w:rFonts w:ascii="Arial" w:hAnsi="Arial" w:eastAsia="宋体" w:cs="Arial"/>
                <w:sz w:val="21"/>
                <w:szCs w:val="21"/>
              </w:rPr>
            </w:pPr>
            <w:r>
              <w:rPr>
                <w:rFonts w:ascii="Arial" w:hAnsi="Arial" w:eastAsia="宋体" w:cs="Arial"/>
                <w:sz w:val="21"/>
                <w:szCs w:val="21"/>
              </w:rPr>
              <w:t>3.1539</w:t>
            </w:r>
          </w:p>
        </w:tc>
        <w:tc>
          <w:tcPr>
            <w:tcW w:w="653" w:type="pct"/>
            <w:tcBorders>
              <w:top w:val="single" w:color="auto" w:sz="4" w:space="0"/>
              <w:left w:val="single" w:color="auto" w:sz="4" w:space="0"/>
              <w:bottom w:val="single" w:color="auto" w:sz="4" w:space="0"/>
              <w:right w:val="single" w:color="auto" w:sz="4" w:space="0"/>
            </w:tcBorders>
            <w:vAlign w:val="center"/>
          </w:tcPr>
          <w:p w14:paraId="3B2BB845">
            <w:pPr>
              <w:spacing w:line="240" w:lineRule="exact"/>
              <w:jc w:val="center"/>
              <w:rPr>
                <w:rFonts w:ascii="Arial" w:hAnsi="Arial" w:eastAsia="宋体" w:cs="Arial"/>
                <w:sz w:val="21"/>
                <w:szCs w:val="21"/>
              </w:rPr>
            </w:pPr>
            <w:r>
              <w:rPr>
                <w:rFonts w:ascii="Arial" w:hAnsi="Arial" w:eastAsia="宋体" w:cs="Arial"/>
                <w:sz w:val="21"/>
                <w:szCs w:val="21"/>
              </w:rPr>
              <w:t>9.8039</w:t>
            </w:r>
          </w:p>
        </w:tc>
      </w:tr>
      <w:tr w14:paraId="1E3B1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546DC37">
            <w:pPr>
              <w:spacing w:line="240" w:lineRule="exact"/>
              <w:jc w:val="center"/>
              <w:rPr>
                <w:rFonts w:ascii="Arial" w:hAnsi="Arial" w:eastAsia="宋体" w:cs="Arial"/>
                <w:sz w:val="21"/>
                <w:szCs w:val="21"/>
              </w:rPr>
            </w:pPr>
            <w:r>
              <w:rPr>
                <w:rFonts w:hint="eastAsia" w:ascii="Arial" w:hAnsi="Arial" w:eastAsia="宋体" w:cs="Arial"/>
                <w:sz w:val="21"/>
                <w:szCs w:val="21"/>
              </w:rPr>
              <w:t>6</w:t>
            </w:r>
            <w:r>
              <w:rPr>
                <w:rFonts w:ascii="Arial" w:hAnsi="Arial" w:eastAsia="宋体" w:cs="Arial"/>
                <w:sz w:val="21"/>
                <w:szCs w:val="21"/>
              </w:rPr>
              <w:t>00</w:t>
            </w:r>
          </w:p>
        </w:tc>
        <w:tc>
          <w:tcPr>
            <w:tcW w:w="652" w:type="pct"/>
            <w:tcBorders>
              <w:top w:val="single" w:color="auto" w:sz="4" w:space="0"/>
              <w:left w:val="single" w:color="auto" w:sz="4" w:space="0"/>
              <w:bottom w:val="single" w:color="auto" w:sz="4" w:space="0"/>
              <w:right w:val="single" w:color="auto" w:sz="4" w:space="0"/>
            </w:tcBorders>
            <w:vAlign w:val="center"/>
          </w:tcPr>
          <w:p w14:paraId="6A7B089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D0658B0">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47850FC2">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6BA6BAD">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48C1C2C2">
            <w:pPr>
              <w:spacing w:line="240" w:lineRule="exact"/>
              <w:jc w:val="center"/>
              <w:rPr>
                <w:rFonts w:ascii="Arial" w:hAnsi="Arial" w:eastAsia="宋体" w:cs="Arial"/>
                <w:sz w:val="21"/>
                <w:szCs w:val="21"/>
              </w:rPr>
            </w:pPr>
            <w:r>
              <w:rPr>
                <w:rFonts w:ascii="Arial" w:hAnsi="Arial" w:eastAsia="宋体" w:cs="Arial"/>
                <w:sz w:val="21"/>
                <w:szCs w:val="21"/>
              </w:rPr>
              <w:t>0.9036</w:t>
            </w:r>
          </w:p>
        </w:tc>
        <w:tc>
          <w:tcPr>
            <w:tcW w:w="653" w:type="pct"/>
            <w:tcBorders>
              <w:top w:val="single" w:color="auto" w:sz="4" w:space="0"/>
              <w:left w:val="single" w:color="auto" w:sz="4" w:space="0"/>
              <w:bottom w:val="single" w:color="auto" w:sz="4" w:space="0"/>
              <w:right w:val="single" w:color="auto" w:sz="4" w:space="0"/>
            </w:tcBorders>
            <w:vAlign w:val="center"/>
          </w:tcPr>
          <w:p w14:paraId="4C59706E">
            <w:pPr>
              <w:spacing w:line="240" w:lineRule="exact"/>
              <w:jc w:val="center"/>
              <w:rPr>
                <w:rFonts w:ascii="Arial" w:hAnsi="Arial" w:eastAsia="宋体" w:cs="Arial"/>
                <w:sz w:val="21"/>
                <w:szCs w:val="21"/>
              </w:rPr>
            </w:pPr>
            <w:r>
              <w:rPr>
                <w:rFonts w:ascii="Arial" w:hAnsi="Arial" w:eastAsia="宋体" w:cs="Arial"/>
                <w:sz w:val="21"/>
                <w:szCs w:val="21"/>
              </w:rPr>
              <w:t>7.5536</w:t>
            </w:r>
          </w:p>
        </w:tc>
      </w:tr>
      <w:tr w14:paraId="103BF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B2086B6">
            <w:pPr>
              <w:spacing w:line="240" w:lineRule="exact"/>
              <w:jc w:val="center"/>
              <w:rPr>
                <w:rFonts w:ascii="Arial" w:hAnsi="Arial" w:eastAsia="宋体" w:cs="Arial"/>
                <w:sz w:val="21"/>
                <w:szCs w:val="21"/>
              </w:rPr>
            </w:pPr>
            <w:r>
              <w:rPr>
                <w:rFonts w:ascii="Arial" w:hAnsi="Arial" w:eastAsia="宋体" w:cs="Arial"/>
                <w:sz w:val="21"/>
                <w:szCs w:val="21"/>
              </w:rPr>
              <w:t>1000</w:t>
            </w:r>
          </w:p>
        </w:tc>
        <w:tc>
          <w:tcPr>
            <w:tcW w:w="652" w:type="pct"/>
            <w:tcBorders>
              <w:top w:val="single" w:color="auto" w:sz="4" w:space="0"/>
              <w:left w:val="single" w:color="auto" w:sz="4" w:space="0"/>
              <w:bottom w:val="single" w:color="auto" w:sz="4" w:space="0"/>
              <w:right w:val="single" w:color="auto" w:sz="4" w:space="0"/>
            </w:tcBorders>
            <w:vAlign w:val="center"/>
          </w:tcPr>
          <w:p w14:paraId="09DCCE8F">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6ED00A3">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7D3E725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FB62B15">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6A9FA19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907EDD6">
            <w:pPr>
              <w:spacing w:line="240" w:lineRule="exact"/>
              <w:jc w:val="center"/>
              <w:rPr>
                <w:rFonts w:ascii="Arial" w:hAnsi="Arial" w:eastAsia="宋体" w:cs="Arial"/>
                <w:sz w:val="21"/>
                <w:szCs w:val="21"/>
              </w:rPr>
            </w:pPr>
            <w:r>
              <w:rPr>
                <w:rFonts w:ascii="Arial" w:hAnsi="Arial" w:eastAsia="宋体" w:cs="Arial"/>
                <w:sz w:val="21"/>
                <w:szCs w:val="21"/>
              </w:rPr>
              <w:t>6.65</w:t>
            </w:r>
          </w:p>
        </w:tc>
      </w:tr>
      <w:tr w14:paraId="45C0A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6863C75">
            <w:pPr>
              <w:spacing w:line="240" w:lineRule="exact"/>
              <w:jc w:val="center"/>
              <w:rPr>
                <w:rFonts w:ascii="Arial" w:hAnsi="Arial" w:eastAsia="宋体" w:cs="Arial"/>
                <w:sz w:val="21"/>
                <w:szCs w:val="21"/>
              </w:rPr>
            </w:pPr>
            <w:r>
              <w:rPr>
                <w:rFonts w:ascii="Arial" w:hAnsi="Arial" w:eastAsia="宋体" w:cs="Arial"/>
                <w:sz w:val="21"/>
                <w:szCs w:val="21"/>
              </w:rPr>
              <w:t>1200</w:t>
            </w:r>
          </w:p>
        </w:tc>
        <w:tc>
          <w:tcPr>
            <w:tcW w:w="652" w:type="pct"/>
            <w:tcBorders>
              <w:top w:val="single" w:color="auto" w:sz="4" w:space="0"/>
              <w:left w:val="single" w:color="auto" w:sz="4" w:space="0"/>
              <w:bottom w:val="single" w:color="auto" w:sz="4" w:space="0"/>
              <w:right w:val="single" w:color="auto" w:sz="4" w:space="0"/>
            </w:tcBorders>
            <w:vAlign w:val="center"/>
          </w:tcPr>
          <w:p w14:paraId="46CA4C2A">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9D8C42B">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6BEA8873">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F819406">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4918618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476340FA">
            <w:pPr>
              <w:spacing w:line="240" w:lineRule="exact"/>
              <w:jc w:val="center"/>
              <w:rPr>
                <w:rFonts w:ascii="Arial" w:hAnsi="Arial" w:eastAsia="宋体" w:cs="Arial"/>
                <w:sz w:val="21"/>
                <w:szCs w:val="21"/>
              </w:rPr>
            </w:pPr>
            <w:r>
              <w:rPr>
                <w:rFonts w:ascii="Arial" w:hAnsi="Arial" w:eastAsia="宋体" w:cs="Arial"/>
                <w:sz w:val="21"/>
                <w:szCs w:val="21"/>
              </w:rPr>
              <w:t>6.65</w:t>
            </w:r>
          </w:p>
        </w:tc>
      </w:tr>
      <w:tr w14:paraId="26029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9CA9A6E">
            <w:pPr>
              <w:spacing w:line="240" w:lineRule="exact"/>
              <w:jc w:val="center"/>
              <w:rPr>
                <w:rFonts w:ascii="Arial" w:hAnsi="Arial" w:eastAsia="宋体" w:cs="Arial"/>
                <w:sz w:val="21"/>
                <w:szCs w:val="21"/>
              </w:rPr>
            </w:pPr>
            <w:r>
              <w:rPr>
                <w:rFonts w:hint="eastAsia" w:ascii="Arial" w:hAnsi="Arial" w:eastAsia="宋体" w:cs="Arial"/>
                <w:sz w:val="21"/>
                <w:szCs w:val="21"/>
              </w:rPr>
              <w:t>1700</w:t>
            </w:r>
          </w:p>
        </w:tc>
        <w:tc>
          <w:tcPr>
            <w:tcW w:w="652" w:type="pct"/>
            <w:tcBorders>
              <w:top w:val="single" w:color="auto" w:sz="4" w:space="0"/>
              <w:left w:val="single" w:color="auto" w:sz="4" w:space="0"/>
              <w:bottom w:val="single" w:color="auto" w:sz="4" w:space="0"/>
              <w:right w:val="single" w:color="auto" w:sz="4" w:space="0"/>
            </w:tcBorders>
            <w:vAlign w:val="center"/>
          </w:tcPr>
          <w:p w14:paraId="3C931C0B">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2A7A0AB">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23CBB5B0">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905D443">
            <w:pPr>
              <w:spacing w:line="240" w:lineRule="exact"/>
              <w:jc w:val="center"/>
              <w:rPr>
                <w:rFonts w:ascii="Arial" w:hAnsi="Arial" w:eastAsia="宋体" w:cs="Arial"/>
                <w:sz w:val="21"/>
                <w:szCs w:val="21"/>
              </w:rPr>
            </w:pPr>
            <w:r>
              <w:rPr>
                <w:rFonts w:ascii="Arial" w:hAnsi="Arial" w:eastAsia="宋体" w:cs="Arial"/>
                <w:sz w:val="21"/>
                <w:szCs w:val="21"/>
              </w:rPr>
              <w:t>6.65</w:t>
            </w:r>
          </w:p>
        </w:tc>
        <w:tc>
          <w:tcPr>
            <w:tcW w:w="652" w:type="pct"/>
            <w:tcBorders>
              <w:top w:val="single" w:color="auto" w:sz="4" w:space="0"/>
              <w:left w:val="single" w:color="auto" w:sz="4" w:space="0"/>
              <w:bottom w:val="single" w:color="auto" w:sz="4" w:space="0"/>
              <w:right w:val="single" w:color="auto" w:sz="4" w:space="0"/>
            </w:tcBorders>
            <w:vAlign w:val="center"/>
          </w:tcPr>
          <w:p w14:paraId="4FACF870">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9C3C252">
            <w:pPr>
              <w:spacing w:line="240" w:lineRule="exact"/>
              <w:jc w:val="center"/>
              <w:rPr>
                <w:rFonts w:ascii="Arial" w:hAnsi="Arial" w:eastAsia="宋体" w:cs="Arial"/>
                <w:sz w:val="21"/>
                <w:szCs w:val="21"/>
              </w:rPr>
            </w:pPr>
            <w:r>
              <w:rPr>
                <w:rFonts w:ascii="Arial" w:hAnsi="Arial" w:eastAsia="宋体" w:cs="Arial"/>
                <w:sz w:val="21"/>
                <w:szCs w:val="21"/>
              </w:rPr>
              <w:t>6.65</w:t>
            </w:r>
          </w:p>
        </w:tc>
      </w:tr>
    </w:tbl>
    <w:p w14:paraId="4B8BB080">
      <w:pPr>
        <w:adjustRightInd w:val="0"/>
        <w:snapToGrid w:val="0"/>
        <w:rPr>
          <w:rFonts w:ascii="Arial" w:hAnsi="Arial" w:eastAsia="宋体" w:cs="Arial"/>
          <w:spacing w:val="10"/>
          <w:sz w:val="24"/>
          <w:szCs w:val="24"/>
        </w:rPr>
      </w:pPr>
    </w:p>
    <w:p w14:paraId="48FEED53">
      <w:pPr>
        <w:adjustRightInd w:val="0"/>
        <w:snapToGrid w:val="0"/>
        <w:rPr>
          <w:rFonts w:ascii="Arial" w:hAnsi="Arial" w:eastAsia="宋体" w:cs="Arial"/>
          <w:spacing w:val="10"/>
          <w:sz w:val="24"/>
          <w:szCs w:val="24"/>
          <w:highlight w:val="yellow"/>
        </w:rPr>
      </w:pPr>
      <w:r>
        <w:drawing>
          <wp:inline distT="0" distB="0" distL="114300" distR="114300">
            <wp:extent cx="5486400" cy="2165350"/>
            <wp:effectExtent l="5080" t="4445" r="13970" b="20955"/>
            <wp:docPr id="49" name="图表 240"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76E36649">
      <w:pPr>
        <w:adjustRightInd w:val="0"/>
        <w:snapToGrid w:val="0"/>
        <w:jc w:val="center"/>
        <w:rPr>
          <w:rFonts w:ascii="Arial" w:hAnsi="Arial" w:eastAsia="宋体" w:cs="Arial"/>
          <w:b/>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11</w:t>
      </w:r>
      <w:r>
        <w:rPr>
          <w:rFonts w:ascii="Arial" w:hAnsi="Arial" w:eastAsia="宋体" w:cs="Arial"/>
          <w:b/>
          <w:spacing w:val="10"/>
          <w:sz w:val="24"/>
          <w:szCs w:val="24"/>
        </w:rPr>
        <w:t xml:space="preserve">  事故发生后100天</w:t>
      </w:r>
      <w:r>
        <w:rPr>
          <w:rFonts w:hint="eastAsia" w:ascii="Arial" w:hAnsi="Arial" w:eastAsia="宋体" w:cs="Arial"/>
          <w:b/>
          <w:spacing w:val="10"/>
          <w:sz w:val="24"/>
          <w:szCs w:val="24"/>
        </w:rPr>
        <w:t>氨氮</w:t>
      </w:r>
      <w:r>
        <w:rPr>
          <w:rFonts w:ascii="Arial" w:hAnsi="Arial" w:eastAsia="宋体" w:cs="Arial"/>
          <w:b/>
          <w:spacing w:val="10"/>
          <w:sz w:val="24"/>
          <w:szCs w:val="24"/>
        </w:rPr>
        <w:t>浓度分布图</w:t>
      </w:r>
    </w:p>
    <w:p w14:paraId="0CD7F642">
      <w:pPr>
        <w:adjustRightInd w:val="0"/>
        <w:snapToGrid w:val="0"/>
        <w:rPr>
          <w:rFonts w:ascii="Arial" w:hAnsi="Arial" w:eastAsia="宋体" w:cs="Arial"/>
          <w:spacing w:val="10"/>
          <w:sz w:val="24"/>
          <w:szCs w:val="24"/>
          <w:highlight w:val="yellow"/>
        </w:rPr>
      </w:pPr>
      <w:r>
        <w:drawing>
          <wp:inline distT="0" distB="0" distL="114300" distR="114300">
            <wp:extent cx="5486400" cy="2461895"/>
            <wp:effectExtent l="4445" t="4445" r="14605" b="10160"/>
            <wp:docPr id="50" name="图表 241"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540EFFA4">
      <w:pPr>
        <w:adjustRightInd w:val="0"/>
        <w:snapToGrid w:val="0"/>
        <w:jc w:val="center"/>
        <w:rPr>
          <w:rFonts w:ascii="Arial" w:hAnsi="Arial" w:eastAsia="宋体" w:cs="Arial"/>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12</w:t>
      </w:r>
      <w:r>
        <w:rPr>
          <w:rFonts w:ascii="Arial" w:hAnsi="Arial" w:eastAsia="宋体" w:cs="Arial"/>
          <w:b/>
          <w:spacing w:val="10"/>
          <w:sz w:val="24"/>
          <w:szCs w:val="24"/>
        </w:rPr>
        <w:t xml:space="preserve">  事故发生后365天</w:t>
      </w:r>
      <w:r>
        <w:rPr>
          <w:rFonts w:hint="eastAsia" w:ascii="Arial" w:hAnsi="Arial" w:eastAsia="宋体" w:cs="Arial"/>
          <w:b/>
          <w:spacing w:val="10"/>
          <w:sz w:val="24"/>
          <w:szCs w:val="24"/>
        </w:rPr>
        <w:t>氨氮</w:t>
      </w:r>
      <w:r>
        <w:rPr>
          <w:rFonts w:ascii="Arial" w:hAnsi="Arial" w:eastAsia="宋体" w:cs="Arial"/>
          <w:b/>
          <w:spacing w:val="10"/>
          <w:sz w:val="24"/>
          <w:szCs w:val="24"/>
        </w:rPr>
        <w:t>浓度分布图</w:t>
      </w:r>
    </w:p>
    <w:p w14:paraId="5E722339">
      <w:pPr>
        <w:adjustRightInd w:val="0"/>
        <w:snapToGrid w:val="0"/>
        <w:jc w:val="center"/>
        <w:rPr>
          <w:rFonts w:ascii="Arial" w:hAnsi="Arial" w:eastAsia="宋体" w:cs="Arial"/>
          <w:spacing w:val="10"/>
          <w:sz w:val="24"/>
          <w:szCs w:val="24"/>
          <w:highlight w:val="yellow"/>
        </w:rPr>
      </w:pPr>
      <w:r>
        <w:drawing>
          <wp:inline distT="0" distB="0" distL="114300" distR="114300">
            <wp:extent cx="5276850" cy="2352675"/>
            <wp:effectExtent l="0" t="0" r="19050" b="9525"/>
            <wp:docPr id="51" name="图表 242"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5BBE2A15">
      <w:pPr>
        <w:adjustRightInd w:val="0"/>
        <w:snapToGrid w:val="0"/>
        <w:spacing w:line="500" w:lineRule="exact"/>
        <w:ind w:firstLine="476"/>
        <w:jc w:val="center"/>
        <w:rPr>
          <w:rFonts w:ascii="Arial" w:hAnsi="Arial" w:eastAsia="宋体" w:cs="Arial"/>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13</w:t>
      </w:r>
      <w:r>
        <w:rPr>
          <w:rFonts w:ascii="Arial" w:hAnsi="Arial" w:eastAsia="宋体" w:cs="Arial"/>
          <w:b/>
          <w:spacing w:val="10"/>
          <w:sz w:val="24"/>
          <w:szCs w:val="24"/>
        </w:rPr>
        <w:t xml:space="preserve">  事故发生后1000天</w:t>
      </w:r>
      <w:r>
        <w:rPr>
          <w:rFonts w:hint="eastAsia" w:ascii="Arial" w:hAnsi="Arial" w:eastAsia="宋体" w:cs="Arial"/>
          <w:b/>
          <w:spacing w:val="10"/>
          <w:sz w:val="24"/>
          <w:szCs w:val="24"/>
        </w:rPr>
        <w:t>氨氮</w:t>
      </w:r>
      <w:r>
        <w:rPr>
          <w:rFonts w:ascii="Arial" w:hAnsi="Arial" w:eastAsia="宋体" w:cs="Arial"/>
          <w:b/>
          <w:spacing w:val="10"/>
          <w:sz w:val="24"/>
          <w:szCs w:val="24"/>
        </w:rPr>
        <w:t>浓度分布图</w:t>
      </w:r>
    </w:p>
    <w:p w14:paraId="29614272">
      <w:pPr>
        <w:keepNext/>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洗水外排槽</w:t>
      </w:r>
      <w:r>
        <w:rPr>
          <w:rFonts w:ascii="Arial" w:hAnsi="Arial" w:eastAsia="宋体" w:cs="Arial"/>
          <w:b/>
          <w:sz w:val="24"/>
          <w:szCs w:val="24"/>
        </w:rPr>
        <w:t>泄漏</w:t>
      </w:r>
      <w:r>
        <w:rPr>
          <w:rFonts w:hint="eastAsia" w:ascii="Arial" w:hAnsi="Arial" w:eastAsia="宋体" w:cs="Arial"/>
          <w:b/>
          <w:sz w:val="24"/>
          <w:szCs w:val="24"/>
        </w:rPr>
        <w:t>硫酸盐浓度</w:t>
      </w:r>
      <w:r>
        <w:rPr>
          <w:rFonts w:ascii="Arial" w:hAnsi="Arial" w:eastAsia="宋体" w:cs="Arial"/>
          <w:b/>
          <w:sz w:val="24"/>
          <w:szCs w:val="24"/>
        </w:rPr>
        <w:t>预测结果表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173"/>
        <w:gridCol w:w="1174"/>
        <w:gridCol w:w="1173"/>
        <w:gridCol w:w="1174"/>
        <w:gridCol w:w="1173"/>
        <w:gridCol w:w="1175"/>
      </w:tblGrid>
      <w:tr w14:paraId="1EE9A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vMerge w:val="restart"/>
            <w:tcBorders>
              <w:top w:val="single" w:color="auto" w:sz="4" w:space="0"/>
              <w:left w:val="single" w:color="auto" w:sz="4" w:space="0"/>
              <w:right w:val="single" w:color="auto" w:sz="4" w:space="0"/>
              <w:tl2br w:val="single" w:color="auto" w:sz="4" w:space="0"/>
            </w:tcBorders>
            <w:vAlign w:val="center"/>
          </w:tcPr>
          <w:p w14:paraId="133EC896">
            <w:pPr>
              <w:spacing w:line="240" w:lineRule="exact"/>
              <w:jc w:val="center"/>
              <w:rPr>
                <w:rFonts w:ascii="Arial" w:hAnsi="Arial" w:eastAsia="宋体" w:cs="Arial"/>
                <w:sz w:val="21"/>
                <w:szCs w:val="21"/>
              </w:rPr>
            </w:pPr>
            <w:r>
              <w:rPr>
                <w:rFonts w:ascii="Arial" w:hAnsi="Arial" w:eastAsia="宋体" w:cs="Arial"/>
                <w:sz w:val="21"/>
                <w:szCs w:val="21"/>
              </w:rPr>
              <w:t xml:space="preserve">       浓度（</w:t>
            </w:r>
            <w:r>
              <w:rPr>
                <w:rFonts w:ascii="Arial" w:hAnsi="Arial" w:eastAsia="Times New Roman" w:cs="Arial"/>
                <w:sz w:val="21"/>
                <w:szCs w:val="21"/>
              </w:rPr>
              <w:t>m</w:t>
            </w:r>
            <w:r>
              <w:rPr>
                <w:rFonts w:ascii="Arial" w:hAnsi="Arial" w:eastAsia="宋体" w:cs="Arial"/>
                <w:sz w:val="21"/>
                <w:szCs w:val="21"/>
              </w:rPr>
              <w:t>g/L）</w:t>
            </w:r>
          </w:p>
          <w:p w14:paraId="6AA1ECAB">
            <w:pPr>
              <w:spacing w:line="240" w:lineRule="exact"/>
              <w:rPr>
                <w:rFonts w:ascii="Arial" w:hAnsi="Arial" w:eastAsia="宋体" w:cs="Arial"/>
                <w:sz w:val="21"/>
                <w:szCs w:val="21"/>
              </w:rPr>
            </w:pPr>
            <w:r>
              <w:rPr>
                <w:rFonts w:ascii="Arial" w:hAnsi="Arial" w:eastAsia="宋体" w:cs="Arial"/>
                <w:sz w:val="21"/>
                <w:szCs w:val="21"/>
              </w:rPr>
              <w:t>距离（</w:t>
            </w:r>
            <w:r>
              <w:rPr>
                <w:rFonts w:ascii="Arial" w:hAnsi="Arial" w:eastAsia="Times New Roman" w:cs="Arial"/>
                <w:sz w:val="21"/>
                <w:szCs w:val="21"/>
              </w:rPr>
              <w:t>m</w:t>
            </w:r>
            <w:r>
              <w:rPr>
                <w:rFonts w:ascii="Arial" w:hAnsi="Arial" w:eastAsia="宋体" w:cs="Arial"/>
                <w:sz w:val="21"/>
                <w:szCs w:val="21"/>
              </w:rPr>
              <w:t>）</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61015594">
            <w:pPr>
              <w:spacing w:line="240" w:lineRule="exact"/>
              <w:jc w:val="center"/>
              <w:rPr>
                <w:rFonts w:ascii="Arial" w:hAnsi="Arial" w:eastAsia="宋体" w:cs="Arial"/>
                <w:sz w:val="21"/>
                <w:szCs w:val="21"/>
              </w:rPr>
            </w:pPr>
            <w:r>
              <w:rPr>
                <w:rFonts w:ascii="Arial" w:hAnsi="Arial" w:eastAsia="宋体" w:cs="Arial"/>
                <w:sz w:val="21"/>
                <w:szCs w:val="21"/>
              </w:rPr>
              <w:t>100d</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0B3CF978">
            <w:pPr>
              <w:spacing w:line="240" w:lineRule="exact"/>
              <w:jc w:val="center"/>
              <w:rPr>
                <w:rFonts w:ascii="Arial" w:hAnsi="Arial" w:eastAsia="宋体" w:cs="Arial"/>
                <w:sz w:val="21"/>
                <w:szCs w:val="21"/>
              </w:rPr>
            </w:pPr>
            <w:r>
              <w:rPr>
                <w:rFonts w:ascii="Arial" w:hAnsi="Arial" w:eastAsia="宋体" w:cs="Arial"/>
                <w:sz w:val="21"/>
                <w:szCs w:val="21"/>
              </w:rPr>
              <w:t>365d</w:t>
            </w:r>
          </w:p>
        </w:tc>
        <w:tc>
          <w:tcPr>
            <w:tcW w:w="1305" w:type="pct"/>
            <w:gridSpan w:val="2"/>
            <w:tcBorders>
              <w:top w:val="single" w:color="auto" w:sz="4" w:space="0"/>
              <w:left w:val="single" w:color="auto" w:sz="4" w:space="0"/>
              <w:bottom w:val="single" w:color="auto" w:sz="4" w:space="0"/>
              <w:right w:val="single" w:color="auto" w:sz="4" w:space="0"/>
            </w:tcBorders>
            <w:vAlign w:val="center"/>
          </w:tcPr>
          <w:p w14:paraId="3D3B16E2">
            <w:pPr>
              <w:spacing w:line="240" w:lineRule="exact"/>
              <w:jc w:val="center"/>
              <w:rPr>
                <w:rFonts w:ascii="Arial" w:hAnsi="Arial" w:eastAsia="宋体" w:cs="Arial"/>
                <w:sz w:val="21"/>
                <w:szCs w:val="21"/>
              </w:rPr>
            </w:pPr>
            <w:r>
              <w:rPr>
                <w:rFonts w:ascii="Arial" w:hAnsi="Arial" w:eastAsia="宋体" w:cs="Arial"/>
                <w:sz w:val="21"/>
                <w:szCs w:val="21"/>
              </w:rPr>
              <w:t>1000d</w:t>
            </w:r>
          </w:p>
        </w:tc>
      </w:tr>
      <w:tr w14:paraId="26930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vMerge w:val="continue"/>
            <w:tcBorders>
              <w:left w:val="single" w:color="auto" w:sz="4" w:space="0"/>
              <w:bottom w:val="single" w:color="auto" w:sz="4" w:space="0"/>
              <w:right w:val="single" w:color="auto" w:sz="4" w:space="0"/>
              <w:tl2br w:val="single" w:color="auto" w:sz="4" w:space="0"/>
            </w:tcBorders>
            <w:vAlign w:val="center"/>
          </w:tcPr>
          <w:p w14:paraId="05EA5C41">
            <w:pPr>
              <w:spacing w:line="240" w:lineRule="exact"/>
              <w:jc w:val="center"/>
              <w:rPr>
                <w:rFonts w:ascii="Arial" w:hAnsi="Arial" w:eastAsia="宋体" w:cs="Arial"/>
                <w:sz w:val="21"/>
                <w:szCs w:val="21"/>
              </w:rPr>
            </w:pPr>
          </w:p>
        </w:tc>
        <w:tc>
          <w:tcPr>
            <w:tcW w:w="652" w:type="pct"/>
            <w:tcBorders>
              <w:top w:val="single" w:color="auto" w:sz="4" w:space="0"/>
              <w:left w:val="single" w:color="auto" w:sz="4" w:space="0"/>
              <w:bottom w:val="single" w:color="auto" w:sz="4" w:space="0"/>
              <w:right w:val="single" w:color="auto" w:sz="4" w:space="0"/>
            </w:tcBorders>
            <w:vAlign w:val="center"/>
          </w:tcPr>
          <w:p w14:paraId="0AE1DC45">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15CBEE74">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652" w:type="pct"/>
            <w:tcBorders>
              <w:top w:val="single" w:color="auto" w:sz="4" w:space="0"/>
              <w:left w:val="single" w:color="auto" w:sz="4" w:space="0"/>
              <w:bottom w:val="single" w:color="auto" w:sz="4" w:space="0"/>
              <w:right w:val="single" w:color="auto" w:sz="4" w:space="0"/>
            </w:tcBorders>
            <w:vAlign w:val="center"/>
          </w:tcPr>
          <w:p w14:paraId="4B879222">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2AFE12D2">
            <w:pPr>
              <w:spacing w:line="240" w:lineRule="exact"/>
              <w:jc w:val="center"/>
              <w:rPr>
                <w:rFonts w:ascii="Arial" w:hAnsi="Arial" w:eastAsia="宋体" w:cs="Arial"/>
                <w:sz w:val="21"/>
                <w:szCs w:val="21"/>
              </w:rPr>
            </w:pPr>
            <w:r>
              <w:rPr>
                <w:rFonts w:ascii="Arial" w:hAnsi="Arial" w:eastAsia="宋体" w:cs="Arial"/>
                <w:sz w:val="21"/>
                <w:szCs w:val="21"/>
              </w:rPr>
              <w:t>预测值</w:t>
            </w:r>
          </w:p>
        </w:tc>
        <w:tc>
          <w:tcPr>
            <w:tcW w:w="652" w:type="pct"/>
            <w:tcBorders>
              <w:top w:val="single" w:color="auto" w:sz="4" w:space="0"/>
              <w:left w:val="single" w:color="auto" w:sz="4" w:space="0"/>
              <w:bottom w:val="single" w:color="auto" w:sz="4" w:space="0"/>
              <w:right w:val="single" w:color="auto" w:sz="4" w:space="0"/>
            </w:tcBorders>
            <w:vAlign w:val="center"/>
          </w:tcPr>
          <w:p w14:paraId="7024CE6A">
            <w:pPr>
              <w:spacing w:line="240" w:lineRule="exact"/>
              <w:jc w:val="center"/>
              <w:rPr>
                <w:rFonts w:ascii="Arial" w:hAnsi="Arial" w:eastAsia="宋体" w:cs="Arial"/>
                <w:sz w:val="21"/>
                <w:szCs w:val="21"/>
              </w:rPr>
            </w:pPr>
            <w:r>
              <w:rPr>
                <w:rFonts w:ascii="Arial" w:hAnsi="Arial" w:eastAsia="宋体" w:cs="Arial"/>
                <w:sz w:val="21"/>
                <w:szCs w:val="21"/>
              </w:rPr>
              <w:t>贡献值</w:t>
            </w:r>
          </w:p>
        </w:tc>
        <w:tc>
          <w:tcPr>
            <w:tcW w:w="653" w:type="pct"/>
            <w:tcBorders>
              <w:top w:val="single" w:color="auto" w:sz="4" w:space="0"/>
              <w:left w:val="single" w:color="auto" w:sz="4" w:space="0"/>
              <w:bottom w:val="single" w:color="auto" w:sz="4" w:space="0"/>
              <w:right w:val="single" w:color="auto" w:sz="4" w:space="0"/>
            </w:tcBorders>
            <w:vAlign w:val="center"/>
          </w:tcPr>
          <w:p w14:paraId="4F0FA753">
            <w:pPr>
              <w:spacing w:line="240" w:lineRule="exact"/>
              <w:jc w:val="center"/>
              <w:rPr>
                <w:rFonts w:ascii="Arial" w:hAnsi="Arial" w:eastAsia="宋体" w:cs="Arial"/>
                <w:sz w:val="21"/>
                <w:szCs w:val="21"/>
              </w:rPr>
            </w:pPr>
            <w:r>
              <w:rPr>
                <w:rFonts w:ascii="Arial" w:hAnsi="Arial" w:eastAsia="宋体" w:cs="Arial"/>
                <w:sz w:val="21"/>
                <w:szCs w:val="21"/>
              </w:rPr>
              <w:t>预测值</w:t>
            </w:r>
          </w:p>
        </w:tc>
      </w:tr>
      <w:tr w14:paraId="3CCC6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287DB02">
            <w:pPr>
              <w:spacing w:line="240" w:lineRule="exact"/>
              <w:jc w:val="center"/>
              <w:rPr>
                <w:rFonts w:ascii="Arial" w:hAnsi="Arial" w:eastAsia="宋体" w:cs="Arial"/>
                <w:sz w:val="21"/>
                <w:szCs w:val="21"/>
              </w:rPr>
            </w:pPr>
            <w:r>
              <w:rPr>
                <w:rFonts w:hint="eastAsia" w:ascii="Arial" w:hAnsi="Arial" w:eastAsia="宋体" w:cs="Arial"/>
                <w:sz w:val="21"/>
                <w:szCs w:val="21"/>
              </w:rPr>
              <w:t>10</w:t>
            </w:r>
          </w:p>
        </w:tc>
        <w:tc>
          <w:tcPr>
            <w:tcW w:w="652" w:type="pct"/>
            <w:tcBorders>
              <w:top w:val="single" w:color="auto" w:sz="4" w:space="0"/>
              <w:left w:val="single" w:color="auto" w:sz="4" w:space="0"/>
              <w:bottom w:val="single" w:color="auto" w:sz="4" w:space="0"/>
              <w:right w:val="single" w:color="auto" w:sz="4" w:space="0"/>
            </w:tcBorders>
            <w:vAlign w:val="center"/>
          </w:tcPr>
          <w:p w14:paraId="60E9C201">
            <w:pPr>
              <w:spacing w:line="240" w:lineRule="exact"/>
              <w:jc w:val="center"/>
              <w:rPr>
                <w:rFonts w:ascii="Arial" w:hAnsi="Arial" w:eastAsia="宋体" w:cs="Arial"/>
                <w:sz w:val="21"/>
                <w:szCs w:val="21"/>
              </w:rPr>
            </w:pPr>
            <w:r>
              <w:rPr>
                <w:rFonts w:ascii="Arial" w:hAnsi="Arial" w:eastAsia="宋体" w:cs="Arial"/>
                <w:sz w:val="21"/>
                <w:szCs w:val="21"/>
              </w:rPr>
              <w:t>39.3356</w:t>
            </w:r>
          </w:p>
        </w:tc>
        <w:tc>
          <w:tcPr>
            <w:tcW w:w="653" w:type="pct"/>
            <w:tcBorders>
              <w:top w:val="single" w:color="auto" w:sz="4" w:space="0"/>
              <w:left w:val="single" w:color="auto" w:sz="4" w:space="0"/>
              <w:bottom w:val="single" w:color="auto" w:sz="4" w:space="0"/>
              <w:right w:val="single" w:color="auto" w:sz="4" w:space="0"/>
            </w:tcBorders>
            <w:vAlign w:val="center"/>
          </w:tcPr>
          <w:p w14:paraId="02C477F5">
            <w:pPr>
              <w:spacing w:line="240" w:lineRule="exact"/>
              <w:jc w:val="center"/>
              <w:rPr>
                <w:rFonts w:ascii="Arial" w:hAnsi="Arial" w:eastAsia="宋体" w:cs="Arial"/>
                <w:sz w:val="21"/>
                <w:szCs w:val="21"/>
              </w:rPr>
            </w:pPr>
            <w:r>
              <w:rPr>
                <w:rFonts w:ascii="Arial" w:hAnsi="Arial" w:eastAsia="宋体" w:cs="Arial"/>
                <w:sz w:val="21"/>
                <w:szCs w:val="21"/>
              </w:rPr>
              <w:t>867.3356</w:t>
            </w:r>
          </w:p>
        </w:tc>
        <w:tc>
          <w:tcPr>
            <w:tcW w:w="652" w:type="pct"/>
            <w:tcBorders>
              <w:top w:val="single" w:color="auto" w:sz="4" w:space="0"/>
              <w:left w:val="single" w:color="auto" w:sz="4" w:space="0"/>
              <w:bottom w:val="single" w:color="auto" w:sz="4" w:space="0"/>
              <w:right w:val="single" w:color="auto" w:sz="4" w:space="0"/>
            </w:tcBorders>
            <w:vAlign w:val="center"/>
          </w:tcPr>
          <w:p w14:paraId="463AB271">
            <w:pPr>
              <w:spacing w:line="240" w:lineRule="exact"/>
              <w:jc w:val="center"/>
              <w:rPr>
                <w:rFonts w:ascii="Arial" w:hAnsi="Arial" w:eastAsia="宋体" w:cs="Arial"/>
                <w:sz w:val="21"/>
                <w:szCs w:val="21"/>
              </w:rPr>
            </w:pPr>
            <w:r>
              <w:rPr>
                <w:rFonts w:ascii="Arial" w:hAnsi="Arial" w:eastAsia="宋体" w:cs="Arial"/>
                <w:sz w:val="21"/>
                <w:szCs w:val="21"/>
              </w:rPr>
              <w:t>0.0057</w:t>
            </w:r>
          </w:p>
        </w:tc>
        <w:tc>
          <w:tcPr>
            <w:tcW w:w="653" w:type="pct"/>
            <w:tcBorders>
              <w:top w:val="single" w:color="auto" w:sz="4" w:space="0"/>
              <w:left w:val="single" w:color="auto" w:sz="4" w:space="0"/>
              <w:bottom w:val="single" w:color="auto" w:sz="4" w:space="0"/>
              <w:right w:val="single" w:color="auto" w:sz="4" w:space="0"/>
            </w:tcBorders>
            <w:vAlign w:val="center"/>
          </w:tcPr>
          <w:p w14:paraId="54DC7AFC">
            <w:pPr>
              <w:spacing w:line="240" w:lineRule="exact"/>
              <w:jc w:val="center"/>
              <w:rPr>
                <w:rFonts w:ascii="Arial" w:hAnsi="Arial" w:eastAsia="宋体" w:cs="Arial"/>
                <w:sz w:val="21"/>
                <w:szCs w:val="21"/>
              </w:rPr>
            </w:pPr>
            <w:r>
              <w:rPr>
                <w:rFonts w:ascii="Arial" w:hAnsi="Arial" w:eastAsia="宋体" w:cs="Arial"/>
                <w:sz w:val="21"/>
                <w:szCs w:val="21"/>
              </w:rPr>
              <w:t>828.0057</w:t>
            </w:r>
          </w:p>
        </w:tc>
        <w:tc>
          <w:tcPr>
            <w:tcW w:w="652" w:type="pct"/>
            <w:tcBorders>
              <w:top w:val="single" w:color="auto" w:sz="4" w:space="0"/>
              <w:left w:val="single" w:color="auto" w:sz="4" w:space="0"/>
              <w:bottom w:val="single" w:color="auto" w:sz="4" w:space="0"/>
              <w:right w:val="single" w:color="auto" w:sz="4" w:space="0"/>
            </w:tcBorders>
            <w:vAlign w:val="center"/>
          </w:tcPr>
          <w:p w14:paraId="2966EF8A">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D003A60">
            <w:pPr>
              <w:spacing w:line="240" w:lineRule="exact"/>
              <w:jc w:val="center"/>
              <w:rPr>
                <w:rFonts w:ascii="Arial" w:hAnsi="Arial" w:eastAsia="宋体" w:cs="Arial"/>
                <w:sz w:val="21"/>
                <w:szCs w:val="21"/>
              </w:rPr>
            </w:pPr>
            <w:r>
              <w:rPr>
                <w:rFonts w:ascii="Arial" w:hAnsi="Arial" w:eastAsia="宋体" w:cs="Arial"/>
                <w:sz w:val="21"/>
                <w:szCs w:val="21"/>
              </w:rPr>
              <w:t>828</w:t>
            </w:r>
          </w:p>
        </w:tc>
      </w:tr>
      <w:tr w14:paraId="0E54D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966E105">
            <w:pPr>
              <w:spacing w:line="240" w:lineRule="exact"/>
              <w:jc w:val="center"/>
              <w:rPr>
                <w:rFonts w:ascii="Arial" w:hAnsi="Arial" w:eastAsia="宋体" w:cs="Arial"/>
                <w:sz w:val="21"/>
                <w:szCs w:val="21"/>
              </w:rPr>
            </w:pPr>
            <w:r>
              <w:rPr>
                <w:rFonts w:ascii="Arial" w:hAnsi="Arial" w:eastAsia="宋体" w:cs="Arial"/>
                <w:sz w:val="21"/>
                <w:szCs w:val="21"/>
              </w:rPr>
              <w:t>20</w:t>
            </w:r>
          </w:p>
        </w:tc>
        <w:tc>
          <w:tcPr>
            <w:tcW w:w="652" w:type="pct"/>
            <w:tcBorders>
              <w:top w:val="single" w:color="auto" w:sz="4" w:space="0"/>
              <w:left w:val="single" w:color="auto" w:sz="4" w:space="0"/>
              <w:bottom w:val="single" w:color="auto" w:sz="4" w:space="0"/>
              <w:right w:val="single" w:color="auto" w:sz="4" w:space="0"/>
            </w:tcBorders>
            <w:vAlign w:val="center"/>
          </w:tcPr>
          <w:p w14:paraId="4AD32221">
            <w:pPr>
              <w:spacing w:line="240" w:lineRule="exact"/>
              <w:jc w:val="center"/>
              <w:rPr>
                <w:rFonts w:ascii="Arial" w:hAnsi="Arial" w:eastAsia="宋体" w:cs="Arial"/>
                <w:sz w:val="21"/>
                <w:szCs w:val="21"/>
              </w:rPr>
            </w:pPr>
            <w:r>
              <w:rPr>
                <w:rFonts w:ascii="Arial" w:hAnsi="Arial" w:eastAsia="宋体" w:cs="Arial"/>
                <w:sz w:val="21"/>
                <w:szCs w:val="21"/>
              </w:rPr>
              <w:t>94.3611</w:t>
            </w:r>
          </w:p>
        </w:tc>
        <w:tc>
          <w:tcPr>
            <w:tcW w:w="653" w:type="pct"/>
            <w:tcBorders>
              <w:top w:val="single" w:color="auto" w:sz="4" w:space="0"/>
              <w:left w:val="single" w:color="auto" w:sz="4" w:space="0"/>
              <w:bottom w:val="single" w:color="auto" w:sz="4" w:space="0"/>
              <w:right w:val="single" w:color="auto" w:sz="4" w:space="0"/>
            </w:tcBorders>
            <w:vAlign w:val="center"/>
          </w:tcPr>
          <w:p w14:paraId="20D1375D">
            <w:pPr>
              <w:spacing w:line="240" w:lineRule="exact"/>
              <w:jc w:val="center"/>
              <w:rPr>
                <w:rFonts w:ascii="Arial" w:hAnsi="Arial" w:eastAsia="宋体" w:cs="Arial"/>
                <w:sz w:val="21"/>
                <w:szCs w:val="21"/>
              </w:rPr>
            </w:pPr>
            <w:r>
              <w:rPr>
                <w:rFonts w:ascii="Arial" w:hAnsi="Arial" w:eastAsia="宋体" w:cs="Arial"/>
                <w:sz w:val="21"/>
                <w:szCs w:val="21"/>
              </w:rPr>
              <w:t>922.3611</w:t>
            </w:r>
          </w:p>
        </w:tc>
        <w:tc>
          <w:tcPr>
            <w:tcW w:w="652" w:type="pct"/>
            <w:tcBorders>
              <w:top w:val="single" w:color="auto" w:sz="4" w:space="0"/>
              <w:left w:val="single" w:color="auto" w:sz="4" w:space="0"/>
              <w:bottom w:val="single" w:color="auto" w:sz="4" w:space="0"/>
              <w:right w:val="single" w:color="auto" w:sz="4" w:space="0"/>
            </w:tcBorders>
            <w:vAlign w:val="center"/>
          </w:tcPr>
          <w:p w14:paraId="1545A96E">
            <w:pPr>
              <w:spacing w:line="240" w:lineRule="exact"/>
              <w:jc w:val="center"/>
              <w:rPr>
                <w:rFonts w:ascii="Arial" w:hAnsi="Arial" w:eastAsia="宋体" w:cs="Arial"/>
                <w:sz w:val="21"/>
                <w:szCs w:val="21"/>
              </w:rPr>
            </w:pPr>
            <w:r>
              <w:rPr>
                <w:rFonts w:ascii="Arial" w:hAnsi="Arial" w:eastAsia="宋体" w:cs="Arial"/>
                <w:sz w:val="21"/>
                <w:szCs w:val="21"/>
              </w:rPr>
              <w:t>0.018</w:t>
            </w:r>
          </w:p>
        </w:tc>
        <w:tc>
          <w:tcPr>
            <w:tcW w:w="653" w:type="pct"/>
            <w:tcBorders>
              <w:top w:val="single" w:color="auto" w:sz="4" w:space="0"/>
              <w:left w:val="single" w:color="auto" w:sz="4" w:space="0"/>
              <w:bottom w:val="single" w:color="auto" w:sz="4" w:space="0"/>
              <w:right w:val="single" w:color="auto" w:sz="4" w:space="0"/>
            </w:tcBorders>
            <w:vAlign w:val="center"/>
          </w:tcPr>
          <w:p w14:paraId="2C818EBE">
            <w:pPr>
              <w:spacing w:line="240" w:lineRule="exact"/>
              <w:jc w:val="center"/>
              <w:rPr>
                <w:rFonts w:ascii="Arial" w:hAnsi="Arial" w:eastAsia="宋体" w:cs="Arial"/>
                <w:sz w:val="21"/>
                <w:szCs w:val="21"/>
              </w:rPr>
            </w:pPr>
            <w:r>
              <w:rPr>
                <w:rFonts w:ascii="Arial" w:hAnsi="Arial" w:eastAsia="宋体" w:cs="Arial"/>
                <w:sz w:val="21"/>
                <w:szCs w:val="21"/>
              </w:rPr>
              <w:t>828.018</w:t>
            </w:r>
          </w:p>
        </w:tc>
        <w:tc>
          <w:tcPr>
            <w:tcW w:w="652" w:type="pct"/>
            <w:tcBorders>
              <w:top w:val="single" w:color="auto" w:sz="4" w:space="0"/>
              <w:left w:val="single" w:color="auto" w:sz="4" w:space="0"/>
              <w:bottom w:val="single" w:color="auto" w:sz="4" w:space="0"/>
              <w:right w:val="single" w:color="auto" w:sz="4" w:space="0"/>
            </w:tcBorders>
            <w:vAlign w:val="center"/>
          </w:tcPr>
          <w:p w14:paraId="014DE83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4D1591F">
            <w:pPr>
              <w:spacing w:line="240" w:lineRule="exact"/>
              <w:jc w:val="center"/>
              <w:rPr>
                <w:rFonts w:ascii="Arial" w:hAnsi="Arial" w:eastAsia="宋体" w:cs="Arial"/>
                <w:sz w:val="21"/>
                <w:szCs w:val="21"/>
              </w:rPr>
            </w:pPr>
            <w:r>
              <w:rPr>
                <w:rFonts w:ascii="Arial" w:hAnsi="Arial" w:eastAsia="宋体" w:cs="Arial"/>
                <w:sz w:val="21"/>
                <w:szCs w:val="21"/>
              </w:rPr>
              <w:t>828</w:t>
            </w:r>
          </w:p>
        </w:tc>
      </w:tr>
      <w:tr w14:paraId="54C16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717A997">
            <w:pPr>
              <w:spacing w:line="240" w:lineRule="exact"/>
              <w:jc w:val="center"/>
              <w:rPr>
                <w:rFonts w:ascii="Arial" w:hAnsi="Arial" w:eastAsia="宋体" w:cs="Arial"/>
                <w:sz w:val="21"/>
                <w:szCs w:val="21"/>
              </w:rPr>
            </w:pPr>
            <w:r>
              <w:rPr>
                <w:rFonts w:ascii="Arial" w:hAnsi="Arial" w:eastAsia="宋体" w:cs="Arial"/>
                <w:sz w:val="21"/>
                <w:szCs w:val="21"/>
              </w:rPr>
              <w:t>40</w:t>
            </w:r>
          </w:p>
        </w:tc>
        <w:tc>
          <w:tcPr>
            <w:tcW w:w="652" w:type="pct"/>
            <w:tcBorders>
              <w:top w:val="single" w:color="auto" w:sz="4" w:space="0"/>
              <w:left w:val="single" w:color="auto" w:sz="4" w:space="0"/>
              <w:bottom w:val="single" w:color="auto" w:sz="4" w:space="0"/>
              <w:right w:val="single" w:color="auto" w:sz="4" w:space="0"/>
            </w:tcBorders>
            <w:vAlign w:val="center"/>
          </w:tcPr>
          <w:p w14:paraId="11D1FFF4">
            <w:pPr>
              <w:spacing w:line="240" w:lineRule="exact"/>
              <w:jc w:val="center"/>
              <w:rPr>
                <w:rFonts w:ascii="Arial" w:hAnsi="Arial" w:eastAsia="宋体" w:cs="Arial"/>
                <w:sz w:val="21"/>
                <w:szCs w:val="21"/>
              </w:rPr>
            </w:pPr>
            <w:r>
              <w:rPr>
                <w:rFonts w:ascii="Arial" w:hAnsi="Arial" w:eastAsia="宋体" w:cs="Arial"/>
                <w:sz w:val="21"/>
                <w:szCs w:val="21"/>
              </w:rPr>
              <w:t>256.5</w:t>
            </w:r>
          </w:p>
        </w:tc>
        <w:tc>
          <w:tcPr>
            <w:tcW w:w="653" w:type="pct"/>
            <w:tcBorders>
              <w:top w:val="single" w:color="auto" w:sz="4" w:space="0"/>
              <w:left w:val="single" w:color="auto" w:sz="4" w:space="0"/>
              <w:bottom w:val="single" w:color="auto" w:sz="4" w:space="0"/>
              <w:right w:val="single" w:color="auto" w:sz="4" w:space="0"/>
            </w:tcBorders>
            <w:vAlign w:val="center"/>
          </w:tcPr>
          <w:p w14:paraId="4054F9A0">
            <w:pPr>
              <w:spacing w:line="240" w:lineRule="exact"/>
              <w:jc w:val="center"/>
              <w:rPr>
                <w:rFonts w:ascii="Arial" w:hAnsi="Arial" w:eastAsia="宋体" w:cs="Arial"/>
                <w:sz w:val="21"/>
                <w:szCs w:val="21"/>
              </w:rPr>
            </w:pPr>
            <w:r>
              <w:rPr>
                <w:rFonts w:ascii="Arial" w:hAnsi="Arial" w:eastAsia="宋体" w:cs="Arial"/>
                <w:sz w:val="21"/>
                <w:szCs w:val="21"/>
              </w:rPr>
              <w:t>1084.5001</w:t>
            </w:r>
          </w:p>
        </w:tc>
        <w:tc>
          <w:tcPr>
            <w:tcW w:w="652" w:type="pct"/>
            <w:tcBorders>
              <w:top w:val="single" w:color="auto" w:sz="4" w:space="0"/>
              <w:left w:val="single" w:color="auto" w:sz="4" w:space="0"/>
              <w:bottom w:val="single" w:color="auto" w:sz="4" w:space="0"/>
              <w:right w:val="single" w:color="auto" w:sz="4" w:space="0"/>
            </w:tcBorders>
            <w:vAlign w:val="center"/>
          </w:tcPr>
          <w:p w14:paraId="16F93BA1">
            <w:pPr>
              <w:spacing w:line="240" w:lineRule="exact"/>
              <w:jc w:val="center"/>
              <w:rPr>
                <w:rFonts w:ascii="Arial" w:hAnsi="Arial" w:eastAsia="宋体" w:cs="Arial"/>
                <w:sz w:val="21"/>
                <w:szCs w:val="21"/>
              </w:rPr>
            </w:pPr>
            <w:r>
              <w:rPr>
                <w:rFonts w:ascii="Arial" w:hAnsi="Arial" w:eastAsia="宋体" w:cs="Arial"/>
                <w:sz w:val="21"/>
                <w:szCs w:val="21"/>
              </w:rPr>
              <w:t>0.1452</w:t>
            </w:r>
          </w:p>
        </w:tc>
        <w:tc>
          <w:tcPr>
            <w:tcW w:w="653" w:type="pct"/>
            <w:tcBorders>
              <w:top w:val="single" w:color="auto" w:sz="4" w:space="0"/>
              <w:left w:val="single" w:color="auto" w:sz="4" w:space="0"/>
              <w:bottom w:val="single" w:color="auto" w:sz="4" w:space="0"/>
              <w:right w:val="single" w:color="auto" w:sz="4" w:space="0"/>
            </w:tcBorders>
            <w:vAlign w:val="center"/>
          </w:tcPr>
          <w:p w14:paraId="7271546B">
            <w:pPr>
              <w:spacing w:line="240" w:lineRule="exact"/>
              <w:jc w:val="center"/>
              <w:rPr>
                <w:rFonts w:ascii="Arial" w:hAnsi="Arial" w:eastAsia="宋体" w:cs="Arial"/>
                <w:sz w:val="21"/>
                <w:szCs w:val="21"/>
              </w:rPr>
            </w:pPr>
            <w:r>
              <w:rPr>
                <w:rFonts w:ascii="Arial" w:hAnsi="Arial" w:eastAsia="宋体" w:cs="Arial"/>
                <w:sz w:val="21"/>
                <w:szCs w:val="21"/>
              </w:rPr>
              <w:t>828.1452</w:t>
            </w:r>
          </w:p>
        </w:tc>
        <w:tc>
          <w:tcPr>
            <w:tcW w:w="652" w:type="pct"/>
            <w:tcBorders>
              <w:top w:val="single" w:color="auto" w:sz="4" w:space="0"/>
              <w:left w:val="single" w:color="auto" w:sz="4" w:space="0"/>
              <w:bottom w:val="single" w:color="auto" w:sz="4" w:space="0"/>
              <w:right w:val="single" w:color="auto" w:sz="4" w:space="0"/>
            </w:tcBorders>
            <w:vAlign w:val="center"/>
          </w:tcPr>
          <w:p w14:paraId="00C09146">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691DC67">
            <w:pPr>
              <w:spacing w:line="240" w:lineRule="exact"/>
              <w:jc w:val="center"/>
              <w:rPr>
                <w:rFonts w:ascii="Arial" w:hAnsi="Arial" w:eastAsia="宋体" w:cs="Arial"/>
                <w:sz w:val="21"/>
                <w:szCs w:val="21"/>
              </w:rPr>
            </w:pPr>
            <w:r>
              <w:rPr>
                <w:rFonts w:ascii="Arial" w:hAnsi="Arial" w:eastAsia="宋体" w:cs="Arial"/>
                <w:sz w:val="21"/>
                <w:szCs w:val="21"/>
              </w:rPr>
              <w:t>828</w:t>
            </w:r>
          </w:p>
        </w:tc>
      </w:tr>
      <w:tr w14:paraId="28537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9C7D5C2">
            <w:pPr>
              <w:spacing w:line="240" w:lineRule="exact"/>
              <w:jc w:val="center"/>
              <w:rPr>
                <w:rFonts w:ascii="Arial" w:hAnsi="Arial" w:eastAsia="宋体" w:cs="Arial"/>
                <w:sz w:val="21"/>
                <w:szCs w:val="21"/>
              </w:rPr>
            </w:pPr>
            <w:r>
              <w:rPr>
                <w:rFonts w:ascii="Arial" w:hAnsi="Arial" w:eastAsia="宋体" w:cs="Arial"/>
                <w:sz w:val="21"/>
                <w:szCs w:val="21"/>
              </w:rPr>
              <w:t>60</w:t>
            </w:r>
          </w:p>
        </w:tc>
        <w:tc>
          <w:tcPr>
            <w:tcW w:w="652" w:type="pct"/>
            <w:tcBorders>
              <w:top w:val="single" w:color="auto" w:sz="4" w:space="0"/>
              <w:left w:val="single" w:color="auto" w:sz="4" w:space="0"/>
              <w:bottom w:val="single" w:color="auto" w:sz="4" w:space="0"/>
              <w:right w:val="single" w:color="auto" w:sz="4" w:space="0"/>
            </w:tcBorders>
            <w:vAlign w:val="center"/>
          </w:tcPr>
          <w:p w14:paraId="22603929">
            <w:pPr>
              <w:spacing w:line="240" w:lineRule="exact"/>
              <w:jc w:val="center"/>
              <w:rPr>
                <w:rFonts w:ascii="Arial" w:hAnsi="Arial" w:eastAsia="宋体" w:cs="Arial"/>
                <w:sz w:val="21"/>
                <w:szCs w:val="21"/>
              </w:rPr>
            </w:pPr>
            <w:r>
              <w:rPr>
                <w:rFonts w:ascii="Arial" w:hAnsi="Arial" w:eastAsia="宋体" w:cs="Arial"/>
                <w:sz w:val="21"/>
                <w:szCs w:val="21"/>
              </w:rPr>
              <w:t>256.5</w:t>
            </w:r>
          </w:p>
        </w:tc>
        <w:tc>
          <w:tcPr>
            <w:tcW w:w="653" w:type="pct"/>
            <w:tcBorders>
              <w:top w:val="single" w:color="auto" w:sz="4" w:space="0"/>
              <w:left w:val="single" w:color="auto" w:sz="4" w:space="0"/>
              <w:bottom w:val="single" w:color="auto" w:sz="4" w:space="0"/>
              <w:right w:val="single" w:color="auto" w:sz="4" w:space="0"/>
            </w:tcBorders>
            <w:vAlign w:val="center"/>
          </w:tcPr>
          <w:p w14:paraId="607DB0E2">
            <w:pPr>
              <w:spacing w:line="240" w:lineRule="exact"/>
              <w:jc w:val="center"/>
              <w:rPr>
                <w:rFonts w:ascii="Arial" w:hAnsi="Arial" w:eastAsia="宋体" w:cs="Arial"/>
                <w:sz w:val="21"/>
                <w:szCs w:val="21"/>
              </w:rPr>
            </w:pPr>
            <w:r>
              <w:rPr>
                <w:rFonts w:ascii="Arial" w:hAnsi="Arial" w:eastAsia="宋体" w:cs="Arial"/>
                <w:sz w:val="21"/>
                <w:szCs w:val="21"/>
              </w:rPr>
              <w:t>1084.5001</w:t>
            </w:r>
          </w:p>
        </w:tc>
        <w:tc>
          <w:tcPr>
            <w:tcW w:w="652" w:type="pct"/>
            <w:tcBorders>
              <w:top w:val="single" w:color="auto" w:sz="4" w:space="0"/>
              <w:left w:val="single" w:color="auto" w:sz="4" w:space="0"/>
              <w:bottom w:val="single" w:color="auto" w:sz="4" w:space="0"/>
              <w:right w:val="single" w:color="auto" w:sz="4" w:space="0"/>
            </w:tcBorders>
            <w:vAlign w:val="center"/>
          </w:tcPr>
          <w:p w14:paraId="50F7C9E2">
            <w:pPr>
              <w:spacing w:line="240" w:lineRule="exact"/>
              <w:jc w:val="center"/>
              <w:rPr>
                <w:rFonts w:ascii="Arial" w:hAnsi="Arial" w:eastAsia="宋体" w:cs="Arial"/>
                <w:sz w:val="21"/>
                <w:szCs w:val="21"/>
              </w:rPr>
            </w:pPr>
            <w:r>
              <w:rPr>
                <w:rFonts w:ascii="Arial" w:hAnsi="Arial" w:eastAsia="宋体" w:cs="Arial"/>
                <w:sz w:val="21"/>
                <w:szCs w:val="21"/>
              </w:rPr>
              <w:t>0.8919</w:t>
            </w:r>
          </w:p>
        </w:tc>
        <w:tc>
          <w:tcPr>
            <w:tcW w:w="653" w:type="pct"/>
            <w:tcBorders>
              <w:top w:val="single" w:color="auto" w:sz="4" w:space="0"/>
              <w:left w:val="single" w:color="auto" w:sz="4" w:space="0"/>
              <w:bottom w:val="single" w:color="auto" w:sz="4" w:space="0"/>
              <w:right w:val="single" w:color="auto" w:sz="4" w:space="0"/>
            </w:tcBorders>
            <w:vAlign w:val="center"/>
          </w:tcPr>
          <w:p w14:paraId="4D08BFA3">
            <w:pPr>
              <w:spacing w:line="240" w:lineRule="exact"/>
              <w:jc w:val="center"/>
              <w:rPr>
                <w:rFonts w:ascii="Arial" w:hAnsi="Arial" w:eastAsia="宋体" w:cs="Arial"/>
                <w:sz w:val="21"/>
                <w:szCs w:val="21"/>
              </w:rPr>
            </w:pPr>
            <w:r>
              <w:rPr>
                <w:rFonts w:ascii="Arial" w:hAnsi="Arial" w:eastAsia="宋体" w:cs="Arial"/>
                <w:sz w:val="21"/>
                <w:szCs w:val="21"/>
              </w:rPr>
              <w:t>828.8919</w:t>
            </w:r>
          </w:p>
        </w:tc>
        <w:tc>
          <w:tcPr>
            <w:tcW w:w="652" w:type="pct"/>
            <w:tcBorders>
              <w:top w:val="single" w:color="auto" w:sz="4" w:space="0"/>
              <w:left w:val="single" w:color="auto" w:sz="4" w:space="0"/>
              <w:bottom w:val="single" w:color="auto" w:sz="4" w:space="0"/>
              <w:right w:val="single" w:color="auto" w:sz="4" w:space="0"/>
            </w:tcBorders>
            <w:vAlign w:val="center"/>
          </w:tcPr>
          <w:p w14:paraId="63ACB69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3E4B728">
            <w:pPr>
              <w:spacing w:line="240" w:lineRule="exact"/>
              <w:jc w:val="center"/>
              <w:rPr>
                <w:rFonts w:ascii="Arial" w:hAnsi="Arial" w:eastAsia="宋体" w:cs="Arial"/>
                <w:sz w:val="21"/>
                <w:szCs w:val="21"/>
              </w:rPr>
            </w:pPr>
            <w:r>
              <w:rPr>
                <w:rFonts w:ascii="Arial" w:hAnsi="Arial" w:eastAsia="宋体" w:cs="Arial"/>
                <w:sz w:val="21"/>
                <w:szCs w:val="21"/>
              </w:rPr>
              <w:t>828</w:t>
            </w:r>
          </w:p>
        </w:tc>
      </w:tr>
      <w:tr w14:paraId="1EF5C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25B9CFBD">
            <w:pPr>
              <w:spacing w:line="240" w:lineRule="exact"/>
              <w:jc w:val="center"/>
              <w:rPr>
                <w:rFonts w:ascii="Arial" w:hAnsi="Arial" w:eastAsia="宋体" w:cs="Arial"/>
                <w:sz w:val="21"/>
                <w:szCs w:val="21"/>
              </w:rPr>
            </w:pPr>
            <w:r>
              <w:rPr>
                <w:rFonts w:ascii="Arial" w:hAnsi="Arial" w:eastAsia="宋体" w:cs="Arial"/>
                <w:sz w:val="21"/>
                <w:szCs w:val="21"/>
              </w:rPr>
              <w:t>80</w:t>
            </w:r>
          </w:p>
        </w:tc>
        <w:tc>
          <w:tcPr>
            <w:tcW w:w="652" w:type="pct"/>
            <w:tcBorders>
              <w:top w:val="single" w:color="auto" w:sz="4" w:space="0"/>
              <w:left w:val="single" w:color="auto" w:sz="4" w:space="0"/>
              <w:bottom w:val="single" w:color="auto" w:sz="4" w:space="0"/>
              <w:right w:val="single" w:color="auto" w:sz="4" w:space="0"/>
            </w:tcBorders>
            <w:vAlign w:val="center"/>
          </w:tcPr>
          <w:p w14:paraId="646344BF">
            <w:pPr>
              <w:spacing w:line="240" w:lineRule="exact"/>
              <w:jc w:val="center"/>
              <w:rPr>
                <w:rFonts w:ascii="Arial" w:hAnsi="Arial" w:eastAsia="宋体" w:cs="Arial"/>
                <w:sz w:val="21"/>
                <w:szCs w:val="21"/>
              </w:rPr>
            </w:pPr>
            <w:r>
              <w:rPr>
                <w:rFonts w:ascii="Arial" w:hAnsi="Arial" w:eastAsia="宋体" w:cs="Arial"/>
                <w:sz w:val="21"/>
                <w:szCs w:val="21"/>
              </w:rPr>
              <w:t>94.3611</w:t>
            </w:r>
          </w:p>
        </w:tc>
        <w:tc>
          <w:tcPr>
            <w:tcW w:w="653" w:type="pct"/>
            <w:tcBorders>
              <w:top w:val="single" w:color="auto" w:sz="4" w:space="0"/>
              <w:left w:val="single" w:color="auto" w:sz="4" w:space="0"/>
              <w:bottom w:val="single" w:color="auto" w:sz="4" w:space="0"/>
              <w:right w:val="single" w:color="auto" w:sz="4" w:space="0"/>
            </w:tcBorders>
            <w:vAlign w:val="center"/>
          </w:tcPr>
          <w:p w14:paraId="4F515157">
            <w:pPr>
              <w:spacing w:line="240" w:lineRule="exact"/>
              <w:jc w:val="center"/>
              <w:rPr>
                <w:rFonts w:ascii="Arial" w:hAnsi="Arial" w:eastAsia="宋体" w:cs="Arial"/>
                <w:sz w:val="21"/>
                <w:szCs w:val="21"/>
              </w:rPr>
            </w:pPr>
            <w:r>
              <w:rPr>
                <w:rFonts w:ascii="Arial" w:hAnsi="Arial" w:eastAsia="宋体" w:cs="Arial"/>
                <w:sz w:val="21"/>
                <w:szCs w:val="21"/>
              </w:rPr>
              <w:t>922.3611</w:t>
            </w:r>
          </w:p>
        </w:tc>
        <w:tc>
          <w:tcPr>
            <w:tcW w:w="652" w:type="pct"/>
            <w:tcBorders>
              <w:top w:val="single" w:color="auto" w:sz="4" w:space="0"/>
              <w:left w:val="single" w:color="auto" w:sz="4" w:space="0"/>
              <w:bottom w:val="single" w:color="auto" w:sz="4" w:space="0"/>
              <w:right w:val="single" w:color="auto" w:sz="4" w:space="0"/>
            </w:tcBorders>
            <w:vAlign w:val="center"/>
          </w:tcPr>
          <w:p w14:paraId="7DAA5D67">
            <w:pPr>
              <w:spacing w:line="240" w:lineRule="exact"/>
              <w:jc w:val="center"/>
              <w:rPr>
                <w:rFonts w:ascii="Arial" w:hAnsi="Arial" w:eastAsia="宋体" w:cs="Arial"/>
                <w:sz w:val="21"/>
                <w:szCs w:val="21"/>
              </w:rPr>
            </w:pPr>
            <w:r>
              <w:rPr>
                <w:rFonts w:ascii="Arial" w:hAnsi="Arial" w:eastAsia="宋体" w:cs="Arial"/>
                <w:sz w:val="21"/>
                <w:szCs w:val="21"/>
              </w:rPr>
              <w:t>4.1651</w:t>
            </w:r>
          </w:p>
        </w:tc>
        <w:tc>
          <w:tcPr>
            <w:tcW w:w="653" w:type="pct"/>
            <w:tcBorders>
              <w:top w:val="single" w:color="auto" w:sz="4" w:space="0"/>
              <w:left w:val="single" w:color="auto" w:sz="4" w:space="0"/>
              <w:bottom w:val="single" w:color="auto" w:sz="4" w:space="0"/>
              <w:right w:val="single" w:color="auto" w:sz="4" w:space="0"/>
            </w:tcBorders>
            <w:vAlign w:val="center"/>
          </w:tcPr>
          <w:p w14:paraId="0BCE40B7">
            <w:pPr>
              <w:spacing w:line="240" w:lineRule="exact"/>
              <w:jc w:val="center"/>
              <w:rPr>
                <w:rFonts w:ascii="Arial" w:hAnsi="Arial" w:eastAsia="宋体" w:cs="Arial"/>
                <w:sz w:val="21"/>
                <w:szCs w:val="21"/>
              </w:rPr>
            </w:pPr>
            <w:r>
              <w:rPr>
                <w:rFonts w:ascii="Arial" w:hAnsi="Arial" w:eastAsia="宋体" w:cs="Arial"/>
                <w:sz w:val="21"/>
                <w:szCs w:val="21"/>
              </w:rPr>
              <w:t>832.1651</w:t>
            </w:r>
          </w:p>
        </w:tc>
        <w:tc>
          <w:tcPr>
            <w:tcW w:w="652" w:type="pct"/>
            <w:tcBorders>
              <w:top w:val="single" w:color="auto" w:sz="4" w:space="0"/>
              <w:left w:val="single" w:color="auto" w:sz="4" w:space="0"/>
              <w:bottom w:val="single" w:color="auto" w:sz="4" w:space="0"/>
              <w:right w:val="single" w:color="auto" w:sz="4" w:space="0"/>
            </w:tcBorders>
            <w:vAlign w:val="center"/>
          </w:tcPr>
          <w:p w14:paraId="02956F8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9E4F0C7">
            <w:pPr>
              <w:spacing w:line="240" w:lineRule="exact"/>
              <w:jc w:val="center"/>
              <w:rPr>
                <w:rFonts w:ascii="Arial" w:hAnsi="Arial" w:eastAsia="宋体" w:cs="Arial"/>
                <w:sz w:val="21"/>
                <w:szCs w:val="21"/>
              </w:rPr>
            </w:pPr>
            <w:r>
              <w:rPr>
                <w:rFonts w:ascii="Arial" w:hAnsi="Arial" w:eastAsia="宋体" w:cs="Arial"/>
                <w:sz w:val="21"/>
                <w:szCs w:val="21"/>
              </w:rPr>
              <w:t>828</w:t>
            </w:r>
          </w:p>
        </w:tc>
      </w:tr>
      <w:tr w14:paraId="2FF9E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6FFC490">
            <w:pPr>
              <w:spacing w:line="240" w:lineRule="exact"/>
              <w:jc w:val="center"/>
              <w:rPr>
                <w:rFonts w:ascii="Arial" w:hAnsi="Arial" w:eastAsia="宋体" w:cs="Arial"/>
                <w:sz w:val="21"/>
                <w:szCs w:val="21"/>
              </w:rPr>
            </w:pPr>
            <w:r>
              <w:rPr>
                <w:rFonts w:ascii="Arial" w:hAnsi="Arial" w:eastAsia="宋体" w:cs="Arial"/>
                <w:sz w:val="21"/>
                <w:szCs w:val="21"/>
              </w:rPr>
              <w:t>100</w:t>
            </w:r>
          </w:p>
        </w:tc>
        <w:tc>
          <w:tcPr>
            <w:tcW w:w="652" w:type="pct"/>
            <w:tcBorders>
              <w:top w:val="single" w:color="auto" w:sz="4" w:space="0"/>
              <w:left w:val="single" w:color="auto" w:sz="4" w:space="0"/>
              <w:bottom w:val="single" w:color="auto" w:sz="4" w:space="0"/>
              <w:right w:val="single" w:color="auto" w:sz="4" w:space="0"/>
            </w:tcBorders>
            <w:vAlign w:val="center"/>
          </w:tcPr>
          <w:p w14:paraId="2D24ADC4">
            <w:pPr>
              <w:spacing w:line="240" w:lineRule="exact"/>
              <w:jc w:val="center"/>
              <w:rPr>
                <w:rFonts w:ascii="Arial" w:hAnsi="Arial" w:eastAsia="宋体" w:cs="Arial"/>
                <w:sz w:val="21"/>
                <w:szCs w:val="21"/>
              </w:rPr>
            </w:pPr>
            <w:r>
              <w:rPr>
                <w:rFonts w:ascii="Arial" w:hAnsi="Arial" w:eastAsia="宋体" w:cs="Arial"/>
                <w:sz w:val="21"/>
                <w:szCs w:val="21"/>
              </w:rPr>
              <w:t>12.7704</w:t>
            </w:r>
          </w:p>
        </w:tc>
        <w:tc>
          <w:tcPr>
            <w:tcW w:w="653" w:type="pct"/>
            <w:tcBorders>
              <w:top w:val="single" w:color="auto" w:sz="4" w:space="0"/>
              <w:left w:val="single" w:color="auto" w:sz="4" w:space="0"/>
              <w:bottom w:val="single" w:color="auto" w:sz="4" w:space="0"/>
              <w:right w:val="single" w:color="auto" w:sz="4" w:space="0"/>
            </w:tcBorders>
            <w:vAlign w:val="center"/>
          </w:tcPr>
          <w:p w14:paraId="732B0FCB">
            <w:pPr>
              <w:spacing w:line="240" w:lineRule="exact"/>
              <w:jc w:val="center"/>
              <w:rPr>
                <w:rFonts w:ascii="Arial" w:hAnsi="Arial" w:eastAsia="宋体" w:cs="Arial"/>
                <w:sz w:val="21"/>
                <w:szCs w:val="21"/>
              </w:rPr>
            </w:pPr>
            <w:r>
              <w:rPr>
                <w:rFonts w:ascii="Arial" w:hAnsi="Arial" w:eastAsia="宋体" w:cs="Arial"/>
                <w:sz w:val="21"/>
                <w:szCs w:val="21"/>
              </w:rPr>
              <w:t>840.7704</w:t>
            </w:r>
          </w:p>
        </w:tc>
        <w:tc>
          <w:tcPr>
            <w:tcW w:w="652" w:type="pct"/>
            <w:tcBorders>
              <w:top w:val="single" w:color="auto" w:sz="4" w:space="0"/>
              <w:left w:val="single" w:color="auto" w:sz="4" w:space="0"/>
              <w:bottom w:val="single" w:color="auto" w:sz="4" w:space="0"/>
              <w:right w:val="single" w:color="auto" w:sz="4" w:space="0"/>
            </w:tcBorders>
            <w:vAlign w:val="center"/>
          </w:tcPr>
          <w:p w14:paraId="5609C58C">
            <w:pPr>
              <w:spacing w:line="240" w:lineRule="exact"/>
              <w:jc w:val="center"/>
              <w:rPr>
                <w:rFonts w:ascii="Arial" w:hAnsi="Arial" w:eastAsia="宋体" w:cs="Arial"/>
                <w:sz w:val="21"/>
                <w:szCs w:val="21"/>
              </w:rPr>
            </w:pPr>
            <w:r>
              <w:rPr>
                <w:rFonts w:ascii="Arial" w:hAnsi="Arial" w:eastAsia="宋体" w:cs="Arial"/>
                <w:sz w:val="21"/>
                <w:szCs w:val="21"/>
              </w:rPr>
              <w:t>14.7886</w:t>
            </w:r>
          </w:p>
        </w:tc>
        <w:tc>
          <w:tcPr>
            <w:tcW w:w="653" w:type="pct"/>
            <w:tcBorders>
              <w:top w:val="single" w:color="auto" w:sz="4" w:space="0"/>
              <w:left w:val="single" w:color="auto" w:sz="4" w:space="0"/>
              <w:bottom w:val="single" w:color="auto" w:sz="4" w:space="0"/>
              <w:right w:val="single" w:color="auto" w:sz="4" w:space="0"/>
            </w:tcBorders>
            <w:vAlign w:val="center"/>
          </w:tcPr>
          <w:p w14:paraId="4FEC6DCA">
            <w:pPr>
              <w:spacing w:line="240" w:lineRule="exact"/>
              <w:jc w:val="center"/>
              <w:rPr>
                <w:rFonts w:ascii="Arial" w:hAnsi="Arial" w:eastAsia="宋体" w:cs="Arial"/>
                <w:sz w:val="21"/>
                <w:szCs w:val="21"/>
              </w:rPr>
            </w:pPr>
            <w:r>
              <w:rPr>
                <w:rFonts w:ascii="Arial" w:hAnsi="Arial" w:eastAsia="宋体" w:cs="Arial"/>
                <w:sz w:val="21"/>
                <w:szCs w:val="21"/>
              </w:rPr>
              <w:t>842.7886</w:t>
            </w:r>
          </w:p>
        </w:tc>
        <w:tc>
          <w:tcPr>
            <w:tcW w:w="652" w:type="pct"/>
            <w:tcBorders>
              <w:top w:val="single" w:color="auto" w:sz="4" w:space="0"/>
              <w:left w:val="single" w:color="auto" w:sz="4" w:space="0"/>
              <w:bottom w:val="single" w:color="auto" w:sz="4" w:space="0"/>
              <w:right w:val="single" w:color="auto" w:sz="4" w:space="0"/>
            </w:tcBorders>
            <w:vAlign w:val="center"/>
          </w:tcPr>
          <w:p w14:paraId="3C3CC7B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2C7399D">
            <w:pPr>
              <w:spacing w:line="240" w:lineRule="exact"/>
              <w:jc w:val="center"/>
              <w:rPr>
                <w:rFonts w:ascii="Arial" w:hAnsi="Arial" w:eastAsia="宋体" w:cs="Arial"/>
                <w:sz w:val="21"/>
                <w:szCs w:val="21"/>
              </w:rPr>
            </w:pPr>
            <w:r>
              <w:rPr>
                <w:rFonts w:ascii="Arial" w:hAnsi="Arial" w:eastAsia="宋体" w:cs="Arial"/>
                <w:sz w:val="21"/>
                <w:szCs w:val="21"/>
              </w:rPr>
              <w:t>828</w:t>
            </w:r>
          </w:p>
        </w:tc>
      </w:tr>
      <w:tr w14:paraId="24FA6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20F936B1">
            <w:pPr>
              <w:spacing w:line="240" w:lineRule="exact"/>
              <w:jc w:val="center"/>
              <w:rPr>
                <w:rFonts w:ascii="Arial" w:hAnsi="Arial" w:eastAsia="宋体" w:cs="Arial"/>
                <w:sz w:val="21"/>
                <w:szCs w:val="21"/>
              </w:rPr>
            </w:pPr>
            <w:r>
              <w:rPr>
                <w:rFonts w:ascii="Arial" w:hAnsi="Arial" w:eastAsia="宋体" w:cs="Arial"/>
                <w:sz w:val="21"/>
                <w:szCs w:val="21"/>
              </w:rPr>
              <w:t>120</w:t>
            </w:r>
          </w:p>
        </w:tc>
        <w:tc>
          <w:tcPr>
            <w:tcW w:w="652" w:type="pct"/>
            <w:tcBorders>
              <w:top w:val="single" w:color="auto" w:sz="4" w:space="0"/>
              <w:left w:val="single" w:color="auto" w:sz="4" w:space="0"/>
              <w:bottom w:val="single" w:color="auto" w:sz="4" w:space="0"/>
              <w:right w:val="single" w:color="auto" w:sz="4" w:space="0"/>
            </w:tcBorders>
            <w:vAlign w:val="center"/>
          </w:tcPr>
          <w:p w14:paraId="13B3E09F">
            <w:pPr>
              <w:spacing w:line="240" w:lineRule="exact"/>
              <w:jc w:val="center"/>
              <w:rPr>
                <w:rFonts w:ascii="Arial" w:hAnsi="Arial" w:eastAsia="宋体" w:cs="Arial"/>
                <w:sz w:val="21"/>
                <w:szCs w:val="21"/>
              </w:rPr>
            </w:pPr>
            <w:r>
              <w:rPr>
                <w:rFonts w:ascii="Arial" w:hAnsi="Arial" w:eastAsia="宋体" w:cs="Arial"/>
                <w:sz w:val="21"/>
                <w:szCs w:val="21"/>
              </w:rPr>
              <w:t>0.6358</w:t>
            </w:r>
          </w:p>
        </w:tc>
        <w:tc>
          <w:tcPr>
            <w:tcW w:w="653" w:type="pct"/>
            <w:tcBorders>
              <w:top w:val="single" w:color="auto" w:sz="4" w:space="0"/>
              <w:left w:val="single" w:color="auto" w:sz="4" w:space="0"/>
              <w:bottom w:val="single" w:color="auto" w:sz="4" w:space="0"/>
              <w:right w:val="single" w:color="auto" w:sz="4" w:space="0"/>
            </w:tcBorders>
            <w:vAlign w:val="center"/>
          </w:tcPr>
          <w:p w14:paraId="76BCEFB4">
            <w:pPr>
              <w:spacing w:line="240" w:lineRule="exact"/>
              <w:jc w:val="center"/>
              <w:rPr>
                <w:rFonts w:ascii="Arial" w:hAnsi="Arial" w:eastAsia="宋体" w:cs="Arial"/>
                <w:sz w:val="21"/>
                <w:szCs w:val="21"/>
              </w:rPr>
            </w:pPr>
            <w:r>
              <w:rPr>
                <w:rFonts w:ascii="Arial" w:hAnsi="Arial" w:eastAsia="宋体" w:cs="Arial"/>
                <w:sz w:val="21"/>
                <w:szCs w:val="21"/>
              </w:rPr>
              <w:t>828.6358</w:t>
            </w:r>
          </w:p>
        </w:tc>
        <w:tc>
          <w:tcPr>
            <w:tcW w:w="652" w:type="pct"/>
            <w:tcBorders>
              <w:top w:val="single" w:color="auto" w:sz="4" w:space="0"/>
              <w:left w:val="single" w:color="auto" w:sz="4" w:space="0"/>
              <w:bottom w:val="single" w:color="auto" w:sz="4" w:space="0"/>
              <w:right w:val="single" w:color="auto" w:sz="4" w:space="0"/>
            </w:tcBorders>
            <w:vAlign w:val="center"/>
          </w:tcPr>
          <w:p w14:paraId="4944B238">
            <w:pPr>
              <w:spacing w:line="240" w:lineRule="exact"/>
              <w:jc w:val="center"/>
              <w:rPr>
                <w:rFonts w:ascii="Arial" w:hAnsi="Arial" w:eastAsia="宋体" w:cs="Arial"/>
                <w:sz w:val="21"/>
                <w:szCs w:val="21"/>
              </w:rPr>
            </w:pPr>
            <w:r>
              <w:rPr>
                <w:rFonts w:ascii="Arial" w:hAnsi="Arial" w:eastAsia="宋体" w:cs="Arial"/>
                <w:sz w:val="21"/>
                <w:szCs w:val="21"/>
              </w:rPr>
              <w:t>39.9252</w:t>
            </w:r>
          </w:p>
        </w:tc>
        <w:tc>
          <w:tcPr>
            <w:tcW w:w="653" w:type="pct"/>
            <w:tcBorders>
              <w:top w:val="single" w:color="auto" w:sz="4" w:space="0"/>
              <w:left w:val="single" w:color="auto" w:sz="4" w:space="0"/>
              <w:bottom w:val="single" w:color="auto" w:sz="4" w:space="0"/>
              <w:right w:val="single" w:color="auto" w:sz="4" w:space="0"/>
            </w:tcBorders>
            <w:vAlign w:val="center"/>
          </w:tcPr>
          <w:p w14:paraId="6B75E27C">
            <w:pPr>
              <w:spacing w:line="240" w:lineRule="exact"/>
              <w:jc w:val="center"/>
              <w:rPr>
                <w:rFonts w:ascii="Arial" w:hAnsi="Arial" w:eastAsia="宋体" w:cs="Arial"/>
                <w:sz w:val="21"/>
                <w:szCs w:val="21"/>
              </w:rPr>
            </w:pPr>
            <w:r>
              <w:rPr>
                <w:rFonts w:ascii="Arial" w:hAnsi="Arial" w:eastAsia="宋体" w:cs="Arial"/>
                <w:sz w:val="21"/>
                <w:szCs w:val="21"/>
              </w:rPr>
              <w:t>867.9252</w:t>
            </w:r>
          </w:p>
        </w:tc>
        <w:tc>
          <w:tcPr>
            <w:tcW w:w="652" w:type="pct"/>
            <w:tcBorders>
              <w:top w:val="single" w:color="auto" w:sz="4" w:space="0"/>
              <w:left w:val="single" w:color="auto" w:sz="4" w:space="0"/>
              <w:bottom w:val="single" w:color="auto" w:sz="4" w:space="0"/>
              <w:right w:val="single" w:color="auto" w:sz="4" w:space="0"/>
            </w:tcBorders>
            <w:vAlign w:val="center"/>
          </w:tcPr>
          <w:p w14:paraId="247EAE94">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AFC1D3D">
            <w:pPr>
              <w:spacing w:line="240" w:lineRule="exact"/>
              <w:jc w:val="center"/>
              <w:rPr>
                <w:rFonts w:ascii="Arial" w:hAnsi="Arial" w:eastAsia="宋体" w:cs="Arial"/>
                <w:sz w:val="21"/>
                <w:szCs w:val="21"/>
              </w:rPr>
            </w:pPr>
            <w:r>
              <w:rPr>
                <w:rFonts w:ascii="Arial" w:hAnsi="Arial" w:eastAsia="宋体" w:cs="Arial"/>
                <w:sz w:val="21"/>
                <w:szCs w:val="21"/>
              </w:rPr>
              <w:t>828</w:t>
            </w:r>
          </w:p>
        </w:tc>
      </w:tr>
      <w:tr w14:paraId="3822C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362EA9CF">
            <w:pPr>
              <w:spacing w:line="240" w:lineRule="exact"/>
              <w:jc w:val="center"/>
              <w:rPr>
                <w:rFonts w:ascii="Arial" w:hAnsi="Arial" w:eastAsia="宋体" w:cs="Arial"/>
                <w:sz w:val="21"/>
                <w:szCs w:val="21"/>
              </w:rPr>
            </w:pPr>
            <w:r>
              <w:rPr>
                <w:rFonts w:ascii="Arial" w:hAnsi="Arial" w:eastAsia="宋体" w:cs="Arial"/>
                <w:sz w:val="21"/>
                <w:szCs w:val="21"/>
              </w:rPr>
              <w:t>140</w:t>
            </w:r>
          </w:p>
        </w:tc>
        <w:tc>
          <w:tcPr>
            <w:tcW w:w="652" w:type="pct"/>
            <w:tcBorders>
              <w:top w:val="single" w:color="auto" w:sz="4" w:space="0"/>
              <w:left w:val="single" w:color="auto" w:sz="4" w:space="0"/>
              <w:bottom w:val="single" w:color="auto" w:sz="4" w:space="0"/>
              <w:right w:val="single" w:color="auto" w:sz="4" w:space="0"/>
            </w:tcBorders>
            <w:vAlign w:val="center"/>
          </w:tcPr>
          <w:p w14:paraId="37353009">
            <w:pPr>
              <w:spacing w:line="240" w:lineRule="exact"/>
              <w:jc w:val="center"/>
              <w:rPr>
                <w:rFonts w:ascii="Arial" w:hAnsi="Arial" w:eastAsia="宋体" w:cs="Arial"/>
                <w:sz w:val="21"/>
                <w:szCs w:val="21"/>
              </w:rPr>
            </w:pPr>
            <w:r>
              <w:rPr>
                <w:rFonts w:ascii="Arial" w:hAnsi="Arial" w:eastAsia="宋体" w:cs="Arial"/>
                <w:sz w:val="21"/>
                <w:szCs w:val="21"/>
              </w:rPr>
              <w:t>0.0116</w:t>
            </w:r>
          </w:p>
        </w:tc>
        <w:tc>
          <w:tcPr>
            <w:tcW w:w="653" w:type="pct"/>
            <w:tcBorders>
              <w:top w:val="single" w:color="auto" w:sz="4" w:space="0"/>
              <w:left w:val="single" w:color="auto" w:sz="4" w:space="0"/>
              <w:bottom w:val="single" w:color="auto" w:sz="4" w:space="0"/>
              <w:right w:val="single" w:color="auto" w:sz="4" w:space="0"/>
            </w:tcBorders>
            <w:vAlign w:val="center"/>
          </w:tcPr>
          <w:p w14:paraId="0E8087D7">
            <w:pPr>
              <w:spacing w:line="240" w:lineRule="exact"/>
              <w:jc w:val="center"/>
              <w:rPr>
                <w:rFonts w:ascii="Arial" w:hAnsi="Arial" w:eastAsia="宋体" w:cs="Arial"/>
                <w:sz w:val="21"/>
                <w:szCs w:val="21"/>
              </w:rPr>
            </w:pPr>
            <w:r>
              <w:rPr>
                <w:rFonts w:ascii="Arial" w:hAnsi="Arial" w:eastAsia="宋体" w:cs="Arial"/>
                <w:sz w:val="21"/>
                <w:szCs w:val="21"/>
              </w:rPr>
              <w:t>828.0116</w:t>
            </w:r>
          </w:p>
        </w:tc>
        <w:tc>
          <w:tcPr>
            <w:tcW w:w="652" w:type="pct"/>
            <w:tcBorders>
              <w:top w:val="single" w:color="auto" w:sz="4" w:space="0"/>
              <w:left w:val="single" w:color="auto" w:sz="4" w:space="0"/>
              <w:bottom w:val="single" w:color="auto" w:sz="4" w:space="0"/>
              <w:right w:val="single" w:color="auto" w:sz="4" w:space="0"/>
            </w:tcBorders>
            <w:vAlign w:val="center"/>
          </w:tcPr>
          <w:p w14:paraId="73E7E9EA">
            <w:pPr>
              <w:spacing w:line="240" w:lineRule="exact"/>
              <w:jc w:val="center"/>
              <w:rPr>
                <w:rFonts w:ascii="Arial" w:hAnsi="Arial" w:eastAsia="宋体" w:cs="Arial"/>
                <w:sz w:val="21"/>
                <w:szCs w:val="21"/>
              </w:rPr>
            </w:pPr>
            <w:r>
              <w:rPr>
                <w:rFonts w:ascii="Arial" w:hAnsi="Arial" w:eastAsia="宋体" w:cs="Arial"/>
                <w:sz w:val="21"/>
                <w:szCs w:val="21"/>
              </w:rPr>
              <w:t>81.9564</w:t>
            </w:r>
          </w:p>
        </w:tc>
        <w:tc>
          <w:tcPr>
            <w:tcW w:w="653" w:type="pct"/>
            <w:tcBorders>
              <w:top w:val="single" w:color="auto" w:sz="4" w:space="0"/>
              <w:left w:val="single" w:color="auto" w:sz="4" w:space="0"/>
              <w:bottom w:val="single" w:color="auto" w:sz="4" w:space="0"/>
              <w:right w:val="single" w:color="auto" w:sz="4" w:space="0"/>
            </w:tcBorders>
            <w:vAlign w:val="center"/>
          </w:tcPr>
          <w:p w14:paraId="2305B9A9">
            <w:pPr>
              <w:spacing w:line="240" w:lineRule="exact"/>
              <w:jc w:val="center"/>
              <w:rPr>
                <w:rFonts w:ascii="Arial" w:hAnsi="Arial" w:eastAsia="宋体" w:cs="Arial"/>
                <w:sz w:val="21"/>
                <w:szCs w:val="21"/>
              </w:rPr>
            </w:pPr>
            <w:r>
              <w:rPr>
                <w:rFonts w:ascii="Arial" w:hAnsi="Arial" w:eastAsia="宋体" w:cs="Arial"/>
                <w:sz w:val="21"/>
                <w:szCs w:val="21"/>
              </w:rPr>
              <w:t>909.9564</w:t>
            </w:r>
          </w:p>
        </w:tc>
        <w:tc>
          <w:tcPr>
            <w:tcW w:w="652" w:type="pct"/>
            <w:tcBorders>
              <w:top w:val="single" w:color="auto" w:sz="4" w:space="0"/>
              <w:left w:val="single" w:color="auto" w:sz="4" w:space="0"/>
              <w:bottom w:val="single" w:color="auto" w:sz="4" w:space="0"/>
              <w:right w:val="single" w:color="auto" w:sz="4" w:space="0"/>
            </w:tcBorders>
            <w:vAlign w:val="center"/>
          </w:tcPr>
          <w:p w14:paraId="2DB0416B">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DCA621D">
            <w:pPr>
              <w:spacing w:line="240" w:lineRule="exact"/>
              <w:jc w:val="center"/>
              <w:rPr>
                <w:rFonts w:ascii="Arial" w:hAnsi="Arial" w:eastAsia="宋体" w:cs="Arial"/>
                <w:sz w:val="21"/>
                <w:szCs w:val="21"/>
              </w:rPr>
            </w:pPr>
            <w:r>
              <w:rPr>
                <w:rFonts w:ascii="Arial" w:hAnsi="Arial" w:eastAsia="宋体" w:cs="Arial"/>
                <w:sz w:val="21"/>
                <w:szCs w:val="21"/>
              </w:rPr>
              <w:t>828</w:t>
            </w:r>
          </w:p>
        </w:tc>
      </w:tr>
      <w:tr w14:paraId="2D004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2A40CDF6">
            <w:pPr>
              <w:spacing w:line="240" w:lineRule="exact"/>
              <w:jc w:val="center"/>
              <w:rPr>
                <w:rFonts w:ascii="Arial" w:hAnsi="Arial" w:eastAsia="宋体" w:cs="Arial"/>
                <w:sz w:val="21"/>
                <w:szCs w:val="21"/>
              </w:rPr>
            </w:pPr>
            <w:r>
              <w:rPr>
                <w:rFonts w:ascii="Arial" w:hAnsi="Arial" w:eastAsia="宋体" w:cs="Arial"/>
                <w:sz w:val="21"/>
                <w:szCs w:val="21"/>
              </w:rPr>
              <w:t>160</w:t>
            </w:r>
          </w:p>
        </w:tc>
        <w:tc>
          <w:tcPr>
            <w:tcW w:w="652" w:type="pct"/>
            <w:tcBorders>
              <w:top w:val="single" w:color="auto" w:sz="4" w:space="0"/>
              <w:left w:val="single" w:color="auto" w:sz="4" w:space="0"/>
              <w:bottom w:val="single" w:color="auto" w:sz="4" w:space="0"/>
              <w:right w:val="single" w:color="auto" w:sz="4" w:space="0"/>
            </w:tcBorders>
            <w:vAlign w:val="center"/>
          </w:tcPr>
          <w:p w14:paraId="132A2A1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39C7D88">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35889C74">
            <w:pPr>
              <w:spacing w:line="240" w:lineRule="exact"/>
              <w:jc w:val="center"/>
              <w:rPr>
                <w:rFonts w:ascii="Arial" w:hAnsi="Arial" w:eastAsia="宋体" w:cs="Arial"/>
                <w:sz w:val="21"/>
                <w:szCs w:val="21"/>
              </w:rPr>
            </w:pPr>
            <w:r>
              <w:rPr>
                <w:rFonts w:ascii="Arial" w:hAnsi="Arial" w:eastAsia="宋体" w:cs="Arial"/>
                <w:sz w:val="21"/>
                <w:szCs w:val="21"/>
              </w:rPr>
              <w:t>127.918</w:t>
            </w:r>
          </w:p>
        </w:tc>
        <w:tc>
          <w:tcPr>
            <w:tcW w:w="653" w:type="pct"/>
            <w:tcBorders>
              <w:top w:val="single" w:color="auto" w:sz="4" w:space="0"/>
              <w:left w:val="single" w:color="auto" w:sz="4" w:space="0"/>
              <w:bottom w:val="single" w:color="auto" w:sz="4" w:space="0"/>
              <w:right w:val="single" w:color="auto" w:sz="4" w:space="0"/>
            </w:tcBorders>
            <w:vAlign w:val="center"/>
          </w:tcPr>
          <w:p w14:paraId="54E6E402">
            <w:pPr>
              <w:spacing w:line="240" w:lineRule="exact"/>
              <w:jc w:val="center"/>
              <w:rPr>
                <w:rFonts w:ascii="Arial" w:hAnsi="Arial" w:eastAsia="宋体" w:cs="Arial"/>
                <w:sz w:val="21"/>
                <w:szCs w:val="21"/>
              </w:rPr>
            </w:pPr>
            <w:r>
              <w:rPr>
                <w:rFonts w:ascii="Arial" w:hAnsi="Arial" w:eastAsia="宋体" w:cs="Arial"/>
                <w:sz w:val="21"/>
                <w:szCs w:val="21"/>
              </w:rPr>
              <w:t>955.9184</w:t>
            </w:r>
          </w:p>
        </w:tc>
        <w:tc>
          <w:tcPr>
            <w:tcW w:w="652" w:type="pct"/>
            <w:tcBorders>
              <w:top w:val="single" w:color="auto" w:sz="4" w:space="0"/>
              <w:left w:val="single" w:color="auto" w:sz="4" w:space="0"/>
              <w:bottom w:val="single" w:color="auto" w:sz="4" w:space="0"/>
              <w:right w:val="single" w:color="auto" w:sz="4" w:space="0"/>
            </w:tcBorders>
            <w:vAlign w:val="center"/>
          </w:tcPr>
          <w:p w14:paraId="38C600B6">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F1613BF">
            <w:pPr>
              <w:spacing w:line="240" w:lineRule="exact"/>
              <w:jc w:val="center"/>
              <w:rPr>
                <w:rFonts w:ascii="Arial" w:hAnsi="Arial" w:eastAsia="宋体" w:cs="Arial"/>
                <w:sz w:val="21"/>
                <w:szCs w:val="21"/>
              </w:rPr>
            </w:pPr>
            <w:r>
              <w:rPr>
                <w:rFonts w:ascii="Arial" w:hAnsi="Arial" w:eastAsia="宋体" w:cs="Arial"/>
                <w:sz w:val="21"/>
                <w:szCs w:val="21"/>
              </w:rPr>
              <w:t>828</w:t>
            </w:r>
          </w:p>
        </w:tc>
      </w:tr>
      <w:tr w14:paraId="5D405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DC1190E">
            <w:pPr>
              <w:spacing w:line="240" w:lineRule="exact"/>
              <w:jc w:val="center"/>
              <w:rPr>
                <w:rFonts w:ascii="Arial" w:hAnsi="Arial" w:eastAsia="宋体" w:cs="Arial"/>
                <w:sz w:val="21"/>
                <w:szCs w:val="21"/>
              </w:rPr>
            </w:pPr>
            <w:r>
              <w:rPr>
                <w:rFonts w:ascii="Arial" w:hAnsi="Arial" w:eastAsia="宋体" w:cs="Arial"/>
                <w:sz w:val="21"/>
                <w:szCs w:val="21"/>
              </w:rPr>
              <w:t>180</w:t>
            </w:r>
          </w:p>
        </w:tc>
        <w:tc>
          <w:tcPr>
            <w:tcW w:w="652" w:type="pct"/>
            <w:tcBorders>
              <w:top w:val="single" w:color="auto" w:sz="4" w:space="0"/>
              <w:left w:val="single" w:color="auto" w:sz="4" w:space="0"/>
              <w:bottom w:val="single" w:color="auto" w:sz="4" w:space="0"/>
              <w:right w:val="single" w:color="auto" w:sz="4" w:space="0"/>
            </w:tcBorders>
            <w:vAlign w:val="center"/>
          </w:tcPr>
          <w:p w14:paraId="73EB3255">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0F6D7A6">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38BBBD04">
            <w:pPr>
              <w:spacing w:line="240" w:lineRule="exact"/>
              <w:jc w:val="center"/>
              <w:rPr>
                <w:rFonts w:ascii="Arial" w:hAnsi="Arial" w:eastAsia="宋体" w:cs="Arial"/>
                <w:sz w:val="21"/>
                <w:szCs w:val="21"/>
              </w:rPr>
            </w:pPr>
            <w:r>
              <w:rPr>
                <w:rFonts w:ascii="Arial" w:hAnsi="Arial" w:eastAsia="宋体" w:cs="Arial"/>
                <w:sz w:val="21"/>
                <w:szCs w:val="21"/>
              </w:rPr>
              <w:t>151.809</w:t>
            </w:r>
          </w:p>
        </w:tc>
        <w:tc>
          <w:tcPr>
            <w:tcW w:w="653" w:type="pct"/>
            <w:tcBorders>
              <w:top w:val="single" w:color="auto" w:sz="4" w:space="0"/>
              <w:left w:val="single" w:color="auto" w:sz="4" w:space="0"/>
              <w:bottom w:val="single" w:color="auto" w:sz="4" w:space="0"/>
              <w:right w:val="single" w:color="auto" w:sz="4" w:space="0"/>
            </w:tcBorders>
            <w:vAlign w:val="center"/>
          </w:tcPr>
          <w:p w14:paraId="154F27C2">
            <w:pPr>
              <w:spacing w:line="240" w:lineRule="exact"/>
              <w:jc w:val="center"/>
              <w:rPr>
                <w:rFonts w:ascii="Arial" w:hAnsi="Arial" w:eastAsia="宋体" w:cs="Arial"/>
                <w:sz w:val="21"/>
                <w:szCs w:val="21"/>
              </w:rPr>
            </w:pPr>
            <w:r>
              <w:rPr>
                <w:rFonts w:ascii="Arial" w:hAnsi="Arial" w:eastAsia="宋体" w:cs="Arial"/>
                <w:sz w:val="21"/>
                <w:szCs w:val="21"/>
              </w:rPr>
              <w:t>979.8093</w:t>
            </w:r>
          </w:p>
        </w:tc>
        <w:tc>
          <w:tcPr>
            <w:tcW w:w="652" w:type="pct"/>
            <w:tcBorders>
              <w:top w:val="single" w:color="auto" w:sz="4" w:space="0"/>
              <w:left w:val="single" w:color="auto" w:sz="4" w:space="0"/>
              <w:bottom w:val="single" w:color="auto" w:sz="4" w:space="0"/>
              <w:right w:val="single" w:color="auto" w:sz="4" w:space="0"/>
            </w:tcBorders>
            <w:vAlign w:val="center"/>
          </w:tcPr>
          <w:p w14:paraId="18B50722">
            <w:pPr>
              <w:spacing w:line="240" w:lineRule="exact"/>
              <w:jc w:val="center"/>
              <w:rPr>
                <w:rFonts w:ascii="Arial" w:hAnsi="Arial" w:eastAsia="宋体" w:cs="Arial"/>
                <w:sz w:val="21"/>
                <w:szCs w:val="21"/>
              </w:rPr>
            </w:pPr>
            <w:r>
              <w:rPr>
                <w:rFonts w:ascii="Arial" w:hAnsi="Arial" w:eastAsia="宋体" w:cs="Arial"/>
                <w:sz w:val="21"/>
                <w:szCs w:val="21"/>
              </w:rPr>
              <w:t>0.0003</w:t>
            </w:r>
          </w:p>
        </w:tc>
        <w:tc>
          <w:tcPr>
            <w:tcW w:w="653" w:type="pct"/>
            <w:tcBorders>
              <w:top w:val="single" w:color="auto" w:sz="4" w:space="0"/>
              <w:left w:val="single" w:color="auto" w:sz="4" w:space="0"/>
              <w:bottom w:val="single" w:color="auto" w:sz="4" w:space="0"/>
              <w:right w:val="single" w:color="auto" w:sz="4" w:space="0"/>
            </w:tcBorders>
            <w:vAlign w:val="center"/>
          </w:tcPr>
          <w:p w14:paraId="73DF6C07">
            <w:pPr>
              <w:spacing w:line="240" w:lineRule="exact"/>
              <w:jc w:val="center"/>
              <w:rPr>
                <w:rFonts w:ascii="Arial" w:hAnsi="Arial" w:eastAsia="宋体" w:cs="Arial"/>
                <w:sz w:val="21"/>
                <w:szCs w:val="21"/>
              </w:rPr>
            </w:pPr>
            <w:r>
              <w:rPr>
                <w:rFonts w:ascii="Arial" w:hAnsi="Arial" w:eastAsia="宋体" w:cs="Arial"/>
                <w:sz w:val="21"/>
                <w:szCs w:val="21"/>
              </w:rPr>
              <w:t>828.0003</w:t>
            </w:r>
          </w:p>
        </w:tc>
      </w:tr>
      <w:tr w14:paraId="6178F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74D4C77">
            <w:pPr>
              <w:spacing w:line="240" w:lineRule="exact"/>
              <w:jc w:val="center"/>
              <w:rPr>
                <w:rFonts w:ascii="Arial" w:hAnsi="Arial" w:eastAsia="宋体" w:cs="Arial"/>
                <w:sz w:val="21"/>
                <w:szCs w:val="21"/>
              </w:rPr>
            </w:pPr>
            <w:r>
              <w:rPr>
                <w:rFonts w:ascii="Arial" w:hAnsi="Arial" w:eastAsia="宋体" w:cs="Arial"/>
                <w:sz w:val="21"/>
                <w:szCs w:val="21"/>
              </w:rPr>
              <w:t>200</w:t>
            </w:r>
          </w:p>
        </w:tc>
        <w:tc>
          <w:tcPr>
            <w:tcW w:w="652" w:type="pct"/>
            <w:tcBorders>
              <w:top w:val="single" w:color="auto" w:sz="4" w:space="0"/>
              <w:left w:val="single" w:color="auto" w:sz="4" w:space="0"/>
              <w:bottom w:val="single" w:color="auto" w:sz="4" w:space="0"/>
              <w:right w:val="single" w:color="auto" w:sz="4" w:space="0"/>
            </w:tcBorders>
            <w:vAlign w:val="center"/>
          </w:tcPr>
          <w:p w14:paraId="3B7B16FF">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C2DFD17">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0B534E00">
            <w:pPr>
              <w:spacing w:line="240" w:lineRule="exact"/>
              <w:jc w:val="center"/>
              <w:rPr>
                <w:rFonts w:ascii="Arial" w:hAnsi="Arial" w:eastAsia="宋体" w:cs="Arial"/>
                <w:sz w:val="21"/>
                <w:szCs w:val="21"/>
              </w:rPr>
            </w:pPr>
            <w:r>
              <w:rPr>
                <w:rFonts w:ascii="Arial" w:hAnsi="Arial" w:eastAsia="宋体" w:cs="Arial"/>
                <w:sz w:val="21"/>
                <w:szCs w:val="21"/>
              </w:rPr>
              <w:t>136.987</w:t>
            </w:r>
          </w:p>
        </w:tc>
        <w:tc>
          <w:tcPr>
            <w:tcW w:w="653" w:type="pct"/>
            <w:tcBorders>
              <w:top w:val="single" w:color="auto" w:sz="4" w:space="0"/>
              <w:left w:val="single" w:color="auto" w:sz="4" w:space="0"/>
              <w:bottom w:val="single" w:color="auto" w:sz="4" w:space="0"/>
              <w:right w:val="single" w:color="auto" w:sz="4" w:space="0"/>
            </w:tcBorders>
            <w:vAlign w:val="center"/>
          </w:tcPr>
          <w:p w14:paraId="15E4062F">
            <w:pPr>
              <w:spacing w:line="240" w:lineRule="exact"/>
              <w:jc w:val="center"/>
              <w:rPr>
                <w:rFonts w:ascii="Arial" w:hAnsi="Arial" w:eastAsia="宋体" w:cs="Arial"/>
                <w:sz w:val="21"/>
                <w:szCs w:val="21"/>
              </w:rPr>
            </w:pPr>
            <w:r>
              <w:rPr>
                <w:rFonts w:ascii="Arial" w:hAnsi="Arial" w:eastAsia="宋体" w:cs="Arial"/>
                <w:sz w:val="21"/>
                <w:szCs w:val="21"/>
              </w:rPr>
              <w:t>964.9869</w:t>
            </w:r>
          </w:p>
        </w:tc>
        <w:tc>
          <w:tcPr>
            <w:tcW w:w="652" w:type="pct"/>
            <w:tcBorders>
              <w:top w:val="single" w:color="auto" w:sz="4" w:space="0"/>
              <w:left w:val="single" w:color="auto" w:sz="4" w:space="0"/>
              <w:bottom w:val="single" w:color="auto" w:sz="4" w:space="0"/>
              <w:right w:val="single" w:color="auto" w:sz="4" w:space="0"/>
            </w:tcBorders>
            <w:vAlign w:val="center"/>
          </w:tcPr>
          <w:p w14:paraId="67CDE4AE">
            <w:pPr>
              <w:spacing w:line="240" w:lineRule="exact"/>
              <w:jc w:val="center"/>
              <w:rPr>
                <w:rFonts w:ascii="Arial" w:hAnsi="Arial" w:eastAsia="宋体" w:cs="Arial"/>
                <w:sz w:val="21"/>
                <w:szCs w:val="21"/>
              </w:rPr>
            </w:pPr>
            <w:r>
              <w:rPr>
                <w:rFonts w:ascii="Arial" w:hAnsi="Arial" w:eastAsia="宋体" w:cs="Arial"/>
                <w:sz w:val="21"/>
                <w:szCs w:val="21"/>
              </w:rPr>
              <w:t>0.0012</w:t>
            </w:r>
          </w:p>
        </w:tc>
        <w:tc>
          <w:tcPr>
            <w:tcW w:w="653" w:type="pct"/>
            <w:tcBorders>
              <w:top w:val="single" w:color="auto" w:sz="4" w:space="0"/>
              <w:left w:val="single" w:color="auto" w:sz="4" w:space="0"/>
              <w:bottom w:val="single" w:color="auto" w:sz="4" w:space="0"/>
              <w:right w:val="single" w:color="auto" w:sz="4" w:space="0"/>
            </w:tcBorders>
            <w:vAlign w:val="center"/>
          </w:tcPr>
          <w:p w14:paraId="60CADC79">
            <w:pPr>
              <w:spacing w:line="240" w:lineRule="exact"/>
              <w:jc w:val="center"/>
              <w:rPr>
                <w:rFonts w:ascii="Arial" w:hAnsi="Arial" w:eastAsia="宋体" w:cs="Arial"/>
                <w:sz w:val="21"/>
                <w:szCs w:val="21"/>
              </w:rPr>
            </w:pPr>
            <w:r>
              <w:rPr>
                <w:rFonts w:ascii="Arial" w:hAnsi="Arial" w:eastAsia="宋体" w:cs="Arial"/>
                <w:sz w:val="21"/>
                <w:szCs w:val="21"/>
              </w:rPr>
              <w:t>828.0012</w:t>
            </w:r>
          </w:p>
        </w:tc>
      </w:tr>
      <w:tr w14:paraId="23182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7EB1D0F">
            <w:pPr>
              <w:spacing w:line="240" w:lineRule="exact"/>
              <w:jc w:val="center"/>
              <w:rPr>
                <w:rFonts w:ascii="Arial" w:hAnsi="Arial" w:eastAsia="宋体" w:cs="Arial"/>
                <w:sz w:val="21"/>
                <w:szCs w:val="21"/>
              </w:rPr>
            </w:pPr>
            <w:r>
              <w:rPr>
                <w:rFonts w:ascii="Arial" w:hAnsi="Arial" w:eastAsia="宋体" w:cs="Arial"/>
                <w:sz w:val="21"/>
                <w:szCs w:val="21"/>
              </w:rPr>
              <w:t>220</w:t>
            </w:r>
          </w:p>
        </w:tc>
        <w:tc>
          <w:tcPr>
            <w:tcW w:w="652" w:type="pct"/>
            <w:tcBorders>
              <w:top w:val="single" w:color="auto" w:sz="4" w:space="0"/>
              <w:left w:val="single" w:color="auto" w:sz="4" w:space="0"/>
              <w:bottom w:val="single" w:color="auto" w:sz="4" w:space="0"/>
              <w:right w:val="single" w:color="auto" w:sz="4" w:space="0"/>
            </w:tcBorders>
            <w:vAlign w:val="center"/>
          </w:tcPr>
          <w:p w14:paraId="11C6D312">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39C0E84">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64E5A189">
            <w:pPr>
              <w:spacing w:line="240" w:lineRule="exact"/>
              <w:jc w:val="center"/>
              <w:rPr>
                <w:rFonts w:ascii="Arial" w:hAnsi="Arial" w:eastAsia="宋体" w:cs="Arial"/>
                <w:sz w:val="21"/>
                <w:szCs w:val="21"/>
              </w:rPr>
            </w:pPr>
            <w:r>
              <w:rPr>
                <w:rFonts w:ascii="Arial" w:hAnsi="Arial" w:eastAsia="宋体" w:cs="Arial"/>
                <w:sz w:val="21"/>
                <w:szCs w:val="21"/>
              </w:rPr>
              <w:t>93.9886</w:t>
            </w:r>
          </w:p>
        </w:tc>
        <w:tc>
          <w:tcPr>
            <w:tcW w:w="653" w:type="pct"/>
            <w:tcBorders>
              <w:top w:val="single" w:color="auto" w:sz="4" w:space="0"/>
              <w:left w:val="single" w:color="auto" w:sz="4" w:space="0"/>
              <w:bottom w:val="single" w:color="auto" w:sz="4" w:space="0"/>
              <w:right w:val="single" w:color="auto" w:sz="4" w:space="0"/>
            </w:tcBorders>
            <w:vAlign w:val="center"/>
          </w:tcPr>
          <w:p w14:paraId="5872FED4">
            <w:pPr>
              <w:spacing w:line="240" w:lineRule="exact"/>
              <w:jc w:val="center"/>
              <w:rPr>
                <w:rFonts w:ascii="Arial" w:hAnsi="Arial" w:eastAsia="宋体" w:cs="Arial"/>
                <w:sz w:val="21"/>
                <w:szCs w:val="21"/>
              </w:rPr>
            </w:pPr>
            <w:r>
              <w:rPr>
                <w:rFonts w:ascii="Arial" w:hAnsi="Arial" w:eastAsia="宋体" w:cs="Arial"/>
                <w:sz w:val="21"/>
                <w:szCs w:val="21"/>
              </w:rPr>
              <w:t>921.9886</w:t>
            </w:r>
          </w:p>
        </w:tc>
        <w:tc>
          <w:tcPr>
            <w:tcW w:w="652" w:type="pct"/>
            <w:tcBorders>
              <w:top w:val="single" w:color="auto" w:sz="4" w:space="0"/>
              <w:left w:val="single" w:color="auto" w:sz="4" w:space="0"/>
              <w:bottom w:val="single" w:color="auto" w:sz="4" w:space="0"/>
              <w:right w:val="single" w:color="auto" w:sz="4" w:space="0"/>
            </w:tcBorders>
            <w:vAlign w:val="center"/>
          </w:tcPr>
          <w:p w14:paraId="4EA6E0BC">
            <w:pPr>
              <w:spacing w:line="240" w:lineRule="exact"/>
              <w:jc w:val="center"/>
              <w:rPr>
                <w:rFonts w:ascii="Arial" w:hAnsi="Arial" w:eastAsia="宋体" w:cs="Arial"/>
                <w:sz w:val="21"/>
                <w:szCs w:val="21"/>
              </w:rPr>
            </w:pPr>
            <w:r>
              <w:rPr>
                <w:rFonts w:ascii="Arial" w:hAnsi="Arial" w:eastAsia="宋体" w:cs="Arial"/>
                <w:sz w:val="21"/>
                <w:szCs w:val="21"/>
              </w:rPr>
              <w:t>0.0051</w:t>
            </w:r>
          </w:p>
        </w:tc>
        <w:tc>
          <w:tcPr>
            <w:tcW w:w="653" w:type="pct"/>
            <w:tcBorders>
              <w:top w:val="single" w:color="auto" w:sz="4" w:space="0"/>
              <w:left w:val="single" w:color="auto" w:sz="4" w:space="0"/>
              <w:bottom w:val="single" w:color="auto" w:sz="4" w:space="0"/>
              <w:right w:val="single" w:color="auto" w:sz="4" w:space="0"/>
            </w:tcBorders>
            <w:vAlign w:val="center"/>
          </w:tcPr>
          <w:p w14:paraId="73085E57">
            <w:pPr>
              <w:spacing w:line="240" w:lineRule="exact"/>
              <w:jc w:val="center"/>
              <w:rPr>
                <w:rFonts w:ascii="Arial" w:hAnsi="Arial" w:eastAsia="宋体" w:cs="Arial"/>
                <w:sz w:val="21"/>
                <w:szCs w:val="21"/>
              </w:rPr>
            </w:pPr>
            <w:r>
              <w:rPr>
                <w:rFonts w:ascii="Arial" w:hAnsi="Arial" w:eastAsia="宋体" w:cs="Arial"/>
                <w:sz w:val="21"/>
                <w:szCs w:val="21"/>
              </w:rPr>
              <w:t>828.0051</w:t>
            </w:r>
          </w:p>
        </w:tc>
      </w:tr>
      <w:tr w14:paraId="22853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15690DF">
            <w:pPr>
              <w:spacing w:line="240" w:lineRule="exact"/>
              <w:jc w:val="center"/>
              <w:rPr>
                <w:rFonts w:ascii="Arial" w:hAnsi="Arial" w:eastAsia="宋体" w:cs="Arial"/>
                <w:sz w:val="21"/>
                <w:szCs w:val="21"/>
              </w:rPr>
            </w:pPr>
            <w:r>
              <w:rPr>
                <w:rFonts w:ascii="Arial" w:hAnsi="Arial" w:eastAsia="宋体" w:cs="Arial"/>
                <w:sz w:val="21"/>
                <w:szCs w:val="21"/>
              </w:rPr>
              <w:t>240</w:t>
            </w:r>
          </w:p>
        </w:tc>
        <w:tc>
          <w:tcPr>
            <w:tcW w:w="652" w:type="pct"/>
            <w:tcBorders>
              <w:top w:val="single" w:color="auto" w:sz="4" w:space="0"/>
              <w:left w:val="single" w:color="auto" w:sz="4" w:space="0"/>
              <w:bottom w:val="single" w:color="auto" w:sz="4" w:space="0"/>
              <w:right w:val="single" w:color="auto" w:sz="4" w:space="0"/>
            </w:tcBorders>
            <w:vAlign w:val="center"/>
          </w:tcPr>
          <w:p w14:paraId="2100BCF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45D1BD4">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73016948">
            <w:pPr>
              <w:spacing w:line="240" w:lineRule="exact"/>
              <w:jc w:val="center"/>
              <w:rPr>
                <w:rFonts w:ascii="Arial" w:hAnsi="Arial" w:eastAsia="宋体" w:cs="Arial"/>
                <w:sz w:val="21"/>
                <w:szCs w:val="21"/>
              </w:rPr>
            </w:pPr>
            <w:r>
              <w:rPr>
                <w:rFonts w:ascii="Arial" w:hAnsi="Arial" w:eastAsia="宋体" w:cs="Arial"/>
                <w:sz w:val="21"/>
                <w:szCs w:val="21"/>
              </w:rPr>
              <w:t>49.0327</w:t>
            </w:r>
          </w:p>
        </w:tc>
        <w:tc>
          <w:tcPr>
            <w:tcW w:w="653" w:type="pct"/>
            <w:tcBorders>
              <w:top w:val="single" w:color="auto" w:sz="4" w:space="0"/>
              <w:left w:val="single" w:color="auto" w:sz="4" w:space="0"/>
              <w:bottom w:val="single" w:color="auto" w:sz="4" w:space="0"/>
              <w:right w:val="single" w:color="auto" w:sz="4" w:space="0"/>
            </w:tcBorders>
            <w:vAlign w:val="center"/>
          </w:tcPr>
          <w:p w14:paraId="1830E41F">
            <w:pPr>
              <w:spacing w:line="240" w:lineRule="exact"/>
              <w:jc w:val="center"/>
              <w:rPr>
                <w:rFonts w:ascii="Arial" w:hAnsi="Arial" w:eastAsia="宋体" w:cs="Arial"/>
                <w:sz w:val="21"/>
                <w:szCs w:val="21"/>
              </w:rPr>
            </w:pPr>
            <w:r>
              <w:rPr>
                <w:rFonts w:ascii="Arial" w:hAnsi="Arial" w:eastAsia="宋体" w:cs="Arial"/>
                <w:sz w:val="21"/>
                <w:szCs w:val="21"/>
              </w:rPr>
              <w:t>877.0327</w:t>
            </w:r>
          </w:p>
        </w:tc>
        <w:tc>
          <w:tcPr>
            <w:tcW w:w="652" w:type="pct"/>
            <w:tcBorders>
              <w:top w:val="single" w:color="auto" w:sz="4" w:space="0"/>
              <w:left w:val="single" w:color="auto" w:sz="4" w:space="0"/>
              <w:bottom w:val="single" w:color="auto" w:sz="4" w:space="0"/>
              <w:right w:val="single" w:color="auto" w:sz="4" w:space="0"/>
            </w:tcBorders>
            <w:vAlign w:val="center"/>
          </w:tcPr>
          <w:p w14:paraId="26AC4192">
            <w:pPr>
              <w:spacing w:line="240" w:lineRule="exact"/>
              <w:jc w:val="center"/>
              <w:rPr>
                <w:rFonts w:ascii="Arial" w:hAnsi="Arial" w:eastAsia="宋体" w:cs="Arial"/>
                <w:sz w:val="21"/>
                <w:szCs w:val="21"/>
              </w:rPr>
            </w:pPr>
            <w:r>
              <w:rPr>
                <w:rFonts w:ascii="Arial" w:hAnsi="Arial" w:eastAsia="宋体" w:cs="Arial"/>
                <w:sz w:val="21"/>
                <w:szCs w:val="21"/>
              </w:rPr>
              <w:t>0.0197</w:t>
            </w:r>
          </w:p>
        </w:tc>
        <w:tc>
          <w:tcPr>
            <w:tcW w:w="653" w:type="pct"/>
            <w:tcBorders>
              <w:top w:val="single" w:color="auto" w:sz="4" w:space="0"/>
              <w:left w:val="single" w:color="auto" w:sz="4" w:space="0"/>
              <w:bottom w:val="single" w:color="auto" w:sz="4" w:space="0"/>
              <w:right w:val="single" w:color="auto" w:sz="4" w:space="0"/>
            </w:tcBorders>
            <w:vAlign w:val="center"/>
          </w:tcPr>
          <w:p w14:paraId="395C3C61">
            <w:pPr>
              <w:spacing w:line="240" w:lineRule="exact"/>
              <w:jc w:val="center"/>
              <w:rPr>
                <w:rFonts w:ascii="Arial" w:hAnsi="Arial" w:eastAsia="宋体" w:cs="Arial"/>
                <w:sz w:val="21"/>
                <w:szCs w:val="21"/>
              </w:rPr>
            </w:pPr>
            <w:r>
              <w:rPr>
                <w:rFonts w:ascii="Arial" w:hAnsi="Arial" w:eastAsia="宋体" w:cs="Arial"/>
                <w:sz w:val="21"/>
                <w:szCs w:val="21"/>
              </w:rPr>
              <w:t>828.0197</w:t>
            </w:r>
          </w:p>
        </w:tc>
      </w:tr>
      <w:tr w14:paraId="2D19F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B23DBA9">
            <w:pPr>
              <w:spacing w:line="240" w:lineRule="exact"/>
              <w:jc w:val="center"/>
              <w:rPr>
                <w:rFonts w:ascii="Arial" w:hAnsi="Arial" w:eastAsia="宋体" w:cs="Arial"/>
                <w:sz w:val="21"/>
                <w:szCs w:val="21"/>
              </w:rPr>
            </w:pPr>
            <w:r>
              <w:rPr>
                <w:rFonts w:ascii="Arial" w:hAnsi="Arial" w:eastAsia="宋体" w:cs="Arial"/>
                <w:sz w:val="21"/>
                <w:szCs w:val="21"/>
              </w:rPr>
              <w:t>260</w:t>
            </w:r>
          </w:p>
        </w:tc>
        <w:tc>
          <w:tcPr>
            <w:tcW w:w="652" w:type="pct"/>
            <w:tcBorders>
              <w:top w:val="single" w:color="auto" w:sz="4" w:space="0"/>
              <w:left w:val="single" w:color="auto" w:sz="4" w:space="0"/>
              <w:bottom w:val="single" w:color="auto" w:sz="4" w:space="0"/>
              <w:right w:val="single" w:color="auto" w:sz="4" w:space="0"/>
            </w:tcBorders>
            <w:vAlign w:val="center"/>
          </w:tcPr>
          <w:p w14:paraId="59AEC094">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01ED40C">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59B98183">
            <w:pPr>
              <w:spacing w:line="240" w:lineRule="exact"/>
              <w:jc w:val="center"/>
              <w:rPr>
                <w:rFonts w:ascii="Arial" w:hAnsi="Arial" w:eastAsia="宋体" w:cs="Arial"/>
                <w:sz w:val="21"/>
                <w:szCs w:val="21"/>
              </w:rPr>
            </w:pPr>
            <w:r>
              <w:rPr>
                <w:rFonts w:ascii="Arial" w:hAnsi="Arial" w:eastAsia="宋体" w:cs="Arial"/>
                <w:sz w:val="21"/>
                <w:szCs w:val="21"/>
              </w:rPr>
              <w:t>19.4497</w:t>
            </w:r>
          </w:p>
        </w:tc>
        <w:tc>
          <w:tcPr>
            <w:tcW w:w="653" w:type="pct"/>
            <w:tcBorders>
              <w:top w:val="single" w:color="auto" w:sz="4" w:space="0"/>
              <w:left w:val="single" w:color="auto" w:sz="4" w:space="0"/>
              <w:bottom w:val="single" w:color="auto" w:sz="4" w:space="0"/>
              <w:right w:val="single" w:color="auto" w:sz="4" w:space="0"/>
            </w:tcBorders>
            <w:vAlign w:val="center"/>
          </w:tcPr>
          <w:p w14:paraId="3CAA5E6C">
            <w:pPr>
              <w:spacing w:line="240" w:lineRule="exact"/>
              <w:jc w:val="center"/>
              <w:rPr>
                <w:rFonts w:ascii="Arial" w:hAnsi="Arial" w:eastAsia="宋体" w:cs="Arial"/>
                <w:sz w:val="21"/>
                <w:szCs w:val="21"/>
              </w:rPr>
            </w:pPr>
            <w:r>
              <w:rPr>
                <w:rFonts w:ascii="Arial" w:hAnsi="Arial" w:eastAsia="宋体" w:cs="Arial"/>
                <w:sz w:val="21"/>
                <w:szCs w:val="21"/>
              </w:rPr>
              <w:t>847.4497</w:t>
            </w:r>
          </w:p>
        </w:tc>
        <w:tc>
          <w:tcPr>
            <w:tcW w:w="652" w:type="pct"/>
            <w:tcBorders>
              <w:top w:val="single" w:color="auto" w:sz="4" w:space="0"/>
              <w:left w:val="single" w:color="auto" w:sz="4" w:space="0"/>
              <w:bottom w:val="single" w:color="auto" w:sz="4" w:space="0"/>
              <w:right w:val="single" w:color="auto" w:sz="4" w:space="0"/>
            </w:tcBorders>
            <w:vAlign w:val="center"/>
          </w:tcPr>
          <w:p w14:paraId="6EF53B49">
            <w:pPr>
              <w:spacing w:line="240" w:lineRule="exact"/>
              <w:jc w:val="center"/>
              <w:rPr>
                <w:rFonts w:ascii="Arial" w:hAnsi="Arial" w:eastAsia="宋体" w:cs="Arial"/>
                <w:sz w:val="21"/>
                <w:szCs w:val="21"/>
              </w:rPr>
            </w:pPr>
            <w:r>
              <w:rPr>
                <w:rFonts w:ascii="Arial" w:hAnsi="Arial" w:eastAsia="宋体" w:cs="Arial"/>
                <w:sz w:val="21"/>
                <w:szCs w:val="21"/>
              </w:rPr>
              <w:t>0.0686</w:t>
            </w:r>
          </w:p>
        </w:tc>
        <w:tc>
          <w:tcPr>
            <w:tcW w:w="653" w:type="pct"/>
            <w:tcBorders>
              <w:top w:val="single" w:color="auto" w:sz="4" w:space="0"/>
              <w:left w:val="single" w:color="auto" w:sz="4" w:space="0"/>
              <w:bottom w:val="single" w:color="auto" w:sz="4" w:space="0"/>
              <w:right w:val="single" w:color="auto" w:sz="4" w:space="0"/>
            </w:tcBorders>
            <w:vAlign w:val="center"/>
          </w:tcPr>
          <w:p w14:paraId="50F0487E">
            <w:pPr>
              <w:spacing w:line="240" w:lineRule="exact"/>
              <w:jc w:val="center"/>
              <w:rPr>
                <w:rFonts w:ascii="Arial" w:hAnsi="Arial" w:eastAsia="宋体" w:cs="Arial"/>
                <w:sz w:val="21"/>
                <w:szCs w:val="21"/>
              </w:rPr>
            </w:pPr>
            <w:r>
              <w:rPr>
                <w:rFonts w:ascii="Arial" w:hAnsi="Arial" w:eastAsia="宋体" w:cs="Arial"/>
                <w:sz w:val="21"/>
                <w:szCs w:val="21"/>
              </w:rPr>
              <w:t>828.0686</w:t>
            </w:r>
          </w:p>
        </w:tc>
      </w:tr>
      <w:tr w14:paraId="31393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5800EFE4">
            <w:pPr>
              <w:spacing w:line="240" w:lineRule="exact"/>
              <w:jc w:val="center"/>
              <w:rPr>
                <w:rFonts w:ascii="Arial" w:hAnsi="Arial" w:eastAsia="宋体" w:cs="Arial"/>
                <w:sz w:val="21"/>
                <w:szCs w:val="21"/>
              </w:rPr>
            </w:pPr>
            <w:r>
              <w:rPr>
                <w:rFonts w:ascii="Arial" w:hAnsi="Arial" w:eastAsia="宋体" w:cs="Arial"/>
                <w:sz w:val="21"/>
                <w:szCs w:val="21"/>
              </w:rPr>
              <w:t>280</w:t>
            </w:r>
          </w:p>
        </w:tc>
        <w:tc>
          <w:tcPr>
            <w:tcW w:w="652" w:type="pct"/>
            <w:tcBorders>
              <w:top w:val="single" w:color="auto" w:sz="4" w:space="0"/>
              <w:left w:val="single" w:color="auto" w:sz="4" w:space="0"/>
              <w:bottom w:val="single" w:color="auto" w:sz="4" w:space="0"/>
              <w:right w:val="single" w:color="auto" w:sz="4" w:space="0"/>
            </w:tcBorders>
            <w:vAlign w:val="center"/>
          </w:tcPr>
          <w:p w14:paraId="36FFED3F">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33D678D">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35BA41A6">
            <w:pPr>
              <w:spacing w:line="240" w:lineRule="exact"/>
              <w:jc w:val="center"/>
              <w:rPr>
                <w:rFonts w:ascii="Arial" w:hAnsi="Arial" w:eastAsia="宋体" w:cs="Arial"/>
                <w:sz w:val="21"/>
                <w:szCs w:val="21"/>
              </w:rPr>
            </w:pPr>
            <w:r>
              <w:rPr>
                <w:rFonts w:ascii="Arial" w:hAnsi="Arial" w:eastAsia="宋体" w:cs="Arial"/>
                <w:sz w:val="21"/>
                <w:szCs w:val="21"/>
              </w:rPr>
              <w:t>5.8662</w:t>
            </w:r>
          </w:p>
        </w:tc>
        <w:tc>
          <w:tcPr>
            <w:tcW w:w="653" w:type="pct"/>
            <w:tcBorders>
              <w:top w:val="single" w:color="auto" w:sz="4" w:space="0"/>
              <w:left w:val="single" w:color="auto" w:sz="4" w:space="0"/>
              <w:bottom w:val="single" w:color="auto" w:sz="4" w:space="0"/>
              <w:right w:val="single" w:color="auto" w:sz="4" w:space="0"/>
            </w:tcBorders>
            <w:vAlign w:val="center"/>
          </w:tcPr>
          <w:p w14:paraId="45754456">
            <w:pPr>
              <w:spacing w:line="240" w:lineRule="exact"/>
              <w:jc w:val="center"/>
              <w:rPr>
                <w:rFonts w:ascii="Arial" w:hAnsi="Arial" w:eastAsia="宋体" w:cs="Arial"/>
                <w:sz w:val="21"/>
                <w:szCs w:val="21"/>
              </w:rPr>
            </w:pPr>
            <w:r>
              <w:rPr>
                <w:rFonts w:ascii="Arial" w:hAnsi="Arial" w:eastAsia="宋体" w:cs="Arial"/>
                <w:sz w:val="21"/>
                <w:szCs w:val="21"/>
              </w:rPr>
              <w:t>833.8662</w:t>
            </w:r>
          </w:p>
        </w:tc>
        <w:tc>
          <w:tcPr>
            <w:tcW w:w="652" w:type="pct"/>
            <w:tcBorders>
              <w:top w:val="single" w:color="auto" w:sz="4" w:space="0"/>
              <w:left w:val="single" w:color="auto" w:sz="4" w:space="0"/>
              <w:bottom w:val="single" w:color="auto" w:sz="4" w:space="0"/>
              <w:right w:val="single" w:color="auto" w:sz="4" w:space="0"/>
            </w:tcBorders>
            <w:vAlign w:val="center"/>
          </w:tcPr>
          <w:p w14:paraId="3ECB7893">
            <w:pPr>
              <w:spacing w:line="240" w:lineRule="exact"/>
              <w:jc w:val="center"/>
              <w:rPr>
                <w:rFonts w:ascii="Arial" w:hAnsi="Arial" w:eastAsia="宋体" w:cs="Arial"/>
                <w:sz w:val="21"/>
                <w:szCs w:val="21"/>
              </w:rPr>
            </w:pPr>
            <w:r>
              <w:rPr>
                <w:rFonts w:ascii="Arial" w:hAnsi="Arial" w:eastAsia="宋体" w:cs="Arial"/>
                <w:sz w:val="21"/>
                <w:szCs w:val="21"/>
              </w:rPr>
              <w:t>0.2167</w:t>
            </w:r>
          </w:p>
        </w:tc>
        <w:tc>
          <w:tcPr>
            <w:tcW w:w="653" w:type="pct"/>
            <w:tcBorders>
              <w:top w:val="single" w:color="auto" w:sz="4" w:space="0"/>
              <w:left w:val="single" w:color="auto" w:sz="4" w:space="0"/>
              <w:bottom w:val="single" w:color="auto" w:sz="4" w:space="0"/>
              <w:right w:val="single" w:color="auto" w:sz="4" w:space="0"/>
            </w:tcBorders>
            <w:vAlign w:val="center"/>
          </w:tcPr>
          <w:p w14:paraId="1EDD775F">
            <w:pPr>
              <w:spacing w:line="240" w:lineRule="exact"/>
              <w:jc w:val="center"/>
              <w:rPr>
                <w:rFonts w:ascii="Arial" w:hAnsi="Arial" w:eastAsia="宋体" w:cs="Arial"/>
                <w:sz w:val="21"/>
                <w:szCs w:val="21"/>
              </w:rPr>
            </w:pPr>
            <w:r>
              <w:rPr>
                <w:rFonts w:ascii="Arial" w:hAnsi="Arial" w:eastAsia="宋体" w:cs="Arial"/>
                <w:sz w:val="21"/>
                <w:szCs w:val="21"/>
              </w:rPr>
              <w:t>828.2167</w:t>
            </w:r>
          </w:p>
        </w:tc>
      </w:tr>
      <w:tr w14:paraId="00FC5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A9D2D49">
            <w:pPr>
              <w:spacing w:line="240" w:lineRule="exact"/>
              <w:jc w:val="center"/>
              <w:rPr>
                <w:rFonts w:ascii="Arial" w:hAnsi="Arial" w:eastAsia="宋体" w:cs="Arial"/>
                <w:sz w:val="21"/>
                <w:szCs w:val="21"/>
              </w:rPr>
            </w:pPr>
            <w:r>
              <w:rPr>
                <w:rFonts w:ascii="Arial" w:hAnsi="Arial" w:eastAsia="宋体" w:cs="Arial"/>
                <w:sz w:val="21"/>
                <w:szCs w:val="21"/>
              </w:rPr>
              <w:t>300</w:t>
            </w:r>
          </w:p>
        </w:tc>
        <w:tc>
          <w:tcPr>
            <w:tcW w:w="652" w:type="pct"/>
            <w:tcBorders>
              <w:top w:val="single" w:color="auto" w:sz="4" w:space="0"/>
              <w:left w:val="single" w:color="auto" w:sz="4" w:space="0"/>
              <w:bottom w:val="single" w:color="auto" w:sz="4" w:space="0"/>
              <w:right w:val="single" w:color="auto" w:sz="4" w:space="0"/>
            </w:tcBorders>
            <w:vAlign w:val="center"/>
          </w:tcPr>
          <w:p w14:paraId="7ADF34B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FF7342A">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299912B0">
            <w:pPr>
              <w:spacing w:line="240" w:lineRule="exact"/>
              <w:jc w:val="center"/>
              <w:rPr>
                <w:rFonts w:ascii="Arial" w:hAnsi="Arial" w:eastAsia="宋体" w:cs="Arial"/>
                <w:sz w:val="21"/>
                <w:szCs w:val="21"/>
              </w:rPr>
            </w:pPr>
            <w:r>
              <w:rPr>
                <w:rFonts w:ascii="Arial" w:hAnsi="Arial" w:eastAsia="宋体" w:cs="Arial"/>
                <w:sz w:val="21"/>
                <w:szCs w:val="21"/>
              </w:rPr>
              <w:t>1.3453</w:t>
            </w:r>
          </w:p>
        </w:tc>
        <w:tc>
          <w:tcPr>
            <w:tcW w:w="653" w:type="pct"/>
            <w:tcBorders>
              <w:top w:val="single" w:color="auto" w:sz="4" w:space="0"/>
              <w:left w:val="single" w:color="auto" w:sz="4" w:space="0"/>
              <w:bottom w:val="single" w:color="auto" w:sz="4" w:space="0"/>
              <w:right w:val="single" w:color="auto" w:sz="4" w:space="0"/>
            </w:tcBorders>
            <w:vAlign w:val="center"/>
          </w:tcPr>
          <w:p w14:paraId="706EC533">
            <w:pPr>
              <w:spacing w:line="240" w:lineRule="exact"/>
              <w:jc w:val="center"/>
              <w:rPr>
                <w:rFonts w:ascii="Arial" w:hAnsi="Arial" w:eastAsia="宋体" w:cs="Arial"/>
                <w:sz w:val="21"/>
                <w:szCs w:val="21"/>
              </w:rPr>
            </w:pPr>
            <w:r>
              <w:rPr>
                <w:rFonts w:ascii="Arial" w:hAnsi="Arial" w:eastAsia="宋体" w:cs="Arial"/>
                <w:sz w:val="21"/>
                <w:szCs w:val="21"/>
              </w:rPr>
              <w:t>829.3453</w:t>
            </w:r>
          </w:p>
        </w:tc>
        <w:tc>
          <w:tcPr>
            <w:tcW w:w="652" w:type="pct"/>
            <w:tcBorders>
              <w:top w:val="single" w:color="auto" w:sz="4" w:space="0"/>
              <w:left w:val="single" w:color="auto" w:sz="4" w:space="0"/>
              <w:bottom w:val="single" w:color="auto" w:sz="4" w:space="0"/>
              <w:right w:val="single" w:color="auto" w:sz="4" w:space="0"/>
            </w:tcBorders>
            <w:vAlign w:val="center"/>
          </w:tcPr>
          <w:p w14:paraId="64901881">
            <w:pPr>
              <w:spacing w:line="240" w:lineRule="exact"/>
              <w:jc w:val="center"/>
              <w:rPr>
                <w:rFonts w:ascii="Arial" w:hAnsi="Arial" w:eastAsia="宋体" w:cs="Arial"/>
                <w:sz w:val="21"/>
                <w:szCs w:val="21"/>
              </w:rPr>
            </w:pPr>
            <w:r>
              <w:rPr>
                <w:rFonts w:ascii="Arial" w:hAnsi="Arial" w:eastAsia="宋体" w:cs="Arial"/>
                <w:sz w:val="21"/>
                <w:szCs w:val="21"/>
              </w:rPr>
              <w:t>0.6193</w:t>
            </w:r>
          </w:p>
        </w:tc>
        <w:tc>
          <w:tcPr>
            <w:tcW w:w="653" w:type="pct"/>
            <w:tcBorders>
              <w:top w:val="single" w:color="auto" w:sz="4" w:space="0"/>
              <w:left w:val="single" w:color="auto" w:sz="4" w:space="0"/>
              <w:bottom w:val="single" w:color="auto" w:sz="4" w:space="0"/>
              <w:right w:val="single" w:color="auto" w:sz="4" w:space="0"/>
            </w:tcBorders>
            <w:vAlign w:val="center"/>
          </w:tcPr>
          <w:p w14:paraId="07090B1F">
            <w:pPr>
              <w:spacing w:line="240" w:lineRule="exact"/>
              <w:jc w:val="center"/>
              <w:rPr>
                <w:rFonts w:ascii="Arial" w:hAnsi="Arial" w:eastAsia="宋体" w:cs="Arial"/>
                <w:sz w:val="21"/>
                <w:szCs w:val="21"/>
              </w:rPr>
            </w:pPr>
            <w:r>
              <w:rPr>
                <w:rFonts w:ascii="Arial" w:hAnsi="Arial" w:eastAsia="宋体" w:cs="Arial"/>
                <w:sz w:val="21"/>
                <w:szCs w:val="21"/>
              </w:rPr>
              <w:t>828.6193</w:t>
            </w:r>
          </w:p>
        </w:tc>
      </w:tr>
      <w:tr w14:paraId="0BF84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6C1D9B10">
            <w:pPr>
              <w:spacing w:line="240" w:lineRule="exact"/>
              <w:jc w:val="center"/>
              <w:rPr>
                <w:rFonts w:ascii="Arial" w:hAnsi="Arial" w:eastAsia="宋体" w:cs="Arial"/>
                <w:sz w:val="21"/>
                <w:szCs w:val="21"/>
              </w:rPr>
            </w:pPr>
            <w:r>
              <w:rPr>
                <w:rFonts w:ascii="Arial" w:hAnsi="Arial" w:eastAsia="宋体" w:cs="Arial"/>
                <w:sz w:val="21"/>
                <w:szCs w:val="21"/>
              </w:rPr>
              <w:t>320</w:t>
            </w:r>
          </w:p>
        </w:tc>
        <w:tc>
          <w:tcPr>
            <w:tcW w:w="652" w:type="pct"/>
            <w:tcBorders>
              <w:top w:val="single" w:color="auto" w:sz="4" w:space="0"/>
              <w:left w:val="single" w:color="auto" w:sz="4" w:space="0"/>
              <w:bottom w:val="single" w:color="auto" w:sz="4" w:space="0"/>
              <w:right w:val="single" w:color="auto" w:sz="4" w:space="0"/>
            </w:tcBorders>
            <w:vAlign w:val="center"/>
          </w:tcPr>
          <w:p w14:paraId="46D29FA9">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943FC86">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603B6A42">
            <w:pPr>
              <w:spacing w:line="240" w:lineRule="exact"/>
              <w:jc w:val="center"/>
              <w:rPr>
                <w:rFonts w:ascii="Arial" w:hAnsi="Arial" w:eastAsia="宋体" w:cs="Arial"/>
                <w:sz w:val="21"/>
                <w:szCs w:val="21"/>
              </w:rPr>
            </w:pPr>
            <w:r>
              <w:rPr>
                <w:rFonts w:ascii="Arial" w:hAnsi="Arial" w:eastAsia="宋体" w:cs="Arial"/>
                <w:sz w:val="21"/>
                <w:szCs w:val="21"/>
              </w:rPr>
              <w:t>0.2346</w:t>
            </w:r>
          </w:p>
        </w:tc>
        <w:tc>
          <w:tcPr>
            <w:tcW w:w="653" w:type="pct"/>
            <w:tcBorders>
              <w:top w:val="single" w:color="auto" w:sz="4" w:space="0"/>
              <w:left w:val="single" w:color="auto" w:sz="4" w:space="0"/>
              <w:bottom w:val="single" w:color="auto" w:sz="4" w:space="0"/>
              <w:right w:val="single" w:color="auto" w:sz="4" w:space="0"/>
            </w:tcBorders>
            <w:vAlign w:val="center"/>
          </w:tcPr>
          <w:p w14:paraId="62684E0D">
            <w:pPr>
              <w:spacing w:line="240" w:lineRule="exact"/>
              <w:jc w:val="center"/>
              <w:rPr>
                <w:rFonts w:ascii="Arial" w:hAnsi="Arial" w:eastAsia="宋体" w:cs="Arial"/>
                <w:sz w:val="21"/>
                <w:szCs w:val="21"/>
              </w:rPr>
            </w:pPr>
            <w:r>
              <w:rPr>
                <w:rFonts w:ascii="Arial" w:hAnsi="Arial" w:eastAsia="宋体" w:cs="Arial"/>
                <w:sz w:val="21"/>
                <w:szCs w:val="21"/>
              </w:rPr>
              <w:t>828.2346</w:t>
            </w:r>
          </w:p>
        </w:tc>
        <w:tc>
          <w:tcPr>
            <w:tcW w:w="652" w:type="pct"/>
            <w:tcBorders>
              <w:top w:val="single" w:color="auto" w:sz="4" w:space="0"/>
              <w:left w:val="single" w:color="auto" w:sz="4" w:space="0"/>
              <w:bottom w:val="single" w:color="auto" w:sz="4" w:space="0"/>
              <w:right w:val="single" w:color="auto" w:sz="4" w:space="0"/>
            </w:tcBorders>
            <w:vAlign w:val="center"/>
          </w:tcPr>
          <w:p w14:paraId="56872E06">
            <w:pPr>
              <w:spacing w:line="240" w:lineRule="exact"/>
              <w:jc w:val="center"/>
              <w:rPr>
                <w:rFonts w:ascii="Arial" w:hAnsi="Arial" w:eastAsia="宋体" w:cs="Arial"/>
                <w:sz w:val="21"/>
                <w:szCs w:val="21"/>
              </w:rPr>
            </w:pPr>
            <w:r>
              <w:rPr>
                <w:rFonts w:ascii="Arial" w:hAnsi="Arial" w:eastAsia="宋体" w:cs="Arial"/>
                <w:sz w:val="21"/>
                <w:szCs w:val="21"/>
              </w:rPr>
              <w:t>1.6013</w:t>
            </w:r>
          </w:p>
        </w:tc>
        <w:tc>
          <w:tcPr>
            <w:tcW w:w="653" w:type="pct"/>
            <w:tcBorders>
              <w:top w:val="single" w:color="auto" w:sz="4" w:space="0"/>
              <w:left w:val="single" w:color="auto" w:sz="4" w:space="0"/>
              <w:bottom w:val="single" w:color="auto" w:sz="4" w:space="0"/>
              <w:right w:val="single" w:color="auto" w:sz="4" w:space="0"/>
            </w:tcBorders>
            <w:vAlign w:val="center"/>
          </w:tcPr>
          <w:p w14:paraId="1AFD8C33">
            <w:pPr>
              <w:spacing w:line="240" w:lineRule="exact"/>
              <w:jc w:val="center"/>
              <w:rPr>
                <w:rFonts w:ascii="Arial" w:hAnsi="Arial" w:eastAsia="宋体" w:cs="Arial"/>
                <w:sz w:val="21"/>
                <w:szCs w:val="21"/>
              </w:rPr>
            </w:pPr>
            <w:r>
              <w:rPr>
                <w:rFonts w:ascii="Arial" w:hAnsi="Arial" w:eastAsia="宋体" w:cs="Arial"/>
                <w:sz w:val="21"/>
                <w:szCs w:val="21"/>
              </w:rPr>
              <w:t>829.6013</w:t>
            </w:r>
          </w:p>
        </w:tc>
      </w:tr>
      <w:tr w14:paraId="030F5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4F1D576F">
            <w:pPr>
              <w:spacing w:line="240" w:lineRule="exact"/>
              <w:jc w:val="center"/>
              <w:rPr>
                <w:rFonts w:ascii="Arial" w:hAnsi="Arial" w:eastAsia="宋体" w:cs="Arial"/>
                <w:sz w:val="21"/>
                <w:szCs w:val="21"/>
              </w:rPr>
            </w:pPr>
            <w:r>
              <w:rPr>
                <w:rFonts w:ascii="Arial" w:hAnsi="Arial" w:eastAsia="宋体" w:cs="Arial"/>
                <w:sz w:val="21"/>
                <w:szCs w:val="21"/>
              </w:rPr>
              <w:t>340</w:t>
            </w:r>
          </w:p>
        </w:tc>
        <w:tc>
          <w:tcPr>
            <w:tcW w:w="652" w:type="pct"/>
            <w:tcBorders>
              <w:top w:val="single" w:color="auto" w:sz="4" w:space="0"/>
              <w:left w:val="single" w:color="auto" w:sz="4" w:space="0"/>
              <w:bottom w:val="single" w:color="auto" w:sz="4" w:space="0"/>
              <w:right w:val="single" w:color="auto" w:sz="4" w:space="0"/>
            </w:tcBorders>
            <w:vAlign w:val="center"/>
          </w:tcPr>
          <w:p w14:paraId="33B02DB8">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8D6B102">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2F513FF1">
            <w:pPr>
              <w:spacing w:line="240" w:lineRule="exact"/>
              <w:jc w:val="center"/>
              <w:rPr>
                <w:rFonts w:ascii="Arial" w:hAnsi="Arial" w:eastAsia="宋体" w:cs="Arial"/>
                <w:sz w:val="21"/>
                <w:szCs w:val="21"/>
              </w:rPr>
            </w:pPr>
            <w:r>
              <w:rPr>
                <w:rFonts w:ascii="Arial" w:hAnsi="Arial" w:eastAsia="宋体" w:cs="Arial"/>
                <w:sz w:val="21"/>
                <w:szCs w:val="21"/>
              </w:rPr>
              <w:t>0.0311</w:t>
            </w:r>
          </w:p>
        </w:tc>
        <w:tc>
          <w:tcPr>
            <w:tcW w:w="653" w:type="pct"/>
            <w:tcBorders>
              <w:top w:val="single" w:color="auto" w:sz="4" w:space="0"/>
              <w:left w:val="single" w:color="auto" w:sz="4" w:space="0"/>
              <w:bottom w:val="single" w:color="auto" w:sz="4" w:space="0"/>
              <w:right w:val="single" w:color="auto" w:sz="4" w:space="0"/>
            </w:tcBorders>
            <w:vAlign w:val="center"/>
          </w:tcPr>
          <w:p w14:paraId="5B0ECC74">
            <w:pPr>
              <w:spacing w:line="240" w:lineRule="exact"/>
              <w:jc w:val="center"/>
              <w:rPr>
                <w:rFonts w:ascii="Arial" w:hAnsi="Arial" w:eastAsia="宋体" w:cs="Arial"/>
                <w:sz w:val="21"/>
                <w:szCs w:val="21"/>
              </w:rPr>
            </w:pPr>
            <w:r>
              <w:rPr>
                <w:rFonts w:ascii="Arial" w:hAnsi="Arial" w:eastAsia="宋体" w:cs="Arial"/>
                <w:sz w:val="21"/>
                <w:szCs w:val="21"/>
              </w:rPr>
              <w:t>828.0311</w:t>
            </w:r>
          </w:p>
        </w:tc>
        <w:tc>
          <w:tcPr>
            <w:tcW w:w="652" w:type="pct"/>
            <w:tcBorders>
              <w:top w:val="single" w:color="auto" w:sz="4" w:space="0"/>
              <w:left w:val="single" w:color="auto" w:sz="4" w:space="0"/>
              <w:bottom w:val="single" w:color="auto" w:sz="4" w:space="0"/>
              <w:right w:val="single" w:color="auto" w:sz="4" w:space="0"/>
            </w:tcBorders>
            <w:vAlign w:val="center"/>
          </w:tcPr>
          <w:p w14:paraId="61C6580E">
            <w:pPr>
              <w:spacing w:line="240" w:lineRule="exact"/>
              <w:jc w:val="center"/>
              <w:rPr>
                <w:rFonts w:ascii="Arial" w:hAnsi="Arial" w:eastAsia="宋体" w:cs="Arial"/>
                <w:sz w:val="21"/>
                <w:szCs w:val="21"/>
              </w:rPr>
            </w:pPr>
            <w:r>
              <w:rPr>
                <w:rFonts w:ascii="Arial" w:hAnsi="Arial" w:eastAsia="宋体" w:cs="Arial"/>
                <w:sz w:val="21"/>
                <w:szCs w:val="21"/>
              </w:rPr>
              <w:t>3.7466</w:t>
            </w:r>
          </w:p>
        </w:tc>
        <w:tc>
          <w:tcPr>
            <w:tcW w:w="653" w:type="pct"/>
            <w:tcBorders>
              <w:top w:val="single" w:color="auto" w:sz="4" w:space="0"/>
              <w:left w:val="single" w:color="auto" w:sz="4" w:space="0"/>
              <w:bottom w:val="single" w:color="auto" w:sz="4" w:space="0"/>
              <w:right w:val="single" w:color="auto" w:sz="4" w:space="0"/>
            </w:tcBorders>
            <w:vAlign w:val="center"/>
          </w:tcPr>
          <w:p w14:paraId="112CE9BB">
            <w:pPr>
              <w:spacing w:line="240" w:lineRule="exact"/>
              <w:jc w:val="center"/>
              <w:rPr>
                <w:rFonts w:ascii="Arial" w:hAnsi="Arial" w:eastAsia="宋体" w:cs="Arial"/>
                <w:sz w:val="21"/>
                <w:szCs w:val="21"/>
              </w:rPr>
            </w:pPr>
            <w:r>
              <w:rPr>
                <w:rFonts w:ascii="Arial" w:hAnsi="Arial" w:eastAsia="宋体" w:cs="Arial"/>
                <w:sz w:val="21"/>
                <w:szCs w:val="21"/>
              </w:rPr>
              <w:t>831.7466</w:t>
            </w:r>
          </w:p>
        </w:tc>
      </w:tr>
      <w:tr w14:paraId="28C47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7EF65BB4">
            <w:pPr>
              <w:spacing w:line="240" w:lineRule="exact"/>
              <w:jc w:val="center"/>
              <w:rPr>
                <w:rFonts w:ascii="Arial" w:hAnsi="Arial" w:eastAsia="宋体" w:cs="Arial"/>
                <w:sz w:val="21"/>
                <w:szCs w:val="21"/>
              </w:rPr>
            </w:pPr>
            <w:r>
              <w:rPr>
                <w:rFonts w:ascii="Arial" w:hAnsi="Arial" w:eastAsia="宋体" w:cs="Arial"/>
                <w:sz w:val="21"/>
                <w:szCs w:val="21"/>
              </w:rPr>
              <w:t>400</w:t>
            </w:r>
          </w:p>
        </w:tc>
        <w:tc>
          <w:tcPr>
            <w:tcW w:w="652" w:type="pct"/>
            <w:tcBorders>
              <w:top w:val="single" w:color="auto" w:sz="4" w:space="0"/>
              <w:left w:val="single" w:color="auto" w:sz="4" w:space="0"/>
              <w:bottom w:val="single" w:color="auto" w:sz="4" w:space="0"/>
              <w:right w:val="single" w:color="auto" w:sz="4" w:space="0"/>
            </w:tcBorders>
            <w:vAlign w:val="center"/>
          </w:tcPr>
          <w:p w14:paraId="4C28F6FD">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A98165C">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179EA815">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CA2ED3E">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51744587">
            <w:pPr>
              <w:spacing w:line="240" w:lineRule="exact"/>
              <w:jc w:val="center"/>
              <w:rPr>
                <w:rFonts w:ascii="Arial" w:hAnsi="Arial" w:eastAsia="宋体" w:cs="Arial"/>
                <w:sz w:val="21"/>
                <w:szCs w:val="21"/>
              </w:rPr>
            </w:pPr>
            <w:r>
              <w:rPr>
                <w:rFonts w:ascii="Arial" w:hAnsi="Arial" w:eastAsia="宋体" w:cs="Arial"/>
                <w:sz w:val="21"/>
                <w:szCs w:val="21"/>
              </w:rPr>
              <w:t>26.3334</w:t>
            </w:r>
          </w:p>
        </w:tc>
        <w:tc>
          <w:tcPr>
            <w:tcW w:w="653" w:type="pct"/>
            <w:tcBorders>
              <w:top w:val="single" w:color="auto" w:sz="4" w:space="0"/>
              <w:left w:val="single" w:color="auto" w:sz="4" w:space="0"/>
              <w:bottom w:val="single" w:color="auto" w:sz="4" w:space="0"/>
              <w:right w:val="single" w:color="auto" w:sz="4" w:space="0"/>
            </w:tcBorders>
            <w:vAlign w:val="center"/>
          </w:tcPr>
          <w:p w14:paraId="749C3C5C">
            <w:pPr>
              <w:spacing w:line="240" w:lineRule="exact"/>
              <w:jc w:val="center"/>
              <w:rPr>
                <w:rFonts w:ascii="Arial" w:hAnsi="Arial" w:eastAsia="宋体" w:cs="Arial"/>
                <w:sz w:val="21"/>
                <w:szCs w:val="21"/>
              </w:rPr>
            </w:pPr>
            <w:r>
              <w:rPr>
                <w:rFonts w:ascii="Arial" w:hAnsi="Arial" w:eastAsia="宋体" w:cs="Arial"/>
                <w:sz w:val="21"/>
                <w:szCs w:val="21"/>
              </w:rPr>
              <w:t>854.3334</w:t>
            </w:r>
          </w:p>
        </w:tc>
      </w:tr>
      <w:tr w14:paraId="3B0D4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14883CAC">
            <w:pPr>
              <w:spacing w:line="240" w:lineRule="exact"/>
              <w:jc w:val="center"/>
              <w:rPr>
                <w:rFonts w:ascii="Arial" w:hAnsi="Arial" w:eastAsia="宋体" w:cs="Arial"/>
                <w:sz w:val="21"/>
                <w:szCs w:val="21"/>
              </w:rPr>
            </w:pPr>
            <w:r>
              <w:rPr>
                <w:rFonts w:ascii="Arial" w:hAnsi="Arial" w:eastAsia="宋体" w:cs="Arial"/>
                <w:sz w:val="21"/>
                <w:szCs w:val="21"/>
              </w:rPr>
              <w:t>500</w:t>
            </w:r>
          </w:p>
        </w:tc>
        <w:tc>
          <w:tcPr>
            <w:tcW w:w="652" w:type="pct"/>
            <w:tcBorders>
              <w:top w:val="single" w:color="auto" w:sz="4" w:space="0"/>
              <w:left w:val="single" w:color="auto" w:sz="4" w:space="0"/>
              <w:bottom w:val="single" w:color="auto" w:sz="4" w:space="0"/>
              <w:right w:val="single" w:color="auto" w:sz="4" w:space="0"/>
            </w:tcBorders>
            <w:vAlign w:val="center"/>
          </w:tcPr>
          <w:p w14:paraId="498C4596">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255660B0">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7DC8079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DD73863">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449B31C4">
            <w:pPr>
              <w:spacing w:line="240" w:lineRule="exact"/>
              <w:jc w:val="center"/>
              <w:rPr>
                <w:rFonts w:ascii="Arial" w:hAnsi="Arial" w:eastAsia="宋体" w:cs="Arial"/>
                <w:sz w:val="21"/>
                <w:szCs w:val="21"/>
              </w:rPr>
            </w:pPr>
            <w:r>
              <w:rPr>
                <w:rFonts w:ascii="Arial" w:hAnsi="Arial" w:eastAsia="宋体" w:cs="Arial"/>
                <w:sz w:val="21"/>
                <w:szCs w:val="21"/>
              </w:rPr>
              <w:t>91.9125</w:t>
            </w:r>
          </w:p>
        </w:tc>
        <w:tc>
          <w:tcPr>
            <w:tcW w:w="653" w:type="pct"/>
            <w:tcBorders>
              <w:top w:val="single" w:color="auto" w:sz="4" w:space="0"/>
              <w:left w:val="single" w:color="auto" w:sz="4" w:space="0"/>
              <w:bottom w:val="single" w:color="auto" w:sz="4" w:space="0"/>
              <w:right w:val="single" w:color="auto" w:sz="4" w:space="0"/>
            </w:tcBorders>
            <w:vAlign w:val="center"/>
          </w:tcPr>
          <w:p w14:paraId="10D0F32A">
            <w:pPr>
              <w:spacing w:line="240" w:lineRule="exact"/>
              <w:jc w:val="center"/>
              <w:rPr>
                <w:rFonts w:ascii="Arial" w:hAnsi="Arial" w:eastAsia="宋体" w:cs="Arial"/>
                <w:sz w:val="21"/>
                <w:szCs w:val="21"/>
              </w:rPr>
            </w:pPr>
            <w:r>
              <w:rPr>
                <w:rFonts w:ascii="Arial" w:hAnsi="Arial" w:eastAsia="宋体" w:cs="Arial"/>
                <w:sz w:val="21"/>
                <w:szCs w:val="21"/>
              </w:rPr>
              <w:t>919.9125</w:t>
            </w:r>
          </w:p>
        </w:tc>
      </w:tr>
      <w:tr w14:paraId="71208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74D2E11">
            <w:pPr>
              <w:spacing w:line="240" w:lineRule="exact"/>
              <w:jc w:val="center"/>
              <w:rPr>
                <w:rFonts w:ascii="Arial" w:hAnsi="Arial" w:eastAsia="宋体" w:cs="Arial"/>
                <w:sz w:val="21"/>
                <w:szCs w:val="21"/>
              </w:rPr>
            </w:pPr>
            <w:r>
              <w:rPr>
                <w:rFonts w:hint="eastAsia" w:ascii="Arial" w:hAnsi="Arial" w:eastAsia="宋体" w:cs="Arial"/>
                <w:sz w:val="21"/>
                <w:szCs w:val="21"/>
              </w:rPr>
              <w:t>6</w:t>
            </w:r>
            <w:r>
              <w:rPr>
                <w:rFonts w:ascii="Arial" w:hAnsi="Arial" w:eastAsia="宋体" w:cs="Arial"/>
                <w:sz w:val="21"/>
                <w:szCs w:val="21"/>
              </w:rPr>
              <w:t>00</w:t>
            </w:r>
          </w:p>
        </w:tc>
        <w:tc>
          <w:tcPr>
            <w:tcW w:w="652" w:type="pct"/>
            <w:tcBorders>
              <w:top w:val="single" w:color="auto" w:sz="4" w:space="0"/>
              <w:left w:val="single" w:color="auto" w:sz="4" w:space="0"/>
              <w:bottom w:val="single" w:color="auto" w:sz="4" w:space="0"/>
              <w:right w:val="single" w:color="auto" w:sz="4" w:space="0"/>
            </w:tcBorders>
            <w:vAlign w:val="center"/>
          </w:tcPr>
          <w:p w14:paraId="36ECFEB8">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CF4A9B1">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111EC4C5">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46F6865">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2104D8B0">
            <w:pPr>
              <w:spacing w:line="240" w:lineRule="exact"/>
              <w:jc w:val="center"/>
              <w:rPr>
                <w:rFonts w:ascii="Arial" w:hAnsi="Arial" w:eastAsia="宋体" w:cs="Arial"/>
                <w:sz w:val="21"/>
                <w:szCs w:val="21"/>
              </w:rPr>
            </w:pPr>
            <w:r>
              <w:rPr>
                <w:rFonts w:ascii="Arial" w:hAnsi="Arial" w:eastAsia="宋体" w:cs="Arial"/>
                <w:sz w:val="21"/>
                <w:szCs w:val="21"/>
              </w:rPr>
              <w:t>26.3333</w:t>
            </w:r>
          </w:p>
        </w:tc>
        <w:tc>
          <w:tcPr>
            <w:tcW w:w="653" w:type="pct"/>
            <w:tcBorders>
              <w:top w:val="single" w:color="auto" w:sz="4" w:space="0"/>
              <w:left w:val="single" w:color="auto" w:sz="4" w:space="0"/>
              <w:bottom w:val="single" w:color="auto" w:sz="4" w:space="0"/>
              <w:right w:val="single" w:color="auto" w:sz="4" w:space="0"/>
            </w:tcBorders>
            <w:vAlign w:val="center"/>
          </w:tcPr>
          <w:p w14:paraId="51F9A44A">
            <w:pPr>
              <w:spacing w:line="240" w:lineRule="exact"/>
              <w:jc w:val="center"/>
              <w:rPr>
                <w:rFonts w:ascii="Arial" w:hAnsi="Arial" w:eastAsia="宋体" w:cs="Arial"/>
                <w:sz w:val="21"/>
                <w:szCs w:val="21"/>
              </w:rPr>
            </w:pPr>
            <w:r>
              <w:rPr>
                <w:rFonts w:ascii="Arial" w:hAnsi="Arial" w:eastAsia="宋体" w:cs="Arial"/>
                <w:sz w:val="21"/>
                <w:szCs w:val="21"/>
              </w:rPr>
              <w:t>854.3333</w:t>
            </w:r>
          </w:p>
        </w:tc>
      </w:tr>
      <w:tr w14:paraId="0660B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81798CE">
            <w:pPr>
              <w:spacing w:line="240" w:lineRule="exact"/>
              <w:jc w:val="center"/>
              <w:rPr>
                <w:rFonts w:ascii="Arial" w:hAnsi="Arial" w:eastAsia="宋体" w:cs="Arial"/>
                <w:sz w:val="21"/>
                <w:szCs w:val="21"/>
              </w:rPr>
            </w:pPr>
            <w:r>
              <w:rPr>
                <w:rFonts w:ascii="Arial" w:hAnsi="Arial" w:eastAsia="宋体" w:cs="Arial"/>
                <w:sz w:val="21"/>
                <w:szCs w:val="21"/>
              </w:rPr>
              <w:t>1000</w:t>
            </w:r>
          </w:p>
        </w:tc>
        <w:tc>
          <w:tcPr>
            <w:tcW w:w="652" w:type="pct"/>
            <w:tcBorders>
              <w:top w:val="single" w:color="auto" w:sz="4" w:space="0"/>
              <w:left w:val="single" w:color="auto" w:sz="4" w:space="0"/>
              <w:bottom w:val="single" w:color="auto" w:sz="4" w:space="0"/>
              <w:right w:val="single" w:color="auto" w:sz="4" w:space="0"/>
            </w:tcBorders>
            <w:vAlign w:val="center"/>
          </w:tcPr>
          <w:p w14:paraId="0C4DC81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1F00F49E">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02B50CF8">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6BF4914">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23636CF2">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385740E1">
            <w:pPr>
              <w:spacing w:line="240" w:lineRule="exact"/>
              <w:jc w:val="center"/>
              <w:rPr>
                <w:rFonts w:ascii="Arial" w:hAnsi="Arial" w:eastAsia="宋体" w:cs="Arial"/>
                <w:sz w:val="21"/>
                <w:szCs w:val="21"/>
              </w:rPr>
            </w:pPr>
            <w:r>
              <w:rPr>
                <w:rFonts w:ascii="Arial" w:hAnsi="Arial" w:eastAsia="宋体" w:cs="Arial"/>
                <w:sz w:val="21"/>
                <w:szCs w:val="21"/>
              </w:rPr>
              <w:t>828</w:t>
            </w:r>
          </w:p>
        </w:tc>
      </w:tr>
      <w:tr w14:paraId="38B14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485B2EB5">
            <w:pPr>
              <w:spacing w:line="240" w:lineRule="exact"/>
              <w:jc w:val="center"/>
              <w:rPr>
                <w:rFonts w:ascii="Arial" w:hAnsi="Arial" w:eastAsia="宋体" w:cs="Arial"/>
                <w:sz w:val="21"/>
                <w:szCs w:val="21"/>
              </w:rPr>
            </w:pPr>
            <w:r>
              <w:rPr>
                <w:rFonts w:ascii="Arial" w:hAnsi="Arial" w:eastAsia="宋体" w:cs="Arial"/>
                <w:sz w:val="21"/>
                <w:szCs w:val="21"/>
              </w:rPr>
              <w:t>1200</w:t>
            </w:r>
          </w:p>
        </w:tc>
        <w:tc>
          <w:tcPr>
            <w:tcW w:w="652" w:type="pct"/>
            <w:tcBorders>
              <w:top w:val="single" w:color="auto" w:sz="4" w:space="0"/>
              <w:left w:val="single" w:color="auto" w:sz="4" w:space="0"/>
              <w:bottom w:val="single" w:color="auto" w:sz="4" w:space="0"/>
              <w:right w:val="single" w:color="auto" w:sz="4" w:space="0"/>
            </w:tcBorders>
            <w:vAlign w:val="center"/>
          </w:tcPr>
          <w:p w14:paraId="6D1BC10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5CC9EDC2">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49B303D1">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73A648AE">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4D3F40A8">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EA05A35">
            <w:pPr>
              <w:spacing w:line="240" w:lineRule="exact"/>
              <w:jc w:val="center"/>
              <w:rPr>
                <w:rFonts w:ascii="Arial" w:hAnsi="Arial" w:eastAsia="宋体" w:cs="Arial"/>
                <w:sz w:val="21"/>
                <w:szCs w:val="21"/>
              </w:rPr>
            </w:pPr>
            <w:r>
              <w:rPr>
                <w:rFonts w:ascii="Arial" w:hAnsi="Arial" w:eastAsia="宋体" w:cs="Arial"/>
                <w:sz w:val="21"/>
                <w:szCs w:val="21"/>
              </w:rPr>
              <w:t>828</w:t>
            </w:r>
          </w:p>
        </w:tc>
      </w:tr>
      <w:tr w14:paraId="79CE6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85" w:type="pct"/>
            <w:tcBorders>
              <w:top w:val="single" w:color="auto" w:sz="4" w:space="0"/>
              <w:left w:val="single" w:color="auto" w:sz="4" w:space="0"/>
              <w:bottom w:val="single" w:color="auto" w:sz="4" w:space="0"/>
              <w:right w:val="single" w:color="auto" w:sz="4" w:space="0"/>
            </w:tcBorders>
            <w:vAlign w:val="center"/>
          </w:tcPr>
          <w:p w14:paraId="04568CC2">
            <w:pPr>
              <w:spacing w:line="240" w:lineRule="exact"/>
              <w:jc w:val="center"/>
              <w:rPr>
                <w:rFonts w:ascii="Arial" w:hAnsi="Arial" w:eastAsia="宋体" w:cs="Arial"/>
                <w:sz w:val="21"/>
                <w:szCs w:val="21"/>
              </w:rPr>
            </w:pPr>
            <w:r>
              <w:rPr>
                <w:rFonts w:hint="eastAsia" w:ascii="Arial" w:hAnsi="Arial" w:eastAsia="宋体" w:cs="Arial"/>
                <w:sz w:val="21"/>
                <w:szCs w:val="21"/>
              </w:rPr>
              <w:t>1700</w:t>
            </w:r>
          </w:p>
        </w:tc>
        <w:tc>
          <w:tcPr>
            <w:tcW w:w="652" w:type="pct"/>
            <w:tcBorders>
              <w:top w:val="single" w:color="auto" w:sz="4" w:space="0"/>
              <w:left w:val="single" w:color="auto" w:sz="4" w:space="0"/>
              <w:bottom w:val="single" w:color="auto" w:sz="4" w:space="0"/>
              <w:right w:val="single" w:color="auto" w:sz="4" w:space="0"/>
            </w:tcBorders>
            <w:vAlign w:val="center"/>
          </w:tcPr>
          <w:p w14:paraId="0762AA46">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F2AF0F4">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5D6AC350">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63D3CBDF">
            <w:pPr>
              <w:spacing w:line="240" w:lineRule="exact"/>
              <w:jc w:val="center"/>
              <w:rPr>
                <w:rFonts w:ascii="Arial" w:hAnsi="Arial" w:eastAsia="宋体" w:cs="Arial"/>
                <w:sz w:val="21"/>
                <w:szCs w:val="21"/>
              </w:rPr>
            </w:pPr>
            <w:r>
              <w:rPr>
                <w:rFonts w:ascii="Arial" w:hAnsi="Arial" w:eastAsia="宋体" w:cs="Arial"/>
                <w:sz w:val="21"/>
                <w:szCs w:val="21"/>
              </w:rPr>
              <w:t>828</w:t>
            </w:r>
          </w:p>
        </w:tc>
        <w:tc>
          <w:tcPr>
            <w:tcW w:w="652" w:type="pct"/>
            <w:tcBorders>
              <w:top w:val="single" w:color="auto" w:sz="4" w:space="0"/>
              <w:left w:val="single" w:color="auto" w:sz="4" w:space="0"/>
              <w:bottom w:val="single" w:color="auto" w:sz="4" w:space="0"/>
              <w:right w:val="single" w:color="auto" w:sz="4" w:space="0"/>
            </w:tcBorders>
            <w:vAlign w:val="center"/>
          </w:tcPr>
          <w:p w14:paraId="4F4114DC">
            <w:pPr>
              <w:spacing w:line="240" w:lineRule="exact"/>
              <w:jc w:val="center"/>
              <w:rPr>
                <w:rFonts w:ascii="Arial" w:hAnsi="Arial" w:eastAsia="宋体" w:cs="Arial"/>
                <w:sz w:val="21"/>
                <w:szCs w:val="21"/>
              </w:rPr>
            </w:pPr>
            <w:r>
              <w:rPr>
                <w:rFonts w:ascii="Arial" w:hAnsi="Arial" w:eastAsia="宋体" w:cs="Arial"/>
                <w:sz w:val="21"/>
                <w:szCs w:val="21"/>
              </w:rPr>
              <w:t>0</w:t>
            </w:r>
          </w:p>
        </w:tc>
        <w:tc>
          <w:tcPr>
            <w:tcW w:w="653" w:type="pct"/>
            <w:tcBorders>
              <w:top w:val="single" w:color="auto" w:sz="4" w:space="0"/>
              <w:left w:val="single" w:color="auto" w:sz="4" w:space="0"/>
              <w:bottom w:val="single" w:color="auto" w:sz="4" w:space="0"/>
              <w:right w:val="single" w:color="auto" w:sz="4" w:space="0"/>
            </w:tcBorders>
            <w:vAlign w:val="center"/>
          </w:tcPr>
          <w:p w14:paraId="0ECA1683">
            <w:pPr>
              <w:spacing w:line="240" w:lineRule="exact"/>
              <w:jc w:val="center"/>
              <w:rPr>
                <w:rFonts w:ascii="Arial" w:hAnsi="Arial" w:eastAsia="宋体" w:cs="Arial"/>
                <w:sz w:val="21"/>
                <w:szCs w:val="21"/>
              </w:rPr>
            </w:pPr>
            <w:r>
              <w:rPr>
                <w:rFonts w:ascii="Arial" w:hAnsi="Arial" w:eastAsia="宋体" w:cs="Arial"/>
                <w:sz w:val="21"/>
                <w:szCs w:val="21"/>
              </w:rPr>
              <w:t>828</w:t>
            </w:r>
          </w:p>
        </w:tc>
      </w:tr>
    </w:tbl>
    <w:p w14:paraId="7ECDBCE2">
      <w:pPr>
        <w:adjustRightInd w:val="0"/>
        <w:snapToGrid w:val="0"/>
        <w:jc w:val="center"/>
        <w:rPr>
          <w:rFonts w:ascii="Arial" w:hAnsi="Arial" w:eastAsia="宋体" w:cs="Arial"/>
          <w:spacing w:val="10"/>
          <w:sz w:val="24"/>
          <w:szCs w:val="24"/>
          <w:highlight w:val="yellow"/>
        </w:rPr>
      </w:pPr>
      <w:r>
        <w:drawing>
          <wp:inline distT="0" distB="0" distL="114300" distR="114300">
            <wp:extent cx="5133975" cy="2066925"/>
            <wp:effectExtent l="0" t="0" r="9525" b="9525"/>
            <wp:docPr id="52" name="图表 252"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35D42283">
      <w:pPr>
        <w:adjustRightInd w:val="0"/>
        <w:snapToGrid w:val="0"/>
        <w:jc w:val="center"/>
        <w:rPr>
          <w:rFonts w:ascii="Arial" w:hAnsi="Arial" w:eastAsia="宋体" w:cs="Arial"/>
          <w:b/>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14</w:t>
      </w:r>
      <w:r>
        <w:rPr>
          <w:rFonts w:ascii="Arial" w:hAnsi="Arial" w:eastAsia="宋体" w:cs="Arial"/>
          <w:b/>
          <w:spacing w:val="10"/>
          <w:sz w:val="24"/>
          <w:szCs w:val="24"/>
        </w:rPr>
        <w:t xml:space="preserve">  事故发生后100天</w:t>
      </w:r>
      <w:r>
        <w:rPr>
          <w:rFonts w:hint="eastAsia" w:ascii="Arial" w:hAnsi="Arial" w:eastAsia="宋体" w:cs="Arial"/>
          <w:b/>
          <w:spacing w:val="10"/>
          <w:sz w:val="24"/>
          <w:szCs w:val="24"/>
        </w:rPr>
        <w:t>硫酸盐</w:t>
      </w:r>
      <w:r>
        <w:rPr>
          <w:rFonts w:ascii="Arial" w:hAnsi="Arial" w:eastAsia="宋体" w:cs="Arial"/>
          <w:b/>
          <w:spacing w:val="10"/>
          <w:sz w:val="24"/>
          <w:szCs w:val="24"/>
        </w:rPr>
        <w:t>浓度分布图</w:t>
      </w:r>
    </w:p>
    <w:p w14:paraId="263CD189">
      <w:pPr>
        <w:adjustRightInd w:val="0"/>
        <w:snapToGrid w:val="0"/>
        <w:jc w:val="center"/>
        <w:rPr>
          <w:rFonts w:ascii="Arial" w:hAnsi="Arial" w:eastAsia="宋体" w:cs="Arial"/>
          <w:spacing w:val="10"/>
          <w:sz w:val="24"/>
          <w:szCs w:val="24"/>
          <w:highlight w:val="yellow"/>
        </w:rPr>
      </w:pPr>
      <w:r>
        <w:drawing>
          <wp:inline distT="0" distB="0" distL="114300" distR="114300">
            <wp:extent cx="5048250" cy="2305050"/>
            <wp:effectExtent l="0" t="0" r="19050" b="19050"/>
            <wp:docPr id="53" name="图表 46"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063F355D">
      <w:pPr>
        <w:adjustRightInd w:val="0"/>
        <w:snapToGrid w:val="0"/>
        <w:jc w:val="center"/>
        <w:rPr>
          <w:rFonts w:ascii="Arial" w:hAnsi="Arial" w:eastAsia="宋体" w:cs="Arial"/>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15</w:t>
      </w:r>
      <w:r>
        <w:rPr>
          <w:rFonts w:ascii="Arial" w:hAnsi="Arial" w:eastAsia="宋体" w:cs="Arial"/>
          <w:b/>
          <w:spacing w:val="10"/>
          <w:sz w:val="24"/>
          <w:szCs w:val="24"/>
        </w:rPr>
        <w:t xml:space="preserve">  事故发生后365天</w:t>
      </w:r>
      <w:r>
        <w:rPr>
          <w:rFonts w:hint="eastAsia" w:ascii="Arial" w:hAnsi="Arial" w:eastAsia="宋体" w:cs="Arial"/>
          <w:b/>
          <w:spacing w:val="10"/>
          <w:sz w:val="24"/>
          <w:szCs w:val="24"/>
        </w:rPr>
        <w:t>硫酸盐</w:t>
      </w:r>
      <w:r>
        <w:rPr>
          <w:rFonts w:ascii="Arial" w:hAnsi="Arial" w:eastAsia="宋体" w:cs="Arial"/>
          <w:b/>
          <w:spacing w:val="10"/>
          <w:sz w:val="24"/>
          <w:szCs w:val="24"/>
        </w:rPr>
        <w:t>浓度分布图</w:t>
      </w:r>
    </w:p>
    <w:p w14:paraId="41EED3ED">
      <w:pPr>
        <w:adjustRightInd w:val="0"/>
        <w:snapToGrid w:val="0"/>
        <w:jc w:val="center"/>
        <w:rPr>
          <w:rFonts w:ascii="Arial" w:hAnsi="Arial" w:eastAsia="宋体" w:cs="Arial"/>
          <w:spacing w:val="10"/>
          <w:sz w:val="24"/>
          <w:szCs w:val="24"/>
          <w:highlight w:val="yellow"/>
        </w:rPr>
      </w:pPr>
      <w:r>
        <w:drawing>
          <wp:inline distT="0" distB="0" distL="114300" distR="114300">
            <wp:extent cx="5162550" cy="2343150"/>
            <wp:effectExtent l="0" t="0" r="19050" b="19050"/>
            <wp:docPr id="54" name="图表 47" descr="标题: 浓度（mg/L)"/>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02450C35">
      <w:pPr>
        <w:adjustRightInd w:val="0"/>
        <w:snapToGrid w:val="0"/>
        <w:spacing w:line="500" w:lineRule="exact"/>
        <w:ind w:firstLine="476"/>
        <w:jc w:val="center"/>
        <w:rPr>
          <w:rFonts w:ascii="Arial" w:hAnsi="Arial" w:eastAsia="宋体" w:cs="Arial"/>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16</w:t>
      </w:r>
      <w:r>
        <w:rPr>
          <w:rFonts w:ascii="Arial" w:hAnsi="Arial" w:eastAsia="宋体" w:cs="Arial"/>
          <w:b/>
          <w:spacing w:val="10"/>
          <w:sz w:val="24"/>
          <w:szCs w:val="24"/>
        </w:rPr>
        <w:t xml:space="preserve">  事故发生后1000天</w:t>
      </w:r>
      <w:r>
        <w:rPr>
          <w:rFonts w:hint="eastAsia" w:ascii="Arial" w:hAnsi="Arial" w:eastAsia="宋体" w:cs="Arial"/>
          <w:b/>
          <w:spacing w:val="10"/>
          <w:sz w:val="24"/>
          <w:szCs w:val="24"/>
        </w:rPr>
        <w:t>硫酸盐</w:t>
      </w:r>
      <w:r>
        <w:rPr>
          <w:rFonts w:ascii="Arial" w:hAnsi="Arial" w:eastAsia="宋体" w:cs="Arial"/>
          <w:b/>
          <w:spacing w:val="10"/>
          <w:sz w:val="24"/>
          <w:szCs w:val="24"/>
        </w:rPr>
        <w:t>浓度分布图</w:t>
      </w:r>
    </w:p>
    <w:p w14:paraId="2DF21051">
      <w:pPr>
        <w:adjustRightInd w:val="0"/>
        <w:snapToGrid w:val="0"/>
        <w:spacing w:line="500" w:lineRule="exact"/>
        <w:ind w:firstLine="476"/>
        <w:rPr>
          <w:rFonts w:ascii="Arial" w:hAnsi="Arial" w:eastAsia="宋体" w:cs="Arial"/>
          <w:spacing w:val="10"/>
          <w:sz w:val="24"/>
          <w:szCs w:val="24"/>
        </w:rPr>
      </w:pPr>
      <w:r>
        <w:rPr>
          <w:rFonts w:ascii="Arial" w:hAnsi="Arial" w:eastAsia="宋体" w:cs="Arial"/>
          <w:spacing w:val="10"/>
          <w:sz w:val="24"/>
          <w:szCs w:val="24"/>
        </w:rPr>
        <w:t>根据预测，泄漏发生后，</w:t>
      </w:r>
      <w:r>
        <w:rPr>
          <w:rFonts w:hint="eastAsia" w:ascii="Arial" w:hAnsi="Arial" w:eastAsia="宋体" w:cs="Arial"/>
          <w:spacing w:val="10"/>
          <w:sz w:val="24"/>
          <w:szCs w:val="24"/>
        </w:rPr>
        <w:t>污染物</w:t>
      </w:r>
      <w:r>
        <w:rPr>
          <w:rFonts w:ascii="Arial" w:hAnsi="Arial" w:eastAsia="宋体" w:cs="Arial"/>
          <w:spacing w:val="10"/>
          <w:sz w:val="24"/>
          <w:szCs w:val="24"/>
        </w:rPr>
        <w:t>影响范围从储罐向外，强度由大到小。泄漏发生后，区域地下水中的</w:t>
      </w:r>
      <w:r>
        <w:rPr>
          <w:rFonts w:hint="eastAsia" w:ascii="Arial" w:hAnsi="Arial" w:eastAsia="宋体" w:cs="Arial"/>
          <w:spacing w:val="10"/>
          <w:sz w:val="24"/>
          <w:szCs w:val="24"/>
        </w:rPr>
        <w:t>钴、耗氧量、氨氮、硫酸盐</w:t>
      </w:r>
      <w:r>
        <w:rPr>
          <w:rFonts w:ascii="Arial" w:hAnsi="Arial" w:eastAsia="宋体" w:cs="Arial"/>
          <w:spacing w:val="10"/>
          <w:sz w:val="24"/>
          <w:szCs w:val="24"/>
        </w:rPr>
        <w:t>浓度逐渐增加，泄漏后100天</w:t>
      </w:r>
      <w:r>
        <w:rPr>
          <w:rFonts w:hint="eastAsia" w:ascii="Arial" w:hAnsi="Arial" w:eastAsia="宋体" w:cs="Arial"/>
          <w:spacing w:val="10"/>
          <w:sz w:val="24"/>
          <w:szCs w:val="24"/>
        </w:rPr>
        <w:t>、365天及1000天</w:t>
      </w:r>
      <w:r>
        <w:rPr>
          <w:rFonts w:ascii="Arial" w:hAnsi="Arial" w:eastAsia="宋体" w:cs="Arial"/>
          <w:spacing w:val="10"/>
          <w:sz w:val="24"/>
          <w:szCs w:val="24"/>
        </w:rPr>
        <w:t>，</w:t>
      </w:r>
      <w:r>
        <w:rPr>
          <w:rFonts w:hint="eastAsia" w:ascii="Arial" w:hAnsi="Arial" w:eastAsia="宋体" w:cs="Arial"/>
          <w:spacing w:val="10"/>
          <w:sz w:val="24"/>
          <w:szCs w:val="24"/>
        </w:rPr>
        <w:t>地下水中钴浓度均低于</w:t>
      </w:r>
      <w:r>
        <w:rPr>
          <w:rFonts w:ascii="Arial" w:hAnsi="Arial" w:eastAsia="宋体" w:cs="Arial"/>
          <w:spacing w:val="10"/>
          <w:sz w:val="24"/>
          <w:szCs w:val="24"/>
        </w:rPr>
        <w:t>《地下水质量标准》（GB/T14848-2017）</w:t>
      </w:r>
      <w:r>
        <w:rPr>
          <w:rFonts w:hint="eastAsia" w:ascii="宋体" w:hAnsi="宋体" w:eastAsia="宋体" w:cs="宋体"/>
          <w:spacing w:val="10"/>
          <w:sz w:val="24"/>
          <w:szCs w:val="24"/>
        </w:rPr>
        <w:t>Ⅲ</w:t>
      </w:r>
      <w:r>
        <w:rPr>
          <w:rFonts w:ascii="Arial" w:hAnsi="Arial" w:eastAsia="宋体" w:cs="Arial"/>
          <w:spacing w:val="10"/>
          <w:sz w:val="24"/>
          <w:szCs w:val="24"/>
        </w:rPr>
        <w:t>类水标准（0.0</w:t>
      </w:r>
      <w:r>
        <w:rPr>
          <w:rFonts w:hint="eastAsia" w:ascii="Arial" w:hAnsi="Arial" w:eastAsia="宋体" w:cs="Arial"/>
          <w:spacing w:val="10"/>
          <w:sz w:val="24"/>
          <w:szCs w:val="24"/>
        </w:rPr>
        <w:t>5</w:t>
      </w:r>
      <w:r>
        <w:rPr>
          <w:rFonts w:ascii="Arial" w:hAnsi="Arial" w:eastAsia="宋体" w:cs="Arial"/>
          <w:spacing w:val="10"/>
          <w:sz w:val="24"/>
          <w:szCs w:val="24"/>
        </w:rPr>
        <w:t>mg/L）</w:t>
      </w:r>
      <w:r>
        <w:rPr>
          <w:rFonts w:hint="eastAsia" w:ascii="Arial" w:hAnsi="Arial" w:eastAsia="宋体" w:cs="Arial"/>
          <w:spacing w:val="10"/>
          <w:sz w:val="24"/>
          <w:szCs w:val="24"/>
        </w:rPr>
        <w:t>，</w:t>
      </w:r>
      <w:r>
        <w:rPr>
          <w:rFonts w:ascii="Arial" w:hAnsi="Arial" w:eastAsia="宋体" w:cs="Arial"/>
          <w:spacing w:val="10"/>
          <w:sz w:val="24"/>
          <w:szCs w:val="24"/>
        </w:rPr>
        <w:t>最大浓度</w:t>
      </w:r>
      <w:r>
        <w:rPr>
          <w:rFonts w:hint="eastAsia" w:ascii="Arial" w:hAnsi="Arial" w:eastAsia="宋体" w:cs="Arial"/>
          <w:spacing w:val="10"/>
          <w:sz w:val="24"/>
          <w:szCs w:val="24"/>
        </w:rPr>
        <w:t>0.0217</w:t>
      </w:r>
      <w:r>
        <w:rPr>
          <w:rFonts w:ascii="Arial" w:hAnsi="Arial" w:eastAsia="宋体" w:cs="Arial"/>
          <w:spacing w:val="10"/>
          <w:sz w:val="24"/>
          <w:szCs w:val="24"/>
        </w:rPr>
        <w:t>mg/L；</w:t>
      </w:r>
      <w:r>
        <w:rPr>
          <w:rFonts w:hint="eastAsia" w:ascii="Arial" w:hAnsi="Arial" w:eastAsia="宋体" w:cs="Arial"/>
          <w:spacing w:val="10"/>
          <w:sz w:val="24"/>
          <w:szCs w:val="24"/>
        </w:rPr>
        <w:t>因耗氧量、氨氮、硫酸盐背景浓度已超标，</w:t>
      </w:r>
      <w:r>
        <w:rPr>
          <w:rFonts w:ascii="Arial" w:hAnsi="Arial" w:eastAsia="宋体" w:cs="Arial"/>
          <w:spacing w:val="10"/>
          <w:sz w:val="24"/>
          <w:szCs w:val="24"/>
        </w:rPr>
        <w:t>泄漏后100天</w:t>
      </w:r>
      <w:r>
        <w:rPr>
          <w:rFonts w:hint="eastAsia" w:ascii="Arial" w:hAnsi="Arial" w:eastAsia="宋体" w:cs="Arial"/>
          <w:spacing w:val="10"/>
          <w:sz w:val="24"/>
          <w:szCs w:val="24"/>
        </w:rPr>
        <w:t>、365天及1000天</w:t>
      </w:r>
      <w:r>
        <w:rPr>
          <w:rFonts w:ascii="Arial" w:hAnsi="Arial" w:eastAsia="宋体" w:cs="Arial"/>
          <w:spacing w:val="10"/>
          <w:sz w:val="24"/>
          <w:szCs w:val="24"/>
        </w:rPr>
        <w:t>，</w:t>
      </w:r>
      <w:r>
        <w:rPr>
          <w:rFonts w:hint="eastAsia" w:ascii="Arial" w:hAnsi="Arial" w:eastAsia="宋体" w:cs="Arial"/>
          <w:spacing w:val="10"/>
          <w:sz w:val="24"/>
          <w:szCs w:val="24"/>
        </w:rPr>
        <w:t>下游地下水中耗氧量、氨氮、硫酸盐浓度均超标，最大浓度分别为</w:t>
      </w:r>
      <w:r>
        <w:rPr>
          <w:rFonts w:hint="eastAsia" w:ascii="Arial" w:hAnsi="Arial" w:eastAsia="宋体" w:cs="Arial"/>
          <w:spacing w:val="10"/>
          <w:sz w:val="24"/>
          <w:szCs w:val="24"/>
          <w:u w:val="single"/>
        </w:rPr>
        <w:t>6.35</w:t>
      </w:r>
      <w:r>
        <w:rPr>
          <w:rFonts w:ascii="Arial" w:hAnsi="Arial" w:eastAsia="宋体" w:cs="Arial"/>
          <w:spacing w:val="10"/>
          <w:sz w:val="24"/>
          <w:szCs w:val="24"/>
          <w:u w:val="single"/>
        </w:rPr>
        <w:t>mg/L</w:t>
      </w:r>
      <w:r>
        <w:rPr>
          <w:rFonts w:hint="eastAsia" w:ascii="Arial" w:hAnsi="Arial" w:eastAsia="宋体" w:cs="Arial"/>
          <w:spacing w:val="10"/>
          <w:sz w:val="24"/>
          <w:szCs w:val="24"/>
        </w:rPr>
        <w:t>、15.45</w:t>
      </w:r>
      <w:r>
        <w:rPr>
          <w:rFonts w:ascii="Arial" w:hAnsi="Arial" w:eastAsia="宋体" w:cs="Arial"/>
          <w:spacing w:val="10"/>
          <w:sz w:val="24"/>
          <w:szCs w:val="24"/>
        </w:rPr>
        <w:t>mg/L</w:t>
      </w:r>
      <w:r>
        <w:rPr>
          <w:rFonts w:hint="eastAsia" w:ascii="Arial" w:hAnsi="Arial" w:eastAsia="宋体" w:cs="Arial"/>
          <w:spacing w:val="10"/>
          <w:sz w:val="24"/>
          <w:szCs w:val="24"/>
        </w:rPr>
        <w:t>、1084.5</w:t>
      </w:r>
      <w:r>
        <w:rPr>
          <w:rFonts w:ascii="Arial" w:hAnsi="Arial" w:eastAsia="宋体" w:cs="Arial"/>
          <w:spacing w:val="10"/>
          <w:sz w:val="24"/>
          <w:szCs w:val="24"/>
        </w:rPr>
        <w:t>mg/L</w:t>
      </w:r>
      <w:r>
        <w:rPr>
          <w:rFonts w:hint="eastAsia" w:ascii="Arial" w:hAnsi="Arial" w:eastAsia="宋体" w:cs="Arial"/>
          <w:spacing w:val="10"/>
          <w:sz w:val="24"/>
          <w:szCs w:val="24"/>
        </w:rPr>
        <w:t>，分别超标</w:t>
      </w:r>
      <w:r>
        <w:rPr>
          <w:rFonts w:hint="eastAsia" w:ascii="Arial" w:hAnsi="Arial" w:eastAsia="宋体" w:cs="Arial"/>
          <w:spacing w:val="10"/>
          <w:sz w:val="24"/>
          <w:szCs w:val="24"/>
          <w:u w:val="single"/>
        </w:rPr>
        <w:t>1.1倍</w:t>
      </w:r>
      <w:r>
        <w:rPr>
          <w:rFonts w:hint="eastAsia" w:ascii="Arial" w:hAnsi="Arial" w:eastAsia="宋体" w:cs="Arial"/>
          <w:spacing w:val="10"/>
          <w:sz w:val="24"/>
          <w:szCs w:val="24"/>
        </w:rPr>
        <w:t>、30倍、3.3倍；泄漏后34天</w:t>
      </w:r>
      <w:r>
        <w:rPr>
          <w:rFonts w:ascii="Arial" w:hAnsi="Arial" w:eastAsia="宋体" w:cs="Arial"/>
          <w:spacing w:val="10"/>
          <w:sz w:val="24"/>
          <w:szCs w:val="24"/>
        </w:rPr>
        <w:t>污染物到达</w:t>
      </w:r>
      <w:r>
        <w:rPr>
          <w:rFonts w:hint="eastAsia" w:ascii="Arial" w:hAnsi="Arial" w:eastAsia="宋体" w:cs="Arial"/>
          <w:spacing w:val="10"/>
          <w:sz w:val="24"/>
          <w:szCs w:val="24"/>
        </w:rPr>
        <w:t>最近的东面</w:t>
      </w:r>
      <w:r>
        <w:rPr>
          <w:rFonts w:ascii="Arial" w:hAnsi="Arial" w:eastAsia="宋体" w:cs="Arial"/>
          <w:spacing w:val="10"/>
          <w:sz w:val="24"/>
          <w:szCs w:val="24"/>
        </w:rPr>
        <w:t>厂界</w:t>
      </w:r>
      <w:r>
        <w:rPr>
          <w:rFonts w:hint="eastAsia" w:ascii="Arial" w:hAnsi="Arial" w:eastAsia="宋体" w:cs="Arial"/>
          <w:spacing w:val="10"/>
          <w:sz w:val="24"/>
          <w:szCs w:val="24"/>
        </w:rPr>
        <w:t>，</w:t>
      </w:r>
      <w:r>
        <w:rPr>
          <w:rFonts w:ascii="Arial" w:hAnsi="Arial" w:eastAsia="宋体" w:cs="Arial"/>
          <w:spacing w:val="10"/>
          <w:sz w:val="24"/>
          <w:szCs w:val="24"/>
        </w:rPr>
        <w:t>1000天污染物未到达排泄边界。</w:t>
      </w:r>
    </w:p>
    <w:p w14:paraId="3A68BCB5">
      <w:pPr>
        <w:adjustRightInd w:val="0"/>
        <w:snapToGrid w:val="0"/>
        <w:spacing w:line="500" w:lineRule="exact"/>
        <w:ind w:firstLine="476"/>
        <w:rPr>
          <w:rFonts w:ascii="Arial" w:hAnsi="Arial" w:eastAsia="宋体" w:cs="Arial"/>
          <w:spacing w:val="10"/>
          <w:sz w:val="24"/>
          <w:szCs w:val="24"/>
        </w:rPr>
      </w:pPr>
    </w:p>
    <w:p w14:paraId="5F1C4EF5">
      <w:pPr>
        <w:adjustRightInd w:val="0"/>
        <w:snapToGrid w:val="0"/>
        <w:spacing w:line="500" w:lineRule="exact"/>
        <w:ind w:firstLine="476"/>
        <w:rPr>
          <w:rFonts w:ascii="Arial" w:hAnsi="Arial" w:eastAsia="宋体" w:cs="Arial"/>
          <w:spacing w:val="10"/>
          <w:sz w:val="24"/>
          <w:szCs w:val="24"/>
        </w:rPr>
      </w:pPr>
    </w:p>
    <w:p w14:paraId="5C0DF9B9">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地下水事故后果基本信息表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1"/>
        <w:gridCol w:w="1121"/>
        <w:gridCol w:w="563"/>
        <w:gridCol w:w="809"/>
        <w:gridCol w:w="784"/>
        <w:gridCol w:w="574"/>
        <w:gridCol w:w="829"/>
        <w:gridCol w:w="1063"/>
        <w:gridCol w:w="630"/>
        <w:gridCol w:w="1309"/>
      </w:tblGrid>
      <w:tr w14:paraId="21F27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9" w:type="pct"/>
            <w:tcBorders>
              <w:top w:val="single" w:color="auto" w:sz="4" w:space="0"/>
              <w:left w:val="single" w:color="auto" w:sz="4" w:space="0"/>
              <w:bottom w:val="single" w:color="auto" w:sz="4" w:space="0"/>
              <w:right w:val="single" w:color="auto" w:sz="4" w:space="0"/>
            </w:tcBorders>
            <w:vAlign w:val="center"/>
          </w:tcPr>
          <w:p w14:paraId="1F321D8E">
            <w:pPr>
              <w:spacing w:line="240" w:lineRule="exact"/>
              <w:jc w:val="center"/>
              <w:rPr>
                <w:rFonts w:ascii="Arial" w:hAnsi="Arial" w:eastAsia="宋体" w:cs="Arial"/>
                <w:spacing w:val="10"/>
                <w:sz w:val="21"/>
                <w:szCs w:val="21"/>
              </w:rPr>
            </w:pPr>
            <w:r>
              <w:rPr>
                <w:rFonts w:ascii="Arial" w:hAnsi="Arial" w:eastAsia="宋体" w:cs="Arial"/>
                <w:spacing w:val="10"/>
                <w:sz w:val="21"/>
                <w:szCs w:val="21"/>
              </w:rPr>
              <w:t>事故情形描述</w:t>
            </w:r>
          </w:p>
        </w:tc>
        <w:tc>
          <w:tcPr>
            <w:tcW w:w="4271" w:type="pct"/>
            <w:gridSpan w:val="9"/>
            <w:tcBorders>
              <w:top w:val="single" w:color="auto" w:sz="4" w:space="0"/>
              <w:left w:val="single" w:color="auto" w:sz="4" w:space="0"/>
              <w:bottom w:val="single" w:color="auto" w:sz="4" w:space="0"/>
              <w:right w:val="single" w:color="auto" w:sz="4" w:space="0"/>
            </w:tcBorders>
            <w:vAlign w:val="center"/>
          </w:tcPr>
          <w:p w14:paraId="60A480EA">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75</w:t>
            </w:r>
            <w:r>
              <w:rPr>
                <w:rFonts w:ascii="Arial" w:hAnsi="Arial" w:eastAsia="宋体" w:cs="Arial"/>
                <w:spacing w:val="10"/>
                <w:sz w:val="21"/>
                <w:szCs w:val="21"/>
              </w:rPr>
              <w:t>m</w:t>
            </w:r>
            <w:r>
              <w:rPr>
                <w:rFonts w:ascii="Arial" w:hAnsi="Arial" w:eastAsia="宋体" w:cs="Arial"/>
                <w:spacing w:val="10"/>
                <w:sz w:val="21"/>
                <w:szCs w:val="21"/>
                <w:vertAlign w:val="superscript"/>
              </w:rPr>
              <w:t>3</w:t>
            </w:r>
            <w:r>
              <w:rPr>
                <w:rFonts w:hint="eastAsia" w:ascii="Arial" w:hAnsi="Arial" w:eastAsia="宋体" w:cs="Arial"/>
                <w:spacing w:val="10"/>
                <w:sz w:val="21"/>
                <w:szCs w:val="21"/>
              </w:rPr>
              <w:t>洗水外排槽</w:t>
            </w:r>
            <w:r>
              <w:rPr>
                <w:rFonts w:ascii="Arial" w:hAnsi="Arial" w:eastAsia="宋体" w:cs="Arial"/>
                <w:spacing w:val="10"/>
                <w:sz w:val="21"/>
                <w:szCs w:val="21"/>
              </w:rPr>
              <w:t>全</w:t>
            </w:r>
            <w:r>
              <w:rPr>
                <w:rFonts w:hint="eastAsia" w:ascii="Arial" w:hAnsi="Arial" w:eastAsia="宋体" w:cs="Arial"/>
                <w:spacing w:val="10"/>
                <w:sz w:val="21"/>
                <w:szCs w:val="21"/>
              </w:rPr>
              <w:t>部</w:t>
            </w:r>
            <w:r>
              <w:rPr>
                <w:rFonts w:ascii="Arial" w:hAnsi="Arial" w:eastAsia="宋体" w:cs="Arial"/>
                <w:spacing w:val="10"/>
                <w:sz w:val="21"/>
                <w:szCs w:val="21"/>
              </w:rPr>
              <w:t>泄漏，围堰内</w:t>
            </w:r>
            <w:r>
              <w:rPr>
                <w:rFonts w:hint="eastAsia" w:ascii="Arial" w:hAnsi="Arial" w:eastAsia="宋体" w:cs="Arial"/>
                <w:spacing w:val="10"/>
                <w:sz w:val="21"/>
                <w:szCs w:val="21"/>
              </w:rPr>
              <w:t>地坪</w:t>
            </w:r>
            <w:r>
              <w:rPr>
                <w:rFonts w:ascii="Arial" w:hAnsi="Arial" w:eastAsia="宋体" w:cs="Arial"/>
                <w:spacing w:val="10"/>
                <w:sz w:val="21"/>
                <w:szCs w:val="21"/>
              </w:rPr>
              <w:t>损坏，</w:t>
            </w:r>
            <w:r>
              <w:rPr>
                <w:rFonts w:hint="eastAsia" w:ascii="Arial" w:hAnsi="Arial" w:eastAsia="宋体" w:cs="Arial"/>
                <w:spacing w:val="10"/>
                <w:sz w:val="21"/>
                <w:szCs w:val="21"/>
              </w:rPr>
              <w:t>废水</w:t>
            </w:r>
            <w:r>
              <w:rPr>
                <w:rFonts w:ascii="Arial" w:hAnsi="Arial" w:eastAsia="宋体" w:cs="Arial"/>
                <w:spacing w:val="10"/>
                <w:sz w:val="21"/>
                <w:szCs w:val="21"/>
              </w:rPr>
              <w:t>下渗进入地下水</w:t>
            </w:r>
          </w:p>
        </w:tc>
      </w:tr>
      <w:tr w14:paraId="6C834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9" w:type="pct"/>
            <w:tcBorders>
              <w:top w:val="single" w:color="auto" w:sz="4" w:space="0"/>
              <w:left w:val="single" w:color="auto" w:sz="4" w:space="0"/>
              <w:bottom w:val="single" w:color="auto" w:sz="4" w:space="0"/>
              <w:right w:val="single" w:color="auto" w:sz="4" w:space="0"/>
            </w:tcBorders>
            <w:vAlign w:val="center"/>
          </w:tcPr>
          <w:p w14:paraId="6CE2AE07">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w:t>
            </w:r>
            <w:r>
              <w:rPr>
                <w:rFonts w:ascii="Arial" w:hAnsi="Arial" w:eastAsia="宋体" w:cs="Arial"/>
                <w:sz w:val="21"/>
                <w:szCs w:val="21"/>
              </w:rPr>
              <w:t>漏</w:t>
            </w:r>
            <w:r>
              <w:rPr>
                <w:rFonts w:ascii="Arial" w:hAnsi="Arial" w:eastAsia="宋体" w:cs="Arial"/>
                <w:spacing w:val="10"/>
                <w:sz w:val="21"/>
                <w:szCs w:val="21"/>
              </w:rPr>
              <w:t>设备类型</w:t>
            </w:r>
          </w:p>
        </w:tc>
        <w:tc>
          <w:tcPr>
            <w:tcW w:w="936" w:type="pct"/>
            <w:gridSpan w:val="2"/>
            <w:tcBorders>
              <w:top w:val="single" w:color="auto" w:sz="4" w:space="0"/>
              <w:left w:val="single" w:color="auto" w:sz="4" w:space="0"/>
              <w:bottom w:val="single" w:color="auto" w:sz="4" w:space="0"/>
              <w:right w:val="single" w:color="auto" w:sz="4" w:space="0"/>
            </w:tcBorders>
            <w:vAlign w:val="center"/>
          </w:tcPr>
          <w:p w14:paraId="4F3B2765">
            <w:pPr>
              <w:spacing w:line="240" w:lineRule="exact"/>
              <w:jc w:val="center"/>
              <w:rPr>
                <w:rFonts w:ascii="Arial" w:hAnsi="Arial" w:eastAsia="宋体" w:cs="Arial"/>
                <w:spacing w:val="10"/>
                <w:sz w:val="21"/>
                <w:szCs w:val="21"/>
              </w:rPr>
            </w:pPr>
            <w:r>
              <w:rPr>
                <w:rFonts w:ascii="Arial" w:hAnsi="Arial" w:eastAsia="宋体" w:cs="Arial"/>
                <w:spacing w:val="10"/>
                <w:sz w:val="21"/>
                <w:szCs w:val="21"/>
              </w:rPr>
              <w:t>储罐</w:t>
            </w:r>
          </w:p>
        </w:tc>
        <w:tc>
          <w:tcPr>
            <w:tcW w:w="886" w:type="pct"/>
            <w:gridSpan w:val="2"/>
            <w:tcBorders>
              <w:top w:val="single" w:color="auto" w:sz="4" w:space="0"/>
              <w:left w:val="single" w:color="auto" w:sz="4" w:space="0"/>
              <w:bottom w:val="single" w:color="auto" w:sz="4" w:space="0"/>
              <w:right w:val="single" w:color="auto" w:sz="4" w:space="0"/>
            </w:tcBorders>
            <w:vAlign w:val="center"/>
          </w:tcPr>
          <w:p w14:paraId="2B633A6A">
            <w:pPr>
              <w:spacing w:line="240" w:lineRule="exact"/>
              <w:jc w:val="center"/>
              <w:rPr>
                <w:rFonts w:ascii="Arial" w:hAnsi="Arial" w:eastAsia="宋体" w:cs="Arial"/>
                <w:spacing w:val="10"/>
                <w:sz w:val="21"/>
                <w:szCs w:val="21"/>
              </w:rPr>
            </w:pPr>
            <w:r>
              <w:rPr>
                <w:rFonts w:ascii="Arial" w:hAnsi="Arial" w:eastAsia="宋体" w:cs="Arial"/>
                <w:spacing w:val="10"/>
                <w:sz w:val="21"/>
                <w:szCs w:val="21"/>
              </w:rPr>
              <w:t>操作温度/</w:t>
            </w:r>
            <w:r>
              <w:rPr>
                <w:rFonts w:hint="eastAsia" w:ascii="宋体" w:hAnsi="宋体" w:eastAsia="宋体" w:cs="宋体"/>
                <w:spacing w:val="10"/>
                <w:sz w:val="21"/>
                <w:szCs w:val="21"/>
              </w:rPr>
              <w:t>℃</w:t>
            </w:r>
          </w:p>
        </w:tc>
        <w:tc>
          <w:tcPr>
            <w:tcW w:w="780" w:type="pct"/>
            <w:gridSpan w:val="2"/>
            <w:tcBorders>
              <w:top w:val="single" w:color="auto" w:sz="4" w:space="0"/>
              <w:left w:val="single" w:color="auto" w:sz="4" w:space="0"/>
              <w:bottom w:val="single" w:color="auto" w:sz="4" w:space="0"/>
              <w:right w:val="single" w:color="auto" w:sz="4" w:space="0"/>
            </w:tcBorders>
            <w:vAlign w:val="center"/>
          </w:tcPr>
          <w:p w14:paraId="18C4BD7E">
            <w:pPr>
              <w:spacing w:line="240" w:lineRule="exact"/>
              <w:jc w:val="center"/>
              <w:rPr>
                <w:rFonts w:ascii="Arial" w:hAnsi="Arial" w:eastAsia="宋体" w:cs="Arial"/>
                <w:spacing w:val="10"/>
                <w:sz w:val="21"/>
                <w:szCs w:val="21"/>
              </w:rPr>
            </w:pPr>
            <w:r>
              <w:rPr>
                <w:rFonts w:ascii="Arial" w:hAnsi="Arial" w:eastAsia="宋体" w:cs="Arial"/>
                <w:spacing w:val="10"/>
                <w:sz w:val="21"/>
                <w:szCs w:val="21"/>
              </w:rPr>
              <w:t>25</w:t>
            </w:r>
          </w:p>
        </w:tc>
        <w:tc>
          <w:tcPr>
            <w:tcW w:w="941" w:type="pct"/>
            <w:gridSpan w:val="2"/>
            <w:tcBorders>
              <w:top w:val="single" w:color="auto" w:sz="4" w:space="0"/>
              <w:left w:val="single" w:color="auto" w:sz="4" w:space="0"/>
              <w:bottom w:val="single" w:color="auto" w:sz="4" w:space="0"/>
              <w:right w:val="single" w:color="auto" w:sz="4" w:space="0"/>
            </w:tcBorders>
            <w:vAlign w:val="center"/>
          </w:tcPr>
          <w:p w14:paraId="4EA63B1A">
            <w:pPr>
              <w:spacing w:line="240" w:lineRule="exact"/>
              <w:jc w:val="center"/>
              <w:rPr>
                <w:rFonts w:ascii="Arial" w:hAnsi="Arial" w:eastAsia="宋体" w:cs="Arial"/>
                <w:spacing w:val="10"/>
                <w:sz w:val="21"/>
                <w:szCs w:val="21"/>
              </w:rPr>
            </w:pPr>
            <w:r>
              <w:rPr>
                <w:rFonts w:ascii="Arial" w:hAnsi="Arial" w:eastAsia="宋体" w:cs="Arial"/>
                <w:spacing w:val="10"/>
                <w:sz w:val="21"/>
                <w:szCs w:val="21"/>
              </w:rPr>
              <w:t>操作压力/MPa</w:t>
            </w:r>
          </w:p>
        </w:tc>
        <w:tc>
          <w:tcPr>
            <w:tcW w:w="728" w:type="pct"/>
            <w:tcBorders>
              <w:top w:val="single" w:color="auto" w:sz="4" w:space="0"/>
              <w:left w:val="single" w:color="auto" w:sz="4" w:space="0"/>
              <w:bottom w:val="single" w:color="auto" w:sz="4" w:space="0"/>
              <w:right w:val="single" w:color="auto" w:sz="4" w:space="0"/>
            </w:tcBorders>
            <w:vAlign w:val="center"/>
          </w:tcPr>
          <w:p w14:paraId="5A36345A">
            <w:pPr>
              <w:spacing w:line="240" w:lineRule="exact"/>
              <w:jc w:val="center"/>
              <w:rPr>
                <w:rFonts w:ascii="Arial" w:hAnsi="Arial" w:eastAsia="宋体" w:cs="Arial"/>
                <w:spacing w:val="10"/>
                <w:sz w:val="21"/>
                <w:szCs w:val="21"/>
              </w:rPr>
            </w:pPr>
            <w:r>
              <w:rPr>
                <w:rFonts w:ascii="Arial" w:hAnsi="Arial" w:eastAsia="宋体" w:cs="Arial"/>
                <w:spacing w:val="10"/>
                <w:sz w:val="21"/>
                <w:szCs w:val="21"/>
              </w:rPr>
              <w:t>0.101</w:t>
            </w:r>
          </w:p>
        </w:tc>
      </w:tr>
      <w:tr w14:paraId="1B393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9" w:type="pct"/>
            <w:tcBorders>
              <w:top w:val="single" w:color="auto" w:sz="4" w:space="0"/>
              <w:left w:val="single" w:color="auto" w:sz="4" w:space="0"/>
              <w:bottom w:val="single" w:color="auto" w:sz="4" w:space="0"/>
              <w:right w:val="single" w:color="auto" w:sz="4" w:space="0"/>
            </w:tcBorders>
            <w:vAlign w:val="center"/>
          </w:tcPr>
          <w:p w14:paraId="04494A57">
            <w:pPr>
              <w:spacing w:line="240" w:lineRule="exact"/>
              <w:jc w:val="center"/>
              <w:rPr>
                <w:rFonts w:ascii="Arial" w:hAnsi="Arial" w:eastAsia="宋体" w:cs="Arial"/>
                <w:sz w:val="21"/>
                <w:szCs w:val="21"/>
              </w:rPr>
            </w:pPr>
            <w:r>
              <w:rPr>
                <w:rFonts w:ascii="Arial" w:hAnsi="Arial" w:eastAsia="宋体" w:cs="Arial"/>
                <w:spacing w:val="10"/>
                <w:sz w:val="21"/>
                <w:szCs w:val="21"/>
              </w:rPr>
              <w:t>泄</w:t>
            </w:r>
            <w:r>
              <w:rPr>
                <w:rFonts w:ascii="Arial" w:hAnsi="Arial" w:eastAsia="宋体" w:cs="Arial"/>
                <w:sz w:val="21"/>
                <w:szCs w:val="21"/>
              </w:rPr>
              <w:t>漏</w:t>
            </w:r>
          </w:p>
          <w:p w14:paraId="0AB58B9A">
            <w:pPr>
              <w:spacing w:line="240" w:lineRule="exact"/>
              <w:jc w:val="center"/>
              <w:rPr>
                <w:rFonts w:ascii="Arial" w:hAnsi="Arial" w:eastAsia="宋体" w:cs="Arial"/>
                <w:spacing w:val="10"/>
                <w:sz w:val="21"/>
                <w:szCs w:val="21"/>
              </w:rPr>
            </w:pPr>
            <w:r>
              <w:rPr>
                <w:rFonts w:ascii="Arial" w:hAnsi="Arial" w:eastAsia="宋体" w:cs="Arial"/>
                <w:spacing w:val="10"/>
                <w:sz w:val="21"/>
                <w:szCs w:val="21"/>
              </w:rPr>
              <w:t>危险物质</w:t>
            </w:r>
          </w:p>
        </w:tc>
        <w:tc>
          <w:tcPr>
            <w:tcW w:w="936" w:type="pct"/>
            <w:gridSpan w:val="2"/>
            <w:tcBorders>
              <w:top w:val="single" w:color="auto" w:sz="4" w:space="0"/>
              <w:left w:val="single" w:color="auto" w:sz="4" w:space="0"/>
              <w:bottom w:val="single" w:color="auto" w:sz="4" w:space="0"/>
              <w:right w:val="single" w:color="auto" w:sz="4" w:space="0"/>
            </w:tcBorders>
            <w:vAlign w:val="center"/>
          </w:tcPr>
          <w:p w14:paraId="71B95BEC">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钴</w:t>
            </w:r>
          </w:p>
        </w:tc>
        <w:tc>
          <w:tcPr>
            <w:tcW w:w="886" w:type="pct"/>
            <w:gridSpan w:val="2"/>
            <w:tcBorders>
              <w:top w:val="single" w:color="auto" w:sz="4" w:space="0"/>
              <w:left w:val="single" w:color="auto" w:sz="4" w:space="0"/>
              <w:bottom w:val="single" w:color="auto" w:sz="4" w:space="0"/>
              <w:right w:val="single" w:color="auto" w:sz="4" w:space="0"/>
            </w:tcBorders>
            <w:vAlign w:val="center"/>
          </w:tcPr>
          <w:p w14:paraId="6F0869CA">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最大存在量</w:t>
            </w:r>
          </w:p>
        </w:tc>
        <w:tc>
          <w:tcPr>
            <w:tcW w:w="780" w:type="pct"/>
            <w:gridSpan w:val="2"/>
            <w:tcBorders>
              <w:top w:val="single" w:color="auto" w:sz="4" w:space="0"/>
              <w:left w:val="single" w:color="auto" w:sz="4" w:space="0"/>
              <w:bottom w:val="single" w:color="auto" w:sz="4" w:space="0"/>
              <w:right w:val="single" w:color="auto" w:sz="4" w:space="0"/>
            </w:tcBorders>
            <w:vAlign w:val="center"/>
          </w:tcPr>
          <w:p w14:paraId="30CF4A5E">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75</w:t>
            </w:r>
            <w:r>
              <w:rPr>
                <w:rFonts w:ascii="Arial" w:hAnsi="Arial" w:eastAsia="宋体" w:cs="Arial"/>
                <w:spacing w:val="10"/>
                <w:sz w:val="21"/>
                <w:szCs w:val="21"/>
              </w:rPr>
              <w:t>t</w:t>
            </w:r>
          </w:p>
        </w:tc>
        <w:tc>
          <w:tcPr>
            <w:tcW w:w="941" w:type="pct"/>
            <w:gridSpan w:val="2"/>
            <w:tcBorders>
              <w:top w:val="single" w:color="auto" w:sz="4" w:space="0"/>
              <w:left w:val="single" w:color="auto" w:sz="4" w:space="0"/>
              <w:bottom w:val="single" w:color="auto" w:sz="4" w:space="0"/>
              <w:right w:val="single" w:color="auto" w:sz="4" w:space="0"/>
            </w:tcBorders>
            <w:vAlign w:val="center"/>
          </w:tcPr>
          <w:p w14:paraId="1B64C5DA">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w:t>
            </w:r>
            <w:r>
              <w:rPr>
                <w:rFonts w:ascii="Arial" w:hAnsi="Arial" w:eastAsia="宋体" w:cs="Arial"/>
                <w:sz w:val="21"/>
                <w:szCs w:val="21"/>
              </w:rPr>
              <w:t>漏</w:t>
            </w:r>
            <w:r>
              <w:rPr>
                <w:rFonts w:ascii="Arial" w:hAnsi="Arial" w:eastAsia="宋体" w:cs="Arial"/>
                <w:spacing w:val="10"/>
                <w:sz w:val="21"/>
                <w:szCs w:val="21"/>
              </w:rPr>
              <w:t>速率（kg/d）</w:t>
            </w:r>
          </w:p>
        </w:tc>
        <w:tc>
          <w:tcPr>
            <w:tcW w:w="728" w:type="pct"/>
            <w:tcBorders>
              <w:top w:val="single" w:color="auto" w:sz="4" w:space="0"/>
              <w:left w:val="single" w:color="auto" w:sz="4" w:space="0"/>
              <w:bottom w:val="single" w:color="auto" w:sz="4" w:space="0"/>
              <w:right w:val="single" w:color="auto" w:sz="4" w:space="0"/>
            </w:tcBorders>
            <w:vAlign w:val="center"/>
          </w:tcPr>
          <w:p w14:paraId="0406FD89">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0.004</w:t>
            </w:r>
          </w:p>
        </w:tc>
      </w:tr>
      <w:tr w14:paraId="192F8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9" w:type="pct"/>
            <w:tcBorders>
              <w:top w:val="single" w:color="auto" w:sz="4" w:space="0"/>
              <w:left w:val="single" w:color="auto" w:sz="4" w:space="0"/>
              <w:bottom w:val="single" w:color="auto" w:sz="4" w:space="0"/>
              <w:right w:val="single" w:color="auto" w:sz="4" w:space="0"/>
            </w:tcBorders>
            <w:vAlign w:val="center"/>
          </w:tcPr>
          <w:p w14:paraId="7C6F3CB1">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w:t>
            </w:r>
            <w:r>
              <w:rPr>
                <w:rFonts w:ascii="Arial" w:hAnsi="Arial" w:eastAsia="宋体" w:cs="Arial"/>
                <w:sz w:val="21"/>
                <w:szCs w:val="21"/>
              </w:rPr>
              <w:t>漏</w:t>
            </w:r>
            <w:r>
              <w:rPr>
                <w:rFonts w:ascii="Arial" w:hAnsi="Arial" w:eastAsia="宋体" w:cs="Arial"/>
                <w:spacing w:val="10"/>
                <w:sz w:val="21"/>
                <w:szCs w:val="21"/>
              </w:rPr>
              <w:t>量</w:t>
            </w:r>
          </w:p>
        </w:tc>
        <w:tc>
          <w:tcPr>
            <w:tcW w:w="936" w:type="pct"/>
            <w:gridSpan w:val="2"/>
            <w:tcBorders>
              <w:top w:val="single" w:color="auto" w:sz="4" w:space="0"/>
              <w:left w:val="single" w:color="auto" w:sz="4" w:space="0"/>
              <w:bottom w:val="single" w:color="auto" w:sz="4" w:space="0"/>
              <w:right w:val="single" w:color="auto" w:sz="4" w:space="0"/>
            </w:tcBorders>
            <w:vAlign w:val="center"/>
          </w:tcPr>
          <w:p w14:paraId="52783F78">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0.004</w:t>
            </w:r>
            <w:r>
              <w:rPr>
                <w:rFonts w:ascii="Arial" w:hAnsi="Arial" w:eastAsia="宋体" w:cs="Arial"/>
                <w:spacing w:val="10"/>
                <w:sz w:val="21"/>
                <w:szCs w:val="21"/>
              </w:rPr>
              <w:t>kg</w:t>
            </w:r>
          </w:p>
        </w:tc>
        <w:tc>
          <w:tcPr>
            <w:tcW w:w="886" w:type="pct"/>
            <w:gridSpan w:val="2"/>
            <w:tcBorders>
              <w:top w:val="single" w:color="auto" w:sz="4" w:space="0"/>
              <w:left w:val="single" w:color="auto" w:sz="4" w:space="0"/>
              <w:bottom w:val="single" w:color="auto" w:sz="4" w:space="0"/>
              <w:right w:val="single" w:color="auto" w:sz="4" w:space="0"/>
            </w:tcBorders>
            <w:vAlign w:val="center"/>
          </w:tcPr>
          <w:p w14:paraId="6A27D175">
            <w:pPr>
              <w:spacing w:line="240" w:lineRule="exact"/>
              <w:jc w:val="center"/>
              <w:rPr>
                <w:rFonts w:ascii="Arial" w:hAnsi="Arial" w:eastAsia="宋体" w:cs="Arial"/>
                <w:spacing w:val="10"/>
                <w:sz w:val="21"/>
                <w:szCs w:val="21"/>
              </w:rPr>
            </w:pPr>
            <w:r>
              <w:rPr>
                <w:rFonts w:ascii="Arial" w:hAnsi="Arial" w:eastAsia="宋体" w:cs="Arial"/>
                <w:spacing w:val="10"/>
                <w:sz w:val="21"/>
                <w:szCs w:val="21"/>
              </w:rPr>
              <w:t>泄</w:t>
            </w:r>
            <w:r>
              <w:rPr>
                <w:rFonts w:ascii="Arial" w:hAnsi="Arial" w:eastAsia="宋体" w:cs="Arial"/>
                <w:sz w:val="21"/>
                <w:szCs w:val="21"/>
              </w:rPr>
              <w:t>漏</w:t>
            </w:r>
            <w:r>
              <w:rPr>
                <w:rFonts w:ascii="Arial" w:hAnsi="Arial" w:eastAsia="宋体" w:cs="Arial"/>
                <w:spacing w:val="10"/>
                <w:sz w:val="21"/>
                <w:szCs w:val="21"/>
              </w:rPr>
              <w:t>频率</w:t>
            </w:r>
          </w:p>
        </w:tc>
        <w:tc>
          <w:tcPr>
            <w:tcW w:w="780" w:type="pct"/>
            <w:gridSpan w:val="2"/>
            <w:tcBorders>
              <w:top w:val="single" w:color="auto" w:sz="4" w:space="0"/>
              <w:left w:val="single" w:color="auto" w:sz="4" w:space="0"/>
              <w:bottom w:val="single" w:color="auto" w:sz="4" w:space="0"/>
              <w:right w:val="single" w:color="auto" w:sz="4" w:space="0"/>
            </w:tcBorders>
            <w:vAlign w:val="center"/>
          </w:tcPr>
          <w:p w14:paraId="149B60CE">
            <w:pPr>
              <w:spacing w:line="240" w:lineRule="exact"/>
              <w:jc w:val="center"/>
              <w:rPr>
                <w:rFonts w:ascii="Arial" w:hAnsi="Arial" w:eastAsia="宋体" w:cs="Arial"/>
                <w:spacing w:val="10"/>
                <w:sz w:val="21"/>
                <w:szCs w:val="21"/>
              </w:rPr>
            </w:pPr>
            <w:r>
              <w:rPr>
                <w:rFonts w:ascii="Arial" w:hAnsi="Arial" w:eastAsia="宋体" w:cs="Arial"/>
                <w:sz w:val="21"/>
                <w:szCs w:val="21"/>
              </w:rPr>
              <w:t>5×10</w:t>
            </w:r>
            <w:r>
              <w:rPr>
                <w:rFonts w:ascii="Arial" w:hAnsi="Arial" w:eastAsia="宋体" w:cs="Arial"/>
                <w:sz w:val="21"/>
                <w:szCs w:val="21"/>
                <w:vertAlign w:val="superscript"/>
              </w:rPr>
              <w:t>-6</w:t>
            </w:r>
            <w:r>
              <w:rPr>
                <w:rFonts w:ascii="Arial" w:hAnsi="Arial" w:eastAsia="宋体" w:cs="Arial"/>
                <w:sz w:val="21"/>
                <w:szCs w:val="21"/>
              </w:rPr>
              <w:t>/a</w:t>
            </w:r>
          </w:p>
        </w:tc>
        <w:tc>
          <w:tcPr>
            <w:tcW w:w="941" w:type="pct"/>
            <w:gridSpan w:val="2"/>
            <w:tcBorders>
              <w:top w:val="single" w:color="auto" w:sz="4" w:space="0"/>
              <w:left w:val="single" w:color="auto" w:sz="4" w:space="0"/>
              <w:bottom w:val="single" w:color="auto" w:sz="4" w:space="0"/>
              <w:right w:val="single" w:color="auto" w:sz="4" w:space="0"/>
            </w:tcBorders>
            <w:vAlign w:val="center"/>
          </w:tcPr>
          <w:p w14:paraId="27DD7682">
            <w:pPr>
              <w:spacing w:line="240" w:lineRule="exact"/>
              <w:jc w:val="center"/>
              <w:rPr>
                <w:rFonts w:ascii="Arial" w:hAnsi="Arial" w:eastAsia="宋体" w:cs="Arial"/>
                <w:spacing w:val="10"/>
                <w:sz w:val="21"/>
                <w:szCs w:val="21"/>
              </w:rPr>
            </w:pPr>
          </w:p>
        </w:tc>
        <w:tc>
          <w:tcPr>
            <w:tcW w:w="728" w:type="pct"/>
            <w:tcBorders>
              <w:top w:val="single" w:color="auto" w:sz="4" w:space="0"/>
              <w:left w:val="single" w:color="auto" w:sz="4" w:space="0"/>
              <w:bottom w:val="single" w:color="auto" w:sz="4" w:space="0"/>
              <w:right w:val="single" w:color="auto" w:sz="4" w:space="0"/>
            </w:tcBorders>
            <w:vAlign w:val="center"/>
          </w:tcPr>
          <w:p w14:paraId="7618317D">
            <w:pPr>
              <w:spacing w:line="240" w:lineRule="exact"/>
              <w:jc w:val="center"/>
              <w:rPr>
                <w:rFonts w:ascii="Arial" w:hAnsi="Arial" w:eastAsia="宋体" w:cs="Arial"/>
                <w:spacing w:val="10"/>
                <w:sz w:val="21"/>
                <w:szCs w:val="21"/>
              </w:rPr>
            </w:pPr>
          </w:p>
        </w:tc>
      </w:tr>
      <w:tr w14:paraId="2C569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9" w:type="pct"/>
            <w:tcBorders>
              <w:top w:val="single" w:color="auto" w:sz="4" w:space="0"/>
              <w:left w:val="single" w:color="auto" w:sz="4" w:space="0"/>
              <w:bottom w:val="single" w:color="auto" w:sz="4" w:space="0"/>
              <w:right w:val="single" w:color="auto" w:sz="4" w:space="0"/>
            </w:tcBorders>
            <w:vAlign w:val="center"/>
          </w:tcPr>
          <w:p w14:paraId="4F708298">
            <w:pPr>
              <w:spacing w:line="240" w:lineRule="exact"/>
              <w:jc w:val="center"/>
              <w:rPr>
                <w:rFonts w:ascii="Arial" w:hAnsi="Arial" w:eastAsia="宋体" w:cs="Arial"/>
                <w:spacing w:val="10"/>
                <w:sz w:val="21"/>
                <w:szCs w:val="21"/>
              </w:rPr>
            </w:pPr>
            <w:r>
              <w:rPr>
                <w:rFonts w:ascii="Arial" w:hAnsi="Arial" w:eastAsia="宋体" w:cs="Arial"/>
                <w:spacing w:val="10"/>
                <w:sz w:val="21"/>
                <w:szCs w:val="21"/>
              </w:rPr>
              <w:t>危险物质</w:t>
            </w:r>
          </w:p>
        </w:tc>
        <w:tc>
          <w:tcPr>
            <w:tcW w:w="4271" w:type="pct"/>
            <w:gridSpan w:val="9"/>
            <w:tcBorders>
              <w:top w:val="single" w:color="auto" w:sz="4" w:space="0"/>
              <w:left w:val="single" w:color="auto" w:sz="4" w:space="0"/>
              <w:bottom w:val="single" w:color="auto" w:sz="4" w:space="0"/>
              <w:right w:val="single" w:color="auto" w:sz="4" w:space="0"/>
            </w:tcBorders>
            <w:vAlign w:val="center"/>
          </w:tcPr>
          <w:p w14:paraId="2A4ECE8C">
            <w:pPr>
              <w:spacing w:line="240" w:lineRule="exact"/>
              <w:jc w:val="center"/>
              <w:rPr>
                <w:rFonts w:ascii="Arial" w:hAnsi="Arial" w:eastAsia="宋体" w:cs="Arial"/>
                <w:spacing w:val="10"/>
                <w:sz w:val="21"/>
                <w:szCs w:val="21"/>
              </w:rPr>
            </w:pPr>
            <w:r>
              <w:rPr>
                <w:rFonts w:ascii="Arial" w:hAnsi="Arial" w:eastAsia="宋体" w:cs="Arial"/>
                <w:spacing w:val="10"/>
                <w:sz w:val="21"/>
                <w:szCs w:val="21"/>
              </w:rPr>
              <w:t>地下水环境影响</w:t>
            </w:r>
          </w:p>
        </w:tc>
      </w:tr>
      <w:tr w14:paraId="27144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9" w:type="pct"/>
            <w:vMerge w:val="restart"/>
            <w:tcBorders>
              <w:top w:val="single" w:color="auto" w:sz="4" w:space="0"/>
              <w:left w:val="single" w:color="auto" w:sz="4" w:space="0"/>
              <w:bottom w:val="single" w:color="auto" w:sz="4" w:space="0"/>
              <w:right w:val="single" w:color="auto" w:sz="4" w:space="0"/>
            </w:tcBorders>
            <w:vAlign w:val="center"/>
          </w:tcPr>
          <w:p w14:paraId="10BA8AEA">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钴</w:t>
            </w:r>
          </w:p>
        </w:tc>
        <w:tc>
          <w:tcPr>
            <w:tcW w:w="623" w:type="pct"/>
            <w:tcBorders>
              <w:top w:val="single" w:color="auto" w:sz="4" w:space="0"/>
              <w:left w:val="single" w:color="auto" w:sz="4" w:space="0"/>
              <w:bottom w:val="single" w:color="auto" w:sz="4" w:space="0"/>
              <w:right w:val="single" w:color="auto" w:sz="4" w:space="0"/>
            </w:tcBorders>
            <w:vAlign w:val="center"/>
          </w:tcPr>
          <w:p w14:paraId="5F6FE908">
            <w:pPr>
              <w:spacing w:line="240" w:lineRule="exact"/>
              <w:jc w:val="center"/>
              <w:rPr>
                <w:rFonts w:ascii="Arial" w:hAnsi="Arial" w:eastAsia="宋体" w:cs="Arial"/>
                <w:spacing w:val="10"/>
                <w:sz w:val="21"/>
                <w:szCs w:val="21"/>
              </w:rPr>
            </w:pPr>
            <w:r>
              <w:rPr>
                <w:rFonts w:ascii="Arial" w:hAnsi="Arial" w:eastAsia="宋体" w:cs="Arial"/>
                <w:spacing w:val="10"/>
                <w:sz w:val="21"/>
                <w:szCs w:val="21"/>
              </w:rPr>
              <w:t>厂区边界</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634BB052">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69B82083">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57C442EA">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1F47F87B">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14:paraId="08DCF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5032CF9B">
            <w:pPr>
              <w:widowControl/>
              <w:jc w:val="left"/>
              <w:rPr>
                <w:rFonts w:ascii="Arial" w:hAnsi="Arial" w:eastAsia="宋体" w:cs="Arial"/>
                <w:spacing w:val="10"/>
                <w:sz w:val="21"/>
                <w:szCs w:val="21"/>
              </w:rPr>
            </w:pPr>
          </w:p>
        </w:tc>
        <w:tc>
          <w:tcPr>
            <w:tcW w:w="623" w:type="pct"/>
            <w:tcBorders>
              <w:top w:val="single" w:color="auto" w:sz="4" w:space="0"/>
              <w:left w:val="single" w:color="auto" w:sz="4" w:space="0"/>
              <w:bottom w:val="single" w:color="auto" w:sz="4" w:space="0"/>
              <w:right w:val="single" w:color="auto" w:sz="4" w:space="0"/>
            </w:tcBorders>
            <w:vAlign w:val="center"/>
          </w:tcPr>
          <w:p w14:paraId="485350F7">
            <w:pPr>
              <w:spacing w:line="240" w:lineRule="exact"/>
              <w:jc w:val="center"/>
              <w:rPr>
                <w:rFonts w:ascii="Arial" w:hAnsi="Arial" w:eastAsia="宋体" w:cs="Arial"/>
                <w:spacing w:val="10"/>
                <w:sz w:val="21"/>
                <w:szCs w:val="21"/>
              </w:rPr>
            </w:pPr>
            <w:r>
              <w:rPr>
                <w:rFonts w:ascii="Arial" w:hAnsi="Arial" w:eastAsia="宋体" w:cs="Arial"/>
                <w:spacing w:val="10"/>
                <w:sz w:val="21"/>
                <w:szCs w:val="21"/>
              </w:rPr>
              <w:t>东面厂界</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3F55DD89">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60</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5C20A763">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6BC259E7">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19FFE410">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0.0217</w:t>
            </w:r>
          </w:p>
        </w:tc>
      </w:tr>
      <w:tr w14:paraId="7C8D3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025EEEF">
            <w:pPr>
              <w:widowControl/>
              <w:jc w:val="left"/>
              <w:rPr>
                <w:rFonts w:ascii="Arial" w:hAnsi="Arial" w:eastAsia="宋体" w:cs="Arial"/>
                <w:spacing w:val="10"/>
                <w:sz w:val="21"/>
                <w:szCs w:val="21"/>
              </w:rPr>
            </w:pPr>
          </w:p>
        </w:tc>
        <w:tc>
          <w:tcPr>
            <w:tcW w:w="623" w:type="pct"/>
            <w:tcBorders>
              <w:top w:val="single" w:color="auto" w:sz="4" w:space="0"/>
              <w:left w:val="single" w:color="auto" w:sz="4" w:space="0"/>
              <w:bottom w:val="single" w:color="auto" w:sz="4" w:space="0"/>
              <w:right w:val="single" w:color="auto" w:sz="4" w:space="0"/>
            </w:tcBorders>
            <w:vAlign w:val="center"/>
          </w:tcPr>
          <w:p w14:paraId="6A4C0E3B">
            <w:pPr>
              <w:spacing w:line="240" w:lineRule="exact"/>
              <w:jc w:val="center"/>
              <w:rPr>
                <w:rFonts w:ascii="Arial" w:hAnsi="Arial" w:eastAsia="宋体" w:cs="Arial"/>
                <w:spacing w:val="10"/>
                <w:sz w:val="21"/>
                <w:szCs w:val="21"/>
              </w:rPr>
            </w:pPr>
            <w:r>
              <w:rPr>
                <w:rFonts w:ascii="Arial" w:hAnsi="Arial" w:eastAsia="宋体" w:cs="Arial"/>
                <w:spacing w:val="10"/>
                <w:sz w:val="21"/>
                <w:szCs w:val="21"/>
              </w:rPr>
              <w:t>敏感目标名称</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02CACB3F">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38E3F33F">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1BF79D0B">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055081B9">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14:paraId="30BDA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509EAF49">
            <w:pPr>
              <w:widowControl/>
              <w:jc w:val="left"/>
              <w:rPr>
                <w:rFonts w:ascii="Arial" w:hAnsi="Arial" w:eastAsia="宋体" w:cs="Arial"/>
                <w:spacing w:val="10"/>
                <w:sz w:val="21"/>
                <w:szCs w:val="21"/>
              </w:rPr>
            </w:pPr>
          </w:p>
        </w:tc>
        <w:tc>
          <w:tcPr>
            <w:tcW w:w="623" w:type="pct"/>
            <w:tcBorders>
              <w:top w:val="single" w:color="auto" w:sz="4" w:space="0"/>
              <w:left w:val="single" w:color="auto" w:sz="4" w:space="0"/>
              <w:bottom w:val="single" w:color="auto" w:sz="4" w:space="0"/>
              <w:right w:val="single" w:color="auto" w:sz="4" w:space="0"/>
            </w:tcBorders>
            <w:vAlign w:val="center"/>
          </w:tcPr>
          <w:p w14:paraId="72B754AA">
            <w:pPr>
              <w:spacing w:line="240" w:lineRule="exact"/>
              <w:jc w:val="center"/>
              <w:rPr>
                <w:rFonts w:ascii="Arial" w:hAnsi="Arial" w:eastAsia="宋体" w:cs="Arial"/>
                <w:spacing w:val="10"/>
                <w:sz w:val="21"/>
                <w:szCs w:val="21"/>
              </w:rPr>
            </w:pPr>
            <w:r>
              <w:rPr>
                <w:rFonts w:ascii="Arial" w:hAnsi="Arial" w:eastAsia="宋体" w:cs="Arial"/>
                <w:spacing w:val="10"/>
                <w:sz w:val="21"/>
                <w:szCs w:val="21"/>
              </w:rPr>
              <w:t>无</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7E37F318">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4375CAF1">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18F756B2">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63C5A7A7">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r>
      <w:tr w14:paraId="5DFC7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tcBorders>
              <w:top w:val="single" w:color="auto" w:sz="4" w:space="0"/>
              <w:left w:val="single" w:color="auto" w:sz="4" w:space="0"/>
              <w:right w:val="single" w:color="auto" w:sz="4" w:space="0"/>
            </w:tcBorders>
            <w:vAlign w:val="center"/>
          </w:tcPr>
          <w:p w14:paraId="7788D340">
            <w:pPr>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耗氧量</w:t>
            </w:r>
          </w:p>
        </w:tc>
        <w:tc>
          <w:tcPr>
            <w:tcW w:w="623" w:type="pct"/>
            <w:tcBorders>
              <w:top w:val="single" w:color="auto" w:sz="4" w:space="0"/>
              <w:left w:val="single" w:color="auto" w:sz="4" w:space="0"/>
              <w:bottom w:val="single" w:color="auto" w:sz="4" w:space="0"/>
              <w:right w:val="single" w:color="auto" w:sz="4" w:space="0"/>
            </w:tcBorders>
            <w:vAlign w:val="center"/>
          </w:tcPr>
          <w:p w14:paraId="571D3C0E">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厂区边界</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1795BE07">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到达时间/d</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66A7DD52">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超标时间/d</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50E27744">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超标持续时间/d</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1B065BCC">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最大浓度（mg/L）</w:t>
            </w:r>
          </w:p>
        </w:tc>
      </w:tr>
      <w:tr w14:paraId="7DC36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right w:val="single" w:color="auto" w:sz="4" w:space="0"/>
            </w:tcBorders>
            <w:vAlign w:val="center"/>
          </w:tcPr>
          <w:p w14:paraId="387E9F8A">
            <w:pPr>
              <w:spacing w:line="240" w:lineRule="exact"/>
              <w:jc w:val="center"/>
              <w:rPr>
                <w:rFonts w:ascii="Arial" w:hAnsi="Arial" w:eastAsia="宋体" w:cs="Arial"/>
                <w:spacing w:val="10"/>
                <w:sz w:val="21"/>
                <w:szCs w:val="21"/>
                <w:u w:val="single"/>
              </w:rPr>
            </w:pPr>
          </w:p>
        </w:tc>
        <w:tc>
          <w:tcPr>
            <w:tcW w:w="623" w:type="pct"/>
            <w:tcBorders>
              <w:top w:val="single" w:color="auto" w:sz="4" w:space="0"/>
              <w:left w:val="single" w:color="auto" w:sz="4" w:space="0"/>
              <w:bottom w:val="single" w:color="auto" w:sz="4" w:space="0"/>
              <w:right w:val="single" w:color="auto" w:sz="4" w:space="0"/>
            </w:tcBorders>
            <w:vAlign w:val="center"/>
          </w:tcPr>
          <w:p w14:paraId="6CBB3B89">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东面厂界</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65E7DEC5">
            <w:pPr>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44</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0B5A09E8">
            <w:pPr>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1</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183AB0B2">
            <w:pPr>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1000</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1E9964F9">
            <w:pPr>
              <w:spacing w:line="240" w:lineRule="exact"/>
              <w:jc w:val="center"/>
              <w:rPr>
                <w:rFonts w:ascii="Arial" w:hAnsi="Arial" w:eastAsia="宋体" w:cs="Arial"/>
                <w:spacing w:val="10"/>
                <w:sz w:val="21"/>
                <w:szCs w:val="21"/>
                <w:u w:val="single"/>
              </w:rPr>
            </w:pPr>
            <w:r>
              <w:rPr>
                <w:rFonts w:hint="eastAsia" w:ascii="Arial" w:hAnsi="Arial" w:eastAsia="宋体" w:cs="Arial"/>
                <w:spacing w:val="10"/>
                <w:sz w:val="21"/>
                <w:szCs w:val="21"/>
                <w:u w:val="single"/>
              </w:rPr>
              <w:t>6.35</w:t>
            </w:r>
          </w:p>
        </w:tc>
      </w:tr>
      <w:tr w14:paraId="6C29A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right w:val="single" w:color="auto" w:sz="4" w:space="0"/>
            </w:tcBorders>
            <w:vAlign w:val="center"/>
          </w:tcPr>
          <w:p w14:paraId="4BB20ABE">
            <w:pPr>
              <w:spacing w:line="240" w:lineRule="exact"/>
              <w:jc w:val="center"/>
              <w:rPr>
                <w:rFonts w:ascii="Arial" w:hAnsi="Arial" w:eastAsia="宋体" w:cs="Arial"/>
                <w:spacing w:val="10"/>
                <w:sz w:val="21"/>
                <w:szCs w:val="21"/>
                <w:u w:val="single"/>
              </w:rPr>
            </w:pPr>
          </w:p>
        </w:tc>
        <w:tc>
          <w:tcPr>
            <w:tcW w:w="623" w:type="pct"/>
            <w:tcBorders>
              <w:top w:val="single" w:color="auto" w:sz="4" w:space="0"/>
              <w:left w:val="single" w:color="auto" w:sz="4" w:space="0"/>
              <w:bottom w:val="single" w:color="auto" w:sz="4" w:space="0"/>
              <w:right w:val="single" w:color="auto" w:sz="4" w:space="0"/>
            </w:tcBorders>
            <w:vAlign w:val="center"/>
          </w:tcPr>
          <w:p w14:paraId="085304C0">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敏感目标名称</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73E9F889">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到达时间/d</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71F0A836">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超标时间/d</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387216FB">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超标持续时间/d</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0BE85C4D">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最大浓度（mg/L）</w:t>
            </w:r>
          </w:p>
        </w:tc>
      </w:tr>
      <w:tr w14:paraId="57B57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bottom w:val="single" w:color="auto" w:sz="4" w:space="0"/>
              <w:right w:val="single" w:color="auto" w:sz="4" w:space="0"/>
            </w:tcBorders>
            <w:vAlign w:val="center"/>
          </w:tcPr>
          <w:p w14:paraId="14735CAB">
            <w:pPr>
              <w:spacing w:line="240" w:lineRule="exact"/>
              <w:jc w:val="center"/>
              <w:rPr>
                <w:rFonts w:ascii="Arial" w:hAnsi="Arial" w:eastAsia="宋体" w:cs="Arial"/>
                <w:spacing w:val="10"/>
                <w:sz w:val="21"/>
                <w:szCs w:val="21"/>
                <w:u w:val="single"/>
              </w:rPr>
            </w:pPr>
          </w:p>
        </w:tc>
        <w:tc>
          <w:tcPr>
            <w:tcW w:w="623" w:type="pct"/>
            <w:tcBorders>
              <w:top w:val="single" w:color="auto" w:sz="4" w:space="0"/>
              <w:left w:val="single" w:color="auto" w:sz="4" w:space="0"/>
              <w:bottom w:val="single" w:color="auto" w:sz="4" w:space="0"/>
              <w:right w:val="single" w:color="auto" w:sz="4" w:space="0"/>
            </w:tcBorders>
            <w:vAlign w:val="center"/>
          </w:tcPr>
          <w:p w14:paraId="28B6D1E2">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无</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089E82B4">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4408DE53">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2345F311">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4D8A8FA4">
            <w:pPr>
              <w:spacing w:line="240" w:lineRule="exact"/>
              <w:jc w:val="center"/>
              <w:rPr>
                <w:rFonts w:ascii="Arial" w:hAnsi="Arial" w:eastAsia="宋体" w:cs="Arial"/>
                <w:spacing w:val="10"/>
                <w:sz w:val="21"/>
                <w:szCs w:val="21"/>
                <w:u w:val="single"/>
              </w:rPr>
            </w:pPr>
            <w:r>
              <w:rPr>
                <w:rFonts w:ascii="Arial" w:hAnsi="Arial" w:eastAsia="宋体" w:cs="Arial"/>
                <w:spacing w:val="10"/>
                <w:sz w:val="21"/>
                <w:szCs w:val="21"/>
                <w:u w:val="single"/>
              </w:rPr>
              <w:t>/</w:t>
            </w:r>
          </w:p>
        </w:tc>
      </w:tr>
      <w:tr w14:paraId="0BAD6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tcBorders>
              <w:top w:val="single" w:color="auto" w:sz="4" w:space="0"/>
              <w:left w:val="single" w:color="auto" w:sz="4" w:space="0"/>
              <w:right w:val="single" w:color="auto" w:sz="4" w:space="0"/>
            </w:tcBorders>
            <w:vAlign w:val="center"/>
          </w:tcPr>
          <w:p w14:paraId="679C33DF">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氨氮</w:t>
            </w:r>
          </w:p>
        </w:tc>
        <w:tc>
          <w:tcPr>
            <w:tcW w:w="623" w:type="pct"/>
            <w:tcBorders>
              <w:top w:val="single" w:color="auto" w:sz="4" w:space="0"/>
              <w:left w:val="single" w:color="auto" w:sz="4" w:space="0"/>
              <w:bottom w:val="single" w:color="auto" w:sz="4" w:space="0"/>
              <w:right w:val="single" w:color="auto" w:sz="4" w:space="0"/>
            </w:tcBorders>
            <w:vAlign w:val="center"/>
          </w:tcPr>
          <w:p w14:paraId="6E7EED31">
            <w:pPr>
              <w:spacing w:line="240" w:lineRule="exact"/>
              <w:jc w:val="center"/>
              <w:rPr>
                <w:rFonts w:ascii="Arial" w:hAnsi="Arial" w:eastAsia="宋体" w:cs="Arial"/>
                <w:spacing w:val="10"/>
                <w:sz w:val="21"/>
                <w:szCs w:val="21"/>
              </w:rPr>
            </w:pPr>
            <w:r>
              <w:rPr>
                <w:rFonts w:ascii="Arial" w:hAnsi="Arial" w:eastAsia="宋体" w:cs="Arial"/>
                <w:spacing w:val="10"/>
                <w:sz w:val="21"/>
                <w:szCs w:val="21"/>
              </w:rPr>
              <w:t>厂区边界</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165E6252">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3DEE9E75">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0641D0F7">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25FA3AC5">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14:paraId="5E6E0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right w:val="single" w:color="auto" w:sz="4" w:space="0"/>
            </w:tcBorders>
            <w:vAlign w:val="center"/>
          </w:tcPr>
          <w:p w14:paraId="15CAECA4">
            <w:pPr>
              <w:spacing w:line="240" w:lineRule="exact"/>
              <w:jc w:val="center"/>
              <w:rPr>
                <w:rFonts w:ascii="Arial" w:hAnsi="Arial" w:eastAsia="宋体" w:cs="Arial"/>
                <w:spacing w:val="10"/>
                <w:sz w:val="21"/>
                <w:szCs w:val="21"/>
              </w:rPr>
            </w:pPr>
          </w:p>
        </w:tc>
        <w:tc>
          <w:tcPr>
            <w:tcW w:w="623" w:type="pct"/>
            <w:tcBorders>
              <w:top w:val="single" w:color="auto" w:sz="4" w:space="0"/>
              <w:left w:val="single" w:color="auto" w:sz="4" w:space="0"/>
              <w:bottom w:val="single" w:color="auto" w:sz="4" w:space="0"/>
              <w:right w:val="single" w:color="auto" w:sz="4" w:space="0"/>
            </w:tcBorders>
            <w:vAlign w:val="center"/>
          </w:tcPr>
          <w:p w14:paraId="24E505FA">
            <w:pPr>
              <w:spacing w:line="240" w:lineRule="exact"/>
              <w:jc w:val="center"/>
              <w:rPr>
                <w:rFonts w:ascii="Arial" w:hAnsi="Arial" w:eastAsia="宋体" w:cs="Arial"/>
                <w:spacing w:val="10"/>
                <w:sz w:val="21"/>
                <w:szCs w:val="21"/>
              </w:rPr>
            </w:pPr>
            <w:r>
              <w:rPr>
                <w:rFonts w:ascii="Arial" w:hAnsi="Arial" w:eastAsia="宋体" w:cs="Arial"/>
                <w:spacing w:val="10"/>
                <w:sz w:val="21"/>
                <w:szCs w:val="21"/>
              </w:rPr>
              <w:t>东面厂界</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01231CB8">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40</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3B116A9A">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263372C9">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1000</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1EC749FC">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15.45</w:t>
            </w:r>
          </w:p>
        </w:tc>
      </w:tr>
      <w:tr w14:paraId="6EDE6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right w:val="single" w:color="auto" w:sz="4" w:space="0"/>
            </w:tcBorders>
            <w:vAlign w:val="center"/>
          </w:tcPr>
          <w:p w14:paraId="3F3043E9">
            <w:pPr>
              <w:spacing w:line="240" w:lineRule="exact"/>
              <w:jc w:val="center"/>
              <w:rPr>
                <w:rFonts w:ascii="Arial" w:hAnsi="Arial" w:eastAsia="宋体" w:cs="Arial"/>
                <w:spacing w:val="10"/>
                <w:sz w:val="21"/>
                <w:szCs w:val="21"/>
              </w:rPr>
            </w:pPr>
          </w:p>
        </w:tc>
        <w:tc>
          <w:tcPr>
            <w:tcW w:w="623" w:type="pct"/>
            <w:tcBorders>
              <w:top w:val="single" w:color="auto" w:sz="4" w:space="0"/>
              <w:left w:val="single" w:color="auto" w:sz="4" w:space="0"/>
              <w:bottom w:val="single" w:color="auto" w:sz="4" w:space="0"/>
              <w:right w:val="single" w:color="auto" w:sz="4" w:space="0"/>
            </w:tcBorders>
            <w:vAlign w:val="center"/>
          </w:tcPr>
          <w:p w14:paraId="39AA0694">
            <w:pPr>
              <w:spacing w:line="240" w:lineRule="exact"/>
              <w:jc w:val="center"/>
              <w:rPr>
                <w:rFonts w:ascii="Arial" w:hAnsi="Arial" w:eastAsia="宋体" w:cs="Arial"/>
                <w:spacing w:val="10"/>
                <w:sz w:val="21"/>
                <w:szCs w:val="21"/>
              </w:rPr>
            </w:pPr>
            <w:r>
              <w:rPr>
                <w:rFonts w:ascii="Arial" w:hAnsi="Arial" w:eastAsia="宋体" w:cs="Arial"/>
                <w:spacing w:val="10"/>
                <w:sz w:val="21"/>
                <w:szCs w:val="21"/>
              </w:rPr>
              <w:t>敏感目标名称</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4ACB39CD">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717545BC">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3B013C73">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3978EB0F">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14:paraId="697B5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right w:val="single" w:color="auto" w:sz="4" w:space="0"/>
            </w:tcBorders>
            <w:vAlign w:val="center"/>
          </w:tcPr>
          <w:p w14:paraId="65D97626">
            <w:pPr>
              <w:spacing w:line="240" w:lineRule="exact"/>
              <w:jc w:val="center"/>
              <w:rPr>
                <w:rFonts w:ascii="Arial" w:hAnsi="Arial" w:eastAsia="宋体" w:cs="Arial"/>
                <w:spacing w:val="10"/>
                <w:sz w:val="21"/>
                <w:szCs w:val="21"/>
              </w:rPr>
            </w:pPr>
          </w:p>
        </w:tc>
        <w:tc>
          <w:tcPr>
            <w:tcW w:w="623" w:type="pct"/>
            <w:tcBorders>
              <w:top w:val="single" w:color="auto" w:sz="4" w:space="0"/>
              <w:left w:val="single" w:color="auto" w:sz="4" w:space="0"/>
              <w:bottom w:val="single" w:color="auto" w:sz="4" w:space="0"/>
              <w:right w:val="single" w:color="auto" w:sz="4" w:space="0"/>
            </w:tcBorders>
            <w:vAlign w:val="center"/>
          </w:tcPr>
          <w:p w14:paraId="62968D4F">
            <w:pPr>
              <w:spacing w:line="240" w:lineRule="exact"/>
              <w:jc w:val="center"/>
              <w:rPr>
                <w:rFonts w:ascii="Arial" w:hAnsi="Arial" w:eastAsia="宋体" w:cs="Arial"/>
                <w:spacing w:val="10"/>
                <w:sz w:val="21"/>
                <w:szCs w:val="21"/>
              </w:rPr>
            </w:pPr>
            <w:r>
              <w:rPr>
                <w:rFonts w:ascii="Arial" w:hAnsi="Arial" w:eastAsia="宋体" w:cs="Arial"/>
                <w:spacing w:val="10"/>
                <w:sz w:val="21"/>
                <w:szCs w:val="21"/>
              </w:rPr>
              <w:t>无</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44B7F30E">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5FF43461">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368A5457">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73D2650B">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r>
      <w:tr w14:paraId="7BD4C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restart"/>
            <w:tcBorders>
              <w:left w:val="single" w:color="auto" w:sz="4" w:space="0"/>
              <w:right w:val="single" w:color="auto" w:sz="4" w:space="0"/>
            </w:tcBorders>
            <w:vAlign w:val="center"/>
          </w:tcPr>
          <w:p w14:paraId="3BA7B308">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硫酸盐</w:t>
            </w:r>
          </w:p>
        </w:tc>
        <w:tc>
          <w:tcPr>
            <w:tcW w:w="623" w:type="pct"/>
            <w:tcBorders>
              <w:top w:val="single" w:color="auto" w:sz="4" w:space="0"/>
              <w:left w:val="single" w:color="auto" w:sz="4" w:space="0"/>
              <w:bottom w:val="single" w:color="auto" w:sz="4" w:space="0"/>
              <w:right w:val="single" w:color="auto" w:sz="4" w:space="0"/>
            </w:tcBorders>
            <w:vAlign w:val="center"/>
          </w:tcPr>
          <w:p w14:paraId="2B8C0A15">
            <w:pPr>
              <w:spacing w:line="240" w:lineRule="exact"/>
              <w:jc w:val="center"/>
              <w:rPr>
                <w:rFonts w:ascii="Arial" w:hAnsi="Arial" w:eastAsia="宋体" w:cs="Arial"/>
                <w:spacing w:val="10"/>
                <w:sz w:val="21"/>
                <w:szCs w:val="21"/>
              </w:rPr>
            </w:pPr>
            <w:r>
              <w:rPr>
                <w:rFonts w:ascii="Arial" w:hAnsi="Arial" w:eastAsia="宋体" w:cs="Arial"/>
                <w:spacing w:val="10"/>
                <w:sz w:val="21"/>
                <w:szCs w:val="21"/>
              </w:rPr>
              <w:t>厂区边界</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366B88BE">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5669B4F1">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304F6C2D">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71F5C007">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14:paraId="433B4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right w:val="single" w:color="auto" w:sz="4" w:space="0"/>
            </w:tcBorders>
            <w:vAlign w:val="center"/>
          </w:tcPr>
          <w:p w14:paraId="2D52520D">
            <w:pPr>
              <w:spacing w:line="240" w:lineRule="exact"/>
              <w:jc w:val="center"/>
              <w:rPr>
                <w:rFonts w:ascii="Arial" w:hAnsi="Arial" w:eastAsia="宋体" w:cs="Arial"/>
                <w:spacing w:val="10"/>
                <w:sz w:val="21"/>
                <w:szCs w:val="21"/>
              </w:rPr>
            </w:pPr>
          </w:p>
        </w:tc>
        <w:tc>
          <w:tcPr>
            <w:tcW w:w="623" w:type="pct"/>
            <w:tcBorders>
              <w:top w:val="single" w:color="auto" w:sz="4" w:space="0"/>
              <w:left w:val="single" w:color="auto" w:sz="4" w:space="0"/>
              <w:bottom w:val="single" w:color="auto" w:sz="4" w:space="0"/>
              <w:right w:val="single" w:color="auto" w:sz="4" w:space="0"/>
            </w:tcBorders>
            <w:vAlign w:val="center"/>
          </w:tcPr>
          <w:p w14:paraId="4A2279F0">
            <w:pPr>
              <w:spacing w:line="240" w:lineRule="exact"/>
              <w:jc w:val="center"/>
              <w:rPr>
                <w:rFonts w:ascii="Arial" w:hAnsi="Arial" w:eastAsia="宋体" w:cs="Arial"/>
                <w:spacing w:val="10"/>
                <w:sz w:val="21"/>
                <w:szCs w:val="21"/>
              </w:rPr>
            </w:pPr>
            <w:r>
              <w:rPr>
                <w:rFonts w:ascii="Arial" w:hAnsi="Arial" w:eastAsia="宋体" w:cs="Arial"/>
                <w:spacing w:val="10"/>
                <w:sz w:val="21"/>
                <w:szCs w:val="21"/>
              </w:rPr>
              <w:t>东面厂界</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27ACD563">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34</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2C8311B4">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3B4AFEF5">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1000</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4723CB4E">
            <w:pPr>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1084.5</w:t>
            </w:r>
          </w:p>
        </w:tc>
      </w:tr>
      <w:tr w14:paraId="1D5D3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right w:val="single" w:color="auto" w:sz="4" w:space="0"/>
            </w:tcBorders>
            <w:vAlign w:val="center"/>
          </w:tcPr>
          <w:p w14:paraId="5362014E">
            <w:pPr>
              <w:spacing w:line="240" w:lineRule="exact"/>
              <w:jc w:val="center"/>
              <w:rPr>
                <w:rFonts w:ascii="Arial" w:hAnsi="Arial" w:eastAsia="宋体" w:cs="Arial"/>
                <w:spacing w:val="10"/>
                <w:sz w:val="21"/>
                <w:szCs w:val="21"/>
              </w:rPr>
            </w:pPr>
          </w:p>
        </w:tc>
        <w:tc>
          <w:tcPr>
            <w:tcW w:w="623" w:type="pct"/>
            <w:tcBorders>
              <w:top w:val="single" w:color="auto" w:sz="4" w:space="0"/>
              <w:left w:val="single" w:color="auto" w:sz="4" w:space="0"/>
              <w:bottom w:val="single" w:color="auto" w:sz="4" w:space="0"/>
              <w:right w:val="single" w:color="auto" w:sz="4" w:space="0"/>
            </w:tcBorders>
            <w:vAlign w:val="center"/>
          </w:tcPr>
          <w:p w14:paraId="71D8EE97">
            <w:pPr>
              <w:spacing w:line="240" w:lineRule="exact"/>
              <w:jc w:val="center"/>
              <w:rPr>
                <w:rFonts w:ascii="Arial" w:hAnsi="Arial" w:eastAsia="宋体" w:cs="Arial"/>
                <w:spacing w:val="10"/>
                <w:sz w:val="21"/>
                <w:szCs w:val="21"/>
              </w:rPr>
            </w:pPr>
            <w:r>
              <w:rPr>
                <w:rFonts w:ascii="Arial" w:hAnsi="Arial" w:eastAsia="宋体" w:cs="Arial"/>
                <w:spacing w:val="10"/>
                <w:sz w:val="21"/>
                <w:szCs w:val="21"/>
              </w:rPr>
              <w:t>敏感目标名称</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2A460E38">
            <w:pPr>
              <w:spacing w:line="240" w:lineRule="exact"/>
              <w:jc w:val="center"/>
              <w:rPr>
                <w:rFonts w:ascii="Arial" w:hAnsi="Arial" w:eastAsia="宋体" w:cs="Arial"/>
                <w:spacing w:val="10"/>
                <w:sz w:val="21"/>
                <w:szCs w:val="21"/>
              </w:rPr>
            </w:pPr>
            <w:r>
              <w:rPr>
                <w:rFonts w:ascii="Arial" w:hAnsi="Arial" w:eastAsia="宋体" w:cs="Arial"/>
                <w:spacing w:val="10"/>
                <w:sz w:val="21"/>
                <w:szCs w:val="21"/>
              </w:rPr>
              <w:t>到达时间/d</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5C9C3B74">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超标时间/d</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70A1CB6C">
            <w:pPr>
              <w:spacing w:line="240" w:lineRule="exact"/>
              <w:jc w:val="center"/>
              <w:rPr>
                <w:rFonts w:ascii="Arial" w:hAnsi="Arial" w:eastAsia="宋体" w:cs="Arial"/>
                <w:spacing w:val="10"/>
                <w:sz w:val="21"/>
                <w:szCs w:val="21"/>
              </w:rPr>
            </w:pPr>
            <w:r>
              <w:rPr>
                <w:rFonts w:ascii="Arial" w:hAnsi="Arial" w:eastAsia="宋体" w:cs="Arial"/>
                <w:spacing w:val="10"/>
                <w:sz w:val="21"/>
                <w:szCs w:val="21"/>
              </w:rPr>
              <w:t>超标持续时间/d</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0A05D8DC">
            <w:pPr>
              <w:spacing w:line="240" w:lineRule="exact"/>
              <w:jc w:val="center"/>
              <w:rPr>
                <w:rFonts w:ascii="Arial" w:hAnsi="Arial" w:eastAsia="宋体" w:cs="Arial"/>
                <w:spacing w:val="10"/>
                <w:sz w:val="21"/>
                <w:szCs w:val="21"/>
              </w:rPr>
            </w:pPr>
            <w:r>
              <w:rPr>
                <w:rFonts w:ascii="Arial" w:hAnsi="Arial" w:eastAsia="宋体" w:cs="Arial"/>
                <w:spacing w:val="10"/>
                <w:sz w:val="21"/>
                <w:szCs w:val="21"/>
              </w:rPr>
              <w:t>最大浓度（mg/L）</w:t>
            </w:r>
          </w:p>
        </w:tc>
      </w:tr>
      <w:tr w14:paraId="14716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tcBorders>
              <w:left w:val="single" w:color="auto" w:sz="4" w:space="0"/>
              <w:bottom w:val="single" w:color="auto" w:sz="4" w:space="0"/>
              <w:right w:val="single" w:color="auto" w:sz="4" w:space="0"/>
            </w:tcBorders>
            <w:vAlign w:val="center"/>
          </w:tcPr>
          <w:p w14:paraId="1BE1322C">
            <w:pPr>
              <w:spacing w:line="240" w:lineRule="exact"/>
              <w:jc w:val="center"/>
              <w:rPr>
                <w:rFonts w:ascii="Arial" w:hAnsi="Arial" w:eastAsia="宋体" w:cs="Arial"/>
                <w:spacing w:val="10"/>
                <w:sz w:val="21"/>
                <w:szCs w:val="21"/>
              </w:rPr>
            </w:pPr>
          </w:p>
        </w:tc>
        <w:tc>
          <w:tcPr>
            <w:tcW w:w="623" w:type="pct"/>
            <w:tcBorders>
              <w:top w:val="single" w:color="auto" w:sz="4" w:space="0"/>
              <w:left w:val="single" w:color="auto" w:sz="4" w:space="0"/>
              <w:bottom w:val="single" w:color="auto" w:sz="4" w:space="0"/>
              <w:right w:val="single" w:color="auto" w:sz="4" w:space="0"/>
            </w:tcBorders>
            <w:vAlign w:val="center"/>
          </w:tcPr>
          <w:p w14:paraId="294E9349">
            <w:pPr>
              <w:spacing w:line="240" w:lineRule="exact"/>
              <w:jc w:val="center"/>
              <w:rPr>
                <w:rFonts w:ascii="Arial" w:hAnsi="Arial" w:eastAsia="宋体" w:cs="Arial"/>
                <w:spacing w:val="10"/>
                <w:sz w:val="21"/>
                <w:szCs w:val="21"/>
              </w:rPr>
            </w:pPr>
            <w:r>
              <w:rPr>
                <w:rFonts w:ascii="Arial" w:hAnsi="Arial" w:eastAsia="宋体" w:cs="Arial"/>
                <w:spacing w:val="10"/>
                <w:sz w:val="21"/>
                <w:szCs w:val="21"/>
              </w:rPr>
              <w:t>无</w:t>
            </w:r>
          </w:p>
        </w:tc>
        <w:tc>
          <w:tcPr>
            <w:tcW w:w="763" w:type="pct"/>
            <w:gridSpan w:val="2"/>
            <w:tcBorders>
              <w:top w:val="single" w:color="auto" w:sz="4" w:space="0"/>
              <w:left w:val="single" w:color="auto" w:sz="4" w:space="0"/>
              <w:bottom w:val="single" w:color="auto" w:sz="4" w:space="0"/>
              <w:right w:val="single" w:color="auto" w:sz="4" w:space="0"/>
            </w:tcBorders>
            <w:vAlign w:val="center"/>
          </w:tcPr>
          <w:p w14:paraId="46750E11">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755" w:type="pct"/>
            <w:gridSpan w:val="2"/>
            <w:tcBorders>
              <w:top w:val="single" w:color="auto" w:sz="4" w:space="0"/>
              <w:left w:val="single" w:color="auto" w:sz="4" w:space="0"/>
              <w:bottom w:val="single" w:color="auto" w:sz="4" w:space="0"/>
              <w:right w:val="single" w:color="auto" w:sz="4" w:space="0"/>
            </w:tcBorders>
            <w:vAlign w:val="center"/>
          </w:tcPr>
          <w:p w14:paraId="13A98502">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052" w:type="pct"/>
            <w:gridSpan w:val="2"/>
            <w:tcBorders>
              <w:top w:val="single" w:color="auto" w:sz="4" w:space="0"/>
              <w:left w:val="single" w:color="auto" w:sz="4" w:space="0"/>
              <w:bottom w:val="single" w:color="auto" w:sz="4" w:space="0"/>
              <w:right w:val="single" w:color="auto" w:sz="4" w:space="0"/>
            </w:tcBorders>
            <w:vAlign w:val="center"/>
          </w:tcPr>
          <w:p w14:paraId="6960679B">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c>
          <w:tcPr>
            <w:tcW w:w="1078" w:type="pct"/>
            <w:gridSpan w:val="2"/>
            <w:tcBorders>
              <w:top w:val="single" w:color="auto" w:sz="4" w:space="0"/>
              <w:left w:val="single" w:color="auto" w:sz="4" w:space="0"/>
              <w:bottom w:val="single" w:color="auto" w:sz="4" w:space="0"/>
              <w:right w:val="single" w:color="auto" w:sz="4" w:space="0"/>
            </w:tcBorders>
            <w:vAlign w:val="center"/>
          </w:tcPr>
          <w:p w14:paraId="327382E5">
            <w:pPr>
              <w:spacing w:line="240" w:lineRule="exact"/>
              <w:jc w:val="center"/>
              <w:rPr>
                <w:rFonts w:ascii="Arial" w:hAnsi="Arial" w:eastAsia="宋体" w:cs="Arial"/>
                <w:spacing w:val="10"/>
                <w:sz w:val="21"/>
                <w:szCs w:val="21"/>
              </w:rPr>
            </w:pPr>
            <w:r>
              <w:rPr>
                <w:rFonts w:ascii="Arial" w:hAnsi="Arial" w:eastAsia="宋体" w:cs="Arial"/>
                <w:spacing w:val="10"/>
                <w:sz w:val="21"/>
                <w:szCs w:val="21"/>
              </w:rPr>
              <w:t>/</w:t>
            </w:r>
          </w:p>
        </w:tc>
      </w:tr>
    </w:tbl>
    <w:p w14:paraId="5C7D1E3E">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风险防范措施</w:t>
      </w:r>
    </w:p>
    <w:p w14:paraId="46FE117B">
      <w:pPr>
        <w:numPr>
          <w:ilvl w:val="0"/>
          <w:numId w:val="34"/>
        </w:numPr>
        <w:spacing w:line="500" w:lineRule="exact"/>
        <w:outlineLvl w:val="3"/>
        <w:rPr>
          <w:rFonts w:ascii="Arial" w:hAnsi="Arial" w:eastAsia="宋体" w:cs="Arial"/>
          <w:b/>
          <w:sz w:val="24"/>
          <w:szCs w:val="24"/>
        </w:rPr>
      </w:pPr>
      <w:r>
        <w:rPr>
          <w:rFonts w:ascii="Arial" w:hAnsi="Arial" w:eastAsia="宋体" w:cs="Arial"/>
          <w:b/>
          <w:sz w:val="24"/>
          <w:szCs w:val="24"/>
        </w:rPr>
        <w:t>园区相关风险防范措施</w:t>
      </w:r>
    </w:p>
    <w:p w14:paraId="1BF1772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园区风险防范措施如下：</w:t>
      </w:r>
    </w:p>
    <w:p w14:paraId="1975A482">
      <w:pPr>
        <w:spacing w:line="500" w:lineRule="exact"/>
        <w:ind w:firstLine="490" w:firstLineChars="200"/>
        <w:rPr>
          <w:rFonts w:ascii="Arial" w:hAnsi="Arial" w:eastAsia="宋体" w:cs="Arial"/>
          <w:b/>
          <w:spacing w:val="10"/>
          <w:sz w:val="24"/>
          <w:szCs w:val="24"/>
        </w:rPr>
      </w:pPr>
      <w:r>
        <w:rPr>
          <w:rFonts w:ascii="Arial" w:hAnsi="Arial" w:eastAsia="宋体" w:cs="Arial"/>
          <w:b/>
          <w:spacing w:val="10"/>
          <w:sz w:val="24"/>
          <w:szCs w:val="24"/>
        </w:rPr>
        <w:t>1.危险化学品使用、贮存和运输过程环境风险防范措施</w:t>
      </w:r>
    </w:p>
    <w:p w14:paraId="5134DAA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危险化学品使用一定要严格按照《危险化学品安全管理条例》、《化学危险品安全处理条例实时细则》（化劳发〔1992〕667号）、《工作场所安全使用化学危险品规定》（劳部发〔1996〕423号）、《广西壮族自治区实施&lt;危险化学品安全管理条例&gt;办法》（广西壮族自治区人民政府令第6号）等法律法规，对所使用的危险化学品的安全使用、贮存、运输、装卸等相应规定进行。</w:t>
      </w:r>
    </w:p>
    <w:p w14:paraId="73B61BA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（2）防火、防爆措施</w:t>
      </w:r>
    </w:p>
    <w:p w14:paraId="2C50AD37">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①</w:t>
      </w:r>
      <w:r>
        <w:rPr>
          <w:rFonts w:ascii="Arial" w:hAnsi="Arial" w:eastAsia="宋体" w:cs="Arial"/>
          <w:spacing w:val="10"/>
          <w:sz w:val="24"/>
          <w:szCs w:val="24"/>
        </w:rPr>
        <w:t>在设计中严格执行有关防火、防爆规范和规定，严格执行各有关建筑物的防火间距。为防止存在爆炸和火灾危险的气体从设备泄漏，应设置监控仪器及报警装置，组成严密的消防系统。采取可行的防雷防静电措施，确保安全。</w:t>
      </w:r>
    </w:p>
    <w:p w14:paraId="2E11EA14">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②</w:t>
      </w:r>
      <w:r>
        <w:rPr>
          <w:rFonts w:ascii="Arial" w:hAnsi="Arial" w:eastAsia="宋体" w:cs="Arial"/>
          <w:spacing w:val="10"/>
          <w:sz w:val="24"/>
          <w:szCs w:val="24"/>
        </w:rPr>
        <w:t>在建、构筑物的单体设计中，严格按照要求的耐火等级，在结构形式及材料选用上均需满足防火、防爆要求。各装置均设置应急和消防设备等。</w:t>
      </w:r>
    </w:p>
    <w:p w14:paraId="004DC59B">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③</w:t>
      </w:r>
      <w:r>
        <w:rPr>
          <w:rFonts w:ascii="Arial" w:hAnsi="Arial" w:eastAsia="宋体" w:cs="Arial"/>
          <w:spacing w:val="10"/>
          <w:sz w:val="24"/>
          <w:szCs w:val="24"/>
        </w:rPr>
        <w:t>在总图布置上，严格按照防火、防爆要求，保证各厂房间防火间距，同时还考虑消防通道的畅通，根据厂区的具体条件设置必要的消火栓和消防管网。</w:t>
      </w:r>
    </w:p>
    <w:p w14:paraId="42A27199">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④</w:t>
      </w:r>
      <w:r>
        <w:rPr>
          <w:rFonts w:ascii="Arial" w:hAnsi="Arial" w:eastAsia="宋体" w:cs="Arial"/>
          <w:spacing w:val="10"/>
          <w:sz w:val="24"/>
          <w:szCs w:val="24"/>
        </w:rPr>
        <w:t>电气和仪表的设计中严格按照电气防爆设计规范执行，设计中将能产生电火花的设备放在远离现场的配电室内，并采用密闭电器。对于确定为防爆场所的厂房，按爆炸危险场所类别、等级、范围选择电气设备，设计良好的接地系统，保证电机和电缆不出现危险的接触电压，对于仪表灯、按钮、保护装置应选用密闭型。</w:t>
      </w:r>
    </w:p>
    <w:p w14:paraId="6CECCD74">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⑤</w:t>
      </w:r>
      <w:r>
        <w:rPr>
          <w:rFonts w:ascii="Arial" w:hAnsi="Arial" w:eastAsia="宋体" w:cs="Arial"/>
          <w:spacing w:val="10"/>
          <w:sz w:val="24"/>
          <w:szCs w:val="24"/>
        </w:rPr>
        <w:t>电气设计中，需按防雷、防静电规划要求，对使用易燃易爆介质的工艺设备及管道均作防静电接地处理。对于高大建构筑物均采用避雷针和避雷带相结合的避雷方式，并设置防感应雷装置。同时设有良好的接地系统，并连成接地网。</w:t>
      </w:r>
    </w:p>
    <w:p w14:paraId="5392BF52">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⑥</w:t>
      </w:r>
      <w:r>
        <w:rPr>
          <w:rFonts w:ascii="Arial" w:hAnsi="Arial" w:eastAsia="宋体" w:cs="Arial"/>
          <w:spacing w:val="10"/>
          <w:sz w:val="24"/>
          <w:szCs w:val="24"/>
        </w:rPr>
        <w:t>自控设计中对重要的参数设置越限报警系统，调节系统在紧急状态下均可手动操作，对处于爆炸区域的操作室设正压通风。</w:t>
      </w:r>
    </w:p>
    <w:p w14:paraId="3FC28115">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⑦</w:t>
      </w:r>
      <w:r>
        <w:rPr>
          <w:rFonts w:ascii="Arial" w:hAnsi="Arial" w:eastAsia="宋体" w:cs="Arial"/>
          <w:spacing w:val="10"/>
          <w:sz w:val="24"/>
          <w:szCs w:val="24"/>
        </w:rPr>
        <w:t>根据危险品理化性质，在贮罐区设置相应的有效消防设施（如泡沫消防设施及喷淋水系统），防患于未然。</w:t>
      </w:r>
    </w:p>
    <w:p w14:paraId="23DEE9BB">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⑧</w:t>
      </w:r>
      <w:r>
        <w:rPr>
          <w:rFonts w:ascii="Arial" w:hAnsi="Arial" w:eastAsia="宋体" w:cs="Arial"/>
          <w:spacing w:val="10"/>
          <w:sz w:val="24"/>
          <w:szCs w:val="24"/>
        </w:rPr>
        <w:t>在易燃易爆车间、生产岗位及库房配备必要的消防器材及消防工具，如干粉灭火器等，这些器材应由专人保管，定期检查，以备事故时应急用。管理人员必须具备防火灭火知识。</w:t>
      </w:r>
    </w:p>
    <w:p w14:paraId="39B98260">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⑨</w:t>
      </w:r>
      <w:r>
        <w:rPr>
          <w:rFonts w:ascii="Arial" w:hAnsi="Arial" w:eastAsia="宋体" w:cs="Arial"/>
          <w:spacing w:val="10"/>
          <w:sz w:val="24"/>
          <w:szCs w:val="24"/>
        </w:rPr>
        <w:t>危险物品爆炸的防治：（a）对锅炉爆炸等物理爆炸的防治，首先是要求各入园企业选用质量符合国家标准的先进设备；其次是应对有关设备进行定期检查并进行必要的日常维护，保证其正常运转，消除爆炸隐患。锅炉的运行要严格遵守《蒸汽锅炉安全技术监察规程》。锅炉应装设高低水位警报器，锅炉用水水质应符合《低压锅炉水质标准》。运行的锅炉每两年应进行一次停炉内、外部检验；新锅炉运行的头两年及实际运行时间超过10年的锅炉，每年应进行一次内、外部检验；锅炉停止运行1年以上需恢复运行、受压元件经重大修理改造及重新运行1年后和锅炉运行对设备可靠性有怀疑等情况，均应进行内、外部检验；水压试验一般每 6 年进行一次；其次按 GB150-1998《钢制压力容器》对压力容器进行设计、制造和验收，参照《压力容器安全监察规程》、《锅炉压力容器安全监察暂行条例》，制定压力容器安全操作规程，并严格遵守和贯彻实施，确保压力容器安全运行，并定期对压力容器进行检验及维护。在压力容器发生爆炸时，应立即成立指挥中心，抢救受伤人员。（b）对化学爆炸的防治：一是对易燃易爆化学物品归类、单独存放一室，经常检查危险品贮藏情况，及时消除事故隐患；二是制定严格、完善的管理制度，加强对易燃易爆物品的管理；三是安装相应的预测报警装置；四是要求对有毒有害物质的使用一定要按照操作规程进行。（c）对粉尘爆炸的防治，首先要控制粉尘的产生和积聚，可采取加强通风、设除尘室、经常清扫、喷水雾、提高室内空气中相对湿度等措施。一般相对湿度提高到 65%，粉尘就不易在空气中悬浮，应控制车间粉尘浓度在10mg/m</w:t>
      </w:r>
      <w:r>
        <w:rPr>
          <w:rFonts w:ascii="Arial" w:hAnsi="Arial" w:eastAsia="宋体" w:cs="Arial"/>
          <w:spacing w:val="10"/>
          <w:sz w:val="24"/>
          <w:szCs w:val="24"/>
          <w:vertAlign w:val="superscript"/>
        </w:rPr>
        <w:t>3</w:t>
      </w:r>
      <w:r>
        <w:rPr>
          <w:rFonts w:ascii="Arial" w:hAnsi="Arial" w:eastAsia="宋体" w:cs="Arial"/>
          <w:spacing w:val="10"/>
          <w:sz w:val="24"/>
          <w:szCs w:val="24"/>
        </w:rPr>
        <w:t>以下，防止粉尘燃烧和爆炸；其次是控制爆炸范围，在相邻车间中设水幕，阻止爆炸延伸，厂房建筑要有泄压设施；第三是要严格控制火源，在有粉尘产生的车间严禁明火，加强设备、管道的密封设计，防止粉尘和腐蚀介质外泄。</w:t>
      </w:r>
    </w:p>
    <w:p w14:paraId="1CCB75B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（3）对操作人员加强安全知识教育，认真执行操作规程和安全规程，操作人员要配备个人防护用具。</w:t>
      </w:r>
    </w:p>
    <w:p w14:paraId="4470BDD5">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危险化学品的运输：易燃易爆物质和危险化学品的运输要按照国家有关规定的要求执行。同时要加强运输车辆的检修和保护，提高驾驶人员的驾驶技术和责任心。此外还要注意天气变化情况，在多雾、大风、暴雨的天气条件下不宜运输危险化学品，防止发生运输事故而引发环境污染事故的发生。</w:t>
      </w:r>
    </w:p>
    <w:p w14:paraId="342F7CFB">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（5）天然气管道运输环境风险防范措施</w:t>
      </w:r>
    </w:p>
    <w:p w14:paraId="1CDA728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设计阶段：优化路由，尽量避开居民区以及复杂地质段，以减少由于天然气泄漏引起的火灾、爆炸事故对居民的危害。对管道沿线人口密集、房屋距管线较近等敏感地区，提高设计系数，增加管线壁厚，以增强管道抵抗外部可能造成破坏的能力。设计选用质量可靠的管材和工艺设备，保证管道的带压运行安全，具备可靠安全泄压就地保护措施。管线采用防腐材料和牺牲阳极法相结合的方式可靠防腐。各设施采用高质量、高可靠性产品，关键部件和附件充分考虑工艺过程及物料特性的要求。为防止泄漏引起爆炸、燃烧、在站场的重要地点、控制室等设置可燃烧气体浓度探测报警装置。设置紧急截断阀和放空系统，可保障压力超限时不危害设施安全。站内电器设备、设施的选型、设计、安装及维护等均需符合规范。采取防雷和防静电设计。消防设计符合相关规范的要求。站场内配备一定数量的移动灭火器材；平面布置符合防火间距的要求。建筑结构耐火等级达到要求。</w:t>
      </w:r>
    </w:p>
    <w:p w14:paraId="0368EB4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施工阶段：严格挑选施工队伍，管道施工单位应持有劳动行政部门颁发的压力管道安装许可证。从事管道焊接以及无损检测的检测人员，必须按有关规定持证上岗。严格遵守施工规范，并有严格的施工监理制度，应由有资格的监理单位对施工质量进行监督、检查。对工程中所使用的设备及附件，应严格进行施工安装前的质量检验，检验合格后方可进行施工安装。施工过程中，施工单位编制“安全施工预案”，经相关部门批准后，再进行施工。进行水压试验，排除更多的存在焊缝和母材的缺陷，从而增加管道的安全性。施工完毕后，应由项目建设主管部门对管道的施工质量进行监督检验。</w:t>
      </w:r>
    </w:p>
    <w:p w14:paraId="6B17DAA3">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运营阶段：严格控制天然气的气质，定期检修，排除管内污物。定期检查管道安全保护系统(如截断阀、安全阀、放空系统等)，使管道在超压时能够得到安全处理。管道标志桩应尽可能清晰，特别是管道穿越铁路、公路时，标志桩可从不同的方位和角度看清。巡线员定期巡线，发现危及管道安全的情况及时处理和汇报。加大巡线频率，提高巡线的有效性，发现对管道安全有影响的行为，应及时制止、采取相应措施并向上级报告。在管道系统投产运行前，应制订出供正常、异常或紧急状态下的操作手册和维修手册，并对操作、维修人员进行培训，持证上岗。制订应急操作规程，在规程中应说明发生管道事故时应采取的操作步骤，规定抢修进度，限制事故的影响，另外还应说明与管道操作人员有关的安全问题。操作人员每周应进行安全活动，提高职工的安全意识，识别事故发生前的异常状态，并采取相应的措施。对重要的仪器设备有完善的检查项目、维护方法；按计划进行定期维护；有专门档案(包括维护记录档案)，文件齐全。对管道沿线的居民作好宣传，张贴《中华人民共和国石油天然气管道保护法》，加强居民认识。建设单位大修及事故抢修依托西气东输二线维抢修中心完成，该中心设在南宁，由于距离较远，运营期间应将其也纳入应急演练之内，同时寻求项目所在地地方抢维修队伍的支持。对管道两侧200m范围和站场厂界1000m内的受管道风险事故影响的集中居民区和社会关注区的居民作好事故应急宣传，保证一旦发生天然气泄漏事故时，能作出正确反应。建设单位应随时保持与管道沿线主管部门的联系，杜绝沿线设施建设过程中的占管、压管及其他破坏管道的活动，降低第三方破坏管道引发环境风险事故的可能性。</w:t>
      </w:r>
    </w:p>
    <w:p w14:paraId="0D2B8E1D">
      <w:pPr>
        <w:spacing w:line="500" w:lineRule="exact"/>
        <w:ind w:firstLine="490" w:firstLineChars="200"/>
        <w:rPr>
          <w:rFonts w:ascii="Arial" w:hAnsi="Arial" w:eastAsia="宋体" w:cs="Arial"/>
          <w:b/>
          <w:spacing w:val="10"/>
          <w:sz w:val="24"/>
          <w:szCs w:val="24"/>
        </w:rPr>
      </w:pPr>
      <w:r>
        <w:rPr>
          <w:rFonts w:ascii="Arial" w:hAnsi="Arial" w:eastAsia="宋体" w:cs="Arial"/>
          <w:b/>
          <w:spacing w:val="10"/>
          <w:sz w:val="24"/>
          <w:szCs w:val="24"/>
        </w:rPr>
        <w:t>2.生产设备故障及污染治理设施运行事故环境风险防范措施</w:t>
      </w:r>
    </w:p>
    <w:p w14:paraId="5AF79B6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（1）制定严格的工艺操作规程，加强安全监督和管理，对设备的运行进行实时监控，严格执行生产管理的规章制度和操作规程，对操作工人要加强技术培训，防止工人误操作而导致事故的发生。</w:t>
      </w:r>
    </w:p>
    <w:p w14:paraId="68122A2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（2）要合理安排生产和检修计划，降低设备故障的出现，对生产系统容易出现故障的设备要有一定数量的库存。</w:t>
      </w:r>
    </w:p>
    <w:p w14:paraId="1BE791D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（3）建立设备管理信息系统，注重设备状态监测和故障诊断，使设备管理从事后维修向预测预报过渡，降低设备突发故障率，避免重大事故发生。</w:t>
      </w:r>
    </w:p>
    <w:p w14:paraId="1DD32BD1">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加强污水处理站的管理，确保污水处理设施的正常运行；另外必须建立事故应急池，当发生污水处理设施事故时，可将废水临时排放到应急池中，并立即停止生产，抢修污水处理设施，待污水处理设施恢复运行后再恢复生产，同时将应急池内贮存的废水抽回污水处理站处理，杜绝废水直接外排。</w:t>
      </w:r>
    </w:p>
    <w:p w14:paraId="4944BFAD">
      <w:pPr>
        <w:spacing w:line="500" w:lineRule="exact"/>
        <w:ind w:firstLine="490" w:firstLineChars="200"/>
        <w:rPr>
          <w:rFonts w:ascii="Arial" w:hAnsi="Arial" w:eastAsia="宋体" w:cs="Arial"/>
          <w:b/>
          <w:spacing w:val="10"/>
          <w:sz w:val="24"/>
          <w:szCs w:val="24"/>
        </w:rPr>
      </w:pPr>
      <w:r>
        <w:rPr>
          <w:rFonts w:ascii="Arial" w:hAnsi="Arial" w:eastAsia="宋体" w:cs="Arial"/>
          <w:b/>
          <w:spacing w:val="10"/>
          <w:sz w:val="24"/>
          <w:szCs w:val="24"/>
        </w:rPr>
        <w:t>3.固废风险防范措施</w:t>
      </w:r>
    </w:p>
    <w:p w14:paraId="6D7A2603">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要按照《一般工业固体废物贮存和填埋污染控制标准》、《危险废物贮存污染控制标准》的要求对固体废物进行企业内暂存，并定期清理外运。</w:t>
      </w:r>
    </w:p>
    <w:p w14:paraId="02113CF3">
      <w:pPr>
        <w:numPr>
          <w:ilvl w:val="0"/>
          <w:numId w:val="34"/>
        </w:numPr>
        <w:spacing w:line="500" w:lineRule="exact"/>
        <w:outlineLvl w:val="3"/>
        <w:rPr>
          <w:rFonts w:ascii="Arial" w:hAnsi="Arial" w:eastAsia="宋体" w:cs="Arial"/>
          <w:b/>
          <w:sz w:val="24"/>
          <w:szCs w:val="24"/>
        </w:rPr>
      </w:pPr>
      <w:r>
        <w:rPr>
          <w:rFonts w:hint="eastAsia" w:ascii="Arial" w:hAnsi="Arial" w:eastAsia="宋体" w:cs="Arial"/>
          <w:b/>
          <w:sz w:val="24"/>
          <w:szCs w:val="24"/>
        </w:rPr>
        <w:t>企业已有的</w:t>
      </w:r>
      <w:r>
        <w:rPr>
          <w:rFonts w:ascii="Arial" w:hAnsi="Arial" w:eastAsia="宋体" w:cs="Arial"/>
          <w:b/>
          <w:sz w:val="24"/>
          <w:szCs w:val="24"/>
        </w:rPr>
        <w:t>主要风险防范措施</w:t>
      </w:r>
    </w:p>
    <w:p w14:paraId="6A5BF37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w:t>
      </w:r>
      <w:r>
        <w:rPr>
          <w:rFonts w:hint="eastAsia" w:ascii="Arial" w:hAnsi="Arial" w:eastAsia="宋体" w:cs="Arial"/>
          <w:spacing w:val="10"/>
          <w:sz w:val="24"/>
          <w:szCs w:val="24"/>
        </w:rPr>
        <w:t>已有的</w:t>
      </w:r>
      <w:r>
        <w:rPr>
          <w:rFonts w:ascii="Arial" w:hAnsi="Arial" w:eastAsia="宋体" w:cs="Arial"/>
          <w:spacing w:val="10"/>
          <w:sz w:val="24"/>
          <w:szCs w:val="24"/>
        </w:rPr>
        <w:t>地表水风险防范措施</w:t>
      </w:r>
    </w:p>
    <w:p w14:paraId="649911F9">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（1）三级风险防范</w:t>
      </w:r>
      <w:r>
        <w:rPr>
          <w:rFonts w:hint="eastAsia" w:ascii="Arial" w:hAnsi="Arial" w:eastAsia="宋体" w:cs="Arial"/>
          <w:spacing w:val="10"/>
          <w:sz w:val="24"/>
          <w:szCs w:val="24"/>
        </w:rPr>
        <w:t>体系</w:t>
      </w:r>
    </w:p>
    <w:p w14:paraId="5F536F32">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①</w:t>
      </w:r>
      <w:r>
        <w:rPr>
          <w:rFonts w:ascii="Arial" w:hAnsi="Arial" w:eastAsia="宋体" w:cs="Arial"/>
          <w:spacing w:val="10"/>
          <w:sz w:val="24"/>
          <w:szCs w:val="24"/>
        </w:rPr>
        <w:t>一级风险防范措施—地沟及围堰</w:t>
      </w:r>
    </w:p>
    <w:p w14:paraId="1EDDC707">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装置区</w:t>
      </w:r>
      <w:r>
        <w:rPr>
          <w:rFonts w:hint="eastAsia" w:ascii="Arial" w:hAnsi="Arial" w:eastAsia="宋体" w:cs="Arial"/>
          <w:spacing w:val="10"/>
          <w:sz w:val="24"/>
          <w:szCs w:val="24"/>
        </w:rPr>
        <w:t>、</w:t>
      </w:r>
      <w:r>
        <w:rPr>
          <w:rFonts w:ascii="Arial" w:hAnsi="Arial" w:eastAsia="宋体" w:cs="Arial"/>
          <w:spacing w:val="10"/>
          <w:sz w:val="24"/>
          <w:szCs w:val="24"/>
        </w:rPr>
        <w:t>罐区</w:t>
      </w:r>
      <w:r>
        <w:rPr>
          <w:rFonts w:hint="eastAsia" w:ascii="Arial" w:hAnsi="Arial" w:eastAsia="宋体" w:cs="Arial"/>
          <w:spacing w:val="10"/>
          <w:sz w:val="24"/>
          <w:szCs w:val="24"/>
        </w:rPr>
        <w:t>围堰</w:t>
      </w:r>
      <w:r>
        <w:rPr>
          <w:rFonts w:ascii="Arial" w:hAnsi="Arial" w:eastAsia="宋体" w:cs="Arial"/>
          <w:spacing w:val="10"/>
          <w:sz w:val="24"/>
          <w:szCs w:val="24"/>
        </w:rPr>
        <w:t>及其配套设施（如备用罐、储液池、导流设施、清污水切换设施等），防止污染雨水和轻微事故泄漏造成的环境污染；设置车间事故废水、废液的收集系统。各车间内建地沟，储罐设置围堰，地沟及围堰内设泵或管线与厂区事故应急池相连，可及时将废水导排至事故应急池。若化学品储罐发生泄漏，首先将泄漏物料收集在围堰内，待事故妥善处理后将可回收部分进行回收利用，不可回收部分收集进入事故应急池中，分批送至污水处理站进行处理后达标排放。</w:t>
      </w:r>
    </w:p>
    <w:p w14:paraId="3D2926AB">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正常情况下，罐区排水阀门处于常开状态超过15min后，罐区内洁净雨水进入市政管网排放；当发生泄漏时，罐区排水阀门处于关闭状态，以使突发性泄漏的物料囤积在罐区内，不跑到外围。</w:t>
      </w:r>
    </w:p>
    <w:p w14:paraId="6EBD40C4">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②</w:t>
      </w:r>
      <w:r>
        <w:rPr>
          <w:rFonts w:ascii="Arial" w:hAnsi="Arial" w:eastAsia="宋体" w:cs="Arial"/>
          <w:spacing w:val="10"/>
          <w:sz w:val="24"/>
          <w:szCs w:val="24"/>
        </w:rPr>
        <w:t>二级风险防范措施—事故应急池</w:t>
      </w:r>
    </w:p>
    <w:p w14:paraId="6D6A867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目前厂区设有3个事故应急池，总容积1500m</w:t>
      </w:r>
      <w:r>
        <w:rPr>
          <w:rFonts w:ascii="Arial" w:hAnsi="Arial" w:eastAsia="宋体" w:cs="Arial"/>
          <w:spacing w:val="10"/>
          <w:sz w:val="24"/>
          <w:szCs w:val="24"/>
          <w:vertAlign w:val="superscript"/>
        </w:rPr>
        <w:t>3</w:t>
      </w:r>
      <w:r>
        <w:rPr>
          <w:rFonts w:ascii="Arial" w:hAnsi="Arial" w:eastAsia="宋体" w:cs="Arial"/>
          <w:spacing w:val="10"/>
          <w:sz w:val="24"/>
          <w:szCs w:val="24"/>
        </w:rPr>
        <w:t>，其中地块一的200m</w:t>
      </w:r>
      <w:r>
        <w:rPr>
          <w:rFonts w:ascii="Arial" w:hAnsi="Arial" w:eastAsia="宋体" w:cs="Arial"/>
          <w:spacing w:val="10"/>
          <w:sz w:val="24"/>
          <w:szCs w:val="24"/>
          <w:vertAlign w:val="superscript"/>
        </w:rPr>
        <w:t>3</w:t>
      </w:r>
      <w:r>
        <w:rPr>
          <w:rFonts w:ascii="Arial" w:hAnsi="Arial" w:eastAsia="宋体" w:cs="Arial"/>
          <w:spacing w:val="10"/>
          <w:sz w:val="24"/>
          <w:szCs w:val="24"/>
        </w:rPr>
        <w:t>，地块二的500m</w:t>
      </w:r>
      <w:r>
        <w:rPr>
          <w:rFonts w:ascii="Arial" w:hAnsi="Arial" w:eastAsia="宋体" w:cs="Arial"/>
          <w:spacing w:val="10"/>
          <w:sz w:val="24"/>
          <w:szCs w:val="24"/>
          <w:vertAlign w:val="superscript"/>
        </w:rPr>
        <w:t>3</w:t>
      </w:r>
      <w:r>
        <w:rPr>
          <w:rFonts w:ascii="Arial" w:hAnsi="Arial" w:eastAsia="宋体" w:cs="Arial"/>
          <w:spacing w:val="10"/>
          <w:sz w:val="24"/>
          <w:szCs w:val="24"/>
        </w:rPr>
        <w:t>，地块三的800m</w:t>
      </w:r>
      <w:r>
        <w:rPr>
          <w:rFonts w:ascii="Arial" w:hAnsi="Arial" w:eastAsia="宋体" w:cs="Arial"/>
          <w:spacing w:val="10"/>
          <w:sz w:val="24"/>
          <w:szCs w:val="24"/>
          <w:vertAlign w:val="superscript"/>
        </w:rPr>
        <w:t>3</w:t>
      </w:r>
      <w:r>
        <w:rPr>
          <w:rFonts w:ascii="Arial" w:hAnsi="Arial" w:eastAsia="宋体" w:cs="Arial"/>
          <w:spacing w:val="10"/>
          <w:sz w:val="24"/>
          <w:szCs w:val="24"/>
        </w:rPr>
        <w:t>。</w:t>
      </w:r>
    </w:p>
    <w:p w14:paraId="2AB4F5A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若泄漏物料超过储罐/储槽围堰高度的三分之二，应立即打开阀门，将泄漏物料引入事故池，避免泄漏物料溢流出围堰，待事故妥善处理后，将可回收部分进行回收利用，不可回收部分分批送污水处理站处理后达标排放；若泄漏物料量超过事故池容量的三分之二而事故仍无法得到有效控制，应立即采取停产措施。</w:t>
      </w:r>
    </w:p>
    <w:p w14:paraId="7B417FC1">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一般情况下企业生产设施发生泄漏的可能性较小，且事故发生后较易控制，可将风险控制在车间或厂区内；污水处理系统出现自身故障或由其他外部因素影响而发生故障的几率相对较大，若污水处理站发生事故，导致污水无法处理达标，可将该污水排入事故池中暂存。</w:t>
      </w:r>
    </w:p>
    <w:p w14:paraId="1ACEF8C4">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③</w:t>
      </w:r>
      <w:r>
        <w:rPr>
          <w:rFonts w:ascii="Arial" w:hAnsi="Arial" w:eastAsia="宋体" w:cs="Arial"/>
          <w:spacing w:val="10"/>
          <w:sz w:val="24"/>
          <w:szCs w:val="24"/>
        </w:rPr>
        <w:t>三级风险防范措施—雨水废水排口闸阀</w:t>
      </w:r>
    </w:p>
    <w:p w14:paraId="112A2F2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一般情况下，事故发生后，一级、二级风险防范措施即能够将事故控制在厂内，但由于特殊原因或者不可抗拒因素，危害难以控制。</w:t>
      </w:r>
    </w:p>
    <w:p w14:paraId="1A609F20">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在厂区雨水和废水排口设置闸阀，一旦由于强烈不可抗力造成物料或污水泄漏，停产后一级、二级风险防范措施未能全部储存物料或污水，应立即关闭闸阀，避免事故废水由雨水排口进入外环境，最大限度避免事故废水进入地表水体。</w:t>
      </w:r>
    </w:p>
    <w:p w14:paraId="07C556EF">
      <w:pPr>
        <w:spacing w:line="500" w:lineRule="exact"/>
        <w:ind w:firstLine="490" w:firstLineChars="200"/>
        <w:rPr>
          <w:rFonts w:ascii="Arial" w:hAnsi="Arial" w:eastAsia="宋体" w:cs="Arial"/>
          <w:spacing w:val="10"/>
          <w:sz w:val="24"/>
          <w:szCs w:val="24"/>
        </w:rPr>
      </w:pPr>
    </w:p>
    <w:p w14:paraId="38A4CD2A">
      <w:pPr>
        <w:jc w:val="center"/>
        <w:rPr>
          <w:rFonts w:ascii="Arial" w:hAnsi="Arial" w:eastAsia="宋体" w:cs="Arial"/>
          <w:spacing w:val="10"/>
          <w:sz w:val="24"/>
          <w:szCs w:val="24"/>
        </w:rPr>
      </w:pPr>
      <w:r>
        <w:rPr>
          <w:rFonts w:ascii="Arial" w:hAnsi="Arial" w:cs="Arial"/>
        </w:rPr>
        <w:drawing>
          <wp:inline distT="0" distB="0" distL="114300" distR="114300">
            <wp:extent cx="4457700" cy="3152140"/>
            <wp:effectExtent l="0" t="0" r="0" b="10160"/>
            <wp:docPr id="5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8"/>
                    <pic:cNvPicPr>
                      <a:picLocks noChangeAspect="1"/>
                    </pic:cNvPicPr>
                  </pic:nvPicPr>
                  <pic:blipFill>
                    <a:blip r:embed="rId144"/>
                    <a:stretch>
                      <a:fillRect/>
                    </a:stretch>
                  </pic:blipFill>
                  <pic:spPr>
                    <a:xfrm>
                      <a:off x="0" y="0"/>
                      <a:ext cx="4457700" cy="3152140"/>
                    </a:xfrm>
                    <a:prstGeom prst="rect">
                      <a:avLst/>
                    </a:prstGeom>
                    <a:noFill/>
                    <a:ln>
                      <a:noFill/>
                    </a:ln>
                  </pic:spPr>
                </pic:pic>
              </a:graphicData>
            </a:graphic>
          </wp:inline>
        </w:drawing>
      </w:r>
    </w:p>
    <w:p w14:paraId="255FA2E5">
      <w:pPr>
        <w:spacing w:line="500" w:lineRule="exact"/>
        <w:ind w:firstLine="490" w:firstLineChars="200"/>
        <w:jc w:val="center"/>
        <w:rPr>
          <w:rFonts w:ascii="Arial" w:hAnsi="Arial" w:eastAsia="宋体" w:cs="Arial"/>
          <w:b/>
          <w:spacing w:val="10"/>
          <w:sz w:val="24"/>
          <w:szCs w:val="24"/>
        </w:rPr>
      </w:pPr>
      <w:r>
        <w:rPr>
          <w:rFonts w:ascii="Arial" w:hAnsi="Arial" w:eastAsia="宋体" w:cs="Arial"/>
          <w:b/>
          <w:spacing w:val="10"/>
          <w:sz w:val="24"/>
          <w:szCs w:val="24"/>
        </w:rPr>
        <w:t>图4.3-</w:t>
      </w:r>
      <w:r>
        <w:rPr>
          <w:rFonts w:hint="eastAsia" w:ascii="Arial" w:hAnsi="Arial" w:eastAsia="宋体" w:cs="Arial"/>
          <w:b/>
          <w:spacing w:val="10"/>
          <w:sz w:val="24"/>
          <w:szCs w:val="24"/>
        </w:rPr>
        <w:t>17</w:t>
      </w:r>
      <w:r>
        <w:rPr>
          <w:rFonts w:ascii="Arial" w:hAnsi="Arial" w:eastAsia="宋体" w:cs="Arial"/>
          <w:b/>
          <w:spacing w:val="10"/>
          <w:sz w:val="24"/>
          <w:szCs w:val="24"/>
        </w:rPr>
        <w:t xml:space="preserve">  水环境风险防控体系封堵措施体系示意图</w:t>
      </w:r>
    </w:p>
    <w:p w14:paraId="60F8EE7A">
      <w:pPr>
        <w:ind w:firstLine="530" w:firstLineChars="200"/>
        <w:jc w:val="center"/>
        <w:rPr>
          <w:rFonts w:ascii="Arial" w:hAnsi="Arial" w:eastAsia="宋体" w:cs="Arial"/>
          <w:spacing w:val="10"/>
          <w:sz w:val="24"/>
          <w:szCs w:val="24"/>
        </w:rPr>
      </w:pPr>
      <w:r>
        <w:rPr>
          <w:rFonts w:ascii="Arial" w:hAnsi="Arial" w:cs="Arial"/>
        </w:rPr>
        <mc:AlternateContent>
          <mc:Choice Requires="wps">
            <w:drawing>
              <wp:anchor distT="0" distB="0" distL="114300" distR="114300" simplePos="0" relativeHeight="251713536" behindDoc="0" locked="0" layoutInCell="1" allowOverlap="1">
                <wp:simplePos x="0" y="0"/>
                <wp:positionH relativeFrom="column">
                  <wp:posOffset>3095625</wp:posOffset>
                </wp:positionH>
                <wp:positionV relativeFrom="paragraph">
                  <wp:posOffset>5261610</wp:posOffset>
                </wp:positionV>
                <wp:extent cx="71755" cy="158115"/>
                <wp:effectExtent l="0" t="5080" r="18415" b="18415"/>
                <wp:wrapNone/>
                <wp:docPr id="18" name="流程图: 对照 18"/>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243.75pt;margin-top:414.3pt;height:12.45pt;width:5.65pt;rotation:-5898240f;z-index:251713536;v-text-anchor:middle;mso-width-relative:page;mso-height-relative:page;" fillcolor="#00B050" filled="t" stroked="t" coordsize="21600,21600" o:gfxdata="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nGc6o9kA&#10;AAALAQAADwAAAAAAAAABACAAAAAiAAAAZHJzL2Rvd25yZXYueG1sUEsBAhQAFAAAAAgAh07iQMuH&#10;Uz6QAgAAEQUAAA4AAAAAAAAAAQAgAAAAKAEAAGRycy9lMm9Eb2MueG1sUEsFBgAAAAAGAAYAWQEA&#10;ACoGA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701248" behindDoc="0" locked="0" layoutInCell="1" allowOverlap="1">
                <wp:simplePos x="0" y="0"/>
                <wp:positionH relativeFrom="column">
                  <wp:posOffset>3286125</wp:posOffset>
                </wp:positionH>
                <wp:positionV relativeFrom="paragraph">
                  <wp:posOffset>2450465</wp:posOffset>
                </wp:positionV>
                <wp:extent cx="71755" cy="158115"/>
                <wp:effectExtent l="0" t="5080" r="18415" b="18415"/>
                <wp:wrapNone/>
                <wp:docPr id="7" name="流程图: 对照 7"/>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258.75pt;margin-top:192.95pt;height:12.45pt;width:5.65pt;rotation:-5898240f;z-index:251701248;v-text-anchor:middle;mso-width-relative:page;mso-height-relative:page;" fillcolor="#00B050" filled="t" stroked="t" coordsize="21600,21600" o:gfxdata="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RDRPZ9kA&#10;AAALAQAADwAAAAAAAAABACAAAAAiAAAAZHJzL2Rvd25yZXYueG1sUEsBAhQAFAAAAAgAh07iQAQm&#10;ZpmQAgAADwUAAA4AAAAAAAAAAQAgAAAAKAEAAGRycy9lMm9Eb2MueG1sUEsFBgAAAAAGAAYAWQEA&#10;ACoGA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700224" behindDoc="0" locked="0" layoutInCell="1" allowOverlap="1">
                <wp:simplePos x="0" y="0"/>
                <wp:positionH relativeFrom="column">
                  <wp:posOffset>3444875</wp:posOffset>
                </wp:positionH>
                <wp:positionV relativeFrom="paragraph">
                  <wp:posOffset>2644775</wp:posOffset>
                </wp:positionV>
                <wp:extent cx="71755" cy="158115"/>
                <wp:effectExtent l="0" t="5080" r="18415" b="18415"/>
                <wp:wrapNone/>
                <wp:docPr id="9" name="流程图: 对照 9"/>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271.25pt;margin-top:208.25pt;height:12.45pt;width:5.65pt;rotation:-5898240f;z-index:251700224;v-text-anchor:middle;mso-width-relative:page;mso-height-relative:page;" fillcolor="#00B050" filled="t" stroked="t" coordsize="21600,21600" o:gfxdata="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ebTcX9kA&#10;AAALAQAADwAAAAAAAAABACAAAAAiAAAAZHJzL2Rvd25yZXYueG1sUEsBAhQAFAAAAAgAh07iQBB3&#10;jrOQAgAADwUAAA4AAAAAAAAAAQAgAAAAKAEAAGRycy9lMm9Eb2MueG1sUEsFBgAAAAAGAAYAWQEA&#10;ACoGA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699200" behindDoc="0" locked="0" layoutInCell="1" allowOverlap="1">
                <wp:simplePos x="0" y="0"/>
                <wp:positionH relativeFrom="column">
                  <wp:posOffset>2125345</wp:posOffset>
                </wp:positionH>
                <wp:positionV relativeFrom="paragraph">
                  <wp:posOffset>2573655</wp:posOffset>
                </wp:positionV>
                <wp:extent cx="71755" cy="158115"/>
                <wp:effectExtent l="0" t="5080" r="18415" b="18415"/>
                <wp:wrapNone/>
                <wp:docPr id="226" name="流程图: 对照 226"/>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167.35pt;margin-top:202.65pt;height:12.45pt;width:5.65pt;rotation:-5898240f;z-index:251699200;v-text-anchor:middle;mso-width-relative:page;mso-height-relative:page;" fillcolor="#00B050" filled="t" stroked="t" coordsize="21600,21600" o:gfxdata="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M1wYs&#10;2AAAAAsBAAAPAAAAAAAAAAEAIAAAACIAAABkcnMvZG93bnJldi54bWxQSwECFAAUAAAACACHTuJA&#10;B0NETZMCAAATBQAADgAAAAAAAAABACAAAAAnAQAAZHJzL2Uyb0RvYy54bWxQSwUGAAAAAAYABgBZ&#10;AQAALAY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698176" behindDoc="0" locked="0" layoutInCell="1" allowOverlap="1">
                <wp:simplePos x="0" y="0"/>
                <wp:positionH relativeFrom="column">
                  <wp:posOffset>1869440</wp:posOffset>
                </wp:positionH>
                <wp:positionV relativeFrom="paragraph">
                  <wp:posOffset>5131435</wp:posOffset>
                </wp:positionV>
                <wp:extent cx="71755" cy="158115"/>
                <wp:effectExtent l="0" t="5080" r="18415" b="18415"/>
                <wp:wrapNone/>
                <wp:docPr id="14" name="流程图: 对照 14"/>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147.2pt;margin-top:404.05pt;height:12.45pt;width:5.65pt;rotation:-5898240f;z-index:251698176;v-text-anchor:middle;mso-width-relative:page;mso-height-relative:page;" fillcolor="#00B050" filled="t" stroked="t" coordsize="21600,21600" o:gfxdata="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3F94R&#10;2QAAAAsBAAAPAAAAAAAAAAEAIAAAACIAAABkcnMvZG93bnJldi54bWxQSwECFAAUAAAACACHTuJA&#10;TfYFGJICAAARBQAADgAAAAAAAAABACAAAAAoAQAAZHJzL2Uyb0RvYy54bWxQSwUGAAAAAAYABgBZ&#10;AQAALAY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697152" behindDoc="0" locked="0" layoutInCell="1" allowOverlap="1">
                <wp:simplePos x="0" y="0"/>
                <wp:positionH relativeFrom="column">
                  <wp:posOffset>2409825</wp:posOffset>
                </wp:positionH>
                <wp:positionV relativeFrom="paragraph">
                  <wp:posOffset>5367020</wp:posOffset>
                </wp:positionV>
                <wp:extent cx="71755" cy="158115"/>
                <wp:effectExtent l="0" t="5080" r="18415" b="18415"/>
                <wp:wrapNone/>
                <wp:docPr id="224" name="流程图: 对照 224"/>
                <wp:cNvGraphicFramePr/>
                <a:graphic xmlns:a="http://schemas.openxmlformats.org/drawingml/2006/main">
                  <a:graphicData uri="http://schemas.microsoft.com/office/word/2010/wordprocessingShape">
                    <wps:wsp>
                      <wps:cNvSpPr/>
                      <wps:spPr>
                        <a:xfrm rot="16200000">
                          <a:off x="0" y="0"/>
                          <a:ext cx="71755" cy="158115"/>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189.75pt;margin-top:422.6pt;height:12.45pt;width:5.65pt;rotation:-5898240f;z-index:251697152;v-text-anchor:middle;mso-width-relative:page;mso-height-relative:page;" fillcolor="#00B050" filled="t" stroked="t" coordsize="21600,21600" o:gfxdata="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kKfV&#10;OdkAAAALAQAADwAAAAAAAAABACAAAAAiAAAAZHJzL2Rvd25yZXYueG1sUEsBAhQAFAAAAAgAh07i&#10;QGc0LAKTAgAAEwUAAA4AAAAAAAAAAQAgAAAAKAEAAGRycy9lMm9Eb2MueG1sUEsFBgAAAAAGAAYA&#10;WQEAAC0GAAAAAA==&#10;">
                <v:fill on="t" focussize="0,0"/>
                <v:stroke weight="1pt" color="#009900"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695104" behindDoc="0" locked="0" layoutInCell="1" allowOverlap="1">
                <wp:simplePos x="0" y="0"/>
                <wp:positionH relativeFrom="column">
                  <wp:posOffset>2687320</wp:posOffset>
                </wp:positionH>
                <wp:positionV relativeFrom="paragraph">
                  <wp:posOffset>6844030</wp:posOffset>
                </wp:positionV>
                <wp:extent cx="83185" cy="158750"/>
                <wp:effectExtent l="318" t="0" r="12382" b="12383"/>
                <wp:wrapNone/>
                <wp:docPr id="225" name="流程图: 对照 225"/>
                <wp:cNvGraphicFramePr/>
                <a:graphic xmlns:a="http://schemas.openxmlformats.org/drawingml/2006/main">
                  <a:graphicData uri="http://schemas.microsoft.com/office/word/2010/wordprocessingShape">
                    <wps:wsp>
                      <wps:cNvSpPr/>
                      <wps:spPr>
                        <a:xfrm rot="16200000" flipH="1">
                          <a:off x="0" y="0"/>
                          <a:ext cx="83185" cy="158750"/>
                        </a:xfrm>
                        <a:prstGeom prst="flowChartCollate">
                          <a:avLst/>
                        </a:prstGeom>
                        <a:solidFill>
                          <a:srgbClr val="CC00FF"/>
                        </a:solidFill>
                        <a:ln w="12700" cap="flat" cmpd="sng" algn="ctr">
                          <a:solidFill>
                            <a:srgbClr val="CC00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flip:x;margin-left:211.6pt;margin-top:538.9pt;height:12.5pt;width:6.55pt;rotation:5898240f;z-index:251695104;v-text-anchor:middle;mso-width-relative:page;mso-height-relative:page;" fillcolor="#CC00FF" filled="t" stroked="t" coordsize="21600,21600" o:gfxdata="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KJc&#10;hmjbAAAADQEAAA8AAAAAAAAAAQAgAAAAIgAAAGRycy9kb3ducmV2LnhtbFBLAQIUABQAAAAIAIdO&#10;4kAbYfMFkgIAAB0FAAAOAAAAAAAAAAEAIAAAACoBAABkcnMvZTJvRG9jLnhtbFBLBQYAAAAABgAG&#10;AFkBAAAuBgAAAAA=&#10;">
                <v:fill on="t" focussize="0,0"/>
                <v:stroke weight="1pt" color="#CC00FF" joinstyle="round"/>
                <v:imagedata o:title=""/>
                <o:lock v:ext="edit" aspectratio="f"/>
              </v:shape>
            </w:pict>
          </mc:Fallback>
        </mc:AlternateContent>
      </w:r>
      <w:r>
        <w:rPr>
          <w:rFonts w:ascii="Arial" w:hAnsi="Arial" w:cs="Arial"/>
        </w:rPr>
        <w:drawing>
          <wp:anchor distT="0" distB="0" distL="114300" distR="114300" simplePos="0" relativeHeight="251692032" behindDoc="0" locked="0" layoutInCell="1" allowOverlap="1">
            <wp:simplePos x="0" y="0"/>
            <wp:positionH relativeFrom="column">
              <wp:posOffset>4897120</wp:posOffset>
            </wp:positionH>
            <wp:positionV relativeFrom="paragraph">
              <wp:posOffset>87630</wp:posOffset>
            </wp:positionV>
            <wp:extent cx="617220" cy="823595"/>
            <wp:effectExtent l="0" t="0" r="0" b="0"/>
            <wp:wrapNone/>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17220" cy="823595"/>
                    </a:xfrm>
                    <a:prstGeom prst="rect">
                      <a:avLst/>
                    </a:prstGeom>
                  </pic:spPr>
                </pic:pic>
              </a:graphicData>
            </a:graphic>
          </wp:anchor>
        </w:drawing>
      </w:r>
      <w:r>
        <w:rPr>
          <w:rFonts w:ascii="Arial" w:hAnsi="Arial" w:eastAsia="宋体" w:cs="Arial"/>
          <w:spacing w:val="10"/>
          <w:sz w:val="24"/>
          <w:szCs w:val="24"/>
        </w:rPr>
        <mc:AlternateContent>
          <mc:Choice Requires="wps">
            <w:drawing>
              <wp:anchor distT="0" distB="0" distL="114300" distR="114300" simplePos="0" relativeHeight="251693056" behindDoc="0" locked="0" layoutInCell="1" allowOverlap="1">
                <wp:simplePos x="0" y="0"/>
                <wp:positionH relativeFrom="column">
                  <wp:posOffset>340360</wp:posOffset>
                </wp:positionH>
                <wp:positionV relativeFrom="paragraph">
                  <wp:posOffset>6962775</wp:posOffset>
                </wp:positionV>
                <wp:extent cx="1336675" cy="831215"/>
                <wp:effectExtent l="0" t="0" r="15875" b="26035"/>
                <wp:wrapNone/>
                <wp:docPr id="30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36964" cy="831215"/>
                        </a:xfrm>
                        <a:prstGeom prst="rect">
                          <a:avLst/>
                        </a:prstGeom>
                        <a:solidFill>
                          <a:srgbClr val="FFFFFF"/>
                        </a:solidFill>
                        <a:ln w="9525">
                          <a:solidFill>
                            <a:srgbClr val="000000"/>
                          </a:solidFill>
                          <a:miter lim="800000"/>
                        </a:ln>
                      </wps:spPr>
                      <wps:txbx>
                        <w:txbxContent>
                          <w:p w14:paraId="1BEDB60C">
                            <w:pPr>
                              <w:rPr>
                                <w:rFonts w:ascii="Arial" w:hAnsi="Arial" w:eastAsia="宋体" w:cs="Arial"/>
                                <w:b/>
                                <w:sz w:val="21"/>
                                <w:szCs w:val="21"/>
                              </w:rPr>
                            </w:pPr>
                            <w:r>
                              <w:rPr>
                                <w:rFonts w:ascii="Arial" w:hAnsi="Arial" w:eastAsia="宋体" w:cs="Arial"/>
                                <w:b/>
                                <w:sz w:val="21"/>
                                <w:szCs w:val="21"/>
                              </w:rPr>
                              <w:t>图例：</w:t>
                            </w:r>
                          </w:p>
                          <w:p w14:paraId="096DB6A4">
                            <w:pPr>
                              <w:spacing w:line="300" w:lineRule="exact"/>
                              <w:ind w:firstLine="397"/>
                              <w:rPr>
                                <w:rFonts w:ascii="Arial" w:hAnsi="Arial" w:eastAsia="宋体" w:cs="Arial"/>
                                <w:sz w:val="21"/>
                                <w:szCs w:val="21"/>
                              </w:rPr>
                            </w:pPr>
                            <w:r>
                              <w:rPr>
                                <w:rFonts w:hint="eastAsia" w:ascii="Arial" w:hAnsi="Arial" w:eastAsia="宋体" w:cs="Arial"/>
                                <w:sz w:val="21"/>
                                <w:szCs w:val="21"/>
                              </w:rPr>
                              <w:t>雨水阀</w:t>
                            </w:r>
                          </w:p>
                          <w:p w14:paraId="5104619B">
                            <w:pPr>
                              <w:spacing w:line="300" w:lineRule="exact"/>
                              <w:ind w:firstLine="397"/>
                              <w:rPr>
                                <w:rFonts w:ascii="Arial" w:hAnsi="Arial" w:eastAsia="宋体" w:cs="Arial"/>
                                <w:sz w:val="21"/>
                                <w:szCs w:val="21"/>
                              </w:rPr>
                            </w:pPr>
                            <w:r>
                              <w:rPr>
                                <w:rFonts w:hint="eastAsia" w:ascii="Arial" w:hAnsi="Arial" w:eastAsia="宋体" w:cs="Arial"/>
                                <w:sz w:val="21"/>
                                <w:szCs w:val="21"/>
                              </w:rPr>
                              <w:t>污水排放口阀门</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6.8pt;margin-top:548.25pt;height:65.45pt;width:105.25pt;z-index:251693056;mso-width-relative:page;mso-height-relative:page;" fillcolor="#FFFFFF" filled="t" stroked="t" coordsize="21600,21600" o:gfxdata="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&#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bflHXbAAAADAEAAA8AAAAAAAAAAQAgAAAAIgAAAGRy&#10;cy9kb3ducmV2LnhtbFBLAQIUABQAAAAIAIdO4kBuDqoyOwIAAH0EAAAOAAAAAAAAAAEAIAAAACoB&#10;AABkcnMvZTJvRG9jLnhtbFBLBQYAAAAABgAGAFkBAADXBQAAAAA=&#10;">
                <v:fill on="t" focussize="0,0"/>
                <v:stroke color="#000000" miterlimit="8" joinstyle="miter"/>
                <v:imagedata o:title=""/>
                <o:lock v:ext="edit" aspectratio="f"/>
                <v:textbox>
                  <w:txbxContent>
                    <w:p w14:paraId="1BEDB60C">
                      <w:pPr>
                        <w:rPr>
                          <w:rFonts w:ascii="Arial" w:hAnsi="Arial" w:eastAsia="宋体" w:cs="Arial"/>
                          <w:b/>
                          <w:sz w:val="21"/>
                          <w:szCs w:val="21"/>
                        </w:rPr>
                      </w:pPr>
                      <w:r>
                        <w:rPr>
                          <w:rFonts w:ascii="Arial" w:hAnsi="Arial" w:eastAsia="宋体" w:cs="Arial"/>
                          <w:b/>
                          <w:sz w:val="21"/>
                          <w:szCs w:val="21"/>
                        </w:rPr>
                        <w:t>图例：</w:t>
                      </w:r>
                    </w:p>
                    <w:p w14:paraId="096DB6A4">
                      <w:pPr>
                        <w:spacing w:line="300" w:lineRule="exact"/>
                        <w:ind w:firstLine="397"/>
                        <w:rPr>
                          <w:rFonts w:ascii="Arial" w:hAnsi="Arial" w:eastAsia="宋体" w:cs="Arial"/>
                          <w:sz w:val="21"/>
                          <w:szCs w:val="21"/>
                        </w:rPr>
                      </w:pPr>
                      <w:r>
                        <w:rPr>
                          <w:rFonts w:hint="eastAsia" w:ascii="Arial" w:hAnsi="Arial" w:eastAsia="宋体" w:cs="Arial"/>
                          <w:sz w:val="21"/>
                          <w:szCs w:val="21"/>
                        </w:rPr>
                        <w:t>雨水阀</w:t>
                      </w:r>
                    </w:p>
                    <w:p w14:paraId="5104619B">
                      <w:pPr>
                        <w:spacing w:line="300" w:lineRule="exact"/>
                        <w:ind w:firstLine="397"/>
                        <w:rPr>
                          <w:rFonts w:ascii="Arial" w:hAnsi="Arial" w:eastAsia="宋体" w:cs="Arial"/>
                          <w:sz w:val="21"/>
                          <w:szCs w:val="21"/>
                        </w:rPr>
                      </w:pPr>
                      <w:r>
                        <w:rPr>
                          <w:rFonts w:hint="eastAsia" w:ascii="Arial" w:hAnsi="Arial" w:eastAsia="宋体" w:cs="Arial"/>
                          <w:sz w:val="21"/>
                          <w:szCs w:val="21"/>
                        </w:rPr>
                        <w:t>污水排放口阀门</w:t>
                      </w:r>
                    </w:p>
                  </w:txbxContent>
                </v:textbox>
              </v:shape>
            </w:pict>
          </mc:Fallback>
        </mc:AlternateContent>
      </w:r>
      <w:r>
        <w:rPr>
          <w:rFonts w:ascii="Arial" w:hAnsi="Arial" w:cs="Arial"/>
        </w:rPr>
        <mc:AlternateContent>
          <mc:Choice Requires="wps">
            <w:drawing>
              <wp:anchor distT="0" distB="0" distL="114300" distR="114300" simplePos="0" relativeHeight="251696128" behindDoc="0" locked="0" layoutInCell="1" allowOverlap="1">
                <wp:simplePos x="0" y="0"/>
                <wp:positionH relativeFrom="column">
                  <wp:posOffset>506095</wp:posOffset>
                </wp:positionH>
                <wp:positionV relativeFrom="paragraph">
                  <wp:posOffset>7511415</wp:posOffset>
                </wp:positionV>
                <wp:extent cx="83185" cy="158750"/>
                <wp:effectExtent l="0" t="0" r="12700" b="12700"/>
                <wp:wrapNone/>
                <wp:docPr id="227" name="流程图: 对照 227"/>
                <wp:cNvGraphicFramePr/>
                <a:graphic xmlns:a="http://schemas.openxmlformats.org/drawingml/2006/main">
                  <a:graphicData uri="http://schemas.microsoft.com/office/word/2010/wordprocessingShape">
                    <wps:wsp>
                      <wps:cNvSpPr/>
                      <wps:spPr>
                        <a:xfrm rot="16200000" flipH="1">
                          <a:off x="0" y="0"/>
                          <a:ext cx="83127" cy="158750"/>
                        </a:xfrm>
                        <a:prstGeom prst="flowChartCollate">
                          <a:avLst/>
                        </a:prstGeom>
                        <a:solidFill>
                          <a:srgbClr val="CC00FF"/>
                        </a:solidFill>
                        <a:ln w="12700" cap="flat" cmpd="sng" algn="ctr">
                          <a:solidFill>
                            <a:srgbClr val="CC00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flip:x;margin-left:39.85pt;margin-top:591.45pt;height:12.5pt;width:6.55pt;rotation:5898240f;z-index:251696128;v-text-anchor:middle;mso-width-relative:page;mso-height-relative:page;" fillcolor="#CC00FF" filled="t" stroked="t" coordsize="21600,21600" o:gfxdata="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xObKaNgA&#10;AAALAQAADwAAAAAAAAABACAAAAAiAAAAZHJzL2Rvd25yZXYueG1sUEsBAhQAFAAAAAgAh07iQFxD&#10;jiqRAgAAHQUAAA4AAAAAAAAAAQAgAAAAJwEAAGRycy9lMm9Eb2MueG1sUEsFBgAAAAAGAAYAWQEA&#10;ACoGAAAAAA==&#10;">
                <v:fill on="t" focussize="0,0"/>
                <v:stroke weight="1pt" color="#CC00FF" joinstyle="round"/>
                <v:imagedata o:title=""/>
                <o:lock v:ext="edit" aspectratio="f"/>
              </v:shape>
            </w:pict>
          </mc:Fallback>
        </mc:AlternateContent>
      </w:r>
      <w:r>
        <w:rPr>
          <w:rFonts w:ascii="Arial" w:hAnsi="Arial" w:cs="Arial"/>
        </w:rPr>
        <mc:AlternateContent>
          <mc:Choice Requires="wps">
            <w:drawing>
              <wp:anchor distT="0" distB="0" distL="114300" distR="114300" simplePos="0" relativeHeight="251694080" behindDoc="0" locked="0" layoutInCell="1" allowOverlap="1">
                <wp:simplePos x="0" y="0"/>
                <wp:positionH relativeFrom="column">
                  <wp:posOffset>523240</wp:posOffset>
                </wp:positionH>
                <wp:positionV relativeFrom="paragraph">
                  <wp:posOffset>7308215</wp:posOffset>
                </wp:positionV>
                <wp:extent cx="71755" cy="158750"/>
                <wp:effectExtent l="0" t="0" r="23495" b="12700"/>
                <wp:wrapNone/>
                <wp:docPr id="228" name="流程图: 对照 228"/>
                <wp:cNvGraphicFramePr/>
                <a:graphic xmlns:a="http://schemas.openxmlformats.org/drawingml/2006/main">
                  <a:graphicData uri="http://schemas.microsoft.com/office/word/2010/wordprocessingShape">
                    <wps:wsp>
                      <wps:cNvSpPr/>
                      <wps:spPr>
                        <a:xfrm>
                          <a:off x="0" y="0"/>
                          <a:ext cx="71755" cy="158750"/>
                        </a:xfrm>
                        <a:prstGeom prst="flowChartCollate">
                          <a:avLst/>
                        </a:prstGeom>
                        <a:solidFill>
                          <a:srgbClr val="00B050"/>
                        </a:solidFill>
                        <a:ln w="12700" cap="flat" cmpd="sng" algn="ctr">
                          <a:solidFill>
                            <a:srgbClr val="0099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5" type="#_x0000_t125" style="position:absolute;left:0pt;margin-left:41.2pt;margin-top:575.45pt;height:12.5pt;width:5.65pt;z-index:251694080;v-text-anchor:middle;mso-width-relative:page;mso-height-relative:page;" fillcolor="#00B050" filled="t" stroked="t" coordsize="21600,21600" o:gfxdata="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FVqFSPZAAAACwEAAA8A&#10;AAAAAAAAAQAgAAAAIgAAAGRycy9kb3ducmV2LnhtbFBLAQIUABQAAAAIAIdO4kCd2Y5CiAIAAAQF&#10;AAAOAAAAAAAAAAEAIAAAACgBAABkcnMvZTJvRG9jLnhtbFBLBQYAAAAABgAGAFkBAAAiBgAAAAA=&#10;">
                <v:fill on="t" focussize="0,0"/>
                <v:stroke weight="1pt" color="#009900" joinstyle="round"/>
                <v:imagedata o:title=""/>
                <o:lock v:ext="edit" aspectratio="f"/>
              </v:shape>
            </w:pict>
          </mc:Fallback>
        </mc:AlternateContent>
      </w:r>
      <w:r>
        <w:rPr>
          <w:rFonts w:ascii="Arial" w:hAnsi="Arial" w:eastAsia="宋体" w:cs="Arial"/>
          <w:spacing w:val="10"/>
          <w:sz w:val="24"/>
          <w:szCs w:val="24"/>
        </w:rPr>
        <w:drawing>
          <wp:inline distT="0" distB="0" distL="0" distR="0">
            <wp:extent cx="5170170" cy="7716520"/>
            <wp:effectExtent l="19050" t="19050" r="11430" b="17780"/>
            <wp:docPr id="280" name="图片 280" descr="C:\Users\Admin\Desktop\底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C:\Users\Admin\Desktop\底图.jpg"/>
                    <pic:cNvPicPr>
                      <a:picLocks noChangeAspect="1" noChangeArrowheads="1"/>
                    </pic:cNvPicPr>
                  </pic:nvPicPr>
                  <pic:blipFill>
                    <a:blip r:embed="rId146">
                      <a:extLst>
                        <a:ext uri="{28A0092B-C50C-407E-A947-70E740481C1C}">
                          <a14:useLocalDpi xmlns:a14="http://schemas.microsoft.com/office/drawing/2010/main" val="0"/>
                        </a:ext>
                      </a:extLst>
                    </a:blip>
                    <a:srcRect t="4865"/>
                    <a:stretch>
                      <a:fillRect/>
                    </a:stretch>
                  </pic:blipFill>
                  <pic:spPr>
                    <a:xfrm>
                      <a:off x="0" y="0"/>
                      <a:ext cx="5174615" cy="7723495"/>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48E19C81">
      <w:pPr>
        <w:spacing w:line="500" w:lineRule="exact"/>
        <w:ind w:firstLine="490" w:firstLineChars="200"/>
        <w:jc w:val="center"/>
        <w:rPr>
          <w:rFonts w:ascii="Arial" w:hAnsi="Arial" w:eastAsia="宋体" w:cs="Arial"/>
          <w:b/>
          <w:spacing w:val="10"/>
          <w:sz w:val="24"/>
          <w:szCs w:val="24"/>
          <w:highlight w:val="yellow"/>
        </w:rPr>
      </w:pPr>
      <w:r>
        <w:rPr>
          <w:rFonts w:ascii="Arial" w:hAnsi="Arial" w:eastAsia="宋体" w:cs="Arial"/>
          <w:b/>
          <w:spacing w:val="10"/>
          <w:sz w:val="24"/>
          <w:szCs w:val="24"/>
        </w:rPr>
        <w:t>图4.3-</w:t>
      </w:r>
      <w:r>
        <w:rPr>
          <w:rFonts w:hint="eastAsia" w:ascii="Arial" w:hAnsi="Arial" w:eastAsia="宋体" w:cs="Arial"/>
          <w:b/>
          <w:spacing w:val="10"/>
          <w:sz w:val="24"/>
          <w:szCs w:val="24"/>
        </w:rPr>
        <w:t>18</w:t>
      </w:r>
      <w:r>
        <w:rPr>
          <w:rFonts w:ascii="Arial" w:hAnsi="Arial" w:eastAsia="宋体" w:cs="Arial"/>
          <w:b/>
          <w:spacing w:val="10"/>
          <w:sz w:val="24"/>
          <w:szCs w:val="24"/>
        </w:rPr>
        <w:t xml:space="preserve">  厂区水封堵位置</w:t>
      </w:r>
      <w:r>
        <w:rPr>
          <w:rFonts w:hint="eastAsia" w:ascii="Arial" w:hAnsi="Arial" w:eastAsia="宋体" w:cs="Arial"/>
          <w:b/>
          <w:spacing w:val="10"/>
          <w:sz w:val="24"/>
          <w:szCs w:val="24"/>
        </w:rPr>
        <w:t>示意图</w:t>
      </w:r>
    </w:p>
    <w:p w14:paraId="123DE712">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（2）雨水系统</w:t>
      </w:r>
    </w:p>
    <w:p w14:paraId="6BD647B9">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目前厂区设有3个初期雨水池，总容积9000m</w:t>
      </w:r>
      <w:r>
        <w:rPr>
          <w:rFonts w:ascii="Arial" w:hAnsi="Arial" w:eastAsia="宋体" w:cs="Arial"/>
          <w:spacing w:val="10"/>
          <w:sz w:val="24"/>
          <w:szCs w:val="24"/>
          <w:vertAlign w:val="superscript"/>
        </w:rPr>
        <w:t>3</w:t>
      </w:r>
      <w:r>
        <w:rPr>
          <w:rFonts w:ascii="Arial" w:hAnsi="Arial" w:eastAsia="宋体" w:cs="Arial"/>
          <w:spacing w:val="10"/>
          <w:sz w:val="24"/>
          <w:szCs w:val="24"/>
        </w:rPr>
        <w:t>，其中地块一的1000m</w:t>
      </w:r>
      <w:r>
        <w:rPr>
          <w:rFonts w:ascii="Arial" w:hAnsi="Arial" w:eastAsia="宋体" w:cs="Arial"/>
          <w:spacing w:val="10"/>
          <w:sz w:val="24"/>
          <w:szCs w:val="24"/>
          <w:vertAlign w:val="superscript"/>
        </w:rPr>
        <w:t>3</w:t>
      </w:r>
      <w:r>
        <w:rPr>
          <w:rFonts w:ascii="Arial" w:hAnsi="Arial" w:eastAsia="宋体" w:cs="Arial"/>
          <w:spacing w:val="10"/>
          <w:sz w:val="24"/>
          <w:szCs w:val="24"/>
        </w:rPr>
        <w:t>，地块二的4500m</w:t>
      </w:r>
      <w:r>
        <w:rPr>
          <w:rFonts w:ascii="Arial" w:hAnsi="Arial" w:eastAsia="宋体" w:cs="Arial"/>
          <w:spacing w:val="10"/>
          <w:sz w:val="24"/>
          <w:szCs w:val="24"/>
          <w:vertAlign w:val="superscript"/>
        </w:rPr>
        <w:t>3</w:t>
      </w:r>
      <w:r>
        <w:rPr>
          <w:rFonts w:ascii="Arial" w:hAnsi="Arial" w:eastAsia="宋体" w:cs="Arial"/>
          <w:spacing w:val="10"/>
          <w:sz w:val="24"/>
          <w:szCs w:val="24"/>
        </w:rPr>
        <w:t>，地块三的3500m</w:t>
      </w:r>
      <w:r>
        <w:rPr>
          <w:rFonts w:ascii="Arial" w:hAnsi="Arial" w:eastAsia="宋体" w:cs="Arial"/>
          <w:spacing w:val="10"/>
          <w:sz w:val="24"/>
          <w:szCs w:val="24"/>
          <w:vertAlign w:val="superscript"/>
        </w:rPr>
        <w:t>3</w:t>
      </w:r>
      <w:r>
        <w:rPr>
          <w:rFonts w:ascii="Arial" w:hAnsi="Arial" w:eastAsia="宋体" w:cs="Arial"/>
          <w:spacing w:val="10"/>
          <w:sz w:val="24"/>
          <w:szCs w:val="24"/>
        </w:rPr>
        <w:t>。</w:t>
      </w:r>
    </w:p>
    <w:p w14:paraId="168A682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雨水管沟内也在关键节点设置闸门、管线与厂区事故池相连，废水一旦进入雨水系统，可将废水引至事故池后再送至污水处理站处理，阻断事故废水直接通过雨水系统进入厂外水体，造成污染。</w:t>
      </w:r>
    </w:p>
    <w:p w14:paraId="56CAD2B9">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（3）事故状态下废水收集机制</w:t>
      </w:r>
    </w:p>
    <w:p w14:paraId="3E02D747">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事故情形下，事故生产废水可直接进入事故池进行暂存，若发生储罐/储槽泄漏事故，泄漏物料首先由围堰进行收集，后导入事故池等待处理；初期雨水经雨水沟闸板阀截留后进入初期雨水收集池暂存，后分批进入污水处理站处理，雨水排口设有闸阀，一旦生产事故废水（如池体溢流）、消防废水等混入雨水管网，可关闭闸阀避免事故废水通过雨水管网进入外环境。</w:t>
      </w:r>
    </w:p>
    <w:p w14:paraId="0E0990F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w:t>
      </w:r>
      <w:r>
        <w:rPr>
          <w:rFonts w:hint="eastAsia" w:ascii="Arial" w:hAnsi="Arial" w:eastAsia="宋体" w:cs="Arial"/>
          <w:spacing w:val="10"/>
          <w:sz w:val="24"/>
          <w:szCs w:val="24"/>
        </w:rPr>
        <w:t>已有的</w:t>
      </w:r>
      <w:r>
        <w:rPr>
          <w:rFonts w:ascii="Arial" w:hAnsi="Arial" w:eastAsia="宋体" w:cs="Arial"/>
          <w:spacing w:val="10"/>
          <w:sz w:val="24"/>
          <w:szCs w:val="24"/>
        </w:rPr>
        <w:t>大气风险防范措施</w:t>
      </w:r>
    </w:p>
    <w:p w14:paraId="200C1DB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（1）物料泄漏应急、救援及减缓措施</w:t>
      </w:r>
    </w:p>
    <w:p w14:paraId="0BDCCD3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当发生易燃易爆或有毒有害物料泄漏时，可根据物料性质，选择采取以下措施，防止事态进一步发展。</w:t>
      </w:r>
    </w:p>
    <w:p w14:paraId="30B9D215">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①</w:t>
      </w:r>
      <w:r>
        <w:rPr>
          <w:rFonts w:ascii="Arial" w:hAnsi="Arial" w:eastAsia="宋体" w:cs="Arial"/>
          <w:spacing w:val="10"/>
          <w:sz w:val="24"/>
          <w:szCs w:val="24"/>
        </w:rPr>
        <w:t>根据事故级别启动应急预案。</w:t>
      </w:r>
    </w:p>
    <w:p w14:paraId="63BD4951">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②</w:t>
      </w:r>
      <w:r>
        <w:rPr>
          <w:rFonts w:ascii="Arial" w:hAnsi="Arial" w:eastAsia="宋体" w:cs="Arial"/>
          <w:spacing w:val="10"/>
          <w:sz w:val="24"/>
          <w:szCs w:val="24"/>
        </w:rPr>
        <w:t>根据装置各高点设置的风向标，将无关人员迅速疏散到上风向安全区，对危险区域进行隔离，并严格控制出入，切断火源；根据需要疏散周围居住区人群。</w:t>
      </w:r>
    </w:p>
    <w:p w14:paraId="6FB29286">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③</w:t>
      </w:r>
      <w:r>
        <w:rPr>
          <w:rFonts w:ascii="Arial" w:hAnsi="Arial" w:eastAsia="宋体" w:cs="Arial"/>
          <w:spacing w:val="10"/>
          <w:sz w:val="24"/>
          <w:szCs w:val="24"/>
        </w:rPr>
        <w:t>易挥发易燃液体泄漏时，用工业覆盖层或吸附/吸收剂盖住泄漏点附近的下水道等地方，防止气体进入。</w:t>
      </w:r>
    </w:p>
    <w:p w14:paraId="30AC0050">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④</w:t>
      </w:r>
      <w:r>
        <w:rPr>
          <w:rFonts w:ascii="Arial" w:hAnsi="Arial" w:eastAsia="宋体" w:cs="Arial"/>
          <w:spacing w:val="10"/>
          <w:sz w:val="24"/>
          <w:szCs w:val="24"/>
        </w:rPr>
        <w:t>小量液体泄漏：用砂土或</w:t>
      </w:r>
      <w:r>
        <w:rPr>
          <w:rFonts w:hint="eastAsia" w:ascii="Arial" w:hAnsi="Arial" w:eastAsia="宋体" w:cs="Arial"/>
          <w:spacing w:val="10"/>
          <w:sz w:val="24"/>
          <w:szCs w:val="24"/>
          <w:lang w:eastAsia="zh-CN"/>
        </w:rPr>
        <w:t>其他</w:t>
      </w:r>
      <w:r>
        <w:rPr>
          <w:rFonts w:ascii="Arial" w:hAnsi="Arial" w:eastAsia="宋体" w:cs="Arial"/>
          <w:spacing w:val="10"/>
          <w:sz w:val="24"/>
          <w:szCs w:val="24"/>
        </w:rPr>
        <w:t>不燃材料吸附或吸收。也可以用大量水冲洗（除硫酸外），稀释水排入废水系统；大量液体泄漏：构筑临时围堤收容。用泡沫覆盖，降低挥发蒸气灾害。用防爆泵转移至槽车或专用收集器内，回收或外委资质单位处置。</w:t>
      </w:r>
    </w:p>
    <w:p w14:paraId="5194CA9D">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⑤</w:t>
      </w:r>
      <w:r>
        <w:rPr>
          <w:rFonts w:ascii="Arial" w:hAnsi="Arial" w:eastAsia="宋体" w:cs="Arial"/>
          <w:spacing w:val="10"/>
          <w:sz w:val="24"/>
          <w:szCs w:val="24"/>
        </w:rPr>
        <w:t>氨水泄漏事故应急措施：</w:t>
      </w:r>
    </w:p>
    <w:p w14:paraId="542DC2C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氨水泄漏的部位主要有氨水储罐区、反应车间及氨水物料输送管线的阀门及泵等部位，设置氨水泄漏检测报警装置和水喷淋装置。</w:t>
      </w:r>
    </w:p>
    <w:p w14:paraId="7A96FD2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如果是氨水管线或阀门泄漏，迅速撤离泄漏污染区人员至上风处，并根据氨的泄漏量对泄漏区进行隔离，严格限制人员出入。切断火源。应急处理人员戴自给正压式呼吸器，穿防静电工作服。找到泄漏源后立即关门相应的物料输送管线的阀门，并用水喷淋，吸收泄漏挥发到空气中的氨，以减少氨的挥发量。吸收氨水的废水通过车间外的环形水沟排入事故收集池内。</w:t>
      </w:r>
    </w:p>
    <w:p w14:paraId="0D7B84D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如果是氨水储罐泄漏，立即开启水喷淋装置，吸收泄漏挥发到空气中的氨，并使用应急泵进行紧急倒料，送入到另一个贮罐中，以减少氨的泄漏和挥发量。吸收氨水的废水暂时储存于氨水储罐区的防火堤内，并通过管道排入事故收集池内。迅速撤离泄漏污染区人员至上风处，并根据氨的泄漏量对泄漏区进行隔离，严格限制人员出入。应急处理人员戴自给正压式呼吸器，穿防静电工作服。切断火源，并对氨水储罐区的泄漏点进行堵漏，控制氨水的泄漏量。</w:t>
      </w:r>
    </w:p>
    <w:p w14:paraId="56A4B9C5">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⑥</w:t>
      </w:r>
      <w:r>
        <w:rPr>
          <w:rFonts w:ascii="Arial" w:hAnsi="Arial" w:eastAsia="宋体" w:cs="Arial"/>
          <w:spacing w:val="10"/>
          <w:sz w:val="24"/>
          <w:szCs w:val="24"/>
        </w:rPr>
        <w:t>盐酸、硫酸储罐泄漏风险防范措施</w:t>
      </w:r>
    </w:p>
    <w:p w14:paraId="0877B035">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盐酸、硫酸风险防范措施表</w:t>
      </w:r>
    </w:p>
    <w:tbl>
      <w:tblPr>
        <w:tblStyle w:val="88"/>
        <w:tblW w:w="5000" w:type="pct"/>
        <w:jc w:val="center"/>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23"/>
        <w:gridCol w:w="1091"/>
        <w:gridCol w:w="7079"/>
      </w:tblGrid>
      <w:tr w14:paraId="42C26D80">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44" w:type="dxa"/>
            <w:tcBorders>
              <w:top w:val="single" w:color="auto" w:sz="2" w:space="0"/>
              <w:left w:val="single" w:color="auto" w:sz="2" w:space="0"/>
              <w:bottom w:val="single" w:color="auto" w:sz="2" w:space="0"/>
              <w:right w:val="single" w:color="auto" w:sz="2" w:space="0"/>
            </w:tcBorders>
            <w:vAlign w:val="center"/>
          </w:tcPr>
          <w:p w14:paraId="72AF9B78">
            <w:pPr>
              <w:adjustRightInd w:val="0"/>
              <w:snapToGrid w:val="0"/>
              <w:spacing w:line="240" w:lineRule="exact"/>
              <w:rPr>
                <w:rFonts w:ascii="Arial" w:hAnsi="Arial" w:eastAsia="宋体" w:cs="Arial"/>
                <w:kern w:val="0"/>
                <w:sz w:val="21"/>
              </w:rPr>
            </w:pPr>
            <w:r>
              <w:rPr>
                <w:rFonts w:ascii="Arial" w:hAnsi="Arial" w:eastAsia="宋体" w:cs="Arial"/>
                <w:kern w:val="0"/>
                <w:sz w:val="21"/>
              </w:rPr>
              <w:t>序号</w:t>
            </w:r>
          </w:p>
        </w:tc>
        <w:tc>
          <w:tcPr>
            <w:tcW w:w="1121" w:type="dxa"/>
            <w:tcBorders>
              <w:top w:val="single" w:color="auto" w:sz="2" w:space="0"/>
              <w:left w:val="single" w:color="auto" w:sz="2" w:space="0"/>
              <w:bottom w:val="single" w:color="auto" w:sz="2" w:space="0"/>
              <w:right w:val="single" w:color="auto" w:sz="2" w:space="0"/>
            </w:tcBorders>
            <w:vAlign w:val="center"/>
          </w:tcPr>
          <w:p w14:paraId="55EC4FF7">
            <w:pPr>
              <w:adjustRightInd w:val="0"/>
              <w:snapToGrid w:val="0"/>
              <w:spacing w:line="240" w:lineRule="exact"/>
              <w:rPr>
                <w:rFonts w:ascii="Arial" w:hAnsi="Arial" w:eastAsia="宋体" w:cs="Arial"/>
                <w:kern w:val="0"/>
                <w:sz w:val="21"/>
              </w:rPr>
            </w:pPr>
            <w:r>
              <w:rPr>
                <w:rFonts w:ascii="Arial" w:hAnsi="Arial" w:eastAsia="宋体" w:cs="Arial"/>
                <w:kern w:val="0"/>
                <w:sz w:val="21"/>
              </w:rPr>
              <w:t>风险因素</w:t>
            </w:r>
          </w:p>
        </w:tc>
        <w:tc>
          <w:tcPr>
            <w:tcW w:w="7321" w:type="dxa"/>
            <w:tcBorders>
              <w:top w:val="single" w:color="auto" w:sz="2" w:space="0"/>
              <w:left w:val="single" w:color="auto" w:sz="2" w:space="0"/>
              <w:bottom w:val="single" w:color="auto" w:sz="2" w:space="0"/>
              <w:right w:val="single" w:color="auto" w:sz="2" w:space="0"/>
            </w:tcBorders>
            <w:vAlign w:val="center"/>
          </w:tcPr>
          <w:p w14:paraId="65C49CDB">
            <w:pPr>
              <w:adjustRightInd w:val="0"/>
              <w:snapToGrid w:val="0"/>
              <w:spacing w:line="240" w:lineRule="exact"/>
              <w:rPr>
                <w:rFonts w:ascii="Arial" w:hAnsi="Arial" w:eastAsia="宋体" w:cs="Arial"/>
                <w:kern w:val="0"/>
                <w:sz w:val="21"/>
              </w:rPr>
            </w:pPr>
            <w:r>
              <w:rPr>
                <w:rFonts w:ascii="Arial" w:hAnsi="Arial" w:eastAsia="宋体" w:cs="Arial"/>
                <w:kern w:val="0"/>
                <w:sz w:val="21"/>
              </w:rPr>
              <w:t>防范措施</w:t>
            </w:r>
          </w:p>
        </w:tc>
      </w:tr>
      <w:tr w14:paraId="012F7FB6">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286" w:type="dxa"/>
            <w:gridSpan w:val="3"/>
            <w:tcBorders>
              <w:top w:val="single" w:color="auto" w:sz="2" w:space="0"/>
              <w:left w:val="single" w:color="auto" w:sz="2" w:space="0"/>
              <w:bottom w:val="single" w:color="auto" w:sz="2" w:space="0"/>
              <w:right w:val="single" w:color="auto" w:sz="2" w:space="0"/>
            </w:tcBorders>
            <w:vAlign w:val="center"/>
          </w:tcPr>
          <w:p w14:paraId="37EFAF94">
            <w:pPr>
              <w:adjustRightInd w:val="0"/>
              <w:snapToGrid w:val="0"/>
              <w:spacing w:line="240" w:lineRule="exact"/>
              <w:rPr>
                <w:rFonts w:ascii="Arial" w:hAnsi="Arial" w:eastAsia="宋体" w:cs="Arial"/>
                <w:kern w:val="0"/>
                <w:sz w:val="21"/>
              </w:rPr>
            </w:pPr>
            <w:r>
              <w:rPr>
                <w:rFonts w:ascii="Arial" w:hAnsi="Arial" w:eastAsia="宋体" w:cs="Arial"/>
                <w:kern w:val="0"/>
                <w:sz w:val="21"/>
              </w:rPr>
              <w:t>盐酸</w:t>
            </w:r>
          </w:p>
        </w:tc>
      </w:tr>
      <w:tr w14:paraId="5CED6849">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44" w:type="dxa"/>
            <w:tcBorders>
              <w:top w:val="single" w:color="auto" w:sz="2" w:space="0"/>
              <w:left w:val="single" w:color="auto" w:sz="2" w:space="0"/>
              <w:bottom w:val="single" w:color="auto" w:sz="2" w:space="0"/>
              <w:right w:val="single" w:color="auto" w:sz="2" w:space="0"/>
            </w:tcBorders>
            <w:vAlign w:val="center"/>
          </w:tcPr>
          <w:p w14:paraId="16430C69">
            <w:pPr>
              <w:adjustRightInd w:val="0"/>
              <w:snapToGrid w:val="0"/>
              <w:spacing w:line="240" w:lineRule="exact"/>
              <w:rPr>
                <w:rFonts w:ascii="Arial" w:hAnsi="Arial" w:eastAsia="宋体" w:cs="Arial"/>
                <w:kern w:val="0"/>
                <w:sz w:val="21"/>
              </w:rPr>
            </w:pPr>
            <w:r>
              <w:rPr>
                <w:rFonts w:ascii="Arial" w:hAnsi="Arial" w:eastAsia="宋体" w:cs="Arial"/>
                <w:kern w:val="0"/>
                <w:sz w:val="21"/>
              </w:rPr>
              <w:t>使用储存环节</w:t>
            </w:r>
          </w:p>
        </w:tc>
        <w:tc>
          <w:tcPr>
            <w:tcW w:w="1121" w:type="dxa"/>
            <w:tcBorders>
              <w:top w:val="single" w:color="auto" w:sz="2" w:space="0"/>
              <w:left w:val="single" w:color="auto" w:sz="2" w:space="0"/>
              <w:bottom w:val="single" w:color="auto" w:sz="2" w:space="0"/>
              <w:right w:val="single" w:color="auto" w:sz="2" w:space="0"/>
            </w:tcBorders>
            <w:vAlign w:val="center"/>
          </w:tcPr>
          <w:p w14:paraId="253FE0D4">
            <w:pPr>
              <w:adjustRightInd w:val="0"/>
              <w:snapToGrid w:val="0"/>
              <w:spacing w:line="240" w:lineRule="exact"/>
              <w:rPr>
                <w:rFonts w:ascii="Arial" w:hAnsi="Arial" w:eastAsia="宋体" w:cs="Arial"/>
                <w:kern w:val="0"/>
                <w:sz w:val="21"/>
              </w:rPr>
            </w:pPr>
            <w:r>
              <w:rPr>
                <w:rFonts w:ascii="Arial" w:hAnsi="Arial" w:eastAsia="宋体" w:cs="Arial"/>
                <w:kern w:val="0"/>
                <w:sz w:val="21"/>
              </w:rPr>
              <w:t>反应设备槽、储罐发生泄漏</w:t>
            </w:r>
          </w:p>
        </w:tc>
        <w:tc>
          <w:tcPr>
            <w:tcW w:w="7321" w:type="dxa"/>
            <w:tcBorders>
              <w:top w:val="single" w:color="auto" w:sz="2" w:space="0"/>
              <w:left w:val="single" w:color="auto" w:sz="2" w:space="0"/>
              <w:bottom w:val="single" w:color="auto" w:sz="2" w:space="0"/>
              <w:right w:val="single" w:color="auto" w:sz="2" w:space="0"/>
            </w:tcBorders>
            <w:vAlign w:val="center"/>
          </w:tcPr>
          <w:p w14:paraId="1EA0EB57">
            <w:pPr>
              <w:adjustRightInd w:val="0"/>
              <w:snapToGrid w:val="0"/>
              <w:spacing w:line="240" w:lineRule="exact"/>
              <w:rPr>
                <w:rFonts w:ascii="Arial" w:hAnsi="Arial" w:eastAsia="宋体" w:cs="Arial"/>
                <w:kern w:val="0"/>
                <w:sz w:val="21"/>
              </w:rPr>
            </w:pPr>
            <w:r>
              <w:rPr>
                <w:rFonts w:ascii="Arial" w:hAnsi="Arial" w:eastAsia="宋体" w:cs="Arial"/>
                <w:kern w:val="0"/>
                <w:sz w:val="21"/>
              </w:rPr>
              <w:t>1、盐酸储罐应设高液位报警器，并设截止阀。盐酸储罐区设置HCl 检测报警器探头。</w:t>
            </w:r>
          </w:p>
          <w:p w14:paraId="1E711AEC">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2、工作人员如皮肤接触，应立即脱去污染衣着，用大量流动清水冲洗至少15 分钟，如溅入眼中，用大量流动清水或生理盐水彻底冲洗至少15 分钟；</w:t>
            </w:r>
          </w:p>
          <w:p w14:paraId="7422954D">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迅速控制泄漏点源，迅速撤离泄漏污染区人员至上风处，并立即进行隔离，小泄漏时隔离150m，大泄漏时隔离300m，严格限制出入；</w:t>
            </w:r>
          </w:p>
          <w:p w14:paraId="6DC6B10E">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3、建议应急处理人员戴自给正压式呼吸器，穿化学防护服，从上风处进入现场，尽可能切断泄漏源；</w:t>
            </w:r>
          </w:p>
          <w:p w14:paraId="7A8354E7">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4、合理通风，加速扩散，喷水或</w:t>
            </w:r>
            <w:r>
              <w:rPr>
                <w:rFonts w:hint="eastAsia" w:ascii="Arial" w:hAnsi="Arial" w:eastAsia="宋体" w:cs="Arial"/>
                <w:kern w:val="0"/>
                <w:sz w:val="21"/>
                <w:lang w:eastAsia="zh-CN"/>
              </w:rPr>
              <w:t>其他</w:t>
            </w:r>
            <w:r>
              <w:rPr>
                <w:rFonts w:ascii="Arial" w:hAnsi="Arial" w:eastAsia="宋体" w:cs="Arial"/>
                <w:kern w:val="0"/>
                <w:sz w:val="21"/>
              </w:rPr>
              <w:t>稀碱液中和，构筑围堤或挖坑收容产生的大量废水；</w:t>
            </w:r>
          </w:p>
          <w:p w14:paraId="1B5D14A3">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5、联系设备对废水进行收集回收、稀释、中和，用黄沙和泥土吸除渗出的溶液。</w:t>
            </w:r>
          </w:p>
        </w:tc>
      </w:tr>
      <w:tr w14:paraId="51D22399">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286" w:type="dxa"/>
            <w:gridSpan w:val="3"/>
            <w:tcBorders>
              <w:top w:val="single" w:color="auto" w:sz="2" w:space="0"/>
              <w:left w:val="single" w:color="auto" w:sz="2" w:space="0"/>
              <w:bottom w:val="single" w:color="auto" w:sz="2" w:space="0"/>
              <w:right w:val="single" w:color="auto" w:sz="2" w:space="0"/>
            </w:tcBorders>
            <w:vAlign w:val="center"/>
          </w:tcPr>
          <w:p w14:paraId="1AC6A5C4">
            <w:pPr>
              <w:adjustRightInd w:val="0"/>
              <w:snapToGrid w:val="0"/>
              <w:spacing w:line="240" w:lineRule="exact"/>
              <w:rPr>
                <w:rFonts w:ascii="Arial" w:hAnsi="Arial" w:eastAsia="宋体" w:cs="Arial"/>
                <w:kern w:val="0"/>
                <w:sz w:val="21"/>
              </w:rPr>
            </w:pPr>
            <w:r>
              <w:rPr>
                <w:rFonts w:ascii="Arial" w:hAnsi="Arial" w:eastAsia="宋体" w:cs="Arial"/>
                <w:kern w:val="0"/>
                <w:sz w:val="21"/>
              </w:rPr>
              <w:t>硫酸</w:t>
            </w:r>
          </w:p>
        </w:tc>
      </w:tr>
      <w:tr w14:paraId="2179D4A9">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44" w:type="dxa"/>
            <w:tcBorders>
              <w:top w:val="single" w:color="auto" w:sz="2" w:space="0"/>
              <w:left w:val="single" w:color="auto" w:sz="2" w:space="0"/>
              <w:bottom w:val="single" w:color="auto" w:sz="2" w:space="0"/>
              <w:right w:val="single" w:color="auto" w:sz="2" w:space="0"/>
            </w:tcBorders>
            <w:vAlign w:val="center"/>
          </w:tcPr>
          <w:p w14:paraId="05AC84CB">
            <w:pPr>
              <w:adjustRightInd w:val="0"/>
              <w:snapToGrid w:val="0"/>
              <w:spacing w:line="240" w:lineRule="exact"/>
              <w:rPr>
                <w:rFonts w:ascii="Arial" w:hAnsi="Arial" w:eastAsia="宋体" w:cs="Arial"/>
                <w:kern w:val="0"/>
                <w:sz w:val="21"/>
              </w:rPr>
            </w:pPr>
            <w:r>
              <w:rPr>
                <w:rFonts w:ascii="Arial" w:hAnsi="Arial" w:eastAsia="宋体" w:cs="Arial"/>
                <w:kern w:val="0"/>
                <w:sz w:val="21"/>
              </w:rPr>
              <w:t>使用、储存环节</w:t>
            </w:r>
          </w:p>
        </w:tc>
        <w:tc>
          <w:tcPr>
            <w:tcW w:w="1121" w:type="dxa"/>
            <w:tcBorders>
              <w:top w:val="single" w:color="auto" w:sz="2" w:space="0"/>
              <w:left w:val="single" w:color="auto" w:sz="2" w:space="0"/>
              <w:bottom w:val="single" w:color="auto" w:sz="2" w:space="0"/>
              <w:right w:val="single" w:color="auto" w:sz="2" w:space="0"/>
            </w:tcBorders>
            <w:vAlign w:val="center"/>
          </w:tcPr>
          <w:p w14:paraId="466F1BEA">
            <w:pPr>
              <w:adjustRightInd w:val="0"/>
              <w:snapToGrid w:val="0"/>
              <w:spacing w:line="240" w:lineRule="exact"/>
              <w:rPr>
                <w:rFonts w:ascii="Arial" w:hAnsi="Arial" w:eastAsia="宋体" w:cs="Arial"/>
                <w:kern w:val="0"/>
                <w:sz w:val="21"/>
              </w:rPr>
            </w:pPr>
            <w:r>
              <w:rPr>
                <w:rFonts w:ascii="Arial" w:hAnsi="Arial" w:eastAsia="宋体" w:cs="Arial"/>
                <w:kern w:val="0"/>
                <w:sz w:val="21"/>
              </w:rPr>
              <w:t>反应设备槽、储罐发生泄漏</w:t>
            </w:r>
          </w:p>
        </w:tc>
        <w:tc>
          <w:tcPr>
            <w:tcW w:w="7321" w:type="dxa"/>
            <w:tcBorders>
              <w:top w:val="single" w:color="auto" w:sz="2" w:space="0"/>
              <w:left w:val="single" w:color="auto" w:sz="2" w:space="0"/>
              <w:bottom w:val="single" w:color="auto" w:sz="2" w:space="0"/>
              <w:right w:val="single" w:color="auto" w:sz="2" w:space="0"/>
            </w:tcBorders>
            <w:vAlign w:val="center"/>
          </w:tcPr>
          <w:p w14:paraId="2F8EB461">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1、在硫酸储罐周围设置围堰，围堰内铺设耐酸砖地面。</w:t>
            </w:r>
          </w:p>
          <w:p w14:paraId="10AAB4F3">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2、如硫酸外泄，处理人员应戴好耐酸防护服、防毒面具与橡皮手套再进行泄漏物的处理；</w:t>
            </w:r>
          </w:p>
          <w:p w14:paraId="7FEC7B3B">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3、被硫酸污染后的地面上洒上碳酸钠或烧碱中和后，再用水冲洗；</w:t>
            </w:r>
          </w:p>
          <w:p w14:paraId="2E40860A">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4、禁止直接用水冲洗硫酸外泄液；</w:t>
            </w:r>
          </w:p>
          <w:p w14:paraId="7C62EDFE">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5、派专人不定期对硫酸贮罐及输出管道、阀门等部件进行检修，及时更换即将损坏的零件；</w:t>
            </w:r>
          </w:p>
          <w:p w14:paraId="7A512A99">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6、硫酸贮罐应放置于通风、阴凉和干燥的地方，且地坪需经耐酸处理；</w:t>
            </w:r>
          </w:p>
          <w:p w14:paraId="16DC1D34">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7、在硫酸贮罐周围不能堆放易燃物品，不能有火源与热源；</w:t>
            </w:r>
          </w:p>
          <w:p w14:paraId="155923D8">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8、附近相关设备要接地线；</w:t>
            </w:r>
          </w:p>
          <w:p w14:paraId="17C0C1AE">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9、配备碱性溶液，以备职工在操作中被硫酸灼伤可进行一定的处理；</w:t>
            </w:r>
          </w:p>
          <w:p w14:paraId="58D2EA21">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10、在厂区应配备一定量碱以防应急处理使用；</w:t>
            </w:r>
          </w:p>
          <w:p w14:paraId="2E6CDD7D">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11、根据规定对贮存设备进行分级，按分级要求，确定检查频率，并保存记录。</w:t>
            </w:r>
          </w:p>
        </w:tc>
      </w:tr>
    </w:tbl>
    <w:p w14:paraId="59E01F79">
      <w:pPr>
        <w:spacing w:line="500" w:lineRule="exact"/>
        <w:ind w:firstLine="490" w:firstLineChars="200"/>
        <w:rPr>
          <w:rFonts w:ascii="Arial" w:hAnsi="Arial" w:eastAsia="宋体" w:cs="Arial"/>
          <w:spacing w:val="10"/>
          <w:sz w:val="24"/>
          <w:szCs w:val="24"/>
        </w:rPr>
      </w:pPr>
      <w:r>
        <w:rPr>
          <w:rFonts w:hint="eastAsia" w:ascii="宋体" w:hAnsi="宋体" w:eastAsia="宋体" w:cs="宋体"/>
          <w:spacing w:val="10"/>
          <w:sz w:val="24"/>
          <w:szCs w:val="24"/>
        </w:rPr>
        <w:t>⑦</w:t>
      </w:r>
      <w:r>
        <w:rPr>
          <w:rFonts w:ascii="Arial" w:hAnsi="Arial" w:eastAsia="宋体" w:cs="Arial"/>
          <w:spacing w:val="10"/>
          <w:sz w:val="24"/>
          <w:szCs w:val="24"/>
        </w:rPr>
        <w:t>天然气风险防范措施</w:t>
      </w:r>
    </w:p>
    <w:p w14:paraId="06245B1F">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天然气风险防范措施</w:t>
      </w:r>
    </w:p>
    <w:tbl>
      <w:tblPr>
        <w:tblStyle w:val="88"/>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24"/>
        <w:gridCol w:w="2180"/>
        <w:gridCol w:w="5989"/>
      </w:tblGrid>
      <w:tr w14:paraId="622DA8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58" w:type="pct"/>
            <w:tcBorders>
              <w:top w:val="single" w:color="auto" w:sz="2" w:space="0"/>
              <w:left w:val="single" w:color="auto" w:sz="2" w:space="0"/>
              <w:bottom w:val="single" w:color="auto" w:sz="2" w:space="0"/>
              <w:right w:val="single" w:color="auto" w:sz="2" w:space="0"/>
            </w:tcBorders>
            <w:vAlign w:val="center"/>
          </w:tcPr>
          <w:p w14:paraId="3BC878E6">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序号</w:t>
            </w:r>
          </w:p>
        </w:tc>
        <w:tc>
          <w:tcPr>
            <w:tcW w:w="1212" w:type="pct"/>
            <w:tcBorders>
              <w:top w:val="single" w:color="auto" w:sz="2" w:space="0"/>
              <w:left w:val="single" w:color="auto" w:sz="2" w:space="0"/>
              <w:bottom w:val="single" w:color="auto" w:sz="2" w:space="0"/>
              <w:right w:val="single" w:color="auto" w:sz="2" w:space="0"/>
            </w:tcBorders>
            <w:vAlign w:val="center"/>
          </w:tcPr>
          <w:p w14:paraId="14D2D1B8">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风险因素</w:t>
            </w:r>
          </w:p>
        </w:tc>
        <w:tc>
          <w:tcPr>
            <w:tcW w:w="3330" w:type="pct"/>
            <w:tcBorders>
              <w:top w:val="single" w:color="auto" w:sz="2" w:space="0"/>
              <w:left w:val="single" w:color="auto" w:sz="2" w:space="0"/>
              <w:bottom w:val="single" w:color="auto" w:sz="2" w:space="0"/>
              <w:right w:val="single" w:color="auto" w:sz="2" w:space="0"/>
            </w:tcBorders>
            <w:vAlign w:val="center"/>
          </w:tcPr>
          <w:p w14:paraId="76C4423A">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防范措施</w:t>
            </w:r>
          </w:p>
        </w:tc>
      </w:tr>
      <w:tr w14:paraId="5B899CE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58" w:type="pct"/>
            <w:tcBorders>
              <w:top w:val="single" w:color="auto" w:sz="2" w:space="0"/>
              <w:left w:val="single" w:color="auto" w:sz="2" w:space="0"/>
              <w:bottom w:val="single" w:color="auto" w:sz="2" w:space="0"/>
              <w:right w:val="single" w:color="auto" w:sz="2" w:space="0"/>
            </w:tcBorders>
            <w:vAlign w:val="center"/>
          </w:tcPr>
          <w:p w14:paraId="0CAEB294">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使用环节</w:t>
            </w:r>
          </w:p>
        </w:tc>
        <w:tc>
          <w:tcPr>
            <w:tcW w:w="1212" w:type="pct"/>
            <w:tcBorders>
              <w:top w:val="single" w:color="auto" w:sz="2" w:space="0"/>
              <w:left w:val="single" w:color="auto" w:sz="2" w:space="0"/>
              <w:bottom w:val="single" w:color="auto" w:sz="2" w:space="0"/>
              <w:right w:val="single" w:color="auto" w:sz="2" w:space="0"/>
            </w:tcBorders>
            <w:vAlign w:val="center"/>
          </w:tcPr>
          <w:p w14:paraId="2505846D">
            <w:pPr>
              <w:adjustRightInd w:val="0"/>
              <w:snapToGrid w:val="0"/>
              <w:spacing w:line="240" w:lineRule="exact"/>
              <w:jc w:val="left"/>
              <w:rPr>
                <w:rFonts w:ascii="Arial" w:hAnsi="Arial" w:eastAsia="宋体" w:cs="Arial"/>
                <w:kern w:val="0"/>
                <w:sz w:val="21"/>
              </w:rPr>
            </w:pPr>
            <w:r>
              <w:rPr>
                <w:rFonts w:hint="eastAsia" w:ascii="宋体" w:hAnsi="宋体" w:eastAsia="宋体" w:cs="宋体"/>
                <w:kern w:val="0"/>
                <w:sz w:val="21"/>
              </w:rPr>
              <w:t>⑴</w:t>
            </w:r>
            <w:r>
              <w:rPr>
                <w:rFonts w:ascii="Arial" w:hAnsi="Arial" w:eastAsia="宋体" w:cs="Arial"/>
                <w:kern w:val="0"/>
                <w:sz w:val="21"/>
              </w:rPr>
              <w:t>管线发生泄漏或爆炸；</w:t>
            </w:r>
            <w:r>
              <w:rPr>
                <w:rFonts w:hint="eastAsia" w:ascii="宋体" w:hAnsi="宋体" w:eastAsia="宋体" w:cs="宋体"/>
                <w:kern w:val="0"/>
                <w:sz w:val="21"/>
              </w:rPr>
              <w:t>⑵</w:t>
            </w:r>
            <w:r>
              <w:rPr>
                <w:rFonts w:ascii="Arial" w:hAnsi="Arial" w:eastAsia="宋体" w:cs="Arial"/>
                <w:kern w:val="0"/>
                <w:sz w:val="21"/>
              </w:rPr>
              <w:t>员工生产操作技术不符合规范导致氨气泄漏；</w:t>
            </w:r>
            <w:r>
              <w:rPr>
                <w:rFonts w:hint="eastAsia" w:ascii="宋体" w:hAnsi="宋体" w:eastAsia="宋体" w:cs="宋体"/>
                <w:kern w:val="0"/>
                <w:sz w:val="21"/>
              </w:rPr>
              <w:t>⑶</w:t>
            </w:r>
            <w:r>
              <w:rPr>
                <w:rFonts w:ascii="Arial" w:hAnsi="Arial" w:eastAsia="宋体" w:cs="Arial"/>
                <w:kern w:val="0"/>
                <w:sz w:val="21"/>
              </w:rPr>
              <w:t>连接管阀门密封不严泄漏。</w:t>
            </w:r>
          </w:p>
        </w:tc>
        <w:tc>
          <w:tcPr>
            <w:tcW w:w="3330" w:type="pct"/>
            <w:tcBorders>
              <w:top w:val="single" w:color="auto" w:sz="2" w:space="0"/>
              <w:left w:val="single" w:color="auto" w:sz="2" w:space="0"/>
              <w:bottom w:val="single" w:color="auto" w:sz="2" w:space="0"/>
              <w:right w:val="single" w:color="auto" w:sz="2" w:space="0"/>
            </w:tcBorders>
            <w:vAlign w:val="center"/>
          </w:tcPr>
          <w:p w14:paraId="5FB606F6">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1、控制天然气的泄漏；</w:t>
            </w:r>
          </w:p>
          <w:p w14:paraId="65360280">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2、设立警戒区域，除消防及应急处理人员外，</w:t>
            </w:r>
            <w:r>
              <w:rPr>
                <w:rFonts w:hint="eastAsia" w:ascii="Arial" w:hAnsi="Arial" w:eastAsia="宋体" w:cs="Arial"/>
                <w:kern w:val="0"/>
                <w:sz w:val="21"/>
                <w:lang w:eastAsia="zh-CN"/>
              </w:rPr>
              <w:t>其他</w:t>
            </w:r>
            <w:r>
              <w:rPr>
                <w:rFonts w:ascii="Arial" w:hAnsi="Arial" w:eastAsia="宋体" w:cs="Arial"/>
                <w:kern w:val="0"/>
                <w:sz w:val="21"/>
              </w:rPr>
              <w:t>人员禁止进入警戒区；</w:t>
            </w:r>
          </w:p>
          <w:p w14:paraId="640AE15C">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3、严禁火种进入警戒区域。进入现场人员严禁携带手机、非防爆对讲机、照相机、录像机，必要时切断事故现场电源；</w:t>
            </w:r>
          </w:p>
          <w:p w14:paraId="10745FBD">
            <w:pPr>
              <w:adjustRightInd w:val="0"/>
              <w:snapToGrid w:val="0"/>
              <w:spacing w:line="240" w:lineRule="exact"/>
              <w:jc w:val="left"/>
              <w:rPr>
                <w:rFonts w:ascii="Arial" w:hAnsi="Arial" w:eastAsia="宋体" w:cs="Arial"/>
                <w:kern w:val="0"/>
                <w:sz w:val="21"/>
              </w:rPr>
            </w:pPr>
            <w:r>
              <w:rPr>
                <w:rFonts w:ascii="Arial" w:hAnsi="Arial" w:eastAsia="宋体" w:cs="Arial"/>
                <w:kern w:val="0"/>
                <w:sz w:val="21"/>
              </w:rPr>
              <w:t>4、对泄漏物进行收容、处理，使泄漏物得到安全可靠的处置，防止二次事故发生。</w:t>
            </w:r>
          </w:p>
        </w:tc>
      </w:tr>
    </w:tbl>
    <w:p w14:paraId="4955B33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w:t>
      </w:r>
      <w:r>
        <w:rPr>
          <w:rFonts w:hint="eastAsia" w:ascii="Arial" w:hAnsi="Arial" w:eastAsia="宋体" w:cs="Arial"/>
          <w:spacing w:val="10"/>
          <w:sz w:val="24"/>
          <w:szCs w:val="24"/>
        </w:rPr>
        <w:t>已有的</w:t>
      </w:r>
      <w:r>
        <w:rPr>
          <w:rFonts w:ascii="Arial" w:hAnsi="Arial" w:eastAsia="宋体" w:cs="Arial"/>
          <w:spacing w:val="10"/>
          <w:sz w:val="24"/>
          <w:szCs w:val="24"/>
        </w:rPr>
        <w:t>地下水风险防范措施</w:t>
      </w:r>
    </w:p>
    <w:p w14:paraId="77CA437C">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厂区已建工程</w:t>
      </w:r>
      <w:r>
        <w:rPr>
          <w:rFonts w:ascii="Arial" w:hAnsi="Arial" w:eastAsia="宋体" w:cs="Arial"/>
          <w:spacing w:val="10"/>
          <w:sz w:val="24"/>
          <w:szCs w:val="24"/>
        </w:rPr>
        <w:t>采取分区防渗措施。</w:t>
      </w:r>
    </w:p>
    <w:p w14:paraId="258BF6D1">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目前企业已设置4个地下水监控井，分别为2#（一号地块西北角）、3#（一号地块东南角）、4#（二号地块东南角）、5#监控井（三号地块东南角）。</w:t>
      </w:r>
    </w:p>
    <w:p w14:paraId="058872B1">
      <w:pPr>
        <w:ind w:firstLine="530" w:firstLineChars="200"/>
        <w:jc w:val="center"/>
        <w:rPr>
          <w:rFonts w:ascii="Arial" w:hAnsi="Arial" w:eastAsia="宋体" w:cs="Arial"/>
          <w:spacing w:val="10"/>
          <w:sz w:val="24"/>
          <w:szCs w:val="24"/>
        </w:rPr>
      </w:pPr>
      <w:r>
        <w:rPr>
          <w:rFonts w:ascii="Arial" w:hAnsi="Arial" w:cs="Arial"/>
        </w:rPr>
        <w:drawing>
          <wp:inline distT="0" distB="0" distL="0" distR="0">
            <wp:extent cx="3872230" cy="4019550"/>
            <wp:effectExtent l="19050" t="19050" r="13970" b="1905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47"/>
                    <a:stretch>
                      <a:fillRect/>
                    </a:stretch>
                  </pic:blipFill>
                  <pic:spPr>
                    <a:xfrm>
                      <a:off x="0" y="0"/>
                      <a:ext cx="3876037" cy="4023696"/>
                    </a:xfrm>
                    <a:prstGeom prst="rect">
                      <a:avLst/>
                    </a:prstGeom>
                    <a:ln w="12700">
                      <a:solidFill>
                        <a:sysClr val="windowText" lastClr="000000"/>
                      </a:solidFill>
                    </a:ln>
                  </pic:spPr>
                </pic:pic>
              </a:graphicData>
            </a:graphic>
          </wp:inline>
        </w:drawing>
      </w:r>
    </w:p>
    <w:p w14:paraId="5EA49DB5">
      <w:pPr>
        <w:spacing w:line="500" w:lineRule="exact"/>
        <w:ind w:firstLine="490" w:firstLineChars="200"/>
        <w:jc w:val="center"/>
        <w:rPr>
          <w:rFonts w:ascii="Arial" w:hAnsi="Arial" w:eastAsia="宋体" w:cs="Arial"/>
          <w:b/>
          <w:spacing w:val="10"/>
          <w:sz w:val="24"/>
          <w:szCs w:val="24"/>
        </w:rPr>
      </w:pPr>
      <w:r>
        <w:rPr>
          <w:rFonts w:ascii="Arial" w:hAnsi="Arial" w:eastAsia="宋体" w:cs="Arial"/>
          <w:b/>
          <w:spacing w:val="10"/>
          <w:sz w:val="24"/>
          <w:szCs w:val="24"/>
        </w:rPr>
        <w:t>图4.3-1</w:t>
      </w:r>
      <w:r>
        <w:rPr>
          <w:rFonts w:hint="eastAsia" w:ascii="Arial" w:hAnsi="Arial" w:eastAsia="宋体" w:cs="Arial"/>
          <w:b/>
          <w:spacing w:val="10"/>
          <w:sz w:val="24"/>
          <w:szCs w:val="24"/>
        </w:rPr>
        <w:t>9</w:t>
      </w:r>
      <w:r>
        <w:rPr>
          <w:rFonts w:ascii="Arial" w:hAnsi="Arial" w:eastAsia="宋体" w:cs="Arial"/>
          <w:b/>
          <w:spacing w:val="10"/>
          <w:sz w:val="24"/>
          <w:szCs w:val="24"/>
        </w:rPr>
        <w:t xml:space="preserve">  厂区地下水监控井分布示意图</w:t>
      </w:r>
    </w:p>
    <w:p w14:paraId="6C430570">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4.现有工程应急物资</w:t>
      </w:r>
    </w:p>
    <w:p w14:paraId="62348DF9">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建设单位广西中伟新能源科技有限公司已委托编制了突发环境事件应急预案并在钦州市生态环境局备案成功。目前已有的应急储备物资见表4-</w:t>
      </w:r>
      <w:r>
        <w:rPr>
          <w:rFonts w:hint="eastAsia" w:ascii="Arial" w:hAnsi="Arial" w:eastAsia="宋体" w:cs="Arial"/>
          <w:spacing w:val="10"/>
          <w:sz w:val="24"/>
          <w:szCs w:val="24"/>
        </w:rPr>
        <w:t>78</w:t>
      </w:r>
      <w:r>
        <w:rPr>
          <w:rFonts w:ascii="Arial" w:hAnsi="Arial" w:eastAsia="宋体" w:cs="Arial"/>
          <w:spacing w:val="10"/>
          <w:sz w:val="24"/>
          <w:szCs w:val="24"/>
        </w:rPr>
        <w:t>。</w:t>
      </w:r>
    </w:p>
    <w:p w14:paraId="15378611">
      <w:pPr>
        <w:numPr>
          <w:ilvl w:val="0"/>
          <w:numId w:val="22"/>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应急储备物资明细表</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27"/>
        <w:gridCol w:w="2443"/>
        <w:gridCol w:w="763"/>
        <w:gridCol w:w="749"/>
        <w:gridCol w:w="1197"/>
        <w:gridCol w:w="2097"/>
        <w:gridCol w:w="1011"/>
      </w:tblGrid>
      <w:tr w14:paraId="4001AD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0E1EF047">
            <w:pPr>
              <w:spacing w:line="240" w:lineRule="exact"/>
              <w:jc w:val="center"/>
              <w:rPr>
                <w:rFonts w:ascii="Arial" w:hAnsi="Arial" w:eastAsia="宋体" w:cs="Arial"/>
                <w:sz w:val="21"/>
                <w:szCs w:val="21"/>
              </w:rPr>
            </w:pPr>
            <w:bookmarkStart w:id="343" w:name="_Hlk130234708"/>
            <w:r>
              <w:rPr>
                <w:rFonts w:ascii="Arial" w:hAnsi="Arial" w:eastAsia="宋体" w:cs="Arial"/>
                <w:sz w:val="21"/>
                <w:szCs w:val="21"/>
              </w:rPr>
              <w:t>序号</w:t>
            </w:r>
          </w:p>
        </w:tc>
        <w:tc>
          <w:tcPr>
            <w:tcW w:w="1390" w:type="pct"/>
            <w:vAlign w:val="center"/>
          </w:tcPr>
          <w:p w14:paraId="53F48CD0">
            <w:pPr>
              <w:spacing w:line="240" w:lineRule="exact"/>
              <w:jc w:val="center"/>
              <w:rPr>
                <w:rFonts w:ascii="Arial" w:hAnsi="Arial" w:eastAsia="宋体" w:cs="Arial"/>
                <w:sz w:val="21"/>
                <w:szCs w:val="21"/>
              </w:rPr>
            </w:pPr>
            <w:r>
              <w:rPr>
                <w:rFonts w:ascii="Arial" w:hAnsi="Arial" w:eastAsia="宋体" w:cs="Arial"/>
                <w:sz w:val="21"/>
                <w:szCs w:val="21"/>
              </w:rPr>
              <w:t>物资名称</w:t>
            </w:r>
          </w:p>
        </w:tc>
        <w:tc>
          <w:tcPr>
            <w:tcW w:w="434" w:type="pct"/>
            <w:vAlign w:val="center"/>
          </w:tcPr>
          <w:p w14:paraId="67CAEA2B">
            <w:pPr>
              <w:spacing w:line="240" w:lineRule="exact"/>
              <w:jc w:val="center"/>
              <w:rPr>
                <w:rFonts w:ascii="Arial" w:hAnsi="Arial" w:eastAsia="宋体" w:cs="Arial"/>
                <w:sz w:val="21"/>
                <w:szCs w:val="21"/>
              </w:rPr>
            </w:pPr>
            <w:r>
              <w:rPr>
                <w:rFonts w:ascii="Arial" w:hAnsi="Arial" w:eastAsia="宋体" w:cs="Arial"/>
                <w:sz w:val="21"/>
                <w:szCs w:val="21"/>
              </w:rPr>
              <w:t>单位</w:t>
            </w:r>
          </w:p>
        </w:tc>
        <w:tc>
          <w:tcPr>
            <w:tcW w:w="426" w:type="pct"/>
            <w:vAlign w:val="center"/>
          </w:tcPr>
          <w:p w14:paraId="6E864EF5">
            <w:pPr>
              <w:spacing w:line="240" w:lineRule="exact"/>
              <w:jc w:val="center"/>
              <w:rPr>
                <w:rFonts w:ascii="Arial" w:hAnsi="Arial" w:eastAsia="宋体" w:cs="Arial"/>
                <w:sz w:val="21"/>
                <w:szCs w:val="21"/>
              </w:rPr>
            </w:pPr>
            <w:r>
              <w:rPr>
                <w:rFonts w:ascii="Arial" w:hAnsi="Arial" w:eastAsia="宋体" w:cs="Arial"/>
                <w:sz w:val="21"/>
                <w:szCs w:val="21"/>
              </w:rPr>
              <w:t>数量</w:t>
            </w:r>
          </w:p>
        </w:tc>
        <w:tc>
          <w:tcPr>
            <w:tcW w:w="681" w:type="pct"/>
            <w:vAlign w:val="center"/>
          </w:tcPr>
          <w:p w14:paraId="318FF6F4">
            <w:pPr>
              <w:spacing w:line="240" w:lineRule="exact"/>
              <w:jc w:val="center"/>
              <w:rPr>
                <w:rFonts w:ascii="Arial" w:hAnsi="Arial" w:eastAsia="宋体" w:cs="Arial"/>
                <w:sz w:val="21"/>
                <w:szCs w:val="21"/>
              </w:rPr>
            </w:pPr>
            <w:r>
              <w:rPr>
                <w:rFonts w:ascii="Arial" w:hAnsi="Arial" w:eastAsia="宋体" w:cs="Arial"/>
                <w:sz w:val="21"/>
                <w:szCs w:val="21"/>
              </w:rPr>
              <w:t>功能</w:t>
            </w:r>
          </w:p>
        </w:tc>
        <w:tc>
          <w:tcPr>
            <w:tcW w:w="1193" w:type="pct"/>
            <w:vAlign w:val="center"/>
          </w:tcPr>
          <w:p w14:paraId="7B01C27B">
            <w:pPr>
              <w:spacing w:line="240" w:lineRule="exact"/>
              <w:jc w:val="center"/>
              <w:rPr>
                <w:rFonts w:ascii="Arial" w:hAnsi="Arial" w:eastAsia="宋体" w:cs="Arial"/>
                <w:sz w:val="21"/>
                <w:szCs w:val="21"/>
              </w:rPr>
            </w:pPr>
            <w:r>
              <w:rPr>
                <w:rFonts w:ascii="Arial" w:hAnsi="Arial" w:eastAsia="宋体" w:cs="Arial"/>
                <w:sz w:val="21"/>
                <w:szCs w:val="21"/>
              </w:rPr>
              <w:t>规格</w:t>
            </w:r>
          </w:p>
        </w:tc>
        <w:tc>
          <w:tcPr>
            <w:tcW w:w="575" w:type="pct"/>
            <w:vAlign w:val="center"/>
          </w:tcPr>
          <w:p w14:paraId="0D8EF2B4">
            <w:pPr>
              <w:spacing w:line="240" w:lineRule="exact"/>
              <w:jc w:val="center"/>
              <w:rPr>
                <w:rFonts w:ascii="Arial" w:hAnsi="Arial" w:eastAsia="宋体" w:cs="Arial"/>
                <w:sz w:val="21"/>
                <w:szCs w:val="21"/>
              </w:rPr>
            </w:pPr>
            <w:r>
              <w:rPr>
                <w:rFonts w:ascii="Arial" w:hAnsi="Arial" w:eastAsia="宋体" w:cs="Arial"/>
                <w:sz w:val="21"/>
                <w:szCs w:val="21"/>
              </w:rPr>
              <w:t>补充物资情况</w:t>
            </w:r>
          </w:p>
        </w:tc>
      </w:tr>
      <w:tr w14:paraId="6BAD91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1B63ED86">
            <w:pPr>
              <w:spacing w:line="240" w:lineRule="exact"/>
              <w:jc w:val="center"/>
              <w:rPr>
                <w:rFonts w:ascii="Arial" w:hAnsi="Arial" w:eastAsia="宋体" w:cs="Arial"/>
                <w:sz w:val="21"/>
                <w:szCs w:val="21"/>
              </w:rPr>
            </w:pPr>
            <w:r>
              <w:rPr>
                <w:rFonts w:ascii="Arial" w:hAnsi="Arial" w:eastAsia="宋体" w:cs="Arial"/>
                <w:sz w:val="21"/>
                <w:szCs w:val="21"/>
              </w:rPr>
              <w:t>1</w:t>
            </w:r>
          </w:p>
        </w:tc>
        <w:tc>
          <w:tcPr>
            <w:tcW w:w="1390" w:type="pct"/>
            <w:tcBorders>
              <w:bottom w:val="single" w:color="000000" w:sz="8" w:space="0"/>
              <w:right w:val="single" w:color="000000" w:sz="8" w:space="0"/>
            </w:tcBorders>
            <w:vAlign w:val="center"/>
          </w:tcPr>
          <w:p w14:paraId="639BFE60">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二级化学防护服装（红色）</w:t>
            </w:r>
          </w:p>
        </w:tc>
        <w:tc>
          <w:tcPr>
            <w:tcW w:w="434" w:type="pct"/>
            <w:tcBorders>
              <w:left w:val="single" w:color="000000" w:sz="8" w:space="0"/>
              <w:bottom w:val="single" w:color="000000" w:sz="8" w:space="0"/>
              <w:right w:val="single" w:color="000000" w:sz="8" w:space="0"/>
            </w:tcBorders>
            <w:vAlign w:val="center"/>
          </w:tcPr>
          <w:p w14:paraId="727A9AC3">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426" w:type="pct"/>
            <w:tcBorders>
              <w:left w:val="single" w:color="000000" w:sz="8" w:space="0"/>
              <w:bottom w:val="single" w:color="000000" w:sz="8" w:space="0"/>
              <w:right w:val="single" w:color="000000" w:sz="8" w:space="0"/>
            </w:tcBorders>
            <w:vAlign w:val="center"/>
          </w:tcPr>
          <w:p w14:paraId="64902EA3">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4</w:t>
            </w:r>
          </w:p>
        </w:tc>
        <w:tc>
          <w:tcPr>
            <w:tcW w:w="681" w:type="pct"/>
            <w:vMerge w:val="restart"/>
            <w:tcBorders>
              <w:left w:val="single" w:color="000000" w:sz="8" w:space="0"/>
              <w:right w:val="single" w:color="000000" w:sz="8" w:space="0"/>
            </w:tcBorders>
            <w:vAlign w:val="center"/>
          </w:tcPr>
          <w:p w14:paraId="0A5A108A">
            <w:pPr>
              <w:spacing w:line="240" w:lineRule="exact"/>
              <w:jc w:val="center"/>
              <w:rPr>
                <w:rFonts w:ascii="Arial" w:hAnsi="Arial" w:eastAsia="宋体" w:cs="Arial"/>
                <w:sz w:val="21"/>
                <w:szCs w:val="21"/>
              </w:rPr>
            </w:pPr>
            <w:r>
              <w:rPr>
                <w:rFonts w:ascii="Arial" w:hAnsi="Arial" w:eastAsia="宋体" w:cs="Arial"/>
                <w:sz w:val="21"/>
                <w:szCs w:val="21"/>
              </w:rPr>
              <w:t>人员防护</w:t>
            </w:r>
          </w:p>
        </w:tc>
        <w:tc>
          <w:tcPr>
            <w:tcW w:w="1193" w:type="pct"/>
            <w:tcBorders>
              <w:left w:val="single" w:color="000000" w:sz="8" w:space="0"/>
            </w:tcBorders>
            <w:vAlign w:val="center"/>
          </w:tcPr>
          <w:p w14:paraId="3C393222">
            <w:pPr>
              <w:spacing w:line="240" w:lineRule="exact"/>
              <w:jc w:val="center"/>
              <w:rPr>
                <w:rFonts w:ascii="Arial" w:hAnsi="Arial" w:eastAsia="宋体" w:cs="Arial"/>
                <w:sz w:val="21"/>
                <w:szCs w:val="21"/>
              </w:rPr>
            </w:pPr>
            <w:r>
              <w:rPr>
                <w:rFonts w:ascii="Arial" w:hAnsi="Arial" w:eastAsia="宋体" w:cs="Arial"/>
                <w:sz w:val="21"/>
                <w:szCs w:val="21"/>
              </w:rPr>
              <w:t>带防化靴，防化手套</w:t>
            </w:r>
          </w:p>
        </w:tc>
        <w:tc>
          <w:tcPr>
            <w:tcW w:w="575" w:type="pct"/>
            <w:vAlign w:val="center"/>
          </w:tcPr>
          <w:p w14:paraId="79451E6F">
            <w:pPr>
              <w:spacing w:line="240" w:lineRule="exact"/>
              <w:jc w:val="center"/>
              <w:rPr>
                <w:rFonts w:ascii="Arial" w:hAnsi="Arial" w:eastAsia="宋体" w:cs="Arial"/>
                <w:sz w:val="21"/>
                <w:szCs w:val="21"/>
              </w:rPr>
            </w:pPr>
          </w:p>
        </w:tc>
      </w:tr>
      <w:tr w14:paraId="2F4ACA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7CB74510">
            <w:pPr>
              <w:spacing w:line="240" w:lineRule="exact"/>
              <w:jc w:val="center"/>
              <w:rPr>
                <w:rFonts w:ascii="Arial" w:hAnsi="Arial" w:eastAsia="宋体" w:cs="Arial"/>
                <w:sz w:val="21"/>
                <w:szCs w:val="21"/>
              </w:rPr>
            </w:pPr>
            <w:r>
              <w:rPr>
                <w:rFonts w:ascii="Arial" w:hAnsi="Arial" w:eastAsia="宋体" w:cs="Arial"/>
                <w:sz w:val="21"/>
                <w:szCs w:val="21"/>
              </w:rPr>
              <w:t>2</w:t>
            </w:r>
          </w:p>
        </w:tc>
        <w:tc>
          <w:tcPr>
            <w:tcW w:w="1390" w:type="pct"/>
            <w:tcBorders>
              <w:top w:val="single" w:color="000000" w:sz="8" w:space="0"/>
            </w:tcBorders>
            <w:vAlign w:val="center"/>
          </w:tcPr>
          <w:p w14:paraId="1DE176B8">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防化手套</w:t>
            </w:r>
          </w:p>
        </w:tc>
        <w:tc>
          <w:tcPr>
            <w:tcW w:w="434" w:type="pct"/>
            <w:tcBorders>
              <w:top w:val="single" w:color="000000" w:sz="8" w:space="0"/>
            </w:tcBorders>
            <w:vAlign w:val="center"/>
          </w:tcPr>
          <w:p w14:paraId="6D9426B7">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副</w:t>
            </w:r>
          </w:p>
        </w:tc>
        <w:tc>
          <w:tcPr>
            <w:tcW w:w="426" w:type="pct"/>
            <w:tcBorders>
              <w:top w:val="single" w:color="000000" w:sz="8" w:space="0"/>
            </w:tcBorders>
            <w:vAlign w:val="center"/>
          </w:tcPr>
          <w:p w14:paraId="679E2B52">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15</w:t>
            </w:r>
          </w:p>
        </w:tc>
        <w:tc>
          <w:tcPr>
            <w:tcW w:w="681" w:type="pct"/>
            <w:vMerge w:val="continue"/>
            <w:tcBorders>
              <w:left w:val="single" w:color="000000" w:sz="8" w:space="0"/>
              <w:right w:val="single" w:color="000000" w:sz="8" w:space="0"/>
            </w:tcBorders>
            <w:vAlign w:val="center"/>
          </w:tcPr>
          <w:p w14:paraId="39F0D7E9">
            <w:pPr>
              <w:spacing w:line="240" w:lineRule="exact"/>
              <w:jc w:val="center"/>
              <w:rPr>
                <w:rFonts w:ascii="Arial" w:hAnsi="Arial" w:eastAsia="宋体" w:cs="Arial"/>
                <w:sz w:val="21"/>
                <w:szCs w:val="21"/>
              </w:rPr>
            </w:pPr>
          </w:p>
        </w:tc>
        <w:tc>
          <w:tcPr>
            <w:tcW w:w="1193" w:type="pct"/>
            <w:tcBorders>
              <w:left w:val="single" w:color="000000" w:sz="8" w:space="0"/>
              <w:right w:val="single" w:color="000000" w:sz="8" w:space="0"/>
            </w:tcBorders>
            <w:vAlign w:val="center"/>
          </w:tcPr>
          <w:p w14:paraId="6797C76E">
            <w:pPr>
              <w:spacing w:line="240" w:lineRule="exact"/>
              <w:jc w:val="center"/>
              <w:rPr>
                <w:rFonts w:ascii="Arial" w:hAnsi="Arial" w:eastAsia="宋体" w:cs="Arial"/>
                <w:sz w:val="21"/>
                <w:szCs w:val="21"/>
              </w:rPr>
            </w:pPr>
            <w:r>
              <w:rPr>
                <w:rFonts w:ascii="Arial" w:hAnsi="Arial" w:eastAsia="宋体" w:cs="Arial"/>
                <w:sz w:val="21"/>
                <w:szCs w:val="21"/>
              </w:rPr>
              <w:t>雷克兰，防化耐油耐酸碱</w:t>
            </w:r>
          </w:p>
        </w:tc>
        <w:tc>
          <w:tcPr>
            <w:tcW w:w="575" w:type="pct"/>
            <w:tcBorders>
              <w:left w:val="single" w:color="000000" w:sz="8" w:space="0"/>
            </w:tcBorders>
            <w:vAlign w:val="center"/>
          </w:tcPr>
          <w:p w14:paraId="44CAB33B">
            <w:pPr>
              <w:spacing w:line="240" w:lineRule="exact"/>
              <w:jc w:val="center"/>
              <w:rPr>
                <w:rFonts w:ascii="Arial" w:hAnsi="Arial" w:eastAsia="宋体" w:cs="Arial"/>
                <w:sz w:val="21"/>
                <w:szCs w:val="21"/>
              </w:rPr>
            </w:pPr>
          </w:p>
        </w:tc>
      </w:tr>
      <w:tr w14:paraId="314E0D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6340E7EF">
            <w:pPr>
              <w:spacing w:line="240" w:lineRule="exact"/>
              <w:jc w:val="center"/>
              <w:rPr>
                <w:rFonts w:ascii="Arial" w:hAnsi="Arial" w:eastAsia="宋体" w:cs="Arial"/>
                <w:sz w:val="21"/>
                <w:szCs w:val="21"/>
              </w:rPr>
            </w:pPr>
            <w:r>
              <w:rPr>
                <w:rFonts w:ascii="Arial" w:hAnsi="Arial" w:eastAsia="宋体" w:cs="Arial"/>
                <w:sz w:val="21"/>
                <w:szCs w:val="21"/>
              </w:rPr>
              <w:t>3</w:t>
            </w:r>
          </w:p>
        </w:tc>
        <w:tc>
          <w:tcPr>
            <w:tcW w:w="1390" w:type="pct"/>
            <w:vAlign w:val="center"/>
          </w:tcPr>
          <w:p w14:paraId="4C0E997C">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防化靴</w:t>
            </w:r>
          </w:p>
        </w:tc>
        <w:tc>
          <w:tcPr>
            <w:tcW w:w="434" w:type="pct"/>
            <w:vAlign w:val="center"/>
          </w:tcPr>
          <w:p w14:paraId="672305D5">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双</w:t>
            </w:r>
          </w:p>
        </w:tc>
        <w:tc>
          <w:tcPr>
            <w:tcW w:w="426" w:type="pct"/>
            <w:vAlign w:val="center"/>
          </w:tcPr>
          <w:p w14:paraId="45A3A9C6">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15</w:t>
            </w:r>
          </w:p>
        </w:tc>
        <w:tc>
          <w:tcPr>
            <w:tcW w:w="681" w:type="pct"/>
            <w:vMerge w:val="continue"/>
            <w:tcBorders>
              <w:left w:val="single" w:color="000000" w:sz="8" w:space="0"/>
              <w:right w:val="single" w:color="000000" w:sz="8" w:space="0"/>
            </w:tcBorders>
            <w:vAlign w:val="center"/>
          </w:tcPr>
          <w:p w14:paraId="32B4F243">
            <w:pPr>
              <w:spacing w:line="240" w:lineRule="exact"/>
              <w:jc w:val="center"/>
              <w:rPr>
                <w:rFonts w:ascii="Arial" w:hAnsi="Arial" w:eastAsia="宋体" w:cs="Arial"/>
                <w:sz w:val="21"/>
                <w:szCs w:val="21"/>
              </w:rPr>
            </w:pPr>
          </w:p>
        </w:tc>
        <w:tc>
          <w:tcPr>
            <w:tcW w:w="1193" w:type="pct"/>
            <w:tcBorders>
              <w:left w:val="single" w:color="000000" w:sz="8" w:space="0"/>
              <w:right w:val="single" w:color="000000" w:sz="8" w:space="0"/>
            </w:tcBorders>
            <w:vAlign w:val="center"/>
          </w:tcPr>
          <w:p w14:paraId="62BECC4E">
            <w:pPr>
              <w:spacing w:line="240" w:lineRule="exact"/>
              <w:jc w:val="center"/>
              <w:rPr>
                <w:rFonts w:ascii="Arial" w:hAnsi="Arial" w:eastAsia="宋体" w:cs="Arial"/>
                <w:sz w:val="21"/>
                <w:szCs w:val="21"/>
              </w:rPr>
            </w:pPr>
            <w:r>
              <w:rPr>
                <w:rFonts w:ascii="Arial" w:hAnsi="Arial" w:eastAsia="宋体" w:cs="Arial"/>
                <w:sz w:val="21"/>
                <w:szCs w:val="21"/>
              </w:rPr>
              <w:t>雷克兰，耐强酸碱，防水防砸</w:t>
            </w:r>
          </w:p>
        </w:tc>
        <w:tc>
          <w:tcPr>
            <w:tcW w:w="575" w:type="pct"/>
            <w:tcBorders>
              <w:left w:val="single" w:color="000000" w:sz="8" w:space="0"/>
            </w:tcBorders>
            <w:vAlign w:val="center"/>
          </w:tcPr>
          <w:p w14:paraId="4CB0AF9E">
            <w:pPr>
              <w:spacing w:line="240" w:lineRule="exact"/>
              <w:jc w:val="center"/>
              <w:rPr>
                <w:rFonts w:ascii="Arial" w:hAnsi="Arial" w:eastAsia="宋体" w:cs="Arial"/>
                <w:sz w:val="21"/>
                <w:szCs w:val="21"/>
              </w:rPr>
            </w:pPr>
          </w:p>
        </w:tc>
      </w:tr>
      <w:tr w14:paraId="73ED94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1A715D6F">
            <w:pPr>
              <w:spacing w:line="240" w:lineRule="exact"/>
              <w:jc w:val="center"/>
              <w:rPr>
                <w:rFonts w:ascii="Arial" w:hAnsi="Arial" w:eastAsia="宋体" w:cs="Arial"/>
                <w:sz w:val="21"/>
                <w:szCs w:val="21"/>
              </w:rPr>
            </w:pPr>
            <w:r>
              <w:rPr>
                <w:rFonts w:ascii="Arial" w:hAnsi="Arial" w:eastAsia="宋体" w:cs="Arial"/>
                <w:sz w:val="21"/>
                <w:szCs w:val="21"/>
              </w:rPr>
              <w:t>4</w:t>
            </w:r>
          </w:p>
        </w:tc>
        <w:tc>
          <w:tcPr>
            <w:tcW w:w="1390" w:type="pct"/>
            <w:vAlign w:val="center"/>
          </w:tcPr>
          <w:p w14:paraId="0A1A1C08">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防酸碱防护服</w:t>
            </w:r>
          </w:p>
        </w:tc>
        <w:tc>
          <w:tcPr>
            <w:tcW w:w="434" w:type="pct"/>
            <w:vAlign w:val="center"/>
          </w:tcPr>
          <w:p w14:paraId="26B214EE">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426" w:type="pct"/>
            <w:vAlign w:val="center"/>
          </w:tcPr>
          <w:p w14:paraId="18D9C6E1">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15</w:t>
            </w:r>
          </w:p>
        </w:tc>
        <w:tc>
          <w:tcPr>
            <w:tcW w:w="681" w:type="pct"/>
            <w:vMerge w:val="continue"/>
            <w:tcBorders>
              <w:left w:val="single" w:color="000000" w:sz="8" w:space="0"/>
              <w:right w:val="single" w:color="000000" w:sz="8" w:space="0"/>
            </w:tcBorders>
            <w:vAlign w:val="center"/>
          </w:tcPr>
          <w:p w14:paraId="75AF6619">
            <w:pPr>
              <w:spacing w:line="240" w:lineRule="exact"/>
              <w:jc w:val="center"/>
              <w:rPr>
                <w:rFonts w:ascii="Arial" w:hAnsi="Arial" w:eastAsia="宋体" w:cs="Arial"/>
                <w:sz w:val="21"/>
                <w:szCs w:val="21"/>
              </w:rPr>
            </w:pPr>
          </w:p>
        </w:tc>
        <w:tc>
          <w:tcPr>
            <w:tcW w:w="1193" w:type="pct"/>
            <w:tcBorders>
              <w:left w:val="single" w:color="000000" w:sz="8" w:space="0"/>
              <w:right w:val="single" w:color="000000" w:sz="8" w:space="0"/>
            </w:tcBorders>
            <w:vAlign w:val="center"/>
          </w:tcPr>
          <w:p w14:paraId="64ECCE68">
            <w:pPr>
              <w:spacing w:line="240" w:lineRule="exact"/>
              <w:jc w:val="center"/>
              <w:rPr>
                <w:rFonts w:ascii="Arial" w:hAnsi="Arial" w:eastAsia="宋体" w:cs="Arial"/>
                <w:sz w:val="21"/>
                <w:szCs w:val="21"/>
              </w:rPr>
            </w:pPr>
            <w:r>
              <w:rPr>
                <w:rFonts w:ascii="Arial" w:hAnsi="Arial" w:eastAsia="宋体" w:cs="Arial"/>
                <w:sz w:val="21"/>
                <w:szCs w:val="21"/>
              </w:rPr>
              <w:t>耐酸碱</w:t>
            </w:r>
          </w:p>
        </w:tc>
        <w:tc>
          <w:tcPr>
            <w:tcW w:w="575" w:type="pct"/>
            <w:tcBorders>
              <w:left w:val="single" w:color="000000" w:sz="8" w:space="0"/>
            </w:tcBorders>
            <w:vAlign w:val="center"/>
          </w:tcPr>
          <w:p w14:paraId="6BB75966">
            <w:pPr>
              <w:spacing w:line="240" w:lineRule="exact"/>
              <w:jc w:val="center"/>
              <w:rPr>
                <w:rFonts w:ascii="Arial" w:hAnsi="Arial" w:eastAsia="宋体" w:cs="Arial"/>
                <w:sz w:val="21"/>
                <w:szCs w:val="21"/>
              </w:rPr>
            </w:pPr>
          </w:p>
        </w:tc>
      </w:tr>
      <w:tr w14:paraId="7D2B00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7C5ECCFF">
            <w:pPr>
              <w:spacing w:line="240" w:lineRule="exact"/>
              <w:jc w:val="center"/>
              <w:rPr>
                <w:rFonts w:ascii="Arial" w:hAnsi="Arial" w:eastAsia="宋体" w:cs="Arial"/>
                <w:sz w:val="21"/>
                <w:szCs w:val="21"/>
              </w:rPr>
            </w:pPr>
            <w:r>
              <w:rPr>
                <w:rFonts w:ascii="Arial" w:hAnsi="Arial" w:eastAsia="宋体" w:cs="Arial"/>
                <w:sz w:val="21"/>
                <w:szCs w:val="21"/>
              </w:rPr>
              <w:t>5</w:t>
            </w:r>
          </w:p>
        </w:tc>
        <w:tc>
          <w:tcPr>
            <w:tcW w:w="1390" w:type="pct"/>
            <w:vAlign w:val="center"/>
          </w:tcPr>
          <w:p w14:paraId="5BEB450D">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正压式空气呼吸器</w:t>
            </w:r>
          </w:p>
        </w:tc>
        <w:tc>
          <w:tcPr>
            <w:tcW w:w="434" w:type="pct"/>
            <w:vAlign w:val="center"/>
          </w:tcPr>
          <w:p w14:paraId="6BC4EBA5">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台</w:t>
            </w:r>
          </w:p>
        </w:tc>
        <w:tc>
          <w:tcPr>
            <w:tcW w:w="426" w:type="pct"/>
            <w:vAlign w:val="center"/>
          </w:tcPr>
          <w:p w14:paraId="7C9116AB">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6</w:t>
            </w:r>
          </w:p>
        </w:tc>
        <w:tc>
          <w:tcPr>
            <w:tcW w:w="681" w:type="pct"/>
            <w:vMerge w:val="continue"/>
            <w:tcBorders>
              <w:left w:val="single" w:color="000000" w:sz="8" w:space="0"/>
              <w:right w:val="single" w:color="000000" w:sz="8" w:space="0"/>
            </w:tcBorders>
            <w:vAlign w:val="center"/>
          </w:tcPr>
          <w:p w14:paraId="651F9687">
            <w:pPr>
              <w:spacing w:line="240" w:lineRule="exact"/>
              <w:jc w:val="center"/>
              <w:rPr>
                <w:rFonts w:ascii="Arial" w:hAnsi="Arial" w:eastAsia="宋体" w:cs="Arial"/>
                <w:sz w:val="21"/>
                <w:szCs w:val="21"/>
              </w:rPr>
            </w:pPr>
          </w:p>
        </w:tc>
        <w:tc>
          <w:tcPr>
            <w:tcW w:w="1193" w:type="pct"/>
            <w:tcBorders>
              <w:left w:val="single" w:color="000000" w:sz="8" w:space="0"/>
              <w:right w:val="single" w:color="000000" w:sz="8" w:space="0"/>
            </w:tcBorders>
            <w:vAlign w:val="center"/>
          </w:tcPr>
          <w:p w14:paraId="07DEB55A">
            <w:pPr>
              <w:spacing w:line="240" w:lineRule="exact"/>
              <w:jc w:val="center"/>
              <w:rPr>
                <w:rFonts w:ascii="Arial" w:hAnsi="Arial" w:eastAsia="宋体" w:cs="Arial"/>
                <w:sz w:val="21"/>
                <w:szCs w:val="21"/>
              </w:rPr>
            </w:pPr>
            <w:r>
              <w:rPr>
                <w:rFonts w:ascii="Arial" w:hAnsi="Arial" w:eastAsia="宋体" w:cs="Arial"/>
                <w:sz w:val="21"/>
                <w:szCs w:val="21"/>
              </w:rPr>
              <w:t>RHZK6.8/A</w:t>
            </w:r>
          </w:p>
        </w:tc>
        <w:tc>
          <w:tcPr>
            <w:tcW w:w="575" w:type="pct"/>
            <w:tcBorders>
              <w:left w:val="single" w:color="000000" w:sz="8" w:space="0"/>
            </w:tcBorders>
            <w:vAlign w:val="center"/>
          </w:tcPr>
          <w:p w14:paraId="05DFFE4A">
            <w:pPr>
              <w:spacing w:line="240" w:lineRule="exact"/>
              <w:jc w:val="center"/>
              <w:rPr>
                <w:rFonts w:ascii="Arial" w:hAnsi="Arial" w:eastAsia="宋体" w:cs="Arial"/>
                <w:sz w:val="21"/>
                <w:szCs w:val="21"/>
              </w:rPr>
            </w:pPr>
          </w:p>
        </w:tc>
      </w:tr>
      <w:tr w14:paraId="527068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75ACC749">
            <w:pPr>
              <w:spacing w:line="240" w:lineRule="exact"/>
              <w:jc w:val="center"/>
              <w:rPr>
                <w:rFonts w:ascii="Arial" w:hAnsi="Arial" w:eastAsia="宋体" w:cs="Arial"/>
                <w:sz w:val="21"/>
                <w:szCs w:val="21"/>
              </w:rPr>
            </w:pPr>
            <w:r>
              <w:rPr>
                <w:rFonts w:ascii="Arial" w:hAnsi="Arial" w:eastAsia="宋体" w:cs="Arial"/>
                <w:sz w:val="21"/>
                <w:szCs w:val="21"/>
              </w:rPr>
              <w:t>6</w:t>
            </w:r>
          </w:p>
        </w:tc>
        <w:tc>
          <w:tcPr>
            <w:tcW w:w="1390" w:type="pct"/>
            <w:vAlign w:val="center"/>
          </w:tcPr>
          <w:p w14:paraId="006624F3">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自吸过滤式防毒面罩（半面罩）</w:t>
            </w:r>
          </w:p>
        </w:tc>
        <w:tc>
          <w:tcPr>
            <w:tcW w:w="434" w:type="pct"/>
            <w:vAlign w:val="center"/>
          </w:tcPr>
          <w:p w14:paraId="69A42144">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426" w:type="pct"/>
            <w:vAlign w:val="center"/>
          </w:tcPr>
          <w:p w14:paraId="589D273D">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8</w:t>
            </w:r>
          </w:p>
        </w:tc>
        <w:tc>
          <w:tcPr>
            <w:tcW w:w="681" w:type="pct"/>
            <w:vMerge w:val="continue"/>
            <w:tcBorders>
              <w:left w:val="single" w:color="000000" w:sz="8" w:space="0"/>
              <w:right w:val="single" w:color="000000" w:sz="8" w:space="0"/>
            </w:tcBorders>
            <w:vAlign w:val="center"/>
          </w:tcPr>
          <w:p w14:paraId="1FF728DA">
            <w:pPr>
              <w:spacing w:line="240" w:lineRule="exact"/>
              <w:jc w:val="center"/>
              <w:rPr>
                <w:rFonts w:ascii="Arial" w:hAnsi="Arial" w:eastAsia="宋体" w:cs="Arial"/>
                <w:sz w:val="21"/>
                <w:szCs w:val="21"/>
              </w:rPr>
            </w:pPr>
          </w:p>
        </w:tc>
        <w:tc>
          <w:tcPr>
            <w:tcW w:w="1193" w:type="pct"/>
            <w:tcBorders>
              <w:left w:val="single" w:color="000000" w:sz="8" w:space="0"/>
              <w:right w:val="single" w:color="000000" w:sz="8" w:space="0"/>
            </w:tcBorders>
            <w:vAlign w:val="center"/>
          </w:tcPr>
          <w:p w14:paraId="67E6F6EE">
            <w:pPr>
              <w:spacing w:line="240" w:lineRule="exact"/>
              <w:jc w:val="center"/>
              <w:rPr>
                <w:rFonts w:ascii="Arial" w:hAnsi="Arial" w:eastAsia="宋体" w:cs="Arial"/>
                <w:sz w:val="21"/>
                <w:szCs w:val="21"/>
              </w:rPr>
            </w:pPr>
            <w:r>
              <w:rPr>
                <w:rFonts w:ascii="Arial" w:hAnsi="Arial" w:eastAsia="宋体" w:cs="Arial"/>
                <w:sz w:val="21"/>
                <w:szCs w:val="21"/>
              </w:rPr>
              <w:t>3200防尘</w:t>
            </w:r>
          </w:p>
        </w:tc>
        <w:tc>
          <w:tcPr>
            <w:tcW w:w="575" w:type="pct"/>
            <w:tcBorders>
              <w:left w:val="single" w:color="000000" w:sz="8" w:space="0"/>
            </w:tcBorders>
            <w:vAlign w:val="center"/>
          </w:tcPr>
          <w:p w14:paraId="229BEA18">
            <w:pPr>
              <w:spacing w:line="240" w:lineRule="exact"/>
              <w:jc w:val="center"/>
              <w:rPr>
                <w:rFonts w:ascii="Arial" w:hAnsi="Arial" w:eastAsia="宋体" w:cs="Arial"/>
                <w:sz w:val="21"/>
                <w:szCs w:val="21"/>
              </w:rPr>
            </w:pPr>
            <w:r>
              <w:rPr>
                <w:rFonts w:ascii="Arial" w:hAnsi="Arial" w:eastAsia="宋体" w:cs="Arial"/>
                <w:sz w:val="21"/>
                <w:szCs w:val="21"/>
              </w:rPr>
              <w:t>2</w:t>
            </w:r>
          </w:p>
        </w:tc>
      </w:tr>
      <w:tr w14:paraId="528C3E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3D5A18F6">
            <w:pPr>
              <w:spacing w:line="240" w:lineRule="exact"/>
              <w:jc w:val="center"/>
              <w:rPr>
                <w:rFonts w:ascii="Arial" w:hAnsi="Arial" w:eastAsia="宋体" w:cs="Arial"/>
                <w:sz w:val="21"/>
                <w:szCs w:val="21"/>
              </w:rPr>
            </w:pPr>
            <w:r>
              <w:rPr>
                <w:rFonts w:ascii="Arial" w:hAnsi="Arial" w:eastAsia="宋体" w:cs="Arial"/>
                <w:sz w:val="21"/>
                <w:szCs w:val="21"/>
              </w:rPr>
              <w:t>7</w:t>
            </w:r>
          </w:p>
        </w:tc>
        <w:tc>
          <w:tcPr>
            <w:tcW w:w="1390" w:type="pct"/>
            <w:vAlign w:val="center"/>
          </w:tcPr>
          <w:p w14:paraId="447C6431">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过滤式防毒面具</w:t>
            </w:r>
          </w:p>
        </w:tc>
        <w:tc>
          <w:tcPr>
            <w:tcW w:w="434" w:type="pct"/>
            <w:vAlign w:val="center"/>
          </w:tcPr>
          <w:p w14:paraId="731C88EF">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426" w:type="pct"/>
            <w:vAlign w:val="center"/>
          </w:tcPr>
          <w:p w14:paraId="28BE3090">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6</w:t>
            </w:r>
          </w:p>
        </w:tc>
        <w:tc>
          <w:tcPr>
            <w:tcW w:w="681" w:type="pct"/>
            <w:vMerge w:val="continue"/>
            <w:tcBorders>
              <w:left w:val="single" w:color="000000" w:sz="8" w:space="0"/>
              <w:right w:val="single" w:color="000000" w:sz="8" w:space="0"/>
            </w:tcBorders>
            <w:vAlign w:val="center"/>
          </w:tcPr>
          <w:p w14:paraId="2359C1FB">
            <w:pPr>
              <w:spacing w:line="240" w:lineRule="exact"/>
              <w:jc w:val="center"/>
              <w:rPr>
                <w:rFonts w:ascii="Arial" w:hAnsi="Arial" w:eastAsia="宋体" w:cs="Arial"/>
                <w:sz w:val="21"/>
                <w:szCs w:val="21"/>
              </w:rPr>
            </w:pPr>
          </w:p>
        </w:tc>
        <w:tc>
          <w:tcPr>
            <w:tcW w:w="1193" w:type="pct"/>
            <w:tcBorders>
              <w:left w:val="single" w:color="000000" w:sz="8" w:space="0"/>
              <w:right w:val="single" w:color="000000" w:sz="8" w:space="0"/>
            </w:tcBorders>
            <w:vAlign w:val="center"/>
          </w:tcPr>
          <w:p w14:paraId="45738077">
            <w:pPr>
              <w:spacing w:line="240" w:lineRule="exact"/>
              <w:jc w:val="center"/>
              <w:rPr>
                <w:rFonts w:ascii="Arial" w:hAnsi="Arial" w:eastAsia="宋体" w:cs="Arial"/>
                <w:sz w:val="21"/>
                <w:szCs w:val="21"/>
              </w:rPr>
            </w:pPr>
            <w:r>
              <w:rPr>
                <w:rFonts w:ascii="Arial" w:hAnsi="Arial" w:eastAsia="宋体" w:cs="Arial"/>
                <w:kern w:val="0"/>
                <w:sz w:val="21"/>
                <w:szCs w:val="21"/>
                <w:lang w:bidi="ar"/>
              </w:rPr>
              <w:t>全面罩</w:t>
            </w:r>
          </w:p>
        </w:tc>
        <w:tc>
          <w:tcPr>
            <w:tcW w:w="575" w:type="pct"/>
            <w:tcBorders>
              <w:left w:val="single" w:color="000000" w:sz="8" w:space="0"/>
            </w:tcBorders>
            <w:vAlign w:val="center"/>
          </w:tcPr>
          <w:p w14:paraId="7B143D9A">
            <w:pPr>
              <w:spacing w:line="240" w:lineRule="exact"/>
              <w:jc w:val="center"/>
              <w:rPr>
                <w:rFonts w:ascii="Arial" w:hAnsi="Arial" w:eastAsia="宋体" w:cs="Arial"/>
                <w:sz w:val="21"/>
                <w:szCs w:val="21"/>
              </w:rPr>
            </w:pPr>
          </w:p>
        </w:tc>
      </w:tr>
      <w:tr w14:paraId="44C2F4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69380ACB">
            <w:pPr>
              <w:spacing w:line="240" w:lineRule="exact"/>
              <w:jc w:val="center"/>
              <w:rPr>
                <w:rFonts w:ascii="Arial" w:hAnsi="Arial" w:eastAsia="宋体" w:cs="Arial"/>
                <w:sz w:val="21"/>
                <w:szCs w:val="21"/>
              </w:rPr>
            </w:pPr>
            <w:r>
              <w:rPr>
                <w:rFonts w:ascii="Arial" w:hAnsi="Arial" w:eastAsia="宋体" w:cs="Arial"/>
                <w:sz w:val="21"/>
                <w:szCs w:val="21"/>
              </w:rPr>
              <w:t>8</w:t>
            </w:r>
          </w:p>
        </w:tc>
        <w:tc>
          <w:tcPr>
            <w:tcW w:w="1390" w:type="pct"/>
            <w:vAlign w:val="center"/>
          </w:tcPr>
          <w:p w14:paraId="2602FE4A">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消防安全腰带</w:t>
            </w:r>
          </w:p>
        </w:tc>
        <w:tc>
          <w:tcPr>
            <w:tcW w:w="434" w:type="pct"/>
            <w:vAlign w:val="center"/>
          </w:tcPr>
          <w:p w14:paraId="5BE22FFA">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根</w:t>
            </w:r>
          </w:p>
        </w:tc>
        <w:tc>
          <w:tcPr>
            <w:tcW w:w="426" w:type="pct"/>
            <w:vAlign w:val="center"/>
          </w:tcPr>
          <w:p w14:paraId="0F577486">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5</w:t>
            </w:r>
          </w:p>
        </w:tc>
        <w:tc>
          <w:tcPr>
            <w:tcW w:w="681" w:type="pct"/>
            <w:vMerge w:val="continue"/>
            <w:tcBorders>
              <w:left w:val="single" w:color="000000" w:sz="8" w:space="0"/>
              <w:right w:val="single" w:color="000000" w:sz="8" w:space="0"/>
            </w:tcBorders>
            <w:vAlign w:val="center"/>
          </w:tcPr>
          <w:p w14:paraId="291DDEF8">
            <w:pPr>
              <w:spacing w:line="240" w:lineRule="exact"/>
              <w:jc w:val="center"/>
              <w:rPr>
                <w:rFonts w:ascii="Arial" w:hAnsi="Arial" w:eastAsia="宋体" w:cs="Arial"/>
                <w:sz w:val="21"/>
                <w:szCs w:val="21"/>
              </w:rPr>
            </w:pPr>
          </w:p>
        </w:tc>
        <w:tc>
          <w:tcPr>
            <w:tcW w:w="1193" w:type="pct"/>
            <w:tcBorders>
              <w:left w:val="single" w:color="000000" w:sz="8" w:space="0"/>
              <w:right w:val="single" w:color="000000" w:sz="8" w:space="0"/>
            </w:tcBorders>
            <w:vAlign w:val="center"/>
          </w:tcPr>
          <w:p w14:paraId="79FFA2F6">
            <w:pPr>
              <w:spacing w:line="240" w:lineRule="exact"/>
              <w:jc w:val="center"/>
              <w:rPr>
                <w:rFonts w:ascii="Arial" w:hAnsi="Arial" w:eastAsia="宋体" w:cs="Arial"/>
                <w:sz w:val="21"/>
                <w:szCs w:val="21"/>
              </w:rPr>
            </w:pPr>
            <w:r>
              <w:rPr>
                <w:rFonts w:ascii="Arial" w:hAnsi="Arial" w:eastAsia="宋体" w:cs="Arial"/>
                <w:sz w:val="21"/>
                <w:szCs w:val="21"/>
              </w:rPr>
              <w:t>105cm/高强丙纶/.承重1800kg</w:t>
            </w:r>
          </w:p>
        </w:tc>
        <w:tc>
          <w:tcPr>
            <w:tcW w:w="575" w:type="pct"/>
            <w:tcBorders>
              <w:left w:val="single" w:color="000000" w:sz="8" w:space="0"/>
            </w:tcBorders>
            <w:vAlign w:val="center"/>
          </w:tcPr>
          <w:p w14:paraId="5F1BB386">
            <w:pPr>
              <w:spacing w:line="240" w:lineRule="exact"/>
              <w:jc w:val="center"/>
              <w:rPr>
                <w:rFonts w:ascii="Arial" w:hAnsi="Arial" w:eastAsia="宋体" w:cs="Arial"/>
                <w:sz w:val="21"/>
                <w:szCs w:val="21"/>
              </w:rPr>
            </w:pPr>
          </w:p>
        </w:tc>
      </w:tr>
      <w:tr w14:paraId="31B7BB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06350249">
            <w:pPr>
              <w:spacing w:line="240" w:lineRule="exact"/>
              <w:jc w:val="center"/>
              <w:rPr>
                <w:rFonts w:ascii="Arial" w:hAnsi="Arial" w:eastAsia="宋体" w:cs="Arial"/>
                <w:sz w:val="21"/>
                <w:szCs w:val="21"/>
              </w:rPr>
            </w:pPr>
            <w:r>
              <w:rPr>
                <w:rFonts w:ascii="Arial" w:hAnsi="Arial" w:eastAsia="宋体" w:cs="Arial"/>
                <w:sz w:val="21"/>
                <w:szCs w:val="21"/>
              </w:rPr>
              <w:t>9</w:t>
            </w:r>
          </w:p>
        </w:tc>
        <w:tc>
          <w:tcPr>
            <w:tcW w:w="1390" w:type="pct"/>
            <w:vAlign w:val="center"/>
          </w:tcPr>
          <w:p w14:paraId="3AA56065">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雨衣</w:t>
            </w:r>
          </w:p>
        </w:tc>
        <w:tc>
          <w:tcPr>
            <w:tcW w:w="434" w:type="pct"/>
            <w:vAlign w:val="center"/>
          </w:tcPr>
          <w:p w14:paraId="756FCD2B">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426" w:type="pct"/>
            <w:vAlign w:val="center"/>
          </w:tcPr>
          <w:p w14:paraId="5D1ED997">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6</w:t>
            </w:r>
          </w:p>
        </w:tc>
        <w:tc>
          <w:tcPr>
            <w:tcW w:w="681" w:type="pct"/>
            <w:vMerge w:val="continue"/>
            <w:tcBorders>
              <w:left w:val="single" w:color="000000" w:sz="8" w:space="0"/>
              <w:right w:val="single" w:color="000000" w:sz="8" w:space="0"/>
            </w:tcBorders>
            <w:vAlign w:val="center"/>
          </w:tcPr>
          <w:p w14:paraId="038E5026">
            <w:pPr>
              <w:spacing w:line="240" w:lineRule="exact"/>
              <w:jc w:val="center"/>
              <w:rPr>
                <w:rFonts w:ascii="Arial" w:hAnsi="Arial" w:eastAsia="宋体" w:cs="Arial"/>
                <w:sz w:val="21"/>
                <w:szCs w:val="21"/>
              </w:rPr>
            </w:pPr>
          </w:p>
        </w:tc>
        <w:tc>
          <w:tcPr>
            <w:tcW w:w="1193" w:type="pct"/>
            <w:tcBorders>
              <w:left w:val="single" w:color="000000" w:sz="8" w:space="0"/>
              <w:right w:val="single" w:color="000000" w:sz="8" w:space="0"/>
            </w:tcBorders>
            <w:vAlign w:val="center"/>
          </w:tcPr>
          <w:p w14:paraId="05A57090">
            <w:pPr>
              <w:spacing w:line="240" w:lineRule="exact"/>
              <w:jc w:val="center"/>
              <w:rPr>
                <w:rFonts w:ascii="Arial" w:hAnsi="Arial" w:eastAsia="宋体" w:cs="Arial"/>
                <w:sz w:val="21"/>
                <w:szCs w:val="21"/>
              </w:rPr>
            </w:pPr>
            <w:r>
              <w:rPr>
                <w:rFonts w:ascii="Arial" w:hAnsi="Arial" w:eastAsia="宋体" w:cs="Arial"/>
                <w:sz w:val="21"/>
                <w:szCs w:val="21"/>
              </w:rPr>
              <w:t>大、中、小号</w:t>
            </w:r>
          </w:p>
        </w:tc>
        <w:tc>
          <w:tcPr>
            <w:tcW w:w="575" w:type="pct"/>
            <w:tcBorders>
              <w:left w:val="single" w:color="000000" w:sz="8" w:space="0"/>
            </w:tcBorders>
            <w:vAlign w:val="center"/>
          </w:tcPr>
          <w:p w14:paraId="36DC04FA">
            <w:pPr>
              <w:spacing w:line="240" w:lineRule="exact"/>
              <w:jc w:val="center"/>
              <w:rPr>
                <w:rFonts w:ascii="Arial" w:hAnsi="Arial" w:eastAsia="宋体" w:cs="Arial"/>
                <w:sz w:val="21"/>
                <w:szCs w:val="21"/>
              </w:rPr>
            </w:pPr>
          </w:p>
        </w:tc>
      </w:tr>
      <w:tr w14:paraId="30F0D5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7099093B">
            <w:pPr>
              <w:spacing w:line="240" w:lineRule="exact"/>
              <w:jc w:val="center"/>
              <w:rPr>
                <w:rFonts w:ascii="Arial" w:hAnsi="Arial" w:eastAsia="宋体" w:cs="Arial"/>
                <w:sz w:val="21"/>
                <w:szCs w:val="21"/>
              </w:rPr>
            </w:pPr>
            <w:r>
              <w:rPr>
                <w:rFonts w:ascii="Arial" w:hAnsi="Arial" w:eastAsia="宋体" w:cs="Arial"/>
                <w:sz w:val="21"/>
                <w:szCs w:val="21"/>
              </w:rPr>
              <w:t>10</w:t>
            </w:r>
          </w:p>
        </w:tc>
        <w:tc>
          <w:tcPr>
            <w:tcW w:w="1390" w:type="pct"/>
            <w:vAlign w:val="center"/>
          </w:tcPr>
          <w:p w14:paraId="3A04063C">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安全绳</w:t>
            </w:r>
          </w:p>
        </w:tc>
        <w:tc>
          <w:tcPr>
            <w:tcW w:w="434" w:type="pct"/>
            <w:vAlign w:val="center"/>
          </w:tcPr>
          <w:p w14:paraId="476FF18E">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条</w:t>
            </w:r>
          </w:p>
        </w:tc>
        <w:tc>
          <w:tcPr>
            <w:tcW w:w="426" w:type="pct"/>
            <w:vAlign w:val="center"/>
          </w:tcPr>
          <w:p w14:paraId="2C92B28C">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w:t>
            </w:r>
          </w:p>
        </w:tc>
        <w:tc>
          <w:tcPr>
            <w:tcW w:w="681" w:type="pct"/>
            <w:vMerge w:val="continue"/>
            <w:tcBorders>
              <w:left w:val="single" w:color="000000" w:sz="8" w:space="0"/>
              <w:right w:val="single" w:color="000000" w:sz="8" w:space="0"/>
            </w:tcBorders>
            <w:vAlign w:val="center"/>
          </w:tcPr>
          <w:p w14:paraId="12D87629">
            <w:pPr>
              <w:spacing w:line="240" w:lineRule="exact"/>
              <w:jc w:val="center"/>
              <w:rPr>
                <w:rFonts w:ascii="Arial" w:hAnsi="Arial" w:eastAsia="宋体" w:cs="Arial"/>
                <w:sz w:val="21"/>
                <w:szCs w:val="21"/>
              </w:rPr>
            </w:pPr>
          </w:p>
        </w:tc>
        <w:tc>
          <w:tcPr>
            <w:tcW w:w="1193" w:type="pct"/>
            <w:vAlign w:val="center"/>
          </w:tcPr>
          <w:p w14:paraId="1539B972">
            <w:pPr>
              <w:spacing w:line="240" w:lineRule="exact"/>
              <w:jc w:val="center"/>
              <w:rPr>
                <w:rFonts w:ascii="Arial" w:hAnsi="Arial" w:eastAsia="宋体" w:cs="Arial"/>
                <w:sz w:val="21"/>
                <w:szCs w:val="21"/>
              </w:rPr>
            </w:pPr>
            <w:r>
              <w:rPr>
                <w:rFonts w:ascii="Arial" w:hAnsi="Arial" w:eastAsia="宋体" w:cs="Arial"/>
                <w:sz w:val="21"/>
                <w:szCs w:val="21"/>
              </w:rPr>
              <w:t>Φ9.5*20m,尼龙，3C认证</w:t>
            </w:r>
          </w:p>
        </w:tc>
        <w:tc>
          <w:tcPr>
            <w:tcW w:w="575" w:type="pct"/>
            <w:vAlign w:val="center"/>
          </w:tcPr>
          <w:p w14:paraId="628C06E1">
            <w:pPr>
              <w:spacing w:line="240" w:lineRule="exact"/>
              <w:jc w:val="center"/>
              <w:rPr>
                <w:rFonts w:ascii="Arial" w:hAnsi="Arial" w:eastAsia="宋体" w:cs="Arial"/>
                <w:sz w:val="21"/>
                <w:szCs w:val="21"/>
              </w:rPr>
            </w:pPr>
            <w:r>
              <w:rPr>
                <w:rFonts w:ascii="Arial" w:hAnsi="Arial" w:eastAsia="宋体" w:cs="Arial"/>
                <w:sz w:val="21"/>
                <w:szCs w:val="21"/>
              </w:rPr>
              <w:t>1</w:t>
            </w:r>
          </w:p>
        </w:tc>
      </w:tr>
      <w:tr w14:paraId="520C86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224DDBC5">
            <w:pPr>
              <w:spacing w:line="240" w:lineRule="exact"/>
              <w:jc w:val="center"/>
              <w:rPr>
                <w:rFonts w:ascii="Arial" w:hAnsi="Arial" w:eastAsia="宋体" w:cs="Arial"/>
                <w:sz w:val="21"/>
                <w:szCs w:val="21"/>
              </w:rPr>
            </w:pPr>
            <w:r>
              <w:rPr>
                <w:rFonts w:ascii="Arial" w:hAnsi="Arial" w:eastAsia="宋体" w:cs="Arial"/>
                <w:sz w:val="21"/>
                <w:szCs w:val="21"/>
              </w:rPr>
              <w:t>11</w:t>
            </w:r>
          </w:p>
        </w:tc>
        <w:tc>
          <w:tcPr>
            <w:tcW w:w="1390" w:type="pct"/>
            <w:vAlign w:val="center"/>
          </w:tcPr>
          <w:p w14:paraId="1FF4E963">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隔离带</w:t>
            </w:r>
          </w:p>
        </w:tc>
        <w:tc>
          <w:tcPr>
            <w:tcW w:w="434" w:type="pct"/>
            <w:vAlign w:val="center"/>
          </w:tcPr>
          <w:p w14:paraId="11AA461F">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卷</w:t>
            </w:r>
          </w:p>
        </w:tc>
        <w:tc>
          <w:tcPr>
            <w:tcW w:w="426" w:type="pct"/>
            <w:vAlign w:val="center"/>
          </w:tcPr>
          <w:p w14:paraId="4C50CDDB">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681" w:type="pct"/>
            <w:vMerge w:val="restart"/>
            <w:tcBorders>
              <w:top w:val="nil"/>
            </w:tcBorders>
            <w:vAlign w:val="center"/>
          </w:tcPr>
          <w:p w14:paraId="52F6260C">
            <w:pPr>
              <w:spacing w:line="240" w:lineRule="exact"/>
              <w:jc w:val="center"/>
              <w:rPr>
                <w:rFonts w:ascii="Arial" w:hAnsi="Arial" w:eastAsia="宋体" w:cs="Arial"/>
                <w:sz w:val="21"/>
                <w:szCs w:val="21"/>
              </w:rPr>
            </w:pPr>
            <w:r>
              <w:rPr>
                <w:rFonts w:ascii="Arial" w:hAnsi="Arial" w:eastAsia="宋体" w:cs="Arial"/>
                <w:sz w:val="21"/>
                <w:szCs w:val="21"/>
              </w:rPr>
              <w:t>警戒隔离</w:t>
            </w:r>
          </w:p>
        </w:tc>
        <w:tc>
          <w:tcPr>
            <w:tcW w:w="1193" w:type="pct"/>
            <w:vAlign w:val="center"/>
          </w:tcPr>
          <w:p w14:paraId="481E6BE2">
            <w:pPr>
              <w:spacing w:line="240" w:lineRule="exact"/>
              <w:jc w:val="center"/>
              <w:rPr>
                <w:rFonts w:ascii="Arial" w:hAnsi="Arial" w:eastAsia="宋体" w:cs="Arial"/>
                <w:sz w:val="21"/>
                <w:szCs w:val="21"/>
              </w:rPr>
            </w:pPr>
            <w:r>
              <w:rPr>
                <w:rFonts w:ascii="Arial" w:hAnsi="Arial" w:eastAsia="宋体" w:cs="Arial"/>
                <w:sz w:val="21"/>
                <w:szCs w:val="21"/>
              </w:rPr>
              <w:t>50m</w:t>
            </w:r>
          </w:p>
        </w:tc>
        <w:tc>
          <w:tcPr>
            <w:tcW w:w="575" w:type="pct"/>
            <w:vAlign w:val="center"/>
          </w:tcPr>
          <w:p w14:paraId="521D888E">
            <w:pPr>
              <w:spacing w:line="240" w:lineRule="exact"/>
              <w:jc w:val="center"/>
              <w:rPr>
                <w:rFonts w:ascii="Arial" w:hAnsi="Arial" w:eastAsia="宋体" w:cs="Arial"/>
                <w:sz w:val="21"/>
                <w:szCs w:val="21"/>
              </w:rPr>
            </w:pPr>
            <w:r>
              <w:rPr>
                <w:rFonts w:ascii="Arial" w:hAnsi="Arial" w:eastAsia="宋体" w:cs="Arial"/>
                <w:sz w:val="21"/>
                <w:szCs w:val="21"/>
              </w:rPr>
              <w:t>4</w:t>
            </w:r>
          </w:p>
        </w:tc>
      </w:tr>
      <w:tr w14:paraId="4D71C5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457F9217">
            <w:pPr>
              <w:spacing w:line="240" w:lineRule="exact"/>
              <w:jc w:val="center"/>
              <w:rPr>
                <w:rFonts w:ascii="Arial" w:hAnsi="Arial" w:eastAsia="宋体" w:cs="Arial"/>
                <w:sz w:val="21"/>
                <w:szCs w:val="21"/>
              </w:rPr>
            </w:pPr>
            <w:r>
              <w:rPr>
                <w:rFonts w:ascii="Arial" w:hAnsi="Arial" w:eastAsia="宋体" w:cs="Arial"/>
                <w:sz w:val="21"/>
                <w:szCs w:val="21"/>
              </w:rPr>
              <w:t>12</w:t>
            </w:r>
          </w:p>
        </w:tc>
        <w:tc>
          <w:tcPr>
            <w:tcW w:w="1390" w:type="pct"/>
            <w:vAlign w:val="center"/>
          </w:tcPr>
          <w:p w14:paraId="4A144F60">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闪光警示灯</w:t>
            </w:r>
          </w:p>
        </w:tc>
        <w:tc>
          <w:tcPr>
            <w:tcW w:w="434" w:type="pct"/>
            <w:vAlign w:val="center"/>
          </w:tcPr>
          <w:p w14:paraId="0835F99C">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426" w:type="pct"/>
            <w:vAlign w:val="center"/>
          </w:tcPr>
          <w:p w14:paraId="19B58015">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10</w:t>
            </w:r>
          </w:p>
        </w:tc>
        <w:tc>
          <w:tcPr>
            <w:tcW w:w="681" w:type="pct"/>
            <w:vMerge w:val="continue"/>
            <w:vAlign w:val="center"/>
          </w:tcPr>
          <w:p w14:paraId="62FF7820">
            <w:pPr>
              <w:spacing w:line="240" w:lineRule="exact"/>
              <w:jc w:val="center"/>
              <w:rPr>
                <w:rFonts w:ascii="Arial" w:hAnsi="Arial" w:eastAsia="宋体" w:cs="Arial"/>
                <w:sz w:val="21"/>
                <w:szCs w:val="21"/>
              </w:rPr>
            </w:pPr>
          </w:p>
        </w:tc>
        <w:tc>
          <w:tcPr>
            <w:tcW w:w="1193" w:type="pct"/>
            <w:vAlign w:val="center"/>
          </w:tcPr>
          <w:p w14:paraId="7DB03CF0">
            <w:pPr>
              <w:spacing w:line="240" w:lineRule="exact"/>
              <w:jc w:val="center"/>
              <w:rPr>
                <w:rFonts w:ascii="Arial" w:hAnsi="Arial" w:eastAsia="宋体" w:cs="Arial"/>
                <w:sz w:val="21"/>
                <w:szCs w:val="21"/>
              </w:rPr>
            </w:pPr>
            <w:r>
              <w:rPr>
                <w:rFonts w:ascii="Arial" w:hAnsi="Arial" w:eastAsia="宋体" w:cs="Arial"/>
                <w:sz w:val="21"/>
                <w:szCs w:val="21"/>
              </w:rPr>
              <w:t>鼎达太阳能爆闪</w:t>
            </w:r>
          </w:p>
        </w:tc>
        <w:tc>
          <w:tcPr>
            <w:tcW w:w="575" w:type="pct"/>
            <w:vAlign w:val="center"/>
          </w:tcPr>
          <w:p w14:paraId="6D1EB0CE">
            <w:pPr>
              <w:spacing w:line="240" w:lineRule="exact"/>
              <w:jc w:val="center"/>
              <w:rPr>
                <w:rFonts w:ascii="Arial" w:hAnsi="Arial" w:eastAsia="宋体" w:cs="Arial"/>
                <w:sz w:val="21"/>
                <w:szCs w:val="21"/>
              </w:rPr>
            </w:pPr>
          </w:p>
        </w:tc>
      </w:tr>
      <w:tr w14:paraId="1B9270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20A51574">
            <w:pPr>
              <w:spacing w:line="240" w:lineRule="exact"/>
              <w:jc w:val="center"/>
              <w:rPr>
                <w:rFonts w:ascii="Arial" w:hAnsi="Arial" w:eastAsia="宋体" w:cs="Arial"/>
                <w:sz w:val="21"/>
                <w:szCs w:val="21"/>
              </w:rPr>
            </w:pPr>
            <w:r>
              <w:rPr>
                <w:rFonts w:ascii="Arial" w:hAnsi="Arial" w:eastAsia="宋体" w:cs="Arial"/>
                <w:sz w:val="21"/>
                <w:szCs w:val="21"/>
              </w:rPr>
              <w:t>13</w:t>
            </w:r>
          </w:p>
        </w:tc>
        <w:tc>
          <w:tcPr>
            <w:tcW w:w="1390" w:type="pct"/>
            <w:vAlign w:val="center"/>
          </w:tcPr>
          <w:p w14:paraId="7834C407">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高音喇叭</w:t>
            </w:r>
          </w:p>
        </w:tc>
        <w:tc>
          <w:tcPr>
            <w:tcW w:w="434" w:type="pct"/>
            <w:vAlign w:val="center"/>
          </w:tcPr>
          <w:p w14:paraId="1B5125EC">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426" w:type="pct"/>
            <w:vAlign w:val="center"/>
          </w:tcPr>
          <w:p w14:paraId="13289F6F">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w:t>
            </w:r>
          </w:p>
        </w:tc>
        <w:tc>
          <w:tcPr>
            <w:tcW w:w="681" w:type="pct"/>
            <w:vMerge w:val="continue"/>
            <w:vAlign w:val="center"/>
          </w:tcPr>
          <w:p w14:paraId="187930DB">
            <w:pPr>
              <w:spacing w:line="240" w:lineRule="exact"/>
              <w:jc w:val="center"/>
              <w:rPr>
                <w:rFonts w:ascii="Arial" w:hAnsi="Arial" w:eastAsia="宋体" w:cs="Arial"/>
                <w:sz w:val="21"/>
                <w:szCs w:val="21"/>
              </w:rPr>
            </w:pPr>
          </w:p>
        </w:tc>
        <w:tc>
          <w:tcPr>
            <w:tcW w:w="1193" w:type="pct"/>
            <w:vAlign w:val="center"/>
          </w:tcPr>
          <w:p w14:paraId="7C53F8A1">
            <w:pPr>
              <w:spacing w:line="240" w:lineRule="exact"/>
              <w:jc w:val="center"/>
              <w:rPr>
                <w:rFonts w:ascii="Arial" w:hAnsi="Arial" w:eastAsia="宋体" w:cs="Arial"/>
                <w:sz w:val="21"/>
                <w:szCs w:val="21"/>
              </w:rPr>
            </w:pPr>
            <w:r>
              <w:rPr>
                <w:rFonts w:ascii="Arial" w:hAnsi="Arial" w:eastAsia="宋体" w:cs="Arial"/>
                <w:sz w:val="21"/>
                <w:szCs w:val="21"/>
              </w:rPr>
              <w:t>CR-80，50W</w:t>
            </w:r>
          </w:p>
        </w:tc>
        <w:tc>
          <w:tcPr>
            <w:tcW w:w="575" w:type="pct"/>
            <w:vAlign w:val="center"/>
          </w:tcPr>
          <w:p w14:paraId="3C7625BC">
            <w:pPr>
              <w:spacing w:line="240" w:lineRule="exact"/>
              <w:jc w:val="center"/>
              <w:rPr>
                <w:rFonts w:ascii="Arial" w:hAnsi="Arial" w:eastAsia="宋体" w:cs="Arial"/>
                <w:sz w:val="21"/>
                <w:szCs w:val="21"/>
              </w:rPr>
            </w:pPr>
          </w:p>
        </w:tc>
      </w:tr>
      <w:tr w14:paraId="3D9EE9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5BFFD640">
            <w:pPr>
              <w:spacing w:line="240" w:lineRule="exact"/>
              <w:jc w:val="center"/>
              <w:rPr>
                <w:rFonts w:ascii="Arial" w:hAnsi="Arial" w:eastAsia="宋体" w:cs="Arial"/>
                <w:sz w:val="21"/>
                <w:szCs w:val="21"/>
              </w:rPr>
            </w:pPr>
            <w:r>
              <w:rPr>
                <w:rFonts w:ascii="Arial" w:hAnsi="Arial" w:eastAsia="宋体" w:cs="Arial"/>
                <w:sz w:val="21"/>
                <w:szCs w:val="21"/>
              </w:rPr>
              <w:t>14</w:t>
            </w:r>
          </w:p>
        </w:tc>
        <w:tc>
          <w:tcPr>
            <w:tcW w:w="1390" w:type="pct"/>
            <w:vAlign w:val="center"/>
          </w:tcPr>
          <w:p w14:paraId="00CB2F8B">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四合一气体检测仪</w:t>
            </w:r>
          </w:p>
        </w:tc>
        <w:tc>
          <w:tcPr>
            <w:tcW w:w="434" w:type="pct"/>
            <w:vAlign w:val="center"/>
          </w:tcPr>
          <w:p w14:paraId="0DEB9641">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台</w:t>
            </w:r>
          </w:p>
        </w:tc>
        <w:tc>
          <w:tcPr>
            <w:tcW w:w="426" w:type="pct"/>
            <w:vAlign w:val="center"/>
          </w:tcPr>
          <w:p w14:paraId="21EFFC48">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w:t>
            </w:r>
          </w:p>
        </w:tc>
        <w:tc>
          <w:tcPr>
            <w:tcW w:w="681" w:type="pct"/>
            <w:vMerge w:val="restart"/>
            <w:vAlign w:val="center"/>
          </w:tcPr>
          <w:p w14:paraId="0EAE0BC5">
            <w:pPr>
              <w:spacing w:line="240" w:lineRule="exact"/>
              <w:jc w:val="center"/>
              <w:rPr>
                <w:rFonts w:ascii="Arial" w:hAnsi="Arial" w:eastAsia="宋体" w:cs="Arial"/>
                <w:sz w:val="21"/>
                <w:szCs w:val="21"/>
              </w:rPr>
            </w:pPr>
            <w:r>
              <w:rPr>
                <w:rFonts w:ascii="Arial" w:hAnsi="Arial" w:eastAsia="宋体" w:cs="Arial"/>
                <w:sz w:val="21"/>
                <w:szCs w:val="21"/>
              </w:rPr>
              <w:t>应急监测</w:t>
            </w:r>
          </w:p>
        </w:tc>
        <w:tc>
          <w:tcPr>
            <w:tcW w:w="1193" w:type="pct"/>
            <w:vAlign w:val="center"/>
          </w:tcPr>
          <w:p w14:paraId="460649D6">
            <w:pPr>
              <w:spacing w:line="240" w:lineRule="exact"/>
              <w:jc w:val="center"/>
              <w:rPr>
                <w:rFonts w:ascii="Arial" w:hAnsi="Arial" w:eastAsia="宋体" w:cs="Arial"/>
                <w:sz w:val="21"/>
                <w:szCs w:val="21"/>
              </w:rPr>
            </w:pPr>
            <w:r>
              <w:rPr>
                <w:rFonts w:ascii="Arial" w:hAnsi="Arial" w:eastAsia="宋体" w:cs="Arial"/>
                <w:sz w:val="21"/>
                <w:szCs w:val="21"/>
              </w:rPr>
              <w:t>BH-4S/氨气+氧气+一氧化碳+硫化氢</w:t>
            </w:r>
          </w:p>
        </w:tc>
        <w:tc>
          <w:tcPr>
            <w:tcW w:w="575" w:type="pct"/>
            <w:vAlign w:val="center"/>
          </w:tcPr>
          <w:p w14:paraId="7A4B80F3">
            <w:pPr>
              <w:spacing w:line="240" w:lineRule="exact"/>
              <w:jc w:val="center"/>
              <w:rPr>
                <w:rFonts w:ascii="Arial" w:hAnsi="Arial" w:eastAsia="宋体" w:cs="Arial"/>
                <w:sz w:val="21"/>
                <w:szCs w:val="21"/>
              </w:rPr>
            </w:pPr>
            <w:r>
              <w:rPr>
                <w:rFonts w:ascii="Arial" w:hAnsi="Arial" w:eastAsia="宋体" w:cs="Arial"/>
                <w:sz w:val="21"/>
                <w:szCs w:val="21"/>
              </w:rPr>
              <w:t>1</w:t>
            </w:r>
          </w:p>
        </w:tc>
      </w:tr>
      <w:tr w14:paraId="07FEB2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1470E431">
            <w:pPr>
              <w:spacing w:line="240" w:lineRule="exact"/>
              <w:jc w:val="center"/>
              <w:rPr>
                <w:rFonts w:ascii="Arial" w:hAnsi="Arial" w:eastAsia="宋体" w:cs="Arial"/>
                <w:sz w:val="21"/>
                <w:szCs w:val="21"/>
              </w:rPr>
            </w:pPr>
            <w:r>
              <w:rPr>
                <w:rFonts w:ascii="Arial" w:hAnsi="Arial" w:eastAsia="宋体" w:cs="Arial"/>
                <w:sz w:val="21"/>
                <w:szCs w:val="21"/>
              </w:rPr>
              <w:t>15</w:t>
            </w:r>
          </w:p>
        </w:tc>
        <w:tc>
          <w:tcPr>
            <w:tcW w:w="1390" w:type="pct"/>
            <w:vAlign w:val="center"/>
          </w:tcPr>
          <w:p w14:paraId="49EED59C">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风向标</w:t>
            </w:r>
          </w:p>
        </w:tc>
        <w:tc>
          <w:tcPr>
            <w:tcW w:w="434" w:type="pct"/>
            <w:vAlign w:val="center"/>
          </w:tcPr>
          <w:p w14:paraId="6A85A925">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426" w:type="pct"/>
            <w:tcBorders>
              <w:bottom w:val="single" w:color="auto" w:sz="4" w:space="0"/>
            </w:tcBorders>
            <w:vAlign w:val="center"/>
          </w:tcPr>
          <w:p w14:paraId="24B6EABA">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4</w:t>
            </w:r>
          </w:p>
        </w:tc>
        <w:tc>
          <w:tcPr>
            <w:tcW w:w="681" w:type="pct"/>
            <w:vMerge w:val="continue"/>
            <w:tcBorders>
              <w:bottom w:val="single" w:color="auto" w:sz="4" w:space="0"/>
            </w:tcBorders>
            <w:vAlign w:val="center"/>
          </w:tcPr>
          <w:p w14:paraId="1857A5D5">
            <w:pPr>
              <w:spacing w:line="240" w:lineRule="exact"/>
              <w:jc w:val="center"/>
              <w:rPr>
                <w:rFonts w:ascii="Arial" w:hAnsi="Arial" w:eastAsia="宋体" w:cs="Arial"/>
                <w:sz w:val="21"/>
                <w:szCs w:val="21"/>
              </w:rPr>
            </w:pPr>
          </w:p>
        </w:tc>
        <w:tc>
          <w:tcPr>
            <w:tcW w:w="1193" w:type="pct"/>
            <w:tcBorders>
              <w:bottom w:val="single" w:color="auto" w:sz="4" w:space="0"/>
            </w:tcBorders>
            <w:vAlign w:val="center"/>
          </w:tcPr>
          <w:p w14:paraId="7581A20F">
            <w:pPr>
              <w:spacing w:line="240" w:lineRule="exact"/>
              <w:jc w:val="center"/>
              <w:rPr>
                <w:rFonts w:ascii="Arial" w:hAnsi="Arial" w:eastAsia="宋体" w:cs="Arial"/>
                <w:sz w:val="21"/>
                <w:szCs w:val="21"/>
              </w:rPr>
            </w:pPr>
            <w:r>
              <w:rPr>
                <w:rFonts w:ascii="Arial" w:hAnsi="Arial" w:eastAsia="宋体" w:cs="Arial"/>
                <w:sz w:val="21"/>
                <w:szCs w:val="21"/>
              </w:rPr>
              <w:t>标准型，2m支架</w:t>
            </w:r>
          </w:p>
        </w:tc>
        <w:tc>
          <w:tcPr>
            <w:tcW w:w="575" w:type="pct"/>
            <w:vAlign w:val="center"/>
          </w:tcPr>
          <w:p w14:paraId="093316CF">
            <w:pPr>
              <w:spacing w:line="240" w:lineRule="exact"/>
              <w:jc w:val="center"/>
              <w:rPr>
                <w:rFonts w:ascii="Arial" w:hAnsi="Arial" w:eastAsia="宋体" w:cs="Arial"/>
                <w:sz w:val="21"/>
                <w:szCs w:val="21"/>
              </w:rPr>
            </w:pPr>
          </w:p>
        </w:tc>
      </w:tr>
      <w:tr w14:paraId="4F76A5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510C2405">
            <w:pPr>
              <w:spacing w:line="240" w:lineRule="exact"/>
              <w:jc w:val="center"/>
              <w:rPr>
                <w:rFonts w:ascii="Arial" w:hAnsi="Arial" w:eastAsia="宋体" w:cs="Arial"/>
                <w:sz w:val="21"/>
                <w:szCs w:val="21"/>
              </w:rPr>
            </w:pPr>
            <w:r>
              <w:rPr>
                <w:rFonts w:ascii="Arial" w:hAnsi="Arial" w:eastAsia="宋体" w:cs="Arial"/>
                <w:sz w:val="21"/>
                <w:szCs w:val="21"/>
              </w:rPr>
              <w:t>16</w:t>
            </w:r>
          </w:p>
        </w:tc>
        <w:tc>
          <w:tcPr>
            <w:tcW w:w="1390" w:type="pct"/>
            <w:vAlign w:val="center"/>
          </w:tcPr>
          <w:p w14:paraId="59CEB60C">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手提式多功能应急灯</w:t>
            </w:r>
          </w:p>
        </w:tc>
        <w:tc>
          <w:tcPr>
            <w:tcW w:w="434" w:type="pct"/>
            <w:vAlign w:val="center"/>
          </w:tcPr>
          <w:p w14:paraId="6A2AC937">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426" w:type="pct"/>
            <w:tcBorders>
              <w:bottom w:val="single" w:color="auto" w:sz="4" w:space="0"/>
            </w:tcBorders>
            <w:vAlign w:val="center"/>
          </w:tcPr>
          <w:p w14:paraId="0676418A">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3</w:t>
            </w:r>
          </w:p>
        </w:tc>
        <w:tc>
          <w:tcPr>
            <w:tcW w:w="681" w:type="pct"/>
            <w:vMerge w:val="restart"/>
            <w:tcBorders>
              <w:bottom w:val="single" w:color="auto" w:sz="4" w:space="0"/>
            </w:tcBorders>
            <w:vAlign w:val="center"/>
          </w:tcPr>
          <w:p w14:paraId="01BCF698">
            <w:pPr>
              <w:spacing w:line="240" w:lineRule="exact"/>
              <w:jc w:val="center"/>
              <w:rPr>
                <w:rFonts w:ascii="Arial" w:hAnsi="Arial" w:eastAsia="宋体" w:cs="Arial"/>
                <w:sz w:val="21"/>
                <w:szCs w:val="21"/>
              </w:rPr>
            </w:pPr>
            <w:r>
              <w:rPr>
                <w:rFonts w:ascii="Arial" w:hAnsi="Arial" w:eastAsia="宋体" w:cs="Arial"/>
                <w:sz w:val="21"/>
                <w:szCs w:val="21"/>
              </w:rPr>
              <w:t>应急照明</w:t>
            </w:r>
          </w:p>
        </w:tc>
        <w:tc>
          <w:tcPr>
            <w:tcW w:w="1193" w:type="pct"/>
            <w:tcBorders>
              <w:bottom w:val="single" w:color="auto" w:sz="4" w:space="0"/>
            </w:tcBorders>
            <w:vAlign w:val="center"/>
          </w:tcPr>
          <w:p w14:paraId="494CE62E">
            <w:pPr>
              <w:spacing w:line="240" w:lineRule="exact"/>
              <w:jc w:val="center"/>
              <w:rPr>
                <w:rFonts w:ascii="Arial" w:hAnsi="Arial" w:eastAsia="宋体" w:cs="Arial"/>
                <w:sz w:val="21"/>
                <w:szCs w:val="21"/>
              </w:rPr>
            </w:pPr>
            <w:r>
              <w:rPr>
                <w:rFonts w:ascii="Arial" w:hAnsi="Arial" w:eastAsia="宋体" w:cs="Arial"/>
                <w:sz w:val="21"/>
                <w:szCs w:val="21"/>
              </w:rPr>
              <w:t>沃尔森，防爆，超亮远程</w:t>
            </w:r>
          </w:p>
        </w:tc>
        <w:tc>
          <w:tcPr>
            <w:tcW w:w="575" w:type="pct"/>
            <w:vAlign w:val="center"/>
          </w:tcPr>
          <w:p w14:paraId="26275F10">
            <w:pPr>
              <w:spacing w:line="240" w:lineRule="exact"/>
              <w:jc w:val="center"/>
              <w:rPr>
                <w:rFonts w:ascii="Arial" w:hAnsi="Arial" w:eastAsia="宋体" w:cs="Arial"/>
                <w:sz w:val="21"/>
                <w:szCs w:val="21"/>
              </w:rPr>
            </w:pPr>
            <w:r>
              <w:rPr>
                <w:rFonts w:ascii="Arial" w:hAnsi="Arial" w:eastAsia="宋体" w:cs="Arial"/>
                <w:sz w:val="21"/>
                <w:szCs w:val="21"/>
              </w:rPr>
              <w:t>2</w:t>
            </w:r>
          </w:p>
        </w:tc>
      </w:tr>
      <w:tr w14:paraId="741A93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15C963E0">
            <w:pPr>
              <w:spacing w:line="240" w:lineRule="exact"/>
              <w:jc w:val="center"/>
              <w:rPr>
                <w:rFonts w:ascii="Arial" w:hAnsi="Arial" w:eastAsia="宋体" w:cs="Arial"/>
                <w:sz w:val="21"/>
                <w:szCs w:val="21"/>
              </w:rPr>
            </w:pPr>
            <w:r>
              <w:rPr>
                <w:rFonts w:ascii="Arial" w:hAnsi="Arial" w:eastAsia="宋体" w:cs="Arial"/>
                <w:sz w:val="21"/>
                <w:szCs w:val="21"/>
              </w:rPr>
              <w:t>17</w:t>
            </w:r>
          </w:p>
        </w:tc>
        <w:tc>
          <w:tcPr>
            <w:tcW w:w="1390" w:type="pct"/>
            <w:tcBorders>
              <w:bottom w:val="single" w:color="000000" w:sz="8" w:space="0"/>
              <w:right w:val="single" w:color="000000" w:sz="8" w:space="0"/>
            </w:tcBorders>
            <w:vAlign w:val="center"/>
          </w:tcPr>
          <w:p w14:paraId="6A0940DE">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电缆线卷</w:t>
            </w:r>
          </w:p>
        </w:tc>
        <w:tc>
          <w:tcPr>
            <w:tcW w:w="434" w:type="pct"/>
            <w:tcBorders>
              <w:left w:val="single" w:color="000000" w:sz="8" w:space="0"/>
              <w:bottom w:val="single" w:color="000000" w:sz="8" w:space="0"/>
              <w:right w:val="single" w:color="auto" w:sz="4" w:space="0"/>
            </w:tcBorders>
            <w:vAlign w:val="center"/>
          </w:tcPr>
          <w:p w14:paraId="000A8335">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426" w:type="pct"/>
            <w:tcBorders>
              <w:top w:val="single" w:color="auto" w:sz="4" w:space="0"/>
              <w:left w:val="single" w:color="auto" w:sz="4" w:space="0"/>
              <w:bottom w:val="single" w:color="auto" w:sz="4" w:space="0"/>
            </w:tcBorders>
            <w:vAlign w:val="center"/>
          </w:tcPr>
          <w:p w14:paraId="2E5833B7">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w:t>
            </w:r>
          </w:p>
        </w:tc>
        <w:tc>
          <w:tcPr>
            <w:tcW w:w="681" w:type="pct"/>
            <w:vMerge w:val="continue"/>
            <w:tcBorders>
              <w:top w:val="single" w:color="auto" w:sz="4" w:space="0"/>
              <w:bottom w:val="single" w:color="auto" w:sz="4" w:space="0"/>
            </w:tcBorders>
            <w:vAlign w:val="center"/>
          </w:tcPr>
          <w:p w14:paraId="08C4B473">
            <w:pPr>
              <w:spacing w:line="240" w:lineRule="exact"/>
              <w:jc w:val="center"/>
              <w:rPr>
                <w:rFonts w:ascii="Arial" w:hAnsi="Arial" w:eastAsia="宋体" w:cs="Arial"/>
                <w:sz w:val="21"/>
                <w:szCs w:val="21"/>
              </w:rPr>
            </w:pPr>
          </w:p>
        </w:tc>
        <w:tc>
          <w:tcPr>
            <w:tcW w:w="1193" w:type="pct"/>
            <w:tcBorders>
              <w:top w:val="single" w:color="auto" w:sz="4" w:space="0"/>
              <w:bottom w:val="single" w:color="auto" w:sz="4" w:space="0"/>
              <w:right w:val="single" w:color="auto" w:sz="4" w:space="0"/>
            </w:tcBorders>
            <w:vAlign w:val="center"/>
          </w:tcPr>
          <w:p w14:paraId="7D4B4D08">
            <w:pPr>
              <w:spacing w:line="240" w:lineRule="exact"/>
              <w:jc w:val="center"/>
              <w:rPr>
                <w:rFonts w:ascii="Arial" w:hAnsi="Arial" w:eastAsia="宋体" w:cs="Arial"/>
                <w:sz w:val="21"/>
                <w:szCs w:val="21"/>
              </w:rPr>
            </w:pPr>
            <w:r>
              <w:rPr>
                <w:rFonts w:ascii="Arial" w:hAnsi="Arial" w:eastAsia="宋体" w:cs="Arial"/>
                <w:sz w:val="21"/>
                <w:szCs w:val="21"/>
              </w:rPr>
              <w:t>220v，50m</w:t>
            </w:r>
          </w:p>
        </w:tc>
        <w:tc>
          <w:tcPr>
            <w:tcW w:w="575" w:type="pct"/>
            <w:tcBorders>
              <w:left w:val="single" w:color="auto" w:sz="4" w:space="0"/>
            </w:tcBorders>
            <w:vAlign w:val="center"/>
          </w:tcPr>
          <w:p w14:paraId="4CD72105">
            <w:pPr>
              <w:spacing w:line="240" w:lineRule="exact"/>
              <w:jc w:val="center"/>
              <w:rPr>
                <w:rFonts w:ascii="Arial" w:hAnsi="Arial" w:eastAsia="宋体" w:cs="Arial"/>
                <w:sz w:val="21"/>
                <w:szCs w:val="21"/>
              </w:rPr>
            </w:pPr>
            <w:r>
              <w:rPr>
                <w:rFonts w:ascii="Arial" w:hAnsi="Arial" w:eastAsia="宋体" w:cs="Arial"/>
                <w:sz w:val="21"/>
                <w:szCs w:val="21"/>
              </w:rPr>
              <w:t>1</w:t>
            </w:r>
          </w:p>
        </w:tc>
      </w:tr>
      <w:tr w14:paraId="7F07AE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3A8882E9">
            <w:pPr>
              <w:spacing w:line="240" w:lineRule="exact"/>
              <w:jc w:val="center"/>
              <w:rPr>
                <w:rFonts w:ascii="Arial" w:hAnsi="Arial" w:eastAsia="宋体" w:cs="Arial"/>
                <w:sz w:val="21"/>
                <w:szCs w:val="21"/>
              </w:rPr>
            </w:pPr>
            <w:r>
              <w:rPr>
                <w:rFonts w:ascii="Arial" w:hAnsi="Arial" w:eastAsia="宋体" w:cs="Arial"/>
                <w:sz w:val="21"/>
                <w:szCs w:val="21"/>
              </w:rPr>
              <w:t>18</w:t>
            </w:r>
          </w:p>
        </w:tc>
        <w:tc>
          <w:tcPr>
            <w:tcW w:w="1390" w:type="pct"/>
            <w:tcBorders>
              <w:top w:val="single" w:color="000000" w:sz="8" w:space="0"/>
            </w:tcBorders>
            <w:vAlign w:val="center"/>
          </w:tcPr>
          <w:p w14:paraId="2213042E">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折叠式担架</w:t>
            </w:r>
          </w:p>
        </w:tc>
        <w:tc>
          <w:tcPr>
            <w:tcW w:w="434" w:type="pct"/>
            <w:tcBorders>
              <w:top w:val="single" w:color="000000" w:sz="8" w:space="0"/>
            </w:tcBorders>
            <w:vAlign w:val="center"/>
          </w:tcPr>
          <w:p w14:paraId="4E9422E4">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付</w:t>
            </w:r>
          </w:p>
        </w:tc>
        <w:tc>
          <w:tcPr>
            <w:tcW w:w="426" w:type="pct"/>
            <w:tcBorders>
              <w:top w:val="single" w:color="auto" w:sz="4" w:space="0"/>
            </w:tcBorders>
            <w:vAlign w:val="center"/>
          </w:tcPr>
          <w:p w14:paraId="240B57ED">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681" w:type="pct"/>
            <w:vMerge w:val="restart"/>
            <w:tcBorders>
              <w:top w:val="single" w:color="auto" w:sz="4" w:space="0"/>
            </w:tcBorders>
            <w:vAlign w:val="center"/>
          </w:tcPr>
          <w:p w14:paraId="6238E36E">
            <w:pPr>
              <w:spacing w:line="240" w:lineRule="exact"/>
              <w:jc w:val="center"/>
              <w:rPr>
                <w:rFonts w:ascii="Arial" w:hAnsi="Arial" w:eastAsia="宋体" w:cs="Arial"/>
                <w:sz w:val="21"/>
                <w:szCs w:val="21"/>
              </w:rPr>
            </w:pPr>
            <w:r>
              <w:rPr>
                <w:rFonts w:ascii="Arial" w:hAnsi="Arial" w:eastAsia="宋体" w:cs="Arial"/>
                <w:sz w:val="21"/>
                <w:szCs w:val="21"/>
              </w:rPr>
              <w:t>伤员救护</w:t>
            </w:r>
          </w:p>
        </w:tc>
        <w:tc>
          <w:tcPr>
            <w:tcW w:w="1193" w:type="pct"/>
            <w:tcBorders>
              <w:top w:val="single" w:color="auto" w:sz="4" w:space="0"/>
            </w:tcBorders>
            <w:vAlign w:val="center"/>
          </w:tcPr>
          <w:p w14:paraId="3B79E5FA">
            <w:pPr>
              <w:spacing w:line="240" w:lineRule="exact"/>
              <w:jc w:val="center"/>
              <w:rPr>
                <w:rFonts w:ascii="Arial" w:hAnsi="Arial" w:eastAsia="宋体" w:cs="Arial"/>
                <w:sz w:val="21"/>
                <w:szCs w:val="21"/>
              </w:rPr>
            </w:pPr>
            <w:r>
              <w:rPr>
                <w:rFonts w:ascii="Arial" w:hAnsi="Arial" w:eastAsia="宋体" w:cs="Arial"/>
                <w:sz w:val="21"/>
                <w:szCs w:val="21"/>
              </w:rPr>
              <w:t>医家用多功能折叠</w:t>
            </w:r>
          </w:p>
        </w:tc>
        <w:tc>
          <w:tcPr>
            <w:tcW w:w="575" w:type="pct"/>
            <w:vAlign w:val="center"/>
          </w:tcPr>
          <w:p w14:paraId="4E787AB1">
            <w:pPr>
              <w:spacing w:line="240" w:lineRule="exact"/>
              <w:jc w:val="center"/>
              <w:rPr>
                <w:rFonts w:ascii="Arial" w:hAnsi="Arial" w:eastAsia="宋体" w:cs="Arial"/>
                <w:sz w:val="21"/>
                <w:szCs w:val="21"/>
              </w:rPr>
            </w:pPr>
          </w:p>
        </w:tc>
      </w:tr>
      <w:tr w14:paraId="771BB3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64AEA7BB">
            <w:pPr>
              <w:spacing w:line="240" w:lineRule="exact"/>
              <w:jc w:val="center"/>
              <w:rPr>
                <w:rFonts w:ascii="Arial" w:hAnsi="Arial" w:eastAsia="宋体" w:cs="Arial"/>
                <w:sz w:val="21"/>
                <w:szCs w:val="21"/>
              </w:rPr>
            </w:pPr>
            <w:r>
              <w:rPr>
                <w:rFonts w:ascii="Arial" w:hAnsi="Arial" w:eastAsia="宋体" w:cs="Arial"/>
                <w:sz w:val="21"/>
                <w:szCs w:val="21"/>
              </w:rPr>
              <w:t>19</w:t>
            </w:r>
          </w:p>
        </w:tc>
        <w:tc>
          <w:tcPr>
            <w:tcW w:w="1390" w:type="pct"/>
            <w:tcBorders>
              <w:top w:val="single" w:color="000000" w:sz="8" w:space="0"/>
            </w:tcBorders>
            <w:vAlign w:val="center"/>
          </w:tcPr>
          <w:p w14:paraId="1B65A90C">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医疗急救箱（内有纱布、绷带、医用酒精消毒棉球、碘伏）</w:t>
            </w:r>
          </w:p>
        </w:tc>
        <w:tc>
          <w:tcPr>
            <w:tcW w:w="434" w:type="pct"/>
            <w:tcBorders>
              <w:top w:val="single" w:color="000000" w:sz="8" w:space="0"/>
            </w:tcBorders>
            <w:vAlign w:val="center"/>
          </w:tcPr>
          <w:p w14:paraId="2612EB5B">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套</w:t>
            </w:r>
          </w:p>
        </w:tc>
        <w:tc>
          <w:tcPr>
            <w:tcW w:w="426" w:type="pct"/>
            <w:tcBorders>
              <w:top w:val="single" w:color="auto" w:sz="4" w:space="0"/>
            </w:tcBorders>
            <w:vAlign w:val="center"/>
          </w:tcPr>
          <w:p w14:paraId="3EDBCC2A">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681" w:type="pct"/>
            <w:vMerge w:val="continue"/>
            <w:vAlign w:val="center"/>
          </w:tcPr>
          <w:p w14:paraId="11343363">
            <w:pPr>
              <w:spacing w:line="240" w:lineRule="exact"/>
              <w:jc w:val="center"/>
              <w:rPr>
                <w:rFonts w:ascii="Arial" w:hAnsi="Arial" w:eastAsia="宋体" w:cs="Arial"/>
                <w:sz w:val="21"/>
                <w:szCs w:val="21"/>
              </w:rPr>
            </w:pPr>
          </w:p>
        </w:tc>
        <w:tc>
          <w:tcPr>
            <w:tcW w:w="1193" w:type="pct"/>
            <w:tcBorders>
              <w:top w:val="single" w:color="auto" w:sz="4" w:space="0"/>
            </w:tcBorders>
            <w:vAlign w:val="center"/>
          </w:tcPr>
          <w:p w14:paraId="1AA4256C">
            <w:pPr>
              <w:spacing w:line="240" w:lineRule="exact"/>
              <w:jc w:val="center"/>
              <w:rPr>
                <w:rFonts w:ascii="Arial" w:hAnsi="Arial" w:eastAsia="宋体" w:cs="Arial"/>
                <w:sz w:val="21"/>
                <w:szCs w:val="21"/>
              </w:rPr>
            </w:pPr>
            <w:r>
              <w:rPr>
                <w:rFonts w:ascii="Arial" w:hAnsi="Arial" w:eastAsia="宋体" w:cs="Arial"/>
                <w:sz w:val="21"/>
                <w:szCs w:val="21"/>
              </w:rPr>
              <w:t>390*215*280mm/3层</w:t>
            </w:r>
          </w:p>
        </w:tc>
        <w:tc>
          <w:tcPr>
            <w:tcW w:w="575" w:type="pct"/>
            <w:vAlign w:val="center"/>
          </w:tcPr>
          <w:p w14:paraId="263C6C83">
            <w:pPr>
              <w:spacing w:line="240" w:lineRule="exact"/>
              <w:jc w:val="center"/>
              <w:rPr>
                <w:rFonts w:ascii="Arial" w:hAnsi="Arial" w:eastAsia="宋体" w:cs="Arial"/>
                <w:sz w:val="21"/>
                <w:szCs w:val="21"/>
              </w:rPr>
            </w:pPr>
          </w:p>
        </w:tc>
      </w:tr>
      <w:tr w14:paraId="299634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7CD48E94">
            <w:pPr>
              <w:spacing w:line="240" w:lineRule="exact"/>
              <w:jc w:val="center"/>
              <w:rPr>
                <w:rFonts w:ascii="Arial" w:hAnsi="Arial" w:eastAsia="宋体" w:cs="Arial"/>
                <w:sz w:val="21"/>
                <w:szCs w:val="21"/>
              </w:rPr>
            </w:pPr>
            <w:r>
              <w:rPr>
                <w:rFonts w:ascii="Arial" w:hAnsi="Arial" w:eastAsia="宋体" w:cs="Arial"/>
                <w:sz w:val="21"/>
                <w:szCs w:val="21"/>
              </w:rPr>
              <w:t>20</w:t>
            </w:r>
          </w:p>
        </w:tc>
        <w:tc>
          <w:tcPr>
            <w:tcW w:w="1390" w:type="pct"/>
            <w:tcBorders>
              <w:top w:val="single" w:color="000000" w:sz="8" w:space="0"/>
            </w:tcBorders>
            <w:vAlign w:val="center"/>
          </w:tcPr>
          <w:p w14:paraId="016EC146">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空容器</w:t>
            </w:r>
          </w:p>
        </w:tc>
        <w:tc>
          <w:tcPr>
            <w:tcW w:w="434" w:type="pct"/>
            <w:tcBorders>
              <w:top w:val="single" w:color="000000" w:sz="8" w:space="0"/>
            </w:tcBorders>
            <w:vAlign w:val="center"/>
          </w:tcPr>
          <w:p w14:paraId="10F95780">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426" w:type="pct"/>
            <w:tcBorders>
              <w:top w:val="single" w:color="auto" w:sz="4" w:space="0"/>
            </w:tcBorders>
            <w:vAlign w:val="center"/>
          </w:tcPr>
          <w:p w14:paraId="489E7E66">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681" w:type="pct"/>
            <w:vMerge w:val="restart"/>
            <w:tcBorders>
              <w:top w:val="single" w:color="auto" w:sz="4" w:space="0"/>
            </w:tcBorders>
            <w:vAlign w:val="center"/>
          </w:tcPr>
          <w:p w14:paraId="0363FD8A">
            <w:pPr>
              <w:spacing w:line="240" w:lineRule="exact"/>
              <w:jc w:val="center"/>
              <w:rPr>
                <w:rFonts w:ascii="Arial" w:hAnsi="Arial" w:eastAsia="宋体" w:cs="Arial"/>
                <w:sz w:val="21"/>
                <w:szCs w:val="21"/>
              </w:rPr>
            </w:pPr>
            <w:r>
              <w:rPr>
                <w:rFonts w:ascii="Arial" w:hAnsi="Arial" w:eastAsia="宋体" w:cs="Arial"/>
                <w:sz w:val="21"/>
                <w:szCs w:val="21"/>
              </w:rPr>
              <w:t>填挖砂土、收集泄漏物</w:t>
            </w:r>
          </w:p>
        </w:tc>
        <w:tc>
          <w:tcPr>
            <w:tcW w:w="1193" w:type="pct"/>
            <w:tcBorders>
              <w:top w:val="single" w:color="auto" w:sz="4" w:space="0"/>
            </w:tcBorders>
            <w:vAlign w:val="center"/>
          </w:tcPr>
          <w:p w14:paraId="2E025746">
            <w:pPr>
              <w:spacing w:line="240" w:lineRule="exact"/>
              <w:jc w:val="center"/>
              <w:rPr>
                <w:rFonts w:ascii="Arial" w:hAnsi="Arial" w:eastAsia="宋体" w:cs="Arial"/>
                <w:sz w:val="21"/>
                <w:szCs w:val="21"/>
              </w:rPr>
            </w:pPr>
            <w:r>
              <w:rPr>
                <w:rFonts w:ascii="Arial" w:hAnsi="Arial" w:eastAsia="宋体" w:cs="Arial"/>
                <w:sz w:val="21"/>
                <w:szCs w:val="21"/>
              </w:rPr>
              <w:t>1m</w:t>
            </w:r>
            <w:r>
              <w:rPr>
                <w:rFonts w:ascii="Arial" w:hAnsi="Arial" w:eastAsia="宋体" w:cs="Arial"/>
                <w:sz w:val="21"/>
                <w:szCs w:val="21"/>
                <w:vertAlign w:val="superscript"/>
              </w:rPr>
              <w:t>3</w:t>
            </w:r>
          </w:p>
        </w:tc>
        <w:tc>
          <w:tcPr>
            <w:tcW w:w="575" w:type="pct"/>
            <w:vAlign w:val="center"/>
          </w:tcPr>
          <w:p w14:paraId="2ADADE7D">
            <w:pPr>
              <w:spacing w:line="240" w:lineRule="exact"/>
              <w:jc w:val="center"/>
              <w:rPr>
                <w:rFonts w:ascii="Arial" w:hAnsi="Arial" w:eastAsia="宋体" w:cs="Arial"/>
                <w:sz w:val="21"/>
                <w:szCs w:val="21"/>
              </w:rPr>
            </w:pPr>
          </w:p>
        </w:tc>
      </w:tr>
      <w:tr w14:paraId="0CCE01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027782EB">
            <w:pPr>
              <w:spacing w:line="240" w:lineRule="exact"/>
              <w:jc w:val="center"/>
              <w:rPr>
                <w:rFonts w:ascii="Arial" w:hAnsi="Arial" w:eastAsia="宋体" w:cs="Arial"/>
                <w:sz w:val="21"/>
                <w:szCs w:val="21"/>
              </w:rPr>
            </w:pPr>
            <w:r>
              <w:rPr>
                <w:rFonts w:ascii="Arial" w:hAnsi="Arial" w:eastAsia="宋体" w:cs="Arial"/>
                <w:sz w:val="21"/>
                <w:szCs w:val="21"/>
              </w:rPr>
              <w:t>21</w:t>
            </w:r>
          </w:p>
        </w:tc>
        <w:tc>
          <w:tcPr>
            <w:tcW w:w="1390" w:type="pct"/>
            <w:vAlign w:val="center"/>
          </w:tcPr>
          <w:p w14:paraId="3DE6296B">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消防水带</w:t>
            </w:r>
          </w:p>
        </w:tc>
        <w:tc>
          <w:tcPr>
            <w:tcW w:w="434" w:type="pct"/>
            <w:vAlign w:val="center"/>
          </w:tcPr>
          <w:p w14:paraId="41CFC29E">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条</w:t>
            </w:r>
          </w:p>
        </w:tc>
        <w:tc>
          <w:tcPr>
            <w:tcW w:w="426" w:type="pct"/>
            <w:vAlign w:val="center"/>
          </w:tcPr>
          <w:p w14:paraId="5A6A0296">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6</w:t>
            </w:r>
          </w:p>
        </w:tc>
        <w:tc>
          <w:tcPr>
            <w:tcW w:w="681" w:type="pct"/>
            <w:vMerge w:val="continue"/>
            <w:vAlign w:val="center"/>
          </w:tcPr>
          <w:p w14:paraId="2FF21081">
            <w:pPr>
              <w:spacing w:line="240" w:lineRule="exact"/>
              <w:jc w:val="center"/>
              <w:rPr>
                <w:rFonts w:ascii="Arial" w:hAnsi="Arial" w:eastAsia="宋体" w:cs="Arial"/>
                <w:sz w:val="21"/>
                <w:szCs w:val="21"/>
              </w:rPr>
            </w:pPr>
          </w:p>
        </w:tc>
        <w:tc>
          <w:tcPr>
            <w:tcW w:w="1193" w:type="pct"/>
            <w:vAlign w:val="center"/>
          </w:tcPr>
          <w:p w14:paraId="747000CC">
            <w:pPr>
              <w:spacing w:line="240" w:lineRule="exact"/>
              <w:jc w:val="center"/>
              <w:rPr>
                <w:rFonts w:ascii="Arial" w:hAnsi="Arial" w:eastAsia="宋体" w:cs="Arial"/>
                <w:sz w:val="21"/>
                <w:szCs w:val="21"/>
              </w:rPr>
            </w:pPr>
            <w:r>
              <w:rPr>
                <w:rFonts w:ascii="Arial" w:hAnsi="Arial" w:eastAsia="宋体" w:cs="Arial"/>
                <w:sz w:val="21"/>
                <w:szCs w:val="21"/>
              </w:rPr>
              <w:t>DN65</w:t>
            </w:r>
          </w:p>
        </w:tc>
        <w:tc>
          <w:tcPr>
            <w:tcW w:w="575" w:type="pct"/>
            <w:vAlign w:val="center"/>
          </w:tcPr>
          <w:p w14:paraId="07DB8D72">
            <w:pPr>
              <w:spacing w:line="240" w:lineRule="exact"/>
              <w:jc w:val="center"/>
              <w:rPr>
                <w:rFonts w:ascii="Arial" w:hAnsi="Arial" w:eastAsia="宋体" w:cs="Arial"/>
                <w:sz w:val="21"/>
                <w:szCs w:val="21"/>
              </w:rPr>
            </w:pPr>
          </w:p>
        </w:tc>
      </w:tr>
      <w:tr w14:paraId="4E9206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56145A89">
            <w:pPr>
              <w:spacing w:line="240" w:lineRule="exact"/>
              <w:jc w:val="center"/>
              <w:rPr>
                <w:rFonts w:ascii="Arial" w:hAnsi="Arial" w:eastAsia="宋体" w:cs="Arial"/>
                <w:sz w:val="21"/>
                <w:szCs w:val="21"/>
              </w:rPr>
            </w:pPr>
            <w:r>
              <w:rPr>
                <w:rFonts w:ascii="Arial" w:hAnsi="Arial" w:eastAsia="宋体" w:cs="Arial"/>
                <w:sz w:val="21"/>
                <w:szCs w:val="21"/>
              </w:rPr>
              <w:t>22</w:t>
            </w:r>
          </w:p>
        </w:tc>
        <w:tc>
          <w:tcPr>
            <w:tcW w:w="1390" w:type="pct"/>
            <w:vAlign w:val="center"/>
          </w:tcPr>
          <w:p w14:paraId="65E20DC3">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空压机</w:t>
            </w:r>
          </w:p>
        </w:tc>
        <w:tc>
          <w:tcPr>
            <w:tcW w:w="434" w:type="pct"/>
            <w:vAlign w:val="center"/>
          </w:tcPr>
          <w:p w14:paraId="2C36E36F">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台</w:t>
            </w:r>
          </w:p>
        </w:tc>
        <w:tc>
          <w:tcPr>
            <w:tcW w:w="426" w:type="pct"/>
            <w:vAlign w:val="center"/>
          </w:tcPr>
          <w:p w14:paraId="50BFDAE3">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w:t>
            </w:r>
          </w:p>
        </w:tc>
        <w:tc>
          <w:tcPr>
            <w:tcW w:w="681" w:type="pct"/>
            <w:vMerge w:val="continue"/>
            <w:vAlign w:val="center"/>
          </w:tcPr>
          <w:p w14:paraId="6B3D0DD4">
            <w:pPr>
              <w:spacing w:line="240" w:lineRule="exact"/>
              <w:jc w:val="center"/>
              <w:rPr>
                <w:rFonts w:ascii="Arial" w:hAnsi="Arial" w:eastAsia="宋体" w:cs="Arial"/>
                <w:sz w:val="21"/>
                <w:szCs w:val="21"/>
              </w:rPr>
            </w:pPr>
          </w:p>
        </w:tc>
        <w:tc>
          <w:tcPr>
            <w:tcW w:w="1193" w:type="pct"/>
            <w:vAlign w:val="center"/>
          </w:tcPr>
          <w:p w14:paraId="20487647">
            <w:pPr>
              <w:spacing w:line="240" w:lineRule="exact"/>
              <w:jc w:val="center"/>
              <w:rPr>
                <w:rFonts w:ascii="Arial" w:hAnsi="Arial" w:eastAsia="宋体" w:cs="Arial"/>
                <w:sz w:val="21"/>
                <w:szCs w:val="21"/>
              </w:rPr>
            </w:pPr>
            <w:r>
              <w:rPr>
                <w:rFonts w:ascii="Arial" w:hAnsi="Arial" w:eastAsia="宋体" w:cs="Arial"/>
                <w:sz w:val="21"/>
                <w:szCs w:val="21"/>
              </w:rPr>
              <w:t>30L/无油</w:t>
            </w:r>
          </w:p>
        </w:tc>
        <w:tc>
          <w:tcPr>
            <w:tcW w:w="575" w:type="pct"/>
            <w:vAlign w:val="center"/>
          </w:tcPr>
          <w:p w14:paraId="16EE49CD">
            <w:pPr>
              <w:spacing w:line="240" w:lineRule="exact"/>
              <w:jc w:val="center"/>
              <w:rPr>
                <w:rFonts w:ascii="Arial" w:hAnsi="Arial" w:eastAsia="宋体" w:cs="Arial"/>
                <w:sz w:val="21"/>
                <w:szCs w:val="21"/>
              </w:rPr>
            </w:pPr>
          </w:p>
        </w:tc>
      </w:tr>
      <w:tr w14:paraId="4C0729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5308A717">
            <w:pPr>
              <w:spacing w:line="240" w:lineRule="exact"/>
              <w:jc w:val="center"/>
              <w:rPr>
                <w:rFonts w:ascii="Arial" w:hAnsi="Arial" w:eastAsia="宋体" w:cs="Arial"/>
                <w:sz w:val="21"/>
                <w:szCs w:val="21"/>
              </w:rPr>
            </w:pPr>
            <w:r>
              <w:rPr>
                <w:rFonts w:ascii="Arial" w:hAnsi="Arial" w:eastAsia="宋体" w:cs="Arial"/>
                <w:sz w:val="21"/>
                <w:szCs w:val="21"/>
              </w:rPr>
              <w:t>23</w:t>
            </w:r>
          </w:p>
        </w:tc>
        <w:tc>
          <w:tcPr>
            <w:tcW w:w="1390" w:type="pct"/>
            <w:vAlign w:val="center"/>
          </w:tcPr>
          <w:p w14:paraId="0DFF0582">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管道封堵气囊</w:t>
            </w:r>
          </w:p>
        </w:tc>
        <w:tc>
          <w:tcPr>
            <w:tcW w:w="434" w:type="pct"/>
            <w:vAlign w:val="center"/>
          </w:tcPr>
          <w:p w14:paraId="0B831223">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个</w:t>
            </w:r>
          </w:p>
        </w:tc>
        <w:tc>
          <w:tcPr>
            <w:tcW w:w="426" w:type="pct"/>
            <w:vAlign w:val="center"/>
          </w:tcPr>
          <w:p w14:paraId="3E5B8E40">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4</w:t>
            </w:r>
          </w:p>
        </w:tc>
        <w:tc>
          <w:tcPr>
            <w:tcW w:w="681" w:type="pct"/>
            <w:vMerge w:val="continue"/>
            <w:vAlign w:val="center"/>
          </w:tcPr>
          <w:p w14:paraId="596CF64E">
            <w:pPr>
              <w:spacing w:line="240" w:lineRule="exact"/>
              <w:jc w:val="center"/>
              <w:rPr>
                <w:rFonts w:ascii="Arial" w:hAnsi="Arial" w:eastAsia="宋体" w:cs="Arial"/>
                <w:sz w:val="21"/>
                <w:szCs w:val="21"/>
              </w:rPr>
            </w:pPr>
          </w:p>
        </w:tc>
        <w:tc>
          <w:tcPr>
            <w:tcW w:w="1193" w:type="pct"/>
            <w:vAlign w:val="center"/>
          </w:tcPr>
          <w:p w14:paraId="4431EBFF">
            <w:pPr>
              <w:spacing w:line="240" w:lineRule="exact"/>
              <w:jc w:val="center"/>
              <w:rPr>
                <w:rFonts w:ascii="Arial" w:hAnsi="Arial" w:eastAsia="宋体" w:cs="Arial"/>
                <w:sz w:val="21"/>
                <w:szCs w:val="21"/>
              </w:rPr>
            </w:pPr>
            <w:r>
              <w:rPr>
                <w:rFonts w:ascii="Arial" w:hAnsi="Arial" w:eastAsia="宋体" w:cs="Arial"/>
                <w:sz w:val="21"/>
                <w:szCs w:val="21"/>
              </w:rPr>
              <w:t>DN300/600耐酸碱腐蚀</w:t>
            </w:r>
          </w:p>
        </w:tc>
        <w:tc>
          <w:tcPr>
            <w:tcW w:w="575" w:type="pct"/>
            <w:vAlign w:val="center"/>
          </w:tcPr>
          <w:p w14:paraId="4A37716C">
            <w:pPr>
              <w:spacing w:line="240" w:lineRule="exact"/>
              <w:jc w:val="center"/>
              <w:rPr>
                <w:rFonts w:ascii="Arial" w:hAnsi="Arial" w:eastAsia="宋体" w:cs="Arial"/>
                <w:sz w:val="21"/>
                <w:szCs w:val="21"/>
              </w:rPr>
            </w:pPr>
          </w:p>
        </w:tc>
      </w:tr>
      <w:tr w14:paraId="0970F7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49D4E6D2">
            <w:pPr>
              <w:spacing w:line="240" w:lineRule="exact"/>
              <w:jc w:val="center"/>
              <w:rPr>
                <w:rFonts w:ascii="Arial" w:hAnsi="Arial" w:eastAsia="宋体" w:cs="Arial"/>
                <w:sz w:val="21"/>
                <w:szCs w:val="21"/>
              </w:rPr>
            </w:pPr>
            <w:r>
              <w:rPr>
                <w:rFonts w:ascii="Arial" w:hAnsi="Arial" w:eastAsia="宋体" w:cs="Arial"/>
                <w:sz w:val="21"/>
                <w:szCs w:val="21"/>
              </w:rPr>
              <w:t>24</w:t>
            </w:r>
          </w:p>
        </w:tc>
        <w:tc>
          <w:tcPr>
            <w:tcW w:w="1390" w:type="pct"/>
            <w:vAlign w:val="center"/>
          </w:tcPr>
          <w:p w14:paraId="07A7DE42">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防爆黄铜尖锹</w:t>
            </w:r>
          </w:p>
        </w:tc>
        <w:tc>
          <w:tcPr>
            <w:tcW w:w="434" w:type="pct"/>
            <w:vAlign w:val="center"/>
          </w:tcPr>
          <w:p w14:paraId="4E0646E5">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把</w:t>
            </w:r>
          </w:p>
        </w:tc>
        <w:tc>
          <w:tcPr>
            <w:tcW w:w="426" w:type="pct"/>
            <w:vAlign w:val="center"/>
          </w:tcPr>
          <w:p w14:paraId="61DA8C84">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3</w:t>
            </w:r>
          </w:p>
        </w:tc>
        <w:tc>
          <w:tcPr>
            <w:tcW w:w="681" w:type="pct"/>
            <w:vMerge w:val="continue"/>
            <w:vAlign w:val="center"/>
          </w:tcPr>
          <w:p w14:paraId="184D8F2E">
            <w:pPr>
              <w:spacing w:line="240" w:lineRule="exact"/>
              <w:jc w:val="center"/>
              <w:rPr>
                <w:rFonts w:ascii="Arial" w:hAnsi="Arial" w:eastAsia="宋体" w:cs="Arial"/>
                <w:sz w:val="21"/>
                <w:szCs w:val="21"/>
              </w:rPr>
            </w:pPr>
          </w:p>
        </w:tc>
        <w:tc>
          <w:tcPr>
            <w:tcW w:w="1193" w:type="pct"/>
            <w:vAlign w:val="center"/>
          </w:tcPr>
          <w:p w14:paraId="727A8869">
            <w:pPr>
              <w:spacing w:line="240" w:lineRule="exact"/>
              <w:jc w:val="center"/>
              <w:rPr>
                <w:rFonts w:ascii="Arial" w:hAnsi="Arial" w:eastAsia="宋体" w:cs="Arial"/>
                <w:sz w:val="21"/>
                <w:szCs w:val="21"/>
              </w:rPr>
            </w:pPr>
            <w:r>
              <w:rPr>
                <w:rFonts w:ascii="Arial" w:hAnsi="Arial" w:eastAsia="宋体" w:cs="Arial"/>
                <w:sz w:val="21"/>
                <w:szCs w:val="21"/>
              </w:rPr>
              <w:t>190*240mm</w:t>
            </w:r>
          </w:p>
        </w:tc>
        <w:tc>
          <w:tcPr>
            <w:tcW w:w="575" w:type="pct"/>
            <w:vAlign w:val="center"/>
          </w:tcPr>
          <w:p w14:paraId="61D026E5">
            <w:pPr>
              <w:spacing w:line="240" w:lineRule="exact"/>
              <w:jc w:val="center"/>
              <w:rPr>
                <w:rFonts w:ascii="Arial" w:hAnsi="Arial" w:eastAsia="宋体" w:cs="Arial"/>
                <w:sz w:val="21"/>
                <w:szCs w:val="21"/>
              </w:rPr>
            </w:pPr>
          </w:p>
        </w:tc>
      </w:tr>
      <w:tr w14:paraId="0575FA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4DDABBE8">
            <w:pPr>
              <w:spacing w:line="240" w:lineRule="exact"/>
              <w:jc w:val="center"/>
              <w:rPr>
                <w:rFonts w:ascii="Arial" w:hAnsi="Arial" w:eastAsia="宋体" w:cs="Arial"/>
                <w:sz w:val="21"/>
                <w:szCs w:val="21"/>
              </w:rPr>
            </w:pPr>
            <w:r>
              <w:rPr>
                <w:rFonts w:ascii="Arial" w:hAnsi="Arial" w:eastAsia="宋体" w:cs="Arial"/>
                <w:sz w:val="21"/>
                <w:szCs w:val="21"/>
              </w:rPr>
              <w:t>25</w:t>
            </w:r>
          </w:p>
        </w:tc>
        <w:tc>
          <w:tcPr>
            <w:tcW w:w="1390" w:type="pct"/>
            <w:vAlign w:val="center"/>
          </w:tcPr>
          <w:p w14:paraId="5B678A1F">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防汛沙袋</w:t>
            </w:r>
          </w:p>
        </w:tc>
        <w:tc>
          <w:tcPr>
            <w:tcW w:w="434" w:type="pct"/>
            <w:vAlign w:val="center"/>
          </w:tcPr>
          <w:p w14:paraId="2E2AB51C">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只</w:t>
            </w:r>
          </w:p>
        </w:tc>
        <w:tc>
          <w:tcPr>
            <w:tcW w:w="426" w:type="pct"/>
            <w:vAlign w:val="center"/>
          </w:tcPr>
          <w:p w14:paraId="3772B197">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150</w:t>
            </w:r>
          </w:p>
        </w:tc>
        <w:tc>
          <w:tcPr>
            <w:tcW w:w="681" w:type="pct"/>
            <w:vMerge w:val="continue"/>
            <w:vAlign w:val="center"/>
          </w:tcPr>
          <w:p w14:paraId="4613AD18">
            <w:pPr>
              <w:spacing w:line="240" w:lineRule="exact"/>
              <w:jc w:val="center"/>
              <w:rPr>
                <w:rFonts w:ascii="Arial" w:hAnsi="Arial" w:eastAsia="宋体" w:cs="Arial"/>
                <w:b/>
                <w:bCs/>
                <w:sz w:val="21"/>
                <w:szCs w:val="21"/>
              </w:rPr>
            </w:pPr>
          </w:p>
        </w:tc>
        <w:tc>
          <w:tcPr>
            <w:tcW w:w="1193" w:type="pct"/>
            <w:vAlign w:val="center"/>
          </w:tcPr>
          <w:p w14:paraId="7BE4573E">
            <w:pPr>
              <w:spacing w:line="240" w:lineRule="exact"/>
              <w:jc w:val="center"/>
              <w:rPr>
                <w:rFonts w:ascii="Arial" w:hAnsi="Arial" w:eastAsia="宋体" w:cs="Arial"/>
                <w:sz w:val="21"/>
                <w:szCs w:val="21"/>
              </w:rPr>
            </w:pPr>
            <w:r>
              <w:rPr>
                <w:rFonts w:ascii="Arial" w:hAnsi="Arial" w:eastAsia="宋体" w:cs="Arial"/>
                <w:sz w:val="21"/>
                <w:szCs w:val="21"/>
              </w:rPr>
              <w:t>30*70</w:t>
            </w:r>
          </w:p>
        </w:tc>
        <w:tc>
          <w:tcPr>
            <w:tcW w:w="575" w:type="pct"/>
            <w:vAlign w:val="center"/>
          </w:tcPr>
          <w:p w14:paraId="01F3EA73">
            <w:pPr>
              <w:spacing w:line="240" w:lineRule="exact"/>
              <w:jc w:val="center"/>
              <w:rPr>
                <w:rFonts w:ascii="Arial" w:hAnsi="Arial" w:eastAsia="宋体" w:cs="Arial"/>
                <w:sz w:val="21"/>
                <w:szCs w:val="21"/>
              </w:rPr>
            </w:pPr>
          </w:p>
        </w:tc>
      </w:tr>
      <w:tr w14:paraId="475478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1A0E0CC5">
            <w:pPr>
              <w:spacing w:line="240" w:lineRule="exact"/>
              <w:jc w:val="center"/>
              <w:rPr>
                <w:rFonts w:ascii="Arial" w:hAnsi="Arial" w:eastAsia="宋体" w:cs="Arial"/>
                <w:sz w:val="21"/>
                <w:szCs w:val="21"/>
              </w:rPr>
            </w:pPr>
            <w:r>
              <w:rPr>
                <w:rFonts w:ascii="Arial" w:hAnsi="Arial" w:eastAsia="宋体" w:cs="Arial"/>
                <w:sz w:val="21"/>
                <w:szCs w:val="21"/>
              </w:rPr>
              <w:t>26</w:t>
            </w:r>
          </w:p>
        </w:tc>
        <w:tc>
          <w:tcPr>
            <w:tcW w:w="1390" w:type="pct"/>
            <w:vAlign w:val="center"/>
          </w:tcPr>
          <w:p w14:paraId="280CAFC9">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十字镐</w:t>
            </w:r>
          </w:p>
        </w:tc>
        <w:tc>
          <w:tcPr>
            <w:tcW w:w="434" w:type="pct"/>
            <w:vAlign w:val="center"/>
          </w:tcPr>
          <w:p w14:paraId="09C06E87">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把</w:t>
            </w:r>
          </w:p>
        </w:tc>
        <w:tc>
          <w:tcPr>
            <w:tcW w:w="426" w:type="pct"/>
            <w:vAlign w:val="center"/>
          </w:tcPr>
          <w:p w14:paraId="365CEB3A">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10</w:t>
            </w:r>
          </w:p>
        </w:tc>
        <w:tc>
          <w:tcPr>
            <w:tcW w:w="681" w:type="pct"/>
            <w:vMerge w:val="continue"/>
            <w:vAlign w:val="center"/>
          </w:tcPr>
          <w:p w14:paraId="25B8D86A">
            <w:pPr>
              <w:spacing w:line="240" w:lineRule="exact"/>
              <w:jc w:val="center"/>
              <w:rPr>
                <w:rFonts w:ascii="Arial" w:hAnsi="Arial" w:eastAsia="宋体" w:cs="Arial"/>
                <w:sz w:val="21"/>
                <w:szCs w:val="21"/>
              </w:rPr>
            </w:pPr>
          </w:p>
        </w:tc>
        <w:tc>
          <w:tcPr>
            <w:tcW w:w="1193" w:type="pct"/>
            <w:vAlign w:val="center"/>
          </w:tcPr>
          <w:p w14:paraId="3F532F7A">
            <w:pPr>
              <w:spacing w:line="240" w:lineRule="exact"/>
              <w:jc w:val="center"/>
              <w:rPr>
                <w:rFonts w:ascii="Arial" w:hAnsi="Arial" w:eastAsia="宋体" w:cs="Arial"/>
                <w:sz w:val="21"/>
                <w:szCs w:val="21"/>
              </w:rPr>
            </w:pPr>
            <w:r>
              <w:rPr>
                <w:rFonts w:ascii="Arial" w:hAnsi="Arial" w:eastAsia="宋体" w:cs="Arial"/>
                <w:kern w:val="0"/>
                <w:sz w:val="21"/>
                <w:szCs w:val="21"/>
                <w:lang w:bidi="ar"/>
              </w:rPr>
              <w:t>十字镐</w:t>
            </w:r>
          </w:p>
        </w:tc>
        <w:tc>
          <w:tcPr>
            <w:tcW w:w="575" w:type="pct"/>
            <w:vAlign w:val="center"/>
          </w:tcPr>
          <w:p w14:paraId="75513468">
            <w:pPr>
              <w:spacing w:line="240" w:lineRule="exact"/>
              <w:jc w:val="center"/>
              <w:rPr>
                <w:rFonts w:ascii="Arial" w:hAnsi="Arial" w:eastAsia="宋体" w:cs="Arial"/>
                <w:sz w:val="21"/>
                <w:szCs w:val="21"/>
              </w:rPr>
            </w:pPr>
          </w:p>
        </w:tc>
      </w:tr>
      <w:tr w14:paraId="1042A4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0EAD6C29">
            <w:pPr>
              <w:spacing w:line="240" w:lineRule="exact"/>
              <w:jc w:val="center"/>
              <w:rPr>
                <w:rFonts w:ascii="Arial" w:hAnsi="Arial" w:eastAsia="宋体" w:cs="Arial"/>
                <w:sz w:val="21"/>
                <w:szCs w:val="21"/>
              </w:rPr>
            </w:pPr>
            <w:r>
              <w:rPr>
                <w:rFonts w:ascii="Arial" w:hAnsi="Arial" w:eastAsia="宋体" w:cs="Arial"/>
                <w:sz w:val="21"/>
                <w:szCs w:val="21"/>
              </w:rPr>
              <w:t>27</w:t>
            </w:r>
          </w:p>
        </w:tc>
        <w:tc>
          <w:tcPr>
            <w:tcW w:w="1390" w:type="pct"/>
            <w:vAlign w:val="center"/>
          </w:tcPr>
          <w:p w14:paraId="2E1B2B60">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不锈钢潜水泵</w:t>
            </w:r>
          </w:p>
        </w:tc>
        <w:tc>
          <w:tcPr>
            <w:tcW w:w="434" w:type="pct"/>
            <w:vAlign w:val="center"/>
          </w:tcPr>
          <w:p w14:paraId="635BCA7B">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台</w:t>
            </w:r>
          </w:p>
        </w:tc>
        <w:tc>
          <w:tcPr>
            <w:tcW w:w="426" w:type="pct"/>
            <w:vAlign w:val="center"/>
          </w:tcPr>
          <w:p w14:paraId="5373AAE5">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681" w:type="pct"/>
            <w:vMerge w:val="continue"/>
            <w:vAlign w:val="center"/>
          </w:tcPr>
          <w:p w14:paraId="177007B5">
            <w:pPr>
              <w:spacing w:line="240" w:lineRule="exact"/>
              <w:jc w:val="center"/>
              <w:rPr>
                <w:rFonts w:ascii="Arial" w:hAnsi="Arial" w:eastAsia="宋体" w:cs="Arial"/>
                <w:sz w:val="21"/>
                <w:szCs w:val="21"/>
              </w:rPr>
            </w:pPr>
          </w:p>
        </w:tc>
        <w:tc>
          <w:tcPr>
            <w:tcW w:w="1193" w:type="pct"/>
            <w:vAlign w:val="center"/>
          </w:tcPr>
          <w:p w14:paraId="3FE46F8A">
            <w:pPr>
              <w:spacing w:line="240" w:lineRule="exact"/>
              <w:jc w:val="center"/>
              <w:rPr>
                <w:rFonts w:ascii="Arial" w:hAnsi="Arial" w:eastAsia="宋体" w:cs="Arial"/>
                <w:sz w:val="21"/>
                <w:szCs w:val="21"/>
              </w:rPr>
            </w:pPr>
            <w:r>
              <w:rPr>
                <w:rFonts w:ascii="Arial" w:hAnsi="Arial" w:eastAsia="宋体" w:cs="Arial"/>
                <w:sz w:val="21"/>
                <w:szCs w:val="21"/>
              </w:rPr>
              <w:t>220v，Q=10m</w:t>
            </w:r>
            <w:r>
              <w:rPr>
                <w:rFonts w:ascii="Arial" w:hAnsi="Arial" w:eastAsia="宋体" w:cs="Arial"/>
                <w:sz w:val="21"/>
                <w:szCs w:val="21"/>
                <w:vertAlign w:val="superscript"/>
              </w:rPr>
              <w:t>3</w:t>
            </w:r>
            <w:r>
              <w:rPr>
                <w:rFonts w:ascii="Arial" w:hAnsi="Arial" w:eastAsia="宋体" w:cs="Arial"/>
                <w:sz w:val="21"/>
                <w:szCs w:val="21"/>
              </w:rPr>
              <w:t>/h</w:t>
            </w:r>
          </w:p>
        </w:tc>
        <w:tc>
          <w:tcPr>
            <w:tcW w:w="575" w:type="pct"/>
            <w:vAlign w:val="center"/>
          </w:tcPr>
          <w:p w14:paraId="3997D13B">
            <w:pPr>
              <w:spacing w:line="240" w:lineRule="exact"/>
              <w:jc w:val="center"/>
              <w:rPr>
                <w:rFonts w:ascii="Arial" w:hAnsi="Arial" w:eastAsia="宋体" w:cs="Arial"/>
                <w:sz w:val="21"/>
                <w:szCs w:val="21"/>
              </w:rPr>
            </w:pPr>
          </w:p>
        </w:tc>
      </w:tr>
      <w:tr w14:paraId="4463AC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00" w:type="pct"/>
            <w:vAlign w:val="center"/>
          </w:tcPr>
          <w:p w14:paraId="67BE8997">
            <w:pPr>
              <w:spacing w:line="240" w:lineRule="exact"/>
              <w:jc w:val="center"/>
              <w:rPr>
                <w:rFonts w:ascii="Arial" w:hAnsi="Arial" w:eastAsia="宋体" w:cs="Arial"/>
                <w:sz w:val="21"/>
                <w:szCs w:val="21"/>
              </w:rPr>
            </w:pPr>
            <w:r>
              <w:rPr>
                <w:rFonts w:ascii="Arial" w:hAnsi="Arial" w:eastAsia="宋体" w:cs="Arial"/>
                <w:sz w:val="21"/>
                <w:szCs w:val="21"/>
              </w:rPr>
              <w:t>28</w:t>
            </w:r>
          </w:p>
        </w:tc>
        <w:tc>
          <w:tcPr>
            <w:tcW w:w="1390" w:type="pct"/>
            <w:vAlign w:val="center"/>
          </w:tcPr>
          <w:p w14:paraId="13B1501B">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耐磨防腐泵</w:t>
            </w:r>
          </w:p>
        </w:tc>
        <w:tc>
          <w:tcPr>
            <w:tcW w:w="434" w:type="pct"/>
            <w:vAlign w:val="center"/>
          </w:tcPr>
          <w:p w14:paraId="145AE504">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台</w:t>
            </w:r>
          </w:p>
        </w:tc>
        <w:tc>
          <w:tcPr>
            <w:tcW w:w="426" w:type="pct"/>
            <w:vAlign w:val="center"/>
          </w:tcPr>
          <w:p w14:paraId="7E108FAF">
            <w:pPr>
              <w:widowControl/>
              <w:spacing w:line="240" w:lineRule="exact"/>
              <w:jc w:val="center"/>
              <w:textAlignment w:val="center"/>
              <w:rPr>
                <w:rFonts w:ascii="Arial" w:hAnsi="Arial" w:eastAsia="宋体" w:cs="Arial"/>
                <w:sz w:val="21"/>
                <w:szCs w:val="21"/>
              </w:rPr>
            </w:pPr>
            <w:r>
              <w:rPr>
                <w:rFonts w:ascii="Arial" w:hAnsi="Arial" w:eastAsia="宋体" w:cs="Arial"/>
                <w:kern w:val="0"/>
                <w:sz w:val="21"/>
                <w:szCs w:val="21"/>
                <w:lang w:bidi="ar"/>
              </w:rPr>
              <w:t>2</w:t>
            </w:r>
          </w:p>
        </w:tc>
        <w:tc>
          <w:tcPr>
            <w:tcW w:w="681" w:type="pct"/>
            <w:vMerge w:val="continue"/>
            <w:vAlign w:val="center"/>
          </w:tcPr>
          <w:p w14:paraId="5C65267B">
            <w:pPr>
              <w:spacing w:line="240" w:lineRule="exact"/>
              <w:jc w:val="center"/>
              <w:rPr>
                <w:rFonts w:ascii="Arial" w:hAnsi="Arial" w:eastAsia="宋体" w:cs="Arial"/>
                <w:sz w:val="21"/>
                <w:szCs w:val="21"/>
              </w:rPr>
            </w:pPr>
          </w:p>
        </w:tc>
        <w:tc>
          <w:tcPr>
            <w:tcW w:w="1193" w:type="pct"/>
            <w:vAlign w:val="center"/>
          </w:tcPr>
          <w:p w14:paraId="2F822AE8">
            <w:pPr>
              <w:spacing w:line="240" w:lineRule="exact"/>
              <w:jc w:val="center"/>
              <w:rPr>
                <w:rFonts w:ascii="Arial" w:hAnsi="Arial" w:eastAsia="宋体" w:cs="Arial"/>
                <w:sz w:val="21"/>
                <w:szCs w:val="21"/>
              </w:rPr>
            </w:pPr>
            <w:r>
              <w:rPr>
                <w:rFonts w:ascii="Arial" w:hAnsi="Arial" w:eastAsia="宋体" w:cs="Arial"/>
                <w:sz w:val="21"/>
                <w:szCs w:val="21"/>
              </w:rPr>
              <w:t>30FUH-20-5/25</w:t>
            </w:r>
          </w:p>
        </w:tc>
        <w:tc>
          <w:tcPr>
            <w:tcW w:w="575" w:type="pct"/>
            <w:vAlign w:val="center"/>
          </w:tcPr>
          <w:p w14:paraId="2FB4C12D">
            <w:pPr>
              <w:spacing w:line="240" w:lineRule="exact"/>
              <w:jc w:val="center"/>
              <w:rPr>
                <w:rFonts w:ascii="Arial" w:hAnsi="Arial" w:eastAsia="宋体" w:cs="Arial"/>
                <w:sz w:val="21"/>
                <w:szCs w:val="21"/>
              </w:rPr>
            </w:pPr>
          </w:p>
        </w:tc>
      </w:tr>
      <w:bookmarkEnd w:id="343"/>
    </w:tbl>
    <w:p w14:paraId="3ED7935F">
      <w:pPr>
        <w:numPr>
          <w:ilvl w:val="0"/>
          <w:numId w:val="34"/>
        </w:numPr>
        <w:spacing w:line="500" w:lineRule="exact"/>
        <w:outlineLvl w:val="3"/>
        <w:rPr>
          <w:rFonts w:ascii="Arial" w:hAnsi="Arial" w:eastAsia="宋体" w:cs="Arial"/>
          <w:b/>
          <w:sz w:val="24"/>
          <w:szCs w:val="24"/>
        </w:rPr>
      </w:pPr>
      <w:r>
        <w:rPr>
          <w:rFonts w:hint="eastAsia" w:ascii="Arial" w:hAnsi="Arial" w:eastAsia="宋体" w:cs="Arial"/>
          <w:b/>
          <w:sz w:val="24"/>
          <w:szCs w:val="24"/>
        </w:rPr>
        <w:t>项目依托的风险防范措施</w:t>
      </w:r>
    </w:p>
    <w:p w14:paraId="6F3D7076">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1.依托的地表水风险防范措施</w:t>
      </w:r>
    </w:p>
    <w:p w14:paraId="23104D9D">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（1）依托现有三级防控体系</w:t>
      </w:r>
    </w:p>
    <w:p w14:paraId="437E457E">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u w:val="single"/>
        </w:rPr>
        <w:t>项目依托厂区现有的三级风险防范体系（详见&amp;4.3.8.2）</w:t>
      </w:r>
      <w:r>
        <w:rPr>
          <w:rFonts w:hint="eastAsia" w:ascii="Arial" w:hAnsi="Arial" w:eastAsia="宋体" w:cs="Arial"/>
          <w:spacing w:val="10"/>
          <w:sz w:val="24"/>
          <w:szCs w:val="24"/>
        </w:rPr>
        <w:t>。</w:t>
      </w:r>
    </w:p>
    <w:p w14:paraId="5E3CDB39">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①依托事故池</w:t>
      </w:r>
    </w:p>
    <w:p w14:paraId="5FB2FB7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根据《关于印发〈水体污染防控紧急措施设计导则〉的通知》（中国石化建标〔2006〕43号）相关要求，并参考</w:t>
      </w:r>
      <w:r>
        <w:rPr>
          <w:rFonts w:hint="eastAsia" w:ascii="Arial" w:hAnsi="Arial" w:eastAsia="宋体" w:cs="Arial"/>
          <w:spacing w:val="10"/>
          <w:sz w:val="24"/>
          <w:szCs w:val="24"/>
        </w:rPr>
        <w:t>《石油化工企业设计防火规范》（GB50160-2008）、</w:t>
      </w:r>
      <w:r>
        <w:rPr>
          <w:rFonts w:ascii="Arial" w:hAnsi="Arial" w:eastAsia="宋体" w:cs="Arial"/>
          <w:spacing w:val="10"/>
          <w:sz w:val="24"/>
          <w:szCs w:val="24"/>
        </w:rPr>
        <w:t>《石油化工环境保护设计规范》（SH/T3024-2017），结合项目的平面布置及现有工程事故池分布情况，核算</w:t>
      </w:r>
      <w:r>
        <w:rPr>
          <w:rFonts w:hint="eastAsia" w:ascii="Arial" w:hAnsi="Arial" w:eastAsia="宋体" w:cs="Arial"/>
          <w:spacing w:val="10"/>
          <w:sz w:val="24"/>
          <w:szCs w:val="24"/>
        </w:rPr>
        <w:t>依托</w:t>
      </w:r>
      <w:r>
        <w:rPr>
          <w:rFonts w:ascii="Arial" w:hAnsi="Arial" w:eastAsia="宋体" w:cs="Arial"/>
          <w:spacing w:val="10"/>
          <w:sz w:val="24"/>
          <w:szCs w:val="24"/>
        </w:rPr>
        <w:t>事故池</w:t>
      </w:r>
      <w:r>
        <w:rPr>
          <w:rFonts w:hint="eastAsia" w:ascii="Arial" w:hAnsi="Arial" w:eastAsia="宋体" w:cs="Arial"/>
          <w:spacing w:val="10"/>
          <w:sz w:val="24"/>
          <w:szCs w:val="24"/>
        </w:rPr>
        <w:t>的</w:t>
      </w:r>
      <w:r>
        <w:rPr>
          <w:rFonts w:ascii="Arial" w:hAnsi="Arial" w:eastAsia="宋体" w:cs="Arial"/>
          <w:spacing w:val="10"/>
          <w:sz w:val="24"/>
          <w:szCs w:val="24"/>
        </w:rPr>
        <w:t>有效</w:t>
      </w:r>
      <w:r>
        <w:rPr>
          <w:rFonts w:hint="eastAsia" w:ascii="Arial" w:hAnsi="Arial" w:eastAsia="宋体" w:cs="Arial"/>
          <w:spacing w:val="10"/>
          <w:sz w:val="24"/>
          <w:szCs w:val="24"/>
        </w:rPr>
        <w:t>性</w:t>
      </w:r>
      <w:r>
        <w:rPr>
          <w:rFonts w:ascii="Arial" w:hAnsi="Arial" w:eastAsia="宋体" w:cs="Arial"/>
          <w:spacing w:val="10"/>
          <w:sz w:val="24"/>
          <w:szCs w:val="24"/>
        </w:rPr>
        <w:t>。</w:t>
      </w:r>
    </w:p>
    <w:p w14:paraId="7066C5D2">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可作为事故排水的储存设施包括应急池、事故罐、防火堤内或围堰内区域。</w:t>
      </w:r>
    </w:p>
    <w:p w14:paraId="31BFFA35">
      <w:pPr>
        <w:spacing w:line="500" w:lineRule="exact"/>
        <w:ind w:firstLine="490" w:firstLineChars="200"/>
        <w:rPr>
          <w:rFonts w:ascii="Arial" w:hAnsi="Arial" w:eastAsia="宋体" w:cs="Arial"/>
          <w:spacing w:val="10"/>
          <w:sz w:val="24"/>
          <w:szCs w:val="24"/>
          <w:vertAlign w:val="subscript"/>
        </w:rPr>
      </w:pPr>
      <w:r>
        <w:rPr>
          <w:rFonts w:ascii="Arial" w:hAnsi="Arial" w:eastAsia="宋体" w:cs="Arial"/>
          <w:spacing w:val="10"/>
          <w:sz w:val="24"/>
          <w:szCs w:val="24"/>
        </w:rPr>
        <w:t>V</w:t>
      </w:r>
      <w:r>
        <w:rPr>
          <w:rFonts w:ascii="Arial" w:hAnsi="Arial" w:eastAsia="宋体" w:cs="Arial"/>
          <w:spacing w:val="10"/>
          <w:sz w:val="24"/>
          <w:szCs w:val="24"/>
          <w:vertAlign w:val="subscript"/>
        </w:rPr>
        <w:t>T</w:t>
      </w:r>
      <w:r>
        <w:rPr>
          <w:rFonts w:ascii="Arial" w:hAnsi="Arial" w:eastAsia="宋体" w:cs="Arial"/>
          <w:spacing w:val="10"/>
          <w:sz w:val="24"/>
          <w:szCs w:val="24"/>
        </w:rPr>
        <w:t>=(V</w:t>
      </w:r>
      <w:r>
        <w:rPr>
          <w:rFonts w:ascii="Arial" w:hAnsi="Arial" w:eastAsia="宋体" w:cs="Arial"/>
          <w:spacing w:val="10"/>
          <w:sz w:val="24"/>
          <w:szCs w:val="24"/>
          <w:vertAlign w:val="subscript"/>
        </w:rPr>
        <w:t>1</w:t>
      </w:r>
      <w:r>
        <w:rPr>
          <w:rFonts w:ascii="Arial" w:hAnsi="Arial" w:eastAsia="宋体" w:cs="Arial"/>
          <w:spacing w:val="10"/>
          <w:sz w:val="24"/>
          <w:szCs w:val="24"/>
        </w:rPr>
        <w:t>+V</w:t>
      </w:r>
      <w:r>
        <w:rPr>
          <w:rFonts w:ascii="Arial" w:hAnsi="Arial" w:eastAsia="宋体" w:cs="Arial"/>
          <w:spacing w:val="10"/>
          <w:sz w:val="24"/>
          <w:szCs w:val="24"/>
          <w:vertAlign w:val="subscript"/>
        </w:rPr>
        <w:t>2</w:t>
      </w:r>
      <w:r>
        <w:rPr>
          <w:rFonts w:ascii="Arial" w:hAnsi="Arial" w:eastAsia="宋体" w:cs="Arial"/>
          <w:spacing w:val="10"/>
          <w:sz w:val="24"/>
          <w:szCs w:val="24"/>
        </w:rPr>
        <w:t>-V</w:t>
      </w:r>
      <w:r>
        <w:rPr>
          <w:rFonts w:ascii="Arial" w:hAnsi="Arial" w:eastAsia="宋体" w:cs="Arial"/>
          <w:spacing w:val="10"/>
          <w:sz w:val="24"/>
          <w:szCs w:val="24"/>
          <w:vertAlign w:val="subscript"/>
        </w:rPr>
        <w:t>3</w:t>
      </w:r>
      <w:r>
        <w:rPr>
          <w:rFonts w:ascii="Arial" w:hAnsi="Arial" w:eastAsia="宋体" w:cs="Arial"/>
          <w:spacing w:val="10"/>
          <w:sz w:val="24"/>
          <w:szCs w:val="24"/>
        </w:rPr>
        <w:t>)</w:t>
      </w:r>
      <w:r>
        <w:rPr>
          <w:rFonts w:ascii="Arial" w:hAnsi="Arial" w:eastAsia="宋体" w:cs="Arial"/>
          <w:spacing w:val="10"/>
          <w:sz w:val="24"/>
          <w:szCs w:val="24"/>
          <w:vertAlign w:val="subscript"/>
        </w:rPr>
        <w:t xml:space="preserve">max </w:t>
      </w:r>
      <w:r>
        <w:rPr>
          <w:rFonts w:ascii="Arial" w:hAnsi="Arial" w:eastAsia="宋体" w:cs="Arial"/>
          <w:spacing w:val="10"/>
          <w:sz w:val="24"/>
          <w:szCs w:val="24"/>
        </w:rPr>
        <w:t>+V</w:t>
      </w:r>
      <w:r>
        <w:rPr>
          <w:rFonts w:ascii="Arial" w:hAnsi="Arial" w:eastAsia="宋体" w:cs="Arial"/>
          <w:spacing w:val="10"/>
          <w:sz w:val="24"/>
          <w:szCs w:val="24"/>
          <w:vertAlign w:val="subscript"/>
        </w:rPr>
        <w:t>4</w:t>
      </w:r>
      <w:r>
        <w:rPr>
          <w:rFonts w:ascii="Arial" w:hAnsi="Arial" w:eastAsia="宋体" w:cs="Arial"/>
          <w:spacing w:val="10"/>
          <w:sz w:val="24"/>
          <w:szCs w:val="24"/>
        </w:rPr>
        <w:t>+V</w:t>
      </w:r>
      <w:r>
        <w:rPr>
          <w:rFonts w:ascii="Arial" w:hAnsi="Arial" w:eastAsia="宋体" w:cs="Arial"/>
          <w:spacing w:val="10"/>
          <w:sz w:val="24"/>
          <w:szCs w:val="24"/>
          <w:vertAlign w:val="subscript"/>
        </w:rPr>
        <w:t>5</w:t>
      </w:r>
    </w:p>
    <w:p w14:paraId="2CEE92E7">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T</w:t>
      </w:r>
      <w:r>
        <w:rPr>
          <w:rFonts w:ascii="Arial" w:hAnsi="Arial" w:eastAsia="宋体" w:cs="Arial"/>
          <w:spacing w:val="10"/>
          <w:sz w:val="24"/>
          <w:szCs w:val="24"/>
        </w:rPr>
        <w:t>——事故储存设施总有效容积；</w:t>
      </w:r>
    </w:p>
    <w:p w14:paraId="578684F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1</w:t>
      </w:r>
      <w:r>
        <w:rPr>
          <w:rFonts w:ascii="Arial" w:hAnsi="Arial" w:eastAsia="宋体" w:cs="Arial"/>
          <w:spacing w:val="10"/>
          <w:sz w:val="24"/>
          <w:szCs w:val="24"/>
        </w:rPr>
        <w:t>——收集系统范围内发生事故的一个罐组或一套装置的物料量，储存相同物料的按单个最大计，装置物料量按存留最大物料量的单个容器计，单罐最大的</w:t>
      </w:r>
      <w:r>
        <w:rPr>
          <w:rFonts w:hint="eastAsia" w:ascii="Arial" w:hAnsi="Arial" w:eastAsia="宋体" w:cs="Arial"/>
          <w:spacing w:val="10"/>
          <w:sz w:val="24"/>
          <w:szCs w:val="24"/>
        </w:rPr>
        <w:t>洗水外排槽75</w:t>
      </w:r>
      <w:r>
        <w:rPr>
          <w:rFonts w:ascii="Arial" w:hAnsi="Arial" w:eastAsia="宋体" w:cs="Arial"/>
          <w:spacing w:val="10"/>
          <w:sz w:val="24"/>
          <w:szCs w:val="24"/>
        </w:rPr>
        <w:t>m</w:t>
      </w:r>
      <w:r>
        <w:rPr>
          <w:rFonts w:ascii="Arial" w:hAnsi="Arial" w:eastAsia="宋体" w:cs="Arial"/>
          <w:spacing w:val="10"/>
          <w:sz w:val="24"/>
          <w:szCs w:val="24"/>
          <w:vertAlign w:val="superscript"/>
        </w:rPr>
        <w:t>3</w:t>
      </w:r>
      <w:r>
        <w:rPr>
          <w:rFonts w:hint="eastAsia" w:ascii="Arial" w:hAnsi="Arial" w:eastAsia="宋体" w:cs="Arial"/>
          <w:spacing w:val="10"/>
          <w:sz w:val="24"/>
          <w:szCs w:val="24"/>
        </w:rPr>
        <w:t>，储存系数0.9，最大物料量为67.5</w:t>
      </w:r>
      <w:r>
        <w:rPr>
          <w:rFonts w:ascii="Arial" w:hAnsi="Arial" w:eastAsia="宋体" w:cs="Arial"/>
          <w:spacing w:val="10"/>
          <w:sz w:val="24"/>
          <w:szCs w:val="24"/>
        </w:rPr>
        <w:t xml:space="preserve"> m</w:t>
      </w:r>
      <w:r>
        <w:rPr>
          <w:rFonts w:ascii="Arial" w:hAnsi="Arial" w:eastAsia="宋体" w:cs="Arial"/>
          <w:spacing w:val="10"/>
          <w:sz w:val="24"/>
          <w:szCs w:val="24"/>
          <w:vertAlign w:val="superscript"/>
        </w:rPr>
        <w:t>3</w:t>
      </w:r>
      <w:r>
        <w:rPr>
          <w:rFonts w:ascii="Arial" w:hAnsi="Arial" w:eastAsia="宋体" w:cs="Arial"/>
          <w:spacing w:val="10"/>
          <w:sz w:val="24"/>
          <w:szCs w:val="24"/>
        </w:rPr>
        <w:t>；</w:t>
      </w:r>
    </w:p>
    <w:p w14:paraId="5EA85B96">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2</w:t>
      </w:r>
      <w:r>
        <w:rPr>
          <w:rFonts w:ascii="Arial" w:hAnsi="Arial" w:eastAsia="宋体" w:cs="Arial"/>
          <w:spacing w:val="10"/>
          <w:sz w:val="24"/>
          <w:szCs w:val="24"/>
        </w:rPr>
        <w:t>——发生事故的储罐或装置的消防水量，m</w:t>
      </w:r>
      <w:r>
        <w:rPr>
          <w:rFonts w:ascii="Arial" w:hAnsi="Arial" w:eastAsia="宋体" w:cs="Arial"/>
          <w:spacing w:val="10"/>
          <w:sz w:val="24"/>
          <w:szCs w:val="24"/>
          <w:vertAlign w:val="superscript"/>
        </w:rPr>
        <w:t>3</w:t>
      </w:r>
      <w:r>
        <w:rPr>
          <w:rFonts w:ascii="Arial" w:hAnsi="Arial" w:eastAsia="宋体" w:cs="Arial"/>
          <w:spacing w:val="10"/>
          <w:sz w:val="24"/>
          <w:szCs w:val="24"/>
        </w:rPr>
        <w:t>，根据设计方案X1</w:t>
      </w:r>
      <w:r>
        <w:rPr>
          <w:rFonts w:hint="eastAsia" w:ascii="Arial" w:hAnsi="Arial" w:eastAsia="宋体" w:cs="Arial"/>
          <w:spacing w:val="10"/>
          <w:sz w:val="24"/>
          <w:szCs w:val="24"/>
        </w:rPr>
        <w:t>9</w:t>
      </w:r>
      <w:r>
        <w:rPr>
          <w:rFonts w:ascii="Arial" w:hAnsi="Arial" w:eastAsia="宋体" w:cs="Arial"/>
          <w:spacing w:val="10"/>
          <w:sz w:val="24"/>
          <w:szCs w:val="24"/>
        </w:rPr>
        <w:t>车间火灾持续按</w:t>
      </w:r>
      <w:r>
        <w:rPr>
          <w:rFonts w:hint="eastAsia" w:ascii="Arial" w:hAnsi="Arial" w:eastAsia="宋体" w:cs="Arial"/>
          <w:spacing w:val="10"/>
          <w:sz w:val="24"/>
          <w:szCs w:val="24"/>
        </w:rPr>
        <w:t>3</w:t>
      </w:r>
      <w:r>
        <w:rPr>
          <w:rFonts w:ascii="Arial" w:hAnsi="Arial" w:eastAsia="宋体" w:cs="Arial"/>
          <w:spacing w:val="10"/>
          <w:sz w:val="24"/>
          <w:szCs w:val="24"/>
        </w:rPr>
        <w:t>小时计，</w:t>
      </w:r>
      <w:r>
        <w:rPr>
          <w:rFonts w:hint="eastAsia" w:ascii="Arial" w:hAnsi="Arial" w:eastAsia="宋体" w:cs="Arial"/>
          <w:spacing w:val="10"/>
          <w:sz w:val="24"/>
          <w:szCs w:val="24"/>
        </w:rPr>
        <w:t>室内外消防用水合计35</w:t>
      </w:r>
      <w:r>
        <w:rPr>
          <w:rFonts w:ascii="Arial" w:hAnsi="Arial" w:eastAsia="宋体" w:cs="Arial"/>
          <w:spacing w:val="10"/>
          <w:sz w:val="24"/>
          <w:szCs w:val="24"/>
        </w:rPr>
        <w:t>L/s，消防用水量为</w:t>
      </w:r>
      <w:r>
        <w:rPr>
          <w:rFonts w:hint="eastAsia" w:ascii="Arial" w:hAnsi="Arial" w:eastAsia="宋体" w:cs="Arial"/>
          <w:spacing w:val="10"/>
          <w:sz w:val="24"/>
          <w:szCs w:val="24"/>
        </w:rPr>
        <w:t>378</w:t>
      </w:r>
      <w:r>
        <w:rPr>
          <w:rFonts w:ascii="Arial" w:hAnsi="Arial" w:eastAsia="宋体" w:cs="Arial"/>
          <w:spacing w:val="10"/>
          <w:sz w:val="24"/>
          <w:szCs w:val="24"/>
        </w:rPr>
        <w:t>m</w:t>
      </w:r>
      <w:r>
        <w:rPr>
          <w:rFonts w:ascii="Arial" w:hAnsi="Arial" w:eastAsia="宋体" w:cs="Arial"/>
          <w:spacing w:val="10"/>
          <w:sz w:val="24"/>
          <w:szCs w:val="24"/>
          <w:vertAlign w:val="superscript"/>
        </w:rPr>
        <w:t>3</w:t>
      </w:r>
      <w:r>
        <w:rPr>
          <w:rFonts w:ascii="Arial" w:hAnsi="Arial" w:eastAsia="宋体" w:cs="Arial"/>
          <w:spacing w:val="10"/>
          <w:sz w:val="24"/>
          <w:szCs w:val="24"/>
        </w:rPr>
        <w:t>。</w:t>
      </w:r>
    </w:p>
    <w:p w14:paraId="7BCE717D">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3</w:t>
      </w:r>
      <w:r>
        <w:rPr>
          <w:rFonts w:ascii="Arial" w:hAnsi="Arial" w:eastAsia="宋体" w:cs="Arial"/>
          <w:spacing w:val="10"/>
          <w:sz w:val="24"/>
          <w:szCs w:val="24"/>
        </w:rPr>
        <w:t>——发生事故时可以转输到其他储存或处理设施的物料量，m</w:t>
      </w:r>
      <w:r>
        <w:rPr>
          <w:rFonts w:ascii="Arial" w:hAnsi="Arial" w:eastAsia="宋体" w:cs="Arial"/>
          <w:spacing w:val="10"/>
          <w:sz w:val="24"/>
          <w:szCs w:val="24"/>
          <w:vertAlign w:val="superscript"/>
        </w:rPr>
        <w:t>3</w:t>
      </w:r>
      <w:r>
        <w:rPr>
          <w:rFonts w:ascii="Arial" w:hAnsi="Arial" w:eastAsia="宋体" w:cs="Arial"/>
          <w:spacing w:val="10"/>
          <w:sz w:val="24"/>
          <w:szCs w:val="24"/>
        </w:rPr>
        <w:t>，</w:t>
      </w:r>
      <w:r>
        <w:rPr>
          <w:rFonts w:hint="eastAsia" w:ascii="Arial" w:hAnsi="Arial" w:eastAsia="宋体" w:cs="Arial"/>
          <w:spacing w:val="10"/>
          <w:sz w:val="24"/>
          <w:szCs w:val="24"/>
        </w:rPr>
        <w:t>洗水外排槽设有</w:t>
      </w:r>
      <w:r>
        <w:rPr>
          <w:rFonts w:ascii="Arial" w:hAnsi="Arial" w:eastAsia="宋体" w:cs="Arial"/>
          <w:spacing w:val="10"/>
          <w:sz w:val="24"/>
          <w:szCs w:val="24"/>
        </w:rPr>
        <w:t>围堰</w:t>
      </w:r>
      <w:r>
        <w:rPr>
          <w:rFonts w:hint="eastAsia" w:ascii="Arial" w:hAnsi="Arial" w:eastAsia="宋体" w:cs="Arial"/>
          <w:spacing w:val="10"/>
          <w:sz w:val="24"/>
          <w:szCs w:val="24"/>
        </w:rPr>
        <w:t>，</w:t>
      </w:r>
      <w:r>
        <w:rPr>
          <w:rFonts w:ascii="Arial" w:hAnsi="Arial" w:eastAsia="宋体" w:cs="Arial"/>
          <w:spacing w:val="10"/>
          <w:sz w:val="24"/>
          <w:szCs w:val="24"/>
        </w:rPr>
        <w:t>有效容积约</w:t>
      </w:r>
      <w:r>
        <w:rPr>
          <w:rFonts w:hint="eastAsia" w:ascii="Arial" w:hAnsi="Arial" w:eastAsia="宋体" w:cs="Arial"/>
          <w:spacing w:val="10"/>
          <w:sz w:val="24"/>
          <w:szCs w:val="24"/>
        </w:rPr>
        <w:t>72</w:t>
      </w:r>
      <w:r>
        <w:rPr>
          <w:rFonts w:ascii="Arial" w:hAnsi="Arial" w:eastAsia="宋体" w:cs="Arial"/>
          <w:spacing w:val="10"/>
          <w:sz w:val="24"/>
          <w:szCs w:val="24"/>
        </w:rPr>
        <w:t>m</w:t>
      </w:r>
      <w:r>
        <w:rPr>
          <w:rFonts w:ascii="Arial" w:hAnsi="Arial" w:eastAsia="宋体" w:cs="Arial"/>
          <w:spacing w:val="10"/>
          <w:sz w:val="24"/>
          <w:szCs w:val="24"/>
          <w:vertAlign w:val="superscript"/>
        </w:rPr>
        <w:t>3</w:t>
      </w:r>
      <w:r>
        <w:rPr>
          <w:rFonts w:ascii="Arial" w:hAnsi="Arial" w:eastAsia="宋体" w:cs="Arial"/>
          <w:spacing w:val="10"/>
          <w:sz w:val="24"/>
          <w:szCs w:val="24"/>
        </w:rPr>
        <w:t>；</w:t>
      </w:r>
    </w:p>
    <w:p w14:paraId="39E4CD1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4</w:t>
      </w:r>
      <w:r>
        <w:rPr>
          <w:rFonts w:ascii="Arial" w:hAnsi="Arial" w:eastAsia="宋体" w:cs="Arial"/>
          <w:spacing w:val="10"/>
          <w:sz w:val="24"/>
          <w:szCs w:val="24"/>
        </w:rPr>
        <w:t>——发生事故时仍必须进入该收集系统的生产废水量，m</w:t>
      </w:r>
      <w:r>
        <w:rPr>
          <w:rFonts w:ascii="Arial" w:hAnsi="Arial" w:eastAsia="宋体" w:cs="Arial"/>
          <w:spacing w:val="10"/>
          <w:sz w:val="24"/>
          <w:szCs w:val="24"/>
          <w:vertAlign w:val="superscript"/>
        </w:rPr>
        <w:t>3</w:t>
      </w:r>
      <w:r>
        <w:rPr>
          <w:rFonts w:ascii="Arial" w:hAnsi="Arial" w:eastAsia="宋体" w:cs="Arial"/>
          <w:spacing w:val="10"/>
          <w:sz w:val="24"/>
          <w:szCs w:val="24"/>
        </w:rPr>
        <w:t>，0 m</w:t>
      </w:r>
      <w:r>
        <w:rPr>
          <w:rFonts w:ascii="Arial" w:hAnsi="Arial" w:eastAsia="宋体" w:cs="Arial"/>
          <w:spacing w:val="10"/>
          <w:sz w:val="24"/>
          <w:szCs w:val="24"/>
          <w:vertAlign w:val="superscript"/>
        </w:rPr>
        <w:t>3</w:t>
      </w:r>
      <w:r>
        <w:rPr>
          <w:rFonts w:ascii="Arial" w:hAnsi="Arial" w:eastAsia="宋体" w:cs="Arial"/>
          <w:spacing w:val="10"/>
          <w:sz w:val="24"/>
          <w:szCs w:val="24"/>
        </w:rPr>
        <w:t>；</w:t>
      </w:r>
    </w:p>
    <w:p w14:paraId="199D7906">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V</w:t>
      </w:r>
      <w:r>
        <w:rPr>
          <w:rFonts w:ascii="Arial" w:hAnsi="Arial" w:eastAsia="宋体" w:cs="Arial"/>
          <w:spacing w:val="10"/>
          <w:sz w:val="24"/>
          <w:szCs w:val="24"/>
          <w:vertAlign w:val="subscript"/>
        </w:rPr>
        <w:t>5</w:t>
      </w:r>
      <w:r>
        <w:rPr>
          <w:rFonts w:ascii="Arial" w:hAnsi="Arial" w:eastAsia="宋体" w:cs="Arial"/>
          <w:spacing w:val="10"/>
          <w:sz w:val="24"/>
          <w:szCs w:val="24"/>
        </w:rPr>
        <w:t>——发生事故时可能进入该收集系统的降雨量，m</w:t>
      </w:r>
      <w:r>
        <w:rPr>
          <w:rFonts w:ascii="Arial" w:hAnsi="Arial" w:eastAsia="宋体" w:cs="Arial"/>
          <w:spacing w:val="10"/>
          <w:sz w:val="24"/>
          <w:szCs w:val="24"/>
          <w:vertAlign w:val="superscript"/>
        </w:rPr>
        <w:t>3</w:t>
      </w:r>
      <w:r>
        <w:rPr>
          <w:rFonts w:ascii="Arial" w:hAnsi="Arial" w:eastAsia="宋体" w:cs="Arial"/>
          <w:spacing w:val="10"/>
          <w:sz w:val="24"/>
          <w:szCs w:val="24"/>
        </w:rPr>
        <w:t>，V</w:t>
      </w:r>
      <w:r>
        <w:rPr>
          <w:rFonts w:ascii="Arial" w:hAnsi="Arial" w:eastAsia="宋体" w:cs="Arial"/>
          <w:spacing w:val="10"/>
          <w:sz w:val="24"/>
          <w:szCs w:val="24"/>
          <w:vertAlign w:val="subscript"/>
        </w:rPr>
        <w:t>5</w:t>
      </w:r>
      <w:r>
        <w:rPr>
          <w:rFonts w:ascii="Arial" w:hAnsi="Arial" w:eastAsia="宋体" w:cs="Arial"/>
          <w:spacing w:val="10"/>
          <w:sz w:val="24"/>
          <w:szCs w:val="24"/>
        </w:rPr>
        <w:t>=10qF；q为降雨强度，按平均日降雨量计，单位为mm，q=q</w:t>
      </w:r>
      <w:r>
        <w:rPr>
          <w:rFonts w:ascii="Arial" w:hAnsi="Arial" w:eastAsia="宋体" w:cs="Arial"/>
          <w:spacing w:val="10"/>
          <w:sz w:val="24"/>
          <w:szCs w:val="24"/>
          <w:vertAlign w:val="subscript"/>
        </w:rPr>
        <w:t>n</w:t>
      </w:r>
      <w:r>
        <w:rPr>
          <w:rFonts w:ascii="Arial" w:hAnsi="Arial" w:eastAsia="宋体" w:cs="Arial"/>
          <w:spacing w:val="10"/>
          <w:sz w:val="24"/>
          <w:szCs w:val="24"/>
        </w:rPr>
        <w:t>/n，q</w:t>
      </w:r>
      <w:r>
        <w:rPr>
          <w:rFonts w:ascii="Arial" w:hAnsi="Arial" w:eastAsia="宋体" w:cs="Arial"/>
          <w:spacing w:val="10"/>
          <w:sz w:val="24"/>
          <w:szCs w:val="24"/>
          <w:vertAlign w:val="subscript"/>
        </w:rPr>
        <w:t>n</w:t>
      </w:r>
      <w:r>
        <w:rPr>
          <w:rFonts w:ascii="Arial" w:hAnsi="Arial" w:eastAsia="宋体" w:cs="Arial"/>
          <w:spacing w:val="10"/>
          <w:sz w:val="24"/>
          <w:szCs w:val="24"/>
        </w:rPr>
        <w:t>为年平均降雨量（</w:t>
      </w:r>
      <w:r>
        <w:rPr>
          <w:rFonts w:ascii="Arial" w:hAnsi="Arial" w:eastAsia="宋体" w:cs="Arial"/>
          <w:spacing w:val="10"/>
          <w:kern w:val="0"/>
          <w:sz w:val="24"/>
          <w:szCs w:val="24"/>
        </w:rPr>
        <w:t>1764.5</w:t>
      </w:r>
      <w:r>
        <w:rPr>
          <w:rFonts w:ascii="Arial" w:hAnsi="Arial" w:eastAsia="宋体" w:cs="Arial"/>
          <w:spacing w:val="10"/>
          <w:sz w:val="24"/>
          <w:szCs w:val="24"/>
        </w:rPr>
        <w:t>mm），n为年平均降雨日数，钦州年平均降雨约171d；F为必须进入事故废水收集系统的雨水汇水面积，0.</w:t>
      </w:r>
      <w:r>
        <w:rPr>
          <w:rFonts w:hint="eastAsia" w:ascii="Arial" w:hAnsi="Arial" w:eastAsia="宋体" w:cs="Arial"/>
          <w:spacing w:val="10"/>
          <w:sz w:val="24"/>
          <w:szCs w:val="24"/>
        </w:rPr>
        <w:t>19</w:t>
      </w:r>
      <w:r>
        <w:rPr>
          <w:rFonts w:ascii="Arial" w:hAnsi="Arial" w:eastAsia="宋体" w:cs="Arial"/>
          <w:spacing w:val="10"/>
          <w:sz w:val="24"/>
          <w:szCs w:val="24"/>
        </w:rPr>
        <w:t>hm</w:t>
      </w:r>
      <w:r>
        <w:rPr>
          <w:rFonts w:ascii="Arial" w:hAnsi="Arial" w:eastAsia="宋体" w:cs="Arial"/>
          <w:spacing w:val="10"/>
          <w:sz w:val="24"/>
          <w:szCs w:val="24"/>
          <w:vertAlign w:val="superscript"/>
        </w:rPr>
        <w:t>2</w:t>
      </w:r>
      <w:r>
        <w:rPr>
          <w:rFonts w:ascii="Arial" w:hAnsi="Arial" w:eastAsia="宋体" w:cs="Arial"/>
          <w:spacing w:val="10"/>
          <w:sz w:val="24"/>
          <w:szCs w:val="24"/>
        </w:rPr>
        <w:t>（X1</w:t>
      </w:r>
      <w:r>
        <w:rPr>
          <w:rFonts w:hint="eastAsia" w:ascii="Arial" w:hAnsi="Arial" w:eastAsia="宋体" w:cs="Arial"/>
          <w:spacing w:val="10"/>
          <w:sz w:val="24"/>
          <w:szCs w:val="24"/>
        </w:rPr>
        <w:t>9</w:t>
      </w:r>
      <w:r>
        <w:rPr>
          <w:rFonts w:ascii="Arial" w:hAnsi="Arial" w:eastAsia="宋体" w:cs="Arial"/>
          <w:spacing w:val="10"/>
          <w:sz w:val="24"/>
          <w:szCs w:val="24"/>
        </w:rPr>
        <w:t>车间），V</w:t>
      </w:r>
      <w:r>
        <w:rPr>
          <w:rFonts w:ascii="Arial" w:hAnsi="Arial" w:eastAsia="宋体" w:cs="Arial"/>
          <w:spacing w:val="10"/>
          <w:sz w:val="24"/>
          <w:szCs w:val="24"/>
          <w:vertAlign w:val="subscript"/>
        </w:rPr>
        <w:t>5</w:t>
      </w:r>
      <w:r>
        <w:rPr>
          <w:rFonts w:ascii="Arial" w:hAnsi="Arial" w:eastAsia="宋体" w:cs="Arial"/>
          <w:spacing w:val="10"/>
          <w:sz w:val="24"/>
          <w:szCs w:val="24"/>
        </w:rPr>
        <w:t>约为</w:t>
      </w:r>
      <w:r>
        <w:rPr>
          <w:rFonts w:hint="eastAsia" w:ascii="Arial" w:hAnsi="Arial" w:eastAsia="宋体" w:cs="Arial"/>
          <w:spacing w:val="10"/>
          <w:sz w:val="24"/>
          <w:szCs w:val="24"/>
        </w:rPr>
        <w:t>2</w:t>
      </w:r>
      <w:r>
        <w:rPr>
          <w:rFonts w:ascii="Arial" w:hAnsi="Arial" w:eastAsia="宋体" w:cs="Arial"/>
          <w:spacing w:val="10"/>
          <w:sz w:val="24"/>
          <w:szCs w:val="24"/>
        </w:rPr>
        <w:t>0 m</w:t>
      </w:r>
      <w:r>
        <w:rPr>
          <w:rFonts w:ascii="Arial" w:hAnsi="Arial" w:eastAsia="宋体" w:cs="Arial"/>
          <w:spacing w:val="10"/>
          <w:sz w:val="24"/>
          <w:szCs w:val="24"/>
          <w:vertAlign w:val="superscript"/>
        </w:rPr>
        <w:t>3</w:t>
      </w:r>
      <w:r>
        <w:rPr>
          <w:rFonts w:ascii="Arial" w:hAnsi="Arial" w:eastAsia="宋体" w:cs="Arial"/>
          <w:spacing w:val="10"/>
          <w:sz w:val="24"/>
          <w:szCs w:val="24"/>
        </w:rPr>
        <w:t>。</w:t>
      </w:r>
    </w:p>
    <w:p w14:paraId="4938AA7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经计算，项目事故池有效容积应不小于</w:t>
      </w:r>
      <w:r>
        <w:rPr>
          <w:rFonts w:hint="eastAsia" w:ascii="Arial" w:hAnsi="Arial" w:eastAsia="宋体" w:cs="Arial"/>
          <w:spacing w:val="10"/>
          <w:sz w:val="24"/>
          <w:szCs w:val="24"/>
        </w:rPr>
        <w:t>398</w:t>
      </w:r>
      <w:r>
        <w:rPr>
          <w:rFonts w:ascii="Arial" w:hAnsi="Arial" w:eastAsia="宋体" w:cs="Arial"/>
          <w:spacing w:val="10"/>
          <w:sz w:val="24"/>
          <w:szCs w:val="24"/>
        </w:rPr>
        <w:t>m</w:t>
      </w:r>
      <w:r>
        <w:rPr>
          <w:rFonts w:ascii="Arial" w:hAnsi="Arial" w:eastAsia="宋体" w:cs="Arial"/>
          <w:spacing w:val="10"/>
          <w:sz w:val="24"/>
          <w:szCs w:val="24"/>
          <w:vertAlign w:val="superscript"/>
        </w:rPr>
        <w:t>3</w:t>
      </w:r>
      <w:r>
        <w:rPr>
          <w:rFonts w:ascii="Arial" w:hAnsi="Arial" w:eastAsia="宋体" w:cs="Arial"/>
          <w:spacing w:val="10"/>
          <w:sz w:val="24"/>
          <w:szCs w:val="24"/>
        </w:rPr>
        <w:t>。地块二</w:t>
      </w:r>
      <w:r>
        <w:rPr>
          <w:rFonts w:hint="eastAsia" w:ascii="Arial" w:hAnsi="Arial" w:eastAsia="宋体" w:cs="Arial"/>
          <w:spacing w:val="10"/>
          <w:sz w:val="24"/>
          <w:szCs w:val="24"/>
        </w:rPr>
        <w:t>现有的</w:t>
      </w:r>
      <w:r>
        <w:rPr>
          <w:rFonts w:ascii="Arial" w:hAnsi="Arial" w:eastAsia="宋体" w:cs="Arial"/>
          <w:spacing w:val="10"/>
          <w:sz w:val="24"/>
          <w:szCs w:val="24"/>
        </w:rPr>
        <w:t>500m</w:t>
      </w:r>
      <w:r>
        <w:rPr>
          <w:rFonts w:ascii="Arial" w:hAnsi="Arial" w:eastAsia="宋体" w:cs="Arial"/>
          <w:spacing w:val="10"/>
          <w:sz w:val="24"/>
          <w:szCs w:val="24"/>
          <w:vertAlign w:val="superscript"/>
        </w:rPr>
        <w:t>3</w:t>
      </w:r>
      <w:r>
        <w:rPr>
          <w:rFonts w:ascii="Arial" w:hAnsi="Arial" w:eastAsia="宋体" w:cs="Arial"/>
          <w:spacing w:val="10"/>
          <w:sz w:val="24"/>
          <w:szCs w:val="24"/>
        </w:rPr>
        <w:t>事故池</w:t>
      </w:r>
      <w:r>
        <w:rPr>
          <w:rFonts w:hint="eastAsia" w:ascii="Arial" w:hAnsi="Arial" w:eastAsia="宋体" w:cs="Arial"/>
          <w:spacing w:val="10"/>
          <w:sz w:val="24"/>
          <w:szCs w:val="24"/>
        </w:rPr>
        <w:t>可以满足风险防控要求</w:t>
      </w:r>
      <w:r>
        <w:rPr>
          <w:rFonts w:ascii="Arial" w:hAnsi="Arial" w:eastAsia="宋体" w:cs="Arial"/>
          <w:spacing w:val="10"/>
          <w:sz w:val="24"/>
          <w:szCs w:val="24"/>
        </w:rPr>
        <w:t>，项目无需新增事故池容积。</w:t>
      </w:r>
    </w:p>
    <w:p w14:paraId="1DF004BA">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（2）依托初期雨水池</w:t>
      </w:r>
    </w:p>
    <w:p w14:paraId="1BF20C3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项目占地范围的初期雨水已纳入现有工程进行核算，故无新增初期雨水，无需新增初期雨水池容积。</w:t>
      </w:r>
    </w:p>
    <w:p w14:paraId="2FCB801C">
      <w:pPr>
        <w:spacing w:line="500" w:lineRule="exact"/>
        <w:ind w:firstLine="490" w:firstLineChars="200"/>
        <w:rPr>
          <w:rFonts w:ascii="Arial" w:hAnsi="Arial" w:eastAsia="宋体" w:cs="Arial"/>
          <w:spacing w:val="10"/>
          <w:sz w:val="24"/>
          <w:szCs w:val="24"/>
        </w:rPr>
      </w:pPr>
      <w:r>
        <w:rPr>
          <w:rFonts w:hint="eastAsia" w:ascii="Arial" w:hAnsi="Arial" w:eastAsia="宋体" w:cs="Arial"/>
          <w:spacing w:val="10"/>
          <w:sz w:val="24"/>
          <w:szCs w:val="24"/>
        </w:rPr>
        <w:t>2.依托现有</w:t>
      </w:r>
      <w:r>
        <w:rPr>
          <w:rFonts w:ascii="Arial" w:hAnsi="Arial" w:eastAsia="宋体" w:cs="Arial"/>
          <w:spacing w:val="10"/>
          <w:sz w:val="24"/>
          <w:szCs w:val="24"/>
        </w:rPr>
        <w:t>地下水监控井</w:t>
      </w:r>
    </w:p>
    <w:p w14:paraId="2CFE7BC1">
      <w:pPr>
        <w:spacing w:line="500" w:lineRule="exact"/>
        <w:ind w:firstLine="490" w:firstLineChars="200"/>
        <w:rPr>
          <w:rFonts w:ascii="Arial" w:hAnsi="Arial" w:eastAsia="宋体" w:cs="Arial"/>
          <w:spacing w:val="10"/>
          <w:sz w:val="24"/>
          <w:szCs w:val="24"/>
          <w:u w:val="single"/>
        </w:rPr>
      </w:pPr>
      <w:r>
        <w:rPr>
          <w:rFonts w:hint="eastAsia" w:ascii="Arial" w:hAnsi="Arial" w:eastAsia="宋体" w:cs="Arial"/>
          <w:spacing w:val="10"/>
          <w:sz w:val="24"/>
          <w:szCs w:val="24"/>
          <w:u w:val="single"/>
        </w:rPr>
        <w:t>项目依托现有4个</w:t>
      </w:r>
      <w:r>
        <w:rPr>
          <w:rFonts w:ascii="Arial" w:hAnsi="Arial" w:eastAsia="宋体" w:cs="Arial"/>
          <w:spacing w:val="10"/>
          <w:sz w:val="24"/>
          <w:szCs w:val="24"/>
          <w:u w:val="single"/>
        </w:rPr>
        <w:t>地下水监控井</w:t>
      </w:r>
      <w:r>
        <w:rPr>
          <w:rFonts w:hint="eastAsia" w:ascii="Arial" w:hAnsi="Arial" w:eastAsia="宋体" w:cs="Arial"/>
          <w:spacing w:val="10"/>
          <w:sz w:val="24"/>
          <w:szCs w:val="24"/>
          <w:u w:val="single"/>
        </w:rPr>
        <w:t>，项目主要位于2#地块，根据图4.3-19，依托的4个</w:t>
      </w:r>
      <w:r>
        <w:rPr>
          <w:rFonts w:ascii="Arial" w:hAnsi="Arial" w:eastAsia="宋体" w:cs="Arial"/>
          <w:spacing w:val="10"/>
          <w:sz w:val="24"/>
          <w:szCs w:val="24"/>
          <w:u w:val="single"/>
        </w:rPr>
        <w:t>地下水监控井</w:t>
      </w:r>
      <w:r>
        <w:rPr>
          <w:rFonts w:hint="eastAsia" w:ascii="Arial" w:hAnsi="Arial" w:eastAsia="宋体" w:cs="Arial"/>
          <w:spacing w:val="10"/>
          <w:sz w:val="24"/>
          <w:szCs w:val="24"/>
          <w:u w:val="single"/>
        </w:rPr>
        <w:t>可以满足本项目要求。</w:t>
      </w:r>
    </w:p>
    <w:p w14:paraId="39DE5CD3">
      <w:pPr>
        <w:numPr>
          <w:ilvl w:val="0"/>
          <w:numId w:val="34"/>
        </w:numPr>
        <w:spacing w:line="500" w:lineRule="exact"/>
        <w:outlineLvl w:val="3"/>
        <w:rPr>
          <w:rFonts w:ascii="Arial" w:hAnsi="Arial" w:eastAsia="宋体" w:cs="Arial"/>
          <w:b/>
          <w:sz w:val="24"/>
          <w:szCs w:val="24"/>
        </w:rPr>
      </w:pPr>
      <w:r>
        <w:rPr>
          <w:rFonts w:ascii="Arial" w:hAnsi="Arial" w:eastAsia="宋体" w:cs="Arial"/>
          <w:b/>
          <w:sz w:val="24"/>
          <w:szCs w:val="24"/>
        </w:rPr>
        <w:t>项目风险防范措施</w:t>
      </w:r>
    </w:p>
    <w:p w14:paraId="229BEFF5">
      <w:pPr>
        <w:spacing w:line="500" w:lineRule="exact"/>
        <w:ind w:firstLine="450" w:firstLineChars="200"/>
        <w:rPr>
          <w:rFonts w:ascii="Arial" w:hAnsi="Arial" w:eastAsia="宋体" w:cs="Arial"/>
          <w:b/>
          <w:sz w:val="24"/>
          <w:szCs w:val="24"/>
        </w:rPr>
      </w:pPr>
      <w:r>
        <w:rPr>
          <w:rFonts w:ascii="Arial" w:hAnsi="Arial" w:eastAsia="宋体" w:cs="Arial"/>
          <w:b/>
          <w:sz w:val="24"/>
          <w:szCs w:val="24"/>
        </w:rPr>
        <w:t>1.新增地表水风险防范措施</w:t>
      </w:r>
    </w:p>
    <w:p w14:paraId="535153A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企业已建立事故废水“三级防控体系”，项目新增</w:t>
      </w:r>
      <w:r>
        <w:rPr>
          <w:rFonts w:hint="eastAsia" w:ascii="Arial" w:hAnsi="Arial" w:eastAsia="宋体" w:cs="Arial"/>
          <w:spacing w:val="10"/>
          <w:sz w:val="24"/>
          <w:szCs w:val="24"/>
        </w:rPr>
        <w:t>一级风险防范措施详见表4-79</w:t>
      </w:r>
      <w:r>
        <w:rPr>
          <w:rFonts w:ascii="Arial" w:hAnsi="Arial" w:eastAsia="宋体" w:cs="Arial"/>
          <w:spacing w:val="10"/>
          <w:sz w:val="24"/>
          <w:szCs w:val="24"/>
        </w:rPr>
        <w:t>。</w:t>
      </w:r>
    </w:p>
    <w:p w14:paraId="72034312">
      <w:pPr>
        <w:numPr>
          <w:ilvl w:val="0"/>
          <w:numId w:val="22"/>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新增一级风险防范措施</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1844"/>
        <w:gridCol w:w="6333"/>
      </w:tblGrid>
      <w:tr w14:paraId="51D61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4" w:type="pct"/>
            <w:tcBorders>
              <w:top w:val="single" w:color="auto" w:sz="4" w:space="0"/>
              <w:left w:val="single" w:color="auto" w:sz="4" w:space="0"/>
              <w:right w:val="single" w:color="auto" w:sz="4" w:space="0"/>
            </w:tcBorders>
            <w:vAlign w:val="center"/>
          </w:tcPr>
          <w:p w14:paraId="02311117">
            <w:pPr>
              <w:adjustRightInd w:val="0"/>
              <w:snapToGrid w:val="0"/>
              <w:spacing w:line="240" w:lineRule="exact"/>
              <w:jc w:val="center"/>
              <w:rPr>
                <w:rFonts w:ascii="Arial" w:hAnsi="Arial" w:eastAsia="宋体" w:cs="Arial"/>
                <w:spacing w:val="10"/>
                <w:sz w:val="21"/>
                <w:szCs w:val="21"/>
              </w:rPr>
            </w:pPr>
            <w:r>
              <w:rPr>
                <w:rFonts w:ascii="Arial" w:hAnsi="Arial" w:eastAsia="宋体" w:cs="Arial"/>
                <w:spacing w:val="10"/>
                <w:sz w:val="21"/>
                <w:szCs w:val="21"/>
              </w:rPr>
              <w:t>序号</w:t>
            </w:r>
          </w:p>
        </w:tc>
        <w:tc>
          <w:tcPr>
            <w:tcW w:w="1025" w:type="pct"/>
            <w:tcBorders>
              <w:top w:val="single" w:color="auto" w:sz="4" w:space="0"/>
              <w:left w:val="single" w:color="auto" w:sz="4" w:space="0"/>
              <w:right w:val="single" w:color="auto" w:sz="4" w:space="0"/>
            </w:tcBorders>
            <w:vAlign w:val="center"/>
          </w:tcPr>
          <w:p w14:paraId="2F694319">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名称</w:t>
            </w:r>
          </w:p>
        </w:tc>
        <w:tc>
          <w:tcPr>
            <w:tcW w:w="3521" w:type="pct"/>
            <w:tcBorders>
              <w:top w:val="single" w:color="auto" w:sz="4" w:space="0"/>
              <w:left w:val="single" w:color="auto" w:sz="4" w:space="0"/>
              <w:right w:val="single" w:color="auto" w:sz="4" w:space="0"/>
            </w:tcBorders>
            <w:vAlign w:val="center"/>
          </w:tcPr>
          <w:p w14:paraId="743FE235">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防范措施</w:t>
            </w:r>
          </w:p>
        </w:tc>
      </w:tr>
      <w:tr w14:paraId="12ABC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4" w:type="pct"/>
            <w:tcBorders>
              <w:top w:val="single" w:color="auto" w:sz="4" w:space="0"/>
              <w:left w:val="single" w:color="auto" w:sz="4" w:space="0"/>
              <w:bottom w:val="single" w:color="auto" w:sz="4" w:space="0"/>
              <w:right w:val="single" w:color="auto" w:sz="4" w:space="0"/>
            </w:tcBorders>
            <w:vAlign w:val="center"/>
          </w:tcPr>
          <w:p w14:paraId="1C59EFA1">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1</w:t>
            </w:r>
          </w:p>
        </w:tc>
        <w:tc>
          <w:tcPr>
            <w:tcW w:w="1025" w:type="pct"/>
            <w:tcBorders>
              <w:top w:val="single" w:color="auto" w:sz="4" w:space="0"/>
              <w:left w:val="single" w:color="auto" w:sz="4" w:space="0"/>
              <w:bottom w:val="single" w:color="auto" w:sz="4" w:space="0"/>
              <w:right w:val="single" w:color="auto" w:sz="4" w:space="0"/>
            </w:tcBorders>
            <w:vAlign w:val="center"/>
          </w:tcPr>
          <w:p w14:paraId="414AB247">
            <w:pPr>
              <w:adjustRightInd w:val="0"/>
              <w:snapToGrid w:val="0"/>
              <w:spacing w:line="240" w:lineRule="exact"/>
              <w:jc w:val="center"/>
              <w:rPr>
                <w:rFonts w:ascii="Arial" w:hAnsi="Arial" w:eastAsia="宋体" w:cs="Arial"/>
                <w:spacing w:val="10"/>
                <w:sz w:val="21"/>
                <w:szCs w:val="21"/>
              </w:rPr>
            </w:pPr>
            <w:r>
              <w:rPr>
                <w:rFonts w:hint="eastAsia" w:ascii="Arial" w:hAnsi="Arial" w:eastAsia="宋体" w:cs="Arial"/>
                <w:spacing w:val="10"/>
                <w:sz w:val="21"/>
                <w:szCs w:val="21"/>
              </w:rPr>
              <w:t>X19车间</w:t>
            </w:r>
          </w:p>
        </w:tc>
        <w:tc>
          <w:tcPr>
            <w:tcW w:w="3521" w:type="pct"/>
            <w:tcBorders>
              <w:top w:val="single" w:color="auto" w:sz="4" w:space="0"/>
              <w:left w:val="single" w:color="auto" w:sz="4" w:space="0"/>
              <w:bottom w:val="single" w:color="auto" w:sz="4" w:space="0"/>
              <w:right w:val="single" w:color="auto" w:sz="4" w:space="0"/>
            </w:tcBorders>
            <w:vAlign w:val="center"/>
          </w:tcPr>
          <w:p w14:paraId="69A62FDF">
            <w:pPr>
              <w:adjustRightInd w:val="0"/>
              <w:snapToGrid w:val="0"/>
              <w:spacing w:line="240" w:lineRule="exact"/>
              <w:jc w:val="left"/>
              <w:rPr>
                <w:rFonts w:ascii="Arial" w:hAnsi="Arial" w:eastAsia="宋体" w:cs="Arial"/>
                <w:spacing w:val="10"/>
                <w:sz w:val="21"/>
                <w:szCs w:val="21"/>
              </w:rPr>
            </w:pPr>
            <w:r>
              <w:rPr>
                <w:rFonts w:hint="eastAsia" w:ascii="Arial" w:hAnsi="Arial" w:eastAsia="宋体" w:cs="Arial"/>
                <w:spacing w:val="10"/>
                <w:sz w:val="21"/>
                <w:szCs w:val="21"/>
              </w:rPr>
              <w:t>①车间内湿区生产区设置地沟和集水坑，设泵或管线与厂区事故应急池相连，防止液态物料漫流出车间；</w:t>
            </w:r>
          </w:p>
          <w:p w14:paraId="2787754D">
            <w:pPr>
              <w:adjustRightInd w:val="0"/>
              <w:snapToGrid w:val="0"/>
              <w:spacing w:line="240" w:lineRule="exact"/>
              <w:jc w:val="left"/>
              <w:rPr>
                <w:rFonts w:ascii="Arial" w:hAnsi="Arial" w:eastAsia="宋体" w:cs="Arial"/>
                <w:spacing w:val="10"/>
                <w:sz w:val="21"/>
                <w:szCs w:val="21"/>
              </w:rPr>
            </w:pPr>
            <w:r>
              <w:rPr>
                <w:rFonts w:hint="eastAsia" w:ascii="Arial" w:hAnsi="Arial" w:eastAsia="宋体" w:cs="Arial"/>
                <w:spacing w:val="10"/>
                <w:sz w:val="21"/>
                <w:szCs w:val="21"/>
              </w:rPr>
              <w:t>②车间外氨水罐、配酸罐、双氧水罐、液碱罐、洗水外排槽等储罐设置0.6~0.7m高围堰。</w:t>
            </w:r>
          </w:p>
        </w:tc>
      </w:tr>
    </w:tbl>
    <w:p w14:paraId="62B30811">
      <w:pPr>
        <w:spacing w:line="500" w:lineRule="exact"/>
        <w:ind w:firstLine="490" w:firstLineChars="200"/>
        <w:rPr>
          <w:rFonts w:ascii="Arial" w:hAnsi="Arial" w:eastAsia="宋体" w:cs="Arial"/>
          <w:spacing w:val="10"/>
          <w:sz w:val="24"/>
          <w:szCs w:val="24"/>
        </w:rPr>
      </w:pPr>
      <w:r>
        <w:rPr>
          <w:rFonts w:ascii="Arial" w:hAnsi="Arial" w:eastAsia="宋体" w:cs="Arial"/>
          <w:b/>
          <w:spacing w:val="10"/>
          <w:sz w:val="24"/>
          <w:szCs w:val="24"/>
        </w:rPr>
        <w:t>2.新增地下水风险防范措施</w:t>
      </w:r>
    </w:p>
    <w:p w14:paraId="0949628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（1）分区防渗</w:t>
      </w:r>
    </w:p>
    <w:p w14:paraId="5F565DB0">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项目</w:t>
      </w:r>
      <w:r>
        <w:rPr>
          <w:rFonts w:ascii="Arial" w:hAnsi="Arial" w:eastAsia="宋体" w:cs="Arial"/>
          <w:spacing w:val="10"/>
          <w:kern w:val="0"/>
          <w:sz w:val="24"/>
          <w:szCs w:val="24"/>
        </w:rPr>
        <w:t>新增分区防渗措施，详见&amp;5.2.3。</w:t>
      </w:r>
    </w:p>
    <w:p w14:paraId="0F55180F">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（2）跟踪监测</w:t>
      </w:r>
    </w:p>
    <w:p w14:paraId="4E88B93C">
      <w:pPr>
        <w:tabs>
          <w:tab w:val="left" w:pos="1325"/>
        </w:tabs>
        <w:autoSpaceDE w:val="0"/>
        <w:autoSpaceDN w:val="0"/>
        <w:adjustRightInd w:val="0"/>
        <w:spacing w:line="500" w:lineRule="exact"/>
        <w:ind w:firstLine="490" w:firstLineChars="200"/>
        <w:jc w:val="left"/>
        <w:rPr>
          <w:rFonts w:ascii="Arial" w:hAnsi="Arial" w:eastAsia="宋体" w:cs="Arial"/>
          <w:spacing w:val="10"/>
          <w:kern w:val="0"/>
          <w:sz w:val="24"/>
          <w:szCs w:val="24"/>
        </w:rPr>
      </w:pPr>
      <w:r>
        <w:rPr>
          <w:rFonts w:ascii="Arial" w:hAnsi="Arial" w:eastAsia="宋体" w:cs="Arial"/>
          <w:spacing w:val="10"/>
          <w:kern w:val="0"/>
          <w:sz w:val="24"/>
          <w:szCs w:val="24"/>
        </w:rPr>
        <w:t>结合现有工程地下水监控井及监测因子，项目无需新增地下水监控井及监测因子。</w:t>
      </w:r>
    </w:p>
    <w:p w14:paraId="6E371F11">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新增管道防护措施，管道均使用规格明确的管材，满足原料对管材温度、压力、化学等方面的要求，所用阀门、接口均采用渗漏措施，并通过了灵敏泄漏试验，生产过程中加强对输送管线的检查力度，实行专人定时对管线进行检查，发现泄漏立即通知生产部门停止生产，切断输送阀门，直至完全修复；对穿过道路的管廊和架空的管线地面均进行严格防渗措施，并在管廊设置收集沟，在出口设收集坑，出现泄漏情况能及时收集处理。</w:t>
      </w:r>
    </w:p>
    <w:p w14:paraId="53AFBB12">
      <w:pPr>
        <w:spacing w:line="500" w:lineRule="exact"/>
        <w:ind w:firstLine="490" w:firstLineChars="200"/>
        <w:rPr>
          <w:rFonts w:ascii="Arial" w:hAnsi="Arial" w:eastAsia="宋体" w:cs="Arial"/>
          <w:b/>
          <w:spacing w:val="10"/>
          <w:sz w:val="24"/>
          <w:szCs w:val="24"/>
        </w:rPr>
      </w:pPr>
      <w:r>
        <w:rPr>
          <w:rFonts w:ascii="Arial" w:hAnsi="Arial" w:eastAsia="宋体" w:cs="Arial"/>
          <w:b/>
          <w:spacing w:val="10"/>
          <w:sz w:val="24"/>
          <w:szCs w:val="24"/>
        </w:rPr>
        <w:t>3.新增大气风险防控措施</w:t>
      </w:r>
    </w:p>
    <w:p w14:paraId="17A890F6">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1）防雷接地按照《建筑物防雷设计规范》（GB50057-2010）、《石油化工装置防雷设计规范》（GB50650-2011）中的有关规定设置。具有爆炸危险场所的工艺生产装置及建、构筑物，均进行防直击雷及防雷电感应，并各做接地体装置。</w:t>
      </w:r>
      <w:r>
        <w:rPr>
          <w:rFonts w:hint="eastAsia" w:ascii="Arial" w:hAnsi="Arial" w:eastAsia="宋体" w:cs="Arial"/>
          <w:spacing w:val="10"/>
          <w:sz w:val="24"/>
          <w:szCs w:val="24"/>
          <w:lang w:eastAsia="zh-CN"/>
        </w:rPr>
        <w:t>其他建筑物</w:t>
      </w:r>
      <w:r>
        <w:rPr>
          <w:rFonts w:ascii="Arial" w:hAnsi="Arial" w:eastAsia="宋体" w:cs="Arial"/>
          <w:spacing w:val="10"/>
          <w:sz w:val="24"/>
          <w:szCs w:val="24"/>
        </w:rPr>
        <w:t>，装设避雷网以防直接雷击。</w:t>
      </w:r>
    </w:p>
    <w:p w14:paraId="38CDE4AA">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（2）按照《消防给水及消火栓系统技术规范》（GB50974-2014）、《建筑灭火器配置设计规范》（GB50140-2005）等设计规范，配备相应的消防器材，保证安全生产。</w:t>
      </w:r>
    </w:p>
    <w:p w14:paraId="4DCA298B">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（3）项目装置设置自保系统、有毒可燃气体报警仪。</w:t>
      </w:r>
    </w:p>
    <w:p w14:paraId="5FA8A6E4">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（4）应急疏散</w:t>
      </w:r>
    </w:p>
    <w:p w14:paraId="64175A28">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厂内设置消防通道，当发生一般性危险物质泄漏、火灾等事故时，可将停车场作为临时应急安置场所，厂内非应急人员迅速沿厂内道路向远离事故发生源的方向疏散至临时应急安置场所。当发生较重大的环境风险事故时，厂内非应急人员迅速沿厂内道路快速就近出厂区，由陆海大道、滨海公路等道路疏散，周边居民就近沿道路向上风向一带疏散，在应急避难场所集合后，再根据安排进行下一步撤离安置。</w:t>
      </w:r>
    </w:p>
    <w:p w14:paraId="6EEAAEDC">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疏散通道或消防车道的醒目处设置“禁止阻塞”标志；“安全出口”的标志设置在安全疏散门口的正上方；紧急出口或疏散通道中的门上设置“禁止锁闭”标志。</w:t>
      </w:r>
    </w:p>
    <w:p w14:paraId="3C431134">
      <w:pPr>
        <w:spacing w:line="500" w:lineRule="exact"/>
        <w:ind w:firstLine="490" w:firstLineChars="200"/>
        <w:rPr>
          <w:rFonts w:ascii="Arial" w:hAnsi="Arial" w:eastAsia="宋体" w:cs="Arial"/>
          <w:spacing w:val="10"/>
          <w:sz w:val="24"/>
          <w:szCs w:val="24"/>
        </w:rPr>
      </w:pPr>
    </w:p>
    <w:p w14:paraId="73F7C54A">
      <w:pPr>
        <w:adjustRightInd w:val="0"/>
        <w:snapToGrid w:val="0"/>
        <w:jc w:val="center"/>
        <w:rPr>
          <w:rFonts w:ascii="Arial" w:hAnsi="Arial" w:eastAsia="宋体" w:cs="Arial"/>
          <w:sz w:val="24"/>
          <w:szCs w:val="24"/>
        </w:rPr>
      </w:pPr>
      <w:r>
        <w:rPr>
          <w:rFonts w:ascii="Arial" w:hAnsi="Arial" w:cs="Arial"/>
        </w:rPr>
        <mc:AlternateContent>
          <mc:Choice Requires="wps">
            <w:drawing>
              <wp:anchor distT="0" distB="0" distL="114300" distR="114300" simplePos="0" relativeHeight="251711488" behindDoc="0" locked="0" layoutInCell="1" allowOverlap="1">
                <wp:simplePos x="0" y="0"/>
                <wp:positionH relativeFrom="column">
                  <wp:posOffset>1789430</wp:posOffset>
                </wp:positionH>
                <wp:positionV relativeFrom="paragraph">
                  <wp:posOffset>2583815</wp:posOffset>
                </wp:positionV>
                <wp:extent cx="41275" cy="297180"/>
                <wp:effectExtent l="57150" t="38100" r="53975" b="26670"/>
                <wp:wrapNone/>
                <wp:docPr id="232" name="直接箭头连接符 232"/>
                <wp:cNvGraphicFramePr/>
                <a:graphic xmlns:a="http://schemas.openxmlformats.org/drawingml/2006/main">
                  <a:graphicData uri="http://schemas.microsoft.com/office/word/2010/wordprocessingShape">
                    <wps:wsp>
                      <wps:cNvCnPr/>
                      <wps:spPr>
                        <a:xfrm flipV="1">
                          <a:off x="0" y="0"/>
                          <a:ext cx="41275" cy="297180"/>
                        </a:xfrm>
                        <a:prstGeom prst="straightConnector1">
                          <a:avLst/>
                        </a:prstGeom>
                        <a:noFill/>
                        <a:ln w="19050" cap="flat" cmpd="sng" algn="ctr">
                          <a:solidFill>
                            <a:srgbClr val="0000FF"/>
                          </a:solidFill>
                          <a:prstDash val="dash"/>
                          <a:tailEnd type="arrow"/>
                        </a:ln>
                        <a:effectLst/>
                      </wps:spPr>
                      <wps:bodyPr/>
                    </wps:wsp>
                  </a:graphicData>
                </a:graphic>
              </wp:anchor>
            </w:drawing>
          </mc:Choice>
          <mc:Fallback>
            <w:pict>
              <v:shape id="_x0000_s1026" o:spid="_x0000_s1026" o:spt="32" type="#_x0000_t32" style="position:absolute;left:0pt;flip:y;margin-left:140.9pt;margin-top:203.45pt;height:23.4pt;width:3.25pt;z-index:251711488;mso-width-relative:page;mso-height-relative:page;" filled="f" stroked="t" coordsize="21600,21600" o:gfxdata="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XNnpK9sAAAALAQAADwAAAAAAAAAB&#10;ACAAAAAiAAAAZHJzL2Rvd25yZXYueG1sUEsBAhQAFAAAAAgAh07iQMg5nlkNAgAA5gMAAA4AAAAA&#10;AAAAAQAgAAAAKgEAAGRycy9lMm9Eb2MueG1sUEsFBgAAAAAGAAYAWQEAAKkFAAAAAA==&#10;">
                <v:fill on="f" focussize="0,0"/>
                <v:stroke weight="1.5pt" color="#0000FF" joinstyle="round" dashstyle="dash" endarrow="open"/>
                <v:imagedata o:title=""/>
                <o:lock v:ext="edit" aspectratio="f"/>
              </v:shape>
            </w:pict>
          </mc:Fallback>
        </mc:AlternateContent>
      </w:r>
      <w:r>
        <w:rPr>
          <w:rFonts w:ascii="Arial" w:hAnsi="Arial" w:cs="Arial"/>
        </w:rPr>
        <mc:AlternateContent>
          <mc:Choice Requires="wps">
            <w:drawing>
              <wp:anchor distT="0" distB="0" distL="114300" distR="114300" simplePos="0" relativeHeight="251703296" behindDoc="0" locked="0" layoutInCell="1" allowOverlap="1">
                <wp:simplePos x="0" y="0"/>
                <wp:positionH relativeFrom="column">
                  <wp:posOffset>2548890</wp:posOffset>
                </wp:positionH>
                <wp:positionV relativeFrom="paragraph">
                  <wp:posOffset>3079115</wp:posOffset>
                </wp:positionV>
                <wp:extent cx="354330" cy="41275"/>
                <wp:effectExtent l="38100" t="76200" r="26670" b="73025"/>
                <wp:wrapNone/>
                <wp:docPr id="231" name="直接箭头连接符 231"/>
                <wp:cNvGraphicFramePr/>
                <a:graphic xmlns:a="http://schemas.openxmlformats.org/drawingml/2006/main">
                  <a:graphicData uri="http://schemas.microsoft.com/office/word/2010/wordprocessingShape">
                    <wps:wsp>
                      <wps:cNvCnPr/>
                      <wps:spPr>
                        <a:xfrm flipH="1" flipV="1">
                          <a:off x="0" y="0"/>
                          <a:ext cx="354330" cy="41275"/>
                        </a:xfrm>
                        <a:prstGeom prst="straightConnector1">
                          <a:avLst/>
                        </a:prstGeom>
                        <a:noFill/>
                        <a:ln w="19050" cap="flat" cmpd="sng" algn="ctr">
                          <a:solidFill>
                            <a:srgbClr val="0000FF"/>
                          </a:solidFill>
                          <a:prstDash val="dash"/>
                          <a:tailEnd type="arrow"/>
                        </a:ln>
                        <a:effectLst/>
                      </wps:spPr>
                      <wps:bodyPr/>
                    </wps:wsp>
                  </a:graphicData>
                </a:graphic>
              </wp:anchor>
            </w:drawing>
          </mc:Choice>
          <mc:Fallback>
            <w:pict>
              <v:shape id="_x0000_s1026" o:spid="_x0000_s1026" o:spt="32" type="#_x0000_t32" style="position:absolute;left:0pt;flip:x y;margin-left:200.7pt;margin-top:242.45pt;height:3.25pt;width:27.9pt;z-index:251703296;mso-width-relative:page;mso-height-relative:page;" filled="f" stroked="t" coordsize="21600,21600" o:gfxdata="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kdSIo2gAAAAsBAAAPAAAAAAAA&#10;AAEAIAAAACIAAABkcnMvZG93bnJldi54bWxQSwECFAAUAAAACACHTuJAn1oBGRACAADwAwAADgAA&#10;AAAAAAABACAAAAApAQAAZHJzL2Uyb0RvYy54bWxQSwUGAAAAAAYABgBZAQAAqwUAAAAA&#10;">
                <v:fill on="f" focussize="0,0"/>
                <v:stroke weight="1.5pt" color="#0000FF" joinstyle="round" dashstyle="dash" endarrow="open"/>
                <v:imagedata o:title=""/>
                <o:lock v:ext="edit" aspectratio="f"/>
              </v:shape>
            </w:pict>
          </mc:Fallback>
        </mc:AlternateContent>
      </w:r>
      <w:r>
        <w:rPr>
          <w:rFonts w:ascii="Arial" w:hAnsi="Arial" w:cs="Arial"/>
        </w:rPr>
        <mc:AlternateContent>
          <mc:Choice Requires="wps">
            <w:drawing>
              <wp:anchor distT="0" distB="0" distL="114300" distR="114300" simplePos="0" relativeHeight="251702272" behindDoc="0" locked="0" layoutInCell="1" allowOverlap="1">
                <wp:simplePos x="0" y="0"/>
                <wp:positionH relativeFrom="column">
                  <wp:posOffset>1499870</wp:posOffset>
                </wp:positionH>
                <wp:positionV relativeFrom="paragraph">
                  <wp:posOffset>1616075</wp:posOffset>
                </wp:positionV>
                <wp:extent cx="475615" cy="777240"/>
                <wp:effectExtent l="0" t="0" r="0" b="0"/>
                <wp:wrapNone/>
                <wp:docPr id="25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75615" cy="777240"/>
                        </a:xfrm>
                        <a:prstGeom prst="rect">
                          <a:avLst/>
                        </a:prstGeom>
                        <a:noFill/>
                        <a:ln w="9525">
                          <a:noFill/>
                          <a:miter lim="800000"/>
                        </a:ln>
                      </wps:spPr>
                      <wps:txbx>
                        <w:txbxContent>
                          <w:p w14:paraId="0BAE33E6">
                            <w:pPr>
                              <w:adjustRightInd w:val="0"/>
                              <w:snapToGrid w:val="0"/>
                              <w:rPr>
                                <w:rFonts w:ascii="宋体" w:hAnsi="宋体" w:eastAsia="宋体"/>
                                <w:b/>
                                <w:color w:val="FF00FF"/>
                                <w:sz w:val="21"/>
                              </w:rPr>
                            </w:pPr>
                            <w:r>
                              <w:rPr>
                                <w:rFonts w:hint="eastAsia" w:ascii="宋体" w:hAnsi="宋体" w:eastAsia="宋体"/>
                                <w:b/>
                                <w:color w:val="FF00FF"/>
                                <w:sz w:val="21"/>
                              </w:rPr>
                              <w:t>临时</w:t>
                            </w:r>
                          </w:p>
                          <w:p w14:paraId="3509BB8C">
                            <w:pPr>
                              <w:adjustRightInd w:val="0"/>
                              <w:snapToGrid w:val="0"/>
                              <w:rPr>
                                <w:rFonts w:ascii="宋体" w:hAnsi="宋体" w:eastAsia="宋体"/>
                                <w:b/>
                                <w:color w:val="FF00FF"/>
                                <w:sz w:val="21"/>
                              </w:rPr>
                            </w:pPr>
                            <w:r>
                              <w:rPr>
                                <w:rFonts w:hint="eastAsia" w:ascii="宋体" w:hAnsi="宋体" w:eastAsia="宋体"/>
                                <w:b/>
                                <w:color w:val="FF00FF"/>
                                <w:sz w:val="21"/>
                              </w:rPr>
                              <w:t>应急</w:t>
                            </w:r>
                          </w:p>
                          <w:p w14:paraId="516CBE27">
                            <w:pPr>
                              <w:adjustRightInd w:val="0"/>
                              <w:snapToGrid w:val="0"/>
                              <w:rPr>
                                <w:rFonts w:ascii="宋体" w:hAnsi="宋体" w:eastAsia="宋体"/>
                                <w:b/>
                                <w:color w:val="FF00FF"/>
                                <w:sz w:val="21"/>
                              </w:rPr>
                            </w:pPr>
                            <w:r>
                              <w:rPr>
                                <w:rFonts w:hint="eastAsia" w:ascii="宋体" w:hAnsi="宋体" w:eastAsia="宋体"/>
                                <w:b/>
                                <w:color w:val="FF00FF"/>
                                <w:sz w:val="21"/>
                              </w:rPr>
                              <w:t>安置</w:t>
                            </w:r>
                          </w:p>
                          <w:p w14:paraId="53C7C545">
                            <w:pPr>
                              <w:adjustRightInd w:val="0"/>
                              <w:snapToGrid w:val="0"/>
                              <w:rPr>
                                <w:rFonts w:ascii="宋体" w:hAnsi="宋体" w:eastAsia="宋体"/>
                                <w:b/>
                                <w:color w:val="FF00FF"/>
                                <w:sz w:val="21"/>
                              </w:rPr>
                            </w:pPr>
                            <w:r>
                              <w:rPr>
                                <w:rFonts w:hint="eastAsia" w:ascii="宋体" w:hAnsi="宋体" w:eastAsia="宋体"/>
                                <w:b/>
                                <w:color w:val="FF00FF"/>
                                <w:sz w:val="21"/>
                              </w:rPr>
                              <w:t>场所</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18.1pt;margin-top:127.25pt;height:61.2pt;width:37.45pt;z-index:251702272;mso-width-relative:page;mso-height-relative:margin;mso-height-percent:200;" filled="f" stroked="f" coordsize="21600,21600" o:gfxdata="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mpnf39kAAAALAQAADwAAAAAAAAABACAAAAAiAAAAZHJzL2Rvd25yZXYueG1sUEsBAhQAFAAA&#10;AAgAh07iQAocFJMnAgAAKgQAAA4AAAAAAAAAAQAgAAAAKAEAAGRycy9lMm9Eb2MueG1sUEsFBgAA&#10;AAAGAAYAWQEAAMEFAAAAAA==&#10;">
                <v:fill on="f" focussize="0,0"/>
                <v:stroke on="f" miterlimit="8" joinstyle="miter"/>
                <v:imagedata o:title=""/>
                <o:lock v:ext="edit" aspectratio="f"/>
                <v:textbox style="mso-fit-shape-to-text:t;">
                  <w:txbxContent>
                    <w:p w14:paraId="0BAE33E6">
                      <w:pPr>
                        <w:adjustRightInd w:val="0"/>
                        <w:snapToGrid w:val="0"/>
                        <w:rPr>
                          <w:rFonts w:ascii="宋体" w:hAnsi="宋体" w:eastAsia="宋体"/>
                          <w:b/>
                          <w:color w:val="FF00FF"/>
                          <w:sz w:val="21"/>
                        </w:rPr>
                      </w:pPr>
                      <w:r>
                        <w:rPr>
                          <w:rFonts w:hint="eastAsia" w:ascii="宋体" w:hAnsi="宋体" w:eastAsia="宋体"/>
                          <w:b/>
                          <w:color w:val="FF00FF"/>
                          <w:sz w:val="21"/>
                        </w:rPr>
                        <w:t>临时</w:t>
                      </w:r>
                    </w:p>
                    <w:p w14:paraId="3509BB8C">
                      <w:pPr>
                        <w:adjustRightInd w:val="0"/>
                        <w:snapToGrid w:val="0"/>
                        <w:rPr>
                          <w:rFonts w:ascii="宋体" w:hAnsi="宋体" w:eastAsia="宋体"/>
                          <w:b/>
                          <w:color w:val="FF00FF"/>
                          <w:sz w:val="21"/>
                        </w:rPr>
                      </w:pPr>
                      <w:r>
                        <w:rPr>
                          <w:rFonts w:hint="eastAsia" w:ascii="宋体" w:hAnsi="宋体" w:eastAsia="宋体"/>
                          <w:b/>
                          <w:color w:val="FF00FF"/>
                          <w:sz w:val="21"/>
                        </w:rPr>
                        <w:t>应急</w:t>
                      </w:r>
                    </w:p>
                    <w:p w14:paraId="516CBE27">
                      <w:pPr>
                        <w:adjustRightInd w:val="0"/>
                        <w:snapToGrid w:val="0"/>
                        <w:rPr>
                          <w:rFonts w:ascii="宋体" w:hAnsi="宋体" w:eastAsia="宋体"/>
                          <w:b/>
                          <w:color w:val="FF00FF"/>
                          <w:sz w:val="21"/>
                        </w:rPr>
                      </w:pPr>
                      <w:r>
                        <w:rPr>
                          <w:rFonts w:hint="eastAsia" w:ascii="宋体" w:hAnsi="宋体" w:eastAsia="宋体"/>
                          <w:b/>
                          <w:color w:val="FF00FF"/>
                          <w:sz w:val="21"/>
                        </w:rPr>
                        <w:t>安置</w:t>
                      </w:r>
                    </w:p>
                    <w:p w14:paraId="53C7C545">
                      <w:pPr>
                        <w:adjustRightInd w:val="0"/>
                        <w:snapToGrid w:val="0"/>
                        <w:rPr>
                          <w:rFonts w:ascii="宋体" w:hAnsi="宋体" w:eastAsia="宋体"/>
                          <w:b/>
                          <w:color w:val="FF00FF"/>
                          <w:sz w:val="21"/>
                        </w:rPr>
                      </w:pPr>
                      <w:r>
                        <w:rPr>
                          <w:rFonts w:hint="eastAsia" w:ascii="宋体" w:hAnsi="宋体" w:eastAsia="宋体"/>
                          <w:b/>
                          <w:color w:val="FF00FF"/>
                          <w:sz w:val="21"/>
                        </w:rPr>
                        <w:t>场所</w:t>
                      </w:r>
                    </w:p>
                  </w:txbxContent>
                </v:textbox>
              </v:shape>
            </w:pict>
          </mc:Fallback>
        </mc:AlternateContent>
      </w:r>
      <w:r>
        <w:rPr>
          <w:rFonts w:ascii="Arial" w:hAnsi="Arial" w:cs="Arial"/>
        </w:rPr>
        <mc:AlternateContent>
          <mc:Choice Requires="wps">
            <w:drawing>
              <wp:anchor distT="0" distB="0" distL="114300" distR="114300" simplePos="0" relativeHeight="251710464" behindDoc="0" locked="0" layoutInCell="1" allowOverlap="1">
                <wp:simplePos x="0" y="0"/>
                <wp:positionH relativeFrom="column">
                  <wp:posOffset>1455420</wp:posOffset>
                </wp:positionH>
                <wp:positionV relativeFrom="paragraph">
                  <wp:posOffset>1715135</wp:posOffset>
                </wp:positionV>
                <wp:extent cx="533400" cy="623570"/>
                <wp:effectExtent l="38100" t="38100" r="38100" b="43180"/>
                <wp:wrapNone/>
                <wp:docPr id="233" name="矩形 233"/>
                <wp:cNvGraphicFramePr/>
                <a:graphic xmlns:a="http://schemas.openxmlformats.org/drawingml/2006/main">
                  <a:graphicData uri="http://schemas.microsoft.com/office/word/2010/wordprocessingShape">
                    <wps:wsp>
                      <wps:cNvSpPr/>
                      <wps:spPr>
                        <a:xfrm rot="297778">
                          <a:off x="0" y="0"/>
                          <a:ext cx="533400" cy="623570"/>
                        </a:xfrm>
                        <a:prstGeom prst="rect">
                          <a:avLst/>
                        </a:prstGeom>
                        <a:noFill/>
                        <a:ln w="12700" cap="flat" cmpd="sng" algn="ctr">
                          <a:solidFill>
                            <a:srgbClr val="FF00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6pt;margin-top:135.05pt;height:49.1pt;width:42pt;rotation:325253f;z-index:251710464;v-text-anchor:middle;mso-width-relative:page;mso-height-relative:page;" filled="f" stroked="t" coordsize="21600,21600" o:gfxdata="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Cxl8tdkAAAALAQAADwAAAAAAAAABACAAAAAiAAAAZHJzL2Rvd25y&#10;ZXYueG1sUEsBAhQAFAAAAAgAh07iQPdwxQhvAgAA0gQAAA4AAAAAAAAAAQAgAAAAKAEAAGRycy9l&#10;Mm9Eb2MueG1sUEsFBgAAAAAGAAYAWQEAAAkGAAAAAA==&#10;">
                <v:fill on="f" focussize="0,0"/>
                <v:stroke weight="1pt" color="#FF00FF" joinstyle="round"/>
                <v:imagedata o:title=""/>
                <o:lock v:ext="edit" aspectratio="f"/>
              </v:rect>
            </w:pict>
          </mc:Fallback>
        </mc:AlternateContent>
      </w:r>
      <w:r>
        <w:rPr>
          <w:rFonts w:ascii="Arial" w:hAnsi="Arial" w:cs="Arial"/>
        </w:rPr>
        <w:drawing>
          <wp:anchor distT="0" distB="0" distL="114300" distR="114300" simplePos="0" relativeHeight="251712512" behindDoc="0" locked="0" layoutInCell="1" allowOverlap="1">
            <wp:simplePos x="0" y="0"/>
            <wp:positionH relativeFrom="column">
              <wp:posOffset>4747895</wp:posOffset>
            </wp:positionH>
            <wp:positionV relativeFrom="paragraph">
              <wp:posOffset>180340</wp:posOffset>
            </wp:positionV>
            <wp:extent cx="539750" cy="720725"/>
            <wp:effectExtent l="0" t="0" r="0" b="3175"/>
            <wp:wrapNone/>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539750" cy="720725"/>
                    </a:xfrm>
                    <a:prstGeom prst="rect">
                      <a:avLst/>
                    </a:prstGeom>
                    <a:noFill/>
                  </pic:spPr>
                </pic:pic>
              </a:graphicData>
            </a:graphic>
          </wp:anchor>
        </w:drawing>
      </w:r>
      <w:r>
        <w:rPr>
          <w:rFonts w:ascii="Arial" w:hAnsi="Arial" w:cs="Arial"/>
        </w:rPr>
        <w:drawing>
          <wp:inline distT="0" distB="0" distL="0" distR="0">
            <wp:extent cx="5467350" cy="5913120"/>
            <wp:effectExtent l="19050" t="19050" r="19050" b="1143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49"/>
                    <a:stretch>
                      <a:fillRect/>
                    </a:stretch>
                  </pic:blipFill>
                  <pic:spPr>
                    <a:xfrm>
                      <a:off x="0" y="0"/>
                      <a:ext cx="5471600" cy="5917865"/>
                    </a:xfrm>
                    <a:prstGeom prst="rect">
                      <a:avLst/>
                    </a:prstGeom>
                    <a:ln w="12700">
                      <a:solidFill>
                        <a:sysClr val="windowText" lastClr="000000"/>
                      </a:solidFill>
                    </a:ln>
                  </pic:spPr>
                </pic:pic>
              </a:graphicData>
            </a:graphic>
          </wp:inline>
        </w:drawing>
      </w:r>
    </w:p>
    <w:p w14:paraId="03589A14">
      <w:pPr>
        <w:adjustRightInd w:val="0"/>
        <w:snapToGrid w:val="0"/>
        <w:jc w:val="center"/>
        <w:rPr>
          <w:rFonts w:ascii="Arial" w:hAnsi="Arial" w:eastAsia="宋体" w:cs="Arial"/>
          <w:b/>
          <w:sz w:val="24"/>
          <w:szCs w:val="24"/>
        </w:rPr>
      </w:pPr>
      <w:r>
        <w:rPr>
          <w:rFonts w:ascii="Arial" w:hAnsi="Arial" w:eastAsia="宋体" w:cs="Arial"/>
          <w:b/>
          <w:sz w:val="24"/>
          <w:szCs w:val="24"/>
        </w:rPr>
        <w:t>图4.3-</w:t>
      </w:r>
      <w:r>
        <w:rPr>
          <w:rFonts w:hint="eastAsia" w:ascii="Arial" w:hAnsi="Arial" w:eastAsia="宋体" w:cs="Arial"/>
          <w:b/>
          <w:sz w:val="24"/>
          <w:szCs w:val="24"/>
        </w:rPr>
        <w:t>20</w:t>
      </w:r>
      <w:r>
        <w:rPr>
          <w:rFonts w:ascii="Arial" w:hAnsi="Arial" w:eastAsia="宋体" w:cs="Arial"/>
          <w:b/>
          <w:sz w:val="24"/>
          <w:szCs w:val="24"/>
        </w:rPr>
        <w:t xml:space="preserve">  应急疏散通道、安置场所位置示意图（a）</w:t>
      </w:r>
    </w:p>
    <w:p w14:paraId="791B9DD8">
      <w:pPr>
        <w:adjustRightInd w:val="0"/>
        <w:snapToGrid w:val="0"/>
        <w:jc w:val="center"/>
        <w:rPr>
          <w:rFonts w:ascii="Arial" w:hAnsi="Arial" w:eastAsia="宋体" w:cs="Arial"/>
          <w:sz w:val="24"/>
          <w:szCs w:val="24"/>
        </w:rPr>
      </w:pPr>
      <w:r>
        <w:rPr>
          <w:rFonts w:ascii="Arial" w:hAnsi="Arial" w:cs="Arial"/>
        </w:rPr>
        <w:drawing>
          <wp:anchor distT="0" distB="0" distL="114300" distR="114300" simplePos="0" relativeHeight="251709440" behindDoc="0" locked="0" layoutInCell="1" allowOverlap="1">
            <wp:simplePos x="0" y="0"/>
            <wp:positionH relativeFrom="column">
              <wp:posOffset>4941570</wp:posOffset>
            </wp:positionH>
            <wp:positionV relativeFrom="paragraph">
              <wp:posOffset>14605</wp:posOffset>
            </wp:positionV>
            <wp:extent cx="617220" cy="823595"/>
            <wp:effectExtent l="0" t="0" r="0" b="0"/>
            <wp:wrapNone/>
            <wp:docPr id="23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617220" cy="823595"/>
                    </a:xfrm>
                    <a:prstGeom prst="rect">
                      <a:avLst/>
                    </a:prstGeom>
                    <a:noFill/>
                  </pic:spPr>
                </pic:pic>
              </a:graphicData>
            </a:graphic>
          </wp:anchor>
        </w:drawing>
      </w:r>
      <w:r>
        <w:rPr>
          <w:rFonts w:ascii="Arial" w:hAnsi="Arial" w:cs="Arial"/>
        </w:rPr>
        <mc:AlternateContent>
          <mc:Choice Requires="wps">
            <w:drawing>
              <wp:anchor distT="0" distB="0" distL="114300" distR="114300" simplePos="0" relativeHeight="251706368" behindDoc="0" locked="0" layoutInCell="1" allowOverlap="1">
                <wp:simplePos x="0" y="0"/>
                <wp:positionH relativeFrom="column">
                  <wp:posOffset>1774190</wp:posOffset>
                </wp:positionH>
                <wp:positionV relativeFrom="paragraph">
                  <wp:posOffset>1531620</wp:posOffset>
                </wp:positionV>
                <wp:extent cx="81280" cy="263525"/>
                <wp:effectExtent l="19050" t="38100" r="52070" b="22225"/>
                <wp:wrapNone/>
                <wp:docPr id="261" name="直接箭头连接符 261"/>
                <wp:cNvGraphicFramePr/>
                <a:graphic xmlns:a="http://schemas.openxmlformats.org/drawingml/2006/main">
                  <a:graphicData uri="http://schemas.microsoft.com/office/word/2010/wordprocessingShape">
                    <wps:wsp>
                      <wps:cNvCnPr/>
                      <wps:spPr>
                        <a:xfrm flipV="1">
                          <a:off x="0" y="0"/>
                          <a:ext cx="81280" cy="263525"/>
                        </a:xfrm>
                        <a:prstGeom prst="straightConnector1">
                          <a:avLst/>
                        </a:prstGeom>
                        <a:noFill/>
                        <a:ln w="19050" cap="flat" cmpd="sng" algn="ctr">
                          <a:solidFill>
                            <a:sysClr val="windowText" lastClr="000000"/>
                          </a:solidFill>
                          <a:prstDash val="dash"/>
                          <a:tailEnd type="arrow"/>
                        </a:ln>
                        <a:effectLst/>
                      </wps:spPr>
                      <wps:bodyPr/>
                    </wps:wsp>
                  </a:graphicData>
                </a:graphic>
              </wp:anchor>
            </w:drawing>
          </mc:Choice>
          <mc:Fallback>
            <w:pict>
              <v:shape id="_x0000_s1026" o:spid="_x0000_s1026" o:spt="32" type="#_x0000_t32" style="position:absolute;left:0pt;flip:y;margin-left:139.7pt;margin-top:120.6pt;height:20.75pt;width:6.4pt;z-index:251706368;mso-width-relative:page;mso-height-relative:page;" filled="f" stroked="t" coordsize="21600,21600" o:gfxdata="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WTH2O2AAAAAsBAAAPAAAA&#10;AAAAAAEAIAAAACIAAABkcnMvZG93bnJldi54bWxQSwECFAAUAAAACACHTuJAwyMmphUCAAD6AwAA&#10;DgAAAAAAAAABACAAAAAnAQAAZHJzL2Uyb0RvYy54bWxQSwUGAAAAAAYABgBZAQAArgUAAAAA&#10;">
                <v:fill on="f" focussize="0,0"/>
                <v:stroke weight="1.5pt" color="#000000" joinstyle="round" dashstyle="dash" endarrow="open"/>
                <v:imagedata o:title=""/>
                <o:lock v:ext="edit" aspectratio="f"/>
              </v:shape>
            </w:pict>
          </mc:Fallback>
        </mc:AlternateContent>
      </w:r>
      <w:r>
        <w:rPr>
          <w:rFonts w:ascii="Arial" w:hAnsi="Arial" w:cs="Arial"/>
        </w:rPr>
        <mc:AlternateContent>
          <mc:Choice Requires="wps">
            <w:drawing>
              <wp:anchor distT="0" distB="0" distL="114300" distR="114300" simplePos="0" relativeHeight="251708416" behindDoc="0" locked="0" layoutInCell="1" allowOverlap="1">
                <wp:simplePos x="0" y="0"/>
                <wp:positionH relativeFrom="column">
                  <wp:posOffset>1919605</wp:posOffset>
                </wp:positionH>
                <wp:positionV relativeFrom="paragraph">
                  <wp:posOffset>1836420</wp:posOffset>
                </wp:positionV>
                <wp:extent cx="290830" cy="131445"/>
                <wp:effectExtent l="38100" t="38100" r="13970" b="20955"/>
                <wp:wrapNone/>
                <wp:docPr id="262" name="直接箭头连接符 262"/>
                <wp:cNvGraphicFramePr/>
                <a:graphic xmlns:a="http://schemas.openxmlformats.org/drawingml/2006/main">
                  <a:graphicData uri="http://schemas.microsoft.com/office/word/2010/wordprocessingShape">
                    <wps:wsp>
                      <wps:cNvCnPr/>
                      <wps:spPr>
                        <a:xfrm flipH="1" flipV="1">
                          <a:off x="0" y="0"/>
                          <a:ext cx="290830" cy="131445"/>
                        </a:xfrm>
                        <a:prstGeom prst="straightConnector1">
                          <a:avLst/>
                        </a:prstGeom>
                        <a:noFill/>
                        <a:ln w="19050" cap="flat" cmpd="sng" algn="ctr">
                          <a:solidFill>
                            <a:sysClr val="windowText" lastClr="000000"/>
                          </a:solidFill>
                          <a:prstDash val="dash"/>
                          <a:tailEnd type="arrow"/>
                        </a:ln>
                        <a:effectLst/>
                      </wps:spPr>
                      <wps:bodyPr/>
                    </wps:wsp>
                  </a:graphicData>
                </a:graphic>
              </wp:anchor>
            </w:drawing>
          </mc:Choice>
          <mc:Fallback>
            <w:pict>
              <v:shape id="_x0000_s1026" o:spid="_x0000_s1026" o:spt="32" type="#_x0000_t32" style="position:absolute;left:0pt;flip:x y;margin-left:151.15pt;margin-top:144.6pt;height:10.35pt;width:22.9pt;z-index:251708416;mso-width-relative:page;mso-height-relative:page;" filled="f" stroked="t" coordsize="21600,21600" o:gfxdata="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FP/w82gAA&#10;AAsBAAAPAAAAAAAAAAEAIAAAACIAAABkcnMvZG93bnJldi54bWxQSwECFAAUAAAACACHTuJAGXjd&#10;vhwCAAAFBAAADgAAAAAAAAABACAAAAApAQAAZHJzL2Uyb0RvYy54bWxQSwUGAAAAAAYABgBZAQAA&#10;twUAAAAA&#10;">
                <v:fill on="f" focussize="0,0"/>
                <v:stroke weight="1.5pt" color="#000000" joinstyle="round" dashstyle="dash" endarrow="open"/>
                <v:imagedata o:title=""/>
                <o:lock v:ext="edit" aspectratio="f"/>
              </v:shape>
            </w:pict>
          </mc:Fallback>
        </mc:AlternateContent>
      </w:r>
      <w:r>
        <w:rPr>
          <w:rFonts w:ascii="Arial" w:hAnsi="Arial" w:cs="Arial"/>
        </w:rPr>
        <mc:AlternateContent>
          <mc:Choice Requires="wps">
            <w:drawing>
              <wp:anchor distT="0" distB="0" distL="114300" distR="114300" simplePos="0" relativeHeight="251707392" behindDoc="0" locked="0" layoutInCell="1" allowOverlap="1">
                <wp:simplePos x="0" y="0"/>
                <wp:positionH relativeFrom="column">
                  <wp:posOffset>2174240</wp:posOffset>
                </wp:positionH>
                <wp:positionV relativeFrom="paragraph">
                  <wp:posOffset>2196465</wp:posOffset>
                </wp:positionV>
                <wp:extent cx="0" cy="262890"/>
                <wp:effectExtent l="95250" t="38100" r="57150" b="22860"/>
                <wp:wrapNone/>
                <wp:docPr id="263" name="直接箭头连接符 263"/>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9050" cap="flat" cmpd="sng" algn="ctr">
                          <a:solidFill>
                            <a:sysClr val="windowText" lastClr="000000"/>
                          </a:solidFill>
                          <a:prstDash val="dash"/>
                          <a:tailEnd type="arrow"/>
                        </a:ln>
                        <a:effectLst/>
                      </wps:spPr>
                      <wps:bodyPr/>
                    </wps:wsp>
                  </a:graphicData>
                </a:graphic>
              </wp:anchor>
            </w:drawing>
          </mc:Choice>
          <mc:Fallback>
            <w:pict>
              <v:shape id="_x0000_s1026" o:spid="_x0000_s1026" o:spt="32" type="#_x0000_t32" style="position:absolute;left:0pt;flip:y;margin-left:171.2pt;margin-top:172.95pt;height:20.7pt;width:0pt;z-index:251707392;mso-width-relative:page;mso-height-relative:page;" filled="f" stroked="t" coordsize="21600,21600" o:gfxdata="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c9hWNkAAAALAQAADwAAAAAA&#10;AAABACAAAAAiAAAAZHJzL2Rvd25yZXYueG1sUEsBAhQAFAAAAAgAh07iQBj8Z9ASAgAA9gMAAA4A&#10;AAAAAAAAAQAgAAAAKAEAAGRycy9lMm9Eb2MueG1sUEsFBgAAAAAGAAYAWQEAAKwFAAAAAA==&#10;">
                <v:fill on="f" focussize="0,0"/>
                <v:stroke weight="1.5pt" color="#000000" joinstyle="round" dashstyle="dash" endarrow="open"/>
                <v:imagedata o:title=""/>
                <o:lock v:ext="edit" aspectratio="f"/>
              </v:shape>
            </w:pict>
          </mc:Fallback>
        </mc:AlternateContent>
      </w:r>
      <w:r>
        <w:rPr>
          <w:rFonts w:ascii="Arial" w:hAnsi="Arial" w:cs="Arial"/>
        </w:rPr>
        <mc:AlternateContent>
          <mc:Choice Requires="wps">
            <w:drawing>
              <wp:anchor distT="0" distB="0" distL="114300" distR="114300" simplePos="0" relativeHeight="251705344" behindDoc="0" locked="0" layoutInCell="1" allowOverlap="1">
                <wp:simplePos x="0" y="0"/>
                <wp:positionH relativeFrom="column">
                  <wp:posOffset>1337310</wp:posOffset>
                </wp:positionH>
                <wp:positionV relativeFrom="paragraph">
                  <wp:posOffset>1068070</wp:posOffset>
                </wp:positionV>
                <wp:extent cx="768985" cy="449580"/>
                <wp:effectExtent l="0" t="0" r="0" b="0"/>
                <wp:wrapNone/>
                <wp:docPr id="26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68985" cy="449580"/>
                        </a:xfrm>
                        <a:prstGeom prst="rect">
                          <a:avLst/>
                        </a:prstGeom>
                        <a:noFill/>
                        <a:ln w="9525">
                          <a:noFill/>
                          <a:miter lim="800000"/>
                        </a:ln>
                      </wps:spPr>
                      <wps:txbx>
                        <w:txbxContent>
                          <w:p w14:paraId="22AAB718">
                            <w:pPr>
                              <w:adjustRightInd w:val="0"/>
                              <w:snapToGrid w:val="0"/>
                              <w:jc w:val="center"/>
                              <w:rPr>
                                <w:rFonts w:ascii="宋体" w:hAnsi="宋体" w:eastAsia="宋体"/>
                                <w:b/>
                                <w:sz w:val="21"/>
                              </w:rPr>
                            </w:pPr>
                            <w:r>
                              <w:rPr>
                                <w:rFonts w:hint="eastAsia" w:ascii="宋体" w:hAnsi="宋体" w:eastAsia="宋体"/>
                                <w:b/>
                                <w:sz w:val="21"/>
                              </w:rPr>
                              <w:t>应急安置场所</w:t>
                            </w:r>
                          </w:p>
                          <w:p w14:paraId="0A3ED788">
                            <w:pPr>
                              <w:adjustRightInd w:val="0"/>
                              <w:snapToGrid w:val="0"/>
                              <w:jc w:val="center"/>
                              <w:rPr>
                                <w:rFonts w:ascii="宋体" w:hAnsi="宋体" w:eastAsia="宋体"/>
                                <w:b/>
                                <w:sz w:val="21"/>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05.3pt;margin-top:84.1pt;height:35.4pt;width:60.55pt;z-index:251705344;mso-width-relative:page;mso-height-relative:page;" filled="f" stroked="f" coordsize="21600,21600" o:gfxdata="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dNiVN9gAAAALAQAADwAAAAAAAAABACAAAAAiAAAAZHJzL2Rvd25yZXYueG1sUEsBAhQAFAAAAAgA&#10;h07iQO2PC6olAgAAKgQAAA4AAAAAAAAAAQAgAAAAJwEAAGRycy9lMm9Eb2MueG1sUEsFBgAAAAAG&#10;AAYAWQEAAL4FAAAAAA==&#10;">
                <v:fill on="f" focussize="0,0"/>
                <v:stroke on="f" miterlimit="8" joinstyle="miter"/>
                <v:imagedata o:title=""/>
                <o:lock v:ext="edit" aspectratio="f"/>
                <v:textbox>
                  <w:txbxContent>
                    <w:p w14:paraId="22AAB718">
                      <w:pPr>
                        <w:adjustRightInd w:val="0"/>
                        <w:snapToGrid w:val="0"/>
                        <w:jc w:val="center"/>
                        <w:rPr>
                          <w:rFonts w:ascii="宋体" w:hAnsi="宋体" w:eastAsia="宋体"/>
                          <w:b/>
                          <w:sz w:val="21"/>
                        </w:rPr>
                      </w:pPr>
                      <w:r>
                        <w:rPr>
                          <w:rFonts w:hint="eastAsia" w:ascii="宋体" w:hAnsi="宋体" w:eastAsia="宋体"/>
                          <w:b/>
                          <w:sz w:val="21"/>
                        </w:rPr>
                        <w:t>应急安置场所</w:t>
                      </w:r>
                    </w:p>
                    <w:p w14:paraId="0A3ED788">
                      <w:pPr>
                        <w:adjustRightInd w:val="0"/>
                        <w:snapToGrid w:val="0"/>
                        <w:jc w:val="center"/>
                        <w:rPr>
                          <w:rFonts w:ascii="宋体" w:hAnsi="宋体" w:eastAsia="宋体"/>
                          <w:b/>
                          <w:sz w:val="21"/>
                        </w:rPr>
                      </w:pPr>
                    </w:p>
                  </w:txbxContent>
                </v:textbox>
              </v:shape>
            </w:pict>
          </mc:Fallback>
        </mc:AlternateContent>
      </w:r>
      <w:r>
        <w:rPr>
          <w:rFonts w:ascii="Arial" w:hAnsi="Arial" w:cs="Arial"/>
        </w:rPr>
        <mc:AlternateContent>
          <mc:Choice Requires="wps">
            <w:drawing>
              <wp:anchor distT="0" distB="0" distL="114300" distR="114300" simplePos="0" relativeHeight="251704320" behindDoc="0" locked="0" layoutInCell="1" allowOverlap="1">
                <wp:simplePos x="0" y="0"/>
                <wp:positionH relativeFrom="column">
                  <wp:posOffset>1413510</wp:posOffset>
                </wp:positionH>
                <wp:positionV relativeFrom="paragraph">
                  <wp:posOffset>1056640</wp:posOffset>
                </wp:positionV>
                <wp:extent cx="518795" cy="464185"/>
                <wp:effectExtent l="0" t="0" r="14605" b="12065"/>
                <wp:wrapNone/>
                <wp:docPr id="234" name="任意多边形 234"/>
                <wp:cNvGraphicFramePr/>
                <a:graphic xmlns:a="http://schemas.openxmlformats.org/drawingml/2006/main">
                  <a:graphicData uri="http://schemas.microsoft.com/office/word/2010/wordprocessingShape">
                    <wps:wsp>
                      <wps:cNvSpPr/>
                      <wps:spPr>
                        <a:xfrm>
                          <a:off x="0" y="0"/>
                          <a:ext cx="518795" cy="464185"/>
                        </a:xfrm>
                        <a:custGeom>
                          <a:avLst/>
                          <a:gdLst>
                            <a:gd name="connsiteX0" fmla="*/ 209550 w 1457325"/>
                            <a:gd name="connsiteY0" fmla="*/ 9525 h 1104900"/>
                            <a:gd name="connsiteX1" fmla="*/ 1457325 w 1457325"/>
                            <a:gd name="connsiteY1" fmla="*/ 314325 h 1104900"/>
                            <a:gd name="connsiteX2" fmla="*/ 1257300 w 1457325"/>
                            <a:gd name="connsiteY2" fmla="*/ 1104900 h 1104900"/>
                            <a:gd name="connsiteX3" fmla="*/ 371475 w 1457325"/>
                            <a:gd name="connsiteY3" fmla="*/ 942975 h 1104900"/>
                            <a:gd name="connsiteX4" fmla="*/ 0 w 1457325"/>
                            <a:gd name="connsiteY4" fmla="*/ 590550 h 1104900"/>
                            <a:gd name="connsiteX5" fmla="*/ 152400 w 1457325"/>
                            <a:gd name="connsiteY5" fmla="*/ 0 h 1104900"/>
                            <a:gd name="connsiteX6" fmla="*/ 209550 w 1457325"/>
                            <a:gd name="connsiteY6" fmla="*/ 9525 h 1104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57325" h="1104900">
                              <a:moveTo>
                                <a:pt x="209550" y="9525"/>
                              </a:moveTo>
                              <a:lnTo>
                                <a:pt x="1457325" y="314325"/>
                              </a:lnTo>
                              <a:lnTo>
                                <a:pt x="1257300" y="1104900"/>
                              </a:lnTo>
                              <a:lnTo>
                                <a:pt x="371475" y="942975"/>
                              </a:lnTo>
                              <a:lnTo>
                                <a:pt x="0" y="590550"/>
                              </a:lnTo>
                              <a:lnTo>
                                <a:pt x="152400" y="0"/>
                              </a:lnTo>
                              <a:lnTo>
                                <a:pt x="209550" y="9525"/>
                              </a:lnTo>
                              <a:close/>
                            </a:path>
                          </a:pathLst>
                        </a:custGeom>
                        <a:noFill/>
                        <a:ln w="1905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111.3pt;margin-top:83.2pt;height:36.55pt;width:40.85pt;z-index:251704320;v-text-anchor:middle;mso-width-relative:page;mso-height-relative:page;" filled="f" stroked="t" coordsize="1457325,1104900" o:gfxdata="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" path="m209550,9525l1457325,314325,1257300,1104900,371475,942975,0,590550,152400,0,209550,9525xe">
                <v:path o:connectlocs="74597,4001;518795,132052;447587,464185;132241,396157;0,248098;54253,0;74597,4001" o:connectangles="0,0,0,0,0,0,0"/>
                <v:fill on="f" focussize="0,0"/>
                <v:stroke weight="1.5pt" color="#0000FF" joinstyle="round"/>
                <v:imagedata o:title=""/>
                <o:lock v:ext="edit" aspectratio="f"/>
              </v:shape>
            </w:pict>
          </mc:Fallback>
        </mc:AlternateContent>
      </w:r>
      <w:r>
        <w:rPr>
          <w:rFonts w:ascii="Arial" w:hAnsi="Arial" w:cs="Arial"/>
        </w:rPr>
        <w:t xml:space="preserve"> </w:t>
      </w:r>
      <w:r>
        <w:rPr>
          <w:rFonts w:ascii="Arial" w:hAnsi="Arial" w:cs="Arial"/>
        </w:rPr>
        <w:drawing>
          <wp:inline distT="0" distB="0" distL="0" distR="0">
            <wp:extent cx="5486400" cy="4876800"/>
            <wp:effectExtent l="0" t="0" r="0" b="0"/>
            <wp:docPr id="23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5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5486400" cy="4876800"/>
                    </a:xfrm>
                    <a:prstGeom prst="rect">
                      <a:avLst/>
                    </a:prstGeom>
                    <a:noFill/>
                    <a:ln>
                      <a:noFill/>
                    </a:ln>
                  </pic:spPr>
                </pic:pic>
              </a:graphicData>
            </a:graphic>
          </wp:inline>
        </w:drawing>
      </w:r>
    </w:p>
    <w:p w14:paraId="33836A98">
      <w:pPr>
        <w:adjustRightInd w:val="0"/>
        <w:snapToGrid w:val="0"/>
        <w:jc w:val="center"/>
        <w:rPr>
          <w:rFonts w:ascii="Arial" w:hAnsi="Arial" w:eastAsia="宋体" w:cs="Arial"/>
          <w:sz w:val="24"/>
          <w:szCs w:val="24"/>
        </w:rPr>
      </w:pPr>
      <w:r>
        <w:rPr>
          <w:rFonts w:ascii="Arial" w:hAnsi="Arial" w:eastAsia="宋体" w:cs="Arial"/>
          <w:b/>
          <w:sz w:val="24"/>
          <w:szCs w:val="24"/>
        </w:rPr>
        <w:t>图4.3-</w:t>
      </w:r>
      <w:r>
        <w:rPr>
          <w:rFonts w:hint="eastAsia" w:ascii="Arial" w:hAnsi="Arial" w:eastAsia="宋体" w:cs="Arial"/>
          <w:b/>
          <w:sz w:val="24"/>
          <w:szCs w:val="24"/>
        </w:rPr>
        <w:t>21</w:t>
      </w:r>
      <w:r>
        <w:rPr>
          <w:rFonts w:ascii="Arial" w:hAnsi="Arial" w:eastAsia="宋体" w:cs="Arial"/>
          <w:b/>
          <w:sz w:val="24"/>
          <w:szCs w:val="24"/>
        </w:rPr>
        <w:t xml:space="preserve">  应急疏散通道、安置场所位置示意图（b）</w:t>
      </w:r>
    </w:p>
    <w:p w14:paraId="539D1E43">
      <w:pPr>
        <w:adjustRightInd w:val="0"/>
        <w:snapToGrid w:val="0"/>
        <w:jc w:val="center"/>
        <w:rPr>
          <w:rFonts w:ascii="Arial" w:hAnsi="Arial" w:eastAsia="宋体" w:cs="Arial"/>
          <w:sz w:val="24"/>
          <w:szCs w:val="24"/>
        </w:rPr>
      </w:pPr>
    </w:p>
    <w:p w14:paraId="4D9ED066">
      <w:pPr>
        <w:spacing w:line="500" w:lineRule="exact"/>
        <w:ind w:firstLine="490" w:firstLineChars="200"/>
        <w:rPr>
          <w:rFonts w:ascii="Arial" w:hAnsi="Arial" w:eastAsia="宋体" w:cs="Arial"/>
          <w:b/>
          <w:spacing w:val="10"/>
          <w:sz w:val="24"/>
          <w:szCs w:val="24"/>
        </w:rPr>
      </w:pPr>
      <w:r>
        <w:rPr>
          <w:rFonts w:ascii="Arial" w:hAnsi="Arial" w:eastAsia="宋体" w:cs="Arial"/>
          <w:b/>
          <w:spacing w:val="10"/>
          <w:sz w:val="24"/>
          <w:szCs w:val="24"/>
        </w:rPr>
        <w:t>4.生产装置事故防控措施</w:t>
      </w:r>
    </w:p>
    <w:p w14:paraId="60ADADA6">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所有专用设备根据工艺要求、物料性质，按照《生产设备安全卫生设计总则》（GB5083）进行选择。选用的机械、设备和电气设备符合国家或行业技术标准。</w:t>
      </w:r>
    </w:p>
    <w:p w14:paraId="01EB95EC">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应急预案</w:t>
      </w:r>
    </w:p>
    <w:p w14:paraId="45E31F54">
      <w:pPr>
        <w:numPr>
          <w:ilvl w:val="0"/>
          <w:numId w:val="35"/>
        </w:numPr>
        <w:spacing w:line="500" w:lineRule="exact"/>
        <w:outlineLvl w:val="3"/>
        <w:rPr>
          <w:rFonts w:ascii="Arial" w:hAnsi="Arial" w:eastAsia="宋体" w:cs="Arial"/>
          <w:b/>
          <w:sz w:val="24"/>
          <w:szCs w:val="24"/>
        </w:rPr>
      </w:pPr>
      <w:r>
        <w:rPr>
          <w:rFonts w:ascii="Arial" w:hAnsi="Arial" w:eastAsia="宋体" w:cs="Arial"/>
          <w:b/>
          <w:sz w:val="24"/>
          <w:szCs w:val="24"/>
        </w:rPr>
        <w:t>应急预案编制要求</w:t>
      </w:r>
    </w:p>
    <w:p w14:paraId="3535B3E2">
      <w:pPr>
        <w:spacing w:line="500" w:lineRule="exact"/>
        <w:ind w:firstLine="470"/>
        <w:rPr>
          <w:rFonts w:ascii="Arial" w:hAnsi="Arial" w:eastAsia="宋体" w:cs="Arial"/>
          <w:spacing w:val="10"/>
          <w:sz w:val="24"/>
        </w:rPr>
      </w:pPr>
      <w:r>
        <w:rPr>
          <w:rFonts w:ascii="Arial" w:hAnsi="Arial" w:eastAsia="宋体" w:cs="Arial"/>
          <w:spacing w:val="10"/>
          <w:sz w:val="24"/>
        </w:rPr>
        <w:t>企业已编制突发环境事件应急预案并已备案，企业应根据项目新增内容对应急预案进行修编。</w:t>
      </w:r>
    </w:p>
    <w:p w14:paraId="6842B1D3">
      <w:pPr>
        <w:spacing w:line="500" w:lineRule="exact"/>
        <w:ind w:firstLine="470"/>
        <w:rPr>
          <w:rFonts w:ascii="Arial" w:hAnsi="Arial" w:eastAsia="宋体" w:cs="Arial"/>
          <w:spacing w:val="10"/>
          <w:sz w:val="24"/>
        </w:rPr>
      </w:pPr>
      <w:r>
        <w:rPr>
          <w:rFonts w:ascii="Arial" w:hAnsi="Arial" w:eastAsia="宋体" w:cs="Arial"/>
          <w:spacing w:val="10"/>
          <w:sz w:val="24"/>
        </w:rPr>
        <w:t>根据风险导则，本报告提出应急预案编制的原则要求。</w:t>
      </w:r>
    </w:p>
    <w:p w14:paraId="61ACEBDA">
      <w:pPr>
        <w:spacing w:line="500" w:lineRule="exact"/>
        <w:ind w:firstLine="470"/>
        <w:rPr>
          <w:rFonts w:ascii="Arial" w:hAnsi="Arial" w:eastAsia="宋体" w:cs="Arial"/>
          <w:b/>
          <w:spacing w:val="10"/>
          <w:sz w:val="24"/>
        </w:rPr>
      </w:pPr>
      <w:r>
        <w:rPr>
          <w:rFonts w:ascii="Arial" w:hAnsi="Arial" w:eastAsia="宋体" w:cs="Arial"/>
          <w:b/>
          <w:spacing w:val="10"/>
          <w:sz w:val="24"/>
        </w:rPr>
        <w:t>1.预案适用范围</w:t>
      </w:r>
    </w:p>
    <w:p w14:paraId="41E1023B">
      <w:pPr>
        <w:spacing w:line="500" w:lineRule="exact"/>
        <w:ind w:firstLine="490" w:firstLineChars="200"/>
        <w:jc w:val="left"/>
        <w:rPr>
          <w:rFonts w:ascii="Arial" w:hAnsi="Arial" w:eastAsia="宋体" w:cs="Arial"/>
          <w:spacing w:val="10"/>
          <w:kern w:val="0"/>
          <w:sz w:val="24"/>
        </w:rPr>
      </w:pPr>
      <w:r>
        <w:rPr>
          <w:rFonts w:ascii="Arial" w:hAnsi="Arial" w:eastAsia="宋体" w:cs="Arial"/>
          <w:spacing w:val="10"/>
          <w:kern w:val="0"/>
          <w:sz w:val="24"/>
        </w:rPr>
        <w:t>应急预案针对本项目一般性环境污染事件及其以上级别的环境污染及突发环境事件的应急处置，以及附属区域内产生不利影响的各类环境污染事件。</w:t>
      </w:r>
    </w:p>
    <w:p w14:paraId="701F6AD2">
      <w:pPr>
        <w:spacing w:line="500" w:lineRule="exact"/>
        <w:ind w:firstLine="470"/>
        <w:rPr>
          <w:rFonts w:ascii="Arial" w:hAnsi="Arial" w:eastAsia="宋体" w:cs="Arial"/>
          <w:b/>
          <w:spacing w:val="10"/>
          <w:sz w:val="24"/>
        </w:rPr>
      </w:pPr>
      <w:r>
        <w:rPr>
          <w:rFonts w:ascii="Arial" w:hAnsi="Arial" w:eastAsia="宋体" w:cs="Arial"/>
          <w:b/>
          <w:spacing w:val="10"/>
          <w:sz w:val="24"/>
        </w:rPr>
        <w:t>2.环境事件分类与分级</w:t>
      </w:r>
    </w:p>
    <w:p w14:paraId="0051EEE2">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国家突发环境事件分级</w:t>
      </w:r>
    </w:p>
    <w:p w14:paraId="6245F97D">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 xml:space="preserve"> 特别重大突发环境事件</w:t>
      </w:r>
    </w:p>
    <w:p w14:paraId="318122C1">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凡符合下列情形之一的，为特别重大突发环境事件：</w:t>
      </w:r>
    </w:p>
    <w:p w14:paraId="421F0F05">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a、因环境污染直接导致30人以上死亡或100人以上中毒或重伤的；</w:t>
      </w:r>
    </w:p>
    <w:p w14:paraId="3C90028A">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b、因环境污染疏散、转移人员5万人以上的；</w:t>
      </w:r>
    </w:p>
    <w:p w14:paraId="7BBE4C29">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c、因环境污染造成直接经济损失1亿元以上的；</w:t>
      </w:r>
    </w:p>
    <w:p w14:paraId="4E7CAD8A">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d、因环境污染造成区域生态功能丧失或该区域国家重点保护物种灭绝的；</w:t>
      </w:r>
    </w:p>
    <w:p w14:paraId="201A6FA9">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e、因环境污染造成设区的市级以上城市集中式饮用水水源地取水中断的；</w:t>
      </w:r>
    </w:p>
    <w:p w14:paraId="313A68C8">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f、</w:t>
      </w:r>
      <w:r>
        <w:rPr>
          <w:rFonts w:hint="eastAsia" w:ascii="宋体" w:hAnsi="宋体" w:eastAsia="宋体" w:cs="宋体"/>
          <w:spacing w:val="10"/>
          <w:sz w:val="24"/>
        </w:rPr>
        <w:t>Ⅰ</w:t>
      </w:r>
      <w:r>
        <w:rPr>
          <w:rFonts w:ascii="Arial" w:hAnsi="Arial" w:eastAsia="宋体" w:cs="Arial"/>
          <w:spacing w:val="10"/>
          <w:sz w:val="24"/>
        </w:rPr>
        <w:t>、</w:t>
      </w:r>
      <w:r>
        <w:rPr>
          <w:rFonts w:hint="eastAsia" w:ascii="宋体" w:hAnsi="宋体" w:eastAsia="宋体" w:cs="宋体"/>
          <w:spacing w:val="10"/>
          <w:sz w:val="24"/>
        </w:rPr>
        <w:t>Ⅱ</w:t>
      </w:r>
      <w:r>
        <w:rPr>
          <w:rFonts w:ascii="Arial" w:hAnsi="Arial" w:eastAsia="宋体" w:cs="Arial"/>
          <w:spacing w:val="10"/>
          <w:sz w:val="24"/>
        </w:rPr>
        <w:t>类放射源丢失、被盗、失控并造成大范围严重辐射污染后果的；放射性同位素和射线装置失控导致3人以上急性死亡的；放射性物质泄漏，造成大范围辐射污染后果的；</w:t>
      </w:r>
    </w:p>
    <w:p w14:paraId="28D297F3">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g、造成重大跨国境影响的境内突发环境事件。</w:t>
      </w:r>
    </w:p>
    <w:p w14:paraId="321C1035">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 xml:space="preserve"> 重大突发环境事件</w:t>
      </w:r>
    </w:p>
    <w:p w14:paraId="79A68D4E">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凡符合下列情形之一的，为重大突发环境事件：</w:t>
      </w:r>
    </w:p>
    <w:p w14:paraId="0587D131">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a、因环境污染直接导致10人以上30人以下死亡或50人以上100人以下中毒或重伤的；</w:t>
      </w:r>
    </w:p>
    <w:p w14:paraId="4670EEFC">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b、因环境污染疏散、转移人员1万人以上5万人以下的；</w:t>
      </w:r>
    </w:p>
    <w:p w14:paraId="758D1D80">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c、因环境污染造成直接经济损失2000万元以上1亿元以下的；</w:t>
      </w:r>
    </w:p>
    <w:p w14:paraId="41B19D2E">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d、因环境污染造成区域生态功能部分丧失或该区域国家重点保护野生动植物种群大批死亡的；</w:t>
      </w:r>
    </w:p>
    <w:p w14:paraId="55E7B3EB">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e、因环境污染造成县级城市集中式饮用水水源地取水中断的；</w:t>
      </w:r>
    </w:p>
    <w:p w14:paraId="34EE1FC7">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f、</w:t>
      </w:r>
      <w:r>
        <w:rPr>
          <w:rFonts w:hint="eastAsia" w:ascii="宋体" w:hAnsi="宋体" w:eastAsia="宋体" w:cs="宋体"/>
          <w:spacing w:val="10"/>
          <w:sz w:val="24"/>
        </w:rPr>
        <w:t>Ⅰ</w:t>
      </w:r>
      <w:r>
        <w:rPr>
          <w:rFonts w:ascii="Arial" w:hAnsi="Arial" w:eastAsia="宋体" w:cs="Arial"/>
          <w:spacing w:val="10"/>
          <w:sz w:val="24"/>
        </w:rPr>
        <w:t>、</w:t>
      </w:r>
      <w:r>
        <w:rPr>
          <w:rFonts w:hint="eastAsia" w:ascii="宋体" w:hAnsi="宋体" w:eastAsia="宋体" w:cs="宋体"/>
          <w:spacing w:val="10"/>
          <w:sz w:val="24"/>
        </w:rPr>
        <w:t>Ⅱ</w:t>
      </w:r>
      <w:r>
        <w:rPr>
          <w:rFonts w:ascii="Arial" w:hAnsi="Arial" w:eastAsia="宋体" w:cs="Arial"/>
          <w:spacing w:val="10"/>
          <w:sz w:val="24"/>
        </w:rPr>
        <w:t>类放射源丢失、被盗的；放射性同位素和射线装置失控导致3人以下急性死亡或者10人以上急性重度放射病、局部器官残疾的；放射性物质泄漏，造成较大范围辐射污染后果的；</w:t>
      </w:r>
    </w:p>
    <w:p w14:paraId="2E45F43B">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g、造成跨省级行政区域影响的突发环境事件。</w:t>
      </w:r>
    </w:p>
    <w:p w14:paraId="4CB7343B">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③</w:t>
      </w:r>
      <w:r>
        <w:rPr>
          <w:rFonts w:ascii="Arial" w:hAnsi="Arial" w:eastAsia="宋体" w:cs="Arial"/>
          <w:spacing w:val="10"/>
          <w:sz w:val="24"/>
        </w:rPr>
        <w:t xml:space="preserve"> 较大突发环境事件</w:t>
      </w:r>
    </w:p>
    <w:p w14:paraId="2B5B8923">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凡符合下列情形之一的，为较大突发环境事件：</w:t>
      </w:r>
    </w:p>
    <w:p w14:paraId="71A8C50D">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a、因环境污染直接导致3人以上10人以下死亡或10人以上50人以下中毒或重伤的；</w:t>
      </w:r>
    </w:p>
    <w:p w14:paraId="729C6C8B">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b、因环境污染疏散、转移人员5000人以上1万人以下的；</w:t>
      </w:r>
    </w:p>
    <w:p w14:paraId="75FD1531">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c、因环境污染造成直接经济损失500万元以上2000万元以下的；</w:t>
      </w:r>
    </w:p>
    <w:p w14:paraId="0922ED05">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d、因环境污染造成国家重点保护的动植物物种受到破坏的；</w:t>
      </w:r>
    </w:p>
    <w:p w14:paraId="1BEB81CE">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e、因环境污染造成乡镇集中式饮用水水源地取水中断的；</w:t>
      </w:r>
    </w:p>
    <w:p w14:paraId="34DF7D06">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f、</w:t>
      </w:r>
      <w:r>
        <w:rPr>
          <w:rFonts w:hint="eastAsia" w:ascii="宋体" w:hAnsi="宋体" w:eastAsia="宋体" w:cs="宋体"/>
          <w:spacing w:val="10"/>
          <w:sz w:val="24"/>
        </w:rPr>
        <w:t>Ⅲ</w:t>
      </w:r>
      <w:r>
        <w:rPr>
          <w:rFonts w:ascii="Arial" w:hAnsi="Arial" w:eastAsia="宋体" w:cs="Arial"/>
          <w:spacing w:val="10"/>
          <w:sz w:val="24"/>
        </w:rPr>
        <w:t>类放射源丢失、被盗的；放射性同位素和射线装置失控导致 10 人以下急性重度放射病、局部器官残疾的；放射性物质泄漏，造成小范围辐射污染后果的；</w:t>
      </w:r>
    </w:p>
    <w:p w14:paraId="7CCC2A10">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g、造成跨设区的市级行政区域影响的突发环境事件。</w:t>
      </w:r>
    </w:p>
    <w:p w14:paraId="3F76B4AE">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④</w:t>
      </w:r>
      <w:r>
        <w:rPr>
          <w:rFonts w:ascii="Arial" w:hAnsi="Arial" w:eastAsia="宋体" w:cs="Arial"/>
          <w:spacing w:val="10"/>
          <w:sz w:val="24"/>
        </w:rPr>
        <w:t xml:space="preserve"> 一般突发环境事件</w:t>
      </w:r>
    </w:p>
    <w:p w14:paraId="47FE3D45">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凡符合下列情形之一的，为一般突发环境事件：</w:t>
      </w:r>
    </w:p>
    <w:p w14:paraId="7F815388">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a、因环境污染直接导致3人以下死亡或10人以下中毒或重伤的；</w:t>
      </w:r>
    </w:p>
    <w:p w14:paraId="1F6E95F3">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b、因环境污染疏散、转移人员5000人以下的；</w:t>
      </w:r>
    </w:p>
    <w:p w14:paraId="707B4365">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c、因环境污染造成直接经济损失500万元以下的；</w:t>
      </w:r>
    </w:p>
    <w:p w14:paraId="43D57BC4">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d、因环境污染造成跨县级行政区域纠纷，引起一般性群体影响的；</w:t>
      </w:r>
    </w:p>
    <w:p w14:paraId="6FF9F4A1">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e、</w:t>
      </w:r>
      <w:r>
        <w:rPr>
          <w:rFonts w:hint="eastAsia" w:ascii="宋体" w:hAnsi="宋体" w:eastAsia="宋体" w:cs="宋体"/>
          <w:spacing w:val="10"/>
          <w:sz w:val="24"/>
        </w:rPr>
        <w:t>Ⅳ</w:t>
      </w:r>
      <w:r>
        <w:rPr>
          <w:rFonts w:ascii="Arial" w:hAnsi="Arial" w:eastAsia="宋体" w:cs="Arial"/>
          <w:spacing w:val="10"/>
          <w:sz w:val="24"/>
        </w:rPr>
        <w:t>、</w:t>
      </w:r>
      <w:r>
        <w:rPr>
          <w:rFonts w:hint="eastAsia" w:ascii="宋体" w:hAnsi="宋体" w:eastAsia="宋体" w:cs="宋体"/>
          <w:spacing w:val="10"/>
          <w:sz w:val="24"/>
        </w:rPr>
        <w:t>Ⅴ</w:t>
      </w:r>
      <w:r>
        <w:rPr>
          <w:rFonts w:ascii="Arial" w:hAnsi="Arial" w:eastAsia="宋体" w:cs="Arial"/>
          <w:spacing w:val="10"/>
          <w:sz w:val="24"/>
        </w:rPr>
        <w:t>类放射源丢失、被盗的；放射性同位素和射线装置失控导致人员受到超过年剂量限值的照射的；放射性物质泄漏，造成厂区内或设施内局部辐射污染后果的；铀矿冶、伴生矿超标排放，造成环境辐射污染后果的；</w:t>
      </w:r>
    </w:p>
    <w:p w14:paraId="632AA9F0">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f、对环境造成一定影响，尚未达到较大突发环境事件级别的。</w:t>
      </w:r>
    </w:p>
    <w:p w14:paraId="76C65A4A">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企业突发环境事件分级</w:t>
      </w:r>
    </w:p>
    <w:p w14:paraId="3282BD9F">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针对企业突发环境事件严重性、紧急程度、危害程度、影响范围、公司内部（生产工段、车间）控制事态的能力以及需要调动的应急资源，将企业突发环境事件分为三个不同的等级，事件分级依次为：</w:t>
      </w:r>
    </w:p>
    <w:p w14:paraId="5CB15699">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①</w:t>
      </w:r>
      <w:r>
        <w:rPr>
          <w:rFonts w:ascii="Arial" w:hAnsi="Arial" w:eastAsia="宋体" w:cs="Arial"/>
          <w:spacing w:val="10"/>
          <w:sz w:val="24"/>
        </w:rPr>
        <w:t xml:space="preserve"> 岗位级</w:t>
      </w:r>
    </w:p>
    <w:p w14:paraId="1A54239F">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a、可能引发企业突发环境事件的各因素的所有事件。</w:t>
      </w:r>
    </w:p>
    <w:p w14:paraId="28E73DCA">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b、只需现场人员履行工作职责，启动相应的现场处置措施即可。</w:t>
      </w:r>
    </w:p>
    <w:p w14:paraId="4A3A3C9C">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c、影响范围在操作岗位上。</w:t>
      </w:r>
    </w:p>
    <w:p w14:paraId="3733F86D">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②</w:t>
      </w:r>
      <w:r>
        <w:rPr>
          <w:rFonts w:ascii="Arial" w:hAnsi="Arial" w:eastAsia="宋体" w:cs="Arial"/>
          <w:spacing w:val="10"/>
          <w:sz w:val="24"/>
        </w:rPr>
        <w:t xml:space="preserve"> 车间级</w:t>
      </w:r>
    </w:p>
    <w:p w14:paraId="5FCE3993">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a、事故已经发生或升级，企业主要生产设施需要关停，需立即采取行动以防止泄漏物扩散的事件。</w:t>
      </w:r>
    </w:p>
    <w:p w14:paraId="05839D4A">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b、现场人员要履行他们的职责，启动现场处置措施，需要启动厂区内部分应急组织。</w:t>
      </w:r>
    </w:p>
    <w:p w14:paraId="2535CE0A">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c、影响范围在公司控制范围内。</w:t>
      </w:r>
    </w:p>
    <w:p w14:paraId="1C2E2B47">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③</w:t>
      </w:r>
      <w:r>
        <w:rPr>
          <w:rFonts w:ascii="Arial" w:hAnsi="Arial" w:eastAsia="宋体" w:cs="Arial"/>
          <w:spacing w:val="10"/>
          <w:sz w:val="24"/>
        </w:rPr>
        <w:t xml:space="preserve"> 企业级</w:t>
      </w:r>
    </w:p>
    <w:p w14:paraId="323F0DDF">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a、包括事件已经发生或升级，需要立即采取行动防止泄漏物外排出厂的事件，以保证厂区外部临近区环境的安全。</w:t>
      </w:r>
    </w:p>
    <w:p w14:paraId="3803FE00">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b、现场人员要履行他们的职责，可能需要厂区外援助以减轻事故的影响，各应急组织机构要全面启动。</w:t>
      </w:r>
    </w:p>
    <w:p w14:paraId="0C34259D">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c、影响范围超出公司控制范围。</w:t>
      </w:r>
    </w:p>
    <w:p w14:paraId="4793A2D2">
      <w:pPr>
        <w:spacing w:line="500" w:lineRule="exact"/>
        <w:ind w:firstLine="470"/>
        <w:rPr>
          <w:rFonts w:ascii="Arial" w:hAnsi="Arial" w:eastAsia="宋体" w:cs="Arial"/>
          <w:spacing w:val="10"/>
          <w:sz w:val="24"/>
        </w:rPr>
      </w:pPr>
      <w:r>
        <w:rPr>
          <w:rFonts w:ascii="Arial" w:hAnsi="Arial" w:eastAsia="宋体" w:cs="Arial"/>
          <w:spacing w:val="10"/>
          <w:sz w:val="24"/>
        </w:rPr>
        <w:t>在企业突发环境事件时与国家突发环境事件分级相对应，并与之有效的衔接。</w:t>
      </w:r>
    </w:p>
    <w:p w14:paraId="05DA2144">
      <w:pPr>
        <w:spacing w:line="500" w:lineRule="exact"/>
        <w:ind w:firstLine="490" w:firstLineChars="200"/>
        <w:jc w:val="left"/>
        <w:rPr>
          <w:rFonts w:ascii="Arial" w:hAnsi="Arial" w:eastAsia="宋体" w:cs="Arial"/>
          <w:b/>
          <w:spacing w:val="10"/>
          <w:sz w:val="24"/>
        </w:rPr>
      </w:pPr>
      <w:r>
        <w:rPr>
          <w:rFonts w:ascii="Arial" w:hAnsi="Arial" w:eastAsia="宋体" w:cs="Arial"/>
          <w:b/>
          <w:spacing w:val="10"/>
          <w:sz w:val="24"/>
        </w:rPr>
        <w:t>3.组织机构与职责</w:t>
      </w:r>
    </w:p>
    <w:p w14:paraId="1C3AF26A">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企业应设立事故应急组织机构，并和当地消防中心、生态环境局建立正常的定期联系，并明确各机构职责。组织机构由总指挥、副总指挥及组成人员组成。</w:t>
      </w:r>
    </w:p>
    <w:p w14:paraId="1C7295A4">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当发生重大事故时，由应急组织机构总指挥负责企业应急救援工作的组织和指挥。各职能部门职责如下：</w:t>
      </w:r>
    </w:p>
    <w:p w14:paraId="72E372D7">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总指挥：决定启动、终止应急预案；全权负责事故应急处置的组织指挥，对应急方案进行决策；负责人员、资源配置、应急队伍的调动；根据事态发展和控制程度，适时提高或降低相应级别，并调整事故处置方案；协调事故现场有关工作；必要时向有关单位发出救援请求；接受政府的指令和调动；配合政府部门开展应急处置和事故调查工作；组织事故调查，总结应急救援工作经验教训，组织并迅速恢复生产。</w:t>
      </w:r>
    </w:p>
    <w:p w14:paraId="1AB9A023">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副总指挥：协助总指挥负责应急救援的具体指挥工作；做好事故接警、报警、情况通报及事故处置工作指挥；负责事故的应急、抢险、抢修现场指挥、疏散、道路管制工作指挥；负责现场医疗救护指挥及中毒、受伤人员分类抢救和护送转院工作指挥。</w:t>
      </w:r>
    </w:p>
    <w:p w14:paraId="5E412645">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⑶</w:t>
      </w:r>
      <w:r>
        <w:rPr>
          <w:rFonts w:ascii="Arial" w:hAnsi="Arial" w:eastAsia="宋体" w:cs="Arial"/>
          <w:spacing w:val="10"/>
          <w:sz w:val="24"/>
        </w:rPr>
        <w:t xml:space="preserve"> 通讯联络组的职责：主要负责应急过程中指挥部成员、及相关部门的通讯联络，保证应急过程中的通讯畅通，同时对事故的全过程做好处理记录和报告记录。</w:t>
      </w:r>
    </w:p>
    <w:p w14:paraId="046610D1">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⑷</w:t>
      </w:r>
      <w:r>
        <w:rPr>
          <w:rFonts w:ascii="Arial" w:hAnsi="Arial" w:eastAsia="宋体" w:cs="Arial"/>
          <w:spacing w:val="10"/>
          <w:sz w:val="24"/>
        </w:rPr>
        <w:t xml:space="preserve"> 现场抢救组的职责：做好设施的抢(排)险，人员和物资的疏散、转移以及对伤员的救护等工作。</w:t>
      </w:r>
    </w:p>
    <w:p w14:paraId="5A9FDD0B">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⑸</w:t>
      </w:r>
      <w:r>
        <w:rPr>
          <w:rFonts w:ascii="Arial" w:hAnsi="Arial" w:eastAsia="宋体" w:cs="Arial"/>
          <w:spacing w:val="10"/>
          <w:sz w:val="24"/>
        </w:rPr>
        <w:t xml:space="preserve"> 保卫警戒组职责：依照规定指挥控制事故发生区的秩序，人员疏散以及危险区的警戒工作，并作为机动人员随时待命。</w:t>
      </w:r>
    </w:p>
    <w:p w14:paraId="41EFD4E6">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⑹</w:t>
      </w:r>
      <w:r>
        <w:rPr>
          <w:rFonts w:ascii="Arial" w:hAnsi="Arial" w:eastAsia="宋体" w:cs="Arial"/>
          <w:spacing w:val="10"/>
          <w:sz w:val="24"/>
        </w:rPr>
        <w:t xml:space="preserve"> 后勤保障组职责：主要负责事故及灾害抢险救灾所需物资的供应、调运及人员的安置等工作。</w:t>
      </w:r>
    </w:p>
    <w:p w14:paraId="28C75698">
      <w:pPr>
        <w:spacing w:line="500" w:lineRule="exact"/>
        <w:ind w:firstLine="490" w:firstLineChars="200"/>
        <w:jc w:val="left"/>
        <w:rPr>
          <w:rFonts w:ascii="Arial" w:hAnsi="Arial" w:eastAsia="宋体" w:cs="Arial"/>
          <w:b/>
          <w:spacing w:val="10"/>
          <w:sz w:val="24"/>
        </w:rPr>
      </w:pPr>
      <w:r>
        <w:rPr>
          <w:rFonts w:ascii="Arial" w:hAnsi="Arial" w:eastAsia="宋体" w:cs="Arial"/>
          <w:b/>
          <w:spacing w:val="10"/>
          <w:sz w:val="24"/>
        </w:rPr>
        <w:t>4.监控和预警</w:t>
      </w:r>
    </w:p>
    <w:p w14:paraId="0251D34C">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根据预警对应的突发环境事件危害程度、影响范围、控制事态的能力以及可以调动的应急资源，突发环境事件预警分为岗位级（蓝色）预警、车间级（黄色）预警和企业级（红色）预警三个等级。</w:t>
      </w:r>
    </w:p>
    <w:p w14:paraId="1823C86E">
      <w:pPr>
        <w:spacing w:line="500" w:lineRule="exact"/>
        <w:ind w:firstLine="490" w:firstLineChars="200"/>
        <w:jc w:val="left"/>
        <w:rPr>
          <w:rFonts w:ascii="Arial" w:hAnsi="Arial" w:eastAsia="宋体" w:cs="Arial"/>
          <w:b/>
          <w:spacing w:val="10"/>
          <w:sz w:val="24"/>
        </w:rPr>
      </w:pPr>
      <w:r>
        <w:rPr>
          <w:rFonts w:ascii="Arial" w:hAnsi="Arial" w:eastAsia="宋体" w:cs="Arial"/>
          <w:b/>
          <w:spacing w:val="10"/>
          <w:sz w:val="24"/>
        </w:rPr>
        <w:t>5.应急响应</w:t>
      </w:r>
    </w:p>
    <w:p w14:paraId="2FCCD1D2">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突发环境事件应急响应坚持属地为主的原则，相关单位配合。按突发环境事件的可控性、严重程度和影响范围，突发环境事件的应急响应分为重大（一级响应）、较大（二级响应）、一般（三级响应）三级。超出本级应急处置能力时，应及时请求上一级应急救援指挥机构启动上一级应急预案。</w:t>
      </w:r>
    </w:p>
    <w:p w14:paraId="5F9A360F">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一级响应</w:t>
      </w:r>
    </w:p>
    <w:p w14:paraId="3A18D64F">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环境风险事故的影响和危害已经超出厂区边界，需要园区、当地政府等外部应急救援力量提供援助，或发生重大区域性自然灾害事件，企业应急救援力量需要紧密配合外部救援力量，完成各项应急救援工作。</w:t>
      </w:r>
    </w:p>
    <w:p w14:paraId="65E26E03">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二级响应</w:t>
      </w:r>
    </w:p>
    <w:p w14:paraId="3AA356B6">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出现污染事故，但通过动用厂区各专职和兼职应急救援力量即可有效处理的环境污染事故，厂区内所有应急救援力量进入现场应急状态。</w:t>
      </w:r>
    </w:p>
    <w:p w14:paraId="274253FE">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⑶</w:t>
      </w:r>
      <w:r>
        <w:rPr>
          <w:rFonts w:ascii="Arial" w:hAnsi="Arial" w:eastAsia="宋体" w:cs="Arial"/>
          <w:spacing w:val="10"/>
          <w:sz w:val="24"/>
        </w:rPr>
        <w:t xml:space="preserve"> 三级响应</w:t>
      </w:r>
    </w:p>
    <w:p w14:paraId="369D02E1">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预警应急为可控制的异常事件或者为容易控制的突发事件。现场操作人员经过简单的应急救援培训即可完成事故现场的所有应急处置。</w:t>
      </w:r>
    </w:p>
    <w:p w14:paraId="40842FC7">
      <w:pPr>
        <w:spacing w:line="500" w:lineRule="exact"/>
        <w:ind w:firstLine="490" w:firstLineChars="200"/>
        <w:jc w:val="left"/>
        <w:rPr>
          <w:rFonts w:ascii="Arial" w:hAnsi="Arial" w:eastAsia="宋体" w:cs="Arial"/>
          <w:b/>
          <w:spacing w:val="10"/>
          <w:sz w:val="24"/>
        </w:rPr>
      </w:pPr>
      <w:r>
        <w:rPr>
          <w:rFonts w:ascii="Arial" w:hAnsi="Arial" w:eastAsia="宋体" w:cs="Arial"/>
          <w:b/>
          <w:spacing w:val="10"/>
          <w:sz w:val="24"/>
        </w:rPr>
        <w:t>6.应急保障</w:t>
      </w:r>
    </w:p>
    <w:p w14:paraId="2A29CE6B">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通信与信息保障</w:t>
      </w:r>
    </w:p>
    <w:p w14:paraId="20E0B2A5">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企业应建立有线、无线相结合的基础应急通信系统，并大力发展视频远程传输技术，保障通信畅通。同时，提供与应急工作相关的单位和人员的通信联系方式和方法。</w:t>
      </w:r>
    </w:p>
    <w:p w14:paraId="67321A43">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应急队伍保障</w:t>
      </w:r>
    </w:p>
    <w:p w14:paraId="082670A2">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按照《突发环境污染事故应急预案》要求，建设好抢险救援辅助队伍，随时做好处理重特大事故的准备。同时，加强应急队伍的业务培训和应急演练，增加员工应急能力；加强与</w:t>
      </w:r>
      <w:r>
        <w:rPr>
          <w:rFonts w:hint="eastAsia" w:ascii="Arial" w:hAnsi="Arial" w:eastAsia="宋体" w:cs="Arial"/>
          <w:spacing w:val="10"/>
          <w:sz w:val="24"/>
          <w:lang w:eastAsia="zh-CN"/>
        </w:rPr>
        <w:t>其他</w:t>
      </w:r>
      <w:r>
        <w:rPr>
          <w:rFonts w:ascii="Arial" w:hAnsi="Arial" w:eastAsia="宋体" w:cs="Arial"/>
          <w:spacing w:val="10"/>
          <w:sz w:val="24"/>
        </w:rPr>
        <w:t>企业的交流与合作，不断提高应急队伍的素质和能力，与专业救护队签订救援协议。</w:t>
      </w:r>
    </w:p>
    <w:p w14:paraId="45BBA6BB">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⑶</w:t>
      </w:r>
      <w:r>
        <w:rPr>
          <w:rFonts w:ascii="Arial" w:hAnsi="Arial" w:eastAsia="宋体" w:cs="Arial"/>
          <w:spacing w:val="10"/>
          <w:sz w:val="24"/>
        </w:rPr>
        <w:t xml:space="preserve"> 应急物资装备保障</w:t>
      </w:r>
    </w:p>
    <w:p w14:paraId="4AF83065">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主要的应急物资包括通信预警、急救设备以及为避免污染事故污染物外排和伤害的应急保障设施，并对其进行日常维护。</w:t>
      </w:r>
    </w:p>
    <w:p w14:paraId="2E657214">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⑷</w:t>
      </w:r>
      <w:r>
        <w:rPr>
          <w:rFonts w:ascii="Arial" w:hAnsi="Arial" w:eastAsia="宋体" w:cs="Arial"/>
          <w:spacing w:val="10"/>
          <w:sz w:val="24"/>
        </w:rPr>
        <w:t xml:space="preserve"> 经费保障</w:t>
      </w:r>
    </w:p>
    <w:p w14:paraId="04D62583">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处置环境污染事故工作和平常演练所需的有关经费，每年安全部做预算，报总指挥批准，由财务科设立独立的应急经费，保证专款专用，并能随时取出。</w:t>
      </w:r>
    </w:p>
    <w:p w14:paraId="2669C791">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⑸</w:t>
      </w:r>
      <w:r>
        <w:rPr>
          <w:rFonts w:ascii="Arial" w:hAnsi="Arial" w:eastAsia="宋体" w:cs="Arial"/>
          <w:spacing w:val="10"/>
          <w:sz w:val="24"/>
        </w:rPr>
        <w:t xml:space="preserve"> 医疗急救保障</w:t>
      </w:r>
    </w:p>
    <w:p w14:paraId="4319C943">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医疗急救保障由当地各医院给予救护支持，形成应急救援的医疗保障。</w:t>
      </w:r>
    </w:p>
    <w:p w14:paraId="4F4AE309">
      <w:pPr>
        <w:spacing w:line="500" w:lineRule="exact"/>
        <w:ind w:firstLine="488" w:firstLineChars="199"/>
        <w:jc w:val="left"/>
        <w:rPr>
          <w:rFonts w:ascii="Arial" w:hAnsi="Arial" w:eastAsia="宋体" w:cs="Arial"/>
          <w:spacing w:val="10"/>
          <w:sz w:val="24"/>
        </w:rPr>
      </w:pPr>
      <w:r>
        <w:rPr>
          <w:rFonts w:ascii="Arial" w:hAnsi="Arial" w:eastAsia="宋体" w:cs="Arial"/>
          <w:b/>
          <w:spacing w:val="10"/>
          <w:sz w:val="24"/>
        </w:rPr>
        <w:t>7.善后处理</w:t>
      </w:r>
    </w:p>
    <w:p w14:paraId="06F4A5FE">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环境突发事故控制住后，要同时进行如下的善后处理：</w:t>
      </w:r>
    </w:p>
    <w:p w14:paraId="7290ACF4">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⑴</w:t>
      </w:r>
      <w:r>
        <w:rPr>
          <w:rFonts w:ascii="Arial" w:hAnsi="Arial" w:eastAsia="宋体" w:cs="Arial"/>
          <w:spacing w:val="10"/>
          <w:sz w:val="24"/>
        </w:rPr>
        <w:t xml:space="preserve"> 及时调查环境污染事故的起因，对污染事故基本情况进行定性和定量描述，对整个事故进行评估，对玩忽职守并造成严重后果的，追究相关人员责任。</w:t>
      </w:r>
    </w:p>
    <w:p w14:paraId="334808DF">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⑵</w:t>
      </w:r>
      <w:r>
        <w:rPr>
          <w:rFonts w:ascii="Arial" w:hAnsi="Arial" w:eastAsia="宋体" w:cs="Arial"/>
          <w:spacing w:val="10"/>
          <w:sz w:val="24"/>
        </w:rPr>
        <w:t xml:space="preserve"> 收集相关资料存挡，包括事故性质、参数与后果、决策记录、信息分析等，进行工作总结，为防范环境突发事故指挥部门提供决策依据。</w:t>
      </w:r>
    </w:p>
    <w:p w14:paraId="6D893324">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⑶</w:t>
      </w:r>
      <w:r>
        <w:rPr>
          <w:rFonts w:ascii="Arial" w:hAnsi="Arial" w:eastAsia="宋体" w:cs="Arial"/>
          <w:spacing w:val="10"/>
          <w:sz w:val="24"/>
        </w:rPr>
        <w:t xml:space="preserve"> 对受伤工人或群众进行抢救及安抚，制定相应的赔偿计划等善后工作。</w:t>
      </w:r>
    </w:p>
    <w:p w14:paraId="437BEE01">
      <w:pPr>
        <w:spacing w:line="500" w:lineRule="exact"/>
        <w:ind w:firstLine="490" w:firstLineChars="200"/>
        <w:jc w:val="left"/>
        <w:rPr>
          <w:rFonts w:ascii="Arial" w:hAnsi="Arial" w:eastAsia="宋体" w:cs="Arial"/>
          <w:spacing w:val="10"/>
          <w:sz w:val="24"/>
        </w:rPr>
      </w:pPr>
      <w:r>
        <w:rPr>
          <w:rFonts w:hint="eastAsia" w:ascii="宋体" w:hAnsi="宋体" w:eastAsia="宋体" w:cs="宋体"/>
          <w:spacing w:val="10"/>
          <w:sz w:val="24"/>
        </w:rPr>
        <w:t>⑷</w:t>
      </w:r>
      <w:r>
        <w:rPr>
          <w:rFonts w:ascii="Arial" w:hAnsi="Arial" w:eastAsia="宋体" w:cs="Arial"/>
          <w:spacing w:val="10"/>
          <w:sz w:val="24"/>
        </w:rPr>
        <w:t xml:space="preserve"> 对受损的设施设备进行检修等善后工作，当确定设施设备能正常运行时再恢复生产。</w:t>
      </w:r>
    </w:p>
    <w:p w14:paraId="04667502">
      <w:pPr>
        <w:spacing w:line="500" w:lineRule="exact"/>
        <w:ind w:firstLine="488" w:firstLineChars="199"/>
        <w:jc w:val="left"/>
        <w:rPr>
          <w:rFonts w:ascii="Arial" w:hAnsi="Arial" w:eastAsia="宋体" w:cs="Arial"/>
          <w:spacing w:val="10"/>
          <w:sz w:val="24"/>
        </w:rPr>
      </w:pPr>
      <w:r>
        <w:rPr>
          <w:rFonts w:ascii="Arial" w:hAnsi="Arial" w:eastAsia="宋体" w:cs="Arial"/>
          <w:b/>
          <w:spacing w:val="10"/>
          <w:sz w:val="24"/>
        </w:rPr>
        <w:t>8.预案管理与演练</w:t>
      </w:r>
    </w:p>
    <w:p w14:paraId="69A37CA1">
      <w:pPr>
        <w:spacing w:line="500" w:lineRule="exact"/>
        <w:ind w:firstLine="490" w:firstLineChars="200"/>
        <w:jc w:val="left"/>
        <w:rPr>
          <w:rFonts w:ascii="Arial" w:hAnsi="Arial" w:eastAsia="宋体" w:cs="Arial"/>
          <w:spacing w:val="10"/>
          <w:sz w:val="24"/>
        </w:rPr>
      </w:pPr>
      <w:r>
        <w:rPr>
          <w:rFonts w:ascii="Arial" w:hAnsi="Arial" w:eastAsia="宋体" w:cs="Arial"/>
          <w:spacing w:val="10"/>
          <w:sz w:val="24"/>
        </w:rPr>
        <w:t>为了确保快速、有序和有效的应急反应能力，企业所有人员必须熟悉可能产生的各种紧急事故和应急行动。所有人员要接受安全和应急培训，使他们熟悉警报、疏散路线，安全躲避场所等。此外，应急反应组织的成员要求进行专业培训，并定期进行培训和演习。</w:t>
      </w:r>
    </w:p>
    <w:p w14:paraId="3FF12174">
      <w:pPr>
        <w:numPr>
          <w:ilvl w:val="0"/>
          <w:numId w:val="35"/>
        </w:numPr>
        <w:spacing w:line="500" w:lineRule="exact"/>
        <w:outlineLvl w:val="3"/>
        <w:rPr>
          <w:rFonts w:ascii="Arial" w:hAnsi="Arial" w:eastAsia="宋体" w:cs="Arial"/>
          <w:b/>
          <w:sz w:val="24"/>
          <w:szCs w:val="24"/>
        </w:rPr>
      </w:pPr>
      <w:r>
        <w:rPr>
          <w:rFonts w:ascii="Arial" w:hAnsi="Arial" w:eastAsia="宋体" w:cs="Arial"/>
          <w:b/>
          <w:sz w:val="24"/>
          <w:szCs w:val="24"/>
        </w:rPr>
        <w:t>企业应急预案与区域联动要求</w:t>
      </w:r>
    </w:p>
    <w:p w14:paraId="209D2760">
      <w:pPr>
        <w:spacing w:line="500" w:lineRule="exact"/>
        <w:ind w:firstLine="490" w:firstLineChars="200"/>
        <w:jc w:val="left"/>
        <w:rPr>
          <w:rFonts w:ascii="Arial" w:hAnsi="Arial" w:eastAsia="宋体" w:cs="Arial"/>
          <w:spacing w:val="10"/>
          <w:sz w:val="24"/>
          <w:szCs w:val="24"/>
        </w:rPr>
      </w:pPr>
      <w:r>
        <w:rPr>
          <w:rFonts w:ascii="Arial" w:hAnsi="Arial" w:eastAsia="宋体" w:cs="Arial"/>
          <w:spacing w:val="10"/>
          <w:sz w:val="24"/>
          <w:szCs w:val="24"/>
        </w:rPr>
        <w:t>为防治企业发生多米诺连锁事故，应建立单位自救、企业互救与社会救援相结合的区域联防联动机制，这是事故发生后能够控制事态扩大的有效举措。建立联防联动三级快速响应机制。一旦发生事故，本企业立即处置并通知相邻联防企业，一方面做好自身防范，另一方面做好互相救援工作；相邻联防企业接到互救报警电话，应立即参加互救应急救援；企业首先应判断事故是否可以靠自救和互救及时控制，否则立即上报上级，启动工业区级紧急救援预案。</w:t>
      </w:r>
    </w:p>
    <w:p w14:paraId="47FC453F">
      <w:pPr>
        <w:spacing w:line="500" w:lineRule="exact"/>
        <w:ind w:firstLine="490" w:firstLineChars="200"/>
        <w:jc w:val="left"/>
        <w:rPr>
          <w:rFonts w:ascii="Arial" w:hAnsi="Arial" w:eastAsia="宋体" w:cs="Arial"/>
          <w:spacing w:val="10"/>
          <w:sz w:val="24"/>
          <w:szCs w:val="24"/>
        </w:rPr>
      </w:pPr>
      <w:r>
        <w:rPr>
          <w:rFonts w:ascii="Arial" w:hAnsi="Arial" w:eastAsia="宋体" w:cs="Arial"/>
          <w:spacing w:val="10"/>
          <w:sz w:val="24"/>
          <w:szCs w:val="24"/>
        </w:rPr>
        <w:t>项目应建立突然环境事件应急预案，应急预案应与钦州市应急预案有效衔接，主要包括应急组织机构、人员的衔接，预案分级响应的衔接，应急救援保障的衔接，应急培训计划的衔接，公众教育的衔接，风险防范措施的衔接，形成三级架构应急预案体系。同时，建设单位环境风险防控系统应纳入园区风险防控体系，与地方政府和园区险防控形成联动机制的三级风险防控体系，在日常风险防控工作和突发环境事件应急工作中要与园区紧密联系，在突发环境事件时能及时与园区、地方政府沟通，依托园区的风险防控设施和管理，实现企业与园区环境风险防控设施和管理的有效联动，有效防控环境风险。</w:t>
      </w:r>
    </w:p>
    <w:p w14:paraId="33F964A5">
      <w:pPr>
        <w:keepNext/>
        <w:keepLines/>
        <w:numPr>
          <w:ilvl w:val="0"/>
          <w:numId w:val="29"/>
        </w:numPr>
        <w:spacing w:before="126" w:after="126" w:line="500" w:lineRule="exact"/>
        <w:outlineLvl w:val="2"/>
        <w:rPr>
          <w:rFonts w:ascii="Arial" w:hAnsi="Arial" w:eastAsia="宋体" w:cs="Arial"/>
          <w:b/>
          <w:bCs/>
          <w:sz w:val="24"/>
          <w:szCs w:val="24"/>
        </w:rPr>
      </w:pPr>
      <w:r>
        <w:rPr>
          <w:rFonts w:ascii="Arial" w:hAnsi="Arial" w:eastAsia="宋体" w:cs="Arial"/>
          <w:b/>
          <w:bCs/>
          <w:sz w:val="24"/>
          <w:szCs w:val="24"/>
        </w:rPr>
        <w:t>风险评价结论</w:t>
      </w:r>
    </w:p>
    <w:p w14:paraId="0196D0DB">
      <w:pPr>
        <w:numPr>
          <w:ilvl w:val="0"/>
          <w:numId w:val="36"/>
        </w:numPr>
        <w:spacing w:line="500" w:lineRule="exact"/>
        <w:jc w:val="left"/>
        <w:outlineLvl w:val="3"/>
        <w:rPr>
          <w:rFonts w:ascii="Arial" w:hAnsi="Arial" w:eastAsia="宋体" w:cs="Arial"/>
          <w:b/>
          <w:sz w:val="24"/>
        </w:rPr>
      </w:pPr>
      <w:r>
        <w:rPr>
          <w:rFonts w:ascii="Arial" w:hAnsi="Arial" w:eastAsia="宋体" w:cs="Arial"/>
          <w:b/>
          <w:sz w:val="24"/>
        </w:rPr>
        <w:t>项目风险因素</w:t>
      </w:r>
    </w:p>
    <w:p w14:paraId="11D71CE8">
      <w:pPr>
        <w:spacing w:line="500" w:lineRule="exact"/>
        <w:ind w:firstLine="490" w:firstLineChars="200"/>
        <w:jc w:val="left"/>
        <w:rPr>
          <w:rFonts w:ascii="Arial" w:hAnsi="Arial" w:eastAsia="宋体" w:cs="Arial"/>
          <w:spacing w:val="10"/>
          <w:sz w:val="24"/>
          <w:szCs w:val="24"/>
        </w:rPr>
      </w:pPr>
      <w:r>
        <w:rPr>
          <w:rFonts w:ascii="Arial" w:hAnsi="Arial" w:eastAsia="宋体" w:cs="Arial"/>
          <w:spacing w:val="10"/>
          <w:sz w:val="24"/>
          <w:szCs w:val="24"/>
        </w:rPr>
        <w:t>项目涉及的危险物质包括硫酸钴</w:t>
      </w:r>
      <w:r>
        <w:rPr>
          <w:rFonts w:hint="eastAsia" w:ascii="Arial" w:hAnsi="Arial" w:eastAsia="宋体" w:cs="Arial"/>
          <w:spacing w:val="10"/>
          <w:sz w:val="24"/>
          <w:szCs w:val="24"/>
        </w:rPr>
        <w:t>晶体</w:t>
      </w:r>
      <w:r>
        <w:rPr>
          <w:rFonts w:ascii="Arial" w:hAnsi="Arial" w:eastAsia="宋体" w:cs="Arial"/>
          <w:spacing w:val="10"/>
          <w:sz w:val="24"/>
          <w:szCs w:val="24"/>
        </w:rPr>
        <w:t>、21%氨水、</w:t>
      </w:r>
      <w:r>
        <w:rPr>
          <w:rFonts w:hint="eastAsia" w:ascii="Arial" w:hAnsi="Arial" w:eastAsia="宋体" w:cs="Arial"/>
          <w:spacing w:val="10"/>
          <w:sz w:val="24"/>
          <w:szCs w:val="24"/>
        </w:rPr>
        <w:t>稀硫酸、含钴废水</w:t>
      </w:r>
      <w:r>
        <w:rPr>
          <w:rFonts w:ascii="Arial" w:hAnsi="Arial" w:eastAsia="宋体" w:cs="Arial"/>
          <w:spacing w:val="10"/>
          <w:sz w:val="24"/>
          <w:szCs w:val="24"/>
        </w:rPr>
        <w:t>等。</w:t>
      </w:r>
    </w:p>
    <w:p w14:paraId="047C9E5E">
      <w:pPr>
        <w:spacing w:line="500" w:lineRule="exact"/>
        <w:ind w:firstLine="490" w:firstLineChars="200"/>
        <w:rPr>
          <w:rFonts w:ascii="Arial" w:hAnsi="Arial" w:eastAsia="宋体" w:cs="Arial"/>
          <w:spacing w:val="10"/>
          <w:sz w:val="24"/>
        </w:rPr>
      </w:pPr>
      <w:r>
        <w:rPr>
          <w:rFonts w:hint="eastAsia" w:ascii="Arial" w:hAnsi="Arial" w:eastAsia="宋体" w:cs="Arial"/>
          <w:spacing w:val="10"/>
          <w:sz w:val="24"/>
        </w:rPr>
        <w:t>在风险识别的基础上，</w:t>
      </w:r>
      <w:r>
        <w:rPr>
          <w:rFonts w:ascii="Arial" w:hAnsi="Arial" w:eastAsia="宋体" w:cs="Arial"/>
          <w:spacing w:val="10"/>
          <w:sz w:val="24"/>
        </w:rPr>
        <w:t>通过对项目环境风险类型及影响途径分析，项目危险因素主要考虑</w:t>
      </w:r>
      <w:r>
        <w:rPr>
          <w:rFonts w:hint="eastAsia" w:ascii="Arial" w:hAnsi="Arial" w:eastAsia="宋体" w:cs="Arial"/>
          <w:spacing w:val="10"/>
          <w:sz w:val="24"/>
        </w:rPr>
        <w:t>X19车间氨水罐、洗水外排槽及配酸槽泄漏</w:t>
      </w:r>
      <w:r>
        <w:rPr>
          <w:rFonts w:ascii="Arial" w:hAnsi="Arial" w:eastAsia="宋体" w:cs="Arial"/>
          <w:spacing w:val="10"/>
          <w:sz w:val="24"/>
        </w:rPr>
        <w:t>。</w:t>
      </w:r>
    </w:p>
    <w:p w14:paraId="3BD42FF6">
      <w:pPr>
        <w:numPr>
          <w:ilvl w:val="0"/>
          <w:numId w:val="36"/>
        </w:numPr>
        <w:spacing w:line="500" w:lineRule="exact"/>
        <w:jc w:val="left"/>
        <w:outlineLvl w:val="3"/>
        <w:rPr>
          <w:rFonts w:ascii="Arial" w:hAnsi="Arial" w:eastAsia="宋体" w:cs="Arial"/>
          <w:b/>
          <w:sz w:val="24"/>
        </w:rPr>
      </w:pPr>
      <w:r>
        <w:rPr>
          <w:rFonts w:ascii="Arial" w:hAnsi="Arial" w:eastAsia="宋体" w:cs="Arial"/>
          <w:b/>
          <w:sz w:val="24"/>
        </w:rPr>
        <w:t>环境敏感性及事故影响分析</w:t>
      </w:r>
    </w:p>
    <w:p w14:paraId="5640CE37">
      <w:pPr>
        <w:spacing w:line="500" w:lineRule="exact"/>
        <w:ind w:firstLine="470"/>
        <w:rPr>
          <w:rFonts w:ascii="Arial" w:hAnsi="Arial" w:eastAsia="宋体" w:cs="Arial"/>
          <w:spacing w:val="10"/>
          <w:sz w:val="24"/>
        </w:rPr>
      </w:pPr>
      <w:r>
        <w:rPr>
          <w:rFonts w:ascii="Arial" w:hAnsi="Arial" w:eastAsia="宋体" w:cs="Arial"/>
          <w:spacing w:val="10"/>
          <w:sz w:val="24"/>
          <w:szCs w:val="24"/>
        </w:rPr>
        <w:t>厂区周边500m范围内人口为1700，厂区周边5km范围内人口约2.18万人，大气环境敏感程度为敏感；地表水和地下水环境敏感程度均为较敏感。</w:t>
      </w:r>
    </w:p>
    <w:p w14:paraId="0F33EE0C">
      <w:pPr>
        <w:spacing w:line="500" w:lineRule="exact"/>
        <w:ind w:firstLine="489"/>
        <w:jc w:val="left"/>
        <w:rPr>
          <w:rFonts w:ascii="Arial" w:hAnsi="Arial" w:eastAsia="宋体" w:cs="Arial"/>
          <w:sz w:val="24"/>
        </w:rPr>
      </w:pPr>
      <w:r>
        <w:rPr>
          <w:rFonts w:ascii="Arial" w:hAnsi="Arial" w:eastAsia="宋体" w:cs="Arial"/>
          <w:sz w:val="24"/>
        </w:rPr>
        <w:t>1、大气风险影响</w:t>
      </w:r>
    </w:p>
    <w:p w14:paraId="56400292">
      <w:pPr>
        <w:spacing w:line="500" w:lineRule="exact"/>
        <w:ind w:firstLine="489"/>
        <w:jc w:val="left"/>
        <w:rPr>
          <w:rFonts w:ascii="Arial" w:hAnsi="Arial" w:eastAsia="宋体" w:cs="Arial"/>
          <w:spacing w:val="10"/>
          <w:sz w:val="24"/>
          <w:highlight w:val="yellow"/>
        </w:rPr>
      </w:pPr>
      <w:r>
        <w:rPr>
          <w:rFonts w:ascii="Arial" w:hAnsi="Arial" w:eastAsia="宋体" w:cs="Arial"/>
          <w:spacing w:val="10"/>
          <w:sz w:val="24"/>
        </w:rPr>
        <w:t>根据预测，</w:t>
      </w:r>
      <w:r>
        <w:rPr>
          <w:rFonts w:hint="eastAsia" w:ascii="Arial" w:hAnsi="Arial" w:eastAsia="宋体" w:cs="Arial"/>
          <w:spacing w:val="10"/>
          <w:sz w:val="24"/>
        </w:rPr>
        <w:t>氨水</w:t>
      </w:r>
      <w:r>
        <w:rPr>
          <w:rFonts w:ascii="Arial" w:hAnsi="Arial" w:eastAsia="宋体" w:cs="Arial"/>
          <w:spacing w:val="10"/>
          <w:sz w:val="24"/>
        </w:rPr>
        <w:t>泄漏：</w:t>
      </w:r>
      <w:r>
        <w:rPr>
          <w:rFonts w:ascii="Arial" w:hAnsi="Arial" w:eastAsia="宋体" w:cs="Arial"/>
          <w:spacing w:val="10"/>
          <w:sz w:val="24"/>
          <w:u w:val="single"/>
        </w:rPr>
        <w:t>最不利气象条件下，最远影响距离为</w:t>
      </w:r>
      <w:r>
        <w:rPr>
          <w:rFonts w:hint="eastAsia" w:ascii="Arial" w:hAnsi="Arial" w:eastAsia="宋体" w:cs="Arial"/>
          <w:spacing w:val="10"/>
          <w:sz w:val="24"/>
          <w:u w:val="single"/>
        </w:rPr>
        <w:t>14</w:t>
      </w:r>
      <w:r>
        <w:rPr>
          <w:rFonts w:ascii="Arial" w:hAnsi="Arial" w:eastAsia="宋体" w:cs="Arial"/>
          <w:spacing w:val="10"/>
          <w:sz w:val="24"/>
          <w:u w:val="single"/>
        </w:rPr>
        <w:t>0m，</w:t>
      </w:r>
      <w:r>
        <w:rPr>
          <w:rFonts w:hint="eastAsia" w:ascii="Arial" w:hAnsi="Arial" w:eastAsia="宋体" w:cs="Arial"/>
          <w:spacing w:val="10"/>
          <w:sz w:val="24"/>
          <w:szCs w:val="24"/>
          <w:u w:val="single"/>
        </w:rPr>
        <w:t>各敏感目标</w:t>
      </w:r>
      <w:r>
        <w:rPr>
          <w:rFonts w:hint="eastAsia" w:ascii="Arial" w:hAnsi="Arial" w:eastAsia="宋体" w:cs="Arial"/>
          <w:spacing w:val="10"/>
          <w:sz w:val="24"/>
          <w:u w:val="single"/>
        </w:rPr>
        <w:t>氨</w:t>
      </w:r>
      <w:r>
        <w:rPr>
          <w:rFonts w:ascii="Arial" w:hAnsi="Arial" w:eastAsia="宋体" w:cs="Arial"/>
          <w:spacing w:val="10"/>
          <w:sz w:val="24"/>
          <w:u w:val="single"/>
        </w:rPr>
        <w:t>浓度未超标</w:t>
      </w:r>
      <w:r>
        <w:rPr>
          <w:rFonts w:hint="eastAsia" w:ascii="Arial" w:hAnsi="Arial" w:eastAsia="宋体" w:cs="Arial"/>
          <w:spacing w:val="10"/>
          <w:sz w:val="24"/>
          <w:u w:val="single"/>
        </w:rPr>
        <w:t>，大气伤害概率为0</w:t>
      </w:r>
      <w:r>
        <w:rPr>
          <w:rFonts w:ascii="Arial" w:hAnsi="Arial" w:eastAsia="宋体" w:cs="Arial"/>
          <w:spacing w:val="10"/>
          <w:sz w:val="24"/>
          <w:u w:val="single"/>
        </w:rPr>
        <w:t>；常见气象条件下，最远影响距离为</w:t>
      </w:r>
      <w:r>
        <w:rPr>
          <w:rFonts w:hint="eastAsia" w:ascii="Arial" w:hAnsi="Arial" w:eastAsia="宋体" w:cs="Arial"/>
          <w:spacing w:val="10"/>
          <w:sz w:val="24"/>
          <w:u w:val="single"/>
        </w:rPr>
        <w:t>20</w:t>
      </w:r>
      <w:r>
        <w:rPr>
          <w:rFonts w:ascii="Arial" w:hAnsi="Arial" w:eastAsia="宋体" w:cs="Arial"/>
          <w:spacing w:val="10"/>
          <w:sz w:val="24"/>
          <w:u w:val="single"/>
        </w:rPr>
        <w:t>m，</w:t>
      </w:r>
      <w:r>
        <w:rPr>
          <w:rFonts w:hint="eastAsia" w:ascii="Arial" w:hAnsi="Arial" w:eastAsia="宋体" w:cs="Arial"/>
          <w:spacing w:val="10"/>
          <w:sz w:val="24"/>
          <w:szCs w:val="24"/>
          <w:u w:val="single"/>
        </w:rPr>
        <w:t>各敏感目标</w:t>
      </w:r>
      <w:r>
        <w:rPr>
          <w:rFonts w:hint="eastAsia" w:ascii="Arial" w:hAnsi="Arial" w:eastAsia="宋体" w:cs="Arial"/>
          <w:spacing w:val="10"/>
          <w:sz w:val="24"/>
          <w:u w:val="single"/>
        </w:rPr>
        <w:t>氨</w:t>
      </w:r>
      <w:r>
        <w:rPr>
          <w:rFonts w:ascii="Arial" w:hAnsi="Arial" w:eastAsia="宋体" w:cs="Arial"/>
          <w:spacing w:val="10"/>
          <w:sz w:val="24"/>
          <w:u w:val="single"/>
        </w:rPr>
        <w:t>浓度未超标</w:t>
      </w:r>
      <w:r>
        <w:rPr>
          <w:rFonts w:hint="eastAsia" w:ascii="Arial" w:hAnsi="Arial" w:eastAsia="宋体" w:cs="Arial"/>
          <w:spacing w:val="10"/>
          <w:sz w:val="24"/>
          <w:u w:val="single"/>
        </w:rPr>
        <w:t>，大气伤害概率为0。</w:t>
      </w:r>
    </w:p>
    <w:p w14:paraId="70AF8E6D">
      <w:pPr>
        <w:spacing w:line="500" w:lineRule="exact"/>
        <w:ind w:firstLine="470"/>
        <w:rPr>
          <w:rFonts w:ascii="Arial" w:hAnsi="Arial" w:eastAsia="宋体" w:cs="Arial"/>
          <w:spacing w:val="10"/>
          <w:sz w:val="24"/>
        </w:rPr>
      </w:pPr>
      <w:r>
        <w:rPr>
          <w:rFonts w:ascii="Arial" w:hAnsi="Arial" w:eastAsia="宋体" w:cs="Arial"/>
          <w:spacing w:val="10"/>
          <w:sz w:val="24"/>
        </w:rPr>
        <w:t>2、地表水风险影响</w:t>
      </w:r>
    </w:p>
    <w:p w14:paraId="19F7E150">
      <w:pPr>
        <w:spacing w:line="500" w:lineRule="exact"/>
        <w:ind w:firstLine="470"/>
        <w:rPr>
          <w:rFonts w:ascii="Arial" w:hAnsi="Arial" w:eastAsia="宋体" w:cs="Arial"/>
          <w:spacing w:val="10"/>
          <w:sz w:val="24"/>
          <w:szCs w:val="24"/>
        </w:rPr>
      </w:pPr>
      <w:r>
        <w:rPr>
          <w:rFonts w:hint="eastAsia" w:ascii="Arial" w:hAnsi="Arial" w:eastAsia="宋体" w:cs="Arial"/>
          <w:spacing w:val="10"/>
          <w:sz w:val="24"/>
        </w:rPr>
        <w:t>若配酸槽</w:t>
      </w:r>
      <w:r>
        <w:rPr>
          <w:rFonts w:hint="eastAsia" w:ascii="Arial" w:hAnsi="Arial" w:eastAsia="宋体" w:cs="Arial"/>
          <w:spacing w:val="10"/>
          <w:sz w:val="24"/>
          <w:szCs w:val="24"/>
        </w:rPr>
        <w:t>1t稀硫酸泄漏全部进入雨水管道，会导致海水中硫酸盐浓度增大，但增量有限，影响范围有限，对附近红树林的影响有限，地表水风险影响可接受。</w:t>
      </w:r>
    </w:p>
    <w:p w14:paraId="558B7B53">
      <w:pPr>
        <w:spacing w:line="500" w:lineRule="exact"/>
        <w:ind w:firstLine="470"/>
        <w:rPr>
          <w:rFonts w:ascii="Arial" w:hAnsi="Arial" w:eastAsia="宋体" w:cs="Arial"/>
          <w:spacing w:val="10"/>
          <w:sz w:val="24"/>
          <w:szCs w:val="24"/>
        </w:rPr>
      </w:pPr>
      <w:r>
        <w:rPr>
          <w:rFonts w:ascii="Arial" w:hAnsi="Arial" w:eastAsia="宋体" w:cs="Arial"/>
          <w:spacing w:val="10"/>
          <w:sz w:val="24"/>
          <w:szCs w:val="24"/>
        </w:rPr>
        <w:t>3、地下水风险影响</w:t>
      </w:r>
    </w:p>
    <w:p w14:paraId="63070102">
      <w:pPr>
        <w:spacing w:line="500" w:lineRule="exact"/>
        <w:ind w:firstLine="470"/>
        <w:rPr>
          <w:rFonts w:ascii="Arial" w:hAnsi="Arial" w:eastAsia="宋体" w:cs="Arial"/>
          <w:spacing w:val="10"/>
          <w:sz w:val="24"/>
          <w:szCs w:val="24"/>
          <w:highlight w:val="yellow"/>
        </w:rPr>
      </w:pPr>
      <w:r>
        <w:rPr>
          <w:rFonts w:ascii="Arial" w:hAnsi="Arial" w:eastAsia="宋体" w:cs="Arial"/>
          <w:spacing w:val="10"/>
          <w:sz w:val="24"/>
          <w:szCs w:val="24"/>
        </w:rPr>
        <w:t>泄漏发生后，区域地下水中的</w:t>
      </w:r>
      <w:r>
        <w:rPr>
          <w:rFonts w:hint="eastAsia" w:ascii="Arial" w:hAnsi="Arial" w:eastAsia="宋体" w:cs="Arial"/>
          <w:spacing w:val="10"/>
          <w:sz w:val="24"/>
          <w:szCs w:val="24"/>
        </w:rPr>
        <w:t>钴、耗氧量、氨氮、硫酸盐</w:t>
      </w:r>
      <w:r>
        <w:rPr>
          <w:rFonts w:ascii="Arial" w:hAnsi="Arial" w:eastAsia="宋体" w:cs="Arial"/>
          <w:spacing w:val="10"/>
          <w:sz w:val="24"/>
          <w:szCs w:val="24"/>
        </w:rPr>
        <w:t>浓度逐渐增加，泄漏后100天</w:t>
      </w:r>
      <w:r>
        <w:rPr>
          <w:rFonts w:hint="eastAsia" w:ascii="Arial" w:hAnsi="Arial" w:eastAsia="宋体" w:cs="Arial"/>
          <w:spacing w:val="10"/>
          <w:sz w:val="24"/>
          <w:szCs w:val="24"/>
        </w:rPr>
        <w:t>、365天及1000天</w:t>
      </w:r>
      <w:r>
        <w:rPr>
          <w:rFonts w:ascii="Arial" w:hAnsi="Arial" w:eastAsia="宋体" w:cs="Arial"/>
          <w:spacing w:val="10"/>
          <w:sz w:val="24"/>
          <w:szCs w:val="24"/>
        </w:rPr>
        <w:t>，</w:t>
      </w:r>
      <w:r>
        <w:rPr>
          <w:rFonts w:hint="eastAsia" w:ascii="Arial" w:hAnsi="Arial" w:eastAsia="宋体" w:cs="Arial"/>
          <w:spacing w:val="10"/>
          <w:sz w:val="24"/>
          <w:szCs w:val="24"/>
        </w:rPr>
        <w:t>地下水中钴浓度均低于</w:t>
      </w:r>
      <w:r>
        <w:rPr>
          <w:rFonts w:ascii="Arial" w:hAnsi="Arial" w:eastAsia="宋体" w:cs="Arial"/>
          <w:spacing w:val="10"/>
          <w:sz w:val="24"/>
          <w:szCs w:val="24"/>
        </w:rPr>
        <w:t>《地下水质量标准》（GB/T14848-2017）</w:t>
      </w:r>
      <w:r>
        <w:rPr>
          <w:rFonts w:hint="eastAsia" w:ascii="宋体" w:hAnsi="宋体" w:eastAsia="宋体" w:cs="宋体"/>
          <w:spacing w:val="10"/>
          <w:sz w:val="24"/>
          <w:szCs w:val="24"/>
        </w:rPr>
        <w:t>Ⅲ</w:t>
      </w:r>
      <w:r>
        <w:rPr>
          <w:rFonts w:ascii="Arial" w:hAnsi="Arial" w:eastAsia="宋体" w:cs="Arial"/>
          <w:spacing w:val="10"/>
          <w:sz w:val="24"/>
          <w:szCs w:val="24"/>
        </w:rPr>
        <w:t>类水标准（0.0</w:t>
      </w:r>
      <w:r>
        <w:rPr>
          <w:rFonts w:hint="eastAsia" w:ascii="Arial" w:hAnsi="Arial" w:eastAsia="宋体" w:cs="Arial"/>
          <w:spacing w:val="10"/>
          <w:sz w:val="24"/>
          <w:szCs w:val="24"/>
        </w:rPr>
        <w:t>5</w:t>
      </w:r>
      <w:r>
        <w:rPr>
          <w:rFonts w:ascii="Arial" w:hAnsi="Arial" w:eastAsia="宋体" w:cs="Arial"/>
          <w:spacing w:val="10"/>
          <w:sz w:val="24"/>
          <w:szCs w:val="24"/>
        </w:rPr>
        <w:t>mg/L）</w:t>
      </w:r>
      <w:r>
        <w:rPr>
          <w:rFonts w:hint="eastAsia" w:ascii="Arial" w:hAnsi="Arial" w:eastAsia="宋体" w:cs="Arial"/>
          <w:spacing w:val="10"/>
          <w:sz w:val="24"/>
          <w:szCs w:val="24"/>
        </w:rPr>
        <w:t>，</w:t>
      </w:r>
      <w:r>
        <w:rPr>
          <w:rFonts w:ascii="Arial" w:hAnsi="Arial" w:eastAsia="宋体" w:cs="Arial"/>
          <w:spacing w:val="10"/>
          <w:sz w:val="24"/>
          <w:szCs w:val="24"/>
        </w:rPr>
        <w:t>最大浓度</w:t>
      </w:r>
      <w:r>
        <w:rPr>
          <w:rFonts w:hint="eastAsia" w:ascii="Arial" w:hAnsi="Arial" w:eastAsia="宋体" w:cs="Arial"/>
          <w:spacing w:val="10"/>
          <w:sz w:val="24"/>
          <w:szCs w:val="24"/>
        </w:rPr>
        <w:t>0.0217</w:t>
      </w:r>
      <w:r>
        <w:rPr>
          <w:rFonts w:ascii="Arial" w:hAnsi="Arial" w:eastAsia="宋体" w:cs="Arial"/>
          <w:spacing w:val="10"/>
          <w:sz w:val="24"/>
          <w:szCs w:val="24"/>
        </w:rPr>
        <w:t>mg/L；</w:t>
      </w:r>
      <w:r>
        <w:rPr>
          <w:rFonts w:hint="eastAsia" w:ascii="Arial" w:hAnsi="Arial" w:eastAsia="宋体" w:cs="Arial"/>
          <w:spacing w:val="10"/>
          <w:sz w:val="24"/>
          <w:szCs w:val="24"/>
        </w:rPr>
        <w:t>因耗氧量、氨氮、硫酸盐背景浓度已超标，</w:t>
      </w:r>
      <w:r>
        <w:rPr>
          <w:rFonts w:ascii="Arial" w:hAnsi="Arial" w:eastAsia="宋体" w:cs="Arial"/>
          <w:spacing w:val="10"/>
          <w:sz w:val="24"/>
          <w:szCs w:val="24"/>
        </w:rPr>
        <w:t>泄漏后100天</w:t>
      </w:r>
      <w:r>
        <w:rPr>
          <w:rFonts w:hint="eastAsia" w:ascii="Arial" w:hAnsi="Arial" w:eastAsia="宋体" w:cs="Arial"/>
          <w:spacing w:val="10"/>
          <w:sz w:val="24"/>
          <w:szCs w:val="24"/>
        </w:rPr>
        <w:t>、365天及1000天</w:t>
      </w:r>
      <w:r>
        <w:rPr>
          <w:rFonts w:ascii="Arial" w:hAnsi="Arial" w:eastAsia="宋体" w:cs="Arial"/>
          <w:spacing w:val="10"/>
          <w:sz w:val="24"/>
          <w:szCs w:val="24"/>
        </w:rPr>
        <w:t>，</w:t>
      </w:r>
      <w:r>
        <w:rPr>
          <w:rFonts w:hint="eastAsia" w:ascii="Arial" w:hAnsi="Arial" w:eastAsia="宋体" w:cs="Arial"/>
          <w:spacing w:val="10"/>
          <w:sz w:val="24"/>
          <w:szCs w:val="24"/>
        </w:rPr>
        <w:t>下游地下水中耗氧量、氨氮、硫酸盐浓度均超标，最大浓度分别为</w:t>
      </w:r>
      <w:r>
        <w:rPr>
          <w:rFonts w:hint="eastAsia" w:ascii="Arial" w:hAnsi="Arial" w:eastAsia="宋体" w:cs="Arial"/>
          <w:spacing w:val="10"/>
          <w:sz w:val="24"/>
          <w:szCs w:val="24"/>
          <w:u w:val="single"/>
        </w:rPr>
        <w:t>6.35</w:t>
      </w:r>
      <w:r>
        <w:rPr>
          <w:rFonts w:ascii="Arial" w:hAnsi="Arial" w:eastAsia="宋体" w:cs="Arial"/>
          <w:spacing w:val="10"/>
          <w:sz w:val="24"/>
          <w:szCs w:val="24"/>
          <w:u w:val="single"/>
        </w:rPr>
        <w:t>mg/L</w:t>
      </w:r>
      <w:r>
        <w:rPr>
          <w:rFonts w:hint="eastAsia" w:ascii="Arial" w:hAnsi="Arial" w:eastAsia="宋体" w:cs="Arial"/>
          <w:spacing w:val="10"/>
          <w:sz w:val="24"/>
          <w:szCs w:val="24"/>
        </w:rPr>
        <w:t>、15.45</w:t>
      </w:r>
      <w:r>
        <w:rPr>
          <w:rFonts w:ascii="Arial" w:hAnsi="Arial" w:eastAsia="宋体" w:cs="Arial"/>
          <w:spacing w:val="10"/>
          <w:sz w:val="24"/>
          <w:szCs w:val="24"/>
        </w:rPr>
        <w:t>mg/L</w:t>
      </w:r>
      <w:r>
        <w:rPr>
          <w:rFonts w:hint="eastAsia" w:ascii="Arial" w:hAnsi="Arial" w:eastAsia="宋体" w:cs="Arial"/>
          <w:spacing w:val="10"/>
          <w:sz w:val="24"/>
          <w:szCs w:val="24"/>
        </w:rPr>
        <w:t>、1084.5</w:t>
      </w:r>
      <w:r>
        <w:rPr>
          <w:rFonts w:ascii="Arial" w:hAnsi="Arial" w:eastAsia="宋体" w:cs="Arial"/>
          <w:spacing w:val="10"/>
          <w:sz w:val="24"/>
          <w:szCs w:val="24"/>
        </w:rPr>
        <w:t>mg/L</w:t>
      </w:r>
      <w:r>
        <w:rPr>
          <w:rFonts w:hint="eastAsia" w:ascii="Arial" w:hAnsi="Arial" w:eastAsia="宋体" w:cs="Arial"/>
          <w:spacing w:val="10"/>
          <w:sz w:val="24"/>
          <w:szCs w:val="24"/>
        </w:rPr>
        <w:t>，分别超标</w:t>
      </w:r>
      <w:r>
        <w:rPr>
          <w:rFonts w:hint="eastAsia" w:ascii="Arial" w:hAnsi="Arial" w:eastAsia="宋体" w:cs="Arial"/>
          <w:spacing w:val="10"/>
          <w:sz w:val="24"/>
          <w:szCs w:val="24"/>
          <w:u w:val="single"/>
        </w:rPr>
        <w:t>1.1倍</w:t>
      </w:r>
      <w:r>
        <w:rPr>
          <w:rFonts w:hint="eastAsia" w:ascii="Arial" w:hAnsi="Arial" w:eastAsia="宋体" w:cs="Arial"/>
          <w:spacing w:val="10"/>
          <w:sz w:val="24"/>
          <w:szCs w:val="24"/>
        </w:rPr>
        <w:t>、30倍、3.3倍；泄漏后34天</w:t>
      </w:r>
      <w:r>
        <w:rPr>
          <w:rFonts w:ascii="Arial" w:hAnsi="Arial" w:eastAsia="宋体" w:cs="Arial"/>
          <w:spacing w:val="10"/>
          <w:sz w:val="24"/>
          <w:szCs w:val="24"/>
        </w:rPr>
        <w:t>污染物到达</w:t>
      </w:r>
      <w:r>
        <w:rPr>
          <w:rFonts w:hint="eastAsia" w:ascii="Arial" w:hAnsi="Arial" w:eastAsia="宋体" w:cs="Arial"/>
          <w:spacing w:val="10"/>
          <w:sz w:val="24"/>
          <w:szCs w:val="24"/>
        </w:rPr>
        <w:t>最近的东面</w:t>
      </w:r>
      <w:r>
        <w:rPr>
          <w:rFonts w:ascii="Arial" w:hAnsi="Arial" w:eastAsia="宋体" w:cs="Arial"/>
          <w:spacing w:val="10"/>
          <w:sz w:val="24"/>
          <w:szCs w:val="24"/>
        </w:rPr>
        <w:t>厂界</w:t>
      </w:r>
      <w:r>
        <w:rPr>
          <w:rFonts w:hint="eastAsia" w:ascii="Arial" w:hAnsi="Arial" w:eastAsia="宋体" w:cs="Arial"/>
          <w:spacing w:val="10"/>
          <w:sz w:val="24"/>
          <w:szCs w:val="24"/>
        </w:rPr>
        <w:t>，</w:t>
      </w:r>
      <w:r>
        <w:rPr>
          <w:rFonts w:ascii="Arial" w:hAnsi="Arial" w:eastAsia="宋体" w:cs="Arial"/>
          <w:spacing w:val="10"/>
          <w:sz w:val="24"/>
          <w:szCs w:val="24"/>
        </w:rPr>
        <w:t>1000天污染物未到达排泄边界。</w:t>
      </w:r>
    </w:p>
    <w:p w14:paraId="1EBE8C1C">
      <w:pPr>
        <w:numPr>
          <w:ilvl w:val="0"/>
          <w:numId w:val="36"/>
        </w:numPr>
        <w:spacing w:line="500" w:lineRule="exact"/>
        <w:jc w:val="left"/>
        <w:outlineLvl w:val="3"/>
        <w:rPr>
          <w:rFonts w:ascii="Arial" w:hAnsi="Arial" w:eastAsia="宋体" w:cs="Arial"/>
          <w:b/>
          <w:sz w:val="24"/>
        </w:rPr>
      </w:pPr>
      <w:r>
        <w:rPr>
          <w:rFonts w:ascii="Arial" w:hAnsi="Arial" w:eastAsia="宋体" w:cs="Arial"/>
          <w:b/>
          <w:sz w:val="24"/>
        </w:rPr>
        <w:t>环境风险防范措施和应急预案</w:t>
      </w:r>
    </w:p>
    <w:p w14:paraId="0F11D49C">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项目主要采取的风险防范措施包括：设置DCS控制系统，可燃气体和有毒气体检测报警器，工艺装置的风险防范设施，</w:t>
      </w:r>
      <w:r>
        <w:rPr>
          <w:rFonts w:hint="eastAsia" w:ascii="Arial" w:hAnsi="Arial" w:eastAsia="宋体" w:cs="Arial"/>
          <w:spacing w:val="10"/>
          <w:sz w:val="24"/>
          <w:szCs w:val="24"/>
        </w:rPr>
        <w:t>车间内湿区生产区四周设置地沟及集水坑</w:t>
      </w:r>
      <w:r>
        <w:rPr>
          <w:rFonts w:ascii="Arial" w:hAnsi="Arial" w:eastAsia="宋体" w:cs="Arial"/>
          <w:spacing w:val="10"/>
          <w:sz w:val="24"/>
          <w:szCs w:val="24"/>
        </w:rPr>
        <w:t>、</w:t>
      </w:r>
      <w:r>
        <w:rPr>
          <w:rFonts w:hint="eastAsia" w:ascii="Arial" w:hAnsi="Arial" w:eastAsia="宋体" w:cs="Arial"/>
          <w:spacing w:val="10"/>
          <w:sz w:val="24"/>
          <w:szCs w:val="24"/>
        </w:rPr>
        <w:t>车间外储罐设置围堰</w:t>
      </w:r>
      <w:r>
        <w:rPr>
          <w:rFonts w:ascii="Arial" w:hAnsi="Arial" w:eastAsia="宋体" w:cs="Arial"/>
          <w:spacing w:val="10"/>
          <w:sz w:val="24"/>
          <w:szCs w:val="24"/>
        </w:rPr>
        <w:t>；设置三级防控体系；厂区进行分区防渗；</w:t>
      </w:r>
      <w:r>
        <w:rPr>
          <w:rFonts w:ascii="Arial" w:hAnsi="Arial" w:eastAsia="宋体" w:cs="Arial"/>
          <w:spacing w:val="10"/>
          <w:sz w:val="24"/>
        </w:rPr>
        <w:t>编制企业突发环境事件应急预案，并体现分级响应、区域联动，与园区及地方政府突发环境事件应急预案相衔接，明确分级响应程序</w:t>
      </w:r>
      <w:r>
        <w:rPr>
          <w:rFonts w:ascii="Arial" w:hAnsi="Arial" w:eastAsia="宋体" w:cs="Arial"/>
          <w:spacing w:val="10"/>
          <w:sz w:val="24"/>
          <w:szCs w:val="24"/>
        </w:rPr>
        <w:t>。</w:t>
      </w:r>
    </w:p>
    <w:p w14:paraId="3A160E42">
      <w:pPr>
        <w:numPr>
          <w:ilvl w:val="0"/>
          <w:numId w:val="36"/>
        </w:numPr>
        <w:spacing w:line="500" w:lineRule="exact"/>
        <w:jc w:val="left"/>
        <w:outlineLvl w:val="3"/>
        <w:rPr>
          <w:rFonts w:ascii="Arial" w:hAnsi="Arial" w:eastAsia="宋体" w:cs="Arial"/>
          <w:b/>
          <w:sz w:val="24"/>
        </w:rPr>
      </w:pPr>
      <w:r>
        <w:rPr>
          <w:rFonts w:ascii="Arial" w:hAnsi="Arial" w:eastAsia="宋体" w:cs="Arial"/>
          <w:b/>
          <w:sz w:val="24"/>
        </w:rPr>
        <w:t>风险评价小结及建议</w:t>
      </w:r>
    </w:p>
    <w:p w14:paraId="7B2DCC8B">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1、结论</w:t>
      </w:r>
    </w:p>
    <w:p w14:paraId="270CF725">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在采取报告书提出的风险防范措施并严格制定环境突发事故应急预案，配备应急物资，保证突发环境风险事故时，能按应急预案采取应急措施的情况下，项目环境风险在可控范围内。</w:t>
      </w:r>
    </w:p>
    <w:p w14:paraId="377209A7">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2、建议</w:t>
      </w:r>
    </w:p>
    <w:p w14:paraId="2CE922E3">
      <w:pPr>
        <w:spacing w:line="500" w:lineRule="exact"/>
        <w:ind w:firstLine="476"/>
        <w:rPr>
          <w:rFonts w:ascii="Arial" w:hAnsi="Arial" w:eastAsia="宋体" w:cs="Arial"/>
          <w:spacing w:val="10"/>
          <w:sz w:val="24"/>
          <w:szCs w:val="24"/>
        </w:rPr>
      </w:pPr>
      <w:r>
        <w:rPr>
          <w:rFonts w:hint="eastAsia" w:ascii="宋体" w:hAnsi="宋体" w:eastAsia="宋体" w:cs="宋体"/>
          <w:spacing w:val="10"/>
          <w:sz w:val="24"/>
          <w:szCs w:val="24"/>
        </w:rPr>
        <w:t>⑴</w:t>
      </w:r>
      <w:r>
        <w:rPr>
          <w:rFonts w:ascii="Arial" w:hAnsi="Arial" w:eastAsia="宋体" w:cs="Arial"/>
          <w:spacing w:val="10"/>
          <w:sz w:val="24"/>
          <w:szCs w:val="24"/>
        </w:rPr>
        <w:t xml:space="preserve"> 按照“企业自救、属地为主、分级响应、区域联动”的原则，将项目纳入企业突发环境事故应急预案中，并实现与地方政府或相关管理部门突发环境事故应急预案的有效衔接。</w:t>
      </w:r>
    </w:p>
    <w:p w14:paraId="06EC226E">
      <w:pPr>
        <w:spacing w:line="500" w:lineRule="exact"/>
        <w:ind w:firstLine="476"/>
        <w:rPr>
          <w:rFonts w:ascii="Arial" w:hAnsi="Arial" w:eastAsia="宋体" w:cs="Arial"/>
          <w:spacing w:val="10"/>
          <w:sz w:val="24"/>
          <w:szCs w:val="24"/>
        </w:rPr>
      </w:pPr>
      <w:r>
        <w:rPr>
          <w:rFonts w:hint="eastAsia" w:ascii="宋体" w:hAnsi="宋体" w:eastAsia="宋体" w:cs="宋体"/>
          <w:spacing w:val="10"/>
          <w:sz w:val="24"/>
          <w:szCs w:val="24"/>
        </w:rPr>
        <w:t>⑵</w:t>
      </w:r>
      <w:r>
        <w:rPr>
          <w:rFonts w:ascii="Arial" w:hAnsi="Arial" w:eastAsia="宋体" w:cs="Arial"/>
          <w:spacing w:val="10"/>
          <w:sz w:val="24"/>
          <w:szCs w:val="24"/>
        </w:rPr>
        <w:t xml:space="preserve"> 建设单位安全环保部等工作人员对公司各级领导和员工进行相应的各级《环境风险事故应急预案》进行</w:t>
      </w:r>
      <w:bookmarkStart w:id="715" w:name="_GoBack"/>
      <w:bookmarkEnd w:id="715"/>
      <w:r>
        <w:rPr>
          <w:rFonts w:hint="eastAsia" w:ascii="Arial" w:hAnsi="Arial" w:eastAsia="宋体" w:cs="Arial"/>
          <w:spacing w:val="10"/>
          <w:sz w:val="24"/>
          <w:szCs w:val="24"/>
          <w:lang w:eastAsia="zh-CN"/>
        </w:rPr>
        <w:t>宣传</w:t>
      </w:r>
      <w:r>
        <w:rPr>
          <w:rFonts w:ascii="Arial" w:hAnsi="Arial" w:eastAsia="宋体" w:cs="Arial"/>
          <w:spacing w:val="10"/>
          <w:sz w:val="24"/>
          <w:szCs w:val="24"/>
        </w:rPr>
        <w:t>和培训，并定期组织演练。</w:t>
      </w:r>
    </w:p>
    <w:p w14:paraId="2BF17FC6">
      <w:pPr>
        <w:spacing w:line="500" w:lineRule="exact"/>
        <w:ind w:firstLine="476"/>
        <w:rPr>
          <w:rFonts w:ascii="Arial" w:hAnsi="Arial" w:eastAsia="宋体" w:cs="Arial"/>
          <w:spacing w:val="10"/>
          <w:sz w:val="24"/>
          <w:szCs w:val="24"/>
        </w:rPr>
      </w:pPr>
      <w:r>
        <w:rPr>
          <w:rFonts w:hint="eastAsia" w:ascii="宋体" w:hAnsi="宋体" w:eastAsia="宋体" w:cs="宋体"/>
          <w:spacing w:val="10"/>
          <w:sz w:val="24"/>
          <w:szCs w:val="24"/>
        </w:rPr>
        <w:t>⑶</w:t>
      </w:r>
      <w:r>
        <w:rPr>
          <w:rFonts w:ascii="Arial" w:hAnsi="Arial" w:eastAsia="宋体" w:cs="Arial"/>
          <w:spacing w:val="10"/>
          <w:sz w:val="24"/>
          <w:szCs w:val="24"/>
        </w:rPr>
        <w:t xml:space="preserve"> 在后续的设计、建设和运行过程中，严格按照国家、行业和地方的法律法规和相关标准、规范的要求，健全、完善、落实和保持公司风险源的安全控制措施和设施。</w:t>
      </w:r>
    </w:p>
    <w:p w14:paraId="6ABF900A">
      <w:pPr>
        <w:pStyle w:val="474"/>
        <w:spacing w:line="500" w:lineRule="exact"/>
        <w:ind w:firstLine="489"/>
        <w:rPr>
          <w:rFonts w:ascii="Arial" w:hAnsi="Arial" w:cs="Arial"/>
          <w:spacing w:val="10"/>
        </w:rPr>
      </w:pPr>
    </w:p>
    <w:p w14:paraId="5205C9EA">
      <w:pPr>
        <w:pStyle w:val="474"/>
        <w:spacing w:line="500" w:lineRule="exact"/>
        <w:ind w:firstLine="489"/>
        <w:rPr>
          <w:rFonts w:ascii="Arial" w:hAnsi="Arial" w:cs="Arial"/>
          <w:spacing w:val="10"/>
        </w:rPr>
      </w:pPr>
    </w:p>
    <w:p w14:paraId="432000A2">
      <w:pPr>
        <w:pStyle w:val="3"/>
        <w:numPr>
          <w:ilvl w:val="0"/>
          <w:numId w:val="1"/>
        </w:numPr>
        <w:tabs>
          <w:tab w:val="left" w:pos="1931"/>
          <w:tab w:val="clear" w:pos="3065"/>
        </w:tabs>
        <w:ind w:left="1276"/>
        <w:rPr>
          <w:rFonts w:ascii="Arial" w:hAnsi="Arial" w:cs="Arial"/>
          <w:spacing w:val="10"/>
        </w:rPr>
      </w:pPr>
      <w:bookmarkStart w:id="344" w:name="_Toc104677321"/>
      <w:bookmarkStart w:id="345" w:name="_Toc1742963"/>
      <w:bookmarkStart w:id="346" w:name="_Toc341856705"/>
      <w:bookmarkStart w:id="347" w:name="_Toc185950231"/>
      <w:r>
        <w:rPr>
          <w:rFonts w:ascii="Arial" w:hAnsi="Arial" w:cs="Arial"/>
          <w:spacing w:val="10"/>
        </w:rPr>
        <w:t>环境保护措施及其可行性论证</w:t>
      </w:r>
      <w:bookmarkEnd w:id="344"/>
      <w:bookmarkEnd w:id="345"/>
      <w:bookmarkEnd w:id="346"/>
      <w:bookmarkEnd w:id="347"/>
    </w:p>
    <w:p w14:paraId="3DC50C89">
      <w:pPr>
        <w:pStyle w:val="5"/>
        <w:spacing w:line="500" w:lineRule="exact"/>
        <w:ind w:firstLine="490" w:firstLineChars="200"/>
      </w:pPr>
      <w:r>
        <w:t>根据国家和地方相关环保法律、法规的规定，建设项目必须遵守国家有关环境保护管理的要求，污染物排放不得超过国家或地方规定的强制性污染物排放标准。</w:t>
      </w:r>
    </w:p>
    <w:p w14:paraId="4B7EBAC3">
      <w:pPr>
        <w:pStyle w:val="5"/>
        <w:spacing w:line="500" w:lineRule="exact"/>
        <w:ind w:firstLine="490" w:firstLineChars="200"/>
      </w:pPr>
      <w:r>
        <w:t>本章将针对工程分析提出的污染源及其拟采用的环保措施的可行性进行分析评述，并提出相应的对策与建议。</w:t>
      </w:r>
    </w:p>
    <w:p w14:paraId="57CFA042">
      <w:pPr>
        <w:pStyle w:val="4"/>
        <w:numPr>
          <w:ilvl w:val="1"/>
          <w:numId w:val="11"/>
        </w:numPr>
        <w:tabs>
          <w:tab w:val="left" w:pos="3217"/>
        </w:tabs>
        <w:spacing w:before="214" w:beforeLines="50" w:after="214" w:afterLines="50" w:line="500" w:lineRule="exact"/>
        <w:ind w:left="567"/>
        <w:rPr>
          <w:rFonts w:ascii="Arial" w:eastAsia="宋体" w:cs="Arial"/>
          <w:b/>
        </w:rPr>
      </w:pPr>
      <w:bookmarkStart w:id="348" w:name="_Toc312743966"/>
      <w:bookmarkStart w:id="349" w:name="_Toc372829540"/>
      <w:bookmarkStart w:id="350" w:name="_Toc421712628"/>
      <w:bookmarkStart w:id="351" w:name="_Toc333494269"/>
      <w:bookmarkStart w:id="352" w:name="_Toc1742964"/>
      <w:bookmarkStart w:id="353" w:name="_Toc104677322"/>
      <w:bookmarkStart w:id="354" w:name="_Toc185950232"/>
      <w:r>
        <w:rPr>
          <w:rFonts w:ascii="Arial" w:eastAsia="宋体" w:cs="Arial"/>
          <w:b/>
        </w:rPr>
        <w:t>施工期污染防治</w:t>
      </w:r>
      <w:bookmarkEnd w:id="348"/>
      <w:r>
        <w:rPr>
          <w:rFonts w:ascii="Arial" w:eastAsia="宋体" w:cs="Arial"/>
          <w:b/>
        </w:rPr>
        <w:t>对策</w:t>
      </w:r>
      <w:bookmarkEnd w:id="349"/>
      <w:bookmarkEnd w:id="350"/>
      <w:bookmarkEnd w:id="351"/>
      <w:bookmarkEnd w:id="352"/>
      <w:bookmarkEnd w:id="353"/>
      <w:bookmarkEnd w:id="354"/>
    </w:p>
    <w:p w14:paraId="5343E083">
      <w:pPr>
        <w:pStyle w:val="5"/>
        <w:spacing w:line="500" w:lineRule="exact"/>
        <w:ind w:firstLine="490" w:firstLineChars="200"/>
      </w:pPr>
      <w:r>
        <w:t>施工期主要污染物为施工扬尘、施工机械设备废气、施工废水、施工噪声、建筑垃圾等。本项目已变更完成，根据现场勘查，施工废气、施工废水带来的污染对周边环境影响较小，建筑垃圾等均已妥善处置。</w:t>
      </w:r>
    </w:p>
    <w:p w14:paraId="6E08E7F0">
      <w:pPr>
        <w:pStyle w:val="4"/>
        <w:numPr>
          <w:ilvl w:val="1"/>
          <w:numId w:val="11"/>
        </w:numPr>
        <w:tabs>
          <w:tab w:val="left" w:pos="3217"/>
        </w:tabs>
        <w:spacing w:before="214" w:beforeLines="50" w:after="214" w:afterLines="50" w:line="500" w:lineRule="exact"/>
        <w:ind w:left="567"/>
        <w:rPr>
          <w:rFonts w:ascii="Arial" w:eastAsia="宋体" w:cs="Arial"/>
          <w:b/>
        </w:rPr>
      </w:pPr>
      <w:bookmarkStart w:id="355" w:name="_Toc185950233"/>
      <w:bookmarkStart w:id="356" w:name="_Toc104677327"/>
      <w:bookmarkStart w:id="357" w:name="_Toc1742965"/>
      <w:bookmarkStart w:id="358" w:name="_Toc338342851"/>
      <w:bookmarkStart w:id="359" w:name="_Toc341856707"/>
      <w:r>
        <w:rPr>
          <w:rFonts w:ascii="Arial" w:eastAsia="宋体" w:cs="Arial"/>
          <w:b/>
        </w:rPr>
        <w:t>运营期污染防治措施</w:t>
      </w:r>
      <w:bookmarkEnd w:id="355"/>
      <w:bookmarkEnd w:id="356"/>
      <w:bookmarkEnd w:id="357"/>
      <w:bookmarkEnd w:id="358"/>
      <w:bookmarkEnd w:id="359"/>
    </w:p>
    <w:p w14:paraId="66B6E709">
      <w:pPr>
        <w:pStyle w:val="5"/>
        <w:numPr>
          <w:ilvl w:val="1"/>
          <w:numId w:val="37"/>
        </w:numPr>
        <w:spacing w:line="500" w:lineRule="exact"/>
        <w:ind w:left="0" w:firstLine="0"/>
        <w:outlineLvl w:val="2"/>
        <w:rPr>
          <w:b/>
        </w:rPr>
      </w:pPr>
      <w:bookmarkStart w:id="360" w:name="_Toc88674805"/>
      <w:bookmarkStart w:id="361" w:name="_Toc104677328"/>
      <w:bookmarkStart w:id="362" w:name="_Toc87124283"/>
      <w:bookmarkStart w:id="363" w:name="_Toc57715643"/>
      <w:bookmarkStart w:id="364" w:name="_Toc67921896"/>
      <w:bookmarkStart w:id="365" w:name="_Toc58596483"/>
      <w:r>
        <w:rPr>
          <w:b/>
        </w:rPr>
        <w:t>大气污染防治措施</w:t>
      </w:r>
      <w:bookmarkEnd w:id="360"/>
      <w:bookmarkEnd w:id="361"/>
      <w:bookmarkEnd w:id="362"/>
    </w:p>
    <w:p w14:paraId="11CA200F">
      <w:pPr>
        <w:numPr>
          <w:ilvl w:val="4"/>
          <w:numId w:val="38"/>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项目变更后废气治理措施汇总表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6"/>
        <w:gridCol w:w="914"/>
        <w:gridCol w:w="1417"/>
        <w:gridCol w:w="1701"/>
        <w:gridCol w:w="2059"/>
        <w:gridCol w:w="1156"/>
      </w:tblGrid>
      <w:tr w14:paraId="7CBAA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1" w:type="pct"/>
            <w:vAlign w:val="center"/>
          </w:tcPr>
          <w:p w14:paraId="123CA67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污染源</w:t>
            </w:r>
          </w:p>
        </w:tc>
        <w:tc>
          <w:tcPr>
            <w:tcW w:w="508" w:type="pct"/>
            <w:vAlign w:val="center"/>
          </w:tcPr>
          <w:p w14:paraId="3BCB9E0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排气筒编号</w:t>
            </w:r>
          </w:p>
        </w:tc>
        <w:tc>
          <w:tcPr>
            <w:tcW w:w="788" w:type="pct"/>
            <w:vAlign w:val="center"/>
          </w:tcPr>
          <w:p w14:paraId="0D79D76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污染因子</w:t>
            </w:r>
          </w:p>
        </w:tc>
        <w:tc>
          <w:tcPr>
            <w:tcW w:w="946" w:type="pct"/>
            <w:vAlign w:val="center"/>
          </w:tcPr>
          <w:p w14:paraId="164A072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处理措施</w:t>
            </w:r>
          </w:p>
        </w:tc>
        <w:tc>
          <w:tcPr>
            <w:tcW w:w="1145" w:type="pct"/>
            <w:vAlign w:val="center"/>
          </w:tcPr>
          <w:p w14:paraId="3101307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排气筒参数</w:t>
            </w:r>
          </w:p>
          <w:p w14:paraId="15AE3D0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（高度/内径/温度）</w:t>
            </w:r>
          </w:p>
        </w:tc>
        <w:tc>
          <w:tcPr>
            <w:tcW w:w="642" w:type="pct"/>
            <w:vAlign w:val="center"/>
          </w:tcPr>
          <w:p w14:paraId="5866D9B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风量m</w:t>
            </w:r>
            <w:r>
              <w:rPr>
                <w:rFonts w:ascii="Arial" w:hAnsi="Arial" w:eastAsia="宋体" w:cs="Arial"/>
                <w:spacing w:val="10"/>
                <w:sz w:val="21"/>
                <w:szCs w:val="21"/>
                <w:vertAlign w:val="superscript"/>
              </w:rPr>
              <w:t>3</w:t>
            </w:r>
            <w:r>
              <w:rPr>
                <w:rFonts w:ascii="Arial" w:hAnsi="Arial" w:eastAsia="宋体" w:cs="Arial"/>
                <w:spacing w:val="10"/>
                <w:sz w:val="21"/>
                <w:szCs w:val="21"/>
              </w:rPr>
              <w:t>/h</w:t>
            </w:r>
          </w:p>
        </w:tc>
      </w:tr>
      <w:tr w14:paraId="26059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1" w:type="pct"/>
            <w:vAlign w:val="center"/>
          </w:tcPr>
          <w:p w14:paraId="20366CB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反应、洗涤废气</w:t>
            </w:r>
          </w:p>
        </w:tc>
        <w:tc>
          <w:tcPr>
            <w:tcW w:w="508" w:type="pct"/>
            <w:vAlign w:val="center"/>
          </w:tcPr>
          <w:p w14:paraId="62F5427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DA145</w:t>
            </w:r>
          </w:p>
        </w:tc>
        <w:tc>
          <w:tcPr>
            <w:tcW w:w="788" w:type="pct"/>
            <w:vAlign w:val="center"/>
          </w:tcPr>
          <w:p w14:paraId="760443A5">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氨气</w:t>
            </w:r>
          </w:p>
        </w:tc>
        <w:tc>
          <w:tcPr>
            <w:tcW w:w="946" w:type="pct"/>
            <w:vAlign w:val="center"/>
          </w:tcPr>
          <w:p w14:paraId="1CA3FE6A">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吸收塔</w:t>
            </w:r>
          </w:p>
        </w:tc>
        <w:tc>
          <w:tcPr>
            <w:tcW w:w="1145" w:type="pct"/>
            <w:vAlign w:val="center"/>
          </w:tcPr>
          <w:p w14:paraId="5A63EA85">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20</w:t>
            </w:r>
            <w:r>
              <w:rPr>
                <w:rFonts w:ascii="Arial" w:hAnsi="Arial" w:eastAsia="宋体" w:cs="Arial"/>
                <w:spacing w:val="10"/>
                <w:sz w:val="21"/>
                <w:szCs w:val="21"/>
              </w:rPr>
              <w:t>/</w:t>
            </w:r>
            <w:r>
              <w:rPr>
                <w:rFonts w:hint="eastAsia" w:ascii="Arial" w:hAnsi="Arial" w:eastAsia="宋体" w:cs="Arial"/>
                <w:spacing w:val="10"/>
                <w:sz w:val="21"/>
                <w:szCs w:val="21"/>
              </w:rPr>
              <w:t>1.1</w:t>
            </w:r>
            <w:r>
              <w:rPr>
                <w:rFonts w:ascii="Arial" w:hAnsi="Arial" w:eastAsia="宋体" w:cs="Arial"/>
                <w:spacing w:val="10"/>
                <w:sz w:val="21"/>
                <w:szCs w:val="21"/>
              </w:rPr>
              <w:t>/25</w:t>
            </w:r>
          </w:p>
        </w:tc>
        <w:tc>
          <w:tcPr>
            <w:tcW w:w="642" w:type="pct"/>
            <w:vAlign w:val="center"/>
          </w:tcPr>
          <w:p w14:paraId="4628CB21">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w:t>
            </w:r>
            <w:r>
              <w:rPr>
                <w:rFonts w:ascii="Arial" w:hAnsi="Arial" w:eastAsia="宋体" w:cs="Arial"/>
                <w:spacing w:val="10"/>
                <w:sz w:val="21"/>
                <w:szCs w:val="21"/>
              </w:rPr>
              <w:t>000</w:t>
            </w:r>
          </w:p>
        </w:tc>
      </w:tr>
      <w:tr w14:paraId="37118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1" w:type="pct"/>
            <w:vAlign w:val="center"/>
          </w:tcPr>
          <w:p w14:paraId="3E862ED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干燥、破碎、</w:t>
            </w:r>
          </w:p>
          <w:p w14:paraId="3CC0810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包装粉尘</w:t>
            </w:r>
          </w:p>
        </w:tc>
        <w:tc>
          <w:tcPr>
            <w:tcW w:w="508" w:type="pct"/>
            <w:vAlign w:val="center"/>
          </w:tcPr>
          <w:p w14:paraId="4022612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DA146</w:t>
            </w:r>
          </w:p>
        </w:tc>
        <w:tc>
          <w:tcPr>
            <w:tcW w:w="788" w:type="pct"/>
            <w:vAlign w:val="center"/>
          </w:tcPr>
          <w:p w14:paraId="01F5E1D3">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颗粒物、钴及其化合物</w:t>
            </w:r>
          </w:p>
        </w:tc>
        <w:tc>
          <w:tcPr>
            <w:tcW w:w="946" w:type="pct"/>
            <w:vAlign w:val="center"/>
          </w:tcPr>
          <w:p w14:paraId="50E50829">
            <w:pPr>
              <w:adjustRightInd w:val="0"/>
              <w:snapToGrid w:val="0"/>
              <w:jc w:val="center"/>
              <w:rPr>
                <w:rFonts w:ascii="Arial" w:hAnsi="Arial" w:eastAsia="宋体" w:cs="Arial"/>
                <w:sz w:val="21"/>
                <w:szCs w:val="21"/>
              </w:rPr>
            </w:pPr>
            <w:r>
              <w:rPr>
                <w:rFonts w:hint="eastAsia" w:ascii="Arial" w:hAnsi="Arial" w:eastAsia="宋体" w:cs="Arial"/>
                <w:sz w:val="21"/>
                <w:szCs w:val="21"/>
              </w:rPr>
              <w:t>脉冲布袋除尘器</w:t>
            </w:r>
          </w:p>
          <w:p w14:paraId="7D76E2B0">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+吸收塔</w:t>
            </w:r>
          </w:p>
        </w:tc>
        <w:tc>
          <w:tcPr>
            <w:tcW w:w="1145" w:type="pct"/>
            <w:vAlign w:val="center"/>
          </w:tcPr>
          <w:p w14:paraId="54E369F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20/</w:t>
            </w:r>
            <w:r>
              <w:rPr>
                <w:rFonts w:hint="eastAsia" w:ascii="Arial" w:hAnsi="Arial" w:eastAsia="宋体" w:cs="Arial"/>
                <w:spacing w:val="10"/>
                <w:sz w:val="21"/>
                <w:szCs w:val="21"/>
              </w:rPr>
              <w:t>1.1</w:t>
            </w:r>
            <w:r>
              <w:rPr>
                <w:rFonts w:ascii="Arial" w:hAnsi="Arial" w:eastAsia="宋体" w:cs="Arial"/>
                <w:spacing w:val="10"/>
                <w:sz w:val="21"/>
                <w:szCs w:val="21"/>
              </w:rPr>
              <w:t>/</w:t>
            </w:r>
            <w:r>
              <w:rPr>
                <w:rFonts w:hint="eastAsia" w:ascii="Arial" w:hAnsi="Arial" w:eastAsia="宋体" w:cs="Arial"/>
                <w:spacing w:val="10"/>
                <w:sz w:val="21"/>
                <w:szCs w:val="21"/>
              </w:rPr>
              <w:t>60</w:t>
            </w:r>
          </w:p>
        </w:tc>
        <w:tc>
          <w:tcPr>
            <w:tcW w:w="642" w:type="pct"/>
            <w:vAlign w:val="center"/>
          </w:tcPr>
          <w:p w14:paraId="3364A4C3">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470</w:t>
            </w:r>
            <w:r>
              <w:rPr>
                <w:rFonts w:ascii="Arial" w:hAnsi="Arial" w:eastAsia="宋体" w:cs="Arial"/>
                <w:spacing w:val="10"/>
                <w:sz w:val="21"/>
                <w:szCs w:val="21"/>
              </w:rPr>
              <w:t>00</w:t>
            </w:r>
          </w:p>
        </w:tc>
      </w:tr>
    </w:tbl>
    <w:p w14:paraId="37997C66">
      <w:pPr>
        <w:pStyle w:val="5"/>
        <w:numPr>
          <w:ilvl w:val="0"/>
          <w:numId w:val="39"/>
        </w:numPr>
        <w:spacing w:line="500" w:lineRule="exact"/>
        <w:outlineLvl w:val="3"/>
        <w:rPr>
          <w:b/>
        </w:rPr>
      </w:pPr>
      <w:r>
        <w:rPr>
          <w:b/>
        </w:rPr>
        <w:t>废气治理措施可行性分析</w:t>
      </w:r>
    </w:p>
    <w:p w14:paraId="16461A97">
      <w:pPr>
        <w:pStyle w:val="5"/>
        <w:spacing w:line="500" w:lineRule="exact"/>
        <w:ind w:firstLine="490" w:firstLineChars="200"/>
      </w:pPr>
      <w:r>
        <w:rPr>
          <w:rFonts w:hint="eastAsia"/>
        </w:rPr>
        <w:t>1、</w:t>
      </w:r>
      <w:r>
        <w:t>反应、洗涤废气</w:t>
      </w:r>
    </w:p>
    <w:p w14:paraId="1A76DBEA">
      <w:pPr>
        <w:pStyle w:val="5"/>
        <w:spacing w:line="500" w:lineRule="exact"/>
        <w:ind w:firstLine="490" w:firstLineChars="200"/>
      </w:pPr>
      <w:r>
        <w:rPr>
          <w:rFonts w:hint="eastAsia"/>
        </w:rPr>
        <w:t>合成反应废气、压滤废气一同经吸收塔处理，经1根20m高排气筒（DA145）排放。</w:t>
      </w:r>
    </w:p>
    <w:p w14:paraId="5CDF574E">
      <w:pPr>
        <w:pStyle w:val="5"/>
      </w:pPr>
      <w:r>
        <w:t>吸收塔工作流程为：废气由引风机引入吸收塔，与喷淋液进行气液两相充分接触吸收。废气经过净化后，再经除雾板脱水除雾后从吸收塔上端排气管排入大气。吸收液在塔底经水泵增压后在塔顶喷淋而下，最后回流至塔底循环使用。</w:t>
      </w:r>
    </w:p>
    <w:p w14:paraId="7F25271F">
      <w:pPr>
        <w:pStyle w:val="5"/>
      </w:pPr>
      <w:r>
        <w:t>吸收塔的性能特点：</w:t>
      </w:r>
    </w:p>
    <w:p w14:paraId="4F5ABDA8">
      <w:pPr>
        <w:pStyle w:val="5"/>
      </w:pPr>
      <w:r>
        <w:rPr>
          <w:rFonts w:hint="eastAsia"/>
        </w:rPr>
        <w:t>（1）</w:t>
      </w:r>
      <w:r>
        <w:t>适用范围广：适用于生产过程中排放的有机废气、氨、硫酸、盐酸、氢氟酸等尾气及二氧化硫、氮氧化物等酸性气体。</w:t>
      </w:r>
    </w:p>
    <w:p w14:paraId="672AB75C">
      <w:pPr>
        <w:pStyle w:val="5"/>
      </w:pPr>
      <w:r>
        <w:rPr>
          <w:rFonts w:hint="eastAsia"/>
        </w:rPr>
        <w:t>（2）</w:t>
      </w:r>
      <w:r>
        <w:t>净化效率高：喷淋比表面积大，对</w:t>
      </w:r>
      <w:r>
        <w:rPr>
          <w:rFonts w:hint="eastAsia"/>
        </w:rPr>
        <w:t>氨气</w:t>
      </w:r>
      <w:r>
        <w:t>净化效率可达93%~97%。</w:t>
      </w:r>
    </w:p>
    <w:p w14:paraId="6CC942C0">
      <w:pPr>
        <w:pStyle w:val="5"/>
      </w:pPr>
      <w:r>
        <w:rPr>
          <w:rFonts w:hint="eastAsia"/>
        </w:rPr>
        <w:t>（3）</w:t>
      </w:r>
      <w:r>
        <w:t>吸收塔设备占地面积小：净化塔采用PP、FRP等材料，将塔体、吸收液槽、循环泵、吸收液管道系统组成一套完整的工业废气处理设备，结构紧凑，便与现场安装及操作管理，占地面积小。</w:t>
      </w:r>
    </w:p>
    <w:p w14:paraId="0012A309">
      <w:pPr>
        <w:pStyle w:val="5"/>
        <w:spacing w:line="500" w:lineRule="exact"/>
        <w:ind w:firstLine="490" w:firstLineChars="200"/>
      </w:pPr>
      <w:r>
        <w:rPr>
          <w:rFonts w:hint="eastAsia"/>
          <w:bCs/>
        </w:rPr>
        <w:t>厂区氨水储罐呼吸废气经吸收塔处理后排放，氨气处理方式与本项目</w:t>
      </w:r>
      <w:r>
        <w:t>反应、洗涤废气处理方式相同</w:t>
      </w:r>
      <w:r>
        <w:rPr>
          <w:rFonts w:hint="eastAsia"/>
        </w:rPr>
        <w:t>。</w:t>
      </w:r>
      <w:r>
        <w:rPr>
          <w:rFonts w:hint="eastAsia"/>
          <w:bCs/>
        </w:rPr>
        <w:t>根据《广西中伟新能源科技有限公司北部湾产业基地三元项目（一期一阶段）竣工环境保护验收报告》中对项目氨水罐区排气筒的监测数据（详见表5-2），吸收塔处理氨气效率为97%；本次评价保守考虑吸收塔处理效率按90%计。</w:t>
      </w:r>
    </w:p>
    <w:p w14:paraId="6605374E">
      <w:pPr>
        <w:numPr>
          <w:ilvl w:val="4"/>
          <w:numId w:val="38"/>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氨水储罐呼吸废气验收监测结果</w:t>
      </w:r>
    </w:p>
    <w:tbl>
      <w:tblPr>
        <w:tblStyle w:val="8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85"/>
        <w:gridCol w:w="1025"/>
        <w:gridCol w:w="1025"/>
        <w:gridCol w:w="969"/>
        <w:gridCol w:w="962"/>
        <w:gridCol w:w="960"/>
        <w:gridCol w:w="959"/>
        <w:gridCol w:w="957"/>
        <w:gridCol w:w="951"/>
      </w:tblGrid>
      <w:tr w14:paraId="1A30ED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9" w:type="pct"/>
            <w:vMerge w:val="restart"/>
            <w:tcBorders>
              <w:right w:val="single" w:color="auto" w:sz="4" w:space="0"/>
            </w:tcBorders>
            <w:vAlign w:val="center"/>
          </w:tcPr>
          <w:p w14:paraId="71279D86">
            <w:pPr>
              <w:snapToGrid w:val="0"/>
              <w:spacing w:line="240" w:lineRule="exact"/>
              <w:jc w:val="center"/>
              <w:rPr>
                <w:rFonts w:ascii="Arial" w:hAnsi="Arial" w:eastAsia="宋体" w:cs="Arial"/>
                <w:sz w:val="21"/>
                <w:szCs w:val="21"/>
              </w:rPr>
            </w:pPr>
            <w:r>
              <w:rPr>
                <w:rFonts w:ascii="Arial" w:hAnsi="Arial" w:eastAsia="宋体" w:cs="Arial"/>
                <w:sz w:val="21"/>
                <w:szCs w:val="21"/>
              </w:rPr>
              <w:t>项目</w:t>
            </w:r>
          </w:p>
        </w:tc>
        <w:tc>
          <w:tcPr>
            <w:tcW w:w="4341" w:type="pct"/>
            <w:gridSpan w:val="8"/>
            <w:tcBorders>
              <w:left w:val="single" w:color="auto" w:sz="4" w:space="0"/>
              <w:right w:val="single" w:color="auto" w:sz="4" w:space="0"/>
            </w:tcBorders>
            <w:vAlign w:val="center"/>
          </w:tcPr>
          <w:p w14:paraId="17D324A1">
            <w:pPr>
              <w:snapToGrid w:val="0"/>
              <w:spacing w:line="240" w:lineRule="exact"/>
              <w:jc w:val="center"/>
              <w:rPr>
                <w:rFonts w:ascii="Arial" w:hAnsi="Arial" w:eastAsia="宋体" w:cs="Arial"/>
                <w:sz w:val="21"/>
                <w:szCs w:val="21"/>
              </w:rPr>
            </w:pPr>
            <w:r>
              <w:rPr>
                <w:rFonts w:ascii="Arial" w:hAnsi="Arial" w:eastAsia="宋体" w:cs="Arial"/>
                <w:sz w:val="21"/>
                <w:szCs w:val="21"/>
              </w:rPr>
              <w:t>监测结果</w:t>
            </w:r>
          </w:p>
        </w:tc>
      </w:tr>
      <w:tr w14:paraId="21F0F4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9" w:type="pct"/>
            <w:vMerge w:val="continue"/>
            <w:tcBorders>
              <w:right w:val="single" w:color="auto" w:sz="4" w:space="0"/>
            </w:tcBorders>
            <w:vAlign w:val="center"/>
          </w:tcPr>
          <w:p w14:paraId="6208F759">
            <w:pPr>
              <w:snapToGrid w:val="0"/>
              <w:spacing w:line="240" w:lineRule="exact"/>
              <w:jc w:val="center"/>
              <w:rPr>
                <w:rFonts w:ascii="Arial" w:hAnsi="Arial" w:eastAsia="宋体" w:cs="Arial"/>
                <w:sz w:val="21"/>
                <w:szCs w:val="21"/>
              </w:rPr>
            </w:pPr>
          </w:p>
        </w:tc>
        <w:tc>
          <w:tcPr>
            <w:tcW w:w="2213" w:type="pct"/>
            <w:gridSpan w:val="4"/>
            <w:tcBorders>
              <w:left w:val="single" w:color="auto" w:sz="4" w:space="0"/>
              <w:right w:val="single" w:color="auto" w:sz="4" w:space="0"/>
            </w:tcBorders>
            <w:vAlign w:val="center"/>
          </w:tcPr>
          <w:p w14:paraId="0D05FD28">
            <w:pPr>
              <w:snapToGrid w:val="0"/>
              <w:spacing w:line="240" w:lineRule="exact"/>
              <w:jc w:val="center"/>
              <w:rPr>
                <w:rFonts w:ascii="Arial" w:hAnsi="Arial" w:eastAsia="宋体" w:cs="Arial"/>
                <w:sz w:val="21"/>
                <w:szCs w:val="21"/>
              </w:rPr>
            </w:pPr>
            <w:r>
              <w:rPr>
                <w:rFonts w:ascii="Arial" w:hAnsi="Arial" w:eastAsia="宋体" w:cs="Arial"/>
                <w:sz w:val="21"/>
                <w:szCs w:val="21"/>
              </w:rPr>
              <w:t>吸收塔处理前</w:t>
            </w:r>
          </w:p>
        </w:tc>
        <w:tc>
          <w:tcPr>
            <w:tcW w:w="2127" w:type="pct"/>
            <w:gridSpan w:val="4"/>
            <w:tcBorders>
              <w:left w:val="single" w:color="auto" w:sz="4" w:space="0"/>
              <w:right w:val="single" w:color="auto" w:sz="4" w:space="0"/>
            </w:tcBorders>
            <w:vAlign w:val="center"/>
          </w:tcPr>
          <w:p w14:paraId="39CDA99E">
            <w:pPr>
              <w:snapToGrid w:val="0"/>
              <w:spacing w:line="240" w:lineRule="exact"/>
              <w:jc w:val="center"/>
              <w:rPr>
                <w:rFonts w:ascii="Arial" w:hAnsi="Arial" w:eastAsia="宋体" w:cs="Arial"/>
                <w:sz w:val="21"/>
                <w:szCs w:val="21"/>
              </w:rPr>
            </w:pPr>
            <w:r>
              <w:rPr>
                <w:rFonts w:ascii="Arial" w:hAnsi="Arial" w:eastAsia="宋体" w:cs="Arial"/>
                <w:sz w:val="21"/>
                <w:szCs w:val="21"/>
              </w:rPr>
              <w:t>吸收塔处理后</w:t>
            </w:r>
          </w:p>
        </w:tc>
      </w:tr>
      <w:tr w14:paraId="095951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9" w:type="pct"/>
            <w:vMerge w:val="continue"/>
            <w:tcBorders>
              <w:right w:val="single" w:color="auto" w:sz="4" w:space="0"/>
            </w:tcBorders>
            <w:vAlign w:val="center"/>
          </w:tcPr>
          <w:p w14:paraId="33D46420">
            <w:pPr>
              <w:snapToGrid w:val="0"/>
              <w:spacing w:line="240" w:lineRule="exact"/>
              <w:jc w:val="center"/>
              <w:rPr>
                <w:rFonts w:ascii="Arial" w:hAnsi="Arial" w:eastAsia="宋体" w:cs="Arial"/>
                <w:sz w:val="21"/>
                <w:szCs w:val="21"/>
              </w:rPr>
            </w:pPr>
          </w:p>
        </w:tc>
        <w:tc>
          <w:tcPr>
            <w:tcW w:w="570" w:type="pct"/>
            <w:tcBorders>
              <w:left w:val="single" w:color="auto" w:sz="4" w:space="0"/>
            </w:tcBorders>
            <w:vAlign w:val="center"/>
          </w:tcPr>
          <w:p w14:paraId="7611EA2D">
            <w:pPr>
              <w:snapToGrid w:val="0"/>
              <w:spacing w:line="240" w:lineRule="exact"/>
              <w:jc w:val="center"/>
              <w:rPr>
                <w:rFonts w:ascii="Arial" w:hAnsi="Arial" w:eastAsia="宋体" w:cs="Arial"/>
                <w:sz w:val="21"/>
                <w:szCs w:val="21"/>
              </w:rPr>
            </w:pPr>
            <w:r>
              <w:rPr>
                <w:rFonts w:ascii="Arial" w:hAnsi="Arial" w:eastAsia="宋体" w:cs="Arial"/>
                <w:sz w:val="21"/>
                <w:szCs w:val="21"/>
              </w:rPr>
              <w:t>第一次</w:t>
            </w:r>
          </w:p>
        </w:tc>
        <w:tc>
          <w:tcPr>
            <w:tcW w:w="570" w:type="pct"/>
            <w:tcBorders>
              <w:left w:val="single" w:color="auto" w:sz="4" w:space="0"/>
            </w:tcBorders>
            <w:vAlign w:val="center"/>
          </w:tcPr>
          <w:p w14:paraId="2851B649">
            <w:pPr>
              <w:snapToGrid w:val="0"/>
              <w:spacing w:line="240" w:lineRule="exact"/>
              <w:jc w:val="center"/>
              <w:rPr>
                <w:rFonts w:ascii="Arial" w:hAnsi="Arial" w:eastAsia="宋体" w:cs="Arial"/>
                <w:sz w:val="21"/>
                <w:szCs w:val="21"/>
              </w:rPr>
            </w:pPr>
            <w:r>
              <w:rPr>
                <w:rFonts w:ascii="Arial" w:hAnsi="Arial" w:eastAsia="宋体" w:cs="Arial"/>
                <w:sz w:val="21"/>
                <w:szCs w:val="21"/>
              </w:rPr>
              <w:t>第二次</w:t>
            </w:r>
          </w:p>
        </w:tc>
        <w:tc>
          <w:tcPr>
            <w:tcW w:w="539" w:type="pct"/>
            <w:tcBorders>
              <w:left w:val="single" w:color="auto" w:sz="4" w:space="0"/>
            </w:tcBorders>
            <w:vAlign w:val="center"/>
          </w:tcPr>
          <w:p w14:paraId="61CAE4C3">
            <w:pPr>
              <w:snapToGrid w:val="0"/>
              <w:spacing w:line="240" w:lineRule="exact"/>
              <w:jc w:val="center"/>
              <w:rPr>
                <w:rFonts w:ascii="Arial" w:hAnsi="Arial" w:eastAsia="宋体" w:cs="Arial"/>
                <w:sz w:val="21"/>
                <w:szCs w:val="21"/>
              </w:rPr>
            </w:pPr>
            <w:r>
              <w:rPr>
                <w:rFonts w:ascii="Arial" w:hAnsi="Arial" w:eastAsia="宋体" w:cs="Arial"/>
                <w:sz w:val="21"/>
                <w:szCs w:val="21"/>
              </w:rPr>
              <w:t>第三次</w:t>
            </w:r>
          </w:p>
        </w:tc>
        <w:tc>
          <w:tcPr>
            <w:tcW w:w="535" w:type="pct"/>
            <w:tcBorders>
              <w:left w:val="single" w:color="auto" w:sz="4" w:space="0"/>
            </w:tcBorders>
            <w:vAlign w:val="center"/>
          </w:tcPr>
          <w:p w14:paraId="3FB6E94D">
            <w:pPr>
              <w:snapToGrid w:val="0"/>
              <w:spacing w:line="240" w:lineRule="exact"/>
              <w:jc w:val="center"/>
              <w:rPr>
                <w:rFonts w:ascii="Arial" w:hAnsi="Arial" w:eastAsia="宋体" w:cs="Arial"/>
                <w:sz w:val="21"/>
                <w:szCs w:val="21"/>
              </w:rPr>
            </w:pPr>
            <w:r>
              <w:rPr>
                <w:rFonts w:ascii="Arial" w:hAnsi="Arial" w:eastAsia="宋体" w:cs="Arial"/>
                <w:sz w:val="21"/>
                <w:szCs w:val="21"/>
              </w:rPr>
              <w:t>平均值</w:t>
            </w:r>
          </w:p>
        </w:tc>
        <w:tc>
          <w:tcPr>
            <w:tcW w:w="534" w:type="pct"/>
            <w:tcBorders>
              <w:left w:val="single" w:color="auto" w:sz="4" w:space="0"/>
            </w:tcBorders>
            <w:vAlign w:val="center"/>
          </w:tcPr>
          <w:p w14:paraId="67210E5B">
            <w:pPr>
              <w:snapToGrid w:val="0"/>
              <w:spacing w:line="240" w:lineRule="exact"/>
              <w:jc w:val="center"/>
              <w:rPr>
                <w:rFonts w:ascii="Arial" w:hAnsi="Arial" w:eastAsia="宋体" w:cs="Arial"/>
                <w:sz w:val="21"/>
                <w:szCs w:val="21"/>
              </w:rPr>
            </w:pPr>
            <w:r>
              <w:rPr>
                <w:rFonts w:ascii="Arial" w:hAnsi="Arial" w:eastAsia="宋体" w:cs="Arial"/>
                <w:sz w:val="21"/>
                <w:szCs w:val="21"/>
              </w:rPr>
              <w:t>第一次</w:t>
            </w:r>
          </w:p>
        </w:tc>
        <w:tc>
          <w:tcPr>
            <w:tcW w:w="533" w:type="pct"/>
            <w:tcBorders>
              <w:left w:val="single" w:color="auto" w:sz="4" w:space="0"/>
            </w:tcBorders>
            <w:vAlign w:val="center"/>
          </w:tcPr>
          <w:p w14:paraId="7A309BA9">
            <w:pPr>
              <w:snapToGrid w:val="0"/>
              <w:spacing w:line="240" w:lineRule="exact"/>
              <w:jc w:val="center"/>
              <w:rPr>
                <w:rFonts w:ascii="Arial" w:hAnsi="Arial" w:eastAsia="宋体" w:cs="Arial"/>
                <w:sz w:val="21"/>
                <w:szCs w:val="21"/>
              </w:rPr>
            </w:pPr>
            <w:r>
              <w:rPr>
                <w:rFonts w:ascii="Arial" w:hAnsi="Arial" w:eastAsia="宋体" w:cs="Arial"/>
                <w:sz w:val="21"/>
                <w:szCs w:val="21"/>
              </w:rPr>
              <w:t>第二次</w:t>
            </w:r>
          </w:p>
        </w:tc>
        <w:tc>
          <w:tcPr>
            <w:tcW w:w="532" w:type="pct"/>
            <w:tcBorders>
              <w:left w:val="single" w:color="auto" w:sz="4" w:space="0"/>
            </w:tcBorders>
            <w:vAlign w:val="center"/>
          </w:tcPr>
          <w:p w14:paraId="35D0A419">
            <w:pPr>
              <w:snapToGrid w:val="0"/>
              <w:spacing w:line="240" w:lineRule="exact"/>
              <w:jc w:val="center"/>
              <w:rPr>
                <w:rFonts w:ascii="Arial" w:hAnsi="Arial" w:eastAsia="宋体" w:cs="Arial"/>
                <w:sz w:val="21"/>
                <w:szCs w:val="21"/>
              </w:rPr>
            </w:pPr>
            <w:r>
              <w:rPr>
                <w:rFonts w:ascii="Arial" w:hAnsi="Arial" w:eastAsia="宋体" w:cs="Arial"/>
                <w:sz w:val="21"/>
                <w:szCs w:val="21"/>
              </w:rPr>
              <w:t>第三次</w:t>
            </w:r>
          </w:p>
        </w:tc>
        <w:tc>
          <w:tcPr>
            <w:tcW w:w="528" w:type="pct"/>
            <w:tcBorders>
              <w:left w:val="single" w:color="auto" w:sz="4" w:space="0"/>
            </w:tcBorders>
            <w:vAlign w:val="center"/>
          </w:tcPr>
          <w:p w14:paraId="203416BF">
            <w:pPr>
              <w:snapToGrid w:val="0"/>
              <w:spacing w:line="240" w:lineRule="exact"/>
              <w:jc w:val="center"/>
              <w:rPr>
                <w:rFonts w:ascii="Arial" w:hAnsi="Arial" w:eastAsia="宋体" w:cs="Arial"/>
                <w:sz w:val="21"/>
                <w:szCs w:val="21"/>
              </w:rPr>
            </w:pPr>
            <w:r>
              <w:rPr>
                <w:rFonts w:ascii="Arial" w:hAnsi="Arial" w:eastAsia="宋体" w:cs="Arial"/>
                <w:sz w:val="21"/>
                <w:szCs w:val="21"/>
              </w:rPr>
              <w:t>平均值</w:t>
            </w:r>
          </w:p>
        </w:tc>
      </w:tr>
      <w:tr w14:paraId="3500F0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9" w:type="pct"/>
            <w:tcBorders>
              <w:top w:val="single" w:color="auto" w:sz="4" w:space="0"/>
              <w:bottom w:val="single" w:color="auto" w:sz="4" w:space="0"/>
            </w:tcBorders>
            <w:vAlign w:val="center"/>
          </w:tcPr>
          <w:p w14:paraId="429F9E89">
            <w:pPr>
              <w:snapToGrid w:val="0"/>
              <w:spacing w:line="240" w:lineRule="exact"/>
              <w:jc w:val="center"/>
              <w:rPr>
                <w:rFonts w:ascii="Arial" w:hAnsi="Arial" w:eastAsia="宋体" w:cs="Arial"/>
                <w:bCs/>
                <w:sz w:val="21"/>
                <w:szCs w:val="21"/>
              </w:rPr>
            </w:pPr>
            <w:r>
              <w:rPr>
                <w:rFonts w:ascii="Arial" w:hAnsi="Arial" w:eastAsia="宋体" w:cs="Arial"/>
                <w:bCs/>
                <w:sz w:val="21"/>
                <w:szCs w:val="21"/>
              </w:rPr>
              <w:t>标干烟气</w:t>
            </w:r>
          </w:p>
          <w:p w14:paraId="0091C032">
            <w:pPr>
              <w:snapToGrid w:val="0"/>
              <w:spacing w:line="240" w:lineRule="exact"/>
              <w:jc w:val="center"/>
              <w:rPr>
                <w:rFonts w:ascii="Arial" w:hAnsi="Arial" w:eastAsia="宋体" w:cs="Arial"/>
                <w:bCs/>
                <w:sz w:val="21"/>
                <w:szCs w:val="21"/>
              </w:rPr>
            </w:pPr>
            <w:r>
              <w:rPr>
                <w:rFonts w:ascii="Arial" w:hAnsi="Arial" w:eastAsia="宋体" w:cs="Arial"/>
                <w:bCs/>
                <w:sz w:val="21"/>
                <w:szCs w:val="21"/>
              </w:rPr>
              <w:t>流量m</w:t>
            </w:r>
            <w:r>
              <w:rPr>
                <w:rFonts w:ascii="Arial" w:hAnsi="Arial" w:eastAsia="宋体" w:cs="Arial"/>
                <w:bCs/>
                <w:sz w:val="21"/>
                <w:szCs w:val="21"/>
                <w:vertAlign w:val="superscript"/>
              </w:rPr>
              <w:t>3</w:t>
            </w:r>
            <w:r>
              <w:rPr>
                <w:rFonts w:ascii="Arial" w:hAnsi="Arial" w:eastAsia="宋体" w:cs="Arial"/>
                <w:bCs/>
                <w:sz w:val="21"/>
                <w:szCs w:val="21"/>
              </w:rPr>
              <w:t>/h</w:t>
            </w:r>
          </w:p>
        </w:tc>
        <w:tc>
          <w:tcPr>
            <w:tcW w:w="570" w:type="pct"/>
            <w:tcBorders>
              <w:left w:val="single" w:color="auto" w:sz="4" w:space="0"/>
            </w:tcBorders>
            <w:vAlign w:val="center"/>
          </w:tcPr>
          <w:p w14:paraId="7286EA25">
            <w:pPr>
              <w:spacing w:line="240" w:lineRule="exact"/>
              <w:jc w:val="center"/>
              <w:textAlignment w:val="center"/>
              <w:rPr>
                <w:rFonts w:ascii="Arial" w:hAnsi="Arial" w:eastAsia="宋体" w:cs="Arial"/>
                <w:sz w:val="21"/>
                <w:szCs w:val="21"/>
              </w:rPr>
            </w:pPr>
            <w:r>
              <w:rPr>
                <w:rFonts w:ascii="Arial" w:hAnsi="Arial" w:eastAsia="宋体" w:cs="Arial"/>
                <w:sz w:val="21"/>
                <w:szCs w:val="21"/>
              </w:rPr>
              <w:t>104</w:t>
            </w:r>
          </w:p>
        </w:tc>
        <w:tc>
          <w:tcPr>
            <w:tcW w:w="570" w:type="pct"/>
            <w:tcBorders>
              <w:left w:val="single" w:color="auto" w:sz="4" w:space="0"/>
            </w:tcBorders>
            <w:vAlign w:val="center"/>
          </w:tcPr>
          <w:p w14:paraId="3CD17F2F">
            <w:pPr>
              <w:spacing w:line="240" w:lineRule="exact"/>
              <w:jc w:val="center"/>
              <w:textAlignment w:val="center"/>
              <w:rPr>
                <w:rFonts w:ascii="Arial" w:hAnsi="Arial" w:eastAsia="宋体" w:cs="Arial"/>
                <w:sz w:val="21"/>
                <w:szCs w:val="21"/>
              </w:rPr>
            </w:pPr>
            <w:r>
              <w:rPr>
                <w:rFonts w:ascii="Arial" w:hAnsi="Arial" w:eastAsia="宋体" w:cs="Arial"/>
                <w:sz w:val="21"/>
                <w:szCs w:val="21"/>
              </w:rPr>
              <w:t>104</w:t>
            </w:r>
          </w:p>
        </w:tc>
        <w:tc>
          <w:tcPr>
            <w:tcW w:w="539" w:type="pct"/>
            <w:tcBorders>
              <w:left w:val="single" w:color="auto" w:sz="4" w:space="0"/>
            </w:tcBorders>
            <w:vAlign w:val="center"/>
          </w:tcPr>
          <w:p w14:paraId="4C09091D">
            <w:pPr>
              <w:spacing w:line="240" w:lineRule="exact"/>
              <w:jc w:val="center"/>
              <w:textAlignment w:val="center"/>
              <w:rPr>
                <w:rFonts w:ascii="Arial" w:hAnsi="Arial" w:eastAsia="宋体" w:cs="Arial"/>
                <w:sz w:val="21"/>
                <w:szCs w:val="21"/>
              </w:rPr>
            </w:pPr>
            <w:r>
              <w:rPr>
                <w:rFonts w:ascii="Arial" w:hAnsi="Arial" w:eastAsia="宋体" w:cs="Arial"/>
                <w:sz w:val="21"/>
                <w:szCs w:val="21"/>
              </w:rPr>
              <w:t>147</w:t>
            </w:r>
          </w:p>
        </w:tc>
        <w:tc>
          <w:tcPr>
            <w:tcW w:w="535" w:type="pct"/>
            <w:tcBorders>
              <w:left w:val="single" w:color="auto" w:sz="4" w:space="0"/>
            </w:tcBorders>
            <w:vAlign w:val="center"/>
          </w:tcPr>
          <w:p w14:paraId="11AF6B9D">
            <w:pPr>
              <w:spacing w:line="240" w:lineRule="exact"/>
              <w:jc w:val="center"/>
              <w:textAlignment w:val="center"/>
              <w:rPr>
                <w:rFonts w:ascii="Arial" w:hAnsi="Arial" w:eastAsia="宋体" w:cs="Arial"/>
                <w:sz w:val="21"/>
                <w:szCs w:val="21"/>
              </w:rPr>
            </w:pPr>
            <w:r>
              <w:rPr>
                <w:rFonts w:ascii="Arial" w:hAnsi="Arial" w:eastAsia="宋体" w:cs="Arial"/>
                <w:sz w:val="21"/>
                <w:szCs w:val="21"/>
              </w:rPr>
              <w:t>118</w:t>
            </w:r>
          </w:p>
        </w:tc>
        <w:tc>
          <w:tcPr>
            <w:tcW w:w="534" w:type="pct"/>
            <w:tcBorders>
              <w:left w:val="single" w:color="auto" w:sz="4" w:space="0"/>
            </w:tcBorders>
            <w:vAlign w:val="center"/>
          </w:tcPr>
          <w:p w14:paraId="11C023DB">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104</w:t>
            </w:r>
          </w:p>
        </w:tc>
        <w:tc>
          <w:tcPr>
            <w:tcW w:w="533" w:type="pct"/>
            <w:tcBorders>
              <w:left w:val="single" w:color="auto" w:sz="4" w:space="0"/>
            </w:tcBorders>
            <w:vAlign w:val="center"/>
          </w:tcPr>
          <w:p w14:paraId="132C366B">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104</w:t>
            </w:r>
          </w:p>
        </w:tc>
        <w:tc>
          <w:tcPr>
            <w:tcW w:w="532" w:type="pct"/>
            <w:tcBorders>
              <w:left w:val="single" w:color="auto" w:sz="4" w:space="0"/>
            </w:tcBorders>
            <w:vAlign w:val="center"/>
          </w:tcPr>
          <w:p w14:paraId="223060A5">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104</w:t>
            </w:r>
          </w:p>
        </w:tc>
        <w:tc>
          <w:tcPr>
            <w:tcW w:w="528" w:type="pct"/>
            <w:tcBorders>
              <w:left w:val="single" w:color="auto" w:sz="4" w:space="0"/>
            </w:tcBorders>
            <w:vAlign w:val="center"/>
          </w:tcPr>
          <w:p w14:paraId="34F84F24">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104</w:t>
            </w:r>
          </w:p>
        </w:tc>
      </w:tr>
      <w:tr w14:paraId="557E6F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9" w:type="pct"/>
            <w:tcBorders>
              <w:left w:val="single" w:color="auto" w:sz="4" w:space="0"/>
            </w:tcBorders>
            <w:vAlign w:val="center"/>
          </w:tcPr>
          <w:p w14:paraId="0019D860">
            <w:pPr>
              <w:snapToGrid w:val="0"/>
              <w:spacing w:line="240" w:lineRule="exact"/>
              <w:jc w:val="center"/>
              <w:rPr>
                <w:rFonts w:ascii="Arial" w:hAnsi="Arial" w:eastAsia="宋体" w:cs="Arial"/>
                <w:bCs/>
                <w:sz w:val="21"/>
                <w:szCs w:val="21"/>
              </w:rPr>
            </w:pPr>
            <w:r>
              <w:rPr>
                <w:rFonts w:ascii="Arial" w:hAnsi="Arial" w:eastAsia="宋体" w:cs="Arial"/>
                <w:bCs/>
                <w:sz w:val="21"/>
                <w:szCs w:val="21"/>
              </w:rPr>
              <w:t>流速m/s</w:t>
            </w:r>
          </w:p>
        </w:tc>
        <w:tc>
          <w:tcPr>
            <w:tcW w:w="570" w:type="pct"/>
            <w:tcBorders>
              <w:left w:val="single" w:color="auto" w:sz="4" w:space="0"/>
            </w:tcBorders>
            <w:vAlign w:val="center"/>
          </w:tcPr>
          <w:p w14:paraId="7A8E8B5A">
            <w:pPr>
              <w:spacing w:line="240" w:lineRule="exact"/>
              <w:jc w:val="center"/>
              <w:textAlignment w:val="center"/>
              <w:rPr>
                <w:rFonts w:ascii="Arial" w:hAnsi="Arial" w:eastAsia="宋体" w:cs="Arial"/>
                <w:sz w:val="21"/>
                <w:szCs w:val="21"/>
              </w:rPr>
            </w:pPr>
            <w:r>
              <w:rPr>
                <w:rFonts w:ascii="Arial" w:hAnsi="Arial" w:eastAsia="宋体" w:cs="Arial"/>
                <w:sz w:val="21"/>
                <w:szCs w:val="21"/>
              </w:rPr>
              <w:t>1.10</w:t>
            </w:r>
          </w:p>
        </w:tc>
        <w:tc>
          <w:tcPr>
            <w:tcW w:w="570" w:type="pct"/>
            <w:tcBorders>
              <w:left w:val="single" w:color="auto" w:sz="4" w:space="0"/>
            </w:tcBorders>
            <w:vAlign w:val="center"/>
          </w:tcPr>
          <w:p w14:paraId="4984E98B">
            <w:pPr>
              <w:spacing w:line="240" w:lineRule="exact"/>
              <w:jc w:val="center"/>
              <w:textAlignment w:val="center"/>
              <w:rPr>
                <w:rFonts w:ascii="Arial" w:hAnsi="Arial" w:eastAsia="宋体" w:cs="Arial"/>
                <w:sz w:val="21"/>
                <w:szCs w:val="21"/>
              </w:rPr>
            </w:pPr>
            <w:r>
              <w:rPr>
                <w:rFonts w:ascii="Arial" w:hAnsi="Arial" w:eastAsia="宋体" w:cs="Arial"/>
                <w:sz w:val="21"/>
                <w:szCs w:val="21"/>
              </w:rPr>
              <w:t>1.10</w:t>
            </w:r>
          </w:p>
        </w:tc>
        <w:tc>
          <w:tcPr>
            <w:tcW w:w="539" w:type="pct"/>
            <w:tcBorders>
              <w:left w:val="single" w:color="auto" w:sz="4" w:space="0"/>
            </w:tcBorders>
            <w:vAlign w:val="center"/>
          </w:tcPr>
          <w:p w14:paraId="0B0045B4">
            <w:pPr>
              <w:spacing w:line="240" w:lineRule="exact"/>
              <w:jc w:val="center"/>
              <w:textAlignment w:val="center"/>
              <w:rPr>
                <w:rFonts w:ascii="Arial" w:hAnsi="Arial" w:eastAsia="宋体" w:cs="Arial"/>
                <w:sz w:val="21"/>
                <w:szCs w:val="21"/>
              </w:rPr>
            </w:pPr>
            <w:r>
              <w:rPr>
                <w:rFonts w:ascii="Arial" w:hAnsi="Arial" w:eastAsia="宋体" w:cs="Arial"/>
                <w:sz w:val="21"/>
                <w:szCs w:val="21"/>
              </w:rPr>
              <w:t>1.56</w:t>
            </w:r>
          </w:p>
        </w:tc>
        <w:tc>
          <w:tcPr>
            <w:tcW w:w="535" w:type="pct"/>
            <w:tcBorders>
              <w:left w:val="single" w:color="auto" w:sz="4" w:space="0"/>
            </w:tcBorders>
            <w:vAlign w:val="center"/>
          </w:tcPr>
          <w:p w14:paraId="247EB374">
            <w:pPr>
              <w:spacing w:line="240" w:lineRule="exact"/>
              <w:jc w:val="center"/>
              <w:textAlignment w:val="center"/>
              <w:rPr>
                <w:rFonts w:ascii="Arial" w:hAnsi="Arial" w:eastAsia="宋体" w:cs="Arial"/>
                <w:sz w:val="21"/>
                <w:szCs w:val="21"/>
              </w:rPr>
            </w:pPr>
            <w:r>
              <w:rPr>
                <w:rFonts w:ascii="Arial" w:hAnsi="Arial" w:eastAsia="宋体" w:cs="Arial"/>
                <w:sz w:val="21"/>
                <w:szCs w:val="21"/>
              </w:rPr>
              <w:t>1.25</w:t>
            </w:r>
          </w:p>
        </w:tc>
        <w:tc>
          <w:tcPr>
            <w:tcW w:w="534" w:type="pct"/>
            <w:tcBorders>
              <w:left w:val="single" w:color="auto" w:sz="4" w:space="0"/>
            </w:tcBorders>
            <w:vAlign w:val="center"/>
          </w:tcPr>
          <w:p w14:paraId="2BB7314C">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1.10</w:t>
            </w:r>
          </w:p>
        </w:tc>
        <w:tc>
          <w:tcPr>
            <w:tcW w:w="533" w:type="pct"/>
            <w:tcBorders>
              <w:left w:val="single" w:color="auto" w:sz="4" w:space="0"/>
            </w:tcBorders>
            <w:vAlign w:val="center"/>
          </w:tcPr>
          <w:p w14:paraId="2DEB0761">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1.10</w:t>
            </w:r>
          </w:p>
        </w:tc>
        <w:tc>
          <w:tcPr>
            <w:tcW w:w="532" w:type="pct"/>
            <w:tcBorders>
              <w:left w:val="single" w:color="auto" w:sz="4" w:space="0"/>
            </w:tcBorders>
            <w:vAlign w:val="center"/>
          </w:tcPr>
          <w:p w14:paraId="2C86D4C1">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1.10</w:t>
            </w:r>
          </w:p>
        </w:tc>
        <w:tc>
          <w:tcPr>
            <w:tcW w:w="528" w:type="pct"/>
            <w:tcBorders>
              <w:left w:val="single" w:color="auto" w:sz="4" w:space="0"/>
            </w:tcBorders>
            <w:vAlign w:val="center"/>
          </w:tcPr>
          <w:p w14:paraId="4B9CB2A6">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1.10</w:t>
            </w:r>
          </w:p>
        </w:tc>
      </w:tr>
      <w:tr w14:paraId="610E02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9" w:type="pct"/>
            <w:tcBorders>
              <w:top w:val="single" w:color="auto" w:sz="4" w:space="0"/>
              <w:bottom w:val="single" w:color="auto" w:sz="4" w:space="0"/>
            </w:tcBorders>
            <w:vAlign w:val="center"/>
          </w:tcPr>
          <w:p w14:paraId="6E899D74">
            <w:pPr>
              <w:snapToGrid w:val="0"/>
              <w:spacing w:line="240" w:lineRule="exact"/>
              <w:jc w:val="center"/>
              <w:rPr>
                <w:rFonts w:ascii="Arial" w:hAnsi="Arial" w:eastAsia="宋体" w:cs="Arial"/>
                <w:bCs/>
                <w:sz w:val="21"/>
                <w:szCs w:val="21"/>
              </w:rPr>
            </w:pPr>
            <w:r>
              <w:rPr>
                <w:rFonts w:ascii="Arial" w:hAnsi="Arial" w:eastAsia="宋体" w:cs="Arial"/>
                <w:bCs/>
                <w:sz w:val="21"/>
                <w:szCs w:val="21"/>
              </w:rPr>
              <w:t>烟温</w:t>
            </w:r>
            <w:r>
              <w:rPr>
                <w:rFonts w:hint="eastAsia" w:ascii="宋体" w:hAnsi="宋体" w:eastAsia="宋体" w:cs="宋体"/>
                <w:bCs/>
                <w:sz w:val="21"/>
                <w:szCs w:val="21"/>
              </w:rPr>
              <w:t>℃</w:t>
            </w:r>
          </w:p>
        </w:tc>
        <w:tc>
          <w:tcPr>
            <w:tcW w:w="570" w:type="pct"/>
            <w:tcBorders>
              <w:left w:val="single" w:color="auto" w:sz="4" w:space="0"/>
            </w:tcBorders>
            <w:vAlign w:val="center"/>
          </w:tcPr>
          <w:p w14:paraId="306A5E4F">
            <w:pPr>
              <w:spacing w:line="240" w:lineRule="exact"/>
              <w:jc w:val="center"/>
              <w:rPr>
                <w:rFonts w:ascii="Arial" w:hAnsi="Arial" w:eastAsia="宋体" w:cs="Arial"/>
                <w:sz w:val="21"/>
                <w:szCs w:val="21"/>
              </w:rPr>
            </w:pPr>
            <w:r>
              <w:rPr>
                <w:rFonts w:ascii="Arial" w:hAnsi="Arial" w:eastAsia="宋体" w:cs="Arial"/>
                <w:sz w:val="21"/>
                <w:szCs w:val="21"/>
              </w:rPr>
              <w:t>34</w:t>
            </w:r>
          </w:p>
        </w:tc>
        <w:tc>
          <w:tcPr>
            <w:tcW w:w="570" w:type="pct"/>
            <w:tcBorders>
              <w:left w:val="single" w:color="auto" w:sz="4" w:space="0"/>
            </w:tcBorders>
            <w:vAlign w:val="center"/>
          </w:tcPr>
          <w:p w14:paraId="7BB0B737">
            <w:pPr>
              <w:spacing w:line="240" w:lineRule="exact"/>
              <w:jc w:val="center"/>
              <w:rPr>
                <w:rFonts w:ascii="Arial" w:hAnsi="Arial" w:eastAsia="宋体" w:cs="Arial"/>
                <w:sz w:val="21"/>
                <w:szCs w:val="21"/>
              </w:rPr>
            </w:pPr>
            <w:r>
              <w:rPr>
                <w:rFonts w:ascii="Arial" w:hAnsi="Arial" w:eastAsia="宋体" w:cs="Arial"/>
                <w:sz w:val="21"/>
                <w:szCs w:val="21"/>
              </w:rPr>
              <w:t>34</w:t>
            </w:r>
          </w:p>
        </w:tc>
        <w:tc>
          <w:tcPr>
            <w:tcW w:w="539" w:type="pct"/>
            <w:tcBorders>
              <w:left w:val="single" w:color="auto" w:sz="4" w:space="0"/>
            </w:tcBorders>
            <w:vAlign w:val="center"/>
          </w:tcPr>
          <w:p w14:paraId="4571B3DD">
            <w:pPr>
              <w:spacing w:line="240" w:lineRule="exact"/>
              <w:jc w:val="center"/>
              <w:rPr>
                <w:rFonts w:ascii="Arial" w:hAnsi="Arial" w:eastAsia="宋体" w:cs="Arial"/>
                <w:sz w:val="21"/>
                <w:szCs w:val="21"/>
              </w:rPr>
            </w:pPr>
            <w:r>
              <w:rPr>
                <w:rFonts w:ascii="Arial" w:hAnsi="Arial" w:eastAsia="宋体" w:cs="Arial"/>
                <w:sz w:val="21"/>
                <w:szCs w:val="21"/>
              </w:rPr>
              <w:t>34</w:t>
            </w:r>
          </w:p>
        </w:tc>
        <w:tc>
          <w:tcPr>
            <w:tcW w:w="535" w:type="pct"/>
            <w:tcBorders>
              <w:left w:val="single" w:color="auto" w:sz="4" w:space="0"/>
            </w:tcBorders>
            <w:vAlign w:val="center"/>
          </w:tcPr>
          <w:p w14:paraId="360DFAEE">
            <w:pPr>
              <w:spacing w:line="240" w:lineRule="exact"/>
              <w:jc w:val="center"/>
              <w:rPr>
                <w:rFonts w:ascii="Arial" w:hAnsi="Arial" w:eastAsia="宋体" w:cs="Arial"/>
                <w:sz w:val="21"/>
                <w:szCs w:val="21"/>
              </w:rPr>
            </w:pPr>
            <w:r>
              <w:rPr>
                <w:rFonts w:ascii="Arial" w:hAnsi="Arial" w:eastAsia="宋体" w:cs="Arial"/>
                <w:sz w:val="21"/>
                <w:szCs w:val="21"/>
              </w:rPr>
              <w:t>34</w:t>
            </w:r>
          </w:p>
        </w:tc>
        <w:tc>
          <w:tcPr>
            <w:tcW w:w="534" w:type="pct"/>
            <w:tcBorders>
              <w:left w:val="single" w:color="auto" w:sz="4" w:space="0"/>
            </w:tcBorders>
            <w:vAlign w:val="center"/>
          </w:tcPr>
          <w:p w14:paraId="5160478A">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33</w:t>
            </w:r>
          </w:p>
        </w:tc>
        <w:tc>
          <w:tcPr>
            <w:tcW w:w="533" w:type="pct"/>
            <w:tcBorders>
              <w:left w:val="single" w:color="auto" w:sz="4" w:space="0"/>
            </w:tcBorders>
            <w:vAlign w:val="center"/>
          </w:tcPr>
          <w:p w14:paraId="75A5531E">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33</w:t>
            </w:r>
          </w:p>
        </w:tc>
        <w:tc>
          <w:tcPr>
            <w:tcW w:w="532" w:type="pct"/>
            <w:tcBorders>
              <w:left w:val="single" w:color="auto" w:sz="4" w:space="0"/>
            </w:tcBorders>
            <w:vAlign w:val="center"/>
          </w:tcPr>
          <w:p w14:paraId="6272ABDE">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33</w:t>
            </w:r>
          </w:p>
        </w:tc>
        <w:tc>
          <w:tcPr>
            <w:tcW w:w="528" w:type="pct"/>
            <w:tcBorders>
              <w:left w:val="single" w:color="auto" w:sz="4" w:space="0"/>
            </w:tcBorders>
            <w:vAlign w:val="center"/>
          </w:tcPr>
          <w:p w14:paraId="64385B28">
            <w:pPr>
              <w:spacing w:line="240" w:lineRule="exact"/>
              <w:jc w:val="center"/>
              <w:textAlignment w:val="center"/>
              <w:rPr>
                <w:rFonts w:ascii="Arial" w:hAnsi="Arial" w:eastAsia="宋体" w:cs="Arial"/>
                <w:sz w:val="21"/>
                <w:szCs w:val="21"/>
                <w:lang w:bidi="ar"/>
              </w:rPr>
            </w:pPr>
            <w:r>
              <w:rPr>
                <w:rFonts w:ascii="Arial" w:hAnsi="Arial" w:eastAsia="宋体" w:cs="Arial"/>
                <w:sz w:val="21"/>
                <w:szCs w:val="21"/>
                <w:lang w:bidi="ar"/>
              </w:rPr>
              <w:t>33</w:t>
            </w:r>
          </w:p>
        </w:tc>
      </w:tr>
      <w:tr w14:paraId="38BAE1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9" w:type="pct"/>
            <w:tcBorders>
              <w:right w:val="single" w:color="auto" w:sz="4" w:space="0"/>
            </w:tcBorders>
            <w:vAlign w:val="center"/>
          </w:tcPr>
          <w:p w14:paraId="7190E9B8">
            <w:pPr>
              <w:snapToGrid w:val="0"/>
              <w:spacing w:line="240" w:lineRule="exact"/>
              <w:jc w:val="center"/>
              <w:rPr>
                <w:rFonts w:ascii="Arial" w:hAnsi="Arial" w:eastAsia="宋体" w:cs="Arial"/>
                <w:sz w:val="21"/>
                <w:szCs w:val="21"/>
              </w:rPr>
            </w:pPr>
            <w:r>
              <w:rPr>
                <w:rFonts w:ascii="Arial" w:hAnsi="Arial" w:eastAsia="宋体" w:cs="Arial"/>
                <w:sz w:val="21"/>
                <w:szCs w:val="21"/>
              </w:rPr>
              <w:t>实测浓度</w:t>
            </w:r>
          </w:p>
          <w:p w14:paraId="5F632756">
            <w:pPr>
              <w:snapToGrid w:val="0"/>
              <w:spacing w:line="240" w:lineRule="exact"/>
              <w:jc w:val="center"/>
              <w:rPr>
                <w:rFonts w:ascii="Arial" w:hAnsi="Arial" w:eastAsia="宋体" w:cs="Arial"/>
                <w:sz w:val="21"/>
                <w:szCs w:val="21"/>
              </w:rPr>
            </w:pPr>
            <w:r>
              <w:rPr>
                <w:rFonts w:ascii="Arial" w:hAnsi="Arial" w:eastAsia="宋体" w:cs="Arial"/>
                <w:sz w:val="21"/>
                <w:szCs w:val="21"/>
              </w:rPr>
              <w:t>mg/m</w:t>
            </w:r>
            <w:r>
              <w:rPr>
                <w:rFonts w:ascii="Arial" w:hAnsi="Arial" w:eastAsia="宋体" w:cs="Arial"/>
                <w:sz w:val="21"/>
                <w:szCs w:val="21"/>
                <w:vertAlign w:val="superscript"/>
              </w:rPr>
              <w:t>3</w:t>
            </w:r>
          </w:p>
        </w:tc>
        <w:tc>
          <w:tcPr>
            <w:tcW w:w="570" w:type="pct"/>
            <w:tcBorders>
              <w:left w:val="single" w:color="auto" w:sz="4" w:space="0"/>
            </w:tcBorders>
            <w:vAlign w:val="center"/>
          </w:tcPr>
          <w:p w14:paraId="79E8F2DE">
            <w:pPr>
              <w:spacing w:line="240" w:lineRule="exact"/>
              <w:jc w:val="center"/>
              <w:textAlignment w:val="center"/>
              <w:rPr>
                <w:rFonts w:ascii="Arial" w:hAnsi="Arial" w:eastAsia="宋体" w:cs="Arial"/>
                <w:sz w:val="21"/>
                <w:szCs w:val="21"/>
              </w:rPr>
            </w:pPr>
            <w:r>
              <w:rPr>
                <w:rFonts w:ascii="Arial" w:hAnsi="Arial" w:eastAsia="宋体" w:cs="Arial"/>
                <w:sz w:val="21"/>
                <w:szCs w:val="21"/>
              </w:rPr>
              <w:t>570</w:t>
            </w:r>
          </w:p>
        </w:tc>
        <w:tc>
          <w:tcPr>
            <w:tcW w:w="570" w:type="pct"/>
            <w:tcBorders>
              <w:left w:val="single" w:color="auto" w:sz="4" w:space="0"/>
            </w:tcBorders>
            <w:vAlign w:val="center"/>
          </w:tcPr>
          <w:p w14:paraId="78BA2CAD">
            <w:pPr>
              <w:spacing w:line="240" w:lineRule="exact"/>
              <w:jc w:val="center"/>
              <w:textAlignment w:val="center"/>
              <w:rPr>
                <w:rFonts w:ascii="Arial" w:hAnsi="Arial" w:eastAsia="宋体" w:cs="Arial"/>
                <w:sz w:val="21"/>
                <w:szCs w:val="21"/>
              </w:rPr>
            </w:pPr>
            <w:r>
              <w:rPr>
                <w:rFonts w:ascii="Arial" w:hAnsi="Arial" w:eastAsia="宋体" w:cs="Arial"/>
                <w:sz w:val="21"/>
                <w:szCs w:val="21"/>
              </w:rPr>
              <w:t>563</w:t>
            </w:r>
          </w:p>
        </w:tc>
        <w:tc>
          <w:tcPr>
            <w:tcW w:w="539" w:type="pct"/>
            <w:tcBorders>
              <w:left w:val="single" w:color="auto" w:sz="4" w:space="0"/>
            </w:tcBorders>
            <w:vAlign w:val="center"/>
          </w:tcPr>
          <w:p w14:paraId="1950D6C5">
            <w:pPr>
              <w:spacing w:line="240" w:lineRule="exact"/>
              <w:jc w:val="center"/>
              <w:textAlignment w:val="center"/>
              <w:rPr>
                <w:rFonts w:ascii="Arial" w:hAnsi="Arial" w:eastAsia="宋体" w:cs="Arial"/>
                <w:sz w:val="21"/>
                <w:szCs w:val="21"/>
              </w:rPr>
            </w:pPr>
            <w:r>
              <w:rPr>
                <w:rFonts w:ascii="Arial" w:hAnsi="Arial" w:eastAsia="宋体" w:cs="Arial"/>
                <w:sz w:val="21"/>
                <w:szCs w:val="21"/>
              </w:rPr>
              <w:t>557</w:t>
            </w:r>
          </w:p>
        </w:tc>
        <w:tc>
          <w:tcPr>
            <w:tcW w:w="535" w:type="pct"/>
            <w:tcBorders>
              <w:left w:val="single" w:color="auto" w:sz="4" w:space="0"/>
            </w:tcBorders>
            <w:vAlign w:val="center"/>
          </w:tcPr>
          <w:p w14:paraId="4D4C0906">
            <w:pPr>
              <w:spacing w:line="240" w:lineRule="exact"/>
              <w:jc w:val="center"/>
              <w:textAlignment w:val="center"/>
              <w:rPr>
                <w:rFonts w:ascii="Arial" w:hAnsi="Arial" w:eastAsia="宋体" w:cs="Arial"/>
                <w:sz w:val="21"/>
                <w:szCs w:val="21"/>
              </w:rPr>
            </w:pPr>
            <w:r>
              <w:rPr>
                <w:rFonts w:ascii="Arial" w:hAnsi="Arial" w:eastAsia="宋体" w:cs="Arial"/>
                <w:sz w:val="21"/>
                <w:szCs w:val="21"/>
              </w:rPr>
              <w:t>563</w:t>
            </w:r>
          </w:p>
        </w:tc>
        <w:tc>
          <w:tcPr>
            <w:tcW w:w="534" w:type="pct"/>
            <w:tcBorders>
              <w:left w:val="single" w:color="auto" w:sz="4" w:space="0"/>
            </w:tcBorders>
            <w:vAlign w:val="center"/>
          </w:tcPr>
          <w:p w14:paraId="790313A0">
            <w:pPr>
              <w:spacing w:line="240" w:lineRule="exact"/>
              <w:jc w:val="center"/>
              <w:textAlignment w:val="center"/>
              <w:rPr>
                <w:rFonts w:ascii="Arial" w:hAnsi="Arial" w:eastAsia="宋体" w:cs="Arial"/>
                <w:sz w:val="21"/>
                <w:szCs w:val="21"/>
              </w:rPr>
            </w:pPr>
            <w:r>
              <w:rPr>
                <w:rFonts w:ascii="Arial" w:hAnsi="Arial" w:eastAsia="宋体" w:cs="Arial"/>
                <w:sz w:val="21"/>
                <w:szCs w:val="21"/>
              </w:rPr>
              <w:t>18.1</w:t>
            </w:r>
          </w:p>
        </w:tc>
        <w:tc>
          <w:tcPr>
            <w:tcW w:w="533" w:type="pct"/>
            <w:tcBorders>
              <w:left w:val="single" w:color="auto" w:sz="4" w:space="0"/>
            </w:tcBorders>
            <w:vAlign w:val="center"/>
          </w:tcPr>
          <w:p w14:paraId="0614E946">
            <w:pPr>
              <w:spacing w:line="240" w:lineRule="exact"/>
              <w:jc w:val="center"/>
              <w:textAlignment w:val="center"/>
              <w:rPr>
                <w:rFonts w:ascii="Arial" w:hAnsi="Arial" w:eastAsia="宋体" w:cs="Arial"/>
                <w:sz w:val="21"/>
                <w:szCs w:val="21"/>
              </w:rPr>
            </w:pPr>
            <w:r>
              <w:rPr>
                <w:rFonts w:ascii="Arial" w:hAnsi="Arial" w:eastAsia="宋体" w:cs="Arial"/>
                <w:sz w:val="21"/>
                <w:szCs w:val="21"/>
              </w:rPr>
              <w:t>17.2</w:t>
            </w:r>
          </w:p>
        </w:tc>
        <w:tc>
          <w:tcPr>
            <w:tcW w:w="532" w:type="pct"/>
            <w:tcBorders>
              <w:left w:val="single" w:color="auto" w:sz="4" w:space="0"/>
            </w:tcBorders>
            <w:vAlign w:val="center"/>
          </w:tcPr>
          <w:p w14:paraId="6B45D78D">
            <w:pPr>
              <w:spacing w:line="240" w:lineRule="exact"/>
              <w:jc w:val="center"/>
              <w:textAlignment w:val="center"/>
              <w:rPr>
                <w:rFonts w:ascii="Arial" w:hAnsi="Arial" w:eastAsia="宋体" w:cs="Arial"/>
                <w:sz w:val="21"/>
                <w:szCs w:val="21"/>
              </w:rPr>
            </w:pPr>
            <w:r>
              <w:rPr>
                <w:rFonts w:ascii="Arial" w:hAnsi="Arial" w:eastAsia="宋体" w:cs="Arial"/>
                <w:sz w:val="21"/>
                <w:szCs w:val="21"/>
              </w:rPr>
              <w:t>18.3</w:t>
            </w:r>
          </w:p>
        </w:tc>
        <w:tc>
          <w:tcPr>
            <w:tcW w:w="528" w:type="pct"/>
            <w:tcBorders>
              <w:left w:val="single" w:color="auto" w:sz="4" w:space="0"/>
            </w:tcBorders>
            <w:vAlign w:val="center"/>
          </w:tcPr>
          <w:p w14:paraId="716B341B">
            <w:pPr>
              <w:spacing w:line="240" w:lineRule="exact"/>
              <w:jc w:val="center"/>
              <w:textAlignment w:val="center"/>
              <w:rPr>
                <w:rFonts w:ascii="Arial" w:hAnsi="Arial" w:eastAsia="宋体" w:cs="Arial"/>
                <w:sz w:val="21"/>
                <w:szCs w:val="21"/>
              </w:rPr>
            </w:pPr>
            <w:r>
              <w:rPr>
                <w:rFonts w:ascii="Arial" w:hAnsi="Arial" w:eastAsia="宋体" w:cs="Arial"/>
                <w:sz w:val="21"/>
                <w:szCs w:val="21"/>
              </w:rPr>
              <w:t>17.9</w:t>
            </w:r>
          </w:p>
        </w:tc>
      </w:tr>
      <w:tr w14:paraId="718BF7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9" w:type="pct"/>
            <w:tcBorders>
              <w:right w:val="single" w:color="auto" w:sz="4" w:space="0"/>
            </w:tcBorders>
            <w:vAlign w:val="center"/>
          </w:tcPr>
          <w:p w14:paraId="746E8DAA">
            <w:pPr>
              <w:snapToGrid w:val="0"/>
              <w:spacing w:line="240" w:lineRule="exact"/>
              <w:jc w:val="center"/>
              <w:rPr>
                <w:rFonts w:ascii="Arial" w:hAnsi="Arial" w:eastAsia="宋体" w:cs="Arial"/>
                <w:sz w:val="21"/>
                <w:szCs w:val="21"/>
              </w:rPr>
            </w:pPr>
            <w:r>
              <w:rPr>
                <w:rFonts w:ascii="Arial" w:hAnsi="Arial" w:eastAsia="宋体" w:cs="Arial"/>
                <w:sz w:val="21"/>
                <w:szCs w:val="21"/>
              </w:rPr>
              <w:t>排放速率</w:t>
            </w:r>
          </w:p>
          <w:p w14:paraId="503DAB18">
            <w:pPr>
              <w:snapToGrid w:val="0"/>
              <w:spacing w:line="240" w:lineRule="exact"/>
              <w:jc w:val="center"/>
              <w:rPr>
                <w:rFonts w:ascii="Arial" w:hAnsi="Arial" w:eastAsia="宋体" w:cs="Arial"/>
                <w:sz w:val="21"/>
                <w:szCs w:val="21"/>
              </w:rPr>
            </w:pPr>
            <w:r>
              <w:rPr>
                <w:rFonts w:ascii="Arial" w:hAnsi="Arial" w:eastAsia="宋体" w:cs="Arial"/>
                <w:sz w:val="21"/>
                <w:szCs w:val="21"/>
              </w:rPr>
              <w:t>kg/h</w:t>
            </w:r>
          </w:p>
        </w:tc>
        <w:tc>
          <w:tcPr>
            <w:tcW w:w="570" w:type="pct"/>
            <w:tcBorders>
              <w:left w:val="single" w:color="auto" w:sz="4" w:space="0"/>
            </w:tcBorders>
            <w:vAlign w:val="center"/>
          </w:tcPr>
          <w:p w14:paraId="68D986C4">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0.059</w:t>
            </w:r>
          </w:p>
        </w:tc>
        <w:tc>
          <w:tcPr>
            <w:tcW w:w="570" w:type="pct"/>
            <w:tcBorders>
              <w:left w:val="single" w:color="auto" w:sz="4" w:space="0"/>
            </w:tcBorders>
            <w:vAlign w:val="center"/>
          </w:tcPr>
          <w:p w14:paraId="7C13FF3E">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0.059</w:t>
            </w:r>
          </w:p>
        </w:tc>
        <w:tc>
          <w:tcPr>
            <w:tcW w:w="539" w:type="pct"/>
            <w:tcBorders>
              <w:left w:val="single" w:color="auto" w:sz="4" w:space="0"/>
            </w:tcBorders>
            <w:vAlign w:val="center"/>
          </w:tcPr>
          <w:p w14:paraId="2633D8E6">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0.082</w:t>
            </w:r>
          </w:p>
        </w:tc>
        <w:tc>
          <w:tcPr>
            <w:tcW w:w="535" w:type="pct"/>
            <w:tcBorders>
              <w:left w:val="single" w:color="auto" w:sz="4" w:space="0"/>
            </w:tcBorders>
            <w:vAlign w:val="center"/>
          </w:tcPr>
          <w:p w14:paraId="2E14AE45">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0.067</w:t>
            </w:r>
          </w:p>
        </w:tc>
        <w:tc>
          <w:tcPr>
            <w:tcW w:w="534" w:type="pct"/>
            <w:tcBorders>
              <w:left w:val="single" w:color="auto" w:sz="4" w:space="0"/>
            </w:tcBorders>
            <w:vAlign w:val="center"/>
          </w:tcPr>
          <w:p w14:paraId="6A6E682D">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0.0019</w:t>
            </w:r>
          </w:p>
        </w:tc>
        <w:tc>
          <w:tcPr>
            <w:tcW w:w="533" w:type="pct"/>
            <w:tcBorders>
              <w:left w:val="single" w:color="auto" w:sz="4" w:space="0"/>
            </w:tcBorders>
            <w:vAlign w:val="center"/>
          </w:tcPr>
          <w:p w14:paraId="289F81C2">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0.0018</w:t>
            </w:r>
          </w:p>
        </w:tc>
        <w:tc>
          <w:tcPr>
            <w:tcW w:w="532" w:type="pct"/>
            <w:tcBorders>
              <w:left w:val="single" w:color="auto" w:sz="4" w:space="0"/>
            </w:tcBorders>
            <w:vAlign w:val="center"/>
          </w:tcPr>
          <w:p w14:paraId="0A41A92D">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0.0019</w:t>
            </w:r>
          </w:p>
        </w:tc>
        <w:tc>
          <w:tcPr>
            <w:tcW w:w="528" w:type="pct"/>
            <w:tcBorders>
              <w:left w:val="single" w:color="auto" w:sz="4" w:space="0"/>
            </w:tcBorders>
            <w:vAlign w:val="center"/>
          </w:tcPr>
          <w:p w14:paraId="1403D195">
            <w:pPr>
              <w:spacing w:line="240" w:lineRule="exact"/>
              <w:jc w:val="center"/>
              <w:textAlignment w:val="center"/>
              <w:rPr>
                <w:rFonts w:ascii="Arial" w:hAnsi="Arial" w:eastAsia="宋体" w:cs="Arial"/>
                <w:sz w:val="21"/>
                <w:szCs w:val="21"/>
              </w:rPr>
            </w:pPr>
            <w:r>
              <w:rPr>
                <w:rFonts w:ascii="Arial" w:hAnsi="Arial" w:eastAsia="宋体" w:cs="Arial"/>
                <w:sz w:val="21"/>
                <w:szCs w:val="21"/>
                <w:lang w:bidi="ar"/>
              </w:rPr>
              <w:t>0.0019</w:t>
            </w:r>
          </w:p>
        </w:tc>
      </w:tr>
    </w:tbl>
    <w:p w14:paraId="219E0B33">
      <w:pPr>
        <w:pStyle w:val="5"/>
        <w:spacing w:line="500" w:lineRule="exact"/>
        <w:ind w:firstLine="490" w:firstLineChars="200"/>
        <w:rPr>
          <w:bCs/>
        </w:rPr>
      </w:pPr>
      <w:r>
        <w:rPr>
          <w:rFonts w:hint="eastAsia"/>
          <w:bCs/>
        </w:rPr>
        <w:t>根据工程分析可知，合成反应废气、压滤废气一同经吸收塔处理，DA145排气筒排放的氨气浓度满足《无机化学工业污染物排放标准》（GB31573-2015）要求。因此合成反应废气、压滤废气一同经吸收塔处理排放方式可行。合成反应废气、压滤废气</w:t>
      </w:r>
      <w:r>
        <w:rPr>
          <w:rFonts w:hint="eastAsia"/>
        </w:rPr>
        <w:t>类比本厂三元前驱体生产线反应釜、压滤废气实测数据，反应、压滤废气经吸收塔处理后，氨气浓度在7.57~18.3</w:t>
      </w:r>
      <w:r>
        <w:rPr>
          <w:rFonts w:ascii="Times New Roman" w:hAnsi="Times New Roman" w:eastAsia="仿宋_GB2312" w:cs="Times New Roman"/>
          <w:spacing w:val="0"/>
          <w:sz w:val="21"/>
          <w:szCs w:val="21"/>
        </w:rPr>
        <w:t xml:space="preserve"> </w:t>
      </w:r>
      <w:r>
        <w:t>mg</w:t>
      </w:r>
      <w:r>
        <w:rPr>
          <w:rFonts w:hint="eastAsia"/>
        </w:rPr>
        <w:t>/m</w:t>
      </w:r>
      <w:r>
        <w:rPr>
          <w:rFonts w:hint="eastAsia"/>
          <w:vertAlign w:val="superscript"/>
        </w:rPr>
        <w:t>3</w:t>
      </w:r>
      <w:r>
        <w:rPr>
          <w:rFonts w:hint="eastAsia"/>
        </w:rPr>
        <w:t>之间，</w:t>
      </w:r>
      <w:r>
        <w:rPr>
          <w:rFonts w:hint="eastAsia"/>
          <w:bCs/>
        </w:rPr>
        <w:t>氨气浓度满足《无机化学工业污染物排放标准》（GB31573-2015）要求。</w:t>
      </w:r>
    </w:p>
    <w:p w14:paraId="4720579A">
      <w:pPr>
        <w:pStyle w:val="5"/>
        <w:spacing w:line="500" w:lineRule="exact"/>
        <w:ind w:firstLine="490" w:firstLineChars="200"/>
      </w:pPr>
      <w:r>
        <w:rPr>
          <w:rFonts w:hint="eastAsia"/>
          <w:bCs/>
        </w:rPr>
        <w:t>DA145排气筒高度为20m，</w:t>
      </w:r>
      <w:r>
        <w:rPr>
          <w:bCs/>
        </w:rPr>
        <w:t>排气筒高度满足《无机化学工业污染物排放标准》（GB31573-2015）不低于15m要求。</w:t>
      </w:r>
    </w:p>
    <w:p w14:paraId="3ECD9200">
      <w:pPr>
        <w:pStyle w:val="5"/>
        <w:spacing w:line="500" w:lineRule="exact"/>
        <w:ind w:firstLine="490" w:firstLineChars="200"/>
      </w:pPr>
      <w:r>
        <w:rPr>
          <w:rFonts w:hint="eastAsia"/>
        </w:rPr>
        <w:t>2、烘干粉尘、破碎粉尘、包装粉尘</w:t>
      </w:r>
    </w:p>
    <w:p w14:paraId="6F66E8C8">
      <w:pPr>
        <w:pStyle w:val="5"/>
        <w:spacing w:line="500" w:lineRule="exact"/>
        <w:ind w:firstLine="490" w:firstLineChars="200"/>
      </w:pPr>
      <w:r>
        <w:rPr>
          <w:rFonts w:hint="eastAsia"/>
        </w:rPr>
        <w:t>破碎粉尘、包装粉尘一同经布袋除尘器处理后，与烘干粉尘一同经吸收塔处理后通过DA146排气筒排放。</w:t>
      </w:r>
    </w:p>
    <w:p w14:paraId="59FD383E">
      <w:pPr>
        <w:pStyle w:val="5"/>
        <w:spacing w:line="500" w:lineRule="exact"/>
        <w:ind w:firstLine="490" w:firstLineChars="200"/>
      </w:pPr>
      <w:r>
        <w:rPr>
          <w:rFonts w:hint="eastAsia"/>
          <w:u w:val="single"/>
        </w:rPr>
        <w:t>袋式除尘器属粉尘颗粒物去除可行性技术，参照《污染源源强核算技术指南 锅炉》（</w:t>
      </w:r>
      <w:r>
        <w:rPr>
          <w:u w:val="single"/>
        </w:rPr>
        <w:t>HJ991-2018</w:t>
      </w:r>
      <w:r>
        <w:rPr>
          <w:rFonts w:hint="eastAsia"/>
          <w:u w:val="single"/>
        </w:rPr>
        <w:t>），袋式除尘器去除粉尘颗粒物效率为99%~99.99%，</w:t>
      </w:r>
      <w:r>
        <w:rPr>
          <w:rFonts w:hint="eastAsia"/>
          <w:bCs/>
          <w:u w:val="single"/>
        </w:rPr>
        <w:t>本次评价保守考虑袋式除尘器+湿式除尘器综合处理效率按99%计；</w:t>
      </w:r>
      <w:r>
        <w:rPr>
          <w:bCs/>
          <w:u w:val="single"/>
        </w:rPr>
        <w:t>参照《污染源源强核算技术指南 汽车制造》（HJ1097-2020），湿式除尘处理颗粒物效率为80~98%，烘干粉尘经湿式除尘效率按90%计</w:t>
      </w:r>
      <w:r>
        <w:rPr>
          <w:rFonts w:hint="eastAsia"/>
          <w:bCs/>
          <w:u w:val="single"/>
        </w:rPr>
        <w:t>。</w:t>
      </w:r>
      <w:r>
        <w:rPr>
          <w:rFonts w:hint="eastAsia"/>
          <w:bCs/>
        </w:rPr>
        <w:t>根据工程分析可知，</w:t>
      </w:r>
      <w:r>
        <w:rPr>
          <w:rFonts w:hint="eastAsia"/>
        </w:rPr>
        <w:t>破碎粉尘、包装粉尘一同经布袋除尘器处理后，与烘干粉尘一同经吸收塔处理后通过DA146排气筒排放</w:t>
      </w:r>
      <w:r>
        <w:rPr>
          <w:rFonts w:hint="eastAsia"/>
          <w:bCs/>
        </w:rPr>
        <w:t>，DA146排气筒排放的颗粒物、钴及其化合物浓度满足《无机化学工业污染物排放标准》（GB31573-2015）要求。因此</w:t>
      </w:r>
      <w:r>
        <w:rPr>
          <w:rFonts w:hint="eastAsia"/>
        </w:rPr>
        <w:t>破碎粉尘、包装粉尘一同经布袋除尘器处理后，与烘干粉尘一同经吸收塔处理</w:t>
      </w:r>
      <w:r>
        <w:rPr>
          <w:rFonts w:hint="eastAsia"/>
          <w:bCs/>
        </w:rPr>
        <w:t>方式可行。烘干粉尘类比本厂三元前驱体生产线单体烘箱废气实测数据，烘干粉尘经吸收塔处理后，颗粒物浓度在1.3~2.9mg/m</w:t>
      </w:r>
      <w:r>
        <w:rPr>
          <w:rFonts w:hint="eastAsia"/>
          <w:bCs/>
          <w:vertAlign w:val="superscript"/>
        </w:rPr>
        <w:t>3</w:t>
      </w:r>
      <w:r>
        <w:rPr>
          <w:rFonts w:hint="eastAsia"/>
          <w:bCs/>
        </w:rPr>
        <w:t>之间，颗粒物浓度满足《无机化学工业污染物排放标准》（GB31573-2015）要求；包装粉尘类比本厂三元前驱体生产线包装粉尘实测数据，包装粉尘经吸收塔处理后，颗粒物浓度在1.4~8.7mg/m</w:t>
      </w:r>
      <w:r>
        <w:rPr>
          <w:rFonts w:hint="eastAsia"/>
          <w:bCs/>
          <w:vertAlign w:val="superscript"/>
        </w:rPr>
        <w:t>3</w:t>
      </w:r>
      <w:r>
        <w:rPr>
          <w:rFonts w:hint="eastAsia"/>
          <w:bCs/>
        </w:rPr>
        <w:t>之间，颗粒物浓度满足《无机化学工业污染物排放标准》（GB31573-2015）要求，并且本项目包装粉尘采用布袋除尘器+吸收塔处理，处理效率高于三元前驱体生产线包装粉尘吸收塔。</w:t>
      </w:r>
    </w:p>
    <w:p w14:paraId="62637877">
      <w:pPr>
        <w:pStyle w:val="5"/>
        <w:spacing w:line="500" w:lineRule="exact"/>
        <w:ind w:firstLine="490" w:firstLineChars="200"/>
      </w:pPr>
      <w:r>
        <w:rPr>
          <w:rFonts w:hint="eastAsia"/>
          <w:bCs/>
        </w:rPr>
        <w:t>DA146排气筒高度为20m，</w:t>
      </w:r>
      <w:r>
        <w:rPr>
          <w:bCs/>
        </w:rPr>
        <w:t>排气筒高度满足《无机化学工业污染物排放标准》（GB31573-2015）不低于15m要求。</w:t>
      </w:r>
    </w:p>
    <w:p w14:paraId="1D11542F">
      <w:pPr>
        <w:pStyle w:val="5"/>
        <w:numPr>
          <w:ilvl w:val="0"/>
          <w:numId w:val="39"/>
        </w:numPr>
        <w:spacing w:line="500" w:lineRule="exact"/>
        <w:outlineLvl w:val="3"/>
        <w:rPr>
          <w:b/>
        </w:rPr>
      </w:pPr>
      <w:r>
        <w:rPr>
          <w:b/>
        </w:rPr>
        <w:t>无组织废气治理措施</w:t>
      </w:r>
    </w:p>
    <w:p w14:paraId="3CD75894">
      <w:pPr>
        <w:pStyle w:val="5"/>
        <w:spacing w:line="500" w:lineRule="exact"/>
        <w:ind w:firstLine="490" w:firstLineChars="200"/>
      </w:pPr>
      <w:r>
        <w:t>项目无组织废气防治措施主要有：</w:t>
      </w:r>
    </w:p>
    <w:p w14:paraId="2C6E06E0">
      <w:pPr>
        <w:pStyle w:val="5"/>
        <w:spacing w:line="500" w:lineRule="exact"/>
        <w:ind w:firstLine="490" w:firstLineChars="200"/>
      </w:pPr>
      <w:r>
        <w:rPr>
          <w:rFonts w:hint="eastAsia"/>
        </w:rPr>
        <w:t>1</w:t>
      </w:r>
      <w:r>
        <w:t>、生产工艺</w:t>
      </w:r>
    </w:p>
    <w:p w14:paraId="140A8270">
      <w:pPr>
        <w:pStyle w:val="5"/>
        <w:spacing w:line="500" w:lineRule="exact"/>
        <w:rPr>
          <w:u w:val="single"/>
        </w:rPr>
      </w:pPr>
      <w:r>
        <w:rPr>
          <w:rFonts w:hint="eastAsia"/>
          <w:u w:val="single"/>
        </w:rPr>
        <w:t>X19车间内干区的</w:t>
      </w:r>
      <w:r>
        <w:rPr>
          <w:rFonts w:hint="eastAsia"/>
          <w:bCs/>
          <w:u w:val="single"/>
        </w:rPr>
        <w:t>烘干粉尘、破碎粉尘、包装粉尘</w:t>
      </w:r>
      <w:r>
        <w:rPr>
          <w:rFonts w:hint="eastAsia"/>
          <w:u w:val="single"/>
        </w:rPr>
        <w:t>负压收集处理；破碎间投料口增加集气罩；干区部分单独设置烘干间、破碎间、包装间，生产过程中各生产操作间为密闭状态。</w:t>
      </w:r>
    </w:p>
    <w:p w14:paraId="723ACBF7">
      <w:pPr>
        <w:pStyle w:val="5"/>
        <w:spacing w:line="500" w:lineRule="exact"/>
      </w:pPr>
      <w:r>
        <w:rPr>
          <w:rFonts w:hint="eastAsia"/>
        </w:rPr>
        <w:t>X19车间内湿区的</w:t>
      </w:r>
      <w:r>
        <w:t>各生产设备均在密闭反应釜、槽和管道内，建设单位应加强日常管理，避免生产设备产生跑、冒、滴、漏等现象。</w:t>
      </w:r>
    </w:p>
    <w:p w14:paraId="54AFB54B">
      <w:pPr>
        <w:pStyle w:val="5"/>
        <w:spacing w:line="500" w:lineRule="exact"/>
        <w:ind w:firstLine="490" w:firstLineChars="200"/>
      </w:pPr>
      <w:r>
        <w:rPr>
          <w:rFonts w:hint="eastAsia"/>
        </w:rPr>
        <w:t>2</w:t>
      </w:r>
      <w:r>
        <w:t>、物料储运</w:t>
      </w:r>
    </w:p>
    <w:p w14:paraId="73CAF41B">
      <w:pPr>
        <w:pStyle w:val="5"/>
        <w:spacing w:line="500" w:lineRule="exact"/>
        <w:ind w:firstLine="490" w:firstLineChars="200"/>
      </w:pPr>
      <w:r>
        <w:t>运输车辆采取封闭车厢或苫盖严密，厂区道路硬化、洒水、清洁等措施。</w:t>
      </w:r>
    </w:p>
    <w:p w14:paraId="4C03A54C">
      <w:pPr>
        <w:pStyle w:val="5"/>
        <w:spacing w:line="500" w:lineRule="exact"/>
        <w:ind w:firstLine="490" w:firstLineChars="200"/>
      </w:pPr>
      <w:r>
        <w:t>采取上述措施后，废气可达标排放，经预测拟建项目产生的废气对周边环境影响较小。</w:t>
      </w:r>
    </w:p>
    <w:p w14:paraId="42E92741">
      <w:pPr>
        <w:pStyle w:val="5"/>
        <w:numPr>
          <w:ilvl w:val="1"/>
          <w:numId w:val="37"/>
        </w:numPr>
        <w:spacing w:line="500" w:lineRule="exact"/>
        <w:ind w:left="0" w:firstLine="0"/>
        <w:outlineLvl w:val="2"/>
        <w:rPr>
          <w:b/>
        </w:rPr>
      </w:pPr>
      <w:bookmarkStart w:id="366" w:name="_Toc104677329"/>
      <w:bookmarkStart w:id="367" w:name="_Toc87124284"/>
      <w:bookmarkStart w:id="368" w:name="_Toc88674806"/>
      <w:r>
        <w:rPr>
          <w:b/>
        </w:rPr>
        <w:t>地表水污染防治措施</w:t>
      </w:r>
      <w:bookmarkEnd w:id="363"/>
      <w:bookmarkEnd w:id="364"/>
      <w:bookmarkEnd w:id="365"/>
      <w:bookmarkEnd w:id="366"/>
      <w:bookmarkEnd w:id="367"/>
      <w:bookmarkEnd w:id="368"/>
    </w:p>
    <w:p w14:paraId="0593CFDE">
      <w:pPr>
        <w:pStyle w:val="5"/>
        <w:numPr>
          <w:ilvl w:val="0"/>
          <w:numId w:val="40"/>
        </w:numPr>
        <w:spacing w:line="500" w:lineRule="exact"/>
        <w:outlineLvl w:val="3"/>
        <w:rPr>
          <w:b/>
        </w:rPr>
      </w:pPr>
      <w:r>
        <w:rPr>
          <w:b/>
        </w:rPr>
        <w:t>废水处理方式</w:t>
      </w:r>
    </w:p>
    <w:p w14:paraId="129A36AB">
      <w:pPr>
        <w:pStyle w:val="5"/>
        <w:adjustRightInd w:val="0"/>
        <w:snapToGrid w:val="0"/>
        <w:spacing w:line="500" w:lineRule="exact"/>
        <w:ind w:firstLine="490" w:firstLineChars="200"/>
        <w:rPr>
          <w:szCs w:val="24"/>
        </w:rPr>
      </w:pPr>
      <w:r>
        <w:rPr>
          <w:rFonts w:hint="eastAsia"/>
          <w:szCs w:val="24"/>
        </w:rPr>
        <w:t>1、生产废水</w:t>
      </w:r>
    </w:p>
    <w:p w14:paraId="412FE862">
      <w:pPr>
        <w:pStyle w:val="5"/>
        <w:adjustRightInd w:val="0"/>
        <w:snapToGrid w:val="0"/>
        <w:spacing w:line="500" w:lineRule="exact"/>
        <w:ind w:firstLine="490" w:firstLineChars="200"/>
        <w:rPr>
          <w:szCs w:val="24"/>
        </w:rPr>
      </w:pPr>
      <w:r>
        <w:rPr>
          <w:szCs w:val="24"/>
        </w:rPr>
        <w:t>项目变更后全厂废水处理方式见图5.2-1。</w:t>
      </w:r>
    </w:p>
    <w:p w14:paraId="65F2BC29">
      <w:pPr>
        <w:pStyle w:val="5"/>
        <w:adjustRightInd w:val="0"/>
        <w:snapToGrid w:val="0"/>
        <w:spacing w:line="240" w:lineRule="auto"/>
        <w:ind w:firstLine="0"/>
        <w:rPr>
          <w:szCs w:val="24"/>
          <w:highlight w:val="yellow"/>
        </w:rPr>
      </w:pPr>
      <w:r>
        <w:object>
          <v:shape id="_x0000_i1065" o:spt="75" type="#_x0000_t75" style="height:387pt;width:438pt;" o:ole="t" filled="f" o:preferrelative="t" stroked="f" coordsize="21600,21600">
            <v:path/>
            <v:fill on="f" focussize="0,0"/>
            <v:stroke on="f" joinstyle="miter"/>
            <v:imagedata r:id="rId152" o:title=""/>
            <o:lock v:ext="edit" aspectratio="t"/>
            <w10:wrap type="none"/>
            <w10:anchorlock/>
          </v:shape>
          <o:OLEObject Type="Embed" ProgID="Visio.Drawing.11" ShapeID="_x0000_i1065" DrawAspect="Content" ObjectID="_1468075765" r:id="rId151">
            <o:LockedField>false</o:LockedField>
          </o:OLEObject>
        </w:object>
      </w:r>
    </w:p>
    <w:p w14:paraId="2C295274">
      <w:pPr>
        <w:pStyle w:val="5"/>
        <w:adjustRightInd w:val="0"/>
        <w:snapToGrid w:val="0"/>
        <w:spacing w:line="500" w:lineRule="exact"/>
        <w:ind w:firstLine="0"/>
        <w:jc w:val="center"/>
        <w:rPr>
          <w:b/>
          <w:szCs w:val="24"/>
        </w:rPr>
      </w:pPr>
      <w:r>
        <w:rPr>
          <w:b/>
          <w:szCs w:val="24"/>
        </w:rPr>
        <w:t>图5.2-1  项目变更后全厂废水处理措施图</w:t>
      </w:r>
    </w:p>
    <w:p w14:paraId="484CF2A6">
      <w:pPr>
        <w:pStyle w:val="5"/>
        <w:adjustRightInd w:val="0"/>
        <w:snapToGrid w:val="0"/>
        <w:spacing w:line="500" w:lineRule="exact"/>
        <w:ind w:firstLine="490" w:firstLineChars="200"/>
        <w:rPr>
          <w:szCs w:val="24"/>
        </w:rPr>
      </w:pPr>
      <w:r>
        <w:rPr>
          <w:rFonts w:hint="eastAsia"/>
          <w:u w:val="single"/>
        </w:rPr>
        <w:t>经管道收集后的生产废水和经地沟收集后的车间清洗废水一同经在X19车间经板框压滤、精密过滤器预处理满足《无机化学工业污染物排放标准》（GB31573-2015）车间排放口要求后，</w:t>
      </w:r>
      <w:r>
        <w:rPr>
          <w:rFonts w:hint="eastAsia"/>
        </w:rPr>
        <w:t>通过管道泵入S7污水处理车间，经脱氨、陶瓷膜过滤处理后，通过管道泵入S8、S9污水处理车间，经4#~12#MVR处理，MVR处理后的开路母液通过管道泵入厂区综合污水处理站，经臭氧催化氧化处理后排入废水总排口</w:t>
      </w:r>
      <w:r>
        <w:rPr>
          <w:szCs w:val="24"/>
        </w:rPr>
        <w:t>，近期依托大榄坪污水处理厂排海管道排入A2排污区，远期待大榄坪污水处理厂升级改造完成后排入大榄坪污水处理厂处理。</w:t>
      </w:r>
    </w:p>
    <w:p w14:paraId="4B05A139">
      <w:pPr>
        <w:pStyle w:val="5"/>
        <w:spacing w:line="500" w:lineRule="exact"/>
        <w:ind w:firstLine="490" w:firstLineChars="200"/>
        <w:rPr>
          <w:szCs w:val="24"/>
        </w:rPr>
      </w:pPr>
      <w:r>
        <w:rPr>
          <w:rFonts w:hint="eastAsia"/>
          <w:szCs w:val="24"/>
        </w:rPr>
        <w:t>2</w:t>
      </w:r>
      <w:r>
        <w:rPr>
          <w:szCs w:val="24"/>
        </w:rPr>
        <w:t>、生活污水</w:t>
      </w:r>
    </w:p>
    <w:p w14:paraId="3206D628">
      <w:pPr>
        <w:pStyle w:val="5"/>
        <w:spacing w:line="500" w:lineRule="exact"/>
        <w:ind w:firstLine="490" w:firstLineChars="200"/>
        <w:rPr>
          <w:szCs w:val="24"/>
        </w:rPr>
      </w:pPr>
      <w:r>
        <w:rPr>
          <w:szCs w:val="24"/>
        </w:rPr>
        <w:t>生活污水经地埋式三级化粪池处理后，与现有工程生活污水一同排入园区污水管道，排向大榄坪污水处理厂处理。</w:t>
      </w:r>
    </w:p>
    <w:p w14:paraId="4B529D30">
      <w:pPr>
        <w:pStyle w:val="5"/>
        <w:numPr>
          <w:ilvl w:val="0"/>
          <w:numId w:val="40"/>
        </w:numPr>
        <w:spacing w:line="500" w:lineRule="exact"/>
        <w:outlineLvl w:val="3"/>
        <w:rPr>
          <w:b/>
        </w:rPr>
      </w:pPr>
      <w:r>
        <w:rPr>
          <w:b/>
        </w:rPr>
        <w:t>废水依托可行性分析</w:t>
      </w:r>
    </w:p>
    <w:p w14:paraId="3B65206A">
      <w:pPr>
        <w:pStyle w:val="5"/>
        <w:spacing w:line="500" w:lineRule="exact"/>
        <w:ind w:firstLine="490" w:firstLineChars="200"/>
        <w:rPr>
          <w:szCs w:val="24"/>
        </w:rPr>
      </w:pPr>
      <w:r>
        <w:rPr>
          <w:szCs w:val="24"/>
        </w:rPr>
        <w:t>1、处理规模可行性分析</w:t>
      </w:r>
    </w:p>
    <w:p w14:paraId="31996484">
      <w:pPr>
        <w:pStyle w:val="5"/>
        <w:spacing w:line="500" w:lineRule="exact"/>
        <w:ind w:firstLine="490" w:firstLineChars="200"/>
        <w:rPr>
          <w:szCs w:val="24"/>
        </w:rPr>
      </w:pPr>
      <w:r>
        <w:rPr>
          <w:rFonts w:hint="eastAsia"/>
          <w:szCs w:val="24"/>
        </w:rPr>
        <w:t>（1）MVR污水处理设施</w:t>
      </w:r>
    </w:p>
    <w:p w14:paraId="64B1E5E8">
      <w:pPr>
        <w:pStyle w:val="5"/>
        <w:spacing w:line="500" w:lineRule="exact"/>
        <w:ind w:firstLine="490" w:firstLineChars="200"/>
        <w:rPr>
          <w:szCs w:val="24"/>
        </w:rPr>
      </w:pPr>
      <w:r>
        <w:rPr>
          <w:szCs w:val="24"/>
        </w:rPr>
        <w:t>全厂污水处理车间设置12台60t/dMVR处理高盐废水，其中</w:t>
      </w:r>
      <w:r>
        <w:rPr>
          <w:rFonts w:hint="eastAsia"/>
          <w:szCs w:val="24"/>
        </w:rPr>
        <w:t>S5车间设置1台（1#），</w:t>
      </w:r>
      <w:r>
        <w:rPr>
          <w:szCs w:val="24"/>
        </w:rPr>
        <w:t>S</w:t>
      </w:r>
      <w:r>
        <w:rPr>
          <w:rFonts w:hint="eastAsia"/>
          <w:szCs w:val="24"/>
        </w:rPr>
        <w:t>8、S9车间设置11台（2#~12#）。本项目羟基钴生产线X19车间废水依托S8、S9污水处理车间4#~12#MVR设备处理，全厂</w:t>
      </w:r>
      <w:r>
        <w:rPr>
          <w:szCs w:val="24"/>
        </w:rPr>
        <w:t>各MVR处理情况见表5-</w:t>
      </w:r>
      <w:r>
        <w:rPr>
          <w:rFonts w:hint="eastAsia"/>
          <w:szCs w:val="24"/>
        </w:rPr>
        <w:t>3</w:t>
      </w:r>
      <w:r>
        <w:rPr>
          <w:szCs w:val="24"/>
        </w:rPr>
        <w:t>。</w:t>
      </w:r>
    </w:p>
    <w:p w14:paraId="17CDD9D6">
      <w:pPr>
        <w:numPr>
          <w:ilvl w:val="4"/>
          <w:numId w:val="38"/>
        </w:numPr>
        <w:spacing w:line="500" w:lineRule="exact"/>
        <w:ind w:left="0" w:firstLine="0"/>
        <w:jc w:val="center"/>
        <w:outlineLvl w:val="4"/>
        <w:rPr>
          <w:rFonts w:ascii="Arial" w:hAnsi="Arial" w:eastAsia="宋体" w:cs="Arial"/>
          <w:b/>
          <w:sz w:val="24"/>
          <w:szCs w:val="24"/>
        </w:rPr>
      </w:pPr>
      <w:r>
        <w:rPr>
          <w:rFonts w:hint="eastAsia" w:ascii="Arial" w:hAnsi="Arial" w:eastAsia="宋体" w:cs="Arial"/>
          <w:b/>
          <w:sz w:val="24"/>
          <w:szCs w:val="24"/>
        </w:rPr>
        <w:t>全厂</w:t>
      </w:r>
      <w:r>
        <w:rPr>
          <w:rFonts w:ascii="Arial" w:hAnsi="Arial" w:eastAsia="宋体" w:cs="Arial"/>
          <w:b/>
          <w:sz w:val="24"/>
          <w:szCs w:val="24"/>
        </w:rPr>
        <w:t>MVR处理废水情况表（单位：t/d）</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6"/>
        <w:gridCol w:w="829"/>
        <w:gridCol w:w="2206"/>
        <w:gridCol w:w="812"/>
        <w:gridCol w:w="1111"/>
        <w:gridCol w:w="992"/>
        <w:gridCol w:w="1095"/>
        <w:gridCol w:w="992"/>
      </w:tblGrid>
      <w:tr w14:paraId="5A2DF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vMerge w:val="restart"/>
            <w:shd w:val="clear" w:color="auto" w:fill="auto"/>
            <w:vAlign w:val="center"/>
          </w:tcPr>
          <w:p w14:paraId="4F2AB770">
            <w:pPr>
              <w:pStyle w:val="5"/>
              <w:adjustRightInd w:val="0"/>
              <w:snapToGrid w:val="0"/>
              <w:spacing w:line="240" w:lineRule="auto"/>
              <w:ind w:firstLine="0"/>
              <w:jc w:val="center"/>
              <w:rPr>
                <w:sz w:val="21"/>
                <w:szCs w:val="21"/>
              </w:rPr>
            </w:pPr>
            <w:r>
              <w:rPr>
                <w:sz w:val="21"/>
                <w:szCs w:val="21"/>
              </w:rPr>
              <w:t>编号</w:t>
            </w:r>
          </w:p>
        </w:tc>
        <w:tc>
          <w:tcPr>
            <w:tcW w:w="829" w:type="dxa"/>
            <w:vMerge w:val="restart"/>
            <w:shd w:val="clear" w:color="auto" w:fill="auto"/>
            <w:vAlign w:val="center"/>
          </w:tcPr>
          <w:p w14:paraId="34CC3594">
            <w:pPr>
              <w:pStyle w:val="5"/>
              <w:adjustRightInd w:val="0"/>
              <w:snapToGrid w:val="0"/>
              <w:spacing w:line="240" w:lineRule="auto"/>
              <w:ind w:firstLine="0"/>
              <w:jc w:val="center"/>
              <w:rPr>
                <w:sz w:val="21"/>
                <w:szCs w:val="21"/>
              </w:rPr>
            </w:pPr>
            <w:r>
              <w:rPr>
                <w:sz w:val="21"/>
                <w:szCs w:val="21"/>
              </w:rPr>
              <w:t>位置</w:t>
            </w:r>
          </w:p>
        </w:tc>
        <w:tc>
          <w:tcPr>
            <w:tcW w:w="2206" w:type="dxa"/>
            <w:vMerge w:val="restart"/>
            <w:shd w:val="clear" w:color="auto" w:fill="auto"/>
            <w:vAlign w:val="center"/>
          </w:tcPr>
          <w:p w14:paraId="19304C34">
            <w:pPr>
              <w:pStyle w:val="5"/>
              <w:adjustRightInd w:val="0"/>
              <w:snapToGrid w:val="0"/>
              <w:spacing w:line="240" w:lineRule="auto"/>
              <w:ind w:firstLine="0"/>
              <w:jc w:val="center"/>
              <w:rPr>
                <w:sz w:val="21"/>
                <w:szCs w:val="21"/>
              </w:rPr>
            </w:pPr>
            <w:r>
              <w:rPr>
                <w:sz w:val="21"/>
                <w:szCs w:val="21"/>
              </w:rPr>
              <w:t>处理范围</w:t>
            </w:r>
          </w:p>
        </w:tc>
        <w:tc>
          <w:tcPr>
            <w:tcW w:w="812" w:type="dxa"/>
            <w:vMerge w:val="restart"/>
            <w:shd w:val="clear" w:color="auto" w:fill="auto"/>
            <w:vAlign w:val="center"/>
          </w:tcPr>
          <w:p w14:paraId="6CE82DC5">
            <w:pPr>
              <w:pStyle w:val="5"/>
              <w:adjustRightInd w:val="0"/>
              <w:snapToGrid w:val="0"/>
              <w:spacing w:line="240" w:lineRule="auto"/>
              <w:ind w:firstLine="0"/>
              <w:jc w:val="center"/>
              <w:rPr>
                <w:sz w:val="21"/>
                <w:szCs w:val="21"/>
              </w:rPr>
            </w:pPr>
            <w:r>
              <w:rPr>
                <w:sz w:val="21"/>
                <w:szCs w:val="21"/>
              </w:rPr>
              <w:t>处理</w:t>
            </w:r>
          </w:p>
          <w:p w14:paraId="2230D854">
            <w:pPr>
              <w:pStyle w:val="5"/>
              <w:adjustRightInd w:val="0"/>
              <w:snapToGrid w:val="0"/>
              <w:spacing w:line="240" w:lineRule="auto"/>
              <w:ind w:firstLine="0"/>
              <w:jc w:val="center"/>
              <w:rPr>
                <w:sz w:val="21"/>
                <w:szCs w:val="21"/>
              </w:rPr>
            </w:pPr>
            <w:r>
              <w:rPr>
                <w:sz w:val="21"/>
                <w:szCs w:val="21"/>
              </w:rPr>
              <w:t>规模</w:t>
            </w:r>
          </w:p>
        </w:tc>
        <w:tc>
          <w:tcPr>
            <w:tcW w:w="2103" w:type="dxa"/>
            <w:gridSpan w:val="2"/>
            <w:shd w:val="clear" w:color="auto" w:fill="auto"/>
            <w:vAlign w:val="center"/>
          </w:tcPr>
          <w:p w14:paraId="46E7C86F">
            <w:pPr>
              <w:pStyle w:val="5"/>
              <w:adjustRightInd w:val="0"/>
              <w:snapToGrid w:val="0"/>
              <w:spacing w:line="240" w:lineRule="auto"/>
              <w:ind w:firstLine="0"/>
              <w:jc w:val="center"/>
              <w:rPr>
                <w:sz w:val="21"/>
                <w:szCs w:val="21"/>
              </w:rPr>
            </w:pPr>
            <w:r>
              <w:rPr>
                <w:sz w:val="21"/>
                <w:szCs w:val="21"/>
              </w:rPr>
              <w:t>变更前</w:t>
            </w:r>
          </w:p>
        </w:tc>
        <w:tc>
          <w:tcPr>
            <w:tcW w:w="2087" w:type="dxa"/>
            <w:gridSpan w:val="2"/>
            <w:shd w:val="clear" w:color="auto" w:fill="auto"/>
            <w:vAlign w:val="center"/>
          </w:tcPr>
          <w:p w14:paraId="450133D3">
            <w:pPr>
              <w:pStyle w:val="5"/>
              <w:adjustRightInd w:val="0"/>
              <w:snapToGrid w:val="0"/>
              <w:spacing w:line="240" w:lineRule="auto"/>
              <w:ind w:firstLine="0"/>
              <w:jc w:val="center"/>
              <w:rPr>
                <w:sz w:val="21"/>
                <w:szCs w:val="21"/>
              </w:rPr>
            </w:pPr>
            <w:r>
              <w:rPr>
                <w:sz w:val="21"/>
                <w:szCs w:val="21"/>
              </w:rPr>
              <w:t>变更后</w:t>
            </w:r>
          </w:p>
        </w:tc>
      </w:tr>
      <w:tr w14:paraId="45E90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vMerge w:val="continue"/>
            <w:shd w:val="clear" w:color="auto" w:fill="auto"/>
            <w:vAlign w:val="center"/>
          </w:tcPr>
          <w:p w14:paraId="303F6700">
            <w:pPr>
              <w:pStyle w:val="5"/>
              <w:adjustRightInd w:val="0"/>
              <w:snapToGrid w:val="0"/>
              <w:spacing w:line="240" w:lineRule="auto"/>
              <w:ind w:firstLine="0"/>
              <w:jc w:val="center"/>
              <w:rPr>
                <w:sz w:val="21"/>
                <w:szCs w:val="21"/>
              </w:rPr>
            </w:pPr>
          </w:p>
        </w:tc>
        <w:tc>
          <w:tcPr>
            <w:tcW w:w="829" w:type="dxa"/>
            <w:vMerge w:val="continue"/>
            <w:shd w:val="clear" w:color="auto" w:fill="auto"/>
            <w:vAlign w:val="center"/>
          </w:tcPr>
          <w:p w14:paraId="0B5F3ACD">
            <w:pPr>
              <w:pStyle w:val="5"/>
              <w:adjustRightInd w:val="0"/>
              <w:snapToGrid w:val="0"/>
              <w:spacing w:line="240" w:lineRule="auto"/>
              <w:ind w:firstLine="0"/>
              <w:jc w:val="center"/>
              <w:rPr>
                <w:sz w:val="21"/>
                <w:szCs w:val="21"/>
              </w:rPr>
            </w:pPr>
          </w:p>
        </w:tc>
        <w:tc>
          <w:tcPr>
            <w:tcW w:w="2206" w:type="dxa"/>
            <w:vMerge w:val="continue"/>
            <w:shd w:val="clear" w:color="auto" w:fill="auto"/>
            <w:vAlign w:val="center"/>
          </w:tcPr>
          <w:p w14:paraId="5F5F8F1B">
            <w:pPr>
              <w:pStyle w:val="5"/>
              <w:adjustRightInd w:val="0"/>
              <w:snapToGrid w:val="0"/>
              <w:spacing w:line="240" w:lineRule="auto"/>
              <w:ind w:firstLine="0"/>
              <w:jc w:val="center"/>
              <w:rPr>
                <w:sz w:val="21"/>
                <w:szCs w:val="21"/>
              </w:rPr>
            </w:pPr>
          </w:p>
        </w:tc>
        <w:tc>
          <w:tcPr>
            <w:tcW w:w="812" w:type="dxa"/>
            <w:vMerge w:val="continue"/>
            <w:shd w:val="clear" w:color="auto" w:fill="auto"/>
            <w:vAlign w:val="center"/>
          </w:tcPr>
          <w:p w14:paraId="7001E755">
            <w:pPr>
              <w:pStyle w:val="5"/>
              <w:adjustRightInd w:val="0"/>
              <w:snapToGrid w:val="0"/>
              <w:spacing w:line="240" w:lineRule="auto"/>
              <w:ind w:firstLine="0"/>
              <w:jc w:val="center"/>
              <w:rPr>
                <w:sz w:val="21"/>
                <w:szCs w:val="21"/>
              </w:rPr>
            </w:pPr>
          </w:p>
        </w:tc>
        <w:tc>
          <w:tcPr>
            <w:tcW w:w="1111" w:type="dxa"/>
            <w:shd w:val="clear" w:color="auto" w:fill="auto"/>
            <w:vAlign w:val="center"/>
          </w:tcPr>
          <w:p w14:paraId="141490A2">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14:paraId="73FD47ED">
            <w:pPr>
              <w:pStyle w:val="5"/>
              <w:adjustRightInd w:val="0"/>
              <w:snapToGrid w:val="0"/>
              <w:spacing w:line="240" w:lineRule="auto"/>
              <w:ind w:firstLine="0"/>
              <w:jc w:val="center"/>
              <w:rPr>
                <w:sz w:val="21"/>
                <w:szCs w:val="21"/>
              </w:rPr>
            </w:pPr>
            <w:r>
              <w:rPr>
                <w:sz w:val="21"/>
                <w:szCs w:val="21"/>
              </w:rPr>
              <w:t>余量</w:t>
            </w:r>
          </w:p>
        </w:tc>
        <w:tc>
          <w:tcPr>
            <w:tcW w:w="1095" w:type="dxa"/>
            <w:shd w:val="clear" w:color="auto" w:fill="auto"/>
            <w:vAlign w:val="center"/>
          </w:tcPr>
          <w:p w14:paraId="56BD4E53">
            <w:pPr>
              <w:pStyle w:val="5"/>
              <w:adjustRightInd w:val="0"/>
              <w:snapToGrid w:val="0"/>
              <w:spacing w:line="240" w:lineRule="auto"/>
              <w:ind w:firstLine="0"/>
              <w:jc w:val="center"/>
              <w:rPr>
                <w:sz w:val="21"/>
                <w:szCs w:val="21"/>
              </w:rPr>
            </w:pPr>
            <w:r>
              <w:rPr>
                <w:sz w:val="21"/>
                <w:szCs w:val="21"/>
              </w:rPr>
              <w:t>处理量</w:t>
            </w:r>
          </w:p>
        </w:tc>
        <w:tc>
          <w:tcPr>
            <w:tcW w:w="992" w:type="dxa"/>
            <w:shd w:val="clear" w:color="auto" w:fill="auto"/>
            <w:vAlign w:val="center"/>
          </w:tcPr>
          <w:p w14:paraId="3772B07A">
            <w:pPr>
              <w:pStyle w:val="5"/>
              <w:adjustRightInd w:val="0"/>
              <w:snapToGrid w:val="0"/>
              <w:spacing w:line="240" w:lineRule="auto"/>
              <w:ind w:firstLine="0"/>
              <w:jc w:val="center"/>
              <w:rPr>
                <w:sz w:val="21"/>
                <w:szCs w:val="21"/>
              </w:rPr>
            </w:pPr>
            <w:r>
              <w:rPr>
                <w:sz w:val="21"/>
                <w:szCs w:val="21"/>
              </w:rPr>
              <w:t>余量</w:t>
            </w:r>
          </w:p>
        </w:tc>
      </w:tr>
      <w:tr w14:paraId="29786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shd w:val="clear" w:color="auto" w:fill="auto"/>
            <w:vAlign w:val="center"/>
          </w:tcPr>
          <w:p w14:paraId="17F7B141">
            <w:pPr>
              <w:pStyle w:val="5"/>
              <w:adjustRightInd w:val="0"/>
              <w:snapToGrid w:val="0"/>
              <w:spacing w:line="240" w:lineRule="auto"/>
              <w:ind w:firstLine="0"/>
              <w:jc w:val="center"/>
              <w:rPr>
                <w:sz w:val="21"/>
                <w:szCs w:val="21"/>
              </w:rPr>
            </w:pPr>
            <w:r>
              <w:rPr>
                <w:sz w:val="21"/>
                <w:szCs w:val="21"/>
              </w:rPr>
              <w:t>1#</w:t>
            </w:r>
          </w:p>
        </w:tc>
        <w:tc>
          <w:tcPr>
            <w:tcW w:w="829" w:type="dxa"/>
            <w:shd w:val="clear" w:color="auto" w:fill="auto"/>
            <w:vAlign w:val="center"/>
          </w:tcPr>
          <w:p w14:paraId="1457B82C">
            <w:pPr>
              <w:pStyle w:val="5"/>
              <w:adjustRightInd w:val="0"/>
              <w:snapToGrid w:val="0"/>
              <w:spacing w:line="240" w:lineRule="auto"/>
              <w:ind w:firstLine="0"/>
              <w:jc w:val="center"/>
              <w:rPr>
                <w:sz w:val="21"/>
                <w:szCs w:val="21"/>
              </w:rPr>
            </w:pPr>
            <w:r>
              <w:rPr>
                <w:sz w:val="21"/>
                <w:szCs w:val="21"/>
              </w:rPr>
              <w:t>S5车间</w:t>
            </w:r>
          </w:p>
        </w:tc>
        <w:tc>
          <w:tcPr>
            <w:tcW w:w="2206" w:type="dxa"/>
            <w:shd w:val="clear" w:color="auto" w:fill="auto"/>
            <w:vAlign w:val="center"/>
          </w:tcPr>
          <w:p w14:paraId="0441343F">
            <w:pPr>
              <w:pStyle w:val="5"/>
              <w:adjustRightInd w:val="0"/>
              <w:snapToGrid w:val="0"/>
              <w:spacing w:line="240" w:lineRule="auto"/>
              <w:ind w:firstLine="0"/>
              <w:jc w:val="center"/>
              <w:rPr>
                <w:sz w:val="21"/>
                <w:szCs w:val="21"/>
              </w:rPr>
            </w:pPr>
            <w:r>
              <w:rPr>
                <w:sz w:val="21"/>
                <w:szCs w:val="21"/>
              </w:rPr>
              <w:t>氢氧化钴处置线萃取废水和MHP生产线萃取废水</w:t>
            </w:r>
          </w:p>
        </w:tc>
        <w:tc>
          <w:tcPr>
            <w:tcW w:w="812" w:type="dxa"/>
            <w:shd w:val="clear" w:color="auto" w:fill="auto"/>
            <w:vAlign w:val="center"/>
          </w:tcPr>
          <w:p w14:paraId="547E1A92">
            <w:pPr>
              <w:pStyle w:val="5"/>
              <w:adjustRightInd w:val="0"/>
              <w:snapToGrid w:val="0"/>
              <w:spacing w:line="240" w:lineRule="auto"/>
              <w:ind w:firstLine="0"/>
              <w:jc w:val="center"/>
              <w:rPr>
                <w:sz w:val="21"/>
                <w:szCs w:val="21"/>
              </w:rPr>
            </w:pPr>
            <w:r>
              <w:rPr>
                <w:sz w:val="21"/>
                <w:szCs w:val="21"/>
              </w:rPr>
              <w:t>1440</w:t>
            </w:r>
          </w:p>
        </w:tc>
        <w:tc>
          <w:tcPr>
            <w:tcW w:w="1111" w:type="dxa"/>
            <w:shd w:val="clear" w:color="auto" w:fill="auto"/>
            <w:vAlign w:val="center"/>
          </w:tcPr>
          <w:p w14:paraId="04CE2A09">
            <w:pPr>
              <w:pStyle w:val="5"/>
              <w:adjustRightInd w:val="0"/>
              <w:snapToGrid w:val="0"/>
              <w:spacing w:line="240" w:lineRule="auto"/>
              <w:ind w:firstLine="0"/>
              <w:jc w:val="center"/>
              <w:rPr>
                <w:sz w:val="21"/>
                <w:szCs w:val="21"/>
              </w:rPr>
            </w:pPr>
            <w:r>
              <w:rPr>
                <w:sz w:val="21"/>
                <w:szCs w:val="21"/>
              </w:rPr>
              <w:t>1286.4</w:t>
            </w:r>
          </w:p>
        </w:tc>
        <w:tc>
          <w:tcPr>
            <w:tcW w:w="992" w:type="dxa"/>
            <w:shd w:val="clear" w:color="auto" w:fill="auto"/>
            <w:vAlign w:val="center"/>
          </w:tcPr>
          <w:p w14:paraId="742F4A52">
            <w:pPr>
              <w:pStyle w:val="5"/>
              <w:adjustRightInd w:val="0"/>
              <w:snapToGrid w:val="0"/>
              <w:spacing w:line="240" w:lineRule="auto"/>
              <w:ind w:firstLine="0"/>
              <w:jc w:val="center"/>
              <w:rPr>
                <w:sz w:val="21"/>
                <w:szCs w:val="21"/>
              </w:rPr>
            </w:pPr>
            <w:r>
              <w:rPr>
                <w:sz w:val="21"/>
                <w:szCs w:val="21"/>
              </w:rPr>
              <w:t>153.6</w:t>
            </w:r>
          </w:p>
        </w:tc>
        <w:tc>
          <w:tcPr>
            <w:tcW w:w="1095" w:type="dxa"/>
            <w:shd w:val="clear" w:color="auto" w:fill="auto"/>
            <w:vAlign w:val="center"/>
          </w:tcPr>
          <w:p w14:paraId="55432EB0">
            <w:pPr>
              <w:pStyle w:val="5"/>
              <w:adjustRightInd w:val="0"/>
              <w:snapToGrid w:val="0"/>
              <w:spacing w:line="240" w:lineRule="auto"/>
              <w:ind w:firstLine="0"/>
              <w:jc w:val="center"/>
              <w:rPr>
                <w:sz w:val="21"/>
                <w:szCs w:val="21"/>
              </w:rPr>
            </w:pPr>
            <w:r>
              <w:rPr>
                <w:sz w:val="21"/>
                <w:szCs w:val="21"/>
              </w:rPr>
              <w:t>1286.4</w:t>
            </w:r>
          </w:p>
        </w:tc>
        <w:tc>
          <w:tcPr>
            <w:tcW w:w="992" w:type="dxa"/>
            <w:shd w:val="clear" w:color="auto" w:fill="auto"/>
            <w:vAlign w:val="center"/>
          </w:tcPr>
          <w:p w14:paraId="0D62FC5E">
            <w:pPr>
              <w:pStyle w:val="5"/>
              <w:adjustRightInd w:val="0"/>
              <w:snapToGrid w:val="0"/>
              <w:spacing w:line="240" w:lineRule="auto"/>
              <w:ind w:firstLine="0"/>
              <w:jc w:val="center"/>
              <w:rPr>
                <w:sz w:val="21"/>
                <w:szCs w:val="21"/>
              </w:rPr>
            </w:pPr>
            <w:r>
              <w:rPr>
                <w:sz w:val="21"/>
                <w:szCs w:val="21"/>
              </w:rPr>
              <w:t>153.6</w:t>
            </w:r>
          </w:p>
        </w:tc>
      </w:tr>
      <w:tr w14:paraId="1FF84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shd w:val="clear" w:color="auto" w:fill="auto"/>
            <w:vAlign w:val="center"/>
          </w:tcPr>
          <w:p w14:paraId="0A3738C1">
            <w:pPr>
              <w:pStyle w:val="5"/>
              <w:adjustRightInd w:val="0"/>
              <w:snapToGrid w:val="0"/>
              <w:spacing w:line="240" w:lineRule="auto"/>
              <w:ind w:firstLine="0"/>
              <w:jc w:val="center"/>
              <w:rPr>
                <w:sz w:val="21"/>
                <w:szCs w:val="21"/>
              </w:rPr>
            </w:pPr>
            <w:r>
              <w:rPr>
                <w:sz w:val="21"/>
                <w:szCs w:val="21"/>
              </w:rPr>
              <w:t>2#、3#</w:t>
            </w:r>
          </w:p>
        </w:tc>
        <w:tc>
          <w:tcPr>
            <w:tcW w:w="829" w:type="dxa"/>
            <w:shd w:val="clear" w:color="auto" w:fill="auto"/>
            <w:vAlign w:val="center"/>
          </w:tcPr>
          <w:p w14:paraId="0389048E">
            <w:pPr>
              <w:pStyle w:val="5"/>
              <w:adjustRightInd w:val="0"/>
              <w:snapToGrid w:val="0"/>
              <w:spacing w:line="240" w:lineRule="auto"/>
              <w:ind w:firstLine="0"/>
              <w:jc w:val="center"/>
              <w:rPr>
                <w:sz w:val="21"/>
                <w:szCs w:val="21"/>
              </w:rPr>
            </w:pPr>
            <w:r>
              <w:rPr>
                <w:sz w:val="21"/>
                <w:szCs w:val="21"/>
              </w:rPr>
              <w:t>S8、S9车间</w:t>
            </w:r>
          </w:p>
        </w:tc>
        <w:tc>
          <w:tcPr>
            <w:tcW w:w="2206" w:type="dxa"/>
            <w:shd w:val="clear" w:color="auto" w:fill="auto"/>
            <w:vAlign w:val="center"/>
          </w:tcPr>
          <w:p w14:paraId="3A807728">
            <w:pPr>
              <w:pStyle w:val="5"/>
              <w:adjustRightInd w:val="0"/>
              <w:snapToGrid w:val="0"/>
              <w:spacing w:line="240" w:lineRule="auto"/>
              <w:ind w:firstLine="0"/>
              <w:jc w:val="center"/>
              <w:rPr>
                <w:sz w:val="21"/>
                <w:szCs w:val="21"/>
              </w:rPr>
            </w:pPr>
            <w:r>
              <w:rPr>
                <w:sz w:val="21"/>
                <w:szCs w:val="21"/>
              </w:rPr>
              <w:t>MSP生产线X21、X22车间电积镍废水和氢氧化钴处置线X23车间电积钴废水</w:t>
            </w:r>
          </w:p>
        </w:tc>
        <w:tc>
          <w:tcPr>
            <w:tcW w:w="812" w:type="dxa"/>
            <w:shd w:val="clear" w:color="auto" w:fill="auto"/>
            <w:vAlign w:val="center"/>
          </w:tcPr>
          <w:p w14:paraId="6D67FC84">
            <w:pPr>
              <w:pStyle w:val="5"/>
              <w:adjustRightInd w:val="0"/>
              <w:snapToGrid w:val="0"/>
              <w:spacing w:line="240" w:lineRule="auto"/>
              <w:ind w:firstLine="0"/>
              <w:jc w:val="center"/>
              <w:rPr>
                <w:sz w:val="21"/>
                <w:szCs w:val="21"/>
              </w:rPr>
            </w:pPr>
            <w:r>
              <w:rPr>
                <w:sz w:val="21"/>
                <w:szCs w:val="21"/>
              </w:rPr>
              <w:t>2880</w:t>
            </w:r>
          </w:p>
        </w:tc>
        <w:tc>
          <w:tcPr>
            <w:tcW w:w="1111" w:type="dxa"/>
            <w:shd w:val="clear" w:color="auto" w:fill="auto"/>
            <w:vAlign w:val="center"/>
          </w:tcPr>
          <w:p w14:paraId="494F3CA1">
            <w:pPr>
              <w:pStyle w:val="5"/>
              <w:adjustRightInd w:val="0"/>
              <w:snapToGrid w:val="0"/>
              <w:spacing w:line="240" w:lineRule="auto"/>
              <w:ind w:firstLine="0"/>
              <w:jc w:val="center"/>
              <w:rPr>
                <w:sz w:val="21"/>
                <w:szCs w:val="21"/>
              </w:rPr>
            </w:pPr>
            <w:r>
              <w:rPr>
                <w:sz w:val="21"/>
                <w:szCs w:val="21"/>
              </w:rPr>
              <w:t>2287.69</w:t>
            </w:r>
          </w:p>
        </w:tc>
        <w:tc>
          <w:tcPr>
            <w:tcW w:w="992" w:type="dxa"/>
            <w:shd w:val="clear" w:color="auto" w:fill="auto"/>
            <w:vAlign w:val="center"/>
          </w:tcPr>
          <w:p w14:paraId="7FD5BCE2">
            <w:pPr>
              <w:pStyle w:val="5"/>
              <w:adjustRightInd w:val="0"/>
              <w:snapToGrid w:val="0"/>
              <w:spacing w:line="240" w:lineRule="auto"/>
              <w:ind w:firstLine="0"/>
              <w:jc w:val="center"/>
              <w:rPr>
                <w:sz w:val="21"/>
                <w:szCs w:val="21"/>
              </w:rPr>
            </w:pPr>
            <w:r>
              <w:rPr>
                <w:sz w:val="21"/>
                <w:szCs w:val="21"/>
              </w:rPr>
              <w:t>592.31</w:t>
            </w:r>
          </w:p>
        </w:tc>
        <w:tc>
          <w:tcPr>
            <w:tcW w:w="1095" w:type="dxa"/>
            <w:shd w:val="clear" w:color="auto" w:fill="auto"/>
            <w:vAlign w:val="center"/>
          </w:tcPr>
          <w:p w14:paraId="45BC267C">
            <w:pPr>
              <w:pStyle w:val="5"/>
              <w:adjustRightInd w:val="0"/>
              <w:snapToGrid w:val="0"/>
              <w:spacing w:line="240" w:lineRule="auto"/>
              <w:ind w:firstLine="0"/>
              <w:jc w:val="center"/>
              <w:rPr>
                <w:sz w:val="21"/>
                <w:szCs w:val="21"/>
              </w:rPr>
            </w:pPr>
            <w:r>
              <w:rPr>
                <w:sz w:val="21"/>
                <w:szCs w:val="21"/>
              </w:rPr>
              <w:t>2287.69</w:t>
            </w:r>
          </w:p>
        </w:tc>
        <w:tc>
          <w:tcPr>
            <w:tcW w:w="992" w:type="dxa"/>
            <w:shd w:val="clear" w:color="auto" w:fill="auto"/>
            <w:vAlign w:val="center"/>
          </w:tcPr>
          <w:p w14:paraId="5E1D2A9A">
            <w:pPr>
              <w:pStyle w:val="5"/>
              <w:adjustRightInd w:val="0"/>
              <w:snapToGrid w:val="0"/>
              <w:spacing w:line="240" w:lineRule="auto"/>
              <w:ind w:firstLine="0"/>
              <w:jc w:val="center"/>
              <w:rPr>
                <w:sz w:val="21"/>
                <w:szCs w:val="21"/>
              </w:rPr>
            </w:pPr>
            <w:r>
              <w:rPr>
                <w:sz w:val="21"/>
                <w:szCs w:val="21"/>
              </w:rPr>
              <w:t>592.31</w:t>
            </w:r>
          </w:p>
        </w:tc>
      </w:tr>
      <w:tr w14:paraId="49903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shd w:val="clear" w:color="auto" w:fill="auto"/>
            <w:vAlign w:val="center"/>
          </w:tcPr>
          <w:p w14:paraId="11FD04C9">
            <w:pPr>
              <w:pStyle w:val="5"/>
              <w:adjustRightInd w:val="0"/>
              <w:snapToGrid w:val="0"/>
              <w:spacing w:line="240" w:lineRule="auto"/>
              <w:ind w:firstLine="0"/>
              <w:jc w:val="center"/>
              <w:rPr>
                <w:sz w:val="21"/>
                <w:szCs w:val="21"/>
              </w:rPr>
            </w:pPr>
            <w:r>
              <w:rPr>
                <w:sz w:val="21"/>
                <w:szCs w:val="21"/>
              </w:rPr>
              <w:t>4#~12#</w:t>
            </w:r>
          </w:p>
        </w:tc>
        <w:tc>
          <w:tcPr>
            <w:tcW w:w="829" w:type="dxa"/>
            <w:shd w:val="clear" w:color="auto" w:fill="auto"/>
            <w:vAlign w:val="center"/>
          </w:tcPr>
          <w:p w14:paraId="32AD528F">
            <w:pPr>
              <w:pStyle w:val="5"/>
              <w:adjustRightInd w:val="0"/>
              <w:snapToGrid w:val="0"/>
              <w:spacing w:line="240" w:lineRule="auto"/>
              <w:ind w:firstLine="0"/>
              <w:jc w:val="center"/>
              <w:rPr>
                <w:sz w:val="21"/>
                <w:szCs w:val="21"/>
              </w:rPr>
            </w:pPr>
            <w:r>
              <w:rPr>
                <w:sz w:val="21"/>
                <w:szCs w:val="21"/>
              </w:rPr>
              <w:t>S8、S9车间</w:t>
            </w:r>
          </w:p>
        </w:tc>
        <w:tc>
          <w:tcPr>
            <w:tcW w:w="2206" w:type="dxa"/>
            <w:shd w:val="clear" w:color="auto" w:fill="auto"/>
            <w:vAlign w:val="center"/>
          </w:tcPr>
          <w:p w14:paraId="3E4512FD">
            <w:pPr>
              <w:pStyle w:val="5"/>
              <w:adjustRightInd w:val="0"/>
              <w:snapToGrid w:val="0"/>
              <w:spacing w:line="240" w:lineRule="auto"/>
              <w:ind w:firstLine="0"/>
              <w:jc w:val="center"/>
              <w:rPr>
                <w:sz w:val="21"/>
                <w:szCs w:val="21"/>
              </w:rPr>
            </w:pPr>
            <w:r>
              <w:rPr>
                <w:sz w:val="21"/>
                <w:szCs w:val="21"/>
              </w:rPr>
              <w:t>三元前驱体C1~C6车间废水</w:t>
            </w:r>
            <w:r>
              <w:rPr>
                <w:rFonts w:hint="eastAsia"/>
                <w:sz w:val="21"/>
                <w:szCs w:val="21"/>
              </w:rPr>
              <w:t>、</w:t>
            </w:r>
            <w:r>
              <w:rPr>
                <w:sz w:val="21"/>
                <w:szCs w:val="21"/>
              </w:rPr>
              <w:t>MSP生产线X5萃取车间废水、羟基钴生产线X</w:t>
            </w:r>
            <w:r>
              <w:rPr>
                <w:rFonts w:hint="eastAsia"/>
                <w:sz w:val="21"/>
                <w:szCs w:val="21"/>
              </w:rPr>
              <w:t>19车间</w:t>
            </w:r>
            <w:r>
              <w:rPr>
                <w:sz w:val="21"/>
                <w:szCs w:val="21"/>
              </w:rPr>
              <w:t>生产废水</w:t>
            </w:r>
          </w:p>
        </w:tc>
        <w:tc>
          <w:tcPr>
            <w:tcW w:w="812" w:type="dxa"/>
            <w:shd w:val="clear" w:color="auto" w:fill="auto"/>
            <w:vAlign w:val="center"/>
          </w:tcPr>
          <w:p w14:paraId="7AF641FB">
            <w:pPr>
              <w:pStyle w:val="5"/>
              <w:adjustRightInd w:val="0"/>
              <w:snapToGrid w:val="0"/>
              <w:spacing w:line="240" w:lineRule="auto"/>
              <w:ind w:firstLine="0"/>
              <w:jc w:val="center"/>
              <w:rPr>
                <w:sz w:val="21"/>
                <w:szCs w:val="21"/>
              </w:rPr>
            </w:pPr>
            <w:r>
              <w:rPr>
                <w:sz w:val="21"/>
                <w:szCs w:val="21"/>
              </w:rPr>
              <w:t>12960</w:t>
            </w:r>
          </w:p>
        </w:tc>
        <w:tc>
          <w:tcPr>
            <w:tcW w:w="1111" w:type="dxa"/>
            <w:shd w:val="clear" w:color="auto" w:fill="auto"/>
            <w:vAlign w:val="center"/>
          </w:tcPr>
          <w:p w14:paraId="544E44BA">
            <w:pPr>
              <w:pStyle w:val="5"/>
              <w:adjustRightInd w:val="0"/>
              <w:snapToGrid w:val="0"/>
              <w:spacing w:line="240" w:lineRule="auto"/>
              <w:ind w:firstLine="0"/>
              <w:jc w:val="center"/>
              <w:rPr>
                <w:sz w:val="21"/>
                <w:szCs w:val="21"/>
              </w:rPr>
            </w:pPr>
            <w:r>
              <w:rPr>
                <w:sz w:val="21"/>
                <w:szCs w:val="21"/>
              </w:rPr>
              <w:t>10898.52</w:t>
            </w:r>
          </w:p>
        </w:tc>
        <w:tc>
          <w:tcPr>
            <w:tcW w:w="992" w:type="dxa"/>
            <w:shd w:val="clear" w:color="auto" w:fill="auto"/>
            <w:vAlign w:val="center"/>
          </w:tcPr>
          <w:p w14:paraId="59AF67DD">
            <w:pPr>
              <w:pStyle w:val="5"/>
              <w:adjustRightInd w:val="0"/>
              <w:snapToGrid w:val="0"/>
              <w:spacing w:line="240" w:lineRule="auto"/>
              <w:ind w:firstLine="0"/>
              <w:jc w:val="center"/>
              <w:rPr>
                <w:sz w:val="21"/>
                <w:szCs w:val="21"/>
              </w:rPr>
            </w:pPr>
            <w:r>
              <w:rPr>
                <w:sz w:val="21"/>
                <w:szCs w:val="21"/>
              </w:rPr>
              <w:t>2061.48</w:t>
            </w:r>
          </w:p>
        </w:tc>
        <w:tc>
          <w:tcPr>
            <w:tcW w:w="1095" w:type="dxa"/>
            <w:shd w:val="clear" w:color="auto" w:fill="auto"/>
            <w:vAlign w:val="center"/>
          </w:tcPr>
          <w:p w14:paraId="39307063">
            <w:pPr>
              <w:pStyle w:val="5"/>
              <w:adjustRightInd w:val="0"/>
              <w:snapToGrid w:val="0"/>
              <w:spacing w:line="240" w:lineRule="auto"/>
              <w:ind w:firstLine="0"/>
              <w:jc w:val="center"/>
              <w:rPr>
                <w:sz w:val="21"/>
                <w:szCs w:val="21"/>
              </w:rPr>
            </w:pPr>
            <w:r>
              <w:rPr>
                <w:rFonts w:hint="eastAsia"/>
                <w:sz w:val="21"/>
                <w:szCs w:val="21"/>
              </w:rPr>
              <w:t>11069.64</w:t>
            </w:r>
          </w:p>
        </w:tc>
        <w:tc>
          <w:tcPr>
            <w:tcW w:w="992" w:type="dxa"/>
            <w:shd w:val="clear" w:color="auto" w:fill="auto"/>
            <w:vAlign w:val="center"/>
          </w:tcPr>
          <w:p w14:paraId="12545D69">
            <w:pPr>
              <w:pStyle w:val="5"/>
              <w:adjustRightInd w:val="0"/>
              <w:snapToGrid w:val="0"/>
              <w:spacing w:line="240" w:lineRule="auto"/>
              <w:ind w:firstLine="0"/>
              <w:jc w:val="center"/>
              <w:rPr>
                <w:sz w:val="21"/>
                <w:szCs w:val="21"/>
              </w:rPr>
            </w:pPr>
            <w:r>
              <w:rPr>
                <w:rFonts w:hint="eastAsia"/>
                <w:sz w:val="21"/>
                <w:szCs w:val="21"/>
              </w:rPr>
              <w:t>1890.36</w:t>
            </w:r>
          </w:p>
        </w:tc>
      </w:tr>
    </w:tbl>
    <w:p w14:paraId="3CB39F1E">
      <w:pPr>
        <w:pStyle w:val="5"/>
        <w:spacing w:line="500" w:lineRule="exact"/>
        <w:ind w:firstLine="490" w:firstLineChars="200"/>
        <w:rPr>
          <w:szCs w:val="24"/>
        </w:rPr>
      </w:pPr>
      <w:r>
        <w:rPr>
          <w:szCs w:val="24"/>
        </w:rPr>
        <w:t>项目变更后S</w:t>
      </w:r>
      <w:r>
        <w:rPr>
          <w:rFonts w:hint="eastAsia"/>
          <w:szCs w:val="24"/>
        </w:rPr>
        <w:t>5污水处理车间</w:t>
      </w:r>
      <w:r>
        <w:rPr>
          <w:szCs w:val="24"/>
        </w:rPr>
        <w:t>1#MVR废水处理量不变，处理氢氧化钴处置线萃取废水和MHP生产线萃取废水1286.4t/d，余量153.6t/d；S</w:t>
      </w:r>
      <w:r>
        <w:rPr>
          <w:rFonts w:hint="eastAsia"/>
          <w:szCs w:val="24"/>
        </w:rPr>
        <w:t>8、S9污水处理车间2</w:t>
      </w:r>
      <w:r>
        <w:rPr>
          <w:szCs w:val="24"/>
        </w:rPr>
        <w:t>#、3</w:t>
      </w:r>
      <w:r>
        <w:rPr>
          <w:rFonts w:hint="eastAsia"/>
          <w:szCs w:val="24"/>
        </w:rPr>
        <w:t>#</w:t>
      </w:r>
      <w:r>
        <w:rPr>
          <w:szCs w:val="24"/>
        </w:rPr>
        <w:t>MVR废水处理量不变，处理MSP生产线X21、X22车间电积镍废水和氢氧化钴处置线X23车间电积钴废水</w:t>
      </w:r>
      <w:r>
        <w:rPr>
          <w:rFonts w:hint="eastAsia"/>
          <w:szCs w:val="24"/>
        </w:rPr>
        <w:t>2287.69</w:t>
      </w:r>
      <w:r>
        <w:rPr>
          <w:szCs w:val="24"/>
        </w:rPr>
        <w:t>t/d，余量</w:t>
      </w:r>
      <w:r>
        <w:rPr>
          <w:rFonts w:hint="eastAsia"/>
          <w:szCs w:val="24"/>
        </w:rPr>
        <w:t>592.31</w:t>
      </w:r>
      <w:r>
        <w:rPr>
          <w:szCs w:val="24"/>
        </w:rPr>
        <w:t>t/d；S</w:t>
      </w:r>
      <w:r>
        <w:rPr>
          <w:rFonts w:hint="eastAsia"/>
          <w:szCs w:val="24"/>
        </w:rPr>
        <w:t>8、S9污水处理车间4#~12#</w:t>
      </w:r>
      <w:r>
        <w:rPr>
          <w:szCs w:val="24"/>
        </w:rPr>
        <w:t>MVR处理三元前驱体C1~C6车间废水、MSP生产线X5萃取车间废水、羟基钴生产线X</w:t>
      </w:r>
      <w:r>
        <w:rPr>
          <w:rFonts w:hint="eastAsia"/>
          <w:szCs w:val="24"/>
        </w:rPr>
        <w:t>19车间</w:t>
      </w:r>
      <w:r>
        <w:rPr>
          <w:szCs w:val="24"/>
        </w:rPr>
        <w:t>生产废水由10898.52t</w:t>
      </w:r>
      <w:r>
        <w:rPr>
          <w:rFonts w:hint="eastAsia"/>
          <w:szCs w:val="24"/>
        </w:rPr>
        <w:t>/d变更为11069.64t/d，余量由</w:t>
      </w:r>
      <w:r>
        <w:rPr>
          <w:szCs w:val="24"/>
        </w:rPr>
        <w:t>2061.48t</w:t>
      </w:r>
      <w:r>
        <w:rPr>
          <w:rFonts w:hint="eastAsia"/>
          <w:szCs w:val="24"/>
        </w:rPr>
        <w:t>/d变更为1890.36t/d。</w:t>
      </w:r>
      <w:r>
        <w:rPr>
          <w:szCs w:val="24"/>
        </w:rPr>
        <w:t>项目设计的MVR污水处理规模可满足全厂污水处理。</w:t>
      </w:r>
    </w:p>
    <w:p w14:paraId="51EC0422">
      <w:pPr>
        <w:pStyle w:val="5"/>
        <w:spacing w:line="500" w:lineRule="exact"/>
        <w:ind w:firstLine="490" w:firstLineChars="200"/>
        <w:rPr>
          <w:szCs w:val="24"/>
          <w:u w:val="single"/>
        </w:rPr>
      </w:pPr>
      <w:r>
        <w:rPr>
          <w:rFonts w:hint="eastAsia"/>
          <w:szCs w:val="24"/>
          <w:u w:val="single"/>
        </w:rPr>
        <w:t>（2）综合污水处理站</w:t>
      </w:r>
    </w:p>
    <w:p w14:paraId="66677C11">
      <w:pPr>
        <w:pStyle w:val="5"/>
        <w:spacing w:line="500" w:lineRule="exact"/>
        <w:ind w:firstLine="490" w:firstLineChars="200"/>
        <w:rPr>
          <w:szCs w:val="24"/>
          <w:u w:val="single"/>
        </w:rPr>
      </w:pPr>
      <w:r>
        <w:rPr>
          <w:rFonts w:hint="eastAsia"/>
          <w:szCs w:val="24"/>
          <w:u w:val="single"/>
        </w:rPr>
        <w:t>综合污水处理站位于地块三南面，内设1条臭氧催化氧化处理废水线，中伟全厂废水经综合污水处理站处理后，全厂废水总排口满足《无机化学工业污染物排放标准》（GB31573-2015）直接排放限值要求后，通过管道排入大榄坪污水处理厂排海管，经第八大街及四号路转入第十一大街，最终向西进入金鼓江，排放至A2排放区。综合污水处理站设计最大废水处理量为10000m</w:t>
      </w:r>
      <w:r>
        <w:rPr>
          <w:rFonts w:hint="eastAsia"/>
          <w:szCs w:val="24"/>
          <w:u w:val="single"/>
          <w:vertAlign w:val="superscript"/>
        </w:rPr>
        <w:t>3</w:t>
      </w:r>
      <w:r>
        <w:rPr>
          <w:rFonts w:hint="eastAsia"/>
          <w:szCs w:val="24"/>
          <w:u w:val="single"/>
        </w:rPr>
        <w:t>/d，目前已正常投入运行，现阶段污水处理量为1500~1800m</w:t>
      </w:r>
      <w:r>
        <w:rPr>
          <w:rFonts w:hint="eastAsia"/>
          <w:szCs w:val="24"/>
          <w:u w:val="single"/>
          <w:vertAlign w:val="superscript"/>
        </w:rPr>
        <w:t>3</w:t>
      </w:r>
      <w:r>
        <w:rPr>
          <w:rFonts w:hint="eastAsia"/>
          <w:szCs w:val="24"/>
          <w:u w:val="single"/>
        </w:rPr>
        <w:t>/d。本项目产生的生产废水</w:t>
      </w:r>
      <w:r>
        <w:rPr>
          <w:szCs w:val="24"/>
          <w:u w:val="single"/>
        </w:rPr>
        <w:t>经S</w:t>
      </w:r>
      <w:r>
        <w:rPr>
          <w:rFonts w:hint="eastAsia"/>
          <w:szCs w:val="24"/>
          <w:u w:val="single"/>
        </w:rPr>
        <w:t>8、S9污水处理车间处理后的冷凝水回用纯水站，开路母液依托厂区综合污水处理站臭氧催化氧化处理后外排，新增量为14.21t/d，项目设计的综合污水处理站污水处理规模可满足全厂污水处理。</w:t>
      </w:r>
    </w:p>
    <w:p w14:paraId="2B0F91B6">
      <w:pPr>
        <w:pStyle w:val="5"/>
        <w:spacing w:line="500" w:lineRule="exact"/>
        <w:ind w:firstLine="490" w:firstLineChars="200"/>
        <w:rPr>
          <w:szCs w:val="24"/>
        </w:rPr>
      </w:pPr>
      <w:r>
        <w:rPr>
          <w:rFonts w:hint="eastAsia"/>
          <w:szCs w:val="24"/>
        </w:rPr>
        <w:t>2、</w:t>
      </w:r>
      <w:r>
        <w:rPr>
          <w:szCs w:val="24"/>
        </w:rPr>
        <w:t>处理工艺可行性分析</w:t>
      </w:r>
    </w:p>
    <w:p w14:paraId="0F55BE6C">
      <w:pPr>
        <w:pStyle w:val="5"/>
        <w:spacing w:line="500" w:lineRule="exact"/>
        <w:ind w:firstLine="490" w:firstLineChars="200"/>
        <w:rPr>
          <w:szCs w:val="24"/>
          <w:u w:val="single"/>
        </w:rPr>
      </w:pPr>
      <w:r>
        <w:rPr>
          <w:rFonts w:hint="eastAsia"/>
          <w:szCs w:val="24"/>
          <w:u w:val="single"/>
        </w:rPr>
        <w:t>（1）精密过滤器</w:t>
      </w:r>
    </w:p>
    <w:p w14:paraId="6776FDC3">
      <w:pPr>
        <w:pStyle w:val="5"/>
        <w:spacing w:line="500" w:lineRule="exact"/>
        <w:ind w:firstLine="490" w:firstLineChars="200"/>
        <w:rPr>
          <w:szCs w:val="24"/>
          <w:u w:val="single"/>
        </w:rPr>
      </w:pPr>
      <w:r>
        <w:rPr>
          <w:rFonts w:hint="eastAsia"/>
          <w:szCs w:val="24"/>
          <w:u w:val="single"/>
        </w:rPr>
        <w:t>车间废水经板框压滤、精密过滤器处理后排入厂区污水处理车间。精密过滤器又称保安过滤器，是一种用于去除液体或气体中微小颗粒、杂质的高效过滤设备，其工作原理为待过滤的液体从过滤器的进口进入，通过滤芯上的微孔结构允许流体通过，而比孔径大的颗粒、杂质等则被拦截在滤芯表面或内部。本项目精密过滤器采用不锈钢材料制成，具有较高的耐腐蚀性和较长的使用寿命，能够承受较高的压力差，过滤精度通常在 0.1 微米至 100 微米之间，清洗之后还可以再使用，免更换。</w:t>
      </w:r>
    </w:p>
    <w:p w14:paraId="5AF21B72">
      <w:pPr>
        <w:pStyle w:val="5"/>
        <w:spacing w:line="500" w:lineRule="exact"/>
        <w:ind w:firstLine="490" w:firstLineChars="200"/>
        <w:rPr>
          <w:szCs w:val="24"/>
          <w:u w:val="single"/>
        </w:rPr>
      </w:pPr>
      <w:r>
        <w:rPr>
          <w:rFonts w:hint="eastAsia"/>
          <w:szCs w:val="24"/>
          <w:u w:val="single"/>
        </w:rPr>
        <w:t>根据建设单位2024年7月26日~8月6日对羟基钴生产线生产废水（W1-1）、地面清洗废水（W1-2）经板框压滤、精密过滤后的废水监测，钴浓度为0.05~0.91mg/L，废水满足</w:t>
      </w:r>
      <w:r>
        <w:rPr>
          <w:szCs w:val="24"/>
          <w:u w:val="single"/>
        </w:rPr>
        <w:t>《无机化学工业污染物排放标准》（GB31573-2015）车间或生产设施废水排放口标准限值要求。</w:t>
      </w:r>
    </w:p>
    <w:p w14:paraId="1513DD0D">
      <w:pPr>
        <w:pStyle w:val="5"/>
        <w:spacing w:line="500" w:lineRule="exact"/>
        <w:ind w:firstLine="490" w:firstLineChars="200"/>
        <w:rPr>
          <w:szCs w:val="24"/>
        </w:rPr>
      </w:pPr>
      <w:r>
        <w:rPr>
          <w:rFonts w:hint="eastAsia"/>
          <w:szCs w:val="24"/>
        </w:rPr>
        <w:t>（2）脱氨塔</w:t>
      </w:r>
    </w:p>
    <w:p w14:paraId="36140022">
      <w:pPr>
        <w:pStyle w:val="5"/>
        <w:spacing w:line="500" w:lineRule="exact"/>
        <w:ind w:firstLine="490" w:firstLineChars="200"/>
        <w:rPr>
          <w:szCs w:val="24"/>
        </w:rPr>
      </w:pPr>
      <w:r>
        <w:rPr>
          <w:rFonts w:hint="eastAsia"/>
          <w:szCs w:val="24"/>
        </w:rPr>
        <w:t>项目废水在S7污水处理车间使用脱氨塔去除氨氮。废水</w:t>
      </w:r>
      <w:r>
        <w:rPr>
          <w:szCs w:val="24"/>
        </w:rPr>
        <w:t>首先与塔釜液和蒸汽冷凝水换热，预热后从中上部进入汽提精馏塔的提馏段，沿塔内部下降；再沸器生成的蒸汽进入汽提精馏塔下部，沿塔内部上升；上升蒸汽与下降液相逆流接触传质，氨从液相转移到气相，液相下降到塔釜时，氨含量小于环保指标要求的浓度。提馏段携带氨的汽相进入精馏段，与从塔顶向下流动的回流液逆流接触传质，汽相中的氨浓度上升，从塔顶离开汽提精馏塔，通过热泵系统回收潜热，然后进入冷凝器冷凝，产生设定浓度的氨水，进入氨水储罐。</w:t>
      </w:r>
    </w:p>
    <w:p w14:paraId="3855EBF9">
      <w:pPr>
        <w:pStyle w:val="5"/>
        <w:spacing w:line="500" w:lineRule="exact"/>
        <w:ind w:firstLine="490" w:firstLineChars="200"/>
        <w:rPr>
          <w:szCs w:val="24"/>
          <w:highlight w:val="yellow"/>
        </w:rPr>
      </w:pPr>
      <w:r>
        <w:rPr>
          <w:rFonts w:hint="eastAsia"/>
        </w:rPr>
        <w:t>根据脱氨塔设计参数，氨氮设计进水浓度为8000mg/L，出水浓度为15mg/L，去除效率可达到99.81%；本项目生产废水中氨氮浓度为2200mg/L，小于脱氨塔设计进水浓度，本次评价保守考虑生产废水经脱氨塔处理后的氨氮浓度为15mg/L，去除效率为98%。</w:t>
      </w:r>
    </w:p>
    <w:p w14:paraId="534A7E35">
      <w:pPr>
        <w:pStyle w:val="5"/>
        <w:spacing w:line="500" w:lineRule="exact"/>
        <w:ind w:firstLine="490" w:firstLineChars="200"/>
        <w:rPr>
          <w:szCs w:val="24"/>
        </w:rPr>
      </w:pPr>
      <w:r>
        <w:rPr>
          <w:rFonts w:hint="eastAsia"/>
          <w:szCs w:val="24"/>
        </w:rPr>
        <w:t>（3）陶瓷膜过滤</w:t>
      </w:r>
    </w:p>
    <w:p w14:paraId="6BD88D6B">
      <w:pPr>
        <w:pStyle w:val="5"/>
        <w:spacing w:line="500" w:lineRule="exact"/>
        <w:rPr>
          <w:szCs w:val="24"/>
        </w:rPr>
      </w:pPr>
      <w:r>
        <w:rPr>
          <w:rFonts w:hint="eastAsia"/>
          <w:szCs w:val="24"/>
        </w:rPr>
        <w:t>项目废水在S7污水处理车间使用陶瓷膜过滤去除钴。陶瓷膜分离技术是基于多孔陶瓷介质的筛分效应而进行的物质分离技术，采用与传统“死端过滤”“滤饼过滤”等过滤方式截然不同的动态“错流过滤”方式：即在压力驱动下，原料液在膜管内侧膜层表面以一定的流速高速流动，小分子物质（液体）沿与之垂直方向透过微孔膜，大分子物质（或固体颗粒）被膜截留，使流体达到分离浓缩和纯化的目的。</w:t>
      </w:r>
    </w:p>
    <w:p w14:paraId="6DB63DBA">
      <w:pPr>
        <w:pStyle w:val="5"/>
        <w:spacing w:line="500" w:lineRule="exact"/>
        <w:rPr>
          <w:szCs w:val="24"/>
        </w:rPr>
      </w:pPr>
      <w:r>
        <w:rPr>
          <w:rFonts w:hint="eastAsia"/>
          <w:szCs w:val="24"/>
        </w:rPr>
        <w:t>建立于无机材料科学基础上的陶瓷膜具有聚合物分离膜所无法比拟的一些优点：</w:t>
      </w:r>
    </w:p>
    <w:p w14:paraId="036AEC27">
      <w:pPr>
        <w:pStyle w:val="5"/>
        <w:spacing w:line="500" w:lineRule="exact"/>
        <w:rPr>
          <w:szCs w:val="24"/>
        </w:rPr>
      </w:pPr>
      <w:r>
        <w:rPr>
          <w:rFonts w:hint="eastAsia"/>
          <w:szCs w:val="24"/>
        </w:rPr>
        <w:t>①陶瓷膜膜层光洁度高，并呈多层结构且薄；流道孔径沿渗透液的流向逐渐增大，且逐级的孔径分布窄，孔隙率高，因而具有分离性能好，极低的过滤阻力，过滤通量高；</w:t>
      </w:r>
    </w:p>
    <w:p w14:paraId="37F25714">
      <w:pPr>
        <w:pStyle w:val="5"/>
        <w:spacing w:line="500" w:lineRule="exact"/>
        <w:rPr>
          <w:szCs w:val="24"/>
        </w:rPr>
      </w:pPr>
      <w:r>
        <w:rPr>
          <w:rFonts w:hint="eastAsia"/>
          <w:szCs w:val="24"/>
        </w:rPr>
        <w:t>②无机材料对料液有极好的抗污染性，可反复清洗再生，通量稳定性好，使用寿命长。</w:t>
      </w:r>
    </w:p>
    <w:p w14:paraId="67037BF8">
      <w:pPr>
        <w:pStyle w:val="5"/>
        <w:spacing w:line="500" w:lineRule="exact"/>
        <w:rPr>
          <w:szCs w:val="24"/>
        </w:rPr>
      </w:pPr>
      <w:r>
        <w:rPr>
          <w:rFonts w:hint="eastAsia"/>
          <w:szCs w:val="24"/>
        </w:rPr>
        <w:t>③陶瓷膜化学稳定性好，适用</w:t>
      </w:r>
      <w:r>
        <w:rPr>
          <w:szCs w:val="24"/>
        </w:rPr>
        <w:t>pH 0</w:t>
      </w:r>
      <w:r>
        <w:rPr>
          <w:rFonts w:hint="eastAsia"/>
          <w:szCs w:val="24"/>
        </w:rPr>
        <w:t>～</w:t>
      </w:r>
      <w:r>
        <w:rPr>
          <w:szCs w:val="24"/>
        </w:rPr>
        <w:t>14</w:t>
      </w:r>
      <w:r>
        <w:rPr>
          <w:rFonts w:hint="eastAsia"/>
          <w:szCs w:val="24"/>
        </w:rPr>
        <w:t>，能抗微生物降解。对于有机溶剂、腐蚀气体和微生物侵蚀表现良好的稳定性。</w:t>
      </w:r>
    </w:p>
    <w:p w14:paraId="0BB7D3E8">
      <w:pPr>
        <w:pStyle w:val="5"/>
        <w:spacing w:line="500" w:lineRule="exact"/>
        <w:rPr>
          <w:szCs w:val="24"/>
        </w:rPr>
      </w:pPr>
      <w:r>
        <w:rPr>
          <w:rFonts w:hint="eastAsia"/>
          <w:szCs w:val="24"/>
        </w:rPr>
        <w:t>④机械强度大，工作范围宽，膜承压</w:t>
      </w:r>
      <w:r>
        <w:rPr>
          <w:szCs w:val="24"/>
        </w:rPr>
        <w:t>1.6Mpa</w:t>
      </w:r>
      <w:r>
        <w:rPr>
          <w:rFonts w:hint="eastAsia"/>
          <w:szCs w:val="24"/>
        </w:rPr>
        <w:t>，支撑体承压</w:t>
      </w:r>
      <w:r>
        <w:rPr>
          <w:szCs w:val="24"/>
        </w:rPr>
        <w:t>6</w:t>
      </w:r>
      <w:r>
        <w:rPr>
          <w:rFonts w:hint="eastAsia"/>
          <w:szCs w:val="24"/>
        </w:rPr>
        <w:t>～</w:t>
      </w:r>
      <w:r>
        <w:rPr>
          <w:szCs w:val="24"/>
        </w:rPr>
        <w:t>12Mpa</w:t>
      </w:r>
      <w:r>
        <w:rPr>
          <w:rFonts w:hint="eastAsia"/>
          <w:szCs w:val="24"/>
        </w:rPr>
        <w:t>，并可反向冲洗；</w:t>
      </w:r>
    </w:p>
    <w:p w14:paraId="26491398">
      <w:pPr>
        <w:pStyle w:val="5"/>
        <w:spacing w:line="500" w:lineRule="exact"/>
        <w:rPr>
          <w:szCs w:val="24"/>
        </w:rPr>
      </w:pPr>
      <w:r>
        <w:rPr>
          <w:rFonts w:hint="eastAsia"/>
          <w:szCs w:val="24"/>
        </w:rPr>
        <w:t>⑤高的热稳定性，膜管可承受</w:t>
      </w:r>
      <w:r>
        <w:rPr>
          <w:szCs w:val="24"/>
        </w:rPr>
        <w:t>1000</w:t>
      </w:r>
      <w:r>
        <w:rPr>
          <w:rFonts w:hint="eastAsia"/>
          <w:szCs w:val="24"/>
        </w:rPr>
        <w:t>℃的高温；由于受密封材料的限制，装置一般均可在</w:t>
      </w:r>
      <w:r>
        <w:rPr>
          <w:szCs w:val="24"/>
        </w:rPr>
        <w:t>400</w:t>
      </w:r>
      <w:r>
        <w:rPr>
          <w:rFonts w:hint="eastAsia"/>
          <w:szCs w:val="24"/>
        </w:rPr>
        <w:t>℃以下操作。</w:t>
      </w:r>
    </w:p>
    <w:p w14:paraId="5C817D6B">
      <w:pPr>
        <w:pStyle w:val="5"/>
        <w:spacing w:line="500" w:lineRule="exact"/>
        <w:rPr>
          <w:szCs w:val="24"/>
        </w:rPr>
      </w:pPr>
      <w:r>
        <w:rPr>
          <w:rFonts w:hint="eastAsia"/>
          <w:szCs w:val="24"/>
        </w:rPr>
        <w:t>⑥无老化问题，使用寿命长，正常使用寿命约为10年，后续只需更换滤芯。</w:t>
      </w:r>
    </w:p>
    <w:p w14:paraId="6EB54B7C">
      <w:pPr>
        <w:pStyle w:val="5"/>
        <w:spacing w:line="500" w:lineRule="exact"/>
        <w:rPr>
          <w:szCs w:val="24"/>
        </w:rPr>
      </w:pPr>
      <w:r>
        <w:rPr>
          <w:szCs w:val="24"/>
        </w:rPr>
        <w:t>根据</w:t>
      </w:r>
      <w:r>
        <w:rPr>
          <w:rFonts w:hint="eastAsia"/>
          <w:szCs w:val="24"/>
        </w:rPr>
        <w:t>中伟公司各地多年运行经验，陶瓷膜过滤去除重金属可达到91.6%以上，本次评价陶瓷膜过滤去除钴按90%计。</w:t>
      </w:r>
    </w:p>
    <w:p w14:paraId="3C1DB72D">
      <w:pPr>
        <w:pStyle w:val="5"/>
        <w:spacing w:line="500" w:lineRule="exact"/>
        <w:ind w:firstLine="490" w:firstLineChars="200"/>
        <w:rPr>
          <w:szCs w:val="24"/>
        </w:rPr>
      </w:pPr>
      <w:r>
        <w:rPr>
          <w:szCs w:val="24"/>
        </w:rPr>
        <w:t>（</w:t>
      </w:r>
      <w:r>
        <w:rPr>
          <w:rFonts w:hint="eastAsia"/>
          <w:szCs w:val="24"/>
        </w:rPr>
        <w:t>4</w:t>
      </w:r>
      <w:r>
        <w:rPr>
          <w:szCs w:val="24"/>
        </w:rPr>
        <w:t>）MVR蒸发结晶</w:t>
      </w:r>
    </w:p>
    <w:p w14:paraId="5B091F2D">
      <w:pPr>
        <w:pStyle w:val="5"/>
        <w:spacing w:line="500" w:lineRule="exact"/>
        <w:rPr>
          <w:rFonts w:ascii="宋体" w:hAnsi="宋体" w:cs="宋体"/>
          <w:szCs w:val="24"/>
        </w:rPr>
      </w:pPr>
      <w:r>
        <w:rPr>
          <w:rFonts w:hint="eastAsia"/>
          <w:szCs w:val="24"/>
        </w:rPr>
        <w:t>项目废水在S8、S9污水处理车间使用MVR去除硫酸盐。</w:t>
      </w:r>
    </w:p>
    <w:p w14:paraId="07FDD56C">
      <w:pPr>
        <w:pStyle w:val="5"/>
        <w:spacing w:line="500" w:lineRule="exact"/>
        <w:rPr>
          <w:szCs w:val="24"/>
        </w:rPr>
      </w:pPr>
      <w:r>
        <w:rPr>
          <w:rFonts w:hint="eastAsia" w:ascii="宋体" w:hAnsi="宋体" w:cs="宋体"/>
          <w:szCs w:val="24"/>
        </w:rPr>
        <w:t>①</w:t>
      </w:r>
      <w:r>
        <w:rPr>
          <w:szCs w:val="24"/>
        </w:rPr>
        <w:t>MVR蒸发原理</w:t>
      </w:r>
    </w:p>
    <w:p w14:paraId="2FF13C12">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机械式蒸汽再压缩（MVR）蒸发器，其原理是利用高能效蒸汽压缩机压缩蒸发产生的二次蒸汽，把电能转换成热能，提高二次蒸汽的焓，被提高热能的二次蒸汽打入蒸发室进行加热，以达到循环利用二次蒸汽已有的热能，从而可以不需要外部鲜蒸汽，通过蒸发器自循环来实现蒸发浓缩的目的。</w:t>
      </w:r>
    </w:p>
    <w:p w14:paraId="549A3BFB">
      <w:pPr>
        <w:spacing w:line="500" w:lineRule="exact"/>
        <w:ind w:firstLine="476"/>
        <w:rPr>
          <w:rFonts w:ascii="Arial" w:hAnsi="Arial" w:eastAsia="宋体" w:cs="Arial"/>
          <w:spacing w:val="10"/>
          <w:sz w:val="24"/>
          <w:szCs w:val="24"/>
        </w:rPr>
      </w:pPr>
      <w:r>
        <w:rPr>
          <w:rFonts w:hint="eastAsia" w:ascii="宋体" w:hAnsi="宋体" w:eastAsia="宋体" w:cs="宋体"/>
          <w:spacing w:val="10"/>
          <w:sz w:val="24"/>
          <w:szCs w:val="24"/>
        </w:rPr>
        <w:t>②</w:t>
      </w:r>
      <w:r>
        <w:rPr>
          <w:rFonts w:ascii="Arial" w:hAnsi="Arial" w:eastAsia="宋体" w:cs="Arial"/>
          <w:spacing w:val="10"/>
          <w:sz w:val="24"/>
          <w:szCs w:val="24"/>
        </w:rPr>
        <w:t>工艺思路</w:t>
      </w:r>
    </w:p>
    <w:p w14:paraId="3BFBE3ED">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根据进水水质条件， MVR采用双效降膜浓缩+强制循环蒸发结晶的方案。物料在进蒸发系统前，先经过三级预热，物料首先与MVR蒸馏水换热，再与系统内富余的二次蒸汽换热，再与鲜蒸汽换热，达到设计温度后，进入一效降膜蒸发器内进行蒸发浓缩，当物料浓缩到设计浓度时，进入二效降膜蒸发器内进行蒸发浓缩，达到设计浓度时，转移至强制循环换热器内进一步蒸发结晶，晶浆经旋流浓缩后，进入稠厚器内，稠厚器内的晶浆达到离心机进料浓度时，进行离心分离。出盐经皮带输送机送至流化床干燥系统内干燥后，进半自动打包机内打包。</w:t>
      </w:r>
    </w:p>
    <w:p w14:paraId="4963C979">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考虑到氯离子及重金属的富集对盐品质的影响，定期排放排浓液（开路母液）。</w:t>
      </w:r>
    </w:p>
    <w:p w14:paraId="143500A6">
      <w:pPr>
        <w:spacing w:line="500" w:lineRule="exact"/>
        <w:ind w:firstLine="476"/>
        <w:rPr>
          <w:rFonts w:ascii="Arial" w:hAnsi="Arial" w:eastAsia="宋体" w:cs="Arial"/>
          <w:spacing w:val="10"/>
          <w:sz w:val="24"/>
          <w:szCs w:val="24"/>
        </w:rPr>
      </w:pPr>
      <w:r>
        <w:rPr>
          <w:rFonts w:hint="eastAsia" w:ascii="宋体" w:hAnsi="宋体" w:eastAsia="宋体" w:cs="宋体"/>
          <w:spacing w:val="10"/>
          <w:sz w:val="24"/>
          <w:szCs w:val="24"/>
        </w:rPr>
        <w:t>③</w:t>
      </w:r>
      <w:r>
        <w:rPr>
          <w:rFonts w:ascii="Arial" w:hAnsi="Arial" w:eastAsia="宋体" w:cs="Arial"/>
          <w:spacing w:val="10"/>
          <w:sz w:val="24"/>
          <w:szCs w:val="24"/>
        </w:rPr>
        <w:t>物料流程</w:t>
      </w:r>
    </w:p>
    <w:p w14:paraId="5066A40A">
      <w:pPr>
        <w:spacing w:line="500" w:lineRule="exact"/>
        <w:ind w:firstLine="476"/>
        <w:rPr>
          <w:rFonts w:ascii="Arial" w:hAnsi="Arial" w:eastAsia="宋体" w:cs="Arial"/>
          <w:bCs/>
          <w:spacing w:val="10"/>
          <w:sz w:val="24"/>
          <w:szCs w:val="24"/>
        </w:rPr>
      </w:pPr>
      <w:r>
        <w:rPr>
          <w:rFonts w:ascii="Arial" w:hAnsi="Arial" w:eastAsia="宋体" w:cs="Arial"/>
          <w:bCs/>
          <w:spacing w:val="10"/>
          <w:sz w:val="24"/>
          <w:szCs w:val="24"/>
        </w:rPr>
        <w:t>MVR进料罐→预热→一/二效降膜浓缩→强制循环蒸发器→浓缩物料出料→稠厚器→离心出料→干燥打包</w:t>
      </w:r>
    </w:p>
    <w:p w14:paraId="0CAFF545">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母液从MVR进料罐经MVR进料泵送入蒸馏水预热器，与蒸馏水换热以后进入不凝气预热器，与不凝气换热后再进入鲜蒸汽预热器，预热至接近沸点温度。根据不同水量需求可分别进入一效降膜蒸发器或者强制蒸发器(下面物料流程按进入降膜蒸发器描述）。</w:t>
      </w:r>
    </w:p>
    <w:p w14:paraId="5560FF2E">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降膜蒸发采用两效设计，一效降膜循环泵将一效储料仓物料输送至一效降膜蒸发器布料盘，使物料在一效换热管内均匀布膜，料液在下降过程中，逐渐蒸发，生成二次蒸汽进入降膜分离器，浓缩液进入一效储料仓，如此循环，浓缩液通过联通管进入二效降膜蒸发器，二效降膜循环泵将二效储料仓物料输送至二效降膜蒸发器布料盘，使物料在二效换热管内均匀布膜，料液在下降过程中，逐渐蒸发，生成二次蒸汽进入降膜分离器，浓缩液进入二效储料仓，如此循环。经过两级浓缩后，物料通过降膜转料泵输送至结晶分离器。</w:t>
      </w:r>
    </w:p>
    <w:p w14:paraId="052A5A83">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浓缩液进入结晶分离器，经过强制循环泵、管式强制循环蒸发器与结晶分离器组成的强制蒸发循环体系，物料在强制循环蒸发器换热管内流动过程中，受换热管外压缩后的蒸汽加热，物料进入结晶分离器后沸腾蒸发。蒸发产生的二次蒸汽进入结晶分离室气相，浓缩液停留在结晶分离室锥壳底部育晶。待分离器内的结晶物料及物料溶液的浓度达到设计要求后，通过晶浆出料泵输送至旋液分离器进行初步固液分离，高盐浆料进入稠厚器，清液返回结晶分离器。高盐浆料在稠厚器内二次沉降后，底部浆料输送至离心机，离心后出盐进行干燥打包处理。离心母液收集至母液罐，通过母液回流泵输送至结晶分离器继续蒸发结晶处理。由于本项目羟基钴生产线的废水含COD、氨氮、钴等污染物，在已采取措施后仍无法彻底去除，在多倍浓缩后，COD、氨氮、钴等污染物富集，同时因为在高温下有机物性质的转变，变成粘稠状物，导致结晶工序不能进一步进行及析出晶体，必须将浓缩母液开路，排浓液（开路母液）定期排放。</w:t>
      </w:r>
    </w:p>
    <w:p w14:paraId="44DEFC0D">
      <w:pPr>
        <w:spacing w:line="500" w:lineRule="exact"/>
        <w:ind w:firstLine="476"/>
        <w:rPr>
          <w:rFonts w:ascii="Arial" w:hAnsi="Arial" w:eastAsia="宋体" w:cs="Arial"/>
          <w:spacing w:val="10"/>
          <w:sz w:val="24"/>
          <w:szCs w:val="24"/>
        </w:rPr>
      </w:pPr>
      <w:r>
        <w:rPr>
          <w:rFonts w:ascii="Arial" w:hAnsi="Arial" w:eastAsia="宋体" w:cs="Arial"/>
          <w:spacing w:val="10"/>
          <w:sz w:val="24"/>
          <w:szCs w:val="24"/>
        </w:rPr>
        <w:t>离心后出盐通过皮带输送机，输送至流化床干燥机，干盐通过振动筛将粗盐分离后进入干盐料仓暂存。料仓底部配备打包机，进行干盐打包处理，打包后仓储、外运。</w:t>
      </w:r>
    </w:p>
    <w:p w14:paraId="39785BDC">
      <w:pPr>
        <w:pStyle w:val="5"/>
        <w:spacing w:line="500" w:lineRule="exact"/>
        <w:ind w:firstLine="490" w:firstLineChars="200"/>
        <w:rPr>
          <w:szCs w:val="24"/>
        </w:rPr>
      </w:pPr>
      <w:r>
        <w:rPr>
          <w:szCs w:val="24"/>
        </w:rPr>
        <w:t>本项目排入MVR系统废水均为硫酸钠废水，可排入MVR内蒸发结晶。根据建设单位对MVR控制，废水经MVR蒸发结晶后硫酸盐回收率≥</w:t>
      </w:r>
      <w:r>
        <w:rPr>
          <w:rFonts w:hint="eastAsia"/>
          <w:szCs w:val="24"/>
        </w:rPr>
        <w:t>93%。</w:t>
      </w:r>
    </w:p>
    <w:p w14:paraId="5968D84B">
      <w:pPr>
        <w:pStyle w:val="5"/>
        <w:spacing w:line="500" w:lineRule="exact"/>
        <w:ind w:firstLine="490" w:firstLineChars="200"/>
      </w:pPr>
      <w:r>
        <w:t>3、依托排污管排放可行性分析</w:t>
      </w:r>
    </w:p>
    <w:p w14:paraId="263E9921">
      <w:pPr>
        <w:pStyle w:val="5"/>
        <w:spacing w:line="500" w:lineRule="exact"/>
        <w:ind w:firstLine="490" w:firstLineChars="200"/>
      </w:pPr>
      <w:r>
        <w:t>全厂生产废水排放口依托大榄坪污水处理厂排海管由污水处理厂接出，经第八大街及四号路转入第十一大街，最终向西进入金鼓江，排放至A2排放区。目前排海管已建成投入使用。</w:t>
      </w:r>
    </w:p>
    <w:p w14:paraId="4A853F56">
      <w:pPr>
        <w:pStyle w:val="5"/>
        <w:spacing w:line="500" w:lineRule="exact"/>
        <w:ind w:firstLine="490" w:firstLineChars="200"/>
        <w:rPr>
          <w:szCs w:val="24"/>
        </w:rPr>
      </w:pPr>
      <w:r>
        <w:t>排海工程管道水量设计按远期规模为20万m</w:t>
      </w:r>
      <w:r>
        <w:rPr>
          <w:vertAlign w:val="superscript"/>
        </w:rPr>
        <w:t>3</w:t>
      </w:r>
      <w:r>
        <w:t>/d，管道设计流量为2893.52L/s，设计流速为1.44m/s，采用DN1600钢管。废水在钦州港大榄坪污水深海排放区A2排放口（GX070DIV）排放，排放区位置是以E108°39′12.0″、N21°39′15.0″为中心，半径1km的海域，周围设0.5km水质过渡带。大榄坪污水处理厂近期规划排水量50000 m</w:t>
      </w:r>
      <w:r>
        <w:rPr>
          <w:vertAlign w:val="superscript"/>
        </w:rPr>
        <w:t>3</w:t>
      </w:r>
      <w:r>
        <w:t>/d，广西中伟新能源科技有限公司近期规划排水量25000 m</w:t>
      </w:r>
      <w:r>
        <w:rPr>
          <w:vertAlign w:val="superscript"/>
        </w:rPr>
        <w:t>3</w:t>
      </w:r>
      <w:r>
        <w:t>/d，废水排放量小于管道设计水量，全厂总废水排放总量在规划范围内。</w:t>
      </w:r>
    </w:p>
    <w:p w14:paraId="74DB907E">
      <w:pPr>
        <w:pStyle w:val="5"/>
        <w:spacing w:line="500" w:lineRule="exact"/>
        <w:ind w:firstLine="490" w:firstLineChars="200"/>
      </w:pPr>
      <w:r>
        <w:rPr>
          <w:rFonts w:hint="eastAsia"/>
        </w:rPr>
        <w:t>4、A2排污区纳污可行性分析</w:t>
      </w:r>
    </w:p>
    <w:p w14:paraId="26433234">
      <w:pPr>
        <w:pStyle w:val="5"/>
        <w:spacing w:line="500" w:lineRule="exact"/>
        <w:ind w:firstLine="490" w:firstLineChars="200"/>
      </w:pPr>
      <w:r>
        <w:rPr>
          <w:rFonts w:hint="eastAsia"/>
        </w:rPr>
        <w:t>根据《钦州港大榄坪物流加工区总体规划修编（2022-2035）环境影响报告书》，A2排污区设计容量为25万m</w:t>
      </w:r>
      <w:r>
        <w:rPr>
          <w:rFonts w:hint="eastAsia"/>
          <w:vertAlign w:val="superscript"/>
        </w:rPr>
        <w:t>3</w:t>
      </w:r>
      <w:r>
        <w:rPr>
          <w:rFonts w:hint="eastAsia"/>
        </w:rPr>
        <w:t>/d，其中COD最大允许排放量为25431.44t/a，氨氮214.62t/a，石油类194.4t/a。目前排入A2排污区有广西金桂浆纸业有限公司、大榄坪污水处理厂和本项目建设单位广西中伟新能源科技有限公司，其中广西金桂浆纸业有限公司废水排放量为5.0万m</w:t>
      </w:r>
      <w:r>
        <w:rPr>
          <w:rFonts w:hint="eastAsia"/>
          <w:vertAlign w:val="superscript"/>
        </w:rPr>
        <w:t>3</w:t>
      </w:r>
      <w:r>
        <w:rPr>
          <w:rFonts w:hint="eastAsia"/>
        </w:rPr>
        <w:t>/d，COD排放量879.45t/a，氨氮排放量9.65t/a；大榄坪污水处理厂废水排放量为0.6万m</w:t>
      </w:r>
      <w:r>
        <w:rPr>
          <w:rFonts w:hint="eastAsia"/>
          <w:vertAlign w:val="superscript"/>
        </w:rPr>
        <w:t>3</w:t>
      </w:r>
      <w:r>
        <w:rPr>
          <w:rFonts w:hint="eastAsia"/>
        </w:rPr>
        <w:t>/d，COD排放量28.727t/a，氨氮排放量2.258t/a；本项目实施后全厂废水排放量为0.61万m</w:t>
      </w:r>
      <w:r>
        <w:rPr>
          <w:rFonts w:hint="eastAsia"/>
          <w:vertAlign w:val="superscript"/>
        </w:rPr>
        <w:t>3</w:t>
      </w:r>
      <w:r>
        <w:rPr>
          <w:rFonts w:hint="eastAsia"/>
        </w:rPr>
        <w:t>/d，COD排放量58.8315t/a，氨氮排放量6.0813t/a，本项目实施后A2排污区未超过设计容量。</w:t>
      </w:r>
    </w:p>
    <w:p w14:paraId="7AE9B540">
      <w:pPr>
        <w:pStyle w:val="5"/>
        <w:spacing w:line="500" w:lineRule="exact"/>
        <w:ind w:firstLine="490" w:firstLineChars="200"/>
        <w:rPr>
          <w:szCs w:val="24"/>
        </w:rPr>
      </w:pPr>
      <w:r>
        <w:rPr>
          <w:rFonts w:hint="eastAsia"/>
          <w:szCs w:val="24"/>
        </w:rPr>
        <w:t>5、</w:t>
      </w:r>
      <w:r>
        <w:rPr>
          <w:szCs w:val="24"/>
        </w:rPr>
        <w:t>生活污水排放可行性</w:t>
      </w:r>
    </w:p>
    <w:p w14:paraId="72DB5993">
      <w:pPr>
        <w:pStyle w:val="5"/>
        <w:spacing w:line="500" w:lineRule="exact"/>
        <w:ind w:firstLine="490" w:firstLineChars="200"/>
        <w:rPr>
          <w:szCs w:val="24"/>
        </w:rPr>
      </w:pPr>
      <w:r>
        <w:t>生活污水经三级化粪池处理可满足大榄坪污水处理厂进水标准。大榄坪污水处理厂位于钦州市大榄坪工业区规划第八大道及五号路交汇处（厂区南侧隔路紧邻），服务范围包括大榄坪综合物流加工区、中马钦州产业园区、钦南进出口加工区、钦州港行政服务中心和钦州保税港区等，项目所在位置属于园区大榄坪污水处理厂的服务范围，周边污水管网已建成。大榄坪污水处理厂近期污水处理规模为5万m</w:t>
      </w:r>
      <w:r>
        <w:rPr>
          <w:vertAlign w:val="superscript"/>
        </w:rPr>
        <w:t>3</w:t>
      </w:r>
      <w:r>
        <w:t>/d，由于周边入驻企业较少，目前大榄坪污水处理厂水量约为0.3万m</w:t>
      </w:r>
      <w:r>
        <w:rPr>
          <w:vertAlign w:val="superscript"/>
        </w:rPr>
        <w:t>3</w:t>
      </w:r>
      <w:r>
        <w:t>/d；变更工程不新增生活污水，大榄坪污水处理厂可接纳本项目的生活污水。</w:t>
      </w:r>
    </w:p>
    <w:p w14:paraId="64084A05">
      <w:pPr>
        <w:pStyle w:val="5"/>
        <w:numPr>
          <w:ilvl w:val="0"/>
          <w:numId w:val="40"/>
        </w:numPr>
        <w:spacing w:line="500" w:lineRule="exact"/>
        <w:outlineLvl w:val="3"/>
        <w:rPr>
          <w:b/>
        </w:rPr>
      </w:pPr>
      <w:r>
        <w:rPr>
          <w:b/>
        </w:rPr>
        <w:t>废水达标可行性分析</w:t>
      </w:r>
    </w:p>
    <w:p w14:paraId="2D0C9821">
      <w:pPr>
        <w:pStyle w:val="5"/>
        <w:spacing w:line="500" w:lineRule="exact"/>
        <w:ind w:firstLine="490" w:firstLineChars="200"/>
        <w:rPr>
          <w:szCs w:val="24"/>
        </w:rPr>
      </w:pPr>
      <w:r>
        <w:rPr>
          <w:szCs w:val="24"/>
        </w:rPr>
        <w:t>1、车间排放口</w:t>
      </w:r>
    </w:p>
    <w:p w14:paraId="5734FC8F">
      <w:pPr>
        <w:pStyle w:val="5"/>
        <w:spacing w:line="500" w:lineRule="exact"/>
        <w:ind w:firstLine="490" w:firstLineChars="200"/>
        <w:rPr>
          <w:szCs w:val="24"/>
          <w:highlight w:val="yellow"/>
          <w:u w:val="single"/>
        </w:rPr>
      </w:pPr>
      <w:r>
        <w:rPr>
          <w:rFonts w:hint="eastAsia"/>
          <w:szCs w:val="24"/>
          <w:u w:val="single"/>
        </w:rPr>
        <w:t>生产废水（W1-1）经管道收集，地面清洗废水（W1-2）经地坑收集，两股废水一同经X19车间内板框压滤机和精密过滤器处理。目前生产线在调试阶段，根据建设单位2024年7月26日~8月6日对羟基钴生产线生产废水（W1-1）、地面清洗废水（W1-2）经板框压滤、精密过滤后的废水监测，钴浓度为0.05~0.91mg/L，废水满足</w:t>
      </w:r>
      <w:r>
        <w:rPr>
          <w:szCs w:val="24"/>
          <w:u w:val="single"/>
        </w:rPr>
        <w:t>《无机化学工业污染物排放标准》（GB31573-2015）车间或生产设施废水排放口标准限值要求后，</w:t>
      </w:r>
      <w:r>
        <w:rPr>
          <w:rFonts w:hint="eastAsia"/>
          <w:u w:val="single"/>
        </w:rPr>
        <w:t>通过管道泵入S7污水处理车间。</w:t>
      </w:r>
    </w:p>
    <w:p w14:paraId="26C9DA3C">
      <w:pPr>
        <w:pStyle w:val="5"/>
        <w:spacing w:line="500" w:lineRule="exact"/>
        <w:ind w:firstLine="490" w:firstLineChars="200"/>
        <w:rPr>
          <w:szCs w:val="24"/>
        </w:rPr>
      </w:pPr>
      <w:r>
        <w:rPr>
          <w:szCs w:val="24"/>
        </w:rPr>
        <w:t>2、厂区总排口</w:t>
      </w:r>
    </w:p>
    <w:p w14:paraId="28C5F2EF">
      <w:pPr>
        <w:pStyle w:val="5"/>
        <w:spacing w:line="500" w:lineRule="exact"/>
        <w:ind w:firstLine="490" w:firstLineChars="200"/>
        <w:rPr>
          <w:szCs w:val="24"/>
        </w:rPr>
      </w:pPr>
      <w:r>
        <w:rPr>
          <w:szCs w:val="24"/>
        </w:rPr>
        <w:t>根据上文工程分析废水源强核算，项目实施后全厂废水总排口满足《无机化学工业污染物排放标准》（GB31573-2015）</w:t>
      </w:r>
      <w:r>
        <w:rPr>
          <w:kern w:val="0"/>
          <w:szCs w:val="24"/>
        </w:rPr>
        <w:t>表1直接排放限值</w:t>
      </w:r>
      <w:r>
        <w:rPr>
          <w:szCs w:val="24"/>
        </w:rPr>
        <w:t>要求。</w:t>
      </w:r>
    </w:p>
    <w:p w14:paraId="4D058B12">
      <w:pPr>
        <w:pStyle w:val="5"/>
        <w:spacing w:line="500" w:lineRule="exact"/>
        <w:ind w:firstLine="490" w:firstLineChars="200"/>
        <w:rPr>
          <w:szCs w:val="24"/>
        </w:rPr>
      </w:pPr>
      <w:r>
        <w:rPr>
          <w:szCs w:val="24"/>
        </w:rPr>
        <w:t>3、生活污水排放口</w:t>
      </w:r>
    </w:p>
    <w:p w14:paraId="68B51FFB">
      <w:pPr>
        <w:pStyle w:val="5"/>
        <w:spacing w:line="500" w:lineRule="exact"/>
        <w:ind w:firstLine="490" w:firstLineChars="200"/>
        <w:rPr>
          <w:szCs w:val="24"/>
        </w:rPr>
      </w:pPr>
      <w:r>
        <w:rPr>
          <w:szCs w:val="24"/>
        </w:rPr>
        <w:t>生活污水经三级化粪池处理可满足《无机化学工业污染物排放标准》（GB31573-2015）表1间接排放限值。</w:t>
      </w:r>
    </w:p>
    <w:p w14:paraId="0798D659">
      <w:pPr>
        <w:pStyle w:val="5"/>
        <w:numPr>
          <w:ilvl w:val="1"/>
          <w:numId w:val="37"/>
        </w:numPr>
        <w:spacing w:line="500" w:lineRule="exact"/>
        <w:ind w:left="0" w:firstLine="0"/>
        <w:outlineLvl w:val="2"/>
        <w:rPr>
          <w:b/>
        </w:rPr>
      </w:pPr>
      <w:bookmarkStart w:id="369" w:name="_Toc57715644"/>
      <w:bookmarkStart w:id="370" w:name="_Toc104677330"/>
      <w:bookmarkStart w:id="371" w:name="_Toc58596484"/>
      <w:bookmarkStart w:id="372" w:name="_Toc88674807"/>
      <w:bookmarkStart w:id="373" w:name="_Toc67921897"/>
      <w:bookmarkStart w:id="374" w:name="_Toc87124285"/>
      <w:r>
        <w:rPr>
          <w:b/>
        </w:rPr>
        <w:t>地下水污染防治措施</w:t>
      </w:r>
      <w:bookmarkEnd w:id="369"/>
      <w:bookmarkEnd w:id="370"/>
      <w:bookmarkEnd w:id="371"/>
      <w:bookmarkEnd w:id="372"/>
      <w:bookmarkEnd w:id="373"/>
      <w:bookmarkEnd w:id="374"/>
    </w:p>
    <w:p w14:paraId="0D63D8F8">
      <w:pPr>
        <w:pStyle w:val="5"/>
        <w:tabs>
          <w:tab w:val="left" w:pos="1080"/>
        </w:tabs>
        <w:spacing w:line="480" w:lineRule="exact"/>
      </w:pPr>
      <w:r>
        <w:t>项目处于工业园区内，所在水文地质单元内无集中式、分散式饮用水源，项目地下水污染防治措施如下。</w:t>
      </w:r>
    </w:p>
    <w:p w14:paraId="4A876441">
      <w:pPr>
        <w:pStyle w:val="5"/>
        <w:tabs>
          <w:tab w:val="left" w:pos="1080"/>
        </w:tabs>
        <w:spacing w:line="500" w:lineRule="exact"/>
      </w:pPr>
      <w:r>
        <w:t>1、源头控制</w:t>
      </w:r>
    </w:p>
    <w:p w14:paraId="471DFA5D">
      <w:pPr>
        <w:pStyle w:val="5"/>
        <w:tabs>
          <w:tab w:val="left" w:pos="1080"/>
        </w:tabs>
        <w:spacing w:line="500" w:lineRule="exact"/>
        <w:rPr>
          <w:szCs w:val="24"/>
        </w:rPr>
      </w:pPr>
      <w:r>
        <w:rPr>
          <w:rFonts w:hint="eastAsia" w:ascii="宋体" w:hAnsi="宋体" w:cs="宋体"/>
        </w:rPr>
        <w:t>⑴</w:t>
      </w:r>
      <w:r>
        <w:t xml:space="preserve"> 加强生产和设备运行管理，提高安全意识，从原料产品储存、生产、运输、</w:t>
      </w:r>
      <w:r>
        <w:rPr>
          <w:szCs w:val="24"/>
        </w:rPr>
        <w:t>污染处理设施等全过程控制废水</w:t>
      </w:r>
      <w:r>
        <w:rPr>
          <w:rFonts w:hint="eastAsia"/>
          <w:szCs w:val="24"/>
          <w:lang w:eastAsia="zh-CN"/>
        </w:rPr>
        <w:t>泄漏</w:t>
      </w:r>
      <w:r>
        <w:rPr>
          <w:szCs w:val="24"/>
        </w:rPr>
        <w:t>。</w:t>
      </w:r>
    </w:p>
    <w:p w14:paraId="641A9913">
      <w:pPr>
        <w:pStyle w:val="5"/>
        <w:tabs>
          <w:tab w:val="left" w:pos="1080"/>
        </w:tabs>
        <w:spacing w:line="500" w:lineRule="exact"/>
        <w:rPr>
          <w:szCs w:val="24"/>
        </w:rPr>
      </w:pPr>
      <w:r>
        <w:rPr>
          <w:rFonts w:hint="eastAsia" w:ascii="宋体" w:hAnsi="宋体" w:cs="宋体"/>
          <w:szCs w:val="24"/>
        </w:rPr>
        <w:t>⑵</w:t>
      </w:r>
      <w:r>
        <w:rPr>
          <w:szCs w:val="24"/>
        </w:rPr>
        <w:t xml:space="preserve"> 建立经常性的检修制度，定期检查污染源项地下水保护设施，以便及时发现地上、地下污水的跑、冒、滴、漏，及时消除污染隐患，杜绝跑冒滴漏现象。</w:t>
      </w:r>
    </w:p>
    <w:p w14:paraId="6B6F5F31">
      <w:pPr>
        <w:pStyle w:val="5"/>
        <w:tabs>
          <w:tab w:val="left" w:pos="1080"/>
        </w:tabs>
        <w:spacing w:line="500" w:lineRule="exact"/>
        <w:rPr>
          <w:szCs w:val="24"/>
        </w:rPr>
      </w:pPr>
      <w:r>
        <w:rPr>
          <w:rFonts w:hint="eastAsia" w:ascii="宋体" w:hAnsi="宋体" w:cs="宋体"/>
          <w:szCs w:val="24"/>
        </w:rPr>
        <w:t>⑶</w:t>
      </w:r>
      <w:r>
        <w:rPr>
          <w:szCs w:val="24"/>
        </w:rPr>
        <w:t xml:space="preserve"> 发现有污染物泄漏或渗漏，采取清理污染物和修补漏洞（缝）等补救措施。</w:t>
      </w:r>
    </w:p>
    <w:p w14:paraId="2AA3CD38">
      <w:pPr>
        <w:pStyle w:val="5"/>
        <w:tabs>
          <w:tab w:val="left" w:pos="1080"/>
        </w:tabs>
        <w:spacing w:line="480" w:lineRule="exact"/>
      </w:pPr>
      <w:r>
        <w:rPr>
          <w:szCs w:val="24"/>
        </w:rPr>
        <w:t>2、分区防治措施</w:t>
      </w:r>
    </w:p>
    <w:p w14:paraId="69049EE7">
      <w:pPr>
        <w:pStyle w:val="5"/>
        <w:tabs>
          <w:tab w:val="left" w:pos="1080"/>
        </w:tabs>
        <w:spacing w:line="480" w:lineRule="exact"/>
        <w:rPr>
          <w:szCs w:val="24"/>
        </w:rPr>
      </w:pPr>
      <w:r>
        <w:t>根据《环境影响评价技术导则  地下水环境》（HJ610-2016），结合项目场地污染控制难易程度和天然包气带防污性能，场区各生产功能单元可能泄漏至地面区域的污染物性质和生产单元构筑方式，将场区划分为重点防渗区、一般防渗区和简单防渗区。根据项目总平面布置及可能</w:t>
      </w:r>
      <w:r>
        <w:rPr>
          <w:szCs w:val="24"/>
        </w:rPr>
        <w:t>引发污水渗漏的部位，对厂区分区防渗</w:t>
      </w:r>
      <w:r>
        <w:rPr>
          <w:rFonts w:hint="eastAsia"/>
          <w:szCs w:val="24"/>
        </w:rPr>
        <w:t>。</w:t>
      </w:r>
      <w:r>
        <w:rPr>
          <w:szCs w:val="24"/>
        </w:rPr>
        <w:t>本项目涉及X</w:t>
      </w:r>
      <w:r>
        <w:rPr>
          <w:rFonts w:hint="eastAsia"/>
          <w:szCs w:val="24"/>
        </w:rPr>
        <w:t>19车间，将整个X19车间设置为重点防渗区，具体要求见</w:t>
      </w:r>
      <w:r>
        <w:rPr>
          <w:szCs w:val="24"/>
        </w:rPr>
        <w:t>表5-</w:t>
      </w:r>
      <w:r>
        <w:rPr>
          <w:rFonts w:hint="eastAsia"/>
          <w:szCs w:val="24"/>
        </w:rPr>
        <w:t>4</w:t>
      </w:r>
      <w:r>
        <w:rPr>
          <w:szCs w:val="24"/>
        </w:rPr>
        <w:t>。</w:t>
      </w:r>
    </w:p>
    <w:p w14:paraId="715101A5">
      <w:pPr>
        <w:numPr>
          <w:ilvl w:val="4"/>
          <w:numId w:val="38"/>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项目分区防渗一览表</w:t>
      </w:r>
    </w:p>
    <w:tbl>
      <w:tblPr>
        <w:tblStyle w:val="88"/>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95"/>
        <w:gridCol w:w="3119"/>
        <w:gridCol w:w="2398"/>
        <w:gridCol w:w="1986"/>
      </w:tblGrid>
      <w:tr w14:paraId="1E9339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95" w:type="dxa"/>
            <w:vAlign w:val="center"/>
          </w:tcPr>
          <w:p w14:paraId="4BB90F33">
            <w:pPr>
              <w:pStyle w:val="5"/>
              <w:spacing w:line="240" w:lineRule="exact"/>
              <w:ind w:firstLine="0"/>
              <w:jc w:val="center"/>
              <w:rPr>
                <w:sz w:val="21"/>
                <w:szCs w:val="21"/>
              </w:rPr>
            </w:pPr>
            <w:r>
              <w:rPr>
                <w:sz w:val="21"/>
                <w:szCs w:val="21"/>
              </w:rPr>
              <w:t>类别</w:t>
            </w:r>
          </w:p>
        </w:tc>
        <w:tc>
          <w:tcPr>
            <w:tcW w:w="3119" w:type="dxa"/>
            <w:vAlign w:val="center"/>
          </w:tcPr>
          <w:p w14:paraId="158905E6">
            <w:pPr>
              <w:pStyle w:val="5"/>
              <w:spacing w:line="240" w:lineRule="exact"/>
              <w:ind w:firstLine="0"/>
              <w:jc w:val="center"/>
              <w:rPr>
                <w:sz w:val="21"/>
                <w:szCs w:val="21"/>
              </w:rPr>
            </w:pPr>
            <w:r>
              <w:rPr>
                <w:sz w:val="21"/>
                <w:szCs w:val="21"/>
              </w:rPr>
              <w:t>防渗分区</w:t>
            </w:r>
          </w:p>
        </w:tc>
        <w:tc>
          <w:tcPr>
            <w:tcW w:w="2398" w:type="dxa"/>
            <w:vAlign w:val="center"/>
          </w:tcPr>
          <w:p w14:paraId="44B41163">
            <w:pPr>
              <w:pStyle w:val="5"/>
              <w:spacing w:line="240" w:lineRule="exact"/>
              <w:ind w:firstLine="0"/>
              <w:jc w:val="center"/>
              <w:rPr>
                <w:sz w:val="21"/>
                <w:szCs w:val="21"/>
              </w:rPr>
            </w:pPr>
            <w:r>
              <w:rPr>
                <w:sz w:val="21"/>
                <w:szCs w:val="21"/>
              </w:rPr>
              <w:t>防渗结构</w:t>
            </w:r>
          </w:p>
        </w:tc>
        <w:tc>
          <w:tcPr>
            <w:tcW w:w="1986" w:type="dxa"/>
            <w:vAlign w:val="center"/>
          </w:tcPr>
          <w:p w14:paraId="4B0BCBB8">
            <w:pPr>
              <w:pStyle w:val="5"/>
              <w:spacing w:line="240" w:lineRule="exact"/>
              <w:ind w:firstLine="0"/>
              <w:jc w:val="center"/>
              <w:rPr>
                <w:sz w:val="21"/>
                <w:szCs w:val="21"/>
              </w:rPr>
            </w:pPr>
            <w:r>
              <w:rPr>
                <w:sz w:val="21"/>
                <w:szCs w:val="21"/>
              </w:rPr>
              <w:t>防渗基本技术要求</w:t>
            </w:r>
          </w:p>
        </w:tc>
      </w:tr>
      <w:tr w14:paraId="63EDD5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5" w:type="dxa"/>
            <w:vAlign w:val="center"/>
          </w:tcPr>
          <w:p w14:paraId="1124B18C">
            <w:pPr>
              <w:pStyle w:val="5"/>
              <w:spacing w:line="240" w:lineRule="exact"/>
              <w:ind w:firstLine="0"/>
              <w:jc w:val="center"/>
              <w:rPr>
                <w:sz w:val="21"/>
                <w:szCs w:val="21"/>
              </w:rPr>
            </w:pPr>
            <w:r>
              <w:rPr>
                <w:sz w:val="21"/>
                <w:szCs w:val="21"/>
              </w:rPr>
              <w:t>重点防渗区</w:t>
            </w:r>
          </w:p>
        </w:tc>
        <w:tc>
          <w:tcPr>
            <w:tcW w:w="3119" w:type="dxa"/>
            <w:vAlign w:val="center"/>
          </w:tcPr>
          <w:p w14:paraId="47BC0D65">
            <w:pPr>
              <w:pStyle w:val="5"/>
              <w:spacing w:line="240" w:lineRule="exact"/>
              <w:ind w:firstLine="0"/>
              <w:jc w:val="center"/>
              <w:rPr>
                <w:sz w:val="21"/>
                <w:szCs w:val="21"/>
              </w:rPr>
            </w:pPr>
            <w:r>
              <w:rPr>
                <w:rFonts w:hint="eastAsia"/>
                <w:sz w:val="21"/>
                <w:szCs w:val="21"/>
              </w:rPr>
              <w:t>X19车间</w:t>
            </w:r>
          </w:p>
        </w:tc>
        <w:tc>
          <w:tcPr>
            <w:tcW w:w="2398" w:type="dxa"/>
            <w:vAlign w:val="center"/>
          </w:tcPr>
          <w:p w14:paraId="145AA4C0">
            <w:pPr>
              <w:pStyle w:val="5"/>
              <w:spacing w:line="240" w:lineRule="exact"/>
              <w:ind w:firstLine="0"/>
              <w:jc w:val="center"/>
              <w:rPr>
                <w:sz w:val="21"/>
                <w:szCs w:val="21"/>
              </w:rPr>
            </w:pPr>
            <w:r>
              <w:rPr>
                <w:sz w:val="21"/>
              </w:rPr>
              <w:t>人工防渗层：2mm厚高密度聚乙烯+20cm水泥硬化</w:t>
            </w:r>
          </w:p>
        </w:tc>
        <w:tc>
          <w:tcPr>
            <w:tcW w:w="1986" w:type="dxa"/>
            <w:vAlign w:val="center"/>
          </w:tcPr>
          <w:p w14:paraId="746F110B">
            <w:pPr>
              <w:pStyle w:val="5"/>
              <w:spacing w:line="240" w:lineRule="exact"/>
              <w:ind w:firstLine="0"/>
              <w:jc w:val="center"/>
              <w:rPr>
                <w:sz w:val="21"/>
                <w:szCs w:val="21"/>
              </w:rPr>
            </w:pPr>
            <w:r>
              <w:rPr>
                <w:sz w:val="21"/>
                <w:szCs w:val="21"/>
              </w:rPr>
              <w:t>渗透系数≤1×10</w:t>
            </w:r>
            <w:r>
              <w:rPr>
                <w:sz w:val="21"/>
                <w:szCs w:val="21"/>
                <w:vertAlign w:val="superscript"/>
              </w:rPr>
              <w:t>-10</w:t>
            </w:r>
            <w:r>
              <w:rPr>
                <w:sz w:val="21"/>
                <w:szCs w:val="21"/>
              </w:rPr>
              <w:t>cm/s</w:t>
            </w:r>
          </w:p>
        </w:tc>
      </w:tr>
    </w:tbl>
    <w:p w14:paraId="3616D9EA">
      <w:pPr>
        <w:spacing w:line="500" w:lineRule="exact"/>
        <w:ind w:firstLine="450" w:firstLineChars="200"/>
        <w:rPr>
          <w:rFonts w:ascii="Arial" w:hAnsi="Arial" w:eastAsia="宋体" w:cs="Arial"/>
          <w:spacing w:val="10"/>
          <w:sz w:val="24"/>
          <w:szCs w:val="24"/>
        </w:rPr>
      </w:pPr>
      <w:r>
        <w:rPr>
          <w:rFonts w:ascii="Arial" w:hAnsi="Arial" w:cs="Arial"/>
          <w:sz w:val="24"/>
          <w:szCs w:val="24"/>
        </w:rPr>
        <w:t>3、</w:t>
      </w:r>
      <w:r>
        <w:rPr>
          <w:rFonts w:ascii="Arial" w:hAnsi="Arial" w:eastAsia="宋体" w:cs="Arial"/>
          <w:spacing w:val="10"/>
          <w:sz w:val="24"/>
          <w:szCs w:val="24"/>
        </w:rPr>
        <w:t>地下水污染监控</w:t>
      </w:r>
    </w:p>
    <w:p w14:paraId="25B2A7F2">
      <w:pPr>
        <w:pStyle w:val="5"/>
        <w:tabs>
          <w:tab w:val="left" w:pos="1080"/>
        </w:tabs>
        <w:spacing w:line="480" w:lineRule="exact"/>
        <w:rPr>
          <w:szCs w:val="24"/>
        </w:rPr>
      </w:pPr>
      <w:r>
        <w:rPr>
          <w:szCs w:val="24"/>
        </w:rPr>
        <w:t>根据HJ610-2016，结合整个厂区总平面布置及地下水流向，厂区已设4个跟踪监测井。</w:t>
      </w:r>
    </w:p>
    <w:p w14:paraId="51E1C2C2">
      <w:pPr>
        <w:pStyle w:val="5"/>
        <w:tabs>
          <w:tab w:val="left" w:pos="1080"/>
        </w:tabs>
        <w:spacing w:line="480" w:lineRule="exact"/>
        <w:rPr>
          <w:szCs w:val="24"/>
        </w:rPr>
      </w:pPr>
      <w:r>
        <w:rPr>
          <w:szCs w:val="24"/>
        </w:rPr>
        <w:t>监测因子包括：pH、硫酸盐、石油烃、镍、钴、锰、砷、铅、镉、铬、汞。</w:t>
      </w:r>
    </w:p>
    <w:p w14:paraId="5CF97021">
      <w:pPr>
        <w:pStyle w:val="5"/>
        <w:tabs>
          <w:tab w:val="left" w:pos="1080"/>
        </w:tabs>
        <w:spacing w:line="480" w:lineRule="exact"/>
        <w:rPr>
          <w:szCs w:val="24"/>
        </w:rPr>
      </w:pPr>
      <w:r>
        <w:rPr>
          <w:szCs w:val="24"/>
        </w:rPr>
        <w:t>监测频次：1次/年。</w:t>
      </w:r>
    </w:p>
    <w:p w14:paraId="684F9227">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4、风险事故应急响应</w:t>
      </w:r>
    </w:p>
    <w:p w14:paraId="4FA6DF26">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制定地下水风险事故应急响应预案，落实相关人员及设备，以便企业对突发事件快速作出有效处理，提出防止受污染的地下水扩散和对受污染的地下水进行治理的具体方案。</w:t>
      </w:r>
    </w:p>
    <w:p w14:paraId="4FCB8DBE">
      <w:pPr>
        <w:spacing w:line="500" w:lineRule="exact"/>
        <w:ind w:firstLine="490" w:firstLineChars="200"/>
        <w:rPr>
          <w:rFonts w:ascii="Arial" w:hAnsi="Arial" w:eastAsia="宋体" w:cs="Arial"/>
          <w:spacing w:val="10"/>
          <w:sz w:val="24"/>
          <w:szCs w:val="24"/>
        </w:rPr>
      </w:pPr>
      <w:r>
        <w:rPr>
          <w:rFonts w:ascii="Arial" w:hAnsi="Arial" w:eastAsia="宋体" w:cs="Arial"/>
          <w:spacing w:val="10"/>
          <w:sz w:val="24"/>
          <w:szCs w:val="24"/>
        </w:rPr>
        <w:t>5、管理对策</w:t>
      </w:r>
    </w:p>
    <w:p w14:paraId="4F09A32A">
      <w:pPr>
        <w:pStyle w:val="5"/>
        <w:tabs>
          <w:tab w:val="left" w:pos="1080"/>
        </w:tabs>
        <w:spacing w:line="480" w:lineRule="exact"/>
        <w:rPr>
          <w:szCs w:val="24"/>
        </w:rPr>
      </w:pPr>
      <w:r>
        <w:rPr>
          <w:szCs w:val="24"/>
        </w:rPr>
        <w:t>建立健全的环境管理体系及向生态环境部门报告制度，定期以书面报告形式向生态环境部门报告所在场地及其影响区地下水环境监测数据，排放污染物的种类、数量、浓度，以及排放设施、治理措施运行状况和运行效果等。</w:t>
      </w:r>
    </w:p>
    <w:p w14:paraId="3FC566BD">
      <w:pPr>
        <w:pStyle w:val="5"/>
        <w:numPr>
          <w:ilvl w:val="1"/>
          <w:numId w:val="37"/>
        </w:numPr>
        <w:spacing w:line="500" w:lineRule="exact"/>
        <w:ind w:left="0" w:firstLine="0"/>
        <w:outlineLvl w:val="2"/>
        <w:rPr>
          <w:b/>
        </w:rPr>
      </w:pPr>
      <w:bookmarkStart w:id="375" w:name="_Toc88674808"/>
      <w:bookmarkStart w:id="376" w:name="_Toc58596486"/>
      <w:bookmarkStart w:id="377" w:name="_Toc87124286"/>
      <w:bookmarkStart w:id="378" w:name="_Toc57715646"/>
      <w:bookmarkStart w:id="379" w:name="_Toc104677331"/>
      <w:bookmarkStart w:id="380" w:name="_Toc67921899"/>
      <w:r>
        <w:rPr>
          <w:b/>
        </w:rPr>
        <w:t>噪声污染防治措施</w:t>
      </w:r>
      <w:bookmarkEnd w:id="375"/>
      <w:bookmarkEnd w:id="376"/>
      <w:bookmarkEnd w:id="377"/>
      <w:bookmarkEnd w:id="378"/>
      <w:bookmarkEnd w:id="379"/>
      <w:bookmarkEnd w:id="380"/>
    </w:p>
    <w:p w14:paraId="13032A65">
      <w:pPr>
        <w:pStyle w:val="5"/>
        <w:spacing w:line="500" w:lineRule="exact"/>
        <w:ind w:firstLine="490" w:firstLineChars="200"/>
      </w:pPr>
      <w:r>
        <w:t>项目对周围环境可能造成影响的主要噪声源来自各种风机、各种水泵及运输车辆的噪声。</w:t>
      </w:r>
    </w:p>
    <w:p w14:paraId="7B7E0DF9">
      <w:pPr>
        <w:pStyle w:val="5"/>
        <w:spacing w:line="500" w:lineRule="exact"/>
        <w:ind w:firstLine="490" w:firstLineChars="200"/>
      </w:pPr>
      <w:r>
        <w:t>噪声污染防治首先应在设计、采购阶段选择低噪声设备，其次是对主要噪声源采取隔声、消声、吸声、减震等措施，以确保厂界噪声达标。</w:t>
      </w:r>
    </w:p>
    <w:p w14:paraId="2DEB0CE2">
      <w:pPr>
        <w:pStyle w:val="5"/>
        <w:spacing w:line="500" w:lineRule="exact"/>
        <w:ind w:firstLine="490" w:firstLineChars="200"/>
      </w:pPr>
      <w:r>
        <w:t>项目拟采取的降噪措施包括：</w:t>
      </w:r>
    </w:p>
    <w:p w14:paraId="2D5A04A8">
      <w:pPr>
        <w:pStyle w:val="5"/>
        <w:spacing w:line="500" w:lineRule="exact"/>
        <w:ind w:firstLine="490" w:firstLineChars="200"/>
      </w:pPr>
      <w:r>
        <w:t>1、生产车间建筑隔声；</w:t>
      </w:r>
    </w:p>
    <w:p w14:paraId="7171709A">
      <w:pPr>
        <w:pStyle w:val="5"/>
        <w:spacing w:line="500" w:lineRule="exact"/>
        <w:ind w:firstLine="490" w:firstLineChars="200"/>
      </w:pPr>
      <w:r>
        <w:t>2、风机进出口设置消声器；</w:t>
      </w:r>
    </w:p>
    <w:p w14:paraId="27F9C067">
      <w:pPr>
        <w:pStyle w:val="5"/>
        <w:spacing w:line="500" w:lineRule="exact"/>
        <w:ind w:firstLine="490" w:firstLineChars="200"/>
      </w:pPr>
      <w:r>
        <w:t>3、动力设备采用钢砼隔振基础，管道、阀门接口采取缓动及减震的柔性接头（口），泵机设备采取减震措施。</w:t>
      </w:r>
    </w:p>
    <w:p w14:paraId="3356FE05">
      <w:pPr>
        <w:pStyle w:val="5"/>
        <w:numPr>
          <w:ilvl w:val="1"/>
          <w:numId w:val="37"/>
        </w:numPr>
        <w:spacing w:line="500" w:lineRule="exact"/>
        <w:ind w:left="0" w:firstLine="0"/>
        <w:outlineLvl w:val="2"/>
        <w:rPr>
          <w:b/>
        </w:rPr>
      </w:pPr>
      <w:bookmarkStart w:id="381" w:name="_Toc104677332"/>
      <w:bookmarkStart w:id="382" w:name="_Toc88674809"/>
      <w:bookmarkStart w:id="383" w:name="_Toc67921900"/>
      <w:bookmarkStart w:id="384" w:name="_Toc57715647"/>
      <w:bookmarkStart w:id="385" w:name="_Toc58596487"/>
      <w:bookmarkStart w:id="386" w:name="_Toc87124287"/>
      <w:r>
        <w:rPr>
          <w:b/>
        </w:rPr>
        <w:t>固体废物污染防治措施</w:t>
      </w:r>
      <w:bookmarkEnd w:id="381"/>
      <w:bookmarkEnd w:id="382"/>
      <w:bookmarkEnd w:id="383"/>
      <w:bookmarkEnd w:id="384"/>
      <w:bookmarkEnd w:id="385"/>
      <w:bookmarkEnd w:id="386"/>
    </w:p>
    <w:p w14:paraId="2B5BCE0D">
      <w:pPr>
        <w:pStyle w:val="5"/>
        <w:spacing w:line="500" w:lineRule="exact"/>
        <w:ind w:firstLine="490" w:firstLineChars="200"/>
        <w:rPr>
          <w:szCs w:val="24"/>
        </w:rPr>
      </w:pPr>
      <w:r>
        <w:rPr>
          <w:rFonts w:hint="eastAsia"/>
          <w:szCs w:val="24"/>
        </w:rPr>
        <w:t>1</w:t>
      </w:r>
      <w:r>
        <w:rPr>
          <w:szCs w:val="24"/>
        </w:rPr>
        <w:t>、危险废物</w:t>
      </w:r>
    </w:p>
    <w:p w14:paraId="7BFC8017">
      <w:pPr>
        <w:pStyle w:val="5"/>
        <w:spacing w:line="500" w:lineRule="exact"/>
        <w:ind w:firstLine="490" w:firstLineChars="200"/>
        <w:rPr>
          <w:szCs w:val="24"/>
        </w:rPr>
      </w:pPr>
      <w:r>
        <w:rPr>
          <w:szCs w:val="24"/>
        </w:rPr>
        <w:t>本项目产生的危废主要</w:t>
      </w:r>
      <w:r>
        <w:rPr>
          <w:rFonts w:hint="eastAsia"/>
          <w:szCs w:val="24"/>
        </w:rPr>
        <w:t>为</w:t>
      </w:r>
      <w:r>
        <w:rPr>
          <w:szCs w:val="24"/>
        </w:rPr>
        <w:t>机械维修废润滑油（900-214-08）</w:t>
      </w:r>
      <w:r>
        <w:rPr>
          <w:rFonts w:hint="eastAsia"/>
        </w:rPr>
        <w:t>，产生量约0.5t/a</w:t>
      </w:r>
      <w:r>
        <w:rPr>
          <w:szCs w:val="24"/>
        </w:rPr>
        <w:t>。危险废物暂存于厂区二号地块西面的危废暂存间内，定期委托具有相应资质单位上门回收处置。</w:t>
      </w:r>
    </w:p>
    <w:p w14:paraId="20CAFB7A">
      <w:pPr>
        <w:pStyle w:val="5"/>
        <w:spacing w:line="500" w:lineRule="exact"/>
        <w:ind w:firstLine="490" w:firstLineChars="200"/>
        <w:rPr>
          <w:szCs w:val="24"/>
        </w:rPr>
      </w:pPr>
      <w:r>
        <w:rPr>
          <w:rFonts w:hint="eastAsia"/>
          <w:szCs w:val="24"/>
        </w:rPr>
        <w:t>2、一般工业固体废物</w:t>
      </w:r>
    </w:p>
    <w:p w14:paraId="261E3A62">
      <w:pPr>
        <w:pStyle w:val="5"/>
        <w:spacing w:line="500" w:lineRule="exact"/>
        <w:ind w:firstLine="490" w:firstLineChars="200"/>
        <w:rPr>
          <w:szCs w:val="24"/>
          <w:u w:val="single"/>
        </w:rPr>
      </w:pPr>
      <w:r>
        <w:rPr>
          <w:szCs w:val="24"/>
          <w:u w:val="single"/>
        </w:rPr>
        <w:t>本项目产生的</w:t>
      </w:r>
      <w:r>
        <w:rPr>
          <w:rFonts w:hint="eastAsia"/>
          <w:szCs w:val="24"/>
          <w:u w:val="single"/>
        </w:rPr>
        <w:t>一般工业固体废物主要为</w:t>
      </w:r>
      <w:r>
        <w:rPr>
          <w:rFonts w:hint="eastAsia"/>
          <w:u w:val="single"/>
        </w:rPr>
        <w:t>精密过滤器通过设备上的微孔过滤膜、废包装袋和沉降粉尘。微孔过滤膜（废物代码</w:t>
      </w:r>
      <w:r>
        <w:rPr>
          <w:u w:val="single"/>
        </w:rPr>
        <w:t>900-009-S59</w:t>
      </w:r>
      <w:r>
        <w:rPr>
          <w:rFonts w:hint="eastAsia"/>
          <w:u w:val="single"/>
        </w:rPr>
        <w:t>）约每年更换一次，产生量约为0.05t/a，委托一般工业固体废物单位</w:t>
      </w:r>
      <w:r>
        <w:rPr>
          <w:bCs/>
          <w:u w:val="single"/>
        </w:rPr>
        <w:t>综合处理</w:t>
      </w:r>
      <w:r>
        <w:rPr>
          <w:rFonts w:hint="eastAsia"/>
          <w:bCs/>
          <w:u w:val="single"/>
        </w:rPr>
        <w:t>；</w:t>
      </w:r>
      <w:r>
        <w:rPr>
          <w:bCs/>
          <w:u w:val="single"/>
        </w:rPr>
        <w:t>废包装袋（</w:t>
      </w:r>
      <w:r>
        <w:rPr>
          <w:rFonts w:hint="eastAsia"/>
          <w:u w:val="single"/>
        </w:rPr>
        <w:t>废物代码</w:t>
      </w:r>
      <w:r>
        <w:rPr>
          <w:u w:val="single"/>
        </w:rPr>
        <w:t>900-003-S17</w:t>
      </w:r>
      <w:r>
        <w:rPr>
          <w:bCs/>
          <w:u w:val="single"/>
        </w:rPr>
        <w:t>）产生量为</w:t>
      </w:r>
      <w:r>
        <w:rPr>
          <w:rFonts w:hint="eastAsia"/>
          <w:bCs/>
          <w:u w:val="single"/>
        </w:rPr>
        <w:t>29.57t/a（约147843个/a），</w:t>
      </w:r>
      <w:r>
        <w:rPr>
          <w:rFonts w:hint="eastAsia"/>
          <w:u w:val="single"/>
        </w:rPr>
        <w:t>经收集后定期送入位于地块三废包装袋生产线回用；车间沉降粉尘（废物代码</w:t>
      </w:r>
      <w:r>
        <w:rPr>
          <w:u w:val="single"/>
        </w:rPr>
        <w:t>900-002-S17</w:t>
      </w:r>
      <w:r>
        <w:rPr>
          <w:rFonts w:hint="eastAsia"/>
          <w:u w:val="single"/>
        </w:rPr>
        <w:t>）产生量为0.12t/a，经车间吸尘器收集后定期送入溶解车间回用。</w:t>
      </w:r>
    </w:p>
    <w:p w14:paraId="70B28AE1">
      <w:pPr>
        <w:pStyle w:val="5"/>
        <w:spacing w:line="500" w:lineRule="exact"/>
        <w:ind w:firstLine="490" w:firstLineChars="200"/>
        <w:rPr>
          <w:szCs w:val="24"/>
        </w:rPr>
      </w:pPr>
      <w:r>
        <w:rPr>
          <w:rFonts w:hint="eastAsia"/>
          <w:szCs w:val="24"/>
        </w:rPr>
        <w:t>3</w:t>
      </w:r>
      <w:r>
        <w:rPr>
          <w:szCs w:val="24"/>
        </w:rPr>
        <w:t>、生活垃圾</w:t>
      </w:r>
    </w:p>
    <w:p w14:paraId="0C86CC4F">
      <w:pPr>
        <w:pStyle w:val="5"/>
        <w:tabs>
          <w:tab w:val="left" w:pos="5387"/>
        </w:tabs>
        <w:spacing w:line="500" w:lineRule="exact"/>
        <w:ind w:firstLine="490" w:firstLineChars="200"/>
        <w:rPr>
          <w:szCs w:val="24"/>
        </w:rPr>
      </w:pPr>
      <w:r>
        <w:rPr>
          <w:szCs w:val="24"/>
        </w:rPr>
        <w:t>厂区内分散布置有生活垃圾收集桶，项目产生的生活垃圾收集实行分类化，纸质包装、金属包装、塑料包装和玻璃包装等通过分类收集（可利用、不可回收利用）减少垃圾的处理量，提高资源的利用率。实行生活垃圾袋装化，同时做好分类收集、防风、防雨、防渗漏措施，垃圾堆放点进行消毒，消灭害虫，避免散发恶臭，孽生蚊蝇。不可利用的生活垃圾委托环卫部门上门清理。</w:t>
      </w:r>
    </w:p>
    <w:p w14:paraId="2A589BD6">
      <w:pPr>
        <w:pStyle w:val="5"/>
        <w:numPr>
          <w:ilvl w:val="1"/>
          <w:numId w:val="37"/>
        </w:numPr>
        <w:spacing w:line="500" w:lineRule="exact"/>
        <w:ind w:left="0" w:firstLine="0"/>
        <w:outlineLvl w:val="2"/>
        <w:rPr>
          <w:b/>
        </w:rPr>
      </w:pPr>
      <w:bookmarkStart w:id="387" w:name="_Toc104677333"/>
      <w:bookmarkStart w:id="388" w:name="_Toc67921901"/>
      <w:bookmarkStart w:id="389" w:name="_Toc88674810"/>
      <w:bookmarkStart w:id="390" w:name="_Toc58596488"/>
      <w:bookmarkStart w:id="391" w:name="_Toc87124288"/>
      <w:bookmarkStart w:id="392" w:name="_Toc57715648"/>
      <w:r>
        <w:rPr>
          <w:b/>
        </w:rPr>
        <w:t>土壤污染防治措施</w:t>
      </w:r>
      <w:bookmarkEnd w:id="387"/>
      <w:bookmarkEnd w:id="388"/>
      <w:bookmarkEnd w:id="389"/>
      <w:bookmarkEnd w:id="390"/>
      <w:bookmarkEnd w:id="391"/>
      <w:bookmarkEnd w:id="392"/>
    </w:p>
    <w:p w14:paraId="245F2FDE">
      <w:pPr>
        <w:pStyle w:val="5"/>
        <w:tabs>
          <w:tab w:val="left" w:pos="1080"/>
        </w:tabs>
        <w:spacing w:line="500" w:lineRule="exact"/>
        <w:rPr>
          <w:szCs w:val="24"/>
        </w:rPr>
      </w:pPr>
      <w:r>
        <w:rPr>
          <w:szCs w:val="24"/>
        </w:rPr>
        <w:t>1、源头控制：加强管理，确保各污染源废气稳定达标排放，从源头减少大气污染沉降量。</w:t>
      </w:r>
    </w:p>
    <w:p w14:paraId="72BC2A4B">
      <w:pPr>
        <w:pStyle w:val="5"/>
        <w:tabs>
          <w:tab w:val="left" w:pos="1080"/>
        </w:tabs>
        <w:spacing w:line="500" w:lineRule="exact"/>
        <w:rPr>
          <w:szCs w:val="24"/>
        </w:rPr>
      </w:pPr>
      <w:r>
        <w:rPr>
          <w:szCs w:val="24"/>
        </w:rPr>
        <w:t>2、过程控制：按照分区防渗要求设置防渗措施，以防止土壤环境污染。</w:t>
      </w:r>
    </w:p>
    <w:p w14:paraId="37AF6680">
      <w:pPr>
        <w:pStyle w:val="5"/>
        <w:tabs>
          <w:tab w:val="left" w:pos="1080"/>
        </w:tabs>
        <w:spacing w:line="500" w:lineRule="exact"/>
        <w:rPr>
          <w:szCs w:val="24"/>
        </w:rPr>
      </w:pPr>
      <w:r>
        <w:rPr>
          <w:szCs w:val="24"/>
        </w:rPr>
        <w:t>3、跟踪监测：将土壤监测纳入企业环境监测计划。</w:t>
      </w:r>
    </w:p>
    <w:p w14:paraId="5EFBFBAA">
      <w:pPr>
        <w:pStyle w:val="5"/>
        <w:tabs>
          <w:tab w:val="left" w:pos="1080"/>
        </w:tabs>
        <w:spacing w:line="500" w:lineRule="exact"/>
        <w:rPr>
          <w:szCs w:val="24"/>
        </w:rPr>
      </w:pPr>
      <w:r>
        <w:rPr>
          <w:szCs w:val="24"/>
        </w:rPr>
        <w:t>根据上文&amp;4.2.6章节可知，在完善大气污染防治措施的情况下，大气沉降对区域土壤环境影响较小。因此，通过完善大气污染防治措施及分区防渗措施以防治土壤污染是可行的。</w:t>
      </w:r>
    </w:p>
    <w:p w14:paraId="03F28752">
      <w:pPr>
        <w:pStyle w:val="4"/>
        <w:numPr>
          <w:ilvl w:val="1"/>
          <w:numId w:val="11"/>
        </w:numPr>
        <w:tabs>
          <w:tab w:val="left" w:pos="3217"/>
        </w:tabs>
        <w:spacing w:before="214" w:beforeLines="50" w:after="214" w:afterLines="50" w:line="500" w:lineRule="exact"/>
        <w:ind w:left="567"/>
        <w:rPr>
          <w:rFonts w:ascii="Arial" w:eastAsia="宋体" w:cs="Arial"/>
          <w:b/>
        </w:rPr>
      </w:pPr>
      <w:bookmarkStart w:id="393" w:name="_Toc104677336"/>
      <w:bookmarkStart w:id="394" w:name="_Toc185950234"/>
      <w:bookmarkStart w:id="395" w:name="_Toc1742967"/>
      <w:r>
        <w:rPr>
          <w:rFonts w:ascii="Arial" w:eastAsia="宋体" w:cs="Arial"/>
          <w:b/>
        </w:rPr>
        <w:t>环保投入分析</w:t>
      </w:r>
      <w:bookmarkEnd w:id="393"/>
      <w:bookmarkEnd w:id="394"/>
      <w:bookmarkEnd w:id="395"/>
    </w:p>
    <w:p w14:paraId="0A3E111C">
      <w:pPr>
        <w:pStyle w:val="5"/>
        <w:spacing w:line="500" w:lineRule="exact"/>
        <w:ind w:firstLine="490" w:firstLineChars="200"/>
      </w:pPr>
      <w:r>
        <w:t>根据“三同时”原则，建设项目防治污染和</w:t>
      </w:r>
      <w:r>
        <w:rPr>
          <w:rFonts w:hint="eastAsia"/>
          <w:lang w:eastAsia="zh-CN"/>
        </w:rPr>
        <w:t>其他</w:t>
      </w:r>
      <w:r>
        <w:t>环保设施，必须与项目的主体工程同时设计、同时施工、同时投产使用。一期二阶段总投资</w:t>
      </w:r>
      <w:r>
        <w:rPr>
          <w:rFonts w:hint="eastAsia"/>
        </w:rPr>
        <w:t>260800万元，其中本</w:t>
      </w:r>
      <w:r>
        <w:t>项目（羟基钴生产线）总投资</w:t>
      </w:r>
      <w:r>
        <w:rPr>
          <w:rFonts w:hint="eastAsia"/>
        </w:rPr>
        <w:t>1</w:t>
      </w:r>
      <w:r>
        <w:t>000</w:t>
      </w:r>
      <w:r>
        <w:rPr>
          <w:szCs w:val="24"/>
        </w:rPr>
        <w:t>万</w:t>
      </w:r>
      <w:r>
        <w:t>元，环保投资</w:t>
      </w:r>
      <w:r>
        <w:rPr>
          <w:rFonts w:hint="eastAsia"/>
        </w:rPr>
        <w:t>20</w:t>
      </w:r>
      <w:r>
        <w:t>0万元，占项目总投资的</w:t>
      </w:r>
      <w:r>
        <w:rPr>
          <w:rFonts w:hint="eastAsia"/>
        </w:rPr>
        <w:t>20</w:t>
      </w:r>
      <w:r>
        <w:t>%。环保设施投入费用见表5-</w:t>
      </w:r>
      <w:r>
        <w:rPr>
          <w:rFonts w:hint="eastAsia"/>
        </w:rPr>
        <w:t>5</w:t>
      </w:r>
      <w:r>
        <w:t>。</w:t>
      </w:r>
    </w:p>
    <w:p w14:paraId="0A231B1E">
      <w:pPr>
        <w:keepNext/>
        <w:numPr>
          <w:ilvl w:val="4"/>
          <w:numId w:val="38"/>
        </w:numPr>
        <w:spacing w:line="500" w:lineRule="exact"/>
        <w:ind w:left="0" w:firstLine="0"/>
        <w:jc w:val="center"/>
        <w:outlineLvl w:val="4"/>
        <w:rPr>
          <w:rFonts w:ascii="Arial" w:hAnsi="Arial" w:eastAsia="宋体" w:cs="Arial"/>
          <w:b/>
          <w:sz w:val="24"/>
          <w:szCs w:val="24"/>
        </w:rPr>
      </w:pPr>
      <w:r>
        <w:rPr>
          <w:rFonts w:ascii="Arial" w:hAnsi="Arial" w:eastAsia="宋体" w:cs="Arial"/>
          <w:b/>
          <w:sz w:val="24"/>
          <w:szCs w:val="24"/>
        </w:rPr>
        <w:t>项目环保设施投入费用  单位：万元</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816"/>
        <w:gridCol w:w="1219"/>
        <w:gridCol w:w="4372"/>
        <w:gridCol w:w="708"/>
        <w:gridCol w:w="1718"/>
      </w:tblGrid>
      <w:tr w14:paraId="7B662C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Align w:val="center"/>
          </w:tcPr>
          <w:p w14:paraId="7FD40D5C">
            <w:pPr>
              <w:adjustRightInd w:val="0"/>
              <w:snapToGrid w:val="0"/>
              <w:jc w:val="center"/>
              <w:rPr>
                <w:rFonts w:ascii="Arial" w:hAnsi="Arial" w:eastAsia="宋体" w:cs="Arial"/>
                <w:sz w:val="21"/>
                <w:szCs w:val="21"/>
              </w:rPr>
            </w:pPr>
            <w:r>
              <w:rPr>
                <w:rFonts w:ascii="Arial" w:hAnsi="Arial" w:eastAsia="宋体" w:cs="Arial"/>
                <w:sz w:val="21"/>
                <w:szCs w:val="21"/>
              </w:rPr>
              <w:t>时段</w:t>
            </w:r>
          </w:p>
        </w:tc>
        <w:tc>
          <w:tcPr>
            <w:tcW w:w="690" w:type="pct"/>
            <w:vAlign w:val="center"/>
          </w:tcPr>
          <w:p w14:paraId="05117CDC">
            <w:pPr>
              <w:adjustRightInd w:val="0"/>
              <w:snapToGrid w:val="0"/>
              <w:jc w:val="center"/>
              <w:rPr>
                <w:rFonts w:ascii="Arial" w:hAnsi="Arial" w:eastAsia="宋体" w:cs="Arial"/>
                <w:sz w:val="21"/>
                <w:szCs w:val="21"/>
              </w:rPr>
            </w:pPr>
            <w:r>
              <w:rPr>
                <w:rFonts w:ascii="Arial" w:hAnsi="Arial" w:eastAsia="宋体" w:cs="Arial"/>
                <w:sz w:val="21"/>
                <w:szCs w:val="21"/>
              </w:rPr>
              <w:t>项目名称</w:t>
            </w:r>
          </w:p>
        </w:tc>
        <w:tc>
          <w:tcPr>
            <w:tcW w:w="2475" w:type="pct"/>
            <w:vAlign w:val="center"/>
          </w:tcPr>
          <w:p w14:paraId="0AEFAFE9">
            <w:pPr>
              <w:adjustRightInd w:val="0"/>
              <w:snapToGrid w:val="0"/>
              <w:jc w:val="center"/>
              <w:rPr>
                <w:rFonts w:ascii="Arial" w:hAnsi="Arial" w:eastAsia="宋体" w:cs="Arial"/>
                <w:sz w:val="21"/>
                <w:szCs w:val="21"/>
              </w:rPr>
            </w:pPr>
            <w:r>
              <w:rPr>
                <w:rFonts w:ascii="Arial" w:hAnsi="Arial" w:eastAsia="宋体" w:cs="Arial"/>
                <w:sz w:val="21"/>
                <w:szCs w:val="21"/>
              </w:rPr>
              <w:t>内容</w:t>
            </w:r>
          </w:p>
        </w:tc>
        <w:tc>
          <w:tcPr>
            <w:tcW w:w="401" w:type="pct"/>
            <w:tcMar>
              <w:top w:w="57" w:type="dxa"/>
              <w:bottom w:w="57" w:type="dxa"/>
            </w:tcMar>
            <w:vAlign w:val="center"/>
          </w:tcPr>
          <w:p w14:paraId="283C22A9">
            <w:pPr>
              <w:adjustRightInd w:val="0"/>
              <w:snapToGrid w:val="0"/>
              <w:jc w:val="center"/>
              <w:rPr>
                <w:rFonts w:ascii="Arial" w:hAnsi="Arial" w:eastAsia="宋体" w:cs="Arial"/>
                <w:sz w:val="21"/>
                <w:szCs w:val="21"/>
              </w:rPr>
            </w:pPr>
            <w:r>
              <w:rPr>
                <w:rFonts w:ascii="Arial" w:hAnsi="Arial" w:eastAsia="宋体" w:cs="Arial"/>
                <w:sz w:val="21"/>
                <w:szCs w:val="21"/>
              </w:rPr>
              <w:t>投资</w:t>
            </w:r>
          </w:p>
        </w:tc>
        <w:tc>
          <w:tcPr>
            <w:tcW w:w="972" w:type="pct"/>
            <w:vAlign w:val="center"/>
          </w:tcPr>
          <w:p w14:paraId="260A7CE5">
            <w:pPr>
              <w:adjustRightInd w:val="0"/>
              <w:snapToGrid w:val="0"/>
              <w:jc w:val="center"/>
              <w:rPr>
                <w:rFonts w:ascii="Arial" w:hAnsi="Arial" w:eastAsia="宋体" w:cs="Arial"/>
                <w:sz w:val="21"/>
                <w:szCs w:val="21"/>
              </w:rPr>
            </w:pPr>
            <w:r>
              <w:rPr>
                <w:rFonts w:ascii="Arial" w:hAnsi="Arial" w:eastAsia="宋体" w:cs="Arial"/>
                <w:sz w:val="21"/>
                <w:szCs w:val="21"/>
              </w:rPr>
              <w:t>备注</w:t>
            </w:r>
          </w:p>
        </w:tc>
      </w:tr>
      <w:tr w14:paraId="02B949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restart"/>
            <w:vAlign w:val="center"/>
          </w:tcPr>
          <w:p w14:paraId="19BEF213">
            <w:pPr>
              <w:adjustRightInd w:val="0"/>
              <w:snapToGrid w:val="0"/>
              <w:jc w:val="center"/>
              <w:rPr>
                <w:rFonts w:ascii="Arial" w:hAnsi="Arial" w:eastAsia="宋体" w:cs="Arial"/>
                <w:sz w:val="21"/>
                <w:szCs w:val="21"/>
              </w:rPr>
            </w:pPr>
            <w:bookmarkStart w:id="396" w:name="_Hlk137535758"/>
            <w:bookmarkStart w:id="397" w:name="OLE_LINK16" w:colFirst="3" w:colLast="3"/>
            <w:bookmarkStart w:id="398" w:name="OLE_LINK20" w:colFirst="3" w:colLast="3"/>
            <w:bookmarkStart w:id="399" w:name="_Hlk453693715"/>
            <w:bookmarkStart w:id="400" w:name="_Hlk471372157"/>
            <w:bookmarkStart w:id="401" w:name="OLE_LINK15" w:colFirst="3" w:colLast="3"/>
            <w:bookmarkStart w:id="402" w:name="OLE_LINK21" w:colFirst="3" w:colLast="3"/>
            <w:bookmarkStart w:id="403" w:name="OLE_LINK2"/>
            <w:bookmarkStart w:id="404" w:name="_Hlk435428872"/>
            <w:bookmarkStart w:id="405" w:name="OLE_LINK18" w:colFirst="3" w:colLast="3"/>
            <w:r>
              <w:rPr>
                <w:rFonts w:ascii="Arial" w:hAnsi="Arial" w:eastAsia="宋体" w:cs="Arial"/>
                <w:sz w:val="21"/>
                <w:szCs w:val="21"/>
              </w:rPr>
              <w:t>运营期</w:t>
            </w:r>
          </w:p>
        </w:tc>
        <w:tc>
          <w:tcPr>
            <w:tcW w:w="690" w:type="pct"/>
            <w:vMerge w:val="restart"/>
            <w:vAlign w:val="center"/>
          </w:tcPr>
          <w:p w14:paraId="4D5983DD">
            <w:pPr>
              <w:adjustRightInd w:val="0"/>
              <w:snapToGrid w:val="0"/>
              <w:jc w:val="center"/>
              <w:rPr>
                <w:rFonts w:ascii="Arial" w:hAnsi="Arial" w:eastAsia="宋体" w:cs="Arial"/>
                <w:sz w:val="21"/>
                <w:szCs w:val="21"/>
              </w:rPr>
            </w:pPr>
            <w:r>
              <w:rPr>
                <w:rFonts w:ascii="Arial" w:hAnsi="Arial" w:eastAsia="宋体" w:cs="Arial"/>
                <w:sz w:val="21"/>
                <w:szCs w:val="21"/>
              </w:rPr>
              <w:t>废气</w:t>
            </w:r>
          </w:p>
        </w:tc>
        <w:tc>
          <w:tcPr>
            <w:tcW w:w="2475" w:type="pct"/>
            <w:tcBorders>
              <w:left w:val="single" w:color="auto" w:sz="4" w:space="0"/>
            </w:tcBorders>
            <w:vAlign w:val="center"/>
          </w:tcPr>
          <w:p w14:paraId="7E24A1A1">
            <w:pPr>
              <w:adjustRightInd w:val="0"/>
              <w:snapToGrid w:val="0"/>
              <w:jc w:val="center"/>
              <w:rPr>
                <w:rFonts w:ascii="Arial" w:hAnsi="Arial" w:eastAsia="宋体" w:cs="Arial"/>
                <w:sz w:val="21"/>
                <w:szCs w:val="21"/>
              </w:rPr>
            </w:pPr>
            <w:r>
              <w:rPr>
                <w:rFonts w:hint="eastAsia" w:ascii="Arial" w:hAnsi="Arial" w:eastAsia="宋体" w:cs="Arial"/>
                <w:sz w:val="21"/>
                <w:szCs w:val="21"/>
              </w:rPr>
              <w:t>吸收塔</w:t>
            </w:r>
            <w:r>
              <w:rPr>
                <w:rFonts w:ascii="Arial" w:hAnsi="Arial" w:eastAsia="宋体" w:cs="Arial"/>
                <w:sz w:val="21"/>
                <w:szCs w:val="21"/>
              </w:rPr>
              <w:t>+</w:t>
            </w:r>
            <w:r>
              <w:rPr>
                <w:rFonts w:hint="eastAsia" w:ascii="Arial" w:hAnsi="Arial" w:eastAsia="宋体" w:cs="Arial"/>
                <w:sz w:val="21"/>
                <w:szCs w:val="21"/>
              </w:rPr>
              <w:t>1</w:t>
            </w:r>
            <w:r>
              <w:rPr>
                <w:rFonts w:ascii="Arial" w:hAnsi="Arial" w:eastAsia="宋体" w:cs="Arial"/>
                <w:sz w:val="21"/>
                <w:szCs w:val="21"/>
              </w:rPr>
              <w:t>根</w:t>
            </w:r>
            <w:r>
              <w:rPr>
                <w:rFonts w:hint="eastAsia" w:ascii="Arial" w:hAnsi="Arial" w:eastAsia="宋体" w:cs="Arial"/>
                <w:sz w:val="21"/>
                <w:szCs w:val="21"/>
              </w:rPr>
              <w:t>20</w:t>
            </w:r>
            <w:r>
              <w:rPr>
                <w:rFonts w:ascii="Arial" w:hAnsi="Arial" w:eastAsia="宋体" w:cs="Arial"/>
                <w:sz w:val="21"/>
                <w:szCs w:val="21"/>
              </w:rPr>
              <w:t>m高排气筒</w:t>
            </w:r>
          </w:p>
        </w:tc>
        <w:tc>
          <w:tcPr>
            <w:tcW w:w="401" w:type="pct"/>
            <w:tcMar>
              <w:top w:w="28" w:type="dxa"/>
              <w:bottom w:w="28" w:type="dxa"/>
            </w:tcMar>
            <w:vAlign w:val="center"/>
          </w:tcPr>
          <w:p w14:paraId="5E59905A">
            <w:pPr>
              <w:adjustRightInd w:val="0"/>
              <w:snapToGrid w:val="0"/>
              <w:jc w:val="center"/>
              <w:rPr>
                <w:rFonts w:ascii="Arial" w:hAnsi="Arial" w:eastAsia="宋体" w:cs="Arial"/>
                <w:sz w:val="21"/>
                <w:szCs w:val="21"/>
              </w:rPr>
            </w:pPr>
            <w:r>
              <w:rPr>
                <w:rFonts w:hint="eastAsia" w:ascii="Arial" w:hAnsi="Arial" w:eastAsia="宋体" w:cs="Arial"/>
                <w:sz w:val="21"/>
                <w:szCs w:val="21"/>
              </w:rPr>
              <w:t>30</w:t>
            </w:r>
          </w:p>
        </w:tc>
        <w:tc>
          <w:tcPr>
            <w:tcW w:w="972" w:type="pct"/>
            <w:vAlign w:val="center"/>
          </w:tcPr>
          <w:p w14:paraId="2D03B812">
            <w:pPr>
              <w:adjustRightInd w:val="0"/>
              <w:snapToGrid w:val="0"/>
              <w:jc w:val="center"/>
              <w:rPr>
                <w:rFonts w:ascii="Arial" w:hAnsi="Arial" w:eastAsia="宋体" w:cs="Arial"/>
                <w:sz w:val="21"/>
                <w:szCs w:val="21"/>
              </w:rPr>
            </w:pPr>
            <w:r>
              <w:rPr>
                <w:rFonts w:ascii="Arial" w:hAnsi="Arial" w:eastAsia="宋体" w:cs="Arial"/>
                <w:sz w:val="21"/>
                <w:szCs w:val="21"/>
              </w:rPr>
              <w:t>排气筒依托变更前</w:t>
            </w:r>
          </w:p>
        </w:tc>
      </w:tr>
      <w:tr w14:paraId="71F95B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19393DDC">
            <w:pPr>
              <w:adjustRightInd w:val="0"/>
              <w:snapToGrid w:val="0"/>
              <w:jc w:val="center"/>
              <w:rPr>
                <w:rFonts w:ascii="Arial" w:hAnsi="Arial" w:eastAsia="宋体" w:cs="Arial"/>
                <w:sz w:val="21"/>
                <w:szCs w:val="21"/>
              </w:rPr>
            </w:pPr>
          </w:p>
        </w:tc>
        <w:tc>
          <w:tcPr>
            <w:tcW w:w="690" w:type="pct"/>
            <w:vMerge w:val="continue"/>
            <w:vAlign w:val="center"/>
          </w:tcPr>
          <w:p w14:paraId="4406D3BA">
            <w:pPr>
              <w:adjustRightInd w:val="0"/>
              <w:snapToGrid w:val="0"/>
              <w:jc w:val="center"/>
              <w:rPr>
                <w:rFonts w:ascii="Arial" w:hAnsi="Arial" w:eastAsia="宋体" w:cs="Arial"/>
                <w:sz w:val="21"/>
                <w:szCs w:val="21"/>
              </w:rPr>
            </w:pPr>
          </w:p>
        </w:tc>
        <w:tc>
          <w:tcPr>
            <w:tcW w:w="2475" w:type="pct"/>
            <w:tcBorders>
              <w:left w:val="single" w:color="auto" w:sz="4" w:space="0"/>
            </w:tcBorders>
            <w:vAlign w:val="center"/>
          </w:tcPr>
          <w:p w14:paraId="54F556E4">
            <w:pPr>
              <w:adjustRightInd w:val="0"/>
              <w:snapToGrid w:val="0"/>
              <w:jc w:val="center"/>
              <w:rPr>
                <w:rFonts w:ascii="Arial" w:hAnsi="Arial" w:eastAsia="宋体" w:cs="Arial"/>
                <w:sz w:val="21"/>
                <w:szCs w:val="21"/>
              </w:rPr>
            </w:pPr>
            <w:r>
              <w:rPr>
                <w:rFonts w:hint="eastAsia" w:ascii="Arial" w:hAnsi="Arial" w:eastAsia="宋体" w:cs="Arial"/>
                <w:sz w:val="21"/>
                <w:szCs w:val="21"/>
              </w:rPr>
              <w:t>脉冲布袋除尘器+吸收塔</w:t>
            </w:r>
            <w:r>
              <w:rPr>
                <w:rFonts w:ascii="Arial" w:hAnsi="Arial" w:eastAsia="宋体" w:cs="Arial"/>
                <w:sz w:val="21"/>
                <w:szCs w:val="21"/>
              </w:rPr>
              <w:t>+1根</w:t>
            </w:r>
            <w:r>
              <w:rPr>
                <w:rFonts w:hint="eastAsia" w:ascii="Arial" w:hAnsi="Arial" w:eastAsia="宋体" w:cs="Arial"/>
                <w:sz w:val="21"/>
                <w:szCs w:val="21"/>
              </w:rPr>
              <w:t>20</w:t>
            </w:r>
            <w:r>
              <w:rPr>
                <w:rFonts w:ascii="Arial" w:hAnsi="Arial" w:eastAsia="宋体" w:cs="Arial"/>
                <w:sz w:val="21"/>
                <w:szCs w:val="21"/>
              </w:rPr>
              <w:t>m高排气筒</w:t>
            </w:r>
          </w:p>
        </w:tc>
        <w:tc>
          <w:tcPr>
            <w:tcW w:w="401" w:type="pct"/>
            <w:tcMar>
              <w:top w:w="28" w:type="dxa"/>
              <w:bottom w:w="28" w:type="dxa"/>
            </w:tcMar>
            <w:vAlign w:val="center"/>
          </w:tcPr>
          <w:p w14:paraId="63135E3D">
            <w:pPr>
              <w:adjustRightInd w:val="0"/>
              <w:snapToGrid w:val="0"/>
              <w:jc w:val="center"/>
              <w:rPr>
                <w:rFonts w:ascii="Arial" w:hAnsi="Arial" w:eastAsia="宋体" w:cs="Arial"/>
                <w:sz w:val="21"/>
                <w:szCs w:val="21"/>
              </w:rPr>
            </w:pPr>
            <w:r>
              <w:rPr>
                <w:rFonts w:hint="eastAsia" w:ascii="Arial" w:hAnsi="Arial" w:eastAsia="宋体" w:cs="Arial"/>
                <w:sz w:val="21"/>
                <w:szCs w:val="21"/>
              </w:rPr>
              <w:t>40</w:t>
            </w:r>
          </w:p>
        </w:tc>
        <w:tc>
          <w:tcPr>
            <w:tcW w:w="972" w:type="pct"/>
            <w:vAlign w:val="center"/>
          </w:tcPr>
          <w:p w14:paraId="79133C33">
            <w:pPr>
              <w:adjustRightInd w:val="0"/>
              <w:snapToGrid w:val="0"/>
              <w:jc w:val="center"/>
              <w:rPr>
                <w:rFonts w:ascii="Arial" w:hAnsi="Arial" w:eastAsia="宋体" w:cs="Arial"/>
                <w:sz w:val="21"/>
                <w:szCs w:val="21"/>
              </w:rPr>
            </w:pPr>
            <w:r>
              <w:rPr>
                <w:rFonts w:ascii="Arial" w:hAnsi="Arial" w:eastAsia="宋体" w:cs="Arial"/>
                <w:sz w:val="21"/>
                <w:szCs w:val="21"/>
              </w:rPr>
              <w:t>排气筒依托变更前</w:t>
            </w:r>
          </w:p>
        </w:tc>
      </w:tr>
      <w:bookmarkEnd w:id="396"/>
      <w:bookmarkEnd w:id="397"/>
      <w:bookmarkEnd w:id="398"/>
      <w:bookmarkEnd w:id="399"/>
      <w:bookmarkEnd w:id="400"/>
      <w:bookmarkEnd w:id="401"/>
      <w:bookmarkEnd w:id="402"/>
      <w:bookmarkEnd w:id="403"/>
      <w:bookmarkEnd w:id="404"/>
      <w:bookmarkEnd w:id="405"/>
      <w:tr w14:paraId="346F49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06476BA3">
            <w:pPr>
              <w:adjustRightInd w:val="0"/>
              <w:snapToGrid w:val="0"/>
              <w:jc w:val="center"/>
              <w:rPr>
                <w:rFonts w:ascii="Arial" w:hAnsi="Arial" w:eastAsia="宋体" w:cs="Arial"/>
                <w:sz w:val="21"/>
                <w:szCs w:val="21"/>
                <w:highlight w:val="yellow"/>
              </w:rPr>
            </w:pPr>
          </w:p>
        </w:tc>
        <w:tc>
          <w:tcPr>
            <w:tcW w:w="690" w:type="pct"/>
            <w:vMerge w:val="restart"/>
            <w:vAlign w:val="center"/>
          </w:tcPr>
          <w:p w14:paraId="7CF90109">
            <w:pPr>
              <w:adjustRightInd w:val="0"/>
              <w:snapToGrid w:val="0"/>
              <w:jc w:val="center"/>
              <w:rPr>
                <w:rFonts w:ascii="Arial" w:hAnsi="Arial" w:eastAsia="宋体" w:cs="Arial"/>
                <w:sz w:val="21"/>
                <w:szCs w:val="21"/>
              </w:rPr>
            </w:pPr>
            <w:r>
              <w:rPr>
                <w:rFonts w:ascii="Arial" w:hAnsi="Arial" w:eastAsia="宋体" w:cs="Arial"/>
                <w:sz w:val="21"/>
                <w:szCs w:val="21"/>
              </w:rPr>
              <w:t>废水</w:t>
            </w:r>
          </w:p>
        </w:tc>
        <w:tc>
          <w:tcPr>
            <w:tcW w:w="2475" w:type="pct"/>
            <w:tcBorders>
              <w:left w:val="single" w:color="auto" w:sz="4" w:space="0"/>
            </w:tcBorders>
            <w:vAlign w:val="center"/>
          </w:tcPr>
          <w:p w14:paraId="77A9B8A4">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X19车间板框过滤</w:t>
            </w:r>
            <w:r>
              <w:rPr>
                <w:rFonts w:ascii="Arial" w:hAnsi="Arial" w:eastAsia="宋体" w:cs="Arial"/>
                <w:spacing w:val="10"/>
                <w:sz w:val="21"/>
                <w:szCs w:val="21"/>
              </w:rPr>
              <w:t>废水预处理系统</w:t>
            </w:r>
          </w:p>
        </w:tc>
        <w:tc>
          <w:tcPr>
            <w:tcW w:w="401" w:type="pct"/>
            <w:tcMar>
              <w:top w:w="28" w:type="dxa"/>
              <w:bottom w:w="28" w:type="dxa"/>
            </w:tcMar>
            <w:vAlign w:val="center"/>
          </w:tcPr>
          <w:p w14:paraId="451D6DE1">
            <w:pPr>
              <w:adjustRightInd w:val="0"/>
              <w:snapToGrid w:val="0"/>
              <w:jc w:val="center"/>
              <w:rPr>
                <w:rFonts w:ascii="Arial" w:hAnsi="Arial" w:eastAsia="宋体" w:cs="Arial"/>
                <w:sz w:val="21"/>
                <w:szCs w:val="21"/>
              </w:rPr>
            </w:pPr>
            <w:r>
              <w:rPr>
                <w:rFonts w:hint="eastAsia" w:ascii="Arial" w:hAnsi="Arial" w:eastAsia="宋体" w:cs="Arial"/>
                <w:sz w:val="21"/>
                <w:szCs w:val="21"/>
              </w:rPr>
              <w:t>7</w:t>
            </w:r>
            <w:r>
              <w:rPr>
                <w:rFonts w:ascii="Arial" w:hAnsi="Arial" w:eastAsia="宋体" w:cs="Arial"/>
                <w:sz w:val="21"/>
                <w:szCs w:val="21"/>
              </w:rPr>
              <w:t>0</w:t>
            </w:r>
          </w:p>
        </w:tc>
        <w:tc>
          <w:tcPr>
            <w:tcW w:w="972" w:type="pct"/>
            <w:vAlign w:val="center"/>
          </w:tcPr>
          <w:p w14:paraId="150D25C9">
            <w:pPr>
              <w:adjustRightInd w:val="0"/>
              <w:snapToGrid w:val="0"/>
              <w:jc w:val="center"/>
              <w:rPr>
                <w:rFonts w:ascii="Arial" w:hAnsi="Arial" w:eastAsia="宋体" w:cs="Arial"/>
                <w:sz w:val="21"/>
                <w:szCs w:val="21"/>
              </w:rPr>
            </w:pPr>
          </w:p>
        </w:tc>
      </w:tr>
      <w:tr w14:paraId="5E42DC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2C6BC613">
            <w:pPr>
              <w:adjustRightInd w:val="0"/>
              <w:snapToGrid w:val="0"/>
              <w:jc w:val="center"/>
              <w:rPr>
                <w:rFonts w:ascii="Arial" w:hAnsi="Arial" w:eastAsia="宋体" w:cs="Arial"/>
                <w:sz w:val="21"/>
                <w:szCs w:val="21"/>
                <w:highlight w:val="yellow"/>
              </w:rPr>
            </w:pPr>
          </w:p>
        </w:tc>
        <w:tc>
          <w:tcPr>
            <w:tcW w:w="690" w:type="pct"/>
            <w:vMerge w:val="continue"/>
            <w:vAlign w:val="center"/>
          </w:tcPr>
          <w:p w14:paraId="3D9AA384">
            <w:pPr>
              <w:adjustRightInd w:val="0"/>
              <w:snapToGrid w:val="0"/>
              <w:jc w:val="center"/>
              <w:rPr>
                <w:rFonts w:ascii="Arial" w:hAnsi="Arial" w:eastAsia="宋体" w:cs="Arial"/>
                <w:sz w:val="21"/>
                <w:szCs w:val="21"/>
              </w:rPr>
            </w:pPr>
          </w:p>
        </w:tc>
        <w:tc>
          <w:tcPr>
            <w:tcW w:w="2475" w:type="pct"/>
            <w:tcBorders>
              <w:left w:val="single" w:color="auto" w:sz="4" w:space="0"/>
            </w:tcBorders>
            <w:vAlign w:val="center"/>
          </w:tcPr>
          <w:p w14:paraId="707FC5E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w:t>
            </w:r>
            <w:r>
              <w:rPr>
                <w:rFonts w:hint="eastAsia" w:ascii="Arial" w:hAnsi="Arial" w:eastAsia="宋体" w:cs="Arial"/>
                <w:spacing w:val="10"/>
                <w:sz w:val="21"/>
                <w:szCs w:val="21"/>
              </w:rPr>
              <w:t>7脱氨</w:t>
            </w:r>
            <w:r>
              <w:rPr>
                <w:rFonts w:ascii="Arial" w:hAnsi="Arial" w:eastAsia="宋体" w:cs="Arial"/>
                <w:spacing w:val="10"/>
                <w:sz w:val="21"/>
                <w:szCs w:val="21"/>
              </w:rPr>
              <w:t>陶瓷膜过滤污水处理系统</w:t>
            </w:r>
          </w:p>
        </w:tc>
        <w:tc>
          <w:tcPr>
            <w:tcW w:w="401" w:type="pct"/>
            <w:tcMar>
              <w:top w:w="28" w:type="dxa"/>
              <w:bottom w:w="28" w:type="dxa"/>
            </w:tcMar>
            <w:vAlign w:val="center"/>
          </w:tcPr>
          <w:p w14:paraId="70D85601">
            <w:pPr>
              <w:adjustRightInd w:val="0"/>
              <w:snapToGrid w:val="0"/>
              <w:jc w:val="center"/>
              <w:rPr>
                <w:rFonts w:ascii="Arial" w:hAnsi="Arial" w:eastAsia="宋体" w:cs="Arial"/>
                <w:sz w:val="21"/>
                <w:szCs w:val="21"/>
              </w:rPr>
            </w:pPr>
            <w:r>
              <w:rPr>
                <w:rFonts w:hint="eastAsia" w:ascii="Arial" w:hAnsi="Arial" w:eastAsia="宋体" w:cs="Arial"/>
                <w:sz w:val="21"/>
                <w:szCs w:val="21"/>
              </w:rPr>
              <w:t>/</w:t>
            </w:r>
          </w:p>
        </w:tc>
        <w:tc>
          <w:tcPr>
            <w:tcW w:w="972" w:type="pct"/>
            <w:vAlign w:val="center"/>
          </w:tcPr>
          <w:p w14:paraId="366866F7">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14:paraId="661389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4609AC18">
            <w:pPr>
              <w:adjustRightInd w:val="0"/>
              <w:snapToGrid w:val="0"/>
              <w:jc w:val="center"/>
              <w:rPr>
                <w:rFonts w:ascii="Arial" w:hAnsi="Arial" w:eastAsia="宋体" w:cs="Arial"/>
                <w:sz w:val="21"/>
                <w:szCs w:val="21"/>
                <w:highlight w:val="yellow"/>
              </w:rPr>
            </w:pPr>
          </w:p>
        </w:tc>
        <w:tc>
          <w:tcPr>
            <w:tcW w:w="690" w:type="pct"/>
            <w:vMerge w:val="continue"/>
            <w:vAlign w:val="center"/>
          </w:tcPr>
          <w:p w14:paraId="7C1BEACF">
            <w:pPr>
              <w:adjustRightInd w:val="0"/>
              <w:snapToGrid w:val="0"/>
              <w:jc w:val="center"/>
              <w:rPr>
                <w:rFonts w:ascii="Arial" w:hAnsi="Arial" w:eastAsia="宋体" w:cs="Arial"/>
                <w:sz w:val="21"/>
                <w:szCs w:val="21"/>
              </w:rPr>
            </w:pPr>
          </w:p>
        </w:tc>
        <w:tc>
          <w:tcPr>
            <w:tcW w:w="2475" w:type="pct"/>
            <w:tcBorders>
              <w:left w:val="single" w:color="auto" w:sz="4" w:space="0"/>
            </w:tcBorders>
            <w:vAlign w:val="center"/>
          </w:tcPr>
          <w:p w14:paraId="560BFC1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S8、S9MVR污水处理系统</w:t>
            </w:r>
          </w:p>
        </w:tc>
        <w:tc>
          <w:tcPr>
            <w:tcW w:w="401" w:type="pct"/>
            <w:tcMar>
              <w:top w:w="28" w:type="dxa"/>
              <w:bottom w:w="28" w:type="dxa"/>
            </w:tcMar>
            <w:vAlign w:val="center"/>
          </w:tcPr>
          <w:p w14:paraId="24D2BF9F">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972" w:type="pct"/>
            <w:vAlign w:val="center"/>
          </w:tcPr>
          <w:p w14:paraId="440DF241">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14:paraId="7D6A7E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16A1C212">
            <w:pPr>
              <w:adjustRightInd w:val="0"/>
              <w:snapToGrid w:val="0"/>
              <w:jc w:val="center"/>
              <w:rPr>
                <w:rFonts w:ascii="Arial" w:hAnsi="Arial" w:eastAsia="宋体" w:cs="Arial"/>
                <w:sz w:val="21"/>
                <w:szCs w:val="21"/>
                <w:highlight w:val="yellow"/>
              </w:rPr>
            </w:pPr>
          </w:p>
        </w:tc>
        <w:tc>
          <w:tcPr>
            <w:tcW w:w="690" w:type="pct"/>
            <w:vMerge w:val="continue"/>
            <w:vAlign w:val="center"/>
          </w:tcPr>
          <w:p w14:paraId="569EFC7D">
            <w:pPr>
              <w:adjustRightInd w:val="0"/>
              <w:snapToGrid w:val="0"/>
              <w:jc w:val="center"/>
              <w:rPr>
                <w:rFonts w:ascii="Arial" w:hAnsi="Arial" w:eastAsia="宋体" w:cs="Arial"/>
                <w:sz w:val="21"/>
                <w:szCs w:val="21"/>
              </w:rPr>
            </w:pPr>
          </w:p>
        </w:tc>
        <w:tc>
          <w:tcPr>
            <w:tcW w:w="2475" w:type="pct"/>
            <w:tcBorders>
              <w:left w:val="single" w:color="auto" w:sz="4" w:space="0"/>
            </w:tcBorders>
            <w:vAlign w:val="center"/>
          </w:tcPr>
          <w:p w14:paraId="2C4919F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综合污水处理站</w:t>
            </w:r>
          </w:p>
        </w:tc>
        <w:tc>
          <w:tcPr>
            <w:tcW w:w="401" w:type="pct"/>
            <w:tcMar>
              <w:top w:w="28" w:type="dxa"/>
              <w:bottom w:w="28" w:type="dxa"/>
            </w:tcMar>
            <w:vAlign w:val="center"/>
          </w:tcPr>
          <w:p w14:paraId="0B769278">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972" w:type="pct"/>
            <w:vAlign w:val="center"/>
          </w:tcPr>
          <w:p w14:paraId="5EDDC8BA">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14:paraId="3FDD7F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79779927">
            <w:pPr>
              <w:adjustRightInd w:val="0"/>
              <w:snapToGrid w:val="0"/>
              <w:jc w:val="center"/>
              <w:rPr>
                <w:rFonts w:ascii="Arial" w:hAnsi="Arial" w:eastAsia="宋体" w:cs="Arial"/>
                <w:sz w:val="21"/>
                <w:szCs w:val="21"/>
                <w:highlight w:val="yellow"/>
              </w:rPr>
            </w:pPr>
          </w:p>
        </w:tc>
        <w:tc>
          <w:tcPr>
            <w:tcW w:w="690" w:type="pct"/>
            <w:vMerge w:val="continue"/>
            <w:vAlign w:val="center"/>
          </w:tcPr>
          <w:p w14:paraId="7C3B637A">
            <w:pPr>
              <w:adjustRightInd w:val="0"/>
              <w:snapToGrid w:val="0"/>
              <w:jc w:val="center"/>
              <w:rPr>
                <w:rFonts w:ascii="Arial" w:hAnsi="Arial" w:eastAsia="宋体" w:cs="Arial"/>
                <w:sz w:val="21"/>
                <w:szCs w:val="21"/>
              </w:rPr>
            </w:pPr>
          </w:p>
        </w:tc>
        <w:tc>
          <w:tcPr>
            <w:tcW w:w="2475" w:type="pct"/>
            <w:tcBorders>
              <w:left w:val="single" w:color="auto" w:sz="4" w:space="0"/>
            </w:tcBorders>
            <w:vAlign w:val="center"/>
          </w:tcPr>
          <w:p w14:paraId="0D64385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三级化粪池</w:t>
            </w:r>
          </w:p>
        </w:tc>
        <w:tc>
          <w:tcPr>
            <w:tcW w:w="401" w:type="pct"/>
            <w:tcMar>
              <w:top w:w="28" w:type="dxa"/>
              <w:bottom w:w="28" w:type="dxa"/>
            </w:tcMar>
            <w:vAlign w:val="center"/>
          </w:tcPr>
          <w:p w14:paraId="58D1D5D7">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972" w:type="pct"/>
            <w:vAlign w:val="center"/>
          </w:tcPr>
          <w:p w14:paraId="05058575">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14:paraId="7587F5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2F76A1E0">
            <w:pPr>
              <w:adjustRightInd w:val="0"/>
              <w:snapToGrid w:val="0"/>
              <w:jc w:val="center"/>
              <w:rPr>
                <w:rFonts w:ascii="Arial" w:hAnsi="Arial" w:eastAsia="宋体" w:cs="Arial"/>
                <w:sz w:val="21"/>
                <w:szCs w:val="21"/>
                <w:highlight w:val="yellow"/>
              </w:rPr>
            </w:pPr>
          </w:p>
        </w:tc>
        <w:tc>
          <w:tcPr>
            <w:tcW w:w="690" w:type="pct"/>
            <w:vMerge w:val="continue"/>
            <w:vAlign w:val="center"/>
          </w:tcPr>
          <w:p w14:paraId="752CEC68">
            <w:pPr>
              <w:adjustRightInd w:val="0"/>
              <w:snapToGrid w:val="0"/>
              <w:jc w:val="center"/>
              <w:rPr>
                <w:rFonts w:ascii="Arial" w:hAnsi="Arial" w:eastAsia="宋体" w:cs="Arial"/>
                <w:sz w:val="21"/>
                <w:szCs w:val="21"/>
              </w:rPr>
            </w:pPr>
          </w:p>
        </w:tc>
        <w:tc>
          <w:tcPr>
            <w:tcW w:w="2475" w:type="pct"/>
            <w:tcBorders>
              <w:left w:val="single" w:color="auto" w:sz="4" w:space="0"/>
            </w:tcBorders>
            <w:vAlign w:val="center"/>
          </w:tcPr>
          <w:p w14:paraId="5776506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初期雨水池</w:t>
            </w:r>
          </w:p>
        </w:tc>
        <w:tc>
          <w:tcPr>
            <w:tcW w:w="401" w:type="pct"/>
            <w:tcMar>
              <w:top w:w="28" w:type="dxa"/>
              <w:bottom w:w="28" w:type="dxa"/>
            </w:tcMar>
            <w:vAlign w:val="center"/>
          </w:tcPr>
          <w:p w14:paraId="70F7A515">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972" w:type="pct"/>
            <w:vAlign w:val="center"/>
          </w:tcPr>
          <w:p w14:paraId="678507C5">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14:paraId="08CF81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7BD656D4">
            <w:pPr>
              <w:adjustRightInd w:val="0"/>
              <w:snapToGrid w:val="0"/>
              <w:jc w:val="center"/>
              <w:rPr>
                <w:rFonts w:ascii="Arial" w:hAnsi="Arial" w:eastAsia="宋体" w:cs="Arial"/>
                <w:sz w:val="21"/>
                <w:szCs w:val="21"/>
                <w:highlight w:val="yellow"/>
              </w:rPr>
            </w:pPr>
          </w:p>
        </w:tc>
        <w:tc>
          <w:tcPr>
            <w:tcW w:w="690" w:type="pct"/>
            <w:vMerge w:val="continue"/>
            <w:vAlign w:val="center"/>
          </w:tcPr>
          <w:p w14:paraId="68CDF0EF">
            <w:pPr>
              <w:adjustRightInd w:val="0"/>
              <w:snapToGrid w:val="0"/>
              <w:jc w:val="center"/>
              <w:rPr>
                <w:rFonts w:ascii="Arial" w:hAnsi="Arial" w:eastAsia="宋体" w:cs="Arial"/>
                <w:sz w:val="21"/>
                <w:szCs w:val="21"/>
              </w:rPr>
            </w:pPr>
          </w:p>
        </w:tc>
        <w:tc>
          <w:tcPr>
            <w:tcW w:w="2475" w:type="pct"/>
            <w:tcBorders>
              <w:left w:val="single" w:color="auto" w:sz="4" w:space="0"/>
            </w:tcBorders>
            <w:vAlign w:val="center"/>
          </w:tcPr>
          <w:p w14:paraId="3FA0ECA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事故应急池</w:t>
            </w:r>
          </w:p>
        </w:tc>
        <w:tc>
          <w:tcPr>
            <w:tcW w:w="401" w:type="pct"/>
            <w:tcMar>
              <w:top w:w="28" w:type="dxa"/>
              <w:bottom w:w="28" w:type="dxa"/>
            </w:tcMar>
            <w:vAlign w:val="center"/>
          </w:tcPr>
          <w:p w14:paraId="1BA35E65">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972" w:type="pct"/>
            <w:vAlign w:val="center"/>
          </w:tcPr>
          <w:p w14:paraId="6569041C">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14:paraId="1E5BBB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1BAB220C">
            <w:pPr>
              <w:adjustRightInd w:val="0"/>
              <w:snapToGrid w:val="0"/>
              <w:jc w:val="center"/>
              <w:rPr>
                <w:rFonts w:ascii="Arial" w:hAnsi="Arial" w:eastAsia="宋体" w:cs="Arial"/>
                <w:sz w:val="21"/>
                <w:szCs w:val="21"/>
                <w:highlight w:val="yellow"/>
              </w:rPr>
            </w:pPr>
          </w:p>
        </w:tc>
        <w:tc>
          <w:tcPr>
            <w:tcW w:w="690" w:type="pct"/>
            <w:vAlign w:val="center"/>
          </w:tcPr>
          <w:p w14:paraId="0F45F5F0">
            <w:pPr>
              <w:adjustRightInd w:val="0"/>
              <w:snapToGrid w:val="0"/>
              <w:jc w:val="center"/>
              <w:rPr>
                <w:rFonts w:ascii="Arial" w:hAnsi="Arial" w:eastAsia="宋体" w:cs="Arial"/>
                <w:sz w:val="21"/>
                <w:szCs w:val="21"/>
              </w:rPr>
            </w:pPr>
            <w:r>
              <w:rPr>
                <w:rFonts w:ascii="Arial" w:hAnsi="Arial" w:eastAsia="宋体" w:cs="Arial"/>
                <w:sz w:val="21"/>
                <w:szCs w:val="21"/>
              </w:rPr>
              <w:t>噪声控制</w:t>
            </w:r>
          </w:p>
        </w:tc>
        <w:tc>
          <w:tcPr>
            <w:tcW w:w="2475" w:type="pct"/>
            <w:tcBorders>
              <w:left w:val="single" w:color="auto" w:sz="4" w:space="0"/>
            </w:tcBorders>
            <w:vAlign w:val="center"/>
          </w:tcPr>
          <w:p w14:paraId="09F8A7EC">
            <w:pPr>
              <w:adjustRightInd w:val="0"/>
              <w:snapToGrid w:val="0"/>
              <w:jc w:val="center"/>
              <w:rPr>
                <w:rFonts w:ascii="Arial" w:hAnsi="Arial" w:eastAsia="宋体" w:cs="Arial"/>
                <w:sz w:val="21"/>
                <w:szCs w:val="21"/>
              </w:rPr>
            </w:pPr>
            <w:r>
              <w:rPr>
                <w:rFonts w:ascii="Arial" w:hAnsi="Arial" w:eastAsia="宋体" w:cs="Arial"/>
                <w:sz w:val="21"/>
                <w:szCs w:val="21"/>
              </w:rPr>
              <w:t>设备消声、减震</w:t>
            </w:r>
          </w:p>
        </w:tc>
        <w:tc>
          <w:tcPr>
            <w:tcW w:w="401" w:type="pct"/>
            <w:tcMar>
              <w:top w:w="28" w:type="dxa"/>
              <w:bottom w:w="28" w:type="dxa"/>
            </w:tcMar>
            <w:vAlign w:val="center"/>
          </w:tcPr>
          <w:p w14:paraId="234EB0E6">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972" w:type="pct"/>
            <w:vAlign w:val="center"/>
          </w:tcPr>
          <w:p w14:paraId="1CE528D2">
            <w:pPr>
              <w:adjustRightInd w:val="0"/>
              <w:snapToGrid w:val="0"/>
              <w:jc w:val="center"/>
              <w:rPr>
                <w:rFonts w:ascii="Arial" w:hAnsi="Arial" w:eastAsia="宋体" w:cs="Arial"/>
                <w:sz w:val="21"/>
                <w:szCs w:val="21"/>
              </w:rPr>
            </w:pPr>
          </w:p>
        </w:tc>
      </w:tr>
      <w:tr w14:paraId="2B5726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403FCA0A">
            <w:pPr>
              <w:adjustRightInd w:val="0"/>
              <w:snapToGrid w:val="0"/>
              <w:jc w:val="center"/>
              <w:rPr>
                <w:rFonts w:ascii="Arial" w:hAnsi="Arial" w:eastAsia="宋体" w:cs="Arial"/>
                <w:sz w:val="21"/>
                <w:szCs w:val="21"/>
                <w:highlight w:val="yellow"/>
              </w:rPr>
            </w:pPr>
          </w:p>
        </w:tc>
        <w:tc>
          <w:tcPr>
            <w:tcW w:w="690" w:type="pct"/>
            <w:vMerge w:val="restart"/>
            <w:vAlign w:val="center"/>
          </w:tcPr>
          <w:p w14:paraId="6A36A810">
            <w:pPr>
              <w:adjustRightInd w:val="0"/>
              <w:snapToGrid w:val="0"/>
              <w:jc w:val="center"/>
              <w:rPr>
                <w:rFonts w:ascii="Arial" w:hAnsi="Arial" w:eastAsia="宋体" w:cs="Arial"/>
                <w:sz w:val="21"/>
                <w:szCs w:val="21"/>
              </w:rPr>
            </w:pPr>
            <w:r>
              <w:rPr>
                <w:rFonts w:ascii="Arial" w:hAnsi="Arial" w:eastAsia="宋体" w:cs="Arial"/>
                <w:sz w:val="21"/>
                <w:szCs w:val="21"/>
              </w:rPr>
              <w:t>固体废物</w:t>
            </w:r>
          </w:p>
        </w:tc>
        <w:tc>
          <w:tcPr>
            <w:tcW w:w="2475" w:type="pct"/>
            <w:tcBorders>
              <w:left w:val="single" w:color="auto" w:sz="4" w:space="0"/>
            </w:tcBorders>
            <w:vAlign w:val="center"/>
          </w:tcPr>
          <w:p w14:paraId="4DDA6420">
            <w:pPr>
              <w:adjustRightInd w:val="0"/>
              <w:snapToGrid w:val="0"/>
              <w:jc w:val="center"/>
              <w:rPr>
                <w:rFonts w:ascii="Arial" w:hAnsi="Arial" w:eastAsia="宋体" w:cs="Arial"/>
                <w:sz w:val="21"/>
                <w:szCs w:val="21"/>
              </w:rPr>
            </w:pPr>
            <w:r>
              <w:rPr>
                <w:rFonts w:ascii="Arial" w:hAnsi="Arial" w:eastAsia="宋体" w:cs="Arial"/>
                <w:sz w:val="21"/>
                <w:szCs w:val="21"/>
              </w:rPr>
              <w:t>危险废物暂存间</w:t>
            </w:r>
          </w:p>
        </w:tc>
        <w:tc>
          <w:tcPr>
            <w:tcW w:w="401" w:type="pct"/>
            <w:tcMar>
              <w:top w:w="28" w:type="dxa"/>
              <w:bottom w:w="28" w:type="dxa"/>
            </w:tcMar>
            <w:vAlign w:val="center"/>
          </w:tcPr>
          <w:p w14:paraId="4E3FF232">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972" w:type="pct"/>
            <w:vAlign w:val="center"/>
          </w:tcPr>
          <w:p w14:paraId="063B4873">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14:paraId="06EEFD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497CAF41">
            <w:pPr>
              <w:adjustRightInd w:val="0"/>
              <w:snapToGrid w:val="0"/>
              <w:jc w:val="center"/>
              <w:rPr>
                <w:rFonts w:ascii="Arial" w:hAnsi="Arial" w:eastAsia="宋体" w:cs="Arial"/>
                <w:sz w:val="21"/>
                <w:szCs w:val="21"/>
                <w:highlight w:val="yellow"/>
              </w:rPr>
            </w:pPr>
          </w:p>
        </w:tc>
        <w:tc>
          <w:tcPr>
            <w:tcW w:w="690" w:type="pct"/>
            <w:vMerge w:val="continue"/>
            <w:vAlign w:val="center"/>
          </w:tcPr>
          <w:p w14:paraId="4F5C3F0F">
            <w:pPr>
              <w:adjustRightInd w:val="0"/>
              <w:snapToGrid w:val="0"/>
              <w:jc w:val="center"/>
              <w:rPr>
                <w:rFonts w:ascii="Arial" w:hAnsi="Arial" w:eastAsia="宋体" w:cs="Arial"/>
                <w:sz w:val="21"/>
                <w:szCs w:val="21"/>
              </w:rPr>
            </w:pPr>
          </w:p>
        </w:tc>
        <w:tc>
          <w:tcPr>
            <w:tcW w:w="2475" w:type="pct"/>
            <w:tcBorders>
              <w:left w:val="single" w:color="auto" w:sz="4" w:space="0"/>
            </w:tcBorders>
            <w:vAlign w:val="center"/>
          </w:tcPr>
          <w:p w14:paraId="20EBF240">
            <w:pPr>
              <w:adjustRightInd w:val="0"/>
              <w:snapToGrid w:val="0"/>
              <w:jc w:val="center"/>
              <w:rPr>
                <w:rFonts w:ascii="Arial" w:hAnsi="Arial" w:eastAsia="宋体" w:cs="Arial"/>
                <w:sz w:val="21"/>
                <w:szCs w:val="21"/>
              </w:rPr>
            </w:pPr>
            <w:r>
              <w:rPr>
                <w:rFonts w:ascii="Arial" w:hAnsi="Arial" w:eastAsia="宋体" w:cs="Arial"/>
                <w:sz w:val="21"/>
                <w:szCs w:val="21"/>
              </w:rPr>
              <w:t>生活垃圾临时储存点</w:t>
            </w:r>
          </w:p>
        </w:tc>
        <w:tc>
          <w:tcPr>
            <w:tcW w:w="401" w:type="pct"/>
            <w:tcMar>
              <w:top w:w="28" w:type="dxa"/>
              <w:bottom w:w="28" w:type="dxa"/>
            </w:tcMar>
            <w:vAlign w:val="center"/>
          </w:tcPr>
          <w:p w14:paraId="16B945E3">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972" w:type="pct"/>
            <w:vAlign w:val="center"/>
          </w:tcPr>
          <w:p w14:paraId="5CBAD7A0">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14:paraId="22C56D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198E51AB">
            <w:pPr>
              <w:adjustRightInd w:val="0"/>
              <w:snapToGrid w:val="0"/>
              <w:jc w:val="center"/>
              <w:rPr>
                <w:rFonts w:ascii="Arial" w:hAnsi="Arial" w:eastAsia="宋体" w:cs="Arial"/>
                <w:sz w:val="21"/>
                <w:szCs w:val="21"/>
                <w:highlight w:val="yellow"/>
              </w:rPr>
            </w:pPr>
          </w:p>
        </w:tc>
        <w:tc>
          <w:tcPr>
            <w:tcW w:w="690" w:type="pct"/>
            <w:vMerge w:val="restart"/>
            <w:vAlign w:val="center"/>
          </w:tcPr>
          <w:p w14:paraId="03DFD80E">
            <w:pPr>
              <w:adjustRightInd w:val="0"/>
              <w:snapToGrid w:val="0"/>
              <w:jc w:val="center"/>
              <w:rPr>
                <w:rFonts w:ascii="Arial" w:hAnsi="Arial" w:eastAsia="宋体" w:cs="Arial"/>
                <w:sz w:val="21"/>
                <w:szCs w:val="21"/>
              </w:rPr>
            </w:pPr>
            <w:r>
              <w:rPr>
                <w:rFonts w:ascii="Arial" w:hAnsi="Arial" w:eastAsia="宋体" w:cs="Arial"/>
                <w:sz w:val="21"/>
                <w:szCs w:val="21"/>
              </w:rPr>
              <w:t>地下水</w:t>
            </w:r>
          </w:p>
        </w:tc>
        <w:tc>
          <w:tcPr>
            <w:tcW w:w="2475" w:type="pct"/>
            <w:tcBorders>
              <w:left w:val="single" w:color="auto" w:sz="4" w:space="0"/>
            </w:tcBorders>
            <w:vAlign w:val="center"/>
          </w:tcPr>
          <w:p w14:paraId="3D7036C6">
            <w:pPr>
              <w:adjustRightInd w:val="0"/>
              <w:snapToGrid w:val="0"/>
              <w:jc w:val="center"/>
              <w:rPr>
                <w:rFonts w:ascii="Arial" w:hAnsi="Arial" w:eastAsia="宋体" w:cs="Arial"/>
                <w:sz w:val="21"/>
                <w:szCs w:val="21"/>
              </w:rPr>
            </w:pPr>
            <w:r>
              <w:rPr>
                <w:rFonts w:ascii="Arial" w:hAnsi="Arial" w:eastAsia="宋体" w:cs="Arial"/>
                <w:sz w:val="21"/>
                <w:szCs w:val="21"/>
              </w:rPr>
              <w:t>分区防渗处理</w:t>
            </w:r>
          </w:p>
        </w:tc>
        <w:tc>
          <w:tcPr>
            <w:tcW w:w="401" w:type="pct"/>
            <w:tcMar>
              <w:top w:w="28" w:type="dxa"/>
              <w:bottom w:w="28" w:type="dxa"/>
            </w:tcMar>
            <w:vAlign w:val="center"/>
          </w:tcPr>
          <w:p w14:paraId="14F231C9">
            <w:pPr>
              <w:adjustRightInd w:val="0"/>
              <w:snapToGrid w:val="0"/>
              <w:jc w:val="center"/>
              <w:rPr>
                <w:rFonts w:ascii="Arial" w:hAnsi="Arial" w:eastAsia="宋体" w:cs="Arial"/>
                <w:sz w:val="21"/>
                <w:szCs w:val="21"/>
              </w:rPr>
            </w:pPr>
            <w:r>
              <w:rPr>
                <w:rFonts w:hint="eastAsia" w:ascii="Arial" w:hAnsi="Arial" w:eastAsia="宋体" w:cs="Arial"/>
                <w:sz w:val="21"/>
                <w:szCs w:val="21"/>
              </w:rPr>
              <w:t>50</w:t>
            </w:r>
          </w:p>
        </w:tc>
        <w:tc>
          <w:tcPr>
            <w:tcW w:w="972" w:type="pct"/>
            <w:vAlign w:val="center"/>
          </w:tcPr>
          <w:p w14:paraId="2A6C960E">
            <w:pPr>
              <w:adjustRightInd w:val="0"/>
              <w:snapToGrid w:val="0"/>
              <w:jc w:val="center"/>
              <w:rPr>
                <w:rFonts w:ascii="Arial" w:hAnsi="Arial" w:eastAsia="宋体" w:cs="Arial"/>
                <w:sz w:val="21"/>
                <w:szCs w:val="21"/>
              </w:rPr>
            </w:pPr>
          </w:p>
        </w:tc>
      </w:tr>
      <w:tr w14:paraId="7EDA57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0AF76C5E">
            <w:pPr>
              <w:adjustRightInd w:val="0"/>
              <w:snapToGrid w:val="0"/>
              <w:jc w:val="center"/>
              <w:rPr>
                <w:rFonts w:ascii="Arial" w:hAnsi="Arial" w:eastAsia="宋体" w:cs="Arial"/>
                <w:sz w:val="21"/>
                <w:szCs w:val="21"/>
                <w:highlight w:val="yellow"/>
              </w:rPr>
            </w:pPr>
          </w:p>
        </w:tc>
        <w:tc>
          <w:tcPr>
            <w:tcW w:w="690" w:type="pct"/>
            <w:vMerge w:val="continue"/>
            <w:vAlign w:val="center"/>
          </w:tcPr>
          <w:p w14:paraId="51051788">
            <w:pPr>
              <w:adjustRightInd w:val="0"/>
              <w:snapToGrid w:val="0"/>
              <w:jc w:val="center"/>
              <w:rPr>
                <w:rFonts w:ascii="Arial" w:hAnsi="Arial" w:eastAsia="宋体" w:cs="Arial"/>
                <w:sz w:val="21"/>
                <w:szCs w:val="21"/>
              </w:rPr>
            </w:pPr>
          </w:p>
        </w:tc>
        <w:tc>
          <w:tcPr>
            <w:tcW w:w="2475" w:type="pct"/>
            <w:tcBorders>
              <w:left w:val="single" w:color="auto" w:sz="4" w:space="0"/>
            </w:tcBorders>
            <w:vAlign w:val="center"/>
          </w:tcPr>
          <w:p w14:paraId="4B649DE3">
            <w:pPr>
              <w:adjustRightInd w:val="0"/>
              <w:snapToGrid w:val="0"/>
              <w:jc w:val="center"/>
              <w:rPr>
                <w:rFonts w:ascii="Arial" w:hAnsi="Arial" w:eastAsia="宋体" w:cs="Arial"/>
                <w:sz w:val="21"/>
                <w:szCs w:val="21"/>
              </w:rPr>
            </w:pPr>
            <w:r>
              <w:rPr>
                <w:rFonts w:ascii="Arial" w:hAnsi="Arial" w:eastAsia="宋体" w:cs="Arial"/>
                <w:sz w:val="21"/>
                <w:szCs w:val="21"/>
              </w:rPr>
              <w:t>地下水监控井</w:t>
            </w:r>
          </w:p>
        </w:tc>
        <w:tc>
          <w:tcPr>
            <w:tcW w:w="401" w:type="pct"/>
            <w:tcMar>
              <w:top w:w="28" w:type="dxa"/>
              <w:bottom w:w="28" w:type="dxa"/>
            </w:tcMar>
            <w:vAlign w:val="center"/>
          </w:tcPr>
          <w:p w14:paraId="6E09F35D">
            <w:pPr>
              <w:adjustRightInd w:val="0"/>
              <w:snapToGrid w:val="0"/>
              <w:jc w:val="center"/>
              <w:rPr>
                <w:rFonts w:ascii="Arial" w:hAnsi="Arial" w:eastAsia="宋体" w:cs="Arial"/>
                <w:sz w:val="21"/>
                <w:szCs w:val="21"/>
              </w:rPr>
            </w:pPr>
            <w:r>
              <w:rPr>
                <w:rFonts w:ascii="Arial" w:hAnsi="Arial" w:eastAsia="宋体" w:cs="Arial"/>
                <w:sz w:val="21"/>
                <w:szCs w:val="21"/>
              </w:rPr>
              <w:t>/</w:t>
            </w:r>
          </w:p>
        </w:tc>
        <w:tc>
          <w:tcPr>
            <w:tcW w:w="972" w:type="pct"/>
            <w:vAlign w:val="center"/>
          </w:tcPr>
          <w:p w14:paraId="0ECA3831">
            <w:pPr>
              <w:adjustRightInd w:val="0"/>
              <w:snapToGrid w:val="0"/>
              <w:jc w:val="center"/>
              <w:rPr>
                <w:rFonts w:ascii="Arial" w:hAnsi="Arial" w:eastAsia="宋体" w:cs="Arial"/>
                <w:sz w:val="21"/>
                <w:szCs w:val="21"/>
              </w:rPr>
            </w:pPr>
            <w:r>
              <w:rPr>
                <w:rFonts w:ascii="Arial" w:hAnsi="Arial" w:eastAsia="宋体" w:cs="Arial"/>
                <w:sz w:val="21"/>
                <w:szCs w:val="21"/>
              </w:rPr>
              <w:t>依托现有</w:t>
            </w:r>
          </w:p>
        </w:tc>
      </w:tr>
      <w:tr w14:paraId="18019C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462" w:type="pct"/>
            <w:vMerge w:val="continue"/>
            <w:vAlign w:val="center"/>
          </w:tcPr>
          <w:p w14:paraId="195F00A4">
            <w:pPr>
              <w:adjustRightInd w:val="0"/>
              <w:snapToGrid w:val="0"/>
              <w:jc w:val="center"/>
              <w:rPr>
                <w:rFonts w:ascii="Arial" w:hAnsi="Arial" w:eastAsia="宋体" w:cs="Arial"/>
                <w:sz w:val="21"/>
                <w:szCs w:val="21"/>
                <w:highlight w:val="yellow"/>
              </w:rPr>
            </w:pPr>
          </w:p>
        </w:tc>
        <w:tc>
          <w:tcPr>
            <w:tcW w:w="3165" w:type="pct"/>
            <w:gridSpan w:val="2"/>
            <w:vAlign w:val="center"/>
          </w:tcPr>
          <w:p w14:paraId="6CA863D3">
            <w:pPr>
              <w:adjustRightInd w:val="0"/>
              <w:snapToGrid w:val="0"/>
              <w:jc w:val="center"/>
              <w:rPr>
                <w:rFonts w:ascii="Arial" w:hAnsi="Arial" w:eastAsia="宋体" w:cs="Arial"/>
                <w:sz w:val="21"/>
                <w:szCs w:val="21"/>
              </w:rPr>
            </w:pPr>
            <w:r>
              <w:rPr>
                <w:rFonts w:ascii="Arial" w:hAnsi="Arial" w:eastAsia="宋体" w:cs="Arial"/>
                <w:sz w:val="21"/>
                <w:szCs w:val="21"/>
              </w:rPr>
              <w:t>小计</w:t>
            </w:r>
          </w:p>
        </w:tc>
        <w:tc>
          <w:tcPr>
            <w:tcW w:w="401" w:type="pct"/>
            <w:tcMar>
              <w:top w:w="28" w:type="dxa"/>
              <w:bottom w:w="28" w:type="dxa"/>
            </w:tcMar>
            <w:vAlign w:val="center"/>
          </w:tcPr>
          <w:p w14:paraId="130A841A">
            <w:pPr>
              <w:adjustRightInd w:val="0"/>
              <w:snapToGrid w:val="0"/>
              <w:jc w:val="center"/>
              <w:rPr>
                <w:rFonts w:ascii="Arial" w:hAnsi="Arial" w:eastAsia="宋体" w:cs="Arial"/>
                <w:sz w:val="21"/>
                <w:szCs w:val="21"/>
              </w:rPr>
            </w:pPr>
            <w:r>
              <w:rPr>
                <w:rFonts w:hint="eastAsia" w:ascii="Arial" w:hAnsi="Arial" w:eastAsia="宋体" w:cs="Arial"/>
                <w:sz w:val="21"/>
                <w:szCs w:val="21"/>
              </w:rPr>
              <w:t>200</w:t>
            </w:r>
          </w:p>
        </w:tc>
        <w:tc>
          <w:tcPr>
            <w:tcW w:w="972" w:type="pct"/>
            <w:vAlign w:val="center"/>
          </w:tcPr>
          <w:p w14:paraId="157A8309">
            <w:pPr>
              <w:adjustRightInd w:val="0"/>
              <w:snapToGrid w:val="0"/>
              <w:jc w:val="center"/>
              <w:rPr>
                <w:rFonts w:ascii="Arial" w:hAnsi="Arial" w:eastAsia="宋体" w:cs="Arial"/>
                <w:sz w:val="21"/>
                <w:szCs w:val="21"/>
              </w:rPr>
            </w:pPr>
          </w:p>
        </w:tc>
      </w:tr>
    </w:tbl>
    <w:p w14:paraId="10DCD49B">
      <w:pPr>
        <w:pStyle w:val="5"/>
        <w:spacing w:line="500" w:lineRule="exact"/>
        <w:ind w:firstLine="490" w:firstLineChars="200"/>
      </w:pPr>
      <w:r>
        <w:t>本项目的环保运行费用主要包括四部分，即设备折旧费、环保设施运行费用、检修维护费和人工费。</w:t>
      </w:r>
    </w:p>
    <w:p w14:paraId="02D50173">
      <w:pPr>
        <w:pStyle w:val="5"/>
        <w:spacing w:line="500" w:lineRule="exact"/>
        <w:ind w:firstLine="490" w:firstLineChars="200"/>
        <w:rPr>
          <w:szCs w:val="24"/>
          <w:vertAlign w:val="subscript"/>
        </w:rPr>
      </w:pPr>
      <w:r>
        <w:t>1、环保设备折旧费</w:t>
      </w:r>
      <w:r>
        <w:rPr>
          <w:szCs w:val="24"/>
        </w:rPr>
        <w:t>C</w:t>
      </w:r>
      <w:r>
        <w:rPr>
          <w:szCs w:val="24"/>
          <w:vertAlign w:val="subscript"/>
        </w:rPr>
        <w:t>1</w:t>
      </w:r>
    </w:p>
    <w:p w14:paraId="40A542AA">
      <w:pPr>
        <w:spacing w:line="360" w:lineRule="auto"/>
        <w:jc w:val="center"/>
        <w:rPr>
          <w:rFonts w:ascii="Arial" w:hAnsi="Arial" w:eastAsia="宋体" w:cs="Arial"/>
          <w:sz w:val="24"/>
          <w:szCs w:val="24"/>
        </w:rPr>
      </w:pPr>
      <w:bookmarkStart w:id="406" w:name="_Toc8848432"/>
      <w:r>
        <w:rPr>
          <w:rFonts w:ascii="Arial" w:hAnsi="Arial" w:eastAsia="宋体" w:cs="Arial"/>
          <w:sz w:val="24"/>
          <w:szCs w:val="24"/>
        </w:rPr>
        <w:t>C</w:t>
      </w:r>
      <w:r>
        <w:rPr>
          <w:rFonts w:ascii="Arial" w:hAnsi="Arial" w:eastAsia="宋体" w:cs="Arial"/>
          <w:sz w:val="24"/>
          <w:szCs w:val="24"/>
          <w:vertAlign w:val="subscript"/>
        </w:rPr>
        <w:t>1</w:t>
      </w:r>
      <w:r>
        <w:rPr>
          <w:rFonts w:ascii="Arial" w:hAnsi="Arial" w:eastAsia="宋体" w:cs="Arial"/>
          <w:sz w:val="24"/>
          <w:szCs w:val="24"/>
        </w:rPr>
        <w:t>=a×C</w:t>
      </w:r>
      <w:r>
        <w:rPr>
          <w:rFonts w:ascii="Arial" w:hAnsi="Arial" w:eastAsia="宋体" w:cs="Arial"/>
          <w:sz w:val="24"/>
          <w:szCs w:val="24"/>
          <w:vertAlign w:val="subscript"/>
        </w:rPr>
        <w:t>0</w:t>
      </w:r>
      <w:r>
        <w:rPr>
          <w:rFonts w:ascii="Arial" w:hAnsi="Arial" w:eastAsia="宋体" w:cs="Arial"/>
          <w:sz w:val="24"/>
          <w:szCs w:val="24"/>
        </w:rPr>
        <w:t>/n</w:t>
      </w:r>
      <w:bookmarkEnd w:id="406"/>
    </w:p>
    <w:p w14:paraId="1EFB3BD8">
      <w:pPr>
        <w:adjustRightInd w:val="0"/>
        <w:snapToGrid w:val="0"/>
        <w:spacing w:line="500" w:lineRule="exact"/>
        <w:ind w:firstLine="490" w:firstLineChars="200"/>
        <w:textAlignment w:val="baseline"/>
        <w:rPr>
          <w:rFonts w:ascii="Arial" w:hAnsi="Arial" w:eastAsia="宋体" w:cs="Arial"/>
          <w:spacing w:val="10"/>
          <w:kern w:val="0"/>
          <w:sz w:val="24"/>
          <w:szCs w:val="24"/>
        </w:rPr>
      </w:pPr>
      <w:r>
        <w:rPr>
          <w:rFonts w:ascii="Arial" w:hAnsi="Arial" w:eastAsia="宋体" w:cs="Arial"/>
          <w:spacing w:val="10"/>
          <w:kern w:val="0"/>
          <w:sz w:val="24"/>
          <w:szCs w:val="24"/>
        </w:rPr>
        <w:t>式中：a——固定资产形成率，取95%；</w:t>
      </w:r>
    </w:p>
    <w:p w14:paraId="27338DE9">
      <w:pPr>
        <w:adjustRightInd w:val="0"/>
        <w:snapToGrid w:val="0"/>
        <w:spacing w:line="500" w:lineRule="exact"/>
        <w:ind w:firstLine="1208" w:firstLineChars="493"/>
        <w:textAlignment w:val="baseline"/>
        <w:rPr>
          <w:rFonts w:ascii="Arial" w:hAnsi="Arial" w:eastAsia="宋体" w:cs="Arial"/>
          <w:spacing w:val="10"/>
          <w:kern w:val="0"/>
          <w:sz w:val="24"/>
          <w:szCs w:val="24"/>
        </w:rPr>
      </w:pPr>
      <w:r>
        <w:rPr>
          <w:rFonts w:ascii="Arial" w:hAnsi="Arial" w:eastAsia="宋体" w:cs="Arial"/>
          <w:spacing w:val="10"/>
          <w:kern w:val="0"/>
          <w:sz w:val="24"/>
          <w:szCs w:val="24"/>
        </w:rPr>
        <w:t>C</w:t>
      </w:r>
      <w:r>
        <w:rPr>
          <w:rFonts w:ascii="Arial" w:hAnsi="Arial" w:eastAsia="宋体" w:cs="Arial"/>
          <w:spacing w:val="10"/>
          <w:kern w:val="0"/>
          <w:sz w:val="24"/>
          <w:szCs w:val="24"/>
          <w:vertAlign w:val="subscript"/>
        </w:rPr>
        <w:t>0</w:t>
      </w:r>
      <w:r>
        <w:rPr>
          <w:rFonts w:ascii="Arial" w:hAnsi="Arial" w:eastAsia="宋体" w:cs="Arial"/>
          <w:spacing w:val="10"/>
          <w:kern w:val="0"/>
          <w:sz w:val="24"/>
          <w:szCs w:val="24"/>
        </w:rPr>
        <w:t>——环保总投资（万元）；</w:t>
      </w:r>
    </w:p>
    <w:p w14:paraId="7FD7DF35">
      <w:pPr>
        <w:adjustRightInd w:val="0"/>
        <w:snapToGrid w:val="0"/>
        <w:spacing w:line="500" w:lineRule="exact"/>
        <w:ind w:firstLine="490" w:firstLineChars="200"/>
        <w:textAlignment w:val="baseline"/>
        <w:rPr>
          <w:rFonts w:ascii="Arial" w:hAnsi="Arial" w:cs="Arial"/>
        </w:rPr>
      </w:pPr>
      <w:r>
        <w:rPr>
          <w:rFonts w:ascii="Arial" w:hAnsi="Arial" w:eastAsia="宋体" w:cs="Arial"/>
          <w:spacing w:val="10"/>
          <w:kern w:val="0"/>
          <w:sz w:val="24"/>
          <w:szCs w:val="24"/>
        </w:rPr>
        <w:t>n——折旧年限。</w:t>
      </w:r>
    </w:p>
    <w:p w14:paraId="179B03F8">
      <w:pPr>
        <w:pStyle w:val="5"/>
        <w:spacing w:line="500" w:lineRule="exact"/>
        <w:ind w:firstLine="490" w:firstLineChars="200"/>
      </w:pPr>
      <w:r>
        <w:t>设备折旧以15年计，则设备折旧费约每年</w:t>
      </w:r>
      <w:r>
        <w:rPr>
          <w:rFonts w:hint="eastAsia"/>
        </w:rPr>
        <w:t>12.67</w:t>
      </w:r>
      <w:r>
        <w:t>万元。</w:t>
      </w:r>
    </w:p>
    <w:p w14:paraId="30F4038E">
      <w:pPr>
        <w:pStyle w:val="5"/>
        <w:spacing w:line="500" w:lineRule="exact"/>
        <w:ind w:firstLine="490" w:firstLineChars="200"/>
      </w:pPr>
      <w:r>
        <w:t>2、环保设施运行费</w:t>
      </w:r>
      <w:r>
        <w:rPr>
          <w:spacing w:val="0"/>
          <w:szCs w:val="24"/>
        </w:rPr>
        <w:t>C</w:t>
      </w:r>
      <w:r>
        <w:rPr>
          <w:spacing w:val="0"/>
          <w:szCs w:val="24"/>
          <w:vertAlign w:val="subscript"/>
        </w:rPr>
        <w:t>2</w:t>
      </w:r>
    </w:p>
    <w:p w14:paraId="1C393CD9">
      <w:pPr>
        <w:adjustRightInd w:val="0"/>
        <w:snapToGrid w:val="0"/>
        <w:spacing w:line="500" w:lineRule="exact"/>
        <w:ind w:firstLine="490" w:firstLineChars="200"/>
        <w:textAlignment w:val="baseline"/>
        <w:rPr>
          <w:rFonts w:ascii="Arial" w:hAnsi="Arial" w:cs="Arial"/>
          <w:sz w:val="24"/>
          <w:szCs w:val="24"/>
        </w:rPr>
      </w:pPr>
      <w:r>
        <w:rPr>
          <w:rFonts w:ascii="Arial" w:hAnsi="Arial" w:eastAsia="宋体" w:cs="Arial"/>
          <w:spacing w:val="10"/>
          <w:kern w:val="0"/>
          <w:sz w:val="24"/>
          <w:szCs w:val="24"/>
        </w:rPr>
        <w:t>参照</w:t>
      </w:r>
      <w:r>
        <w:rPr>
          <w:rFonts w:hint="eastAsia" w:ascii="Arial" w:hAnsi="Arial" w:eastAsia="宋体" w:cs="Arial"/>
          <w:spacing w:val="10"/>
          <w:kern w:val="0"/>
          <w:sz w:val="24"/>
          <w:szCs w:val="24"/>
          <w:lang w:eastAsia="zh-CN"/>
        </w:rPr>
        <w:t>国内其他企业</w:t>
      </w:r>
      <w:r>
        <w:rPr>
          <w:rFonts w:ascii="Arial" w:hAnsi="Arial" w:eastAsia="宋体" w:cs="Arial"/>
          <w:spacing w:val="10"/>
          <w:kern w:val="0"/>
          <w:sz w:val="24"/>
          <w:szCs w:val="24"/>
        </w:rPr>
        <w:t>的有关资料，环保及综合利用设施的年运行费可按环保总投资的5%计算：</w:t>
      </w:r>
      <w:bookmarkStart w:id="407" w:name="_Toc8848433"/>
      <w:r>
        <w:rPr>
          <w:rFonts w:ascii="Arial" w:hAnsi="Arial" w:cs="Arial"/>
          <w:sz w:val="24"/>
          <w:szCs w:val="24"/>
        </w:rPr>
        <w:t>C</w:t>
      </w:r>
      <w:r>
        <w:rPr>
          <w:rFonts w:ascii="Arial" w:hAnsi="Arial" w:cs="Arial"/>
          <w:sz w:val="24"/>
          <w:szCs w:val="24"/>
          <w:vertAlign w:val="subscript"/>
        </w:rPr>
        <w:t>2</w:t>
      </w:r>
      <w:r>
        <w:rPr>
          <w:rFonts w:ascii="Arial" w:hAnsi="Arial" w:cs="Arial"/>
          <w:sz w:val="24"/>
          <w:szCs w:val="24"/>
        </w:rPr>
        <w:t>=C</w:t>
      </w:r>
      <w:r>
        <w:rPr>
          <w:rFonts w:ascii="Arial" w:hAnsi="Arial" w:cs="Arial"/>
          <w:sz w:val="24"/>
          <w:szCs w:val="24"/>
          <w:vertAlign w:val="subscript"/>
        </w:rPr>
        <w:t>0</w:t>
      </w:r>
      <w:r>
        <w:rPr>
          <w:rFonts w:ascii="Arial" w:hAnsi="Arial" w:cs="Arial"/>
          <w:sz w:val="24"/>
          <w:szCs w:val="24"/>
        </w:rPr>
        <w:t>×5%</w:t>
      </w:r>
      <w:bookmarkEnd w:id="407"/>
    </w:p>
    <w:p w14:paraId="5AE017A3">
      <w:pPr>
        <w:pStyle w:val="5"/>
        <w:spacing w:line="500" w:lineRule="exact"/>
        <w:ind w:firstLine="490" w:firstLineChars="200"/>
      </w:pPr>
      <w:r>
        <w:t>环保设施运行费</w:t>
      </w:r>
      <w:r>
        <w:rPr>
          <w:spacing w:val="0"/>
          <w:szCs w:val="24"/>
        </w:rPr>
        <w:t>约每年</w:t>
      </w:r>
      <w:r>
        <w:rPr>
          <w:rFonts w:hint="eastAsia"/>
          <w:spacing w:val="0"/>
          <w:szCs w:val="24"/>
        </w:rPr>
        <w:t>10</w:t>
      </w:r>
      <w:r>
        <w:rPr>
          <w:spacing w:val="0"/>
          <w:szCs w:val="24"/>
        </w:rPr>
        <w:t>万元。</w:t>
      </w:r>
    </w:p>
    <w:p w14:paraId="61F7BB01">
      <w:pPr>
        <w:pStyle w:val="5"/>
        <w:spacing w:line="500" w:lineRule="exact"/>
        <w:ind w:firstLine="490" w:firstLineChars="200"/>
      </w:pPr>
      <w:r>
        <w:t>3、检修维护费C</w:t>
      </w:r>
      <w:r>
        <w:rPr>
          <w:vertAlign w:val="subscript"/>
        </w:rPr>
        <w:t>3</w:t>
      </w:r>
    </w:p>
    <w:p w14:paraId="77CDF9B0">
      <w:pPr>
        <w:pStyle w:val="5"/>
        <w:spacing w:line="500" w:lineRule="exact"/>
        <w:ind w:firstLine="490" w:firstLineChars="200"/>
      </w:pPr>
      <w:r>
        <w:t>检修维护费主要是指零件更换及环保设施的</w:t>
      </w:r>
      <w:r>
        <w:rPr>
          <w:rFonts w:hint="eastAsia"/>
          <w:lang w:eastAsia="zh-CN"/>
        </w:rPr>
        <w:t>其他</w:t>
      </w:r>
      <w:r>
        <w:t>易损件的更换所发生的费用。检修维护费以设备投资的3%计算。</w:t>
      </w:r>
    </w:p>
    <w:p w14:paraId="33F0DD75">
      <w:pPr>
        <w:pStyle w:val="5"/>
        <w:spacing w:line="500" w:lineRule="exact"/>
        <w:ind w:firstLine="0"/>
        <w:jc w:val="center"/>
      </w:pPr>
      <w:r>
        <w:rPr>
          <w:spacing w:val="0"/>
          <w:szCs w:val="24"/>
        </w:rPr>
        <w:t>C</w:t>
      </w:r>
      <w:r>
        <w:rPr>
          <w:spacing w:val="0"/>
          <w:szCs w:val="24"/>
          <w:vertAlign w:val="subscript"/>
        </w:rPr>
        <w:t>3</w:t>
      </w:r>
      <w:r>
        <w:rPr>
          <w:spacing w:val="0"/>
          <w:szCs w:val="24"/>
        </w:rPr>
        <w:t>=C</w:t>
      </w:r>
      <w:r>
        <w:rPr>
          <w:spacing w:val="0"/>
          <w:szCs w:val="24"/>
          <w:vertAlign w:val="subscript"/>
        </w:rPr>
        <w:t>0</w:t>
      </w:r>
      <w:r>
        <w:rPr>
          <w:spacing w:val="0"/>
          <w:szCs w:val="24"/>
        </w:rPr>
        <w:t>×3%</w:t>
      </w:r>
    </w:p>
    <w:p w14:paraId="3A6CA98C">
      <w:pPr>
        <w:pStyle w:val="5"/>
        <w:spacing w:line="500" w:lineRule="exact"/>
        <w:ind w:firstLine="490" w:firstLineChars="200"/>
      </w:pPr>
      <w:r>
        <w:t>检修维护费约每年</w:t>
      </w:r>
      <w:r>
        <w:rPr>
          <w:rFonts w:hint="eastAsia"/>
        </w:rPr>
        <w:t>6</w:t>
      </w:r>
      <w:r>
        <w:t>万元。</w:t>
      </w:r>
    </w:p>
    <w:p w14:paraId="75B123BE">
      <w:pPr>
        <w:pStyle w:val="5"/>
        <w:spacing w:line="500" w:lineRule="exact"/>
        <w:ind w:firstLine="490" w:firstLineChars="200"/>
      </w:pPr>
      <w:r>
        <w:t>4、人工费C</w:t>
      </w:r>
      <w:r>
        <w:rPr>
          <w:vertAlign w:val="subscript"/>
        </w:rPr>
        <w:t>4</w:t>
      </w:r>
    </w:p>
    <w:p w14:paraId="27B51F98">
      <w:pPr>
        <w:pStyle w:val="5"/>
        <w:spacing w:line="500" w:lineRule="exact"/>
        <w:ind w:firstLine="490" w:firstLineChars="200"/>
      </w:pPr>
      <w:r>
        <w:t>不新增环保管理人员。</w:t>
      </w:r>
    </w:p>
    <w:p w14:paraId="6A89CF86">
      <w:pPr>
        <w:pStyle w:val="5"/>
        <w:spacing w:line="500" w:lineRule="exact"/>
        <w:ind w:firstLine="490" w:firstLineChars="200"/>
      </w:pPr>
      <w:r>
        <w:t>因此，项目的年环保运行费用总计</w:t>
      </w:r>
      <w:r>
        <w:rPr>
          <w:rFonts w:hint="eastAsia"/>
        </w:rPr>
        <w:t>28.67</w:t>
      </w:r>
      <w:r>
        <w:t>万元。</w:t>
      </w:r>
    </w:p>
    <w:p w14:paraId="3A93CA0F">
      <w:pPr>
        <w:spacing w:line="500" w:lineRule="exact"/>
        <w:rPr>
          <w:rFonts w:ascii="Arial" w:hAnsi="Arial" w:eastAsia="宋体" w:cs="Arial"/>
          <w:spacing w:val="10"/>
          <w:sz w:val="24"/>
          <w:highlight w:val="yellow"/>
        </w:rPr>
        <w:sectPr>
          <w:footerReference r:id="rId19" w:type="default"/>
          <w:pgSz w:w="11907" w:h="16840"/>
          <w:pgMar w:top="1678" w:right="1408" w:bottom="1901" w:left="1155" w:header="1174" w:footer="1029" w:gutter="567"/>
          <w:cols w:space="720" w:num="1"/>
          <w:docGrid w:type="linesAndChars" w:linePitch="428" w:charSpace="-3161"/>
        </w:sectPr>
      </w:pPr>
    </w:p>
    <w:p w14:paraId="344B599C">
      <w:pPr>
        <w:pStyle w:val="3"/>
        <w:numPr>
          <w:ilvl w:val="0"/>
          <w:numId w:val="1"/>
        </w:numPr>
        <w:tabs>
          <w:tab w:val="left" w:pos="1931"/>
          <w:tab w:val="clear" w:pos="3065"/>
        </w:tabs>
        <w:ind w:left="1276"/>
        <w:rPr>
          <w:rFonts w:ascii="Arial" w:hAnsi="Arial" w:cs="Arial"/>
          <w:spacing w:val="10"/>
        </w:rPr>
      </w:pPr>
      <w:bookmarkStart w:id="408" w:name="_Toc104677337"/>
      <w:bookmarkStart w:id="409" w:name="_Toc1742968"/>
      <w:bookmarkStart w:id="410" w:name="_Toc185950235"/>
      <w:r>
        <w:rPr>
          <w:rFonts w:ascii="Arial" w:hAnsi="Arial" w:cs="Arial"/>
          <w:spacing w:val="10"/>
        </w:rPr>
        <w:t>环境影响经济损益分析</w:t>
      </w:r>
      <w:bookmarkEnd w:id="408"/>
      <w:bookmarkEnd w:id="409"/>
      <w:bookmarkEnd w:id="410"/>
    </w:p>
    <w:p w14:paraId="49B99056">
      <w:pPr>
        <w:pStyle w:val="5"/>
        <w:spacing w:line="500" w:lineRule="exact"/>
        <w:ind w:firstLine="490" w:firstLineChars="200"/>
      </w:pPr>
      <w:r>
        <w:t>环境经济损益分析是建设项目环境影响评价中的一个重要组成部分。与工程经济分析不同，在环境经济损益分析中，除了需计算用于环境保护所需的投资费用外，还要核算环境保护投资可能收到的环境经济效益、社会环境效益。通过对建设项目环境的损益分析，综合反映项目投资的环境经济效益和社会环境效益。</w:t>
      </w:r>
    </w:p>
    <w:p w14:paraId="6EE304D6">
      <w:pPr>
        <w:pStyle w:val="4"/>
        <w:numPr>
          <w:ilvl w:val="0"/>
          <w:numId w:val="41"/>
        </w:numPr>
        <w:spacing w:before="214" w:beforeLines="50" w:after="214" w:afterLines="50" w:line="500" w:lineRule="exact"/>
        <w:rPr>
          <w:rFonts w:ascii="Arial" w:eastAsia="宋体" w:cs="Arial"/>
          <w:b/>
        </w:rPr>
      </w:pPr>
      <w:bookmarkStart w:id="411" w:name="_Toc1742969"/>
      <w:bookmarkStart w:id="412" w:name="_Toc185950236"/>
      <w:bookmarkStart w:id="413" w:name="_Toc341856716"/>
      <w:bookmarkStart w:id="414" w:name="_Toc104677338"/>
      <w:r>
        <w:rPr>
          <w:rFonts w:ascii="Arial" w:eastAsia="宋体" w:cs="Arial"/>
          <w:b/>
        </w:rPr>
        <w:t>社会效益、经济效益分析</w:t>
      </w:r>
      <w:bookmarkEnd w:id="411"/>
      <w:bookmarkEnd w:id="412"/>
      <w:bookmarkEnd w:id="413"/>
      <w:bookmarkEnd w:id="414"/>
    </w:p>
    <w:p w14:paraId="163D7E88">
      <w:pPr>
        <w:pStyle w:val="6"/>
        <w:numPr>
          <w:ilvl w:val="0"/>
          <w:numId w:val="42"/>
        </w:numPr>
        <w:tabs>
          <w:tab w:val="left" w:pos="0"/>
          <w:tab w:val="clear" w:pos="1789"/>
        </w:tabs>
        <w:spacing w:line="400" w:lineRule="exact"/>
        <w:ind w:left="0" w:firstLine="0"/>
        <w:rPr>
          <w:rFonts w:ascii="Arial" w:hAnsi="Arial" w:eastAsia="宋体" w:cs="Arial"/>
        </w:rPr>
      </w:pPr>
      <w:bookmarkStart w:id="415" w:name="_Toc67921908"/>
      <w:bookmarkStart w:id="416" w:name="_Toc104677339"/>
      <w:bookmarkStart w:id="417" w:name="_Toc88674815"/>
      <w:bookmarkStart w:id="418" w:name="_Toc58596495"/>
      <w:bookmarkStart w:id="419" w:name="_Toc57715655"/>
      <w:bookmarkStart w:id="420" w:name="_Toc87124293"/>
      <w:r>
        <w:rPr>
          <w:rFonts w:ascii="Arial" w:hAnsi="Arial" w:eastAsia="宋体" w:cs="Arial"/>
        </w:rPr>
        <w:t>社会环境效益分析</w:t>
      </w:r>
      <w:bookmarkEnd w:id="415"/>
      <w:bookmarkEnd w:id="416"/>
      <w:bookmarkEnd w:id="417"/>
      <w:bookmarkEnd w:id="418"/>
      <w:bookmarkEnd w:id="419"/>
      <w:bookmarkEnd w:id="420"/>
    </w:p>
    <w:p w14:paraId="502BD363">
      <w:pPr>
        <w:pStyle w:val="5"/>
        <w:spacing w:line="500" w:lineRule="exact"/>
        <w:ind w:firstLine="490" w:firstLineChars="200"/>
      </w:pPr>
      <w:r>
        <w:t>建设项目的开发将有利于经济的发展，但同时也会产生相应的环境问题，只有解决好环境问题，保持环境与经济的协调发展，走可持续发展的道路，才能形成良性循环，该项目本着既要发展经济，又要保护环境，走可持续发展战略为宗旨，进行工程建设，使工程投产后具有一定的环境效益，经济效益和社会效益，努力做到环境与经济协调发展。</w:t>
      </w:r>
    </w:p>
    <w:p w14:paraId="3C596EB5">
      <w:pPr>
        <w:pStyle w:val="5"/>
        <w:spacing w:line="500" w:lineRule="exact"/>
        <w:ind w:firstLine="490" w:firstLineChars="200"/>
      </w:pPr>
      <w:r>
        <w:t>与项目相关的物流、储运等也会在一定程度繁荣当地经济，同时也将间接地促进厂区及周边地区的工业、服务业、运输业等相关产业的发展，提高居民的整体收入水平。</w:t>
      </w:r>
    </w:p>
    <w:p w14:paraId="4DF8E541">
      <w:pPr>
        <w:pStyle w:val="6"/>
        <w:numPr>
          <w:ilvl w:val="0"/>
          <w:numId w:val="42"/>
        </w:numPr>
        <w:tabs>
          <w:tab w:val="left" w:pos="0"/>
          <w:tab w:val="clear" w:pos="1789"/>
        </w:tabs>
        <w:spacing w:line="400" w:lineRule="exact"/>
        <w:ind w:left="0" w:firstLine="0"/>
        <w:rPr>
          <w:rFonts w:ascii="Arial" w:hAnsi="Arial" w:eastAsia="宋体" w:cs="Arial"/>
        </w:rPr>
      </w:pPr>
      <w:bookmarkStart w:id="421" w:name="_Toc104677340"/>
      <w:bookmarkStart w:id="422" w:name="_Toc57715656"/>
      <w:bookmarkStart w:id="423" w:name="_Toc58596496"/>
      <w:bookmarkStart w:id="424" w:name="_Toc87124294"/>
      <w:bookmarkStart w:id="425" w:name="_Toc67921909"/>
      <w:bookmarkStart w:id="426" w:name="_Toc88674816"/>
      <w:r>
        <w:rPr>
          <w:rFonts w:ascii="Arial" w:hAnsi="Arial" w:eastAsia="宋体" w:cs="Arial"/>
        </w:rPr>
        <w:t>经济效益分析</w:t>
      </w:r>
      <w:bookmarkEnd w:id="421"/>
      <w:bookmarkEnd w:id="422"/>
      <w:bookmarkEnd w:id="423"/>
      <w:bookmarkEnd w:id="424"/>
      <w:bookmarkEnd w:id="425"/>
      <w:bookmarkEnd w:id="426"/>
    </w:p>
    <w:p w14:paraId="607FBDBC">
      <w:pPr>
        <w:pStyle w:val="5"/>
        <w:spacing w:line="500" w:lineRule="exact"/>
        <w:ind w:firstLine="490" w:firstLineChars="200"/>
      </w:pPr>
      <w:r>
        <w:t>本项目总投资</w:t>
      </w:r>
      <w:r>
        <w:rPr>
          <w:rFonts w:hint="eastAsia"/>
        </w:rPr>
        <w:t>1</w:t>
      </w:r>
      <w:r>
        <w:t>000万元，根据建设单位估算，项目建成后年均利润总额</w:t>
      </w:r>
      <w:r>
        <w:rPr>
          <w:rFonts w:hint="eastAsia"/>
        </w:rPr>
        <w:t>5940</w:t>
      </w:r>
      <w:r>
        <w:t>万元，经济效益显著。</w:t>
      </w:r>
    </w:p>
    <w:p w14:paraId="1F9ECE4F">
      <w:pPr>
        <w:pStyle w:val="4"/>
        <w:numPr>
          <w:ilvl w:val="0"/>
          <w:numId w:val="41"/>
        </w:numPr>
        <w:spacing w:before="214" w:beforeLines="50" w:after="214" w:afterLines="50" w:line="500" w:lineRule="exact"/>
        <w:rPr>
          <w:rFonts w:ascii="Arial" w:eastAsia="宋体" w:cs="Arial"/>
          <w:b/>
        </w:rPr>
      </w:pPr>
      <w:bookmarkStart w:id="427" w:name="_Toc1742970"/>
      <w:bookmarkStart w:id="428" w:name="_Toc104677341"/>
      <w:bookmarkStart w:id="429" w:name="_Toc185950237"/>
      <w:r>
        <w:rPr>
          <w:rFonts w:ascii="Arial" w:eastAsia="宋体" w:cs="Arial"/>
          <w:b/>
        </w:rPr>
        <w:t>环境效益分析</w:t>
      </w:r>
      <w:bookmarkEnd w:id="427"/>
      <w:bookmarkEnd w:id="428"/>
      <w:bookmarkEnd w:id="429"/>
    </w:p>
    <w:p w14:paraId="2A5D6D97">
      <w:pPr>
        <w:pStyle w:val="6"/>
        <w:numPr>
          <w:ilvl w:val="0"/>
          <w:numId w:val="43"/>
        </w:numPr>
        <w:tabs>
          <w:tab w:val="clear" w:pos="1789"/>
        </w:tabs>
        <w:spacing w:line="400" w:lineRule="exact"/>
        <w:ind w:left="0" w:firstLine="0"/>
        <w:rPr>
          <w:rFonts w:ascii="Arial" w:hAnsi="Arial" w:eastAsia="宋体" w:cs="Arial"/>
        </w:rPr>
      </w:pPr>
      <w:bookmarkStart w:id="430" w:name="_Toc87124296"/>
      <w:bookmarkStart w:id="431" w:name="_Toc104677342"/>
      <w:bookmarkStart w:id="432" w:name="_Toc58596498"/>
      <w:bookmarkStart w:id="433" w:name="_Toc67921911"/>
      <w:bookmarkStart w:id="434" w:name="_Toc88674818"/>
      <w:bookmarkStart w:id="435" w:name="_Toc57715658"/>
      <w:r>
        <w:rPr>
          <w:rFonts w:ascii="Arial" w:hAnsi="Arial" w:eastAsia="宋体" w:cs="Arial"/>
        </w:rPr>
        <w:t>环保投资估算</w:t>
      </w:r>
      <w:bookmarkEnd w:id="430"/>
      <w:bookmarkEnd w:id="431"/>
      <w:bookmarkEnd w:id="432"/>
      <w:bookmarkEnd w:id="433"/>
      <w:bookmarkEnd w:id="434"/>
      <w:bookmarkEnd w:id="435"/>
    </w:p>
    <w:p w14:paraId="5D41F8DE">
      <w:pPr>
        <w:pStyle w:val="5"/>
        <w:spacing w:line="500" w:lineRule="exact"/>
        <w:ind w:firstLine="490" w:firstLineChars="200"/>
      </w:pPr>
      <w:r>
        <w:t>1、环保投资</w:t>
      </w:r>
    </w:p>
    <w:p w14:paraId="46F553A2">
      <w:pPr>
        <w:pStyle w:val="5"/>
        <w:spacing w:line="500" w:lineRule="exact"/>
        <w:ind w:firstLine="490" w:firstLineChars="200"/>
      </w:pPr>
      <w:r>
        <w:t>项目一次性环保投入</w:t>
      </w:r>
      <w:r>
        <w:rPr>
          <w:rFonts w:hint="eastAsia"/>
        </w:rPr>
        <w:t>200</w:t>
      </w:r>
      <w:r>
        <w:t>万元，占项目总投资的</w:t>
      </w:r>
      <w:r>
        <w:rPr>
          <w:rFonts w:hint="eastAsia"/>
        </w:rPr>
        <w:t>20</w:t>
      </w:r>
      <w:r>
        <w:t>%。</w:t>
      </w:r>
    </w:p>
    <w:p w14:paraId="4C9658C6">
      <w:pPr>
        <w:pStyle w:val="5"/>
        <w:spacing w:line="500" w:lineRule="exact"/>
        <w:ind w:firstLine="490" w:firstLineChars="200"/>
      </w:pPr>
      <w:r>
        <w:t>2、运行费用</w:t>
      </w:r>
    </w:p>
    <w:p w14:paraId="3ED8857D">
      <w:pPr>
        <w:pStyle w:val="5"/>
        <w:spacing w:line="500" w:lineRule="exact"/>
        <w:ind w:firstLine="490" w:firstLineChars="200"/>
      </w:pPr>
      <w:r>
        <w:t>本项目的年环保运行费用总计</w:t>
      </w:r>
      <w:r>
        <w:rPr>
          <w:rFonts w:hint="eastAsia"/>
        </w:rPr>
        <w:t>28.67</w:t>
      </w:r>
      <w:r>
        <w:t>万元，年环保运行费用占年均利润的0.</w:t>
      </w:r>
      <w:r>
        <w:rPr>
          <w:rFonts w:hint="eastAsia"/>
        </w:rPr>
        <w:t>48</w:t>
      </w:r>
      <w:r>
        <w:t>%，处于可承受范围内，“三废”处理措施经济可行。</w:t>
      </w:r>
    </w:p>
    <w:p w14:paraId="1385D2EC">
      <w:pPr>
        <w:pStyle w:val="6"/>
        <w:numPr>
          <w:ilvl w:val="0"/>
          <w:numId w:val="43"/>
        </w:numPr>
        <w:tabs>
          <w:tab w:val="clear" w:pos="1789"/>
        </w:tabs>
        <w:spacing w:line="400" w:lineRule="exact"/>
        <w:ind w:left="0" w:firstLine="0"/>
        <w:rPr>
          <w:rFonts w:ascii="Arial" w:hAnsi="Arial" w:eastAsia="宋体" w:cs="Arial"/>
        </w:rPr>
      </w:pPr>
      <w:bookmarkStart w:id="436" w:name="_Toc57715659"/>
      <w:bookmarkStart w:id="437" w:name="_Toc88674819"/>
      <w:bookmarkStart w:id="438" w:name="_Toc58596499"/>
      <w:bookmarkStart w:id="439" w:name="_Toc67921912"/>
      <w:bookmarkStart w:id="440" w:name="_Toc87124297"/>
      <w:bookmarkStart w:id="441" w:name="_Toc104677343"/>
      <w:r>
        <w:rPr>
          <w:rFonts w:ascii="Arial" w:hAnsi="Arial" w:eastAsia="宋体" w:cs="Arial"/>
        </w:rPr>
        <w:t>环保投资经济损益</w:t>
      </w:r>
      <w:bookmarkEnd w:id="436"/>
      <w:bookmarkEnd w:id="437"/>
      <w:bookmarkEnd w:id="438"/>
      <w:bookmarkEnd w:id="439"/>
      <w:bookmarkEnd w:id="440"/>
      <w:bookmarkEnd w:id="441"/>
    </w:p>
    <w:p w14:paraId="0FF9584B">
      <w:pPr>
        <w:pStyle w:val="5"/>
        <w:spacing w:line="500" w:lineRule="exact"/>
        <w:ind w:firstLine="490" w:firstLineChars="200"/>
      </w:pPr>
      <w:r>
        <w:t>根据《中华人民共和国环境保护税法》（2016年12月25日第十二届全国人民代表大会常务委员会第二十五次会议通过，2018年1月1日起施行），第四条“企业事业单位和其他生产经营者向依法设立的污水集中处理、生活垃圾集中处理场所排放应税污染物的；”不属于直接向环境排放污染物，不缴纳相应污染物的环境保护税。应税大气污染物、水污染物的污染当量数，以该污染物的排放量除以该污染物的污染当量值计算。每种应税大气污染物、水污染物的具体污染当量值，依照本法所附《应税污染物和当量值表》执行。</w:t>
      </w:r>
    </w:p>
    <w:p w14:paraId="6BBCDD55">
      <w:pPr>
        <w:pStyle w:val="5"/>
        <w:spacing w:line="500" w:lineRule="exact"/>
        <w:ind w:firstLine="490" w:firstLineChars="200"/>
      </w:pPr>
      <w:r>
        <w:t xml:space="preserve">每一排放口或者没有排放口的应税大气污染物，按照污染当量数从大到小排序,对前三项污染物征收环境保护税。每一排放口的应税水污染物，按照本法所附《应税污染物和当量值表》，区分第一类水污染物和其他类水污染物，按照污染当量数从大到小排序，对第一类水污染物按照前五项征收环境保护税，对其他类水污染物按照前三项征收环境保护税。环境保护税应纳税额按照下列方法计算：（一）应税大气污染物的应纳税额为污染当量数乘以具体适用税额；（二）应税水污染物的应纳税额为污染当量数乘以具体适用税额； </w:t>
      </w:r>
    </w:p>
    <w:p w14:paraId="4783E689">
      <w:pPr>
        <w:pStyle w:val="5"/>
        <w:spacing w:line="500" w:lineRule="exact"/>
        <w:ind w:firstLine="490" w:firstLineChars="200"/>
      </w:pPr>
      <w:r>
        <w:t>2017年12月1日，经广西壮族自治区第十二届人大常委会第三十二次会议表决通过，广西壮族自治区大气污染物环境保护税适用税额为每污染当量1.8元，水污染物环境保护税适用税额为每污染当量2.8元，自2018年1月1日起施行。</w:t>
      </w:r>
    </w:p>
    <w:p w14:paraId="2A2FFBE6">
      <w:pPr>
        <w:pStyle w:val="5"/>
        <w:spacing w:line="500" w:lineRule="exact"/>
        <w:ind w:firstLine="490" w:firstLineChars="200"/>
      </w:pPr>
      <w:r>
        <w:t>结合项目污染物消减排放情况，计算项目采取环保措施所获得的经济效益见表6-1。</w:t>
      </w:r>
    </w:p>
    <w:p w14:paraId="0DDF7023">
      <w:pPr>
        <w:pStyle w:val="5"/>
        <w:numPr>
          <w:ilvl w:val="0"/>
          <w:numId w:val="44"/>
        </w:numPr>
        <w:spacing w:line="500" w:lineRule="exact"/>
        <w:jc w:val="center"/>
        <w:outlineLvl w:val="4"/>
        <w:rPr>
          <w:b/>
        </w:rPr>
      </w:pPr>
      <w:r>
        <w:rPr>
          <w:b/>
        </w:rPr>
        <w:t>项目环境经济损益分析一览表</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948"/>
        <w:gridCol w:w="1417"/>
        <w:gridCol w:w="1276"/>
        <w:gridCol w:w="1134"/>
        <w:gridCol w:w="1276"/>
        <w:gridCol w:w="2212"/>
      </w:tblGrid>
      <w:tr w14:paraId="11AB0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4" w:type="dxa"/>
            <w:gridSpan w:val="2"/>
            <w:vAlign w:val="center"/>
          </w:tcPr>
          <w:p w14:paraId="4FDDB06D">
            <w:pPr>
              <w:spacing w:line="0" w:lineRule="atLeast"/>
              <w:jc w:val="center"/>
              <w:rPr>
                <w:rFonts w:ascii="Arial" w:hAnsi="Arial" w:eastAsia="宋体" w:cs="Arial"/>
                <w:sz w:val="21"/>
                <w:szCs w:val="21"/>
              </w:rPr>
            </w:pPr>
            <w:r>
              <w:rPr>
                <w:rFonts w:ascii="Arial" w:hAnsi="Arial" w:eastAsia="宋体" w:cs="Arial"/>
                <w:sz w:val="21"/>
                <w:szCs w:val="21"/>
              </w:rPr>
              <w:t>类别</w:t>
            </w:r>
          </w:p>
        </w:tc>
        <w:tc>
          <w:tcPr>
            <w:tcW w:w="1417" w:type="dxa"/>
            <w:vAlign w:val="center"/>
          </w:tcPr>
          <w:p w14:paraId="06C62AE8">
            <w:pPr>
              <w:spacing w:line="0" w:lineRule="atLeast"/>
              <w:jc w:val="center"/>
              <w:rPr>
                <w:rFonts w:ascii="Arial" w:hAnsi="Arial" w:eastAsia="宋体" w:cs="Arial"/>
                <w:sz w:val="21"/>
                <w:szCs w:val="21"/>
              </w:rPr>
            </w:pPr>
            <w:r>
              <w:rPr>
                <w:rFonts w:ascii="Arial" w:hAnsi="Arial" w:eastAsia="宋体" w:cs="Arial"/>
                <w:sz w:val="21"/>
                <w:szCs w:val="21"/>
              </w:rPr>
              <w:t>污染物</w:t>
            </w:r>
          </w:p>
        </w:tc>
        <w:tc>
          <w:tcPr>
            <w:tcW w:w="1276" w:type="dxa"/>
            <w:vAlign w:val="center"/>
          </w:tcPr>
          <w:p w14:paraId="7B68A992">
            <w:pPr>
              <w:spacing w:line="0" w:lineRule="atLeast"/>
              <w:jc w:val="center"/>
              <w:rPr>
                <w:rFonts w:ascii="Arial" w:hAnsi="Arial" w:eastAsia="宋体" w:cs="Arial"/>
                <w:sz w:val="21"/>
                <w:szCs w:val="21"/>
              </w:rPr>
            </w:pPr>
            <w:r>
              <w:rPr>
                <w:rFonts w:ascii="Arial" w:hAnsi="Arial" w:eastAsia="宋体" w:cs="Arial"/>
                <w:sz w:val="21"/>
                <w:szCs w:val="21"/>
              </w:rPr>
              <w:t>削减量（t/a）</w:t>
            </w:r>
          </w:p>
        </w:tc>
        <w:tc>
          <w:tcPr>
            <w:tcW w:w="1134" w:type="dxa"/>
            <w:vAlign w:val="center"/>
          </w:tcPr>
          <w:p w14:paraId="793E3514">
            <w:pPr>
              <w:spacing w:line="0" w:lineRule="atLeast"/>
              <w:jc w:val="center"/>
              <w:rPr>
                <w:rFonts w:ascii="Arial" w:hAnsi="Arial" w:eastAsia="宋体" w:cs="Arial"/>
                <w:sz w:val="21"/>
                <w:szCs w:val="21"/>
              </w:rPr>
            </w:pPr>
            <w:r>
              <w:rPr>
                <w:rFonts w:ascii="Arial" w:hAnsi="Arial" w:eastAsia="宋体" w:cs="Arial"/>
                <w:sz w:val="21"/>
                <w:szCs w:val="21"/>
              </w:rPr>
              <w:t>污染当量值（kg）</w:t>
            </w:r>
          </w:p>
        </w:tc>
        <w:tc>
          <w:tcPr>
            <w:tcW w:w="1276" w:type="dxa"/>
            <w:vAlign w:val="center"/>
          </w:tcPr>
          <w:p w14:paraId="628747F5">
            <w:pPr>
              <w:spacing w:line="0" w:lineRule="atLeast"/>
              <w:jc w:val="center"/>
              <w:rPr>
                <w:rFonts w:ascii="Arial" w:hAnsi="Arial" w:eastAsia="宋体" w:cs="Arial"/>
                <w:sz w:val="21"/>
                <w:szCs w:val="21"/>
              </w:rPr>
            </w:pPr>
            <w:r>
              <w:rPr>
                <w:rFonts w:ascii="Arial" w:hAnsi="Arial" w:eastAsia="宋体" w:cs="Arial"/>
                <w:sz w:val="21"/>
                <w:szCs w:val="21"/>
              </w:rPr>
              <w:t>收费标准（元/当量）</w:t>
            </w:r>
          </w:p>
        </w:tc>
        <w:tc>
          <w:tcPr>
            <w:tcW w:w="2212" w:type="dxa"/>
            <w:vAlign w:val="center"/>
          </w:tcPr>
          <w:p w14:paraId="7AE08068">
            <w:pPr>
              <w:spacing w:line="0" w:lineRule="atLeast"/>
              <w:jc w:val="center"/>
              <w:rPr>
                <w:rFonts w:ascii="Arial" w:hAnsi="Arial" w:eastAsia="宋体" w:cs="Arial"/>
                <w:sz w:val="21"/>
                <w:szCs w:val="21"/>
              </w:rPr>
            </w:pPr>
            <w:r>
              <w:rPr>
                <w:rFonts w:ascii="Arial" w:hAnsi="Arial" w:eastAsia="宋体" w:cs="Arial"/>
                <w:sz w:val="21"/>
                <w:szCs w:val="21"/>
              </w:rPr>
              <w:t>产生的环境效益（折合环保税）（万元/年）</w:t>
            </w:r>
          </w:p>
        </w:tc>
      </w:tr>
      <w:tr w14:paraId="7FFA5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4" w:type="dxa"/>
            <w:gridSpan w:val="2"/>
            <w:vMerge w:val="restart"/>
            <w:vAlign w:val="center"/>
          </w:tcPr>
          <w:p w14:paraId="682CFC42">
            <w:pPr>
              <w:spacing w:line="0" w:lineRule="atLeast"/>
              <w:jc w:val="center"/>
              <w:rPr>
                <w:rFonts w:ascii="Arial" w:hAnsi="Arial" w:eastAsia="宋体" w:cs="Arial"/>
                <w:sz w:val="21"/>
                <w:szCs w:val="21"/>
              </w:rPr>
            </w:pPr>
            <w:r>
              <w:rPr>
                <w:rFonts w:ascii="Arial" w:hAnsi="Arial" w:eastAsia="宋体" w:cs="Arial"/>
                <w:sz w:val="21"/>
                <w:szCs w:val="21"/>
              </w:rPr>
              <w:t>废气</w:t>
            </w:r>
          </w:p>
        </w:tc>
        <w:tc>
          <w:tcPr>
            <w:tcW w:w="1417" w:type="dxa"/>
            <w:vAlign w:val="center"/>
          </w:tcPr>
          <w:p w14:paraId="20D66983">
            <w:pPr>
              <w:spacing w:line="0" w:lineRule="atLeast"/>
              <w:jc w:val="center"/>
              <w:rPr>
                <w:rFonts w:ascii="Arial" w:hAnsi="Arial" w:eastAsia="宋体" w:cs="Arial"/>
                <w:sz w:val="21"/>
                <w:szCs w:val="21"/>
              </w:rPr>
            </w:pPr>
            <w:r>
              <w:rPr>
                <w:rFonts w:ascii="Arial" w:hAnsi="Arial" w:eastAsia="宋体" w:cs="Arial"/>
                <w:sz w:val="21"/>
                <w:szCs w:val="21"/>
              </w:rPr>
              <w:t>氨气</w:t>
            </w:r>
          </w:p>
        </w:tc>
        <w:tc>
          <w:tcPr>
            <w:tcW w:w="1276" w:type="dxa"/>
            <w:vAlign w:val="center"/>
          </w:tcPr>
          <w:p w14:paraId="5C9A91E4">
            <w:pPr>
              <w:spacing w:line="0" w:lineRule="atLeast"/>
              <w:jc w:val="center"/>
              <w:rPr>
                <w:rFonts w:ascii="Arial" w:hAnsi="Arial" w:eastAsia="宋体" w:cs="Arial"/>
                <w:sz w:val="21"/>
                <w:szCs w:val="21"/>
              </w:rPr>
            </w:pPr>
            <w:r>
              <w:rPr>
                <w:rFonts w:hint="eastAsia" w:ascii="Arial" w:hAnsi="Arial" w:eastAsia="宋体" w:cs="Arial"/>
                <w:sz w:val="21"/>
                <w:szCs w:val="21"/>
              </w:rPr>
              <w:t>33.3351</w:t>
            </w:r>
          </w:p>
        </w:tc>
        <w:tc>
          <w:tcPr>
            <w:tcW w:w="1134" w:type="dxa"/>
            <w:vAlign w:val="center"/>
          </w:tcPr>
          <w:p w14:paraId="30DBC6B9">
            <w:pPr>
              <w:spacing w:line="0" w:lineRule="atLeast"/>
              <w:jc w:val="center"/>
              <w:rPr>
                <w:rFonts w:ascii="Arial" w:hAnsi="Arial" w:eastAsia="宋体" w:cs="Arial"/>
                <w:sz w:val="21"/>
                <w:szCs w:val="21"/>
              </w:rPr>
            </w:pPr>
            <w:r>
              <w:rPr>
                <w:rFonts w:hint="eastAsia" w:ascii="Arial" w:hAnsi="Arial" w:eastAsia="宋体" w:cs="Arial"/>
                <w:sz w:val="21"/>
                <w:szCs w:val="21"/>
              </w:rPr>
              <w:t>9.09</w:t>
            </w:r>
          </w:p>
        </w:tc>
        <w:tc>
          <w:tcPr>
            <w:tcW w:w="1276" w:type="dxa"/>
            <w:vMerge w:val="restart"/>
            <w:vAlign w:val="center"/>
          </w:tcPr>
          <w:p w14:paraId="7A637A73">
            <w:pPr>
              <w:spacing w:line="0" w:lineRule="atLeast"/>
              <w:jc w:val="center"/>
              <w:rPr>
                <w:rFonts w:ascii="Arial" w:hAnsi="Arial" w:eastAsia="宋体" w:cs="Arial"/>
                <w:sz w:val="21"/>
                <w:szCs w:val="21"/>
              </w:rPr>
            </w:pPr>
            <w:r>
              <w:rPr>
                <w:rFonts w:ascii="Arial" w:hAnsi="Arial" w:eastAsia="宋体" w:cs="Arial"/>
                <w:sz w:val="21"/>
                <w:szCs w:val="21"/>
              </w:rPr>
              <w:t>1.8</w:t>
            </w:r>
          </w:p>
        </w:tc>
        <w:tc>
          <w:tcPr>
            <w:tcW w:w="2212" w:type="dxa"/>
            <w:vAlign w:val="center"/>
          </w:tcPr>
          <w:p w14:paraId="555D8669">
            <w:pPr>
              <w:spacing w:line="0" w:lineRule="atLeast"/>
              <w:jc w:val="center"/>
              <w:rPr>
                <w:rFonts w:ascii="Arial" w:hAnsi="Arial" w:eastAsia="宋体" w:cs="Arial"/>
                <w:sz w:val="21"/>
                <w:szCs w:val="21"/>
              </w:rPr>
            </w:pPr>
            <w:r>
              <w:rPr>
                <w:rFonts w:hint="eastAsia" w:ascii="Arial" w:hAnsi="Arial" w:eastAsia="宋体" w:cs="Arial"/>
                <w:sz w:val="21"/>
                <w:szCs w:val="21"/>
              </w:rPr>
              <w:t>0.66</w:t>
            </w:r>
          </w:p>
        </w:tc>
      </w:tr>
      <w:tr w14:paraId="5FCDA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4" w:type="dxa"/>
            <w:gridSpan w:val="2"/>
            <w:vMerge w:val="continue"/>
            <w:vAlign w:val="center"/>
          </w:tcPr>
          <w:p w14:paraId="419E4EBC">
            <w:pPr>
              <w:spacing w:line="0" w:lineRule="atLeast"/>
              <w:jc w:val="center"/>
              <w:rPr>
                <w:rFonts w:ascii="Arial" w:hAnsi="Arial" w:eastAsia="宋体" w:cs="Arial"/>
                <w:sz w:val="21"/>
                <w:szCs w:val="21"/>
              </w:rPr>
            </w:pPr>
          </w:p>
        </w:tc>
        <w:tc>
          <w:tcPr>
            <w:tcW w:w="1417" w:type="dxa"/>
            <w:vAlign w:val="center"/>
          </w:tcPr>
          <w:p w14:paraId="713F48F4">
            <w:pPr>
              <w:spacing w:line="0" w:lineRule="atLeast"/>
              <w:jc w:val="center"/>
              <w:rPr>
                <w:rFonts w:ascii="Arial" w:hAnsi="Arial" w:eastAsia="宋体" w:cs="Arial"/>
                <w:sz w:val="21"/>
                <w:szCs w:val="21"/>
              </w:rPr>
            </w:pPr>
            <w:r>
              <w:rPr>
                <w:rFonts w:ascii="Arial" w:hAnsi="Arial" w:eastAsia="宋体" w:cs="Arial"/>
                <w:sz w:val="21"/>
                <w:szCs w:val="21"/>
              </w:rPr>
              <w:t>颗粒物</w:t>
            </w:r>
          </w:p>
        </w:tc>
        <w:tc>
          <w:tcPr>
            <w:tcW w:w="1276" w:type="dxa"/>
            <w:vAlign w:val="center"/>
          </w:tcPr>
          <w:p w14:paraId="23DE9D7F">
            <w:pPr>
              <w:spacing w:line="0" w:lineRule="atLeast"/>
              <w:jc w:val="center"/>
              <w:rPr>
                <w:rFonts w:ascii="Arial" w:hAnsi="Arial" w:eastAsia="宋体" w:cs="Arial"/>
                <w:sz w:val="21"/>
                <w:szCs w:val="21"/>
              </w:rPr>
            </w:pPr>
            <w:r>
              <w:rPr>
                <w:rFonts w:hint="eastAsia" w:ascii="Arial" w:hAnsi="Arial" w:eastAsia="宋体" w:cs="Arial"/>
                <w:sz w:val="21"/>
                <w:szCs w:val="21"/>
              </w:rPr>
              <w:t>15.8963</w:t>
            </w:r>
          </w:p>
        </w:tc>
        <w:tc>
          <w:tcPr>
            <w:tcW w:w="1134" w:type="dxa"/>
            <w:vAlign w:val="center"/>
          </w:tcPr>
          <w:p w14:paraId="2E4CD77F">
            <w:pPr>
              <w:spacing w:line="0" w:lineRule="atLeast"/>
              <w:jc w:val="center"/>
              <w:rPr>
                <w:rFonts w:ascii="Arial" w:hAnsi="Arial" w:eastAsia="宋体" w:cs="Arial"/>
                <w:sz w:val="21"/>
                <w:szCs w:val="21"/>
              </w:rPr>
            </w:pPr>
            <w:r>
              <w:rPr>
                <w:rFonts w:hint="eastAsia" w:ascii="Arial" w:hAnsi="Arial" w:eastAsia="宋体" w:cs="Arial"/>
                <w:sz w:val="21"/>
                <w:szCs w:val="21"/>
              </w:rPr>
              <w:t>4</w:t>
            </w:r>
          </w:p>
        </w:tc>
        <w:tc>
          <w:tcPr>
            <w:tcW w:w="1276" w:type="dxa"/>
            <w:vMerge w:val="continue"/>
            <w:vAlign w:val="center"/>
          </w:tcPr>
          <w:p w14:paraId="54F3EC1E">
            <w:pPr>
              <w:spacing w:line="0" w:lineRule="atLeast"/>
              <w:jc w:val="center"/>
              <w:rPr>
                <w:rFonts w:ascii="Arial" w:hAnsi="Arial" w:eastAsia="宋体" w:cs="Arial"/>
                <w:sz w:val="21"/>
                <w:szCs w:val="21"/>
              </w:rPr>
            </w:pPr>
          </w:p>
        </w:tc>
        <w:tc>
          <w:tcPr>
            <w:tcW w:w="2212" w:type="dxa"/>
            <w:vAlign w:val="center"/>
          </w:tcPr>
          <w:p w14:paraId="2CB61198">
            <w:pPr>
              <w:spacing w:line="0" w:lineRule="atLeast"/>
              <w:jc w:val="center"/>
              <w:rPr>
                <w:rFonts w:ascii="Arial" w:hAnsi="Arial" w:eastAsia="宋体" w:cs="Arial"/>
                <w:sz w:val="21"/>
                <w:szCs w:val="21"/>
              </w:rPr>
            </w:pPr>
            <w:r>
              <w:rPr>
                <w:rFonts w:hint="eastAsia" w:ascii="Arial" w:hAnsi="Arial" w:eastAsia="宋体" w:cs="Arial"/>
                <w:sz w:val="21"/>
                <w:szCs w:val="21"/>
              </w:rPr>
              <w:t>0.72</w:t>
            </w:r>
          </w:p>
        </w:tc>
      </w:tr>
      <w:tr w14:paraId="5B8B4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vAlign w:val="center"/>
          </w:tcPr>
          <w:p w14:paraId="708FFEDC">
            <w:pPr>
              <w:spacing w:line="0" w:lineRule="atLeast"/>
              <w:jc w:val="center"/>
              <w:rPr>
                <w:rFonts w:ascii="Arial" w:hAnsi="Arial" w:eastAsia="宋体" w:cs="Arial"/>
                <w:sz w:val="21"/>
                <w:szCs w:val="21"/>
              </w:rPr>
            </w:pPr>
            <w:r>
              <w:rPr>
                <w:rFonts w:ascii="Arial" w:hAnsi="Arial" w:eastAsia="宋体" w:cs="Arial"/>
                <w:sz w:val="21"/>
                <w:szCs w:val="21"/>
              </w:rPr>
              <w:t>废水</w:t>
            </w:r>
          </w:p>
        </w:tc>
        <w:tc>
          <w:tcPr>
            <w:tcW w:w="948" w:type="dxa"/>
            <w:vMerge w:val="restart"/>
            <w:vAlign w:val="center"/>
          </w:tcPr>
          <w:p w14:paraId="5F3122C6">
            <w:pPr>
              <w:spacing w:line="0" w:lineRule="atLeast"/>
              <w:jc w:val="center"/>
              <w:rPr>
                <w:rFonts w:ascii="Arial" w:hAnsi="Arial" w:eastAsia="宋体" w:cs="Arial"/>
                <w:sz w:val="21"/>
                <w:szCs w:val="21"/>
              </w:rPr>
            </w:pPr>
            <w:r>
              <w:rPr>
                <w:rFonts w:ascii="Arial" w:hAnsi="Arial" w:eastAsia="宋体" w:cs="Arial"/>
                <w:sz w:val="21"/>
                <w:szCs w:val="21"/>
              </w:rPr>
              <w:t>第二类</w:t>
            </w:r>
          </w:p>
        </w:tc>
        <w:tc>
          <w:tcPr>
            <w:tcW w:w="1417" w:type="dxa"/>
            <w:vAlign w:val="center"/>
          </w:tcPr>
          <w:p w14:paraId="7B0FF2A6">
            <w:pPr>
              <w:spacing w:line="0" w:lineRule="atLeast"/>
              <w:jc w:val="center"/>
              <w:rPr>
                <w:rFonts w:ascii="Arial" w:hAnsi="Arial" w:eastAsia="宋体" w:cs="Arial"/>
                <w:sz w:val="21"/>
                <w:szCs w:val="21"/>
              </w:rPr>
            </w:pPr>
            <w:r>
              <w:rPr>
                <w:rFonts w:ascii="Arial" w:hAnsi="Arial" w:eastAsia="宋体" w:cs="Arial"/>
                <w:sz w:val="21"/>
                <w:szCs w:val="21"/>
              </w:rPr>
              <w:t>COD</w:t>
            </w:r>
          </w:p>
        </w:tc>
        <w:tc>
          <w:tcPr>
            <w:tcW w:w="1276" w:type="dxa"/>
            <w:vAlign w:val="center"/>
          </w:tcPr>
          <w:p w14:paraId="2DDCB9A6">
            <w:pPr>
              <w:spacing w:line="0" w:lineRule="atLeast"/>
              <w:jc w:val="center"/>
              <w:rPr>
                <w:rFonts w:ascii="Arial" w:hAnsi="Arial" w:eastAsia="宋体" w:cs="Arial"/>
                <w:sz w:val="21"/>
                <w:szCs w:val="21"/>
              </w:rPr>
            </w:pPr>
            <w:r>
              <w:rPr>
                <w:rFonts w:hint="eastAsia" w:ascii="Arial" w:hAnsi="Arial" w:eastAsia="宋体" w:cs="Arial"/>
                <w:sz w:val="21"/>
                <w:szCs w:val="21"/>
              </w:rPr>
              <w:t>8.2614</w:t>
            </w:r>
          </w:p>
        </w:tc>
        <w:tc>
          <w:tcPr>
            <w:tcW w:w="1134" w:type="dxa"/>
            <w:vAlign w:val="center"/>
          </w:tcPr>
          <w:p w14:paraId="07CAEC26">
            <w:pPr>
              <w:spacing w:line="0" w:lineRule="atLeast"/>
              <w:jc w:val="center"/>
              <w:rPr>
                <w:rFonts w:ascii="Arial" w:hAnsi="Arial" w:eastAsia="宋体" w:cs="Arial"/>
                <w:sz w:val="21"/>
                <w:szCs w:val="21"/>
              </w:rPr>
            </w:pPr>
            <w:r>
              <w:rPr>
                <w:rFonts w:ascii="Arial" w:hAnsi="Arial" w:eastAsia="宋体" w:cs="Arial"/>
                <w:sz w:val="21"/>
                <w:szCs w:val="21"/>
              </w:rPr>
              <w:t>1</w:t>
            </w:r>
          </w:p>
        </w:tc>
        <w:tc>
          <w:tcPr>
            <w:tcW w:w="1276" w:type="dxa"/>
            <w:vMerge w:val="restart"/>
            <w:vAlign w:val="center"/>
          </w:tcPr>
          <w:p w14:paraId="0ED2354A">
            <w:pPr>
              <w:spacing w:line="0" w:lineRule="atLeast"/>
              <w:jc w:val="center"/>
              <w:rPr>
                <w:rFonts w:ascii="Arial" w:hAnsi="Arial" w:eastAsia="宋体" w:cs="Arial"/>
                <w:sz w:val="21"/>
                <w:szCs w:val="21"/>
              </w:rPr>
            </w:pPr>
            <w:r>
              <w:rPr>
                <w:rFonts w:ascii="Arial" w:hAnsi="Arial" w:eastAsia="宋体" w:cs="Arial"/>
                <w:sz w:val="21"/>
                <w:szCs w:val="21"/>
              </w:rPr>
              <w:t>2.8</w:t>
            </w:r>
          </w:p>
        </w:tc>
        <w:tc>
          <w:tcPr>
            <w:tcW w:w="2212" w:type="dxa"/>
            <w:vAlign w:val="center"/>
          </w:tcPr>
          <w:p w14:paraId="3153164D">
            <w:pPr>
              <w:spacing w:line="0" w:lineRule="atLeast"/>
              <w:jc w:val="center"/>
              <w:rPr>
                <w:rFonts w:ascii="Arial" w:hAnsi="Arial" w:eastAsia="宋体" w:cs="Arial"/>
                <w:sz w:val="21"/>
                <w:szCs w:val="21"/>
              </w:rPr>
            </w:pPr>
            <w:r>
              <w:rPr>
                <w:rFonts w:hint="eastAsia" w:ascii="Arial" w:hAnsi="Arial" w:eastAsia="宋体" w:cs="Arial"/>
                <w:sz w:val="21"/>
                <w:szCs w:val="21"/>
              </w:rPr>
              <w:t>2.31</w:t>
            </w:r>
          </w:p>
        </w:tc>
      </w:tr>
      <w:tr w14:paraId="03B81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vAlign w:val="center"/>
          </w:tcPr>
          <w:p w14:paraId="0937C826">
            <w:pPr>
              <w:spacing w:line="0" w:lineRule="atLeast"/>
              <w:jc w:val="center"/>
              <w:rPr>
                <w:rFonts w:ascii="Arial" w:hAnsi="Arial" w:eastAsia="宋体" w:cs="Arial"/>
                <w:sz w:val="21"/>
                <w:szCs w:val="21"/>
              </w:rPr>
            </w:pPr>
          </w:p>
        </w:tc>
        <w:tc>
          <w:tcPr>
            <w:tcW w:w="948" w:type="dxa"/>
            <w:vMerge w:val="continue"/>
            <w:vAlign w:val="center"/>
          </w:tcPr>
          <w:p w14:paraId="3C061200">
            <w:pPr>
              <w:spacing w:line="0" w:lineRule="atLeast"/>
              <w:jc w:val="center"/>
              <w:rPr>
                <w:rFonts w:ascii="Arial" w:hAnsi="Arial" w:eastAsia="宋体" w:cs="Arial"/>
                <w:sz w:val="21"/>
                <w:szCs w:val="21"/>
              </w:rPr>
            </w:pPr>
          </w:p>
        </w:tc>
        <w:tc>
          <w:tcPr>
            <w:tcW w:w="1417" w:type="dxa"/>
            <w:vAlign w:val="center"/>
          </w:tcPr>
          <w:p w14:paraId="4FED6CAE">
            <w:pPr>
              <w:spacing w:line="0" w:lineRule="atLeast"/>
              <w:jc w:val="center"/>
              <w:rPr>
                <w:rFonts w:ascii="Arial" w:hAnsi="Arial" w:eastAsia="宋体" w:cs="Arial"/>
                <w:sz w:val="21"/>
                <w:szCs w:val="21"/>
              </w:rPr>
            </w:pPr>
            <w:r>
              <w:rPr>
                <w:rFonts w:ascii="Arial" w:hAnsi="Arial" w:eastAsia="宋体" w:cs="Arial"/>
                <w:sz w:val="21"/>
                <w:szCs w:val="21"/>
              </w:rPr>
              <w:t>氨氮</w:t>
            </w:r>
          </w:p>
        </w:tc>
        <w:tc>
          <w:tcPr>
            <w:tcW w:w="1276" w:type="dxa"/>
            <w:vAlign w:val="center"/>
          </w:tcPr>
          <w:p w14:paraId="626F3184">
            <w:pPr>
              <w:spacing w:line="0" w:lineRule="atLeast"/>
              <w:jc w:val="center"/>
              <w:rPr>
                <w:rFonts w:ascii="Arial" w:hAnsi="Arial" w:eastAsia="宋体" w:cs="Arial"/>
                <w:sz w:val="21"/>
                <w:szCs w:val="21"/>
              </w:rPr>
            </w:pPr>
            <w:r>
              <w:rPr>
                <w:rFonts w:hint="eastAsia" w:ascii="Arial" w:hAnsi="Arial" w:eastAsia="宋体" w:cs="Arial"/>
                <w:sz w:val="21"/>
                <w:szCs w:val="21"/>
              </w:rPr>
              <w:t>42.1851</w:t>
            </w:r>
          </w:p>
        </w:tc>
        <w:tc>
          <w:tcPr>
            <w:tcW w:w="1134" w:type="dxa"/>
            <w:vAlign w:val="center"/>
          </w:tcPr>
          <w:p w14:paraId="5ECB7AC7">
            <w:pPr>
              <w:spacing w:line="0" w:lineRule="atLeast"/>
              <w:jc w:val="center"/>
              <w:rPr>
                <w:rFonts w:ascii="Arial" w:hAnsi="Arial" w:eastAsia="宋体" w:cs="Arial"/>
                <w:sz w:val="21"/>
                <w:szCs w:val="21"/>
              </w:rPr>
            </w:pPr>
            <w:r>
              <w:rPr>
                <w:rFonts w:ascii="Arial" w:hAnsi="Arial" w:eastAsia="宋体" w:cs="Arial"/>
                <w:sz w:val="21"/>
                <w:szCs w:val="21"/>
              </w:rPr>
              <w:t>0.8</w:t>
            </w:r>
          </w:p>
        </w:tc>
        <w:tc>
          <w:tcPr>
            <w:tcW w:w="1276" w:type="dxa"/>
            <w:vMerge w:val="continue"/>
            <w:vAlign w:val="center"/>
          </w:tcPr>
          <w:p w14:paraId="3F321EBA">
            <w:pPr>
              <w:spacing w:line="0" w:lineRule="atLeast"/>
              <w:jc w:val="center"/>
              <w:rPr>
                <w:rFonts w:ascii="Arial" w:hAnsi="Arial" w:eastAsia="宋体" w:cs="Arial"/>
                <w:sz w:val="21"/>
                <w:szCs w:val="21"/>
              </w:rPr>
            </w:pPr>
          </w:p>
        </w:tc>
        <w:tc>
          <w:tcPr>
            <w:tcW w:w="2212" w:type="dxa"/>
            <w:vAlign w:val="center"/>
          </w:tcPr>
          <w:p w14:paraId="00D197C5">
            <w:pPr>
              <w:spacing w:line="0" w:lineRule="atLeast"/>
              <w:jc w:val="center"/>
              <w:rPr>
                <w:rFonts w:ascii="Arial" w:hAnsi="Arial" w:eastAsia="宋体" w:cs="Arial"/>
                <w:sz w:val="21"/>
                <w:szCs w:val="21"/>
              </w:rPr>
            </w:pPr>
            <w:r>
              <w:rPr>
                <w:rFonts w:hint="eastAsia" w:ascii="Arial" w:hAnsi="Arial" w:eastAsia="宋体" w:cs="Arial"/>
                <w:sz w:val="21"/>
                <w:szCs w:val="21"/>
              </w:rPr>
              <w:t>14.76</w:t>
            </w:r>
          </w:p>
        </w:tc>
      </w:tr>
      <w:tr w14:paraId="79DDF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77" w:type="dxa"/>
            <w:gridSpan w:val="6"/>
            <w:vAlign w:val="center"/>
          </w:tcPr>
          <w:p w14:paraId="49640A78">
            <w:pPr>
              <w:spacing w:line="0" w:lineRule="atLeast"/>
              <w:jc w:val="center"/>
              <w:rPr>
                <w:rFonts w:ascii="Arial" w:hAnsi="Arial" w:eastAsia="宋体" w:cs="Arial"/>
                <w:sz w:val="21"/>
                <w:szCs w:val="21"/>
              </w:rPr>
            </w:pPr>
            <w:r>
              <w:rPr>
                <w:rFonts w:ascii="Arial" w:hAnsi="Arial" w:eastAsia="宋体" w:cs="Arial"/>
                <w:sz w:val="21"/>
                <w:szCs w:val="21"/>
              </w:rPr>
              <w:t>合计</w:t>
            </w:r>
          </w:p>
        </w:tc>
        <w:tc>
          <w:tcPr>
            <w:tcW w:w="2212" w:type="dxa"/>
            <w:vAlign w:val="center"/>
          </w:tcPr>
          <w:p w14:paraId="1DF27778">
            <w:pPr>
              <w:spacing w:line="0" w:lineRule="atLeast"/>
              <w:jc w:val="center"/>
              <w:rPr>
                <w:rFonts w:ascii="Arial" w:hAnsi="Arial" w:eastAsia="宋体" w:cs="Arial"/>
                <w:sz w:val="21"/>
                <w:szCs w:val="21"/>
              </w:rPr>
            </w:pPr>
            <w:r>
              <w:rPr>
                <w:rFonts w:hint="eastAsia" w:ascii="Arial" w:hAnsi="Arial" w:eastAsia="宋体" w:cs="Arial"/>
                <w:sz w:val="21"/>
                <w:szCs w:val="21"/>
              </w:rPr>
              <w:t>18.45</w:t>
            </w:r>
          </w:p>
        </w:tc>
      </w:tr>
    </w:tbl>
    <w:p w14:paraId="5271FA50">
      <w:pPr>
        <w:pStyle w:val="5"/>
        <w:spacing w:line="240" w:lineRule="exact"/>
        <w:ind w:firstLine="430" w:firstLineChars="200"/>
        <w:rPr>
          <w:b/>
          <w:sz w:val="21"/>
          <w:szCs w:val="21"/>
        </w:rPr>
      </w:pPr>
      <w:r>
        <w:rPr>
          <w:b/>
          <w:sz w:val="21"/>
          <w:szCs w:val="21"/>
        </w:rPr>
        <w:t>注：同一排放口COD、BOD</w:t>
      </w:r>
      <w:r>
        <w:rPr>
          <w:b/>
          <w:sz w:val="21"/>
          <w:szCs w:val="21"/>
          <w:vertAlign w:val="subscript"/>
        </w:rPr>
        <w:t>5</w:t>
      </w:r>
      <w:r>
        <w:rPr>
          <w:b/>
          <w:sz w:val="21"/>
          <w:szCs w:val="21"/>
        </w:rPr>
        <w:t>只征收一项。</w:t>
      </w:r>
    </w:p>
    <w:p w14:paraId="799CAD18">
      <w:pPr>
        <w:pStyle w:val="5"/>
        <w:spacing w:line="500" w:lineRule="exact"/>
        <w:ind w:firstLine="490" w:firstLineChars="200"/>
      </w:pPr>
      <w:r>
        <w:t>由上表可知，项目采取污染防治措施后，环境经济净收益为污水污染物及废气污染物削减产生的效益为</w:t>
      </w:r>
      <w:r>
        <w:rPr>
          <w:rFonts w:hint="eastAsia"/>
        </w:rPr>
        <w:t>18.45</w:t>
      </w:r>
      <w:r>
        <w:t>万元/年，表明通过污染治理，项目不但减少了污染物的排放量，同时减少了环保税支出，而且使周围环境得到保护，获得较好的环境经济效益。</w:t>
      </w:r>
    </w:p>
    <w:p w14:paraId="0AA9705A">
      <w:pPr>
        <w:pStyle w:val="6"/>
        <w:numPr>
          <w:ilvl w:val="0"/>
          <w:numId w:val="43"/>
        </w:numPr>
        <w:tabs>
          <w:tab w:val="clear" w:pos="1789"/>
        </w:tabs>
        <w:spacing w:line="400" w:lineRule="exact"/>
        <w:ind w:left="0" w:firstLine="0"/>
        <w:rPr>
          <w:rFonts w:ascii="Arial" w:hAnsi="Arial" w:eastAsia="宋体" w:cs="Arial"/>
        </w:rPr>
      </w:pPr>
      <w:bookmarkStart w:id="442" w:name="_Toc67921913"/>
      <w:bookmarkStart w:id="443" w:name="_Toc87124298"/>
      <w:bookmarkStart w:id="444" w:name="_Toc58596500"/>
      <w:bookmarkStart w:id="445" w:name="_Toc88674820"/>
      <w:bookmarkStart w:id="446" w:name="_Toc104677344"/>
      <w:bookmarkStart w:id="447" w:name="_Toc57715660"/>
      <w:r>
        <w:rPr>
          <w:rFonts w:ascii="Arial" w:hAnsi="Arial" w:eastAsia="宋体" w:cs="Arial"/>
        </w:rPr>
        <w:t>环保投资的效益分析</w:t>
      </w:r>
      <w:bookmarkEnd w:id="442"/>
      <w:bookmarkEnd w:id="443"/>
      <w:bookmarkEnd w:id="444"/>
      <w:bookmarkEnd w:id="445"/>
      <w:bookmarkEnd w:id="446"/>
      <w:bookmarkEnd w:id="447"/>
    </w:p>
    <w:p w14:paraId="2147DF46">
      <w:pPr>
        <w:spacing w:line="500" w:lineRule="exact"/>
        <w:ind w:firstLine="490" w:firstLineChars="200"/>
        <w:rPr>
          <w:rFonts w:ascii="Arial" w:hAnsi="Arial" w:eastAsia="宋体" w:cs="Arial"/>
          <w:spacing w:val="10"/>
          <w:sz w:val="24"/>
        </w:rPr>
      </w:pPr>
      <w:r>
        <w:rPr>
          <w:rFonts w:ascii="Arial" w:hAnsi="Arial" w:eastAsia="宋体" w:cs="Arial"/>
          <w:spacing w:val="10"/>
          <w:sz w:val="24"/>
        </w:rPr>
        <w:t>环境经济损益一般用环境经济损益系数表示</w:t>
      </w:r>
    </w:p>
    <w:p w14:paraId="5D4D4B35">
      <w:pPr>
        <w:spacing w:line="500" w:lineRule="exact"/>
        <w:ind w:firstLine="2607" w:firstLineChars="1064"/>
        <w:rPr>
          <w:rFonts w:ascii="Arial" w:hAnsi="Arial" w:eastAsia="宋体" w:cs="Arial"/>
          <w:spacing w:val="10"/>
          <w:sz w:val="24"/>
        </w:rPr>
      </w:pPr>
      <w:r>
        <w:rPr>
          <w:rFonts w:ascii="Arial" w:hAnsi="Arial" w:eastAsia="宋体" w:cs="Arial"/>
          <w:spacing w:val="10"/>
          <w:sz w:val="24"/>
        </w:rPr>
        <w:t>R=R</w:t>
      </w:r>
      <w:r>
        <w:rPr>
          <w:rFonts w:ascii="Arial" w:hAnsi="Arial" w:eastAsia="宋体" w:cs="Arial"/>
          <w:spacing w:val="10"/>
          <w:sz w:val="24"/>
          <w:vertAlign w:val="subscript"/>
        </w:rPr>
        <w:t>1</w:t>
      </w:r>
      <w:r>
        <w:rPr>
          <w:rFonts w:ascii="Arial" w:hAnsi="Arial" w:eastAsia="宋体" w:cs="Arial"/>
          <w:spacing w:val="10"/>
          <w:sz w:val="24"/>
        </w:rPr>
        <w:t>/R</w:t>
      </w:r>
      <w:r>
        <w:rPr>
          <w:rFonts w:ascii="Arial" w:hAnsi="Arial" w:eastAsia="宋体" w:cs="Arial"/>
          <w:spacing w:val="10"/>
          <w:sz w:val="24"/>
          <w:vertAlign w:val="subscript"/>
        </w:rPr>
        <w:t>2</w:t>
      </w:r>
    </w:p>
    <w:p w14:paraId="794B14BB">
      <w:pPr>
        <w:spacing w:line="500" w:lineRule="exact"/>
        <w:ind w:firstLine="490" w:firstLineChars="200"/>
        <w:rPr>
          <w:rFonts w:ascii="Arial" w:hAnsi="Arial" w:eastAsia="宋体" w:cs="Arial"/>
          <w:spacing w:val="10"/>
          <w:sz w:val="24"/>
        </w:rPr>
      </w:pPr>
      <w:r>
        <w:rPr>
          <w:rFonts w:ascii="Arial" w:hAnsi="Arial" w:eastAsia="宋体" w:cs="Arial"/>
          <w:spacing w:val="10"/>
          <w:sz w:val="24"/>
        </w:rPr>
        <w:t>式中：R——损益系数；</w:t>
      </w:r>
    </w:p>
    <w:p w14:paraId="50673A07">
      <w:pPr>
        <w:spacing w:line="500" w:lineRule="exact"/>
        <w:ind w:firstLine="1208" w:firstLineChars="493"/>
        <w:rPr>
          <w:rFonts w:ascii="Arial" w:hAnsi="Arial" w:eastAsia="宋体" w:cs="Arial"/>
          <w:spacing w:val="10"/>
          <w:sz w:val="24"/>
        </w:rPr>
      </w:pPr>
      <w:r>
        <w:rPr>
          <w:rFonts w:ascii="Arial" w:hAnsi="Arial" w:eastAsia="宋体" w:cs="Arial"/>
          <w:spacing w:val="10"/>
          <w:sz w:val="24"/>
        </w:rPr>
        <w:t>R</w:t>
      </w:r>
      <w:r>
        <w:rPr>
          <w:rFonts w:ascii="Arial" w:hAnsi="Arial" w:eastAsia="宋体" w:cs="Arial"/>
          <w:spacing w:val="10"/>
          <w:sz w:val="24"/>
          <w:vertAlign w:val="subscript"/>
        </w:rPr>
        <w:t>1</w:t>
      </w:r>
      <w:r>
        <w:rPr>
          <w:rFonts w:ascii="Arial" w:hAnsi="Arial" w:eastAsia="宋体" w:cs="Arial"/>
          <w:spacing w:val="10"/>
          <w:sz w:val="24"/>
        </w:rPr>
        <w:t>——经济收益，以15年纯利润</w:t>
      </w:r>
      <w:r>
        <w:rPr>
          <w:rFonts w:hint="eastAsia" w:ascii="Arial" w:hAnsi="Arial" w:eastAsia="宋体" w:cs="Arial"/>
          <w:spacing w:val="10"/>
          <w:sz w:val="24"/>
        </w:rPr>
        <w:t>89100</w:t>
      </w:r>
      <w:r>
        <w:rPr>
          <w:rFonts w:ascii="Arial" w:hAnsi="Arial" w:eastAsia="宋体" w:cs="Arial"/>
          <w:spacing w:val="10"/>
          <w:sz w:val="24"/>
        </w:rPr>
        <w:t>万元计；</w:t>
      </w:r>
    </w:p>
    <w:p w14:paraId="2329EE32">
      <w:pPr>
        <w:spacing w:line="500" w:lineRule="exact"/>
        <w:ind w:firstLine="1208" w:firstLineChars="493"/>
        <w:rPr>
          <w:rFonts w:ascii="Arial" w:hAnsi="Arial" w:eastAsia="宋体" w:cs="Arial"/>
          <w:spacing w:val="10"/>
          <w:sz w:val="24"/>
        </w:rPr>
      </w:pPr>
      <w:r>
        <w:rPr>
          <w:rFonts w:ascii="Arial" w:hAnsi="Arial" w:eastAsia="宋体" w:cs="Arial"/>
          <w:spacing w:val="10"/>
          <w:sz w:val="24"/>
        </w:rPr>
        <w:t>R</w:t>
      </w:r>
      <w:r>
        <w:rPr>
          <w:rFonts w:ascii="Arial" w:hAnsi="Arial" w:eastAsia="宋体" w:cs="Arial"/>
          <w:spacing w:val="10"/>
          <w:sz w:val="24"/>
          <w:vertAlign w:val="subscript"/>
        </w:rPr>
        <w:t>2</w:t>
      </w:r>
      <w:r>
        <w:rPr>
          <w:rFonts w:ascii="Arial" w:hAnsi="Arial" w:eastAsia="宋体" w:cs="Arial"/>
          <w:spacing w:val="10"/>
          <w:sz w:val="24"/>
        </w:rPr>
        <w:t>——环保投资，以一次性环保投资和15年污染治理费用之合计，共计</w:t>
      </w:r>
      <w:r>
        <w:rPr>
          <w:rFonts w:hint="eastAsia" w:ascii="Arial" w:hAnsi="Arial" w:eastAsia="宋体" w:cs="Arial"/>
          <w:spacing w:val="10"/>
          <w:sz w:val="24"/>
        </w:rPr>
        <w:t>630.05</w:t>
      </w:r>
      <w:r>
        <w:rPr>
          <w:rFonts w:ascii="Arial" w:hAnsi="Arial" w:eastAsia="宋体" w:cs="Arial"/>
          <w:spacing w:val="10"/>
          <w:sz w:val="24"/>
        </w:rPr>
        <w:t>万元。</w:t>
      </w:r>
    </w:p>
    <w:p w14:paraId="1AA3AADD">
      <w:pPr>
        <w:spacing w:line="500" w:lineRule="exact"/>
        <w:ind w:firstLine="490" w:firstLineChars="200"/>
        <w:rPr>
          <w:rFonts w:ascii="Arial" w:hAnsi="Arial" w:eastAsia="宋体" w:cs="Arial"/>
          <w:spacing w:val="10"/>
          <w:sz w:val="24"/>
        </w:rPr>
      </w:pPr>
      <w:r>
        <w:rPr>
          <w:rFonts w:ascii="Arial" w:hAnsi="Arial" w:eastAsia="宋体" w:cs="Arial"/>
          <w:spacing w:val="10"/>
          <w:sz w:val="24"/>
        </w:rPr>
        <w:t>计算结果：R=</w:t>
      </w:r>
      <w:r>
        <w:rPr>
          <w:rFonts w:hint="eastAsia" w:ascii="Arial" w:hAnsi="Arial" w:eastAsia="宋体" w:cs="Arial"/>
          <w:spacing w:val="10"/>
          <w:sz w:val="24"/>
        </w:rPr>
        <w:t>141</w:t>
      </w:r>
      <w:r>
        <w:rPr>
          <w:rFonts w:ascii="Arial" w:hAnsi="Arial" w:eastAsia="宋体" w:cs="Arial"/>
          <w:spacing w:val="10"/>
          <w:sz w:val="24"/>
        </w:rPr>
        <w:t>，说明拟建项目经济收益超过环保投资及运行费用，表明项目建设取得的环境效益为正效益。</w:t>
      </w:r>
    </w:p>
    <w:p w14:paraId="13DEAAB1">
      <w:pPr>
        <w:pStyle w:val="5"/>
        <w:spacing w:line="500" w:lineRule="exact"/>
        <w:ind w:firstLine="490" w:firstLineChars="200"/>
      </w:pPr>
      <w:r>
        <w:t>环境保护是我国的一项基本国策，近年来，国家在环保方面的投入也在逐年加大，目的就是为了不再走以牺牲环境来获取经济利益的老路。就拟建项目而言，其在生产过程中存在“三废”污染物产生及排放问题，特别是废气排放问题，项目投产后若“三废”不经处理直接排入环境，将给周围环境造成严重的影响，给环境质量造成一定的损害，从而导致种种负面影响（包括社会、经济、人文景观等）。</w:t>
      </w:r>
    </w:p>
    <w:p w14:paraId="604709F0">
      <w:pPr>
        <w:pStyle w:val="5"/>
        <w:spacing w:line="500" w:lineRule="exact"/>
        <w:ind w:firstLine="490" w:firstLineChars="200"/>
      </w:pPr>
      <w:r>
        <w:t>通过采取污染防治措施，项目废水处理后达标排放；各类废气经处理后能够达标排放；各类固废均能落实妥善的处置途径；厂界噪声能够做到达标排放。</w:t>
      </w:r>
    </w:p>
    <w:p w14:paraId="20551A86">
      <w:pPr>
        <w:pStyle w:val="5"/>
        <w:spacing w:line="500" w:lineRule="exact"/>
        <w:ind w:firstLine="490" w:firstLineChars="200"/>
      </w:pPr>
      <w:r>
        <w:t>从表面上看，虽然环境保护的一次性投入影响了企业的经济收入，但从长远利益看，环保的投入可以维持企业周边较好的环境质量，有助于创建良好的生活空间，使周边居民均能安居乐业，有利于吸引优秀人才来周边工作、生活，有助于促进整个区域经济的发展，反过来区域经济的发展也有利于企业自身长期的、健康的发展，做到经济效益的可持续增长。</w:t>
      </w:r>
    </w:p>
    <w:p w14:paraId="7BE75474">
      <w:pPr>
        <w:pStyle w:val="5"/>
        <w:spacing w:line="500" w:lineRule="exact"/>
        <w:ind w:firstLine="490" w:firstLineChars="200"/>
      </w:pPr>
      <w:r>
        <w:t>因此，环保投资的投入也具有良好的经济效益和社会效益。</w:t>
      </w:r>
    </w:p>
    <w:p w14:paraId="749FD4CF">
      <w:pPr>
        <w:pStyle w:val="4"/>
        <w:numPr>
          <w:ilvl w:val="0"/>
          <w:numId w:val="41"/>
        </w:numPr>
        <w:spacing w:before="214" w:beforeLines="50" w:after="214" w:afterLines="50" w:line="500" w:lineRule="exact"/>
        <w:rPr>
          <w:rFonts w:ascii="Arial" w:eastAsia="宋体" w:cs="Arial"/>
          <w:b/>
        </w:rPr>
      </w:pPr>
      <w:bookmarkStart w:id="448" w:name="_Toc1742971"/>
      <w:bookmarkStart w:id="449" w:name="_Toc104677345"/>
      <w:bookmarkStart w:id="450" w:name="_Toc185950238"/>
      <w:bookmarkStart w:id="451" w:name="_Toc341856717"/>
      <w:r>
        <w:rPr>
          <w:rFonts w:ascii="Arial" w:eastAsia="宋体" w:cs="Arial"/>
          <w:b/>
        </w:rPr>
        <w:t>环境经济损益分析结论</w:t>
      </w:r>
      <w:bookmarkEnd w:id="448"/>
      <w:bookmarkEnd w:id="449"/>
      <w:bookmarkEnd w:id="450"/>
      <w:bookmarkEnd w:id="451"/>
    </w:p>
    <w:p w14:paraId="32B3EDFB">
      <w:pPr>
        <w:pStyle w:val="5"/>
        <w:spacing w:line="500" w:lineRule="exact"/>
        <w:ind w:firstLine="490" w:firstLineChars="200"/>
      </w:pPr>
      <w:r>
        <w:t>项目建设能促进区域经济发展，各污染物达标排放，未造成区域环境质量降级，项目具有显著的环境效益和社会效益。因此，项目环保投入经济合理，所采取的环保措施在经济上是合理可行的，各项环保措施不仅较大程度的减缓项目对环境产生的不利影响，还可以产生较大的经济效益，其环境效益显著。从环境经济观点的角度看，项目是合理可行的。</w:t>
      </w:r>
    </w:p>
    <w:p w14:paraId="6C711436">
      <w:pPr>
        <w:pStyle w:val="5"/>
        <w:rPr>
          <w:highlight w:val="yellow"/>
        </w:rPr>
        <w:sectPr>
          <w:pgSz w:w="11907" w:h="16840"/>
          <w:pgMar w:top="1678" w:right="1408" w:bottom="1901" w:left="1155" w:header="1174" w:footer="1029" w:gutter="567"/>
          <w:cols w:space="720" w:num="1"/>
          <w:docGrid w:type="linesAndChars" w:linePitch="428" w:charSpace="-3161"/>
        </w:sectPr>
      </w:pPr>
    </w:p>
    <w:p w14:paraId="6E5175A1">
      <w:pPr>
        <w:pStyle w:val="3"/>
        <w:numPr>
          <w:ilvl w:val="0"/>
          <w:numId w:val="1"/>
        </w:numPr>
        <w:tabs>
          <w:tab w:val="left" w:pos="1931"/>
          <w:tab w:val="clear" w:pos="3065"/>
        </w:tabs>
        <w:ind w:left="1276"/>
        <w:rPr>
          <w:rFonts w:ascii="Arial" w:hAnsi="Arial" w:cs="Arial"/>
          <w:spacing w:val="10"/>
        </w:rPr>
      </w:pPr>
      <w:bookmarkStart w:id="452" w:name="_Toc160446448"/>
      <w:bookmarkStart w:id="453" w:name="_Toc91399164"/>
      <w:bookmarkStart w:id="454" w:name="_Toc272305655"/>
      <w:bookmarkStart w:id="455" w:name="_Toc1742972"/>
      <w:bookmarkStart w:id="456" w:name="_Toc104677346"/>
      <w:bookmarkStart w:id="457" w:name="_Toc185950239"/>
      <w:r>
        <w:rPr>
          <w:rFonts w:ascii="Arial" w:hAnsi="Arial" w:cs="Arial"/>
          <w:spacing w:val="10"/>
        </w:rPr>
        <w:t>环境管理与</w:t>
      </w:r>
      <w:bookmarkEnd w:id="452"/>
      <w:bookmarkEnd w:id="453"/>
      <w:bookmarkEnd w:id="454"/>
      <w:r>
        <w:rPr>
          <w:rFonts w:ascii="Arial" w:hAnsi="Arial" w:cs="Arial"/>
          <w:spacing w:val="10"/>
        </w:rPr>
        <w:t>监测计划</w:t>
      </w:r>
      <w:bookmarkEnd w:id="455"/>
      <w:bookmarkEnd w:id="456"/>
      <w:bookmarkEnd w:id="457"/>
    </w:p>
    <w:p w14:paraId="461AA24A">
      <w:pPr>
        <w:pStyle w:val="4"/>
        <w:numPr>
          <w:ilvl w:val="0"/>
          <w:numId w:val="45"/>
        </w:numPr>
        <w:spacing w:before="214" w:beforeLines="50" w:after="214" w:afterLines="50" w:line="500" w:lineRule="exact"/>
        <w:rPr>
          <w:rFonts w:ascii="Arial" w:eastAsia="宋体" w:cs="Arial"/>
          <w:b/>
        </w:rPr>
      </w:pPr>
      <w:bookmarkStart w:id="458" w:name="_Toc258555232"/>
      <w:bookmarkStart w:id="459" w:name="_Toc104677347"/>
      <w:bookmarkStart w:id="460" w:name="_Toc1742973"/>
      <w:bookmarkStart w:id="461" w:name="_Toc363076766"/>
      <w:bookmarkStart w:id="462" w:name="_Toc327541966"/>
      <w:bookmarkStart w:id="463" w:name="_Toc136320451"/>
      <w:bookmarkStart w:id="464" w:name="_Toc224697730"/>
      <w:bookmarkStart w:id="465" w:name="_Toc185950240"/>
      <w:bookmarkStart w:id="466" w:name="_Toc186184602"/>
      <w:r>
        <w:rPr>
          <w:rFonts w:ascii="Arial" w:eastAsia="宋体" w:cs="Arial"/>
          <w:b/>
        </w:rPr>
        <w:t>环境监督管理</w:t>
      </w:r>
      <w:bookmarkEnd w:id="458"/>
      <w:bookmarkEnd w:id="459"/>
      <w:bookmarkEnd w:id="460"/>
      <w:bookmarkEnd w:id="461"/>
      <w:bookmarkEnd w:id="462"/>
      <w:bookmarkEnd w:id="463"/>
      <w:bookmarkEnd w:id="464"/>
      <w:bookmarkEnd w:id="465"/>
      <w:bookmarkEnd w:id="466"/>
    </w:p>
    <w:p w14:paraId="06D0D404">
      <w:pPr>
        <w:pStyle w:val="5"/>
        <w:spacing w:line="500" w:lineRule="exact"/>
        <w:ind w:firstLine="490" w:firstLineChars="200"/>
      </w:pPr>
      <w:r>
        <w:t>为了对拟建项目的环保措施的实施进行及时、有效的监督管理，必须明确项目的环境保护各相关机构的具体职责和分工。</w:t>
      </w:r>
    </w:p>
    <w:p w14:paraId="14625CD8">
      <w:pPr>
        <w:pStyle w:val="6"/>
        <w:numPr>
          <w:ilvl w:val="0"/>
          <w:numId w:val="46"/>
        </w:numPr>
        <w:tabs>
          <w:tab w:val="clear" w:pos="1789"/>
        </w:tabs>
        <w:spacing w:line="400" w:lineRule="exact"/>
        <w:ind w:left="0" w:firstLine="0"/>
        <w:rPr>
          <w:rFonts w:ascii="Arial" w:hAnsi="Arial" w:eastAsia="宋体" w:cs="Arial"/>
        </w:rPr>
      </w:pPr>
      <w:bookmarkStart w:id="467" w:name="_Toc88674824"/>
      <w:bookmarkStart w:id="468" w:name="_Toc67921917"/>
      <w:bookmarkStart w:id="469" w:name="_Toc104677348"/>
      <w:bookmarkStart w:id="470" w:name="_Toc58596504"/>
      <w:bookmarkStart w:id="471" w:name="_Toc57715664"/>
      <w:bookmarkStart w:id="472" w:name="_Toc87124302"/>
      <w:r>
        <w:rPr>
          <w:rFonts w:ascii="Arial" w:hAnsi="Arial" w:eastAsia="宋体" w:cs="Arial"/>
        </w:rPr>
        <w:t>环境管理监督计划</w:t>
      </w:r>
      <w:bookmarkEnd w:id="467"/>
      <w:bookmarkEnd w:id="468"/>
      <w:bookmarkEnd w:id="469"/>
      <w:bookmarkEnd w:id="470"/>
      <w:bookmarkEnd w:id="471"/>
      <w:bookmarkEnd w:id="472"/>
    </w:p>
    <w:p w14:paraId="1C909793">
      <w:pPr>
        <w:pStyle w:val="5"/>
        <w:numPr>
          <w:ilvl w:val="0"/>
          <w:numId w:val="47"/>
        </w:numPr>
        <w:spacing w:line="500" w:lineRule="exact"/>
        <w:ind w:left="0" w:firstLine="0"/>
        <w:jc w:val="center"/>
        <w:outlineLvl w:val="4"/>
        <w:rPr>
          <w:b/>
        </w:rPr>
      </w:pPr>
      <w:r>
        <w:rPr>
          <w:b/>
        </w:rPr>
        <w:t>环境管理监督计划</w:t>
      </w:r>
    </w:p>
    <w:tbl>
      <w:tblPr>
        <w:tblStyle w:val="88"/>
        <w:tblW w:w="0" w:type="auto"/>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15"/>
        <w:gridCol w:w="1136"/>
        <w:gridCol w:w="3526"/>
        <w:gridCol w:w="3516"/>
      </w:tblGrid>
      <w:tr w14:paraId="1F00F1C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15" w:type="dxa"/>
            <w:vAlign w:val="center"/>
          </w:tcPr>
          <w:p w14:paraId="7213925B">
            <w:pPr>
              <w:widowControl/>
              <w:topLinePunct/>
              <w:spacing w:line="240" w:lineRule="exact"/>
              <w:jc w:val="center"/>
              <w:rPr>
                <w:rFonts w:ascii="Arial" w:hAnsi="Arial" w:eastAsia="宋体" w:cs="Arial"/>
                <w:sz w:val="21"/>
                <w:szCs w:val="21"/>
              </w:rPr>
            </w:pPr>
            <w:r>
              <w:rPr>
                <w:rFonts w:ascii="Arial" w:hAnsi="Arial" w:eastAsia="宋体" w:cs="Arial"/>
                <w:sz w:val="21"/>
                <w:szCs w:val="21"/>
              </w:rPr>
              <w:t>阶段</w:t>
            </w:r>
          </w:p>
        </w:tc>
        <w:tc>
          <w:tcPr>
            <w:tcW w:w="1136" w:type="dxa"/>
            <w:vAlign w:val="center"/>
          </w:tcPr>
          <w:p w14:paraId="73E2907C">
            <w:pPr>
              <w:widowControl/>
              <w:topLinePunct/>
              <w:spacing w:line="240" w:lineRule="exact"/>
              <w:jc w:val="center"/>
              <w:rPr>
                <w:rFonts w:ascii="Arial" w:hAnsi="Arial" w:eastAsia="宋体" w:cs="Arial"/>
                <w:sz w:val="21"/>
                <w:szCs w:val="21"/>
              </w:rPr>
            </w:pPr>
            <w:r>
              <w:rPr>
                <w:rFonts w:ascii="Arial" w:hAnsi="Arial" w:eastAsia="宋体" w:cs="Arial"/>
                <w:sz w:val="21"/>
                <w:szCs w:val="21"/>
              </w:rPr>
              <w:t>机构</w:t>
            </w:r>
          </w:p>
        </w:tc>
        <w:tc>
          <w:tcPr>
            <w:tcW w:w="3526" w:type="dxa"/>
            <w:vAlign w:val="center"/>
          </w:tcPr>
          <w:p w14:paraId="55CDE6BF">
            <w:pPr>
              <w:widowControl/>
              <w:topLinePunct/>
              <w:spacing w:line="240" w:lineRule="exact"/>
              <w:jc w:val="center"/>
              <w:rPr>
                <w:rFonts w:ascii="Arial" w:hAnsi="Arial" w:eastAsia="宋体" w:cs="Arial"/>
                <w:sz w:val="21"/>
                <w:szCs w:val="21"/>
              </w:rPr>
            </w:pPr>
            <w:r>
              <w:rPr>
                <w:rFonts w:ascii="Arial" w:hAnsi="Arial" w:eastAsia="宋体" w:cs="Arial"/>
                <w:sz w:val="21"/>
                <w:szCs w:val="21"/>
              </w:rPr>
              <w:t>监督内容</w:t>
            </w:r>
          </w:p>
        </w:tc>
        <w:tc>
          <w:tcPr>
            <w:tcW w:w="3516" w:type="dxa"/>
            <w:vAlign w:val="center"/>
          </w:tcPr>
          <w:p w14:paraId="571A1769">
            <w:pPr>
              <w:widowControl/>
              <w:topLinePunct/>
              <w:spacing w:line="240" w:lineRule="exact"/>
              <w:jc w:val="center"/>
              <w:rPr>
                <w:rFonts w:ascii="Arial" w:hAnsi="Arial" w:eastAsia="宋体" w:cs="Arial"/>
                <w:sz w:val="21"/>
                <w:szCs w:val="21"/>
              </w:rPr>
            </w:pPr>
            <w:r>
              <w:rPr>
                <w:rFonts w:ascii="Arial" w:hAnsi="Arial" w:eastAsia="宋体" w:cs="Arial"/>
                <w:sz w:val="21"/>
                <w:szCs w:val="21"/>
              </w:rPr>
              <w:t>监督目的</w:t>
            </w:r>
          </w:p>
        </w:tc>
      </w:tr>
      <w:tr w14:paraId="037318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15" w:type="dxa"/>
            <w:vMerge w:val="restart"/>
            <w:vAlign w:val="center"/>
          </w:tcPr>
          <w:p w14:paraId="024963CD">
            <w:pPr>
              <w:widowControl/>
              <w:topLinePunct/>
              <w:spacing w:line="240" w:lineRule="exact"/>
              <w:jc w:val="center"/>
              <w:rPr>
                <w:rFonts w:ascii="Arial" w:hAnsi="Arial" w:eastAsia="宋体" w:cs="Arial"/>
                <w:sz w:val="21"/>
                <w:szCs w:val="21"/>
              </w:rPr>
            </w:pPr>
            <w:r>
              <w:rPr>
                <w:rFonts w:ascii="Arial" w:hAnsi="Arial" w:eastAsia="宋体" w:cs="Arial"/>
                <w:sz w:val="21"/>
                <w:szCs w:val="21"/>
              </w:rPr>
              <w:t>建</w:t>
            </w:r>
          </w:p>
          <w:p w14:paraId="54865B88">
            <w:pPr>
              <w:widowControl/>
              <w:topLinePunct/>
              <w:spacing w:line="240" w:lineRule="exact"/>
              <w:jc w:val="center"/>
              <w:rPr>
                <w:rFonts w:ascii="Arial" w:hAnsi="Arial" w:eastAsia="宋体" w:cs="Arial"/>
                <w:sz w:val="21"/>
                <w:szCs w:val="21"/>
              </w:rPr>
            </w:pPr>
            <w:r>
              <w:rPr>
                <w:rFonts w:ascii="Arial" w:hAnsi="Arial" w:eastAsia="宋体" w:cs="Arial"/>
                <w:sz w:val="21"/>
                <w:szCs w:val="21"/>
              </w:rPr>
              <w:t>设</w:t>
            </w:r>
          </w:p>
          <w:p w14:paraId="417242C1">
            <w:pPr>
              <w:widowControl/>
              <w:topLinePunct/>
              <w:spacing w:line="240" w:lineRule="exact"/>
              <w:jc w:val="center"/>
              <w:rPr>
                <w:rFonts w:ascii="Arial" w:hAnsi="Arial" w:eastAsia="宋体" w:cs="Arial"/>
                <w:sz w:val="21"/>
                <w:szCs w:val="21"/>
              </w:rPr>
            </w:pPr>
            <w:r>
              <w:rPr>
                <w:rFonts w:ascii="Arial" w:hAnsi="Arial" w:eastAsia="宋体" w:cs="Arial"/>
                <w:sz w:val="21"/>
                <w:szCs w:val="21"/>
              </w:rPr>
              <w:t>阶</w:t>
            </w:r>
          </w:p>
          <w:p w14:paraId="5777C87E">
            <w:pPr>
              <w:widowControl/>
              <w:topLinePunct/>
              <w:spacing w:line="240" w:lineRule="exact"/>
              <w:jc w:val="center"/>
              <w:rPr>
                <w:rFonts w:ascii="Arial" w:hAnsi="Arial" w:eastAsia="宋体" w:cs="Arial"/>
                <w:sz w:val="21"/>
                <w:szCs w:val="21"/>
              </w:rPr>
            </w:pPr>
            <w:r>
              <w:rPr>
                <w:rFonts w:ascii="Arial" w:hAnsi="Arial" w:eastAsia="宋体" w:cs="Arial"/>
                <w:sz w:val="21"/>
                <w:szCs w:val="21"/>
              </w:rPr>
              <w:t>段</w:t>
            </w:r>
          </w:p>
        </w:tc>
        <w:tc>
          <w:tcPr>
            <w:tcW w:w="1136" w:type="dxa"/>
            <w:vMerge w:val="restart"/>
            <w:vAlign w:val="center"/>
          </w:tcPr>
          <w:p w14:paraId="29537692">
            <w:pPr>
              <w:widowControl/>
              <w:topLinePunct/>
              <w:spacing w:line="240" w:lineRule="exact"/>
              <w:jc w:val="center"/>
              <w:rPr>
                <w:rFonts w:ascii="Arial" w:hAnsi="Arial" w:eastAsia="宋体" w:cs="Arial"/>
                <w:sz w:val="21"/>
                <w:szCs w:val="21"/>
              </w:rPr>
            </w:pPr>
            <w:r>
              <w:rPr>
                <w:rFonts w:ascii="Arial" w:hAnsi="Arial" w:eastAsia="宋体" w:cs="Arial"/>
                <w:sz w:val="21"/>
                <w:szCs w:val="21"/>
              </w:rPr>
              <w:t>钦州市生态环境局、建设方</w:t>
            </w:r>
          </w:p>
        </w:tc>
        <w:tc>
          <w:tcPr>
            <w:tcW w:w="3526" w:type="dxa"/>
            <w:vAlign w:val="center"/>
          </w:tcPr>
          <w:p w14:paraId="01F88EFE">
            <w:pPr>
              <w:widowControl/>
              <w:topLinePunct/>
              <w:spacing w:line="240" w:lineRule="exact"/>
              <w:rPr>
                <w:rFonts w:ascii="Arial" w:hAnsi="Arial" w:eastAsia="宋体" w:cs="Arial"/>
                <w:sz w:val="21"/>
                <w:szCs w:val="21"/>
              </w:rPr>
            </w:pPr>
            <w:r>
              <w:rPr>
                <w:rFonts w:ascii="Arial" w:hAnsi="Arial" w:eastAsia="宋体" w:cs="Arial"/>
                <w:sz w:val="21"/>
                <w:szCs w:val="21"/>
              </w:rPr>
              <w:t>1、审核环保初步设计</w:t>
            </w:r>
          </w:p>
        </w:tc>
        <w:tc>
          <w:tcPr>
            <w:tcW w:w="3516" w:type="dxa"/>
            <w:vAlign w:val="center"/>
          </w:tcPr>
          <w:p w14:paraId="3792527B">
            <w:pPr>
              <w:topLinePunct/>
              <w:spacing w:line="240" w:lineRule="exact"/>
              <w:rPr>
                <w:rFonts w:ascii="Arial" w:hAnsi="Arial" w:eastAsia="宋体" w:cs="Arial"/>
                <w:sz w:val="21"/>
                <w:szCs w:val="21"/>
              </w:rPr>
            </w:pPr>
            <w:r>
              <w:rPr>
                <w:rFonts w:ascii="Arial" w:hAnsi="Arial" w:eastAsia="宋体" w:cs="Arial"/>
                <w:sz w:val="21"/>
                <w:szCs w:val="21"/>
              </w:rPr>
              <w:t>1、严格执行“三同时</w:t>
            </w:r>
          </w:p>
        </w:tc>
      </w:tr>
      <w:tr w14:paraId="4F5EF6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15" w:type="dxa"/>
            <w:vMerge w:val="continue"/>
            <w:vAlign w:val="center"/>
          </w:tcPr>
          <w:p w14:paraId="7191BC3B">
            <w:pPr>
              <w:widowControl/>
              <w:topLinePunct/>
              <w:spacing w:line="240" w:lineRule="exact"/>
              <w:jc w:val="center"/>
              <w:rPr>
                <w:rFonts w:ascii="Arial" w:hAnsi="Arial" w:eastAsia="宋体" w:cs="Arial"/>
                <w:sz w:val="21"/>
                <w:szCs w:val="21"/>
              </w:rPr>
            </w:pPr>
          </w:p>
        </w:tc>
        <w:tc>
          <w:tcPr>
            <w:tcW w:w="1136" w:type="dxa"/>
            <w:vMerge w:val="continue"/>
            <w:vAlign w:val="center"/>
          </w:tcPr>
          <w:p w14:paraId="7EEF10FA">
            <w:pPr>
              <w:widowControl/>
              <w:topLinePunct/>
              <w:spacing w:line="240" w:lineRule="exact"/>
              <w:jc w:val="center"/>
              <w:rPr>
                <w:rFonts w:ascii="Arial" w:hAnsi="Arial" w:eastAsia="宋体" w:cs="Arial"/>
                <w:sz w:val="21"/>
                <w:szCs w:val="21"/>
              </w:rPr>
            </w:pPr>
          </w:p>
        </w:tc>
        <w:tc>
          <w:tcPr>
            <w:tcW w:w="3526" w:type="dxa"/>
            <w:vAlign w:val="center"/>
          </w:tcPr>
          <w:p w14:paraId="346B363D">
            <w:pPr>
              <w:topLinePunct/>
              <w:spacing w:line="240" w:lineRule="exact"/>
              <w:rPr>
                <w:rFonts w:ascii="Arial" w:hAnsi="Arial" w:eastAsia="宋体" w:cs="Arial"/>
                <w:sz w:val="21"/>
                <w:szCs w:val="21"/>
              </w:rPr>
            </w:pPr>
            <w:r>
              <w:rPr>
                <w:rFonts w:ascii="Arial" w:hAnsi="Arial" w:eastAsia="宋体" w:cs="Arial"/>
                <w:sz w:val="21"/>
                <w:szCs w:val="21"/>
              </w:rPr>
              <w:t>2、检查环保投资是否落</w:t>
            </w:r>
          </w:p>
        </w:tc>
        <w:tc>
          <w:tcPr>
            <w:tcW w:w="3516" w:type="dxa"/>
            <w:vAlign w:val="center"/>
          </w:tcPr>
          <w:p w14:paraId="100C9FE6">
            <w:pPr>
              <w:widowControl/>
              <w:topLinePunct/>
              <w:spacing w:line="240" w:lineRule="exact"/>
              <w:rPr>
                <w:rFonts w:ascii="Arial" w:hAnsi="Arial" w:eastAsia="宋体" w:cs="Arial"/>
                <w:sz w:val="21"/>
                <w:szCs w:val="21"/>
              </w:rPr>
            </w:pPr>
            <w:r>
              <w:rPr>
                <w:rFonts w:ascii="Arial" w:hAnsi="Arial" w:eastAsia="宋体" w:cs="Arial"/>
                <w:sz w:val="21"/>
                <w:szCs w:val="21"/>
              </w:rPr>
              <w:t>2、确保环保投资</w:t>
            </w:r>
          </w:p>
        </w:tc>
      </w:tr>
      <w:tr w14:paraId="08054C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15" w:type="dxa"/>
            <w:vMerge w:val="continue"/>
            <w:vAlign w:val="center"/>
          </w:tcPr>
          <w:p w14:paraId="09348B31">
            <w:pPr>
              <w:widowControl/>
              <w:topLinePunct/>
              <w:spacing w:line="240" w:lineRule="exact"/>
              <w:jc w:val="center"/>
              <w:rPr>
                <w:rFonts w:ascii="Arial" w:hAnsi="Arial" w:eastAsia="宋体" w:cs="Arial"/>
                <w:sz w:val="21"/>
                <w:szCs w:val="21"/>
              </w:rPr>
            </w:pPr>
          </w:p>
        </w:tc>
        <w:tc>
          <w:tcPr>
            <w:tcW w:w="1136" w:type="dxa"/>
            <w:vMerge w:val="continue"/>
            <w:vAlign w:val="center"/>
          </w:tcPr>
          <w:p w14:paraId="3FCC9225">
            <w:pPr>
              <w:widowControl/>
              <w:topLinePunct/>
              <w:spacing w:line="240" w:lineRule="exact"/>
              <w:jc w:val="center"/>
              <w:rPr>
                <w:rFonts w:ascii="Arial" w:hAnsi="Arial" w:eastAsia="宋体" w:cs="Arial"/>
                <w:sz w:val="21"/>
                <w:szCs w:val="21"/>
              </w:rPr>
            </w:pPr>
          </w:p>
        </w:tc>
        <w:tc>
          <w:tcPr>
            <w:tcW w:w="3526" w:type="dxa"/>
            <w:vAlign w:val="center"/>
          </w:tcPr>
          <w:p w14:paraId="260F69E3">
            <w:pPr>
              <w:widowControl/>
              <w:topLinePunct/>
              <w:spacing w:line="240" w:lineRule="exact"/>
              <w:rPr>
                <w:rFonts w:ascii="Arial" w:hAnsi="Arial" w:eastAsia="宋体" w:cs="Arial"/>
                <w:sz w:val="21"/>
                <w:szCs w:val="21"/>
              </w:rPr>
            </w:pPr>
            <w:r>
              <w:rPr>
                <w:rFonts w:ascii="Arial" w:hAnsi="Arial" w:eastAsia="宋体" w:cs="Arial"/>
                <w:sz w:val="21"/>
                <w:szCs w:val="21"/>
              </w:rPr>
              <w:t>3、检查环保设施“三同时”情况</w:t>
            </w:r>
          </w:p>
        </w:tc>
        <w:tc>
          <w:tcPr>
            <w:tcW w:w="3516" w:type="dxa"/>
            <w:vAlign w:val="center"/>
          </w:tcPr>
          <w:p w14:paraId="385DF824">
            <w:pPr>
              <w:widowControl/>
              <w:spacing w:line="240" w:lineRule="exact"/>
              <w:rPr>
                <w:rFonts w:ascii="Arial" w:hAnsi="Arial" w:eastAsia="宋体" w:cs="Arial"/>
                <w:sz w:val="21"/>
                <w:szCs w:val="21"/>
              </w:rPr>
            </w:pPr>
            <w:r>
              <w:rPr>
                <w:rFonts w:ascii="Arial" w:hAnsi="Arial" w:eastAsia="宋体" w:cs="Arial"/>
                <w:sz w:val="21"/>
                <w:szCs w:val="21"/>
              </w:rPr>
              <w:t>3、确保“三同时”落实</w:t>
            </w:r>
          </w:p>
        </w:tc>
      </w:tr>
      <w:tr w14:paraId="4C22E3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15" w:type="dxa"/>
            <w:vMerge w:val="continue"/>
            <w:vAlign w:val="center"/>
          </w:tcPr>
          <w:p w14:paraId="4E4C1968">
            <w:pPr>
              <w:widowControl/>
              <w:topLinePunct/>
              <w:spacing w:line="240" w:lineRule="exact"/>
              <w:jc w:val="center"/>
              <w:rPr>
                <w:rFonts w:ascii="Arial" w:hAnsi="Arial" w:eastAsia="宋体" w:cs="Arial"/>
                <w:sz w:val="21"/>
                <w:szCs w:val="21"/>
              </w:rPr>
            </w:pPr>
          </w:p>
        </w:tc>
        <w:tc>
          <w:tcPr>
            <w:tcW w:w="1136" w:type="dxa"/>
            <w:vMerge w:val="continue"/>
            <w:vAlign w:val="center"/>
          </w:tcPr>
          <w:p w14:paraId="58778DE9">
            <w:pPr>
              <w:widowControl/>
              <w:topLinePunct/>
              <w:spacing w:line="240" w:lineRule="exact"/>
              <w:jc w:val="center"/>
              <w:rPr>
                <w:rFonts w:ascii="Arial" w:hAnsi="Arial" w:eastAsia="宋体" w:cs="Arial"/>
                <w:sz w:val="21"/>
                <w:szCs w:val="21"/>
              </w:rPr>
            </w:pPr>
          </w:p>
        </w:tc>
        <w:tc>
          <w:tcPr>
            <w:tcW w:w="3526" w:type="dxa"/>
            <w:vAlign w:val="center"/>
          </w:tcPr>
          <w:p w14:paraId="7D8C0965">
            <w:pPr>
              <w:widowControl/>
              <w:topLinePunct/>
              <w:spacing w:line="240" w:lineRule="exact"/>
              <w:rPr>
                <w:rFonts w:ascii="Arial" w:hAnsi="Arial" w:eastAsia="宋体" w:cs="Arial"/>
                <w:sz w:val="21"/>
                <w:szCs w:val="21"/>
              </w:rPr>
            </w:pPr>
            <w:r>
              <w:rPr>
                <w:rFonts w:ascii="Arial" w:hAnsi="Arial" w:eastAsia="宋体" w:cs="Arial"/>
                <w:sz w:val="21"/>
                <w:szCs w:val="21"/>
              </w:rPr>
              <w:t>4、检查环保设施是否达到标准要求</w:t>
            </w:r>
          </w:p>
        </w:tc>
        <w:tc>
          <w:tcPr>
            <w:tcW w:w="3516" w:type="dxa"/>
            <w:vAlign w:val="center"/>
          </w:tcPr>
          <w:p w14:paraId="00515B29">
            <w:pPr>
              <w:widowControl/>
              <w:topLinePunct/>
              <w:spacing w:line="240" w:lineRule="exact"/>
              <w:rPr>
                <w:rFonts w:ascii="Arial" w:hAnsi="Arial" w:eastAsia="宋体" w:cs="Arial"/>
                <w:sz w:val="21"/>
                <w:szCs w:val="21"/>
              </w:rPr>
            </w:pPr>
            <w:r>
              <w:rPr>
                <w:rFonts w:ascii="Arial" w:hAnsi="Arial" w:eastAsia="宋体" w:cs="Arial"/>
                <w:sz w:val="21"/>
                <w:szCs w:val="21"/>
              </w:rPr>
              <w:t>4、验收环保设施</w:t>
            </w:r>
          </w:p>
        </w:tc>
      </w:tr>
      <w:tr w14:paraId="6B82850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0" w:hRule="atLeast"/>
        </w:trPr>
        <w:tc>
          <w:tcPr>
            <w:tcW w:w="815" w:type="dxa"/>
            <w:vMerge w:val="restart"/>
            <w:vAlign w:val="center"/>
          </w:tcPr>
          <w:p w14:paraId="718EBF22">
            <w:pPr>
              <w:widowControl/>
              <w:topLinePunct/>
              <w:spacing w:line="240" w:lineRule="exact"/>
              <w:jc w:val="center"/>
              <w:rPr>
                <w:rFonts w:ascii="Arial" w:hAnsi="Arial" w:eastAsia="宋体" w:cs="Arial"/>
                <w:sz w:val="21"/>
                <w:szCs w:val="21"/>
              </w:rPr>
            </w:pPr>
            <w:r>
              <w:rPr>
                <w:rFonts w:ascii="Arial" w:hAnsi="Arial" w:eastAsia="宋体" w:cs="Arial"/>
                <w:sz w:val="21"/>
                <w:szCs w:val="21"/>
              </w:rPr>
              <w:t>营</w:t>
            </w:r>
          </w:p>
          <w:p w14:paraId="0C4760E2">
            <w:pPr>
              <w:widowControl/>
              <w:topLinePunct/>
              <w:spacing w:line="240" w:lineRule="exact"/>
              <w:jc w:val="center"/>
              <w:rPr>
                <w:rFonts w:ascii="Arial" w:hAnsi="Arial" w:eastAsia="宋体" w:cs="Arial"/>
                <w:sz w:val="21"/>
                <w:szCs w:val="21"/>
              </w:rPr>
            </w:pPr>
            <w:r>
              <w:rPr>
                <w:rFonts w:ascii="Arial" w:hAnsi="Arial" w:eastAsia="宋体" w:cs="Arial"/>
                <w:sz w:val="21"/>
                <w:szCs w:val="21"/>
              </w:rPr>
              <w:t>运</w:t>
            </w:r>
          </w:p>
          <w:p w14:paraId="295C7660">
            <w:pPr>
              <w:widowControl/>
              <w:topLinePunct/>
              <w:spacing w:line="240" w:lineRule="exact"/>
              <w:jc w:val="center"/>
              <w:rPr>
                <w:rFonts w:ascii="Arial" w:hAnsi="Arial" w:eastAsia="宋体" w:cs="Arial"/>
                <w:sz w:val="21"/>
                <w:szCs w:val="21"/>
              </w:rPr>
            </w:pPr>
            <w:r>
              <w:rPr>
                <w:rFonts w:ascii="Arial" w:hAnsi="Arial" w:eastAsia="宋体" w:cs="Arial"/>
                <w:sz w:val="21"/>
                <w:szCs w:val="21"/>
              </w:rPr>
              <w:t>阶</w:t>
            </w:r>
          </w:p>
          <w:p w14:paraId="5B360429">
            <w:pPr>
              <w:widowControl/>
              <w:topLinePunct/>
              <w:spacing w:line="240" w:lineRule="exact"/>
              <w:jc w:val="center"/>
              <w:rPr>
                <w:rFonts w:ascii="Arial" w:hAnsi="Arial" w:eastAsia="宋体" w:cs="Arial"/>
                <w:sz w:val="21"/>
                <w:szCs w:val="21"/>
              </w:rPr>
            </w:pPr>
            <w:r>
              <w:rPr>
                <w:rFonts w:ascii="Arial" w:hAnsi="Arial" w:eastAsia="宋体" w:cs="Arial"/>
                <w:sz w:val="21"/>
                <w:szCs w:val="21"/>
              </w:rPr>
              <w:t>段</w:t>
            </w:r>
          </w:p>
        </w:tc>
        <w:tc>
          <w:tcPr>
            <w:tcW w:w="1136" w:type="dxa"/>
            <w:vMerge w:val="restart"/>
            <w:vAlign w:val="center"/>
          </w:tcPr>
          <w:p w14:paraId="424A7714">
            <w:pPr>
              <w:widowControl/>
              <w:topLinePunct/>
              <w:spacing w:line="240" w:lineRule="exact"/>
              <w:jc w:val="center"/>
              <w:rPr>
                <w:rFonts w:ascii="Arial" w:hAnsi="Arial" w:eastAsia="宋体" w:cs="Arial"/>
                <w:sz w:val="21"/>
                <w:szCs w:val="21"/>
              </w:rPr>
            </w:pPr>
            <w:r>
              <w:rPr>
                <w:rFonts w:ascii="Arial" w:hAnsi="Arial" w:eastAsia="宋体" w:cs="Arial"/>
                <w:sz w:val="21"/>
                <w:szCs w:val="21"/>
              </w:rPr>
              <w:t>钦州市生态环境局、建设方</w:t>
            </w:r>
          </w:p>
        </w:tc>
        <w:tc>
          <w:tcPr>
            <w:tcW w:w="3526" w:type="dxa"/>
            <w:vAlign w:val="center"/>
          </w:tcPr>
          <w:p w14:paraId="3DC72078">
            <w:pPr>
              <w:widowControl/>
              <w:topLinePunct/>
              <w:spacing w:line="240" w:lineRule="exact"/>
              <w:rPr>
                <w:rFonts w:ascii="Arial" w:hAnsi="Arial" w:eastAsia="宋体" w:cs="Arial"/>
                <w:sz w:val="21"/>
                <w:szCs w:val="21"/>
              </w:rPr>
            </w:pPr>
            <w:r>
              <w:rPr>
                <w:rFonts w:ascii="Arial" w:hAnsi="Arial" w:eastAsia="宋体" w:cs="Arial"/>
                <w:sz w:val="21"/>
                <w:szCs w:val="21"/>
              </w:rPr>
              <w:t>1、检查营运期环保措施</w:t>
            </w:r>
          </w:p>
        </w:tc>
        <w:tc>
          <w:tcPr>
            <w:tcW w:w="3516" w:type="dxa"/>
            <w:vAlign w:val="center"/>
          </w:tcPr>
          <w:p w14:paraId="1B356C25">
            <w:pPr>
              <w:widowControl/>
              <w:topLinePunct/>
              <w:spacing w:line="240" w:lineRule="exact"/>
              <w:rPr>
                <w:rFonts w:ascii="Arial" w:hAnsi="Arial" w:eastAsia="宋体" w:cs="Arial"/>
                <w:sz w:val="21"/>
                <w:szCs w:val="21"/>
              </w:rPr>
            </w:pPr>
            <w:r>
              <w:rPr>
                <w:rFonts w:ascii="Arial" w:hAnsi="Arial" w:eastAsia="宋体" w:cs="Arial"/>
                <w:sz w:val="21"/>
                <w:szCs w:val="21"/>
              </w:rPr>
              <w:t>1、落实环保措施</w:t>
            </w:r>
          </w:p>
        </w:tc>
      </w:tr>
      <w:tr w14:paraId="1F5FED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0" w:hRule="atLeast"/>
        </w:trPr>
        <w:tc>
          <w:tcPr>
            <w:tcW w:w="815" w:type="dxa"/>
            <w:vMerge w:val="continue"/>
            <w:vAlign w:val="center"/>
          </w:tcPr>
          <w:p w14:paraId="09366996">
            <w:pPr>
              <w:widowControl/>
              <w:topLinePunct/>
              <w:spacing w:line="240" w:lineRule="exact"/>
              <w:jc w:val="center"/>
              <w:rPr>
                <w:rFonts w:ascii="Arial" w:hAnsi="Arial" w:eastAsia="宋体" w:cs="Arial"/>
                <w:sz w:val="21"/>
                <w:szCs w:val="21"/>
              </w:rPr>
            </w:pPr>
          </w:p>
        </w:tc>
        <w:tc>
          <w:tcPr>
            <w:tcW w:w="1136" w:type="dxa"/>
            <w:vMerge w:val="continue"/>
            <w:vAlign w:val="center"/>
          </w:tcPr>
          <w:p w14:paraId="077D65B4">
            <w:pPr>
              <w:widowControl/>
              <w:topLinePunct/>
              <w:spacing w:line="240" w:lineRule="exact"/>
              <w:jc w:val="center"/>
              <w:rPr>
                <w:rFonts w:ascii="Arial" w:hAnsi="Arial" w:eastAsia="宋体" w:cs="Arial"/>
                <w:sz w:val="21"/>
                <w:szCs w:val="21"/>
              </w:rPr>
            </w:pPr>
          </w:p>
        </w:tc>
        <w:tc>
          <w:tcPr>
            <w:tcW w:w="3526" w:type="dxa"/>
            <w:vAlign w:val="center"/>
          </w:tcPr>
          <w:p w14:paraId="70B3656E">
            <w:pPr>
              <w:widowControl/>
              <w:topLinePunct/>
              <w:spacing w:line="240" w:lineRule="exact"/>
              <w:rPr>
                <w:rFonts w:ascii="Arial" w:hAnsi="Arial" w:eastAsia="宋体" w:cs="Arial"/>
                <w:sz w:val="21"/>
                <w:szCs w:val="21"/>
              </w:rPr>
            </w:pPr>
            <w:r>
              <w:rPr>
                <w:rFonts w:ascii="Arial" w:hAnsi="Arial" w:eastAsia="宋体" w:cs="Arial"/>
                <w:sz w:val="21"/>
                <w:szCs w:val="21"/>
              </w:rPr>
              <w:t>2、检查环境监测计划的实施</w:t>
            </w:r>
          </w:p>
        </w:tc>
        <w:tc>
          <w:tcPr>
            <w:tcW w:w="3516" w:type="dxa"/>
            <w:vAlign w:val="center"/>
          </w:tcPr>
          <w:p w14:paraId="2D473243">
            <w:pPr>
              <w:widowControl/>
              <w:topLinePunct/>
              <w:spacing w:line="240" w:lineRule="exact"/>
              <w:rPr>
                <w:rFonts w:ascii="Arial" w:hAnsi="Arial" w:eastAsia="宋体" w:cs="Arial"/>
                <w:sz w:val="21"/>
                <w:szCs w:val="21"/>
              </w:rPr>
            </w:pPr>
            <w:r>
              <w:rPr>
                <w:rFonts w:ascii="Arial" w:hAnsi="Arial" w:eastAsia="宋体" w:cs="Arial"/>
                <w:sz w:val="21"/>
                <w:szCs w:val="21"/>
              </w:rPr>
              <w:t>2、落实监测计划</w:t>
            </w:r>
          </w:p>
        </w:tc>
      </w:tr>
      <w:tr w14:paraId="5533DE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0" w:hRule="atLeast"/>
        </w:trPr>
        <w:tc>
          <w:tcPr>
            <w:tcW w:w="815" w:type="dxa"/>
            <w:vMerge w:val="continue"/>
            <w:vAlign w:val="center"/>
          </w:tcPr>
          <w:p w14:paraId="3E1C0549">
            <w:pPr>
              <w:widowControl/>
              <w:topLinePunct/>
              <w:spacing w:line="240" w:lineRule="exact"/>
              <w:jc w:val="center"/>
              <w:rPr>
                <w:rFonts w:ascii="Arial" w:hAnsi="Arial" w:eastAsia="宋体" w:cs="Arial"/>
                <w:sz w:val="21"/>
                <w:szCs w:val="21"/>
              </w:rPr>
            </w:pPr>
          </w:p>
        </w:tc>
        <w:tc>
          <w:tcPr>
            <w:tcW w:w="1136" w:type="dxa"/>
            <w:vMerge w:val="continue"/>
            <w:vAlign w:val="center"/>
          </w:tcPr>
          <w:p w14:paraId="5403A519">
            <w:pPr>
              <w:widowControl/>
              <w:topLinePunct/>
              <w:spacing w:line="240" w:lineRule="exact"/>
              <w:jc w:val="center"/>
              <w:rPr>
                <w:rFonts w:ascii="Arial" w:hAnsi="Arial" w:eastAsia="宋体" w:cs="Arial"/>
                <w:sz w:val="21"/>
                <w:szCs w:val="21"/>
              </w:rPr>
            </w:pPr>
          </w:p>
        </w:tc>
        <w:tc>
          <w:tcPr>
            <w:tcW w:w="3526" w:type="dxa"/>
            <w:vAlign w:val="center"/>
          </w:tcPr>
          <w:p w14:paraId="2AE19948">
            <w:pPr>
              <w:widowControl/>
              <w:topLinePunct/>
              <w:spacing w:line="240" w:lineRule="exact"/>
              <w:rPr>
                <w:rFonts w:ascii="Arial" w:hAnsi="Arial" w:eastAsia="宋体" w:cs="Arial"/>
                <w:sz w:val="21"/>
                <w:szCs w:val="21"/>
              </w:rPr>
            </w:pPr>
            <w:r>
              <w:rPr>
                <w:rFonts w:ascii="Arial" w:hAnsi="Arial" w:eastAsia="宋体" w:cs="Arial"/>
                <w:sz w:val="21"/>
                <w:szCs w:val="21"/>
              </w:rPr>
              <w:t>3、检查环境敏感区的环境质量是否满足其相应质量标准要求</w:t>
            </w:r>
          </w:p>
        </w:tc>
        <w:tc>
          <w:tcPr>
            <w:tcW w:w="3516" w:type="dxa"/>
            <w:vAlign w:val="center"/>
          </w:tcPr>
          <w:p w14:paraId="2BC239E5">
            <w:pPr>
              <w:widowControl/>
              <w:topLinePunct/>
              <w:spacing w:line="240" w:lineRule="exact"/>
              <w:rPr>
                <w:rFonts w:ascii="Arial" w:hAnsi="Arial" w:eastAsia="宋体" w:cs="Arial"/>
                <w:sz w:val="21"/>
                <w:szCs w:val="21"/>
              </w:rPr>
            </w:pPr>
            <w:r>
              <w:rPr>
                <w:rFonts w:ascii="Arial" w:hAnsi="Arial" w:eastAsia="宋体" w:cs="Arial"/>
                <w:sz w:val="21"/>
                <w:szCs w:val="21"/>
              </w:rPr>
              <w:t>3、保障人群身体健康</w:t>
            </w:r>
          </w:p>
        </w:tc>
      </w:tr>
    </w:tbl>
    <w:p w14:paraId="41F586C7">
      <w:pPr>
        <w:pStyle w:val="6"/>
        <w:numPr>
          <w:ilvl w:val="0"/>
          <w:numId w:val="46"/>
        </w:numPr>
        <w:tabs>
          <w:tab w:val="clear" w:pos="1789"/>
        </w:tabs>
        <w:spacing w:line="400" w:lineRule="exact"/>
        <w:ind w:left="0" w:firstLine="0"/>
        <w:rPr>
          <w:rFonts w:ascii="Arial" w:hAnsi="Arial" w:eastAsia="宋体" w:cs="Arial"/>
        </w:rPr>
      </w:pPr>
      <w:bookmarkStart w:id="473" w:name="_Toc67921918"/>
      <w:bookmarkStart w:id="474" w:name="_Toc58596505"/>
      <w:bookmarkStart w:id="475" w:name="_Toc57715665"/>
      <w:bookmarkStart w:id="476" w:name="_Toc87124303"/>
      <w:bookmarkStart w:id="477" w:name="_Toc224697731"/>
      <w:bookmarkStart w:id="478" w:name="_Toc186184603"/>
      <w:bookmarkStart w:id="479" w:name="_Toc258555233"/>
      <w:bookmarkStart w:id="480" w:name="_Toc104677349"/>
      <w:bookmarkStart w:id="481" w:name="_Toc88674825"/>
      <w:bookmarkStart w:id="482" w:name="_Toc363076767"/>
      <w:bookmarkStart w:id="483" w:name="_Toc136320452"/>
      <w:bookmarkStart w:id="484" w:name="_Toc327541967"/>
      <w:r>
        <w:rPr>
          <w:rFonts w:ascii="Arial" w:hAnsi="Arial" w:eastAsia="宋体" w:cs="Arial"/>
        </w:rPr>
        <w:t>企业污染防治对策及实施计划</w:t>
      </w:r>
      <w:bookmarkEnd w:id="473"/>
      <w:bookmarkEnd w:id="474"/>
      <w:bookmarkEnd w:id="475"/>
      <w:bookmarkEnd w:id="476"/>
      <w:bookmarkEnd w:id="477"/>
      <w:bookmarkEnd w:id="478"/>
      <w:bookmarkEnd w:id="479"/>
      <w:bookmarkEnd w:id="480"/>
      <w:bookmarkEnd w:id="481"/>
      <w:bookmarkEnd w:id="482"/>
      <w:bookmarkEnd w:id="483"/>
      <w:bookmarkEnd w:id="484"/>
    </w:p>
    <w:p w14:paraId="03405305">
      <w:pPr>
        <w:pStyle w:val="5"/>
        <w:spacing w:line="500" w:lineRule="exact"/>
        <w:ind w:firstLine="490" w:firstLineChars="200"/>
      </w:pPr>
      <w:r>
        <w:t>根据环保措施应与建设项目同时设计、同时施工、同时使用的“三同时”要求，拟建项目污染治理措施及本报告提出的改进措施应在项目初步设计阶段落实，以利于切实实施。此外，在设计实施的同时建设单位应考虑环保设施的自身建设特点，如建设周期、工程整体性等基本要求，进行统筹安排。建设单位防治对策实施计划见表7-2。</w:t>
      </w:r>
    </w:p>
    <w:p w14:paraId="55BD884F">
      <w:pPr>
        <w:pStyle w:val="5"/>
        <w:spacing w:line="500" w:lineRule="exact"/>
        <w:ind w:firstLine="490" w:firstLineChars="200"/>
      </w:pPr>
    </w:p>
    <w:p w14:paraId="63231FF5">
      <w:pPr>
        <w:pStyle w:val="5"/>
        <w:spacing w:line="500" w:lineRule="exact"/>
        <w:ind w:firstLine="490" w:firstLineChars="200"/>
      </w:pPr>
    </w:p>
    <w:p w14:paraId="558DE201">
      <w:pPr>
        <w:pStyle w:val="5"/>
        <w:spacing w:line="500" w:lineRule="exact"/>
        <w:ind w:firstLine="490" w:firstLineChars="200"/>
      </w:pPr>
    </w:p>
    <w:p w14:paraId="3F241EB3">
      <w:pPr>
        <w:pStyle w:val="5"/>
        <w:spacing w:line="500" w:lineRule="exact"/>
        <w:ind w:firstLine="490" w:firstLineChars="200"/>
      </w:pPr>
    </w:p>
    <w:p w14:paraId="67BA86CD">
      <w:pPr>
        <w:pStyle w:val="5"/>
        <w:numPr>
          <w:ilvl w:val="0"/>
          <w:numId w:val="47"/>
        </w:numPr>
        <w:spacing w:line="500" w:lineRule="exact"/>
        <w:ind w:left="0" w:firstLine="0"/>
        <w:jc w:val="center"/>
        <w:outlineLvl w:val="4"/>
        <w:rPr>
          <w:b/>
        </w:rPr>
      </w:pPr>
      <w:r>
        <w:rPr>
          <w:b/>
        </w:rPr>
        <w:t>企业防治对策实施计划</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6254"/>
        <w:gridCol w:w="844"/>
        <w:gridCol w:w="795"/>
      </w:tblGrid>
      <w:tr w14:paraId="1184E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12" w:type="pct"/>
            <w:vAlign w:val="center"/>
          </w:tcPr>
          <w:p w14:paraId="79D25523">
            <w:pPr>
              <w:topLinePunct/>
              <w:adjustRightInd w:val="0"/>
              <w:snapToGrid w:val="0"/>
              <w:jc w:val="center"/>
              <w:rPr>
                <w:rFonts w:ascii="Arial" w:hAnsi="Arial" w:eastAsia="宋体" w:cs="Arial"/>
                <w:sz w:val="21"/>
                <w:szCs w:val="21"/>
              </w:rPr>
            </w:pPr>
            <w:r>
              <w:rPr>
                <w:rFonts w:ascii="Arial" w:hAnsi="Arial" w:eastAsia="宋体" w:cs="Arial"/>
                <w:sz w:val="21"/>
                <w:szCs w:val="21"/>
              </w:rPr>
              <w:t>类别</w:t>
            </w:r>
          </w:p>
        </w:tc>
        <w:tc>
          <w:tcPr>
            <w:tcW w:w="3477" w:type="pct"/>
            <w:vAlign w:val="center"/>
          </w:tcPr>
          <w:p w14:paraId="15192AC9">
            <w:pPr>
              <w:topLinePunct/>
              <w:adjustRightInd w:val="0"/>
              <w:snapToGrid w:val="0"/>
              <w:jc w:val="center"/>
              <w:rPr>
                <w:rFonts w:ascii="Arial" w:hAnsi="Arial" w:eastAsia="宋体" w:cs="Arial"/>
                <w:sz w:val="21"/>
                <w:szCs w:val="21"/>
              </w:rPr>
            </w:pPr>
            <w:r>
              <w:rPr>
                <w:rFonts w:ascii="Arial" w:hAnsi="Arial" w:eastAsia="宋体" w:cs="Arial"/>
                <w:sz w:val="21"/>
                <w:szCs w:val="21"/>
              </w:rPr>
              <w:t>减缓措施</w:t>
            </w:r>
          </w:p>
        </w:tc>
        <w:tc>
          <w:tcPr>
            <w:tcW w:w="469" w:type="pct"/>
            <w:vAlign w:val="center"/>
          </w:tcPr>
          <w:p w14:paraId="018B194B">
            <w:pPr>
              <w:topLinePunct/>
              <w:adjustRightInd w:val="0"/>
              <w:snapToGrid w:val="0"/>
              <w:jc w:val="center"/>
              <w:rPr>
                <w:rFonts w:ascii="Arial" w:hAnsi="Arial" w:eastAsia="宋体" w:cs="Arial"/>
                <w:sz w:val="21"/>
                <w:szCs w:val="21"/>
              </w:rPr>
            </w:pPr>
            <w:r>
              <w:rPr>
                <w:rFonts w:ascii="Arial" w:hAnsi="Arial" w:eastAsia="宋体" w:cs="Arial"/>
                <w:sz w:val="21"/>
                <w:szCs w:val="21"/>
              </w:rPr>
              <w:t>设计、实施机构</w:t>
            </w:r>
          </w:p>
        </w:tc>
        <w:tc>
          <w:tcPr>
            <w:tcW w:w="442" w:type="pct"/>
            <w:vAlign w:val="center"/>
          </w:tcPr>
          <w:p w14:paraId="50561588">
            <w:pPr>
              <w:topLinePunct/>
              <w:adjustRightInd w:val="0"/>
              <w:snapToGrid w:val="0"/>
              <w:jc w:val="center"/>
              <w:rPr>
                <w:rFonts w:ascii="Arial" w:hAnsi="Arial" w:eastAsia="宋体" w:cs="Arial"/>
                <w:sz w:val="21"/>
                <w:szCs w:val="21"/>
              </w:rPr>
            </w:pPr>
            <w:r>
              <w:rPr>
                <w:rFonts w:ascii="Arial" w:hAnsi="Arial" w:eastAsia="宋体" w:cs="Arial"/>
                <w:sz w:val="21"/>
                <w:szCs w:val="21"/>
              </w:rPr>
              <w:t>负责机构</w:t>
            </w:r>
          </w:p>
        </w:tc>
      </w:tr>
      <w:tr w14:paraId="1D4C4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pct"/>
            <w:vAlign w:val="center"/>
          </w:tcPr>
          <w:p w14:paraId="31A8F286">
            <w:pPr>
              <w:adjustRightInd w:val="0"/>
              <w:snapToGrid w:val="0"/>
              <w:jc w:val="center"/>
              <w:rPr>
                <w:rFonts w:ascii="Arial" w:hAnsi="Arial" w:eastAsia="宋体" w:cs="Arial"/>
                <w:kern w:val="0"/>
                <w:sz w:val="21"/>
                <w:szCs w:val="21"/>
              </w:rPr>
            </w:pPr>
            <w:r>
              <w:rPr>
                <w:rFonts w:ascii="Arial" w:hAnsi="Arial" w:eastAsia="宋体" w:cs="Arial"/>
                <w:kern w:val="0"/>
                <w:sz w:val="21"/>
                <w:szCs w:val="21"/>
              </w:rPr>
              <w:t>废气</w:t>
            </w:r>
          </w:p>
        </w:tc>
        <w:tc>
          <w:tcPr>
            <w:tcW w:w="3477" w:type="pct"/>
            <w:vAlign w:val="center"/>
          </w:tcPr>
          <w:p w14:paraId="396CC736">
            <w:pPr>
              <w:adjustRightInd w:val="0"/>
              <w:snapToGrid w:val="0"/>
              <w:jc w:val="left"/>
              <w:rPr>
                <w:rFonts w:ascii="Arial" w:hAnsi="Arial" w:eastAsia="宋体" w:cs="Arial"/>
                <w:sz w:val="21"/>
                <w:szCs w:val="21"/>
              </w:rPr>
            </w:pPr>
            <w:r>
              <w:rPr>
                <w:rFonts w:ascii="Arial" w:hAnsi="Arial" w:eastAsia="宋体" w:cs="Arial"/>
                <w:sz w:val="21"/>
                <w:szCs w:val="21"/>
              </w:rPr>
              <w:t>1、</w:t>
            </w:r>
            <w:r>
              <w:rPr>
                <w:rFonts w:hint="eastAsia" w:ascii="Arial" w:hAnsi="Arial" w:eastAsia="宋体" w:cs="Arial"/>
                <w:sz w:val="21"/>
                <w:szCs w:val="21"/>
              </w:rPr>
              <w:t>合成反应废气、压滤废气一同经吸收塔处理，经1根20m高排气筒（DA145）排放</w:t>
            </w:r>
            <w:r>
              <w:rPr>
                <w:rFonts w:ascii="Arial" w:hAnsi="Arial" w:eastAsia="宋体" w:cs="Arial"/>
                <w:sz w:val="21"/>
                <w:szCs w:val="21"/>
              </w:rPr>
              <w:t>；</w:t>
            </w:r>
          </w:p>
          <w:p w14:paraId="1D2335DD">
            <w:pPr>
              <w:adjustRightInd w:val="0"/>
              <w:snapToGrid w:val="0"/>
              <w:jc w:val="left"/>
              <w:rPr>
                <w:rFonts w:ascii="Arial" w:hAnsi="Arial" w:eastAsia="宋体" w:cs="Arial"/>
                <w:sz w:val="21"/>
                <w:szCs w:val="21"/>
              </w:rPr>
            </w:pPr>
            <w:r>
              <w:rPr>
                <w:rFonts w:ascii="Arial" w:hAnsi="Arial" w:eastAsia="宋体" w:cs="Arial"/>
                <w:sz w:val="21"/>
                <w:szCs w:val="21"/>
              </w:rPr>
              <w:t>2、</w:t>
            </w:r>
            <w:r>
              <w:rPr>
                <w:rFonts w:hint="eastAsia" w:ascii="Arial" w:hAnsi="Arial" w:eastAsia="宋体" w:cs="Arial"/>
                <w:sz w:val="21"/>
                <w:szCs w:val="21"/>
              </w:rPr>
              <w:t>烘干粉尘、破碎粉尘、包装粉尘一同经布袋除尘器、吸收塔处理后通过1根20m高排气筒（DA146）排放。</w:t>
            </w:r>
          </w:p>
        </w:tc>
        <w:tc>
          <w:tcPr>
            <w:tcW w:w="469" w:type="pct"/>
            <w:vMerge w:val="restart"/>
            <w:vAlign w:val="center"/>
          </w:tcPr>
          <w:p w14:paraId="6AD6318E">
            <w:pPr>
              <w:topLinePunct/>
              <w:adjustRightInd w:val="0"/>
              <w:snapToGrid w:val="0"/>
              <w:jc w:val="center"/>
              <w:rPr>
                <w:rFonts w:ascii="Arial" w:hAnsi="Arial" w:eastAsia="宋体" w:cs="Arial"/>
                <w:sz w:val="21"/>
                <w:szCs w:val="21"/>
              </w:rPr>
            </w:pPr>
            <w:r>
              <w:rPr>
                <w:rFonts w:ascii="Arial" w:hAnsi="Arial" w:eastAsia="宋体" w:cs="Arial"/>
                <w:sz w:val="21"/>
                <w:szCs w:val="21"/>
              </w:rPr>
              <w:t>企业环保部门</w:t>
            </w:r>
          </w:p>
        </w:tc>
        <w:tc>
          <w:tcPr>
            <w:tcW w:w="442" w:type="pct"/>
            <w:vMerge w:val="restart"/>
            <w:vAlign w:val="center"/>
          </w:tcPr>
          <w:p w14:paraId="3637FF5C">
            <w:pPr>
              <w:adjustRightInd w:val="0"/>
              <w:snapToGrid w:val="0"/>
              <w:jc w:val="center"/>
              <w:rPr>
                <w:rFonts w:ascii="Arial" w:hAnsi="Arial" w:eastAsia="宋体" w:cs="Arial"/>
                <w:sz w:val="21"/>
                <w:szCs w:val="21"/>
              </w:rPr>
            </w:pPr>
            <w:r>
              <w:rPr>
                <w:rFonts w:ascii="Arial" w:hAnsi="Arial" w:eastAsia="宋体" w:cs="Arial"/>
                <w:sz w:val="21"/>
                <w:szCs w:val="21"/>
              </w:rPr>
              <w:t>广西中伟新能源科技有限公司</w:t>
            </w:r>
          </w:p>
        </w:tc>
      </w:tr>
      <w:tr w14:paraId="145AC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pct"/>
            <w:vAlign w:val="center"/>
          </w:tcPr>
          <w:p w14:paraId="1144949F">
            <w:pPr>
              <w:adjustRightInd w:val="0"/>
              <w:snapToGrid w:val="0"/>
              <w:jc w:val="center"/>
              <w:rPr>
                <w:rFonts w:ascii="Arial" w:hAnsi="Arial" w:eastAsia="宋体" w:cs="Arial"/>
                <w:kern w:val="0"/>
                <w:sz w:val="21"/>
                <w:szCs w:val="21"/>
              </w:rPr>
            </w:pPr>
            <w:r>
              <w:rPr>
                <w:rFonts w:ascii="Arial" w:hAnsi="Arial" w:eastAsia="宋体" w:cs="Arial"/>
                <w:kern w:val="0"/>
                <w:sz w:val="21"/>
                <w:szCs w:val="21"/>
              </w:rPr>
              <w:t>废水</w:t>
            </w:r>
          </w:p>
        </w:tc>
        <w:tc>
          <w:tcPr>
            <w:tcW w:w="3477" w:type="pct"/>
            <w:vAlign w:val="center"/>
          </w:tcPr>
          <w:p w14:paraId="0F064373">
            <w:pPr>
              <w:adjustRightInd w:val="0"/>
              <w:snapToGrid w:val="0"/>
              <w:jc w:val="left"/>
              <w:rPr>
                <w:rFonts w:ascii="Arial" w:hAnsi="Arial" w:eastAsia="宋体" w:cs="Arial"/>
                <w:sz w:val="21"/>
                <w:szCs w:val="21"/>
              </w:rPr>
            </w:pPr>
            <w:r>
              <w:rPr>
                <w:rFonts w:hint="eastAsia" w:ascii="Arial" w:hAnsi="Arial" w:eastAsia="宋体" w:cs="Arial"/>
                <w:sz w:val="21"/>
                <w:szCs w:val="21"/>
              </w:rPr>
              <w:t>生产废水在X19车间经板框压滤预处理后，通过管道泵入S7污水处理车间，经脱氨、陶瓷膜过滤处理后，通过管道泵入S8、S9污水处理车间，经4#~12#MVR处理，MVR处理后的开路母液通过管道泵入厂区综合污水处理站，经臭氧催化氧化处理后，</w:t>
            </w:r>
            <w:r>
              <w:rPr>
                <w:rFonts w:ascii="Arial" w:hAnsi="Arial" w:eastAsia="宋体" w:cs="Arial"/>
                <w:sz w:val="21"/>
                <w:szCs w:val="21"/>
              </w:rPr>
              <w:t>与纯水站浓水一同排入厂区总排口，近期依托大榄坪污水处理厂排海管道排入A2排污区，远期待大榄坪污水处理厂升级改造完成后排入大榄坪污水处理厂处理。</w:t>
            </w:r>
          </w:p>
        </w:tc>
        <w:tc>
          <w:tcPr>
            <w:tcW w:w="469" w:type="pct"/>
            <w:vMerge w:val="continue"/>
            <w:vAlign w:val="center"/>
          </w:tcPr>
          <w:p w14:paraId="7E564247">
            <w:pPr>
              <w:topLinePunct/>
              <w:adjustRightInd w:val="0"/>
              <w:snapToGrid w:val="0"/>
              <w:jc w:val="center"/>
              <w:rPr>
                <w:rFonts w:ascii="Arial" w:hAnsi="Arial" w:eastAsia="宋体" w:cs="Arial"/>
                <w:sz w:val="21"/>
                <w:szCs w:val="21"/>
                <w:highlight w:val="yellow"/>
              </w:rPr>
            </w:pPr>
          </w:p>
        </w:tc>
        <w:tc>
          <w:tcPr>
            <w:tcW w:w="442" w:type="pct"/>
            <w:vMerge w:val="continue"/>
            <w:vAlign w:val="center"/>
          </w:tcPr>
          <w:p w14:paraId="4E39A424">
            <w:pPr>
              <w:adjustRightInd w:val="0"/>
              <w:snapToGrid w:val="0"/>
              <w:jc w:val="center"/>
              <w:rPr>
                <w:rFonts w:ascii="Arial" w:hAnsi="Arial" w:eastAsia="宋体" w:cs="Arial"/>
                <w:sz w:val="21"/>
                <w:szCs w:val="21"/>
                <w:highlight w:val="yellow"/>
              </w:rPr>
            </w:pPr>
          </w:p>
        </w:tc>
      </w:tr>
      <w:tr w14:paraId="0C9FD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pct"/>
            <w:vAlign w:val="center"/>
          </w:tcPr>
          <w:p w14:paraId="7988A7FE">
            <w:pPr>
              <w:adjustRightInd w:val="0"/>
              <w:snapToGrid w:val="0"/>
              <w:jc w:val="center"/>
              <w:rPr>
                <w:rFonts w:ascii="Arial" w:hAnsi="Arial" w:eastAsia="宋体" w:cs="Arial"/>
                <w:kern w:val="0"/>
                <w:sz w:val="21"/>
                <w:szCs w:val="21"/>
              </w:rPr>
            </w:pPr>
            <w:r>
              <w:rPr>
                <w:rFonts w:ascii="Arial" w:hAnsi="Arial" w:eastAsia="宋体" w:cs="Arial"/>
                <w:kern w:val="0"/>
                <w:sz w:val="21"/>
                <w:szCs w:val="21"/>
              </w:rPr>
              <w:t>固废</w:t>
            </w:r>
          </w:p>
        </w:tc>
        <w:tc>
          <w:tcPr>
            <w:tcW w:w="3477" w:type="pct"/>
            <w:vAlign w:val="center"/>
          </w:tcPr>
          <w:p w14:paraId="0AA1A41A">
            <w:pPr>
              <w:adjustRightInd w:val="0"/>
              <w:snapToGrid w:val="0"/>
              <w:jc w:val="left"/>
              <w:rPr>
                <w:rFonts w:ascii="Arial" w:hAnsi="Arial" w:eastAsia="宋体" w:cs="Arial"/>
                <w:sz w:val="21"/>
                <w:szCs w:val="21"/>
              </w:rPr>
            </w:pPr>
            <w:r>
              <w:rPr>
                <w:rFonts w:ascii="Arial" w:hAnsi="Arial" w:eastAsia="宋体" w:cs="Arial"/>
                <w:sz w:val="21"/>
                <w:szCs w:val="21"/>
              </w:rPr>
              <w:t>废润滑油按危废委托具有相应处置资质的单位处理。</w:t>
            </w:r>
          </w:p>
        </w:tc>
        <w:tc>
          <w:tcPr>
            <w:tcW w:w="469" w:type="pct"/>
            <w:vMerge w:val="continue"/>
            <w:vAlign w:val="center"/>
          </w:tcPr>
          <w:p w14:paraId="7621316A">
            <w:pPr>
              <w:topLinePunct/>
              <w:adjustRightInd w:val="0"/>
              <w:snapToGrid w:val="0"/>
              <w:jc w:val="center"/>
              <w:rPr>
                <w:rFonts w:ascii="Arial" w:hAnsi="Arial" w:eastAsia="宋体" w:cs="Arial"/>
                <w:sz w:val="21"/>
                <w:szCs w:val="21"/>
                <w:highlight w:val="yellow"/>
              </w:rPr>
            </w:pPr>
          </w:p>
        </w:tc>
        <w:tc>
          <w:tcPr>
            <w:tcW w:w="442" w:type="pct"/>
            <w:vMerge w:val="continue"/>
            <w:vAlign w:val="center"/>
          </w:tcPr>
          <w:p w14:paraId="7271A3A5">
            <w:pPr>
              <w:adjustRightInd w:val="0"/>
              <w:snapToGrid w:val="0"/>
              <w:jc w:val="center"/>
              <w:rPr>
                <w:rFonts w:ascii="Arial" w:hAnsi="Arial" w:eastAsia="宋体" w:cs="Arial"/>
                <w:sz w:val="21"/>
                <w:szCs w:val="21"/>
                <w:highlight w:val="yellow"/>
              </w:rPr>
            </w:pPr>
          </w:p>
        </w:tc>
      </w:tr>
      <w:tr w14:paraId="152C6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pct"/>
            <w:vAlign w:val="center"/>
          </w:tcPr>
          <w:p w14:paraId="6C580830">
            <w:pPr>
              <w:topLinePunct/>
              <w:adjustRightInd w:val="0"/>
              <w:snapToGrid w:val="0"/>
              <w:jc w:val="center"/>
              <w:rPr>
                <w:rFonts w:ascii="Arial" w:hAnsi="Arial" w:eastAsia="宋体" w:cs="Arial"/>
                <w:sz w:val="21"/>
                <w:szCs w:val="21"/>
              </w:rPr>
            </w:pPr>
            <w:r>
              <w:rPr>
                <w:rFonts w:ascii="Arial" w:hAnsi="Arial" w:eastAsia="宋体" w:cs="Arial"/>
                <w:sz w:val="21"/>
                <w:szCs w:val="21"/>
              </w:rPr>
              <w:t>噪声</w:t>
            </w:r>
          </w:p>
        </w:tc>
        <w:tc>
          <w:tcPr>
            <w:tcW w:w="3477" w:type="pct"/>
            <w:vAlign w:val="center"/>
          </w:tcPr>
          <w:p w14:paraId="083F1D2A">
            <w:pPr>
              <w:topLinePunct/>
              <w:adjustRightInd w:val="0"/>
              <w:snapToGrid w:val="0"/>
              <w:rPr>
                <w:rFonts w:ascii="Arial" w:hAnsi="Arial" w:eastAsia="宋体" w:cs="Arial"/>
                <w:sz w:val="21"/>
                <w:szCs w:val="21"/>
              </w:rPr>
            </w:pPr>
            <w:r>
              <w:rPr>
                <w:rFonts w:ascii="Arial" w:hAnsi="Arial" w:eastAsia="宋体" w:cs="Arial"/>
                <w:spacing w:val="10"/>
                <w:sz w:val="21"/>
                <w:szCs w:val="21"/>
              </w:rPr>
              <w:t>减震、建筑隔声</w:t>
            </w:r>
          </w:p>
        </w:tc>
        <w:tc>
          <w:tcPr>
            <w:tcW w:w="469" w:type="pct"/>
            <w:vMerge w:val="continue"/>
            <w:vAlign w:val="center"/>
          </w:tcPr>
          <w:p w14:paraId="784E9452">
            <w:pPr>
              <w:topLinePunct/>
              <w:adjustRightInd w:val="0"/>
              <w:snapToGrid w:val="0"/>
              <w:jc w:val="center"/>
              <w:rPr>
                <w:rFonts w:ascii="Arial" w:hAnsi="Arial" w:eastAsia="宋体" w:cs="Arial"/>
                <w:sz w:val="21"/>
                <w:szCs w:val="21"/>
                <w:highlight w:val="yellow"/>
              </w:rPr>
            </w:pPr>
          </w:p>
        </w:tc>
        <w:tc>
          <w:tcPr>
            <w:tcW w:w="442" w:type="pct"/>
            <w:vMerge w:val="continue"/>
            <w:vAlign w:val="center"/>
          </w:tcPr>
          <w:p w14:paraId="799CF33D">
            <w:pPr>
              <w:adjustRightInd w:val="0"/>
              <w:snapToGrid w:val="0"/>
              <w:jc w:val="center"/>
              <w:rPr>
                <w:rFonts w:ascii="Arial" w:hAnsi="Arial" w:eastAsia="宋体" w:cs="Arial"/>
                <w:sz w:val="21"/>
                <w:szCs w:val="21"/>
                <w:highlight w:val="yellow"/>
              </w:rPr>
            </w:pPr>
          </w:p>
        </w:tc>
      </w:tr>
      <w:tr w14:paraId="47FB2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pct"/>
            <w:vAlign w:val="center"/>
          </w:tcPr>
          <w:p w14:paraId="63CF2427">
            <w:pPr>
              <w:topLinePunct/>
              <w:adjustRightInd w:val="0"/>
              <w:snapToGrid w:val="0"/>
              <w:jc w:val="center"/>
              <w:rPr>
                <w:rFonts w:ascii="Arial" w:hAnsi="Arial" w:eastAsia="宋体" w:cs="Arial"/>
                <w:sz w:val="21"/>
                <w:szCs w:val="21"/>
              </w:rPr>
            </w:pPr>
            <w:r>
              <w:rPr>
                <w:rFonts w:ascii="Arial" w:hAnsi="Arial" w:eastAsia="宋体" w:cs="Arial"/>
                <w:sz w:val="21"/>
                <w:szCs w:val="21"/>
              </w:rPr>
              <w:t>地下水</w:t>
            </w:r>
          </w:p>
        </w:tc>
        <w:tc>
          <w:tcPr>
            <w:tcW w:w="3477" w:type="pct"/>
            <w:vAlign w:val="center"/>
          </w:tcPr>
          <w:p w14:paraId="1CAACCD4">
            <w:pPr>
              <w:topLinePunct/>
              <w:adjustRightInd w:val="0"/>
              <w:snapToGrid w:val="0"/>
              <w:rPr>
                <w:rFonts w:ascii="Arial" w:hAnsi="Arial" w:eastAsia="宋体" w:cs="Arial"/>
                <w:sz w:val="21"/>
                <w:szCs w:val="21"/>
              </w:rPr>
            </w:pPr>
            <w:r>
              <w:rPr>
                <w:rFonts w:ascii="Arial" w:hAnsi="Arial" w:eastAsia="宋体" w:cs="Arial"/>
                <w:sz w:val="21"/>
                <w:szCs w:val="21"/>
              </w:rPr>
              <w:t>设置分区防渗措施，</w:t>
            </w:r>
            <w:r>
              <w:rPr>
                <w:rFonts w:ascii="Arial" w:hAnsi="Arial" w:eastAsia="宋体" w:cs="Arial"/>
                <w:spacing w:val="10"/>
                <w:sz w:val="21"/>
                <w:szCs w:val="21"/>
              </w:rPr>
              <w:t>设置永久监测井。</w:t>
            </w:r>
          </w:p>
        </w:tc>
        <w:tc>
          <w:tcPr>
            <w:tcW w:w="469" w:type="pct"/>
            <w:vMerge w:val="continue"/>
            <w:vAlign w:val="center"/>
          </w:tcPr>
          <w:p w14:paraId="5F80A0A1">
            <w:pPr>
              <w:topLinePunct/>
              <w:adjustRightInd w:val="0"/>
              <w:snapToGrid w:val="0"/>
              <w:jc w:val="center"/>
              <w:rPr>
                <w:rFonts w:ascii="Arial" w:hAnsi="Arial" w:eastAsia="宋体" w:cs="Arial"/>
                <w:sz w:val="21"/>
                <w:szCs w:val="21"/>
                <w:highlight w:val="yellow"/>
              </w:rPr>
            </w:pPr>
          </w:p>
        </w:tc>
        <w:tc>
          <w:tcPr>
            <w:tcW w:w="442" w:type="pct"/>
            <w:vMerge w:val="continue"/>
            <w:vAlign w:val="center"/>
          </w:tcPr>
          <w:p w14:paraId="649F227E">
            <w:pPr>
              <w:adjustRightInd w:val="0"/>
              <w:snapToGrid w:val="0"/>
              <w:jc w:val="center"/>
              <w:rPr>
                <w:rFonts w:ascii="Arial" w:hAnsi="Arial" w:eastAsia="宋体" w:cs="Arial"/>
                <w:sz w:val="21"/>
                <w:szCs w:val="21"/>
                <w:highlight w:val="yellow"/>
              </w:rPr>
            </w:pPr>
          </w:p>
        </w:tc>
      </w:tr>
      <w:tr w14:paraId="4A3AA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2" w:type="pct"/>
            <w:vAlign w:val="center"/>
          </w:tcPr>
          <w:p w14:paraId="09D752EA">
            <w:pPr>
              <w:topLinePunct/>
              <w:adjustRightInd w:val="0"/>
              <w:snapToGrid w:val="0"/>
              <w:jc w:val="center"/>
              <w:rPr>
                <w:rFonts w:ascii="Arial" w:hAnsi="Arial" w:eastAsia="宋体" w:cs="Arial"/>
                <w:sz w:val="21"/>
                <w:szCs w:val="21"/>
              </w:rPr>
            </w:pPr>
            <w:r>
              <w:rPr>
                <w:rFonts w:ascii="Arial" w:hAnsi="Arial" w:eastAsia="宋体" w:cs="Arial"/>
                <w:sz w:val="21"/>
                <w:szCs w:val="21"/>
              </w:rPr>
              <w:t>环境监测</w:t>
            </w:r>
          </w:p>
        </w:tc>
        <w:tc>
          <w:tcPr>
            <w:tcW w:w="3477" w:type="pct"/>
            <w:vAlign w:val="center"/>
          </w:tcPr>
          <w:p w14:paraId="24948558">
            <w:pPr>
              <w:topLinePunct/>
              <w:adjustRightInd w:val="0"/>
              <w:snapToGrid w:val="0"/>
              <w:rPr>
                <w:rFonts w:ascii="Arial" w:hAnsi="Arial" w:eastAsia="宋体" w:cs="Arial"/>
                <w:sz w:val="21"/>
                <w:szCs w:val="21"/>
              </w:rPr>
            </w:pPr>
            <w:r>
              <w:rPr>
                <w:rFonts w:ascii="Arial" w:hAnsi="Arial" w:eastAsia="宋体" w:cs="Arial"/>
                <w:sz w:val="21"/>
                <w:szCs w:val="21"/>
              </w:rPr>
              <w:t>按照环境监测技术规范和国家环保部颁布的监测标准、方法执行</w:t>
            </w:r>
          </w:p>
        </w:tc>
        <w:tc>
          <w:tcPr>
            <w:tcW w:w="469" w:type="pct"/>
            <w:vMerge w:val="continue"/>
            <w:vAlign w:val="center"/>
          </w:tcPr>
          <w:p w14:paraId="70CC4C7E">
            <w:pPr>
              <w:topLinePunct/>
              <w:adjustRightInd w:val="0"/>
              <w:snapToGrid w:val="0"/>
              <w:jc w:val="center"/>
              <w:rPr>
                <w:rFonts w:ascii="Arial" w:hAnsi="Arial" w:eastAsia="宋体" w:cs="Arial"/>
                <w:sz w:val="21"/>
                <w:szCs w:val="21"/>
                <w:highlight w:val="yellow"/>
              </w:rPr>
            </w:pPr>
          </w:p>
        </w:tc>
        <w:tc>
          <w:tcPr>
            <w:tcW w:w="442" w:type="pct"/>
            <w:vMerge w:val="continue"/>
            <w:vAlign w:val="center"/>
          </w:tcPr>
          <w:p w14:paraId="689F8192">
            <w:pPr>
              <w:adjustRightInd w:val="0"/>
              <w:snapToGrid w:val="0"/>
              <w:jc w:val="center"/>
              <w:rPr>
                <w:rFonts w:ascii="Arial" w:hAnsi="Arial" w:eastAsia="宋体" w:cs="Arial"/>
                <w:sz w:val="21"/>
                <w:szCs w:val="21"/>
                <w:highlight w:val="yellow"/>
              </w:rPr>
            </w:pPr>
          </w:p>
        </w:tc>
      </w:tr>
    </w:tbl>
    <w:p w14:paraId="47CCC2C9">
      <w:pPr>
        <w:pStyle w:val="4"/>
        <w:numPr>
          <w:ilvl w:val="0"/>
          <w:numId w:val="45"/>
        </w:numPr>
        <w:spacing w:before="214" w:beforeLines="50" w:after="214" w:afterLines="50" w:line="500" w:lineRule="exact"/>
        <w:rPr>
          <w:rFonts w:ascii="Arial" w:eastAsia="宋体" w:cs="Arial"/>
          <w:b/>
        </w:rPr>
      </w:pPr>
      <w:bookmarkStart w:id="485" w:name="_Toc258555234"/>
      <w:bookmarkStart w:id="486" w:name="_Toc327541968"/>
      <w:bookmarkStart w:id="487" w:name="_Toc104677350"/>
      <w:bookmarkStart w:id="488" w:name="_Toc185950241"/>
      <w:bookmarkStart w:id="489" w:name="_Toc224697732"/>
      <w:bookmarkStart w:id="490" w:name="_Toc186184604"/>
      <w:bookmarkStart w:id="491" w:name="_Toc363076768"/>
      <w:bookmarkStart w:id="492" w:name="_Toc1742974"/>
      <w:r>
        <w:rPr>
          <w:rFonts w:ascii="Arial" w:eastAsia="宋体" w:cs="Arial"/>
          <w:b/>
        </w:rPr>
        <w:t>环境监测计划</w:t>
      </w:r>
      <w:bookmarkEnd w:id="485"/>
      <w:bookmarkEnd w:id="486"/>
      <w:bookmarkEnd w:id="487"/>
      <w:bookmarkEnd w:id="488"/>
      <w:bookmarkEnd w:id="489"/>
      <w:bookmarkEnd w:id="490"/>
      <w:bookmarkEnd w:id="491"/>
      <w:bookmarkEnd w:id="492"/>
    </w:p>
    <w:p w14:paraId="1559751C">
      <w:pPr>
        <w:pStyle w:val="5"/>
        <w:spacing w:line="500" w:lineRule="exact"/>
        <w:ind w:firstLine="490" w:firstLineChars="200"/>
      </w:pPr>
      <w:r>
        <w:t>制定环境监测计划的目的是为了监督各项措施的落实，根据监测结果适时调整环境保护行动计划，为环保措施的实施时间和实施方案提供依据。制定的原则是根据预期的、各个时期（施工期或营运期）的主要环境影响。</w:t>
      </w:r>
    </w:p>
    <w:p w14:paraId="23EE6FB7">
      <w:pPr>
        <w:pStyle w:val="6"/>
        <w:numPr>
          <w:ilvl w:val="0"/>
          <w:numId w:val="48"/>
        </w:numPr>
        <w:tabs>
          <w:tab w:val="clear" w:pos="1789"/>
        </w:tabs>
        <w:spacing w:line="400" w:lineRule="exact"/>
        <w:ind w:left="0" w:firstLine="0"/>
        <w:rPr>
          <w:rFonts w:ascii="Arial" w:hAnsi="Arial" w:eastAsia="宋体" w:cs="Arial"/>
        </w:rPr>
      </w:pPr>
      <w:bookmarkStart w:id="493" w:name="_Toc67921920"/>
      <w:bookmarkStart w:id="494" w:name="_Toc88674827"/>
      <w:bookmarkStart w:id="495" w:name="_Toc104677351"/>
      <w:bookmarkStart w:id="496" w:name="_Toc87124305"/>
      <w:r>
        <w:rPr>
          <w:rFonts w:ascii="Arial" w:hAnsi="Arial" w:eastAsia="宋体" w:cs="Arial"/>
        </w:rPr>
        <w:t>排污口的设置</w:t>
      </w:r>
      <w:bookmarkEnd w:id="493"/>
      <w:bookmarkEnd w:id="494"/>
      <w:bookmarkEnd w:id="495"/>
      <w:bookmarkEnd w:id="496"/>
    </w:p>
    <w:p w14:paraId="0D409055">
      <w:pPr>
        <w:pStyle w:val="5"/>
        <w:spacing w:line="500" w:lineRule="exact"/>
        <w:ind w:firstLine="490" w:firstLineChars="200"/>
      </w:pPr>
      <w:r>
        <w:t>按照《排污口规范化整治技术要求（试行）》（国家环保局环监〔1996〕470号）规范化设置厂区排污口。</w:t>
      </w:r>
    </w:p>
    <w:p w14:paraId="00EDBFFC">
      <w:pPr>
        <w:pStyle w:val="5"/>
        <w:spacing w:line="500" w:lineRule="exact"/>
        <w:ind w:firstLine="490" w:firstLineChars="200"/>
      </w:pPr>
      <w:r>
        <w:t>1、废水排污口设置</w:t>
      </w:r>
    </w:p>
    <w:p w14:paraId="3BEAD561">
      <w:pPr>
        <w:pStyle w:val="5"/>
        <w:spacing w:line="500" w:lineRule="exact"/>
        <w:ind w:firstLine="490" w:firstLineChars="200"/>
      </w:pPr>
      <w:r>
        <w:t>由于目前园区配套的大榄坪污水处理厂不具备接收处理广西中伟新能源科技有限公司高盐废水的能力，大榄坪污水处理厂正在制定升级改造方案，升级改造期间为过渡期。过渡期企业的生产废水依托大榄坪污水处理厂深海排放管道排入A2排污区；待大榄坪污水处理厂升级改造完成后，生产废水排入大榄坪污水处理厂处理后排海。</w:t>
      </w:r>
    </w:p>
    <w:p w14:paraId="3B08B1DF">
      <w:pPr>
        <w:pStyle w:val="5"/>
        <w:spacing w:line="500" w:lineRule="exact"/>
        <w:ind w:firstLine="490" w:firstLineChars="200"/>
      </w:pPr>
      <w:r>
        <w:t>厂区已设置1个废水排放口，经处理后的生产废水通过依托大榄坪污水处理厂深海排放管道排至钦州港大榄坪污水深海排放区（GX070D</w:t>
      </w:r>
      <w:r>
        <w:rPr>
          <w:rFonts w:hint="eastAsia" w:ascii="宋体" w:hAnsi="宋体" w:cs="宋体"/>
        </w:rPr>
        <w:t>Ⅳ</w:t>
      </w:r>
      <w:r>
        <w:t>），排放区位置是以E108°39′12.0″、N21°39′15.0″为中心，半径1km的海域，周围设0.5km水质过渡带。</w:t>
      </w:r>
    </w:p>
    <w:p w14:paraId="579C8FD4">
      <w:pPr>
        <w:pStyle w:val="5"/>
        <w:spacing w:line="500" w:lineRule="exact"/>
        <w:ind w:firstLine="490" w:firstLineChars="200"/>
      </w:pPr>
      <w:r>
        <w:t>2、废气排污口设置</w:t>
      </w:r>
    </w:p>
    <w:p w14:paraId="2C468D5C">
      <w:pPr>
        <w:pStyle w:val="5"/>
        <w:spacing w:line="500" w:lineRule="exact"/>
        <w:ind w:firstLine="490" w:firstLineChars="200"/>
      </w:pPr>
      <w:r>
        <w:t>排气筒应设置便于采样、监测的采样口；采样口的设置应符合《污染源监测技术规范》要求。采样平台应有足够的工作面积，使工作人员安全、方便地操作；环境保护图形标志牌设在排气筒附近地面醒目处。</w:t>
      </w:r>
    </w:p>
    <w:p w14:paraId="29A9D7FE">
      <w:pPr>
        <w:pStyle w:val="5"/>
        <w:spacing w:line="500" w:lineRule="exact"/>
        <w:ind w:firstLine="490" w:firstLineChars="200"/>
      </w:pPr>
      <w:r>
        <w:t>3、固体废物暂存场所</w:t>
      </w:r>
    </w:p>
    <w:p w14:paraId="73CFEF61">
      <w:pPr>
        <w:pStyle w:val="5"/>
        <w:spacing w:line="500" w:lineRule="exact"/>
        <w:ind w:firstLine="490" w:firstLineChars="200"/>
      </w:pPr>
      <w:r>
        <w:t>一般工业固废和危险废物分别设置专用暂存场所，并设置标志牌；危险废物依托现有工程危废暂存间。</w:t>
      </w:r>
    </w:p>
    <w:p w14:paraId="0B1F60B7">
      <w:pPr>
        <w:pStyle w:val="5"/>
        <w:spacing w:line="500" w:lineRule="exact"/>
        <w:ind w:firstLine="490" w:firstLineChars="200"/>
      </w:pPr>
      <w:r>
        <w:t>4、标志牌要求</w:t>
      </w:r>
    </w:p>
    <w:p w14:paraId="4DCE055A">
      <w:pPr>
        <w:pStyle w:val="5"/>
        <w:spacing w:line="500" w:lineRule="exact"/>
        <w:ind w:firstLine="490" w:firstLineChars="200"/>
      </w:pPr>
      <w:r>
        <w:t>排污口(源)和固体废物贮存、处置场所，须按照国家标准《环境保护图形标志》(GB15562.1-1995、GB15562.2-1995)的规定，设置与之相适应的环境保护图形标志牌。环境保护图形标志牌应设置在距排污口(源)及固体废物贮存(处置)场所或采样点较近且醒目处，并能长久保留。</w:t>
      </w:r>
    </w:p>
    <w:p w14:paraId="73B0225D">
      <w:pPr>
        <w:pStyle w:val="6"/>
        <w:numPr>
          <w:ilvl w:val="0"/>
          <w:numId w:val="48"/>
        </w:numPr>
        <w:tabs>
          <w:tab w:val="clear" w:pos="1789"/>
        </w:tabs>
        <w:spacing w:line="400" w:lineRule="exact"/>
        <w:ind w:left="0" w:firstLine="0"/>
        <w:rPr>
          <w:rFonts w:ascii="Arial" w:hAnsi="Arial" w:eastAsia="宋体" w:cs="Arial"/>
        </w:rPr>
      </w:pPr>
      <w:bookmarkStart w:id="497" w:name="_Toc87124306"/>
      <w:bookmarkStart w:id="498" w:name="_Toc104677352"/>
      <w:bookmarkStart w:id="499" w:name="_Toc58596507"/>
      <w:bookmarkStart w:id="500" w:name="_Toc57715667"/>
      <w:bookmarkStart w:id="501" w:name="_Toc67921921"/>
      <w:bookmarkStart w:id="502" w:name="_Toc88674828"/>
      <w:r>
        <w:rPr>
          <w:rFonts w:ascii="Arial" w:hAnsi="Arial" w:eastAsia="宋体" w:cs="Arial"/>
        </w:rPr>
        <w:t>环境监测计划</w:t>
      </w:r>
      <w:bookmarkEnd w:id="497"/>
      <w:bookmarkEnd w:id="498"/>
      <w:bookmarkEnd w:id="499"/>
      <w:bookmarkEnd w:id="500"/>
      <w:bookmarkEnd w:id="501"/>
      <w:bookmarkEnd w:id="502"/>
    </w:p>
    <w:p w14:paraId="47232D5D">
      <w:pPr>
        <w:pStyle w:val="5"/>
        <w:numPr>
          <w:ilvl w:val="0"/>
          <w:numId w:val="49"/>
        </w:numPr>
        <w:spacing w:line="500" w:lineRule="exact"/>
        <w:ind w:left="0" w:firstLine="0"/>
        <w:outlineLvl w:val="3"/>
        <w:rPr>
          <w:b/>
        </w:rPr>
      </w:pPr>
      <w:r>
        <w:rPr>
          <w:b/>
        </w:rPr>
        <w:t>大气自行监测计划</w:t>
      </w:r>
    </w:p>
    <w:p w14:paraId="2B903210">
      <w:pPr>
        <w:pStyle w:val="5"/>
        <w:spacing w:line="500" w:lineRule="exact"/>
        <w:ind w:firstLine="490" w:firstLineChars="200"/>
      </w:pPr>
      <w:r>
        <w:t>1、有组织废气监测计划</w:t>
      </w:r>
    </w:p>
    <w:p w14:paraId="55DD4B28">
      <w:pPr>
        <w:pStyle w:val="5"/>
        <w:spacing w:line="500" w:lineRule="exact"/>
        <w:ind w:firstLine="490" w:firstLineChars="200"/>
      </w:pPr>
      <w:r>
        <w:t>根据《排污单位自行监测技术指南 无机化学工业》（HJ 1138-2020），项目变更后新增的</w:t>
      </w:r>
      <w:r>
        <w:rPr>
          <w:rFonts w:hint="eastAsia"/>
        </w:rPr>
        <w:t>有组织</w:t>
      </w:r>
      <w:r>
        <w:t>废气监测计划见表7-3。</w:t>
      </w:r>
    </w:p>
    <w:p w14:paraId="259911FA">
      <w:pPr>
        <w:pStyle w:val="5"/>
        <w:numPr>
          <w:ilvl w:val="0"/>
          <w:numId w:val="47"/>
        </w:numPr>
        <w:spacing w:line="500" w:lineRule="exact"/>
        <w:ind w:left="0" w:firstLine="0"/>
        <w:jc w:val="center"/>
        <w:outlineLvl w:val="4"/>
        <w:rPr>
          <w:b/>
        </w:rPr>
      </w:pPr>
      <w:r>
        <w:rPr>
          <w:b/>
        </w:rPr>
        <w:t>新增有组织废气监测计划表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1538"/>
        <w:gridCol w:w="1086"/>
        <w:gridCol w:w="969"/>
        <w:gridCol w:w="746"/>
        <w:gridCol w:w="1725"/>
        <w:gridCol w:w="2098"/>
      </w:tblGrid>
      <w:tr w14:paraId="7E6D9E1A">
        <w:tblPrEx>
          <w:tblCellMar>
            <w:top w:w="0" w:type="dxa"/>
            <w:left w:w="108" w:type="dxa"/>
            <w:bottom w:w="0" w:type="dxa"/>
            <w:right w:w="108" w:type="dxa"/>
          </w:tblCellMar>
        </w:tblPrEx>
        <w:trPr>
          <w:trHeight w:val="340" w:hRule="atLeast"/>
          <w:tblHeader/>
        </w:trPr>
        <w:tc>
          <w:tcPr>
            <w:tcW w:w="462" w:type="pct"/>
            <w:shd w:val="clear" w:color="auto" w:fill="auto"/>
            <w:vAlign w:val="center"/>
          </w:tcPr>
          <w:p w14:paraId="7C53727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工序</w:t>
            </w:r>
          </w:p>
        </w:tc>
        <w:tc>
          <w:tcPr>
            <w:tcW w:w="855" w:type="pct"/>
            <w:shd w:val="clear" w:color="auto" w:fill="auto"/>
            <w:vAlign w:val="center"/>
          </w:tcPr>
          <w:p w14:paraId="285C415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监测点位</w:t>
            </w:r>
          </w:p>
        </w:tc>
        <w:tc>
          <w:tcPr>
            <w:tcW w:w="604" w:type="pct"/>
            <w:shd w:val="clear" w:color="auto" w:fill="auto"/>
            <w:vAlign w:val="center"/>
          </w:tcPr>
          <w:p w14:paraId="764359E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监测因子</w:t>
            </w:r>
          </w:p>
        </w:tc>
        <w:tc>
          <w:tcPr>
            <w:tcW w:w="539" w:type="pct"/>
            <w:shd w:val="clear" w:color="auto" w:fill="auto"/>
            <w:vAlign w:val="center"/>
          </w:tcPr>
          <w:p w14:paraId="10DDE99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监测频次</w:t>
            </w:r>
          </w:p>
        </w:tc>
        <w:tc>
          <w:tcPr>
            <w:tcW w:w="415" w:type="pct"/>
            <w:shd w:val="clear" w:color="auto" w:fill="auto"/>
            <w:vAlign w:val="center"/>
          </w:tcPr>
          <w:p w14:paraId="2C55F49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在线监测要求</w:t>
            </w:r>
          </w:p>
        </w:tc>
        <w:tc>
          <w:tcPr>
            <w:tcW w:w="959" w:type="pct"/>
            <w:vAlign w:val="center"/>
          </w:tcPr>
          <w:p w14:paraId="3B099E36">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排放口类型</w:t>
            </w:r>
          </w:p>
        </w:tc>
        <w:tc>
          <w:tcPr>
            <w:tcW w:w="1166" w:type="pct"/>
            <w:vAlign w:val="center"/>
          </w:tcPr>
          <w:p w14:paraId="7894C59A">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执行标准</w:t>
            </w:r>
          </w:p>
        </w:tc>
      </w:tr>
      <w:tr w14:paraId="6B9EF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2" w:type="pct"/>
            <w:shd w:val="clear" w:color="auto" w:fill="auto"/>
            <w:vAlign w:val="center"/>
          </w:tcPr>
          <w:p w14:paraId="4E5740B5">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反应釜、压滤</w:t>
            </w:r>
          </w:p>
        </w:tc>
        <w:tc>
          <w:tcPr>
            <w:tcW w:w="855" w:type="pct"/>
            <w:shd w:val="clear" w:color="auto" w:fill="auto"/>
            <w:vAlign w:val="center"/>
          </w:tcPr>
          <w:p w14:paraId="045A43F0">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DA145反应、洗涤废气排气筒</w:t>
            </w:r>
          </w:p>
        </w:tc>
        <w:tc>
          <w:tcPr>
            <w:tcW w:w="604" w:type="pct"/>
            <w:shd w:val="clear" w:color="auto" w:fill="auto"/>
            <w:vAlign w:val="center"/>
          </w:tcPr>
          <w:p w14:paraId="15ECFC0C">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氨气</w:t>
            </w:r>
          </w:p>
        </w:tc>
        <w:tc>
          <w:tcPr>
            <w:tcW w:w="539" w:type="pct"/>
            <w:shd w:val="clear" w:color="auto" w:fill="auto"/>
            <w:vAlign w:val="center"/>
          </w:tcPr>
          <w:p w14:paraId="3F8E122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1次/</w:t>
            </w:r>
            <w:r>
              <w:rPr>
                <w:rFonts w:hint="eastAsia" w:ascii="Arial" w:hAnsi="Arial" w:eastAsia="宋体" w:cs="Arial"/>
                <w:spacing w:val="10"/>
                <w:sz w:val="21"/>
                <w:szCs w:val="21"/>
              </w:rPr>
              <w:t>季度</w:t>
            </w:r>
          </w:p>
        </w:tc>
        <w:tc>
          <w:tcPr>
            <w:tcW w:w="415" w:type="pct"/>
            <w:shd w:val="clear" w:color="auto" w:fill="auto"/>
            <w:vAlign w:val="center"/>
          </w:tcPr>
          <w:p w14:paraId="485A578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无</w:t>
            </w:r>
          </w:p>
        </w:tc>
        <w:tc>
          <w:tcPr>
            <w:tcW w:w="959" w:type="pct"/>
            <w:vAlign w:val="center"/>
          </w:tcPr>
          <w:p w14:paraId="62FDDD52">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一般排放口</w:t>
            </w:r>
          </w:p>
        </w:tc>
        <w:tc>
          <w:tcPr>
            <w:tcW w:w="1166" w:type="pct"/>
            <w:vMerge w:val="restart"/>
            <w:vAlign w:val="center"/>
          </w:tcPr>
          <w:p w14:paraId="4CDD94B6">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《无机化学工业污染物排放标准》（GB31573-2015）</w:t>
            </w:r>
          </w:p>
        </w:tc>
      </w:tr>
      <w:tr w14:paraId="6971B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2" w:type="pct"/>
            <w:shd w:val="clear" w:color="auto" w:fill="auto"/>
            <w:vAlign w:val="center"/>
          </w:tcPr>
          <w:p w14:paraId="4C95BD6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干燥、破碎、包装</w:t>
            </w:r>
          </w:p>
        </w:tc>
        <w:tc>
          <w:tcPr>
            <w:tcW w:w="855" w:type="pct"/>
            <w:shd w:val="clear" w:color="auto" w:fill="auto"/>
            <w:vAlign w:val="center"/>
          </w:tcPr>
          <w:p w14:paraId="27900657">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DA146干燥、破碎、包装粉尘排气筒</w:t>
            </w:r>
          </w:p>
        </w:tc>
        <w:tc>
          <w:tcPr>
            <w:tcW w:w="604" w:type="pct"/>
            <w:shd w:val="clear" w:color="auto" w:fill="auto"/>
            <w:vAlign w:val="center"/>
          </w:tcPr>
          <w:p w14:paraId="5B4FFCFD">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颗粒物、钴及其化合物</w:t>
            </w:r>
          </w:p>
        </w:tc>
        <w:tc>
          <w:tcPr>
            <w:tcW w:w="539" w:type="pct"/>
            <w:shd w:val="clear" w:color="auto" w:fill="auto"/>
            <w:vAlign w:val="center"/>
          </w:tcPr>
          <w:p w14:paraId="26A95765">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1次/半年</w:t>
            </w:r>
          </w:p>
        </w:tc>
        <w:tc>
          <w:tcPr>
            <w:tcW w:w="415" w:type="pct"/>
            <w:shd w:val="clear" w:color="auto" w:fill="auto"/>
            <w:vAlign w:val="center"/>
          </w:tcPr>
          <w:p w14:paraId="498A7D3B">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无</w:t>
            </w:r>
          </w:p>
        </w:tc>
        <w:tc>
          <w:tcPr>
            <w:tcW w:w="959" w:type="pct"/>
            <w:vAlign w:val="center"/>
          </w:tcPr>
          <w:p w14:paraId="3B4F7BFB">
            <w:pPr>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一般排放口</w:t>
            </w:r>
          </w:p>
        </w:tc>
        <w:tc>
          <w:tcPr>
            <w:tcW w:w="1166" w:type="pct"/>
            <w:vMerge w:val="continue"/>
            <w:vAlign w:val="center"/>
          </w:tcPr>
          <w:p w14:paraId="60F31B78">
            <w:pPr>
              <w:adjustRightInd w:val="0"/>
              <w:snapToGrid w:val="0"/>
              <w:jc w:val="center"/>
              <w:rPr>
                <w:rFonts w:ascii="Arial" w:hAnsi="Arial" w:eastAsia="宋体" w:cs="Arial"/>
                <w:spacing w:val="10"/>
                <w:sz w:val="21"/>
                <w:szCs w:val="21"/>
              </w:rPr>
            </w:pPr>
          </w:p>
        </w:tc>
      </w:tr>
    </w:tbl>
    <w:p w14:paraId="4BBA7A16">
      <w:pPr>
        <w:pStyle w:val="5"/>
        <w:spacing w:line="500" w:lineRule="exact"/>
        <w:ind w:firstLine="490" w:firstLineChars="200"/>
        <w:rPr>
          <w:u w:val="single"/>
        </w:rPr>
      </w:pPr>
      <w:r>
        <w:rPr>
          <w:u w:val="single"/>
        </w:rPr>
        <w:t>2、无组织废气监测计划</w:t>
      </w:r>
    </w:p>
    <w:p w14:paraId="4BEA7236">
      <w:pPr>
        <w:pStyle w:val="5"/>
        <w:spacing w:line="500" w:lineRule="exact"/>
        <w:ind w:firstLine="490" w:firstLineChars="200"/>
        <w:rPr>
          <w:u w:val="single"/>
        </w:rPr>
      </w:pPr>
      <w:r>
        <w:rPr>
          <w:rFonts w:hint="eastAsia"/>
          <w:u w:val="single"/>
        </w:rPr>
        <w:t>厂区</w:t>
      </w:r>
      <w:r>
        <w:rPr>
          <w:u w:val="single"/>
        </w:rPr>
        <w:t>已依据《排污单位自行监测技术指南 无机化学工业》（HJ 1138-2020）制定无组织废气</w:t>
      </w:r>
      <w:r>
        <w:rPr>
          <w:rFonts w:hint="eastAsia"/>
          <w:u w:val="single"/>
        </w:rPr>
        <w:t>监测计划，现有厂界监测计划满足本项目要求，因此</w:t>
      </w:r>
      <w:r>
        <w:rPr>
          <w:u w:val="single"/>
        </w:rPr>
        <w:t>本次评价无需新增无组织废气监测计划</w:t>
      </w:r>
      <w:r>
        <w:rPr>
          <w:rFonts w:hint="eastAsia"/>
          <w:u w:val="single"/>
        </w:rPr>
        <w:t>。</w:t>
      </w:r>
    </w:p>
    <w:p w14:paraId="7C2C61BF">
      <w:pPr>
        <w:pStyle w:val="5"/>
        <w:numPr>
          <w:ilvl w:val="0"/>
          <w:numId w:val="49"/>
        </w:numPr>
        <w:spacing w:line="500" w:lineRule="exact"/>
        <w:ind w:left="0" w:firstLine="0"/>
        <w:outlineLvl w:val="3"/>
        <w:rPr>
          <w:b/>
        </w:rPr>
      </w:pPr>
      <w:r>
        <w:rPr>
          <w:b/>
        </w:rPr>
        <w:t>废水自行监测计划</w:t>
      </w:r>
    </w:p>
    <w:p w14:paraId="4DAEDE50">
      <w:pPr>
        <w:pStyle w:val="5"/>
        <w:spacing w:line="500" w:lineRule="exact"/>
        <w:ind w:firstLine="490" w:firstLineChars="200"/>
        <w:rPr>
          <w:u w:val="single"/>
        </w:rPr>
      </w:pPr>
      <w:r>
        <w:rPr>
          <w:rFonts w:hint="eastAsia"/>
          <w:u w:val="single"/>
        </w:rPr>
        <w:t>厂区</w:t>
      </w:r>
      <w:r>
        <w:rPr>
          <w:u w:val="single"/>
        </w:rPr>
        <w:t>废水总排口、生活污水排放口、雨水排放口已依据《排污单位自行监测技术指南 无机化学工业》（HJ 1138-2020）制定废水监测计划，现有</w:t>
      </w:r>
      <w:r>
        <w:rPr>
          <w:rFonts w:hint="eastAsia"/>
          <w:u w:val="single"/>
        </w:rPr>
        <w:t>厂区</w:t>
      </w:r>
      <w:r>
        <w:rPr>
          <w:u w:val="single"/>
        </w:rPr>
        <w:t>废水总排口、生活污水排放口、雨水排放口的</w:t>
      </w:r>
      <w:r>
        <w:rPr>
          <w:rFonts w:hint="eastAsia"/>
          <w:u w:val="single"/>
        </w:rPr>
        <w:t>监测计划满足本项目要求，因此</w:t>
      </w:r>
      <w:r>
        <w:rPr>
          <w:u w:val="single"/>
        </w:rPr>
        <w:t>本次评价无需新增总排口、生活污水排放口、雨水排放口监测计划</w:t>
      </w:r>
      <w:r>
        <w:rPr>
          <w:rFonts w:hint="eastAsia"/>
          <w:u w:val="single"/>
        </w:rPr>
        <w:t>；本项目新增车间排放口废水监测计划，</w:t>
      </w:r>
      <w:r>
        <w:rPr>
          <w:u w:val="single"/>
        </w:rPr>
        <w:t>见表7-</w:t>
      </w:r>
      <w:r>
        <w:rPr>
          <w:rFonts w:hint="eastAsia"/>
          <w:u w:val="single"/>
        </w:rPr>
        <w:t>4</w:t>
      </w:r>
      <w:r>
        <w:rPr>
          <w:u w:val="single"/>
        </w:rPr>
        <w:t>。</w:t>
      </w:r>
    </w:p>
    <w:p w14:paraId="48937BB4">
      <w:pPr>
        <w:pStyle w:val="5"/>
        <w:numPr>
          <w:ilvl w:val="0"/>
          <w:numId w:val="47"/>
        </w:numPr>
        <w:spacing w:line="500" w:lineRule="exact"/>
        <w:ind w:left="0" w:firstLine="0"/>
        <w:jc w:val="center"/>
        <w:outlineLvl w:val="4"/>
        <w:rPr>
          <w:b/>
          <w:u w:val="single"/>
        </w:rPr>
      </w:pPr>
      <w:r>
        <w:rPr>
          <w:b/>
          <w:u w:val="single"/>
        </w:rPr>
        <w:t>新增废水监测计划表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3"/>
        <w:gridCol w:w="1374"/>
        <w:gridCol w:w="1559"/>
        <w:gridCol w:w="3403"/>
        <w:gridCol w:w="804"/>
      </w:tblGrid>
      <w:tr w14:paraId="5E6CE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Align w:val="center"/>
          </w:tcPr>
          <w:p w14:paraId="5CFD7DA8">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监测点位</w:t>
            </w:r>
          </w:p>
        </w:tc>
        <w:tc>
          <w:tcPr>
            <w:tcW w:w="764" w:type="pct"/>
            <w:vAlign w:val="center"/>
          </w:tcPr>
          <w:p w14:paraId="03CA8B00">
            <w:pPr>
              <w:topLinePunct/>
              <w:autoSpaceDE w:val="0"/>
              <w:autoSpaceDN w:val="0"/>
              <w:adjustRightInd w:val="0"/>
              <w:snapToGrid w:val="0"/>
              <w:jc w:val="center"/>
              <w:rPr>
                <w:rFonts w:ascii="Arial" w:hAnsi="Arial" w:eastAsia="宋体" w:cs="Arial"/>
                <w:sz w:val="21"/>
                <w:szCs w:val="21"/>
                <w:u w:val="single"/>
                <w:lang w:val="zh-CN"/>
              </w:rPr>
            </w:pPr>
            <w:r>
              <w:rPr>
                <w:rFonts w:ascii="Arial" w:hAnsi="Arial" w:eastAsia="宋体" w:cs="Arial"/>
                <w:sz w:val="21"/>
                <w:szCs w:val="21"/>
                <w:u w:val="single"/>
                <w:lang w:val="zh-CN"/>
              </w:rPr>
              <w:t>监测因子</w:t>
            </w:r>
          </w:p>
        </w:tc>
        <w:tc>
          <w:tcPr>
            <w:tcW w:w="867" w:type="pct"/>
            <w:vAlign w:val="center"/>
          </w:tcPr>
          <w:p w14:paraId="0C4320DF">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监测频率</w:t>
            </w:r>
          </w:p>
        </w:tc>
        <w:tc>
          <w:tcPr>
            <w:tcW w:w="1892" w:type="pct"/>
            <w:vAlign w:val="center"/>
          </w:tcPr>
          <w:p w14:paraId="0650C263">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pacing w:val="10"/>
                <w:sz w:val="21"/>
                <w:szCs w:val="21"/>
                <w:u w:val="single"/>
              </w:rPr>
              <w:t>执行标准</w:t>
            </w:r>
          </w:p>
        </w:tc>
        <w:tc>
          <w:tcPr>
            <w:tcW w:w="447" w:type="pct"/>
            <w:vAlign w:val="center"/>
          </w:tcPr>
          <w:p w14:paraId="633E0C5B">
            <w:pPr>
              <w:topLinePunct/>
              <w:autoSpaceDE w:val="0"/>
              <w:autoSpaceDN w:val="0"/>
              <w:adjustRightInd w:val="0"/>
              <w:snapToGrid w:val="0"/>
              <w:jc w:val="center"/>
              <w:rPr>
                <w:rFonts w:ascii="Arial" w:hAnsi="Arial" w:eastAsia="宋体" w:cs="Arial"/>
                <w:spacing w:val="10"/>
                <w:sz w:val="21"/>
                <w:szCs w:val="21"/>
                <w:u w:val="single"/>
              </w:rPr>
            </w:pPr>
            <w:r>
              <w:rPr>
                <w:rFonts w:ascii="Arial" w:hAnsi="Arial" w:eastAsia="宋体" w:cs="Arial"/>
                <w:spacing w:val="10"/>
                <w:sz w:val="21"/>
                <w:szCs w:val="21"/>
                <w:u w:val="single"/>
              </w:rPr>
              <w:t>备注</w:t>
            </w:r>
          </w:p>
        </w:tc>
      </w:tr>
      <w:tr w14:paraId="56E29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Align w:val="center"/>
          </w:tcPr>
          <w:p w14:paraId="1319E697">
            <w:pPr>
              <w:topLinePunct/>
              <w:autoSpaceDE w:val="0"/>
              <w:autoSpaceDN w:val="0"/>
              <w:adjustRightInd w:val="0"/>
              <w:snapToGrid w:val="0"/>
              <w:jc w:val="center"/>
              <w:rPr>
                <w:rFonts w:ascii="Arial" w:hAnsi="Arial" w:eastAsia="宋体" w:cs="Arial"/>
                <w:sz w:val="21"/>
                <w:szCs w:val="21"/>
                <w:u w:val="single"/>
              </w:rPr>
            </w:pPr>
            <w:r>
              <w:rPr>
                <w:rFonts w:hint="eastAsia" w:ascii="Arial" w:hAnsi="Arial" w:eastAsia="宋体" w:cs="Arial"/>
                <w:sz w:val="21"/>
                <w:szCs w:val="21"/>
                <w:u w:val="single"/>
              </w:rPr>
              <w:t>羟基钴</w:t>
            </w:r>
            <w:r>
              <w:rPr>
                <w:rFonts w:ascii="Arial" w:hAnsi="Arial" w:eastAsia="宋体" w:cs="Arial"/>
                <w:sz w:val="21"/>
                <w:szCs w:val="21"/>
                <w:u w:val="single"/>
              </w:rPr>
              <w:t>车间处理设施废水排放口</w:t>
            </w:r>
          </w:p>
        </w:tc>
        <w:tc>
          <w:tcPr>
            <w:tcW w:w="764" w:type="pct"/>
            <w:tcBorders>
              <w:bottom w:val="single" w:color="auto" w:sz="4" w:space="0"/>
            </w:tcBorders>
            <w:vAlign w:val="center"/>
          </w:tcPr>
          <w:p w14:paraId="63AFDCEF">
            <w:pPr>
              <w:topLinePunct/>
              <w:autoSpaceDE w:val="0"/>
              <w:autoSpaceDN w:val="0"/>
              <w:adjustRightInd w:val="0"/>
              <w:snapToGrid w:val="0"/>
              <w:jc w:val="center"/>
              <w:rPr>
                <w:rFonts w:ascii="Arial" w:hAnsi="Arial" w:eastAsia="宋体" w:cs="Arial"/>
                <w:sz w:val="21"/>
                <w:szCs w:val="21"/>
                <w:u w:val="single"/>
                <w:lang w:val="zh-CN"/>
              </w:rPr>
            </w:pPr>
            <w:r>
              <w:rPr>
                <w:rFonts w:ascii="Arial" w:hAnsi="Arial" w:eastAsia="宋体" w:cs="Arial"/>
                <w:sz w:val="21"/>
                <w:szCs w:val="21"/>
                <w:u w:val="single"/>
                <w:lang w:val="zh-CN"/>
              </w:rPr>
              <w:t>总钴</w:t>
            </w:r>
          </w:p>
        </w:tc>
        <w:tc>
          <w:tcPr>
            <w:tcW w:w="867" w:type="pct"/>
            <w:tcBorders>
              <w:bottom w:val="single" w:color="auto" w:sz="4" w:space="0"/>
            </w:tcBorders>
            <w:vAlign w:val="center"/>
          </w:tcPr>
          <w:p w14:paraId="6CBBB1DC">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z w:val="21"/>
                <w:szCs w:val="21"/>
                <w:u w:val="single"/>
              </w:rPr>
              <w:t>1次/</w:t>
            </w:r>
            <w:r>
              <w:rPr>
                <w:rFonts w:hint="eastAsia" w:ascii="Arial" w:hAnsi="Arial" w:eastAsia="宋体" w:cs="Arial"/>
                <w:sz w:val="21"/>
                <w:szCs w:val="21"/>
                <w:u w:val="single"/>
              </w:rPr>
              <w:t>半年</w:t>
            </w:r>
          </w:p>
        </w:tc>
        <w:tc>
          <w:tcPr>
            <w:tcW w:w="1892" w:type="pct"/>
            <w:vAlign w:val="center"/>
          </w:tcPr>
          <w:p w14:paraId="77A33A7B">
            <w:pPr>
              <w:topLinePunct/>
              <w:autoSpaceDE w:val="0"/>
              <w:autoSpaceDN w:val="0"/>
              <w:adjustRightInd w:val="0"/>
              <w:snapToGrid w:val="0"/>
              <w:jc w:val="center"/>
              <w:rPr>
                <w:rFonts w:ascii="Arial" w:hAnsi="Arial" w:eastAsia="宋体" w:cs="Arial"/>
                <w:sz w:val="21"/>
                <w:szCs w:val="21"/>
                <w:u w:val="single"/>
              </w:rPr>
            </w:pPr>
            <w:r>
              <w:rPr>
                <w:rFonts w:ascii="Arial" w:hAnsi="Arial" w:eastAsia="宋体" w:cs="Arial"/>
                <w:spacing w:val="10"/>
                <w:sz w:val="21"/>
                <w:szCs w:val="21"/>
                <w:u w:val="single"/>
              </w:rPr>
              <w:t>《无机化学工业污染物排放标准》（GB31573-2015）</w:t>
            </w:r>
          </w:p>
        </w:tc>
        <w:tc>
          <w:tcPr>
            <w:tcW w:w="447" w:type="pct"/>
            <w:vAlign w:val="center"/>
          </w:tcPr>
          <w:p w14:paraId="4C0780BC">
            <w:pPr>
              <w:topLinePunct/>
              <w:autoSpaceDE w:val="0"/>
              <w:autoSpaceDN w:val="0"/>
              <w:adjustRightInd w:val="0"/>
              <w:snapToGrid w:val="0"/>
              <w:jc w:val="center"/>
              <w:rPr>
                <w:rFonts w:ascii="Arial" w:hAnsi="Arial" w:eastAsia="宋体" w:cs="Arial"/>
                <w:spacing w:val="10"/>
                <w:sz w:val="21"/>
                <w:szCs w:val="21"/>
                <w:u w:val="single"/>
              </w:rPr>
            </w:pPr>
            <w:r>
              <w:rPr>
                <w:rFonts w:ascii="Arial" w:hAnsi="Arial" w:eastAsia="宋体" w:cs="Arial"/>
                <w:sz w:val="21"/>
                <w:szCs w:val="21"/>
                <w:u w:val="single"/>
              </w:rPr>
              <w:t>新增</w:t>
            </w:r>
          </w:p>
        </w:tc>
      </w:tr>
    </w:tbl>
    <w:p w14:paraId="4DB36231">
      <w:pPr>
        <w:pStyle w:val="5"/>
        <w:numPr>
          <w:ilvl w:val="0"/>
          <w:numId w:val="49"/>
        </w:numPr>
        <w:spacing w:line="500" w:lineRule="exact"/>
        <w:ind w:left="0" w:firstLine="0"/>
        <w:outlineLvl w:val="3"/>
        <w:rPr>
          <w:b/>
        </w:rPr>
      </w:pPr>
      <w:r>
        <w:rPr>
          <w:b/>
        </w:rPr>
        <w:t>噪声</w:t>
      </w:r>
    </w:p>
    <w:p w14:paraId="75CAE184">
      <w:pPr>
        <w:pStyle w:val="5"/>
        <w:spacing w:line="500" w:lineRule="exact"/>
        <w:ind w:firstLine="490" w:firstLineChars="200"/>
        <w:rPr>
          <w:u w:val="single"/>
        </w:rPr>
      </w:pPr>
      <w:r>
        <w:rPr>
          <w:rFonts w:hint="eastAsia"/>
          <w:u w:val="single"/>
        </w:rPr>
        <w:t>厂区</w:t>
      </w:r>
      <w:r>
        <w:rPr>
          <w:u w:val="single"/>
        </w:rPr>
        <w:t>已依据《排污单位自行监测技术指南 无机化学工业》（HJ 1138-2020）制定噪声监测计划，现有厂区噪声监测计划满足本项目要求，因此本次评价无需新增噪声监测计划。</w:t>
      </w:r>
    </w:p>
    <w:p w14:paraId="033A7E7E">
      <w:pPr>
        <w:pStyle w:val="5"/>
        <w:numPr>
          <w:ilvl w:val="0"/>
          <w:numId w:val="49"/>
        </w:numPr>
        <w:spacing w:line="500" w:lineRule="exact"/>
        <w:ind w:left="0" w:firstLine="0"/>
        <w:outlineLvl w:val="3"/>
        <w:rPr>
          <w:b/>
        </w:rPr>
      </w:pPr>
      <w:r>
        <w:rPr>
          <w:b/>
        </w:rPr>
        <w:t>土壤</w:t>
      </w:r>
    </w:p>
    <w:p w14:paraId="76134CDC">
      <w:pPr>
        <w:pStyle w:val="5"/>
        <w:spacing w:line="500" w:lineRule="exact"/>
        <w:ind w:firstLine="490" w:firstLineChars="200"/>
        <w:rPr>
          <w:u w:val="single"/>
        </w:rPr>
      </w:pPr>
      <w:r>
        <w:rPr>
          <w:rFonts w:hint="eastAsia"/>
          <w:u w:val="single"/>
        </w:rPr>
        <w:t>厂区</w:t>
      </w:r>
      <w:r>
        <w:rPr>
          <w:u w:val="single"/>
        </w:rPr>
        <w:t>已依据《排污单位自行监测技术指南 无机化学工业》（HJ 1138-2020）、《工业企业土壤和地下水自行监测技术指南（试行）》（HJ1209-2021）制定土壤监测计划，现有厂区土壤监测计划</w:t>
      </w:r>
      <w:r>
        <w:rPr>
          <w:rFonts w:hint="eastAsia"/>
          <w:u w:val="single"/>
        </w:rPr>
        <w:t>满足</w:t>
      </w:r>
      <w:r>
        <w:rPr>
          <w:u w:val="single"/>
        </w:rPr>
        <w:t>本项目要求，因此本次评价无需新增土壤监测计划。</w:t>
      </w:r>
    </w:p>
    <w:p w14:paraId="5D7890C1">
      <w:pPr>
        <w:pStyle w:val="5"/>
        <w:numPr>
          <w:ilvl w:val="0"/>
          <w:numId w:val="49"/>
        </w:numPr>
        <w:spacing w:line="500" w:lineRule="exact"/>
        <w:ind w:left="0" w:firstLine="0"/>
        <w:outlineLvl w:val="3"/>
        <w:rPr>
          <w:b/>
        </w:rPr>
      </w:pPr>
      <w:r>
        <w:rPr>
          <w:b/>
        </w:rPr>
        <w:t>地下水环境监测计划</w:t>
      </w:r>
    </w:p>
    <w:p w14:paraId="75561E31">
      <w:pPr>
        <w:pStyle w:val="5"/>
        <w:spacing w:line="500" w:lineRule="exact"/>
        <w:ind w:firstLine="490" w:firstLineChars="200"/>
        <w:rPr>
          <w:u w:val="single"/>
        </w:rPr>
      </w:pPr>
      <w:r>
        <w:rPr>
          <w:rFonts w:hint="eastAsia"/>
          <w:u w:val="single"/>
        </w:rPr>
        <w:t>厂区</w:t>
      </w:r>
      <w:r>
        <w:rPr>
          <w:u w:val="single"/>
        </w:rPr>
        <w:t>已依据《排污单位自行监测技术指南 无机化学工业》（HJ 1138-2020）、《工业企业土壤和地下水自行监测技术指南（试行）》（HJ1209-2021）制定地下水监测计划，现有厂区地下水监测计划已满足本项目要求，因此本次评价无需新增地下水监测计划。</w:t>
      </w:r>
    </w:p>
    <w:p w14:paraId="03D13517">
      <w:pPr>
        <w:pStyle w:val="5"/>
        <w:numPr>
          <w:ilvl w:val="0"/>
          <w:numId w:val="49"/>
        </w:numPr>
        <w:spacing w:line="500" w:lineRule="exact"/>
        <w:ind w:left="0" w:firstLine="0"/>
        <w:outlineLvl w:val="3"/>
        <w:rPr>
          <w:b/>
        </w:rPr>
      </w:pPr>
      <w:r>
        <w:rPr>
          <w:b/>
        </w:rPr>
        <w:t>海洋质量监测计划</w:t>
      </w:r>
    </w:p>
    <w:p w14:paraId="0BEE6D6E">
      <w:pPr>
        <w:pStyle w:val="5"/>
        <w:spacing w:line="500" w:lineRule="exact"/>
        <w:ind w:firstLine="490" w:firstLineChars="200"/>
        <w:rPr>
          <w:b/>
          <w:u w:val="single"/>
        </w:rPr>
      </w:pPr>
      <w:bookmarkStart w:id="503" w:name="_Toc57715668"/>
      <w:bookmarkStart w:id="504" w:name="_Toc228613733"/>
      <w:bookmarkStart w:id="505" w:name="_Toc183011881"/>
      <w:bookmarkStart w:id="506" w:name="_Toc88674829"/>
      <w:bookmarkStart w:id="507" w:name="_Toc67921922"/>
      <w:bookmarkStart w:id="508" w:name="_Toc58596508"/>
      <w:bookmarkStart w:id="509" w:name="_Toc87124307"/>
      <w:bookmarkStart w:id="510" w:name="_Toc157479215"/>
      <w:bookmarkStart w:id="511" w:name="_Toc104677353"/>
      <w:r>
        <w:rPr>
          <w:rFonts w:hint="eastAsia"/>
          <w:u w:val="single"/>
        </w:rPr>
        <w:t>厂区</w:t>
      </w:r>
      <w:r>
        <w:rPr>
          <w:u w:val="single"/>
        </w:rPr>
        <w:t>已依据《排污单位自行监测技术指南 无机化学工业》（HJ 1138-2020）制定海洋质量监测计划，现有厂区海洋质量监测计划满足本项目要求，因此本次评价无需新增海洋质量监测计划。</w:t>
      </w:r>
    </w:p>
    <w:p w14:paraId="54E8BFAB">
      <w:pPr>
        <w:pStyle w:val="6"/>
        <w:numPr>
          <w:ilvl w:val="0"/>
          <w:numId w:val="48"/>
        </w:numPr>
        <w:tabs>
          <w:tab w:val="clear" w:pos="1789"/>
        </w:tabs>
        <w:spacing w:line="400" w:lineRule="exact"/>
        <w:ind w:left="0" w:firstLine="0"/>
        <w:rPr>
          <w:rFonts w:ascii="Arial" w:hAnsi="Arial" w:eastAsia="宋体" w:cs="Arial"/>
        </w:rPr>
      </w:pPr>
      <w:r>
        <w:rPr>
          <w:rFonts w:ascii="Arial" w:hAnsi="Arial" w:eastAsia="宋体" w:cs="Arial"/>
        </w:rPr>
        <w:t>环境监控程序</w:t>
      </w:r>
      <w:bookmarkEnd w:id="503"/>
      <w:bookmarkEnd w:id="504"/>
      <w:bookmarkEnd w:id="505"/>
      <w:bookmarkEnd w:id="506"/>
      <w:bookmarkEnd w:id="507"/>
      <w:bookmarkEnd w:id="508"/>
      <w:bookmarkEnd w:id="509"/>
      <w:bookmarkEnd w:id="510"/>
      <w:bookmarkEnd w:id="511"/>
    </w:p>
    <w:p w14:paraId="000DF17F">
      <w:pPr>
        <w:pStyle w:val="5"/>
        <w:spacing w:line="500" w:lineRule="exact"/>
        <w:ind w:firstLine="490" w:firstLineChars="200"/>
      </w:pPr>
      <w:r>
        <w:t>根据项目特征，结合同类项目的运行管理经验及环境管理体系的要求，建设单位应拟订工程在建设期、运营期的环境监控程序。环境监控程序的内容应包括如下方面：</w:t>
      </w:r>
    </w:p>
    <w:p w14:paraId="31F6379B">
      <w:pPr>
        <w:pStyle w:val="5"/>
        <w:spacing w:line="500" w:lineRule="exact"/>
        <w:ind w:firstLine="490" w:firstLineChars="200"/>
      </w:pPr>
      <w:r>
        <w:t>1、设立专门的环境管理机构，资金和人员的保证。</w:t>
      </w:r>
    </w:p>
    <w:p w14:paraId="4DBFFE11">
      <w:pPr>
        <w:pStyle w:val="5"/>
        <w:spacing w:line="500" w:lineRule="exact"/>
        <w:ind w:firstLine="490" w:firstLineChars="200"/>
      </w:pPr>
      <w:r>
        <w:t>2、根据施工计划和本环评中的具体内容，制定针对拟建工程的环境管理制度、环境监测方案、培训计划、污染防治措施。</w:t>
      </w:r>
    </w:p>
    <w:p w14:paraId="5982A199">
      <w:pPr>
        <w:pStyle w:val="5"/>
        <w:spacing w:line="500" w:lineRule="exact"/>
        <w:ind w:firstLine="490" w:firstLineChars="200"/>
      </w:pPr>
      <w:r>
        <w:t>3、按要求组织培训，确保全体人员环境意识、操作能力的要求，包括采用上述污染防治措施的技能培训。</w:t>
      </w:r>
    </w:p>
    <w:p w14:paraId="037E591B">
      <w:pPr>
        <w:pStyle w:val="5"/>
        <w:spacing w:line="500" w:lineRule="exact"/>
        <w:ind w:firstLine="490" w:firstLineChars="200"/>
      </w:pPr>
      <w:r>
        <w:t>4、明确分工，责任落实到人，按计划进行日常管理（包括现场监督检查），对拟建工程的环境影响实施监控。</w:t>
      </w:r>
    </w:p>
    <w:p w14:paraId="212D1137">
      <w:pPr>
        <w:pStyle w:val="5"/>
        <w:spacing w:line="500" w:lineRule="exact"/>
        <w:ind w:firstLine="490" w:firstLineChars="200"/>
      </w:pPr>
      <w:r>
        <w:t>5、建立良好的信息交流渠道，尤其对可能产生的居民投诉应建立有效的响应途径。</w:t>
      </w:r>
    </w:p>
    <w:p w14:paraId="58FA2B7E">
      <w:pPr>
        <w:pStyle w:val="5"/>
        <w:spacing w:line="500" w:lineRule="exact"/>
        <w:ind w:firstLine="490" w:firstLineChars="200"/>
      </w:pPr>
      <w:r>
        <w:t>6、组织各相关监测单位按监测计划实施定期监测，并将监测结果及时上报有关部门。</w:t>
      </w:r>
    </w:p>
    <w:p w14:paraId="106369AD">
      <w:pPr>
        <w:pStyle w:val="5"/>
        <w:spacing w:line="500" w:lineRule="exact"/>
        <w:ind w:firstLine="490" w:firstLineChars="200"/>
      </w:pPr>
      <w:r>
        <w:t>7、对建设期和运营期出现的环境违法和或扰民问题及时予以纠正，制定预防措施，必要时修改相关管理办法，适应具体情况的需要。</w:t>
      </w:r>
    </w:p>
    <w:p w14:paraId="50D9D0B6">
      <w:pPr>
        <w:pStyle w:val="5"/>
        <w:spacing w:line="500" w:lineRule="exact"/>
        <w:ind w:firstLine="490" w:firstLineChars="200"/>
      </w:pPr>
      <w:r>
        <w:t>8、作好环境管理过程中重要记录的管理，如监测报告、居民投诉、限期治理整改单等等。</w:t>
      </w:r>
    </w:p>
    <w:p w14:paraId="4F28BF2B">
      <w:pPr>
        <w:pStyle w:val="5"/>
        <w:spacing w:line="500" w:lineRule="exact"/>
        <w:ind w:firstLine="490" w:firstLineChars="200"/>
      </w:pPr>
      <w:r>
        <w:t>9、环境管理机构定期对工作的实施予以审查，编制拟建工程环境监控报告上报有关部门。根据环境行政主管部门对拟建工程环境监控报告的审查意见和可能存在的有关环境问题的投诉，对环境管理监控程序的相关部分进行持续改进，以更好地完成环境管理工作。</w:t>
      </w:r>
    </w:p>
    <w:p w14:paraId="693AA16C">
      <w:pPr>
        <w:pStyle w:val="6"/>
        <w:numPr>
          <w:ilvl w:val="0"/>
          <w:numId w:val="48"/>
        </w:numPr>
        <w:tabs>
          <w:tab w:val="clear" w:pos="1789"/>
        </w:tabs>
        <w:spacing w:line="400" w:lineRule="exact"/>
        <w:ind w:left="0" w:firstLine="0"/>
        <w:rPr>
          <w:rFonts w:ascii="Arial" w:hAnsi="Arial" w:eastAsia="宋体" w:cs="Arial"/>
        </w:rPr>
      </w:pPr>
      <w:bookmarkStart w:id="512" w:name="_Toc104677354"/>
      <w:bookmarkStart w:id="513" w:name="_Toc183011882"/>
      <w:bookmarkStart w:id="514" w:name="_Toc88674830"/>
      <w:bookmarkStart w:id="515" w:name="_Toc157479216"/>
      <w:bookmarkStart w:id="516" w:name="_Toc87124308"/>
      <w:bookmarkStart w:id="517" w:name="_Toc67921923"/>
      <w:bookmarkStart w:id="518" w:name="_Toc57715669"/>
      <w:bookmarkStart w:id="519" w:name="_Toc58596509"/>
      <w:bookmarkStart w:id="520" w:name="_Toc228613734"/>
      <w:r>
        <w:rPr>
          <w:rFonts w:ascii="Arial" w:hAnsi="Arial" w:eastAsia="宋体" w:cs="Arial"/>
        </w:rPr>
        <w:t>环境监控报告</w:t>
      </w:r>
      <w:bookmarkEnd w:id="512"/>
      <w:bookmarkEnd w:id="513"/>
      <w:bookmarkEnd w:id="514"/>
      <w:bookmarkEnd w:id="515"/>
      <w:bookmarkEnd w:id="516"/>
      <w:bookmarkEnd w:id="517"/>
      <w:bookmarkEnd w:id="518"/>
      <w:bookmarkEnd w:id="519"/>
      <w:bookmarkEnd w:id="520"/>
    </w:p>
    <w:p w14:paraId="094F8D0C">
      <w:pPr>
        <w:pStyle w:val="5"/>
        <w:spacing w:line="500" w:lineRule="exact"/>
        <w:ind w:firstLine="490" w:firstLineChars="200"/>
      </w:pPr>
      <w:r>
        <w:t>项目投入运营后，由环境监测单位定期编制环境监控报告（一般每年1次），主要内容应包括：环境管理机构的设置和变化情况、对环保部门关于前期报告的审查意见的落实情况、监测制度等。</w:t>
      </w:r>
    </w:p>
    <w:p w14:paraId="4BE2AC8C">
      <w:pPr>
        <w:pStyle w:val="4"/>
        <w:numPr>
          <w:ilvl w:val="0"/>
          <w:numId w:val="45"/>
        </w:numPr>
        <w:spacing w:before="214" w:beforeLines="50" w:after="214" w:afterLines="50" w:line="500" w:lineRule="exact"/>
        <w:rPr>
          <w:rFonts w:ascii="Arial" w:eastAsia="宋体" w:cs="Arial"/>
          <w:b/>
        </w:rPr>
      </w:pPr>
      <w:bookmarkStart w:id="521" w:name="_Toc442188286"/>
      <w:bookmarkStart w:id="522" w:name="_Toc104677355"/>
      <w:bookmarkStart w:id="523" w:name="_Toc1742975"/>
      <w:bookmarkStart w:id="524" w:name="_Toc185950242"/>
      <w:bookmarkStart w:id="525" w:name="_Toc363076769"/>
      <w:r>
        <w:rPr>
          <w:rFonts w:ascii="Arial" w:eastAsia="宋体" w:cs="Arial"/>
          <w:b/>
        </w:rPr>
        <w:t>环境监理</w:t>
      </w:r>
      <w:bookmarkEnd w:id="521"/>
      <w:bookmarkEnd w:id="522"/>
      <w:bookmarkEnd w:id="523"/>
      <w:bookmarkEnd w:id="524"/>
      <w:bookmarkEnd w:id="525"/>
    </w:p>
    <w:p w14:paraId="5202509F">
      <w:pPr>
        <w:pStyle w:val="5"/>
        <w:spacing w:line="500" w:lineRule="exact"/>
        <w:ind w:firstLine="490" w:firstLineChars="200"/>
      </w:pPr>
      <w:r>
        <w:t>本项目已建成完毕，本次评价不再对环境监理提出要求。</w:t>
      </w:r>
    </w:p>
    <w:p w14:paraId="3DDBD4D4">
      <w:pPr>
        <w:pStyle w:val="4"/>
        <w:numPr>
          <w:ilvl w:val="0"/>
          <w:numId w:val="45"/>
        </w:numPr>
        <w:spacing w:before="214" w:beforeLines="50" w:after="214" w:afterLines="50" w:line="500" w:lineRule="exact"/>
        <w:rPr>
          <w:rFonts w:ascii="Arial" w:eastAsia="宋体" w:cs="Arial"/>
          <w:b/>
        </w:rPr>
      </w:pPr>
      <w:bookmarkStart w:id="526" w:name="_Toc185950243"/>
      <w:bookmarkStart w:id="527" w:name="_Toc104677356"/>
      <w:r>
        <w:rPr>
          <w:rFonts w:ascii="Arial" w:eastAsia="宋体" w:cs="Arial"/>
          <w:b/>
        </w:rPr>
        <w:t>运营期环境管理</w:t>
      </w:r>
      <w:bookmarkEnd w:id="526"/>
      <w:bookmarkEnd w:id="527"/>
    </w:p>
    <w:p w14:paraId="3580A687">
      <w:pPr>
        <w:pStyle w:val="6"/>
        <w:numPr>
          <w:ilvl w:val="0"/>
          <w:numId w:val="50"/>
        </w:numPr>
        <w:tabs>
          <w:tab w:val="clear" w:pos="1789"/>
        </w:tabs>
        <w:spacing w:line="400" w:lineRule="exact"/>
        <w:rPr>
          <w:rFonts w:ascii="Arial" w:hAnsi="Arial" w:eastAsia="宋体" w:cs="Arial"/>
        </w:rPr>
      </w:pPr>
      <w:bookmarkStart w:id="528" w:name="_Toc87124311"/>
      <w:bookmarkStart w:id="529" w:name="_Toc104677357"/>
      <w:bookmarkStart w:id="530" w:name="_Toc88674833"/>
      <w:bookmarkStart w:id="531" w:name="_Toc67921926"/>
      <w:r>
        <w:rPr>
          <w:rFonts w:ascii="Arial" w:hAnsi="Arial" w:eastAsia="宋体" w:cs="Arial"/>
        </w:rPr>
        <w:t>环境管理机构设置</w:t>
      </w:r>
      <w:bookmarkEnd w:id="528"/>
      <w:bookmarkEnd w:id="529"/>
      <w:bookmarkEnd w:id="530"/>
      <w:bookmarkEnd w:id="531"/>
    </w:p>
    <w:p w14:paraId="238156E5">
      <w:pPr>
        <w:pStyle w:val="5"/>
        <w:spacing w:line="500" w:lineRule="exact"/>
        <w:ind w:firstLine="490" w:firstLineChars="200"/>
      </w:pPr>
      <w:r>
        <w:t>为确保项目建设与当地环境保护的协调发展，必须建立专门的环境管理机构，配备专职人员，负责企业内日常的环境管理、执法监督工作。</w:t>
      </w:r>
    </w:p>
    <w:p w14:paraId="33EF5E77">
      <w:pPr>
        <w:pStyle w:val="5"/>
        <w:spacing w:line="500" w:lineRule="exact"/>
        <w:ind w:firstLine="490" w:firstLineChars="200"/>
      </w:pPr>
      <w:r>
        <w:t>根据环境保护要求，制定年度环保计划和指标，把环保指标以责任书的形式层层分解到各责任部门，推动企业把环保指标列入承包合同和岗位责任制中，建立起监控机制。</w:t>
      </w:r>
    </w:p>
    <w:p w14:paraId="0107DBD1">
      <w:pPr>
        <w:pStyle w:val="6"/>
        <w:numPr>
          <w:ilvl w:val="0"/>
          <w:numId w:val="50"/>
        </w:numPr>
        <w:tabs>
          <w:tab w:val="clear" w:pos="1789"/>
        </w:tabs>
        <w:spacing w:line="400" w:lineRule="exact"/>
        <w:rPr>
          <w:rFonts w:ascii="Arial" w:hAnsi="Arial" w:eastAsia="宋体" w:cs="Arial"/>
        </w:rPr>
      </w:pPr>
      <w:bookmarkStart w:id="532" w:name="_Toc67921927"/>
      <w:bookmarkStart w:id="533" w:name="_Toc104677358"/>
      <w:bookmarkStart w:id="534" w:name="_Toc88674834"/>
      <w:bookmarkStart w:id="535" w:name="_Toc87124312"/>
      <w:r>
        <w:rPr>
          <w:rFonts w:ascii="Arial" w:hAnsi="Arial" w:eastAsia="宋体" w:cs="Arial"/>
        </w:rPr>
        <w:t>环保制度建设</w:t>
      </w:r>
      <w:bookmarkEnd w:id="532"/>
      <w:bookmarkEnd w:id="533"/>
      <w:bookmarkEnd w:id="534"/>
      <w:bookmarkEnd w:id="535"/>
    </w:p>
    <w:p w14:paraId="25889993">
      <w:pPr>
        <w:pStyle w:val="5"/>
        <w:spacing w:line="500" w:lineRule="exact"/>
        <w:ind w:firstLine="490" w:firstLineChars="200"/>
      </w:pPr>
      <w:r>
        <w:rPr>
          <w:rFonts w:hint="eastAsia"/>
        </w:rPr>
        <w:t>1、报告制度</w:t>
      </w:r>
    </w:p>
    <w:p w14:paraId="04785C2C">
      <w:pPr>
        <w:pStyle w:val="5"/>
        <w:spacing w:line="500" w:lineRule="exact"/>
        <w:ind w:firstLine="490" w:firstLineChars="200"/>
      </w:pPr>
      <w:r>
        <w:t>凡实施排污许可证制度的排污单位，应执行月报制度。月报内容主要为污染治理设施的运行情况、污染物排放情况以及污染事故或污染纠纷等，具体要求应按省环保厅制定的重要企业月报表实施。</w:t>
      </w:r>
    </w:p>
    <w:p w14:paraId="1874B2B4">
      <w:pPr>
        <w:pStyle w:val="5"/>
        <w:spacing w:line="500" w:lineRule="exact"/>
        <w:ind w:firstLine="490" w:firstLineChars="200"/>
      </w:pPr>
      <w:r>
        <w:t>企业排污发生重大变化、污染治理设施改变或企业改、扩建等都必须报请有审批权限的生态环境部门审批。</w:t>
      </w:r>
    </w:p>
    <w:p w14:paraId="4FF873C0">
      <w:pPr>
        <w:pStyle w:val="5"/>
        <w:spacing w:line="500" w:lineRule="exact"/>
        <w:ind w:firstLine="490" w:firstLineChars="200"/>
      </w:pPr>
      <w:r>
        <w:rPr>
          <w:rFonts w:hint="eastAsia"/>
        </w:rPr>
        <w:t>2</w:t>
      </w:r>
      <w:r>
        <w:t>、环保台账制度</w:t>
      </w:r>
    </w:p>
    <w:p w14:paraId="097D7278">
      <w:pPr>
        <w:pStyle w:val="5"/>
        <w:spacing w:line="500" w:lineRule="exact"/>
        <w:ind w:firstLine="490" w:firstLineChars="200"/>
      </w:pPr>
      <w:r>
        <w:t>厂内需完善记录制度和档案保存制度，有利于环境管理质量的追踪和持续改进；记录和台帐包括设施运行和维护记录，危险废物进出台帐，废水、废气污染物监测台帐，所有化学品使用台帐，突发性事件的处理，调查记录等，妥善保存所有记录、台帐及污染物排放监测资料、环境管理档案资料等。</w:t>
      </w:r>
    </w:p>
    <w:p w14:paraId="2C9D1BFE">
      <w:pPr>
        <w:pStyle w:val="5"/>
        <w:spacing w:line="500" w:lineRule="exact"/>
        <w:ind w:firstLine="490" w:firstLineChars="200"/>
      </w:pPr>
      <w:r>
        <w:rPr>
          <w:rFonts w:hint="eastAsia"/>
        </w:rPr>
        <w:t>3</w:t>
      </w:r>
      <w:r>
        <w:t>、污染治理设施的管理、监控制度</w:t>
      </w:r>
    </w:p>
    <w:p w14:paraId="2247B42B">
      <w:pPr>
        <w:pStyle w:val="5"/>
        <w:spacing w:line="500" w:lineRule="exact"/>
        <w:ind w:firstLine="490" w:firstLineChars="200"/>
      </w:pPr>
      <w:r>
        <w:t>项目建成后，必须确保污染处理设施长期、稳定、有效地运行，不得擅自拆除或者闲置污染处理设施，不得故意不正常使用污染处理设施。污染处理设施的管理必须与生产经营活动一起纳入公司日常管理工作的范畴，落实责任人、操作人员、维修人员、运行经费、设备的备品备件、化学药品和其他原辅材料。同时要建立岗位责任制、制定操作规程、建立管理台帐，对危险废物进厂、存放、处理以及设备运行情况进行日常记录。</w:t>
      </w:r>
    </w:p>
    <w:p w14:paraId="33D7A7BE">
      <w:pPr>
        <w:pStyle w:val="5"/>
        <w:spacing w:line="500" w:lineRule="exact"/>
        <w:ind w:firstLine="490" w:firstLineChars="200"/>
      </w:pPr>
      <w:r>
        <w:rPr>
          <w:rFonts w:hint="eastAsia"/>
        </w:rPr>
        <w:t>4</w:t>
      </w:r>
      <w:r>
        <w:t>、环保奖惩条例</w:t>
      </w:r>
    </w:p>
    <w:p w14:paraId="734B00DB">
      <w:pPr>
        <w:pStyle w:val="5"/>
        <w:spacing w:line="500" w:lineRule="exact"/>
        <w:ind w:firstLine="490" w:firstLineChars="200"/>
      </w:pPr>
      <w:r>
        <w:t>本项目建设期以及建成后，各级管理人员都应树立保护环境的思想，公司设置环境保护奖惩条例。对爱护环保设施、节能降耗、改善环境者实行奖励；对环保观念淡薄，不按环保要求管理，造成环境设施损坏、环境污染及资源和能源浪费者一律予以重罚。</w:t>
      </w:r>
    </w:p>
    <w:p w14:paraId="1F6CD3C9">
      <w:pPr>
        <w:pStyle w:val="6"/>
        <w:numPr>
          <w:ilvl w:val="0"/>
          <w:numId w:val="50"/>
        </w:numPr>
        <w:tabs>
          <w:tab w:val="clear" w:pos="1789"/>
        </w:tabs>
        <w:spacing w:line="400" w:lineRule="exact"/>
        <w:rPr>
          <w:rFonts w:ascii="Arial" w:hAnsi="Arial" w:eastAsia="宋体" w:cs="Arial"/>
          <w:u w:val="single"/>
        </w:rPr>
      </w:pPr>
      <w:r>
        <w:rPr>
          <w:rFonts w:ascii="Arial" w:hAnsi="Arial" w:eastAsia="宋体" w:cs="Arial"/>
          <w:u w:val="single"/>
        </w:rPr>
        <w:t>排污许可证制度</w:t>
      </w:r>
    </w:p>
    <w:p w14:paraId="2D05942C">
      <w:pPr>
        <w:pStyle w:val="5"/>
        <w:spacing w:line="500" w:lineRule="exact"/>
        <w:ind w:firstLine="490" w:firstLineChars="200"/>
        <w:rPr>
          <w:u w:val="single"/>
        </w:rPr>
      </w:pPr>
      <w:r>
        <w:rPr>
          <w:u w:val="single"/>
        </w:rPr>
        <w:t>1、建设单位应当在项目投入生产或使用并产生实际排污行为之前申请领取排污许可证。</w:t>
      </w:r>
    </w:p>
    <w:p w14:paraId="4A1220C5">
      <w:pPr>
        <w:pStyle w:val="5"/>
        <w:spacing w:line="500" w:lineRule="exact"/>
        <w:ind w:firstLine="490" w:firstLineChars="200"/>
        <w:rPr>
          <w:u w:val="single"/>
        </w:rPr>
      </w:pPr>
      <w:r>
        <w:rPr>
          <w:u w:val="single"/>
        </w:rPr>
        <w:t>2、排污单位依法按照排污许可证申请与核发技术规范提交排污许可申请，申报排放污染物种类、排放浓度等，测算并申报污染物排放量。</w:t>
      </w:r>
    </w:p>
    <w:p w14:paraId="347FF5AA">
      <w:pPr>
        <w:pStyle w:val="5"/>
        <w:spacing w:line="500" w:lineRule="exact"/>
        <w:ind w:firstLine="490" w:firstLineChars="200"/>
        <w:rPr>
          <w:u w:val="single"/>
        </w:rPr>
      </w:pPr>
      <w:r>
        <w:rPr>
          <w:u w:val="single"/>
        </w:rPr>
        <w:t>3、排污单位应当在国家排污许可证管理信息平台上填报并提交排污许可证申请，同时向有核发权限的生态环境部门提交通过平台印制的书面申请材料。排污单位对申请材料的真实性、合法性、完整性负法律责任。申请材料应当包括：</w:t>
      </w:r>
    </w:p>
    <w:p w14:paraId="2C005B44">
      <w:pPr>
        <w:pStyle w:val="5"/>
        <w:spacing w:line="500" w:lineRule="exact"/>
        <w:ind w:firstLine="490" w:firstLineChars="200"/>
        <w:rPr>
          <w:u w:val="single"/>
        </w:rPr>
      </w:pPr>
      <w:r>
        <w:rPr>
          <w:u w:val="single"/>
        </w:rPr>
        <w:t>（1）排污单位基本信息，主要生产设施、主要产品及产能、主要原辅材料，废气、废水等产排污环节和污染防治设施，申请的排放口位置和数量、排放方式、排放去向，按照排放口和生产设施或者车间申请的排放污染物种类、排放浓度和排放量，执行的排放标准；</w:t>
      </w:r>
    </w:p>
    <w:p w14:paraId="24BA17BF">
      <w:pPr>
        <w:pStyle w:val="5"/>
        <w:spacing w:line="500" w:lineRule="exact"/>
        <w:ind w:firstLine="490" w:firstLineChars="200"/>
        <w:rPr>
          <w:u w:val="single"/>
        </w:rPr>
      </w:pPr>
      <w:r>
        <w:rPr>
          <w:u w:val="single"/>
        </w:rPr>
        <w:t>（2）自行监测方案；</w:t>
      </w:r>
    </w:p>
    <w:p w14:paraId="122DBE46">
      <w:pPr>
        <w:pStyle w:val="5"/>
        <w:spacing w:line="500" w:lineRule="exact"/>
        <w:ind w:firstLine="490" w:firstLineChars="200"/>
        <w:rPr>
          <w:u w:val="single"/>
        </w:rPr>
      </w:pPr>
      <w:r>
        <w:rPr>
          <w:u w:val="single"/>
        </w:rPr>
        <w:t>（3）由排污单位法定代表人或者主要负责人签字或者盖章的承诺书；</w:t>
      </w:r>
    </w:p>
    <w:p w14:paraId="7FE94CA2">
      <w:pPr>
        <w:pStyle w:val="5"/>
        <w:spacing w:line="500" w:lineRule="exact"/>
        <w:ind w:firstLine="490" w:firstLineChars="200"/>
        <w:rPr>
          <w:u w:val="single"/>
        </w:rPr>
      </w:pPr>
      <w:r>
        <w:rPr>
          <w:u w:val="single"/>
        </w:rPr>
        <w:t>（4）排污单位有关排污口规范化的情况说明；</w:t>
      </w:r>
    </w:p>
    <w:p w14:paraId="342DCE73">
      <w:pPr>
        <w:pStyle w:val="5"/>
        <w:spacing w:line="500" w:lineRule="exact"/>
        <w:ind w:firstLine="490" w:firstLineChars="200"/>
        <w:rPr>
          <w:u w:val="single"/>
        </w:rPr>
      </w:pPr>
      <w:r>
        <w:rPr>
          <w:u w:val="single"/>
        </w:rPr>
        <w:t>（5）建设项目环境影响评价文件审批文号，或者按照有关国家规定经地方人民政府依法处理、整顿规范并符合要求的相关证明材料；</w:t>
      </w:r>
    </w:p>
    <w:p w14:paraId="5C55E552">
      <w:pPr>
        <w:pStyle w:val="5"/>
        <w:spacing w:line="500" w:lineRule="exact"/>
        <w:ind w:firstLine="490" w:firstLineChars="200"/>
        <w:rPr>
          <w:u w:val="single"/>
        </w:rPr>
      </w:pPr>
      <w:r>
        <w:rPr>
          <w:u w:val="single"/>
        </w:rPr>
        <w:t>（6）排污许可证申请前信息公开情况说明表；</w:t>
      </w:r>
    </w:p>
    <w:p w14:paraId="664B68EE">
      <w:pPr>
        <w:pStyle w:val="5"/>
        <w:spacing w:line="500" w:lineRule="exact"/>
        <w:ind w:firstLine="490" w:firstLineChars="200"/>
        <w:rPr>
          <w:u w:val="single"/>
        </w:rPr>
      </w:pPr>
      <w:r>
        <w:rPr>
          <w:u w:val="single"/>
        </w:rPr>
        <w:t>（7）污水集中处理设施的经营管理单位还应当提供纳污范围、纳污排污单位名单、管网布置、最终排放去向等材料；</w:t>
      </w:r>
    </w:p>
    <w:p w14:paraId="7605731C">
      <w:pPr>
        <w:pStyle w:val="5"/>
        <w:spacing w:line="500" w:lineRule="exact"/>
        <w:ind w:firstLine="490" w:firstLineChars="200"/>
        <w:rPr>
          <w:u w:val="single"/>
        </w:rPr>
      </w:pPr>
      <w:r>
        <w:rPr>
          <w:u w:val="single"/>
        </w:rPr>
        <w:t>（8）新建、改建、扩建项目排污单位存在通过污染物排放等量或者减量替代削减获得重点污染物排放总量控制指标情况的，且出让重点污染物排放总量控制指标的排污单位已经取得排污许可证的，应当提供出让重点污染物排放总量控制指标的排污单位的排污许可证完成变更的相关材料。</w:t>
      </w:r>
    </w:p>
    <w:p w14:paraId="0B8281BE">
      <w:pPr>
        <w:pStyle w:val="5"/>
        <w:spacing w:line="500" w:lineRule="exact"/>
        <w:ind w:firstLine="490" w:firstLineChars="200"/>
        <w:rPr>
          <w:u w:val="single"/>
        </w:rPr>
      </w:pPr>
      <w:r>
        <w:rPr>
          <w:u w:val="single"/>
        </w:rPr>
        <w:t>建设单位应当严格执行排污许可证的规定，禁止无证排污或不按证排污。2022年1月14日，钦州市生态环境局为中伟公司核发了排污许可证，编号91450706MA5QABFE4T001V。近两年，企业根据相关规定对排污许可证办理了变更申请，2024年8月，钦州市生态环境局核发了最新的排污许可证。</w:t>
      </w:r>
    </w:p>
    <w:p w14:paraId="4A1DF4A7">
      <w:pPr>
        <w:pStyle w:val="5"/>
        <w:spacing w:line="500" w:lineRule="exact"/>
        <w:ind w:firstLine="490" w:firstLineChars="200"/>
        <w:rPr>
          <w:u w:val="single"/>
        </w:rPr>
      </w:pPr>
      <w:r>
        <w:rPr>
          <w:u w:val="single"/>
        </w:rPr>
        <w:t>目前的排污许可证载明的工程内容包括一阶段及二阶段项目（含变更前的MSP生产线）、一体化项目、燃气锅炉项目、氢氧化钴技改项目；尚未填报排污许可的有</w:t>
      </w:r>
      <w:r>
        <w:rPr>
          <w:rFonts w:hint="eastAsia"/>
          <w:u w:val="single"/>
        </w:rPr>
        <w:t>广西中伟新能源项目一期新能源材料一体化项目（即变更火法生产线、MSP生产线）、广西中伟新能源项目一期G21#氨水制备、XII-1#柴油加油站项目（即新增氨水制备生产线、加油站）和本项目（二阶段镍豆镍粉生产线变更为羟基钴生产线）</w:t>
      </w:r>
      <w:r>
        <w:rPr>
          <w:u w:val="single"/>
        </w:rPr>
        <w:t>。本项目批复后，建设单位应及时变更排污许可证，即新增</w:t>
      </w:r>
      <w:r>
        <w:rPr>
          <w:rFonts w:hint="eastAsia"/>
          <w:u w:val="single"/>
        </w:rPr>
        <w:t>氨水制备生产线、加油站，将原来的火法生产线、MSP生产线进行变更，将二阶段镍豆镍粉生产线变更为羟基钴生产线</w:t>
      </w:r>
      <w:r>
        <w:rPr>
          <w:u w:val="single"/>
        </w:rPr>
        <w:t>。同时企业按照排污许可证要求落实管理台账，按时上传执行报告，按排污许可要求开展自行监测并上传系统。</w:t>
      </w:r>
    </w:p>
    <w:p w14:paraId="73C52A22">
      <w:pPr>
        <w:pStyle w:val="6"/>
        <w:numPr>
          <w:ilvl w:val="0"/>
          <w:numId w:val="50"/>
        </w:numPr>
        <w:tabs>
          <w:tab w:val="clear" w:pos="1789"/>
        </w:tabs>
        <w:spacing w:line="400" w:lineRule="exact"/>
        <w:ind w:left="0" w:firstLine="0"/>
        <w:rPr>
          <w:rFonts w:ascii="Arial" w:hAnsi="Arial" w:eastAsia="宋体" w:cs="Arial"/>
        </w:rPr>
      </w:pPr>
      <w:bookmarkStart w:id="536" w:name="_Toc104677359"/>
      <w:r>
        <w:rPr>
          <w:rFonts w:ascii="Arial" w:hAnsi="Arial" w:eastAsia="宋体" w:cs="Arial"/>
        </w:rPr>
        <w:t>污染物总量控制指标</w:t>
      </w:r>
      <w:bookmarkEnd w:id="536"/>
    </w:p>
    <w:p w14:paraId="6DEE5DD9">
      <w:pPr>
        <w:pStyle w:val="5"/>
        <w:adjustRightInd w:val="0"/>
        <w:snapToGrid w:val="0"/>
        <w:spacing w:line="500" w:lineRule="exact"/>
        <w:ind w:firstLine="490" w:firstLineChars="200"/>
      </w:pPr>
      <w:r>
        <w:t>本项目外排废水新增COD</w:t>
      </w:r>
      <w:r>
        <w:rPr>
          <w:rFonts w:hint="eastAsia"/>
        </w:rPr>
        <w:t xml:space="preserve"> 0.1806</w:t>
      </w:r>
      <w:r>
        <w:t>t/a</w:t>
      </w:r>
      <w:r>
        <w:rPr>
          <w:rFonts w:hint="eastAsia"/>
        </w:rPr>
        <w:t>、</w:t>
      </w:r>
      <w:r>
        <w:t>氨氮0.</w:t>
      </w:r>
      <w:r>
        <w:rPr>
          <w:rFonts w:hint="eastAsia"/>
        </w:rPr>
        <w:t>0249</w:t>
      </w:r>
      <w:r>
        <w:t>t/a</w:t>
      </w:r>
      <w:r>
        <w:rPr>
          <w:rFonts w:hint="eastAsia"/>
        </w:rPr>
        <w:t>；</w:t>
      </w:r>
      <w:r>
        <w:t>外排废气不含有机废气、氮氧化物。</w:t>
      </w:r>
    </w:p>
    <w:p w14:paraId="6C9345A4">
      <w:pPr>
        <w:pStyle w:val="6"/>
        <w:numPr>
          <w:ilvl w:val="0"/>
          <w:numId w:val="50"/>
        </w:numPr>
        <w:tabs>
          <w:tab w:val="clear" w:pos="1789"/>
        </w:tabs>
        <w:spacing w:line="400" w:lineRule="exact"/>
        <w:ind w:left="0" w:firstLine="0"/>
        <w:rPr>
          <w:rFonts w:ascii="Arial" w:hAnsi="Arial" w:eastAsia="宋体" w:cs="Arial"/>
        </w:rPr>
      </w:pPr>
      <w:bookmarkStart w:id="537" w:name="_Toc57715672"/>
      <w:bookmarkStart w:id="538" w:name="_Toc87124313"/>
      <w:bookmarkStart w:id="539" w:name="_Toc104677360"/>
      <w:bookmarkStart w:id="540" w:name="_Toc88674835"/>
      <w:bookmarkStart w:id="541" w:name="_Toc67921928"/>
      <w:bookmarkStart w:id="542" w:name="_Toc58596512"/>
      <w:r>
        <w:rPr>
          <w:rFonts w:ascii="Arial" w:hAnsi="Arial" w:eastAsia="宋体" w:cs="Arial"/>
        </w:rPr>
        <w:t>项目排放清单以及管理要求</w:t>
      </w:r>
      <w:bookmarkEnd w:id="537"/>
      <w:bookmarkEnd w:id="538"/>
      <w:bookmarkEnd w:id="539"/>
      <w:bookmarkEnd w:id="540"/>
      <w:bookmarkEnd w:id="541"/>
      <w:bookmarkEnd w:id="542"/>
    </w:p>
    <w:p w14:paraId="68E38F80">
      <w:pPr>
        <w:pStyle w:val="5"/>
        <w:spacing w:line="500" w:lineRule="exact"/>
        <w:ind w:firstLine="490" w:firstLineChars="200"/>
      </w:pPr>
      <w:r>
        <w:t>项目主要污染物排放清单以及管理要求见表7-13。</w:t>
      </w:r>
    </w:p>
    <w:p w14:paraId="67B26866">
      <w:pPr>
        <w:spacing w:line="500" w:lineRule="exact"/>
        <w:ind w:firstLine="450" w:firstLineChars="200"/>
        <w:rPr>
          <w:rFonts w:ascii="Arial" w:hAnsi="Arial" w:eastAsia="宋体" w:cs="Arial"/>
          <w:sz w:val="24"/>
          <w:highlight w:val="yellow"/>
        </w:rPr>
        <w:sectPr>
          <w:pgSz w:w="11907" w:h="16840"/>
          <w:pgMar w:top="1678" w:right="1408" w:bottom="1901" w:left="1155" w:header="1174" w:footer="1029" w:gutter="567"/>
          <w:cols w:space="720" w:num="1"/>
          <w:docGrid w:type="linesAndChars" w:linePitch="428" w:charSpace="-3161"/>
        </w:sectPr>
      </w:pPr>
    </w:p>
    <w:p w14:paraId="4455FCD4">
      <w:pPr>
        <w:pStyle w:val="5"/>
        <w:numPr>
          <w:ilvl w:val="0"/>
          <w:numId w:val="47"/>
        </w:numPr>
        <w:spacing w:line="500" w:lineRule="exact"/>
        <w:ind w:left="0" w:firstLine="0"/>
        <w:jc w:val="center"/>
        <w:outlineLvl w:val="4"/>
        <w:rPr>
          <w:b/>
        </w:rPr>
      </w:pPr>
      <w:r>
        <w:rPr>
          <w:b/>
        </w:rPr>
        <w:t>项目主要污染物排放清单及其管理要求</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9"/>
        <w:gridCol w:w="1527"/>
        <w:gridCol w:w="2092"/>
        <w:gridCol w:w="1418"/>
        <w:gridCol w:w="1844"/>
        <w:gridCol w:w="1418"/>
        <w:gridCol w:w="1130"/>
        <w:gridCol w:w="1135"/>
        <w:gridCol w:w="2456"/>
      </w:tblGrid>
      <w:tr w14:paraId="03302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restart"/>
            <w:vAlign w:val="center"/>
          </w:tcPr>
          <w:p w14:paraId="31D123F6">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项目</w:t>
            </w:r>
          </w:p>
        </w:tc>
        <w:tc>
          <w:tcPr>
            <w:tcW w:w="566" w:type="pct"/>
            <w:vMerge w:val="restart"/>
            <w:vAlign w:val="center"/>
          </w:tcPr>
          <w:p w14:paraId="3F5D7121">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污染源</w:t>
            </w:r>
          </w:p>
        </w:tc>
        <w:tc>
          <w:tcPr>
            <w:tcW w:w="776" w:type="pct"/>
            <w:vMerge w:val="restart"/>
            <w:vAlign w:val="center"/>
          </w:tcPr>
          <w:p w14:paraId="7EC9D3E1">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环保措施</w:t>
            </w:r>
          </w:p>
        </w:tc>
        <w:tc>
          <w:tcPr>
            <w:tcW w:w="1736" w:type="pct"/>
            <w:gridSpan w:val="3"/>
            <w:vAlign w:val="center"/>
          </w:tcPr>
          <w:p w14:paraId="1FD2573A">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主要污染物</w:t>
            </w:r>
          </w:p>
        </w:tc>
        <w:tc>
          <w:tcPr>
            <w:tcW w:w="419" w:type="pct"/>
            <w:vMerge w:val="restart"/>
            <w:vAlign w:val="center"/>
          </w:tcPr>
          <w:p w14:paraId="6369028B">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排放方式</w:t>
            </w:r>
          </w:p>
        </w:tc>
        <w:tc>
          <w:tcPr>
            <w:tcW w:w="421" w:type="pct"/>
            <w:vMerge w:val="restart"/>
            <w:vAlign w:val="center"/>
          </w:tcPr>
          <w:p w14:paraId="4E936A5C">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排污口信息</w:t>
            </w:r>
          </w:p>
        </w:tc>
        <w:tc>
          <w:tcPr>
            <w:tcW w:w="911" w:type="pct"/>
            <w:vMerge w:val="restart"/>
            <w:vAlign w:val="center"/>
          </w:tcPr>
          <w:p w14:paraId="0864196D">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执行标准</w:t>
            </w:r>
          </w:p>
        </w:tc>
      </w:tr>
      <w:tr w14:paraId="3006A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687FEAC1">
            <w:pPr>
              <w:spacing w:line="240" w:lineRule="exact"/>
              <w:jc w:val="center"/>
              <w:rPr>
                <w:rFonts w:ascii="Arial" w:hAnsi="Arial" w:eastAsia="宋体" w:cs="Arial"/>
                <w:spacing w:val="10"/>
                <w:kern w:val="0"/>
                <w:sz w:val="21"/>
                <w:szCs w:val="21"/>
              </w:rPr>
            </w:pPr>
          </w:p>
        </w:tc>
        <w:tc>
          <w:tcPr>
            <w:tcW w:w="566" w:type="pct"/>
            <w:vMerge w:val="continue"/>
            <w:vAlign w:val="center"/>
          </w:tcPr>
          <w:p w14:paraId="0E5DCDE1">
            <w:pPr>
              <w:spacing w:line="240" w:lineRule="exact"/>
              <w:jc w:val="center"/>
              <w:rPr>
                <w:rFonts w:ascii="Arial" w:hAnsi="Arial" w:eastAsia="宋体" w:cs="Arial"/>
                <w:spacing w:val="10"/>
                <w:kern w:val="0"/>
                <w:sz w:val="21"/>
                <w:szCs w:val="21"/>
              </w:rPr>
            </w:pPr>
          </w:p>
        </w:tc>
        <w:tc>
          <w:tcPr>
            <w:tcW w:w="776" w:type="pct"/>
            <w:vMerge w:val="continue"/>
            <w:vAlign w:val="center"/>
          </w:tcPr>
          <w:p w14:paraId="3FAFDA19">
            <w:pPr>
              <w:spacing w:line="240" w:lineRule="exact"/>
              <w:jc w:val="center"/>
              <w:rPr>
                <w:rFonts w:ascii="Arial" w:hAnsi="Arial" w:eastAsia="宋体" w:cs="Arial"/>
                <w:spacing w:val="10"/>
                <w:kern w:val="0"/>
                <w:sz w:val="21"/>
                <w:szCs w:val="21"/>
              </w:rPr>
            </w:pPr>
          </w:p>
        </w:tc>
        <w:tc>
          <w:tcPr>
            <w:tcW w:w="526" w:type="pct"/>
            <w:vAlign w:val="center"/>
          </w:tcPr>
          <w:p w14:paraId="584ED51C">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污染物</w:t>
            </w:r>
          </w:p>
        </w:tc>
        <w:tc>
          <w:tcPr>
            <w:tcW w:w="684" w:type="pct"/>
            <w:vAlign w:val="center"/>
          </w:tcPr>
          <w:p w14:paraId="63527FD1">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排放浓度（废气单位mg/m</w:t>
            </w:r>
            <w:r>
              <w:rPr>
                <w:rFonts w:ascii="Arial" w:hAnsi="Arial" w:eastAsia="宋体" w:cs="Arial"/>
                <w:spacing w:val="10"/>
                <w:kern w:val="0"/>
                <w:sz w:val="21"/>
                <w:szCs w:val="21"/>
                <w:vertAlign w:val="superscript"/>
              </w:rPr>
              <w:t>3</w:t>
            </w:r>
            <w:r>
              <w:rPr>
                <w:rFonts w:ascii="Arial" w:hAnsi="Arial" w:eastAsia="宋体" w:cs="Arial"/>
                <w:spacing w:val="10"/>
                <w:kern w:val="0"/>
                <w:sz w:val="21"/>
                <w:szCs w:val="21"/>
              </w:rPr>
              <w:t>，废水单位mg/L）</w:t>
            </w:r>
          </w:p>
        </w:tc>
        <w:tc>
          <w:tcPr>
            <w:tcW w:w="526" w:type="pct"/>
            <w:vAlign w:val="center"/>
          </w:tcPr>
          <w:p w14:paraId="6EFE5D4C">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排放量（t/a）</w:t>
            </w:r>
          </w:p>
        </w:tc>
        <w:tc>
          <w:tcPr>
            <w:tcW w:w="419" w:type="pct"/>
            <w:vMerge w:val="continue"/>
            <w:vAlign w:val="center"/>
          </w:tcPr>
          <w:p w14:paraId="2F4E2DC9">
            <w:pPr>
              <w:spacing w:line="240" w:lineRule="exact"/>
              <w:jc w:val="center"/>
              <w:rPr>
                <w:rFonts w:ascii="Arial" w:hAnsi="Arial" w:eastAsia="宋体" w:cs="Arial"/>
                <w:spacing w:val="10"/>
                <w:kern w:val="0"/>
                <w:sz w:val="21"/>
                <w:szCs w:val="21"/>
              </w:rPr>
            </w:pPr>
          </w:p>
        </w:tc>
        <w:tc>
          <w:tcPr>
            <w:tcW w:w="421" w:type="pct"/>
            <w:vMerge w:val="continue"/>
            <w:vAlign w:val="center"/>
          </w:tcPr>
          <w:p w14:paraId="653F578D">
            <w:pPr>
              <w:spacing w:line="240" w:lineRule="exact"/>
              <w:jc w:val="center"/>
              <w:rPr>
                <w:rFonts w:ascii="Arial" w:hAnsi="Arial" w:eastAsia="宋体" w:cs="Arial"/>
                <w:spacing w:val="10"/>
                <w:kern w:val="0"/>
                <w:sz w:val="21"/>
                <w:szCs w:val="21"/>
              </w:rPr>
            </w:pPr>
          </w:p>
        </w:tc>
        <w:tc>
          <w:tcPr>
            <w:tcW w:w="911" w:type="pct"/>
            <w:vMerge w:val="continue"/>
            <w:vAlign w:val="center"/>
          </w:tcPr>
          <w:p w14:paraId="4A0EACC4">
            <w:pPr>
              <w:spacing w:line="240" w:lineRule="exact"/>
              <w:jc w:val="center"/>
              <w:rPr>
                <w:rFonts w:ascii="Arial" w:hAnsi="Arial" w:eastAsia="宋体" w:cs="Arial"/>
                <w:spacing w:val="10"/>
                <w:kern w:val="0"/>
                <w:sz w:val="21"/>
                <w:szCs w:val="21"/>
              </w:rPr>
            </w:pPr>
          </w:p>
        </w:tc>
      </w:tr>
      <w:tr w14:paraId="00B7B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restart"/>
            <w:vAlign w:val="center"/>
          </w:tcPr>
          <w:p w14:paraId="0B598450">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废气</w:t>
            </w:r>
          </w:p>
        </w:tc>
        <w:tc>
          <w:tcPr>
            <w:tcW w:w="566" w:type="pct"/>
            <w:vAlign w:val="center"/>
          </w:tcPr>
          <w:p w14:paraId="0435975B">
            <w:pPr>
              <w:adjustRightInd w:val="0"/>
              <w:snapToGrid w:val="0"/>
              <w:jc w:val="center"/>
              <w:rPr>
                <w:rFonts w:ascii="Arial" w:hAnsi="Arial" w:eastAsia="宋体" w:cs="Arial"/>
                <w:sz w:val="21"/>
                <w:szCs w:val="24"/>
              </w:rPr>
            </w:pPr>
            <w:r>
              <w:rPr>
                <w:rFonts w:hint="eastAsia" w:ascii="Arial" w:hAnsi="Arial" w:eastAsia="宋体" w:cs="Arial"/>
                <w:sz w:val="21"/>
                <w:szCs w:val="24"/>
              </w:rPr>
              <w:t>合成</w:t>
            </w:r>
            <w:r>
              <w:rPr>
                <w:rFonts w:ascii="Arial" w:hAnsi="Arial" w:eastAsia="宋体" w:cs="Arial"/>
                <w:sz w:val="21"/>
                <w:szCs w:val="24"/>
              </w:rPr>
              <w:t>反应废气、压滤废气</w:t>
            </w:r>
          </w:p>
        </w:tc>
        <w:tc>
          <w:tcPr>
            <w:tcW w:w="776" w:type="pct"/>
            <w:vAlign w:val="center"/>
          </w:tcPr>
          <w:p w14:paraId="16FC2A92">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吸收塔</w:t>
            </w:r>
          </w:p>
        </w:tc>
        <w:tc>
          <w:tcPr>
            <w:tcW w:w="526" w:type="pct"/>
            <w:vAlign w:val="center"/>
          </w:tcPr>
          <w:p w14:paraId="62F9D278">
            <w:pPr>
              <w:pStyle w:val="469"/>
              <w:rPr>
                <w:rFonts w:ascii="Arial" w:hAnsi="Arial" w:cs="Arial"/>
                <w:sz w:val="21"/>
                <w:szCs w:val="21"/>
              </w:rPr>
            </w:pPr>
            <w:r>
              <w:rPr>
                <w:rFonts w:ascii="Arial" w:hAnsi="Arial" w:cs="Arial"/>
                <w:sz w:val="21"/>
                <w:szCs w:val="21"/>
              </w:rPr>
              <w:t>氨气</w:t>
            </w:r>
          </w:p>
        </w:tc>
        <w:tc>
          <w:tcPr>
            <w:tcW w:w="684" w:type="pct"/>
            <w:vAlign w:val="center"/>
          </w:tcPr>
          <w:p w14:paraId="250C1E9C">
            <w:pPr>
              <w:adjustRightInd w:val="0"/>
              <w:snapToGrid w:val="0"/>
              <w:jc w:val="center"/>
              <w:rPr>
                <w:rFonts w:ascii="Arial" w:hAnsi="Arial" w:eastAsia="宋体" w:cs="Arial"/>
                <w:kern w:val="0"/>
                <w:sz w:val="21"/>
              </w:rPr>
            </w:pPr>
            <w:r>
              <w:rPr>
                <w:rFonts w:hint="eastAsia" w:ascii="Arial" w:hAnsi="Arial" w:eastAsia="宋体" w:cs="Arial"/>
                <w:kern w:val="0"/>
                <w:sz w:val="21"/>
              </w:rPr>
              <w:t>5.7</w:t>
            </w:r>
          </w:p>
        </w:tc>
        <w:tc>
          <w:tcPr>
            <w:tcW w:w="526" w:type="pct"/>
            <w:vAlign w:val="center"/>
          </w:tcPr>
          <w:p w14:paraId="5CFF186B">
            <w:pPr>
              <w:pStyle w:val="5"/>
              <w:adjustRightInd w:val="0"/>
              <w:snapToGrid w:val="0"/>
              <w:spacing w:line="240" w:lineRule="auto"/>
              <w:ind w:firstLine="0"/>
              <w:jc w:val="center"/>
              <w:rPr>
                <w:sz w:val="21"/>
                <w:szCs w:val="21"/>
              </w:rPr>
            </w:pPr>
            <w:r>
              <w:rPr>
                <w:rFonts w:hint="eastAsia"/>
                <w:sz w:val="21"/>
                <w:szCs w:val="21"/>
              </w:rPr>
              <w:t>2.1239</w:t>
            </w:r>
          </w:p>
        </w:tc>
        <w:tc>
          <w:tcPr>
            <w:tcW w:w="419" w:type="pct"/>
            <w:vAlign w:val="center"/>
          </w:tcPr>
          <w:p w14:paraId="4158A13B">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连续</w:t>
            </w:r>
          </w:p>
        </w:tc>
        <w:tc>
          <w:tcPr>
            <w:tcW w:w="421" w:type="pct"/>
            <w:vAlign w:val="center"/>
          </w:tcPr>
          <w:p w14:paraId="002E1E8B">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DA145</w:t>
            </w:r>
          </w:p>
        </w:tc>
        <w:tc>
          <w:tcPr>
            <w:tcW w:w="911" w:type="pct"/>
            <w:vMerge w:val="restart"/>
            <w:vAlign w:val="center"/>
          </w:tcPr>
          <w:p w14:paraId="04566044">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《无机化学工业污染物排放标准》（GB31573-2015）</w:t>
            </w:r>
          </w:p>
        </w:tc>
      </w:tr>
      <w:tr w14:paraId="5F675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225316C3">
            <w:pPr>
              <w:spacing w:line="240" w:lineRule="exact"/>
              <w:jc w:val="center"/>
              <w:rPr>
                <w:rFonts w:ascii="Arial" w:hAnsi="Arial" w:eastAsia="宋体" w:cs="Arial"/>
                <w:spacing w:val="10"/>
                <w:kern w:val="0"/>
                <w:sz w:val="21"/>
                <w:szCs w:val="21"/>
              </w:rPr>
            </w:pPr>
          </w:p>
        </w:tc>
        <w:tc>
          <w:tcPr>
            <w:tcW w:w="566" w:type="pct"/>
            <w:vMerge w:val="restart"/>
            <w:vAlign w:val="center"/>
          </w:tcPr>
          <w:p w14:paraId="689CF18D">
            <w:pPr>
              <w:adjustRightInd w:val="0"/>
              <w:snapToGrid w:val="0"/>
              <w:jc w:val="center"/>
              <w:rPr>
                <w:rFonts w:ascii="Arial" w:hAnsi="Arial" w:eastAsia="宋体" w:cs="Arial"/>
                <w:sz w:val="21"/>
                <w:szCs w:val="24"/>
              </w:rPr>
            </w:pPr>
            <w:r>
              <w:rPr>
                <w:rFonts w:hint="eastAsia" w:ascii="Arial" w:hAnsi="Arial" w:eastAsia="宋体" w:cs="Arial"/>
                <w:sz w:val="21"/>
                <w:szCs w:val="24"/>
              </w:rPr>
              <w:t>烘干粉尘、破碎粉尘、包装粉尘</w:t>
            </w:r>
          </w:p>
        </w:tc>
        <w:tc>
          <w:tcPr>
            <w:tcW w:w="776" w:type="pct"/>
            <w:vMerge w:val="restart"/>
            <w:vAlign w:val="center"/>
          </w:tcPr>
          <w:p w14:paraId="67EB941F">
            <w:pPr>
              <w:adjustRightInd w:val="0"/>
              <w:snapToGrid w:val="0"/>
              <w:jc w:val="center"/>
              <w:rPr>
                <w:rFonts w:ascii="Arial" w:hAnsi="Arial" w:eastAsia="宋体" w:cs="Arial"/>
                <w:spacing w:val="10"/>
                <w:sz w:val="21"/>
                <w:szCs w:val="21"/>
              </w:rPr>
            </w:pPr>
            <w:r>
              <w:rPr>
                <w:rFonts w:ascii="Arial" w:hAnsi="Arial" w:eastAsia="宋体" w:cs="Arial"/>
                <w:kern w:val="0"/>
                <w:sz w:val="21"/>
              </w:rPr>
              <w:t>布袋除尘器</w:t>
            </w:r>
            <w:r>
              <w:rPr>
                <w:rFonts w:hint="eastAsia" w:ascii="Arial" w:hAnsi="Arial" w:eastAsia="宋体" w:cs="Arial"/>
                <w:kern w:val="0"/>
                <w:sz w:val="21"/>
              </w:rPr>
              <w:t>+</w:t>
            </w:r>
            <w:r>
              <w:rPr>
                <w:rFonts w:ascii="Arial" w:hAnsi="Arial" w:eastAsia="宋体" w:cs="Arial"/>
                <w:kern w:val="0"/>
                <w:sz w:val="21"/>
              </w:rPr>
              <w:t>吸收塔</w:t>
            </w:r>
          </w:p>
        </w:tc>
        <w:tc>
          <w:tcPr>
            <w:tcW w:w="526" w:type="pct"/>
            <w:vAlign w:val="center"/>
          </w:tcPr>
          <w:p w14:paraId="539E6AA9">
            <w:pPr>
              <w:pStyle w:val="469"/>
              <w:rPr>
                <w:rFonts w:ascii="Arial" w:hAnsi="Arial" w:cs="Arial"/>
                <w:sz w:val="21"/>
                <w:szCs w:val="21"/>
              </w:rPr>
            </w:pPr>
            <w:r>
              <w:rPr>
                <w:rFonts w:hint="eastAsia" w:ascii="Arial" w:hAnsi="Arial" w:cs="Arial"/>
                <w:sz w:val="21"/>
                <w:szCs w:val="21"/>
              </w:rPr>
              <w:t>颗粒物</w:t>
            </w:r>
          </w:p>
        </w:tc>
        <w:tc>
          <w:tcPr>
            <w:tcW w:w="684" w:type="pct"/>
            <w:vAlign w:val="center"/>
          </w:tcPr>
          <w:p w14:paraId="7F6EC9D4">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4.45</w:t>
            </w:r>
          </w:p>
        </w:tc>
        <w:tc>
          <w:tcPr>
            <w:tcW w:w="526" w:type="pct"/>
            <w:vAlign w:val="center"/>
          </w:tcPr>
          <w:p w14:paraId="5841D48F">
            <w:pPr>
              <w:pStyle w:val="5"/>
              <w:adjustRightInd w:val="0"/>
              <w:snapToGrid w:val="0"/>
              <w:spacing w:line="240" w:lineRule="auto"/>
              <w:ind w:firstLine="0"/>
              <w:jc w:val="center"/>
              <w:rPr>
                <w:sz w:val="21"/>
                <w:szCs w:val="21"/>
                <w:u w:val="single"/>
              </w:rPr>
            </w:pPr>
            <w:r>
              <w:rPr>
                <w:rFonts w:hint="eastAsia"/>
                <w:sz w:val="21"/>
                <w:szCs w:val="21"/>
                <w:u w:val="single"/>
              </w:rPr>
              <w:t>1.6579</w:t>
            </w:r>
          </w:p>
        </w:tc>
        <w:tc>
          <w:tcPr>
            <w:tcW w:w="419" w:type="pct"/>
            <w:vMerge w:val="restart"/>
            <w:vAlign w:val="center"/>
          </w:tcPr>
          <w:p w14:paraId="7084463E">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连续</w:t>
            </w:r>
          </w:p>
        </w:tc>
        <w:tc>
          <w:tcPr>
            <w:tcW w:w="421" w:type="pct"/>
            <w:vMerge w:val="restart"/>
            <w:vAlign w:val="center"/>
          </w:tcPr>
          <w:p w14:paraId="1D879FA1">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DA146</w:t>
            </w:r>
          </w:p>
        </w:tc>
        <w:tc>
          <w:tcPr>
            <w:tcW w:w="911" w:type="pct"/>
            <w:vMerge w:val="continue"/>
            <w:vAlign w:val="center"/>
          </w:tcPr>
          <w:p w14:paraId="77039490">
            <w:pPr>
              <w:spacing w:line="240" w:lineRule="exact"/>
              <w:jc w:val="center"/>
              <w:rPr>
                <w:rFonts w:ascii="Arial" w:hAnsi="Arial" w:eastAsia="宋体" w:cs="Arial"/>
                <w:spacing w:val="10"/>
                <w:kern w:val="0"/>
                <w:sz w:val="21"/>
                <w:szCs w:val="21"/>
              </w:rPr>
            </w:pPr>
          </w:p>
        </w:tc>
      </w:tr>
      <w:tr w14:paraId="2EB5A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1A963375">
            <w:pPr>
              <w:spacing w:line="240" w:lineRule="exact"/>
              <w:jc w:val="center"/>
              <w:rPr>
                <w:rFonts w:ascii="Arial" w:hAnsi="Arial" w:eastAsia="宋体" w:cs="Arial"/>
                <w:spacing w:val="10"/>
                <w:kern w:val="0"/>
                <w:sz w:val="21"/>
                <w:szCs w:val="21"/>
              </w:rPr>
            </w:pPr>
          </w:p>
        </w:tc>
        <w:tc>
          <w:tcPr>
            <w:tcW w:w="566" w:type="pct"/>
            <w:vMerge w:val="continue"/>
            <w:vAlign w:val="center"/>
          </w:tcPr>
          <w:p w14:paraId="0F40DFAE">
            <w:pPr>
              <w:spacing w:line="240" w:lineRule="exact"/>
              <w:jc w:val="center"/>
              <w:rPr>
                <w:rFonts w:ascii="Arial" w:hAnsi="Arial" w:eastAsia="宋体" w:cs="Arial"/>
                <w:spacing w:val="10"/>
                <w:kern w:val="0"/>
                <w:sz w:val="21"/>
                <w:szCs w:val="21"/>
              </w:rPr>
            </w:pPr>
          </w:p>
        </w:tc>
        <w:tc>
          <w:tcPr>
            <w:tcW w:w="776" w:type="pct"/>
            <w:vMerge w:val="continue"/>
            <w:vAlign w:val="center"/>
          </w:tcPr>
          <w:p w14:paraId="46D1D753">
            <w:pPr>
              <w:spacing w:line="240" w:lineRule="exact"/>
              <w:jc w:val="center"/>
              <w:rPr>
                <w:rFonts w:ascii="Arial" w:hAnsi="Arial" w:eastAsia="宋体" w:cs="Arial"/>
                <w:spacing w:val="10"/>
                <w:kern w:val="0"/>
                <w:sz w:val="21"/>
                <w:szCs w:val="21"/>
              </w:rPr>
            </w:pPr>
          </w:p>
        </w:tc>
        <w:tc>
          <w:tcPr>
            <w:tcW w:w="526" w:type="pct"/>
            <w:vAlign w:val="center"/>
          </w:tcPr>
          <w:p w14:paraId="7B3E5F12">
            <w:pPr>
              <w:pStyle w:val="469"/>
              <w:rPr>
                <w:rFonts w:ascii="Arial" w:hAnsi="Arial" w:cs="Arial"/>
                <w:sz w:val="21"/>
                <w:szCs w:val="21"/>
              </w:rPr>
            </w:pPr>
            <w:r>
              <w:rPr>
                <w:rFonts w:hint="eastAsia" w:ascii="Arial" w:hAnsi="Arial" w:cs="Arial"/>
                <w:sz w:val="21"/>
                <w:szCs w:val="21"/>
              </w:rPr>
              <w:t>钴</w:t>
            </w:r>
          </w:p>
        </w:tc>
        <w:tc>
          <w:tcPr>
            <w:tcW w:w="684" w:type="pct"/>
            <w:vAlign w:val="center"/>
          </w:tcPr>
          <w:p w14:paraId="22D2202A">
            <w:pPr>
              <w:adjustRightInd w:val="0"/>
              <w:snapToGrid w:val="0"/>
              <w:jc w:val="center"/>
              <w:rPr>
                <w:rFonts w:ascii="Arial" w:hAnsi="Arial" w:eastAsia="宋体" w:cs="Arial"/>
                <w:kern w:val="0"/>
                <w:sz w:val="21"/>
                <w:u w:val="single"/>
              </w:rPr>
            </w:pPr>
            <w:r>
              <w:rPr>
                <w:rFonts w:hint="eastAsia" w:ascii="Arial" w:hAnsi="Arial" w:eastAsia="宋体" w:cs="Arial"/>
                <w:kern w:val="0"/>
                <w:sz w:val="21"/>
                <w:u w:val="single"/>
              </w:rPr>
              <w:t>2.76</w:t>
            </w:r>
          </w:p>
        </w:tc>
        <w:tc>
          <w:tcPr>
            <w:tcW w:w="526" w:type="pct"/>
            <w:vAlign w:val="center"/>
          </w:tcPr>
          <w:p w14:paraId="7228B103">
            <w:pPr>
              <w:pStyle w:val="5"/>
              <w:adjustRightInd w:val="0"/>
              <w:snapToGrid w:val="0"/>
              <w:spacing w:line="240" w:lineRule="auto"/>
              <w:ind w:firstLine="0"/>
              <w:jc w:val="center"/>
              <w:rPr>
                <w:sz w:val="21"/>
                <w:szCs w:val="21"/>
                <w:u w:val="single"/>
              </w:rPr>
            </w:pPr>
            <w:r>
              <w:rPr>
                <w:rFonts w:hint="eastAsia"/>
                <w:sz w:val="21"/>
                <w:szCs w:val="21"/>
                <w:u w:val="single"/>
              </w:rPr>
              <w:t>1.0292</w:t>
            </w:r>
          </w:p>
        </w:tc>
        <w:tc>
          <w:tcPr>
            <w:tcW w:w="419" w:type="pct"/>
            <w:vMerge w:val="continue"/>
            <w:vAlign w:val="center"/>
          </w:tcPr>
          <w:p w14:paraId="1E1BC46A">
            <w:pPr>
              <w:spacing w:line="240" w:lineRule="exact"/>
              <w:jc w:val="center"/>
              <w:rPr>
                <w:rFonts w:ascii="Arial" w:hAnsi="Arial" w:eastAsia="宋体" w:cs="Arial"/>
                <w:spacing w:val="10"/>
                <w:kern w:val="0"/>
                <w:sz w:val="21"/>
                <w:szCs w:val="21"/>
              </w:rPr>
            </w:pPr>
          </w:p>
        </w:tc>
        <w:tc>
          <w:tcPr>
            <w:tcW w:w="421" w:type="pct"/>
            <w:vMerge w:val="continue"/>
            <w:vAlign w:val="center"/>
          </w:tcPr>
          <w:p w14:paraId="2A4AE7F5">
            <w:pPr>
              <w:spacing w:line="240" w:lineRule="exact"/>
              <w:jc w:val="center"/>
              <w:rPr>
                <w:rFonts w:ascii="Arial" w:hAnsi="Arial" w:eastAsia="宋体" w:cs="Arial"/>
                <w:spacing w:val="10"/>
                <w:kern w:val="0"/>
                <w:sz w:val="21"/>
                <w:szCs w:val="21"/>
              </w:rPr>
            </w:pPr>
          </w:p>
        </w:tc>
        <w:tc>
          <w:tcPr>
            <w:tcW w:w="911" w:type="pct"/>
            <w:vMerge w:val="continue"/>
            <w:vAlign w:val="center"/>
          </w:tcPr>
          <w:p w14:paraId="16B1667E">
            <w:pPr>
              <w:spacing w:line="240" w:lineRule="exact"/>
              <w:jc w:val="center"/>
              <w:rPr>
                <w:rFonts w:ascii="Arial" w:hAnsi="Arial" w:eastAsia="宋体" w:cs="Arial"/>
                <w:spacing w:val="10"/>
                <w:kern w:val="0"/>
                <w:sz w:val="21"/>
                <w:szCs w:val="21"/>
              </w:rPr>
            </w:pPr>
          </w:p>
        </w:tc>
      </w:tr>
      <w:tr w14:paraId="1B43F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09615EA2">
            <w:pPr>
              <w:spacing w:line="240" w:lineRule="exact"/>
              <w:jc w:val="center"/>
              <w:rPr>
                <w:rFonts w:ascii="Arial" w:hAnsi="Arial" w:eastAsia="宋体" w:cs="Arial"/>
                <w:spacing w:val="10"/>
                <w:kern w:val="0"/>
                <w:sz w:val="21"/>
                <w:szCs w:val="21"/>
              </w:rPr>
            </w:pPr>
          </w:p>
        </w:tc>
        <w:tc>
          <w:tcPr>
            <w:tcW w:w="566" w:type="pct"/>
            <w:vAlign w:val="center"/>
          </w:tcPr>
          <w:p w14:paraId="77781D07">
            <w:pPr>
              <w:adjustRightInd w:val="0"/>
              <w:snapToGrid w:val="0"/>
              <w:jc w:val="center"/>
              <w:rPr>
                <w:rFonts w:ascii="Arial" w:hAnsi="Arial" w:eastAsia="宋体" w:cs="Arial"/>
                <w:sz w:val="21"/>
                <w:szCs w:val="24"/>
              </w:rPr>
            </w:pPr>
            <w:r>
              <w:rPr>
                <w:rFonts w:ascii="Arial" w:hAnsi="Arial" w:eastAsia="宋体" w:cs="Arial"/>
                <w:sz w:val="21"/>
                <w:szCs w:val="24"/>
              </w:rPr>
              <w:t>污水处理废气</w:t>
            </w:r>
          </w:p>
        </w:tc>
        <w:tc>
          <w:tcPr>
            <w:tcW w:w="776" w:type="pct"/>
            <w:vAlign w:val="center"/>
          </w:tcPr>
          <w:p w14:paraId="55FE8DE0">
            <w:pPr>
              <w:adjustRightInd w:val="0"/>
              <w:snapToGrid w:val="0"/>
              <w:jc w:val="center"/>
              <w:rPr>
                <w:rFonts w:ascii="Arial" w:hAnsi="Arial" w:eastAsia="宋体" w:cs="Arial"/>
                <w:kern w:val="0"/>
                <w:sz w:val="21"/>
              </w:rPr>
            </w:pPr>
            <w:r>
              <w:rPr>
                <w:rFonts w:ascii="Arial" w:hAnsi="Arial" w:eastAsia="宋体" w:cs="Arial"/>
                <w:kern w:val="0"/>
                <w:sz w:val="21"/>
              </w:rPr>
              <w:t>吸收塔</w:t>
            </w:r>
          </w:p>
        </w:tc>
        <w:tc>
          <w:tcPr>
            <w:tcW w:w="526" w:type="pct"/>
            <w:vAlign w:val="center"/>
          </w:tcPr>
          <w:p w14:paraId="2195BFCA">
            <w:pPr>
              <w:pStyle w:val="469"/>
              <w:rPr>
                <w:rFonts w:ascii="Arial" w:hAnsi="Arial" w:cs="Arial"/>
                <w:sz w:val="21"/>
                <w:szCs w:val="21"/>
              </w:rPr>
            </w:pPr>
            <w:r>
              <w:rPr>
                <w:rFonts w:ascii="Arial" w:hAnsi="Arial" w:cs="Arial"/>
                <w:sz w:val="21"/>
                <w:szCs w:val="21"/>
              </w:rPr>
              <w:t>氨气</w:t>
            </w:r>
          </w:p>
        </w:tc>
        <w:tc>
          <w:tcPr>
            <w:tcW w:w="684" w:type="pct"/>
            <w:vAlign w:val="center"/>
          </w:tcPr>
          <w:p w14:paraId="08EB7410">
            <w:pPr>
              <w:adjustRightInd w:val="0"/>
              <w:snapToGrid w:val="0"/>
              <w:jc w:val="center"/>
              <w:rPr>
                <w:rFonts w:ascii="Arial" w:hAnsi="Arial" w:eastAsia="宋体" w:cs="Arial"/>
                <w:kern w:val="0"/>
                <w:sz w:val="21"/>
              </w:rPr>
            </w:pPr>
            <w:r>
              <w:rPr>
                <w:rFonts w:hint="eastAsia" w:ascii="Arial" w:hAnsi="Arial" w:eastAsia="宋体" w:cs="Arial"/>
                <w:kern w:val="0"/>
                <w:sz w:val="21"/>
              </w:rPr>
              <w:t>0.36</w:t>
            </w:r>
          </w:p>
        </w:tc>
        <w:tc>
          <w:tcPr>
            <w:tcW w:w="526" w:type="pct"/>
            <w:vAlign w:val="center"/>
          </w:tcPr>
          <w:p w14:paraId="4BD04ED2">
            <w:pPr>
              <w:pStyle w:val="5"/>
              <w:adjustRightInd w:val="0"/>
              <w:snapToGrid w:val="0"/>
              <w:spacing w:line="240" w:lineRule="auto"/>
              <w:ind w:firstLine="0"/>
              <w:jc w:val="center"/>
              <w:rPr>
                <w:sz w:val="21"/>
                <w:szCs w:val="21"/>
              </w:rPr>
            </w:pPr>
            <w:r>
              <w:rPr>
                <w:rFonts w:hint="eastAsia"/>
                <w:sz w:val="21"/>
                <w:szCs w:val="21"/>
              </w:rPr>
              <w:t>0.0369</w:t>
            </w:r>
          </w:p>
        </w:tc>
        <w:tc>
          <w:tcPr>
            <w:tcW w:w="419" w:type="pct"/>
            <w:vAlign w:val="center"/>
          </w:tcPr>
          <w:p w14:paraId="116CB34C">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连续</w:t>
            </w:r>
          </w:p>
        </w:tc>
        <w:tc>
          <w:tcPr>
            <w:tcW w:w="421" w:type="pct"/>
            <w:vAlign w:val="center"/>
          </w:tcPr>
          <w:p w14:paraId="12271865">
            <w:pPr>
              <w:pStyle w:val="41"/>
              <w:adjustRightInd w:val="0"/>
              <w:snapToGrid w:val="0"/>
              <w:spacing w:after="0"/>
              <w:ind w:firstLine="0" w:firstLineChars="0"/>
              <w:jc w:val="center"/>
              <w:rPr>
                <w:rFonts w:ascii="Arial" w:hAnsi="Arial" w:cs="Arial"/>
                <w:sz w:val="21"/>
                <w:szCs w:val="21"/>
              </w:rPr>
            </w:pPr>
            <w:r>
              <w:rPr>
                <w:rFonts w:ascii="Arial" w:hAnsi="Arial" w:cs="Arial"/>
                <w:sz w:val="21"/>
                <w:szCs w:val="21"/>
              </w:rPr>
              <w:t>DA</w:t>
            </w:r>
            <w:r>
              <w:rPr>
                <w:rFonts w:hint="eastAsia" w:ascii="Arial" w:hAnsi="Arial" w:cs="Arial"/>
                <w:sz w:val="21"/>
                <w:szCs w:val="21"/>
              </w:rPr>
              <w:t>067</w:t>
            </w:r>
          </w:p>
        </w:tc>
        <w:tc>
          <w:tcPr>
            <w:tcW w:w="911" w:type="pct"/>
            <w:vMerge w:val="continue"/>
            <w:vAlign w:val="center"/>
          </w:tcPr>
          <w:p w14:paraId="00DF8D7F">
            <w:pPr>
              <w:spacing w:line="240" w:lineRule="exact"/>
              <w:jc w:val="center"/>
              <w:rPr>
                <w:rFonts w:ascii="Arial" w:hAnsi="Arial" w:eastAsia="宋体" w:cs="Arial"/>
                <w:spacing w:val="10"/>
                <w:kern w:val="0"/>
                <w:sz w:val="21"/>
                <w:szCs w:val="21"/>
              </w:rPr>
            </w:pPr>
          </w:p>
        </w:tc>
      </w:tr>
      <w:tr w14:paraId="08CB1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restart"/>
            <w:vAlign w:val="center"/>
          </w:tcPr>
          <w:p w14:paraId="19EC32A0">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废水</w:t>
            </w:r>
          </w:p>
        </w:tc>
        <w:tc>
          <w:tcPr>
            <w:tcW w:w="566" w:type="pct"/>
            <w:vMerge w:val="restart"/>
            <w:vAlign w:val="center"/>
          </w:tcPr>
          <w:p w14:paraId="155ED41F">
            <w:pPr>
              <w:spacing w:line="240" w:lineRule="exact"/>
              <w:jc w:val="center"/>
              <w:rPr>
                <w:rFonts w:ascii="Arial" w:hAnsi="Arial" w:eastAsia="宋体" w:cs="Arial"/>
                <w:sz w:val="21"/>
                <w:szCs w:val="21"/>
              </w:rPr>
            </w:pPr>
            <w:r>
              <w:rPr>
                <w:rFonts w:hint="eastAsia" w:ascii="Arial" w:hAnsi="Arial" w:eastAsia="宋体" w:cs="Arial"/>
                <w:sz w:val="21"/>
                <w:szCs w:val="21"/>
              </w:rPr>
              <w:t>生产</w:t>
            </w:r>
            <w:r>
              <w:rPr>
                <w:rFonts w:ascii="Arial" w:hAnsi="Arial" w:eastAsia="宋体" w:cs="Arial"/>
                <w:sz w:val="21"/>
                <w:szCs w:val="21"/>
              </w:rPr>
              <w:t>废水</w:t>
            </w:r>
          </w:p>
        </w:tc>
        <w:tc>
          <w:tcPr>
            <w:tcW w:w="776" w:type="pct"/>
            <w:vMerge w:val="restart"/>
            <w:vAlign w:val="center"/>
          </w:tcPr>
          <w:p w14:paraId="71FC56A1">
            <w:pPr>
              <w:spacing w:line="240" w:lineRule="exact"/>
              <w:jc w:val="center"/>
              <w:rPr>
                <w:rFonts w:ascii="Arial" w:hAnsi="Arial" w:eastAsia="宋体" w:cs="Arial"/>
                <w:kern w:val="0"/>
                <w:sz w:val="21"/>
              </w:rPr>
            </w:pPr>
            <w:r>
              <w:rPr>
                <w:rFonts w:ascii="Arial" w:hAnsi="Arial" w:eastAsia="宋体" w:cs="Arial"/>
                <w:kern w:val="0"/>
                <w:sz w:val="21"/>
              </w:rPr>
              <w:t>板框压滤+</w:t>
            </w:r>
            <w:r>
              <w:rPr>
                <w:rFonts w:hint="eastAsia" w:ascii="Arial" w:hAnsi="Arial" w:eastAsia="宋体" w:cs="Arial"/>
                <w:kern w:val="0"/>
                <w:sz w:val="21"/>
              </w:rPr>
              <w:t>汽提脱氨+陶瓷膜过滤</w:t>
            </w:r>
            <w:r>
              <w:rPr>
                <w:rFonts w:ascii="Arial" w:hAnsi="Arial" w:eastAsia="宋体" w:cs="Arial"/>
                <w:kern w:val="0"/>
                <w:sz w:val="21"/>
              </w:rPr>
              <w:t>+MVR+树脂除重+臭氧催化氧化</w:t>
            </w:r>
          </w:p>
        </w:tc>
        <w:tc>
          <w:tcPr>
            <w:tcW w:w="526" w:type="pct"/>
            <w:vAlign w:val="center"/>
          </w:tcPr>
          <w:p w14:paraId="78944ADE">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COD</w:t>
            </w:r>
          </w:p>
        </w:tc>
        <w:tc>
          <w:tcPr>
            <w:tcW w:w="684" w:type="pct"/>
            <w:vAlign w:val="center"/>
          </w:tcPr>
          <w:p w14:paraId="6C09304A">
            <w:pPr>
              <w:adjustRightInd w:val="0"/>
              <w:snapToGrid w:val="0"/>
              <w:jc w:val="center"/>
              <w:rPr>
                <w:rFonts w:ascii="Arial" w:hAnsi="Arial" w:eastAsia="宋体" w:cs="Arial"/>
                <w:sz w:val="21"/>
                <w:szCs w:val="21"/>
              </w:rPr>
            </w:pPr>
            <w:r>
              <w:rPr>
                <w:rFonts w:ascii="Arial" w:hAnsi="Arial" w:eastAsia="宋体" w:cs="Arial"/>
                <w:sz w:val="21"/>
                <w:szCs w:val="21"/>
              </w:rPr>
              <w:t>38.5</w:t>
            </w:r>
          </w:p>
        </w:tc>
        <w:tc>
          <w:tcPr>
            <w:tcW w:w="526" w:type="pct"/>
            <w:vAlign w:val="center"/>
          </w:tcPr>
          <w:p w14:paraId="378E7AA6">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c>
          <w:tcPr>
            <w:tcW w:w="419" w:type="pct"/>
            <w:vMerge w:val="restart"/>
            <w:vAlign w:val="center"/>
          </w:tcPr>
          <w:p w14:paraId="7003FE34">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连续</w:t>
            </w:r>
          </w:p>
        </w:tc>
        <w:tc>
          <w:tcPr>
            <w:tcW w:w="421" w:type="pct"/>
            <w:vMerge w:val="restart"/>
            <w:vAlign w:val="center"/>
          </w:tcPr>
          <w:p w14:paraId="643C112A">
            <w:pPr>
              <w:spacing w:line="240" w:lineRule="exact"/>
              <w:jc w:val="center"/>
              <w:rPr>
                <w:rFonts w:ascii="Arial" w:hAnsi="Arial" w:eastAsia="宋体" w:cs="Arial"/>
                <w:kern w:val="0"/>
                <w:sz w:val="21"/>
              </w:rPr>
            </w:pPr>
            <w:r>
              <w:rPr>
                <w:rFonts w:ascii="Arial" w:hAnsi="Arial" w:eastAsia="宋体" w:cs="Arial"/>
                <w:kern w:val="0"/>
                <w:sz w:val="21"/>
              </w:rPr>
              <w:t>总排口</w:t>
            </w:r>
          </w:p>
        </w:tc>
        <w:tc>
          <w:tcPr>
            <w:tcW w:w="911" w:type="pct"/>
            <w:vMerge w:val="restart"/>
            <w:vAlign w:val="center"/>
          </w:tcPr>
          <w:p w14:paraId="6F6B7742">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《无机化学工业污染物排放标准》（GB31573-2015）</w:t>
            </w:r>
          </w:p>
        </w:tc>
      </w:tr>
      <w:tr w14:paraId="32767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72C8A16B">
            <w:pPr>
              <w:spacing w:line="240" w:lineRule="exact"/>
              <w:jc w:val="center"/>
              <w:rPr>
                <w:rFonts w:ascii="Arial" w:hAnsi="Arial" w:eastAsia="宋体" w:cs="Arial"/>
                <w:spacing w:val="10"/>
                <w:kern w:val="0"/>
                <w:sz w:val="21"/>
                <w:szCs w:val="21"/>
              </w:rPr>
            </w:pPr>
          </w:p>
        </w:tc>
        <w:tc>
          <w:tcPr>
            <w:tcW w:w="566" w:type="pct"/>
            <w:vMerge w:val="continue"/>
            <w:vAlign w:val="center"/>
          </w:tcPr>
          <w:p w14:paraId="15E58268">
            <w:pPr>
              <w:spacing w:line="240" w:lineRule="exact"/>
              <w:jc w:val="center"/>
              <w:rPr>
                <w:rFonts w:ascii="Arial" w:hAnsi="Arial" w:eastAsia="宋体" w:cs="Arial"/>
                <w:sz w:val="21"/>
                <w:szCs w:val="21"/>
              </w:rPr>
            </w:pPr>
          </w:p>
        </w:tc>
        <w:tc>
          <w:tcPr>
            <w:tcW w:w="776" w:type="pct"/>
            <w:vMerge w:val="continue"/>
            <w:vAlign w:val="center"/>
          </w:tcPr>
          <w:p w14:paraId="20C87F10">
            <w:pPr>
              <w:spacing w:line="240" w:lineRule="exact"/>
              <w:jc w:val="center"/>
              <w:rPr>
                <w:rFonts w:ascii="Arial" w:hAnsi="Arial" w:eastAsia="宋体" w:cs="Arial"/>
                <w:kern w:val="0"/>
                <w:sz w:val="21"/>
              </w:rPr>
            </w:pPr>
          </w:p>
        </w:tc>
        <w:tc>
          <w:tcPr>
            <w:tcW w:w="526" w:type="pct"/>
            <w:vAlign w:val="center"/>
          </w:tcPr>
          <w:p w14:paraId="46BF53E4">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氨氮</w:t>
            </w:r>
          </w:p>
        </w:tc>
        <w:tc>
          <w:tcPr>
            <w:tcW w:w="684" w:type="pct"/>
            <w:vAlign w:val="center"/>
          </w:tcPr>
          <w:p w14:paraId="35022BD1">
            <w:pPr>
              <w:adjustRightInd w:val="0"/>
              <w:snapToGrid w:val="0"/>
              <w:jc w:val="center"/>
              <w:rPr>
                <w:rFonts w:ascii="Arial" w:hAnsi="Arial" w:eastAsia="宋体" w:cs="Arial"/>
                <w:sz w:val="21"/>
                <w:szCs w:val="21"/>
              </w:rPr>
            </w:pPr>
            <w:r>
              <w:rPr>
                <w:rFonts w:ascii="Arial" w:hAnsi="Arial" w:eastAsia="宋体" w:cs="Arial"/>
                <w:sz w:val="21"/>
                <w:szCs w:val="21"/>
              </w:rPr>
              <w:t>5.3</w:t>
            </w:r>
          </w:p>
        </w:tc>
        <w:tc>
          <w:tcPr>
            <w:tcW w:w="526" w:type="pct"/>
            <w:vAlign w:val="center"/>
          </w:tcPr>
          <w:p w14:paraId="2F57D089">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c>
          <w:tcPr>
            <w:tcW w:w="419" w:type="pct"/>
            <w:vMerge w:val="continue"/>
            <w:vAlign w:val="center"/>
          </w:tcPr>
          <w:p w14:paraId="56E7E8EA">
            <w:pPr>
              <w:spacing w:line="240" w:lineRule="exact"/>
              <w:jc w:val="center"/>
              <w:rPr>
                <w:rFonts w:ascii="Arial" w:hAnsi="Arial" w:eastAsia="宋体" w:cs="Arial"/>
                <w:spacing w:val="10"/>
                <w:kern w:val="0"/>
                <w:sz w:val="21"/>
                <w:szCs w:val="21"/>
              </w:rPr>
            </w:pPr>
          </w:p>
        </w:tc>
        <w:tc>
          <w:tcPr>
            <w:tcW w:w="421" w:type="pct"/>
            <w:vMerge w:val="continue"/>
            <w:vAlign w:val="center"/>
          </w:tcPr>
          <w:p w14:paraId="19DF4E59">
            <w:pPr>
              <w:spacing w:line="240" w:lineRule="exact"/>
              <w:jc w:val="center"/>
              <w:rPr>
                <w:rFonts w:ascii="Arial" w:hAnsi="Arial" w:eastAsia="宋体" w:cs="Arial"/>
                <w:kern w:val="0"/>
                <w:sz w:val="21"/>
              </w:rPr>
            </w:pPr>
          </w:p>
        </w:tc>
        <w:tc>
          <w:tcPr>
            <w:tcW w:w="911" w:type="pct"/>
            <w:vMerge w:val="continue"/>
            <w:vAlign w:val="center"/>
          </w:tcPr>
          <w:p w14:paraId="26CD710B">
            <w:pPr>
              <w:spacing w:line="240" w:lineRule="exact"/>
              <w:jc w:val="center"/>
              <w:rPr>
                <w:rFonts w:ascii="Arial" w:hAnsi="Arial" w:eastAsia="宋体" w:cs="Arial"/>
                <w:spacing w:val="10"/>
                <w:kern w:val="0"/>
                <w:sz w:val="21"/>
                <w:szCs w:val="21"/>
              </w:rPr>
            </w:pPr>
          </w:p>
        </w:tc>
      </w:tr>
      <w:tr w14:paraId="0A47A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0684BC42">
            <w:pPr>
              <w:spacing w:line="240" w:lineRule="exact"/>
              <w:jc w:val="center"/>
              <w:rPr>
                <w:rFonts w:ascii="Arial" w:hAnsi="Arial" w:eastAsia="宋体" w:cs="Arial"/>
                <w:spacing w:val="10"/>
                <w:kern w:val="0"/>
                <w:sz w:val="21"/>
                <w:szCs w:val="21"/>
              </w:rPr>
            </w:pPr>
          </w:p>
        </w:tc>
        <w:tc>
          <w:tcPr>
            <w:tcW w:w="566" w:type="pct"/>
            <w:vMerge w:val="continue"/>
            <w:vAlign w:val="center"/>
          </w:tcPr>
          <w:p w14:paraId="2D36E148">
            <w:pPr>
              <w:spacing w:line="240" w:lineRule="exact"/>
              <w:jc w:val="center"/>
              <w:rPr>
                <w:rFonts w:ascii="Arial" w:hAnsi="Arial" w:eastAsia="宋体" w:cs="Arial"/>
                <w:sz w:val="21"/>
                <w:szCs w:val="21"/>
              </w:rPr>
            </w:pPr>
          </w:p>
        </w:tc>
        <w:tc>
          <w:tcPr>
            <w:tcW w:w="776" w:type="pct"/>
            <w:vMerge w:val="continue"/>
            <w:vAlign w:val="center"/>
          </w:tcPr>
          <w:p w14:paraId="2D6D4E90">
            <w:pPr>
              <w:spacing w:line="240" w:lineRule="exact"/>
              <w:jc w:val="center"/>
              <w:rPr>
                <w:rFonts w:ascii="Arial" w:hAnsi="Arial" w:eastAsia="宋体" w:cs="Arial"/>
                <w:kern w:val="0"/>
                <w:sz w:val="21"/>
              </w:rPr>
            </w:pPr>
          </w:p>
        </w:tc>
        <w:tc>
          <w:tcPr>
            <w:tcW w:w="526" w:type="pct"/>
            <w:vAlign w:val="center"/>
          </w:tcPr>
          <w:p w14:paraId="556BC81F">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硫酸盐</w:t>
            </w:r>
          </w:p>
        </w:tc>
        <w:tc>
          <w:tcPr>
            <w:tcW w:w="684" w:type="pct"/>
            <w:vAlign w:val="center"/>
          </w:tcPr>
          <w:p w14:paraId="22E936FD">
            <w:pPr>
              <w:adjustRightInd w:val="0"/>
              <w:snapToGrid w:val="0"/>
              <w:jc w:val="center"/>
              <w:rPr>
                <w:rFonts w:ascii="Arial" w:hAnsi="Arial" w:eastAsia="宋体" w:cs="Arial"/>
                <w:sz w:val="21"/>
                <w:szCs w:val="21"/>
              </w:rPr>
            </w:pPr>
            <w:r>
              <w:rPr>
                <w:rFonts w:hint="eastAsia" w:ascii="Arial" w:hAnsi="Arial" w:eastAsia="宋体" w:cs="Arial"/>
                <w:sz w:val="21"/>
                <w:szCs w:val="21"/>
              </w:rPr>
              <w:t>18360</w:t>
            </w:r>
          </w:p>
        </w:tc>
        <w:tc>
          <w:tcPr>
            <w:tcW w:w="526" w:type="pct"/>
            <w:vAlign w:val="center"/>
          </w:tcPr>
          <w:p w14:paraId="67EF46B3">
            <w:pPr>
              <w:adjustRightInd w:val="0"/>
              <w:snapToGrid w:val="0"/>
              <w:jc w:val="center"/>
              <w:rPr>
                <w:rFonts w:ascii="Arial" w:hAnsi="Arial" w:eastAsia="宋体" w:cs="Arial"/>
                <w:sz w:val="21"/>
                <w:szCs w:val="21"/>
              </w:rPr>
            </w:pPr>
            <w:r>
              <w:rPr>
                <w:rFonts w:hint="eastAsia" w:ascii="Arial" w:hAnsi="Arial" w:eastAsia="宋体" w:cs="Arial"/>
                <w:sz w:val="21"/>
                <w:szCs w:val="21"/>
              </w:rPr>
              <w:t>86.1084</w:t>
            </w:r>
          </w:p>
        </w:tc>
        <w:tc>
          <w:tcPr>
            <w:tcW w:w="419" w:type="pct"/>
            <w:vMerge w:val="continue"/>
            <w:vAlign w:val="center"/>
          </w:tcPr>
          <w:p w14:paraId="6178231B">
            <w:pPr>
              <w:spacing w:line="240" w:lineRule="exact"/>
              <w:jc w:val="center"/>
              <w:rPr>
                <w:rFonts w:ascii="Arial" w:hAnsi="Arial" w:eastAsia="宋体" w:cs="Arial"/>
                <w:spacing w:val="10"/>
                <w:kern w:val="0"/>
                <w:sz w:val="21"/>
                <w:szCs w:val="21"/>
              </w:rPr>
            </w:pPr>
          </w:p>
        </w:tc>
        <w:tc>
          <w:tcPr>
            <w:tcW w:w="421" w:type="pct"/>
            <w:vMerge w:val="continue"/>
            <w:vAlign w:val="center"/>
          </w:tcPr>
          <w:p w14:paraId="58E7BA18">
            <w:pPr>
              <w:spacing w:line="240" w:lineRule="exact"/>
              <w:jc w:val="center"/>
              <w:rPr>
                <w:rFonts w:ascii="Arial" w:hAnsi="Arial" w:eastAsia="宋体" w:cs="Arial"/>
                <w:kern w:val="0"/>
                <w:sz w:val="21"/>
              </w:rPr>
            </w:pPr>
          </w:p>
        </w:tc>
        <w:tc>
          <w:tcPr>
            <w:tcW w:w="911" w:type="pct"/>
            <w:vMerge w:val="continue"/>
            <w:vAlign w:val="center"/>
          </w:tcPr>
          <w:p w14:paraId="4CDB0B27">
            <w:pPr>
              <w:spacing w:line="240" w:lineRule="exact"/>
              <w:jc w:val="center"/>
              <w:rPr>
                <w:rFonts w:ascii="Arial" w:hAnsi="Arial" w:eastAsia="宋体" w:cs="Arial"/>
                <w:spacing w:val="10"/>
                <w:kern w:val="0"/>
                <w:sz w:val="21"/>
                <w:szCs w:val="21"/>
              </w:rPr>
            </w:pPr>
          </w:p>
        </w:tc>
      </w:tr>
      <w:tr w14:paraId="3DC81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7A0E1A87">
            <w:pPr>
              <w:spacing w:line="240" w:lineRule="exact"/>
              <w:jc w:val="center"/>
              <w:rPr>
                <w:rFonts w:ascii="Arial" w:hAnsi="Arial" w:eastAsia="宋体" w:cs="Arial"/>
                <w:spacing w:val="10"/>
                <w:kern w:val="0"/>
                <w:sz w:val="21"/>
                <w:szCs w:val="21"/>
              </w:rPr>
            </w:pPr>
          </w:p>
        </w:tc>
        <w:tc>
          <w:tcPr>
            <w:tcW w:w="566" w:type="pct"/>
            <w:vMerge w:val="continue"/>
            <w:vAlign w:val="center"/>
          </w:tcPr>
          <w:p w14:paraId="0A1C9C3D">
            <w:pPr>
              <w:spacing w:line="240" w:lineRule="exact"/>
              <w:jc w:val="center"/>
              <w:rPr>
                <w:rFonts w:ascii="Arial" w:hAnsi="Arial" w:eastAsia="宋体" w:cs="Arial"/>
                <w:sz w:val="21"/>
                <w:szCs w:val="21"/>
              </w:rPr>
            </w:pPr>
          </w:p>
        </w:tc>
        <w:tc>
          <w:tcPr>
            <w:tcW w:w="776" w:type="pct"/>
            <w:vMerge w:val="continue"/>
            <w:vAlign w:val="center"/>
          </w:tcPr>
          <w:p w14:paraId="06A298EB">
            <w:pPr>
              <w:spacing w:line="240" w:lineRule="exact"/>
              <w:jc w:val="center"/>
              <w:rPr>
                <w:rFonts w:ascii="Arial" w:hAnsi="Arial" w:eastAsia="宋体" w:cs="Arial"/>
                <w:kern w:val="0"/>
                <w:sz w:val="21"/>
              </w:rPr>
            </w:pPr>
          </w:p>
        </w:tc>
        <w:tc>
          <w:tcPr>
            <w:tcW w:w="526" w:type="pct"/>
            <w:vAlign w:val="center"/>
          </w:tcPr>
          <w:p w14:paraId="26D13129">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钴</w:t>
            </w:r>
          </w:p>
        </w:tc>
        <w:tc>
          <w:tcPr>
            <w:tcW w:w="684" w:type="pct"/>
            <w:vAlign w:val="center"/>
          </w:tcPr>
          <w:p w14:paraId="4257B7CE">
            <w:pPr>
              <w:adjustRightInd w:val="0"/>
              <w:snapToGrid w:val="0"/>
              <w:jc w:val="center"/>
              <w:rPr>
                <w:rFonts w:ascii="Arial" w:hAnsi="Arial" w:eastAsia="宋体" w:cs="Arial"/>
                <w:sz w:val="21"/>
                <w:szCs w:val="21"/>
              </w:rPr>
            </w:pPr>
            <w:r>
              <w:rPr>
                <w:rFonts w:hint="eastAsia" w:ascii="Arial" w:hAnsi="Arial" w:eastAsia="宋体" w:cs="Arial"/>
                <w:sz w:val="21"/>
                <w:szCs w:val="21"/>
              </w:rPr>
              <w:t>0.13</w:t>
            </w:r>
          </w:p>
        </w:tc>
        <w:tc>
          <w:tcPr>
            <w:tcW w:w="526" w:type="pct"/>
            <w:vAlign w:val="center"/>
          </w:tcPr>
          <w:p w14:paraId="3A331F5F">
            <w:pPr>
              <w:adjustRightInd w:val="0"/>
              <w:snapToGrid w:val="0"/>
              <w:jc w:val="center"/>
              <w:rPr>
                <w:rFonts w:ascii="Arial" w:hAnsi="Arial" w:eastAsia="宋体" w:cs="Arial"/>
                <w:sz w:val="21"/>
                <w:szCs w:val="21"/>
              </w:rPr>
            </w:pPr>
            <w:r>
              <w:rPr>
                <w:rFonts w:hint="eastAsia" w:ascii="Arial" w:hAnsi="Arial" w:eastAsia="宋体" w:cs="Arial"/>
                <w:sz w:val="21"/>
                <w:szCs w:val="21"/>
              </w:rPr>
              <w:t>0.0006</w:t>
            </w:r>
          </w:p>
        </w:tc>
        <w:tc>
          <w:tcPr>
            <w:tcW w:w="419" w:type="pct"/>
            <w:vMerge w:val="continue"/>
            <w:vAlign w:val="center"/>
          </w:tcPr>
          <w:p w14:paraId="56474891">
            <w:pPr>
              <w:spacing w:line="240" w:lineRule="exact"/>
              <w:jc w:val="center"/>
              <w:rPr>
                <w:rFonts w:ascii="Arial" w:hAnsi="Arial" w:eastAsia="宋体" w:cs="Arial"/>
                <w:spacing w:val="10"/>
                <w:kern w:val="0"/>
                <w:sz w:val="21"/>
                <w:szCs w:val="21"/>
              </w:rPr>
            </w:pPr>
          </w:p>
        </w:tc>
        <w:tc>
          <w:tcPr>
            <w:tcW w:w="421" w:type="pct"/>
            <w:vMerge w:val="continue"/>
            <w:vAlign w:val="center"/>
          </w:tcPr>
          <w:p w14:paraId="07B7C057">
            <w:pPr>
              <w:spacing w:line="240" w:lineRule="exact"/>
              <w:jc w:val="center"/>
              <w:rPr>
                <w:rFonts w:ascii="Arial" w:hAnsi="Arial" w:eastAsia="宋体" w:cs="Arial"/>
                <w:kern w:val="0"/>
                <w:sz w:val="21"/>
              </w:rPr>
            </w:pPr>
          </w:p>
        </w:tc>
        <w:tc>
          <w:tcPr>
            <w:tcW w:w="911" w:type="pct"/>
            <w:vMerge w:val="continue"/>
            <w:vAlign w:val="center"/>
          </w:tcPr>
          <w:p w14:paraId="2F5A7F08">
            <w:pPr>
              <w:spacing w:line="240" w:lineRule="exact"/>
              <w:jc w:val="center"/>
              <w:rPr>
                <w:rFonts w:ascii="Arial" w:hAnsi="Arial" w:eastAsia="宋体" w:cs="Arial"/>
                <w:spacing w:val="10"/>
                <w:kern w:val="0"/>
                <w:sz w:val="21"/>
                <w:szCs w:val="21"/>
              </w:rPr>
            </w:pPr>
          </w:p>
        </w:tc>
      </w:tr>
      <w:tr w14:paraId="1F032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410B0485">
            <w:pPr>
              <w:spacing w:line="240" w:lineRule="exact"/>
              <w:jc w:val="center"/>
              <w:rPr>
                <w:rFonts w:ascii="Arial" w:hAnsi="Arial" w:eastAsia="宋体" w:cs="Arial"/>
                <w:spacing w:val="10"/>
                <w:kern w:val="0"/>
                <w:sz w:val="21"/>
                <w:szCs w:val="21"/>
              </w:rPr>
            </w:pPr>
          </w:p>
        </w:tc>
        <w:tc>
          <w:tcPr>
            <w:tcW w:w="566" w:type="pct"/>
            <w:vMerge w:val="restart"/>
            <w:vAlign w:val="center"/>
          </w:tcPr>
          <w:p w14:paraId="5EB93A48">
            <w:pPr>
              <w:spacing w:line="240" w:lineRule="exact"/>
              <w:jc w:val="center"/>
              <w:rPr>
                <w:rFonts w:ascii="Arial" w:hAnsi="Arial" w:eastAsia="宋体" w:cs="Arial"/>
                <w:sz w:val="21"/>
                <w:szCs w:val="21"/>
              </w:rPr>
            </w:pPr>
            <w:r>
              <w:rPr>
                <w:rFonts w:hint="eastAsia" w:ascii="Arial" w:hAnsi="Arial" w:eastAsia="宋体" w:cs="Arial"/>
                <w:sz w:val="21"/>
                <w:szCs w:val="21"/>
              </w:rPr>
              <w:t>纯水站</w:t>
            </w:r>
            <w:r>
              <w:rPr>
                <w:rFonts w:ascii="Arial" w:hAnsi="Arial" w:eastAsia="宋体" w:cs="Arial"/>
                <w:sz w:val="21"/>
                <w:szCs w:val="21"/>
              </w:rPr>
              <w:t>浓水</w:t>
            </w:r>
          </w:p>
        </w:tc>
        <w:tc>
          <w:tcPr>
            <w:tcW w:w="776" w:type="pct"/>
            <w:vMerge w:val="restart"/>
            <w:vAlign w:val="center"/>
          </w:tcPr>
          <w:p w14:paraId="02FDBF71">
            <w:pPr>
              <w:spacing w:line="240" w:lineRule="exact"/>
              <w:jc w:val="center"/>
              <w:rPr>
                <w:rFonts w:ascii="Arial" w:hAnsi="Arial" w:eastAsia="宋体" w:cs="Arial"/>
                <w:kern w:val="0"/>
                <w:sz w:val="21"/>
              </w:rPr>
            </w:pPr>
            <w:r>
              <w:rPr>
                <w:rFonts w:hint="eastAsia" w:ascii="Arial" w:hAnsi="Arial" w:eastAsia="宋体" w:cs="Arial"/>
                <w:kern w:val="0"/>
                <w:sz w:val="21"/>
              </w:rPr>
              <w:t>无</w:t>
            </w:r>
          </w:p>
        </w:tc>
        <w:tc>
          <w:tcPr>
            <w:tcW w:w="526" w:type="pct"/>
            <w:vAlign w:val="center"/>
          </w:tcPr>
          <w:p w14:paraId="5BA5F903">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684" w:type="pct"/>
            <w:vAlign w:val="center"/>
          </w:tcPr>
          <w:p w14:paraId="094ED351">
            <w:pPr>
              <w:adjustRightInd w:val="0"/>
              <w:snapToGrid w:val="0"/>
              <w:jc w:val="center"/>
              <w:rPr>
                <w:rFonts w:ascii="Arial" w:hAnsi="Arial" w:eastAsia="宋体" w:cs="Arial"/>
                <w:sz w:val="21"/>
                <w:szCs w:val="21"/>
              </w:rPr>
            </w:pPr>
            <w:r>
              <w:rPr>
                <w:rFonts w:ascii="Arial" w:hAnsi="Arial" w:eastAsia="宋体" w:cs="Arial"/>
                <w:sz w:val="21"/>
                <w:szCs w:val="21"/>
              </w:rPr>
              <w:t>200</w:t>
            </w:r>
          </w:p>
        </w:tc>
        <w:tc>
          <w:tcPr>
            <w:tcW w:w="526" w:type="pct"/>
            <w:vAlign w:val="center"/>
          </w:tcPr>
          <w:p w14:paraId="300D9222">
            <w:pPr>
              <w:adjustRightInd w:val="0"/>
              <w:snapToGrid w:val="0"/>
              <w:jc w:val="center"/>
              <w:rPr>
                <w:rFonts w:ascii="Arial" w:hAnsi="Arial" w:eastAsia="宋体" w:cs="Arial"/>
                <w:sz w:val="21"/>
                <w:szCs w:val="21"/>
              </w:rPr>
            </w:pPr>
            <w:r>
              <w:rPr>
                <w:rFonts w:hint="eastAsia" w:ascii="Arial" w:hAnsi="Arial" w:eastAsia="宋体" w:cs="Arial"/>
                <w:sz w:val="21"/>
                <w:szCs w:val="21"/>
              </w:rPr>
              <w:t>4.2728</w:t>
            </w:r>
          </w:p>
        </w:tc>
        <w:tc>
          <w:tcPr>
            <w:tcW w:w="419" w:type="pct"/>
            <w:vMerge w:val="restart"/>
            <w:vAlign w:val="center"/>
          </w:tcPr>
          <w:p w14:paraId="13ABF5AD">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连续</w:t>
            </w:r>
          </w:p>
        </w:tc>
        <w:tc>
          <w:tcPr>
            <w:tcW w:w="421" w:type="pct"/>
            <w:vMerge w:val="restart"/>
            <w:vAlign w:val="center"/>
          </w:tcPr>
          <w:p w14:paraId="46FCA0B9">
            <w:pPr>
              <w:spacing w:line="240" w:lineRule="exact"/>
              <w:jc w:val="center"/>
              <w:rPr>
                <w:rFonts w:ascii="Arial" w:hAnsi="Arial" w:eastAsia="宋体" w:cs="Arial"/>
                <w:kern w:val="0"/>
                <w:sz w:val="21"/>
              </w:rPr>
            </w:pPr>
            <w:r>
              <w:rPr>
                <w:rFonts w:ascii="Arial" w:hAnsi="Arial" w:eastAsia="宋体" w:cs="Arial"/>
                <w:kern w:val="0"/>
                <w:sz w:val="21"/>
              </w:rPr>
              <w:t>总排口</w:t>
            </w:r>
          </w:p>
        </w:tc>
        <w:tc>
          <w:tcPr>
            <w:tcW w:w="911" w:type="pct"/>
            <w:vMerge w:val="restart"/>
            <w:vAlign w:val="center"/>
          </w:tcPr>
          <w:p w14:paraId="64AEBFDB">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《无机化学工业污染物排放标准》（GB31573-2015）</w:t>
            </w:r>
          </w:p>
        </w:tc>
      </w:tr>
      <w:tr w14:paraId="672BE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582BB899">
            <w:pPr>
              <w:spacing w:line="240" w:lineRule="exact"/>
              <w:jc w:val="center"/>
              <w:rPr>
                <w:rFonts w:ascii="Arial" w:hAnsi="Arial" w:eastAsia="宋体" w:cs="Arial"/>
                <w:spacing w:val="10"/>
                <w:kern w:val="0"/>
                <w:sz w:val="21"/>
                <w:szCs w:val="21"/>
              </w:rPr>
            </w:pPr>
          </w:p>
        </w:tc>
        <w:tc>
          <w:tcPr>
            <w:tcW w:w="566" w:type="pct"/>
            <w:vMerge w:val="continue"/>
            <w:vAlign w:val="center"/>
          </w:tcPr>
          <w:p w14:paraId="2055AD83">
            <w:pPr>
              <w:spacing w:line="240" w:lineRule="exact"/>
              <w:jc w:val="center"/>
              <w:rPr>
                <w:rFonts w:ascii="Arial" w:hAnsi="Arial" w:eastAsia="宋体" w:cs="Arial"/>
                <w:sz w:val="21"/>
                <w:szCs w:val="21"/>
              </w:rPr>
            </w:pPr>
          </w:p>
        </w:tc>
        <w:tc>
          <w:tcPr>
            <w:tcW w:w="776" w:type="pct"/>
            <w:vMerge w:val="continue"/>
            <w:vAlign w:val="center"/>
          </w:tcPr>
          <w:p w14:paraId="11EE2B99">
            <w:pPr>
              <w:spacing w:line="240" w:lineRule="exact"/>
              <w:jc w:val="center"/>
              <w:rPr>
                <w:rFonts w:ascii="Arial" w:hAnsi="Arial" w:eastAsia="宋体" w:cs="Arial"/>
                <w:kern w:val="0"/>
                <w:sz w:val="21"/>
              </w:rPr>
            </w:pPr>
          </w:p>
        </w:tc>
        <w:tc>
          <w:tcPr>
            <w:tcW w:w="526" w:type="pct"/>
            <w:vAlign w:val="center"/>
          </w:tcPr>
          <w:p w14:paraId="790B381D">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684" w:type="pct"/>
            <w:vAlign w:val="center"/>
          </w:tcPr>
          <w:p w14:paraId="3E749ED4">
            <w:pPr>
              <w:adjustRightInd w:val="0"/>
              <w:snapToGrid w:val="0"/>
              <w:jc w:val="center"/>
              <w:rPr>
                <w:rFonts w:ascii="Arial" w:hAnsi="Arial" w:eastAsia="宋体" w:cs="Arial"/>
                <w:sz w:val="21"/>
                <w:szCs w:val="21"/>
              </w:rPr>
            </w:pPr>
            <w:r>
              <w:rPr>
                <w:rFonts w:ascii="Arial" w:hAnsi="Arial" w:eastAsia="宋体" w:cs="Arial"/>
                <w:sz w:val="21"/>
                <w:szCs w:val="21"/>
              </w:rPr>
              <w:t>60</w:t>
            </w:r>
          </w:p>
        </w:tc>
        <w:tc>
          <w:tcPr>
            <w:tcW w:w="526" w:type="pct"/>
            <w:vAlign w:val="center"/>
          </w:tcPr>
          <w:p w14:paraId="1AFE133E">
            <w:pPr>
              <w:adjustRightInd w:val="0"/>
              <w:snapToGrid w:val="0"/>
              <w:jc w:val="center"/>
              <w:rPr>
                <w:rFonts w:ascii="Arial" w:hAnsi="Arial" w:eastAsia="宋体" w:cs="Arial"/>
                <w:sz w:val="21"/>
                <w:szCs w:val="21"/>
              </w:rPr>
            </w:pPr>
            <w:r>
              <w:rPr>
                <w:rFonts w:hint="eastAsia" w:ascii="Arial" w:hAnsi="Arial" w:eastAsia="宋体" w:cs="Arial"/>
                <w:sz w:val="21"/>
                <w:szCs w:val="21"/>
              </w:rPr>
              <w:t>1.2819</w:t>
            </w:r>
          </w:p>
        </w:tc>
        <w:tc>
          <w:tcPr>
            <w:tcW w:w="419" w:type="pct"/>
            <w:vMerge w:val="continue"/>
            <w:vAlign w:val="center"/>
          </w:tcPr>
          <w:p w14:paraId="2034FE67">
            <w:pPr>
              <w:spacing w:line="240" w:lineRule="exact"/>
              <w:jc w:val="center"/>
              <w:rPr>
                <w:rFonts w:ascii="Arial" w:hAnsi="Arial" w:eastAsia="宋体" w:cs="Arial"/>
                <w:spacing w:val="10"/>
                <w:kern w:val="0"/>
                <w:sz w:val="21"/>
                <w:szCs w:val="21"/>
              </w:rPr>
            </w:pPr>
          </w:p>
        </w:tc>
        <w:tc>
          <w:tcPr>
            <w:tcW w:w="421" w:type="pct"/>
            <w:vMerge w:val="continue"/>
            <w:vAlign w:val="center"/>
          </w:tcPr>
          <w:p w14:paraId="2C1076D5">
            <w:pPr>
              <w:spacing w:line="240" w:lineRule="exact"/>
              <w:jc w:val="center"/>
              <w:rPr>
                <w:rFonts w:ascii="Arial" w:hAnsi="Arial" w:eastAsia="宋体" w:cs="Arial"/>
                <w:kern w:val="0"/>
                <w:sz w:val="21"/>
              </w:rPr>
            </w:pPr>
          </w:p>
        </w:tc>
        <w:tc>
          <w:tcPr>
            <w:tcW w:w="911" w:type="pct"/>
            <w:vMerge w:val="continue"/>
            <w:vAlign w:val="center"/>
          </w:tcPr>
          <w:p w14:paraId="0EAB92D0">
            <w:pPr>
              <w:spacing w:line="240" w:lineRule="exact"/>
              <w:jc w:val="center"/>
              <w:rPr>
                <w:rFonts w:ascii="Arial" w:hAnsi="Arial" w:eastAsia="宋体" w:cs="Arial"/>
                <w:spacing w:val="10"/>
                <w:kern w:val="0"/>
                <w:sz w:val="21"/>
                <w:szCs w:val="21"/>
              </w:rPr>
            </w:pPr>
          </w:p>
        </w:tc>
      </w:tr>
      <w:tr w14:paraId="7C97C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1AA375CA">
            <w:pPr>
              <w:spacing w:line="240" w:lineRule="exact"/>
              <w:jc w:val="center"/>
              <w:rPr>
                <w:rFonts w:ascii="Arial" w:hAnsi="Arial" w:eastAsia="宋体" w:cs="Arial"/>
                <w:spacing w:val="10"/>
                <w:kern w:val="0"/>
                <w:sz w:val="21"/>
                <w:szCs w:val="21"/>
              </w:rPr>
            </w:pPr>
          </w:p>
        </w:tc>
        <w:tc>
          <w:tcPr>
            <w:tcW w:w="566" w:type="pct"/>
            <w:vMerge w:val="continue"/>
            <w:vAlign w:val="center"/>
          </w:tcPr>
          <w:p w14:paraId="0BEA8F4B">
            <w:pPr>
              <w:spacing w:line="240" w:lineRule="exact"/>
              <w:jc w:val="center"/>
              <w:rPr>
                <w:rFonts w:ascii="Arial" w:hAnsi="Arial" w:eastAsia="宋体" w:cs="Arial"/>
                <w:sz w:val="21"/>
                <w:szCs w:val="21"/>
              </w:rPr>
            </w:pPr>
          </w:p>
        </w:tc>
        <w:tc>
          <w:tcPr>
            <w:tcW w:w="776" w:type="pct"/>
            <w:vMerge w:val="continue"/>
            <w:vAlign w:val="center"/>
          </w:tcPr>
          <w:p w14:paraId="4087D99B">
            <w:pPr>
              <w:spacing w:line="240" w:lineRule="exact"/>
              <w:jc w:val="center"/>
              <w:rPr>
                <w:rFonts w:ascii="Arial" w:hAnsi="Arial" w:eastAsia="宋体" w:cs="Arial"/>
                <w:kern w:val="0"/>
                <w:sz w:val="21"/>
              </w:rPr>
            </w:pPr>
          </w:p>
        </w:tc>
        <w:tc>
          <w:tcPr>
            <w:tcW w:w="526" w:type="pct"/>
            <w:vAlign w:val="center"/>
          </w:tcPr>
          <w:p w14:paraId="36B3F357">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684" w:type="pct"/>
            <w:vAlign w:val="center"/>
          </w:tcPr>
          <w:p w14:paraId="308B16E4">
            <w:pPr>
              <w:adjustRightInd w:val="0"/>
              <w:snapToGrid w:val="0"/>
              <w:jc w:val="center"/>
              <w:rPr>
                <w:rFonts w:ascii="Arial" w:hAnsi="Arial" w:eastAsia="宋体" w:cs="Arial"/>
                <w:sz w:val="21"/>
                <w:szCs w:val="21"/>
              </w:rPr>
            </w:pPr>
            <w:r>
              <w:rPr>
                <w:rFonts w:ascii="Arial" w:hAnsi="Arial" w:eastAsia="宋体" w:cs="Arial"/>
                <w:sz w:val="21"/>
                <w:szCs w:val="21"/>
              </w:rPr>
              <w:t>260</w:t>
            </w:r>
          </w:p>
        </w:tc>
        <w:tc>
          <w:tcPr>
            <w:tcW w:w="526" w:type="pct"/>
            <w:vAlign w:val="center"/>
          </w:tcPr>
          <w:p w14:paraId="62F9EAD7">
            <w:pPr>
              <w:adjustRightInd w:val="0"/>
              <w:snapToGrid w:val="0"/>
              <w:jc w:val="center"/>
              <w:rPr>
                <w:rFonts w:ascii="Arial" w:hAnsi="Arial" w:cs="Arial"/>
                <w:sz w:val="21"/>
                <w:szCs w:val="21"/>
              </w:rPr>
            </w:pPr>
            <w:r>
              <w:rPr>
                <w:rFonts w:hint="eastAsia" w:ascii="Arial" w:hAnsi="Arial" w:cs="Arial"/>
                <w:sz w:val="21"/>
                <w:szCs w:val="21"/>
              </w:rPr>
              <w:t>5.5547</w:t>
            </w:r>
          </w:p>
        </w:tc>
        <w:tc>
          <w:tcPr>
            <w:tcW w:w="419" w:type="pct"/>
            <w:vMerge w:val="continue"/>
            <w:vAlign w:val="center"/>
          </w:tcPr>
          <w:p w14:paraId="28B314EC">
            <w:pPr>
              <w:spacing w:line="240" w:lineRule="exact"/>
              <w:jc w:val="center"/>
              <w:rPr>
                <w:rFonts w:ascii="Arial" w:hAnsi="Arial" w:eastAsia="宋体" w:cs="Arial"/>
                <w:spacing w:val="10"/>
                <w:kern w:val="0"/>
                <w:sz w:val="21"/>
                <w:szCs w:val="21"/>
              </w:rPr>
            </w:pPr>
          </w:p>
        </w:tc>
        <w:tc>
          <w:tcPr>
            <w:tcW w:w="421" w:type="pct"/>
            <w:vMerge w:val="continue"/>
            <w:vAlign w:val="center"/>
          </w:tcPr>
          <w:p w14:paraId="79365AE7">
            <w:pPr>
              <w:spacing w:line="240" w:lineRule="exact"/>
              <w:jc w:val="center"/>
              <w:rPr>
                <w:rFonts w:ascii="Arial" w:hAnsi="Arial" w:eastAsia="宋体" w:cs="Arial"/>
                <w:kern w:val="0"/>
                <w:sz w:val="21"/>
              </w:rPr>
            </w:pPr>
          </w:p>
        </w:tc>
        <w:tc>
          <w:tcPr>
            <w:tcW w:w="911" w:type="pct"/>
            <w:vMerge w:val="continue"/>
            <w:vAlign w:val="center"/>
          </w:tcPr>
          <w:p w14:paraId="354A4076">
            <w:pPr>
              <w:spacing w:line="240" w:lineRule="exact"/>
              <w:jc w:val="center"/>
              <w:rPr>
                <w:rFonts w:ascii="Arial" w:hAnsi="Arial" w:eastAsia="宋体" w:cs="Arial"/>
                <w:spacing w:val="10"/>
                <w:kern w:val="0"/>
                <w:sz w:val="21"/>
                <w:szCs w:val="21"/>
              </w:rPr>
            </w:pPr>
          </w:p>
        </w:tc>
      </w:tr>
      <w:tr w14:paraId="4FF39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restart"/>
            <w:vAlign w:val="center"/>
          </w:tcPr>
          <w:p w14:paraId="64FEA4CE">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固体废物</w:t>
            </w:r>
          </w:p>
        </w:tc>
        <w:tc>
          <w:tcPr>
            <w:tcW w:w="566" w:type="pct"/>
            <w:vAlign w:val="center"/>
          </w:tcPr>
          <w:p w14:paraId="18055DC3">
            <w:pPr>
              <w:spacing w:line="0" w:lineRule="atLeast"/>
              <w:jc w:val="center"/>
              <w:rPr>
                <w:rFonts w:ascii="Arial" w:hAnsi="Arial" w:eastAsia="宋体" w:cs="Arial"/>
                <w:sz w:val="21"/>
                <w:szCs w:val="21"/>
              </w:rPr>
            </w:pPr>
            <w:r>
              <w:rPr>
                <w:rFonts w:ascii="Arial" w:hAnsi="Arial" w:eastAsia="宋体" w:cs="Arial"/>
                <w:kern w:val="0"/>
                <w:sz w:val="21"/>
                <w:szCs w:val="21"/>
              </w:rPr>
              <w:t>废润滑油</w:t>
            </w:r>
          </w:p>
        </w:tc>
        <w:tc>
          <w:tcPr>
            <w:tcW w:w="776" w:type="pct"/>
            <w:vAlign w:val="center"/>
          </w:tcPr>
          <w:p w14:paraId="20EABD09">
            <w:pPr>
              <w:spacing w:line="0" w:lineRule="atLeast"/>
              <w:jc w:val="center"/>
              <w:rPr>
                <w:rFonts w:ascii="Arial" w:hAnsi="Arial" w:eastAsia="宋体" w:cs="Arial"/>
                <w:sz w:val="21"/>
                <w:szCs w:val="21"/>
              </w:rPr>
            </w:pPr>
            <w:r>
              <w:rPr>
                <w:rFonts w:ascii="Arial" w:hAnsi="Arial" w:eastAsia="宋体" w:cs="Arial"/>
                <w:sz w:val="21"/>
                <w:szCs w:val="21"/>
              </w:rPr>
              <w:t>委托处理</w:t>
            </w:r>
          </w:p>
        </w:tc>
        <w:tc>
          <w:tcPr>
            <w:tcW w:w="526" w:type="pct"/>
            <w:vAlign w:val="center"/>
          </w:tcPr>
          <w:p w14:paraId="6862C8C6">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w:t>
            </w:r>
          </w:p>
        </w:tc>
        <w:tc>
          <w:tcPr>
            <w:tcW w:w="684" w:type="pct"/>
            <w:vAlign w:val="center"/>
          </w:tcPr>
          <w:p w14:paraId="30BD5136">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w:t>
            </w:r>
          </w:p>
        </w:tc>
        <w:tc>
          <w:tcPr>
            <w:tcW w:w="526" w:type="pct"/>
            <w:vAlign w:val="center"/>
          </w:tcPr>
          <w:p w14:paraId="69E15311">
            <w:pPr>
              <w:spacing w:line="0" w:lineRule="atLeast"/>
              <w:jc w:val="center"/>
              <w:rPr>
                <w:rFonts w:ascii="Arial" w:hAnsi="Arial" w:eastAsia="宋体" w:cs="Arial"/>
                <w:sz w:val="21"/>
                <w:szCs w:val="21"/>
              </w:rPr>
            </w:pPr>
            <w:r>
              <w:rPr>
                <w:rFonts w:hint="eastAsia" w:ascii="Arial" w:hAnsi="Arial" w:eastAsia="宋体" w:cs="Arial"/>
                <w:kern w:val="0"/>
                <w:sz w:val="21"/>
                <w:szCs w:val="21"/>
              </w:rPr>
              <w:t>0.5</w:t>
            </w:r>
          </w:p>
        </w:tc>
        <w:tc>
          <w:tcPr>
            <w:tcW w:w="419" w:type="pct"/>
            <w:vAlign w:val="center"/>
          </w:tcPr>
          <w:p w14:paraId="043C93D6">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w:t>
            </w:r>
          </w:p>
        </w:tc>
        <w:tc>
          <w:tcPr>
            <w:tcW w:w="421" w:type="pct"/>
            <w:vAlign w:val="center"/>
          </w:tcPr>
          <w:p w14:paraId="2300385C">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w:t>
            </w:r>
          </w:p>
        </w:tc>
        <w:tc>
          <w:tcPr>
            <w:tcW w:w="911" w:type="pct"/>
            <w:vAlign w:val="center"/>
          </w:tcPr>
          <w:p w14:paraId="5A7EDD10">
            <w:pPr>
              <w:spacing w:line="240" w:lineRule="exact"/>
              <w:jc w:val="center"/>
              <w:rPr>
                <w:rFonts w:ascii="Arial" w:hAnsi="Arial" w:eastAsia="宋体" w:cs="Arial"/>
                <w:spacing w:val="10"/>
                <w:kern w:val="0"/>
                <w:sz w:val="21"/>
                <w:szCs w:val="21"/>
              </w:rPr>
            </w:pPr>
            <w:r>
              <w:rPr>
                <w:rFonts w:ascii="Arial" w:hAnsi="Arial" w:eastAsia="宋体" w:cs="Arial"/>
                <w:spacing w:val="10"/>
                <w:kern w:val="0"/>
                <w:sz w:val="21"/>
                <w:szCs w:val="21"/>
              </w:rPr>
              <w:t>《危险废物贮存污染控制标准》（GB18597-2023）</w:t>
            </w:r>
          </w:p>
        </w:tc>
      </w:tr>
      <w:tr w14:paraId="0EF76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502C998B">
            <w:pPr>
              <w:spacing w:line="240" w:lineRule="exact"/>
              <w:jc w:val="center"/>
              <w:rPr>
                <w:rFonts w:ascii="Arial" w:hAnsi="Arial" w:eastAsia="宋体" w:cs="Arial"/>
                <w:spacing w:val="10"/>
                <w:kern w:val="0"/>
                <w:sz w:val="21"/>
                <w:szCs w:val="21"/>
              </w:rPr>
            </w:pPr>
          </w:p>
        </w:tc>
        <w:tc>
          <w:tcPr>
            <w:tcW w:w="566" w:type="pct"/>
            <w:vAlign w:val="center"/>
          </w:tcPr>
          <w:p w14:paraId="5A0B3A31">
            <w:pPr>
              <w:spacing w:line="0" w:lineRule="atLeast"/>
              <w:jc w:val="center"/>
              <w:rPr>
                <w:rFonts w:ascii="Arial" w:hAnsi="Arial" w:eastAsia="宋体" w:cs="Arial"/>
                <w:kern w:val="0"/>
                <w:sz w:val="21"/>
                <w:szCs w:val="21"/>
              </w:rPr>
            </w:pPr>
            <w:r>
              <w:rPr>
                <w:rFonts w:hint="eastAsia" w:ascii="Arial" w:hAnsi="Arial" w:eastAsia="宋体" w:cs="Arial"/>
                <w:sz w:val="21"/>
                <w:szCs w:val="21"/>
              </w:rPr>
              <w:t>过滤膜</w:t>
            </w:r>
          </w:p>
        </w:tc>
        <w:tc>
          <w:tcPr>
            <w:tcW w:w="776" w:type="pct"/>
            <w:vAlign w:val="center"/>
          </w:tcPr>
          <w:p w14:paraId="7BC45BB0">
            <w:pPr>
              <w:spacing w:line="0" w:lineRule="atLeast"/>
              <w:jc w:val="center"/>
              <w:rPr>
                <w:rFonts w:ascii="Arial" w:hAnsi="Arial" w:eastAsia="宋体" w:cs="Arial"/>
                <w:sz w:val="21"/>
                <w:szCs w:val="21"/>
              </w:rPr>
            </w:pPr>
            <w:r>
              <w:rPr>
                <w:rFonts w:ascii="Arial" w:hAnsi="Arial" w:eastAsia="宋体" w:cs="Arial"/>
                <w:sz w:val="21"/>
                <w:szCs w:val="21"/>
              </w:rPr>
              <w:t>委托处理</w:t>
            </w:r>
          </w:p>
        </w:tc>
        <w:tc>
          <w:tcPr>
            <w:tcW w:w="526" w:type="pct"/>
            <w:vAlign w:val="center"/>
          </w:tcPr>
          <w:p w14:paraId="36FE72BD">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684" w:type="pct"/>
            <w:vAlign w:val="center"/>
          </w:tcPr>
          <w:p w14:paraId="5A84839E">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526" w:type="pct"/>
            <w:vAlign w:val="center"/>
          </w:tcPr>
          <w:p w14:paraId="28BA1EC4">
            <w:pPr>
              <w:spacing w:line="0" w:lineRule="atLeast"/>
              <w:jc w:val="center"/>
              <w:rPr>
                <w:rFonts w:ascii="Arial" w:hAnsi="Arial" w:eastAsia="宋体" w:cs="Arial"/>
                <w:kern w:val="0"/>
                <w:sz w:val="21"/>
                <w:szCs w:val="21"/>
              </w:rPr>
            </w:pPr>
            <w:r>
              <w:rPr>
                <w:rFonts w:hint="eastAsia" w:ascii="Arial" w:hAnsi="Arial" w:eastAsia="宋体" w:cs="Arial"/>
                <w:kern w:val="0"/>
                <w:sz w:val="21"/>
                <w:szCs w:val="21"/>
              </w:rPr>
              <w:t>0.05</w:t>
            </w:r>
          </w:p>
        </w:tc>
        <w:tc>
          <w:tcPr>
            <w:tcW w:w="419" w:type="pct"/>
            <w:vAlign w:val="center"/>
          </w:tcPr>
          <w:p w14:paraId="073AFAEE">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421" w:type="pct"/>
            <w:vAlign w:val="center"/>
          </w:tcPr>
          <w:p w14:paraId="7CB93900">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911" w:type="pct"/>
            <w:vAlign w:val="center"/>
          </w:tcPr>
          <w:p w14:paraId="68CCAC35">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r>
      <w:tr w14:paraId="60AFD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452373B1">
            <w:pPr>
              <w:spacing w:line="240" w:lineRule="exact"/>
              <w:jc w:val="center"/>
              <w:rPr>
                <w:rFonts w:ascii="Arial" w:hAnsi="Arial" w:eastAsia="宋体" w:cs="Arial"/>
                <w:spacing w:val="10"/>
                <w:kern w:val="0"/>
                <w:sz w:val="21"/>
                <w:szCs w:val="21"/>
              </w:rPr>
            </w:pPr>
          </w:p>
        </w:tc>
        <w:tc>
          <w:tcPr>
            <w:tcW w:w="566" w:type="pct"/>
            <w:vAlign w:val="center"/>
          </w:tcPr>
          <w:p w14:paraId="7C1A372C">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废包装袋</w:t>
            </w:r>
          </w:p>
        </w:tc>
        <w:tc>
          <w:tcPr>
            <w:tcW w:w="776" w:type="pct"/>
            <w:vAlign w:val="center"/>
          </w:tcPr>
          <w:p w14:paraId="14C38614">
            <w:pPr>
              <w:spacing w:line="0" w:lineRule="atLeast"/>
              <w:jc w:val="center"/>
              <w:rPr>
                <w:rFonts w:ascii="Arial" w:hAnsi="Arial" w:eastAsia="宋体" w:cs="Arial"/>
                <w:sz w:val="21"/>
                <w:szCs w:val="21"/>
                <w:u w:val="single"/>
              </w:rPr>
            </w:pPr>
            <w:r>
              <w:rPr>
                <w:rFonts w:ascii="Arial" w:hAnsi="Arial" w:eastAsia="宋体" w:cs="Arial"/>
                <w:sz w:val="21"/>
                <w:szCs w:val="21"/>
                <w:u w:val="single"/>
              </w:rPr>
              <w:t>废包装袋生产线回用</w:t>
            </w:r>
          </w:p>
        </w:tc>
        <w:tc>
          <w:tcPr>
            <w:tcW w:w="526" w:type="pct"/>
            <w:vAlign w:val="center"/>
          </w:tcPr>
          <w:p w14:paraId="2BFB60BE">
            <w:pPr>
              <w:spacing w:line="240" w:lineRule="exact"/>
              <w:jc w:val="center"/>
              <w:rPr>
                <w:rFonts w:ascii="Arial" w:hAnsi="Arial" w:eastAsia="宋体" w:cs="Arial"/>
                <w:spacing w:val="10"/>
                <w:kern w:val="0"/>
                <w:sz w:val="21"/>
                <w:szCs w:val="21"/>
                <w:u w:val="single"/>
              </w:rPr>
            </w:pPr>
            <w:r>
              <w:rPr>
                <w:rFonts w:hint="eastAsia" w:ascii="Arial" w:hAnsi="Arial" w:eastAsia="宋体" w:cs="Arial"/>
                <w:spacing w:val="10"/>
                <w:kern w:val="0"/>
                <w:sz w:val="21"/>
                <w:szCs w:val="21"/>
                <w:u w:val="single"/>
              </w:rPr>
              <w:t>/</w:t>
            </w:r>
          </w:p>
        </w:tc>
        <w:tc>
          <w:tcPr>
            <w:tcW w:w="684" w:type="pct"/>
            <w:vAlign w:val="center"/>
          </w:tcPr>
          <w:p w14:paraId="65BB2AB1">
            <w:pPr>
              <w:spacing w:line="240" w:lineRule="exact"/>
              <w:jc w:val="center"/>
              <w:rPr>
                <w:rFonts w:ascii="Arial" w:hAnsi="Arial" w:eastAsia="宋体" w:cs="Arial"/>
                <w:spacing w:val="10"/>
                <w:kern w:val="0"/>
                <w:sz w:val="21"/>
                <w:szCs w:val="21"/>
                <w:u w:val="single"/>
              </w:rPr>
            </w:pPr>
            <w:r>
              <w:rPr>
                <w:rFonts w:hint="eastAsia" w:ascii="Arial" w:hAnsi="Arial" w:eastAsia="宋体" w:cs="Arial"/>
                <w:spacing w:val="10"/>
                <w:kern w:val="0"/>
                <w:sz w:val="21"/>
                <w:szCs w:val="21"/>
                <w:u w:val="single"/>
              </w:rPr>
              <w:t>/</w:t>
            </w:r>
          </w:p>
        </w:tc>
        <w:tc>
          <w:tcPr>
            <w:tcW w:w="526" w:type="pct"/>
            <w:vAlign w:val="center"/>
          </w:tcPr>
          <w:p w14:paraId="5861C80D">
            <w:pPr>
              <w:spacing w:line="0" w:lineRule="atLeast"/>
              <w:jc w:val="center"/>
              <w:rPr>
                <w:rFonts w:ascii="Arial" w:hAnsi="Arial" w:eastAsia="宋体" w:cs="Arial"/>
                <w:kern w:val="0"/>
                <w:sz w:val="21"/>
                <w:szCs w:val="21"/>
                <w:u w:val="single"/>
              </w:rPr>
            </w:pPr>
            <w:r>
              <w:rPr>
                <w:rFonts w:hint="eastAsia" w:ascii="Arial" w:hAnsi="Arial" w:eastAsia="宋体" w:cs="Arial"/>
                <w:kern w:val="0"/>
                <w:sz w:val="21"/>
                <w:szCs w:val="21"/>
                <w:u w:val="single"/>
              </w:rPr>
              <w:t>29.57</w:t>
            </w:r>
          </w:p>
        </w:tc>
        <w:tc>
          <w:tcPr>
            <w:tcW w:w="419" w:type="pct"/>
            <w:vAlign w:val="center"/>
          </w:tcPr>
          <w:p w14:paraId="3A448F50">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421" w:type="pct"/>
            <w:vAlign w:val="center"/>
          </w:tcPr>
          <w:p w14:paraId="733ABBD0">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911" w:type="pct"/>
            <w:vAlign w:val="center"/>
          </w:tcPr>
          <w:p w14:paraId="2F440CE8">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r>
      <w:tr w14:paraId="4F99E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 w:type="pct"/>
            <w:vMerge w:val="continue"/>
            <w:vAlign w:val="center"/>
          </w:tcPr>
          <w:p w14:paraId="556F7EBB">
            <w:pPr>
              <w:spacing w:line="240" w:lineRule="exact"/>
              <w:jc w:val="center"/>
              <w:rPr>
                <w:rFonts w:ascii="Arial" w:hAnsi="Arial" w:eastAsia="宋体" w:cs="Arial"/>
                <w:spacing w:val="10"/>
                <w:kern w:val="0"/>
                <w:sz w:val="21"/>
                <w:szCs w:val="21"/>
              </w:rPr>
            </w:pPr>
          </w:p>
        </w:tc>
        <w:tc>
          <w:tcPr>
            <w:tcW w:w="566" w:type="pct"/>
            <w:vAlign w:val="center"/>
          </w:tcPr>
          <w:p w14:paraId="315DBFB3">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沉降粉尘</w:t>
            </w:r>
          </w:p>
        </w:tc>
        <w:tc>
          <w:tcPr>
            <w:tcW w:w="776" w:type="pct"/>
            <w:vAlign w:val="center"/>
          </w:tcPr>
          <w:p w14:paraId="749001DA">
            <w:pPr>
              <w:spacing w:line="0" w:lineRule="atLeast"/>
              <w:jc w:val="center"/>
              <w:rPr>
                <w:rFonts w:ascii="Arial" w:hAnsi="Arial" w:eastAsia="宋体" w:cs="Arial"/>
                <w:sz w:val="21"/>
                <w:szCs w:val="21"/>
                <w:u w:val="single"/>
              </w:rPr>
            </w:pPr>
            <w:r>
              <w:rPr>
                <w:rFonts w:ascii="Arial" w:hAnsi="Arial" w:eastAsia="宋体" w:cs="Arial"/>
                <w:sz w:val="21"/>
                <w:szCs w:val="21"/>
                <w:u w:val="single"/>
              </w:rPr>
              <w:t>返回车间回用</w:t>
            </w:r>
          </w:p>
        </w:tc>
        <w:tc>
          <w:tcPr>
            <w:tcW w:w="526" w:type="pct"/>
            <w:vAlign w:val="center"/>
          </w:tcPr>
          <w:p w14:paraId="53A40181">
            <w:pPr>
              <w:spacing w:line="240" w:lineRule="exact"/>
              <w:jc w:val="center"/>
              <w:rPr>
                <w:rFonts w:ascii="Arial" w:hAnsi="Arial" w:eastAsia="宋体" w:cs="Arial"/>
                <w:spacing w:val="10"/>
                <w:kern w:val="0"/>
                <w:sz w:val="21"/>
                <w:szCs w:val="21"/>
                <w:u w:val="single"/>
              </w:rPr>
            </w:pPr>
            <w:r>
              <w:rPr>
                <w:rFonts w:hint="eastAsia" w:ascii="Arial" w:hAnsi="Arial" w:eastAsia="宋体" w:cs="Arial"/>
                <w:spacing w:val="10"/>
                <w:kern w:val="0"/>
                <w:sz w:val="21"/>
                <w:szCs w:val="21"/>
                <w:u w:val="single"/>
              </w:rPr>
              <w:t>/</w:t>
            </w:r>
          </w:p>
        </w:tc>
        <w:tc>
          <w:tcPr>
            <w:tcW w:w="684" w:type="pct"/>
            <w:vAlign w:val="center"/>
          </w:tcPr>
          <w:p w14:paraId="55DA8EB3">
            <w:pPr>
              <w:spacing w:line="240" w:lineRule="exact"/>
              <w:jc w:val="center"/>
              <w:rPr>
                <w:rFonts w:ascii="Arial" w:hAnsi="Arial" w:eastAsia="宋体" w:cs="Arial"/>
                <w:spacing w:val="10"/>
                <w:kern w:val="0"/>
                <w:sz w:val="21"/>
                <w:szCs w:val="21"/>
                <w:u w:val="single"/>
              </w:rPr>
            </w:pPr>
            <w:r>
              <w:rPr>
                <w:rFonts w:hint="eastAsia" w:ascii="Arial" w:hAnsi="Arial" w:eastAsia="宋体" w:cs="Arial"/>
                <w:spacing w:val="10"/>
                <w:kern w:val="0"/>
                <w:sz w:val="21"/>
                <w:szCs w:val="21"/>
                <w:u w:val="single"/>
              </w:rPr>
              <w:t>/</w:t>
            </w:r>
          </w:p>
        </w:tc>
        <w:tc>
          <w:tcPr>
            <w:tcW w:w="526" w:type="pct"/>
            <w:vAlign w:val="center"/>
          </w:tcPr>
          <w:p w14:paraId="3CA144E4">
            <w:pPr>
              <w:spacing w:line="0" w:lineRule="atLeast"/>
              <w:jc w:val="center"/>
              <w:rPr>
                <w:rFonts w:ascii="Arial" w:hAnsi="Arial" w:eastAsia="宋体" w:cs="Arial"/>
                <w:kern w:val="0"/>
                <w:sz w:val="21"/>
                <w:szCs w:val="21"/>
                <w:u w:val="single"/>
              </w:rPr>
            </w:pPr>
            <w:r>
              <w:rPr>
                <w:rFonts w:hint="eastAsia" w:ascii="Arial" w:hAnsi="Arial" w:eastAsia="宋体" w:cs="Arial"/>
                <w:kern w:val="0"/>
                <w:sz w:val="21"/>
                <w:szCs w:val="21"/>
                <w:u w:val="single"/>
              </w:rPr>
              <w:t>0.12</w:t>
            </w:r>
          </w:p>
        </w:tc>
        <w:tc>
          <w:tcPr>
            <w:tcW w:w="419" w:type="pct"/>
            <w:vAlign w:val="center"/>
          </w:tcPr>
          <w:p w14:paraId="11DCACD5">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421" w:type="pct"/>
            <w:vAlign w:val="center"/>
          </w:tcPr>
          <w:p w14:paraId="59DF1E3A">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c>
          <w:tcPr>
            <w:tcW w:w="911" w:type="pct"/>
            <w:vAlign w:val="center"/>
          </w:tcPr>
          <w:p w14:paraId="5F976F69">
            <w:pPr>
              <w:spacing w:line="240" w:lineRule="exact"/>
              <w:jc w:val="center"/>
              <w:rPr>
                <w:rFonts w:ascii="Arial" w:hAnsi="Arial" w:eastAsia="宋体" w:cs="Arial"/>
                <w:spacing w:val="10"/>
                <w:kern w:val="0"/>
                <w:sz w:val="21"/>
                <w:szCs w:val="21"/>
              </w:rPr>
            </w:pPr>
            <w:r>
              <w:rPr>
                <w:rFonts w:hint="eastAsia" w:ascii="Arial" w:hAnsi="Arial" w:eastAsia="宋体" w:cs="Arial"/>
                <w:spacing w:val="10"/>
                <w:kern w:val="0"/>
                <w:sz w:val="21"/>
                <w:szCs w:val="21"/>
              </w:rPr>
              <w:t>/</w:t>
            </w:r>
          </w:p>
        </w:tc>
      </w:tr>
    </w:tbl>
    <w:p w14:paraId="43E577C1">
      <w:pPr>
        <w:spacing w:line="500" w:lineRule="exact"/>
        <w:rPr>
          <w:rFonts w:ascii="Arial" w:hAnsi="Arial" w:eastAsia="宋体" w:cs="Arial"/>
          <w:sz w:val="24"/>
          <w:highlight w:val="yellow"/>
        </w:rPr>
        <w:sectPr>
          <w:pgSz w:w="16840" w:h="11907" w:orient="landscape"/>
          <w:pgMar w:top="1157" w:right="1678" w:bottom="1406" w:left="1899" w:header="1174" w:footer="1026" w:gutter="567"/>
          <w:cols w:space="720" w:num="1"/>
          <w:docGrid w:type="linesAndChars" w:linePitch="428" w:charSpace="-3161"/>
        </w:sectPr>
      </w:pPr>
    </w:p>
    <w:p w14:paraId="3E6D3419">
      <w:pPr>
        <w:pStyle w:val="6"/>
        <w:numPr>
          <w:ilvl w:val="0"/>
          <w:numId w:val="50"/>
        </w:numPr>
        <w:tabs>
          <w:tab w:val="clear" w:pos="1789"/>
        </w:tabs>
        <w:spacing w:line="400" w:lineRule="exact"/>
        <w:ind w:left="0" w:firstLine="0"/>
        <w:rPr>
          <w:rFonts w:ascii="Arial" w:hAnsi="Arial" w:eastAsia="宋体" w:cs="Arial"/>
        </w:rPr>
      </w:pPr>
      <w:bookmarkStart w:id="543" w:name="_Toc87124314"/>
      <w:bookmarkStart w:id="544" w:name="_Toc58596513"/>
      <w:bookmarkStart w:id="545" w:name="_Toc67921929"/>
      <w:bookmarkStart w:id="546" w:name="_Toc57715673"/>
      <w:bookmarkStart w:id="547" w:name="_Toc88674836"/>
      <w:bookmarkStart w:id="548" w:name="_Toc104677361"/>
      <w:r>
        <w:rPr>
          <w:rFonts w:ascii="Arial" w:hAnsi="Arial" w:eastAsia="宋体" w:cs="Arial"/>
        </w:rPr>
        <w:t>建设单位环评信息公开</w:t>
      </w:r>
      <w:bookmarkEnd w:id="543"/>
      <w:bookmarkEnd w:id="544"/>
      <w:bookmarkEnd w:id="545"/>
      <w:bookmarkEnd w:id="546"/>
      <w:bookmarkEnd w:id="547"/>
      <w:bookmarkEnd w:id="548"/>
    </w:p>
    <w:p w14:paraId="7E746889">
      <w:pPr>
        <w:pStyle w:val="5"/>
        <w:spacing w:line="500" w:lineRule="exact"/>
        <w:ind w:firstLine="490" w:firstLineChars="200"/>
      </w:pPr>
      <w:r>
        <w:t>根据《关于印发&lt;建设项目环境影响评价信息公开机制方案&gt;的通知》，建设单位须向社会公开以下信息：</w:t>
      </w:r>
    </w:p>
    <w:p w14:paraId="52DB5E95">
      <w:pPr>
        <w:pStyle w:val="5"/>
        <w:spacing w:line="500" w:lineRule="exact"/>
        <w:ind w:firstLine="490" w:firstLineChars="200"/>
      </w:pPr>
      <w:r>
        <w:t>1、公开环境影响报告书编制信息。根据建设项目环评公众参与相关规定，建设单位在建设项目环境影响报告书编制过程中，应当向社会公开建设项目的工程基本情况、拟定选址选线、周边主要保护目标的位置和距离、主要环境影响预测情况、拟采取的主要环境保护措施、公众参与的途经方式等。</w:t>
      </w:r>
    </w:p>
    <w:p w14:paraId="44C85C0F">
      <w:pPr>
        <w:pStyle w:val="5"/>
        <w:spacing w:line="500" w:lineRule="exact"/>
        <w:ind w:firstLine="490" w:firstLineChars="200"/>
      </w:pPr>
      <w:r>
        <w:t>2、公开环境影响报告书全本。根据《大气污染防治法》，建设单位在建设项目环境影响报告书编制完成后，向生态环境部门报批前，应当向社会公开环境影响报告书全本，其中对于编制环境影响报告书的建设项目还应一并公开公众参与情况说明。报批过程中，如对环境影响报告书进一步修改，应及时公开最后版本。</w:t>
      </w:r>
    </w:p>
    <w:p w14:paraId="558094CC">
      <w:pPr>
        <w:pStyle w:val="5"/>
        <w:spacing w:line="500" w:lineRule="exact"/>
        <w:ind w:firstLine="490" w:firstLineChars="200"/>
      </w:pPr>
      <w:r>
        <w:t>3、公开建设项目开工前的信息。建设项目开工建设前，建设单位应当向社会公开建设项目开工日期、设计单位、施工单位和环境监理单位、工程基本情况、实际选址、拟采取的环境保护措施清单和实施计划、由地方政府或相关部门负责配套的环境保护措施清单和实施计划等，并确保上述信息在整个施工期内均处于公开状态。</w:t>
      </w:r>
    </w:p>
    <w:p w14:paraId="40D93EC9">
      <w:pPr>
        <w:pStyle w:val="5"/>
        <w:spacing w:line="500" w:lineRule="exact"/>
        <w:ind w:firstLine="490" w:firstLineChars="200"/>
      </w:pPr>
      <w:r>
        <w:t>4、公开建设项目施工过程中的信息。项目建设过程中，建设单位应当在施工中期向社会公开建设项目环境保护措施进展情况、施工期的环境保护措施落实情况、施工期环境监理情况、施工期环境监测结果等。</w:t>
      </w:r>
    </w:p>
    <w:p w14:paraId="694A7557">
      <w:pPr>
        <w:pStyle w:val="5"/>
        <w:spacing w:line="500" w:lineRule="exact"/>
        <w:ind w:firstLine="490" w:firstLineChars="200"/>
      </w:pPr>
      <w:r>
        <w:t>5、公开建设项目建成后的信息。建设项目建成后，建设单位应当向社会公开建设项目环评提出的各项环境保护设施和措施执行情况、竣工环境保护验收监测和调查结果。对主要因排放污染物对环境产生影响的建设项目，投入生产或使用后，应当定期向社会特别是周边社区公开主要污染物排放情况。</w:t>
      </w:r>
    </w:p>
    <w:p w14:paraId="68848004">
      <w:pPr>
        <w:pStyle w:val="4"/>
        <w:numPr>
          <w:ilvl w:val="0"/>
          <w:numId w:val="45"/>
        </w:numPr>
        <w:spacing w:before="214" w:beforeLines="50" w:after="214" w:afterLines="50" w:line="500" w:lineRule="exact"/>
        <w:rPr>
          <w:rFonts w:ascii="Arial" w:eastAsia="宋体" w:cs="Arial"/>
          <w:b/>
        </w:rPr>
      </w:pPr>
      <w:bookmarkStart w:id="549" w:name="_Toc185950244"/>
      <w:bookmarkStart w:id="550" w:name="_Toc104677362"/>
      <w:bookmarkStart w:id="551" w:name="_Toc1742977"/>
      <w:r>
        <w:rPr>
          <w:rFonts w:ascii="Arial" w:eastAsia="宋体" w:cs="Arial"/>
          <w:b/>
        </w:rPr>
        <w:t>环境保护竣工验收监测</w:t>
      </w:r>
      <w:bookmarkEnd w:id="549"/>
      <w:bookmarkEnd w:id="550"/>
      <w:bookmarkEnd w:id="551"/>
    </w:p>
    <w:p w14:paraId="3E300B7F">
      <w:pPr>
        <w:pStyle w:val="5"/>
        <w:spacing w:line="500" w:lineRule="exact"/>
        <w:ind w:firstLine="490" w:firstLineChars="200"/>
      </w:pPr>
      <w:r>
        <w:t>《建设项目环境保护管理条例（2017年修正）》、《关于发布&lt;建设项目竣工环境保护验收暂行办法&gt;的公告》（国环规环评〔2017〕4号）等规范或文件已明确：建设单位是建设项目竣工环境保护验收的责任主体，应当按照相关办法规定的程序和标准，组织对环境保护设施进行验收。</w:t>
      </w:r>
    </w:p>
    <w:p w14:paraId="5435CC25">
      <w:pPr>
        <w:pStyle w:val="5"/>
        <w:spacing w:line="500" w:lineRule="exact"/>
        <w:ind w:firstLine="490" w:firstLineChars="200"/>
      </w:pPr>
      <w:r>
        <w:t>按相关文件要求，建设单位可自行编制验收报告，若不具备编制能力，可委托有能力技术机构编制，建设单位对验收报告结论负责。</w:t>
      </w:r>
    </w:p>
    <w:p w14:paraId="1ABA7D74">
      <w:pPr>
        <w:pStyle w:val="5"/>
        <w:spacing w:line="500" w:lineRule="exact"/>
        <w:ind w:firstLine="490" w:firstLineChars="200"/>
        <w:sectPr>
          <w:pgSz w:w="11907" w:h="16840"/>
          <w:pgMar w:top="1678" w:right="1408" w:bottom="1901" w:left="1155" w:header="1174" w:footer="1029" w:gutter="567"/>
          <w:cols w:space="720" w:num="1"/>
          <w:docGrid w:type="linesAndChars" w:linePitch="428" w:charSpace="-3161"/>
        </w:sectPr>
      </w:pPr>
      <w:r>
        <w:t>项目竣工后，建设单位应按照相关规定开展项目竣工环境保护验收工作。项目投入试运行后，“三同时”验收项目可参考表7-</w:t>
      </w:r>
      <w:r>
        <w:rPr>
          <w:rFonts w:hint="eastAsia"/>
        </w:rPr>
        <w:t>6</w:t>
      </w:r>
      <w:r>
        <w:t>。</w:t>
      </w:r>
    </w:p>
    <w:p w14:paraId="3749C58F">
      <w:pPr>
        <w:pStyle w:val="5"/>
        <w:numPr>
          <w:ilvl w:val="0"/>
          <w:numId w:val="47"/>
        </w:numPr>
        <w:spacing w:line="500" w:lineRule="exact"/>
        <w:ind w:left="0" w:firstLine="0"/>
        <w:jc w:val="center"/>
        <w:outlineLvl w:val="4"/>
        <w:rPr>
          <w:b/>
        </w:rPr>
      </w:pPr>
      <w:r>
        <w:rPr>
          <w:b/>
        </w:rPr>
        <w:t>“三同时”验收项目一览表</w:t>
      </w:r>
    </w:p>
    <w:tbl>
      <w:tblPr>
        <w:tblStyle w:val="8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59"/>
        <w:gridCol w:w="2662"/>
        <w:gridCol w:w="2724"/>
        <w:gridCol w:w="2271"/>
        <w:gridCol w:w="2410"/>
        <w:gridCol w:w="1538"/>
        <w:gridCol w:w="2224"/>
      </w:tblGrid>
      <w:tr w14:paraId="43F737A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Align w:val="center"/>
          </w:tcPr>
          <w:p w14:paraId="242CD81E">
            <w:pPr>
              <w:pStyle w:val="46"/>
              <w:adjustRightInd w:val="0"/>
              <w:snapToGrid w:val="0"/>
              <w:spacing w:line="240" w:lineRule="exact"/>
              <w:jc w:val="center"/>
              <w:rPr>
                <w:rFonts w:ascii="Arial" w:hAnsi="Arial" w:cs="Arial"/>
                <w:szCs w:val="21"/>
              </w:rPr>
            </w:pPr>
            <w:r>
              <w:rPr>
                <w:rFonts w:ascii="Arial" w:hAnsi="Arial" w:cs="Arial"/>
                <w:szCs w:val="21"/>
              </w:rPr>
              <w:t>项目</w:t>
            </w:r>
          </w:p>
        </w:tc>
        <w:tc>
          <w:tcPr>
            <w:tcW w:w="900" w:type="pct"/>
            <w:vAlign w:val="center"/>
          </w:tcPr>
          <w:p w14:paraId="676BB037">
            <w:pPr>
              <w:pStyle w:val="46"/>
              <w:adjustRightInd w:val="0"/>
              <w:snapToGrid w:val="0"/>
              <w:spacing w:line="240" w:lineRule="exact"/>
              <w:jc w:val="center"/>
              <w:rPr>
                <w:rFonts w:ascii="Arial" w:hAnsi="Arial" w:cs="Arial"/>
                <w:szCs w:val="21"/>
              </w:rPr>
            </w:pPr>
            <w:r>
              <w:rPr>
                <w:rFonts w:ascii="Arial" w:hAnsi="Arial" w:cs="Arial"/>
                <w:szCs w:val="21"/>
              </w:rPr>
              <w:t>监测点位</w:t>
            </w:r>
          </w:p>
        </w:tc>
        <w:tc>
          <w:tcPr>
            <w:tcW w:w="921" w:type="pct"/>
            <w:vAlign w:val="center"/>
          </w:tcPr>
          <w:p w14:paraId="29542C76">
            <w:pPr>
              <w:pStyle w:val="46"/>
              <w:adjustRightInd w:val="0"/>
              <w:snapToGrid w:val="0"/>
              <w:spacing w:line="240" w:lineRule="exact"/>
              <w:jc w:val="center"/>
              <w:rPr>
                <w:rFonts w:ascii="Arial" w:hAnsi="Arial" w:cs="Arial"/>
                <w:szCs w:val="21"/>
              </w:rPr>
            </w:pPr>
            <w:r>
              <w:rPr>
                <w:rFonts w:ascii="Arial" w:hAnsi="Arial" w:cs="Arial"/>
                <w:szCs w:val="21"/>
              </w:rPr>
              <w:t>监测因子</w:t>
            </w:r>
          </w:p>
        </w:tc>
        <w:tc>
          <w:tcPr>
            <w:tcW w:w="768" w:type="pct"/>
            <w:vAlign w:val="center"/>
          </w:tcPr>
          <w:p w14:paraId="1D3A75B9">
            <w:pPr>
              <w:pStyle w:val="46"/>
              <w:adjustRightInd w:val="0"/>
              <w:snapToGrid w:val="0"/>
              <w:spacing w:line="240" w:lineRule="exact"/>
              <w:jc w:val="center"/>
              <w:rPr>
                <w:rFonts w:ascii="Arial" w:hAnsi="Arial" w:cs="Arial"/>
                <w:szCs w:val="21"/>
              </w:rPr>
            </w:pPr>
            <w:r>
              <w:rPr>
                <w:rFonts w:ascii="Arial" w:hAnsi="Arial" w:cs="Arial"/>
                <w:szCs w:val="21"/>
              </w:rPr>
              <w:t>监测频次</w:t>
            </w:r>
          </w:p>
        </w:tc>
        <w:tc>
          <w:tcPr>
            <w:tcW w:w="815" w:type="pct"/>
          </w:tcPr>
          <w:p w14:paraId="66C2FF4A">
            <w:pPr>
              <w:pStyle w:val="46"/>
              <w:adjustRightInd w:val="0"/>
              <w:snapToGrid w:val="0"/>
              <w:spacing w:line="240" w:lineRule="exact"/>
              <w:jc w:val="center"/>
              <w:rPr>
                <w:rFonts w:ascii="Arial" w:hAnsi="Arial" w:cs="Arial"/>
                <w:szCs w:val="21"/>
              </w:rPr>
            </w:pPr>
            <w:r>
              <w:rPr>
                <w:rFonts w:ascii="Arial" w:hAnsi="Arial" w:cs="Arial"/>
                <w:szCs w:val="21"/>
              </w:rPr>
              <w:t>治理措施</w:t>
            </w:r>
          </w:p>
        </w:tc>
        <w:tc>
          <w:tcPr>
            <w:tcW w:w="520" w:type="pct"/>
            <w:vAlign w:val="center"/>
          </w:tcPr>
          <w:p w14:paraId="61C8A5DA">
            <w:pPr>
              <w:pStyle w:val="46"/>
              <w:adjustRightInd w:val="0"/>
              <w:snapToGrid w:val="0"/>
              <w:spacing w:line="240" w:lineRule="exact"/>
              <w:jc w:val="center"/>
              <w:rPr>
                <w:rFonts w:ascii="Arial" w:hAnsi="Arial" w:cs="Arial"/>
                <w:szCs w:val="21"/>
              </w:rPr>
            </w:pPr>
            <w:r>
              <w:rPr>
                <w:rFonts w:ascii="Arial" w:hAnsi="Arial" w:cs="Arial"/>
                <w:szCs w:val="21"/>
              </w:rPr>
              <w:t>验收内容</w:t>
            </w:r>
          </w:p>
        </w:tc>
        <w:tc>
          <w:tcPr>
            <w:tcW w:w="752" w:type="pct"/>
            <w:vAlign w:val="center"/>
          </w:tcPr>
          <w:p w14:paraId="698F9294">
            <w:pPr>
              <w:pStyle w:val="46"/>
              <w:adjustRightInd w:val="0"/>
              <w:snapToGrid w:val="0"/>
              <w:spacing w:line="240" w:lineRule="exact"/>
              <w:jc w:val="center"/>
              <w:rPr>
                <w:rFonts w:ascii="Arial" w:hAnsi="Arial" w:cs="Arial"/>
                <w:szCs w:val="21"/>
              </w:rPr>
            </w:pPr>
            <w:r>
              <w:rPr>
                <w:rFonts w:ascii="Arial" w:hAnsi="Arial" w:cs="Arial"/>
                <w:szCs w:val="21"/>
              </w:rPr>
              <w:t>达标要求</w:t>
            </w:r>
          </w:p>
        </w:tc>
      </w:tr>
      <w:tr w14:paraId="6659DF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Merge w:val="restart"/>
            <w:vAlign w:val="center"/>
          </w:tcPr>
          <w:p w14:paraId="7E1F7748">
            <w:pPr>
              <w:pStyle w:val="46"/>
              <w:adjustRightInd w:val="0"/>
              <w:snapToGrid w:val="0"/>
              <w:spacing w:line="240" w:lineRule="exact"/>
              <w:jc w:val="center"/>
              <w:rPr>
                <w:rFonts w:ascii="Arial" w:hAnsi="Arial" w:cs="Arial"/>
                <w:szCs w:val="21"/>
              </w:rPr>
            </w:pPr>
            <w:r>
              <w:rPr>
                <w:rFonts w:ascii="Arial" w:hAnsi="Arial" w:cs="Arial"/>
                <w:szCs w:val="21"/>
              </w:rPr>
              <w:t>废气</w:t>
            </w:r>
          </w:p>
        </w:tc>
        <w:tc>
          <w:tcPr>
            <w:tcW w:w="900" w:type="pct"/>
            <w:vAlign w:val="center"/>
          </w:tcPr>
          <w:p w14:paraId="182FEF08">
            <w:pPr>
              <w:adjustRightInd w:val="0"/>
              <w:snapToGrid w:val="0"/>
              <w:jc w:val="center"/>
              <w:rPr>
                <w:rFonts w:ascii="Arial" w:hAnsi="Arial" w:eastAsia="宋体" w:cs="Arial"/>
                <w:spacing w:val="10"/>
                <w:sz w:val="21"/>
                <w:szCs w:val="21"/>
              </w:rPr>
            </w:pPr>
            <w:r>
              <w:rPr>
                <w:rFonts w:ascii="Arial" w:hAnsi="Arial" w:eastAsia="宋体" w:cs="Arial"/>
                <w:sz w:val="21"/>
                <w:szCs w:val="21"/>
              </w:rPr>
              <w:t>DA</w:t>
            </w:r>
            <w:r>
              <w:rPr>
                <w:rFonts w:hint="eastAsia" w:ascii="Arial" w:hAnsi="Arial" w:eastAsia="宋体" w:cs="Arial"/>
                <w:sz w:val="21"/>
                <w:szCs w:val="21"/>
              </w:rPr>
              <w:t>145合成</w:t>
            </w:r>
            <w:r>
              <w:rPr>
                <w:rFonts w:ascii="Arial" w:hAnsi="Arial" w:eastAsia="宋体" w:cs="Arial"/>
                <w:sz w:val="21"/>
                <w:szCs w:val="21"/>
              </w:rPr>
              <w:t>反应废气、压滤废气排气筒</w:t>
            </w:r>
          </w:p>
        </w:tc>
        <w:tc>
          <w:tcPr>
            <w:tcW w:w="921" w:type="pct"/>
            <w:vAlign w:val="center"/>
          </w:tcPr>
          <w:p w14:paraId="01F1D2B6">
            <w:pPr>
              <w:adjustRightInd w:val="0"/>
              <w:snapToGrid w:val="0"/>
              <w:jc w:val="center"/>
              <w:rPr>
                <w:rFonts w:ascii="Arial" w:hAnsi="Arial" w:eastAsia="宋体" w:cs="Arial"/>
                <w:spacing w:val="10"/>
                <w:sz w:val="21"/>
                <w:szCs w:val="21"/>
              </w:rPr>
            </w:pPr>
            <w:r>
              <w:rPr>
                <w:rFonts w:ascii="Arial" w:hAnsi="Arial" w:eastAsia="宋体" w:cs="Arial"/>
                <w:sz w:val="21"/>
                <w:szCs w:val="21"/>
              </w:rPr>
              <w:t>氨气</w:t>
            </w:r>
          </w:p>
        </w:tc>
        <w:tc>
          <w:tcPr>
            <w:tcW w:w="768" w:type="pct"/>
            <w:vAlign w:val="center"/>
          </w:tcPr>
          <w:p w14:paraId="352D4A90">
            <w:pPr>
              <w:pStyle w:val="46"/>
              <w:adjustRightInd w:val="0"/>
              <w:snapToGrid w:val="0"/>
              <w:spacing w:line="240" w:lineRule="exact"/>
              <w:jc w:val="center"/>
              <w:rPr>
                <w:rFonts w:ascii="Arial" w:hAnsi="Arial" w:cs="Arial"/>
                <w:szCs w:val="21"/>
              </w:rPr>
            </w:pPr>
            <w:r>
              <w:rPr>
                <w:rFonts w:ascii="Arial" w:hAnsi="Arial" w:cs="Arial"/>
                <w:szCs w:val="21"/>
              </w:rPr>
              <w:t>3次/天，2天</w:t>
            </w:r>
          </w:p>
        </w:tc>
        <w:tc>
          <w:tcPr>
            <w:tcW w:w="815" w:type="pct"/>
            <w:vAlign w:val="center"/>
          </w:tcPr>
          <w:p w14:paraId="259243DE">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吸收塔</w:t>
            </w:r>
            <w:r>
              <w:rPr>
                <w:rFonts w:ascii="Arial" w:hAnsi="Arial" w:eastAsia="宋体" w:cs="Arial"/>
                <w:spacing w:val="10"/>
                <w:sz w:val="21"/>
                <w:szCs w:val="21"/>
              </w:rPr>
              <w:t>+</w:t>
            </w:r>
            <w:r>
              <w:rPr>
                <w:rFonts w:hint="eastAsia" w:ascii="Arial" w:hAnsi="Arial" w:eastAsia="宋体" w:cs="Arial"/>
                <w:spacing w:val="10"/>
                <w:sz w:val="21"/>
                <w:szCs w:val="21"/>
              </w:rPr>
              <w:t>20</w:t>
            </w:r>
            <w:r>
              <w:rPr>
                <w:rFonts w:ascii="Arial" w:hAnsi="Arial" w:eastAsia="宋体" w:cs="Arial"/>
                <w:spacing w:val="10"/>
                <w:sz w:val="21"/>
                <w:szCs w:val="21"/>
              </w:rPr>
              <w:t>高排气筒</w:t>
            </w:r>
          </w:p>
        </w:tc>
        <w:tc>
          <w:tcPr>
            <w:tcW w:w="520" w:type="pct"/>
            <w:vMerge w:val="restart"/>
            <w:vAlign w:val="center"/>
          </w:tcPr>
          <w:p w14:paraId="7742660D">
            <w:pPr>
              <w:pStyle w:val="46"/>
              <w:adjustRightInd w:val="0"/>
              <w:snapToGrid w:val="0"/>
              <w:spacing w:line="240" w:lineRule="exact"/>
              <w:jc w:val="center"/>
              <w:rPr>
                <w:rFonts w:ascii="Arial" w:hAnsi="Arial" w:cs="Arial"/>
                <w:szCs w:val="21"/>
              </w:rPr>
            </w:pPr>
            <w:r>
              <w:rPr>
                <w:rFonts w:ascii="Arial" w:hAnsi="Arial" w:cs="Arial"/>
                <w:kern w:val="0"/>
                <w:szCs w:val="21"/>
              </w:rPr>
              <w:t>环保措施按“三同时”要求建设，废气达标排放</w:t>
            </w:r>
          </w:p>
        </w:tc>
        <w:tc>
          <w:tcPr>
            <w:tcW w:w="752" w:type="pct"/>
            <w:vMerge w:val="restart"/>
            <w:vAlign w:val="center"/>
          </w:tcPr>
          <w:p w14:paraId="4951E8B9">
            <w:pPr>
              <w:pStyle w:val="46"/>
              <w:adjustRightInd w:val="0"/>
              <w:snapToGrid w:val="0"/>
              <w:spacing w:line="240" w:lineRule="exact"/>
              <w:jc w:val="center"/>
              <w:rPr>
                <w:rFonts w:ascii="Arial" w:hAnsi="Arial" w:cs="Arial"/>
                <w:szCs w:val="21"/>
              </w:rPr>
            </w:pPr>
            <w:r>
              <w:rPr>
                <w:rFonts w:ascii="Arial" w:hAnsi="Arial" w:cs="Arial"/>
                <w:szCs w:val="21"/>
              </w:rPr>
              <w:t>《无机化学工业污染物排放标准》（GB31573-2015）</w:t>
            </w:r>
          </w:p>
        </w:tc>
      </w:tr>
      <w:tr w14:paraId="4ADE62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Merge w:val="continue"/>
            <w:vAlign w:val="center"/>
          </w:tcPr>
          <w:p w14:paraId="20E1A546">
            <w:pPr>
              <w:pStyle w:val="46"/>
              <w:adjustRightInd w:val="0"/>
              <w:snapToGrid w:val="0"/>
              <w:spacing w:line="240" w:lineRule="exact"/>
              <w:jc w:val="center"/>
              <w:rPr>
                <w:rFonts w:ascii="Arial" w:hAnsi="Arial" w:cs="Arial"/>
                <w:szCs w:val="21"/>
              </w:rPr>
            </w:pPr>
          </w:p>
        </w:tc>
        <w:tc>
          <w:tcPr>
            <w:tcW w:w="900" w:type="pct"/>
            <w:vAlign w:val="center"/>
          </w:tcPr>
          <w:p w14:paraId="0B8E36BD">
            <w:pPr>
              <w:adjustRightInd w:val="0"/>
              <w:snapToGrid w:val="0"/>
              <w:jc w:val="center"/>
              <w:rPr>
                <w:rFonts w:ascii="Arial" w:hAnsi="Arial" w:eastAsia="宋体" w:cs="Arial"/>
                <w:spacing w:val="10"/>
                <w:sz w:val="21"/>
                <w:szCs w:val="21"/>
              </w:rPr>
            </w:pPr>
            <w:r>
              <w:rPr>
                <w:rFonts w:ascii="Arial" w:hAnsi="Arial" w:eastAsia="宋体" w:cs="Arial"/>
                <w:sz w:val="21"/>
                <w:szCs w:val="21"/>
              </w:rPr>
              <w:t>DA</w:t>
            </w:r>
            <w:r>
              <w:rPr>
                <w:rFonts w:hint="eastAsia" w:ascii="Arial" w:hAnsi="Arial" w:eastAsia="宋体" w:cs="Arial"/>
                <w:sz w:val="21"/>
                <w:szCs w:val="21"/>
              </w:rPr>
              <w:t>146烘干粉尘、破碎粉尘、包装粉尘</w:t>
            </w:r>
            <w:r>
              <w:rPr>
                <w:rFonts w:ascii="Arial" w:hAnsi="Arial" w:eastAsia="宋体" w:cs="Arial"/>
                <w:sz w:val="21"/>
                <w:szCs w:val="21"/>
              </w:rPr>
              <w:t>排气筒</w:t>
            </w:r>
          </w:p>
        </w:tc>
        <w:tc>
          <w:tcPr>
            <w:tcW w:w="921" w:type="pct"/>
            <w:vAlign w:val="center"/>
          </w:tcPr>
          <w:p w14:paraId="69D6AF00">
            <w:pPr>
              <w:adjustRightInd w:val="0"/>
              <w:snapToGrid w:val="0"/>
              <w:jc w:val="center"/>
              <w:rPr>
                <w:rFonts w:ascii="Arial" w:hAnsi="Arial" w:eastAsia="宋体" w:cs="Arial"/>
                <w:spacing w:val="10"/>
                <w:sz w:val="21"/>
                <w:szCs w:val="21"/>
              </w:rPr>
            </w:pPr>
            <w:r>
              <w:rPr>
                <w:rFonts w:ascii="Arial" w:hAnsi="Arial" w:eastAsia="宋体" w:cs="Arial"/>
                <w:sz w:val="21"/>
                <w:szCs w:val="21"/>
              </w:rPr>
              <w:t>颗粒物、钴及其化合物</w:t>
            </w:r>
          </w:p>
        </w:tc>
        <w:tc>
          <w:tcPr>
            <w:tcW w:w="768" w:type="pct"/>
            <w:vAlign w:val="center"/>
          </w:tcPr>
          <w:p w14:paraId="6C0471A2">
            <w:pPr>
              <w:pStyle w:val="46"/>
              <w:adjustRightInd w:val="0"/>
              <w:snapToGrid w:val="0"/>
              <w:spacing w:line="240" w:lineRule="exact"/>
              <w:jc w:val="center"/>
              <w:rPr>
                <w:rFonts w:ascii="Arial" w:hAnsi="Arial" w:cs="Arial"/>
                <w:szCs w:val="21"/>
              </w:rPr>
            </w:pPr>
            <w:r>
              <w:rPr>
                <w:rFonts w:ascii="Arial" w:hAnsi="Arial" w:cs="Arial"/>
                <w:szCs w:val="21"/>
              </w:rPr>
              <w:t>3次/天，2天</w:t>
            </w:r>
          </w:p>
        </w:tc>
        <w:tc>
          <w:tcPr>
            <w:tcW w:w="815" w:type="pct"/>
            <w:vAlign w:val="center"/>
          </w:tcPr>
          <w:p w14:paraId="01883D81">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脉冲袋式除尘</w:t>
            </w:r>
            <w:r>
              <w:rPr>
                <w:rFonts w:hint="eastAsia" w:ascii="Arial" w:hAnsi="Arial" w:eastAsia="宋体" w:cs="Arial"/>
                <w:spacing w:val="10"/>
                <w:sz w:val="21"/>
                <w:szCs w:val="21"/>
              </w:rPr>
              <w:t>+吸收塔</w:t>
            </w:r>
            <w:r>
              <w:rPr>
                <w:rFonts w:ascii="Arial" w:hAnsi="Arial" w:eastAsia="宋体" w:cs="Arial"/>
                <w:spacing w:val="10"/>
                <w:sz w:val="21"/>
                <w:szCs w:val="21"/>
              </w:rPr>
              <w:t>+20高排气筒</w:t>
            </w:r>
          </w:p>
        </w:tc>
        <w:tc>
          <w:tcPr>
            <w:tcW w:w="520" w:type="pct"/>
            <w:vMerge w:val="continue"/>
            <w:vAlign w:val="center"/>
          </w:tcPr>
          <w:p w14:paraId="62AC35D5">
            <w:pPr>
              <w:pStyle w:val="46"/>
              <w:adjustRightInd w:val="0"/>
              <w:snapToGrid w:val="0"/>
              <w:spacing w:line="240" w:lineRule="exact"/>
              <w:jc w:val="center"/>
              <w:rPr>
                <w:rFonts w:ascii="Arial" w:hAnsi="Arial" w:cs="Arial"/>
                <w:kern w:val="0"/>
                <w:szCs w:val="21"/>
              </w:rPr>
            </w:pPr>
          </w:p>
        </w:tc>
        <w:tc>
          <w:tcPr>
            <w:tcW w:w="752" w:type="pct"/>
            <w:vMerge w:val="continue"/>
            <w:vAlign w:val="center"/>
          </w:tcPr>
          <w:p w14:paraId="039A2086">
            <w:pPr>
              <w:pStyle w:val="46"/>
              <w:adjustRightInd w:val="0"/>
              <w:snapToGrid w:val="0"/>
              <w:spacing w:line="240" w:lineRule="exact"/>
              <w:jc w:val="center"/>
              <w:rPr>
                <w:rFonts w:ascii="Arial" w:hAnsi="Arial" w:cs="Arial"/>
                <w:szCs w:val="21"/>
              </w:rPr>
            </w:pPr>
          </w:p>
        </w:tc>
      </w:tr>
      <w:tr w14:paraId="677CFB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Merge w:val="continue"/>
            <w:vAlign w:val="center"/>
          </w:tcPr>
          <w:p w14:paraId="5065C2AE">
            <w:pPr>
              <w:pStyle w:val="46"/>
              <w:adjustRightInd w:val="0"/>
              <w:snapToGrid w:val="0"/>
              <w:spacing w:line="240" w:lineRule="exact"/>
              <w:jc w:val="center"/>
              <w:rPr>
                <w:rFonts w:ascii="Arial" w:hAnsi="Arial" w:cs="Arial"/>
                <w:szCs w:val="21"/>
              </w:rPr>
            </w:pPr>
          </w:p>
        </w:tc>
        <w:tc>
          <w:tcPr>
            <w:tcW w:w="900" w:type="pct"/>
            <w:vAlign w:val="center"/>
          </w:tcPr>
          <w:p w14:paraId="6AEA5B22">
            <w:pPr>
              <w:adjustRightInd w:val="0"/>
              <w:snapToGrid w:val="0"/>
              <w:jc w:val="center"/>
              <w:rPr>
                <w:rFonts w:ascii="Arial" w:hAnsi="Arial" w:eastAsia="宋体" w:cs="Arial"/>
                <w:spacing w:val="10"/>
                <w:sz w:val="21"/>
                <w:szCs w:val="21"/>
              </w:rPr>
            </w:pPr>
            <w:r>
              <w:rPr>
                <w:rFonts w:ascii="Arial" w:hAnsi="Arial" w:eastAsia="宋体" w:cs="Arial"/>
                <w:sz w:val="21"/>
                <w:szCs w:val="21"/>
              </w:rPr>
              <w:t>DA</w:t>
            </w:r>
            <w:r>
              <w:rPr>
                <w:rFonts w:hint="eastAsia" w:ascii="Arial" w:hAnsi="Arial" w:eastAsia="宋体" w:cs="Arial"/>
                <w:sz w:val="21"/>
                <w:szCs w:val="21"/>
              </w:rPr>
              <w:t>067</w:t>
            </w:r>
            <w:r>
              <w:rPr>
                <w:rFonts w:ascii="Arial" w:hAnsi="Arial" w:eastAsia="宋体" w:cs="Arial"/>
                <w:sz w:val="21"/>
                <w:szCs w:val="21"/>
              </w:rPr>
              <w:t>污水处理废气排气筒</w:t>
            </w:r>
          </w:p>
        </w:tc>
        <w:tc>
          <w:tcPr>
            <w:tcW w:w="921" w:type="pct"/>
            <w:vAlign w:val="center"/>
          </w:tcPr>
          <w:p w14:paraId="3BB723F5">
            <w:pPr>
              <w:adjustRightInd w:val="0"/>
              <w:snapToGrid w:val="0"/>
              <w:jc w:val="center"/>
              <w:rPr>
                <w:rFonts w:ascii="Arial" w:hAnsi="Arial" w:eastAsia="宋体" w:cs="Arial"/>
                <w:spacing w:val="10"/>
                <w:sz w:val="21"/>
                <w:szCs w:val="21"/>
              </w:rPr>
            </w:pPr>
            <w:r>
              <w:rPr>
                <w:rFonts w:hint="eastAsia" w:ascii="Arial" w:hAnsi="Arial" w:eastAsia="宋体" w:cs="Arial"/>
                <w:sz w:val="21"/>
                <w:szCs w:val="21"/>
              </w:rPr>
              <w:t>氨气</w:t>
            </w:r>
          </w:p>
        </w:tc>
        <w:tc>
          <w:tcPr>
            <w:tcW w:w="768" w:type="pct"/>
            <w:vAlign w:val="center"/>
          </w:tcPr>
          <w:p w14:paraId="7BEB4A89">
            <w:pPr>
              <w:pStyle w:val="46"/>
              <w:adjustRightInd w:val="0"/>
              <w:snapToGrid w:val="0"/>
              <w:spacing w:line="240" w:lineRule="exact"/>
              <w:jc w:val="center"/>
              <w:rPr>
                <w:rFonts w:ascii="Arial" w:hAnsi="Arial" w:cs="Arial"/>
                <w:szCs w:val="21"/>
              </w:rPr>
            </w:pPr>
            <w:r>
              <w:rPr>
                <w:rFonts w:ascii="Arial" w:hAnsi="Arial" w:cs="Arial"/>
                <w:szCs w:val="21"/>
              </w:rPr>
              <w:t>3次/天，2天</w:t>
            </w:r>
          </w:p>
        </w:tc>
        <w:tc>
          <w:tcPr>
            <w:tcW w:w="815" w:type="pct"/>
            <w:vAlign w:val="center"/>
          </w:tcPr>
          <w:p w14:paraId="0C97767D">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吸收塔</w:t>
            </w:r>
            <w:r>
              <w:rPr>
                <w:rFonts w:ascii="Arial" w:hAnsi="Arial" w:eastAsia="宋体" w:cs="Arial"/>
                <w:spacing w:val="10"/>
                <w:sz w:val="21"/>
                <w:szCs w:val="21"/>
              </w:rPr>
              <w:t>+</w:t>
            </w:r>
            <w:r>
              <w:rPr>
                <w:rFonts w:hint="eastAsia" w:ascii="Arial" w:hAnsi="Arial" w:eastAsia="宋体" w:cs="Arial"/>
                <w:spacing w:val="10"/>
                <w:sz w:val="21"/>
                <w:szCs w:val="21"/>
              </w:rPr>
              <w:t>20</w:t>
            </w:r>
            <w:r>
              <w:rPr>
                <w:rFonts w:ascii="Arial" w:hAnsi="Arial" w:eastAsia="宋体" w:cs="Arial"/>
                <w:spacing w:val="10"/>
                <w:sz w:val="21"/>
                <w:szCs w:val="21"/>
              </w:rPr>
              <w:t>高排气筒</w:t>
            </w:r>
          </w:p>
        </w:tc>
        <w:tc>
          <w:tcPr>
            <w:tcW w:w="520" w:type="pct"/>
            <w:vMerge w:val="continue"/>
            <w:vAlign w:val="center"/>
          </w:tcPr>
          <w:p w14:paraId="29A951AF">
            <w:pPr>
              <w:pStyle w:val="46"/>
              <w:adjustRightInd w:val="0"/>
              <w:snapToGrid w:val="0"/>
              <w:spacing w:line="240" w:lineRule="exact"/>
              <w:jc w:val="center"/>
              <w:rPr>
                <w:rFonts w:ascii="Arial" w:hAnsi="Arial" w:cs="Arial"/>
                <w:kern w:val="0"/>
                <w:szCs w:val="21"/>
              </w:rPr>
            </w:pPr>
          </w:p>
        </w:tc>
        <w:tc>
          <w:tcPr>
            <w:tcW w:w="752" w:type="pct"/>
            <w:vMerge w:val="continue"/>
            <w:vAlign w:val="center"/>
          </w:tcPr>
          <w:p w14:paraId="5FAF69DC">
            <w:pPr>
              <w:pStyle w:val="46"/>
              <w:adjustRightInd w:val="0"/>
              <w:snapToGrid w:val="0"/>
              <w:spacing w:line="240" w:lineRule="exact"/>
              <w:jc w:val="center"/>
              <w:rPr>
                <w:rFonts w:ascii="Arial" w:hAnsi="Arial" w:cs="Arial"/>
                <w:szCs w:val="21"/>
              </w:rPr>
            </w:pPr>
          </w:p>
        </w:tc>
      </w:tr>
      <w:tr w14:paraId="5FAD8D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Merge w:val="continue"/>
            <w:vAlign w:val="center"/>
          </w:tcPr>
          <w:p w14:paraId="40BA2103">
            <w:pPr>
              <w:pStyle w:val="46"/>
              <w:adjustRightInd w:val="0"/>
              <w:snapToGrid w:val="0"/>
              <w:spacing w:line="240" w:lineRule="exact"/>
              <w:jc w:val="center"/>
              <w:rPr>
                <w:rFonts w:ascii="Arial" w:hAnsi="Arial" w:cs="Arial"/>
                <w:szCs w:val="21"/>
              </w:rPr>
            </w:pPr>
          </w:p>
        </w:tc>
        <w:tc>
          <w:tcPr>
            <w:tcW w:w="900" w:type="pct"/>
            <w:vAlign w:val="center"/>
          </w:tcPr>
          <w:p w14:paraId="3F9140A3">
            <w:pPr>
              <w:pStyle w:val="46"/>
              <w:adjustRightInd w:val="0"/>
              <w:snapToGrid w:val="0"/>
              <w:spacing w:line="240" w:lineRule="exact"/>
              <w:jc w:val="center"/>
              <w:rPr>
                <w:rFonts w:ascii="Arial" w:hAnsi="Arial" w:cs="Arial"/>
                <w:szCs w:val="21"/>
              </w:rPr>
            </w:pPr>
            <w:r>
              <w:rPr>
                <w:rFonts w:ascii="Arial" w:hAnsi="Arial" w:cs="Arial"/>
                <w:szCs w:val="21"/>
              </w:rPr>
              <w:t>厂界</w:t>
            </w:r>
          </w:p>
        </w:tc>
        <w:tc>
          <w:tcPr>
            <w:tcW w:w="921" w:type="pct"/>
            <w:vAlign w:val="center"/>
          </w:tcPr>
          <w:p w14:paraId="4269912B">
            <w:pPr>
              <w:pStyle w:val="46"/>
              <w:adjustRightInd w:val="0"/>
              <w:snapToGrid w:val="0"/>
              <w:spacing w:line="240" w:lineRule="exact"/>
              <w:jc w:val="center"/>
              <w:rPr>
                <w:rFonts w:ascii="Arial" w:hAnsi="Arial" w:cs="Arial"/>
                <w:szCs w:val="21"/>
              </w:rPr>
            </w:pPr>
            <w:r>
              <w:rPr>
                <w:rFonts w:ascii="Arial" w:hAnsi="Arial" w:cs="Arial"/>
                <w:szCs w:val="21"/>
              </w:rPr>
              <w:t>颗粒物、</w:t>
            </w:r>
            <w:r>
              <w:rPr>
                <w:rFonts w:hint="eastAsia" w:ascii="Arial" w:hAnsi="Arial" w:cs="Arial"/>
                <w:szCs w:val="21"/>
              </w:rPr>
              <w:t>钴及其化合物</w:t>
            </w:r>
            <w:r>
              <w:rPr>
                <w:rFonts w:ascii="Arial" w:hAnsi="Arial" w:cs="Arial"/>
                <w:szCs w:val="21"/>
              </w:rPr>
              <w:t>、氨气</w:t>
            </w:r>
          </w:p>
        </w:tc>
        <w:tc>
          <w:tcPr>
            <w:tcW w:w="768" w:type="pct"/>
            <w:vAlign w:val="center"/>
          </w:tcPr>
          <w:p w14:paraId="66F3044C">
            <w:pPr>
              <w:pStyle w:val="46"/>
              <w:adjustRightInd w:val="0"/>
              <w:snapToGrid w:val="0"/>
              <w:spacing w:line="240" w:lineRule="exact"/>
              <w:jc w:val="center"/>
              <w:rPr>
                <w:rFonts w:ascii="Arial" w:hAnsi="Arial" w:cs="Arial"/>
                <w:szCs w:val="21"/>
              </w:rPr>
            </w:pPr>
            <w:r>
              <w:rPr>
                <w:rFonts w:ascii="Arial" w:hAnsi="Arial" w:cs="Arial"/>
                <w:spacing w:val="10"/>
                <w:kern w:val="0"/>
                <w:szCs w:val="21"/>
              </w:rPr>
              <w:t>4次/天，2天</w:t>
            </w:r>
          </w:p>
        </w:tc>
        <w:tc>
          <w:tcPr>
            <w:tcW w:w="815" w:type="pct"/>
            <w:vAlign w:val="center"/>
          </w:tcPr>
          <w:p w14:paraId="13F8C41C">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c>
          <w:tcPr>
            <w:tcW w:w="520" w:type="pct"/>
            <w:vAlign w:val="center"/>
          </w:tcPr>
          <w:p w14:paraId="49881A3F">
            <w:pPr>
              <w:pStyle w:val="46"/>
              <w:adjustRightInd w:val="0"/>
              <w:snapToGrid w:val="0"/>
              <w:spacing w:line="240" w:lineRule="exact"/>
              <w:jc w:val="center"/>
              <w:rPr>
                <w:rFonts w:ascii="Arial" w:hAnsi="Arial" w:cs="Arial"/>
                <w:szCs w:val="21"/>
              </w:rPr>
            </w:pPr>
            <w:r>
              <w:rPr>
                <w:rFonts w:ascii="Arial" w:hAnsi="Arial" w:cs="Arial"/>
                <w:szCs w:val="21"/>
              </w:rPr>
              <w:t>是否达标</w:t>
            </w:r>
          </w:p>
        </w:tc>
        <w:tc>
          <w:tcPr>
            <w:tcW w:w="752" w:type="pct"/>
            <w:vMerge w:val="continue"/>
            <w:vAlign w:val="center"/>
          </w:tcPr>
          <w:p w14:paraId="0563C5F2">
            <w:pPr>
              <w:pStyle w:val="46"/>
              <w:adjustRightInd w:val="0"/>
              <w:snapToGrid w:val="0"/>
              <w:spacing w:line="240" w:lineRule="exact"/>
              <w:jc w:val="center"/>
              <w:rPr>
                <w:rFonts w:ascii="Arial" w:hAnsi="Arial" w:cs="Arial"/>
                <w:szCs w:val="21"/>
              </w:rPr>
            </w:pPr>
          </w:p>
        </w:tc>
      </w:tr>
      <w:tr w14:paraId="53F929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Merge w:val="restart"/>
            <w:vAlign w:val="center"/>
          </w:tcPr>
          <w:p w14:paraId="2013ED77">
            <w:pPr>
              <w:pStyle w:val="46"/>
              <w:adjustRightInd w:val="0"/>
              <w:snapToGrid w:val="0"/>
              <w:spacing w:line="240" w:lineRule="exact"/>
              <w:jc w:val="center"/>
              <w:rPr>
                <w:rFonts w:ascii="Arial" w:hAnsi="Arial" w:cs="Arial"/>
                <w:szCs w:val="21"/>
              </w:rPr>
            </w:pPr>
            <w:r>
              <w:rPr>
                <w:rFonts w:ascii="Arial" w:hAnsi="Arial" w:cs="Arial"/>
                <w:szCs w:val="21"/>
              </w:rPr>
              <w:t>废水</w:t>
            </w:r>
          </w:p>
        </w:tc>
        <w:tc>
          <w:tcPr>
            <w:tcW w:w="900" w:type="pct"/>
            <w:vAlign w:val="center"/>
          </w:tcPr>
          <w:p w14:paraId="3789C42D">
            <w:pPr>
              <w:pStyle w:val="46"/>
              <w:adjustRightInd w:val="0"/>
              <w:snapToGrid w:val="0"/>
              <w:spacing w:line="240" w:lineRule="exact"/>
              <w:jc w:val="center"/>
              <w:rPr>
                <w:rFonts w:ascii="Arial" w:hAnsi="Arial" w:cs="Arial"/>
                <w:szCs w:val="21"/>
              </w:rPr>
            </w:pPr>
            <w:r>
              <w:rPr>
                <w:rFonts w:hint="eastAsia" w:ascii="Arial" w:hAnsi="Arial" w:cs="Arial"/>
                <w:szCs w:val="21"/>
              </w:rPr>
              <w:t>X19</w:t>
            </w:r>
            <w:r>
              <w:rPr>
                <w:rFonts w:ascii="Arial" w:hAnsi="Arial" w:cs="Arial"/>
                <w:szCs w:val="21"/>
              </w:rPr>
              <w:t>车间处理设施废水排放口</w:t>
            </w:r>
          </w:p>
        </w:tc>
        <w:tc>
          <w:tcPr>
            <w:tcW w:w="921" w:type="pct"/>
            <w:vAlign w:val="center"/>
          </w:tcPr>
          <w:p w14:paraId="3B37B2F0">
            <w:pPr>
              <w:pStyle w:val="46"/>
              <w:adjustRightInd w:val="0"/>
              <w:snapToGrid w:val="0"/>
              <w:spacing w:line="240" w:lineRule="exact"/>
              <w:jc w:val="center"/>
              <w:rPr>
                <w:rFonts w:ascii="Arial" w:hAnsi="Arial" w:cs="Arial"/>
                <w:spacing w:val="10"/>
                <w:szCs w:val="21"/>
              </w:rPr>
            </w:pPr>
            <w:r>
              <w:rPr>
                <w:rFonts w:ascii="Arial" w:hAnsi="Arial" w:cs="Arial"/>
                <w:spacing w:val="10"/>
                <w:szCs w:val="21"/>
              </w:rPr>
              <w:t>总钴</w:t>
            </w:r>
          </w:p>
        </w:tc>
        <w:tc>
          <w:tcPr>
            <w:tcW w:w="768" w:type="pct"/>
            <w:vAlign w:val="center"/>
          </w:tcPr>
          <w:p w14:paraId="62D86AB1">
            <w:pPr>
              <w:pStyle w:val="46"/>
              <w:adjustRightInd w:val="0"/>
              <w:snapToGrid w:val="0"/>
              <w:spacing w:line="240" w:lineRule="exact"/>
              <w:jc w:val="center"/>
              <w:rPr>
                <w:rFonts w:ascii="Arial" w:hAnsi="Arial" w:cs="Arial"/>
                <w:spacing w:val="10"/>
                <w:kern w:val="0"/>
                <w:szCs w:val="21"/>
              </w:rPr>
            </w:pPr>
            <w:r>
              <w:rPr>
                <w:rFonts w:ascii="Arial" w:hAnsi="Arial" w:cs="Arial"/>
                <w:szCs w:val="21"/>
              </w:rPr>
              <w:t>3次/天，2天</w:t>
            </w:r>
          </w:p>
        </w:tc>
        <w:tc>
          <w:tcPr>
            <w:tcW w:w="815" w:type="pct"/>
            <w:vAlign w:val="center"/>
          </w:tcPr>
          <w:p w14:paraId="2381E969">
            <w:pPr>
              <w:adjustRightInd w:val="0"/>
              <w:snapToGrid w:val="0"/>
              <w:jc w:val="center"/>
              <w:rPr>
                <w:rFonts w:ascii="Arial" w:hAnsi="Arial" w:eastAsia="宋体" w:cs="Arial"/>
                <w:spacing w:val="10"/>
                <w:sz w:val="21"/>
                <w:szCs w:val="21"/>
              </w:rPr>
            </w:pPr>
            <w:r>
              <w:rPr>
                <w:rFonts w:hint="eastAsia" w:ascii="Arial" w:hAnsi="Arial" w:eastAsia="宋体" w:cs="Arial"/>
                <w:spacing w:val="10"/>
                <w:sz w:val="21"/>
                <w:szCs w:val="21"/>
              </w:rPr>
              <w:t>板框压滤、精密过滤器</w:t>
            </w:r>
          </w:p>
        </w:tc>
        <w:tc>
          <w:tcPr>
            <w:tcW w:w="520" w:type="pct"/>
            <w:vAlign w:val="center"/>
          </w:tcPr>
          <w:p w14:paraId="49E42434">
            <w:pPr>
              <w:pStyle w:val="46"/>
              <w:adjustRightInd w:val="0"/>
              <w:snapToGrid w:val="0"/>
              <w:spacing w:line="240" w:lineRule="exact"/>
              <w:jc w:val="center"/>
              <w:rPr>
                <w:rFonts w:ascii="Arial" w:hAnsi="Arial" w:cs="Arial"/>
                <w:szCs w:val="21"/>
              </w:rPr>
            </w:pPr>
            <w:r>
              <w:rPr>
                <w:rFonts w:ascii="Arial" w:hAnsi="Arial" w:cs="Arial"/>
                <w:szCs w:val="21"/>
              </w:rPr>
              <w:t>是否达标</w:t>
            </w:r>
          </w:p>
        </w:tc>
        <w:tc>
          <w:tcPr>
            <w:tcW w:w="752" w:type="pct"/>
            <w:vMerge w:val="continue"/>
            <w:vAlign w:val="center"/>
          </w:tcPr>
          <w:p w14:paraId="504DCE88">
            <w:pPr>
              <w:pStyle w:val="46"/>
              <w:adjustRightInd w:val="0"/>
              <w:snapToGrid w:val="0"/>
              <w:spacing w:line="240" w:lineRule="exact"/>
              <w:jc w:val="center"/>
              <w:rPr>
                <w:rFonts w:ascii="Arial" w:hAnsi="Arial" w:cs="Arial"/>
                <w:szCs w:val="21"/>
              </w:rPr>
            </w:pPr>
          </w:p>
        </w:tc>
      </w:tr>
      <w:tr w14:paraId="6F2F4E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Merge w:val="continue"/>
            <w:vAlign w:val="center"/>
          </w:tcPr>
          <w:p w14:paraId="18CC04E2">
            <w:pPr>
              <w:pStyle w:val="46"/>
              <w:adjustRightInd w:val="0"/>
              <w:snapToGrid w:val="0"/>
              <w:spacing w:line="240" w:lineRule="exact"/>
              <w:jc w:val="center"/>
              <w:rPr>
                <w:rFonts w:ascii="Arial" w:hAnsi="Arial" w:cs="Arial"/>
                <w:szCs w:val="21"/>
              </w:rPr>
            </w:pPr>
          </w:p>
        </w:tc>
        <w:tc>
          <w:tcPr>
            <w:tcW w:w="900" w:type="pct"/>
            <w:vAlign w:val="center"/>
          </w:tcPr>
          <w:p w14:paraId="65E41A41">
            <w:pPr>
              <w:pStyle w:val="46"/>
              <w:adjustRightInd w:val="0"/>
              <w:snapToGrid w:val="0"/>
              <w:spacing w:line="240" w:lineRule="exact"/>
              <w:jc w:val="center"/>
              <w:rPr>
                <w:rFonts w:ascii="Arial" w:hAnsi="Arial" w:cs="Arial"/>
                <w:szCs w:val="21"/>
              </w:rPr>
            </w:pPr>
            <w:r>
              <w:rPr>
                <w:rFonts w:ascii="Arial" w:hAnsi="Arial" w:cs="Arial"/>
                <w:szCs w:val="21"/>
              </w:rPr>
              <w:t>厂区总排口</w:t>
            </w:r>
          </w:p>
        </w:tc>
        <w:tc>
          <w:tcPr>
            <w:tcW w:w="921" w:type="pct"/>
            <w:vAlign w:val="center"/>
          </w:tcPr>
          <w:p w14:paraId="7AD02CBE">
            <w:pPr>
              <w:pStyle w:val="46"/>
              <w:adjustRightInd w:val="0"/>
              <w:snapToGrid w:val="0"/>
              <w:spacing w:line="240" w:lineRule="exact"/>
              <w:jc w:val="center"/>
              <w:rPr>
                <w:rFonts w:ascii="Arial" w:hAnsi="Arial" w:cs="Arial"/>
                <w:spacing w:val="10"/>
                <w:szCs w:val="21"/>
              </w:rPr>
            </w:pPr>
            <w:r>
              <w:rPr>
                <w:rFonts w:ascii="Arial" w:hAnsi="Arial" w:cs="Arial"/>
                <w:spacing w:val="10"/>
                <w:szCs w:val="21"/>
              </w:rPr>
              <w:t>pH、COD、氨氮、总钴、硫酸盐、盐份</w:t>
            </w:r>
          </w:p>
        </w:tc>
        <w:tc>
          <w:tcPr>
            <w:tcW w:w="768" w:type="pct"/>
            <w:vAlign w:val="center"/>
          </w:tcPr>
          <w:p w14:paraId="1F515BE7">
            <w:pPr>
              <w:pStyle w:val="46"/>
              <w:adjustRightInd w:val="0"/>
              <w:snapToGrid w:val="0"/>
              <w:spacing w:line="240" w:lineRule="exact"/>
              <w:jc w:val="center"/>
              <w:rPr>
                <w:rFonts w:ascii="Arial" w:hAnsi="Arial" w:cs="Arial"/>
                <w:spacing w:val="10"/>
                <w:kern w:val="0"/>
                <w:szCs w:val="21"/>
              </w:rPr>
            </w:pPr>
            <w:r>
              <w:rPr>
                <w:rFonts w:ascii="Arial" w:hAnsi="Arial" w:cs="Arial"/>
                <w:szCs w:val="21"/>
              </w:rPr>
              <w:t>3次/天，2天</w:t>
            </w:r>
          </w:p>
        </w:tc>
        <w:tc>
          <w:tcPr>
            <w:tcW w:w="815" w:type="pct"/>
            <w:vAlign w:val="center"/>
          </w:tcPr>
          <w:p w14:paraId="0F3F6F88">
            <w:pPr>
              <w:adjustRightInd w:val="0"/>
              <w:snapToGrid w:val="0"/>
              <w:jc w:val="center"/>
              <w:rPr>
                <w:rFonts w:ascii="Arial" w:hAnsi="Arial" w:eastAsia="宋体" w:cs="Arial"/>
                <w:spacing w:val="10"/>
                <w:sz w:val="21"/>
                <w:szCs w:val="21"/>
              </w:rPr>
            </w:pPr>
            <w:r>
              <w:rPr>
                <w:rFonts w:ascii="Arial" w:hAnsi="Arial" w:eastAsia="宋体" w:cs="Arial"/>
                <w:spacing w:val="10"/>
                <w:sz w:val="21"/>
                <w:szCs w:val="21"/>
              </w:rPr>
              <w:t>/</w:t>
            </w:r>
          </w:p>
        </w:tc>
        <w:tc>
          <w:tcPr>
            <w:tcW w:w="520" w:type="pct"/>
            <w:vAlign w:val="center"/>
          </w:tcPr>
          <w:p w14:paraId="0FA67A3E">
            <w:pPr>
              <w:pStyle w:val="46"/>
              <w:adjustRightInd w:val="0"/>
              <w:snapToGrid w:val="0"/>
              <w:spacing w:line="240" w:lineRule="exact"/>
              <w:jc w:val="center"/>
              <w:rPr>
                <w:rFonts w:ascii="Arial" w:hAnsi="Arial" w:cs="Arial"/>
                <w:szCs w:val="21"/>
              </w:rPr>
            </w:pPr>
            <w:r>
              <w:rPr>
                <w:rFonts w:ascii="Arial" w:hAnsi="Arial" w:cs="Arial"/>
                <w:szCs w:val="21"/>
              </w:rPr>
              <w:t>是否达标</w:t>
            </w:r>
          </w:p>
        </w:tc>
        <w:tc>
          <w:tcPr>
            <w:tcW w:w="752" w:type="pct"/>
            <w:vMerge w:val="continue"/>
            <w:vAlign w:val="center"/>
          </w:tcPr>
          <w:p w14:paraId="00AC5B18">
            <w:pPr>
              <w:pStyle w:val="46"/>
              <w:adjustRightInd w:val="0"/>
              <w:snapToGrid w:val="0"/>
              <w:spacing w:line="240" w:lineRule="exact"/>
              <w:jc w:val="center"/>
              <w:rPr>
                <w:rFonts w:ascii="Arial" w:hAnsi="Arial" w:cs="Arial"/>
                <w:szCs w:val="21"/>
              </w:rPr>
            </w:pPr>
          </w:p>
        </w:tc>
      </w:tr>
      <w:tr w14:paraId="0266D2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Align w:val="center"/>
          </w:tcPr>
          <w:p w14:paraId="04E494B2">
            <w:pPr>
              <w:pStyle w:val="46"/>
              <w:adjustRightInd w:val="0"/>
              <w:snapToGrid w:val="0"/>
              <w:spacing w:line="240" w:lineRule="exact"/>
              <w:jc w:val="center"/>
              <w:rPr>
                <w:rFonts w:ascii="Arial" w:hAnsi="Arial" w:cs="Arial"/>
                <w:szCs w:val="21"/>
              </w:rPr>
            </w:pPr>
            <w:r>
              <w:rPr>
                <w:rFonts w:ascii="Arial" w:hAnsi="Arial" w:cs="Arial"/>
                <w:szCs w:val="21"/>
              </w:rPr>
              <w:t>地下水</w:t>
            </w:r>
          </w:p>
        </w:tc>
        <w:tc>
          <w:tcPr>
            <w:tcW w:w="900" w:type="pct"/>
            <w:vAlign w:val="center"/>
          </w:tcPr>
          <w:p w14:paraId="50293539">
            <w:pPr>
              <w:pStyle w:val="46"/>
              <w:adjustRightInd w:val="0"/>
              <w:snapToGrid w:val="0"/>
              <w:spacing w:line="240" w:lineRule="exact"/>
              <w:jc w:val="center"/>
              <w:rPr>
                <w:rFonts w:ascii="Arial" w:hAnsi="Arial" w:cs="Arial"/>
                <w:szCs w:val="21"/>
              </w:rPr>
            </w:pPr>
            <w:r>
              <w:rPr>
                <w:rFonts w:ascii="Arial" w:hAnsi="Arial" w:cs="Arial"/>
                <w:szCs w:val="21"/>
              </w:rPr>
              <w:t>监控井</w:t>
            </w:r>
          </w:p>
        </w:tc>
        <w:tc>
          <w:tcPr>
            <w:tcW w:w="921" w:type="pct"/>
            <w:vAlign w:val="center"/>
          </w:tcPr>
          <w:p w14:paraId="57EBAD43">
            <w:pPr>
              <w:pStyle w:val="46"/>
              <w:adjustRightInd w:val="0"/>
              <w:snapToGrid w:val="0"/>
              <w:spacing w:line="240" w:lineRule="exact"/>
              <w:jc w:val="center"/>
              <w:rPr>
                <w:rFonts w:ascii="Arial" w:hAnsi="Arial" w:cs="Arial"/>
                <w:szCs w:val="21"/>
              </w:rPr>
            </w:pPr>
            <w:r>
              <w:rPr>
                <w:rFonts w:ascii="Arial" w:hAnsi="Arial" w:cs="Arial"/>
                <w:spacing w:val="10"/>
                <w:szCs w:val="21"/>
              </w:rPr>
              <w:t>pH、COD、氨氮、钴、石油烃、硫酸盐</w:t>
            </w:r>
          </w:p>
        </w:tc>
        <w:tc>
          <w:tcPr>
            <w:tcW w:w="768" w:type="pct"/>
            <w:vAlign w:val="center"/>
          </w:tcPr>
          <w:p w14:paraId="0762D037">
            <w:pPr>
              <w:pStyle w:val="46"/>
              <w:adjustRightInd w:val="0"/>
              <w:snapToGrid w:val="0"/>
              <w:spacing w:line="240" w:lineRule="exact"/>
              <w:jc w:val="center"/>
              <w:rPr>
                <w:rFonts w:ascii="Arial" w:hAnsi="Arial" w:cs="Arial"/>
                <w:szCs w:val="21"/>
              </w:rPr>
            </w:pPr>
            <w:r>
              <w:rPr>
                <w:rFonts w:ascii="Arial" w:hAnsi="Arial" w:cs="Arial"/>
                <w:szCs w:val="21"/>
              </w:rPr>
              <w:t>1次/天，1天</w:t>
            </w:r>
          </w:p>
        </w:tc>
        <w:tc>
          <w:tcPr>
            <w:tcW w:w="815" w:type="pct"/>
            <w:vAlign w:val="center"/>
          </w:tcPr>
          <w:p w14:paraId="74DA7E88">
            <w:pPr>
              <w:pStyle w:val="46"/>
              <w:adjustRightInd w:val="0"/>
              <w:snapToGrid w:val="0"/>
              <w:spacing w:line="240" w:lineRule="exact"/>
              <w:jc w:val="center"/>
              <w:rPr>
                <w:rFonts w:ascii="Arial" w:hAnsi="Arial" w:cs="Arial"/>
                <w:szCs w:val="21"/>
              </w:rPr>
            </w:pPr>
            <w:r>
              <w:rPr>
                <w:rFonts w:ascii="Arial" w:hAnsi="Arial" w:cs="Arial"/>
                <w:szCs w:val="21"/>
              </w:rPr>
              <w:t>分区防渗</w:t>
            </w:r>
          </w:p>
        </w:tc>
        <w:tc>
          <w:tcPr>
            <w:tcW w:w="520" w:type="pct"/>
            <w:vAlign w:val="center"/>
          </w:tcPr>
          <w:p w14:paraId="7D351C37">
            <w:pPr>
              <w:pStyle w:val="46"/>
              <w:adjustRightInd w:val="0"/>
              <w:snapToGrid w:val="0"/>
              <w:spacing w:line="240" w:lineRule="exact"/>
              <w:jc w:val="center"/>
              <w:rPr>
                <w:rFonts w:ascii="Arial" w:hAnsi="Arial" w:cs="Arial"/>
                <w:szCs w:val="21"/>
              </w:rPr>
            </w:pPr>
            <w:r>
              <w:rPr>
                <w:rFonts w:ascii="Arial" w:hAnsi="Arial" w:cs="Arial"/>
                <w:szCs w:val="21"/>
              </w:rPr>
              <w:t>防渗措施落实情况</w:t>
            </w:r>
          </w:p>
        </w:tc>
        <w:tc>
          <w:tcPr>
            <w:tcW w:w="752" w:type="pct"/>
            <w:vAlign w:val="center"/>
          </w:tcPr>
          <w:p w14:paraId="79887113">
            <w:pPr>
              <w:adjustRightInd w:val="0"/>
              <w:snapToGrid w:val="0"/>
              <w:spacing w:line="240" w:lineRule="exact"/>
              <w:jc w:val="center"/>
              <w:rPr>
                <w:rFonts w:ascii="Arial" w:hAnsi="Arial" w:eastAsia="宋体" w:cs="Arial"/>
                <w:sz w:val="21"/>
                <w:szCs w:val="21"/>
              </w:rPr>
            </w:pPr>
            <w:r>
              <w:rPr>
                <w:rFonts w:ascii="Arial" w:hAnsi="Arial" w:eastAsia="宋体" w:cs="Arial"/>
                <w:sz w:val="21"/>
                <w:szCs w:val="21"/>
              </w:rPr>
              <w:t>《地下水质量标准》（GB/T14848-2017）</w:t>
            </w:r>
          </w:p>
        </w:tc>
      </w:tr>
      <w:tr w14:paraId="481760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Align w:val="center"/>
          </w:tcPr>
          <w:p w14:paraId="3DB68CAA">
            <w:pPr>
              <w:pStyle w:val="46"/>
              <w:adjustRightInd w:val="0"/>
              <w:snapToGrid w:val="0"/>
              <w:spacing w:line="240" w:lineRule="exact"/>
              <w:jc w:val="center"/>
              <w:rPr>
                <w:rFonts w:ascii="Arial" w:hAnsi="Arial" w:cs="Arial"/>
                <w:szCs w:val="21"/>
              </w:rPr>
            </w:pPr>
            <w:r>
              <w:rPr>
                <w:rFonts w:ascii="Arial" w:hAnsi="Arial" w:cs="Arial"/>
                <w:szCs w:val="21"/>
              </w:rPr>
              <w:t>噪声</w:t>
            </w:r>
          </w:p>
        </w:tc>
        <w:tc>
          <w:tcPr>
            <w:tcW w:w="900" w:type="pct"/>
            <w:vAlign w:val="center"/>
          </w:tcPr>
          <w:p w14:paraId="1F3F22F0">
            <w:pPr>
              <w:pStyle w:val="46"/>
              <w:adjustRightInd w:val="0"/>
              <w:snapToGrid w:val="0"/>
              <w:spacing w:line="240" w:lineRule="exact"/>
              <w:jc w:val="center"/>
              <w:rPr>
                <w:rFonts w:ascii="Arial" w:hAnsi="Arial" w:cs="Arial"/>
                <w:szCs w:val="21"/>
              </w:rPr>
            </w:pPr>
            <w:r>
              <w:rPr>
                <w:rFonts w:ascii="Arial" w:hAnsi="Arial" w:cs="Arial"/>
                <w:szCs w:val="21"/>
              </w:rPr>
              <w:t>四周厂界</w:t>
            </w:r>
          </w:p>
        </w:tc>
        <w:tc>
          <w:tcPr>
            <w:tcW w:w="921" w:type="pct"/>
            <w:vAlign w:val="center"/>
          </w:tcPr>
          <w:p w14:paraId="542C1F1D">
            <w:pPr>
              <w:pStyle w:val="46"/>
              <w:adjustRightInd w:val="0"/>
              <w:snapToGrid w:val="0"/>
              <w:spacing w:line="240" w:lineRule="exact"/>
              <w:jc w:val="center"/>
              <w:rPr>
                <w:rFonts w:ascii="Arial" w:hAnsi="Arial" w:cs="Arial"/>
                <w:szCs w:val="21"/>
              </w:rPr>
            </w:pPr>
            <w:r>
              <w:rPr>
                <w:rFonts w:ascii="Arial" w:hAnsi="Arial" w:cs="Arial"/>
                <w:szCs w:val="21"/>
              </w:rPr>
              <w:t>等效声级dB(A)</w:t>
            </w:r>
          </w:p>
        </w:tc>
        <w:tc>
          <w:tcPr>
            <w:tcW w:w="768" w:type="pct"/>
            <w:vAlign w:val="center"/>
          </w:tcPr>
          <w:p w14:paraId="3BB271C7">
            <w:pPr>
              <w:pStyle w:val="46"/>
              <w:adjustRightInd w:val="0"/>
              <w:snapToGrid w:val="0"/>
              <w:spacing w:line="240" w:lineRule="exact"/>
              <w:jc w:val="center"/>
              <w:rPr>
                <w:rFonts w:ascii="Arial" w:hAnsi="Arial" w:cs="Arial"/>
                <w:szCs w:val="21"/>
              </w:rPr>
            </w:pPr>
            <w:r>
              <w:rPr>
                <w:rFonts w:ascii="Arial" w:hAnsi="Arial" w:cs="Arial"/>
                <w:spacing w:val="10"/>
                <w:kern w:val="0"/>
                <w:szCs w:val="21"/>
              </w:rPr>
              <w:t>2天，每天昼夜各1次</w:t>
            </w:r>
          </w:p>
        </w:tc>
        <w:tc>
          <w:tcPr>
            <w:tcW w:w="815" w:type="pct"/>
            <w:vAlign w:val="center"/>
          </w:tcPr>
          <w:p w14:paraId="47C3BBC1">
            <w:pPr>
              <w:pStyle w:val="46"/>
              <w:adjustRightInd w:val="0"/>
              <w:snapToGrid w:val="0"/>
              <w:spacing w:line="240" w:lineRule="exact"/>
              <w:jc w:val="center"/>
              <w:rPr>
                <w:rFonts w:ascii="Arial" w:hAnsi="Arial" w:cs="Arial"/>
                <w:szCs w:val="21"/>
              </w:rPr>
            </w:pPr>
            <w:r>
              <w:rPr>
                <w:rFonts w:ascii="Arial" w:hAnsi="Arial" w:cs="Arial"/>
                <w:szCs w:val="21"/>
              </w:rPr>
              <w:t>/</w:t>
            </w:r>
          </w:p>
        </w:tc>
        <w:tc>
          <w:tcPr>
            <w:tcW w:w="520" w:type="pct"/>
            <w:vAlign w:val="center"/>
          </w:tcPr>
          <w:p w14:paraId="3B06BA7F">
            <w:pPr>
              <w:pStyle w:val="46"/>
              <w:adjustRightInd w:val="0"/>
              <w:snapToGrid w:val="0"/>
              <w:spacing w:line="240" w:lineRule="exact"/>
              <w:jc w:val="center"/>
              <w:rPr>
                <w:rFonts w:ascii="Arial" w:hAnsi="Arial" w:cs="Arial"/>
                <w:szCs w:val="21"/>
              </w:rPr>
            </w:pPr>
            <w:r>
              <w:rPr>
                <w:rFonts w:ascii="Arial" w:hAnsi="Arial" w:cs="Arial"/>
                <w:szCs w:val="21"/>
              </w:rPr>
              <w:t>是否达标排放</w:t>
            </w:r>
          </w:p>
        </w:tc>
        <w:tc>
          <w:tcPr>
            <w:tcW w:w="752" w:type="pct"/>
            <w:vAlign w:val="center"/>
          </w:tcPr>
          <w:p w14:paraId="0C2D7CBF">
            <w:pPr>
              <w:pStyle w:val="46"/>
              <w:adjustRightInd w:val="0"/>
              <w:snapToGrid w:val="0"/>
              <w:spacing w:line="240" w:lineRule="exact"/>
              <w:jc w:val="center"/>
              <w:rPr>
                <w:rFonts w:ascii="Arial" w:hAnsi="Arial" w:cs="Arial"/>
                <w:szCs w:val="21"/>
              </w:rPr>
            </w:pPr>
            <w:r>
              <w:rPr>
                <w:rFonts w:ascii="Arial" w:hAnsi="Arial" w:cs="Arial"/>
                <w:szCs w:val="21"/>
              </w:rPr>
              <w:t>《工业企业厂界环境噪声排放标准》（GB12348-2008）</w:t>
            </w:r>
          </w:p>
        </w:tc>
      </w:tr>
      <w:tr w14:paraId="21DED9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Merge w:val="restart"/>
            <w:shd w:val="clear" w:color="auto" w:fill="auto"/>
            <w:vAlign w:val="center"/>
          </w:tcPr>
          <w:p w14:paraId="43D8935F">
            <w:pPr>
              <w:pStyle w:val="46"/>
              <w:adjustRightInd w:val="0"/>
              <w:snapToGrid w:val="0"/>
              <w:spacing w:line="240" w:lineRule="exact"/>
              <w:jc w:val="center"/>
              <w:rPr>
                <w:rFonts w:ascii="Arial" w:hAnsi="Arial" w:cs="Arial"/>
                <w:szCs w:val="21"/>
              </w:rPr>
            </w:pPr>
            <w:r>
              <w:rPr>
                <w:rFonts w:ascii="Arial" w:hAnsi="Arial" w:cs="Arial"/>
                <w:szCs w:val="21"/>
              </w:rPr>
              <w:t>固体废物</w:t>
            </w:r>
          </w:p>
        </w:tc>
        <w:tc>
          <w:tcPr>
            <w:tcW w:w="900" w:type="pct"/>
            <w:shd w:val="clear" w:color="auto" w:fill="auto"/>
            <w:vAlign w:val="center"/>
          </w:tcPr>
          <w:p w14:paraId="669A7734">
            <w:pPr>
              <w:pStyle w:val="46"/>
              <w:adjustRightInd w:val="0"/>
              <w:snapToGrid w:val="0"/>
              <w:spacing w:line="240" w:lineRule="exact"/>
              <w:jc w:val="center"/>
              <w:rPr>
                <w:rFonts w:ascii="Arial" w:hAnsi="Arial" w:cs="Arial"/>
                <w:szCs w:val="21"/>
              </w:rPr>
            </w:pPr>
            <w:r>
              <w:rPr>
                <w:rFonts w:ascii="Arial" w:hAnsi="Arial" w:cs="Arial"/>
                <w:szCs w:val="21"/>
              </w:rPr>
              <w:t>危险废物</w:t>
            </w:r>
          </w:p>
        </w:tc>
        <w:tc>
          <w:tcPr>
            <w:tcW w:w="921" w:type="pct"/>
            <w:shd w:val="clear" w:color="auto" w:fill="auto"/>
            <w:vAlign w:val="center"/>
          </w:tcPr>
          <w:p w14:paraId="4EDC01F9">
            <w:pPr>
              <w:pStyle w:val="46"/>
              <w:adjustRightInd w:val="0"/>
              <w:snapToGrid w:val="0"/>
              <w:spacing w:line="240" w:lineRule="exact"/>
              <w:jc w:val="center"/>
              <w:rPr>
                <w:rFonts w:ascii="Arial" w:hAnsi="Arial" w:cs="Arial"/>
                <w:szCs w:val="21"/>
              </w:rPr>
            </w:pPr>
            <w:r>
              <w:rPr>
                <w:rFonts w:ascii="Arial" w:hAnsi="Arial" w:cs="Arial"/>
                <w:szCs w:val="21"/>
              </w:rPr>
              <w:t>/</w:t>
            </w:r>
          </w:p>
        </w:tc>
        <w:tc>
          <w:tcPr>
            <w:tcW w:w="768" w:type="pct"/>
            <w:shd w:val="clear" w:color="auto" w:fill="auto"/>
            <w:vAlign w:val="center"/>
          </w:tcPr>
          <w:p w14:paraId="69447F80">
            <w:pPr>
              <w:pStyle w:val="46"/>
              <w:adjustRightInd w:val="0"/>
              <w:snapToGrid w:val="0"/>
              <w:spacing w:line="240" w:lineRule="exact"/>
              <w:jc w:val="center"/>
              <w:rPr>
                <w:rFonts w:ascii="Arial" w:hAnsi="Arial" w:cs="Arial"/>
                <w:szCs w:val="21"/>
              </w:rPr>
            </w:pPr>
            <w:r>
              <w:rPr>
                <w:rFonts w:ascii="Arial" w:hAnsi="Arial" w:cs="Arial"/>
                <w:szCs w:val="21"/>
              </w:rPr>
              <w:t>/</w:t>
            </w:r>
          </w:p>
        </w:tc>
        <w:tc>
          <w:tcPr>
            <w:tcW w:w="815" w:type="pct"/>
            <w:shd w:val="clear" w:color="auto" w:fill="auto"/>
            <w:vAlign w:val="center"/>
          </w:tcPr>
          <w:p w14:paraId="03DC4DBC">
            <w:pPr>
              <w:pStyle w:val="46"/>
              <w:adjustRightInd w:val="0"/>
              <w:snapToGrid w:val="0"/>
              <w:spacing w:line="240" w:lineRule="exact"/>
              <w:jc w:val="center"/>
              <w:rPr>
                <w:rFonts w:ascii="Arial" w:hAnsi="Arial" w:cs="Arial"/>
                <w:szCs w:val="21"/>
              </w:rPr>
            </w:pPr>
            <w:r>
              <w:rPr>
                <w:rFonts w:ascii="Arial" w:hAnsi="Arial" w:cs="Arial"/>
                <w:szCs w:val="21"/>
              </w:rPr>
              <w:t>危废间暂存、委托处理</w:t>
            </w:r>
          </w:p>
        </w:tc>
        <w:tc>
          <w:tcPr>
            <w:tcW w:w="520" w:type="pct"/>
            <w:shd w:val="clear" w:color="auto" w:fill="auto"/>
            <w:vAlign w:val="center"/>
          </w:tcPr>
          <w:p w14:paraId="359EDEEB">
            <w:pPr>
              <w:pStyle w:val="46"/>
              <w:adjustRightInd w:val="0"/>
              <w:snapToGrid w:val="0"/>
              <w:spacing w:line="240" w:lineRule="exact"/>
              <w:jc w:val="center"/>
              <w:rPr>
                <w:rFonts w:ascii="Arial" w:hAnsi="Arial" w:cs="Arial"/>
                <w:szCs w:val="21"/>
              </w:rPr>
            </w:pPr>
            <w:r>
              <w:rPr>
                <w:rFonts w:ascii="Arial" w:hAnsi="Arial" w:cs="Arial"/>
                <w:szCs w:val="21"/>
              </w:rPr>
              <w:t>危废是否得以妥善处置</w:t>
            </w:r>
          </w:p>
        </w:tc>
        <w:tc>
          <w:tcPr>
            <w:tcW w:w="752" w:type="pct"/>
            <w:shd w:val="clear" w:color="auto" w:fill="auto"/>
            <w:vAlign w:val="center"/>
          </w:tcPr>
          <w:p w14:paraId="2ADAAB00">
            <w:pPr>
              <w:pStyle w:val="46"/>
              <w:adjustRightInd w:val="0"/>
              <w:snapToGrid w:val="0"/>
              <w:spacing w:line="240" w:lineRule="exact"/>
              <w:jc w:val="center"/>
              <w:rPr>
                <w:rFonts w:ascii="Arial" w:hAnsi="Arial" w:cs="Arial"/>
                <w:szCs w:val="21"/>
              </w:rPr>
            </w:pPr>
            <w:r>
              <w:rPr>
                <w:rFonts w:ascii="Arial" w:hAnsi="Arial" w:cs="Arial"/>
                <w:szCs w:val="21"/>
              </w:rPr>
              <w:t>合理处置，建立固废处置台帐</w:t>
            </w:r>
          </w:p>
        </w:tc>
      </w:tr>
      <w:tr w14:paraId="42E4130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Merge w:val="continue"/>
            <w:shd w:val="clear" w:color="auto" w:fill="auto"/>
            <w:vAlign w:val="center"/>
          </w:tcPr>
          <w:p w14:paraId="7D45D817">
            <w:pPr>
              <w:pStyle w:val="46"/>
              <w:adjustRightInd w:val="0"/>
              <w:snapToGrid w:val="0"/>
              <w:spacing w:line="240" w:lineRule="exact"/>
              <w:jc w:val="center"/>
              <w:rPr>
                <w:rFonts w:ascii="Arial" w:hAnsi="Arial" w:cs="Arial"/>
                <w:szCs w:val="21"/>
              </w:rPr>
            </w:pPr>
          </w:p>
        </w:tc>
        <w:tc>
          <w:tcPr>
            <w:tcW w:w="900" w:type="pct"/>
            <w:shd w:val="clear" w:color="auto" w:fill="auto"/>
            <w:vAlign w:val="center"/>
          </w:tcPr>
          <w:p w14:paraId="7B7FEE9A">
            <w:pPr>
              <w:pStyle w:val="46"/>
              <w:adjustRightInd w:val="0"/>
              <w:snapToGrid w:val="0"/>
              <w:spacing w:line="240" w:lineRule="exact"/>
              <w:jc w:val="center"/>
              <w:rPr>
                <w:rFonts w:ascii="Arial" w:hAnsi="Arial" w:cs="Arial"/>
                <w:szCs w:val="21"/>
              </w:rPr>
            </w:pPr>
            <w:r>
              <w:rPr>
                <w:rFonts w:ascii="Arial" w:hAnsi="Arial" w:cs="Arial"/>
                <w:szCs w:val="21"/>
              </w:rPr>
              <w:t>一般工业固体废物</w:t>
            </w:r>
          </w:p>
        </w:tc>
        <w:tc>
          <w:tcPr>
            <w:tcW w:w="921" w:type="pct"/>
            <w:shd w:val="clear" w:color="auto" w:fill="auto"/>
            <w:vAlign w:val="center"/>
          </w:tcPr>
          <w:p w14:paraId="75F17AB6">
            <w:pPr>
              <w:pStyle w:val="46"/>
              <w:adjustRightInd w:val="0"/>
              <w:snapToGrid w:val="0"/>
              <w:spacing w:line="240" w:lineRule="exact"/>
              <w:jc w:val="center"/>
              <w:rPr>
                <w:rFonts w:ascii="Arial" w:hAnsi="Arial" w:cs="Arial"/>
                <w:szCs w:val="21"/>
              </w:rPr>
            </w:pPr>
            <w:r>
              <w:rPr>
                <w:rFonts w:ascii="Arial" w:hAnsi="Arial" w:cs="Arial"/>
                <w:szCs w:val="21"/>
              </w:rPr>
              <w:t>/</w:t>
            </w:r>
          </w:p>
        </w:tc>
        <w:tc>
          <w:tcPr>
            <w:tcW w:w="768" w:type="pct"/>
            <w:shd w:val="clear" w:color="auto" w:fill="auto"/>
            <w:vAlign w:val="center"/>
          </w:tcPr>
          <w:p w14:paraId="4BFD8031">
            <w:pPr>
              <w:pStyle w:val="46"/>
              <w:adjustRightInd w:val="0"/>
              <w:snapToGrid w:val="0"/>
              <w:spacing w:line="240" w:lineRule="exact"/>
              <w:jc w:val="center"/>
              <w:rPr>
                <w:rFonts w:ascii="Arial" w:hAnsi="Arial" w:cs="Arial"/>
                <w:szCs w:val="21"/>
              </w:rPr>
            </w:pPr>
            <w:r>
              <w:rPr>
                <w:rFonts w:ascii="Arial" w:hAnsi="Arial" w:cs="Arial"/>
                <w:szCs w:val="21"/>
              </w:rPr>
              <w:t>/</w:t>
            </w:r>
          </w:p>
        </w:tc>
        <w:tc>
          <w:tcPr>
            <w:tcW w:w="815" w:type="pct"/>
            <w:shd w:val="clear" w:color="auto" w:fill="auto"/>
            <w:vAlign w:val="center"/>
          </w:tcPr>
          <w:p w14:paraId="572BBD2D">
            <w:pPr>
              <w:pStyle w:val="46"/>
              <w:adjustRightInd w:val="0"/>
              <w:snapToGrid w:val="0"/>
              <w:spacing w:line="240" w:lineRule="exact"/>
              <w:jc w:val="center"/>
              <w:rPr>
                <w:rFonts w:ascii="Arial" w:hAnsi="Arial" w:cs="Arial"/>
                <w:szCs w:val="21"/>
              </w:rPr>
            </w:pPr>
            <w:r>
              <w:rPr>
                <w:rFonts w:ascii="Arial" w:hAnsi="Arial" w:cs="Arial"/>
                <w:szCs w:val="21"/>
              </w:rPr>
              <w:t>废过滤膜委托处理，废包装袋回废包装袋生产线</w:t>
            </w:r>
          </w:p>
        </w:tc>
        <w:tc>
          <w:tcPr>
            <w:tcW w:w="520" w:type="pct"/>
            <w:shd w:val="clear" w:color="auto" w:fill="auto"/>
            <w:vAlign w:val="center"/>
          </w:tcPr>
          <w:p w14:paraId="44055E55">
            <w:pPr>
              <w:pStyle w:val="46"/>
              <w:adjustRightInd w:val="0"/>
              <w:snapToGrid w:val="0"/>
              <w:spacing w:line="240" w:lineRule="exact"/>
              <w:jc w:val="center"/>
              <w:rPr>
                <w:rFonts w:ascii="Arial" w:hAnsi="Arial" w:cs="Arial"/>
                <w:szCs w:val="21"/>
              </w:rPr>
            </w:pPr>
            <w:r>
              <w:rPr>
                <w:rFonts w:hint="eastAsia" w:ascii="Arial" w:hAnsi="Arial" w:cs="Arial"/>
                <w:szCs w:val="21"/>
              </w:rPr>
              <w:t>一般固废</w:t>
            </w:r>
            <w:r>
              <w:rPr>
                <w:rFonts w:ascii="Arial" w:hAnsi="Arial" w:cs="Arial"/>
                <w:szCs w:val="21"/>
              </w:rPr>
              <w:t>是否得以妥善处置</w:t>
            </w:r>
          </w:p>
        </w:tc>
        <w:tc>
          <w:tcPr>
            <w:tcW w:w="752" w:type="pct"/>
            <w:shd w:val="clear" w:color="auto" w:fill="auto"/>
            <w:vAlign w:val="center"/>
          </w:tcPr>
          <w:p w14:paraId="1D00CDCE">
            <w:pPr>
              <w:pStyle w:val="46"/>
              <w:adjustRightInd w:val="0"/>
              <w:snapToGrid w:val="0"/>
              <w:spacing w:line="240" w:lineRule="exact"/>
              <w:jc w:val="center"/>
              <w:rPr>
                <w:rFonts w:ascii="Arial" w:hAnsi="Arial" w:cs="Arial"/>
                <w:szCs w:val="21"/>
              </w:rPr>
            </w:pPr>
            <w:r>
              <w:rPr>
                <w:rFonts w:ascii="Arial" w:hAnsi="Arial" w:cs="Arial"/>
                <w:szCs w:val="21"/>
              </w:rPr>
              <w:t>合理处置，建立固废处置台帐</w:t>
            </w:r>
          </w:p>
        </w:tc>
      </w:tr>
      <w:tr w14:paraId="5531D6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4" w:type="pct"/>
            <w:vMerge w:val="continue"/>
            <w:shd w:val="clear" w:color="auto" w:fill="auto"/>
            <w:vAlign w:val="center"/>
          </w:tcPr>
          <w:p w14:paraId="42BAE06A">
            <w:pPr>
              <w:pStyle w:val="46"/>
              <w:adjustRightInd w:val="0"/>
              <w:snapToGrid w:val="0"/>
              <w:spacing w:line="240" w:lineRule="exact"/>
              <w:jc w:val="center"/>
              <w:rPr>
                <w:rFonts w:ascii="Arial" w:hAnsi="Arial" w:cs="Arial"/>
                <w:szCs w:val="21"/>
              </w:rPr>
            </w:pPr>
          </w:p>
        </w:tc>
        <w:tc>
          <w:tcPr>
            <w:tcW w:w="900" w:type="pct"/>
            <w:shd w:val="clear" w:color="auto" w:fill="auto"/>
            <w:vAlign w:val="center"/>
          </w:tcPr>
          <w:p w14:paraId="1640196D">
            <w:pPr>
              <w:pStyle w:val="46"/>
              <w:adjustRightInd w:val="0"/>
              <w:snapToGrid w:val="0"/>
              <w:spacing w:line="240" w:lineRule="exact"/>
              <w:jc w:val="center"/>
              <w:rPr>
                <w:rFonts w:ascii="Arial" w:hAnsi="Arial" w:cs="Arial"/>
                <w:szCs w:val="21"/>
              </w:rPr>
            </w:pPr>
            <w:r>
              <w:rPr>
                <w:rFonts w:ascii="Arial" w:hAnsi="Arial" w:cs="Arial"/>
                <w:szCs w:val="21"/>
              </w:rPr>
              <w:t>生活垃圾</w:t>
            </w:r>
          </w:p>
        </w:tc>
        <w:tc>
          <w:tcPr>
            <w:tcW w:w="921" w:type="pct"/>
            <w:shd w:val="clear" w:color="auto" w:fill="auto"/>
            <w:vAlign w:val="center"/>
          </w:tcPr>
          <w:p w14:paraId="341C390C">
            <w:pPr>
              <w:pStyle w:val="46"/>
              <w:adjustRightInd w:val="0"/>
              <w:snapToGrid w:val="0"/>
              <w:spacing w:line="240" w:lineRule="exact"/>
              <w:jc w:val="center"/>
              <w:rPr>
                <w:rFonts w:ascii="Arial" w:hAnsi="Arial" w:cs="Arial"/>
                <w:szCs w:val="21"/>
              </w:rPr>
            </w:pPr>
            <w:r>
              <w:rPr>
                <w:rFonts w:ascii="Arial" w:hAnsi="Arial" w:cs="Arial"/>
                <w:szCs w:val="21"/>
              </w:rPr>
              <w:t>/</w:t>
            </w:r>
          </w:p>
        </w:tc>
        <w:tc>
          <w:tcPr>
            <w:tcW w:w="768" w:type="pct"/>
            <w:shd w:val="clear" w:color="auto" w:fill="auto"/>
            <w:vAlign w:val="center"/>
          </w:tcPr>
          <w:p w14:paraId="39C56204">
            <w:pPr>
              <w:pStyle w:val="46"/>
              <w:adjustRightInd w:val="0"/>
              <w:snapToGrid w:val="0"/>
              <w:spacing w:line="240" w:lineRule="exact"/>
              <w:jc w:val="center"/>
              <w:rPr>
                <w:rFonts w:ascii="Arial" w:hAnsi="Arial" w:cs="Arial"/>
                <w:szCs w:val="21"/>
              </w:rPr>
            </w:pPr>
            <w:r>
              <w:rPr>
                <w:rFonts w:ascii="Arial" w:hAnsi="Arial" w:cs="Arial"/>
                <w:szCs w:val="21"/>
              </w:rPr>
              <w:t>/</w:t>
            </w:r>
          </w:p>
        </w:tc>
        <w:tc>
          <w:tcPr>
            <w:tcW w:w="815" w:type="pct"/>
            <w:shd w:val="clear" w:color="auto" w:fill="auto"/>
            <w:vAlign w:val="center"/>
          </w:tcPr>
          <w:p w14:paraId="644E196E">
            <w:pPr>
              <w:pStyle w:val="46"/>
              <w:adjustRightInd w:val="0"/>
              <w:snapToGrid w:val="0"/>
              <w:spacing w:line="240" w:lineRule="exact"/>
              <w:jc w:val="center"/>
              <w:rPr>
                <w:rFonts w:ascii="Arial" w:hAnsi="Arial" w:cs="Arial"/>
                <w:szCs w:val="21"/>
              </w:rPr>
            </w:pPr>
            <w:r>
              <w:rPr>
                <w:rFonts w:ascii="Arial" w:hAnsi="Arial" w:cs="Arial"/>
                <w:szCs w:val="21"/>
              </w:rPr>
              <w:t>有效收集</w:t>
            </w:r>
          </w:p>
        </w:tc>
        <w:tc>
          <w:tcPr>
            <w:tcW w:w="520" w:type="pct"/>
            <w:shd w:val="clear" w:color="auto" w:fill="auto"/>
            <w:vAlign w:val="center"/>
          </w:tcPr>
          <w:p w14:paraId="233272F8">
            <w:pPr>
              <w:pStyle w:val="46"/>
              <w:adjustRightInd w:val="0"/>
              <w:snapToGrid w:val="0"/>
              <w:spacing w:line="240" w:lineRule="exact"/>
              <w:jc w:val="center"/>
              <w:rPr>
                <w:rFonts w:ascii="Arial" w:hAnsi="Arial" w:cs="Arial"/>
                <w:szCs w:val="21"/>
              </w:rPr>
            </w:pPr>
            <w:r>
              <w:rPr>
                <w:rFonts w:ascii="Arial" w:hAnsi="Arial" w:cs="Arial"/>
                <w:szCs w:val="21"/>
              </w:rPr>
              <w:t>是否妥善处置</w:t>
            </w:r>
          </w:p>
        </w:tc>
        <w:tc>
          <w:tcPr>
            <w:tcW w:w="752" w:type="pct"/>
            <w:shd w:val="clear" w:color="auto" w:fill="auto"/>
            <w:vAlign w:val="center"/>
          </w:tcPr>
          <w:p w14:paraId="61715E0C">
            <w:pPr>
              <w:tabs>
                <w:tab w:val="left" w:pos="1260"/>
              </w:tabs>
              <w:adjustRightInd w:val="0"/>
              <w:snapToGrid w:val="0"/>
              <w:spacing w:line="240" w:lineRule="exact"/>
              <w:ind w:left="-32" w:leftChars="-50" w:right="-121" w:rightChars="-46" w:hanging="100" w:hangingChars="51"/>
              <w:jc w:val="center"/>
              <w:rPr>
                <w:rFonts w:ascii="Arial" w:hAnsi="Arial" w:eastAsia="宋体" w:cs="Arial"/>
                <w:sz w:val="21"/>
                <w:szCs w:val="21"/>
              </w:rPr>
            </w:pPr>
            <w:r>
              <w:rPr>
                <w:rFonts w:ascii="Arial" w:hAnsi="Arial" w:eastAsia="宋体" w:cs="Arial"/>
                <w:sz w:val="21"/>
                <w:szCs w:val="21"/>
              </w:rPr>
              <w:t>/</w:t>
            </w:r>
          </w:p>
        </w:tc>
      </w:tr>
    </w:tbl>
    <w:p w14:paraId="0817D5FB">
      <w:pPr>
        <w:pStyle w:val="5"/>
        <w:ind w:firstLine="0"/>
        <w:sectPr>
          <w:pgSz w:w="16840" w:h="11907" w:orient="landscape"/>
          <w:pgMar w:top="1157" w:right="1134" w:bottom="1406" w:left="1134" w:header="1174" w:footer="1026" w:gutter="567"/>
          <w:cols w:space="720" w:num="1"/>
          <w:docGrid w:type="linesAndChars" w:linePitch="428" w:charSpace="-3161"/>
        </w:sectPr>
      </w:pPr>
    </w:p>
    <w:p w14:paraId="7011AE47">
      <w:pPr>
        <w:pStyle w:val="3"/>
        <w:numPr>
          <w:ilvl w:val="0"/>
          <w:numId w:val="1"/>
        </w:numPr>
        <w:tabs>
          <w:tab w:val="left" w:pos="1931"/>
          <w:tab w:val="clear" w:pos="3065"/>
        </w:tabs>
        <w:ind w:left="1276"/>
        <w:rPr>
          <w:rFonts w:ascii="Arial" w:hAnsi="Arial" w:cs="Arial"/>
          <w:spacing w:val="10"/>
        </w:rPr>
      </w:pPr>
      <w:bookmarkStart w:id="552" w:name="_Toc185950245"/>
      <w:bookmarkStart w:id="553" w:name="_Toc104677363"/>
      <w:bookmarkStart w:id="554" w:name="_Toc1742978"/>
      <w:r>
        <w:rPr>
          <w:rFonts w:ascii="Arial" w:hAnsi="Arial" w:cs="Arial"/>
          <w:spacing w:val="10"/>
        </w:rPr>
        <w:t>环境影响评价结论</w:t>
      </w:r>
      <w:bookmarkEnd w:id="552"/>
      <w:bookmarkEnd w:id="553"/>
      <w:bookmarkEnd w:id="554"/>
    </w:p>
    <w:p w14:paraId="7157DD97">
      <w:pPr>
        <w:pStyle w:val="4"/>
        <w:numPr>
          <w:ilvl w:val="0"/>
          <w:numId w:val="51"/>
        </w:numPr>
        <w:spacing w:before="214" w:beforeLines="50" w:after="214" w:afterLines="50" w:line="500" w:lineRule="exact"/>
        <w:rPr>
          <w:rFonts w:ascii="Arial" w:eastAsia="宋体" w:cs="Arial"/>
          <w:b/>
        </w:rPr>
      </w:pPr>
      <w:bookmarkStart w:id="555" w:name="_Toc185950246"/>
      <w:bookmarkStart w:id="556" w:name="_Toc104677364"/>
      <w:bookmarkStart w:id="557" w:name="_Toc1742979"/>
      <w:r>
        <w:rPr>
          <w:rFonts w:ascii="Arial" w:eastAsia="宋体" w:cs="Arial"/>
          <w:b/>
        </w:rPr>
        <w:t>项目概况</w:t>
      </w:r>
      <w:bookmarkEnd w:id="555"/>
      <w:bookmarkEnd w:id="556"/>
      <w:bookmarkEnd w:id="557"/>
    </w:p>
    <w:p w14:paraId="52DCD72D">
      <w:pPr>
        <w:pStyle w:val="5"/>
        <w:spacing w:line="480" w:lineRule="exact"/>
        <w:ind w:firstLine="490" w:firstLineChars="200"/>
      </w:pPr>
      <w:r>
        <w:rPr>
          <w:rFonts w:hint="eastAsia"/>
        </w:rPr>
        <w:t>广西中伟新能源项目一期二阶段（重大变动）</w:t>
      </w:r>
      <w:r>
        <w:t>位于钦州市钦州港区陆海大道以东、淡水湾大街以北，中伟南部基地内，中心坐标东经108.671592，北纬21.704016。项目在现有中伟南部基地X</w:t>
      </w:r>
      <w:r>
        <w:rPr>
          <w:rFonts w:hint="eastAsia"/>
        </w:rPr>
        <w:t>19车间</w:t>
      </w:r>
      <w:r>
        <w:t>内建设，不新增用地，</w:t>
      </w:r>
      <w:r>
        <w:rPr>
          <w:rFonts w:hint="eastAsia"/>
        </w:rPr>
        <w:t>将现有广西中伟新能源项目一期二阶段1条2.5万吨/年镍豆镍粉处置线</w:t>
      </w:r>
      <w:r>
        <w:t>变更为</w:t>
      </w:r>
      <w:r>
        <w:rPr>
          <w:rFonts w:hint="eastAsia"/>
        </w:rPr>
        <w:t>1条1200吨/年</w:t>
      </w:r>
      <w:r>
        <w:t>羟基钴生产线。一期二阶段总投资</w:t>
      </w:r>
      <w:r>
        <w:rPr>
          <w:rFonts w:hint="eastAsia"/>
        </w:rPr>
        <w:t>260800万元，其中本</w:t>
      </w:r>
      <w:r>
        <w:t>项目（</w:t>
      </w:r>
      <w:r>
        <w:rPr>
          <w:rFonts w:hint="eastAsia"/>
        </w:rPr>
        <w:t>将镍豆镍粉处置线变更为羟基钴生产线</w:t>
      </w:r>
      <w:r>
        <w:t>）总投资</w:t>
      </w:r>
      <w:r>
        <w:rPr>
          <w:rFonts w:hint="eastAsia"/>
        </w:rPr>
        <w:t>1</w:t>
      </w:r>
      <w:r>
        <w:t>000</w:t>
      </w:r>
      <w:r>
        <w:rPr>
          <w:szCs w:val="24"/>
        </w:rPr>
        <w:t>万</w:t>
      </w:r>
      <w:r>
        <w:t>元，环保投资</w:t>
      </w:r>
      <w:r>
        <w:rPr>
          <w:rFonts w:hint="eastAsia"/>
        </w:rPr>
        <w:t>20</w:t>
      </w:r>
      <w:r>
        <w:t>0万元，占项目总投资的</w:t>
      </w:r>
      <w:r>
        <w:rPr>
          <w:rFonts w:hint="eastAsia"/>
        </w:rPr>
        <w:t>20</w:t>
      </w:r>
      <w:r>
        <w:t>%。</w:t>
      </w:r>
    </w:p>
    <w:p w14:paraId="7D37B3C8">
      <w:pPr>
        <w:pStyle w:val="4"/>
        <w:numPr>
          <w:ilvl w:val="0"/>
          <w:numId w:val="51"/>
        </w:numPr>
        <w:spacing w:before="214" w:beforeLines="50" w:after="214" w:afterLines="50" w:line="500" w:lineRule="exact"/>
        <w:rPr>
          <w:rFonts w:ascii="Arial" w:eastAsia="宋体" w:cs="Arial"/>
          <w:b/>
        </w:rPr>
      </w:pPr>
      <w:bookmarkStart w:id="558" w:name="_Toc185950247"/>
      <w:bookmarkStart w:id="559" w:name="_Toc104677365"/>
      <w:bookmarkStart w:id="560" w:name="_Toc1742980"/>
      <w:r>
        <w:rPr>
          <w:rFonts w:ascii="Arial" w:eastAsia="宋体" w:cs="Arial"/>
          <w:b/>
        </w:rPr>
        <w:t>污染物排放情况</w:t>
      </w:r>
      <w:bookmarkEnd w:id="558"/>
      <w:bookmarkEnd w:id="559"/>
      <w:bookmarkEnd w:id="560"/>
    </w:p>
    <w:p w14:paraId="5CF90913">
      <w:pPr>
        <w:pStyle w:val="523"/>
        <w:spacing w:line="500" w:lineRule="exact"/>
        <w:ind w:firstLine="489"/>
        <w:rPr>
          <w:rFonts w:ascii="Arial" w:hAnsi="Arial" w:eastAsia="宋体" w:cs="Arial"/>
          <w:spacing w:val="10"/>
        </w:rPr>
      </w:pPr>
      <w:r>
        <w:rPr>
          <w:rFonts w:ascii="Arial" w:hAnsi="Arial" w:eastAsia="宋体" w:cs="Arial"/>
          <w:spacing w:val="10"/>
        </w:rPr>
        <w:t>项目变更前后污染物排放见表8-1。</w:t>
      </w:r>
    </w:p>
    <w:p w14:paraId="58DDFCD6">
      <w:pPr>
        <w:pStyle w:val="5"/>
        <w:keepNext/>
        <w:spacing w:line="500" w:lineRule="exact"/>
        <w:ind w:firstLine="0"/>
        <w:jc w:val="center"/>
        <w:outlineLvl w:val="4"/>
      </w:pPr>
      <w:r>
        <w:rPr>
          <w:b/>
        </w:rPr>
        <w:t>表8-1  项目变更前后污染物排放情况（t</w:t>
      </w:r>
      <w:r>
        <w:rPr>
          <w:rFonts w:hint="eastAsia"/>
          <w:b/>
        </w:rPr>
        <w:t>/a</w:t>
      </w:r>
      <w:r>
        <w:rPr>
          <w:b/>
        </w:rPr>
        <w:t>）</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279"/>
        <w:gridCol w:w="1786"/>
        <w:gridCol w:w="1644"/>
        <w:gridCol w:w="1644"/>
        <w:gridCol w:w="1874"/>
      </w:tblGrid>
      <w:tr w14:paraId="02068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shd w:val="clear" w:color="auto" w:fill="auto"/>
            <w:vAlign w:val="center"/>
          </w:tcPr>
          <w:p w14:paraId="57397CE6">
            <w:pPr>
              <w:pStyle w:val="5"/>
              <w:adjustRightInd w:val="0"/>
              <w:snapToGrid w:val="0"/>
              <w:spacing w:line="240" w:lineRule="auto"/>
              <w:ind w:firstLine="0"/>
              <w:jc w:val="center"/>
              <w:rPr>
                <w:sz w:val="21"/>
                <w:szCs w:val="21"/>
              </w:rPr>
            </w:pPr>
            <w:bookmarkStart w:id="561" w:name="_Toc1742981"/>
            <w:bookmarkStart w:id="562" w:name="_Toc104677366"/>
            <w:r>
              <w:rPr>
                <w:sz w:val="21"/>
                <w:szCs w:val="21"/>
              </w:rPr>
              <w:t>类别</w:t>
            </w:r>
          </w:p>
        </w:tc>
        <w:tc>
          <w:tcPr>
            <w:tcW w:w="993" w:type="pct"/>
            <w:shd w:val="clear" w:color="auto" w:fill="auto"/>
            <w:vAlign w:val="center"/>
          </w:tcPr>
          <w:p w14:paraId="5379779E">
            <w:pPr>
              <w:pStyle w:val="5"/>
              <w:adjustRightInd w:val="0"/>
              <w:snapToGrid w:val="0"/>
              <w:spacing w:line="240" w:lineRule="auto"/>
              <w:ind w:firstLine="0"/>
              <w:jc w:val="center"/>
              <w:rPr>
                <w:sz w:val="21"/>
                <w:szCs w:val="21"/>
              </w:rPr>
            </w:pPr>
            <w:r>
              <w:rPr>
                <w:sz w:val="21"/>
                <w:szCs w:val="21"/>
              </w:rPr>
              <w:t>项目</w:t>
            </w:r>
          </w:p>
        </w:tc>
        <w:tc>
          <w:tcPr>
            <w:tcW w:w="914" w:type="pct"/>
            <w:shd w:val="clear" w:color="auto" w:fill="auto"/>
            <w:noWrap/>
            <w:vAlign w:val="center"/>
          </w:tcPr>
          <w:p w14:paraId="75EED019">
            <w:pPr>
              <w:adjustRightInd w:val="0"/>
              <w:snapToGrid w:val="0"/>
              <w:jc w:val="center"/>
              <w:rPr>
                <w:rFonts w:ascii="Arial" w:hAnsi="Arial" w:eastAsia="宋体" w:cs="Arial"/>
                <w:sz w:val="21"/>
                <w:szCs w:val="21"/>
              </w:rPr>
            </w:pPr>
            <w:r>
              <w:rPr>
                <w:rFonts w:ascii="Arial" w:hAnsi="Arial" w:eastAsia="宋体" w:cs="Arial"/>
                <w:sz w:val="21"/>
                <w:szCs w:val="21"/>
              </w:rPr>
              <w:t>变更前排放量</w:t>
            </w:r>
          </w:p>
        </w:tc>
        <w:tc>
          <w:tcPr>
            <w:tcW w:w="914" w:type="pct"/>
            <w:shd w:val="clear" w:color="auto" w:fill="auto"/>
            <w:noWrap/>
            <w:vAlign w:val="center"/>
          </w:tcPr>
          <w:p w14:paraId="65B237E8">
            <w:pPr>
              <w:adjustRightInd w:val="0"/>
              <w:snapToGrid w:val="0"/>
              <w:jc w:val="center"/>
              <w:rPr>
                <w:rFonts w:ascii="Arial" w:hAnsi="Arial" w:eastAsia="宋体" w:cs="Arial"/>
                <w:sz w:val="21"/>
                <w:szCs w:val="21"/>
              </w:rPr>
            </w:pPr>
            <w:r>
              <w:rPr>
                <w:rFonts w:ascii="Arial" w:hAnsi="Arial" w:eastAsia="宋体" w:cs="Arial"/>
                <w:sz w:val="21"/>
                <w:szCs w:val="21"/>
              </w:rPr>
              <w:t>变更后排放量</w:t>
            </w:r>
          </w:p>
        </w:tc>
        <w:tc>
          <w:tcPr>
            <w:tcW w:w="1042" w:type="pct"/>
            <w:shd w:val="clear" w:color="auto" w:fill="auto"/>
            <w:noWrap/>
            <w:vAlign w:val="center"/>
          </w:tcPr>
          <w:p w14:paraId="01179D9F">
            <w:pPr>
              <w:adjustRightInd w:val="0"/>
              <w:snapToGrid w:val="0"/>
              <w:jc w:val="center"/>
              <w:rPr>
                <w:rFonts w:ascii="Arial" w:hAnsi="Arial" w:eastAsia="宋体" w:cs="Arial"/>
                <w:sz w:val="21"/>
                <w:szCs w:val="21"/>
              </w:rPr>
            </w:pPr>
            <w:r>
              <w:rPr>
                <w:rFonts w:ascii="Arial" w:hAnsi="Arial" w:eastAsia="宋体" w:cs="Arial"/>
                <w:sz w:val="21"/>
                <w:szCs w:val="21"/>
              </w:rPr>
              <w:t>变更前后增减量</w:t>
            </w:r>
          </w:p>
        </w:tc>
      </w:tr>
      <w:tr w14:paraId="1DDFF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Merge w:val="restart"/>
            <w:shd w:val="clear" w:color="auto" w:fill="auto"/>
            <w:vAlign w:val="center"/>
          </w:tcPr>
          <w:p w14:paraId="4F097AA7">
            <w:pPr>
              <w:pStyle w:val="5"/>
              <w:adjustRightInd w:val="0"/>
              <w:snapToGrid w:val="0"/>
              <w:spacing w:line="240" w:lineRule="auto"/>
              <w:ind w:firstLine="0"/>
              <w:jc w:val="center"/>
              <w:rPr>
                <w:sz w:val="21"/>
                <w:szCs w:val="21"/>
              </w:rPr>
            </w:pPr>
            <w:r>
              <w:rPr>
                <w:sz w:val="21"/>
                <w:szCs w:val="21"/>
              </w:rPr>
              <w:t>废气</w:t>
            </w:r>
          </w:p>
        </w:tc>
        <w:tc>
          <w:tcPr>
            <w:tcW w:w="993" w:type="pct"/>
            <w:shd w:val="clear" w:color="auto" w:fill="auto"/>
            <w:vAlign w:val="center"/>
          </w:tcPr>
          <w:p w14:paraId="39B348DF">
            <w:pPr>
              <w:adjustRightInd w:val="0"/>
              <w:snapToGrid w:val="0"/>
              <w:jc w:val="center"/>
              <w:rPr>
                <w:rFonts w:ascii="Arial" w:hAnsi="Arial" w:eastAsia="宋体" w:cs="Arial"/>
                <w:sz w:val="21"/>
                <w:szCs w:val="24"/>
              </w:rPr>
            </w:pPr>
            <w:r>
              <w:rPr>
                <w:rFonts w:ascii="Arial" w:hAnsi="Arial" w:eastAsia="宋体" w:cs="Arial"/>
                <w:sz w:val="21"/>
                <w:szCs w:val="24"/>
              </w:rPr>
              <w:t>颗粒物</w:t>
            </w:r>
          </w:p>
        </w:tc>
        <w:tc>
          <w:tcPr>
            <w:tcW w:w="914" w:type="pct"/>
            <w:shd w:val="clear" w:color="auto" w:fill="auto"/>
            <w:noWrap/>
            <w:vAlign w:val="center"/>
          </w:tcPr>
          <w:p w14:paraId="2DFF6955">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914" w:type="pct"/>
            <w:shd w:val="clear" w:color="auto" w:fill="auto"/>
            <w:noWrap/>
            <w:vAlign w:val="center"/>
          </w:tcPr>
          <w:p w14:paraId="3A789EF2">
            <w:pPr>
              <w:pStyle w:val="5"/>
              <w:adjustRightInd w:val="0"/>
              <w:snapToGrid w:val="0"/>
              <w:spacing w:line="240" w:lineRule="auto"/>
              <w:ind w:firstLine="0"/>
              <w:jc w:val="center"/>
              <w:rPr>
                <w:sz w:val="21"/>
                <w:szCs w:val="21"/>
                <w:u w:val="single"/>
              </w:rPr>
            </w:pPr>
            <w:r>
              <w:rPr>
                <w:rFonts w:hint="eastAsia"/>
                <w:sz w:val="21"/>
                <w:szCs w:val="21"/>
                <w:u w:val="single"/>
              </w:rPr>
              <w:t>1.6579</w:t>
            </w:r>
          </w:p>
        </w:tc>
        <w:tc>
          <w:tcPr>
            <w:tcW w:w="1042" w:type="pct"/>
            <w:shd w:val="clear" w:color="auto" w:fill="auto"/>
            <w:noWrap/>
            <w:vAlign w:val="center"/>
          </w:tcPr>
          <w:p w14:paraId="4076852D">
            <w:pPr>
              <w:pStyle w:val="5"/>
              <w:adjustRightInd w:val="0"/>
              <w:snapToGrid w:val="0"/>
              <w:spacing w:line="240" w:lineRule="auto"/>
              <w:ind w:firstLine="0"/>
              <w:jc w:val="center"/>
              <w:rPr>
                <w:sz w:val="21"/>
                <w:szCs w:val="21"/>
                <w:u w:val="single"/>
              </w:rPr>
            </w:pPr>
            <w:r>
              <w:rPr>
                <w:rFonts w:hint="eastAsia"/>
                <w:sz w:val="21"/>
                <w:szCs w:val="21"/>
                <w:u w:val="single"/>
              </w:rPr>
              <w:t>+1.6579</w:t>
            </w:r>
          </w:p>
        </w:tc>
      </w:tr>
      <w:tr w14:paraId="11FB6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Merge w:val="continue"/>
            <w:shd w:val="clear" w:color="auto" w:fill="auto"/>
            <w:vAlign w:val="center"/>
          </w:tcPr>
          <w:p w14:paraId="33605855">
            <w:pPr>
              <w:pStyle w:val="5"/>
              <w:adjustRightInd w:val="0"/>
              <w:snapToGrid w:val="0"/>
              <w:spacing w:line="240" w:lineRule="auto"/>
              <w:ind w:firstLine="0"/>
              <w:jc w:val="center"/>
              <w:rPr>
                <w:sz w:val="21"/>
                <w:szCs w:val="21"/>
              </w:rPr>
            </w:pPr>
          </w:p>
        </w:tc>
        <w:tc>
          <w:tcPr>
            <w:tcW w:w="993" w:type="pct"/>
            <w:shd w:val="clear" w:color="auto" w:fill="auto"/>
            <w:vAlign w:val="center"/>
          </w:tcPr>
          <w:p w14:paraId="12298A3A">
            <w:pPr>
              <w:adjustRightInd w:val="0"/>
              <w:snapToGrid w:val="0"/>
              <w:jc w:val="center"/>
              <w:rPr>
                <w:rFonts w:ascii="Arial" w:hAnsi="Arial" w:eastAsia="宋体" w:cs="Arial"/>
                <w:sz w:val="21"/>
                <w:szCs w:val="24"/>
              </w:rPr>
            </w:pPr>
            <w:r>
              <w:rPr>
                <w:rFonts w:ascii="Arial" w:hAnsi="Arial" w:eastAsia="宋体" w:cs="Arial"/>
                <w:sz w:val="21"/>
                <w:szCs w:val="24"/>
              </w:rPr>
              <w:t>钴及其化合物</w:t>
            </w:r>
          </w:p>
        </w:tc>
        <w:tc>
          <w:tcPr>
            <w:tcW w:w="914" w:type="pct"/>
            <w:shd w:val="clear" w:color="auto" w:fill="auto"/>
            <w:noWrap/>
            <w:vAlign w:val="center"/>
          </w:tcPr>
          <w:p w14:paraId="5EA88246">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914" w:type="pct"/>
            <w:shd w:val="clear" w:color="auto" w:fill="auto"/>
            <w:noWrap/>
            <w:vAlign w:val="center"/>
          </w:tcPr>
          <w:p w14:paraId="019AA1E8">
            <w:pPr>
              <w:pStyle w:val="5"/>
              <w:adjustRightInd w:val="0"/>
              <w:snapToGrid w:val="0"/>
              <w:spacing w:line="240" w:lineRule="auto"/>
              <w:ind w:firstLine="0"/>
              <w:jc w:val="center"/>
              <w:rPr>
                <w:sz w:val="21"/>
                <w:szCs w:val="21"/>
                <w:u w:val="single"/>
              </w:rPr>
            </w:pPr>
            <w:r>
              <w:rPr>
                <w:rFonts w:hint="eastAsia"/>
                <w:sz w:val="21"/>
                <w:szCs w:val="21"/>
                <w:u w:val="single"/>
              </w:rPr>
              <w:t>1.0292</w:t>
            </w:r>
          </w:p>
        </w:tc>
        <w:tc>
          <w:tcPr>
            <w:tcW w:w="1042" w:type="pct"/>
            <w:shd w:val="clear" w:color="auto" w:fill="auto"/>
            <w:noWrap/>
            <w:vAlign w:val="center"/>
          </w:tcPr>
          <w:p w14:paraId="2441F908">
            <w:pPr>
              <w:pStyle w:val="5"/>
              <w:adjustRightInd w:val="0"/>
              <w:snapToGrid w:val="0"/>
              <w:spacing w:line="240" w:lineRule="auto"/>
              <w:ind w:firstLine="0"/>
              <w:jc w:val="center"/>
              <w:rPr>
                <w:sz w:val="21"/>
                <w:szCs w:val="21"/>
                <w:u w:val="single"/>
              </w:rPr>
            </w:pPr>
            <w:r>
              <w:rPr>
                <w:rFonts w:hint="eastAsia"/>
                <w:sz w:val="21"/>
                <w:szCs w:val="21"/>
                <w:u w:val="single"/>
              </w:rPr>
              <w:t>+1.0292</w:t>
            </w:r>
          </w:p>
        </w:tc>
      </w:tr>
      <w:tr w14:paraId="05A23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Merge w:val="continue"/>
            <w:shd w:val="clear" w:color="auto" w:fill="auto"/>
            <w:vAlign w:val="center"/>
          </w:tcPr>
          <w:p w14:paraId="73BC9276">
            <w:pPr>
              <w:pStyle w:val="5"/>
              <w:adjustRightInd w:val="0"/>
              <w:snapToGrid w:val="0"/>
              <w:spacing w:line="240" w:lineRule="auto"/>
              <w:ind w:firstLine="0"/>
              <w:jc w:val="center"/>
              <w:rPr>
                <w:sz w:val="21"/>
                <w:szCs w:val="21"/>
              </w:rPr>
            </w:pPr>
          </w:p>
        </w:tc>
        <w:tc>
          <w:tcPr>
            <w:tcW w:w="993" w:type="pct"/>
            <w:shd w:val="clear" w:color="auto" w:fill="auto"/>
            <w:vAlign w:val="center"/>
          </w:tcPr>
          <w:p w14:paraId="244BAB19">
            <w:pPr>
              <w:adjustRightInd w:val="0"/>
              <w:snapToGrid w:val="0"/>
              <w:jc w:val="center"/>
              <w:rPr>
                <w:rFonts w:ascii="Arial" w:hAnsi="Arial" w:eastAsia="宋体" w:cs="Arial"/>
                <w:sz w:val="21"/>
                <w:szCs w:val="24"/>
              </w:rPr>
            </w:pPr>
            <w:r>
              <w:rPr>
                <w:rFonts w:ascii="Arial" w:hAnsi="Arial" w:eastAsia="宋体" w:cs="Arial"/>
                <w:sz w:val="21"/>
                <w:szCs w:val="24"/>
              </w:rPr>
              <w:t>氨气</w:t>
            </w:r>
          </w:p>
        </w:tc>
        <w:tc>
          <w:tcPr>
            <w:tcW w:w="914" w:type="pct"/>
            <w:shd w:val="clear" w:color="auto" w:fill="auto"/>
            <w:noWrap/>
            <w:vAlign w:val="center"/>
          </w:tcPr>
          <w:p w14:paraId="05EFA172">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914" w:type="pct"/>
            <w:shd w:val="clear" w:color="auto" w:fill="auto"/>
            <w:noWrap/>
            <w:vAlign w:val="center"/>
          </w:tcPr>
          <w:p w14:paraId="55115134">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c>
          <w:tcPr>
            <w:tcW w:w="1042" w:type="pct"/>
            <w:shd w:val="clear" w:color="auto" w:fill="auto"/>
            <w:noWrap/>
            <w:vAlign w:val="center"/>
          </w:tcPr>
          <w:p w14:paraId="146519FA">
            <w:pPr>
              <w:widowControl/>
              <w:adjustRightInd w:val="0"/>
              <w:snapToGrid w:val="0"/>
              <w:jc w:val="center"/>
              <w:rPr>
                <w:rFonts w:ascii="Arial" w:hAnsi="Arial" w:eastAsia="宋体" w:cs="Arial"/>
                <w:kern w:val="0"/>
                <w:sz w:val="21"/>
              </w:rPr>
            </w:pPr>
            <w:r>
              <w:rPr>
                <w:rFonts w:hint="eastAsia" w:ascii="Arial" w:hAnsi="Arial" w:eastAsia="宋体" w:cs="Arial"/>
                <w:kern w:val="0"/>
                <w:sz w:val="21"/>
              </w:rPr>
              <w:t>+3.3399</w:t>
            </w:r>
          </w:p>
        </w:tc>
      </w:tr>
      <w:tr w14:paraId="36360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Merge w:val="continue"/>
            <w:shd w:val="clear" w:color="auto" w:fill="auto"/>
            <w:vAlign w:val="center"/>
          </w:tcPr>
          <w:p w14:paraId="3B0D07AC">
            <w:pPr>
              <w:pStyle w:val="5"/>
              <w:adjustRightInd w:val="0"/>
              <w:snapToGrid w:val="0"/>
              <w:spacing w:line="240" w:lineRule="auto"/>
              <w:ind w:firstLine="0"/>
              <w:jc w:val="center"/>
              <w:rPr>
                <w:sz w:val="21"/>
                <w:szCs w:val="21"/>
              </w:rPr>
            </w:pPr>
          </w:p>
        </w:tc>
        <w:tc>
          <w:tcPr>
            <w:tcW w:w="993" w:type="pct"/>
            <w:shd w:val="clear" w:color="auto" w:fill="auto"/>
            <w:vAlign w:val="center"/>
          </w:tcPr>
          <w:p w14:paraId="7DEC228E">
            <w:pPr>
              <w:adjustRightInd w:val="0"/>
              <w:snapToGrid w:val="0"/>
              <w:jc w:val="center"/>
              <w:rPr>
                <w:rFonts w:ascii="Arial" w:hAnsi="Arial" w:eastAsia="宋体" w:cs="Arial"/>
                <w:sz w:val="21"/>
                <w:szCs w:val="21"/>
              </w:rPr>
            </w:pPr>
            <w:r>
              <w:rPr>
                <w:rFonts w:ascii="Arial" w:hAnsi="Arial" w:eastAsia="宋体" w:cs="Arial"/>
                <w:sz w:val="21"/>
                <w:szCs w:val="21"/>
              </w:rPr>
              <w:t>硫酸雾</w:t>
            </w:r>
          </w:p>
        </w:tc>
        <w:tc>
          <w:tcPr>
            <w:tcW w:w="914" w:type="pct"/>
            <w:shd w:val="clear" w:color="auto" w:fill="auto"/>
            <w:noWrap/>
            <w:vAlign w:val="center"/>
          </w:tcPr>
          <w:p w14:paraId="66F68FF4">
            <w:pPr>
              <w:adjustRightInd w:val="0"/>
              <w:snapToGrid w:val="0"/>
              <w:jc w:val="center"/>
              <w:rPr>
                <w:rFonts w:ascii="Arial" w:hAnsi="Arial" w:eastAsia="宋体" w:cs="Arial"/>
                <w:sz w:val="21"/>
                <w:szCs w:val="21"/>
              </w:rPr>
            </w:pPr>
            <w:r>
              <w:rPr>
                <w:rFonts w:ascii="Arial" w:hAnsi="Arial" w:eastAsia="宋体" w:cs="Arial"/>
                <w:sz w:val="21"/>
                <w:szCs w:val="21"/>
              </w:rPr>
              <w:t>8.012</w:t>
            </w:r>
          </w:p>
        </w:tc>
        <w:tc>
          <w:tcPr>
            <w:tcW w:w="914" w:type="pct"/>
            <w:shd w:val="clear" w:color="auto" w:fill="auto"/>
            <w:noWrap/>
            <w:vAlign w:val="center"/>
          </w:tcPr>
          <w:p w14:paraId="1BFD72E9">
            <w:pPr>
              <w:adjustRightInd w:val="0"/>
              <w:snapToGrid w:val="0"/>
              <w:jc w:val="center"/>
              <w:rPr>
                <w:rFonts w:ascii="Arial" w:hAnsi="Arial" w:eastAsia="宋体" w:cs="Arial"/>
                <w:sz w:val="21"/>
                <w:szCs w:val="21"/>
              </w:rPr>
            </w:pPr>
            <w:r>
              <w:rPr>
                <w:rFonts w:ascii="Arial" w:hAnsi="Arial" w:eastAsia="宋体" w:cs="Arial"/>
                <w:sz w:val="21"/>
                <w:szCs w:val="21"/>
              </w:rPr>
              <w:t>0</w:t>
            </w:r>
          </w:p>
        </w:tc>
        <w:tc>
          <w:tcPr>
            <w:tcW w:w="1042" w:type="pct"/>
            <w:shd w:val="clear" w:color="auto" w:fill="auto"/>
            <w:noWrap/>
            <w:vAlign w:val="center"/>
          </w:tcPr>
          <w:p w14:paraId="652E245E">
            <w:pPr>
              <w:adjustRightInd w:val="0"/>
              <w:snapToGrid w:val="0"/>
              <w:jc w:val="center"/>
              <w:rPr>
                <w:rFonts w:ascii="Arial" w:hAnsi="Arial" w:eastAsia="宋体" w:cs="Arial"/>
                <w:sz w:val="21"/>
                <w:szCs w:val="21"/>
              </w:rPr>
            </w:pPr>
            <w:r>
              <w:rPr>
                <w:rFonts w:ascii="Arial" w:hAnsi="Arial" w:eastAsia="宋体" w:cs="Arial"/>
                <w:sz w:val="21"/>
                <w:szCs w:val="21"/>
              </w:rPr>
              <w:t>-8.012</w:t>
            </w:r>
          </w:p>
        </w:tc>
      </w:tr>
      <w:tr w14:paraId="49B3D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restart"/>
            <w:shd w:val="clear" w:color="auto" w:fill="auto"/>
            <w:vAlign w:val="center"/>
          </w:tcPr>
          <w:p w14:paraId="52CAC0FE">
            <w:pPr>
              <w:pStyle w:val="5"/>
              <w:adjustRightInd w:val="0"/>
              <w:snapToGrid w:val="0"/>
              <w:spacing w:line="240" w:lineRule="auto"/>
              <w:ind w:firstLine="0"/>
              <w:jc w:val="center"/>
              <w:rPr>
                <w:sz w:val="21"/>
                <w:szCs w:val="21"/>
              </w:rPr>
            </w:pPr>
            <w:r>
              <w:rPr>
                <w:sz w:val="21"/>
                <w:szCs w:val="21"/>
              </w:rPr>
              <w:t>废水</w:t>
            </w:r>
          </w:p>
        </w:tc>
        <w:tc>
          <w:tcPr>
            <w:tcW w:w="711" w:type="pct"/>
            <w:vMerge w:val="restart"/>
            <w:shd w:val="clear" w:color="auto" w:fill="auto"/>
            <w:vAlign w:val="center"/>
          </w:tcPr>
          <w:p w14:paraId="475AB8A6">
            <w:pPr>
              <w:pStyle w:val="5"/>
              <w:adjustRightInd w:val="0"/>
              <w:snapToGrid w:val="0"/>
              <w:spacing w:line="240" w:lineRule="auto"/>
              <w:ind w:firstLine="0"/>
              <w:jc w:val="center"/>
              <w:rPr>
                <w:sz w:val="21"/>
                <w:szCs w:val="21"/>
              </w:rPr>
            </w:pPr>
            <w:r>
              <w:rPr>
                <w:sz w:val="21"/>
                <w:szCs w:val="21"/>
              </w:rPr>
              <w:t>生产废水</w:t>
            </w:r>
          </w:p>
        </w:tc>
        <w:tc>
          <w:tcPr>
            <w:tcW w:w="993" w:type="pct"/>
            <w:shd w:val="clear" w:color="auto" w:fill="auto"/>
            <w:vAlign w:val="center"/>
          </w:tcPr>
          <w:p w14:paraId="7E6A931D">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914" w:type="pct"/>
            <w:shd w:val="clear" w:color="auto" w:fill="auto"/>
            <w:noWrap/>
            <w:vAlign w:val="center"/>
          </w:tcPr>
          <w:p w14:paraId="599AC56E">
            <w:pPr>
              <w:adjustRightInd w:val="0"/>
              <w:snapToGrid w:val="0"/>
              <w:jc w:val="center"/>
              <w:rPr>
                <w:rFonts w:ascii="Arial" w:hAnsi="Arial" w:eastAsia="宋体" w:cs="Arial"/>
                <w:sz w:val="21"/>
                <w:szCs w:val="21"/>
              </w:rPr>
            </w:pPr>
            <w:r>
              <w:rPr>
                <w:rFonts w:ascii="Arial" w:hAnsi="Arial" w:eastAsia="宋体" w:cs="Arial"/>
                <w:sz w:val="21"/>
                <w:szCs w:val="21"/>
              </w:rPr>
              <w:t>144767.7</w:t>
            </w:r>
          </w:p>
        </w:tc>
        <w:tc>
          <w:tcPr>
            <w:tcW w:w="914" w:type="pct"/>
            <w:shd w:val="clear" w:color="auto" w:fill="auto"/>
            <w:noWrap/>
            <w:vAlign w:val="center"/>
          </w:tcPr>
          <w:p w14:paraId="2194FD95">
            <w:pPr>
              <w:adjustRightInd w:val="0"/>
              <w:snapToGrid w:val="0"/>
              <w:jc w:val="center"/>
              <w:rPr>
                <w:rFonts w:ascii="Arial" w:hAnsi="Arial" w:eastAsia="宋体" w:cs="Arial"/>
                <w:sz w:val="21"/>
                <w:szCs w:val="21"/>
              </w:rPr>
            </w:pPr>
            <w:r>
              <w:rPr>
                <w:rFonts w:hint="eastAsia" w:ascii="Arial" w:hAnsi="Arial" w:eastAsia="宋体" w:cs="Arial"/>
                <w:sz w:val="21"/>
                <w:szCs w:val="21"/>
              </w:rPr>
              <w:t>26054.2</w:t>
            </w:r>
          </w:p>
        </w:tc>
        <w:tc>
          <w:tcPr>
            <w:tcW w:w="1042" w:type="pct"/>
            <w:shd w:val="clear" w:color="auto" w:fill="auto"/>
            <w:noWrap/>
            <w:vAlign w:val="center"/>
          </w:tcPr>
          <w:p w14:paraId="6BD0F0D4">
            <w:pPr>
              <w:adjustRightInd w:val="0"/>
              <w:snapToGrid w:val="0"/>
              <w:jc w:val="center"/>
              <w:rPr>
                <w:rFonts w:ascii="Arial" w:hAnsi="Arial" w:eastAsia="宋体" w:cs="Arial"/>
                <w:sz w:val="21"/>
                <w:szCs w:val="21"/>
              </w:rPr>
            </w:pPr>
            <w:r>
              <w:rPr>
                <w:rFonts w:hint="eastAsia" w:ascii="Arial" w:hAnsi="Arial" w:eastAsia="宋体" w:cs="Arial"/>
                <w:sz w:val="21"/>
                <w:szCs w:val="21"/>
              </w:rPr>
              <w:t>-118713.5</w:t>
            </w:r>
          </w:p>
        </w:tc>
      </w:tr>
      <w:tr w14:paraId="36834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13FC2353">
            <w:pPr>
              <w:pStyle w:val="5"/>
              <w:adjustRightInd w:val="0"/>
              <w:snapToGrid w:val="0"/>
              <w:spacing w:line="240" w:lineRule="auto"/>
              <w:ind w:firstLine="0"/>
              <w:jc w:val="center"/>
              <w:rPr>
                <w:sz w:val="21"/>
                <w:szCs w:val="21"/>
              </w:rPr>
            </w:pPr>
          </w:p>
        </w:tc>
        <w:tc>
          <w:tcPr>
            <w:tcW w:w="711" w:type="pct"/>
            <w:vMerge w:val="continue"/>
            <w:shd w:val="clear" w:color="auto" w:fill="auto"/>
            <w:vAlign w:val="center"/>
          </w:tcPr>
          <w:p w14:paraId="4AE3D71B">
            <w:pPr>
              <w:pStyle w:val="5"/>
              <w:adjustRightInd w:val="0"/>
              <w:snapToGrid w:val="0"/>
              <w:spacing w:line="240" w:lineRule="auto"/>
              <w:ind w:firstLine="0"/>
              <w:jc w:val="center"/>
              <w:rPr>
                <w:sz w:val="21"/>
                <w:szCs w:val="21"/>
              </w:rPr>
            </w:pPr>
          </w:p>
        </w:tc>
        <w:tc>
          <w:tcPr>
            <w:tcW w:w="993" w:type="pct"/>
            <w:shd w:val="clear" w:color="auto" w:fill="auto"/>
            <w:vAlign w:val="center"/>
          </w:tcPr>
          <w:p w14:paraId="21C00A3E">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硫酸盐</w:t>
            </w:r>
          </w:p>
        </w:tc>
        <w:tc>
          <w:tcPr>
            <w:tcW w:w="914" w:type="pct"/>
            <w:shd w:val="clear" w:color="auto" w:fill="auto"/>
            <w:noWrap/>
            <w:vAlign w:val="center"/>
          </w:tcPr>
          <w:p w14:paraId="5F55A16C">
            <w:pPr>
              <w:adjustRightInd w:val="0"/>
              <w:snapToGrid w:val="0"/>
              <w:jc w:val="center"/>
              <w:rPr>
                <w:rFonts w:ascii="Arial" w:hAnsi="Arial" w:eastAsia="宋体" w:cs="Arial"/>
                <w:sz w:val="21"/>
                <w:szCs w:val="21"/>
              </w:rPr>
            </w:pPr>
            <w:r>
              <w:rPr>
                <w:rFonts w:hint="eastAsia" w:ascii="Arial" w:hAnsi="Arial" w:eastAsia="宋体" w:cs="Arial"/>
                <w:sz w:val="21"/>
                <w:szCs w:val="21"/>
              </w:rPr>
              <w:t>28.9535</w:t>
            </w:r>
          </w:p>
        </w:tc>
        <w:tc>
          <w:tcPr>
            <w:tcW w:w="914" w:type="pct"/>
            <w:shd w:val="clear" w:color="auto" w:fill="auto"/>
            <w:noWrap/>
            <w:vAlign w:val="center"/>
          </w:tcPr>
          <w:p w14:paraId="731E8F36">
            <w:pPr>
              <w:adjustRightInd w:val="0"/>
              <w:snapToGrid w:val="0"/>
              <w:jc w:val="center"/>
              <w:rPr>
                <w:rFonts w:ascii="Arial" w:hAnsi="Arial" w:eastAsia="宋体" w:cs="Arial"/>
                <w:sz w:val="21"/>
                <w:szCs w:val="21"/>
              </w:rPr>
            </w:pPr>
            <w:r>
              <w:rPr>
                <w:rFonts w:hint="eastAsia" w:ascii="Arial" w:hAnsi="Arial" w:eastAsia="宋体" w:cs="Arial"/>
                <w:sz w:val="21"/>
                <w:szCs w:val="21"/>
              </w:rPr>
              <w:t>90.3812</w:t>
            </w:r>
          </w:p>
        </w:tc>
        <w:tc>
          <w:tcPr>
            <w:tcW w:w="1042" w:type="pct"/>
            <w:shd w:val="clear" w:color="auto" w:fill="auto"/>
            <w:noWrap/>
            <w:vAlign w:val="center"/>
          </w:tcPr>
          <w:p w14:paraId="766908CB">
            <w:pPr>
              <w:adjustRightInd w:val="0"/>
              <w:snapToGrid w:val="0"/>
              <w:jc w:val="center"/>
              <w:rPr>
                <w:rFonts w:ascii="Arial" w:hAnsi="Arial" w:eastAsia="宋体" w:cs="Arial"/>
                <w:sz w:val="21"/>
                <w:szCs w:val="21"/>
              </w:rPr>
            </w:pPr>
            <w:r>
              <w:rPr>
                <w:rFonts w:hint="eastAsia" w:ascii="Arial" w:hAnsi="Arial" w:eastAsia="宋体" w:cs="Arial"/>
                <w:sz w:val="21"/>
                <w:szCs w:val="21"/>
              </w:rPr>
              <w:t>+61.4277</w:t>
            </w:r>
          </w:p>
        </w:tc>
      </w:tr>
      <w:tr w14:paraId="21864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668BEAC8">
            <w:pPr>
              <w:pStyle w:val="5"/>
              <w:adjustRightInd w:val="0"/>
              <w:snapToGrid w:val="0"/>
              <w:spacing w:line="240" w:lineRule="auto"/>
              <w:ind w:firstLine="0"/>
              <w:jc w:val="center"/>
              <w:rPr>
                <w:sz w:val="21"/>
                <w:szCs w:val="21"/>
              </w:rPr>
            </w:pPr>
          </w:p>
        </w:tc>
        <w:tc>
          <w:tcPr>
            <w:tcW w:w="711" w:type="pct"/>
            <w:vMerge w:val="continue"/>
            <w:shd w:val="clear" w:color="auto" w:fill="auto"/>
            <w:vAlign w:val="center"/>
          </w:tcPr>
          <w:p w14:paraId="20BAEC1A">
            <w:pPr>
              <w:pStyle w:val="5"/>
              <w:adjustRightInd w:val="0"/>
              <w:snapToGrid w:val="0"/>
              <w:spacing w:line="240" w:lineRule="auto"/>
              <w:ind w:firstLine="0"/>
              <w:jc w:val="center"/>
              <w:rPr>
                <w:sz w:val="21"/>
                <w:szCs w:val="21"/>
              </w:rPr>
            </w:pPr>
          </w:p>
        </w:tc>
        <w:tc>
          <w:tcPr>
            <w:tcW w:w="993" w:type="pct"/>
            <w:shd w:val="clear" w:color="auto" w:fill="auto"/>
            <w:vAlign w:val="center"/>
          </w:tcPr>
          <w:p w14:paraId="3E005512">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氯化物</w:t>
            </w:r>
          </w:p>
        </w:tc>
        <w:tc>
          <w:tcPr>
            <w:tcW w:w="914" w:type="pct"/>
            <w:shd w:val="clear" w:color="auto" w:fill="auto"/>
            <w:noWrap/>
            <w:vAlign w:val="center"/>
          </w:tcPr>
          <w:p w14:paraId="2DCC7326">
            <w:pPr>
              <w:adjustRightInd w:val="0"/>
              <w:snapToGrid w:val="0"/>
              <w:jc w:val="center"/>
              <w:rPr>
                <w:rFonts w:ascii="Arial" w:hAnsi="Arial" w:eastAsia="宋体" w:cs="Arial"/>
                <w:sz w:val="21"/>
                <w:szCs w:val="21"/>
              </w:rPr>
            </w:pPr>
            <w:r>
              <w:rPr>
                <w:rFonts w:hint="eastAsia" w:ascii="Arial" w:hAnsi="Arial" w:eastAsia="宋体" w:cs="Arial"/>
                <w:sz w:val="21"/>
                <w:szCs w:val="21"/>
              </w:rPr>
              <w:t>8.6861</w:t>
            </w:r>
          </w:p>
        </w:tc>
        <w:tc>
          <w:tcPr>
            <w:tcW w:w="914" w:type="pct"/>
            <w:shd w:val="clear" w:color="auto" w:fill="auto"/>
            <w:noWrap/>
            <w:vAlign w:val="center"/>
          </w:tcPr>
          <w:p w14:paraId="176A49F4">
            <w:pPr>
              <w:adjustRightInd w:val="0"/>
              <w:snapToGrid w:val="0"/>
              <w:jc w:val="center"/>
              <w:rPr>
                <w:rFonts w:ascii="Arial" w:hAnsi="Arial" w:eastAsia="宋体" w:cs="Arial"/>
                <w:sz w:val="21"/>
                <w:szCs w:val="21"/>
              </w:rPr>
            </w:pPr>
            <w:r>
              <w:rPr>
                <w:rFonts w:hint="eastAsia" w:ascii="Arial" w:hAnsi="Arial" w:eastAsia="宋体" w:cs="Arial"/>
                <w:sz w:val="21"/>
                <w:szCs w:val="21"/>
              </w:rPr>
              <w:t>1.2819</w:t>
            </w:r>
          </w:p>
        </w:tc>
        <w:tc>
          <w:tcPr>
            <w:tcW w:w="1042" w:type="pct"/>
            <w:shd w:val="clear" w:color="auto" w:fill="auto"/>
            <w:noWrap/>
            <w:vAlign w:val="center"/>
          </w:tcPr>
          <w:p w14:paraId="63A3E49D">
            <w:pPr>
              <w:adjustRightInd w:val="0"/>
              <w:snapToGrid w:val="0"/>
              <w:jc w:val="center"/>
              <w:rPr>
                <w:rFonts w:ascii="Arial" w:hAnsi="Arial" w:eastAsia="宋体" w:cs="Arial"/>
                <w:sz w:val="21"/>
                <w:szCs w:val="21"/>
              </w:rPr>
            </w:pPr>
            <w:r>
              <w:rPr>
                <w:rFonts w:hint="eastAsia" w:ascii="Arial" w:hAnsi="Arial" w:eastAsia="宋体" w:cs="Arial"/>
                <w:sz w:val="21"/>
                <w:szCs w:val="21"/>
              </w:rPr>
              <w:t>-7.4042</w:t>
            </w:r>
          </w:p>
        </w:tc>
      </w:tr>
      <w:tr w14:paraId="44590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373C694E">
            <w:pPr>
              <w:pStyle w:val="5"/>
              <w:adjustRightInd w:val="0"/>
              <w:snapToGrid w:val="0"/>
              <w:spacing w:line="240" w:lineRule="auto"/>
              <w:ind w:firstLine="0"/>
              <w:jc w:val="center"/>
              <w:rPr>
                <w:sz w:val="21"/>
                <w:szCs w:val="21"/>
              </w:rPr>
            </w:pPr>
          </w:p>
        </w:tc>
        <w:tc>
          <w:tcPr>
            <w:tcW w:w="711" w:type="pct"/>
            <w:vMerge w:val="continue"/>
            <w:shd w:val="clear" w:color="auto" w:fill="auto"/>
            <w:vAlign w:val="center"/>
          </w:tcPr>
          <w:p w14:paraId="23A0939A">
            <w:pPr>
              <w:pStyle w:val="5"/>
              <w:adjustRightInd w:val="0"/>
              <w:snapToGrid w:val="0"/>
              <w:spacing w:line="240" w:lineRule="auto"/>
              <w:ind w:firstLine="0"/>
              <w:jc w:val="center"/>
              <w:rPr>
                <w:sz w:val="21"/>
                <w:szCs w:val="21"/>
              </w:rPr>
            </w:pPr>
          </w:p>
        </w:tc>
        <w:tc>
          <w:tcPr>
            <w:tcW w:w="993" w:type="pct"/>
            <w:shd w:val="clear" w:color="auto" w:fill="auto"/>
            <w:vAlign w:val="center"/>
          </w:tcPr>
          <w:p w14:paraId="624B529C">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全盐量</w:t>
            </w:r>
          </w:p>
        </w:tc>
        <w:tc>
          <w:tcPr>
            <w:tcW w:w="914" w:type="pct"/>
            <w:shd w:val="clear" w:color="auto" w:fill="auto"/>
            <w:noWrap/>
            <w:vAlign w:val="center"/>
          </w:tcPr>
          <w:p w14:paraId="7EAD1870">
            <w:pPr>
              <w:adjustRightInd w:val="0"/>
              <w:snapToGrid w:val="0"/>
              <w:jc w:val="center"/>
              <w:rPr>
                <w:rFonts w:ascii="Arial" w:hAnsi="Arial" w:cs="Arial"/>
                <w:sz w:val="21"/>
                <w:szCs w:val="21"/>
              </w:rPr>
            </w:pPr>
            <w:r>
              <w:rPr>
                <w:rFonts w:hint="eastAsia" w:ascii="Arial" w:hAnsi="Arial" w:cs="Arial"/>
                <w:sz w:val="21"/>
                <w:szCs w:val="21"/>
              </w:rPr>
              <w:t>37.6396</w:t>
            </w:r>
          </w:p>
        </w:tc>
        <w:tc>
          <w:tcPr>
            <w:tcW w:w="914" w:type="pct"/>
            <w:shd w:val="clear" w:color="auto" w:fill="auto"/>
            <w:noWrap/>
            <w:vAlign w:val="center"/>
          </w:tcPr>
          <w:p w14:paraId="518F84DC">
            <w:pPr>
              <w:adjustRightInd w:val="0"/>
              <w:snapToGrid w:val="0"/>
              <w:jc w:val="center"/>
              <w:rPr>
                <w:rFonts w:ascii="Arial" w:hAnsi="Arial" w:eastAsia="宋体" w:cs="Arial"/>
                <w:sz w:val="21"/>
                <w:szCs w:val="21"/>
              </w:rPr>
            </w:pPr>
            <w:r>
              <w:rPr>
                <w:rFonts w:hint="eastAsia" w:ascii="Arial" w:hAnsi="Arial" w:eastAsia="宋体" w:cs="Arial"/>
                <w:sz w:val="21"/>
                <w:szCs w:val="21"/>
              </w:rPr>
              <w:t>91.6631</w:t>
            </w:r>
          </w:p>
        </w:tc>
        <w:tc>
          <w:tcPr>
            <w:tcW w:w="1042" w:type="pct"/>
            <w:shd w:val="clear" w:color="auto" w:fill="auto"/>
            <w:noWrap/>
            <w:vAlign w:val="center"/>
          </w:tcPr>
          <w:p w14:paraId="09E8D5A6">
            <w:pPr>
              <w:adjustRightInd w:val="0"/>
              <w:snapToGrid w:val="0"/>
              <w:jc w:val="center"/>
              <w:rPr>
                <w:rFonts w:ascii="Arial" w:hAnsi="Arial" w:eastAsia="宋体" w:cs="Arial"/>
                <w:sz w:val="21"/>
                <w:szCs w:val="21"/>
              </w:rPr>
            </w:pPr>
            <w:r>
              <w:rPr>
                <w:rFonts w:hint="eastAsia" w:ascii="Arial" w:hAnsi="Arial" w:eastAsia="宋体" w:cs="Arial"/>
                <w:sz w:val="21"/>
                <w:szCs w:val="21"/>
              </w:rPr>
              <w:t>+54.0235</w:t>
            </w:r>
          </w:p>
        </w:tc>
      </w:tr>
      <w:tr w14:paraId="1B04F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25657ACD">
            <w:pPr>
              <w:pStyle w:val="5"/>
              <w:adjustRightInd w:val="0"/>
              <w:snapToGrid w:val="0"/>
              <w:spacing w:line="240" w:lineRule="auto"/>
              <w:ind w:firstLine="0"/>
              <w:jc w:val="center"/>
              <w:rPr>
                <w:sz w:val="21"/>
                <w:szCs w:val="21"/>
              </w:rPr>
            </w:pPr>
          </w:p>
        </w:tc>
        <w:tc>
          <w:tcPr>
            <w:tcW w:w="711" w:type="pct"/>
            <w:vMerge w:val="continue"/>
            <w:shd w:val="clear" w:color="auto" w:fill="auto"/>
            <w:vAlign w:val="center"/>
          </w:tcPr>
          <w:p w14:paraId="4124DB65">
            <w:pPr>
              <w:pStyle w:val="5"/>
              <w:adjustRightInd w:val="0"/>
              <w:snapToGrid w:val="0"/>
              <w:spacing w:line="240" w:lineRule="auto"/>
              <w:ind w:firstLine="0"/>
              <w:jc w:val="center"/>
              <w:rPr>
                <w:sz w:val="21"/>
                <w:szCs w:val="21"/>
              </w:rPr>
            </w:pPr>
          </w:p>
        </w:tc>
        <w:tc>
          <w:tcPr>
            <w:tcW w:w="993" w:type="pct"/>
            <w:shd w:val="clear" w:color="auto" w:fill="auto"/>
            <w:vAlign w:val="center"/>
          </w:tcPr>
          <w:p w14:paraId="3E019220">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914" w:type="pct"/>
            <w:shd w:val="clear" w:color="auto" w:fill="auto"/>
            <w:noWrap/>
            <w:vAlign w:val="center"/>
          </w:tcPr>
          <w:p w14:paraId="5D4FA6B2">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914" w:type="pct"/>
            <w:shd w:val="clear" w:color="auto" w:fill="auto"/>
            <w:noWrap/>
            <w:vAlign w:val="center"/>
          </w:tcPr>
          <w:p w14:paraId="53BAE908">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c>
          <w:tcPr>
            <w:tcW w:w="1042" w:type="pct"/>
            <w:shd w:val="clear" w:color="auto" w:fill="auto"/>
            <w:noWrap/>
            <w:vAlign w:val="center"/>
          </w:tcPr>
          <w:p w14:paraId="448AC71A">
            <w:pPr>
              <w:adjustRightInd w:val="0"/>
              <w:snapToGrid w:val="0"/>
              <w:jc w:val="center"/>
              <w:rPr>
                <w:rFonts w:ascii="Arial" w:hAnsi="Arial" w:eastAsia="宋体" w:cs="Arial"/>
                <w:sz w:val="21"/>
                <w:szCs w:val="21"/>
              </w:rPr>
            </w:pPr>
            <w:r>
              <w:rPr>
                <w:rFonts w:hint="eastAsia" w:ascii="Arial" w:hAnsi="Arial" w:eastAsia="宋体" w:cs="Arial"/>
                <w:sz w:val="21"/>
                <w:szCs w:val="21"/>
              </w:rPr>
              <w:t>+0.1806</w:t>
            </w:r>
          </w:p>
        </w:tc>
      </w:tr>
      <w:tr w14:paraId="1B108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28D901AE">
            <w:pPr>
              <w:pStyle w:val="5"/>
              <w:adjustRightInd w:val="0"/>
              <w:snapToGrid w:val="0"/>
              <w:spacing w:line="240" w:lineRule="auto"/>
              <w:ind w:firstLine="0"/>
              <w:jc w:val="center"/>
              <w:rPr>
                <w:sz w:val="21"/>
                <w:szCs w:val="21"/>
              </w:rPr>
            </w:pPr>
          </w:p>
        </w:tc>
        <w:tc>
          <w:tcPr>
            <w:tcW w:w="711" w:type="pct"/>
            <w:vMerge w:val="continue"/>
            <w:shd w:val="clear" w:color="auto" w:fill="auto"/>
            <w:vAlign w:val="center"/>
          </w:tcPr>
          <w:p w14:paraId="2822361F">
            <w:pPr>
              <w:pStyle w:val="5"/>
              <w:adjustRightInd w:val="0"/>
              <w:snapToGrid w:val="0"/>
              <w:spacing w:line="240" w:lineRule="auto"/>
              <w:ind w:firstLine="0"/>
              <w:jc w:val="center"/>
              <w:rPr>
                <w:sz w:val="21"/>
                <w:szCs w:val="21"/>
              </w:rPr>
            </w:pPr>
          </w:p>
        </w:tc>
        <w:tc>
          <w:tcPr>
            <w:tcW w:w="993" w:type="pct"/>
            <w:shd w:val="clear" w:color="auto" w:fill="auto"/>
            <w:vAlign w:val="center"/>
          </w:tcPr>
          <w:p w14:paraId="438308CC">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氨氮</w:t>
            </w:r>
          </w:p>
        </w:tc>
        <w:tc>
          <w:tcPr>
            <w:tcW w:w="914" w:type="pct"/>
            <w:shd w:val="clear" w:color="auto" w:fill="auto"/>
            <w:noWrap/>
            <w:vAlign w:val="center"/>
          </w:tcPr>
          <w:p w14:paraId="14F5432B">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914" w:type="pct"/>
            <w:shd w:val="clear" w:color="auto" w:fill="auto"/>
            <w:noWrap/>
            <w:vAlign w:val="center"/>
          </w:tcPr>
          <w:p w14:paraId="201E7FEC">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c>
          <w:tcPr>
            <w:tcW w:w="1042" w:type="pct"/>
            <w:shd w:val="clear" w:color="auto" w:fill="auto"/>
            <w:noWrap/>
            <w:vAlign w:val="center"/>
          </w:tcPr>
          <w:p w14:paraId="4D1E3628">
            <w:pPr>
              <w:adjustRightInd w:val="0"/>
              <w:snapToGrid w:val="0"/>
              <w:jc w:val="center"/>
              <w:rPr>
                <w:rFonts w:ascii="Arial" w:hAnsi="Arial" w:eastAsia="宋体" w:cs="Arial"/>
                <w:sz w:val="21"/>
                <w:szCs w:val="21"/>
              </w:rPr>
            </w:pPr>
            <w:r>
              <w:rPr>
                <w:rFonts w:hint="eastAsia" w:ascii="Arial" w:hAnsi="Arial" w:eastAsia="宋体" w:cs="Arial"/>
                <w:sz w:val="21"/>
                <w:szCs w:val="21"/>
              </w:rPr>
              <w:t>+0.0249</w:t>
            </w:r>
          </w:p>
        </w:tc>
      </w:tr>
      <w:tr w14:paraId="144F6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64882A6D">
            <w:pPr>
              <w:pStyle w:val="5"/>
              <w:adjustRightInd w:val="0"/>
              <w:snapToGrid w:val="0"/>
              <w:spacing w:line="240" w:lineRule="auto"/>
              <w:ind w:firstLine="0"/>
              <w:jc w:val="center"/>
              <w:rPr>
                <w:sz w:val="21"/>
                <w:szCs w:val="21"/>
              </w:rPr>
            </w:pPr>
          </w:p>
        </w:tc>
        <w:tc>
          <w:tcPr>
            <w:tcW w:w="711" w:type="pct"/>
            <w:vMerge w:val="continue"/>
            <w:shd w:val="clear" w:color="auto" w:fill="auto"/>
            <w:vAlign w:val="center"/>
          </w:tcPr>
          <w:p w14:paraId="56D095ED">
            <w:pPr>
              <w:pStyle w:val="5"/>
              <w:adjustRightInd w:val="0"/>
              <w:snapToGrid w:val="0"/>
              <w:spacing w:line="240" w:lineRule="auto"/>
              <w:ind w:firstLine="0"/>
              <w:jc w:val="center"/>
              <w:rPr>
                <w:sz w:val="21"/>
                <w:szCs w:val="21"/>
              </w:rPr>
            </w:pPr>
          </w:p>
        </w:tc>
        <w:tc>
          <w:tcPr>
            <w:tcW w:w="993" w:type="pct"/>
            <w:shd w:val="clear" w:color="auto" w:fill="auto"/>
            <w:vAlign w:val="center"/>
          </w:tcPr>
          <w:p w14:paraId="1B148861">
            <w:pPr>
              <w:topLinePunct/>
              <w:autoSpaceDE w:val="0"/>
              <w:autoSpaceDN w:val="0"/>
              <w:adjustRightInd w:val="0"/>
              <w:snapToGrid w:val="0"/>
              <w:jc w:val="center"/>
              <w:rPr>
                <w:rFonts w:ascii="Arial" w:hAnsi="Arial" w:eastAsia="宋体" w:cs="Arial"/>
                <w:sz w:val="21"/>
                <w:szCs w:val="21"/>
              </w:rPr>
            </w:pPr>
            <w:r>
              <w:rPr>
                <w:rFonts w:ascii="Arial" w:hAnsi="Arial" w:eastAsia="宋体" w:cs="Arial"/>
                <w:spacing w:val="10"/>
                <w:sz w:val="21"/>
                <w:szCs w:val="21"/>
              </w:rPr>
              <w:t>钴</w:t>
            </w:r>
          </w:p>
        </w:tc>
        <w:tc>
          <w:tcPr>
            <w:tcW w:w="914" w:type="pct"/>
            <w:shd w:val="clear" w:color="auto" w:fill="auto"/>
            <w:noWrap/>
            <w:vAlign w:val="center"/>
          </w:tcPr>
          <w:p w14:paraId="7DC0BE90">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914" w:type="pct"/>
            <w:shd w:val="clear" w:color="auto" w:fill="auto"/>
            <w:noWrap/>
            <w:vAlign w:val="center"/>
          </w:tcPr>
          <w:p w14:paraId="665B8588">
            <w:pPr>
              <w:adjustRightInd w:val="0"/>
              <w:snapToGrid w:val="0"/>
              <w:jc w:val="center"/>
              <w:rPr>
                <w:rFonts w:ascii="Arial" w:hAnsi="Arial" w:eastAsia="宋体" w:cs="Arial"/>
                <w:sz w:val="21"/>
                <w:szCs w:val="21"/>
              </w:rPr>
            </w:pPr>
            <w:r>
              <w:rPr>
                <w:rFonts w:hint="eastAsia" w:ascii="Arial" w:hAnsi="Arial" w:eastAsia="宋体" w:cs="Arial"/>
                <w:sz w:val="21"/>
                <w:szCs w:val="21"/>
              </w:rPr>
              <w:t>0.0006</w:t>
            </w:r>
          </w:p>
        </w:tc>
        <w:tc>
          <w:tcPr>
            <w:tcW w:w="1042" w:type="pct"/>
            <w:shd w:val="clear" w:color="auto" w:fill="auto"/>
            <w:noWrap/>
            <w:vAlign w:val="center"/>
          </w:tcPr>
          <w:p w14:paraId="601EAFE9">
            <w:pPr>
              <w:adjustRightInd w:val="0"/>
              <w:snapToGrid w:val="0"/>
              <w:jc w:val="center"/>
              <w:rPr>
                <w:rFonts w:ascii="Arial" w:hAnsi="Arial" w:eastAsia="宋体" w:cs="Arial"/>
                <w:sz w:val="21"/>
                <w:szCs w:val="21"/>
              </w:rPr>
            </w:pPr>
            <w:r>
              <w:rPr>
                <w:rFonts w:hint="eastAsia" w:ascii="Arial" w:hAnsi="Arial" w:eastAsia="宋体" w:cs="Arial"/>
                <w:sz w:val="21"/>
                <w:szCs w:val="21"/>
              </w:rPr>
              <w:t>+0.0006</w:t>
            </w:r>
          </w:p>
        </w:tc>
      </w:tr>
      <w:tr w14:paraId="57386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4449114B">
            <w:pPr>
              <w:pStyle w:val="5"/>
              <w:adjustRightInd w:val="0"/>
              <w:snapToGrid w:val="0"/>
              <w:spacing w:line="240" w:lineRule="auto"/>
              <w:ind w:firstLine="0"/>
              <w:jc w:val="center"/>
              <w:rPr>
                <w:sz w:val="21"/>
                <w:szCs w:val="21"/>
              </w:rPr>
            </w:pPr>
          </w:p>
        </w:tc>
        <w:tc>
          <w:tcPr>
            <w:tcW w:w="711" w:type="pct"/>
            <w:vMerge w:val="restart"/>
            <w:shd w:val="clear" w:color="auto" w:fill="auto"/>
            <w:vAlign w:val="center"/>
          </w:tcPr>
          <w:p w14:paraId="42295159">
            <w:pPr>
              <w:pStyle w:val="5"/>
              <w:adjustRightInd w:val="0"/>
              <w:snapToGrid w:val="0"/>
              <w:spacing w:line="240" w:lineRule="auto"/>
              <w:ind w:firstLine="0"/>
              <w:jc w:val="center"/>
              <w:rPr>
                <w:sz w:val="21"/>
                <w:szCs w:val="21"/>
              </w:rPr>
            </w:pPr>
            <w:r>
              <w:rPr>
                <w:sz w:val="21"/>
                <w:szCs w:val="21"/>
              </w:rPr>
              <w:t>生活污水</w:t>
            </w:r>
          </w:p>
        </w:tc>
        <w:tc>
          <w:tcPr>
            <w:tcW w:w="993" w:type="pct"/>
            <w:shd w:val="clear" w:color="auto" w:fill="auto"/>
            <w:vAlign w:val="center"/>
          </w:tcPr>
          <w:p w14:paraId="46229AC6">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废水量</w:t>
            </w:r>
          </w:p>
        </w:tc>
        <w:tc>
          <w:tcPr>
            <w:tcW w:w="914" w:type="pct"/>
            <w:shd w:val="clear" w:color="auto" w:fill="auto"/>
            <w:noWrap/>
            <w:vAlign w:val="center"/>
          </w:tcPr>
          <w:p w14:paraId="389876CC">
            <w:pPr>
              <w:pStyle w:val="5"/>
              <w:adjustRightInd w:val="0"/>
              <w:snapToGrid w:val="0"/>
              <w:spacing w:line="240" w:lineRule="auto"/>
              <w:ind w:firstLine="0"/>
              <w:jc w:val="center"/>
              <w:rPr>
                <w:sz w:val="21"/>
              </w:rPr>
            </w:pPr>
            <w:r>
              <w:rPr>
                <w:rFonts w:hint="eastAsia"/>
                <w:sz w:val="21"/>
              </w:rPr>
              <w:t>1584</w:t>
            </w:r>
          </w:p>
        </w:tc>
        <w:tc>
          <w:tcPr>
            <w:tcW w:w="914" w:type="pct"/>
            <w:shd w:val="clear" w:color="auto" w:fill="auto"/>
            <w:noWrap/>
            <w:vAlign w:val="center"/>
          </w:tcPr>
          <w:p w14:paraId="4C1233EB">
            <w:pPr>
              <w:pStyle w:val="5"/>
              <w:adjustRightInd w:val="0"/>
              <w:snapToGrid w:val="0"/>
              <w:spacing w:line="240" w:lineRule="auto"/>
              <w:ind w:firstLine="0"/>
              <w:jc w:val="center"/>
              <w:rPr>
                <w:sz w:val="21"/>
              </w:rPr>
            </w:pPr>
            <w:r>
              <w:rPr>
                <w:rFonts w:hint="eastAsia"/>
                <w:sz w:val="21"/>
              </w:rPr>
              <w:t>1584</w:t>
            </w:r>
          </w:p>
        </w:tc>
        <w:tc>
          <w:tcPr>
            <w:tcW w:w="1042" w:type="pct"/>
            <w:shd w:val="clear" w:color="auto" w:fill="auto"/>
            <w:noWrap/>
            <w:vAlign w:val="center"/>
          </w:tcPr>
          <w:p w14:paraId="715EA6F8">
            <w:pPr>
              <w:adjustRightInd w:val="0"/>
              <w:snapToGrid w:val="0"/>
              <w:jc w:val="center"/>
              <w:rPr>
                <w:rFonts w:ascii="Arial" w:hAnsi="Arial" w:eastAsia="宋体" w:cs="Arial"/>
                <w:sz w:val="21"/>
                <w:szCs w:val="21"/>
              </w:rPr>
            </w:pPr>
            <w:r>
              <w:rPr>
                <w:rFonts w:ascii="Arial" w:hAnsi="Arial" w:eastAsia="宋体" w:cs="Arial"/>
                <w:sz w:val="21"/>
                <w:szCs w:val="21"/>
              </w:rPr>
              <w:t>0</w:t>
            </w:r>
          </w:p>
        </w:tc>
      </w:tr>
      <w:tr w14:paraId="2BE05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29F369CF">
            <w:pPr>
              <w:pStyle w:val="5"/>
              <w:adjustRightInd w:val="0"/>
              <w:snapToGrid w:val="0"/>
              <w:spacing w:line="240" w:lineRule="auto"/>
              <w:ind w:firstLine="0"/>
              <w:jc w:val="center"/>
              <w:rPr>
                <w:sz w:val="21"/>
                <w:szCs w:val="21"/>
              </w:rPr>
            </w:pPr>
          </w:p>
        </w:tc>
        <w:tc>
          <w:tcPr>
            <w:tcW w:w="711" w:type="pct"/>
            <w:vMerge w:val="continue"/>
            <w:shd w:val="clear" w:color="auto" w:fill="auto"/>
            <w:vAlign w:val="center"/>
          </w:tcPr>
          <w:p w14:paraId="7A2EFC78">
            <w:pPr>
              <w:pStyle w:val="5"/>
              <w:adjustRightInd w:val="0"/>
              <w:snapToGrid w:val="0"/>
              <w:spacing w:line="240" w:lineRule="auto"/>
              <w:ind w:firstLine="0"/>
              <w:jc w:val="center"/>
              <w:rPr>
                <w:sz w:val="21"/>
                <w:szCs w:val="21"/>
              </w:rPr>
            </w:pPr>
          </w:p>
        </w:tc>
        <w:tc>
          <w:tcPr>
            <w:tcW w:w="993" w:type="pct"/>
            <w:shd w:val="clear" w:color="auto" w:fill="auto"/>
            <w:vAlign w:val="center"/>
          </w:tcPr>
          <w:p w14:paraId="7798725D">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COD</w:t>
            </w:r>
          </w:p>
        </w:tc>
        <w:tc>
          <w:tcPr>
            <w:tcW w:w="914" w:type="pct"/>
            <w:shd w:val="clear" w:color="auto" w:fill="auto"/>
            <w:noWrap/>
            <w:vAlign w:val="center"/>
          </w:tcPr>
          <w:p w14:paraId="2E6853D8">
            <w:pPr>
              <w:pStyle w:val="5"/>
              <w:adjustRightInd w:val="0"/>
              <w:snapToGrid w:val="0"/>
              <w:spacing w:line="240" w:lineRule="auto"/>
              <w:ind w:firstLine="0"/>
              <w:jc w:val="center"/>
              <w:rPr>
                <w:sz w:val="21"/>
              </w:rPr>
            </w:pPr>
            <w:r>
              <w:rPr>
                <w:rFonts w:hint="eastAsia"/>
                <w:sz w:val="21"/>
              </w:rPr>
              <w:t>0.317</w:t>
            </w:r>
          </w:p>
        </w:tc>
        <w:tc>
          <w:tcPr>
            <w:tcW w:w="914" w:type="pct"/>
            <w:shd w:val="clear" w:color="auto" w:fill="auto"/>
            <w:noWrap/>
            <w:vAlign w:val="center"/>
          </w:tcPr>
          <w:p w14:paraId="73655B42">
            <w:pPr>
              <w:pStyle w:val="5"/>
              <w:adjustRightInd w:val="0"/>
              <w:snapToGrid w:val="0"/>
              <w:spacing w:line="240" w:lineRule="auto"/>
              <w:ind w:firstLine="0"/>
              <w:jc w:val="center"/>
              <w:rPr>
                <w:sz w:val="21"/>
              </w:rPr>
            </w:pPr>
            <w:r>
              <w:rPr>
                <w:rFonts w:hint="eastAsia"/>
                <w:sz w:val="21"/>
              </w:rPr>
              <w:t>0.317</w:t>
            </w:r>
          </w:p>
        </w:tc>
        <w:tc>
          <w:tcPr>
            <w:tcW w:w="1042" w:type="pct"/>
            <w:shd w:val="clear" w:color="auto" w:fill="auto"/>
            <w:noWrap/>
            <w:vAlign w:val="center"/>
          </w:tcPr>
          <w:p w14:paraId="126AF25C">
            <w:pPr>
              <w:adjustRightInd w:val="0"/>
              <w:snapToGrid w:val="0"/>
              <w:jc w:val="center"/>
              <w:rPr>
                <w:rFonts w:ascii="Arial" w:hAnsi="Arial" w:eastAsia="宋体" w:cs="Arial"/>
                <w:sz w:val="21"/>
                <w:szCs w:val="21"/>
              </w:rPr>
            </w:pPr>
            <w:r>
              <w:rPr>
                <w:rFonts w:ascii="Arial" w:hAnsi="Arial" w:eastAsia="宋体" w:cs="Arial"/>
                <w:sz w:val="21"/>
                <w:szCs w:val="21"/>
              </w:rPr>
              <w:t>0</w:t>
            </w:r>
          </w:p>
        </w:tc>
      </w:tr>
      <w:tr w14:paraId="517CA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59A1E531">
            <w:pPr>
              <w:pStyle w:val="5"/>
              <w:adjustRightInd w:val="0"/>
              <w:snapToGrid w:val="0"/>
              <w:spacing w:line="240" w:lineRule="auto"/>
              <w:ind w:firstLine="0"/>
              <w:jc w:val="center"/>
              <w:rPr>
                <w:sz w:val="21"/>
                <w:szCs w:val="21"/>
              </w:rPr>
            </w:pPr>
          </w:p>
        </w:tc>
        <w:tc>
          <w:tcPr>
            <w:tcW w:w="711" w:type="pct"/>
            <w:vMerge w:val="continue"/>
            <w:shd w:val="clear" w:color="auto" w:fill="auto"/>
            <w:vAlign w:val="center"/>
          </w:tcPr>
          <w:p w14:paraId="32E27945">
            <w:pPr>
              <w:pStyle w:val="5"/>
              <w:adjustRightInd w:val="0"/>
              <w:snapToGrid w:val="0"/>
              <w:spacing w:line="240" w:lineRule="auto"/>
              <w:ind w:firstLine="0"/>
              <w:jc w:val="center"/>
              <w:rPr>
                <w:sz w:val="21"/>
                <w:szCs w:val="21"/>
              </w:rPr>
            </w:pPr>
          </w:p>
        </w:tc>
        <w:tc>
          <w:tcPr>
            <w:tcW w:w="993" w:type="pct"/>
            <w:shd w:val="clear" w:color="auto" w:fill="auto"/>
            <w:vAlign w:val="center"/>
          </w:tcPr>
          <w:p w14:paraId="35531832">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BOD</w:t>
            </w:r>
          </w:p>
        </w:tc>
        <w:tc>
          <w:tcPr>
            <w:tcW w:w="914" w:type="pct"/>
            <w:shd w:val="clear" w:color="auto" w:fill="auto"/>
            <w:noWrap/>
            <w:vAlign w:val="center"/>
          </w:tcPr>
          <w:p w14:paraId="4FD3FE9E">
            <w:pPr>
              <w:pStyle w:val="5"/>
              <w:adjustRightInd w:val="0"/>
              <w:snapToGrid w:val="0"/>
              <w:spacing w:line="240" w:lineRule="auto"/>
              <w:ind w:firstLine="0"/>
              <w:jc w:val="center"/>
              <w:rPr>
                <w:sz w:val="21"/>
              </w:rPr>
            </w:pPr>
            <w:r>
              <w:rPr>
                <w:rFonts w:hint="eastAsia"/>
                <w:sz w:val="21"/>
              </w:rPr>
              <w:t>0.127</w:t>
            </w:r>
          </w:p>
        </w:tc>
        <w:tc>
          <w:tcPr>
            <w:tcW w:w="914" w:type="pct"/>
            <w:shd w:val="clear" w:color="auto" w:fill="auto"/>
            <w:noWrap/>
            <w:vAlign w:val="center"/>
          </w:tcPr>
          <w:p w14:paraId="12DBE60B">
            <w:pPr>
              <w:pStyle w:val="5"/>
              <w:adjustRightInd w:val="0"/>
              <w:snapToGrid w:val="0"/>
              <w:spacing w:line="240" w:lineRule="auto"/>
              <w:ind w:firstLine="0"/>
              <w:jc w:val="center"/>
              <w:rPr>
                <w:sz w:val="21"/>
              </w:rPr>
            </w:pPr>
            <w:r>
              <w:rPr>
                <w:rFonts w:hint="eastAsia"/>
                <w:sz w:val="21"/>
              </w:rPr>
              <w:t>0.127</w:t>
            </w:r>
          </w:p>
        </w:tc>
        <w:tc>
          <w:tcPr>
            <w:tcW w:w="1042" w:type="pct"/>
            <w:shd w:val="clear" w:color="auto" w:fill="auto"/>
            <w:noWrap/>
            <w:vAlign w:val="center"/>
          </w:tcPr>
          <w:p w14:paraId="1914E407">
            <w:pPr>
              <w:adjustRightInd w:val="0"/>
              <w:snapToGrid w:val="0"/>
              <w:jc w:val="center"/>
              <w:rPr>
                <w:rFonts w:ascii="Arial" w:hAnsi="Arial" w:eastAsia="宋体" w:cs="Arial"/>
                <w:sz w:val="21"/>
                <w:szCs w:val="21"/>
              </w:rPr>
            </w:pPr>
            <w:r>
              <w:rPr>
                <w:rFonts w:ascii="Arial" w:hAnsi="Arial" w:eastAsia="宋体" w:cs="Arial"/>
                <w:sz w:val="21"/>
                <w:szCs w:val="21"/>
              </w:rPr>
              <w:t>0</w:t>
            </w:r>
          </w:p>
        </w:tc>
      </w:tr>
      <w:tr w14:paraId="16E10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Merge w:val="continue"/>
            <w:shd w:val="clear" w:color="auto" w:fill="auto"/>
            <w:vAlign w:val="center"/>
          </w:tcPr>
          <w:p w14:paraId="35C298E8">
            <w:pPr>
              <w:pStyle w:val="5"/>
              <w:adjustRightInd w:val="0"/>
              <w:snapToGrid w:val="0"/>
              <w:spacing w:line="240" w:lineRule="auto"/>
              <w:ind w:firstLine="0"/>
              <w:jc w:val="center"/>
              <w:rPr>
                <w:sz w:val="21"/>
                <w:szCs w:val="21"/>
              </w:rPr>
            </w:pPr>
          </w:p>
        </w:tc>
        <w:tc>
          <w:tcPr>
            <w:tcW w:w="711" w:type="pct"/>
            <w:vMerge w:val="continue"/>
            <w:shd w:val="clear" w:color="auto" w:fill="auto"/>
            <w:vAlign w:val="center"/>
          </w:tcPr>
          <w:p w14:paraId="0570DFA4">
            <w:pPr>
              <w:pStyle w:val="5"/>
              <w:adjustRightInd w:val="0"/>
              <w:snapToGrid w:val="0"/>
              <w:spacing w:line="240" w:lineRule="auto"/>
              <w:ind w:firstLine="0"/>
              <w:jc w:val="center"/>
              <w:rPr>
                <w:sz w:val="21"/>
                <w:szCs w:val="21"/>
              </w:rPr>
            </w:pPr>
          </w:p>
        </w:tc>
        <w:tc>
          <w:tcPr>
            <w:tcW w:w="993" w:type="pct"/>
            <w:shd w:val="clear" w:color="auto" w:fill="auto"/>
            <w:vAlign w:val="center"/>
          </w:tcPr>
          <w:p w14:paraId="56404482">
            <w:pPr>
              <w:topLinePunct/>
              <w:autoSpaceDE w:val="0"/>
              <w:autoSpaceDN w:val="0"/>
              <w:adjustRightInd w:val="0"/>
              <w:snapToGrid w:val="0"/>
              <w:jc w:val="center"/>
              <w:rPr>
                <w:rFonts w:ascii="Arial" w:hAnsi="Arial" w:eastAsia="宋体" w:cs="Arial"/>
                <w:sz w:val="21"/>
                <w:szCs w:val="21"/>
              </w:rPr>
            </w:pPr>
            <w:r>
              <w:rPr>
                <w:rFonts w:ascii="Arial" w:hAnsi="Arial" w:eastAsia="宋体" w:cs="Arial"/>
                <w:sz w:val="21"/>
                <w:szCs w:val="21"/>
              </w:rPr>
              <w:t>NH</w:t>
            </w:r>
            <w:r>
              <w:rPr>
                <w:rFonts w:ascii="Arial" w:hAnsi="Arial" w:eastAsia="宋体" w:cs="Arial"/>
                <w:sz w:val="21"/>
                <w:szCs w:val="21"/>
                <w:vertAlign w:val="subscript"/>
              </w:rPr>
              <w:t>3</w:t>
            </w:r>
            <w:r>
              <w:rPr>
                <w:rFonts w:ascii="Arial" w:hAnsi="Arial" w:eastAsia="宋体" w:cs="Arial"/>
                <w:sz w:val="21"/>
                <w:szCs w:val="21"/>
              </w:rPr>
              <w:t>-N</w:t>
            </w:r>
          </w:p>
        </w:tc>
        <w:tc>
          <w:tcPr>
            <w:tcW w:w="914" w:type="pct"/>
            <w:shd w:val="clear" w:color="auto" w:fill="auto"/>
            <w:noWrap/>
            <w:vAlign w:val="center"/>
          </w:tcPr>
          <w:p w14:paraId="7A911653">
            <w:pPr>
              <w:pStyle w:val="5"/>
              <w:adjustRightInd w:val="0"/>
              <w:snapToGrid w:val="0"/>
              <w:spacing w:line="240" w:lineRule="auto"/>
              <w:ind w:firstLine="0"/>
              <w:jc w:val="center"/>
              <w:rPr>
                <w:sz w:val="21"/>
              </w:rPr>
            </w:pPr>
            <w:r>
              <w:rPr>
                <w:rFonts w:hint="eastAsia"/>
                <w:sz w:val="21"/>
              </w:rPr>
              <w:t>0.045</w:t>
            </w:r>
          </w:p>
        </w:tc>
        <w:tc>
          <w:tcPr>
            <w:tcW w:w="914" w:type="pct"/>
            <w:shd w:val="clear" w:color="auto" w:fill="auto"/>
            <w:noWrap/>
            <w:vAlign w:val="center"/>
          </w:tcPr>
          <w:p w14:paraId="2B126BF5">
            <w:pPr>
              <w:pStyle w:val="5"/>
              <w:adjustRightInd w:val="0"/>
              <w:snapToGrid w:val="0"/>
              <w:spacing w:line="240" w:lineRule="auto"/>
              <w:ind w:firstLine="0"/>
              <w:jc w:val="center"/>
              <w:rPr>
                <w:sz w:val="21"/>
              </w:rPr>
            </w:pPr>
            <w:r>
              <w:rPr>
                <w:rFonts w:hint="eastAsia"/>
                <w:sz w:val="21"/>
              </w:rPr>
              <w:t>0.045</w:t>
            </w:r>
          </w:p>
        </w:tc>
        <w:tc>
          <w:tcPr>
            <w:tcW w:w="1042" w:type="pct"/>
            <w:shd w:val="clear" w:color="auto" w:fill="auto"/>
            <w:noWrap/>
            <w:vAlign w:val="center"/>
          </w:tcPr>
          <w:p w14:paraId="7CC46EF1">
            <w:pPr>
              <w:adjustRightInd w:val="0"/>
              <w:snapToGrid w:val="0"/>
              <w:jc w:val="center"/>
              <w:rPr>
                <w:rFonts w:ascii="Arial" w:hAnsi="Arial" w:eastAsia="宋体" w:cs="Arial"/>
                <w:sz w:val="21"/>
                <w:szCs w:val="21"/>
              </w:rPr>
            </w:pPr>
            <w:r>
              <w:rPr>
                <w:rFonts w:ascii="Arial" w:hAnsi="Arial" w:eastAsia="宋体" w:cs="Arial"/>
                <w:sz w:val="21"/>
                <w:szCs w:val="21"/>
              </w:rPr>
              <w:t>0</w:t>
            </w:r>
          </w:p>
        </w:tc>
      </w:tr>
      <w:tr w14:paraId="44A16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Merge w:val="restart"/>
            <w:shd w:val="clear" w:color="auto" w:fill="auto"/>
            <w:vAlign w:val="center"/>
          </w:tcPr>
          <w:p w14:paraId="517DDEEE">
            <w:pPr>
              <w:pStyle w:val="5"/>
              <w:adjustRightInd w:val="0"/>
              <w:snapToGrid w:val="0"/>
              <w:spacing w:line="240" w:lineRule="auto"/>
              <w:ind w:firstLine="0"/>
              <w:jc w:val="center"/>
              <w:rPr>
                <w:sz w:val="21"/>
                <w:szCs w:val="21"/>
              </w:rPr>
            </w:pPr>
            <w:r>
              <w:rPr>
                <w:sz w:val="21"/>
                <w:szCs w:val="21"/>
              </w:rPr>
              <w:t>固废</w:t>
            </w:r>
          </w:p>
        </w:tc>
        <w:tc>
          <w:tcPr>
            <w:tcW w:w="993" w:type="pct"/>
            <w:shd w:val="clear" w:color="auto" w:fill="auto"/>
            <w:vAlign w:val="center"/>
          </w:tcPr>
          <w:p w14:paraId="64DE2820">
            <w:pPr>
              <w:pStyle w:val="5"/>
              <w:adjustRightInd w:val="0"/>
              <w:snapToGrid w:val="0"/>
              <w:spacing w:line="240" w:lineRule="auto"/>
              <w:ind w:firstLine="0"/>
              <w:jc w:val="center"/>
              <w:rPr>
                <w:sz w:val="21"/>
                <w:szCs w:val="21"/>
              </w:rPr>
            </w:pPr>
            <w:r>
              <w:rPr>
                <w:sz w:val="21"/>
                <w:szCs w:val="21"/>
              </w:rPr>
              <w:t>一般工业固废</w:t>
            </w:r>
          </w:p>
        </w:tc>
        <w:tc>
          <w:tcPr>
            <w:tcW w:w="914" w:type="pct"/>
            <w:shd w:val="clear" w:color="auto" w:fill="auto"/>
            <w:noWrap/>
            <w:vAlign w:val="center"/>
          </w:tcPr>
          <w:p w14:paraId="39B64165">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c>
          <w:tcPr>
            <w:tcW w:w="914" w:type="pct"/>
            <w:shd w:val="clear" w:color="auto" w:fill="auto"/>
            <w:noWrap/>
            <w:vAlign w:val="center"/>
          </w:tcPr>
          <w:p w14:paraId="1FF79D81">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29.74</w:t>
            </w:r>
          </w:p>
        </w:tc>
        <w:tc>
          <w:tcPr>
            <w:tcW w:w="1042" w:type="pct"/>
            <w:shd w:val="clear" w:color="auto" w:fill="auto"/>
            <w:noWrap/>
            <w:vAlign w:val="center"/>
          </w:tcPr>
          <w:p w14:paraId="79622138">
            <w:pPr>
              <w:spacing w:line="0" w:lineRule="atLeast"/>
              <w:jc w:val="center"/>
              <w:rPr>
                <w:rFonts w:ascii="Arial" w:hAnsi="Arial" w:eastAsia="宋体" w:cs="Arial"/>
                <w:sz w:val="21"/>
                <w:szCs w:val="21"/>
                <w:u w:val="single"/>
              </w:rPr>
            </w:pPr>
            <w:r>
              <w:rPr>
                <w:rFonts w:hint="eastAsia" w:ascii="Arial" w:hAnsi="Arial" w:eastAsia="宋体" w:cs="Arial"/>
                <w:sz w:val="21"/>
                <w:szCs w:val="21"/>
                <w:u w:val="single"/>
              </w:rPr>
              <w:t>+29.74</w:t>
            </w:r>
          </w:p>
        </w:tc>
      </w:tr>
      <w:tr w14:paraId="5B7C3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Merge w:val="continue"/>
            <w:shd w:val="clear" w:color="auto" w:fill="auto"/>
            <w:vAlign w:val="center"/>
          </w:tcPr>
          <w:p w14:paraId="7FDA1626">
            <w:pPr>
              <w:pStyle w:val="5"/>
              <w:adjustRightInd w:val="0"/>
              <w:snapToGrid w:val="0"/>
              <w:spacing w:line="240" w:lineRule="auto"/>
              <w:ind w:firstLine="0"/>
              <w:jc w:val="center"/>
              <w:rPr>
                <w:sz w:val="21"/>
                <w:szCs w:val="21"/>
              </w:rPr>
            </w:pPr>
          </w:p>
        </w:tc>
        <w:tc>
          <w:tcPr>
            <w:tcW w:w="993" w:type="pct"/>
            <w:shd w:val="clear" w:color="auto" w:fill="auto"/>
            <w:vAlign w:val="center"/>
          </w:tcPr>
          <w:p w14:paraId="6C90B506">
            <w:pPr>
              <w:pStyle w:val="5"/>
              <w:adjustRightInd w:val="0"/>
              <w:snapToGrid w:val="0"/>
              <w:spacing w:line="240" w:lineRule="auto"/>
              <w:ind w:firstLine="0"/>
              <w:jc w:val="center"/>
              <w:rPr>
                <w:sz w:val="21"/>
                <w:szCs w:val="21"/>
              </w:rPr>
            </w:pPr>
            <w:r>
              <w:rPr>
                <w:sz w:val="21"/>
                <w:szCs w:val="21"/>
              </w:rPr>
              <w:t>危险废物</w:t>
            </w:r>
          </w:p>
        </w:tc>
        <w:tc>
          <w:tcPr>
            <w:tcW w:w="914" w:type="pct"/>
            <w:shd w:val="clear" w:color="auto" w:fill="auto"/>
            <w:noWrap/>
            <w:vAlign w:val="center"/>
          </w:tcPr>
          <w:p w14:paraId="067DA5E3">
            <w:pPr>
              <w:adjustRightInd w:val="0"/>
              <w:snapToGrid w:val="0"/>
              <w:jc w:val="center"/>
              <w:rPr>
                <w:rFonts w:ascii="Arial" w:hAnsi="Arial" w:eastAsia="宋体" w:cs="Arial"/>
                <w:sz w:val="21"/>
                <w:szCs w:val="21"/>
              </w:rPr>
            </w:pPr>
            <w:r>
              <w:rPr>
                <w:rFonts w:hint="eastAsia" w:ascii="Arial" w:hAnsi="Arial" w:eastAsia="宋体" w:cs="Arial"/>
                <w:sz w:val="21"/>
                <w:szCs w:val="21"/>
              </w:rPr>
              <w:t>60</w:t>
            </w:r>
          </w:p>
        </w:tc>
        <w:tc>
          <w:tcPr>
            <w:tcW w:w="914" w:type="pct"/>
            <w:shd w:val="clear" w:color="auto" w:fill="auto"/>
            <w:noWrap/>
            <w:vAlign w:val="center"/>
          </w:tcPr>
          <w:p w14:paraId="1D51AEF0">
            <w:pPr>
              <w:adjustRightInd w:val="0"/>
              <w:snapToGrid w:val="0"/>
              <w:jc w:val="center"/>
              <w:rPr>
                <w:rFonts w:ascii="Arial" w:hAnsi="Arial" w:eastAsia="宋体" w:cs="Arial"/>
                <w:sz w:val="21"/>
                <w:szCs w:val="21"/>
              </w:rPr>
            </w:pPr>
            <w:r>
              <w:rPr>
                <w:rFonts w:hint="eastAsia" w:ascii="Arial" w:hAnsi="Arial" w:eastAsia="宋体" w:cs="Arial"/>
                <w:sz w:val="21"/>
                <w:szCs w:val="21"/>
              </w:rPr>
              <w:t>0.5</w:t>
            </w:r>
          </w:p>
        </w:tc>
        <w:tc>
          <w:tcPr>
            <w:tcW w:w="1042" w:type="pct"/>
            <w:shd w:val="clear" w:color="auto" w:fill="auto"/>
            <w:noWrap/>
            <w:vAlign w:val="center"/>
          </w:tcPr>
          <w:p w14:paraId="61B0ECE0">
            <w:pPr>
              <w:adjustRightInd w:val="0"/>
              <w:snapToGrid w:val="0"/>
              <w:jc w:val="center"/>
              <w:rPr>
                <w:rFonts w:ascii="Arial" w:hAnsi="Arial" w:eastAsia="宋体" w:cs="Arial"/>
                <w:sz w:val="21"/>
                <w:szCs w:val="21"/>
              </w:rPr>
            </w:pPr>
            <w:r>
              <w:rPr>
                <w:rFonts w:hint="eastAsia" w:ascii="Arial" w:hAnsi="Arial" w:eastAsia="宋体" w:cs="Arial"/>
                <w:sz w:val="21"/>
                <w:szCs w:val="21"/>
              </w:rPr>
              <w:t>-59.5</w:t>
            </w:r>
          </w:p>
        </w:tc>
      </w:tr>
      <w:tr w14:paraId="4CC22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7" w:type="pct"/>
            <w:gridSpan w:val="2"/>
            <w:vMerge w:val="continue"/>
            <w:shd w:val="clear" w:color="auto" w:fill="auto"/>
            <w:vAlign w:val="center"/>
          </w:tcPr>
          <w:p w14:paraId="473DE087">
            <w:pPr>
              <w:pStyle w:val="5"/>
              <w:adjustRightInd w:val="0"/>
              <w:snapToGrid w:val="0"/>
              <w:spacing w:line="240" w:lineRule="auto"/>
              <w:ind w:firstLine="0"/>
              <w:jc w:val="center"/>
              <w:rPr>
                <w:sz w:val="21"/>
                <w:szCs w:val="21"/>
              </w:rPr>
            </w:pPr>
          </w:p>
        </w:tc>
        <w:tc>
          <w:tcPr>
            <w:tcW w:w="993" w:type="pct"/>
            <w:shd w:val="clear" w:color="auto" w:fill="auto"/>
            <w:vAlign w:val="center"/>
          </w:tcPr>
          <w:p w14:paraId="2BDB7FF9">
            <w:pPr>
              <w:pStyle w:val="5"/>
              <w:adjustRightInd w:val="0"/>
              <w:snapToGrid w:val="0"/>
              <w:spacing w:line="240" w:lineRule="auto"/>
              <w:ind w:firstLine="0"/>
              <w:jc w:val="center"/>
              <w:rPr>
                <w:sz w:val="21"/>
                <w:szCs w:val="21"/>
              </w:rPr>
            </w:pPr>
            <w:r>
              <w:rPr>
                <w:sz w:val="21"/>
                <w:szCs w:val="21"/>
              </w:rPr>
              <w:t>生活垃圾</w:t>
            </w:r>
          </w:p>
        </w:tc>
        <w:tc>
          <w:tcPr>
            <w:tcW w:w="914" w:type="pct"/>
            <w:shd w:val="clear" w:color="auto" w:fill="auto"/>
            <w:noWrap/>
            <w:vAlign w:val="center"/>
          </w:tcPr>
          <w:p w14:paraId="1EC940A3">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914" w:type="pct"/>
            <w:shd w:val="clear" w:color="auto" w:fill="auto"/>
            <w:noWrap/>
            <w:vAlign w:val="center"/>
          </w:tcPr>
          <w:p w14:paraId="29C16424">
            <w:pPr>
              <w:adjustRightInd w:val="0"/>
              <w:snapToGrid w:val="0"/>
              <w:jc w:val="center"/>
              <w:rPr>
                <w:rFonts w:ascii="Arial" w:hAnsi="Arial" w:eastAsia="宋体" w:cs="Arial"/>
                <w:sz w:val="21"/>
                <w:szCs w:val="21"/>
              </w:rPr>
            </w:pPr>
            <w:r>
              <w:rPr>
                <w:rFonts w:hint="eastAsia" w:ascii="Arial" w:hAnsi="Arial" w:eastAsia="宋体" w:cs="Arial"/>
                <w:sz w:val="21"/>
                <w:szCs w:val="21"/>
              </w:rPr>
              <w:t>10</w:t>
            </w:r>
          </w:p>
        </w:tc>
        <w:tc>
          <w:tcPr>
            <w:tcW w:w="1042" w:type="pct"/>
            <w:shd w:val="clear" w:color="auto" w:fill="auto"/>
            <w:noWrap/>
            <w:vAlign w:val="center"/>
          </w:tcPr>
          <w:p w14:paraId="7B2B7205">
            <w:pPr>
              <w:adjustRightInd w:val="0"/>
              <w:snapToGrid w:val="0"/>
              <w:jc w:val="center"/>
              <w:rPr>
                <w:rFonts w:ascii="Arial" w:hAnsi="Arial" w:eastAsia="宋体" w:cs="Arial"/>
                <w:sz w:val="21"/>
                <w:szCs w:val="21"/>
              </w:rPr>
            </w:pPr>
            <w:r>
              <w:rPr>
                <w:rFonts w:hint="eastAsia" w:ascii="Arial" w:hAnsi="Arial" w:eastAsia="宋体" w:cs="Arial"/>
                <w:sz w:val="21"/>
                <w:szCs w:val="21"/>
              </w:rPr>
              <w:t>0</w:t>
            </w:r>
          </w:p>
        </w:tc>
      </w:tr>
    </w:tbl>
    <w:p w14:paraId="5017D075">
      <w:pPr>
        <w:pStyle w:val="4"/>
        <w:numPr>
          <w:ilvl w:val="0"/>
          <w:numId w:val="51"/>
        </w:numPr>
        <w:spacing w:before="214" w:beforeLines="50" w:after="214" w:afterLines="50" w:line="500" w:lineRule="exact"/>
        <w:rPr>
          <w:rFonts w:ascii="Arial" w:eastAsia="宋体" w:cs="Arial"/>
          <w:b/>
        </w:rPr>
      </w:pPr>
      <w:bookmarkStart w:id="563" w:name="_Toc185950248"/>
      <w:r>
        <w:rPr>
          <w:rFonts w:ascii="Arial" w:eastAsia="宋体" w:cs="Arial"/>
          <w:b/>
        </w:rPr>
        <w:t>环境质量现状评价结论</w:t>
      </w:r>
      <w:bookmarkEnd w:id="561"/>
      <w:bookmarkEnd w:id="562"/>
      <w:bookmarkEnd w:id="563"/>
    </w:p>
    <w:p w14:paraId="3CA5090C">
      <w:pPr>
        <w:pStyle w:val="6"/>
        <w:numPr>
          <w:ilvl w:val="0"/>
          <w:numId w:val="52"/>
        </w:numPr>
        <w:tabs>
          <w:tab w:val="clear" w:pos="1789"/>
        </w:tabs>
        <w:spacing w:line="400" w:lineRule="exact"/>
        <w:ind w:left="0" w:firstLine="0"/>
        <w:rPr>
          <w:rFonts w:ascii="Arial" w:hAnsi="Arial" w:eastAsia="宋体" w:cs="Arial"/>
        </w:rPr>
      </w:pPr>
      <w:bookmarkStart w:id="564" w:name="_Toc57715680"/>
      <w:bookmarkStart w:id="565" w:name="_Toc67921936"/>
      <w:bookmarkStart w:id="566" w:name="_Toc104677367"/>
      <w:bookmarkStart w:id="567" w:name="_Toc58596520"/>
      <w:bookmarkStart w:id="568" w:name="_Toc88674842"/>
      <w:bookmarkStart w:id="569" w:name="_Toc87124320"/>
      <w:r>
        <w:rPr>
          <w:rFonts w:ascii="Arial" w:hAnsi="Arial" w:eastAsia="宋体" w:cs="Arial"/>
        </w:rPr>
        <w:t>地表水环境质量现状评价结论</w:t>
      </w:r>
      <w:bookmarkEnd w:id="564"/>
      <w:bookmarkEnd w:id="565"/>
      <w:bookmarkEnd w:id="566"/>
      <w:bookmarkEnd w:id="567"/>
      <w:bookmarkEnd w:id="568"/>
      <w:bookmarkEnd w:id="569"/>
    </w:p>
    <w:p w14:paraId="2258E475">
      <w:pPr>
        <w:pStyle w:val="5"/>
        <w:spacing w:line="500" w:lineRule="exact"/>
        <w:ind w:firstLine="490" w:firstLineChars="200"/>
        <w:rPr>
          <w:highlight w:val="yellow"/>
        </w:rPr>
      </w:pPr>
      <w:r>
        <w:rPr>
          <w:rFonts w:hint="eastAsia"/>
        </w:rPr>
        <w:t>海水监测点位pH值和无机氮能满足《海水水质标准》（GB3097-1997）三类标准限值要求，BOD</w:t>
      </w:r>
      <w:r>
        <w:rPr>
          <w:rFonts w:hint="eastAsia"/>
          <w:vertAlign w:val="subscript"/>
        </w:rPr>
        <w:t>5</w:t>
      </w:r>
      <w:r>
        <w:rPr>
          <w:rFonts w:hint="eastAsia"/>
        </w:rPr>
        <w:t>能满足《海水水质标准》（GB3097-1997）二类标准限值要求，其余监测因子可满足《海水水质标准》（GB3097-1997）一类标准限值要求。</w:t>
      </w:r>
    </w:p>
    <w:p w14:paraId="474120D7">
      <w:pPr>
        <w:pStyle w:val="6"/>
        <w:numPr>
          <w:ilvl w:val="0"/>
          <w:numId w:val="52"/>
        </w:numPr>
        <w:tabs>
          <w:tab w:val="clear" w:pos="1789"/>
        </w:tabs>
        <w:spacing w:line="400" w:lineRule="exact"/>
        <w:ind w:left="0" w:firstLine="0"/>
        <w:rPr>
          <w:rFonts w:ascii="Arial" w:hAnsi="Arial" w:eastAsia="宋体" w:cs="Arial"/>
        </w:rPr>
      </w:pPr>
      <w:bookmarkStart w:id="570" w:name="_Toc104677368"/>
      <w:bookmarkStart w:id="571" w:name="_Toc57715681"/>
      <w:bookmarkStart w:id="572" w:name="_Toc67921937"/>
      <w:bookmarkStart w:id="573" w:name="_Toc88674843"/>
      <w:bookmarkStart w:id="574" w:name="_Toc58596521"/>
      <w:bookmarkStart w:id="575" w:name="_Toc87124321"/>
      <w:r>
        <w:rPr>
          <w:rFonts w:ascii="Arial" w:hAnsi="Arial" w:eastAsia="宋体" w:cs="Arial"/>
        </w:rPr>
        <w:t>地下水环境质量现状评价结论</w:t>
      </w:r>
      <w:bookmarkEnd w:id="570"/>
      <w:bookmarkEnd w:id="571"/>
      <w:bookmarkEnd w:id="572"/>
      <w:bookmarkEnd w:id="573"/>
      <w:bookmarkEnd w:id="574"/>
      <w:bookmarkEnd w:id="575"/>
    </w:p>
    <w:p w14:paraId="2895A4C2">
      <w:pPr>
        <w:spacing w:line="500" w:lineRule="exact"/>
        <w:ind w:firstLine="490" w:firstLineChars="200"/>
        <w:rPr>
          <w:rFonts w:ascii="Arial" w:hAnsi="Arial" w:eastAsia="宋体" w:cs="Arial"/>
          <w:spacing w:val="10"/>
          <w:sz w:val="24"/>
          <w:u w:val="single"/>
        </w:rPr>
      </w:pPr>
      <w:r>
        <w:rPr>
          <w:rFonts w:ascii="Arial" w:hAnsi="Arial" w:eastAsia="宋体" w:cs="Arial"/>
          <w:spacing w:val="10"/>
          <w:sz w:val="24"/>
        </w:rPr>
        <w:t>厂区地下水由西北向东南径流，排泄至鹿耳环江；评价区域不涉及地下水开采，地下水敏感程度为不敏感；地下水水质监测结果显示，地下水中的Cl</w:t>
      </w:r>
      <w:r>
        <w:rPr>
          <w:rFonts w:ascii="Arial" w:hAnsi="Arial" w:eastAsia="宋体" w:cs="Arial"/>
          <w:spacing w:val="10"/>
          <w:sz w:val="24"/>
          <w:vertAlign w:val="superscript"/>
        </w:rPr>
        <w:t>-</w:t>
      </w:r>
      <w:r>
        <w:rPr>
          <w:rFonts w:ascii="Arial" w:hAnsi="Arial" w:eastAsia="宋体" w:cs="Arial"/>
          <w:spacing w:val="10"/>
          <w:sz w:val="24"/>
        </w:rPr>
        <w:t>、SO</w:t>
      </w:r>
      <w:r>
        <w:rPr>
          <w:rFonts w:ascii="Arial" w:hAnsi="Arial" w:eastAsia="宋体" w:cs="Arial"/>
          <w:spacing w:val="10"/>
          <w:sz w:val="24"/>
          <w:vertAlign w:val="subscript"/>
        </w:rPr>
        <w:t>4</w:t>
      </w:r>
      <w:r>
        <w:rPr>
          <w:rFonts w:ascii="Arial" w:hAnsi="Arial" w:eastAsia="宋体" w:cs="Arial"/>
          <w:spacing w:val="10"/>
          <w:sz w:val="24"/>
          <w:vertAlign w:val="superscript"/>
        </w:rPr>
        <w:t>2-</w:t>
      </w:r>
      <w:r>
        <w:rPr>
          <w:rFonts w:ascii="Arial" w:hAnsi="Arial" w:eastAsia="宋体" w:cs="Arial"/>
          <w:spacing w:val="10"/>
          <w:sz w:val="24"/>
        </w:rPr>
        <w:t>、总硬度、溶解性总固体、锰、耗氧量、氨氮未能满足《地下水质量标准》（GB/T14848-2017）</w:t>
      </w:r>
      <w:r>
        <w:rPr>
          <w:rFonts w:hint="eastAsia" w:ascii="宋体" w:hAnsi="宋体" w:eastAsia="宋体" w:cs="宋体"/>
          <w:spacing w:val="10"/>
          <w:sz w:val="24"/>
        </w:rPr>
        <w:t>Ⅲ</w:t>
      </w:r>
      <w:r>
        <w:rPr>
          <w:rFonts w:ascii="Arial" w:hAnsi="Arial" w:eastAsia="宋体" w:cs="Arial"/>
          <w:spacing w:val="10"/>
          <w:sz w:val="24"/>
        </w:rPr>
        <w:t>类水质标准，其余监测因子达标。</w:t>
      </w:r>
      <w:r>
        <w:rPr>
          <w:rFonts w:ascii="Arial" w:hAnsi="Arial" w:eastAsia="宋体" w:cs="Arial"/>
          <w:spacing w:val="10"/>
          <w:sz w:val="24"/>
          <w:u w:val="single"/>
        </w:rPr>
        <w:t>项目所在区域地下水水质受海水盐度及回填土影响，填海区周边盐类及溶解度较高，且盐水相对地下水比重大，造成溶解性固体</w:t>
      </w:r>
      <w:r>
        <w:rPr>
          <w:rFonts w:hint="eastAsia" w:ascii="Arial" w:hAnsi="Arial" w:eastAsia="宋体" w:cs="Arial"/>
          <w:spacing w:val="10"/>
          <w:sz w:val="24"/>
          <w:u w:val="single"/>
        </w:rPr>
        <w:t>、</w:t>
      </w:r>
      <w:r>
        <w:rPr>
          <w:rFonts w:ascii="Arial" w:hAnsi="Arial" w:eastAsia="宋体" w:cs="Arial"/>
          <w:spacing w:val="10"/>
          <w:sz w:val="24"/>
          <w:u w:val="single"/>
        </w:rPr>
        <w:t>总硬度</w:t>
      </w:r>
      <w:r>
        <w:rPr>
          <w:rFonts w:hint="eastAsia" w:ascii="Arial" w:hAnsi="Arial" w:eastAsia="宋体" w:cs="Arial"/>
          <w:spacing w:val="10"/>
          <w:sz w:val="24"/>
          <w:u w:val="single"/>
        </w:rPr>
        <w:t>、</w:t>
      </w:r>
      <w:r>
        <w:rPr>
          <w:rFonts w:ascii="Arial" w:hAnsi="Arial" w:eastAsia="宋体" w:cs="Arial"/>
          <w:spacing w:val="10"/>
          <w:sz w:val="24"/>
          <w:u w:val="single"/>
        </w:rPr>
        <w:t>硫酸盐、氯化物等超标；海水本身pH值偏酸性，倒灌后滞留的海水使填土层及底部淤泥质粘土层酸化，促使填土区的固态锰因子分解出锰离子，为项目区</w:t>
      </w:r>
      <w:r>
        <w:rPr>
          <w:rFonts w:hint="eastAsia" w:ascii="Arial" w:hAnsi="Arial" w:eastAsia="宋体" w:cs="Arial"/>
          <w:spacing w:val="10"/>
          <w:sz w:val="24"/>
          <w:u w:val="single"/>
        </w:rPr>
        <w:t>D2监测井</w:t>
      </w:r>
      <w:r>
        <w:rPr>
          <w:rFonts w:ascii="Arial" w:hAnsi="Arial" w:eastAsia="宋体" w:cs="Arial"/>
          <w:spacing w:val="10"/>
          <w:sz w:val="24"/>
          <w:u w:val="single"/>
        </w:rPr>
        <w:t>锰因子超标的主要原因</w:t>
      </w:r>
      <w:r>
        <w:rPr>
          <w:rFonts w:hint="eastAsia" w:ascii="Arial" w:hAnsi="Arial" w:eastAsia="宋体" w:cs="Arial"/>
          <w:spacing w:val="10"/>
          <w:sz w:val="24"/>
          <w:u w:val="single"/>
        </w:rPr>
        <w:t>；</w:t>
      </w:r>
      <w:r>
        <w:rPr>
          <w:rFonts w:ascii="Arial" w:hAnsi="Arial" w:eastAsia="宋体" w:cs="Arial"/>
          <w:spacing w:val="10"/>
          <w:sz w:val="24"/>
          <w:u w:val="single"/>
        </w:rPr>
        <w:t>氨氮、耗氧量超标可能</w:t>
      </w:r>
      <w:r>
        <w:rPr>
          <w:rFonts w:hint="eastAsia" w:ascii="Arial" w:hAnsi="Arial" w:eastAsia="宋体" w:cs="Arial"/>
          <w:spacing w:val="10"/>
          <w:sz w:val="24"/>
          <w:u w:val="single"/>
        </w:rPr>
        <w:t>受</w:t>
      </w:r>
      <w:r>
        <w:rPr>
          <w:rFonts w:ascii="Arial" w:hAnsi="Arial" w:eastAsia="宋体" w:cs="Arial"/>
          <w:spacing w:val="10"/>
          <w:sz w:val="24"/>
          <w:u w:val="single"/>
        </w:rPr>
        <w:t>海水</w:t>
      </w:r>
      <w:r>
        <w:rPr>
          <w:rFonts w:hint="eastAsia" w:ascii="Arial" w:hAnsi="Arial" w:eastAsia="宋体" w:cs="Arial"/>
          <w:spacing w:val="10"/>
          <w:sz w:val="24"/>
          <w:u w:val="single"/>
        </w:rPr>
        <w:t>涨落潮海水</w:t>
      </w:r>
      <w:r>
        <w:rPr>
          <w:rFonts w:ascii="Arial" w:hAnsi="Arial" w:eastAsia="宋体" w:cs="Arial"/>
          <w:spacing w:val="10"/>
          <w:sz w:val="24"/>
          <w:u w:val="single"/>
        </w:rPr>
        <w:t>倒灌后滞留</w:t>
      </w:r>
      <w:r>
        <w:rPr>
          <w:rFonts w:hint="eastAsia" w:ascii="Arial" w:hAnsi="Arial" w:eastAsia="宋体" w:cs="Arial"/>
          <w:spacing w:val="10"/>
          <w:sz w:val="24"/>
          <w:u w:val="single"/>
        </w:rPr>
        <w:t>影响，据了解，SK03和D4两个监控井曾因厂区施工受损被埋，可能由于施工期间掉落、滞留施工物料，导致这两个监测井氨氮及耗氧量相对偏高</w:t>
      </w:r>
      <w:r>
        <w:rPr>
          <w:rFonts w:ascii="Arial" w:hAnsi="Arial" w:eastAsia="宋体" w:cs="Arial"/>
          <w:spacing w:val="10"/>
          <w:sz w:val="24"/>
          <w:u w:val="single"/>
        </w:rPr>
        <w:t>。</w:t>
      </w:r>
    </w:p>
    <w:p w14:paraId="0FDE795A">
      <w:pPr>
        <w:pStyle w:val="6"/>
        <w:numPr>
          <w:ilvl w:val="0"/>
          <w:numId w:val="52"/>
        </w:numPr>
        <w:tabs>
          <w:tab w:val="clear" w:pos="1789"/>
        </w:tabs>
        <w:spacing w:line="400" w:lineRule="exact"/>
        <w:ind w:left="0" w:firstLine="0"/>
        <w:rPr>
          <w:rFonts w:ascii="Arial" w:hAnsi="Arial" w:eastAsia="宋体" w:cs="Arial"/>
        </w:rPr>
      </w:pPr>
      <w:bookmarkStart w:id="576" w:name="_Toc67921938"/>
      <w:bookmarkStart w:id="577" w:name="_Toc104677369"/>
      <w:bookmarkStart w:id="578" w:name="_Toc57715682"/>
      <w:bookmarkStart w:id="579" w:name="_Toc88674844"/>
      <w:bookmarkStart w:id="580" w:name="_Toc313269105"/>
      <w:bookmarkStart w:id="581" w:name="_Toc87124322"/>
      <w:bookmarkStart w:id="582" w:name="_Toc58596522"/>
      <w:r>
        <w:rPr>
          <w:rFonts w:ascii="Arial" w:hAnsi="Arial" w:eastAsia="宋体" w:cs="Arial"/>
        </w:rPr>
        <w:t>环境空气质量现状评价结论</w:t>
      </w:r>
      <w:bookmarkEnd w:id="576"/>
      <w:bookmarkEnd w:id="577"/>
      <w:bookmarkEnd w:id="578"/>
      <w:bookmarkEnd w:id="579"/>
      <w:bookmarkEnd w:id="580"/>
      <w:bookmarkEnd w:id="581"/>
      <w:bookmarkEnd w:id="582"/>
    </w:p>
    <w:p w14:paraId="64E2211F">
      <w:pPr>
        <w:spacing w:line="500" w:lineRule="exact"/>
        <w:ind w:firstLine="490" w:firstLineChars="200"/>
        <w:rPr>
          <w:rFonts w:ascii="Arial" w:hAnsi="Arial" w:eastAsia="宋体" w:cs="Arial"/>
          <w:spacing w:val="10"/>
          <w:sz w:val="24"/>
        </w:rPr>
      </w:pPr>
      <w:r>
        <w:rPr>
          <w:rFonts w:ascii="Arial" w:hAnsi="Arial" w:eastAsia="宋体" w:cs="Arial"/>
          <w:spacing w:val="10"/>
          <w:sz w:val="24"/>
        </w:rPr>
        <w:t>本次评价选取2022年作为评价基准年。根据桂环函〔2023〕13号，钦州市为达标区，各项基本污染物均能达到《环境空气质量标准》（GB3095-2012）中的二级标准要求。</w:t>
      </w:r>
    </w:p>
    <w:p w14:paraId="521DA1A4">
      <w:pPr>
        <w:spacing w:line="500" w:lineRule="exact"/>
        <w:ind w:firstLine="490" w:firstLineChars="200"/>
        <w:rPr>
          <w:rFonts w:ascii="Arial" w:hAnsi="Arial" w:eastAsia="宋体" w:cs="Arial"/>
          <w:spacing w:val="10"/>
          <w:sz w:val="24"/>
          <w:szCs w:val="24"/>
          <w:highlight w:val="yellow"/>
        </w:rPr>
      </w:pPr>
      <w:r>
        <w:rPr>
          <w:rFonts w:ascii="Arial" w:hAnsi="Arial" w:eastAsia="宋体" w:cs="Arial"/>
          <w:spacing w:val="10"/>
          <w:sz w:val="24"/>
        </w:rPr>
        <w:t>根据补充监测因子的监测结果，</w:t>
      </w:r>
      <w:r>
        <w:rPr>
          <w:rFonts w:hint="eastAsia" w:ascii="Arial" w:hAnsi="Arial" w:eastAsia="宋体" w:cs="Arial"/>
          <w:spacing w:val="10"/>
          <w:sz w:val="24"/>
        </w:rPr>
        <w:t>氨1小时平均浓度</w:t>
      </w:r>
      <w:r>
        <w:rPr>
          <w:rFonts w:ascii="Arial" w:hAnsi="Arial" w:eastAsia="宋体" w:cs="Arial"/>
          <w:spacing w:val="10"/>
          <w:sz w:val="24"/>
        </w:rPr>
        <w:t>符合《环境影响评价技术导则 大气环境》（HJ2.2-2018）附录D的浓度限值要求</w:t>
      </w:r>
      <w:r>
        <w:rPr>
          <w:rFonts w:hint="eastAsia" w:ascii="Arial" w:hAnsi="Arial" w:eastAsia="宋体" w:cs="Arial"/>
          <w:spacing w:val="10"/>
          <w:sz w:val="24"/>
        </w:rPr>
        <w:t>，TSP日平均浓度符合《环境空气质量标准》（GB3095-2012）及其修改单的二级标准要求</w:t>
      </w:r>
      <w:r>
        <w:rPr>
          <w:rFonts w:ascii="Arial" w:hAnsi="Arial" w:eastAsia="宋体" w:cs="Arial"/>
          <w:spacing w:val="10"/>
          <w:sz w:val="24"/>
        </w:rPr>
        <w:t>。</w:t>
      </w:r>
    </w:p>
    <w:p w14:paraId="55CEE253">
      <w:pPr>
        <w:pStyle w:val="6"/>
        <w:numPr>
          <w:ilvl w:val="0"/>
          <w:numId w:val="52"/>
        </w:numPr>
        <w:tabs>
          <w:tab w:val="clear" w:pos="1789"/>
        </w:tabs>
        <w:spacing w:line="400" w:lineRule="exact"/>
        <w:ind w:left="0" w:firstLine="0"/>
        <w:rPr>
          <w:rFonts w:ascii="Arial" w:hAnsi="Arial" w:eastAsia="宋体" w:cs="Arial"/>
        </w:rPr>
      </w:pPr>
      <w:bookmarkStart w:id="583" w:name="_Toc57715683"/>
      <w:bookmarkStart w:id="584" w:name="_Toc87124323"/>
      <w:bookmarkStart w:id="585" w:name="_Toc88674845"/>
      <w:bookmarkStart w:id="586" w:name="_Toc58596523"/>
      <w:bookmarkStart w:id="587" w:name="_Toc67921939"/>
      <w:bookmarkStart w:id="588" w:name="_Toc104677370"/>
      <w:r>
        <w:rPr>
          <w:rFonts w:ascii="Arial" w:hAnsi="Arial" w:eastAsia="宋体" w:cs="Arial"/>
        </w:rPr>
        <w:t>声环境质量现状评价结论</w:t>
      </w:r>
      <w:bookmarkEnd w:id="583"/>
      <w:bookmarkEnd w:id="584"/>
      <w:bookmarkEnd w:id="585"/>
      <w:bookmarkEnd w:id="586"/>
      <w:bookmarkEnd w:id="587"/>
      <w:bookmarkEnd w:id="588"/>
    </w:p>
    <w:p w14:paraId="7CCD6A82">
      <w:pPr>
        <w:spacing w:line="500" w:lineRule="exact"/>
        <w:ind w:firstLine="490" w:firstLineChars="200"/>
        <w:rPr>
          <w:rFonts w:ascii="Arial" w:hAnsi="Arial" w:eastAsia="宋体" w:cs="Arial"/>
          <w:spacing w:val="10"/>
          <w:kern w:val="0"/>
          <w:sz w:val="24"/>
        </w:rPr>
      </w:pPr>
      <w:bookmarkStart w:id="589" w:name="_Toc183011885"/>
      <w:bookmarkStart w:id="590" w:name="_Toc238027881"/>
      <w:bookmarkStart w:id="591" w:name="_Toc18951"/>
      <w:bookmarkStart w:id="592" w:name="_Toc10178"/>
      <w:bookmarkStart w:id="593" w:name="_Toc7996"/>
      <w:bookmarkStart w:id="594" w:name="_Toc157479224"/>
      <w:bookmarkStart w:id="595" w:name="_Toc29284"/>
      <w:bookmarkStart w:id="596" w:name="_Toc9778"/>
      <w:bookmarkStart w:id="597" w:name="_Toc280"/>
      <w:r>
        <w:rPr>
          <w:rFonts w:ascii="Arial" w:hAnsi="Arial" w:eastAsia="宋体" w:cs="Arial"/>
          <w:spacing w:val="10"/>
          <w:kern w:val="0"/>
          <w:sz w:val="24"/>
        </w:rPr>
        <w:t>根据监测结果，监测期间项目东、南、北面厂界昼、夜间噪声满足《声环境质量标准》（GB3096-2008）3类区标准，西面厂界昼、夜间噪声满足4a类区标准；北面鸡墩头村昼、夜间噪声满足2类区标准。</w:t>
      </w:r>
    </w:p>
    <w:p w14:paraId="6F7BEDB1">
      <w:pPr>
        <w:pStyle w:val="6"/>
        <w:numPr>
          <w:ilvl w:val="0"/>
          <w:numId w:val="52"/>
        </w:numPr>
        <w:tabs>
          <w:tab w:val="clear" w:pos="1789"/>
        </w:tabs>
        <w:spacing w:line="400" w:lineRule="exact"/>
        <w:ind w:left="0" w:firstLine="0"/>
        <w:rPr>
          <w:rFonts w:ascii="Arial" w:hAnsi="Arial" w:eastAsia="宋体" w:cs="Arial"/>
        </w:rPr>
      </w:pPr>
      <w:bookmarkStart w:id="598" w:name="_Toc104677371"/>
      <w:bookmarkStart w:id="599" w:name="_Toc57715684"/>
      <w:bookmarkStart w:id="600" w:name="_Toc88674846"/>
      <w:bookmarkStart w:id="601" w:name="_Toc67921940"/>
      <w:bookmarkStart w:id="602" w:name="_Toc87124324"/>
      <w:bookmarkStart w:id="603" w:name="_Toc58596524"/>
      <w:r>
        <w:rPr>
          <w:rFonts w:ascii="Arial" w:hAnsi="Arial" w:eastAsia="宋体" w:cs="Arial"/>
        </w:rPr>
        <w:t>土壤环境质量现状评价结论</w:t>
      </w:r>
      <w:bookmarkEnd w:id="598"/>
      <w:bookmarkEnd w:id="599"/>
      <w:bookmarkEnd w:id="600"/>
      <w:bookmarkEnd w:id="601"/>
      <w:bookmarkEnd w:id="602"/>
      <w:bookmarkEnd w:id="603"/>
    </w:p>
    <w:p w14:paraId="005A91DF">
      <w:pPr>
        <w:spacing w:line="500" w:lineRule="exact"/>
        <w:ind w:firstLine="490" w:firstLineChars="200"/>
        <w:rPr>
          <w:rFonts w:ascii="Arial" w:hAnsi="Arial" w:eastAsia="宋体" w:cs="Arial"/>
          <w:spacing w:val="10"/>
          <w:kern w:val="0"/>
          <w:sz w:val="24"/>
        </w:rPr>
      </w:pPr>
      <w:r>
        <w:rPr>
          <w:rFonts w:ascii="Arial" w:hAnsi="Arial" w:eastAsia="宋体" w:cs="Arial"/>
          <w:spacing w:val="10"/>
          <w:kern w:val="0"/>
          <w:sz w:val="24"/>
        </w:rPr>
        <w:t>根据监测结果，厂内7个土壤监测点（T1~T7）以及厂外T8、T9土壤监测点的锰监测值低于《建设用地土壤污染风险筛选值和管制值》（DB45/T2556-2022）中第二类用地筛选值标准</w:t>
      </w:r>
      <w:r>
        <w:rPr>
          <w:rFonts w:hint="eastAsia" w:ascii="Arial" w:hAnsi="Arial" w:eastAsia="宋体" w:cs="Arial"/>
          <w:spacing w:val="10"/>
          <w:kern w:val="0"/>
          <w:sz w:val="24"/>
        </w:rPr>
        <w:t>，其余</w:t>
      </w:r>
      <w:r>
        <w:rPr>
          <w:rFonts w:ascii="Arial" w:hAnsi="Arial" w:eastAsia="宋体" w:cs="Arial"/>
          <w:spacing w:val="10"/>
          <w:kern w:val="0"/>
          <w:sz w:val="24"/>
        </w:rPr>
        <w:t>各监测因子监测值均低于《土壤环境质量建设用地土壤污染风险管控标准（试行）》（GB36600-2018）中的第二类用地筛选值；T10、T11各监测因子监测值均低于《土壤环境质量 农用地土壤污染风险管控标准（试行）》（GB15618-2018）风险筛选值要求，其中</w:t>
      </w:r>
      <w:r>
        <w:rPr>
          <w:rFonts w:hint="eastAsia" w:ascii="Arial" w:hAnsi="Arial" w:eastAsia="宋体" w:cs="Arial"/>
          <w:spacing w:val="10"/>
          <w:kern w:val="0"/>
          <w:sz w:val="24"/>
        </w:rPr>
        <w:t>钴、锰、</w:t>
      </w:r>
      <w:r>
        <w:rPr>
          <w:rFonts w:ascii="Arial" w:hAnsi="Arial" w:eastAsia="宋体" w:cs="Arial"/>
          <w:spacing w:val="10"/>
          <w:kern w:val="0"/>
          <w:sz w:val="24"/>
        </w:rPr>
        <w:t>石油烃无质量标准，仅做背景调查。</w:t>
      </w:r>
    </w:p>
    <w:p w14:paraId="2D9AC126">
      <w:pPr>
        <w:pStyle w:val="4"/>
        <w:numPr>
          <w:ilvl w:val="0"/>
          <w:numId w:val="51"/>
        </w:numPr>
        <w:spacing w:before="214" w:beforeLines="50" w:after="214" w:afterLines="50" w:line="500" w:lineRule="exact"/>
        <w:rPr>
          <w:rFonts w:ascii="Arial" w:eastAsia="宋体" w:cs="Arial"/>
          <w:b/>
        </w:rPr>
      </w:pPr>
      <w:bookmarkStart w:id="604" w:name="_Toc23670"/>
      <w:bookmarkStart w:id="605" w:name="_Toc32429"/>
      <w:bookmarkStart w:id="606" w:name="_Toc104677372"/>
      <w:bookmarkStart w:id="607" w:name="_Toc238027882"/>
      <w:bookmarkStart w:id="608" w:name="_Toc26807"/>
      <w:bookmarkStart w:id="609" w:name="_Toc487"/>
      <w:bookmarkStart w:id="610" w:name="_Toc27197"/>
      <w:bookmarkStart w:id="611" w:name="_Toc183011890"/>
      <w:bookmarkStart w:id="612" w:name="_Toc185950249"/>
      <w:bookmarkStart w:id="613" w:name="_Toc18646"/>
      <w:bookmarkStart w:id="614" w:name="_Toc157479229"/>
      <w:bookmarkStart w:id="615" w:name="_Toc1742982"/>
      <w:r>
        <w:rPr>
          <w:rFonts w:ascii="Arial" w:eastAsia="宋体" w:cs="Arial"/>
          <w:b/>
        </w:rPr>
        <w:t>污染防治措施</w:t>
      </w:r>
      <w:bookmarkEnd w:id="604"/>
      <w:bookmarkEnd w:id="605"/>
      <w:bookmarkEnd w:id="606"/>
      <w:bookmarkEnd w:id="607"/>
      <w:bookmarkEnd w:id="608"/>
      <w:bookmarkEnd w:id="609"/>
      <w:bookmarkEnd w:id="610"/>
      <w:bookmarkEnd w:id="611"/>
      <w:bookmarkEnd w:id="612"/>
      <w:bookmarkEnd w:id="613"/>
      <w:bookmarkEnd w:id="614"/>
      <w:bookmarkEnd w:id="615"/>
    </w:p>
    <w:p w14:paraId="24F09DEF">
      <w:pPr>
        <w:pStyle w:val="6"/>
        <w:numPr>
          <w:ilvl w:val="0"/>
          <w:numId w:val="53"/>
        </w:numPr>
        <w:tabs>
          <w:tab w:val="clear" w:pos="1789"/>
        </w:tabs>
        <w:spacing w:line="400" w:lineRule="exact"/>
        <w:ind w:left="0" w:firstLine="0"/>
        <w:rPr>
          <w:rFonts w:ascii="Arial" w:hAnsi="Arial" w:eastAsia="宋体" w:cs="Arial"/>
        </w:rPr>
      </w:pPr>
      <w:bookmarkStart w:id="616" w:name="_Toc104677375"/>
      <w:bookmarkStart w:id="617" w:name="_Toc88674850"/>
      <w:bookmarkStart w:id="618" w:name="_Toc67921944"/>
      <w:bookmarkStart w:id="619" w:name="_Toc87124328"/>
      <w:bookmarkStart w:id="620" w:name="_Toc57715688"/>
      <w:bookmarkStart w:id="621" w:name="_Toc58596528"/>
      <w:bookmarkStart w:id="622" w:name="_Toc67921942"/>
      <w:bookmarkStart w:id="623" w:name="_Toc87124326"/>
      <w:bookmarkStart w:id="624" w:name="_Toc88674848"/>
      <w:bookmarkStart w:id="625" w:name="_Toc104677373"/>
      <w:bookmarkStart w:id="626" w:name="_Toc58596526"/>
      <w:bookmarkStart w:id="627" w:name="_Toc57715686"/>
      <w:r>
        <w:rPr>
          <w:rFonts w:ascii="Arial" w:hAnsi="Arial" w:eastAsia="宋体" w:cs="Arial"/>
        </w:rPr>
        <w:t>废气污染防治措施</w:t>
      </w:r>
      <w:bookmarkEnd w:id="616"/>
      <w:bookmarkEnd w:id="617"/>
      <w:bookmarkEnd w:id="618"/>
      <w:bookmarkEnd w:id="619"/>
      <w:bookmarkEnd w:id="620"/>
      <w:bookmarkEnd w:id="621"/>
    </w:p>
    <w:p w14:paraId="3DE7947E">
      <w:pPr>
        <w:pStyle w:val="5"/>
        <w:adjustRightInd w:val="0"/>
        <w:snapToGrid w:val="0"/>
        <w:spacing w:line="500" w:lineRule="exact"/>
      </w:pPr>
      <w:r>
        <w:rPr>
          <w:rFonts w:hint="eastAsia"/>
        </w:rPr>
        <w:t>1、有组织废气污染防治措施</w:t>
      </w:r>
    </w:p>
    <w:p w14:paraId="7838883A">
      <w:pPr>
        <w:pStyle w:val="5"/>
        <w:adjustRightInd w:val="0"/>
        <w:snapToGrid w:val="0"/>
        <w:spacing w:line="500" w:lineRule="exact"/>
      </w:pPr>
      <w:r>
        <w:rPr>
          <w:rFonts w:hint="eastAsia"/>
        </w:rPr>
        <w:t>（1）合成反应废气、压滤废气一同经吸收塔处理，经1根20m高排气筒（DA145）排放，废气排放</w:t>
      </w:r>
      <w:r>
        <w:rPr>
          <w:rFonts w:hint="eastAsia"/>
          <w:bCs/>
        </w:rPr>
        <w:t>满足《无机化学工业污染物排放标准》（GB31573-2015）要求。</w:t>
      </w:r>
    </w:p>
    <w:p w14:paraId="2BCF0CD6">
      <w:pPr>
        <w:pStyle w:val="5"/>
        <w:adjustRightInd w:val="0"/>
        <w:snapToGrid w:val="0"/>
        <w:spacing w:line="500" w:lineRule="exact"/>
        <w:ind w:firstLine="490" w:firstLineChars="200"/>
      </w:pPr>
      <w:r>
        <w:rPr>
          <w:rFonts w:hint="eastAsia"/>
        </w:rPr>
        <w:t>（2）破碎粉尘、包装粉尘一同经布袋除尘器处理后，与烘干粉尘一同经吸收塔处理后通过DA146排气筒排放，废气排放</w:t>
      </w:r>
      <w:r>
        <w:rPr>
          <w:rFonts w:hint="eastAsia"/>
          <w:bCs/>
        </w:rPr>
        <w:t>满足《无机化学工业污染物排放标准》（GB31573-2015）要求</w:t>
      </w:r>
      <w:r>
        <w:rPr>
          <w:rFonts w:hint="eastAsia"/>
        </w:rPr>
        <w:t>。</w:t>
      </w:r>
    </w:p>
    <w:p w14:paraId="412C39A5">
      <w:pPr>
        <w:pStyle w:val="5"/>
        <w:adjustRightInd w:val="0"/>
        <w:snapToGrid w:val="0"/>
        <w:spacing w:line="500" w:lineRule="exact"/>
      </w:pPr>
      <w:r>
        <w:rPr>
          <w:rFonts w:hint="eastAsia"/>
        </w:rPr>
        <w:t>2、无组织废气污染防治措施</w:t>
      </w:r>
    </w:p>
    <w:p w14:paraId="58AC48DB">
      <w:pPr>
        <w:pStyle w:val="5"/>
        <w:spacing w:line="500" w:lineRule="exact"/>
      </w:pPr>
      <w:r>
        <w:t>运输车辆采取封闭车厢或苫盖严密，厂区道路硬化、洒水、清洁等措施</w:t>
      </w:r>
      <w:r>
        <w:rPr>
          <w:rFonts w:hint="eastAsia"/>
        </w:rPr>
        <w:t>；</w:t>
      </w:r>
      <w:r>
        <w:t>各生产设备均在密闭反应釜、槽和管道内</w:t>
      </w:r>
      <w:r>
        <w:rPr>
          <w:rFonts w:hint="eastAsia"/>
        </w:rPr>
        <w:t>；</w:t>
      </w:r>
      <w:r>
        <w:t>破碎、包装、烘干等均设置单独密闭操作间；建设单位应加强日常管理，避免生产设备产生跑、冒、滴、漏等现象。</w:t>
      </w:r>
    </w:p>
    <w:p w14:paraId="6473D232">
      <w:pPr>
        <w:pStyle w:val="6"/>
        <w:numPr>
          <w:ilvl w:val="0"/>
          <w:numId w:val="53"/>
        </w:numPr>
        <w:tabs>
          <w:tab w:val="clear" w:pos="1789"/>
        </w:tabs>
        <w:spacing w:line="400" w:lineRule="exact"/>
        <w:ind w:left="0" w:firstLine="0"/>
        <w:rPr>
          <w:rFonts w:ascii="Arial" w:hAnsi="Arial" w:eastAsia="宋体" w:cs="Arial"/>
        </w:rPr>
      </w:pPr>
      <w:r>
        <w:rPr>
          <w:rFonts w:ascii="Arial" w:hAnsi="Arial" w:eastAsia="宋体" w:cs="Arial"/>
        </w:rPr>
        <w:t>地表水污染防治措施</w:t>
      </w:r>
      <w:bookmarkEnd w:id="622"/>
      <w:bookmarkEnd w:id="623"/>
      <w:bookmarkEnd w:id="624"/>
      <w:bookmarkEnd w:id="625"/>
      <w:bookmarkEnd w:id="626"/>
      <w:bookmarkEnd w:id="627"/>
    </w:p>
    <w:p w14:paraId="4A53C3CC">
      <w:pPr>
        <w:pStyle w:val="5"/>
        <w:spacing w:line="500" w:lineRule="exact"/>
      </w:pPr>
      <w:r>
        <w:rPr>
          <w:rFonts w:hint="eastAsia"/>
          <w:u w:val="single"/>
        </w:rPr>
        <w:t>经管道收集后的生产废水和经地沟收集后的车间清洗废水一同经在X19车间经板框压滤、精密过滤器预处理满足《无机化学工业污染物排放标准》（GB31573-2015）车间排放口要求后，</w:t>
      </w:r>
      <w:r>
        <w:rPr>
          <w:rFonts w:hint="eastAsia"/>
        </w:rPr>
        <w:t>通过管道泵入S7污水处理车间，经脱氨、陶瓷膜过滤处理后，通过管道泵入S8、S9污水处理车间，经4#~12#MVR处理，MVR处理后的开路母液通过管道泵入厂区综合污水处理站，经臭氧催化氧化处理后排入废水总排口，</w:t>
      </w:r>
      <w:r>
        <w:t>近期依托大榄坪污水处理厂排海管道排入A2排污区，远期待大榄坪污水处理厂升级改造完成后排入大榄坪污水处理厂处理。</w:t>
      </w:r>
    </w:p>
    <w:p w14:paraId="0A8B37B6">
      <w:pPr>
        <w:pStyle w:val="5"/>
        <w:spacing w:line="500" w:lineRule="exact"/>
        <w:ind w:firstLine="490" w:firstLineChars="200"/>
      </w:pPr>
      <w:r>
        <w:t>员工生活污水经三级化粪池处理后，排入园区污水管网，排向大榄坪污水处理厂处理。</w:t>
      </w:r>
    </w:p>
    <w:p w14:paraId="19E5095A">
      <w:pPr>
        <w:pStyle w:val="6"/>
        <w:numPr>
          <w:ilvl w:val="0"/>
          <w:numId w:val="53"/>
        </w:numPr>
        <w:tabs>
          <w:tab w:val="clear" w:pos="1789"/>
        </w:tabs>
        <w:spacing w:line="400" w:lineRule="exact"/>
        <w:ind w:left="0" w:firstLine="0"/>
        <w:rPr>
          <w:rFonts w:ascii="Arial" w:hAnsi="Arial" w:eastAsia="宋体" w:cs="Arial"/>
        </w:rPr>
      </w:pPr>
      <w:bookmarkStart w:id="628" w:name="_Toc87124327"/>
      <w:bookmarkStart w:id="629" w:name="_Toc58596527"/>
      <w:bookmarkStart w:id="630" w:name="_Toc57715687"/>
      <w:bookmarkStart w:id="631" w:name="_Toc67921943"/>
      <w:bookmarkStart w:id="632" w:name="_Toc104677374"/>
      <w:bookmarkStart w:id="633" w:name="_Toc88674849"/>
      <w:r>
        <w:rPr>
          <w:rFonts w:ascii="Arial" w:hAnsi="Arial" w:eastAsia="宋体" w:cs="Arial"/>
        </w:rPr>
        <w:t>地下水污染防治措施</w:t>
      </w:r>
      <w:bookmarkEnd w:id="628"/>
      <w:bookmarkEnd w:id="629"/>
      <w:bookmarkEnd w:id="630"/>
      <w:bookmarkEnd w:id="631"/>
      <w:bookmarkEnd w:id="632"/>
      <w:bookmarkEnd w:id="633"/>
    </w:p>
    <w:p w14:paraId="02A47912">
      <w:pPr>
        <w:pStyle w:val="5"/>
        <w:spacing w:line="500" w:lineRule="exact"/>
        <w:ind w:firstLine="490" w:firstLineChars="200"/>
      </w:pPr>
      <w:r>
        <w:t>1、源头控制，加强生产和设备运行管理，提高安全意识，从原料产品储存、生产、运输、</w:t>
      </w:r>
      <w:r>
        <w:rPr>
          <w:szCs w:val="24"/>
        </w:rPr>
        <w:t>污染处理设施等全过程控制废水</w:t>
      </w:r>
      <w:r>
        <w:rPr>
          <w:rFonts w:hint="eastAsia"/>
          <w:szCs w:val="24"/>
          <w:lang w:eastAsia="zh-CN"/>
        </w:rPr>
        <w:t>泄漏</w:t>
      </w:r>
      <w:r>
        <w:rPr>
          <w:szCs w:val="24"/>
        </w:rPr>
        <w:t>；建立经常性的检修制度，定期检查污染源项地下水保护设施</w:t>
      </w:r>
      <w:r>
        <w:t>。</w:t>
      </w:r>
    </w:p>
    <w:p w14:paraId="7AC563EE">
      <w:pPr>
        <w:pStyle w:val="5"/>
        <w:spacing w:line="500" w:lineRule="exact"/>
        <w:ind w:firstLine="490" w:firstLineChars="200"/>
        <w:rPr>
          <w:szCs w:val="24"/>
        </w:rPr>
      </w:pPr>
      <w:r>
        <w:rPr>
          <w:szCs w:val="24"/>
        </w:rPr>
        <w:t>2、分区防渗，</w:t>
      </w:r>
      <w:r>
        <w:rPr>
          <w:rFonts w:hint="eastAsia"/>
          <w:szCs w:val="24"/>
        </w:rPr>
        <w:t>整个</w:t>
      </w:r>
      <w:r>
        <w:rPr>
          <w:szCs w:val="24"/>
        </w:rPr>
        <w:t>X</w:t>
      </w:r>
      <w:r>
        <w:rPr>
          <w:rFonts w:hint="eastAsia"/>
          <w:szCs w:val="24"/>
        </w:rPr>
        <w:t>19车间厂房</w:t>
      </w:r>
      <w:r>
        <w:rPr>
          <w:szCs w:val="24"/>
        </w:rPr>
        <w:t>为重点防渗区，渗透系数≤1×10</w:t>
      </w:r>
      <w:r>
        <w:rPr>
          <w:szCs w:val="24"/>
          <w:vertAlign w:val="superscript"/>
        </w:rPr>
        <w:t>-10</w:t>
      </w:r>
      <w:r>
        <w:rPr>
          <w:szCs w:val="24"/>
        </w:rPr>
        <w:t>cm/s。</w:t>
      </w:r>
    </w:p>
    <w:p w14:paraId="01978ABE">
      <w:pPr>
        <w:pStyle w:val="5"/>
        <w:tabs>
          <w:tab w:val="left" w:pos="1080"/>
        </w:tabs>
        <w:spacing w:line="480" w:lineRule="exact"/>
      </w:pPr>
      <w:r>
        <w:t>3、厂区内</w:t>
      </w:r>
      <w:r>
        <w:rPr>
          <w:szCs w:val="24"/>
        </w:rPr>
        <w:t>设4个跟踪监测井。</w:t>
      </w:r>
    </w:p>
    <w:p w14:paraId="2DB24702">
      <w:pPr>
        <w:pStyle w:val="6"/>
        <w:numPr>
          <w:ilvl w:val="0"/>
          <w:numId w:val="53"/>
        </w:numPr>
        <w:tabs>
          <w:tab w:val="clear" w:pos="1789"/>
        </w:tabs>
        <w:spacing w:line="400" w:lineRule="exact"/>
        <w:ind w:left="0" w:firstLine="0"/>
        <w:rPr>
          <w:rFonts w:ascii="Arial" w:hAnsi="Arial" w:eastAsia="宋体" w:cs="Arial"/>
        </w:rPr>
      </w:pPr>
      <w:bookmarkStart w:id="634" w:name="_Toc104677376"/>
      <w:bookmarkStart w:id="635" w:name="_Toc67921945"/>
      <w:bookmarkStart w:id="636" w:name="_Toc87124329"/>
      <w:bookmarkStart w:id="637" w:name="_Toc88674851"/>
      <w:bookmarkStart w:id="638" w:name="_Toc58596529"/>
      <w:bookmarkStart w:id="639" w:name="_Toc57715689"/>
      <w:r>
        <w:rPr>
          <w:rFonts w:ascii="Arial" w:hAnsi="Arial" w:eastAsia="宋体" w:cs="Arial"/>
        </w:rPr>
        <w:t>噪声污染防治措施</w:t>
      </w:r>
      <w:bookmarkEnd w:id="634"/>
      <w:bookmarkEnd w:id="635"/>
      <w:bookmarkEnd w:id="636"/>
      <w:bookmarkEnd w:id="637"/>
      <w:bookmarkEnd w:id="638"/>
      <w:bookmarkEnd w:id="639"/>
    </w:p>
    <w:p w14:paraId="2B5AE31B">
      <w:pPr>
        <w:pStyle w:val="5"/>
        <w:spacing w:line="500" w:lineRule="exact"/>
      </w:pPr>
      <w:r>
        <w:t>项目对周围环境可能造成影响的主要噪声源来自各种风机、各种水泵及运输车辆的噪声。噪声污染防治首先应在设计、采购阶段选择低噪声设备，其次是对主要噪声源采取隔声、消声、吸声、减震等措施，以确保厂界噪声达标。项目拟采取的降噪措施包括：生产车间建筑隔声；风机进出口设置消声器；动力设备采用钢砼隔振基础，管道、阀门接口采取缓动及减震的柔性接头（口），泵机设备采取减震措施。</w:t>
      </w:r>
    </w:p>
    <w:p w14:paraId="58C75DCF">
      <w:pPr>
        <w:pStyle w:val="6"/>
        <w:numPr>
          <w:ilvl w:val="0"/>
          <w:numId w:val="53"/>
        </w:numPr>
        <w:tabs>
          <w:tab w:val="clear" w:pos="1789"/>
        </w:tabs>
        <w:spacing w:line="400" w:lineRule="exact"/>
        <w:ind w:left="0" w:firstLine="0"/>
        <w:rPr>
          <w:rFonts w:ascii="Arial" w:hAnsi="Arial" w:eastAsia="宋体" w:cs="Arial"/>
        </w:rPr>
      </w:pPr>
      <w:bookmarkStart w:id="640" w:name="_Toc58596530"/>
      <w:bookmarkStart w:id="641" w:name="_Toc104677377"/>
      <w:bookmarkStart w:id="642" w:name="_Toc87124330"/>
      <w:bookmarkStart w:id="643" w:name="_Toc57715690"/>
      <w:bookmarkStart w:id="644" w:name="_Toc88674852"/>
      <w:bookmarkStart w:id="645" w:name="_Toc67921946"/>
      <w:r>
        <w:rPr>
          <w:rFonts w:ascii="Arial" w:hAnsi="Arial" w:eastAsia="宋体" w:cs="Arial"/>
        </w:rPr>
        <w:t>固体废物治理措施</w:t>
      </w:r>
      <w:bookmarkEnd w:id="640"/>
      <w:bookmarkEnd w:id="641"/>
      <w:bookmarkEnd w:id="642"/>
      <w:bookmarkEnd w:id="643"/>
      <w:bookmarkEnd w:id="644"/>
      <w:bookmarkEnd w:id="645"/>
    </w:p>
    <w:p w14:paraId="7366ABF8">
      <w:pPr>
        <w:pStyle w:val="5"/>
        <w:spacing w:line="500" w:lineRule="exact"/>
        <w:ind w:firstLine="490" w:firstLineChars="200"/>
        <w:rPr>
          <w:szCs w:val="24"/>
        </w:rPr>
      </w:pPr>
      <w:r>
        <w:rPr>
          <w:szCs w:val="24"/>
        </w:rPr>
        <w:t>项目产生的危废主要</w:t>
      </w:r>
      <w:r>
        <w:rPr>
          <w:rFonts w:hint="eastAsia"/>
          <w:szCs w:val="24"/>
        </w:rPr>
        <w:t>为</w:t>
      </w:r>
      <w:r>
        <w:rPr>
          <w:szCs w:val="24"/>
        </w:rPr>
        <w:t>机械维修废润滑油（900-214-08）</w:t>
      </w:r>
      <w:r>
        <w:rPr>
          <w:rFonts w:hint="eastAsia"/>
          <w:szCs w:val="24"/>
        </w:rPr>
        <w:t>，</w:t>
      </w:r>
      <w:r>
        <w:rPr>
          <w:szCs w:val="24"/>
        </w:rPr>
        <w:t>暂存于厂区二号地块西面的危废暂存间内，定期委托具有相应资质单位上门回收处置。</w:t>
      </w:r>
    </w:p>
    <w:p w14:paraId="44E0427A">
      <w:pPr>
        <w:pStyle w:val="5"/>
        <w:spacing w:line="500" w:lineRule="exact"/>
        <w:ind w:firstLine="490" w:firstLineChars="200"/>
        <w:rPr>
          <w:szCs w:val="24"/>
        </w:rPr>
      </w:pPr>
      <w:r>
        <w:rPr>
          <w:szCs w:val="24"/>
        </w:rPr>
        <w:t>厂区内分散布置有生活垃圾收集桶，项目产生的生活垃圾收集实行分类化，纸质包装、金属包装、塑料包装和玻璃包装等通过分类收集（可利用、不可回收利用）减少垃圾的处理量，提高资源的利用率。实行生活垃圾袋装化，同时做好分类收集、防风、防雨、防渗漏措施，垃圾堆放点进行消毒，消灭害虫，避免散发恶臭，孽生蚊蝇。不可利用的生活垃圾委托环卫部门上门清理。</w:t>
      </w:r>
    </w:p>
    <w:p w14:paraId="6A63260C">
      <w:pPr>
        <w:pStyle w:val="4"/>
        <w:numPr>
          <w:ilvl w:val="0"/>
          <w:numId w:val="51"/>
        </w:numPr>
        <w:spacing w:before="214" w:beforeLines="50" w:after="214" w:afterLines="50" w:line="500" w:lineRule="exact"/>
        <w:rPr>
          <w:rFonts w:ascii="Arial" w:eastAsia="宋体" w:cs="Arial"/>
          <w:b/>
        </w:rPr>
      </w:pPr>
      <w:bookmarkStart w:id="646" w:name="_Toc104677380"/>
      <w:bookmarkStart w:id="647" w:name="_Toc185950250"/>
      <w:bookmarkStart w:id="648" w:name="_Toc1742983"/>
      <w:r>
        <w:rPr>
          <w:rFonts w:ascii="Arial" w:eastAsia="宋体" w:cs="Arial"/>
          <w:b/>
        </w:rPr>
        <w:t>环境影响</w:t>
      </w:r>
      <w:bookmarkEnd w:id="589"/>
      <w:bookmarkEnd w:id="590"/>
      <w:bookmarkEnd w:id="591"/>
      <w:bookmarkEnd w:id="592"/>
      <w:bookmarkEnd w:id="593"/>
      <w:bookmarkEnd w:id="594"/>
      <w:bookmarkEnd w:id="595"/>
      <w:bookmarkEnd w:id="596"/>
      <w:bookmarkEnd w:id="597"/>
      <w:r>
        <w:rPr>
          <w:rFonts w:ascii="Arial" w:eastAsia="宋体" w:cs="Arial"/>
          <w:b/>
        </w:rPr>
        <w:t>评价结论</w:t>
      </w:r>
      <w:bookmarkEnd w:id="646"/>
      <w:bookmarkEnd w:id="647"/>
      <w:bookmarkEnd w:id="648"/>
    </w:p>
    <w:p w14:paraId="78B7917E">
      <w:pPr>
        <w:pStyle w:val="6"/>
        <w:numPr>
          <w:ilvl w:val="0"/>
          <w:numId w:val="54"/>
        </w:numPr>
        <w:tabs>
          <w:tab w:val="clear" w:pos="1789"/>
        </w:tabs>
        <w:spacing w:line="400" w:lineRule="exact"/>
        <w:ind w:left="0" w:firstLine="0"/>
        <w:rPr>
          <w:rFonts w:ascii="Arial" w:hAnsi="Arial" w:eastAsia="宋体" w:cs="Arial"/>
        </w:rPr>
      </w:pPr>
      <w:bookmarkStart w:id="649" w:name="_Toc104677381"/>
      <w:bookmarkStart w:id="650" w:name="_Toc88674855"/>
      <w:bookmarkStart w:id="651" w:name="_Toc87124333"/>
      <w:bookmarkStart w:id="652" w:name="_Toc67921950"/>
      <w:bookmarkStart w:id="653" w:name="_Toc58596534"/>
      <w:bookmarkStart w:id="654" w:name="_Toc57715694"/>
      <w:r>
        <w:rPr>
          <w:rFonts w:ascii="Arial" w:hAnsi="Arial" w:eastAsia="宋体" w:cs="Arial"/>
        </w:rPr>
        <w:t>施工期环境影响评价结论</w:t>
      </w:r>
      <w:bookmarkEnd w:id="649"/>
      <w:bookmarkEnd w:id="650"/>
      <w:bookmarkEnd w:id="651"/>
      <w:bookmarkEnd w:id="652"/>
      <w:bookmarkEnd w:id="653"/>
      <w:bookmarkEnd w:id="654"/>
    </w:p>
    <w:p w14:paraId="355587A2">
      <w:pPr>
        <w:pStyle w:val="5"/>
        <w:spacing w:line="500" w:lineRule="exact"/>
        <w:rPr>
          <w:szCs w:val="24"/>
        </w:rPr>
      </w:pPr>
      <w:r>
        <w:rPr>
          <w:szCs w:val="24"/>
        </w:rPr>
        <w:t>施工期主要污染物为施工扬尘、施工机械设备废气、施工废水、施工噪声、建筑垃圾等。本项目施工已基本完毕，根据现场勘查，施工废气、施工废水带来的污染对周边环境影响较小，建筑垃圾等均已妥善处置。</w:t>
      </w:r>
    </w:p>
    <w:p w14:paraId="2D412B3E">
      <w:pPr>
        <w:pStyle w:val="6"/>
        <w:numPr>
          <w:ilvl w:val="0"/>
          <w:numId w:val="54"/>
        </w:numPr>
        <w:tabs>
          <w:tab w:val="clear" w:pos="1789"/>
        </w:tabs>
        <w:spacing w:line="400" w:lineRule="exact"/>
        <w:ind w:left="0" w:firstLine="0"/>
        <w:rPr>
          <w:rFonts w:ascii="Arial" w:hAnsi="Arial" w:eastAsia="宋体" w:cs="Arial"/>
        </w:rPr>
      </w:pPr>
      <w:bookmarkStart w:id="655" w:name="_Toc88674858"/>
      <w:bookmarkStart w:id="656" w:name="_Toc57715697"/>
      <w:bookmarkStart w:id="657" w:name="_Toc67921953"/>
      <w:bookmarkStart w:id="658" w:name="_Toc58596537"/>
      <w:bookmarkStart w:id="659" w:name="_Toc104677384"/>
      <w:bookmarkStart w:id="660" w:name="_Toc87124336"/>
      <w:r>
        <w:rPr>
          <w:rFonts w:ascii="Arial" w:hAnsi="Arial" w:eastAsia="宋体" w:cs="Arial"/>
        </w:rPr>
        <w:t>运营期环境空气影响评价结论</w:t>
      </w:r>
      <w:bookmarkEnd w:id="655"/>
      <w:bookmarkEnd w:id="656"/>
      <w:bookmarkEnd w:id="657"/>
      <w:bookmarkEnd w:id="658"/>
      <w:bookmarkEnd w:id="659"/>
      <w:bookmarkEnd w:id="660"/>
    </w:p>
    <w:p w14:paraId="3824B7C0">
      <w:pPr>
        <w:pStyle w:val="5"/>
        <w:adjustRightInd w:val="0"/>
        <w:snapToGrid w:val="0"/>
        <w:spacing w:line="500" w:lineRule="exact"/>
      </w:pPr>
      <w:r>
        <w:t>项目所在地属于达标区，根据AERMOD进一步预测结果可知：</w:t>
      </w:r>
    </w:p>
    <w:p w14:paraId="73AA0C80">
      <w:pPr>
        <w:pStyle w:val="5"/>
        <w:adjustRightInd w:val="0"/>
        <w:snapToGrid w:val="0"/>
        <w:spacing w:line="500" w:lineRule="exact"/>
      </w:pPr>
      <w:r>
        <w:t>1、项目建成投产后，新增污染源正常排放情况下，短期浓度贡献值占标率均低于100%。</w:t>
      </w:r>
    </w:p>
    <w:p w14:paraId="5DAE7CD7">
      <w:pPr>
        <w:pStyle w:val="5"/>
        <w:adjustRightInd w:val="0"/>
        <w:snapToGrid w:val="0"/>
        <w:spacing w:line="500" w:lineRule="exact"/>
      </w:pPr>
      <w:r>
        <w:t>2、项目排放的各污染源减区域削减源，叠加现状浓度、在建拟建同类污染源后， PM</w:t>
      </w:r>
      <w:r>
        <w:rPr>
          <w:vertAlign w:val="subscript"/>
        </w:rPr>
        <w:t>10</w:t>
      </w:r>
      <w:r>
        <w:t>的保证率日平均、年平均浓度均达到《环境空气质量标准》（GB3096-2012）二级标准要求，氨气的保证率小时值浓度满足《环境影响评价技术导则</w:t>
      </w:r>
      <w:r>
        <w:rPr>
          <w:rFonts w:hint="eastAsia"/>
        </w:rPr>
        <w:t xml:space="preserve"> 大气环境</w:t>
      </w:r>
      <w:r>
        <w:t>》（HJ2.2-2018）附录D的要求。</w:t>
      </w:r>
    </w:p>
    <w:p w14:paraId="09F82524">
      <w:pPr>
        <w:pStyle w:val="5"/>
        <w:adjustRightInd w:val="0"/>
        <w:snapToGrid w:val="0"/>
        <w:spacing w:line="500" w:lineRule="exact"/>
      </w:pPr>
      <w:r>
        <w:t>3、项目大气污染物短期贡献浓度在厂界外无超标点，无需设置大气环境防护距离。</w:t>
      </w:r>
    </w:p>
    <w:p w14:paraId="0FB5922D">
      <w:pPr>
        <w:pStyle w:val="5"/>
        <w:adjustRightInd w:val="0"/>
        <w:snapToGrid w:val="0"/>
        <w:spacing w:line="500" w:lineRule="exact"/>
      </w:pPr>
      <w:r>
        <w:t>4、项目四周厂界各污染物浓度符合《无机化学工业污染物排放标准》（GB31573-2015）及《大气污染物综合排放标准》（GB16297-1996）要求。</w:t>
      </w:r>
    </w:p>
    <w:p w14:paraId="43B56F63">
      <w:pPr>
        <w:pStyle w:val="5"/>
        <w:adjustRightInd w:val="0"/>
        <w:snapToGrid w:val="0"/>
        <w:spacing w:line="500" w:lineRule="exact"/>
        <w:ind w:firstLine="490" w:firstLineChars="200"/>
        <w:rPr>
          <w:szCs w:val="24"/>
        </w:rPr>
      </w:pPr>
      <w:r>
        <w:t>综上所述，项目建设对周边环境影响是可以接受的。</w:t>
      </w:r>
    </w:p>
    <w:p w14:paraId="227EF4CB">
      <w:pPr>
        <w:pStyle w:val="6"/>
        <w:numPr>
          <w:ilvl w:val="0"/>
          <w:numId w:val="54"/>
        </w:numPr>
        <w:tabs>
          <w:tab w:val="clear" w:pos="1789"/>
        </w:tabs>
        <w:spacing w:line="400" w:lineRule="exact"/>
        <w:ind w:left="0" w:firstLine="0"/>
        <w:rPr>
          <w:rFonts w:ascii="Arial" w:hAnsi="Arial" w:eastAsia="宋体" w:cs="Arial"/>
        </w:rPr>
      </w:pPr>
      <w:bookmarkStart w:id="661" w:name="_Toc104677382"/>
      <w:bookmarkStart w:id="662" w:name="_Toc58596535"/>
      <w:bookmarkStart w:id="663" w:name="_Toc57715695"/>
      <w:bookmarkStart w:id="664" w:name="_Toc88674856"/>
      <w:bookmarkStart w:id="665" w:name="_Toc67921951"/>
      <w:bookmarkStart w:id="666" w:name="_Toc87124334"/>
      <w:r>
        <w:rPr>
          <w:rFonts w:ascii="Arial" w:hAnsi="Arial" w:eastAsia="宋体" w:cs="Arial"/>
        </w:rPr>
        <w:t>运营期地表水环境影响评价结论</w:t>
      </w:r>
      <w:bookmarkEnd w:id="661"/>
      <w:bookmarkEnd w:id="662"/>
      <w:bookmarkEnd w:id="663"/>
      <w:bookmarkEnd w:id="664"/>
      <w:bookmarkEnd w:id="665"/>
      <w:bookmarkEnd w:id="666"/>
    </w:p>
    <w:p w14:paraId="7B81E2B0">
      <w:pPr>
        <w:pStyle w:val="5"/>
        <w:spacing w:line="500" w:lineRule="exact"/>
        <w:ind w:firstLine="490" w:firstLineChars="200"/>
        <w:rPr>
          <w:szCs w:val="24"/>
        </w:rPr>
      </w:pPr>
      <w:r>
        <w:rPr>
          <w:szCs w:val="24"/>
        </w:rPr>
        <w:t>1、达标可行性分析</w:t>
      </w:r>
    </w:p>
    <w:p w14:paraId="40E27D10">
      <w:pPr>
        <w:pStyle w:val="5"/>
        <w:spacing w:line="500" w:lineRule="exact"/>
      </w:pPr>
      <w:r>
        <w:rPr>
          <w:rFonts w:hint="eastAsia"/>
          <w:szCs w:val="24"/>
          <w:u w:val="single"/>
        </w:rPr>
        <w:t>经管道收集后的生产废水和经地沟收集后的车间清洗废水一同经在X19车间经板框压滤、精密过滤器预处理满足《无机化学工业污染物排放标准》（GB31573-2015）车间排放口要求后</w:t>
      </w:r>
      <w:r>
        <w:rPr>
          <w:szCs w:val="24"/>
        </w:rPr>
        <w:t>，</w:t>
      </w:r>
      <w:r>
        <w:rPr>
          <w:rFonts w:hint="eastAsia"/>
        </w:rPr>
        <w:t>通过管道泵入S7污水处理车间。</w:t>
      </w:r>
    </w:p>
    <w:p w14:paraId="4BE4A3DB">
      <w:pPr>
        <w:pStyle w:val="5"/>
        <w:spacing w:line="500" w:lineRule="exact"/>
        <w:rPr>
          <w:szCs w:val="24"/>
          <w:highlight w:val="yellow"/>
        </w:rPr>
      </w:pPr>
      <w:r>
        <w:rPr>
          <w:szCs w:val="24"/>
        </w:rPr>
        <w:t>项目实施后全厂废水总排口满足《无机化学工业污染物排放标准》（GB31573-2015）</w:t>
      </w:r>
      <w:r>
        <w:rPr>
          <w:kern w:val="0"/>
          <w:szCs w:val="24"/>
        </w:rPr>
        <w:t>表1直接排放限值</w:t>
      </w:r>
      <w:r>
        <w:rPr>
          <w:szCs w:val="24"/>
        </w:rPr>
        <w:t>要求。</w:t>
      </w:r>
    </w:p>
    <w:p w14:paraId="1D6EE89E">
      <w:pPr>
        <w:pStyle w:val="5"/>
        <w:spacing w:line="500" w:lineRule="exact"/>
        <w:ind w:firstLine="490" w:firstLineChars="200"/>
        <w:rPr>
          <w:szCs w:val="24"/>
        </w:rPr>
      </w:pPr>
      <w:r>
        <w:rPr>
          <w:szCs w:val="24"/>
        </w:rPr>
        <w:t>生活污水经三级化粪池处理可满足《无机化学工业污染物排放标准》（GB31573-2015）表1间接排放限值。</w:t>
      </w:r>
    </w:p>
    <w:p w14:paraId="42DEC9FE">
      <w:pPr>
        <w:pStyle w:val="5"/>
        <w:spacing w:line="500" w:lineRule="exact"/>
        <w:ind w:firstLine="490" w:firstLineChars="200"/>
        <w:rPr>
          <w:szCs w:val="24"/>
        </w:rPr>
      </w:pPr>
      <w:r>
        <w:rPr>
          <w:szCs w:val="24"/>
        </w:rPr>
        <w:t>2、外排废水可行性分析</w:t>
      </w:r>
    </w:p>
    <w:p w14:paraId="77F7F1E2">
      <w:pPr>
        <w:pStyle w:val="5"/>
        <w:spacing w:line="500" w:lineRule="exact"/>
        <w:rPr>
          <w:szCs w:val="24"/>
        </w:rPr>
      </w:pPr>
      <w:r>
        <w:rPr>
          <w:szCs w:val="24"/>
        </w:rPr>
        <w:t>近期生产废水经厂区污水处理站处理后直接排放；后期待大榄坪污水处理厂升级改造或二期扩建工程项目完成后，废水送至大榄坪污水处理厂处理达标后再进行深海排放。本次评价仅对近期废水直接排放进行分析。</w:t>
      </w:r>
    </w:p>
    <w:p w14:paraId="7E07586B">
      <w:pPr>
        <w:pStyle w:val="5"/>
        <w:spacing w:line="500" w:lineRule="exact"/>
        <w:rPr>
          <w:szCs w:val="24"/>
        </w:rPr>
      </w:pPr>
      <w:r>
        <w:rPr>
          <w:rFonts w:hint="eastAsia"/>
          <w:szCs w:val="24"/>
        </w:rPr>
        <w:t>本项目变更后，全厂废水总排口各污染物排放量与</w:t>
      </w:r>
      <w:r>
        <w:rPr>
          <w:szCs w:val="24"/>
        </w:rPr>
        <w:t>一期工程环评（即</w:t>
      </w:r>
      <w:r>
        <w:rPr>
          <w:rFonts w:hint="eastAsia"/>
          <w:szCs w:val="24"/>
        </w:rPr>
        <w:t>广西中伟新能源科技有限公司北部湾产业基地三元项目（一期一阶段）环境影响报告书</w:t>
      </w:r>
      <w:r>
        <w:rPr>
          <w:szCs w:val="24"/>
        </w:rPr>
        <w:t>）总排口排放量相比，废水排放量、各污染物总量均有所减少，因此本次评价引用一期工程环评预测结论进行评价。</w:t>
      </w:r>
    </w:p>
    <w:p w14:paraId="7AD801AB">
      <w:pPr>
        <w:pStyle w:val="5"/>
        <w:spacing w:line="500" w:lineRule="exact"/>
        <w:ind w:firstLine="490" w:firstLineChars="200"/>
        <w:rPr>
          <w:szCs w:val="24"/>
        </w:rPr>
      </w:pPr>
      <w:r>
        <w:rPr>
          <w:szCs w:val="24"/>
        </w:rPr>
        <w:t>根据一期工程环评预测结果表明，一期正常排放和事故排放高盐废水中硫酸盐排放对相关海域带来的高盐环境未超出海洋生物的推测耐受上限。因此，一期正常排放和事故排放高盐废水对周边海域的海洋生态环境影响有限，但由于养殖区1和金鼓江红树林距离排污口最近，因此建议项目运营加强对养殖区1和金鼓江红树林相关海域环境持续监测，预警可能发生的牡蛎和红树林受高硫酸盐胁迫生长发生异常的情况。一期正常排放下，排污口所在A2排放区内有小面积COD和无机氮超四类水质标准，排放区内镍不超标；排放区范围外镍、COD、无机氮的预测值均达到《海水水质标准》的相应水质标准，满足近岸海域环境功能区划的水质保护要求。排污口附近和附近控制点Co、Mn和硫酸盐最大增量分别为0.0129mg/L、0.0196mg/L和1082.1mg/L，及1.06×10</w:t>
      </w:r>
      <w:r>
        <w:rPr>
          <w:szCs w:val="24"/>
          <w:vertAlign w:val="superscript"/>
        </w:rPr>
        <w:t xml:space="preserve">-4 </w:t>
      </w:r>
      <w:r>
        <w:rPr>
          <w:szCs w:val="24"/>
        </w:rPr>
        <w:t>mg/L、1.61×10</w:t>
      </w:r>
      <w:r>
        <w:rPr>
          <w:szCs w:val="24"/>
          <w:vertAlign w:val="superscript"/>
        </w:rPr>
        <w:t>-4</w:t>
      </w:r>
      <w:r>
        <w:rPr>
          <w:szCs w:val="24"/>
        </w:rPr>
        <w:t xml:space="preserve"> mg/L和8.9 mg/L，增量相比本底值有限，不会超出目前已有研究报道海洋生物对Co、Mn的耐受上限，排污口附近硫酸盐虽超出海洋生物推测耐受上限，但影响面积远小于3.1km</w:t>
      </w:r>
      <w:r>
        <w:rPr>
          <w:szCs w:val="24"/>
          <w:vertAlign w:val="superscript"/>
        </w:rPr>
        <w:t>2</w:t>
      </w:r>
      <w:r>
        <w:rPr>
          <w:szCs w:val="24"/>
        </w:rPr>
        <w:t>（排污区面积），故生态环境影响有限。一期事故排放污染物扩散计算表明，研究海域无机氮增量大且大面积超标，造成排污口附近海域水质恶化。COD、Ni满足相关水质标准。Co、Mn和硫酸盐增量也较明显，其中Co和硫酸盐在排污口附近超出了海洋生物推测耐受上限。根据《建设项目对海洋生物资源影响评价技术规程》的相关要求，一期正常排放下不会造成海洋生物资源损失，但在事故排放下COD和Ni污染指标会造成海洋生物资源损失。由于目前暂无Co、Mn和硫酸盐对海洋生物的详细影响研究，一期正常排放废水后Co、Mn和硫酸根离子虽未超出海洋生物推测耐受上限，但仍可能会对部分海洋生物产生影响，在项目运营中应密切监测排污口附近海域水质、沉积物、生物体、海洋生态及敏感目标如红树林的质量现状，同时开展典型海洋生物的Co、Mn和硫酸盐耐受实验研究，获取更多有关基础数据支撑相关因子的海洋生态影响评价。一期事故排放会造成排污口周边海域COD大面积超标，且Ni、Co、Mn和硫酸盐指标增量也比较明显，故应严禁事故排放。</w:t>
      </w:r>
    </w:p>
    <w:p w14:paraId="4BC5069D">
      <w:pPr>
        <w:pStyle w:val="6"/>
        <w:numPr>
          <w:ilvl w:val="0"/>
          <w:numId w:val="54"/>
        </w:numPr>
        <w:tabs>
          <w:tab w:val="clear" w:pos="1789"/>
        </w:tabs>
        <w:spacing w:line="400" w:lineRule="exact"/>
        <w:ind w:left="0" w:firstLine="0"/>
        <w:rPr>
          <w:rFonts w:ascii="Arial" w:hAnsi="Arial" w:eastAsia="宋体" w:cs="Arial"/>
        </w:rPr>
      </w:pPr>
      <w:bookmarkStart w:id="667" w:name="_Toc88674857"/>
      <w:bookmarkStart w:id="668" w:name="_Toc87124335"/>
      <w:bookmarkStart w:id="669" w:name="_Toc58596536"/>
      <w:bookmarkStart w:id="670" w:name="_Toc104677383"/>
      <w:bookmarkStart w:id="671" w:name="_Toc67921952"/>
      <w:bookmarkStart w:id="672" w:name="_Toc57715696"/>
      <w:r>
        <w:rPr>
          <w:rFonts w:ascii="Arial" w:hAnsi="Arial" w:eastAsia="宋体" w:cs="Arial"/>
        </w:rPr>
        <w:t>运营期地下水环境影响评价结论</w:t>
      </w:r>
      <w:bookmarkEnd w:id="667"/>
      <w:bookmarkEnd w:id="668"/>
      <w:bookmarkEnd w:id="669"/>
      <w:bookmarkEnd w:id="670"/>
      <w:bookmarkEnd w:id="671"/>
      <w:bookmarkEnd w:id="672"/>
    </w:p>
    <w:p w14:paraId="609B9ADC">
      <w:pPr>
        <w:spacing w:line="500" w:lineRule="exact"/>
        <w:ind w:firstLine="476"/>
        <w:rPr>
          <w:rFonts w:ascii="Arial" w:hAnsi="Arial" w:eastAsia="宋体" w:cs="Arial"/>
          <w:spacing w:val="10"/>
          <w:sz w:val="24"/>
          <w:szCs w:val="24"/>
          <w:u w:val="single"/>
        </w:rPr>
      </w:pPr>
      <w:r>
        <w:rPr>
          <w:rFonts w:ascii="Arial" w:hAnsi="Arial" w:eastAsia="宋体" w:cs="Arial"/>
          <w:spacing w:val="10"/>
          <w:sz w:val="24"/>
          <w:szCs w:val="24"/>
          <w:u w:val="single"/>
        </w:rPr>
        <w:t>当</w:t>
      </w:r>
      <w:r>
        <w:rPr>
          <w:rFonts w:hint="eastAsia" w:ascii="Arial" w:hAnsi="Arial" w:eastAsia="宋体" w:cs="Arial"/>
          <w:spacing w:val="10"/>
          <w:sz w:val="24"/>
          <w:szCs w:val="24"/>
          <w:u w:val="single"/>
        </w:rPr>
        <w:t>洗水</w:t>
      </w:r>
      <w:r>
        <w:rPr>
          <w:rFonts w:ascii="Arial" w:hAnsi="Arial" w:eastAsia="宋体" w:cs="Arial"/>
          <w:spacing w:val="10"/>
          <w:sz w:val="24"/>
          <w:szCs w:val="24"/>
          <w:u w:val="single"/>
        </w:rPr>
        <w:t>外排槽泄漏后，区域地下水中的污染物逐渐增加，泄漏后100天，污水预处理设施下游100m将受到污染；泄漏后365天，下游</w:t>
      </w:r>
      <w:r>
        <w:rPr>
          <w:rFonts w:hint="eastAsia" w:ascii="Arial" w:hAnsi="Arial" w:eastAsia="宋体" w:cs="Arial"/>
          <w:spacing w:val="10"/>
          <w:sz w:val="24"/>
          <w:szCs w:val="24"/>
          <w:u w:val="single"/>
        </w:rPr>
        <w:t>20</w:t>
      </w:r>
      <w:r>
        <w:rPr>
          <w:rFonts w:ascii="Arial" w:hAnsi="Arial" w:eastAsia="宋体" w:cs="Arial"/>
          <w:spacing w:val="10"/>
          <w:sz w:val="24"/>
          <w:szCs w:val="24"/>
          <w:u w:val="single"/>
        </w:rPr>
        <w:t>0m将受到污染；泄漏后1000天，下游</w:t>
      </w:r>
      <w:r>
        <w:rPr>
          <w:rFonts w:hint="eastAsia" w:ascii="Arial" w:hAnsi="Arial" w:eastAsia="宋体" w:cs="Arial"/>
          <w:spacing w:val="10"/>
          <w:sz w:val="24"/>
          <w:szCs w:val="24"/>
          <w:u w:val="single"/>
        </w:rPr>
        <w:t>40</w:t>
      </w:r>
      <w:r>
        <w:rPr>
          <w:rFonts w:ascii="Arial" w:hAnsi="Arial" w:eastAsia="宋体" w:cs="Arial"/>
          <w:spacing w:val="10"/>
          <w:sz w:val="24"/>
          <w:szCs w:val="24"/>
          <w:u w:val="single"/>
        </w:rPr>
        <w:t>0m将受到污染。</w:t>
      </w:r>
    </w:p>
    <w:p w14:paraId="4C90E45B">
      <w:pPr>
        <w:spacing w:line="500" w:lineRule="exact"/>
        <w:ind w:firstLine="476"/>
        <w:rPr>
          <w:rFonts w:ascii="Arial" w:hAnsi="Arial" w:eastAsia="宋体" w:cs="Arial"/>
          <w:spacing w:val="10"/>
          <w:sz w:val="24"/>
          <w:szCs w:val="24"/>
          <w:u w:val="single"/>
        </w:rPr>
      </w:pPr>
      <w:r>
        <w:rPr>
          <w:rFonts w:hint="eastAsia" w:ascii="Arial" w:hAnsi="Arial" w:eastAsia="宋体" w:cs="Arial"/>
          <w:spacing w:val="10"/>
          <w:sz w:val="24"/>
          <w:szCs w:val="24"/>
          <w:u w:val="single"/>
        </w:rPr>
        <w:t>1、</w:t>
      </w:r>
      <w:r>
        <w:rPr>
          <w:rFonts w:ascii="Arial" w:hAnsi="Arial" w:eastAsia="宋体" w:cs="Arial"/>
          <w:spacing w:val="10"/>
          <w:sz w:val="24"/>
          <w:szCs w:val="24"/>
          <w:u w:val="single"/>
        </w:rPr>
        <w:t>耗氧量：由于区域地下水中耗氧量背景值已超标（5.37mg/L），渗漏将加剧污染，泄漏后100天，下游</w:t>
      </w:r>
      <w:r>
        <w:rPr>
          <w:rFonts w:hint="eastAsia" w:ascii="Arial" w:hAnsi="Arial" w:eastAsia="宋体" w:cs="Arial"/>
          <w:spacing w:val="10"/>
          <w:sz w:val="24"/>
          <w:szCs w:val="24"/>
          <w:u w:val="single"/>
        </w:rPr>
        <w:t>10</w:t>
      </w:r>
      <w:r>
        <w:rPr>
          <w:rFonts w:ascii="Arial" w:hAnsi="Arial" w:eastAsia="宋体" w:cs="Arial"/>
          <w:spacing w:val="10"/>
          <w:sz w:val="24"/>
          <w:szCs w:val="24"/>
          <w:u w:val="single"/>
        </w:rPr>
        <w:t>0m耗氧量浓度趋近于背景浓度；泄漏后365天，下游1</w:t>
      </w:r>
      <w:r>
        <w:rPr>
          <w:rFonts w:hint="eastAsia" w:ascii="Arial" w:hAnsi="Arial" w:eastAsia="宋体" w:cs="Arial"/>
          <w:spacing w:val="10"/>
          <w:sz w:val="24"/>
          <w:szCs w:val="24"/>
          <w:u w:val="single"/>
        </w:rPr>
        <w:t>8</w:t>
      </w:r>
      <w:r>
        <w:rPr>
          <w:rFonts w:ascii="Arial" w:hAnsi="Arial" w:eastAsia="宋体" w:cs="Arial"/>
          <w:spacing w:val="10"/>
          <w:sz w:val="24"/>
          <w:szCs w:val="24"/>
          <w:u w:val="single"/>
        </w:rPr>
        <w:t>0m耗氧量浓度趋近于背景浓度；泄漏后1000天，下游</w:t>
      </w:r>
      <w:r>
        <w:rPr>
          <w:rFonts w:hint="eastAsia" w:ascii="Arial" w:hAnsi="Arial" w:eastAsia="宋体" w:cs="Arial"/>
          <w:spacing w:val="10"/>
          <w:sz w:val="24"/>
          <w:szCs w:val="24"/>
          <w:u w:val="single"/>
        </w:rPr>
        <w:t>28</w:t>
      </w:r>
      <w:r>
        <w:rPr>
          <w:rFonts w:ascii="Arial" w:hAnsi="Arial" w:eastAsia="宋体" w:cs="Arial"/>
          <w:spacing w:val="10"/>
          <w:sz w:val="24"/>
          <w:szCs w:val="24"/>
          <w:u w:val="single"/>
        </w:rPr>
        <w:t>0m耗氧量浓度趋近于背景浓度。</w:t>
      </w:r>
    </w:p>
    <w:p w14:paraId="6D954941">
      <w:pPr>
        <w:spacing w:line="500" w:lineRule="exact"/>
        <w:ind w:firstLine="476"/>
        <w:rPr>
          <w:rFonts w:ascii="Arial" w:hAnsi="Arial" w:eastAsia="宋体" w:cs="Arial"/>
          <w:spacing w:val="10"/>
          <w:sz w:val="24"/>
          <w:szCs w:val="24"/>
          <w:u w:val="single"/>
        </w:rPr>
      </w:pPr>
      <w:r>
        <w:rPr>
          <w:rFonts w:hint="eastAsia" w:ascii="Arial" w:hAnsi="Arial" w:eastAsia="宋体" w:cs="Arial"/>
          <w:spacing w:val="10"/>
          <w:sz w:val="24"/>
          <w:szCs w:val="24"/>
          <w:u w:val="single"/>
        </w:rPr>
        <w:t>2、</w:t>
      </w:r>
      <w:r>
        <w:rPr>
          <w:rFonts w:ascii="Arial" w:hAnsi="Arial" w:eastAsia="宋体" w:cs="Arial"/>
          <w:spacing w:val="10"/>
          <w:sz w:val="24"/>
          <w:szCs w:val="24"/>
          <w:u w:val="single"/>
        </w:rPr>
        <w:t>氨氮：由于区域地下水中氨氮背景值已超标（6.65mg/L），渗漏将加剧污染，泄漏后100天，下游</w:t>
      </w:r>
      <w:r>
        <w:rPr>
          <w:rFonts w:hint="eastAsia" w:ascii="Arial" w:hAnsi="Arial" w:eastAsia="宋体" w:cs="Arial"/>
          <w:spacing w:val="10"/>
          <w:sz w:val="24"/>
          <w:szCs w:val="24"/>
          <w:u w:val="single"/>
        </w:rPr>
        <w:t>12</w:t>
      </w:r>
      <w:r>
        <w:rPr>
          <w:rFonts w:ascii="Arial" w:hAnsi="Arial" w:eastAsia="宋体" w:cs="Arial"/>
          <w:spacing w:val="10"/>
          <w:sz w:val="24"/>
          <w:szCs w:val="24"/>
          <w:u w:val="single"/>
        </w:rPr>
        <w:t>0m氨氮浓度趋近于背景浓度；泄漏后365天，下游</w:t>
      </w:r>
      <w:r>
        <w:rPr>
          <w:rFonts w:hint="eastAsia" w:ascii="Arial" w:hAnsi="Arial" w:eastAsia="宋体" w:cs="Arial"/>
          <w:spacing w:val="10"/>
          <w:sz w:val="24"/>
          <w:szCs w:val="24"/>
          <w:u w:val="single"/>
        </w:rPr>
        <w:t>20</w:t>
      </w:r>
      <w:r>
        <w:rPr>
          <w:rFonts w:ascii="Arial" w:hAnsi="Arial" w:eastAsia="宋体" w:cs="Arial"/>
          <w:spacing w:val="10"/>
          <w:sz w:val="24"/>
          <w:szCs w:val="24"/>
          <w:u w:val="single"/>
        </w:rPr>
        <w:t>0m氨氮浓度趋近于背景浓度；泄漏后1000天，下游</w:t>
      </w:r>
      <w:r>
        <w:rPr>
          <w:rFonts w:hint="eastAsia" w:ascii="Arial" w:hAnsi="Arial" w:eastAsia="宋体" w:cs="Arial"/>
          <w:spacing w:val="10"/>
          <w:sz w:val="24"/>
          <w:szCs w:val="24"/>
          <w:u w:val="single"/>
        </w:rPr>
        <w:t>35</w:t>
      </w:r>
      <w:r>
        <w:rPr>
          <w:rFonts w:ascii="Arial" w:hAnsi="Arial" w:eastAsia="宋体" w:cs="Arial"/>
          <w:spacing w:val="10"/>
          <w:sz w:val="24"/>
          <w:szCs w:val="24"/>
          <w:u w:val="single"/>
        </w:rPr>
        <w:t>0m氨氮浓度趋近于背景浓度。</w:t>
      </w:r>
    </w:p>
    <w:p w14:paraId="1328266C">
      <w:pPr>
        <w:spacing w:line="500" w:lineRule="exact"/>
        <w:ind w:firstLine="476"/>
        <w:rPr>
          <w:rFonts w:ascii="Arial" w:hAnsi="Arial" w:eastAsia="宋体" w:cs="Arial"/>
          <w:spacing w:val="10"/>
          <w:sz w:val="24"/>
          <w:szCs w:val="24"/>
          <w:u w:val="single"/>
        </w:rPr>
      </w:pPr>
      <w:r>
        <w:rPr>
          <w:rFonts w:hint="eastAsia" w:ascii="Arial" w:hAnsi="Arial" w:eastAsia="宋体" w:cs="Arial"/>
          <w:spacing w:val="10"/>
          <w:sz w:val="24"/>
          <w:szCs w:val="24"/>
          <w:u w:val="single"/>
        </w:rPr>
        <w:t>3、</w:t>
      </w:r>
      <w:r>
        <w:rPr>
          <w:rFonts w:ascii="Arial" w:hAnsi="Arial" w:eastAsia="宋体" w:cs="Arial"/>
          <w:spacing w:val="10"/>
          <w:sz w:val="24"/>
          <w:szCs w:val="24"/>
          <w:u w:val="single"/>
        </w:rPr>
        <w:t>硫酸盐：由于区域地下水中硫酸盐背景值已超标（828mg/L），渗漏将加剧污染，泄漏后100天，下游1</w:t>
      </w:r>
      <w:r>
        <w:rPr>
          <w:rFonts w:hint="eastAsia" w:ascii="Arial" w:hAnsi="Arial" w:eastAsia="宋体" w:cs="Arial"/>
          <w:spacing w:val="10"/>
          <w:sz w:val="24"/>
          <w:szCs w:val="24"/>
          <w:u w:val="single"/>
        </w:rPr>
        <w:t>2</w:t>
      </w:r>
      <w:r>
        <w:rPr>
          <w:rFonts w:ascii="Arial" w:hAnsi="Arial" w:eastAsia="宋体" w:cs="Arial"/>
          <w:spacing w:val="10"/>
          <w:sz w:val="24"/>
          <w:szCs w:val="24"/>
          <w:u w:val="single"/>
        </w:rPr>
        <w:t>0m硫酸盐浓度趋近于背景浓度；泄漏后365天，下游2</w:t>
      </w:r>
      <w:r>
        <w:rPr>
          <w:rFonts w:hint="eastAsia" w:ascii="Arial" w:hAnsi="Arial" w:eastAsia="宋体" w:cs="Arial"/>
          <w:spacing w:val="10"/>
          <w:sz w:val="24"/>
          <w:szCs w:val="24"/>
          <w:u w:val="single"/>
        </w:rPr>
        <w:t>2</w:t>
      </w:r>
      <w:r>
        <w:rPr>
          <w:rFonts w:ascii="Arial" w:hAnsi="Arial" w:eastAsia="宋体" w:cs="Arial"/>
          <w:spacing w:val="10"/>
          <w:sz w:val="24"/>
          <w:szCs w:val="24"/>
          <w:u w:val="single"/>
        </w:rPr>
        <w:t>0m硫酸盐浓度趋近于背景浓度；泄漏后1000天，下游</w:t>
      </w:r>
      <w:r>
        <w:rPr>
          <w:rFonts w:hint="eastAsia" w:ascii="Arial" w:hAnsi="Arial" w:eastAsia="宋体" w:cs="Arial"/>
          <w:spacing w:val="10"/>
          <w:sz w:val="24"/>
          <w:szCs w:val="24"/>
          <w:u w:val="single"/>
        </w:rPr>
        <w:t>60</w:t>
      </w:r>
      <w:r>
        <w:rPr>
          <w:rFonts w:ascii="Arial" w:hAnsi="Arial" w:eastAsia="宋体" w:cs="Arial"/>
          <w:spacing w:val="10"/>
          <w:sz w:val="24"/>
          <w:szCs w:val="24"/>
          <w:u w:val="single"/>
        </w:rPr>
        <w:t>0m硫酸盐浓度趋近于背景浓度。</w:t>
      </w:r>
    </w:p>
    <w:p w14:paraId="0656AE9E">
      <w:pPr>
        <w:spacing w:line="500" w:lineRule="exact"/>
        <w:ind w:firstLine="476"/>
        <w:rPr>
          <w:rFonts w:ascii="Arial" w:hAnsi="Arial" w:eastAsia="宋体" w:cs="Arial"/>
          <w:spacing w:val="10"/>
          <w:sz w:val="24"/>
          <w:szCs w:val="24"/>
          <w:u w:val="single"/>
        </w:rPr>
      </w:pPr>
      <w:r>
        <w:rPr>
          <w:rFonts w:hint="eastAsia" w:ascii="Arial" w:hAnsi="Arial" w:eastAsia="宋体" w:cs="Arial"/>
          <w:spacing w:val="10"/>
          <w:sz w:val="24"/>
          <w:szCs w:val="24"/>
          <w:u w:val="single"/>
        </w:rPr>
        <w:t>4、</w:t>
      </w:r>
      <w:r>
        <w:rPr>
          <w:rFonts w:ascii="Arial" w:hAnsi="Arial" w:eastAsia="宋体" w:cs="Arial"/>
          <w:spacing w:val="10"/>
          <w:sz w:val="24"/>
          <w:szCs w:val="24"/>
          <w:u w:val="single"/>
        </w:rPr>
        <w:t>钴：泄漏后100天，下游最大浓度0.</w:t>
      </w:r>
      <w:r>
        <w:rPr>
          <w:rFonts w:hint="eastAsia" w:ascii="Arial" w:hAnsi="Arial" w:eastAsia="宋体" w:cs="Arial"/>
          <w:spacing w:val="10"/>
          <w:sz w:val="24"/>
          <w:szCs w:val="24"/>
          <w:u w:val="single"/>
        </w:rPr>
        <w:t>0116</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w:t>
      </w:r>
      <w:r>
        <w:rPr>
          <w:rFonts w:ascii="Arial" w:hAnsi="Arial" w:eastAsia="宋体" w:cs="Arial"/>
          <w:spacing w:val="10"/>
          <w:sz w:val="24"/>
          <w:szCs w:val="24"/>
          <w:u w:val="single"/>
        </w:rPr>
        <w:t>泄漏后</w:t>
      </w:r>
      <w:r>
        <w:rPr>
          <w:rFonts w:hint="eastAsia" w:ascii="Arial" w:hAnsi="Arial" w:eastAsia="宋体" w:cs="Arial"/>
          <w:spacing w:val="10"/>
          <w:sz w:val="24"/>
          <w:szCs w:val="24"/>
          <w:u w:val="single"/>
        </w:rPr>
        <w:t>365</w:t>
      </w:r>
      <w:r>
        <w:rPr>
          <w:rFonts w:ascii="Arial" w:hAnsi="Arial" w:eastAsia="宋体" w:cs="Arial"/>
          <w:spacing w:val="10"/>
          <w:sz w:val="24"/>
          <w:szCs w:val="24"/>
          <w:u w:val="single"/>
        </w:rPr>
        <w:t>天，下游最大浓度0.</w:t>
      </w:r>
      <w:r>
        <w:rPr>
          <w:rFonts w:hint="eastAsia" w:ascii="Arial" w:hAnsi="Arial" w:eastAsia="宋体" w:cs="Arial"/>
          <w:spacing w:val="10"/>
          <w:sz w:val="24"/>
          <w:szCs w:val="24"/>
          <w:u w:val="single"/>
        </w:rPr>
        <w:t>0105</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w:t>
      </w:r>
      <w:r>
        <w:rPr>
          <w:rFonts w:ascii="Arial" w:hAnsi="Arial" w:eastAsia="宋体" w:cs="Arial"/>
          <w:spacing w:val="10"/>
          <w:sz w:val="24"/>
          <w:szCs w:val="24"/>
          <w:u w:val="single"/>
        </w:rPr>
        <w:t>泄漏后1</w:t>
      </w:r>
      <w:r>
        <w:rPr>
          <w:rFonts w:hint="eastAsia" w:ascii="Arial" w:hAnsi="Arial" w:eastAsia="宋体" w:cs="Arial"/>
          <w:spacing w:val="10"/>
          <w:sz w:val="24"/>
          <w:szCs w:val="24"/>
          <w:u w:val="single"/>
        </w:rPr>
        <w:t>0</w:t>
      </w:r>
      <w:r>
        <w:rPr>
          <w:rFonts w:ascii="Arial" w:hAnsi="Arial" w:eastAsia="宋体" w:cs="Arial"/>
          <w:spacing w:val="10"/>
          <w:sz w:val="24"/>
          <w:szCs w:val="24"/>
          <w:u w:val="single"/>
        </w:rPr>
        <w:t>00天，下游最大浓度0.</w:t>
      </w:r>
      <w:r>
        <w:rPr>
          <w:rFonts w:hint="eastAsia" w:ascii="Arial" w:hAnsi="Arial" w:eastAsia="宋体" w:cs="Arial"/>
          <w:spacing w:val="10"/>
          <w:sz w:val="24"/>
          <w:szCs w:val="24"/>
          <w:u w:val="single"/>
        </w:rPr>
        <w:t>0102</w:t>
      </w:r>
      <w:r>
        <w:rPr>
          <w:rFonts w:ascii="Arial" w:hAnsi="Arial" w:eastAsia="宋体" w:cs="Arial"/>
          <w:spacing w:val="10"/>
          <w:sz w:val="24"/>
          <w:szCs w:val="24"/>
          <w:u w:val="single"/>
        </w:rPr>
        <w:t>mg/L</w:t>
      </w:r>
      <w:r>
        <w:rPr>
          <w:rFonts w:hint="eastAsia" w:ascii="Arial" w:hAnsi="Arial" w:eastAsia="宋体" w:cs="Arial"/>
          <w:spacing w:val="10"/>
          <w:sz w:val="24"/>
          <w:szCs w:val="24"/>
          <w:u w:val="single"/>
        </w:rPr>
        <w:t>。地下水水质均满足</w:t>
      </w:r>
      <w:r>
        <w:rPr>
          <w:rFonts w:ascii="Arial" w:hAnsi="Arial" w:eastAsia="宋体" w:cs="Arial"/>
          <w:spacing w:val="10"/>
          <w:sz w:val="24"/>
          <w:szCs w:val="24"/>
          <w:u w:val="single"/>
        </w:rPr>
        <w:t>《地下水质量标准》（GB/T14848-2017）</w:t>
      </w:r>
      <w:r>
        <w:rPr>
          <w:rFonts w:hint="eastAsia" w:ascii="宋体" w:hAnsi="宋体" w:eastAsia="宋体" w:cs="宋体"/>
          <w:spacing w:val="10"/>
          <w:sz w:val="24"/>
          <w:szCs w:val="24"/>
          <w:u w:val="single"/>
        </w:rPr>
        <w:t>Ⅲ</w:t>
      </w:r>
      <w:r>
        <w:rPr>
          <w:rFonts w:ascii="Arial" w:hAnsi="Arial" w:eastAsia="宋体" w:cs="Arial"/>
          <w:spacing w:val="10"/>
          <w:sz w:val="24"/>
          <w:szCs w:val="24"/>
          <w:u w:val="single"/>
        </w:rPr>
        <w:t>类水标准（0.05mg/L）。</w:t>
      </w:r>
    </w:p>
    <w:p w14:paraId="46758B69">
      <w:pPr>
        <w:pStyle w:val="5"/>
        <w:adjustRightInd w:val="0"/>
        <w:snapToGrid w:val="0"/>
        <w:spacing w:line="500" w:lineRule="exact"/>
        <w:ind w:firstLine="522"/>
        <w:rPr>
          <w:szCs w:val="24"/>
        </w:rPr>
      </w:pPr>
      <w:r>
        <w:rPr>
          <w:szCs w:val="24"/>
          <w:u w:val="single"/>
        </w:rPr>
        <w:t>综上所述，项目非正常工况下，区域地下水中的污染物逐渐增加，泄漏后100天，污水预处理设施下游100m将受到污染；泄漏后365天，下游</w:t>
      </w:r>
      <w:r>
        <w:rPr>
          <w:rFonts w:hint="eastAsia"/>
          <w:szCs w:val="24"/>
          <w:u w:val="single"/>
        </w:rPr>
        <w:t>20</w:t>
      </w:r>
      <w:r>
        <w:rPr>
          <w:szCs w:val="24"/>
          <w:u w:val="single"/>
        </w:rPr>
        <w:t>0m将受到污染；泄漏后1000天，下游</w:t>
      </w:r>
      <w:r>
        <w:rPr>
          <w:rFonts w:hint="eastAsia"/>
          <w:szCs w:val="24"/>
          <w:u w:val="single"/>
        </w:rPr>
        <w:t>40</w:t>
      </w:r>
      <w:r>
        <w:rPr>
          <w:szCs w:val="24"/>
          <w:u w:val="single"/>
        </w:rPr>
        <w:t>0m将受到污染。地下水下游不同程度出现超标现象，地下水下游无敏感目标，项目非正常工况下对周边环境影响较小。</w:t>
      </w:r>
    </w:p>
    <w:p w14:paraId="267214D6">
      <w:pPr>
        <w:pStyle w:val="6"/>
        <w:numPr>
          <w:ilvl w:val="0"/>
          <w:numId w:val="54"/>
        </w:numPr>
        <w:tabs>
          <w:tab w:val="clear" w:pos="1789"/>
        </w:tabs>
        <w:spacing w:line="400" w:lineRule="exact"/>
        <w:ind w:left="0" w:firstLine="0"/>
        <w:rPr>
          <w:rFonts w:ascii="Arial" w:hAnsi="Arial" w:eastAsia="宋体" w:cs="Arial"/>
        </w:rPr>
      </w:pPr>
      <w:bookmarkStart w:id="673" w:name="_Toc88674859"/>
      <w:bookmarkStart w:id="674" w:name="_Toc58596538"/>
      <w:bookmarkStart w:id="675" w:name="_Toc57715698"/>
      <w:bookmarkStart w:id="676" w:name="_Toc67921954"/>
      <w:bookmarkStart w:id="677" w:name="_Toc87124337"/>
      <w:bookmarkStart w:id="678" w:name="_Toc104677385"/>
      <w:r>
        <w:rPr>
          <w:rFonts w:ascii="Arial" w:hAnsi="Arial" w:eastAsia="宋体" w:cs="Arial"/>
        </w:rPr>
        <w:t>运营期声环境影响评价结论</w:t>
      </w:r>
      <w:bookmarkEnd w:id="673"/>
      <w:bookmarkEnd w:id="674"/>
      <w:bookmarkEnd w:id="675"/>
      <w:bookmarkEnd w:id="676"/>
      <w:bookmarkEnd w:id="677"/>
      <w:bookmarkEnd w:id="678"/>
    </w:p>
    <w:p w14:paraId="0196197B">
      <w:pPr>
        <w:pStyle w:val="5"/>
        <w:spacing w:line="500" w:lineRule="exact"/>
        <w:ind w:firstLine="520"/>
        <w:rPr>
          <w:highlight w:val="yellow"/>
        </w:rPr>
      </w:pPr>
      <w:r>
        <w:t>根据预测结果，厂界东、南、北面噪声预测值符合《工业企业厂界环境噪声排放标准》（GB12348-2008）中3类标准限值的要求，厂界西面符合4类标准限值要求，鸡墩头村噪声预测值符合《声环境质量标准》（GB3096-2008）2类区标准。</w:t>
      </w:r>
    </w:p>
    <w:p w14:paraId="765C3EF3">
      <w:pPr>
        <w:pStyle w:val="6"/>
        <w:numPr>
          <w:ilvl w:val="0"/>
          <w:numId w:val="54"/>
        </w:numPr>
        <w:tabs>
          <w:tab w:val="clear" w:pos="1789"/>
        </w:tabs>
        <w:spacing w:line="400" w:lineRule="exact"/>
        <w:ind w:left="0" w:firstLine="0"/>
        <w:rPr>
          <w:rFonts w:ascii="Arial" w:hAnsi="Arial" w:eastAsia="宋体" w:cs="Arial"/>
        </w:rPr>
      </w:pPr>
      <w:bookmarkStart w:id="679" w:name="_Toc88674860"/>
      <w:bookmarkStart w:id="680" w:name="_Toc87124338"/>
      <w:bookmarkStart w:id="681" w:name="_Toc57715699"/>
      <w:bookmarkStart w:id="682" w:name="_Toc104677386"/>
      <w:bookmarkStart w:id="683" w:name="_Toc67921955"/>
      <w:bookmarkStart w:id="684" w:name="_Toc58596539"/>
      <w:r>
        <w:rPr>
          <w:rFonts w:ascii="Arial" w:hAnsi="Arial" w:eastAsia="宋体" w:cs="Arial"/>
        </w:rPr>
        <w:t>运营期固体废物影响分析结论</w:t>
      </w:r>
      <w:bookmarkEnd w:id="679"/>
      <w:bookmarkEnd w:id="680"/>
      <w:bookmarkEnd w:id="681"/>
      <w:bookmarkEnd w:id="682"/>
      <w:bookmarkEnd w:id="683"/>
      <w:bookmarkEnd w:id="684"/>
    </w:p>
    <w:p w14:paraId="4BE7E41E">
      <w:pPr>
        <w:pStyle w:val="5"/>
        <w:spacing w:line="500" w:lineRule="exact"/>
        <w:ind w:firstLine="520"/>
      </w:pPr>
      <w:r>
        <w:t>项目固体废物处置符合国家技术政策及相关的环保要求，最终均可得到合理有效处置，不会对周边环境造成二次污染。</w:t>
      </w:r>
    </w:p>
    <w:p w14:paraId="1A27313C">
      <w:pPr>
        <w:pStyle w:val="6"/>
        <w:numPr>
          <w:ilvl w:val="0"/>
          <w:numId w:val="54"/>
        </w:numPr>
        <w:tabs>
          <w:tab w:val="clear" w:pos="1789"/>
        </w:tabs>
        <w:spacing w:line="400" w:lineRule="exact"/>
        <w:ind w:left="0" w:firstLine="0"/>
        <w:rPr>
          <w:rFonts w:ascii="Arial" w:hAnsi="Arial" w:eastAsia="宋体" w:cs="Arial"/>
        </w:rPr>
      </w:pPr>
      <w:bookmarkStart w:id="685" w:name="_Toc87124339"/>
      <w:bookmarkStart w:id="686" w:name="_Toc104677387"/>
      <w:bookmarkStart w:id="687" w:name="_Toc88674861"/>
      <w:r>
        <w:rPr>
          <w:rFonts w:ascii="Arial" w:hAnsi="Arial" w:eastAsia="宋体" w:cs="Arial"/>
        </w:rPr>
        <w:t>运营期土壤影响分析结论</w:t>
      </w:r>
      <w:bookmarkEnd w:id="685"/>
      <w:bookmarkEnd w:id="686"/>
      <w:bookmarkEnd w:id="687"/>
    </w:p>
    <w:p w14:paraId="6C989892">
      <w:pPr>
        <w:pStyle w:val="5"/>
        <w:spacing w:line="500" w:lineRule="exact"/>
        <w:ind w:firstLine="520"/>
        <w:rPr>
          <w:highlight w:val="yellow"/>
        </w:rPr>
      </w:pPr>
      <w:r>
        <w:t>项目所在区域土壤环境受本项目大气沉降影响、垂直下渗和地面漫流影响，大气沉降主要影响因素为钴及其化合物，垂直下渗</w:t>
      </w:r>
      <w:r>
        <w:rPr>
          <w:rFonts w:hint="eastAsia"/>
        </w:rPr>
        <w:t>、</w:t>
      </w:r>
      <w:r>
        <w:t>地面漫流主要因素为</w:t>
      </w:r>
      <w:r>
        <w:rPr>
          <w:rFonts w:hint="eastAsia"/>
        </w:rPr>
        <w:t>储槽</w:t>
      </w:r>
      <w:r>
        <w:t>泄漏。通过上述分析可知，项目排放的</w:t>
      </w:r>
      <w:r>
        <w:rPr>
          <w:rFonts w:hint="eastAsia"/>
        </w:rPr>
        <w:t>钴及其化合物</w:t>
      </w:r>
      <w:r>
        <w:t>对周边土壤有一定的累积影响，但厂区周边建设用地均可达到《土壤环境质量 建设用地土壤污染风险管控标准（试行）》（GB36600-2018）中第二类用地筛选值标准；垂直下渗对土壤影响主要为事故状态下车间各储槽、污水外排槽渗漏等。由于</w:t>
      </w:r>
      <w:r>
        <w:rPr>
          <w:rFonts w:hint="eastAsia"/>
        </w:rPr>
        <w:t>项目</w:t>
      </w:r>
      <w:r>
        <w:t>各储槽均为</w:t>
      </w:r>
      <w:r>
        <w:rPr>
          <w:rFonts w:hint="eastAsia"/>
        </w:rPr>
        <w:t>地面</w:t>
      </w:r>
      <w:r>
        <w:t>槽罐，发生渗漏时易发现，且各槽罐区设置围堰，</w:t>
      </w:r>
      <w:r>
        <w:rPr>
          <w:rFonts w:hint="eastAsia"/>
        </w:rPr>
        <w:t>围堰</w:t>
      </w:r>
      <w:r>
        <w:t>采取防渗措施，因此本次评价不考虑垂直下渗对土壤影响情形；地面漫流对土壤影响主要为事故状态下污水</w:t>
      </w:r>
      <w:r>
        <w:rPr>
          <w:rFonts w:hint="eastAsia"/>
        </w:rPr>
        <w:t>外排槽</w:t>
      </w:r>
      <w:r>
        <w:t>泄漏</w:t>
      </w:r>
      <w:r>
        <w:rPr>
          <w:rFonts w:hint="eastAsia"/>
        </w:rPr>
        <w:t>导致</w:t>
      </w:r>
      <w:r>
        <w:t>废水漫流。由于废水外排槽设置围堰，当污水</w:t>
      </w:r>
      <w:r>
        <w:rPr>
          <w:rFonts w:hint="eastAsia"/>
        </w:rPr>
        <w:t>外排槽</w:t>
      </w:r>
      <w:r>
        <w:t>泄漏污水发生漫流时，废水能截留在</w:t>
      </w:r>
      <w:r>
        <w:rPr>
          <w:rFonts w:hint="eastAsia"/>
        </w:rPr>
        <w:t>围堰</w:t>
      </w:r>
      <w:r>
        <w:t>内，应急水泵可及时将废水通过管道抽送至事故池中，因此本次评价不考虑地面漫流对土壤影响情形。</w:t>
      </w:r>
    </w:p>
    <w:p w14:paraId="352207B6">
      <w:pPr>
        <w:pStyle w:val="6"/>
        <w:numPr>
          <w:ilvl w:val="0"/>
          <w:numId w:val="54"/>
        </w:numPr>
        <w:tabs>
          <w:tab w:val="clear" w:pos="1789"/>
        </w:tabs>
        <w:spacing w:line="400" w:lineRule="exact"/>
        <w:ind w:left="0" w:firstLine="0"/>
        <w:rPr>
          <w:rFonts w:ascii="Arial" w:hAnsi="Arial" w:eastAsia="宋体" w:cs="Arial"/>
        </w:rPr>
      </w:pPr>
      <w:bookmarkStart w:id="688" w:name="_Toc57715700"/>
      <w:bookmarkStart w:id="689" w:name="_Toc67921956"/>
      <w:bookmarkStart w:id="690" w:name="_Toc104677388"/>
      <w:bookmarkStart w:id="691" w:name="_Toc87124340"/>
      <w:bookmarkStart w:id="692" w:name="_Toc58596540"/>
      <w:bookmarkStart w:id="693" w:name="_Toc88674862"/>
      <w:bookmarkStart w:id="694" w:name="_Toc157479231"/>
      <w:bookmarkStart w:id="695" w:name="_Toc12446"/>
      <w:bookmarkStart w:id="696" w:name="_Toc238027884"/>
      <w:bookmarkStart w:id="697" w:name="_Toc183011892"/>
      <w:bookmarkStart w:id="698" w:name="_Toc28368"/>
      <w:bookmarkStart w:id="699" w:name="_Toc3279"/>
      <w:bookmarkStart w:id="700" w:name="_Toc31371"/>
      <w:bookmarkStart w:id="701" w:name="_Toc25280"/>
      <w:bookmarkStart w:id="702" w:name="_Toc20902"/>
      <w:r>
        <w:rPr>
          <w:rFonts w:ascii="Arial" w:hAnsi="Arial" w:eastAsia="宋体" w:cs="Arial"/>
        </w:rPr>
        <w:t>风险评价结论</w:t>
      </w:r>
      <w:bookmarkEnd w:id="688"/>
      <w:bookmarkEnd w:id="689"/>
      <w:bookmarkEnd w:id="690"/>
      <w:bookmarkEnd w:id="691"/>
      <w:bookmarkEnd w:id="692"/>
      <w:bookmarkEnd w:id="693"/>
    </w:p>
    <w:p w14:paraId="758E8F88">
      <w:pPr>
        <w:pStyle w:val="474"/>
        <w:spacing w:line="500" w:lineRule="exact"/>
        <w:ind w:firstLine="489"/>
        <w:rPr>
          <w:rFonts w:ascii="Arial" w:hAnsi="Arial" w:cs="Arial"/>
          <w:spacing w:val="10"/>
        </w:rPr>
      </w:pPr>
      <w:r>
        <w:rPr>
          <w:rFonts w:ascii="Arial" w:hAnsi="Arial" w:cs="Arial"/>
          <w:spacing w:val="10"/>
        </w:rPr>
        <w:t>在采取报告书提出的风险防范措施并严格制定环境突发事故应急预案，配备应急物资，保证突发环境风险事故时，能按应急预案采取应急措施的情况下，项目环境风险在可控范围内。</w:t>
      </w:r>
    </w:p>
    <w:p w14:paraId="79253A01">
      <w:pPr>
        <w:pStyle w:val="4"/>
        <w:numPr>
          <w:ilvl w:val="0"/>
          <w:numId w:val="51"/>
        </w:numPr>
        <w:spacing w:before="214" w:beforeLines="50" w:after="214" w:afterLines="50" w:line="500" w:lineRule="exact"/>
        <w:rPr>
          <w:rFonts w:ascii="Arial" w:eastAsia="宋体" w:cs="Arial"/>
          <w:b/>
        </w:rPr>
      </w:pPr>
      <w:bookmarkStart w:id="703" w:name="_Toc1742984"/>
      <w:bookmarkStart w:id="704" w:name="_Toc104677389"/>
      <w:bookmarkStart w:id="705" w:name="_Toc185950251"/>
      <w:r>
        <w:rPr>
          <w:rFonts w:ascii="Arial" w:eastAsia="宋体" w:cs="Arial"/>
          <w:b/>
        </w:rPr>
        <w:t>环境损益分析结论</w:t>
      </w:r>
      <w:bookmarkEnd w:id="703"/>
      <w:bookmarkEnd w:id="704"/>
      <w:bookmarkEnd w:id="705"/>
    </w:p>
    <w:p w14:paraId="242F4442">
      <w:pPr>
        <w:pStyle w:val="474"/>
        <w:spacing w:line="500" w:lineRule="exact"/>
        <w:ind w:firstLine="489"/>
        <w:rPr>
          <w:rFonts w:ascii="Arial" w:hAnsi="Arial" w:cs="Arial"/>
          <w:spacing w:val="10"/>
        </w:rPr>
      </w:pPr>
      <w:r>
        <w:rPr>
          <w:rFonts w:ascii="Arial" w:hAnsi="Arial" w:cs="Arial"/>
          <w:spacing w:val="10"/>
        </w:rPr>
        <w:t>项目促进区域经济发展，各污染物达标排放，未造成区域环境质量降级，项目具有显著的环境效益和社会效益。因此，项目环保投资经济合理，所采取的环保措施在经济上是合理可行的，各项环保措施不仅较大程度的减缓项目对环境产生的不利影响，还可以产生较大的经济效益，其环境效益显著。从环境经济观点的角度看，项目是合理可行的。</w:t>
      </w:r>
    </w:p>
    <w:bookmarkEnd w:id="694"/>
    <w:bookmarkEnd w:id="695"/>
    <w:bookmarkEnd w:id="696"/>
    <w:bookmarkEnd w:id="697"/>
    <w:bookmarkEnd w:id="698"/>
    <w:bookmarkEnd w:id="699"/>
    <w:bookmarkEnd w:id="700"/>
    <w:bookmarkEnd w:id="701"/>
    <w:bookmarkEnd w:id="702"/>
    <w:p w14:paraId="445A503F">
      <w:pPr>
        <w:pStyle w:val="4"/>
        <w:numPr>
          <w:ilvl w:val="0"/>
          <w:numId w:val="51"/>
        </w:numPr>
        <w:spacing w:before="214" w:beforeLines="50" w:after="214" w:afterLines="50" w:line="500" w:lineRule="exact"/>
        <w:rPr>
          <w:rFonts w:ascii="Arial" w:eastAsia="宋体" w:cs="Arial"/>
          <w:b/>
        </w:rPr>
      </w:pPr>
      <w:bookmarkStart w:id="706" w:name="_Toc313269132"/>
      <w:bookmarkStart w:id="707" w:name="_Toc313269430"/>
      <w:bookmarkStart w:id="708" w:name="_Toc104677391"/>
      <w:bookmarkStart w:id="709" w:name="_Toc317255150"/>
      <w:bookmarkStart w:id="710" w:name="_Toc313269356"/>
      <w:bookmarkStart w:id="711" w:name="_Toc185950252"/>
      <w:bookmarkStart w:id="712" w:name="_Toc1742986"/>
      <w:bookmarkStart w:id="713" w:name="_Toc338342895"/>
      <w:bookmarkStart w:id="714" w:name="_Toc341856752"/>
      <w:r>
        <w:rPr>
          <w:rFonts w:ascii="Arial" w:eastAsia="宋体" w:cs="Arial"/>
          <w:b/>
        </w:rPr>
        <w:t>总结论</w:t>
      </w:r>
      <w:bookmarkEnd w:id="706"/>
      <w:bookmarkEnd w:id="707"/>
      <w:bookmarkEnd w:id="708"/>
      <w:bookmarkEnd w:id="709"/>
      <w:bookmarkEnd w:id="710"/>
      <w:bookmarkEnd w:id="711"/>
      <w:bookmarkEnd w:id="712"/>
      <w:bookmarkEnd w:id="713"/>
      <w:bookmarkEnd w:id="714"/>
    </w:p>
    <w:p w14:paraId="57C56A89">
      <w:pPr>
        <w:snapToGrid w:val="0"/>
        <w:spacing w:line="500" w:lineRule="exact"/>
        <w:ind w:firstLine="480"/>
        <w:rPr>
          <w:rFonts w:ascii="Arial" w:hAnsi="Arial" w:eastAsia="宋体" w:cs="Arial"/>
          <w:spacing w:val="10"/>
          <w:sz w:val="24"/>
          <w:szCs w:val="24"/>
        </w:rPr>
      </w:pPr>
      <w:r>
        <w:rPr>
          <w:rFonts w:hint="eastAsia" w:ascii="Arial" w:hAnsi="Arial" w:eastAsia="宋体" w:cs="Arial"/>
          <w:spacing w:val="10"/>
          <w:sz w:val="24"/>
          <w:szCs w:val="24"/>
        </w:rPr>
        <w:t>广西中伟新能源项目一期二阶段（重大变动）符合国家及地方产业政策，符合规划，选址合理；外排污染物能达标排放，项目建设不会造成评价范围内的环境质量降级，造成的环境影响程度在区域环境可接受范围内。因此，只要建设单位认真落实本环评报告中提出的各项污染防治措施、环境风险防范措施以及环境管理措施等，严格执行环保“三同时”制度，项目建设对环境影响可接受。</w:t>
      </w:r>
    </w:p>
    <w:sectPr>
      <w:pgSz w:w="11907" w:h="16840"/>
      <w:pgMar w:top="1678" w:right="1408" w:bottom="1901" w:left="1155" w:header="1174" w:footer="1029" w:gutter="567"/>
      <w:cols w:space="720" w:num="1"/>
      <w:docGrid w:type="linesAndChars" w:linePitch="428" w:charSpace="-316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华文楷体">
    <w:panose1 w:val="02010600040101010101"/>
    <w:charset w:val="86"/>
    <w:family w:val="auto"/>
    <w:pitch w:val="default"/>
    <w:sig w:usb0="00000287" w:usb1="080F0000" w:usb2="00000000" w:usb3="00000000" w:csb0="0004009F" w:csb1="DFD7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roman"/>
    <w:pitch w:val="default"/>
    <w:sig w:usb0="00000000" w:usb1="00000000" w:usb2="0000003F" w:usb3="00000000" w:csb0="603F01FF" w:csb1="FFFF0000"/>
  </w:font>
  <w:font w:name="文鼎粗钢笔行楷">
    <w:altName w:val="宋体"/>
    <w:panose1 w:val="00000000000000000000"/>
    <w:charset w:val="86"/>
    <w:family w:val="swiss"/>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华文细黑">
    <w:panose1 w:val="02010600040101010101"/>
    <w:charset w:val="86"/>
    <w:family w:val="auto"/>
    <w:pitch w:val="default"/>
    <w:sig w:usb0="00000287" w:usb1="080F0000" w:usb2="00000000" w:usb3="00000000" w:csb0="0004009F" w:csb1="DFD70000"/>
  </w:font>
  <w:font w:name="Arial Black">
    <w:panose1 w:val="020B0A04020102020204"/>
    <w:charset w:val="00"/>
    <w:family w:val="swiss"/>
    <w:pitch w:val="default"/>
    <w:sig w:usb0="A00002AF" w:usb1="400078FB" w:usb2="00000000" w:usb3="00000000" w:csb0="6000009F" w:csb1="DFD70000"/>
  </w:font>
  <w:font w:name="Tahoma">
    <w:panose1 w:val="020B0604030504040204"/>
    <w:charset w:val="00"/>
    <w:family w:val="swiss"/>
    <w:pitch w:val="default"/>
    <w:sig w:usb0="E1002EFF" w:usb1="C000605B" w:usb2="00000029" w:usb3="00000000" w:csb0="200101FF" w:csb1="20280000"/>
  </w:font>
  <w:font w:name="新宋体">
    <w:panose1 w:val="02010609030101010101"/>
    <w:charset w:val="86"/>
    <w:family w:val="modern"/>
    <w:pitch w:val="default"/>
    <w:sig w:usb0="00000203" w:usb1="288F0000" w:usb2="00000006"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Geneva">
    <w:altName w:val="Arial"/>
    <w:panose1 w:val="00000000000000000000"/>
    <w:charset w:val="00"/>
    <w:family w:val="swiss"/>
    <w:pitch w:val="default"/>
    <w:sig w:usb0="00000000" w:usb1="00000000" w:usb2="00000000" w:usb3="00000000" w:csb0="00000001" w:csb1="00000000"/>
  </w:font>
  <w:font w:name="华文中宋">
    <w:panose1 w:val="02010600040101010101"/>
    <w:charset w:val="86"/>
    <w:family w:val="auto"/>
    <w:pitch w:val="default"/>
    <w:sig w:usb0="00000287" w:usb1="080F0000" w:usb2="00000000" w:usb3="00000000" w:csb0="0004009F" w:csb1="DFD70000"/>
  </w:font>
  <w:font w:name="á￥êé">
    <w:altName w:val="宋体"/>
    <w:panose1 w:val="00000000000000000000"/>
    <w:charset w:val="86"/>
    <w:family w:val="roma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幼圆">
    <w:panose1 w:val="02010509060101010101"/>
    <w:charset w:val="86"/>
    <w:family w:val="modern"/>
    <w:pitch w:val="default"/>
    <w:sig w:usb0="00000001" w:usb1="080E0000" w:usb2="00000000" w:usb3="00000000" w:csb0="00040000" w:csb1="00000000"/>
  </w:font>
  <w:font w:name="隶书">
    <w:panose1 w:val="02010509060101010101"/>
    <w:charset w:val="86"/>
    <w:family w:val="modern"/>
    <w:pitch w:val="default"/>
    <w:sig w:usb0="00000001" w:usb1="080E0000" w:usb2="00000000" w:usb3="00000000" w:csb0="00040000" w:csb1="00000000"/>
  </w:font>
  <w:font w:name="”“Times New Roman”“">
    <w:altName w:val="宋体"/>
    <w:panose1 w:val="00000000000000000000"/>
    <w:charset w:val="86"/>
    <w:family w:val="roman"/>
    <w:pitch w:val="default"/>
    <w:sig w:usb0="00000000" w:usb1="00000000" w:usb2="00000010" w:usb3="00000000" w:csb0="00040000" w:csb1="00000000"/>
  </w:font>
  <w:font w:name="Bookman Old Style">
    <w:panose1 w:val="02050604050505020204"/>
    <w:charset w:val="00"/>
    <w:family w:val="roman"/>
    <w:pitch w:val="default"/>
    <w:sig w:usb0="00000287" w:usb1="00000000" w:usb2="00000000" w:usb3="00000000" w:csb0="2000009F" w:csb1="DFD70000"/>
  </w:font>
  <w:font w:name="昆仑细圆">
    <w:altName w:val="黑体"/>
    <w:panose1 w:val="00000000000000000000"/>
    <w:charset w:val="86"/>
    <w:family w:val="modern"/>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仿宋体">
    <w:altName w:val="宋体"/>
    <w:panose1 w:val="00000000000000000000"/>
    <w:charset w:val="86"/>
    <w:family w:val="roman"/>
    <w:pitch w:val="default"/>
    <w:sig w:usb0="00000000" w:usb1="00000000" w:usb2="00000010" w:usb3="00000000" w:csb0="00040000" w:csb1="00000000"/>
  </w:font>
  <w:font w:name="Garamond">
    <w:panose1 w:val="02020404030301010803"/>
    <w:charset w:val="00"/>
    <w:family w:val="roman"/>
    <w:pitch w:val="default"/>
    <w:sig w:usb0="00000287" w:usb1="00000000" w:usb2="00000000" w:usb3="00000000" w:csb0="0000009F" w:csb1="DFD70000"/>
  </w:font>
  <w:font w:name="Times">
    <w:altName w:val="Times New Roman"/>
    <w:panose1 w:val="02020603050405020304"/>
    <w:charset w:val="00"/>
    <w:family w:val="roman"/>
    <w:pitch w:val="default"/>
    <w:sig w:usb0="00000000" w:usb1="00000000" w:usb2="00000009" w:usb3="00000000" w:csb0="000001FF" w:csb1="00000000"/>
  </w:font>
  <w:font w:name="Futura Bk BT">
    <w:altName w:val="Arial"/>
    <w:panose1 w:val="00000000000000000000"/>
    <w:charset w:val="00"/>
    <w:family w:val="swiss"/>
    <w:pitch w:val="default"/>
    <w:sig w:usb0="00000000" w:usb1="00000000" w:usb2="00000000" w:usb3="00000000" w:csb0="0000001B" w:csb1="00000000"/>
  </w:font>
  <w:font w:name="文鼎大标宋简">
    <w:altName w:val="宋体"/>
    <w:panose1 w:val="00000000000000000000"/>
    <w:charset w:val="86"/>
    <w:family w:val="modern"/>
    <w:pitch w:val="default"/>
    <w:sig w:usb0="00000000" w:usb1="00000000" w:usb2="00000010" w:usb3="00000000" w:csb0="00040000" w:csb1="00000000"/>
  </w:font>
  <w:font w:name="五">
    <w:altName w:val="黑体"/>
    <w:panose1 w:val="00000000000000000000"/>
    <w:charset w:val="86"/>
    <w:family w:val="auto"/>
    <w:pitch w:val="default"/>
    <w:sig w:usb0="00000000" w:usb1="00000000" w:usb2="00000010" w:usb3="00000000" w:csb0="00040000" w:csb1="00000000"/>
  </w:font>
  <w:font w:name="MS PGothic">
    <w:panose1 w:val="020B0600070205080204"/>
    <w:charset w:val="80"/>
    <w:family w:val="swiss"/>
    <w:pitch w:val="default"/>
    <w:sig w:usb0="E00002FF" w:usb1="6AC7FDFB" w:usb2="08000012" w:usb3="00000000" w:csb0="4002009F" w:csb1="DFD70000"/>
  </w:font>
  <w:font w:name="Plotter">
    <w:altName w:val="Lucida Console"/>
    <w:panose1 w:val="00000000000000000000"/>
    <w:charset w:val="00"/>
    <w:family w:val="roman"/>
    <w:pitch w:val="default"/>
    <w:sig w:usb0="00000000" w:usb1="00000000" w:usb2="00000000" w:usb3="00000000" w:csb0="00040001" w:csb1="00000000"/>
  </w:font>
  <w:font w:name="Lucida Console">
    <w:panose1 w:val="020B0609040504020204"/>
    <w:charset w:val="00"/>
    <w:family w:val="auto"/>
    <w:pitch w:val="default"/>
    <w:sig w:usb0="8000028F" w:usb1="00001800" w:usb2="00000000" w:usb3="00000000" w:csb0="0000001F" w:csb1="D7D70000"/>
  </w:font>
  <w:font w:name="方正仿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t">
    <w:altName w:val="Times New Roman"/>
    <w:panose1 w:val="00000000000000000000"/>
    <w:charset w:val="00"/>
    <w:family w:val="roman"/>
    <w:pitch w:val="default"/>
    <w:sig w:usb0="00000000" w:usb1="00000000" w:usb2="00000804" w:usb3="00000000" w:csb0="06270001" w:csb1="0062EF54"/>
  </w:font>
  <w:font w:name="方正宋三简体">
    <w:altName w:val="宋体"/>
    <w:panose1 w:val="00000000000000000000"/>
    <w:charset w:val="86"/>
    <w:family w:val="auto"/>
    <w:pitch w:val="default"/>
    <w:sig w:usb0="00000000" w:usb1="00000000" w:usb2="00000010" w:usb3="00000000" w:csb0="00040000" w:csb1="00000000"/>
  </w:font>
  <w:font w:name="̥_GB2312">
    <w:altName w:val="Times New Roman"/>
    <w:panose1 w:val="00000000000000000000"/>
    <w:charset w:val="00"/>
    <w:family w:val="roman"/>
    <w:pitch w:val="default"/>
    <w:sig w:usb0="00000000" w:usb1="00000000" w:usb2="00000000" w:usb3="00000000" w:csb0="00040001" w:csb1="00000000"/>
  </w:font>
  <w:font w:name="方正大标宋简体">
    <w:altName w:val="微软雅黑"/>
    <w:panose1 w:val="00000000000000000000"/>
    <w:charset w:val="86"/>
    <w:family w:val="auto"/>
    <w:pitch w:val="default"/>
    <w:sig w:usb0="00000000" w:usb1="00000000" w:usb2="00000010" w:usb3="00000000" w:csb0="00040000" w:csb1="00000000"/>
  </w:font>
  <w:font w:name="Sim Sun">
    <w:altName w:val="微软雅黑"/>
    <w:panose1 w:val="00000000000000000000"/>
    <w:charset w:val="00"/>
    <w:family w:val="roman"/>
    <w:pitch w:val="default"/>
    <w:sig w:usb0="00000000" w:usb1="00000000" w:usb2="00000000" w:usb3="00000000" w:csb0="00040001" w:csb1="00000000"/>
  </w:font>
  <w:font w:name="方正小标宋简体">
    <w:altName w:val="方正舒体"/>
    <w:panose1 w:val="02010601030101010101"/>
    <w:charset w:val="86"/>
    <w:family w:val="auto"/>
    <w:pitch w:val="default"/>
    <w:sig w:usb0="00000000" w:usb1="0000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Batang">
    <w:altName w:val="Malgun Gothic"/>
    <w:panose1 w:val="02030600000101010101"/>
    <w:charset w:val="81"/>
    <w:family w:val="auto"/>
    <w:pitch w:val="default"/>
    <w:sig w:usb0="00000000" w:usb1="00000000" w:usb2="00000030" w:usb3="00000000" w:csb0="4008009F" w:csb1="DFD70000"/>
  </w:font>
  <w:font w:name="Malgun Gothic">
    <w:panose1 w:val="020B0503020000020004"/>
    <w:charset w:val="81"/>
    <w:family w:val="auto"/>
    <w:pitch w:val="default"/>
    <w:sig w:usb0="9000002F" w:usb1="29D77CFB" w:usb2="00000012" w:usb3="00000000" w:csb0="00080001" w:csb1="00000000"/>
  </w:font>
  <w:font w:name="TTE1CFADF8t00">
    <w:altName w:val="新宋体"/>
    <w:panose1 w:val="00000000000000000000"/>
    <w:charset w:val="86"/>
    <w:family w:val="swiss"/>
    <w:pitch w:val="default"/>
    <w:sig w:usb0="00000000" w:usb1="00000000" w:usb2="00000010" w:usb3="00000000" w:csb0="00040001" w:csb1="00000000"/>
  </w:font>
  <w:font w:name="SansSerif">
    <w:altName w:val="Segoe Print"/>
    <w:panose1 w:val="00000400000000000000"/>
    <w:charset w:val="02"/>
    <w:family w:val="auto"/>
    <w:pitch w:val="default"/>
    <w:sig w:usb0="00000000" w:usb1="00000000" w:usb2="00000000" w:usb3="00000000" w:csb0="00000000" w:csb1="00000000"/>
  </w:font>
  <w:font w:name="Baskerville Old Face">
    <w:panose1 w:val="02020602080505020303"/>
    <w:charset w:val="00"/>
    <w:family w:val="roman"/>
    <w:pitch w:val="default"/>
    <w:sig w:usb0="00000003" w:usb1="00000000" w:usb2="00000000" w:usb3="00000000" w:csb0="20000001" w:csb1="00000000"/>
  </w:font>
  <w:font w:name="華康楷書體W5">
    <w:altName w:val="宋体"/>
    <w:panose1 w:val="00000000000000000000"/>
    <w:charset w:val="88"/>
    <w:family w:val="script"/>
    <w:pitch w:val="default"/>
    <w:sig w:usb0="00000000" w:usb1="00000000" w:usb2="00000016" w:usb3="00000000" w:csb0="00100000" w:csb1="00000000"/>
  </w:font>
  <w:font w:name="Century">
    <w:panose1 w:val="02040604050505020304"/>
    <w:charset w:val="00"/>
    <w:family w:val="roman"/>
    <w:pitch w:val="default"/>
    <w:sig w:usb0="00000287" w:usb1="00000000" w:usb2="00000000" w:usb3="00000000" w:csb0="2000009F" w:csb1="DFD70000"/>
  </w:font>
  <w:font w:name="隶书体">
    <w:altName w:val="宋体"/>
    <w:panose1 w:val="00000000000000000000"/>
    <w:charset w:val="86"/>
    <w:family w:val="swiss"/>
    <w:pitch w:val="default"/>
    <w:sig w:usb0="00000000" w:usb1="00000000" w:usb2="00000010" w:usb3="00000000" w:csb0="00040000" w:csb1="00000000"/>
  </w:font>
  <w:font w:name="华文行楷">
    <w:panose1 w:val="02010800040101010101"/>
    <w:charset w:val="86"/>
    <w:family w:val="auto"/>
    <w:pitch w:val="default"/>
    <w:sig w:usb0="00000001" w:usb1="080F0000" w:usb2="00000000" w:usb3="00000000" w:csb0="00040000" w:csb1="00000000"/>
  </w:font>
  <w:font w:name="Cambria Math">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A78BFF">
    <w:pPr>
      <w:pStyle w:val="56"/>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94B1E">
    <w:pPr>
      <w:pStyle w:val="56"/>
      <w:pBdr>
        <w:top w:val="single" w:color="auto" w:sz="4" w:space="1"/>
      </w:pBdr>
      <w:jc w:val="center"/>
    </w:pPr>
    <w:r>
      <w:fldChar w:fldCharType="begin"/>
    </w:r>
    <w:r>
      <w:instrText xml:space="preserve">PAGE   \* MERGEFORMAT</w:instrText>
    </w:r>
    <w:r>
      <w:fldChar w:fldCharType="separate"/>
    </w:r>
    <w:r>
      <w:rPr>
        <w:lang w:val="zh-CN"/>
      </w:rPr>
      <w:t>104</w:t>
    </w:r>
    <w:r>
      <w:fldChar w:fldCharType="end"/>
    </w:r>
  </w:p>
  <w:p w14:paraId="7F037EEF">
    <w:pPr>
      <w:pStyle w:val="34"/>
      <w:spacing w:line="14" w:lineRule="auto"/>
      <w:rPr>
        <w:sz w:val="19"/>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54F8A">
    <w:pPr>
      <w:pStyle w:val="56"/>
      <w:pBdr>
        <w:top w:val="single" w:color="auto" w:sz="4" w:space="1"/>
      </w:pBdr>
      <w:jc w:val="center"/>
    </w:pPr>
    <w:r>
      <w:fldChar w:fldCharType="begin"/>
    </w:r>
    <w:r>
      <w:instrText xml:space="preserve">PAGE   \* MERGEFORMAT</w:instrText>
    </w:r>
    <w:r>
      <w:fldChar w:fldCharType="separate"/>
    </w:r>
    <w:r>
      <w:rPr>
        <w:lang w:val="zh-CN"/>
      </w:rPr>
      <w:t>168</w:t>
    </w:r>
    <w:r>
      <w:fldChar w:fldCharType="end"/>
    </w:r>
  </w:p>
  <w:p w14:paraId="48E9070C">
    <w:pPr>
      <w:pStyle w:val="34"/>
      <w:spacing w:line="14" w:lineRule="auto"/>
      <w:rPr>
        <w:sz w:val="19"/>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A80927">
    <w:pPr>
      <w:pStyle w:val="56"/>
      <w:pBdr>
        <w:top w:val="single" w:color="auto" w:sz="4" w:space="1"/>
      </w:pBdr>
      <w:jc w:val="center"/>
    </w:pPr>
    <w:r>
      <w:fldChar w:fldCharType="begin"/>
    </w:r>
    <w:r>
      <w:instrText xml:space="preserve">PAGE   \* MERGEFORMAT</w:instrText>
    </w:r>
    <w:r>
      <w:fldChar w:fldCharType="separate"/>
    </w:r>
    <w:r>
      <w:rPr>
        <w:lang w:val="zh-CN"/>
      </w:rPr>
      <w:t>210</w:t>
    </w:r>
    <w:r>
      <w:fldChar w:fldCharType="end"/>
    </w:r>
  </w:p>
  <w:p w14:paraId="5273CDF2">
    <w:pPr>
      <w:pStyle w:val="34"/>
      <w:spacing w:line="14" w:lineRule="auto"/>
      <w:rPr>
        <w:sz w:val="19"/>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EA3F19">
    <w:pPr>
      <w:pStyle w:val="56"/>
      <w:framePr w:wrap="around" w:vAnchor="text" w:hAnchor="margin" w:xAlign="center" w:y="1"/>
      <w:rPr>
        <w:rStyle w:val="136"/>
      </w:rPr>
    </w:pPr>
    <w:r>
      <w:fldChar w:fldCharType="begin"/>
    </w:r>
    <w:r>
      <w:rPr>
        <w:rStyle w:val="136"/>
      </w:rPr>
      <w:instrText xml:space="preserve">PAGE  </w:instrText>
    </w:r>
    <w:r>
      <w:fldChar w:fldCharType="separate"/>
    </w:r>
    <w:r>
      <w:rPr>
        <w:rStyle w:val="136"/>
      </w:rPr>
      <w:t>XXXIII</w:t>
    </w:r>
    <w:r>
      <w:fldChar w:fldCharType="end"/>
    </w:r>
  </w:p>
  <w:p w14:paraId="6D83539B">
    <w:pPr>
      <w:pStyle w:val="5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03D1DA">
    <w:pPr>
      <w:pStyle w:val="56"/>
    </w:pPr>
  </w:p>
  <w:tbl>
    <w:tblPr>
      <w:tblStyle w:val="88"/>
      <w:tblW w:w="0" w:type="auto"/>
      <w:tblInd w:w="0" w:type="dxa"/>
      <w:tblLayout w:type="fixed"/>
      <w:tblCellMar>
        <w:top w:w="0" w:type="dxa"/>
        <w:left w:w="108" w:type="dxa"/>
        <w:bottom w:w="0" w:type="dxa"/>
        <w:right w:w="108" w:type="dxa"/>
      </w:tblCellMar>
    </w:tblPr>
    <w:tblGrid>
      <w:gridCol w:w="4068"/>
      <w:gridCol w:w="1676"/>
      <w:gridCol w:w="3073"/>
    </w:tblGrid>
    <w:tr w14:paraId="376834E5">
      <w:tblPrEx>
        <w:tblCellMar>
          <w:top w:w="0" w:type="dxa"/>
          <w:left w:w="108" w:type="dxa"/>
          <w:bottom w:w="0" w:type="dxa"/>
          <w:right w:w="108" w:type="dxa"/>
        </w:tblCellMar>
      </w:tblPrEx>
      <w:trPr>
        <w:cantSplit/>
        <w:trHeight w:val="367" w:hRule="atLeast"/>
      </w:trPr>
      <w:tc>
        <w:tcPr>
          <w:tcW w:w="4068" w:type="dxa"/>
          <w:vAlign w:val="center"/>
        </w:tcPr>
        <w:p w14:paraId="4E9662E6">
          <w:pPr>
            <w:pStyle w:val="56"/>
            <w:ind w:right="360"/>
            <w:rPr>
              <w:rFonts w:eastAsia="宋体"/>
              <w:sz w:val="21"/>
            </w:rPr>
          </w:pPr>
          <w: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-401320</wp:posOffset>
                    </wp:positionV>
                    <wp:extent cx="5564505" cy="1905"/>
                    <wp:effectExtent l="0" t="0" r="0" b="0"/>
                    <wp:wrapNone/>
                    <wp:docPr id="56" name="直线 2"/>
                    <wp:cNvGraphicFramePr/>
                    <a:graphic xmlns:a="http://schemas.openxmlformats.org/drawingml/2006/main">
                      <a:graphicData uri="http://schemas.microsoft.com/office/word/2010/wordprocessingShape">
                        <wps:wsp>
                          <wps:cNvCnPr>
                            <a:cxnSpLocks noChangeShapeType="1"/>
                          </wps:cNvCnPr>
                          <wps:spPr bwMode="auto">
                            <a:xfrm flipV="1">
                              <a:off x="0" y="0"/>
                              <a:ext cx="5564505" cy="1905"/>
                            </a:xfrm>
                            <a:prstGeom prst="line">
                              <a:avLst/>
                            </a:prstGeom>
                            <a:noFill/>
                            <a:ln w="9525">
                              <a:solidFill>
                                <a:srgbClr val="000000"/>
                              </a:solidFill>
                              <a:round/>
                            </a:ln>
                            <a:effectLst/>
                          </wps:spPr>
                          <wps:bodyPr/>
                        </wps:wsp>
                      </a:graphicData>
                    </a:graphic>
                  </wp:anchor>
                </w:drawing>
              </mc:Choice>
              <mc:Fallback>
                <w:pict>
                  <v:line id="直线 2" o:spid="_x0000_s1026" o:spt="20" style="position:absolute;left:0pt;flip:y;margin-left:0pt;margin-top:-31.6pt;height:0.15pt;width:438.15pt;z-index:251662336;mso-width-relative:page;mso-height-relative:page;" filled="f" stroked="t" coordsize="21600,21600" o:gfxdata="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glNI91wAA&#10;AAgBAAAPAAAAAAAAAAEAIAAAACIAAABkcnMvZG93bnJldi54bWxQSwECFAAUAAAACACHTuJAa88Q&#10;auYBAAC9AwAADgAAAAAAAAABACAAAAAmAQAAZHJzL2Uyb0RvYy54bWxQSwUGAAAAAAYABgBZAQAA&#10;fgUAAAAA&#10;">
                    <v:fill on="f" focussize="0,0"/>
                    <v:stroke color="#000000" joinstyle="round"/>
                    <v:imagedata o:title=""/>
                    <o:lock v:ext="edit" aspectratio="f"/>
                  </v:line>
                </w:pict>
              </mc:Fallback>
            </mc:AlternateContent>
          </w:r>
          <w:r>
            <w:rPr>
              <w:rFonts w:hint="eastAsia" w:eastAsia="宋体"/>
              <w:sz w:val="21"/>
            </w:rPr>
            <w:t xml:space="preserve"> </w:t>
          </w:r>
        </w:p>
      </w:tc>
      <w:tc>
        <w:tcPr>
          <w:tcW w:w="1676" w:type="dxa"/>
        </w:tcPr>
        <w:p w14:paraId="7A5CEF10">
          <w:pPr>
            <w:pStyle w:val="56"/>
            <w:ind w:right="360"/>
            <w:jc w:val="center"/>
            <w:rPr>
              <w:rFonts w:eastAsia="宋体"/>
              <w:sz w:val="21"/>
            </w:rPr>
          </w:pPr>
        </w:p>
      </w:tc>
      <w:tc>
        <w:tcPr>
          <w:tcW w:w="3073" w:type="dxa"/>
        </w:tcPr>
        <w:p w14:paraId="5A4C2D06">
          <w:pPr>
            <w:pStyle w:val="56"/>
            <w:tabs>
              <w:tab w:val="left" w:pos="2232"/>
            </w:tabs>
            <w:ind w:right="717"/>
            <w:jc w:val="right"/>
            <w:rPr>
              <w:rFonts w:eastAsia="宋体"/>
              <w:sz w:val="21"/>
            </w:rPr>
          </w:pPr>
        </w:p>
      </w:tc>
    </w:tr>
  </w:tbl>
  <w:p w14:paraId="33C1F661">
    <w:pPr>
      <w:pStyle w:val="5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1A03D5">
    <w:pPr>
      <w:pStyle w:val="5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C8051E">
    <w:pPr>
      <w:pStyle w:val="56"/>
      <w:jc w:val="center"/>
    </w:pPr>
    <w:r>
      <w:fldChar w:fldCharType="begin"/>
    </w:r>
    <w:r>
      <w:instrText xml:space="preserve">PAGE   \* MERGEFORMAT</w:instrText>
    </w:r>
    <w:r>
      <w:fldChar w:fldCharType="separate"/>
    </w:r>
    <w:r>
      <w:rPr>
        <w:lang w:val="zh-CN"/>
      </w:rPr>
      <w:t>VI</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D4C958">
    <w:pPr>
      <w:pStyle w:val="5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F37310">
    <w:pPr>
      <w:pStyle w:val="56"/>
      <w:jc w:val="center"/>
    </w:pPr>
    <w:r>
      <w:fldChar w:fldCharType="begin"/>
    </w:r>
    <w:r>
      <w:instrText xml:space="preserve">PAGE   \* MERGEFORMAT</w:instrText>
    </w:r>
    <w:r>
      <w:fldChar w:fldCharType="separate"/>
    </w:r>
    <w:r>
      <w:rPr>
        <w:lang w:val="zh-CN"/>
      </w:rPr>
      <w:t>1</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044496">
    <w:pPr>
      <w:pStyle w:val="56"/>
      <w:jc w:val="center"/>
    </w:pPr>
    <w:r>
      <w:fldChar w:fldCharType="begin"/>
    </w:r>
    <w:r>
      <w:instrText xml:space="preserve">PAGE   \* MERGEFORMAT</w:instrText>
    </w:r>
    <w:r>
      <w:fldChar w:fldCharType="separate"/>
    </w:r>
    <w:r>
      <w:rPr>
        <w:lang w:val="zh-CN"/>
      </w:rPr>
      <w:t>46</w:t>
    </w:r>
    <w:r>
      <w:fldChar w:fldCharType="end"/>
    </w:r>
  </w:p>
  <w:p w14:paraId="41C80688">
    <w:pPr>
      <w:pStyle w:val="56"/>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D9D205">
    <w:pPr>
      <w:pStyle w:val="56"/>
      <w:pBdr>
        <w:top w:val="single" w:color="auto" w:sz="4" w:space="1"/>
      </w:pBdr>
      <w:jc w:val="center"/>
    </w:pPr>
    <w:r>
      <w:fldChar w:fldCharType="begin"/>
    </w:r>
    <w:r>
      <w:instrText xml:space="preserve">PAGE   \* MERGEFORMAT</w:instrText>
    </w:r>
    <w:r>
      <w:fldChar w:fldCharType="separate"/>
    </w:r>
    <w:r>
      <w:rPr>
        <w:lang w:val="zh-CN"/>
      </w:rPr>
      <w:t>97</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67250D">
    <w:pPr>
      <w:pStyle w:val="58"/>
      <w:pBdr>
        <w:bottom w:val="none" w:color="auto" w:sz="0" w:space="0"/>
      </w:pBdr>
      <w:jc w:val="both"/>
    </w:pPr>
    <w:r>
      <w:rPr>
        <w:rFonts w:hint="eastAsia" w:eastAsia="宋体"/>
      </w:rPr>
      <w:t xml:space="preserve">     </w:t>
    </w:r>
    <w:r>
      <w:rPr>
        <w:rFonts w:hint="eastAsia"/>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C52C20">
    <w:pPr>
      <w:pStyle w:val="58"/>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7FCCF3">
    <w:pPr>
      <w:pStyle w:val="58"/>
      <w:pBdr>
        <w:bottom w:val="none" w:color="auto" w:sz="0" w:space="0"/>
      </w:pBdr>
      <w:jc w:val="both"/>
    </w:pPr>
    <w:r>
      <w:rPr>
        <w:rFonts w:hint="eastAsia" w:eastAsia="宋体"/>
      </w:rPr>
      <w:t xml:space="preserve">     </w:t>
    </w:r>
    <w:r>
      <w:rPr>
        <w:rFonts w:hint="eastAsi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A7D051">
    <w:pPr>
      <w:pStyle w:val="58"/>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124809">
    <w:pPr>
      <w:pStyle w:val="58"/>
      <w:pBdr>
        <w:bottom w:val="single" w:color="auto" w:sz="4" w:space="1"/>
      </w:pBdr>
      <w:rPr>
        <w:rFonts w:ascii="宋体" w:hAnsi="宋体" w:eastAsia="宋体"/>
      </w:rPr>
    </w:pPr>
    <w:r>
      <w:rPr>
        <w:rFonts w:hint="eastAsia" w:ascii="宋体" w:hAnsi="宋体" w:eastAsia="宋体"/>
      </w:rPr>
      <w:t>广西中伟新能源项目一期二阶段（重大变动）环境影响报告书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5"/>
    <w:multiLevelType w:val="multilevel"/>
    <w:tmpl w:val="00000005"/>
    <w:lvl w:ilvl="0" w:tentative="0">
      <w:start w:val="1"/>
      <w:numFmt w:val="decimal"/>
      <w:lvlText w:val="第%1章  "/>
      <w:lvlJc w:val="left"/>
      <w:pPr>
        <w:tabs>
          <w:tab w:val="left" w:pos="3065"/>
        </w:tabs>
        <w:ind w:left="2410" w:hanging="425"/>
      </w:pPr>
      <w:rPr>
        <w:rFonts w:hint="eastAsia"/>
        <w:color w:val="auto"/>
      </w:rPr>
    </w:lvl>
    <w:lvl w:ilvl="1" w:tentative="0">
      <w:start w:val="1"/>
      <w:numFmt w:val="decimal"/>
      <w:lvlText w:val="%1.%2 "/>
      <w:lvlJc w:val="left"/>
      <w:pPr>
        <w:tabs>
          <w:tab w:val="left" w:pos="3217"/>
        </w:tabs>
        <w:ind w:left="3217" w:hanging="567"/>
      </w:pPr>
      <w:rPr>
        <w:rFonts w:hint="eastAsia"/>
      </w:rPr>
    </w:lvl>
    <w:lvl w:ilvl="2" w:tentative="0">
      <w:start w:val="1"/>
      <w:numFmt w:val="decimal"/>
      <w:lvlText w:val="%1.%2.%3 "/>
      <w:lvlJc w:val="left"/>
      <w:pPr>
        <w:tabs>
          <w:tab w:val="left" w:pos="1080"/>
        </w:tabs>
        <w:ind w:left="709" w:hanging="709"/>
      </w:pPr>
      <w:rPr>
        <w:rFonts w:hint="eastAsia"/>
        <w:b/>
        <w:i w:val="0"/>
        <w:color w:val="auto"/>
      </w:rPr>
    </w:lvl>
    <w:lvl w:ilvl="3" w:tentative="0">
      <w:start w:val="1"/>
      <w:numFmt w:val="decimal"/>
      <w:lvlText w:val="表4-%4"/>
      <w:lvlJc w:val="left"/>
      <w:pPr>
        <w:tabs>
          <w:tab w:val="left" w:pos="563"/>
        </w:tabs>
        <w:ind w:left="563" w:hanging="563"/>
      </w:pPr>
      <w:rPr>
        <w:rFonts w:hint="default" w:ascii="Arial" w:hAnsi="Arial" w:cs="Arial"/>
        <w:b/>
        <w:i w:val="0"/>
        <w:color w:val="auto"/>
        <w:sz w:val="24"/>
        <w:lang w:val="en-US"/>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
    <w:nsid w:val="05A7081A"/>
    <w:multiLevelType w:val="multilevel"/>
    <w:tmpl w:val="05A7081A"/>
    <w:lvl w:ilvl="0" w:tentative="0">
      <w:start w:val="1"/>
      <w:numFmt w:val="decimal"/>
      <w:lvlText w:val="7.%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62F7651"/>
    <w:multiLevelType w:val="multilevel"/>
    <w:tmpl w:val="062F7651"/>
    <w:lvl w:ilvl="0" w:tentative="0">
      <w:start w:val="1"/>
      <w:numFmt w:val="decimal"/>
      <w:lvlText w:val="4.2.3.%1"/>
      <w:lvlJc w:val="left"/>
      <w:pPr>
        <w:ind w:left="1316"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2.3.%4"/>
      <w:lvlJc w:val="left"/>
      <w:pPr>
        <w:ind w:left="1680" w:hanging="420"/>
      </w:pPr>
      <w:rPr>
        <w:rFonts w:hint="default" w:ascii="Arial" w:hAnsi="Arial" w:cs="Arial"/>
      </w:r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7B973A2"/>
    <w:multiLevelType w:val="multilevel"/>
    <w:tmpl w:val="07B973A2"/>
    <w:lvl w:ilvl="0" w:tentative="0">
      <w:start w:val="1"/>
      <w:numFmt w:val="decimal"/>
      <w:lvlText w:val="1.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8AD7635"/>
    <w:multiLevelType w:val="multilevel"/>
    <w:tmpl w:val="08AD7635"/>
    <w:lvl w:ilvl="0" w:tentative="0">
      <w:start w:val="1"/>
      <w:numFmt w:val="decimal"/>
      <w:lvlText w:val="表1-%1"/>
      <w:lvlJc w:val="left"/>
      <w:pPr>
        <w:ind w:left="2264"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09732CEB"/>
    <w:multiLevelType w:val="multilevel"/>
    <w:tmpl w:val="09732CEB"/>
    <w:lvl w:ilvl="0" w:tentative="0">
      <w:start w:val="1"/>
      <w:numFmt w:val="decimal"/>
      <w:lvlText w:val="1.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A16242F"/>
    <w:multiLevelType w:val="multilevel"/>
    <w:tmpl w:val="0A16242F"/>
    <w:lvl w:ilvl="0" w:tentative="0">
      <w:start w:val="1"/>
      <w:numFmt w:val="decimal"/>
      <w:lvlText w:val="5.2.2.%1"/>
      <w:lvlJc w:val="left"/>
      <w:pPr>
        <w:ind w:left="1329" w:hanging="420"/>
      </w:pPr>
      <w:rPr>
        <w:rFonts w:hint="eastAsia"/>
      </w:rPr>
    </w:lvl>
    <w:lvl w:ilvl="1" w:tentative="0">
      <w:start w:val="1"/>
      <w:numFmt w:val="decimal"/>
      <w:lvlText w:val="5.2.%2"/>
      <w:lvlJc w:val="left"/>
      <w:pPr>
        <w:ind w:left="840" w:hanging="420"/>
      </w:pPr>
      <w:rPr>
        <w:rFonts w:hint="eastAsia"/>
      </w:rPr>
    </w:lvl>
    <w:lvl w:ilvl="2" w:tentative="0">
      <w:start w:val="1"/>
      <w:numFmt w:val="lowerRoman"/>
      <w:lvlText w:val="%3."/>
      <w:lvlJc w:val="right"/>
      <w:pPr>
        <w:ind w:left="1260" w:hanging="420"/>
      </w:pPr>
    </w:lvl>
    <w:lvl w:ilvl="3" w:tentative="0">
      <w:start w:val="1"/>
      <w:numFmt w:val="decimal"/>
      <w:lvlText w:val="5.2.7.%4"/>
      <w:lvlJc w:val="left"/>
      <w:pPr>
        <w:ind w:left="1680" w:hanging="420"/>
      </w:pPr>
      <w:rPr>
        <w:rFonts w:hint="eastAsia"/>
      </w:r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F4923F6"/>
    <w:multiLevelType w:val="multilevel"/>
    <w:tmpl w:val="0F4923F6"/>
    <w:lvl w:ilvl="0" w:tentative="0">
      <w:start w:val="1"/>
      <w:numFmt w:val="decimal"/>
      <w:lvlText w:val="3.2.%1"/>
      <w:lvlJc w:val="left"/>
      <w:pPr>
        <w:ind w:left="909" w:hanging="420"/>
      </w:pPr>
      <w:rPr>
        <w:rFonts w:hint="eastAsia"/>
      </w:rPr>
    </w:lvl>
    <w:lvl w:ilvl="1" w:tentative="0">
      <w:start w:val="1"/>
      <w:numFmt w:val="lowerLetter"/>
      <w:lvlText w:val="%2)"/>
      <w:lvlJc w:val="left"/>
      <w:pPr>
        <w:ind w:left="840" w:hanging="420"/>
      </w:pPr>
    </w:lvl>
    <w:lvl w:ilvl="2" w:tentative="0">
      <w:start w:val="1"/>
      <w:numFmt w:val="decimal"/>
      <w:lvlText w:val="3.2.%3"/>
      <w:lvlJc w:val="right"/>
      <w:pPr>
        <w:ind w:left="1260" w:hanging="420"/>
      </w:pPr>
      <w:rPr>
        <w:rFonts w:hint="eastAsia"/>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05A7D5F"/>
    <w:multiLevelType w:val="multilevel"/>
    <w:tmpl w:val="105A7D5F"/>
    <w:lvl w:ilvl="0" w:tentative="0">
      <w:start w:val="1"/>
      <w:numFmt w:val="decimal"/>
      <w:lvlText w:val="3.2.1.%1"/>
      <w:lvlJc w:val="right"/>
      <w:pPr>
        <w:ind w:left="126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3.2.1.%4"/>
      <w:lvlJc w:val="left"/>
      <w:pPr>
        <w:ind w:left="1680" w:hanging="420"/>
      </w:pPr>
      <w:rPr>
        <w:rFonts w:hint="eastAsia"/>
      </w:r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079368F"/>
    <w:multiLevelType w:val="multilevel"/>
    <w:tmpl w:val="1079368F"/>
    <w:lvl w:ilvl="0" w:tentative="0">
      <w:start w:val="1"/>
      <w:numFmt w:val="decimal"/>
      <w:lvlText w:val="4.3.7.%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1128501A"/>
    <w:multiLevelType w:val="multilevel"/>
    <w:tmpl w:val="1128501A"/>
    <w:lvl w:ilvl="0" w:tentative="0">
      <w:start w:val="1"/>
      <w:numFmt w:val="decimal"/>
      <w:lvlText w:val="4.2.%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114F3388"/>
    <w:multiLevelType w:val="multilevel"/>
    <w:tmpl w:val="114F3388"/>
    <w:lvl w:ilvl="0" w:tentative="0">
      <w:start w:val="1"/>
      <w:numFmt w:val="decimal"/>
      <w:lvlText w:val="7.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11B46C25"/>
    <w:multiLevelType w:val="multilevel"/>
    <w:tmpl w:val="11B46C25"/>
    <w:lvl w:ilvl="0" w:tentative="0">
      <w:start w:val="1"/>
      <w:numFmt w:val="decimal"/>
      <w:lvlText w:val="1.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12672376"/>
    <w:multiLevelType w:val="multilevel"/>
    <w:tmpl w:val="12672376"/>
    <w:lvl w:ilvl="0" w:tentative="0">
      <w:start w:val="1"/>
      <w:numFmt w:val="decimal"/>
      <w:lvlText w:val="4.2.2.%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14315BB8"/>
    <w:multiLevelType w:val="multilevel"/>
    <w:tmpl w:val="14315BB8"/>
    <w:lvl w:ilvl="0" w:tentative="0">
      <w:start w:val="1"/>
      <w:numFmt w:val="decimal"/>
      <w:lvlText w:val="7.2.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1A2E057D"/>
    <w:multiLevelType w:val="multilevel"/>
    <w:tmpl w:val="1A2E057D"/>
    <w:lvl w:ilvl="0" w:tentative="0">
      <w:start w:val="1"/>
      <w:numFmt w:val="decimal"/>
      <w:lvlText w:val="8.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1DC83BB5"/>
    <w:multiLevelType w:val="multilevel"/>
    <w:tmpl w:val="1DC83BB5"/>
    <w:lvl w:ilvl="0" w:tentative="0">
      <w:start w:val="1"/>
      <w:numFmt w:val="decimal"/>
      <w:lvlText w:val="1.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1E5C5649"/>
    <w:multiLevelType w:val="multilevel"/>
    <w:tmpl w:val="1E5C5649"/>
    <w:lvl w:ilvl="0" w:tentative="0">
      <w:start w:val="1"/>
      <w:numFmt w:val="decimal"/>
      <w:lvlText w:val="3.1.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1EA13BDC"/>
    <w:multiLevelType w:val="multilevel"/>
    <w:tmpl w:val="1EA13BDC"/>
    <w:lvl w:ilvl="0" w:tentative="0">
      <w:start w:val="1"/>
      <w:numFmt w:val="decimal"/>
      <w:lvlText w:val="4.3.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25770311"/>
    <w:multiLevelType w:val="multilevel"/>
    <w:tmpl w:val="25770311"/>
    <w:lvl w:ilvl="0" w:tentative="0">
      <w:start w:val="1"/>
      <w:numFmt w:val="decimal"/>
      <w:lvlText w:val="4.2.6.%1"/>
      <w:lvlJc w:val="left"/>
      <w:pPr>
        <w:ind w:left="896"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309D2B5C"/>
    <w:multiLevelType w:val="multilevel"/>
    <w:tmpl w:val="309D2B5C"/>
    <w:lvl w:ilvl="0" w:tentative="0">
      <w:start w:val="1"/>
      <w:numFmt w:val="decimal"/>
      <w:lvlText w:val="4.3.9.%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32E241A4"/>
    <w:multiLevelType w:val="multilevel"/>
    <w:tmpl w:val="32E241A4"/>
    <w:lvl w:ilvl="0" w:tentative="0">
      <w:start w:val="1"/>
      <w:numFmt w:val="decimal"/>
      <w:lvlText w:val="3.1.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395B04B5"/>
    <w:multiLevelType w:val="multilevel"/>
    <w:tmpl w:val="395B04B5"/>
    <w:lvl w:ilvl="0" w:tentative="0">
      <w:start w:val="1"/>
      <w:numFmt w:val="decimal"/>
      <w:lvlText w:val="1.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3F514BB7"/>
    <w:multiLevelType w:val="multilevel"/>
    <w:tmpl w:val="3F514BB7"/>
    <w:lvl w:ilvl="0" w:tentative="0">
      <w:start w:val="1"/>
      <w:numFmt w:val="decimal"/>
      <w:lvlText w:val="4.3.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42FC6F14"/>
    <w:multiLevelType w:val="multilevel"/>
    <w:tmpl w:val="42FC6F14"/>
    <w:lvl w:ilvl="0" w:tentative="0">
      <w:start w:val="1"/>
      <w:numFmt w:val="decimal"/>
      <w:lvlText w:val="4.3.8.%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448C7FAC"/>
    <w:multiLevelType w:val="multilevel"/>
    <w:tmpl w:val="448C7FAC"/>
    <w:lvl w:ilvl="0" w:tentative="0">
      <w:start w:val="1"/>
      <w:numFmt w:val="decimal"/>
      <w:lvlText w:val="6.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47885A6E"/>
    <w:multiLevelType w:val="multilevel"/>
    <w:tmpl w:val="47885A6E"/>
    <w:lvl w:ilvl="0" w:tentative="0">
      <w:start w:val="1"/>
      <w:numFmt w:val="decimal"/>
      <w:lvlText w:val="4.3.%1"/>
      <w:lvlJc w:val="left"/>
      <w:pPr>
        <w:ind w:left="420" w:hanging="420"/>
      </w:pPr>
      <w:rPr>
        <w:rFonts w:hint="default" w:ascii="Arial" w:hAnsi="Arial" w:eastAsia="宋体" w:cs="Arial"/>
      </w:rPr>
    </w:lvl>
    <w:lvl w:ilvl="1" w:tentative="0">
      <w:start w:val="1"/>
      <w:numFmt w:val="decimalEnclosedCircle"/>
      <w:lvlText w:val="%2"/>
      <w:lvlJc w:val="left"/>
      <w:pPr>
        <w:ind w:left="780" w:hanging="36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27">
    <w:nsid w:val="48C905B8"/>
    <w:multiLevelType w:val="multilevel"/>
    <w:tmpl w:val="48C905B8"/>
    <w:lvl w:ilvl="0" w:tentative="0">
      <w:start w:val="1"/>
      <w:numFmt w:val="decimal"/>
      <w:lvlText w:val="表2-%1"/>
      <w:lvlJc w:val="left"/>
      <w:pPr>
        <w:ind w:left="1696" w:hanging="420"/>
      </w:pPr>
      <w:rPr>
        <w:rFonts w:hint="eastAsia"/>
        <w:b/>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49353BBC"/>
    <w:multiLevelType w:val="multilevel"/>
    <w:tmpl w:val="49353BBC"/>
    <w:lvl w:ilvl="0" w:tentative="0">
      <w:start w:val="1"/>
      <w:numFmt w:val="decimalEnclosedParen"/>
      <w:lvlText w:val="%1"/>
      <w:lvlJc w:val="left"/>
      <w:pPr>
        <w:ind w:left="849" w:hanging="360"/>
      </w:pPr>
      <w:rPr>
        <w:rFonts w:hint="default" w:ascii="宋体" w:hAnsi="宋体" w:cs="宋体"/>
      </w:rPr>
    </w:lvl>
    <w:lvl w:ilvl="1" w:tentative="0">
      <w:start w:val="1"/>
      <w:numFmt w:val="lowerLetter"/>
      <w:lvlText w:val="%2)"/>
      <w:lvlJc w:val="left"/>
      <w:pPr>
        <w:ind w:left="1329" w:hanging="420"/>
      </w:pPr>
    </w:lvl>
    <w:lvl w:ilvl="2" w:tentative="0">
      <w:start w:val="1"/>
      <w:numFmt w:val="lowerRoman"/>
      <w:lvlText w:val="%3."/>
      <w:lvlJc w:val="right"/>
      <w:pPr>
        <w:ind w:left="1749" w:hanging="420"/>
      </w:pPr>
    </w:lvl>
    <w:lvl w:ilvl="3" w:tentative="0">
      <w:start w:val="1"/>
      <w:numFmt w:val="decimal"/>
      <w:lvlText w:val="%4."/>
      <w:lvlJc w:val="left"/>
      <w:pPr>
        <w:ind w:left="2169" w:hanging="420"/>
      </w:pPr>
    </w:lvl>
    <w:lvl w:ilvl="4" w:tentative="0">
      <w:start w:val="1"/>
      <w:numFmt w:val="lowerLetter"/>
      <w:lvlText w:val="%5)"/>
      <w:lvlJc w:val="left"/>
      <w:pPr>
        <w:ind w:left="2589" w:hanging="420"/>
      </w:pPr>
    </w:lvl>
    <w:lvl w:ilvl="5" w:tentative="0">
      <w:start w:val="1"/>
      <w:numFmt w:val="lowerRoman"/>
      <w:lvlText w:val="%6."/>
      <w:lvlJc w:val="right"/>
      <w:pPr>
        <w:ind w:left="3009" w:hanging="420"/>
      </w:pPr>
    </w:lvl>
    <w:lvl w:ilvl="6" w:tentative="0">
      <w:start w:val="1"/>
      <w:numFmt w:val="decimal"/>
      <w:lvlText w:val="%7."/>
      <w:lvlJc w:val="left"/>
      <w:pPr>
        <w:ind w:left="3429" w:hanging="420"/>
      </w:pPr>
    </w:lvl>
    <w:lvl w:ilvl="7" w:tentative="0">
      <w:start w:val="1"/>
      <w:numFmt w:val="lowerLetter"/>
      <w:lvlText w:val="%8)"/>
      <w:lvlJc w:val="left"/>
      <w:pPr>
        <w:ind w:left="3849" w:hanging="420"/>
      </w:pPr>
    </w:lvl>
    <w:lvl w:ilvl="8" w:tentative="0">
      <w:start w:val="1"/>
      <w:numFmt w:val="lowerRoman"/>
      <w:lvlText w:val="%9."/>
      <w:lvlJc w:val="right"/>
      <w:pPr>
        <w:ind w:left="4269" w:hanging="420"/>
      </w:pPr>
    </w:lvl>
  </w:abstractNum>
  <w:abstractNum w:abstractNumId="29">
    <w:nsid w:val="4A5433F6"/>
    <w:multiLevelType w:val="multilevel"/>
    <w:tmpl w:val="4A5433F6"/>
    <w:lvl w:ilvl="0" w:tentative="0">
      <w:start w:val="1"/>
      <w:numFmt w:val="decimal"/>
      <w:lvlText w:val="6.%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4AA618EF"/>
    <w:multiLevelType w:val="multilevel"/>
    <w:tmpl w:val="4AA618EF"/>
    <w:lvl w:ilvl="0" w:tentative="0">
      <w:start w:val="1"/>
      <w:numFmt w:val="decimal"/>
      <w:lvlText w:val="6.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4AE60BAC"/>
    <w:multiLevelType w:val="multilevel"/>
    <w:tmpl w:val="4AE60BAC"/>
    <w:lvl w:ilvl="0" w:tentative="0">
      <w:start w:val="1"/>
      <w:numFmt w:val="decimal"/>
      <w:lvlText w:val="8.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4E130287"/>
    <w:multiLevelType w:val="multilevel"/>
    <w:tmpl w:val="4E130287"/>
    <w:lvl w:ilvl="0" w:tentative="0">
      <w:start w:val="1"/>
      <w:numFmt w:val="decimal"/>
      <w:lvlText w:val="图4.2-%1"/>
      <w:lvlJc w:val="left"/>
      <w:pPr>
        <w:ind w:left="420" w:hanging="420"/>
      </w:pPr>
      <w:rPr>
        <w:rFonts w:hint="default" w:ascii="Arial" w:hAnsi="Arial" w:eastAsia="宋体" w:cs="Arial"/>
        <w:b/>
        <w:sz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4EFD0B28"/>
    <w:multiLevelType w:val="multilevel"/>
    <w:tmpl w:val="4EFD0B28"/>
    <w:lvl w:ilvl="0" w:tentative="0">
      <w:start w:val="1"/>
      <w:numFmt w:val="decimal"/>
      <w:lvlText w:val="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53BB03A3"/>
    <w:multiLevelType w:val="multilevel"/>
    <w:tmpl w:val="53BB03A3"/>
    <w:lvl w:ilvl="0" w:tentative="0">
      <w:start w:val="1"/>
      <w:numFmt w:val="decimal"/>
      <w:lvlText w:val="1.6.%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543664E5"/>
    <w:multiLevelType w:val="multilevel"/>
    <w:tmpl w:val="543664E5"/>
    <w:lvl w:ilvl="0" w:tentative="0">
      <w:start w:val="1"/>
      <w:numFmt w:val="decimal"/>
      <w:lvlText w:val="5.2.2.%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577F70C5"/>
    <w:multiLevelType w:val="multilevel"/>
    <w:tmpl w:val="577F70C5"/>
    <w:lvl w:ilvl="0" w:tentative="0">
      <w:start w:val="1"/>
      <w:numFmt w:val="decimal"/>
      <w:lvlText w:val="表6-%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584921E4"/>
    <w:multiLevelType w:val="multilevel"/>
    <w:tmpl w:val="584921E4"/>
    <w:lvl w:ilvl="0" w:tentative="0">
      <w:start w:val="1"/>
      <w:numFmt w:val="decimal"/>
      <w:lvlText w:val="4.3.6.%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624D6112"/>
    <w:multiLevelType w:val="multilevel"/>
    <w:tmpl w:val="624D6112"/>
    <w:lvl w:ilvl="0" w:tentative="0">
      <w:start w:val="1"/>
      <w:numFmt w:val="decimal"/>
      <w:lvlText w:val="5.2.1.%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62784E7A"/>
    <w:multiLevelType w:val="multilevel"/>
    <w:tmpl w:val="62784E7A"/>
    <w:lvl w:ilvl="0" w:tentative="0">
      <w:start w:val="1"/>
      <w:numFmt w:val="decimal"/>
      <w:lvlText w:val="8.%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65FB2951"/>
    <w:multiLevelType w:val="multilevel"/>
    <w:tmpl w:val="65FB2951"/>
    <w:lvl w:ilvl="0" w:tentative="0">
      <w:start w:val="1"/>
      <w:numFmt w:val="decimal"/>
      <w:lvlText w:val="7.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68072DA5"/>
    <w:multiLevelType w:val="multilevel"/>
    <w:tmpl w:val="68072DA5"/>
    <w:lvl w:ilvl="0" w:tentative="0">
      <w:start w:val="1"/>
      <w:numFmt w:val="decimal"/>
      <w:lvlText w:val="7.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2">
    <w:nsid w:val="696D529A"/>
    <w:multiLevelType w:val="multilevel"/>
    <w:tmpl w:val="696D529A"/>
    <w:lvl w:ilvl="0" w:tentative="0">
      <w:start w:val="1"/>
      <w:numFmt w:val="decimal"/>
      <w:lvlText w:val="3.1.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6DA76C0B"/>
    <w:multiLevelType w:val="multilevel"/>
    <w:tmpl w:val="6DA76C0B"/>
    <w:lvl w:ilvl="0" w:tentative="0">
      <w:start w:val="1"/>
      <w:numFmt w:val="decimal"/>
      <w:lvlText w:val="4.2.4.%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4">
    <w:nsid w:val="6DBF7B18"/>
    <w:multiLevelType w:val="multilevel"/>
    <w:tmpl w:val="6DBF7B18"/>
    <w:lvl w:ilvl="0" w:tentative="0">
      <w:start w:val="1"/>
      <w:numFmt w:val="decimal"/>
      <w:lvlText w:val="表7-%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5">
    <w:nsid w:val="70607422"/>
    <w:multiLevelType w:val="multilevel"/>
    <w:tmpl w:val="70607422"/>
    <w:lvl w:ilvl="0" w:tentative="0">
      <w:start w:val="1"/>
      <w:numFmt w:val="decimal"/>
      <w:lvlText w:val="1.2.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73B5452C"/>
    <w:multiLevelType w:val="multilevel"/>
    <w:tmpl w:val="73B5452C"/>
    <w:lvl w:ilvl="0" w:tentative="0">
      <w:start w:val="1"/>
      <w:numFmt w:val="decimal"/>
      <w:lvlText w:val="表4-%1"/>
      <w:lvlJc w:val="left"/>
      <w:pPr>
        <w:ind w:left="84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7">
    <w:nsid w:val="74B056ED"/>
    <w:multiLevelType w:val="multilevel"/>
    <w:tmpl w:val="74B056ED"/>
    <w:lvl w:ilvl="0" w:tentative="0">
      <w:start w:val="1"/>
      <w:numFmt w:val="decimal"/>
      <w:lvlText w:val="4.3.10.%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8">
    <w:nsid w:val="75FB5D75"/>
    <w:multiLevelType w:val="multilevel"/>
    <w:tmpl w:val="75FB5D75"/>
    <w:lvl w:ilvl="0" w:tentative="0">
      <w:start w:val="1"/>
      <w:numFmt w:val="decimal"/>
      <w:lvlText w:val="表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9">
    <w:nsid w:val="79446EF3"/>
    <w:multiLevelType w:val="multilevel"/>
    <w:tmpl w:val="79446EF3"/>
    <w:lvl w:ilvl="0" w:tentative="0">
      <w:start w:val="1"/>
      <w:numFmt w:val="decimal"/>
      <w:lvlText w:val="8.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0">
    <w:nsid w:val="79807F32"/>
    <w:multiLevelType w:val="multilevel"/>
    <w:tmpl w:val="79807F32"/>
    <w:lvl w:ilvl="0" w:tentative="0">
      <w:start w:val="1"/>
      <w:numFmt w:val="decimal"/>
      <w:lvlText w:val="4.2.5.%1"/>
      <w:lvlJc w:val="left"/>
      <w:pPr>
        <w:ind w:left="909" w:hanging="420"/>
      </w:pPr>
      <w:rPr>
        <w:rFonts w:hint="eastAsia"/>
      </w:rPr>
    </w:lvl>
    <w:lvl w:ilvl="1" w:tentative="0">
      <w:start w:val="1"/>
      <w:numFmt w:val="decimal"/>
      <w:lvlText w:val="4.2.5.%2"/>
      <w:lvlJc w:val="left"/>
      <w:pPr>
        <w:ind w:left="840" w:hanging="4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1">
    <w:nsid w:val="7C006B17"/>
    <w:multiLevelType w:val="multilevel"/>
    <w:tmpl w:val="7C006B17"/>
    <w:lvl w:ilvl="0" w:tentative="0">
      <w:start w:val="1"/>
      <w:numFmt w:val="decimal"/>
      <w:lvlText w:val="4.2.1.%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2">
    <w:nsid w:val="7D061E57"/>
    <w:multiLevelType w:val="multilevel"/>
    <w:tmpl w:val="7D061E57"/>
    <w:lvl w:ilvl="0" w:tentative="0">
      <w:start w:val="1"/>
      <w:numFmt w:val="decimal"/>
      <w:lvlText w:val="表5-%1"/>
      <w:lvlJc w:val="left"/>
      <w:pPr>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decimal"/>
      <w:lvlText w:val="表5-%5"/>
      <w:lvlJc w:val="left"/>
      <w:pPr>
        <w:ind w:left="2100" w:hanging="420"/>
      </w:pPr>
      <w:rPr>
        <w:rFonts w:hint="eastAsia"/>
      </w:r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3"/>
  </w:num>
  <w:num w:numId="3">
    <w:abstractNumId w:val="16"/>
  </w:num>
  <w:num w:numId="4">
    <w:abstractNumId w:val="12"/>
  </w:num>
  <w:num w:numId="5">
    <w:abstractNumId w:val="4"/>
  </w:num>
  <w:num w:numId="6">
    <w:abstractNumId w:val="45"/>
  </w:num>
  <w:num w:numId="7">
    <w:abstractNumId w:val="5"/>
  </w:num>
  <w:num w:numId="8">
    <w:abstractNumId w:val="3"/>
  </w:num>
  <w:num w:numId="9">
    <w:abstractNumId w:val="22"/>
  </w:num>
  <w:num w:numId="10">
    <w:abstractNumId w:val="34"/>
  </w:num>
  <w:num w:numId="11">
    <w:abstractNumId w:val="0"/>
  </w:num>
  <w:num w:numId="12">
    <w:abstractNumId w:val="27"/>
  </w:num>
  <w:num w:numId="13">
    <w:abstractNumId w:val="42"/>
  </w:num>
  <w:num w:numId="14">
    <w:abstractNumId w:val="21"/>
  </w:num>
  <w:num w:numId="15">
    <w:abstractNumId w:val="17"/>
  </w:num>
  <w:num w:numId="16">
    <w:abstractNumId w:val="48"/>
  </w:num>
  <w:num w:numId="17">
    <w:abstractNumId w:val="7"/>
  </w:num>
  <w:num w:numId="18">
    <w:abstractNumId w:val="8"/>
  </w:num>
  <w:num w:numId="19">
    <w:abstractNumId w:val="28"/>
  </w:num>
  <w:num w:numId="20">
    <w:abstractNumId w:val="10"/>
  </w:num>
  <w:num w:numId="21">
    <w:abstractNumId w:val="51"/>
  </w:num>
  <w:num w:numId="22">
    <w:abstractNumId w:val="46"/>
  </w:num>
  <w:num w:numId="23">
    <w:abstractNumId w:val="32"/>
  </w:num>
  <w:num w:numId="24">
    <w:abstractNumId w:val="13"/>
  </w:num>
  <w:num w:numId="25">
    <w:abstractNumId w:val="2"/>
  </w:num>
  <w:num w:numId="26">
    <w:abstractNumId w:val="43"/>
  </w:num>
  <w:num w:numId="27">
    <w:abstractNumId w:val="50"/>
  </w:num>
  <w:num w:numId="28">
    <w:abstractNumId w:val="19"/>
  </w:num>
  <w:num w:numId="2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52"/>
  </w:num>
  <w:num w:numId="39">
    <w:abstractNumId w:val="38"/>
  </w:num>
  <w:num w:numId="40">
    <w:abstractNumId w:val="35"/>
  </w:num>
  <w:num w:numId="41">
    <w:abstractNumId w:val="29"/>
  </w:num>
  <w:num w:numId="42">
    <w:abstractNumId w:val="25"/>
  </w:num>
  <w:num w:numId="43">
    <w:abstractNumId w:val="30"/>
  </w:num>
  <w:num w:numId="44">
    <w:abstractNumId w:val="36"/>
  </w:num>
  <w:num w:numId="45">
    <w:abstractNumId w:val="1"/>
  </w:num>
  <w:num w:numId="46">
    <w:abstractNumId w:val="11"/>
  </w:num>
  <w:num w:numId="47">
    <w:abstractNumId w:val="44"/>
  </w:num>
  <w:num w:numId="48">
    <w:abstractNumId w:val="40"/>
  </w:num>
  <w:num w:numId="49">
    <w:abstractNumId w:val="14"/>
  </w:num>
  <w:num w:numId="50">
    <w:abstractNumId w:val="41"/>
  </w:num>
  <w:num w:numId="51">
    <w:abstractNumId w:val="39"/>
  </w:num>
  <w:num w:numId="52">
    <w:abstractNumId w:val="31"/>
  </w:num>
  <w:num w:numId="53">
    <w:abstractNumId w:val="15"/>
  </w:num>
  <w:num w:numId="54">
    <w:abstractNumId w:val="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530"/>
  <w:drawingGridHorizontalSpacing w:val="265"/>
  <w:drawingGridVerticalSpacing w:val="214"/>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Y0MzI4MjhlYjQwY2UyMzE2NjA2ZTFjYzQ4YzE1YmUifQ=="/>
  </w:docVars>
  <w:rsids>
    <w:rsidRoot w:val="00172A27"/>
    <w:rsid w:val="00000614"/>
    <w:rsid w:val="00000A0E"/>
    <w:rsid w:val="00000A64"/>
    <w:rsid w:val="00000A65"/>
    <w:rsid w:val="00000BB7"/>
    <w:rsid w:val="00000D8E"/>
    <w:rsid w:val="00000E57"/>
    <w:rsid w:val="00000F22"/>
    <w:rsid w:val="00000F54"/>
    <w:rsid w:val="00001142"/>
    <w:rsid w:val="0000122B"/>
    <w:rsid w:val="00001275"/>
    <w:rsid w:val="0000147E"/>
    <w:rsid w:val="000014CF"/>
    <w:rsid w:val="000014D4"/>
    <w:rsid w:val="000015A7"/>
    <w:rsid w:val="000015AF"/>
    <w:rsid w:val="00001675"/>
    <w:rsid w:val="000016A2"/>
    <w:rsid w:val="0000170B"/>
    <w:rsid w:val="000017C1"/>
    <w:rsid w:val="00001BD3"/>
    <w:rsid w:val="00001C9B"/>
    <w:rsid w:val="00001D19"/>
    <w:rsid w:val="00001D62"/>
    <w:rsid w:val="00001EB5"/>
    <w:rsid w:val="00001F7B"/>
    <w:rsid w:val="00002012"/>
    <w:rsid w:val="00002065"/>
    <w:rsid w:val="00002069"/>
    <w:rsid w:val="0000207E"/>
    <w:rsid w:val="00002498"/>
    <w:rsid w:val="0000272F"/>
    <w:rsid w:val="00002864"/>
    <w:rsid w:val="00002A77"/>
    <w:rsid w:val="00002B94"/>
    <w:rsid w:val="00002C77"/>
    <w:rsid w:val="00002CC7"/>
    <w:rsid w:val="00002D0B"/>
    <w:rsid w:val="00002D0F"/>
    <w:rsid w:val="0000311D"/>
    <w:rsid w:val="0000321A"/>
    <w:rsid w:val="00003279"/>
    <w:rsid w:val="00003382"/>
    <w:rsid w:val="0000355F"/>
    <w:rsid w:val="00003589"/>
    <w:rsid w:val="000035A4"/>
    <w:rsid w:val="000035DB"/>
    <w:rsid w:val="000037A2"/>
    <w:rsid w:val="00003A93"/>
    <w:rsid w:val="00003AE3"/>
    <w:rsid w:val="00003B60"/>
    <w:rsid w:val="00003B7F"/>
    <w:rsid w:val="00003BD1"/>
    <w:rsid w:val="00003BDB"/>
    <w:rsid w:val="00003DEF"/>
    <w:rsid w:val="00003F3B"/>
    <w:rsid w:val="00003F65"/>
    <w:rsid w:val="0000414E"/>
    <w:rsid w:val="00004265"/>
    <w:rsid w:val="000042B0"/>
    <w:rsid w:val="000044E5"/>
    <w:rsid w:val="00004507"/>
    <w:rsid w:val="00004577"/>
    <w:rsid w:val="000046B0"/>
    <w:rsid w:val="000049B2"/>
    <w:rsid w:val="000049FB"/>
    <w:rsid w:val="00004EFB"/>
    <w:rsid w:val="000051A4"/>
    <w:rsid w:val="00005285"/>
    <w:rsid w:val="00005333"/>
    <w:rsid w:val="0000541B"/>
    <w:rsid w:val="0000548F"/>
    <w:rsid w:val="0000570D"/>
    <w:rsid w:val="00005BDC"/>
    <w:rsid w:val="00005C94"/>
    <w:rsid w:val="00005D00"/>
    <w:rsid w:val="00005D4B"/>
    <w:rsid w:val="00005E02"/>
    <w:rsid w:val="00005EAA"/>
    <w:rsid w:val="00006077"/>
    <w:rsid w:val="00006161"/>
    <w:rsid w:val="000061F3"/>
    <w:rsid w:val="000063B1"/>
    <w:rsid w:val="000064B2"/>
    <w:rsid w:val="0000685A"/>
    <w:rsid w:val="00006888"/>
    <w:rsid w:val="00006969"/>
    <w:rsid w:val="0000697E"/>
    <w:rsid w:val="00006B91"/>
    <w:rsid w:val="00006C5B"/>
    <w:rsid w:val="00006D8C"/>
    <w:rsid w:val="00006DC1"/>
    <w:rsid w:val="00006E64"/>
    <w:rsid w:val="0000713A"/>
    <w:rsid w:val="0000719B"/>
    <w:rsid w:val="00007260"/>
    <w:rsid w:val="0000773F"/>
    <w:rsid w:val="00007747"/>
    <w:rsid w:val="00007750"/>
    <w:rsid w:val="0000780D"/>
    <w:rsid w:val="00007A39"/>
    <w:rsid w:val="00007B37"/>
    <w:rsid w:val="00007CDD"/>
    <w:rsid w:val="00007D84"/>
    <w:rsid w:val="00007F4F"/>
    <w:rsid w:val="00010018"/>
    <w:rsid w:val="000100B0"/>
    <w:rsid w:val="000101FC"/>
    <w:rsid w:val="0001028B"/>
    <w:rsid w:val="000103F0"/>
    <w:rsid w:val="0001050F"/>
    <w:rsid w:val="00010576"/>
    <w:rsid w:val="000106D1"/>
    <w:rsid w:val="00010768"/>
    <w:rsid w:val="000107C5"/>
    <w:rsid w:val="000108D8"/>
    <w:rsid w:val="000109D0"/>
    <w:rsid w:val="00010B17"/>
    <w:rsid w:val="00010BEF"/>
    <w:rsid w:val="00010C04"/>
    <w:rsid w:val="00010F50"/>
    <w:rsid w:val="000111A5"/>
    <w:rsid w:val="000112CB"/>
    <w:rsid w:val="000112EE"/>
    <w:rsid w:val="00011476"/>
    <w:rsid w:val="0001147D"/>
    <w:rsid w:val="000114EA"/>
    <w:rsid w:val="0001167B"/>
    <w:rsid w:val="0001169C"/>
    <w:rsid w:val="00011724"/>
    <w:rsid w:val="0001177A"/>
    <w:rsid w:val="000117D1"/>
    <w:rsid w:val="000119C6"/>
    <w:rsid w:val="00011B1A"/>
    <w:rsid w:val="00011C0F"/>
    <w:rsid w:val="00011C5A"/>
    <w:rsid w:val="00011EC1"/>
    <w:rsid w:val="00012189"/>
    <w:rsid w:val="0001253A"/>
    <w:rsid w:val="0001258B"/>
    <w:rsid w:val="000125D3"/>
    <w:rsid w:val="0001271C"/>
    <w:rsid w:val="00012782"/>
    <w:rsid w:val="000127C9"/>
    <w:rsid w:val="000129E6"/>
    <w:rsid w:val="00012A45"/>
    <w:rsid w:val="00012A4E"/>
    <w:rsid w:val="00012B4C"/>
    <w:rsid w:val="00012C0C"/>
    <w:rsid w:val="00012F1B"/>
    <w:rsid w:val="00012FA7"/>
    <w:rsid w:val="00013042"/>
    <w:rsid w:val="00013125"/>
    <w:rsid w:val="00013191"/>
    <w:rsid w:val="00013592"/>
    <w:rsid w:val="000135B2"/>
    <w:rsid w:val="00013766"/>
    <w:rsid w:val="000137E2"/>
    <w:rsid w:val="00013835"/>
    <w:rsid w:val="00013839"/>
    <w:rsid w:val="00013B3A"/>
    <w:rsid w:val="00013C62"/>
    <w:rsid w:val="00013D18"/>
    <w:rsid w:val="00013F0C"/>
    <w:rsid w:val="0001409B"/>
    <w:rsid w:val="000140DA"/>
    <w:rsid w:val="000141FC"/>
    <w:rsid w:val="000142BC"/>
    <w:rsid w:val="00014418"/>
    <w:rsid w:val="000144B0"/>
    <w:rsid w:val="0001452A"/>
    <w:rsid w:val="00014763"/>
    <w:rsid w:val="000148B8"/>
    <w:rsid w:val="000149E7"/>
    <w:rsid w:val="00014B3F"/>
    <w:rsid w:val="00014B40"/>
    <w:rsid w:val="00014C2F"/>
    <w:rsid w:val="00014CC3"/>
    <w:rsid w:val="00014CD3"/>
    <w:rsid w:val="00014F03"/>
    <w:rsid w:val="00014F5B"/>
    <w:rsid w:val="00015033"/>
    <w:rsid w:val="000150DC"/>
    <w:rsid w:val="000151CD"/>
    <w:rsid w:val="00015386"/>
    <w:rsid w:val="00015468"/>
    <w:rsid w:val="000154BA"/>
    <w:rsid w:val="000155E2"/>
    <w:rsid w:val="00015673"/>
    <w:rsid w:val="000156B0"/>
    <w:rsid w:val="00015766"/>
    <w:rsid w:val="000158C8"/>
    <w:rsid w:val="000158DB"/>
    <w:rsid w:val="00015923"/>
    <w:rsid w:val="00015925"/>
    <w:rsid w:val="00015935"/>
    <w:rsid w:val="00015AD5"/>
    <w:rsid w:val="00015AF4"/>
    <w:rsid w:val="00015BD9"/>
    <w:rsid w:val="00015ECF"/>
    <w:rsid w:val="00015F0B"/>
    <w:rsid w:val="000161C3"/>
    <w:rsid w:val="000162B6"/>
    <w:rsid w:val="000163F1"/>
    <w:rsid w:val="00016408"/>
    <w:rsid w:val="000164B7"/>
    <w:rsid w:val="00016660"/>
    <w:rsid w:val="00016844"/>
    <w:rsid w:val="000168D1"/>
    <w:rsid w:val="00016A8E"/>
    <w:rsid w:val="00016B3F"/>
    <w:rsid w:val="00016C32"/>
    <w:rsid w:val="00016CB2"/>
    <w:rsid w:val="00016F7B"/>
    <w:rsid w:val="00016FB9"/>
    <w:rsid w:val="00017092"/>
    <w:rsid w:val="00017169"/>
    <w:rsid w:val="00017172"/>
    <w:rsid w:val="000171A2"/>
    <w:rsid w:val="000171F9"/>
    <w:rsid w:val="0001722C"/>
    <w:rsid w:val="000172AB"/>
    <w:rsid w:val="00017778"/>
    <w:rsid w:val="0001777F"/>
    <w:rsid w:val="000177FD"/>
    <w:rsid w:val="00017950"/>
    <w:rsid w:val="00017A2B"/>
    <w:rsid w:val="00017AB8"/>
    <w:rsid w:val="00017BFB"/>
    <w:rsid w:val="00017CF8"/>
    <w:rsid w:val="00017D7F"/>
    <w:rsid w:val="00017DAD"/>
    <w:rsid w:val="00017DCE"/>
    <w:rsid w:val="00017E90"/>
    <w:rsid w:val="00017F19"/>
    <w:rsid w:val="00017FEA"/>
    <w:rsid w:val="00020067"/>
    <w:rsid w:val="00020069"/>
    <w:rsid w:val="0002016A"/>
    <w:rsid w:val="0002054C"/>
    <w:rsid w:val="000205D4"/>
    <w:rsid w:val="00020618"/>
    <w:rsid w:val="00020781"/>
    <w:rsid w:val="00020861"/>
    <w:rsid w:val="000208B1"/>
    <w:rsid w:val="00020990"/>
    <w:rsid w:val="00020BA3"/>
    <w:rsid w:val="00020BDD"/>
    <w:rsid w:val="00020C38"/>
    <w:rsid w:val="000210F7"/>
    <w:rsid w:val="00021270"/>
    <w:rsid w:val="00021377"/>
    <w:rsid w:val="0002145B"/>
    <w:rsid w:val="000215CC"/>
    <w:rsid w:val="00021701"/>
    <w:rsid w:val="000217A4"/>
    <w:rsid w:val="0002180F"/>
    <w:rsid w:val="00021843"/>
    <w:rsid w:val="0002191F"/>
    <w:rsid w:val="00021B1C"/>
    <w:rsid w:val="00021B5E"/>
    <w:rsid w:val="00021CBB"/>
    <w:rsid w:val="00021D77"/>
    <w:rsid w:val="00021F7C"/>
    <w:rsid w:val="00021FF5"/>
    <w:rsid w:val="000222C4"/>
    <w:rsid w:val="000222E1"/>
    <w:rsid w:val="0002247D"/>
    <w:rsid w:val="0002252D"/>
    <w:rsid w:val="0002253A"/>
    <w:rsid w:val="000226E3"/>
    <w:rsid w:val="000227DC"/>
    <w:rsid w:val="000227F3"/>
    <w:rsid w:val="0002280C"/>
    <w:rsid w:val="00022862"/>
    <w:rsid w:val="00022A92"/>
    <w:rsid w:val="00022DEA"/>
    <w:rsid w:val="00022FC9"/>
    <w:rsid w:val="00023A2D"/>
    <w:rsid w:val="00023B18"/>
    <w:rsid w:val="00023B75"/>
    <w:rsid w:val="00023D60"/>
    <w:rsid w:val="00023E72"/>
    <w:rsid w:val="00023F2C"/>
    <w:rsid w:val="00024517"/>
    <w:rsid w:val="0002482B"/>
    <w:rsid w:val="00024893"/>
    <w:rsid w:val="000248B1"/>
    <w:rsid w:val="00024998"/>
    <w:rsid w:val="00024B18"/>
    <w:rsid w:val="00024B30"/>
    <w:rsid w:val="00024BD6"/>
    <w:rsid w:val="00024D98"/>
    <w:rsid w:val="0002504C"/>
    <w:rsid w:val="00025117"/>
    <w:rsid w:val="000251C7"/>
    <w:rsid w:val="000251F5"/>
    <w:rsid w:val="0002534D"/>
    <w:rsid w:val="00025519"/>
    <w:rsid w:val="0002561D"/>
    <w:rsid w:val="00025714"/>
    <w:rsid w:val="000258A3"/>
    <w:rsid w:val="0002595C"/>
    <w:rsid w:val="00025A1F"/>
    <w:rsid w:val="00025BC9"/>
    <w:rsid w:val="00025C70"/>
    <w:rsid w:val="00025D35"/>
    <w:rsid w:val="00025F1E"/>
    <w:rsid w:val="00026178"/>
    <w:rsid w:val="00026286"/>
    <w:rsid w:val="0002628C"/>
    <w:rsid w:val="000262C8"/>
    <w:rsid w:val="000262EA"/>
    <w:rsid w:val="00026688"/>
    <w:rsid w:val="000268D8"/>
    <w:rsid w:val="0002699A"/>
    <w:rsid w:val="00026A14"/>
    <w:rsid w:val="00026E52"/>
    <w:rsid w:val="0002710B"/>
    <w:rsid w:val="00027144"/>
    <w:rsid w:val="0002725F"/>
    <w:rsid w:val="00027381"/>
    <w:rsid w:val="00027458"/>
    <w:rsid w:val="0002746F"/>
    <w:rsid w:val="0002752C"/>
    <w:rsid w:val="00027534"/>
    <w:rsid w:val="00027557"/>
    <w:rsid w:val="0002773A"/>
    <w:rsid w:val="00027759"/>
    <w:rsid w:val="00027924"/>
    <w:rsid w:val="00027B0C"/>
    <w:rsid w:val="00027B76"/>
    <w:rsid w:val="00027BDB"/>
    <w:rsid w:val="00027C91"/>
    <w:rsid w:val="00027CD2"/>
    <w:rsid w:val="00027FA9"/>
    <w:rsid w:val="00030039"/>
    <w:rsid w:val="00030082"/>
    <w:rsid w:val="000301F8"/>
    <w:rsid w:val="0003024B"/>
    <w:rsid w:val="000302DE"/>
    <w:rsid w:val="0003042E"/>
    <w:rsid w:val="00030593"/>
    <w:rsid w:val="0003060F"/>
    <w:rsid w:val="00030747"/>
    <w:rsid w:val="00030816"/>
    <w:rsid w:val="00030890"/>
    <w:rsid w:val="00030920"/>
    <w:rsid w:val="00030A96"/>
    <w:rsid w:val="00030AB9"/>
    <w:rsid w:val="00030B23"/>
    <w:rsid w:val="00030C60"/>
    <w:rsid w:val="00030CF2"/>
    <w:rsid w:val="00030D30"/>
    <w:rsid w:val="00030D7D"/>
    <w:rsid w:val="00030F06"/>
    <w:rsid w:val="00030F24"/>
    <w:rsid w:val="00030F4C"/>
    <w:rsid w:val="000311A7"/>
    <w:rsid w:val="00031411"/>
    <w:rsid w:val="0003165D"/>
    <w:rsid w:val="000316DF"/>
    <w:rsid w:val="0003170C"/>
    <w:rsid w:val="00031839"/>
    <w:rsid w:val="00031B0C"/>
    <w:rsid w:val="00031B6A"/>
    <w:rsid w:val="00031CCA"/>
    <w:rsid w:val="00031D38"/>
    <w:rsid w:val="00031DAE"/>
    <w:rsid w:val="00031DBE"/>
    <w:rsid w:val="00031E39"/>
    <w:rsid w:val="00031E5C"/>
    <w:rsid w:val="00031EA2"/>
    <w:rsid w:val="00031EF3"/>
    <w:rsid w:val="00031F32"/>
    <w:rsid w:val="00032044"/>
    <w:rsid w:val="0003247E"/>
    <w:rsid w:val="00032583"/>
    <w:rsid w:val="00032626"/>
    <w:rsid w:val="0003287A"/>
    <w:rsid w:val="000329E5"/>
    <w:rsid w:val="00032CC0"/>
    <w:rsid w:val="00032CDB"/>
    <w:rsid w:val="00032E37"/>
    <w:rsid w:val="0003302C"/>
    <w:rsid w:val="00033216"/>
    <w:rsid w:val="0003321B"/>
    <w:rsid w:val="00033310"/>
    <w:rsid w:val="00033689"/>
    <w:rsid w:val="0003368F"/>
    <w:rsid w:val="00033696"/>
    <w:rsid w:val="0003376E"/>
    <w:rsid w:val="00033852"/>
    <w:rsid w:val="000338A2"/>
    <w:rsid w:val="00033AA4"/>
    <w:rsid w:val="00033C7A"/>
    <w:rsid w:val="00033D36"/>
    <w:rsid w:val="00033DAA"/>
    <w:rsid w:val="00033E62"/>
    <w:rsid w:val="00033F86"/>
    <w:rsid w:val="00033FAB"/>
    <w:rsid w:val="000341CC"/>
    <w:rsid w:val="00034219"/>
    <w:rsid w:val="0003438C"/>
    <w:rsid w:val="000346B1"/>
    <w:rsid w:val="000349BA"/>
    <w:rsid w:val="00034A23"/>
    <w:rsid w:val="00034AAB"/>
    <w:rsid w:val="00034AF0"/>
    <w:rsid w:val="00034B53"/>
    <w:rsid w:val="00034BFA"/>
    <w:rsid w:val="00034CF6"/>
    <w:rsid w:val="00034D02"/>
    <w:rsid w:val="00034E3F"/>
    <w:rsid w:val="00035075"/>
    <w:rsid w:val="000350AE"/>
    <w:rsid w:val="000350C7"/>
    <w:rsid w:val="00035326"/>
    <w:rsid w:val="0003578F"/>
    <w:rsid w:val="00035871"/>
    <w:rsid w:val="00035957"/>
    <w:rsid w:val="000359C9"/>
    <w:rsid w:val="00035B00"/>
    <w:rsid w:val="00035B3B"/>
    <w:rsid w:val="00035B7B"/>
    <w:rsid w:val="00035CB7"/>
    <w:rsid w:val="00035CC0"/>
    <w:rsid w:val="00035D59"/>
    <w:rsid w:val="00035D64"/>
    <w:rsid w:val="00035D99"/>
    <w:rsid w:val="000360F9"/>
    <w:rsid w:val="00036197"/>
    <w:rsid w:val="000363C3"/>
    <w:rsid w:val="0003648F"/>
    <w:rsid w:val="00036BBD"/>
    <w:rsid w:val="00036C3C"/>
    <w:rsid w:val="00036C59"/>
    <w:rsid w:val="00036DAE"/>
    <w:rsid w:val="00036E8D"/>
    <w:rsid w:val="00036F13"/>
    <w:rsid w:val="00037199"/>
    <w:rsid w:val="000372E6"/>
    <w:rsid w:val="00037B5D"/>
    <w:rsid w:val="00037B9B"/>
    <w:rsid w:val="00037CF6"/>
    <w:rsid w:val="00037D14"/>
    <w:rsid w:val="00037D6C"/>
    <w:rsid w:val="00037DEE"/>
    <w:rsid w:val="00037F63"/>
    <w:rsid w:val="00037FDF"/>
    <w:rsid w:val="00037FF7"/>
    <w:rsid w:val="00040680"/>
    <w:rsid w:val="00040C3C"/>
    <w:rsid w:val="00040CAD"/>
    <w:rsid w:val="00040E07"/>
    <w:rsid w:val="00040E11"/>
    <w:rsid w:val="00040FB8"/>
    <w:rsid w:val="00040FC8"/>
    <w:rsid w:val="00041115"/>
    <w:rsid w:val="0004129A"/>
    <w:rsid w:val="000415CE"/>
    <w:rsid w:val="0004164B"/>
    <w:rsid w:val="00041972"/>
    <w:rsid w:val="00041AFA"/>
    <w:rsid w:val="00041D89"/>
    <w:rsid w:val="00041DF4"/>
    <w:rsid w:val="00041EC2"/>
    <w:rsid w:val="00042044"/>
    <w:rsid w:val="000421CF"/>
    <w:rsid w:val="0004228D"/>
    <w:rsid w:val="0004269F"/>
    <w:rsid w:val="00042730"/>
    <w:rsid w:val="00042737"/>
    <w:rsid w:val="000429EA"/>
    <w:rsid w:val="00042BA4"/>
    <w:rsid w:val="0004306F"/>
    <w:rsid w:val="000430D2"/>
    <w:rsid w:val="000430EE"/>
    <w:rsid w:val="0004321B"/>
    <w:rsid w:val="0004335A"/>
    <w:rsid w:val="00043435"/>
    <w:rsid w:val="0004359F"/>
    <w:rsid w:val="00043729"/>
    <w:rsid w:val="000437CA"/>
    <w:rsid w:val="00043866"/>
    <w:rsid w:val="0004388F"/>
    <w:rsid w:val="00043C9A"/>
    <w:rsid w:val="00043DE8"/>
    <w:rsid w:val="00043DFB"/>
    <w:rsid w:val="00043EEB"/>
    <w:rsid w:val="00043F17"/>
    <w:rsid w:val="00043FB5"/>
    <w:rsid w:val="000444D3"/>
    <w:rsid w:val="00044680"/>
    <w:rsid w:val="0004477E"/>
    <w:rsid w:val="0004490A"/>
    <w:rsid w:val="00044937"/>
    <w:rsid w:val="00044964"/>
    <w:rsid w:val="00044A43"/>
    <w:rsid w:val="00044AEA"/>
    <w:rsid w:val="00044B60"/>
    <w:rsid w:val="00044F08"/>
    <w:rsid w:val="00044F57"/>
    <w:rsid w:val="0004508E"/>
    <w:rsid w:val="0004511F"/>
    <w:rsid w:val="000453C7"/>
    <w:rsid w:val="000453E6"/>
    <w:rsid w:val="000454EB"/>
    <w:rsid w:val="00045802"/>
    <w:rsid w:val="00045836"/>
    <w:rsid w:val="0004589F"/>
    <w:rsid w:val="00045A40"/>
    <w:rsid w:val="00045C59"/>
    <w:rsid w:val="00045C72"/>
    <w:rsid w:val="000460CF"/>
    <w:rsid w:val="00046132"/>
    <w:rsid w:val="0004616D"/>
    <w:rsid w:val="00046632"/>
    <w:rsid w:val="0004668A"/>
    <w:rsid w:val="0004673F"/>
    <w:rsid w:val="00046783"/>
    <w:rsid w:val="00046863"/>
    <w:rsid w:val="00046D74"/>
    <w:rsid w:val="00046DA8"/>
    <w:rsid w:val="00046EDC"/>
    <w:rsid w:val="00046F93"/>
    <w:rsid w:val="0004702F"/>
    <w:rsid w:val="000470C9"/>
    <w:rsid w:val="000470E5"/>
    <w:rsid w:val="0004710D"/>
    <w:rsid w:val="00047125"/>
    <w:rsid w:val="0004722F"/>
    <w:rsid w:val="000475D8"/>
    <w:rsid w:val="00047630"/>
    <w:rsid w:val="0004770A"/>
    <w:rsid w:val="00047715"/>
    <w:rsid w:val="0004787B"/>
    <w:rsid w:val="00047AAF"/>
    <w:rsid w:val="00047F7B"/>
    <w:rsid w:val="00050403"/>
    <w:rsid w:val="0005056C"/>
    <w:rsid w:val="00050695"/>
    <w:rsid w:val="000508C6"/>
    <w:rsid w:val="00050D6F"/>
    <w:rsid w:val="00050E06"/>
    <w:rsid w:val="00050E28"/>
    <w:rsid w:val="00051035"/>
    <w:rsid w:val="00051038"/>
    <w:rsid w:val="0005106C"/>
    <w:rsid w:val="000510F8"/>
    <w:rsid w:val="00051234"/>
    <w:rsid w:val="0005152B"/>
    <w:rsid w:val="0005154D"/>
    <w:rsid w:val="00051590"/>
    <w:rsid w:val="000516EA"/>
    <w:rsid w:val="000517CE"/>
    <w:rsid w:val="00051A6D"/>
    <w:rsid w:val="00051B0A"/>
    <w:rsid w:val="00051B31"/>
    <w:rsid w:val="00051E58"/>
    <w:rsid w:val="00051FAB"/>
    <w:rsid w:val="00052075"/>
    <w:rsid w:val="00052164"/>
    <w:rsid w:val="000524E3"/>
    <w:rsid w:val="0005253E"/>
    <w:rsid w:val="0005259F"/>
    <w:rsid w:val="000525E6"/>
    <w:rsid w:val="00052601"/>
    <w:rsid w:val="00052907"/>
    <w:rsid w:val="00052962"/>
    <w:rsid w:val="00052B4A"/>
    <w:rsid w:val="00052B90"/>
    <w:rsid w:val="00052DDF"/>
    <w:rsid w:val="00052F7E"/>
    <w:rsid w:val="00053340"/>
    <w:rsid w:val="000534F5"/>
    <w:rsid w:val="00053637"/>
    <w:rsid w:val="000539BC"/>
    <w:rsid w:val="00053AD5"/>
    <w:rsid w:val="00054022"/>
    <w:rsid w:val="0005409B"/>
    <w:rsid w:val="0005412F"/>
    <w:rsid w:val="00054184"/>
    <w:rsid w:val="00054325"/>
    <w:rsid w:val="000544B8"/>
    <w:rsid w:val="000544DD"/>
    <w:rsid w:val="0005450C"/>
    <w:rsid w:val="0005451C"/>
    <w:rsid w:val="00054546"/>
    <w:rsid w:val="00054715"/>
    <w:rsid w:val="00054723"/>
    <w:rsid w:val="00054794"/>
    <w:rsid w:val="00054859"/>
    <w:rsid w:val="0005489B"/>
    <w:rsid w:val="00054B66"/>
    <w:rsid w:val="00054B70"/>
    <w:rsid w:val="00054BE1"/>
    <w:rsid w:val="00054C6B"/>
    <w:rsid w:val="00054F5B"/>
    <w:rsid w:val="00054F67"/>
    <w:rsid w:val="00054FE3"/>
    <w:rsid w:val="0005509B"/>
    <w:rsid w:val="0005584E"/>
    <w:rsid w:val="000559B7"/>
    <w:rsid w:val="00055D3F"/>
    <w:rsid w:val="00055E5F"/>
    <w:rsid w:val="00055E97"/>
    <w:rsid w:val="00055EDE"/>
    <w:rsid w:val="00055FE1"/>
    <w:rsid w:val="00056520"/>
    <w:rsid w:val="00056648"/>
    <w:rsid w:val="00056808"/>
    <w:rsid w:val="000568E5"/>
    <w:rsid w:val="00056C60"/>
    <w:rsid w:val="000571BB"/>
    <w:rsid w:val="00057325"/>
    <w:rsid w:val="00057389"/>
    <w:rsid w:val="000575B6"/>
    <w:rsid w:val="0005769D"/>
    <w:rsid w:val="000576B7"/>
    <w:rsid w:val="00057A83"/>
    <w:rsid w:val="00057AF5"/>
    <w:rsid w:val="00057B3A"/>
    <w:rsid w:val="00057C12"/>
    <w:rsid w:val="00057C2B"/>
    <w:rsid w:val="00057C32"/>
    <w:rsid w:val="00057DC9"/>
    <w:rsid w:val="00057E49"/>
    <w:rsid w:val="00057EAA"/>
    <w:rsid w:val="000601D5"/>
    <w:rsid w:val="000602A1"/>
    <w:rsid w:val="000604BC"/>
    <w:rsid w:val="000604E4"/>
    <w:rsid w:val="000604E5"/>
    <w:rsid w:val="00060582"/>
    <w:rsid w:val="000605B6"/>
    <w:rsid w:val="000605B7"/>
    <w:rsid w:val="000605D4"/>
    <w:rsid w:val="000606CE"/>
    <w:rsid w:val="00060700"/>
    <w:rsid w:val="0006072B"/>
    <w:rsid w:val="00060AA6"/>
    <w:rsid w:val="00060B4C"/>
    <w:rsid w:val="00060F7F"/>
    <w:rsid w:val="0006101B"/>
    <w:rsid w:val="00061192"/>
    <w:rsid w:val="000611EA"/>
    <w:rsid w:val="00061268"/>
    <w:rsid w:val="000612FE"/>
    <w:rsid w:val="00061340"/>
    <w:rsid w:val="00061381"/>
    <w:rsid w:val="00061442"/>
    <w:rsid w:val="000614D0"/>
    <w:rsid w:val="00061509"/>
    <w:rsid w:val="0006165C"/>
    <w:rsid w:val="000616BC"/>
    <w:rsid w:val="0006172D"/>
    <w:rsid w:val="00061B10"/>
    <w:rsid w:val="00061D31"/>
    <w:rsid w:val="00061F21"/>
    <w:rsid w:val="00061F65"/>
    <w:rsid w:val="00062329"/>
    <w:rsid w:val="000623F4"/>
    <w:rsid w:val="00062406"/>
    <w:rsid w:val="00062417"/>
    <w:rsid w:val="00062428"/>
    <w:rsid w:val="00062467"/>
    <w:rsid w:val="000624FB"/>
    <w:rsid w:val="00062571"/>
    <w:rsid w:val="0006274E"/>
    <w:rsid w:val="000629CA"/>
    <w:rsid w:val="00062C10"/>
    <w:rsid w:val="00062C64"/>
    <w:rsid w:val="00062DBC"/>
    <w:rsid w:val="00062E08"/>
    <w:rsid w:val="00062E65"/>
    <w:rsid w:val="00062F45"/>
    <w:rsid w:val="00063093"/>
    <w:rsid w:val="00063853"/>
    <w:rsid w:val="00063B1D"/>
    <w:rsid w:val="00063B80"/>
    <w:rsid w:val="00063BCE"/>
    <w:rsid w:val="00063D65"/>
    <w:rsid w:val="0006405B"/>
    <w:rsid w:val="0006420A"/>
    <w:rsid w:val="000642D4"/>
    <w:rsid w:val="00064417"/>
    <w:rsid w:val="0006442F"/>
    <w:rsid w:val="00064456"/>
    <w:rsid w:val="00064A73"/>
    <w:rsid w:val="00064B7A"/>
    <w:rsid w:val="00064C94"/>
    <w:rsid w:val="00064D11"/>
    <w:rsid w:val="00064EB4"/>
    <w:rsid w:val="00065094"/>
    <w:rsid w:val="00065098"/>
    <w:rsid w:val="00065206"/>
    <w:rsid w:val="00065211"/>
    <w:rsid w:val="000654D1"/>
    <w:rsid w:val="0006559D"/>
    <w:rsid w:val="00065602"/>
    <w:rsid w:val="0006565F"/>
    <w:rsid w:val="00065A36"/>
    <w:rsid w:val="00065A3E"/>
    <w:rsid w:val="00065B8D"/>
    <w:rsid w:val="00065CBC"/>
    <w:rsid w:val="00065CC6"/>
    <w:rsid w:val="00065D1C"/>
    <w:rsid w:val="00065D21"/>
    <w:rsid w:val="00065D52"/>
    <w:rsid w:val="00065F87"/>
    <w:rsid w:val="000660E0"/>
    <w:rsid w:val="000662C6"/>
    <w:rsid w:val="000665D9"/>
    <w:rsid w:val="000665E7"/>
    <w:rsid w:val="000665EC"/>
    <w:rsid w:val="0006660E"/>
    <w:rsid w:val="00066D52"/>
    <w:rsid w:val="00066D99"/>
    <w:rsid w:val="00066F2A"/>
    <w:rsid w:val="00067144"/>
    <w:rsid w:val="00067178"/>
    <w:rsid w:val="0006727B"/>
    <w:rsid w:val="0006728F"/>
    <w:rsid w:val="000672D2"/>
    <w:rsid w:val="000673FC"/>
    <w:rsid w:val="000674F3"/>
    <w:rsid w:val="00067523"/>
    <w:rsid w:val="000675E1"/>
    <w:rsid w:val="000675E3"/>
    <w:rsid w:val="00067B30"/>
    <w:rsid w:val="00067C6A"/>
    <w:rsid w:val="00067C6D"/>
    <w:rsid w:val="00067D5D"/>
    <w:rsid w:val="00067D67"/>
    <w:rsid w:val="00067D6C"/>
    <w:rsid w:val="00067ECD"/>
    <w:rsid w:val="00067FD2"/>
    <w:rsid w:val="00070002"/>
    <w:rsid w:val="000702D1"/>
    <w:rsid w:val="00070492"/>
    <w:rsid w:val="000704A5"/>
    <w:rsid w:val="00070606"/>
    <w:rsid w:val="00070678"/>
    <w:rsid w:val="00070BEF"/>
    <w:rsid w:val="00070BF6"/>
    <w:rsid w:val="00070D6C"/>
    <w:rsid w:val="00070FD4"/>
    <w:rsid w:val="00071102"/>
    <w:rsid w:val="000712F9"/>
    <w:rsid w:val="00071309"/>
    <w:rsid w:val="000714DF"/>
    <w:rsid w:val="00071527"/>
    <w:rsid w:val="00071696"/>
    <w:rsid w:val="00071709"/>
    <w:rsid w:val="0007172F"/>
    <w:rsid w:val="00071779"/>
    <w:rsid w:val="00071991"/>
    <w:rsid w:val="00071A89"/>
    <w:rsid w:val="00071A9E"/>
    <w:rsid w:val="00071BE9"/>
    <w:rsid w:val="00071D53"/>
    <w:rsid w:val="00071EF3"/>
    <w:rsid w:val="00071F36"/>
    <w:rsid w:val="0007207E"/>
    <w:rsid w:val="0007209F"/>
    <w:rsid w:val="00072311"/>
    <w:rsid w:val="00072362"/>
    <w:rsid w:val="00072388"/>
    <w:rsid w:val="00072396"/>
    <w:rsid w:val="00072420"/>
    <w:rsid w:val="000724E3"/>
    <w:rsid w:val="00072583"/>
    <w:rsid w:val="00072626"/>
    <w:rsid w:val="0007271B"/>
    <w:rsid w:val="00072728"/>
    <w:rsid w:val="00072755"/>
    <w:rsid w:val="00072A36"/>
    <w:rsid w:val="00072B14"/>
    <w:rsid w:val="00072B70"/>
    <w:rsid w:val="00072C03"/>
    <w:rsid w:val="00072DAA"/>
    <w:rsid w:val="00072E32"/>
    <w:rsid w:val="00072E8C"/>
    <w:rsid w:val="0007301F"/>
    <w:rsid w:val="0007308C"/>
    <w:rsid w:val="0007360A"/>
    <w:rsid w:val="000736A2"/>
    <w:rsid w:val="000736F0"/>
    <w:rsid w:val="000738C1"/>
    <w:rsid w:val="000738CB"/>
    <w:rsid w:val="00073A01"/>
    <w:rsid w:val="00073D8F"/>
    <w:rsid w:val="00073F24"/>
    <w:rsid w:val="00073FAE"/>
    <w:rsid w:val="00073FE3"/>
    <w:rsid w:val="00074052"/>
    <w:rsid w:val="00074079"/>
    <w:rsid w:val="00074180"/>
    <w:rsid w:val="000742B0"/>
    <w:rsid w:val="00074313"/>
    <w:rsid w:val="0007435C"/>
    <w:rsid w:val="00074380"/>
    <w:rsid w:val="00074390"/>
    <w:rsid w:val="00074479"/>
    <w:rsid w:val="000748EC"/>
    <w:rsid w:val="00074A42"/>
    <w:rsid w:val="00074BF7"/>
    <w:rsid w:val="00074EB1"/>
    <w:rsid w:val="00074F98"/>
    <w:rsid w:val="00075004"/>
    <w:rsid w:val="000752FD"/>
    <w:rsid w:val="00075434"/>
    <w:rsid w:val="00075603"/>
    <w:rsid w:val="0007575A"/>
    <w:rsid w:val="00075AE6"/>
    <w:rsid w:val="00075AF6"/>
    <w:rsid w:val="00075CCD"/>
    <w:rsid w:val="00075D9D"/>
    <w:rsid w:val="00075F34"/>
    <w:rsid w:val="00076138"/>
    <w:rsid w:val="00076176"/>
    <w:rsid w:val="0007619F"/>
    <w:rsid w:val="000761B2"/>
    <w:rsid w:val="0007624D"/>
    <w:rsid w:val="000762AC"/>
    <w:rsid w:val="000764F9"/>
    <w:rsid w:val="00076591"/>
    <w:rsid w:val="000765C8"/>
    <w:rsid w:val="000765E6"/>
    <w:rsid w:val="00076660"/>
    <w:rsid w:val="00076A27"/>
    <w:rsid w:val="00076A52"/>
    <w:rsid w:val="00076AF4"/>
    <w:rsid w:val="00076B48"/>
    <w:rsid w:val="000770CA"/>
    <w:rsid w:val="0007718D"/>
    <w:rsid w:val="000772C2"/>
    <w:rsid w:val="000774C6"/>
    <w:rsid w:val="0007752C"/>
    <w:rsid w:val="000778BF"/>
    <w:rsid w:val="00077B99"/>
    <w:rsid w:val="00077C79"/>
    <w:rsid w:val="00077E69"/>
    <w:rsid w:val="00077F1F"/>
    <w:rsid w:val="000800D0"/>
    <w:rsid w:val="00080107"/>
    <w:rsid w:val="0008044A"/>
    <w:rsid w:val="000804B3"/>
    <w:rsid w:val="0008070A"/>
    <w:rsid w:val="00080730"/>
    <w:rsid w:val="000807B4"/>
    <w:rsid w:val="000808ED"/>
    <w:rsid w:val="00080C4D"/>
    <w:rsid w:val="00080C50"/>
    <w:rsid w:val="00080C9E"/>
    <w:rsid w:val="00080DD1"/>
    <w:rsid w:val="00080E4C"/>
    <w:rsid w:val="00080E8D"/>
    <w:rsid w:val="00080EFC"/>
    <w:rsid w:val="00081051"/>
    <w:rsid w:val="00081284"/>
    <w:rsid w:val="000812E4"/>
    <w:rsid w:val="000812FE"/>
    <w:rsid w:val="000813FC"/>
    <w:rsid w:val="000814AF"/>
    <w:rsid w:val="000817D3"/>
    <w:rsid w:val="00081924"/>
    <w:rsid w:val="0008192C"/>
    <w:rsid w:val="00081934"/>
    <w:rsid w:val="000819E1"/>
    <w:rsid w:val="00081A19"/>
    <w:rsid w:val="00081B28"/>
    <w:rsid w:val="00081D6F"/>
    <w:rsid w:val="00081D79"/>
    <w:rsid w:val="00081DC1"/>
    <w:rsid w:val="00081E1B"/>
    <w:rsid w:val="0008205E"/>
    <w:rsid w:val="00082319"/>
    <w:rsid w:val="0008233E"/>
    <w:rsid w:val="000824F4"/>
    <w:rsid w:val="00082644"/>
    <w:rsid w:val="00082706"/>
    <w:rsid w:val="00082733"/>
    <w:rsid w:val="00082837"/>
    <w:rsid w:val="000828BC"/>
    <w:rsid w:val="00082AD6"/>
    <w:rsid w:val="00082AE4"/>
    <w:rsid w:val="00082D46"/>
    <w:rsid w:val="00082E8F"/>
    <w:rsid w:val="00083094"/>
    <w:rsid w:val="00083157"/>
    <w:rsid w:val="000832A1"/>
    <w:rsid w:val="0008348E"/>
    <w:rsid w:val="00083564"/>
    <w:rsid w:val="0008361C"/>
    <w:rsid w:val="00083633"/>
    <w:rsid w:val="00083BD2"/>
    <w:rsid w:val="00083CE9"/>
    <w:rsid w:val="00084449"/>
    <w:rsid w:val="00084720"/>
    <w:rsid w:val="000848AE"/>
    <w:rsid w:val="000850C7"/>
    <w:rsid w:val="000850E0"/>
    <w:rsid w:val="0008518A"/>
    <w:rsid w:val="000853E0"/>
    <w:rsid w:val="00085557"/>
    <w:rsid w:val="00085751"/>
    <w:rsid w:val="00085890"/>
    <w:rsid w:val="000858DB"/>
    <w:rsid w:val="000858FB"/>
    <w:rsid w:val="00085AA0"/>
    <w:rsid w:val="00085CFB"/>
    <w:rsid w:val="00085D59"/>
    <w:rsid w:val="00085DF2"/>
    <w:rsid w:val="00085E69"/>
    <w:rsid w:val="0008605E"/>
    <w:rsid w:val="0008617D"/>
    <w:rsid w:val="000863FB"/>
    <w:rsid w:val="00086471"/>
    <w:rsid w:val="0008667F"/>
    <w:rsid w:val="000866BB"/>
    <w:rsid w:val="00086833"/>
    <w:rsid w:val="00086948"/>
    <w:rsid w:val="000869EC"/>
    <w:rsid w:val="00086A73"/>
    <w:rsid w:val="00086C7E"/>
    <w:rsid w:val="00086E4B"/>
    <w:rsid w:val="0008707D"/>
    <w:rsid w:val="00087205"/>
    <w:rsid w:val="00087352"/>
    <w:rsid w:val="00087788"/>
    <w:rsid w:val="000877E4"/>
    <w:rsid w:val="0008785C"/>
    <w:rsid w:val="00087BE7"/>
    <w:rsid w:val="00087D61"/>
    <w:rsid w:val="00087D74"/>
    <w:rsid w:val="00087DDA"/>
    <w:rsid w:val="00087E8D"/>
    <w:rsid w:val="00090179"/>
    <w:rsid w:val="00090528"/>
    <w:rsid w:val="0009063F"/>
    <w:rsid w:val="00090775"/>
    <w:rsid w:val="00090780"/>
    <w:rsid w:val="00090D4C"/>
    <w:rsid w:val="00090F52"/>
    <w:rsid w:val="00090F89"/>
    <w:rsid w:val="0009108C"/>
    <w:rsid w:val="00091226"/>
    <w:rsid w:val="000913E5"/>
    <w:rsid w:val="00091450"/>
    <w:rsid w:val="00091680"/>
    <w:rsid w:val="00091A3E"/>
    <w:rsid w:val="00091AD4"/>
    <w:rsid w:val="00091B6F"/>
    <w:rsid w:val="00091BE8"/>
    <w:rsid w:val="00091FF7"/>
    <w:rsid w:val="0009218D"/>
    <w:rsid w:val="00092225"/>
    <w:rsid w:val="000924FA"/>
    <w:rsid w:val="0009255B"/>
    <w:rsid w:val="00092655"/>
    <w:rsid w:val="000927C5"/>
    <w:rsid w:val="00092903"/>
    <w:rsid w:val="0009292E"/>
    <w:rsid w:val="00092944"/>
    <w:rsid w:val="00092B5E"/>
    <w:rsid w:val="00092E9B"/>
    <w:rsid w:val="0009356F"/>
    <w:rsid w:val="00093714"/>
    <w:rsid w:val="00093735"/>
    <w:rsid w:val="000937FA"/>
    <w:rsid w:val="0009381D"/>
    <w:rsid w:val="000938DF"/>
    <w:rsid w:val="00093AC5"/>
    <w:rsid w:val="00093C54"/>
    <w:rsid w:val="00093E68"/>
    <w:rsid w:val="0009415A"/>
    <w:rsid w:val="000942E0"/>
    <w:rsid w:val="00094307"/>
    <w:rsid w:val="0009439A"/>
    <w:rsid w:val="000943CC"/>
    <w:rsid w:val="00094405"/>
    <w:rsid w:val="0009490C"/>
    <w:rsid w:val="0009492C"/>
    <w:rsid w:val="00094A8E"/>
    <w:rsid w:val="00094B17"/>
    <w:rsid w:val="00094D21"/>
    <w:rsid w:val="00094DCB"/>
    <w:rsid w:val="00094E54"/>
    <w:rsid w:val="00094E65"/>
    <w:rsid w:val="00094E8D"/>
    <w:rsid w:val="00094F7A"/>
    <w:rsid w:val="00095099"/>
    <w:rsid w:val="000951B2"/>
    <w:rsid w:val="000952E3"/>
    <w:rsid w:val="0009530B"/>
    <w:rsid w:val="0009532B"/>
    <w:rsid w:val="0009549D"/>
    <w:rsid w:val="00095859"/>
    <w:rsid w:val="0009597E"/>
    <w:rsid w:val="000959BB"/>
    <w:rsid w:val="000959E5"/>
    <w:rsid w:val="00095BAD"/>
    <w:rsid w:val="00095E2A"/>
    <w:rsid w:val="000962B4"/>
    <w:rsid w:val="0009637A"/>
    <w:rsid w:val="00096460"/>
    <w:rsid w:val="000966CD"/>
    <w:rsid w:val="00096726"/>
    <w:rsid w:val="00096961"/>
    <w:rsid w:val="0009696D"/>
    <w:rsid w:val="00096C9A"/>
    <w:rsid w:val="00096CFD"/>
    <w:rsid w:val="00096D37"/>
    <w:rsid w:val="00096EA9"/>
    <w:rsid w:val="00097051"/>
    <w:rsid w:val="000970E7"/>
    <w:rsid w:val="0009716F"/>
    <w:rsid w:val="000973C2"/>
    <w:rsid w:val="0009768B"/>
    <w:rsid w:val="00097A16"/>
    <w:rsid w:val="00097D9C"/>
    <w:rsid w:val="000A0041"/>
    <w:rsid w:val="000A006B"/>
    <w:rsid w:val="000A0099"/>
    <w:rsid w:val="000A0195"/>
    <w:rsid w:val="000A01A8"/>
    <w:rsid w:val="000A07F8"/>
    <w:rsid w:val="000A0893"/>
    <w:rsid w:val="000A08E1"/>
    <w:rsid w:val="000A0A4D"/>
    <w:rsid w:val="000A0C07"/>
    <w:rsid w:val="000A0F00"/>
    <w:rsid w:val="000A10B9"/>
    <w:rsid w:val="000A138A"/>
    <w:rsid w:val="000A13A2"/>
    <w:rsid w:val="000A14D4"/>
    <w:rsid w:val="000A15FC"/>
    <w:rsid w:val="000A1699"/>
    <w:rsid w:val="000A16C5"/>
    <w:rsid w:val="000A171C"/>
    <w:rsid w:val="000A173C"/>
    <w:rsid w:val="000A1826"/>
    <w:rsid w:val="000A20EA"/>
    <w:rsid w:val="000A24DA"/>
    <w:rsid w:val="000A271F"/>
    <w:rsid w:val="000A2997"/>
    <w:rsid w:val="000A2B20"/>
    <w:rsid w:val="000A2C09"/>
    <w:rsid w:val="000A2C7A"/>
    <w:rsid w:val="000A2EDB"/>
    <w:rsid w:val="000A2EF2"/>
    <w:rsid w:val="000A3031"/>
    <w:rsid w:val="000A3074"/>
    <w:rsid w:val="000A3094"/>
    <w:rsid w:val="000A3111"/>
    <w:rsid w:val="000A3194"/>
    <w:rsid w:val="000A3211"/>
    <w:rsid w:val="000A3242"/>
    <w:rsid w:val="000A324C"/>
    <w:rsid w:val="000A356F"/>
    <w:rsid w:val="000A369B"/>
    <w:rsid w:val="000A37B1"/>
    <w:rsid w:val="000A3834"/>
    <w:rsid w:val="000A3863"/>
    <w:rsid w:val="000A3981"/>
    <w:rsid w:val="000A39BD"/>
    <w:rsid w:val="000A3A5A"/>
    <w:rsid w:val="000A3AC4"/>
    <w:rsid w:val="000A3C2D"/>
    <w:rsid w:val="000A3DEC"/>
    <w:rsid w:val="000A3E93"/>
    <w:rsid w:val="000A3E99"/>
    <w:rsid w:val="000A428A"/>
    <w:rsid w:val="000A439B"/>
    <w:rsid w:val="000A448F"/>
    <w:rsid w:val="000A4671"/>
    <w:rsid w:val="000A47FE"/>
    <w:rsid w:val="000A4916"/>
    <w:rsid w:val="000A4946"/>
    <w:rsid w:val="000A4B5F"/>
    <w:rsid w:val="000A4BA4"/>
    <w:rsid w:val="000A4C65"/>
    <w:rsid w:val="000A4DB0"/>
    <w:rsid w:val="000A506D"/>
    <w:rsid w:val="000A563A"/>
    <w:rsid w:val="000A574B"/>
    <w:rsid w:val="000A578D"/>
    <w:rsid w:val="000A5AD9"/>
    <w:rsid w:val="000A5D9B"/>
    <w:rsid w:val="000A5DF0"/>
    <w:rsid w:val="000A5F8D"/>
    <w:rsid w:val="000A5FA4"/>
    <w:rsid w:val="000A6003"/>
    <w:rsid w:val="000A6117"/>
    <w:rsid w:val="000A61CA"/>
    <w:rsid w:val="000A623D"/>
    <w:rsid w:val="000A63E7"/>
    <w:rsid w:val="000A654D"/>
    <w:rsid w:val="000A662E"/>
    <w:rsid w:val="000A66E9"/>
    <w:rsid w:val="000A6A03"/>
    <w:rsid w:val="000A6A12"/>
    <w:rsid w:val="000A6F94"/>
    <w:rsid w:val="000A71F8"/>
    <w:rsid w:val="000A72D6"/>
    <w:rsid w:val="000A73CF"/>
    <w:rsid w:val="000A7546"/>
    <w:rsid w:val="000A75B3"/>
    <w:rsid w:val="000A7767"/>
    <w:rsid w:val="000A7A83"/>
    <w:rsid w:val="000A7AC5"/>
    <w:rsid w:val="000A7B74"/>
    <w:rsid w:val="000A7B7C"/>
    <w:rsid w:val="000A7C89"/>
    <w:rsid w:val="000A7D72"/>
    <w:rsid w:val="000B02EA"/>
    <w:rsid w:val="000B0463"/>
    <w:rsid w:val="000B06C4"/>
    <w:rsid w:val="000B081A"/>
    <w:rsid w:val="000B0915"/>
    <w:rsid w:val="000B0A61"/>
    <w:rsid w:val="000B0AD5"/>
    <w:rsid w:val="000B0DD8"/>
    <w:rsid w:val="000B0E98"/>
    <w:rsid w:val="000B0EC0"/>
    <w:rsid w:val="000B0FE3"/>
    <w:rsid w:val="000B102B"/>
    <w:rsid w:val="000B1235"/>
    <w:rsid w:val="000B12BA"/>
    <w:rsid w:val="000B1331"/>
    <w:rsid w:val="000B136A"/>
    <w:rsid w:val="000B1557"/>
    <w:rsid w:val="000B15C3"/>
    <w:rsid w:val="000B16CA"/>
    <w:rsid w:val="000B16E0"/>
    <w:rsid w:val="000B17A0"/>
    <w:rsid w:val="000B1A2D"/>
    <w:rsid w:val="000B1A4D"/>
    <w:rsid w:val="000B1AE4"/>
    <w:rsid w:val="000B1B6D"/>
    <w:rsid w:val="000B1C41"/>
    <w:rsid w:val="000B1E30"/>
    <w:rsid w:val="000B1E50"/>
    <w:rsid w:val="000B1E60"/>
    <w:rsid w:val="000B2139"/>
    <w:rsid w:val="000B2334"/>
    <w:rsid w:val="000B2390"/>
    <w:rsid w:val="000B256F"/>
    <w:rsid w:val="000B25A4"/>
    <w:rsid w:val="000B25F5"/>
    <w:rsid w:val="000B276E"/>
    <w:rsid w:val="000B290E"/>
    <w:rsid w:val="000B296F"/>
    <w:rsid w:val="000B2B83"/>
    <w:rsid w:val="000B2BB0"/>
    <w:rsid w:val="000B2BDC"/>
    <w:rsid w:val="000B2C61"/>
    <w:rsid w:val="000B2D7B"/>
    <w:rsid w:val="000B2E3E"/>
    <w:rsid w:val="000B3033"/>
    <w:rsid w:val="000B321D"/>
    <w:rsid w:val="000B32F5"/>
    <w:rsid w:val="000B338E"/>
    <w:rsid w:val="000B351E"/>
    <w:rsid w:val="000B3593"/>
    <w:rsid w:val="000B3757"/>
    <w:rsid w:val="000B38A8"/>
    <w:rsid w:val="000B38E7"/>
    <w:rsid w:val="000B39BB"/>
    <w:rsid w:val="000B3AF7"/>
    <w:rsid w:val="000B3C0F"/>
    <w:rsid w:val="000B3DAF"/>
    <w:rsid w:val="000B3EB9"/>
    <w:rsid w:val="000B3EE7"/>
    <w:rsid w:val="000B423C"/>
    <w:rsid w:val="000B4358"/>
    <w:rsid w:val="000B464A"/>
    <w:rsid w:val="000B47AA"/>
    <w:rsid w:val="000B48F4"/>
    <w:rsid w:val="000B4A0D"/>
    <w:rsid w:val="000B4A15"/>
    <w:rsid w:val="000B4E6C"/>
    <w:rsid w:val="000B51CC"/>
    <w:rsid w:val="000B5306"/>
    <w:rsid w:val="000B530C"/>
    <w:rsid w:val="000B53CB"/>
    <w:rsid w:val="000B562E"/>
    <w:rsid w:val="000B563D"/>
    <w:rsid w:val="000B570D"/>
    <w:rsid w:val="000B5725"/>
    <w:rsid w:val="000B57D8"/>
    <w:rsid w:val="000B58F3"/>
    <w:rsid w:val="000B5C3F"/>
    <w:rsid w:val="000B5D0E"/>
    <w:rsid w:val="000B601C"/>
    <w:rsid w:val="000B6071"/>
    <w:rsid w:val="000B61B9"/>
    <w:rsid w:val="000B686E"/>
    <w:rsid w:val="000B68F3"/>
    <w:rsid w:val="000B6AF8"/>
    <w:rsid w:val="000B6DFF"/>
    <w:rsid w:val="000B6E9C"/>
    <w:rsid w:val="000B6EDC"/>
    <w:rsid w:val="000B7307"/>
    <w:rsid w:val="000B741B"/>
    <w:rsid w:val="000B7462"/>
    <w:rsid w:val="000B74EA"/>
    <w:rsid w:val="000B7629"/>
    <w:rsid w:val="000B7656"/>
    <w:rsid w:val="000B770A"/>
    <w:rsid w:val="000B78B5"/>
    <w:rsid w:val="000B78F0"/>
    <w:rsid w:val="000B797A"/>
    <w:rsid w:val="000B7A07"/>
    <w:rsid w:val="000B7A5F"/>
    <w:rsid w:val="000B7BD7"/>
    <w:rsid w:val="000B7CC5"/>
    <w:rsid w:val="000B7D80"/>
    <w:rsid w:val="000B7DA1"/>
    <w:rsid w:val="000B7E15"/>
    <w:rsid w:val="000C02AF"/>
    <w:rsid w:val="000C02B8"/>
    <w:rsid w:val="000C0374"/>
    <w:rsid w:val="000C0674"/>
    <w:rsid w:val="000C07E6"/>
    <w:rsid w:val="000C0868"/>
    <w:rsid w:val="000C0998"/>
    <w:rsid w:val="000C0B42"/>
    <w:rsid w:val="000C0B8B"/>
    <w:rsid w:val="000C0C41"/>
    <w:rsid w:val="000C0CF4"/>
    <w:rsid w:val="000C0EB0"/>
    <w:rsid w:val="000C0EB7"/>
    <w:rsid w:val="000C0EC8"/>
    <w:rsid w:val="000C0F32"/>
    <w:rsid w:val="000C168C"/>
    <w:rsid w:val="000C16BF"/>
    <w:rsid w:val="000C17A7"/>
    <w:rsid w:val="000C1890"/>
    <w:rsid w:val="000C18A8"/>
    <w:rsid w:val="000C1952"/>
    <w:rsid w:val="000C1981"/>
    <w:rsid w:val="000C1A49"/>
    <w:rsid w:val="000C1BA3"/>
    <w:rsid w:val="000C1EF8"/>
    <w:rsid w:val="000C1FA2"/>
    <w:rsid w:val="000C259D"/>
    <w:rsid w:val="000C25BA"/>
    <w:rsid w:val="000C26BE"/>
    <w:rsid w:val="000C26DD"/>
    <w:rsid w:val="000C2733"/>
    <w:rsid w:val="000C2861"/>
    <w:rsid w:val="000C2A0E"/>
    <w:rsid w:val="000C2A14"/>
    <w:rsid w:val="000C2BC9"/>
    <w:rsid w:val="000C2C82"/>
    <w:rsid w:val="000C2D03"/>
    <w:rsid w:val="000C2DDE"/>
    <w:rsid w:val="000C2E4A"/>
    <w:rsid w:val="000C2EF7"/>
    <w:rsid w:val="000C300A"/>
    <w:rsid w:val="000C307E"/>
    <w:rsid w:val="000C3134"/>
    <w:rsid w:val="000C36C1"/>
    <w:rsid w:val="000C3722"/>
    <w:rsid w:val="000C37B2"/>
    <w:rsid w:val="000C388C"/>
    <w:rsid w:val="000C3A33"/>
    <w:rsid w:val="000C3BDF"/>
    <w:rsid w:val="000C3CD3"/>
    <w:rsid w:val="000C3D03"/>
    <w:rsid w:val="000C3E79"/>
    <w:rsid w:val="000C3F8F"/>
    <w:rsid w:val="000C422B"/>
    <w:rsid w:val="000C423B"/>
    <w:rsid w:val="000C4397"/>
    <w:rsid w:val="000C44B9"/>
    <w:rsid w:val="000C4545"/>
    <w:rsid w:val="000C4551"/>
    <w:rsid w:val="000C46C5"/>
    <w:rsid w:val="000C46D0"/>
    <w:rsid w:val="000C4744"/>
    <w:rsid w:val="000C477F"/>
    <w:rsid w:val="000C4A14"/>
    <w:rsid w:val="000C4A25"/>
    <w:rsid w:val="000C4AE0"/>
    <w:rsid w:val="000C4B66"/>
    <w:rsid w:val="000C4DE5"/>
    <w:rsid w:val="000C4F9D"/>
    <w:rsid w:val="000C5157"/>
    <w:rsid w:val="000C5219"/>
    <w:rsid w:val="000C535B"/>
    <w:rsid w:val="000C5504"/>
    <w:rsid w:val="000C5634"/>
    <w:rsid w:val="000C587A"/>
    <w:rsid w:val="000C5885"/>
    <w:rsid w:val="000C5973"/>
    <w:rsid w:val="000C59DB"/>
    <w:rsid w:val="000C5CCD"/>
    <w:rsid w:val="000C5F42"/>
    <w:rsid w:val="000C61D8"/>
    <w:rsid w:val="000C61F0"/>
    <w:rsid w:val="000C6440"/>
    <w:rsid w:val="000C66AC"/>
    <w:rsid w:val="000C66F1"/>
    <w:rsid w:val="000C6710"/>
    <w:rsid w:val="000C6A69"/>
    <w:rsid w:val="000C6B85"/>
    <w:rsid w:val="000C6E8C"/>
    <w:rsid w:val="000C6EB5"/>
    <w:rsid w:val="000C6ECD"/>
    <w:rsid w:val="000C6F02"/>
    <w:rsid w:val="000C6F75"/>
    <w:rsid w:val="000C6F96"/>
    <w:rsid w:val="000C7037"/>
    <w:rsid w:val="000C7207"/>
    <w:rsid w:val="000C7291"/>
    <w:rsid w:val="000C73C4"/>
    <w:rsid w:val="000C7433"/>
    <w:rsid w:val="000C74A7"/>
    <w:rsid w:val="000C758B"/>
    <w:rsid w:val="000C7637"/>
    <w:rsid w:val="000C76F6"/>
    <w:rsid w:val="000C7978"/>
    <w:rsid w:val="000C7F13"/>
    <w:rsid w:val="000C7F75"/>
    <w:rsid w:val="000D0077"/>
    <w:rsid w:val="000D0459"/>
    <w:rsid w:val="000D0494"/>
    <w:rsid w:val="000D050A"/>
    <w:rsid w:val="000D05BB"/>
    <w:rsid w:val="000D0662"/>
    <w:rsid w:val="000D06C1"/>
    <w:rsid w:val="000D077E"/>
    <w:rsid w:val="000D0873"/>
    <w:rsid w:val="000D094D"/>
    <w:rsid w:val="000D096B"/>
    <w:rsid w:val="000D0998"/>
    <w:rsid w:val="000D0A73"/>
    <w:rsid w:val="000D0B0D"/>
    <w:rsid w:val="000D0CB2"/>
    <w:rsid w:val="000D0CBA"/>
    <w:rsid w:val="000D0D55"/>
    <w:rsid w:val="000D0E43"/>
    <w:rsid w:val="000D0E4D"/>
    <w:rsid w:val="000D0EC4"/>
    <w:rsid w:val="000D0F62"/>
    <w:rsid w:val="000D0F86"/>
    <w:rsid w:val="000D1208"/>
    <w:rsid w:val="000D123D"/>
    <w:rsid w:val="000D125C"/>
    <w:rsid w:val="000D1484"/>
    <w:rsid w:val="000D1594"/>
    <w:rsid w:val="000D16FA"/>
    <w:rsid w:val="000D182E"/>
    <w:rsid w:val="000D1CA2"/>
    <w:rsid w:val="000D1D46"/>
    <w:rsid w:val="000D1D8D"/>
    <w:rsid w:val="000D1E68"/>
    <w:rsid w:val="000D1E87"/>
    <w:rsid w:val="000D1E91"/>
    <w:rsid w:val="000D1F58"/>
    <w:rsid w:val="000D219E"/>
    <w:rsid w:val="000D2279"/>
    <w:rsid w:val="000D2483"/>
    <w:rsid w:val="000D24CB"/>
    <w:rsid w:val="000D27D2"/>
    <w:rsid w:val="000D281E"/>
    <w:rsid w:val="000D291E"/>
    <w:rsid w:val="000D2B17"/>
    <w:rsid w:val="000D2C16"/>
    <w:rsid w:val="000D2DBA"/>
    <w:rsid w:val="000D2F05"/>
    <w:rsid w:val="000D2F45"/>
    <w:rsid w:val="000D30AB"/>
    <w:rsid w:val="000D3266"/>
    <w:rsid w:val="000D32B6"/>
    <w:rsid w:val="000D3399"/>
    <w:rsid w:val="000D347B"/>
    <w:rsid w:val="000D3540"/>
    <w:rsid w:val="000D3664"/>
    <w:rsid w:val="000D3706"/>
    <w:rsid w:val="000D3B24"/>
    <w:rsid w:val="000D3C16"/>
    <w:rsid w:val="000D3C35"/>
    <w:rsid w:val="000D3C6D"/>
    <w:rsid w:val="000D3CD1"/>
    <w:rsid w:val="000D3E5E"/>
    <w:rsid w:val="000D3F02"/>
    <w:rsid w:val="000D3FE4"/>
    <w:rsid w:val="000D4015"/>
    <w:rsid w:val="000D4185"/>
    <w:rsid w:val="000D41C9"/>
    <w:rsid w:val="000D4248"/>
    <w:rsid w:val="000D4333"/>
    <w:rsid w:val="000D43D6"/>
    <w:rsid w:val="000D441C"/>
    <w:rsid w:val="000D4497"/>
    <w:rsid w:val="000D44ED"/>
    <w:rsid w:val="000D459E"/>
    <w:rsid w:val="000D4693"/>
    <w:rsid w:val="000D469B"/>
    <w:rsid w:val="000D4E32"/>
    <w:rsid w:val="000D4E8D"/>
    <w:rsid w:val="000D4ED1"/>
    <w:rsid w:val="000D502C"/>
    <w:rsid w:val="000D526C"/>
    <w:rsid w:val="000D5354"/>
    <w:rsid w:val="000D5420"/>
    <w:rsid w:val="000D56E3"/>
    <w:rsid w:val="000D56FB"/>
    <w:rsid w:val="000D591F"/>
    <w:rsid w:val="000D5A46"/>
    <w:rsid w:val="000D5A51"/>
    <w:rsid w:val="000D5B1E"/>
    <w:rsid w:val="000D5C8E"/>
    <w:rsid w:val="000D5DC6"/>
    <w:rsid w:val="000D5ED3"/>
    <w:rsid w:val="000D604E"/>
    <w:rsid w:val="000D6063"/>
    <w:rsid w:val="000D610E"/>
    <w:rsid w:val="000D61C5"/>
    <w:rsid w:val="000D6277"/>
    <w:rsid w:val="000D63CB"/>
    <w:rsid w:val="000D63ED"/>
    <w:rsid w:val="000D6405"/>
    <w:rsid w:val="000D6612"/>
    <w:rsid w:val="000D668E"/>
    <w:rsid w:val="000D68DD"/>
    <w:rsid w:val="000D6CC5"/>
    <w:rsid w:val="000D6D04"/>
    <w:rsid w:val="000D6DC1"/>
    <w:rsid w:val="000D6E21"/>
    <w:rsid w:val="000D6E6E"/>
    <w:rsid w:val="000D706C"/>
    <w:rsid w:val="000D7094"/>
    <w:rsid w:val="000D731A"/>
    <w:rsid w:val="000D7464"/>
    <w:rsid w:val="000D75CB"/>
    <w:rsid w:val="000D768A"/>
    <w:rsid w:val="000D77C4"/>
    <w:rsid w:val="000D780E"/>
    <w:rsid w:val="000D7A9C"/>
    <w:rsid w:val="000D7DAD"/>
    <w:rsid w:val="000D7E76"/>
    <w:rsid w:val="000E00E6"/>
    <w:rsid w:val="000E0195"/>
    <w:rsid w:val="000E01E6"/>
    <w:rsid w:val="000E01FE"/>
    <w:rsid w:val="000E02E8"/>
    <w:rsid w:val="000E0300"/>
    <w:rsid w:val="000E036A"/>
    <w:rsid w:val="000E06A6"/>
    <w:rsid w:val="000E0721"/>
    <w:rsid w:val="000E0855"/>
    <w:rsid w:val="000E0A2B"/>
    <w:rsid w:val="000E0B21"/>
    <w:rsid w:val="000E0B48"/>
    <w:rsid w:val="000E0C37"/>
    <w:rsid w:val="000E0D43"/>
    <w:rsid w:val="000E0FEB"/>
    <w:rsid w:val="000E128A"/>
    <w:rsid w:val="000E12D3"/>
    <w:rsid w:val="000E1477"/>
    <w:rsid w:val="000E171E"/>
    <w:rsid w:val="000E1B1E"/>
    <w:rsid w:val="000E2032"/>
    <w:rsid w:val="000E20B3"/>
    <w:rsid w:val="000E2239"/>
    <w:rsid w:val="000E2242"/>
    <w:rsid w:val="000E229F"/>
    <w:rsid w:val="000E23B8"/>
    <w:rsid w:val="000E24AF"/>
    <w:rsid w:val="000E262C"/>
    <w:rsid w:val="000E2799"/>
    <w:rsid w:val="000E27B8"/>
    <w:rsid w:val="000E2930"/>
    <w:rsid w:val="000E2ABB"/>
    <w:rsid w:val="000E2EDD"/>
    <w:rsid w:val="000E3026"/>
    <w:rsid w:val="000E3091"/>
    <w:rsid w:val="000E334A"/>
    <w:rsid w:val="000E3534"/>
    <w:rsid w:val="000E3559"/>
    <w:rsid w:val="000E3591"/>
    <w:rsid w:val="000E3752"/>
    <w:rsid w:val="000E37B7"/>
    <w:rsid w:val="000E3843"/>
    <w:rsid w:val="000E38CC"/>
    <w:rsid w:val="000E3C02"/>
    <w:rsid w:val="000E3DA2"/>
    <w:rsid w:val="000E3E29"/>
    <w:rsid w:val="000E4325"/>
    <w:rsid w:val="000E44B2"/>
    <w:rsid w:val="000E4585"/>
    <w:rsid w:val="000E491B"/>
    <w:rsid w:val="000E4C45"/>
    <w:rsid w:val="000E4C71"/>
    <w:rsid w:val="000E4E03"/>
    <w:rsid w:val="000E4F46"/>
    <w:rsid w:val="000E50A4"/>
    <w:rsid w:val="000E50DA"/>
    <w:rsid w:val="000E51C9"/>
    <w:rsid w:val="000E52B3"/>
    <w:rsid w:val="000E53D2"/>
    <w:rsid w:val="000E53F7"/>
    <w:rsid w:val="000E5404"/>
    <w:rsid w:val="000E55A5"/>
    <w:rsid w:val="000E563E"/>
    <w:rsid w:val="000E59CD"/>
    <w:rsid w:val="000E5B27"/>
    <w:rsid w:val="000E5CB9"/>
    <w:rsid w:val="000E5D72"/>
    <w:rsid w:val="000E5E62"/>
    <w:rsid w:val="000E5F30"/>
    <w:rsid w:val="000E60AC"/>
    <w:rsid w:val="000E60BA"/>
    <w:rsid w:val="000E65D9"/>
    <w:rsid w:val="000E6607"/>
    <w:rsid w:val="000E6625"/>
    <w:rsid w:val="000E669D"/>
    <w:rsid w:val="000E66AC"/>
    <w:rsid w:val="000E67B5"/>
    <w:rsid w:val="000E67B8"/>
    <w:rsid w:val="000E6A21"/>
    <w:rsid w:val="000E6D2F"/>
    <w:rsid w:val="000E6F18"/>
    <w:rsid w:val="000E70D3"/>
    <w:rsid w:val="000E70D5"/>
    <w:rsid w:val="000E7365"/>
    <w:rsid w:val="000E737B"/>
    <w:rsid w:val="000E7DF0"/>
    <w:rsid w:val="000E7EC9"/>
    <w:rsid w:val="000E7EF6"/>
    <w:rsid w:val="000E7F3D"/>
    <w:rsid w:val="000F014C"/>
    <w:rsid w:val="000F016E"/>
    <w:rsid w:val="000F0391"/>
    <w:rsid w:val="000F03A4"/>
    <w:rsid w:val="000F04A4"/>
    <w:rsid w:val="000F04F4"/>
    <w:rsid w:val="000F0685"/>
    <w:rsid w:val="000F0721"/>
    <w:rsid w:val="000F074C"/>
    <w:rsid w:val="000F08FE"/>
    <w:rsid w:val="000F0905"/>
    <w:rsid w:val="000F0C32"/>
    <w:rsid w:val="000F0CCD"/>
    <w:rsid w:val="000F0CD8"/>
    <w:rsid w:val="000F0D22"/>
    <w:rsid w:val="000F1190"/>
    <w:rsid w:val="000F1193"/>
    <w:rsid w:val="000F1417"/>
    <w:rsid w:val="000F14FE"/>
    <w:rsid w:val="000F1798"/>
    <w:rsid w:val="000F17CE"/>
    <w:rsid w:val="000F18ED"/>
    <w:rsid w:val="000F193C"/>
    <w:rsid w:val="000F1A85"/>
    <w:rsid w:val="000F1B02"/>
    <w:rsid w:val="000F1B2A"/>
    <w:rsid w:val="000F1B33"/>
    <w:rsid w:val="000F1B63"/>
    <w:rsid w:val="000F1BF6"/>
    <w:rsid w:val="000F1C6C"/>
    <w:rsid w:val="000F1D1D"/>
    <w:rsid w:val="000F1DA2"/>
    <w:rsid w:val="000F1E2E"/>
    <w:rsid w:val="000F1F19"/>
    <w:rsid w:val="000F1F7F"/>
    <w:rsid w:val="000F1FFC"/>
    <w:rsid w:val="000F2198"/>
    <w:rsid w:val="000F27E1"/>
    <w:rsid w:val="000F2975"/>
    <w:rsid w:val="000F2C79"/>
    <w:rsid w:val="000F2CB9"/>
    <w:rsid w:val="000F2D48"/>
    <w:rsid w:val="000F34CF"/>
    <w:rsid w:val="000F367E"/>
    <w:rsid w:val="000F3714"/>
    <w:rsid w:val="000F387B"/>
    <w:rsid w:val="000F3941"/>
    <w:rsid w:val="000F398D"/>
    <w:rsid w:val="000F39A9"/>
    <w:rsid w:val="000F3C56"/>
    <w:rsid w:val="000F3D97"/>
    <w:rsid w:val="000F3E3D"/>
    <w:rsid w:val="000F3E43"/>
    <w:rsid w:val="000F3F4E"/>
    <w:rsid w:val="000F3F8E"/>
    <w:rsid w:val="000F40C2"/>
    <w:rsid w:val="000F42F6"/>
    <w:rsid w:val="000F431A"/>
    <w:rsid w:val="000F43E8"/>
    <w:rsid w:val="000F4695"/>
    <w:rsid w:val="000F479C"/>
    <w:rsid w:val="000F49D0"/>
    <w:rsid w:val="000F4A11"/>
    <w:rsid w:val="000F4B43"/>
    <w:rsid w:val="000F4C05"/>
    <w:rsid w:val="000F4C89"/>
    <w:rsid w:val="000F4E5C"/>
    <w:rsid w:val="000F5052"/>
    <w:rsid w:val="000F5164"/>
    <w:rsid w:val="000F542E"/>
    <w:rsid w:val="000F55DD"/>
    <w:rsid w:val="000F56B2"/>
    <w:rsid w:val="000F56C4"/>
    <w:rsid w:val="000F56F1"/>
    <w:rsid w:val="000F5960"/>
    <w:rsid w:val="000F59AA"/>
    <w:rsid w:val="000F59E5"/>
    <w:rsid w:val="000F5A0C"/>
    <w:rsid w:val="000F5A8E"/>
    <w:rsid w:val="000F5B9A"/>
    <w:rsid w:val="000F5EBA"/>
    <w:rsid w:val="000F5F2F"/>
    <w:rsid w:val="000F5F7F"/>
    <w:rsid w:val="000F6012"/>
    <w:rsid w:val="000F6029"/>
    <w:rsid w:val="000F61B8"/>
    <w:rsid w:val="000F61DF"/>
    <w:rsid w:val="000F625B"/>
    <w:rsid w:val="000F6549"/>
    <w:rsid w:val="000F6658"/>
    <w:rsid w:val="000F67A7"/>
    <w:rsid w:val="000F68F4"/>
    <w:rsid w:val="000F690B"/>
    <w:rsid w:val="000F699A"/>
    <w:rsid w:val="000F6A20"/>
    <w:rsid w:val="000F6A33"/>
    <w:rsid w:val="000F6A6F"/>
    <w:rsid w:val="000F6C54"/>
    <w:rsid w:val="000F6DDF"/>
    <w:rsid w:val="000F70A7"/>
    <w:rsid w:val="000F7168"/>
    <w:rsid w:val="000F71A6"/>
    <w:rsid w:val="000F755B"/>
    <w:rsid w:val="000F7811"/>
    <w:rsid w:val="000F7BD8"/>
    <w:rsid w:val="000F7C1C"/>
    <w:rsid w:val="000F7F6D"/>
    <w:rsid w:val="0010040E"/>
    <w:rsid w:val="001004E9"/>
    <w:rsid w:val="001004F4"/>
    <w:rsid w:val="00100886"/>
    <w:rsid w:val="00100944"/>
    <w:rsid w:val="00100964"/>
    <w:rsid w:val="00100B57"/>
    <w:rsid w:val="00100C00"/>
    <w:rsid w:val="00100CFC"/>
    <w:rsid w:val="00100DC2"/>
    <w:rsid w:val="00100EE0"/>
    <w:rsid w:val="00100F69"/>
    <w:rsid w:val="00101089"/>
    <w:rsid w:val="00101228"/>
    <w:rsid w:val="00101263"/>
    <w:rsid w:val="001012EF"/>
    <w:rsid w:val="00101385"/>
    <w:rsid w:val="001013DE"/>
    <w:rsid w:val="001014DE"/>
    <w:rsid w:val="00101704"/>
    <w:rsid w:val="001017C5"/>
    <w:rsid w:val="00101B75"/>
    <w:rsid w:val="00101BF7"/>
    <w:rsid w:val="00101D92"/>
    <w:rsid w:val="00101F4A"/>
    <w:rsid w:val="00101FAE"/>
    <w:rsid w:val="00102184"/>
    <w:rsid w:val="00102412"/>
    <w:rsid w:val="00102420"/>
    <w:rsid w:val="00102529"/>
    <w:rsid w:val="001025F5"/>
    <w:rsid w:val="00102637"/>
    <w:rsid w:val="0010265B"/>
    <w:rsid w:val="001029D7"/>
    <w:rsid w:val="001029F4"/>
    <w:rsid w:val="00102A8D"/>
    <w:rsid w:val="00102C22"/>
    <w:rsid w:val="00102D7B"/>
    <w:rsid w:val="00102E13"/>
    <w:rsid w:val="00103160"/>
    <w:rsid w:val="00103419"/>
    <w:rsid w:val="0010345C"/>
    <w:rsid w:val="0010351A"/>
    <w:rsid w:val="001035D7"/>
    <w:rsid w:val="0010369A"/>
    <w:rsid w:val="001036EB"/>
    <w:rsid w:val="00103838"/>
    <w:rsid w:val="00103A24"/>
    <w:rsid w:val="00103AA9"/>
    <w:rsid w:val="00103E54"/>
    <w:rsid w:val="00103E77"/>
    <w:rsid w:val="00103F34"/>
    <w:rsid w:val="001040F1"/>
    <w:rsid w:val="001041B3"/>
    <w:rsid w:val="0010433E"/>
    <w:rsid w:val="0010443E"/>
    <w:rsid w:val="0010466C"/>
    <w:rsid w:val="001047EA"/>
    <w:rsid w:val="00104AFD"/>
    <w:rsid w:val="00104B65"/>
    <w:rsid w:val="00104E07"/>
    <w:rsid w:val="00104F6D"/>
    <w:rsid w:val="001050BD"/>
    <w:rsid w:val="00105126"/>
    <w:rsid w:val="00105127"/>
    <w:rsid w:val="00105380"/>
    <w:rsid w:val="001053F8"/>
    <w:rsid w:val="00105422"/>
    <w:rsid w:val="001054CF"/>
    <w:rsid w:val="00105595"/>
    <w:rsid w:val="0010559F"/>
    <w:rsid w:val="001055BC"/>
    <w:rsid w:val="001055EC"/>
    <w:rsid w:val="00105728"/>
    <w:rsid w:val="00105CA8"/>
    <w:rsid w:val="00105CAB"/>
    <w:rsid w:val="00105E10"/>
    <w:rsid w:val="00105EF2"/>
    <w:rsid w:val="00105F4B"/>
    <w:rsid w:val="00105F9B"/>
    <w:rsid w:val="00105FB0"/>
    <w:rsid w:val="00106319"/>
    <w:rsid w:val="0010637D"/>
    <w:rsid w:val="001063A5"/>
    <w:rsid w:val="001064E8"/>
    <w:rsid w:val="001065BE"/>
    <w:rsid w:val="001065D9"/>
    <w:rsid w:val="00106768"/>
    <w:rsid w:val="00106797"/>
    <w:rsid w:val="001068F2"/>
    <w:rsid w:val="0010695F"/>
    <w:rsid w:val="00106A03"/>
    <w:rsid w:val="00106A9D"/>
    <w:rsid w:val="00106EA1"/>
    <w:rsid w:val="001072CA"/>
    <w:rsid w:val="00107306"/>
    <w:rsid w:val="0010751F"/>
    <w:rsid w:val="001076E5"/>
    <w:rsid w:val="00107705"/>
    <w:rsid w:val="001077B1"/>
    <w:rsid w:val="00107871"/>
    <w:rsid w:val="001079C9"/>
    <w:rsid w:val="00107A18"/>
    <w:rsid w:val="00107ADB"/>
    <w:rsid w:val="00107ADD"/>
    <w:rsid w:val="00107C08"/>
    <w:rsid w:val="001100A8"/>
    <w:rsid w:val="0011028C"/>
    <w:rsid w:val="001102B2"/>
    <w:rsid w:val="00110334"/>
    <w:rsid w:val="0011077E"/>
    <w:rsid w:val="00110784"/>
    <w:rsid w:val="00110A61"/>
    <w:rsid w:val="00110EAD"/>
    <w:rsid w:val="00110EB2"/>
    <w:rsid w:val="0011105D"/>
    <w:rsid w:val="00111075"/>
    <w:rsid w:val="001110C5"/>
    <w:rsid w:val="001111EE"/>
    <w:rsid w:val="00111389"/>
    <w:rsid w:val="001113E4"/>
    <w:rsid w:val="0011159C"/>
    <w:rsid w:val="0011164F"/>
    <w:rsid w:val="001116CD"/>
    <w:rsid w:val="0011178A"/>
    <w:rsid w:val="001117A5"/>
    <w:rsid w:val="001117B7"/>
    <w:rsid w:val="001119D9"/>
    <w:rsid w:val="00111A89"/>
    <w:rsid w:val="00111ADC"/>
    <w:rsid w:val="00111B22"/>
    <w:rsid w:val="00111CEA"/>
    <w:rsid w:val="00111DC3"/>
    <w:rsid w:val="00111DEB"/>
    <w:rsid w:val="001121A1"/>
    <w:rsid w:val="001121C6"/>
    <w:rsid w:val="00112304"/>
    <w:rsid w:val="00112349"/>
    <w:rsid w:val="00112404"/>
    <w:rsid w:val="0011241E"/>
    <w:rsid w:val="0011256F"/>
    <w:rsid w:val="001125E8"/>
    <w:rsid w:val="001127D5"/>
    <w:rsid w:val="00112857"/>
    <w:rsid w:val="00112B6A"/>
    <w:rsid w:val="00112BD5"/>
    <w:rsid w:val="00112C6A"/>
    <w:rsid w:val="00112C78"/>
    <w:rsid w:val="00112DA6"/>
    <w:rsid w:val="00113142"/>
    <w:rsid w:val="001132AA"/>
    <w:rsid w:val="001132DF"/>
    <w:rsid w:val="001133F6"/>
    <w:rsid w:val="0011342D"/>
    <w:rsid w:val="00113440"/>
    <w:rsid w:val="00113462"/>
    <w:rsid w:val="0011360A"/>
    <w:rsid w:val="00113664"/>
    <w:rsid w:val="00113A2B"/>
    <w:rsid w:val="00113A70"/>
    <w:rsid w:val="00113B80"/>
    <w:rsid w:val="00113C62"/>
    <w:rsid w:val="00113E0D"/>
    <w:rsid w:val="00113EE4"/>
    <w:rsid w:val="0011409B"/>
    <w:rsid w:val="001140D3"/>
    <w:rsid w:val="001141DE"/>
    <w:rsid w:val="00114254"/>
    <w:rsid w:val="001143AE"/>
    <w:rsid w:val="00114581"/>
    <w:rsid w:val="0011461D"/>
    <w:rsid w:val="00114636"/>
    <w:rsid w:val="0011481A"/>
    <w:rsid w:val="00114907"/>
    <w:rsid w:val="00114C4F"/>
    <w:rsid w:val="00114DFE"/>
    <w:rsid w:val="00114F4B"/>
    <w:rsid w:val="001150EA"/>
    <w:rsid w:val="0011512E"/>
    <w:rsid w:val="0011515F"/>
    <w:rsid w:val="001151C4"/>
    <w:rsid w:val="001152DB"/>
    <w:rsid w:val="001152E0"/>
    <w:rsid w:val="001153C2"/>
    <w:rsid w:val="001153CC"/>
    <w:rsid w:val="0011545C"/>
    <w:rsid w:val="0011545F"/>
    <w:rsid w:val="001159CD"/>
    <w:rsid w:val="00115AF3"/>
    <w:rsid w:val="00115BAF"/>
    <w:rsid w:val="00115C9B"/>
    <w:rsid w:val="00115E5F"/>
    <w:rsid w:val="00115E88"/>
    <w:rsid w:val="00116110"/>
    <w:rsid w:val="0011613C"/>
    <w:rsid w:val="00116338"/>
    <w:rsid w:val="0011641E"/>
    <w:rsid w:val="001167C1"/>
    <w:rsid w:val="0011687D"/>
    <w:rsid w:val="001169B6"/>
    <w:rsid w:val="00116C96"/>
    <w:rsid w:val="00116D71"/>
    <w:rsid w:val="00116F79"/>
    <w:rsid w:val="00116F87"/>
    <w:rsid w:val="001173F1"/>
    <w:rsid w:val="0011752A"/>
    <w:rsid w:val="00117579"/>
    <w:rsid w:val="001175F9"/>
    <w:rsid w:val="0011763A"/>
    <w:rsid w:val="00117659"/>
    <w:rsid w:val="0011766B"/>
    <w:rsid w:val="001177CA"/>
    <w:rsid w:val="001177D2"/>
    <w:rsid w:val="001177F7"/>
    <w:rsid w:val="00117A34"/>
    <w:rsid w:val="00117E80"/>
    <w:rsid w:val="001200C2"/>
    <w:rsid w:val="001201C7"/>
    <w:rsid w:val="0012032F"/>
    <w:rsid w:val="001205C3"/>
    <w:rsid w:val="001206AF"/>
    <w:rsid w:val="001206EE"/>
    <w:rsid w:val="0012077E"/>
    <w:rsid w:val="0012079C"/>
    <w:rsid w:val="001207C7"/>
    <w:rsid w:val="00120827"/>
    <w:rsid w:val="00120A06"/>
    <w:rsid w:val="00120A46"/>
    <w:rsid w:val="00120C20"/>
    <w:rsid w:val="00120D01"/>
    <w:rsid w:val="00121373"/>
    <w:rsid w:val="001213CA"/>
    <w:rsid w:val="001214C0"/>
    <w:rsid w:val="00121534"/>
    <w:rsid w:val="0012188D"/>
    <w:rsid w:val="001218EB"/>
    <w:rsid w:val="001219BB"/>
    <w:rsid w:val="001219DD"/>
    <w:rsid w:val="00121AB1"/>
    <w:rsid w:val="00121C01"/>
    <w:rsid w:val="00121C5E"/>
    <w:rsid w:val="00121C7C"/>
    <w:rsid w:val="00121D5A"/>
    <w:rsid w:val="00121D7A"/>
    <w:rsid w:val="00121E81"/>
    <w:rsid w:val="00121EC3"/>
    <w:rsid w:val="00122373"/>
    <w:rsid w:val="001225BE"/>
    <w:rsid w:val="001226A4"/>
    <w:rsid w:val="001227F3"/>
    <w:rsid w:val="00122921"/>
    <w:rsid w:val="001229E6"/>
    <w:rsid w:val="00122B8C"/>
    <w:rsid w:val="00122C0A"/>
    <w:rsid w:val="00122C8D"/>
    <w:rsid w:val="00122F5D"/>
    <w:rsid w:val="00123030"/>
    <w:rsid w:val="001233DF"/>
    <w:rsid w:val="00123465"/>
    <w:rsid w:val="001238A7"/>
    <w:rsid w:val="001238BA"/>
    <w:rsid w:val="001238CA"/>
    <w:rsid w:val="001238DB"/>
    <w:rsid w:val="001238EB"/>
    <w:rsid w:val="00123924"/>
    <w:rsid w:val="001239F1"/>
    <w:rsid w:val="00123B21"/>
    <w:rsid w:val="00123CB9"/>
    <w:rsid w:val="00123DDB"/>
    <w:rsid w:val="00124111"/>
    <w:rsid w:val="0012412A"/>
    <w:rsid w:val="00124683"/>
    <w:rsid w:val="001246FE"/>
    <w:rsid w:val="00124726"/>
    <w:rsid w:val="00124739"/>
    <w:rsid w:val="001249E1"/>
    <w:rsid w:val="00124A22"/>
    <w:rsid w:val="00124BF1"/>
    <w:rsid w:val="00124D07"/>
    <w:rsid w:val="00125102"/>
    <w:rsid w:val="0012518F"/>
    <w:rsid w:val="001251A9"/>
    <w:rsid w:val="001251B1"/>
    <w:rsid w:val="00125595"/>
    <w:rsid w:val="001255A0"/>
    <w:rsid w:val="00125605"/>
    <w:rsid w:val="00125770"/>
    <w:rsid w:val="0012580A"/>
    <w:rsid w:val="00125B64"/>
    <w:rsid w:val="00125BC2"/>
    <w:rsid w:val="00125DC2"/>
    <w:rsid w:val="00125EF0"/>
    <w:rsid w:val="00126030"/>
    <w:rsid w:val="00126066"/>
    <w:rsid w:val="0012638F"/>
    <w:rsid w:val="0012660C"/>
    <w:rsid w:val="0012678D"/>
    <w:rsid w:val="00126863"/>
    <w:rsid w:val="0012689F"/>
    <w:rsid w:val="00126BD5"/>
    <w:rsid w:val="00126D59"/>
    <w:rsid w:val="00126DE1"/>
    <w:rsid w:val="00126EFF"/>
    <w:rsid w:val="00127037"/>
    <w:rsid w:val="001270FF"/>
    <w:rsid w:val="0012731F"/>
    <w:rsid w:val="001273D0"/>
    <w:rsid w:val="001274B0"/>
    <w:rsid w:val="00127799"/>
    <w:rsid w:val="00127968"/>
    <w:rsid w:val="00127A8B"/>
    <w:rsid w:val="00127B4F"/>
    <w:rsid w:val="00127E5D"/>
    <w:rsid w:val="00127F13"/>
    <w:rsid w:val="001300FA"/>
    <w:rsid w:val="00130106"/>
    <w:rsid w:val="00130161"/>
    <w:rsid w:val="00130189"/>
    <w:rsid w:val="001301BA"/>
    <w:rsid w:val="0013021B"/>
    <w:rsid w:val="0013021C"/>
    <w:rsid w:val="00130267"/>
    <w:rsid w:val="00130273"/>
    <w:rsid w:val="001308F0"/>
    <w:rsid w:val="0013093B"/>
    <w:rsid w:val="001309DE"/>
    <w:rsid w:val="00130BC5"/>
    <w:rsid w:val="00130C75"/>
    <w:rsid w:val="00130DE4"/>
    <w:rsid w:val="00130ECC"/>
    <w:rsid w:val="00130F38"/>
    <w:rsid w:val="00131048"/>
    <w:rsid w:val="0013105E"/>
    <w:rsid w:val="001310A2"/>
    <w:rsid w:val="001310E0"/>
    <w:rsid w:val="0013110A"/>
    <w:rsid w:val="0013113A"/>
    <w:rsid w:val="00131169"/>
    <w:rsid w:val="001311D9"/>
    <w:rsid w:val="00131236"/>
    <w:rsid w:val="00131439"/>
    <w:rsid w:val="0013145B"/>
    <w:rsid w:val="001315A9"/>
    <w:rsid w:val="001317FD"/>
    <w:rsid w:val="00131A60"/>
    <w:rsid w:val="00131B4A"/>
    <w:rsid w:val="00131C67"/>
    <w:rsid w:val="00131CF1"/>
    <w:rsid w:val="00131D40"/>
    <w:rsid w:val="00131DA0"/>
    <w:rsid w:val="00131EC1"/>
    <w:rsid w:val="001321AA"/>
    <w:rsid w:val="001321E2"/>
    <w:rsid w:val="001324A8"/>
    <w:rsid w:val="00132544"/>
    <w:rsid w:val="00132611"/>
    <w:rsid w:val="00132BDE"/>
    <w:rsid w:val="00132C68"/>
    <w:rsid w:val="00132D2D"/>
    <w:rsid w:val="00132DA9"/>
    <w:rsid w:val="00132E1A"/>
    <w:rsid w:val="00132E68"/>
    <w:rsid w:val="00133182"/>
    <w:rsid w:val="001332FF"/>
    <w:rsid w:val="00133348"/>
    <w:rsid w:val="001333C6"/>
    <w:rsid w:val="0013349B"/>
    <w:rsid w:val="00133581"/>
    <w:rsid w:val="00133756"/>
    <w:rsid w:val="00133ACC"/>
    <w:rsid w:val="00133C53"/>
    <w:rsid w:val="00133C62"/>
    <w:rsid w:val="00133EB0"/>
    <w:rsid w:val="00134158"/>
    <w:rsid w:val="001341D8"/>
    <w:rsid w:val="00134367"/>
    <w:rsid w:val="001344F6"/>
    <w:rsid w:val="00134559"/>
    <w:rsid w:val="001346BA"/>
    <w:rsid w:val="001348F4"/>
    <w:rsid w:val="00134979"/>
    <w:rsid w:val="00134983"/>
    <w:rsid w:val="00134A06"/>
    <w:rsid w:val="00134AB3"/>
    <w:rsid w:val="00134E4D"/>
    <w:rsid w:val="00135320"/>
    <w:rsid w:val="001354CA"/>
    <w:rsid w:val="001355D0"/>
    <w:rsid w:val="001358C0"/>
    <w:rsid w:val="00135924"/>
    <w:rsid w:val="0013592A"/>
    <w:rsid w:val="00135982"/>
    <w:rsid w:val="00135BD5"/>
    <w:rsid w:val="00135C67"/>
    <w:rsid w:val="00135CA2"/>
    <w:rsid w:val="00135D11"/>
    <w:rsid w:val="00135D13"/>
    <w:rsid w:val="001361A6"/>
    <w:rsid w:val="0013625B"/>
    <w:rsid w:val="00136297"/>
    <w:rsid w:val="001363A7"/>
    <w:rsid w:val="001363B7"/>
    <w:rsid w:val="001364CB"/>
    <w:rsid w:val="001365A9"/>
    <w:rsid w:val="001365FE"/>
    <w:rsid w:val="00136633"/>
    <w:rsid w:val="00136741"/>
    <w:rsid w:val="00136834"/>
    <w:rsid w:val="001368E2"/>
    <w:rsid w:val="00136A01"/>
    <w:rsid w:val="00136AEC"/>
    <w:rsid w:val="00136B2A"/>
    <w:rsid w:val="00136C35"/>
    <w:rsid w:val="00136D9D"/>
    <w:rsid w:val="00136DF3"/>
    <w:rsid w:val="00136F08"/>
    <w:rsid w:val="00136F37"/>
    <w:rsid w:val="001370EC"/>
    <w:rsid w:val="001373EC"/>
    <w:rsid w:val="0013758D"/>
    <w:rsid w:val="00137671"/>
    <w:rsid w:val="00137A44"/>
    <w:rsid w:val="00137AB6"/>
    <w:rsid w:val="00137BF0"/>
    <w:rsid w:val="00137D87"/>
    <w:rsid w:val="00140081"/>
    <w:rsid w:val="001401D2"/>
    <w:rsid w:val="001401E8"/>
    <w:rsid w:val="00140335"/>
    <w:rsid w:val="00140473"/>
    <w:rsid w:val="0014061C"/>
    <w:rsid w:val="0014067B"/>
    <w:rsid w:val="00140D0F"/>
    <w:rsid w:val="00140DFE"/>
    <w:rsid w:val="00140E59"/>
    <w:rsid w:val="00140F31"/>
    <w:rsid w:val="00140FE5"/>
    <w:rsid w:val="00141004"/>
    <w:rsid w:val="0014104E"/>
    <w:rsid w:val="001410E6"/>
    <w:rsid w:val="001411C5"/>
    <w:rsid w:val="00141227"/>
    <w:rsid w:val="0014148B"/>
    <w:rsid w:val="00141893"/>
    <w:rsid w:val="00141A77"/>
    <w:rsid w:val="00141C64"/>
    <w:rsid w:val="00141C67"/>
    <w:rsid w:val="00141C89"/>
    <w:rsid w:val="00141DCC"/>
    <w:rsid w:val="00141DF2"/>
    <w:rsid w:val="00141EDF"/>
    <w:rsid w:val="00141F88"/>
    <w:rsid w:val="00141FDF"/>
    <w:rsid w:val="00142215"/>
    <w:rsid w:val="00142219"/>
    <w:rsid w:val="001423B0"/>
    <w:rsid w:val="001423D4"/>
    <w:rsid w:val="00142477"/>
    <w:rsid w:val="001425C6"/>
    <w:rsid w:val="00142809"/>
    <w:rsid w:val="00142819"/>
    <w:rsid w:val="0014285E"/>
    <w:rsid w:val="00142932"/>
    <w:rsid w:val="00142A4B"/>
    <w:rsid w:val="00142F53"/>
    <w:rsid w:val="00142FF2"/>
    <w:rsid w:val="001434CF"/>
    <w:rsid w:val="00143599"/>
    <w:rsid w:val="001435FB"/>
    <w:rsid w:val="0014363F"/>
    <w:rsid w:val="0014378C"/>
    <w:rsid w:val="00143ABC"/>
    <w:rsid w:val="00143AC8"/>
    <w:rsid w:val="00143AD9"/>
    <w:rsid w:val="00143D66"/>
    <w:rsid w:val="00143EFC"/>
    <w:rsid w:val="00143F8C"/>
    <w:rsid w:val="00144063"/>
    <w:rsid w:val="00144086"/>
    <w:rsid w:val="001442F6"/>
    <w:rsid w:val="00144457"/>
    <w:rsid w:val="00144465"/>
    <w:rsid w:val="001444DE"/>
    <w:rsid w:val="00144571"/>
    <w:rsid w:val="001446AF"/>
    <w:rsid w:val="00144808"/>
    <w:rsid w:val="00144B23"/>
    <w:rsid w:val="00144CB7"/>
    <w:rsid w:val="00144F6C"/>
    <w:rsid w:val="00144FA3"/>
    <w:rsid w:val="0014504B"/>
    <w:rsid w:val="00145141"/>
    <w:rsid w:val="001451FF"/>
    <w:rsid w:val="001452B5"/>
    <w:rsid w:val="001452F4"/>
    <w:rsid w:val="001453FB"/>
    <w:rsid w:val="001454BF"/>
    <w:rsid w:val="001456CE"/>
    <w:rsid w:val="00145800"/>
    <w:rsid w:val="00145821"/>
    <w:rsid w:val="001458F3"/>
    <w:rsid w:val="0014590E"/>
    <w:rsid w:val="00145B77"/>
    <w:rsid w:val="00145BE9"/>
    <w:rsid w:val="00145C53"/>
    <w:rsid w:val="00145E2F"/>
    <w:rsid w:val="00146185"/>
    <w:rsid w:val="00146207"/>
    <w:rsid w:val="0014664E"/>
    <w:rsid w:val="001467C9"/>
    <w:rsid w:val="00146846"/>
    <w:rsid w:val="00146859"/>
    <w:rsid w:val="0014693A"/>
    <w:rsid w:val="00146AC9"/>
    <w:rsid w:val="00146BE1"/>
    <w:rsid w:val="00146C61"/>
    <w:rsid w:val="00146CF1"/>
    <w:rsid w:val="00146F15"/>
    <w:rsid w:val="00146F8B"/>
    <w:rsid w:val="001471C7"/>
    <w:rsid w:val="00147291"/>
    <w:rsid w:val="00147506"/>
    <w:rsid w:val="00147523"/>
    <w:rsid w:val="0014765E"/>
    <w:rsid w:val="00147696"/>
    <w:rsid w:val="001479CB"/>
    <w:rsid w:val="00147A60"/>
    <w:rsid w:val="00147D15"/>
    <w:rsid w:val="00147F72"/>
    <w:rsid w:val="00147FAB"/>
    <w:rsid w:val="00150146"/>
    <w:rsid w:val="00150242"/>
    <w:rsid w:val="001503A5"/>
    <w:rsid w:val="00150424"/>
    <w:rsid w:val="001507CE"/>
    <w:rsid w:val="001508C1"/>
    <w:rsid w:val="00150CC1"/>
    <w:rsid w:val="00150E54"/>
    <w:rsid w:val="00150FBA"/>
    <w:rsid w:val="001510BB"/>
    <w:rsid w:val="00151443"/>
    <w:rsid w:val="00151766"/>
    <w:rsid w:val="00151852"/>
    <w:rsid w:val="00151948"/>
    <w:rsid w:val="00151988"/>
    <w:rsid w:val="00151A81"/>
    <w:rsid w:val="00151AEF"/>
    <w:rsid w:val="00151B8D"/>
    <w:rsid w:val="00151C41"/>
    <w:rsid w:val="00151CDA"/>
    <w:rsid w:val="00151DA6"/>
    <w:rsid w:val="00151EF7"/>
    <w:rsid w:val="00151FA6"/>
    <w:rsid w:val="00152223"/>
    <w:rsid w:val="0015226F"/>
    <w:rsid w:val="001523FA"/>
    <w:rsid w:val="001524C2"/>
    <w:rsid w:val="00152624"/>
    <w:rsid w:val="001526AA"/>
    <w:rsid w:val="001528C8"/>
    <w:rsid w:val="00152A5D"/>
    <w:rsid w:val="00152C36"/>
    <w:rsid w:val="00152DA4"/>
    <w:rsid w:val="00152E1D"/>
    <w:rsid w:val="00152F1C"/>
    <w:rsid w:val="00152FDB"/>
    <w:rsid w:val="00153179"/>
    <w:rsid w:val="0015334F"/>
    <w:rsid w:val="00153374"/>
    <w:rsid w:val="00153723"/>
    <w:rsid w:val="00153893"/>
    <w:rsid w:val="00153E54"/>
    <w:rsid w:val="00153E83"/>
    <w:rsid w:val="00153F07"/>
    <w:rsid w:val="00154152"/>
    <w:rsid w:val="00154163"/>
    <w:rsid w:val="001542F2"/>
    <w:rsid w:val="00154683"/>
    <w:rsid w:val="00154900"/>
    <w:rsid w:val="00154A32"/>
    <w:rsid w:val="00154A8A"/>
    <w:rsid w:val="00154AC7"/>
    <w:rsid w:val="00154ADF"/>
    <w:rsid w:val="00154BA0"/>
    <w:rsid w:val="00154F36"/>
    <w:rsid w:val="00155054"/>
    <w:rsid w:val="0015509A"/>
    <w:rsid w:val="001553D1"/>
    <w:rsid w:val="001553FC"/>
    <w:rsid w:val="00155414"/>
    <w:rsid w:val="0015544D"/>
    <w:rsid w:val="001554FF"/>
    <w:rsid w:val="00155536"/>
    <w:rsid w:val="0015566C"/>
    <w:rsid w:val="001556E1"/>
    <w:rsid w:val="0015576F"/>
    <w:rsid w:val="00155779"/>
    <w:rsid w:val="001558B5"/>
    <w:rsid w:val="00155CBA"/>
    <w:rsid w:val="00155CDC"/>
    <w:rsid w:val="00155D45"/>
    <w:rsid w:val="00155DBE"/>
    <w:rsid w:val="00155DF5"/>
    <w:rsid w:val="00155E06"/>
    <w:rsid w:val="00155FB9"/>
    <w:rsid w:val="00156031"/>
    <w:rsid w:val="001560B2"/>
    <w:rsid w:val="001561D4"/>
    <w:rsid w:val="001561DD"/>
    <w:rsid w:val="00156345"/>
    <w:rsid w:val="001563BA"/>
    <w:rsid w:val="0015678F"/>
    <w:rsid w:val="001568C0"/>
    <w:rsid w:val="001568D8"/>
    <w:rsid w:val="00156939"/>
    <w:rsid w:val="00156ADD"/>
    <w:rsid w:val="00156E26"/>
    <w:rsid w:val="00156E67"/>
    <w:rsid w:val="00157140"/>
    <w:rsid w:val="00157163"/>
    <w:rsid w:val="001571B6"/>
    <w:rsid w:val="001573A6"/>
    <w:rsid w:val="00157424"/>
    <w:rsid w:val="001574F0"/>
    <w:rsid w:val="0015756D"/>
    <w:rsid w:val="0015765C"/>
    <w:rsid w:val="001577A6"/>
    <w:rsid w:val="001577F1"/>
    <w:rsid w:val="00157994"/>
    <w:rsid w:val="00157AE5"/>
    <w:rsid w:val="00157BAF"/>
    <w:rsid w:val="00157C63"/>
    <w:rsid w:val="00157EE1"/>
    <w:rsid w:val="00157F1D"/>
    <w:rsid w:val="00160166"/>
    <w:rsid w:val="00160184"/>
    <w:rsid w:val="00160372"/>
    <w:rsid w:val="0016037A"/>
    <w:rsid w:val="00160458"/>
    <w:rsid w:val="001604E4"/>
    <w:rsid w:val="00160506"/>
    <w:rsid w:val="00160540"/>
    <w:rsid w:val="00160624"/>
    <w:rsid w:val="00160935"/>
    <w:rsid w:val="00160B0C"/>
    <w:rsid w:val="00160BE8"/>
    <w:rsid w:val="00160C58"/>
    <w:rsid w:val="00160D0A"/>
    <w:rsid w:val="00160E5E"/>
    <w:rsid w:val="00160FF3"/>
    <w:rsid w:val="0016109C"/>
    <w:rsid w:val="0016133E"/>
    <w:rsid w:val="001614F4"/>
    <w:rsid w:val="00161504"/>
    <w:rsid w:val="001615E2"/>
    <w:rsid w:val="001618AA"/>
    <w:rsid w:val="00161A54"/>
    <w:rsid w:val="00161B7F"/>
    <w:rsid w:val="00161DB4"/>
    <w:rsid w:val="00161FD3"/>
    <w:rsid w:val="001620FB"/>
    <w:rsid w:val="00162133"/>
    <w:rsid w:val="001622DA"/>
    <w:rsid w:val="001623C4"/>
    <w:rsid w:val="00162462"/>
    <w:rsid w:val="001624EE"/>
    <w:rsid w:val="00162763"/>
    <w:rsid w:val="001627DE"/>
    <w:rsid w:val="001628B7"/>
    <w:rsid w:val="00162D50"/>
    <w:rsid w:val="00162E13"/>
    <w:rsid w:val="00162E79"/>
    <w:rsid w:val="00162F3E"/>
    <w:rsid w:val="00163055"/>
    <w:rsid w:val="00163394"/>
    <w:rsid w:val="001633C2"/>
    <w:rsid w:val="00163870"/>
    <w:rsid w:val="00163BCE"/>
    <w:rsid w:val="00163D92"/>
    <w:rsid w:val="00163FC0"/>
    <w:rsid w:val="001641C2"/>
    <w:rsid w:val="001642E7"/>
    <w:rsid w:val="0016434D"/>
    <w:rsid w:val="001643FB"/>
    <w:rsid w:val="00164414"/>
    <w:rsid w:val="00164447"/>
    <w:rsid w:val="0016450D"/>
    <w:rsid w:val="00164882"/>
    <w:rsid w:val="0016490C"/>
    <w:rsid w:val="0016495D"/>
    <w:rsid w:val="001649D2"/>
    <w:rsid w:val="00164D8C"/>
    <w:rsid w:val="00164EA4"/>
    <w:rsid w:val="00164F8A"/>
    <w:rsid w:val="00165082"/>
    <w:rsid w:val="0016509F"/>
    <w:rsid w:val="0016512B"/>
    <w:rsid w:val="0016519A"/>
    <w:rsid w:val="0016528D"/>
    <w:rsid w:val="001652EB"/>
    <w:rsid w:val="0016545A"/>
    <w:rsid w:val="001655C7"/>
    <w:rsid w:val="00165631"/>
    <w:rsid w:val="00165708"/>
    <w:rsid w:val="0016576C"/>
    <w:rsid w:val="001659FA"/>
    <w:rsid w:val="00165B9A"/>
    <w:rsid w:val="00165BC7"/>
    <w:rsid w:val="00165CC5"/>
    <w:rsid w:val="00165E02"/>
    <w:rsid w:val="00165E70"/>
    <w:rsid w:val="00165EC5"/>
    <w:rsid w:val="0016602F"/>
    <w:rsid w:val="00166107"/>
    <w:rsid w:val="00166194"/>
    <w:rsid w:val="00166271"/>
    <w:rsid w:val="0016632B"/>
    <w:rsid w:val="00166810"/>
    <w:rsid w:val="00166864"/>
    <w:rsid w:val="001668ED"/>
    <w:rsid w:val="00166CAE"/>
    <w:rsid w:val="00166DAD"/>
    <w:rsid w:val="00166EBE"/>
    <w:rsid w:val="001670A4"/>
    <w:rsid w:val="001670D2"/>
    <w:rsid w:val="00167155"/>
    <w:rsid w:val="00167580"/>
    <w:rsid w:val="001675FF"/>
    <w:rsid w:val="00167F41"/>
    <w:rsid w:val="0017002F"/>
    <w:rsid w:val="001700FF"/>
    <w:rsid w:val="00170348"/>
    <w:rsid w:val="001703B1"/>
    <w:rsid w:val="00170489"/>
    <w:rsid w:val="00170570"/>
    <w:rsid w:val="001705CD"/>
    <w:rsid w:val="00170B61"/>
    <w:rsid w:val="00170BAD"/>
    <w:rsid w:val="00170C45"/>
    <w:rsid w:val="00170E11"/>
    <w:rsid w:val="00170E41"/>
    <w:rsid w:val="00170F73"/>
    <w:rsid w:val="001712CC"/>
    <w:rsid w:val="00171344"/>
    <w:rsid w:val="001714E6"/>
    <w:rsid w:val="0017157E"/>
    <w:rsid w:val="00171831"/>
    <w:rsid w:val="001718D9"/>
    <w:rsid w:val="00171A26"/>
    <w:rsid w:val="00171C3A"/>
    <w:rsid w:val="00171C6D"/>
    <w:rsid w:val="00171CB6"/>
    <w:rsid w:val="00171DBE"/>
    <w:rsid w:val="00171FBA"/>
    <w:rsid w:val="00172284"/>
    <w:rsid w:val="0017229D"/>
    <w:rsid w:val="0017232A"/>
    <w:rsid w:val="0017238B"/>
    <w:rsid w:val="0017241D"/>
    <w:rsid w:val="001724E4"/>
    <w:rsid w:val="00172564"/>
    <w:rsid w:val="00172579"/>
    <w:rsid w:val="0017297F"/>
    <w:rsid w:val="00172A27"/>
    <w:rsid w:val="00172A75"/>
    <w:rsid w:val="00172AD8"/>
    <w:rsid w:val="00172B4C"/>
    <w:rsid w:val="00172D17"/>
    <w:rsid w:val="00172E61"/>
    <w:rsid w:val="0017301F"/>
    <w:rsid w:val="00173101"/>
    <w:rsid w:val="001731FE"/>
    <w:rsid w:val="00173307"/>
    <w:rsid w:val="001736C7"/>
    <w:rsid w:val="00173826"/>
    <w:rsid w:val="00173934"/>
    <w:rsid w:val="00173996"/>
    <w:rsid w:val="001739E7"/>
    <w:rsid w:val="00173A91"/>
    <w:rsid w:val="00173B35"/>
    <w:rsid w:val="00173CD3"/>
    <w:rsid w:val="00173EE0"/>
    <w:rsid w:val="00174180"/>
    <w:rsid w:val="0017433C"/>
    <w:rsid w:val="0017433E"/>
    <w:rsid w:val="001744C8"/>
    <w:rsid w:val="001747CE"/>
    <w:rsid w:val="00174817"/>
    <w:rsid w:val="00174A6D"/>
    <w:rsid w:val="00174BE7"/>
    <w:rsid w:val="00174DB2"/>
    <w:rsid w:val="00174E9F"/>
    <w:rsid w:val="00174FB3"/>
    <w:rsid w:val="00175315"/>
    <w:rsid w:val="00175358"/>
    <w:rsid w:val="00175531"/>
    <w:rsid w:val="001755F7"/>
    <w:rsid w:val="0017570F"/>
    <w:rsid w:val="001758F2"/>
    <w:rsid w:val="0017590A"/>
    <w:rsid w:val="00175965"/>
    <w:rsid w:val="00175ABD"/>
    <w:rsid w:val="00175C8D"/>
    <w:rsid w:val="00175EFB"/>
    <w:rsid w:val="00175F1E"/>
    <w:rsid w:val="00175F34"/>
    <w:rsid w:val="00175FD4"/>
    <w:rsid w:val="001760CF"/>
    <w:rsid w:val="00176206"/>
    <w:rsid w:val="00176274"/>
    <w:rsid w:val="001762E5"/>
    <w:rsid w:val="001762EE"/>
    <w:rsid w:val="0017652E"/>
    <w:rsid w:val="00176567"/>
    <w:rsid w:val="00176572"/>
    <w:rsid w:val="001765FD"/>
    <w:rsid w:val="00176614"/>
    <w:rsid w:val="001769D8"/>
    <w:rsid w:val="00176CE8"/>
    <w:rsid w:val="00176DDC"/>
    <w:rsid w:val="00177182"/>
    <w:rsid w:val="00177240"/>
    <w:rsid w:val="00177266"/>
    <w:rsid w:val="00177373"/>
    <w:rsid w:val="0017748A"/>
    <w:rsid w:val="001775D3"/>
    <w:rsid w:val="0017763B"/>
    <w:rsid w:val="0017766B"/>
    <w:rsid w:val="001778AF"/>
    <w:rsid w:val="001778B5"/>
    <w:rsid w:val="00177C5D"/>
    <w:rsid w:val="00177D58"/>
    <w:rsid w:val="00177F25"/>
    <w:rsid w:val="001802A6"/>
    <w:rsid w:val="001803A6"/>
    <w:rsid w:val="001805A6"/>
    <w:rsid w:val="001807C3"/>
    <w:rsid w:val="0018095E"/>
    <w:rsid w:val="001809CA"/>
    <w:rsid w:val="00180CD9"/>
    <w:rsid w:val="00180CE3"/>
    <w:rsid w:val="00180D60"/>
    <w:rsid w:val="00180E9B"/>
    <w:rsid w:val="00180F14"/>
    <w:rsid w:val="00180F39"/>
    <w:rsid w:val="00180F97"/>
    <w:rsid w:val="00181248"/>
    <w:rsid w:val="00181349"/>
    <w:rsid w:val="00181592"/>
    <w:rsid w:val="00181651"/>
    <w:rsid w:val="0018174C"/>
    <w:rsid w:val="00181889"/>
    <w:rsid w:val="00181929"/>
    <w:rsid w:val="00181A8F"/>
    <w:rsid w:val="00181AA7"/>
    <w:rsid w:val="00181BBA"/>
    <w:rsid w:val="00181F51"/>
    <w:rsid w:val="00181F58"/>
    <w:rsid w:val="00181FF4"/>
    <w:rsid w:val="0018218D"/>
    <w:rsid w:val="001821B9"/>
    <w:rsid w:val="001823B4"/>
    <w:rsid w:val="00182408"/>
    <w:rsid w:val="00182583"/>
    <w:rsid w:val="00182615"/>
    <w:rsid w:val="0018291A"/>
    <w:rsid w:val="00182992"/>
    <w:rsid w:val="00182A5A"/>
    <w:rsid w:val="00182B18"/>
    <w:rsid w:val="00182B36"/>
    <w:rsid w:val="00182BD4"/>
    <w:rsid w:val="00182C42"/>
    <w:rsid w:val="00182E0C"/>
    <w:rsid w:val="00182E1E"/>
    <w:rsid w:val="0018311D"/>
    <w:rsid w:val="00183247"/>
    <w:rsid w:val="00183342"/>
    <w:rsid w:val="001833DA"/>
    <w:rsid w:val="0018367F"/>
    <w:rsid w:val="00183691"/>
    <w:rsid w:val="00183786"/>
    <w:rsid w:val="001837C0"/>
    <w:rsid w:val="0018386F"/>
    <w:rsid w:val="001839B4"/>
    <w:rsid w:val="001839D7"/>
    <w:rsid w:val="00183A7C"/>
    <w:rsid w:val="00183C84"/>
    <w:rsid w:val="0018405F"/>
    <w:rsid w:val="001840EC"/>
    <w:rsid w:val="00184237"/>
    <w:rsid w:val="00184408"/>
    <w:rsid w:val="00184556"/>
    <w:rsid w:val="001848D7"/>
    <w:rsid w:val="00184ACA"/>
    <w:rsid w:val="00184AEF"/>
    <w:rsid w:val="00184B40"/>
    <w:rsid w:val="00184BA2"/>
    <w:rsid w:val="00184BC6"/>
    <w:rsid w:val="00184BCD"/>
    <w:rsid w:val="00184BF9"/>
    <w:rsid w:val="00184D3E"/>
    <w:rsid w:val="00184D80"/>
    <w:rsid w:val="00184DC9"/>
    <w:rsid w:val="00184F3E"/>
    <w:rsid w:val="0018504D"/>
    <w:rsid w:val="0018506D"/>
    <w:rsid w:val="0018516F"/>
    <w:rsid w:val="00185217"/>
    <w:rsid w:val="001852FF"/>
    <w:rsid w:val="0018546A"/>
    <w:rsid w:val="001854D8"/>
    <w:rsid w:val="001855D6"/>
    <w:rsid w:val="001857B2"/>
    <w:rsid w:val="001858F1"/>
    <w:rsid w:val="001858F7"/>
    <w:rsid w:val="00185993"/>
    <w:rsid w:val="00185AA4"/>
    <w:rsid w:val="00185C4E"/>
    <w:rsid w:val="00185DA2"/>
    <w:rsid w:val="00185DA6"/>
    <w:rsid w:val="00185E05"/>
    <w:rsid w:val="0018641D"/>
    <w:rsid w:val="00186460"/>
    <w:rsid w:val="00186648"/>
    <w:rsid w:val="0018671B"/>
    <w:rsid w:val="00186766"/>
    <w:rsid w:val="001868E9"/>
    <w:rsid w:val="0018696C"/>
    <w:rsid w:val="00186A6E"/>
    <w:rsid w:val="00186B14"/>
    <w:rsid w:val="00186B4D"/>
    <w:rsid w:val="00186B52"/>
    <w:rsid w:val="00186BF4"/>
    <w:rsid w:val="00186DBD"/>
    <w:rsid w:val="00186E94"/>
    <w:rsid w:val="00186EDF"/>
    <w:rsid w:val="00186F96"/>
    <w:rsid w:val="00186FA2"/>
    <w:rsid w:val="00187074"/>
    <w:rsid w:val="0018717F"/>
    <w:rsid w:val="0018724C"/>
    <w:rsid w:val="001876E6"/>
    <w:rsid w:val="00187849"/>
    <w:rsid w:val="0018795C"/>
    <w:rsid w:val="00187A5E"/>
    <w:rsid w:val="00187BC7"/>
    <w:rsid w:val="00187C0D"/>
    <w:rsid w:val="00187C71"/>
    <w:rsid w:val="00187D7E"/>
    <w:rsid w:val="00187EBF"/>
    <w:rsid w:val="00190137"/>
    <w:rsid w:val="0019027C"/>
    <w:rsid w:val="00190367"/>
    <w:rsid w:val="001903A9"/>
    <w:rsid w:val="001903F1"/>
    <w:rsid w:val="00190451"/>
    <w:rsid w:val="00190552"/>
    <w:rsid w:val="00190640"/>
    <w:rsid w:val="0019085A"/>
    <w:rsid w:val="0019098B"/>
    <w:rsid w:val="00190ACD"/>
    <w:rsid w:val="00190AE7"/>
    <w:rsid w:val="00190C28"/>
    <w:rsid w:val="00190C61"/>
    <w:rsid w:val="00190CBD"/>
    <w:rsid w:val="00190F54"/>
    <w:rsid w:val="00191311"/>
    <w:rsid w:val="00191388"/>
    <w:rsid w:val="0019147C"/>
    <w:rsid w:val="001917E2"/>
    <w:rsid w:val="001918E5"/>
    <w:rsid w:val="001918F6"/>
    <w:rsid w:val="00191908"/>
    <w:rsid w:val="00191BF6"/>
    <w:rsid w:val="00191CE9"/>
    <w:rsid w:val="00191D95"/>
    <w:rsid w:val="00191D9E"/>
    <w:rsid w:val="00191DEF"/>
    <w:rsid w:val="00192047"/>
    <w:rsid w:val="00192303"/>
    <w:rsid w:val="0019231F"/>
    <w:rsid w:val="00192525"/>
    <w:rsid w:val="0019253C"/>
    <w:rsid w:val="0019265E"/>
    <w:rsid w:val="0019279D"/>
    <w:rsid w:val="0019292E"/>
    <w:rsid w:val="001929B8"/>
    <w:rsid w:val="00192A26"/>
    <w:rsid w:val="00192B14"/>
    <w:rsid w:val="00192B7F"/>
    <w:rsid w:val="00192B9D"/>
    <w:rsid w:val="00192D16"/>
    <w:rsid w:val="00192EE2"/>
    <w:rsid w:val="00192EE5"/>
    <w:rsid w:val="0019306B"/>
    <w:rsid w:val="001930EC"/>
    <w:rsid w:val="00193182"/>
    <w:rsid w:val="0019332D"/>
    <w:rsid w:val="0019364F"/>
    <w:rsid w:val="001937AA"/>
    <w:rsid w:val="001939BD"/>
    <w:rsid w:val="00193A01"/>
    <w:rsid w:val="00193C1C"/>
    <w:rsid w:val="0019406C"/>
    <w:rsid w:val="001940BB"/>
    <w:rsid w:val="00194142"/>
    <w:rsid w:val="0019416A"/>
    <w:rsid w:val="00194171"/>
    <w:rsid w:val="00194333"/>
    <w:rsid w:val="00194421"/>
    <w:rsid w:val="0019443E"/>
    <w:rsid w:val="00194591"/>
    <w:rsid w:val="00194676"/>
    <w:rsid w:val="001948D6"/>
    <w:rsid w:val="00194A07"/>
    <w:rsid w:val="00194B03"/>
    <w:rsid w:val="00194C2F"/>
    <w:rsid w:val="00194C4F"/>
    <w:rsid w:val="00194D9C"/>
    <w:rsid w:val="00194DF8"/>
    <w:rsid w:val="00194E98"/>
    <w:rsid w:val="001950C0"/>
    <w:rsid w:val="0019522A"/>
    <w:rsid w:val="001954DA"/>
    <w:rsid w:val="00195516"/>
    <w:rsid w:val="00195554"/>
    <w:rsid w:val="001957AF"/>
    <w:rsid w:val="001958C2"/>
    <w:rsid w:val="00195917"/>
    <w:rsid w:val="00195922"/>
    <w:rsid w:val="0019598C"/>
    <w:rsid w:val="00195B89"/>
    <w:rsid w:val="00195C75"/>
    <w:rsid w:val="001961ED"/>
    <w:rsid w:val="0019631B"/>
    <w:rsid w:val="00196404"/>
    <w:rsid w:val="0019657C"/>
    <w:rsid w:val="001965E7"/>
    <w:rsid w:val="00196658"/>
    <w:rsid w:val="001967B7"/>
    <w:rsid w:val="0019694A"/>
    <w:rsid w:val="00196961"/>
    <w:rsid w:val="00196AD6"/>
    <w:rsid w:val="00196B0B"/>
    <w:rsid w:val="00196B58"/>
    <w:rsid w:val="00196B9F"/>
    <w:rsid w:val="00196E58"/>
    <w:rsid w:val="00196F33"/>
    <w:rsid w:val="00197174"/>
    <w:rsid w:val="0019725F"/>
    <w:rsid w:val="001972A5"/>
    <w:rsid w:val="00197658"/>
    <w:rsid w:val="00197708"/>
    <w:rsid w:val="00197CFE"/>
    <w:rsid w:val="00197F20"/>
    <w:rsid w:val="001A00BD"/>
    <w:rsid w:val="001A00ED"/>
    <w:rsid w:val="001A019C"/>
    <w:rsid w:val="001A01A5"/>
    <w:rsid w:val="001A01F6"/>
    <w:rsid w:val="001A0208"/>
    <w:rsid w:val="001A0674"/>
    <w:rsid w:val="001A0699"/>
    <w:rsid w:val="001A08BA"/>
    <w:rsid w:val="001A09AC"/>
    <w:rsid w:val="001A09B2"/>
    <w:rsid w:val="001A0AE4"/>
    <w:rsid w:val="001A0D55"/>
    <w:rsid w:val="001A0E59"/>
    <w:rsid w:val="001A0F0D"/>
    <w:rsid w:val="001A0F83"/>
    <w:rsid w:val="001A1079"/>
    <w:rsid w:val="001A113D"/>
    <w:rsid w:val="001A136B"/>
    <w:rsid w:val="001A13D9"/>
    <w:rsid w:val="001A1486"/>
    <w:rsid w:val="001A150E"/>
    <w:rsid w:val="001A15A3"/>
    <w:rsid w:val="001A15C2"/>
    <w:rsid w:val="001A1600"/>
    <w:rsid w:val="001A160B"/>
    <w:rsid w:val="001A16A9"/>
    <w:rsid w:val="001A16F3"/>
    <w:rsid w:val="001A178E"/>
    <w:rsid w:val="001A1A9F"/>
    <w:rsid w:val="001A1D6D"/>
    <w:rsid w:val="001A2037"/>
    <w:rsid w:val="001A204E"/>
    <w:rsid w:val="001A21E3"/>
    <w:rsid w:val="001A2352"/>
    <w:rsid w:val="001A25A2"/>
    <w:rsid w:val="001A25E7"/>
    <w:rsid w:val="001A26B7"/>
    <w:rsid w:val="001A26C8"/>
    <w:rsid w:val="001A2714"/>
    <w:rsid w:val="001A279B"/>
    <w:rsid w:val="001A27A2"/>
    <w:rsid w:val="001A2B4A"/>
    <w:rsid w:val="001A2FA6"/>
    <w:rsid w:val="001A311E"/>
    <w:rsid w:val="001A3189"/>
    <w:rsid w:val="001A31A7"/>
    <w:rsid w:val="001A3274"/>
    <w:rsid w:val="001A3420"/>
    <w:rsid w:val="001A350C"/>
    <w:rsid w:val="001A358C"/>
    <w:rsid w:val="001A3648"/>
    <w:rsid w:val="001A36A8"/>
    <w:rsid w:val="001A36BC"/>
    <w:rsid w:val="001A372F"/>
    <w:rsid w:val="001A3A5E"/>
    <w:rsid w:val="001A3ABE"/>
    <w:rsid w:val="001A3AD6"/>
    <w:rsid w:val="001A3B74"/>
    <w:rsid w:val="001A3B89"/>
    <w:rsid w:val="001A3C8C"/>
    <w:rsid w:val="001A3C9A"/>
    <w:rsid w:val="001A3D9F"/>
    <w:rsid w:val="001A3EE4"/>
    <w:rsid w:val="001A3EE9"/>
    <w:rsid w:val="001A3F2D"/>
    <w:rsid w:val="001A3FD2"/>
    <w:rsid w:val="001A4058"/>
    <w:rsid w:val="001A40B4"/>
    <w:rsid w:val="001A4220"/>
    <w:rsid w:val="001A4546"/>
    <w:rsid w:val="001A4736"/>
    <w:rsid w:val="001A47DC"/>
    <w:rsid w:val="001A482F"/>
    <w:rsid w:val="001A4B74"/>
    <w:rsid w:val="001A4BB8"/>
    <w:rsid w:val="001A4BEF"/>
    <w:rsid w:val="001A4EB4"/>
    <w:rsid w:val="001A4FE0"/>
    <w:rsid w:val="001A50C6"/>
    <w:rsid w:val="001A515C"/>
    <w:rsid w:val="001A51BE"/>
    <w:rsid w:val="001A5206"/>
    <w:rsid w:val="001A5399"/>
    <w:rsid w:val="001A53DA"/>
    <w:rsid w:val="001A5593"/>
    <w:rsid w:val="001A5647"/>
    <w:rsid w:val="001A56CA"/>
    <w:rsid w:val="001A5745"/>
    <w:rsid w:val="001A58B4"/>
    <w:rsid w:val="001A58DD"/>
    <w:rsid w:val="001A5A35"/>
    <w:rsid w:val="001A5BE5"/>
    <w:rsid w:val="001A5C88"/>
    <w:rsid w:val="001A5CDA"/>
    <w:rsid w:val="001A5DC3"/>
    <w:rsid w:val="001A6128"/>
    <w:rsid w:val="001A6196"/>
    <w:rsid w:val="001A61F4"/>
    <w:rsid w:val="001A62FD"/>
    <w:rsid w:val="001A642C"/>
    <w:rsid w:val="001A660E"/>
    <w:rsid w:val="001A66E1"/>
    <w:rsid w:val="001A6950"/>
    <w:rsid w:val="001A6957"/>
    <w:rsid w:val="001A6C61"/>
    <w:rsid w:val="001A6C71"/>
    <w:rsid w:val="001A6C9F"/>
    <w:rsid w:val="001A6CBD"/>
    <w:rsid w:val="001A6D70"/>
    <w:rsid w:val="001A6E8A"/>
    <w:rsid w:val="001A704C"/>
    <w:rsid w:val="001A775D"/>
    <w:rsid w:val="001A7765"/>
    <w:rsid w:val="001A78D9"/>
    <w:rsid w:val="001A7C9C"/>
    <w:rsid w:val="001A7D54"/>
    <w:rsid w:val="001A7DEC"/>
    <w:rsid w:val="001A7E99"/>
    <w:rsid w:val="001A7EA4"/>
    <w:rsid w:val="001A7ED0"/>
    <w:rsid w:val="001A7F36"/>
    <w:rsid w:val="001A7F69"/>
    <w:rsid w:val="001A7F95"/>
    <w:rsid w:val="001A7FA5"/>
    <w:rsid w:val="001B0011"/>
    <w:rsid w:val="001B0234"/>
    <w:rsid w:val="001B033A"/>
    <w:rsid w:val="001B0559"/>
    <w:rsid w:val="001B08FE"/>
    <w:rsid w:val="001B099F"/>
    <w:rsid w:val="001B0A6A"/>
    <w:rsid w:val="001B0ABD"/>
    <w:rsid w:val="001B0B49"/>
    <w:rsid w:val="001B0B87"/>
    <w:rsid w:val="001B0C90"/>
    <w:rsid w:val="001B0D65"/>
    <w:rsid w:val="001B0F35"/>
    <w:rsid w:val="001B1086"/>
    <w:rsid w:val="001B12AA"/>
    <w:rsid w:val="001B12E1"/>
    <w:rsid w:val="001B139F"/>
    <w:rsid w:val="001B14F2"/>
    <w:rsid w:val="001B14FC"/>
    <w:rsid w:val="001B15FD"/>
    <w:rsid w:val="001B1966"/>
    <w:rsid w:val="001B1B08"/>
    <w:rsid w:val="001B1B0E"/>
    <w:rsid w:val="001B1B86"/>
    <w:rsid w:val="001B1D72"/>
    <w:rsid w:val="001B1E2E"/>
    <w:rsid w:val="001B1FEB"/>
    <w:rsid w:val="001B2056"/>
    <w:rsid w:val="001B2195"/>
    <w:rsid w:val="001B21F5"/>
    <w:rsid w:val="001B22A5"/>
    <w:rsid w:val="001B22CF"/>
    <w:rsid w:val="001B254A"/>
    <w:rsid w:val="001B25D7"/>
    <w:rsid w:val="001B275D"/>
    <w:rsid w:val="001B2910"/>
    <w:rsid w:val="001B2920"/>
    <w:rsid w:val="001B2922"/>
    <w:rsid w:val="001B2B0E"/>
    <w:rsid w:val="001B2E20"/>
    <w:rsid w:val="001B2E3A"/>
    <w:rsid w:val="001B2E3B"/>
    <w:rsid w:val="001B2E70"/>
    <w:rsid w:val="001B2FB4"/>
    <w:rsid w:val="001B33B1"/>
    <w:rsid w:val="001B3597"/>
    <w:rsid w:val="001B35E9"/>
    <w:rsid w:val="001B3619"/>
    <w:rsid w:val="001B364F"/>
    <w:rsid w:val="001B36CE"/>
    <w:rsid w:val="001B37AC"/>
    <w:rsid w:val="001B37FF"/>
    <w:rsid w:val="001B3B8A"/>
    <w:rsid w:val="001B3E37"/>
    <w:rsid w:val="001B3E46"/>
    <w:rsid w:val="001B3E70"/>
    <w:rsid w:val="001B3ECD"/>
    <w:rsid w:val="001B3FB4"/>
    <w:rsid w:val="001B437D"/>
    <w:rsid w:val="001B450D"/>
    <w:rsid w:val="001B451F"/>
    <w:rsid w:val="001B4596"/>
    <w:rsid w:val="001B45A2"/>
    <w:rsid w:val="001B46EA"/>
    <w:rsid w:val="001B4923"/>
    <w:rsid w:val="001B497F"/>
    <w:rsid w:val="001B4AC6"/>
    <w:rsid w:val="001B4CBC"/>
    <w:rsid w:val="001B4EE2"/>
    <w:rsid w:val="001B4FDC"/>
    <w:rsid w:val="001B5087"/>
    <w:rsid w:val="001B50B4"/>
    <w:rsid w:val="001B518E"/>
    <w:rsid w:val="001B51C1"/>
    <w:rsid w:val="001B530F"/>
    <w:rsid w:val="001B5315"/>
    <w:rsid w:val="001B5490"/>
    <w:rsid w:val="001B5684"/>
    <w:rsid w:val="001B56A9"/>
    <w:rsid w:val="001B56F3"/>
    <w:rsid w:val="001B583A"/>
    <w:rsid w:val="001B58A9"/>
    <w:rsid w:val="001B593B"/>
    <w:rsid w:val="001B5A1D"/>
    <w:rsid w:val="001B5BD3"/>
    <w:rsid w:val="001B5F62"/>
    <w:rsid w:val="001B602B"/>
    <w:rsid w:val="001B60BE"/>
    <w:rsid w:val="001B613D"/>
    <w:rsid w:val="001B62C4"/>
    <w:rsid w:val="001B6388"/>
    <w:rsid w:val="001B6471"/>
    <w:rsid w:val="001B64FE"/>
    <w:rsid w:val="001B662A"/>
    <w:rsid w:val="001B66A1"/>
    <w:rsid w:val="001B66FF"/>
    <w:rsid w:val="001B68D5"/>
    <w:rsid w:val="001B68F4"/>
    <w:rsid w:val="001B693F"/>
    <w:rsid w:val="001B6A3E"/>
    <w:rsid w:val="001B6E73"/>
    <w:rsid w:val="001B6EF0"/>
    <w:rsid w:val="001B6F08"/>
    <w:rsid w:val="001B6F4C"/>
    <w:rsid w:val="001B7048"/>
    <w:rsid w:val="001B70C4"/>
    <w:rsid w:val="001B715A"/>
    <w:rsid w:val="001B732A"/>
    <w:rsid w:val="001B740B"/>
    <w:rsid w:val="001B7568"/>
    <w:rsid w:val="001B7583"/>
    <w:rsid w:val="001B7662"/>
    <w:rsid w:val="001B76AF"/>
    <w:rsid w:val="001B7737"/>
    <w:rsid w:val="001B777C"/>
    <w:rsid w:val="001B781D"/>
    <w:rsid w:val="001B785F"/>
    <w:rsid w:val="001B799E"/>
    <w:rsid w:val="001B7AA8"/>
    <w:rsid w:val="001B7DA2"/>
    <w:rsid w:val="001B7E08"/>
    <w:rsid w:val="001B7ECB"/>
    <w:rsid w:val="001C000C"/>
    <w:rsid w:val="001C0124"/>
    <w:rsid w:val="001C029F"/>
    <w:rsid w:val="001C049A"/>
    <w:rsid w:val="001C05C9"/>
    <w:rsid w:val="001C062F"/>
    <w:rsid w:val="001C08AC"/>
    <w:rsid w:val="001C0A48"/>
    <w:rsid w:val="001C0AB1"/>
    <w:rsid w:val="001C0ABF"/>
    <w:rsid w:val="001C0B67"/>
    <w:rsid w:val="001C0B80"/>
    <w:rsid w:val="001C0B9B"/>
    <w:rsid w:val="001C0DBA"/>
    <w:rsid w:val="001C0F43"/>
    <w:rsid w:val="001C0F69"/>
    <w:rsid w:val="001C1052"/>
    <w:rsid w:val="001C1226"/>
    <w:rsid w:val="001C12F6"/>
    <w:rsid w:val="001C13A8"/>
    <w:rsid w:val="001C141B"/>
    <w:rsid w:val="001C15B9"/>
    <w:rsid w:val="001C162B"/>
    <w:rsid w:val="001C1811"/>
    <w:rsid w:val="001C1845"/>
    <w:rsid w:val="001C1962"/>
    <w:rsid w:val="001C1AF0"/>
    <w:rsid w:val="001C1AFB"/>
    <w:rsid w:val="001C1CDB"/>
    <w:rsid w:val="001C1D6E"/>
    <w:rsid w:val="001C1E0E"/>
    <w:rsid w:val="001C201E"/>
    <w:rsid w:val="001C20C3"/>
    <w:rsid w:val="001C24C3"/>
    <w:rsid w:val="001C24F2"/>
    <w:rsid w:val="001C26EF"/>
    <w:rsid w:val="001C28AD"/>
    <w:rsid w:val="001C2A39"/>
    <w:rsid w:val="001C2B9E"/>
    <w:rsid w:val="001C2EDD"/>
    <w:rsid w:val="001C3237"/>
    <w:rsid w:val="001C34E4"/>
    <w:rsid w:val="001C3703"/>
    <w:rsid w:val="001C372C"/>
    <w:rsid w:val="001C3B18"/>
    <w:rsid w:val="001C3B40"/>
    <w:rsid w:val="001C3C18"/>
    <w:rsid w:val="001C3DEE"/>
    <w:rsid w:val="001C3E56"/>
    <w:rsid w:val="001C3E86"/>
    <w:rsid w:val="001C3FDF"/>
    <w:rsid w:val="001C4083"/>
    <w:rsid w:val="001C4232"/>
    <w:rsid w:val="001C4263"/>
    <w:rsid w:val="001C433C"/>
    <w:rsid w:val="001C46D4"/>
    <w:rsid w:val="001C48A0"/>
    <w:rsid w:val="001C4958"/>
    <w:rsid w:val="001C49EF"/>
    <w:rsid w:val="001C49F4"/>
    <w:rsid w:val="001C4A3F"/>
    <w:rsid w:val="001C4A92"/>
    <w:rsid w:val="001C4B79"/>
    <w:rsid w:val="001C4CBA"/>
    <w:rsid w:val="001C4FED"/>
    <w:rsid w:val="001C5394"/>
    <w:rsid w:val="001C53F0"/>
    <w:rsid w:val="001C5629"/>
    <w:rsid w:val="001C563A"/>
    <w:rsid w:val="001C57D2"/>
    <w:rsid w:val="001C5953"/>
    <w:rsid w:val="001C59A0"/>
    <w:rsid w:val="001C59E5"/>
    <w:rsid w:val="001C5C11"/>
    <w:rsid w:val="001C5D61"/>
    <w:rsid w:val="001C5E06"/>
    <w:rsid w:val="001C5E4A"/>
    <w:rsid w:val="001C5FD9"/>
    <w:rsid w:val="001C6238"/>
    <w:rsid w:val="001C64A1"/>
    <w:rsid w:val="001C65C6"/>
    <w:rsid w:val="001C6680"/>
    <w:rsid w:val="001C66F4"/>
    <w:rsid w:val="001C670C"/>
    <w:rsid w:val="001C6989"/>
    <w:rsid w:val="001C6CE7"/>
    <w:rsid w:val="001C6F25"/>
    <w:rsid w:val="001C6FC5"/>
    <w:rsid w:val="001C7037"/>
    <w:rsid w:val="001C7197"/>
    <w:rsid w:val="001C7213"/>
    <w:rsid w:val="001C7343"/>
    <w:rsid w:val="001C761B"/>
    <w:rsid w:val="001C769A"/>
    <w:rsid w:val="001C786E"/>
    <w:rsid w:val="001C7F58"/>
    <w:rsid w:val="001C7F8C"/>
    <w:rsid w:val="001D0045"/>
    <w:rsid w:val="001D023F"/>
    <w:rsid w:val="001D0430"/>
    <w:rsid w:val="001D0483"/>
    <w:rsid w:val="001D0520"/>
    <w:rsid w:val="001D0984"/>
    <w:rsid w:val="001D09AB"/>
    <w:rsid w:val="001D0A23"/>
    <w:rsid w:val="001D0EAD"/>
    <w:rsid w:val="001D0ECB"/>
    <w:rsid w:val="001D1272"/>
    <w:rsid w:val="001D12F2"/>
    <w:rsid w:val="001D1327"/>
    <w:rsid w:val="001D1375"/>
    <w:rsid w:val="001D143F"/>
    <w:rsid w:val="001D158B"/>
    <w:rsid w:val="001D159F"/>
    <w:rsid w:val="001D15C3"/>
    <w:rsid w:val="001D15F4"/>
    <w:rsid w:val="001D1681"/>
    <w:rsid w:val="001D1698"/>
    <w:rsid w:val="001D1740"/>
    <w:rsid w:val="001D17D8"/>
    <w:rsid w:val="001D1A35"/>
    <w:rsid w:val="001D1A84"/>
    <w:rsid w:val="001D1C6A"/>
    <w:rsid w:val="001D1D74"/>
    <w:rsid w:val="001D1FE6"/>
    <w:rsid w:val="001D210A"/>
    <w:rsid w:val="001D213C"/>
    <w:rsid w:val="001D2233"/>
    <w:rsid w:val="001D227F"/>
    <w:rsid w:val="001D232A"/>
    <w:rsid w:val="001D23F3"/>
    <w:rsid w:val="001D246B"/>
    <w:rsid w:val="001D2616"/>
    <w:rsid w:val="001D2632"/>
    <w:rsid w:val="001D2814"/>
    <w:rsid w:val="001D2AD7"/>
    <w:rsid w:val="001D2BF6"/>
    <w:rsid w:val="001D2D2A"/>
    <w:rsid w:val="001D2D4F"/>
    <w:rsid w:val="001D2DBF"/>
    <w:rsid w:val="001D2F1B"/>
    <w:rsid w:val="001D339E"/>
    <w:rsid w:val="001D33C8"/>
    <w:rsid w:val="001D350A"/>
    <w:rsid w:val="001D36D5"/>
    <w:rsid w:val="001D36F0"/>
    <w:rsid w:val="001D3856"/>
    <w:rsid w:val="001D38CE"/>
    <w:rsid w:val="001D391A"/>
    <w:rsid w:val="001D394A"/>
    <w:rsid w:val="001D39B4"/>
    <w:rsid w:val="001D39EE"/>
    <w:rsid w:val="001D3B27"/>
    <w:rsid w:val="001D3E77"/>
    <w:rsid w:val="001D40E0"/>
    <w:rsid w:val="001D41F7"/>
    <w:rsid w:val="001D436D"/>
    <w:rsid w:val="001D45A6"/>
    <w:rsid w:val="001D474F"/>
    <w:rsid w:val="001D47D9"/>
    <w:rsid w:val="001D4813"/>
    <w:rsid w:val="001D4AAE"/>
    <w:rsid w:val="001D4AF0"/>
    <w:rsid w:val="001D4AFD"/>
    <w:rsid w:val="001D4BB3"/>
    <w:rsid w:val="001D4BFA"/>
    <w:rsid w:val="001D4CED"/>
    <w:rsid w:val="001D4E52"/>
    <w:rsid w:val="001D4FF5"/>
    <w:rsid w:val="001D5254"/>
    <w:rsid w:val="001D535F"/>
    <w:rsid w:val="001D5391"/>
    <w:rsid w:val="001D5426"/>
    <w:rsid w:val="001D5456"/>
    <w:rsid w:val="001D54F8"/>
    <w:rsid w:val="001D5612"/>
    <w:rsid w:val="001D5634"/>
    <w:rsid w:val="001D567A"/>
    <w:rsid w:val="001D57A0"/>
    <w:rsid w:val="001D586C"/>
    <w:rsid w:val="001D5978"/>
    <w:rsid w:val="001D59A9"/>
    <w:rsid w:val="001D59F7"/>
    <w:rsid w:val="001D6200"/>
    <w:rsid w:val="001D6259"/>
    <w:rsid w:val="001D62C7"/>
    <w:rsid w:val="001D6333"/>
    <w:rsid w:val="001D6336"/>
    <w:rsid w:val="001D65AE"/>
    <w:rsid w:val="001D6BEC"/>
    <w:rsid w:val="001D6EAF"/>
    <w:rsid w:val="001D7964"/>
    <w:rsid w:val="001D79B7"/>
    <w:rsid w:val="001D79E7"/>
    <w:rsid w:val="001D7CCF"/>
    <w:rsid w:val="001D7DB3"/>
    <w:rsid w:val="001D7E81"/>
    <w:rsid w:val="001D7EA8"/>
    <w:rsid w:val="001E00A8"/>
    <w:rsid w:val="001E00E8"/>
    <w:rsid w:val="001E0128"/>
    <w:rsid w:val="001E0342"/>
    <w:rsid w:val="001E03A5"/>
    <w:rsid w:val="001E0A54"/>
    <w:rsid w:val="001E0BE8"/>
    <w:rsid w:val="001E0C6C"/>
    <w:rsid w:val="001E0CC0"/>
    <w:rsid w:val="001E0CE4"/>
    <w:rsid w:val="001E0DC0"/>
    <w:rsid w:val="001E0E1A"/>
    <w:rsid w:val="001E0F10"/>
    <w:rsid w:val="001E104F"/>
    <w:rsid w:val="001E10F7"/>
    <w:rsid w:val="001E1286"/>
    <w:rsid w:val="001E1780"/>
    <w:rsid w:val="001E18AD"/>
    <w:rsid w:val="001E1953"/>
    <w:rsid w:val="001E1BF4"/>
    <w:rsid w:val="001E1C10"/>
    <w:rsid w:val="001E1CEE"/>
    <w:rsid w:val="001E1F0A"/>
    <w:rsid w:val="001E210F"/>
    <w:rsid w:val="001E21B1"/>
    <w:rsid w:val="001E2205"/>
    <w:rsid w:val="001E2251"/>
    <w:rsid w:val="001E2275"/>
    <w:rsid w:val="001E2347"/>
    <w:rsid w:val="001E2621"/>
    <w:rsid w:val="001E26CD"/>
    <w:rsid w:val="001E2923"/>
    <w:rsid w:val="001E2AB6"/>
    <w:rsid w:val="001E2BA4"/>
    <w:rsid w:val="001E2BE2"/>
    <w:rsid w:val="001E2D57"/>
    <w:rsid w:val="001E2DBD"/>
    <w:rsid w:val="001E306D"/>
    <w:rsid w:val="001E317F"/>
    <w:rsid w:val="001E32DA"/>
    <w:rsid w:val="001E3320"/>
    <w:rsid w:val="001E336A"/>
    <w:rsid w:val="001E3400"/>
    <w:rsid w:val="001E34B9"/>
    <w:rsid w:val="001E35BC"/>
    <w:rsid w:val="001E37B7"/>
    <w:rsid w:val="001E37CC"/>
    <w:rsid w:val="001E383D"/>
    <w:rsid w:val="001E3BC3"/>
    <w:rsid w:val="001E3C79"/>
    <w:rsid w:val="001E3EAA"/>
    <w:rsid w:val="001E3EEB"/>
    <w:rsid w:val="001E3FA4"/>
    <w:rsid w:val="001E4069"/>
    <w:rsid w:val="001E40D3"/>
    <w:rsid w:val="001E423D"/>
    <w:rsid w:val="001E43FC"/>
    <w:rsid w:val="001E44D4"/>
    <w:rsid w:val="001E4658"/>
    <w:rsid w:val="001E469A"/>
    <w:rsid w:val="001E46A4"/>
    <w:rsid w:val="001E4741"/>
    <w:rsid w:val="001E4940"/>
    <w:rsid w:val="001E4969"/>
    <w:rsid w:val="001E4AB6"/>
    <w:rsid w:val="001E4E03"/>
    <w:rsid w:val="001E4EA6"/>
    <w:rsid w:val="001E4ED8"/>
    <w:rsid w:val="001E4EE9"/>
    <w:rsid w:val="001E4F42"/>
    <w:rsid w:val="001E4FF2"/>
    <w:rsid w:val="001E5111"/>
    <w:rsid w:val="001E5196"/>
    <w:rsid w:val="001E51BB"/>
    <w:rsid w:val="001E53EB"/>
    <w:rsid w:val="001E5451"/>
    <w:rsid w:val="001E578C"/>
    <w:rsid w:val="001E5879"/>
    <w:rsid w:val="001E5926"/>
    <w:rsid w:val="001E59F3"/>
    <w:rsid w:val="001E5BD5"/>
    <w:rsid w:val="001E5C15"/>
    <w:rsid w:val="001E5CDE"/>
    <w:rsid w:val="001E5CEE"/>
    <w:rsid w:val="001E5DF6"/>
    <w:rsid w:val="001E5F4B"/>
    <w:rsid w:val="001E61B2"/>
    <w:rsid w:val="001E62BC"/>
    <w:rsid w:val="001E6378"/>
    <w:rsid w:val="001E63EA"/>
    <w:rsid w:val="001E64FE"/>
    <w:rsid w:val="001E6675"/>
    <w:rsid w:val="001E66AE"/>
    <w:rsid w:val="001E681F"/>
    <w:rsid w:val="001E6B61"/>
    <w:rsid w:val="001E6B9A"/>
    <w:rsid w:val="001E6BB3"/>
    <w:rsid w:val="001E6BFC"/>
    <w:rsid w:val="001E6CC2"/>
    <w:rsid w:val="001E6CE1"/>
    <w:rsid w:val="001E6E38"/>
    <w:rsid w:val="001E6F90"/>
    <w:rsid w:val="001E70E3"/>
    <w:rsid w:val="001E720E"/>
    <w:rsid w:val="001E7291"/>
    <w:rsid w:val="001E72CD"/>
    <w:rsid w:val="001E7311"/>
    <w:rsid w:val="001E7412"/>
    <w:rsid w:val="001E7508"/>
    <w:rsid w:val="001E751E"/>
    <w:rsid w:val="001E764E"/>
    <w:rsid w:val="001E7702"/>
    <w:rsid w:val="001E7C64"/>
    <w:rsid w:val="001E7C97"/>
    <w:rsid w:val="001E7CA3"/>
    <w:rsid w:val="001E7CFE"/>
    <w:rsid w:val="001E7E4D"/>
    <w:rsid w:val="001E7E7F"/>
    <w:rsid w:val="001F0065"/>
    <w:rsid w:val="001F0134"/>
    <w:rsid w:val="001F02AB"/>
    <w:rsid w:val="001F03FB"/>
    <w:rsid w:val="001F056D"/>
    <w:rsid w:val="001F0649"/>
    <w:rsid w:val="001F06FA"/>
    <w:rsid w:val="001F0786"/>
    <w:rsid w:val="001F08D5"/>
    <w:rsid w:val="001F094C"/>
    <w:rsid w:val="001F0965"/>
    <w:rsid w:val="001F098A"/>
    <w:rsid w:val="001F0A0E"/>
    <w:rsid w:val="001F0A80"/>
    <w:rsid w:val="001F0CA1"/>
    <w:rsid w:val="001F0D25"/>
    <w:rsid w:val="001F0DDE"/>
    <w:rsid w:val="001F0E44"/>
    <w:rsid w:val="001F0F33"/>
    <w:rsid w:val="001F0F85"/>
    <w:rsid w:val="001F1026"/>
    <w:rsid w:val="001F1283"/>
    <w:rsid w:val="001F12EC"/>
    <w:rsid w:val="001F13BC"/>
    <w:rsid w:val="001F144C"/>
    <w:rsid w:val="001F1600"/>
    <w:rsid w:val="001F1769"/>
    <w:rsid w:val="001F1788"/>
    <w:rsid w:val="001F19C4"/>
    <w:rsid w:val="001F19F6"/>
    <w:rsid w:val="001F1AB8"/>
    <w:rsid w:val="001F1B96"/>
    <w:rsid w:val="001F1C2A"/>
    <w:rsid w:val="001F1CC5"/>
    <w:rsid w:val="001F1CCD"/>
    <w:rsid w:val="001F1EB2"/>
    <w:rsid w:val="001F1F2F"/>
    <w:rsid w:val="001F2143"/>
    <w:rsid w:val="001F2150"/>
    <w:rsid w:val="001F2257"/>
    <w:rsid w:val="001F23C6"/>
    <w:rsid w:val="001F278C"/>
    <w:rsid w:val="001F2925"/>
    <w:rsid w:val="001F2D47"/>
    <w:rsid w:val="001F2E47"/>
    <w:rsid w:val="001F2EDE"/>
    <w:rsid w:val="001F2EF9"/>
    <w:rsid w:val="001F313F"/>
    <w:rsid w:val="001F3214"/>
    <w:rsid w:val="001F3292"/>
    <w:rsid w:val="001F3295"/>
    <w:rsid w:val="001F3557"/>
    <w:rsid w:val="001F3574"/>
    <w:rsid w:val="001F3A61"/>
    <w:rsid w:val="001F3AA2"/>
    <w:rsid w:val="001F3C7C"/>
    <w:rsid w:val="001F3CFF"/>
    <w:rsid w:val="001F3DA9"/>
    <w:rsid w:val="001F4095"/>
    <w:rsid w:val="001F42F7"/>
    <w:rsid w:val="001F4375"/>
    <w:rsid w:val="001F489E"/>
    <w:rsid w:val="001F4905"/>
    <w:rsid w:val="001F49CC"/>
    <w:rsid w:val="001F4C2A"/>
    <w:rsid w:val="001F4C67"/>
    <w:rsid w:val="001F4CA0"/>
    <w:rsid w:val="001F4F48"/>
    <w:rsid w:val="001F5256"/>
    <w:rsid w:val="001F526D"/>
    <w:rsid w:val="001F5270"/>
    <w:rsid w:val="001F56EB"/>
    <w:rsid w:val="001F57EF"/>
    <w:rsid w:val="001F5804"/>
    <w:rsid w:val="001F5879"/>
    <w:rsid w:val="001F588C"/>
    <w:rsid w:val="001F591C"/>
    <w:rsid w:val="001F5AC4"/>
    <w:rsid w:val="001F5AD8"/>
    <w:rsid w:val="001F5E74"/>
    <w:rsid w:val="001F5F70"/>
    <w:rsid w:val="001F5F95"/>
    <w:rsid w:val="001F623D"/>
    <w:rsid w:val="001F6241"/>
    <w:rsid w:val="001F62FF"/>
    <w:rsid w:val="001F6368"/>
    <w:rsid w:val="001F640E"/>
    <w:rsid w:val="001F664B"/>
    <w:rsid w:val="001F66D3"/>
    <w:rsid w:val="001F6747"/>
    <w:rsid w:val="001F6B6C"/>
    <w:rsid w:val="001F6C21"/>
    <w:rsid w:val="001F6D78"/>
    <w:rsid w:val="001F6DFC"/>
    <w:rsid w:val="001F6E1B"/>
    <w:rsid w:val="001F7059"/>
    <w:rsid w:val="001F745D"/>
    <w:rsid w:val="001F7576"/>
    <w:rsid w:val="001F757E"/>
    <w:rsid w:val="001F76C1"/>
    <w:rsid w:val="001F76E8"/>
    <w:rsid w:val="001F78F1"/>
    <w:rsid w:val="001F7AE1"/>
    <w:rsid w:val="001F7EBB"/>
    <w:rsid w:val="00200259"/>
    <w:rsid w:val="002006A2"/>
    <w:rsid w:val="002006CC"/>
    <w:rsid w:val="002009A8"/>
    <w:rsid w:val="002009DE"/>
    <w:rsid w:val="00200BEA"/>
    <w:rsid w:val="00200C45"/>
    <w:rsid w:val="00200C4B"/>
    <w:rsid w:val="00200EA7"/>
    <w:rsid w:val="00201111"/>
    <w:rsid w:val="00201130"/>
    <w:rsid w:val="002011A4"/>
    <w:rsid w:val="002011CF"/>
    <w:rsid w:val="00201232"/>
    <w:rsid w:val="0020144B"/>
    <w:rsid w:val="00201C4E"/>
    <w:rsid w:val="00201CEA"/>
    <w:rsid w:val="00201DA2"/>
    <w:rsid w:val="00201E5D"/>
    <w:rsid w:val="00201F28"/>
    <w:rsid w:val="00201FA3"/>
    <w:rsid w:val="0020227C"/>
    <w:rsid w:val="0020230C"/>
    <w:rsid w:val="002024E0"/>
    <w:rsid w:val="002025CB"/>
    <w:rsid w:val="0020270A"/>
    <w:rsid w:val="002028E6"/>
    <w:rsid w:val="002029C9"/>
    <w:rsid w:val="00202A86"/>
    <w:rsid w:val="00202BA5"/>
    <w:rsid w:val="00202C16"/>
    <w:rsid w:val="00202D1D"/>
    <w:rsid w:val="00202D94"/>
    <w:rsid w:val="00202E84"/>
    <w:rsid w:val="00202F4C"/>
    <w:rsid w:val="002031B3"/>
    <w:rsid w:val="00203303"/>
    <w:rsid w:val="00203318"/>
    <w:rsid w:val="00203618"/>
    <w:rsid w:val="002036E1"/>
    <w:rsid w:val="00203800"/>
    <w:rsid w:val="00203868"/>
    <w:rsid w:val="0020386D"/>
    <w:rsid w:val="0020392E"/>
    <w:rsid w:val="002039B9"/>
    <w:rsid w:val="00203B1B"/>
    <w:rsid w:val="00203B83"/>
    <w:rsid w:val="00203BF8"/>
    <w:rsid w:val="00203CC2"/>
    <w:rsid w:val="00203E3A"/>
    <w:rsid w:val="002040C2"/>
    <w:rsid w:val="002044DF"/>
    <w:rsid w:val="00204535"/>
    <w:rsid w:val="00204561"/>
    <w:rsid w:val="00204562"/>
    <w:rsid w:val="00204861"/>
    <w:rsid w:val="00204B0C"/>
    <w:rsid w:val="00204B5C"/>
    <w:rsid w:val="00204C02"/>
    <w:rsid w:val="00204D8D"/>
    <w:rsid w:val="00204DD3"/>
    <w:rsid w:val="00204E87"/>
    <w:rsid w:val="00204F07"/>
    <w:rsid w:val="002050EC"/>
    <w:rsid w:val="00205132"/>
    <w:rsid w:val="00205185"/>
    <w:rsid w:val="0020522C"/>
    <w:rsid w:val="002053B2"/>
    <w:rsid w:val="002054BB"/>
    <w:rsid w:val="00205833"/>
    <w:rsid w:val="00205983"/>
    <w:rsid w:val="002059DA"/>
    <w:rsid w:val="00205A7F"/>
    <w:rsid w:val="00205DB0"/>
    <w:rsid w:val="00205DB6"/>
    <w:rsid w:val="00205DF9"/>
    <w:rsid w:val="00205E65"/>
    <w:rsid w:val="00205E6A"/>
    <w:rsid w:val="00205E85"/>
    <w:rsid w:val="00205ECC"/>
    <w:rsid w:val="00205F83"/>
    <w:rsid w:val="002060CD"/>
    <w:rsid w:val="00206174"/>
    <w:rsid w:val="00206559"/>
    <w:rsid w:val="0020661C"/>
    <w:rsid w:val="0020666F"/>
    <w:rsid w:val="002066A8"/>
    <w:rsid w:val="0020674B"/>
    <w:rsid w:val="00206998"/>
    <w:rsid w:val="002069A7"/>
    <w:rsid w:val="00206B6D"/>
    <w:rsid w:val="00206E74"/>
    <w:rsid w:val="00206EC6"/>
    <w:rsid w:val="00206ECA"/>
    <w:rsid w:val="002074E5"/>
    <w:rsid w:val="00207750"/>
    <w:rsid w:val="002077C5"/>
    <w:rsid w:val="002078BB"/>
    <w:rsid w:val="0020794F"/>
    <w:rsid w:val="002079E2"/>
    <w:rsid w:val="00207BD8"/>
    <w:rsid w:val="00207EF4"/>
    <w:rsid w:val="00207F7B"/>
    <w:rsid w:val="00207FB3"/>
    <w:rsid w:val="002101B8"/>
    <w:rsid w:val="002101C7"/>
    <w:rsid w:val="002103A0"/>
    <w:rsid w:val="002103DB"/>
    <w:rsid w:val="0021042C"/>
    <w:rsid w:val="002105B8"/>
    <w:rsid w:val="002105C8"/>
    <w:rsid w:val="0021065E"/>
    <w:rsid w:val="00210675"/>
    <w:rsid w:val="002108A7"/>
    <w:rsid w:val="0021093A"/>
    <w:rsid w:val="002109FD"/>
    <w:rsid w:val="00210A5F"/>
    <w:rsid w:val="00210A7F"/>
    <w:rsid w:val="00210B42"/>
    <w:rsid w:val="00210C1C"/>
    <w:rsid w:val="00210E54"/>
    <w:rsid w:val="0021114A"/>
    <w:rsid w:val="00211414"/>
    <w:rsid w:val="00211486"/>
    <w:rsid w:val="00211714"/>
    <w:rsid w:val="002117F2"/>
    <w:rsid w:val="00211B0E"/>
    <w:rsid w:val="00211B46"/>
    <w:rsid w:val="00211CD0"/>
    <w:rsid w:val="00211D00"/>
    <w:rsid w:val="00211D7B"/>
    <w:rsid w:val="00211DAF"/>
    <w:rsid w:val="00211E9D"/>
    <w:rsid w:val="00211FCB"/>
    <w:rsid w:val="00212288"/>
    <w:rsid w:val="002122C3"/>
    <w:rsid w:val="0021242B"/>
    <w:rsid w:val="00212954"/>
    <w:rsid w:val="00212B40"/>
    <w:rsid w:val="00212CBF"/>
    <w:rsid w:val="00212DE6"/>
    <w:rsid w:val="00212F8A"/>
    <w:rsid w:val="002130DB"/>
    <w:rsid w:val="002131C5"/>
    <w:rsid w:val="00213210"/>
    <w:rsid w:val="0021329E"/>
    <w:rsid w:val="0021331E"/>
    <w:rsid w:val="002136B5"/>
    <w:rsid w:val="0021378E"/>
    <w:rsid w:val="00213814"/>
    <w:rsid w:val="00213847"/>
    <w:rsid w:val="002138A6"/>
    <w:rsid w:val="002138C8"/>
    <w:rsid w:val="00213960"/>
    <w:rsid w:val="002139EB"/>
    <w:rsid w:val="00213AC7"/>
    <w:rsid w:val="00213BAF"/>
    <w:rsid w:val="00213BBF"/>
    <w:rsid w:val="00213DBD"/>
    <w:rsid w:val="00213E65"/>
    <w:rsid w:val="00213F5E"/>
    <w:rsid w:val="00213FB6"/>
    <w:rsid w:val="00214451"/>
    <w:rsid w:val="0021478B"/>
    <w:rsid w:val="002147FB"/>
    <w:rsid w:val="00214945"/>
    <w:rsid w:val="00214A99"/>
    <w:rsid w:val="00214B54"/>
    <w:rsid w:val="00214C2D"/>
    <w:rsid w:val="00214CBF"/>
    <w:rsid w:val="00214CCF"/>
    <w:rsid w:val="00214D70"/>
    <w:rsid w:val="00214FC6"/>
    <w:rsid w:val="00214FF9"/>
    <w:rsid w:val="0021508B"/>
    <w:rsid w:val="00215150"/>
    <w:rsid w:val="00215219"/>
    <w:rsid w:val="002153F8"/>
    <w:rsid w:val="002154D3"/>
    <w:rsid w:val="00215525"/>
    <w:rsid w:val="0021596D"/>
    <w:rsid w:val="00215AEB"/>
    <w:rsid w:val="00215C2F"/>
    <w:rsid w:val="00215DFD"/>
    <w:rsid w:val="00215E28"/>
    <w:rsid w:val="002161CE"/>
    <w:rsid w:val="002162DE"/>
    <w:rsid w:val="002162F5"/>
    <w:rsid w:val="002163DD"/>
    <w:rsid w:val="00216438"/>
    <w:rsid w:val="00216492"/>
    <w:rsid w:val="00216520"/>
    <w:rsid w:val="0021693A"/>
    <w:rsid w:val="00216B99"/>
    <w:rsid w:val="00216D37"/>
    <w:rsid w:val="00216FB7"/>
    <w:rsid w:val="00217044"/>
    <w:rsid w:val="0021717F"/>
    <w:rsid w:val="0021726C"/>
    <w:rsid w:val="00217319"/>
    <w:rsid w:val="002174BA"/>
    <w:rsid w:val="00217584"/>
    <w:rsid w:val="002175B6"/>
    <w:rsid w:val="00217707"/>
    <w:rsid w:val="00217B01"/>
    <w:rsid w:val="00217B36"/>
    <w:rsid w:val="00217BE2"/>
    <w:rsid w:val="00217D27"/>
    <w:rsid w:val="00217D7E"/>
    <w:rsid w:val="00220029"/>
    <w:rsid w:val="00220043"/>
    <w:rsid w:val="00220229"/>
    <w:rsid w:val="00220281"/>
    <w:rsid w:val="002202C7"/>
    <w:rsid w:val="002203F9"/>
    <w:rsid w:val="002205C0"/>
    <w:rsid w:val="00220845"/>
    <w:rsid w:val="0022098C"/>
    <w:rsid w:val="00220A53"/>
    <w:rsid w:val="00220A66"/>
    <w:rsid w:val="00220CBA"/>
    <w:rsid w:val="00221087"/>
    <w:rsid w:val="00221355"/>
    <w:rsid w:val="00221468"/>
    <w:rsid w:val="002215AE"/>
    <w:rsid w:val="002216B4"/>
    <w:rsid w:val="0022171F"/>
    <w:rsid w:val="00221730"/>
    <w:rsid w:val="0022188A"/>
    <w:rsid w:val="0022195E"/>
    <w:rsid w:val="00221C2B"/>
    <w:rsid w:val="00221C53"/>
    <w:rsid w:val="00221E41"/>
    <w:rsid w:val="00221E76"/>
    <w:rsid w:val="00221E95"/>
    <w:rsid w:val="00221ECC"/>
    <w:rsid w:val="00221FB8"/>
    <w:rsid w:val="0022202B"/>
    <w:rsid w:val="00222051"/>
    <w:rsid w:val="00222053"/>
    <w:rsid w:val="00222063"/>
    <w:rsid w:val="002221E9"/>
    <w:rsid w:val="002222D3"/>
    <w:rsid w:val="0022231B"/>
    <w:rsid w:val="00222434"/>
    <w:rsid w:val="00222636"/>
    <w:rsid w:val="002226F4"/>
    <w:rsid w:val="002226F6"/>
    <w:rsid w:val="00222858"/>
    <w:rsid w:val="002228DE"/>
    <w:rsid w:val="0022298B"/>
    <w:rsid w:val="00222C98"/>
    <w:rsid w:val="00222DED"/>
    <w:rsid w:val="00222FD8"/>
    <w:rsid w:val="00222FFD"/>
    <w:rsid w:val="00223007"/>
    <w:rsid w:val="0022333A"/>
    <w:rsid w:val="0022343C"/>
    <w:rsid w:val="0022365C"/>
    <w:rsid w:val="002236AC"/>
    <w:rsid w:val="002237AB"/>
    <w:rsid w:val="002238AC"/>
    <w:rsid w:val="002239AE"/>
    <w:rsid w:val="00223AEA"/>
    <w:rsid w:val="00223B0F"/>
    <w:rsid w:val="00223B6E"/>
    <w:rsid w:val="00223D31"/>
    <w:rsid w:val="00223F15"/>
    <w:rsid w:val="00223F3C"/>
    <w:rsid w:val="00223FF8"/>
    <w:rsid w:val="00224070"/>
    <w:rsid w:val="0022409C"/>
    <w:rsid w:val="0022426E"/>
    <w:rsid w:val="0022461A"/>
    <w:rsid w:val="00224932"/>
    <w:rsid w:val="00224A24"/>
    <w:rsid w:val="00224ABD"/>
    <w:rsid w:val="00224ABE"/>
    <w:rsid w:val="00224CBB"/>
    <w:rsid w:val="00224F5D"/>
    <w:rsid w:val="00225200"/>
    <w:rsid w:val="002252A9"/>
    <w:rsid w:val="0022546B"/>
    <w:rsid w:val="002256F3"/>
    <w:rsid w:val="00225733"/>
    <w:rsid w:val="00225744"/>
    <w:rsid w:val="00225766"/>
    <w:rsid w:val="002257EF"/>
    <w:rsid w:val="00225996"/>
    <w:rsid w:val="002259F7"/>
    <w:rsid w:val="00225AD5"/>
    <w:rsid w:val="00225B2F"/>
    <w:rsid w:val="00225BCC"/>
    <w:rsid w:val="00225C4A"/>
    <w:rsid w:val="00225D11"/>
    <w:rsid w:val="00225DD6"/>
    <w:rsid w:val="00225DF8"/>
    <w:rsid w:val="00225E9E"/>
    <w:rsid w:val="00225FAA"/>
    <w:rsid w:val="002261DE"/>
    <w:rsid w:val="0022621A"/>
    <w:rsid w:val="0022656A"/>
    <w:rsid w:val="002265D2"/>
    <w:rsid w:val="002267EF"/>
    <w:rsid w:val="00226854"/>
    <w:rsid w:val="00226985"/>
    <w:rsid w:val="002269D1"/>
    <w:rsid w:val="00226B33"/>
    <w:rsid w:val="00226B3C"/>
    <w:rsid w:val="002270C1"/>
    <w:rsid w:val="002270F0"/>
    <w:rsid w:val="0022714B"/>
    <w:rsid w:val="0022724C"/>
    <w:rsid w:val="00227583"/>
    <w:rsid w:val="002277DD"/>
    <w:rsid w:val="00227810"/>
    <w:rsid w:val="00227962"/>
    <w:rsid w:val="00227B56"/>
    <w:rsid w:val="00227B88"/>
    <w:rsid w:val="00227D8E"/>
    <w:rsid w:val="00227DD7"/>
    <w:rsid w:val="00230212"/>
    <w:rsid w:val="0023057E"/>
    <w:rsid w:val="0023061F"/>
    <w:rsid w:val="00230715"/>
    <w:rsid w:val="0023091B"/>
    <w:rsid w:val="00230933"/>
    <w:rsid w:val="00230ADF"/>
    <w:rsid w:val="00230BD9"/>
    <w:rsid w:val="00230C31"/>
    <w:rsid w:val="00230DBB"/>
    <w:rsid w:val="00230E99"/>
    <w:rsid w:val="00230F6A"/>
    <w:rsid w:val="00230FE6"/>
    <w:rsid w:val="00231132"/>
    <w:rsid w:val="002311A9"/>
    <w:rsid w:val="002311F8"/>
    <w:rsid w:val="00231295"/>
    <w:rsid w:val="002312F3"/>
    <w:rsid w:val="0023136D"/>
    <w:rsid w:val="00231403"/>
    <w:rsid w:val="002314BE"/>
    <w:rsid w:val="00231507"/>
    <w:rsid w:val="0023158E"/>
    <w:rsid w:val="002316D0"/>
    <w:rsid w:val="002318B1"/>
    <w:rsid w:val="002318C0"/>
    <w:rsid w:val="00231A40"/>
    <w:rsid w:val="00231B30"/>
    <w:rsid w:val="002322DD"/>
    <w:rsid w:val="0023233F"/>
    <w:rsid w:val="0023248B"/>
    <w:rsid w:val="002324C1"/>
    <w:rsid w:val="0023269F"/>
    <w:rsid w:val="00232912"/>
    <w:rsid w:val="0023294E"/>
    <w:rsid w:val="00232D22"/>
    <w:rsid w:val="00232D37"/>
    <w:rsid w:val="00232E36"/>
    <w:rsid w:val="00232F8A"/>
    <w:rsid w:val="00232FBE"/>
    <w:rsid w:val="00233150"/>
    <w:rsid w:val="00233273"/>
    <w:rsid w:val="002333A8"/>
    <w:rsid w:val="002335D3"/>
    <w:rsid w:val="00233631"/>
    <w:rsid w:val="0023363A"/>
    <w:rsid w:val="002337A2"/>
    <w:rsid w:val="00233854"/>
    <w:rsid w:val="00233967"/>
    <w:rsid w:val="00233A71"/>
    <w:rsid w:val="00233B1A"/>
    <w:rsid w:val="00233C33"/>
    <w:rsid w:val="00233CD5"/>
    <w:rsid w:val="00233F72"/>
    <w:rsid w:val="002342DB"/>
    <w:rsid w:val="0023435F"/>
    <w:rsid w:val="002343E3"/>
    <w:rsid w:val="002343F6"/>
    <w:rsid w:val="00234528"/>
    <w:rsid w:val="002345AC"/>
    <w:rsid w:val="002345D2"/>
    <w:rsid w:val="00234647"/>
    <w:rsid w:val="00234715"/>
    <w:rsid w:val="00234777"/>
    <w:rsid w:val="0023477B"/>
    <w:rsid w:val="00234A3A"/>
    <w:rsid w:val="00234ED7"/>
    <w:rsid w:val="0023501A"/>
    <w:rsid w:val="002351EF"/>
    <w:rsid w:val="00235240"/>
    <w:rsid w:val="0023561E"/>
    <w:rsid w:val="0023579B"/>
    <w:rsid w:val="002357F2"/>
    <w:rsid w:val="002358B0"/>
    <w:rsid w:val="002359B2"/>
    <w:rsid w:val="00235AE3"/>
    <w:rsid w:val="00235D48"/>
    <w:rsid w:val="00235E7F"/>
    <w:rsid w:val="00235F02"/>
    <w:rsid w:val="00235FB3"/>
    <w:rsid w:val="00235FEE"/>
    <w:rsid w:val="0023631D"/>
    <w:rsid w:val="002363CF"/>
    <w:rsid w:val="002365AF"/>
    <w:rsid w:val="002367F9"/>
    <w:rsid w:val="00236ED0"/>
    <w:rsid w:val="0023700E"/>
    <w:rsid w:val="0023716E"/>
    <w:rsid w:val="00237271"/>
    <w:rsid w:val="0023738F"/>
    <w:rsid w:val="002373C3"/>
    <w:rsid w:val="00237438"/>
    <w:rsid w:val="0023748C"/>
    <w:rsid w:val="002374AD"/>
    <w:rsid w:val="0023761A"/>
    <w:rsid w:val="00237729"/>
    <w:rsid w:val="002379A7"/>
    <w:rsid w:val="002379F4"/>
    <w:rsid w:val="00237A41"/>
    <w:rsid w:val="00237A96"/>
    <w:rsid w:val="00237C21"/>
    <w:rsid w:val="00237C5D"/>
    <w:rsid w:val="00237CA1"/>
    <w:rsid w:val="00237DA5"/>
    <w:rsid w:val="00237E45"/>
    <w:rsid w:val="00237FA6"/>
    <w:rsid w:val="002401E4"/>
    <w:rsid w:val="00240387"/>
    <w:rsid w:val="00240579"/>
    <w:rsid w:val="002405C4"/>
    <w:rsid w:val="00240741"/>
    <w:rsid w:val="002407B7"/>
    <w:rsid w:val="00240887"/>
    <w:rsid w:val="002408D5"/>
    <w:rsid w:val="0024090B"/>
    <w:rsid w:val="00240930"/>
    <w:rsid w:val="00240A22"/>
    <w:rsid w:val="00240A4C"/>
    <w:rsid w:val="00240A68"/>
    <w:rsid w:val="00240A74"/>
    <w:rsid w:val="00240BB7"/>
    <w:rsid w:val="00240D08"/>
    <w:rsid w:val="00240D35"/>
    <w:rsid w:val="00240F03"/>
    <w:rsid w:val="0024100D"/>
    <w:rsid w:val="00241034"/>
    <w:rsid w:val="00241041"/>
    <w:rsid w:val="00241108"/>
    <w:rsid w:val="002413A7"/>
    <w:rsid w:val="0024168D"/>
    <w:rsid w:val="002417E4"/>
    <w:rsid w:val="002418B1"/>
    <w:rsid w:val="00241925"/>
    <w:rsid w:val="00241FB9"/>
    <w:rsid w:val="0024227F"/>
    <w:rsid w:val="002423C0"/>
    <w:rsid w:val="002423FF"/>
    <w:rsid w:val="00242633"/>
    <w:rsid w:val="00242784"/>
    <w:rsid w:val="00242867"/>
    <w:rsid w:val="0024297B"/>
    <w:rsid w:val="002429C2"/>
    <w:rsid w:val="00242C51"/>
    <w:rsid w:val="00242CA3"/>
    <w:rsid w:val="00242E48"/>
    <w:rsid w:val="00242FBA"/>
    <w:rsid w:val="00243016"/>
    <w:rsid w:val="00243445"/>
    <w:rsid w:val="002435BD"/>
    <w:rsid w:val="002437A1"/>
    <w:rsid w:val="002437E3"/>
    <w:rsid w:val="002438B9"/>
    <w:rsid w:val="00243918"/>
    <w:rsid w:val="00243A73"/>
    <w:rsid w:val="00243AC8"/>
    <w:rsid w:val="00243C0F"/>
    <w:rsid w:val="00243C48"/>
    <w:rsid w:val="00243D25"/>
    <w:rsid w:val="00243E3B"/>
    <w:rsid w:val="00243EE2"/>
    <w:rsid w:val="00243F7F"/>
    <w:rsid w:val="00244030"/>
    <w:rsid w:val="0024428E"/>
    <w:rsid w:val="002442B2"/>
    <w:rsid w:val="002443F6"/>
    <w:rsid w:val="00244496"/>
    <w:rsid w:val="002444B8"/>
    <w:rsid w:val="00244697"/>
    <w:rsid w:val="00244915"/>
    <w:rsid w:val="00244971"/>
    <w:rsid w:val="00244ADF"/>
    <w:rsid w:val="0024501F"/>
    <w:rsid w:val="00245063"/>
    <w:rsid w:val="00245325"/>
    <w:rsid w:val="00245425"/>
    <w:rsid w:val="002454E2"/>
    <w:rsid w:val="0024555E"/>
    <w:rsid w:val="0024568F"/>
    <w:rsid w:val="002456E9"/>
    <w:rsid w:val="00245797"/>
    <w:rsid w:val="00245996"/>
    <w:rsid w:val="00245CDA"/>
    <w:rsid w:val="00245D67"/>
    <w:rsid w:val="00245D8E"/>
    <w:rsid w:val="00245DA0"/>
    <w:rsid w:val="00245DE2"/>
    <w:rsid w:val="00245E40"/>
    <w:rsid w:val="00245F72"/>
    <w:rsid w:val="00245FE3"/>
    <w:rsid w:val="002461B2"/>
    <w:rsid w:val="00246218"/>
    <w:rsid w:val="0024645D"/>
    <w:rsid w:val="002464A3"/>
    <w:rsid w:val="002464ED"/>
    <w:rsid w:val="002465C2"/>
    <w:rsid w:val="00246860"/>
    <w:rsid w:val="00246895"/>
    <w:rsid w:val="00246B4B"/>
    <w:rsid w:val="00246C9E"/>
    <w:rsid w:val="00246D7E"/>
    <w:rsid w:val="00246E2C"/>
    <w:rsid w:val="00246E47"/>
    <w:rsid w:val="00246E6F"/>
    <w:rsid w:val="00246F23"/>
    <w:rsid w:val="00246F2A"/>
    <w:rsid w:val="00247445"/>
    <w:rsid w:val="0024753F"/>
    <w:rsid w:val="002476FE"/>
    <w:rsid w:val="00247955"/>
    <w:rsid w:val="00247A40"/>
    <w:rsid w:val="00247ADB"/>
    <w:rsid w:val="00247C61"/>
    <w:rsid w:val="00247D8E"/>
    <w:rsid w:val="00247F6C"/>
    <w:rsid w:val="00247F7A"/>
    <w:rsid w:val="00247F9A"/>
    <w:rsid w:val="00247FF0"/>
    <w:rsid w:val="00250043"/>
    <w:rsid w:val="00250158"/>
    <w:rsid w:val="002501EE"/>
    <w:rsid w:val="002502B6"/>
    <w:rsid w:val="00250393"/>
    <w:rsid w:val="002503D8"/>
    <w:rsid w:val="00250553"/>
    <w:rsid w:val="002506CD"/>
    <w:rsid w:val="00250742"/>
    <w:rsid w:val="00250863"/>
    <w:rsid w:val="00250C1C"/>
    <w:rsid w:val="00250C34"/>
    <w:rsid w:val="00250D3D"/>
    <w:rsid w:val="00250DF8"/>
    <w:rsid w:val="00250E25"/>
    <w:rsid w:val="00250F7A"/>
    <w:rsid w:val="00250FBF"/>
    <w:rsid w:val="00250FEC"/>
    <w:rsid w:val="0025106F"/>
    <w:rsid w:val="00251322"/>
    <w:rsid w:val="00251733"/>
    <w:rsid w:val="00251817"/>
    <w:rsid w:val="00251924"/>
    <w:rsid w:val="00251A14"/>
    <w:rsid w:val="00251AAD"/>
    <w:rsid w:val="00251AE7"/>
    <w:rsid w:val="00251B5E"/>
    <w:rsid w:val="00251D01"/>
    <w:rsid w:val="00251D1B"/>
    <w:rsid w:val="00251D36"/>
    <w:rsid w:val="00251DAF"/>
    <w:rsid w:val="00251DB4"/>
    <w:rsid w:val="00251DF6"/>
    <w:rsid w:val="00251F58"/>
    <w:rsid w:val="00251FE5"/>
    <w:rsid w:val="00252005"/>
    <w:rsid w:val="00252193"/>
    <w:rsid w:val="002522E0"/>
    <w:rsid w:val="0025262D"/>
    <w:rsid w:val="00252658"/>
    <w:rsid w:val="002527E2"/>
    <w:rsid w:val="00252E8E"/>
    <w:rsid w:val="002530D2"/>
    <w:rsid w:val="00253246"/>
    <w:rsid w:val="00253529"/>
    <w:rsid w:val="002535CE"/>
    <w:rsid w:val="00253737"/>
    <w:rsid w:val="00253802"/>
    <w:rsid w:val="00253B19"/>
    <w:rsid w:val="00253C84"/>
    <w:rsid w:val="00253F38"/>
    <w:rsid w:val="00253FE9"/>
    <w:rsid w:val="0025415A"/>
    <w:rsid w:val="0025428D"/>
    <w:rsid w:val="0025435E"/>
    <w:rsid w:val="0025438D"/>
    <w:rsid w:val="002546DB"/>
    <w:rsid w:val="00254775"/>
    <w:rsid w:val="00254846"/>
    <w:rsid w:val="002548B5"/>
    <w:rsid w:val="00254A44"/>
    <w:rsid w:val="00254C18"/>
    <w:rsid w:val="00254E82"/>
    <w:rsid w:val="002550F5"/>
    <w:rsid w:val="002551B4"/>
    <w:rsid w:val="00255343"/>
    <w:rsid w:val="00255387"/>
    <w:rsid w:val="00255391"/>
    <w:rsid w:val="00255466"/>
    <w:rsid w:val="00255521"/>
    <w:rsid w:val="002556C2"/>
    <w:rsid w:val="002556D5"/>
    <w:rsid w:val="00255812"/>
    <w:rsid w:val="0025584C"/>
    <w:rsid w:val="00255BEE"/>
    <w:rsid w:val="00255C64"/>
    <w:rsid w:val="00255D6F"/>
    <w:rsid w:val="00255E3A"/>
    <w:rsid w:val="00255F34"/>
    <w:rsid w:val="00255F3A"/>
    <w:rsid w:val="00255F43"/>
    <w:rsid w:val="002561F5"/>
    <w:rsid w:val="0025635C"/>
    <w:rsid w:val="0025650A"/>
    <w:rsid w:val="002565F5"/>
    <w:rsid w:val="0025665B"/>
    <w:rsid w:val="00256705"/>
    <w:rsid w:val="0025674A"/>
    <w:rsid w:val="00256834"/>
    <w:rsid w:val="00256855"/>
    <w:rsid w:val="002568C4"/>
    <w:rsid w:val="00256936"/>
    <w:rsid w:val="00256BB7"/>
    <w:rsid w:val="00256CE7"/>
    <w:rsid w:val="00256DAC"/>
    <w:rsid w:val="00256DB8"/>
    <w:rsid w:val="00256DE0"/>
    <w:rsid w:val="00256E66"/>
    <w:rsid w:val="00256F0C"/>
    <w:rsid w:val="00257137"/>
    <w:rsid w:val="0025723B"/>
    <w:rsid w:val="002574D7"/>
    <w:rsid w:val="00257562"/>
    <w:rsid w:val="002575A8"/>
    <w:rsid w:val="00257656"/>
    <w:rsid w:val="00257700"/>
    <w:rsid w:val="00257881"/>
    <w:rsid w:val="00257936"/>
    <w:rsid w:val="00257AC1"/>
    <w:rsid w:val="00257B12"/>
    <w:rsid w:val="00257B60"/>
    <w:rsid w:val="00257C80"/>
    <w:rsid w:val="00257D8F"/>
    <w:rsid w:val="00257E86"/>
    <w:rsid w:val="00257FC8"/>
    <w:rsid w:val="00257FEF"/>
    <w:rsid w:val="0026013E"/>
    <w:rsid w:val="00260325"/>
    <w:rsid w:val="002603C8"/>
    <w:rsid w:val="0026058B"/>
    <w:rsid w:val="0026058E"/>
    <w:rsid w:val="002605BE"/>
    <w:rsid w:val="002605E6"/>
    <w:rsid w:val="0026060B"/>
    <w:rsid w:val="00260749"/>
    <w:rsid w:val="00260857"/>
    <w:rsid w:val="002608B5"/>
    <w:rsid w:val="002608FC"/>
    <w:rsid w:val="0026098A"/>
    <w:rsid w:val="00260A3A"/>
    <w:rsid w:val="00260A41"/>
    <w:rsid w:val="00260B01"/>
    <w:rsid w:val="00260BDA"/>
    <w:rsid w:val="00260C43"/>
    <w:rsid w:val="00260C68"/>
    <w:rsid w:val="00260C90"/>
    <w:rsid w:val="00260DA1"/>
    <w:rsid w:val="00260FA4"/>
    <w:rsid w:val="002610B3"/>
    <w:rsid w:val="002610F2"/>
    <w:rsid w:val="0026122D"/>
    <w:rsid w:val="00261506"/>
    <w:rsid w:val="002616D8"/>
    <w:rsid w:val="00261FE0"/>
    <w:rsid w:val="002620D1"/>
    <w:rsid w:val="0026210B"/>
    <w:rsid w:val="00262166"/>
    <w:rsid w:val="0026229D"/>
    <w:rsid w:val="002622BA"/>
    <w:rsid w:val="00262429"/>
    <w:rsid w:val="0026254A"/>
    <w:rsid w:val="002626C3"/>
    <w:rsid w:val="002627ED"/>
    <w:rsid w:val="00262939"/>
    <w:rsid w:val="00262C40"/>
    <w:rsid w:val="00262C8B"/>
    <w:rsid w:val="00262D9F"/>
    <w:rsid w:val="00262DBE"/>
    <w:rsid w:val="00262E1D"/>
    <w:rsid w:val="00262E92"/>
    <w:rsid w:val="00262EC0"/>
    <w:rsid w:val="00262EEF"/>
    <w:rsid w:val="00262EF7"/>
    <w:rsid w:val="00262FFC"/>
    <w:rsid w:val="00263028"/>
    <w:rsid w:val="002630B9"/>
    <w:rsid w:val="0026320C"/>
    <w:rsid w:val="0026326D"/>
    <w:rsid w:val="0026339B"/>
    <w:rsid w:val="00263500"/>
    <w:rsid w:val="00263520"/>
    <w:rsid w:val="00263649"/>
    <w:rsid w:val="0026370B"/>
    <w:rsid w:val="0026373E"/>
    <w:rsid w:val="002637A8"/>
    <w:rsid w:val="00263830"/>
    <w:rsid w:val="00263A1F"/>
    <w:rsid w:val="00263A92"/>
    <w:rsid w:val="00263AEF"/>
    <w:rsid w:val="00263C61"/>
    <w:rsid w:val="00263C6B"/>
    <w:rsid w:val="00263D68"/>
    <w:rsid w:val="00263DB2"/>
    <w:rsid w:val="00263F87"/>
    <w:rsid w:val="002640D0"/>
    <w:rsid w:val="00264415"/>
    <w:rsid w:val="002644FF"/>
    <w:rsid w:val="00264542"/>
    <w:rsid w:val="002645B7"/>
    <w:rsid w:val="002645CA"/>
    <w:rsid w:val="00264654"/>
    <w:rsid w:val="00264698"/>
    <w:rsid w:val="002647E3"/>
    <w:rsid w:val="0026481A"/>
    <w:rsid w:val="0026482D"/>
    <w:rsid w:val="00264905"/>
    <w:rsid w:val="00264A4D"/>
    <w:rsid w:val="00264C24"/>
    <w:rsid w:val="00264D6E"/>
    <w:rsid w:val="00264FD5"/>
    <w:rsid w:val="002650CB"/>
    <w:rsid w:val="00265105"/>
    <w:rsid w:val="00265119"/>
    <w:rsid w:val="002653B2"/>
    <w:rsid w:val="00265461"/>
    <w:rsid w:val="002654D3"/>
    <w:rsid w:val="002657C6"/>
    <w:rsid w:val="002658C3"/>
    <w:rsid w:val="00265982"/>
    <w:rsid w:val="00265BF1"/>
    <w:rsid w:val="00265BF4"/>
    <w:rsid w:val="00265C06"/>
    <w:rsid w:val="00265EEF"/>
    <w:rsid w:val="00266131"/>
    <w:rsid w:val="00266132"/>
    <w:rsid w:val="0026613C"/>
    <w:rsid w:val="0026622E"/>
    <w:rsid w:val="00266262"/>
    <w:rsid w:val="00266380"/>
    <w:rsid w:val="0026639E"/>
    <w:rsid w:val="00266632"/>
    <w:rsid w:val="00266648"/>
    <w:rsid w:val="00266667"/>
    <w:rsid w:val="002666F4"/>
    <w:rsid w:val="00266774"/>
    <w:rsid w:val="0026681A"/>
    <w:rsid w:val="00266AD1"/>
    <w:rsid w:val="00266BB6"/>
    <w:rsid w:val="00266BF2"/>
    <w:rsid w:val="00266C3D"/>
    <w:rsid w:val="00266C55"/>
    <w:rsid w:val="00266C5A"/>
    <w:rsid w:val="00266C6F"/>
    <w:rsid w:val="00266D95"/>
    <w:rsid w:val="00266DE1"/>
    <w:rsid w:val="00266F27"/>
    <w:rsid w:val="00267095"/>
    <w:rsid w:val="002670C4"/>
    <w:rsid w:val="00267333"/>
    <w:rsid w:val="002673FA"/>
    <w:rsid w:val="002675F7"/>
    <w:rsid w:val="002677CE"/>
    <w:rsid w:val="00267CF2"/>
    <w:rsid w:val="00267EA4"/>
    <w:rsid w:val="002700AD"/>
    <w:rsid w:val="0027024B"/>
    <w:rsid w:val="00270352"/>
    <w:rsid w:val="0027036D"/>
    <w:rsid w:val="00270413"/>
    <w:rsid w:val="002704EE"/>
    <w:rsid w:val="002705DB"/>
    <w:rsid w:val="002706EC"/>
    <w:rsid w:val="0027078A"/>
    <w:rsid w:val="0027090A"/>
    <w:rsid w:val="002709CC"/>
    <w:rsid w:val="00270A4E"/>
    <w:rsid w:val="00270A8E"/>
    <w:rsid w:val="00270AD5"/>
    <w:rsid w:val="00270B71"/>
    <w:rsid w:val="00270DAD"/>
    <w:rsid w:val="00270E25"/>
    <w:rsid w:val="00270EF2"/>
    <w:rsid w:val="00270F8E"/>
    <w:rsid w:val="00271053"/>
    <w:rsid w:val="002711EA"/>
    <w:rsid w:val="00271324"/>
    <w:rsid w:val="00271427"/>
    <w:rsid w:val="002714F8"/>
    <w:rsid w:val="00271888"/>
    <w:rsid w:val="00271896"/>
    <w:rsid w:val="002719CC"/>
    <w:rsid w:val="00271A28"/>
    <w:rsid w:val="00271BF7"/>
    <w:rsid w:val="00271D82"/>
    <w:rsid w:val="00271F2B"/>
    <w:rsid w:val="002720C5"/>
    <w:rsid w:val="0027220D"/>
    <w:rsid w:val="0027227C"/>
    <w:rsid w:val="00272390"/>
    <w:rsid w:val="0027259C"/>
    <w:rsid w:val="002725C3"/>
    <w:rsid w:val="002725DD"/>
    <w:rsid w:val="00272765"/>
    <w:rsid w:val="002727A8"/>
    <w:rsid w:val="00272868"/>
    <w:rsid w:val="0027290B"/>
    <w:rsid w:val="00272A28"/>
    <w:rsid w:val="00272B02"/>
    <w:rsid w:val="0027301A"/>
    <w:rsid w:val="0027307F"/>
    <w:rsid w:val="0027346A"/>
    <w:rsid w:val="002735F7"/>
    <w:rsid w:val="0027376C"/>
    <w:rsid w:val="0027380C"/>
    <w:rsid w:val="002739A0"/>
    <w:rsid w:val="00273B51"/>
    <w:rsid w:val="00273CA4"/>
    <w:rsid w:val="00273ED8"/>
    <w:rsid w:val="00273F92"/>
    <w:rsid w:val="00273FC0"/>
    <w:rsid w:val="0027401E"/>
    <w:rsid w:val="00274033"/>
    <w:rsid w:val="0027434B"/>
    <w:rsid w:val="002743A8"/>
    <w:rsid w:val="0027472D"/>
    <w:rsid w:val="00274731"/>
    <w:rsid w:val="0027484E"/>
    <w:rsid w:val="0027490B"/>
    <w:rsid w:val="002749EE"/>
    <w:rsid w:val="00274B61"/>
    <w:rsid w:val="00274CC4"/>
    <w:rsid w:val="00274D47"/>
    <w:rsid w:val="00274F77"/>
    <w:rsid w:val="0027508B"/>
    <w:rsid w:val="0027511D"/>
    <w:rsid w:val="00275181"/>
    <w:rsid w:val="0027552F"/>
    <w:rsid w:val="0027553C"/>
    <w:rsid w:val="00275665"/>
    <w:rsid w:val="0027566F"/>
    <w:rsid w:val="00275796"/>
    <w:rsid w:val="002757DE"/>
    <w:rsid w:val="0027585E"/>
    <w:rsid w:val="002758A8"/>
    <w:rsid w:val="002758A9"/>
    <w:rsid w:val="002758E7"/>
    <w:rsid w:val="00276166"/>
    <w:rsid w:val="0027616F"/>
    <w:rsid w:val="002762F0"/>
    <w:rsid w:val="00276381"/>
    <w:rsid w:val="002763BD"/>
    <w:rsid w:val="002763DE"/>
    <w:rsid w:val="0027679B"/>
    <w:rsid w:val="002771D9"/>
    <w:rsid w:val="00277457"/>
    <w:rsid w:val="0027747D"/>
    <w:rsid w:val="00277830"/>
    <w:rsid w:val="002778E5"/>
    <w:rsid w:val="00277C28"/>
    <w:rsid w:val="00277D32"/>
    <w:rsid w:val="00277F67"/>
    <w:rsid w:val="00277FD2"/>
    <w:rsid w:val="002804D6"/>
    <w:rsid w:val="0028064C"/>
    <w:rsid w:val="002808F1"/>
    <w:rsid w:val="00280991"/>
    <w:rsid w:val="00280FAA"/>
    <w:rsid w:val="002810C0"/>
    <w:rsid w:val="002810DF"/>
    <w:rsid w:val="00281131"/>
    <w:rsid w:val="00281294"/>
    <w:rsid w:val="0028135E"/>
    <w:rsid w:val="00281365"/>
    <w:rsid w:val="002814B8"/>
    <w:rsid w:val="002815A8"/>
    <w:rsid w:val="002815B5"/>
    <w:rsid w:val="0028161A"/>
    <w:rsid w:val="00281691"/>
    <w:rsid w:val="0028172A"/>
    <w:rsid w:val="00281754"/>
    <w:rsid w:val="00281763"/>
    <w:rsid w:val="00281780"/>
    <w:rsid w:val="002817C1"/>
    <w:rsid w:val="0028198A"/>
    <w:rsid w:val="00281AAE"/>
    <w:rsid w:val="00281BC7"/>
    <w:rsid w:val="00281BEF"/>
    <w:rsid w:val="00281DFE"/>
    <w:rsid w:val="00281E79"/>
    <w:rsid w:val="00281EA2"/>
    <w:rsid w:val="00281FB6"/>
    <w:rsid w:val="0028218E"/>
    <w:rsid w:val="00282354"/>
    <w:rsid w:val="002823C9"/>
    <w:rsid w:val="002823CB"/>
    <w:rsid w:val="00282646"/>
    <w:rsid w:val="00282934"/>
    <w:rsid w:val="00282A14"/>
    <w:rsid w:val="00282C30"/>
    <w:rsid w:val="00282E02"/>
    <w:rsid w:val="00282F0B"/>
    <w:rsid w:val="00282F49"/>
    <w:rsid w:val="00282F6A"/>
    <w:rsid w:val="00282FAB"/>
    <w:rsid w:val="00282FE6"/>
    <w:rsid w:val="00283087"/>
    <w:rsid w:val="0028309F"/>
    <w:rsid w:val="0028339C"/>
    <w:rsid w:val="0028343E"/>
    <w:rsid w:val="00283507"/>
    <w:rsid w:val="002835EC"/>
    <w:rsid w:val="0028360D"/>
    <w:rsid w:val="00283645"/>
    <w:rsid w:val="00283735"/>
    <w:rsid w:val="0028381C"/>
    <w:rsid w:val="00283916"/>
    <w:rsid w:val="00283B17"/>
    <w:rsid w:val="00283B51"/>
    <w:rsid w:val="00283BF8"/>
    <w:rsid w:val="00283DA5"/>
    <w:rsid w:val="00283DF3"/>
    <w:rsid w:val="00283E02"/>
    <w:rsid w:val="00283EE2"/>
    <w:rsid w:val="00283FFD"/>
    <w:rsid w:val="00284001"/>
    <w:rsid w:val="0028414C"/>
    <w:rsid w:val="002842B6"/>
    <w:rsid w:val="002842C5"/>
    <w:rsid w:val="002845B0"/>
    <w:rsid w:val="00284665"/>
    <w:rsid w:val="00284A2F"/>
    <w:rsid w:val="00284C4F"/>
    <w:rsid w:val="00284C55"/>
    <w:rsid w:val="00284DE3"/>
    <w:rsid w:val="00284F18"/>
    <w:rsid w:val="00284F72"/>
    <w:rsid w:val="00285664"/>
    <w:rsid w:val="0028579D"/>
    <w:rsid w:val="00285A83"/>
    <w:rsid w:val="00285B7F"/>
    <w:rsid w:val="00285CD9"/>
    <w:rsid w:val="002860E2"/>
    <w:rsid w:val="002864BE"/>
    <w:rsid w:val="00286550"/>
    <w:rsid w:val="0028669D"/>
    <w:rsid w:val="0028674E"/>
    <w:rsid w:val="002867D4"/>
    <w:rsid w:val="00286807"/>
    <w:rsid w:val="00286B62"/>
    <w:rsid w:val="00286BD2"/>
    <w:rsid w:val="00286BFA"/>
    <w:rsid w:val="00286C4B"/>
    <w:rsid w:val="00286E84"/>
    <w:rsid w:val="00286ED3"/>
    <w:rsid w:val="0028716F"/>
    <w:rsid w:val="002871BA"/>
    <w:rsid w:val="002872FA"/>
    <w:rsid w:val="002873AA"/>
    <w:rsid w:val="002873E4"/>
    <w:rsid w:val="00287472"/>
    <w:rsid w:val="00287628"/>
    <w:rsid w:val="0028777A"/>
    <w:rsid w:val="0028793D"/>
    <w:rsid w:val="00287970"/>
    <w:rsid w:val="00287981"/>
    <w:rsid w:val="00287A42"/>
    <w:rsid w:val="00287A51"/>
    <w:rsid w:val="00287ABB"/>
    <w:rsid w:val="00287D6A"/>
    <w:rsid w:val="00287D85"/>
    <w:rsid w:val="00287F46"/>
    <w:rsid w:val="00287F70"/>
    <w:rsid w:val="00290028"/>
    <w:rsid w:val="002901D4"/>
    <w:rsid w:val="002902F4"/>
    <w:rsid w:val="00290382"/>
    <w:rsid w:val="002904DE"/>
    <w:rsid w:val="002906FD"/>
    <w:rsid w:val="0029082C"/>
    <w:rsid w:val="002908AE"/>
    <w:rsid w:val="00290BC0"/>
    <w:rsid w:val="00290D8B"/>
    <w:rsid w:val="00290E3D"/>
    <w:rsid w:val="002910FA"/>
    <w:rsid w:val="002910FB"/>
    <w:rsid w:val="002913C8"/>
    <w:rsid w:val="0029143C"/>
    <w:rsid w:val="002915C8"/>
    <w:rsid w:val="002916FE"/>
    <w:rsid w:val="0029170B"/>
    <w:rsid w:val="00291988"/>
    <w:rsid w:val="0029199E"/>
    <w:rsid w:val="00291A4D"/>
    <w:rsid w:val="00291DA1"/>
    <w:rsid w:val="00291E1F"/>
    <w:rsid w:val="0029213D"/>
    <w:rsid w:val="0029224C"/>
    <w:rsid w:val="0029264E"/>
    <w:rsid w:val="002927EB"/>
    <w:rsid w:val="00292992"/>
    <w:rsid w:val="00292BF4"/>
    <w:rsid w:val="00293045"/>
    <w:rsid w:val="002931DF"/>
    <w:rsid w:val="00293242"/>
    <w:rsid w:val="002932C0"/>
    <w:rsid w:val="0029337B"/>
    <w:rsid w:val="002933DB"/>
    <w:rsid w:val="00293441"/>
    <w:rsid w:val="00293464"/>
    <w:rsid w:val="0029375A"/>
    <w:rsid w:val="00293801"/>
    <w:rsid w:val="00293884"/>
    <w:rsid w:val="0029395B"/>
    <w:rsid w:val="00293D58"/>
    <w:rsid w:val="00293ED5"/>
    <w:rsid w:val="00293F18"/>
    <w:rsid w:val="00294073"/>
    <w:rsid w:val="002940F9"/>
    <w:rsid w:val="00294398"/>
    <w:rsid w:val="0029441E"/>
    <w:rsid w:val="00294478"/>
    <w:rsid w:val="002946CA"/>
    <w:rsid w:val="0029473F"/>
    <w:rsid w:val="00294806"/>
    <w:rsid w:val="002949D0"/>
    <w:rsid w:val="00294AE0"/>
    <w:rsid w:val="00294BA8"/>
    <w:rsid w:val="00294BB0"/>
    <w:rsid w:val="00294CCF"/>
    <w:rsid w:val="00294E8B"/>
    <w:rsid w:val="00294EEF"/>
    <w:rsid w:val="00294F05"/>
    <w:rsid w:val="00294F14"/>
    <w:rsid w:val="0029516C"/>
    <w:rsid w:val="00295213"/>
    <w:rsid w:val="0029553B"/>
    <w:rsid w:val="002955C1"/>
    <w:rsid w:val="00295816"/>
    <w:rsid w:val="00295827"/>
    <w:rsid w:val="002958CE"/>
    <w:rsid w:val="00295A74"/>
    <w:rsid w:val="00295A84"/>
    <w:rsid w:val="002960ED"/>
    <w:rsid w:val="002961E6"/>
    <w:rsid w:val="00296252"/>
    <w:rsid w:val="002963B2"/>
    <w:rsid w:val="00296424"/>
    <w:rsid w:val="0029652A"/>
    <w:rsid w:val="00296583"/>
    <w:rsid w:val="002965EE"/>
    <w:rsid w:val="0029669B"/>
    <w:rsid w:val="0029671F"/>
    <w:rsid w:val="0029687B"/>
    <w:rsid w:val="002968BF"/>
    <w:rsid w:val="0029690F"/>
    <w:rsid w:val="0029698D"/>
    <w:rsid w:val="002969C8"/>
    <w:rsid w:val="00296A00"/>
    <w:rsid w:val="00296A99"/>
    <w:rsid w:val="00296B70"/>
    <w:rsid w:val="00296C9E"/>
    <w:rsid w:val="00296D19"/>
    <w:rsid w:val="00296D2F"/>
    <w:rsid w:val="00296F45"/>
    <w:rsid w:val="0029704C"/>
    <w:rsid w:val="002973BC"/>
    <w:rsid w:val="0029788D"/>
    <w:rsid w:val="002978F5"/>
    <w:rsid w:val="00297921"/>
    <w:rsid w:val="002979E7"/>
    <w:rsid w:val="00297B11"/>
    <w:rsid w:val="00297B7E"/>
    <w:rsid w:val="00297B9B"/>
    <w:rsid w:val="00297BE6"/>
    <w:rsid w:val="00297D66"/>
    <w:rsid w:val="00297E18"/>
    <w:rsid w:val="002A00A1"/>
    <w:rsid w:val="002A013E"/>
    <w:rsid w:val="002A031E"/>
    <w:rsid w:val="002A0419"/>
    <w:rsid w:val="002A0834"/>
    <w:rsid w:val="002A092C"/>
    <w:rsid w:val="002A0965"/>
    <w:rsid w:val="002A0B76"/>
    <w:rsid w:val="002A0B79"/>
    <w:rsid w:val="002A0C6A"/>
    <w:rsid w:val="002A0E44"/>
    <w:rsid w:val="002A0FBB"/>
    <w:rsid w:val="002A115E"/>
    <w:rsid w:val="002A1264"/>
    <w:rsid w:val="002A13F2"/>
    <w:rsid w:val="002A1418"/>
    <w:rsid w:val="002A1437"/>
    <w:rsid w:val="002A1569"/>
    <w:rsid w:val="002A1626"/>
    <w:rsid w:val="002A16F6"/>
    <w:rsid w:val="002A1A0E"/>
    <w:rsid w:val="002A1AAE"/>
    <w:rsid w:val="002A1CCD"/>
    <w:rsid w:val="002A1D98"/>
    <w:rsid w:val="002A209A"/>
    <w:rsid w:val="002A2267"/>
    <w:rsid w:val="002A22DA"/>
    <w:rsid w:val="002A2342"/>
    <w:rsid w:val="002A2510"/>
    <w:rsid w:val="002A26B4"/>
    <w:rsid w:val="002A294F"/>
    <w:rsid w:val="002A2954"/>
    <w:rsid w:val="002A2CDC"/>
    <w:rsid w:val="002A2D29"/>
    <w:rsid w:val="002A2D7B"/>
    <w:rsid w:val="002A2EA6"/>
    <w:rsid w:val="002A2FD6"/>
    <w:rsid w:val="002A3074"/>
    <w:rsid w:val="002A31D9"/>
    <w:rsid w:val="002A3279"/>
    <w:rsid w:val="002A3512"/>
    <w:rsid w:val="002A351F"/>
    <w:rsid w:val="002A35A6"/>
    <w:rsid w:val="002A370B"/>
    <w:rsid w:val="002A3751"/>
    <w:rsid w:val="002A3828"/>
    <w:rsid w:val="002A3A52"/>
    <w:rsid w:val="002A3B90"/>
    <w:rsid w:val="002A3C12"/>
    <w:rsid w:val="002A3CA4"/>
    <w:rsid w:val="002A3D28"/>
    <w:rsid w:val="002A3E86"/>
    <w:rsid w:val="002A3F49"/>
    <w:rsid w:val="002A4052"/>
    <w:rsid w:val="002A4481"/>
    <w:rsid w:val="002A4517"/>
    <w:rsid w:val="002A456D"/>
    <w:rsid w:val="002A4635"/>
    <w:rsid w:val="002A4686"/>
    <w:rsid w:val="002A4943"/>
    <w:rsid w:val="002A494D"/>
    <w:rsid w:val="002A4969"/>
    <w:rsid w:val="002A4A82"/>
    <w:rsid w:val="002A4B8B"/>
    <w:rsid w:val="002A4C6E"/>
    <w:rsid w:val="002A4DED"/>
    <w:rsid w:val="002A4DF6"/>
    <w:rsid w:val="002A4E4F"/>
    <w:rsid w:val="002A5030"/>
    <w:rsid w:val="002A516E"/>
    <w:rsid w:val="002A5182"/>
    <w:rsid w:val="002A51B6"/>
    <w:rsid w:val="002A530E"/>
    <w:rsid w:val="002A532A"/>
    <w:rsid w:val="002A5576"/>
    <w:rsid w:val="002A565A"/>
    <w:rsid w:val="002A587F"/>
    <w:rsid w:val="002A5CFC"/>
    <w:rsid w:val="002A5D40"/>
    <w:rsid w:val="002A5EA7"/>
    <w:rsid w:val="002A5ED4"/>
    <w:rsid w:val="002A6036"/>
    <w:rsid w:val="002A6136"/>
    <w:rsid w:val="002A61D0"/>
    <w:rsid w:val="002A6333"/>
    <w:rsid w:val="002A6382"/>
    <w:rsid w:val="002A638C"/>
    <w:rsid w:val="002A63CC"/>
    <w:rsid w:val="002A63FB"/>
    <w:rsid w:val="002A654A"/>
    <w:rsid w:val="002A667A"/>
    <w:rsid w:val="002A6832"/>
    <w:rsid w:val="002A6905"/>
    <w:rsid w:val="002A698D"/>
    <w:rsid w:val="002A6CDE"/>
    <w:rsid w:val="002A7133"/>
    <w:rsid w:val="002A7297"/>
    <w:rsid w:val="002A731B"/>
    <w:rsid w:val="002A7337"/>
    <w:rsid w:val="002A74DE"/>
    <w:rsid w:val="002A7563"/>
    <w:rsid w:val="002A75B8"/>
    <w:rsid w:val="002A7679"/>
    <w:rsid w:val="002A777E"/>
    <w:rsid w:val="002A7785"/>
    <w:rsid w:val="002A789B"/>
    <w:rsid w:val="002A7A41"/>
    <w:rsid w:val="002A7AB9"/>
    <w:rsid w:val="002A7BB3"/>
    <w:rsid w:val="002A7C23"/>
    <w:rsid w:val="002A7CD7"/>
    <w:rsid w:val="002A7D02"/>
    <w:rsid w:val="002A7D38"/>
    <w:rsid w:val="002A7D5C"/>
    <w:rsid w:val="002B0198"/>
    <w:rsid w:val="002B048F"/>
    <w:rsid w:val="002B0524"/>
    <w:rsid w:val="002B05AC"/>
    <w:rsid w:val="002B0666"/>
    <w:rsid w:val="002B0765"/>
    <w:rsid w:val="002B08B6"/>
    <w:rsid w:val="002B0AED"/>
    <w:rsid w:val="002B0D27"/>
    <w:rsid w:val="002B0D90"/>
    <w:rsid w:val="002B0DD6"/>
    <w:rsid w:val="002B0FEA"/>
    <w:rsid w:val="002B15BF"/>
    <w:rsid w:val="002B198D"/>
    <w:rsid w:val="002B1B6F"/>
    <w:rsid w:val="002B1C62"/>
    <w:rsid w:val="002B1C89"/>
    <w:rsid w:val="002B1DD2"/>
    <w:rsid w:val="002B1FFF"/>
    <w:rsid w:val="002B208C"/>
    <w:rsid w:val="002B2106"/>
    <w:rsid w:val="002B224C"/>
    <w:rsid w:val="002B2298"/>
    <w:rsid w:val="002B2314"/>
    <w:rsid w:val="002B2372"/>
    <w:rsid w:val="002B23CF"/>
    <w:rsid w:val="002B249C"/>
    <w:rsid w:val="002B268E"/>
    <w:rsid w:val="002B2799"/>
    <w:rsid w:val="002B2802"/>
    <w:rsid w:val="002B29BE"/>
    <w:rsid w:val="002B29C5"/>
    <w:rsid w:val="002B2B02"/>
    <w:rsid w:val="002B2B76"/>
    <w:rsid w:val="002B2C6F"/>
    <w:rsid w:val="002B2FD7"/>
    <w:rsid w:val="002B30EF"/>
    <w:rsid w:val="002B31C5"/>
    <w:rsid w:val="002B331A"/>
    <w:rsid w:val="002B35D5"/>
    <w:rsid w:val="002B39D8"/>
    <w:rsid w:val="002B3A7F"/>
    <w:rsid w:val="002B3AE0"/>
    <w:rsid w:val="002B3B4F"/>
    <w:rsid w:val="002B3CF8"/>
    <w:rsid w:val="002B3D00"/>
    <w:rsid w:val="002B3E5E"/>
    <w:rsid w:val="002B3EC8"/>
    <w:rsid w:val="002B3FB0"/>
    <w:rsid w:val="002B408A"/>
    <w:rsid w:val="002B40AB"/>
    <w:rsid w:val="002B410A"/>
    <w:rsid w:val="002B43A5"/>
    <w:rsid w:val="002B43F8"/>
    <w:rsid w:val="002B4476"/>
    <w:rsid w:val="002B45CA"/>
    <w:rsid w:val="002B462C"/>
    <w:rsid w:val="002B4782"/>
    <w:rsid w:val="002B49A4"/>
    <w:rsid w:val="002B4AC2"/>
    <w:rsid w:val="002B4B19"/>
    <w:rsid w:val="002B4DA8"/>
    <w:rsid w:val="002B4E5E"/>
    <w:rsid w:val="002B4FF4"/>
    <w:rsid w:val="002B5235"/>
    <w:rsid w:val="002B52E8"/>
    <w:rsid w:val="002B5409"/>
    <w:rsid w:val="002B55E2"/>
    <w:rsid w:val="002B563C"/>
    <w:rsid w:val="002B5657"/>
    <w:rsid w:val="002B58C2"/>
    <w:rsid w:val="002B5937"/>
    <w:rsid w:val="002B5A86"/>
    <w:rsid w:val="002B5A8A"/>
    <w:rsid w:val="002B5AB0"/>
    <w:rsid w:val="002B5AF2"/>
    <w:rsid w:val="002B5C54"/>
    <w:rsid w:val="002B5C7B"/>
    <w:rsid w:val="002B5D07"/>
    <w:rsid w:val="002B5DF0"/>
    <w:rsid w:val="002B5ED7"/>
    <w:rsid w:val="002B5EDE"/>
    <w:rsid w:val="002B5EEC"/>
    <w:rsid w:val="002B5FB0"/>
    <w:rsid w:val="002B5FD5"/>
    <w:rsid w:val="002B60A7"/>
    <w:rsid w:val="002B61D3"/>
    <w:rsid w:val="002B63C0"/>
    <w:rsid w:val="002B63D8"/>
    <w:rsid w:val="002B653F"/>
    <w:rsid w:val="002B66DD"/>
    <w:rsid w:val="002B6871"/>
    <w:rsid w:val="002B6873"/>
    <w:rsid w:val="002B68E5"/>
    <w:rsid w:val="002B6B40"/>
    <w:rsid w:val="002B6BEA"/>
    <w:rsid w:val="002B6C96"/>
    <w:rsid w:val="002B6D88"/>
    <w:rsid w:val="002B6F8E"/>
    <w:rsid w:val="002B7106"/>
    <w:rsid w:val="002B71B2"/>
    <w:rsid w:val="002B730C"/>
    <w:rsid w:val="002B73A8"/>
    <w:rsid w:val="002B743B"/>
    <w:rsid w:val="002B7560"/>
    <w:rsid w:val="002B78B2"/>
    <w:rsid w:val="002B79B5"/>
    <w:rsid w:val="002B79CA"/>
    <w:rsid w:val="002B7A47"/>
    <w:rsid w:val="002B7AC6"/>
    <w:rsid w:val="002B7B02"/>
    <w:rsid w:val="002B7BCE"/>
    <w:rsid w:val="002B7D44"/>
    <w:rsid w:val="002B7D9B"/>
    <w:rsid w:val="002B7E6D"/>
    <w:rsid w:val="002B7F3D"/>
    <w:rsid w:val="002B7FE1"/>
    <w:rsid w:val="002C012A"/>
    <w:rsid w:val="002C02C5"/>
    <w:rsid w:val="002C02D9"/>
    <w:rsid w:val="002C065C"/>
    <w:rsid w:val="002C06C9"/>
    <w:rsid w:val="002C076D"/>
    <w:rsid w:val="002C0895"/>
    <w:rsid w:val="002C096E"/>
    <w:rsid w:val="002C09FA"/>
    <w:rsid w:val="002C0B00"/>
    <w:rsid w:val="002C0B80"/>
    <w:rsid w:val="002C0E0F"/>
    <w:rsid w:val="002C0FB1"/>
    <w:rsid w:val="002C10FE"/>
    <w:rsid w:val="002C15BC"/>
    <w:rsid w:val="002C19DA"/>
    <w:rsid w:val="002C1CA0"/>
    <w:rsid w:val="002C1D01"/>
    <w:rsid w:val="002C1DE9"/>
    <w:rsid w:val="002C1E1D"/>
    <w:rsid w:val="002C1E25"/>
    <w:rsid w:val="002C1EA7"/>
    <w:rsid w:val="002C1EC4"/>
    <w:rsid w:val="002C1EC8"/>
    <w:rsid w:val="002C1FE4"/>
    <w:rsid w:val="002C20E0"/>
    <w:rsid w:val="002C20F4"/>
    <w:rsid w:val="002C2291"/>
    <w:rsid w:val="002C233D"/>
    <w:rsid w:val="002C23E4"/>
    <w:rsid w:val="002C2640"/>
    <w:rsid w:val="002C27C5"/>
    <w:rsid w:val="002C2AD1"/>
    <w:rsid w:val="002C2B82"/>
    <w:rsid w:val="002C2BF9"/>
    <w:rsid w:val="002C2C81"/>
    <w:rsid w:val="002C2DBE"/>
    <w:rsid w:val="002C2ED1"/>
    <w:rsid w:val="002C2FB5"/>
    <w:rsid w:val="002C2FF5"/>
    <w:rsid w:val="002C30ED"/>
    <w:rsid w:val="002C310A"/>
    <w:rsid w:val="002C311D"/>
    <w:rsid w:val="002C353E"/>
    <w:rsid w:val="002C3643"/>
    <w:rsid w:val="002C37A1"/>
    <w:rsid w:val="002C385D"/>
    <w:rsid w:val="002C393E"/>
    <w:rsid w:val="002C395A"/>
    <w:rsid w:val="002C395D"/>
    <w:rsid w:val="002C3AC3"/>
    <w:rsid w:val="002C3D0F"/>
    <w:rsid w:val="002C3E10"/>
    <w:rsid w:val="002C3EAA"/>
    <w:rsid w:val="002C3EF7"/>
    <w:rsid w:val="002C4147"/>
    <w:rsid w:val="002C41EF"/>
    <w:rsid w:val="002C4297"/>
    <w:rsid w:val="002C42C0"/>
    <w:rsid w:val="002C43F9"/>
    <w:rsid w:val="002C44C7"/>
    <w:rsid w:val="002C4560"/>
    <w:rsid w:val="002C46D2"/>
    <w:rsid w:val="002C480D"/>
    <w:rsid w:val="002C4868"/>
    <w:rsid w:val="002C4AA8"/>
    <w:rsid w:val="002C4B0A"/>
    <w:rsid w:val="002C4B25"/>
    <w:rsid w:val="002C4C69"/>
    <w:rsid w:val="002C4D12"/>
    <w:rsid w:val="002C4F64"/>
    <w:rsid w:val="002C50C2"/>
    <w:rsid w:val="002C51D2"/>
    <w:rsid w:val="002C5732"/>
    <w:rsid w:val="002C5989"/>
    <w:rsid w:val="002C59DD"/>
    <w:rsid w:val="002C5B62"/>
    <w:rsid w:val="002C5B94"/>
    <w:rsid w:val="002C5E62"/>
    <w:rsid w:val="002C605A"/>
    <w:rsid w:val="002C6155"/>
    <w:rsid w:val="002C618F"/>
    <w:rsid w:val="002C622C"/>
    <w:rsid w:val="002C64C9"/>
    <w:rsid w:val="002C66CE"/>
    <w:rsid w:val="002C67A5"/>
    <w:rsid w:val="002C6807"/>
    <w:rsid w:val="002C6A44"/>
    <w:rsid w:val="002C6C5A"/>
    <w:rsid w:val="002C6DA5"/>
    <w:rsid w:val="002C6FE1"/>
    <w:rsid w:val="002C70F2"/>
    <w:rsid w:val="002C7236"/>
    <w:rsid w:val="002C7240"/>
    <w:rsid w:val="002C72F0"/>
    <w:rsid w:val="002C7472"/>
    <w:rsid w:val="002C7553"/>
    <w:rsid w:val="002C7557"/>
    <w:rsid w:val="002C75A7"/>
    <w:rsid w:val="002C77DF"/>
    <w:rsid w:val="002C7BC3"/>
    <w:rsid w:val="002C7C22"/>
    <w:rsid w:val="002C7D6D"/>
    <w:rsid w:val="002C7EC3"/>
    <w:rsid w:val="002C7ECA"/>
    <w:rsid w:val="002D011D"/>
    <w:rsid w:val="002D01A8"/>
    <w:rsid w:val="002D0219"/>
    <w:rsid w:val="002D0248"/>
    <w:rsid w:val="002D050A"/>
    <w:rsid w:val="002D051C"/>
    <w:rsid w:val="002D06FC"/>
    <w:rsid w:val="002D0771"/>
    <w:rsid w:val="002D0867"/>
    <w:rsid w:val="002D08B7"/>
    <w:rsid w:val="002D0A8B"/>
    <w:rsid w:val="002D0AEE"/>
    <w:rsid w:val="002D0D97"/>
    <w:rsid w:val="002D1139"/>
    <w:rsid w:val="002D11A5"/>
    <w:rsid w:val="002D1238"/>
    <w:rsid w:val="002D13E0"/>
    <w:rsid w:val="002D16EF"/>
    <w:rsid w:val="002D198E"/>
    <w:rsid w:val="002D1BB6"/>
    <w:rsid w:val="002D1D28"/>
    <w:rsid w:val="002D1D50"/>
    <w:rsid w:val="002D1D8D"/>
    <w:rsid w:val="002D1DEC"/>
    <w:rsid w:val="002D1E9C"/>
    <w:rsid w:val="002D21BD"/>
    <w:rsid w:val="002D241F"/>
    <w:rsid w:val="002D25B6"/>
    <w:rsid w:val="002D27E0"/>
    <w:rsid w:val="002D2842"/>
    <w:rsid w:val="002D29DB"/>
    <w:rsid w:val="002D2B52"/>
    <w:rsid w:val="002D2C9F"/>
    <w:rsid w:val="002D2E04"/>
    <w:rsid w:val="002D3196"/>
    <w:rsid w:val="002D3281"/>
    <w:rsid w:val="002D32DF"/>
    <w:rsid w:val="002D3374"/>
    <w:rsid w:val="002D3476"/>
    <w:rsid w:val="002D34B5"/>
    <w:rsid w:val="002D38FB"/>
    <w:rsid w:val="002D397A"/>
    <w:rsid w:val="002D3981"/>
    <w:rsid w:val="002D39C1"/>
    <w:rsid w:val="002D3A59"/>
    <w:rsid w:val="002D3BBE"/>
    <w:rsid w:val="002D3CC8"/>
    <w:rsid w:val="002D3DA3"/>
    <w:rsid w:val="002D3DAB"/>
    <w:rsid w:val="002D3DF6"/>
    <w:rsid w:val="002D4002"/>
    <w:rsid w:val="002D4031"/>
    <w:rsid w:val="002D41AC"/>
    <w:rsid w:val="002D4203"/>
    <w:rsid w:val="002D4470"/>
    <w:rsid w:val="002D45AA"/>
    <w:rsid w:val="002D45AE"/>
    <w:rsid w:val="002D464F"/>
    <w:rsid w:val="002D4793"/>
    <w:rsid w:val="002D47F5"/>
    <w:rsid w:val="002D4825"/>
    <w:rsid w:val="002D48F2"/>
    <w:rsid w:val="002D4AA0"/>
    <w:rsid w:val="002D4BB2"/>
    <w:rsid w:val="002D4E5C"/>
    <w:rsid w:val="002D4F0F"/>
    <w:rsid w:val="002D51EC"/>
    <w:rsid w:val="002D52B3"/>
    <w:rsid w:val="002D53F1"/>
    <w:rsid w:val="002D548D"/>
    <w:rsid w:val="002D558F"/>
    <w:rsid w:val="002D55E0"/>
    <w:rsid w:val="002D55E2"/>
    <w:rsid w:val="002D5693"/>
    <w:rsid w:val="002D56B8"/>
    <w:rsid w:val="002D5703"/>
    <w:rsid w:val="002D58E3"/>
    <w:rsid w:val="002D5E4A"/>
    <w:rsid w:val="002D5F64"/>
    <w:rsid w:val="002D603B"/>
    <w:rsid w:val="002D60ED"/>
    <w:rsid w:val="002D6238"/>
    <w:rsid w:val="002D63DF"/>
    <w:rsid w:val="002D6439"/>
    <w:rsid w:val="002D653E"/>
    <w:rsid w:val="002D65BA"/>
    <w:rsid w:val="002D67B8"/>
    <w:rsid w:val="002D67CC"/>
    <w:rsid w:val="002D6899"/>
    <w:rsid w:val="002D6C7D"/>
    <w:rsid w:val="002D6D38"/>
    <w:rsid w:val="002D6DAE"/>
    <w:rsid w:val="002D6DCA"/>
    <w:rsid w:val="002D6E5F"/>
    <w:rsid w:val="002D6FC5"/>
    <w:rsid w:val="002D7197"/>
    <w:rsid w:val="002D731E"/>
    <w:rsid w:val="002D7395"/>
    <w:rsid w:val="002D7423"/>
    <w:rsid w:val="002D74E9"/>
    <w:rsid w:val="002D7864"/>
    <w:rsid w:val="002D786F"/>
    <w:rsid w:val="002D7A12"/>
    <w:rsid w:val="002D7B2A"/>
    <w:rsid w:val="002D7BA0"/>
    <w:rsid w:val="002D7C28"/>
    <w:rsid w:val="002D7D60"/>
    <w:rsid w:val="002D7EA4"/>
    <w:rsid w:val="002E0034"/>
    <w:rsid w:val="002E012F"/>
    <w:rsid w:val="002E0137"/>
    <w:rsid w:val="002E02E2"/>
    <w:rsid w:val="002E0384"/>
    <w:rsid w:val="002E05CF"/>
    <w:rsid w:val="002E0672"/>
    <w:rsid w:val="002E083F"/>
    <w:rsid w:val="002E084D"/>
    <w:rsid w:val="002E088F"/>
    <w:rsid w:val="002E09D6"/>
    <w:rsid w:val="002E0A1C"/>
    <w:rsid w:val="002E0C24"/>
    <w:rsid w:val="002E0DBB"/>
    <w:rsid w:val="002E0E4A"/>
    <w:rsid w:val="002E102C"/>
    <w:rsid w:val="002E1297"/>
    <w:rsid w:val="002E13A4"/>
    <w:rsid w:val="002E1509"/>
    <w:rsid w:val="002E158C"/>
    <w:rsid w:val="002E1591"/>
    <w:rsid w:val="002E15D6"/>
    <w:rsid w:val="002E1810"/>
    <w:rsid w:val="002E1811"/>
    <w:rsid w:val="002E187D"/>
    <w:rsid w:val="002E1ACA"/>
    <w:rsid w:val="002E1ADF"/>
    <w:rsid w:val="002E1AE4"/>
    <w:rsid w:val="002E1D35"/>
    <w:rsid w:val="002E1DD9"/>
    <w:rsid w:val="002E1F5C"/>
    <w:rsid w:val="002E20E4"/>
    <w:rsid w:val="002E20F0"/>
    <w:rsid w:val="002E23CA"/>
    <w:rsid w:val="002E23E9"/>
    <w:rsid w:val="002E2484"/>
    <w:rsid w:val="002E251B"/>
    <w:rsid w:val="002E261E"/>
    <w:rsid w:val="002E276A"/>
    <w:rsid w:val="002E277D"/>
    <w:rsid w:val="002E27D0"/>
    <w:rsid w:val="002E29D8"/>
    <w:rsid w:val="002E2B37"/>
    <w:rsid w:val="002E2C89"/>
    <w:rsid w:val="002E2CF1"/>
    <w:rsid w:val="002E2D40"/>
    <w:rsid w:val="002E2DEA"/>
    <w:rsid w:val="002E2E1D"/>
    <w:rsid w:val="002E2ECD"/>
    <w:rsid w:val="002E315E"/>
    <w:rsid w:val="002E321E"/>
    <w:rsid w:val="002E32C8"/>
    <w:rsid w:val="002E355C"/>
    <w:rsid w:val="002E36E3"/>
    <w:rsid w:val="002E3742"/>
    <w:rsid w:val="002E37A7"/>
    <w:rsid w:val="002E37FF"/>
    <w:rsid w:val="002E3854"/>
    <w:rsid w:val="002E3ADD"/>
    <w:rsid w:val="002E3BA6"/>
    <w:rsid w:val="002E3CEE"/>
    <w:rsid w:val="002E3D45"/>
    <w:rsid w:val="002E3D68"/>
    <w:rsid w:val="002E3DD8"/>
    <w:rsid w:val="002E3FCA"/>
    <w:rsid w:val="002E42D2"/>
    <w:rsid w:val="002E454D"/>
    <w:rsid w:val="002E4799"/>
    <w:rsid w:val="002E4ADA"/>
    <w:rsid w:val="002E4B49"/>
    <w:rsid w:val="002E4BF2"/>
    <w:rsid w:val="002E4C84"/>
    <w:rsid w:val="002E4E50"/>
    <w:rsid w:val="002E4F83"/>
    <w:rsid w:val="002E525F"/>
    <w:rsid w:val="002E533C"/>
    <w:rsid w:val="002E53B3"/>
    <w:rsid w:val="002E54B2"/>
    <w:rsid w:val="002E5670"/>
    <w:rsid w:val="002E5833"/>
    <w:rsid w:val="002E58D3"/>
    <w:rsid w:val="002E592D"/>
    <w:rsid w:val="002E5B82"/>
    <w:rsid w:val="002E5CA9"/>
    <w:rsid w:val="002E5D3C"/>
    <w:rsid w:val="002E5F12"/>
    <w:rsid w:val="002E5F5F"/>
    <w:rsid w:val="002E6245"/>
    <w:rsid w:val="002E6472"/>
    <w:rsid w:val="002E6504"/>
    <w:rsid w:val="002E6590"/>
    <w:rsid w:val="002E65F4"/>
    <w:rsid w:val="002E662A"/>
    <w:rsid w:val="002E6988"/>
    <w:rsid w:val="002E6A3E"/>
    <w:rsid w:val="002E6B60"/>
    <w:rsid w:val="002E6B84"/>
    <w:rsid w:val="002E6B8F"/>
    <w:rsid w:val="002E6CEB"/>
    <w:rsid w:val="002E6E2A"/>
    <w:rsid w:val="002E6E37"/>
    <w:rsid w:val="002E6E55"/>
    <w:rsid w:val="002E6FEA"/>
    <w:rsid w:val="002E72C1"/>
    <w:rsid w:val="002E730F"/>
    <w:rsid w:val="002E731D"/>
    <w:rsid w:val="002E737B"/>
    <w:rsid w:val="002E770B"/>
    <w:rsid w:val="002E7844"/>
    <w:rsid w:val="002E785F"/>
    <w:rsid w:val="002E78A1"/>
    <w:rsid w:val="002E7B2D"/>
    <w:rsid w:val="002E7C5B"/>
    <w:rsid w:val="002E7CA2"/>
    <w:rsid w:val="002E7EA1"/>
    <w:rsid w:val="002E7EE6"/>
    <w:rsid w:val="002F000D"/>
    <w:rsid w:val="002F0316"/>
    <w:rsid w:val="002F037A"/>
    <w:rsid w:val="002F0438"/>
    <w:rsid w:val="002F0691"/>
    <w:rsid w:val="002F0696"/>
    <w:rsid w:val="002F0854"/>
    <w:rsid w:val="002F0868"/>
    <w:rsid w:val="002F088D"/>
    <w:rsid w:val="002F08C5"/>
    <w:rsid w:val="002F0907"/>
    <w:rsid w:val="002F0954"/>
    <w:rsid w:val="002F09C8"/>
    <w:rsid w:val="002F0AC5"/>
    <w:rsid w:val="002F0BE3"/>
    <w:rsid w:val="002F0F22"/>
    <w:rsid w:val="002F0FBE"/>
    <w:rsid w:val="002F11F2"/>
    <w:rsid w:val="002F1322"/>
    <w:rsid w:val="002F1447"/>
    <w:rsid w:val="002F146E"/>
    <w:rsid w:val="002F1479"/>
    <w:rsid w:val="002F152B"/>
    <w:rsid w:val="002F15E7"/>
    <w:rsid w:val="002F1626"/>
    <w:rsid w:val="002F1638"/>
    <w:rsid w:val="002F1901"/>
    <w:rsid w:val="002F19C5"/>
    <w:rsid w:val="002F1B14"/>
    <w:rsid w:val="002F1E20"/>
    <w:rsid w:val="002F1FC1"/>
    <w:rsid w:val="002F20F9"/>
    <w:rsid w:val="002F2103"/>
    <w:rsid w:val="002F2222"/>
    <w:rsid w:val="002F24A5"/>
    <w:rsid w:val="002F25A1"/>
    <w:rsid w:val="002F2ABC"/>
    <w:rsid w:val="002F2DF6"/>
    <w:rsid w:val="002F30E0"/>
    <w:rsid w:val="002F310B"/>
    <w:rsid w:val="002F315A"/>
    <w:rsid w:val="002F3405"/>
    <w:rsid w:val="002F342C"/>
    <w:rsid w:val="002F3773"/>
    <w:rsid w:val="002F3976"/>
    <w:rsid w:val="002F3994"/>
    <w:rsid w:val="002F3CF3"/>
    <w:rsid w:val="002F3D44"/>
    <w:rsid w:val="002F3DEE"/>
    <w:rsid w:val="002F42BC"/>
    <w:rsid w:val="002F463D"/>
    <w:rsid w:val="002F4737"/>
    <w:rsid w:val="002F4A50"/>
    <w:rsid w:val="002F4B1E"/>
    <w:rsid w:val="002F4D1B"/>
    <w:rsid w:val="002F4D63"/>
    <w:rsid w:val="002F4DBC"/>
    <w:rsid w:val="002F4E5D"/>
    <w:rsid w:val="002F4E64"/>
    <w:rsid w:val="002F4E81"/>
    <w:rsid w:val="002F4EFF"/>
    <w:rsid w:val="002F50E2"/>
    <w:rsid w:val="002F50FD"/>
    <w:rsid w:val="002F5141"/>
    <w:rsid w:val="002F516B"/>
    <w:rsid w:val="002F51D0"/>
    <w:rsid w:val="002F525F"/>
    <w:rsid w:val="002F529A"/>
    <w:rsid w:val="002F55AC"/>
    <w:rsid w:val="002F56C2"/>
    <w:rsid w:val="002F56FF"/>
    <w:rsid w:val="002F57B5"/>
    <w:rsid w:val="002F589E"/>
    <w:rsid w:val="002F5B88"/>
    <w:rsid w:val="002F5C5B"/>
    <w:rsid w:val="002F5D10"/>
    <w:rsid w:val="002F5FDB"/>
    <w:rsid w:val="002F616A"/>
    <w:rsid w:val="002F627A"/>
    <w:rsid w:val="002F649C"/>
    <w:rsid w:val="002F670A"/>
    <w:rsid w:val="002F67B3"/>
    <w:rsid w:val="002F6865"/>
    <w:rsid w:val="002F6AC4"/>
    <w:rsid w:val="002F6CDA"/>
    <w:rsid w:val="002F6DEB"/>
    <w:rsid w:val="002F6E43"/>
    <w:rsid w:val="002F6FD4"/>
    <w:rsid w:val="002F7037"/>
    <w:rsid w:val="002F70AA"/>
    <w:rsid w:val="002F7148"/>
    <w:rsid w:val="002F72A4"/>
    <w:rsid w:val="002F72FD"/>
    <w:rsid w:val="002F7690"/>
    <w:rsid w:val="002F7A7A"/>
    <w:rsid w:val="002F7C31"/>
    <w:rsid w:val="002F7CC2"/>
    <w:rsid w:val="002F7E66"/>
    <w:rsid w:val="002F7FB1"/>
    <w:rsid w:val="003000F1"/>
    <w:rsid w:val="003003D8"/>
    <w:rsid w:val="00300430"/>
    <w:rsid w:val="00300489"/>
    <w:rsid w:val="0030051B"/>
    <w:rsid w:val="00300561"/>
    <w:rsid w:val="003006DE"/>
    <w:rsid w:val="0030084D"/>
    <w:rsid w:val="00300A6F"/>
    <w:rsid w:val="00300BB2"/>
    <w:rsid w:val="00300E1D"/>
    <w:rsid w:val="0030124B"/>
    <w:rsid w:val="00301274"/>
    <w:rsid w:val="00301510"/>
    <w:rsid w:val="003016FF"/>
    <w:rsid w:val="0030176C"/>
    <w:rsid w:val="0030177A"/>
    <w:rsid w:val="00301791"/>
    <w:rsid w:val="0030186C"/>
    <w:rsid w:val="003018ED"/>
    <w:rsid w:val="00301935"/>
    <w:rsid w:val="003019EC"/>
    <w:rsid w:val="00301A21"/>
    <w:rsid w:val="00301A66"/>
    <w:rsid w:val="00301AF6"/>
    <w:rsid w:val="00301CBB"/>
    <w:rsid w:val="00301EC2"/>
    <w:rsid w:val="00301FEE"/>
    <w:rsid w:val="00302045"/>
    <w:rsid w:val="00302108"/>
    <w:rsid w:val="003021B5"/>
    <w:rsid w:val="0030239B"/>
    <w:rsid w:val="0030241E"/>
    <w:rsid w:val="00302451"/>
    <w:rsid w:val="0030274B"/>
    <w:rsid w:val="00302753"/>
    <w:rsid w:val="0030279F"/>
    <w:rsid w:val="003028E1"/>
    <w:rsid w:val="003029A1"/>
    <w:rsid w:val="00302B62"/>
    <w:rsid w:val="00302EAB"/>
    <w:rsid w:val="00302F26"/>
    <w:rsid w:val="00302FA3"/>
    <w:rsid w:val="0030311A"/>
    <w:rsid w:val="00303151"/>
    <w:rsid w:val="0030318A"/>
    <w:rsid w:val="0030330F"/>
    <w:rsid w:val="00303319"/>
    <w:rsid w:val="003033AF"/>
    <w:rsid w:val="003034D4"/>
    <w:rsid w:val="00303558"/>
    <w:rsid w:val="003037E8"/>
    <w:rsid w:val="003038D3"/>
    <w:rsid w:val="003038F1"/>
    <w:rsid w:val="0030391B"/>
    <w:rsid w:val="00303924"/>
    <w:rsid w:val="003039C4"/>
    <w:rsid w:val="003039DA"/>
    <w:rsid w:val="00303ABF"/>
    <w:rsid w:val="00303B27"/>
    <w:rsid w:val="00303CE8"/>
    <w:rsid w:val="00303E73"/>
    <w:rsid w:val="00304029"/>
    <w:rsid w:val="0030407A"/>
    <w:rsid w:val="00304271"/>
    <w:rsid w:val="003043D2"/>
    <w:rsid w:val="003043D7"/>
    <w:rsid w:val="0030445B"/>
    <w:rsid w:val="003044C6"/>
    <w:rsid w:val="003044E8"/>
    <w:rsid w:val="00304520"/>
    <w:rsid w:val="0030482C"/>
    <w:rsid w:val="00304B91"/>
    <w:rsid w:val="00304CC7"/>
    <w:rsid w:val="00304DE4"/>
    <w:rsid w:val="00304ED7"/>
    <w:rsid w:val="00304FD5"/>
    <w:rsid w:val="003050CA"/>
    <w:rsid w:val="0030511A"/>
    <w:rsid w:val="003051A8"/>
    <w:rsid w:val="0030531B"/>
    <w:rsid w:val="003054A2"/>
    <w:rsid w:val="003055E0"/>
    <w:rsid w:val="0030599F"/>
    <w:rsid w:val="003059FE"/>
    <w:rsid w:val="00305A29"/>
    <w:rsid w:val="00305B7E"/>
    <w:rsid w:val="00305C7B"/>
    <w:rsid w:val="00305D3F"/>
    <w:rsid w:val="00305D81"/>
    <w:rsid w:val="00305DC3"/>
    <w:rsid w:val="003060D9"/>
    <w:rsid w:val="0030671E"/>
    <w:rsid w:val="00306A50"/>
    <w:rsid w:val="00306A77"/>
    <w:rsid w:val="00306D1A"/>
    <w:rsid w:val="00306DF4"/>
    <w:rsid w:val="00306FEF"/>
    <w:rsid w:val="00307313"/>
    <w:rsid w:val="0030732D"/>
    <w:rsid w:val="00307415"/>
    <w:rsid w:val="00307554"/>
    <w:rsid w:val="0030769F"/>
    <w:rsid w:val="00307910"/>
    <w:rsid w:val="003079C2"/>
    <w:rsid w:val="003079D0"/>
    <w:rsid w:val="00307A66"/>
    <w:rsid w:val="00307D37"/>
    <w:rsid w:val="00307DFA"/>
    <w:rsid w:val="00310094"/>
    <w:rsid w:val="00310260"/>
    <w:rsid w:val="003103A5"/>
    <w:rsid w:val="003104D2"/>
    <w:rsid w:val="00310515"/>
    <w:rsid w:val="003105C1"/>
    <w:rsid w:val="003105DB"/>
    <w:rsid w:val="00310640"/>
    <w:rsid w:val="00310691"/>
    <w:rsid w:val="0031075A"/>
    <w:rsid w:val="003109D4"/>
    <w:rsid w:val="00310A3C"/>
    <w:rsid w:val="00310BAA"/>
    <w:rsid w:val="00310C53"/>
    <w:rsid w:val="00310C8F"/>
    <w:rsid w:val="00310F8E"/>
    <w:rsid w:val="003110C9"/>
    <w:rsid w:val="00311264"/>
    <w:rsid w:val="0031167D"/>
    <w:rsid w:val="003116D2"/>
    <w:rsid w:val="00311962"/>
    <w:rsid w:val="00311E50"/>
    <w:rsid w:val="00311E6A"/>
    <w:rsid w:val="00311E86"/>
    <w:rsid w:val="00311F27"/>
    <w:rsid w:val="00311F91"/>
    <w:rsid w:val="0031223C"/>
    <w:rsid w:val="00312614"/>
    <w:rsid w:val="0031268F"/>
    <w:rsid w:val="00312BBA"/>
    <w:rsid w:val="00312C92"/>
    <w:rsid w:val="00312D1D"/>
    <w:rsid w:val="00312D53"/>
    <w:rsid w:val="00312E36"/>
    <w:rsid w:val="00312EC7"/>
    <w:rsid w:val="0031325C"/>
    <w:rsid w:val="003134AC"/>
    <w:rsid w:val="0031371E"/>
    <w:rsid w:val="00313A3F"/>
    <w:rsid w:val="00313A55"/>
    <w:rsid w:val="00313AA5"/>
    <w:rsid w:val="00313AD6"/>
    <w:rsid w:val="00313FC5"/>
    <w:rsid w:val="003142F1"/>
    <w:rsid w:val="003143B6"/>
    <w:rsid w:val="0031456C"/>
    <w:rsid w:val="00314889"/>
    <w:rsid w:val="003149F3"/>
    <w:rsid w:val="00314D16"/>
    <w:rsid w:val="0031507E"/>
    <w:rsid w:val="0031520E"/>
    <w:rsid w:val="00315293"/>
    <w:rsid w:val="0031552C"/>
    <w:rsid w:val="00315593"/>
    <w:rsid w:val="0031569F"/>
    <w:rsid w:val="003157B5"/>
    <w:rsid w:val="00315A71"/>
    <w:rsid w:val="00315BCB"/>
    <w:rsid w:val="00315CB3"/>
    <w:rsid w:val="00315D0E"/>
    <w:rsid w:val="00315ECC"/>
    <w:rsid w:val="00316121"/>
    <w:rsid w:val="003162FA"/>
    <w:rsid w:val="0031636F"/>
    <w:rsid w:val="0031643A"/>
    <w:rsid w:val="003165F8"/>
    <w:rsid w:val="0031663D"/>
    <w:rsid w:val="003166A1"/>
    <w:rsid w:val="003166A4"/>
    <w:rsid w:val="00316784"/>
    <w:rsid w:val="0031684A"/>
    <w:rsid w:val="00316BEB"/>
    <w:rsid w:val="00316DE5"/>
    <w:rsid w:val="00317090"/>
    <w:rsid w:val="0031725E"/>
    <w:rsid w:val="003173B8"/>
    <w:rsid w:val="003173F3"/>
    <w:rsid w:val="0031768C"/>
    <w:rsid w:val="003177DB"/>
    <w:rsid w:val="00317CF5"/>
    <w:rsid w:val="003201E5"/>
    <w:rsid w:val="003204BB"/>
    <w:rsid w:val="00320552"/>
    <w:rsid w:val="003205B1"/>
    <w:rsid w:val="0032089F"/>
    <w:rsid w:val="00320978"/>
    <w:rsid w:val="00320C02"/>
    <w:rsid w:val="00320CA7"/>
    <w:rsid w:val="00320CFE"/>
    <w:rsid w:val="003212F3"/>
    <w:rsid w:val="0032130E"/>
    <w:rsid w:val="00321372"/>
    <w:rsid w:val="003213D9"/>
    <w:rsid w:val="0032154B"/>
    <w:rsid w:val="0032159B"/>
    <w:rsid w:val="00321652"/>
    <w:rsid w:val="0032167D"/>
    <w:rsid w:val="0032192F"/>
    <w:rsid w:val="00321948"/>
    <w:rsid w:val="00321A0E"/>
    <w:rsid w:val="00321A83"/>
    <w:rsid w:val="00321C11"/>
    <w:rsid w:val="00321CBA"/>
    <w:rsid w:val="00321D2E"/>
    <w:rsid w:val="00321D7C"/>
    <w:rsid w:val="00321E2B"/>
    <w:rsid w:val="00321E6A"/>
    <w:rsid w:val="003220A7"/>
    <w:rsid w:val="003220E4"/>
    <w:rsid w:val="003221F7"/>
    <w:rsid w:val="003222ED"/>
    <w:rsid w:val="00322694"/>
    <w:rsid w:val="003226A9"/>
    <w:rsid w:val="003229B3"/>
    <w:rsid w:val="00322BC4"/>
    <w:rsid w:val="00322CA3"/>
    <w:rsid w:val="00322F47"/>
    <w:rsid w:val="003230D9"/>
    <w:rsid w:val="00323115"/>
    <w:rsid w:val="0032319C"/>
    <w:rsid w:val="00323392"/>
    <w:rsid w:val="003233D9"/>
    <w:rsid w:val="0032350D"/>
    <w:rsid w:val="00323593"/>
    <w:rsid w:val="003235AA"/>
    <w:rsid w:val="003235B3"/>
    <w:rsid w:val="00323709"/>
    <w:rsid w:val="003237DB"/>
    <w:rsid w:val="003239BD"/>
    <w:rsid w:val="00323B3D"/>
    <w:rsid w:val="00323CBD"/>
    <w:rsid w:val="00323D7B"/>
    <w:rsid w:val="00323DDC"/>
    <w:rsid w:val="0032411E"/>
    <w:rsid w:val="003249F4"/>
    <w:rsid w:val="00324AD5"/>
    <w:rsid w:val="00324C36"/>
    <w:rsid w:val="00324CE3"/>
    <w:rsid w:val="00324FAA"/>
    <w:rsid w:val="00324FB6"/>
    <w:rsid w:val="00324FF7"/>
    <w:rsid w:val="00325083"/>
    <w:rsid w:val="003250A0"/>
    <w:rsid w:val="00325196"/>
    <w:rsid w:val="00325307"/>
    <w:rsid w:val="0032537D"/>
    <w:rsid w:val="00325592"/>
    <w:rsid w:val="003256D6"/>
    <w:rsid w:val="00325936"/>
    <w:rsid w:val="0032593F"/>
    <w:rsid w:val="00325C4B"/>
    <w:rsid w:val="00325D5B"/>
    <w:rsid w:val="00325D9B"/>
    <w:rsid w:val="00325DF4"/>
    <w:rsid w:val="00325E8B"/>
    <w:rsid w:val="00326313"/>
    <w:rsid w:val="0032639A"/>
    <w:rsid w:val="003266D3"/>
    <w:rsid w:val="00326763"/>
    <w:rsid w:val="003268A9"/>
    <w:rsid w:val="00326998"/>
    <w:rsid w:val="00326B74"/>
    <w:rsid w:val="00326C09"/>
    <w:rsid w:val="00326C59"/>
    <w:rsid w:val="00326C61"/>
    <w:rsid w:val="00326DAA"/>
    <w:rsid w:val="00327204"/>
    <w:rsid w:val="003273BB"/>
    <w:rsid w:val="003273CE"/>
    <w:rsid w:val="00327582"/>
    <w:rsid w:val="00327631"/>
    <w:rsid w:val="0032763A"/>
    <w:rsid w:val="00327823"/>
    <w:rsid w:val="00327C52"/>
    <w:rsid w:val="00327E63"/>
    <w:rsid w:val="00327E70"/>
    <w:rsid w:val="00327EA7"/>
    <w:rsid w:val="00327F2D"/>
    <w:rsid w:val="00330056"/>
    <w:rsid w:val="0033048F"/>
    <w:rsid w:val="0033056C"/>
    <w:rsid w:val="0033067E"/>
    <w:rsid w:val="00330728"/>
    <w:rsid w:val="00330786"/>
    <w:rsid w:val="003307D2"/>
    <w:rsid w:val="00330834"/>
    <w:rsid w:val="00330A00"/>
    <w:rsid w:val="00330ACE"/>
    <w:rsid w:val="00330B1A"/>
    <w:rsid w:val="00330B1E"/>
    <w:rsid w:val="00330EA7"/>
    <w:rsid w:val="00330F9E"/>
    <w:rsid w:val="0033101A"/>
    <w:rsid w:val="00331197"/>
    <w:rsid w:val="00331435"/>
    <w:rsid w:val="0033164C"/>
    <w:rsid w:val="00331694"/>
    <w:rsid w:val="003316E2"/>
    <w:rsid w:val="003317B1"/>
    <w:rsid w:val="0033184B"/>
    <w:rsid w:val="00331872"/>
    <w:rsid w:val="003318BD"/>
    <w:rsid w:val="00331BD9"/>
    <w:rsid w:val="00331E8E"/>
    <w:rsid w:val="00331EED"/>
    <w:rsid w:val="00331F6A"/>
    <w:rsid w:val="0033204F"/>
    <w:rsid w:val="003321D7"/>
    <w:rsid w:val="0033221D"/>
    <w:rsid w:val="00332263"/>
    <w:rsid w:val="003322AA"/>
    <w:rsid w:val="00332377"/>
    <w:rsid w:val="00332432"/>
    <w:rsid w:val="003324AD"/>
    <w:rsid w:val="00332519"/>
    <w:rsid w:val="003326E2"/>
    <w:rsid w:val="00332ABA"/>
    <w:rsid w:val="00332B15"/>
    <w:rsid w:val="00332F27"/>
    <w:rsid w:val="00332FD7"/>
    <w:rsid w:val="0033306C"/>
    <w:rsid w:val="003330B1"/>
    <w:rsid w:val="003331F6"/>
    <w:rsid w:val="003333B4"/>
    <w:rsid w:val="00333793"/>
    <w:rsid w:val="00333A52"/>
    <w:rsid w:val="00333E10"/>
    <w:rsid w:val="00333F19"/>
    <w:rsid w:val="00333F1B"/>
    <w:rsid w:val="00333FBC"/>
    <w:rsid w:val="003341E7"/>
    <w:rsid w:val="0033435B"/>
    <w:rsid w:val="0033441A"/>
    <w:rsid w:val="00334553"/>
    <w:rsid w:val="00334576"/>
    <w:rsid w:val="003346AF"/>
    <w:rsid w:val="003346C1"/>
    <w:rsid w:val="00334765"/>
    <w:rsid w:val="00334901"/>
    <w:rsid w:val="00334976"/>
    <w:rsid w:val="00334BFD"/>
    <w:rsid w:val="00334C83"/>
    <w:rsid w:val="00334CD0"/>
    <w:rsid w:val="00334D73"/>
    <w:rsid w:val="00334D78"/>
    <w:rsid w:val="00334D82"/>
    <w:rsid w:val="00334F5F"/>
    <w:rsid w:val="00334F92"/>
    <w:rsid w:val="00335677"/>
    <w:rsid w:val="003356B8"/>
    <w:rsid w:val="00335707"/>
    <w:rsid w:val="0033572C"/>
    <w:rsid w:val="00335865"/>
    <w:rsid w:val="003358C0"/>
    <w:rsid w:val="003359D5"/>
    <w:rsid w:val="00335BC4"/>
    <w:rsid w:val="00335C22"/>
    <w:rsid w:val="00335FB0"/>
    <w:rsid w:val="00335FF4"/>
    <w:rsid w:val="003360F2"/>
    <w:rsid w:val="0033614D"/>
    <w:rsid w:val="00336303"/>
    <w:rsid w:val="0033631C"/>
    <w:rsid w:val="00336366"/>
    <w:rsid w:val="00336580"/>
    <w:rsid w:val="00336829"/>
    <w:rsid w:val="0033686E"/>
    <w:rsid w:val="00336C19"/>
    <w:rsid w:val="00336C8F"/>
    <w:rsid w:val="00336D36"/>
    <w:rsid w:val="00336EF9"/>
    <w:rsid w:val="0033708A"/>
    <w:rsid w:val="00337361"/>
    <w:rsid w:val="00337370"/>
    <w:rsid w:val="0033767E"/>
    <w:rsid w:val="00337695"/>
    <w:rsid w:val="003376C5"/>
    <w:rsid w:val="003376DF"/>
    <w:rsid w:val="003377F1"/>
    <w:rsid w:val="00337B32"/>
    <w:rsid w:val="00337B70"/>
    <w:rsid w:val="00337BFE"/>
    <w:rsid w:val="00337D00"/>
    <w:rsid w:val="00337E20"/>
    <w:rsid w:val="00337F81"/>
    <w:rsid w:val="00337FB9"/>
    <w:rsid w:val="00337FC6"/>
    <w:rsid w:val="00337FEE"/>
    <w:rsid w:val="003401B9"/>
    <w:rsid w:val="003402D8"/>
    <w:rsid w:val="003402E1"/>
    <w:rsid w:val="0034042A"/>
    <w:rsid w:val="003405AA"/>
    <w:rsid w:val="0034067C"/>
    <w:rsid w:val="0034072E"/>
    <w:rsid w:val="00340818"/>
    <w:rsid w:val="00340922"/>
    <w:rsid w:val="00340B0B"/>
    <w:rsid w:val="00340BC0"/>
    <w:rsid w:val="00340D0E"/>
    <w:rsid w:val="00340D3C"/>
    <w:rsid w:val="00340DA2"/>
    <w:rsid w:val="00340E2C"/>
    <w:rsid w:val="00340EC5"/>
    <w:rsid w:val="00340FCD"/>
    <w:rsid w:val="003410E7"/>
    <w:rsid w:val="003414CD"/>
    <w:rsid w:val="003414D2"/>
    <w:rsid w:val="0034169F"/>
    <w:rsid w:val="00341761"/>
    <w:rsid w:val="00341800"/>
    <w:rsid w:val="00341941"/>
    <w:rsid w:val="003419A3"/>
    <w:rsid w:val="00341C74"/>
    <w:rsid w:val="003420B6"/>
    <w:rsid w:val="003422B0"/>
    <w:rsid w:val="003423B9"/>
    <w:rsid w:val="00342785"/>
    <w:rsid w:val="003428E4"/>
    <w:rsid w:val="00342A41"/>
    <w:rsid w:val="00342C25"/>
    <w:rsid w:val="00342CF6"/>
    <w:rsid w:val="003430EC"/>
    <w:rsid w:val="003431A8"/>
    <w:rsid w:val="003433EA"/>
    <w:rsid w:val="00343458"/>
    <w:rsid w:val="003437AC"/>
    <w:rsid w:val="003437D9"/>
    <w:rsid w:val="00343829"/>
    <w:rsid w:val="0034386D"/>
    <w:rsid w:val="003438B6"/>
    <w:rsid w:val="003439EB"/>
    <w:rsid w:val="00343A84"/>
    <w:rsid w:val="00343DF7"/>
    <w:rsid w:val="00343EDA"/>
    <w:rsid w:val="00343F4D"/>
    <w:rsid w:val="00344297"/>
    <w:rsid w:val="0034440B"/>
    <w:rsid w:val="00344482"/>
    <w:rsid w:val="0034476D"/>
    <w:rsid w:val="003447FA"/>
    <w:rsid w:val="00344808"/>
    <w:rsid w:val="0034487C"/>
    <w:rsid w:val="00344B60"/>
    <w:rsid w:val="00344C50"/>
    <w:rsid w:val="00345000"/>
    <w:rsid w:val="00345016"/>
    <w:rsid w:val="00345132"/>
    <w:rsid w:val="003453C5"/>
    <w:rsid w:val="0034550C"/>
    <w:rsid w:val="0034554E"/>
    <w:rsid w:val="0034557C"/>
    <w:rsid w:val="003455A1"/>
    <w:rsid w:val="003455F1"/>
    <w:rsid w:val="00345627"/>
    <w:rsid w:val="003457B2"/>
    <w:rsid w:val="00345975"/>
    <w:rsid w:val="003459FE"/>
    <w:rsid w:val="00345CDB"/>
    <w:rsid w:val="00345E53"/>
    <w:rsid w:val="00345E7E"/>
    <w:rsid w:val="00345ED4"/>
    <w:rsid w:val="00345FF2"/>
    <w:rsid w:val="00345FF4"/>
    <w:rsid w:val="00345FF8"/>
    <w:rsid w:val="00346051"/>
    <w:rsid w:val="00346135"/>
    <w:rsid w:val="00346194"/>
    <w:rsid w:val="003461C0"/>
    <w:rsid w:val="00346266"/>
    <w:rsid w:val="00346530"/>
    <w:rsid w:val="0034661E"/>
    <w:rsid w:val="003467AC"/>
    <w:rsid w:val="003469F7"/>
    <w:rsid w:val="00346AB5"/>
    <w:rsid w:val="00346ACB"/>
    <w:rsid w:val="00346B55"/>
    <w:rsid w:val="00346B91"/>
    <w:rsid w:val="00346FC9"/>
    <w:rsid w:val="0034720E"/>
    <w:rsid w:val="003473DA"/>
    <w:rsid w:val="003474D9"/>
    <w:rsid w:val="003474FE"/>
    <w:rsid w:val="00347638"/>
    <w:rsid w:val="0034766F"/>
    <w:rsid w:val="00347729"/>
    <w:rsid w:val="003477AE"/>
    <w:rsid w:val="003477DA"/>
    <w:rsid w:val="0034785D"/>
    <w:rsid w:val="003478B8"/>
    <w:rsid w:val="00347989"/>
    <w:rsid w:val="00347C2B"/>
    <w:rsid w:val="00347C52"/>
    <w:rsid w:val="00347E13"/>
    <w:rsid w:val="00347ECF"/>
    <w:rsid w:val="00350234"/>
    <w:rsid w:val="00350431"/>
    <w:rsid w:val="00350678"/>
    <w:rsid w:val="0035078F"/>
    <w:rsid w:val="0035080E"/>
    <w:rsid w:val="003509ED"/>
    <w:rsid w:val="00350B94"/>
    <w:rsid w:val="00350C6B"/>
    <w:rsid w:val="00350CC3"/>
    <w:rsid w:val="00350E77"/>
    <w:rsid w:val="00350F57"/>
    <w:rsid w:val="003510AF"/>
    <w:rsid w:val="0035112D"/>
    <w:rsid w:val="0035113F"/>
    <w:rsid w:val="003512EC"/>
    <w:rsid w:val="0035130E"/>
    <w:rsid w:val="0035145F"/>
    <w:rsid w:val="003515D5"/>
    <w:rsid w:val="00351669"/>
    <w:rsid w:val="003516B8"/>
    <w:rsid w:val="003517F1"/>
    <w:rsid w:val="003517F7"/>
    <w:rsid w:val="00351822"/>
    <w:rsid w:val="003519C9"/>
    <w:rsid w:val="00351BD4"/>
    <w:rsid w:val="00351C47"/>
    <w:rsid w:val="00351EE5"/>
    <w:rsid w:val="00351F27"/>
    <w:rsid w:val="00352084"/>
    <w:rsid w:val="0035235A"/>
    <w:rsid w:val="00352595"/>
    <w:rsid w:val="00352644"/>
    <w:rsid w:val="0035286B"/>
    <w:rsid w:val="00352ADF"/>
    <w:rsid w:val="00352BC7"/>
    <w:rsid w:val="00352BCD"/>
    <w:rsid w:val="00352C6A"/>
    <w:rsid w:val="00352C88"/>
    <w:rsid w:val="00352D6D"/>
    <w:rsid w:val="00352D98"/>
    <w:rsid w:val="00352ED4"/>
    <w:rsid w:val="00352F7D"/>
    <w:rsid w:val="0035303C"/>
    <w:rsid w:val="00353120"/>
    <w:rsid w:val="0035317F"/>
    <w:rsid w:val="003531A1"/>
    <w:rsid w:val="0035322B"/>
    <w:rsid w:val="0035344D"/>
    <w:rsid w:val="0035351D"/>
    <w:rsid w:val="003535CC"/>
    <w:rsid w:val="00353976"/>
    <w:rsid w:val="00353A8A"/>
    <w:rsid w:val="00353BFB"/>
    <w:rsid w:val="00353CFF"/>
    <w:rsid w:val="00353F5A"/>
    <w:rsid w:val="00354040"/>
    <w:rsid w:val="00354053"/>
    <w:rsid w:val="00354302"/>
    <w:rsid w:val="00354365"/>
    <w:rsid w:val="00354371"/>
    <w:rsid w:val="003546A2"/>
    <w:rsid w:val="00354919"/>
    <w:rsid w:val="00354ACB"/>
    <w:rsid w:val="00354BDD"/>
    <w:rsid w:val="00354CC7"/>
    <w:rsid w:val="00354E0D"/>
    <w:rsid w:val="00355012"/>
    <w:rsid w:val="00355048"/>
    <w:rsid w:val="00355076"/>
    <w:rsid w:val="00355138"/>
    <w:rsid w:val="003552EA"/>
    <w:rsid w:val="00355435"/>
    <w:rsid w:val="003558E7"/>
    <w:rsid w:val="00355913"/>
    <w:rsid w:val="00355C02"/>
    <w:rsid w:val="00355C44"/>
    <w:rsid w:val="00355C6B"/>
    <w:rsid w:val="00355DEA"/>
    <w:rsid w:val="00355F37"/>
    <w:rsid w:val="00356008"/>
    <w:rsid w:val="0035618A"/>
    <w:rsid w:val="003562EA"/>
    <w:rsid w:val="0035633A"/>
    <w:rsid w:val="00356367"/>
    <w:rsid w:val="00356464"/>
    <w:rsid w:val="003564CA"/>
    <w:rsid w:val="00356632"/>
    <w:rsid w:val="0035674C"/>
    <w:rsid w:val="003569C7"/>
    <w:rsid w:val="00356C4C"/>
    <w:rsid w:val="00356E08"/>
    <w:rsid w:val="00357030"/>
    <w:rsid w:val="00357089"/>
    <w:rsid w:val="003570E1"/>
    <w:rsid w:val="00357245"/>
    <w:rsid w:val="00357281"/>
    <w:rsid w:val="0035736A"/>
    <w:rsid w:val="0035740A"/>
    <w:rsid w:val="0035740C"/>
    <w:rsid w:val="003576C7"/>
    <w:rsid w:val="0035775D"/>
    <w:rsid w:val="00357A37"/>
    <w:rsid w:val="00357A6F"/>
    <w:rsid w:val="00357C77"/>
    <w:rsid w:val="00357D8B"/>
    <w:rsid w:val="00357E44"/>
    <w:rsid w:val="00357E7A"/>
    <w:rsid w:val="00357F27"/>
    <w:rsid w:val="00357FA9"/>
    <w:rsid w:val="00360025"/>
    <w:rsid w:val="0036012E"/>
    <w:rsid w:val="0036023F"/>
    <w:rsid w:val="003602A3"/>
    <w:rsid w:val="00360342"/>
    <w:rsid w:val="00360367"/>
    <w:rsid w:val="0036049B"/>
    <w:rsid w:val="003606A0"/>
    <w:rsid w:val="00360726"/>
    <w:rsid w:val="003608A0"/>
    <w:rsid w:val="00360953"/>
    <w:rsid w:val="00360960"/>
    <w:rsid w:val="00360A81"/>
    <w:rsid w:val="00360B9A"/>
    <w:rsid w:val="00360C08"/>
    <w:rsid w:val="00360E3A"/>
    <w:rsid w:val="00361012"/>
    <w:rsid w:val="00361027"/>
    <w:rsid w:val="0036105E"/>
    <w:rsid w:val="003610EA"/>
    <w:rsid w:val="003613C7"/>
    <w:rsid w:val="0036145E"/>
    <w:rsid w:val="00361499"/>
    <w:rsid w:val="003619E1"/>
    <w:rsid w:val="00361A2D"/>
    <w:rsid w:val="00361A62"/>
    <w:rsid w:val="00361C4D"/>
    <w:rsid w:val="00361C6A"/>
    <w:rsid w:val="00361CA9"/>
    <w:rsid w:val="00361D9D"/>
    <w:rsid w:val="00361DA2"/>
    <w:rsid w:val="0036218F"/>
    <w:rsid w:val="00362266"/>
    <w:rsid w:val="00362288"/>
    <w:rsid w:val="00362326"/>
    <w:rsid w:val="003626D1"/>
    <w:rsid w:val="0036275A"/>
    <w:rsid w:val="003628DE"/>
    <w:rsid w:val="0036293D"/>
    <w:rsid w:val="00362A12"/>
    <w:rsid w:val="00362AF5"/>
    <w:rsid w:val="00362B0B"/>
    <w:rsid w:val="00362C28"/>
    <w:rsid w:val="00362D0F"/>
    <w:rsid w:val="00362DF2"/>
    <w:rsid w:val="00362E3F"/>
    <w:rsid w:val="00362E7D"/>
    <w:rsid w:val="00363030"/>
    <w:rsid w:val="0036313E"/>
    <w:rsid w:val="003631A9"/>
    <w:rsid w:val="0036327A"/>
    <w:rsid w:val="003632DA"/>
    <w:rsid w:val="00363498"/>
    <w:rsid w:val="00363800"/>
    <w:rsid w:val="00363829"/>
    <w:rsid w:val="0036383C"/>
    <w:rsid w:val="003639EF"/>
    <w:rsid w:val="00363A1E"/>
    <w:rsid w:val="00363ACD"/>
    <w:rsid w:val="00363B71"/>
    <w:rsid w:val="00363C38"/>
    <w:rsid w:val="00363CF9"/>
    <w:rsid w:val="00363F08"/>
    <w:rsid w:val="003640CA"/>
    <w:rsid w:val="003640D2"/>
    <w:rsid w:val="003640FE"/>
    <w:rsid w:val="0036429B"/>
    <w:rsid w:val="003643FA"/>
    <w:rsid w:val="003644F1"/>
    <w:rsid w:val="003649A1"/>
    <w:rsid w:val="003649F9"/>
    <w:rsid w:val="00364C45"/>
    <w:rsid w:val="00364C83"/>
    <w:rsid w:val="00364CDE"/>
    <w:rsid w:val="00364E96"/>
    <w:rsid w:val="00364FB0"/>
    <w:rsid w:val="00364FFC"/>
    <w:rsid w:val="003650DA"/>
    <w:rsid w:val="0036520A"/>
    <w:rsid w:val="003658A2"/>
    <w:rsid w:val="003659C6"/>
    <w:rsid w:val="003659CD"/>
    <w:rsid w:val="00365A16"/>
    <w:rsid w:val="00365AA1"/>
    <w:rsid w:val="00365B7D"/>
    <w:rsid w:val="00365C93"/>
    <w:rsid w:val="00366030"/>
    <w:rsid w:val="00366224"/>
    <w:rsid w:val="00366365"/>
    <w:rsid w:val="003663C0"/>
    <w:rsid w:val="003665E5"/>
    <w:rsid w:val="0036662E"/>
    <w:rsid w:val="003667BA"/>
    <w:rsid w:val="0036682F"/>
    <w:rsid w:val="00366A5C"/>
    <w:rsid w:val="00366B88"/>
    <w:rsid w:val="00366C3D"/>
    <w:rsid w:val="00366C5C"/>
    <w:rsid w:val="00366D08"/>
    <w:rsid w:val="00366D7A"/>
    <w:rsid w:val="00367011"/>
    <w:rsid w:val="0036701A"/>
    <w:rsid w:val="0036701F"/>
    <w:rsid w:val="00367213"/>
    <w:rsid w:val="00367473"/>
    <w:rsid w:val="00367475"/>
    <w:rsid w:val="003674DE"/>
    <w:rsid w:val="003675E0"/>
    <w:rsid w:val="00367666"/>
    <w:rsid w:val="003676F2"/>
    <w:rsid w:val="00367746"/>
    <w:rsid w:val="0036774D"/>
    <w:rsid w:val="00367777"/>
    <w:rsid w:val="00367860"/>
    <w:rsid w:val="00367989"/>
    <w:rsid w:val="00367A07"/>
    <w:rsid w:val="00367ABF"/>
    <w:rsid w:val="00367B20"/>
    <w:rsid w:val="00367B70"/>
    <w:rsid w:val="00367BFE"/>
    <w:rsid w:val="00367CBB"/>
    <w:rsid w:val="00367DAC"/>
    <w:rsid w:val="00367E5C"/>
    <w:rsid w:val="00367EB2"/>
    <w:rsid w:val="00367ECA"/>
    <w:rsid w:val="00367EF1"/>
    <w:rsid w:val="00367FB7"/>
    <w:rsid w:val="0037003A"/>
    <w:rsid w:val="00370062"/>
    <w:rsid w:val="003700EE"/>
    <w:rsid w:val="0037012D"/>
    <w:rsid w:val="003702A7"/>
    <w:rsid w:val="003702E3"/>
    <w:rsid w:val="003705C8"/>
    <w:rsid w:val="0037096C"/>
    <w:rsid w:val="00370B68"/>
    <w:rsid w:val="00370BAC"/>
    <w:rsid w:val="00370BD3"/>
    <w:rsid w:val="00370C0F"/>
    <w:rsid w:val="00370F99"/>
    <w:rsid w:val="003713A0"/>
    <w:rsid w:val="0037171F"/>
    <w:rsid w:val="0037186B"/>
    <w:rsid w:val="003718A8"/>
    <w:rsid w:val="003718FD"/>
    <w:rsid w:val="0037196D"/>
    <w:rsid w:val="00371970"/>
    <w:rsid w:val="00371B7F"/>
    <w:rsid w:val="00371C4C"/>
    <w:rsid w:val="00371DEA"/>
    <w:rsid w:val="00372077"/>
    <w:rsid w:val="003723A3"/>
    <w:rsid w:val="003723AA"/>
    <w:rsid w:val="003724B2"/>
    <w:rsid w:val="003725AA"/>
    <w:rsid w:val="003725B2"/>
    <w:rsid w:val="00372B1B"/>
    <w:rsid w:val="00372C33"/>
    <w:rsid w:val="00372C5E"/>
    <w:rsid w:val="00372CAB"/>
    <w:rsid w:val="00372E5A"/>
    <w:rsid w:val="00372EAF"/>
    <w:rsid w:val="00372EE3"/>
    <w:rsid w:val="0037302C"/>
    <w:rsid w:val="003730BD"/>
    <w:rsid w:val="00373297"/>
    <w:rsid w:val="003732AA"/>
    <w:rsid w:val="00373460"/>
    <w:rsid w:val="00373461"/>
    <w:rsid w:val="0037353F"/>
    <w:rsid w:val="00373550"/>
    <w:rsid w:val="00373658"/>
    <w:rsid w:val="003737F5"/>
    <w:rsid w:val="003737FF"/>
    <w:rsid w:val="0037382F"/>
    <w:rsid w:val="0037383F"/>
    <w:rsid w:val="003738CD"/>
    <w:rsid w:val="00373AD0"/>
    <w:rsid w:val="00373CDE"/>
    <w:rsid w:val="00374348"/>
    <w:rsid w:val="003746D1"/>
    <w:rsid w:val="0037473E"/>
    <w:rsid w:val="0037480A"/>
    <w:rsid w:val="00374877"/>
    <w:rsid w:val="00374912"/>
    <w:rsid w:val="003749DC"/>
    <w:rsid w:val="003749EC"/>
    <w:rsid w:val="00374A1A"/>
    <w:rsid w:val="00374A6C"/>
    <w:rsid w:val="00375335"/>
    <w:rsid w:val="0037562D"/>
    <w:rsid w:val="00375824"/>
    <w:rsid w:val="003759A5"/>
    <w:rsid w:val="00375A3A"/>
    <w:rsid w:val="00375CA0"/>
    <w:rsid w:val="00375F0F"/>
    <w:rsid w:val="00375FFE"/>
    <w:rsid w:val="00376059"/>
    <w:rsid w:val="003760D3"/>
    <w:rsid w:val="003762D7"/>
    <w:rsid w:val="00376440"/>
    <w:rsid w:val="00376478"/>
    <w:rsid w:val="003764B3"/>
    <w:rsid w:val="00376615"/>
    <w:rsid w:val="00376699"/>
    <w:rsid w:val="00376812"/>
    <w:rsid w:val="00376B2D"/>
    <w:rsid w:val="00376BF1"/>
    <w:rsid w:val="00376C3A"/>
    <w:rsid w:val="00376E15"/>
    <w:rsid w:val="00376E44"/>
    <w:rsid w:val="00376FB4"/>
    <w:rsid w:val="003773BA"/>
    <w:rsid w:val="00377550"/>
    <w:rsid w:val="00377551"/>
    <w:rsid w:val="0037756C"/>
    <w:rsid w:val="003775DF"/>
    <w:rsid w:val="003777D8"/>
    <w:rsid w:val="00377884"/>
    <w:rsid w:val="00377AAC"/>
    <w:rsid w:val="00377D14"/>
    <w:rsid w:val="00377EC4"/>
    <w:rsid w:val="003800FD"/>
    <w:rsid w:val="00380139"/>
    <w:rsid w:val="0038028E"/>
    <w:rsid w:val="00380762"/>
    <w:rsid w:val="003808AA"/>
    <w:rsid w:val="00380917"/>
    <w:rsid w:val="00380AE6"/>
    <w:rsid w:val="00380B11"/>
    <w:rsid w:val="00380B58"/>
    <w:rsid w:val="00380D2E"/>
    <w:rsid w:val="00380E89"/>
    <w:rsid w:val="00380FB6"/>
    <w:rsid w:val="003810E3"/>
    <w:rsid w:val="00381165"/>
    <w:rsid w:val="003811B8"/>
    <w:rsid w:val="003812B6"/>
    <w:rsid w:val="003812BB"/>
    <w:rsid w:val="003812F1"/>
    <w:rsid w:val="0038130A"/>
    <w:rsid w:val="0038151F"/>
    <w:rsid w:val="00381553"/>
    <w:rsid w:val="003815B1"/>
    <w:rsid w:val="0038164A"/>
    <w:rsid w:val="003817C3"/>
    <w:rsid w:val="00381987"/>
    <w:rsid w:val="00381AB6"/>
    <w:rsid w:val="00381DB4"/>
    <w:rsid w:val="00381DE8"/>
    <w:rsid w:val="00382134"/>
    <w:rsid w:val="00382253"/>
    <w:rsid w:val="003822AA"/>
    <w:rsid w:val="003824CA"/>
    <w:rsid w:val="00382549"/>
    <w:rsid w:val="003825E9"/>
    <w:rsid w:val="003827F6"/>
    <w:rsid w:val="00382AEC"/>
    <w:rsid w:val="00382C3F"/>
    <w:rsid w:val="00382D2C"/>
    <w:rsid w:val="00382DF8"/>
    <w:rsid w:val="00383164"/>
    <w:rsid w:val="0038333D"/>
    <w:rsid w:val="00383449"/>
    <w:rsid w:val="00383480"/>
    <w:rsid w:val="003834A2"/>
    <w:rsid w:val="003835C0"/>
    <w:rsid w:val="00383648"/>
    <w:rsid w:val="00383721"/>
    <w:rsid w:val="00383A6F"/>
    <w:rsid w:val="00383AE9"/>
    <w:rsid w:val="00383AFC"/>
    <w:rsid w:val="00383B0C"/>
    <w:rsid w:val="00383D2A"/>
    <w:rsid w:val="00383D9B"/>
    <w:rsid w:val="00383DC5"/>
    <w:rsid w:val="00383EF7"/>
    <w:rsid w:val="00383F39"/>
    <w:rsid w:val="00383FB8"/>
    <w:rsid w:val="003841FC"/>
    <w:rsid w:val="00384255"/>
    <w:rsid w:val="003842A6"/>
    <w:rsid w:val="003842F6"/>
    <w:rsid w:val="00384474"/>
    <w:rsid w:val="00384597"/>
    <w:rsid w:val="003845EB"/>
    <w:rsid w:val="003845FB"/>
    <w:rsid w:val="003846EF"/>
    <w:rsid w:val="003848CD"/>
    <w:rsid w:val="00384B0C"/>
    <w:rsid w:val="00384CBF"/>
    <w:rsid w:val="00384E83"/>
    <w:rsid w:val="00385292"/>
    <w:rsid w:val="003852E3"/>
    <w:rsid w:val="00385315"/>
    <w:rsid w:val="003853E1"/>
    <w:rsid w:val="00385431"/>
    <w:rsid w:val="0038565E"/>
    <w:rsid w:val="003858B7"/>
    <w:rsid w:val="003859D3"/>
    <w:rsid w:val="00385C87"/>
    <w:rsid w:val="00386067"/>
    <w:rsid w:val="0038628C"/>
    <w:rsid w:val="00386317"/>
    <w:rsid w:val="0038636C"/>
    <w:rsid w:val="003863F6"/>
    <w:rsid w:val="0038645A"/>
    <w:rsid w:val="003865A3"/>
    <w:rsid w:val="003865AC"/>
    <w:rsid w:val="00386793"/>
    <w:rsid w:val="0038682D"/>
    <w:rsid w:val="00386962"/>
    <w:rsid w:val="003869A5"/>
    <w:rsid w:val="00386B1A"/>
    <w:rsid w:val="00386B33"/>
    <w:rsid w:val="00386BF5"/>
    <w:rsid w:val="00386CCC"/>
    <w:rsid w:val="00386D3D"/>
    <w:rsid w:val="00386DDD"/>
    <w:rsid w:val="00386E9C"/>
    <w:rsid w:val="00387073"/>
    <w:rsid w:val="003872DA"/>
    <w:rsid w:val="003872EB"/>
    <w:rsid w:val="003872F4"/>
    <w:rsid w:val="00387340"/>
    <w:rsid w:val="0038736F"/>
    <w:rsid w:val="003873AA"/>
    <w:rsid w:val="003873F3"/>
    <w:rsid w:val="003876B1"/>
    <w:rsid w:val="0038786A"/>
    <w:rsid w:val="00387980"/>
    <w:rsid w:val="00387D58"/>
    <w:rsid w:val="00387F20"/>
    <w:rsid w:val="003900C4"/>
    <w:rsid w:val="00390238"/>
    <w:rsid w:val="003902E7"/>
    <w:rsid w:val="003903E4"/>
    <w:rsid w:val="003904A3"/>
    <w:rsid w:val="0039054A"/>
    <w:rsid w:val="00390634"/>
    <w:rsid w:val="00390905"/>
    <w:rsid w:val="00390A70"/>
    <w:rsid w:val="00390BB8"/>
    <w:rsid w:val="00390C3D"/>
    <w:rsid w:val="00390D04"/>
    <w:rsid w:val="00390D32"/>
    <w:rsid w:val="00390EF2"/>
    <w:rsid w:val="00390F1C"/>
    <w:rsid w:val="00390F63"/>
    <w:rsid w:val="00390FB5"/>
    <w:rsid w:val="00390FD4"/>
    <w:rsid w:val="0039100B"/>
    <w:rsid w:val="0039119B"/>
    <w:rsid w:val="00391233"/>
    <w:rsid w:val="003912B5"/>
    <w:rsid w:val="00391554"/>
    <w:rsid w:val="003915A1"/>
    <w:rsid w:val="003916A6"/>
    <w:rsid w:val="003918DA"/>
    <w:rsid w:val="00391B62"/>
    <w:rsid w:val="00391C33"/>
    <w:rsid w:val="00391FFC"/>
    <w:rsid w:val="003922B2"/>
    <w:rsid w:val="0039231C"/>
    <w:rsid w:val="003924A4"/>
    <w:rsid w:val="0039256F"/>
    <w:rsid w:val="0039258A"/>
    <w:rsid w:val="0039285E"/>
    <w:rsid w:val="00392998"/>
    <w:rsid w:val="003929FC"/>
    <w:rsid w:val="00392AF8"/>
    <w:rsid w:val="00392C35"/>
    <w:rsid w:val="00392C3E"/>
    <w:rsid w:val="0039303B"/>
    <w:rsid w:val="00393090"/>
    <w:rsid w:val="00393124"/>
    <w:rsid w:val="00393193"/>
    <w:rsid w:val="0039320B"/>
    <w:rsid w:val="003932E4"/>
    <w:rsid w:val="003935D8"/>
    <w:rsid w:val="003937B0"/>
    <w:rsid w:val="00393970"/>
    <w:rsid w:val="003939D9"/>
    <w:rsid w:val="003939EC"/>
    <w:rsid w:val="00393F48"/>
    <w:rsid w:val="00394013"/>
    <w:rsid w:val="0039406E"/>
    <w:rsid w:val="00394154"/>
    <w:rsid w:val="003943BA"/>
    <w:rsid w:val="0039455F"/>
    <w:rsid w:val="00394728"/>
    <w:rsid w:val="00394791"/>
    <w:rsid w:val="003948EB"/>
    <w:rsid w:val="00394AEB"/>
    <w:rsid w:val="00394DAD"/>
    <w:rsid w:val="00394F6D"/>
    <w:rsid w:val="0039501E"/>
    <w:rsid w:val="003950FF"/>
    <w:rsid w:val="0039511E"/>
    <w:rsid w:val="00395162"/>
    <w:rsid w:val="0039524F"/>
    <w:rsid w:val="003952C3"/>
    <w:rsid w:val="003953CB"/>
    <w:rsid w:val="003954F2"/>
    <w:rsid w:val="00395629"/>
    <w:rsid w:val="003957C5"/>
    <w:rsid w:val="0039586D"/>
    <w:rsid w:val="003958BE"/>
    <w:rsid w:val="003958FF"/>
    <w:rsid w:val="00395A07"/>
    <w:rsid w:val="00395EA2"/>
    <w:rsid w:val="00395F85"/>
    <w:rsid w:val="0039607A"/>
    <w:rsid w:val="003960C1"/>
    <w:rsid w:val="0039624B"/>
    <w:rsid w:val="0039633E"/>
    <w:rsid w:val="003968E9"/>
    <w:rsid w:val="00396942"/>
    <w:rsid w:val="00396AE0"/>
    <w:rsid w:val="00396CC7"/>
    <w:rsid w:val="00396E0E"/>
    <w:rsid w:val="003970B0"/>
    <w:rsid w:val="003971B5"/>
    <w:rsid w:val="0039721F"/>
    <w:rsid w:val="00397271"/>
    <w:rsid w:val="0039749B"/>
    <w:rsid w:val="003974CE"/>
    <w:rsid w:val="003977E2"/>
    <w:rsid w:val="0039782C"/>
    <w:rsid w:val="00397884"/>
    <w:rsid w:val="003979E6"/>
    <w:rsid w:val="00397B85"/>
    <w:rsid w:val="00397E0A"/>
    <w:rsid w:val="00397E93"/>
    <w:rsid w:val="00397EB9"/>
    <w:rsid w:val="003A01D7"/>
    <w:rsid w:val="003A02D4"/>
    <w:rsid w:val="003A02EF"/>
    <w:rsid w:val="003A05DD"/>
    <w:rsid w:val="003A07B0"/>
    <w:rsid w:val="003A0832"/>
    <w:rsid w:val="003A08FC"/>
    <w:rsid w:val="003A0AB7"/>
    <w:rsid w:val="003A0B96"/>
    <w:rsid w:val="003A0D5F"/>
    <w:rsid w:val="003A0E53"/>
    <w:rsid w:val="003A0F3D"/>
    <w:rsid w:val="003A1010"/>
    <w:rsid w:val="003A1129"/>
    <w:rsid w:val="003A1146"/>
    <w:rsid w:val="003A11F6"/>
    <w:rsid w:val="003A138F"/>
    <w:rsid w:val="003A139B"/>
    <w:rsid w:val="003A1408"/>
    <w:rsid w:val="003A14AF"/>
    <w:rsid w:val="003A1672"/>
    <w:rsid w:val="003A17DC"/>
    <w:rsid w:val="003A1988"/>
    <w:rsid w:val="003A19F1"/>
    <w:rsid w:val="003A1A76"/>
    <w:rsid w:val="003A1BF2"/>
    <w:rsid w:val="003A1C06"/>
    <w:rsid w:val="003A2136"/>
    <w:rsid w:val="003A2166"/>
    <w:rsid w:val="003A219F"/>
    <w:rsid w:val="003A22EC"/>
    <w:rsid w:val="003A2312"/>
    <w:rsid w:val="003A232E"/>
    <w:rsid w:val="003A2357"/>
    <w:rsid w:val="003A26A9"/>
    <w:rsid w:val="003A28D4"/>
    <w:rsid w:val="003A2915"/>
    <w:rsid w:val="003A2AA2"/>
    <w:rsid w:val="003A2F1D"/>
    <w:rsid w:val="003A33C3"/>
    <w:rsid w:val="003A35C8"/>
    <w:rsid w:val="003A3661"/>
    <w:rsid w:val="003A368D"/>
    <w:rsid w:val="003A3699"/>
    <w:rsid w:val="003A37D5"/>
    <w:rsid w:val="003A3837"/>
    <w:rsid w:val="003A3C54"/>
    <w:rsid w:val="003A3FAE"/>
    <w:rsid w:val="003A3FF5"/>
    <w:rsid w:val="003A400D"/>
    <w:rsid w:val="003A420D"/>
    <w:rsid w:val="003A42BA"/>
    <w:rsid w:val="003A42D0"/>
    <w:rsid w:val="003A43AA"/>
    <w:rsid w:val="003A43C6"/>
    <w:rsid w:val="003A490E"/>
    <w:rsid w:val="003A4ABA"/>
    <w:rsid w:val="003A4C3D"/>
    <w:rsid w:val="003A4CFA"/>
    <w:rsid w:val="003A4E3D"/>
    <w:rsid w:val="003A50FF"/>
    <w:rsid w:val="003A5159"/>
    <w:rsid w:val="003A5489"/>
    <w:rsid w:val="003A5516"/>
    <w:rsid w:val="003A5587"/>
    <w:rsid w:val="003A56DF"/>
    <w:rsid w:val="003A57A8"/>
    <w:rsid w:val="003A58E2"/>
    <w:rsid w:val="003A5AD5"/>
    <w:rsid w:val="003A5D1D"/>
    <w:rsid w:val="003A5E0B"/>
    <w:rsid w:val="003A5EB3"/>
    <w:rsid w:val="003A6053"/>
    <w:rsid w:val="003A6141"/>
    <w:rsid w:val="003A68AF"/>
    <w:rsid w:val="003A6BDB"/>
    <w:rsid w:val="003A6BEC"/>
    <w:rsid w:val="003A6D8B"/>
    <w:rsid w:val="003A6DDA"/>
    <w:rsid w:val="003A6F95"/>
    <w:rsid w:val="003A7122"/>
    <w:rsid w:val="003A71B4"/>
    <w:rsid w:val="003A71E1"/>
    <w:rsid w:val="003A756F"/>
    <w:rsid w:val="003A7690"/>
    <w:rsid w:val="003A7B98"/>
    <w:rsid w:val="003A7BF2"/>
    <w:rsid w:val="003A7C97"/>
    <w:rsid w:val="003A7D4A"/>
    <w:rsid w:val="003A7E61"/>
    <w:rsid w:val="003A7F8F"/>
    <w:rsid w:val="003B0103"/>
    <w:rsid w:val="003B016C"/>
    <w:rsid w:val="003B0289"/>
    <w:rsid w:val="003B02B4"/>
    <w:rsid w:val="003B0362"/>
    <w:rsid w:val="003B05A0"/>
    <w:rsid w:val="003B063D"/>
    <w:rsid w:val="003B0695"/>
    <w:rsid w:val="003B0785"/>
    <w:rsid w:val="003B07D9"/>
    <w:rsid w:val="003B0956"/>
    <w:rsid w:val="003B09CB"/>
    <w:rsid w:val="003B0D30"/>
    <w:rsid w:val="003B0DB6"/>
    <w:rsid w:val="003B0DBB"/>
    <w:rsid w:val="003B0F4B"/>
    <w:rsid w:val="003B10EA"/>
    <w:rsid w:val="003B10EC"/>
    <w:rsid w:val="003B141E"/>
    <w:rsid w:val="003B1496"/>
    <w:rsid w:val="003B188C"/>
    <w:rsid w:val="003B1C12"/>
    <w:rsid w:val="003B1FD8"/>
    <w:rsid w:val="003B2018"/>
    <w:rsid w:val="003B2045"/>
    <w:rsid w:val="003B20B3"/>
    <w:rsid w:val="003B214B"/>
    <w:rsid w:val="003B223D"/>
    <w:rsid w:val="003B23B4"/>
    <w:rsid w:val="003B2476"/>
    <w:rsid w:val="003B24B1"/>
    <w:rsid w:val="003B24B3"/>
    <w:rsid w:val="003B24F1"/>
    <w:rsid w:val="003B25B2"/>
    <w:rsid w:val="003B25EA"/>
    <w:rsid w:val="003B26E6"/>
    <w:rsid w:val="003B2924"/>
    <w:rsid w:val="003B2E1A"/>
    <w:rsid w:val="003B2E4B"/>
    <w:rsid w:val="003B3136"/>
    <w:rsid w:val="003B31FF"/>
    <w:rsid w:val="003B3238"/>
    <w:rsid w:val="003B329B"/>
    <w:rsid w:val="003B33B9"/>
    <w:rsid w:val="003B3534"/>
    <w:rsid w:val="003B356F"/>
    <w:rsid w:val="003B367A"/>
    <w:rsid w:val="003B3791"/>
    <w:rsid w:val="003B3900"/>
    <w:rsid w:val="003B393A"/>
    <w:rsid w:val="003B3964"/>
    <w:rsid w:val="003B3A41"/>
    <w:rsid w:val="003B3BB3"/>
    <w:rsid w:val="003B3C09"/>
    <w:rsid w:val="003B3DFE"/>
    <w:rsid w:val="003B425C"/>
    <w:rsid w:val="003B437B"/>
    <w:rsid w:val="003B43AF"/>
    <w:rsid w:val="003B456E"/>
    <w:rsid w:val="003B467C"/>
    <w:rsid w:val="003B46CC"/>
    <w:rsid w:val="003B47F0"/>
    <w:rsid w:val="003B4858"/>
    <w:rsid w:val="003B48D1"/>
    <w:rsid w:val="003B4C5F"/>
    <w:rsid w:val="003B4E58"/>
    <w:rsid w:val="003B4E6A"/>
    <w:rsid w:val="003B50B1"/>
    <w:rsid w:val="003B5116"/>
    <w:rsid w:val="003B536C"/>
    <w:rsid w:val="003B540F"/>
    <w:rsid w:val="003B54BC"/>
    <w:rsid w:val="003B55D9"/>
    <w:rsid w:val="003B561B"/>
    <w:rsid w:val="003B5650"/>
    <w:rsid w:val="003B565A"/>
    <w:rsid w:val="003B5855"/>
    <w:rsid w:val="003B5857"/>
    <w:rsid w:val="003B5C73"/>
    <w:rsid w:val="003B5CDA"/>
    <w:rsid w:val="003B6196"/>
    <w:rsid w:val="003B6313"/>
    <w:rsid w:val="003B650A"/>
    <w:rsid w:val="003B65B3"/>
    <w:rsid w:val="003B6660"/>
    <w:rsid w:val="003B66A9"/>
    <w:rsid w:val="003B6737"/>
    <w:rsid w:val="003B67DB"/>
    <w:rsid w:val="003B6C0D"/>
    <w:rsid w:val="003B6C90"/>
    <w:rsid w:val="003B6F2C"/>
    <w:rsid w:val="003B7031"/>
    <w:rsid w:val="003B7198"/>
    <w:rsid w:val="003B7290"/>
    <w:rsid w:val="003B731F"/>
    <w:rsid w:val="003B73A7"/>
    <w:rsid w:val="003B744C"/>
    <w:rsid w:val="003B7614"/>
    <w:rsid w:val="003B7653"/>
    <w:rsid w:val="003B792E"/>
    <w:rsid w:val="003B7996"/>
    <w:rsid w:val="003B79AA"/>
    <w:rsid w:val="003B7A12"/>
    <w:rsid w:val="003B7EED"/>
    <w:rsid w:val="003C00FE"/>
    <w:rsid w:val="003C030C"/>
    <w:rsid w:val="003C0338"/>
    <w:rsid w:val="003C0439"/>
    <w:rsid w:val="003C056F"/>
    <w:rsid w:val="003C0660"/>
    <w:rsid w:val="003C0945"/>
    <w:rsid w:val="003C0A77"/>
    <w:rsid w:val="003C0C0A"/>
    <w:rsid w:val="003C0E81"/>
    <w:rsid w:val="003C0EE8"/>
    <w:rsid w:val="003C0F33"/>
    <w:rsid w:val="003C0F8C"/>
    <w:rsid w:val="003C0FF9"/>
    <w:rsid w:val="003C102B"/>
    <w:rsid w:val="003C1210"/>
    <w:rsid w:val="003C1415"/>
    <w:rsid w:val="003C1432"/>
    <w:rsid w:val="003C15D3"/>
    <w:rsid w:val="003C1639"/>
    <w:rsid w:val="003C1644"/>
    <w:rsid w:val="003C178A"/>
    <w:rsid w:val="003C19A2"/>
    <w:rsid w:val="003C19BF"/>
    <w:rsid w:val="003C1A75"/>
    <w:rsid w:val="003C1B04"/>
    <w:rsid w:val="003C1C3D"/>
    <w:rsid w:val="003C1CD4"/>
    <w:rsid w:val="003C1D5C"/>
    <w:rsid w:val="003C1E5B"/>
    <w:rsid w:val="003C1EAC"/>
    <w:rsid w:val="003C2137"/>
    <w:rsid w:val="003C2301"/>
    <w:rsid w:val="003C2308"/>
    <w:rsid w:val="003C24D9"/>
    <w:rsid w:val="003C25B8"/>
    <w:rsid w:val="003C26AB"/>
    <w:rsid w:val="003C26E8"/>
    <w:rsid w:val="003C2841"/>
    <w:rsid w:val="003C288F"/>
    <w:rsid w:val="003C28CC"/>
    <w:rsid w:val="003C28E7"/>
    <w:rsid w:val="003C2AAF"/>
    <w:rsid w:val="003C2AE7"/>
    <w:rsid w:val="003C2C29"/>
    <w:rsid w:val="003C2C87"/>
    <w:rsid w:val="003C2D2E"/>
    <w:rsid w:val="003C2F4E"/>
    <w:rsid w:val="003C313D"/>
    <w:rsid w:val="003C31B6"/>
    <w:rsid w:val="003C3393"/>
    <w:rsid w:val="003C36F4"/>
    <w:rsid w:val="003C3904"/>
    <w:rsid w:val="003C3B33"/>
    <w:rsid w:val="003C3B40"/>
    <w:rsid w:val="003C3B64"/>
    <w:rsid w:val="003C3D04"/>
    <w:rsid w:val="003C3EF2"/>
    <w:rsid w:val="003C429F"/>
    <w:rsid w:val="003C44FD"/>
    <w:rsid w:val="003C4616"/>
    <w:rsid w:val="003C4632"/>
    <w:rsid w:val="003C464D"/>
    <w:rsid w:val="003C46C1"/>
    <w:rsid w:val="003C48C5"/>
    <w:rsid w:val="003C4A66"/>
    <w:rsid w:val="003C4CC7"/>
    <w:rsid w:val="003C4D08"/>
    <w:rsid w:val="003C4DC4"/>
    <w:rsid w:val="003C509C"/>
    <w:rsid w:val="003C517A"/>
    <w:rsid w:val="003C530B"/>
    <w:rsid w:val="003C5655"/>
    <w:rsid w:val="003C56FC"/>
    <w:rsid w:val="003C5AC9"/>
    <w:rsid w:val="003C5B8C"/>
    <w:rsid w:val="003C600C"/>
    <w:rsid w:val="003C615D"/>
    <w:rsid w:val="003C6253"/>
    <w:rsid w:val="003C62EE"/>
    <w:rsid w:val="003C6315"/>
    <w:rsid w:val="003C643D"/>
    <w:rsid w:val="003C645D"/>
    <w:rsid w:val="003C64C6"/>
    <w:rsid w:val="003C65D0"/>
    <w:rsid w:val="003C65D9"/>
    <w:rsid w:val="003C66DF"/>
    <w:rsid w:val="003C6AD7"/>
    <w:rsid w:val="003C6CC9"/>
    <w:rsid w:val="003C6D36"/>
    <w:rsid w:val="003C6F97"/>
    <w:rsid w:val="003C70CE"/>
    <w:rsid w:val="003C70D8"/>
    <w:rsid w:val="003C71A3"/>
    <w:rsid w:val="003C71C5"/>
    <w:rsid w:val="003C7233"/>
    <w:rsid w:val="003C7694"/>
    <w:rsid w:val="003C77D2"/>
    <w:rsid w:val="003C7911"/>
    <w:rsid w:val="003C7AE0"/>
    <w:rsid w:val="003C7B28"/>
    <w:rsid w:val="003C7BA6"/>
    <w:rsid w:val="003C7D46"/>
    <w:rsid w:val="003C7D88"/>
    <w:rsid w:val="003C7E7D"/>
    <w:rsid w:val="003C7F56"/>
    <w:rsid w:val="003D0094"/>
    <w:rsid w:val="003D0135"/>
    <w:rsid w:val="003D02A9"/>
    <w:rsid w:val="003D0383"/>
    <w:rsid w:val="003D03DF"/>
    <w:rsid w:val="003D03FF"/>
    <w:rsid w:val="003D040E"/>
    <w:rsid w:val="003D0688"/>
    <w:rsid w:val="003D07CA"/>
    <w:rsid w:val="003D0822"/>
    <w:rsid w:val="003D0900"/>
    <w:rsid w:val="003D0969"/>
    <w:rsid w:val="003D09B1"/>
    <w:rsid w:val="003D0A04"/>
    <w:rsid w:val="003D0A44"/>
    <w:rsid w:val="003D0A89"/>
    <w:rsid w:val="003D0BDC"/>
    <w:rsid w:val="003D0C33"/>
    <w:rsid w:val="003D0CC8"/>
    <w:rsid w:val="003D0CD1"/>
    <w:rsid w:val="003D1045"/>
    <w:rsid w:val="003D12D2"/>
    <w:rsid w:val="003D1422"/>
    <w:rsid w:val="003D1554"/>
    <w:rsid w:val="003D1643"/>
    <w:rsid w:val="003D16C0"/>
    <w:rsid w:val="003D17CE"/>
    <w:rsid w:val="003D1C03"/>
    <w:rsid w:val="003D1D12"/>
    <w:rsid w:val="003D1EC1"/>
    <w:rsid w:val="003D1FE3"/>
    <w:rsid w:val="003D2021"/>
    <w:rsid w:val="003D216A"/>
    <w:rsid w:val="003D22DD"/>
    <w:rsid w:val="003D232C"/>
    <w:rsid w:val="003D2496"/>
    <w:rsid w:val="003D24F9"/>
    <w:rsid w:val="003D2664"/>
    <w:rsid w:val="003D28AF"/>
    <w:rsid w:val="003D28CA"/>
    <w:rsid w:val="003D29D6"/>
    <w:rsid w:val="003D2BC0"/>
    <w:rsid w:val="003D2E4A"/>
    <w:rsid w:val="003D3008"/>
    <w:rsid w:val="003D3011"/>
    <w:rsid w:val="003D3059"/>
    <w:rsid w:val="003D32DA"/>
    <w:rsid w:val="003D32F9"/>
    <w:rsid w:val="003D349A"/>
    <w:rsid w:val="003D3829"/>
    <w:rsid w:val="003D3B29"/>
    <w:rsid w:val="003D3B4C"/>
    <w:rsid w:val="003D3BCD"/>
    <w:rsid w:val="003D3C4F"/>
    <w:rsid w:val="003D3C6A"/>
    <w:rsid w:val="003D3CCA"/>
    <w:rsid w:val="003D3E92"/>
    <w:rsid w:val="003D3EE7"/>
    <w:rsid w:val="003D4055"/>
    <w:rsid w:val="003D41F7"/>
    <w:rsid w:val="003D43B6"/>
    <w:rsid w:val="003D464D"/>
    <w:rsid w:val="003D4754"/>
    <w:rsid w:val="003D4824"/>
    <w:rsid w:val="003D4867"/>
    <w:rsid w:val="003D4877"/>
    <w:rsid w:val="003D48ED"/>
    <w:rsid w:val="003D49BB"/>
    <w:rsid w:val="003D4AB0"/>
    <w:rsid w:val="003D4AB6"/>
    <w:rsid w:val="003D4BC3"/>
    <w:rsid w:val="003D4BCD"/>
    <w:rsid w:val="003D4BE1"/>
    <w:rsid w:val="003D4C16"/>
    <w:rsid w:val="003D4E1C"/>
    <w:rsid w:val="003D4E54"/>
    <w:rsid w:val="003D4E6B"/>
    <w:rsid w:val="003D50B2"/>
    <w:rsid w:val="003D5250"/>
    <w:rsid w:val="003D5277"/>
    <w:rsid w:val="003D5701"/>
    <w:rsid w:val="003D5787"/>
    <w:rsid w:val="003D5B8D"/>
    <w:rsid w:val="003D5C6B"/>
    <w:rsid w:val="003D604C"/>
    <w:rsid w:val="003D618E"/>
    <w:rsid w:val="003D6202"/>
    <w:rsid w:val="003D6268"/>
    <w:rsid w:val="003D640A"/>
    <w:rsid w:val="003D6417"/>
    <w:rsid w:val="003D66AD"/>
    <w:rsid w:val="003D66F0"/>
    <w:rsid w:val="003D67F6"/>
    <w:rsid w:val="003D683B"/>
    <w:rsid w:val="003D6B8E"/>
    <w:rsid w:val="003D6D70"/>
    <w:rsid w:val="003D6EC2"/>
    <w:rsid w:val="003D6EF8"/>
    <w:rsid w:val="003D6F8F"/>
    <w:rsid w:val="003D7043"/>
    <w:rsid w:val="003D716E"/>
    <w:rsid w:val="003D71AC"/>
    <w:rsid w:val="003D7307"/>
    <w:rsid w:val="003D736B"/>
    <w:rsid w:val="003D75B1"/>
    <w:rsid w:val="003D7683"/>
    <w:rsid w:val="003D7738"/>
    <w:rsid w:val="003D7DD1"/>
    <w:rsid w:val="003E00B8"/>
    <w:rsid w:val="003E018A"/>
    <w:rsid w:val="003E02D8"/>
    <w:rsid w:val="003E0312"/>
    <w:rsid w:val="003E03E3"/>
    <w:rsid w:val="003E0423"/>
    <w:rsid w:val="003E044F"/>
    <w:rsid w:val="003E0595"/>
    <w:rsid w:val="003E066B"/>
    <w:rsid w:val="003E0847"/>
    <w:rsid w:val="003E096F"/>
    <w:rsid w:val="003E0E6F"/>
    <w:rsid w:val="003E0F58"/>
    <w:rsid w:val="003E1025"/>
    <w:rsid w:val="003E11D3"/>
    <w:rsid w:val="003E14DF"/>
    <w:rsid w:val="003E151B"/>
    <w:rsid w:val="003E15CA"/>
    <w:rsid w:val="003E16D7"/>
    <w:rsid w:val="003E1A81"/>
    <w:rsid w:val="003E1AB2"/>
    <w:rsid w:val="003E1BFD"/>
    <w:rsid w:val="003E1D18"/>
    <w:rsid w:val="003E1D1E"/>
    <w:rsid w:val="003E1E13"/>
    <w:rsid w:val="003E2038"/>
    <w:rsid w:val="003E2220"/>
    <w:rsid w:val="003E2265"/>
    <w:rsid w:val="003E2280"/>
    <w:rsid w:val="003E22B0"/>
    <w:rsid w:val="003E2308"/>
    <w:rsid w:val="003E24E2"/>
    <w:rsid w:val="003E2607"/>
    <w:rsid w:val="003E267B"/>
    <w:rsid w:val="003E287F"/>
    <w:rsid w:val="003E2919"/>
    <w:rsid w:val="003E2992"/>
    <w:rsid w:val="003E2A74"/>
    <w:rsid w:val="003E2B91"/>
    <w:rsid w:val="003E2BC5"/>
    <w:rsid w:val="003E2C41"/>
    <w:rsid w:val="003E2C68"/>
    <w:rsid w:val="003E2CD4"/>
    <w:rsid w:val="003E2D4E"/>
    <w:rsid w:val="003E2DA4"/>
    <w:rsid w:val="003E3096"/>
    <w:rsid w:val="003E31D4"/>
    <w:rsid w:val="003E3366"/>
    <w:rsid w:val="003E347C"/>
    <w:rsid w:val="003E35BB"/>
    <w:rsid w:val="003E3674"/>
    <w:rsid w:val="003E36E8"/>
    <w:rsid w:val="003E377F"/>
    <w:rsid w:val="003E3797"/>
    <w:rsid w:val="003E38E2"/>
    <w:rsid w:val="003E3A1F"/>
    <w:rsid w:val="003E3D5A"/>
    <w:rsid w:val="003E3D9A"/>
    <w:rsid w:val="003E3E2B"/>
    <w:rsid w:val="003E3E8C"/>
    <w:rsid w:val="003E3E94"/>
    <w:rsid w:val="003E3EE4"/>
    <w:rsid w:val="003E40ED"/>
    <w:rsid w:val="003E4607"/>
    <w:rsid w:val="003E477A"/>
    <w:rsid w:val="003E4782"/>
    <w:rsid w:val="003E47C7"/>
    <w:rsid w:val="003E4852"/>
    <w:rsid w:val="003E4943"/>
    <w:rsid w:val="003E4DF9"/>
    <w:rsid w:val="003E4F51"/>
    <w:rsid w:val="003E519A"/>
    <w:rsid w:val="003E51E6"/>
    <w:rsid w:val="003E570E"/>
    <w:rsid w:val="003E5746"/>
    <w:rsid w:val="003E57FD"/>
    <w:rsid w:val="003E59DD"/>
    <w:rsid w:val="003E5A8C"/>
    <w:rsid w:val="003E5BCA"/>
    <w:rsid w:val="003E5CEA"/>
    <w:rsid w:val="003E5D22"/>
    <w:rsid w:val="003E5D6E"/>
    <w:rsid w:val="003E5E89"/>
    <w:rsid w:val="003E5EA9"/>
    <w:rsid w:val="003E624F"/>
    <w:rsid w:val="003E6301"/>
    <w:rsid w:val="003E658A"/>
    <w:rsid w:val="003E6626"/>
    <w:rsid w:val="003E67C3"/>
    <w:rsid w:val="003E67EE"/>
    <w:rsid w:val="003E6982"/>
    <w:rsid w:val="003E6B0E"/>
    <w:rsid w:val="003E6C4C"/>
    <w:rsid w:val="003E6CF0"/>
    <w:rsid w:val="003E6E8E"/>
    <w:rsid w:val="003E71A4"/>
    <w:rsid w:val="003E7429"/>
    <w:rsid w:val="003E74BC"/>
    <w:rsid w:val="003E7653"/>
    <w:rsid w:val="003E782E"/>
    <w:rsid w:val="003E7976"/>
    <w:rsid w:val="003E7A77"/>
    <w:rsid w:val="003E7C56"/>
    <w:rsid w:val="003F019C"/>
    <w:rsid w:val="003F01B7"/>
    <w:rsid w:val="003F0609"/>
    <w:rsid w:val="003F0779"/>
    <w:rsid w:val="003F07DF"/>
    <w:rsid w:val="003F0BAD"/>
    <w:rsid w:val="003F0D7A"/>
    <w:rsid w:val="003F0DC0"/>
    <w:rsid w:val="003F113B"/>
    <w:rsid w:val="003F1225"/>
    <w:rsid w:val="003F149E"/>
    <w:rsid w:val="003F15E3"/>
    <w:rsid w:val="003F16C9"/>
    <w:rsid w:val="003F18AA"/>
    <w:rsid w:val="003F18BD"/>
    <w:rsid w:val="003F18E6"/>
    <w:rsid w:val="003F19BA"/>
    <w:rsid w:val="003F1A9B"/>
    <w:rsid w:val="003F1ABC"/>
    <w:rsid w:val="003F1B87"/>
    <w:rsid w:val="003F1C1F"/>
    <w:rsid w:val="003F1E31"/>
    <w:rsid w:val="003F1F8E"/>
    <w:rsid w:val="003F2058"/>
    <w:rsid w:val="003F221C"/>
    <w:rsid w:val="003F242C"/>
    <w:rsid w:val="003F249B"/>
    <w:rsid w:val="003F24DD"/>
    <w:rsid w:val="003F25F8"/>
    <w:rsid w:val="003F2709"/>
    <w:rsid w:val="003F2725"/>
    <w:rsid w:val="003F27A7"/>
    <w:rsid w:val="003F28BC"/>
    <w:rsid w:val="003F28E7"/>
    <w:rsid w:val="003F298D"/>
    <w:rsid w:val="003F2998"/>
    <w:rsid w:val="003F2AB1"/>
    <w:rsid w:val="003F2AF1"/>
    <w:rsid w:val="003F2BB9"/>
    <w:rsid w:val="003F2D77"/>
    <w:rsid w:val="003F2EF4"/>
    <w:rsid w:val="003F2F98"/>
    <w:rsid w:val="003F301C"/>
    <w:rsid w:val="003F30C7"/>
    <w:rsid w:val="003F311A"/>
    <w:rsid w:val="003F31D5"/>
    <w:rsid w:val="003F3417"/>
    <w:rsid w:val="003F356E"/>
    <w:rsid w:val="003F363B"/>
    <w:rsid w:val="003F36BB"/>
    <w:rsid w:val="003F3796"/>
    <w:rsid w:val="003F386D"/>
    <w:rsid w:val="003F3924"/>
    <w:rsid w:val="003F3C4A"/>
    <w:rsid w:val="003F3C64"/>
    <w:rsid w:val="003F3D69"/>
    <w:rsid w:val="003F3E40"/>
    <w:rsid w:val="003F3EA3"/>
    <w:rsid w:val="003F4055"/>
    <w:rsid w:val="003F40B7"/>
    <w:rsid w:val="003F4198"/>
    <w:rsid w:val="003F42A0"/>
    <w:rsid w:val="003F434A"/>
    <w:rsid w:val="003F43A8"/>
    <w:rsid w:val="003F451C"/>
    <w:rsid w:val="003F46EF"/>
    <w:rsid w:val="003F491F"/>
    <w:rsid w:val="003F492F"/>
    <w:rsid w:val="003F4A30"/>
    <w:rsid w:val="003F4B7D"/>
    <w:rsid w:val="003F4CA8"/>
    <w:rsid w:val="003F4CD1"/>
    <w:rsid w:val="003F505A"/>
    <w:rsid w:val="003F50EF"/>
    <w:rsid w:val="003F519B"/>
    <w:rsid w:val="003F51A0"/>
    <w:rsid w:val="003F5288"/>
    <w:rsid w:val="003F5821"/>
    <w:rsid w:val="003F5852"/>
    <w:rsid w:val="003F5A04"/>
    <w:rsid w:val="003F5BD4"/>
    <w:rsid w:val="003F5DEB"/>
    <w:rsid w:val="003F5E9F"/>
    <w:rsid w:val="003F6097"/>
    <w:rsid w:val="003F616B"/>
    <w:rsid w:val="003F61D4"/>
    <w:rsid w:val="003F63A6"/>
    <w:rsid w:val="003F63BB"/>
    <w:rsid w:val="003F63DE"/>
    <w:rsid w:val="003F680B"/>
    <w:rsid w:val="003F683E"/>
    <w:rsid w:val="003F68E9"/>
    <w:rsid w:val="003F6B1D"/>
    <w:rsid w:val="003F6B81"/>
    <w:rsid w:val="003F6BD7"/>
    <w:rsid w:val="003F6C8A"/>
    <w:rsid w:val="003F6DDF"/>
    <w:rsid w:val="003F7036"/>
    <w:rsid w:val="003F7079"/>
    <w:rsid w:val="003F7151"/>
    <w:rsid w:val="003F7157"/>
    <w:rsid w:val="003F71E3"/>
    <w:rsid w:val="003F72DD"/>
    <w:rsid w:val="003F7626"/>
    <w:rsid w:val="003F764F"/>
    <w:rsid w:val="003F77F2"/>
    <w:rsid w:val="003F782C"/>
    <w:rsid w:val="003F7864"/>
    <w:rsid w:val="003F7867"/>
    <w:rsid w:val="003F78B0"/>
    <w:rsid w:val="003F78E5"/>
    <w:rsid w:val="003F797B"/>
    <w:rsid w:val="003F7E42"/>
    <w:rsid w:val="00400211"/>
    <w:rsid w:val="00400234"/>
    <w:rsid w:val="00400395"/>
    <w:rsid w:val="004003DC"/>
    <w:rsid w:val="0040075F"/>
    <w:rsid w:val="0040086E"/>
    <w:rsid w:val="004008A5"/>
    <w:rsid w:val="00400934"/>
    <w:rsid w:val="00400B6F"/>
    <w:rsid w:val="00400B82"/>
    <w:rsid w:val="00400BCD"/>
    <w:rsid w:val="00400BE3"/>
    <w:rsid w:val="00400F25"/>
    <w:rsid w:val="00401179"/>
    <w:rsid w:val="0040128E"/>
    <w:rsid w:val="00401307"/>
    <w:rsid w:val="0040138A"/>
    <w:rsid w:val="0040139B"/>
    <w:rsid w:val="0040148E"/>
    <w:rsid w:val="004015E0"/>
    <w:rsid w:val="004018E1"/>
    <w:rsid w:val="004019C4"/>
    <w:rsid w:val="00401A70"/>
    <w:rsid w:val="00401BDB"/>
    <w:rsid w:val="00401CD0"/>
    <w:rsid w:val="00401DD6"/>
    <w:rsid w:val="00401DF4"/>
    <w:rsid w:val="00401E99"/>
    <w:rsid w:val="00401F39"/>
    <w:rsid w:val="004020CE"/>
    <w:rsid w:val="00402254"/>
    <w:rsid w:val="004022B1"/>
    <w:rsid w:val="0040254C"/>
    <w:rsid w:val="004025AA"/>
    <w:rsid w:val="00402673"/>
    <w:rsid w:val="0040269B"/>
    <w:rsid w:val="00402752"/>
    <w:rsid w:val="00402779"/>
    <w:rsid w:val="004028FE"/>
    <w:rsid w:val="00402978"/>
    <w:rsid w:val="00402AFA"/>
    <w:rsid w:val="00402B51"/>
    <w:rsid w:val="00402F5C"/>
    <w:rsid w:val="00403074"/>
    <w:rsid w:val="004030D6"/>
    <w:rsid w:val="0040342B"/>
    <w:rsid w:val="004036A6"/>
    <w:rsid w:val="004037CF"/>
    <w:rsid w:val="0040383B"/>
    <w:rsid w:val="00403CCB"/>
    <w:rsid w:val="00403D92"/>
    <w:rsid w:val="00403DD7"/>
    <w:rsid w:val="00403EEE"/>
    <w:rsid w:val="00404021"/>
    <w:rsid w:val="004040C6"/>
    <w:rsid w:val="004041C4"/>
    <w:rsid w:val="00404332"/>
    <w:rsid w:val="0040438D"/>
    <w:rsid w:val="00404591"/>
    <w:rsid w:val="00404836"/>
    <w:rsid w:val="0040486A"/>
    <w:rsid w:val="00404A1F"/>
    <w:rsid w:val="00404AC5"/>
    <w:rsid w:val="00404BF3"/>
    <w:rsid w:val="00404C5B"/>
    <w:rsid w:val="00404CFE"/>
    <w:rsid w:val="00404F06"/>
    <w:rsid w:val="00404FE4"/>
    <w:rsid w:val="0040516A"/>
    <w:rsid w:val="00405186"/>
    <w:rsid w:val="004051F2"/>
    <w:rsid w:val="00405269"/>
    <w:rsid w:val="0040537B"/>
    <w:rsid w:val="00405559"/>
    <w:rsid w:val="004057A4"/>
    <w:rsid w:val="0040586A"/>
    <w:rsid w:val="00405986"/>
    <w:rsid w:val="00405ADB"/>
    <w:rsid w:val="00405D68"/>
    <w:rsid w:val="00405D82"/>
    <w:rsid w:val="00405DA2"/>
    <w:rsid w:val="00405F88"/>
    <w:rsid w:val="00406203"/>
    <w:rsid w:val="0040627E"/>
    <w:rsid w:val="004062D1"/>
    <w:rsid w:val="004062E5"/>
    <w:rsid w:val="00406362"/>
    <w:rsid w:val="00406752"/>
    <w:rsid w:val="00406963"/>
    <w:rsid w:val="00406B44"/>
    <w:rsid w:val="00406B63"/>
    <w:rsid w:val="00406FB8"/>
    <w:rsid w:val="0040725B"/>
    <w:rsid w:val="004073FD"/>
    <w:rsid w:val="00407441"/>
    <w:rsid w:val="00407654"/>
    <w:rsid w:val="004078B9"/>
    <w:rsid w:val="00407AD5"/>
    <w:rsid w:val="00407B8E"/>
    <w:rsid w:val="00407DE1"/>
    <w:rsid w:val="0041043A"/>
    <w:rsid w:val="00410467"/>
    <w:rsid w:val="00410496"/>
    <w:rsid w:val="00410531"/>
    <w:rsid w:val="00410579"/>
    <w:rsid w:val="004105C2"/>
    <w:rsid w:val="00410646"/>
    <w:rsid w:val="00410904"/>
    <w:rsid w:val="00410991"/>
    <w:rsid w:val="00410A50"/>
    <w:rsid w:val="00410AD4"/>
    <w:rsid w:val="00410DF8"/>
    <w:rsid w:val="00410F2F"/>
    <w:rsid w:val="00410F4F"/>
    <w:rsid w:val="00411253"/>
    <w:rsid w:val="0041153B"/>
    <w:rsid w:val="004116A3"/>
    <w:rsid w:val="004119D1"/>
    <w:rsid w:val="00411A4A"/>
    <w:rsid w:val="00411D6C"/>
    <w:rsid w:val="00411D93"/>
    <w:rsid w:val="00411E9B"/>
    <w:rsid w:val="0041208B"/>
    <w:rsid w:val="004120E4"/>
    <w:rsid w:val="00412166"/>
    <w:rsid w:val="00412297"/>
    <w:rsid w:val="0041238A"/>
    <w:rsid w:val="004123A9"/>
    <w:rsid w:val="00412468"/>
    <w:rsid w:val="004127CB"/>
    <w:rsid w:val="004127F6"/>
    <w:rsid w:val="004128C3"/>
    <w:rsid w:val="004129C2"/>
    <w:rsid w:val="00412A38"/>
    <w:rsid w:val="00412AFD"/>
    <w:rsid w:val="00412B98"/>
    <w:rsid w:val="00412B9D"/>
    <w:rsid w:val="0041326E"/>
    <w:rsid w:val="00413296"/>
    <w:rsid w:val="004133DC"/>
    <w:rsid w:val="004136E9"/>
    <w:rsid w:val="004137F8"/>
    <w:rsid w:val="004138AB"/>
    <w:rsid w:val="00413BB2"/>
    <w:rsid w:val="00413CA3"/>
    <w:rsid w:val="00413D14"/>
    <w:rsid w:val="00413D17"/>
    <w:rsid w:val="00413DCD"/>
    <w:rsid w:val="0041403B"/>
    <w:rsid w:val="004140D9"/>
    <w:rsid w:val="00414126"/>
    <w:rsid w:val="0041431A"/>
    <w:rsid w:val="00414496"/>
    <w:rsid w:val="0041460D"/>
    <w:rsid w:val="00414710"/>
    <w:rsid w:val="0041479C"/>
    <w:rsid w:val="004148F4"/>
    <w:rsid w:val="00414ECB"/>
    <w:rsid w:val="004150D8"/>
    <w:rsid w:val="00415162"/>
    <w:rsid w:val="0041520F"/>
    <w:rsid w:val="004153C8"/>
    <w:rsid w:val="00415602"/>
    <w:rsid w:val="00415699"/>
    <w:rsid w:val="004156D8"/>
    <w:rsid w:val="00415713"/>
    <w:rsid w:val="00415873"/>
    <w:rsid w:val="00415B12"/>
    <w:rsid w:val="00415B58"/>
    <w:rsid w:val="00415CCA"/>
    <w:rsid w:val="00415CE0"/>
    <w:rsid w:val="00415E1A"/>
    <w:rsid w:val="00415F1B"/>
    <w:rsid w:val="00415FBB"/>
    <w:rsid w:val="0041621E"/>
    <w:rsid w:val="0041673B"/>
    <w:rsid w:val="004168D3"/>
    <w:rsid w:val="00416A4F"/>
    <w:rsid w:val="00416AFF"/>
    <w:rsid w:val="00416F59"/>
    <w:rsid w:val="00416FC4"/>
    <w:rsid w:val="004170C8"/>
    <w:rsid w:val="0041743D"/>
    <w:rsid w:val="004174E0"/>
    <w:rsid w:val="004175C9"/>
    <w:rsid w:val="004178B7"/>
    <w:rsid w:val="004178E2"/>
    <w:rsid w:val="004178FF"/>
    <w:rsid w:val="004179A6"/>
    <w:rsid w:val="004179CB"/>
    <w:rsid w:val="00417C53"/>
    <w:rsid w:val="00417D67"/>
    <w:rsid w:val="00417E85"/>
    <w:rsid w:val="004200C4"/>
    <w:rsid w:val="00420255"/>
    <w:rsid w:val="004202C4"/>
    <w:rsid w:val="004202E9"/>
    <w:rsid w:val="004202F1"/>
    <w:rsid w:val="0042044F"/>
    <w:rsid w:val="00420457"/>
    <w:rsid w:val="00420461"/>
    <w:rsid w:val="0042049C"/>
    <w:rsid w:val="00420693"/>
    <w:rsid w:val="004206B1"/>
    <w:rsid w:val="004206CB"/>
    <w:rsid w:val="00420920"/>
    <w:rsid w:val="00420936"/>
    <w:rsid w:val="00420FFB"/>
    <w:rsid w:val="0042102A"/>
    <w:rsid w:val="00421285"/>
    <w:rsid w:val="004212E7"/>
    <w:rsid w:val="004213E8"/>
    <w:rsid w:val="00421670"/>
    <w:rsid w:val="004217E4"/>
    <w:rsid w:val="004217FE"/>
    <w:rsid w:val="00421853"/>
    <w:rsid w:val="00421BFD"/>
    <w:rsid w:val="00421C6D"/>
    <w:rsid w:val="00421C80"/>
    <w:rsid w:val="00421CFB"/>
    <w:rsid w:val="00421E8B"/>
    <w:rsid w:val="00421F0B"/>
    <w:rsid w:val="00422047"/>
    <w:rsid w:val="0042228A"/>
    <w:rsid w:val="004222FE"/>
    <w:rsid w:val="004223BD"/>
    <w:rsid w:val="00422497"/>
    <w:rsid w:val="004224A6"/>
    <w:rsid w:val="00422519"/>
    <w:rsid w:val="00422528"/>
    <w:rsid w:val="004226E8"/>
    <w:rsid w:val="00422711"/>
    <w:rsid w:val="00422755"/>
    <w:rsid w:val="0042275F"/>
    <w:rsid w:val="004227E5"/>
    <w:rsid w:val="00422944"/>
    <w:rsid w:val="00422946"/>
    <w:rsid w:val="00422A98"/>
    <w:rsid w:val="00422B65"/>
    <w:rsid w:val="00422B96"/>
    <w:rsid w:val="00422BA8"/>
    <w:rsid w:val="00422C94"/>
    <w:rsid w:val="00422D56"/>
    <w:rsid w:val="00422F32"/>
    <w:rsid w:val="00422F7A"/>
    <w:rsid w:val="00423063"/>
    <w:rsid w:val="004230AE"/>
    <w:rsid w:val="004232EF"/>
    <w:rsid w:val="004239FE"/>
    <w:rsid w:val="00423AB7"/>
    <w:rsid w:val="00423D86"/>
    <w:rsid w:val="00423FB7"/>
    <w:rsid w:val="00423FF0"/>
    <w:rsid w:val="00424467"/>
    <w:rsid w:val="004244C1"/>
    <w:rsid w:val="0042451B"/>
    <w:rsid w:val="004245A8"/>
    <w:rsid w:val="00424745"/>
    <w:rsid w:val="004248C4"/>
    <w:rsid w:val="004249BB"/>
    <w:rsid w:val="00424B16"/>
    <w:rsid w:val="00424C9B"/>
    <w:rsid w:val="00424CEF"/>
    <w:rsid w:val="00424FF8"/>
    <w:rsid w:val="004250A2"/>
    <w:rsid w:val="0042522E"/>
    <w:rsid w:val="00425242"/>
    <w:rsid w:val="00425367"/>
    <w:rsid w:val="0042542E"/>
    <w:rsid w:val="004254E1"/>
    <w:rsid w:val="0042557A"/>
    <w:rsid w:val="00425667"/>
    <w:rsid w:val="004256A1"/>
    <w:rsid w:val="00425746"/>
    <w:rsid w:val="00425753"/>
    <w:rsid w:val="00425771"/>
    <w:rsid w:val="00425802"/>
    <w:rsid w:val="0042582D"/>
    <w:rsid w:val="00425A38"/>
    <w:rsid w:val="00425A47"/>
    <w:rsid w:val="00425AD5"/>
    <w:rsid w:val="0042610B"/>
    <w:rsid w:val="004264D8"/>
    <w:rsid w:val="00426520"/>
    <w:rsid w:val="00426558"/>
    <w:rsid w:val="00426585"/>
    <w:rsid w:val="00426613"/>
    <w:rsid w:val="0042665E"/>
    <w:rsid w:val="0042682A"/>
    <w:rsid w:val="004269A2"/>
    <w:rsid w:val="00426AA7"/>
    <w:rsid w:val="00426BA7"/>
    <w:rsid w:val="00426BE2"/>
    <w:rsid w:val="00426CF1"/>
    <w:rsid w:val="00426DF4"/>
    <w:rsid w:val="00426F47"/>
    <w:rsid w:val="00426FE3"/>
    <w:rsid w:val="00427095"/>
    <w:rsid w:val="004270D7"/>
    <w:rsid w:val="0042722A"/>
    <w:rsid w:val="00427241"/>
    <w:rsid w:val="0042727A"/>
    <w:rsid w:val="004272E2"/>
    <w:rsid w:val="004273B6"/>
    <w:rsid w:val="00427569"/>
    <w:rsid w:val="00427776"/>
    <w:rsid w:val="004277E9"/>
    <w:rsid w:val="004277ED"/>
    <w:rsid w:val="004278C2"/>
    <w:rsid w:val="004279B8"/>
    <w:rsid w:val="00427D1D"/>
    <w:rsid w:val="00427D5B"/>
    <w:rsid w:val="00427D72"/>
    <w:rsid w:val="00427D83"/>
    <w:rsid w:val="00427DBB"/>
    <w:rsid w:val="00427E65"/>
    <w:rsid w:val="00427F50"/>
    <w:rsid w:val="00430092"/>
    <w:rsid w:val="00430115"/>
    <w:rsid w:val="004301D8"/>
    <w:rsid w:val="00430245"/>
    <w:rsid w:val="0043049B"/>
    <w:rsid w:val="004304E4"/>
    <w:rsid w:val="00430519"/>
    <w:rsid w:val="00430591"/>
    <w:rsid w:val="00430635"/>
    <w:rsid w:val="00430721"/>
    <w:rsid w:val="0043088B"/>
    <w:rsid w:val="0043095E"/>
    <w:rsid w:val="004309BC"/>
    <w:rsid w:val="00430F87"/>
    <w:rsid w:val="00431010"/>
    <w:rsid w:val="0043117A"/>
    <w:rsid w:val="004311B3"/>
    <w:rsid w:val="0043123F"/>
    <w:rsid w:val="00431518"/>
    <w:rsid w:val="00431671"/>
    <w:rsid w:val="0043170D"/>
    <w:rsid w:val="00431782"/>
    <w:rsid w:val="004318BF"/>
    <w:rsid w:val="00431900"/>
    <w:rsid w:val="00431D0F"/>
    <w:rsid w:val="00431D83"/>
    <w:rsid w:val="00431E9B"/>
    <w:rsid w:val="00432019"/>
    <w:rsid w:val="0043204F"/>
    <w:rsid w:val="00432058"/>
    <w:rsid w:val="00432097"/>
    <w:rsid w:val="004320EE"/>
    <w:rsid w:val="00432117"/>
    <w:rsid w:val="0043249A"/>
    <w:rsid w:val="00432666"/>
    <w:rsid w:val="00432749"/>
    <w:rsid w:val="00432794"/>
    <w:rsid w:val="004327B9"/>
    <w:rsid w:val="004327D7"/>
    <w:rsid w:val="0043292E"/>
    <w:rsid w:val="00432944"/>
    <w:rsid w:val="00432AF9"/>
    <w:rsid w:val="00432BF6"/>
    <w:rsid w:val="00432EFB"/>
    <w:rsid w:val="00433254"/>
    <w:rsid w:val="004334C9"/>
    <w:rsid w:val="004334CD"/>
    <w:rsid w:val="004335D6"/>
    <w:rsid w:val="00433643"/>
    <w:rsid w:val="004336AB"/>
    <w:rsid w:val="00433903"/>
    <w:rsid w:val="00433955"/>
    <w:rsid w:val="00433A8C"/>
    <w:rsid w:val="00433EA6"/>
    <w:rsid w:val="00433F5E"/>
    <w:rsid w:val="00433F6B"/>
    <w:rsid w:val="00433FC9"/>
    <w:rsid w:val="00434002"/>
    <w:rsid w:val="00434370"/>
    <w:rsid w:val="004344F3"/>
    <w:rsid w:val="00434530"/>
    <w:rsid w:val="0043454A"/>
    <w:rsid w:val="00434649"/>
    <w:rsid w:val="00434727"/>
    <w:rsid w:val="00434876"/>
    <w:rsid w:val="00434890"/>
    <w:rsid w:val="00434898"/>
    <w:rsid w:val="004348C0"/>
    <w:rsid w:val="00434B91"/>
    <w:rsid w:val="00434D39"/>
    <w:rsid w:val="00435046"/>
    <w:rsid w:val="004350AD"/>
    <w:rsid w:val="004350CA"/>
    <w:rsid w:val="004350E8"/>
    <w:rsid w:val="00435138"/>
    <w:rsid w:val="004351F4"/>
    <w:rsid w:val="004352D1"/>
    <w:rsid w:val="004354EE"/>
    <w:rsid w:val="0043554E"/>
    <w:rsid w:val="0043573F"/>
    <w:rsid w:val="00435767"/>
    <w:rsid w:val="004359A6"/>
    <w:rsid w:val="00435A6D"/>
    <w:rsid w:val="00435AD0"/>
    <w:rsid w:val="00435B59"/>
    <w:rsid w:val="00435CEA"/>
    <w:rsid w:val="00435DF8"/>
    <w:rsid w:val="00435E5D"/>
    <w:rsid w:val="00435EDA"/>
    <w:rsid w:val="00435FBD"/>
    <w:rsid w:val="00436045"/>
    <w:rsid w:val="0043618D"/>
    <w:rsid w:val="00436337"/>
    <w:rsid w:val="00436375"/>
    <w:rsid w:val="00436652"/>
    <w:rsid w:val="0043671E"/>
    <w:rsid w:val="004369CC"/>
    <w:rsid w:val="00436DB2"/>
    <w:rsid w:val="00436FB4"/>
    <w:rsid w:val="00437008"/>
    <w:rsid w:val="00437124"/>
    <w:rsid w:val="004371D6"/>
    <w:rsid w:val="00437249"/>
    <w:rsid w:val="00437311"/>
    <w:rsid w:val="00437637"/>
    <w:rsid w:val="004376A1"/>
    <w:rsid w:val="004376DF"/>
    <w:rsid w:val="00437B55"/>
    <w:rsid w:val="00437F4D"/>
    <w:rsid w:val="0044004A"/>
    <w:rsid w:val="00440097"/>
    <w:rsid w:val="0044025C"/>
    <w:rsid w:val="004402A3"/>
    <w:rsid w:val="004402B7"/>
    <w:rsid w:val="004405B4"/>
    <w:rsid w:val="00440620"/>
    <w:rsid w:val="0044063A"/>
    <w:rsid w:val="00440643"/>
    <w:rsid w:val="0044068C"/>
    <w:rsid w:val="00440732"/>
    <w:rsid w:val="004408A9"/>
    <w:rsid w:val="00440A18"/>
    <w:rsid w:val="00440B5A"/>
    <w:rsid w:val="00440D77"/>
    <w:rsid w:val="00440DA9"/>
    <w:rsid w:val="00440F19"/>
    <w:rsid w:val="00440F73"/>
    <w:rsid w:val="00440F97"/>
    <w:rsid w:val="00441041"/>
    <w:rsid w:val="004410EC"/>
    <w:rsid w:val="00441109"/>
    <w:rsid w:val="00441144"/>
    <w:rsid w:val="0044153B"/>
    <w:rsid w:val="00441680"/>
    <w:rsid w:val="00441766"/>
    <w:rsid w:val="0044184D"/>
    <w:rsid w:val="00441973"/>
    <w:rsid w:val="00441B14"/>
    <w:rsid w:val="00441BD3"/>
    <w:rsid w:val="00441BD9"/>
    <w:rsid w:val="00441C09"/>
    <w:rsid w:val="00441F01"/>
    <w:rsid w:val="00441F73"/>
    <w:rsid w:val="00441FEF"/>
    <w:rsid w:val="0044231A"/>
    <w:rsid w:val="00442582"/>
    <w:rsid w:val="00442584"/>
    <w:rsid w:val="0044285D"/>
    <w:rsid w:val="00442A0E"/>
    <w:rsid w:val="00442BBD"/>
    <w:rsid w:val="00442E7D"/>
    <w:rsid w:val="00443319"/>
    <w:rsid w:val="004439FC"/>
    <w:rsid w:val="00443C08"/>
    <w:rsid w:val="00443DA0"/>
    <w:rsid w:val="00443EB6"/>
    <w:rsid w:val="0044403E"/>
    <w:rsid w:val="004440CC"/>
    <w:rsid w:val="004442FF"/>
    <w:rsid w:val="00444387"/>
    <w:rsid w:val="00444508"/>
    <w:rsid w:val="004445AB"/>
    <w:rsid w:val="00444643"/>
    <w:rsid w:val="00444703"/>
    <w:rsid w:val="0044484F"/>
    <w:rsid w:val="00444853"/>
    <w:rsid w:val="0044494B"/>
    <w:rsid w:val="004449A3"/>
    <w:rsid w:val="00444A33"/>
    <w:rsid w:val="00444A76"/>
    <w:rsid w:val="00444B65"/>
    <w:rsid w:val="00444E32"/>
    <w:rsid w:val="00444E3A"/>
    <w:rsid w:val="0044510B"/>
    <w:rsid w:val="004453EE"/>
    <w:rsid w:val="00445781"/>
    <w:rsid w:val="00445839"/>
    <w:rsid w:val="00445866"/>
    <w:rsid w:val="00445A0B"/>
    <w:rsid w:val="00445AC5"/>
    <w:rsid w:val="00445C12"/>
    <w:rsid w:val="00445C22"/>
    <w:rsid w:val="00445D10"/>
    <w:rsid w:val="00445F2F"/>
    <w:rsid w:val="00445F58"/>
    <w:rsid w:val="00445FD8"/>
    <w:rsid w:val="0044617D"/>
    <w:rsid w:val="00446259"/>
    <w:rsid w:val="00446267"/>
    <w:rsid w:val="0044658B"/>
    <w:rsid w:val="00446878"/>
    <w:rsid w:val="00446A59"/>
    <w:rsid w:val="00446AE7"/>
    <w:rsid w:val="00446E75"/>
    <w:rsid w:val="00446FF4"/>
    <w:rsid w:val="00447049"/>
    <w:rsid w:val="00447107"/>
    <w:rsid w:val="00447124"/>
    <w:rsid w:val="00447277"/>
    <w:rsid w:val="004472EF"/>
    <w:rsid w:val="004474C4"/>
    <w:rsid w:val="0044755C"/>
    <w:rsid w:val="004477CF"/>
    <w:rsid w:val="004478B0"/>
    <w:rsid w:val="004478D7"/>
    <w:rsid w:val="004479F8"/>
    <w:rsid w:val="00447AEC"/>
    <w:rsid w:val="00447B20"/>
    <w:rsid w:val="00447EE3"/>
    <w:rsid w:val="00447F33"/>
    <w:rsid w:val="00447FBE"/>
    <w:rsid w:val="00447FE3"/>
    <w:rsid w:val="004500D3"/>
    <w:rsid w:val="004503BC"/>
    <w:rsid w:val="004504B0"/>
    <w:rsid w:val="0045051A"/>
    <w:rsid w:val="004506D9"/>
    <w:rsid w:val="0045075F"/>
    <w:rsid w:val="00450869"/>
    <w:rsid w:val="00450AAD"/>
    <w:rsid w:val="00450C80"/>
    <w:rsid w:val="00450D01"/>
    <w:rsid w:val="004510B7"/>
    <w:rsid w:val="00451292"/>
    <w:rsid w:val="004513B3"/>
    <w:rsid w:val="004514BC"/>
    <w:rsid w:val="0045161E"/>
    <w:rsid w:val="0045164A"/>
    <w:rsid w:val="004516B3"/>
    <w:rsid w:val="00451743"/>
    <w:rsid w:val="004518FF"/>
    <w:rsid w:val="00451BCC"/>
    <w:rsid w:val="00451CE0"/>
    <w:rsid w:val="00451D6A"/>
    <w:rsid w:val="00451FBF"/>
    <w:rsid w:val="00451FFF"/>
    <w:rsid w:val="00452237"/>
    <w:rsid w:val="0045242B"/>
    <w:rsid w:val="00452691"/>
    <w:rsid w:val="00452754"/>
    <w:rsid w:val="004529E1"/>
    <w:rsid w:val="00452AB6"/>
    <w:rsid w:val="00452AC4"/>
    <w:rsid w:val="00452C0B"/>
    <w:rsid w:val="00452C0C"/>
    <w:rsid w:val="00452E9A"/>
    <w:rsid w:val="00453077"/>
    <w:rsid w:val="00453330"/>
    <w:rsid w:val="00453354"/>
    <w:rsid w:val="004533D9"/>
    <w:rsid w:val="00453400"/>
    <w:rsid w:val="004534B7"/>
    <w:rsid w:val="00453847"/>
    <w:rsid w:val="00453862"/>
    <w:rsid w:val="00453A1C"/>
    <w:rsid w:val="00453E19"/>
    <w:rsid w:val="00453FB6"/>
    <w:rsid w:val="00453FE1"/>
    <w:rsid w:val="0045402C"/>
    <w:rsid w:val="004540C4"/>
    <w:rsid w:val="0045436F"/>
    <w:rsid w:val="00454474"/>
    <w:rsid w:val="00454483"/>
    <w:rsid w:val="00454519"/>
    <w:rsid w:val="004546ED"/>
    <w:rsid w:val="0045471D"/>
    <w:rsid w:val="00454746"/>
    <w:rsid w:val="0045476C"/>
    <w:rsid w:val="004547B9"/>
    <w:rsid w:val="004549EC"/>
    <w:rsid w:val="00454B04"/>
    <w:rsid w:val="00454BEF"/>
    <w:rsid w:val="00454EB7"/>
    <w:rsid w:val="00454FE2"/>
    <w:rsid w:val="004551BD"/>
    <w:rsid w:val="004553EC"/>
    <w:rsid w:val="004559C8"/>
    <w:rsid w:val="00455A22"/>
    <w:rsid w:val="00455C0D"/>
    <w:rsid w:val="00455C54"/>
    <w:rsid w:val="00455E9F"/>
    <w:rsid w:val="00455FBC"/>
    <w:rsid w:val="0045605C"/>
    <w:rsid w:val="0045622E"/>
    <w:rsid w:val="0045634A"/>
    <w:rsid w:val="0045647E"/>
    <w:rsid w:val="004568EA"/>
    <w:rsid w:val="00456937"/>
    <w:rsid w:val="004569C8"/>
    <w:rsid w:val="004569E0"/>
    <w:rsid w:val="00456B65"/>
    <w:rsid w:val="00456F28"/>
    <w:rsid w:val="00457100"/>
    <w:rsid w:val="004572A3"/>
    <w:rsid w:val="00457324"/>
    <w:rsid w:val="004573CF"/>
    <w:rsid w:val="004573E5"/>
    <w:rsid w:val="004574BA"/>
    <w:rsid w:val="004575D1"/>
    <w:rsid w:val="00457896"/>
    <w:rsid w:val="00457BF5"/>
    <w:rsid w:val="00457D26"/>
    <w:rsid w:val="00457FF2"/>
    <w:rsid w:val="00460205"/>
    <w:rsid w:val="0046032F"/>
    <w:rsid w:val="0046036E"/>
    <w:rsid w:val="004603C4"/>
    <w:rsid w:val="00460484"/>
    <w:rsid w:val="004605FD"/>
    <w:rsid w:val="004607D4"/>
    <w:rsid w:val="004608EF"/>
    <w:rsid w:val="004608F2"/>
    <w:rsid w:val="004609D0"/>
    <w:rsid w:val="00460C5F"/>
    <w:rsid w:val="00460C63"/>
    <w:rsid w:val="00460DCE"/>
    <w:rsid w:val="00460F0F"/>
    <w:rsid w:val="00461042"/>
    <w:rsid w:val="00461265"/>
    <w:rsid w:val="004612EF"/>
    <w:rsid w:val="004613CB"/>
    <w:rsid w:val="00461420"/>
    <w:rsid w:val="00461423"/>
    <w:rsid w:val="004615B0"/>
    <w:rsid w:val="00461604"/>
    <w:rsid w:val="004618D3"/>
    <w:rsid w:val="0046195F"/>
    <w:rsid w:val="004619A1"/>
    <w:rsid w:val="00461DC6"/>
    <w:rsid w:val="00461FB5"/>
    <w:rsid w:val="004620D5"/>
    <w:rsid w:val="00462157"/>
    <w:rsid w:val="004622F6"/>
    <w:rsid w:val="00462488"/>
    <w:rsid w:val="00462523"/>
    <w:rsid w:val="00462528"/>
    <w:rsid w:val="00462605"/>
    <w:rsid w:val="00462759"/>
    <w:rsid w:val="004627B5"/>
    <w:rsid w:val="00462841"/>
    <w:rsid w:val="0046286D"/>
    <w:rsid w:val="004628E1"/>
    <w:rsid w:val="00462A06"/>
    <w:rsid w:val="00462C2A"/>
    <w:rsid w:val="00462F40"/>
    <w:rsid w:val="004638D7"/>
    <w:rsid w:val="004639C7"/>
    <w:rsid w:val="00463C3B"/>
    <w:rsid w:val="00463CD9"/>
    <w:rsid w:val="00463DEA"/>
    <w:rsid w:val="00463FB2"/>
    <w:rsid w:val="00463FEA"/>
    <w:rsid w:val="0046408B"/>
    <w:rsid w:val="0046410B"/>
    <w:rsid w:val="00464372"/>
    <w:rsid w:val="00464401"/>
    <w:rsid w:val="00464494"/>
    <w:rsid w:val="00464585"/>
    <w:rsid w:val="004645CA"/>
    <w:rsid w:val="004647EE"/>
    <w:rsid w:val="004647FD"/>
    <w:rsid w:val="004647FF"/>
    <w:rsid w:val="0046493D"/>
    <w:rsid w:val="00464E8E"/>
    <w:rsid w:val="004652FE"/>
    <w:rsid w:val="0046541A"/>
    <w:rsid w:val="00465430"/>
    <w:rsid w:val="00465553"/>
    <w:rsid w:val="0046557D"/>
    <w:rsid w:val="00465BC9"/>
    <w:rsid w:val="00465BF9"/>
    <w:rsid w:val="00465C5D"/>
    <w:rsid w:val="00465DA5"/>
    <w:rsid w:val="00465E4C"/>
    <w:rsid w:val="00465E9D"/>
    <w:rsid w:val="00466418"/>
    <w:rsid w:val="0046648A"/>
    <w:rsid w:val="004664C3"/>
    <w:rsid w:val="00466656"/>
    <w:rsid w:val="00466985"/>
    <w:rsid w:val="00466996"/>
    <w:rsid w:val="00466CB3"/>
    <w:rsid w:val="00466EB2"/>
    <w:rsid w:val="004671C5"/>
    <w:rsid w:val="00467237"/>
    <w:rsid w:val="0046799D"/>
    <w:rsid w:val="00467A90"/>
    <w:rsid w:val="00467BE1"/>
    <w:rsid w:val="00467D21"/>
    <w:rsid w:val="00467DF6"/>
    <w:rsid w:val="00467EAE"/>
    <w:rsid w:val="0047010B"/>
    <w:rsid w:val="004701B3"/>
    <w:rsid w:val="004701F2"/>
    <w:rsid w:val="00470233"/>
    <w:rsid w:val="0047025C"/>
    <w:rsid w:val="004702A6"/>
    <w:rsid w:val="004703B3"/>
    <w:rsid w:val="00470464"/>
    <w:rsid w:val="00470542"/>
    <w:rsid w:val="004705EF"/>
    <w:rsid w:val="004707B3"/>
    <w:rsid w:val="0047082D"/>
    <w:rsid w:val="00470861"/>
    <w:rsid w:val="004708CA"/>
    <w:rsid w:val="00470C3D"/>
    <w:rsid w:val="00470C6D"/>
    <w:rsid w:val="00470DF3"/>
    <w:rsid w:val="00470DF8"/>
    <w:rsid w:val="00471048"/>
    <w:rsid w:val="004711FF"/>
    <w:rsid w:val="00471218"/>
    <w:rsid w:val="00471412"/>
    <w:rsid w:val="004714A5"/>
    <w:rsid w:val="00471570"/>
    <w:rsid w:val="00471D09"/>
    <w:rsid w:val="00471D33"/>
    <w:rsid w:val="00471D59"/>
    <w:rsid w:val="00471DD5"/>
    <w:rsid w:val="00471E24"/>
    <w:rsid w:val="00471F56"/>
    <w:rsid w:val="00471F6C"/>
    <w:rsid w:val="00471F80"/>
    <w:rsid w:val="0047217B"/>
    <w:rsid w:val="004721E0"/>
    <w:rsid w:val="0047228F"/>
    <w:rsid w:val="0047231E"/>
    <w:rsid w:val="00472636"/>
    <w:rsid w:val="004727BC"/>
    <w:rsid w:val="00472873"/>
    <w:rsid w:val="00472A8E"/>
    <w:rsid w:val="00472AB1"/>
    <w:rsid w:val="00472AE7"/>
    <w:rsid w:val="00472C1E"/>
    <w:rsid w:val="00472C6E"/>
    <w:rsid w:val="00472CBA"/>
    <w:rsid w:val="00472CBD"/>
    <w:rsid w:val="00472D8F"/>
    <w:rsid w:val="00472DA0"/>
    <w:rsid w:val="0047307E"/>
    <w:rsid w:val="004731EE"/>
    <w:rsid w:val="004732BF"/>
    <w:rsid w:val="0047371C"/>
    <w:rsid w:val="004738F9"/>
    <w:rsid w:val="00473AC4"/>
    <w:rsid w:val="00473B69"/>
    <w:rsid w:val="00473B8E"/>
    <w:rsid w:val="00473C71"/>
    <w:rsid w:val="00473E6D"/>
    <w:rsid w:val="004742E9"/>
    <w:rsid w:val="00474434"/>
    <w:rsid w:val="00474583"/>
    <w:rsid w:val="00474585"/>
    <w:rsid w:val="00474592"/>
    <w:rsid w:val="0047486D"/>
    <w:rsid w:val="00474903"/>
    <w:rsid w:val="00474A55"/>
    <w:rsid w:val="00474BBC"/>
    <w:rsid w:val="00474C23"/>
    <w:rsid w:val="00474D2F"/>
    <w:rsid w:val="00474E67"/>
    <w:rsid w:val="00474FF1"/>
    <w:rsid w:val="0047518B"/>
    <w:rsid w:val="004752C9"/>
    <w:rsid w:val="004752F7"/>
    <w:rsid w:val="00475494"/>
    <w:rsid w:val="004756E5"/>
    <w:rsid w:val="0047580B"/>
    <w:rsid w:val="00475835"/>
    <w:rsid w:val="00475855"/>
    <w:rsid w:val="00475AA2"/>
    <w:rsid w:val="00475AB4"/>
    <w:rsid w:val="00475BFD"/>
    <w:rsid w:val="00475C76"/>
    <w:rsid w:val="00475D02"/>
    <w:rsid w:val="00475E52"/>
    <w:rsid w:val="00475F13"/>
    <w:rsid w:val="00475F4F"/>
    <w:rsid w:val="0047610F"/>
    <w:rsid w:val="00476173"/>
    <w:rsid w:val="00476225"/>
    <w:rsid w:val="00476383"/>
    <w:rsid w:val="00476467"/>
    <w:rsid w:val="004765FB"/>
    <w:rsid w:val="0047664E"/>
    <w:rsid w:val="00476767"/>
    <w:rsid w:val="00476793"/>
    <w:rsid w:val="0047681B"/>
    <w:rsid w:val="004769F6"/>
    <w:rsid w:val="00476A93"/>
    <w:rsid w:val="00476D10"/>
    <w:rsid w:val="00476D5C"/>
    <w:rsid w:val="00476D9C"/>
    <w:rsid w:val="00476E0C"/>
    <w:rsid w:val="00476FC9"/>
    <w:rsid w:val="00477004"/>
    <w:rsid w:val="00477163"/>
    <w:rsid w:val="004772B7"/>
    <w:rsid w:val="004774F6"/>
    <w:rsid w:val="00477573"/>
    <w:rsid w:val="00477BF0"/>
    <w:rsid w:val="00477C0D"/>
    <w:rsid w:val="00477EE6"/>
    <w:rsid w:val="00477F75"/>
    <w:rsid w:val="00480055"/>
    <w:rsid w:val="004801A4"/>
    <w:rsid w:val="004804E9"/>
    <w:rsid w:val="004805E2"/>
    <w:rsid w:val="0048074B"/>
    <w:rsid w:val="00480784"/>
    <w:rsid w:val="004808B1"/>
    <w:rsid w:val="004808C1"/>
    <w:rsid w:val="00480AE2"/>
    <w:rsid w:val="00480B1A"/>
    <w:rsid w:val="00480D84"/>
    <w:rsid w:val="00480DAA"/>
    <w:rsid w:val="00480DB7"/>
    <w:rsid w:val="00480ED7"/>
    <w:rsid w:val="0048115E"/>
    <w:rsid w:val="0048121A"/>
    <w:rsid w:val="00481225"/>
    <w:rsid w:val="00481278"/>
    <w:rsid w:val="00481583"/>
    <w:rsid w:val="00481649"/>
    <w:rsid w:val="004817AC"/>
    <w:rsid w:val="00481855"/>
    <w:rsid w:val="004818C9"/>
    <w:rsid w:val="00481BD0"/>
    <w:rsid w:val="00481D0E"/>
    <w:rsid w:val="00481E9E"/>
    <w:rsid w:val="00481EFE"/>
    <w:rsid w:val="0048205E"/>
    <w:rsid w:val="0048208B"/>
    <w:rsid w:val="00482186"/>
    <w:rsid w:val="004822BA"/>
    <w:rsid w:val="00482367"/>
    <w:rsid w:val="004823C8"/>
    <w:rsid w:val="00482641"/>
    <w:rsid w:val="004827A2"/>
    <w:rsid w:val="004828AB"/>
    <w:rsid w:val="00482A72"/>
    <w:rsid w:val="00482B95"/>
    <w:rsid w:val="00482C51"/>
    <w:rsid w:val="00482C6C"/>
    <w:rsid w:val="00482E12"/>
    <w:rsid w:val="00482F84"/>
    <w:rsid w:val="00482F89"/>
    <w:rsid w:val="0048337B"/>
    <w:rsid w:val="00483395"/>
    <w:rsid w:val="004833AD"/>
    <w:rsid w:val="00483700"/>
    <w:rsid w:val="00483736"/>
    <w:rsid w:val="0048391C"/>
    <w:rsid w:val="0048391E"/>
    <w:rsid w:val="00483989"/>
    <w:rsid w:val="004839A7"/>
    <w:rsid w:val="00483AE5"/>
    <w:rsid w:val="00483B4C"/>
    <w:rsid w:val="00483B95"/>
    <w:rsid w:val="00483BDA"/>
    <w:rsid w:val="00483E26"/>
    <w:rsid w:val="004841C6"/>
    <w:rsid w:val="004842F1"/>
    <w:rsid w:val="0048452E"/>
    <w:rsid w:val="0048455A"/>
    <w:rsid w:val="00484677"/>
    <w:rsid w:val="004846C0"/>
    <w:rsid w:val="00484A36"/>
    <w:rsid w:val="00484BFF"/>
    <w:rsid w:val="00484F40"/>
    <w:rsid w:val="00485257"/>
    <w:rsid w:val="0048562A"/>
    <w:rsid w:val="004858AC"/>
    <w:rsid w:val="00485AD6"/>
    <w:rsid w:val="00485B1B"/>
    <w:rsid w:val="00485C76"/>
    <w:rsid w:val="00485C9B"/>
    <w:rsid w:val="00485EC2"/>
    <w:rsid w:val="00486426"/>
    <w:rsid w:val="00486477"/>
    <w:rsid w:val="00486510"/>
    <w:rsid w:val="00486791"/>
    <w:rsid w:val="004868EE"/>
    <w:rsid w:val="004869F0"/>
    <w:rsid w:val="00486B1A"/>
    <w:rsid w:val="00486C79"/>
    <w:rsid w:val="00486DA9"/>
    <w:rsid w:val="00486F57"/>
    <w:rsid w:val="00487022"/>
    <w:rsid w:val="00487060"/>
    <w:rsid w:val="0048719A"/>
    <w:rsid w:val="0048723A"/>
    <w:rsid w:val="0048723E"/>
    <w:rsid w:val="004872C5"/>
    <w:rsid w:val="00487475"/>
    <w:rsid w:val="004875E9"/>
    <w:rsid w:val="004875EC"/>
    <w:rsid w:val="00487622"/>
    <w:rsid w:val="00487669"/>
    <w:rsid w:val="004877E3"/>
    <w:rsid w:val="004878B9"/>
    <w:rsid w:val="00487966"/>
    <w:rsid w:val="004879B5"/>
    <w:rsid w:val="00487B43"/>
    <w:rsid w:val="00487C07"/>
    <w:rsid w:val="00487C26"/>
    <w:rsid w:val="00487C73"/>
    <w:rsid w:val="00487DEE"/>
    <w:rsid w:val="00487E1F"/>
    <w:rsid w:val="00487E69"/>
    <w:rsid w:val="00487E83"/>
    <w:rsid w:val="00490085"/>
    <w:rsid w:val="00490372"/>
    <w:rsid w:val="004904A9"/>
    <w:rsid w:val="004906B2"/>
    <w:rsid w:val="004908A6"/>
    <w:rsid w:val="004908AC"/>
    <w:rsid w:val="00490A99"/>
    <w:rsid w:val="00490B6F"/>
    <w:rsid w:val="00490B9D"/>
    <w:rsid w:val="00490C86"/>
    <w:rsid w:val="00490EBA"/>
    <w:rsid w:val="00491054"/>
    <w:rsid w:val="00491084"/>
    <w:rsid w:val="004912EA"/>
    <w:rsid w:val="0049159D"/>
    <w:rsid w:val="004915F1"/>
    <w:rsid w:val="004918EB"/>
    <w:rsid w:val="00491DD0"/>
    <w:rsid w:val="00491DE7"/>
    <w:rsid w:val="00491E58"/>
    <w:rsid w:val="0049201C"/>
    <w:rsid w:val="0049227E"/>
    <w:rsid w:val="004922D5"/>
    <w:rsid w:val="004922E9"/>
    <w:rsid w:val="0049239B"/>
    <w:rsid w:val="004924FF"/>
    <w:rsid w:val="00492539"/>
    <w:rsid w:val="0049254D"/>
    <w:rsid w:val="004926E3"/>
    <w:rsid w:val="004927FD"/>
    <w:rsid w:val="0049292D"/>
    <w:rsid w:val="00492A8A"/>
    <w:rsid w:val="00492ADE"/>
    <w:rsid w:val="00492CA0"/>
    <w:rsid w:val="00492D2C"/>
    <w:rsid w:val="00492D8B"/>
    <w:rsid w:val="004932B3"/>
    <w:rsid w:val="0049333A"/>
    <w:rsid w:val="0049368D"/>
    <w:rsid w:val="00493701"/>
    <w:rsid w:val="0049372E"/>
    <w:rsid w:val="00493766"/>
    <w:rsid w:val="004938C0"/>
    <w:rsid w:val="004939D2"/>
    <w:rsid w:val="004939DC"/>
    <w:rsid w:val="00493A40"/>
    <w:rsid w:val="00493BAB"/>
    <w:rsid w:val="00493E76"/>
    <w:rsid w:val="00493FA3"/>
    <w:rsid w:val="00494020"/>
    <w:rsid w:val="0049412C"/>
    <w:rsid w:val="00494174"/>
    <w:rsid w:val="004943AE"/>
    <w:rsid w:val="00494434"/>
    <w:rsid w:val="00494553"/>
    <w:rsid w:val="00494A7D"/>
    <w:rsid w:val="00494ADB"/>
    <w:rsid w:val="00494B9E"/>
    <w:rsid w:val="00494D43"/>
    <w:rsid w:val="00494DC7"/>
    <w:rsid w:val="00494F07"/>
    <w:rsid w:val="00494F6F"/>
    <w:rsid w:val="00495077"/>
    <w:rsid w:val="00495150"/>
    <w:rsid w:val="004951EC"/>
    <w:rsid w:val="00495780"/>
    <w:rsid w:val="004957FF"/>
    <w:rsid w:val="004958EC"/>
    <w:rsid w:val="00495927"/>
    <w:rsid w:val="00495AFB"/>
    <w:rsid w:val="00495B6B"/>
    <w:rsid w:val="00495EA6"/>
    <w:rsid w:val="00495EFA"/>
    <w:rsid w:val="00495F41"/>
    <w:rsid w:val="00495FAA"/>
    <w:rsid w:val="00496025"/>
    <w:rsid w:val="00496117"/>
    <w:rsid w:val="004961CB"/>
    <w:rsid w:val="004963AF"/>
    <w:rsid w:val="004963B3"/>
    <w:rsid w:val="004964E1"/>
    <w:rsid w:val="0049676C"/>
    <w:rsid w:val="0049697F"/>
    <w:rsid w:val="004969D9"/>
    <w:rsid w:val="00496A1D"/>
    <w:rsid w:val="00496A99"/>
    <w:rsid w:val="00496B27"/>
    <w:rsid w:val="00496C44"/>
    <w:rsid w:val="00496CAC"/>
    <w:rsid w:val="00496CFE"/>
    <w:rsid w:val="00496FB5"/>
    <w:rsid w:val="00497021"/>
    <w:rsid w:val="00497116"/>
    <w:rsid w:val="004971D6"/>
    <w:rsid w:val="004975C2"/>
    <w:rsid w:val="00497983"/>
    <w:rsid w:val="004979B5"/>
    <w:rsid w:val="00497A43"/>
    <w:rsid w:val="00497B3B"/>
    <w:rsid w:val="00497BEA"/>
    <w:rsid w:val="00497D8E"/>
    <w:rsid w:val="00497ED9"/>
    <w:rsid w:val="00497F0F"/>
    <w:rsid w:val="004A009A"/>
    <w:rsid w:val="004A0329"/>
    <w:rsid w:val="004A03EC"/>
    <w:rsid w:val="004A053F"/>
    <w:rsid w:val="004A054B"/>
    <w:rsid w:val="004A05C0"/>
    <w:rsid w:val="004A0645"/>
    <w:rsid w:val="004A07C9"/>
    <w:rsid w:val="004A0895"/>
    <w:rsid w:val="004A0AD9"/>
    <w:rsid w:val="004A0B12"/>
    <w:rsid w:val="004A0B19"/>
    <w:rsid w:val="004A0CD4"/>
    <w:rsid w:val="004A0D68"/>
    <w:rsid w:val="004A0D8B"/>
    <w:rsid w:val="004A0F1D"/>
    <w:rsid w:val="004A10BA"/>
    <w:rsid w:val="004A10D0"/>
    <w:rsid w:val="004A12EC"/>
    <w:rsid w:val="004A13B7"/>
    <w:rsid w:val="004A1413"/>
    <w:rsid w:val="004A1510"/>
    <w:rsid w:val="004A1592"/>
    <w:rsid w:val="004A15AD"/>
    <w:rsid w:val="004A174C"/>
    <w:rsid w:val="004A17A4"/>
    <w:rsid w:val="004A1976"/>
    <w:rsid w:val="004A1988"/>
    <w:rsid w:val="004A1A2B"/>
    <w:rsid w:val="004A1A38"/>
    <w:rsid w:val="004A1C58"/>
    <w:rsid w:val="004A1E3B"/>
    <w:rsid w:val="004A1E68"/>
    <w:rsid w:val="004A20FC"/>
    <w:rsid w:val="004A224A"/>
    <w:rsid w:val="004A22DB"/>
    <w:rsid w:val="004A24E5"/>
    <w:rsid w:val="004A2722"/>
    <w:rsid w:val="004A2754"/>
    <w:rsid w:val="004A2777"/>
    <w:rsid w:val="004A27C6"/>
    <w:rsid w:val="004A27CD"/>
    <w:rsid w:val="004A282D"/>
    <w:rsid w:val="004A2951"/>
    <w:rsid w:val="004A29D0"/>
    <w:rsid w:val="004A2B98"/>
    <w:rsid w:val="004A2EC5"/>
    <w:rsid w:val="004A2F9C"/>
    <w:rsid w:val="004A31A1"/>
    <w:rsid w:val="004A3315"/>
    <w:rsid w:val="004A34BD"/>
    <w:rsid w:val="004A359A"/>
    <w:rsid w:val="004A3600"/>
    <w:rsid w:val="004A361E"/>
    <w:rsid w:val="004A36EA"/>
    <w:rsid w:val="004A37BA"/>
    <w:rsid w:val="004A384D"/>
    <w:rsid w:val="004A3A93"/>
    <w:rsid w:val="004A3B1D"/>
    <w:rsid w:val="004A3B79"/>
    <w:rsid w:val="004A3E9E"/>
    <w:rsid w:val="004A3F0A"/>
    <w:rsid w:val="004A41B6"/>
    <w:rsid w:val="004A43F7"/>
    <w:rsid w:val="004A4435"/>
    <w:rsid w:val="004A4601"/>
    <w:rsid w:val="004A47AB"/>
    <w:rsid w:val="004A4857"/>
    <w:rsid w:val="004A4898"/>
    <w:rsid w:val="004A4A06"/>
    <w:rsid w:val="004A4ABE"/>
    <w:rsid w:val="004A4B63"/>
    <w:rsid w:val="004A4B95"/>
    <w:rsid w:val="004A4C93"/>
    <w:rsid w:val="004A4E84"/>
    <w:rsid w:val="004A4EE0"/>
    <w:rsid w:val="004A5026"/>
    <w:rsid w:val="004A5268"/>
    <w:rsid w:val="004A5344"/>
    <w:rsid w:val="004A535E"/>
    <w:rsid w:val="004A53EF"/>
    <w:rsid w:val="004A5538"/>
    <w:rsid w:val="004A564B"/>
    <w:rsid w:val="004A598F"/>
    <w:rsid w:val="004A5A04"/>
    <w:rsid w:val="004A5C31"/>
    <w:rsid w:val="004A5CD8"/>
    <w:rsid w:val="004A5E13"/>
    <w:rsid w:val="004A5F93"/>
    <w:rsid w:val="004A6140"/>
    <w:rsid w:val="004A63A5"/>
    <w:rsid w:val="004A6453"/>
    <w:rsid w:val="004A64A0"/>
    <w:rsid w:val="004A655F"/>
    <w:rsid w:val="004A65F1"/>
    <w:rsid w:val="004A66CD"/>
    <w:rsid w:val="004A6759"/>
    <w:rsid w:val="004A68E9"/>
    <w:rsid w:val="004A6A41"/>
    <w:rsid w:val="004A6D04"/>
    <w:rsid w:val="004A6E87"/>
    <w:rsid w:val="004A70EC"/>
    <w:rsid w:val="004A71A9"/>
    <w:rsid w:val="004A71CE"/>
    <w:rsid w:val="004A72E4"/>
    <w:rsid w:val="004A736E"/>
    <w:rsid w:val="004A73DC"/>
    <w:rsid w:val="004A76F3"/>
    <w:rsid w:val="004A799B"/>
    <w:rsid w:val="004A7A55"/>
    <w:rsid w:val="004A7C40"/>
    <w:rsid w:val="004A7C8D"/>
    <w:rsid w:val="004A7E18"/>
    <w:rsid w:val="004A7F4C"/>
    <w:rsid w:val="004B01E4"/>
    <w:rsid w:val="004B03A2"/>
    <w:rsid w:val="004B05CB"/>
    <w:rsid w:val="004B062E"/>
    <w:rsid w:val="004B06D3"/>
    <w:rsid w:val="004B06F2"/>
    <w:rsid w:val="004B077C"/>
    <w:rsid w:val="004B084C"/>
    <w:rsid w:val="004B09CE"/>
    <w:rsid w:val="004B0C3A"/>
    <w:rsid w:val="004B115C"/>
    <w:rsid w:val="004B15D8"/>
    <w:rsid w:val="004B15F2"/>
    <w:rsid w:val="004B169C"/>
    <w:rsid w:val="004B178B"/>
    <w:rsid w:val="004B1848"/>
    <w:rsid w:val="004B1857"/>
    <w:rsid w:val="004B1A2D"/>
    <w:rsid w:val="004B1BAF"/>
    <w:rsid w:val="004B1BEA"/>
    <w:rsid w:val="004B1CA2"/>
    <w:rsid w:val="004B1E2B"/>
    <w:rsid w:val="004B1F72"/>
    <w:rsid w:val="004B21F7"/>
    <w:rsid w:val="004B238F"/>
    <w:rsid w:val="004B2394"/>
    <w:rsid w:val="004B249F"/>
    <w:rsid w:val="004B2676"/>
    <w:rsid w:val="004B275F"/>
    <w:rsid w:val="004B2878"/>
    <w:rsid w:val="004B298B"/>
    <w:rsid w:val="004B2CDD"/>
    <w:rsid w:val="004B32B9"/>
    <w:rsid w:val="004B3348"/>
    <w:rsid w:val="004B341F"/>
    <w:rsid w:val="004B34A5"/>
    <w:rsid w:val="004B34FB"/>
    <w:rsid w:val="004B358A"/>
    <w:rsid w:val="004B35DA"/>
    <w:rsid w:val="004B3679"/>
    <w:rsid w:val="004B3745"/>
    <w:rsid w:val="004B397D"/>
    <w:rsid w:val="004B3A26"/>
    <w:rsid w:val="004B3B41"/>
    <w:rsid w:val="004B3CDE"/>
    <w:rsid w:val="004B3DA7"/>
    <w:rsid w:val="004B3E95"/>
    <w:rsid w:val="004B412D"/>
    <w:rsid w:val="004B41E6"/>
    <w:rsid w:val="004B43C3"/>
    <w:rsid w:val="004B43F8"/>
    <w:rsid w:val="004B4435"/>
    <w:rsid w:val="004B461C"/>
    <w:rsid w:val="004B481B"/>
    <w:rsid w:val="004B483F"/>
    <w:rsid w:val="004B4843"/>
    <w:rsid w:val="004B49AC"/>
    <w:rsid w:val="004B4B17"/>
    <w:rsid w:val="004B4C85"/>
    <w:rsid w:val="004B4D27"/>
    <w:rsid w:val="004B4D7D"/>
    <w:rsid w:val="004B5069"/>
    <w:rsid w:val="004B5187"/>
    <w:rsid w:val="004B51EB"/>
    <w:rsid w:val="004B5403"/>
    <w:rsid w:val="004B5559"/>
    <w:rsid w:val="004B5598"/>
    <w:rsid w:val="004B58C6"/>
    <w:rsid w:val="004B5959"/>
    <w:rsid w:val="004B5C0B"/>
    <w:rsid w:val="004B5C73"/>
    <w:rsid w:val="004B5CC0"/>
    <w:rsid w:val="004B5DB2"/>
    <w:rsid w:val="004B5F53"/>
    <w:rsid w:val="004B6126"/>
    <w:rsid w:val="004B6223"/>
    <w:rsid w:val="004B6490"/>
    <w:rsid w:val="004B653B"/>
    <w:rsid w:val="004B660D"/>
    <w:rsid w:val="004B6612"/>
    <w:rsid w:val="004B6752"/>
    <w:rsid w:val="004B67D1"/>
    <w:rsid w:val="004B6C27"/>
    <w:rsid w:val="004B6DF2"/>
    <w:rsid w:val="004B6E26"/>
    <w:rsid w:val="004B6E89"/>
    <w:rsid w:val="004B6F27"/>
    <w:rsid w:val="004B72CC"/>
    <w:rsid w:val="004B7402"/>
    <w:rsid w:val="004B75F8"/>
    <w:rsid w:val="004B7618"/>
    <w:rsid w:val="004B7869"/>
    <w:rsid w:val="004B7A19"/>
    <w:rsid w:val="004B7BB4"/>
    <w:rsid w:val="004B7C19"/>
    <w:rsid w:val="004B7C20"/>
    <w:rsid w:val="004B7E29"/>
    <w:rsid w:val="004C00C2"/>
    <w:rsid w:val="004C010A"/>
    <w:rsid w:val="004C038D"/>
    <w:rsid w:val="004C04AE"/>
    <w:rsid w:val="004C04D7"/>
    <w:rsid w:val="004C07C5"/>
    <w:rsid w:val="004C0937"/>
    <w:rsid w:val="004C119E"/>
    <w:rsid w:val="004C1233"/>
    <w:rsid w:val="004C14A7"/>
    <w:rsid w:val="004C15AC"/>
    <w:rsid w:val="004C166D"/>
    <w:rsid w:val="004C1825"/>
    <w:rsid w:val="004C1932"/>
    <w:rsid w:val="004C19B7"/>
    <w:rsid w:val="004C1AE4"/>
    <w:rsid w:val="004C1B9D"/>
    <w:rsid w:val="004C1BC6"/>
    <w:rsid w:val="004C1E33"/>
    <w:rsid w:val="004C1F80"/>
    <w:rsid w:val="004C2316"/>
    <w:rsid w:val="004C24E7"/>
    <w:rsid w:val="004C2535"/>
    <w:rsid w:val="004C25E7"/>
    <w:rsid w:val="004C2851"/>
    <w:rsid w:val="004C2A78"/>
    <w:rsid w:val="004C2AC5"/>
    <w:rsid w:val="004C2B48"/>
    <w:rsid w:val="004C2E04"/>
    <w:rsid w:val="004C2E82"/>
    <w:rsid w:val="004C2F52"/>
    <w:rsid w:val="004C2F9B"/>
    <w:rsid w:val="004C3024"/>
    <w:rsid w:val="004C30C6"/>
    <w:rsid w:val="004C3451"/>
    <w:rsid w:val="004C34B6"/>
    <w:rsid w:val="004C358E"/>
    <w:rsid w:val="004C37AC"/>
    <w:rsid w:val="004C3864"/>
    <w:rsid w:val="004C3AF4"/>
    <w:rsid w:val="004C3C21"/>
    <w:rsid w:val="004C3D29"/>
    <w:rsid w:val="004C4188"/>
    <w:rsid w:val="004C41A0"/>
    <w:rsid w:val="004C473E"/>
    <w:rsid w:val="004C4814"/>
    <w:rsid w:val="004C484C"/>
    <w:rsid w:val="004C4971"/>
    <w:rsid w:val="004C49E3"/>
    <w:rsid w:val="004C4AAB"/>
    <w:rsid w:val="004C4C8F"/>
    <w:rsid w:val="004C4C96"/>
    <w:rsid w:val="004C4D65"/>
    <w:rsid w:val="004C5196"/>
    <w:rsid w:val="004C51D7"/>
    <w:rsid w:val="004C529F"/>
    <w:rsid w:val="004C53D3"/>
    <w:rsid w:val="004C5612"/>
    <w:rsid w:val="004C5777"/>
    <w:rsid w:val="004C57FA"/>
    <w:rsid w:val="004C597E"/>
    <w:rsid w:val="004C5AA1"/>
    <w:rsid w:val="004C5AE6"/>
    <w:rsid w:val="004C5BE8"/>
    <w:rsid w:val="004C5EFB"/>
    <w:rsid w:val="004C5FE0"/>
    <w:rsid w:val="004C600A"/>
    <w:rsid w:val="004C602A"/>
    <w:rsid w:val="004C6207"/>
    <w:rsid w:val="004C6292"/>
    <w:rsid w:val="004C6344"/>
    <w:rsid w:val="004C643D"/>
    <w:rsid w:val="004C64D0"/>
    <w:rsid w:val="004C65AE"/>
    <w:rsid w:val="004C6653"/>
    <w:rsid w:val="004C6B61"/>
    <w:rsid w:val="004C6D5E"/>
    <w:rsid w:val="004C6E4A"/>
    <w:rsid w:val="004C706F"/>
    <w:rsid w:val="004C70C5"/>
    <w:rsid w:val="004C7295"/>
    <w:rsid w:val="004C7349"/>
    <w:rsid w:val="004C73C1"/>
    <w:rsid w:val="004C76F2"/>
    <w:rsid w:val="004C7B6E"/>
    <w:rsid w:val="004C7D21"/>
    <w:rsid w:val="004C7D7F"/>
    <w:rsid w:val="004C7EAD"/>
    <w:rsid w:val="004D0134"/>
    <w:rsid w:val="004D079D"/>
    <w:rsid w:val="004D07BF"/>
    <w:rsid w:val="004D0831"/>
    <w:rsid w:val="004D08CA"/>
    <w:rsid w:val="004D0990"/>
    <w:rsid w:val="004D0D5D"/>
    <w:rsid w:val="004D0D84"/>
    <w:rsid w:val="004D0DF4"/>
    <w:rsid w:val="004D0F0D"/>
    <w:rsid w:val="004D10F0"/>
    <w:rsid w:val="004D1465"/>
    <w:rsid w:val="004D152A"/>
    <w:rsid w:val="004D185B"/>
    <w:rsid w:val="004D188D"/>
    <w:rsid w:val="004D191C"/>
    <w:rsid w:val="004D19A5"/>
    <w:rsid w:val="004D1A46"/>
    <w:rsid w:val="004D1E05"/>
    <w:rsid w:val="004D1F0F"/>
    <w:rsid w:val="004D2056"/>
    <w:rsid w:val="004D2247"/>
    <w:rsid w:val="004D2311"/>
    <w:rsid w:val="004D2375"/>
    <w:rsid w:val="004D2A4A"/>
    <w:rsid w:val="004D2ADF"/>
    <w:rsid w:val="004D2C4B"/>
    <w:rsid w:val="004D2DF9"/>
    <w:rsid w:val="004D2F80"/>
    <w:rsid w:val="004D2F90"/>
    <w:rsid w:val="004D2FF3"/>
    <w:rsid w:val="004D3119"/>
    <w:rsid w:val="004D3192"/>
    <w:rsid w:val="004D3212"/>
    <w:rsid w:val="004D33A5"/>
    <w:rsid w:val="004D33CF"/>
    <w:rsid w:val="004D340C"/>
    <w:rsid w:val="004D37E6"/>
    <w:rsid w:val="004D3843"/>
    <w:rsid w:val="004D3940"/>
    <w:rsid w:val="004D3A25"/>
    <w:rsid w:val="004D3AA1"/>
    <w:rsid w:val="004D3C5B"/>
    <w:rsid w:val="004D3E41"/>
    <w:rsid w:val="004D401C"/>
    <w:rsid w:val="004D4058"/>
    <w:rsid w:val="004D40F3"/>
    <w:rsid w:val="004D4135"/>
    <w:rsid w:val="004D470E"/>
    <w:rsid w:val="004D477D"/>
    <w:rsid w:val="004D4C27"/>
    <w:rsid w:val="004D4E99"/>
    <w:rsid w:val="004D4FD1"/>
    <w:rsid w:val="004D509E"/>
    <w:rsid w:val="004D51FC"/>
    <w:rsid w:val="004D5313"/>
    <w:rsid w:val="004D54F3"/>
    <w:rsid w:val="004D56D3"/>
    <w:rsid w:val="004D575D"/>
    <w:rsid w:val="004D5797"/>
    <w:rsid w:val="004D58B5"/>
    <w:rsid w:val="004D58EE"/>
    <w:rsid w:val="004D5A3E"/>
    <w:rsid w:val="004D5B63"/>
    <w:rsid w:val="004D5BC3"/>
    <w:rsid w:val="004D5D37"/>
    <w:rsid w:val="004D5E93"/>
    <w:rsid w:val="004D5F4A"/>
    <w:rsid w:val="004D6116"/>
    <w:rsid w:val="004D61F0"/>
    <w:rsid w:val="004D6326"/>
    <w:rsid w:val="004D64ED"/>
    <w:rsid w:val="004D64F6"/>
    <w:rsid w:val="004D6780"/>
    <w:rsid w:val="004D6A4D"/>
    <w:rsid w:val="004D6AED"/>
    <w:rsid w:val="004D6B06"/>
    <w:rsid w:val="004D713C"/>
    <w:rsid w:val="004D7263"/>
    <w:rsid w:val="004D72E5"/>
    <w:rsid w:val="004D7300"/>
    <w:rsid w:val="004D7335"/>
    <w:rsid w:val="004D7442"/>
    <w:rsid w:val="004D759F"/>
    <w:rsid w:val="004D771C"/>
    <w:rsid w:val="004D7742"/>
    <w:rsid w:val="004D7871"/>
    <w:rsid w:val="004D7933"/>
    <w:rsid w:val="004D7A8B"/>
    <w:rsid w:val="004D7C1E"/>
    <w:rsid w:val="004D7D05"/>
    <w:rsid w:val="004D7E4E"/>
    <w:rsid w:val="004E0254"/>
    <w:rsid w:val="004E02D7"/>
    <w:rsid w:val="004E03B6"/>
    <w:rsid w:val="004E0468"/>
    <w:rsid w:val="004E0678"/>
    <w:rsid w:val="004E0C2F"/>
    <w:rsid w:val="004E0C57"/>
    <w:rsid w:val="004E0EB0"/>
    <w:rsid w:val="004E0F42"/>
    <w:rsid w:val="004E0F62"/>
    <w:rsid w:val="004E1354"/>
    <w:rsid w:val="004E1486"/>
    <w:rsid w:val="004E17D3"/>
    <w:rsid w:val="004E18FB"/>
    <w:rsid w:val="004E1A88"/>
    <w:rsid w:val="004E1AC8"/>
    <w:rsid w:val="004E1D59"/>
    <w:rsid w:val="004E1D60"/>
    <w:rsid w:val="004E1EEC"/>
    <w:rsid w:val="004E1F5A"/>
    <w:rsid w:val="004E1F81"/>
    <w:rsid w:val="004E202A"/>
    <w:rsid w:val="004E2138"/>
    <w:rsid w:val="004E219A"/>
    <w:rsid w:val="004E21B1"/>
    <w:rsid w:val="004E2285"/>
    <w:rsid w:val="004E24AC"/>
    <w:rsid w:val="004E24B1"/>
    <w:rsid w:val="004E2587"/>
    <w:rsid w:val="004E2715"/>
    <w:rsid w:val="004E2726"/>
    <w:rsid w:val="004E2A63"/>
    <w:rsid w:val="004E2B2C"/>
    <w:rsid w:val="004E2B33"/>
    <w:rsid w:val="004E2BE2"/>
    <w:rsid w:val="004E2CC9"/>
    <w:rsid w:val="004E2CE6"/>
    <w:rsid w:val="004E2FC7"/>
    <w:rsid w:val="004E30B1"/>
    <w:rsid w:val="004E3126"/>
    <w:rsid w:val="004E3162"/>
    <w:rsid w:val="004E31C2"/>
    <w:rsid w:val="004E331A"/>
    <w:rsid w:val="004E35F3"/>
    <w:rsid w:val="004E36EF"/>
    <w:rsid w:val="004E37E3"/>
    <w:rsid w:val="004E386A"/>
    <w:rsid w:val="004E38D0"/>
    <w:rsid w:val="004E3981"/>
    <w:rsid w:val="004E3C5D"/>
    <w:rsid w:val="004E3C81"/>
    <w:rsid w:val="004E3CAC"/>
    <w:rsid w:val="004E3CD0"/>
    <w:rsid w:val="004E3E16"/>
    <w:rsid w:val="004E3F61"/>
    <w:rsid w:val="004E3F86"/>
    <w:rsid w:val="004E458E"/>
    <w:rsid w:val="004E4682"/>
    <w:rsid w:val="004E477D"/>
    <w:rsid w:val="004E4808"/>
    <w:rsid w:val="004E4837"/>
    <w:rsid w:val="004E491E"/>
    <w:rsid w:val="004E4ADE"/>
    <w:rsid w:val="004E4B60"/>
    <w:rsid w:val="004E4C46"/>
    <w:rsid w:val="004E4C85"/>
    <w:rsid w:val="004E4C95"/>
    <w:rsid w:val="004E4EA9"/>
    <w:rsid w:val="004E5374"/>
    <w:rsid w:val="004E53BF"/>
    <w:rsid w:val="004E53CA"/>
    <w:rsid w:val="004E58FE"/>
    <w:rsid w:val="004E5C64"/>
    <w:rsid w:val="004E5CF7"/>
    <w:rsid w:val="004E5DE0"/>
    <w:rsid w:val="004E60E9"/>
    <w:rsid w:val="004E61C4"/>
    <w:rsid w:val="004E62F6"/>
    <w:rsid w:val="004E631D"/>
    <w:rsid w:val="004E638A"/>
    <w:rsid w:val="004E647D"/>
    <w:rsid w:val="004E65A0"/>
    <w:rsid w:val="004E65AD"/>
    <w:rsid w:val="004E65D7"/>
    <w:rsid w:val="004E6696"/>
    <w:rsid w:val="004E67B8"/>
    <w:rsid w:val="004E68FC"/>
    <w:rsid w:val="004E6A82"/>
    <w:rsid w:val="004E6BCB"/>
    <w:rsid w:val="004E6CCD"/>
    <w:rsid w:val="004E6E25"/>
    <w:rsid w:val="004E6E51"/>
    <w:rsid w:val="004E7037"/>
    <w:rsid w:val="004E7047"/>
    <w:rsid w:val="004E728A"/>
    <w:rsid w:val="004E72B6"/>
    <w:rsid w:val="004E7429"/>
    <w:rsid w:val="004E7576"/>
    <w:rsid w:val="004E757D"/>
    <w:rsid w:val="004E76BB"/>
    <w:rsid w:val="004E77BF"/>
    <w:rsid w:val="004E78E5"/>
    <w:rsid w:val="004E7A56"/>
    <w:rsid w:val="004E7B60"/>
    <w:rsid w:val="004E7CA8"/>
    <w:rsid w:val="004E7DA7"/>
    <w:rsid w:val="004E7EB9"/>
    <w:rsid w:val="004F0112"/>
    <w:rsid w:val="004F01F8"/>
    <w:rsid w:val="004F0303"/>
    <w:rsid w:val="004F032A"/>
    <w:rsid w:val="004F046C"/>
    <w:rsid w:val="004F0638"/>
    <w:rsid w:val="004F07A9"/>
    <w:rsid w:val="004F07C9"/>
    <w:rsid w:val="004F09EE"/>
    <w:rsid w:val="004F0AF2"/>
    <w:rsid w:val="004F0B70"/>
    <w:rsid w:val="004F0B76"/>
    <w:rsid w:val="004F0CD3"/>
    <w:rsid w:val="004F0E09"/>
    <w:rsid w:val="004F0EB6"/>
    <w:rsid w:val="004F0ECA"/>
    <w:rsid w:val="004F0F43"/>
    <w:rsid w:val="004F0F63"/>
    <w:rsid w:val="004F1004"/>
    <w:rsid w:val="004F12DC"/>
    <w:rsid w:val="004F1342"/>
    <w:rsid w:val="004F1655"/>
    <w:rsid w:val="004F1679"/>
    <w:rsid w:val="004F174C"/>
    <w:rsid w:val="004F1935"/>
    <w:rsid w:val="004F1A3C"/>
    <w:rsid w:val="004F1B5C"/>
    <w:rsid w:val="004F1C75"/>
    <w:rsid w:val="004F1D37"/>
    <w:rsid w:val="004F1D97"/>
    <w:rsid w:val="004F2029"/>
    <w:rsid w:val="004F20EC"/>
    <w:rsid w:val="004F21D8"/>
    <w:rsid w:val="004F2300"/>
    <w:rsid w:val="004F2443"/>
    <w:rsid w:val="004F24EC"/>
    <w:rsid w:val="004F26BE"/>
    <w:rsid w:val="004F290B"/>
    <w:rsid w:val="004F2964"/>
    <w:rsid w:val="004F2A57"/>
    <w:rsid w:val="004F2B5A"/>
    <w:rsid w:val="004F2CC5"/>
    <w:rsid w:val="004F2DC7"/>
    <w:rsid w:val="004F2EAB"/>
    <w:rsid w:val="004F2F26"/>
    <w:rsid w:val="004F2F66"/>
    <w:rsid w:val="004F300F"/>
    <w:rsid w:val="004F302D"/>
    <w:rsid w:val="004F3076"/>
    <w:rsid w:val="004F30AA"/>
    <w:rsid w:val="004F3212"/>
    <w:rsid w:val="004F3300"/>
    <w:rsid w:val="004F351E"/>
    <w:rsid w:val="004F353C"/>
    <w:rsid w:val="004F3657"/>
    <w:rsid w:val="004F3666"/>
    <w:rsid w:val="004F3908"/>
    <w:rsid w:val="004F3936"/>
    <w:rsid w:val="004F3A23"/>
    <w:rsid w:val="004F3AE7"/>
    <w:rsid w:val="004F3B19"/>
    <w:rsid w:val="004F3B48"/>
    <w:rsid w:val="004F3B7A"/>
    <w:rsid w:val="004F3BEA"/>
    <w:rsid w:val="004F3C4F"/>
    <w:rsid w:val="004F3D27"/>
    <w:rsid w:val="004F3E02"/>
    <w:rsid w:val="004F3F1C"/>
    <w:rsid w:val="004F3F2E"/>
    <w:rsid w:val="004F3F99"/>
    <w:rsid w:val="004F404B"/>
    <w:rsid w:val="004F4197"/>
    <w:rsid w:val="004F434D"/>
    <w:rsid w:val="004F4384"/>
    <w:rsid w:val="004F44A0"/>
    <w:rsid w:val="004F44C0"/>
    <w:rsid w:val="004F4510"/>
    <w:rsid w:val="004F4902"/>
    <w:rsid w:val="004F4978"/>
    <w:rsid w:val="004F4A44"/>
    <w:rsid w:val="004F4C23"/>
    <w:rsid w:val="004F4E43"/>
    <w:rsid w:val="004F4E6A"/>
    <w:rsid w:val="004F4E96"/>
    <w:rsid w:val="004F51B7"/>
    <w:rsid w:val="004F52CD"/>
    <w:rsid w:val="004F52EC"/>
    <w:rsid w:val="004F52F4"/>
    <w:rsid w:val="004F5515"/>
    <w:rsid w:val="004F55A7"/>
    <w:rsid w:val="004F5766"/>
    <w:rsid w:val="004F57A7"/>
    <w:rsid w:val="004F57BD"/>
    <w:rsid w:val="004F5807"/>
    <w:rsid w:val="004F5833"/>
    <w:rsid w:val="004F590C"/>
    <w:rsid w:val="004F5A6D"/>
    <w:rsid w:val="004F5B83"/>
    <w:rsid w:val="004F5C54"/>
    <w:rsid w:val="004F5E61"/>
    <w:rsid w:val="004F5E92"/>
    <w:rsid w:val="004F605E"/>
    <w:rsid w:val="004F6225"/>
    <w:rsid w:val="004F6305"/>
    <w:rsid w:val="004F6449"/>
    <w:rsid w:val="004F645B"/>
    <w:rsid w:val="004F64CA"/>
    <w:rsid w:val="004F6597"/>
    <w:rsid w:val="004F671E"/>
    <w:rsid w:val="004F675C"/>
    <w:rsid w:val="004F690B"/>
    <w:rsid w:val="004F69A3"/>
    <w:rsid w:val="004F6A8A"/>
    <w:rsid w:val="004F6AA3"/>
    <w:rsid w:val="004F6B81"/>
    <w:rsid w:val="004F6E31"/>
    <w:rsid w:val="004F6E52"/>
    <w:rsid w:val="004F6E9E"/>
    <w:rsid w:val="004F6FB8"/>
    <w:rsid w:val="004F7206"/>
    <w:rsid w:val="004F7216"/>
    <w:rsid w:val="004F727C"/>
    <w:rsid w:val="004F7287"/>
    <w:rsid w:val="004F7355"/>
    <w:rsid w:val="004F738F"/>
    <w:rsid w:val="004F77F5"/>
    <w:rsid w:val="004F786F"/>
    <w:rsid w:val="004F78CE"/>
    <w:rsid w:val="004F7BA2"/>
    <w:rsid w:val="0050002B"/>
    <w:rsid w:val="005001BC"/>
    <w:rsid w:val="005002AF"/>
    <w:rsid w:val="00500742"/>
    <w:rsid w:val="00500A7C"/>
    <w:rsid w:val="00500BCF"/>
    <w:rsid w:val="00500D73"/>
    <w:rsid w:val="00500DF1"/>
    <w:rsid w:val="00500EC4"/>
    <w:rsid w:val="00501335"/>
    <w:rsid w:val="005015F3"/>
    <w:rsid w:val="00501654"/>
    <w:rsid w:val="00501677"/>
    <w:rsid w:val="00501682"/>
    <w:rsid w:val="005016F7"/>
    <w:rsid w:val="0050180F"/>
    <w:rsid w:val="00501953"/>
    <w:rsid w:val="00501A20"/>
    <w:rsid w:val="00501D2C"/>
    <w:rsid w:val="00501ED0"/>
    <w:rsid w:val="00501F64"/>
    <w:rsid w:val="00502401"/>
    <w:rsid w:val="0050255E"/>
    <w:rsid w:val="005025B7"/>
    <w:rsid w:val="00502632"/>
    <w:rsid w:val="00502A50"/>
    <w:rsid w:val="00502ACA"/>
    <w:rsid w:val="00502E2D"/>
    <w:rsid w:val="00502F21"/>
    <w:rsid w:val="00502F4E"/>
    <w:rsid w:val="0050312D"/>
    <w:rsid w:val="005031E3"/>
    <w:rsid w:val="00503267"/>
    <w:rsid w:val="00503289"/>
    <w:rsid w:val="005035B7"/>
    <w:rsid w:val="00503658"/>
    <w:rsid w:val="005036AE"/>
    <w:rsid w:val="005037DA"/>
    <w:rsid w:val="005037EB"/>
    <w:rsid w:val="00503855"/>
    <w:rsid w:val="00503857"/>
    <w:rsid w:val="005038A2"/>
    <w:rsid w:val="005038AF"/>
    <w:rsid w:val="00503918"/>
    <w:rsid w:val="005039AE"/>
    <w:rsid w:val="00503DE5"/>
    <w:rsid w:val="00503FDD"/>
    <w:rsid w:val="00504094"/>
    <w:rsid w:val="00504195"/>
    <w:rsid w:val="00504308"/>
    <w:rsid w:val="005044D9"/>
    <w:rsid w:val="00504579"/>
    <w:rsid w:val="00504644"/>
    <w:rsid w:val="005046C6"/>
    <w:rsid w:val="005049A1"/>
    <w:rsid w:val="00504A03"/>
    <w:rsid w:val="00504A6B"/>
    <w:rsid w:val="00504B72"/>
    <w:rsid w:val="00504E5B"/>
    <w:rsid w:val="00505169"/>
    <w:rsid w:val="0050539D"/>
    <w:rsid w:val="00505459"/>
    <w:rsid w:val="005055DD"/>
    <w:rsid w:val="005057EA"/>
    <w:rsid w:val="005058EF"/>
    <w:rsid w:val="00505A17"/>
    <w:rsid w:val="00505AEC"/>
    <w:rsid w:val="00505C29"/>
    <w:rsid w:val="00505DA2"/>
    <w:rsid w:val="00506045"/>
    <w:rsid w:val="00506227"/>
    <w:rsid w:val="005063F7"/>
    <w:rsid w:val="005065FF"/>
    <w:rsid w:val="00506C4F"/>
    <w:rsid w:val="00506D00"/>
    <w:rsid w:val="00506ED7"/>
    <w:rsid w:val="00507011"/>
    <w:rsid w:val="00507412"/>
    <w:rsid w:val="0050759C"/>
    <w:rsid w:val="005076A6"/>
    <w:rsid w:val="005076E0"/>
    <w:rsid w:val="00507750"/>
    <w:rsid w:val="00507756"/>
    <w:rsid w:val="0050775A"/>
    <w:rsid w:val="005077F6"/>
    <w:rsid w:val="00507925"/>
    <w:rsid w:val="00507A89"/>
    <w:rsid w:val="00507B9A"/>
    <w:rsid w:val="00507CC7"/>
    <w:rsid w:val="00507F71"/>
    <w:rsid w:val="00507FE4"/>
    <w:rsid w:val="00510133"/>
    <w:rsid w:val="005102DE"/>
    <w:rsid w:val="00510643"/>
    <w:rsid w:val="005106DB"/>
    <w:rsid w:val="0051075E"/>
    <w:rsid w:val="00510993"/>
    <w:rsid w:val="00510AB7"/>
    <w:rsid w:val="00510B12"/>
    <w:rsid w:val="00510D27"/>
    <w:rsid w:val="00510DD1"/>
    <w:rsid w:val="00510E69"/>
    <w:rsid w:val="00510F1A"/>
    <w:rsid w:val="00510FB4"/>
    <w:rsid w:val="00511003"/>
    <w:rsid w:val="00511031"/>
    <w:rsid w:val="005112DF"/>
    <w:rsid w:val="005112FD"/>
    <w:rsid w:val="00511436"/>
    <w:rsid w:val="005114EE"/>
    <w:rsid w:val="00511554"/>
    <w:rsid w:val="00511566"/>
    <w:rsid w:val="005117E9"/>
    <w:rsid w:val="0051185E"/>
    <w:rsid w:val="00511872"/>
    <w:rsid w:val="00511C7C"/>
    <w:rsid w:val="00511D89"/>
    <w:rsid w:val="00511D97"/>
    <w:rsid w:val="00511E3A"/>
    <w:rsid w:val="00511E45"/>
    <w:rsid w:val="00511EF1"/>
    <w:rsid w:val="00511F60"/>
    <w:rsid w:val="005122E6"/>
    <w:rsid w:val="0051252A"/>
    <w:rsid w:val="00512589"/>
    <w:rsid w:val="005125CF"/>
    <w:rsid w:val="00512678"/>
    <w:rsid w:val="005127DA"/>
    <w:rsid w:val="005127ED"/>
    <w:rsid w:val="00512821"/>
    <w:rsid w:val="005128E4"/>
    <w:rsid w:val="00512AC1"/>
    <w:rsid w:val="00512B94"/>
    <w:rsid w:val="00512F6B"/>
    <w:rsid w:val="00513018"/>
    <w:rsid w:val="00513095"/>
    <w:rsid w:val="005130A9"/>
    <w:rsid w:val="005132D7"/>
    <w:rsid w:val="005132F4"/>
    <w:rsid w:val="005133FC"/>
    <w:rsid w:val="00513539"/>
    <w:rsid w:val="0051353C"/>
    <w:rsid w:val="005135EE"/>
    <w:rsid w:val="005137FF"/>
    <w:rsid w:val="005138E7"/>
    <w:rsid w:val="00513904"/>
    <w:rsid w:val="00513A86"/>
    <w:rsid w:val="00513B71"/>
    <w:rsid w:val="00513D65"/>
    <w:rsid w:val="00513ECF"/>
    <w:rsid w:val="0051434D"/>
    <w:rsid w:val="00514483"/>
    <w:rsid w:val="00514850"/>
    <w:rsid w:val="00514950"/>
    <w:rsid w:val="00514966"/>
    <w:rsid w:val="005149E0"/>
    <w:rsid w:val="005149F0"/>
    <w:rsid w:val="00514AE4"/>
    <w:rsid w:val="00514CA3"/>
    <w:rsid w:val="00515045"/>
    <w:rsid w:val="0051505A"/>
    <w:rsid w:val="005152A3"/>
    <w:rsid w:val="005153ED"/>
    <w:rsid w:val="0051564B"/>
    <w:rsid w:val="005159AB"/>
    <w:rsid w:val="00515C10"/>
    <w:rsid w:val="00515D0C"/>
    <w:rsid w:val="00515EEB"/>
    <w:rsid w:val="005160D7"/>
    <w:rsid w:val="005161D5"/>
    <w:rsid w:val="005161EB"/>
    <w:rsid w:val="0051654E"/>
    <w:rsid w:val="005165C3"/>
    <w:rsid w:val="00516715"/>
    <w:rsid w:val="005168B0"/>
    <w:rsid w:val="00516A35"/>
    <w:rsid w:val="00516C12"/>
    <w:rsid w:val="00516D13"/>
    <w:rsid w:val="00516DA3"/>
    <w:rsid w:val="00516F8A"/>
    <w:rsid w:val="00517083"/>
    <w:rsid w:val="005170ED"/>
    <w:rsid w:val="00517121"/>
    <w:rsid w:val="0051722C"/>
    <w:rsid w:val="0051732E"/>
    <w:rsid w:val="00517330"/>
    <w:rsid w:val="005173CD"/>
    <w:rsid w:val="00517572"/>
    <w:rsid w:val="0051774E"/>
    <w:rsid w:val="00517797"/>
    <w:rsid w:val="005177A4"/>
    <w:rsid w:val="005177AD"/>
    <w:rsid w:val="005177DD"/>
    <w:rsid w:val="00517822"/>
    <w:rsid w:val="0051790E"/>
    <w:rsid w:val="005179D9"/>
    <w:rsid w:val="00517A41"/>
    <w:rsid w:val="00517A66"/>
    <w:rsid w:val="00517A7F"/>
    <w:rsid w:val="00517A86"/>
    <w:rsid w:val="00517CCA"/>
    <w:rsid w:val="00517ECE"/>
    <w:rsid w:val="00517F99"/>
    <w:rsid w:val="00520172"/>
    <w:rsid w:val="00520211"/>
    <w:rsid w:val="0052025F"/>
    <w:rsid w:val="005203EE"/>
    <w:rsid w:val="005204FC"/>
    <w:rsid w:val="00520729"/>
    <w:rsid w:val="005208CD"/>
    <w:rsid w:val="00520CF6"/>
    <w:rsid w:val="00520DC7"/>
    <w:rsid w:val="00520E44"/>
    <w:rsid w:val="00520E6F"/>
    <w:rsid w:val="00520EE5"/>
    <w:rsid w:val="00520FA4"/>
    <w:rsid w:val="00521080"/>
    <w:rsid w:val="005210D7"/>
    <w:rsid w:val="00521186"/>
    <w:rsid w:val="00521207"/>
    <w:rsid w:val="00521258"/>
    <w:rsid w:val="005212B3"/>
    <w:rsid w:val="00521434"/>
    <w:rsid w:val="0052150C"/>
    <w:rsid w:val="0052152C"/>
    <w:rsid w:val="0052188A"/>
    <w:rsid w:val="005219C5"/>
    <w:rsid w:val="00521A43"/>
    <w:rsid w:val="00521AF3"/>
    <w:rsid w:val="00521BBF"/>
    <w:rsid w:val="00521C54"/>
    <w:rsid w:val="00521CF4"/>
    <w:rsid w:val="00521D5B"/>
    <w:rsid w:val="00521E3B"/>
    <w:rsid w:val="00521E4C"/>
    <w:rsid w:val="00522038"/>
    <w:rsid w:val="005222A1"/>
    <w:rsid w:val="005222B7"/>
    <w:rsid w:val="005224EC"/>
    <w:rsid w:val="0052253D"/>
    <w:rsid w:val="00522671"/>
    <w:rsid w:val="00522839"/>
    <w:rsid w:val="005229AE"/>
    <w:rsid w:val="005229D7"/>
    <w:rsid w:val="005229F8"/>
    <w:rsid w:val="00522A06"/>
    <w:rsid w:val="00522A6A"/>
    <w:rsid w:val="00522A76"/>
    <w:rsid w:val="00522AA4"/>
    <w:rsid w:val="00522C45"/>
    <w:rsid w:val="00522D1E"/>
    <w:rsid w:val="00522DD2"/>
    <w:rsid w:val="00522E86"/>
    <w:rsid w:val="00522F65"/>
    <w:rsid w:val="0052330E"/>
    <w:rsid w:val="00523696"/>
    <w:rsid w:val="00523730"/>
    <w:rsid w:val="0052393E"/>
    <w:rsid w:val="00523BAB"/>
    <w:rsid w:val="00524237"/>
    <w:rsid w:val="00524309"/>
    <w:rsid w:val="0052443B"/>
    <w:rsid w:val="005244DD"/>
    <w:rsid w:val="00524525"/>
    <w:rsid w:val="00524565"/>
    <w:rsid w:val="005245DE"/>
    <w:rsid w:val="0052466D"/>
    <w:rsid w:val="00524710"/>
    <w:rsid w:val="00524721"/>
    <w:rsid w:val="0052478E"/>
    <w:rsid w:val="00524822"/>
    <w:rsid w:val="00524823"/>
    <w:rsid w:val="00524842"/>
    <w:rsid w:val="0052493D"/>
    <w:rsid w:val="00524CAB"/>
    <w:rsid w:val="00524CE0"/>
    <w:rsid w:val="00524CE7"/>
    <w:rsid w:val="00524EC3"/>
    <w:rsid w:val="00524F0F"/>
    <w:rsid w:val="00524F45"/>
    <w:rsid w:val="00525031"/>
    <w:rsid w:val="0052518F"/>
    <w:rsid w:val="005251E0"/>
    <w:rsid w:val="00525255"/>
    <w:rsid w:val="005252B6"/>
    <w:rsid w:val="005254F9"/>
    <w:rsid w:val="0052551C"/>
    <w:rsid w:val="005256B0"/>
    <w:rsid w:val="005256F5"/>
    <w:rsid w:val="00525928"/>
    <w:rsid w:val="00525B24"/>
    <w:rsid w:val="00525B84"/>
    <w:rsid w:val="00525D1B"/>
    <w:rsid w:val="0052605B"/>
    <w:rsid w:val="00526093"/>
    <w:rsid w:val="005260F9"/>
    <w:rsid w:val="00526179"/>
    <w:rsid w:val="0052644D"/>
    <w:rsid w:val="005264AF"/>
    <w:rsid w:val="00526733"/>
    <w:rsid w:val="00526751"/>
    <w:rsid w:val="0052675E"/>
    <w:rsid w:val="00526860"/>
    <w:rsid w:val="00526A11"/>
    <w:rsid w:val="00526CE0"/>
    <w:rsid w:val="00526F58"/>
    <w:rsid w:val="00526F5C"/>
    <w:rsid w:val="0052710B"/>
    <w:rsid w:val="0052715D"/>
    <w:rsid w:val="0052756C"/>
    <w:rsid w:val="00527585"/>
    <w:rsid w:val="005275DA"/>
    <w:rsid w:val="005277CF"/>
    <w:rsid w:val="0052782B"/>
    <w:rsid w:val="0052786A"/>
    <w:rsid w:val="005279CC"/>
    <w:rsid w:val="00527C50"/>
    <w:rsid w:val="00527CCD"/>
    <w:rsid w:val="00527DC5"/>
    <w:rsid w:val="00527ED0"/>
    <w:rsid w:val="005301A7"/>
    <w:rsid w:val="005301C4"/>
    <w:rsid w:val="005302F8"/>
    <w:rsid w:val="00530421"/>
    <w:rsid w:val="0053048C"/>
    <w:rsid w:val="0053063D"/>
    <w:rsid w:val="00530759"/>
    <w:rsid w:val="005307D5"/>
    <w:rsid w:val="005309A9"/>
    <w:rsid w:val="00530A49"/>
    <w:rsid w:val="00530AF4"/>
    <w:rsid w:val="00530CB6"/>
    <w:rsid w:val="00530E34"/>
    <w:rsid w:val="00530E4A"/>
    <w:rsid w:val="00530F0C"/>
    <w:rsid w:val="00531179"/>
    <w:rsid w:val="005313DE"/>
    <w:rsid w:val="00531858"/>
    <w:rsid w:val="0053185E"/>
    <w:rsid w:val="005318E0"/>
    <w:rsid w:val="00531A95"/>
    <w:rsid w:val="00531B08"/>
    <w:rsid w:val="00531F15"/>
    <w:rsid w:val="00531F1A"/>
    <w:rsid w:val="00531F92"/>
    <w:rsid w:val="0053216D"/>
    <w:rsid w:val="00532256"/>
    <w:rsid w:val="00532411"/>
    <w:rsid w:val="0053249D"/>
    <w:rsid w:val="00532525"/>
    <w:rsid w:val="00532563"/>
    <w:rsid w:val="005325A9"/>
    <w:rsid w:val="00532781"/>
    <w:rsid w:val="00532C19"/>
    <w:rsid w:val="00532C43"/>
    <w:rsid w:val="00532CC6"/>
    <w:rsid w:val="00532D25"/>
    <w:rsid w:val="00532E2F"/>
    <w:rsid w:val="00532E70"/>
    <w:rsid w:val="00533001"/>
    <w:rsid w:val="00533134"/>
    <w:rsid w:val="005332DA"/>
    <w:rsid w:val="00533362"/>
    <w:rsid w:val="00533464"/>
    <w:rsid w:val="005334E8"/>
    <w:rsid w:val="005338F5"/>
    <w:rsid w:val="00533999"/>
    <w:rsid w:val="00533A2A"/>
    <w:rsid w:val="00533C0F"/>
    <w:rsid w:val="00533D41"/>
    <w:rsid w:val="00533D80"/>
    <w:rsid w:val="00533E78"/>
    <w:rsid w:val="00533E94"/>
    <w:rsid w:val="00533FC8"/>
    <w:rsid w:val="00534128"/>
    <w:rsid w:val="0053417E"/>
    <w:rsid w:val="005344C4"/>
    <w:rsid w:val="00534670"/>
    <w:rsid w:val="005346DE"/>
    <w:rsid w:val="0053485F"/>
    <w:rsid w:val="00534C3E"/>
    <w:rsid w:val="00534E3C"/>
    <w:rsid w:val="00534E6F"/>
    <w:rsid w:val="00534E95"/>
    <w:rsid w:val="00534F3D"/>
    <w:rsid w:val="00534F62"/>
    <w:rsid w:val="005350AC"/>
    <w:rsid w:val="0053512D"/>
    <w:rsid w:val="005352AB"/>
    <w:rsid w:val="005352FF"/>
    <w:rsid w:val="0053538B"/>
    <w:rsid w:val="00535601"/>
    <w:rsid w:val="005357DB"/>
    <w:rsid w:val="0053581C"/>
    <w:rsid w:val="00535892"/>
    <w:rsid w:val="005358B2"/>
    <w:rsid w:val="005359A3"/>
    <w:rsid w:val="005361E0"/>
    <w:rsid w:val="00536352"/>
    <w:rsid w:val="005367C0"/>
    <w:rsid w:val="005367CB"/>
    <w:rsid w:val="00536841"/>
    <w:rsid w:val="005368F9"/>
    <w:rsid w:val="0053699B"/>
    <w:rsid w:val="00536B10"/>
    <w:rsid w:val="00536E12"/>
    <w:rsid w:val="00536F44"/>
    <w:rsid w:val="00536F91"/>
    <w:rsid w:val="0053703E"/>
    <w:rsid w:val="00537082"/>
    <w:rsid w:val="005371D3"/>
    <w:rsid w:val="00537267"/>
    <w:rsid w:val="005376D6"/>
    <w:rsid w:val="00537AE5"/>
    <w:rsid w:val="00537E35"/>
    <w:rsid w:val="00537EBD"/>
    <w:rsid w:val="00540144"/>
    <w:rsid w:val="00540799"/>
    <w:rsid w:val="005408A7"/>
    <w:rsid w:val="005409CE"/>
    <w:rsid w:val="00540AF5"/>
    <w:rsid w:val="00540C69"/>
    <w:rsid w:val="00540CF3"/>
    <w:rsid w:val="00540F1C"/>
    <w:rsid w:val="00540FB2"/>
    <w:rsid w:val="005410FA"/>
    <w:rsid w:val="0054118F"/>
    <w:rsid w:val="00541231"/>
    <w:rsid w:val="00541420"/>
    <w:rsid w:val="00541580"/>
    <w:rsid w:val="00541A43"/>
    <w:rsid w:val="00541A46"/>
    <w:rsid w:val="00541ABB"/>
    <w:rsid w:val="00541B2B"/>
    <w:rsid w:val="00541B82"/>
    <w:rsid w:val="00541CC7"/>
    <w:rsid w:val="00541CF5"/>
    <w:rsid w:val="00541F54"/>
    <w:rsid w:val="0054207B"/>
    <w:rsid w:val="005420C1"/>
    <w:rsid w:val="00542177"/>
    <w:rsid w:val="005421F8"/>
    <w:rsid w:val="005422EA"/>
    <w:rsid w:val="00542420"/>
    <w:rsid w:val="0054243D"/>
    <w:rsid w:val="00542830"/>
    <w:rsid w:val="00542AF4"/>
    <w:rsid w:val="00542B44"/>
    <w:rsid w:val="00542BB8"/>
    <w:rsid w:val="00542BF4"/>
    <w:rsid w:val="00542C0A"/>
    <w:rsid w:val="00542D3E"/>
    <w:rsid w:val="00542D7C"/>
    <w:rsid w:val="00542DD4"/>
    <w:rsid w:val="00542EE5"/>
    <w:rsid w:val="0054343B"/>
    <w:rsid w:val="005434CD"/>
    <w:rsid w:val="00543541"/>
    <w:rsid w:val="005436B0"/>
    <w:rsid w:val="00543732"/>
    <w:rsid w:val="00543984"/>
    <w:rsid w:val="005439D1"/>
    <w:rsid w:val="00543ABB"/>
    <w:rsid w:val="00543D5A"/>
    <w:rsid w:val="00543D70"/>
    <w:rsid w:val="00543D71"/>
    <w:rsid w:val="00543EB7"/>
    <w:rsid w:val="005440EC"/>
    <w:rsid w:val="0054415A"/>
    <w:rsid w:val="005441F1"/>
    <w:rsid w:val="005441FD"/>
    <w:rsid w:val="00544233"/>
    <w:rsid w:val="005442B6"/>
    <w:rsid w:val="00544312"/>
    <w:rsid w:val="005444A3"/>
    <w:rsid w:val="00544587"/>
    <w:rsid w:val="0054468E"/>
    <w:rsid w:val="005448A9"/>
    <w:rsid w:val="00544A48"/>
    <w:rsid w:val="00544AA0"/>
    <w:rsid w:val="00544AD9"/>
    <w:rsid w:val="00544E47"/>
    <w:rsid w:val="00544E67"/>
    <w:rsid w:val="00544F7D"/>
    <w:rsid w:val="00545071"/>
    <w:rsid w:val="005451F5"/>
    <w:rsid w:val="00545221"/>
    <w:rsid w:val="00545274"/>
    <w:rsid w:val="00545473"/>
    <w:rsid w:val="00545530"/>
    <w:rsid w:val="00545882"/>
    <w:rsid w:val="005459B2"/>
    <w:rsid w:val="005459BD"/>
    <w:rsid w:val="00545D4E"/>
    <w:rsid w:val="00545EE2"/>
    <w:rsid w:val="00545F1B"/>
    <w:rsid w:val="00546198"/>
    <w:rsid w:val="00546598"/>
    <w:rsid w:val="005465C4"/>
    <w:rsid w:val="005467A7"/>
    <w:rsid w:val="00546807"/>
    <w:rsid w:val="0054688F"/>
    <w:rsid w:val="00546A3F"/>
    <w:rsid w:val="00546CA9"/>
    <w:rsid w:val="00546EAF"/>
    <w:rsid w:val="00546EED"/>
    <w:rsid w:val="00547065"/>
    <w:rsid w:val="00547098"/>
    <w:rsid w:val="005471B4"/>
    <w:rsid w:val="005471DA"/>
    <w:rsid w:val="005474FA"/>
    <w:rsid w:val="00547598"/>
    <w:rsid w:val="005475D2"/>
    <w:rsid w:val="005475F4"/>
    <w:rsid w:val="00547812"/>
    <w:rsid w:val="00547A73"/>
    <w:rsid w:val="00547C8A"/>
    <w:rsid w:val="00547C98"/>
    <w:rsid w:val="00547D0F"/>
    <w:rsid w:val="00550142"/>
    <w:rsid w:val="00550250"/>
    <w:rsid w:val="00550331"/>
    <w:rsid w:val="005503C2"/>
    <w:rsid w:val="0055044B"/>
    <w:rsid w:val="00550462"/>
    <w:rsid w:val="005505AC"/>
    <w:rsid w:val="005506DA"/>
    <w:rsid w:val="00550857"/>
    <w:rsid w:val="0055086D"/>
    <w:rsid w:val="00550AA0"/>
    <w:rsid w:val="00550AD3"/>
    <w:rsid w:val="00550BD8"/>
    <w:rsid w:val="00550D3B"/>
    <w:rsid w:val="00551107"/>
    <w:rsid w:val="005511EC"/>
    <w:rsid w:val="0055125C"/>
    <w:rsid w:val="005514F9"/>
    <w:rsid w:val="00551721"/>
    <w:rsid w:val="00551C1D"/>
    <w:rsid w:val="00551D18"/>
    <w:rsid w:val="00551E70"/>
    <w:rsid w:val="0055218E"/>
    <w:rsid w:val="005525DB"/>
    <w:rsid w:val="0055261B"/>
    <w:rsid w:val="00552737"/>
    <w:rsid w:val="0055274A"/>
    <w:rsid w:val="00552B94"/>
    <w:rsid w:val="00552BEC"/>
    <w:rsid w:val="00552E14"/>
    <w:rsid w:val="00552EC5"/>
    <w:rsid w:val="00552F8C"/>
    <w:rsid w:val="00553120"/>
    <w:rsid w:val="00553194"/>
    <w:rsid w:val="005531DD"/>
    <w:rsid w:val="005532A2"/>
    <w:rsid w:val="00553321"/>
    <w:rsid w:val="005533B8"/>
    <w:rsid w:val="005534D5"/>
    <w:rsid w:val="00553804"/>
    <w:rsid w:val="005539B0"/>
    <w:rsid w:val="00553A0E"/>
    <w:rsid w:val="00553A3F"/>
    <w:rsid w:val="00553B3C"/>
    <w:rsid w:val="00553C95"/>
    <w:rsid w:val="00553CAF"/>
    <w:rsid w:val="00553DDD"/>
    <w:rsid w:val="00553EBC"/>
    <w:rsid w:val="00553F4E"/>
    <w:rsid w:val="00553FE4"/>
    <w:rsid w:val="00554033"/>
    <w:rsid w:val="0055412C"/>
    <w:rsid w:val="00554B85"/>
    <w:rsid w:val="00555006"/>
    <w:rsid w:val="005550F0"/>
    <w:rsid w:val="0055535E"/>
    <w:rsid w:val="005553DD"/>
    <w:rsid w:val="005554B4"/>
    <w:rsid w:val="005554FB"/>
    <w:rsid w:val="005555B9"/>
    <w:rsid w:val="005557DE"/>
    <w:rsid w:val="00555852"/>
    <w:rsid w:val="005558C3"/>
    <w:rsid w:val="00555944"/>
    <w:rsid w:val="0055597C"/>
    <w:rsid w:val="005559A8"/>
    <w:rsid w:val="005559B5"/>
    <w:rsid w:val="00555A4F"/>
    <w:rsid w:val="00555AF7"/>
    <w:rsid w:val="00555C10"/>
    <w:rsid w:val="00555CE0"/>
    <w:rsid w:val="00555FA6"/>
    <w:rsid w:val="00556007"/>
    <w:rsid w:val="005560C4"/>
    <w:rsid w:val="00556178"/>
    <w:rsid w:val="00556211"/>
    <w:rsid w:val="005562FE"/>
    <w:rsid w:val="00556488"/>
    <w:rsid w:val="0055696A"/>
    <w:rsid w:val="00556A20"/>
    <w:rsid w:val="00556B38"/>
    <w:rsid w:val="00556B55"/>
    <w:rsid w:val="00556B71"/>
    <w:rsid w:val="00556CD5"/>
    <w:rsid w:val="00556D79"/>
    <w:rsid w:val="00556D8B"/>
    <w:rsid w:val="0055724F"/>
    <w:rsid w:val="005573EB"/>
    <w:rsid w:val="0055777D"/>
    <w:rsid w:val="00557797"/>
    <w:rsid w:val="005578B9"/>
    <w:rsid w:val="0055798D"/>
    <w:rsid w:val="005579C2"/>
    <w:rsid w:val="00557B99"/>
    <w:rsid w:val="00557C0A"/>
    <w:rsid w:val="00557DE1"/>
    <w:rsid w:val="00557EDB"/>
    <w:rsid w:val="00557F4C"/>
    <w:rsid w:val="00557F93"/>
    <w:rsid w:val="0056002F"/>
    <w:rsid w:val="00560097"/>
    <w:rsid w:val="00560142"/>
    <w:rsid w:val="00560182"/>
    <w:rsid w:val="005601FC"/>
    <w:rsid w:val="005603A0"/>
    <w:rsid w:val="005603C3"/>
    <w:rsid w:val="00560475"/>
    <w:rsid w:val="005604D7"/>
    <w:rsid w:val="00560501"/>
    <w:rsid w:val="00560533"/>
    <w:rsid w:val="0056068D"/>
    <w:rsid w:val="005607AB"/>
    <w:rsid w:val="005607D3"/>
    <w:rsid w:val="00560939"/>
    <w:rsid w:val="00560AF9"/>
    <w:rsid w:val="00560B58"/>
    <w:rsid w:val="00560BFF"/>
    <w:rsid w:val="00560C4A"/>
    <w:rsid w:val="00560CD6"/>
    <w:rsid w:val="00560CE3"/>
    <w:rsid w:val="00560D6B"/>
    <w:rsid w:val="00560E8F"/>
    <w:rsid w:val="0056100D"/>
    <w:rsid w:val="00561010"/>
    <w:rsid w:val="00561533"/>
    <w:rsid w:val="00561535"/>
    <w:rsid w:val="00561689"/>
    <w:rsid w:val="00561813"/>
    <w:rsid w:val="0056181A"/>
    <w:rsid w:val="0056185B"/>
    <w:rsid w:val="00561A2A"/>
    <w:rsid w:val="00561A95"/>
    <w:rsid w:val="00561B05"/>
    <w:rsid w:val="0056228A"/>
    <w:rsid w:val="005622F0"/>
    <w:rsid w:val="0056231F"/>
    <w:rsid w:val="0056244D"/>
    <w:rsid w:val="00562538"/>
    <w:rsid w:val="00562861"/>
    <w:rsid w:val="00562A2C"/>
    <w:rsid w:val="00562ACB"/>
    <w:rsid w:val="00562AE0"/>
    <w:rsid w:val="00562AF3"/>
    <w:rsid w:val="00562CE9"/>
    <w:rsid w:val="00562DBA"/>
    <w:rsid w:val="00563003"/>
    <w:rsid w:val="0056301A"/>
    <w:rsid w:val="00563236"/>
    <w:rsid w:val="005632A8"/>
    <w:rsid w:val="00563431"/>
    <w:rsid w:val="00563599"/>
    <w:rsid w:val="0056388F"/>
    <w:rsid w:val="00563945"/>
    <w:rsid w:val="00563A8B"/>
    <w:rsid w:val="00563A90"/>
    <w:rsid w:val="00563C28"/>
    <w:rsid w:val="00563D1E"/>
    <w:rsid w:val="00563D71"/>
    <w:rsid w:val="00563D91"/>
    <w:rsid w:val="00563DB8"/>
    <w:rsid w:val="00563DB9"/>
    <w:rsid w:val="005641A6"/>
    <w:rsid w:val="005641C2"/>
    <w:rsid w:val="00564240"/>
    <w:rsid w:val="00564275"/>
    <w:rsid w:val="005642E6"/>
    <w:rsid w:val="00564364"/>
    <w:rsid w:val="00564432"/>
    <w:rsid w:val="00564516"/>
    <w:rsid w:val="00564665"/>
    <w:rsid w:val="005646FB"/>
    <w:rsid w:val="0056478D"/>
    <w:rsid w:val="00564A83"/>
    <w:rsid w:val="00564DF3"/>
    <w:rsid w:val="00564F31"/>
    <w:rsid w:val="0056519B"/>
    <w:rsid w:val="005655C3"/>
    <w:rsid w:val="0056582A"/>
    <w:rsid w:val="005659C9"/>
    <w:rsid w:val="00565ADD"/>
    <w:rsid w:val="00565C2F"/>
    <w:rsid w:val="00565D9C"/>
    <w:rsid w:val="00565E30"/>
    <w:rsid w:val="00565EA5"/>
    <w:rsid w:val="005660D4"/>
    <w:rsid w:val="005662EB"/>
    <w:rsid w:val="00566334"/>
    <w:rsid w:val="005665CF"/>
    <w:rsid w:val="0056661E"/>
    <w:rsid w:val="0056663B"/>
    <w:rsid w:val="00566687"/>
    <w:rsid w:val="00566814"/>
    <w:rsid w:val="0056681A"/>
    <w:rsid w:val="00566992"/>
    <w:rsid w:val="005669FB"/>
    <w:rsid w:val="00566B88"/>
    <w:rsid w:val="00566C46"/>
    <w:rsid w:val="00566E74"/>
    <w:rsid w:val="00566F54"/>
    <w:rsid w:val="0056706D"/>
    <w:rsid w:val="005670E6"/>
    <w:rsid w:val="0056714F"/>
    <w:rsid w:val="0056720B"/>
    <w:rsid w:val="0056744F"/>
    <w:rsid w:val="00567550"/>
    <w:rsid w:val="00567735"/>
    <w:rsid w:val="005677DD"/>
    <w:rsid w:val="00567AE4"/>
    <w:rsid w:val="00567CC1"/>
    <w:rsid w:val="00567D7D"/>
    <w:rsid w:val="00567E27"/>
    <w:rsid w:val="00567FEA"/>
    <w:rsid w:val="005700F8"/>
    <w:rsid w:val="005703A3"/>
    <w:rsid w:val="005703C2"/>
    <w:rsid w:val="005703D9"/>
    <w:rsid w:val="00570635"/>
    <w:rsid w:val="005707B2"/>
    <w:rsid w:val="005707F5"/>
    <w:rsid w:val="00570843"/>
    <w:rsid w:val="00570899"/>
    <w:rsid w:val="00570BBF"/>
    <w:rsid w:val="00570C7A"/>
    <w:rsid w:val="00570EC5"/>
    <w:rsid w:val="005710D8"/>
    <w:rsid w:val="005713AE"/>
    <w:rsid w:val="0057140E"/>
    <w:rsid w:val="00571518"/>
    <w:rsid w:val="00571519"/>
    <w:rsid w:val="00571543"/>
    <w:rsid w:val="005719DF"/>
    <w:rsid w:val="00571CD9"/>
    <w:rsid w:val="00571E98"/>
    <w:rsid w:val="00572347"/>
    <w:rsid w:val="00572485"/>
    <w:rsid w:val="005727CF"/>
    <w:rsid w:val="00572AF0"/>
    <w:rsid w:val="00572B46"/>
    <w:rsid w:val="00572B9B"/>
    <w:rsid w:val="00572C45"/>
    <w:rsid w:val="00572CBC"/>
    <w:rsid w:val="00572CFA"/>
    <w:rsid w:val="00572D66"/>
    <w:rsid w:val="00572E66"/>
    <w:rsid w:val="005730B5"/>
    <w:rsid w:val="00573413"/>
    <w:rsid w:val="00573615"/>
    <w:rsid w:val="0057396F"/>
    <w:rsid w:val="00573B82"/>
    <w:rsid w:val="00573BCE"/>
    <w:rsid w:val="005740E4"/>
    <w:rsid w:val="0057417D"/>
    <w:rsid w:val="005741F4"/>
    <w:rsid w:val="00574216"/>
    <w:rsid w:val="005746AB"/>
    <w:rsid w:val="005748A2"/>
    <w:rsid w:val="005748BB"/>
    <w:rsid w:val="005748BE"/>
    <w:rsid w:val="005749D7"/>
    <w:rsid w:val="00574AD5"/>
    <w:rsid w:val="00574B26"/>
    <w:rsid w:val="00574C3E"/>
    <w:rsid w:val="00574C43"/>
    <w:rsid w:val="00574CEE"/>
    <w:rsid w:val="00574DA9"/>
    <w:rsid w:val="00574E64"/>
    <w:rsid w:val="00574EBF"/>
    <w:rsid w:val="0057524F"/>
    <w:rsid w:val="00575598"/>
    <w:rsid w:val="005757A5"/>
    <w:rsid w:val="005759B0"/>
    <w:rsid w:val="00575B36"/>
    <w:rsid w:val="00576014"/>
    <w:rsid w:val="005760B6"/>
    <w:rsid w:val="005761EA"/>
    <w:rsid w:val="0057625A"/>
    <w:rsid w:val="00576299"/>
    <w:rsid w:val="005765E9"/>
    <w:rsid w:val="00576615"/>
    <w:rsid w:val="00576621"/>
    <w:rsid w:val="00576677"/>
    <w:rsid w:val="00576915"/>
    <w:rsid w:val="0057692B"/>
    <w:rsid w:val="0057692D"/>
    <w:rsid w:val="005769E7"/>
    <w:rsid w:val="00576C3E"/>
    <w:rsid w:val="00576EB7"/>
    <w:rsid w:val="00577035"/>
    <w:rsid w:val="0057749B"/>
    <w:rsid w:val="0057751B"/>
    <w:rsid w:val="005777B0"/>
    <w:rsid w:val="00577CE3"/>
    <w:rsid w:val="005800FE"/>
    <w:rsid w:val="00580553"/>
    <w:rsid w:val="00580571"/>
    <w:rsid w:val="005806DC"/>
    <w:rsid w:val="00580757"/>
    <w:rsid w:val="005807A1"/>
    <w:rsid w:val="00580922"/>
    <w:rsid w:val="00580A8A"/>
    <w:rsid w:val="00580AFF"/>
    <w:rsid w:val="00580B7D"/>
    <w:rsid w:val="00580BE9"/>
    <w:rsid w:val="00580ECB"/>
    <w:rsid w:val="00580F43"/>
    <w:rsid w:val="00580FF9"/>
    <w:rsid w:val="00581037"/>
    <w:rsid w:val="0058109A"/>
    <w:rsid w:val="0058109C"/>
    <w:rsid w:val="0058112B"/>
    <w:rsid w:val="0058120D"/>
    <w:rsid w:val="005812B6"/>
    <w:rsid w:val="0058144C"/>
    <w:rsid w:val="00581467"/>
    <w:rsid w:val="0058159A"/>
    <w:rsid w:val="00581782"/>
    <w:rsid w:val="0058179D"/>
    <w:rsid w:val="005818C1"/>
    <w:rsid w:val="00581A24"/>
    <w:rsid w:val="00581A2A"/>
    <w:rsid w:val="00581AAB"/>
    <w:rsid w:val="00581AC7"/>
    <w:rsid w:val="00581BB7"/>
    <w:rsid w:val="00581E2C"/>
    <w:rsid w:val="00581FBD"/>
    <w:rsid w:val="0058214C"/>
    <w:rsid w:val="005822BF"/>
    <w:rsid w:val="00582558"/>
    <w:rsid w:val="00582710"/>
    <w:rsid w:val="00582A41"/>
    <w:rsid w:val="00582CC7"/>
    <w:rsid w:val="00582E92"/>
    <w:rsid w:val="00582F85"/>
    <w:rsid w:val="00583015"/>
    <w:rsid w:val="0058308D"/>
    <w:rsid w:val="005832E3"/>
    <w:rsid w:val="005833BE"/>
    <w:rsid w:val="005833F1"/>
    <w:rsid w:val="005834AC"/>
    <w:rsid w:val="00583962"/>
    <w:rsid w:val="00583C0E"/>
    <w:rsid w:val="00583C20"/>
    <w:rsid w:val="00584030"/>
    <w:rsid w:val="00584183"/>
    <w:rsid w:val="005841D7"/>
    <w:rsid w:val="00584308"/>
    <w:rsid w:val="00584369"/>
    <w:rsid w:val="005843A4"/>
    <w:rsid w:val="005843B9"/>
    <w:rsid w:val="005844D2"/>
    <w:rsid w:val="005845D3"/>
    <w:rsid w:val="00584654"/>
    <w:rsid w:val="005846B4"/>
    <w:rsid w:val="005846C1"/>
    <w:rsid w:val="00584B9C"/>
    <w:rsid w:val="00584BA9"/>
    <w:rsid w:val="00584C77"/>
    <w:rsid w:val="00584CB3"/>
    <w:rsid w:val="00584E89"/>
    <w:rsid w:val="00584F37"/>
    <w:rsid w:val="00585263"/>
    <w:rsid w:val="005852BD"/>
    <w:rsid w:val="0058535A"/>
    <w:rsid w:val="0058538C"/>
    <w:rsid w:val="005853B6"/>
    <w:rsid w:val="005854AE"/>
    <w:rsid w:val="005854D4"/>
    <w:rsid w:val="005855B6"/>
    <w:rsid w:val="005857EA"/>
    <w:rsid w:val="005859E6"/>
    <w:rsid w:val="00585AEA"/>
    <w:rsid w:val="00585C05"/>
    <w:rsid w:val="00585CDA"/>
    <w:rsid w:val="0058628E"/>
    <w:rsid w:val="00586375"/>
    <w:rsid w:val="005864B3"/>
    <w:rsid w:val="005864D0"/>
    <w:rsid w:val="00586536"/>
    <w:rsid w:val="00586640"/>
    <w:rsid w:val="005866EE"/>
    <w:rsid w:val="0058670A"/>
    <w:rsid w:val="005869C8"/>
    <w:rsid w:val="00586F36"/>
    <w:rsid w:val="00586FC1"/>
    <w:rsid w:val="00586FDB"/>
    <w:rsid w:val="005872EF"/>
    <w:rsid w:val="0058730C"/>
    <w:rsid w:val="005874FC"/>
    <w:rsid w:val="0058761D"/>
    <w:rsid w:val="00587A33"/>
    <w:rsid w:val="00587A8A"/>
    <w:rsid w:val="00587B4A"/>
    <w:rsid w:val="00587B52"/>
    <w:rsid w:val="00587BED"/>
    <w:rsid w:val="00587D0E"/>
    <w:rsid w:val="00587E74"/>
    <w:rsid w:val="00587FF1"/>
    <w:rsid w:val="0059001A"/>
    <w:rsid w:val="00590021"/>
    <w:rsid w:val="0059004E"/>
    <w:rsid w:val="0059021A"/>
    <w:rsid w:val="005902A3"/>
    <w:rsid w:val="0059038A"/>
    <w:rsid w:val="00590402"/>
    <w:rsid w:val="0059042E"/>
    <w:rsid w:val="005904E7"/>
    <w:rsid w:val="005906D5"/>
    <w:rsid w:val="005906EE"/>
    <w:rsid w:val="00590806"/>
    <w:rsid w:val="0059099A"/>
    <w:rsid w:val="00590ABD"/>
    <w:rsid w:val="00590AC2"/>
    <w:rsid w:val="00590C5C"/>
    <w:rsid w:val="00590E1A"/>
    <w:rsid w:val="00590EC1"/>
    <w:rsid w:val="00590ECD"/>
    <w:rsid w:val="00590F64"/>
    <w:rsid w:val="0059106C"/>
    <w:rsid w:val="0059106F"/>
    <w:rsid w:val="00591095"/>
    <w:rsid w:val="005910AB"/>
    <w:rsid w:val="005910BA"/>
    <w:rsid w:val="00591191"/>
    <w:rsid w:val="005911E7"/>
    <w:rsid w:val="00591480"/>
    <w:rsid w:val="005914A0"/>
    <w:rsid w:val="005915C7"/>
    <w:rsid w:val="0059165A"/>
    <w:rsid w:val="005916AC"/>
    <w:rsid w:val="005919F2"/>
    <w:rsid w:val="00591A7B"/>
    <w:rsid w:val="00591AAD"/>
    <w:rsid w:val="00591ABC"/>
    <w:rsid w:val="00591C0A"/>
    <w:rsid w:val="00592105"/>
    <w:rsid w:val="00592156"/>
    <w:rsid w:val="00592257"/>
    <w:rsid w:val="005923C0"/>
    <w:rsid w:val="0059243F"/>
    <w:rsid w:val="0059256E"/>
    <w:rsid w:val="005925EE"/>
    <w:rsid w:val="0059260C"/>
    <w:rsid w:val="0059269E"/>
    <w:rsid w:val="005927A6"/>
    <w:rsid w:val="005928A8"/>
    <w:rsid w:val="005929AA"/>
    <w:rsid w:val="00592B3D"/>
    <w:rsid w:val="00592C00"/>
    <w:rsid w:val="00592C28"/>
    <w:rsid w:val="00592CFD"/>
    <w:rsid w:val="00592E1F"/>
    <w:rsid w:val="00592F7B"/>
    <w:rsid w:val="005930AF"/>
    <w:rsid w:val="0059311A"/>
    <w:rsid w:val="00593239"/>
    <w:rsid w:val="00593441"/>
    <w:rsid w:val="0059355A"/>
    <w:rsid w:val="005935BA"/>
    <w:rsid w:val="0059370D"/>
    <w:rsid w:val="005937D9"/>
    <w:rsid w:val="00593A72"/>
    <w:rsid w:val="00593DE4"/>
    <w:rsid w:val="00593E6E"/>
    <w:rsid w:val="00593EE4"/>
    <w:rsid w:val="00593FB1"/>
    <w:rsid w:val="00594127"/>
    <w:rsid w:val="00594461"/>
    <w:rsid w:val="0059454A"/>
    <w:rsid w:val="00594660"/>
    <w:rsid w:val="005947D9"/>
    <w:rsid w:val="005948B7"/>
    <w:rsid w:val="0059490F"/>
    <w:rsid w:val="00594AD4"/>
    <w:rsid w:val="00594C38"/>
    <w:rsid w:val="00594DC3"/>
    <w:rsid w:val="00594EC9"/>
    <w:rsid w:val="00594ED5"/>
    <w:rsid w:val="00595056"/>
    <w:rsid w:val="0059534E"/>
    <w:rsid w:val="0059545A"/>
    <w:rsid w:val="005955F2"/>
    <w:rsid w:val="005956BF"/>
    <w:rsid w:val="005956C7"/>
    <w:rsid w:val="0059583B"/>
    <w:rsid w:val="00595A12"/>
    <w:rsid w:val="00595B1D"/>
    <w:rsid w:val="00595B36"/>
    <w:rsid w:val="00595B6E"/>
    <w:rsid w:val="00595BA2"/>
    <w:rsid w:val="00595BF6"/>
    <w:rsid w:val="00595E02"/>
    <w:rsid w:val="005960EB"/>
    <w:rsid w:val="00596377"/>
    <w:rsid w:val="00596470"/>
    <w:rsid w:val="005964D6"/>
    <w:rsid w:val="005965D2"/>
    <w:rsid w:val="00596678"/>
    <w:rsid w:val="0059669C"/>
    <w:rsid w:val="005966BC"/>
    <w:rsid w:val="00596913"/>
    <w:rsid w:val="00596B22"/>
    <w:rsid w:val="00596B3A"/>
    <w:rsid w:val="00596BB3"/>
    <w:rsid w:val="00596EEE"/>
    <w:rsid w:val="00597054"/>
    <w:rsid w:val="005970A7"/>
    <w:rsid w:val="005970CD"/>
    <w:rsid w:val="005971A5"/>
    <w:rsid w:val="00597248"/>
    <w:rsid w:val="005972CD"/>
    <w:rsid w:val="0059732A"/>
    <w:rsid w:val="005973EA"/>
    <w:rsid w:val="0059758E"/>
    <w:rsid w:val="005975B0"/>
    <w:rsid w:val="00597866"/>
    <w:rsid w:val="0059796A"/>
    <w:rsid w:val="0059799C"/>
    <w:rsid w:val="00597AED"/>
    <w:rsid w:val="00597CC9"/>
    <w:rsid w:val="00597E60"/>
    <w:rsid w:val="005A0038"/>
    <w:rsid w:val="005A007A"/>
    <w:rsid w:val="005A03A8"/>
    <w:rsid w:val="005A0522"/>
    <w:rsid w:val="005A0542"/>
    <w:rsid w:val="005A0614"/>
    <w:rsid w:val="005A06A6"/>
    <w:rsid w:val="005A06CF"/>
    <w:rsid w:val="005A076C"/>
    <w:rsid w:val="005A0893"/>
    <w:rsid w:val="005A094B"/>
    <w:rsid w:val="005A0985"/>
    <w:rsid w:val="005A0B56"/>
    <w:rsid w:val="005A0C90"/>
    <w:rsid w:val="005A0D64"/>
    <w:rsid w:val="005A1046"/>
    <w:rsid w:val="005A1160"/>
    <w:rsid w:val="005A121D"/>
    <w:rsid w:val="005A121E"/>
    <w:rsid w:val="005A1261"/>
    <w:rsid w:val="005A1295"/>
    <w:rsid w:val="005A1611"/>
    <w:rsid w:val="005A18DD"/>
    <w:rsid w:val="005A1931"/>
    <w:rsid w:val="005A1960"/>
    <w:rsid w:val="005A1BED"/>
    <w:rsid w:val="005A1C1B"/>
    <w:rsid w:val="005A1C8B"/>
    <w:rsid w:val="005A1DB1"/>
    <w:rsid w:val="005A211E"/>
    <w:rsid w:val="005A229B"/>
    <w:rsid w:val="005A238F"/>
    <w:rsid w:val="005A2554"/>
    <w:rsid w:val="005A25E8"/>
    <w:rsid w:val="005A2617"/>
    <w:rsid w:val="005A26D9"/>
    <w:rsid w:val="005A27AA"/>
    <w:rsid w:val="005A27C2"/>
    <w:rsid w:val="005A28FB"/>
    <w:rsid w:val="005A2931"/>
    <w:rsid w:val="005A2A8D"/>
    <w:rsid w:val="005A2B14"/>
    <w:rsid w:val="005A2CB5"/>
    <w:rsid w:val="005A2D2B"/>
    <w:rsid w:val="005A2EFA"/>
    <w:rsid w:val="005A2FE1"/>
    <w:rsid w:val="005A307F"/>
    <w:rsid w:val="005A3270"/>
    <w:rsid w:val="005A3343"/>
    <w:rsid w:val="005A3429"/>
    <w:rsid w:val="005A34E6"/>
    <w:rsid w:val="005A34FF"/>
    <w:rsid w:val="005A356A"/>
    <w:rsid w:val="005A372F"/>
    <w:rsid w:val="005A397E"/>
    <w:rsid w:val="005A3A14"/>
    <w:rsid w:val="005A3D59"/>
    <w:rsid w:val="005A3E10"/>
    <w:rsid w:val="005A3E54"/>
    <w:rsid w:val="005A3FE7"/>
    <w:rsid w:val="005A4096"/>
    <w:rsid w:val="005A4181"/>
    <w:rsid w:val="005A420A"/>
    <w:rsid w:val="005A44A6"/>
    <w:rsid w:val="005A4502"/>
    <w:rsid w:val="005A468B"/>
    <w:rsid w:val="005A46A3"/>
    <w:rsid w:val="005A4818"/>
    <w:rsid w:val="005A4840"/>
    <w:rsid w:val="005A4912"/>
    <w:rsid w:val="005A4981"/>
    <w:rsid w:val="005A4A0A"/>
    <w:rsid w:val="005A4A51"/>
    <w:rsid w:val="005A4C86"/>
    <w:rsid w:val="005A4F49"/>
    <w:rsid w:val="005A506E"/>
    <w:rsid w:val="005A546C"/>
    <w:rsid w:val="005A56C1"/>
    <w:rsid w:val="005A58C7"/>
    <w:rsid w:val="005A5EC5"/>
    <w:rsid w:val="005A6156"/>
    <w:rsid w:val="005A61E2"/>
    <w:rsid w:val="005A6212"/>
    <w:rsid w:val="005A6317"/>
    <w:rsid w:val="005A63C1"/>
    <w:rsid w:val="005A655D"/>
    <w:rsid w:val="005A65AA"/>
    <w:rsid w:val="005A65BB"/>
    <w:rsid w:val="005A65D2"/>
    <w:rsid w:val="005A65E5"/>
    <w:rsid w:val="005A6712"/>
    <w:rsid w:val="005A6BEE"/>
    <w:rsid w:val="005A6CD6"/>
    <w:rsid w:val="005A6E26"/>
    <w:rsid w:val="005A6E41"/>
    <w:rsid w:val="005A6F29"/>
    <w:rsid w:val="005A70B4"/>
    <w:rsid w:val="005A70EF"/>
    <w:rsid w:val="005A714A"/>
    <w:rsid w:val="005A714D"/>
    <w:rsid w:val="005A71E6"/>
    <w:rsid w:val="005A728E"/>
    <w:rsid w:val="005A77A9"/>
    <w:rsid w:val="005A78CA"/>
    <w:rsid w:val="005A792B"/>
    <w:rsid w:val="005A7CE5"/>
    <w:rsid w:val="005A7D61"/>
    <w:rsid w:val="005A7DB3"/>
    <w:rsid w:val="005A7FAE"/>
    <w:rsid w:val="005B0148"/>
    <w:rsid w:val="005B0311"/>
    <w:rsid w:val="005B03B0"/>
    <w:rsid w:val="005B03B5"/>
    <w:rsid w:val="005B03E0"/>
    <w:rsid w:val="005B03F8"/>
    <w:rsid w:val="005B0547"/>
    <w:rsid w:val="005B0588"/>
    <w:rsid w:val="005B05F0"/>
    <w:rsid w:val="005B077D"/>
    <w:rsid w:val="005B0887"/>
    <w:rsid w:val="005B08A1"/>
    <w:rsid w:val="005B09E3"/>
    <w:rsid w:val="005B0A90"/>
    <w:rsid w:val="005B0ABB"/>
    <w:rsid w:val="005B0B01"/>
    <w:rsid w:val="005B0D67"/>
    <w:rsid w:val="005B0DCC"/>
    <w:rsid w:val="005B0E89"/>
    <w:rsid w:val="005B0ED3"/>
    <w:rsid w:val="005B0F47"/>
    <w:rsid w:val="005B0F54"/>
    <w:rsid w:val="005B0F93"/>
    <w:rsid w:val="005B10BC"/>
    <w:rsid w:val="005B133A"/>
    <w:rsid w:val="005B136F"/>
    <w:rsid w:val="005B1825"/>
    <w:rsid w:val="005B1838"/>
    <w:rsid w:val="005B1881"/>
    <w:rsid w:val="005B18A1"/>
    <w:rsid w:val="005B1A39"/>
    <w:rsid w:val="005B1BAD"/>
    <w:rsid w:val="005B1C99"/>
    <w:rsid w:val="005B20D6"/>
    <w:rsid w:val="005B2114"/>
    <w:rsid w:val="005B222A"/>
    <w:rsid w:val="005B25C4"/>
    <w:rsid w:val="005B2606"/>
    <w:rsid w:val="005B293B"/>
    <w:rsid w:val="005B2A90"/>
    <w:rsid w:val="005B2BC5"/>
    <w:rsid w:val="005B2C3E"/>
    <w:rsid w:val="005B2C48"/>
    <w:rsid w:val="005B2C85"/>
    <w:rsid w:val="005B2D32"/>
    <w:rsid w:val="005B2E74"/>
    <w:rsid w:val="005B3052"/>
    <w:rsid w:val="005B3164"/>
    <w:rsid w:val="005B31B1"/>
    <w:rsid w:val="005B3254"/>
    <w:rsid w:val="005B3282"/>
    <w:rsid w:val="005B32CF"/>
    <w:rsid w:val="005B33AD"/>
    <w:rsid w:val="005B3458"/>
    <w:rsid w:val="005B34F8"/>
    <w:rsid w:val="005B379D"/>
    <w:rsid w:val="005B3860"/>
    <w:rsid w:val="005B3A04"/>
    <w:rsid w:val="005B3A44"/>
    <w:rsid w:val="005B3B03"/>
    <w:rsid w:val="005B3B06"/>
    <w:rsid w:val="005B3B70"/>
    <w:rsid w:val="005B3BB5"/>
    <w:rsid w:val="005B3E77"/>
    <w:rsid w:val="005B3E96"/>
    <w:rsid w:val="005B4100"/>
    <w:rsid w:val="005B4142"/>
    <w:rsid w:val="005B41C0"/>
    <w:rsid w:val="005B423A"/>
    <w:rsid w:val="005B4240"/>
    <w:rsid w:val="005B4293"/>
    <w:rsid w:val="005B4426"/>
    <w:rsid w:val="005B4584"/>
    <w:rsid w:val="005B4777"/>
    <w:rsid w:val="005B496B"/>
    <w:rsid w:val="005B497C"/>
    <w:rsid w:val="005B49B0"/>
    <w:rsid w:val="005B4A62"/>
    <w:rsid w:val="005B4B24"/>
    <w:rsid w:val="005B4CDD"/>
    <w:rsid w:val="005B4D10"/>
    <w:rsid w:val="005B4D30"/>
    <w:rsid w:val="005B4ECA"/>
    <w:rsid w:val="005B4F5E"/>
    <w:rsid w:val="005B4F73"/>
    <w:rsid w:val="005B4FAF"/>
    <w:rsid w:val="005B5042"/>
    <w:rsid w:val="005B5110"/>
    <w:rsid w:val="005B5217"/>
    <w:rsid w:val="005B5249"/>
    <w:rsid w:val="005B5359"/>
    <w:rsid w:val="005B5468"/>
    <w:rsid w:val="005B55C8"/>
    <w:rsid w:val="005B563C"/>
    <w:rsid w:val="005B56F5"/>
    <w:rsid w:val="005B599A"/>
    <w:rsid w:val="005B59E4"/>
    <w:rsid w:val="005B5DD1"/>
    <w:rsid w:val="005B5E35"/>
    <w:rsid w:val="005B608E"/>
    <w:rsid w:val="005B60DB"/>
    <w:rsid w:val="005B6182"/>
    <w:rsid w:val="005B61C0"/>
    <w:rsid w:val="005B658E"/>
    <w:rsid w:val="005B65BD"/>
    <w:rsid w:val="005B65D1"/>
    <w:rsid w:val="005B6631"/>
    <w:rsid w:val="005B6773"/>
    <w:rsid w:val="005B6947"/>
    <w:rsid w:val="005B699A"/>
    <w:rsid w:val="005B69A9"/>
    <w:rsid w:val="005B6C59"/>
    <w:rsid w:val="005B6DC7"/>
    <w:rsid w:val="005B6E6C"/>
    <w:rsid w:val="005B71EC"/>
    <w:rsid w:val="005B7205"/>
    <w:rsid w:val="005B744B"/>
    <w:rsid w:val="005B7536"/>
    <w:rsid w:val="005B7ADF"/>
    <w:rsid w:val="005B7EF0"/>
    <w:rsid w:val="005C0013"/>
    <w:rsid w:val="005C0149"/>
    <w:rsid w:val="005C0363"/>
    <w:rsid w:val="005C0470"/>
    <w:rsid w:val="005C05F5"/>
    <w:rsid w:val="005C066C"/>
    <w:rsid w:val="005C06CF"/>
    <w:rsid w:val="005C0789"/>
    <w:rsid w:val="005C079E"/>
    <w:rsid w:val="005C0AB4"/>
    <w:rsid w:val="005C0BF1"/>
    <w:rsid w:val="005C0C13"/>
    <w:rsid w:val="005C0CFA"/>
    <w:rsid w:val="005C0D4D"/>
    <w:rsid w:val="005C0DC8"/>
    <w:rsid w:val="005C0FF9"/>
    <w:rsid w:val="005C1179"/>
    <w:rsid w:val="005C121C"/>
    <w:rsid w:val="005C144A"/>
    <w:rsid w:val="005C14AB"/>
    <w:rsid w:val="005C156F"/>
    <w:rsid w:val="005C1A18"/>
    <w:rsid w:val="005C1BD6"/>
    <w:rsid w:val="005C1C1F"/>
    <w:rsid w:val="005C1F3B"/>
    <w:rsid w:val="005C20C5"/>
    <w:rsid w:val="005C2159"/>
    <w:rsid w:val="005C2384"/>
    <w:rsid w:val="005C2462"/>
    <w:rsid w:val="005C2615"/>
    <w:rsid w:val="005C2906"/>
    <w:rsid w:val="005C29B7"/>
    <w:rsid w:val="005C2B21"/>
    <w:rsid w:val="005C2CF5"/>
    <w:rsid w:val="005C2D5E"/>
    <w:rsid w:val="005C2F3B"/>
    <w:rsid w:val="005C2FE6"/>
    <w:rsid w:val="005C3054"/>
    <w:rsid w:val="005C3061"/>
    <w:rsid w:val="005C3266"/>
    <w:rsid w:val="005C35E5"/>
    <w:rsid w:val="005C36E9"/>
    <w:rsid w:val="005C36EE"/>
    <w:rsid w:val="005C3707"/>
    <w:rsid w:val="005C3832"/>
    <w:rsid w:val="005C3A0E"/>
    <w:rsid w:val="005C3DBD"/>
    <w:rsid w:val="005C3DFB"/>
    <w:rsid w:val="005C41B5"/>
    <w:rsid w:val="005C41DE"/>
    <w:rsid w:val="005C456F"/>
    <w:rsid w:val="005C46E5"/>
    <w:rsid w:val="005C4951"/>
    <w:rsid w:val="005C4B71"/>
    <w:rsid w:val="005C4D1B"/>
    <w:rsid w:val="005C4E95"/>
    <w:rsid w:val="005C515A"/>
    <w:rsid w:val="005C521D"/>
    <w:rsid w:val="005C5262"/>
    <w:rsid w:val="005C53FA"/>
    <w:rsid w:val="005C557A"/>
    <w:rsid w:val="005C561C"/>
    <w:rsid w:val="005C5746"/>
    <w:rsid w:val="005C587A"/>
    <w:rsid w:val="005C58CC"/>
    <w:rsid w:val="005C58E2"/>
    <w:rsid w:val="005C59BC"/>
    <w:rsid w:val="005C5C9B"/>
    <w:rsid w:val="005C5D51"/>
    <w:rsid w:val="005C5E48"/>
    <w:rsid w:val="005C5EC9"/>
    <w:rsid w:val="005C5EFC"/>
    <w:rsid w:val="005C658D"/>
    <w:rsid w:val="005C6626"/>
    <w:rsid w:val="005C669E"/>
    <w:rsid w:val="005C6A4D"/>
    <w:rsid w:val="005C6B21"/>
    <w:rsid w:val="005C6B4C"/>
    <w:rsid w:val="005C6D27"/>
    <w:rsid w:val="005C6F8B"/>
    <w:rsid w:val="005C70FF"/>
    <w:rsid w:val="005C73B9"/>
    <w:rsid w:val="005C7530"/>
    <w:rsid w:val="005C788F"/>
    <w:rsid w:val="005C78B7"/>
    <w:rsid w:val="005C78F2"/>
    <w:rsid w:val="005C793B"/>
    <w:rsid w:val="005C795C"/>
    <w:rsid w:val="005C7963"/>
    <w:rsid w:val="005C7DA9"/>
    <w:rsid w:val="005C7FB8"/>
    <w:rsid w:val="005D00FE"/>
    <w:rsid w:val="005D024A"/>
    <w:rsid w:val="005D0520"/>
    <w:rsid w:val="005D05E2"/>
    <w:rsid w:val="005D078F"/>
    <w:rsid w:val="005D0B4A"/>
    <w:rsid w:val="005D0BC6"/>
    <w:rsid w:val="005D0D32"/>
    <w:rsid w:val="005D0D52"/>
    <w:rsid w:val="005D0DA4"/>
    <w:rsid w:val="005D0DFE"/>
    <w:rsid w:val="005D0E32"/>
    <w:rsid w:val="005D1274"/>
    <w:rsid w:val="005D1378"/>
    <w:rsid w:val="005D1385"/>
    <w:rsid w:val="005D1465"/>
    <w:rsid w:val="005D170A"/>
    <w:rsid w:val="005D1B77"/>
    <w:rsid w:val="005D1D77"/>
    <w:rsid w:val="005D20E5"/>
    <w:rsid w:val="005D22AC"/>
    <w:rsid w:val="005D2482"/>
    <w:rsid w:val="005D2510"/>
    <w:rsid w:val="005D26B5"/>
    <w:rsid w:val="005D26FA"/>
    <w:rsid w:val="005D27DA"/>
    <w:rsid w:val="005D2BF9"/>
    <w:rsid w:val="005D2C25"/>
    <w:rsid w:val="005D2C87"/>
    <w:rsid w:val="005D2C91"/>
    <w:rsid w:val="005D2E63"/>
    <w:rsid w:val="005D2EA8"/>
    <w:rsid w:val="005D2EDC"/>
    <w:rsid w:val="005D2FFB"/>
    <w:rsid w:val="005D3282"/>
    <w:rsid w:val="005D32E2"/>
    <w:rsid w:val="005D3321"/>
    <w:rsid w:val="005D3536"/>
    <w:rsid w:val="005D373E"/>
    <w:rsid w:val="005D3A22"/>
    <w:rsid w:val="005D3C4A"/>
    <w:rsid w:val="005D3D1D"/>
    <w:rsid w:val="005D3EDD"/>
    <w:rsid w:val="005D3F3D"/>
    <w:rsid w:val="005D3FBD"/>
    <w:rsid w:val="005D3FD7"/>
    <w:rsid w:val="005D401D"/>
    <w:rsid w:val="005D4193"/>
    <w:rsid w:val="005D42AF"/>
    <w:rsid w:val="005D44BE"/>
    <w:rsid w:val="005D4526"/>
    <w:rsid w:val="005D468F"/>
    <w:rsid w:val="005D46A5"/>
    <w:rsid w:val="005D46F8"/>
    <w:rsid w:val="005D4724"/>
    <w:rsid w:val="005D4835"/>
    <w:rsid w:val="005D4881"/>
    <w:rsid w:val="005D4965"/>
    <w:rsid w:val="005D4A73"/>
    <w:rsid w:val="005D4C8D"/>
    <w:rsid w:val="005D4D79"/>
    <w:rsid w:val="005D4D91"/>
    <w:rsid w:val="005D4E3F"/>
    <w:rsid w:val="005D4EAA"/>
    <w:rsid w:val="005D4F35"/>
    <w:rsid w:val="005D4F7B"/>
    <w:rsid w:val="005D5472"/>
    <w:rsid w:val="005D580A"/>
    <w:rsid w:val="005D5A28"/>
    <w:rsid w:val="005D5A7E"/>
    <w:rsid w:val="005D5ADB"/>
    <w:rsid w:val="005D5B6B"/>
    <w:rsid w:val="005D5B7D"/>
    <w:rsid w:val="005D5B8A"/>
    <w:rsid w:val="005D5BF8"/>
    <w:rsid w:val="005D5CCD"/>
    <w:rsid w:val="005D6172"/>
    <w:rsid w:val="005D623F"/>
    <w:rsid w:val="005D63D3"/>
    <w:rsid w:val="005D63D7"/>
    <w:rsid w:val="005D6572"/>
    <w:rsid w:val="005D6709"/>
    <w:rsid w:val="005D6713"/>
    <w:rsid w:val="005D67BE"/>
    <w:rsid w:val="005D6924"/>
    <w:rsid w:val="005D6990"/>
    <w:rsid w:val="005D69B4"/>
    <w:rsid w:val="005D69EC"/>
    <w:rsid w:val="005D6C4C"/>
    <w:rsid w:val="005D6D2A"/>
    <w:rsid w:val="005D6EAA"/>
    <w:rsid w:val="005D6F74"/>
    <w:rsid w:val="005D6FFD"/>
    <w:rsid w:val="005D7200"/>
    <w:rsid w:val="005D72B2"/>
    <w:rsid w:val="005D72FD"/>
    <w:rsid w:val="005D7566"/>
    <w:rsid w:val="005D7893"/>
    <w:rsid w:val="005D7B47"/>
    <w:rsid w:val="005D7B59"/>
    <w:rsid w:val="005D7C7F"/>
    <w:rsid w:val="005D7D0B"/>
    <w:rsid w:val="005D7D59"/>
    <w:rsid w:val="005D7DDB"/>
    <w:rsid w:val="005D7ECE"/>
    <w:rsid w:val="005D7FC7"/>
    <w:rsid w:val="005E0021"/>
    <w:rsid w:val="005E0064"/>
    <w:rsid w:val="005E00A1"/>
    <w:rsid w:val="005E00C6"/>
    <w:rsid w:val="005E0153"/>
    <w:rsid w:val="005E018F"/>
    <w:rsid w:val="005E024C"/>
    <w:rsid w:val="005E05A1"/>
    <w:rsid w:val="005E06DA"/>
    <w:rsid w:val="005E07EC"/>
    <w:rsid w:val="005E0853"/>
    <w:rsid w:val="005E0969"/>
    <w:rsid w:val="005E0B6E"/>
    <w:rsid w:val="005E0D25"/>
    <w:rsid w:val="005E0D54"/>
    <w:rsid w:val="005E0E0E"/>
    <w:rsid w:val="005E0F2A"/>
    <w:rsid w:val="005E123C"/>
    <w:rsid w:val="005E1306"/>
    <w:rsid w:val="005E161A"/>
    <w:rsid w:val="005E168F"/>
    <w:rsid w:val="005E1722"/>
    <w:rsid w:val="005E17A3"/>
    <w:rsid w:val="005E1970"/>
    <w:rsid w:val="005E1BEC"/>
    <w:rsid w:val="005E1C92"/>
    <w:rsid w:val="005E1EFA"/>
    <w:rsid w:val="005E1FAB"/>
    <w:rsid w:val="005E1FC6"/>
    <w:rsid w:val="005E2036"/>
    <w:rsid w:val="005E20C6"/>
    <w:rsid w:val="005E2173"/>
    <w:rsid w:val="005E2175"/>
    <w:rsid w:val="005E23A6"/>
    <w:rsid w:val="005E23B2"/>
    <w:rsid w:val="005E2426"/>
    <w:rsid w:val="005E2699"/>
    <w:rsid w:val="005E26B8"/>
    <w:rsid w:val="005E2BAA"/>
    <w:rsid w:val="005E2BF3"/>
    <w:rsid w:val="005E2C74"/>
    <w:rsid w:val="005E2D24"/>
    <w:rsid w:val="005E2E24"/>
    <w:rsid w:val="005E2E9D"/>
    <w:rsid w:val="005E2EDB"/>
    <w:rsid w:val="005E2F83"/>
    <w:rsid w:val="005E3009"/>
    <w:rsid w:val="005E3050"/>
    <w:rsid w:val="005E31A2"/>
    <w:rsid w:val="005E3240"/>
    <w:rsid w:val="005E33B8"/>
    <w:rsid w:val="005E33D0"/>
    <w:rsid w:val="005E345B"/>
    <w:rsid w:val="005E3497"/>
    <w:rsid w:val="005E34AC"/>
    <w:rsid w:val="005E3571"/>
    <w:rsid w:val="005E35F1"/>
    <w:rsid w:val="005E37B8"/>
    <w:rsid w:val="005E3894"/>
    <w:rsid w:val="005E389F"/>
    <w:rsid w:val="005E3A75"/>
    <w:rsid w:val="005E3A8E"/>
    <w:rsid w:val="005E3DDD"/>
    <w:rsid w:val="005E4165"/>
    <w:rsid w:val="005E4214"/>
    <w:rsid w:val="005E4332"/>
    <w:rsid w:val="005E4457"/>
    <w:rsid w:val="005E44F9"/>
    <w:rsid w:val="005E4579"/>
    <w:rsid w:val="005E46C2"/>
    <w:rsid w:val="005E4A48"/>
    <w:rsid w:val="005E4A62"/>
    <w:rsid w:val="005E4A8A"/>
    <w:rsid w:val="005E4B5C"/>
    <w:rsid w:val="005E4CB5"/>
    <w:rsid w:val="005E4FD8"/>
    <w:rsid w:val="005E5081"/>
    <w:rsid w:val="005E5538"/>
    <w:rsid w:val="005E5659"/>
    <w:rsid w:val="005E584A"/>
    <w:rsid w:val="005E5AD2"/>
    <w:rsid w:val="005E5D12"/>
    <w:rsid w:val="005E5DF9"/>
    <w:rsid w:val="005E5EC9"/>
    <w:rsid w:val="005E5EF6"/>
    <w:rsid w:val="005E6029"/>
    <w:rsid w:val="005E6042"/>
    <w:rsid w:val="005E60C8"/>
    <w:rsid w:val="005E638A"/>
    <w:rsid w:val="005E63D3"/>
    <w:rsid w:val="005E6610"/>
    <w:rsid w:val="005E66C2"/>
    <w:rsid w:val="005E6784"/>
    <w:rsid w:val="005E68B9"/>
    <w:rsid w:val="005E6A4A"/>
    <w:rsid w:val="005E6AC6"/>
    <w:rsid w:val="005E6ADE"/>
    <w:rsid w:val="005E6B15"/>
    <w:rsid w:val="005E6B32"/>
    <w:rsid w:val="005E6B52"/>
    <w:rsid w:val="005E6C75"/>
    <w:rsid w:val="005E6CD2"/>
    <w:rsid w:val="005E6D4C"/>
    <w:rsid w:val="005E6DEC"/>
    <w:rsid w:val="005E706E"/>
    <w:rsid w:val="005E70C4"/>
    <w:rsid w:val="005E718E"/>
    <w:rsid w:val="005E722F"/>
    <w:rsid w:val="005E723C"/>
    <w:rsid w:val="005E74EB"/>
    <w:rsid w:val="005E7585"/>
    <w:rsid w:val="005E764A"/>
    <w:rsid w:val="005E7712"/>
    <w:rsid w:val="005E7769"/>
    <w:rsid w:val="005E776E"/>
    <w:rsid w:val="005E7988"/>
    <w:rsid w:val="005E7989"/>
    <w:rsid w:val="005E798E"/>
    <w:rsid w:val="005E79BD"/>
    <w:rsid w:val="005E79DE"/>
    <w:rsid w:val="005E79FE"/>
    <w:rsid w:val="005E7B23"/>
    <w:rsid w:val="005E7BD2"/>
    <w:rsid w:val="005E7C10"/>
    <w:rsid w:val="005E7F38"/>
    <w:rsid w:val="005E7F9D"/>
    <w:rsid w:val="005E7FF8"/>
    <w:rsid w:val="005F0013"/>
    <w:rsid w:val="005F0107"/>
    <w:rsid w:val="005F02AA"/>
    <w:rsid w:val="005F0339"/>
    <w:rsid w:val="005F0366"/>
    <w:rsid w:val="005F03C9"/>
    <w:rsid w:val="005F05C1"/>
    <w:rsid w:val="005F0776"/>
    <w:rsid w:val="005F0881"/>
    <w:rsid w:val="005F08C3"/>
    <w:rsid w:val="005F092C"/>
    <w:rsid w:val="005F0A15"/>
    <w:rsid w:val="005F0C93"/>
    <w:rsid w:val="005F0CFD"/>
    <w:rsid w:val="005F0D41"/>
    <w:rsid w:val="005F0EE7"/>
    <w:rsid w:val="005F109A"/>
    <w:rsid w:val="005F1177"/>
    <w:rsid w:val="005F15CA"/>
    <w:rsid w:val="005F15DC"/>
    <w:rsid w:val="005F18E9"/>
    <w:rsid w:val="005F1B10"/>
    <w:rsid w:val="005F1C3D"/>
    <w:rsid w:val="005F207A"/>
    <w:rsid w:val="005F20F3"/>
    <w:rsid w:val="005F236F"/>
    <w:rsid w:val="005F2405"/>
    <w:rsid w:val="005F24B9"/>
    <w:rsid w:val="005F26F6"/>
    <w:rsid w:val="005F275A"/>
    <w:rsid w:val="005F2940"/>
    <w:rsid w:val="005F2A6E"/>
    <w:rsid w:val="005F2B2C"/>
    <w:rsid w:val="005F2BC7"/>
    <w:rsid w:val="005F2C08"/>
    <w:rsid w:val="005F2F8F"/>
    <w:rsid w:val="005F3258"/>
    <w:rsid w:val="005F32E6"/>
    <w:rsid w:val="005F32EA"/>
    <w:rsid w:val="005F334F"/>
    <w:rsid w:val="005F33B0"/>
    <w:rsid w:val="005F33C4"/>
    <w:rsid w:val="005F33F6"/>
    <w:rsid w:val="005F3420"/>
    <w:rsid w:val="005F3583"/>
    <w:rsid w:val="005F3871"/>
    <w:rsid w:val="005F3D27"/>
    <w:rsid w:val="005F3E1A"/>
    <w:rsid w:val="005F3F00"/>
    <w:rsid w:val="005F417A"/>
    <w:rsid w:val="005F44D2"/>
    <w:rsid w:val="005F462C"/>
    <w:rsid w:val="005F476A"/>
    <w:rsid w:val="005F479C"/>
    <w:rsid w:val="005F4802"/>
    <w:rsid w:val="005F4B19"/>
    <w:rsid w:val="005F4B5A"/>
    <w:rsid w:val="005F4BBB"/>
    <w:rsid w:val="005F4C8B"/>
    <w:rsid w:val="005F4E57"/>
    <w:rsid w:val="005F4EFC"/>
    <w:rsid w:val="005F4F67"/>
    <w:rsid w:val="005F510A"/>
    <w:rsid w:val="005F51EB"/>
    <w:rsid w:val="005F51FE"/>
    <w:rsid w:val="005F5429"/>
    <w:rsid w:val="005F566B"/>
    <w:rsid w:val="005F56A0"/>
    <w:rsid w:val="005F57AF"/>
    <w:rsid w:val="005F57C2"/>
    <w:rsid w:val="005F589D"/>
    <w:rsid w:val="005F594F"/>
    <w:rsid w:val="005F5D6C"/>
    <w:rsid w:val="005F62F7"/>
    <w:rsid w:val="005F63A9"/>
    <w:rsid w:val="005F6600"/>
    <w:rsid w:val="005F669B"/>
    <w:rsid w:val="005F69B2"/>
    <w:rsid w:val="005F69DE"/>
    <w:rsid w:val="005F6B54"/>
    <w:rsid w:val="005F6CA1"/>
    <w:rsid w:val="005F6D5C"/>
    <w:rsid w:val="005F6DED"/>
    <w:rsid w:val="005F6E77"/>
    <w:rsid w:val="005F70D3"/>
    <w:rsid w:val="005F72E1"/>
    <w:rsid w:val="005F7321"/>
    <w:rsid w:val="005F74B3"/>
    <w:rsid w:val="005F753C"/>
    <w:rsid w:val="005F79DA"/>
    <w:rsid w:val="005F7C98"/>
    <w:rsid w:val="005F7DF5"/>
    <w:rsid w:val="005F7E54"/>
    <w:rsid w:val="0060000B"/>
    <w:rsid w:val="00600013"/>
    <w:rsid w:val="006001DB"/>
    <w:rsid w:val="0060047E"/>
    <w:rsid w:val="00600582"/>
    <w:rsid w:val="006006F1"/>
    <w:rsid w:val="0060087A"/>
    <w:rsid w:val="0060092E"/>
    <w:rsid w:val="00600A20"/>
    <w:rsid w:val="00600BEC"/>
    <w:rsid w:val="00600C85"/>
    <w:rsid w:val="00600CA7"/>
    <w:rsid w:val="00600CE5"/>
    <w:rsid w:val="00600DB6"/>
    <w:rsid w:val="00600EB1"/>
    <w:rsid w:val="00600F1C"/>
    <w:rsid w:val="00600F64"/>
    <w:rsid w:val="006010FC"/>
    <w:rsid w:val="0060122B"/>
    <w:rsid w:val="00601252"/>
    <w:rsid w:val="006012AF"/>
    <w:rsid w:val="006013C9"/>
    <w:rsid w:val="006014FA"/>
    <w:rsid w:val="00601533"/>
    <w:rsid w:val="0060167F"/>
    <w:rsid w:val="00601736"/>
    <w:rsid w:val="00601787"/>
    <w:rsid w:val="0060182F"/>
    <w:rsid w:val="00601841"/>
    <w:rsid w:val="00601917"/>
    <w:rsid w:val="00601934"/>
    <w:rsid w:val="00601A34"/>
    <w:rsid w:val="00601AB8"/>
    <w:rsid w:val="00601AD6"/>
    <w:rsid w:val="00601BA6"/>
    <w:rsid w:val="00601C9C"/>
    <w:rsid w:val="00601CBF"/>
    <w:rsid w:val="00601EAA"/>
    <w:rsid w:val="00601EBD"/>
    <w:rsid w:val="00602055"/>
    <w:rsid w:val="0060212E"/>
    <w:rsid w:val="0060220C"/>
    <w:rsid w:val="006022CD"/>
    <w:rsid w:val="006022F2"/>
    <w:rsid w:val="00602435"/>
    <w:rsid w:val="00602572"/>
    <w:rsid w:val="006026DC"/>
    <w:rsid w:val="006026F4"/>
    <w:rsid w:val="00602749"/>
    <w:rsid w:val="0060282B"/>
    <w:rsid w:val="0060292A"/>
    <w:rsid w:val="00602A6E"/>
    <w:rsid w:val="00602ABE"/>
    <w:rsid w:val="00602B29"/>
    <w:rsid w:val="00602B66"/>
    <w:rsid w:val="00602E31"/>
    <w:rsid w:val="00603158"/>
    <w:rsid w:val="0060326A"/>
    <w:rsid w:val="006033F5"/>
    <w:rsid w:val="0060346D"/>
    <w:rsid w:val="006034D1"/>
    <w:rsid w:val="00603525"/>
    <w:rsid w:val="00603613"/>
    <w:rsid w:val="00603642"/>
    <w:rsid w:val="00603665"/>
    <w:rsid w:val="00603714"/>
    <w:rsid w:val="00603864"/>
    <w:rsid w:val="00603E2E"/>
    <w:rsid w:val="00603E9C"/>
    <w:rsid w:val="006040A5"/>
    <w:rsid w:val="006043A8"/>
    <w:rsid w:val="006044C1"/>
    <w:rsid w:val="0060462B"/>
    <w:rsid w:val="00604686"/>
    <w:rsid w:val="00604841"/>
    <w:rsid w:val="00604905"/>
    <w:rsid w:val="00604BD9"/>
    <w:rsid w:val="00604CBC"/>
    <w:rsid w:val="00604E7B"/>
    <w:rsid w:val="00604F42"/>
    <w:rsid w:val="006051CC"/>
    <w:rsid w:val="00605331"/>
    <w:rsid w:val="006053A8"/>
    <w:rsid w:val="00605434"/>
    <w:rsid w:val="006055A2"/>
    <w:rsid w:val="006056CF"/>
    <w:rsid w:val="0060581B"/>
    <w:rsid w:val="00605829"/>
    <w:rsid w:val="00605A66"/>
    <w:rsid w:val="00605B9B"/>
    <w:rsid w:val="00605C04"/>
    <w:rsid w:val="00605CEE"/>
    <w:rsid w:val="00605E01"/>
    <w:rsid w:val="00605ECA"/>
    <w:rsid w:val="00605FA3"/>
    <w:rsid w:val="00605FCF"/>
    <w:rsid w:val="006060D0"/>
    <w:rsid w:val="00606430"/>
    <w:rsid w:val="00606441"/>
    <w:rsid w:val="00606456"/>
    <w:rsid w:val="006065A6"/>
    <w:rsid w:val="0060679F"/>
    <w:rsid w:val="006067A4"/>
    <w:rsid w:val="00606827"/>
    <w:rsid w:val="00606B75"/>
    <w:rsid w:val="00606CD3"/>
    <w:rsid w:val="00606DBB"/>
    <w:rsid w:val="00606FC9"/>
    <w:rsid w:val="00606FD6"/>
    <w:rsid w:val="00607143"/>
    <w:rsid w:val="0060743C"/>
    <w:rsid w:val="00607488"/>
    <w:rsid w:val="00607641"/>
    <w:rsid w:val="00607A79"/>
    <w:rsid w:val="00607B6B"/>
    <w:rsid w:val="00607BFE"/>
    <w:rsid w:val="00607D9A"/>
    <w:rsid w:val="00607E09"/>
    <w:rsid w:val="00607F53"/>
    <w:rsid w:val="00607F82"/>
    <w:rsid w:val="00607F96"/>
    <w:rsid w:val="006100BD"/>
    <w:rsid w:val="0061062B"/>
    <w:rsid w:val="0061064E"/>
    <w:rsid w:val="006106BF"/>
    <w:rsid w:val="006107BF"/>
    <w:rsid w:val="006107DE"/>
    <w:rsid w:val="0061088E"/>
    <w:rsid w:val="006109CE"/>
    <w:rsid w:val="00610B38"/>
    <w:rsid w:val="00610C3A"/>
    <w:rsid w:val="00610CDF"/>
    <w:rsid w:val="00610D00"/>
    <w:rsid w:val="00610D54"/>
    <w:rsid w:val="00610DB5"/>
    <w:rsid w:val="00610DFB"/>
    <w:rsid w:val="00610EA6"/>
    <w:rsid w:val="0061117B"/>
    <w:rsid w:val="00611184"/>
    <w:rsid w:val="0061118C"/>
    <w:rsid w:val="00611267"/>
    <w:rsid w:val="006112C1"/>
    <w:rsid w:val="00611403"/>
    <w:rsid w:val="0061140F"/>
    <w:rsid w:val="006114B7"/>
    <w:rsid w:val="0061171F"/>
    <w:rsid w:val="00611ADC"/>
    <w:rsid w:val="00611BC6"/>
    <w:rsid w:val="00611BE4"/>
    <w:rsid w:val="00611E4C"/>
    <w:rsid w:val="00612165"/>
    <w:rsid w:val="006122A2"/>
    <w:rsid w:val="00612390"/>
    <w:rsid w:val="0061246F"/>
    <w:rsid w:val="00612488"/>
    <w:rsid w:val="006124DB"/>
    <w:rsid w:val="00612511"/>
    <w:rsid w:val="006125C2"/>
    <w:rsid w:val="0061286C"/>
    <w:rsid w:val="00612A7A"/>
    <w:rsid w:val="00612C71"/>
    <w:rsid w:val="00612C7D"/>
    <w:rsid w:val="00612CBD"/>
    <w:rsid w:val="00612E79"/>
    <w:rsid w:val="00612F21"/>
    <w:rsid w:val="0061301E"/>
    <w:rsid w:val="00613102"/>
    <w:rsid w:val="00613130"/>
    <w:rsid w:val="006132D8"/>
    <w:rsid w:val="00613345"/>
    <w:rsid w:val="006133A3"/>
    <w:rsid w:val="006133E1"/>
    <w:rsid w:val="00613412"/>
    <w:rsid w:val="006134D6"/>
    <w:rsid w:val="006134DB"/>
    <w:rsid w:val="0061372F"/>
    <w:rsid w:val="0061378E"/>
    <w:rsid w:val="006137D4"/>
    <w:rsid w:val="0061396D"/>
    <w:rsid w:val="00613B38"/>
    <w:rsid w:val="00613F67"/>
    <w:rsid w:val="00614075"/>
    <w:rsid w:val="006142DF"/>
    <w:rsid w:val="006145C7"/>
    <w:rsid w:val="0061470F"/>
    <w:rsid w:val="00614891"/>
    <w:rsid w:val="00614A10"/>
    <w:rsid w:val="00614D24"/>
    <w:rsid w:val="00614D96"/>
    <w:rsid w:val="00614DA6"/>
    <w:rsid w:val="00614E21"/>
    <w:rsid w:val="00614E31"/>
    <w:rsid w:val="0061501A"/>
    <w:rsid w:val="00615098"/>
    <w:rsid w:val="006152AD"/>
    <w:rsid w:val="0061531F"/>
    <w:rsid w:val="00615384"/>
    <w:rsid w:val="00615487"/>
    <w:rsid w:val="006154FB"/>
    <w:rsid w:val="0061550C"/>
    <w:rsid w:val="00615561"/>
    <w:rsid w:val="006155BF"/>
    <w:rsid w:val="0061586C"/>
    <w:rsid w:val="0061599F"/>
    <w:rsid w:val="00615A12"/>
    <w:rsid w:val="00615A50"/>
    <w:rsid w:val="00615B11"/>
    <w:rsid w:val="00615BC3"/>
    <w:rsid w:val="00615FDA"/>
    <w:rsid w:val="0061623C"/>
    <w:rsid w:val="00616296"/>
    <w:rsid w:val="00616303"/>
    <w:rsid w:val="0061635C"/>
    <w:rsid w:val="006166A3"/>
    <w:rsid w:val="00616749"/>
    <w:rsid w:val="00616764"/>
    <w:rsid w:val="0061677D"/>
    <w:rsid w:val="00616EFA"/>
    <w:rsid w:val="00616FA7"/>
    <w:rsid w:val="00616FE1"/>
    <w:rsid w:val="00616FF7"/>
    <w:rsid w:val="0061705D"/>
    <w:rsid w:val="006171C6"/>
    <w:rsid w:val="006173C0"/>
    <w:rsid w:val="00617689"/>
    <w:rsid w:val="006176BF"/>
    <w:rsid w:val="006177A2"/>
    <w:rsid w:val="00617860"/>
    <w:rsid w:val="00617A8E"/>
    <w:rsid w:val="00617B0A"/>
    <w:rsid w:val="00617E9B"/>
    <w:rsid w:val="00617EFE"/>
    <w:rsid w:val="00617FAD"/>
    <w:rsid w:val="006201BE"/>
    <w:rsid w:val="00620256"/>
    <w:rsid w:val="0062037E"/>
    <w:rsid w:val="006203B4"/>
    <w:rsid w:val="006205F0"/>
    <w:rsid w:val="00620680"/>
    <w:rsid w:val="0062069A"/>
    <w:rsid w:val="00620725"/>
    <w:rsid w:val="006207F3"/>
    <w:rsid w:val="00620A2D"/>
    <w:rsid w:val="0062105E"/>
    <w:rsid w:val="00621160"/>
    <w:rsid w:val="006211E8"/>
    <w:rsid w:val="0062129C"/>
    <w:rsid w:val="006212D3"/>
    <w:rsid w:val="00621302"/>
    <w:rsid w:val="006214F1"/>
    <w:rsid w:val="006216C1"/>
    <w:rsid w:val="00621904"/>
    <w:rsid w:val="00621B81"/>
    <w:rsid w:val="00621E29"/>
    <w:rsid w:val="00621FC2"/>
    <w:rsid w:val="006220B9"/>
    <w:rsid w:val="00622120"/>
    <w:rsid w:val="00622130"/>
    <w:rsid w:val="006223DD"/>
    <w:rsid w:val="006225C0"/>
    <w:rsid w:val="006225EF"/>
    <w:rsid w:val="00622626"/>
    <w:rsid w:val="0062284F"/>
    <w:rsid w:val="00622902"/>
    <w:rsid w:val="00622B47"/>
    <w:rsid w:val="00622C48"/>
    <w:rsid w:val="00622C62"/>
    <w:rsid w:val="00622CD3"/>
    <w:rsid w:val="00622D74"/>
    <w:rsid w:val="00622DE0"/>
    <w:rsid w:val="00622E63"/>
    <w:rsid w:val="00623336"/>
    <w:rsid w:val="00623803"/>
    <w:rsid w:val="006238C9"/>
    <w:rsid w:val="0062392E"/>
    <w:rsid w:val="00623A6D"/>
    <w:rsid w:val="00623AE7"/>
    <w:rsid w:val="00623B03"/>
    <w:rsid w:val="00623B66"/>
    <w:rsid w:val="00623BC6"/>
    <w:rsid w:val="00623BCB"/>
    <w:rsid w:val="00623DEE"/>
    <w:rsid w:val="00623F27"/>
    <w:rsid w:val="00623FD0"/>
    <w:rsid w:val="00624020"/>
    <w:rsid w:val="0062403A"/>
    <w:rsid w:val="00624059"/>
    <w:rsid w:val="00624076"/>
    <w:rsid w:val="00624275"/>
    <w:rsid w:val="0062433B"/>
    <w:rsid w:val="006243CC"/>
    <w:rsid w:val="006245DC"/>
    <w:rsid w:val="006246D2"/>
    <w:rsid w:val="006247D6"/>
    <w:rsid w:val="00624A19"/>
    <w:rsid w:val="00624AB6"/>
    <w:rsid w:val="00624CD9"/>
    <w:rsid w:val="00624D15"/>
    <w:rsid w:val="00624D77"/>
    <w:rsid w:val="006250C5"/>
    <w:rsid w:val="00625173"/>
    <w:rsid w:val="006252F9"/>
    <w:rsid w:val="0062541F"/>
    <w:rsid w:val="00625473"/>
    <w:rsid w:val="006254E2"/>
    <w:rsid w:val="006255F6"/>
    <w:rsid w:val="00625668"/>
    <w:rsid w:val="006256C5"/>
    <w:rsid w:val="0062578D"/>
    <w:rsid w:val="006257B7"/>
    <w:rsid w:val="006257EC"/>
    <w:rsid w:val="006259B0"/>
    <w:rsid w:val="006259D6"/>
    <w:rsid w:val="006259DE"/>
    <w:rsid w:val="00625D1A"/>
    <w:rsid w:val="00625FF0"/>
    <w:rsid w:val="006261E9"/>
    <w:rsid w:val="0062632B"/>
    <w:rsid w:val="00626454"/>
    <w:rsid w:val="00626488"/>
    <w:rsid w:val="0062655A"/>
    <w:rsid w:val="0062678D"/>
    <w:rsid w:val="00626A1A"/>
    <w:rsid w:val="00626B71"/>
    <w:rsid w:val="00626E54"/>
    <w:rsid w:val="006270DB"/>
    <w:rsid w:val="00627194"/>
    <w:rsid w:val="006275AD"/>
    <w:rsid w:val="006275D4"/>
    <w:rsid w:val="00627AFA"/>
    <w:rsid w:val="00627B3C"/>
    <w:rsid w:val="00627B43"/>
    <w:rsid w:val="00627B9B"/>
    <w:rsid w:val="00627C6F"/>
    <w:rsid w:val="00627CF2"/>
    <w:rsid w:val="00627D5B"/>
    <w:rsid w:val="00627F2E"/>
    <w:rsid w:val="00627F75"/>
    <w:rsid w:val="00630390"/>
    <w:rsid w:val="006308A9"/>
    <w:rsid w:val="00630ADC"/>
    <w:rsid w:val="00630AF9"/>
    <w:rsid w:val="00630CB7"/>
    <w:rsid w:val="00630D67"/>
    <w:rsid w:val="00630E02"/>
    <w:rsid w:val="00630FFC"/>
    <w:rsid w:val="00631115"/>
    <w:rsid w:val="0063114A"/>
    <w:rsid w:val="0063127E"/>
    <w:rsid w:val="00631308"/>
    <w:rsid w:val="00631670"/>
    <w:rsid w:val="0063168D"/>
    <w:rsid w:val="006317DB"/>
    <w:rsid w:val="00631969"/>
    <w:rsid w:val="006319B7"/>
    <w:rsid w:val="00631AE7"/>
    <w:rsid w:val="00631B62"/>
    <w:rsid w:val="00631DF8"/>
    <w:rsid w:val="006321E2"/>
    <w:rsid w:val="00632228"/>
    <w:rsid w:val="00632533"/>
    <w:rsid w:val="006326D3"/>
    <w:rsid w:val="00632739"/>
    <w:rsid w:val="006327E5"/>
    <w:rsid w:val="00632861"/>
    <w:rsid w:val="0063296C"/>
    <w:rsid w:val="00632B95"/>
    <w:rsid w:val="00632BCD"/>
    <w:rsid w:val="00632D1D"/>
    <w:rsid w:val="00632D67"/>
    <w:rsid w:val="00632ED1"/>
    <w:rsid w:val="00632FC9"/>
    <w:rsid w:val="006331FD"/>
    <w:rsid w:val="00633534"/>
    <w:rsid w:val="00633B27"/>
    <w:rsid w:val="00633D95"/>
    <w:rsid w:val="00633D99"/>
    <w:rsid w:val="00633E11"/>
    <w:rsid w:val="00633F41"/>
    <w:rsid w:val="00634013"/>
    <w:rsid w:val="006341F9"/>
    <w:rsid w:val="006342E3"/>
    <w:rsid w:val="00634322"/>
    <w:rsid w:val="006345C0"/>
    <w:rsid w:val="006346ED"/>
    <w:rsid w:val="00634744"/>
    <w:rsid w:val="00634785"/>
    <w:rsid w:val="006347E3"/>
    <w:rsid w:val="006348A5"/>
    <w:rsid w:val="00634C58"/>
    <w:rsid w:val="00634D23"/>
    <w:rsid w:val="00635047"/>
    <w:rsid w:val="0063516E"/>
    <w:rsid w:val="006351DA"/>
    <w:rsid w:val="0063562F"/>
    <w:rsid w:val="0063568D"/>
    <w:rsid w:val="00635764"/>
    <w:rsid w:val="0063599C"/>
    <w:rsid w:val="00635A70"/>
    <w:rsid w:val="00635A9E"/>
    <w:rsid w:val="00635C68"/>
    <w:rsid w:val="00635C8B"/>
    <w:rsid w:val="00635ECD"/>
    <w:rsid w:val="00635FE1"/>
    <w:rsid w:val="00636178"/>
    <w:rsid w:val="006361A5"/>
    <w:rsid w:val="006361EC"/>
    <w:rsid w:val="006362F1"/>
    <w:rsid w:val="0063638A"/>
    <w:rsid w:val="006363B1"/>
    <w:rsid w:val="00636460"/>
    <w:rsid w:val="0063674D"/>
    <w:rsid w:val="0063676D"/>
    <w:rsid w:val="0063698B"/>
    <w:rsid w:val="00636A97"/>
    <w:rsid w:val="00636ECF"/>
    <w:rsid w:val="00636F44"/>
    <w:rsid w:val="00636F4C"/>
    <w:rsid w:val="006370B8"/>
    <w:rsid w:val="00637132"/>
    <w:rsid w:val="00637287"/>
    <w:rsid w:val="00637340"/>
    <w:rsid w:val="006375B8"/>
    <w:rsid w:val="006375E2"/>
    <w:rsid w:val="00637611"/>
    <w:rsid w:val="00637751"/>
    <w:rsid w:val="00637A21"/>
    <w:rsid w:val="00637AA6"/>
    <w:rsid w:val="00637D86"/>
    <w:rsid w:val="00637E03"/>
    <w:rsid w:val="006401AB"/>
    <w:rsid w:val="0064034A"/>
    <w:rsid w:val="00640529"/>
    <w:rsid w:val="006409CF"/>
    <w:rsid w:val="006409DD"/>
    <w:rsid w:val="00640C89"/>
    <w:rsid w:val="00640CFB"/>
    <w:rsid w:val="00640E84"/>
    <w:rsid w:val="00641161"/>
    <w:rsid w:val="00641223"/>
    <w:rsid w:val="006412D1"/>
    <w:rsid w:val="0064134C"/>
    <w:rsid w:val="006413C3"/>
    <w:rsid w:val="00641462"/>
    <w:rsid w:val="006415EF"/>
    <w:rsid w:val="00641665"/>
    <w:rsid w:val="0064177E"/>
    <w:rsid w:val="006417F0"/>
    <w:rsid w:val="00641CA0"/>
    <w:rsid w:val="00641D30"/>
    <w:rsid w:val="00641E87"/>
    <w:rsid w:val="00642181"/>
    <w:rsid w:val="0064222D"/>
    <w:rsid w:val="006422AC"/>
    <w:rsid w:val="0064233C"/>
    <w:rsid w:val="00642373"/>
    <w:rsid w:val="0064248C"/>
    <w:rsid w:val="006424C1"/>
    <w:rsid w:val="00642561"/>
    <w:rsid w:val="0064266A"/>
    <w:rsid w:val="0064286B"/>
    <w:rsid w:val="006429A0"/>
    <w:rsid w:val="00642A49"/>
    <w:rsid w:val="00642DCC"/>
    <w:rsid w:val="00642F8E"/>
    <w:rsid w:val="006430B1"/>
    <w:rsid w:val="0064320A"/>
    <w:rsid w:val="006433E4"/>
    <w:rsid w:val="0064366A"/>
    <w:rsid w:val="0064373F"/>
    <w:rsid w:val="0064375A"/>
    <w:rsid w:val="00643BF2"/>
    <w:rsid w:val="00643C26"/>
    <w:rsid w:val="00643C77"/>
    <w:rsid w:val="00643DF9"/>
    <w:rsid w:val="00643F1A"/>
    <w:rsid w:val="00643F2C"/>
    <w:rsid w:val="006441A7"/>
    <w:rsid w:val="00644370"/>
    <w:rsid w:val="006443AB"/>
    <w:rsid w:val="0064440A"/>
    <w:rsid w:val="00644487"/>
    <w:rsid w:val="006444AA"/>
    <w:rsid w:val="00644501"/>
    <w:rsid w:val="00644523"/>
    <w:rsid w:val="00644535"/>
    <w:rsid w:val="006446A3"/>
    <w:rsid w:val="006446F3"/>
    <w:rsid w:val="00644726"/>
    <w:rsid w:val="006447EB"/>
    <w:rsid w:val="00644C59"/>
    <w:rsid w:val="00644E06"/>
    <w:rsid w:val="00645096"/>
    <w:rsid w:val="006451C0"/>
    <w:rsid w:val="0064525C"/>
    <w:rsid w:val="0064536B"/>
    <w:rsid w:val="006453BB"/>
    <w:rsid w:val="0064561D"/>
    <w:rsid w:val="0064567E"/>
    <w:rsid w:val="0064582F"/>
    <w:rsid w:val="006459AE"/>
    <w:rsid w:val="00645ABD"/>
    <w:rsid w:val="00645BBC"/>
    <w:rsid w:val="00645C92"/>
    <w:rsid w:val="00645D40"/>
    <w:rsid w:val="00645EA7"/>
    <w:rsid w:val="00645F36"/>
    <w:rsid w:val="00646016"/>
    <w:rsid w:val="006461DC"/>
    <w:rsid w:val="00646720"/>
    <w:rsid w:val="00646764"/>
    <w:rsid w:val="006467E0"/>
    <w:rsid w:val="006469BA"/>
    <w:rsid w:val="00646B2B"/>
    <w:rsid w:val="00646B60"/>
    <w:rsid w:val="00646CA1"/>
    <w:rsid w:val="00647047"/>
    <w:rsid w:val="00647081"/>
    <w:rsid w:val="006470B1"/>
    <w:rsid w:val="0064712E"/>
    <w:rsid w:val="00647162"/>
    <w:rsid w:val="006471A9"/>
    <w:rsid w:val="006471E8"/>
    <w:rsid w:val="00647272"/>
    <w:rsid w:val="00647372"/>
    <w:rsid w:val="0064788E"/>
    <w:rsid w:val="0064791E"/>
    <w:rsid w:val="00647B21"/>
    <w:rsid w:val="00647E37"/>
    <w:rsid w:val="00647EBD"/>
    <w:rsid w:val="00647EF8"/>
    <w:rsid w:val="0065005F"/>
    <w:rsid w:val="006500D8"/>
    <w:rsid w:val="006500E0"/>
    <w:rsid w:val="0065049C"/>
    <w:rsid w:val="006504A4"/>
    <w:rsid w:val="00650535"/>
    <w:rsid w:val="006507E1"/>
    <w:rsid w:val="00650801"/>
    <w:rsid w:val="0065080B"/>
    <w:rsid w:val="0065085B"/>
    <w:rsid w:val="00650B04"/>
    <w:rsid w:val="00650C11"/>
    <w:rsid w:val="00650D40"/>
    <w:rsid w:val="00650D57"/>
    <w:rsid w:val="00650E6A"/>
    <w:rsid w:val="00650F2A"/>
    <w:rsid w:val="0065104C"/>
    <w:rsid w:val="006513E2"/>
    <w:rsid w:val="0065162F"/>
    <w:rsid w:val="006516D2"/>
    <w:rsid w:val="00651742"/>
    <w:rsid w:val="00651783"/>
    <w:rsid w:val="00651927"/>
    <w:rsid w:val="00651954"/>
    <w:rsid w:val="00651964"/>
    <w:rsid w:val="00651AAD"/>
    <w:rsid w:val="00651C42"/>
    <w:rsid w:val="006520E6"/>
    <w:rsid w:val="0065222A"/>
    <w:rsid w:val="006522BE"/>
    <w:rsid w:val="006522E4"/>
    <w:rsid w:val="00652582"/>
    <w:rsid w:val="006525C1"/>
    <w:rsid w:val="0065263E"/>
    <w:rsid w:val="006526FC"/>
    <w:rsid w:val="006527C0"/>
    <w:rsid w:val="00652E09"/>
    <w:rsid w:val="00652ECF"/>
    <w:rsid w:val="00652EE5"/>
    <w:rsid w:val="00652FDE"/>
    <w:rsid w:val="0065301E"/>
    <w:rsid w:val="00653043"/>
    <w:rsid w:val="006533B8"/>
    <w:rsid w:val="00653505"/>
    <w:rsid w:val="006535D0"/>
    <w:rsid w:val="00653836"/>
    <w:rsid w:val="006539B9"/>
    <w:rsid w:val="00653A00"/>
    <w:rsid w:val="00653A1E"/>
    <w:rsid w:val="00653AF8"/>
    <w:rsid w:val="00653CF2"/>
    <w:rsid w:val="00653D59"/>
    <w:rsid w:val="00653DBA"/>
    <w:rsid w:val="00653DE8"/>
    <w:rsid w:val="00653FAA"/>
    <w:rsid w:val="00653FE6"/>
    <w:rsid w:val="006540AE"/>
    <w:rsid w:val="006540EB"/>
    <w:rsid w:val="006541E0"/>
    <w:rsid w:val="006541F6"/>
    <w:rsid w:val="0065442C"/>
    <w:rsid w:val="0065462B"/>
    <w:rsid w:val="006547CF"/>
    <w:rsid w:val="006547D8"/>
    <w:rsid w:val="0065493B"/>
    <w:rsid w:val="00654A61"/>
    <w:rsid w:val="00654B08"/>
    <w:rsid w:val="00654C19"/>
    <w:rsid w:val="00654DCF"/>
    <w:rsid w:val="00654E66"/>
    <w:rsid w:val="00655157"/>
    <w:rsid w:val="006551BE"/>
    <w:rsid w:val="0065531E"/>
    <w:rsid w:val="0065533E"/>
    <w:rsid w:val="00655351"/>
    <w:rsid w:val="0065535B"/>
    <w:rsid w:val="00655434"/>
    <w:rsid w:val="00655460"/>
    <w:rsid w:val="00655539"/>
    <w:rsid w:val="00655660"/>
    <w:rsid w:val="006556B7"/>
    <w:rsid w:val="0065570A"/>
    <w:rsid w:val="0065572D"/>
    <w:rsid w:val="00655948"/>
    <w:rsid w:val="006559F6"/>
    <w:rsid w:val="00655AB0"/>
    <w:rsid w:val="00655AD2"/>
    <w:rsid w:val="00655B4B"/>
    <w:rsid w:val="00655BA1"/>
    <w:rsid w:val="00655BC1"/>
    <w:rsid w:val="00655F7F"/>
    <w:rsid w:val="00656111"/>
    <w:rsid w:val="006561BC"/>
    <w:rsid w:val="00656296"/>
    <w:rsid w:val="00656670"/>
    <w:rsid w:val="0065675B"/>
    <w:rsid w:val="0065675F"/>
    <w:rsid w:val="0065680D"/>
    <w:rsid w:val="0065689D"/>
    <w:rsid w:val="00656AE5"/>
    <w:rsid w:val="00656B3E"/>
    <w:rsid w:val="00656BCD"/>
    <w:rsid w:val="00656C60"/>
    <w:rsid w:val="006570F8"/>
    <w:rsid w:val="00657126"/>
    <w:rsid w:val="00657183"/>
    <w:rsid w:val="00657711"/>
    <w:rsid w:val="0065782D"/>
    <w:rsid w:val="00657950"/>
    <w:rsid w:val="00657AAD"/>
    <w:rsid w:val="00657C5E"/>
    <w:rsid w:val="00657CE6"/>
    <w:rsid w:val="00657CEF"/>
    <w:rsid w:val="00657E50"/>
    <w:rsid w:val="00657F2D"/>
    <w:rsid w:val="00657FE8"/>
    <w:rsid w:val="006601C6"/>
    <w:rsid w:val="006602FC"/>
    <w:rsid w:val="0066033A"/>
    <w:rsid w:val="00660647"/>
    <w:rsid w:val="00660DD1"/>
    <w:rsid w:val="00660DD7"/>
    <w:rsid w:val="00660E28"/>
    <w:rsid w:val="00660F8F"/>
    <w:rsid w:val="00660FA9"/>
    <w:rsid w:val="0066106F"/>
    <w:rsid w:val="006610DA"/>
    <w:rsid w:val="00661183"/>
    <w:rsid w:val="0066121F"/>
    <w:rsid w:val="006612B1"/>
    <w:rsid w:val="00661334"/>
    <w:rsid w:val="0066139E"/>
    <w:rsid w:val="006613A6"/>
    <w:rsid w:val="006613DB"/>
    <w:rsid w:val="006614A8"/>
    <w:rsid w:val="006615D2"/>
    <w:rsid w:val="006616B9"/>
    <w:rsid w:val="006617F0"/>
    <w:rsid w:val="006618A5"/>
    <w:rsid w:val="006618C1"/>
    <w:rsid w:val="00661AA0"/>
    <w:rsid w:val="00661AAF"/>
    <w:rsid w:val="00661C14"/>
    <w:rsid w:val="00661D15"/>
    <w:rsid w:val="00661D2C"/>
    <w:rsid w:val="00661E0A"/>
    <w:rsid w:val="00661E11"/>
    <w:rsid w:val="00661F29"/>
    <w:rsid w:val="00661F65"/>
    <w:rsid w:val="006620D0"/>
    <w:rsid w:val="00662225"/>
    <w:rsid w:val="00662326"/>
    <w:rsid w:val="00662498"/>
    <w:rsid w:val="006624A3"/>
    <w:rsid w:val="006624BC"/>
    <w:rsid w:val="006624FD"/>
    <w:rsid w:val="00662779"/>
    <w:rsid w:val="006627C9"/>
    <w:rsid w:val="00662C4E"/>
    <w:rsid w:val="00662E85"/>
    <w:rsid w:val="00662EB5"/>
    <w:rsid w:val="00662ED1"/>
    <w:rsid w:val="006634AD"/>
    <w:rsid w:val="006634DA"/>
    <w:rsid w:val="00663625"/>
    <w:rsid w:val="00663723"/>
    <w:rsid w:val="006637FB"/>
    <w:rsid w:val="00663B34"/>
    <w:rsid w:val="00663D24"/>
    <w:rsid w:val="00663DE5"/>
    <w:rsid w:val="00664005"/>
    <w:rsid w:val="00664046"/>
    <w:rsid w:val="00664135"/>
    <w:rsid w:val="0066433E"/>
    <w:rsid w:val="00664440"/>
    <w:rsid w:val="0066454E"/>
    <w:rsid w:val="006645F0"/>
    <w:rsid w:val="00664622"/>
    <w:rsid w:val="00664719"/>
    <w:rsid w:val="006647F1"/>
    <w:rsid w:val="00664B7C"/>
    <w:rsid w:val="00664CEB"/>
    <w:rsid w:val="00664D39"/>
    <w:rsid w:val="00664D61"/>
    <w:rsid w:val="00664E5D"/>
    <w:rsid w:val="00664F45"/>
    <w:rsid w:val="00664F6F"/>
    <w:rsid w:val="00664FA3"/>
    <w:rsid w:val="00665085"/>
    <w:rsid w:val="006650D1"/>
    <w:rsid w:val="006652C1"/>
    <w:rsid w:val="00665353"/>
    <w:rsid w:val="006653A0"/>
    <w:rsid w:val="00665472"/>
    <w:rsid w:val="0066570F"/>
    <w:rsid w:val="00665900"/>
    <w:rsid w:val="00665AF4"/>
    <w:rsid w:val="00665BF6"/>
    <w:rsid w:val="00665C61"/>
    <w:rsid w:val="00665CAF"/>
    <w:rsid w:val="00665DB4"/>
    <w:rsid w:val="00665EA6"/>
    <w:rsid w:val="00665F18"/>
    <w:rsid w:val="00665F54"/>
    <w:rsid w:val="00665F55"/>
    <w:rsid w:val="00666079"/>
    <w:rsid w:val="006664C9"/>
    <w:rsid w:val="0066652E"/>
    <w:rsid w:val="0066669C"/>
    <w:rsid w:val="006667B4"/>
    <w:rsid w:val="00666A4D"/>
    <w:rsid w:val="00666AE3"/>
    <w:rsid w:val="00666BA5"/>
    <w:rsid w:val="00666BAA"/>
    <w:rsid w:val="00666DDB"/>
    <w:rsid w:val="00667138"/>
    <w:rsid w:val="0066729A"/>
    <w:rsid w:val="00667371"/>
    <w:rsid w:val="0066737A"/>
    <w:rsid w:val="00667504"/>
    <w:rsid w:val="0066753A"/>
    <w:rsid w:val="006675B1"/>
    <w:rsid w:val="00667909"/>
    <w:rsid w:val="006679AC"/>
    <w:rsid w:val="006679CA"/>
    <w:rsid w:val="00667B66"/>
    <w:rsid w:val="00667CE8"/>
    <w:rsid w:val="00667DE9"/>
    <w:rsid w:val="00667FBA"/>
    <w:rsid w:val="00670025"/>
    <w:rsid w:val="0067044F"/>
    <w:rsid w:val="0067058F"/>
    <w:rsid w:val="00670996"/>
    <w:rsid w:val="006709BD"/>
    <w:rsid w:val="00670AC9"/>
    <w:rsid w:val="00670ADE"/>
    <w:rsid w:val="00670DD7"/>
    <w:rsid w:val="00670F1E"/>
    <w:rsid w:val="00670FFD"/>
    <w:rsid w:val="0067131E"/>
    <w:rsid w:val="006713B9"/>
    <w:rsid w:val="006715EE"/>
    <w:rsid w:val="006717E0"/>
    <w:rsid w:val="0067192F"/>
    <w:rsid w:val="00671C56"/>
    <w:rsid w:val="0067210F"/>
    <w:rsid w:val="0067214E"/>
    <w:rsid w:val="00672198"/>
    <w:rsid w:val="006721FE"/>
    <w:rsid w:val="0067230B"/>
    <w:rsid w:val="0067253A"/>
    <w:rsid w:val="006725C6"/>
    <w:rsid w:val="00672813"/>
    <w:rsid w:val="006728A4"/>
    <w:rsid w:val="00672AED"/>
    <w:rsid w:val="00672B7D"/>
    <w:rsid w:val="00673047"/>
    <w:rsid w:val="00673117"/>
    <w:rsid w:val="00673186"/>
    <w:rsid w:val="0067362D"/>
    <w:rsid w:val="00673752"/>
    <w:rsid w:val="00673757"/>
    <w:rsid w:val="00673C07"/>
    <w:rsid w:val="00673D6E"/>
    <w:rsid w:val="006741B6"/>
    <w:rsid w:val="0067421D"/>
    <w:rsid w:val="00674935"/>
    <w:rsid w:val="0067498D"/>
    <w:rsid w:val="00674B1E"/>
    <w:rsid w:val="00674C11"/>
    <w:rsid w:val="00674DFF"/>
    <w:rsid w:val="00674E96"/>
    <w:rsid w:val="00675090"/>
    <w:rsid w:val="006752EB"/>
    <w:rsid w:val="006757F4"/>
    <w:rsid w:val="00675958"/>
    <w:rsid w:val="00675C63"/>
    <w:rsid w:val="00675CA4"/>
    <w:rsid w:val="00675D0B"/>
    <w:rsid w:val="00675EA8"/>
    <w:rsid w:val="00675F95"/>
    <w:rsid w:val="00676082"/>
    <w:rsid w:val="00676567"/>
    <w:rsid w:val="006765D4"/>
    <w:rsid w:val="006767E0"/>
    <w:rsid w:val="00676A27"/>
    <w:rsid w:val="00676BE3"/>
    <w:rsid w:val="00676DE5"/>
    <w:rsid w:val="00676F81"/>
    <w:rsid w:val="0067723E"/>
    <w:rsid w:val="006774FD"/>
    <w:rsid w:val="00677527"/>
    <w:rsid w:val="006775E4"/>
    <w:rsid w:val="0067766C"/>
    <w:rsid w:val="00677680"/>
    <w:rsid w:val="006777A8"/>
    <w:rsid w:val="006777E1"/>
    <w:rsid w:val="00677853"/>
    <w:rsid w:val="00677A2A"/>
    <w:rsid w:val="00677E47"/>
    <w:rsid w:val="00677F6B"/>
    <w:rsid w:val="006802B8"/>
    <w:rsid w:val="00680384"/>
    <w:rsid w:val="00680494"/>
    <w:rsid w:val="006804D9"/>
    <w:rsid w:val="006806D1"/>
    <w:rsid w:val="0068089E"/>
    <w:rsid w:val="00680C2B"/>
    <w:rsid w:val="00680D2F"/>
    <w:rsid w:val="00680DAF"/>
    <w:rsid w:val="00680DE3"/>
    <w:rsid w:val="00680EB6"/>
    <w:rsid w:val="006810A5"/>
    <w:rsid w:val="006810E7"/>
    <w:rsid w:val="00681366"/>
    <w:rsid w:val="00681394"/>
    <w:rsid w:val="00681485"/>
    <w:rsid w:val="00681611"/>
    <w:rsid w:val="0068163E"/>
    <w:rsid w:val="00681688"/>
    <w:rsid w:val="00681743"/>
    <w:rsid w:val="00681A4F"/>
    <w:rsid w:val="00681AF0"/>
    <w:rsid w:val="00681B50"/>
    <w:rsid w:val="00681BE2"/>
    <w:rsid w:val="00681BE5"/>
    <w:rsid w:val="00681C2B"/>
    <w:rsid w:val="00681C7B"/>
    <w:rsid w:val="006826C9"/>
    <w:rsid w:val="0068270A"/>
    <w:rsid w:val="006827B9"/>
    <w:rsid w:val="00682993"/>
    <w:rsid w:val="00682A85"/>
    <w:rsid w:val="00682BA5"/>
    <w:rsid w:val="00682C52"/>
    <w:rsid w:val="00682C8C"/>
    <w:rsid w:val="00683121"/>
    <w:rsid w:val="0068323C"/>
    <w:rsid w:val="006834DA"/>
    <w:rsid w:val="006836DA"/>
    <w:rsid w:val="0068387E"/>
    <w:rsid w:val="0068399D"/>
    <w:rsid w:val="00683A98"/>
    <w:rsid w:val="00683D49"/>
    <w:rsid w:val="00683ED5"/>
    <w:rsid w:val="00684099"/>
    <w:rsid w:val="006841A6"/>
    <w:rsid w:val="006841F1"/>
    <w:rsid w:val="006842C4"/>
    <w:rsid w:val="00684620"/>
    <w:rsid w:val="00684706"/>
    <w:rsid w:val="00684730"/>
    <w:rsid w:val="006847F7"/>
    <w:rsid w:val="006848FE"/>
    <w:rsid w:val="00684A5A"/>
    <w:rsid w:val="00684C0A"/>
    <w:rsid w:val="00684C6F"/>
    <w:rsid w:val="0068520D"/>
    <w:rsid w:val="006853F5"/>
    <w:rsid w:val="00685643"/>
    <w:rsid w:val="00685732"/>
    <w:rsid w:val="0068580F"/>
    <w:rsid w:val="006858B8"/>
    <w:rsid w:val="00685BF0"/>
    <w:rsid w:val="00685BF7"/>
    <w:rsid w:val="00685CC0"/>
    <w:rsid w:val="00685D46"/>
    <w:rsid w:val="00685DAF"/>
    <w:rsid w:val="006860A9"/>
    <w:rsid w:val="006862C5"/>
    <w:rsid w:val="00686350"/>
    <w:rsid w:val="0068640A"/>
    <w:rsid w:val="00686507"/>
    <w:rsid w:val="006865D9"/>
    <w:rsid w:val="006865EA"/>
    <w:rsid w:val="00686720"/>
    <w:rsid w:val="006868C2"/>
    <w:rsid w:val="00686970"/>
    <w:rsid w:val="00686B43"/>
    <w:rsid w:val="00686B4F"/>
    <w:rsid w:val="00686BC6"/>
    <w:rsid w:val="00686C4B"/>
    <w:rsid w:val="00686D91"/>
    <w:rsid w:val="00686DB2"/>
    <w:rsid w:val="00686E9D"/>
    <w:rsid w:val="00686F8B"/>
    <w:rsid w:val="006871D8"/>
    <w:rsid w:val="0068721B"/>
    <w:rsid w:val="00687239"/>
    <w:rsid w:val="00687351"/>
    <w:rsid w:val="006875AB"/>
    <w:rsid w:val="0068768F"/>
    <w:rsid w:val="00687A22"/>
    <w:rsid w:val="00687BA4"/>
    <w:rsid w:val="00687DAE"/>
    <w:rsid w:val="00687DD1"/>
    <w:rsid w:val="00687F9D"/>
    <w:rsid w:val="00690024"/>
    <w:rsid w:val="006900DA"/>
    <w:rsid w:val="0069016C"/>
    <w:rsid w:val="00690217"/>
    <w:rsid w:val="00690419"/>
    <w:rsid w:val="00690490"/>
    <w:rsid w:val="0069067F"/>
    <w:rsid w:val="006907DB"/>
    <w:rsid w:val="00690AEF"/>
    <w:rsid w:val="00690F01"/>
    <w:rsid w:val="0069108E"/>
    <w:rsid w:val="006913A7"/>
    <w:rsid w:val="006915EA"/>
    <w:rsid w:val="006915FE"/>
    <w:rsid w:val="00691689"/>
    <w:rsid w:val="006916EC"/>
    <w:rsid w:val="006917A3"/>
    <w:rsid w:val="00691A7A"/>
    <w:rsid w:val="00691B70"/>
    <w:rsid w:val="00691C18"/>
    <w:rsid w:val="00691E2E"/>
    <w:rsid w:val="00691F00"/>
    <w:rsid w:val="00692454"/>
    <w:rsid w:val="0069247F"/>
    <w:rsid w:val="0069253F"/>
    <w:rsid w:val="00692997"/>
    <w:rsid w:val="00692A21"/>
    <w:rsid w:val="00692A56"/>
    <w:rsid w:val="00692A89"/>
    <w:rsid w:val="00692ABE"/>
    <w:rsid w:val="00692AE7"/>
    <w:rsid w:val="00692AE8"/>
    <w:rsid w:val="00692BE4"/>
    <w:rsid w:val="00692C59"/>
    <w:rsid w:val="00692E3C"/>
    <w:rsid w:val="00692E57"/>
    <w:rsid w:val="00692E79"/>
    <w:rsid w:val="00692ED3"/>
    <w:rsid w:val="00692F3C"/>
    <w:rsid w:val="00693002"/>
    <w:rsid w:val="0069339A"/>
    <w:rsid w:val="0069356A"/>
    <w:rsid w:val="006936CC"/>
    <w:rsid w:val="00693835"/>
    <w:rsid w:val="006939EE"/>
    <w:rsid w:val="00693C22"/>
    <w:rsid w:val="00693CA0"/>
    <w:rsid w:val="00693E32"/>
    <w:rsid w:val="00693F95"/>
    <w:rsid w:val="00694306"/>
    <w:rsid w:val="006943E0"/>
    <w:rsid w:val="0069443A"/>
    <w:rsid w:val="006944BE"/>
    <w:rsid w:val="006944D0"/>
    <w:rsid w:val="0069457E"/>
    <w:rsid w:val="00694719"/>
    <w:rsid w:val="00694727"/>
    <w:rsid w:val="00694776"/>
    <w:rsid w:val="00694855"/>
    <w:rsid w:val="00694886"/>
    <w:rsid w:val="00694931"/>
    <w:rsid w:val="00694A5B"/>
    <w:rsid w:val="00694BA7"/>
    <w:rsid w:val="00694D27"/>
    <w:rsid w:val="00694DCA"/>
    <w:rsid w:val="00694EE2"/>
    <w:rsid w:val="00694FA3"/>
    <w:rsid w:val="00695292"/>
    <w:rsid w:val="0069549F"/>
    <w:rsid w:val="00695542"/>
    <w:rsid w:val="006956EF"/>
    <w:rsid w:val="006957BC"/>
    <w:rsid w:val="00695846"/>
    <w:rsid w:val="00695893"/>
    <w:rsid w:val="006958E1"/>
    <w:rsid w:val="006959C9"/>
    <w:rsid w:val="00695A5C"/>
    <w:rsid w:val="00695C77"/>
    <w:rsid w:val="00695D1C"/>
    <w:rsid w:val="006961D0"/>
    <w:rsid w:val="0069625A"/>
    <w:rsid w:val="006963E1"/>
    <w:rsid w:val="006964A2"/>
    <w:rsid w:val="00696598"/>
    <w:rsid w:val="006965CA"/>
    <w:rsid w:val="00696614"/>
    <w:rsid w:val="0069664C"/>
    <w:rsid w:val="006966EF"/>
    <w:rsid w:val="006969DF"/>
    <w:rsid w:val="00696B3E"/>
    <w:rsid w:val="00696B61"/>
    <w:rsid w:val="00696BCD"/>
    <w:rsid w:val="00696D12"/>
    <w:rsid w:val="00696D3D"/>
    <w:rsid w:val="00696E8A"/>
    <w:rsid w:val="00696ED3"/>
    <w:rsid w:val="00697384"/>
    <w:rsid w:val="006976F8"/>
    <w:rsid w:val="00697916"/>
    <w:rsid w:val="0069799F"/>
    <w:rsid w:val="00697A4F"/>
    <w:rsid w:val="00697BA1"/>
    <w:rsid w:val="00697D18"/>
    <w:rsid w:val="00697F9B"/>
    <w:rsid w:val="006A0054"/>
    <w:rsid w:val="006A0085"/>
    <w:rsid w:val="006A03A3"/>
    <w:rsid w:val="006A03C9"/>
    <w:rsid w:val="006A05E4"/>
    <w:rsid w:val="006A0627"/>
    <w:rsid w:val="006A0639"/>
    <w:rsid w:val="006A07A0"/>
    <w:rsid w:val="006A0C21"/>
    <w:rsid w:val="006A0CED"/>
    <w:rsid w:val="006A0E2A"/>
    <w:rsid w:val="006A0EA2"/>
    <w:rsid w:val="006A0EEA"/>
    <w:rsid w:val="006A0EFE"/>
    <w:rsid w:val="006A1217"/>
    <w:rsid w:val="006A1225"/>
    <w:rsid w:val="006A14A5"/>
    <w:rsid w:val="006A14B5"/>
    <w:rsid w:val="006A14FC"/>
    <w:rsid w:val="006A1511"/>
    <w:rsid w:val="006A16D9"/>
    <w:rsid w:val="006A1831"/>
    <w:rsid w:val="006A18DC"/>
    <w:rsid w:val="006A1A6C"/>
    <w:rsid w:val="006A1A71"/>
    <w:rsid w:val="006A1A8A"/>
    <w:rsid w:val="006A1B11"/>
    <w:rsid w:val="006A1DAC"/>
    <w:rsid w:val="006A1DBE"/>
    <w:rsid w:val="006A1E9A"/>
    <w:rsid w:val="006A1FB3"/>
    <w:rsid w:val="006A1FB6"/>
    <w:rsid w:val="006A216F"/>
    <w:rsid w:val="006A2312"/>
    <w:rsid w:val="006A231B"/>
    <w:rsid w:val="006A23C9"/>
    <w:rsid w:val="006A25BD"/>
    <w:rsid w:val="006A26E7"/>
    <w:rsid w:val="006A28C9"/>
    <w:rsid w:val="006A290B"/>
    <w:rsid w:val="006A29C2"/>
    <w:rsid w:val="006A2B69"/>
    <w:rsid w:val="006A2D0A"/>
    <w:rsid w:val="006A2F48"/>
    <w:rsid w:val="006A309A"/>
    <w:rsid w:val="006A3476"/>
    <w:rsid w:val="006A357B"/>
    <w:rsid w:val="006A3891"/>
    <w:rsid w:val="006A3980"/>
    <w:rsid w:val="006A3D2C"/>
    <w:rsid w:val="006A3E8E"/>
    <w:rsid w:val="006A3FDD"/>
    <w:rsid w:val="006A4025"/>
    <w:rsid w:val="006A4093"/>
    <w:rsid w:val="006A40D2"/>
    <w:rsid w:val="006A411A"/>
    <w:rsid w:val="006A420C"/>
    <w:rsid w:val="006A42A4"/>
    <w:rsid w:val="006A42C7"/>
    <w:rsid w:val="006A42F0"/>
    <w:rsid w:val="006A4339"/>
    <w:rsid w:val="006A43F4"/>
    <w:rsid w:val="006A4565"/>
    <w:rsid w:val="006A461D"/>
    <w:rsid w:val="006A46BA"/>
    <w:rsid w:val="006A481E"/>
    <w:rsid w:val="006A4A6B"/>
    <w:rsid w:val="006A4A6E"/>
    <w:rsid w:val="006A4A89"/>
    <w:rsid w:val="006A4B54"/>
    <w:rsid w:val="006A4D59"/>
    <w:rsid w:val="006A4DE8"/>
    <w:rsid w:val="006A512A"/>
    <w:rsid w:val="006A518F"/>
    <w:rsid w:val="006A527F"/>
    <w:rsid w:val="006A5540"/>
    <w:rsid w:val="006A565D"/>
    <w:rsid w:val="006A5718"/>
    <w:rsid w:val="006A5798"/>
    <w:rsid w:val="006A5876"/>
    <w:rsid w:val="006A595A"/>
    <w:rsid w:val="006A5B26"/>
    <w:rsid w:val="006A5BC3"/>
    <w:rsid w:val="006A5C0A"/>
    <w:rsid w:val="006A5CA2"/>
    <w:rsid w:val="006A5CDE"/>
    <w:rsid w:val="006A5D7E"/>
    <w:rsid w:val="006A5E30"/>
    <w:rsid w:val="006A5F32"/>
    <w:rsid w:val="006A6085"/>
    <w:rsid w:val="006A61A4"/>
    <w:rsid w:val="006A61BF"/>
    <w:rsid w:val="006A6279"/>
    <w:rsid w:val="006A62CB"/>
    <w:rsid w:val="006A639C"/>
    <w:rsid w:val="006A63B8"/>
    <w:rsid w:val="006A66E7"/>
    <w:rsid w:val="006A6713"/>
    <w:rsid w:val="006A678C"/>
    <w:rsid w:val="006A6A23"/>
    <w:rsid w:val="006A6A95"/>
    <w:rsid w:val="006A6AAC"/>
    <w:rsid w:val="006A6B40"/>
    <w:rsid w:val="006A6B83"/>
    <w:rsid w:val="006A6D8E"/>
    <w:rsid w:val="006A715D"/>
    <w:rsid w:val="006A7228"/>
    <w:rsid w:val="006A725A"/>
    <w:rsid w:val="006A72E6"/>
    <w:rsid w:val="006A74F8"/>
    <w:rsid w:val="006A7520"/>
    <w:rsid w:val="006A7567"/>
    <w:rsid w:val="006A7620"/>
    <w:rsid w:val="006A790D"/>
    <w:rsid w:val="006A794B"/>
    <w:rsid w:val="006A7999"/>
    <w:rsid w:val="006A7A02"/>
    <w:rsid w:val="006A7A2C"/>
    <w:rsid w:val="006A7A33"/>
    <w:rsid w:val="006A7B76"/>
    <w:rsid w:val="006A7C80"/>
    <w:rsid w:val="006A7C86"/>
    <w:rsid w:val="006A7F03"/>
    <w:rsid w:val="006B007A"/>
    <w:rsid w:val="006B008F"/>
    <w:rsid w:val="006B0135"/>
    <w:rsid w:val="006B0226"/>
    <w:rsid w:val="006B033B"/>
    <w:rsid w:val="006B0429"/>
    <w:rsid w:val="006B0470"/>
    <w:rsid w:val="006B0655"/>
    <w:rsid w:val="006B0930"/>
    <w:rsid w:val="006B0940"/>
    <w:rsid w:val="006B09D9"/>
    <w:rsid w:val="006B0A64"/>
    <w:rsid w:val="006B0BCB"/>
    <w:rsid w:val="006B0C08"/>
    <w:rsid w:val="006B0C26"/>
    <w:rsid w:val="006B0C90"/>
    <w:rsid w:val="006B0F94"/>
    <w:rsid w:val="006B1047"/>
    <w:rsid w:val="006B10DD"/>
    <w:rsid w:val="006B1275"/>
    <w:rsid w:val="006B1377"/>
    <w:rsid w:val="006B13AE"/>
    <w:rsid w:val="006B16BA"/>
    <w:rsid w:val="006B17A8"/>
    <w:rsid w:val="006B1832"/>
    <w:rsid w:val="006B1A56"/>
    <w:rsid w:val="006B1B02"/>
    <w:rsid w:val="006B1B2A"/>
    <w:rsid w:val="006B1C28"/>
    <w:rsid w:val="006B1EA5"/>
    <w:rsid w:val="006B1F2E"/>
    <w:rsid w:val="006B1F61"/>
    <w:rsid w:val="006B2190"/>
    <w:rsid w:val="006B23A9"/>
    <w:rsid w:val="006B25C3"/>
    <w:rsid w:val="006B263E"/>
    <w:rsid w:val="006B2689"/>
    <w:rsid w:val="006B26A6"/>
    <w:rsid w:val="006B27BC"/>
    <w:rsid w:val="006B2C5A"/>
    <w:rsid w:val="006B2C95"/>
    <w:rsid w:val="006B2CF6"/>
    <w:rsid w:val="006B2DB9"/>
    <w:rsid w:val="006B2F6D"/>
    <w:rsid w:val="006B3025"/>
    <w:rsid w:val="006B3353"/>
    <w:rsid w:val="006B33DA"/>
    <w:rsid w:val="006B34DE"/>
    <w:rsid w:val="006B36E3"/>
    <w:rsid w:val="006B379E"/>
    <w:rsid w:val="006B386A"/>
    <w:rsid w:val="006B3B37"/>
    <w:rsid w:val="006B3B44"/>
    <w:rsid w:val="006B3C44"/>
    <w:rsid w:val="006B3D68"/>
    <w:rsid w:val="006B3EF9"/>
    <w:rsid w:val="006B3F19"/>
    <w:rsid w:val="006B4163"/>
    <w:rsid w:val="006B43AF"/>
    <w:rsid w:val="006B448E"/>
    <w:rsid w:val="006B4570"/>
    <w:rsid w:val="006B485A"/>
    <w:rsid w:val="006B4BB9"/>
    <w:rsid w:val="006B4C7C"/>
    <w:rsid w:val="006B4CA8"/>
    <w:rsid w:val="006B4CC0"/>
    <w:rsid w:val="006B4DD0"/>
    <w:rsid w:val="006B4FF4"/>
    <w:rsid w:val="006B5141"/>
    <w:rsid w:val="006B51CB"/>
    <w:rsid w:val="006B5225"/>
    <w:rsid w:val="006B52E9"/>
    <w:rsid w:val="006B53C9"/>
    <w:rsid w:val="006B55D5"/>
    <w:rsid w:val="006B5BDA"/>
    <w:rsid w:val="006B5CF2"/>
    <w:rsid w:val="006B5D34"/>
    <w:rsid w:val="006B600C"/>
    <w:rsid w:val="006B61B6"/>
    <w:rsid w:val="006B635C"/>
    <w:rsid w:val="006B66CA"/>
    <w:rsid w:val="006B675F"/>
    <w:rsid w:val="006B6805"/>
    <w:rsid w:val="006B685C"/>
    <w:rsid w:val="006B68C7"/>
    <w:rsid w:val="006B6ACC"/>
    <w:rsid w:val="006B6B97"/>
    <w:rsid w:val="006B6C68"/>
    <w:rsid w:val="006B6C8B"/>
    <w:rsid w:val="006B6CD0"/>
    <w:rsid w:val="006B6D7F"/>
    <w:rsid w:val="006B6E4C"/>
    <w:rsid w:val="006B72B8"/>
    <w:rsid w:val="006B72CE"/>
    <w:rsid w:val="006B7392"/>
    <w:rsid w:val="006B73BF"/>
    <w:rsid w:val="006B73EE"/>
    <w:rsid w:val="006B75D6"/>
    <w:rsid w:val="006B79F2"/>
    <w:rsid w:val="006B7A0C"/>
    <w:rsid w:val="006B7A6F"/>
    <w:rsid w:val="006B7BA8"/>
    <w:rsid w:val="006B7C54"/>
    <w:rsid w:val="006B7F20"/>
    <w:rsid w:val="006C007B"/>
    <w:rsid w:val="006C02E7"/>
    <w:rsid w:val="006C03C7"/>
    <w:rsid w:val="006C04BB"/>
    <w:rsid w:val="006C055A"/>
    <w:rsid w:val="006C05DB"/>
    <w:rsid w:val="006C07A2"/>
    <w:rsid w:val="006C07C3"/>
    <w:rsid w:val="006C0C2F"/>
    <w:rsid w:val="006C0ECD"/>
    <w:rsid w:val="006C0F43"/>
    <w:rsid w:val="006C11A0"/>
    <w:rsid w:val="006C11A6"/>
    <w:rsid w:val="006C1438"/>
    <w:rsid w:val="006C1583"/>
    <w:rsid w:val="006C1735"/>
    <w:rsid w:val="006C179A"/>
    <w:rsid w:val="006C1ACC"/>
    <w:rsid w:val="006C2007"/>
    <w:rsid w:val="006C20AC"/>
    <w:rsid w:val="006C2427"/>
    <w:rsid w:val="006C2434"/>
    <w:rsid w:val="006C255B"/>
    <w:rsid w:val="006C26CE"/>
    <w:rsid w:val="006C2796"/>
    <w:rsid w:val="006C29E2"/>
    <w:rsid w:val="006C2A79"/>
    <w:rsid w:val="006C2E14"/>
    <w:rsid w:val="006C2F48"/>
    <w:rsid w:val="006C2F81"/>
    <w:rsid w:val="006C3370"/>
    <w:rsid w:val="006C34B3"/>
    <w:rsid w:val="006C357A"/>
    <w:rsid w:val="006C35D9"/>
    <w:rsid w:val="006C3620"/>
    <w:rsid w:val="006C36AC"/>
    <w:rsid w:val="006C3715"/>
    <w:rsid w:val="006C373C"/>
    <w:rsid w:val="006C3921"/>
    <w:rsid w:val="006C3AAF"/>
    <w:rsid w:val="006C3AC8"/>
    <w:rsid w:val="006C3D07"/>
    <w:rsid w:val="006C3EF4"/>
    <w:rsid w:val="006C40F8"/>
    <w:rsid w:val="006C41A7"/>
    <w:rsid w:val="006C425C"/>
    <w:rsid w:val="006C44BF"/>
    <w:rsid w:val="006C4515"/>
    <w:rsid w:val="006C45EA"/>
    <w:rsid w:val="006C4780"/>
    <w:rsid w:val="006C4878"/>
    <w:rsid w:val="006C4B14"/>
    <w:rsid w:val="006C4B94"/>
    <w:rsid w:val="006C4BA0"/>
    <w:rsid w:val="006C4BE6"/>
    <w:rsid w:val="006C4E06"/>
    <w:rsid w:val="006C4F16"/>
    <w:rsid w:val="006C4FC1"/>
    <w:rsid w:val="006C4FD9"/>
    <w:rsid w:val="006C509F"/>
    <w:rsid w:val="006C510D"/>
    <w:rsid w:val="006C5190"/>
    <w:rsid w:val="006C5198"/>
    <w:rsid w:val="006C5200"/>
    <w:rsid w:val="006C5274"/>
    <w:rsid w:val="006C52C8"/>
    <w:rsid w:val="006C5611"/>
    <w:rsid w:val="006C5BDB"/>
    <w:rsid w:val="006C5E14"/>
    <w:rsid w:val="006C6053"/>
    <w:rsid w:val="006C60FD"/>
    <w:rsid w:val="006C6278"/>
    <w:rsid w:val="006C6341"/>
    <w:rsid w:val="006C6500"/>
    <w:rsid w:val="006C661E"/>
    <w:rsid w:val="006C6675"/>
    <w:rsid w:val="006C67CD"/>
    <w:rsid w:val="006C681F"/>
    <w:rsid w:val="006C6B66"/>
    <w:rsid w:val="006C6BC7"/>
    <w:rsid w:val="006C6C0F"/>
    <w:rsid w:val="006C6C37"/>
    <w:rsid w:val="006C6D9C"/>
    <w:rsid w:val="006C6FE7"/>
    <w:rsid w:val="006C7476"/>
    <w:rsid w:val="006C758E"/>
    <w:rsid w:val="006C761C"/>
    <w:rsid w:val="006C76B4"/>
    <w:rsid w:val="006C76FD"/>
    <w:rsid w:val="006C774E"/>
    <w:rsid w:val="006C7820"/>
    <w:rsid w:val="006C786D"/>
    <w:rsid w:val="006C799B"/>
    <w:rsid w:val="006C7C13"/>
    <w:rsid w:val="006C7D15"/>
    <w:rsid w:val="006C7F35"/>
    <w:rsid w:val="006C7F6D"/>
    <w:rsid w:val="006C7FEE"/>
    <w:rsid w:val="006D0199"/>
    <w:rsid w:val="006D01AE"/>
    <w:rsid w:val="006D02C4"/>
    <w:rsid w:val="006D05DF"/>
    <w:rsid w:val="006D071A"/>
    <w:rsid w:val="006D0986"/>
    <w:rsid w:val="006D0A39"/>
    <w:rsid w:val="006D0AAE"/>
    <w:rsid w:val="006D0B1F"/>
    <w:rsid w:val="006D0D29"/>
    <w:rsid w:val="006D0EBD"/>
    <w:rsid w:val="006D0F7D"/>
    <w:rsid w:val="006D0FDD"/>
    <w:rsid w:val="006D0FDF"/>
    <w:rsid w:val="006D1073"/>
    <w:rsid w:val="006D10C1"/>
    <w:rsid w:val="006D11DB"/>
    <w:rsid w:val="006D125F"/>
    <w:rsid w:val="006D1264"/>
    <w:rsid w:val="006D143C"/>
    <w:rsid w:val="006D1465"/>
    <w:rsid w:val="006D14BB"/>
    <w:rsid w:val="006D152C"/>
    <w:rsid w:val="006D1674"/>
    <w:rsid w:val="006D1895"/>
    <w:rsid w:val="006D1A31"/>
    <w:rsid w:val="006D1D4C"/>
    <w:rsid w:val="006D1DF6"/>
    <w:rsid w:val="006D1E8D"/>
    <w:rsid w:val="006D1EFC"/>
    <w:rsid w:val="006D20D3"/>
    <w:rsid w:val="006D218A"/>
    <w:rsid w:val="006D2375"/>
    <w:rsid w:val="006D241A"/>
    <w:rsid w:val="006D2592"/>
    <w:rsid w:val="006D2640"/>
    <w:rsid w:val="006D287C"/>
    <w:rsid w:val="006D28E9"/>
    <w:rsid w:val="006D28FE"/>
    <w:rsid w:val="006D2B66"/>
    <w:rsid w:val="006D3042"/>
    <w:rsid w:val="006D3160"/>
    <w:rsid w:val="006D3377"/>
    <w:rsid w:val="006D3449"/>
    <w:rsid w:val="006D3773"/>
    <w:rsid w:val="006D3869"/>
    <w:rsid w:val="006D38AF"/>
    <w:rsid w:val="006D3A39"/>
    <w:rsid w:val="006D3B77"/>
    <w:rsid w:val="006D3CA1"/>
    <w:rsid w:val="006D40C6"/>
    <w:rsid w:val="006D41AB"/>
    <w:rsid w:val="006D423F"/>
    <w:rsid w:val="006D4286"/>
    <w:rsid w:val="006D4341"/>
    <w:rsid w:val="006D442E"/>
    <w:rsid w:val="006D45B0"/>
    <w:rsid w:val="006D45E7"/>
    <w:rsid w:val="006D48E6"/>
    <w:rsid w:val="006D48F2"/>
    <w:rsid w:val="006D4901"/>
    <w:rsid w:val="006D4A89"/>
    <w:rsid w:val="006D4A9D"/>
    <w:rsid w:val="006D4B62"/>
    <w:rsid w:val="006D4E9D"/>
    <w:rsid w:val="006D4EBF"/>
    <w:rsid w:val="006D4EF0"/>
    <w:rsid w:val="006D4FE9"/>
    <w:rsid w:val="006D5161"/>
    <w:rsid w:val="006D517B"/>
    <w:rsid w:val="006D51C4"/>
    <w:rsid w:val="006D5554"/>
    <w:rsid w:val="006D576A"/>
    <w:rsid w:val="006D578B"/>
    <w:rsid w:val="006D579B"/>
    <w:rsid w:val="006D58D6"/>
    <w:rsid w:val="006D59D1"/>
    <w:rsid w:val="006D59F3"/>
    <w:rsid w:val="006D5AC3"/>
    <w:rsid w:val="006D5C0B"/>
    <w:rsid w:val="006D5C84"/>
    <w:rsid w:val="006D5D12"/>
    <w:rsid w:val="006D5E62"/>
    <w:rsid w:val="006D5F32"/>
    <w:rsid w:val="006D6236"/>
    <w:rsid w:val="006D6285"/>
    <w:rsid w:val="006D62A0"/>
    <w:rsid w:val="006D641E"/>
    <w:rsid w:val="006D64AC"/>
    <w:rsid w:val="006D6615"/>
    <w:rsid w:val="006D6858"/>
    <w:rsid w:val="006D686F"/>
    <w:rsid w:val="006D6ADD"/>
    <w:rsid w:val="006D6AE2"/>
    <w:rsid w:val="006D6B39"/>
    <w:rsid w:val="006D6DCF"/>
    <w:rsid w:val="006D6E58"/>
    <w:rsid w:val="006D6F47"/>
    <w:rsid w:val="006D709B"/>
    <w:rsid w:val="006D71A5"/>
    <w:rsid w:val="006D7316"/>
    <w:rsid w:val="006D752C"/>
    <w:rsid w:val="006D7575"/>
    <w:rsid w:val="006D7590"/>
    <w:rsid w:val="006D76CC"/>
    <w:rsid w:val="006D79DA"/>
    <w:rsid w:val="006D7F00"/>
    <w:rsid w:val="006D7F6F"/>
    <w:rsid w:val="006E0003"/>
    <w:rsid w:val="006E0188"/>
    <w:rsid w:val="006E0252"/>
    <w:rsid w:val="006E040C"/>
    <w:rsid w:val="006E04C6"/>
    <w:rsid w:val="006E04D9"/>
    <w:rsid w:val="006E0627"/>
    <w:rsid w:val="006E0831"/>
    <w:rsid w:val="006E0936"/>
    <w:rsid w:val="006E098E"/>
    <w:rsid w:val="006E0A0B"/>
    <w:rsid w:val="006E0A8C"/>
    <w:rsid w:val="006E0F6E"/>
    <w:rsid w:val="006E0F94"/>
    <w:rsid w:val="006E1004"/>
    <w:rsid w:val="006E1145"/>
    <w:rsid w:val="006E124E"/>
    <w:rsid w:val="006E1505"/>
    <w:rsid w:val="006E1527"/>
    <w:rsid w:val="006E15F4"/>
    <w:rsid w:val="006E161E"/>
    <w:rsid w:val="006E16B1"/>
    <w:rsid w:val="006E184E"/>
    <w:rsid w:val="006E189C"/>
    <w:rsid w:val="006E18B8"/>
    <w:rsid w:val="006E1AF5"/>
    <w:rsid w:val="006E1D07"/>
    <w:rsid w:val="006E1EB8"/>
    <w:rsid w:val="006E2076"/>
    <w:rsid w:val="006E21AB"/>
    <w:rsid w:val="006E21F4"/>
    <w:rsid w:val="006E2230"/>
    <w:rsid w:val="006E2264"/>
    <w:rsid w:val="006E2522"/>
    <w:rsid w:val="006E26D3"/>
    <w:rsid w:val="006E26DA"/>
    <w:rsid w:val="006E26FE"/>
    <w:rsid w:val="006E2753"/>
    <w:rsid w:val="006E2B30"/>
    <w:rsid w:val="006E2C42"/>
    <w:rsid w:val="006E2C7D"/>
    <w:rsid w:val="006E2DDC"/>
    <w:rsid w:val="006E2EBC"/>
    <w:rsid w:val="006E2FD3"/>
    <w:rsid w:val="006E30A2"/>
    <w:rsid w:val="006E3211"/>
    <w:rsid w:val="006E346E"/>
    <w:rsid w:val="006E3904"/>
    <w:rsid w:val="006E3926"/>
    <w:rsid w:val="006E399E"/>
    <w:rsid w:val="006E39C7"/>
    <w:rsid w:val="006E3ADE"/>
    <w:rsid w:val="006E3B80"/>
    <w:rsid w:val="006E3CF1"/>
    <w:rsid w:val="006E3E2A"/>
    <w:rsid w:val="006E4189"/>
    <w:rsid w:val="006E41D2"/>
    <w:rsid w:val="006E42AC"/>
    <w:rsid w:val="006E42BB"/>
    <w:rsid w:val="006E4363"/>
    <w:rsid w:val="006E444D"/>
    <w:rsid w:val="006E45DA"/>
    <w:rsid w:val="006E46AC"/>
    <w:rsid w:val="006E489B"/>
    <w:rsid w:val="006E48E5"/>
    <w:rsid w:val="006E48F3"/>
    <w:rsid w:val="006E4924"/>
    <w:rsid w:val="006E49BE"/>
    <w:rsid w:val="006E4B0C"/>
    <w:rsid w:val="006E5497"/>
    <w:rsid w:val="006E54BD"/>
    <w:rsid w:val="006E54EE"/>
    <w:rsid w:val="006E5554"/>
    <w:rsid w:val="006E5756"/>
    <w:rsid w:val="006E57F8"/>
    <w:rsid w:val="006E5918"/>
    <w:rsid w:val="006E5985"/>
    <w:rsid w:val="006E5B01"/>
    <w:rsid w:val="006E5BA5"/>
    <w:rsid w:val="006E5C91"/>
    <w:rsid w:val="006E5E47"/>
    <w:rsid w:val="006E5E7B"/>
    <w:rsid w:val="006E6366"/>
    <w:rsid w:val="006E6398"/>
    <w:rsid w:val="006E679A"/>
    <w:rsid w:val="006E67E1"/>
    <w:rsid w:val="006E6A88"/>
    <w:rsid w:val="006E6B96"/>
    <w:rsid w:val="006E6EA2"/>
    <w:rsid w:val="006E6EAC"/>
    <w:rsid w:val="006E6EE2"/>
    <w:rsid w:val="006E6FD2"/>
    <w:rsid w:val="006E70FC"/>
    <w:rsid w:val="006E7323"/>
    <w:rsid w:val="006E76C6"/>
    <w:rsid w:val="006E7734"/>
    <w:rsid w:val="006E7842"/>
    <w:rsid w:val="006E7958"/>
    <w:rsid w:val="006E7C04"/>
    <w:rsid w:val="006E7D63"/>
    <w:rsid w:val="006E7F61"/>
    <w:rsid w:val="006F0100"/>
    <w:rsid w:val="006F0359"/>
    <w:rsid w:val="006F048C"/>
    <w:rsid w:val="006F0568"/>
    <w:rsid w:val="006F0651"/>
    <w:rsid w:val="006F07DB"/>
    <w:rsid w:val="006F0801"/>
    <w:rsid w:val="006F0802"/>
    <w:rsid w:val="006F0806"/>
    <w:rsid w:val="006F0A1C"/>
    <w:rsid w:val="006F0B85"/>
    <w:rsid w:val="006F0BFB"/>
    <w:rsid w:val="006F0C7C"/>
    <w:rsid w:val="006F0C8C"/>
    <w:rsid w:val="006F0CFC"/>
    <w:rsid w:val="006F0F30"/>
    <w:rsid w:val="006F0FC5"/>
    <w:rsid w:val="006F115F"/>
    <w:rsid w:val="006F14BE"/>
    <w:rsid w:val="006F1683"/>
    <w:rsid w:val="006F1A28"/>
    <w:rsid w:val="006F1B34"/>
    <w:rsid w:val="006F1CC1"/>
    <w:rsid w:val="006F1E6C"/>
    <w:rsid w:val="006F1E95"/>
    <w:rsid w:val="006F1EE9"/>
    <w:rsid w:val="006F2041"/>
    <w:rsid w:val="006F21C5"/>
    <w:rsid w:val="006F21EC"/>
    <w:rsid w:val="006F2246"/>
    <w:rsid w:val="006F2298"/>
    <w:rsid w:val="006F22B5"/>
    <w:rsid w:val="006F2305"/>
    <w:rsid w:val="006F2698"/>
    <w:rsid w:val="006F27E8"/>
    <w:rsid w:val="006F28AB"/>
    <w:rsid w:val="006F2918"/>
    <w:rsid w:val="006F294F"/>
    <w:rsid w:val="006F2A0F"/>
    <w:rsid w:val="006F2C77"/>
    <w:rsid w:val="006F2D84"/>
    <w:rsid w:val="006F2E77"/>
    <w:rsid w:val="006F3071"/>
    <w:rsid w:val="006F307C"/>
    <w:rsid w:val="006F33C3"/>
    <w:rsid w:val="006F3411"/>
    <w:rsid w:val="006F3499"/>
    <w:rsid w:val="006F3736"/>
    <w:rsid w:val="006F37B8"/>
    <w:rsid w:val="006F37CA"/>
    <w:rsid w:val="006F37DB"/>
    <w:rsid w:val="006F3801"/>
    <w:rsid w:val="006F38F1"/>
    <w:rsid w:val="006F3A10"/>
    <w:rsid w:val="006F3A1C"/>
    <w:rsid w:val="006F3AD1"/>
    <w:rsid w:val="006F3B69"/>
    <w:rsid w:val="006F3BB3"/>
    <w:rsid w:val="006F3CC4"/>
    <w:rsid w:val="006F3D4D"/>
    <w:rsid w:val="006F3DE6"/>
    <w:rsid w:val="006F4169"/>
    <w:rsid w:val="006F42D1"/>
    <w:rsid w:val="006F4378"/>
    <w:rsid w:val="006F447D"/>
    <w:rsid w:val="006F44A8"/>
    <w:rsid w:val="006F45F4"/>
    <w:rsid w:val="006F49DE"/>
    <w:rsid w:val="006F4BFA"/>
    <w:rsid w:val="006F4DA3"/>
    <w:rsid w:val="006F4FB4"/>
    <w:rsid w:val="006F5207"/>
    <w:rsid w:val="006F525C"/>
    <w:rsid w:val="006F5304"/>
    <w:rsid w:val="006F53E9"/>
    <w:rsid w:val="006F5476"/>
    <w:rsid w:val="006F5539"/>
    <w:rsid w:val="006F588A"/>
    <w:rsid w:val="006F5BF4"/>
    <w:rsid w:val="006F5D5F"/>
    <w:rsid w:val="006F5DF7"/>
    <w:rsid w:val="006F5F33"/>
    <w:rsid w:val="006F5F84"/>
    <w:rsid w:val="006F6161"/>
    <w:rsid w:val="006F61E0"/>
    <w:rsid w:val="006F6551"/>
    <w:rsid w:val="006F6574"/>
    <w:rsid w:val="006F65BB"/>
    <w:rsid w:val="006F67F5"/>
    <w:rsid w:val="006F6900"/>
    <w:rsid w:val="006F697E"/>
    <w:rsid w:val="006F6BD8"/>
    <w:rsid w:val="006F6C17"/>
    <w:rsid w:val="006F6D25"/>
    <w:rsid w:val="006F6DBA"/>
    <w:rsid w:val="006F6E1E"/>
    <w:rsid w:val="006F6E76"/>
    <w:rsid w:val="006F6EA2"/>
    <w:rsid w:val="006F6FB2"/>
    <w:rsid w:val="006F706E"/>
    <w:rsid w:val="006F70D0"/>
    <w:rsid w:val="006F7281"/>
    <w:rsid w:val="006F72A6"/>
    <w:rsid w:val="006F72A7"/>
    <w:rsid w:val="006F72AA"/>
    <w:rsid w:val="006F72C5"/>
    <w:rsid w:val="006F7403"/>
    <w:rsid w:val="006F7731"/>
    <w:rsid w:val="006F7797"/>
    <w:rsid w:val="006F790A"/>
    <w:rsid w:val="006F79CF"/>
    <w:rsid w:val="006F7A67"/>
    <w:rsid w:val="006F7A75"/>
    <w:rsid w:val="006F7B17"/>
    <w:rsid w:val="006F7B26"/>
    <w:rsid w:val="006F7CDC"/>
    <w:rsid w:val="006F7E9D"/>
    <w:rsid w:val="006F7F2D"/>
    <w:rsid w:val="006F7F9F"/>
    <w:rsid w:val="00700459"/>
    <w:rsid w:val="00700464"/>
    <w:rsid w:val="00700699"/>
    <w:rsid w:val="007006D1"/>
    <w:rsid w:val="007007C8"/>
    <w:rsid w:val="007007CD"/>
    <w:rsid w:val="007007F2"/>
    <w:rsid w:val="007008FE"/>
    <w:rsid w:val="007009C0"/>
    <w:rsid w:val="00700BD7"/>
    <w:rsid w:val="00700CC0"/>
    <w:rsid w:val="00700D8A"/>
    <w:rsid w:val="00700DDB"/>
    <w:rsid w:val="00700FCE"/>
    <w:rsid w:val="0070103A"/>
    <w:rsid w:val="00701095"/>
    <w:rsid w:val="007010D7"/>
    <w:rsid w:val="007014CE"/>
    <w:rsid w:val="0070150F"/>
    <w:rsid w:val="00701682"/>
    <w:rsid w:val="007016A3"/>
    <w:rsid w:val="007017C2"/>
    <w:rsid w:val="007018C8"/>
    <w:rsid w:val="00701A3A"/>
    <w:rsid w:val="00701ADB"/>
    <w:rsid w:val="00701B3E"/>
    <w:rsid w:val="00701BD0"/>
    <w:rsid w:val="00701C20"/>
    <w:rsid w:val="00701D42"/>
    <w:rsid w:val="00702401"/>
    <w:rsid w:val="00702423"/>
    <w:rsid w:val="007026BA"/>
    <w:rsid w:val="00702795"/>
    <w:rsid w:val="0070287E"/>
    <w:rsid w:val="0070289F"/>
    <w:rsid w:val="007029FD"/>
    <w:rsid w:val="00702A0E"/>
    <w:rsid w:val="00702A26"/>
    <w:rsid w:val="00702AAA"/>
    <w:rsid w:val="00702B22"/>
    <w:rsid w:val="00702D79"/>
    <w:rsid w:val="00702F62"/>
    <w:rsid w:val="0070348D"/>
    <w:rsid w:val="007035BC"/>
    <w:rsid w:val="007038C0"/>
    <w:rsid w:val="007039B5"/>
    <w:rsid w:val="007039EB"/>
    <w:rsid w:val="00703F16"/>
    <w:rsid w:val="00703FC7"/>
    <w:rsid w:val="0070411C"/>
    <w:rsid w:val="0070418F"/>
    <w:rsid w:val="0070433B"/>
    <w:rsid w:val="007044E4"/>
    <w:rsid w:val="00704605"/>
    <w:rsid w:val="00704717"/>
    <w:rsid w:val="007047B5"/>
    <w:rsid w:val="00704BA7"/>
    <w:rsid w:val="00704C93"/>
    <w:rsid w:val="00704FAD"/>
    <w:rsid w:val="0070515A"/>
    <w:rsid w:val="00705160"/>
    <w:rsid w:val="00705233"/>
    <w:rsid w:val="007052A6"/>
    <w:rsid w:val="0070556F"/>
    <w:rsid w:val="007056FE"/>
    <w:rsid w:val="00705BB6"/>
    <w:rsid w:val="00705C8F"/>
    <w:rsid w:val="00705FEF"/>
    <w:rsid w:val="0070621D"/>
    <w:rsid w:val="00706382"/>
    <w:rsid w:val="00706459"/>
    <w:rsid w:val="007065A8"/>
    <w:rsid w:val="00706628"/>
    <w:rsid w:val="007067BE"/>
    <w:rsid w:val="00706921"/>
    <w:rsid w:val="00706981"/>
    <w:rsid w:val="007069D1"/>
    <w:rsid w:val="00706AC4"/>
    <w:rsid w:val="00706AE0"/>
    <w:rsid w:val="00706B5F"/>
    <w:rsid w:val="00706C38"/>
    <w:rsid w:val="00706CCA"/>
    <w:rsid w:val="00706D44"/>
    <w:rsid w:val="00706DA6"/>
    <w:rsid w:val="00706EAF"/>
    <w:rsid w:val="00707027"/>
    <w:rsid w:val="0070707B"/>
    <w:rsid w:val="007074B0"/>
    <w:rsid w:val="007074B1"/>
    <w:rsid w:val="0070775B"/>
    <w:rsid w:val="007078E8"/>
    <w:rsid w:val="00707A4E"/>
    <w:rsid w:val="00707E0F"/>
    <w:rsid w:val="00707E24"/>
    <w:rsid w:val="00710029"/>
    <w:rsid w:val="007104D2"/>
    <w:rsid w:val="00710542"/>
    <w:rsid w:val="007106C1"/>
    <w:rsid w:val="00710A35"/>
    <w:rsid w:val="00710A3F"/>
    <w:rsid w:val="00710D8B"/>
    <w:rsid w:val="00710F2E"/>
    <w:rsid w:val="00710F41"/>
    <w:rsid w:val="00710FDA"/>
    <w:rsid w:val="007111FD"/>
    <w:rsid w:val="007113C0"/>
    <w:rsid w:val="0071149E"/>
    <w:rsid w:val="0071150E"/>
    <w:rsid w:val="007116B1"/>
    <w:rsid w:val="007119A8"/>
    <w:rsid w:val="007119F7"/>
    <w:rsid w:val="00711A24"/>
    <w:rsid w:val="00711AA9"/>
    <w:rsid w:val="00711B6B"/>
    <w:rsid w:val="00711BA9"/>
    <w:rsid w:val="00711BB0"/>
    <w:rsid w:val="00711C69"/>
    <w:rsid w:val="00711F20"/>
    <w:rsid w:val="00711FF1"/>
    <w:rsid w:val="00712097"/>
    <w:rsid w:val="0071212B"/>
    <w:rsid w:val="0071219F"/>
    <w:rsid w:val="0071231C"/>
    <w:rsid w:val="00712361"/>
    <w:rsid w:val="00712376"/>
    <w:rsid w:val="0071246C"/>
    <w:rsid w:val="00712629"/>
    <w:rsid w:val="007126E5"/>
    <w:rsid w:val="00712797"/>
    <w:rsid w:val="0071285D"/>
    <w:rsid w:val="00712951"/>
    <w:rsid w:val="00712C77"/>
    <w:rsid w:val="00712D02"/>
    <w:rsid w:val="00712D91"/>
    <w:rsid w:val="00712DA2"/>
    <w:rsid w:val="00712DFF"/>
    <w:rsid w:val="00712E31"/>
    <w:rsid w:val="00712E9A"/>
    <w:rsid w:val="00712FB2"/>
    <w:rsid w:val="007130A2"/>
    <w:rsid w:val="007136CF"/>
    <w:rsid w:val="007137EF"/>
    <w:rsid w:val="007138CA"/>
    <w:rsid w:val="00713913"/>
    <w:rsid w:val="00713938"/>
    <w:rsid w:val="00713B40"/>
    <w:rsid w:val="00713C28"/>
    <w:rsid w:val="00713D07"/>
    <w:rsid w:val="00713D77"/>
    <w:rsid w:val="00713E5E"/>
    <w:rsid w:val="00713E94"/>
    <w:rsid w:val="00713EB7"/>
    <w:rsid w:val="00713EC3"/>
    <w:rsid w:val="00713F68"/>
    <w:rsid w:val="00714154"/>
    <w:rsid w:val="007142EA"/>
    <w:rsid w:val="00714375"/>
    <w:rsid w:val="00714533"/>
    <w:rsid w:val="00714901"/>
    <w:rsid w:val="0071498A"/>
    <w:rsid w:val="00714BF0"/>
    <w:rsid w:val="00714C68"/>
    <w:rsid w:val="00714DA9"/>
    <w:rsid w:val="00714EEF"/>
    <w:rsid w:val="00715022"/>
    <w:rsid w:val="0071505B"/>
    <w:rsid w:val="007150E8"/>
    <w:rsid w:val="00715573"/>
    <w:rsid w:val="0071575C"/>
    <w:rsid w:val="007158FA"/>
    <w:rsid w:val="00715ADE"/>
    <w:rsid w:val="00715B2B"/>
    <w:rsid w:val="00715B48"/>
    <w:rsid w:val="00715BC8"/>
    <w:rsid w:val="00715DF1"/>
    <w:rsid w:val="00715ECB"/>
    <w:rsid w:val="00715F0A"/>
    <w:rsid w:val="007160FA"/>
    <w:rsid w:val="0071630E"/>
    <w:rsid w:val="00716440"/>
    <w:rsid w:val="00716511"/>
    <w:rsid w:val="0071655C"/>
    <w:rsid w:val="00716589"/>
    <w:rsid w:val="00716624"/>
    <w:rsid w:val="0071667E"/>
    <w:rsid w:val="0071676A"/>
    <w:rsid w:val="0071679F"/>
    <w:rsid w:val="007168EE"/>
    <w:rsid w:val="007169CD"/>
    <w:rsid w:val="007169F2"/>
    <w:rsid w:val="00716A82"/>
    <w:rsid w:val="00716C08"/>
    <w:rsid w:val="00716C9D"/>
    <w:rsid w:val="00716D91"/>
    <w:rsid w:val="007170C3"/>
    <w:rsid w:val="007172B1"/>
    <w:rsid w:val="007174B0"/>
    <w:rsid w:val="00717534"/>
    <w:rsid w:val="00717590"/>
    <w:rsid w:val="0071788B"/>
    <w:rsid w:val="007178A8"/>
    <w:rsid w:val="00717A92"/>
    <w:rsid w:val="00717DCE"/>
    <w:rsid w:val="00717E0A"/>
    <w:rsid w:val="00717E5A"/>
    <w:rsid w:val="00717FAF"/>
    <w:rsid w:val="00717FDC"/>
    <w:rsid w:val="00720057"/>
    <w:rsid w:val="00720182"/>
    <w:rsid w:val="00720619"/>
    <w:rsid w:val="007207E5"/>
    <w:rsid w:val="00720981"/>
    <w:rsid w:val="00720A44"/>
    <w:rsid w:val="00720A7E"/>
    <w:rsid w:val="00720B6F"/>
    <w:rsid w:val="00720D29"/>
    <w:rsid w:val="00720DA5"/>
    <w:rsid w:val="00720F59"/>
    <w:rsid w:val="00720F5B"/>
    <w:rsid w:val="00720FA8"/>
    <w:rsid w:val="007211C4"/>
    <w:rsid w:val="007213A4"/>
    <w:rsid w:val="007213AE"/>
    <w:rsid w:val="0072156E"/>
    <w:rsid w:val="007215E0"/>
    <w:rsid w:val="0072165C"/>
    <w:rsid w:val="00721797"/>
    <w:rsid w:val="0072195C"/>
    <w:rsid w:val="007219FD"/>
    <w:rsid w:val="00721A71"/>
    <w:rsid w:val="00721D69"/>
    <w:rsid w:val="00721DA2"/>
    <w:rsid w:val="00721DB5"/>
    <w:rsid w:val="00721E04"/>
    <w:rsid w:val="00721E98"/>
    <w:rsid w:val="0072207E"/>
    <w:rsid w:val="007220A1"/>
    <w:rsid w:val="007220F9"/>
    <w:rsid w:val="0072233F"/>
    <w:rsid w:val="0072235B"/>
    <w:rsid w:val="00722439"/>
    <w:rsid w:val="00722465"/>
    <w:rsid w:val="00722564"/>
    <w:rsid w:val="0072267B"/>
    <w:rsid w:val="00722689"/>
    <w:rsid w:val="0072279C"/>
    <w:rsid w:val="0072282F"/>
    <w:rsid w:val="00722834"/>
    <w:rsid w:val="00722B21"/>
    <w:rsid w:val="00722B26"/>
    <w:rsid w:val="00722C88"/>
    <w:rsid w:val="00722E2F"/>
    <w:rsid w:val="00722E39"/>
    <w:rsid w:val="00722F25"/>
    <w:rsid w:val="0072313F"/>
    <w:rsid w:val="00723246"/>
    <w:rsid w:val="0072326E"/>
    <w:rsid w:val="007232F6"/>
    <w:rsid w:val="007233E4"/>
    <w:rsid w:val="007233E7"/>
    <w:rsid w:val="007235E4"/>
    <w:rsid w:val="0072366F"/>
    <w:rsid w:val="0072373D"/>
    <w:rsid w:val="007238F5"/>
    <w:rsid w:val="00723B2F"/>
    <w:rsid w:val="00723DFF"/>
    <w:rsid w:val="0072443B"/>
    <w:rsid w:val="00724675"/>
    <w:rsid w:val="00724872"/>
    <w:rsid w:val="0072492D"/>
    <w:rsid w:val="00724B8A"/>
    <w:rsid w:val="00724E85"/>
    <w:rsid w:val="00724FEB"/>
    <w:rsid w:val="00725075"/>
    <w:rsid w:val="00725123"/>
    <w:rsid w:val="0072512A"/>
    <w:rsid w:val="00725297"/>
    <w:rsid w:val="00725303"/>
    <w:rsid w:val="007253E4"/>
    <w:rsid w:val="0072542E"/>
    <w:rsid w:val="00725574"/>
    <w:rsid w:val="00725614"/>
    <w:rsid w:val="00725671"/>
    <w:rsid w:val="00725683"/>
    <w:rsid w:val="0072580E"/>
    <w:rsid w:val="007258DA"/>
    <w:rsid w:val="00725E3D"/>
    <w:rsid w:val="0072614B"/>
    <w:rsid w:val="00726189"/>
    <w:rsid w:val="007261FA"/>
    <w:rsid w:val="007263A8"/>
    <w:rsid w:val="007265B4"/>
    <w:rsid w:val="0072687F"/>
    <w:rsid w:val="0072690D"/>
    <w:rsid w:val="007269BC"/>
    <w:rsid w:val="00726A86"/>
    <w:rsid w:val="00726AB8"/>
    <w:rsid w:val="00726BB5"/>
    <w:rsid w:val="00726DB9"/>
    <w:rsid w:val="00726E2B"/>
    <w:rsid w:val="00726FA5"/>
    <w:rsid w:val="00726FDC"/>
    <w:rsid w:val="00727284"/>
    <w:rsid w:val="0072782E"/>
    <w:rsid w:val="0072790E"/>
    <w:rsid w:val="00727922"/>
    <w:rsid w:val="00727B10"/>
    <w:rsid w:val="00727CF4"/>
    <w:rsid w:val="00727CFA"/>
    <w:rsid w:val="00727D04"/>
    <w:rsid w:val="00727DDC"/>
    <w:rsid w:val="00727ECE"/>
    <w:rsid w:val="00730002"/>
    <w:rsid w:val="00730126"/>
    <w:rsid w:val="0073032D"/>
    <w:rsid w:val="0073034D"/>
    <w:rsid w:val="00730694"/>
    <w:rsid w:val="00730710"/>
    <w:rsid w:val="0073084A"/>
    <w:rsid w:val="007309C3"/>
    <w:rsid w:val="007309DB"/>
    <w:rsid w:val="00730A7D"/>
    <w:rsid w:val="00730BDA"/>
    <w:rsid w:val="00730C06"/>
    <w:rsid w:val="00730EC3"/>
    <w:rsid w:val="00731109"/>
    <w:rsid w:val="007313C4"/>
    <w:rsid w:val="0073142B"/>
    <w:rsid w:val="00731450"/>
    <w:rsid w:val="007314FD"/>
    <w:rsid w:val="00731558"/>
    <w:rsid w:val="00731829"/>
    <w:rsid w:val="0073198C"/>
    <w:rsid w:val="00731D40"/>
    <w:rsid w:val="00731DD4"/>
    <w:rsid w:val="00731E57"/>
    <w:rsid w:val="00731F73"/>
    <w:rsid w:val="00732080"/>
    <w:rsid w:val="0073225F"/>
    <w:rsid w:val="007322A2"/>
    <w:rsid w:val="007323AA"/>
    <w:rsid w:val="007323F0"/>
    <w:rsid w:val="00732430"/>
    <w:rsid w:val="007324A4"/>
    <w:rsid w:val="0073283E"/>
    <w:rsid w:val="007328B0"/>
    <w:rsid w:val="007329E0"/>
    <w:rsid w:val="00732BD8"/>
    <w:rsid w:val="00732C08"/>
    <w:rsid w:val="00732CD7"/>
    <w:rsid w:val="00732D85"/>
    <w:rsid w:val="00733129"/>
    <w:rsid w:val="007331F0"/>
    <w:rsid w:val="0073324C"/>
    <w:rsid w:val="007332A4"/>
    <w:rsid w:val="007333C0"/>
    <w:rsid w:val="007334A9"/>
    <w:rsid w:val="007334DC"/>
    <w:rsid w:val="007334F4"/>
    <w:rsid w:val="0073355A"/>
    <w:rsid w:val="00733755"/>
    <w:rsid w:val="007338C4"/>
    <w:rsid w:val="00733D71"/>
    <w:rsid w:val="00733DFF"/>
    <w:rsid w:val="00733E2D"/>
    <w:rsid w:val="00733EF8"/>
    <w:rsid w:val="007340EF"/>
    <w:rsid w:val="0073413E"/>
    <w:rsid w:val="0073415F"/>
    <w:rsid w:val="007341AC"/>
    <w:rsid w:val="00734457"/>
    <w:rsid w:val="007344DA"/>
    <w:rsid w:val="007346B8"/>
    <w:rsid w:val="007346D2"/>
    <w:rsid w:val="0073497F"/>
    <w:rsid w:val="00734985"/>
    <w:rsid w:val="00734D06"/>
    <w:rsid w:val="00734F7A"/>
    <w:rsid w:val="00734FEA"/>
    <w:rsid w:val="00735142"/>
    <w:rsid w:val="00735217"/>
    <w:rsid w:val="0073527E"/>
    <w:rsid w:val="0073533F"/>
    <w:rsid w:val="00735355"/>
    <w:rsid w:val="00735933"/>
    <w:rsid w:val="007359B7"/>
    <w:rsid w:val="007359CC"/>
    <w:rsid w:val="007359F2"/>
    <w:rsid w:val="00735B5B"/>
    <w:rsid w:val="00735B61"/>
    <w:rsid w:val="00735CBD"/>
    <w:rsid w:val="00735CCE"/>
    <w:rsid w:val="00735D18"/>
    <w:rsid w:val="00735F06"/>
    <w:rsid w:val="00735FCE"/>
    <w:rsid w:val="00736026"/>
    <w:rsid w:val="007360EE"/>
    <w:rsid w:val="0073614B"/>
    <w:rsid w:val="007361B3"/>
    <w:rsid w:val="0073628C"/>
    <w:rsid w:val="0073641E"/>
    <w:rsid w:val="00736643"/>
    <w:rsid w:val="00736760"/>
    <w:rsid w:val="00736946"/>
    <w:rsid w:val="00736C05"/>
    <w:rsid w:val="007370C1"/>
    <w:rsid w:val="00737140"/>
    <w:rsid w:val="007371EA"/>
    <w:rsid w:val="0073727D"/>
    <w:rsid w:val="00737334"/>
    <w:rsid w:val="0073741B"/>
    <w:rsid w:val="0073748F"/>
    <w:rsid w:val="00737543"/>
    <w:rsid w:val="00737904"/>
    <w:rsid w:val="00737AAB"/>
    <w:rsid w:val="00737AF5"/>
    <w:rsid w:val="00737B25"/>
    <w:rsid w:val="00737CD2"/>
    <w:rsid w:val="00737D3A"/>
    <w:rsid w:val="00737DDC"/>
    <w:rsid w:val="00737F13"/>
    <w:rsid w:val="007401D2"/>
    <w:rsid w:val="00740294"/>
    <w:rsid w:val="007403CC"/>
    <w:rsid w:val="007404C8"/>
    <w:rsid w:val="007406FC"/>
    <w:rsid w:val="007407C7"/>
    <w:rsid w:val="007407D1"/>
    <w:rsid w:val="00740807"/>
    <w:rsid w:val="00740854"/>
    <w:rsid w:val="007408EF"/>
    <w:rsid w:val="00740959"/>
    <w:rsid w:val="00740A64"/>
    <w:rsid w:val="00740A91"/>
    <w:rsid w:val="00740B40"/>
    <w:rsid w:val="00740BD3"/>
    <w:rsid w:val="00740C4B"/>
    <w:rsid w:val="00740EF9"/>
    <w:rsid w:val="00740F00"/>
    <w:rsid w:val="00740F48"/>
    <w:rsid w:val="00740FC5"/>
    <w:rsid w:val="00741087"/>
    <w:rsid w:val="007410D5"/>
    <w:rsid w:val="00741387"/>
    <w:rsid w:val="0074156B"/>
    <w:rsid w:val="0074175B"/>
    <w:rsid w:val="007417C8"/>
    <w:rsid w:val="00741A0B"/>
    <w:rsid w:val="00741A43"/>
    <w:rsid w:val="00741B67"/>
    <w:rsid w:val="00741BC7"/>
    <w:rsid w:val="00741BE1"/>
    <w:rsid w:val="00741C01"/>
    <w:rsid w:val="00741C35"/>
    <w:rsid w:val="00741CCD"/>
    <w:rsid w:val="00741D5E"/>
    <w:rsid w:val="00741D6A"/>
    <w:rsid w:val="00741DF4"/>
    <w:rsid w:val="0074202A"/>
    <w:rsid w:val="007420E2"/>
    <w:rsid w:val="0074213E"/>
    <w:rsid w:val="00742162"/>
    <w:rsid w:val="007421CB"/>
    <w:rsid w:val="007422DA"/>
    <w:rsid w:val="0074255B"/>
    <w:rsid w:val="0074265E"/>
    <w:rsid w:val="0074294B"/>
    <w:rsid w:val="00742A8F"/>
    <w:rsid w:val="00742AD4"/>
    <w:rsid w:val="00742B43"/>
    <w:rsid w:val="00742C56"/>
    <w:rsid w:val="00742CEA"/>
    <w:rsid w:val="0074304F"/>
    <w:rsid w:val="007432F1"/>
    <w:rsid w:val="00743367"/>
    <w:rsid w:val="007435E4"/>
    <w:rsid w:val="00743636"/>
    <w:rsid w:val="007437CA"/>
    <w:rsid w:val="007438E4"/>
    <w:rsid w:val="007439B4"/>
    <w:rsid w:val="00743AE8"/>
    <w:rsid w:val="00743B94"/>
    <w:rsid w:val="00743BFF"/>
    <w:rsid w:val="00743C0D"/>
    <w:rsid w:val="00743F11"/>
    <w:rsid w:val="00743F37"/>
    <w:rsid w:val="00744138"/>
    <w:rsid w:val="00744244"/>
    <w:rsid w:val="00744260"/>
    <w:rsid w:val="007442EB"/>
    <w:rsid w:val="007445C6"/>
    <w:rsid w:val="007447AF"/>
    <w:rsid w:val="00744901"/>
    <w:rsid w:val="00744D2F"/>
    <w:rsid w:val="00744DD2"/>
    <w:rsid w:val="00744FCE"/>
    <w:rsid w:val="00745088"/>
    <w:rsid w:val="00745193"/>
    <w:rsid w:val="00745B49"/>
    <w:rsid w:val="00745D2E"/>
    <w:rsid w:val="00745D60"/>
    <w:rsid w:val="00745D78"/>
    <w:rsid w:val="00745F3E"/>
    <w:rsid w:val="007461E6"/>
    <w:rsid w:val="00746383"/>
    <w:rsid w:val="007464E9"/>
    <w:rsid w:val="007464FB"/>
    <w:rsid w:val="00746549"/>
    <w:rsid w:val="007466A6"/>
    <w:rsid w:val="007466E8"/>
    <w:rsid w:val="007468E4"/>
    <w:rsid w:val="00746929"/>
    <w:rsid w:val="00746A6E"/>
    <w:rsid w:val="00746B6B"/>
    <w:rsid w:val="00746BA4"/>
    <w:rsid w:val="00746D26"/>
    <w:rsid w:val="00746D3D"/>
    <w:rsid w:val="00746EE4"/>
    <w:rsid w:val="00746FD6"/>
    <w:rsid w:val="00747007"/>
    <w:rsid w:val="0074723D"/>
    <w:rsid w:val="00747240"/>
    <w:rsid w:val="007472A2"/>
    <w:rsid w:val="007472BC"/>
    <w:rsid w:val="00747467"/>
    <w:rsid w:val="00747660"/>
    <w:rsid w:val="00747683"/>
    <w:rsid w:val="00747715"/>
    <w:rsid w:val="0074773D"/>
    <w:rsid w:val="007477FC"/>
    <w:rsid w:val="007478EA"/>
    <w:rsid w:val="00747965"/>
    <w:rsid w:val="00747D77"/>
    <w:rsid w:val="00747DC3"/>
    <w:rsid w:val="00747EC6"/>
    <w:rsid w:val="00747F0A"/>
    <w:rsid w:val="00747FBF"/>
    <w:rsid w:val="00747FEF"/>
    <w:rsid w:val="0075001A"/>
    <w:rsid w:val="0075012C"/>
    <w:rsid w:val="00750266"/>
    <w:rsid w:val="007502E9"/>
    <w:rsid w:val="00750326"/>
    <w:rsid w:val="007503C2"/>
    <w:rsid w:val="00750703"/>
    <w:rsid w:val="00750910"/>
    <w:rsid w:val="00750A42"/>
    <w:rsid w:val="00750B60"/>
    <w:rsid w:val="00750BFE"/>
    <w:rsid w:val="00750C05"/>
    <w:rsid w:val="00750C84"/>
    <w:rsid w:val="00750D7E"/>
    <w:rsid w:val="00750FD0"/>
    <w:rsid w:val="0075107B"/>
    <w:rsid w:val="007511C4"/>
    <w:rsid w:val="007511EE"/>
    <w:rsid w:val="00751227"/>
    <w:rsid w:val="00751320"/>
    <w:rsid w:val="007513A9"/>
    <w:rsid w:val="007513D2"/>
    <w:rsid w:val="007516AB"/>
    <w:rsid w:val="007516B2"/>
    <w:rsid w:val="0075178B"/>
    <w:rsid w:val="007518BF"/>
    <w:rsid w:val="007518F5"/>
    <w:rsid w:val="0075197F"/>
    <w:rsid w:val="00751AA6"/>
    <w:rsid w:val="00751BA6"/>
    <w:rsid w:val="00751D32"/>
    <w:rsid w:val="00751D60"/>
    <w:rsid w:val="00751EB0"/>
    <w:rsid w:val="00751F2D"/>
    <w:rsid w:val="00751FBD"/>
    <w:rsid w:val="007521E0"/>
    <w:rsid w:val="007521E8"/>
    <w:rsid w:val="00752211"/>
    <w:rsid w:val="0075226E"/>
    <w:rsid w:val="00752296"/>
    <w:rsid w:val="00752416"/>
    <w:rsid w:val="007524E3"/>
    <w:rsid w:val="0075275A"/>
    <w:rsid w:val="00752D3D"/>
    <w:rsid w:val="00752DAE"/>
    <w:rsid w:val="00752E9A"/>
    <w:rsid w:val="00752F30"/>
    <w:rsid w:val="00753209"/>
    <w:rsid w:val="00753298"/>
    <w:rsid w:val="007532F0"/>
    <w:rsid w:val="0075360A"/>
    <w:rsid w:val="0075362C"/>
    <w:rsid w:val="007536A6"/>
    <w:rsid w:val="007538A8"/>
    <w:rsid w:val="00753924"/>
    <w:rsid w:val="00753A03"/>
    <w:rsid w:val="00753C5A"/>
    <w:rsid w:val="00753F19"/>
    <w:rsid w:val="00753F54"/>
    <w:rsid w:val="00754005"/>
    <w:rsid w:val="0075413D"/>
    <w:rsid w:val="00754435"/>
    <w:rsid w:val="007545D5"/>
    <w:rsid w:val="00754689"/>
    <w:rsid w:val="00754778"/>
    <w:rsid w:val="007547EC"/>
    <w:rsid w:val="00754AEE"/>
    <w:rsid w:val="00754CC3"/>
    <w:rsid w:val="00754DCA"/>
    <w:rsid w:val="00754E7E"/>
    <w:rsid w:val="007553B9"/>
    <w:rsid w:val="0075565C"/>
    <w:rsid w:val="007556C9"/>
    <w:rsid w:val="00755838"/>
    <w:rsid w:val="0075591A"/>
    <w:rsid w:val="007559F4"/>
    <w:rsid w:val="00755A79"/>
    <w:rsid w:val="00755B70"/>
    <w:rsid w:val="00755D06"/>
    <w:rsid w:val="00755F0F"/>
    <w:rsid w:val="00755F71"/>
    <w:rsid w:val="00755F9D"/>
    <w:rsid w:val="0075612F"/>
    <w:rsid w:val="00756217"/>
    <w:rsid w:val="00756278"/>
    <w:rsid w:val="0075627B"/>
    <w:rsid w:val="007562D8"/>
    <w:rsid w:val="0075637A"/>
    <w:rsid w:val="0075638E"/>
    <w:rsid w:val="00756403"/>
    <w:rsid w:val="007565CD"/>
    <w:rsid w:val="00756653"/>
    <w:rsid w:val="0075679A"/>
    <w:rsid w:val="00756875"/>
    <w:rsid w:val="00756B3A"/>
    <w:rsid w:val="00756BB0"/>
    <w:rsid w:val="00756BC4"/>
    <w:rsid w:val="00756D06"/>
    <w:rsid w:val="00756E47"/>
    <w:rsid w:val="00756EFF"/>
    <w:rsid w:val="00756F72"/>
    <w:rsid w:val="007570C5"/>
    <w:rsid w:val="00757126"/>
    <w:rsid w:val="007571A9"/>
    <w:rsid w:val="00757239"/>
    <w:rsid w:val="00757353"/>
    <w:rsid w:val="00757392"/>
    <w:rsid w:val="00757754"/>
    <w:rsid w:val="0075775D"/>
    <w:rsid w:val="007577C9"/>
    <w:rsid w:val="007579AF"/>
    <w:rsid w:val="007579B1"/>
    <w:rsid w:val="00757D4B"/>
    <w:rsid w:val="00757EF8"/>
    <w:rsid w:val="00757F7F"/>
    <w:rsid w:val="007600F6"/>
    <w:rsid w:val="00760192"/>
    <w:rsid w:val="007601BE"/>
    <w:rsid w:val="00760263"/>
    <w:rsid w:val="007602E5"/>
    <w:rsid w:val="007604E9"/>
    <w:rsid w:val="0076050D"/>
    <w:rsid w:val="00760596"/>
    <w:rsid w:val="0076086B"/>
    <w:rsid w:val="00760A03"/>
    <w:rsid w:val="00760AD1"/>
    <w:rsid w:val="00760B96"/>
    <w:rsid w:val="00760C1C"/>
    <w:rsid w:val="00760E0E"/>
    <w:rsid w:val="00760E3D"/>
    <w:rsid w:val="007611AE"/>
    <w:rsid w:val="007611E1"/>
    <w:rsid w:val="00761244"/>
    <w:rsid w:val="0076130F"/>
    <w:rsid w:val="007613FB"/>
    <w:rsid w:val="0076154C"/>
    <w:rsid w:val="007617CB"/>
    <w:rsid w:val="00761EDE"/>
    <w:rsid w:val="00761F91"/>
    <w:rsid w:val="00762452"/>
    <w:rsid w:val="007624C2"/>
    <w:rsid w:val="00762518"/>
    <w:rsid w:val="00762553"/>
    <w:rsid w:val="007625D4"/>
    <w:rsid w:val="007627AA"/>
    <w:rsid w:val="00762911"/>
    <w:rsid w:val="00762979"/>
    <w:rsid w:val="00762A41"/>
    <w:rsid w:val="00762A6D"/>
    <w:rsid w:val="00762BC9"/>
    <w:rsid w:val="00762C9F"/>
    <w:rsid w:val="00762D52"/>
    <w:rsid w:val="00762F0B"/>
    <w:rsid w:val="00762F79"/>
    <w:rsid w:val="0076301D"/>
    <w:rsid w:val="00763082"/>
    <w:rsid w:val="00763185"/>
    <w:rsid w:val="0076328A"/>
    <w:rsid w:val="00763500"/>
    <w:rsid w:val="00763612"/>
    <w:rsid w:val="00763674"/>
    <w:rsid w:val="007636A5"/>
    <w:rsid w:val="00763803"/>
    <w:rsid w:val="007639BE"/>
    <w:rsid w:val="00763BBC"/>
    <w:rsid w:val="00763EA3"/>
    <w:rsid w:val="00763F1D"/>
    <w:rsid w:val="00763F38"/>
    <w:rsid w:val="007640DD"/>
    <w:rsid w:val="007642F4"/>
    <w:rsid w:val="007643D5"/>
    <w:rsid w:val="00764507"/>
    <w:rsid w:val="00764551"/>
    <w:rsid w:val="007645BD"/>
    <w:rsid w:val="007645DC"/>
    <w:rsid w:val="0076479D"/>
    <w:rsid w:val="007647B6"/>
    <w:rsid w:val="00764A6B"/>
    <w:rsid w:val="00764B76"/>
    <w:rsid w:val="00764C8A"/>
    <w:rsid w:val="00764CB3"/>
    <w:rsid w:val="00764D3E"/>
    <w:rsid w:val="00764D62"/>
    <w:rsid w:val="00765025"/>
    <w:rsid w:val="00765064"/>
    <w:rsid w:val="00765085"/>
    <w:rsid w:val="00765132"/>
    <w:rsid w:val="0076517D"/>
    <w:rsid w:val="007652C4"/>
    <w:rsid w:val="007653E6"/>
    <w:rsid w:val="00765425"/>
    <w:rsid w:val="00765565"/>
    <w:rsid w:val="007655A5"/>
    <w:rsid w:val="0076561B"/>
    <w:rsid w:val="007656D2"/>
    <w:rsid w:val="007656EE"/>
    <w:rsid w:val="0076575A"/>
    <w:rsid w:val="007657A6"/>
    <w:rsid w:val="00765851"/>
    <w:rsid w:val="007658FF"/>
    <w:rsid w:val="0076594B"/>
    <w:rsid w:val="007659B9"/>
    <w:rsid w:val="00765AAF"/>
    <w:rsid w:val="00765B53"/>
    <w:rsid w:val="00765BD9"/>
    <w:rsid w:val="00765D27"/>
    <w:rsid w:val="00765D2A"/>
    <w:rsid w:val="00765D71"/>
    <w:rsid w:val="00765E87"/>
    <w:rsid w:val="00765F48"/>
    <w:rsid w:val="00765FAD"/>
    <w:rsid w:val="0076606C"/>
    <w:rsid w:val="00766121"/>
    <w:rsid w:val="00766295"/>
    <w:rsid w:val="007662B3"/>
    <w:rsid w:val="00766318"/>
    <w:rsid w:val="00766357"/>
    <w:rsid w:val="00766393"/>
    <w:rsid w:val="007663BB"/>
    <w:rsid w:val="007663CC"/>
    <w:rsid w:val="0076646C"/>
    <w:rsid w:val="007664F8"/>
    <w:rsid w:val="00766555"/>
    <w:rsid w:val="007665F4"/>
    <w:rsid w:val="007666A8"/>
    <w:rsid w:val="007668CF"/>
    <w:rsid w:val="007669DC"/>
    <w:rsid w:val="00766A84"/>
    <w:rsid w:val="00766AF3"/>
    <w:rsid w:val="00766B59"/>
    <w:rsid w:val="00766DB0"/>
    <w:rsid w:val="00766E17"/>
    <w:rsid w:val="00766E1D"/>
    <w:rsid w:val="0076705A"/>
    <w:rsid w:val="0076740E"/>
    <w:rsid w:val="0076749D"/>
    <w:rsid w:val="0076756B"/>
    <w:rsid w:val="00767690"/>
    <w:rsid w:val="007676CC"/>
    <w:rsid w:val="00767819"/>
    <w:rsid w:val="00767D9F"/>
    <w:rsid w:val="00767E44"/>
    <w:rsid w:val="0077005B"/>
    <w:rsid w:val="00770247"/>
    <w:rsid w:val="007703F3"/>
    <w:rsid w:val="0077047D"/>
    <w:rsid w:val="007704E9"/>
    <w:rsid w:val="00770857"/>
    <w:rsid w:val="00770888"/>
    <w:rsid w:val="007709ED"/>
    <w:rsid w:val="00770C78"/>
    <w:rsid w:val="00770C7D"/>
    <w:rsid w:val="00770DE1"/>
    <w:rsid w:val="00770EFA"/>
    <w:rsid w:val="00770F24"/>
    <w:rsid w:val="00770F87"/>
    <w:rsid w:val="007710BB"/>
    <w:rsid w:val="00771501"/>
    <w:rsid w:val="0077159A"/>
    <w:rsid w:val="007715C0"/>
    <w:rsid w:val="00771779"/>
    <w:rsid w:val="00771820"/>
    <w:rsid w:val="00771A4E"/>
    <w:rsid w:val="00771C72"/>
    <w:rsid w:val="00771CE6"/>
    <w:rsid w:val="00771D87"/>
    <w:rsid w:val="00772128"/>
    <w:rsid w:val="0077213E"/>
    <w:rsid w:val="0077217A"/>
    <w:rsid w:val="0077221C"/>
    <w:rsid w:val="00772258"/>
    <w:rsid w:val="00772358"/>
    <w:rsid w:val="00772437"/>
    <w:rsid w:val="00772635"/>
    <w:rsid w:val="007726B3"/>
    <w:rsid w:val="007728CA"/>
    <w:rsid w:val="007729D2"/>
    <w:rsid w:val="00772A16"/>
    <w:rsid w:val="00772C84"/>
    <w:rsid w:val="00772CEF"/>
    <w:rsid w:val="00772D43"/>
    <w:rsid w:val="00772E0D"/>
    <w:rsid w:val="00772FEE"/>
    <w:rsid w:val="0077307E"/>
    <w:rsid w:val="007730AF"/>
    <w:rsid w:val="00773163"/>
    <w:rsid w:val="007731B4"/>
    <w:rsid w:val="007732BA"/>
    <w:rsid w:val="007732EB"/>
    <w:rsid w:val="007735C1"/>
    <w:rsid w:val="007738B7"/>
    <w:rsid w:val="007738FB"/>
    <w:rsid w:val="00773964"/>
    <w:rsid w:val="007739B3"/>
    <w:rsid w:val="00773AB3"/>
    <w:rsid w:val="00773C1A"/>
    <w:rsid w:val="00773EB7"/>
    <w:rsid w:val="00773F22"/>
    <w:rsid w:val="00773F4F"/>
    <w:rsid w:val="007742DE"/>
    <w:rsid w:val="007742E2"/>
    <w:rsid w:val="007744A5"/>
    <w:rsid w:val="0077453B"/>
    <w:rsid w:val="007745D9"/>
    <w:rsid w:val="00774657"/>
    <w:rsid w:val="007747A6"/>
    <w:rsid w:val="00774955"/>
    <w:rsid w:val="00774A02"/>
    <w:rsid w:val="00774B0A"/>
    <w:rsid w:val="00774BC8"/>
    <w:rsid w:val="00774E61"/>
    <w:rsid w:val="00774F82"/>
    <w:rsid w:val="00775000"/>
    <w:rsid w:val="0077510D"/>
    <w:rsid w:val="00775202"/>
    <w:rsid w:val="007752AF"/>
    <w:rsid w:val="0077560F"/>
    <w:rsid w:val="007756AB"/>
    <w:rsid w:val="007759E5"/>
    <w:rsid w:val="00775AD3"/>
    <w:rsid w:val="00775D22"/>
    <w:rsid w:val="00775DBA"/>
    <w:rsid w:val="00776154"/>
    <w:rsid w:val="00776294"/>
    <w:rsid w:val="007762A1"/>
    <w:rsid w:val="007762E9"/>
    <w:rsid w:val="0077637D"/>
    <w:rsid w:val="007763BD"/>
    <w:rsid w:val="00776433"/>
    <w:rsid w:val="00776677"/>
    <w:rsid w:val="00776765"/>
    <w:rsid w:val="007768BB"/>
    <w:rsid w:val="00776963"/>
    <w:rsid w:val="00776C6E"/>
    <w:rsid w:val="00776D23"/>
    <w:rsid w:val="00776E50"/>
    <w:rsid w:val="00776F3F"/>
    <w:rsid w:val="00777001"/>
    <w:rsid w:val="0077706B"/>
    <w:rsid w:val="0077714A"/>
    <w:rsid w:val="007771BD"/>
    <w:rsid w:val="007771D2"/>
    <w:rsid w:val="007772B8"/>
    <w:rsid w:val="00777445"/>
    <w:rsid w:val="007776F1"/>
    <w:rsid w:val="0077771F"/>
    <w:rsid w:val="007778AE"/>
    <w:rsid w:val="00777983"/>
    <w:rsid w:val="007779A0"/>
    <w:rsid w:val="00777A03"/>
    <w:rsid w:val="00777D42"/>
    <w:rsid w:val="00777DAA"/>
    <w:rsid w:val="00777E14"/>
    <w:rsid w:val="007800B1"/>
    <w:rsid w:val="00780140"/>
    <w:rsid w:val="00780292"/>
    <w:rsid w:val="007804C2"/>
    <w:rsid w:val="00780976"/>
    <w:rsid w:val="00780AA4"/>
    <w:rsid w:val="007812C6"/>
    <w:rsid w:val="00781443"/>
    <w:rsid w:val="007815A7"/>
    <w:rsid w:val="007815E1"/>
    <w:rsid w:val="007815EF"/>
    <w:rsid w:val="00781785"/>
    <w:rsid w:val="007817E5"/>
    <w:rsid w:val="00781963"/>
    <w:rsid w:val="0078197B"/>
    <w:rsid w:val="00781BA5"/>
    <w:rsid w:val="00781BAC"/>
    <w:rsid w:val="00781C59"/>
    <w:rsid w:val="00781C65"/>
    <w:rsid w:val="00781C79"/>
    <w:rsid w:val="00782063"/>
    <w:rsid w:val="007820AE"/>
    <w:rsid w:val="007822B2"/>
    <w:rsid w:val="0078233F"/>
    <w:rsid w:val="00782492"/>
    <w:rsid w:val="00782505"/>
    <w:rsid w:val="00782706"/>
    <w:rsid w:val="00782798"/>
    <w:rsid w:val="007828D6"/>
    <w:rsid w:val="0078295F"/>
    <w:rsid w:val="00782A53"/>
    <w:rsid w:val="00782B3A"/>
    <w:rsid w:val="00782B40"/>
    <w:rsid w:val="00782D2F"/>
    <w:rsid w:val="00782FD9"/>
    <w:rsid w:val="00783025"/>
    <w:rsid w:val="00783130"/>
    <w:rsid w:val="00783281"/>
    <w:rsid w:val="00783376"/>
    <w:rsid w:val="0078344D"/>
    <w:rsid w:val="007837E8"/>
    <w:rsid w:val="007837EF"/>
    <w:rsid w:val="0078382B"/>
    <w:rsid w:val="00783A59"/>
    <w:rsid w:val="00783A6B"/>
    <w:rsid w:val="00783B35"/>
    <w:rsid w:val="00783D1C"/>
    <w:rsid w:val="00783D96"/>
    <w:rsid w:val="00783DC4"/>
    <w:rsid w:val="00783DED"/>
    <w:rsid w:val="00783E96"/>
    <w:rsid w:val="00783FD3"/>
    <w:rsid w:val="00784017"/>
    <w:rsid w:val="00784209"/>
    <w:rsid w:val="007842B6"/>
    <w:rsid w:val="007844C2"/>
    <w:rsid w:val="007845C9"/>
    <w:rsid w:val="00784793"/>
    <w:rsid w:val="007847B4"/>
    <w:rsid w:val="0078486A"/>
    <w:rsid w:val="00784AAB"/>
    <w:rsid w:val="00784B5A"/>
    <w:rsid w:val="00784BC6"/>
    <w:rsid w:val="00784C5A"/>
    <w:rsid w:val="00784C98"/>
    <w:rsid w:val="00784E73"/>
    <w:rsid w:val="00784F02"/>
    <w:rsid w:val="00784F60"/>
    <w:rsid w:val="00784F7E"/>
    <w:rsid w:val="00784F8C"/>
    <w:rsid w:val="00784FC2"/>
    <w:rsid w:val="00784FDF"/>
    <w:rsid w:val="007850B6"/>
    <w:rsid w:val="0078510D"/>
    <w:rsid w:val="00785160"/>
    <w:rsid w:val="007851C1"/>
    <w:rsid w:val="00785253"/>
    <w:rsid w:val="00785360"/>
    <w:rsid w:val="007853F8"/>
    <w:rsid w:val="00785456"/>
    <w:rsid w:val="007854B0"/>
    <w:rsid w:val="0078554E"/>
    <w:rsid w:val="007858C0"/>
    <w:rsid w:val="00785A5E"/>
    <w:rsid w:val="00785A8B"/>
    <w:rsid w:val="00785B5C"/>
    <w:rsid w:val="00785CCC"/>
    <w:rsid w:val="00785DEE"/>
    <w:rsid w:val="00786055"/>
    <w:rsid w:val="007861B9"/>
    <w:rsid w:val="00786257"/>
    <w:rsid w:val="00786470"/>
    <w:rsid w:val="007864FA"/>
    <w:rsid w:val="00786594"/>
    <w:rsid w:val="007865C3"/>
    <w:rsid w:val="0078676B"/>
    <w:rsid w:val="00786DD8"/>
    <w:rsid w:val="00786F3A"/>
    <w:rsid w:val="00787469"/>
    <w:rsid w:val="007874B8"/>
    <w:rsid w:val="007877D5"/>
    <w:rsid w:val="0078795D"/>
    <w:rsid w:val="00787A6B"/>
    <w:rsid w:val="00787B22"/>
    <w:rsid w:val="00787DF0"/>
    <w:rsid w:val="00787E2C"/>
    <w:rsid w:val="00787F62"/>
    <w:rsid w:val="00787FCD"/>
    <w:rsid w:val="00790037"/>
    <w:rsid w:val="00790074"/>
    <w:rsid w:val="00790121"/>
    <w:rsid w:val="007901B0"/>
    <w:rsid w:val="00790249"/>
    <w:rsid w:val="007903F6"/>
    <w:rsid w:val="00790558"/>
    <w:rsid w:val="007905F5"/>
    <w:rsid w:val="007907F9"/>
    <w:rsid w:val="00790874"/>
    <w:rsid w:val="0079087C"/>
    <w:rsid w:val="0079087D"/>
    <w:rsid w:val="00790AC8"/>
    <w:rsid w:val="00790B35"/>
    <w:rsid w:val="00790BB6"/>
    <w:rsid w:val="00790CEC"/>
    <w:rsid w:val="00790DF9"/>
    <w:rsid w:val="007910C9"/>
    <w:rsid w:val="007911A8"/>
    <w:rsid w:val="00791253"/>
    <w:rsid w:val="00791299"/>
    <w:rsid w:val="007912C2"/>
    <w:rsid w:val="007912D2"/>
    <w:rsid w:val="007913B9"/>
    <w:rsid w:val="007915DB"/>
    <w:rsid w:val="0079164B"/>
    <w:rsid w:val="00791785"/>
    <w:rsid w:val="00791823"/>
    <w:rsid w:val="0079194C"/>
    <w:rsid w:val="00791B08"/>
    <w:rsid w:val="00791B29"/>
    <w:rsid w:val="00791C4F"/>
    <w:rsid w:val="007921A0"/>
    <w:rsid w:val="0079227E"/>
    <w:rsid w:val="0079242B"/>
    <w:rsid w:val="007924C5"/>
    <w:rsid w:val="0079277D"/>
    <w:rsid w:val="00792A70"/>
    <w:rsid w:val="00792ACF"/>
    <w:rsid w:val="00792B72"/>
    <w:rsid w:val="00792BD9"/>
    <w:rsid w:val="00792C4A"/>
    <w:rsid w:val="00792C76"/>
    <w:rsid w:val="007930D6"/>
    <w:rsid w:val="007933D0"/>
    <w:rsid w:val="007933F9"/>
    <w:rsid w:val="00793549"/>
    <w:rsid w:val="0079359F"/>
    <w:rsid w:val="007936C6"/>
    <w:rsid w:val="00793730"/>
    <w:rsid w:val="007937A5"/>
    <w:rsid w:val="007939DA"/>
    <w:rsid w:val="00793CA1"/>
    <w:rsid w:val="00793D95"/>
    <w:rsid w:val="00793EAB"/>
    <w:rsid w:val="007940A0"/>
    <w:rsid w:val="007940C7"/>
    <w:rsid w:val="0079430F"/>
    <w:rsid w:val="0079443A"/>
    <w:rsid w:val="00794586"/>
    <w:rsid w:val="007947EE"/>
    <w:rsid w:val="007948D6"/>
    <w:rsid w:val="00794D02"/>
    <w:rsid w:val="00794D33"/>
    <w:rsid w:val="00794E02"/>
    <w:rsid w:val="00794E0E"/>
    <w:rsid w:val="00795169"/>
    <w:rsid w:val="00795232"/>
    <w:rsid w:val="007954B5"/>
    <w:rsid w:val="0079554C"/>
    <w:rsid w:val="00795598"/>
    <w:rsid w:val="00795730"/>
    <w:rsid w:val="00795751"/>
    <w:rsid w:val="00795921"/>
    <w:rsid w:val="00795AF7"/>
    <w:rsid w:val="00795D08"/>
    <w:rsid w:val="00795D69"/>
    <w:rsid w:val="00795EB9"/>
    <w:rsid w:val="00795EFC"/>
    <w:rsid w:val="00795F77"/>
    <w:rsid w:val="007960D3"/>
    <w:rsid w:val="00796239"/>
    <w:rsid w:val="0079629E"/>
    <w:rsid w:val="007962FA"/>
    <w:rsid w:val="0079635E"/>
    <w:rsid w:val="00796463"/>
    <w:rsid w:val="0079673D"/>
    <w:rsid w:val="00796777"/>
    <w:rsid w:val="00796A8B"/>
    <w:rsid w:val="00796B31"/>
    <w:rsid w:val="00796CD3"/>
    <w:rsid w:val="00796D1D"/>
    <w:rsid w:val="00796ECE"/>
    <w:rsid w:val="00797151"/>
    <w:rsid w:val="00797164"/>
    <w:rsid w:val="007971C1"/>
    <w:rsid w:val="007971E3"/>
    <w:rsid w:val="00797376"/>
    <w:rsid w:val="0079740F"/>
    <w:rsid w:val="00797437"/>
    <w:rsid w:val="00797458"/>
    <w:rsid w:val="00797484"/>
    <w:rsid w:val="007974C9"/>
    <w:rsid w:val="0079761D"/>
    <w:rsid w:val="00797683"/>
    <w:rsid w:val="007978AA"/>
    <w:rsid w:val="0079794F"/>
    <w:rsid w:val="007979A1"/>
    <w:rsid w:val="00797B61"/>
    <w:rsid w:val="00797BA3"/>
    <w:rsid w:val="00797C70"/>
    <w:rsid w:val="00797D1C"/>
    <w:rsid w:val="00797E7F"/>
    <w:rsid w:val="00797F42"/>
    <w:rsid w:val="007A0183"/>
    <w:rsid w:val="007A047D"/>
    <w:rsid w:val="007A054F"/>
    <w:rsid w:val="007A078E"/>
    <w:rsid w:val="007A08DE"/>
    <w:rsid w:val="007A08E0"/>
    <w:rsid w:val="007A094C"/>
    <w:rsid w:val="007A0C76"/>
    <w:rsid w:val="007A10D5"/>
    <w:rsid w:val="007A1279"/>
    <w:rsid w:val="007A12DB"/>
    <w:rsid w:val="007A13EC"/>
    <w:rsid w:val="007A144C"/>
    <w:rsid w:val="007A14A5"/>
    <w:rsid w:val="007A1509"/>
    <w:rsid w:val="007A15CB"/>
    <w:rsid w:val="007A1664"/>
    <w:rsid w:val="007A199E"/>
    <w:rsid w:val="007A1A19"/>
    <w:rsid w:val="007A1F64"/>
    <w:rsid w:val="007A2016"/>
    <w:rsid w:val="007A208D"/>
    <w:rsid w:val="007A211D"/>
    <w:rsid w:val="007A2275"/>
    <w:rsid w:val="007A2753"/>
    <w:rsid w:val="007A2758"/>
    <w:rsid w:val="007A2792"/>
    <w:rsid w:val="007A27D2"/>
    <w:rsid w:val="007A2846"/>
    <w:rsid w:val="007A2A41"/>
    <w:rsid w:val="007A2A62"/>
    <w:rsid w:val="007A2AF9"/>
    <w:rsid w:val="007A2B88"/>
    <w:rsid w:val="007A2E61"/>
    <w:rsid w:val="007A2FA5"/>
    <w:rsid w:val="007A304D"/>
    <w:rsid w:val="007A306A"/>
    <w:rsid w:val="007A30A5"/>
    <w:rsid w:val="007A3194"/>
    <w:rsid w:val="007A3228"/>
    <w:rsid w:val="007A36F7"/>
    <w:rsid w:val="007A3736"/>
    <w:rsid w:val="007A379E"/>
    <w:rsid w:val="007A3991"/>
    <w:rsid w:val="007A39A8"/>
    <w:rsid w:val="007A3AA3"/>
    <w:rsid w:val="007A3ADB"/>
    <w:rsid w:val="007A3E50"/>
    <w:rsid w:val="007A404C"/>
    <w:rsid w:val="007A4658"/>
    <w:rsid w:val="007A46EC"/>
    <w:rsid w:val="007A4749"/>
    <w:rsid w:val="007A495E"/>
    <w:rsid w:val="007A4AD5"/>
    <w:rsid w:val="007A4AE0"/>
    <w:rsid w:val="007A4C5A"/>
    <w:rsid w:val="007A4C8A"/>
    <w:rsid w:val="007A4CEC"/>
    <w:rsid w:val="007A4D68"/>
    <w:rsid w:val="007A4E37"/>
    <w:rsid w:val="007A4E41"/>
    <w:rsid w:val="007A4EC7"/>
    <w:rsid w:val="007A4F5F"/>
    <w:rsid w:val="007A4F7D"/>
    <w:rsid w:val="007A4FBE"/>
    <w:rsid w:val="007A4FC8"/>
    <w:rsid w:val="007A501A"/>
    <w:rsid w:val="007A51C5"/>
    <w:rsid w:val="007A51CD"/>
    <w:rsid w:val="007A53D5"/>
    <w:rsid w:val="007A54A1"/>
    <w:rsid w:val="007A55AF"/>
    <w:rsid w:val="007A5747"/>
    <w:rsid w:val="007A58E1"/>
    <w:rsid w:val="007A58E2"/>
    <w:rsid w:val="007A58FD"/>
    <w:rsid w:val="007A5A25"/>
    <w:rsid w:val="007A5B98"/>
    <w:rsid w:val="007A5CF8"/>
    <w:rsid w:val="007A5DDF"/>
    <w:rsid w:val="007A5E7C"/>
    <w:rsid w:val="007A5F0B"/>
    <w:rsid w:val="007A5FD4"/>
    <w:rsid w:val="007A6055"/>
    <w:rsid w:val="007A61B5"/>
    <w:rsid w:val="007A68D8"/>
    <w:rsid w:val="007A6992"/>
    <w:rsid w:val="007A69E9"/>
    <w:rsid w:val="007A6DAF"/>
    <w:rsid w:val="007A6F31"/>
    <w:rsid w:val="007A7040"/>
    <w:rsid w:val="007A704A"/>
    <w:rsid w:val="007A75C2"/>
    <w:rsid w:val="007A77D0"/>
    <w:rsid w:val="007A782E"/>
    <w:rsid w:val="007A796B"/>
    <w:rsid w:val="007A7AA5"/>
    <w:rsid w:val="007A7B3F"/>
    <w:rsid w:val="007A7B88"/>
    <w:rsid w:val="007A7C9C"/>
    <w:rsid w:val="007A7D01"/>
    <w:rsid w:val="007A7D04"/>
    <w:rsid w:val="007A7DA0"/>
    <w:rsid w:val="007A7DC6"/>
    <w:rsid w:val="007A7F44"/>
    <w:rsid w:val="007A7F5C"/>
    <w:rsid w:val="007B0040"/>
    <w:rsid w:val="007B005F"/>
    <w:rsid w:val="007B0188"/>
    <w:rsid w:val="007B0235"/>
    <w:rsid w:val="007B0243"/>
    <w:rsid w:val="007B05F6"/>
    <w:rsid w:val="007B064C"/>
    <w:rsid w:val="007B06E7"/>
    <w:rsid w:val="007B07C5"/>
    <w:rsid w:val="007B0958"/>
    <w:rsid w:val="007B0A39"/>
    <w:rsid w:val="007B0A5B"/>
    <w:rsid w:val="007B0A70"/>
    <w:rsid w:val="007B0B90"/>
    <w:rsid w:val="007B0BED"/>
    <w:rsid w:val="007B0EA8"/>
    <w:rsid w:val="007B0FA0"/>
    <w:rsid w:val="007B101A"/>
    <w:rsid w:val="007B10E3"/>
    <w:rsid w:val="007B1159"/>
    <w:rsid w:val="007B1257"/>
    <w:rsid w:val="007B140A"/>
    <w:rsid w:val="007B14B3"/>
    <w:rsid w:val="007B1633"/>
    <w:rsid w:val="007B163F"/>
    <w:rsid w:val="007B17EA"/>
    <w:rsid w:val="007B19B3"/>
    <w:rsid w:val="007B1BB4"/>
    <w:rsid w:val="007B1C93"/>
    <w:rsid w:val="007B1E09"/>
    <w:rsid w:val="007B1F3D"/>
    <w:rsid w:val="007B20AB"/>
    <w:rsid w:val="007B212E"/>
    <w:rsid w:val="007B2175"/>
    <w:rsid w:val="007B2216"/>
    <w:rsid w:val="007B2995"/>
    <w:rsid w:val="007B2A25"/>
    <w:rsid w:val="007B2DDC"/>
    <w:rsid w:val="007B2F39"/>
    <w:rsid w:val="007B321F"/>
    <w:rsid w:val="007B339D"/>
    <w:rsid w:val="007B3404"/>
    <w:rsid w:val="007B34F1"/>
    <w:rsid w:val="007B362D"/>
    <w:rsid w:val="007B3780"/>
    <w:rsid w:val="007B3783"/>
    <w:rsid w:val="007B37C8"/>
    <w:rsid w:val="007B392A"/>
    <w:rsid w:val="007B3A4E"/>
    <w:rsid w:val="007B3A6C"/>
    <w:rsid w:val="007B3C61"/>
    <w:rsid w:val="007B3D7F"/>
    <w:rsid w:val="007B3DED"/>
    <w:rsid w:val="007B3E1C"/>
    <w:rsid w:val="007B3E4A"/>
    <w:rsid w:val="007B3FEF"/>
    <w:rsid w:val="007B4057"/>
    <w:rsid w:val="007B41D4"/>
    <w:rsid w:val="007B46CA"/>
    <w:rsid w:val="007B47CA"/>
    <w:rsid w:val="007B4849"/>
    <w:rsid w:val="007B49BF"/>
    <w:rsid w:val="007B4A7E"/>
    <w:rsid w:val="007B4B06"/>
    <w:rsid w:val="007B4BA1"/>
    <w:rsid w:val="007B4BE6"/>
    <w:rsid w:val="007B4C61"/>
    <w:rsid w:val="007B4DE1"/>
    <w:rsid w:val="007B4E93"/>
    <w:rsid w:val="007B53B1"/>
    <w:rsid w:val="007B54B2"/>
    <w:rsid w:val="007B556B"/>
    <w:rsid w:val="007B598A"/>
    <w:rsid w:val="007B598E"/>
    <w:rsid w:val="007B5AF5"/>
    <w:rsid w:val="007B5DBB"/>
    <w:rsid w:val="007B5ECC"/>
    <w:rsid w:val="007B5F93"/>
    <w:rsid w:val="007B64AA"/>
    <w:rsid w:val="007B6636"/>
    <w:rsid w:val="007B669A"/>
    <w:rsid w:val="007B68EB"/>
    <w:rsid w:val="007B6950"/>
    <w:rsid w:val="007B6AA2"/>
    <w:rsid w:val="007B6AA5"/>
    <w:rsid w:val="007B6AB3"/>
    <w:rsid w:val="007B6C85"/>
    <w:rsid w:val="007B6F59"/>
    <w:rsid w:val="007B70E1"/>
    <w:rsid w:val="007B7148"/>
    <w:rsid w:val="007B7488"/>
    <w:rsid w:val="007B74F7"/>
    <w:rsid w:val="007B758B"/>
    <w:rsid w:val="007B78ED"/>
    <w:rsid w:val="007B79D4"/>
    <w:rsid w:val="007B7A9E"/>
    <w:rsid w:val="007B7CB5"/>
    <w:rsid w:val="007B7EAE"/>
    <w:rsid w:val="007B7F82"/>
    <w:rsid w:val="007C00DF"/>
    <w:rsid w:val="007C024B"/>
    <w:rsid w:val="007C03AA"/>
    <w:rsid w:val="007C090F"/>
    <w:rsid w:val="007C0B23"/>
    <w:rsid w:val="007C0B83"/>
    <w:rsid w:val="007C0C65"/>
    <w:rsid w:val="007C0CFA"/>
    <w:rsid w:val="007C1050"/>
    <w:rsid w:val="007C11E7"/>
    <w:rsid w:val="007C11FD"/>
    <w:rsid w:val="007C12F1"/>
    <w:rsid w:val="007C1550"/>
    <w:rsid w:val="007C15A6"/>
    <w:rsid w:val="007C17E8"/>
    <w:rsid w:val="007C18AE"/>
    <w:rsid w:val="007C1B6C"/>
    <w:rsid w:val="007C1E0A"/>
    <w:rsid w:val="007C1FCD"/>
    <w:rsid w:val="007C2111"/>
    <w:rsid w:val="007C2197"/>
    <w:rsid w:val="007C2333"/>
    <w:rsid w:val="007C2342"/>
    <w:rsid w:val="007C23BC"/>
    <w:rsid w:val="007C2484"/>
    <w:rsid w:val="007C2493"/>
    <w:rsid w:val="007C24F8"/>
    <w:rsid w:val="007C26DC"/>
    <w:rsid w:val="007C273F"/>
    <w:rsid w:val="007C278C"/>
    <w:rsid w:val="007C27EB"/>
    <w:rsid w:val="007C2970"/>
    <w:rsid w:val="007C29C1"/>
    <w:rsid w:val="007C2A7F"/>
    <w:rsid w:val="007C2B42"/>
    <w:rsid w:val="007C2BD5"/>
    <w:rsid w:val="007C2BE1"/>
    <w:rsid w:val="007C3528"/>
    <w:rsid w:val="007C3584"/>
    <w:rsid w:val="007C358E"/>
    <w:rsid w:val="007C39A4"/>
    <w:rsid w:val="007C3BA3"/>
    <w:rsid w:val="007C3FDB"/>
    <w:rsid w:val="007C415C"/>
    <w:rsid w:val="007C42F2"/>
    <w:rsid w:val="007C437A"/>
    <w:rsid w:val="007C4459"/>
    <w:rsid w:val="007C4556"/>
    <w:rsid w:val="007C4647"/>
    <w:rsid w:val="007C4AA1"/>
    <w:rsid w:val="007C4B6B"/>
    <w:rsid w:val="007C4B99"/>
    <w:rsid w:val="007C4C2C"/>
    <w:rsid w:val="007C5059"/>
    <w:rsid w:val="007C51C0"/>
    <w:rsid w:val="007C5319"/>
    <w:rsid w:val="007C5350"/>
    <w:rsid w:val="007C548C"/>
    <w:rsid w:val="007C551F"/>
    <w:rsid w:val="007C5648"/>
    <w:rsid w:val="007C5A55"/>
    <w:rsid w:val="007C5CB0"/>
    <w:rsid w:val="007C5CF4"/>
    <w:rsid w:val="007C5DC8"/>
    <w:rsid w:val="007C5DF6"/>
    <w:rsid w:val="007C5E47"/>
    <w:rsid w:val="007C5EF0"/>
    <w:rsid w:val="007C5F55"/>
    <w:rsid w:val="007C613F"/>
    <w:rsid w:val="007C61F0"/>
    <w:rsid w:val="007C61F3"/>
    <w:rsid w:val="007C623B"/>
    <w:rsid w:val="007C6459"/>
    <w:rsid w:val="007C67EB"/>
    <w:rsid w:val="007C6888"/>
    <w:rsid w:val="007C6974"/>
    <w:rsid w:val="007C69E0"/>
    <w:rsid w:val="007C69F1"/>
    <w:rsid w:val="007C6A2C"/>
    <w:rsid w:val="007C6A8F"/>
    <w:rsid w:val="007C6CD3"/>
    <w:rsid w:val="007C6CE0"/>
    <w:rsid w:val="007C6E6B"/>
    <w:rsid w:val="007C73B3"/>
    <w:rsid w:val="007C7442"/>
    <w:rsid w:val="007C775D"/>
    <w:rsid w:val="007C78D7"/>
    <w:rsid w:val="007C7B3E"/>
    <w:rsid w:val="007C7DCB"/>
    <w:rsid w:val="007C7E54"/>
    <w:rsid w:val="007D0037"/>
    <w:rsid w:val="007D0516"/>
    <w:rsid w:val="007D05E5"/>
    <w:rsid w:val="007D064B"/>
    <w:rsid w:val="007D0721"/>
    <w:rsid w:val="007D098E"/>
    <w:rsid w:val="007D0BFE"/>
    <w:rsid w:val="007D0C85"/>
    <w:rsid w:val="007D0E10"/>
    <w:rsid w:val="007D0E3E"/>
    <w:rsid w:val="007D0EBB"/>
    <w:rsid w:val="007D1055"/>
    <w:rsid w:val="007D1141"/>
    <w:rsid w:val="007D11A3"/>
    <w:rsid w:val="007D1548"/>
    <w:rsid w:val="007D154D"/>
    <w:rsid w:val="007D167B"/>
    <w:rsid w:val="007D18F8"/>
    <w:rsid w:val="007D1AE7"/>
    <w:rsid w:val="007D1B58"/>
    <w:rsid w:val="007D1F2A"/>
    <w:rsid w:val="007D209B"/>
    <w:rsid w:val="007D21D7"/>
    <w:rsid w:val="007D2293"/>
    <w:rsid w:val="007D2299"/>
    <w:rsid w:val="007D258D"/>
    <w:rsid w:val="007D2703"/>
    <w:rsid w:val="007D278D"/>
    <w:rsid w:val="007D28D9"/>
    <w:rsid w:val="007D291B"/>
    <w:rsid w:val="007D2962"/>
    <w:rsid w:val="007D29CA"/>
    <w:rsid w:val="007D2A05"/>
    <w:rsid w:val="007D2AB0"/>
    <w:rsid w:val="007D2C32"/>
    <w:rsid w:val="007D2D8C"/>
    <w:rsid w:val="007D2E3F"/>
    <w:rsid w:val="007D2E9C"/>
    <w:rsid w:val="007D2FD4"/>
    <w:rsid w:val="007D3159"/>
    <w:rsid w:val="007D3214"/>
    <w:rsid w:val="007D34C5"/>
    <w:rsid w:val="007D355B"/>
    <w:rsid w:val="007D3A54"/>
    <w:rsid w:val="007D42A7"/>
    <w:rsid w:val="007D42DF"/>
    <w:rsid w:val="007D42FB"/>
    <w:rsid w:val="007D44AF"/>
    <w:rsid w:val="007D44C3"/>
    <w:rsid w:val="007D4541"/>
    <w:rsid w:val="007D46A2"/>
    <w:rsid w:val="007D475D"/>
    <w:rsid w:val="007D47E4"/>
    <w:rsid w:val="007D4AE8"/>
    <w:rsid w:val="007D4CD2"/>
    <w:rsid w:val="007D4D51"/>
    <w:rsid w:val="007D4F18"/>
    <w:rsid w:val="007D4F23"/>
    <w:rsid w:val="007D4F2F"/>
    <w:rsid w:val="007D4F3A"/>
    <w:rsid w:val="007D4F49"/>
    <w:rsid w:val="007D52D1"/>
    <w:rsid w:val="007D53D6"/>
    <w:rsid w:val="007D54A8"/>
    <w:rsid w:val="007D5568"/>
    <w:rsid w:val="007D55A5"/>
    <w:rsid w:val="007D5600"/>
    <w:rsid w:val="007D566A"/>
    <w:rsid w:val="007D5705"/>
    <w:rsid w:val="007D5751"/>
    <w:rsid w:val="007D587C"/>
    <w:rsid w:val="007D58F8"/>
    <w:rsid w:val="007D59A7"/>
    <w:rsid w:val="007D5AA2"/>
    <w:rsid w:val="007D5B69"/>
    <w:rsid w:val="007D5BFE"/>
    <w:rsid w:val="007D613E"/>
    <w:rsid w:val="007D622C"/>
    <w:rsid w:val="007D62A1"/>
    <w:rsid w:val="007D652A"/>
    <w:rsid w:val="007D657B"/>
    <w:rsid w:val="007D65B2"/>
    <w:rsid w:val="007D65CF"/>
    <w:rsid w:val="007D677D"/>
    <w:rsid w:val="007D67CE"/>
    <w:rsid w:val="007D6813"/>
    <w:rsid w:val="007D686C"/>
    <w:rsid w:val="007D690F"/>
    <w:rsid w:val="007D6A3E"/>
    <w:rsid w:val="007D6D01"/>
    <w:rsid w:val="007D6D13"/>
    <w:rsid w:val="007D6D1F"/>
    <w:rsid w:val="007D6E81"/>
    <w:rsid w:val="007D6E9A"/>
    <w:rsid w:val="007D6F52"/>
    <w:rsid w:val="007D6F56"/>
    <w:rsid w:val="007D6F79"/>
    <w:rsid w:val="007D701E"/>
    <w:rsid w:val="007D703C"/>
    <w:rsid w:val="007D7089"/>
    <w:rsid w:val="007D7261"/>
    <w:rsid w:val="007D750B"/>
    <w:rsid w:val="007D7594"/>
    <w:rsid w:val="007D7598"/>
    <w:rsid w:val="007D773E"/>
    <w:rsid w:val="007D7837"/>
    <w:rsid w:val="007D78A0"/>
    <w:rsid w:val="007D78A9"/>
    <w:rsid w:val="007D7A46"/>
    <w:rsid w:val="007D7B6C"/>
    <w:rsid w:val="007D7C9E"/>
    <w:rsid w:val="007D7F42"/>
    <w:rsid w:val="007E0102"/>
    <w:rsid w:val="007E0114"/>
    <w:rsid w:val="007E018E"/>
    <w:rsid w:val="007E0215"/>
    <w:rsid w:val="007E0365"/>
    <w:rsid w:val="007E043B"/>
    <w:rsid w:val="007E0855"/>
    <w:rsid w:val="007E0937"/>
    <w:rsid w:val="007E0B23"/>
    <w:rsid w:val="007E0BFC"/>
    <w:rsid w:val="007E0C51"/>
    <w:rsid w:val="007E0DB6"/>
    <w:rsid w:val="007E1004"/>
    <w:rsid w:val="007E1046"/>
    <w:rsid w:val="007E117C"/>
    <w:rsid w:val="007E12D4"/>
    <w:rsid w:val="007E12E5"/>
    <w:rsid w:val="007E1300"/>
    <w:rsid w:val="007E1386"/>
    <w:rsid w:val="007E14FB"/>
    <w:rsid w:val="007E15FF"/>
    <w:rsid w:val="007E165B"/>
    <w:rsid w:val="007E1742"/>
    <w:rsid w:val="007E1EF9"/>
    <w:rsid w:val="007E21C2"/>
    <w:rsid w:val="007E22EC"/>
    <w:rsid w:val="007E24D4"/>
    <w:rsid w:val="007E2539"/>
    <w:rsid w:val="007E265F"/>
    <w:rsid w:val="007E27A3"/>
    <w:rsid w:val="007E27A9"/>
    <w:rsid w:val="007E2914"/>
    <w:rsid w:val="007E29E8"/>
    <w:rsid w:val="007E2B73"/>
    <w:rsid w:val="007E2D6B"/>
    <w:rsid w:val="007E306A"/>
    <w:rsid w:val="007E30F6"/>
    <w:rsid w:val="007E330B"/>
    <w:rsid w:val="007E3387"/>
    <w:rsid w:val="007E34AC"/>
    <w:rsid w:val="007E34FD"/>
    <w:rsid w:val="007E3D29"/>
    <w:rsid w:val="007E3D56"/>
    <w:rsid w:val="007E3E43"/>
    <w:rsid w:val="007E3E51"/>
    <w:rsid w:val="007E3E74"/>
    <w:rsid w:val="007E4357"/>
    <w:rsid w:val="007E4480"/>
    <w:rsid w:val="007E44AA"/>
    <w:rsid w:val="007E473C"/>
    <w:rsid w:val="007E47FB"/>
    <w:rsid w:val="007E4881"/>
    <w:rsid w:val="007E4911"/>
    <w:rsid w:val="007E4972"/>
    <w:rsid w:val="007E4B6C"/>
    <w:rsid w:val="007E4CB6"/>
    <w:rsid w:val="007E4DCC"/>
    <w:rsid w:val="007E4DD0"/>
    <w:rsid w:val="007E4EE8"/>
    <w:rsid w:val="007E4F1B"/>
    <w:rsid w:val="007E504B"/>
    <w:rsid w:val="007E5133"/>
    <w:rsid w:val="007E5187"/>
    <w:rsid w:val="007E5311"/>
    <w:rsid w:val="007E5446"/>
    <w:rsid w:val="007E59E3"/>
    <w:rsid w:val="007E5ABA"/>
    <w:rsid w:val="007E5B3C"/>
    <w:rsid w:val="007E5B81"/>
    <w:rsid w:val="007E5C09"/>
    <w:rsid w:val="007E5CDB"/>
    <w:rsid w:val="007E5E7E"/>
    <w:rsid w:val="007E6084"/>
    <w:rsid w:val="007E6122"/>
    <w:rsid w:val="007E6199"/>
    <w:rsid w:val="007E629E"/>
    <w:rsid w:val="007E63C5"/>
    <w:rsid w:val="007E660D"/>
    <w:rsid w:val="007E66A5"/>
    <w:rsid w:val="007E6742"/>
    <w:rsid w:val="007E69E4"/>
    <w:rsid w:val="007E6A49"/>
    <w:rsid w:val="007E6C39"/>
    <w:rsid w:val="007E6D74"/>
    <w:rsid w:val="007E6DC4"/>
    <w:rsid w:val="007E6EB2"/>
    <w:rsid w:val="007E711B"/>
    <w:rsid w:val="007E7226"/>
    <w:rsid w:val="007E72B0"/>
    <w:rsid w:val="007E7583"/>
    <w:rsid w:val="007E7603"/>
    <w:rsid w:val="007E761D"/>
    <w:rsid w:val="007E7740"/>
    <w:rsid w:val="007E782D"/>
    <w:rsid w:val="007E7978"/>
    <w:rsid w:val="007E7BDC"/>
    <w:rsid w:val="007E7BDE"/>
    <w:rsid w:val="007E7D84"/>
    <w:rsid w:val="007E7DC1"/>
    <w:rsid w:val="007E7EA5"/>
    <w:rsid w:val="007F0000"/>
    <w:rsid w:val="007F01A1"/>
    <w:rsid w:val="007F035D"/>
    <w:rsid w:val="007F05A9"/>
    <w:rsid w:val="007F070D"/>
    <w:rsid w:val="007F0841"/>
    <w:rsid w:val="007F08F7"/>
    <w:rsid w:val="007F098A"/>
    <w:rsid w:val="007F09F8"/>
    <w:rsid w:val="007F09F9"/>
    <w:rsid w:val="007F0BCC"/>
    <w:rsid w:val="007F0C98"/>
    <w:rsid w:val="007F0DCD"/>
    <w:rsid w:val="007F1003"/>
    <w:rsid w:val="007F1191"/>
    <w:rsid w:val="007F11EC"/>
    <w:rsid w:val="007F1270"/>
    <w:rsid w:val="007F1362"/>
    <w:rsid w:val="007F153A"/>
    <w:rsid w:val="007F19CA"/>
    <w:rsid w:val="007F1A92"/>
    <w:rsid w:val="007F1A9A"/>
    <w:rsid w:val="007F1AE2"/>
    <w:rsid w:val="007F1CF0"/>
    <w:rsid w:val="007F1DC4"/>
    <w:rsid w:val="007F1F2F"/>
    <w:rsid w:val="007F1FCA"/>
    <w:rsid w:val="007F2122"/>
    <w:rsid w:val="007F216F"/>
    <w:rsid w:val="007F22F6"/>
    <w:rsid w:val="007F2420"/>
    <w:rsid w:val="007F25B5"/>
    <w:rsid w:val="007F2658"/>
    <w:rsid w:val="007F26F5"/>
    <w:rsid w:val="007F27D2"/>
    <w:rsid w:val="007F2952"/>
    <w:rsid w:val="007F2AB1"/>
    <w:rsid w:val="007F2D3A"/>
    <w:rsid w:val="007F2ED3"/>
    <w:rsid w:val="007F2F2F"/>
    <w:rsid w:val="007F3055"/>
    <w:rsid w:val="007F3251"/>
    <w:rsid w:val="007F3332"/>
    <w:rsid w:val="007F36A6"/>
    <w:rsid w:val="007F3768"/>
    <w:rsid w:val="007F38A4"/>
    <w:rsid w:val="007F38E8"/>
    <w:rsid w:val="007F390F"/>
    <w:rsid w:val="007F39DA"/>
    <w:rsid w:val="007F3A61"/>
    <w:rsid w:val="007F3B36"/>
    <w:rsid w:val="007F3CE0"/>
    <w:rsid w:val="007F3D09"/>
    <w:rsid w:val="007F3D79"/>
    <w:rsid w:val="007F3DA6"/>
    <w:rsid w:val="007F3DD4"/>
    <w:rsid w:val="007F3FB3"/>
    <w:rsid w:val="007F4012"/>
    <w:rsid w:val="007F4090"/>
    <w:rsid w:val="007F42A7"/>
    <w:rsid w:val="007F4338"/>
    <w:rsid w:val="007F43A8"/>
    <w:rsid w:val="007F43AA"/>
    <w:rsid w:val="007F44BE"/>
    <w:rsid w:val="007F456C"/>
    <w:rsid w:val="007F45F7"/>
    <w:rsid w:val="007F463C"/>
    <w:rsid w:val="007F46C3"/>
    <w:rsid w:val="007F47B2"/>
    <w:rsid w:val="007F47DA"/>
    <w:rsid w:val="007F4819"/>
    <w:rsid w:val="007F4AEB"/>
    <w:rsid w:val="007F4BE1"/>
    <w:rsid w:val="007F4F10"/>
    <w:rsid w:val="007F5045"/>
    <w:rsid w:val="007F548E"/>
    <w:rsid w:val="007F5659"/>
    <w:rsid w:val="007F56E4"/>
    <w:rsid w:val="007F5B8E"/>
    <w:rsid w:val="007F5D55"/>
    <w:rsid w:val="007F5D70"/>
    <w:rsid w:val="007F61AC"/>
    <w:rsid w:val="007F631B"/>
    <w:rsid w:val="007F632C"/>
    <w:rsid w:val="007F63DD"/>
    <w:rsid w:val="007F63F5"/>
    <w:rsid w:val="007F6481"/>
    <w:rsid w:val="007F661B"/>
    <w:rsid w:val="007F6C36"/>
    <w:rsid w:val="007F6EA6"/>
    <w:rsid w:val="007F6F20"/>
    <w:rsid w:val="007F7066"/>
    <w:rsid w:val="007F72C0"/>
    <w:rsid w:val="007F73B5"/>
    <w:rsid w:val="007F73D2"/>
    <w:rsid w:val="007F74EC"/>
    <w:rsid w:val="007F75E6"/>
    <w:rsid w:val="007F75F5"/>
    <w:rsid w:val="007F7643"/>
    <w:rsid w:val="007F77B1"/>
    <w:rsid w:val="007F788F"/>
    <w:rsid w:val="007F7983"/>
    <w:rsid w:val="007F7A24"/>
    <w:rsid w:val="007F7BDB"/>
    <w:rsid w:val="007F7D30"/>
    <w:rsid w:val="007F7D32"/>
    <w:rsid w:val="007F7E74"/>
    <w:rsid w:val="008000FD"/>
    <w:rsid w:val="00800114"/>
    <w:rsid w:val="00800223"/>
    <w:rsid w:val="00800402"/>
    <w:rsid w:val="00800703"/>
    <w:rsid w:val="00800835"/>
    <w:rsid w:val="0080092E"/>
    <w:rsid w:val="0080097B"/>
    <w:rsid w:val="00800A4E"/>
    <w:rsid w:val="00800ACB"/>
    <w:rsid w:val="00800BC6"/>
    <w:rsid w:val="00800DD0"/>
    <w:rsid w:val="00800DDC"/>
    <w:rsid w:val="008010D7"/>
    <w:rsid w:val="008011AE"/>
    <w:rsid w:val="00801203"/>
    <w:rsid w:val="00801392"/>
    <w:rsid w:val="008014E3"/>
    <w:rsid w:val="00801590"/>
    <w:rsid w:val="008015EB"/>
    <w:rsid w:val="008017B8"/>
    <w:rsid w:val="00801843"/>
    <w:rsid w:val="0080193B"/>
    <w:rsid w:val="00801A53"/>
    <w:rsid w:val="00801ACB"/>
    <w:rsid w:val="00801AE7"/>
    <w:rsid w:val="00801B15"/>
    <w:rsid w:val="00801C92"/>
    <w:rsid w:val="00801F2E"/>
    <w:rsid w:val="00801FE6"/>
    <w:rsid w:val="0080206A"/>
    <w:rsid w:val="008020A8"/>
    <w:rsid w:val="00802122"/>
    <w:rsid w:val="008021C0"/>
    <w:rsid w:val="008021FF"/>
    <w:rsid w:val="0080228D"/>
    <w:rsid w:val="008025D2"/>
    <w:rsid w:val="00802716"/>
    <w:rsid w:val="008027B0"/>
    <w:rsid w:val="00802835"/>
    <w:rsid w:val="00802863"/>
    <w:rsid w:val="00802ADB"/>
    <w:rsid w:val="00802C2C"/>
    <w:rsid w:val="00802E3C"/>
    <w:rsid w:val="00802E77"/>
    <w:rsid w:val="00803094"/>
    <w:rsid w:val="008031F7"/>
    <w:rsid w:val="0080368A"/>
    <w:rsid w:val="00803716"/>
    <w:rsid w:val="0080373E"/>
    <w:rsid w:val="008038A5"/>
    <w:rsid w:val="008038B0"/>
    <w:rsid w:val="00803932"/>
    <w:rsid w:val="00803B5F"/>
    <w:rsid w:val="00803BA3"/>
    <w:rsid w:val="00803DA2"/>
    <w:rsid w:val="00803E9E"/>
    <w:rsid w:val="0080409C"/>
    <w:rsid w:val="008040E6"/>
    <w:rsid w:val="00804260"/>
    <w:rsid w:val="0080434D"/>
    <w:rsid w:val="00804379"/>
    <w:rsid w:val="008043D9"/>
    <w:rsid w:val="0080441A"/>
    <w:rsid w:val="00804609"/>
    <w:rsid w:val="008046C6"/>
    <w:rsid w:val="00804953"/>
    <w:rsid w:val="008049BA"/>
    <w:rsid w:val="00804A83"/>
    <w:rsid w:val="00804AA5"/>
    <w:rsid w:val="00804C54"/>
    <w:rsid w:val="00804C9E"/>
    <w:rsid w:val="00804D59"/>
    <w:rsid w:val="00804DC4"/>
    <w:rsid w:val="008050CD"/>
    <w:rsid w:val="0080537E"/>
    <w:rsid w:val="008054FD"/>
    <w:rsid w:val="00805584"/>
    <w:rsid w:val="008055CA"/>
    <w:rsid w:val="008057A7"/>
    <w:rsid w:val="0080586A"/>
    <w:rsid w:val="00805892"/>
    <w:rsid w:val="008058C2"/>
    <w:rsid w:val="00805A89"/>
    <w:rsid w:val="00805AE2"/>
    <w:rsid w:val="00805D67"/>
    <w:rsid w:val="00805EDF"/>
    <w:rsid w:val="008060BD"/>
    <w:rsid w:val="0080618E"/>
    <w:rsid w:val="0080619C"/>
    <w:rsid w:val="00806297"/>
    <w:rsid w:val="008063BD"/>
    <w:rsid w:val="008063D1"/>
    <w:rsid w:val="0080659D"/>
    <w:rsid w:val="008068AA"/>
    <w:rsid w:val="00806917"/>
    <w:rsid w:val="00806B1D"/>
    <w:rsid w:val="00806C97"/>
    <w:rsid w:val="00806D10"/>
    <w:rsid w:val="00806ECD"/>
    <w:rsid w:val="00806F18"/>
    <w:rsid w:val="00806F91"/>
    <w:rsid w:val="0080727B"/>
    <w:rsid w:val="008072C9"/>
    <w:rsid w:val="00807388"/>
    <w:rsid w:val="00807435"/>
    <w:rsid w:val="00807496"/>
    <w:rsid w:val="00807527"/>
    <w:rsid w:val="00807531"/>
    <w:rsid w:val="0080766D"/>
    <w:rsid w:val="008076EB"/>
    <w:rsid w:val="008078F3"/>
    <w:rsid w:val="00807A9F"/>
    <w:rsid w:val="00807BF1"/>
    <w:rsid w:val="00807C41"/>
    <w:rsid w:val="00807C94"/>
    <w:rsid w:val="00807D06"/>
    <w:rsid w:val="00807E12"/>
    <w:rsid w:val="00810091"/>
    <w:rsid w:val="008100BB"/>
    <w:rsid w:val="0081022B"/>
    <w:rsid w:val="008102B6"/>
    <w:rsid w:val="008102BF"/>
    <w:rsid w:val="008103A3"/>
    <w:rsid w:val="0081050B"/>
    <w:rsid w:val="00810564"/>
    <w:rsid w:val="00810566"/>
    <w:rsid w:val="0081076F"/>
    <w:rsid w:val="00810845"/>
    <w:rsid w:val="0081088D"/>
    <w:rsid w:val="00810900"/>
    <w:rsid w:val="0081097A"/>
    <w:rsid w:val="00810A68"/>
    <w:rsid w:val="00810C53"/>
    <w:rsid w:val="00810F7E"/>
    <w:rsid w:val="00810FC8"/>
    <w:rsid w:val="00811130"/>
    <w:rsid w:val="008111AF"/>
    <w:rsid w:val="00811249"/>
    <w:rsid w:val="00811252"/>
    <w:rsid w:val="0081131C"/>
    <w:rsid w:val="008113AC"/>
    <w:rsid w:val="008113F2"/>
    <w:rsid w:val="00811655"/>
    <w:rsid w:val="0081168A"/>
    <w:rsid w:val="00811726"/>
    <w:rsid w:val="008118FC"/>
    <w:rsid w:val="0081195B"/>
    <w:rsid w:val="00811A9E"/>
    <w:rsid w:val="00811BE7"/>
    <w:rsid w:val="00811FCF"/>
    <w:rsid w:val="008120A7"/>
    <w:rsid w:val="0081219B"/>
    <w:rsid w:val="008122A3"/>
    <w:rsid w:val="008126A1"/>
    <w:rsid w:val="00812722"/>
    <w:rsid w:val="00812AFE"/>
    <w:rsid w:val="00812B10"/>
    <w:rsid w:val="0081311F"/>
    <w:rsid w:val="0081327C"/>
    <w:rsid w:val="008132E5"/>
    <w:rsid w:val="00813513"/>
    <w:rsid w:val="0081363B"/>
    <w:rsid w:val="008139AF"/>
    <w:rsid w:val="008139B9"/>
    <w:rsid w:val="00813A44"/>
    <w:rsid w:val="00813BAF"/>
    <w:rsid w:val="00813CA4"/>
    <w:rsid w:val="00813E02"/>
    <w:rsid w:val="00814309"/>
    <w:rsid w:val="00814350"/>
    <w:rsid w:val="00814361"/>
    <w:rsid w:val="008143E1"/>
    <w:rsid w:val="008144A2"/>
    <w:rsid w:val="00814507"/>
    <w:rsid w:val="0081462E"/>
    <w:rsid w:val="00814630"/>
    <w:rsid w:val="0081483C"/>
    <w:rsid w:val="0081483E"/>
    <w:rsid w:val="00814901"/>
    <w:rsid w:val="0081495B"/>
    <w:rsid w:val="00814D7B"/>
    <w:rsid w:val="00814EF1"/>
    <w:rsid w:val="00814FE4"/>
    <w:rsid w:val="00814FE9"/>
    <w:rsid w:val="00815101"/>
    <w:rsid w:val="00815328"/>
    <w:rsid w:val="0081533F"/>
    <w:rsid w:val="00815554"/>
    <w:rsid w:val="00815E5D"/>
    <w:rsid w:val="00816169"/>
    <w:rsid w:val="00816328"/>
    <w:rsid w:val="00816379"/>
    <w:rsid w:val="0081653C"/>
    <w:rsid w:val="0081655B"/>
    <w:rsid w:val="008165CA"/>
    <w:rsid w:val="008168CF"/>
    <w:rsid w:val="00816955"/>
    <w:rsid w:val="00816AE0"/>
    <w:rsid w:val="00816BBC"/>
    <w:rsid w:val="00816C57"/>
    <w:rsid w:val="00816F6C"/>
    <w:rsid w:val="00816FC2"/>
    <w:rsid w:val="00817023"/>
    <w:rsid w:val="0081706A"/>
    <w:rsid w:val="0081728D"/>
    <w:rsid w:val="00817407"/>
    <w:rsid w:val="00817420"/>
    <w:rsid w:val="008174E0"/>
    <w:rsid w:val="00817508"/>
    <w:rsid w:val="00817755"/>
    <w:rsid w:val="00817826"/>
    <w:rsid w:val="00817934"/>
    <w:rsid w:val="00817B44"/>
    <w:rsid w:val="00817C27"/>
    <w:rsid w:val="00817C79"/>
    <w:rsid w:val="00817D91"/>
    <w:rsid w:val="00817DE6"/>
    <w:rsid w:val="00817EB3"/>
    <w:rsid w:val="00817FAC"/>
    <w:rsid w:val="00817FE3"/>
    <w:rsid w:val="008201F7"/>
    <w:rsid w:val="008203C5"/>
    <w:rsid w:val="008203E0"/>
    <w:rsid w:val="008207D8"/>
    <w:rsid w:val="00820ADB"/>
    <w:rsid w:val="00820D27"/>
    <w:rsid w:val="00820F33"/>
    <w:rsid w:val="00821050"/>
    <w:rsid w:val="008211D2"/>
    <w:rsid w:val="00821203"/>
    <w:rsid w:val="00821332"/>
    <w:rsid w:val="00821453"/>
    <w:rsid w:val="0082148B"/>
    <w:rsid w:val="00821494"/>
    <w:rsid w:val="008214FC"/>
    <w:rsid w:val="00821515"/>
    <w:rsid w:val="0082165A"/>
    <w:rsid w:val="0082178B"/>
    <w:rsid w:val="00821B53"/>
    <w:rsid w:val="00821EB2"/>
    <w:rsid w:val="00821EC3"/>
    <w:rsid w:val="0082233D"/>
    <w:rsid w:val="00822349"/>
    <w:rsid w:val="00822531"/>
    <w:rsid w:val="0082257F"/>
    <w:rsid w:val="00822715"/>
    <w:rsid w:val="00822878"/>
    <w:rsid w:val="00822889"/>
    <w:rsid w:val="008228C5"/>
    <w:rsid w:val="008229E9"/>
    <w:rsid w:val="00822BF2"/>
    <w:rsid w:val="00822EB7"/>
    <w:rsid w:val="00823123"/>
    <w:rsid w:val="008233F5"/>
    <w:rsid w:val="00823409"/>
    <w:rsid w:val="00823475"/>
    <w:rsid w:val="0082348F"/>
    <w:rsid w:val="00823631"/>
    <w:rsid w:val="008236C5"/>
    <w:rsid w:val="00823721"/>
    <w:rsid w:val="00823798"/>
    <w:rsid w:val="008237E5"/>
    <w:rsid w:val="00823A61"/>
    <w:rsid w:val="00823C15"/>
    <w:rsid w:val="00823C86"/>
    <w:rsid w:val="00823E83"/>
    <w:rsid w:val="00823EA8"/>
    <w:rsid w:val="00823F32"/>
    <w:rsid w:val="00824012"/>
    <w:rsid w:val="00824124"/>
    <w:rsid w:val="0082432A"/>
    <w:rsid w:val="00824537"/>
    <w:rsid w:val="00824D00"/>
    <w:rsid w:val="00824F8F"/>
    <w:rsid w:val="008251D1"/>
    <w:rsid w:val="0082521B"/>
    <w:rsid w:val="0082523F"/>
    <w:rsid w:val="0082542D"/>
    <w:rsid w:val="008256DB"/>
    <w:rsid w:val="008256EF"/>
    <w:rsid w:val="00825925"/>
    <w:rsid w:val="00825947"/>
    <w:rsid w:val="0082594F"/>
    <w:rsid w:val="00825A52"/>
    <w:rsid w:val="00825D12"/>
    <w:rsid w:val="00825DA2"/>
    <w:rsid w:val="00825DB9"/>
    <w:rsid w:val="00825F7E"/>
    <w:rsid w:val="00826234"/>
    <w:rsid w:val="00826327"/>
    <w:rsid w:val="008263D7"/>
    <w:rsid w:val="00826488"/>
    <w:rsid w:val="00826600"/>
    <w:rsid w:val="008268F7"/>
    <w:rsid w:val="0082694D"/>
    <w:rsid w:val="00826AD7"/>
    <w:rsid w:val="00826B04"/>
    <w:rsid w:val="00826BAB"/>
    <w:rsid w:val="00826C1E"/>
    <w:rsid w:val="00826C7F"/>
    <w:rsid w:val="00826D27"/>
    <w:rsid w:val="00826D86"/>
    <w:rsid w:val="00826EE0"/>
    <w:rsid w:val="00826FC5"/>
    <w:rsid w:val="00826FCB"/>
    <w:rsid w:val="00826FEB"/>
    <w:rsid w:val="00827031"/>
    <w:rsid w:val="008270B4"/>
    <w:rsid w:val="0082717F"/>
    <w:rsid w:val="0082742C"/>
    <w:rsid w:val="00827692"/>
    <w:rsid w:val="00827755"/>
    <w:rsid w:val="008277EB"/>
    <w:rsid w:val="008277EC"/>
    <w:rsid w:val="00827900"/>
    <w:rsid w:val="00827914"/>
    <w:rsid w:val="00827A72"/>
    <w:rsid w:val="00827AA9"/>
    <w:rsid w:val="00827D81"/>
    <w:rsid w:val="00827D8B"/>
    <w:rsid w:val="00830182"/>
    <w:rsid w:val="00830221"/>
    <w:rsid w:val="008302EC"/>
    <w:rsid w:val="008303A1"/>
    <w:rsid w:val="00830408"/>
    <w:rsid w:val="00830415"/>
    <w:rsid w:val="008304D5"/>
    <w:rsid w:val="0083084A"/>
    <w:rsid w:val="00830962"/>
    <w:rsid w:val="00830ED8"/>
    <w:rsid w:val="00830EF6"/>
    <w:rsid w:val="00831113"/>
    <w:rsid w:val="0083121A"/>
    <w:rsid w:val="0083123B"/>
    <w:rsid w:val="00831331"/>
    <w:rsid w:val="0083133A"/>
    <w:rsid w:val="00831599"/>
    <w:rsid w:val="008315C5"/>
    <w:rsid w:val="00831615"/>
    <w:rsid w:val="008316AD"/>
    <w:rsid w:val="008316FE"/>
    <w:rsid w:val="00831BA0"/>
    <w:rsid w:val="00832008"/>
    <w:rsid w:val="0083213B"/>
    <w:rsid w:val="00832282"/>
    <w:rsid w:val="0083230B"/>
    <w:rsid w:val="00832571"/>
    <w:rsid w:val="00832627"/>
    <w:rsid w:val="008326CD"/>
    <w:rsid w:val="00832827"/>
    <w:rsid w:val="008328F0"/>
    <w:rsid w:val="00832927"/>
    <w:rsid w:val="008329DB"/>
    <w:rsid w:val="008329FF"/>
    <w:rsid w:val="00832CB5"/>
    <w:rsid w:val="00832F40"/>
    <w:rsid w:val="00833178"/>
    <w:rsid w:val="00833325"/>
    <w:rsid w:val="008333C0"/>
    <w:rsid w:val="008334B5"/>
    <w:rsid w:val="008334F1"/>
    <w:rsid w:val="00833623"/>
    <w:rsid w:val="0083363D"/>
    <w:rsid w:val="00833823"/>
    <w:rsid w:val="0083394B"/>
    <w:rsid w:val="008339C0"/>
    <w:rsid w:val="008339E7"/>
    <w:rsid w:val="00833B43"/>
    <w:rsid w:val="00833BAA"/>
    <w:rsid w:val="00833C10"/>
    <w:rsid w:val="00833D0A"/>
    <w:rsid w:val="00833F56"/>
    <w:rsid w:val="008342D9"/>
    <w:rsid w:val="0083430E"/>
    <w:rsid w:val="0083434C"/>
    <w:rsid w:val="0083435A"/>
    <w:rsid w:val="0083455F"/>
    <w:rsid w:val="00834633"/>
    <w:rsid w:val="00834708"/>
    <w:rsid w:val="00834750"/>
    <w:rsid w:val="00834801"/>
    <w:rsid w:val="008349F3"/>
    <w:rsid w:val="00834AB6"/>
    <w:rsid w:val="00834B98"/>
    <w:rsid w:val="00834BB2"/>
    <w:rsid w:val="00834F08"/>
    <w:rsid w:val="00835279"/>
    <w:rsid w:val="008352C2"/>
    <w:rsid w:val="00835302"/>
    <w:rsid w:val="0083533C"/>
    <w:rsid w:val="0083535A"/>
    <w:rsid w:val="00835449"/>
    <w:rsid w:val="0083544C"/>
    <w:rsid w:val="00835595"/>
    <w:rsid w:val="0083584A"/>
    <w:rsid w:val="008359E3"/>
    <w:rsid w:val="008359E6"/>
    <w:rsid w:val="00835A59"/>
    <w:rsid w:val="00835CFA"/>
    <w:rsid w:val="00835EC4"/>
    <w:rsid w:val="00835F17"/>
    <w:rsid w:val="0083613C"/>
    <w:rsid w:val="0083617E"/>
    <w:rsid w:val="00836366"/>
    <w:rsid w:val="00836378"/>
    <w:rsid w:val="00836460"/>
    <w:rsid w:val="0083672B"/>
    <w:rsid w:val="0083678D"/>
    <w:rsid w:val="008368DE"/>
    <w:rsid w:val="00836964"/>
    <w:rsid w:val="008369F3"/>
    <w:rsid w:val="00836CDD"/>
    <w:rsid w:val="008372C1"/>
    <w:rsid w:val="00837578"/>
    <w:rsid w:val="00837695"/>
    <w:rsid w:val="00837951"/>
    <w:rsid w:val="00837A92"/>
    <w:rsid w:val="00837AE0"/>
    <w:rsid w:val="00837B57"/>
    <w:rsid w:val="00837B93"/>
    <w:rsid w:val="00837BDA"/>
    <w:rsid w:val="00837F11"/>
    <w:rsid w:val="008400D1"/>
    <w:rsid w:val="008402FC"/>
    <w:rsid w:val="0084041B"/>
    <w:rsid w:val="0084043F"/>
    <w:rsid w:val="00840555"/>
    <w:rsid w:val="0084079C"/>
    <w:rsid w:val="0084081E"/>
    <w:rsid w:val="008408B7"/>
    <w:rsid w:val="00840946"/>
    <w:rsid w:val="00840A57"/>
    <w:rsid w:val="00840B02"/>
    <w:rsid w:val="00840CA1"/>
    <w:rsid w:val="00840EC9"/>
    <w:rsid w:val="00840FA8"/>
    <w:rsid w:val="0084101E"/>
    <w:rsid w:val="008412F8"/>
    <w:rsid w:val="00841550"/>
    <w:rsid w:val="00841599"/>
    <w:rsid w:val="0084167C"/>
    <w:rsid w:val="008416B2"/>
    <w:rsid w:val="0084173B"/>
    <w:rsid w:val="0084180D"/>
    <w:rsid w:val="00841AD6"/>
    <w:rsid w:val="00841D2F"/>
    <w:rsid w:val="00841E58"/>
    <w:rsid w:val="00841EAD"/>
    <w:rsid w:val="00842196"/>
    <w:rsid w:val="008423FB"/>
    <w:rsid w:val="008428E8"/>
    <w:rsid w:val="008429C9"/>
    <w:rsid w:val="00842AEA"/>
    <w:rsid w:val="00842C28"/>
    <w:rsid w:val="00842CD5"/>
    <w:rsid w:val="00842D0B"/>
    <w:rsid w:val="00842F86"/>
    <w:rsid w:val="00842F8A"/>
    <w:rsid w:val="0084315C"/>
    <w:rsid w:val="008435A6"/>
    <w:rsid w:val="008436F2"/>
    <w:rsid w:val="0084391F"/>
    <w:rsid w:val="00843A41"/>
    <w:rsid w:val="00843CE3"/>
    <w:rsid w:val="00844009"/>
    <w:rsid w:val="008440CA"/>
    <w:rsid w:val="0084417F"/>
    <w:rsid w:val="008441AF"/>
    <w:rsid w:val="008445DB"/>
    <w:rsid w:val="008447BF"/>
    <w:rsid w:val="008447D6"/>
    <w:rsid w:val="008448CE"/>
    <w:rsid w:val="00844995"/>
    <w:rsid w:val="008449D8"/>
    <w:rsid w:val="00844A22"/>
    <w:rsid w:val="00844C6A"/>
    <w:rsid w:val="00844C92"/>
    <w:rsid w:val="0084520A"/>
    <w:rsid w:val="00845213"/>
    <w:rsid w:val="008452D6"/>
    <w:rsid w:val="00845455"/>
    <w:rsid w:val="008455E6"/>
    <w:rsid w:val="008456AF"/>
    <w:rsid w:val="00845780"/>
    <w:rsid w:val="008459F1"/>
    <w:rsid w:val="00845A5D"/>
    <w:rsid w:val="00845C54"/>
    <w:rsid w:val="00845C92"/>
    <w:rsid w:val="00845D17"/>
    <w:rsid w:val="00845DD1"/>
    <w:rsid w:val="00845DFF"/>
    <w:rsid w:val="00845F08"/>
    <w:rsid w:val="008460FA"/>
    <w:rsid w:val="0084610F"/>
    <w:rsid w:val="008461E3"/>
    <w:rsid w:val="00846347"/>
    <w:rsid w:val="00846558"/>
    <w:rsid w:val="00846714"/>
    <w:rsid w:val="0084673D"/>
    <w:rsid w:val="00846753"/>
    <w:rsid w:val="008467D7"/>
    <w:rsid w:val="00846B5F"/>
    <w:rsid w:val="00846DDE"/>
    <w:rsid w:val="00847006"/>
    <w:rsid w:val="00847290"/>
    <w:rsid w:val="0084729E"/>
    <w:rsid w:val="008476C2"/>
    <w:rsid w:val="008478BA"/>
    <w:rsid w:val="00847952"/>
    <w:rsid w:val="00847A22"/>
    <w:rsid w:val="00847AA2"/>
    <w:rsid w:val="00847B2E"/>
    <w:rsid w:val="00847C67"/>
    <w:rsid w:val="00847F4E"/>
    <w:rsid w:val="00850111"/>
    <w:rsid w:val="00850128"/>
    <w:rsid w:val="00850391"/>
    <w:rsid w:val="0085039E"/>
    <w:rsid w:val="00850449"/>
    <w:rsid w:val="00850498"/>
    <w:rsid w:val="00850512"/>
    <w:rsid w:val="008506E7"/>
    <w:rsid w:val="00850800"/>
    <w:rsid w:val="00850BB9"/>
    <w:rsid w:val="00850C2A"/>
    <w:rsid w:val="00850DC4"/>
    <w:rsid w:val="00850EFF"/>
    <w:rsid w:val="00850FCB"/>
    <w:rsid w:val="00851101"/>
    <w:rsid w:val="0085115E"/>
    <w:rsid w:val="0085133A"/>
    <w:rsid w:val="008515B9"/>
    <w:rsid w:val="008517A5"/>
    <w:rsid w:val="0085184C"/>
    <w:rsid w:val="008518BC"/>
    <w:rsid w:val="00851BB8"/>
    <w:rsid w:val="00851CA6"/>
    <w:rsid w:val="00851DB9"/>
    <w:rsid w:val="00851DC0"/>
    <w:rsid w:val="00851DCD"/>
    <w:rsid w:val="00851DFB"/>
    <w:rsid w:val="00852017"/>
    <w:rsid w:val="008523D1"/>
    <w:rsid w:val="0085240A"/>
    <w:rsid w:val="008526A1"/>
    <w:rsid w:val="008528CB"/>
    <w:rsid w:val="0085295A"/>
    <w:rsid w:val="00852B62"/>
    <w:rsid w:val="00852F0E"/>
    <w:rsid w:val="008530DB"/>
    <w:rsid w:val="008532C5"/>
    <w:rsid w:val="008533C0"/>
    <w:rsid w:val="00853514"/>
    <w:rsid w:val="008539D2"/>
    <w:rsid w:val="00853CBE"/>
    <w:rsid w:val="00853D3E"/>
    <w:rsid w:val="00853D55"/>
    <w:rsid w:val="00853D99"/>
    <w:rsid w:val="00853E61"/>
    <w:rsid w:val="00853EB9"/>
    <w:rsid w:val="00853F4E"/>
    <w:rsid w:val="0085408A"/>
    <w:rsid w:val="008540C6"/>
    <w:rsid w:val="008541A4"/>
    <w:rsid w:val="008545C9"/>
    <w:rsid w:val="00854957"/>
    <w:rsid w:val="00854A8C"/>
    <w:rsid w:val="00854ABB"/>
    <w:rsid w:val="00854B52"/>
    <w:rsid w:val="00854BD2"/>
    <w:rsid w:val="00854F00"/>
    <w:rsid w:val="00854F3F"/>
    <w:rsid w:val="00854F59"/>
    <w:rsid w:val="00854F5F"/>
    <w:rsid w:val="00855014"/>
    <w:rsid w:val="008550A3"/>
    <w:rsid w:val="0085511D"/>
    <w:rsid w:val="0085520D"/>
    <w:rsid w:val="008553AF"/>
    <w:rsid w:val="00855805"/>
    <w:rsid w:val="008558A5"/>
    <w:rsid w:val="00855C18"/>
    <w:rsid w:val="00855CE0"/>
    <w:rsid w:val="00855D30"/>
    <w:rsid w:val="0085609B"/>
    <w:rsid w:val="00856215"/>
    <w:rsid w:val="008565E4"/>
    <w:rsid w:val="00856799"/>
    <w:rsid w:val="008568F7"/>
    <w:rsid w:val="0085693A"/>
    <w:rsid w:val="00856990"/>
    <w:rsid w:val="00856C5B"/>
    <w:rsid w:val="00856D3C"/>
    <w:rsid w:val="00856F57"/>
    <w:rsid w:val="008570E2"/>
    <w:rsid w:val="008571D3"/>
    <w:rsid w:val="00857206"/>
    <w:rsid w:val="0085721C"/>
    <w:rsid w:val="008572C3"/>
    <w:rsid w:val="008572F2"/>
    <w:rsid w:val="00857425"/>
    <w:rsid w:val="0085748E"/>
    <w:rsid w:val="0085762B"/>
    <w:rsid w:val="00857679"/>
    <w:rsid w:val="0085778D"/>
    <w:rsid w:val="008579AA"/>
    <w:rsid w:val="008579E8"/>
    <w:rsid w:val="00857A07"/>
    <w:rsid w:val="00857A5F"/>
    <w:rsid w:val="00857B70"/>
    <w:rsid w:val="00857B74"/>
    <w:rsid w:val="00857C2F"/>
    <w:rsid w:val="00857C71"/>
    <w:rsid w:val="00857ECB"/>
    <w:rsid w:val="00857F12"/>
    <w:rsid w:val="0086003E"/>
    <w:rsid w:val="00860150"/>
    <w:rsid w:val="008601F0"/>
    <w:rsid w:val="0086034A"/>
    <w:rsid w:val="008604D8"/>
    <w:rsid w:val="008604FB"/>
    <w:rsid w:val="008605C9"/>
    <w:rsid w:val="00860684"/>
    <w:rsid w:val="00860904"/>
    <w:rsid w:val="00860BD3"/>
    <w:rsid w:val="00860D9E"/>
    <w:rsid w:val="00860E45"/>
    <w:rsid w:val="00860F7F"/>
    <w:rsid w:val="0086133E"/>
    <w:rsid w:val="0086144A"/>
    <w:rsid w:val="008616C7"/>
    <w:rsid w:val="008616FF"/>
    <w:rsid w:val="0086177E"/>
    <w:rsid w:val="008618D0"/>
    <w:rsid w:val="00861AC7"/>
    <w:rsid w:val="00861BB4"/>
    <w:rsid w:val="00861D59"/>
    <w:rsid w:val="0086208D"/>
    <w:rsid w:val="00862170"/>
    <w:rsid w:val="008623F7"/>
    <w:rsid w:val="008624AA"/>
    <w:rsid w:val="00862578"/>
    <w:rsid w:val="00862601"/>
    <w:rsid w:val="00862668"/>
    <w:rsid w:val="00862832"/>
    <w:rsid w:val="008629CD"/>
    <w:rsid w:val="00862BC2"/>
    <w:rsid w:val="00862C86"/>
    <w:rsid w:val="00862D96"/>
    <w:rsid w:val="00862DCB"/>
    <w:rsid w:val="00862E3C"/>
    <w:rsid w:val="00862E3D"/>
    <w:rsid w:val="00862E4D"/>
    <w:rsid w:val="00862F4C"/>
    <w:rsid w:val="00863063"/>
    <w:rsid w:val="0086311A"/>
    <w:rsid w:val="008633F7"/>
    <w:rsid w:val="00863480"/>
    <w:rsid w:val="008634F9"/>
    <w:rsid w:val="008635C9"/>
    <w:rsid w:val="0086367E"/>
    <w:rsid w:val="00863706"/>
    <w:rsid w:val="0086374F"/>
    <w:rsid w:val="0086376A"/>
    <w:rsid w:val="00863B18"/>
    <w:rsid w:val="00863B97"/>
    <w:rsid w:val="00863BA1"/>
    <w:rsid w:val="00863C8A"/>
    <w:rsid w:val="00863D61"/>
    <w:rsid w:val="00863DCE"/>
    <w:rsid w:val="00863E59"/>
    <w:rsid w:val="00863F51"/>
    <w:rsid w:val="0086409B"/>
    <w:rsid w:val="00864182"/>
    <w:rsid w:val="008641EE"/>
    <w:rsid w:val="008644D9"/>
    <w:rsid w:val="008645EE"/>
    <w:rsid w:val="0086463A"/>
    <w:rsid w:val="008648D4"/>
    <w:rsid w:val="00864999"/>
    <w:rsid w:val="00864A04"/>
    <w:rsid w:val="00864B0E"/>
    <w:rsid w:val="00864BEC"/>
    <w:rsid w:val="00864DA7"/>
    <w:rsid w:val="00864DD0"/>
    <w:rsid w:val="00864F69"/>
    <w:rsid w:val="00865198"/>
    <w:rsid w:val="00865268"/>
    <w:rsid w:val="008652EA"/>
    <w:rsid w:val="0086531E"/>
    <w:rsid w:val="008653F5"/>
    <w:rsid w:val="00865477"/>
    <w:rsid w:val="008655D2"/>
    <w:rsid w:val="008656B3"/>
    <w:rsid w:val="008656D8"/>
    <w:rsid w:val="00865787"/>
    <w:rsid w:val="0086582C"/>
    <w:rsid w:val="00865BB5"/>
    <w:rsid w:val="00865C35"/>
    <w:rsid w:val="00865D2C"/>
    <w:rsid w:val="00865E49"/>
    <w:rsid w:val="00866028"/>
    <w:rsid w:val="008660C8"/>
    <w:rsid w:val="00866344"/>
    <w:rsid w:val="008663EE"/>
    <w:rsid w:val="0086645F"/>
    <w:rsid w:val="008665BA"/>
    <w:rsid w:val="008665D5"/>
    <w:rsid w:val="00866609"/>
    <w:rsid w:val="0086689D"/>
    <w:rsid w:val="008669E1"/>
    <w:rsid w:val="00866A0C"/>
    <w:rsid w:val="00866A95"/>
    <w:rsid w:val="00866B95"/>
    <w:rsid w:val="00866C9D"/>
    <w:rsid w:val="00866DFB"/>
    <w:rsid w:val="00866F3D"/>
    <w:rsid w:val="0086708E"/>
    <w:rsid w:val="0086721A"/>
    <w:rsid w:val="00867266"/>
    <w:rsid w:val="008676BC"/>
    <w:rsid w:val="00867722"/>
    <w:rsid w:val="00867729"/>
    <w:rsid w:val="00867884"/>
    <w:rsid w:val="008678C2"/>
    <w:rsid w:val="008679D4"/>
    <w:rsid w:val="00867A4E"/>
    <w:rsid w:val="00867E5A"/>
    <w:rsid w:val="00867F24"/>
    <w:rsid w:val="008700F4"/>
    <w:rsid w:val="00870111"/>
    <w:rsid w:val="00870233"/>
    <w:rsid w:val="00870373"/>
    <w:rsid w:val="00870380"/>
    <w:rsid w:val="00870B38"/>
    <w:rsid w:val="00870B83"/>
    <w:rsid w:val="00870B88"/>
    <w:rsid w:val="00870BB6"/>
    <w:rsid w:val="008710B1"/>
    <w:rsid w:val="008710DA"/>
    <w:rsid w:val="00871123"/>
    <w:rsid w:val="008714AD"/>
    <w:rsid w:val="008714E6"/>
    <w:rsid w:val="008715C0"/>
    <w:rsid w:val="00871828"/>
    <w:rsid w:val="00871B75"/>
    <w:rsid w:val="00871C03"/>
    <w:rsid w:val="00871D6F"/>
    <w:rsid w:val="00871D92"/>
    <w:rsid w:val="00871E05"/>
    <w:rsid w:val="00871FFD"/>
    <w:rsid w:val="00872225"/>
    <w:rsid w:val="00872292"/>
    <w:rsid w:val="008722E3"/>
    <w:rsid w:val="008723A7"/>
    <w:rsid w:val="00872648"/>
    <w:rsid w:val="00872661"/>
    <w:rsid w:val="00872965"/>
    <w:rsid w:val="008729FA"/>
    <w:rsid w:val="00872A88"/>
    <w:rsid w:val="00872B33"/>
    <w:rsid w:val="00873108"/>
    <w:rsid w:val="0087357D"/>
    <w:rsid w:val="008737AA"/>
    <w:rsid w:val="008737EE"/>
    <w:rsid w:val="0087384D"/>
    <w:rsid w:val="00873943"/>
    <w:rsid w:val="00873A8A"/>
    <w:rsid w:val="00873B81"/>
    <w:rsid w:val="00873D3D"/>
    <w:rsid w:val="00873D3E"/>
    <w:rsid w:val="00873D72"/>
    <w:rsid w:val="00873DB2"/>
    <w:rsid w:val="00873DE3"/>
    <w:rsid w:val="008740F0"/>
    <w:rsid w:val="00874162"/>
    <w:rsid w:val="00874327"/>
    <w:rsid w:val="00874356"/>
    <w:rsid w:val="00874657"/>
    <w:rsid w:val="008746E0"/>
    <w:rsid w:val="008747DB"/>
    <w:rsid w:val="008748E5"/>
    <w:rsid w:val="00874CCB"/>
    <w:rsid w:val="00874DFC"/>
    <w:rsid w:val="00874E0D"/>
    <w:rsid w:val="00874EC4"/>
    <w:rsid w:val="00874F00"/>
    <w:rsid w:val="008750CE"/>
    <w:rsid w:val="008750F1"/>
    <w:rsid w:val="0087535B"/>
    <w:rsid w:val="008753A6"/>
    <w:rsid w:val="008753F9"/>
    <w:rsid w:val="0087552E"/>
    <w:rsid w:val="00875923"/>
    <w:rsid w:val="00875A3A"/>
    <w:rsid w:val="00875D77"/>
    <w:rsid w:val="00875E63"/>
    <w:rsid w:val="00875ECC"/>
    <w:rsid w:val="00875F3A"/>
    <w:rsid w:val="00875F66"/>
    <w:rsid w:val="00875F7C"/>
    <w:rsid w:val="00876204"/>
    <w:rsid w:val="0087634D"/>
    <w:rsid w:val="008763EF"/>
    <w:rsid w:val="008764D5"/>
    <w:rsid w:val="0087655B"/>
    <w:rsid w:val="0087663A"/>
    <w:rsid w:val="008766E1"/>
    <w:rsid w:val="0087674A"/>
    <w:rsid w:val="00876755"/>
    <w:rsid w:val="0087686E"/>
    <w:rsid w:val="0087697F"/>
    <w:rsid w:val="00876A32"/>
    <w:rsid w:val="00876C3A"/>
    <w:rsid w:val="00876D97"/>
    <w:rsid w:val="008770EF"/>
    <w:rsid w:val="00877233"/>
    <w:rsid w:val="00877367"/>
    <w:rsid w:val="008775B1"/>
    <w:rsid w:val="008777A4"/>
    <w:rsid w:val="00877872"/>
    <w:rsid w:val="008778C9"/>
    <w:rsid w:val="00877A05"/>
    <w:rsid w:val="00877AB1"/>
    <w:rsid w:val="00877BB8"/>
    <w:rsid w:val="00877C65"/>
    <w:rsid w:val="00877D39"/>
    <w:rsid w:val="00877F3A"/>
    <w:rsid w:val="0088002B"/>
    <w:rsid w:val="00880138"/>
    <w:rsid w:val="008801BD"/>
    <w:rsid w:val="008801C2"/>
    <w:rsid w:val="0088035B"/>
    <w:rsid w:val="008803CB"/>
    <w:rsid w:val="0088052C"/>
    <w:rsid w:val="00880AB7"/>
    <w:rsid w:val="00880C78"/>
    <w:rsid w:val="00880D9F"/>
    <w:rsid w:val="00880E45"/>
    <w:rsid w:val="00880F7D"/>
    <w:rsid w:val="00881075"/>
    <w:rsid w:val="008810CB"/>
    <w:rsid w:val="0088129C"/>
    <w:rsid w:val="0088134B"/>
    <w:rsid w:val="0088147E"/>
    <w:rsid w:val="008815F7"/>
    <w:rsid w:val="008816C7"/>
    <w:rsid w:val="00881785"/>
    <w:rsid w:val="00881808"/>
    <w:rsid w:val="00881967"/>
    <w:rsid w:val="00881D29"/>
    <w:rsid w:val="00881DB7"/>
    <w:rsid w:val="00881E5A"/>
    <w:rsid w:val="00881EDE"/>
    <w:rsid w:val="00881FB9"/>
    <w:rsid w:val="00882019"/>
    <w:rsid w:val="00882192"/>
    <w:rsid w:val="00882288"/>
    <w:rsid w:val="00882540"/>
    <w:rsid w:val="00882924"/>
    <w:rsid w:val="008829AF"/>
    <w:rsid w:val="00882C3F"/>
    <w:rsid w:val="00882D61"/>
    <w:rsid w:val="00882FE9"/>
    <w:rsid w:val="0088307A"/>
    <w:rsid w:val="00883178"/>
    <w:rsid w:val="00883203"/>
    <w:rsid w:val="00883225"/>
    <w:rsid w:val="00883339"/>
    <w:rsid w:val="0088336A"/>
    <w:rsid w:val="0088356F"/>
    <w:rsid w:val="0088375F"/>
    <w:rsid w:val="00883796"/>
    <w:rsid w:val="008839C0"/>
    <w:rsid w:val="00883DC6"/>
    <w:rsid w:val="00883EFE"/>
    <w:rsid w:val="00883F2F"/>
    <w:rsid w:val="008842A5"/>
    <w:rsid w:val="0088454F"/>
    <w:rsid w:val="00884AE3"/>
    <w:rsid w:val="00884CFB"/>
    <w:rsid w:val="00884D9C"/>
    <w:rsid w:val="00884F1B"/>
    <w:rsid w:val="008850F9"/>
    <w:rsid w:val="0088510E"/>
    <w:rsid w:val="0088526E"/>
    <w:rsid w:val="00885294"/>
    <w:rsid w:val="00885322"/>
    <w:rsid w:val="008853FD"/>
    <w:rsid w:val="00885716"/>
    <w:rsid w:val="008857A8"/>
    <w:rsid w:val="00885948"/>
    <w:rsid w:val="00885AA0"/>
    <w:rsid w:val="00885BCE"/>
    <w:rsid w:val="00885DB6"/>
    <w:rsid w:val="00886063"/>
    <w:rsid w:val="00886073"/>
    <w:rsid w:val="00886114"/>
    <w:rsid w:val="0088616E"/>
    <w:rsid w:val="00886302"/>
    <w:rsid w:val="00886439"/>
    <w:rsid w:val="008864E4"/>
    <w:rsid w:val="0088661A"/>
    <w:rsid w:val="008866C5"/>
    <w:rsid w:val="00886766"/>
    <w:rsid w:val="0088677E"/>
    <w:rsid w:val="008868DA"/>
    <w:rsid w:val="008868E3"/>
    <w:rsid w:val="0088691C"/>
    <w:rsid w:val="008869BC"/>
    <w:rsid w:val="008869F0"/>
    <w:rsid w:val="00886A7C"/>
    <w:rsid w:val="00886A81"/>
    <w:rsid w:val="00886AD9"/>
    <w:rsid w:val="00886CC6"/>
    <w:rsid w:val="00886F34"/>
    <w:rsid w:val="0088712E"/>
    <w:rsid w:val="00887188"/>
    <w:rsid w:val="008871A4"/>
    <w:rsid w:val="00887249"/>
    <w:rsid w:val="00887272"/>
    <w:rsid w:val="008873A3"/>
    <w:rsid w:val="00887587"/>
    <w:rsid w:val="00887C51"/>
    <w:rsid w:val="00887CA5"/>
    <w:rsid w:val="008900C2"/>
    <w:rsid w:val="00890151"/>
    <w:rsid w:val="00890249"/>
    <w:rsid w:val="00890445"/>
    <w:rsid w:val="008906F7"/>
    <w:rsid w:val="00890994"/>
    <w:rsid w:val="008909C4"/>
    <w:rsid w:val="00890BFF"/>
    <w:rsid w:val="00890D3D"/>
    <w:rsid w:val="00890DDE"/>
    <w:rsid w:val="008910DF"/>
    <w:rsid w:val="00891104"/>
    <w:rsid w:val="0089132E"/>
    <w:rsid w:val="00891341"/>
    <w:rsid w:val="00891356"/>
    <w:rsid w:val="008913D4"/>
    <w:rsid w:val="0089147E"/>
    <w:rsid w:val="0089177B"/>
    <w:rsid w:val="00891DBC"/>
    <w:rsid w:val="00891E14"/>
    <w:rsid w:val="00891E61"/>
    <w:rsid w:val="00891F12"/>
    <w:rsid w:val="00891F34"/>
    <w:rsid w:val="008922BA"/>
    <w:rsid w:val="00892467"/>
    <w:rsid w:val="00892484"/>
    <w:rsid w:val="008925C0"/>
    <w:rsid w:val="00892983"/>
    <w:rsid w:val="008929F4"/>
    <w:rsid w:val="00892A5C"/>
    <w:rsid w:val="00892A85"/>
    <w:rsid w:val="00892AAA"/>
    <w:rsid w:val="00892D3B"/>
    <w:rsid w:val="00892E2A"/>
    <w:rsid w:val="00892F37"/>
    <w:rsid w:val="0089300E"/>
    <w:rsid w:val="00893239"/>
    <w:rsid w:val="0089331B"/>
    <w:rsid w:val="00893407"/>
    <w:rsid w:val="008935DA"/>
    <w:rsid w:val="0089372C"/>
    <w:rsid w:val="0089378F"/>
    <w:rsid w:val="008937C4"/>
    <w:rsid w:val="00893854"/>
    <w:rsid w:val="008938CB"/>
    <w:rsid w:val="00893BE8"/>
    <w:rsid w:val="00893F2D"/>
    <w:rsid w:val="00893F96"/>
    <w:rsid w:val="0089406F"/>
    <w:rsid w:val="008941A5"/>
    <w:rsid w:val="0089488D"/>
    <w:rsid w:val="008949FD"/>
    <w:rsid w:val="00894D19"/>
    <w:rsid w:val="00894D1F"/>
    <w:rsid w:val="00894F18"/>
    <w:rsid w:val="00895175"/>
    <w:rsid w:val="008953C7"/>
    <w:rsid w:val="008954F1"/>
    <w:rsid w:val="008957A8"/>
    <w:rsid w:val="008957D3"/>
    <w:rsid w:val="00895BA3"/>
    <w:rsid w:val="00895C55"/>
    <w:rsid w:val="00895D5B"/>
    <w:rsid w:val="00895FF4"/>
    <w:rsid w:val="0089615A"/>
    <w:rsid w:val="00896203"/>
    <w:rsid w:val="0089647D"/>
    <w:rsid w:val="0089668A"/>
    <w:rsid w:val="008966B2"/>
    <w:rsid w:val="00896720"/>
    <w:rsid w:val="008967FB"/>
    <w:rsid w:val="00896855"/>
    <w:rsid w:val="008968CA"/>
    <w:rsid w:val="00896A09"/>
    <w:rsid w:val="00896A1B"/>
    <w:rsid w:val="00896A3D"/>
    <w:rsid w:val="00896B4B"/>
    <w:rsid w:val="00896C41"/>
    <w:rsid w:val="00896CFA"/>
    <w:rsid w:val="00896DDC"/>
    <w:rsid w:val="00896E57"/>
    <w:rsid w:val="00897028"/>
    <w:rsid w:val="00897095"/>
    <w:rsid w:val="008973CF"/>
    <w:rsid w:val="00897449"/>
    <w:rsid w:val="0089746C"/>
    <w:rsid w:val="00897565"/>
    <w:rsid w:val="0089760A"/>
    <w:rsid w:val="0089768E"/>
    <w:rsid w:val="00897703"/>
    <w:rsid w:val="008977BD"/>
    <w:rsid w:val="008977D7"/>
    <w:rsid w:val="0089785F"/>
    <w:rsid w:val="0089787B"/>
    <w:rsid w:val="008979A2"/>
    <w:rsid w:val="00897C3E"/>
    <w:rsid w:val="00897F84"/>
    <w:rsid w:val="008A00AF"/>
    <w:rsid w:val="008A012C"/>
    <w:rsid w:val="008A0527"/>
    <w:rsid w:val="008A06D2"/>
    <w:rsid w:val="008A0886"/>
    <w:rsid w:val="008A09CE"/>
    <w:rsid w:val="008A0A26"/>
    <w:rsid w:val="008A0AD4"/>
    <w:rsid w:val="008A0B15"/>
    <w:rsid w:val="008A0D9B"/>
    <w:rsid w:val="008A0F0A"/>
    <w:rsid w:val="008A0F2E"/>
    <w:rsid w:val="008A0FEB"/>
    <w:rsid w:val="008A1029"/>
    <w:rsid w:val="008A1169"/>
    <w:rsid w:val="008A11DA"/>
    <w:rsid w:val="008A16DD"/>
    <w:rsid w:val="008A1706"/>
    <w:rsid w:val="008A18E7"/>
    <w:rsid w:val="008A19FF"/>
    <w:rsid w:val="008A1B7C"/>
    <w:rsid w:val="008A1BF8"/>
    <w:rsid w:val="008A1CED"/>
    <w:rsid w:val="008A1DBC"/>
    <w:rsid w:val="008A1F72"/>
    <w:rsid w:val="008A1F80"/>
    <w:rsid w:val="008A2270"/>
    <w:rsid w:val="008A22FB"/>
    <w:rsid w:val="008A25E1"/>
    <w:rsid w:val="008A2618"/>
    <w:rsid w:val="008A272B"/>
    <w:rsid w:val="008A2D0D"/>
    <w:rsid w:val="008A2D86"/>
    <w:rsid w:val="008A2D8D"/>
    <w:rsid w:val="008A2E0D"/>
    <w:rsid w:val="008A2E34"/>
    <w:rsid w:val="008A2EDD"/>
    <w:rsid w:val="008A2FB0"/>
    <w:rsid w:val="008A30EB"/>
    <w:rsid w:val="008A32D7"/>
    <w:rsid w:val="008A3772"/>
    <w:rsid w:val="008A37BE"/>
    <w:rsid w:val="008A3879"/>
    <w:rsid w:val="008A3AC9"/>
    <w:rsid w:val="008A3F90"/>
    <w:rsid w:val="008A4027"/>
    <w:rsid w:val="008A40D8"/>
    <w:rsid w:val="008A40D9"/>
    <w:rsid w:val="008A4154"/>
    <w:rsid w:val="008A415C"/>
    <w:rsid w:val="008A41D2"/>
    <w:rsid w:val="008A4238"/>
    <w:rsid w:val="008A4321"/>
    <w:rsid w:val="008A4405"/>
    <w:rsid w:val="008A48CC"/>
    <w:rsid w:val="008A48E3"/>
    <w:rsid w:val="008A48FE"/>
    <w:rsid w:val="008A49DA"/>
    <w:rsid w:val="008A4AB9"/>
    <w:rsid w:val="008A4C92"/>
    <w:rsid w:val="008A4E9D"/>
    <w:rsid w:val="008A5094"/>
    <w:rsid w:val="008A529A"/>
    <w:rsid w:val="008A5360"/>
    <w:rsid w:val="008A53A8"/>
    <w:rsid w:val="008A53A9"/>
    <w:rsid w:val="008A5424"/>
    <w:rsid w:val="008A54C3"/>
    <w:rsid w:val="008A576F"/>
    <w:rsid w:val="008A5975"/>
    <w:rsid w:val="008A5A1F"/>
    <w:rsid w:val="008A5A2B"/>
    <w:rsid w:val="008A5B49"/>
    <w:rsid w:val="008A5B64"/>
    <w:rsid w:val="008A5C08"/>
    <w:rsid w:val="008A5D97"/>
    <w:rsid w:val="008A5E4A"/>
    <w:rsid w:val="008A5E75"/>
    <w:rsid w:val="008A5EE2"/>
    <w:rsid w:val="008A5F47"/>
    <w:rsid w:val="008A60E1"/>
    <w:rsid w:val="008A61C6"/>
    <w:rsid w:val="008A62BB"/>
    <w:rsid w:val="008A63A9"/>
    <w:rsid w:val="008A63C4"/>
    <w:rsid w:val="008A6497"/>
    <w:rsid w:val="008A64A8"/>
    <w:rsid w:val="008A65F0"/>
    <w:rsid w:val="008A6701"/>
    <w:rsid w:val="008A6739"/>
    <w:rsid w:val="008A67F6"/>
    <w:rsid w:val="008A68FA"/>
    <w:rsid w:val="008A6994"/>
    <w:rsid w:val="008A6A92"/>
    <w:rsid w:val="008A6CDB"/>
    <w:rsid w:val="008A6D1C"/>
    <w:rsid w:val="008A6E0F"/>
    <w:rsid w:val="008A6E64"/>
    <w:rsid w:val="008A6EED"/>
    <w:rsid w:val="008A721A"/>
    <w:rsid w:val="008A7513"/>
    <w:rsid w:val="008A75FD"/>
    <w:rsid w:val="008A7626"/>
    <w:rsid w:val="008A77A8"/>
    <w:rsid w:val="008A77CA"/>
    <w:rsid w:val="008A7AC2"/>
    <w:rsid w:val="008A7B3A"/>
    <w:rsid w:val="008A7BD6"/>
    <w:rsid w:val="008A7FEC"/>
    <w:rsid w:val="008B00C0"/>
    <w:rsid w:val="008B00CF"/>
    <w:rsid w:val="008B00D2"/>
    <w:rsid w:val="008B03F1"/>
    <w:rsid w:val="008B061B"/>
    <w:rsid w:val="008B0644"/>
    <w:rsid w:val="008B0763"/>
    <w:rsid w:val="008B07A4"/>
    <w:rsid w:val="008B0937"/>
    <w:rsid w:val="008B09F3"/>
    <w:rsid w:val="008B0A07"/>
    <w:rsid w:val="008B0AD7"/>
    <w:rsid w:val="008B0BD8"/>
    <w:rsid w:val="008B0E69"/>
    <w:rsid w:val="008B0EC5"/>
    <w:rsid w:val="008B0EDD"/>
    <w:rsid w:val="008B0FC0"/>
    <w:rsid w:val="008B100F"/>
    <w:rsid w:val="008B11BD"/>
    <w:rsid w:val="008B1244"/>
    <w:rsid w:val="008B1367"/>
    <w:rsid w:val="008B1371"/>
    <w:rsid w:val="008B155D"/>
    <w:rsid w:val="008B156C"/>
    <w:rsid w:val="008B1632"/>
    <w:rsid w:val="008B166B"/>
    <w:rsid w:val="008B171C"/>
    <w:rsid w:val="008B175E"/>
    <w:rsid w:val="008B1763"/>
    <w:rsid w:val="008B1810"/>
    <w:rsid w:val="008B182B"/>
    <w:rsid w:val="008B1A94"/>
    <w:rsid w:val="008B1A99"/>
    <w:rsid w:val="008B1E91"/>
    <w:rsid w:val="008B1F7F"/>
    <w:rsid w:val="008B2019"/>
    <w:rsid w:val="008B2223"/>
    <w:rsid w:val="008B240B"/>
    <w:rsid w:val="008B2468"/>
    <w:rsid w:val="008B254F"/>
    <w:rsid w:val="008B257F"/>
    <w:rsid w:val="008B25AF"/>
    <w:rsid w:val="008B265D"/>
    <w:rsid w:val="008B26C0"/>
    <w:rsid w:val="008B278B"/>
    <w:rsid w:val="008B2A01"/>
    <w:rsid w:val="008B2A73"/>
    <w:rsid w:val="008B2B72"/>
    <w:rsid w:val="008B2B82"/>
    <w:rsid w:val="008B2BE9"/>
    <w:rsid w:val="008B2E21"/>
    <w:rsid w:val="008B2F43"/>
    <w:rsid w:val="008B314D"/>
    <w:rsid w:val="008B31DF"/>
    <w:rsid w:val="008B3450"/>
    <w:rsid w:val="008B3572"/>
    <w:rsid w:val="008B36EF"/>
    <w:rsid w:val="008B38B1"/>
    <w:rsid w:val="008B38BC"/>
    <w:rsid w:val="008B39C4"/>
    <w:rsid w:val="008B3CC9"/>
    <w:rsid w:val="008B3D4D"/>
    <w:rsid w:val="008B3D89"/>
    <w:rsid w:val="008B3DC8"/>
    <w:rsid w:val="008B3EB9"/>
    <w:rsid w:val="008B4008"/>
    <w:rsid w:val="008B4194"/>
    <w:rsid w:val="008B421D"/>
    <w:rsid w:val="008B4423"/>
    <w:rsid w:val="008B453C"/>
    <w:rsid w:val="008B45B6"/>
    <w:rsid w:val="008B4763"/>
    <w:rsid w:val="008B4818"/>
    <w:rsid w:val="008B49A5"/>
    <w:rsid w:val="008B4AD6"/>
    <w:rsid w:val="008B4C7A"/>
    <w:rsid w:val="008B4D2D"/>
    <w:rsid w:val="008B4D89"/>
    <w:rsid w:val="008B4E09"/>
    <w:rsid w:val="008B4E53"/>
    <w:rsid w:val="008B4E71"/>
    <w:rsid w:val="008B4F6A"/>
    <w:rsid w:val="008B50A8"/>
    <w:rsid w:val="008B50C5"/>
    <w:rsid w:val="008B50C9"/>
    <w:rsid w:val="008B520C"/>
    <w:rsid w:val="008B53BA"/>
    <w:rsid w:val="008B552A"/>
    <w:rsid w:val="008B56C6"/>
    <w:rsid w:val="008B56DD"/>
    <w:rsid w:val="008B57D7"/>
    <w:rsid w:val="008B595B"/>
    <w:rsid w:val="008B5B3B"/>
    <w:rsid w:val="008B5B9C"/>
    <w:rsid w:val="008B5C12"/>
    <w:rsid w:val="008B5D92"/>
    <w:rsid w:val="008B5EF3"/>
    <w:rsid w:val="008B6069"/>
    <w:rsid w:val="008B60FF"/>
    <w:rsid w:val="008B636A"/>
    <w:rsid w:val="008B65E5"/>
    <w:rsid w:val="008B680F"/>
    <w:rsid w:val="008B6938"/>
    <w:rsid w:val="008B6A0B"/>
    <w:rsid w:val="008B6A5F"/>
    <w:rsid w:val="008B6B7B"/>
    <w:rsid w:val="008B6C99"/>
    <w:rsid w:val="008B6D04"/>
    <w:rsid w:val="008B6DE4"/>
    <w:rsid w:val="008B6DFB"/>
    <w:rsid w:val="008B6E0E"/>
    <w:rsid w:val="008B7050"/>
    <w:rsid w:val="008B7559"/>
    <w:rsid w:val="008B75D1"/>
    <w:rsid w:val="008B7690"/>
    <w:rsid w:val="008B7818"/>
    <w:rsid w:val="008B79AE"/>
    <w:rsid w:val="008B7BA8"/>
    <w:rsid w:val="008B7D09"/>
    <w:rsid w:val="008B7EA0"/>
    <w:rsid w:val="008B7F47"/>
    <w:rsid w:val="008C00DF"/>
    <w:rsid w:val="008C00E3"/>
    <w:rsid w:val="008C014C"/>
    <w:rsid w:val="008C01E5"/>
    <w:rsid w:val="008C0261"/>
    <w:rsid w:val="008C0314"/>
    <w:rsid w:val="008C032D"/>
    <w:rsid w:val="008C0366"/>
    <w:rsid w:val="008C04A8"/>
    <w:rsid w:val="008C0695"/>
    <w:rsid w:val="008C0933"/>
    <w:rsid w:val="008C0958"/>
    <w:rsid w:val="008C09B1"/>
    <w:rsid w:val="008C0B30"/>
    <w:rsid w:val="008C0BCC"/>
    <w:rsid w:val="008C0C16"/>
    <w:rsid w:val="008C0C38"/>
    <w:rsid w:val="008C0F92"/>
    <w:rsid w:val="008C120E"/>
    <w:rsid w:val="008C127C"/>
    <w:rsid w:val="008C13CB"/>
    <w:rsid w:val="008C16A4"/>
    <w:rsid w:val="008C1A61"/>
    <w:rsid w:val="008C1A78"/>
    <w:rsid w:val="008C1A8C"/>
    <w:rsid w:val="008C1AB2"/>
    <w:rsid w:val="008C1BA7"/>
    <w:rsid w:val="008C1CCA"/>
    <w:rsid w:val="008C1CCE"/>
    <w:rsid w:val="008C1D4E"/>
    <w:rsid w:val="008C1D75"/>
    <w:rsid w:val="008C1D8B"/>
    <w:rsid w:val="008C1DBE"/>
    <w:rsid w:val="008C1E87"/>
    <w:rsid w:val="008C1ECA"/>
    <w:rsid w:val="008C1ECF"/>
    <w:rsid w:val="008C2062"/>
    <w:rsid w:val="008C20DE"/>
    <w:rsid w:val="008C22CC"/>
    <w:rsid w:val="008C2336"/>
    <w:rsid w:val="008C2466"/>
    <w:rsid w:val="008C2560"/>
    <w:rsid w:val="008C25F1"/>
    <w:rsid w:val="008C2636"/>
    <w:rsid w:val="008C272C"/>
    <w:rsid w:val="008C27C4"/>
    <w:rsid w:val="008C2914"/>
    <w:rsid w:val="008C2950"/>
    <w:rsid w:val="008C2AAC"/>
    <w:rsid w:val="008C2AB5"/>
    <w:rsid w:val="008C2B9F"/>
    <w:rsid w:val="008C2BBB"/>
    <w:rsid w:val="008C2D13"/>
    <w:rsid w:val="008C2E28"/>
    <w:rsid w:val="008C2F2C"/>
    <w:rsid w:val="008C2F7B"/>
    <w:rsid w:val="008C2FAD"/>
    <w:rsid w:val="008C2FF3"/>
    <w:rsid w:val="008C2FFB"/>
    <w:rsid w:val="008C3085"/>
    <w:rsid w:val="008C3438"/>
    <w:rsid w:val="008C34E9"/>
    <w:rsid w:val="008C3571"/>
    <w:rsid w:val="008C3595"/>
    <w:rsid w:val="008C35AF"/>
    <w:rsid w:val="008C35DA"/>
    <w:rsid w:val="008C361B"/>
    <w:rsid w:val="008C36BD"/>
    <w:rsid w:val="008C37AB"/>
    <w:rsid w:val="008C37D5"/>
    <w:rsid w:val="008C3926"/>
    <w:rsid w:val="008C395B"/>
    <w:rsid w:val="008C3D1B"/>
    <w:rsid w:val="008C3D36"/>
    <w:rsid w:val="008C3E00"/>
    <w:rsid w:val="008C3E71"/>
    <w:rsid w:val="008C3E87"/>
    <w:rsid w:val="008C3F11"/>
    <w:rsid w:val="008C3F8F"/>
    <w:rsid w:val="008C400A"/>
    <w:rsid w:val="008C40C5"/>
    <w:rsid w:val="008C4278"/>
    <w:rsid w:val="008C4298"/>
    <w:rsid w:val="008C42ED"/>
    <w:rsid w:val="008C43AC"/>
    <w:rsid w:val="008C43C0"/>
    <w:rsid w:val="008C449F"/>
    <w:rsid w:val="008C44C7"/>
    <w:rsid w:val="008C4708"/>
    <w:rsid w:val="008C4750"/>
    <w:rsid w:val="008C4860"/>
    <w:rsid w:val="008C4899"/>
    <w:rsid w:val="008C48AD"/>
    <w:rsid w:val="008C4C65"/>
    <w:rsid w:val="008C4E87"/>
    <w:rsid w:val="008C52FA"/>
    <w:rsid w:val="008C5377"/>
    <w:rsid w:val="008C53A9"/>
    <w:rsid w:val="008C56CD"/>
    <w:rsid w:val="008C5788"/>
    <w:rsid w:val="008C5827"/>
    <w:rsid w:val="008C5857"/>
    <w:rsid w:val="008C58D0"/>
    <w:rsid w:val="008C5A2B"/>
    <w:rsid w:val="008C5D61"/>
    <w:rsid w:val="008C5E18"/>
    <w:rsid w:val="008C6074"/>
    <w:rsid w:val="008C6181"/>
    <w:rsid w:val="008C618D"/>
    <w:rsid w:val="008C61DC"/>
    <w:rsid w:val="008C642E"/>
    <w:rsid w:val="008C6547"/>
    <w:rsid w:val="008C67B7"/>
    <w:rsid w:val="008C67FA"/>
    <w:rsid w:val="008C6820"/>
    <w:rsid w:val="008C68A2"/>
    <w:rsid w:val="008C690E"/>
    <w:rsid w:val="008C6A0E"/>
    <w:rsid w:val="008C6C06"/>
    <w:rsid w:val="008C6CDD"/>
    <w:rsid w:val="008C6E79"/>
    <w:rsid w:val="008C6FFF"/>
    <w:rsid w:val="008C7010"/>
    <w:rsid w:val="008C70D2"/>
    <w:rsid w:val="008C722A"/>
    <w:rsid w:val="008C726D"/>
    <w:rsid w:val="008C7273"/>
    <w:rsid w:val="008C7283"/>
    <w:rsid w:val="008C7330"/>
    <w:rsid w:val="008C733B"/>
    <w:rsid w:val="008C76AA"/>
    <w:rsid w:val="008C772F"/>
    <w:rsid w:val="008C78EA"/>
    <w:rsid w:val="008C7984"/>
    <w:rsid w:val="008C7B13"/>
    <w:rsid w:val="008C7CF3"/>
    <w:rsid w:val="008C7D1F"/>
    <w:rsid w:val="008C7D5F"/>
    <w:rsid w:val="008C7D61"/>
    <w:rsid w:val="008C7D92"/>
    <w:rsid w:val="008D00C3"/>
    <w:rsid w:val="008D07B9"/>
    <w:rsid w:val="008D0A99"/>
    <w:rsid w:val="008D0AA0"/>
    <w:rsid w:val="008D0C30"/>
    <w:rsid w:val="008D0DBF"/>
    <w:rsid w:val="008D0E4B"/>
    <w:rsid w:val="008D0E63"/>
    <w:rsid w:val="008D0EBA"/>
    <w:rsid w:val="008D0F73"/>
    <w:rsid w:val="008D1001"/>
    <w:rsid w:val="008D1285"/>
    <w:rsid w:val="008D1367"/>
    <w:rsid w:val="008D1412"/>
    <w:rsid w:val="008D1499"/>
    <w:rsid w:val="008D194D"/>
    <w:rsid w:val="008D19D2"/>
    <w:rsid w:val="008D1EBE"/>
    <w:rsid w:val="008D1F3F"/>
    <w:rsid w:val="008D1F42"/>
    <w:rsid w:val="008D1FD6"/>
    <w:rsid w:val="008D2083"/>
    <w:rsid w:val="008D2095"/>
    <w:rsid w:val="008D2259"/>
    <w:rsid w:val="008D2282"/>
    <w:rsid w:val="008D235A"/>
    <w:rsid w:val="008D2503"/>
    <w:rsid w:val="008D2664"/>
    <w:rsid w:val="008D2701"/>
    <w:rsid w:val="008D2847"/>
    <w:rsid w:val="008D2B7C"/>
    <w:rsid w:val="008D2C00"/>
    <w:rsid w:val="008D2C0A"/>
    <w:rsid w:val="008D2E91"/>
    <w:rsid w:val="008D2F9C"/>
    <w:rsid w:val="008D2FE7"/>
    <w:rsid w:val="008D3213"/>
    <w:rsid w:val="008D34A4"/>
    <w:rsid w:val="008D3786"/>
    <w:rsid w:val="008D3881"/>
    <w:rsid w:val="008D38A8"/>
    <w:rsid w:val="008D3BCC"/>
    <w:rsid w:val="008D3C33"/>
    <w:rsid w:val="008D3E03"/>
    <w:rsid w:val="008D3E59"/>
    <w:rsid w:val="008D40C3"/>
    <w:rsid w:val="008D4129"/>
    <w:rsid w:val="008D4214"/>
    <w:rsid w:val="008D4234"/>
    <w:rsid w:val="008D4296"/>
    <w:rsid w:val="008D42AA"/>
    <w:rsid w:val="008D442D"/>
    <w:rsid w:val="008D453F"/>
    <w:rsid w:val="008D4674"/>
    <w:rsid w:val="008D4689"/>
    <w:rsid w:val="008D471E"/>
    <w:rsid w:val="008D47C4"/>
    <w:rsid w:val="008D48D1"/>
    <w:rsid w:val="008D4E35"/>
    <w:rsid w:val="008D4EAC"/>
    <w:rsid w:val="008D4F08"/>
    <w:rsid w:val="008D50F0"/>
    <w:rsid w:val="008D5189"/>
    <w:rsid w:val="008D5438"/>
    <w:rsid w:val="008D543D"/>
    <w:rsid w:val="008D5558"/>
    <w:rsid w:val="008D56B9"/>
    <w:rsid w:val="008D5720"/>
    <w:rsid w:val="008D5781"/>
    <w:rsid w:val="008D57B1"/>
    <w:rsid w:val="008D57C3"/>
    <w:rsid w:val="008D583C"/>
    <w:rsid w:val="008D58CC"/>
    <w:rsid w:val="008D58FE"/>
    <w:rsid w:val="008D59A7"/>
    <w:rsid w:val="008D5A0F"/>
    <w:rsid w:val="008D5AAD"/>
    <w:rsid w:val="008D5AEA"/>
    <w:rsid w:val="008D5C98"/>
    <w:rsid w:val="008D5D3B"/>
    <w:rsid w:val="008D5D97"/>
    <w:rsid w:val="008D5F59"/>
    <w:rsid w:val="008D60B7"/>
    <w:rsid w:val="008D60E1"/>
    <w:rsid w:val="008D62A5"/>
    <w:rsid w:val="008D6332"/>
    <w:rsid w:val="008D63D4"/>
    <w:rsid w:val="008D6403"/>
    <w:rsid w:val="008D6426"/>
    <w:rsid w:val="008D6445"/>
    <w:rsid w:val="008D6606"/>
    <w:rsid w:val="008D6696"/>
    <w:rsid w:val="008D689C"/>
    <w:rsid w:val="008D6B25"/>
    <w:rsid w:val="008D6B48"/>
    <w:rsid w:val="008D6CE4"/>
    <w:rsid w:val="008D6F8D"/>
    <w:rsid w:val="008D70D0"/>
    <w:rsid w:val="008D7174"/>
    <w:rsid w:val="008D71F2"/>
    <w:rsid w:val="008D723C"/>
    <w:rsid w:val="008D733E"/>
    <w:rsid w:val="008D77A6"/>
    <w:rsid w:val="008D787E"/>
    <w:rsid w:val="008D7B8B"/>
    <w:rsid w:val="008D7BE2"/>
    <w:rsid w:val="008D7E72"/>
    <w:rsid w:val="008D7ED2"/>
    <w:rsid w:val="008D7EEF"/>
    <w:rsid w:val="008E0019"/>
    <w:rsid w:val="008E006A"/>
    <w:rsid w:val="008E0080"/>
    <w:rsid w:val="008E01D2"/>
    <w:rsid w:val="008E02A6"/>
    <w:rsid w:val="008E032B"/>
    <w:rsid w:val="008E0376"/>
    <w:rsid w:val="008E07E5"/>
    <w:rsid w:val="008E08D4"/>
    <w:rsid w:val="008E0B61"/>
    <w:rsid w:val="008E0DAF"/>
    <w:rsid w:val="008E0E28"/>
    <w:rsid w:val="008E1023"/>
    <w:rsid w:val="008E1214"/>
    <w:rsid w:val="008E12FF"/>
    <w:rsid w:val="008E14D7"/>
    <w:rsid w:val="008E1758"/>
    <w:rsid w:val="008E1878"/>
    <w:rsid w:val="008E1AC8"/>
    <w:rsid w:val="008E1CF7"/>
    <w:rsid w:val="008E1F1A"/>
    <w:rsid w:val="008E202C"/>
    <w:rsid w:val="008E20AB"/>
    <w:rsid w:val="008E21FD"/>
    <w:rsid w:val="008E2242"/>
    <w:rsid w:val="008E2385"/>
    <w:rsid w:val="008E23F6"/>
    <w:rsid w:val="008E2597"/>
    <w:rsid w:val="008E2600"/>
    <w:rsid w:val="008E26CB"/>
    <w:rsid w:val="008E27A9"/>
    <w:rsid w:val="008E28D2"/>
    <w:rsid w:val="008E2999"/>
    <w:rsid w:val="008E29F2"/>
    <w:rsid w:val="008E2A7A"/>
    <w:rsid w:val="008E2B94"/>
    <w:rsid w:val="008E2BB5"/>
    <w:rsid w:val="008E2CE9"/>
    <w:rsid w:val="008E302C"/>
    <w:rsid w:val="008E30A0"/>
    <w:rsid w:val="008E30F6"/>
    <w:rsid w:val="008E314B"/>
    <w:rsid w:val="008E3187"/>
    <w:rsid w:val="008E323C"/>
    <w:rsid w:val="008E326D"/>
    <w:rsid w:val="008E328C"/>
    <w:rsid w:val="008E32CD"/>
    <w:rsid w:val="008E360E"/>
    <w:rsid w:val="008E368A"/>
    <w:rsid w:val="008E3762"/>
    <w:rsid w:val="008E3847"/>
    <w:rsid w:val="008E38F8"/>
    <w:rsid w:val="008E393F"/>
    <w:rsid w:val="008E3B91"/>
    <w:rsid w:val="008E3CBC"/>
    <w:rsid w:val="008E3D01"/>
    <w:rsid w:val="008E3D4D"/>
    <w:rsid w:val="008E3D9D"/>
    <w:rsid w:val="008E3E1F"/>
    <w:rsid w:val="008E3F92"/>
    <w:rsid w:val="008E4054"/>
    <w:rsid w:val="008E40A5"/>
    <w:rsid w:val="008E4107"/>
    <w:rsid w:val="008E43AC"/>
    <w:rsid w:val="008E4AF7"/>
    <w:rsid w:val="008E4C03"/>
    <w:rsid w:val="008E4D1C"/>
    <w:rsid w:val="008E4E63"/>
    <w:rsid w:val="008E4E9C"/>
    <w:rsid w:val="008E5337"/>
    <w:rsid w:val="008E5651"/>
    <w:rsid w:val="008E5889"/>
    <w:rsid w:val="008E5A18"/>
    <w:rsid w:val="008E5D22"/>
    <w:rsid w:val="008E5D80"/>
    <w:rsid w:val="008E5DF1"/>
    <w:rsid w:val="008E5F26"/>
    <w:rsid w:val="008E5FA0"/>
    <w:rsid w:val="008E5FFE"/>
    <w:rsid w:val="008E6348"/>
    <w:rsid w:val="008E63A3"/>
    <w:rsid w:val="008E640A"/>
    <w:rsid w:val="008E646C"/>
    <w:rsid w:val="008E649B"/>
    <w:rsid w:val="008E65BD"/>
    <w:rsid w:val="008E65E9"/>
    <w:rsid w:val="008E673E"/>
    <w:rsid w:val="008E67A5"/>
    <w:rsid w:val="008E6830"/>
    <w:rsid w:val="008E6867"/>
    <w:rsid w:val="008E6955"/>
    <w:rsid w:val="008E6AFC"/>
    <w:rsid w:val="008E6BA4"/>
    <w:rsid w:val="008E6F45"/>
    <w:rsid w:val="008E700A"/>
    <w:rsid w:val="008E70B3"/>
    <w:rsid w:val="008E7130"/>
    <w:rsid w:val="008E72F5"/>
    <w:rsid w:val="008E74EB"/>
    <w:rsid w:val="008E761A"/>
    <w:rsid w:val="008E78A9"/>
    <w:rsid w:val="008E7AF8"/>
    <w:rsid w:val="008E7BC7"/>
    <w:rsid w:val="008E7BF4"/>
    <w:rsid w:val="008E7CA4"/>
    <w:rsid w:val="008F003C"/>
    <w:rsid w:val="008F008F"/>
    <w:rsid w:val="008F0246"/>
    <w:rsid w:val="008F02B3"/>
    <w:rsid w:val="008F03E3"/>
    <w:rsid w:val="008F040E"/>
    <w:rsid w:val="008F040F"/>
    <w:rsid w:val="008F0766"/>
    <w:rsid w:val="008F0944"/>
    <w:rsid w:val="008F0946"/>
    <w:rsid w:val="008F0958"/>
    <w:rsid w:val="008F0998"/>
    <w:rsid w:val="008F09A7"/>
    <w:rsid w:val="008F09CB"/>
    <w:rsid w:val="008F09DD"/>
    <w:rsid w:val="008F0A20"/>
    <w:rsid w:val="008F0A2E"/>
    <w:rsid w:val="008F0B29"/>
    <w:rsid w:val="008F0C05"/>
    <w:rsid w:val="008F0CAB"/>
    <w:rsid w:val="008F0D1B"/>
    <w:rsid w:val="008F0D20"/>
    <w:rsid w:val="008F0E26"/>
    <w:rsid w:val="008F1056"/>
    <w:rsid w:val="008F10DA"/>
    <w:rsid w:val="008F117A"/>
    <w:rsid w:val="008F1181"/>
    <w:rsid w:val="008F1304"/>
    <w:rsid w:val="008F1456"/>
    <w:rsid w:val="008F1468"/>
    <w:rsid w:val="008F14CB"/>
    <w:rsid w:val="008F16A8"/>
    <w:rsid w:val="008F16B5"/>
    <w:rsid w:val="008F1A05"/>
    <w:rsid w:val="008F1AA7"/>
    <w:rsid w:val="008F1BCE"/>
    <w:rsid w:val="008F1CDB"/>
    <w:rsid w:val="008F1E23"/>
    <w:rsid w:val="008F1EEB"/>
    <w:rsid w:val="008F21D7"/>
    <w:rsid w:val="008F2298"/>
    <w:rsid w:val="008F22A6"/>
    <w:rsid w:val="008F25DD"/>
    <w:rsid w:val="008F263A"/>
    <w:rsid w:val="008F2697"/>
    <w:rsid w:val="008F26A6"/>
    <w:rsid w:val="008F26C1"/>
    <w:rsid w:val="008F270A"/>
    <w:rsid w:val="008F2C71"/>
    <w:rsid w:val="008F2CE5"/>
    <w:rsid w:val="008F2D67"/>
    <w:rsid w:val="008F30A9"/>
    <w:rsid w:val="008F3302"/>
    <w:rsid w:val="008F338B"/>
    <w:rsid w:val="008F34D2"/>
    <w:rsid w:val="008F37AF"/>
    <w:rsid w:val="008F3811"/>
    <w:rsid w:val="008F39E6"/>
    <w:rsid w:val="008F3CDF"/>
    <w:rsid w:val="008F3D95"/>
    <w:rsid w:val="008F3DB8"/>
    <w:rsid w:val="008F3E8C"/>
    <w:rsid w:val="008F3F3B"/>
    <w:rsid w:val="008F3FC8"/>
    <w:rsid w:val="008F40D2"/>
    <w:rsid w:val="008F411E"/>
    <w:rsid w:val="008F4170"/>
    <w:rsid w:val="008F428E"/>
    <w:rsid w:val="008F4694"/>
    <w:rsid w:val="008F4729"/>
    <w:rsid w:val="008F49D3"/>
    <w:rsid w:val="008F4B47"/>
    <w:rsid w:val="008F4D5D"/>
    <w:rsid w:val="008F4E5A"/>
    <w:rsid w:val="008F50DC"/>
    <w:rsid w:val="008F5125"/>
    <w:rsid w:val="008F5218"/>
    <w:rsid w:val="008F54A2"/>
    <w:rsid w:val="008F551A"/>
    <w:rsid w:val="008F571F"/>
    <w:rsid w:val="008F5777"/>
    <w:rsid w:val="008F5825"/>
    <w:rsid w:val="008F5889"/>
    <w:rsid w:val="008F59AE"/>
    <w:rsid w:val="008F5B7E"/>
    <w:rsid w:val="008F5D55"/>
    <w:rsid w:val="008F636A"/>
    <w:rsid w:val="008F63FF"/>
    <w:rsid w:val="008F64D3"/>
    <w:rsid w:val="008F67DC"/>
    <w:rsid w:val="008F695A"/>
    <w:rsid w:val="008F6962"/>
    <w:rsid w:val="008F69C2"/>
    <w:rsid w:val="008F6A4B"/>
    <w:rsid w:val="008F6BBD"/>
    <w:rsid w:val="008F6CED"/>
    <w:rsid w:val="008F6EBF"/>
    <w:rsid w:val="008F6EDD"/>
    <w:rsid w:val="008F7086"/>
    <w:rsid w:val="008F70D1"/>
    <w:rsid w:val="008F722C"/>
    <w:rsid w:val="008F732A"/>
    <w:rsid w:val="008F73C7"/>
    <w:rsid w:val="008F7458"/>
    <w:rsid w:val="008F7510"/>
    <w:rsid w:val="008F75FF"/>
    <w:rsid w:val="008F776B"/>
    <w:rsid w:val="008F77D1"/>
    <w:rsid w:val="008F79DA"/>
    <w:rsid w:val="008F7A98"/>
    <w:rsid w:val="008F7BE9"/>
    <w:rsid w:val="008F7BFC"/>
    <w:rsid w:val="00900168"/>
    <w:rsid w:val="0090019F"/>
    <w:rsid w:val="009001B0"/>
    <w:rsid w:val="009003EA"/>
    <w:rsid w:val="00900696"/>
    <w:rsid w:val="009006CE"/>
    <w:rsid w:val="009007F2"/>
    <w:rsid w:val="0090096B"/>
    <w:rsid w:val="00900995"/>
    <w:rsid w:val="009009CA"/>
    <w:rsid w:val="00900AD5"/>
    <w:rsid w:val="00900BB7"/>
    <w:rsid w:val="00900BC0"/>
    <w:rsid w:val="00900E3C"/>
    <w:rsid w:val="00900E73"/>
    <w:rsid w:val="00900EFE"/>
    <w:rsid w:val="00901045"/>
    <w:rsid w:val="00901072"/>
    <w:rsid w:val="009010A4"/>
    <w:rsid w:val="009012D7"/>
    <w:rsid w:val="009013E2"/>
    <w:rsid w:val="009015CC"/>
    <w:rsid w:val="009015D0"/>
    <w:rsid w:val="00901676"/>
    <w:rsid w:val="009016B7"/>
    <w:rsid w:val="00901740"/>
    <w:rsid w:val="009017F4"/>
    <w:rsid w:val="00901866"/>
    <w:rsid w:val="00901E53"/>
    <w:rsid w:val="00901F2E"/>
    <w:rsid w:val="00902121"/>
    <w:rsid w:val="00902143"/>
    <w:rsid w:val="00902221"/>
    <w:rsid w:val="00902389"/>
    <w:rsid w:val="009024D3"/>
    <w:rsid w:val="009027E3"/>
    <w:rsid w:val="00902A91"/>
    <w:rsid w:val="00902AC8"/>
    <w:rsid w:val="00902C8C"/>
    <w:rsid w:val="00902EF8"/>
    <w:rsid w:val="00902F30"/>
    <w:rsid w:val="009030E2"/>
    <w:rsid w:val="00903173"/>
    <w:rsid w:val="009033DA"/>
    <w:rsid w:val="00903509"/>
    <w:rsid w:val="00903801"/>
    <w:rsid w:val="00903857"/>
    <w:rsid w:val="009038E4"/>
    <w:rsid w:val="009038EA"/>
    <w:rsid w:val="009038F8"/>
    <w:rsid w:val="0090397D"/>
    <w:rsid w:val="00903A12"/>
    <w:rsid w:val="00903A74"/>
    <w:rsid w:val="00903B3A"/>
    <w:rsid w:val="00903F30"/>
    <w:rsid w:val="00903F6F"/>
    <w:rsid w:val="00903FA1"/>
    <w:rsid w:val="00903FF6"/>
    <w:rsid w:val="00904017"/>
    <w:rsid w:val="0090439D"/>
    <w:rsid w:val="00904531"/>
    <w:rsid w:val="00904897"/>
    <w:rsid w:val="00904943"/>
    <w:rsid w:val="0090495B"/>
    <w:rsid w:val="009049FD"/>
    <w:rsid w:val="00904B1D"/>
    <w:rsid w:val="00904D69"/>
    <w:rsid w:val="00904E2E"/>
    <w:rsid w:val="00904E3E"/>
    <w:rsid w:val="00904EFD"/>
    <w:rsid w:val="00904FEB"/>
    <w:rsid w:val="009051F9"/>
    <w:rsid w:val="0090534C"/>
    <w:rsid w:val="00905384"/>
    <w:rsid w:val="009053E7"/>
    <w:rsid w:val="0090542C"/>
    <w:rsid w:val="009054A7"/>
    <w:rsid w:val="009055A2"/>
    <w:rsid w:val="0090574A"/>
    <w:rsid w:val="009057BD"/>
    <w:rsid w:val="00905C46"/>
    <w:rsid w:val="00905C7F"/>
    <w:rsid w:val="00905CE9"/>
    <w:rsid w:val="00905E5B"/>
    <w:rsid w:val="00905ED4"/>
    <w:rsid w:val="00905F5F"/>
    <w:rsid w:val="00905FF4"/>
    <w:rsid w:val="0090612C"/>
    <w:rsid w:val="009063B3"/>
    <w:rsid w:val="009063CF"/>
    <w:rsid w:val="009067E0"/>
    <w:rsid w:val="0090684F"/>
    <w:rsid w:val="00906855"/>
    <w:rsid w:val="00906856"/>
    <w:rsid w:val="0090688F"/>
    <w:rsid w:val="00906A91"/>
    <w:rsid w:val="00906B78"/>
    <w:rsid w:val="00906BA8"/>
    <w:rsid w:val="00906C06"/>
    <w:rsid w:val="009070CD"/>
    <w:rsid w:val="00907209"/>
    <w:rsid w:val="00907387"/>
    <w:rsid w:val="009074D1"/>
    <w:rsid w:val="009075D9"/>
    <w:rsid w:val="00907638"/>
    <w:rsid w:val="009076AA"/>
    <w:rsid w:val="00907E10"/>
    <w:rsid w:val="00907E35"/>
    <w:rsid w:val="00907E57"/>
    <w:rsid w:val="00907FF5"/>
    <w:rsid w:val="009100B5"/>
    <w:rsid w:val="00910225"/>
    <w:rsid w:val="009105A4"/>
    <w:rsid w:val="00910974"/>
    <w:rsid w:val="009109A0"/>
    <w:rsid w:val="009109EB"/>
    <w:rsid w:val="00910B3E"/>
    <w:rsid w:val="00910B86"/>
    <w:rsid w:val="00910BE4"/>
    <w:rsid w:val="00910D0E"/>
    <w:rsid w:val="00910DE8"/>
    <w:rsid w:val="00910ECC"/>
    <w:rsid w:val="00910F23"/>
    <w:rsid w:val="0091104D"/>
    <w:rsid w:val="00911059"/>
    <w:rsid w:val="009110E2"/>
    <w:rsid w:val="0091120E"/>
    <w:rsid w:val="009114FB"/>
    <w:rsid w:val="009116AA"/>
    <w:rsid w:val="0091186B"/>
    <w:rsid w:val="00911941"/>
    <w:rsid w:val="00911A1C"/>
    <w:rsid w:val="00911AAB"/>
    <w:rsid w:val="00911B2B"/>
    <w:rsid w:val="00911B50"/>
    <w:rsid w:val="00911CE2"/>
    <w:rsid w:val="00911D0A"/>
    <w:rsid w:val="00911FE1"/>
    <w:rsid w:val="00912079"/>
    <w:rsid w:val="00912098"/>
    <w:rsid w:val="00912134"/>
    <w:rsid w:val="00912714"/>
    <w:rsid w:val="009127EC"/>
    <w:rsid w:val="00912A11"/>
    <w:rsid w:val="00912A6E"/>
    <w:rsid w:val="00912AF8"/>
    <w:rsid w:val="00912D6C"/>
    <w:rsid w:val="00912DCF"/>
    <w:rsid w:val="00912DF2"/>
    <w:rsid w:val="009130BB"/>
    <w:rsid w:val="0091310B"/>
    <w:rsid w:val="0091329F"/>
    <w:rsid w:val="009132CC"/>
    <w:rsid w:val="0091338D"/>
    <w:rsid w:val="009133D0"/>
    <w:rsid w:val="00913409"/>
    <w:rsid w:val="00913557"/>
    <w:rsid w:val="0091365F"/>
    <w:rsid w:val="00913852"/>
    <w:rsid w:val="00913866"/>
    <w:rsid w:val="00913891"/>
    <w:rsid w:val="00913945"/>
    <w:rsid w:val="00913A35"/>
    <w:rsid w:val="00913A6F"/>
    <w:rsid w:val="00913C12"/>
    <w:rsid w:val="00913F25"/>
    <w:rsid w:val="00913F4F"/>
    <w:rsid w:val="00914008"/>
    <w:rsid w:val="00914183"/>
    <w:rsid w:val="00914196"/>
    <w:rsid w:val="009141DA"/>
    <w:rsid w:val="0091421C"/>
    <w:rsid w:val="00914385"/>
    <w:rsid w:val="009143A2"/>
    <w:rsid w:val="00914414"/>
    <w:rsid w:val="009149B3"/>
    <w:rsid w:val="009149D0"/>
    <w:rsid w:val="00914E9F"/>
    <w:rsid w:val="00914F3C"/>
    <w:rsid w:val="00915046"/>
    <w:rsid w:val="00915072"/>
    <w:rsid w:val="009152FC"/>
    <w:rsid w:val="00915305"/>
    <w:rsid w:val="0091537A"/>
    <w:rsid w:val="00915387"/>
    <w:rsid w:val="009154AE"/>
    <w:rsid w:val="009155D7"/>
    <w:rsid w:val="009155EF"/>
    <w:rsid w:val="00915735"/>
    <w:rsid w:val="0091589E"/>
    <w:rsid w:val="00915907"/>
    <w:rsid w:val="00915D97"/>
    <w:rsid w:val="00915E48"/>
    <w:rsid w:val="009161E5"/>
    <w:rsid w:val="009163DC"/>
    <w:rsid w:val="0091640B"/>
    <w:rsid w:val="00916467"/>
    <w:rsid w:val="009165C0"/>
    <w:rsid w:val="009165D2"/>
    <w:rsid w:val="00916770"/>
    <w:rsid w:val="00916785"/>
    <w:rsid w:val="00916854"/>
    <w:rsid w:val="0091693C"/>
    <w:rsid w:val="009169AC"/>
    <w:rsid w:val="00916A30"/>
    <w:rsid w:val="00916E3E"/>
    <w:rsid w:val="00916EBF"/>
    <w:rsid w:val="00916F4B"/>
    <w:rsid w:val="0091707B"/>
    <w:rsid w:val="009170B0"/>
    <w:rsid w:val="0091711E"/>
    <w:rsid w:val="009171AA"/>
    <w:rsid w:val="009171D0"/>
    <w:rsid w:val="009171DF"/>
    <w:rsid w:val="00917419"/>
    <w:rsid w:val="009174A3"/>
    <w:rsid w:val="009175BA"/>
    <w:rsid w:val="00917731"/>
    <w:rsid w:val="00917DA2"/>
    <w:rsid w:val="00917E04"/>
    <w:rsid w:val="00917EEF"/>
    <w:rsid w:val="009200C5"/>
    <w:rsid w:val="009200CA"/>
    <w:rsid w:val="00920120"/>
    <w:rsid w:val="00920288"/>
    <w:rsid w:val="00920517"/>
    <w:rsid w:val="009205BD"/>
    <w:rsid w:val="00920739"/>
    <w:rsid w:val="0092075A"/>
    <w:rsid w:val="0092077F"/>
    <w:rsid w:val="009207C0"/>
    <w:rsid w:val="009209DA"/>
    <w:rsid w:val="00920A20"/>
    <w:rsid w:val="00920BB0"/>
    <w:rsid w:val="00920C3A"/>
    <w:rsid w:val="00920C4E"/>
    <w:rsid w:val="00920E7C"/>
    <w:rsid w:val="00920ED6"/>
    <w:rsid w:val="00920F35"/>
    <w:rsid w:val="0092101D"/>
    <w:rsid w:val="009210A9"/>
    <w:rsid w:val="009211BB"/>
    <w:rsid w:val="00921348"/>
    <w:rsid w:val="00921514"/>
    <w:rsid w:val="00921628"/>
    <w:rsid w:val="0092168A"/>
    <w:rsid w:val="0092173D"/>
    <w:rsid w:val="009217E3"/>
    <w:rsid w:val="009219B4"/>
    <w:rsid w:val="00921D49"/>
    <w:rsid w:val="00921D79"/>
    <w:rsid w:val="00921E85"/>
    <w:rsid w:val="00922004"/>
    <w:rsid w:val="009224B7"/>
    <w:rsid w:val="00922757"/>
    <w:rsid w:val="00922805"/>
    <w:rsid w:val="00922917"/>
    <w:rsid w:val="0092292A"/>
    <w:rsid w:val="0092294F"/>
    <w:rsid w:val="009229D2"/>
    <w:rsid w:val="00922AB5"/>
    <w:rsid w:val="00922B14"/>
    <w:rsid w:val="00922CF7"/>
    <w:rsid w:val="00922F5A"/>
    <w:rsid w:val="00922FCD"/>
    <w:rsid w:val="0092314A"/>
    <w:rsid w:val="009232B2"/>
    <w:rsid w:val="009233C8"/>
    <w:rsid w:val="00923405"/>
    <w:rsid w:val="0092347E"/>
    <w:rsid w:val="0092348A"/>
    <w:rsid w:val="0092350A"/>
    <w:rsid w:val="00923806"/>
    <w:rsid w:val="00923845"/>
    <w:rsid w:val="009239E0"/>
    <w:rsid w:val="009239FD"/>
    <w:rsid w:val="00923E4E"/>
    <w:rsid w:val="00923F3F"/>
    <w:rsid w:val="00923F4E"/>
    <w:rsid w:val="009240C0"/>
    <w:rsid w:val="009241F9"/>
    <w:rsid w:val="009244E4"/>
    <w:rsid w:val="00924521"/>
    <w:rsid w:val="0092466E"/>
    <w:rsid w:val="009246A2"/>
    <w:rsid w:val="009247D1"/>
    <w:rsid w:val="009247F5"/>
    <w:rsid w:val="009247FC"/>
    <w:rsid w:val="009249E5"/>
    <w:rsid w:val="00924B10"/>
    <w:rsid w:val="00924B21"/>
    <w:rsid w:val="00924D8A"/>
    <w:rsid w:val="00924EF3"/>
    <w:rsid w:val="00924F03"/>
    <w:rsid w:val="00924F29"/>
    <w:rsid w:val="00924F45"/>
    <w:rsid w:val="0092524E"/>
    <w:rsid w:val="009256C8"/>
    <w:rsid w:val="00925825"/>
    <w:rsid w:val="00925949"/>
    <w:rsid w:val="00925977"/>
    <w:rsid w:val="009259B7"/>
    <w:rsid w:val="00925D6B"/>
    <w:rsid w:val="00925F25"/>
    <w:rsid w:val="00926098"/>
    <w:rsid w:val="0092634C"/>
    <w:rsid w:val="0092645B"/>
    <w:rsid w:val="009264EC"/>
    <w:rsid w:val="0092653A"/>
    <w:rsid w:val="00926620"/>
    <w:rsid w:val="009266B9"/>
    <w:rsid w:val="009266D0"/>
    <w:rsid w:val="009266F9"/>
    <w:rsid w:val="00926867"/>
    <w:rsid w:val="0092696D"/>
    <w:rsid w:val="00926977"/>
    <w:rsid w:val="009269E1"/>
    <w:rsid w:val="00926B78"/>
    <w:rsid w:val="00926B9D"/>
    <w:rsid w:val="00926CAA"/>
    <w:rsid w:val="00926DBD"/>
    <w:rsid w:val="00926DD6"/>
    <w:rsid w:val="00926EC5"/>
    <w:rsid w:val="009271A3"/>
    <w:rsid w:val="009272B0"/>
    <w:rsid w:val="0092735A"/>
    <w:rsid w:val="009273B5"/>
    <w:rsid w:val="009273F3"/>
    <w:rsid w:val="00927912"/>
    <w:rsid w:val="009279D7"/>
    <w:rsid w:val="00927B03"/>
    <w:rsid w:val="00927D6F"/>
    <w:rsid w:val="00927DF0"/>
    <w:rsid w:val="00927EAD"/>
    <w:rsid w:val="00927F45"/>
    <w:rsid w:val="009301E0"/>
    <w:rsid w:val="009302E4"/>
    <w:rsid w:val="00930465"/>
    <w:rsid w:val="0093068B"/>
    <w:rsid w:val="009306F2"/>
    <w:rsid w:val="00930944"/>
    <w:rsid w:val="00930999"/>
    <w:rsid w:val="00930A40"/>
    <w:rsid w:val="00930BC2"/>
    <w:rsid w:val="00930EA8"/>
    <w:rsid w:val="00931052"/>
    <w:rsid w:val="00931096"/>
    <w:rsid w:val="009310B2"/>
    <w:rsid w:val="00931278"/>
    <w:rsid w:val="00931597"/>
    <w:rsid w:val="0093163B"/>
    <w:rsid w:val="0093179C"/>
    <w:rsid w:val="00931A3D"/>
    <w:rsid w:val="00931B48"/>
    <w:rsid w:val="00931E15"/>
    <w:rsid w:val="00931E3A"/>
    <w:rsid w:val="00931E74"/>
    <w:rsid w:val="00931F37"/>
    <w:rsid w:val="0093218E"/>
    <w:rsid w:val="00932489"/>
    <w:rsid w:val="00932D03"/>
    <w:rsid w:val="00932D63"/>
    <w:rsid w:val="00932E31"/>
    <w:rsid w:val="00932EAF"/>
    <w:rsid w:val="00932F36"/>
    <w:rsid w:val="00932F6F"/>
    <w:rsid w:val="00933047"/>
    <w:rsid w:val="009331D6"/>
    <w:rsid w:val="00933684"/>
    <w:rsid w:val="009336A1"/>
    <w:rsid w:val="00933701"/>
    <w:rsid w:val="00933720"/>
    <w:rsid w:val="009337C8"/>
    <w:rsid w:val="0093382D"/>
    <w:rsid w:val="00933883"/>
    <w:rsid w:val="009338DC"/>
    <w:rsid w:val="00933965"/>
    <w:rsid w:val="00933C2B"/>
    <w:rsid w:val="00933C7A"/>
    <w:rsid w:val="00933D4B"/>
    <w:rsid w:val="00933E6E"/>
    <w:rsid w:val="00933FFD"/>
    <w:rsid w:val="00934081"/>
    <w:rsid w:val="00934471"/>
    <w:rsid w:val="0093450E"/>
    <w:rsid w:val="009346E9"/>
    <w:rsid w:val="00934769"/>
    <w:rsid w:val="00934851"/>
    <w:rsid w:val="00934B09"/>
    <w:rsid w:val="00934D83"/>
    <w:rsid w:val="00934D85"/>
    <w:rsid w:val="00934E37"/>
    <w:rsid w:val="00934E5B"/>
    <w:rsid w:val="00934E91"/>
    <w:rsid w:val="00934F4F"/>
    <w:rsid w:val="00934F9C"/>
    <w:rsid w:val="009352B4"/>
    <w:rsid w:val="009354E2"/>
    <w:rsid w:val="00935531"/>
    <w:rsid w:val="0093567E"/>
    <w:rsid w:val="00935720"/>
    <w:rsid w:val="0093580D"/>
    <w:rsid w:val="0093581E"/>
    <w:rsid w:val="009358BF"/>
    <w:rsid w:val="00935956"/>
    <w:rsid w:val="00935B40"/>
    <w:rsid w:val="00935B5D"/>
    <w:rsid w:val="00935C11"/>
    <w:rsid w:val="00935D71"/>
    <w:rsid w:val="00935F83"/>
    <w:rsid w:val="009360DF"/>
    <w:rsid w:val="00936364"/>
    <w:rsid w:val="009363D5"/>
    <w:rsid w:val="00936448"/>
    <w:rsid w:val="00936551"/>
    <w:rsid w:val="0093677E"/>
    <w:rsid w:val="00936871"/>
    <w:rsid w:val="009369CA"/>
    <w:rsid w:val="00936BC7"/>
    <w:rsid w:val="00936DCF"/>
    <w:rsid w:val="00936DDE"/>
    <w:rsid w:val="00936DF0"/>
    <w:rsid w:val="00936EA7"/>
    <w:rsid w:val="00936EB0"/>
    <w:rsid w:val="00936F7D"/>
    <w:rsid w:val="00936F96"/>
    <w:rsid w:val="009370FD"/>
    <w:rsid w:val="00937184"/>
    <w:rsid w:val="00937445"/>
    <w:rsid w:val="00937500"/>
    <w:rsid w:val="00937876"/>
    <w:rsid w:val="009378AD"/>
    <w:rsid w:val="0093790D"/>
    <w:rsid w:val="0093798A"/>
    <w:rsid w:val="00937AD5"/>
    <w:rsid w:val="00937B98"/>
    <w:rsid w:val="00937BE2"/>
    <w:rsid w:val="00937C02"/>
    <w:rsid w:val="009403EC"/>
    <w:rsid w:val="0094057E"/>
    <w:rsid w:val="009406C0"/>
    <w:rsid w:val="00940776"/>
    <w:rsid w:val="00940827"/>
    <w:rsid w:val="00940B76"/>
    <w:rsid w:val="00940BC6"/>
    <w:rsid w:val="00940C4E"/>
    <w:rsid w:val="00940CA8"/>
    <w:rsid w:val="00940DB7"/>
    <w:rsid w:val="00940E53"/>
    <w:rsid w:val="0094120E"/>
    <w:rsid w:val="00941BA8"/>
    <w:rsid w:val="00941C0A"/>
    <w:rsid w:val="00941C75"/>
    <w:rsid w:val="00941EC1"/>
    <w:rsid w:val="00941ED7"/>
    <w:rsid w:val="00941F36"/>
    <w:rsid w:val="00941FBF"/>
    <w:rsid w:val="00942046"/>
    <w:rsid w:val="009423AA"/>
    <w:rsid w:val="009424A1"/>
    <w:rsid w:val="0094255D"/>
    <w:rsid w:val="00942583"/>
    <w:rsid w:val="0094260B"/>
    <w:rsid w:val="0094298C"/>
    <w:rsid w:val="00942A4E"/>
    <w:rsid w:val="00942ABB"/>
    <w:rsid w:val="00942AF0"/>
    <w:rsid w:val="00942D8F"/>
    <w:rsid w:val="00942E28"/>
    <w:rsid w:val="00942E64"/>
    <w:rsid w:val="0094309F"/>
    <w:rsid w:val="0094317E"/>
    <w:rsid w:val="0094337E"/>
    <w:rsid w:val="00943457"/>
    <w:rsid w:val="0094346C"/>
    <w:rsid w:val="009436C7"/>
    <w:rsid w:val="00943786"/>
    <w:rsid w:val="0094380C"/>
    <w:rsid w:val="00943A60"/>
    <w:rsid w:val="00943AEC"/>
    <w:rsid w:val="00943C94"/>
    <w:rsid w:val="00943CDC"/>
    <w:rsid w:val="00943CE5"/>
    <w:rsid w:val="00943D2A"/>
    <w:rsid w:val="00943F37"/>
    <w:rsid w:val="00944136"/>
    <w:rsid w:val="00944145"/>
    <w:rsid w:val="009441B6"/>
    <w:rsid w:val="009443AE"/>
    <w:rsid w:val="0094445E"/>
    <w:rsid w:val="009447D6"/>
    <w:rsid w:val="00944875"/>
    <w:rsid w:val="009448C4"/>
    <w:rsid w:val="00944A99"/>
    <w:rsid w:val="00944B18"/>
    <w:rsid w:val="00944C08"/>
    <w:rsid w:val="00944E18"/>
    <w:rsid w:val="00944E85"/>
    <w:rsid w:val="009450AE"/>
    <w:rsid w:val="0094515F"/>
    <w:rsid w:val="00945331"/>
    <w:rsid w:val="00945349"/>
    <w:rsid w:val="00945419"/>
    <w:rsid w:val="0094549F"/>
    <w:rsid w:val="00945520"/>
    <w:rsid w:val="00945754"/>
    <w:rsid w:val="009457CD"/>
    <w:rsid w:val="00945A3D"/>
    <w:rsid w:val="00945B01"/>
    <w:rsid w:val="00945B3C"/>
    <w:rsid w:val="00945C1E"/>
    <w:rsid w:val="00945C7F"/>
    <w:rsid w:val="00945DAE"/>
    <w:rsid w:val="00945F34"/>
    <w:rsid w:val="00945F5D"/>
    <w:rsid w:val="00946007"/>
    <w:rsid w:val="00946038"/>
    <w:rsid w:val="00946422"/>
    <w:rsid w:val="00946669"/>
    <w:rsid w:val="0094672F"/>
    <w:rsid w:val="00946B2B"/>
    <w:rsid w:val="00946DE6"/>
    <w:rsid w:val="00946F4E"/>
    <w:rsid w:val="00946F99"/>
    <w:rsid w:val="00946FA7"/>
    <w:rsid w:val="0094708C"/>
    <w:rsid w:val="009471FA"/>
    <w:rsid w:val="009474FE"/>
    <w:rsid w:val="00947549"/>
    <w:rsid w:val="00947627"/>
    <w:rsid w:val="00947761"/>
    <w:rsid w:val="0094782C"/>
    <w:rsid w:val="0094784C"/>
    <w:rsid w:val="00947917"/>
    <w:rsid w:val="00947C1F"/>
    <w:rsid w:val="00947D04"/>
    <w:rsid w:val="00947E4C"/>
    <w:rsid w:val="00947F1D"/>
    <w:rsid w:val="00947FD4"/>
    <w:rsid w:val="00950018"/>
    <w:rsid w:val="009500B6"/>
    <w:rsid w:val="00950148"/>
    <w:rsid w:val="00950381"/>
    <w:rsid w:val="009503AD"/>
    <w:rsid w:val="0095060D"/>
    <w:rsid w:val="009506F8"/>
    <w:rsid w:val="00950709"/>
    <w:rsid w:val="009508B7"/>
    <w:rsid w:val="0095096F"/>
    <w:rsid w:val="00950BAB"/>
    <w:rsid w:val="00950E23"/>
    <w:rsid w:val="00950E48"/>
    <w:rsid w:val="009510F2"/>
    <w:rsid w:val="00951252"/>
    <w:rsid w:val="00951337"/>
    <w:rsid w:val="00951354"/>
    <w:rsid w:val="0095140A"/>
    <w:rsid w:val="009515F6"/>
    <w:rsid w:val="009516A7"/>
    <w:rsid w:val="00951764"/>
    <w:rsid w:val="00951798"/>
    <w:rsid w:val="009517E2"/>
    <w:rsid w:val="00951872"/>
    <w:rsid w:val="00951979"/>
    <w:rsid w:val="00951C47"/>
    <w:rsid w:val="00951CD8"/>
    <w:rsid w:val="00951D20"/>
    <w:rsid w:val="00951D31"/>
    <w:rsid w:val="00951DE8"/>
    <w:rsid w:val="00951E22"/>
    <w:rsid w:val="00951EB8"/>
    <w:rsid w:val="00952072"/>
    <w:rsid w:val="00952103"/>
    <w:rsid w:val="00952150"/>
    <w:rsid w:val="009521C7"/>
    <w:rsid w:val="009521C9"/>
    <w:rsid w:val="00952268"/>
    <w:rsid w:val="00952377"/>
    <w:rsid w:val="0095237A"/>
    <w:rsid w:val="00952414"/>
    <w:rsid w:val="0095243C"/>
    <w:rsid w:val="0095295C"/>
    <w:rsid w:val="00952AD7"/>
    <w:rsid w:val="00952B4D"/>
    <w:rsid w:val="00952BAD"/>
    <w:rsid w:val="00952E25"/>
    <w:rsid w:val="00952FAE"/>
    <w:rsid w:val="009530C9"/>
    <w:rsid w:val="00953648"/>
    <w:rsid w:val="009536C5"/>
    <w:rsid w:val="009536C9"/>
    <w:rsid w:val="009536EA"/>
    <w:rsid w:val="00953860"/>
    <w:rsid w:val="009538AF"/>
    <w:rsid w:val="009538D8"/>
    <w:rsid w:val="009538DC"/>
    <w:rsid w:val="00953A18"/>
    <w:rsid w:val="00953A7E"/>
    <w:rsid w:val="00953A9E"/>
    <w:rsid w:val="00953B88"/>
    <w:rsid w:val="00953BC7"/>
    <w:rsid w:val="00953E01"/>
    <w:rsid w:val="00953EEF"/>
    <w:rsid w:val="0095404B"/>
    <w:rsid w:val="0095406C"/>
    <w:rsid w:val="009540E0"/>
    <w:rsid w:val="009541AB"/>
    <w:rsid w:val="009542D7"/>
    <w:rsid w:val="009543D7"/>
    <w:rsid w:val="00954523"/>
    <w:rsid w:val="0095475E"/>
    <w:rsid w:val="00954B2D"/>
    <w:rsid w:val="00954C6A"/>
    <w:rsid w:val="00954DB8"/>
    <w:rsid w:val="00954DF7"/>
    <w:rsid w:val="00954F52"/>
    <w:rsid w:val="0095504A"/>
    <w:rsid w:val="0095507A"/>
    <w:rsid w:val="00955091"/>
    <w:rsid w:val="009550F0"/>
    <w:rsid w:val="0095520B"/>
    <w:rsid w:val="0095527E"/>
    <w:rsid w:val="009552C2"/>
    <w:rsid w:val="009554D4"/>
    <w:rsid w:val="009557A5"/>
    <w:rsid w:val="009557B9"/>
    <w:rsid w:val="00955A9D"/>
    <w:rsid w:val="00955CCE"/>
    <w:rsid w:val="009560E6"/>
    <w:rsid w:val="009561A9"/>
    <w:rsid w:val="009562E9"/>
    <w:rsid w:val="0095642A"/>
    <w:rsid w:val="009564BE"/>
    <w:rsid w:val="009566F5"/>
    <w:rsid w:val="00956752"/>
    <w:rsid w:val="009568B2"/>
    <w:rsid w:val="00956AD0"/>
    <w:rsid w:val="00956BBE"/>
    <w:rsid w:val="00956BCB"/>
    <w:rsid w:val="00956D8B"/>
    <w:rsid w:val="00956EDD"/>
    <w:rsid w:val="00957066"/>
    <w:rsid w:val="00957382"/>
    <w:rsid w:val="0095762B"/>
    <w:rsid w:val="009579AB"/>
    <w:rsid w:val="00957A30"/>
    <w:rsid w:val="00957A42"/>
    <w:rsid w:val="00957AF8"/>
    <w:rsid w:val="00957E39"/>
    <w:rsid w:val="00957E92"/>
    <w:rsid w:val="00957F4B"/>
    <w:rsid w:val="00960016"/>
    <w:rsid w:val="0096011A"/>
    <w:rsid w:val="009601A1"/>
    <w:rsid w:val="009601D2"/>
    <w:rsid w:val="00960294"/>
    <w:rsid w:val="00960389"/>
    <w:rsid w:val="00960480"/>
    <w:rsid w:val="00960591"/>
    <w:rsid w:val="009605B5"/>
    <w:rsid w:val="009605FB"/>
    <w:rsid w:val="00960883"/>
    <w:rsid w:val="009608B0"/>
    <w:rsid w:val="00960994"/>
    <w:rsid w:val="00960C18"/>
    <w:rsid w:val="00960CD3"/>
    <w:rsid w:val="00960CF4"/>
    <w:rsid w:val="00960D1F"/>
    <w:rsid w:val="00960D6E"/>
    <w:rsid w:val="00961142"/>
    <w:rsid w:val="009611D7"/>
    <w:rsid w:val="00961401"/>
    <w:rsid w:val="009615AF"/>
    <w:rsid w:val="009615FD"/>
    <w:rsid w:val="0096160D"/>
    <w:rsid w:val="0096190C"/>
    <w:rsid w:val="00961937"/>
    <w:rsid w:val="00961A40"/>
    <w:rsid w:val="00961ADA"/>
    <w:rsid w:val="00961B4B"/>
    <w:rsid w:val="00961BF6"/>
    <w:rsid w:val="00961C11"/>
    <w:rsid w:val="00961C4F"/>
    <w:rsid w:val="00961C57"/>
    <w:rsid w:val="00961D52"/>
    <w:rsid w:val="0096215F"/>
    <w:rsid w:val="009622B9"/>
    <w:rsid w:val="00962642"/>
    <w:rsid w:val="00962676"/>
    <w:rsid w:val="009627ED"/>
    <w:rsid w:val="0096296A"/>
    <w:rsid w:val="00962A5B"/>
    <w:rsid w:val="00962B64"/>
    <w:rsid w:val="00962F5D"/>
    <w:rsid w:val="00963173"/>
    <w:rsid w:val="00963256"/>
    <w:rsid w:val="009632C3"/>
    <w:rsid w:val="0096334A"/>
    <w:rsid w:val="00963380"/>
    <w:rsid w:val="00963406"/>
    <w:rsid w:val="00963610"/>
    <w:rsid w:val="0096376F"/>
    <w:rsid w:val="0096378B"/>
    <w:rsid w:val="0096387A"/>
    <w:rsid w:val="00963898"/>
    <w:rsid w:val="009638E6"/>
    <w:rsid w:val="00963918"/>
    <w:rsid w:val="00963958"/>
    <w:rsid w:val="00963B4B"/>
    <w:rsid w:val="00963C3F"/>
    <w:rsid w:val="00963C88"/>
    <w:rsid w:val="00963EB1"/>
    <w:rsid w:val="00963EB3"/>
    <w:rsid w:val="00963F55"/>
    <w:rsid w:val="009640F7"/>
    <w:rsid w:val="009642BF"/>
    <w:rsid w:val="009642F8"/>
    <w:rsid w:val="00964318"/>
    <w:rsid w:val="00964404"/>
    <w:rsid w:val="009644C1"/>
    <w:rsid w:val="009645DF"/>
    <w:rsid w:val="009645E3"/>
    <w:rsid w:val="0096460A"/>
    <w:rsid w:val="0096462C"/>
    <w:rsid w:val="00964737"/>
    <w:rsid w:val="00964748"/>
    <w:rsid w:val="009648E1"/>
    <w:rsid w:val="00964905"/>
    <w:rsid w:val="00964963"/>
    <w:rsid w:val="00964A37"/>
    <w:rsid w:val="00964C2C"/>
    <w:rsid w:val="00964C58"/>
    <w:rsid w:val="00964EA6"/>
    <w:rsid w:val="009650D8"/>
    <w:rsid w:val="0096516F"/>
    <w:rsid w:val="009653F3"/>
    <w:rsid w:val="009655C7"/>
    <w:rsid w:val="009656CE"/>
    <w:rsid w:val="00965740"/>
    <w:rsid w:val="009658BD"/>
    <w:rsid w:val="00965914"/>
    <w:rsid w:val="0096594A"/>
    <w:rsid w:val="009659CA"/>
    <w:rsid w:val="00965CA5"/>
    <w:rsid w:val="00965E1A"/>
    <w:rsid w:val="00965E21"/>
    <w:rsid w:val="00965F55"/>
    <w:rsid w:val="00965F82"/>
    <w:rsid w:val="00965FDE"/>
    <w:rsid w:val="00966087"/>
    <w:rsid w:val="00966165"/>
    <w:rsid w:val="009661EF"/>
    <w:rsid w:val="00966226"/>
    <w:rsid w:val="00966484"/>
    <w:rsid w:val="00966642"/>
    <w:rsid w:val="00966797"/>
    <w:rsid w:val="00966861"/>
    <w:rsid w:val="009668C7"/>
    <w:rsid w:val="00966901"/>
    <w:rsid w:val="00966958"/>
    <w:rsid w:val="00966A6C"/>
    <w:rsid w:val="00966A90"/>
    <w:rsid w:val="00966D0F"/>
    <w:rsid w:val="0096706D"/>
    <w:rsid w:val="00967201"/>
    <w:rsid w:val="00967291"/>
    <w:rsid w:val="0096742A"/>
    <w:rsid w:val="00967632"/>
    <w:rsid w:val="009676D0"/>
    <w:rsid w:val="00967706"/>
    <w:rsid w:val="00967722"/>
    <w:rsid w:val="00967727"/>
    <w:rsid w:val="00967A37"/>
    <w:rsid w:val="00967ABC"/>
    <w:rsid w:val="00967AC6"/>
    <w:rsid w:val="00967B43"/>
    <w:rsid w:val="00967D9D"/>
    <w:rsid w:val="00967F57"/>
    <w:rsid w:val="00967F5D"/>
    <w:rsid w:val="00967F85"/>
    <w:rsid w:val="00967FC7"/>
    <w:rsid w:val="009700B4"/>
    <w:rsid w:val="00970260"/>
    <w:rsid w:val="009703E7"/>
    <w:rsid w:val="00970459"/>
    <w:rsid w:val="00970545"/>
    <w:rsid w:val="00970576"/>
    <w:rsid w:val="009705B6"/>
    <w:rsid w:val="009705CA"/>
    <w:rsid w:val="009707CC"/>
    <w:rsid w:val="00970910"/>
    <w:rsid w:val="00970974"/>
    <w:rsid w:val="0097099E"/>
    <w:rsid w:val="00970B35"/>
    <w:rsid w:val="00970CAE"/>
    <w:rsid w:val="00970D5E"/>
    <w:rsid w:val="00970DB3"/>
    <w:rsid w:val="00970DC0"/>
    <w:rsid w:val="00970EBB"/>
    <w:rsid w:val="00970F21"/>
    <w:rsid w:val="00970F7F"/>
    <w:rsid w:val="0097117D"/>
    <w:rsid w:val="0097119C"/>
    <w:rsid w:val="0097119D"/>
    <w:rsid w:val="00971245"/>
    <w:rsid w:val="00971419"/>
    <w:rsid w:val="0097149F"/>
    <w:rsid w:val="009714CF"/>
    <w:rsid w:val="009717B4"/>
    <w:rsid w:val="00971A0D"/>
    <w:rsid w:val="00971B4D"/>
    <w:rsid w:val="00971E86"/>
    <w:rsid w:val="00971EBE"/>
    <w:rsid w:val="00971F3C"/>
    <w:rsid w:val="00972222"/>
    <w:rsid w:val="0097260B"/>
    <w:rsid w:val="0097280C"/>
    <w:rsid w:val="00972BC4"/>
    <w:rsid w:val="00972D58"/>
    <w:rsid w:val="00972EB2"/>
    <w:rsid w:val="00972F33"/>
    <w:rsid w:val="0097312F"/>
    <w:rsid w:val="0097322B"/>
    <w:rsid w:val="009734B7"/>
    <w:rsid w:val="009734D2"/>
    <w:rsid w:val="009737BE"/>
    <w:rsid w:val="009737DC"/>
    <w:rsid w:val="00973996"/>
    <w:rsid w:val="00973C97"/>
    <w:rsid w:val="00973CDE"/>
    <w:rsid w:val="00973FC4"/>
    <w:rsid w:val="00974079"/>
    <w:rsid w:val="00974171"/>
    <w:rsid w:val="009741EA"/>
    <w:rsid w:val="009742CC"/>
    <w:rsid w:val="00974336"/>
    <w:rsid w:val="0097440E"/>
    <w:rsid w:val="009744E1"/>
    <w:rsid w:val="0097462B"/>
    <w:rsid w:val="00974C1E"/>
    <w:rsid w:val="00974D2E"/>
    <w:rsid w:val="00974D3D"/>
    <w:rsid w:val="00974D52"/>
    <w:rsid w:val="00974DC7"/>
    <w:rsid w:val="00974DF3"/>
    <w:rsid w:val="00974EDF"/>
    <w:rsid w:val="00974FD2"/>
    <w:rsid w:val="00975214"/>
    <w:rsid w:val="0097535D"/>
    <w:rsid w:val="0097540B"/>
    <w:rsid w:val="0097540F"/>
    <w:rsid w:val="009755DD"/>
    <w:rsid w:val="00975654"/>
    <w:rsid w:val="00975746"/>
    <w:rsid w:val="00975B47"/>
    <w:rsid w:val="00975D20"/>
    <w:rsid w:val="00975D37"/>
    <w:rsid w:val="00975D47"/>
    <w:rsid w:val="00975DED"/>
    <w:rsid w:val="00975F53"/>
    <w:rsid w:val="00975F5D"/>
    <w:rsid w:val="009760C8"/>
    <w:rsid w:val="0097623A"/>
    <w:rsid w:val="0097635B"/>
    <w:rsid w:val="009763C1"/>
    <w:rsid w:val="009763CF"/>
    <w:rsid w:val="009765B5"/>
    <w:rsid w:val="009765DF"/>
    <w:rsid w:val="0097663E"/>
    <w:rsid w:val="009766FE"/>
    <w:rsid w:val="00976772"/>
    <w:rsid w:val="00976A99"/>
    <w:rsid w:val="00976AA6"/>
    <w:rsid w:val="00976B3A"/>
    <w:rsid w:val="00976C45"/>
    <w:rsid w:val="00976CF4"/>
    <w:rsid w:val="00976F2C"/>
    <w:rsid w:val="0097717B"/>
    <w:rsid w:val="009771F7"/>
    <w:rsid w:val="00977493"/>
    <w:rsid w:val="00977657"/>
    <w:rsid w:val="009778F5"/>
    <w:rsid w:val="00977997"/>
    <w:rsid w:val="00977E82"/>
    <w:rsid w:val="00977F96"/>
    <w:rsid w:val="009800C5"/>
    <w:rsid w:val="009800E2"/>
    <w:rsid w:val="009802F3"/>
    <w:rsid w:val="00980514"/>
    <w:rsid w:val="0098051B"/>
    <w:rsid w:val="009807E0"/>
    <w:rsid w:val="00980AEE"/>
    <w:rsid w:val="00980B19"/>
    <w:rsid w:val="00980B8A"/>
    <w:rsid w:val="00980BFF"/>
    <w:rsid w:val="00980CE8"/>
    <w:rsid w:val="00980F73"/>
    <w:rsid w:val="00981079"/>
    <w:rsid w:val="00981202"/>
    <w:rsid w:val="0098132F"/>
    <w:rsid w:val="0098136D"/>
    <w:rsid w:val="009813F6"/>
    <w:rsid w:val="009813FF"/>
    <w:rsid w:val="00981576"/>
    <w:rsid w:val="0098176B"/>
    <w:rsid w:val="0098192A"/>
    <w:rsid w:val="00981985"/>
    <w:rsid w:val="00981998"/>
    <w:rsid w:val="009819F4"/>
    <w:rsid w:val="00981AAA"/>
    <w:rsid w:val="00981C45"/>
    <w:rsid w:val="00981D9F"/>
    <w:rsid w:val="00981E39"/>
    <w:rsid w:val="00982062"/>
    <w:rsid w:val="0098215E"/>
    <w:rsid w:val="0098225D"/>
    <w:rsid w:val="00982496"/>
    <w:rsid w:val="0098251B"/>
    <w:rsid w:val="009825D7"/>
    <w:rsid w:val="009827AD"/>
    <w:rsid w:val="00982946"/>
    <w:rsid w:val="00982A0E"/>
    <w:rsid w:val="00982A1C"/>
    <w:rsid w:val="00982A2D"/>
    <w:rsid w:val="00982BCB"/>
    <w:rsid w:val="00982C90"/>
    <w:rsid w:val="00982D15"/>
    <w:rsid w:val="00982D51"/>
    <w:rsid w:val="00983075"/>
    <w:rsid w:val="009832A6"/>
    <w:rsid w:val="009832FF"/>
    <w:rsid w:val="009833FD"/>
    <w:rsid w:val="009834EF"/>
    <w:rsid w:val="00983850"/>
    <w:rsid w:val="0098396F"/>
    <w:rsid w:val="00983A48"/>
    <w:rsid w:val="00983A98"/>
    <w:rsid w:val="00983CFB"/>
    <w:rsid w:val="00983F68"/>
    <w:rsid w:val="00983FD5"/>
    <w:rsid w:val="00983FFD"/>
    <w:rsid w:val="0098417B"/>
    <w:rsid w:val="009841AC"/>
    <w:rsid w:val="009842F9"/>
    <w:rsid w:val="00984330"/>
    <w:rsid w:val="0098433C"/>
    <w:rsid w:val="00984377"/>
    <w:rsid w:val="00984617"/>
    <w:rsid w:val="009846FB"/>
    <w:rsid w:val="00984784"/>
    <w:rsid w:val="0098487A"/>
    <w:rsid w:val="00984A46"/>
    <w:rsid w:val="00984A73"/>
    <w:rsid w:val="00984A76"/>
    <w:rsid w:val="00984BD3"/>
    <w:rsid w:val="00984C2C"/>
    <w:rsid w:val="00984C44"/>
    <w:rsid w:val="00984D97"/>
    <w:rsid w:val="00984E5F"/>
    <w:rsid w:val="00984EC9"/>
    <w:rsid w:val="00985088"/>
    <w:rsid w:val="009852BA"/>
    <w:rsid w:val="00985370"/>
    <w:rsid w:val="009854D5"/>
    <w:rsid w:val="00985511"/>
    <w:rsid w:val="00985597"/>
    <w:rsid w:val="009856EF"/>
    <w:rsid w:val="00985869"/>
    <w:rsid w:val="00985977"/>
    <w:rsid w:val="00985B08"/>
    <w:rsid w:val="00985E54"/>
    <w:rsid w:val="009861BC"/>
    <w:rsid w:val="0098622C"/>
    <w:rsid w:val="00986384"/>
    <w:rsid w:val="00986896"/>
    <w:rsid w:val="00986A91"/>
    <w:rsid w:val="00986CDD"/>
    <w:rsid w:val="00986E23"/>
    <w:rsid w:val="00986FE2"/>
    <w:rsid w:val="0098764A"/>
    <w:rsid w:val="00987684"/>
    <w:rsid w:val="0098784E"/>
    <w:rsid w:val="00987A0D"/>
    <w:rsid w:val="00987A31"/>
    <w:rsid w:val="00987B40"/>
    <w:rsid w:val="00987B52"/>
    <w:rsid w:val="00987C30"/>
    <w:rsid w:val="00987CEB"/>
    <w:rsid w:val="00987D30"/>
    <w:rsid w:val="00987D56"/>
    <w:rsid w:val="00987E5D"/>
    <w:rsid w:val="00990180"/>
    <w:rsid w:val="00990220"/>
    <w:rsid w:val="009907E1"/>
    <w:rsid w:val="00990891"/>
    <w:rsid w:val="009909A5"/>
    <w:rsid w:val="00990B79"/>
    <w:rsid w:val="00990B9D"/>
    <w:rsid w:val="00990C3F"/>
    <w:rsid w:val="00990C98"/>
    <w:rsid w:val="00990CC8"/>
    <w:rsid w:val="00990E3F"/>
    <w:rsid w:val="009915A5"/>
    <w:rsid w:val="0099167D"/>
    <w:rsid w:val="00991730"/>
    <w:rsid w:val="009917BA"/>
    <w:rsid w:val="00991809"/>
    <w:rsid w:val="009918AC"/>
    <w:rsid w:val="00991C97"/>
    <w:rsid w:val="00991CBE"/>
    <w:rsid w:val="00991CC8"/>
    <w:rsid w:val="00991EBE"/>
    <w:rsid w:val="00991EF6"/>
    <w:rsid w:val="0099223A"/>
    <w:rsid w:val="00992247"/>
    <w:rsid w:val="009922A9"/>
    <w:rsid w:val="0099246B"/>
    <w:rsid w:val="0099270A"/>
    <w:rsid w:val="00992710"/>
    <w:rsid w:val="0099276C"/>
    <w:rsid w:val="0099278A"/>
    <w:rsid w:val="009927D7"/>
    <w:rsid w:val="00992852"/>
    <w:rsid w:val="0099286E"/>
    <w:rsid w:val="009929C6"/>
    <w:rsid w:val="00992AEF"/>
    <w:rsid w:val="00992C68"/>
    <w:rsid w:val="00992CFF"/>
    <w:rsid w:val="00992D19"/>
    <w:rsid w:val="00992D6D"/>
    <w:rsid w:val="00992DA1"/>
    <w:rsid w:val="00992DE8"/>
    <w:rsid w:val="00992E2B"/>
    <w:rsid w:val="00992E50"/>
    <w:rsid w:val="00993077"/>
    <w:rsid w:val="009930BF"/>
    <w:rsid w:val="00993121"/>
    <w:rsid w:val="009931C6"/>
    <w:rsid w:val="0099332D"/>
    <w:rsid w:val="009933BF"/>
    <w:rsid w:val="009934C3"/>
    <w:rsid w:val="009934D1"/>
    <w:rsid w:val="009934E4"/>
    <w:rsid w:val="00993661"/>
    <w:rsid w:val="009936DA"/>
    <w:rsid w:val="00993776"/>
    <w:rsid w:val="0099390F"/>
    <w:rsid w:val="009939B8"/>
    <w:rsid w:val="00993DDA"/>
    <w:rsid w:val="00993E77"/>
    <w:rsid w:val="009941C1"/>
    <w:rsid w:val="00994315"/>
    <w:rsid w:val="00994471"/>
    <w:rsid w:val="0099456C"/>
    <w:rsid w:val="009946F2"/>
    <w:rsid w:val="009947EF"/>
    <w:rsid w:val="00994922"/>
    <w:rsid w:val="00994C0B"/>
    <w:rsid w:val="00994E33"/>
    <w:rsid w:val="00994F41"/>
    <w:rsid w:val="00995020"/>
    <w:rsid w:val="0099503C"/>
    <w:rsid w:val="00995175"/>
    <w:rsid w:val="009952AC"/>
    <w:rsid w:val="009955B3"/>
    <w:rsid w:val="00995659"/>
    <w:rsid w:val="00995928"/>
    <w:rsid w:val="0099598F"/>
    <w:rsid w:val="009959D8"/>
    <w:rsid w:val="00995ACF"/>
    <w:rsid w:val="00995C05"/>
    <w:rsid w:val="00995C44"/>
    <w:rsid w:val="00995CDB"/>
    <w:rsid w:val="00995D57"/>
    <w:rsid w:val="00995DDC"/>
    <w:rsid w:val="00995E12"/>
    <w:rsid w:val="00995E89"/>
    <w:rsid w:val="00996121"/>
    <w:rsid w:val="00996127"/>
    <w:rsid w:val="00996149"/>
    <w:rsid w:val="00996469"/>
    <w:rsid w:val="00996618"/>
    <w:rsid w:val="009967A8"/>
    <w:rsid w:val="009968A4"/>
    <w:rsid w:val="00996B27"/>
    <w:rsid w:val="00996BC9"/>
    <w:rsid w:val="00996DA6"/>
    <w:rsid w:val="00996E58"/>
    <w:rsid w:val="00996F6A"/>
    <w:rsid w:val="00997183"/>
    <w:rsid w:val="00997415"/>
    <w:rsid w:val="00997495"/>
    <w:rsid w:val="0099759F"/>
    <w:rsid w:val="009975E6"/>
    <w:rsid w:val="0099765D"/>
    <w:rsid w:val="00997692"/>
    <w:rsid w:val="009976F1"/>
    <w:rsid w:val="00997727"/>
    <w:rsid w:val="00997970"/>
    <w:rsid w:val="00997A8F"/>
    <w:rsid w:val="00997B62"/>
    <w:rsid w:val="00997C35"/>
    <w:rsid w:val="00997E13"/>
    <w:rsid w:val="00997E49"/>
    <w:rsid w:val="00997EE2"/>
    <w:rsid w:val="009A010D"/>
    <w:rsid w:val="009A0140"/>
    <w:rsid w:val="009A0713"/>
    <w:rsid w:val="009A0A1D"/>
    <w:rsid w:val="009A0A29"/>
    <w:rsid w:val="009A0C1F"/>
    <w:rsid w:val="009A0C20"/>
    <w:rsid w:val="009A0C84"/>
    <w:rsid w:val="009A0DCE"/>
    <w:rsid w:val="009A0E15"/>
    <w:rsid w:val="009A106B"/>
    <w:rsid w:val="009A10D7"/>
    <w:rsid w:val="009A11EE"/>
    <w:rsid w:val="009A124D"/>
    <w:rsid w:val="009A12A5"/>
    <w:rsid w:val="009A12AA"/>
    <w:rsid w:val="009A148C"/>
    <w:rsid w:val="009A14D1"/>
    <w:rsid w:val="009A164D"/>
    <w:rsid w:val="009A195A"/>
    <w:rsid w:val="009A1986"/>
    <w:rsid w:val="009A1A29"/>
    <w:rsid w:val="009A1A39"/>
    <w:rsid w:val="009A1B4D"/>
    <w:rsid w:val="009A1BB6"/>
    <w:rsid w:val="009A1D5F"/>
    <w:rsid w:val="009A1F2E"/>
    <w:rsid w:val="009A1FE0"/>
    <w:rsid w:val="009A20AA"/>
    <w:rsid w:val="009A20C3"/>
    <w:rsid w:val="009A22A7"/>
    <w:rsid w:val="009A2533"/>
    <w:rsid w:val="009A25CA"/>
    <w:rsid w:val="009A2662"/>
    <w:rsid w:val="009A2710"/>
    <w:rsid w:val="009A2787"/>
    <w:rsid w:val="009A2818"/>
    <w:rsid w:val="009A281B"/>
    <w:rsid w:val="009A2A06"/>
    <w:rsid w:val="009A2A4E"/>
    <w:rsid w:val="009A2AAE"/>
    <w:rsid w:val="009A2B0F"/>
    <w:rsid w:val="009A2B72"/>
    <w:rsid w:val="009A2D2D"/>
    <w:rsid w:val="009A2D82"/>
    <w:rsid w:val="009A3262"/>
    <w:rsid w:val="009A327C"/>
    <w:rsid w:val="009A3486"/>
    <w:rsid w:val="009A34F7"/>
    <w:rsid w:val="009A3837"/>
    <w:rsid w:val="009A3854"/>
    <w:rsid w:val="009A389A"/>
    <w:rsid w:val="009A39BC"/>
    <w:rsid w:val="009A3C40"/>
    <w:rsid w:val="009A3CF5"/>
    <w:rsid w:val="009A3D66"/>
    <w:rsid w:val="009A3D75"/>
    <w:rsid w:val="009A3EE9"/>
    <w:rsid w:val="009A40D4"/>
    <w:rsid w:val="009A428C"/>
    <w:rsid w:val="009A4354"/>
    <w:rsid w:val="009A43C6"/>
    <w:rsid w:val="009A444D"/>
    <w:rsid w:val="009A45E3"/>
    <w:rsid w:val="009A4646"/>
    <w:rsid w:val="009A475C"/>
    <w:rsid w:val="009A4A2C"/>
    <w:rsid w:val="009A4E6D"/>
    <w:rsid w:val="009A50CD"/>
    <w:rsid w:val="009A5354"/>
    <w:rsid w:val="009A5520"/>
    <w:rsid w:val="009A5574"/>
    <w:rsid w:val="009A56B2"/>
    <w:rsid w:val="009A570A"/>
    <w:rsid w:val="009A5A19"/>
    <w:rsid w:val="009A5B50"/>
    <w:rsid w:val="009A5B7E"/>
    <w:rsid w:val="009A5F35"/>
    <w:rsid w:val="009A5FB9"/>
    <w:rsid w:val="009A6033"/>
    <w:rsid w:val="009A6149"/>
    <w:rsid w:val="009A6263"/>
    <w:rsid w:val="009A627B"/>
    <w:rsid w:val="009A6586"/>
    <w:rsid w:val="009A667E"/>
    <w:rsid w:val="009A676E"/>
    <w:rsid w:val="009A682B"/>
    <w:rsid w:val="009A6937"/>
    <w:rsid w:val="009A69C6"/>
    <w:rsid w:val="009A6BF7"/>
    <w:rsid w:val="009A6C56"/>
    <w:rsid w:val="009A6DF4"/>
    <w:rsid w:val="009A6F4D"/>
    <w:rsid w:val="009A6F53"/>
    <w:rsid w:val="009A6F8E"/>
    <w:rsid w:val="009A6F9E"/>
    <w:rsid w:val="009A6FE2"/>
    <w:rsid w:val="009A700C"/>
    <w:rsid w:val="009A716E"/>
    <w:rsid w:val="009A736F"/>
    <w:rsid w:val="009A75DA"/>
    <w:rsid w:val="009A775D"/>
    <w:rsid w:val="009A7799"/>
    <w:rsid w:val="009A789D"/>
    <w:rsid w:val="009A7A49"/>
    <w:rsid w:val="009A7A8F"/>
    <w:rsid w:val="009A7D62"/>
    <w:rsid w:val="009A7EB5"/>
    <w:rsid w:val="009B0054"/>
    <w:rsid w:val="009B019D"/>
    <w:rsid w:val="009B02AE"/>
    <w:rsid w:val="009B0333"/>
    <w:rsid w:val="009B03C5"/>
    <w:rsid w:val="009B045E"/>
    <w:rsid w:val="009B04AF"/>
    <w:rsid w:val="009B0768"/>
    <w:rsid w:val="009B0CB9"/>
    <w:rsid w:val="009B0DAB"/>
    <w:rsid w:val="009B1038"/>
    <w:rsid w:val="009B129D"/>
    <w:rsid w:val="009B15E5"/>
    <w:rsid w:val="009B1627"/>
    <w:rsid w:val="009B1649"/>
    <w:rsid w:val="009B1782"/>
    <w:rsid w:val="009B18D7"/>
    <w:rsid w:val="009B1CDC"/>
    <w:rsid w:val="009B1D4D"/>
    <w:rsid w:val="009B1D78"/>
    <w:rsid w:val="009B1FB2"/>
    <w:rsid w:val="009B21AB"/>
    <w:rsid w:val="009B223F"/>
    <w:rsid w:val="009B23B6"/>
    <w:rsid w:val="009B2697"/>
    <w:rsid w:val="009B28D3"/>
    <w:rsid w:val="009B295A"/>
    <w:rsid w:val="009B29C3"/>
    <w:rsid w:val="009B29FA"/>
    <w:rsid w:val="009B2A19"/>
    <w:rsid w:val="009B3027"/>
    <w:rsid w:val="009B3064"/>
    <w:rsid w:val="009B3328"/>
    <w:rsid w:val="009B3350"/>
    <w:rsid w:val="009B344F"/>
    <w:rsid w:val="009B3495"/>
    <w:rsid w:val="009B34F5"/>
    <w:rsid w:val="009B36C1"/>
    <w:rsid w:val="009B3992"/>
    <w:rsid w:val="009B39DF"/>
    <w:rsid w:val="009B3AC5"/>
    <w:rsid w:val="009B3AD7"/>
    <w:rsid w:val="009B3AEF"/>
    <w:rsid w:val="009B3AF2"/>
    <w:rsid w:val="009B3B40"/>
    <w:rsid w:val="009B3B66"/>
    <w:rsid w:val="009B3BF7"/>
    <w:rsid w:val="009B3C9E"/>
    <w:rsid w:val="009B3D55"/>
    <w:rsid w:val="009B3D5D"/>
    <w:rsid w:val="009B3D65"/>
    <w:rsid w:val="009B3D8B"/>
    <w:rsid w:val="009B3DAC"/>
    <w:rsid w:val="009B3F8C"/>
    <w:rsid w:val="009B409D"/>
    <w:rsid w:val="009B410B"/>
    <w:rsid w:val="009B4381"/>
    <w:rsid w:val="009B47B5"/>
    <w:rsid w:val="009B4839"/>
    <w:rsid w:val="009B4EA8"/>
    <w:rsid w:val="009B4FF4"/>
    <w:rsid w:val="009B4FFA"/>
    <w:rsid w:val="009B5283"/>
    <w:rsid w:val="009B5433"/>
    <w:rsid w:val="009B55E2"/>
    <w:rsid w:val="009B57ED"/>
    <w:rsid w:val="009B5BD5"/>
    <w:rsid w:val="009B5C1C"/>
    <w:rsid w:val="009B5D70"/>
    <w:rsid w:val="009B5F57"/>
    <w:rsid w:val="009B5FF5"/>
    <w:rsid w:val="009B6110"/>
    <w:rsid w:val="009B6343"/>
    <w:rsid w:val="009B644C"/>
    <w:rsid w:val="009B6491"/>
    <w:rsid w:val="009B6524"/>
    <w:rsid w:val="009B67B1"/>
    <w:rsid w:val="009B6821"/>
    <w:rsid w:val="009B682B"/>
    <w:rsid w:val="009B6914"/>
    <w:rsid w:val="009B69FB"/>
    <w:rsid w:val="009B6C3F"/>
    <w:rsid w:val="009B6F2E"/>
    <w:rsid w:val="009B6F4D"/>
    <w:rsid w:val="009B73C7"/>
    <w:rsid w:val="009B7510"/>
    <w:rsid w:val="009B79A8"/>
    <w:rsid w:val="009B79E6"/>
    <w:rsid w:val="009B7A08"/>
    <w:rsid w:val="009B7AA7"/>
    <w:rsid w:val="009B7B20"/>
    <w:rsid w:val="009C012D"/>
    <w:rsid w:val="009C013F"/>
    <w:rsid w:val="009C021B"/>
    <w:rsid w:val="009C0596"/>
    <w:rsid w:val="009C05D0"/>
    <w:rsid w:val="009C06A4"/>
    <w:rsid w:val="009C087F"/>
    <w:rsid w:val="009C0AE2"/>
    <w:rsid w:val="009C0AEF"/>
    <w:rsid w:val="009C0B85"/>
    <w:rsid w:val="009C0C13"/>
    <w:rsid w:val="009C0C9E"/>
    <w:rsid w:val="009C0ED0"/>
    <w:rsid w:val="009C0F71"/>
    <w:rsid w:val="009C1238"/>
    <w:rsid w:val="009C152F"/>
    <w:rsid w:val="009C17E7"/>
    <w:rsid w:val="009C1A28"/>
    <w:rsid w:val="009C1B22"/>
    <w:rsid w:val="009C1C8F"/>
    <w:rsid w:val="009C1D2C"/>
    <w:rsid w:val="009C1DC7"/>
    <w:rsid w:val="009C2217"/>
    <w:rsid w:val="009C2332"/>
    <w:rsid w:val="009C2483"/>
    <w:rsid w:val="009C2549"/>
    <w:rsid w:val="009C2831"/>
    <w:rsid w:val="009C2B1C"/>
    <w:rsid w:val="009C2C47"/>
    <w:rsid w:val="009C2CA3"/>
    <w:rsid w:val="009C2CB8"/>
    <w:rsid w:val="009C2E39"/>
    <w:rsid w:val="009C2EBB"/>
    <w:rsid w:val="009C2F5D"/>
    <w:rsid w:val="009C2FAB"/>
    <w:rsid w:val="009C3596"/>
    <w:rsid w:val="009C3653"/>
    <w:rsid w:val="009C3669"/>
    <w:rsid w:val="009C368D"/>
    <w:rsid w:val="009C36D6"/>
    <w:rsid w:val="009C3911"/>
    <w:rsid w:val="009C3928"/>
    <w:rsid w:val="009C3985"/>
    <w:rsid w:val="009C3C43"/>
    <w:rsid w:val="009C3E3C"/>
    <w:rsid w:val="009C3E8F"/>
    <w:rsid w:val="009C3F9A"/>
    <w:rsid w:val="009C435D"/>
    <w:rsid w:val="009C4497"/>
    <w:rsid w:val="009C449C"/>
    <w:rsid w:val="009C44A8"/>
    <w:rsid w:val="009C45A5"/>
    <w:rsid w:val="009C482B"/>
    <w:rsid w:val="009C4856"/>
    <w:rsid w:val="009C48E6"/>
    <w:rsid w:val="009C49A1"/>
    <w:rsid w:val="009C4A8E"/>
    <w:rsid w:val="009C4CBD"/>
    <w:rsid w:val="009C4CC3"/>
    <w:rsid w:val="009C4D27"/>
    <w:rsid w:val="009C4EF2"/>
    <w:rsid w:val="009C5195"/>
    <w:rsid w:val="009C527A"/>
    <w:rsid w:val="009C5AB7"/>
    <w:rsid w:val="009C5AB8"/>
    <w:rsid w:val="009C5C94"/>
    <w:rsid w:val="009C5D3A"/>
    <w:rsid w:val="009C607D"/>
    <w:rsid w:val="009C618A"/>
    <w:rsid w:val="009C61B1"/>
    <w:rsid w:val="009C621D"/>
    <w:rsid w:val="009C6289"/>
    <w:rsid w:val="009C62E0"/>
    <w:rsid w:val="009C65EA"/>
    <w:rsid w:val="009C676B"/>
    <w:rsid w:val="009C6778"/>
    <w:rsid w:val="009C6852"/>
    <w:rsid w:val="009C6910"/>
    <w:rsid w:val="009C6B7C"/>
    <w:rsid w:val="009C6BBE"/>
    <w:rsid w:val="009C6BCF"/>
    <w:rsid w:val="009C6D17"/>
    <w:rsid w:val="009C6D71"/>
    <w:rsid w:val="009C6F84"/>
    <w:rsid w:val="009C6FC1"/>
    <w:rsid w:val="009C715E"/>
    <w:rsid w:val="009C71D4"/>
    <w:rsid w:val="009C72C5"/>
    <w:rsid w:val="009C7361"/>
    <w:rsid w:val="009C746B"/>
    <w:rsid w:val="009C74A1"/>
    <w:rsid w:val="009C76D0"/>
    <w:rsid w:val="009C778D"/>
    <w:rsid w:val="009C7A84"/>
    <w:rsid w:val="009C7AC5"/>
    <w:rsid w:val="009C7B43"/>
    <w:rsid w:val="009C7C34"/>
    <w:rsid w:val="009C7FC9"/>
    <w:rsid w:val="009D01A7"/>
    <w:rsid w:val="009D03EC"/>
    <w:rsid w:val="009D05C5"/>
    <w:rsid w:val="009D084F"/>
    <w:rsid w:val="009D0AE2"/>
    <w:rsid w:val="009D0D40"/>
    <w:rsid w:val="009D0DA3"/>
    <w:rsid w:val="009D0EAD"/>
    <w:rsid w:val="009D0EC9"/>
    <w:rsid w:val="009D0FB5"/>
    <w:rsid w:val="009D10D9"/>
    <w:rsid w:val="009D1132"/>
    <w:rsid w:val="009D13B3"/>
    <w:rsid w:val="009D13E7"/>
    <w:rsid w:val="009D1443"/>
    <w:rsid w:val="009D1446"/>
    <w:rsid w:val="009D1591"/>
    <w:rsid w:val="009D1599"/>
    <w:rsid w:val="009D178C"/>
    <w:rsid w:val="009D17E1"/>
    <w:rsid w:val="009D1F3D"/>
    <w:rsid w:val="009D1F98"/>
    <w:rsid w:val="009D2204"/>
    <w:rsid w:val="009D2436"/>
    <w:rsid w:val="009D25AA"/>
    <w:rsid w:val="009D26ED"/>
    <w:rsid w:val="009D27F9"/>
    <w:rsid w:val="009D2859"/>
    <w:rsid w:val="009D2C87"/>
    <w:rsid w:val="009D2CFF"/>
    <w:rsid w:val="009D2E98"/>
    <w:rsid w:val="009D2F37"/>
    <w:rsid w:val="009D326A"/>
    <w:rsid w:val="009D347D"/>
    <w:rsid w:val="009D34A7"/>
    <w:rsid w:val="009D3719"/>
    <w:rsid w:val="009D3923"/>
    <w:rsid w:val="009D3B06"/>
    <w:rsid w:val="009D3B8E"/>
    <w:rsid w:val="009D3B93"/>
    <w:rsid w:val="009D3C4E"/>
    <w:rsid w:val="009D3C5A"/>
    <w:rsid w:val="009D3DE3"/>
    <w:rsid w:val="009D3FAA"/>
    <w:rsid w:val="009D4005"/>
    <w:rsid w:val="009D4021"/>
    <w:rsid w:val="009D4113"/>
    <w:rsid w:val="009D4134"/>
    <w:rsid w:val="009D41B4"/>
    <w:rsid w:val="009D4295"/>
    <w:rsid w:val="009D42C1"/>
    <w:rsid w:val="009D4351"/>
    <w:rsid w:val="009D4485"/>
    <w:rsid w:val="009D457E"/>
    <w:rsid w:val="009D47FA"/>
    <w:rsid w:val="009D4980"/>
    <w:rsid w:val="009D4B4A"/>
    <w:rsid w:val="009D4E8F"/>
    <w:rsid w:val="009D4E93"/>
    <w:rsid w:val="009D4FA8"/>
    <w:rsid w:val="009D5396"/>
    <w:rsid w:val="009D53C3"/>
    <w:rsid w:val="009D558F"/>
    <w:rsid w:val="009D5595"/>
    <w:rsid w:val="009D55DA"/>
    <w:rsid w:val="009D5948"/>
    <w:rsid w:val="009D5E4D"/>
    <w:rsid w:val="009D5EAE"/>
    <w:rsid w:val="009D608E"/>
    <w:rsid w:val="009D60A4"/>
    <w:rsid w:val="009D60CC"/>
    <w:rsid w:val="009D6162"/>
    <w:rsid w:val="009D61EB"/>
    <w:rsid w:val="009D624B"/>
    <w:rsid w:val="009D63F6"/>
    <w:rsid w:val="009D642C"/>
    <w:rsid w:val="009D651A"/>
    <w:rsid w:val="009D68BD"/>
    <w:rsid w:val="009D69B7"/>
    <w:rsid w:val="009D6AB5"/>
    <w:rsid w:val="009D6B0F"/>
    <w:rsid w:val="009D6C72"/>
    <w:rsid w:val="009D6D6D"/>
    <w:rsid w:val="009D6E43"/>
    <w:rsid w:val="009D7079"/>
    <w:rsid w:val="009D7175"/>
    <w:rsid w:val="009D71D3"/>
    <w:rsid w:val="009D7289"/>
    <w:rsid w:val="009D72E6"/>
    <w:rsid w:val="009D74FD"/>
    <w:rsid w:val="009D7644"/>
    <w:rsid w:val="009D77C4"/>
    <w:rsid w:val="009D7B91"/>
    <w:rsid w:val="009D7C70"/>
    <w:rsid w:val="009D7C76"/>
    <w:rsid w:val="009D7DA1"/>
    <w:rsid w:val="009D7FE3"/>
    <w:rsid w:val="009E01E4"/>
    <w:rsid w:val="009E0369"/>
    <w:rsid w:val="009E041D"/>
    <w:rsid w:val="009E0423"/>
    <w:rsid w:val="009E0579"/>
    <w:rsid w:val="009E0603"/>
    <w:rsid w:val="009E06C1"/>
    <w:rsid w:val="009E0721"/>
    <w:rsid w:val="009E07F5"/>
    <w:rsid w:val="009E0A15"/>
    <w:rsid w:val="009E0C46"/>
    <w:rsid w:val="009E0DEC"/>
    <w:rsid w:val="009E100B"/>
    <w:rsid w:val="009E1188"/>
    <w:rsid w:val="009E12BA"/>
    <w:rsid w:val="009E12D8"/>
    <w:rsid w:val="009E13B3"/>
    <w:rsid w:val="009E148C"/>
    <w:rsid w:val="009E1630"/>
    <w:rsid w:val="009E1961"/>
    <w:rsid w:val="009E1A56"/>
    <w:rsid w:val="009E1AD4"/>
    <w:rsid w:val="009E1AEA"/>
    <w:rsid w:val="009E1BB2"/>
    <w:rsid w:val="009E1C3E"/>
    <w:rsid w:val="009E1EC1"/>
    <w:rsid w:val="009E1F09"/>
    <w:rsid w:val="009E1F3D"/>
    <w:rsid w:val="009E1F60"/>
    <w:rsid w:val="009E1F6A"/>
    <w:rsid w:val="009E215D"/>
    <w:rsid w:val="009E21B4"/>
    <w:rsid w:val="009E262D"/>
    <w:rsid w:val="009E26A2"/>
    <w:rsid w:val="009E27C3"/>
    <w:rsid w:val="009E2942"/>
    <w:rsid w:val="009E29A9"/>
    <w:rsid w:val="009E29F6"/>
    <w:rsid w:val="009E2A90"/>
    <w:rsid w:val="009E2B8D"/>
    <w:rsid w:val="009E2B9C"/>
    <w:rsid w:val="009E2D13"/>
    <w:rsid w:val="009E2EFF"/>
    <w:rsid w:val="009E326F"/>
    <w:rsid w:val="009E348D"/>
    <w:rsid w:val="009E356B"/>
    <w:rsid w:val="009E359A"/>
    <w:rsid w:val="009E36D3"/>
    <w:rsid w:val="009E39D3"/>
    <w:rsid w:val="009E3AAE"/>
    <w:rsid w:val="009E3BCE"/>
    <w:rsid w:val="009E3D40"/>
    <w:rsid w:val="009E3F8C"/>
    <w:rsid w:val="009E4069"/>
    <w:rsid w:val="009E443A"/>
    <w:rsid w:val="009E44DE"/>
    <w:rsid w:val="009E453A"/>
    <w:rsid w:val="009E4C39"/>
    <w:rsid w:val="009E4D81"/>
    <w:rsid w:val="009E4EB2"/>
    <w:rsid w:val="009E4F0F"/>
    <w:rsid w:val="009E4F97"/>
    <w:rsid w:val="009E51CA"/>
    <w:rsid w:val="009E564C"/>
    <w:rsid w:val="009E56E8"/>
    <w:rsid w:val="009E5BCD"/>
    <w:rsid w:val="009E60A8"/>
    <w:rsid w:val="009E62ED"/>
    <w:rsid w:val="009E634C"/>
    <w:rsid w:val="009E63B8"/>
    <w:rsid w:val="009E6452"/>
    <w:rsid w:val="009E6611"/>
    <w:rsid w:val="009E6808"/>
    <w:rsid w:val="009E68C7"/>
    <w:rsid w:val="009E68F9"/>
    <w:rsid w:val="009E6AAE"/>
    <w:rsid w:val="009E6B43"/>
    <w:rsid w:val="009E6BAA"/>
    <w:rsid w:val="009E6D94"/>
    <w:rsid w:val="009E6F46"/>
    <w:rsid w:val="009E6F53"/>
    <w:rsid w:val="009E7132"/>
    <w:rsid w:val="009E716F"/>
    <w:rsid w:val="009E71DC"/>
    <w:rsid w:val="009E743D"/>
    <w:rsid w:val="009E74FF"/>
    <w:rsid w:val="009E7541"/>
    <w:rsid w:val="009E75D2"/>
    <w:rsid w:val="009E7607"/>
    <w:rsid w:val="009E7615"/>
    <w:rsid w:val="009E7658"/>
    <w:rsid w:val="009E7866"/>
    <w:rsid w:val="009E797B"/>
    <w:rsid w:val="009E7B2C"/>
    <w:rsid w:val="009E7B58"/>
    <w:rsid w:val="009E7C8E"/>
    <w:rsid w:val="009E7CD9"/>
    <w:rsid w:val="009E7D16"/>
    <w:rsid w:val="009E7DCA"/>
    <w:rsid w:val="009E7F72"/>
    <w:rsid w:val="009F001F"/>
    <w:rsid w:val="009F00A4"/>
    <w:rsid w:val="009F0153"/>
    <w:rsid w:val="009F021F"/>
    <w:rsid w:val="009F02A6"/>
    <w:rsid w:val="009F02C2"/>
    <w:rsid w:val="009F039C"/>
    <w:rsid w:val="009F041A"/>
    <w:rsid w:val="009F0446"/>
    <w:rsid w:val="009F04D7"/>
    <w:rsid w:val="009F0694"/>
    <w:rsid w:val="009F07A1"/>
    <w:rsid w:val="009F080B"/>
    <w:rsid w:val="009F08B0"/>
    <w:rsid w:val="009F098A"/>
    <w:rsid w:val="009F0A32"/>
    <w:rsid w:val="009F0AC4"/>
    <w:rsid w:val="009F0E23"/>
    <w:rsid w:val="009F0EC7"/>
    <w:rsid w:val="009F1174"/>
    <w:rsid w:val="009F11CB"/>
    <w:rsid w:val="009F1285"/>
    <w:rsid w:val="009F1289"/>
    <w:rsid w:val="009F1668"/>
    <w:rsid w:val="009F16EA"/>
    <w:rsid w:val="009F171C"/>
    <w:rsid w:val="009F18AE"/>
    <w:rsid w:val="009F1B25"/>
    <w:rsid w:val="009F1C0C"/>
    <w:rsid w:val="009F1DAF"/>
    <w:rsid w:val="009F2150"/>
    <w:rsid w:val="009F21AD"/>
    <w:rsid w:val="009F222C"/>
    <w:rsid w:val="009F231C"/>
    <w:rsid w:val="009F2368"/>
    <w:rsid w:val="009F24BD"/>
    <w:rsid w:val="009F2569"/>
    <w:rsid w:val="009F258C"/>
    <w:rsid w:val="009F25A9"/>
    <w:rsid w:val="009F26E6"/>
    <w:rsid w:val="009F2A0D"/>
    <w:rsid w:val="009F2B23"/>
    <w:rsid w:val="009F2C4E"/>
    <w:rsid w:val="009F2CD4"/>
    <w:rsid w:val="009F2CF2"/>
    <w:rsid w:val="009F2DF6"/>
    <w:rsid w:val="009F2EAB"/>
    <w:rsid w:val="009F2F33"/>
    <w:rsid w:val="009F2FE2"/>
    <w:rsid w:val="009F3171"/>
    <w:rsid w:val="009F31C4"/>
    <w:rsid w:val="009F35B5"/>
    <w:rsid w:val="009F3612"/>
    <w:rsid w:val="009F3723"/>
    <w:rsid w:val="009F3862"/>
    <w:rsid w:val="009F3A6D"/>
    <w:rsid w:val="009F3BE9"/>
    <w:rsid w:val="009F3E40"/>
    <w:rsid w:val="009F3FAA"/>
    <w:rsid w:val="009F436F"/>
    <w:rsid w:val="009F4549"/>
    <w:rsid w:val="009F4627"/>
    <w:rsid w:val="009F4668"/>
    <w:rsid w:val="009F46E7"/>
    <w:rsid w:val="009F4760"/>
    <w:rsid w:val="009F4868"/>
    <w:rsid w:val="009F489A"/>
    <w:rsid w:val="009F49A8"/>
    <w:rsid w:val="009F49F0"/>
    <w:rsid w:val="009F4B31"/>
    <w:rsid w:val="009F4B68"/>
    <w:rsid w:val="009F4BBA"/>
    <w:rsid w:val="009F4D0F"/>
    <w:rsid w:val="009F4E69"/>
    <w:rsid w:val="009F4FFC"/>
    <w:rsid w:val="009F5019"/>
    <w:rsid w:val="009F508B"/>
    <w:rsid w:val="009F5247"/>
    <w:rsid w:val="009F529C"/>
    <w:rsid w:val="009F5321"/>
    <w:rsid w:val="009F547B"/>
    <w:rsid w:val="009F5570"/>
    <w:rsid w:val="009F5752"/>
    <w:rsid w:val="009F5A34"/>
    <w:rsid w:val="009F5A6B"/>
    <w:rsid w:val="009F5BB3"/>
    <w:rsid w:val="009F5D2C"/>
    <w:rsid w:val="009F5DA2"/>
    <w:rsid w:val="009F5F48"/>
    <w:rsid w:val="009F6050"/>
    <w:rsid w:val="009F63A5"/>
    <w:rsid w:val="009F63C1"/>
    <w:rsid w:val="009F63E4"/>
    <w:rsid w:val="009F6530"/>
    <w:rsid w:val="009F65EE"/>
    <w:rsid w:val="009F66BD"/>
    <w:rsid w:val="009F680E"/>
    <w:rsid w:val="009F68A8"/>
    <w:rsid w:val="009F6963"/>
    <w:rsid w:val="009F6A13"/>
    <w:rsid w:val="009F6A1F"/>
    <w:rsid w:val="009F6B59"/>
    <w:rsid w:val="009F6B95"/>
    <w:rsid w:val="009F6CCB"/>
    <w:rsid w:val="009F6CD7"/>
    <w:rsid w:val="009F6DD4"/>
    <w:rsid w:val="009F6EE1"/>
    <w:rsid w:val="009F6F72"/>
    <w:rsid w:val="009F70E0"/>
    <w:rsid w:val="009F712B"/>
    <w:rsid w:val="009F71A8"/>
    <w:rsid w:val="009F7536"/>
    <w:rsid w:val="009F7673"/>
    <w:rsid w:val="009F78D8"/>
    <w:rsid w:val="009F798E"/>
    <w:rsid w:val="009F7998"/>
    <w:rsid w:val="009F7A8F"/>
    <w:rsid w:val="009F7AF1"/>
    <w:rsid w:val="009F7BD4"/>
    <w:rsid w:val="009F7C1E"/>
    <w:rsid w:val="009F7CBB"/>
    <w:rsid w:val="009F7CC8"/>
    <w:rsid w:val="009F7D54"/>
    <w:rsid w:val="009F7E20"/>
    <w:rsid w:val="00A00024"/>
    <w:rsid w:val="00A00037"/>
    <w:rsid w:val="00A00060"/>
    <w:rsid w:val="00A002DA"/>
    <w:rsid w:val="00A0042C"/>
    <w:rsid w:val="00A00470"/>
    <w:rsid w:val="00A004A7"/>
    <w:rsid w:val="00A00536"/>
    <w:rsid w:val="00A005DC"/>
    <w:rsid w:val="00A00A4F"/>
    <w:rsid w:val="00A00A9D"/>
    <w:rsid w:val="00A00B53"/>
    <w:rsid w:val="00A00C4E"/>
    <w:rsid w:val="00A00CFB"/>
    <w:rsid w:val="00A00FF1"/>
    <w:rsid w:val="00A01028"/>
    <w:rsid w:val="00A012A5"/>
    <w:rsid w:val="00A0133C"/>
    <w:rsid w:val="00A01605"/>
    <w:rsid w:val="00A01946"/>
    <w:rsid w:val="00A019C3"/>
    <w:rsid w:val="00A01C0E"/>
    <w:rsid w:val="00A01D2E"/>
    <w:rsid w:val="00A01E38"/>
    <w:rsid w:val="00A02033"/>
    <w:rsid w:val="00A02320"/>
    <w:rsid w:val="00A023B9"/>
    <w:rsid w:val="00A02448"/>
    <w:rsid w:val="00A026D6"/>
    <w:rsid w:val="00A02817"/>
    <w:rsid w:val="00A02826"/>
    <w:rsid w:val="00A0291D"/>
    <w:rsid w:val="00A02B10"/>
    <w:rsid w:val="00A02CC2"/>
    <w:rsid w:val="00A02D04"/>
    <w:rsid w:val="00A02D48"/>
    <w:rsid w:val="00A02E96"/>
    <w:rsid w:val="00A02EB0"/>
    <w:rsid w:val="00A02EF4"/>
    <w:rsid w:val="00A031FC"/>
    <w:rsid w:val="00A0359F"/>
    <w:rsid w:val="00A0378A"/>
    <w:rsid w:val="00A037D6"/>
    <w:rsid w:val="00A03A1D"/>
    <w:rsid w:val="00A03A4C"/>
    <w:rsid w:val="00A03B55"/>
    <w:rsid w:val="00A03CDE"/>
    <w:rsid w:val="00A03D71"/>
    <w:rsid w:val="00A03ED5"/>
    <w:rsid w:val="00A03EF8"/>
    <w:rsid w:val="00A03F9B"/>
    <w:rsid w:val="00A041D9"/>
    <w:rsid w:val="00A0421F"/>
    <w:rsid w:val="00A044EA"/>
    <w:rsid w:val="00A046C7"/>
    <w:rsid w:val="00A04713"/>
    <w:rsid w:val="00A0477D"/>
    <w:rsid w:val="00A047E1"/>
    <w:rsid w:val="00A04844"/>
    <w:rsid w:val="00A04938"/>
    <w:rsid w:val="00A04A48"/>
    <w:rsid w:val="00A04A50"/>
    <w:rsid w:val="00A04B5B"/>
    <w:rsid w:val="00A04B73"/>
    <w:rsid w:val="00A04DDB"/>
    <w:rsid w:val="00A04F95"/>
    <w:rsid w:val="00A05044"/>
    <w:rsid w:val="00A05190"/>
    <w:rsid w:val="00A05236"/>
    <w:rsid w:val="00A053C3"/>
    <w:rsid w:val="00A05413"/>
    <w:rsid w:val="00A05569"/>
    <w:rsid w:val="00A056C2"/>
    <w:rsid w:val="00A0589D"/>
    <w:rsid w:val="00A05959"/>
    <w:rsid w:val="00A05988"/>
    <w:rsid w:val="00A05AC7"/>
    <w:rsid w:val="00A05CDC"/>
    <w:rsid w:val="00A05F4F"/>
    <w:rsid w:val="00A060F5"/>
    <w:rsid w:val="00A064FB"/>
    <w:rsid w:val="00A06A79"/>
    <w:rsid w:val="00A06B54"/>
    <w:rsid w:val="00A06B69"/>
    <w:rsid w:val="00A06BDF"/>
    <w:rsid w:val="00A06E5A"/>
    <w:rsid w:val="00A06E7A"/>
    <w:rsid w:val="00A06EB8"/>
    <w:rsid w:val="00A06F32"/>
    <w:rsid w:val="00A0738D"/>
    <w:rsid w:val="00A0754B"/>
    <w:rsid w:val="00A075BA"/>
    <w:rsid w:val="00A076E2"/>
    <w:rsid w:val="00A07814"/>
    <w:rsid w:val="00A0781F"/>
    <w:rsid w:val="00A07B54"/>
    <w:rsid w:val="00A07EBC"/>
    <w:rsid w:val="00A10009"/>
    <w:rsid w:val="00A10098"/>
    <w:rsid w:val="00A10215"/>
    <w:rsid w:val="00A1029A"/>
    <w:rsid w:val="00A1061C"/>
    <w:rsid w:val="00A1091A"/>
    <w:rsid w:val="00A10CD3"/>
    <w:rsid w:val="00A10D2F"/>
    <w:rsid w:val="00A10D51"/>
    <w:rsid w:val="00A11092"/>
    <w:rsid w:val="00A111C4"/>
    <w:rsid w:val="00A11360"/>
    <w:rsid w:val="00A114BC"/>
    <w:rsid w:val="00A1161E"/>
    <w:rsid w:val="00A1176D"/>
    <w:rsid w:val="00A117F7"/>
    <w:rsid w:val="00A11AE4"/>
    <w:rsid w:val="00A11B6B"/>
    <w:rsid w:val="00A11C5D"/>
    <w:rsid w:val="00A11C9D"/>
    <w:rsid w:val="00A11CAA"/>
    <w:rsid w:val="00A11DD6"/>
    <w:rsid w:val="00A11DDD"/>
    <w:rsid w:val="00A11E13"/>
    <w:rsid w:val="00A11E34"/>
    <w:rsid w:val="00A11EE7"/>
    <w:rsid w:val="00A1202D"/>
    <w:rsid w:val="00A121F5"/>
    <w:rsid w:val="00A1227F"/>
    <w:rsid w:val="00A122ED"/>
    <w:rsid w:val="00A12316"/>
    <w:rsid w:val="00A124A8"/>
    <w:rsid w:val="00A125AC"/>
    <w:rsid w:val="00A12779"/>
    <w:rsid w:val="00A127C4"/>
    <w:rsid w:val="00A1284C"/>
    <w:rsid w:val="00A12996"/>
    <w:rsid w:val="00A12AFF"/>
    <w:rsid w:val="00A12CCE"/>
    <w:rsid w:val="00A12D4C"/>
    <w:rsid w:val="00A12DFC"/>
    <w:rsid w:val="00A13056"/>
    <w:rsid w:val="00A130A6"/>
    <w:rsid w:val="00A131A8"/>
    <w:rsid w:val="00A13249"/>
    <w:rsid w:val="00A133BC"/>
    <w:rsid w:val="00A133D7"/>
    <w:rsid w:val="00A133F0"/>
    <w:rsid w:val="00A13469"/>
    <w:rsid w:val="00A1351D"/>
    <w:rsid w:val="00A1385F"/>
    <w:rsid w:val="00A1391F"/>
    <w:rsid w:val="00A1395F"/>
    <w:rsid w:val="00A139CE"/>
    <w:rsid w:val="00A13C6F"/>
    <w:rsid w:val="00A13C7C"/>
    <w:rsid w:val="00A13EF4"/>
    <w:rsid w:val="00A13F42"/>
    <w:rsid w:val="00A14016"/>
    <w:rsid w:val="00A14217"/>
    <w:rsid w:val="00A14494"/>
    <w:rsid w:val="00A144BC"/>
    <w:rsid w:val="00A14793"/>
    <w:rsid w:val="00A147BF"/>
    <w:rsid w:val="00A1489B"/>
    <w:rsid w:val="00A149F2"/>
    <w:rsid w:val="00A14AF7"/>
    <w:rsid w:val="00A14B46"/>
    <w:rsid w:val="00A14BC7"/>
    <w:rsid w:val="00A14EC4"/>
    <w:rsid w:val="00A14F34"/>
    <w:rsid w:val="00A1506D"/>
    <w:rsid w:val="00A1523E"/>
    <w:rsid w:val="00A15499"/>
    <w:rsid w:val="00A156AA"/>
    <w:rsid w:val="00A157CF"/>
    <w:rsid w:val="00A15860"/>
    <w:rsid w:val="00A15925"/>
    <w:rsid w:val="00A15A33"/>
    <w:rsid w:val="00A15A4C"/>
    <w:rsid w:val="00A15BCA"/>
    <w:rsid w:val="00A15C38"/>
    <w:rsid w:val="00A15E87"/>
    <w:rsid w:val="00A1603C"/>
    <w:rsid w:val="00A1616F"/>
    <w:rsid w:val="00A16350"/>
    <w:rsid w:val="00A164C1"/>
    <w:rsid w:val="00A164F8"/>
    <w:rsid w:val="00A1687D"/>
    <w:rsid w:val="00A168F6"/>
    <w:rsid w:val="00A169A2"/>
    <w:rsid w:val="00A16CE0"/>
    <w:rsid w:val="00A16E59"/>
    <w:rsid w:val="00A16EBE"/>
    <w:rsid w:val="00A170A8"/>
    <w:rsid w:val="00A17272"/>
    <w:rsid w:val="00A173BC"/>
    <w:rsid w:val="00A1766A"/>
    <w:rsid w:val="00A1781B"/>
    <w:rsid w:val="00A17942"/>
    <w:rsid w:val="00A17B79"/>
    <w:rsid w:val="00A17B7D"/>
    <w:rsid w:val="00A17C1C"/>
    <w:rsid w:val="00A17C43"/>
    <w:rsid w:val="00A17C6B"/>
    <w:rsid w:val="00A20018"/>
    <w:rsid w:val="00A20043"/>
    <w:rsid w:val="00A20106"/>
    <w:rsid w:val="00A202F7"/>
    <w:rsid w:val="00A2038A"/>
    <w:rsid w:val="00A204A5"/>
    <w:rsid w:val="00A20585"/>
    <w:rsid w:val="00A205B1"/>
    <w:rsid w:val="00A206C7"/>
    <w:rsid w:val="00A20767"/>
    <w:rsid w:val="00A207BC"/>
    <w:rsid w:val="00A2082E"/>
    <w:rsid w:val="00A2090E"/>
    <w:rsid w:val="00A20AEE"/>
    <w:rsid w:val="00A20B29"/>
    <w:rsid w:val="00A20B98"/>
    <w:rsid w:val="00A20C29"/>
    <w:rsid w:val="00A20C4F"/>
    <w:rsid w:val="00A20DAA"/>
    <w:rsid w:val="00A20DF2"/>
    <w:rsid w:val="00A20EA2"/>
    <w:rsid w:val="00A20EAD"/>
    <w:rsid w:val="00A20EDE"/>
    <w:rsid w:val="00A21099"/>
    <w:rsid w:val="00A21187"/>
    <w:rsid w:val="00A21313"/>
    <w:rsid w:val="00A2139E"/>
    <w:rsid w:val="00A21550"/>
    <w:rsid w:val="00A215EE"/>
    <w:rsid w:val="00A21875"/>
    <w:rsid w:val="00A218C2"/>
    <w:rsid w:val="00A21969"/>
    <w:rsid w:val="00A2197F"/>
    <w:rsid w:val="00A21A20"/>
    <w:rsid w:val="00A21A44"/>
    <w:rsid w:val="00A21A5D"/>
    <w:rsid w:val="00A21DA0"/>
    <w:rsid w:val="00A224C0"/>
    <w:rsid w:val="00A224D7"/>
    <w:rsid w:val="00A22522"/>
    <w:rsid w:val="00A22597"/>
    <w:rsid w:val="00A225EB"/>
    <w:rsid w:val="00A227F9"/>
    <w:rsid w:val="00A228D8"/>
    <w:rsid w:val="00A2294C"/>
    <w:rsid w:val="00A22A1A"/>
    <w:rsid w:val="00A22CF9"/>
    <w:rsid w:val="00A22F7B"/>
    <w:rsid w:val="00A2301E"/>
    <w:rsid w:val="00A23099"/>
    <w:rsid w:val="00A2351F"/>
    <w:rsid w:val="00A23535"/>
    <w:rsid w:val="00A2363E"/>
    <w:rsid w:val="00A2386E"/>
    <w:rsid w:val="00A238DD"/>
    <w:rsid w:val="00A23C00"/>
    <w:rsid w:val="00A23C48"/>
    <w:rsid w:val="00A23CCE"/>
    <w:rsid w:val="00A23CD3"/>
    <w:rsid w:val="00A23F97"/>
    <w:rsid w:val="00A24049"/>
    <w:rsid w:val="00A24052"/>
    <w:rsid w:val="00A240DC"/>
    <w:rsid w:val="00A24156"/>
    <w:rsid w:val="00A24631"/>
    <w:rsid w:val="00A2466B"/>
    <w:rsid w:val="00A247C9"/>
    <w:rsid w:val="00A24ABD"/>
    <w:rsid w:val="00A24E25"/>
    <w:rsid w:val="00A24F69"/>
    <w:rsid w:val="00A25097"/>
    <w:rsid w:val="00A2511A"/>
    <w:rsid w:val="00A25258"/>
    <w:rsid w:val="00A253F4"/>
    <w:rsid w:val="00A2548C"/>
    <w:rsid w:val="00A254AD"/>
    <w:rsid w:val="00A25512"/>
    <w:rsid w:val="00A255B5"/>
    <w:rsid w:val="00A2592D"/>
    <w:rsid w:val="00A25A46"/>
    <w:rsid w:val="00A25B62"/>
    <w:rsid w:val="00A25C21"/>
    <w:rsid w:val="00A25E34"/>
    <w:rsid w:val="00A25E4C"/>
    <w:rsid w:val="00A25F31"/>
    <w:rsid w:val="00A2600B"/>
    <w:rsid w:val="00A2619D"/>
    <w:rsid w:val="00A26284"/>
    <w:rsid w:val="00A263A2"/>
    <w:rsid w:val="00A263C1"/>
    <w:rsid w:val="00A26407"/>
    <w:rsid w:val="00A2648F"/>
    <w:rsid w:val="00A2667F"/>
    <w:rsid w:val="00A266AA"/>
    <w:rsid w:val="00A2680B"/>
    <w:rsid w:val="00A26880"/>
    <w:rsid w:val="00A268AE"/>
    <w:rsid w:val="00A26AE3"/>
    <w:rsid w:val="00A26F91"/>
    <w:rsid w:val="00A26FCC"/>
    <w:rsid w:val="00A27082"/>
    <w:rsid w:val="00A2744C"/>
    <w:rsid w:val="00A27513"/>
    <w:rsid w:val="00A276BE"/>
    <w:rsid w:val="00A27735"/>
    <w:rsid w:val="00A27797"/>
    <w:rsid w:val="00A2780E"/>
    <w:rsid w:val="00A27826"/>
    <w:rsid w:val="00A27D40"/>
    <w:rsid w:val="00A27DBA"/>
    <w:rsid w:val="00A27F5A"/>
    <w:rsid w:val="00A27F61"/>
    <w:rsid w:val="00A27FC0"/>
    <w:rsid w:val="00A3018B"/>
    <w:rsid w:val="00A30229"/>
    <w:rsid w:val="00A304CD"/>
    <w:rsid w:val="00A305B0"/>
    <w:rsid w:val="00A3071F"/>
    <w:rsid w:val="00A307A8"/>
    <w:rsid w:val="00A308BA"/>
    <w:rsid w:val="00A30AE8"/>
    <w:rsid w:val="00A30C37"/>
    <w:rsid w:val="00A30C9D"/>
    <w:rsid w:val="00A30DFE"/>
    <w:rsid w:val="00A30EB5"/>
    <w:rsid w:val="00A30F49"/>
    <w:rsid w:val="00A30F68"/>
    <w:rsid w:val="00A3106D"/>
    <w:rsid w:val="00A31440"/>
    <w:rsid w:val="00A31585"/>
    <w:rsid w:val="00A3166B"/>
    <w:rsid w:val="00A31678"/>
    <w:rsid w:val="00A316A3"/>
    <w:rsid w:val="00A31934"/>
    <w:rsid w:val="00A31B95"/>
    <w:rsid w:val="00A31D78"/>
    <w:rsid w:val="00A31F75"/>
    <w:rsid w:val="00A3201F"/>
    <w:rsid w:val="00A3202B"/>
    <w:rsid w:val="00A3206A"/>
    <w:rsid w:val="00A321C3"/>
    <w:rsid w:val="00A32394"/>
    <w:rsid w:val="00A32467"/>
    <w:rsid w:val="00A32621"/>
    <w:rsid w:val="00A3262E"/>
    <w:rsid w:val="00A32660"/>
    <w:rsid w:val="00A3282E"/>
    <w:rsid w:val="00A32907"/>
    <w:rsid w:val="00A32934"/>
    <w:rsid w:val="00A329E5"/>
    <w:rsid w:val="00A32A96"/>
    <w:rsid w:val="00A32B1B"/>
    <w:rsid w:val="00A32C02"/>
    <w:rsid w:val="00A32D3B"/>
    <w:rsid w:val="00A3301B"/>
    <w:rsid w:val="00A33053"/>
    <w:rsid w:val="00A3312A"/>
    <w:rsid w:val="00A33432"/>
    <w:rsid w:val="00A33443"/>
    <w:rsid w:val="00A334A4"/>
    <w:rsid w:val="00A334C6"/>
    <w:rsid w:val="00A33686"/>
    <w:rsid w:val="00A336B9"/>
    <w:rsid w:val="00A3382C"/>
    <w:rsid w:val="00A3383B"/>
    <w:rsid w:val="00A33AB8"/>
    <w:rsid w:val="00A33AE8"/>
    <w:rsid w:val="00A33AEF"/>
    <w:rsid w:val="00A33B93"/>
    <w:rsid w:val="00A33DEE"/>
    <w:rsid w:val="00A33FA1"/>
    <w:rsid w:val="00A343BB"/>
    <w:rsid w:val="00A34430"/>
    <w:rsid w:val="00A34556"/>
    <w:rsid w:val="00A345FB"/>
    <w:rsid w:val="00A34715"/>
    <w:rsid w:val="00A3477C"/>
    <w:rsid w:val="00A349FA"/>
    <w:rsid w:val="00A34AD2"/>
    <w:rsid w:val="00A34B18"/>
    <w:rsid w:val="00A34BED"/>
    <w:rsid w:val="00A34F9F"/>
    <w:rsid w:val="00A34FE8"/>
    <w:rsid w:val="00A35152"/>
    <w:rsid w:val="00A353D0"/>
    <w:rsid w:val="00A3565C"/>
    <w:rsid w:val="00A35831"/>
    <w:rsid w:val="00A35969"/>
    <w:rsid w:val="00A359B0"/>
    <w:rsid w:val="00A35B59"/>
    <w:rsid w:val="00A35B63"/>
    <w:rsid w:val="00A35CFC"/>
    <w:rsid w:val="00A35D12"/>
    <w:rsid w:val="00A35ECE"/>
    <w:rsid w:val="00A35EE2"/>
    <w:rsid w:val="00A361B8"/>
    <w:rsid w:val="00A362CE"/>
    <w:rsid w:val="00A365F7"/>
    <w:rsid w:val="00A3683D"/>
    <w:rsid w:val="00A36989"/>
    <w:rsid w:val="00A36A51"/>
    <w:rsid w:val="00A36C6B"/>
    <w:rsid w:val="00A36D6D"/>
    <w:rsid w:val="00A3708B"/>
    <w:rsid w:val="00A370BD"/>
    <w:rsid w:val="00A37121"/>
    <w:rsid w:val="00A371EC"/>
    <w:rsid w:val="00A3731E"/>
    <w:rsid w:val="00A37667"/>
    <w:rsid w:val="00A37733"/>
    <w:rsid w:val="00A377C7"/>
    <w:rsid w:val="00A3788B"/>
    <w:rsid w:val="00A3790F"/>
    <w:rsid w:val="00A37AE4"/>
    <w:rsid w:val="00A37C03"/>
    <w:rsid w:val="00A37C99"/>
    <w:rsid w:val="00A37CE1"/>
    <w:rsid w:val="00A37DA4"/>
    <w:rsid w:val="00A37DFB"/>
    <w:rsid w:val="00A37F9E"/>
    <w:rsid w:val="00A400A2"/>
    <w:rsid w:val="00A400F9"/>
    <w:rsid w:val="00A401E6"/>
    <w:rsid w:val="00A4020C"/>
    <w:rsid w:val="00A40218"/>
    <w:rsid w:val="00A40499"/>
    <w:rsid w:val="00A40561"/>
    <w:rsid w:val="00A40751"/>
    <w:rsid w:val="00A40764"/>
    <w:rsid w:val="00A407A2"/>
    <w:rsid w:val="00A40822"/>
    <w:rsid w:val="00A408BF"/>
    <w:rsid w:val="00A40AB3"/>
    <w:rsid w:val="00A40D5D"/>
    <w:rsid w:val="00A40E07"/>
    <w:rsid w:val="00A40FF2"/>
    <w:rsid w:val="00A410F4"/>
    <w:rsid w:val="00A4145E"/>
    <w:rsid w:val="00A41650"/>
    <w:rsid w:val="00A41BDB"/>
    <w:rsid w:val="00A41C20"/>
    <w:rsid w:val="00A41E7D"/>
    <w:rsid w:val="00A41FC9"/>
    <w:rsid w:val="00A4205B"/>
    <w:rsid w:val="00A42410"/>
    <w:rsid w:val="00A42508"/>
    <w:rsid w:val="00A4255E"/>
    <w:rsid w:val="00A427AE"/>
    <w:rsid w:val="00A427D3"/>
    <w:rsid w:val="00A42811"/>
    <w:rsid w:val="00A4293D"/>
    <w:rsid w:val="00A42BCF"/>
    <w:rsid w:val="00A42D00"/>
    <w:rsid w:val="00A42DE8"/>
    <w:rsid w:val="00A430BA"/>
    <w:rsid w:val="00A430C3"/>
    <w:rsid w:val="00A43133"/>
    <w:rsid w:val="00A431BD"/>
    <w:rsid w:val="00A4330B"/>
    <w:rsid w:val="00A43460"/>
    <w:rsid w:val="00A434D9"/>
    <w:rsid w:val="00A4359A"/>
    <w:rsid w:val="00A43627"/>
    <w:rsid w:val="00A436EA"/>
    <w:rsid w:val="00A43938"/>
    <w:rsid w:val="00A43A14"/>
    <w:rsid w:val="00A43AFA"/>
    <w:rsid w:val="00A43B1A"/>
    <w:rsid w:val="00A43BF4"/>
    <w:rsid w:val="00A43D51"/>
    <w:rsid w:val="00A43DFD"/>
    <w:rsid w:val="00A4403E"/>
    <w:rsid w:val="00A4418F"/>
    <w:rsid w:val="00A441C2"/>
    <w:rsid w:val="00A443A6"/>
    <w:rsid w:val="00A44489"/>
    <w:rsid w:val="00A445C9"/>
    <w:rsid w:val="00A44885"/>
    <w:rsid w:val="00A449A0"/>
    <w:rsid w:val="00A44B79"/>
    <w:rsid w:val="00A44BC1"/>
    <w:rsid w:val="00A44BC8"/>
    <w:rsid w:val="00A44CE0"/>
    <w:rsid w:val="00A44FF8"/>
    <w:rsid w:val="00A45146"/>
    <w:rsid w:val="00A45232"/>
    <w:rsid w:val="00A453F7"/>
    <w:rsid w:val="00A45434"/>
    <w:rsid w:val="00A4554E"/>
    <w:rsid w:val="00A45586"/>
    <w:rsid w:val="00A45B85"/>
    <w:rsid w:val="00A45BDD"/>
    <w:rsid w:val="00A45BE9"/>
    <w:rsid w:val="00A45BF8"/>
    <w:rsid w:val="00A45C36"/>
    <w:rsid w:val="00A45D4E"/>
    <w:rsid w:val="00A45DA3"/>
    <w:rsid w:val="00A45E79"/>
    <w:rsid w:val="00A45EE5"/>
    <w:rsid w:val="00A46190"/>
    <w:rsid w:val="00A46207"/>
    <w:rsid w:val="00A462D1"/>
    <w:rsid w:val="00A464CB"/>
    <w:rsid w:val="00A464FA"/>
    <w:rsid w:val="00A46AF5"/>
    <w:rsid w:val="00A46B83"/>
    <w:rsid w:val="00A46B9C"/>
    <w:rsid w:val="00A46C13"/>
    <w:rsid w:val="00A46F41"/>
    <w:rsid w:val="00A46F95"/>
    <w:rsid w:val="00A4712B"/>
    <w:rsid w:val="00A47258"/>
    <w:rsid w:val="00A477A9"/>
    <w:rsid w:val="00A47931"/>
    <w:rsid w:val="00A5001F"/>
    <w:rsid w:val="00A500C6"/>
    <w:rsid w:val="00A501D6"/>
    <w:rsid w:val="00A50226"/>
    <w:rsid w:val="00A50418"/>
    <w:rsid w:val="00A5042E"/>
    <w:rsid w:val="00A50677"/>
    <w:rsid w:val="00A506FF"/>
    <w:rsid w:val="00A50CA9"/>
    <w:rsid w:val="00A50F85"/>
    <w:rsid w:val="00A5106B"/>
    <w:rsid w:val="00A5110C"/>
    <w:rsid w:val="00A51353"/>
    <w:rsid w:val="00A513A6"/>
    <w:rsid w:val="00A515A5"/>
    <w:rsid w:val="00A515A6"/>
    <w:rsid w:val="00A5161E"/>
    <w:rsid w:val="00A51625"/>
    <w:rsid w:val="00A5169F"/>
    <w:rsid w:val="00A517AF"/>
    <w:rsid w:val="00A518FD"/>
    <w:rsid w:val="00A51975"/>
    <w:rsid w:val="00A51ACE"/>
    <w:rsid w:val="00A51AEC"/>
    <w:rsid w:val="00A51C8F"/>
    <w:rsid w:val="00A51DD6"/>
    <w:rsid w:val="00A51F11"/>
    <w:rsid w:val="00A5200C"/>
    <w:rsid w:val="00A52035"/>
    <w:rsid w:val="00A5216F"/>
    <w:rsid w:val="00A5224E"/>
    <w:rsid w:val="00A5225B"/>
    <w:rsid w:val="00A52417"/>
    <w:rsid w:val="00A5260A"/>
    <w:rsid w:val="00A52969"/>
    <w:rsid w:val="00A529B3"/>
    <w:rsid w:val="00A53010"/>
    <w:rsid w:val="00A530AA"/>
    <w:rsid w:val="00A5313A"/>
    <w:rsid w:val="00A53157"/>
    <w:rsid w:val="00A531A7"/>
    <w:rsid w:val="00A531B6"/>
    <w:rsid w:val="00A531D8"/>
    <w:rsid w:val="00A53637"/>
    <w:rsid w:val="00A536B9"/>
    <w:rsid w:val="00A5383C"/>
    <w:rsid w:val="00A5387B"/>
    <w:rsid w:val="00A538DC"/>
    <w:rsid w:val="00A53A6B"/>
    <w:rsid w:val="00A53B86"/>
    <w:rsid w:val="00A53C8D"/>
    <w:rsid w:val="00A53EC6"/>
    <w:rsid w:val="00A53EE9"/>
    <w:rsid w:val="00A53F7C"/>
    <w:rsid w:val="00A540C9"/>
    <w:rsid w:val="00A54134"/>
    <w:rsid w:val="00A54239"/>
    <w:rsid w:val="00A545FA"/>
    <w:rsid w:val="00A54658"/>
    <w:rsid w:val="00A546E0"/>
    <w:rsid w:val="00A5479B"/>
    <w:rsid w:val="00A548B3"/>
    <w:rsid w:val="00A549B7"/>
    <w:rsid w:val="00A54A1B"/>
    <w:rsid w:val="00A54BDF"/>
    <w:rsid w:val="00A54CCE"/>
    <w:rsid w:val="00A54DEA"/>
    <w:rsid w:val="00A54EA3"/>
    <w:rsid w:val="00A54FAD"/>
    <w:rsid w:val="00A55023"/>
    <w:rsid w:val="00A551BB"/>
    <w:rsid w:val="00A554D2"/>
    <w:rsid w:val="00A554F3"/>
    <w:rsid w:val="00A55532"/>
    <w:rsid w:val="00A5561E"/>
    <w:rsid w:val="00A55731"/>
    <w:rsid w:val="00A5576F"/>
    <w:rsid w:val="00A558A5"/>
    <w:rsid w:val="00A55A92"/>
    <w:rsid w:val="00A55BEB"/>
    <w:rsid w:val="00A55E53"/>
    <w:rsid w:val="00A55ED5"/>
    <w:rsid w:val="00A55F1C"/>
    <w:rsid w:val="00A55FE8"/>
    <w:rsid w:val="00A56098"/>
    <w:rsid w:val="00A561EB"/>
    <w:rsid w:val="00A561FE"/>
    <w:rsid w:val="00A562AC"/>
    <w:rsid w:val="00A56415"/>
    <w:rsid w:val="00A564A0"/>
    <w:rsid w:val="00A564C5"/>
    <w:rsid w:val="00A5656D"/>
    <w:rsid w:val="00A56837"/>
    <w:rsid w:val="00A56854"/>
    <w:rsid w:val="00A569D5"/>
    <w:rsid w:val="00A569F4"/>
    <w:rsid w:val="00A56C1B"/>
    <w:rsid w:val="00A56C4A"/>
    <w:rsid w:val="00A56D51"/>
    <w:rsid w:val="00A56D7E"/>
    <w:rsid w:val="00A56E8C"/>
    <w:rsid w:val="00A56EC1"/>
    <w:rsid w:val="00A56FCA"/>
    <w:rsid w:val="00A570A4"/>
    <w:rsid w:val="00A57186"/>
    <w:rsid w:val="00A57224"/>
    <w:rsid w:val="00A5727E"/>
    <w:rsid w:val="00A573FA"/>
    <w:rsid w:val="00A5749F"/>
    <w:rsid w:val="00A5761A"/>
    <w:rsid w:val="00A57726"/>
    <w:rsid w:val="00A5789B"/>
    <w:rsid w:val="00A579FD"/>
    <w:rsid w:val="00A57B25"/>
    <w:rsid w:val="00A57BC9"/>
    <w:rsid w:val="00A57C9C"/>
    <w:rsid w:val="00A57D67"/>
    <w:rsid w:val="00A57F5C"/>
    <w:rsid w:val="00A57F76"/>
    <w:rsid w:val="00A57FBB"/>
    <w:rsid w:val="00A57FD7"/>
    <w:rsid w:val="00A601A6"/>
    <w:rsid w:val="00A602F6"/>
    <w:rsid w:val="00A607D2"/>
    <w:rsid w:val="00A608A6"/>
    <w:rsid w:val="00A60920"/>
    <w:rsid w:val="00A60A7E"/>
    <w:rsid w:val="00A60C31"/>
    <w:rsid w:val="00A60CB0"/>
    <w:rsid w:val="00A60DA0"/>
    <w:rsid w:val="00A61209"/>
    <w:rsid w:val="00A612A8"/>
    <w:rsid w:val="00A6152D"/>
    <w:rsid w:val="00A615C9"/>
    <w:rsid w:val="00A6179F"/>
    <w:rsid w:val="00A61818"/>
    <w:rsid w:val="00A619F5"/>
    <w:rsid w:val="00A61E38"/>
    <w:rsid w:val="00A61E78"/>
    <w:rsid w:val="00A61F61"/>
    <w:rsid w:val="00A62050"/>
    <w:rsid w:val="00A62089"/>
    <w:rsid w:val="00A620C9"/>
    <w:rsid w:val="00A62133"/>
    <w:rsid w:val="00A62249"/>
    <w:rsid w:val="00A6265D"/>
    <w:rsid w:val="00A6268D"/>
    <w:rsid w:val="00A627A3"/>
    <w:rsid w:val="00A627EF"/>
    <w:rsid w:val="00A62808"/>
    <w:rsid w:val="00A62A17"/>
    <w:rsid w:val="00A62A4E"/>
    <w:rsid w:val="00A62B4F"/>
    <w:rsid w:val="00A62C83"/>
    <w:rsid w:val="00A62D27"/>
    <w:rsid w:val="00A62DEC"/>
    <w:rsid w:val="00A6302E"/>
    <w:rsid w:val="00A63080"/>
    <w:rsid w:val="00A63155"/>
    <w:rsid w:val="00A6329A"/>
    <w:rsid w:val="00A6339E"/>
    <w:rsid w:val="00A637C1"/>
    <w:rsid w:val="00A6382E"/>
    <w:rsid w:val="00A63B36"/>
    <w:rsid w:val="00A63B79"/>
    <w:rsid w:val="00A63CA1"/>
    <w:rsid w:val="00A63D88"/>
    <w:rsid w:val="00A63EA7"/>
    <w:rsid w:val="00A63F87"/>
    <w:rsid w:val="00A64072"/>
    <w:rsid w:val="00A64075"/>
    <w:rsid w:val="00A64237"/>
    <w:rsid w:val="00A643A1"/>
    <w:rsid w:val="00A6440F"/>
    <w:rsid w:val="00A6443E"/>
    <w:rsid w:val="00A6451D"/>
    <w:rsid w:val="00A64665"/>
    <w:rsid w:val="00A646FB"/>
    <w:rsid w:val="00A64793"/>
    <w:rsid w:val="00A647B8"/>
    <w:rsid w:val="00A648C2"/>
    <w:rsid w:val="00A64905"/>
    <w:rsid w:val="00A64948"/>
    <w:rsid w:val="00A64AEA"/>
    <w:rsid w:val="00A64BB7"/>
    <w:rsid w:val="00A64E4B"/>
    <w:rsid w:val="00A6503E"/>
    <w:rsid w:val="00A65253"/>
    <w:rsid w:val="00A658B9"/>
    <w:rsid w:val="00A65B6D"/>
    <w:rsid w:val="00A65C02"/>
    <w:rsid w:val="00A65C24"/>
    <w:rsid w:val="00A65FDC"/>
    <w:rsid w:val="00A6609B"/>
    <w:rsid w:val="00A660D6"/>
    <w:rsid w:val="00A66305"/>
    <w:rsid w:val="00A6631D"/>
    <w:rsid w:val="00A66368"/>
    <w:rsid w:val="00A663D4"/>
    <w:rsid w:val="00A66540"/>
    <w:rsid w:val="00A665FC"/>
    <w:rsid w:val="00A6673E"/>
    <w:rsid w:val="00A66816"/>
    <w:rsid w:val="00A6681C"/>
    <w:rsid w:val="00A668A2"/>
    <w:rsid w:val="00A66928"/>
    <w:rsid w:val="00A66AFB"/>
    <w:rsid w:val="00A66C15"/>
    <w:rsid w:val="00A66C6E"/>
    <w:rsid w:val="00A66ED8"/>
    <w:rsid w:val="00A66F72"/>
    <w:rsid w:val="00A6710B"/>
    <w:rsid w:val="00A671F1"/>
    <w:rsid w:val="00A67243"/>
    <w:rsid w:val="00A67312"/>
    <w:rsid w:val="00A673A8"/>
    <w:rsid w:val="00A6753F"/>
    <w:rsid w:val="00A67AB7"/>
    <w:rsid w:val="00A67BEF"/>
    <w:rsid w:val="00A67D9F"/>
    <w:rsid w:val="00A67F16"/>
    <w:rsid w:val="00A701A5"/>
    <w:rsid w:val="00A701C2"/>
    <w:rsid w:val="00A701F5"/>
    <w:rsid w:val="00A7031F"/>
    <w:rsid w:val="00A7044C"/>
    <w:rsid w:val="00A70671"/>
    <w:rsid w:val="00A7073E"/>
    <w:rsid w:val="00A707C1"/>
    <w:rsid w:val="00A707D7"/>
    <w:rsid w:val="00A70862"/>
    <w:rsid w:val="00A70B0E"/>
    <w:rsid w:val="00A70E9D"/>
    <w:rsid w:val="00A70FB1"/>
    <w:rsid w:val="00A70FFB"/>
    <w:rsid w:val="00A7106F"/>
    <w:rsid w:val="00A712FB"/>
    <w:rsid w:val="00A71327"/>
    <w:rsid w:val="00A713AA"/>
    <w:rsid w:val="00A7149D"/>
    <w:rsid w:val="00A7151D"/>
    <w:rsid w:val="00A71686"/>
    <w:rsid w:val="00A7174A"/>
    <w:rsid w:val="00A71889"/>
    <w:rsid w:val="00A71A15"/>
    <w:rsid w:val="00A71B3B"/>
    <w:rsid w:val="00A71C4C"/>
    <w:rsid w:val="00A71E7D"/>
    <w:rsid w:val="00A7207B"/>
    <w:rsid w:val="00A7209B"/>
    <w:rsid w:val="00A721FE"/>
    <w:rsid w:val="00A72206"/>
    <w:rsid w:val="00A72213"/>
    <w:rsid w:val="00A72332"/>
    <w:rsid w:val="00A7233C"/>
    <w:rsid w:val="00A72582"/>
    <w:rsid w:val="00A726BF"/>
    <w:rsid w:val="00A72745"/>
    <w:rsid w:val="00A727D8"/>
    <w:rsid w:val="00A729B9"/>
    <w:rsid w:val="00A72AC4"/>
    <w:rsid w:val="00A72ACD"/>
    <w:rsid w:val="00A72B2A"/>
    <w:rsid w:val="00A72BFB"/>
    <w:rsid w:val="00A72D40"/>
    <w:rsid w:val="00A72FF0"/>
    <w:rsid w:val="00A73327"/>
    <w:rsid w:val="00A7334E"/>
    <w:rsid w:val="00A733E8"/>
    <w:rsid w:val="00A73456"/>
    <w:rsid w:val="00A73497"/>
    <w:rsid w:val="00A734BA"/>
    <w:rsid w:val="00A7359F"/>
    <w:rsid w:val="00A736C5"/>
    <w:rsid w:val="00A73721"/>
    <w:rsid w:val="00A738B2"/>
    <w:rsid w:val="00A73AA4"/>
    <w:rsid w:val="00A73B59"/>
    <w:rsid w:val="00A73B68"/>
    <w:rsid w:val="00A73CD9"/>
    <w:rsid w:val="00A73DCC"/>
    <w:rsid w:val="00A73E73"/>
    <w:rsid w:val="00A73EA2"/>
    <w:rsid w:val="00A73EF6"/>
    <w:rsid w:val="00A73F64"/>
    <w:rsid w:val="00A73FF4"/>
    <w:rsid w:val="00A741AD"/>
    <w:rsid w:val="00A7422C"/>
    <w:rsid w:val="00A74375"/>
    <w:rsid w:val="00A74400"/>
    <w:rsid w:val="00A745B2"/>
    <w:rsid w:val="00A745FA"/>
    <w:rsid w:val="00A747AE"/>
    <w:rsid w:val="00A74816"/>
    <w:rsid w:val="00A748C0"/>
    <w:rsid w:val="00A748E9"/>
    <w:rsid w:val="00A74A62"/>
    <w:rsid w:val="00A74B20"/>
    <w:rsid w:val="00A74BA2"/>
    <w:rsid w:val="00A74BCE"/>
    <w:rsid w:val="00A74C5B"/>
    <w:rsid w:val="00A74CCF"/>
    <w:rsid w:val="00A74CE1"/>
    <w:rsid w:val="00A74D93"/>
    <w:rsid w:val="00A75042"/>
    <w:rsid w:val="00A750CE"/>
    <w:rsid w:val="00A75127"/>
    <w:rsid w:val="00A7513C"/>
    <w:rsid w:val="00A7519D"/>
    <w:rsid w:val="00A751B0"/>
    <w:rsid w:val="00A75274"/>
    <w:rsid w:val="00A7551E"/>
    <w:rsid w:val="00A756AD"/>
    <w:rsid w:val="00A75721"/>
    <w:rsid w:val="00A757DC"/>
    <w:rsid w:val="00A75922"/>
    <w:rsid w:val="00A759CC"/>
    <w:rsid w:val="00A75AFC"/>
    <w:rsid w:val="00A75BB5"/>
    <w:rsid w:val="00A75BF9"/>
    <w:rsid w:val="00A75D09"/>
    <w:rsid w:val="00A75F58"/>
    <w:rsid w:val="00A76164"/>
    <w:rsid w:val="00A762B2"/>
    <w:rsid w:val="00A76501"/>
    <w:rsid w:val="00A76AE5"/>
    <w:rsid w:val="00A76C06"/>
    <w:rsid w:val="00A76E98"/>
    <w:rsid w:val="00A76F50"/>
    <w:rsid w:val="00A77040"/>
    <w:rsid w:val="00A77129"/>
    <w:rsid w:val="00A77151"/>
    <w:rsid w:val="00A772A7"/>
    <w:rsid w:val="00A77354"/>
    <w:rsid w:val="00A7745E"/>
    <w:rsid w:val="00A774B4"/>
    <w:rsid w:val="00A774EF"/>
    <w:rsid w:val="00A77708"/>
    <w:rsid w:val="00A77812"/>
    <w:rsid w:val="00A77910"/>
    <w:rsid w:val="00A77B2F"/>
    <w:rsid w:val="00A77B56"/>
    <w:rsid w:val="00A77B9A"/>
    <w:rsid w:val="00A77BEA"/>
    <w:rsid w:val="00A77BEF"/>
    <w:rsid w:val="00A77CDF"/>
    <w:rsid w:val="00A800C2"/>
    <w:rsid w:val="00A803D8"/>
    <w:rsid w:val="00A807E3"/>
    <w:rsid w:val="00A809FF"/>
    <w:rsid w:val="00A80A98"/>
    <w:rsid w:val="00A80AFC"/>
    <w:rsid w:val="00A80CEE"/>
    <w:rsid w:val="00A80EC0"/>
    <w:rsid w:val="00A8174C"/>
    <w:rsid w:val="00A81791"/>
    <w:rsid w:val="00A81795"/>
    <w:rsid w:val="00A817FB"/>
    <w:rsid w:val="00A818BF"/>
    <w:rsid w:val="00A8191C"/>
    <w:rsid w:val="00A8191F"/>
    <w:rsid w:val="00A81993"/>
    <w:rsid w:val="00A81ADC"/>
    <w:rsid w:val="00A81BAE"/>
    <w:rsid w:val="00A81CFA"/>
    <w:rsid w:val="00A81D3A"/>
    <w:rsid w:val="00A8209A"/>
    <w:rsid w:val="00A82142"/>
    <w:rsid w:val="00A821E9"/>
    <w:rsid w:val="00A82261"/>
    <w:rsid w:val="00A822E0"/>
    <w:rsid w:val="00A823A8"/>
    <w:rsid w:val="00A824B8"/>
    <w:rsid w:val="00A8251A"/>
    <w:rsid w:val="00A82618"/>
    <w:rsid w:val="00A82656"/>
    <w:rsid w:val="00A82817"/>
    <w:rsid w:val="00A82836"/>
    <w:rsid w:val="00A8295F"/>
    <w:rsid w:val="00A82968"/>
    <w:rsid w:val="00A82B05"/>
    <w:rsid w:val="00A82B6A"/>
    <w:rsid w:val="00A82BE8"/>
    <w:rsid w:val="00A82C0D"/>
    <w:rsid w:val="00A82C9D"/>
    <w:rsid w:val="00A82DF4"/>
    <w:rsid w:val="00A832CF"/>
    <w:rsid w:val="00A8342F"/>
    <w:rsid w:val="00A83568"/>
    <w:rsid w:val="00A83643"/>
    <w:rsid w:val="00A8369E"/>
    <w:rsid w:val="00A836C4"/>
    <w:rsid w:val="00A83724"/>
    <w:rsid w:val="00A8399F"/>
    <w:rsid w:val="00A83A49"/>
    <w:rsid w:val="00A83B30"/>
    <w:rsid w:val="00A83B3A"/>
    <w:rsid w:val="00A83CA8"/>
    <w:rsid w:val="00A83E81"/>
    <w:rsid w:val="00A83FF1"/>
    <w:rsid w:val="00A8402A"/>
    <w:rsid w:val="00A84049"/>
    <w:rsid w:val="00A843AD"/>
    <w:rsid w:val="00A843C9"/>
    <w:rsid w:val="00A847EC"/>
    <w:rsid w:val="00A847F5"/>
    <w:rsid w:val="00A84892"/>
    <w:rsid w:val="00A8495A"/>
    <w:rsid w:val="00A849C5"/>
    <w:rsid w:val="00A84B3B"/>
    <w:rsid w:val="00A84B6E"/>
    <w:rsid w:val="00A84C13"/>
    <w:rsid w:val="00A84CA2"/>
    <w:rsid w:val="00A84CAF"/>
    <w:rsid w:val="00A84F13"/>
    <w:rsid w:val="00A8517D"/>
    <w:rsid w:val="00A85244"/>
    <w:rsid w:val="00A852AC"/>
    <w:rsid w:val="00A85363"/>
    <w:rsid w:val="00A8536D"/>
    <w:rsid w:val="00A85478"/>
    <w:rsid w:val="00A854B5"/>
    <w:rsid w:val="00A85649"/>
    <w:rsid w:val="00A858A8"/>
    <w:rsid w:val="00A8595B"/>
    <w:rsid w:val="00A85BC1"/>
    <w:rsid w:val="00A860E7"/>
    <w:rsid w:val="00A86183"/>
    <w:rsid w:val="00A86470"/>
    <w:rsid w:val="00A8649E"/>
    <w:rsid w:val="00A86586"/>
    <w:rsid w:val="00A865DD"/>
    <w:rsid w:val="00A8677E"/>
    <w:rsid w:val="00A868E5"/>
    <w:rsid w:val="00A86905"/>
    <w:rsid w:val="00A86CC1"/>
    <w:rsid w:val="00A86CE8"/>
    <w:rsid w:val="00A86EB6"/>
    <w:rsid w:val="00A86FBD"/>
    <w:rsid w:val="00A870A5"/>
    <w:rsid w:val="00A872D7"/>
    <w:rsid w:val="00A87402"/>
    <w:rsid w:val="00A87572"/>
    <w:rsid w:val="00A875BA"/>
    <w:rsid w:val="00A87617"/>
    <w:rsid w:val="00A8777C"/>
    <w:rsid w:val="00A87A83"/>
    <w:rsid w:val="00A87C8B"/>
    <w:rsid w:val="00A87D39"/>
    <w:rsid w:val="00A87D48"/>
    <w:rsid w:val="00A87DCE"/>
    <w:rsid w:val="00A87EE1"/>
    <w:rsid w:val="00A87F00"/>
    <w:rsid w:val="00A87F95"/>
    <w:rsid w:val="00A9017B"/>
    <w:rsid w:val="00A90233"/>
    <w:rsid w:val="00A90254"/>
    <w:rsid w:val="00A90512"/>
    <w:rsid w:val="00A90524"/>
    <w:rsid w:val="00A90563"/>
    <w:rsid w:val="00A9069E"/>
    <w:rsid w:val="00A906FE"/>
    <w:rsid w:val="00A908D1"/>
    <w:rsid w:val="00A90903"/>
    <w:rsid w:val="00A90AFA"/>
    <w:rsid w:val="00A90D98"/>
    <w:rsid w:val="00A911FF"/>
    <w:rsid w:val="00A912A2"/>
    <w:rsid w:val="00A912ED"/>
    <w:rsid w:val="00A9130E"/>
    <w:rsid w:val="00A9133B"/>
    <w:rsid w:val="00A913BE"/>
    <w:rsid w:val="00A91484"/>
    <w:rsid w:val="00A914E3"/>
    <w:rsid w:val="00A91712"/>
    <w:rsid w:val="00A9181A"/>
    <w:rsid w:val="00A9185F"/>
    <w:rsid w:val="00A91942"/>
    <w:rsid w:val="00A91D71"/>
    <w:rsid w:val="00A9200A"/>
    <w:rsid w:val="00A922ED"/>
    <w:rsid w:val="00A923D5"/>
    <w:rsid w:val="00A92524"/>
    <w:rsid w:val="00A92559"/>
    <w:rsid w:val="00A925D2"/>
    <w:rsid w:val="00A926EC"/>
    <w:rsid w:val="00A929E2"/>
    <w:rsid w:val="00A92B8B"/>
    <w:rsid w:val="00A92D92"/>
    <w:rsid w:val="00A92EE1"/>
    <w:rsid w:val="00A92F4D"/>
    <w:rsid w:val="00A93005"/>
    <w:rsid w:val="00A93085"/>
    <w:rsid w:val="00A93231"/>
    <w:rsid w:val="00A9356D"/>
    <w:rsid w:val="00A93757"/>
    <w:rsid w:val="00A9375B"/>
    <w:rsid w:val="00A938D2"/>
    <w:rsid w:val="00A93B6E"/>
    <w:rsid w:val="00A93CEE"/>
    <w:rsid w:val="00A93D04"/>
    <w:rsid w:val="00A93D50"/>
    <w:rsid w:val="00A93D93"/>
    <w:rsid w:val="00A93DCD"/>
    <w:rsid w:val="00A9413B"/>
    <w:rsid w:val="00A943FD"/>
    <w:rsid w:val="00A94427"/>
    <w:rsid w:val="00A9448C"/>
    <w:rsid w:val="00A94523"/>
    <w:rsid w:val="00A94588"/>
    <w:rsid w:val="00A946B8"/>
    <w:rsid w:val="00A947E2"/>
    <w:rsid w:val="00A947E8"/>
    <w:rsid w:val="00A948FF"/>
    <w:rsid w:val="00A94931"/>
    <w:rsid w:val="00A94ABF"/>
    <w:rsid w:val="00A94D1E"/>
    <w:rsid w:val="00A94E59"/>
    <w:rsid w:val="00A950FE"/>
    <w:rsid w:val="00A952AB"/>
    <w:rsid w:val="00A9532A"/>
    <w:rsid w:val="00A95346"/>
    <w:rsid w:val="00A95361"/>
    <w:rsid w:val="00A953AF"/>
    <w:rsid w:val="00A9552C"/>
    <w:rsid w:val="00A956FF"/>
    <w:rsid w:val="00A9580E"/>
    <w:rsid w:val="00A958BE"/>
    <w:rsid w:val="00A95934"/>
    <w:rsid w:val="00A95938"/>
    <w:rsid w:val="00A95A39"/>
    <w:rsid w:val="00A95A9C"/>
    <w:rsid w:val="00A95B86"/>
    <w:rsid w:val="00A95C68"/>
    <w:rsid w:val="00A95C98"/>
    <w:rsid w:val="00A95D0F"/>
    <w:rsid w:val="00A95DB4"/>
    <w:rsid w:val="00A95FA7"/>
    <w:rsid w:val="00A961C5"/>
    <w:rsid w:val="00A9626A"/>
    <w:rsid w:val="00A963A0"/>
    <w:rsid w:val="00A963CD"/>
    <w:rsid w:val="00A963F3"/>
    <w:rsid w:val="00A965B1"/>
    <w:rsid w:val="00A9676E"/>
    <w:rsid w:val="00A96816"/>
    <w:rsid w:val="00A968A9"/>
    <w:rsid w:val="00A96932"/>
    <w:rsid w:val="00A96982"/>
    <w:rsid w:val="00A96AC1"/>
    <w:rsid w:val="00A96E58"/>
    <w:rsid w:val="00A96F09"/>
    <w:rsid w:val="00A97077"/>
    <w:rsid w:val="00A97289"/>
    <w:rsid w:val="00A97297"/>
    <w:rsid w:val="00A9737B"/>
    <w:rsid w:val="00A974C2"/>
    <w:rsid w:val="00A97A54"/>
    <w:rsid w:val="00A97B18"/>
    <w:rsid w:val="00A97C49"/>
    <w:rsid w:val="00A97D79"/>
    <w:rsid w:val="00A97F2D"/>
    <w:rsid w:val="00AA0160"/>
    <w:rsid w:val="00AA021F"/>
    <w:rsid w:val="00AA0324"/>
    <w:rsid w:val="00AA0434"/>
    <w:rsid w:val="00AA05B0"/>
    <w:rsid w:val="00AA073B"/>
    <w:rsid w:val="00AA0835"/>
    <w:rsid w:val="00AA0880"/>
    <w:rsid w:val="00AA0971"/>
    <w:rsid w:val="00AA0A2B"/>
    <w:rsid w:val="00AA0A4F"/>
    <w:rsid w:val="00AA0DB7"/>
    <w:rsid w:val="00AA0E44"/>
    <w:rsid w:val="00AA0EFA"/>
    <w:rsid w:val="00AA0F46"/>
    <w:rsid w:val="00AA0F57"/>
    <w:rsid w:val="00AA0F7F"/>
    <w:rsid w:val="00AA10A8"/>
    <w:rsid w:val="00AA1169"/>
    <w:rsid w:val="00AA123E"/>
    <w:rsid w:val="00AA12AA"/>
    <w:rsid w:val="00AA12CA"/>
    <w:rsid w:val="00AA138C"/>
    <w:rsid w:val="00AA1411"/>
    <w:rsid w:val="00AA1586"/>
    <w:rsid w:val="00AA1749"/>
    <w:rsid w:val="00AA18B1"/>
    <w:rsid w:val="00AA197E"/>
    <w:rsid w:val="00AA1AA4"/>
    <w:rsid w:val="00AA1AF1"/>
    <w:rsid w:val="00AA1CF2"/>
    <w:rsid w:val="00AA1D6F"/>
    <w:rsid w:val="00AA1E45"/>
    <w:rsid w:val="00AA2021"/>
    <w:rsid w:val="00AA20BF"/>
    <w:rsid w:val="00AA20C6"/>
    <w:rsid w:val="00AA229A"/>
    <w:rsid w:val="00AA2308"/>
    <w:rsid w:val="00AA2777"/>
    <w:rsid w:val="00AA27FA"/>
    <w:rsid w:val="00AA29AA"/>
    <w:rsid w:val="00AA2A05"/>
    <w:rsid w:val="00AA2BF7"/>
    <w:rsid w:val="00AA2C7D"/>
    <w:rsid w:val="00AA2D4E"/>
    <w:rsid w:val="00AA3045"/>
    <w:rsid w:val="00AA30E3"/>
    <w:rsid w:val="00AA30F8"/>
    <w:rsid w:val="00AA312D"/>
    <w:rsid w:val="00AA313E"/>
    <w:rsid w:val="00AA3385"/>
    <w:rsid w:val="00AA361D"/>
    <w:rsid w:val="00AA3700"/>
    <w:rsid w:val="00AA3849"/>
    <w:rsid w:val="00AA387A"/>
    <w:rsid w:val="00AA39F7"/>
    <w:rsid w:val="00AA3A2A"/>
    <w:rsid w:val="00AA3AC7"/>
    <w:rsid w:val="00AA3C7D"/>
    <w:rsid w:val="00AA3CB4"/>
    <w:rsid w:val="00AA3D00"/>
    <w:rsid w:val="00AA3F7A"/>
    <w:rsid w:val="00AA3F98"/>
    <w:rsid w:val="00AA3F9E"/>
    <w:rsid w:val="00AA40D2"/>
    <w:rsid w:val="00AA40D8"/>
    <w:rsid w:val="00AA418C"/>
    <w:rsid w:val="00AA41A2"/>
    <w:rsid w:val="00AA43DA"/>
    <w:rsid w:val="00AA451B"/>
    <w:rsid w:val="00AA46CE"/>
    <w:rsid w:val="00AA47D9"/>
    <w:rsid w:val="00AA47DA"/>
    <w:rsid w:val="00AA4CEF"/>
    <w:rsid w:val="00AA4E1F"/>
    <w:rsid w:val="00AA4EBC"/>
    <w:rsid w:val="00AA4F21"/>
    <w:rsid w:val="00AA50D9"/>
    <w:rsid w:val="00AA5106"/>
    <w:rsid w:val="00AA5181"/>
    <w:rsid w:val="00AA518E"/>
    <w:rsid w:val="00AA53CA"/>
    <w:rsid w:val="00AA5504"/>
    <w:rsid w:val="00AA58A4"/>
    <w:rsid w:val="00AA59BA"/>
    <w:rsid w:val="00AA5C45"/>
    <w:rsid w:val="00AA5D83"/>
    <w:rsid w:val="00AA60A8"/>
    <w:rsid w:val="00AA612F"/>
    <w:rsid w:val="00AA617E"/>
    <w:rsid w:val="00AA61CB"/>
    <w:rsid w:val="00AA644D"/>
    <w:rsid w:val="00AA646E"/>
    <w:rsid w:val="00AA64C2"/>
    <w:rsid w:val="00AA65A0"/>
    <w:rsid w:val="00AA65AE"/>
    <w:rsid w:val="00AA661F"/>
    <w:rsid w:val="00AA6625"/>
    <w:rsid w:val="00AA6732"/>
    <w:rsid w:val="00AA6A48"/>
    <w:rsid w:val="00AA6A67"/>
    <w:rsid w:val="00AA6AA1"/>
    <w:rsid w:val="00AA6CC6"/>
    <w:rsid w:val="00AA6D15"/>
    <w:rsid w:val="00AA6D4D"/>
    <w:rsid w:val="00AA6E00"/>
    <w:rsid w:val="00AA70B3"/>
    <w:rsid w:val="00AA7111"/>
    <w:rsid w:val="00AA71A4"/>
    <w:rsid w:val="00AA7307"/>
    <w:rsid w:val="00AA7705"/>
    <w:rsid w:val="00AA779D"/>
    <w:rsid w:val="00AA77E4"/>
    <w:rsid w:val="00AA7820"/>
    <w:rsid w:val="00AA78C5"/>
    <w:rsid w:val="00AA7BF3"/>
    <w:rsid w:val="00AB0024"/>
    <w:rsid w:val="00AB0094"/>
    <w:rsid w:val="00AB056F"/>
    <w:rsid w:val="00AB05C6"/>
    <w:rsid w:val="00AB0696"/>
    <w:rsid w:val="00AB0719"/>
    <w:rsid w:val="00AB0803"/>
    <w:rsid w:val="00AB094E"/>
    <w:rsid w:val="00AB0957"/>
    <w:rsid w:val="00AB0A21"/>
    <w:rsid w:val="00AB0C94"/>
    <w:rsid w:val="00AB0D02"/>
    <w:rsid w:val="00AB0D92"/>
    <w:rsid w:val="00AB0DA5"/>
    <w:rsid w:val="00AB0F7F"/>
    <w:rsid w:val="00AB10A4"/>
    <w:rsid w:val="00AB11F0"/>
    <w:rsid w:val="00AB1340"/>
    <w:rsid w:val="00AB1644"/>
    <w:rsid w:val="00AB1656"/>
    <w:rsid w:val="00AB1664"/>
    <w:rsid w:val="00AB16A4"/>
    <w:rsid w:val="00AB16C6"/>
    <w:rsid w:val="00AB174F"/>
    <w:rsid w:val="00AB1892"/>
    <w:rsid w:val="00AB1967"/>
    <w:rsid w:val="00AB1981"/>
    <w:rsid w:val="00AB199C"/>
    <w:rsid w:val="00AB1AC2"/>
    <w:rsid w:val="00AB1B1C"/>
    <w:rsid w:val="00AB1B84"/>
    <w:rsid w:val="00AB1CA9"/>
    <w:rsid w:val="00AB20F9"/>
    <w:rsid w:val="00AB228F"/>
    <w:rsid w:val="00AB2527"/>
    <w:rsid w:val="00AB2670"/>
    <w:rsid w:val="00AB27A5"/>
    <w:rsid w:val="00AB28CB"/>
    <w:rsid w:val="00AB28D1"/>
    <w:rsid w:val="00AB2A1E"/>
    <w:rsid w:val="00AB2A78"/>
    <w:rsid w:val="00AB2BAB"/>
    <w:rsid w:val="00AB2BD0"/>
    <w:rsid w:val="00AB2CA8"/>
    <w:rsid w:val="00AB2DD6"/>
    <w:rsid w:val="00AB2F0D"/>
    <w:rsid w:val="00AB30F2"/>
    <w:rsid w:val="00AB317D"/>
    <w:rsid w:val="00AB31AD"/>
    <w:rsid w:val="00AB33F9"/>
    <w:rsid w:val="00AB34E8"/>
    <w:rsid w:val="00AB356E"/>
    <w:rsid w:val="00AB35C7"/>
    <w:rsid w:val="00AB36ED"/>
    <w:rsid w:val="00AB3729"/>
    <w:rsid w:val="00AB3759"/>
    <w:rsid w:val="00AB38AC"/>
    <w:rsid w:val="00AB399E"/>
    <w:rsid w:val="00AB3AEB"/>
    <w:rsid w:val="00AB3CAF"/>
    <w:rsid w:val="00AB3DED"/>
    <w:rsid w:val="00AB3F8A"/>
    <w:rsid w:val="00AB4029"/>
    <w:rsid w:val="00AB406D"/>
    <w:rsid w:val="00AB4070"/>
    <w:rsid w:val="00AB40B0"/>
    <w:rsid w:val="00AB40F8"/>
    <w:rsid w:val="00AB424A"/>
    <w:rsid w:val="00AB4372"/>
    <w:rsid w:val="00AB46DD"/>
    <w:rsid w:val="00AB46EE"/>
    <w:rsid w:val="00AB4851"/>
    <w:rsid w:val="00AB4974"/>
    <w:rsid w:val="00AB4C50"/>
    <w:rsid w:val="00AB4C58"/>
    <w:rsid w:val="00AB4CE9"/>
    <w:rsid w:val="00AB4E88"/>
    <w:rsid w:val="00AB4EBB"/>
    <w:rsid w:val="00AB5204"/>
    <w:rsid w:val="00AB5360"/>
    <w:rsid w:val="00AB547C"/>
    <w:rsid w:val="00AB561B"/>
    <w:rsid w:val="00AB576D"/>
    <w:rsid w:val="00AB57EF"/>
    <w:rsid w:val="00AB58F3"/>
    <w:rsid w:val="00AB5B5F"/>
    <w:rsid w:val="00AB5C54"/>
    <w:rsid w:val="00AB5D5B"/>
    <w:rsid w:val="00AB62D6"/>
    <w:rsid w:val="00AB6517"/>
    <w:rsid w:val="00AB6673"/>
    <w:rsid w:val="00AB66DB"/>
    <w:rsid w:val="00AB6700"/>
    <w:rsid w:val="00AB67CC"/>
    <w:rsid w:val="00AB6816"/>
    <w:rsid w:val="00AB6885"/>
    <w:rsid w:val="00AB6B1F"/>
    <w:rsid w:val="00AB6B31"/>
    <w:rsid w:val="00AB6D7A"/>
    <w:rsid w:val="00AB6DA4"/>
    <w:rsid w:val="00AB6DD4"/>
    <w:rsid w:val="00AB6EA2"/>
    <w:rsid w:val="00AB6EF0"/>
    <w:rsid w:val="00AB6F13"/>
    <w:rsid w:val="00AB7048"/>
    <w:rsid w:val="00AB7240"/>
    <w:rsid w:val="00AB72E4"/>
    <w:rsid w:val="00AB73A3"/>
    <w:rsid w:val="00AB73B0"/>
    <w:rsid w:val="00AB7638"/>
    <w:rsid w:val="00AB77D4"/>
    <w:rsid w:val="00AB78DC"/>
    <w:rsid w:val="00AB7A5E"/>
    <w:rsid w:val="00AB7AE6"/>
    <w:rsid w:val="00AB7C74"/>
    <w:rsid w:val="00AB7C9E"/>
    <w:rsid w:val="00AB7CCC"/>
    <w:rsid w:val="00AB7ED6"/>
    <w:rsid w:val="00AB7F57"/>
    <w:rsid w:val="00AC0015"/>
    <w:rsid w:val="00AC0533"/>
    <w:rsid w:val="00AC0652"/>
    <w:rsid w:val="00AC0815"/>
    <w:rsid w:val="00AC0901"/>
    <w:rsid w:val="00AC0A90"/>
    <w:rsid w:val="00AC0B2C"/>
    <w:rsid w:val="00AC0B39"/>
    <w:rsid w:val="00AC0CC6"/>
    <w:rsid w:val="00AC0EB1"/>
    <w:rsid w:val="00AC0EB8"/>
    <w:rsid w:val="00AC0FA8"/>
    <w:rsid w:val="00AC0FE4"/>
    <w:rsid w:val="00AC0FEA"/>
    <w:rsid w:val="00AC1343"/>
    <w:rsid w:val="00AC1481"/>
    <w:rsid w:val="00AC1531"/>
    <w:rsid w:val="00AC1605"/>
    <w:rsid w:val="00AC1780"/>
    <w:rsid w:val="00AC1799"/>
    <w:rsid w:val="00AC1816"/>
    <w:rsid w:val="00AC186A"/>
    <w:rsid w:val="00AC186D"/>
    <w:rsid w:val="00AC18E1"/>
    <w:rsid w:val="00AC193D"/>
    <w:rsid w:val="00AC1996"/>
    <w:rsid w:val="00AC1A15"/>
    <w:rsid w:val="00AC1BEA"/>
    <w:rsid w:val="00AC1C84"/>
    <w:rsid w:val="00AC1D8E"/>
    <w:rsid w:val="00AC1E2D"/>
    <w:rsid w:val="00AC1E97"/>
    <w:rsid w:val="00AC2433"/>
    <w:rsid w:val="00AC26BF"/>
    <w:rsid w:val="00AC278D"/>
    <w:rsid w:val="00AC27D3"/>
    <w:rsid w:val="00AC284D"/>
    <w:rsid w:val="00AC292C"/>
    <w:rsid w:val="00AC295D"/>
    <w:rsid w:val="00AC2B0F"/>
    <w:rsid w:val="00AC2B83"/>
    <w:rsid w:val="00AC2C28"/>
    <w:rsid w:val="00AC2D04"/>
    <w:rsid w:val="00AC3099"/>
    <w:rsid w:val="00AC321B"/>
    <w:rsid w:val="00AC3324"/>
    <w:rsid w:val="00AC36C6"/>
    <w:rsid w:val="00AC3788"/>
    <w:rsid w:val="00AC3B12"/>
    <w:rsid w:val="00AC3D4A"/>
    <w:rsid w:val="00AC3D57"/>
    <w:rsid w:val="00AC3D9A"/>
    <w:rsid w:val="00AC3E52"/>
    <w:rsid w:val="00AC3EEE"/>
    <w:rsid w:val="00AC4165"/>
    <w:rsid w:val="00AC4258"/>
    <w:rsid w:val="00AC447C"/>
    <w:rsid w:val="00AC44C1"/>
    <w:rsid w:val="00AC4674"/>
    <w:rsid w:val="00AC47AB"/>
    <w:rsid w:val="00AC47F6"/>
    <w:rsid w:val="00AC48AB"/>
    <w:rsid w:val="00AC48E6"/>
    <w:rsid w:val="00AC4922"/>
    <w:rsid w:val="00AC4A80"/>
    <w:rsid w:val="00AC4B67"/>
    <w:rsid w:val="00AC4B8E"/>
    <w:rsid w:val="00AC4C46"/>
    <w:rsid w:val="00AC4D78"/>
    <w:rsid w:val="00AC4ED9"/>
    <w:rsid w:val="00AC4F7B"/>
    <w:rsid w:val="00AC5086"/>
    <w:rsid w:val="00AC50EA"/>
    <w:rsid w:val="00AC52B8"/>
    <w:rsid w:val="00AC5443"/>
    <w:rsid w:val="00AC5485"/>
    <w:rsid w:val="00AC54FC"/>
    <w:rsid w:val="00AC55C1"/>
    <w:rsid w:val="00AC573D"/>
    <w:rsid w:val="00AC578B"/>
    <w:rsid w:val="00AC57CD"/>
    <w:rsid w:val="00AC59D4"/>
    <w:rsid w:val="00AC5A9F"/>
    <w:rsid w:val="00AC5C4B"/>
    <w:rsid w:val="00AC5F8D"/>
    <w:rsid w:val="00AC60E2"/>
    <w:rsid w:val="00AC61FC"/>
    <w:rsid w:val="00AC6470"/>
    <w:rsid w:val="00AC689C"/>
    <w:rsid w:val="00AC68E2"/>
    <w:rsid w:val="00AC6904"/>
    <w:rsid w:val="00AC6C55"/>
    <w:rsid w:val="00AC6E3E"/>
    <w:rsid w:val="00AC7075"/>
    <w:rsid w:val="00AC71D4"/>
    <w:rsid w:val="00AC75E8"/>
    <w:rsid w:val="00AC79F7"/>
    <w:rsid w:val="00AC7A72"/>
    <w:rsid w:val="00AC7D97"/>
    <w:rsid w:val="00AD006C"/>
    <w:rsid w:val="00AD0071"/>
    <w:rsid w:val="00AD0119"/>
    <w:rsid w:val="00AD0132"/>
    <w:rsid w:val="00AD02AE"/>
    <w:rsid w:val="00AD03AF"/>
    <w:rsid w:val="00AD07AD"/>
    <w:rsid w:val="00AD0A35"/>
    <w:rsid w:val="00AD0A8C"/>
    <w:rsid w:val="00AD0D3E"/>
    <w:rsid w:val="00AD0D44"/>
    <w:rsid w:val="00AD0FD1"/>
    <w:rsid w:val="00AD0FF0"/>
    <w:rsid w:val="00AD1590"/>
    <w:rsid w:val="00AD1D85"/>
    <w:rsid w:val="00AD1EFC"/>
    <w:rsid w:val="00AD1F1F"/>
    <w:rsid w:val="00AD21CD"/>
    <w:rsid w:val="00AD21E4"/>
    <w:rsid w:val="00AD254E"/>
    <w:rsid w:val="00AD2554"/>
    <w:rsid w:val="00AD26C7"/>
    <w:rsid w:val="00AD2A36"/>
    <w:rsid w:val="00AD2AF2"/>
    <w:rsid w:val="00AD2BDA"/>
    <w:rsid w:val="00AD2BFB"/>
    <w:rsid w:val="00AD2CAD"/>
    <w:rsid w:val="00AD2F7D"/>
    <w:rsid w:val="00AD3040"/>
    <w:rsid w:val="00AD30D4"/>
    <w:rsid w:val="00AD316C"/>
    <w:rsid w:val="00AD31F5"/>
    <w:rsid w:val="00AD31FB"/>
    <w:rsid w:val="00AD3436"/>
    <w:rsid w:val="00AD3541"/>
    <w:rsid w:val="00AD356D"/>
    <w:rsid w:val="00AD35C5"/>
    <w:rsid w:val="00AD3608"/>
    <w:rsid w:val="00AD38E0"/>
    <w:rsid w:val="00AD3A6F"/>
    <w:rsid w:val="00AD3AC4"/>
    <w:rsid w:val="00AD3CF8"/>
    <w:rsid w:val="00AD3D06"/>
    <w:rsid w:val="00AD3F44"/>
    <w:rsid w:val="00AD41C8"/>
    <w:rsid w:val="00AD43AA"/>
    <w:rsid w:val="00AD455D"/>
    <w:rsid w:val="00AD4756"/>
    <w:rsid w:val="00AD4AE1"/>
    <w:rsid w:val="00AD4BDD"/>
    <w:rsid w:val="00AD4D7A"/>
    <w:rsid w:val="00AD4DFE"/>
    <w:rsid w:val="00AD5353"/>
    <w:rsid w:val="00AD53BD"/>
    <w:rsid w:val="00AD542E"/>
    <w:rsid w:val="00AD54BA"/>
    <w:rsid w:val="00AD55D7"/>
    <w:rsid w:val="00AD56F4"/>
    <w:rsid w:val="00AD574F"/>
    <w:rsid w:val="00AD58AF"/>
    <w:rsid w:val="00AD58FB"/>
    <w:rsid w:val="00AD5981"/>
    <w:rsid w:val="00AD5993"/>
    <w:rsid w:val="00AD5A8D"/>
    <w:rsid w:val="00AD5B5C"/>
    <w:rsid w:val="00AD5D08"/>
    <w:rsid w:val="00AD5EBC"/>
    <w:rsid w:val="00AD60D9"/>
    <w:rsid w:val="00AD613C"/>
    <w:rsid w:val="00AD625E"/>
    <w:rsid w:val="00AD626E"/>
    <w:rsid w:val="00AD6390"/>
    <w:rsid w:val="00AD63FD"/>
    <w:rsid w:val="00AD64D7"/>
    <w:rsid w:val="00AD6506"/>
    <w:rsid w:val="00AD69BD"/>
    <w:rsid w:val="00AD6A29"/>
    <w:rsid w:val="00AD6A5F"/>
    <w:rsid w:val="00AD6EE9"/>
    <w:rsid w:val="00AD6FC4"/>
    <w:rsid w:val="00AD701A"/>
    <w:rsid w:val="00AD73DD"/>
    <w:rsid w:val="00AD7497"/>
    <w:rsid w:val="00AD7638"/>
    <w:rsid w:val="00AD768E"/>
    <w:rsid w:val="00AD77EF"/>
    <w:rsid w:val="00AD78A6"/>
    <w:rsid w:val="00AD7A7D"/>
    <w:rsid w:val="00AD7AA3"/>
    <w:rsid w:val="00AD7ADD"/>
    <w:rsid w:val="00AD7B26"/>
    <w:rsid w:val="00AD7BE5"/>
    <w:rsid w:val="00AD7C59"/>
    <w:rsid w:val="00AD7C7E"/>
    <w:rsid w:val="00AD7D80"/>
    <w:rsid w:val="00AD7E9A"/>
    <w:rsid w:val="00AD7EC0"/>
    <w:rsid w:val="00AD7EE4"/>
    <w:rsid w:val="00AE018B"/>
    <w:rsid w:val="00AE025B"/>
    <w:rsid w:val="00AE029D"/>
    <w:rsid w:val="00AE03D6"/>
    <w:rsid w:val="00AE045A"/>
    <w:rsid w:val="00AE04BF"/>
    <w:rsid w:val="00AE058F"/>
    <w:rsid w:val="00AE0822"/>
    <w:rsid w:val="00AE0C14"/>
    <w:rsid w:val="00AE0C74"/>
    <w:rsid w:val="00AE0D68"/>
    <w:rsid w:val="00AE0DF4"/>
    <w:rsid w:val="00AE0F8E"/>
    <w:rsid w:val="00AE109B"/>
    <w:rsid w:val="00AE10E4"/>
    <w:rsid w:val="00AE1128"/>
    <w:rsid w:val="00AE1178"/>
    <w:rsid w:val="00AE1201"/>
    <w:rsid w:val="00AE1216"/>
    <w:rsid w:val="00AE13E9"/>
    <w:rsid w:val="00AE171B"/>
    <w:rsid w:val="00AE17C6"/>
    <w:rsid w:val="00AE183D"/>
    <w:rsid w:val="00AE18BA"/>
    <w:rsid w:val="00AE18E0"/>
    <w:rsid w:val="00AE18F3"/>
    <w:rsid w:val="00AE1C2E"/>
    <w:rsid w:val="00AE1D75"/>
    <w:rsid w:val="00AE1DE0"/>
    <w:rsid w:val="00AE1EC6"/>
    <w:rsid w:val="00AE1F79"/>
    <w:rsid w:val="00AE200B"/>
    <w:rsid w:val="00AE2024"/>
    <w:rsid w:val="00AE208E"/>
    <w:rsid w:val="00AE20B2"/>
    <w:rsid w:val="00AE2264"/>
    <w:rsid w:val="00AE2400"/>
    <w:rsid w:val="00AE24AA"/>
    <w:rsid w:val="00AE2578"/>
    <w:rsid w:val="00AE27A9"/>
    <w:rsid w:val="00AE2849"/>
    <w:rsid w:val="00AE2AE0"/>
    <w:rsid w:val="00AE2B30"/>
    <w:rsid w:val="00AE2B42"/>
    <w:rsid w:val="00AE2D24"/>
    <w:rsid w:val="00AE2E1C"/>
    <w:rsid w:val="00AE30AD"/>
    <w:rsid w:val="00AE32FE"/>
    <w:rsid w:val="00AE347D"/>
    <w:rsid w:val="00AE36C7"/>
    <w:rsid w:val="00AE36F5"/>
    <w:rsid w:val="00AE39B2"/>
    <w:rsid w:val="00AE3AA2"/>
    <w:rsid w:val="00AE3B3F"/>
    <w:rsid w:val="00AE3B72"/>
    <w:rsid w:val="00AE3BB2"/>
    <w:rsid w:val="00AE3DF0"/>
    <w:rsid w:val="00AE3F9D"/>
    <w:rsid w:val="00AE40C5"/>
    <w:rsid w:val="00AE4140"/>
    <w:rsid w:val="00AE414A"/>
    <w:rsid w:val="00AE4341"/>
    <w:rsid w:val="00AE4422"/>
    <w:rsid w:val="00AE4586"/>
    <w:rsid w:val="00AE490B"/>
    <w:rsid w:val="00AE4925"/>
    <w:rsid w:val="00AE49CD"/>
    <w:rsid w:val="00AE4A12"/>
    <w:rsid w:val="00AE4A65"/>
    <w:rsid w:val="00AE4AA5"/>
    <w:rsid w:val="00AE4BDB"/>
    <w:rsid w:val="00AE4E8E"/>
    <w:rsid w:val="00AE4F5F"/>
    <w:rsid w:val="00AE4FCC"/>
    <w:rsid w:val="00AE5064"/>
    <w:rsid w:val="00AE514D"/>
    <w:rsid w:val="00AE5183"/>
    <w:rsid w:val="00AE520E"/>
    <w:rsid w:val="00AE5398"/>
    <w:rsid w:val="00AE53BB"/>
    <w:rsid w:val="00AE54DD"/>
    <w:rsid w:val="00AE5574"/>
    <w:rsid w:val="00AE558C"/>
    <w:rsid w:val="00AE57AE"/>
    <w:rsid w:val="00AE5810"/>
    <w:rsid w:val="00AE59BC"/>
    <w:rsid w:val="00AE59E2"/>
    <w:rsid w:val="00AE5B01"/>
    <w:rsid w:val="00AE5B12"/>
    <w:rsid w:val="00AE5C35"/>
    <w:rsid w:val="00AE5D3E"/>
    <w:rsid w:val="00AE5D70"/>
    <w:rsid w:val="00AE5DF4"/>
    <w:rsid w:val="00AE60AC"/>
    <w:rsid w:val="00AE632C"/>
    <w:rsid w:val="00AE6387"/>
    <w:rsid w:val="00AE6619"/>
    <w:rsid w:val="00AE67E2"/>
    <w:rsid w:val="00AE67E8"/>
    <w:rsid w:val="00AE67F9"/>
    <w:rsid w:val="00AE6860"/>
    <w:rsid w:val="00AE6977"/>
    <w:rsid w:val="00AE6B97"/>
    <w:rsid w:val="00AE6C25"/>
    <w:rsid w:val="00AE6CCF"/>
    <w:rsid w:val="00AE6E5B"/>
    <w:rsid w:val="00AE6EFE"/>
    <w:rsid w:val="00AE6F83"/>
    <w:rsid w:val="00AE6FB9"/>
    <w:rsid w:val="00AE709E"/>
    <w:rsid w:val="00AE70F6"/>
    <w:rsid w:val="00AE7197"/>
    <w:rsid w:val="00AE724A"/>
    <w:rsid w:val="00AE7278"/>
    <w:rsid w:val="00AE728D"/>
    <w:rsid w:val="00AE7315"/>
    <w:rsid w:val="00AE7563"/>
    <w:rsid w:val="00AE773B"/>
    <w:rsid w:val="00AE7A22"/>
    <w:rsid w:val="00AE7AD5"/>
    <w:rsid w:val="00AE7C10"/>
    <w:rsid w:val="00AE7DB0"/>
    <w:rsid w:val="00AE7F38"/>
    <w:rsid w:val="00AF005F"/>
    <w:rsid w:val="00AF0138"/>
    <w:rsid w:val="00AF015F"/>
    <w:rsid w:val="00AF016F"/>
    <w:rsid w:val="00AF0212"/>
    <w:rsid w:val="00AF06B5"/>
    <w:rsid w:val="00AF07DF"/>
    <w:rsid w:val="00AF084C"/>
    <w:rsid w:val="00AF088E"/>
    <w:rsid w:val="00AF093C"/>
    <w:rsid w:val="00AF0D16"/>
    <w:rsid w:val="00AF0E0B"/>
    <w:rsid w:val="00AF0EAB"/>
    <w:rsid w:val="00AF1002"/>
    <w:rsid w:val="00AF10C1"/>
    <w:rsid w:val="00AF10F0"/>
    <w:rsid w:val="00AF113B"/>
    <w:rsid w:val="00AF11BC"/>
    <w:rsid w:val="00AF120E"/>
    <w:rsid w:val="00AF1215"/>
    <w:rsid w:val="00AF1274"/>
    <w:rsid w:val="00AF136C"/>
    <w:rsid w:val="00AF172A"/>
    <w:rsid w:val="00AF19EF"/>
    <w:rsid w:val="00AF1A42"/>
    <w:rsid w:val="00AF1AEA"/>
    <w:rsid w:val="00AF1AFC"/>
    <w:rsid w:val="00AF1B74"/>
    <w:rsid w:val="00AF1C1E"/>
    <w:rsid w:val="00AF1C49"/>
    <w:rsid w:val="00AF1DA9"/>
    <w:rsid w:val="00AF1F75"/>
    <w:rsid w:val="00AF2303"/>
    <w:rsid w:val="00AF2367"/>
    <w:rsid w:val="00AF24E7"/>
    <w:rsid w:val="00AF283F"/>
    <w:rsid w:val="00AF2875"/>
    <w:rsid w:val="00AF2A5E"/>
    <w:rsid w:val="00AF2C8E"/>
    <w:rsid w:val="00AF2D1C"/>
    <w:rsid w:val="00AF2D56"/>
    <w:rsid w:val="00AF2E2F"/>
    <w:rsid w:val="00AF2EDC"/>
    <w:rsid w:val="00AF2F06"/>
    <w:rsid w:val="00AF3049"/>
    <w:rsid w:val="00AF310E"/>
    <w:rsid w:val="00AF31EC"/>
    <w:rsid w:val="00AF32FB"/>
    <w:rsid w:val="00AF34F6"/>
    <w:rsid w:val="00AF3535"/>
    <w:rsid w:val="00AF36C9"/>
    <w:rsid w:val="00AF36D3"/>
    <w:rsid w:val="00AF36E8"/>
    <w:rsid w:val="00AF375A"/>
    <w:rsid w:val="00AF37CB"/>
    <w:rsid w:val="00AF38A6"/>
    <w:rsid w:val="00AF3937"/>
    <w:rsid w:val="00AF3A07"/>
    <w:rsid w:val="00AF3C83"/>
    <w:rsid w:val="00AF3CE7"/>
    <w:rsid w:val="00AF3FF6"/>
    <w:rsid w:val="00AF4204"/>
    <w:rsid w:val="00AF429C"/>
    <w:rsid w:val="00AF441F"/>
    <w:rsid w:val="00AF4547"/>
    <w:rsid w:val="00AF459A"/>
    <w:rsid w:val="00AF4847"/>
    <w:rsid w:val="00AF4AC1"/>
    <w:rsid w:val="00AF4B47"/>
    <w:rsid w:val="00AF4C9A"/>
    <w:rsid w:val="00AF4D27"/>
    <w:rsid w:val="00AF4E13"/>
    <w:rsid w:val="00AF4EED"/>
    <w:rsid w:val="00AF504B"/>
    <w:rsid w:val="00AF5214"/>
    <w:rsid w:val="00AF5253"/>
    <w:rsid w:val="00AF52E9"/>
    <w:rsid w:val="00AF54C8"/>
    <w:rsid w:val="00AF54CD"/>
    <w:rsid w:val="00AF5616"/>
    <w:rsid w:val="00AF5784"/>
    <w:rsid w:val="00AF57CC"/>
    <w:rsid w:val="00AF58EE"/>
    <w:rsid w:val="00AF5A1F"/>
    <w:rsid w:val="00AF5A96"/>
    <w:rsid w:val="00AF5B04"/>
    <w:rsid w:val="00AF5C2B"/>
    <w:rsid w:val="00AF5DB8"/>
    <w:rsid w:val="00AF5E48"/>
    <w:rsid w:val="00AF5F2A"/>
    <w:rsid w:val="00AF5F45"/>
    <w:rsid w:val="00AF5F6D"/>
    <w:rsid w:val="00AF605F"/>
    <w:rsid w:val="00AF60BA"/>
    <w:rsid w:val="00AF621D"/>
    <w:rsid w:val="00AF638B"/>
    <w:rsid w:val="00AF687A"/>
    <w:rsid w:val="00AF6BF1"/>
    <w:rsid w:val="00AF6C00"/>
    <w:rsid w:val="00AF6CAB"/>
    <w:rsid w:val="00AF6E05"/>
    <w:rsid w:val="00AF6E26"/>
    <w:rsid w:val="00AF718E"/>
    <w:rsid w:val="00AF72FF"/>
    <w:rsid w:val="00AF7311"/>
    <w:rsid w:val="00AF7356"/>
    <w:rsid w:val="00AF7434"/>
    <w:rsid w:val="00AF7495"/>
    <w:rsid w:val="00AF772A"/>
    <w:rsid w:val="00AF7781"/>
    <w:rsid w:val="00AF77B6"/>
    <w:rsid w:val="00AF7A80"/>
    <w:rsid w:val="00AF7AD3"/>
    <w:rsid w:val="00AF7BF9"/>
    <w:rsid w:val="00AF7F2C"/>
    <w:rsid w:val="00AF7F3A"/>
    <w:rsid w:val="00AF7F5F"/>
    <w:rsid w:val="00AF7F9B"/>
    <w:rsid w:val="00B0006E"/>
    <w:rsid w:val="00B000C0"/>
    <w:rsid w:val="00B00168"/>
    <w:rsid w:val="00B001B2"/>
    <w:rsid w:val="00B001E9"/>
    <w:rsid w:val="00B001EA"/>
    <w:rsid w:val="00B00223"/>
    <w:rsid w:val="00B00747"/>
    <w:rsid w:val="00B00AA6"/>
    <w:rsid w:val="00B00B39"/>
    <w:rsid w:val="00B00DBB"/>
    <w:rsid w:val="00B00F39"/>
    <w:rsid w:val="00B01035"/>
    <w:rsid w:val="00B01077"/>
    <w:rsid w:val="00B01088"/>
    <w:rsid w:val="00B018CD"/>
    <w:rsid w:val="00B018FA"/>
    <w:rsid w:val="00B01AA5"/>
    <w:rsid w:val="00B01B59"/>
    <w:rsid w:val="00B01B62"/>
    <w:rsid w:val="00B01C30"/>
    <w:rsid w:val="00B01C9F"/>
    <w:rsid w:val="00B02010"/>
    <w:rsid w:val="00B02363"/>
    <w:rsid w:val="00B02424"/>
    <w:rsid w:val="00B024D3"/>
    <w:rsid w:val="00B0266D"/>
    <w:rsid w:val="00B02B17"/>
    <w:rsid w:val="00B02C3C"/>
    <w:rsid w:val="00B02C85"/>
    <w:rsid w:val="00B02CCA"/>
    <w:rsid w:val="00B02F22"/>
    <w:rsid w:val="00B03322"/>
    <w:rsid w:val="00B0358C"/>
    <w:rsid w:val="00B037B9"/>
    <w:rsid w:val="00B037F0"/>
    <w:rsid w:val="00B03916"/>
    <w:rsid w:val="00B03DD4"/>
    <w:rsid w:val="00B040AA"/>
    <w:rsid w:val="00B04163"/>
    <w:rsid w:val="00B043E2"/>
    <w:rsid w:val="00B0452C"/>
    <w:rsid w:val="00B045F8"/>
    <w:rsid w:val="00B046E0"/>
    <w:rsid w:val="00B04709"/>
    <w:rsid w:val="00B04720"/>
    <w:rsid w:val="00B047B1"/>
    <w:rsid w:val="00B04923"/>
    <w:rsid w:val="00B04A69"/>
    <w:rsid w:val="00B04ACE"/>
    <w:rsid w:val="00B04B07"/>
    <w:rsid w:val="00B04DA2"/>
    <w:rsid w:val="00B04DCF"/>
    <w:rsid w:val="00B04F24"/>
    <w:rsid w:val="00B05140"/>
    <w:rsid w:val="00B052A3"/>
    <w:rsid w:val="00B0540A"/>
    <w:rsid w:val="00B0558D"/>
    <w:rsid w:val="00B05634"/>
    <w:rsid w:val="00B056EF"/>
    <w:rsid w:val="00B05735"/>
    <w:rsid w:val="00B05787"/>
    <w:rsid w:val="00B0588C"/>
    <w:rsid w:val="00B05A07"/>
    <w:rsid w:val="00B05A09"/>
    <w:rsid w:val="00B05AF2"/>
    <w:rsid w:val="00B05DC7"/>
    <w:rsid w:val="00B05F98"/>
    <w:rsid w:val="00B06049"/>
    <w:rsid w:val="00B061C5"/>
    <w:rsid w:val="00B062B9"/>
    <w:rsid w:val="00B0633D"/>
    <w:rsid w:val="00B06419"/>
    <w:rsid w:val="00B0654F"/>
    <w:rsid w:val="00B06737"/>
    <w:rsid w:val="00B068EB"/>
    <w:rsid w:val="00B0690F"/>
    <w:rsid w:val="00B0693F"/>
    <w:rsid w:val="00B06BD6"/>
    <w:rsid w:val="00B06FBB"/>
    <w:rsid w:val="00B07056"/>
    <w:rsid w:val="00B07095"/>
    <w:rsid w:val="00B07423"/>
    <w:rsid w:val="00B077D4"/>
    <w:rsid w:val="00B0797D"/>
    <w:rsid w:val="00B07E04"/>
    <w:rsid w:val="00B07F9A"/>
    <w:rsid w:val="00B07F9F"/>
    <w:rsid w:val="00B1001C"/>
    <w:rsid w:val="00B1013F"/>
    <w:rsid w:val="00B10208"/>
    <w:rsid w:val="00B10259"/>
    <w:rsid w:val="00B105E3"/>
    <w:rsid w:val="00B10712"/>
    <w:rsid w:val="00B10736"/>
    <w:rsid w:val="00B10737"/>
    <w:rsid w:val="00B1075E"/>
    <w:rsid w:val="00B1082F"/>
    <w:rsid w:val="00B10AA1"/>
    <w:rsid w:val="00B10B61"/>
    <w:rsid w:val="00B10BC1"/>
    <w:rsid w:val="00B10F57"/>
    <w:rsid w:val="00B111B9"/>
    <w:rsid w:val="00B112AE"/>
    <w:rsid w:val="00B113D3"/>
    <w:rsid w:val="00B1165E"/>
    <w:rsid w:val="00B116A4"/>
    <w:rsid w:val="00B117FD"/>
    <w:rsid w:val="00B1195A"/>
    <w:rsid w:val="00B11973"/>
    <w:rsid w:val="00B119FA"/>
    <w:rsid w:val="00B11A4D"/>
    <w:rsid w:val="00B11ADF"/>
    <w:rsid w:val="00B11AE8"/>
    <w:rsid w:val="00B11E21"/>
    <w:rsid w:val="00B11EBD"/>
    <w:rsid w:val="00B11F52"/>
    <w:rsid w:val="00B1200D"/>
    <w:rsid w:val="00B123A3"/>
    <w:rsid w:val="00B123F9"/>
    <w:rsid w:val="00B12494"/>
    <w:rsid w:val="00B12533"/>
    <w:rsid w:val="00B1257A"/>
    <w:rsid w:val="00B12669"/>
    <w:rsid w:val="00B126D7"/>
    <w:rsid w:val="00B127DC"/>
    <w:rsid w:val="00B128BF"/>
    <w:rsid w:val="00B128F7"/>
    <w:rsid w:val="00B1292A"/>
    <w:rsid w:val="00B12A9E"/>
    <w:rsid w:val="00B12C15"/>
    <w:rsid w:val="00B12CCA"/>
    <w:rsid w:val="00B12DC4"/>
    <w:rsid w:val="00B12E28"/>
    <w:rsid w:val="00B12E5E"/>
    <w:rsid w:val="00B13098"/>
    <w:rsid w:val="00B130F7"/>
    <w:rsid w:val="00B1324D"/>
    <w:rsid w:val="00B13284"/>
    <w:rsid w:val="00B13320"/>
    <w:rsid w:val="00B13571"/>
    <w:rsid w:val="00B13A48"/>
    <w:rsid w:val="00B13B70"/>
    <w:rsid w:val="00B13BF7"/>
    <w:rsid w:val="00B13DC4"/>
    <w:rsid w:val="00B14016"/>
    <w:rsid w:val="00B143A5"/>
    <w:rsid w:val="00B14564"/>
    <w:rsid w:val="00B14681"/>
    <w:rsid w:val="00B1471A"/>
    <w:rsid w:val="00B148D7"/>
    <w:rsid w:val="00B14913"/>
    <w:rsid w:val="00B1492F"/>
    <w:rsid w:val="00B14B32"/>
    <w:rsid w:val="00B14B66"/>
    <w:rsid w:val="00B14C27"/>
    <w:rsid w:val="00B14C3F"/>
    <w:rsid w:val="00B14C45"/>
    <w:rsid w:val="00B14C59"/>
    <w:rsid w:val="00B14CCB"/>
    <w:rsid w:val="00B14DC9"/>
    <w:rsid w:val="00B14E43"/>
    <w:rsid w:val="00B14E8D"/>
    <w:rsid w:val="00B14F76"/>
    <w:rsid w:val="00B1500D"/>
    <w:rsid w:val="00B1502D"/>
    <w:rsid w:val="00B1508F"/>
    <w:rsid w:val="00B15093"/>
    <w:rsid w:val="00B15234"/>
    <w:rsid w:val="00B15321"/>
    <w:rsid w:val="00B153DA"/>
    <w:rsid w:val="00B1548F"/>
    <w:rsid w:val="00B15559"/>
    <w:rsid w:val="00B15A13"/>
    <w:rsid w:val="00B15C25"/>
    <w:rsid w:val="00B15DCC"/>
    <w:rsid w:val="00B15E29"/>
    <w:rsid w:val="00B15F7F"/>
    <w:rsid w:val="00B15F9E"/>
    <w:rsid w:val="00B15FD8"/>
    <w:rsid w:val="00B15FDC"/>
    <w:rsid w:val="00B15FF7"/>
    <w:rsid w:val="00B160A8"/>
    <w:rsid w:val="00B160BA"/>
    <w:rsid w:val="00B16318"/>
    <w:rsid w:val="00B163B6"/>
    <w:rsid w:val="00B1642A"/>
    <w:rsid w:val="00B1642F"/>
    <w:rsid w:val="00B164A4"/>
    <w:rsid w:val="00B16526"/>
    <w:rsid w:val="00B165AE"/>
    <w:rsid w:val="00B16675"/>
    <w:rsid w:val="00B16700"/>
    <w:rsid w:val="00B1683E"/>
    <w:rsid w:val="00B168C0"/>
    <w:rsid w:val="00B16913"/>
    <w:rsid w:val="00B16B14"/>
    <w:rsid w:val="00B16B1A"/>
    <w:rsid w:val="00B16B4E"/>
    <w:rsid w:val="00B16C2D"/>
    <w:rsid w:val="00B16E1E"/>
    <w:rsid w:val="00B16ED2"/>
    <w:rsid w:val="00B16FA5"/>
    <w:rsid w:val="00B17111"/>
    <w:rsid w:val="00B171B3"/>
    <w:rsid w:val="00B17310"/>
    <w:rsid w:val="00B175EE"/>
    <w:rsid w:val="00B1766D"/>
    <w:rsid w:val="00B176D6"/>
    <w:rsid w:val="00B1786E"/>
    <w:rsid w:val="00B179AB"/>
    <w:rsid w:val="00B17A99"/>
    <w:rsid w:val="00B17BBE"/>
    <w:rsid w:val="00B17C3C"/>
    <w:rsid w:val="00B17C44"/>
    <w:rsid w:val="00B17DE6"/>
    <w:rsid w:val="00B17F11"/>
    <w:rsid w:val="00B17F34"/>
    <w:rsid w:val="00B201DA"/>
    <w:rsid w:val="00B2020A"/>
    <w:rsid w:val="00B2030A"/>
    <w:rsid w:val="00B2050F"/>
    <w:rsid w:val="00B205CC"/>
    <w:rsid w:val="00B20601"/>
    <w:rsid w:val="00B20628"/>
    <w:rsid w:val="00B20870"/>
    <w:rsid w:val="00B20915"/>
    <w:rsid w:val="00B2096C"/>
    <w:rsid w:val="00B209A5"/>
    <w:rsid w:val="00B20A94"/>
    <w:rsid w:val="00B20B52"/>
    <w:rsid w:val="00B20C45"/>
    <w:rsid w:val="00B20C4A"/>
    <w:rsid w:val="00B20D2C"/>
    <w:rsid w:val="00B21081"/>
    <w:rsid w:val="00B213D8"/>
    <w:rsid w:val="00B21598"/>
    <w:rsid w:val="00B21821"/>
    <w:rsid w:val="00B21839"/>
    <w:rsid w:val="00B218EB"/>
    <w:rsid w:val="00B21984"/>
    <w:rsid w:val="00B21C7C"/>
    <w:rsid w:val="00B21D33"/>
    <w:rsid w:val="00B21F10"/>
    <w:rsid w:val="00B22067"/>
    <w:rsid w:val="00B2206D"/>
    <w:rsid w:val="00B2229F"/>
    <w:rsid w:val="00B2280F"/>
    <w:rsid w:val="00B22814"/>
    <w:rsid w:val="00B22998"/>
    <w:rsid w:val="00B22A09"/>
    <w:rsid w:val="00B22AC0"/>
    <w:rsid w:val="00B22D1E"/>
    <w:rsid w:val="00B22D8D"/>
    <w:rsid w:val="00B22E36"/>
    <w:rsid w:val="00B22EB5"/>
    <w:rsid w:val="00B23072"/>
    <w:rsid w:val="00B23336"/>
    <w:rsid w:val="00B23672"/>
    <w:rsid w:val="00B23682"/>
    <w:rsid w:val="00B237AB"/>
    <w:rsid w:val="00B2385C"/>
    <w:rsid w:val="00B23925"/>
    <w:rsid w:val="00B23E2F"/>
    <w:rsid w:val="00B23FDC"/>
    <w:rsid w:val="00B241C3"/>
    <w:rsid w:val="00B24450"/>
    <w:rsid w:val="00B24453"/>
    <w:rsid w:val="00B2461C"/>
    <w:rsid w:val="00B247D5"/>
    <w:rsid w:val="00B24A43"/>
    <w:rsid w:val="00B24B4B"/>
    <w:rsid w:val="00B24B99"/>
    <w:rsid w:val="00B24EEC"/>
    <w:rsid w:val="00B24FC2"/>
    <w:rsid w:val="00B25087"/>
    <w:rsid w:val="00B25130"/>
    <w:rsid w:val="00B2515C"/>
    <w:rsid w:val="00B25528"/>
    <w:rsid w:val="00B255B7"/>
    <w:rsid w:val="00B2561F"/>
    <w:rsid w:val="00B2570C"/>
    <w:rsid w:val="00B25869"/>
    <w:rsid w:val="00B25896"/>
    <w:rsid w:val="00B258CB"/>
    <w:rsid w:val="00B25B5F"/>
    <w:rsid w:val="00B25C06"/>
    <w:rsid w:val="00B25CC4"/>
    <w:rsid w:val="00B25D64"/>
    <w:rsid w:val="00B25DA6"/>
    <w:rsid w:val="00B25EB7"/>
    <w:rsid w:val="00B26157"/>
    <w:rsid w:val="00B26429"/>
    <w:rsid w:val="00B2649F"/>
    <w:rsid w:val="00B2651E"/>
    <w:rsid w:val="00B2656D"/>
    <w:rsid w:val="00B266BC"/>
    <w:rsid w:val="00B268D7"/>
    <w:rsid w:val="00B268FE"/>
    <w:rsid w:val="00B26C21"/>
    <w:rsid w:val="00B26CA0"/>
    <w:rsid w:val="00B26D7C"/>
    <w:rsid w:val="00B26E3B"/>
    <w:rsid w:val="00B26F3F"/>
    <w:rsid w:val="00B26FC4"/>
    <w:rsid w:val="00B2701E"/>
    <w:rsid w:val="00B2715E"/>
    <w:rsid w:val="00B27385"/>
    <w:rsid w:val="00B2747C"/>
    <w:rsid w:val="00B274DE"/>
    <w:rsid w:val="00B275BA"/>
    <w:rsid w:val="00B27602"/>
    <w:rsid w:val="00B27638"/>
    <w:rsid w:val="00B27706"/>
    <w:rsid w:val="00B27840"/>
    <w:rsid w:val="00B27885"/>
    <w:rsid w:val="00B278EC"/>
    <w:rsid w:val="00B27929"/>
    <w:rsid w:val="00B27937"/>
    <w:rsid w:val="00B279F3"/>
    <w:rsid w:val="00B27B91"/>
    <w:rsid w:val="00B27C7B"/>
    <w:rsid w:val="00B27CA6"/>
    <w:rsid w:val="00B27CA7"/>
    <w:rsid w:val="00B27CAA"/>
    <w:rsid w:val="00B27CBE"/>
    <w:rsid w:val="00B27CC9"/>
    <w:rsid w:val="00B27DE7"/>
    <w:rsid w:val="00B27E75"/>
    <w:rsid w:val="00B301BC"/>
    <w:rsid w:val="00B302F8"/>
    <w:rsid w:val="00B3034D"/>
    <w:rsid w:val="00B30460"/>
    <w:rsid w:val="00B3096B"/>
    <w:rsid w:val="00B30C80"/>
    <w:rsid w:val="00B30EFC"/>
    <w:rsid w:val="00B30FA3"/>
    <w:rsid w:val="00B3101D"/>
    <w:rsid w:val="00B3106A"/>
    <w:rsid w:val="00B31174"/>
    <w:rsid w:val="00B311D3"/>
    <w:rsid w:val="00B31249"/>
    <w:rsid w:val="00B31278"/>
    <w:rsid w:val="00B312B5"/>
    <w:rsid w:val="00B314E7"/>
    <w:rsid w:val="00B314F9"/>
    <w:rsid w:val="00B3158A"/>
    <w:rsid w:val="00B3164E"/>
    <w:rsid w:val="00B31699"/>
    <w:rsid w:val="00B316F1"/>
    <w:rsid w:val="00B31787"/>
    <w:rsid w:val="00B319D9"/>
    <w:rsid w:val="00B31AA7"/>
    <w:rsid w:val="00B31AE1"/>
    <w:rsid w:val="00B31D82"/>
    <w:rsid w:val="00B32096"/>
    <w:rsid w:val="00B3209B"/>
    <w:rsid w:val="00B320DC"/>
    <w:rsid w:val="00B3233E"/>
    <w:rsid w:val="00B3240B"/>
    <w:rsid w:val="00B324A0"/>
    <w:rsid w:val="00B32587"/>
    <w:rsid w:val="00B325CC"/>
    <w:rsid w:val="00B326DF"/>
    <w:rsid w:val="00B328D2"/>
    <w:rsid w:val="00B32A37"/>
    <w:rsid w:val="00B32BDF"/>
    <w:rsid w:val="00B32C26"/>
    <w:rsid w:val="00B32EFA"/>
    <w:rsid w:val="00B32EFB"/>
    <w:rsid w:val="00B330C3"/>
    <w:rsid w:val="00B330E2"/>
    <w:rsid w:val="00B3319B"/>
    <w:rsid w:val="00B3324C"/>
    <w:rsid w:val="00B33521"/>
    <w:rsid w:val="00B3385D"/>
    <w:rsid w:val="00B339A4"/>
    <w:rsid w:val="00B339E4"/>
    <w:rsid w:val="00B33A78"/>
    <w:rsid w:val="00B33AE4"/>
    <w:rsid w:val="00B33B33"/>
    <w:rsid w:val="00B33BFF"/>
    <w:rsid w:val="00B33C35"/>
    <w:rsid w:val="00B33C80"/>
    <w:rsid w:val="00B33CF1"/>
    <w:rsid w:val="00B33D74"/>
    <w:rsid w:val="00B33EE8"/>
    <w:rsid w:val="00B33F11"/>
    <w:rsid w:val="00B34034"/>
    <w:rsid w:val="00B341A7"/>
    <w:rsid w:val="00B341F1"/>
    <w:rsid w:val="00B34258"/>
    <w:rsid w:val="00B3427D"/>
    <w:rsid w:val="00B3432F"/>
    <w:rsid w:val="00B3438F"/>
    <w:rsid w:val="00B34428"/>
    <w:rsid w:val="00B34442"/>
    <w:rsid w:val="00B34480"/>
    <w:rsid w:val="00B344E9"/>
    <w:rsid w:val="00B3456E"/>
    <w:rsid w:val="00B347A9"/>
    <w:rsid w:val="00B34817"/>
    <w:rsid w:val="00B349DD"/>
    <w:rsid w:val="00B34C0E"/>
    <w:rsid w:val="00B34E5E"/>
    <w:rsid w:val="00B34E6E"/>
    <w:rsid w:val="00B34F8C"/>
    <w:rsid w:val="00B350A6"/>
    <w:rsid w:val="00B3512A"/>
    <w:rsid w:val="00B35153"/>
    <w:rsid w:val="00B35189"/>
    <w:rsid w:val="00B351B4"/>
    <w:rsid w:val="00B352AF"/>
    <w:rsid w:val="00B35363"/>
    <w:rsid w:val="00B3556A"/>
    <w:rsid w:val="00B3569B"/>
    <w:rsid w:val="00B358A2"/>
    <w:rsid w:val="00B35A19"/>
    <w:rsid w:val="00B35A8B"/>
    <w:rsid w:val="00B35B0E"/>
    <w:rsid w:val="00B35B67"/>
    <w:rsid w:val="00B35BCF"/>
    <w:rsid w:val="00B35BD2"/>
    <w:rsid w:val="00B35CCC"/>
    <w:rsid w:val="00B35EF1"/>
    <w:rsid w:val="00B361E3"/>
    <w:rsid w:val="00B362CC"/>
    <w:rsid w:val="00B367FF"/>
    <w:rsid w:val="00B36841"/>
    <w:rsid w:val="00B36ABA"/>
    <w:rsid w:val="00B36BFC"/>
    <w:rsid w:val="00B36C0F"/>
    <w:rsid w:val="00B36CBB"/>
    <w:rsid w:val="00B37034"/>
    <w:rsid w:val="00B371C7"/>
    <w:rsid w:val="00B37285"/>
    <w:rsid w:val="00B37369"/>
    <w:rsid w:val="00B373C0"/>
    <w:rsid w:val="00B374E2"/>
    <w:rsid w:val="00B3780E"/>
    <w:rsid w:val="00B37859"/>
    <w:rsid w:val="00B378B7"/>
    <w:rsid w:val="00B37A1A"/>
    <w:rsid w:val="00B37BFF"/>
    <w:rsid w:val="00B37E68"/>
    <w:rsid w:val="00B400D7"/>
    <w:rsid w:val="00B40150"/>
    <w:rsid w:val="00B40192"/>
    <w:rsid w:val="00B40299"/>
    <w:rsid w:val="00B40350"/>
    <w:rsid w:val="00B40453"/>
    <w:rsid w:val="00B405FE"/>
    <w:rsid w:val="00B4070D"/>
    <w:rsid w:val="00B4079C"/>
    <w:rsid w:val="00B408E3"/>
    <w:rsid w:val="00B408F9"/>
    <w:rsid w:val="00B40AA3"/>
    <w:rsid w:val="00B40B0A"/>
    <w:rsid w:val="00B40EBF"/>
    <w:rsid w:val="00B41190"/>
    <w:rsid w:val="00B4119D"/>
    <w:rsid w:val="00B412AE"/>
    <w:rsid w:val="00B4138D"/>
    <w:rsid w:val="00B413D2"/>
    <w:rsid w:val="00B4176D"/>
    <w:rsid w:val="00B417FC"/>
    <w:rsid w:val="00B4180D"/>
    <w:rsid w:val="00B4186B"/>
    <w:rsid w:val="00B4189B"/>
    <w:rsid w:val="00B41931"/>
    <w:rsid w:val="00B4199F"/>
    <w:rsid w:val="00B41A8F"/>
    <w:rsid w:val="00B41B91"/>
    <w:rsid w:val="00B41CFC"/>
    <w:rsid w:val="00B41D21"/>
    <w:rsid w:val="00B41E88"/>
    <w:rsid w:val="00B41F39"/>
    <w:rsid w:val="00B41F8E"/>
    <w:rsid w:val="00B41FBE"/>
    <w:rsid w:val="00B42229"/>
    <w:rsid w:val="00B42359"/>
    <w:rsid w:val="00B4239B"/>
    <w:rsid w:val="00B423B1"/>
    <w:rsid w:val="00B42509"/>
    <w:rsid w:val="00B4267F"/>
    <w:rsid w:val="00B42680"/>
    <w:rsid w:val="00B426FB"/>
    <w:rsid w:val="00B427B4"/>
    <w:rsid w:val="00B42A42"/>
    <w:rsid w:val="00B42C88"/>
    <w:rsid w:val="00B42D55"/>
    <w:rsid w:val="00B42E45"/>
    <w:rsid w:val="00B43015"/>
    <w:rsid w:val="00B4309F"/>
    <w:rsid w:val="00B430C6"/>
    <w:rsid w:val="00B430DE"/>
    <w:rsid w:val="00B43226"/>
    <w:rsid w:val="00B43298"/>
    <w:rsid w:val="00B432BD"/>
    <w:rsid w:val="00B4364B"/>
    <w:rsid w:val="00B43812"/>
    <w:rsid w:val="00B43925"/>
    <w:rsid w:val="00B43957"/>
    <w:rsid w:val="00B43EA9"/>
    <w:rsid w:val="00B43F43"/>
    <w:rsid w:val="00B43F48"/>
    <w:rsid w:val="00B440B8"/>
    <w:rsid w:val="00B4418B"/>
    <w:rsid w:val="00B44303"/>
    <w:rsid w:val="00B4433B"/>
    <w:rsid w:val="00B44435"/>
    <w:rsid w:val="00B444EC"/>
    <w:rsid w:val="00B4463E"/>
    <w:rsid w:val="00B44866"/>
    <w:rsid w:val="00B44A14"/>
    <w:rsid w:val="00B44A1E"/>
    <w:rsid w:val="00B44B5D"/>
    <w:rsid w:val="00B44BC6"/>
    <w:rsid w:val="00B44DB3"/>
    <w:rsid w:val="00B44E9E"/>
    <w:rsid w:val="00B45014"/>
    <w:rsid w:val="00B450CF"/>
    <w:rsid w:val="00B452F6"/>
    <w:rsid w:val="00B45340"/>
    <w:rsid w:val="00B453D8"/>
    <w:rsid w:val="00B45599"/>
    <w:rsid w:val="00B4561E"/>
    <w:rsid w:val="00B4580E"/>
    <w:rsid w:val="00B4581A"/>
    <w:rsid w:val="00B45942"/>
    <w:rsid w:val="00B45BAF"/>
    <w:rsid w:val="00B45DE1"/>
    <w:rsid w:val="00B45E76"/>
    <w:rsid w:val="00B45F54"/>
    <w:rsid w:val="00B4607E"/>
    <w:rsid w:val="00B46143"/>
    <w:rsid w:val="00B46250"/>
    <w:rsid w:val="00B4647F"/>
    <w:rsid w:val="00B464C6"/>
    <w:rsid w:val="00B465A2"/>
    <w:rsid w:val="00B465AC"/>
    <w:rsid w:val="00B465D3"/>
    <w:rsid w:val="00B46637"/>
    <w:rsid w:val="00B466D4"/>
    <w:rsid w:val="00B46709"/>
    <w:rsid w:val="00B46732"/>
    <w:rsid w:val="00B46735"/>
    <w:rsid w:val="00B467D4"/>
    <w:rsid w:val="00B4686A"/>
    <w:rsid w:val="00B46943"/>
    <w:rsid w:val="00B469BF"/>
    <w:rsid w:val="00B46B99"/>
    <w:rsid w:val="00B46C14"/>
    <w:rsid w:val="00B46CEC"/>
    <w:rsid w:val="00B47077"/>
    <w:rsid w:val="00B47093"/>
    <w:rsid w:val="00B4725D"/>
    <w:rsid w:val="00B472E4"/>
    <w:rsid w:val="00B472F0"/>
    <w:rsid w:val="00B47377"/>
    <w:rsid w:val="00B47438"/>
    <w:rsid w:val="00B47510"/>
    <w:rsid w:val="00B476BC"/>
    <w:rsid w:val="00B47875"/>
    <w:rsid w:val="00B47879"/>
    <w:rsid w:val="00B4796F"/>
    <w:rsid w:val="00B479D0"/>
    <w:rsid w:val="00B47DA6"/>
    <w:rsid w:val="00B47F5D"/>
    <w:rsid w:val="00B5000A"/>
    <w:rsid w:val="00B500A8"/>
    <w:rsid w:val="00B50186"/>
    <w:rsid w:val="00B50269"/>
    <w:rsid w:val="00B503E0"/>
    <w:rsid w:val="00B50424"/>
    <w:rsid w:val="00B50454"/>
    <w:rsid w:val="00B50552"/>
    <w:rsid w:val="00B50718"/>
    <w:rsid w:val="00B50A93"/>
    <w:rsid w:val="00B50AE1"/>
    <w:rsid w:val="00B50BF5"/>
    <w:rsid w:val="00B50D97"/>
    <w:rsid w:val="00B510CF"/>
    <w:rsid w:val="00B510D9"/>
    <w:rsid w:val="00B511A5"/>
    <w:rsid w:val="00B513FC"/>
    <w:rsid w:val="00B514E0"/>
    <w:rsid w:val="00B5157F"/>
    <w:rsid w:val="00B51B3B"/>
    <w:rsid w:val="00B51CC8"/>
    <w:rsid w:val="00B51DAC"/>
    <w:rsid w:val="00B51FB3"/>
    <w:rsid w:val="00B52119"/>
    <w:rsid w:val="00B522DF"/>
    <w:rsid w:val="00B52354"/>
    <w:rsid w:val="00B5237D"/>
    <w:rsid w:val="00B52409"/>
    <w:rsid w:val="00B52892"/>
    <w:rsid w:val="00B52980"/>
    <w:rsid w:val="00B529ED"/>
    <w:rsid w:val="00B52AD8"/>
    <w:rsid w:val="00B52CDA"/>
    <w:rsid w:val="00B52FAE"/>
    <w:rsid w:val="00B53015"/>
    <w:rsid w:val="00B5314D"/>
    <w:rsid w:val="00B53164"/>
    <w:rsid w:val="00B534C4"/>
    <w:rsid w:val="00B534E5"/>
    <w:rsid w:val="00B535F6"/>
    <w:rsid w:val="00B53660"/>
    <w:rsid w:val="00B53890"/>
    <w:rsid w:val="00B53BCE"/>
    <w:rsid w:val="00B53BDF"/>
    <w:rsid w:val="00B53CF0"/>
    <w:rsid w:val="00B53E4A"/>
    <w:rsid w:val="00B54099"/>
    <w:rsid w:val="00B540D1"/>
    <w:rsid w:val="00B54213"/>
    <w:rsid w:val="00B5430D"/>
    <w:rsid w:val="00B5454F"/>
    <w:rsid w:val="00B54592"/>
    <w:rsid w:val="00B54674"/>
    <w:rsid w:val="00B54702"/>
    <w:rsid w:val="00B54764"/>
    <w:rsid w:val="00B54B00"/>
    <w:rsid w:val="00B54E18"/>
    <w:rsid w:val="00B54EB3"/>
    <w:rsid w:val="00B54F1B"/>
    <w:rsid w:val="00B54F40"/>
    <w:rsid w:val="00B552BB"/>
    <w:rsid w:val="00B55411"/>
    <w:rsid w:val="00B55604"/>
    <w:rsid w:val="00B55642"/>
    <w:rsid w:val="00B55704"/>
    <w:rsid w:val="00B55756"/>
    <w:rsid w:val="00B559CF"/>
    <w:rsid w:val="00B55A3E"/>
    <w:rsid w:val="00B55C95"/>
    <w:rsid w:val="00B55D01"/>
    <w:rsid w:val="00B55ED7"/>
    <w:rsid w:val="00B55F6A"/>
    <w:rsid w:val="00B560E4"/>
    <w:rsid w:val="00B5628B"/>
    <w:rsid w:val="00B5628F"/>
    <w:rsid w:val="00B56298"/>
    <w:rsid w:val="00B5630D"/>
    <w:rsid w:val="00B563AA"/>
    <w:rsid w:val="00B5652F"/>
    <w:rsid w:val="00B56683"/>
    <w:rsid w:val="00B56886"/>
    <w:rsid w:val="00B56BF4"/>
    <w:rsid w:val="00B56C98"/>
    <w:rsid w:val="00B56E9F"/>
    <w:rsid w:val="00B56EFE"/>
    <w:rsid w:val="00B57098"/>
    <w:rsid w:val="00B57269"/>
    <w:rsid w:val="00B5730E"/>
    <w:rsid w:val="00B5748F"/>
    <w:rsid w:val="00B574D8"/>
    <w:rsid w:val="00B57543"/>
    <w:rsid w:val="00B576DF"/>
    <w:rsid w:val="00B57868"/>
    <w:rsid w:val="00B57A2A"/>
    <w:rsid w:val="00B57B77"/>
    <w:rsid w:val="00B57C16"/>
    <w:rsid w:val="00B57CAF"/>
    <w:rsid w:val="00B57D41"/>
    <w:rsid w:val="00B57E53"/>
    <w:rsid w:val="00B57F42"/>
    <w:rsid w:val="00B57F5C"/>
    <w:rsid w:val="00B6003D"/>
    <w:rsid w:val="00B601D4"/>
    <w:rsid w:val="00B601D5"/>
    <w:rsid w:val="00B6023D"/>
    <w:rsid w:val="00B6034F"/>
    <w:rsid w:val="00B603F1"/>
    <w:rsid w:val="00B60448"/>
    <w:rsid w:val="00B60498"/>
    <w:rsid w:val="00B60559"/>
    <w:rsid w:val="00B606D8"/>
    <w:rsid w:val="00B60728"/>
    <w:rsid w:val="00B6081A"/>
    <w:rsid w:val="00B609C4"/>
    <w:rsid w:val="00B60EC2"/>
    <w:rsid w:val="00B60FC3"/>
    <w:rsid w:val="00B611F2"/>
    <w:rsid w:val="00B6139C"/>
    <w:rsid w:val="00B6140E"/>
    <w:rsid w:val="00B6164A"/>
    <w:rsid w:val="00B61651"/>
    <w:rsid w:val="00B61AD6"/>
    <w:rsid w:val="00B61E8B"/>
    <w:rsid w:val="00B61ECE"/>
    <w:rsid w:val="00B61F3C"/>
    <w:rsid w:val="00B62092"/>
    <w:rsid w:val="00B6216F"/>
    <w:rsid w:val="00B62184"/>
    <w:rsid w:val="00B622A4"/>
    <w:rsid w:val="00B622DA"/>
    <w:rsid w:val="00B62483"/>
    <w:rsid w:val="00B624CE"/>
    <w:rsid w:val="00B62811"/>
    <w:rsid w:val="00B628EF"/>
    <w:rsid w:val="00B62929"/>
    <w:rsid w:val="00B62935"/>
    <w:rsid w:val="00B629B7"/>
    <w:rsid w:val="00B62BD2"/>
    <w:rsid w:val="00B62E91"/>
    <w:rsid w:val="00B634FF"/>
    <w:rsid w:val="00B63524"/>
    <w:rsid w:val="00B63548"/>
    <w:rsid w:val="00B635A6"/>
    <w:rsid w:val="00B635D9"/>
    <w:rsid w:val="00B638BC"/>
    <w:rsid w:val="00B63940"/>
    <w:rsid w:val="00B63996"/>
    <w:rsid w:val="00B63A73"/>
    <w:rsid w:val="00B63B00"/>
    <w:rsid w:val="00B63C73"/>
    <w:rsid w:val="00B63CC3"/>
    <w:rsid w:val="00B63E0F"/>
    <w:rsid w:val="00B63EFD"/>
    <w:rsid w:val="00B640EE"/>
    <w:rsid w:val="00B641D8"/>
    <w:rsid w:val="00B64221"/>
    <w:rsid w:val="00B64251"/>
    <w:rsid w:val="00B64405"/>
    <w:rsid w:val="00B6455B"/>
    <w:rsid w:val="00B645E3"/>
    <w:rsid w:val="00B6482D"/>
    <w:rsid w:val="00B648A8"/>
    <w:rsid w:val="00B649BE"/>
    <w:rsid w:val="00B64B44"/>
    <w:rsid w:val="00B64B9A"/>
    <w:rsid w:val="00B64CE2"/>
    <w:rsid w:val="00B64D87"/>
    <w:rsid w:val="00B64E62"/>
    <w:rsid w:val="00B6500D"/>
    <w:rsid w:val="00B65286"/>
    <w:rsid w:val="00B6530A"/>
    <w:rsid w:val="00B65353"/>
    <w:rsid w:val="00B654B9"/>
    <w:rsid w:val="00B654C6"/>
    <w:rsid w:val="00B65633"/>
    <w:rsid w:val="00B657BD"/>
    <w:rsid w:val="00B65958"/>
    <w:rsid w:val="00B65B1D"/>
    <w:rsid w:val="00B65EAE"/>
    <w:rsid w:val="00B65F31"/>
    <w:rsid w:val="00B6619F"/>
    <w:rsid w:val="00B66296"/>
    <w:rsid w:val="00B662E3"/>
    <w:rsid w:val="00B662EF"/>
    <w:rsid w:val="00B663CA"/>
    <w:rsid w:val="00B6693E"/>
    <w:rsid w:val="00B66A62"/>
    <w:rsid w:val="00B66BAC"/>
    <w:rsid w:val="00B66C4B"/>
    <w:rsid w:val="00B66E91"/>
    <w:rsid w:val="00B66EA8"/>
    <w:rsid w:val="00B67130"/>
    <w:rsid w:val="00B671B6"/>
    <w:rsid w:val="00B671D7"/>
    <w:rsid w:val="00B67317"/>
    <w:rsid w:val="00B67342"/>
    <w:rsid w:val="00B67373"/>
    <w:rsid w:val="00B67433"/>
    <w:rsid w:val="00B67462"/>
    <w:rsid w:val="00B674EA"/>
    <w:rsid w:val="00B674ED"/>
    <w:rsid w:val="00B676C7"/>
    <w:rsid w:val="00B676FD"/>
    <w:rsid w:val="00B67AE3"/>
    <w:rsid w:val="00B67BFD"/>
    <w:rsid w:val="00B67D7A"/>
    <w:rsid w:val="00B67E79"/>
    <w:rsid w:val="00B67EA2"/>
    <w:rsid w:val="00B67F2F"/>
    <w:rsid w:val="00B67FC0"/>
    <w:rsid w:val="00B70027"/>
    <w:rsid w:val="00B70080"/>
    <w:rsid w:val="00B70162"/>
    <w:rsid w:val="00B701DB"/>
    <w:rsid w:val="00B703A2"/>
    <w:rsid w:val="00B704EF"/>
    <w:rsid w:val="00B7067C"/>
    <w:rsid w:val="00B7086F"/>
    <w:rsid w:val="00B70920"/>
    <w:rsid w:val="00B70966"/>
    <w:rsid w:val="00B70B84"/>
    <w:rsid w:val="00B70B92"/>
    <w:rsid w:val="00B70C1D"/>
    <w:rsid w:val="00B70C8A"/>
    <w:rsid w:val="00B70CA7"/>
    <w:rsid w:val="00B70F9B"/>
    <w:rsid w:val="00B71189"/>
    <w:rsid w:val="00B711EF"/>
    <w:rsid w:val="00B71236"/>
    <w:rsid w:val="00B71A1D"/>
    <w:rsid w:val="00B71D08"/>
    <w:rsid w:val="00B71D1E"/>
    <w:rsid w:val="00B71D30"/>
    <w:rsid w:val="00B71E79"/>
    <w:rsid w:val="00B71FD0"/>
    <w:rsid w:val="00B72173"/>
    <w:rsid w:val="00B7217D"/>
    <w:rsid w:val="00B7238D"/>
    <w:rsid w:val="00B7244E"/>
    <w:rsid w:val="00B724B0"/>
    <w:rsid w:val="00B724EA"/>
    <w:rsid w:val="00B726E9"/>
    <w:rsid w:val="00B728C1"/>
    <w:rsid w:val="00B72AAB"/>
    <w:rsid w:val="00B72ACB"/>
    <w:rsid w:val="00B72D92"/>
    <w:rsid w:val="00B72DE7"/>
    <w:rsid w:val="00B72E17"/>
    <w:rsid w:val="00B72EF9"/>
    <w:rsid w:val="00B72F73"/>
    <w:rsid w:val="00B730ED"/>
    <w:rsid w:val="00B731B6"/>
    <w:rsid w:val="00B731D9"/>
    <w:rsid w:val="00B7339E"/>
    <w:rsid w:val="00B733DA"/>
    <w:rsid w:val="00B73472"/>
    <w:rsid w:val="00B734C3"/>
    <w:rsid w:val="00B7357D"/>
    <w:rsid w:val="00B736A7"/>
    <w:rsid w:val="00B736CB"/>
    <w:rsid w:val="00B737E7"/>
    <w:rsid w:val="00B739D1"/>
    <w:rsid w:val="00B739DA"/>
    <w:rsid w:val="00B73C87"/>
    <w:rsid w:val="00B73CD7"/>
    <w:rsid w:val="00B73CDE"/>
    <w:rsid w:val="00B73DEB"/>
    <w:rsid w:val="00B73EC0"/>
    <w:rsid w:val="00B73FB7"/>
    <w:rsid w:val="00B741F0"/>
    <w:rsid w:val="00B742D9"/>
    <w:rsid w:val="00B742E4"/>
    <w:rsid w:val="00B74332"/>
    <w:rsid w:val="00B743AF"/>
    <w:rsid w:val="00B743CB"/>
    <w:rsid w:val="00B745C8"/>
    <w:rsid w:val="00B74629"/>
    <w:rsid w:val="00B7466C"/>
    <w:rsid w:val="00B7488A"/>
    <w:rsid w:val="00B74909"/>
    <w:rsid w:val="00B74AAA"/>
    <w:rsid w:val="00B74AB7"/>
    <w:rsid w:val="00B74ABC"/>
    <w:rsid w:val="00B74AC5"/>
    <w:rsid w:val="00B74B61"/>
    <w:rsid w:val="00B74B85"/>
    <w:rsid w:val="00B74CAD"/>
    <w:rsid w:val="00B74CBB"/>
    <w:rsid w:val="00B74D92"/>
    <w:rsid w:val="00B7508F"/>
    <w:rsid w:val="00B75135"/>
    <w:rsid w:val="00B753B3"/>
    <w:rsid w:val="00B753CA"/>
    <w:rsid w:val="00B755BC"/>
    <w:rsid w:val="00B756BB"/>
    <w:rsid w:val="00B75731"/>
    <w:rsid w:val="00B75879"/>
    <w:rsid w:val="00B758A8"/>
    <w:rsid w:val="00B75B84"/>
    <w:rsid w:val="00B75BD5"/>
    <w:rsid w:val="00B75C46"/>
    <w:rsid w:val="00B75C85"/>
    <w:rsid w:val="00B75E35"/>
    <w:rsid w:val="00B75F5E"/>
    <w:rsid w:val="00B76020"/>
    <w:rsid w:val="00B76033"/>
    <w:rsid w:val="00B765D0"/>
    <w:rsid w:val="00B7692D"/>
    <w:rsid w:val="00B76CB8"/>
    <w:rsid w:val="00B76E1B"/>
    <w:rsid w:val="00B76E5B"/>
    <w:rsid w:val="00B76E8F"/>
    <w:rsid w:val="00B76EDA"/>
    <w:rsid w:val="00B76F8D"/>
    <w:rsid w:val="00B7744C"/>
    <w:rsid w:val="00B77657"/>
    <w:rsid w:val="00B77665"/>
    <w:rsid w:val="00B77700"/>
    <w:rsid w:val="00B7774D"/>
    <w:rsid w:val="00B778B7"/>
    <w:rsid w:val="00B7795E"/>
    <w:rsid w:val="00B77AE5"/>
    <w:rsid w:val="00B77B5A"/>
    <w:rsid w:val="00B77D9A"/>
    <w:rsid w:val="00B77DFF"/>
    <w:rsid w:val="00B77F26"/>
    <w:rsid w:val="00B77F9D"/>
    <w:rsid w:val="00B77FB4"/>
    <w:rsid w:val="00B801A4"/>
    <w:rsid w:val="00B8021C"/>
    <w:rsid w:val="00B802EC"/>
    <w:rsid w:val="00B80332"/>
    <w:rsid w:val="00B803A8"/>
    <w:rsid w:val="00B8062B"/>
    <w:rsid w:val="00B80740"/>
    <w:rsid w:val="00B8089D"/>
    <w:rsid w:val="00B809E3"/>
    <w:rsid w:val="00B80B37"/>
    <w:rsid w:val="00B80D39"/>
    <w:rsid w:val="00B80DA6"/>
    <w:rsid w:val="00B80DF6"/>
    <w:rsid w:val="00B80E1D"/>
    <w:rsid w:val="00B80ECD"/>
    <w:rsid w:val="00B81018"/>
    <w:rsid w:val="00B811AC"/>
    <w:rsid w:val="00B812AA"/>
    <w:rsid w:val="00B81313"/>
    <w:rsid w:val="00B81328"/>
    <w:rsid w:val="00B813AD"/>
    <w:rsid w:val="00B8151F"/>
    <w:rsid w:val="00B8164E"/>
    <w:rsid w:val="00B81722"/>
    <w:rsid w:val="00B81A51"/>
    <w:rsid w:val="00B81B4D"/>
    <w:rsid w:val="00B81BCA"/>
    <w:rsid w:val="00B81C0C"/>
    <w:rsid w:val="00B81C33"/>
    <w:rsid w:val="00B81EA4"/>
    <w:rsid w:val="00B81FB7"/>
    <w:rsid w:val="00B822E3"/>
    <w:rsid w:val="00B8240F"/>
    <w:rsid w:val="00B824D5"/>
    <w:rsid w:val="00B826D4"/>
    <w:rsid w:val="00B826D9"/>
    <w:rsid w:val="00B8277D"/>
    <w:rsid w:val="00B8286B"/>
    <w:rsid w:val="00B82964"/>
    <w:rsid w:val="00B82C97"/>
    <w:rsid w:val="00B82D28"/>
    <w:rsid w:val="00B82E38"/>
    <w:rsid w:val="00B82E4A"/>
    <w:rsid w:val="00B82EE0"/>
    <w:rsid w:val="00B82F34"/>
    <w:rsid w:val="00B82FE3"/>
    <w:rsid w:val="00B83019"/>
    <w:rsid w:val="00B830F2"/>
    <w:rsid w:val="00B832BA"/>
    <w:rsid w:val="00B83423"/>
    <w:rsid w:val="00B834E3"/>
    <w:rsid w:val="00B836B6"/>
    <w:rsid w:val="00B83763"/>
    <w:rsid w:val="00B837B1"/>
    <w:rsid w:val="00B8387B"/>
    <w:rsid w:val="00B83910"/>
    <w:rsid w:val="00B83B56"/>
    <w:rsid w:val="00B83B92"/>
    <w:rsid w:val="00B83C1B"/>
    <w:rsid w:val="00B83E3B"/>
    <w:rsid w:val="00B8401A"/>
    <w:rsid w:val="00B840F2"/>
    <w:rsid w:val="00B842C7"/>
    <w:rsid w:val="00B84408"/>
    <w:rsid w:val="00B84468"/>
    <w:rsid w:val="00B844D2"/>
    <w:rsid w:val="00B8459D"/>
    <w:rsid w:val="00B84692"/>
    <w:rsid w:val="00B84705"/>
    <w:rsid w:val="00B84708"/>
    <w:rsid w:val="00B8475A"/>
    <w:rsid w:val="00B847B5"/>
    <w:rsid w:val="00B8497C"/>
    <w:rsid w:val="00B84998"/>
    <w:rsid w:val="00B84C2D"/>
    <w:rsid w:val="00B84C86"/>
    <w:rsid w:val="00B84C8D"/>
    <w:rsid w:val="00B84F85"/>
    <w:rsid w:val="00B84F8C"/>
    <w:rsid w:val="00B850E9"/>
    <w:rsid w:val="00B85123"/>
    <w:rsid w:val="00B85135"/>
    <w:rsid w:val="00B851ED"/>
    <w:rsid w:val="00B852C1"/>
    <w:rsid w:val="00B855CB"/>
    <w:rsid w:val="00B856D6"/>
    <w:rsid w:val="00B8576F"/>
    <w:rsid w:val="00B857B5"/>
    <w:rsid w:val="00B858CD"/>
    <w:rsid w:val="00B8598E"/>
    <w:rsid w:val="00B85A1C"/>
    <w:rsid w:val="00B85AA8"/>
    <w:rsid w:val="00B85ACD"/>
    <w:rsid w:val="00B85CB0"/>
    <w:rsid w:val="00B85DF2"/>
    <w:rsid w:val="00B86191"/>
    <w:rsid w:val="00B86237"/>
    <w:rsid w:val="00B86469"/>
    <w:rsid w:val="00B8647C"/>
    <w:rsid w:val="00B8653D"/>
    <w:rsid w:val="00B865BB"/>
    <w:rsid w:val="00B8669B"/>
    <w:rsid w:val="00B867DE"/>
    <w:rsid w:val="00B869EF"/>
    <w:rsid w:val="00B86B85"/>
    <w:rsid w:val="00B86DC2"/>
    <w:rsid w:val="00B87098"/>
    <w:rsid w:val="00B870F7"/>
    <w:rsid w:val="00B872FA"/>
    <w:rsid w:val="00B8747A"/>
    <w:rsid w:val="00B87486"/>
    <w:rsid w:val="00B877BA"/>
    <w:rsid w:val="00B87A7E"/>
    <w:rsid w:val="00B87CFC"/>
    <w:rsid w:val="00B87E12"/>
    <w:rsid w:val="00B90062"/>
    <w:rsid w:val="00B90346"/>
    <w:rsid w:val="00B9046B"/>
    <w:rsid w:val="00B9052F"/>
    <w:rsid w:val="00B906C1"/>
    <w:rsid w:val="00B907DF"/>
    <w:rsid w:val="00B90806"/>
    <w:rsid w:val="00B9089F"/>
    <w:rsid w:val="00B90A34"/>
    <w:rsid w:val="00B90A8E"/>
    <w:rsid w:val="00B90C12"/>
    <w:rsid w:val="00B90C63"/>
    <w:rsid w:val="00B90D07"/>
    <w:rsid w:val="00B90FFB"/>
    <w:rsid w:val="00B9116A"/>
    <w:rsid w:val="00B911B7"/>
    <w:rsid w:val="00B911D6"/>
    <w:rsid w:val="00B911DD"/>
    <w:rsid w:val="00B9123A"/>
    <w:rsid w:val="00B91284"/>
    <w:rsid w:val="00B91304"/>
    <w:rsid w:val="00B91352"/>
    <w:rsid w:val="00B9136A"/>
    <w:rsid w:val="00B913B6"/>
    <w:rsid w:val="00B917B7"/>
    <w:rsid w:val="00B917CF"/>
    <w:rsid w:val="00B918B9"/>
    <w:rsid w:val="00B91948"/>
    <w:rsid w:val="00B9196C"/>
    <w:rsid w:val="00B91A0E"/>
    <w:rsid w:val="00B91A33"/>
    <w:rsid w:val="00B91AF1"/>
    <w:rsid w:val="00B91C1F"/>
    <w:rsid w:val="00B91C29"/>
    <w:rsid w:val="00B91C46"/>
    <w:rsid w:val="00B91CAD"/>
    <w:rsid w:val="00B91DDB"/>
    <w:rsid w:val="00B91EDB"/>
    <w:rsid w:val="00B91EF9"/>
    <w:rsid w:val="00B92015"/>
    <w:rsid w:val="00B92025"/>
    <w:rsid w:val="00B92061"/>
    <w:rsid w:val="00B92180"/>
    <w:rsid w:val="00B92272"/>
    <w:rsid w:val="00B9228E"/>
    <w:rsid w:val="00B92551"/>
    <w:rsid w:val="00B927BD"/>
    <w:rsid w:val="00B92A18"/>
    <w:rsid w:val="00B92B40"/>
    <w:rsid w:val="00B92D75"/>
    <w:rsid w:val="00B92E99"/>
    <w:rsid w:val="00B92F42"/>
    <w:rsid w:val="00B92F43"/>
    <w:rsid w:val="00B92FA4"/>
    <w:rsid w:val="00B93253"/>
    <w:rsid w:val="00B93321"/>
    <w:rsid w:val="00B9342D"/>
    <w:rsid w:val="00B9353D"/>
    <w:rsid w:val="00B9357A"/>
    <w:rsid w:val="00B93732"/>
    <w:rsid w:val="00B938D6"/>
    <w:rsid w:val="00B93A95"/>
    <w:rsid w:val="00B93C83"/>
    <w:rsid w:val="00B93E73"/>
    <w:rsid w:val="00B94080"/>
    <w:rsid w:val="00B94221"/>
    <w:rsid w:val="00B9459E"/>
    <w:rsid w:val="00B946CC"/>
    <w:rsid w:val="00B948D9"/>
    <w:rsid w:val="00B948DA"/>
    <w:rsid w:val="00B948ED"/>
    <w:rsid w:val="00B949C7"/>
    <w:rsid w:val="00B94B7C"/>
    <w:rsid w:val="00B94C86"/>
    <w:rsid w:val="00B94D25"/>
    <w:rsid w:val="00B94E67"/>
    <w:rsid w:val="00B94E7D"/>
    <w:rsid w:val="00B94F15"/>
    <w:rsid w:val="00B94F6B"/>
    <w:rsid w:val="00B94F9C"/>
    <w:rsid w:val="00B95013"/>
    <w:rsid w:val="00B9509F"/>
    <w:rsid w:val="00B950A4"/>
    <w:rsid w:val="00B95101"/>
    <w:rsid w:val="00B953BB"/>
    <w:rsid w:val="00B953BC"/>
    <w:rsid w:val="00B95443"/>
    <w:rsid w:val="00B954F8"/>
    <w:rsid w:val="00B9572E"/>
    <w:rsid w:val="00B9595C"/>
    <w:rsid w:val="00B95AB1"/>
    <w:rsid w:val="00B95ADA"/>
    <w:rsid w:val="00B95AEF"/>
    <w:rsid w:val="00B95BE2"/>
    <w:rsid w:val="00B95D5F"/>
    <w:rsid w:val="00B9605C"/>
    <w:rsid w:val="00B96123"/>
    <w:rsid w:val="00B96216"/>
    <w:rsid w:val="00B962BC"/>
    <w:rsid w:val="00B96332"/>
    <w:rsid w:val="00B9641F"/>
    <w:rsid w:val="00B966A7"/>
    <w:rsid w:val="00B966AC"/>
    <w:rsid w:val="00B96AF6"/>
    <w:rsid w:val="00B96C50"/>
    <w:rsid w:val="00B96CF2"/>
    <w:rsid w:val="00B96DB9"/>
    <w:rsid w:val="00B96E80"/>
    <w:rsid w:val="00B96EA5"/>
    <w:rsid w:val="00B971D7"/>
    <w:rsid w:val="00B9734A"/>
    <w:rsid w:val="00B97391"/>
    <w:rsid w:val="00B973D8"/>
    <w:rsid w:val="00B975A4"/>
    <w:rsid w:val="00B975EF"/>
    <w:rsid w:val="00B97628"/>
    <w:rsid w:val="00B97634"/>
    <w:rsid w:val="00B97653"/>
    <w:rsid w:val="00B97784"/>
    <w:rsid w:val="00B97D8A"/>
    <w:rsid w:val="00B97E29"/>
    <w:rsid w:val="00B97F09"/>
    <w:rsid w:val="00BA018F"/>
    <w:rsid w:val="00BA0667"/>
    <w:rsid w:val="00BA06E4"/>
    <w:rsid w:val="00BA08DE"/>
    <w:rsid w:val="00BA091A"/>
    <w:rsid w:val="00BA098E"/>
    <w:rsid w:val="00BA09DB"/>
    <w:rsid w:val="00BA0A96"/>
    <w:rsid w:val="00BA0D6C"/>
    <w:rsid w:val="00BA0DD8"/>
    <w:rsid w:val="00BA0FC0"/>
    <w:rsid w:val="00BA0FDC"/>
    <w:rsid w:val="00BA0FFB"/>
    <w:rsid w:val="00BA1061"/>
    <w:rsid w:val="00BA12B7"/>
    <w:rsid w:val="00BA12C9"/>
    <w:rsid w:val="00BA1339"/>
    <w:rsid w:val="00BA13EB"/>
    <w:rsid w:val="00BA16E8"/>
    <w:rsid w:val="00BA1761"/>
    <w:rsid w:val="00BA17DD"/>
    <w:rsid w:val="00BA19E4"/>
    <w:rsid w:val="00BA1AED"/>
    <w:rsid w:val="00BA1CF9"/>
    <w:rsid w:val="00BA1FB7"/>
    <w:rsid w:val="00BA21EE"/>
    <w:rsid w:val="00BA2298"/>
    <w:rsid w:val="00BA23DF"/>
    <w:rsid w:val="00BA245E"/>
    <w:rsid w:val="00BA258E"/>
    <w:rsid w:val="00BA281E"/>
    <w:rsid w:val="00BA2832"/>
    <w:rsid w:val="00BA2899"/>
    <w:rsid w:val="00BA28CB"/>
    <w:rsid w:val="00BA2954"/>
    <w:rsid w:val="00BA29C1"/>
    <w:rsid w:val="00BA2A03"/>
    <w:rsid w:val="00BA2A5C"/>
    <w:rsid w:val="00BA2BC6"/>
    <w:rsid w:val="00BA2C67"/>
    <w:rsid w:val="00BA2F86"/>
    <w:rsid w:val="00BA304B"/>
    <w:rsid w:val="00BA314F"/>
    <w:rsid w:val="00BA31B3"/>
    <w:rsid w:val="00BA31E9"/>
    <w:rsid w:val="00BA32B5"/>
    <w:rsid w:val="00BA334E"/>
    <w:rsid w:val="00BA3458"/>
    <w:rsid w:val="00BA3755"/>
    <w:rsid w:val="00BA37C9"/>
    <w:rsid w:val="00BA3858"/>
    <w:rsid w:val="00BA3A7D"/>
    <w:rsid w:val="00BA3C85"/>
    <w:rsid w:val="00BA3FEA"/>
    <w:rsid w:val="00BA42AA"/>
    <w:rsid w:val="00BA42DC"/>
    <w:rsid w:val="00BA4346"/>
    <w:rsid w:val="00BA438C"/>
    <w:rsid w:val="00BA438D"/>
    <w:rsid w:val="00BA4473"/>
    <w:rsid w:val="00BA46DC"/>
    <w:rsid w:val="00BA4987"/>
    <w:rsid w:val="00BA4AC8"/>
    <w:rsid w:val="00BA4B85"/>
    <w:rsid w:val="00BA501B"/>
    <w:rsid w:val="00BA5083"/>
    <w:rsid w:val="00BA5181"/>
    <w:rsid w:val="00BA52AE"/>
    <w:rsid w:val="00BA52E0"/>
    <w:rsid w:val="00BA53A3"/>
    <w:rsid w:val="00BA53B7"/>
    <w:rsid w:val="00BA5548"/>
    <w:rsid w:val="00BA590C"/>
    <w:rsid w:val="00BA5A54"/>
    <w:rsid w:val="00BA5B91"/>
    <w:rsid w:val="00BA5D48"/>
    <w:rsid w:val="00BA5EFB"/>
    <w:rsid w:val="00BA5F8E"/>
    <w:rsid w:val="00BA6143"/>
    <w:rsid w:val="00BA6152"/>
    <w:rsid w:val="00BA626B"/>
    <w:rsid w:val="00BA6306"/>
    <w:rsid w:val="00BA6315"/>
    <w:rsid w:val="00BA63A6"/>
    <w:rsid w:val="00BA63CC"/>
    <w:rsid w:val="00BA67D5"/>
    <w:rsid w:val="00BA68FA"/>
    <w:rsid w:val="00BA6C23"/>
    <w:rsid w:val="00BA6DE7"/>
    <w:rsid w:val="00BA700C"/>
    <w:rsid w:val="00BA7210"/>
    <w:rsid w:val="00BA7519"/>
    <w:rsid w:val="00BA75CA"/>
    <w:rsid w:val="00BA7693"/>
    <w:rsid w:val="00BA77D6"/>
    <w:rsid w:val="00BA77F2"/>
    <w:rsid w:val="00BA7A83"/>
    <w:rsid w:val="00BA7AA1"/>
    <w:rsid w:val="00BA7AC0"/>
    <w:rsid w:val="00BA7B0F"/>
    <w:rsid w:val="00BA7D8A"/>
    <w:rsid w:val="00BA7F08"/>
    <w:rsid w:val="00BA7F4E"/>
    <w:rsid w:val="00BA7FBF"/>
    <w:rsid w:val="00BB0021"/>
    <w:rsid w:val="00BB0130"/>
    <w:rsid w:val="00BB03F0"/>
    <w:rsid w:val="00BB049B"/>
    <w:rsid w:val="00BB05BF"/>
    <w:rsid w:val="00BB05F3"/>
    <w:rsid w:val="00BB06B8"/>
    <w:rsid w:val="00BB0A26"/>
    <w:rsid w:val="00BB0AED"/>
    <w:rsid w:val="00BB0B79"/>
    <w:rsid w:val="00BB0D97"/>
    <w:rsid w:val="00BB1209"/>
    <w:rsid w:val="00BB1273"/>
    <w:rsid w:val="00BB13D4"/>
    <w:rsid w:val="00BB14C6"/>
    <w:rsid w:val="00BB157F"/>
    <w:rsid w:val="00BB159D"/>
    <w:rsid w:val="00BB198E"/>
    <w:rsid w:val="00BB19D5"/>
    <w:rsid w:val="00BB1C3B"/>
    <w:rsid w:val="00BB1C80"/>
    <w:rsid w:val="00BB1CE7"/>
    <w:rsid w:val="00BB1DA0"/>
    <w:rsid w:val="00BB1DEC"/>
    <w:rsid w:val="00BB1F04"/>
    <w:rsid w:val="00BB1F84"/>
    <w:rsid w:val="00BB20C0"/>
    <w:rsid w:val="00BB22E6"/>
    <w:rsid w:val="00BB2507"/>
    <w:rsid w:val="00BB259C"/>
    <w:rsid w:val="00BB2602"/>
    <w:rsid w:val="00BB28B8"/>
    <w:rsid w:val="00BB2CBC"/>
    <w:rsid w:val="00BB2D74"/>
    <w:rsid w:val="00BB2F17"/>
    <w:rsid w:val="00BB2FCE"/>
    <w:rsid w:val="00BB2FE7"/>
    <w:rsid w:val="00BB2FE9"/>
    <w:rsid w:val="00BB30B2"/>
    <w:rsid w:val="00BB3355"/>
    <w:rsid w:val="00BB3757"/>
    <w:rsid w:val="00BB39E5"/>
    <w:rsid w:val="00BB3A93"/>
    <w:rsid w:val="00BB3ACB"/>
    <w:rsid w:val="00BB3AEE"/>
    <w:rsid w:val="00BB3D2C"/>
    <w:rsid w:val="00BB3EB5"/>
    <w:rsid w:val="00BB3FE5"/>
    <w:rsid w:val="00BB3FE6"/>
    <w:rsid w:val="00BB4085"/>
    <w:rsid w:val="00BB421D"/>
    <w:rsid w:val="00BB43A6"/>
    <w:rsid w:val="00BB44CC"/>
    <w:rsid w:val="00BB4720"/>
    <w:rsid w:val="00BB4791"/>
    <w:rsid w:val="00BB4865"/>
    <w:rsid w:val="00BB4959"/>
    <w:rsid w:val="00BB53CA"/>
    <w:rsid w:val="00BB55A8"/>
    <w:rsid w:val="00BB56DD"/>
    <w:rsid w:val="00BB5734"/>
    <w:rsid w:val="00BB57B7"/>
    <w:rsid w:val="00BB580A"/>
    <w:rsid w:val="00BB580E"/>
    <w:rsid w:val="00BB5923"/>
    <w:rsid w:val="00BB5CA8"/>
    <w:rsid w:val="00BB5E29"/>
    <w:rsid w:val="00BB5ED8"/>
    <w:rsid w:val="00BB5EE7"/>
    <w:rsid w:val="00BB5EF0"/>
    <w:rsid w:val="00BB62C0"/>
    <w:rsid w:val="00BB62E4"/>
    <w:rsid w:val="00BB6B00"/>
    <w:rsid w:val="00BB6B1B"/>
    <w:rsid w:val="00BB6B46"/>
    <w:rsid w:val="00BB6C51"/>
    <w:rsid w:val="00BB6C86"/>
    <w:rsid w:val="00BB6CCD"/>
    <w:rsid w:val="00BB6D27"/>
    <w:rsid w:val="00BB6DC8"/>
    <w:rsid w:val="00BB6E22"/>
    <w:rsid w:val="00BB6EC0"/>
    <w:rsid w:val="00BB6FBD"/>
    <w:rsid w:val="00BB7098"/>
    <w:rsid w:val="00BB7638"/>
    <w:rsid w:val="00BB79F2"/>
    <w:rsid w:val="00BB7A62"/>
    <w:rsid w:val="00BB7AC5"/>
    <w:rsid w:val="00BB7B13"/>
    <w:rsid w:val="00BB7D5F"/>
    <w:rsid w:val="00BB7DA6"/>
    <w:rsid w:val="00BB7EF1"/>
    <w:rsid w:val="00BB7FFD"/>
    <w:rsid w:val="00BC015D"/>
    <w:rsid w:val="00BC01DD"/>
    <w:rsid w:val="00BC029C"/>
    <w:rsid w:val="00BC0516"/>
    <w:rsid w:val="00BC0646"/>
    <w:rsid w:val="00BC0657"/>
    <w:rsid w:val="00BC0915"/>
    <w:rsid w:val="00BC093B"/>
    <w:rsid w:val="00BC094F"/>
    <w:rsid w:val="00BC0D9D"/>
    <w:rsid w:val="00BC1080"/>
    <w:rsid w:val="00BC10DE"/>
    <w:rsid w:val="00BC1101"/>
    <w:rsid w:val="00BC1171"/>
    <w:rsid w:val="00BC1261"/>
    <w:rsid w:val="00BC12E9"/>
    <w:rsid w:val="00BC1463"/>
    <w:rsid w:val="00BC1511"/>
    <w:rsid w:val="00BC16B0"/>
    <w:rsid w:val="00BC17AB"/>
    <w:rsid w:val="00BC18D5"/>
    <w:rsid w:val="00BC1926"/>
    <w:rsid w:val="00BC1AA6"/>
    <w:rsid w:val="00BC1C0E"/>
    <w:rsid w:val="00BC1C9C"/>
    <w:rsid w:val="00BC1DC3"/>
    <w:rsid w:val="00BC1FBA"/>
    <w:rsid w:val="00BC21DC"/>
    <w:rsid w:val="00BC22C5"/>
    <w:rsid w:val="00BC24FE"/>
    <w:rsid w:val="00BC2560"/>
    <w:rsid w:val="00BC2623"/>
    <w:rsid w:val="00BC263E"/>
    <w:rsid w:val="00BC26D2"/>
    <w:rsid w:val="00BC26D5"/>
    <w:rsid w:val="00BC28A2"/>
    <w:rsid w:val="00BC296E"/>
    <w:rsid w:val="00BC29D3"/>
    <w:rsid w:val="00BC2AB2"/>
    <w:rsid w:val="00BC2B78"/>
    <w:rsid w:val="00BC2D66"/>
    <w:rsid w:val="00BC2E18"/>
    <w:rsid w:val="00BC2F82"/>
    <w:rsid w:val="00BC318B"/>
    <w:rsid w:val="00BC3395"/>
    <w:rsid w:val="00BC339A"/>
    <w:rsid w:val="00BC3421"/>
    <w:rsid w:val="00BC34DA"/>
    <w:rsid w:val="00BC3633"/>
    <w:rsid w:val="00BC364C"/>
    <w:rsid w:val="00BC38A2"/>
    <w:rsid w:val="00BC38BE"/>
    <w:rsid w:val="00BC3B1A"/>
    <w:rsid w:val="00BC3D57"/>
    <w:rsid w:val="00BC4184"/>
    <w:rsid w:val="00BC424E"/>
    <w:rsid w:val="00BC4322"/>
    <w:rsid w:val="00BC44C8"/>
    <w:rsid w:val="00BC4577"/>
    <w:rsid w:val="00BC493E"/>
    <w:rsid w:val="00BC4AA4"/>
    <w:rsid w:val="00BC4AC6"/>
    <w:rsid w:val="00BC4BB6"/>
    <w:rsid w:val="00BC4D09"/>
    <w:rsid w:val="00BC4E0F"/>
    <w:rsid w:val="00BC4F98"/>
    <w:rsid w:val="00BC4FAE"/>
    <w:rsid w:val="00BC50B9"/>
    <w:rsid w:val="00BC5108"/>
    <w:rsid w:val="00BC51A4"/>
    <w:rsid w:val="00BC52CD"/>
    <w:rsid w:val="00BC52EB"/>
    <w:rsid w:val="00BC53D6"/>
    <w:rsid w:val="00BC53E9"/>
    <w:rsid w:val="00BC5400"/>
    <w:rsid w:val="00BC554D"/>
    <w:rsid w:val="00BC5655"/>
    <w:rsid w:val="00BC59D7"/>
    <w:rsid w:val="00BC5BC4"/>
    <w:rsid w:val="00BC5C98"/>
    <w:rsid w:val="00BC5D2A"/>
    <w:rsid w:val="00BC5DE6"/>
    <w:rsid w:val="00BC5ECC"/>
    <w:rsid w:val="00BC5EFC"/>
    <w:rsid w:val="00BC5F47"/>
    <w:rsid w:val="00BC62C2"/>
    <w:rsid w:val="00BC660E"/>
    <w:rsid w:val="00BC6730"/>
    <w:rsid w:val="00BC68A7"/>
    <w:rsid w:val="00BC697B"/>
    <w:rsid w:val="00BC6A0F"/>
    <w:rsid w:val="00BC6C1B"/>
    <w:rsid w:val="00BC6D44"/>
    <w:rsid w:val="00BC6E86"/>
    <w:rsid w:val="00BC6EB7"/>
    <w:rsid w:val="00BC6FBA"/>
    <w:rsid w:val="00BC6FDB"/>
    <w:rsid w:val="00BC7439"/>
    <w:rsid w:val="00BC758D"/>
    <w:rsid w:val="00BC7594"/>
    <w:rsid w:val="00BC75EB"/>
    <w:rsid w:val="00BC7770"/>
    <w:rsid w:val="00BC7961"/>
    <w:rsid w:val="00BC7A64"/>
    <w:rsid w:val="00BC7B35"/>
    <w:rsid w:val="00BC7B59"/>
    <w:rsid w:val="00BC7B70"/>
    <w:rsid w:val="00BC7B8D"/>
    <w:rsid w:val="00BC7B99"/>
    <w:rsid w:val="00BC7CB6"/>
    <w:rsid w:val="00BD014F"/>
    <w:rsid w:val="00BD01C7"/>
    <w:rsid w:val="00BD0321"/>
    <w:rsid w:val="00BD03AB"/>
    <w:rsid w:val="00BD0660"/>
    <w:rsid w:val="00BD0946"/>
    <w:rsid w:val="00BD09CE"/>
    <w:rsid w:val="00BD0A29"/>
    <w:rsid w:val="00BD0ADF"/>
    <w:rsid w:val="00BD0FFC"/>
    <w:rsid w:val="00BD10CD"/>
    <w:rsid w:val="00BD11B6"/>
    <w:rsid w:val="00BD1310"/>
    <w:rsid w:val="00BD1622"/>
    <w:rsid w:val="00BD19FF"/>
    <w:rsid w:val="00BD1A06"/>
    <w:rsid w:val="00BD1AB3"/>
    <w:rsid w:val="00BD1B0E"/>
    <w:rsid w:val="00BD1BAE"/>
    <w:rsid w:val="00BD1CD0"/>
    <w:rsid w:val="00BD1D20"/>
    <w:rsid w:val="00BD1EC0"/>
    <w:rsid w:val="00BD1FB9"/>
    <w:rsid w:val="00BD2032"/>
    <w:rsid w:val="00BD206C"/>
    <w:rsid w:val="00BD218A"/>
    <w:rsid w:val="00BD21BA"/>
    <w:rsid w:val="00BD21EF"/>
    <w:rsid w:val="00BD2214"/>
    <w:rsid w:val="00BD24E1"/>
    <w:rsid w:val="00BD2540"/>
    <w:rsid w:val="00BD261C"/>
    <w:rsid w:val="00BD26EF"/>
    <w:rsid w:val="00BD28B8"/>
    <w:rsid w:val="00BD2977"/>
    <w:rsid w:val="00BD2B2D"/>
    <w:rsid w:val="00BD2B7C"/>
    <w:rsid w:val="00BD2BD1"/>
    <w:rsid w:val="00BD3018"/>
    <w:rsid w:val="00BD305A"/>
    <w:rsid w:val="00BD311A"/>
    <w:rsid w:val="00BD3316"/>
    <w:rsid w:val="00BD3682"/>
    <w:rsid w:val="00BD36F3"/>
    <w:rsid w:val="00BD37AC"/>
    <w:rsid w:val="00BD397F"/>
    <w:rsid w:val="00BD3CE1"/>
    <w:rsid w:val="00BD3D62"/>
    <w:rsid w:val="00BD3DAF"/>
    <w:rsid w:val="00BD3F2D"/>
    <w:rsid w:val="00BD41A2"/>
    <w:rsid w:val="00BD41EB"/>
    <w:rsid w:val="00BD41F6"/>
    <w:rsid w:val="00BD4443"/>
    <w:rsid w:val="00BD4573"/>
    <w:rsid w:val="00BD4701"/>
    <w:rsid w:val="00BD47F5"/>
    <w:rsid w:val="00BD4835"/>
    <w:rsid w:val="00BD4872"/>
    <w:rsid w:val="00BD4882"/>
    <w:rsid w:val="00BD4ADA"/>
    <w:rsid w:val="00BD4B71"/>
    <w:rsid w:val="00BD4CBE"/>
    <w:rsid w:val="00BD4DBA"/>
    <w:rsid w:val="00BD4DBB"/>
    <w:rsid w:val="00BD5431"/>
    <w:rsid w:val="00BD54AC"/>
    <w:rsid w:val="00BD55EC"/>
    <w:rsid w:val="00BD570E"/>
    <w:rsid w:val="00BD5775"/>
    <w:rsid w:val="00BD5931"/>
    <w:rsid w:val="00BD5B74"/>
    <w:rsid w:val="00BD5C7B"/>
    <w:rsid w:val="00BD5E70"/>
    <w:rsid w:val="00BD5E9A"/>
    <w:rsid w:val="00BD633C"/>
    <w:rsid w:val="00BD638F"/>
    <w:rsid w:val="00BD6417"/>
    <w:rsid w:val="00BD64B0"/>
    <w:rsid w:val="00BD6596"/>
    <w:rsid w:val="00BD65CC"/>
    <w:rsid w:val="00BD6616"/>
    <w:rsid w:val="00BD66B7"/>
    <w:rsid w:val="00BD66EE"/>
    <w:rsid w:val="00BD6793"/>
    <w:rsid w:val="00BD67F8"/>
    <w:rsid w:val="00BD6801"/>
    <w:rsid w:val="00BD6879"/>
    <w:rsid w:val="00BD6B83"/>
    <w:rsid w:val="00BD6B89"/>
    <w:rsid w:val="00BD6E3D"/>
    <w:rsid w:val="00BD6E54"/>
    <w:rsid w:val="00BD6E85"/>
    <w:rsid w:val="00BD7280"/>
    <w:rsid w:val="00BD771B"/>
    <w:rsid w:val="00BD7861"/>
    <w:rsid w:val="00BD7917"/>
    <w:rsid w:val="00BD7975"/>
    <w:rsid w:val="00BD79C7"/>
    <w:rsid w:val="00BD7ACD"/>
    <w:rsid w:val="00BD7ADF"/>
    <w:rsid w:val="00BD7BA0"/>
    <w:rsid w:val="00BD7CFE"/>
    <w:rsid w:val="00BD7E39"/>
    <w:rsid w:val="00BD7E55"/>
    <w:rsid w:val="00BD7F26"/>
    <w:rsid w:val="00BE018B"/>
    <w:rsid w:val="00BE01CC"/>
    <w:rsid w:val="00BE0218"/>
    <w:rsid w:val="00BE036F"/>
    <w:rsid w:val="00BE03BC"/>
    <w:rsid w:val="00BE04B2"/>
    <w:rsid w:val="00BE0663"/>
    <w:rsid w:val="00BE06A1"/>
    <w:rsid w:val="00BE0807"/>
    <w:rsid w:val="00BE08C7"/>
    <w:rsid w:val="00BE091A"/>
    <w:rsid w:val="00BE0A61"/>
    <w:rsid w:val="00BE0B72"/>
    <w:rsid w:val="00BE0C78"/>
    <w:rsid w:val="00BE0D1F"/>
    <w:rsid w:val="00BE11AD"/>
    <w:rsid w:val="00BE1407"/>
    <w:rsid w:val="00BE1564"/>
    <w:rsid w:val="00BE172F"/>
    <w:rsid w:val="00BE17E1"/>
    <w:rsid w:val="00BE182D"/>
    <w:rsid w:val="00BE1869"/>
    <w:rsid w:val="00BE1C2B"/>
    <w:rsid w:val="00BE1C4F"/>
    <w:rsid w:val="00BE1D1D"/>
    <w:rsid w:val="00BE1D30"/>
    <w:rsid w:val="00BE1EBE"/>
    <w:rsid w:val="00BE1EC9"/>
    <w:rsid w:val="00BE1ECB"/>
    <w:rsid w:val="00BE1F72"/>
    <w:rsid w:val="00BE1F7B"/>
    <w:rsid w:val="00BE1FBA"/>
    <w:rsid w:val="00BE20F5"/>
    <w:rsid w:val="00BE222F"/>
    <w:rsid w:val="00BE2238"/>
    <w:rsid w:val="00BE24B4"/>
    <w:rsid w:val="00BE24F6"/>
    <w:rsid w:val="00BE2551"/>
    <w:rsid w:val="00BE2690"/>
    <w:rsid w:val="00BE26B0"/>
    <w:rsid w:val="00BE26E5"/>
    <w:rsid w:val="00BE31EB"/>
    <w:rsid w:val="00BE32C9"/>
    <w:rsid w:val="00BE32E8"/>
    <w:rsid w:val="00BE3334"/>
    <w:rsid w:val="00BE3672"/>
    <w:rsid w:val="00BE372F"/>
    <w:rsid w:val="00BE377B"/>
    <w:rsid w:val="00BE3B0A"/>
    <w:rsid w:val="00BE3C62"/>
    <w:rsid w:val="00BE3C80"/>
    <w:rsid w:val="00BE3EC2"/>
    <w:rsid w:val="00BE3F6B"/>
    <w:rsid w:val="00BE403C"/>
    <w:rsid w:val="00BE41C7"/>
    <w:rsid w:val="00BE433F"/>
    <w:rsid w:val="00BE4534"/>
    <w:rsid w:val="00BE4608"/>
    <w:rsid w:val="00BE4764"/>
    <w:rsid w:val="00BE498C"/>
    <w:rsid w:val="00BE49CD"/>
    <w:rsid w:val="00BE4C82"/>
    <w:rsid w:val="00BE4CA2"/>
    <w:rsid w:val="00BE4DCE"/>
    <w:rsid w:val="00BE4E31"/>
    <w:rsid w:val="00BE4EA7"/>
    <w:rsid w:val="00BE4EF6"/>
    <w:rsid w:val="00BE4F5C"/>
    <w:rsid w:val="00BE50E3"/>
    <w:rsid w:val="00BE531E"/>
    <w:rsid w:val="00BE54A4"/>
    <w:rsid w:val="00BE5858"/>
    <w:rsid w:val="00BE58B2"/>
    <w:rsid w:val="00BE5940"/>
    <w:rsid w:val="00BE5CE4"/>
    <w:rsid w:val="00BE5DE8"/>
    <w:rsid w:val="00BE611D"/>
    <w:rsid w:val="00BE650F"/>
    <w:rsid w:val="00BE6643"/>
    <w:rsid w:val="00BE6723"/>
    <w:rsid w:val="00BE6A68"/>
    <w:rsid w:val="00BE6AE7"/>
    <w:rsid w:val="00BE6DCA"/>
    <w:rsid w:val="00BE7175"/>
    <w:rsid w:val="00BE731C"/>
    <w:rsid w:val="00BE75FE"/>
    <w:rsid w:val="00BE776B"/>
    <w:rsid w:val="00BE7AA7"/>
    <w:rsid w:val="00BE7AC7"/>
    <w:rsid w:val="00BE7BE3"/>
    <w:rsid w:val="00BE7C3D"/>
    <w:rsid w:val="00BE7C62"/>
    <w:rsid w:val="00BE7CC1"/>
    <w:rsid w:val="00BE7D1A"/>
    <w:rsid w:val="00BF0144"/>
    <w:rsid w:val="00BF0170"/>
    <w:rsid w:val="00BF019B"/>
    <w:rsid w:val="00BF0342"/>
    <w:rsid w:val="00BF03E1"/>
    <w:rsid w:val="00BF04E4"/>
    <w:rsid w:val="00BF04F1"/>
    <w:rsid w:val="00BF0505"/>
    <w:rsid w:val="00BF05A8"/>
    <w:rsid w:val="00BF06A5"/>
    <w:rsid w:val="00BF087C"/>
    <w:rsid w:val="00BF08C1"/>
    <w:rsid w:val="00BF08C9"/>
    <w:rsid w:val="00BF0B24"/>
    <w:rsid w:val="00BF0CBE"/>
    <w:rsid w:val="00BF0D0C"/>
    <w:rsid w:val="00BF0D96"/>
    <w:rsid w:val="00BF0FF1"/>
    <w:rsid w:val="00BF0FFF"/>
    <w:rsid w:val="00BF1222"/>
    <w:rsid w:val="00BF12FA"/>
    <w:rsid w:val="00BF132F"/>
    <w:rsid w:val="00BF15A5"/>
    <w:rsid w:val="00BF1600"/>
    <w:rsid w:val="00BF173F"/>
    <w:rsid w:val="00BF1741"/>
    <w:rsid w:val="00BF18A5"/>
    <w:rsid w:val="00BF1909"/>
    <w:rsid w:val="00BF19B9"/>
    <w:rsid w:val="00BF19F7"/>
    <w:rsid w:val="00BF1BB5"/>
    <w:rsid w:val="00BF1CD1"/>
    <w:rsid w:val="00BF1D7F"/>
    <w:rsid w:val="00BF2008"/>
    <w:rsid w:val="00BF20F9"/>
    <w:rsid w:val="00BF2132"/>
    <w:rsid w:val="00BF2358"/>
    <w:rsid w:val="00BF24EC"/>
    <w:rsid w:val="00BF2518"/>
    <w:rsid w:val="00BF278E"/>
    <w:rsid w:val="00BF295A"/>
    <w:rsid w:val="00BF2A72"/>
    <w:rsid w:val="00BF2AA7"/>
    <w:rsid w:val="00BF2B0A"/>
    <w:rsid w:val="00BF2D84"/>
    <w:rsid w:val="00BF2F0D"/>
    <w:rsid w:val="00BF3018"/>
    <w:rsid w:val="00BF30D3"/>
    <w:rsid w:val="00BF31F8"/>
    <w:rsid w:val="00BF3213"/>
    <w:rsid w:val="00BF32DD"/>
    <w:rsid w:val="00BF345E"/>
    <w:rsid w:val="00BF346B"/>
    <w:rsid w:val="00BF34F4"/>
    <w:rsid w:val="00BF3528"/>
    <w:rsid w:val="00BF3531"/>
    <w:rsid w:val="00BF35CC"/>
    <w:rsid w:val="00BF380C"/>
    <w:rsid w:val="00BF38AB"/>
    <w:rsid w:val="00BF395C"/>
    <w:rsid w:val="00BF3A69"/>
    <w:rsid w:val="00BF3A83"/>
    <w:rsid w:val="00BF3B10"/>
    <w:rsid w:val="00BF3D69"/>
    <w:rsid w:val="00BF3D78"/>
    <w:rsid w:val="00BF3DA9"/>
    <w:rsid w:val="00BF3DB0"/>
    <w:rsid w:val="00BF3EA9"/>
    <w:rsid w:val="00BF4047"/>
    <w:rsid w:val="00BF40B2"/>
    <w:rsid w:val="00BF40B5"/>
    <w:rsid w:val="00BF438D"/>
    <w:rsid w:val="00BF440C"/>
    <w:rsid w:val="00BF44A1"/>
    <w:rsid w:val="00BF45BA"/>
    <w:rsid w:val="00BF4686"/>
    <w:rsid w:val="00BF4706"/>
    <w:rsid w:val="00BF495D"/>
    <w:rsid w:val="00BF49B9"/>
    <w:rsid w:val="00BF4B07"/>
    <w:rsid w:val="00BF4C58"/>
    <w:rsid w:val="00BF4C9E"/>
    <w:rsid w:val="00BF4E4D"/>
    <w:rsid w:val="00BF5117"/>
    <w:rsid w:val="00BF517B"/>
    <w:rsid w:val="00BF51B0"/>
    <w:rsid w:val="00BF53BF"/>
    <w:rsid w:val="00BF5429"/>
    <w:rsid w:val="00BF54C4"/>
    <w:rsid w:val="00BF5591"/>
    <w:rsid w:val="00BF55B8"/>
    <w:rsid w:val="00BF55F6"/>
    <w:rsid w:val="00BF561E"/>
    <w:rsid w:val="00BF56AE"/>
    <w:rsid w:val="00BF582F"/>
    <w:rsid w:val="00BF5A30"/>
    <w:rsid w:val="00BF5A70"/>
    <w:rsid w:val="00BF5BA7"/>
    <w:rsid w:val="00BF5C85"/>
    <w:rsid w:val="00BF5D22"/>
    <w:rsid w:val="00BF5E70"/>
    <w:rsid w:val="00BF5E80"/>
    <w:rsid w:val="00BF6042"/>
    <w:rsid w:val="00BF6135"/>
    <w:rsid w:val="00BF6155"/>
    <w:rsid w:val="00BF623B"/>
    <w:rsid w:val="00BF638C"/>
    <w:rsid w:val="00BF653A"/>
    <w:rsid w:val="00BF659D"/>
    <w:rsid w:val="00BF66AD"/>
    <w:rsid w:val="00BF6803"/>
    <w:rsid w:val="00BF6858"/>
    <w:rsid w:val="00BF6A5F"/>
    <w:rsid w:val="00BF6AC6"/>
    <w:rsid w:val="00BF6C52"/>
    <w:rsid w:val="00BF6D24"/>
    <w:rsid w:val="00BF6DB7"/>
    <w:rsid w:val="00BF6EA3"/>
    <w:rsid w:val="00BF6F09"/>
    <w:rsid w:val="00BF710F"/>
    <w:rsid w:val="00BF7186"/>
    <w:rsid w:val="00BF7295"/>
    <w:rsid w:val="00BF7357"/>
    <w:rsid w:val="00BF73D7"/>
    <w:rsid w:val="00BF762D"/>
    <w:rsid w:val="00BF786D"/>
    <w:rsid w:val="00BF78EF"/>
    <w:rsid w:val="00BF7A74"/>
    <w:rsid w:val="00BF7ACE"/>
    <w:rsid w:val="00BF7B13"/>
    <w:rsid w:val="00BF7B40"/>
    <w:rsid w:val="00BF7D86"/>
    <w:rsid w:val="00BF7F10"/>
    <w:rsid w:val="00BF7FFC"/>
    <w:rsid w:val="00C00040"/>
    <w:rsid w:val="00C0007C"/>
    <w:rsid w:val="00C0016E"/>
    <w:rsid w:val="00C0022B"/>
    <w:rsid w:val="00C0048D"/>
    <w:rsid w:val="00C005F9"/>
    <w:rsid w:val="00C00766"/>
    <w:rsid w:val="00C00850"/>
    <w:rsid w:val="00C008B6"/>
    <w:rsid w:val="00C008BE"/>
    <w:rsid w:val="00C00948"/>
    <w:rsid w:val="00C0094F"/>
    <w:rsid w:val="00C0096D"/>
    <w:rsid w:val="00C00A34"/>
    <w:rsid w:val="00C00B63"/>
    <w:rsid w:val="00C00C44"/>
    <w:rsid w:val="00C00DDC"/>
    <w:rsid w:val="00C00F59"/>
    <w:rsid w:val="00C011DD"/>
    <w:rsid w:val="00C012E8"/>
    <w:rsid w:val="00C01301"/>
    <w:rsid w:val="00C01355"/>
    <w:rsid w:val="00C01376"/>
    <w:rsid w:val="00C013AA"/>
    <w:rsid w:val="00C01429"/>
    <w:rsid w:val="00C01492"/>
    <w:rsid w:val="00C014EE"/>
    <w:rsid w:val="00C014F5"/>
    <w:rsid w:val="00C016CF"/>
    <w:rsid w:val="00C0174C"/>
    <w:rsid w:val="00C01944"/>
    <w:rsid w:val="00C01B25"/>
    <w:rsid w:val="00C01E99"/>
    <w:rsid w:val="00C01EAC"/>
    <w:rsid w:val="00C01F10"/>
    <w:rsid w:val="00C02001"/>
    <w:rsid w:val="00C020F1"/>
    <w:rsid w:val="00C02207"/>
    <w:rsid w:val="00C023BD"/>
    <w:rsid w:val="00C02556"/>
    <w:rsid w:val="00C0259D"/>
    <w:rsid w:val="00C027F9"/>
    <w:rsid w:val="00C028E8"/>
    <w:rsid w:val="00C0290C"/>
    <w:rsid w:val="00C02948"/>
    <w:rsid w:val="00C02D2F"/>
    <w:rsid w:val="00C02D73"/>
    <w:rsid w:val="00C02ED3"/>
    <w:rsid w:val="00C02F55"/>
    <w:rsid w:val="00C0326C"/>
    <w:rsid w:val="00C03276"/>
    <w:rsid w:val="00C033C7"/>
    <w:rsid w:val="00C034FA"/>
    <w:rsid w:val="00C03877"/>
    <w:rsid w:val="00C03C1A"/>
    <w:rsid w:val="00C03D4C"/>
    <w:rsid w:val="00C03D81"/>
    <w:rsid w:val="00C03F4C"/>
    <w:rsid w:val="00C03FC0"/>
    <w:rsid w:val="00C04188"/>
    <w:rsid w:val="00C041AE"/>
    <w:rsid w:val="00C042C8"/>
    <w:rsid w:val="00C043C3"/>
    <w:rsid w:val="00C043E3"/>
    <w:rsid w:val="00C047C6"/>
    <w:rsid w:val="00C04ACC"/>
    <w:rsid w:val="00C04AFB"/>
    <w:rsid w:val="00C04BDC"/>
    <w:rsid w:val="00C05011"/>
    <w:rsid w:val="00C0511D"/>
    <w:rsid w:val="00C05141"/>
    <w:rsid w:val="00C05373"/>
    <w:rsid w:val="00C05465"/>
    <w:rsid w:val="00C05481"/>
    <w:rsid w:val="00C05578"/>
    <w:rsid w:val="00C055CC"/>
    <w:rsid w:val="00C055ED"/>
    <w:rsid w:val="00C057F2"/>
    <w:rsid w:val="00C0581C"/>
    <w:rsid w:val="00C05840"/>
    <w:rsid w:val="00C05888"/>
    <w:rsid w:val="00C05992"/>
    <w:rsid w:val="00C05A06"/>
    <w:rsid w:val="00C05D1D"/>
    <w:rsid w:val="00C05EE8"/>
    <w:rsid w:val="00C05FF1"/>
    <w:rsid w:val="00C0619C"/>
    <w:rsid w:val="00C06259"/>
    <w:rsid w:val="00C06361"/>
    <w:rsid w:val="00C0640B"/>
    <w:rsid w:val="00C0664C"/>
    <w:rsid w:val="00C068C0"/>
    <w:rsid w:val="00C068D3"/>
    <w:rsid w:val="00C0691F"/>
    <w:rsid w:val="00C0696F"/>
    <w:rsid w:val="00C06A75"/>
    <w:rsid w:val="00C06BFE"/>
    <w:rsid w:val="00C06D22"/>
    <w:rsid w:val="00C06D51"/>
    <w:rsid w:val="00C06EBA"/>
    <w:rsid w:val="00C06F38"/>
    <w:rsid w:val="00C06FBF"/>
    <w:rsid w:val="00C07113"/>
    <w:rsid w:val="00C074D6"/>
    <w:rsid w:val="00C074DC"/>
    <w:rsid w:val="00C0776C"/>
    <w:rsid w:val="00C077B4"/>
    <w:rsid w:val="00C079B4"/>
    <w:rsid w:val="00C07ABE"/>
    <w:rsid w:val="00C07AE7"/>
    <w:rsid w:val="00C07C23"/>
    <w:rsid w:val="00C07D90"/>
    <w:rsid w:val="00C07E76"/>
    <w:rsid w:val="00C07F15"/>
    <w:rsid w:val="00C07F27"/>
    <w:rsid w:val="00C10060"/>
    <w:rsid w:val="00C10096"/>
    <w:rsid w:val="00C10261"/>
    <w:rsid w:val="00C10475"/>
    <w:rsid w:val="00C104B0"/>
    <w:rsid w:val="00C10506"/>
    <w:rsid w:val="00C1060C"/>
    <w:rsid w:val="00C10958"/>
    <w:rsid w:val="00C109F9"/>
    <w:rsid w:val="00C10AC5"/>
    <w:rsid w:val="00C10D72"/>
    <w:rsid w:val="00C10E50"/>
    <w:rsid w:val="00C10FF2"/>
    <w:rsid w:val="00C11033"/>
    <w:rsid w:val="00C11039"/>
    <w:rsid w:val="00C1122D"/>
    <w:rsid w:val="00C1135F"/>
    <w:rsid w:val="00C115B0"/>
    <w:rsid w:val="00C118DE"/>
    <w:rsid w:val="00C119D9"/>
    <w:rsid w:val="00C11A63"/>
    <w:rsid w:val="00C11B30"/>
    <w:rsid w:val="00C11BED"/>
    <w:rsid w:val="00C11CAB"/>
    <w:rsid w:val="00C11D88"/>
    <w:rsid w:val="00C120BD"/>
    <w:rsid w:val="00C1212D"/>
    <w:rsid w:val="00C12259"/>
    <w:rsid w:val="00C12388"/>
    <w:rsid w:val="00C12449"/>
    <w:rsid w:val="00C12630"/>
    <w:rsid w:val="00C1265A"/>
    <w:rsid w:val="00C12663"/>
    <w:rsid w:val="00C12863"/>
    <w:rsid w:val="00C128E1"/>
    <w:rsid w:val="00C129E3"/>
    <w:rsid w:val="00C12D99"/>
    <w:rsid w:val="00C130F8"/>
    <w:rsid w:val="00C133D9"/>
    <w:rsid w:val="00C1345C"/>
    <w:rsid w:val="00C1366F"/>
    <w:rsid w:val="00C137A4"/>
    <w:rsid w:val="00C13878"/>
    <w:rsid w:val="00C13BBA"/>
    <w:rsid w:val="00C13C9C"/>
    <w:rsid w:val="00C14023"/>
    <w:rsid w:val="00C142E0"/>
    <w:rsid w:val="00C14341"/>
    <w:rsid w:val="00C1436B"/>
    <w:rsid w:val="00C14410"/>
    <w:rsid w:val="00C144C9"/>
    <w:rsid w:val="00C144FE"/>
    <w:rsid w:val="00C1460C"/>
    <w:rsid w:val="00C146C3"/>
    <w:rsid w:val="00C1490A"/>
    <w:rsid w:val="00C14B76"/>
    <w:rsid w:val="00C14B9E"/>
    <w:rsid w:val="00C14BB4"/>
    <w:rsid w:val="00C14DC9"/>
    <w:rsid w:val="00C14E02"/>
    <w:rsid w:val="00C15051"/>
    <w:rsid w:val="00C15295"/>
    <w:rsid w:val="00C152E9"/>
    <w:rsid w:val="00C15316"/>
    <w:rsid w:val="00C1564B"/>
    <w:rsid w:val="00C156BC"/>
    <w:rsid w:val="00C156E1"/>
    <w:rsid w:val="00C15719"/>
    <w:rsid w:val="00C15952"/>
    <w:rsid w:val="00C159D0"/>
    <w:rsid w:val="00C15D14"/>
    <w:rsid w:val="00C15D23"/>
    <w:rsid w:val="00C15E5E"/>
    <w:rsid w:val="00C15EA8"/>
    <w:rsid w:val="00C15FD5"/>
    <w:rsid w:val="00C16001"/>
    <w:rsid w:val="00C16076"/>
    <w:rsid w:val="00C160A0"/>
    <w:rsid w:val="00C160B2"/>
    <w:rsid w:val="00C162CB"/>
    <w:rsid w:val="00C1651A"/>
    <w:rsid w:val="00C1652D"/>
    <w:rsid w:val="00C1660D"/>
    <w:rsid w:val="00C16771"/>
    <w:rsid w:val="00C16814"/>
    <w:rsid w:val="00C16994"/>
    <w:rsid w:val="00C169A8"/>
    <w:rsid w:val="00C169C0"/>
    <w:rsid w:val="00C169C1"/>
    <w:rsid w:val="00C16A58"/>
    <w:rsid w:val="00C16B1D"/>
    <w:rsid w:val="00C16D60"/>
    <w:rsid w:val="00C16D90"/>
    <w:rsid w:val="00C16E42"/>
    <w:rsid w:val="00C16F69"/>
    <w:rsid w:val="00C16FBC"/>
    <w:rsid w:val="00C17218"/>
    <w:rsid w:val="00C17467"/>
    <w:rsid w:val="00C1762D"/>
    <w:rsid w:val="00C17B90"/>
    <w:rsid w:val="00C17BA9"/>
    <w:rsid w:val="00C17C82"/>
    <w:rsid w:val="00C17D50"/>
    <w:rsid w:val="00C20054"/>
    <w:rsid w:val="00C2017B"/>
    <w:rsid w:val="00C201BD"/>
    <w:rsid w:val="00C2020D"/>
    <w:rsid w:val="00C205B0"/>
    <w:rsid w:val="00C20812"/>
    <w:rsid w:val="00C2087B"/>
    <w:rsid w:val="00C208F1"/>
    <w:rsid w:val="00C20989"/>
    <w:rsid w:val="00C20B68"/>
    <w:rsid w:val="00C210F5"/>
    <w:rsid w:val="00C210F7"/>
    <w:rsid w:val="00C211AE"/>
    <w:rsid w:val="00C2120E"/>
    <w:rsid w:val="00C212AD"/>
    <w:rsid w:val="00C21311"/>
    <w:rsid w:val="00C213DD"/>
    <w:rsid w:val="00C214AE"/>
    <w:rsid w:val="00C214DA"/>
    <w:rsid w:val="00C21636"/>
    <w:rsid w:val="00C217AA"/>
    <w:rsid w:val="00C217CC"/>
    <w:rsid w:val="00C21859"/>
    <w:rsid w:val="00C21876"/>
    <w:rsid w:val="00C218DD"/>
    <w:rsid w:val="00C21921"/>
    <w:rsid w:val="00C219F0"/>
    <w:rsid w:val="00C21B0D"/>
    <w:rsid w:val="00C21BEB"/>
    <w:rsid w:val="00C21D39"/>
    <w:rsid w:val="00C21DD3"/>
    <w:rsid w:val="00C21EA9"/>
    <w:rsid w:val="00C22207"/>
    <w:rsid w:val="00C22217"/>
    <w:rsid w:val="00C22276"/>
    <w:rsid w:val="00C223E5"/>
    <w:rsid w:val="00C225C5"/>
    <w:rsid w:val="00C227F1"/>
    <w:rsid w:val="00C228FF"/>
    <w:rsid w:val="00C22A6F"/>
    <w:rsid w:val="00C22C26"/>
    <w:rsid w:val="00C22C29"/>
    <w:rsid w:val="00C22EA7"/>
    <w:rsid w:val="00C22EAB"/>
    <w:rsid w:val="00C23025"/>
    <w:rsid w:val="00C230D7"/>
    <w:rsid w:val="00C230F0"/>
    <w:rsid w:val="00C23316"/>
    <w:rsid w:val="00C2341E"/>
    <w:rsid w:val="00C234BC"/>
    <w:rsid w:val="00C234D0"/>
    <w:rsid w:val="00C2370A"/>
    <w:rsid w:val="00C237A6"/>
    <w:rsid w:val="00C23C8E"/>
    <w:rsid w:val="00C23CDE"/>
    <w:rsid w:val="00C23D36"/>
    <w:rsid w:val="00C23D7A"/>
    <w:rsid w:val="00C23DBE"/>
    <w:rsid w:val="00C23E04"/>
    <w:rsid w:val="00C23E2E"/>
    <w:rsid w:val="00C23E95"/>
    <w:rsid w:val="00C23F74"/>
    <w:rsid w:val="00C23FB5"/>
    <w:rsid w:val="00C241AA"/>
    <w:rsid w:val="00C241FD"/>
    <w:rsid w:val="00C24228"/>
    <w:rsid w:val="00C24380"/>
    <w:rsid w:val="00C246F6"/>
    <w:rsid w:val="00C24B84"/>
    <w:rsid w:val="00C24D5B"/>
    <w:rsid w:val="00C2510D"/>
    <w:rsid w:val="00C2534B"/>
    <w:rsid w:val="00C25391"/>
    <w:rsid w:val="00C254D9"/>
    <w:rsid w:val="00C259AB"/>
    <w:rsid w:val="00C25A39"/>
    <w:rsid w:val="00C25A75"/>
    <w:rsid w:val="00C25B16"/>
    <w:rsid w:val="00C25C06"/>
    <w:rsid w:val="00C25EA0"/>
    <w:rsid w:val="00C25FD2"/>
    <w:rsid w:val="00C26241"/>
    <w:rsid w:val="00C26331"/>
    <w:rsid w:val="00C2641A"/>
    <w:rsid w:val="00C2666F"/>
    <w:rsid w:val="00C26767"/>
    <w:rsid w:val="00C267B4"/>
    <w:rsid w:val="00C267D4"/>
    <w:rsid w:val="00C26989"/>
    <w:rsid w:val="00C26BB7"/>
    <w:rsid w:val="00C26BCB"/>
    <w:rsid w:val="00C26C21"/>
    <w:rsid w:val="00C26C82"/>
    <w:rsid w:val="00C27292"/>
    <w:rsid w:val="00C27341"/>
    <w:rsid w:val="00C2747F"/>
    <w:rsid w:val="00C275A8"/>
    <w:rsid w:val="00C275D1"/>
    <w:rsid w:val="00C27604"/>
    <w:rsid w:val="00C27858"/>
    <w:rsid w:val="00C27883"/>
    <w:rsid w:val="00C27989"/>
    <w:rsid w:val="00C27FDA"/>
    <w:rsid w:val="00C3004E"/>
    <w:rsid w:val="00C300D3"/>
    <w:rsid w:val="00C30128"/>
    <w:rsid w:val="00C302CF"/>
    <w:rsid w:val="00C30448"/>
    <w:rsid w:val="00C30541"/>
    <w:rsid w:val="00C3067D"/>
    <w:rsid w:val="00C306CF"/>
    <w:rsid w:val="00C307CE"/>
    <w:rsid w:val="00C309A6"/>
    <w:rsid w:val="00C30A41"/>
    <w:rsid w:val="00C30C6F"/>
    <w:rsid w:val="00C30CCA"/>
    <w:rsid w:val="00C31046"/>
    <w:rsid w:val="00C31232"/>
    <w:rsid w:val="00C314E1"/>
    <w:rsid w:val="00C315EF"/>
    <w:rsid w:val="00C318AE"/>
    <w:rsid w:val="00C31A0B"/>
    <w:rsid w:val="00C31B29"/>
    <w:rsid w:val="00C31D9D"/>
    <w:rsid w:val="00C31F07"/>
    <w:rsid w:val="00C32034"/>
    <w:rsid w:val="00C32086"/>
    <w:rsid w:val="00C320D4"/>
    <w:rsid w:val="00C3218E"/>
    <w:rsid w:val="00C321B1"/>
    <w:rsid w:val="00C3239E"/>
    <w:rsid w:val="00C323AC"/>
    <w:rsid w:val="00C3244E"/>
    <w:rsid w:val="00C3256B"/>
    <w:rsid w:val="00C325C4"/>
    <w:rsid w:val="00C325F2"/>
    <w:rsid w:val="00C32634"/>
    <w:rsid w:val="00C327C8"/>
    <w:rsid w:val="00C32955"/>
    <w:rsid w:val="00C3295E"/>
    <w:rsid w:val="00C3299F"/>
    <w:rsid w:val="00C32A80"/>
    <w:rsid w:val="00C32B0D"/>
    <w:rsid w:val="00C32C31"/>
    <w:rsid w:val="00C32CD5"/>
    <w:rsid w:val="00C32EAF"/>
    <w:rsid w:val="00C33286"/>
    <w:rsid w:val="00C33315"/>
    <w:rsid w:val="00C334D8"/>
    <w:rsid w:val="00C3384F"/>
    <w:rsid w:val="00C33946"/>
    <w:rsid w:val="00C33999"/>
    <w:rsid w:val="00C33A20"/>
    <w:rsid w:val="00C33B8C"/>
    <w:rsid w:val="00C33E33"/>
    <w:rsid w:val="00C33E37"/>
    <w:rsid w:val="00C33EAA"/>
    <w:rsid w:val="00C34004"/>
    <w:rsid w:val="00C34079"/>
    <w:rsid w:val="00C340BF"/>
    <w:rsid w:val="00C34293"/>
    <w:rsid w:val="00C342B8"/>
    <w:rsid w:val="00C34349"/>
    <w:rsid w:val="00C34559"/>
    <w:rsid w:val="00C34597"/>
    <w:rsid w:val="00C345B7"/>
    <w:rsid w:val="00C345CB"/>
    <w:rsid w:val="00C34610"/>
    <w:rsid w:val="00C34807"/>
    <w:rsid w:val="00C34ACD"/>
    <w:rsid w:val="00C34AF6"/>
    <w:rsid w:val="00C34C55"/>
    <w:rsid w:val="00C34C92"/>
    <w:rsid w:val="00C34E38"/>
    <w:rsid w:val="00C350CA"/>
    <w:rsid w:val="00C350F2"/>
    <w:rsid w:val="00C351C2"/>
    <w:rsid w:val="00C35299"/>
    <w:rsid w:val="00C353A9"/>
    <w:rsid w:val="00C353D4"/>
    <w:rsid w:val="00C3546A"/>
    <w:rsid w:val="00C3550B"/>
    <w:rsid w:val="00C356AE"/>
    <w:rsid w:val="00C357BE"/>
    <w:rsid w:val="00C35922"/>
    <w:rsid w:val="00C35AA0"/>
    <w:rsid w:val="00C35AEE"/>
    <w:rsid w:val="00C35CED"/>
    <w:rsid w:val="00C35D67"/>
    <w:rsid w:val="00C35D74"/>
    <w:rsid w:val="00C35E30"/>
    <w:rsid w:val="00C35E4A"/>
    <w:rsid w:val="00C35EA4"/>
    <w:rsid w:val="00C36127"/>
    <w:rsid w:val="00C3633C"/>
    <w:rsid w:val="00C36400"/>
    <w:rsid w:val="00C3671D"/>
    <w:rsid w:val="00C369A1"/>
    <w:rsid w:val="00C36B93"/>
    <w:rsid w:val="00C36E61"/>
    <w:rsid w:val="00C36FA2"/>
    <w:rsid w:val="00C3707E"/>
    <w:rsid w:val="00C3719C"/>
    <w:rsid w:val="00C371DF"/>
    <w:rsid w:val="00C3724D"/>
    <w:rsid w:val="00C37291"/>
    <w:rsid w:val="00C37333"/>
    <w:rsid w:val="00C37370"/>
    <w:rsid w:val="00C3753D"/>
    <w:rsid w:val="00C3763F"/>
    <w:rsid w:val="00C37710"/>
    <w:rsid w:val="00C37729"/>
    <w:rsid w:val="00C37990"/>
    <w:rsid w:val="00C37A0F"/>
    <w:rsid w:val="00C37AA8"/>
    <w:rsid w:val="00C37B11"/>
    <w:rsid w:val="00C37C0B"/>
    <w:rsid w:val="00C37CBA"/>
    <w:rsid w:val="00C37DF3"/>
    <w:rsid w:val="00C37F33"/>
    <w:rsid w:val="00C37F3E"/>
    <w:rsid w:val="00C4001D"/>
    <w:rsid w:val="00C40091"/>
    <w:rsid w:val="00C40169"/>
    <w:rsid w:val="00C401D5"/>
    <w:rsid w:val="00C4044B"/>
    <w:rsid w:val="00C4061F"/>
    <w:rsid w:val="00C406CB"/>
    <w:rsid w:val="00C406ED"/>
    <w:rsid w:val="00C40734"/>
    <w:rsid w:val="00C40786"/>
    <w:rsid w:val="00C40A34"/>
    <w:rsid w:val="00C40AE0"/>
    <w:rsid w:val="00C40C7E"/>
    <w:rsid w:val="00C40D9A"/>
    <w:rsid w:val="00C40DBD"/>
    <w:rsid w:val="00C40F53"/>
    <w:rsid w:val="00C410C4"/>
    <w:rsid w:val="00C4115C"/>
    <w:rsid w:val="00C411E3"/>
    <w:rsid w:val="00C4139B"/>
    <w:rsid w:val="00C414FF"/>
    <w:rsid w:val="00C416F7"/>
    <w:rsid w:val="00C41777"/>
    <w:rsid w:val="00C417F3"/>
    <w:rsid w:val="00C418FC"/>
    <w:rsid w:val="00C419EE"/>
    <w:rsid w:val="00C41C47"/>
    <w:rsid w:val="00C41EC7"/>
    <w:rsid w:val="00C42053"/>
    <w:rsid w:val="00C42346"/>
    <w:rsid w:val="00C426CE"/>
    <w:rsid w:val="00C426D4"/>
    <w:rsid w:val="00C426F6"/>
    <w:rsid w:val="00C42788"/>
    <w:rsid w:val="00C429DE"/>
    <w:rsid w:val="00C429FF"/>
    <w:rsid w:val="00C42A48"/>
    <w:rsid w:val="00C42AB1"/>
    <w:rsid w:val="00C42B84"/>
    <w:rsid w:val="00C42C10"/>
    <w:rsid w:val="00C42CB9"/>
    <w:rsid w:val="00C42DA6"/>
    <w:rsid w:val="00C42F14"/>
    <w:rsid w:val="00C43183"/>
    <w:rsid w:val="00C431F5"/>
    <w:rsid w:val="00C43295"/>
    <w:rsid w:val="00C43472"/>
    <w:rsid w:val="00C4351F"/>
    <w:rsid w:val="00C43589"/>
    <w:rsid w:val="00C43595"/>
    <w:rsid w:val="00C436F4"/>
    <w:rsid w:val="00C438EA"/>
    <w:rsid w:val="00C4393B"/>
    <w:rsid w:val="00C43A32"/>
    <w:rsid w:val="00C43B5D"/>
    <w:rsid w:val="00C43D03"/>
    <w:rsid w:val="00C43E2D"/>
    <w:rsid w:val="00C44082"/>
    <w:rsid w:val="00C441AA"/>
    <w:rsid w:val="00C4421F"/>
    <w:rsid w:val="00C4423E"/>
    <w:rsid w:val="00C4438F"/>
    <w:rsid w:val="00C44405"/>
    <w:rsid w:val="00C44412"/>
    <w:rsid w:val="00C4449F"/>
    <w:rsid w:val="00C44508"/>
    <w:rsid w:val="00C4452F"/>
    <w:rsid w:val="00C44562"/>
    <w:rsid w:val="00C4469C"/>
    <w:rsid w:val="00C4478C"/>
    <w:rsid w:val="00C44803"/>
    <w:rsid w:val="00C448E8"/>
    <w:rsid w:val="00C4492C"/>
    <w:rsid w:val="00C44B35"/>
    <w:rsid w:val="00C44B7C"/>
    <w:rsid w:val="00C45346"/>
    <w:rsid w:val="00C455CF"/>
    <w:rsid w:val="00C45611"/>
    <w:rsid w:val="00C457CC"/>
    <w:rsid w:val="00C457E1"/>
    <w:rsid w:val="00C45A09"/>
    <w:rsid w:val="00C45B00"/>
    <w:rsid w:val="00C45BDC"/>
    <w:rsid w:val="00C45E4E"/>
    <w:rsid w:val="00C45F68"/>
    <w:rsid w:val="00C45F98"/>
    <w:rsid w:val="00C46461"/>
    <w:rsid w:val="00C46684"/>
    <w:rsid w:val="00C46910"/>
    <w:rsid w:val="00C46A42"/>
    <w:rsid w:val="00C46A44"/>
    <w:rsid w:val="00C46BFF"/>
    <w:rsid w:val="00C46C4C"/>
    <w:rsid w:val="00C46C6B"/>
    <w:rsid w:val="00C46E21"/>
    <w:rsid w:val="00C46E2A"/>
    <w:rsid w:val="00C46E5E"/>
    <w:rsid w:val="00C46EA0"/>
    <w:rsid w:val="00C46F76"/>
    <w:rsid w:val="00C4703E"/>
    <w:rsid w:val="00C470A7"/>
    <w:rsid w:val="00C472BC"/>
    <w:rsid w:val="00C473D9"/>
    <w:rsid w:val="00C47730"/>
    <w:rsid w:val="00C47779"/>
    <w:rsid w:val="00C477E9"/>
    <w:rsid w:val="00C47863"/>
    <w:rsid w:val="00C47918"/>
    <w:rsid w:val="00C47AD3"/>
    <w:rsid w:val="00C47BC7"/>
    <w:rsid w:val="00C47C8F"/>
    <w:rsid w:val="00C47F59"/>
    <w:rsid w:val="00C47F7E"/>
    <w:rsid w:val="00C50057"/>
    <w:rsid w:val="00C50106"/>
    <w:rsid w:val="00C50173"/>
    <w:rsid w:val="00C503B1"/>
    <w:rsid w:val="00C503F5"/>
    <w:rsid w:val="00C50429"/>
    <w:rsid w:val="00C50506"/>
    <w:rsid w:val="00C50603"/>
    <w:rsid w:val="00C5097A"/>
    <w:rsid w:val="00C5110E"/>
    <w:rsid w:val="00C51164"/>
    <w:rsid w:val="00C512F8"/>
    <w:rsid w:val="00C51362"/>
    <w:rsid w:val="00C51387"/>
    <w:rsid w:val="00C51617"/>
    <w:rsid w:val="00C51679"/>
    <w:rsid w:val="00C5172D"/>
    <w:rsid w:val="00C517E1"/>
    <w:rsid w:val="00C51941"/>
    <w:rsid w:val="00C5198D"/>
    <w:rsid w:val="00C51990"/>
    <w:rsid w:val="00C519E2"/>
    <w:rsid w:val="00C51AA7"/>
    <w:rsid w:val="00C51B38"/>
    <w:rsid w:val="00C51B51"/>
    <w:rsid w:val="00C51CFF"/>
    <w:rsid w:val="00C51E27"/>
    <w:rsid w:val="00C51E8C"/>
    <w:rsid w:val="00C5235A"/>
    <w:rsid w:val="00C52437"/>
    <w:rsid w:val="00C52446"/>
    <w:rsid w:val="00C5244D"/>
    <w:rsid w:val="00C52580"/>
    <w:rsid w:val="00C5269E"/>
    <w:rsid w:val="00C529F0"/>
    <w:rsid w:val="00C52A68"/>
    <w:rsid w:val="00C52BE8"/>
    <w:rsid w:val="00C52CCB"/>
    <w:rsid w:val="00C52CD6"/>
    <w:rsid w:val="00C52CD8"/>
    <w:rsid w:val="00C530E3"/>
    <w:rsid w:val="00C532E1"/>
    <w:rsid w:val="00C535E5"/>
    <w:rsid w:val="00C53761"/>
    <w:rsid w:val="00C538CB"/>
    <w:rsid w:val="00C53A37"/>
    <w:rsid w:val="00C53AE8"/>
    <w:rsid w:val="00C53B8F"/>
    <w:rsid w:val="00C53E01"/>
    <w:rsid w:val="00C53EA1"/>
    <w:rsid w:val="00C53F52"/>
    <w:rsid w:val="00C53F8D"/>
    <w:rsid w:val="00C53F90"/>
    <w:rsid w:val="00C540CB"/>
    <w:rsid w:val="00C54179"/>
    <w:rsid w:val="00C5418A"/>
    <w:rsid w:val="00C541B7"/>
    <w:rsid w:val="00C5426E"/>
    <w:rsid w:val="00C542F2"/>
    <w:rsid w:val="00C54335"/>
    <w:rsid w:val="00C5441D"/>
    <w:rsid w:val="00C54625"/>
    <w:rsid w:val="00C5476F"/>
    <w:rsid w:val="00C547B5"/>
    <w:rsid w:val="00C548B5"/>
    <w:rsid w:val="00C54A7D"/>
    <w:rsid w:val="00C54B46"/>
    <w:rsid w:val="00C54D14"/>
    <w:rsid w:val="00C55062"/>
    <w:rsid w:val="00C550B3"/>
    <w:rsid w:val="00C55470"/>
    <w:rsid w:val="00C554ED"/>
    <w:rsid w:val="00C5551E"/>
    <w:rsid w:val="00C5554A"/>
    <w:rsid w:val="00C555C6"/>
    <w:rsid w:val="00C555E6"/>
    <w:rsid w:val="00C556E7"/>
    <w:rsid w:val="00C55775"/>
    <w:rsid w:val="00C5593E"/>
    <w:rsid w:val="00C55A5A"/>
    <w:rsid w:val="00C55ACD"/>
    <w:rsid w:val="00C55AEA"/>
    <w:rsid w:val="00C55ED1"/>
    <w:rsid w:val="00C55F98"/>
    <w:rsid w:val="00C56014"/>
    <w:rsid w:val="00C560A1"/>
    <w:rsid w:val="00C56156"/>
    <w:rsid w:val="00C561B0"/>
    <w:rsid w:val="00C561C1"/>
    <w:rsid w:val="00C5631B"/>
    <w:rsid w:val="00C56692"/>
    <w:rsid w:val="00C566AE"/>
    <w:rsid w:val="00C5679D"/>
    <w:rsid w:val="00C56878"/>
    <w:rsid w:val="00C568D8"/>
    <w:rsid w:val="00C56A66"/>
    <w:rsid w:val="00C56CD0"/>
    <w:rsid w:val="00C56EC0"/>
    <w:rsid w:val="00C56F22"/>
    <w:rsid w:val="00C5716C"/>
    <w:rsid w:val="00C57194"/>
    <w:rsid w:val="00C5761B"/>
    <w:rsid w:val="00C576D4"/>
    <w:rsid w:val="00C57838"/>
    <w:rsid w:val="00C57869"/>
    <w:rsid w:val="00C578DE"/>
    <w:rsid w:val="00C57946"/>
    <w:rsid w:val="00C579E3"/>
    <w:rsid w:val="00C57B7D"/>
    <w:rsid w:val="00C57BC6"/>
    <w:rsid w:val="00C57F4E"/>
    <w:rsid w:val="00C600B2"/>
    <w:rsid w:val="00C60211"/>
    <w:rsid w:val="00C6027B"/>
    <w:rsid w:val="00C602B6"/>
    <w:rsid w:val="00C6037F"/>
    <w:rsid w:val="00C603F9"/>
    <w:rsid w:val="00C604B2"/>
    <w:rsid w:val="00C60640"/>
    <w:rsid w:val="00C60711"/>
    <w:rsid w:val="00C607DB"/>
    <w:rsid w:val="00C607F4"/>
    <w:rsid w:val="00C60BD5"/>
    <w:rsid w:val="00C60C1D"/>
    <w:rsid w:val="00C60CE6"/>
    <w:rsid w:val="00C60E5B"/>
    <w:rsid w:val="00C61016"/>
    <w:rsid w:val="00C6102C"/>
    <w:rsid w:val="00C6117A"/>
    <w:rsid w:val="00C6120D"/>
    <w:rsid w:val="00C6123F"/>
    <w:rsid w:val="00C6126B"/>
    <w:rsid w:val="00C612C8"/>
    <w:rsid w:val="00C61377"/>
    <w:rsid w:val="00C61380"/>
    <w:rsid w:val="00C614B4"/>
    <w:rsid w:val="00C61EE4"/>
    <w:rsid w:val="00C61F83"/>
    <w:rsid w:val="00C6207D"/>
    <w:rsid w:val="00C62157"/>
    <w:rsid w:val="00C62162"/>
    <w:rsid w:val="00C62221"/>
    <w:rsid w:val="00C62229"/>
    <w:rsid w:val="00C62347"/>
    <w:rsid w:val="00C625E7"/>
    <w:rsid w:val="00C626B0"/>
    <w:rsid w:val="00C626C4"/>
    <w:rsid w:val="00C62949"/>
    <w:rsid w:val="00C62D8A"/>
    <w:rsid w:val="00C62FCE"/>
    <w:rsid w:val="00C63038"/>
    <w:rsid w:val="00C631D1"/>
    <w:rsid w:val="00C63231"/>
    <w:rsid w:val="00C63339"/>
    <w:rsid w:val="00C6364E"/>
    <w:rsid w:val="00C63B6B"/>
    <w:rsid w:val="00C63C60"/>
    <w:rsid w:val="00C63FE6"/>
    <w:rsid w:val="00C640D1"/>
    <w:rsid w:val="00C6421E"/>
    <w:rsid w:val="00C6423E"/>
    <w:rsid w:val="00C64266"/>
    <w:rsid w:val="00C642E7"/>
    <w:rsid w:val="00C6434C"/>
    <w:rsid w:val="00C64389"/>
    <w:rsid w:val="00C64564"/>
    <w:rsid w:val="00C64576"/>
    <w:rsid w:val="00C64595"/>
    <w:rsid w:val="00C64B30"/>
    <w:rsid w:val="00C64B35"/>
    <w:rsid w:val="00C64C78"/>
    <w:rsid w:val="00C650AD"/>
    <w:rsid w:val="00C651FE"/>
    <w:rsid w:val="00C65432"/>
    <w:rsid w:val="00C6550F"/>
    <w:rsid w:val="00C6566C"/>
    <w:rsid w:val="00C6572E"/>
    <w:rsid w:val="00C6578C"/>
    <w:rsid w:val="00C6588D"/>
    <w:rsid w:val="00C65906"/>
    <w:rsid w:val="00C65910"/>
    <w:rsid w:val="00C65951"/>
    <w:rsid w:val="00C65A03"/>
    <w:rsid w:val="00C65B43"/>
    <w:rsid w:val="00C65CAF"/>
    <w:rsid w:val="00C65CFC"/>
    <w:rsid w:val="00C65D9C"/>
    <w:rsid w:val="00C660FB"/>
    <w:rsid w:val="00C66200"/>
    <w:rsid w:val="00C6620E"/>
    <w:rsid w:val="00C6636B"/>
    <w:rsid w:val="00C664CE"/>
    <w:rsid w:val="00C666BC"/>
    <w:rsid w:val="00C66722"/>
    <w:rsid w:val="00C6673C"/>
    <w:rsid w:val="00C66763"/>
    <w:rsid w:val="00C667F1"/>
    <w:rsid w:val="00C6681B"/>
    <w:rsid w:val="00C66957"/>
    <w:rsid w:val="00C669AF"/>
    <w:rsid w:val="00C669B7"/>
    <w:rsid w:val="00C669C4"/>
    <w:rsid w:val="00C66A33"/>
    <w:rsid w:val="00C66CBF"/>
    <w:rsid w:val="00C66F51"/>
    <w:rsid w:val="00C66F98"/>
    <w:rsid w:val="00C67030"/>
    <w:rsid w:val="00C67382"/>
    <w:rsid w:val="00C673BC"/>
    <w:rsid w:val="00C674C1"/>
    <w:rsid w:val="00C67546"/>
    <w:rsid w:val="00C67724"/>
    <w:rsid w:val="00C67954"/>
    <w:rsid w:val="00C67A7F"/>
    <w:rsid w:val="00C67A97"/>
    <w:rsid w:val="00C67B17"/>
    <w:rsid w:val="00C67C6B"/>
    <w:rsid w:val="00C701EF"/>
    <w:rsid w:val="00C701FB"/>
    <w:rsid w:val="00C70221"/>
    <w:rsid w:val="00C70336"/>
    <w:rsid w:val="00C7044A"/>
    <w:rsid w:val="00C704EC"/>
    <w:rsid w:val="00C708F0"/>
    <w:rsid w:val="00C709D5"/>
    <w:rsid w:val="00C70A6A"/>
    <w:rsid w:val="00C70BBF"/>
    <w:rsid w:val="00C70C99"/>
    <w:rsid w:val="00C70CC2"/>
    <w:rsid w:val="00C70DFD"/>
    <w:rsid w:val="00C70F42"/>
    <w:rsid w:val="00C710B1"/>
    <w:rsid w:val="00C7151B"/>
    <w:rsid w:val="00C715D3"/>
    <w:rsid w:val="00C71814"/>
    <w:rsid w:val="00C71BC7"/>
    <w:rsid w:val="00C71BE3"/>
    <w:rsid w:val="00C722B8"/>
    <w:rsid w:val="00C722E1"/>
    <w:rsid w:val="00C72540"/>
    <w:rsid w:val="00C726E4"/>
    <w:rsid w:val="00C72702"/>
    <w:rsid w:val="00C7287A"/>
    <w:rsid w:val="00C72A9B"/>
    <w:rsid w:val="00C72B32"/>
    <w:rsid w:val="00C72C1F"/>
    <w:rsid w:val="00C72D90"/>
    <w:rsid w:val="00C72E36"/>
    <w:rsid w:val="00C72E61"/>
    <w:rsid w:val="00C7317B"/>
    <w:rsid w:val="00C73204"/>
    <w:rsid w:val="00C73228"/>
    <w:rsid w:val="00C73335"/>
    <w:rsid w:val="00C734DA"/>
    <w:rsid w:val="00C7352B"/>
    <w:rsid w:val="00C739CD"/>
    <w:rsid w:val="00C73A92"/>
    <w:rsid w:val="00C73D1A"/>
    <w:rsid w:val="00C73FC9"/>
    <w:rsid w:val="00C7408A"/>
    <w:rsid w:val="00C740BA"/>
    <w:rsid w:val="00C740CA"/>
    <w:rsid w:val="00C740DC"/>
    <w:rsid w:val="00C74419"/>
    <w:rsid w:val="00C74611"/>
    <w:rsid w:val="00C7477C"/>
    <w:rsid w:val="00C7496B"/>
    <w:rsid w:val="00C74A50"/>
    <w:rsid w:val="00C74A71"/>
    <w:rsid w:val="00C74AE4"/>
    <w:rsid w:val="00C74B34"/>
    <w:rsid w:val="00C75139"/>
    <w:rsid w:val="00C7525B"/>
    <w:rsid w:val="00C7548E"/>
    <w:rsid w:val="00C7565B"/>
    <w:rsid w:val="00C757C3"/>
    <w:rsid w:val="00C758B0"/>
    <w:rsid w:val="00C75911"/>
    <w:rsid w:val="00C759E1"/>
    <w:rsid w:val="00C75D7E"/>
    <w:rsid w:val="00C75D97"/>
    <w:rsid w:val="00C75DDE"/>
    <w:rsid w:val="00C75E03"/>
    <w:rsid w:val="00C7600B"/>
    <w:rsid w:val="00C761BF"/>
    <w:rsid w:val="00C76228"/>
    <w:rsid w:val="00C762B5"/>
    <w:rsid w:val="00C764FF"/>
    <w:rsid w:val="00C767AB"/>
    <w:rsid w:val="00C76BF7"/>
    <w:rsid w:val="00C76C49"/>
    <w:rsid w:val="00C76CE2"/>
    <w:rsid w:val="00C76DBE"/>
    <w:rsid w:val="00C76E61"/>
    <w:rsid w:val="00C77026"/>
    <w:rsid w:val="00C774DE"/>
    <w:rsid w:val="00C774EC"/>
    <w:rsid w:val="00C77607"/>
    <w:rsid w:val="00C77617"/>
    <w:rsid w:val="00C77698"/>
    <w:rsid w:val="00C77864"/>
    <w:rsid w:val="00C77896"/>
    <w:rsid w:val="00C77A2D"/>
    <w:rsid w:val="00C77CF5"/>
    <w:rsid w:val="00C77F8B"/>
    <w:rsid w:val="00C77FE4"/>
    <w:rsid w:val="00C800C0"/>
    <w:rsid w:val="00C80326"/>
    <w:rsid w:val="00C8035B"/>
    <w:rsid w:val="00C8036A"/>
    <w:rsid w:val="00C805A8"/>
    <w:rsid w:val="00C8075B"/>
    <w:rsid w:val="00C8083F"/>
    <w:rsid w:val="00C809F2"/>
    <w:rsid w:val="00C80A77"/>
    <w:rsid w:val="00C80AA5"/>
    <w:rsid w:val="00C80AA8"/>
    <w:rsid w:val="00C80B99"/>
    <w:rsid w:val="00C80D5F"/>
    <w:rsid w:val="00C80D89"/>
    <w:rsid w:val="00C80FD1"/>
    <w:rsid w:val="00C81054"/>
    <w:rsid w:val="00C81377"/>
    <w:rsid w:val="00C8144D"/>
    <w:rsid w:val="00C81565"/>
    <w:rsid w:val="00C81642"/>
    <w:rsid w:val="00C81663"/>
    <w:rsid w:val="00C81759"/>
    <w:rsid w:val="00C819BB"/>
    <w:rsid w:val="00C81C96"/>
    <w:rsid w:val="00C82069"/>
    <w:rsid w:val="00C82097"/>
    <w:rsid w:val="00C82146"/>
    <w:rsid w:val="00C82372"/>
    <w:rsid w:val="00C82447"/>
    <w:rsid w:val="00C82608"/>
    <w:rsid w:val="00C8262E"/>
    <w:rsid w:val="00C82B1E"/>
    <w:rsid w:val="00C82B87"/>
    <w:rsid w:val="00C82BC8"/>
    <w:rsid w:val="00C830CC"/>
    <w:rsid w:val="00C8320A"/>
    <w:rsid w:val="00C8321D"/>
    <w:rsid w:val="00C8327F"/>
    <w:rsid w:val="00C832D1"/>
    <w:rsid w:val="00C832F2"/>
    <w:rsid w:val="00C83457"/>
    <w:rsid w:val="00C83473"/>
    <w:rsid w:val="00C83610"/>
    <w:rsid w:val="00C83769"/>
    <w:rsid w:val="00C837CB"/>
    <w:rsid w:val="00C83952"/>
    <w:rsid w:val="00C839FC"/>
    <w:rsid w:val="00C83A36"/>
    <w:rsid w:val="00C83A60"/>
    <w:rsid w:val="00C83CB6"/>
    <w:rsid w:val="00C83D28"/>
    <w:rsid w:val="00C83D6D"/>
    <w:rsid w:val="00C83DBB"/>
    <w:rsid w:val="00C83DF0"/>
    <w:rsid w:val="00C83FFE"/>
    <w:rsid w:val="00C84156"/>
    <w:rsid w:val="00C84204"/>
    <w:rsid w:val="00C8433F"/>
    <w:rsid w:val="00C846E0"/>
    <w:rsid w:val="00C84763"/>
    <w:rsid w:val="00C847A0"/>
    <w:rsid w:val="00C8489E"/>
    <w:rsid w:val="00C84961"/>
    <w:rsid w:val="00C84E46"/>
    <w:rsid w:val="00C84E89"/>
    <w:rsid w:val="00C84EC2"/>
    <w:rsid w:val="00C84F7F"/>
    <w:rsid w:val="00C8528B"/>
    <w:rsid w:val="00C85304"/>
    <w:rsid w:val="00C8539B"/>
    <w:rsid w:val="00C853A4"/>
    <w:rsid w:val="00C853B2"/>
    <w:rsid w:val="00C855FA"/>
    <w:rsid w:val="00C858D9"/>
    <w:rsid w:val="00C858F1"/>
    <w:rsid w:val="00C8596B"/>
    <w:rsid w:val="00C85982"/>
    <w:rsid w:val="00C859A2"/>
    <w:rsid w:val="00C85A2B"/>
    <w:rsid w:val="00C85AC3"/>
    <w:rsid w:val="00C85B01"/>
    <w:rsid w:val="00C85BCD"/>
    <w:rsid w:val="00C85DC9"/>
    <w:rsid w:val="00C85E5B"/>
    <w:rsid w:val="00C863D5"/>
    <w:rsid w:val="00C8662D"/>
    <w:rsid w:val="00C8662E"/>
    <w:rsid w:val="00C866A2"/>
    <w:rsid w:val="00C86891"/>
    <w:rsid w:val="00C86A03"/>
    <w:rsid w:val="00C86A77"/>
    <w:rsid w:val="00C86B9E"/>
    <w:rsid w:val="00C86C46"/>
    <w:rsid w:val="00C86CF5"/>
    <w:rsid w:val="00C86E6A"/>
    <w:rsid w:val="00C86E6E"/>
    <w:rsid w:val="00C86EA3"/>
    <w:rsid w:val="00C86F76"/>
    <w:rsid w:val="00C86FD7"/>
    <w:rsid w:val="00C87079"/>
    <w:rsid w:val="00C87114"/>
    <w:rsid w:val="00C8728F"/>
    <w:rsid w:val="00C87408"/>
    <w:rsid w:val="00C8758B"/>
    <w:rsid w:val="00C87749"/>
    <w:rsid w:val="00C87760"/>
    <w:rsid w:val="00C877C7"/>
    <w:rsid w:val="00C87955"/>
    <w:rsid w:val="00C87A52"/>
    <w:rsid w:val="00C87C96"/>
    <w:rsid w:val="00C87EE4"/>
    <w:rsid w:val="00C87FBC"/>
    <w:rsid w:val="00C87FFA"/>
    <w:rsid w:val="00C9027A"/>
    <w:rsid w:val="00C902FA"/>
    <w:rsid w:val="00C90434"/>
    <w:rsid w:val="00C904EB"/>
    <w:rsid w:val="00C90504"/>
    <w:rsid w:val="00C906B8"/>
    <w:rsid w:val="00C908CB"/>
    <w:rsid w:val="00C90955"/>
    <w:rsid w:val="00C90CAA"/>
    <w:rsid w:val="00C90CB5"/>
    <w:rsid w:val="00C90CE7"/>
    <w:rsid w:val="00C9104B"/>
    <w:rsid w:val="00C91139"/>
    <w:rsid w:val="00C91231"/>
    <w:rsid w:val="00C916C3"/>
    <w:rsid w:val="00C919A7"/>
    <w:rsid w:val="00C91A4E"/>
    <w:rsid w:val="00C91ADA"/>
    <w:rsid w:val="00C91D7D"/>
    <w:rsid w:val="00C91F0B"/>
    <w:rsid w:val="00C91FFF"/>
    <w:rsid w:val="00C92011"/>
    <w:rsid w:val="00C92071"/>
    <w:rsid w:val="00C92105"/>
    <w:rsid w:val="00C92134"/>
    <w:rsid w:val="00C92269"/>
    <w:rsid w:val="00C9256D"/>
    <w:rsid w:val="00C92665"/>
    <w:rsid w:val="00C926AE"/>
    <w:rsid w:val="00C927DF"/>
    <w:rsid w:val="00C92808"/>
    <w:rsid w:val="00C92902"/>
    <w:rsid w:val="00C9291D"/>
    <w:rsid w:val="00C929C3"/>
    <w:rsid w:val="00C92C01"/>
    <w:rsid w:val="00C92C77"/>
    <w:rsid w:val="00C92D1E"/>
    <w:rsid w:val="00C92DE7"/>
    <w:rsid w:val="00C92E87"/>
    <w:rsid w:val="00C92ECD"/>
    <w:rsid w:val="00C92EE6"/>
    <w:rsid w:val="00C92F02"/>
    <w:rsid w:val="00C92FA9"/>
    <w:rsid w:val="00C931D8"/>
    <w:rsid w:val="00C93373"/>
    <w:rsid w:val="00C93464"/>
    <w:rsid w:val="00C934E8"/>
    <w:rsid w:val="00C935B3"/>
    <w:rsid w:val="00C9363B"/>
    <w:rsid w:val="00C93651"/>
    <w:rsid w:val="00C9365B"/>
    <w:rsid w:val="00C93847"/>
    <w:rsid w:val="00C939EF"/>
    <w:rsid w:val="00C93BA7"/>
    <w:rsid w:val="00C93E81"/>
    <w:rsid w:val="00C93EC0"/>
    <w:rsid w:val="00C93F7A"/>
    <w:rsid w:val="00C9400F"/>
    <w:rsid w:val="00C9403E"/>
    <w:rsid w:val="00C941E1"/>
    <w:rsid w:val="00C9421D"/>
    <w:rsid w:val="00C942CA"/>
    <w:rsid w:val="00C942F8"/>
    <w:rsid w:val="00C9453E"/>
    <w:rsid w:val="00C94643"/>
    <w:rsid w:val="00C947F4"/>
    <w:rsid w:val="00C94836"/>
    <w:rsid w:val="00C94917"/>
    <w:rsid w:val="00C94929"/>
    <w:rsid w:val="00C949D1"/>
    <w:rsid w:val="00C94A2E"/>
    <w:rsid w:val="00C94AEB"/>
    <w:rsid w:val="00C94C27"/>
    <w:rsid w:val="00C94C53"/>
    <w:rsid w:val="00C94D0A"/>
    <w:rsid w:val="00C95470"/>
    <w:rsid w:val="00C954FC"/>
    <w:rsid w:val="00C9552D"/>
    <w:rsid w:val="00C95551"/>
    <w:rsid w:val="00C955EA"/>
    <w:rsid w:val="00C95623"/>
    <w:rsid w:val="00C9575D"/>
    <w:rsid w:val="00C95876"/>
    <w:rsid w:val="00C95B22"/>
    <w:rsid w:val="00C95C93"/>
    <w:rsid w:val="00C95E3E"/>
    <w:rsid w:val="00C95E50"/>
    <w:rsid w:val="00C96229"/>
    <w:rsid w:val="00C96318"/>
    <w:rsid w:val="00C96559"/>
    <w:rsid w:val="00C965B5"/>
    <w:rsid w:val="00C967B1"/>
    <w:rsid w:val="00C96879"/>
    <w:rsid w:val="00C96896"/>
    <w:rsid w:val="00C9699B"/>
    <w:rsid w:val="00C969DB"/>
    <w:rsid w:val="00C96B4D"/>
    <w:rsid w:val="00C96B8E"/>
    <w:rsid w:val="00C96BB7"/>
    <w:rsid w:val="00C96CE4"/>
    <w:rsid w:val="00C96EC8"/>
    <w:rsid w:val="00C96F14"/>
    <w:rsid w:val="00C96FC9"/>
    <w:rsid w:val="00C971DB"/>
    <w:rsid w:val="00C9720B"/>
    <w:rsid w:val="00C9727A"/>
    <w:rsid w:val="00C972FA"/>
    <w:rsid w:val="00C9749B"/>
    <w:rsid w:val="00C975BE"/>
    <w:rsid w:val="00CA0225"/>
    <w:rsid w:val="00CA028D"/>
    <w:rsid w:val="00CA029D"/>
    <w:rsid w:val="00CA03EA"/>
    <w:rsid w:val="00CA05CC"/>
    <w:rsid w:val="00CA0840"/>
    <w:rsid w:val="00CA095B"/>
    <w:rsid w:val="00CA09E4"/>
    <w:rsid w:val="00CA0A08"/>
    <w:rsid w:val="00CA0B92"/>
    <w:rsid w:val="00CA0C41"/>
    <w:rsid w:val="00CA0CA9"/>
    <w:rsid w:val="00CA0D22"/>
    <w:rsid w:val="00CA0D33"/>
    <w:rsid w:val="00CA0D51"/>
    <w:rsid w:val="00CA0D92"/>
    <w:rsid w:val="00CA1070"/>
    <w:rsid w:val="00CA114D"/>
    <w:rsid w:val="00CA1467"/>
    <w:rsid w:val="00CA16F7"/>
    <w:rsid w:val="00CA17A5"/>
    <w:rsid w:val="00CA184D"/>
    <w:rsid w:val="00CA18A3"/>
    <w:rsid w:val="00CA19D0"/>
    <w:rsid w:val="00CA1D04"/>
    <w:rsid w:val="00CA1D08"/>
    <w:rsid w:val="00CA2269"/>
    <w:rsid w:val="00CA2346"/>
    <w:rsid w:val="00CA2464"/>
    <w:rsid w:val="00CA24EB"/>
    <w:rsid w:val="00CA25F4"/>
    <w:rsid w:val="00CA2843"/>
    <w:rsid w:val="00CA28F8"/>
    <w:rsid w:val="00CA291F"/>
    <w:rsid w:val="00CA2973"/>
    <w:rsid w:val="00CA2AED"/>
    <w:rsid w:val="00CA2B6B"/>
    <w:rsid w:val="00CA2C0B"/>
    <w:rsid w:val="00CA2CD7"/>
    <w:rsid w:val="00CA2CDB"/>
    <w:rsid w:val="00CA2CF7"/>
    <w:rsid w:val="00CA2D31"/>
    <w:rsid w:val="00CA2DF8"/>
    <w:rsid w:val="00CA2E80"/>
    <w:rsid w:val="00CA2F35"/>
    <w:rsid w:val="00CA3294"/>
    <w:rsid w:val="00CA33E3"/>
    <w:rsid w:val="00CA376B"/>
    <w:rsid w:val="00CA3835"/>
    <w:rsid w:val="00CA3852"/>
    <w:rsid w:val="00CA3886"/>
    <w:rsid w:val="00CA3946"/>
    <w:rsid w:val="00CA398E"/>
    <w:rsid w:val="00CA39D9"/>
    <w:rsid w:val="00CA3D3A"/>
    <w:rsid w:val="00CA3FD3"/>
    <w:rsid w:val="00CA4036"/>
    <w:rsid w:val="00CA4190"/>
    <w:rsid w:val="00CA41FB"/>
    <w:rsid w:val="00CA42D4"/>
    <w:rsid w:val="00CA4A05"/>
    <w:rsid w:val="00CA4A7A"/>
    <w:rsid w:val="00CA4E56"/>
    <w:rsid w:val="00CA4E82"/>
    <w:rsid w:val="00CA5113"/>
    <w:rsid w:val="00CA5325"/>
    <w:rsid w:val="00CA541E"/>
    <w:rsid w:val="00CA58DF"/>
    <w:rsid w:val="00CA5997"/>
    <w:rsid w:val="00CA5A57"/>
    <w:rsid w:val="00CA5F02"/>
    <w:rsid w:val="00CA601F"/>
    <w:rsid w:val="00CA6038"/>
    <w:rsid w:val="00CA621E"/>
    <w:rsid w:val="00CA63C7"/>
    <w:rsid w:val="00CA649E"/>
    <w:rsid w:val="00CA65F6"/>
    <w:rsid w:val="00CA67A2"/>
    <w:rsid w:val="00CA689B"/>
    <w:rsid w:val="00CA68C7"/>
    <w:rsid w:val="00CA691E"/>
    <w:rsid w:val="00CA6A33"/>
    <w:rsid w:val="00CA6C6A"/>
    <w:rsid w:val="00CA6D4F"/>
    <w:rsid w:val="00CA6D7E"/>
    <w:rsid w:val="00CA6DB0"/>
    <w:rsid w:val="00CA6FF3"/>
    <w:rsid w:val="00CA70CA"/>
    <w:rsid w:val="00CA715F"/>
    <w:rsid w:val="00CA71B7"/>
    <w:rsid w:val="00CA7314"/>
    <w:rsid w:val="00CA7319"/>
    <w:rsid w:val="00CA752A"/>
    <w:rsid w:val="00CA7558"/>
    <w:rsid w:val="00CA7630"/>
    <w:rsid w:val="00CA7741"/>
    <w:rsid w:val="00CA7876"/>
    <w:rsid w:val="00CA787C"/>
    <w:rsid w:val="00CA796D"/>
    <w:rsid w:val="00CA7A92"/>
    <w:rsid w:val="00CA7AF0"/>
    <w:rsid w:val="00CA7B47"/>
    <w:rsid w:val="00CA7B5F"/>
    <w:rsid w:val="00CA7B82"/>
    <w:rsid w:val="00CA7CA1"/>
    <w:rsid w:val="00CA7F9F"/>
    <w:rsid w:val="00CA7FBE"/>
    <w:rsid w:val="00CB00F4"/>
    <w:rsid w:val="00CB0280"/>
    <w:rsid w:val="00CB02BA"/>
    <w:rsid w:val="00CB02F2"/>
    <w:rsid w:val="00CB03A6"/>
    <w:rsid w:val="00CB044D"/>
    <w:rsid w:val="00CB0678"/>
    <w:rsid w:val="00CB06DD"/>
    <w:rsid w:val="00CB07B5"/>
    <w:rsid w:val="00CB081B"/>
    <w:rsid w:val="00CB0915"/>
    <w:rsid w:val="00CB0DFF"/>
    <w:rsid w:val="00CB0E56"/>
    <w:rsid w:val="00CB0F4A"/>
    <w:rsid w:val="00CB1381"/>
    <w:rsid w:val="00CB1473"/>
    <w:rsid w:val="00CB14BA"/>
    <w:rsid w:val="00CB150C"/>
    <w:rsid w:val="00CB167F"/>
    <w:rsid w:val="00CB1A34"/>
    <w:rsid w:val="00CB1E14"/>
    <w:rsid w:val="00CB1E42"/>
    <w:rsid w:val="00CB1E6C"/>
    <w:rsid w:val="00CB2084"/>
    <w:rsid w:val="00CB238C"/>
    <w:rsid w:val="00CB2468"/>
    <w:rsid w:val="00CB255D"/>
    <w:rsid w:val="00CB2633"/>
    <w:rsid w:val="00CB28ED"/>
    <w:rsid w:val="00CB2AF6"/>
    <w:rsid w:val="00CB2CA0"/>
    <w:rsid w:val="00CB2E58"/>
    <w:rsid w:val="00CB2F1C"/>
    <w:rsid w:val="00CB302B"/>
    <w:rsid w:val="00CB36AB"/>
    <w:rsid w:val="00CB374A"/>
    <w:rsid w:val="00CB38C9"/>
    <w:rsid w:val="00CB3990"/>
    <w:rsid w:val="00CB3CD5"/>
    <w:rsid w:val="00CB3E76"/>
    <w:rsid w:val="00CB3F50"/>
    <w:rsid w:val="00CB4078"/>
    <w:rsid w:val="00CB417A"/>
    <w:rsid w:val="00CB4380"/>
    <w:rsid w:val="00CB443F"/>
    <w:rsid w:val="00CB44B4"/>
    <w:rsid w:val="00CB459D"/>
    <w:rsid w:val="00CB468C"/>
    <w:rsid w:val="00CB46E9"/>
    <w:rsid w:val="00CB4792"/>
    <w:rsid w:val="00CB497F"/>
    <w:rsid w:val="00CB4982"/>
    <w:rsid w:val="00CB49C8"/>
    <w:rsid w:val="00CB4B42"/>
    <w:rsid w:val="00CB4C09"/>
    <w:rsid w:val="00CB4C34"/>
    <w:rsid w:val="00CB4C44"/>
    <w:rsid w:val="00CB4E1B"/>
    <w:rsid w:val="00CB51AC"/>
    <w:rsid w:val="00CB5243"/>
    <w:rsid w:val="00CB5309"/>
    <w:rsid w:val="00CB5332"/>
    <w:rsid w:val="00CB5501"/>
    <w:rsid w:val="00CB58FA"/>
    <w:rsid w:val="00CB5B6B"/>
    <w:rsid w:val="00CB5BA9"/>
    <w:rsid w:val="00CB5DE3"/>
    <w:rsid w:val="00CB60C2"/>
    <w:rsid w:val="00CB63D4"/>
    <w:rsid w:val="00CB66E0"/>
    <w:rsid w:val="00CB67D7"/>
    <w:rsid w:val="00CB6809"/>
    <w:rsid w:val="00CB6883"/>
    <w:rsid w:val="00CB69E3"/>
    <w:rsid w:val="00CB6AC5"/>
    <w:rsid w:val="00CB6B2A"/>
    <w:rsid w:val="00CB6CE7"/>
    <w:rsid w:val="00CB6DE9"/>
    <w:rsid w:val="00CB6E8B"/>
    <w:rsid w:val="00CB6FEB"/>
    <w:rsid w:val="00CB7004"/>
    <w:rsid w:val="00CB701F"/>
    <w:rsid w:val="00CB7135"/>
    <w:rsid w:val="00CB71D7"/>
    <w:rsid w:val="00CB7214"/>
    <w:rsid w:val="00CB7460"/>
    <w:rsid w:val="00CB7473"/>
    <w:rsid w:val="00CB74D6"/>
    <w:rsid w:val="00CB761B"/>
    <w:rsid w:val="00CB76AA"/>
    <w:rsid w:val="00CB76EA"/>
    <w:rsid w:val="00CB78C6"/>
    <w:rsid w:val="00CB7AA7"/>
    <w:rsid w:val="00CB7BC4"/>
    <w:rsid w:val="00CB7C49"/>
    <w:rsid w:val="00CB7DCB"/>
    <w:rsid w:val="00CB7F87"/>
    <w:rsid w:val="00CB7FC8"/>
    <w:rsid w:val="00CC0004"/>
    <w:rsid w:val="00CC04D2"/>
    <w:rsid w:val="00CC05DD"/>
    <w:rsid w:val="00CC0826"/>
    <w:rsid w:val="00CC0845"/>
    <w:rsid w:val="00CC0AAC"/>
    <w:rsid w:val="00CC0C86"/>
    <w:rsid w:val="00CC0E50"/>
    <w:rsid w:val="00CC0F02"/>
    <w:rsid w:val="00CC11C6"/>
    <w:rsid w:val="00CC13BC"/>
    <w:rsid w:val="00CC13BF"/>
    <w:rsid w:val="00CC176B"/>
    <w:rsid w:val="00CC189A"/>
    <w:rsid w:val="00CC190E"/>
    <w:rsid w:val="00CC1AB5"/>
    <w:rsid w:val="00CC1ACC"/>
    <w:rsid w:val="00CC1AF1"/>
    <w:rsid w:val="00CC1B77"/>
    <w:rsid w:val="00CC1C0A"/>
    <w:rsid w:val="00CC1CA0"/>
    <w:rsid w:val="00CC1CC6"/>
    <w:rsid w:val="00CC1D5F"/>
    <w:rsid w:val="00CC1FB3"/>
    <w:rsid w:val="00CC1FC7"/>
    <w:rsid w:val="00CC214E"/>
    <w:rsid w:val="00CC2543"/>
    <w:rsid w:val="00CC2555"/>
    <w:rsid w:val="00CC28E9"/>
    <w:rsid w:val="00CC2947"/>
    <w:rsid w:val="00CC2A51"/>
    <w:rsid w:val="00CC2B13"/>
    <w:rsid w:val="00CC2B7D"/>
    <w:rsid w:val="00CC2CDE"/>
    <w:rsid w:val="00CC2F38"/>
    <w:rsid w:val="00CC3037"/>
    <w:rsid w:val="00CC3049"/>
    <w:rsid w:val="00CC3089"/>
    <w:rsid w:val="00CC31CE"/>
    <w:rsid w:val="00CC31D8"/>
    <w:rsid w:val="00CC33F5"/>
    <w:rsid w:val="00CC345E"/>
    <w:rsid w:val="00CC348C"/>
    <w:rsid w:val="00CC3592"/>
    <w:rsid w:val="00CC3699"/>
    <w:rsid w:val="00CC36CD"/>
    <w:rsid w:val="00CC3764"/>
    <w:rsid w:val="00CC376F"/>
    <w:rsid w:val="00CC382C"/>
    <w:rsid w:val="00CC3874"/>
    <w:rsid w:val="00CC3883"/>
    <w:rsid w:val="00CC392B"/>
    <w:rsid w:val="00CC39A7"/>
    <w:rsid w:val="00CC3A32"/>
    <w:rsid w:val="00CC3A38"/>
    <w:rsid w:val="00CC3CB6"/>
    <w:rsid w:val="00CC3D32"/>
    <w:rsid w:val="00CC4153"/>
    <w:rsid w:val="00CC415D"/>
    <w:rsid w:val="00CC4160"/>
    <w:rsid w:val="00CC4285"/>
    <w:rsid w:val="00CC42AD"/>
    <w:rsid w:val="00CC4310"/>
    <w:rsid w:val="00CC4370"/>
    <w:rsid w:val="00CC4451"/>
    <w:rsid w:val="00CC46AB"/>
    <w:rsid w:val="00CC47B7"/>
    <w:rsid w:val="00CC47D4"/>
    <w:rsid w:val="00CC4948"/>
    <w:rsid w:val="00CC4AAD"/>
    <w:rsid w:val="00CC4C25"/>
    <w:rsid w:val="00CC4D8B"/>
    <w:rsid w:val="00CC4DCC"/>
    <w:rsid w:val="00CC4FC5"/>
    <w:rsid w:val="00CC51FD"/>
    <w:rsid w:val="00CC535A"/>
    <w:rsid w:val="00CC5386"/>
    <w:rsid w:val="00CC5483"/>
    <w:rsid w:val="00CC550C"/>
    <w:rsid w:val="00CC557D"/>
    <w:rsid w:val="00CC5656"/>
    <w:rsid w:val="00CC568A"/>
    <w:rsid w:val="00CC5882"/>
    <w:rsid w:val="00CC58B1"/>
    <w:rsid w:val="00CC5C5B"/>
    <w:rsid w:val="00CC5D1D"/>
    <w:rsid w:val="00CC5D72"/>
    <w:rsid w:val="00CC5EB7"/>
    <w:rsid w:val="00CC5EC1"/>
    <w:rsid w:val="00CC5F49"/>
    <w:rsid w:val="00CC5F8F"/>
    <w:rsid w:val="00CC5FAC"/>
    <w:rsid w:val="00CC600A"/>
    <w:rsid w:val="00CC61D7"/>
    <w:rsid w:val="00CC6316"/>
    <w:rsid w:val="00CC63FE"/>
    <w:rsid w:val="00CC6529"/>
    <w:rsid w:val="00CC6587"/>
    <w:rsid w:val="00CC682B"/>
    <w:rsid w:val="00CC6898"/>
    <w:rsid w:val="00CC6DE4"/>
    <w:rsid w:val="00CC6F20"/>
    <w:rsid w:val="00CC6FA3"/>
    <w:rsid w:val="00CC701C"/>
    <w:rsid w:val="00CC70D0"/>
    <w:rsid w:val="00CC71F0"/>
    <w:rsid w:val="00CC72DF"/>
    <w:rsid w:val="00CC746F"/>
    <w:rsid w:val="00CC7715"/>
    <w:rsid w:val="00CC789F"/>
    <w:rsid w:val="00CC78F7"/>
    <w:rsid w:val="00CC797A"/>
    <w:rsid w:val="00CC7A25"/>
    <w:rsid w:val="00CC7A33"/>
    <w:rsid w:val="00CC7BFC"/>
    <w:rsid w:val="00CC7D55"/>
    <w:rsid w:val="00CC7D97"/>
    <w:rsid w:val="00CC7EA2"/>
    <w:rsid w:val="00CC7EDB"/>
    <w:rsid w:val="00CC7EDC"/>
    <w:rsid w:val="00CD012C"/>
    <w:rsid w:val="00CD01C2"/>
    <w:rsid w:val="00CD03EE"/>
    <w:rsid w:val="00CD042A"/>
    <w:rsid w:val="00CD0453"/>
    <w:rsid w:val="00CD0454"/>
    <w:rsid w:val="00CD0577"/>
    <w:rsid w:val="00CD0669"/>
    <w:rsid w:val="00CD06D0"/>
    <w:rsid w:val="00CD0801"/>
    <w:rsid w:val="00CD0989"/>
    <w:rsid w:val="00CD0997"/>
    <w:rsid w:val="00CD0A76"/>
    <w:rsid w:val="00CD0BFA"/>
    <w:rsid w:val="00CD0C19"/>
    <w:rsid w:val="00CD0D63"/>
    <w:rsid w:val="00CD0E39"/>
    <w:rsid w:val="00CD0EA9"/>
    <w:rsid w:val="00CD13B8"/>
    <w:rsid w:val="00CD1447"/>
    <w:rsid w:val="00CD1454"/>
    <w:rsid w:val="00CD1656"/>
    <w:rsid w:val="00CD1881"/>
    <w:rsid w:val="00CD1951"/>
    <w:rsid w:val="00CD1999"/>
    <w:rsid w:val="00CD19B3"/>
    <w:rsid w:val="00CD19D8"/>
    <w:rsid w:val="00CD1A0A"/>
    <w:rsid w:val="00CD1A6C"/>
    <w:rsid w:val="00CD1A86"/>
    <w:rsid w:val="00CD1CAB"/>
    <w:rsid w:val="00CD1CB1"/>
    <w:rsid w:val="00CD1E26"/>
    <w:rsid w:val="00CD1EC6"/>
    <w:rsid w:val="00CD1EE3"/>
    <w:rsid w:val="00CD1F0D"/>
    <w:rsid w:val="00CD206B"/>
    <w:rsid w:val="00CD22E5"/>
    <w:rsid w:val="00CD23C0"/>
    <w:rsid w:val="00CD2695"/>
    <w:rsid w:val="00CD26A6"/>
    <w:rsid w:val="00CD273B"/>
    <w:rsid w:val="00CD2751"/>
    <w:rsid w:val="00CD276D"/>
    <w:rsid w:val="00CD2BD3"/>
    <w:rsid w:val="00CD2CC3"/>
    <w:rsid w:val="00CD2D36"/>
    <w:rsid w:val="00CD2D5A"/>
    <w:rsid w:val="00CD2E41"/>
    <w:rsid w:val="00CD2EF2"/>
    <w:rsid w:val="00CD2F61"/>
    <w:rsid w:val="00CD303A"/>
    <w:rsid w:val="00CD304B"/>
    <w:rsid w:val="00CD3270"/>
    <w:rsid w:val="00CD334D"/>
    <w:rsid w:val="00CD337C"/>
    <w:rsid w:val="00CD33CB"/>
    <w:rsid w:val="00CD33FE"/>
    <w:rsid w:val="00CD347F"/>
    <w:rsid w:val="00CD349E"/>
    <w:rsid w:val="00CD3513"/>
    <w:rsid w:val="00CD35ED"/>
    <w:rsid w:val="00CD368D"/>
    <w:rsid w:val="00CD384A"/>
    <w:rsid w:val="00CD3855"/>
    <w:rsid w:val="00CD3875"/>
    <w:rsid w:val="00CD3893"/>
    <w:rsid w:val="00CD3901"/>
    <w:rsid w:val="00CD39D6"/>
    <w:rsid w:val="00CD3AF8"/>
    <w:rsid w:val="00CD3B4A"/>
    <w:rsid w:val="00CD3D01"/>
    <w:rsid w:val="00CD3F44"/>
    <w:rsid w:val="00CD3F9B"/>
    <w:rsid w:val="00CD3FDE"/>
    <w:rsid w:val="00CD3FFD"/>
    <w:rsid w:val="00CD40F6"/>
    <w:rsid w:val="00CD40F8"/>
    <w:rsid w:val="00CD41EE"/>
    <w:rsid w:val="00CD4230"/>
    <w:rsid w:val="00CD428C"/>
    <w:rsid w:val="00CD440E"/>
    <w:rsid w:val="00CD444D"/>
    <w:rsid w:val="00CD45DC"/>
    <w:rsid w:val="00CD464C"/>
    <w:rsid w:val="00CD4E56"/>
    <w:rsid w:val="00CD4E8F"/>
    <w:rsid w:val="00CD4F98"/>
    <w:rsid w:val="00CD51E5"/>
    <w:rsid w:val="00CD5215"/>
    <w:rsid w:val="00CD531B"/>
    <w:rsid w:val="00CD5495"/>
    <w:rsid w:val="00CD56B1"/>
    <w:rsid w:val="00CD5772"/>
    <w:rsid w:val="00CD587F"/>
    <w:rsid w:val="00CD58AD"/>
    <w:rsid w:val="00CD5D1F"/>
    <w:rsid w:val="00CD5F16"/>
    <w:rsid w:val="00CD5F70"/>
    <w:rsid w:val="00CD617D"/>
    <w:rsid w:val="00CD661C"/>
    <w:rsid w:val="00CD6693"/>
    <w:rsid w:val="00CD67F3"/>
    <w:rsid w:val="00CD6886"/>
    <w:rsid w:val="00CD6A56"/>
    <w:rsid w:val="00CD6C04"/>
    <w:rsid w:val="00CD6C6C"/>
    <w:rsid w:val="00CD6CB0"/>
    <w:rsid w:val="00CD6CB4"/>
    <w:rsid w:val="00CD6D76"/>
    <w:rsid w:val="00CD6E2B"/>
    <w:rsid w:val="00CD6EF2"/>
    <w:rsid w:val="00CD6F97"/>
    <w:rsid w:val="00CD71A2"/>
    <w:rsid w:val="00CD71B4"/>
    <w:rsid w:val="00CD72DB"/>
    <w:rsid w:val="00CD72DF"/>
    <w:rsid w:val="00CD736D"/>
    <w:rsid w:val="00CD7531"/>
    <w:rsid w:val="00CD7955"/>
    <w:rsid w:val="00CD7996"/>
    <w:rsid w:val="00CD7A72"/>
    <w:rsid w:val="00CD7A8D"/>
    <w:rsid w:val="00CD7B45"/>
    <w:rsid w:val="00CD7B65"/>
    <w:rsid w:val="00CD7D7E"/>
    <w:rsid w:val="00CD7F5F"/>
    <w:rsid w:val="00CE017E"/>
    <w:rsid w:val="00CE02F8"/>
    <w:rsid w:val="00CE0308"/>
    <w:rsid w:val="00CE0373"/>
    <w:rsid w:val="00CE03CB"/>
    <w:rsid w:val="00CE0737"/>
    <w:rsid w:val="00CE09F4"/>
    <w:rsid w:val="00CE0A2F"/>
    <w:rsid w:val="00CE0BCA"/>
    <w:rsid w:val="00CE0CB0"/>
    <w:rsid w:val="00CE0D2C"/>
    <w:rsid w:val="00CE0E1B"/>
    <w:rsid w:val="00CE0F18"/>
    <w:rsid w:val="00CE12F7"/>
    <w:rsid w:val="00CE1303"/>
    <w:rsid w:val="00CE1470"/>
    <w:rsid w:val="00CE15A9"/>
    <w:rsid w:val="00CE15DF"/>
    <w:rsid w:val="00CE15E6"/>
    <w:rsid w:val="00CE1698"/>
    <w:rsid w:val="00CE1704"/>
    <w:rsid w:val="00CE17AB"/>
    <w:rsid w:val="00CE1895"/>
    <w:rsid w:val="00CE18E7"/>
    <w:rsid w:val="00CE1904"/>
    <w:rsid w:val="00CE1A6D"/>
    <w:rsid w:val="00CE1E3D"/>
    <w:rsid w:val="00CE1F4C"/>
    <w:rsid w:val="00CE2100"/>
    <w:rsid w:val="00CE2476"/>
    <w:rsid w:val="00CE26FB"/>
    <w:rsid w:val="00CE27B2"/>
    <w:rsid w:val="00CE281F"/>
    <w:rsid w:val="00CE2839"/>
    <w:rsid w:val="00CE29FC"/>
    <w:rsid w:val="00CE29FE"/>
    <w:rsid w:val="00CE2E7E"/>
    <w:rsid w:val="00CE2F3A"/>
    <w:rsid w:val="00CE2F4E"/>
    <w:rsid w:val="00CE3494"/>
    <w:rsid w:val="00CE34FC"/>
    <w:rsid w:val="00CE3519"/>
    <w:rsid w:val="00CE357F"/>
    <w:rsid w:val="00CE35FF"/>
    <w:rsid w:val="00CE37BE"/>
    <w:rsid w:val="00CE3A21"/>
    <w:rsid w:val="00CE3A36"/>
    <w:rsid w:val="00CE3B3B"/>
    <w:rsid w:val="00CE3B52"/>
    <w:rsid w:val="00CE3C1F"/>
    <w:rsid w:val="00CE3E6D"/>
    <w:rsid w:val="00CE3F05"/>
    <w:rsid w:val="00CE3F0F"/>
    <w:rsid w:val="00CE400D"/>
    <w:rsid w:val="00CE4312"/>
    <w:rsid w:val="00CE4340"/>
    <w:rsid w:val="00CE4496"/>
    <w:rsid w:val="00CE44D0"/>
    <w:rsid w:val="00CE469D"/>
    <w:rsid w:val="00CE4707"/>
    <w:rsid w:val="00CE4A50"/>
    <w:rsid w:val="00CE4C4F"/>
    <w:rsid w:val="00CE4DF2"/>
    <w:rsid w:val="00CE4FFA"/>
    <w:rsid w:val="00CE5014"/>
    <w:rsid w:val="00CE5135"/>
    <w:rsid w:val="00CE5181"/>
    <w:rsid w:val="00CE52CC"/>
    <w:rsid w:val="00CE5344"/>
    <w:rsid w:val="00CE5416"/>
    <w:rsid w:val="00CE5465"/>
    <w:rsid w:val="00CE555E"/>
    <w:rsid w:val="00CE55DF"/>
    <w:rsid w:val="00CE59CB"/>
    <w:rsid w:val="00CE5AB8"/>
    <w:rsid w:val="00CE5AEC"/>
    <w:rsid w:val="00CE5C07"/>
    <w:rsid w:val="00CE5D87"/>
    <w:rsid w:val="00CE5E24"/>
    <w:rsid w:val="00CE6098"/>
    <w:rsid w:val="00CE60A5"/>
    <w:rsid w:val="00CE6333"/>
    <w:rsid w:val="00CE6371"/>
    <w:rsid w:val="00CE65A0"/>
    <w:rsid w:val="00CE65FA"/>
    <w:rsid w:val="00CE664F"/>
    <w:rsid w:val="00CE6749"/>
    <w:rsid w:val="00CE678A"/>
    <w:rsid w:val="00CE67C3"/>
    <w:rsid w:val="00CE68CF"/>
    <w:rsid w:val="00CE6AB8"/>
    <w:rsid w:val="00CE6E72"/>
    <w:rsid w:val="00CE6F5C"/>
    <w:rsid w:val="00CE7195"/>
    <w:rsid w:val="00CE72AE"/>
    <w:rsid w:val="00CE760B"/>
    <w:rsid w:val="00CE76B1"/>
    <w:rsid w:val="00CE76C6"/>
    <w:rsid w:val="00CE77E5"/>
    <w:rsid w:val="00CE79DA"/>
    <w:rsid w:val="00CE7A7A"/>
    <w:rsid w:val="00CE7AE5"/>
    <w:rsid w:val="00CE7B1C"/>
    <w:rsid w:val="00CE7E42"/>
    <w:rsid w:val="00CF0126"/>
    <w:rsid w:val="00CF012B"/>
    <w:rsid w:val="00CF0163"/>
    <w:rsid w:val="00CF01AE"/>
    <w:rsid w:val="00CF0210"/>
    <w:rsid w:val="00CF0427"/>
    <w:rsid w:val="00CF055F"/>
    <w:rsid w:val="00CF068A"/>
    <w:rsid w:val="00CF07EE"/>
    <w:rsid w:val="00CF094F"/>
    <w:rsid w:val="00CF0BA6"/>
    <w:rsid w:val="00CF0DA4"/>
    <w:rsid w:val="00CF11E4"/>
    <w:rsid w:val="00CF121B"/>
    <w:rsid w:val="00CF12AD"/>
    <w:rsid w:val="00CF12FE"/>
    <w:rsid w:val="00CF162D"/>
    <w:rsid w:val="00CF166A"/>
    <w:rsid w:val="00CF1703"/>
    <w:rsid w:val="00CF1739"/>
    <w:rsid w:val="00CF193C"/>
    <w:rsid w:val="00CF1A69"/>
    <w:rsid w:val="00CF1CB3"/>
    <w:rsid w:val="00CF1D14"/>
    <w:rsid w:val="00CF1D3D"/>
    <w:rsid w:val="00CF1D56"/>
    <w:rsid w:val="00CF1DA1"/>
    <w:rsid w:val="00CF1EB6"/>
    <w:rsid w:val="00CF20C7"/>
    <w:rsid w:val="00CF20EE"/>
    <w:rsid w:val="00CF214C"/>
    <w:rsid w:val="00CF21D6"/>
    <w:rsid w:val="00CF2274"/>
    <w:rsid w:val="00CF22CB"/>
    <w:rsid w:val="00CF22CD"/>
    <w:rsid w:val="00CF23C1"/>
    <w:rsid w:val="00CF2547"/>
    <w:rsid w:val="00CF25C6"/>
    <w:rsid w:val="00CF264C"/>
    <w:rsid w:val="00CF2942"/>
    <w:rsid w:val="00CF2947"/>
    <w:rsid w:val="00CF2BA8"/>
    <w:rsid w:val="00CF2C8E"/>
    <w:rsid w:val="00CF2D8F"/>
    <w:rsid w:val="00CF2DF3"/>
    <w:rsid w:val="00CF2F6D"/>
    <w:rsid w:val="00CF328E"/>
    <w:rsid w:val="00CF3349"/>
    <w:rsid w:val="00CF3373"/>
    <w:rsid w:val="00CF3493"/>
    <w:rsid w:val="00CF3497"/>
    <w:rsid w:val="00CF35EA"/>
    <w:rsid w:val="00CF3749"/>
    <w:rsid w:val="00CF394D"/>
    <w:rsid w:val="00CF3BE5"/>
    <w:rsid w:val="00CF3D42"/>
    <w:rsid w:val="00CF3E8F"/>
    <w:rsid w:val="00CF3EEB"/>
    <w:rsid w:val="00CF40DA"/>
    <w:rsid w:val="00CF421E"/>
    <w:rsid w:val="00CF42CF"/>
    <w:rsid w:val="00CF430C"/>
    <w:rsid w:val="00CF4674"/>
    <w:rsid w:val="00CF47A5"/>
    <w:rsid w:val="00CF48B7"/>
    <w:rsid w:val="00CF495F"/>
    <w:rsid w:val="00CF4969"/>
    <w:rsid w:val="00CF4A03"/>
    <w:rsid w:val="00CF4A1F"/>
    <w:rsid w:val="00CF4B21"/>
    <w:rsid w:val="00CF4B26"/>
    <w:rsid w:val="00CF4FA8"/>
    <w:rsid w:val="00CF4FEE"/>
    <w:rsid w:val="00CF50CE"/>
    <w:rsid w:val="00CF51D6"/>
    <w:rsid w:val="00CF52BF"/>
    <w:rsid w:val="00CF52DA"/>
    <w:rsid w:val="00CF5378"/>
    <w:rsid w:val="00CF54FE"/>
    <w:rsid w:val="00CF567D"/>
    <w:rsid w:val="00CF5C64"/>
    <w:rsid w:val="00CF5D27"/>
    <w:rsid w:val="00CF60F1"/>
    <w:rsid w:val="00CF6101"/>
    <w:rsid w:val="00CF614C"/>
    <w:rsid w:val="00CF625A"/>
    <w:rsid w:val="00CF6426"/>
    <w:rsid w:val="00CF6510"/>
    <w:rsid w:val="00CF65EB"/>
    <w:rsid w:val="00CF6A0E"/>
    <w:rsid w:val="00CF6B4B"/>
    <w:rsid w:val="00CF6C2B"/>
    <w:rsid w:val="00CF6E9D"/>
    <w:rsid w:val="00CF6FB6"/>
    <w:rsid w:val="00CF70DB"/>
    <w:rsid w:val="00CF70FE"/>
    <w:rsid w:val="00CF715D"/>
    <w:rsid w:val="00CF748C"/>
    <w:rsid w:val="00CF74B4"/>
    <w:rsid w:val="00CF76C8"/>
    <w:rsid w:val="00CF7828"/>
    <w:rsid w:val="00CF7BFE"/>
    <w:rsid w:val="00CF7E5E"/>
    <w:rsid w:val="00CF7F59"/>
    <w:rsid w:val="00CF7FA4"/>
    <w:rsid w:val="00D00079"/>
    <w:rsid w:val="00D001BC"/>
    <w:rsid w:val="00D00340"/>
    <w:rsid w:val="00D00379"/>
    <w:rsid w:val="00D003A7"/>
    <w:rsid w:val="00D0066F"/>
    <w:rsid w:val="00D00774"/>
    <w:rsid w:val="00D007DE"/>
    <w:rsid w:val="00D00C7B"/>
    <w:rsid w:val="00D00E0F"/>
    <w:rsid w:val="00D01089"/>
    <w:rsid w:val="00D010C3"/>
    <w:rsid w:val="00D0111C"/>
    <w:rsid w:val="00D0112F"/>
    <w:rsid w:val="00D0149D"/>
    <w:rsid w:val="00D01745"/>
    <w:rsid w:val="00D01920"/>
    <w:rsid w:val="00D01A3D"/>
    <w:rsid w:val="00D01A62"/>
    <w:rsid w:val="00D01A81"/>
    <w:rsid w:val="00D01C00"/>
    <w:rsid w:val="00D01CBE"/>
    <w:rsid w:val="00D01D1A"/>
    <w:rsid w:val="00D01F5D"/>
    <w:rsid w:val="00D020DF"/>
    <w:rsid w:val="00D0210F"/>
    <w:rsid w:val="00D02159"/>
    <w:rsid w:val="00D02562"/>
    <w:rsid w:val="00D0262C"/>
    <w:rsid w:val="00D02698"/>
    <w:rsid w:val="00D026CB"/>
    <w:rsid w:val="00D0272D"/>
    <w:rsid w:val="00D0277F"/>
    <w:rsid w:val="00D028C6"/>
    <w:rsid w:val="00D02A28"/>
    <w:rsid w:val="00D02A4E"/>
    <w:rsid w:val="00D02C8A"/>
    <w:rsid w:val="00D02D5B"/>
    <w:rsid w:val="00D02E19"/>
    <w:rsid w:val="00D030D8"/>
    <w:rsid w:val="00D03555"/>
    <w:rsid w:val="00D035AF"/>
    <w:rsid w:val="00D03687"/>
    <w:rsid w:val="00D036AA"/>
    <w:rsid w:val="00D037FA"/>
    <w:rsid w:val="00D03856"/>
    <w:rsid w:val="00D03994"/>
    <w:rsid w:val="00D03B87"/>
    <w:rsid w:val="00D03C17"/>
    <w:rsid w:val="00D03CC7"/>
    <w:rsid w:val="00D03D40"/>
    <w:rsid w:val="00D040DA"/>
    <w:rsid w:val="00D040F6"/>
    <w:rsid w:val="00D04145"/>
    <w:rsid w:val="00D04213"/>
    <w:rsid w:val="00D042C8"/>
    <w:rsid w:val="00D042DE"/>
    <w:rsid w:val="00D0430E"/>
    <w:rsid w:val="00D04436"/>
    <w:rsid w:val="00D04453"/>
    <w:rsid w:val="00D04480"/>
    <w:rsid w:val="00D045AD"/>
    <w:rsid w:val="00D045D4"/>
    <w:rsid w:val="00D046BD"/>
    <w:rsid w:val="00D04700"/>
    <w:rsid w:val="00D047D3"/>
    <w:rsid w:val="00D0491E"/>
    <w:rsid w:val="00D04A02"/>
    <w:rsid w:val="00D04A82"/>
    <w:rsid w:val="00D04A90"/>
    <w:rsid w:val="00D04B0B"/>
    <w:rsid w:val="00D04E33"/>
    <w:rsid w:val="00D04E63"/>
    <w:rsid w:val="00D0504F"/>
    <w:rsid w:val="00D05052"/>
    <w:rsid w:val="00D05115"/>
    <w:rsid w:val="00D05266"/>
    <w:rsid w:val="00D053EE"/>
    <w:rsid w:val="00D05651"/>
    <w:rsid w:val="00D05728"/>
    <w:rsid w:val="00D05734"/>
    <w:rsid w:val="00D057C3"/>
    <w:rsid w:val="00D05816"/>
    <w:rsid w:val="00D0586E"/>
    <w:rsid w:val="00D058E1"/>
    <w:rsid w:val="00D05A05"/>
    <w:rsid w:val="00D05A33"/>
    <w:rsid w:val="00D05B26"/>
    <w:rsid w:val="00D05BB9"/>
    <w:rsid w:val="00D05D0F"/>
    <w:rsid w:val="00D06444"/>
    <w:rsid w:val="00D064AB"/>
    <w:rsid w:val="00D0661E"/>
    <w:rsid w:val="00D0662B"/>
    <w:rsid w:val="00D067B2"/>
    <w:rsid w:val="00D06A99"/>
    <w:rsid w:val="00D06D51"/>
    <w:rsid w:val="00D06DE4"/>
    <w:rsid w:val="00D07221"/>
    <w:rsid w:val="00D0750D"/>
    <w:rsid w:val="00D075AA"/>
    <w:rsid w:val="00D07638"/>
    <w:rsid w:val="00D07795"/>
    <w:rsid w:val="00D07824"/>
    <w:rsid w:val="00D078F2"/>
    <w:rsid w:val="00D0799A"/>
    <w:rsid w:val="00D07C10"/>
    <w:rsid w:val="00D07C69"/>
    <w:rsid w:val="00D07DCC"/>
    <w:rsid w:val="00D07E5F"/>
    <w:rsid w:val="00D07E60"/>
    <w:rsid w:val="00D07EB0"/>
    <w:rsid w:val="00D1001E"/>
    <w:rsid w:val="00D102AD"/>
    <w:rsid w:val="00D102B8"/>
    <w:rsid w:val="00D1047E"/>
    <w:rsid w:val="00D10515"/>
    <w:rsid w:val="00D105B7"/>
    <w:rsid w:val="00D105DD"/>
    <w:rsid w:val="00D10623"/>
    <w:rsid w:val="00D106B8"/>
    <w:rsid w:val="00D1073F"/>
    <w:rsid w:val="00D10746"/>
    <w:rsid w:val="00D10756"/>
    <w:rsid w:val="00D10869"/>
    <w:rsid w:val="00D10A11"/>
    <w:rsid w:val="00D10A67"/>
    <w:rsid w:val="00D10A82"/>
    <w:rsid w:val="00D10E5F"/>
    <w:rsid w:val="00D1102A"/>
    <w:rsid w:val="00D11082"/>
    <w:rsid w:val="00D110F0"/>
    <w:rsid w:val="00D113FE"/>
    <w:rsid w:val="00D116D4"/>
    <w:rsid w:val="00D11783"/>
    <w:rsid w:val="00D11795"/>
    <w:rsid w:val="00D117D2"/>
    <w:rsid w:val="00D11C85"/>
    <w:rsid w:val="00D11C92"/>
    <w:rsid w:val="00D12083"/>
    <w:rsid w:val="00D12249"/>
    <w:rsid w:val="00D1241C"/>
    <w:rsid w:val="00D12519"/>
    <w:rsid w:val="00D1288C"/>
    <w:rsid w:val="00D12942"/>
    <w:rsid w:val="00D12A1B"/>
    <w:rsid w:val="00D12BA5"/>
    <w:rsid w:val="00D12C41"/>
    <w:rsid w:val="00D12C43"/>
    <w:rsid w:val="00D12D43"/>
    <w:rsid w:val="00D12E88"/>
    <w:rsid w:val="00D12FC4"/>
    <w:rsid w:val="00D13237"/>
    <w:rsid w:val="00D133AD"/>
    <w:rsid w:val="00D13541"/>
    <w:rsid w:val="00D136BE"/>
    <w:rsid w:val="00D136F6"/>
    <w:rsid w:val="00D13867"/>
    <w:rsid w:val="00D13872"/>
    <w:rsid w:val="00D13A9E"/>
    <w:rsid w:val="00D13ACA"/>
    <w:rsid w:val="00D13CF2"/>
    <w:rsid w:val="00D142EB"/>
    <w:rsid w:val="00D14318"/>
    <w:rsid w:val="00D14433"/>
    <w:rsid w:val="00D144AD"/>
    <w:rsid w:val="00D1451D"/>
    <w:rsid w:val="00D1472C"/>
    <w:rsid w:val="00D14988"/>
    <w:rsid w:val="00D14999"/>
    <w:rsid w:val="00D14A72"/>
    <w:rsid w:val="00D14BED"/>
    <w:rsid w:val="00D14D09"/>
    <w:rsid w:val="00D14E62"/>
    <w:rsid w:val="00D14E8B"/>
    <w:rsid w:val="00D14EB3"/>
    <w:rsid w:val="00D14FB4"/>
    <w:rsid w:val="00D15020"/>
    <w:rsid w:val="00D15037"/>
    <w:rsid w:val="00D15153"/>
    <w:rsid w:val="00D15395"/>
    <w:rsid w:val="00D153C8"/>
    <w:rsid w:val="00D1547B"/>
    <w:rsid w:val="00D154B2"/>
    <w:rsid w:val="00D156E7"/>
    <w:rsid w:val="00D15877"/>
    <w:rsid w:val="00D15E98"/>
    <w:rsid w:val="00D15F25"/>
    <w:rsid w:val="00D15F67"/>
    <w:rsid w:val="00D16140"/>
    <w:rsid w:val="00D163D4"/>
    <w:rsid w:val="00D166EB"/>
    <w:rsid w:val="00D1680B"/>
    <w:rsid w:val="00D16889"/>
    <w:rsid w:val="00D16A04"/>
    <w:rsid w:val="00D16B12"/>
    <w:rsid w:val="00D16C25"/>
    <w:rsid w:val="00D16E0E"/>
    <w:rsid w:val="00D17039"/>
    <w:rsid w:val="00D17174"/>
    <w:rsid w:val="00D17390"/>
    <w:rsid w:val="00D173CC"/>
    <w:rsid w:val="00D17411"/>
    <w:rsid w:val="00D1743E"/>
    <w:rsid w:val="00D174C7"/>
    <w:rsid w:val="00D1757A"/>
    <w:rsid w:val="00D17B27"/>
    <w:rsid w:val="00D17B2A"/>
    <w:rsid w:val="00D17C23"/>
    <w:rsid w:val="00D17C35"/>
    <w:rsid w:val="00D17C67"/>
    <w:rsid w:val="00D20068"/>
    <w:rsid w:val="00D20297"/>
    <w:rsid w:val="00D202BF"/>
    <w:rsid w:val="00D204B2"/>
    <w:rsid w:val="00D205F4"/>
    <w:rsid w:val="00D206D6"/>
    <w:rsid w:val="00D20DED"/>
    <w:rsid w:val="00D20E18"/>
    <w:rsid w:val="00D20F0A"/>
    <w:rsid w:val="00D20F6E"/>
    <w:rsid w:val="00D213C7"/>
    <w:rsid w:val="00D2145C"/>
    <w:rsid w:val="00D2193E"/>
    <w:rsid w:val="00D21D7E"/>
    <w:rsid w:val="00D22154"/>
    <w:rsid w:val="00D2246B"/>
    <w:rsid w:val="00D22546"/>
    <w:rsid w:val="00D225F4"/>
    <w:rsid w:val="00D22607"/>
    <w:rsid w:val="00D22629"/>
    <w:rsid w:val="00D22878"/>
    <w:rsid w:val="00D2293E"/>
    <w:rsid w:val="00D22C62"/>
    <w:rsid w:val="00D22EDF"/>
    <w:rsid w:val="00D22F48"/>
    <w:rsid w:val="00D2302C"/>
    <w:rsid w:val="00D23033"/>
    <w:rsid w:val="00D2303C"/>
    <w:rsid w:val="00D23109"/>
    <w:rsid w:val="00D2311A"/>
    <w:rsid w:val="00D23295"/>
    <w:rsid w:val="00D232A3"/>
    <w:rsid w:val="00D233B9"/>
    <w:rsid w:val="00D233F4"/>
    <w:rsid w:val="00D234F1"/>
    <w:rsid w:val="00D2352E"/>
    <w:rsid w:val="00D23580"/>
    <w:rsid w:val="00D2368A"/>
    <w:rsid w:val="00D23700"/>
    <w:rsid w:val="00D23730"/>
    <w:rsid w:val="00D2384E"/>
    <w:rsid w:val="00D23A84"/>
    <w:rsid w:val="00D23C16"/>
    <w:rsid w:val="00D23C47"/>
    <w:rsid w:val="00D23CC1"/>
    <w:rsid w:val="00D23FBA"/>
    <w:rsid w:val="00D24030"/>
    <w:rsid w:val="00D24233"/>
    <w:rsid w:val="00D244B2"/>
    <w:rsid w:val="00D244CC"/>
    <w:rsid w:val="00D24507"/>
    <w:rsid w:val="00D245E0"/>
    <w:rsid w:val="00D246C0"/>
    <w:rsid w:val="00D246CA"/>
    <w:rsid w:val="00D248A8"/>
    <w:rsid w:val="00D24A6E"/>
    <w:rsid w:val="00D24B42"/>
    <w:rsid w:val="00D24E41"/>
    <w:rsid w:val="00D24F2C"/>
    <w:rsid w:val="00D250FB"/>
    <w:rsid w:val="00D25142"/>
    <w:rsid w:val="00D2514B"/>
    <w:rsid w:val="00D252F6"/>
    <w:rsid w:val="00D25811"/>
    <w:rsid w:val="00D2581B"/>
    <w:rsid w:val="00D2582E"/>
    <w:rsid w:val="00D259A0"/>
    <w:rsid w:val="00D259C8"/>
    <w:rsid w:val="00D25A07"/>
    <w:rsid w:val="00D25AFF"/>
    <w:rsid w:val="00D25C46"/>
    <w:rsid w:val="00D25E0F"/>
    <w:rsid w:val="00D25F40"/>
    <w:rsid w:val="00D25F56"/>
    <w:rsid w:val="00D2621E"/>
    <w:rsid w:val="00D264CA"/>
    <w:rsid w:val="00D264CC"/>
    <w:rsid w:val="00D26530"/>
    <w:rsid w:val="00D2687F"/>
    <w:rsid w:val="00D26DEC"/>
    <w:rsid w:val="00D26E59"/>
    <w:rsid w:val="00D27285"/>
    <w:rsid w:val="00D27712"/>
    <w:rsid w:val="00D27999"/>
    <w:rsid w:val="00D27B61"/>
    <w:rsid w:val="00D27C2D"/>
    <w:rsid w:val="00D27D37"/>
    <w:rsid w:val="00D27D81"/>
    <w:rsid w:val="00D27DA5"/>
    <w:rsid w:val="00D27DC3"/>
    <w:rsid w:val="00D27E8A"/>
    <w:rsid w:val="00D27F86"/>
    <w:rsid w:val="00D30048"/>
    <w:rsid w:val="00D30205"/>
    <w:rsid w:val="00D303CC"/>
    <w:rsid w:val="00D303E3"/>
    <w:rsid w:val="00D3044F"/>
    <w:rsid w:val="00D306F3"/>
    <w:rsid w:val="00D3077C"/>
    <w:rsid w:val="00D307EE"/>
    <w:rsid w:val="00D30802"/>
    <w:rsid w:val="00D3090E"/>
    <w:rsid w:val="00D30A5A"/>
    <w:rsid w:val="00D30A78"/>
    <w:rsid w:val="00D30ADB"/>
    <w:rsid w:val="00D30C24"/>
    <w:rsid w:val="00D30EE1"/>
    <w:rsid w:val="00D30F61"/>
    <w:rsid w:val="00D31015"/>
    <w:rsid w:val="00D311A1"/>
    <w:rsid w:val="00D31349"/>
    <w:rsid w:val="00D31495"/>
    <w:rsid w:val="00D314DC"/>
    <w:rsid w:val="00D3162A"/>
    <w:rsid w:val="00D31845"/>
    <w:rsid w:val="00D31ABD"/>
    <w:rsid w:val="00D31ADA"/>
    <w:rsid w:val="00D31AF6"/>
    <w:rsid w:val="00D31B26"/>
    <w:rsid w:val="00D31BE3"/>
    <w:rsid w:val="00D31CC6"/>
    <w:rsid w:val="00D31E49"/>
    <w:rsid w:val="00D3215A"/>
    <w:rsid w:val="00D321BA"/>
    <w:rsid w:val="00D321E8"/>
    <w:rsid w:val="00D32278"/>
    <w:rsid w:val="00D322DF"/>
    <w:rsid w:val="00D3268A"/>
    <w:rsid w:val="00D326E4"/>
    <w:rsid w:val="00D32862"/>
    <w:rsid w:val="00D32A74"/>
    <w:rsid w:val="00D32AD7"/>
    <w:rsid w:val="00D32B01"/>
    <w:rsid w:val="00D32BCD"/>
    <w:rsid w:val="00D32C94"/>
    <w:rsid w:val="00D32E4B"/>
    <w:rsid w:val="00D32F5F"/>
    <w:rsid w:val="00D33076"/>
    <w:rsid w:val="00D332AF"/>
    <w:rsid w:val="00D33349"/>
    <w:rsid w:val="00D33491"/>
    <w:rsid w:val="00D338A5"/>
    <w:rsid w:val="00D33A65"/>
    <w:rsid w:val="00D33B31"/>
    <w:rsid w:val="00D33B9A"/>
    <w:rsid w:val="00D33E97"/>
    <w:rsid w:val="00D3401E"/>
    <w:rsid w:val="00D3403F"/>
    <w:rsid w:val="00D34055"/>
    <w:rsid w:val="00D34615"/>
    <w:rsid w:val="00D348C6"/>
    <w:rsid w:val="00D3491A"/>
    <w:rsid w:val="00D34966"/>
    <w:rsid w:val="00D349D0"/>
    <w:rsid w:val="00D34A8C"/>
    <w:rsid w:val="00D34B0F"/>
    <w:rsid w:val="00D34B41"/>
    <w:rsid w:val="00D34C3E"/>
    <w:rsid w:val="00D34CB8"/>
    <w:rsid w:val="00D34E06"/>
    <w:rsid w:val="00D34E7F"/>
    <w:rsid w:val="00D35045"/>
    <w:rsid w:val="00D350E8"/>
    <w:rsid w:val="00D35473"/>
    <w:rsid w:val="00D355FA"/>
    <w:rsid w:val="00D35616"/>
    <w:rsid w:val="00D35663"/>
    <w:rsid w:val="00D357FA"/>
    <w:rsid w:val="00D3588F"/>
    <w:rsid w:val="00D35A18"/>
    <w:rsid w:val="00D35A3F"/>
    <w:rsid w:val="00D35B22"/>
    <w:rsid w:val="00D35B4B"/>
    <w:rsid w:val="00D35D53"/>
    <w:rsid w:val="00D36034"/>
    <w:rsid w:val="00D3611A"/>
    <w:rsid w:val="00D36488"/>
    <w:rsid w:val="00D36549"/>
    <w:rsid w:val="00D369F5"/>
    <w:rsid w:val="00D36B03"/>
    <w:rsid w:val="00D36B33"/>
    <w:rsid w:val="00D36D0E"/>
    <w:rsid w:val="00D37070"/>
    <w:rsid w:val="00D3714B"/>
    <w:rsid w:val="00D371B0"/>
    <w:rsid w:val="00D37292"/>
    <w:rsid w:val="00D372B3"/>
    <w:rsid w:val="00D373D2"/>
    <w:rsid w:val="00D37556"/>
    <w:rsid w:val="00D375C0"/>
    <w:rsid w:val="00D375FC"/>
    <w:rsid w:val="00D37632"/>
    <w:rsid w:val="00D377D5"/>
    <w:rsid w:val="00D3785D"/>
    <w:rsid w:val="00D37964"/>
    <w:rsid w:val="00D37A99"/>
    <w:rsid w:val="00D37B84"/>
    <w:rsid w:val="00D37B9B"/>
    <w:rsid w:val="00D37BE7"/>
    <w:rsid w:val="00D37D63"/>
    <w:rsid w:val="00D37E3C"/>
    <w:rsid w:val="00D401E2"/>
    <w:rsid w:val="00D403C0"/>
    <w:rsid w:val="00D403FE"/>
    <w:rsid w:val="00D405D2"/>
    <w:rsid w:val="00D40679"/>
    <w:rsid w:val="00D408F9"/>
    <w:rsid w:val="00D40A49"/>
    <w:rsid w:val="00D40A8D"/>
    <w:rsid w:val="00D40AAD"/>
    <w:rsid w:val="00D40B4F"/>
    <w:rsid w:val="00D40BD3"/>
    <w:rsid w:val="00D40BFA"/>
    <w:rsid w:val="00D40D2D"/>
    <w:rsid w:val="00D40E7E"/>
    <w:rsid w:val="00D41044"/>
    <w:rsid w:val="00D4119F"/>
    <w:rsid w:val="00D4161E"/>
    <w:rsid w:val="00D41674"/>
    <w:rsid w:val="00D4180F"/>
    <w:rsid w:val="00D41856"/>
    <w:rsid w:val="00D41B7F"/>
    <w:rsid w:val="00D41C2A"/>
    <w:rsid w:val="00D41C62"/>
    <w:rsid w:val="00D41DD5"/>
    <w:rsid w:val="00D41F78"/>
    <w:rsid w:val="00D42239"/>
    <w:rsid w:val="00D4226A"/>
    <w:rsid w:val="00D42279"/>
    <w:rsid w:val="00D423F4"/>
    <w:rsid w:val="00D424E1"/>
    <w:rsid w:val="00D425A1"/>
    <w:rsid w:val="00D42896"/>
    <w:rsid w:val="00D42960"/>
    <w:rsid w:val="00D429F0"/>
    <w:rsid w:val="00D42A93"/>
    <w:rsid w:val="00D42D90"/>
    <w:rsid w:val="00D42EC4"/>
    <w:rsid w:val="00D42FAD"/>
    <w:rsid w:val="00D430F2"/>
    <w:rsid w:val="00D43462"/>
    <w:rsid w:val="00D4349E"/>
    <w:rsid w:val="00D4360C"/>
    <w:rsid w:val="00D43695"/>
    <w:rsid w:val="00D43709"/>
    <w:rsid w:val="00D4379D"/>
    <w:rsid w:val="00D439A3"/>
    <w:rsid w:val="00D43A95"/>
    <w:rsid w:val="00D43BEE"/>
    <w:rsid w:val="00D43E6F"/>
    <w:rsid w:val="00D43E9C"/>
    <w:rsid w:val="00D43F00"/>
    <w:rsid w:val="00D43FA5"/>
    <w:rsid w:val="00D440D5"/>
    <w:rsid w:val="00D44235"/>
    <w:rsid w:val="00D44341"/>
    <w:rsid w:val="00D44766"/>
    <w:rsid w:val="00D448D5"/>
    <w:rsid w:val="00D44962"/>
    <w:rsid w:val="00D44986"/>
    <w:rsid w:val="00D44A22"/>
    <w:rsid w:val="00D44CAF"/>
    <w:rsid w:val="00D44F05"/>
    <w:rsid w:val="00D45089"/>
    <w:rsid w:val="00D450DC"/>
    <w:rsid w:val="00D45282"/>
    <w:rsid w:val="00D45318"/>
    <w:rsid w:val="00D4552F"/>
    <w:rsid w:val="00D455CB"/>
    <w:rsid w:val="00D45628"/>
    <w:rsid w:val="00D456EF"/>
    <w:rsid w:val="00D4597A"/>
    <w:rsid w:val="00D4598F"/>
    <w:rsid w:val="00D4599B"/>
    <w:rsid w:val="00D45A5D"/>
    <w:rsid w:val="00D45B30"/>
    <w:rsid w:val="00D45D1A"/>
    <w:rsid w:val="00D45DF5"/>
    <w:rsid w:val="00D45E00"/>
    <w:rsid w:val="00D46005"/>
    <w:rsid w:val="00D4618F"/>
    <w:rsid w:val="00D46202"/>
    <w:rsid w:val="00D462ED"/>
    <w:rsid w:val="00D464E7"/>
    <w:rsid w:val="00D4661A"/>
    <w:rsid w:val="00D46A63"/>
    <w:rsid w:val="00D46BEC"/>
    <w:rsid w:val="00D46CBD"/>
    <w:rsid w:val="00D46E77"/>
    <w:rsid w:val="00D47091"/>
    <w:rsid w:val="00D473DC"/>
    <w:rsid w:val="00D4780C"/>
    <w:rsid w:val="00D47932"/>
    <w:rsid w:val="00D47AA2"/>
    <w:rsid w:val="00D47AE0"/>
    <w:rsid w:val="00D47B8A"/>
    <w:rsid w:val="00D47D9D"/>
    <w:rsid w:val="00D47DC7"/>
    <w:rsid w:val="00D50034"/>
    <w:rsid w:val="00D500AB"/>
    <w:rsid w:val="00D501C5"/>
    <w:rsid w:val="00D50266"/>
    <w:rsid w:val="00D505B5"/>
    <w:rsid w:val="00D505D0"/>
    <w:rsid w:val="00D5070C"/>
    <w:rsid w:val="00D507D6"/>
    <w:rsid w:val="00D508D3"/>
    <w:rsid w:val="00D508FA"/>
    <w:rsid w:val="00D5094C"/>
    <w:rsid w:val="00D5098A"/>
    <w:rsid w:val="00D50ABE"/>
    <w:rsid w:val="00D50B8E"/>
    <w:rsid w:val="00D50C4C"/>
    <w:rsid w:val="00D50D35"/>
    <w:rsid w:val="00D50D69"/>
    <w:rsid w:val="00D50D74"/>
    <w:rsid w:val="00D50D8B"/>
    <w:rsid w:val="00D50F4A"/>
    <w:rsid w:val="00D51027"/>
    <w:rsid w:val="00D51041"/>
    <w:rsid w:val="00D51213"/>
    <w:rsid w:val="00D515C7"/>
    <w:rsid w:val="00D517CA"/>
    <w:rsid w:val="00D518DF"/>
    <w:rsid w:val="00D5199A"/>
    <w:rsid w:val="00D519F6"/>
    <w:rsid w:val="00D51A1F"/>
    <w:rsid w:val="00D51AAB"/>
    <w:rsid w:val="00D51B88"/>
    <w:rsid w:val="00D51CDA"/>
    <w:rsid w:val="00D51D7E"/>
    <w:rsid w:val="00D51F7C"/>
    <w:rsid w:val="00D52149"/>
    <w:rsid w:val="00D52435"/>
    <w:rsid w:val="00D5244A"/>
    <w:rsid w:val="00D5253B"/>
    <w:rsid w:val="00D525BF"/>
    <w:rsid w:val="00D525D8"/>
    <w:rsid w:val="00D5260F"/>
    <w:rsid w:val="00D52640"/>
    <w:rsid w:val="00D5278A"/>
    <w:rsid w:val="00D5297D"/>
    <w:rsid w:val="00D52AB6"/>
    <w:rsid w:val="00D52B46"/>
    <w:rsid w:val="00D52C79"/>
    <w:rsid w:val="00D52EA4"/>
    <w:rsid w:val="00D532BB"/>
    <w:rsid w:val="00D535A9"/>
    <w:rsid w:val="00D53762"/>
    <w:rsid w:val="00D537A6"/>
    <w:rsid w:val="00D537E4"/>
    <w:rsid w:val="00D537FB"/>
    <w:rsid w:val="00D538B3"/>
    <w:rsid w:val="00D53941"/>
    <w:rsid w:val="00D53B05"/>
    <w:rsid w:val="00D53C68"/>
    <w:rsid w:val="00D53CA6"/>
    <w:rsid w:val="00D53D7A"/>
    <w:rsid w:val="00D5416A"/>
    <w:rsid w:val="00D541E5"/>
    <w:rsid w:val="00D542CD"/>
    <w:rsid w:val="00D54392"/>
    <w:rsid w:val="00D544C3"/>
    <w:rsid w:val="00D54595"/>
    <w:rsid w:val="00D54721"/>
    <w:rsid w:val="00D54726"/>
    <w:rsid w:val="00D54830"/>
    <w:rsid w:val="00D54A08"/>
    <w:rsid w:val="00D54BDB"/>
    <w:rsid w:val="00D54D5F"/>
    <w:rsid w:val="00D54DEC"/>
    <w:rsid w:val="00D54E1C"/>
    <w:rsid w:val="00D54E60"/>
    <w:rsid w:val="00D54F3B"/>
    <w:rsid w:val="00D54F57"/>
    <w:rsid w:val="00D54FE3"/>
    <w:rsid w:val="00D54FEA"/>
    <w:rsid w:val="00D54FF4"/>
    <w:rsid w:val="00D55024"/>
    <w:rsid w:val="00D5502E"/>
    <w:rsid w:val="00D55047"/>
    <w:rsid w:val="00D55089"/>
    <w:rsid w:val="00D550B3"/>
    <w:rsid w:val="00D5511C"/>
    <w:rsid w:val="00D551E3"/>
    <w:rsid w:val="00D55201"/>
    <w:rsid w:val="00D55442"/>
    <w:rsid w:val="00D55459"/>
    <w:rsid w:val="00D5546C"/>
    <w:rsid w:val="00D554A1"/>
    <w:rsid w:val="00D55873"/>
    <w:rsid w:val="00D55B74"/>
    <w:rsid w:val="00D55CBF"/>
    <w:rsid w:val="00D55DC0"/>
    <w:rsid w:val="00D55F44"/>
    <w:rsid w:val="00D5621A"/>
    <w:rsid w:val="00D562F5"/>
    <w:rsid w:val="00D56482"/>
    <w:rsid w:val="00D56667"/>
    <w:rsid w:val="00D566A3"/>
    <w:rsid w:val="00D56A0F"/>
    <w:rsid w:val="00D56B0D"/>
    <w:rsid w:val="00D56CB1"/>
    <w:rsid w:val="00D56CDA"/>
    <w:rsid w:val="00D56E21"/>
    <w:rsid w:val="00D56E81"/>
    <w:rsid w:val="00D56F0D"/>
    <w:rsid w:val="00D56F34"/>
    <w:rsid w:val="00D5715F"/>
    <w:rsid w:val="00D5731B"/>
    <w:rsid w:val="00D57399"/>
    <w:rsid w:val="00D575E8"/>
    <w:rsid w:val="00D576C3"/>
    <w:rsid w:val="00D57772"/>
    <w:rsid w:val="00D57881"/>
    <w:rsid w:val="00D57A30"/>
    <w:rsid w:val="00D57B64"/>
    <w:rsid w:val="00D57B92"/>
    <w:rsid w:val="00D57BA9"/>
    <w:rsid w:val="00D57D57"/>
    <w:rsid w:val="00D57DB8"/>
    <w:rsid w:val="00D57F3E"/>
    <w:rsid w:val="00D6012A"/>
    <w:rsid w:val="00D602C3"/>
    <w:rsid w:val="00D602F3"/>
    <w:rsid w:val="00D604C8"/>
    <w:rsid w:val="00D604E9"/>
    <w:rsid w:val="00D60580"/>
    <w:rsid w:val="00D6058C"/>
    <w:rsid w:val="00D6070B"/>
    <w:rsid w:val="00D60757"/>
    <w:rsid w:val="00D60892"/>
    <w:rsid w:val="00D6091A"/>
    <w:rsid w:val="00D60ADC"/>
    <w:rsid w:val="00D60BD1"/>
    <w:rsid w:val="00D60D2C"/>
    <w:rsid w:val="00D60D5D"/>
    <w:rsid w:val="00D60D86"/>
    <w:rsid w:val="00D60E33"/>
    <w:rsid w:val="00D60E4A"/>
    <w:rsid w:val="00D60E67"/>
    <w:rsid w:val="00D60EA5"/>
    <w:rsid w:val="00D60F65"/>
    <w:rsid w:val="00D6102C"/>
    <w:rsid w:val="00D610FA"/>
    <w:rsid w:val="00D61188"/>
    <w:rsid w:val="00D611DB"/>
    <w:rsid w:val="00D61404"/>
    <w:rsid w:val="00D61473"/>
    <w:rsid w:val="00D614BD"/>
    <w:rsid w:val="00D614EA"/>
    <w:rsid w:val="00D616B2"/>
    <w:rsid w:val="00D616E5"/>
    <w:rsid w:val="00D61842"/>
    <w:rsid w:val="00D61BF2"/>
    <w:rsid w:val="00D61CBD"/>
    <w:rsid w:val="00D61E5B"/>
    <w:rsid w:val="00D620EF"/>
    <w:rsid w:val="00D62376"/>
    <w:rsid w:val="00D623F9"/>
    <w:rsid w:val="00D6240C"/>
    <w:rsid w:val="00D62415"/>
    <w:rsid w:val="00D624F2"/>
    <w:rsid w:val="00D62574"/>
    <w:rsid w:val="00D62933"/>
    <w:rsid w:val="00D62B88"/>
    <w:rsid w:val="00D62E23"/>
    <w:rsid w:val="00D62F38"/>
    <w:rsid w:val="00D63046"/>
    <w:rsid w:val="00D630A3"/>
    <w:rsid w:val="00D63172"/>
    <w:rsid w:val="00D6319E"/>
    <w:rsid w:val="00D631BE"/>
    <w:rsid w:val="00D6326F"/>
    <w:rsid w:val="00D6332F"/>
    <w:rsid w:val="00D6340D"/>
    <w:rsid w:val="00D63643"/>
    <w:rsid w:val="00D63867"/>
    <w:rsid w:val="00D638EF"/>
    <w:rsid w:val="00D638FA"/>
    <w:rsid w:val="00D6394E"/>
    <w:rsid w:val="00D63958"/>
    <w:rsid w:val="00D63B41"/>
    <w:rsid w:val="00D63B58"/>
    <w:rsid w:val="00D63C3B"/>
    <w:rsid w:val="00D63E67"/>
    <w:rsid w:val="00D63F86"/>
    <w:rsid w:val="00D641BA"/>
    <w:rsid w:val="00D64232"/>
    <w:rsid w:val="00D64270"/>
    <w:rsid w:val="00D646A0"/>
    <w:rsid w:val="00D647E7"/>
    <w:rsid w:val="00D64860"/>
    <w:rsid w:val="00D64907"/>
    <w:rsid w:val="00D64AEA"/>
    <w:rsid w:val="00D64D19"/>
    <w:rsid w:val="00D65097"/>
    <w:rsid w:val="00D65129"/>
    <w:rsid w:val="00D654B8"/>
    <w:rsid w:val="00D6556C"/>
    <w:rsid w:val="00D65600"/>
    <w:rsid w:val="00D65660"/>
    <w:rsid w:val="00D65948"/>
    <w:rsid w:val="00D65979"/>
    <w:rsid w:val="00D65A73"/>
    <w:rsid w:val="00D65AD3"/>
    <w:rsid w:val="00D65BBD"/>
    <w:rsid w:val="00D65D3A"/>
    <w:rsid w:val="00D65D93"/>
    <w:rsid w:val="00D65DC3"/>
    <w:rsid w:val="00D65E60"/>
    <w:rsid w:val="00D66258"/>
    <w:rsid w:val="00D6625F"/>
    <w:rsid w:val="00D663EE"/>
    <w:rsid w:val="00D66419"/>
    <w:rsid w:val="00D667BF"/>
    <w:rsid w:val="00D66851"/>
    <w:rsid w:val="00D66AF8"/>
    <w:rsid w:val="00D66B0E"/>
    <w:rsid w:val="00D66B80"/>
    <w:rsid w:val="00D66FF7"/>
    <w:rsid w:val="00D670A0"/>
    <w:rsid w:val="00D67125"/>
    <w:rsid w:val="00D67274"/>
    <w:rsid w:val="00D673C4"/>
    <w:rsid w:val="00D674BC"/>
    <w:rsid w:val="00D675F3"/>
    <w:rsid w:val="00D67636"/>
    <w:rsid w:val="00D676B7"/>
    <w:rsid w:val="00D67734"/>
    <w:rsid w:val="00D67788"/>
    <w:rsid w:val="00D678F1"/>
    <w:rsid w:val="00D67A84"/>
    <w:rsid w:val="00D67D2A"/>
    <w:rsid w:val="00D67E45"/>
    <w:rsid w:val="00D67E83"/>
    <w:rsid w:val="00D70069"/>
    <w:rsid w:val="00D70079"/>
    <w:rsid w:val="00D70143"/>
    <w:rsid w:val="00D70155"/>
    <w:rsid w:val="00D702C0"/>
    <w:rsid w:val="00D70343"/>
    <w:rsid w:val="00D7042A"/>
    <w:rsid w:val="00D7046E"/>
    <w:rsid w:val="00D70473"/>
    <w:rsid w:val="00D70800"/>
    <w:rsid w:val="00D709BB"/>
    <w:rsid w:val="00D709DB"/>
    <w:rsid w:val="00D70ABB"/>
    <w:rsid w:val="00D70AFD"/>
    <w:rsid w:val="00D70B66"/>
    <w:rsid w:val="00D70B8D"/>
    <w:rsid w:val="00D70D1C"/>
    <w:rsid w:val="00D70E78"/>
    <w:rsid w:val="00D70F23"/>
    <w:rsid w:val="00D71137"/>
    <w:rsid w:val="00D711F7"/>
    <w:rsid w:val="00D713F9"/>
    <w:rsid w:val="00D71582"/>
    <w:rsid w:val="00D715DE"/>
    <w:rsid w:val="00D715E2"/>
    <w:rsid w:val="00D71665"/>
    <w:rsid w:val="00D7183B"/>
    <w:rsid w:val="00D7186E"/>
    <w:rsid w:val="00D71A9F"/>
    <w:rsid w:val="00D71B2B"/>
    <w:rsid w:val="00D71DF1"/>
    <w:rsid w:val="00D71E16"/>
    <w:rsid w:val="00D71E9A"/>
    <w:rsid w:val="00D71EC8"/>
    <w:rsid w:val="00D71F2C"/>
    <w:rsid w:val="00D72090"/>
    <w:rsid w:val="00D721F9"/>
    <w:rsid w:val="00D7221D"/>
    <w:rsid w:val="00D72258"/>
    <w:rsid w:val="00D723D5"/>
    <w:rsid w:val="00D724E2"/>
    <w:rsid w:val="00D7252F"/>
    <w:rsid w:val="00D7255E"/>
    <w:rsid w:val="00D725A7"/>
    <w:rsid w:val="00D7269F"/>
    <w:rsid w:val="00D72A9E"/>
    <w:rsid w:val="00D72AF9"/>
    <w:rsid w:val="00D72B02"/>
    <w:rsid w:val="00D72D72"/>
    <w:rsid w:val="00D72E5F"/>
    <w:rsid w:val="00D72E72"/>
    <w:rsid w:val="00D72F0C"/>
    <w:rsid w:val="00D7315D"/>
    <w:rsid w:val="00D7322A"/>
    <w:rsid w:val="00D73370"/>
    <w:rsid w:val="00D733AA"/>
    <w:rsid w:val="00D733FE"/>
    <w:rsid w:val="00D733FF"/>
    <w:rsid w:val="00D73585"/>
    <w:rsid w:val="00D735D0"/>
    <w:rsid w:val="00D7363A"/>
    <w:rsid w:val="00D7372D"/>
    <w:rsid w:val="00D7375C"/>
    <w:rsid w:val="00D7385D"/>
    <w:rsid w:val="00D73B27"/>
    <w:rsid w:val="00D73D0B"/>
    <w:rsid w:val="00D73D5C"/>
    <w:rsid w:val="00D73DD9"/>
    <w:rsid w:val="00D73DF9"/>
    <w:rsid w:val="00D73E2F"/>
    <w:rsid w:val="00D73EC7"/>
    <w:rsid w:val="00D73F1E"/>
    <w:rsid w:val="00D74016"/>
    <w:rsid w:val="00D741BD"/>
    <w:rsid w:val="00D74239"/>
    <w:rsid w:val="00D745C3"/>
    <w:rsid w:val="00D7465A"/>
    <w:rsid w:val="00D746EF"/>
    <w:rsid w:val="00D74732"/>
    <w:rsid w:val="00D74734"/>
    <w:rsid w:val="00D74843"/>
    <w:rsid w:val="00D74870"/>
    <w:rsid w:val="00D748BC"/>
    <w:rsid w:val="00D74905"/>
    <w:rsid w:val="00D749CE"/>
    <w:rsid w:val="00D74A68"/>
    <w:rsid w:val="00D74A74"/>
    <w:rsid w:val="00D74ABB"/>
    <w:rsid w:val="00D74AE1"/>
    <w:rsid w:val="00D74BF3"/>
    <w:rsid w:val="00D74D51"/>
    <w:rsid w:val="00D74F62"/>
    <w:rsid w:val="00D74FBA"/>
    <w:rsid w:val="00D75020"/>
    <w:rsid w:val="00D753C7"/>
    <w:rsid w:val="00D753E8"/>
    <w:rsid w:val="00D75469"/>
    <w:rsid w:val="00D75581"/>
    <w:rsid w:val="00D759E1"/>
    <w:rsid w:val="00D75A31"/>
    <w:rsid w:val="00D75E4E"/>
    <w:rsid w:val="00D75ED3"/>
    <w:rsid w:val="00D75F33"/>
    <w:rsid w:val="00D75FAA"/>
    <w:rsid w:val="00D75FDC"/>
    <w:rsid w:val="00D75FE0"/>
    <w:rsid w:val="00D7673E"/>
    <w:rsid w:val="00D76782"/>
    <w:rsid w:val="00D76B89"/>
    <w:rsid w:val="00D76B93"/>
    <w:rsid w:val="00D76BA9"/>
    <w:rsid w:val="00D76C2B"/>
    <w:rsid w:val="00D76C30"/>
    <w:rsid w:val="00D76D2B"/>
    <w:rsid w:val="00D76D86"/>
    <w:rsid w:val="00D76E68"/>
    <w:rsid w:val="00D76F0E"/>
    <w:rsid w:val="00D76FC9"/>
    <w:rsid w:val="00D77136"/>
    <w:rsid w:val="00D773A7"/>
    <w:rsid w:val="00D77432"/>
    <w:rsid w:val="00D7766C"/>
    <w:rsid w:val="00D7790C"/>
    <w:rsid w:val="00D77A50"/>
    <w:rsid w:val="00D77A6D"/>
    <w:rsid w:val="00D77ABC"/>
    <w:rsid w:val="00D77C17"/>
    <w:rsid w:val="00D77C23"/>
    <w:rsid w:val="00D77D8B"/>
    <w:rsid w:val="00D77DB5"/>
    <w:rsid w:val="00D77E60"/>
    <w:rsid w:val="00D77EE0"/>
    <w:rsid w:val="00D80141"/>
    <w:rsid w:val="00D8019B"/>
    <w:rsid w:val="00D801AC"/>
    <w:rsid w:val="00D80471"/>
    <w:rsid w:val="00D805ED"/>
    <w:rsid w:val="00D80A58"/>
    <w:rsid w:val="00D80AD9"/>
    <w:rsid w:val="00D80C2C"/>
    <w:rsid w:val="00D80CA2"/>
    <w:rsid w:val="00D80D08"/>
    <w:rsid w:val="00D80D39"/>
    <w:rsid w:val="00D80D74"/>
    <w:rsid w:val="00D80D97"/>
    <w:rsid w:val="00D80DE4"/>
    <w:rsid w:val="00D80F99"/>
    <w:rsid w:val="00D80F9A"/>
    <w:rsid w:val="00D81135"/>
    <w:rsid w:val="00D81195"/>
    <w:rsid w:val="00D81309"/>
    <w:rsid w:val="00D81405"/>
    <w:rsid w:val="00D814D4"/>
    <w:rsid w:val="00D815C9"/>
    <w:rsid w:val="00D8162C"/>
    <w:rsid w:val="00D81637"/>
    <w:rsid w:val="00D8170E"/>
    <w:rsid w:val="00D818BD"/>
    <w:rsid w:val="00D81A55"/>
    <w:rsid w:val="00D81AEC"/>
    <w:rsid w:val="00D81C26"/>
    <w:rsid w:val="00D81D07"/>
    <w:rsid w:val="00D81D5D"/>
    <w:rsid w:val="00D81E1D"/>
    <w:rsid w:val="00D81F18"/>
    <w:rsid w:val="00D81F60"/>
    <w:rsid w:val="00D81F7B"/>
    <w:rsid w:val="00D820A3"/>
    <w:rsid w:val="00D821F8"/>
    <w:rsid w:val="00D823D3"/>
    <w:rsid w:val="00D8256F"/>
    <w:rsid w:val="00D825A8"/>
    <w:rsid w:val="00D82758"/>
    <w:rsid w:val="00D828C7"/>
    <w:rsid w:val="00D82A07"/>
    <w:rsid w:val="00D82A70"/>
    <w:rsid w:val="00D82AE6"/>
    <w:rsid w:val="00D82E11"/>
    <w:rsid w:val="00D82ECF"/>
    <w:rsid w:val="00D82ED2"/>
    <w:rsid w:val="00D838D0"/>
    <w:rsid w:val="00D839C2"/>
    <w:rsid w:val="00D83BB6"/>
    <w:rsid w:val="00D83CAE"/>
    <w:rsid w:val="00D83D00"/>
    <w:rsid w:val="00D83E69"/>
    <w:rsid w:val="00D8400B"/>
    <w:rsid w:val="00D841F6"/>
    <w:rsid w:val="00D8429B"/>
    <w:rsid w:val="00D844AF"/>
    <w:rsid w:val="00D8450F"/>
    <w:rsid w:val="00D84638"/>
    <w:rsid w:val="00D846D5"/>
    <w:rsid w:val="00D84898"/>
    <w:rsid w:val="00D84B67"/>
    <w:rsid w:val="00D84C65"/>
    <w:rsid w:val="00D84D9F"/>
    <w:rsid w:val="00D85281"/>
    <w:rsid w:val="00D852C9"/>
    <w:rsid w:val="00D85504"/>
    <w:rsid w:val="00D85716"/>
    <w:rsid w:val="00D857E4"/>
    <w:rsid w:val="00D85A60"/>
    <w:rsid w:val="00D85B84"/>
    <w:rsid w:val="00D85C14"/>
    <w:rsid w:val="00D85F0B"/>
    <w:rsid w:val="00D860C6"/>
    <w:rsid w:val="00D86329"/>
    <w:rsid w:val="00D8649B"/>
    <w:rsid w:val="00D8659F"/>
    <w:rsid w:val="00D86608"/>
    <w:rsid w:val="00D86815"/>
    <w:rsid w:val="00D868EA"/>
    <w:rsid w:val="00D86920"/>
    <w:rsid w:val="00D86960"/>
    <w:rsid w:val="00D86A85"/>
    <w:rsid w:val="00D86A86"/>
    <w:rsid w:val="00D86AA1"/>
    <w:rsid w:val="00D86B4D"/>
    <w:rsid w:val="00D86C06"/>
    <w:rsid w:val="00D86FA6"/>
    <w:rsid w:val="00D8700E"/>
    <w:rsid w:val="00D874CC"/>
    <w:rsid w:val="00D87755"/>
    <w:rsid w:val="00D8783E"/>
    <w:rsid w:val="00D878FB"/>
    <w:rsid w:val="00D879E7"/>
    <w:rsid w:val="00D87B33"/>
    <w:rsid w:val="00D87CC7"/>
    <w:rsid w:val="00D87D32"/>
    <w:rsid w:val="00D87DD1"/>
    <w:rsid w:val="00D87E64"/>
    <w:rsid w:val="00D87E8B"/>
    <w:rsid w:val="00D87F06"/>
    <w:rsid w:val="00D901C6"/>
    <w:rsid w:val="00D90713"/>
    <w:rsid w:val="00D90946"/>
    <w:rsid w:val="00D90AC8"/>
    <w:rsid w:val="00D90B2D"/>
    <w:rsid w:val="00D90D5F"/>
    <w:rsid w:val="00D90D82"/>
    <w:rsid w:val="00D90DD4"/>
    <w:rsid w:val="00D90F42"/>
    <w:rsid w:val="00D91014"/>
    <w:rsid w:val="00D912C6"/>
    <w:rsid w:val="00D913EB"/>
    <w:rsid w:val="00D91440"/>
    <w:rsid w:val="00D9148B"/>
    <w:rsid w:val="00D916FF"/>
    <w:rsid w:val="00D91886"/>
    <w:rsid w:val="00D91AA3"/>
    <w:rsid w:val="00D91CA4"/>
    <w:rsid w:val="00D91FA9"/>
    <w:rsid w:val="00D9227D"/>
    <w:rsid w:val="00D923E8"/>
    <w:rsid w:val="00D924B7"/>
    <w:rsid w:val="00D92545"/>
    <w:rsid w:val="00D925B2"/>
    <w:rsid w:val="00D925E1"/>
    <w:rsid w:val="00D925E7"/>
    <w:rsid w:val="00D926AD"/>
    <w:rsid w:val="00D9277C"/>
    <w:rsid w:val="00D92800"/>
    <w:rsid w:val="00D92A33"/>
    <w:rsid w:val="00D92CD7"/>
    <w:rsid w:val="00D92D18"/>
    <w:rsid w:val="00D93191"/>
    <w:rsid w:val="00D93224"/>
    <w:rsid w:val="00D93297"/>
    <w:rsid w:val="00D933B8"/>
    <w:rsid w:val="00D93509"/>
    <w:rsid w:val="00D93714"/>
    <w:rsid w:val="00D93778"/>
    <w:rsid w:val="00D93962"/>
    <w:rsid w:val="00D93A2F"/>
    <w:rsid w:val="00D93AA3"/>
    <w:rsid w:val="00D93B21"/>
    <w:rsid w:val="00D93C40"/>
    <w:rsid w:val="00D93C84"/>
    <w:rsid w:val="00D93E3C"/>
    <w:rsid w:val="00D93F5A"/>
    <w:rsid w:val="00D94151"/>
    <w:rsid w:val="00D94286"/>
    <w:rsid w:val="00D94396"/>
    <w:rsid w:val="00D94469"/>
    <w:rsid w:val="00D944B5"/>
    <w:rsid w:val="00D946A5"/>
    <w:rsid w:val="00D9483C"/>
    <w:rsid w:val="00D94949"/>
    <w:rsid w:val="00D949C9"/>
    <w:rsid w:val="00D94AA8"/>
    <w:rsid w:val="00D94B03"/>
    <w:rsid w:val="00D94B07"/>
    <w:rsid w:val="00D94CC9"/>
    <w:rsid w:val="00D94D66"/>
    <w:rsid w:val="00D94DD4"/>
    <w:rsid w:val="00D94EF1"/>
    <w:rsid w:val="00D94EF5"/>
    <w:rsid w:val="00D94EFF"/>
    <w:rsid w:val="00D94FC6"/>
    <w:rsid w:val="00D95071"/>
    <w:rsid w:val="00D95122"/>
    <w:rsid w:val="00D9512B"/>
    <w:rsid w:val="00D95263"/>
    <w:rsid w:val="00D95376"/>
    <w:rsid w:val="00D953E7"/>
    <w:rsid w:val="00D95432"/>
    <w:rsid w:val="00D95492"/>
    <w:rsid w:val="00D95670"/>
    <w:rsid w:val="00D9571C"/>
    <w:rsid w:val="00D9577A"/>
    <w:rsid w:val="00D95915"/>
    <w:rsid w:val="00D95955"/>
    <w:rsid w:val="00D95BB5"/>
    <w:rsid w:val="00D95CED"/>
    <w:rsid w:val="00D95CFD"/>
    <w:rsid w:val="00D95D4A"/>
    <w:rsid w:val="00D95ED3"/>
    <w:rsid w:val="00D95EE8"/>
    <w:rsid w:val="00D95FF9"/>
    <w:rsid w:val="00D96407"/>
    <w:rsid w:val="00D964A7"/>
    <w:rsid w:val="00D96744"/>
    <w:rsid w:val="00D96B94"/>
    <w:rsid w:val="00D96C0E"/>
    <w:rsid w:val="00D96EE1"/>
    <w:rsid w:val="00D972E1"/>
    <w:rsid w:val="00D9730F"/>
    <w:rsid w:val="00D974E0"/>
    <w:rsid w:val="00D974FB"/>
    <w:rsid w:val="00D97592"/>
    <w:rsid w:val="00D975FF"/>
    <w:rsid w:val="00D978D4"/>
    <w:rsid w:val="00D97992"/>
    <w:rsid w:val="00D97AB3"/>
    <w:rsid w:val="00D97C70"/>
    <w:rsid w:val="00D97E49"/>
    <w:rsid w:val="00D97F7D"/>
    <w:rsid w:val="00DA029A"/>
    <w:rsid w:val="00DA02EC"/>
    <w:rsid w:val="00DA0563"/>
    <w:rsid w:val="00DA06A8"/>
    <w:rsid w:val="00DA06F2"/>
    <w:rsid w:val="00DA06FE"/>
    <w:rsid w:val="00DA0795"/>
    <w:rsid w:val="00DA0A0D"/>
    <w:rsid w:val="00DA0A79"/>
    <w:rsid w:val="00DA0B30"/>
    <w:rsid w:val="00DA0B48"/>
    <w:rsid w:val="00DA0DF8"/>
    <w:rsid w:val="00DA110F"/>
    <w:rsid w:val="00DA15DD"/>
    <w:rsid w:val="00DA18CB"/>
    <w:rsid w:val="00DA191A"/>
    <w:rsid w:val="00DA19A6"/>
    <w:rsid w:val="00DA19D6"/>
    <w:rsid w:val="00DA1AAE"/>
    <w:rsid w:val="00DA1D0B"/>
    <w:rsid w:val="00DA1FBE"/>
    <w:rsid w:val="00DA20E2"/>
    <w:rsid w:val="00DA2164"/>
    <w:rsid w:val="00DA21B8"/>
    <w:rsid w:val="00DA25BC"/>
    <w:rsid w:val="00DA265F"/>
    <w:rsid w:val="00DA26A8"/>
    <w:rsid w:val="00DA2785"/>
    <w:rsid w:val="00DA2854"/>
    <w:rsid w:val="00DA28EA"/>
    <w:rsid w:val="00DA2AA1"/>
    <w:rsid w:val="00DA2B94"/>
    <w:rsid w:val="00DA2E59"/>
    <w:rsid w:val="00DA2F34"/>
    <w:rsid w:val="00DA2FCB"/>
    <w:rsid w:val="00DA30DE"/>
    <w:rsid w:val="00DA31A1"/>
    <w:rsid w:val="00DA31E8"/>
    <w:rsid w:val="00DA3403"/>
    <w:rsid w:val="00DA36E9"/>
    <w:rsid w:val="00DA39CC"/>
    <w:rsid w:val="00DA3C0A"/>
    <w:rsid w:val="00DA3E4E"/>
    <w:rsid w:val="00DA3E81"/>
    <w:rsid w:val="00DA3EEB"/>
    <w:rsid w:val="00DA41E2"/>
    <w:rsid w:val="00DA472F"/>
    <w:rsid w:val="00DA48AB"/>
    <w:rsid w:val="00DA4947"/>
    <w:rsid w:val="00DA4969"/>
    <w:rsid w:val="00DA4C96"/>
    <w:rsid w:val="00DA4CA3"/>
    <w:rsid w:val="00DA4D70"/>
    <w:rsid w:val="00DA4F16"/>
    <w:rsid w:val="00DA502C"/>
    <w:rsid w:val="00DA5194"/>
    <w:rsid w:val="00DA51D5"/>
    <w:rsid w:val="00DA521F"/>
    <w:rsid w:val="00DA52AF"/>
    <w:rsid w:val="00DA5314"/>
    <w:rsid w:val="00DA5398"/>
    <w:rsid w:val="00DA5431"/>
    <w:rsid w:val="00DA553D"/>
    <w:rsid w:val="00DA5626"/>
    <w:rsid w:val="00DA5A17"/>
    <w:rsid w:val="00DA5A1E"/>
    <w:rsid w:val="00DA5A2D"/>
    <w:rsid w:val="00DA5DFD"/>
    <w:rsid w:val="00DA5F96"/>
    <w:rsid w:val="00DA604F"/>
    <w:rsid w:val="00DA608F"/>
    <w:rsid w:val="00DA60E2"/>
    <w:rsid w:val="00DA60FA"/>
    <w:rsid w:val="00DA618D"/>
    <w:rsid w:val="00DA6213"/>
    <w:rsid w:val="00DA6234"/>
    <w:rsid w:val="00DA62DD"/>
    <w:rsid w:val="00DA63DA"/>
    <w:rsid w:val="00DA6409"/>
    <w:rsid w:val="00DA6494"/>
    <w:rsid w:val="00DA64C8"/>
    <w:rsid w:val="00DA6792"/>
    <w:rsid w:val="00DA69E9"/>
    <w:rsid w:val="00DA6B9F"/>
    <w:rsid w:val="00DA6BAB"/>
    <w:rsid w:val="00DA6C29"/>
    <w:rsid w:val="00DA6CFA"/>
    <w:rsid w:val="00DA6F9B"/>
    <w:rsid w:val="00DA6FAD"/>
    <w:rsid w:val="00DA6FF2"/>
    <w:rsid w:val="00DA71D0"/>
    <w:rsid w:val="00DA7244"/>
    <w:rsid w:val="00DA733B"/>
    <w:rsid w:val="00DA7350"/>
    <w:rsid w:val="00DA73B9"/>
    <w:rsid w:val="00DA7544"/>
    <w:rsid w:val="00DA78BE"/>
    <w:rsid w:val="00DA78E4"/>
    <w:rsid w:val="00DA799B"/>
    <w:rsid w:val="00DA79FB"/>
    <w:rsid w:val="00DA7A15"/>
    <w:rsid w:val="00DA7C43"/>
    <w:rsid w:val="00DA7CFE"/>
    <w:rsid w:val="00DA7EF6"/>
    <w:rsid w:val="00DB00E6"/>
    <w:rsid w:val="00DB0449"/>
    <w:rsid w:val="00DB047B"/>
    <w:rsid w:val="00DB04A0"/>
    <w:rsid w:val="00DB05B4"/>
    <w:rsid w:val="00DB0AA4"/>
    <w:rsid w:val="00DB0B7A"/>
    <w:rsid w:val="00DB0D60"/>
    <w:rsid w:val="00DB0F63"/>
    <w:rsid w:val="00DB11D0"/>
    <w:rsid w:val="00DB13A4"/>
    <w:rsid w:val="00DB16C1"/>
    <w:rsid w:val="00DB1709"/>
    <w:rsid w:val="00DB1742"/>
    <w:rsid w:val="00DB1903"/>
    <w:rsid w:val="00DB197E"/>
    <w:rsid w:val="00DB19AA"/>
    <w:rsid w:val="00DB1A02"/>
    <w:rsid w:val="00DB1A97"/>
    <w:rsid w:val="00DB1AB2"/>
    <w:rsid w:val="00DB1C3C"/>
    <w:rsid w:val="00DB1CF6"/>
    <w:rsid w:val="00DB20A5"/>
    <w:rsid w:val="00DB2151"/>
    <w:rsid w:val="00DB2591"/>
    <w:rsid w:val="00DB25F2"/>
    <w:rsid w:val="00DB2960"/>
    <w:rsid w:val="00DB2A28"/>
    <w:rsid w:val="00DB2C7A"/>
    <w:rsid w:val="00DB2D0C"/>
    <w:rsid w:val="00DB2F5A"/>
    <w:rsid w:val="00DB2FB0"/>
    <w:rsid w:val="00DB2FC2"/>
    <w:rsid w:val="00DB304C"/>
    <w:rsid w:val="00DB34D0"/>
    <w:rsid w:val="00DB35A3"/>
    <w:rsid w:val="00DB35D7"/>
    <w:rsid w:val="00DB398D"/>
    <w:rsid w:val="00DB398F"/>
    <w:rsid w:val="00DB39F3"/>
    <w:rsid w:val="00DB3A49"/>
    <w:rsid w:val="00DB3B40"/>
    <w:rsid w:val="00DB3C83"/>
    <w:rsid w:val="00DB3F01"/>
    <w:rsid w:val="00DB3FBB"/>
    <w:rsid w:val="00DB4074"/>
    <w:rsid w:val="00DB425A"/>
    <w:rsid w:val="00DB4324"/>
    <w:rsid w:val="00DB4541"/>
    <w:rsid w:val="00DB45C7"/>
    <w:rsid w:val="00DB4610"/>
    <w:rsid w:val="00DB4A63"/>
    <w:rsid w:val="00DB4B8E"/>
    <w:rsid w:val="00DB4BAD"/>
    <w:rsid w:val="00DB4BF2"/>
    <w:rsid w:val="00DB4D30"/>
    <w:rsid w:val="00DB52EB"/>
    <w:rsid w:val="00DB5422"/>
    <w:rsid w:val="00DB5614"/>
    <w:rsid w:val="00DB5885"/>
    <w:rsid w:val="00DB5935"/>
    <w:rsid w:val="00DB5A52"/>
    <w:rsid w:val="00DB5A9B"/>
    <w:rsid w:val="00DB5D28"/>
    <w:rsid w:val="00DB6093"/>
    <w:rsid w:val="00DB6519"/>
    <w:rsid w:val="00DB6805"/>
    <w:rsid w:val="00DB68D8"/>
    <w:rsid w:val="00DB68EE"/>
    <w:rsid w:val="00DB6AEA"/>
    <w:rsid w:val="00DB6B12"/>
    <w:rsid w:val="00DB6CE6"/>
    <w:rsid w:val="00DB6E34"/>
    <w:rsid w:val="00DB6E72"/>
    <w:rsid w:val="00DB704A"/>
    <w:rsid w:val="00DB708B"/>
    <w:rsid w:val="00DB70D2"/>
    <w:rsid w:val="00DB71C3"/>
    <w:rsid w:val="00DB74A1"/>
    <w:rsid w:val="00DB74E3"/>
    <w:rsid w:val="00DB7594"/>
    <w:rsid w:val="00DB77A5"/>
    <w:rsid w:val="00DB78FC"/>
    <w:rsid w:val="00DB7ABC"/>
    <w:rsid w:val="00DB7EC5"/>
    <w:rsid w:val="00DC0067"/>
    <w:rsid w:val="00DC0089"/>
    <w:rsid w:val="00DC00D5"/>
    <w:rsid w:val="00DC0173"/>
    <w:rsid w:val="00DC01DA"/>
    <w:rsid w:val="00DC01EB"/>
    <w:rsid w:val="00DC0369"/>
    <w:rsid w:val="00DC0448"/>
    <w:rsid w:val="00DC05D6"/>
    <w:rsid w:val="00DC0901"/>
    <w:rsid w:val="00DC0DB3"/>
    <w:rsid w:val="00DC0DCA"/>
    <w:rsid w:val="00DC0E64"/>
    <w:rsid w:val="00DC0EC1"/>
    <w:rsid w:val="00DC0ECF"/>
    <w:rsid w:val="00DC11EA"/>
    <w:rsid w:val="00DC1276"/>
    <w:rsid w:val="00DC13A2"/>
    <w:rsid w:val="00DC146B"/>
    <w:rsid w:val="00DC166A"/>
    <w:rsid w:val="00DC16A2"/>
    <w:rsid w:val="00DC174F"/>
    <w:rsid w:val="00DC1751"/>
    <w:rsid w:val="00DC1882"/>
    <w:rsid w:val="00DC189D"/>
    <w:rsid w:val="00DC1D96"/>
    <w:rsid w:val="00DC1E28"/>
    <w:rsid w:val="00DC1F43"/>
    <w:rsid w:val="00DC1FC8"/>
    <w:rsid w:val="00DC20BD"/>
    <w:rsid w:val="00DC20F4"/>
    <w:rsid w:val="00DC2133"/>
    <w:rsid w:val="00DC21CF"/>
    <w:rsid w:val="00DC21EA"/>
    <w:rsid w:val="00DC2473"/>
    <w:rsid w:val="00DC24AD"/>
    <w:rsid w:val="00DC2759"/>
    <w:rsid w:val="00DC2813"/>
    <w:rsid w:val="00DC2900"/>
    <w:rsid w:val="00DC29AF"/>
    <w:rsid w:val="00DC2B19"/>
    <w:rsid w:val="00DC2CCE"/>
    <w:rsid w:val="00DC2D43"/>
    <w:rsid w:val="00DC2F03"/>
    <w:rsid w:val="00DC2F4E"/>
    <w:rsid w:val="00DC305D"/>
    <w:rsid w:val="00DC3142"/>
    <w:rsid w:val="00DC326C"/>
    <w:rsid w:val="00DC3545"/>
    <w:rsid w:val="00DC3902"/>
    <w:rsid w:val="00DC39B3"/>
    <w:rsid w:val="00DC3A16"/>
    <w:rsid w:val="00DC3A72"/>
    <w:rsid w:val="00DC3B13"/>
    <w:rsid w:val="00DC3C3A"/>
    <w:rsid w:val="00DC3CBD"/>
    <w:rsid w:val="00DC3D14"/>
    <w:rsid w:val="00DC3D8D"/>
    <w:rsid w:val="00DC41C9"/>
    <w:rsid w:val="00DC43CB"/>
    <w:rsid w:val="00DC4565"/>
    <w:rsid w:val="00DC4657"/>
    <w:rsid w:val="00DC4676"/>
    <w:rsid w:val="00DC4970"/>
    <w:rsid w:val="00DC4B29"/>
    <w:rsid w:val="00DC4D04"/>
    <w:rsid w:val="00DC5085"/>
    <w:rsid w:val="00DC5147"/>
    <w:rsid w:val="00DC5340"/>
    <w:rsid w:val="00DC555A"/>
    <w:rsid w:val="00DC55BF"/>
    <w:rsid w:val="00DC5825"/>
    <w:rsid w:val="00DC5A87"/>
    <w:rsid w:val="00DC5E6E"/>
    <w:rsid w:val="00DC5E89"/>
    <w:rsid w:val="00DC5F02"/>
    <w:rsid w:val="00DC5F8E"/>
    <w:rsid w:val="00DC62F1"/>
    <w:rsid w:val="00DC665A"/>
    <w:rsid w:val="00DC66C3"/>
    <w:rsid w:val="00DC67AB"/>
    <w:rsid w:val="00DC687A"/>
    <w:rsid w:val="00DC6A91"/>
    <w:rsid w:val="00DC6B50"/>
    <w:rsid w:val="00DC6DB6"/>
    <w:rsid w:val="00DC7000"/>
    <w:rsid w:val="00DC70BD"/>
    <w:rsid w:val="00DC73A1"/>
    <w:rsid w:val="00DC780D"/>
    <w:rsid w:val="00DC78A0"/>
    <w:rsid w:val="00DC78EA"/>
    <w:rsid w:val="00DC78FA"/>
    <w:rsid w:val="00DC7996"/>
    <w:rsid w:val="00DC7BCE"/>
    <w:rsid w:val="00DC7C2E"/>
    <w:rsid w:val="00DC7CAF"/>
    <w:rsid w:val="00DC7D5A"/>
    <w:rsid w:val="00DC7D65"/>
    <w:rsid w:val="00DC7E9D"/>
    <w:rsid w:val="00DC7FF7"/>
    <w:rsid w:val="00DD0000"/>
    <w:rsid w:val="00DD0233"/>
    <w:rsid w:val="00DD04C6"/>
    <w:rsid w:val="00DD0674"/>
    <w:rsid w:val="00DD07F0"/>
    <w:rsid w:val="00DD0973"/>
    <w:rsid w:val="00DD0A32"/>
    <w:rsid w:val="00DD0E00"/>
    <w:rsid w:val="00DD0F74"/>
    <w:rsid w:val="00DD0FEB"/>
    <w:rsid w:val="00DD102D"/>
    <w:rsid w:val="00DD113D"/>
    <w:rsid w:val="00DD1243"/>
    <w:rsid w:val="00DD125C"/>
    <w:rsid w:val="00DD135A"/>
    <w:rsid w:val="00DD13FD"/>
    <w:rsid w:val="00DD1823"/>
    <w:rsid w:val="00DD18F6"/>
    <w:rsid w:val="00DD198B"/>
    <w:rsid w:val="00DD1A48"/>
    <w:rsid w:val="00DD1A98"/>
    <w:rsid w:val="00DD1D46"/>
    <w:rsid w:val="00DD1E0D"/>
    <w:rsid w:val="00DD1F8E"/>
    <w:rsid w:val="00DD2074"/>
    <w:rsid w:val="00DD2110"/>
    <w:rsid w:val="00DD2133"/>
    <w:rsid w:val="00DD214E"/>
    <w:rsid w:val="00DD2159"/>
    <w:rsid w:val="00DD2268"/>
    <w:rsid w:val="00DD23F5"/>
    <w:rsid w:val="00DD2519"/>
    <w:rsid w:val="00DD2524"/>
    <w:rsid w:val="00DD25C0"/>
    <w:rsid w:val="00DD2708"/>
    <w:rsid w:val="00DD279F"/>
    <w:rsid w:val="00DD2874"/>
    <w:rsid w:val="00DD2A54"/>
    <w:rsid w:val="00DD2CCC"/>
    <w:rsid w:val="00DD2D8A"/>
    <w:rsid w:val="00DD2DC1"/>
    <w:rsid w:val="00DD30D0"/>
    <w:rsid w:val="00DD3158"/>
    <w:rsid w:val="00DD31D0"/>
    <w:rsid w:val="00DD3269"/>
    <w:rsid w:val="00DD343F"/>
    <w:rsid w:val="00DD350C"/>
    <w:rsid w:val="00DD3596"/>
    <w:rsid w:val="00DD3598"/>
    <w:rsid w:val="00DD3685"/>
    <w:rsid w:val="00DD36ED"/>
    <w:rsid w:val="00DD39B9"/>
    <w:rsid w:val="00DD3A92"/>
    <w:rsid w:val="00DD3ADC"/>
    <w:rsid w:val="00DD3C31"/>
    <w:rsid w:val="00DD3F02"/>
    <w:rsid w:val="00DD4091"/>
    <w:rsid w:val="00DD4115"/>
    <w:rsid w:val="00DD4137"/>
    <w:rsid w:val="00DD43A5"/>
    <w:rsid w:val="00DD43DF"/>
    <w:rsid w:val="00DD44E9"/>
    <w:rsid w:val="00DD4502"/>
    <w:rsid w:val="00DD4675"/>
    <w:rsid w:val="00DD49D1"/>
    <w:rsid w:val="00DD4CDF"/>
    <w:rsid w:val="00DD4DBA"/>
    <w:rsid w:val="00DD4E7B"/>
    <w:rsid w:val="00DD50FE"/>
    <w:rsid w:val="00DD5105"/>
    <w:rsid w:val="00DD538F"/>
    <w:rsid w:val="00DD5534"/>
    <w:rsid w:val="00DD5563"/>
    <w:rsid w:val="00DD55FD"/>
    <w:rsid w:val="00DD5B23"/>
    <w:rsid w:val="00DD5C10"/>
    <w:rsid w:val="00DD5C62"/>
    <w:rsid w:val="00DD5CB0"/>
    <w:rsid w:val="00DD5D2A"/>
    <w:rsid w:val="00DD6057"/>
    <w:rsid w:val="00DD60B5"/>
    <w:rsid w:val="00DD60C1"/>
    <w:rsid w:val="00DD60FB"/>
    <w:rsid w:val="00DD619F"/>
    <w:rsid w:val="00DD61F8"/>
    <w:rsid w:val="00DD629D"/>
    <w:rsid w:val="00DD631B"/>
    <w:rsid w:val="00DD6410"/>
    <w:rsid w:val="00DD67C1"/>
    <w:rsid w:val="00DD67F2"/>
    <w:rsid w:val="00DD6842"/>
    <w:rsid w:val="00DD6864"/>
    <w:rsid w:val="00DD6905"/>
    <w:rsid w:val="00DD696F"/>
    <w:rsid w:val="00DD69B1"/>
    <w:rsid w:val="00DD69CA"/>
    <w:rsid w:val="00DD69DE"/>
    <w:rsid w:val="00DD6A4E"/>
    <w:rsid w:val="00DD6A60"/>
    <w:rsid w:val="00DD6A72"/>
    <w:rsid w:val="00DD6CDC"/>
    <w:rsid w:val="00DD6E5A"/>
    <w:rsid w:val="00DD7063"/>
    <w:rsid w:val="00DD7207"/>
    <w:rsid w:val="00DD7269"/>
    <w:rsid w:val="00DD72EC"/>
    <w:rsid w:val="00DD79B2"/>
    <w:rsid w:val="00DD7B2C"/>
    <w:rsid w:val="00DD7D4A"/>
    <w:rsid w:val="00DD7EE2"/>
    <w:rsid w:val="00DD7F35"/>
    <w:rsid w:val="00DE0078"/>
    <w:rsid w:val="00DE0562"/>
    <w:rsid w:val="00DE07A0"/>
    <w:rsid w:val="00DE0A38"/>
    <w:rsid w:val="00DE0CC4"/>
    <w:rsid w:val="00DE0EE2"/>
    <w:rsid w:val="00DE11B4"/>
    <w:rsid w:val="00DE12E7"/>
    <w:rsid w:val="00DE142F"/>
    <w:rsid w:val="00DE1767"/>
    <w:rsid w:val="00DE188D"/>
    <w:rsid w:val="00DE19E2"/>
    <w:rsid w:val="00DE1A01"/>
    <w:rsid w:val="00DE1B1B"/>
    <w:rsid w:val="00DE1F7A"/>
    <w:rsid w:val="00DE202C"/>
    <w:rsid w:val="00DE20F5"/>
    <w:rsid w:val="00DE2170"/>
    <w:rsid w:val="00DE2192"/>
    <w:rsid w:val="00DE231B"/>
    <w:rsid w:val="00DE2357"/>
    <w:rsid w:val="00DE23C5"/>
    <w:rsid w:val="00DE24A6"/>
    <w:rsid w:val="00DE264D"/>
    <w:rsid w:val="00DE2732"/>
    <w:rsid w:val="00DE2917"/>
    <w:rsid w:val="00DE29D2"/>
    <w:rsid w:val="00DE2B50"/>
    <w:rsid w:val="00DE2B76"/>
    <w:rsid w:val="00DE300C"/>
    <w:rsid w:val="00DE31DB"/>
    <w:rsid w:val="00DE338E"/>
    <w:rsid w:val="00DE346A"/>
    <w:rsid w:val="00DE35CD"/>
    <w:rsid w:val="00DE3770"/>
    <w:rsid w:val="00DE39FF"/>
    <w:rsid w:val="00DE3A92"/>
    <w:rsid w:val="00DE3EA4"/>
    <w:rsid w:val="00DE3F27"/>
    <w:rsid w:val="00DE4398"/>
    <w:rsid w:val="00DE43E1"/>
    <w:rsid w:val="00DE4616"/>
    <w:rsid w:val="00DE46E5"/>
    <w:rsid w:val="00DE4778"/>
    <w:rsid w:val="00DE4A54"/>
    <w:rsid w:val="00DE4A59"/>
    <w:rsid w:val="00DE4A73"/>
    <w:rsid w:val="00DE4E27"/>
    <w:rsid w:val="00DE4EA5"/>
    <w:rsid w:val="00DE4EF9"/>
    <w:rsid w:val="00DE519E"/>
    <w:rsid w:val="00DE52CC"/>
    <w:rsid w:val="00DE54E1"/>
    <w:rsid w:val="00DE555E"/>
    <w:rsid w:val="00DE56D4"/>
    <w:rsid w:val="00DE5842"/>
    <w:rsid w:val="00DE5859"/>
    <w:rsid w:val="00DE58D5"/>
    <w:rsid w:val="00DE5A52"/>
    <w:rsid w:val="00DE5A99"/>
    <w:rsid w:val="00DE5AA5"/>
    <w:rsid w:val="00DE5B73"/>
    <w:rsid w:val="00DE5BE5"/>
    <w:rsid w:val="00DE5C80"/>
    <w:rsid w:val="00DE607C"/>
    <w:rsid w:val="00DE6151"/>
    <w:rsid w:val="00DE627F"/>
    <w:rsid w:val="00DE63B8"/>
    <w:rsid w:val="00DE63BF"/>
    <w:rsid w:val="00DE6443"/>
    <w:rsid w:val="00DE6450"/>
    <w:rsid w:val="00DE6454"/>
    <w:rsid w:val="00DE6600"/>
    <w:rsid w:val="00DE6676"/>
    <w:rsid w:val="00DE66ED"/>
    <w:rsid w:val="00DE69B9"/>
    <w:rsid w:val="00DE6D1F"/>
    <w:rsid w:val="00DE6FF4"/>
    <w:rsid w:val="00DE712B"/>
    <w:rsid w:val="00DE7152"/>
    <w:rsid w:val="00DE71EC"/>
    <w:rsid w:val="00DE7231"/>
    <w:rsid w:val="00DE74F2"/>
    <w:rsid w:val="00DE776A"/>
    <w:rsid w:val="00DE7988"/>
    <w:rsid w:val="00DE7B48"/>
    <w:rsid w:val="00DE7DC9"/>
    <w:rsid w:val="00DE7E42"/>
    <w:rsid w:val="00DE7E54"/>
    <w:rsid w:val="00DF0236"/>
    <w:rsid w:val="00DF02C4"/>
    <w:rsid w:val="00DF0398"/>
    <w:rsid w:val="00DF041E"/>
    <w:rsid w:val="00DF042C"/>
    <w:rsid w:val="00DF0721"/>
    <w:rsid w:val="00DF0828"/>
    <w:rsid w:val="00DF08EC"/>
    <w:rsid w:val="00DF0AB4"/>
    <w:rsid w:val="00DF0ABA"/>
    <w:rsid w:val="00DF0B3B"/>
    <w:rsid w:val="00DF0D8F"/>
    <w:rsid w:val="00DF0E5A"/>
    <w:rsid w:val="00DF10AA"/>
    <w:rsid w:val="00DF11F3"/>
    <w:rsid w:val="00DF12CB"/>
    <w:rsid w:val="00DF1362"/>
    <w:rsid w:val="00DF17F8"/>
    <w:rsid w:val="00DF1857"/>
    <w:rsid w:val="00DF19D4"/>
    <w:rsid w:val="00DF1A03"/>
    <w:rsid w:val="00DF1B9E"/>
    <w:rsid w:val="00DF1BD9"/>
    <w:rsid w:val="00DF1E4D"/>
    <w:rsid w:val="00DF1FDD"/>
    <w:rsid w:val="00DF2114"/>
    <w:rsid w:val="00DF2220"/>
    <w:rsid w:val="00DF22C3"/>
    <w:rsid w:val="00DF22C8"/>
    <w:rsid w:val="00DF23F3"/>
    <w:rsid w:val="00DF2454"/>
    <w:rsid w:val="00DF256A"/>
    <w:rsid w:val="00DF271E"/>
    <w:rsid w:val="00DF2727"/>
    <w:rsid w:val="00DF2867"/>
    <w:rsid w:val="00DF2973"/>
    <w:rsid w:val="00DF2A78"/>
    <w:rsid w:val="00DF2A79"/>
    <w:rsid w:val="00DF2B3D"/>
    <w:rsid w:val="00DF2BD8"/>
    <w:rsid w:val="00DF2ECA"/>
    <w:rsid w:val="00DF2F11"/>
    <w:rsid w:val="00DF31E3"/>
    <w:rsid w:val="00DF333E"/>
    <w:rsid w:val="00DF3765"/>
    <w:rsid w:val="00DF39E4"/>
    <w:rsid w:val="00DF3BCF"/>
    <w:rsid w:val="00DF3E00"/>
    <w:rsid w:val="00DF3E97"/>
    <w:rsid w:val="00DF402C"/>
    <w:rsid w:val="00DF40D6"/>
    <w:rsid w:val="00DF40E3"/>
    <w:rsid w:val="00DF410C"/>
    <w:rsid w:val="00DF413C"/>
    <w:rsid w:val="00DF4231"/>
    <w:rsid w:val="00DF4245"/>
    <w:rsid w:val="00DF42D5"/>
    <w:rsid w:val="00DF4372"/>
    <w:rsid w:val="00DF442E"/>
    <w:rsid w:val="00DF45E2"/>
    <w:rsid w:val="00DF4752"/>
    <w:rsid w:val="00DF47AB"/>
    <w:rsid w:val="00DF47AE"/>
    <w:rsid w:val="00DF49CA"/>
    <w:rsid w:val="00DF4D0F"/>
    <w:rsid w:val="00DF50DD"/>
    <w:rsid w:val="00DF53F2"/>
    <w:rsid w:val="00DF5475"/>
    <w:rsid w:val="00DF562F"/>
    <w:rsid w:val="00DF57E8"/>
    <w:rsid w:val="00DF580B"/>
    <w:rsid w:val="00DF5964"/>
    <w:rsid w:val="00DF5A46"/>
    <w:rsid w:val="00DF5DC4"/>
    <w:rsid w:val="00DF60D3"/>
    <w:rsid w:val="00DF618F"/>
    <w:rsid w:val="00DF61AF"/>
    <w:rsid w:val="00DF61BC"/>
    <w:rsid w:val="00DF64BC"/>
    <w:rsid w:val="00DF64FD"/>
    <w:rsid w:val="00DF6512"/>
    <w:rsid w:val="00DF658F"/>
    <w:rsid w:val="00DF660A"/>
    <w:rsid w:val="00DF6639"/>
    <w:rsid w:val="00DF676B"/>
    <w:rsid w:val="00DF695E"/>
    <w:rsid w:val="00DF69E4"/>
    <w:rsid w:val="00DF6BE2"/>
    <w:rsid w:val="00DF6C64"/>
    <w:rsid w:val="00DF6CB2"/>
    <w:rsid w:val="00DF6CD0"/>
    <w:rsid w:val="00DF6EAD"/>
    <w:rsid w:val="00DF70D4"/>
    <w:rsid w:val="00DF7152"/>
    <w:rsid w:val="00DF72BE"/>
    <w:rsid w:val="00DF72FE"/>
    <w:rsid w:val="00DF72FF"/>
    <w:rsid w:val="00DF76CA"/>
    <w:rsid w:val="00DF7747"/>
    <w:rsid w:val="00DF7907"/>
    <w:rsid w:val="00DF790E"/>
    <w:rsid w:val="00DF7A3A"/>
    <w:rsid w:val="00DF7AC8"/>
    <w:rsid w:val="00DF7C06"/>
    <w:rsid w:val="00DF7C1D"/>
    <w:rsid w:val="00DF7C87"/>
    <w:rsid w:val="00DF7D4F"/>
    <w:rsid w:val="00DF7D6A"/>
    <w:rsid w:val="00DF7E45"/>
    <w:rsid w:val="00DF7E58"/>
    <w:rsid w:val="00DF7EB1"/>
    <w:rsid w:val="00DF7FC5"/>
    <w:rsid w:val="00E00055"/>
    <w:rsid w:val="00E002CC"/>
    <w:rsid w:val="00E0038C"/>
    <w:rsid w:val="00E004F3"/>
    <w:rsid w:val="00E005B9"/>
    <w:rsid w:val="00E0072E"/>
    <w:rsid w:val="00E00789"/>
    <w:rsid w:val="00E00C61"/>
    <w:rsid w:val="00E00C7B"/>
    <w:rsid w:val="00E00C9C"/>
    <w:rsid w:val="00E00CE2"/>
    <w:rsid w:val="00E00EF2"/>
    <w:rsid w:val="00E00F50"/>
    <w:rsid w:val="00E0102C"/>
    <w:rsid w:val="00E01130"/>
    <w:rsid w:val="00E01174"/>
    <w:rsid w:val="00E01291"/>
    <w:rsid w:val="00E014A3"/>
    <w:rsid w:val="00E0157D"/>
    <w:rsid w:val="00E01E9A"/>
    <w:rsid w:val="00E02014"/>
    <w:rsid w:val="00E02386"/>
    <w:rsid w:val="00E023BB"/>
    <w:rsid w:val="00E024BE"/>
    <w:rsid w:val="00E02703"/>
    <w:rsid w:val="00E027CC"/>
    <w:rsid w:val="00E028EE"/>
    <w:rsid w:val="00E02B49"/>
    <w:rsid w:val="00E02BE8"/>
    <w:rsid w:val="00E02CE0"/>
    <w:rsid w:val="00E03062"/>
    <w:rsid w:val="00E03069"/>
    <w:rsid w:val="00E030E4"/>
    <w:rsid w:val="00E03170"/>
    <w:rsid w:val="00E033B9"/>
    <w:rsid w:val="00E03449"/>
    <w:rsid w:val="00E03830"/>
    <w:rsid w:val="00E03A52"/>
    <w:rsid w:val="00E03A73"/>
    <w:rsid w:val="00E03DE3"/>
    <w:rsid w:val="00E03ED1"/>
    <w:rsid w:val="00E03F92"/>
    <w:rsid w:val="00E041CC"/>
    <w:rsid w:val="00E0428C"/>
    <w:rsid w:val="00E046F5"/>
    <w:rsid w:val="00E0486B"/>
    <w:rsid w:val="00E04A61"/>
    <w:rsid w:val="00E04AAE"/>
    <w:rsid w:val="00E04AC2"/>
    <w:rsid w:val="00E04B5C"/>
    <w:rsid w:val="00E04CEF"/>
    <w:rsid w:val="00E04E01"/>
    <w:rsid w:val="00E053BD"/>
    <w:rsid w:val="00E05430"/>
    <w:rsid w:val="00E0564A"/>
    <w:rsid w:val="00E056AE"/>
    <w:rsid w:val="00E0574E"/>
    <w:rsid w:val="00E057DC"/>
    <w:rsid w:val="00E059E6"/>
    <w:rsid w:val="00E05BCC"/>
    <w:rsid w:val="00E05DE4"/>
    <w:rsid w:val="00E05FA5"/>
    <w:rsid w:val="00E05FF5"/>
    <w:rsid w:val="00E060D8"/>
    <w:rsid w:val="00E06265"/>
    <w:rsid w:val="00E06322"/>
    <w:rsid w:val="00E06372"/>
    <w:rsid w:val="00E065D3"/>
    <w:rsid w:val="00E065ED"/>
    <w:rsid w:val="00E0667D"/>
    <w:rsid w:val="00E06844"/>
    <w:rsid w:val="00E0687C"/>
    <w:rsid w:val="00E068E5"/>
    <w:rsid w:val="00E069F6"/>
    <w:rsid w:val="00E06B4C"/>
    <w:rsid w:val="00E06C0B"/>
    <w:rsid w:val="00E06D2E"/>
    <w:rsid w:val="00E06DC0"/>
    <w:rsid w:val="00E06DDA"/>
    <w:rsid w:val="00E06E88"/>
    <w:rsid w:val="00E06E97"/>
    <w:rsid w:val="00E0704D"/>
    <w:rsid w:val="00E07070"/>
    <w:rsid w:val="00E07081"/>
    <w:rsid w:val="00E070E2"/>
    <w:rsid w:val="00E07173"/>
    <w:rsid w:val="00E071E9"/>
    <w:rsid w:val="00E07520"/>
    <w:rsid w:val="00E07563"/>
    <w:rsid w:val="00E07631"/>
    <w:rsid w:val="00E07BDA"/>
    <w:rsid w:val="00E07D8E"/>
    <w:rsid w:val="00E07DCE"/>
    <w:rsid w:val="00E07E70"/>
    <w:rsid w:val="00E10093"/>
    <w:rsid w:val="00E10134"/>
    <w:rsid w:val="00E10208"/>
    <w:rsid w:val="00E103A6"/>
    <w:rsid w:val="00E105C5"/>
    <w:rsid w:val="00E10695"/>
    <w:rsid w:val="00E10727"/>
    <w:rsid w:val="00E107A5"/>
    <w:rsid w:val="00E107F0"/>
    <w:rsid w:val="00E10827"/>
    <w:rsid w:val="00E1083C"/>
    <w:rsid w:val="00E10968"/>
    <w:rsid w:val="00E10A4A"/>
    <w:rsid w:val="00E10B04"/>
    <w:rsid w:val="00E10BC2"/>
    <w:rsid w:val="00E10C8D"/>
    <w:rsid w:val="00E10CEF"/>
    <w:rsid w:val="00E10DAB"/>
    <w:rsid w:val="00E10EC5"/>
    <w:rsid w:val="00E10FCD"/>
    <w:rsid w:val="00E10FD1"/>
    <w:rsid w:val="00E1132E"/>
    <w:rsid w:val="00E1141F"/>
    <w:rsid w:val="00E11481"/>
    <w:rsid w:val="00E114CF"/>
    <w:rsid w:val="00E11579"/>
    <w:rsid w:val="00E11785"/>
    <w:rsid w:val="00E11A10"/>
    <w:rsid w:val="00E11A52"/>
    <w:rsid w:val="00E11AC9"/>
    <w:rsid w:val="00E11B75"/>
    <w:rsid w:val="00E11E18"/>
    <w:rsid w:val="00E123D6"/>
    <w:rsid w:val="00E124EF"/>
    <w:rsid w:val="00E1268D"/>
    <w:rsid w:val="00E12C94"/>
    <w:rsid w:val="00E12D01"/>
    <w:rsid w:val="00E12D68"/>
    <w:rsid w:val="00E12DE3"/>
    <w:rsid w:val="00E12DF3"/>
    <w:rsid w:val="00E13036"/>
    <w:rsid w:val="00E13114"/>
    <w:rsid w:val="00E13133"/>
    <w:rsid w:val="00E13323"/>
    <w:rsid w:val="00E1337F"/>
    <w:rsid w:val="00E137B5"/>
    <w:rsid w:val="00E137B7"/>
    <w:rsid w:val="00E13811"/>
    <w:rsid w:val="00E1388A"/>
    <w:rsid w:val="00E138CC"/>
    <w:rsid w:val="00E1393D"/>
    <w:rsid w:val="00E13BE4"/>
    <w:rsid w:val="00E13C23"/>
    <w:rsid w:val="00E13D74"/>
    <w:rsid w:val="00E141D9"/>
    <w:rsid w:val="00E14334"/>
    <w:rsid w:val="00E1452E"/>
    <w:rsid w:val="00E145B8"/>
    <w:rsid w:val="00E14668"/>
    <w:rsid w:val="00E146A2"/>
    <w:rsid w:val="00E1470A"/>
    <w:rsid w:val="00E14789"/>
    <w:rsid w:val="00E14898"/>
    <w:rsid w:val="00E14A7C"/>
    <w:rsid w:val="00E14AE0"/>
    <w:rsid w:val="00E14BCB"/>
    <w:rsid w:val="00E14C89"/>
    <w:rsid w:val="00E14CA0"/>
    <w:rsid w:val="00E14DC3"/>
    <w:rsid w:val="00E14DC7"/>
    <w:rsid w:val="00E14E9B"/>
    <w:rsid w:val="00E14EE1"/>
    <w:rsid w:val="00E151E5"/>
    <w:rsid w:val="00E151F1"/>
    <w:rsid w:val="00E15270"/>
    <w:rsid w:val="00E153C8"/>
    <w:rsid w:val="00E15551"/>
    <w:rsid w:val="00E156FB"/>
    <w:rsid w:val="00E1577A"/>
    <w:rsid w:val="00E157DD"/>
    <w:rsid w:val="00E159EE"/>
    <w:rsid w:val="00E15B16"/>
    <w:rsid w:val="00E15B6B"/>
    <w:rsid w:val="00E15C20"/>
    <w:rsid w:val="00E15DB6"/>
    <w:rsid w:val="00E15E17"/>
    <w:rsid w:val="00E15EAF"/>
    <w:rsid w:val="00E160F1"/>
    <w:rsid w:val="00E1611D"/>
    <w:rsid w:val="00E1616A"/>
    <w:rsid w:val="00E162B5"/>
    <w:rsid w:val="00E163C5"/>
    <w:rsid w:val="00E16499"/>
    <w:rsid w:val="00E1670B"/>
    <w:rsid w:val="00E167E2"/>
    <w:rsid w:val="00E16842"/>
    <w:rsid w:val="00E1691D"/>
    <w:rsid w:val="00E16B18"/>
    <w:rsid w:val="00E16B74"/>
    <w:rsid w:val="00E16B84"/>
    <w:rsid w:val="00E16BFD"/>
    <w:rsid w:val="00E16D3C"/>
    <w:rsid w:val="00E16DA9"/>
    <w:rsid w:val="00E16F4D"/>
    <w:rsid w:val="00E170B3"/>
    <w:rsid w:val="00E17125"/>
    <w:rsid w:val="00E171F0"/>
    <w:rsid w:val="00E17201"/>
    <w:rsid w:val="00E172F0"/>
    <w:rsid w:val="00E173AA"/>
    <w:rsid w:val="00E173E6"/>
    <w:rsid w:val="00E174B3"/>
    <w:rsid w:val="00E17519"/>
    <w:rsid w:val="00E175CF"/>
    <w:rsid w:val="00E175E3"/>
    <w:rsid w:val="00E17946"/>
    <w:rsid w:val="00E179E9"/>
    <w:rsid w:val="00E17A1A"/>
    <w:rsid w:val="00E17A57"/>
    <w:rsid w:val="00E17D12"/>
    <w:rsid w:val="00E17FD7"/>
    <w:rsid w:val="00E2003C"/>
    <w:rsid w:val="00E20184"/>
    <w:rsid w:val="00E201CD"/>
    <w:rsid w:val="00E20283"/>
    <w:rsid w:val="00E202E1"/>
    <w:rsid w:val="00E20474"/>
    <w:rsid w:val="00E20592"/>
    <w:rsid w:val="00E20650"/>
    <w:rsid w:val="00E207F9"/>
    <w:rsid w:val="00E209C4"/>
    <w:rsid w:val="00E20B0B"/>
    <w:rsid w:val="00E20B3D"/>
    <w:rsid w:val="00E20CB8"/>
    <w:rsid w:val="00E20CD0"/>
    <w:rsid w:val="00E20D2B"/>
    <w:rsid w:val="00E20E80"/>
    <w:rsid w:val="00E20F38"/>
    <w:rsid w:val="00E2111E"/>
    <w:rsid w:val="00E212F1"/>
    <w:rsid w:val="00E213EC"/>
    <w:rsid w:val="00E215C4"/>
    <w:rsid w:val="00E21666"/>
    <w:rsid w:val="00E217CB"/>
    <w:rsid w:val="00E2184B"/>
    <w:rsid w:val="00E21851"/>
    <w:rsid w:val="00E218AD"/>
    <w:rsid w:val="00E21AF2"/>
    <w:rsid w:val="00E21CDA"/>
    <w:rsid w:val="00E22062"/>
    <w:rsid w:val="00E221EA"/>
    <w:rsid w:val="00E222D3"/>
    <w:rsid w:val="00E2237E"/>
    <w:rsid w:val="00E223AC"/>
    <w:rsid w:val="00E22511"/>
    <w:rsid w:val="00E226A3"/>
    <w:rsid w:val="00E2292A"/>
    <w:rsid w:val="00E22BB9"/>
    <w:rsid w:val="00E22C89"/>
    <w:rsid w:val="00E22D07"/>
    <w:rsid w:val="00E22F74"/>
    <w:rsid w:val="00E2303C"/>
    <w:rsid w:val="00E23214"/>
    <w:rsid w:val="00E23732"/>
    <w:rsid w:val="00E23918"/>
    <w:rsid w:val="00E239CC"/>
    <w:rsid w:val="00E23A46"/>
    <w:rsid w:val="00E23B4A"/>
    <w:rsid w:val="00E23BBE"/>
    <w:rsid w:val="00E23D7E"/>
    <w:rsid w:val="00E2412C"/>
    <w:rsid w:val="00E242B1"/>
    <w:rsid w:val="00E24374"/>
    <w:rsid w:val="00E243BA"/>
    <w:rsid w:val="00E243C3"/>
    <w:rsid w:val="00E2440F"/>
    <w:rsid w:val="00E244FA"/>
    <w:rsid w:val="00E245F7"/>
    <w:rsid w:val="00E2470F"/>
    <w:rsid w:val="00E248BF"/>
    <w:rsid w:val="00E249B1"/>
    <w:rsid w:val="00E24A1E"/>
    <w:rsid w:val="00E24A3F"/>
    <w:rsid w:val="00E24A4E"/>
    <w:rsid w:val="00E24ACA"/>
    <w:rsid w:val="00E24C24"/>
    <w:rsid w:val="00E24D42"/>
    <w:rsid w:val="00E24E2A"/>
    <w:rsid w:val="00E24E68"/>
    <w:rsid w:val="00E24FD3"/>
    <w:rsid w:val="00E24FE6"/>
    <w:rsid w:val="00E25775"/>
    <w:rsid w:val="00E25964"/>
    <w:rsid w:val="00E25AC7"/>
    <w:rsid w:val="00E25C0B"/>
    <w:rsid w:val="00E25C55"/>
    <w:rsid w:val="00E25CF4"/>
    <w:rsid w:val="00E25D16"/>
    <w:rsid w:val="00E26011"/>
    <w:rsid w:val="00E26372"/>
    <w:rsid w:val="00E263E0"/>
    <w:rsid w:val="00E2649F"/>
    <w:rsid w:val="00E264C3"/>
    <w:rsid w:val="00E26759"/>
    <w:rsid w:val="00E26834"/>
    <w:rsid w:val="00E26D10"/>
    <w:rsid w:val="00E26D46"/>
    <w:rsid w:val="00E26ECB"/>
    <w:rsid w:val="00E26FCE"/>
    <w:rsid w:val="00E26FDE"/>
    <w:rsid w:val="00E27063"/>
    <w:rsid w:val="00E270A4"/>
    <w:rsid w:val="00E271D0"/>
    <w:rsid w:val="00E27235"/>
    <w:rsid w:val="00E27316"/>
    <w:rsid w:val="00E27408"/>
    <w:rsid w:val="00E275BF"/>
    <w:rsid w:val="00E2769C"/>
    <w:rsid w:val="00E276C2"/>
    <w:rsid w:val="00E278C8"/>
    <w:rsid w:val="00E27B80"/>
    <w:rsid w:val="00E27D7B"/>
    <w:rsid w:val="00E27E99"/>
    <w:rsid w:val="00E27EDE"/>
    <w:rsid w:val="00E27F08"/>
    <w:rsid w:val="00E27F40"/>
    <w:rsid w:val="00E3000D"/>
    <w:rsid w:val="00E300D1"/>
    <w:rsid w:val="00E30189"/>
    <w:rsid w:val="00E301CF"/>
    <w:rsid w:val="00E3022D"/>
    <w:rsid w:val="00E3060D"/>
    <w:rsid w:val="00E30808"/>
    <w:rsid w:val="00E30D97"/>
    <w:rsid w:val="00E30FB6"/>
    <w:rsid w:val="00E31100"/>
    <w:rsid w:val="00E3123A"/>
    <w:rsid w:val="00E31543"/>
    <w:rsid w:val="00E3164F"/>
    <w:rsid w:val="00E31654"/>
    <w:rsid w:val="00E3170F"/>
    <w:rsid w:val="00E3176A"/>
    <w:rsid w:val="00E318CE"/>
    <w:rsid w:val="00E3190B"/>
    <w:rsid w:val="00E319AA"/>
    <w:rsid w:val="00E319F4"/>
    <w:rsid w:val="00E31AA5"/>
    <w:rsid w:val="00E323B9"/>
    <w:rsid w:val="00E3252F"/>
    <w:rsid w:val="00E3274F"/>
    <w:rsid w:val="00E329C5"/>
    <w:rsid w:val="00E32C29"/>
    <w:rsid w:val="00E32C33"/>
    <w:rsid w:val="00E32DA8"/>
    <w:rsid w:val="00E32E6F"/>
    <w:rsid w:val="00E32F32"/>
    <w:rsid w:val="00E32FF7"/>
    <w:rsid w:val="00E3327A"/>
    <w:rsid w:val="00E3350A"/>
    <w:rsid w:val="00E3359E"/>
    <w:rsid w:val="00E3360C"/>
    <w:rsid w:val="00E33610"/>
    <w:rsid w:val="00E3364C"/>
    <w:rsid w:val="00E3369F"/>
    <w:rsid w:val="00E336DD"/>
    <w:rsid w:val="00E3378B"/>
    <w:rsid w:val="00E33A5F"/>
    <w:rsid w:val="00E33B02"/>
    <w:rsid w:val="00E33E32"/>
    <w:rsid w:val="00E342A5"/>
    <w:rsid w:val="00E34336"/>
    <w:rsid w:val="00E3449D"/>
    <w:rsid w:val="00E34559"/>
    <w:rsid w:val="00E345C4"/>
    <w:rsid w:val="00E34755"/>
    <w:rsid w:val="00E3487B"/>
    <w:rsid w:val="00E348E3"/>
    <w:rsid w:val="00E3494C"/>
    <w:rsid w:val="00E34DB1"/>
    <w:rsid w:val="00E34F11"/>
    <w:rsid w:val="00E35163"/>
    <w:rsid w:val="00E35386"/>
    <w:rsid w:val="00E35471"/>
    <w:rsid w:val="00E355A3"/>
    <w:rsid w:val="00E35865"/>
    <w:rsid w:val="00E3595D"/>
    <w:rsid w:val="00E3596A"/>
    <w:rsid w:val="00E35B39"/>
    <w:rsid w:val="00E35DD3"/>
    <w:rsid w:val="00E35E7E"/>
    <w:rsid w:val="00E35FA5"/>
    <w:rsid w:val="00E35FE8"/>
    <w:rsid w:val="00E36013"/>
    <w:rsid w:val="00E3615A"/>
    <w:rsid w:val="00E364B2"/>
    <w:rsid w:val="00E36522"/>
    <w:rsid w:val="00E36674"/>
    <w:rsid w:val="00E366BA"/>
    <w:rsid w:val="00E3678A"/>
    <w:rsid w:val="00E3685A"/>
    <w:rsid w:val="00E36897"/>
    <w:rsid w:val="00E36A28"/>
    <w:rsid w:val="00E36B13"/>
    <w:rsid w:val="00E36D3D"/>
    <w:rsid w:val="00E36D9D"/>
    <w:rsid w:val="00E36F70"/>
    <w:rsid w:val="00E36F83"/>
    <w:rsid w:val="00E3712F"/>
    <w:rsid w:val="00E37370"/>
    <w:rsid w:val="00E373BA"/>
    <w:rsid w:val="00E3754D"/>
    <w:rsid w:val="00E376F2"/>
    <w:rsid w:val="00E3774D"/>
    <w:rsid w:val="00E37750"/>
    <w:rsid w:val="00E377DF"/>
    <w:rsid w:val="00E37880"/>
    <w:rsid w:val="00E3788E"/>
    <w:rsid w:val="00E37A7F"/>
    <w:rsid w:val="00E37B74"/>
    <w:rsid w:val="00E37CD3"/>
    <w:rsid w:val="00E37DD0"/>
    <w:rsid w:val="00E37F76"/>
    <w:rsid w:val="00E37FB8"/>
    <w:rsid w:val="00E4010E"/>
    <w:rsid w:val="00E401F5"/>
    <w:rsid w:val="00E40333"/>
    <w:rsid w:val="00E403FE"/>
    <w:rsid w:val="00E4041B"/>
    <w:rsid w:val="00E40488"/>
    <w:rsid w:val="00E4049A"/>
    <w:rsid w:val="00E404DB"/>
    <w:rsid w:val="00E404DC"/>
    <w:rsid w:val="00E40577"/>
    <w:rsid w:val="00E405B2"/>
    <w:rsid w:val="00E40804"/>
    <w:rsid w:val="00E40A69"/>
    <w:rsid w:val="00E40BEC"/>
    <w:rsid w:val="00E40D5C"/>
    <w:rsid w:val="00E40FBD"/>
    <w:rsid w:val="00E4112D"/>
    <w:rsid w:val="00E4130B"/>
    <w:rsid w:val="00E41382"/>
    <w:rsid w:val="00E415F3"/>
    <w:rsid w:val="00E415F7"/>
    <w:rsid w:val="00E4167C"/>
    <w:rsid w:val="00E41818"/>
    <w:rsid w:val="00E418AC"/>
    <w:rsid w:val="00E418BC"/>
    <w:rsid w:val="00E419EA"/>
    <w:rsid w:val="00E41AE1"/>
    <w:rsid w:val="00E41AE6"/>
    <w:rsid w:val="00E41BF3"/>
    <w:rsid w:val="00E41D62"/>
    <w:rsid w:val="00E41D8A"/>
    <w:rsid w:val="00E41F1B"/>
    <w:rsid w:val="00E42090"/>
    <w:rsid w:val="00E4211F"/>
    <w:rsid w:val="00E42217"/>
    <w:rsid w:val="00E423B6"/>
    <w:rsid w:val="00E424E7"/>
    <w:rsid w:val="00E426DE"/>
    <w:rsid w:val="00E427DC"/>
    <w:rsid w:val="00E427E3"/>
    <w:rsid w:val="00E428D7"/>
    <w:rsid w:val="00E429C4"/>
    <w:rsid w:val="00E42B38"/>
    <w:rsid w:val="00E42CFE"/>
    <w:rsid w:val="00E42E99"/>
    <w:rsid w:val="00E43067"/>
    <w:rsid w:val="00E432F6"/>
    <w:rsid w:val="00E43321"/>
    <w:rsid w:val="00E433B8"/>
    <w:rsid w:val="00E4340A"/>
    <w:rsid w:val="00E4350A"/>
    <w:rsid w:val="00E43526"/>
    <w:rsid w:val="00E43559"/>
    <w:rsid w:val="00E43563"/>
    <w:rsid w:val="00E435EF"/>
    <w:rsid w:val="00E436A7"/>
    <w:rsid w:val="00E438EF"/>
    <w:rsid w:val="00E43949"/>
    <w:rsid w:val="00E43BD3"/>
    <w:rsid w:val="00E43C2B"/>
    <w:rsid w:val="00E43CC3"/>
    <w:rsid w:val="00E43FBE"/>
    <w:rsid w:val="00E44082"/>
    <w:rsid w:val="00E440AE"/>
    <w:rsid w:val="00E4422D"/>
    <w:rsid w:val="00E4442F"/>
    <w:rsid w:val="00E44448"/>
    <w:rsid w:val="00E44650"/>
    <w:rsid w:val="00E44657"/>
    <w:rsid w:val="00E448AD"/>
    <w:rsid w:val="00E448DF"/>
    <w:rsid w:val="00E44931"/>
    <w:rsid w:val="00E449EF"/>
    <w:rsid w:val="00E44A44"/>
    <w:rsid w:val="00E44B47"/>
    <w:rsid w:val="00E44D32"/>
    <w:rsid w:val="00E44E94"/>
    <w:rsid w:val="00E45060"/>
    <w:rsid w:val="00E452F4"/>
    <w:rsid w:val="00E4534B"/>
    <w:rsid w:val="00E454A7"/>
    <w:rsid w:val="00E454CE"/>
    <w:rsid w:val="00E45604"/>
    <w:rsid w:val="00E45638"/>
    <w:rsid w:val="00E456D4"/>
    <w:rsid w:val="00E4576A"/>
    <w:rsid w:val="00E45879"/>
    <w:rsid w:val="00E45D23"/>
    <w:rsid w:val="00E45DD0"/>
    <w:rsid w:val="00E45E00"/>
    <w:rsid w:val="00E45F69"/>
    <w:rsid w:val="00E4622E"/>
    <w:rsid w:val="00E4626C"/>
    <w:rsid w:val="00E4627E"/>
    <w:rsid w:val="00E463A4"/>
    <w:rsid w:val="00E463B5"/>
    <w:rsid w:val="00E46483"/>
    <w:rsid w:val="00E46529"/>
    <w:rsid w:val="00E4654A"/>
    <w:rsid w:val="00E467D6"/>
    <w:rsid w:val="00E46824"/>
    <w:rsid w:val="00E46872"/>
    <w:rsid w:val="00E46873"/>
    <w:rsid w:val="00E46978"/>
    <w:rsid w:val="00E469DD"/>
    <w:rsid w:val="00E46C56"/>
    <w:rsid w:val="00E4711F"/>
    <w:rsid w:val="00E471ED"/>
    <w:rsid w:val="00E471F2"/>
    <w:rsid w:val="00E4738D"/>
    <w:rsid w:val="00E473AB"/>
    <w:rsid w:val="00E473E7"/>
    <w:rsid w:val="00E47412"/>
    <w:rsid w:val="00E47434"/>
    <w:rsid w:val="00E475D4"/>
    <w:rsid w:val="00E476D1"/>
    <w:rsid w:val="00E477E2"/>
    <w:rsid w:val="00E47C57"/>
    <w:rsid w:val="00E47F73"/>
    <w:rsid w:val="00E5004D"/>
    <w:rsid w:val="00E500D9"/>
    <w:rsid w:val="00E5010D"/>
    <w:rsid w:val="00E50147"/>
    <w:rsid w:val="00E5047E"/>
    <w:rsid w:val="00E504A7"/>
    <w:rsid w:val="00E505D4"/>
    <w:rsid w:val="00E5075A"/>
    <w:rsid w:val="00E507A1"/>
    <w:rsid w:val="00E50846"/>
    <w:rsid w:val="00E50948"/>
    <w:rsid w:val="00E50BBB"/>
    <w:rsid w:val="00E50C78"/>
    <w:rsid w:val="00E50E67"/>
    <w:rsid w:val="00E50F5A"/>
    <w:rsid w:val="00E5100A"/>
    <w:rsid w:val="00E5108E"/>
    <w:rsid w:val="00E511FE"/>
    <w:rsid w:val="00E5126B"/>
    <w:rsid w:val="00E5160B"/>
    <w:rsid w:val="00E5162A"/>
    <w:rsid w:val="00E51780"/>
    <w:rsid w:val="00E519E1"/>
    <w:rsid w:val="00E51A85"/>
    <w:rsid w:val="00E51DA9"/>
    <w:rsid w:val="00E51E5F"/>
    <w:rsid w:val="00E52041"/>
    <w:rsid w:val="00E521B3"/>
    <w:rsid w:val="00E52240"/>
    <w:rsid w:val="00E522A5"/>
    <w:rsid w:val="00E52459"/>
    <w:rsid w:val="00E52506"/>
    <w:rsid w:val="00E526AC"/>
    <w:rsid w:val="00E527F2"/>
    <w:rsid w:val="00E52BFB"/>
    <w:rsid w:val="00E52DDC"/>
    <w:rsid w:val="00E52F43"/>
    <w:rsid w:val="00E52F58"/>
    <w:rsid w:val="00E53007"/>
    <w:rsid w:val="00E53120"/>
    <w:rsid w:val="00E53329"/>
    <w:rsid w:val="00E5338F"/>
    <w:rsid w:val="00E53413"/>
    <w:rsid w:val="00E53499"/>
    <w:rsid w:val="00E535BA"/>
    <w:rsid w:val="00E53638"/>
    <w:rsid w:val="00E53881"/>
    <w:rsid w:val="00E538A1"/>
    <w:rsid w:val="00E53923"/>
    <w:rsid w:val="00E53CB4"/>
    <w:rsid w:val="00E53CF1"/>
    <w:rsid w:val="00E541D1"/>
    <w:rsid w:val="00E54296"/>
    <w:rsid w:val="00E5441E"/>
    <w:rsid w:val="00E5449F"/>
    <w:rsid w:val="00E546E8"/>
    <w:rsid w:val="00E547E2"/>
    <w:rsid w:val="00E54845"/>
    <w:rsid w:val="00E54A12"/>
    <w:rsid w:val="00E54A3F"/>
    <w:rsid w:val="00E54BC3"/>
    <w:rsid w:val="00E54FAC"/>
    <w:rsid w:val="00E54FD3"/>
    <w:rsid w:val="00E5515F"/>
    <w:rsid w:val="00E551A8"/>
    <w:rsid w:val="00E551F4"/>
    <w:rsid w:val="00E5522F"/>
    <w:rsid w:val="00E55281"/>
    <w:rsid w:val="00E55310"/>
    <w:rsid w:val="00E55481"/>
    <w:rsid w:val="00E55673"/>
    <w:rsid w:val="00E55699"/>
    <w:rsid w:val="00E556CE"/>
    <w:rsid w:val="00E558D9"/>
    <w:rsid w:val="00E559D4"/>
    <w:rsid w:val="00E55A4B"/>
    <w:rsid w:val="00E55A74"/>
    <w:rsid w:val="00E55D10"/>
    <w:rsid w:val="00E55FAA"/>
    <w:rsid w:val="00E560F0"/>
    <w:rsid w:val="00E56124"/>
    <w:rsid w:val="00E56131"/>
    <w:rsid w:val="00E563E7"/>
    <w:rsid w:val="00E564DB"/>
    <w:rsid w:val="00E56544"/>
    <w:rsid w:val="00E5662A"/>
    <w:rsid w:val="00E56650"/>
    <w:rsid w:val="00E56735"/>
    <w:rsid w:val="00E567A4"/>
    <w:rsid w:val="00E5681A"/>
    <w:rsid w:val="00E56CC6"/>
    <w:rsid w:val="00E56DCE"/>
    <w:rsid w:val="00E56E33"/>
    <w:rsid w:val="00E56E6F"/>
    <w:rsid w:val="00E56E7C"/>
    <w:rsid w:val="00E5706F"/>
    <w:rsid w:val="00E570F1"/>
    <w:rsid w:val="00E57186"/>
    <w:rsid w:val="00E5745A"/>
    <w:rsid w:val="00E575CA"/>
    <w:rsid w:val="00E577BF"/>
    <w:rsid w:val="00E57868"/>
    <w:rsid w:val="00E57B29"/>
    <w:rsid w:val="00E57B5C"/>
    <w:rsid w:val="00E57BDF"/>
    <w:rsid w:val="00E57FB2"/>
    <w:rsid w:val="00E60045"/>
    <w:rsid w:val="00E60126"/>
    <w:rsid w:val="00E60248"/>
    <w:rsid w:val="00E60585"/>
    <w:rsid w:val="00E60672"/>
    <w:rsid w:val="00E60705"/>
    <w:rsid w:val="00E60823"/>
    <w:rsid w:val="00E6082C"/>
    <w:rsid w:val="00E60A90"/>
    <w:rsid w:val="00E60B48"/>
    <w:rsid w:val="00E60BEE"/>
    <w:rsid w:val="00E60E2A"/>
    <w:rsid w:val="00E60FAD"/>
    <w:rsid w:val="00E60FDC"/>
    <w:rsid w:val="00E6134E"/>
    <w:rsid w:val="00E6140D"/>
    <w:rsid w:val="00E6157D"/>
    <w:rsid w:val="00E61593"/>
    <w:rsid w:val="00E6160E"/>
    <w:rsid w:val="00E616B0"/>
    <w:rsid w:val="00E61853"/>
    <w:rsid w:val="00E61A07"/>
    <w:rsid w:val="00E61A1A"/>
    <w:rsid w:val="00E61BC0"/>
    <w:rsid w:val="00E61DF1"/>
    <w:rsid w:val="00E61EED"/>
    <w:rsid w:val="00E61F13"/>
    <w:rsid w:val="00E62147"/>
    <w:rsid w:val="00E62730"/>
    <w:rsid w:val="00E627F8"/>
    <w:rsid w:val="00E6283F"/>
    <w:rsid w:val="00E62AB4"/>
    <w:rsid w:val="00E63047"/>
    <w:rsid w:val="00E63082"/>
    <w:rsid w:val="00E631AD"/>
    <w:rsid w:val="00E633D4"/>
    <w:rsid w:val="00E63863"/>
    <w:rsid w:val="00E6388B"/>
    <w:rsid w:val="00E63CF6"/>
    <w:rsid w:val="00E63D8E"/>
    <w:rsid w:val="00E63E4E"/>
    <w:rsid w:val="00E63EA7"/>
    <w:rsid w:val="00E63F3D"/>
    <w:rsid w:val="00E63FEF"/>
    <w:rsid w:val="00E641B9"/>
    <w:rsid w:val="00E64235"/>
    <w:rsid w:val="00E6458F"/>
    <w:rsid w:val="00E64709"/>
    <w:rsid w:val="00E64725"/>
    <w:rsid w:val="00E648F1"/>
    <w:rsid w:val="00E64920"/>
    <w:rsid w:val="00E64A8A"/>
    <w:rsid w:val="00E64C3C"/>
    <w:rsid w:val="00E64CA0"/>
    <w:rsid w:val="00E64D10"/>
    <w:rsid w:val="00E64DB8"/>
    <w:rsid w:val="00E64E82"/>
    <w:rsid w:val="00E65146"/>
    <w:rsid w:val="00E65156"/>
    <w:rsid w:val="00E6518C"/>
    <w:rsid w:val="00E655BE"/>
    <w:rsid w:val="00E656AE"/>
    <w:rsid w:val="00E657A3"/>
    <w:rsid w:val="00E657A4"/>
    <w:rsid w:val="00E659DA"/>
    <w:rsid w:val="00E65A3D"/>
    <w:rsid w:val="00E65DB3"/>
    <w:rsid w:val="00E65DCB"/>
    <w:rsid w:val="00E65DD8"/>
    <w:rsid w:val="00E65DE4"/>
    <w:rsid w:val="00E66665"/>
    <w:rsid w:val="00E66BF6"/>
    <w:rsid w:val="00E66CE1"/>
    <w:rsid w:val="00E66D08"/>
    <w:rsid w:val="00E66F93"/>
    <w:rsid w:val="00E67115"/>
    <w:rsid w:val="00E6737C"/>
    <w:rsid w:val="00E67387"/>
    <w:rsid w:val="00E674D0"/>
    <w:rsid w:val="00E67501"/>
    <w:rsid w:val="00E6750B"/>
    <w:rsid w:val="00E67618"/>
    <w:rsid w:val="00E677FB"/>
    <w:rsid w:val="00E678C3"/>
    <w:rsid w:val="00E678E0"/>
    <w:rsid w:val="00E6792F"/>
    <w:rsid w:val="00E67B49"/>
    <w:rsid w:val="00E67B4C"/>
    <w:rsid w:val="00E67BBD"/>
    <w:rsid w:val="00E67E24"/>
    <w:rsid w:val="00E67E68"/>
    <w:rsid w:val="00E67F05"/>
    <w:rsid w:val="00E67F28"/>
    <w:rsid w:val="00E700C4"/>
    <w:rsid w:val="00E703BE"/>
    <w:rsid w:val="00E704E5"/>
    <w:rsid w:val="00E70694"/>
    <w:rsid w:val="00E709A9"/>
    <w:rsid w:val="00E70A2E"/>
    <w:rsid w:val="00E70A30"/>
    <w:rsid w:val="00E70B54"/>
    <w:rsid w:val="00E70C8B"/>
    <w:rsid w:val="00E70D21"/>
    <w:rsid w:val="00E70E3A"/>
    <w:rsid w:val="00E7117C"/>
    <w:rsid w:val="00E713F2"/>
    <w:rsid w:val="00E715B0"/>
    <w:rsid w:val="00E71606"/>
    <w:rsid w:val="00E716DF"/>
    <w:rsid w:val="00E71779"/>
    <w:rsid w:val="00E71905"/>
    <w:rsid w:val="00E71979"/>
    <w:rsid w:val="00E71A98"/>
    <w:rsid w:val="00E71BCE"/>
    <w:rsid w:val="00E71BF7"/>
    <w:rsid w:val="00E71C16"/>
    <w:rsid w:val="00E71C6E"/>
    <w:rsid w:val="00E71FDF"/>
    <w:rsid w:val="00E72052"/>
    <w:rsid w:val="00E72283"/>
    <w:rsid w:val="00E72323"/>
    <w:rsid w:val="00E723D3"/>
    <w:rsid w:val="00E7242E"/>
    <w:rsid w:val="00E7246D"/>
    <w:rsid w:val="00E724F0"/>
    <w:rsid w:val="00E7254A"/>
    <w:rsid w:val="00E72696"/>
    <w:rsid w:val="00E726A7"/>
    <w:rsid w:val="00E7287A"/>
    <w:rsid w:val="00E72962"/>
    <w:rsid w:val="00E729A5"/>
    <w:rsid w:val="00E72D2C"/>
    <w:rsid w:val="00E72D71"/>
    <w:rsid w:val="00E73011"/>
    <w:rsid w:val="00E73189"/>
    <w:rsid w:val="00E73291"/>
    <w:rsid w:val="00E732F3"/>
    <w:rsid w:val="00E733EB"/>
    <w:rsid w:val="00E733F3"/>
    <w:rsid w:val="00E734A7"/>
    <w:rsid w:val="00E73662"/>
    <w:rsid w:val="00E736C2"/>
    <w:rsid w:val="00E73997"/>
    <w:rsid w:val="00E73AA7"/>
    <w:rsid w:val="00E73AE2"/>
    <w:rsid w:val="00E73B37"/>
    <w:rsid w:val="00E73C56"/>
    <w:rsid w:val="00E73D20"/>
    <w:rsid w:val="00E73DBC"/>
    <w:rsid w:val="00E73EC8"/>
    <w:rsid w:val="00E740FC"/>
    <w:rsid w:val="00E7413E"/>
    <w:rsid w:val="00E74189"/>
    <w:rsid w:val="00E7435F"/>
    <w:rsid w:val="00E74436"/>
    <w:rsid w:val="00E745AC"/>
    <w:rsid w:val="00E7473E"/>
    <w:rsid w:val="00E74832"/>
    <w:rsid w:val="00E75041"/>
    <w:rsid w:val="00E7506D"/>
    <w:rsid w:val="00E752D2"/>
    <w:rsid w:val="00E75301"/>
    <w:rsid w:val="00E7534F"/>
    <w:rsid w:val="00E753C5"/>
    <w:rsid w:val="00E753CE"/>
    <w:rsid w:val="00E75459"/>
    <w:rsid w:val="00E75709"/>
    <w:rsid w:val="00E75879"/>
    <w:rsid w:val="00E75901"/>
    <w:rsid w:val="00E7595A"/>
    <w:rsid w:val="00E75A53"/>
    <w:rsid w:val="00E75ABD"/>
    <w:rsid w:val="00E75BB8"/>
    <w:rsid w:val="00E75D61"/>
    <w:rsid w:val="00E75D96"/>
    <w:rsid w:val="00E75E13"/>
    <w:rsid w:val="00E75E5A"/>
    <w:rsid w:val="00E75FD2"/>
    <w:rsid w:val="00E76058"/>
    <w:rsid w:val="00E76081"/>
    <w:rsid w:val="00E760AA"/>
    <w:rsid w:val="00E76261"/>
    <w:rsid w:val="00E76265"/>
    <w:rsid w:val="00E766A2"/>
    <w:rsid w:val="00E76730"/>
    <w:rsid w:val="00E7673C"/>
    <w:rsid w:val="00E7674B"/>
    <w:rsid w:val="00E767E1"/>
    <w:rsid w:val="00E769D8"/>
    <w:rsid w:val="00E76A6F"/>
    <w:rsid w:val="00E76B12"/>
    <w:rsid w:val="00E76B76"/>
    <w:rsid w:val="00E76E82"/>
    <w:rsid w:val="00E76E84"/>
    <w:rsid w:val="00E76EC0"/>
    <w:rsid w:val="00E76EE6"/>
    <w:rsid w:val="00E76FA2"/>
    <w:rsid w:val="00E76FD4"/>
    <w:rsid w:val="00E76FE3"/>
    <w:rsid w:val="00E77175"/>
    <w:rsid w:val="00E77515"/>
    <w:rsid w:val="00E777F4"/>
    <w:rsid w:val="00E77891"/>
    <w:rsid w:val="00E77AFA"/>
    <w:rsid w:val="00E77E29"/>
    <w:rsid w:val="00E77F55"/>
    <w:rsid w:val="00E80014"/>
    <w:rsid w:val="00E8006C"/>
    <w:rsid w:val="00E80506"/>
    <w:rsid w:val="00E80513"/>
    <w:rsid w:val="00E80514"/>
    <w:rsid w:val="00E80645"/>
    <w:rsid w:val="00E8096D"/>
    <w:rsid w:val="00E80ABB"/>
    <w:rsid w:val="00E80B3A"/>
    <w:rsid w:val="00E80E8F"/>
    <w:rsid w:val="00E80FA6"/>
    <w:rsid w:val="00E80FDE"/>
    <w:rsid w:val="00E8115F"/>
    <w:rsid w:val="00E81201"/>
    <w:rsid w:val="00E8131B"/>
    <w:rsid w:val="00E81418"/>
    <w:rsid w:val="00E8185C"/>
    <w:rsid w:val="00E8187D"/>
    <w:rsid w:val="00E818FE"/>
    <w:rsid w:val="00E8192B"/>
    <w:rsid w:val="00E81981"/>
    <w:rsid w:val="00E819E4"/>
    <w:rsid w:val="00E81B4D"/>
    <w:rsid w:val="00E81CAC"/>
    <w:rsid w:val="00E81E27"/>
    <w:rsid w:val="00E81F26"/>
    <w:rsid w:val="00E8219D"/>
    <w:rsid w:val="00E821BE"/>
    <w:rsid w:val="00E821DF"/>
    <w:rsid w:val="00E8227E"/>
    <w:rsid w:val="00E82443"/>
    <w:rsid w:val="00E82449"/>
    <w:rsid w:val="00E8260B"/>
    <w:rsid w:val="00E82712"/>
    <w:rsid w:val="00E82801"/>
    <w:rsid w:val="00E829EC"/>
    <w:rsid w:val="00E82A1F"/>
    <w:rsid w:val="00E82AAA"/>
    <w:rsid w:val="00E82BFF"/>
    <w:rsid w:val="00E82C5D"/>
    <w:rsid w:val="00E82CFE"/>
    <w:rsid w:val="00E82D00"/>
    <w:rsid w:val="00E82E7F"/>
    <w:rsid w:val="00E82EEF"/>
    <w:rsid w:val="00E82F31"/>
    <w:rsid w:val="00E8302C"/>
    <w:rsid w:val="00E831B5"/>
    <w:rsid w:val="00E83378"/>
    <w:rsid w:val="00E83537"/>
    <w:rsid w:val="00E835BA"/>
    <w:rsid w:val="00E835BB"/>
    <w:rsid w:val="00E83611"/>
    <w:rsid w:val="00E83615"/>
    <w:rsid w:val="00E837D7"/>
    <w:rsid w:val="00E839B2"/>
    <w:rsid w:val="00E839E2"/>
    <w:rsid w:val="00E83A94"/>
    <w:rsid w:val="00E83BB4"/>
    <w:rsid w:val="00E83C0C"/>
    <w:rsid w:val="00E83F82"/>
    <w:rsid w:val="00E83FEA"/>
    <w:rsid w:val="00E83FEF"/>
    <w:rsid w:val="00E84262"/>
    <w:rsid w:val="00E84466"/>
    <w:rsid w:val="00E844BA"/>
    <w:rsid w:val="00E84565"/>
    <w:rsid w:val="00E845D3"/>
    <w:rsid w:val="00E8472A"/>
    <w:rsid w:val="00E84892"/>
    <w:rsid w:val="00E84A1B"/>
    <w:rsid w:val="00E84B37"/>
    <w:rsid w:val="00E84C1C"/>
    <w:rsid w:val="00E84D42"/>
    <w:rsid w:val="00E85188"/>
    <w:rsid w:val="00E851F1"/>
    <w:rsid w:val="00E852B3"/>
    <w:rsid w:val="00E85416"/>
    <w:rsid w:val="00E85575"/>
    <w:rsid w:val="00E85671"/>
    <w:rsid w:val="00E8586B"/>
    <w:rsid w:val="00E85A4D"/>
    <w:rsid w:val="00E85BF4"/>
    <w:rsid w:val="00E85D9E"/>
    <w:rsid w:val="00E85E13"/>
    <w:rsid w:val="00E85E14"/>
    <w:rsid w:val="00E86064"/>
    <w:rsid w:val="00E860AA"/>
    <w:rsid w:val="00E861A4"/>
    <w:rsid w:val="00E861D1"/>
    <w:rsid w:val="00E863E1"/>
    <w:rsid w:val="00E86449"/>
    <w:rsid w:val="00E86469"/>
    <w:rsid w:val="00E86630"/>
    <w:rsid w:val="00E86701"/>
    <w:rsid w:val="00E867AC"/>
    <w:rsid w:val="00E867DD"/>
    <w:rsid w:val="00E86841"/>
    <w:rsid w:val="00E86964"/>
    <w:rsid w:val="00E8699D"/>
    <w:rsid w:val="00E86B3B"/>
    <w:rsid w:val="00E86E28"/>
    <w:rsid w:val="00E86E54"/>
    <w:rsid w:val="00E86E6B"/>
    <w:rsid w:val="00E86FC7"/>
    <w:rsid w:val="00E86FCB"/>
    <w:rsid w:val="00E87030"/>
    <w:rsid w:val="00E870DE"/>
    <w:rsid w:val="00E87273"/>
    <w:rsid w:val="00E874B6"/>
    <w:rsid w:val="00E8764D"/>
    <w:rsid w:val="00E87769"/>
    <w:rsid w:val="00E8783F"/>
    <w:rsid w:val="00E878C9"/>
    <w:rsid w:val="00E8796F"/>
    <w:rsid w:val="00E879B2"/>
    <w:rsid w:val="00E87AB5"/>
    <w:rsid w:val="00E87ADC"/>
    <w:rsid w:val="00E87B1B"/>
    <w:rsid w:val="00E87C0F"/>
    <w:rsid w:val="00E87D3F"/>
    <w:rsid w:val="00E87D5E"/>
    <w:rsid w:val="00E87D67"/>
    <w:rsid w:val="00E87E22"/>
    <w:rsid w:val="00E87E73"/>
    <w:rsid w:val="00E87F64"/>
    <w:rsid w:val="00E87FB7"/>
    <w:rsid w:val="00E9006A"/>
    <w:rsid w:val="00E90089"/>
    <w:rsid w:val="00E90111"/>
    <w:rsid w:val="00E9024D"/>
    <w:rsid w:val="00E9024F"/>
    <w:rsid w:val="00E9029C"/>
    <w:rsid w:val="00E90365"/>
    <w:rsid w:val="00E903B6"/>
    <w:rsid w:val="00E906AE"/>
    <w:rsid w:val="00E9079B"/>
    <w:rsid w:val="00E908B8"/>
    <w:rsid w:val="00E9091E"/>
    <w:rsid w:val="00E90B6E"/>
    <w:rsid w:val="00E90C3A"/>
    <w:rsid w:val="00E90CEE"/>
    <w:rsid w:val="00E90FFE"/>
    <w:rsid w:val="00E9148F"/>
    <w:rsid w:val="00E9177B"/>
    <w:rsid w:val="00E91826"/>
    <w:rsid w:val="00E91988"/>
    <w:rsid w:val="00E91A27"/>
    <w:rsid w:val="00E91A34"/>
    <w:rsid w:val="00E91B52"/>
    <w:rsid w:val="00E91D81"/>
    <w:rsid w:val="00E91E97"/>
    <w:rsid w:val="00E91F09"/>
    <w:rsid w:val="00E91F1D"/>
    <w:rsid w:val="00E92138"/>
    <w:rsid w:val="00E924A0"/>
    <w:rsid w:val="00E924EF"/>
    <w:rsid w:val="00E9277B"/>
    <w:rsid w:val="00E927CC"/>
    <w:rsid w:val="00E92915"/>
    <w:rsid w:val="00E92916"/>
    <w:rsid w:val="00E92921"/>
    <w:rsid w:val="00E92CBF"/>
    <w:rsid w:val="00E92D89"/>
    <w:rsid w:val="00E93080"/>
    <w:rsid w:val="00E932FF"/>
    <w:rsid w:val="00E9339F"/>
    <w:rsid w:val="00E933E5"/>
    <w:rsid w:val="00E9364B"/>
    <w:rsid w:val="00E9364D"/>
    <w:rsid w:val="00E93738"/>
    <w:rsid w:val="00E93842"/>
    <w:rsid w:val="00E9392C"/>
    <w:rsid w:val="00E9395F"/>
    <w:rsid w:val="00E93B32"/>
    <w:rsid w:val="00E93BBD"/>
    <w:rsid w:val="00E93BC3"/>
    <w:rsid w:val="00E93C6B"/>
    <w:rsid w:val="00E93CC5"/>
    <w:rsid w:val="00E93D59"/>
    <w:rsid w:val="00E93E74"/>
    <w:rsid w:val="00E940F3"/>
    <w:rsid w:val="00E94238"/>
    <w:rsid w:val="00E94369"/>
    <w:rsid w:val="00E943E9"/>
    <w:rsid w:val="00E9465D"/>
    <w:rsid w:val="00E946D1"/>
    <w:rsid w:val="00E9481B"/>
    <w:rsid w:val="00E94ADF"/>
    <w:rsid w:val="00E94CE4"/>
    <w:rsid w:val="00E94D6D"/>
    <w:rsid w:val="00E94FA1"/>
    <w:rsid w:val="00E951A3"/>
    <w:rsid w:val="00E951BB"/>
    <w:rsid w:val="00E9520C"/>
    <w:rsid w:val="00E952D9"/>
    <w:rsid w:val="00E9566E"/>
    <w:rsid w:val="00E956C3"/>
    <w:rsid w:val="00E956EA"/>
    <w:rsid w:val="00E9578B"/>
    <w:rsid w:val="00E9594D"/>
    <w:rsid w:val="00E959B9"/>
    <w:rsid w:val="00E95A45"/>
    <w:rsid w:val="00E95AED"/>
    <w:rsid w:val="00E95AF4"/>
    <w:rsid w:val="00E95BF8"/>
    <w:rsid w:val="00E95E0C"/>
    <w:rsid w:val="00E95E82"/>
    <w:rsid w:val="00E95F84"/>
    <w:rsid w:val="00E9601B"/>
    <w:rsid w:val="00E96167"/>
    <w:rsid w:val="00E96294"/>
    <w:rsid w:val="00E96679"/>
    <w:rsid w:val="00E96799"/>
    <w:rsid w:val="00E968B7"/>
    <w:rsid w:val="00E9696A"/>
    <w:rsid w:val="00E96AAB"/>
    <w:rsid w:val="00E96AD5"/>
    <w:rsid w:val="00E96D47"/>
    <w:rsid w:val="00E9700B"/>
    <w:rsid w:val="00E970C6"/>
    <w:rsid w:val="00E97107"/>
    <w:rsid w:val="00E97167"/>
    <w:rsid w:val="00E97277"/>
    <w:rsid w:val="00E9743D"/>
    <w:rsid w:val="00E97657"/>
    <w:rsid w:val="00E976D2"/>
    <w:rsid w:val="00E9772C"/>
    <w:rsid w:val="00E9775B"/>
    <w:rsid w:val="00E978DC"/>
    <w:rsid w:val="00E9790D"/>
    <w:rsid w:val="00E97BCF"/>
    <w:rsid w:val="00E97C00"/>
    <w:rsid w:val="00E97F0C"/>
    <w:rsid w:val="00EA02BE"/>
    <w:rsid w:val="00EA0569"/>
    <w:rsid w:val="00EA06E8"/>
    <w:rsid w:val="00EA08E4"/>
    <w:rsid w:val="00EA09B9"/>
    <w:rsid w:val="00EA0A01"/>
    <w:rsid w:val="00EA0B3C"/>
    <w:rsid w:val="00EA0B4B"/>
    <w:rsid w:val="00EA100A"/>
    <w:rsid w:val="00EA10B9"/>
    <w:rsid w:val="00EA1231"/>
    <w:rsid w:val="00EA13D0"/>
    <w:rsid w:val="00EA1592"/>
    <w:rsid w:val="00EA1614"/>
    <w:rsid w:val="00EA16AA"/>
    <w:rsid w:val="00EA1775"/>
    <w:rsid w:val="00EA17A7"/>
    <w:rsid w:val="00EA1816"/>
    <w:rsid w:val="00EA1929"/>
    <w:rsid w:val="00EA19E8"/>
    <w:rsid w:val="00EA1AAA"/>
    <w:rsid w:val="00EA1DEC"/>
    <w:rsid w:val="00EA2170"/>
    <w:rsid w:val="00EA2309"/>
    <w:rsid w:val="00EA2322"/>
    <w:rsid w:val="00EA2475"/>
    <w:rsid w:val="00EA25AF"/>
    <w:rsid w:val="00EA2731"/>
    <w:rsid w:val="00EA28BB"/>
    <w:rsid w:val="00EA28EB"/>
    <w:rsid w:val="00EA2B63"/>
    <w:rsid w:val="00EA2BC9"/>
    <w:rsid w:val="00EA2C38"/>
    <w:rsid w:val="00EA2CD9"/>
    <w:rsid w:val="00EA3335"/>
    <w:rsid w:val="00EA3375"/>
    <w:rsid w:val="00EA35D3"/>
    <w:rsid w:val="00EA3975"/>
    <w:rsid w:val="00EA399D"/>
    <w:rsid w:val="00EA3A2D"/>
    <w:rsid w:val="00EA3A9C"/>
    <w:rsid w:val="00EA3AF1"/>
    <w:rsid w:val="00EA3B45"/>
    <w:rsid w:val="00EA3BD4"/>
    <w:rsid w:val="00EA3D28"/>
    <w:rsid w:val="00EA3D9B"/>
    <w:rsid w:val="00EA3F63"/>
    <w:rsid w:val="00EA3FE0"/>
    <w:rsid w:val="00EA426F"/>
    <w:rsid w:val="00EA445D"/>
    <w:rsid w:val="00EA4466"/>
    <w:rsid w:val="00EA447A"/>
    <w:rsid w:val="00EA47FD"/>
    <w:rsid w:val="00EA4B29"/>
    <w:rsid w:val="00EA4DA1"/>
    <w:rsid w:val="00EA4DED"/>
    <w:rsid w:val="00EA4EF2"/>
    <w:rsid w:val="00EA55F4"/>
    <w:rsid w:val="00EA5737"/>
    <w:rsid w:val="00EA5804"/>
    <w:rsid w:val="00EA5A62"/>
    <w:rsid w:val="00EA5A99"/>
    <w:rsid w:val="00EA5F5F"/>
    <w:rsid w:val="00EA603E"/>
    <w:rsid w:val="00EA62A4"/>
    <w:rsid w:val="00EA62CA"/>
    <w:rsid w:val="00EA64C5"/>
    <w:rsid w:val="00EA64D3"/>
    <w:rsid w:val="00EA683C"/>
    <w:rsid w:val="00EA69EF"/>
    <w:rsid w:val="00EA6B5F"/>
    <w:rsid w:val="00EA6B62"/>
    <w:rsid w:val="00EA6C79"/>
    <w:rsid w:val="00EA6DCE"/>
    <w:rsid w:val="00EA7077"/>
    <w:rsid w:val="00EA7240"/>
    <w:rsid w:val="00EA7528"/>
    <w:rsid w:val="00EA75CB"/>
    <w:rsid w:val="00EA7628"/>
    <w:rsid w:val="00EA7647"/>
    <w:rsid w:val="00EA77E4"/>
    <w:rsid w:val="00EA7A9B"/>
    <w:rsid w:val="00EA7AE8"/>
    <w:rsid w:val="00EB001A"/>
    <w:rsid w:val="00EB0046"/>
    <w:rsid w:val="00EB02FB"/>
    <w:rsid w:val="00EB03E9"/>
    <w:rsid w:val="00EB06E3"/>
    <w:rsid w:val="00EB0851"/>
    <w:rsid w:val="00EB097C"/>
    <w:rsid w:val="00EB0AB2"/>
    <w:rsid w:val="00EB0AE9"/>
    <w:rsid w:val="00EB0B67"/>
    <w:rsid w:val="00EB0BDC"/>
    <w:rsid w:val="00EB0BEC"/>
    <w:rsid w:val="00EB0D1D"/>
    <w:rsid w:val="00EB0D65"/>
    <w:rsid w:val="00EB0DBD"/>
    <w:rsid w:val="00EB1156"/>
    <w:rsid w:val="00EB1219"/>
    <w:rsid w:val="00EB1234"/>
    <w:rsid w:val="00EB1325"/>
    <w:rsid w:val="00EB1495"/>
    <w:rsid w:val="00EB1510"/>
    <w:rsid w:val="00EB16F2"/>
    <w:rsid w:val="00EB17D5"/>
    <w:rsid w:val="00EB1A26"/>
    <w:rsid w:val="00EB1BEB"/>
    <w:rsid w:val="00EB1CAE"/>
    <w:rsid w:val="00EB1E5D"/>
    <w:rsid w:val="00EB1F13"/>
    <w:rsid w:val="00EB1F95"/>
    <w:rsid w:val="00EB204F"/>
    <w:rsid w:val="00EB2103"/>
    <w:rsid w:val="00EB218D"/>
    <w:rsid w:val="00EB22CA"/>
    <w:rsid w:val="00EB2457"/>
    <w:rsid w:val="00EB25D2"/>
    <w:rsid w:val="00EB2656"/>
    <w:rsid w:val="00EB2674"/>
    <w:rsid w:val="00EB26B3"/>
    <w:rsid w:val="00EB2767"/>
    <w:rsid w:val="00EB298E"/>
    <w:rsid w:val="00EB2BBF"/>
    <w:rsid w:val="00EB2E2E"/>
    <w:rsid w:val="00EB2FB8"/>
    <w:rsid w:val="00EB303E"/>
    <w:rsid w:val="00EB305E"/>
    <w:rsid w:val="00EB3085"/>
    <w:rsid w:val="00EB30B9"/>
    <w:rsid w:val="00EB3312"/>
    <w:rsid w:val="00EB339A"/>
    <w:rsid w:val="00EB3527"/>
    <w:rsid w:val="00EB3561"/>
    <w:rsid w:val="00EB36F3"/>
    <w:rsid w:val="00EB371F"/>
    <w:rsid w:val="00EB3723"/>
    <w:rsid w:val="00EB37D5"/>
    <w:rsid w:val="00EB3815"/>
    <w:rsid w:val="00EB38D9"/>
    <w:rsid w:val="00EB3A82"/>
    <w:rsid w:val="00EB3AA2"/>
    <w:rsid w:val="00EB3AC6"/>
    <w:rsid w:val="00EB3C15"/>
    <w:rsid w:val="00EB403B"/>
    <w:rsid w:val="00EB408E"/>
    <w:rsid w:val="00EB410E"/>
    <w:rsid w:val="00EB414D"/>
    <w:rsid w:val="00EB42A5"/>
    <w:rsid w:val="00EB42A9"/>
    <w:rsid w:val="00EB43A3"/>
    <w:rsid w:val="00EB4585"/>
    <w:rsid w:val="00EB4633"/>
    <w:rsid w:val="00EB4768"/>
    <w:rsid w:val="00EB4850"/>
    <w:rsid w:val="00EB48AE"/>
    <w:rsid w:val="00EB49DE"/>
    <w:rsid w:val="00EB4ACA"/>
    <w:rsid w:val="00EB4BBD"/>
    <w:rsid w:val="00EB4D27"/>
    <w:rsid w:val="00EB4E2A"/>
    <w:rsid w:val="00EB4FC1"/>
    <w:rsid w:val="00EB5280"/>
    <w:rsid w:val="00EB557D"/>
    <w:rsid w:val="00EB57B1"/>
    <w:rsid w:val="00EB5C40"/>
    <w:rsid w:val="00EB5FDD"/>
    <w:rsid w:val="00EB6022"/>
    <w:rsid w:val="00EB60D9"/>
    <w:rsid w:val="00EB66A8"/>
    <w:rsid w:val="00EB6780"/>
    <w:rsid w:val="00EB67FF"/>
    <w:rsid w:val="00EB68CE"/>
    <w:rsid w:val="00EB6A09"/>
    <w:rsid w:val="00EB6A21"/>
    <w:rsid w:val="00EB6BE2"/>
    <w:rsid w:val="00EB6E8E"/>
    <w:rsid w:val="00EB6EE6"/>
    <w:rsid w:val="00EB71B8"/>
    <w:rsid w:val="00EB745B"/>
    <w:rsid w:val="00EB7A1F"/>
    <w:rsid w:val="00EB7DDC"/>
    <w:rsid w:val="00EC01A9"/>
    <w:rsid w:val="00EC02C7"/>
    <w:rsid w:val="00EC03D7"/>
    <w:rsid w:val="00EC050B"/>
    <w:rsid w:val="00EC0686"/>
    <w:rsid w:val="00EC06D4"/>
    <w:rsid w:val="00EC0765"/>
    <w:rsid w:val="00EC07D8"/>
    <w:rsid w:val="00EC08D5"/>
    <w:rsid w:val="00EC0A47"/>
    <w:rsid w:val="00EC12B1"/>
    <w:rsid w:val="00EC13C6"/>
    <w:rsid w:val="00EC1497"/>
    <w:rsid w:val="00EC15A8"/>
    <w:rsid w:val="00EC15CA"/>
    <w:rsid w:val="00EC162B"/>
    <w:rsid w:val="00EC16D0"/>
    <w:rsid w:val="00EC18AD"/>
    <w:rsid w:val="00EC18F2"/>
    <w:rsid w:val="00EC191E"/>
    <w:rsid w:val="00EC1927"/>
    <w:rsid w:val="00EC194A"/>
    <w:rsid w:val="00EC1A6E"/>
    <w:rsid w:val="00EC1C64"/>
    <w:rsid w:val="00EC2065"/>
    <w:rsid w:val="00EC20B3"/>
    <w:rsid w:val="00EC21DF"/>
    <w:rsid w:val="00EC22C0"/>
    <w:rsid w:val="00EC2406"/>
    <w:rsid w:val="00EC25E3"/>
    <w:rsid w:val="00EC2673"/>
    <w:rsid w:val="00EC2684"/>
    <w:rsid w:val="00EC2751"/>
    <w:rsid w:val="00EC290D"/>
    <w:rsid w:val="00EC2E1D"/>
    <w:rsid w:val="00EC2E6F"/>
    <w:rsid w:val="00EC2EBC"/>
    <w:rsid w:val="00EC2F50"/>
    <w:rsid w:val="00EC2F8D"/>
    <w:rsid w:val="00EC3064"/>
    <w:rsid w:val="00EC30A4"/>
    <w:rsid w:val="00EC3118"/>
    <w:rsid w:val="00EC31AD"/>
    <w:rsid w:val="00EC32E6"/>
    <w:rsid w:val="00EC34C9"/>
    <w:rsid w:val="00EC35BD"/>
    <w:rsid w:val="00EC3617"/>
    <w:rsid w:val="00EC38DE"/>
    <w:rsid w:val="00EC3B45"/>
    <w:rsid w:val="00EC3B89"/>
    <w:rsid w:val="00EC3C8C"/>
    <w:rsid w:val="00EC3CCD"/>
    <w:rsid w:val="00EC3E2F"/>
    <w:rsid w:val="00EC3F44"/>
    <w:rsid w:val="00EC4282"/>
    <w:rsid w:val="00EC496C"/>
    <w:rsid w:val="00EC4A73"/>
    <w:rsid w:val="00EC4AE4"/>
    <w:rsid w:val="00EC4C2F"/>
    <w:rsid w:val="00EC4CA0"/>
    <w:rsid w:val="00EC4E62"/>
    <w:rsid w:val="00EC5147"/>
    <w:rsid w:val="00EC5412"/>
    <w:rsid w:val="00EC54B5"/>
    <w:rsid w:val="00EC54BA"/>
    <w:rsid w:val="00EC555B"/>
    <w:rsid w:val="00EC5598"/>
    <w:rsid w:val="00EC5741"/>
    <w:rsid w:val="00EC584D"/>
    <w:rsid w:val="00EC594A"/>
    <w:rsid w:val="00EC5BD0"/>
    <w:rsid w:val="00EC5EFA"/>
    <w:rsid w:val="00EC5FA6"/>
    <w:rsid w:val="00EC613A"/>
    <w:rsid w:val="00EC623C"/>
    <w:rsid w:val="00EC6275"/>
    <w:rsid w:val="00EC62EB"/>
    <w:rsid w:val="00EC6324"/>
    <w:rsid w:val="00EC6353"/>
    <w:rsid w:val="00EC6538"/>
    <w:rsid w:val="00EC656C"/>
    <w:rsid w:val="00EC65A5"/>
    <w:rsid w:val="00EC65DA"/>
    <w:rsid w:val="00EC660C"/>
    <w:rsid w:val="00EC6615"/>
    <w:rsid w:val="00EC678A"/>
    <w:rsid w:val="00EC697B"/>
    <w:rsid w:val="00EC6B14"/>
    <w:rsid w:val="00EC6B26"/>
    <w:rsid w:val="00EC6C05"/>
    <w:rsid w:val="00EC6E1E"/>
    <w:rsid w:val="00EC6F5B"/>
    <w:rsid w:val="00EC7061"/>
    <w:rsid w:val="00EC73DE"/>
    <w:rsid w:val="00EC7403"/>
    <w:rsid w:val="00EC7529"/>
    <w:rsid w:val="00EC75DB"/>
    <w:rsid w:val="00EC7619"/>
    <w:rsid w:val="00EC78A0"/>
    <w:rsid w:val="00EC79DD"/>
    <w:rsid w:val="00EC7B77"/>
    <w:rsid w:val="00EC7BD0"/>
    <w:rsid w:val="00EC7E20"/>
    <w:rsid w:val="00EC7EF8"/>
    <w:rsid w:val="00EC7F47"/>
    <w:rsid w:val="00EC7FE4"/>
    <w:rsid w:val="00ED003A"/>
    <w:rsid w:val="00ED003C"/>
    <w:rsid w:val="00ED00A2"/>
    <w:rsid w:val="00ED0178"/>
    <w:rsid w:val="00ED01F6"/>
    <w:rsid w:val="00ED0252"/>
    <w:rsid w:val="00ED02A0"/>
    <w:rsid w:val="00ED02F5"/>
    <w:rsid w:val="00ED04CE"/>
    <w:rsid w:val="00ED053D"/>
    <w:rsid w:val="00ED06CB"/>
    <w:rsid w:val="00ED0931"/>
    <w:rsid w:val="00ED09DA"/>
    <w:rsid w:val="00ED0B8C"/>
    <w:rsid w:val="00ED0DF9"/>
    <w:rsid w:val="00ED0E28"/>
    <w:rsid w:val="00ED0F8D"/>
    <w:rsid w:val="00ED10DE"/>
    <w:rsid w:val="00ED10FA"/>
    <w:rsid w:val="00ED1189"/>
    <w:rsid w:val="00ED1877"/>
    <w:rsid w:val="00ED1A91"/>
    <w:rsid w:val="00ED1B2B"/>
    <w:rsid w:val="00ED1C3A"/>
    <w:rsid w:val="00ED1CCA"/>
    <w:rsid w:val="00ED210D"/>
    <w:rsid w:val="00ED2299"/>
    <w:rsid w:val="00ED234C"/>
    <w:rsid w:val="00ED23ED"/>
    <w:rsid w:val="00ED244B"/>
    <w:rsid w:val="00ED24C2"/>
    <w:rsid w:val="00ED2642"/>
    <w:rsid w:val="00ED2781"/>
    <w:rsid w:val="00ED2A52"/>
    <w:rsid w:val="00ED2AD8"/>
    <w:rsid w:val="00ED2AE0"/>
    <w:rsid w:val="00ED2B6E"/>
    <w:rsid w:val="00ED2C95"/>
    <w:rsid w:val="00ED2CAD"/>
    <w:rsid w:val="00ED2CF6"/>
    <w:rsid w:val="00ED2D14"/>
    <w:rsid w:val="00ED2E01"/>
    <w:rsid w:val="00ED2E4C"/>
    <w:rsid w:val="00ED2FD3"/>
    <w:rsid w:val="00ED303B"/>
    <w:rsid w:val="00ED330D"/>
    <w:rsid w:val="00ED33A6"/>
    <w:rsid w:val="00ED3453"/>
    <w:rsid w:val="00ED3720"/>
    <w:rsid w:val="00ED3907"/>
    <w:rsid w:val="00ED3B32"/>
    <w:rsid w:val="00ED3D4B"/>
    <w:rsid w:val="00ED3F4F"/>
    <w:rsid w:val="00ED405B"/>
    <w:rsid w:val="00ED4190"/>
    <w:rsid w:val="00ED4216"/>
    <w:rsid w:val="00ED428F"/>
    <w:rsid w:val="00ED42B2"/>
    <w:rsid w:val="00ED43E0"/>
    <w:rsid w:val="00ED4473"/>
    <w:rsid w:val="00ED46DA"/>
    <w:rsid w:val="00ED4823"/>
    <w:rsid w:val="00ED48FE"/>
    <w:rsid w:val="00ED4973"/>
    <w:rsid w:val="00ED4992"/>
    <w:rsid w:val="00ED49E4"/>
    <w:rsid w:val="00ED4B66"/>
    <w:rsid w:val="00ED4B69"/>
    <w:rsid w:val="00ED4B82"/>
    <w:rsid w:val="00ED4CBD"/>
    <w:rsid w:val="00ED4D2C"/>
    <w:rsid w:val="00ED4E21"/>
    <w:rsid w:val="00ED53BF"/>
    <w:rsid w:val="00ED558C"/>
    <w:rsid w:val="00ED57F0"/>
    <w:rsid w:val="00ED5B83"/>
    <w:rsid w:val="00ED5D32"/>
    <w:rsid w:val="00ED5DAD"/>
    <w:rsid w:val="00ED5E51"/>
    <w:rsid w:val="00ED5F3B"/>
    <w:rsid w:val="00ED5F56"/>
    <w:rsid w:val="00ED5FC7"/>
    <w:rsid w:val="00ED60F9"/>
    <w:rsid w:val="00ED6125"/>
    <w:rsid w:val="00ED612B"/>
    <w:rsid w:val="00ED6360"/>
    <w:rsid w:val="00ED64DA"/>
    <w:rsid w:val="00ED6730"/>
    <w:rsid w:val="00ED67B8"/>
    <w:rsid w:val="00ED68C5"/>
    <w:rsid w:val="00ED69D6"/>
    <w:rsid w:val="00ED6A35"/>
    <w:rsid w:val="00ED6B56"/>
    <w:rsid w:val="00ED6C05"/>
    <w:rsid w:val="00ED6CAA"/>
    <w:rsid w:val="00ED6E24"/>
    <w:rsid w:val="00ED6F62"/>
    <w:rsid w:val="00ED6F9D"/>
    <w:rsid w:val="00ED7279"/>
    <w:rsid w:val="00ED7569"/>
    <w:rsid w:val="00ED764C"/>
    <w:rsid w:val="00ED779C"/>
    <w:rsid w:val="00ED7971"/>
    <w:rsid w:val="00ED7A6E"/>
    <w:rsid w:val="00ED7AA8"/>
    <w:rsid w:val="00ED7C33"/>
    <w:rsid w:val="00ED7D29"/>
    <w:rsid w:val="00ED7D38"/>
    <w:rsid w:val="00ED7DD4"/>
    <w:rsid w:val="00ED7DF3"/>
    <w:rsid w:val="00ED7E58"/>
    <w:rsid w:val="00ED7EF2"/>
    <w:rsid w:val="00EE028D"/>
    <w:rsid w:val="00EE02BC"/>
    <w:rsid w:val="00EE0451"/>
    <w:rsid w:val="00EE0494"/>
    <w:rsid w:val="00EE0520"/>
    <w:rsid w:val="00EE0644"/>
    <w:rsid w:val="00EE081F"/>
    <w:rsid w:val="00EE0857"/>
    <w:rsid w:val="00EE0863"/>
    <w:rsid w:val="00EE08C1"/>
    <w:rsid w:val="00EE0962"/>
    <w:rsid w:val="00EE0AB9"/>
    <w:rsid w:val="00EE0B68"/>
    <w:rsid w:val="00EE0C33"/>
    <w:rsid w:val="00EE0D06"/>
    <w:rsid w:val="00EE0DD6"/>
    <w:rsid w:val="00EE0ED0"/>
    <w:rsid w:val="00EE0EF5"/>
    <w:rsid w:val="00EE0F6F"/>
    <w:rsid w:val="00EE0F74"/>
    <w:rsid w:val="00EE0FE1"/>
    <w:rsid w:val="00EE11A3"/>
    <w:rsid w:val="00EE11C4"/>
    <w:rsid w:val="00EE12E7"/>
    <w:rsid w:val="00EE1493"/>
    <w:rsid w:val="00EE159B"/>
    <w:rsid w:val="00EE1777"/>
    <w:rsid w:val="00EE1910"/>
    <w:rsid w:val="00EE1960"/>
    <w:rsid w:val="00EE1C89"/>
    <w:rsid w:val="00EE1DCC"/>
    <w:rsid w:val="00EE1E18"/>
    <w:rsid w:val="00EE1E83"/>
    <w:rsid w:val="00EE2031"/>
    <w:rsid w:val="00EE20A8"/>
    <w:rsid w:val="00EE23D4"/>
    <w:rsid w:val="00EE23F3"/>
    <w:rsid w:val="00EE24AB"/>
    <w:rsid w:val="00EE2573"/>
    <w:rsid w:val="00EE264F"/>
    <w:rsid w:val="00EE2834"/>
    <w:rsid w:val="00EE2897"/>
    <w:rsid w:val="00EE2988"/>
    <w:rsid w:val="00EE299F"/>
    <w:rsid w:val="00EE2B60"/>
    <w:rsid w:val="00EE3185"/>
    <w:rsid w:val="00EE3311"/>
    <w:rsid w:val="00EE33D1"/>
    <w:rsid w:val="00EE36DA"/>
    <w:rsid w:val="00EE370D"/>
    <w:rsid w:val="00EE3729"/>
    <w:rsid w:val="00EE393C"/>
    <w:rsid w:val="00EE3A97"/>
    <w:rsid w:val="00EE3AEA"/>
    <w:rsid w:val="00EE3AFE"/>
    <w:rsid w:val="00EE3BAE"/>
    <w:rsid w:val="00EE3BEA"/>
    <w:rsid w:val="00EE3EA8"/>
    <w:rsid w:val="00EE3EFD"/>
    <w:rsid w:val="00EE4009"/>
    <w:rsid w:val="00EE408B"/>
    <w:rsid w:val="00EE411E"/>
    <w:rsid w:val="00EE43AB"/>
    <w:rsid w:val="00EE47DD"/>
    <w:rsid w:val="00EE49DA"/>
    <w:rsid w:val="00EE4B2C"/>
    <w:rsid w:val="00EE4DA0"/>
    <w:rsid w:val="00EE4E1B"/>
    <w:rsid w:val="00EE4F04"/>
    <w:rsid w:val="00EE5384"/>
    <w:rsid w:val="00EE53FE"/>
    <w:rsid w:val="00EE55E5"/>
    <w:rsid w:val="00EE5645"/>
    <w:rsid w:val="00EE5654"/>
    <w:rsid w:val="00EE5672"/>
    <w:rsid w:val="00EE57A9"/>
    <w:rsid w:val="00EE585D"/>
    <w:rsid w:val="00EE58BB"/>
    <w:rsid w:val="00EE59BF"/>
    <w:rsid w:val="00EE59DA"/>
    <w:rsid w:val="00EE5B73"/>
    <w:rsid w:val="00EE5CD7"/>
    <w:rsid w:val="00EE5CE0"/>
    <w:rsid w:val="00EE5D45"/>
    <w:rsid w:val="00EE5DB1"/>
    <w:rsid w:val="00EE5E9D"/>
    <w:rsid w:val="00EE5F43"/>
    <w:rsid w:val="00EE5F82"/>
    <w:rsid w:val="00EE5FB8"/>
    <w:rsid w:val="00EE6126"/>
    <w:rsid w:val="00EE6178"/>
    <w:rsid w:val="00EE62EC"/>
    <w:rsid w:val="00EE63A6"/>
    <w:rsid w:val="00EE6571"/>
    <w:rsid w:val="00EE65EE"/>
    <w:rsid w:val="00EE66E5"/>
    <w:rsid w:val="00EE67BB"/>
    <w:rsid w:val="00EE6917"/>
    <w:rsid w:val="00EE698E"/>
    <w:rsid w:val="00EE6AF4"/>
    <w:rsid w:val="00EE6BA9"/>
    <w:rsid w:val="00EE6D7A"/>
    <w:rsid w:val="00EE6FD1"/>
    <w:rsid w:val="00EE710B"/>
    <w:rsid w:val="00EE750B"/>
    <w:rsid w:val="00EE771C"/>
    <w:rsid w:val="00EE7866"/>
    <w:rsid w:val="00EE7A8B"/>
    <w:rsid w:val="00EE7D21"/>
    <w:rsid w:val="00EE7F88"/>
    <w:rsid w:val="00EF0080"/>
    <w:rsid w:val="00EF0081"/>
    <w:rsid w:val="00EF00F4"/>
    <w:rsid w:val="00EF016A"/>
    <w:rsid w:val="00EF017A"/>
    <w:rsid w:val="00EF0217"/>
    <w:rsid w:val="00EF0568"/>
    <w:rsid w:val="00EF0867"/>
    <w:rsid w:val="00EF08D8"/>
    <w:rsid w:val="00EF0A39"/>
    <w:rsid w:val="00EF0D21"/>
    <w:rsid w:val="00EF0E28"/>
    <w:rsid w:val="00EF0FA9"/>
    <w:rsid w:val="00EF0FBB"/>
    <w:rsid w:val="00EF1296"/>
    <w:rsid w:val="00EF129C"/>
    <w:rsid w:val="00EF1666"/>
    <w:rsid w:val="00EF1ABD"/>
    <w:rsid w:val="00EF1BBD"/>
    <w:rsid w:val="00EF1C08"/>
    <w:rsid w:val="00EF1CF7"/>
    <w:rsid w:val="00EF1DF9"/>
    <w:rsid w:val="00EF1F20"/>
    <w:rsid w:val="00EF220F"/>
    <w:rsid w:val="00EF236D"/>
    <w:rsid w:val="00EF2413"/>
    <w:rsid w:val="00EF26A0"/>
    <w:rsid w:val="00EF271D"/>
    <w:rsid w:val="00EF2723"/>
    <w:rsid w:val="00EF290E"/>
    <w:rsid w:val="00EF2A21"/>
    <w:rsid w:val="00EF2BD9"/>
    <w:rsid w:val="00EF2D6D"/>
    <w:rsid w:val="00EF2DFD"/>
    <w:rsid w:val="00EF2E83"/>
    <w:rsid w:val="00EF3510"/>
    <w:rsid w:val="00EF3520"/>
    <w:rsid w:val="00EF35D5"/>
    <w:rsid w:val="00EF3747"/>
    <w:rsid w:val="00EF374B"/>
    <w:rsid w:val="00EF3ACD"/>
    <w:rsid w:val="00EF3B0D"/>
    <w:rsid w:val="00EF3B51"/>
    <w:rsid w:val="00EF3E21"/>
    <w:rsid w:val="00EF4645"/>
    <w:rsid w:val="00EF47FF"/>
    <w:rsid w:val="00EF483F"/>
    <w:rsid w:val="00EF4909"/>
    <w:rsid w:val="00EF4B6F"/>
    <w:rsid w:val="00EF4C77"/>
    <w:rsid w:val="00EF5281"/>
    <w:rsid w:val="00EF5343"/>
    <w:rsid w:val="00EF5349"/>
    <w:rsid w:val="00EF559D"/>
    <w:rsid w:val="00EF55D1"/>
    <w:rsid w:val="00EF5829"/>
    <w:rsid w:val="00EF5874"/>
    <w:rsid w:val="00EF589C"/>
    <w:rsid w:val="00EF5901"/>
    <w:rsid w:val="00EF5963"/>
    <w:rsid w:val="00EF5E55"/>
    <w:rsid w:val="00EF5ED2"/>
    <w:rsid w:val="00EF5EF3"/>
    <w:rsid w:val="00EF5F3A"/>
    <w:rsid w:val="00EF5F7D"/>
    <w:rsid w:val="00EF6001"/>
    <w:rsid w:val="00EF605F"/>
    <w:rsid w:val="00EF6076"/>
    <w:rsid w:val="00EF6139"/>
    <w:rsid w:val="00EF62BD"/>
    <w:rsid w:val="00EF63B0"/>
    <w:rsid w:val="00EF6478"/>
    <w:rsid w:val="00EF666B"/>
    <w:rsid w:val="00EF677A"/>
    <w:rsid w:val="00EF6903"/>
    <w:rsid w:val="00EF69B6"/>
    <w:rsid w:val="00EF6AB4"/>
    <w:rsid w:val="00EF6B40"/>
    <w:rsid w:val="00EF6B5C"/>
    <w:rsid w:val="00EF6C13"/>
    <w:rsid w:val="00EF6C65"/>
    <w:rsid w:val="00EF6F0C"/>
    <w:rsid w:val="00EF710E"/>
    <w:rsid w:val="00EF715A"/>
    <w:rsid w:val="00EF71E2"/>
    <w:rsid w:val="00EF7313"/>
    <w:rsid w:val="00EF737B"/>
    <w:rsid w:val="00EF73FC"/>
    <w:rsid w:val="00EF7505"/>
    <w:rsid w:val="00EF759A"/>
    <w:rsid w:val="00EF76AF"/>
    <w:rsid w:val="00EF78E4"/>
    <w:rsid w:val="00EF7B45"/>
    <w:rsid w:val="00EF7B58"/>
    <w:rsid w:val="00EF7B8E"/>
    <w:rsid w:val="00EF7EBD"/>
    <w:rsid w:val="00F00099"/>
    <w:rsid w:val="00F000B1"/>
    <w:rsid w:val="00F001E4"/>
    <w:rsid w:val="00F0020D"/>
    <w:rsid w:val="00F002EB"/>
    <w:rsid w:val="00F00326"/>
    <w:rsid w:val="00F0038F"/>
    <w:rsid w:val="00F0041B"/>
    <w:rsid w:val="00F0059D"/>
    <w:rsid w:val="00F0071E"/>
    <w:rsid w:val="00F00815"/>
    <w:rsid w:val="00F0082A"/>
    <w:rsid w:val="00F00BE8"/>
    <w:rsid w:val="00F00CBD"/>
    <w:rsid w:val="00F00ECF"/>
    <w:rsid w:val="00F014B9"/>
    <w:rsid w:val="00F0177D"/>
    <w:rsid w:val="00F0183E"/>
    <w:rsid w:val="00F018B3"/>
    <w:rsid w:val="00F01913"/>
    <w:rsid w:val="00F01B4D"/>
    <w:rsid w:val="00F01C30"/>
    <w:rsid w:val="00F01C5E"/>
    <w:rsid w:val="00F01EFC"/>
    <w:rsid w:val="00F01F04"/>
    <w:rsid w:val="00F01FAD"/>
    <w:rsid w:val="00F020C0"/>
    <w:rsid w:val="00F02145"/>
    <w:rsid w:val="00F02624"/>
    <w:rsid w:val="00F027DF"/>
    <w:rsid w:val="00F02817"/>
    <w:rsid w:val="00F02858"/>
    <w:rsid w:val="00F028DA"/>
    <w:rsid w:val="00F02E3B"/>
    <w:rsid w:val="00F02EA2"/>
    <w:rsid w:val="00F02F66"/>
    <w:rsid w:val="00F02F95"/>
    <w:rsid w:val="00F030B1"/>
    <w:rsid w:val="00F0333B"/>
    <w:rsid w:val="00F033B6"/>
    <w:rsid w:val="00F035A3"/>
    <w:rsid w:val="00F035D3"/>
    <w:rsid w:val="00F036A6"/>
    <w:rsid w:val="00F03785"/>
    <w:rsid w:val="00F03947"/>
    <w:rsid w:val="00F03BE9"/>
    <w:rsid w:val="00F03D6F"/>
    <w:rsid w:val="00F03E71"/>
    <w:rsid w:val="00F03ED8"/>
    <w:rsid w:val="00F03F97"/>
    <w:rsid w:val="00F04144"/>
    <w:rsid w:val="00F04232"/>
    <w:rsid w:val="00F0428A"/>
    <w:rsid w:val="00F0434A"/>
    <w:rsid w:val="00F043D3"/>
    <w:rsid w:val="00F04452"/>
    <w:rsid w:val="00F04472"/>
    <w:rsid w:val="00F04667"/>
    <w:rsid w:val="00F0483B"/>
    <w:rsid w:val="00F04885"/>
    <w:rsid w:val="00F048E1"/>
    <w:rsid w:val="00F04B2E"/>
    <w:rsid w:val="00F04D1B"/>
    <w:rsid w:val="00F04F65"/>
    <w:rsid w:val="00F04FE5"/>
    <w:rsid w:val="00F05055"/>
    <w:rsid w:val="00F050DD"/>
    <w:rsid w:val="00F0512E"/>
    <w:rsid w:val="00F051A9"/>
    <w:rsid w:val="00F05353"/>
    <w:rsid w:val="00F0548D"/>
    <w:rsid w:val="00F05520"/>
    <w:rsid w:val="00F055E6"/>
    <w:rsid w:val="00F05622"/>
    <w:rsid w:val="00F05637"/>
    <w:rsid w:val="00F0567E"/>
    <w:rsid w:val="00F056D1"/>
    <w:rsid w:val="00F059F7"/>
    <w:rsid w:val="00F05CD1"/>
    <w:rsid w:val="00F05D1F"/>
    <w:rsid w:val="00F05F1A"/>
    <w:rsid w:val="00F05FC7"/>
    <w:rsid w:val="00F062E5"/>
    <w:rsid w:val="00F0638A"/>
    <w:rsid w:val="00F06612"/>
    <w:rsid w:val="00F066DC"/>
    <w:rsid w:val="00F067DE"/>
    <w:rsid w:val="00F06898"/>
    <w:rsid w:val="00F068A1"/>
    <w:rsid w:val="00F068AE"/>
    <w:rsid w:val="00F06A3D"/>
    <w:rsid w:val="00F06BAF"/>
    <w:rsid w:val="00F06D64"/>
    <w:rsid w:val="00F06DD1"/>
    <w:rsid w:val="00F06E0B"/>
    <w:rsid w:val="00F072CA"/>
    <w:rsid w:val="00F0731B"/>
    <w:rsid w:val="00F07342"/>
    <w:rsid w:val="00F075BE"/>
    <w:rsid w:val="00F0771F"/>
    <w:rsid w:val="00F077E0"/>
    <w:rsid w:val="00F07919"/>
    <w:rsid w:val="00F07A5E"/>
    <w:rsid w:val="00F07A7B"/>
    <w:rsid w:val="00F07C33"/>
    <w:rsid w:val="00F1002C"/>
    <w:rsid w:val="00F100AD"/>
    <w:rsid w:val="00F10146"/>
    <w:rsid w:val="00F1063F"/>
    <w:rsid w:val="00F1080A"/>
    <w:rsid w:val="00F10C17"/>
    <w:rsid w:val="00F10E31"/>
    <w:rsid w:val="00F11297"/>
    <w:rsid w:val="00F11439"/>
    <w:rsid w:val="00F11644"/>
    <w:rsid w:val="00F11846"/>
    <w:rsid w:val="00F1184C"/>
    <w:rsid w:val="00F119F6"/>
    <w:rsid w:val="00F11A13"/>
    <w:rsid w:val="00F11B0F"/>
    <w:rsid w:val="00F11BAC"/>
    <w:rsid w:val="00F11D54"/>
    <w:rsid w:val="00F11DBA"/>
    <w:rsid w:val="00F11FFD"/>
    <w:rsid w:val="00F12008"/>
    <w:rsid w:val="00F12149"/>
    <w:rsid w:val="00F12216"/>
    <w:rsid w:val="00F12364"/>
    <w:rsid w:val="00F1245E"/>
    <w:rsid w:val="00F1255E"/>
    <w:rsid w:val="00F1255F"/>
    <w:rsid w:val="00F1268A"/>
    <w:rsid w:val="00F12852"/>
    <w:rsid w:val="00F128E0"/>
    <w:rsid w:val="00F12B37"/>
    <w:rsid w:val="00F12B88"/>
    <w:rsid w:val="00F12BA0"/>
    <w:rsid w:val="00F12DAA"/>
    <w:rsid w:val="00F12FA2"/>
    <w:rsid w:val="00F13514"/>
    <w:rsid w:val="00F135F2"/>
    <w:rsid w:val="00F13609"/>
    <w:rsid w:val="00F138B2"/>
    <w:rsid w:val="00F13A2B"/>
    <w:rsid w:val="00F13C0A"/>
    <w:rsid w:val="00F13C25"/>
    <w:rsid w:val="00F13E10"/>
    <w:rsid w:val="00F13EB9"/>
    <w:rsid w:val="00F14133"/>
    <w:rsid w:val="00F141AF"/>
    <w:rsid w:val="00F142F0"/>
    <w:rsid w:val="00F143A4"/>
    <w:rsid w:val="00F14412"/>
    <w:rsid w:val="00F14489"/>
    <w:rsid w:val="00F14578"/>
    <w:rsid w:val="00F145B3"/>
    <w:rsid w:val="00F14643"/>
    <w:rsid w:val="00F14A72"/>
    <w:rsid w:val="00F14B8F"/>
    <w:rsid w:val="00F14BE2"/>
    <w:rsid w:val="00F14C1D"/>
    <w:rsid w:val="00F14D65"/>
    <w:rsid w:val="00F14D7B"/>
    <w:rsid w:val="00F14FA3"/>
    <w:rsid w:val="00F14FE5"/>
    <w:rsid w:val="00F1513F"/>
    <w:rsid w:val="00F151B8"/>
    <w:rsid w:val="00F1539F"/>
    <w:rsid w:val="00F153B1"/>
    <w:rsid w:val="00F157B1"/>
    <w:rsid w:val="00F157C1"/>
    <w:rsid w:val="00F15842"/>
    <w:rsid w:val="00F15A7F"/>
    <w:rsid w:val="00F15AE1"/>
    <w:rsid w:val="00F15B41"/>
    <w:rsid w:val="00F15C81"/>
    <w:rsid w:val="00F15CDB"/>
    <w:rsid w:val="00F15E06"/>
    <w:rsid w:val="00F161C0"/>
    <w:rsid w:val="00F16227"/>
    <w:rsid w:val="00F16250"/>
    <w:rsid w:val="00F1657E"/>
    <w:rsid w:val="00F165D9"/>
    <w:rsid w:val="00F16679"/>
    <w:rsid w:val="00F166FB"/>
    <w:rsid w:val="00F16891"/>
    <w:rsid w:val="00F16912"/>
    <w:rsid w:val="00F16999"/>
    <w:rsid w:val="00F16CF6"/>
    <w:rsid w:val="00F16D26"/>
    <w:rsid w:val="00F17075"/>
    <w:rsid w:val="00F1707C"/>
    <w:rsid w:val="00F1708F"/>
    <w:rsid w:val="00F17255"/>
    <w:rsid w:val="00F17706"/>
    <w:rsid w:val="00F1777E"/>
    <w:rsid w:val="00F1778A"/>
    <w:rsid w:val="00F17819"/>
    <w:rsid w:val="00F1783C"/>
    <w:rsid w:val="00F179AA"/>
    <w:rsid w:val="00F179EC"/>
    <w:rsid w:val="00F17B3B"/>
    <w:rsid w:val="00F17CA5"/>
    <w:rsid w:val="00F17E89"/>
    <w:rsid w:val="00F17EF7"/>
    <w:rsid w:val="00F17F23"/>
    <w:rsid w:val="00F201FA"/>
    <w:rsid w:val="00F202CB"/>
    <w:rsid w:val="00F2030C"/>
    <w:rsid w:val="00F204A6"/>
    <w:rsid w:val="00F204AE"/>
    <w:rsid w:val="00F20571"/>
    <w:rsid w:val="00F205D6"/>
    <w:rsid w:val="00F206E1"/>
    <w:rsid w:val="00F2079F"/>
    <w:rsid w:val="00F20B67"/>
    <w:rsid w:val="00F20B99"/>
    <w:rsid w:val="00F20E66"/>
    <w:rsid w:val="00F20FC7"/>
    <w:rsid w:val="00F20FE5"/>
    <w:rsid w:val="00F21010"/>
    <w:rsid w:val="00F21030"/>
    <w:rsid w:val="00F21227"/>
    <w:rsid w:val="00F21275"/>
    <w:rsid w:val="00F212EC"/>
    <w:rsid w:val="00F213FD"/>
    <w:rsid w:val="00F2142D"/>
    <w:rsid w:val="00F21835"/>
    <w:rsid w:val="00F21A92"/>
    <w:rsid w:val="00F21AD0"/>
    <w:rsid w:val="00F21AFB"/>
    <w:rsid w:val="00F21B2F"/>
    <w:rsid w:val="00F21BA7"/>
    <w:rsid w:val="00F21D1E"/>
    <w:rsid w:val="00F22181"/>
    <w:rsid w:val="00F22236"/>
    <w:rsid w:val="00F22254"/>
    <w:rsid w:val="00F22375"/>
    <w:rsid w:val="00F223A8"/>
    <w:rsid w:val="00F223B7"/>
    <w:rsid w:val="00F224A8"/>
    <w:rsid w:val="00F2250E"/>
    <w:rsid w:val="00F22633"/>
    <w:rsid w:val="00F228A6"/>
    <w:rsid w:val="00F228C1"/>
    <w:rsid w:val="00F22975"/>
    <w:rsid w:val="00F22B8F"/>
    <w:rsid w:val="00F22D7E"/>
    <w:rsid w:val="00F2315B"/>
    <w:rsid w:val="00F23194"/>
    <w:rsid w:val="00F232E7"/>
    <w:rsid w:val="00F23303"/>
    <w:rsid w:val="00F2346D"/>
    <w:rsid w:val="00F236C1"/>
    <w:rsid w:val="00F2370B"/>
    <w:rsid w:val="00F23718"/>
    <w:rsid w:val="00F2372D"/>
    <w:rsid w:val="00F23768"/>
    <w:rsid w:val="00F23831"/>
    <w:rsid w:val="00F239D5"/>
    <w:rsid w:val="00F23AE0"/>
    <w:rsid w:val="00F23C81"/>
    <w:rsid w:val="00F23E31"/>
    <w:rsid w:val="00F24081"/>
    <w:rsid w:val="00F2428D"/>
    <w:rsid w:val="00F242A3"/>
    <w:rsid w:val="00F2434D"/>
    <w:rsid w:val="00F24365"/>
    <w:rsid w:val="00F2442F"/>
    <w:rsid w:val="00F244D3"/>
    <w:rsid w:val="00F24511"/>
    <w:rsid w:val="00F245C9"/>
    <w:rsid w:val="00F24615"/>
    <w:rsid w:val="00F24666"/>
    <w:rsid w:val="00F246BC"/>
    <w:rsid w:val="00F246F6"/>
    <w:rsid w:val="00F24739"/>
    <w:rsid w:val="00F248D0"/>
    <w:rsid w:val="00F248E8"/>
    <w:rsid w:val="00F249BA"/>
    <w:rsid w:val="00F24A59"/>
    <w:rsid w:val="00F24A89"/>
    <w:rsid w:val="00F24CA5"/>
    <w:rsid w:val="00F24CB6"/>
    <w:rsid w:val="00F24D11"/>
    <w:rsid w:val="00F24DA4"/>
    <w:rsid w:val="00F24EA3"/>
    <w:rsid w:val="00F24F02"/>
    <w:rsid w:val="00F25066"/>
    <w:rsid w:val="00F250BB"/>
    <w:rsid w:val="00F25533"/>
    <w:rsid w:val="00F255FF"/>
    <w:rsid w:val="00F25607"/>
    <w:rsid w:val="00F25668"/>
    <w:rsid w:val="00F258A4"/>
    <w:rsid w:val="00F259B4"/>
    <w:rsid w:val="00F259EC"/>
    <w:rsid w:val="00F25B65"/>
    <w:rsid w:val="00F25B67"/>
    <w:rsid w:val="00F25C78"/>
    <w:rsid w:val="00F25D19"/>
    <w:rsid w:val="00F25D20"/>
    <w:rsid w:val="00F25EEC"/>
    <w:rsid w:val="00F26110"/>
    <w:rsid w:val="00F2611B"/>
    <w:rsid w:val="00F261D2"/>
    <w:rsid w:val="00F26315"/>
    <w:rsid w:val="00F2635E"/>
    <w:rsid w:val="00F26368"/>
    <w:rsid w:val="00F2644A"/>
    <w:rsid w:val="00F26506"/>
    <w:rsid w:val="00F26525"/>
    <w:rsid w:val="00F26558"/>
    <w:rsid w:val="00F26561"/>
    <w:rsid w:val="00F267AC"/>
    <w:rsid w:val="00F269E8"/>
    <w:rsid w:val="00F26CD1"/>
    <w:rsid w:val="00F26DBF"/>
    <w:rsid w:val="00F26EE1"/>
    <w:rsid w:val="00F26EFE"/>
    <w:rsid w:val="00F26F58"/>
    <w:rsid w:val="00F2708C"/>
    <w:rsid w:val="00F27154"/>
    <w:rsid w:val="00F2716A"/>
    <w:rsid w:val="00F27348"/>
    <w:rsid w:val="00F2736C"/>
    <w:rsid w:val="00F27459"/>
    <w:rsid w:val="00F274E5"/>
    <w:rsid w:val="00F27527"/>
    <w:rsid w:val="00F27719"/>
    <w:rsid w:val="00F27985"/>
    <w:rsid w:val="00F279B8"/>
    <w:rsid w:val="00F27A92"/>
    <w:rsid w:val="00F27AB3"/>
    <w:rsid w:val="00F27AD4"/>
    <w:rsid w:val="00F27B6C"/>
    <w:rsid w:val="00F27C75"/>
    <w:rsid w:val="00F27F7E"/>
    <w:rsid w:val="00F27FCB"/>
    <w:rsid w:val="00F300A9"/>
    <w:rsid w:val="00F300C1"/>
    <w:rsid w:val="00F300CC"/>
    <w:rsid w:val="00F30200"/>
    <w:rsid w:val="00F30278"/>
    <w:rsid w:val="00F306CA"/>
    <w:rsid w:val="00F30705"/>
    <w:rsid w:val="00F307F9"/>
    <w:rsid w:val="00F30AC3"/>
    <w:rsid w:val="00F30B6A"/>
    <w:rsid w:val="00F30CE1"/>
    <w:rsid w:val="00F30D95"/>
    <w:rsid w:val="00F30D99"/>
    <w:rsid w:val="00F31045"/>
    <w:rsid w:val="00F310CD"/>
    <w:rsid w:val="00F312A6"/>
    <w:rsid w:val="00F3130B"/>
    <w:rsid w:val="00F31342"/>
    <w:rsid w:val="00F3141C"/>
    <w:rsid w:val="00F31697"/>
    <w:rsid w:val="00F31863"/>
    <w:rsid w:val="00F3187F"/>
    <w:rsid w:val="00F318C3"/>
    <w:rsid w:val="00F31B6B"/>
    <w:rsid w:val="00F31D0E"/>
    <w:rsid w:val="00F32000"/>
    <w:rsid w:val="00F3210A"/>
    <w:rsid w:val="00F321D8"/>
    <w:rsid w:val="00F3237A"/>
    <w:rsid w:val="00F32871"/>
    <w:rsid w:val="00F32B34"/>
    <w:rsid w:val="00F32C78"/>
    <w:rsid w:val="00F32DA8"/>
    <w:rsid w:val="00F32DE1"/>
    <w:rsid w:val="00F32FC4"/>
    <w:rsid w:val="00F33184"/>
    <w:rsid w:val="00F331C1"/>
    <w:rsid w:val="00F331D5"/>
    <w:rsid w:val="00F332F1"/>
    <w:rsid w:val="00F33300"/>
    <w:rsid w:val="00F3377A"/>
    <w:rsid w:val="00F33829"/>
    <w:rsid w:val="00F338A5"/>
    <w:rsid w:val="00F33A6A"/>
    <w:rsid w:val="00F33B21"/>
    <w:rsid w:val="00F33CE4"/>
    <w:rsid w:val="00F33D30"/>
    <w:rsid w:val="00F33EA2"/>
    <w:rsid w:val="00F33F4D"/>
    <w:rsid w:val="00F33FDB"/>
    <w:rsid w:val="00F3418E"/>
    <w:rsid w:val="00F34214"/>
    <w:rsid w:val="00F34313"/>
    <w:rsid w:val="00F3443C"/>
    <w:rsid w:val="00F344B0"/>
    <w:rsid w:val="00F3451A"/>
    <w:rsid w:val="00F34634"/>
    <w:rsid w:val="00F34699"/>
    <w:rsid w:val="00F34842"/>
    <w:rsid w:val="00F348BE"/>
    <w:rsid w:val="00F349F9"/>
    <w:rsid w:val="00F34B9F"/>
    <w:rsid w:val="00F34BA9"/>
    <w:rsid w:val="00F34C4D"/>
    <w:rsid w:val="00F34C94"/>
    <w:rsid w:val="00F34DE8"/>
    <w:rsid w:val="00F34EE1"/>
    <w:rsid w:val="00F34F97"/>
    <w:rsid w:val="00F34FC5"/>
    <w:rsid w:val="00F3533B"/>
    <w:rsid w:val="00F35383"/>
    <w:rsid w:val="00F3565D"/>
    <w:rsid w:val="00F3572D"/>
    <w:rsid w:val="00F3577B"/>
    <w:rsid w:val="00F35912"/>
    <w:rsid w:val="00F359B7"/>
    <w:rsid w:val="00F35B00"/>
    <w:rsid w:val="00F35B10"/>
    <w:rsid w:val="00F35B68"/>
    <w:rsid w:val="00F35B73"/>
    <w:rsid w:val="00F36094"/>
    <w:rsid w:val="00F36095"/>
    <w:rsid w:val="00F360DF"/>
    <w:rsid w:val="00F36464"/>
    <w:rsid w:val="00F36474"/>
    <w:rsid w:val="00F3656E"/>
    <w:rsid w:val="00F365EF"/>
    <w:rsid w:val="00F365FA"/>
    <w:rsid w:val="00F36643"/>
    <w:rsid w:val="00F3664F"/>
    <w:rsid w:val="00F366EA"/>
    <w:rsid w:val="00F36713"/>
    <w:rsid w:val="00F36796"/>
    <w:rsid w:val="00F3679C"/>
    <w:rsid w:val="00F3683E"/>
    <w:rsid w:val="00F368FD"/>
    <w:rsid w:val="00F36939"/>
    <w:rsid w:val="00F369A3"/>
    <w:rsid w:val="00F36B59"/>
    <w:rsid w:val="00F36BC8"/>
    <w:rsid w:val="00F36BDC"/>
    <w:rsid w:val="00F36C11"/>
    <w:rsid w:val="00F37010"/>
    <w:rsid w:val="00F3708D"/>
    <w:rsid w:val="00F37248"/>
    <w:rsid w:val="00F373B7"/>
    <w:rsid w:val="00F3744C"/>
    <w:rsid w:val="00F378A1"/>
    <w:rsid w:val="00F378EE"/>
    <w:rsid w:val="00F37A0F"/>
    <w:rsid w:val="00F37A4D"/>
    <w:rsid w:val="00F37AFF"/>
    <w:rsid w:val="00F37B8F"/>
    <w:rsid w:val="00F37C01"/>
    <w:rsid w:val="00F37DAC"/>
    <w:rsid w:val="00F4009A"/>
    <w:rsid w:val="00F4012C"/>
    <w:rsid w:val="00F402B2"/>
    <w:rsid w:val="00F40383"/>
    <w:rsid w:val="00F404CB"/>
    <w:rsid w:val="00F4067A"/>
    <w:rsid w:val="00F4095D"/>
    <w:rsid w:val="00F40968"/>
    <w:rsid w:val="00F40BF4"/>
    <w:rsid w:val="00F40C1A"/>
    <w:rsid w:val="00F40D3C"/>
    <w:rsid w:val="00F40D9D"/>
    <w:rsid w:val="00F40DBC"/>
    <w:rsid w:val="00F40FC6"/>
    <w:rsid w:val="00F41163"/>
    <w:rsid w:val="00F411F1"/>
    <w:rsid w:val="00F412AE"/>
    <w:rsid w:val="00F41655"/>
    <w:rsid w:val="00F41776"/>
    <w:rsid w:val="00F41875"/>
    <w:rsid w:val="00F41AAC"/>
    <w:rsid w:val="00F41AD0"/>
    <w:rsid w:val="00F41B12"/>
    <w:rsid w:val="00F41EFA"/>
    <w:rsid w:val="00F4208B"/>
    <w:rsid w:val="00F42185"/>
    <w:rsid w:val="00F42217"/>
    <w:rsid w:val="00F42356"/>
    <w:rsid w:val="00F4255E"/>
    <w:rsid w:val="00F425E7"/>
    <w:rsid w:val="00F428E3"/>
    <w:rsid w:val="00F4292B"/>
    <w:rsid w:val="00F4297D"/>
    <w:rsid w:val="00F42D75"/>
    <w:rsid w:val="00F42FB1"/>
    <w:rsid w:val="00F4302B"/>
    <w:rsid w:val="00F43059"/>
    <w:rsid w:val="00F43067"/>
    <w:rsid w:val="00F430FB"/>
    <w:rsid w:val="00F43181"/>
    <w:rsid w:val="00F43373"/>
    <w:rsid w:val="00F433D5"/>
    <w:rsid w:val="00F4357A"/>
    <w:rsid w:val="00F4365B"/>
    <w:rsid w:val="00F436C7"/>
    <w:rsid w:val="00F4396D"/>
    <w:rsid w:val="00F43B2F"/>
    <w:rsid w:val="00F43B3F"/>
    <w:rsid w:val="00F43B94"/>
    <w:rsid w:val="00F43EBD"/>
    <w:rsid w:val="00F44234"/>
    <w:rsid w:val="00F44335"/>
    <w:rsid w:val="00F44529"/>
    <w:rsid w:val="00F445DC"/>
    <w:rsid w:val="00F44684"/>
    <w:rsid w:val="00F44750"/>
    <w:rsid w:val="00F44789"/>
    <w:rsid w:val="00F44815"/>
    <w:rsid w:val="00F4493E"/>
    <w:rsid w:val="00F44951"/>
    <w:rsid w:val="00F44A83"/>
    <w:rsid w:val="00F44B6B"/>
    <w:rsid w:val="00F44C70"/>
    <w:rsid w:val="00F44DCE"/>
    <w:rsid w:val="00F44F66"/>
    <w:rsid w:val="00F45125"/>
    <w:rsid w:val="00F45150"/>
    <w:rsid w:val="00F4520D"/>
    <w:rsid w:val="00F4521F"/>
    <w:rsid w:val="00F4549E"/>
    <w:rsid w:val="00F454E6"/>
    <w:rsid w:val="00F4576B"/>
    <w:rsid w:val="00F45BAF"/>
    <w:rsid w:val="00F45BE4"/>
    <w:rsid w:val="00F45C10"/>
    <w:rsid w:val="00F45CAE"/>
    <w:rsid w:val="00F46246"/>
    <w:rsid w:val="00F46382"/>
    <w:rsid w:val="00F46650"/>
    <w:rsid w:val="00F46662"/>
    <w:rsid w:val="00F46732"/>
    <w:rsid w:val="00F467AC"/>
    <w:rsid w:val="00F4683D"/>
    <w:rsid w:val="00F46870"/>
    <w:rsid w:val="00F46A57"/>
    <w:rsid w:val="00F46C25"/>
    <w:rsid w:val="00F46D0B"/>
    <w:rsid w:val="00F46DB5"/>
    <w:rsid w:val="00F46E86"/>
    <w:rsid w:val="00F4702B"/>
    <w:rsid w:val="00F4736C"/>
    <w:rsid w:val="00F4736E"/>
    <w:rsid w:val="00F47534"/>
    <w:rsid w:val="00F4760B"/>
    <w:rsid w:val="00F476D1"/>
    <w:rsid w:val="00F476E3"/>
    <w:rsid w:val="00F477C2"/>
    <w:rsid w:val="00F4794A"/>
    <w:rsid w:val="00F479D7"/>
    <w:rsid w:val="00F479EF"/>
    <w:rsid w:val="00F47A06"/>
    <w:rsid w:val="00F47C1A"/>
    <w:rsid w:val="00F47C64"/>
    <w:rsid w:val="00F47CF9"/>
    <w:rsid w:val="00F47D4C"/>
    <w:rsid w:val="00F47E20"/>
    <w:rsid w:val="00F47E96"/>
    <w:rsid w:val="00F500FA"/>
    <w:rsid w:val="00F501C3"/>
    <w:rsid w:val="00F502A9"/>
    <w:rsid w:val="00F5066A"/>
    <w:rsid w:val="00F5077D"/>
    <w:rsid w:val="00F507E8"/>
    <w:rsid w:val="00F50B20"/>
    <w:rsid w:val="00F50F97"/>
    <w:rsid w:val="00F51108"/>
    <w:rsid w:val="00F51414"/>
    <w:rsid w:val="00F516A6"/>
    <w:rsid w:val="00F5180E"/>
    <w:rsid w:val="00F51A31"/>
    <w:rsid w:val="00F51C65"/>
    <w:rsid w:val="00F51CA1"/>
    <w:rsid w:val="00F51F1C"/>
    <w:rsid w:val="00F51F4F"/>
    <w:rsid w:val="00F52063"/>
    <w:rsid w:val="00F5211E"/>
    <w:rsid w:val="00F5253E"/>
    <w:rsid w:val="00F52706"/>
    <w:rsid w:val="00F5270B"/>
    <w:rsid w:val="00F528FC"/>
    <w:rsid w:val="00F529A1"/>
    <w:rsid w:val="00F52A60"/>
    <w:rsid w:val="00F52C03"/>
    <w:rsid w:val="00F52C83"/>
    <w:rsid w:val="00F52CAE"/>
    <w:rsid w:val="00F52D65"/>
    <w:rsid w:val="00F52ECF"/>
    <w:rsid w:val="00F52F75"/>
    <w:rsid w:val="00F530F1"/>
    <w:rsid w:val="00F532FF"/>
    <w:rsid w:val="00F5332B"/>
    <w:rsid w:val="00F5341B"/>
    <w:rsid w:val="00F536BC"/>
    <w:rsid w:val="00F5375F"/>
    <w:rsid w:val="00F5379D"/>
    <w:rsid w:val="00F539BA"/>
    <w:rsid w:val="00F53A77"/>
    <w:rsid w:val="00F53AF3"/>
    <w:rsid w:val="00F53B10"/>
    <w:rsid w:val="00F53DA6"/>
    <w:rsid w:val="00F53F96"/>
    <w:rsid w:val="00F54303"/>
    <w:rsid w:val="00F543C3"/>
    <w:rsid w:val="00F5445F"/>
    <w:rsid w:val="00F5449C"/>
    <w:rsid w:val="00F54541"/>
    <w:rsid w:val="00F54763"/>
    <w:rsid w:val="00F5478B"/>
    <w:rsid w:val="00F547FF"/>
    <w:rsid w:val="00F54C20"/>
    <w:rsid w:val="00F54CF3"/>
    <w:rsid w:val="00F54D03"/>
    <w:rsid w:val="00F54D1A"/>
    <w:rsid w:val="00F54D54"/>
    <w:rsid w:val="00F54E99"/>
    <w:rsid w:val="00F55143"/>
    <w:rsid w:val="00F5518E"/>
    <w:rsid w:val="00F551AB"/>
    <w:rsid w:val="00F553E5"/>
    <w:rsid w:val="00F5545F"/>
    <w:rsid w:val="00F5552C"/>
    <w:rsid w:val="00F55544"/>
    <w:rsid w:val="00F55604"/>
    <w:rsid w:val="00F55654"/>
    <w:rsid w:val="00F55788"/>
    <w:rsid w:val="00F55982"/>
    <w:rsid w:val="00F55A95"/>
    <w:rsid w:val="00F55B2E"/>
    <w:rsid w:val="00F55B75"/>
    <w:rsid w:val="00F55E58"/>
    <w:rsid w:val="00F55E85"/>
    <w:rsid w:val="00F55EAF"/>
    <w:rsid w:val="00F56297"/>
    <w:rsid w:val="00F56604"/>
    <w:rsid w:val="00F56626"/>
    <w:rsid w:val="00F566C1"/>
    <w:rsid w:val="00F567A8"/>
    <w:rsid w:val="00F568D9"/>
    <w:rsid w:val="00F5690E"/>
    <w:rsid w:val="00F569B7"/>
    <w:rsid w:val="00F569FC"/>
    <w:rsid w:val="00F56A19"/>
    <w:rsid w:val="00F56A2F"/>
    <w:rsid w:val="00F56BFE"/>
    <w:rsid w:val="00F56D74"/>
    <w:rsid w:val="00F56DD7"/>
    <w:rsid w:val="00F56DE2"/>
    <w:rsid w:val="00F57049"/>
    <w:rsid w:val="00F5752E"/>
    <w:rsid w:val="00F5757D"/>
    <w:rsid w:val="00F57776"/>
    <w:rsid w:val="00F5785D"/>
    <w:rsid w:val="00F57901"/>
    <w:rsid w:val="00F57983"/>
    <w:rsid w:val="00F57987"/>
    <w:rsid w:val="00F579B3"/>
    <w:rsid w:val="00F579F1"/>
    <w:rsid w:val="00F57A55"/>
    <w:rsid w:val="00F57B22"/>
    <w:rsid w:val="00F57D38"/>
    <w:rsid w:val="00F57D82"/>
    <w:rsid w:val="00F57F27"/>
    <w:rsid w:val="00F57FDC"/>
    <w:rsid w:val="00F6000E"/>
    <w:rsid w:val="00F60043"/>
    <w:rsid w:val="00F60062"/>
    <w:rsid w:val="00F60099"/>
    <w:rsid w:val="00F6037E"/>
    <w:rsid w:val="00F603AF"/>
    <w:rsid w:val="00F603FB"/>
    <w:rsid w:val="00F60554"/>
    <w:rsid w:val="00F605BF"/>
    <w:rsid w:val="00F6081B"/>
    <w:rsid w:val="00F60931"/>
    <w:rsid w:val="00F60B4B"/>
    <w:rsid w:val="00F60BE8"/>
    <w:rsid w:val="00F60CF6"/>
    <w:rsid w:val="00F60DA6"/>
    <w:rsid w:val="00F60E67"/>
    <w:rsid w:val="00F60F96"/>
    <w:rsid w:val="00F610FF"/>
    <w:rsid w:val="00F6119C"/>
    <w:rsid w:val="00F61228"/>
    <w:rsid w:val="00F61264"/>
    <w:rsid w:val="00F613B6"/>
    <w:rsid w:val="00F6166B"/>
    <w:rsid w:val="00F61735"/>
    <w:rsid w:val="00F61895"/>
    <w:rsid w:val="00F61913"/>
    <w:rsid w:val="00F61A2C"/>
    <w:rsid w:val="00F61BCE"/>
    <w:rsid w:val="00F61D5F"/>
    <w:rsid w:val="00F61E68"/>
    <w:rsid w:val="00F61FCD"/>
    <w:rsid w:val="00F62002"/>
    <w:rsid w:val="00F62292"/>
    <w:rsid w:val="00F623A3"/>
    <w:rsid w:val="00F62547"/>
    <w:rsid w:val="00F625F7"/>
    <w:rsid w:val="00F628B6"/>
    <w:rsid w:val="00F62A28"/>
    <w:rsid w:val="00F62C77"/>
    <w:rsid w:val="00F62D2C"/>
    <w:rsid w:val="00F63432"/>
    <w:rsid w:val="00F6345C"/>
    <w:rsid w:val="00F63749"/>
    <w:rsid w:val="00F63861"/>
    <w:rsid w:val="00F638A8"/>
    <w:rsid w:val="00F63BB4"/>
    <w:rsid w:val="00F63CCB"/>
    <w:rsid w:val="00F64039"/>
    <w:rsid w:val="00F64072"/>
    <w:rsid w:val="00F64082"/>
    <w:rsid w:val="00F640BD"/>
    <w:rsid w:val="00F640D8"/>
    <w:rsid w:val="00F64205"/>
    <w:rsid w:val="00F6435A"/>
    <w:rsid w:val="00F64398"/>
    <w:rsid w:val="00F64871"/>
    <w:rsid w:val="00F648DF"/>
    <w:rsid w:val="00F649BA"/>
    <w:rsid w:val="00F64A7B"/>
    <w:rsid w:val="00F64BBD"/>
    <w:rsid w:val="00F64DCA"/>
    <w:rsid w:val="00F65044"/>
    <w:rsid w:val="00F6508B"/>
    <w:rsid w:val="00F650BC"/>
    <w:rsid w:val="00F6527C"/>
    <w:rsid w:val="00F65562"/>
    <w:rsid w:val="00F65AB5"/>
    <w:rsid w:val="00F65C30"/>
    <w:rsid w:val="00F65CDB"/>
    <w:rsid w:val="00F65DF3"/>
    <w:rsid w:val="00F65E76"/>
    <w:rsid w:val="00F65FCF"/>
    <w:rsid w:val="00F66015"/>
    <w:rsid w:val="00F6608B"/>
    <w:rsid w:val="00F66233"/>
    <w:rsid w:val="00F6682F"/>
    <w:rsid w:val="00F66A7A"/>
    <w:rsid w:val="00F66BB2"/>
    <w:rsid w:val="00F66BDF"/>
    <w:rsid w:val="00F66BF0"/>
    <w:rsid w:val="00F66C15"/>
    <w:rsid w:val="00F66CB3"/>
    <w:rsid w:val="00F66DFA"/>
    <w:rsid w:val="00F66E52"/>
    <w:rsid w:val="00F66F30"/>
    <w:rsid w:val="00F66F49"/>
    <w:rsid w:val="00F67038"/>
    <w:rsid w:val="00F67207"/>
    <w:rsid w:val="00F67229"/>
    <w:rsid w:val="00F67A5F"/>
    <w:rsid w:val="00F67ADF"/>
    <w:rsid w:val="00F67B5A"/>
    <w:rsid w:val="00F67BF7"/>
    <w:rsid w:val="00F67C00"/>
    <w:rsid w:val="00F67C08"/>
    <w:rsid w:val="00F67D28"/>
    <w:rsid w:val="00F67D58"/>
    <w:rsid w:val="00F67D9A"/>
    <w:rsid w:val="00F67DB2"/>
    <w:rsid w:val="00F67EAE"/>
    <w:rsid w:val="00F67EAF"/>
    <w:rsid w:val="00F67ECF"/>
    <w:rsid w:val="00F7003E"/>
    <w:rsid w:val="00F702DC"/>
    <w:rsid w:val="00F70376"/>
    <w:rsid w:val="00F70512"/>
    <w:rsid w:val="00F70648"/>
    <w:rsid w:val="00F70756"/>
    <w:rsid w:val="00F707FF"/>
    <w:rsid w:val="00F708DD"/>
    <w:rsid w:val="00F70A22"/>
    <w:rsid w:val="00F70A6B"/>
    <w:rsid w:val="00F70D59"/>
    <w:rsid w:val="00F70DFD"/>
    <w:rsid w:val="00F70E31"/>
    <w:rsid w:val="00F70E48"/>
    <w:rsid w:val="00F71091"/>
    <w:rsid w:val="00F71113"/>
    <w:rsid w:val="00F71373"/>
    <w:rsid w:val="00F713EC"/>
    <w:rsid w:val="00F7151D"/>
    <w:rsid w:val="00F71688"/>
    <w:rsid w:val="00F7169E"/>
    <w:rsid w:val="00F716B2"/>
    <w:rsid w:val="00F71765"/>
    <w:rsid w:val="00F71775"/>
    <w:rsid w:val="00F71951"/>
    <w:rsid w:val="00F71ABF"/>
    <w:rsid w:val="00F71CCD"/>
    <w:rsid w:val="00F71D8D"/>
    <w:rsid w:val="00F71F80"/>
    <w:rsid w:val="00F72155"/>
    <w:rsid w:val="00F7225E"/>
    <w:rsid w:val="00F72304"/>
    <w:rsid w:val="00F72535"/>
    <w:rsid w:val="00F72682"/>
    <w:rsid w:val="00F72798"/>
    <w:rsid w:val="00F72816"/>
    <w:rsid w:val="00F72943"/>
    <w:rsid w:val="00F72B24"/>
    <w:rsid w:val="00F72B4A"/>
    <w:rsid w:val="00F72C2F"/>
    <w:rsid w:val="00F7323C"/>
    <w:rsid w:val="00F732C7"/>
    <w:rsid w:val="00F73423"/>
    <w:rsid w:val="00F73565"/>
    <w:rsid w:val="00F73570"/>
    <w:rsid w:val="00F737DE"/>
    <w:rsid w:val="00F738CC"/>
    <w:rsid w:val="00F73955"/>
    <w:rsid w:val="00F7397B"/>
    <w:rsid w:val="00F739BA"/>
    <w:rsid w:val="00F73A3C"/>
    <w:rsid w:val="00F73AA4"/>
    <w:rsid w:val="00F73BFD"/>
    <w:rsid w:val="00F73C17"/>
    <w:rsid w:val="00F73C27"/>
    <w:rsid w:val="00F73D70"/>
    <w:rsid w:val="00F73DCE"/>
    <w:rsid w:val="00F73FBF"/>
    <w:rsid w:val="00F73FE6"/>
    <w:rsid w:val="00F74101"/>
    <w:rsid w:val="00F7424D"/>
    <w:rsid w:val="00F7453B"/>
    <w:rsid w:val="00F74644"/>
    <w:rsid w:val="00F7472A"/>
    <w:rsid w:val="00F74970"/>
    <w:rsid w:val="00F749B0"/>
    <w:rsid w:val="00F74A8E"/>
    <w:rsid w:val="00F74B23"/>
    <w:rsid w:val="00F74BDE"/>
    <w:rsid w:val="00F74DB8"/>
    <w:rsid w:val="00F74DE7"/>
    <w:rsid w:val="00F74FF9"/>
    <w:rsid w:val="00F7512C"/>
    <w:rsid w:val="00F751EC"/>
    <w:rsid w:val="00F752EF"/>
    <w:rsid w:val="00F7548D"/>
    <w:rsid w:val="00F75706"/>
    <w:rsid w:val="00F7587D"/>
    <w:rsid w:val="00F7596F"/>
    <w:rsid w:val="00F75ABE"/>
    <w:rsid w:val="00F75D57"/>
    <w:rsid w:val="00F75E84"/>
    <w:rsid w:val="00F75FB2"/>
    <w:rsid w:val="00F76039"/>
    <w:rsid w:val="00F76046"/>
    <w:rsid w:val="00F760FF"/>
    <w:rsid w:val="00F761AF"/>
    <w:rsid w:val="00F763A8"/>
    <w:rsid w:val="00F76628"/>
    <w:rsid w:val="00F76672"/>
    <w:rsid w:val="00F768B3"/>
    <w:rsid w:val="00F76B2D"/>
    <w:rsid w:val="00F76C34"/>
    <w:rsid w:val="00F76C43"/>
    <w:rsid w:val="00F76C4D"/>
    <w:rsid w:val="00F76CE6"/>
    <w:rsid w:val="00F76EF4"/>
    <w:rsid w:val="00F76F25"/>
    <w:rsid w:val="00F770A2"/>
    <w:rsid w:val="00F770EC"/>
    <w:rsid w:val="00F7728A"/>
    <w:rsid w:val="00F77330"/>
    <w:rsid w:val="00F77331"/>
    <w:rsid w:val="00F77534"/>
    <w:rsid w:val="00F7765B"/>
    <w:rsid w:val="00F7774E"/>
    <w:rsid w:val="00F77889"/>
    <w:rsid w:val="00F778F4"/>
    <w:rsid w:val="00F779B0"/>
    <w:rsid w:val="00F77A3A"/>
    <w:rsid w:val="00F77CEF"/>
    <w:rsid w:val="00F77F24"/>
    <w:rsid w:val="00F77F49"/>
    <w:rsid w:val="00F77F5E"/>
    <w:rsid w:val="00F80022"/>
    <w:rsid w:val="00F80134"/>
    <w:rsid w:val="00F80239"/>
    <w:rsid w:val="00F8046F"/>
    <w:rsid w:val="00F804C0"/>
    <w:rsid w:val="00F80756"/>
    <w:rsid w:val="00F8088A"/>
    <w:rsid w:val="00F80A9C"/>
    <w:rsid w:val="00F80B8A"/>
    <w:rsid w:val="00F80C06"/>
    <w:rsid w:val="00F80C94"/>
    <w:rsid w:val="00F80DD7"/>
    <w:rsid w:val="00F8104D"/>
    <w:rsid w:val="00F8126B"/>
    <w:rsid w:val="00F81585"/>
    <w:rsid w:val="00F81995"/>
    <w:rsid w:val="00F81C1F"/>
    <w:rsid w:val="00F81C27"/>
    <w:rsid w:val="00F81CBA"/>
    <w:rsid w:val="00F81E12"/>
    <w:rsid w:val="00F821A0"/>
    <w:rsid w:val="00F8227E"/>
    <w:rsid w:val="00F8231E"/>
    <w:rsid w:val="00F82666"/>
    <w:rsid w:val="00F8269D"/>
    <w:rsid w:val="00F826CD"/>
    <w:rsid w:val="00F8275D"/>
    <w:rsid w:val="00F827AA"/>
    <w:rsid w:val="00F82946"/>
    <w:rsid w:val="00F82A34"/>
    <w:rsid w:val="00F82AB3"/>
    <w:rsid w:val="00F82B95"/>
    <w:rsid w:val="00F82C4E"/>
    <w:rsid w:val="00F82E7C"/>
    <w:rsid w:val="00F83035"/>
    <w:rsid w:val="00F83085"/>
    <w:rsid w:val="00F831EC"/>
    <w:rsid w:val="00F83270"/>
    <w:rsid w:val="00F83345"/>
    <w:rsid w:val="00F8336D"/>
    <w:rsid w:val="00F8358A"/>
    <w:rsid w:val="00F8366A"/>
    <w:rsid w:val="00F836A5"/>
    <w:rsid w:val="00F83929"/>
    <w:rsid w:val="00F83948"/>
    <w:rsid w:val="00F83BAE"/>
    <w:rsid w:val="00F83EF4"/>
    <w:rsid w:val="00F83FCC"/>
    <w:rsid w:val="00F84309"/>
    <w:rsid w:val="00F843F1"/>
    <w:rsid w:val="00F84405"/>
    <w:rsid w:val="00F844E4"/>
    <w:rsid w:val="00F84547"/>
    <w:rsid w:val="00F846BF"/>
    <w:rsid w:val="00F8474D"/>
    <w:rsid w:val="00F8496A"/>
    <w:rsid w:val="00F84AEE"/>
    <w:rsid w:val="00F84B49"/>
    <w:rsid w:val="00F84BA0"/>
    <w:rsid w:val="00F84C8F"/>
    <w:rsid w:val="00F84D1F"/>
    <w:rsid w:val="00F84DA2"/>
    <w:rsid w:val="00F84F11"/>
    <w:rsid w:val="00F84F5E"/>
    <w:rsid w:val="00F8516F"/>
    <w:rsid w:val="00F85184"/>
    <w:rsid w:val="00F85244"/>
    <w:rsid w:val="00F8545D"/>
    <w:rsid w:val="00F8554A"/>
    <w:rsid w:val="00F85622"/>
    <w:rsid w:val="00F856B0"/>
    <w:rsid w:val="00F856F3"/>
    <w:rsid w:val="00F85769"/>
    <w:rsid w:val="00F85816"/>
    <w:rsid w:val="00F85989"/>
    <w:rsid w:val="00F85B71"/>
    <w:rsid w:val="00F85C7D"/>
    <w:rsid w:val="00F85F07"/>
    <w:rsid w:val="00F860BF"/>
    <w:rsid w:val="00F8658A"/>
    <w:rsid w:val="00F86796"/>
    <w:rsid w:val="00F8684E"/>
    <w:rsid w:val="00F86925"/>
    <w:rsid w:val="00F869C6"/>
    <w:rsid w:val="00F86A06"/>
    <w:rsid w:val="00F86B61"/>
    <w:rsid w:val="00F86CE8"/>
    <w:rsid w:val="00F86FC0"/>
    <w:rsid w:val="00F86FD4"/>
    <w:rsid w:val="00F8714E"/>
    <w:rsid w:val="00F8717F"/>
    <w:rsid w:val="00F87342"/>
    <w:rsid w:val="00F87672"/>
    <w:rsid w:val="00F87762"/>
    <w:rsid w:val="00F87789"/>
    <w:rsid w:val="00F87976"/>
    <w:rsid w:val="00F87C77"/>
    <w:rsid w:val="00F87CA3"/>
    <w:rsid w:val="00F87CF4"/>
    <w:rsid w:val="00F903B4"/>
    <w:rsid w:val="00F903E5"/>
    <w:rsid w:val="00F90417"/>
    <w:rsid w:val="00F90460"/>
    <w:rsid w:val="00F90762"/>
    <w:rsid w:val="00F90821"/>
    <w:rsid w:val="00F9082E"/>
    <w:rsid w:val="00F908CA"/>
    <w:rsid w:val="00F909EE"/>
    <w:rsid w:val="00F90A0B"/>
    <w:rsid w:val="00F90B60"/>
    <w:rsid w:val="00F90BF7"/>
    <w:rsid w:val="00F90C30"/>
    <w:rsid w:val="00F90D67"/>
    <w:rsid w:val="00F90DC7"/>
    <w:rsid w:val="00F912B3"/>
    <w:rsid w:val="00F91328"/>
    <w:rsid w:val="00F91A3D"/>
    <w:rsid w:val="00F91B10"/>
    <w:rsid w:val="00F91C12"/>
    <w:rsid w:val="00F91C8C"/>
    <w:rsid w:val="00F91D63"/>
    <w:rsid w:val="00F91EAF"/>
    <w:rsid w:val="00F9209F"/>
    <w:rsid w:val="00F92497"/>
    <w:rsid w:val="00F924EE"/>
    <w:rsid w:val="00F92615"/>
    <w:rsid w:val="00F9280F"/>
    <w:rsid w:val="00F92985"/>
    <w:rsid w:val="00F92A86"/>
    <w:rsid w:val="00F92A8F"/>
    <w:rsid w:val="00F92AA9"/>
    <w:rsid w:val="00F92C52"/>
    <w:rsid w:val="00F92EEE"/>
    <w:rsid w:val="00F9324F"/>
    <w:rsid w:val="00F93546"/>
    <w:rsid w:val="00F939F3"/>
    <w:rsid w:val="00F93B09"/>
    <w:rsid w:val="00F93F35"/>
    <w:rsid w:val="00F93F66"/>
    <w:rsid w:val="00F94299"/>
    <w:rsid w:val="00F9434F"/>
    <w:rsid w:val="00F9447B"/>
    <w:rsid w:val="00F944D7"/>
    <w:rsid w:val="00F94503"/>
    <w:rsid w:val="00F94728"/>
    <w:rsid w:val="00F948A0"/>
    <w:rsid w:val="00F948B8"/>
    <w:rsid w:val="00F949FD"/>
    <w:rsid w:val="00F94ABE"/>
    <w:rsid w:val="00F94AFE"/>
    <w:rsid w:val="00F94B62"/>
    <w:rsid w:val="00F94E80"/>
    <w:rsid w:val="00F94E95"/>
    <w:rsid w:val="00F94E96"/>
    <w:rsid w:val="00F94F36"/>
    <w:rsid w:val="00F950BD"/>
    <w:rsid w:val="00F95287"/>
    <w:rsid w:val="00F953C6"/>
    <w:rsid w:val="00F9584A"/>
    <w:rsid w:val="00F95A10"/>
    <w:rsid w:val="00F95A49"/>
    <w:rsid w:val="00F95AD7"/>
    <w:rsid w:val="00F95B51"/>
    <w:rsid w:val="00F95ED1"/>
    <w:rsid w:val="00F95F43"/>
    <w:rsid w:val="00F96015"/>
    <w:rsid w:val="00F9603F"/>
    <w:rsid w:val="00F961B4"/>
    <w:rsid w:val="00F963CE"/>
    <w:rsid w:val="00F9649F"/>
    <w:rsid w:val="00F96690"/>
    <w:rsid w:val="00F96757"/>
    <w:rsid w:val="00F96854"/>
    <w:rsid w:val="00F96987"/>
    <w:rsid w:val="00F96AF6"/>
    <w:rsid w:val="00F96C39"/>
    <w:rsid w:val="00F96D50"/>
    <w:rsid w:val="00F96FF4"/>
    <w:rsid w:val="00F97236"/>
    <w:rsid w:val="00F97256"/>
    <w:rsid w:val="00F972A1"/>
    <w:rsid w:val="00F97556"/>
    <w:rsid w:val="00F976BC"/>
    <w:rsid w:val="00F97782"/>
    <w:rsid w:val="00F978B8"/>
    <w:rsid w:val="00F97976"/>
    <w:rsid w:val="00F979A7"/>
    <w:rsid w:val="00F979D9"/>
    <w:rsid w:val="00F97B4B"/>
    <w:rsid w:val="00F97BC9"/>
    <w:rsid w:val="00F97E0D"/>
    <w:rsid w:val="00F97E40"/>
    <w:rsid w:val="00F97EAD"/>
    <w:rsid w:val="00FA0014"/>
    <w:rsid w:val="00FA013A"/>
    <w:rsid w:val="00FA023A"/>
    <w:rsid w:val="00FA026C"/>
    <w:rsid w:val="00FA03E9"/>
    <w:rsid w:val="00FA04A0"/>
    <w:rsid w:val="00FA06C4"/>
    <w:rsid w:val="00FA0902"/>
    <w:rsid w:val="00FA09E9"/>
    <w:rsid w:val="00FA0C78"/>
    <w:rsid w:val="00FA0D42"/>
    <w:rsid w:val="00FA0FE3"/>
    <w:rsid w:val="00FA12CA"/>
    <w:rsid w:val="00FA13AF"/>
    <w:rsid w:val="00FA13B2"/>
    <w:rsid w:val="00FA1431"/>
    <w:rsid w:val="00FA1631"/>
    <w:rsid w:val="00FA1640"/>
    <w:rsid w:val="00FA16F6"/>
    <w:rsid w:val="00FA1771"/>
    <w:rsid w:val="00FA17A8"/>
    <w:rsid w:val="00FA17C8"/>
    <w:rsid w:val="00FA1914"/>
    <w:rsid w:val="00FA191F"/>
    <w:rsid w:val="00FA1A58"/>
    <w:rsid w:val="00FA1A63"/>
    <w:rsid w:val="00FA1AB5"/>
    <w:rsid w:val="00FA1D40"/>
    <w:rsid w:val="00FA1DDF"/>
    <w:rsid w:val="00FA1F05"/>
    <w:rsid w:val="00FA1FD6"/>
    <w:rsid w:val="00FA2094"/>
    <w:rsid w:val="00FA2183"/>
    <w:rsid w:val="00FA21DF"/>
    <w:rsid w:val="00FA220C"/>
    <w:rsid w:val="00FA2331"/>
    <w:rsid w:val="00FA247C"/>
    <w:rsid w:val="00FA24AD"/>
    <w:rsid w:val="00FA2578"/>
    <w:rsid w:val="00FA2676"/>
    <w:rsid w:val="00FA2AB8"/>
    <w:rsid w:val="00FA2BD9"/>
    <w:rsid w:val="00FA2C12"/>
    <w:rsid w:val="00FA2C7E"/>
    <w:rsid w:val="00FA2ECD"/>
    <w:rsid w:val="00FA30B6"/>
    <w:rsid w:val="00FA31DB"/>
    <w:rsid w:val="00FA3284"/>
    <w:rsid w:val="00FA33D8"/>
    <w:rsid w:val="00FA3675"/>
    <w:rsid w:val="00FA3792"/>
    <w:rsid w:val="00FA3919"/>
    <w:rsid w:val="00FA3ABA"/>
    <w:rsid w:val="00FA3AF0"/>
    <w:rsid w:val="00FA3C19"/>
    <w:rsid w:val="00FA3C95"/>
    <w:rsid w:val="00FA3DAB"/>
    <w:rsid w:val="00FA3DEA"/>
    <w:rsid w:val="00FA3F0D"/>
    <w:rsid w:val="00FA4001"/>
    <w:rsid w:val="00FA40E9"/>
    <w:rsid w:val="00FA4184"/>
    <w:rsid w:val="00FA41A0"/>
    <w:rsid w:val="00FA44DF"/>
    <w:rsid w:val="00FA4509"/>
    <w:rsid w:val="00FA4586"/>
    <w:rsid w:val="00FA45CA"/>
    <w:rsid w:val="00FA47A4"/>
    <w:rsid w:val="00FA47E0"/>
    <w:rsid w:val="00FA47F4"/>
    <w:rsid w:val="00FA48A2"/>
    <w:rsid w:val="00FA4B7D"/>
    <w:rsid w:val="00FA4C0D"/>
    <w:rsid w:val="00FA4C7B"/>
    <w:rsid w:val="00FA4F2F"/>
    <w:rsid w:val="00FA5194"/>
    <w:rsid w:val="00FA5296"/>
    <w:rsid w:val="00FA5328"/>
    <w:rsid w:val="00FA5479"/>
    <w:rsid w:val="00FA552B"/>
    <w:rsid w:val="00FA552E"/>
    <w:rsid w:val="00FA58A5"/>
    <w:rsid w:val="00FA5A8E"/>
    <w:rsid w:val="00FA5B8B"/>
    <w:rsid w:val="00FA5EC8"/>
    <w:rsid w:val="00FA5F57"/>
    <w:rsid w:val="00FA5FB5"/>
    <w:rsid w:val="00FA620D"/>
    <w:rsid w:val="00FA6334"/>
    <w:rsid w:val="00FA638B"/>
    <w:rsid w:val="00FA63C7"/>
    <w:rsid w:val="00FA64C3"/>
    <w:rsid w:val="00FA66B8"/>
    <w:rsid w:val="00FA679D"/>
    <w:rsid w:val="00FA6878"/>
    <w:rsid w:val="00FA68B7"/>
    <w:rsid w:val="00FA6A80"/>
    <w:rsid w:val="00FA6C40"/>
    <w:rsid w:val="00FA6CDF"/>
    <w:rsid w:val="00FA6D71"/>
    <w:rsid w:val="00FA6E74"/>
    <w:rsid w:val="00FA6EEE"/>
    <w:rsid w:val="00FA6FB1"/>
    <w:rsid w:val="00FA7048"/>
    <w:rsid w:val="00FA7305"/>
    <w:rsid w:val="00FA736E"/>
    <w:rsid w:val="00FA74C2"/>
    <w:rsid w:val="00FA750B"/>
    <w:rsid w:val="00FA7BAA"/>
    <w:rsid w:val="00FA7C62"/>
    <w:rsid w:val="00FA7F43"/>
    <w:rsid w:val="00FA7F46"/>
    <w:rsid w:val="00FB007F"/>
    <w:rsid w:val="00FB0361"/>
    <w:rsid w:val="00FB04F5"/>
    <w:rsid w:val="00FB05AA"/>
    <w:rsid w:val="00FB0626"/>
    <w:rsid w:val="00FB077C"/>
    <w:rsid w:val="00FB0B13"/>
    <w:rsid w:val="00FB0B2E"/>
    <w:rsid w:val="00FB0B67"/>
    <w:rsid w:val="00FB0E60"/>
    <w:rsid w:val="00FB1059"/>
    <w:rsid w:val="00FB15FE"/>
    <w:rsid w:val="00FB1614"/>
    <w:rsid w:val="00FB16C3"/>
    <w:rsid w:val="00FB1775"/>
    <w:rsid w:val="00FB17A8"/>
    <w:rsid w:val="00FB194E"/>
    <w:rsid w:val="00FB1F18"/>
    <w:rsid w:val="00FB1FEB"/>
    <w:rsid w:val="00FB210C"/>
    <w:rsid w:val="00FB21CB"/>
    <w:rsid w:val="00FB2243"/>
    <w:rsid w:val="00FB22D8"/>
    <w:rsid w:val="00FB233C"/>
    <w:rsid w:val="00FB245F"/>
    <w:rsid w:val="00FB24B6"/>
    <w:rsid w:val="00FB2691"/>
    <w:rsid w:val="00FB26BE"/>
    <w:rsid w:val="00FB2A58"/>
    <w:rsid w:val="00FB2B69"/>
    <w:rsid w:val="00FB2B81"/>
    <w:rsid w:val="00FB2BBA"/>
    <w:rsid w:val="00FB2C9F"/>
    <w:rsid w:val="00FB2CA2"/>
    <w:rsid w:val="00FB2CBC"/>
    <w:rsid w:val="00FB2D57"/>
    <w:rsid w:val="00FB2DC5"/>
    <w:rsid w:val="00FB2DED"/>
    <w:rsid w:val="00FB303A"/>
    <w:rsid w:val="00FB310F"/>
    <w:rsid w:val="00FB3227"/>
    <w:rsid w:val="00FB3249"/>
    <w:rsid w:val="00FB33C5"/>
    <w:rsid w:val="00FB3533"/>
    <w:rsid w:val="00FB358C"/>
    <w:rsid w:val="00FB360C"/>
    <w:rsid w:val="00FB377B"/>
    <w:rsid w:val="00FB37FC"/>
    <w:rsid w:val="00FB389D"/>
    <w:rsid w:val="00FB3987"/>
    <w:rsid w:val="00FB3BDE"/>
    <w:rsid w:val="00FB3C38"/>
    <w:rsid w:val="00FB3F2F"/>
    <w:rsid w:val="00FB3FB7"/>
    <w:rsid w:val="00FB410C"/>
    <w:rsid w:val="00FB4137"/>
    <w:rsid w:val="00FB42DA"/>
    <w:rsid w:val="00FB42F5"/>
    <w:rsid w:val="00FB4353"/>
    <w:rsid w:val="00FB43F2"/>
    <w:rsid w:val="00FB44C7"/>
    <w:rsid w:val="00FB45DD"/>
    <w:rsid w:val="00FB462B"/>
    <w:rsid w:val="00FB463B"/>
    <w:rsid w:val="00FB47AD"/>
    <w:rsid w:val="00FB4905"/>
    <w:rsid w:val="00FB4981"/>
    <w:rsid w:val="00FB4B29"/>
    <w:rsid w:val="00FB4C6E"/>
    <w:rsid w:val="00FB4C79"/>
    <w:rsid w:val="00FB4CDD"/>
    <w:rsid w:val="00FB4F51"/>
    <w:rsid w:val="00FB4F5E"/>
    <w:rsid w:val="00FB5056"/>
    <w:rsid w:val="00FB5124"/>
    <w:rsid w:val="00FB516B"/>
    <w:rsid w:val="00FB5185"/>
    <w:rsid w:val="00FB51CB"/>
    <w:rsid w:val="00FB52C7"/>
    <w:rsid w:val="00FB549C"/>
    <w:rsid w:val="00FB5578"/>
    <w:rsid w:val="00FB562B"/>
    <w:rsid w:val="00FB5756"/>
    <w:rsid w:val="00FB57D9"/>
    <w:rsid w:val="00FB5890"/>
    <w:rsid w:val="00FB58A5"/>
    <w:rsid w:val="00FB5A80"/>
    <w:rsid w:val="00FB5A94"/>
    <w:rsid w:val="00FB5BA5"/>
    <w:rsid w:val="00FB5C90"/>
    <w:rsid w:val="00FB5CB6"/>
    <w:rsid w:val="00FB5D64"/>
    <w:rsid w:val="00FB5DEE"/>
    <w:rsid w:val="00FB5E00"/>
    <w:rsid w:val="00FB60BD"/>
    <w:rsid w:val="00FB62B8"/>
    <w:rsid w:val="00FB6381"/>
    <w:rsid w:val="00FB6403"/>
    <w:rsid w:val="00FB6425"/>
    <w:rsid w:val="00FB67DB"/>
    <w:rsid w:val="00FB68E8"/>
    <w:rsid w:val="00FB6942"/>
    <w:rsid w:val="00FB6C49"/>
    <w:rsid w:val="00FB6EE8"/>
    <w:rsid w:val="00FB7207"/>
    <w:rsid w:val="00FB73B5"/>
    <w:rsid w:val="00FB73D4"/>
    <w:rsid w:val="00FB7450"/>
    <w:rsid w:val="00FB74F3"/>
    <w:rsid w:val="00FB7603"/>
    <w:rsid w:val="00FB761B"/>
    <w:rsid w:val="00FB7880"/>
    <w:rsid w:val="00FB79C1"/>
    <w:rsid w:val="00FB7A9F"/>
    <w:rsid w:val="00FB7AA1"/>
    <w:rsid w:val="00FB7E41"/>
    <w:rsid w:val="00FC001C"/>
    <w:rsid w:val="00FC0106"/>
    <w:rsid w:val="00FC0142"/>
    <w:rsid w:val="00FC01E5"/>
    <w:rsid w:val="00FC01EF"/>
    <w:rsid w:val="00FC031A"/>
    <w:rsid w:val="00FC0396"/>
    <w:rsid w:val="00FC0516"/>
    <w:rsid w:val="00FC0702"/>
    <w:rsid w:val="00FC0821"/>
    <w:rsid w:val="00FC0869"/>
    <w:rsid w:val="00FC087F"/>
    <w:rsid w:val="00FC08D0"/>
    <w:rsid w:val="00FC0A31"/>
    <w:rsid w:val="00FC0C0A"/>
    <w:rsid w:val="00FC0D87"/>
    <w:rsid w:val="00FC0DCC"/>
    <w:rsid w:val="00FC0EA8"/>
    <w:rsid w:val="00FC1049"/>
    <w:rsid w:val="00FC10AA"/>
    <w:rsid w:val="00FC10CA"/>
    <w:rsid w:val="00FC113C"/>
    <w:rsid w:val="00FC12FF"/>
    <w:rsid w:val="00FC140C"/>
    <w:rsid w:val="00FC1476"/>
    <w:rsid w:val="00FC1896"/>
    <w:rsid w:val="00FC18C8"/>
    <w:rsid w:val="00FC18DD"/>
    <w:rsid w:val="00FC19D4"/>
    <w:rsid w:val="00FC1B95"/>
    <w:rsid w:val="00FC2076"/>
    <w:rsid w:val="00FC21E6"/>
    <w:rsid w:val="00FC237E"/>
    <w:rsid w:val="00FC2636"/>
    <w:rsid w:val="00FC27DB"/>
    <w:rsid w:val="00FC2814"/>
    <w:rsid w:val="00FC2861"/>
    <w:rsid w:val="00FC2898"/>
    <w:rsid w:val="00FC28FF"/>
    <w:rsid w:val="00FC2BF4"/>
    <w:rsid w:val="00FC2CFD"/>
    <w:rsid w:val="00FC2DC0"/>
    <w:rsid w:val="00FC2EED"/>
    <w:rsid w:val="00FC3128"/>
    <w:rsid w:val="00FC3194"/>
    <w:rsid w:val="00FC319A"/>
    <w:rsid w:val="00FC3274"/>
    <w:rsid w:val="00FC3913"/>
    <w:rsid w:val="00FC3A97"/>
    <w:rsid w:val="00FC3AB3"/>
    <w:rsid w:val="00FC3BBF"/>
    <w:rsid w:val="00FC3D4A"/>
    <w:rsid w:val="00FC3D9C"/>
    <w:rsid w:val="00FC3F3B"/>
    <w:rsid w:val="00FC3FC9"/>
    <w:rsid w:val="00FC421F"/>
    <w:rsid w:val="00FC42A3"/>
    <w:rsid w:val="00FC44CF"/>
    <w:rsid w:val="00FC44E3"/>
    <w:rsid w:val="00FC462F"/>
    <w:rsid w:val="00FC4812"/>
    <w:rsid w:val="00FC4823"/>
    <w:rsid w:val="00FC4A67"/>
    <w:rsid w:val="00FC5072"/>
    <w:rsid w:val="00FC50F0"/>
    <w:rsid w:val="00FC511F"/>
    <w:rsid w:val="00FC526B"/>
    <w:rsid w:val="00FC545F"/>
    <w:rsid w:val="00FC553D"/>
    <w:rsid w:val="00FC558E"/>
    <w:rsid w:val="00FC565D"/>
    <w:rsid w:val="00FC5980"/>
    <w:rsid w:val="00FC59F0"/>
    <w:rsid w:val="00FC5AB3"/>
    <w:rsid w:val="00FC5BC1"/>
    <w:rsid w:val="00FC5C61"/>
    <w:rsid w:val="00FC5EE1"/>
    <w:rsid w:val="00FC5EFE"/>
    <w:rsid w:val="00FC5FF8"/>
    <w:rsid w:val="00FC6043"/>
    <w:rsid w:val="00FC608B"/>
    <w:rsid w:val="00FC60CC"/>
    <w:rsid w:val="00FC6279"/>
    <w:rsid w:val="00FC630C"/>
    <w:rsid w:val="00FC631A"/>
    <w:rsid w:val="00FC65CE"/>
    <w:rsid w:val="00FC667A"/>
    <w:rsid w:val="00FC6A1D"/>
    <w:rsid w:val="00FC6AF0"/>
    <w:rsid w:val="00FC6B1D"/>
    <w:rsid w:val="00FC6BF2"/>
    <w:rsid w:val="00FC6C9B"/>
    <w:rsid w:val="00FC6D38"/>
    <w:rsid w:val="00FC6D93"/>
    <w:rsid w:val="00FC70DF"/>
    <w:rsid w:val="00FC7100"/>
    <w:rsid w:val="00FC7378"/>
    <w:rsid w:val="00FC772F"/>
    <w:rsid w:val="00FC776A"/>
    <w:rsid w:val="00FC77CA"/>
    <w:rsid w:val="00FC77D5"/>
    <w:rsid w:val="00FC7B5C"/>
    <w:rsid w:val="00FC7BF6"/>
    <w:rsid w:val="00FC7E47"/>
    <w:rsid w:val="00FC7E58"/>
    <w:rsid w:val="00FC7F0D"/>
    <w:rsid w:val="00FD00A3"/>
    <w:rsid w:val="00FD020A"/>
    <w:rsid w:val="00FD02A8"/>
    <w:rsid w:val="00FD0382"/>
    <w:rsid w:val="00FD03C1"/>
    <w:rsid w:val="00FD03C8"/>
    <w:rsid w:val="00FD03EE"/>
    <w:rsid w:val="00FD0650"/>
    <w:rsid w:val="00FD06E7"/>
    <w:rsid w:val="00FD0776"/>
    <w:rsid w:val="00FD07F1"/>
    <w:rsid w:val="00FD0871"/>
    <w:rsid w:val="00FD0906"/>
    <w:rsid w:val="00FD0A11"/>
    <w:rsid w:val="00FD0B75"/>
    <w:rsid w:val="00FD0BD1"/>
    <w:rsid w:val="00FD0BF6"/>
    <w:rsid w:val="00FD0CFA"/>
    <w:rsid w:val="00FD0D64"/>
    <w:rsid w:val="00FD0DF2"/>
    <w:rsid w:val="00FD0F91"/>
    <w:rsid w:val="00FD0FE7"/>
    <w:rsid w:val="00FD1172"/>
    <w:rsid w:val="00FD13E6"/>
    <w:rsid w:val="00FD140E"/>
    <w:rsid w:val="00FD1572"/>
    <w:rsid w:val="00FD15CD"/>
    <w:rsid w:val="00FD15E0"/>
    <w:rsid w:val="00FD1662"/>
    <w:rsid w:val="00FD1689"/>
    <w:rsid w:val="00FD17F2"/>
    <w:rsid w:val="00FD18FC"/>
    <w:rsid w:val="00FD1989"/>
    <w:rsid w:val="00FD1D09"/>
    <w:rsid w:val="00FD1FA6"/>
    <w:rsid w:val="00FD1FF6"/>
    <w:rsid w:val="00FD21D2"/>
    <w:rsid w:val="00FD242F"/>
    <w:rsid w:val="00FD245E"/>
    <w:rsid w:val="00FD24B9"/>
    <w:rsid w:val="00FD2579"/>
    <w:rsid w:val="00FD266F"/>
    <w:rsid w:val="00FD269F"/>
    <w:rsid w:val="00FD2733"/>
    <w:rsid w:val="00FD27BF"/>
    <w:rsid w:val="00FD2801"/>
    <w:rsid w:val="00FD28FE"/>
    <w:rsid w:val="00FD2C13"/>
    <w:rsid w:val="00FD2D90"/>
    <w:rsid w:val="00FD30E4"/>
    <w:rsid w:val="00FD30F3"/>
    <w:rsid w:val="00FD32DF"/>
    <w:rsid w:val="00FD33F6"/>
    <w:rsid w:val="00FD34AE"/>
    <w:rsid w:val="00FD34CC"/>
    <w:rsid w:val="00FD34D2"/>
    <w:rsid w:val="00FD35B2"/>
    <w:rsid w:val="00FD3633"/>
    <w:rsid w:val="00FD3647"/>
    <w:rsid w:val="00FD3720"/>
    <w:rsid w:val="00FD3C09"/>
    <w:rsid w:val="00FD3C45"/>
    <w:rsid w:val="00FD3C5E"/>
    <w:rsid w:val="00FD3CC2"/>
    <w:rsid w:val="00FD3D12"/>
    <w:rsid w:val="00FD3EDB"/>
    <w:rsid w:val="00FD3EF6"/>
    <w:rsid w:val="00FD40DE"/>
    <w:rsid w:val="00FD4194"/>
    <w:rsid w:val="00FD42C5"/>
    <w:rsid w:val="00FD438D"/>
    <w:rsid w:val="00FD462E"/>
    <w:rsid w:val="00FD4692"/>
    <w:rsid w:val="00FD46BB"/>
    <w:rsid w:val="00FD47B9"/>
    <w:rsid w:val="00FD4A4B"/>
    <w:rsid w:val="00FD4B29"/>
    <w:rsid w:val="00FD4B57"/>
    <w:rsid w:val="00FD4B79"/>
    <w:rsid w:val="00FD4C1A"/>
    <w:rsid w:val="00FD4F11"/>
    <w:rsid w:val="00FD4F1F"/>
    <w:rsid w:val="00FD4F8C"/>
    <w:rsid w:val="00FD5105"/>
    <w:rsid w:val="00FD52DE"/>
    <w:rsid w:val="00FD5575"/>
    <w:rsid w:val="00FD55BB"/>
    <w:rsid w:val="00FD56F7"/>
    <w:rsid w:val="00FD5A29"/>
    <w:rsid w:val="00FD5BB2"/>
    <w:rsid w:val="00FD5BB4"/>
    <w:rsid w:val="00FD5C20"/>
    <w:rsid w:val="00FD5C3E"/>
    <w:rsid w:val="00FD5D21"/>
    <w:rsid w:val="00FD5D54"/>
    <w:rsid w:val="00FD5DF6"/>
    <w:rsid w:val="00FD5DF7"/>
    <w:rsid w:val="00FD6195"/>
    <w:rsid w:val="00FD628F"/>
    <w:rsid w:val="00FD63DE"/>
    <w:rsid w:val="00FD63EB"/>
    <w:rsid w:val="00FD63F7"/>
    <w:rsid w:val="00FD648E"/>
    <w:rsid w:val="00FD64F3"/>
    <w:rsid w:val="00FD65BE"/>
    <w:rsid w:val="00FD67A3"/>
    <w:rsid w:val="00FD67FC"/>
    <w:rsid w:val="00FD69BD"/>
    <w:rsid w:val="00FD69D0"/>
    <w:rsid w:val="00FD6A93"/>
    <w:rsid w:val="00FD6BD5"/>
    <w:rsid w:val="00FD6C55"/>
    <w:rsid w:val="00FD6F0C"/>
    <w:rsid w:val="00FD6F62"/>
    <w:rsid w:val="00FD6FA1"/>
    <w:rsid w:val="00FD6FBA"/>
    <w:rsid w:val="00FD7034"/>
    <w:rsid w:val="00FD719D"/>
    <w:rsid w:val="00FD732E"/>
    <w:rsid w:val="00FD7345"/>
    <w:rsid w:val="00FD736E"/>
    <w:rsid w:val="00FD73E9"/>
    <w:rsid w:val="00FD74F3"/>
    <w:rsid w:val="00FD759D"/>
    <w:rsid w:val="00FD793A"/>
    <w:rsid w:val="00FD7B9D"/>
    <w:rsid w:val="00FD7DFC"/>
    <w:rsid w:val="00FD7F3F"/>
    <w:rsid w:val="00FD7FE0"/>
    <w:rsid w:val="00FE024C"/>
    <w:rsid w:val="00FE04D8"/>
    <w:rsid w:val="00FE0631"/>
    <w:rsid w:val="00FE08D3"/>
    <w:rsid w:val="00FE0937"/>
    <w:rsid w:val="00FE09B2"/>
    <w:rsid w:val="00FE09E9"/>
    <w:rsid w:val="00FE0BA9"/>
    <w:rsid w:val="00FE0CA5"/>
    <w:rsid w:val="00FE0CB2"/>
    <w:rsid w:val="00FE0CF4"/>
    <w:rsid w:val="00FE0DAB"/>
    <w:rsid w:val="00FE0EAA"/>
    <w:rsid w:val="00FE10C5"/>
    <w:rsid w:val="00FE132C"/>
    <w:rsid w:val="00FE136E"/>
    <w:rsid w:val="00FE13F8"/>
    <w:rsid w:val="00FE160C"/>
    <w:rsid w:val="00FE169D"/>
    <w:rsid w:val="00FE199D"/>
    <w:rsid w:val="00FE1AAF"/>
    <w:rsid w:val="00FE1D12"/>
    <w:rsid w:val="00FE1EDE"/>
    <w:rsid w:val="00FE227C"/>
    <w:rsid w:val="00FE25BC"/>
    <w:rsid w:val="00FE286F"/>
    <w:rsid w:val="00FE29E7"/>
    <w:rsid w:val="00FE2A1D"/>
    <w:rsid w:val="00FE2A9F"/>
    <w:rsid w:val="00FE2BD6"/>
    <w:rsid w:val="00FE2C3C"/>
    <w:rsid w:val="00FE2C53"/>
    <w:rsid w:val="00FE2C8E"/>
    <w:rsid w:val="00FE2CEF"/>
    <w:rsid w:val="00FE3060"/>
    <w:rsid w:val="00FE3143"/>
    <w:rsid w:val="00FE31CA"/>
    <w:rsid w:val="00FE3230"/>
    <w:rsid w:val="00FE32AB"/>
    <w:rsid w:val="00FE3686"/>
    <w:rsid w:val="00FE36D1"/>
    <w:rsid w:val="00FE3754"/>
    <w:rsid w:val="00FE3C56"/>
    <w:rsid w:val="00FE3E43"/>
    <w:rsid w:val="00FE3FEC"/>
    <w:rsid w:val="00FE400B"/>
    <w:rsid w:val="00FE4064"/>
    <w:rsid w:val="00FE40B5"/>
    <w:rsid w:val="00FE41EE"/>
    <w:rsid w:val="00FE425F"/>
    <w:rsid w:val="00FE433A"/>
    <w:rsid w:val="00FE4682"/>
    <w:rsid w:val="00FE4788"/>
    <w:rsid w:val="00FE4915"/>
    <w:rsid w:val="00FE493A"/>
    <w:rsid w:val="00FE4BA8"/>
    <w:rsid w:val="00FE4BB2"/>
    <w:rsid w:val="00FE4C2B"/>
    <w:rsid w:val="00FE4CAB"/>
    <w:rsid w:val="00FE50FB"/>
    <w:rsid w:val="00FE5142"/>
    <w:rsid w:val="00FE5450"/>
    <w:rsid w:val="00FE55F5"/>
    <w:rsid w:val="00FE5622"/>
    <w:rsid w:val="00FE57E3"/>
    <w:rsid w:val="00FE59BE"/>
    <w:rsid w:val="00FE5ADC"/>
    <w:rsid w:val="00FE5B04"/>
    <w:rsid w:val="00FE5B3D"/>
    <w:rsid w:val="00FE5EBC"/>
    <w:rsid w:val="00FE604D"/>
    <w:rsid w:val="00FE609F"/>
    <w:rsid w:val="00FE64D6"/>
    <w:rsid w:val="00FE664C"/>
    <w:rsid w:val="00FE6A5B"/>
    <w:rsid w:val="00FE6AF1"/>
    <w:rsid w:val="00FE6E49"/>
    <w:rsid w:val="00FE7155"/>
    <w:rsid w:val="00FE7203"/>
    <w:rsid w:val="00FE73A9"/>
    <w:rsid w:val="00FE750E"/>
    <w:rsid w:val="00FE767B"/>
    <w:rsid w:val="00FE76CB"/>
    <w:rsid w:val="00FE77A3"/>
    <w:rsid w:val="00FE77B8"/>
    <w:rsid w:val="00FE781D"/>
    <w:rsid w:val="00FE785B"/>
    <w:rsid w:val="00FE7863"/>
    <w:rsid w:val="00FE79ED"/>
    <w:rsid w:val="00FE7A4F"/>
    <w:rsid w:val="00FF00B8"/>
    <w:rsid w:val="00FF01B0"/>
    <w:rsid w:val="00FF03D2"/>
    <w:rsid w:val="00FF052C"/>
    <w:rsid w:val="00FF07DA"/>
    <w:rsid w:val="00FF0919"/>
    <w:rsid w:val="00FF09EB"/>
    <w:rsid w:val="00FF0A22"/>
    <w:rsid w:val="00FF0A52"/>
    <w:rsid w:val="00FF0C60"/>
    <w:rsid w:val="00FF0FC1"/>
    <w:rsid w:val="00FF1733"/>
    <w:rsid w:val="00FF1A17"/>
    <w:rsid w:val="00FF1A7B"/>
    <w:rsid w:val="00FF1BE2"/>
    <w:rsid w:val="00FF1D2D"/>
    <w:rsid w:val="00FF1DBF"/>
    <w:rsid w:val="00FF1E1A"/>
    <w:rsid w:val="00FF1F5D"/>
    <w:rsid w:val="00FF1FAC"/>
    <w:rsid w:val="00FF2057"/>
    <w:rsid w:val="00FF2074"/>
    <w:rsid w:val="00FF20D4"/>
    <w:rsid w:val="00FF23F7"/>
    <w:rsid w:val="00FF24A9"/>
    <w:rsid w:val="00FF264A"/>
    <w:rsid w:val="00FF29CD"/>
    <w:rsid w:val="00FF2AFE"/>
    <w:rsid w:val="00FF2B18"/>
    <w:rsid w:val="00FF32EC"/>
    <w:rsid w:val="00FF3322"/>
    <w:rsid w:val="00FF336C"/>
    <w:rsid w:val="00FF33D7"/>
    <w:rsid w:val="00FF33E2"/>
    <w:rsid w:val="00FF33EA"/>
    <w:rsid w:val="00FF354C"/>
    <w:rsid w:val="00FF3652"/>
    <w:rsid w:val="00FF36FC"/>
    <w:rsid w:val="00FF37FD"/>
    <w:rsid w:val="00FF386E"/>
    <w:rsid w:val="00FF3AE7"/>
    <w:rsid w:val="00FF3AFD"/>
    <w:rsid w:val="00FF3BDF"/>
    <w:rsid w:val="00FF3BF6"/>
    <w:rsid w:val="00FF3C42"/>
    <w:rsid w:val="00FF3D92"/>
    <w:rsid w:val="00FF3EDD"/>
    <w:rsid w:val="00FF4038"/>
    <w:rsid w:val="00FF40AE"/>
    <w:rsid w:val="00FF42BF"/>
    <w:rsid w:val="00FF431E"/>
    <w:rsid w:val="00FF439A"/>
    <w:rsid w:val="00FF45C4"/>
    <w:rsid w:val="00FF4A90"/>
    <w:rsid w:val="00FF4D35"/>
    <w:rsid w:val="00FF4EC6"/>
    <w:rsid w:val="00FF4F02"/>
    <w:rsid w:val="00FF50BB"/>
    <w:rsid w:val="00FF518F"/>
    <w:rsid w:val="00FF5206"/>
    <w:rsid w:val="00FF5254"/>
    <w:rsid w:val="00FF52C3"/>
    <w:rsid w:val="00FF52EA"/>
    <w:rsid w:val="00FF545B"/>
    <w:rsid w:val="00FF54C6"/>
    <w:rsid w:val="00FF56CD"/>
    <w:rsid w:val="00FF5730"/>
    <w:rsid w:val="00FF57A6"/>
    <w:rsid w:val="00FF5870"/>
    <w:rsid w:val="00FF5985"/>
    <w:rsid w:val="00FF5A7D"/>
    <w:rsid w:val="00FF5AE9"/>
    <w:rsid w:val="00FF5CC4"/>
    <w:rsid w:val="00FF5CE1"/>
    <w:rsid w:val="00FF5D49"/>
    <w:rsid w:val="00FF60A6"/>
    <w:rsid w:val="00FF60DD"/>
    <w:rsid w:val="00FF6211"/>
    <w:rsid w:val="00FF626D"/>
    <w:rsid w:val="00FF643A"/>
    <w:rsid w:val="00FF6468"/>
    <w:rsid w:val="00FF66B5"/>
    <w:rsid w:val="00FF6851"/>
    <w:rsid w:val="00FF68D2"/>
    <w:rsid w:val="00FF68E2"/>
    <w:rsid w:val="00FF6965"/>
    <w:rsid w:val="00FF6978"/>
    <w:rsid w:val="00FF6A4D"/>
    <w:rsid w:val="00FF6B05"/>
    <w:rsid w:val="00FF6B3C"/>
    <w:rsid w:val="00FF6BE9"/>
    <w:rsid w:val="00FF6E20"/>
    <w:rsid w:val="00FF7054"/>
    <w:rsid w:val="00FF71C8"/>
    <w:rsid w:val="00FF7515"/>
    <w:rsid w:val="00FF751A"/>
    <w:rsid w:val="00FF7698"/>
    <w:rsid w:val="00FF76FB"/>
    <w:rsid w:val="00FF77E3"/>
    <w:rsid w:val="00FF795C"/>
    <w:rsid w:val="00FF7AC9"/>
    <w:rsid w:val="00FF7CC5"/>
    <w:rsid w:val="00FF7D23"/>
    <w:rsid w:val="00FF7D5B"/>
    <w:rsid w:val="00FF7D73"/>
    <w:rsid w:val="00FF7F58"/>
    <w:rsid w:val="0EA60294"/>
    <w:rsid w:val="14DB5FD1"/>
    <w:rsid w:val="1A21126E"/>
    <w:rsid w:val="231D37DE"/>
    <w:rsid w:val="2EBF3297"/>
    <w:rsid w:val="34090AE2"/>
    <w:rsid w:val="35F25941"/>
    <w:rsid w:val="3849754F"/>
    <w:rsid w:val="441C7B21"/>
    <w:rsid w:val="4EBB2A4E"/>
    <w:rsid w:val="50975C60"/>
    <w:rsid w:val="5ED516A0"/>
    <w:rsid w:val="62DE624F"/>
    <w:rsid w:val="6638480C"/>
    <w:rsid w:val="6E1B603E"/>
    <w:rsid w:val="6F5B7603"/>
    <w:rsid w:val="70DB402A"/>
    <w:rsid w:val="7A727DB2"/>
    <w:rsid w:val="7C860A14"/>
    <w:rsid w:val="7FE166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iPriority="0" w:semiHidden="0" w:name="endnote reference"/>
    <w:lsdException w:qFormat="1"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99" w:semiHidden="0" w:name="Body Text"/>
    <w:lsdException w:qFormat="1" w:unhideWhenUsed="0" w:uiPriority="99"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99" w:semiHidden="0" w:name="Body Text First Indent 2"/>
    <w:lsdException w:qFormat="1" w:unhideWhenUsed="0" w:uiPriority="0" w:semiHidden="0" w:name="Note Heading"/>
    <w:lsdException w:qFormat="1" w:unhideWhenUsed="0" w:uiPriority="99"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qFormat="1" w:unhideWhenUsed="0" w:uiPriority="0" w:semiHidden="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qFormat="1" w:unhideWhenUsed="0" w:uiPriority="0"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semiHidden="0" w:name="Table Grid 1"/>
    <w:lsdException w:qFormat="1" w:unhideWhenUsed="0" w:uiPriority="0" w:name="Table Grid 2"/>
    <w:lsdException w:qFormat="1" w:unhideWhenUsed="0" w:uiPriority="0" w:name="Table Grid 3"/>
    <w:lsdException w:qFormat="1" w:unhideWhenUsed="0" w:uiPriority="0" w:name="Table Grid 4"/>
    <w:lsdException w:qFormat="1" w:unhideWhenUsed="0" w:uiPriority="0" w:name="Table Grid 5"/>
    <w:lsdException w:qFormat="1" w:unhideWhenUsed="0" w:uiPriority="0" w:name="Table Grid 6"/>
    <w:lsdException w:qFormat="1"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qFormat="1" w:unhideWhenUsed="0" w:uiPriority="0" w:semiHidden="0" w:name="Table Elegant"/>
    <w:lsdException w:qFormat="1" w:unhideWhenUsed="0" w:uiPriority="0" w:name="Table Professional"/>
    <w:lsdException w:qFormat="1" w:unhideWhenUsed="0" w:uiPriority="0" w:name="Table Subtle 1"/>
    <w:lsdException w:qFormat="1" w:unhideWhenUsed="0" w:uiPriority="0" w:name="Table Subtle 2"/>
    <w:lsdException w:qFormat="1" w:unhideWhenUsed="0" w:uiPriority="0" w:name="Table Web 1"/>
    <w:lsdException w:qFormat="1" w:unhideWhenUsed="0" w:uiPriority="0" w:name="Table Web 2"/>
    <w:lsdException w:qFormat="1" w:unhideWhenUsed="0" w:uiPriority="0" w:name="Table Web 3"/>
    <w:lsdException w:qFormat="1" w:unhideWhenUsed="0" w:uiPriority="99" w:semiHidden="0" w:name="Balloon Text"/>
    <w:lsdException w:qFormat="1" w:unhideWhenUsed="0" w:uiPriority="39"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imes New Roman"/>
      <w:kern w:val="2"/>
      <w:sz w:val="28"/>
      <w:lang w:val="en-US" w:eastAsia="zh-CN" w:bidi="ar-SA"/>
    </w:rPr>
  </w:style>
  <w:style w:type="paragraph" w:styleId="3">
    <w:name w:val="heading 1"/>
    <w:basedOn w:val="1"/>
    <w:next w:val="1"/>
    <w:link w:val="396"/>
    <w:qFormat/>
    <w:uiPriority w:val="9"/>
    <w:pPr>
      <w:keepNext/>
      <w:keepLines/>
      <w:pageBreakBefore/>
      <w:tabs>
        <w:tab w:val="left" w:pos="1080"/>
      </w:tabs>
      <w:spacing w:before="360" w:after="240" w:line="576" w:lineRule="auto"/>
      <w:ind w:left="425" w:hanging="425"/>
      <w:jc w:val="center"/>
      <w:outlineLvl w:val="0"/>
    </w:pPr>
    <w:rPr>
      <w:rFonts w:eastAsia="宋体"/>
      <w:b/>
      <w:kern w:val="44"/>
      <w:sz w:val="36"/>
    </w:rPr>
  </w:style>
  <w:style w:type="paragraph" w:styleId="4">
    <w:name w:val="heading 2"/>
    <w:basedOn w:val="1"/>
    <w:next w:val="5"/>
    <w:link w:val="460"/>
    <w:qFormat/>
    <w:uiPriority w:val="9"/>
    <w:pPr>
      <w:keepNext/>
      <w:keepLines/>
      <w:tabs>
        <w:tab w:val="left" w:pos="567"/>
      </w:tabs>
      <w:spacing w:before="120" w:after="60"/>
      <w:ind w:left="567" w:hanging="567"/>
      <w:outlineLvl w:val="1"/>
    </w:pPr>
    <w:rPr>
      <w:rFonts w:ascii="黑体" w:hAnsi="Arial" w:eastAsia="黑体"/>
    </w:rPr>
  </w:style>
  <w:style w:type="paragraph" w:styleId="6">
    <w:name w:val="heading 3"/>
    <w:basedOn w:val="1"/>
    <w:next w:val="5"/>
    <w:link w:val="505"/>
    <w:qFormat/>
    <w:uiPriority w:val="9"/>
    <w:pPr>
      <w:keepNext/>
      <w:keepLines/>
      <w:tabs>
        <w:tab w:val="left" w:pos="1789"/>
      </w:tabs>
      <w:spacing w:before="120" w:after="120"/>
      <w:ind w:left="1418" w:hanging="709"/>
      <w:outlineLvl w:val="2"/>
    </w:pPr>
    <w:rPr>
      <w:rFonts w:ascii="仿宋_GB2312"/>
      <w:b/>
      <w:bCs/>
      <w:sz w:val="24"/>
    </w:rPr>
  </w:style>
  <w:style w:type="paragraph" w:styleId="7">
    <w:name w:val="heading 4"/>
    <w:basedOn w:val="1"/>
    <w:next w:val="5"/>
    <w:link w:val="386"/>
    <w:qFormat/>
    <w:uiPriority w:val="9"/>
    <w:pPr>
      <w:keepNext/>
      <w:keepLines/>
      <w:tabs>
        <w:tab w:val="left" w:pos="4008"/>
      </w:tabs>
      <w:spacing w:line="500" w:lineRule="exact"/>
      <w:ind w:left="4008" w:hanging="563"/>
      <w:jc w:val="center"/>
      <w:outlineLvl w:val="3"/>
    </w:pPr>
    <w:rPr>
      <w:rFonts w:ascii="Arial" w:hAnsi="Arial"/>
      <w:b/>
      <w:color w:val="000000"/>
      <w:sz w:val="24"/>
    </w:rPr>
  </w:style>
  <w:style w:type="paragraph" w:styleId="8">
    <w:name w:val="heading 5"/>
    <w:basedOn w:val="1"/>
    <w:next w:val="1"/>
    <w:link w:val="516"/>
    <w:qFormat/>
    <w:uiPriority w:val="9"/>
    <w:pPr>
      <w:keepNext/>
      <w:keepLines/>
      <w:tabs>
        <w:tab w:val="left" w:pos="1008"/>
      </w:tabs>
      <w:spacing w:before="120" w:after="120" w:line="120" w:lineRule="atLeast"/>
      <w:ind w:left="1008" w:hanging="1008"/>
      <w:outlineLvl w:val="4"/>
    </w:pPr>
    <w:rPr>
      <w:b/>
      <w:bCs/>
      <w:sz w:val="21"/>
      <w:szCs w:val="28"/>
    </w:rPr>
  </w:style>
  <w:style w:type="paragraph" w:styleId="9">
    <w:name w:val="heading 6"/>
    <w:basedOn w:val="1"/>
    <w:next w:val="1"/>
    <w:link w:val="394"/>
    <w:qFormat/>
    <w:uiPriority w:val="9"/>
    <w:pPr>
      <w:keepNext/>
      <w:keepLines/>
      <w:tabs>
        <w:tab w:val="left" w:pos="1152"/>
      </w:tabs>
      <w:spacing w:before="240" w:after="64" w:line="317" w:lineRule="auto"/>
      <w:ind w:left="1152" w:hanging="1152"/>
      <w:outlineLvl w:val="5"/>
    </w:pPr>
    <w:rPr>
      <w:rFonts w:ascii="Arial" w:hAnsi="Arial" w:eastAsia="黑体"/>
      <w:b/>
      <w:bCs/>
      <w:sz w:val="24"/>
      <w:szCs w:val="24"/>
    </w:rPr>
  </w:style>
  <w:style w:type="paragraph" w:styleId="10">
    <w:name w:val="heading 7"/>
    <w:basedOn w:val="1"/>
    <w:next w:val="1"/>
    <w:link w:val="461"/>
    <w:qFormat/>
    <w:uiPriority w:val="9"/>
    <w:pPr>
      <w:keepNext/>
      <w:keepLines/>
      <w:tabs>
        <w:tab w:val="left" w:pos="1296"/>
      </w:tabs>
      <w:spacing w:before="240" w:after="64" w:line="317" w:lineRule="auto"/>
      <w:ind w:left="1296" w:hanging="1296"/>
      <w:outlineLvl w:val="6"/>
    </w:pPr>
    <w:rPr>
      <w:rFonts w:eastAsia="宋体"/>
      <w:b/>
      <w:bCs/>
      <w:sz w:val="24"/>
      <w:szCs w:val="24"/>
    </w:rPr>
  </w:style>
  <w:style w:type="paragraph" w:styleId="11">
    <w:name w:val="heading 8"/>
    <w:basedOn w:val="1"/>
    <w:next w:val="1"/>
    <w:link w:val="287"/>
    <w:qFormat/>
    <w:uiPriority w:val="9"/>
    <w:pPr>
      <w:keepNext/>
      <w:keepLines/>
      <w:tabs>
        <w:tab w:val="left" w:pos="1440"/>
      </w:tabs>
      <w:spacing w:before="240" w:after="64" w:line="317" w:lineRule="auto"/>
      <w:ind w:left="1440" w:hanging="1440"/>
      <w:outlineLvl w:val="7"/>
    </w:pPr>
    <w:rPr>
      <w:rFonts w:ascii="Arial" w:hAnsi="Arial" w:eastAsia="黑体"/>
      <w:sz w:val="24"/>
      <w:szCs w:val="24"/>
    </w:rPr>
  </w:style>
  <w:style w:type="paragraph" w:styleId="12">
    <w:name w:val="heading 9"/>
    <w:basedOn w:val="1"/>
    <w:next w:val="1"/>
    <w:link w:val="517"/>
    <w:qFormat/>
    <w:uiPriority w:val="0"/>
    <w:pPr>
      <w:keepNext/>
      <w:keepLines/>
      <w:tabs>
        <w:tab w:val="left" w:pos="1584"/>
      </w:tabs>
      <w:spacing w:before="240" w:after="64" w:line="317" w:lineRule="auto"/>
      <w:ind w:left="1584" w:hanging="1584"/>
      <w:outlineLvl w:val="8"/>
    </w:pPr>
    <w:rPr>
      <w:rFonts w:ascii="Arial" w:hAnsi="Arial" w:eastAsia="黑体"/>
      <w:sz w:val="21"/>
      <w:szCs w:val="21"/>
    </w:rPr>
  </w:style>
  <w:style w:type="character" w:default="1" w:styleId="133">
    <w:name w:val="Default Paragraph Font"/>
    <w:semiHidden/>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2">
    <w:name w:val="macro"/>
    <w:link w:val="258"/>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textAlignment w:val="baseline"/>
    </w:pPr>
    <w:rPr>
      <w:rFonts w:ascii="Times New Roman" w:hAnsi="Times New Roman" w:eastAsia="Times New Roman" w:cs="Times New Roman"/>
      <w:kern w:val="2"/>
      <w:sz w:val="18"/>
      <w:szCs w:val="18"/>
      <w:lang w:val="en-US" w:eastAsia="zh-CN" w:bidi="ar-SA"/>
    </w:rPr>
  </w:style>
  <w:style w:type="paragraph" w:styleId="5">
    <w:name w:val="Normal Indent"/>
    <w:basedOn w:val="1"/>
    <w:link w:val="353"/>
    <w:qFormat/>
    <w:uiPriority w:val="0"/>
    <w:pPr>
      <w:spacing w:line="264" w:lineRule="auto"/>
      <w:ind w:firstLine="476"/>
    </w:pPr>
    <w:rPr>
      <w:rFonts w:ascii="Arial" w:hAnsi="Arial" w:eastAsia="宋体" w:cs="Arial"/>
      <w:spacing w:val="10"/>
      <w:sz w:val="24"/>
    </w:rPr>
  </w:style>
  <w:style w:type="paragraph" w:styleId="13">
    <w:name w:val="List 3"/>
    <w:basedOn w:val="1"/>
    <w:qFormat/>
    <w:uiPriority w:val="0"/>
    <w:pPr>
      <w:snapToGrid w:val="0"/>
      <w:spacing w:line="360" w:lineRule="auto"/>
      <w:ind w:left="100" w:leftChars="400" w:hanging="200" w:hangingChars="200"/>
    </w:pPr>
    <w:rPr>
      <w:rFonts w:eastAsia="宋体"/>
      <w:kern w:val="0"/>
      <w:sz w:val="24"/>
      <w:szCs w:val="28"/>
    </w:rPr>
  </w:style>
  <w:style w:type="paragraph" w:styleId="14">
    <w:name w:val="toc 7"/>
    <w:basedOn w:val="1"/>
    <w:next w:val="1"/>
    <w:qFormat/>
    <w:uiPriority w:val="39"/>
    <w:pPr>
      <w:ind w:left="1680"/>
      <w:jc w:val="left"/>
    </w:pPr>
    <w:rPr>
      <w:szCs w:val="21"/>
    </w:rPr>
  </w:style>
  <w:style w:type="paragraph" w:styleId="15">
    <w:name w:val="List Number 2"/>
    <w:basedOn w:val="1"/>
    <w:qFormat/>
    <w:uiPriority w:val="0"/>
    <w:pPr>
      <w:tabs>
        <w:tab w:val="left" w:pos="360"/>
      </w:tabs>
      <w:snapToGrid w:val="0"/>
      <w:spacing w:line="360" w:lineRule="auto"/>
    </w:pPr>
    <w:rPr>
      <w:rFonts w:eastAsia="宋体"/>
      <w:kern w:val="0"/>
      <w:sz w:val="24"/>
      <w:szCs w:val="28"/>
    </w:rPr>
  </w:style>
  <w:style w:type="paragraph" w:styleId="16">
    <w:name w:val="table of authorities"/>
    <w:basedOn w:val="1"/>
    <w:next w:val="1"/>
    <w:qFormat/>
    <w:uiPriority w:val="0"/>
    <w:pPr>
      <w:snapToGrid w:val="0"/>
      <w:ind w:left="420" w:leftChars="200"/>
    </w:pPr>
    <w:rPr>
      <w:rFonts w:eastAsia="宋体"/>
      <w:sz w:val="24"/>
      <w:szCs w:val="24"/>
    </w:rPr>
  </w:style>
  <w:style w:type="paragraph" w:styleId="17">
    <w:name w:val="Note Heading"/>
    <w:basedOn w:val="1"/>
    <w:next w:val="1"/>
    <w:link w:val="245"/>
    <w:qFormat/>
    <w:uiPriority w:val="0"/>
    <w:pPr>
      <w:jc w:val="center"/>
    </w:pPr>
    <w:rPr>
      <w:rFonts w:eastAsia="宋体"/>
      <w:sz w:val="21"/>
      <w:szCs w:val="24"/>
    </w:rPr>
  </w:style>
  <w:style w:type="paragraph" w:styleId="18">
    <w:name w:val="List Bullet 4"/>
    <w:basedOn w:val="1"/>
    <w:qFormat/>
    <w:uiPriority w:val="0"/>
    <w:pPr>
      <w:tabs>
        <w:tab w:val="left" w:pos="360"/>
      </w:tabs>
      <w:snapToGrid w:val="0"/>
      <w:spacing w:line="360" w:lineRule="auto"/>
    </w:pPr>
    <w:rPr>
      <w:rFonts w:eastAsia="宋体"/>
      <w:kern w:val="0"/>
      <w:sz w:val="24"/>
      <w:szCs w:val="28"/>
    </w:rPr>
  </w:style>
  <w:style w:type="paragraph" w:styleId="19">
    <w:name w:val="index 8"/>
    <w:basedOn w:val="1"/>
    <w:next w:val="1"/>
    <w:qFormat/>
    <w:uiPriority w:val="0"/>
    <w:pPr>
      <w:snapToGrid w:val="0"/>
      <w:ind w:left="2240" w:hanging="280"/>
      <w:jc w:val="left"/>
    </w:pPr>
    <w:rPr>
      <w:rFonts w:eastAsia="宋体"/>
      <w:sz w:val="24"/>
      <w:szCs w:val="24"/>
    </w:rPr>
  </w:style>
  <w:style w:type="paragraph" w:styleId="20">
    <w:name w:val="E-mail Signature"/>
    <w:basedOn w:val="1"/>
    <w:link w:val="647"/>
    <w:qFormat/>
    <w:uiPriority w:val="0"/>
    <w:pPr>
      <w:snapToGrid w:val="0"/>
      <w:spacing w:line="360" w:lineRule="auto"/>
      <w:ind w:firstLine="200" w:firstLineChars="200"/>
    </w:pPr>
    <w:rPr>
      <w:rFonts w:eastAsia="宋体"/>
      <w:kern w:val="0"/>
      <w:sz w:val="24"/>
      <w:szCs w:val="28"/>
    </w:rPr>
  </w:style>
  <w:style w:type="paragraph" w:styleId="21">
    <w:name w:val="List Number"/>
    <w:basedOn w:val="1"/>
    <w:qFormat/>
    <w:uiPriority w:val="0"/>
    <w:pPr>
      <w:tabs>
        <w:tab w:val="left" w:pos="360"/>
      </w:tabs>
      <w:ind w:left="360" w:hanging="360" w:hangingChars="200"/>
    </w:pPr>
    <w:rPr>
      <w:rFonts w:eastAsia="宋体"/>
      <w:sz w:val="21"/>
      <w:szCs w:val="24"/>
    </w:rPr>
  </w:style>
  <w:style w:type="paragraph" w:styleId="22">
    <w:name w:val="caption"/>
    <w:basedOn w:val="1"/>
    <w:next w:val="1"/>
    <w:link w:val="452"/>
    <w:qFormat/>
    <w:uiPriority w:val="35"/>
    <w:pPr>
      <w:spacing w:before="152" w:after="160"/>
    </w:pPr>
    <w:rPr>
      <w:rFonts w:ascii="Arial" w:hAnsi="Arial" w:eastAsia="黑体"/>
      <w:sz w:val="20"/>
    </w:rPr>
  </w:style>
  <w:style w:type="paragraph" w:styleId="23">
    <w:name w:val="index 5"/>
    <w:basedOn w:val="1"/>
    <w:next w:val="1"/>
    <w:qFormat/>
    <w:uiPriority w:val="0"/>
    <w:pPr>
      <w:snapToGrid w:val="0"/>
      <w:ind w:left="1400" w:hanging="280"/>
      <w:jc w:val="left"/>
    </w:pPr>
    <w:rPr>
      <w:rFonts w:eastAsia="宋体"/>
      <w:sz w:val="24"/>
      <w:szCs w:val="24"/>
    </w:rPr>
  </w:style>
  <w:style w:type="paragraph" w:styleId="24">
    <w:name w:val="List Bullet"/>
    <w:basedOn w:val="1"/>
    <w:qFormat/>
    <w:uiPriority w:val="0"/>
    <w:pPr>
      <w:tabs>
        <w:tab w:val="left" w:pos="648"/>
      </w:tabs>
      <w:ind w:left="648" w:hanging="420"/>
    </w:pPr>
  </w:style>
  <w:style w:type="paragraph" w:styleId="25">
    <w:name w:val="envelope address"/>
    <w:basedOn w:val="1"/>
    <w:qFormat/>
    <w:uiPriority w:val="0"/>
    <w:pPr>
      <w:framePr w:w="7920" w:h="1980" w:hRule="exact" w:hSpace="180" w:wrap="around" w:vAnchor="margin" w:hAnchor="page" w:xAlign="center" w:yAlign="bottom"/>
      <w:snapToGrid w:val="0"/>
      <w:spacing w:line="360" w:lineRule="auto"/>
      <w:ind w:left="100" w:leftChars="1400" w:firstLine="200" w:firstLineChars="200"/>
    </w:pPr>
    <w:rPr>
      <w:rFonts w:ascii="Arial" w:hAnsi="Arial" w:eastAsia="宋体" w:cs="Arial"/>
      <w:kern w:val="0"/>
      <w:sz w:val="24"/>
      <w:szCs w:val="24"/>
    </w:rPr>
  </w:style>
  <w:style w:type="paragraph" w:styleId="26">
    <w:name w:val="Document Map"/>
    <w:basedOn w:val="1"/>
    <w:link w:val="499"/>
    <w:qFormat/>
    <w:uiPriority w:val="0"/>
    <w:pPr>
      <w:shd w:val="clear" w:color="auto" w:fill="000080"/>
    </w:pPr>
  </w:style>
  <w:style w:type="paragraph" w:styleId="27">
    <w:name w:val="toa heading"/>
    <w:basedOn w:val="1"/>
    <w:next w:val="1"/>
    <w:qFormat/>
    <w:uiPriority w:val="0"/>
    <w:pPr>
      <w:spacing w:before="120" w:line="520" w:lineRule="exact"/>
      <w:ind w:firstLine="200" w:firstLineChars="200"/>
    </w:pPr>
    <w:rPr>
      <w:rFonts w:ascii="Arial" w:hAnsi="Arial" w:eastAsia="宋体"/>
      <w:b/>
      <w:sz w:val="24"/>
    </w:rPr>
  </w:style>
  <w:style w:type="paragraph" w:styleId="28">
    <w:name w:val="annotation text"/>
    <w:basedOn w:val="1"/>
    <w:link w:val="226"/>
    <w:qFormat/>
    <w:uiPriority w:val="99"/>
    <w:pPr>
      <w:jc w:val="left"/>
    </w:pPr>
  </w:style>
  <w:style w:type="paragraph" w:styleId="29">
    <w:name w:val="index 6"/>
    <w:basedOn w:val="1"/>
    <w:next w:val="1"/>
    <w:qFormat/>
    <w:uiPriority w:val="0"/>
    <w:pPr>
      <w:snapToGrid w:val="0"/>
      <w:ind w:left="1680" w:hanging="280"/>
      <w:jc w:val="left"/>
    </w:pPr>
    <w:rPr>
      <w:rFonts w:eastAsia="宋体"/>
      <w:sz w:val="24"/>
      <w:szCs w:val="24"/>
    </w:rPr>
  </w:style>
  <w:style w:type="paragraph" w:styleId="30">
    <w:name w:val="Salutation"/>
    <w:basedOn w:val="1"/>
    <w:next w:val="1"/>
    <w:link w:val="418"/>
    <w:qFormat/>
    <w:uiPriority w:val="0"/>
    <w:pPr>
      <w:adjustRightInd w:val="0"/>
      <w:snapToGrid w:val="0"/>
      <w:ind w:firstLine="200" w:firstLineChars="200"/>
      <w:jc w:val="left"/>
    </w:pPr>
    <w:rPr>
      <w:rFonts w:ascii="宋体" w:hAnsi="Cambria" w:eastAsia="宋体"/>
      <w:b/>
      <w:bCs/>
      <w:kern w:val="0"/>
      <w:sz w:val="32"/>
      <w:szCs w:val="32"/>
      <w:lang w:bidi="en-US"/>
    </w:rPr>
  </w:style>
  <w:style w:type="paragraph" w:styleId="31">
    <w:name w:val="Body Text 3"/>
    <w:basedOn w:val="1"/>
    <w:link w:val="1865"/>
    <w:qFormat/>
    <w:uiPriority w:val="0"/>
    <w:pPr>
      <w:spacing w:after="120"/>
    </w:pPr>
    <w:rPr>
      <w:rFonts w:eastAsia="宋体"/>
      <w:sz w:val="16"/>
      <w:szCs w:val="16"/>
    </w:rPr>
  </w:style>
  <w:style w:type="paragraph" w:styleId="32">
    <w:name w:val="Closing"/>
    <w:basedOn w:val="1"/>
    <w:link w:val="2285"/>
    <w:qFormat/>
    <w:uiPriority w:val="0"/>
    <w:pPr>
      <w:ind w:left="100" w:leftChars="2100"/>
    </w:pPr>
    <w:rPr>
      <w:rFonts w:ascii="华文楷体" w:hAnsi="华文楷体" w:eastAsia="楷体_GB2312"/>
      <w:bCs/>
      <w:szCs w:val="24"/>
    </w:rPr>
  </w:style>
  <w:style w:type="paragraph" w:styleId="33">
    <w:name w:val="List Bullet 3"/>
    <w:basedOn w:val="1"/>
    <w:qFormat/>
    <w:uiPriority w:val="0"/>
    <w:pPr>
      <w:tabs>
        <w:tab w:val="left" w:pos="1200"/>
      </w:tabs>
      <w:ind w:left="1200" w:hanging="360"/>
    </w:pPr>
    <w:rPr>
      <w:rFonts w:ascii="宋体" w:eastAsia="宋体"/>
      <w:szCs w:val="28"/>
    </w:rPr>
  </w:style>
  <w:style w:type="paragraph" w:styleId="34">
    <w:name w:val="Body Text"/>
    <w:basedOn w:val="1"/>
    <w:link w:val="455"/>
    <w:qFormat/>
    <w:uiPriority w:val="99"/>
    <w:pPr>
      <w:spacing w:after="120"/>
    </w:pPr>
  </w:style>
  <w:style w:type="paragraph" w:styleId="35">
    <w:name w:val="Body Text Indent"/>
    <w:basedOn w:val="1"/>
    <w:link w:val="323"/>
    <w:qFormat/>
    <w:uiPriority w:val="99"/>
    <w:pPr>
      <w:ind w:firstLine="324"/>
    </w:pPr>
    <w:rPr>
      <w:rFonts w:eastAsia="宋体"/>
      <w:sz w:val="21"/>
    </w:rPr>
  </w:style>
  <w:style w:type="paragraph" w:styleId="36">
    <w:name w:val="List Number 3"/>
    <w:basedOn w:val="1"/>
    <w:qFormat/>
    <w:uiPriority w:val="0"/>
    <w:pPr>
      <w:tabs>
        <w:tab w:val="left" w:pos="2040"/>
      </w:tabs>
      <w:spacing w:line="500" w:lineRule="exact"/>
      <w:ind w:left="2040" w:hanging="360"/>
    </w:pPr>
    <w:rPr>
      <w:rFonts w:eastAsia="宋体"/>
      <w:szCs w:val="24"/>
    </w:rPr>
  </w:style>
  <w:style w:type="paragraph" w:styleId="37">
    <w:name w:val="List 2"/>
    <w:basedOn w:val="1"/>
    <w:qFormat/>
    <w:uiPriority w:val="0"/>
    <w:pPr>
      <w:snapToGrid w:val="0"/>
      <w:spacing w:line="360" w:lineRule="auto"/>
      <w:ind w:left="100" w:leftChars="200" w:hanging="200" w:hangingChars="200"/>
    </w:pPr>
    <w:rPr>
      <w:rFonts w:eastAsia="宋体"/>
      <w:kern w:val="0"/>
      <w:sz w:val="24"/>
      <w:szCs w:val="28"/>
    </w:rPr>
  </w:style>
  <w:style w:type="paragraph" w:styleId="38">
    <w:name w:val="List Continue"/>
    <w:basedOn w:val="1"/>
    <w:qFormat/>
    <w:uiPriority w:val="0"/>
    <w:pPr>
      <w:snapToGrid w:val="0"/>
      <w:spacing w:after="120" w:line="360" w:lineRule="auto"/>
      <w:ind w:left="420" w:leftChars="200" w:firstLine="200" w:firstLineChars="200"/>
    </w:pPr>
    <w:rPr>
      <w:rFonts w:eastAsia="宋体"/>
      <w:kern w:val="0"/>
      <w:sz w:val="24"/>
      <w:szCs w:val="28"/>
    </w:rPr>
  </w:style>
  <w:style w:type="paragraph" w:styleId="39">
    <w:name w:val="Block Text"/>
    <w:basedOn w:val="1"/>
    <w:qFormat/>
    <w:uiPriority w:val="0"/>
    <w:pPr>
      <w:tabs>
        <w:tab w:val="left" w:pos="3360"/>
      </w:tabs>
      <w:spacing w:line="360" w:lineRule="auto"/>
      <w:ind w:left="7" w:right="11" w:firstLine="630"/>
    </w:pPr>
    <w:rPr>
      <w:rFonts w:eastAsia="宋体"/>
      <w:sz w:val="24"/>
      <w:szCs w:val="24"/>
    </w:rPr>
  </w:style>
  <w:style w:type="paragraph" w:styleId="40">
    <w:name w:val="List Bullet 2"/>
    <w:basedOn w:val="1"/>
    <w:next w:val="41"/>
    <w:qFormat/>
    <w:uiPriority w:val="0"/>
    <w:pPr>
      <w:adjustRightInd w:val="0"/>
      <w:spacing w:line="400" w:lineRule="exact"/>
      <w:textAlignment w:val="baseline"/>
    </w:pPr>
    <w:rPr>
      <w:rFonts w:eastAsia="宋体"/>
      <w:color w:val="000000"/>
      <w:spacing w:val="-20"/>
      <w:kern w:val="0"/>
      <w:sz w:val="24"/>
    </w:rPr>
  </w:style>
  <w:style w:type="paragraph" w:styleId="41">
    <w:name w:val="Body Text First Indent"/>
    <w:basedOn w:val="34"/>
    <w:link w:val="441"/>
    <w:qFormat/>
    <w:uiPriority w:val="99"/>
    <w:pPr>
      <w:ind w:firstLine="420" w:firstLineChars="100"/>
    </w:pPr>
  </w:style>
  <w:style w:type="paragraph" w:styleId="42">
    <w:name w:val="HTML Address"/>
    <w:basedOn w:val="1"/>
    <w:link w:val="520"/>
    <w:qFormat/>
    <w:uiPriority w:val="0"/>
    <w:pPr>
      <w:snapToGrid w:val="0"/>
      <w:spacing w:line="360" w:lineRule="auto"/>
      <w:ind w:firstLine="200" w:firstLineChars="200"/>
    </w:pPr>
    <w:rPr>
      <w:sz w:val="18"/>
    </w:rPr>
  </w:style>
  <w:style w:type="paragraph" w:styleId="43">
    <w:name w:val="index 4"/>
    <w:basedOn w:val="1"/>
    <w:next w:val="1"/>
    <w:qFormat/>
    <w:uiPriority w:val="0"/>
    <w:pPr>
      <w:snapToGrid w:val="0"/>
      <w:ind w:left="1120" w:hanging="280"/>
      <w:jc w:val="left"/>
    </w:pPr>
    <w:rPr>
      <w:rFonts w:eastAsia="宋体"/>
      <w:sz w:val="24"/>
      <w:szCs w:val="24"/>
    </w:rPr>
  </w:style>
  <w:style w:type="paragraph" w:styleId="44">
    <w:name w:val="toc 5"/>
    <w:basedOn w:val="1"/>
    <w:next w:val="1"/>
    <w:qFormat/>
    <w:uiPriority w:val="39"/>
    <w:pPr>
      <w:ind w:left="1120"/>
      <w:jc w:val="left"/>
    </w:pPr>
    <w:rPr>
      <w:szCs w:val="21"/>
    </w:rPr>
  </w:style>
  <w:style w:type="paragraph" w:styleId="45">
    <w:name w:val="toc 3"/>
    <w:basedOn w:val="1"/>
    <w:next w:val="1"/>
    <w:qFormat/>
    <w:uiPriority w:val="39"/>
    <w:pPr>
      <w:ind w:left="560"/>
      <w:jc w:val="left"/>
    </w:pPr>
    <w:rPr>
      <w:i/>
      <w:iCs/>
      <w:szCs w:val="24"/>
    </w:rPr>
  </w:style>
  <w:style w:type="paragraph" w:styleId="46">
    <w:name w:val="Plain Text"/>
    <w:basedOn w:val="1"/>
    <w:link w:val="272"/>
    <w:qFormat/>
    <w:uiPriority w:val="0"/>
    <w:rPr>
      <w:rFonts w:ascii="宋体" w:hAnsi="Courier New" w:eastAsia="宋体"/>
      <w:sz w:val="21"/>
    </w:rPr>
  </w:style>
  <w:style w:type="paragraph" w:styleId="47">
    <w:name w:val="List Bullet 5"/>
    <w:basedOn w:val="1"/>
    <w:qFormat/>
    <w:uiPriority w:val="0"/>
    <w:pPr>
      <w:tabs>
        <w:tab w:val="left" w:pos="360"/>
      </w:tabs>
      <w:snapToGrid w:val="0"/>
      <w:spacing w:line="360" w:lineRule="auto"/>
    </w:pPr>
    <w:rPr>
      <w:rFonts w:eastAsia="宋体"/>
      <w:kern w:val="0"/>
      <w:sz w:val="24"/>
      <w:szCs w:val="28"/>
    </w:rPr>
  </w:style>
  <w:style w:type="paragraph" w:styleId="48">
    <w:name w:val="List Number 4"/>
    <w:basedOn w:val="1"/>
    <w:qFormat/>
    <w:uiPriority w:val="0"/>
    <w:pPr>
      <w:tabs>
        <w:tab w:val="left" w:pos="360"/>
      </w:tabs>
      <w:snapToGrid w:val="0"/>
      <w:spacing w:line="360" w:lineRule="auto"/>
    </w:pPr>
    <w:rPr>
      <w:rFonts w:eastAsia="宋体"/>
      <w:kern w:val="0"/>
      <w:sz w:val="24"/>
      <w:szCs w:val="28"/>
    </w:rPr>
  </w:style>
  <w:style w:type="paragraph" w:styleId="49">
    <w:name w:val="toc 8"/>
    <w:basedOn w:val="1"/>
    <w:next w:val="1"/>
    <w:qFormat/>
    <w:uiPriority w:val="39"/>
    <w:pPr>
      <w:ind w:left="1960"/>
      <w:jc w:val="left"/>
    </w:pPr>
    <w:rPr>
      <w:szCs w:val="21"/>
    </w:rPr>
  </w:style>
  <w:style w:type="paragraph" w:styleId="50">
    <w:name w:val="index 3"/>
    <w:basedOn w:val="1"/>
    <w:next w:val="1"/>
    <w:qFormat/>
    <w:uiPriority w:val="0"/>
    <w:pPr>
      <w:snapToGrid w:val="0"/>
      <w:ind w:left="840" w:hanging="280"/>
      <w:jc w:val="left"/>
    </w:pPr>
    <w:rPr>
      <w:rFonts w:eastAsia="宋体"/>
      <w:sz w:val="24"/>
      <w:szCs w:val="24"/>
    </w:rPr>
  </w:style>
  <w:style w:type="paragraph" w:styleId="51">
    <w:name w:val="Date"/>
    <w:basedOn w:val="1"/>
    <w:next w:val="1"/>
    <w:link w:val="416"/>
    <w:qFormat/>
    <w:uiPriority w:val="0"/>
    <w:rPr>
      <w:rFonts w:eastAsia="宋体"/>
      <w:sz w:val="24"/>
    </w:rPr>
  </w:style>
  <w:style w:type="paragraph" w:styleId="52">
    <w:name w:val="Body Text Indent 2"/>
    <w:basedOn w:val="1"/>
    <w:link w:val="550"/>
    <w:qFormat/>
    <w:uiPriority w:val="0"/>
    <w:pPr>
      <w:ind w:firstLine="420"/>
    </w:pPr>
    <w:rPr>
      <w:rFonts w:ascii="宋体" w:hAnsi="宋体" w:eastAsia="宋体"/>
      <w:sz w:val="24"/>
    </w:rPr>
  </w:style>
  <w:style w:type="paragraph" w:styleId="53">
    <w:name w:val="endnote text"/>
    <w:basedOn w:val="1"/>
    <w:link w:val="229"/>
    <w:unhideWhenUsed/>
    <w:qFormat/>
    <w:uiPriority w:val="0"/>
    <w:pPr>
      <w:snapToGrid w:val="0"/>
      <w:jc w:val="left"/>
    </w:pPr>
    <w:rPr>
      <w:rFonts w:ascii="Arial" w:hAnsi="Arial" w:eastAsia="黑体"/>
      <w:b/>
      <w:bCs/>
      <w:szCs w:val="28"/>
    </w:rPr>
  </w:style>
  <w:style w:type="paragraph" w:styleId="54">
    <w:name w:val="List Continue 5"/>
    <w:basedOn w:val="1"/>
    <w:qFormat/>
    <w:uiPriority w:val="0"/>
    <w:pPr>
      <w:snapToGrid w:val="0"/>
      <w:spacing w:after="120" w:line="360" w:lineRule="auto"/>
      <w:ind w:left="2100" w:leftChars="1000" w:firstLine="200" w:firstLineChars="200"/>
    </w:pPr>
    <w:rPr>
      <w:rFonts w:eastAsia="宋体"/>
      <w:kern w:val="0"/>
      <w:sz w:val="24"/>
      <w:szCs w:val="28"/>
    </w:rPr>
  </w:style>
  <w:style w:type="paragraph" w:styleId="55">
    <w:name w:val="Balloon Text"/>
    <w:basedOn w:val="1"/>
    <w:link w:val="626"/>
    <w:qFormat/>
    <w:uiPriority w:val="99"/>
    <w:rPr>
      <w:sz w:val="18"/>
      <w:szCs w:val="18"/>
    </w:rPr>
  </w:style>
  <w:style w:type="paragraph" w:styleId="56">
    <w:name w:val="footer"/>
    <w:basedOn w:val="1"/>
    <w:link w:val="401"/>
    <w:qFormat/>
    <w:uiPriority w:val="99"/>
    <w:pPr>
      <w:tabs>
        <w:tab w:val="center" w:pos="4153"/>
        <w:tab w:val="right" w:pos="8306"/>
      </w:tabs>
      <w:snapToGrid w:val="0"/>
      <w:jc w:val="left"/>
    </w:pPr>
    <w:rPr>
      <w:sz w:val="18"/>
    </w:rPr>
  </w:style>
  <w:style w:type="paragraph" w:styleId="57">
    <w:name w:val="envelope return"/>
    <w:basedOn w:val="1"/>
    <w:qFormat/>
    <w:uiPriority w:val="0"/>
    <w:pPr>
      <w:snapToGrid w:val="0"/>
      <w:spacing w:line="360" w:lineRule="auto"/>
      <w:ind w:firstLine="200" w:firstLineChars="200"/>
    </w:pPr>
    <w:rPr>
      <w:rFonts w:ascii="Arial" w:hAnsi="Arial" w:eastAsia="宋体" w:cs="Arial"/>
      <w:kern w:val="0"/>
      <w:sz w:val="24"/>
      <w:szCs w:val="28"/>
    </w:rPr>
  </w:style>
  <w:style w:type="paragraph" w:styleId="58">
    <w:name w:val="header"/>
    <w:basedOn w:val="1"/>
    <w:link w:val="501"/>
    <w:qFormat/>
    <w:uiPriority w:val="0"/>
    <w:pPr>
      <w:pBdr>
        <w:bottom w:val="single" w:color="auto" w:sz="6" w:space="1"/>
      </w:pBdr>
      <w:tabs>
        <w:tab w:val="center" w:pos="4153"/>
        <w:tab w:val="right" w:pos="8306"/>
      </w:tabs>
      <w:snapToGrid w:val="0"/>
      <w:jc w:val="center"/>
    </w:pPr>
    <w:rPr>
      <w:sz w:val="18"/>
    </w:rPr>
  </w:style>
  <w:style w:type="paragraph" w:styleId="59">
    <w:name w:val="Signature"/>
    <w:basedOn w:val="1"/>
    <w:link w:val="648"/>
    <w:qFormat/>
    <w:uiPriority w:val="0"/>
    <w:pPr>
      <w:snapToGrid w:val="0"/>
      <w:spacing w:line="360" w:lineRule="auto"/>
      <w:ind w:left="100" w:leftChars="2100" w:firstLine="200" w:firstLineChars="200"/>
    </w:pPr>
    <w:rPr>
      <w:rFonts w:eastAsia="宋体"/>
      <w:kern w:val="0"/>
      <w:sz w:val="24"/>
      <w:szCs w:val="28"/>
    </w:rPr>
  </w:style>
  <w:style w:type="paragraph" w:styleId="60">
    <w:name w:val="toc 1"/>
    <w:basedOn w:val="1"/>
    <w:next w:val="1"/>
    <w:qFormat/>
    <w:uiPriority w:val="39"/>
    <w:pPr>
      <w:tabs>
        <w:tab w:val="left" w:pos="1120"/>
        <w:tab w:val="right" w:leader="dot" w:pos="8767"/>
      </w:tabs>
      <w:jc w:val="left"/>
    </w:pPr>
    <w:rPr>
      <w:rFonts w:ascii="宋体" w:hAnsi="宋体" w:eastAsia="宋体"/>
      <w:b/>
      <w:bCs/>
      <w:caps/>
      <w:sz w:val="24"/>
      <w:szCs w:val="36"/>
    </w:rPr>
  </w:style>
  <w:style w:type="paragraph" w:styleId="61">
    <w:name w:val="List Continue 4"/>
    <w:basedOn w:val="1"/>
    <w:qFormat/>
    <w:uiPriority w:val="0"/>
    <w:pPr>
      <w:snapToGrid w:val="0"/>
      <w:spacing w:after="120" w:line="360" w:lineRule="auto"/>
      <w:ind w:left="1680" w:leftChars="800" w:firstLine="200" w:firstLineChars="200"/>
    </w:pPr>
    <w:rPr>
      <w:rFonts w:eastAsia="宋体"/>
      <w:kern w:val="0"/>
      <w:sz w:val="24"/>
      <w:szCs w:val="28"/>
    </w:rPr>
  </w:style>
  <w:style w:type="paragraph" w:styleId="62">
    <w:name w:val="toc 4"/>
    <w:basedOn w:val="1"/>
    <w:next w:val="1"/>
    <w:qFormat/>
    <w:uiPriority w:val="39"/>
    <w:pPr>
      <w:ind w:left="840"/>
      <w:jc w:val="left"/>
    </w:pPr>
    <w:rPr>
      <w:szCs w:val="21"/>
    </w:rPr>
  </w:style>
  <w:style w:type="paragraph" w:styleId="63">
    <w:name w:val="index heading"/>
    <w:basedOn w:val="1"/>
    <w:next w:val="64"/>
    <w:qFormat/>
    <w:uiPriority w:val="0"/>
    <w:rPr>
      <w:rFonts w:eastAsia="宋体"/>
      <w:sz w:val="21"/>
      <w:szCs w:val="24"/>
    </w:rPr>
  </w:style>
  <w:style w:type="paragraph" w:styleId="64">
    <w:name w:val="index 1"/>
    <w:basedOn w:val="1"/>
    <w:next w:val="1"/>
    <w:qFormat/>
    <w:uiPriority w:val="0"/>
    <w:pPr>
      <w:jc w:val="center"/>
    </w:pPr>
    <w:rPr>
      <w:rFonts w:eastAsia="宋体"/>
      <w:color w:val="000000"/>
      <w:sz w:val="21"/>
      <w:szCs w:val="24"/>
    </w:rPr>
  </w:style>
  <w:style w:type="paragraph" w:styleId="65">
    <w:name w:val="Subtitle"/>
    <w:basedOn w:val="1"/>
    <w:next w:val="1"/>
    <w:link w:val="1951"/>
    <w:qFormat/>
    <w:uiPriority w:val="0"/>
    <w:pPr>
      <w:spacing w:line="360" w:lineRule="auto"/>
      <w:jc w:val="center"/>
      <w:outlineLvl w:val="1"/>
    </w:pPr>
    <w:rPr>
      <w:rFonts w:ascii="Cambria" w:hAnsi="Cambria" w:eastAsia="黑体"/>
      <w:bCs/>
      <w:kern w:val="28"/>
      <w:sz w:val="24"/>
      <w:szCs w:val="32"/>
    </w:rPr>
  </w:style>
  <w:style w:type="paragraph" w:styleId="66">
    <w:name w:val="List Number 5"/>
    <w:basedOn w:val="1"/>
    <w:qFormat/>
    <w:uiPriority w:val="0"/>
    <w:pPr>
      <w:tabs>
        <w:tab w:val="left" w:pos="360"/>
      </w:tabs>
      <w:snapToGrid w:val="0"/>
      <w:spacing w:line="360" w:lineRule="auto"/>
    </w:pPr>
    <w:rPr>
      <w:rFonts w:eastAsia="宋体"/>
      <w:kern w:val="0"/>
      <w:sz w:val="24"/>
      <w:szCs w:val="28"/>
    </w:rPr>
  </w:style>
  <w:style w:type="paragraph" w:styleId="67">
    <w:name w:val="List"/>
    <w:basedOn w:val="1"/>
    <w:qFormat/>
    <w:uiPriority w:val="0"/>
    <w:pPr>
      <w:autoSpaceDE w:val="0"/>
      <w:autoSpaceDN w:val="0"/>
      <w:adjustRightInd w:val="0"/>
      <w:spacing w:line="480" w:lineRule="exact"/>
      <w:ind w:left="420" w:hanging="420" w:firstLineChars="200"/>
      <w:jc w:val="left"/>
      <w:textAlignment w:val="baseline"/>
    </w:pPr>
    <w:rPr>
      <w:rFonts w:ascii="宋体" w:eastAsia="宋体"/>
      <w:kern w:val="0"/>
      <w:sz w:val="34"/>
    </w:rPr>
  </w:style>
  <w:style w:type="paragraph" w:styleId="68">
    <w:name w:val="footnote text"/>
    <w:basedOn w:val="1"/>
    <w:link w:val="1823"/>
    <w:qFormat/>
    <w:uiPriority w:val="0"/>
    <w:pPr>
      <w:snapToGrid w:val="0"/>
      <w:jc w:val="left"/>
    </w:pPr>
    <w:rPr>
      <w:sz w:val="18"/>
    </w:rPr>
  </w:style>
  <w:style w:type="paragraph" w:styleId="69">
    <w:name w:val="toc 6"/>
    <w:basedOn w:val="1"/>
    <w:next w:val="1"/>
    <w:qFormat/>
    <w:uiPriority w:val="39"/>
    <w:pPr>
      <w:ind w:left="1400"/>
      <w:jc w:val="left"/>
    </w:pPr>
    <w:rPr>
      <w:szCs w:val="21"/>
    </w:rPr>
  </w:style>
  <w:style w:type="paragraph" w:styleId="70">
    <w:name w:val="List 5"/>
    <w:basedOn w:val="1"/>
    <w:qFormat/>
    <w:uiPriority w:val="0"/>
    <w:pPr>
      <w:snapToGrid w:val="0"/>
      <w:spacing w:line="360" w:lineRule="auto"/>
      <w:ind w:left="100" w:leftChars="800" w:hanging="200" w:hangingChars="200"/>
    </w:pPr>
    <w:rPr>
      <w:rFonts w:eastAsia="宋体"/>
      <w:kern w:val="0"/>
      <w:sz w:val="24"/>
      <w:szCs w:val="28"/>
    </w:rPr>
  </w:style>
  <w:style w:type="paragraph" w:styleId="71">
    <w:name w:val="Body Text Indent 3"/>
    <w:basedOn w:val="1"/>
    <w:link w:val="369"/>
    <w:qFormat/>
    <w:uiPriority w:val="0"/>
    <w:pPr>
      <w:ind w:firstLine="424" w:firstLineChars="200"/>
    </w:pPr>
    <w:rPr>
      <w:rFonts w:ascii="宋体" w:hAnsi="宋体" w:eastAsia="宋体"/>
      <w:color w:val="000000"/>
      <w:sz w:val="24"/>
    </w:rPr>
  </w:style>
  <w:style w:type="paragraph" w:styleId="72">
    <w:name w:val="index 7"/>
    <w:basedOn w:val="1"/>
    <w:next w:val="1"/>
    <w:qFormat/>
    <w:uiPriority w:val="0"/>
    <w:pPr>
      <w:snapToGrid w:val="0"/>
      <w:ind w:left="1960" w:hanging="280"/>
      <w:jc w:val="left"/>
    </w:pPr>
    <w:rPr>
      <w:rFonts w:eastAsia="宋体"/>
      <w:sz w:val="24"/>
      <w:szCs w:val="24"/>
    </w:rPr>
  </w:style>
  <w:style w:type="paragraph" w:styleId="73">
    <w:name w:val="index 9"/>
    <w:basedOn w:val="1"/>
    <w:next w:val="1"/>
    <w:qFormat/>
    <w:uiPriority w:val="0"/>
    <w:pPr>
      <w:snapToGrid w:val="0"/>
      <w:ind w:left="2520" w:hanging="280"/>
      <w:jc w:val="left"/>
    </w:pPr>
    <w:rPr>
      <w:rFonts w:eastAsia="宋体"/>
      <w:sz w:val="24"/>
      <w:szCs w:val="24"/>
    </w:rPr>
  </w:style>
  <w:style w:type="paragraph" w:styleId="74">
    <w:name w:val="table of figures"/>
    <w:basedOn w:val="1"/>
    <w:next w:val="1"/>
    <w:qFormat/>
    <w:uiPriority w:val="0"/>
    <w:pPr>
      <w:ind w:firstLine="390"/>
      <w:jc w:val="center"/>
    </w:pPr>
    <w:rPr>
      <w:rFonts w:eastAsia="宋体"/>
      <w:b/>
      <w:bCs/>
      <w:spacing w:val="-8"/>
      <w:kern w:val="0"/>
      <w:sz w:val="21"/>
      <w:szCs w:val="21"/>
    </w:rPr>
  </w:style>
  <w:style w:type="paragraph" w:styleId="75">
    <w:name w:val="toc 2"/>
    <w:basedOn w:val="1"/>
    <w:next w:val="1"/>
    <w:qFormat/>
    <w:uiPriority w:val="39"/>
    <w:pPr>
      <w:tabs>
        <w:tab w:val="left" w:pos="1120"/>
        <w:tab w:val="right" w:leader="dot" w:pos="8767"/>
      </w:tabs>
      <w:spacing w:line="0" w:lineRule="atLeast"/>
      <w:ind w:left="278"/>
      <w:jc w:val="left"/>
    </w:pPr>
    <w:rPr>
      <w:rFonts w:ascii="宋体" w:hAnsi="宋体" w:eastAsia="宋体"/>
      <w:smallCaps/>
      <w:sz w:val="21"/>
      <w:szCs w:val="28"/>
    </w:rPr>
  </w:style>
  <w:style w:type="paragraph" w:styleId="76">
    <w:name w:val="toc 9"/>
    <w:basedOn w:val="1"/>
    <w:next w:val="1"/>
    <w:qFormat/>
    <w:uiPriority w:val="39"/>
    <w:pPr>
      <w:ind w:left="2240"/>
      <w:jc w:val="left"/>
    </w:pPr>
    <w:rPr>
      <w:szCs w:val="21"/>
    </w:rPr>
  </w:style>
  <w:style w:type="paragraph" w:styleId="77">
    <w:name w:val="Body Text 2"/>
    <w:basedOn w:val="1"/>
    <w:link w:val="463"/>
    <w:qFormat/>
    <w:uiPriority w:val="99"/>
    <w:pPr>
      <w:jc w:val="center"/>
    </w:pPr>
    <w:rPr>
      <w:rFonts w:ascii="Arial" w:hAnsi="Arial" w:eastAsia="宋体" w:cs="Arial"/>
      <w:sz w:val="21"/>
    </w:rPr>
  </w:style>
  <w:style w:type="paragraph" w:styleId="78">
    <w:name w:val="List 4"/>
    <w:basedOn w:val="1"/>
    <w:qFormat/>
    <w:uiPriority w:val="0"/>
    <w:pPr>
      <w:spacing w:line="440" w:lineRule="exact"/>
      <w:ind w:left="100" w:leftChars="600" w:hanging="200" w:hangingChars="200"/>
    </w:pPr>
    <w:rPr>
      <w:rFonts w:eastAsia="宋体"/>
      <w:color w:val="000000"/>
      <w:sz w:val="24"/>
      <w:u w:color="FF00FF"/>
    </w:rPr>
  </w:style>
  <w:style w:type="paragraph" w:styleId="79">
    <w:name w:val="List Continue 2"/>
    <w:basedOn w:val="1"/>
    <w:qFormat/>
    <w:uiPriority w:val="0"/>
    <w:pPr>
      <w:snapToGrid w:val="0"/>
      <w:spacing w:after="120" w:line="360" w:lineRule="auto"/>
      <w:ind w:left="840" w:leftChars="400" w:firstLine="200" w:firstLineChars="200"/>
    </w:pPr>
    <w:rPr>
      <w:rFonts w:eastAsia="宋体"/>
      <w:kern w:val="0"/>
      <w:sz w:val="24"/>
      <w:szCs w:val="28"/>
    </w:rPr>
  </w:style>
  <w:style w:type="paragraph" w:styleId="80">
    <w:name w:val="Message Header"/>
    <w:basedOn w:val="1"/>
    <w:link w:val="2572"/>
    <w:qFormat/>
    <w:uiPriority w:val="0"/>
    <w:pPr>
      <w:pBdr>
        <w:top w:val="single" w:color="auto" w:sz="6" w:space="1"/>
        <w:left w:val="single" w:color="auto" w:sz="6" w:space="1"/>
        <w:bottom w:val="single" w:color="auto" w:sz="6" w:space="1"/>
        <w:right w:val="single" w:color="auto" w:sz="6" w:space="1"/>
      </w:pBdr>
      <w:shd w:val="pct20" w:color="auto" w:fill="auto"/>
      <w:snapToGrid w:val="0"/>
      <w:spacing w:line="360" w:lineRule="auto"/>
      <w:ind w:left="1080" w:leftChars="500" w:hanging="1080" w:hangingChars="500"/>
    </w:pPr>
    <w:rPr>
      <w:rFonts w:ascii="Arial" w:hAnsi="Arial" w:eastAsia="宋体"/>
      <w:kern w:val="0"/>
      <w:sz w:val="24"/>
      <w:szCs w:val="24"/>
    </w:rPr>
  </w:style>
  <w:style w:type="paragraph" w:styleId="81">
    <w:name w:val="HTML Preformatted"/>
    <w:basedOn w:val="1"/>
    <w:link w:val="628"/>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s="Courier New"/>
      <w:kern w:val="0"/>
      <w:sz w:val="20"/>
    </w:rPr>
  </w:style>
  <w:style w:type="paragraph" w:styleId="82">
    <w:name w:val="Normal (Web)"/>
    <w:basedOn w:val="1"/>
    <w:qFormat/>
    <w:uiPriority w:val="99"/>
    <w:pPr>
      <w:widowControl/>
      <w:spacing w:before="100" w:beforeAutospacing="1" w:after="100" w:afterAutospacing="1"/>
      <w:jc w:val="left"/>
    </w:pPr>
    <w:rPr>
      <w:rFonts w:ascii="Arial Unicode MS" w:hAnsi="Arial Unicode MS" w:eastAsia="Times New Roman"/>
      <w:kern w:val="0"/>
      <w:sz w:val="24"/>
      <w:szCs w:val="24"/>
    </w:rPr>
  </w:style>
  <w:style w:type="paragraph" w:styleId="83">
    <w:name w:val="List Continue 3"/>
    <w:basedOn w:val="1"/>
    <w:qFormat/>
    <w:uiPriority w:val="0"/>
    <w:pPr>
      <w:snapToGrid w:val="0"/>
      <w:spacing w:after="120" w:line="360" w:lineRule="auto"/>
      <w:ind w:left="1260" w:leftChars="600" w:firstLine="200" w:firstLineChars="200"/>
    </w:pPr>
    <w:rPr>
      <w:rFonts w:eastAsia="宋体"/>
      <w:kern w:val="0"/>
      <w:sz w:val="24"/>
      <w:szCs w:val="28"/>
    </w:rPr>
  </w:style>
  <w:style w:type="paragraph" w:styleId="84">
    <w:name w:val="index 2"/>
    <w:basedOn w:val="1"/>
    <w:next w:val="1"/>
    <w:qFormat/>
    <w:uiPriority w:val="0"/>
    <w:pPr>
      <w:snapToGrid w:val="0"/>
      <w:ind w:left="560" w:hanging="280"/>
      <w:jc w:val="left"/>
    </w:pPr>
    <w:rPr>
      <w:rFonts w:eastAsia="宋体"/>
      <w:sz w:val="24"/>
      <w:szCs w:val="24"/>
    </w:rPr>
  </w:style>
  <w:style w:type="paragraph" w:styleId="85">
    <w:name w:val="Title"/>
    <w:basedOn w:val="6"/>
    <w:next w:val="1"/>
    <w:link w:val="385"/>
    <w:qFormat/>
    <w:uiPriority w:val="0"/>
    <w:pPr>
      <w:tabs>
        <w:tab w:val="left" w:pos="1080"/>
      </w:tabs>
      <w:spacing w:line="413" w:lineRule="auto"/>
      <w:ind w:left="0" w:firstLine="0"/>
    </w:pPr>
    <w:rPr>
      <w:rFonts w:ascii="黑体" w:hAnsi="宋体" w:eastAsia="黑体"/>
      <w:color w:val="0000FF"/>
      <w:szCs w:val="24"/>
    </w:rPr>
  </w:style>
  <w:style w:type="paragraph" w:styleId="86">
    <w:name w:val="annotation subject"/>
    <w:basedOn w:val="28"/>
    <w:next w:val="28"/>
    <w:link w:val="2701"/>
    <w:qFormat/>
    <w:uiPriority w:val="99"/>
    <w:rPr>
      <w:b/>
      <w:bCs/>
    </w:rPr>
  </w:style>
  <w:style w:type="paragraph" w:styleId="87">
    <w:name w:val="Body Text First Indent 2"/>
    <w:basedOn w:val="35"/>
    <w:link w:val="2350"/>
    <w:qFormat/>
    <w:uiPriority w:val="99"/>
    <w:pPr>
      <w:spacing w:after="120"/>
      <w:ind w:left="420" w:leftChars="200" w:firstLine="420" w:firstLineChars="200"/>
    </w:pPr>
    <w:rPr>
      <w:rFonts w:eastAsia="仿宋_GB2312"/>
      <w:sz w:val="28"/>
    </w:rPr>
  </w:style>
  <w:style w:type="table" w:styleId="89">
    <w:name w:val="Table Grid"/>
    <w:basedOn w:val="88"/>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90">
    <w:name w:val="Table Theme"/>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91">
    <w:name w:val="Table Colorful 1"/>
    <w:basedOn w:val="88"/>
    <w:semiHidden/>
    <w:qFormat/>
    <w:uiPriority w:val="0"/>
    <w:pPr>
      <w:widowControl w:val="0"/>
      <w:spacing w:line="490" w:lineRule="exact"/>
      <w:ind w:firstLine="200" w:firstLineChars="20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CellMar>
        <w:top w:w="0" w:type="dxa"/>
        <w:left w:w="108" w:type="dxa"/>
        <w:bottom w:w="0" w:type="dxa"/>
        <w:right w:w="108" w:type="dxa"/>
      </w:tblCellMar>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2">
    <w:name w:val="Table Colorful 2"/>
    <w:basedOn w:val="88"/>
    <w:semiHidden/>
    <w:qFormat/>
    <w:uiPriority w:val="0"/>
    <w:pPr>
      <w:widowControl w:val="0"/>
      <w:spacing w:line="490" w:lineRule="exact"/>
      <w:ind w:firstLine="200" w:firstLineChars="20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bl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3">
    <w:name w:val="Table Colorful 3"/>
    <w:basedOn w:val="88"/>
    <w:semiHidden/>
    <w:qFormat/>
    <w:uiPriority w:val="0"/>
    <w:pPr>
      <w:widowControl w:val="0"/>
      <w:spacing w:line="490" w:lineRule="exact"/>
      <w:ind w:firstLine="200" w:firstLineChars="200"/>
      <w:jc w:val="both"/>
    </w:pPr>
    <w:tblPr>
      <w:tblBorders>
        <w:top w:val="single" w:color="000000" w:sz="18" w:space="0"/>
        <w:left w:val="single" w:color="000000" w:sz="18" w:space="0"/>
        <w:bottom w:val="single" w:color="000000" w:sz="18" w:space="0"/>
        <w:right w:val="single" w:color="000000" w:sz="18" w:space="0"/>
        <w:insideH w:val="single" w:color="C0C0C0" w:sz="6" w:space="0"/>
      </w:tblBorders>
      <w:tblCellMar>
        <w:top w:w="0" w:type="dxa"/>
        <w:left w:w="108" w:type="dxa"/>
        <w:bottom w:w="0" w:type="dxa"/>
        <w:right w:w="108" w:type="dxa"/>
      </w:tblCellMar>
    </w:tblPr>
    <w:tcPr>
      <w:shd w:val="pct25" w:color="008080" w:fill="FFFFFF"/>
    </w:tcPr>
    <w:tblStylePr w:type="firstRow">
      <w:tblPr/>
      <w:tcPr>
        <w:tcBorders>
          <w:top w:val="nil"/>
          <w:left w:val="single" w:color="000000" w:sz="6" w:space="0"/>
          <w:bottom w:val="nil"/>
          <w:right w:val="nil"/>
          <w:insideH w:val="nil"/>
          <w:insideV w:val="nil"/>
          <w:tl2br w:val="nil"/>
          <w:tr2bl w:val="nil"/>
        </w:tcBorders>
        <w:shd w:val="solid" w:color="008080" w:fill="FFFFFF"/>
      </w:tcPr>
    </w:tblStylePr>
    <w:tblStylePr w:type="firstCol">
      <w:tblPr/>
      <w:tcPr>
        <w:tcBorders>
          <w:top w:val="nil"/>
          <w:left w:val="nil"/>
          <w:bottom w:val="single" w:color="000000" w:sz="36" w:space="0"/>
          <w:right w:val="single" w:color="000000"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94">
    <w:name w:val="Table Elegant"/>
    <w:basedOn w:val="88"/>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95">
    <w:name w:val="Table Classic 1"/>
    <w:basedOn w:val="88"/>
    <w:semiHidden/>
    <w:qFormat/>
    <w:uiPriority w:val="0"/>
    <w:pPr>
      <w:widowControl w:val="0"/>
      <w:spacing w:line="490" w:lineRule="exact"/>
      <w:ind w:firstLine="200" w:firstLineChars="20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6">
    <w:name w:val="Table Classic 2"/>
    <w:basedOn w:val="88"/>
    <w:semiHidden/>
    <w:qFormat/>
    <w:uiPriority w:val="0"/>
    <w:pPr>
      <w:widowControl w:val="0"/>
      <w:spacing w:line="490" w:lineRule="exact"/>
      <w:ind w:firstLine="200" w:firstLineChars="20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top w:val="nil"/>
          <w:left w:val="single" w:color="000000" w:sz="6" w:space="0"/>
          <w:bottom w:val="nil"/>
          <w:right w:val="nil"/>
          <w:insideH w:val="nil"/>
          <w:insideV w:val="nil"/>
          <w:tl2br w:val="nil"/>
          <w:tr2bl w:val="nil"/>
        </w:tcBorders>
        <w:shd w:val="solid" w:color="800080" w:fill="FFFFFF"/>
      </w:tcPr>
    </w:tblStylePr>
    <w:tblStylePr w:type="lastRow">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7">
    <w:name w:val="Table Classic 3"/>
    <w:basedOn w:val="88"/>
    <w:semiHidden/>
    <w:qFormat/>
    <w:uiPriority w:val="0"/>
    <w:pPr>
      <w:widowControl w:val="0"/>
      <w:spacing w:line="490" w:lineRule="exact"/>
      <w:ind w:firstLine="200" w:firstLineChars="200"/>
      <w:jc w:val="both"/>
    </w:pPr>
    <w:rPr>
      <w:color w:val="000080"/>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solid" w:color="C0C0C0" w:fill="FFFFFF"/>
    </w:tcPr>
    <w:tblStylePr w:type="firstRow">
      <w:rPr>
        <w:b/>
        <w:bCs/>
        <w:i/>
        <w:iCs/>
        <w:color w:val="FFFFFF"/>
      </w:rPr>
      <w:tblPr/>
      <w:tcPr>
        <w:tcBorders>
          <w:top w:val="nil"/>
          <w:left w:val="single" w:color="000000" w:sz="6" w:space="0"/>
          <w:bottom w:val="nil"/>
          <w:right w:val="nil"/>
          <w:insideH w:val="nil"/>
          <w:insideV w:val="nil"/>
          <w:tl2br w:val="nil"/>
          <w:tr2bl w:val="nil"/>
        </w:tcBorders>
        <w:shd w:val="solid" w:color="000080" w:fill="FFFFFF"/>
      </w:tcPr>
    </w:tblStylePr>
    <w:tblStylePr w:type="lastRow">
      <w:rPr>
        <w:color w:val="000080"/>
      </w:rPr>
      <w:tbl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98">
    <w:name w:val="Table Classic 4"/>
    <w:basedOn w:val="88"/>
    <w:semiHidden/>
    <w:qFormat/>
    <w:uiPriority w:val="0"/>
    <w:pPr>
      <w:widowControl w:val="0"/>
      <w:spacing w:line="490" w:lineRule="exact"/>
      <w:ind w:firstLine="200" w:firstLineChars="200"/>
      <w:jc w:val="both"/>
    </w:pPr>
    <w:tblPr>
      <w:tblBorders>
        <w:top w:val="single" w:color="000000" w:sz="12" w:space="0"/>
        <w:left w:val="single" w:color="000000" w:sz="6" w:space="0"/>
        <w:bottom w:val="single" w:color="000000" w:sz="12" w:space="0"/>
        <w:right w:val="single" w:color="000000" w:sz="6" w:space="0"/>
      </w:tblBorders>
      <w:tblCellMar>
        <w:top w:w="0" w:type="dxa"/>
        <w:left w:w="108" w:type="dxa"/>
        <w:bottom w:w="0" w:type="dxa"/>
        <w:right w:w="108" w:type="dxa"/>
      </w:tblCellMar>
    </w:tblPr>
    <w:tcPr>
      <w:shd w:val="clear" w:color="auto" w:fill="auto"/>
    </w:tcPr>
    <w:tblStylePr w:type="firstRow">
      <w:rPr>
        <w:b/>
        <w:bCs/>
        <w:i/>
        <w:iCs/>
        <w:color w:val="FFFFFF"/>
      </w:rPr>
      <w:tblPr/>
      <w:tcPr>
        <w:tcBorders>
          <w:top w:val="nil"/>
          <w:left w:val="single" w:color="000000" w:sz="6" w:space="0"/>
          <w:bottom w:val="nil"/>
          <w:right w:val="nil"/>
          <w:insideH w:val="nil"/>
          <w:insideV w:val="nil"/>
          <w:tl2br w:val="nil"/>
          <w:tr2bl w:val="nil"/>
        </w:tcBorders>
        <w:shd w:val="pct50" w:color="000080" w:fill="FFFFFF"/>
      </w:tcPr>
    </w:tblStylePr>
    <w:tblStylePr w:type="lastRow">
      <w:rPr>
        <w:color w:val="000080"/>
      </w:rPr>
      <w:tblPr/>
      <w:tcPr>
        <w:tcBorders>
          <w:top w:val="nil"/>
          <w:left w:val="single" w:color="000000" w:sz="6" w:space="0"/>
          <w:bottom w:val="nil"/>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9">
    <w:name w:val="Table Simple 1"/>
    <w:basedOn w:val="88"/>
    <w:qFormat/>
    <w:uiPriority w:val="0"/>
    <w:pPr>
      <w:widowControl w:val="0"/>
      <w:jc w:val="both"/>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100">
    <w:name w:val="Table Simple 2"/>
    <w:basedOn w:val="88"/>
    <w:semiHidden/>
    <w:qFormat/>
    <w:uiPriority w:val="0"/>
    <w:pPr>
      <w:widowControl w:val="0"/>
      <w:spacing w:line="490" w:lineRule="exact"/>
      <w:ind w:firstLine="200" w:firstLineChars="200"/>
      <w:jc w:val="both"/>
    </w:pPr>
    <w:tblPr>
      <w:tblCellMar>
        <w:top w:w="0" w:type="dxa"/>
        <w:left w:w="108" w:type="dxa"/>
        <w:bottom w:w="0" w:type="dxa"/>
        <w:right w:w="108" w:type="dxa"/>
      </w:tblCellMar>
    </w:tblPr>
    <w:tblStylePr w:type="firstRow">
      <w:rPr>
        <w:b/>
        <w:bCs/>
      </w:rPr>
      <w:tblPr/>
      <w:tcPr>
        <w:tcBorders>
          <w:top w:val="nil"/>
          <w:left w:val="single" w:color="000000" w:sz="12" w:space="0"/>
          <w:bottom w:val="nil"/>
          <w:right w:val="nil"/>
          <w:insideH w:val="nil"/>
          <w:insideV w:val="nil"/>
          <w:tl2br w:val="nil"/>
          <w:tr2bl w:val="nil"/>
        </w:tcBorders>
      </w:tcPr>
    </w:tblStylePr>
    <w:tblStylePr w:type="lastRow">
      <w:rPr>
        <w:b/>
        <w:bCs/>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lastCol">
      <w:rPr>
        <w:b/>
        <w:bCs/>
      </w:rPr>
      <w:tblPr/>
      <w:tcPr>
        <w:tcBorders>
          <w:top w:val="nil"/>
          <w:left w:val="nil"/>
          <w:bottom w:val="single" w:color="000000" w:sz="6" w:space="0"/>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1">
    <w:name w:val="Table Simple 3"/>
    <w:basedOn w:val="88"/>
    <w:semiHidden/>
    <w:qFormat/>
    <w:uiPriority w:val="0"/>
    <w:pPr>
      <w:widowControl w:val="0"/>
      <w:spacing w:line="490" w:lineRule="exact"/>
      <w:ind w:firstLine="200" w:firstLineChars="200"/>
      <w:jc w:val="both"/>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02">
    <w:name w:val="Table Subtle 1"/>
    <w:basedOn w:val="88"/>
    <w:semiHidden/>
    <w:qFormat/>
    <w:uiPriority w:val="0"/>
    <w:pPr>
      <w:widowControl w:val="0"/>
      <w:spacing w:line="490" w:lineRule="exact"/>
      <w:ind w:firstLine="200" w:firstLineChars="200"/>
      <w:jc w:val="both"/>
    </w:pPr>
    <w:tblPr>
      <w:tblCellMar>
        <w:top w:w="0" w:type="dxa"/>
        <w:left w:w="108" w:type="dxa"/>
        <w:bottom w:w="0" w:type="dxa"/>
        <w:right w:w="108" w:type="dxa"/>
      </w:tblCellMar>
    </w:tblPr>
    <w:tblStylePr w:type="firstRow">
      <w:tblPr/>
      <w:tcPr>
        <w:tcBorders>
          <w:top w:val="single" w:color="000000" w:sz="6" w:space="0"/>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color="000000" w:sz="12" w:space="0"/>
          <w:insideH w:val="nil"/>
          <w:insideV w:val="nil"/>
          <w:tl2br w:val="nil"/>
          <w:tr2bl w:val="nil"/>
        </w:tcBorders>
      </w:tcPr>
    </w:tblStylePr>
    <w:tblStylePr w:type="lastCol">
      <w:tblPr/>
      <w:tcPr>
        <w:tcBorders>
          <w:top w:val="nil"/>
          <w:left w:val="nil"/>
          <w:bottom w:val="single" w:color="000000" w:sz="12" w:space="0"/>
          <w:right w:val="nil"/>
          <w:insideH w:val="nil"/>
          <w:insideV w:val="nil"/>
          <w:tl2br w:val="nil"/>
          <w:tr2bl w:val="nil"/>
        </w:tcBorders>
      </w:tcPr>
    </w:tblStylePr>
    <w:tblStylePr w:type="band1Horz">
      <w:tblPr/>
      <w:tcPr>
        <w:tcBorders>
          <w:top w:val="nil"/>
          <w:left w:val="single" w:color="000000" w:sz="6" w:space="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3">
    <w:name w:val="Table Subtle 2"/>
    <w:basedOn w:val="88"/>
    <w:semiHidden/>
    <w:qFormat/>
    <w:uiPriority w:val="0"/>
    <w:pPr>
      <w:widowControl w:val="0"/>
      <w:spacing w:line="490" w:lineRule="exact"/>
      <w:ind w:firstLine="200" w:firstLineChars="200"/>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firstCol">
      <w:tblPr/>
      <w:tcPr>
        <w:tcBorders>
          <w:top w:val="nil"/>
          <w:left w:val="nil"/>
          <w:bottom w:val="nil"/>
          <w:right w:val="single" w:color="000000" w:sz="12" w:space="0"/>
          <w:insideH w:val="nil"/>
          <w:insideV w:val="nil"/>
          <w:tl2br w:val="nil"/>
          <w:tr2bl w:val="nil"/>
        </w:tcBorders>
        <w:shd w:val="pct25" w:color="008000" w:fill="FFFFFF"/>
      </w:tcPr>
    </w:tblStylePr>
    <w:tblStylePr w:type="lastCol">
      <w:tblPr/>
      <w:tcPr>
        <w:tcBorders>
          <w:top w:val="nil"/>
          <w:left w:val="nil"/>
          <w:bottom w:val="single" w:color="000000" w:sz="12" w:space="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4">
    <w:name w:val="Table 3D effects 1"/>
    <w:basedOn w:val="88"/>
    <w:semiHidden/>
    <w:qFormat/>
    <w:uiPriority w:val="0"/>
    <w:pPr>
      <w:widowControl w:val="0"/>
      <w:spacing w:line="490" w:lineRule="exact"/>
      <w:ind w:firstLine="200" w:firstLineChars="200"/>
      <w:jc w:val="both"/>
    </w:pPr>
    <w:tblPr>
      <w:tblCellMar>
        <w:top w:w="0" w:type="dxa"/>
        <w:left w:w="108" w:type="dxa"/>
        <w:bottom w:w="0" w:type="dxa"/>
        <w:right w:w="108" w:type="dxa"/>
      </w:tblCellMar>
    </w:tblPr>
    <w:tcPr>
      <w:shd w:val="solid" w:color="C0C0C0" w:fill="FFFFFF"/>
    </w:tcPr>
    <w:tblStylePr w:type="firstRow">
      <w:rPr>
        <w:b/>
        <w:bCs/>
        <w:color w:val="800080"/>
      </w:rPr>
      <w:tblPr/>
      <w:tcPr>
        <w:tcBorders>
          <w:top w:val="nil"/>
          <w:left w:val="single" w:color="808080" w:sz="6" w:space="0"/>
          <w:bottom w:val="nil"/>
          <w:right w:val="nil"/>
          <w:insideH w:val="nil"/>
          <w:insideV w:val="nil"/>
          <w:tl2br w:val="nil"/>
          <w:tr2bl w:val="nil"/>
        </w:tcBorders>
      </w:tcPr>
    </w:tblStylePr>
    <w:tblStylePr w:type="lastRow">
      <w:tblPr/>
      <w:tcPr>
        <w:tcBorders>
          <w:top w:val="single" w:color="FFFFFF"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single" w:color="FFFFFF" w:sz="6" w:space="0"/>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05">
    <w:name w:val="Table 3D effects 2"/>
    <w:basedOn w:val="88"/>
    <w:semiHidden/>
    <w:qFormat/>
    <w:uiPriority w:val="0"/>
    <w:pPr>
      <w:widowControl w:val="0"/>
      <w:spacing w:line="490" w:lineRule="exact"/>
      <w:ind w:firstLine="200" w:firstLineChars="200"/>
      <w:jc w:val="both"/>
    </w:pPr>
    <w:tblPr>
      <w:tblCellMar>
        <w:top w:w="0" w:type="dxa"/>
        <w:left w:w="108" w:type="dxa"/>
        <w:bottom w:w="0" w:type="dxa"/>
        <w:right w:w="108" w:type="dxa"/>
      </w:tblCellMa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6">
    <w:name w:val="Table 3D effects 3"/>
    <w:basedOn w:val="88"/>
    <w:semiHidden/>
    <w:qFormat/>
    <w:uiPriority w:val="0"/>
    <w:pPr>
      <w:widowControl w:val="0"/>
      <w:spacing w:line="490" w:lineRule="exact"/>
      <w:ind w:firstLine="200" w:firstLineChars="200"/>
      <w:jc w:val="both"/>
    </w:pPr>
    <w:tblPr>
      <w:tblCellMar>
        <w:top w:w="0" w:type="dxa"/>
        <w:left w:w="108" w:type="dxa"/>
        <w:bottom w:w="0" w:type="dxa"/>
        <w:right w:w="108" w:type="dxa"/>
      </w:tblCellMar>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7">
    <w:name w:val="Table List 1"/>
    <w:basedOn w:val="88"/>
    <w:semiHidden/>
    <w:qFormat/>
    <w:uiPriority w:val="0"/>
    <w:pPr>
      <w:widowControl w:val="0"/>
      <w:spacing w:line="490" w:lineRule="exact"/>
      <w:ind w:firstLine="200" w:firstLineChars="200"/>
      <w:jc w:val="both"/>
    </w:pPr>
    <w:tblPr>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iCs/>
        <w:color w:val="800000"/>
      </w:rPr>
      <w:tblPr/>
      <w:tcPr>
        <w:tcBorders>
          <w:top w:val="nil"/>
          <w:left w:val="single" w:color="000000" w:sz="6" w:space="0"/>
          <w:bottom w:val="nil"/>
          <w:right w:val="nil"/>
          <w:insideH w:val="nil"/>
          <w:insideV w:val="nil"/>
          <w:tl2br w:val="nil"/>
          <w:tr2bl w:val="nil"/>
        </w:tcBorders>
        <w:shd w:val="solid" w:color="C0C0C0" w:fill="FFFFFF"/>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8">
    <w:name w:val="Table List 2"/>
    <w:basedOn w:val="88"/>
    <w:semiHidden/>
    <w:qFormat/>
    <w:uiPriority w:val="0"/>
    <w:pPr>
      <w:widowControl w:val="0"/>
      <w:spacing w:line="490" w:lineRule="exact"/>
      <w:ind w:firstLine="200" w:firstLineChars="200"/>
      <w:jc w:val="both"/>
    </w:pPr>
    <w:tblPr>
      <w:tblBorders>
        <w:bottom w:val="single" w:color="808080" w:sz="12" w:space="0"/>
      </w:tblBorders>
      <w:tblCellMar>
        <w:top w:w="0" w:type="dxa"/>
        <w:left w:w="108" w:type="dxa"/>
        <w:bottom w:w="0" w:type="dxa"/>
        <w:right w:w="108" w:type="dxa"/>
      </w:tblCellMar>
    </w:tblPr>
    <w:tblStylePr w:type="firstRow">
      <w:rPr>
        <w:b/>
        <w:bCs/>
        <w:color w:val="FFFFFF"/>
      </w:rPr>
      <w:tblPr/>
      <w:tcPr>
        <w:tcBorders>
          <w:top w:val="nil"/>
          <w:left w:val="single" w:color="000000" w:sz="6" w:space="0"/>
          <w:bottom w:val="nil"/>
          <w:right w:val="nil"/>
          <w:insideH w:val="nil"/>
          <w:insideV w:val="nil"/>
          <w:tl2br w:val="nil"/>
          <w:tr2bl w:val="nil"/>
        </w:tcBorders>
        <w:shd w:val="pct75" w:color="008080" w:fill="008000"/>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9">
    <w:name w:val="Table List 3"/>
    <w:basedOn w:val="88"/>
    <w:semiHidden/>
    <w:qFormat/>
    <w:uiPriority w:val="0"/>
    <w:pPr>
      <w:widowControl w:val="0"/>
      <w:spacing w:line="490" w:lineRule="exact"/>
      <w:ind w:firstLine="200" w:firstLineChars="200"/>
      <w:jc w:val="both"/>
    </w:pPr>
    <w:tblPr>
      <w:tblBorders>
        <w:top w:val="single" w:color="000000" w:sz="12" w:space="0"/>
        <w:bottom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000080"/>
      </w:rPr>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110">
    <w:name w:val="Table List 4"/>
    <w:basedOn w:val="88"/>
    <w:semiHidden/>
    <w:qFormat/>
    <w:uiPriority w:val="0"/>
    <w:pPr>
      <w:widowControl w:val="0"/>
      <w:spacing w:line="490" w:lineRule="exact"/>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single" w:color="000000" w:sz="12" w:space="0"/>
          <w:bottom w:val="nil"/>
          <w:right w:val="nil"/>
          <w:insideH w:val="nil"/>
          <w:insideV w:val="nil"/>
          <w:tl2br w:val="nil"/>
          <w:tr2bl w:val="nil"/>
        </w:tcBorders>
        <w:shd w:val="solid" w:color="808080" w:fill="FFFFFF"/>
      </w:tcPr>
    </w:tblStylePr>
  </w:style>
  <w:style w:type="table" w:styleId="111">
    <w:name w:val="Table List 5"/>
    <w:basedOn w:val="88"/>
    <w:semiHidden/>
    <w:qFormat/>
    <w:uiPriority w:val="0"/>
    <w:pPr>
      <w:widowControl w:val="0"/>
      <w:spacing w:line="490" w:lineRule="exact"/>
      <w:ind w:firstLine="200" w:firstLineChars="200"/>
      <w:jc w:val="both"/>
    </w:pPr>
    <w:tblPr>
      <w:tblBorders>
        <w:top w:val="single" w:color="000000" w:sz="6" w:space="0"/>
        <w:left w:val="single" w:color="000000" w:sz="6" w:space="0"/>
        <w:bottom w:val="single" w:color="000000" w:sz="6" w:space="0"/>
        <w:right w:val="single" w:color="000000" w:sz="6" w:space="0"/>
        <w:insideH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op w:val="nil"/>
          <w:left w:val="single" w:color="000000" w:sz="12" w:space="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112">
    <w:name w:val="Table List 6"/>
    <w:basedOn w:val="88"/>
    <w:semiHidden/>
    <w:qFormat/>
    <w:uiPriority w:val="0"/>
    <w:pPr>
      <w:widowControl w:val="0"/>
      <w:spacing w:line="490" w:lineRule="exact"/>
      <w:ind w:firstLine="200" w:firstLineChars="200"/>
      <w:jc w:val="both"/>
    </w:pPr>
    <w:tblPr>
      <w:tblBorders>
        <w:top w:val="single" w:color="000000" w:sz="6" w:space="0"/>
        <w:left w:val="single" w:color="000000" w:sz="6" w:space="0"/>
        <w:bottom w:val="single" w:color="000000" w:sz="6" w:space="0"/>
        <w:right w:val="single" w:color="000000" w:sz="6" w:space="0"/>
      </w:tblBorders>
      <w:tblCellMar>
        <w:top w:w="0" w:type="dxa"/>
        <w:left w:w="108" w:type="dxa"/>
        <w:bottom w:w="0" w:type="dxa"/>
        <w:right w:w="108" w:type="dxa"/>
      </w:tblCellMar>
    </w:tblPr>
    <w:tcPr>
      <w:shd w:val="pct50" w:color="000000" w:fill="FFFFFF"/>
    </w:tcPr>
    <w:tblStylePr w:type="firstRow">
      <w:rPr>
        <w:b/>
        <w:bCs/>
      </w:rPr>
      <w:tblPr/>
      <w:tcPr>
        <w:tcBorders>
          <w:top w:val="nil"/>
          <w:left w:val="single" w:color="000000" w:sz="12" w:space="0"/>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13">
    <w:name w:val="Table List 7"/>
    <w:basedOn w:val="88"/>
    <w:semiHidden/>
    <w:qFormat/>
    <w:uiPriority w:val="0"/>
    <w:pPr>
      <w:widowControl w:val="0"/>
      <w:spacing w:line="490" w:lineRule="exact"/>
      <w:ind w:firstLine="20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bl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114">
    <w:name w:val="Table List 8"/>
    <w:basedOn w:val="88"/>
    <w:semiHidden/>
    <w:qFormat/>
    <w:uiPriority w:val="0"/>
    <w:pPr>
      <w:widowControl w:val="0"/>
      <w:spacing w:line="490" w:lineRule="exact"/>
      <w:ind w:firstLine="200" w:firstLineChars="200"/>
      <w:jc w:val="both"/>
    </w:pPr>
    <w:tblPr>
      <w:tblBorders>
        <w:top w:val="single" w:color="000000" w:sz="6" w:space="0"/>
        <w:left w:val="single" w:color="000000" w:sz="6" w:space="0"/>
        <w:bottom w:val="single" w:color="000000" w:sz="6" w:space="0"/>
        <w:right w:val="single" w:color="000000" w:sz="6" w:space="0"/>
        <w:insideV w:val="single" w:color="000000" w:sz="6" w:space="0"/>
      </w:tblBorders>
      <w:tblCellMar>
        <w:top w:w="0" w:type="dxa"/>
        <w:left w:w="108" w:type="dxa"/>
        <w:bottom w:w="0" w:type="dxa"/>
        <w:right w:w="108" w:type="dxa"/>
      </w:tblCellMar>
    </w:tblPr>
    <w:tblStylePr w:type="firstRow">
      <w:rPr>
        <w:b/>
        <w:bCs/>
        <w:i/>
        <w:iCs/>
      </w:rPr>
      <w:tblPr/>
      <w:tcPr>
        <w:tcBorders>
          <w:top w:val="nil"/>
          <w:left w:val="single" w:color="000000" w:sz="6" w:space="0"/>
          <w:bottom w:val="nil"/>
          <w:right w:val="nil"/>
          <w:insideH w:val="nil"/>
          <w:insideV w:val="nil"/>
          <w:tl2br w:val="nil"/>
          <w:tr2bl w:val="nil"/>
        </w:tcBorders>
        <w:shd w:val="solid" w:color="FFFF00" w:fill="FFFFFF"/>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color="auto" w:sz="6" w:space="0"/>
          <w:tr2bl w:val="nil"/>
        </w:tcBorders>
      </w:tcPr>
    </w:tblStylePr>
  </w:style>
  <w:style w:type="table" w:styleId="115">
    <w:name w:val="Table Contemporary"/>
    <w:basedOn w:val="88"/>
    <w:semiHidden/>
    <w:qFormat/>
    <w:uiPriority w:val="0"/>
    <w:pPr>
      <w:widowControl w:val="0"/>
      <w:spacing w:line="490" w:lineRule="exact"/>
      <w:ind w:firstLine="200" w:firstLineChars="20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16">
    <w:name w:val="Table Columns 1"/>
    <w:basedOn w:val="88"/>
    <w:semiHidden/>
    <w:qFormat/>
    <w:uiPriority w:val="0"/>
    <w:pPr>
      <w:widowControl w:val="0"/>
      <w:spacing w:line="490" w:lineRule="exact"/>
      <w:ind w:firstLine="200" w:firstLineChars="200"/>
      <w:jc w:val="both"/>
    </w:pPr>
    <w:rPr>
      <w:b/>
      <w:bCs/>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blStylePr w:type="firstRow">
      <w:rPr>
        <w:b w:val="0"/>
        <w:bCs w:val="0"/>
      </w:rPr>
      <w:tblPr/>
      <w:tcPr>
        <w:tcBorders>
          <w:top w:val="nil"/>
          <w:left w:val="double" w:color="000000" w:sz="6" w:space="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7">
    <w:name w:val="Table Columns 2"/>
    <w:basedOn w:val="88"/>
    <w:semiHidden/>
    <w:qFormat/>
    <w:uiPriority w:val="0"/>
    <w:pPr>
      <w:widowControl w:val="0"/>
      <w:spacing w:line="490" w:lineRule="exact"/>
      <w:ind w:firstLine="200" w:firstLineChars="200"/>
      <w:jc w:val="both"/>
    </w:pPr>
    <w:rPr>
      <w:b/>
      <w:bCs/>
    </w:rPr>
    <w:tblPr>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8">
    <w:name w:val="Table Columns 3"/>
    <w:basedOn w:val="88"/>
    <w:semiHidden/>
    <w:qFormat/>
    <w:uiPriority w:val="0"/>
    <w:pPr>
      <w:widowControl w:val="0"/>
      <w:spacing w:line="490" w:lineRule="exact"/>
      <w:ind w:firstLine="200" w:firstLineChars="20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color="00008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119">
    <w:name w:val="Table Columns 4"/>
    <w:basedOn w:val="88"/>
    <w:semiHidden/>
    <w:qFormat/>
    <w:uiPriority w:val="0"/>
    <w:pPr>
      <w:widowControl w:val="0"/>
      <w:spacing w:line="490" w:lineRule="exact"/>
      <w:ind w:firstLine="200" w:firstLineChars="200"/>
      <w:jc w:val="both"/>
    </w:pPr>
    <w:tblPr>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0">
    <w:name w:val="Table Columns 5"/>
    <w:basedOn w:val="88"/>
    <w:semiHidden/>
    <w:qFormat/>
    <w:uiPriority w:val="0"/>
    <w:pPr>
      <w:widowControl w:val="0"/>
      <w:spacing w:line="490" w:lineRule="exact"/>
      <w:ind w:firstLine="200" w:firstLineChars="200"/>
      <w:jc w:val="both"/>
    </w:pPr>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top w:val="nil"/>
          <w:left w:val="single" w:color="808080" w:sz="6" w:space="0"/>
          <w:bottom w:val="nil"/>
          <w:right w:val="nil"/>
          <w:insideH w:val="nil"/>
          <w:insideV w:val="nil"/>
          <w:tl2br w:val="nil"/>
          <w:tr2bl w:val="nil"/>
        </w:tcBorders>
      </w:tcPr>
    </w:tblStylePr>
    <w:tblStylePr w:type="lastRow">
      <w:rPr>
        <w:b/>
        <w:bCs/>
      </w:rPr>
      <w:tblPr/>
      <w:tcPr>
        <w:tcBorders>
          <w:top w:val="single" w:color="80808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1">
    <w:name w:val="Table Grid 1"/>
    <w:basedOn w:val="88"/>
    <w:qFormat/>
    <w:uiPriority w:val="0"/>
    <w:pPr>
      <w:widowControl w:val="0"/>
      <w:adjustRightInd w:val="0"/>
      <w:textAlignment w:val="baseline"/>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2">
    <w:name w:val="Table Grid 2"/>
    <w:basedOn w:val="88"/>
    <w:semiHidden/>
    <w:qFormat/>
    <w:uiPriority w:val="0"/>
    <w:pPr>
      <w:widowControl w:val="0"/>
      <w:spacing w:line="490" w:lineRule="exact"/>
      <w:ind w:firstLine="200" w:firstLineChars="200"/>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123">
    <w:name w:val="Table Grid 3"/>
    <w:basedOn w:val="88"/>
    <w:semiHidden/>
    <w:qFormat/>
    <w:uiPriority w:val="0"/>
    <w:pPr>
      <w:widowControl w:val="0"/>
      <w:spacing w:line="490" w:lineRule="exact"/>
      <w:ind w:firstLine="200" w:firstLineChars="200"/>
      <w:jc w:val="both"/>
    </w:pPr>
    <w:tblPr>
      <w:tblBorders>
        <w:top w:val="single" w:color="000000" w:sz="6" w:space="0"/>
        <w:left w:val="single" w:color="000000" w:sz="12" w:space="0"/>
        <w:bottom w:val="single" w:color="000000" w:sz="6"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4">
    <w:name w:val="Table Grid 4"/>
    <w:basedOn w:val="88"/>
    <w:semiHidden/>
    <w:qFormat/>
    <w:uiPriority w:val="0"/>
    <w:pPr>
      <w:widowControl w:val="0"/>
      <w:spacing w:line="490" w:lineRule="exact"/>
      <w:ind w:firstLine="200" w:firstLineChars="200"/>
      <w:jc w:val="both"/>
    </w:pPr>
    <w:tblPr>
      <w:tblBorders>
        <w:left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olor w:val="auto"/>
      </w:rPr>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5">
    <w:name w:val="Table Grid 5"/>
    <w:basedOn w:val="88"/>
    <w:semiHidden/>
    <w:qFormat/>
    <w:uiPriority w:val="0"/>
    <w:pPr>
      <w:widowControl w:val="0"/>
      <w:spacing w:line="490" w:lineRule="exact"/>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6">
    <w:name w:val="Table Grid 6"/>
    <w:basedOn w:val="88"/>
    <w:semiHidden/>
    <w:qFormat/>
    <w:uiPriority w:val="0"/>
    <w:pPr>
      <w:widowControl w:val="0"/>
      <w:spacing w:line="490" w:lineRule="exact"/>
      <w:ind w:firstLine="200" w:firstLineChars="200"/>
      <w:jc w:val="both"/>
    </w:pPr>
    <w:tblPr>
      <w:tblBorders>
        <w:top w:val="single" w:color="000000" w:sz="12" w:space="0"/>
        <w:left w:val="single" w:color="000000" w:sz="12" w:space="0"/>
        <w:bottom w:val="single" w:color="000000" w:sz="12"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7">
    <w:name w:val="Table Grid 7"/>
    <w:basedOn w:val="88"/>
    <w:semiHidden/>
    <w:qFormat/>
    <w:uiPriority w:val="0"/>
    <w:pPr>
      <w:widowControl w:val="0"/>
      <w:spacing w:line="490" w:lineRule="exact"/>
      <w:ind w:firstLine="200" w:firstLineChars="20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val="0"/>
        <w:bCs w:val="0"/>
      </w:rPr>
      <w:tblPr/>
      <w:tcPr>
        <w:tcBorders>
          <w:top w:val="nil"/>
          <w:left w:val="single" w:color="000000" w:sz="12" w:space="0"/>
          <w:bottom w:val="nil"/>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8">
    <w:name w:val="Table Grid 8"/>
    <w:basedOn w:val="88"/>
    <w:semiHidden/>
    <w:qFormat/>
    <w:uiPriority w:val="0"/>
    <w:pPr>
      <w:widowControl w:val="0"/>
      <w:spacing w:line="490" w:lineRule="exact"/>
      <w:ind w:firstLine="200" w:firstLineChars="20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9">
    <w:name w:val="Table Web 1"/>
    <w:basedOn w:val="88"/>
    <w:semiHidden/>
    <w:qFormat/>
    <w:uiPriority w:val="0"/>
    <w:pPr>
      <w:widowControl w:val="0"/>
      <w:spacing w:line="490" w:lineRule="exact"/>
      <w:ind w:firstLine="200" w:firstLineChars="20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0">
    <w:name w:val="Table Web 2"/>
    <w:basedOn w:val="88"/>
    <w:semiHidden/>
    <w:qFormat/>
    <w:uiPriority w:val="0"/>
    <w:pPr>
      <w:widowControl w:val="0"/>
      <w:spacing w:line="490" w:lineRule="exact"/>
      <w:ind w:firstLine="200" w:firstLineChars="20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1">
    <w:name w:val="Table Web 3"/>
    <w:basedOn w:val="88"/>
    <w:semiHidden/>
    <w:qFormat/>
    <w:uiPriority w:val="0"/>
    <w:pPr>
      <w:widowControl w:val="0"/>
      <w:spacing w:line="490" w:lineRule="exact"/>
      <w:ind w:firstLine="200" w:firstLineChars="20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2">
    <w:name w:val="Table Professional"/>
    <w:basedOn w:val="88"/>
    <w:semiHidden/>
    <w:qFormat/>
    <w:uiPriority w:val="0"/>
    <w:pPr>
      <w:widowControl w:val="0"/>
      <w:spacing w:line="490" w:lineRule="exact"/>
      <w:ind w:firstLine="20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134">
    <w:name w:val="Strong"/>
    <w:qFormat/>
    <w:uiPriority w:val="0"/>
    <w:rPr>
      <w:b/>
    </w:rPr>
  </w:style>
  <w:style w:type="character" w:styleId="135">
    <w:name w:val="endnote reference"/>
    <w:unhideWhenUsed/>
    <w:qFormat/>
    <w:uiPriority w:val="0"/>
    <w:rPr>
      <w:vertAlign w:val="superscript"/>
    </w:rPr>
  </w:style>
  <w:style w:type="character" w:styleId="136">
    <w:name w:val="page number"/>
    <w:basedOn w:val="133"/>
    <w:qFormat/>
    <w:uiPriority w:val="0"/>
  </w:style>
  <w:style w:type="character" w:styleId="137">
    <w:name w:val="FollowedHyperlink"/>
    <w:qFormat/>
    <w:uiPriority w:val="99"/>
    <w:rPr>
      <w:color w:val="800080"/>
      <w:u w:val="single"/>
    </w:rPr>
  </w:style>
  <w:style w:type="character" w:styleId="138">
    <w:name w:val="Emphasis"/>
    <w:qFormat/>
    <w:uiPriority w:val="0"/>
    <w:rPr>
      <w:color w:val="CC0000"/>
    </w:rPr>
  </w:style>
  <w:style w:type="character" w:styleId="139">
    <w:name w:val="line number"/>
    <w:basedOn w:val="133"/>
    <w:qFormat/>
    <w:uiPriority w:val="0"/>
  </w:style>
  <w:style w:type="character" w:styleId="140">
    <w:name w:val="HTML Definition"/>
    <w:qFormat/>
    <w:uiPriority w:val="0"/>
    <w:rPr>
      <w:i/>
      <w:iCs/>
    </w:rPr>
  </w:style>
  <w:style w:type="character" w:styleId="141">
    <w:name w:val="HTML Typewriter"/>
    <w:qFormat/>
    <w:uiPriority w:val="0"/>
    <w:rPr>
      <w:rFonts w:ascii="宋体" w:hAnsi="宋体" w:eastAsia="宋体" w:cs="宋体"/>
      <w:sz w:val="24"/>
      <w:szCs w:val="24"/>
    </w:rPr>
  </w:style>
  <w:style w:type="character" w:styleId="142">
    <w:name w:val="HTML Acronym"/>
    <w:basedOn w:val="133"/>
    <w:qFormat/>
    <w:uiPriority w:val="0"/>
  </w:style>
  <w:style w:type="character" w:styleId="143">
    <w:name w:val="HTML Variable"/>
    <w:qFormat/>
    <w:uiPriority w:val="0"/>
    <w:rPr>
      <w:i/>
      <w:iCs/>
    </w:rPr>
  </w:style>
  <w:style w:type="character" w:styleId="144">
    <w:name w:val="Hyperlink"/>
    <w:qFormat/>
    <w:uiPriority w:val="99"/>
    <w:rPr>
      <w:color w:val="0000FF"/>
      <w:u w:val="single"/>
    </w:rPr>
  </w:style>
  <w:style w:type="character" w:styleId="145">
    <w:name w:val="HTML Code"/>
    <w:qFormat/>
    <w:uiPriority w:val="0"/>
    <w:rPr>
      <w:rFonts w:ascii="Courier New" w:hAnsi="Courier New" w:cs="Courier New"/>
      <w:sz w:val="20"/>
      <w:szCs w:val="20"/>
    </w:rPr>
  </w:style>
  <w:style w:type="character" w:styleId="146">
    <w:name w:val="annotation reference"/>
    <w:qFormat/>
    <w:uiPriority w:val="99"/>
    <w:rPr>
      <w:sz w:val="21"/>
    </w:rPr>
  </w:style>
  <w:style w:type="character" w:styleId="147">
    <w:name w:val="HTML Cite"/>
    <w:qFormat/>
    <w:uiPriority w:val="0"/>
    <w:rPr>
      <w:i/>
      <w:iCs/>
    </w:rPr>
  </w:style>
  <w:style w:type="character" w:styleId="148">
    <w:name w:val="footnote reference"/>
    <w:qFormat/>
    <w:uiPriority w:val="0"/>
    <w:rPr>
      <w:vertAlign w:val="superscript"/>
    </w:rPr>
  </w:style>
  <w:style w:type="character" w:styleId="149">
    <w:name w:val="HTML Keyboard"/>
    <w:qFormat/>
    <w:uiPriority w:val="0"/>
    <w:rPr>
      <w:rFonts w:ascii="Courier New" w:hAnsi="Courier New" w:cs="Courier New"/>
      <w:sz w:val="20"/>
      <w:szCs w:val="20"/>
    </w:rPr>
  </w:style>
  <w:style w:type="character" w:styleId="150">
    <w:name w:val="HTML Sample"/>
    <w:qFormat/>
    <w:uiPriority w:val="0"/>
    <w:rPr>
      <w:rFonts w:ascii="Courier New" w:hAnsi="Courier New" w:cs="Courier New"/>
    </w:rPr>
  </w:style>
  <w:style w:type="character" w:customStyle="1" w:styleId="151">
    <w:name w:val="at_4"/>
    <w:qFormat/>
    <w:uiPriority w:val="0"/>
    <w:rPr>
      <w:rFonts w:ascii="宋体" w:hAnsi="宋体" w:eastAsia="Arial" w:cs="宋体"/>
      <w:kern w:val="2"/>
      <w:sz w:val="24"/>
      <w:szCs w:val="24"/>
      <w:lang w:val="en-US" w:eastAsia="zh-CN" w:bidi="ar-SA"/>
    </w:rPr>
  </w:style>
  <w:style w:type="character" w:customStyle="1" w:styleId="152">
    <w:name w:val="Char Char13"/>
    <w:qFormat/>
    <w:uiPriority w:val="0"/>
    <w:rPr>
      <w:rFonts w:eastAsia="宋体"/>
      <w:kern w:val="2"/>
      <w:sz w:val="21"/>
      <w:szCs w:val="24"/>
      <w:lang w:val="en-US" w:eastAsia="zh-CN" w:bidi="ar-SA"/>
    </w:rPr>
  </w:style>
  <w:style w:type="character" w:customStyle="1" w:styleId="153">
    <w:name w:val="图表 Char Char"/>
    <w:link w:val="154"/>
    <w:qFormat/>
    <w:uiPriority w:val="0"/>
    <w:rPr>
      <w:rFonts w:eastAsia="宋体"/>
      <w:szCs w:val="24"/>
      <w:lang w:bidi="ar-SA"/>
    </w:rPr>
  </w:style>
  <w:style w:type="paragraph" w:customStyle="1" w:styleId="154">
    <w:name w:val="图表"/>
    <w:basedOn w:val="1"/>
    <w:link w:val="153"/>
    <w:qFormat/>
    <w:uiPriority w:val="0"/>
    <w:pPr>
      <w:jc w:val="center"/>
    </w:pPr>
    <w:rPr>
      <w:rFonts w:eastAsia="宋体"/>
      <w:kern w:val="0"/>
      <w:sz w:val="20"/>
      <w:szCs w:val="24"/>
    </w:rPr>
  </w:style>
  <w:style w:type="character" w:customStyle="1" w:styleId="155">
    <w:name w:val="标题1.1.1.1.1.1 Char"/>
    <w:qFormat/>
    <w:uiPriority w:val="0"/>
    <w:rPr>
      <w:rFonts w:ascii="Arial" w:hAnsi="Arial" w:eastAsia="黑体"/>
      <w:b/>
      <w:bCs/>
      <w:kern w:val="2"/>
      <w:sz w:val="24"/>
      <w:szCs w:val="24"/>
      <w:lang w:val="en-US" w:eastAsia="zh-CN" w:bidi="ar-SA"/>
    </w:rPr>
  </w:style>
  <w:style w:type="character" w:customStyle="1" w:styleId="156">
    <w:name w:val="1正文段落 Char"/>
    <w:link w:val="157"/>
    <w:qFormat/>
    <w:uiPriority w:val="0"/>
    <w:rPr>
      <w:snapToGrid/>
      <w:sz w:val="24"/>
      <w:szCs w:val="24"/>
      <w:lang w:bidi="ar-SA"/>
    </w:rPr>
  </w:style>
  <w:style w:type="paragraph" w:customStyle="1" w:styleId="157">
    <w:name w:val="1正文段落"/>
    <w:basedOn w:val="1"/>
    <w:link w:val="156"/>
    <w:qFormat/>
    <w:uiPriority w:val="0"/>
    <w:pPr>
      <w:spacing w:line="360" w:lineRule="auto"/>
      <w:ind w:firstLine="480" w:firstLineChars="200"/>
      <w:jc w:val="left"/>
    </w:pPr>
    <w:rPr>
      <w:rFonts w:eastAsia="宋体"/>
      <w:kern w:val="0"/>
      <w:sz w:val="24"/>
      <w:szCs w:val="24"/>
    </w:rPr>
  </w:style>
  <w:style w:type="character" w:customStyle="1" w:styleId="158">
    <w:name w:val="正文文档 Char"/>
    <w:link w:val="159"/>
    <w:qFormat/>
    <w:uiPriority w:val="0"/>
    <w:rPr>
      <w:sz w:val="24"/>
      <w:szCs w:val="24"/>
      <w:lang w:bidi="ar-SA"/>
    </w:rPr>
  </w:style>
  <w:style w:type="paragraph" w:customStyle="1" w:styleId="159">
    <w:name w:val="正文文档"/>
    <w:basedOn w:val="1"/>
    <w:link w:val="158"/>
    <w:qFormat/>
    <w:uiPriority w:val="0"/>
    <w:pPr>
      <w:spacing w:line="360" w:lineRule="auto"/>
      <w:ind w:firstLine="480" w:firstLineChars="200"/>
    </w:pPr>
    <w:rPr>
      <w:rFonts w:eastAsia="Times New Roman"/>
      <w:kern w:val="0"/>
      <w:sz w:val="24"/>
      <w:szCs w:val="24"/>
    </w:rPr>
  </w:style>
  <w:style w:type="character" w:customStyle="1" w:styleId="160">
    <w:name w:val="标题章 Char"/>
    <w:qFormat/>
    <w:uiPriority w:val="0"/>
    <w:rPr>
      <w:rFonts w:eastAsia="宋体"/>
      <w:b/>
      <w:kern w:val="44"/>
      <w:sz w:val="36"/>
      <w:lang w:bidi="ar-SA"/>
    </w:rPr>
  </w:style>
  <w:style w:type="character" w:customStyle="1" w:styleId="161">
    <w:name w:val="news1"/>
    <w:qFormat/>
    <w:uiPriority w:val="0"/>
    <w:rPr>
      <w:sz w:val="20"/>
      <w:szCs w:val="20"/>
    </w:rPr>
  </w:style>
  <w:style w:type="character" w:customStyle="1" w:styleId="162">
    <w:name w:val="无页眉 Char1"/>
    <w:qFormat/>
    <w:uiPriority w:val="99"/>
    <w:rPr>
      <w:rFonts w:eastAsia="仿宋_GB2312"/>
      <w:kern w:val="2"/>
      <w:sz w:val="18"/>
      <w:lang w:val="en-US" w:eastAsia="zh-CN" w:bidi="ar-SA"/>
    </w:rPr>
  </w:style>
  <w:style w:type="character" w:customStyle="1" w:styleId="163">
    <w:name w:val="3标题(治) Char"/>
    <w:link w:val="164"/>
    <w:qFormat/>
    <w:uiPriority w:val="0"/>
    <w:rPr>
      <w:rFonts w:eastAsia="宋体"/>
      <w:b/>
      <w:kern w:val="2"/>
      <w:sz w:val="28"/>
      <w:szCs w:val="28"/>
      <w:lang w:val="zh-CN" w:bidi="ar-SA"/>
    </w:rPr>
  </w:style>
  <w:style w:type="paragraph" w:customStyle="1" w:styleId="164">
    <w:name w:val="3标题(治)"/>
    <w:basedOn w:val="6"/>
    <w:link w:val="163"/>
    <w:qFormat/>
    <w:uiPriority w:val="0"/>
    <w:pPr>
      <w:tabs>
        <w:tab w:val="left" w:pos="142"/>
        <w:tab w:val="left" w:pos="284"/>
        <w:tab w:val="left" w:pos="709"/>
        <w:tab w:val="left" w:pos="1134"/>
      </w:tabs>
      <w:adjustRightInd w:val="0"/>
      <w:snapToGrid w:val="0"/>
      <w:spacing w:before="0" w:after="0" w:line="500" w:lineRule="exact"/>
      <w:ind w:left="1518" w:hanging="1518" w:hangingChars="540"/>
      <w:jc w:val="left"/>
      <w:textAlignment w:val="baseline"/>
    </w:pPr>
    <w:rPr>
      <w:rFonts w:ascii="Times New Roman" w:eastAsia="宋体"/>
      <w:bCs w:val="0"/>
      <w:sz w:val="28"/>
      <w:szCs w:val="28"/>
      <w:lang w:val="zh-CN"/>
    </w:rPr>
  </w:style>
  <w:style w:type="character" w:customStyle="1" w:styleId="165">
    <w:name w:val="正文文字缩进 2 Char3"/>
    <w:qFormat/>
    <w:uiPriority w:val="0"/>
    <w:rPr>
      <w:rFonts w:ascii="宋体" w:hAnsi="宋体"/>
      <w:kern w:val="2"/>
      <w:sz w:val="24"/>
    </w:rPr>
  </w:style>
  <w:style w:type="character" w:customStyle="1" w:styleId="166">
    <w:name w:val="报告正文 Char"/>
    <w:qFormat/>
    <w:uiPriority w:val="0"/>
    <w:rPr>
      <w:rFonts w:eastAsia="宋体"/>
      <w:color w:val="000000"/>
      <w:kern w:val="2"/>
      <w:sz w:val="24"/>
      <w:szCs w:val="24"/>
      <w:lang w:val="en-US" w:eastAsia="zh-CN" w:bidi="ar-SA"/>
    </w:rPr>
  </w:style>
  <w:style w:type="character" w:customStyle="1" w:styleId="167">
    <w:name w:val="Char Char8"/>
    <w:qFormat/>
    <w:uiPriority w:val="0"/>
    <w:rPr>
      <w:rFonts w:eastAsia="宋体"/>
      <w:kern w:val="2"/>
      <w:sz w:val="21"/>
      <w:szCs w:val="24"/>
      <w:lang w:val="en-US" w:eastAsia="zh-CN" w:bidi="ar-SA"/>
    </w:rPr>
  </w:style>
  <w:style w:type="character" w:customStyle="1" w:styleId="168">
    <w:name w:val="表格标题2 Char"/>
    <w:link w:val="169"/>
    <w:qFormat/>
    <w:uiPriority w:val="0"/>
    <w:rPr>
      <w:rFonts w:ascii="Arial" w:hAnsi="Arial" w:eastAsia="黑体"/>
      <w:b/>
      <w:sz w:val="24"/>
      <w:lang w:val="en-US" w:eastAsia="zh-CN" w:bidi="ar-SA"/>
    </w:rPr>
  </w:style>
  <w:style w:type="paragraph" w:customStyle="1" w:styleId="169">
    <w:name w:val="表格标题2"/>
    <w:basedOn w:val="1"/>
    <w:link w:val="168"/>
    <w:qFormat/>
    <w:uiPriority w:val="0"/>
    <w:pPr>
      <w:keepNext/>
      <w:widowControl/>
      <w:overflowPunct w:val="0"/>
      <w:adjustRightInd w:val="0"/>
      <w:snapToGrid w:val="0"/>
      <w:spacing w:before="360" w:after="120" w:line="480" w:lineRule="exact"/>
      <w:jc w:val="center"/>
      <w:textAlignment w:val="baseline"/>
    </w:pPr>
    <w:rPr>
      <w:rFonts w:ascii="Arial" w:hAnsi="Arial" w:eastAsia="黑体"/>
      <w:b/>
      <w:kern w:val="0"/>
      <w:sz w:val="24"/>
    </w:rPr>
  </w:style>
  <w:style w:type="character" w:customStyle="1" w:styleId="170">
    <w:name w:val="表头 Char2"/>
    <w:qFormat/>
    <w:uiPriority w:val="0"/>
    <w:rPr>
      <w:rFonts w:ascii="宋体"/>
      <w:spacing w:val="10"/>
      <w:sz w:val="24"/>
      <w:lang w:val="en-US" w:eastAsia="zh-CN" w:bidi="ar-SA"/>
    </w:rPr>
  </w:style>
  <w:style w:type="character" w:customStyle="1" w:styleId="171">
    <w:name w:val="正文首行缩进 Char2 Char"/>
    <w:qFormat/>
    <w:uiPriority w:val="0"/>
    <w:rPr>
      <w:rFonts w:ascii="宋体" w:hAnsi="Times New Roman" w:eastAsia="宋体" w:cs="Times New Roman"/>
      <w:kern w:val="2"/>
      <w:sz w:val="24"/>
      <w:szCs w:val="20"/>
      <w:lang w:val="en-US" w:eastAsia="zh-CN" w:bidi="ar-SA"/>
    </w:rPr>
  </w:style>
  <w:style w:type="character" w:customStyle="1" w:styleId="172">
    <w:name w:val="样式 题注 + 首行缩进:  2 字符 Char"/>
    <w:semiHidden/>
    <w:qFormat/>
    <w:uiPriority w:val="0"/>
    <w:rPr>
      <w:rFonts w:ascii="Arial" w:hAnsi="Arial" w:eastAsia="黑体" w:cs="宋体"/>
      <w:bCs/>
      <w:snapToGrid/>
      <w:sz w:val="21"/>
      <w:szCs w:val="28"/>
      <w:lang w:val="en-US" w:eastAsia="zh-CN" w:bidi="ar-SA"/>
    </w:rPr>
  </w:style>
  <w:style w:type="character" w:customStyle="1" w:styleId="173">
    <w:name w:val="tit"/>
    <w:basedOn w:val="133"/>
    <w:qFormat/>
    <w:uiPriority w:val="0"/>
  </w:style>
  <w:style w:type="character" w:customStyle="1" w:styleId="174">
    <w:name w:val="HTML Markup"/>
    <w:qFormat/>
    <w:uiPriority w:val="0"/>
    <w:rPr>
      <w:vanish/>
      <w:color w:val="FF0000"/>
    </w:rPr>
  </w:style>
  <w:style w:type="character" w:customStyle="1" w:styleId="175">
    <w:name w:val="题注 Char Char"/>
    <w:qFormat/>
    <w:uiPriority w:val="0"/>
    <w:rPr>
      <w:rFonts w:ascii="Arial" w:hAnsi="Arial" w:eastAsia="黑体" w:cs="Arial"/>
      <w:kern w:val="2"/>
    </w:rPr>
  </w:style>
  <w:style w:type="character" w:customStyle="1" w:styleId="176">
    <w:name w:val="lux 表格 标题 Char Char"/>
    <w:link w:val="177"/>
    <w:qFormat/>
    <w:uiPriority w:val="0"/>
    <w:rPr>
      <w:rFonts w:eastAsia="黑体"/>
      <w:bCs/>
      <w:kern w:val="2"/>
      <w:sz w:val="24"/>
      <w:szCs w:val="21"/>
      <w:lang w:val="en-US" w:eastAsia="zh-CN" w:bidi="ar-SA"/>
    </w:rPr>
  </w:style>
  <w:style w:type="paragraph" w:customStyle="1" w:styleId="177">
    <w:name w:val="lux 表格 标题"/>
    <w:next w:val="1"/>
    <w:link w:val="176"/>
    <w:qFormat/>
    <w:uiPriority w:val="0"/>
    <w:pPr>
      <w:spacing w:beforeLines="50" w:afterLines="50" w:line="360" w:lineRule="auto"/>
      <w:ind w:firstLine="482"/>
      <w:jc w:val="center"/>
    </w:pPr>
    <w:rPr>
      <w:rFonts w:ascii="Times New Roman" w:hAnsi="Times New Roman" w:eastAsia="黑体" w:cs="Times New Roman"/>
      <w:bCs/>
      <w:kern w:val="2"/>
      <w:sz w:val="24"/>
      <w:szCs w:val="21"/>
      <w:lang w:val="en-US" w:eastAsia="zh-CN" w:bidi="ar-SA"/>
    </w:rPr>
  </w:style>
  <w:style w:type="character" w:customStyle="1" w:styleId="178">
    <w:name w:val="样式 正文缩进首行缩进两字标题4正文不缩进s4正文（首行缩进两字） Char Char Char Char Char ... Char Char"/>
    <w:qFormat/>
    <w:uiPriority w:val="0"/>
    <w:rPr>
      <w:rFonts w:ascii="Arial" w:hAnsi="Arial" w:eastAsia="宋体" w:cs="Arial"/>
      <w:color w:val="000000"/>
      <w:spacing w:val="10"/>
      <w:kern w:val="2"/>
      <w:sz w:val="24"/>
      <w:szCs w:val="24"/>
      <w:lang w:val="en-US" w:eastAsia="zh-CN" w:bidi="ar-SA"/>
    </w:rPr>
  </w:style>
  <w:style w:type="character" w:customStyle="1" w:styleId="179">
    <w:name w:val="text11"/>
    <w:semiHidden/>
    <w:qFormat/>
    <w:uiPriority w:val="0"/>
    <w:rPr>
      <w:sz w:val="18"/>
      <w:szCs w:val="18"/>
    </w:rPr>
  </w:style>
  <w:style w:type="character" w:customStyle="1" w:styleId="180">
    <w:name w:val="正文首行缩进2个字 Char Char"/>
    <w:link w:val="181"/>
    <w:qFormat/>
    <w:uiPriority w:val="0"/>
    <w:rPr>
      <w:rFonts w:ascii="宋体" w:hAnsi="宋体" w:eastAsia="宋体" w:cs="宋体"/>
      <w:kern w:val="2"/>
      <w:sz w:val="24"/>
      <w:szCs w:val="24"/>
      <w:lang w:val="en-US" w:eastAsia="zh-CN" w:bidi="ar-SA"/>
    </w:rPr>
  </w:style>
  <w:style w:type="paragraph" w:customStyle="1" w:styleId="181">
    <w:name w:val="正文首行缩进2个字"/>
    <w:basedOn w:val="1"/>
    <w:link w:val="180"/>
    <w:qFormat/>
    <w:uiPriority w:val="0"/>
    <w:pPr>
      <w:spacing w:line="360" w:lineRule="auto"/>
      <w:ind w:firstLine="480" w:firstLineChars="200"/>
    </w:pPr>
    <w:rPr>
      <w:rFonts w:ascii="宋体" w:hAnsi="宋体" w:eastAsia="宋体" w:cs="宋体"/>
      <w:sz w:val="24"/>
      <w:szCs w:val="24"/>
    </w:rPr>
  </w:style>
  <w:style w:type="character" w:customStyle="1" w:styleId="182">
    <w:name w:val="标题 3 Char Char3"/>
    <w:qFormat/>
    <w:uiPriority w:val="0"/>
    <w:rPr>
      <w:rFonts w:eastAsia="宋体"/>
      <w:b/>
      <w:bCs/>
      <w:kern w:val="2"/>
      <w:sz w:val="28"/>
      <w:lang w:val="en-US" w:eastAsia="zh-CN" w:bidi="ar-SA"/>
    </w:rPr>
  </w:style>
  <w:style w:type="character" w:customStyle="1" w:styleId="183">
    <w:name w:val="样式 (中文) 仿宋_GB2312 小三"/>
    <w:semiHidden/>
    <w:qFormat/>
    <w:uiPriority w:val="0"/>
    <w:rPr>
      <w:rFonts w:eastAsia="仿宋_GB2312"/>
      <w:sz w:val="28"/>
    </w:rPr>
  </w:style>
  <w:style w:type="character" w:customStyle="1" w:styleId="184">
    <w:name w:val="large1"/>
    <w:qFormat/>
    <w:uiPriority w:val="0"/>
    <w:rPr>
      <w:rFonts w:hint="eastAsia" w:ascii="宋体" w:hAnsi="宋体" w:eastAsia="宋体"/>
      <w:sz w:val="30"/>
      <w:szCs w:val="30"/>
    </w:rPr>
  </w:style>
  <w:style w:type="character" w:customStyle="1" w:styleId="185">
    <w:name w:val="样式 (中文) 黑体 小四 加粗"/>
    <w:qFormat/>
    <w:uiPriority w:val="0"/>
    <w:rPr>
      <w:rFonts w:eastAsia="黑体"/>
      <w:bCs/>
      <w:sz w:val="24"/>
    </w:rPr>
  </w:style>
  <w:style w:type="character" w:customStyle="1" w:styleId="186">
    <w:name w:val="表题 Char Char Char"/>
    <w:link w:val="187"/>
    <w:qFormat/>
    <w:uiPriority w:val="0"/>
    <w:rPr>
      <w:rFonts w:ascii="黑体" w:hAnsi="宋体" w:eastAsia="黑体" w:cs="宋体"/>
      <w:bCs/>
      <w:sz w:val="24"/>
      <w:szCs w:val="24"/>
      <w:lang w:val="en-US" w:eastAsia="zh-CN" w:bidi="ar-SA"/>
    </w:rPr>
  </w:style>
  <w:style w:type="paragraph" w:customStyle="1" w:styleId="187">
    <w:name w:val="表题 Char Char"/>
    <w:basedOn w:val="1"/>
    <w:link w:val="186"/>
    <w:qFormat/>
    <w:uiPriority w:val="0"/>
    <w:pPr>
      <w:widowControl/>
      <w:spacing w:line="360" w:lineRule="auto"/>
      <w:jc w:val="center"/>
    </w:pPr>
    <w:rPr>
      <w:rFonts w:ascii="黑体" w:hAnsi="宋体" w:eastAsia="黑体" w:cs="宋体"/>
      <w:bCs/>
      <w:kern w:val="0"/>
      <w:sz w:val="24"/>
      <w:szCs w:val="24"/>
    </w:rPr>
  </w:style>
  <w:style w:type="character" w:customStyle="1" w:styleId="188">
    <w:name w:val="宗兴正文 Char"/>
    <w:link w:val="189"/>
    <w:qFormat/>
    <w:uiPriority w:val="0"/>
    <w:rPr>
      <w:rFonts w:eastAsia="宋体"/>
      <w:kern w:val="2"/>
      <w:sz w:val="24"/>
      <w:szCs w:val="24"/>
      <w:lang w:bidi="ar-SA"/>
    </w:rPr>
  </w:style>
  <w:style w:type="paragraph" w:customStyle="1" w:styleId="189">
    <w:name w:val="宗兴正文"/>
    <w:basedOn w:val="1"/>
    <w:link w:val="188"/>
    <w:qFormat/>
    <w:uiPriority w:val="0"/>
    <w:pPr>
      <w:spacing w:before="93" w:after="93" w:line="360" w:lineRule="auto"/>
      <w:ind w:firstLine="480" w:firstLineChars="200"/>
    </w:pPr>
    <w:rPr>
      <w:rFonts w:eastAsia="宋体"/>
      <w:sz w:val="24"/>
      <w:szCs w:val="24"/>
    </w:rPr>
  </w:style>
  <w:style w:type="character" w:customStyle="1" w:styleId="190">
    <w:name w:val="章节标题 Char"/>
    <w:qFormat/>
    <w:uiPriority w:val="0"/>
    <w:rPr>
      <w:rFonts w:eastAsia="楷体_GB2312"/>
      <w:b/>
      <w:bCs/>
      <w:kern w:val="44"/>
      <w:sz w:val="44"/>
      <w:szCs w:val="44"/>
      <w:lang w:val="en-US" w:eastAsia="zh-CN" w:bidi="ar-SA"/>
    </w:rPr>
  </w:style>
  <w:style w:type="character" w:customStyle="1" w:styleId="191">
    <w:name w:val="样式 7表格(治) + (中文) 黑体 加粗 Char"/>
    <w:link w:val="192"/>
    <w:qFormat/>
    <w:uiPriority w:val="0"/>
    <w:rPr>
      <w:rFonts w:eastAsia="宋体"/>
      <w:bCs/>
      <w:color w:val="000000"/>
      <w:kern w:val="2"/>
      <w:sz w:val="24"/>
      <w:lang w:bidi="ar-SA"/>
    </w:rPr>
  </w:style>
  <w:style w:type="paragraph" w:customStyle="1" w:styleId="192">
    <w:name w:val="样式 7表格(治) + (中文) 黑体 加粗"/>
    <w:basedOn w:val="193"/>
    <w:link w:val="191"/>
    <w:qFormat/>
    <w:uiPriority w:val="0"/>
    <w:rPr>
      <w:rFonts w:hAnsi="Times New Roman" w:eastAsia="宋体"/>
      <w:bCs/>
      <w:kern w:val="2"/>
      <w:szCs w:val="20"/>
    </w:rPr>
  </w:style>
  <w:style w:type="paragraph" w:customStyle="1" w:styleId="193">
    <w:name w:val="7表格(治)"/>
    <w:link w:val="531"/>
    <w:qFormat/>
    <w:uiPriority w:val="0"/>
    <w:pPr>
      <w:spacing w:line="440" w:lineRule="exact"/>
      <w:ind w:firstLine="600" w:firstLineChars="250"/>
    </w:pPr>
    <w:rPr>
      <w:rFonts w:ascii="Times New Roman" w:hAnsi="宋体" w:eastAsia="Times New Roman" w:cs="Times New Roman"/>
      <w:color w:val="000000"/>
      <w:sz w:val="24"/>
      <w:szCs w:val="24"/>
      <w:lang w:val="en-US" w:eastAsia="zh-CN" w:bidi="ar-SA"/>
    </w:rPr>
  </w:style>
  <w:style w:type="character" w:customStyle="1" w:styleId="194">
    <w:name w:val="Job"/>
    <w:basedOn w:val="133"/>
    <w:qFormat/>
    <w:uiPriority w:val="0"/>
  </w:style>
  <w:style w:type="character" w:customStyle="1" w:styleId="195">
    <w:name w:val="标题（一） Char"/>
    <w:qFormat/>
    <w:uiPriority w:val="0"/>
    <w:rPr>
      <w:rFonts w:eastAsia="仿宋_GB2312"/>
      <w:b/>
      <w:bCs/>
      <w:kern w:val="2"/>
      <w:sz w:val="21"/>
      <w:szCs w:val="28"/>
      <w:lang w:val="en-US" w:eastAsia="zh-CN" w:bidi="ar-SA"/>
    </w:rPr>
  </w:style>
  <w:style w:type="character" w:customStyle="1" w:styleId="196">
    <w:name w:val="标题 2 Char Char1"/>
    <w:qFormat/>
    <w:uiPriority w:val="0"/>
    <w:rPr>
      <w:rFonts w:ascii="黑体" w:hAnsi="Arial" w:eastAsia="黑体"/>
      <w:kern w:val="2"/>
      <w:sz w:val="28"/>
      <w:lang w:bidi="ar-SA"/>
    </w:rPr>
  </w:style>
  <w:style w:type="character" w:customStyle="1" w:styleId="197">
    <w:name w:val="样式 标题 4款标题1.1.1.1标题 4 Char Char标题 4 Char四表格1目H4H41L4Mi...3 Char"/>
    <w:link w:val="198"/>
    <w:qFormat/>
    <w:uiPriority w:val="0"/>
    <w:rPr>
      <w:rFonts w:ascii="宋体" w:hAnsi="宋体" w:eastAsia="宋体" w:cs="宋体"/>
      <w:b/>
      <w:bCs/>
      <w:color w:val="000000"/>
      <w:kern w:val="2"/>
      <w:sz w:val="24"/>
      <w:szCs w:val="24"/>
      <w:lang w:val="en-US" w:eastAsia="zh-CN" w:bidi="ar-SA"/>
    </w:rPr>
  </w:style>
  <w:style w:type="paragraph" w:customStyle="1" w:styleId="198">
    <w:name w:val="样式 标题 4款标题1.1.1.1标题 4 Char Char标题 4 Char四表格1目H4H41L4Mi...3"/>
    <w:basedOn w:val="7"/>
    <w:link w:val="197"/>
    <w:qFormat/>
    <w:uiPriority w:val="0"/>
    <w:pPr>
      <w:keepLines w:val="0"/>
      <w:adjustRightInd w:val="0"/>
      <w:snapToGrid w:val="0"/>
      <w:spacing w:line="360" w:lineRule="auto"/>
      <w:ind w:left="1334" w:leftChars="200"/>
      <w:textAlignment w:val="baseline"/>
    </w:pPr>
    <w:rPr>
      <w:rFonts w:ascii="宋体" w:hAnsi="宋体" w:eastAsia="宋体"/>
      <w:bCs/>
      <w:kern w:val="0"/>
    </w:rPr>
  </w:style>
  <w:style w:type="character" w:customStyle="1" w:styleId="199">
    <w:name w:val="标题 4 Char Char Char"/>
    <w:qFormat/>
    <w:uiPriority w:val="0"/>
    <w:rPr>
      <w:rFonts w:ascii="Arial" w:hAnsi="Arial" w:eastAsia="仿宋_GB2312"/>
      <w:b/>
      <w:color w:val="000000"/>
      <w:kern w:val="2"/>
      <w:sz w:val="24"/>
      <w:lang w:bidi="ar-SA"/>
    </w:rPr>
  </w:style>
  <w:style w:type="character" w:customStyle="1" w:styleId="200">
    <w:name w:val="原文22"/>
    <w:semiHidden/>
    <w:qFormat/>
    <w:uiPriority w:val="0"/>
    <w:rPr>
      <w:rFonts w:ascii="Times New Roman" w:hAnsi="Times New Roman"/>
      <w:color w:val="0000FF"/>
      <w:kern w:val="22"/>
      <w:sz w:val="22"/>
    </w:rPr>
  </w:style>
  <w:style w:type="character" w:customStyle="1" w:styleId="201">
    <w:name w:val="正文文字 2 Char"/>
    <w:qFormat/>
    <w:uiPriority w:val="0"/>
    <w:rPr>
      <w:rFonts w:ascii="Arial" w:hAnsi="Arial" w:eastAsia="宋体" w:cs="Arial"/>
      <w:kern w:val="2"/>
      <w:sz w:val="21"/>
      <w:lang w:val="en-US" w:eastAsia="zh-CN" w:bidi="ar-SA"/>
    </w:rPr>
  </w:style>
  <w:style w:type="character" w:customStyle="1" w:styleId="202">
    <w:name w:val="Char Char37"/>
    <w:qFormat/>
    <w:uiPriority w:val="0"/>
    <w:rPr>
      <w:rFonts w:ascii="Arial" w:hAnsi="Arial" w:eastAsia="宋体" w:cs="Arial"/>
      <w:spacing w:val="10"/>
      <w:kern w:val="2"/>
      <w:sz w:val="24"/>
      <w:lang w:val="en-US" w:eastAsia="zh-CN" w:bidi="ar-SA"/>
    </w:rPr>
  </w:style>
  <w:style w:type="character" w:customStyle="1" w:styleId="203">
    <w:name w:val="样式 正文首行缩进 + 首行缩进:  2 字符 Char"/>
    <w:link w:val="204"/>
    <w:qFormat/>
    <w:uiPriority w:val="0"/>
    <w:rPr>
      <w:rFonts w:ascii="宋体" w:eastAsia="仿宋_GB2312" w:cs="宋体"/>
      <w:kern w:val="2"/>
      <w:sz w:val="28"/>
      <w:szCs w:val="28"/>
      <w:lang w:val="en-US" w:eastAsia="zh-CN" w:bidi="ar-SA"/>
    </w:rPr>
  </w:style>
  <w:style w:type="paragraph" w:customStyle="1" w:styleId="204">
    <w:name w:val="样式 正文首行缩进 + 首行缩进:  2 字符"/>
    <w:basedOn w:val="41"/>
    <w:link w:val="203"/>
    <w:qFormat/>
    <w:uiPriority w:val="0"/>
    <w:pPr>
      <w:spacing w:before="120" w:line="360" w:lineRule="auto"/>
      <w:ind w:firstLine="432" w:firstLineChars="200"/>
    </w:pPr>
    <w:rPr>
      <w:rFonts w:ascii="宋体" w:cs="宋体"/>
      <w:szCs w:val="28"/>
    </w:rPr>
  </w:style>
  <w:style w:type="character" w:customStyle="1" w:styleId="205">
    <w:name w:val="君邦正文 Char2"/>
    <w:link w:val="206"/>
    <w:qFormat/>
    <w:uiPriority w:val="0"/>
    <w:rPr>
      <w:bCs/>
      <w:sz w:val="24"/>
      <w:lang w:val="en-US" w:eastAsia="zh-CN" w:bidi="ar-SA"/>
    </w:rPr>
  </w:style>
  <w:style w:type="paragraph" w:customStyle="1" w:styleId="206">
    <w:name w:val="君邦正文"/>
    <w:link w:val="205"/>
    <w:qFormat/>
    <w:uiPriority w:val="0"/>
    <w:pPr>
      <w:spacing w:after="60" w:line="360" w:lineRule="auto"/>
      <w:ind w:firstLine="480" w:firstLineChars="200"/>
      <w:jc w:val="both"/>
    </w:pPr>
    <w:rPr>
      <w:rFonts w:ascii="Times New Roman" w:hAnsi="Times New Roman" w:eastAsia="宋体" w:cs="Times New Roman"/>
      <w:bCs/>
      <w:sz w:val="24"/>
      <w:lang w:val="en-US" w:eastAsia="zh-CN" w:bidi="ar-SA"/>
    </w:rPr>
  </w:style>
  <w:style w:type="character" w:customStyle="1" w:styleId="207">
    <w:name w:val="安评正文 Char"/>
    <w:link w:val="208"/>
    <w:semiHidden/>
    <w:qFormat/>
    <w:uiPriority w:val="0"/>
    <w:rPr>
      <w:rFonts w:eastAsia="宋体"/>
      <w:color w:val="000000"/>
      <w:kern w:val="2"/>
      <w:sz w:val="24"/>
      <w:lang w:bidi="ar-SA"/>
    </w:rPr>
  </w:style>
  <w:style w:type="paragraph" w:customStyle="1" w:styleId="208">
    <w:name w:val="安评正文"/>
    <w:basedOn w:val="1"/>
    <w:link w:val="207"/>
    <w:semiHidden/>
    <w:qFormat/>
    <w:uiPriority w:val="0"/>
    <w:pPr>
      <w:snapToGrid w:val="0"/>
      <w:spacing w:line="360" w:lineRule="auto"/>
      <w:ind w:firstLine="480" w:firstLineChars="200"/>
    </w:pPr>
    <w:rPr>
      <w:rFonts w:eastAsia="宋体"/>
      <w:color w:val="000000"/>
      <w:sz w:val="24"/>
    </w:rPr>
  </w:style>
  <w:style w:type="character" w:customStyle="1" w:styleId="209">
    <w:name w:val="Char1 Char Char"/>
    <w:qFormat/>
    <w:uiPriority w:val="0"/>
    <w:rPr>
      <w:rFonts w:ascii="Times New Roman" w:hAnsi="Times New Roman"/>
      <w:b/>
      <w:bCs/>
      <w:kern w:val="2"/>
      <w:sz w:val="24"/>
      <w:szCs w:val="24"/>
    </w:rPr>
  </w:style>
  <w:style w:type="character" w:customStyle="1" w:styleId="210">
    <w:name w:val="文本正文 Char"/>
    <w:link w:val="211"/>
    <w:qFormat/>
    <w:uiPriority w:val="0"/>
    <w:rPr>
      <w:rFonts w:eastAsia="宋体" w:cs="宋体"/>
      <w:kern w:val="2"/>
      <w:sz w:val="28"/>
      <w:szCs w:val="28"/>
      <w:lang w:val="en-US" w:eastAsia="zh-CN" w:bidi="ar-SA"/>
    </w:rPr>
  </w:style>
  <w:style w:type="paragraph" w:customStyle="1" w:styleId="211">
    <w:name w:val="文本正文"/>
    <w:basedOn w:val="1"/>
    <w:link w:val="210"/>
    <w:qFormat/>
    <w:uiPriority w:val="0"/>
    <w:pPr>
      <w:snapToGrid w:val="0"/>
      <w:spacing w:line="360" w:lineRule="auto"/>
      <w:ind w:firstLine="560" w:firstLineChars="200"/>
      <w:jc w:val="left"/>
    </w:pPr>
    <w:rPr>
      <w:rFonts w:eastAsia="宋体" w:cs="宋体"/>
      <w:szCs w:val="28"/>
    </w:rPr>
  </w:style>
  <w:style w:type="character" w:customStyle="1" w:styleId="212">
    <w:name w:val="标题 1 Char Char1 Char"/>
    <w:qFormat/>
    <w:uiPriority w:val="0"/>
    <w:rPr>
      <w:rFonts w:eastAsia="文鼎粗钢笔行楷"/>
      <w:b/>
      <w:bCs/>
      <w:kern w:val="44"/>
      <w:sz w:val="44"/>
      <w:szCs w:val="44"/>
      <w:lang w:val="en-US" w:eastAsia="zh-CN" w:bidi="ar-SA"/>
    </w:rPr>
  </w:style>
  <w:style w:type="character" w:customStyle="1" w:styleId="213">
    <w:name w:val="a章 Char Char"/>
    <w:link w:val="214"/>
    <w:qFormat/>
    <w:uiPriority w:val="0"/>
    <w:rPr>
      <w:rFonts w:ascii="黑体" w:hAnsi="宋体" w:eastAsia="黑体"/>
      <w:bCs/>
      <w:kern w:val="44"/>
      <w:sz w:val="24"/>
      <w:szCs w:val="44"/>
      <w:lang w:bidi="ar-SA"/>
    </w:rPr>
  </w:style>
  <w:style w:type="paragraph" w:customStyle="1" w:styleId="214">
    <w:name w:val="a章"/>
    <w:basedOn w:val="3"/>
    <w:next w:val="1"/>
    <w:link w:val="213"/>
    <w:qFormat/>
    <w:uiPriority w:val="0"/>
    <w:pPr>
      <w:keepNext w:val="0"/>
      <w:keepLines w:val="0"/>
      <w:pageBreakBefore w:val="0"/>
      <w:autoSpaceDE w:val="0"/>
      <w:autoSpaceDN w:val="0"/>
      <w:snapToGrid w:val="0"/>
      <w:spacing w:before="0" w:after="0" w:line="360" w:lineRule="auto"/>
      <w:ind w:left="0" w:firstLine="480" w:firstLineChars="200"/>
      <w:jc w:val="left"/>
    </w:pPr>
    <w:rPr>
      <w:rFonts w:ascii="黑体" w:hAnsi="宋体" w:eastAsia="黑体"/>
      <w:b w:val="0"/>
      <w:bCs/>
      <w:sz w:val="24"/>
      <w:szCs w:val="44"/>
    </w:rPr>
  </w:style>
  <w:style w:type="character" w:customStyle="1" w:styleId="215">
    <w:name w:val="样式20 Char"/>
    <w:link w:val="216"/>
    <w:qFormat/>
    <w:uiPriority w:val="0"/>
    <w:rPr>
      <w:rFonts w:hAnsi="宋体" w:eastAsia="宋体"/>
      <w:kern w:val="2"/>
      <w:sz w:val="24"/>
      <w:szCs w:val="24"/>
      <w:lang w:bidi="ar-SA"/>
    </w:rPr>
  </w:style>
  <w:style w:type="paragraph" w:customStyle="1" w:styleId="216">
    <w:name w:val="样式20"/>
    <w:basedOn w:val="1"/>
    <w:link w:val="215"/>
    <w:qFormat/>
    <w:uiPriority w:val="0"/>
    <w:pPr>
      <w:spacing w:line="360" w:lineRule="auto"/>
      <w:ind w:firstLine="480" w:firstLineChars="200"/>
    </w:pPr>
    <w:rPr>
      <w:rFonts w:hAnsi="宋体" w:eastAsia="宋体"/>
      <w:sz w:val="24"/>
      <w:szCs w:val="24"/>
    </w:rPr>
  </w:style>
  <w:style w:type="character" w:customStyle="1" w:styleId="217">
    <w:name w:val="正文文字缩进 3 Char1"/>
    <w:qFormat/>
    <w:uiPriority w:val="0"/>
    <w:rPr>
      <w:rFonts w:ascii="宋体" w:hAnsi="宋体" w:eastAsia="宋体"/>
      <w:color w:val="000000"/>
      <w:kern w:val="2"/>
      <w:sz w:val="24"/>
      <w:lang w:val="en-US" w:eastAsia="zh-CN" w:bidi="ar-SA"/>
    </w:rPr>
  </w:style>
  <w:style w:type="character" w:customStyle="1" w:styleId="218">
    <w:name w:val="项标题(1) Char1"/>
    <w:qFormat/>
    <w:uiPriority w:val="0"/>
    <w:rPr>
      <w:rFonts w:eastAsia="宋体"/>
      <w:b/>
      <w:bCs/>
      <w:kern w:val="2"/>
      <w:sz w:val="24"/>
      <w:szCs w:val="24"/>
      <w:lang w:val="en-US" w:eastAsia="zh-CN" w:bidi="ar-SA"/>
    </w:rPr>
  </w:style>
  <w:style w:type="character" w:customStyle="1" w:styleId="219">
    <w:name w:val="网格型c Char"/>
    <w:qFormat/>
    <w:uiPriority w:val="0"/>
    <w:rPr>
      <w:rFonts w:eastAsia="宋体"/>
      <w:kern w:val="2"/>
      <w:sz w:val="21"/>
      <w:szCs w:val="21"/>
      <w:lang w:val="en-US" w:eastAsia="zh-CN" w:bidi="ar-SA"/>
    </w:rPr>
  </w:style>
  <w:style w:type="character" w:customStyle="1" w:styleId="220">
    <w:name w:val="干标题(a) Char Char"/>
    <w:qFormat/>
    <w:uiPriority w:val="0"/>
    <w:rPr>
      <w:rFonts w:ascii="Arial" w:hAnsi="Arial" w:eastAsia="黑体"/>
      <w:spacing w:val="10"/>
      <w:sz w:val="24"/>
    </w:rPr>
  </w:style>
  <w:style w:type="character" w:customStyle="1" w:styleId="221">
    <w:name w:val="表头 Char"/>
    <w:link w:val="222"/>
    <w:qFormat/>
    <w:uiPriority w:val="0"/>
    <w:rPr>
      <w:rFonts w:ascii="宋体"/>
      <w:spacing w:val="10"/>
      <w:sz w:val="24"/>
      <w:lang w:val="en-US" w:eastAsia="zh-CN" w:bidi="ar-SA"/>
    </w:rPr>
  </w:style>
  <w:style w:type="paragraph" w:customStyle="1" w:styleId="222">
    <w:name w:val="表头"/>
    <w:link w:val="221"/>
    <w:qFormat/>
    <w:uiPriority w:val="0"/>
    <w:pPr>
      <w:spacing w:before="240" w:after="240"/>
      <w:jc w:val="center"/>
    </w:pPr>
    <w:rPr>
      <w:rFonts w:ascii="宋体" w:hAnsi="Times New Roman" w:eastAsia="宋体" w:cs="Times New Roman"/>
      <w:spacing w:val="10"/>
      <w:sz w:val="24"/>
      <w:lang w:val="en-US" w:eastAsia="zh-CN" w:bidi="ar-SA"/>
    </w:rPr>
  </w:style>
  <w:style w:type="character" w:customStyle="1" w:styleId="223">
    <w:name w:val=". [(iii)] Char Char"/>
    <w:qFormat/>
    <w:uiPriority w:val="0"/>
    <w:rPr>
      <w:rFonts w:ascii="Arial" w:hAnsi="Arial" w:eastAsia="黑体" w:cs="Times New Roman"/>
      <w:kern w:val="0"/>
      <w:sz w:val="24"/>
      <w:szCs w:val="20"/>
    </w:rPr>
  </w:style>
  <w:style w:type="character" w:customStyle="1" w:styleId="224">
    <w:name w:val="正文首行缩进 Char Char Char Char Char Char Char Char Char Char Char Char Char Char Char Char Char Char Char Char Char Char Char Char"/>
    <w:qFormat/>
    <w:uiPriority w:val="0"/>
    <w:rPr>
      <w:rFonts w:eastAsia="仿宋_GB2312"/>
      <w:kern w:val="2"/>
      <w:sz w:val="28"/>
      <w:lang w:val="en-US" w:eastAsia="zh-CN" w:bidi="ar-SA"/>
    </w:rPr>
  </w:style>
  <w:style w:type="character" w:customStyle="1" w:styleId="225">
    <w:name w:val="content_project11"/>
    <w:qFormat/>
    <w:uiPriority w:val="0"/>
    <w:rPr>
      <w:rFonts w:hint="default" w:ascii="ˎ̥" w:hAnsi="ˎ̥"/>
      <w:sz w:val="20"/>
      <w:szCs w:val="20"/>
    </w:rPr>
  </w:style>
  <w:style w:type="character" w:customStyle="1" w:styleId="226">
    <w:name w:val="批注文字 Char"/>
    <w:link w:val="28"/>
    <w:qFormat/>
    <w:uiPriority w:val="99"/>
    <w:rPr>
      <w:rFonts w:eastAsia="仿宋_GB2312"/>
      <w:kern w:val="2"/>
      <w:sz w:val="28"/>
      <w:lang w:val="en-US" w:eastAsia="zh-CN" w:bidi="ar-SA"/>
    </w:rPr>
  </w:style>
  <w:style w:type="character" w:customStyle="1" w:styleId="227">
    <w:name w:val="正文内容 Char"/>
    <w:link w:val="228"/>
    <w:qFormat/>
    <w:uiPriority w:val="0"/>
    <w:rPr>
      <w:rFonts w:ascii="仿宋_GB2312" w:eastAsia="仿宋_GB2312" w:cs="宋体"/>
      <w:kern w:val="2"/>
      <w:sz w:val="28"/>
      <w:lang w:val="en-US" w:eastAsia="zh-CN" w:bidi="ar-SA"/>
    </w:rPr>
  </w:style>
  <w:style w:type="paragraph" w:customStyle="1" w:styleId="228">
    <w:name w:val="正文内容"/>
    <w:basedOn w:val="1"/>
    <w:link w:val="227"/>
    <w:qFormat/>
    <w:uiPriority w:val="0"/>
    <w:pPr>
      <w:adjustRightInd w:val="0"/>
      <w:snapToGrid w:val="0"/>
      <w:spacing w:line="324" w:lineRule="auto"/>
      <w:ind w:firstLine="200" w:firstLineChars="200"/>
      <w:jc w:val="left"/>
    </w:pPr>
    <w:rPr>
      <w:rFonts w:ascii="仿宋_GB2312" w:cs="宋体"/>
    </w:rPr>
  </w:style>
  <w:style w:type="character" w:customStyle="1" w:styleId="229">
    <w:name w:val="尾注文本 Char"/>
    <w:link w:val="53"/>
    <w:qFormat/>
    <w:uiPriority w:val="0"/>
    <w:rPr>
      <w:rFonts w:ascii="Arial" w:hAnsi="Arial" w:eastAsia="黑体"/>
      <w:b/>
      <w:bCs/>
      <w:kern w:val="2"/>
      <w:sz w:val="28"/>
      <w:szCs w:val="28"/>
    </w:rPr>
  </w:style>
  <w:style w:type="character" w:customStyle="1" w:styleId="230">
    <w:name w:val="正文001 Char"/>
    <w:link w:val="231"/>
    <w:qFormat/>
    <w:uiPriority w:val="0"/>
    <w:rPr>
      <w:kern w:val="2"/>
      <w:sz w:val="24"/>
    </w:rPr>
  </w:style>
  <w:style w:type="paragraph" w:customStyle="1" w:styleId="231">
    <w:name w:val="正文001"/>
    <w:basedOn w:val="1"/>
    <w:link w:val="230"/>
    <w:qFormat/>
    <w:uiPriority w:val="0"/>
    <w:pPr>
      <w:spacing w:before="60" w:line="420" w:lineRule="exact"/>
      <w:ind w:firstLine="482"/>
    </w:pPr>
    <w:rPr>
      <w:rFonts w:eastAsia="宋体"/>
      <w:sz w:val="24"/>
    </w:rPr>
  </w:style>
  <w:style w:type="character" w:customStyle="1" w:styleId="232">
    <w:name w:val="表头文字 Char Char"/>
    <w:qFormat/>
    <w:uiPriority w:val="0"/>
    <w:rPr>
      <w:rFonts w:ascii="黑体" w:hAnsi="宋体" w:eastAsia="黑体"/>
      <w:kern w:val="2"/>
      <w:sz w:val="24"/>
      <w:lang w:val="en-US" w:eastAsia="zh-CN" w:bidi="ar-SA"/>
    </w:rPr>
  </w:style>
  <w:style w:type="character" w:customStyle="1" w:styleId="233">
    <w:name w:val="at_2"/>
    <w:qFormat/>
    <w:uiPriority w:val="0"/>
    <w:rPr>
      <w:rFonts w:ascii="宋体" w:hAnsi="宋体" w:eastAsia="Arial" w:cs="宋体"/>
      <w:kern w:val="2"/>
      <w:sz w:val="24"/>
      <w:szCs w:val="24"/>
      <w:lang w:val="en-US" w:eastAsia="zh-CN" w:bidi="ar-SA"/>
    </w:rPr>
  </w:style>
  <w:style w:type="character" w:customStyle="1" w:styleId="234">
    <w:name w:val="正文缩 Char Char"/>
    <w:link w:val="235"/>
    <w:qFormat/>
    <w:uiPriority w:val="0"/>
    <w:rPr>
      <w:rFonts w:eastAsia="宋体"/>
      <w:kern w:val="2"/>
      <w:sz w:val="24"/>
      <w:szCs w:val="24"/>
      <w:lang w:val="en-US" w:eastAsia="zh-CN" w:bidi="ar-SA"/>
    </w:rPr>
  </w:style>
  <w:style w:type="paragraph" w:customStyle="1" w:styleId="235">
    <w:name w:val="正文缩"/>
    <w:basedOn w:val="1"/>
    <w:link w:val="234"/>
    <w:qFormat/>
    <w:uiPriority w:val="0"/>
    <w:pPr>
      <w:ind w:firstLine="200" w:firstLineChars="200"/>
    </w:pPr>
    <w:rPr>
      <w:rFonts w:eastAsia="宋体"/>
      <w:sz w:val="24"/>
      <w:szCs w:val="24"/>
    </w:rPr>
  </w:style>
  <w:style w:type="character" w:customStyle="1" w:styleId="236">
    <w:name w:val="编号标题1.1 Char"/>
    <w:qFormat/>
    <w:uiPriority w:val="0"/>
    <w:rPr>
      <w:rFonts w:ascii="Arial" w:hAnsi="Arial" w:eastAsia="黑体" w:cs="Arial"/>
      <w:color w:val="000000"/>
      <w:kern w:val="2"/>
      <w:sz w:val="24"/>
      <w:szCs w:val="24"/>
      <w:lang w:val="en-US" w:eastAsia="zh-CN" w:bidi="ar-SA"/>
    </w:rPr>
  </w:style>
  <w:style w:type="character" w:customStyle="1" w:styleId="237">
    <w:name w:val="表内字 Char Char"/>
    <w:link w:val="238"/>
    <w:qFormat/>
    <w:uiPriority w:val="0"/>
    <w:rPr>
      <w:color w:val="000000"/>
      <w:sz w:val="21"/>
      <w:lang w:val="en-US" w:eastAsia="zh-CN" w:bidi="ar-SA"/>
    </w:rPr>
  </w:style>
  <w:style w:type="paragraph" w:customStyle="1" w:styleId="238">
    <w:name w:val="表内字"/>
    <w:link w:val="237"/>
    <w:qFormat/>
    <w:uiPriority w:val="0"/>
    <w:pPr>
      <w:spacing w:line="312" w:lineRule="auto"/>
      <w:jc w:val="center"/>
    </w:pPr>
    <w:rPr>
      <w:rFonts w:ascii="Times New Roman" w:hAnsi="Times New Roman" w:eastAsia="宋体" w:cs="Times New Roman"/>
      <w:color w:val="000000"/>
      <w:sz w:val="21"/>
      <w:lang w:val="en-US" w:eastAsia="zh-CN" w:bidi="ar-SA"/>
    </w:rPr>
  </w:style>
  <w:style w:type="character" w:customStyle="1" w:styleId="239">
    <w:name w:val="Char1 Char"/>
    <w:qFormat/>
    <w:uiPriority w:val="0"/>
    <w:rPr>
      <w:rFonts w:ascii="宋体" w:hAnsi="Courier New" w:eastAsia="宋体" w:cs="宋体"/>
      <w:kern w:val="2"/>
      <w:sz w:val="21"/>
      <w:szCs w:val="24"/>
      <w:lang w:val="en-US" w:eastAsia="zh-CN" w:bidi="ar-SA"/>
    </w:rPr>
  </w:style>
  <w:style w:type="character" w:customStyle="1" w:styleId="240">
    <w:name w:val="正文文本缩进 3 Char Char"/>
    <w:qFormat/>
    <w:uiPriority w:val="0"/>
    <w:rPr>
      <w:rFonts w:ascii="宋体" w:hAnsi="宋体" w:eastAsia="宋体" w:cs="宋体"/>
      <w:kern w:val="2"/>
      <w:sz w:val="16"/>
      <w:szCs w:val="16"/>
      <w:lang w:val="en-US" w:eastAsia="zh-CN" w:bidi="ar-SA"/>
    </w:rPr>
  </w:style>
  <w:style w:type="character" w:customStyle="1" w:styleId="241">
    <w:name w:val="列表(L) Char"/>
    <w:link w:val="242"/>
    <w:qFormat/>
    <w:uiPriority w:val="0"/>
    <w:rPr>
      <w:rFonts w:eastAsia="仿宋_GB2312"/>
      <w:kern w:val="2"/>
      <w:sz w:val="21"/>
      <w:lang w:bidi="ar-SA"/>
    </w:rPr>
  </w:style>
  <w:style w:type="paragraph" w:customStyle="1" w:styleId="242">
    <w:name w:val="列表(L)"/>
    <w:basedOn w:val="67"/>
    <w:link w:val="241"/>
    <w:qFormat/>
    <w:uiPriority w:val="0"/>
    <w:pPr>
      <w:autoSpaceDE/>
      <w:autoSpaceDN/>
      <w:adjustRightInd/>
      <w:snapToGrid w:val="0"/>
      <w:spacing w:line="240" w:lineRule="auto"/>
      <w:ind w:left="0" w:firstLine="0" w:firstLineChars="0"/>
      <w:jc w:val="both"/>
      <w:textAlignment w:val="auto"/>
    </w:pPr>
    <w:rPr>
      <w:rFonts w:ascii="Times New Roman" w:eastAsia="仿宋_GB2312"/>
      <w:kern w:val="2"/>
      <w:sz w:val="21"/>
    </w:rPr>
  </w:style>
  <w:style w:type="character" w:customStyle="1" w:styleId="243">
    <w:name w:val="未确定 Char Char"/>
    <w:link w:val="244"/>
    <w:qFormat/>
    <w:uiPriority w:val="0"/>
    <w:rPr>
      <w:rFonts w:eastAsia="宋体"/>
      <w:color w:val="800080"/>
      <w:kern w:val="2"/>
      <w:sz w:val="24"/>
      <w:szCs w:val="24"/>
      <w:lang w:val="en-US" w:eastAsia="zh-CN" w:bidi="ar-SA"/>
    </w:rPr>
  </w:style>
  <w:style w:type="paragraph" w:customStyle="1" w:styleId="244">
    <w:name w:val="未确定"/>
    <w:basedOn w:val="1"/>
    <w:link w:val="243"/>
    <w:qFormat/>
    <w:uiPriority w:val="0"/>
    <w:pPr>
      <w:adjustRightInd w:val="0"/>
      <w:snapToGrid w:val="0"/>
      <w:spacing w:before="156" w:beforeLines="50" w:line="400" w:lineRule="exact"/>
      <w:ind w:firstLine="480" w:firstLineChars="200"/>
      <w:jc w:val="left"/>
    </w:pPr>
    <w:rPr>
      <w:rFonts w:eastAsia="宋体"/>
      <w:color w:val="800080"/>
      <w:sz w:val="24"/>
      <w:szCs w:val="24"/>
    </w:rPr>
  </w:style>
  <w:style w:type="character" w:customStyle="1" w:styleId="245">
    <w:name w:val="注释标题 Char"/>
    <w:link w:val="17"/>
    <w:qFormat/>
    <w:uiPriority w:val="0"/>
    <w:rPr>
      <w:rFonts w:eastAsia="宋体"/>
      <w:kern w:val="2"/>
      <w:sz w:val="21"/>
      <w:szCs w:val="24"/>
      <w:lang w:bidi="ar-SA"/>
    </w:rPr>
  </w:style>
  <w:style w:type="character" w:customStyle="1" w:styleId="246">
    <w:name w:val="表格样式 钦州规划 Char"/>
    <w:link w:val="247"/>
    <w:qFormat/>
    <w:uiPriority w:val="0"/>
    <w:rPr>
      <w:rFonts w:ascii="华文细黑" w:hAnsi="华文细黑" w:eastAsia="华文细黑"/>
      <w:color w:val="000000"/>
      <w:sz w:val="21"/>
      <w:szCs w:val="21"/>
      <w:lang w:val="en-US" w:eastAsia="zh-CN" w:bidi="ar-SA"/>
    </w:rPr>
  </w:style>
  <w:style w:type="paragraph" w:customStyle="1" w:styleId="247">
    <w:name w:val="表格样式 钦州规划"/>
    <w:basedOn w:val="248"/>
    <w:link w:val="246"/>
    <w:qFormat/>
    <w:uiPriority w:val="0"/>
    <w:pPr>
      <w:widowControl w:val="0"/>
      <w:overflowPunct w:val="0"/>
      <w:adjustRightInd w:val="0"/>
      <w:spacing w:before="40" w:after="60" w:line="200" w:lineRule="atLeast"/>
      <w:ind w:firstLine="0" w:firstLineChars="0"/>
      <w:textAlignment w:val="baseline"/>
    </w:pPr>
    <w:rPr>
      <w:rFonts w:ascii="华文细黑" w:hAnsi="华文细黑" w:eastAsia="华文细黑"/>
      <w:color w:val="000000"/>
      <w:kern w:val="0"/>
    </w:rPr>
  </w:style>
  <w:style w:type="paragraph" w:customStyle="1" w:styleId="248">
    <w:name w:val="表格内容"/>
    <w:basedOn w:val="1"/>
    <w:link w:val="489"/>
    <w:qFormat/>
    <w:uiPriority w:val="0"/>
    <w:pPr>
      <w:widowControl/>
      <w:spacing w:line="288" w:lineRule="auto"/>
      <w:ind w:firstLine="480" w:firstLineChars="200"/>
      <w:jc w:val="center"/>
    </w:pPr>
    <w:rPr>
      <w:rFonts w:ascii="Arial" w:hAnsi="Arial" w:eastAsia="宋体"/>
      <w:sz w:val="21"/>
      <w:szCs w:val="21"/>
    </w:rPr>
  </w:style>
  <w:style w:type="character" w:customStyle="1" w:styleId="249">
    <w:name w:val="大图标格式 Char Char"/>
    <w:link w:val="250"/>
    <w:qFormat/>
    <w:uiPriority w:val="0"/>
    <w:rPr>
      <w:rFonts w:ascii="宋体" w:hAnsi="宋体" w:eastAsia="宋体" w:cs="宋体"/>
      <w:b/>
      <w:kern w:val="2"/>
      <w:sz w:val="24"/>
      <w:szCs w:val="24"/>
      <w:lang w:val="en-GB" w:eastAsia="zh-CN" w:bidi="ar-SA"/>
    </w:rPr>
  </w:style>
  <w:style w:type="paragraph" w:customStyle="1" w:styleId="250">
    <w:name w:val="大图标格式"/>
    <w:basedOn w:val="74"/>
    <w:link w:val="249"/>
    <w:qFormat/>
    <w:uiPriority w:val="0"/>
    <w:pPr>
      <w:ind w:left="539" w:leftChars="27" w:hanging="482" w:hangingChars="200"/>
    </w:pPr>
    <w:rPr>
      <w:rFonts w:ascii="宋体" w:hAnsi="宋体" w:cs="宋体"/>
      <w:bCs w:val="0"/>
      <w:spacing w:val="0"/>
      <w:kern w:val="2"/>
      <w:sz w:val="24"/>
      <w:szCs w:val="24"/>
      <w:lang w:val="en-GB"/>
    </w:rPr>
  </w:style>
  <w:style w:type="character" w:customStyle="1" w:styleId="251">
    <w:name w:val="样式 样式 样式 正文缩进s4 + 首行缩进:  2 字符 + 首行缩进:  2 字符 + Char"/>
    <w:semiHidden/>
    <w:qFormat/>
    <w:uiPriority w:val="0"/>
    <w:rPr>
      <w:rFonts w:eastAsia="仿宋_GB2312" w:cs="宋体"/>
      <w:color w:val="000000"/>
      <w:kern w:val="2"/>
      <w:sz w:val="28"/>
      <w:szCs w:val="28"/>
      <w:lang w:val="en-US" w:eastAsia="zh-CN" w:bidi="ar-SA"/>
    </w:rPr>
  </w:style>
  <w:style w:type="character" w:customStyle="1" w:styleId="252">
    <w:name w:val="arr"/>
    <w:basedOn w:val="133"/>
    <w:qFormat/>
    <w:uiPriority w:val="0"/>
  </w:style>
  <w:style w:type="character" w:customStyle="1" w:styleId="253">
    <w:name w:val="Char Char26"/>
    <w:qFormat/>
    <w:uiPriority w:val="0"/>
    <w:rPr>
      <w:rFonts w:ascii="Cambria" w:hAnsi="Cambria" w:eastAsia="黑体"/>
      <w:kern w:val="2"/>
      <w:lang w:bidi="ar-SA"/>
    </w:rPr>
  </w:style>
  <w:style w:type="character" w:customStyle="1" w:styleId="254">
    <w:name w:val="正文 + 首行缩进:  2 字符 Char"/>
    <w:link w:val="255"/>
    <w:qFormat/>
    <w:uiPriority w:val="0"/>
    <w:rPr>
      <w:rFonts w:eastAsia="宋体"/>
      <w:kern w:val="2"/>
      <w:sz w:val="24"/>
      <w:lang w:bidi="ar-SA"/>
    </w:rPr>
  </w:style>
  <w:style w:type="paragraph" w:customStyle="1" w:styleId="255">
    <w:name w:val="正文 + 首行缩进:  2 字符"/>
    <w:basedOn w:val="1"/>
    <w:link w:val="254"/>
    <w:qFormat/>
    <w:uiPriority w:val="0"/>
    <w:pPr>
      <w:spacing w:line="360" w:lineRule="auto"/>
      <w:ind w:firstLine="480" w:firstLineChars="200"/>
    </w:pPr>
    <w:rPr>
      <w:rFonts w:eastAsia="宋体"/>
      <w:sz w:val="24"/>
    </w:rPr>
  </w:style>
  <w:style w:type="character" w:customStyle="1" w:styleId="256">
    <w:name w:val="4标题(治) Char"/>
    <w:link w:val="257"/>
    <w:qFormat/>
    <w:uiPriority w:val="0"/>
    <w:rPr>
      <w:rFonts w:eastAsia="黑体"/>
      <w:sz w:val="28"/>
      <w:lang w:bidi="ar-SA"/>
    </w:rPr>
  </w:style>
  <w:style w:type="paragraph" w:customStyle="1" w:styleId="257">
    <w:name w:val="4标题(治)"/>
    <w:basedOn w:val="1"/>
    <w:next w:val="1"/>
    <w:link w:val="256"/>
    <w:qFormat/>
    <w:uiPriority w:val="0"/>
    <w:pPr>
      <w:adjustRightInd w:val="0"/>
      <w:snapToGrid w:val="0"/>
      <w:spacing w:line="360" w:lineRule="auto"/>
      <w:textAlignment w:val="baseline"/>
      <w:outlineLvl w:val="3"/>
    </w:pPr>
    <w:rPr>
      <w:rFonts w:eastAsia="黑体"/>
      <w:kern w:val="0"/>
    </w:rPr>
  </w:style>
  <w:style w:type="character" w:customStyle="1" w:styleId="258">
    <w:name w:val="宏文本 Char"/>
    <w:link w:val="2"/>
    <w:qFormat/>
    <w:uiPriority w:val="0"/>
    <w:rPr>
      <w:rFonts w:eastAsia="Times New Roman"/>
      <w:kern w:val="2"/>
      <w:sz w:val="18"/>
      <w:szCs w:val="18"/>
      <w:lang w:val="en-US" w:eastAsia="zh-CN" w:bidi="ar-SA"/>
    </w:rPr>
  </w:style>
  <w:style w:type="character" w:customStyle="1" w:styleId="259">
    <w:name w:val="文章正文文字 Char"/>
    <w:link w:val="260"/>
    <w:qFormat/>
    <w:uiPriority w:val="0"/>
    <w:rPr>
      <w:rFonts w:eastAsia="宋体"/>
      <w:kern w:val="2"/>
      <w:sz w:val="24"/>
      <w:szCs w:val="24"/>
      <w:lang w:val="en-US" w:eastAsia="zh-CN" w:bidi="ar-SA"/>
    </w:rPr>
  </w:style>
  <w:style w:type="paragraph" w:customStyle="1" w:styleId="260">
    <w:name w:val="文章正文文字"/>
    <w:basedOn w:val="1"/>
    <w:link w:val="259"/>
    <w:qFormat/>
    <w:uiPriority w:val="0"/>
    <w:pPr>
      <w:spacing w:line="520" w:lineRule="exact"/>
      <w:jc w:val="left"/>
    </w:pPr>
    <w:rPr>
      <w:rFonts w:eastAsia="宋体"/>
      <w:sz w:val="24"/>
      <w:szCs w:val="24"/>
    </w:rPr>
  </w:style>
  <w:style w:type="character" w:customStyle="1" w:styleId="261">
    <w:name w:val="无间隔 Char"/>
    <w:link w:val="262"/>
    <w:qFormat/>
    <w:uiPriority w:val="1"/>
    <w:rPr>
      <w:rFonts w:ascii="Calibri" w:hAnsi="Calibri" w:eastAsia="宋体"/>
      <w:sz w:val="22"/>
      <w:szCs w:val="22"/>
      <w:lang w:val="en-US" w:eastAsia="zh-CN" w:bidi="ar-SA"/>
    </w:rPr>
  </w:style>
  <w:style w:type="paragraph" w:customStyle="1" w:styleId="262">
    <w:name w:val="无间隔1"/>
    <w:link w:val="261"/>
    <w:qFormat/>
    <w:uiPriority w:val="0"/>
    <w:pPr>
      <w:widowControl w:val="0"/>
      <w:ind w:firstLine="465"/>
      <w:jc w:val="both"/>
    </w:pPr>
    <w:rPr>
      <w:rFonts w:ascii="Calibri" w:hAnsi="Calibri" w:eastAsia="宋体" w:cs="Times New Roman"/>
      <w:sz w:val="22"/>
      <w:szCs w:val="22"/>
      <w:lang w:val="en-US" w:eastAsia="zh-CN" w:bidi="ar-SA"/>
    </w:rPr>
  </w:style>
  <w:style w:type="character" w:customStyle="1" w:styleId="263">
    <w:name w:val="标题 3(CYM) Char Char"/>
    <w:qFormat/>
    <w:uiPriority w:val="0"/>
    <w:rPr>
      <w:rFonts w:hAnsi="宋体" w:eastAsia="宋体"/>
      <w:b/>
      <w:kern w:val="2"/>
      <w:sz w:val="24"/>
      <w:szCs w:val="24"/>
      <w:lang w:val="en-US" w:eastAsia="zh-CN" w:bidi="ar-SA"/>
    </w:rPr>
  </w:style>
  <w:style w:type="character" w:customStyle="1" w:styleId="264">
    <w:name w:val="headline-content2"/>
    <w:basedOn w:val="133"/>
    <w:qFormat/>
    <w:uiPriority w:val="0"/>
  </w:style>
  <w:style w:type="character" w:customStyle="1" w:styleId="265">
    <w:name w:val="样式 标题 2 + 黑体 小四 非加粗 Char"/>
    <w:link w:val="266"/>
    <w:qFormat/>
    <w:uiPriority w:val="0"/>
    <w:rPr>
      <w:rFonts w:ascii="黑体" w:hAnsi="黑体" w:eastAsia="黑体"/>
      <w:kern w:val="2"/>
      <w:sz w:val="24"/>
      <w:szCs w:val="32"/>
      <w:lang w:bidi="ar-SA"/>
    </w:rPr>
  </w:style>
  <w:style w:type="paragraph" w:customStyle="1" w:styleId="266">
    <w:name w:val="样式 标题 2 + 黑体 小四 非加粗"/>
    <w:basedOn w:val="4"/>
    <w:link w:val="265"/>
    <w:qFormat/>
    <w:uiPriority w:val="0"/>
    <w:pPr>
      <w:tabs>
        <w:tab w:val="clear" w:pos="567"/>
      </w:tabs>
      <w:spacing w:after="120" w:line="360" w:lineRule="auto"/>
      <w:ind w:left="0" w:firstLine="0"/>
      <w:jc w:val="left"/>
    </w:pPr>
    <w:rPr>
      <w:rFonts w:hAnsi="黑体"/>
      <w:sz w:val="24"/>
      <w:szCs w:val="32"/>
    </w:rPr>
  </w:style>
  <w:style w:type="character" w:customStyle="1" w:styleId="267">
    <w:name w:val="样式9 Char"/>
    <w:link w:val="268"/>
    <w:qFormat/>
    <w:uiPriority w:val="0"/>
    <w:rPr>
      <w:rFonts w:ascii="Arial" w:hAnsi="Arial" w:eastAsia="宋体" w:cs="Arial"/>
      <w:spacing w:val="10"/>
      <w:kern w:val="2"/>
      <w:sz w:val="24"/>
      <w:lang w:val="en-US" w:eastAsia="zh-CN" w:bidi="ar-SA"/>
    </w:rPr>
  </w:style>
  <w:style w:type="paragraph" w:customStyle="1" w:styleId="268">
    <w:name w:val="样式9"/>
    <w:basedOn w:val="5"/>
    <w:link w:val="267"/>
    <w:qFormat/>
    <w:uiPriority w:val="0"/>
  </w:style>
  <w:style w:type="character" w:customStyle="1" w:styleId="269">
    <w:name w:val="纯文本 Char1"/>
    <w:qFormat/>
    <w:uiPriority w:val="99"/>
    <w:rPr>
      <w:rFonts w:ascii="宋体" w:hAnsi="Courier New" w:eastAsia="宋体"/>
      <w:sz w:val="21"/>
      <w:lang w:val="en-US" w:eastAsia="zh-CN" w:bidi="ar-SA"/>
    </w:rPr>
  </w:style>
  <w:style w:type="character" w:customStyle="1" w:styleId="270">
    <w:name w:val="样式 正文缩进首行缩进两字标题4正文不缩进s4正文（首行缩进两字） Char Char Char Char Char ... Char"/>
    <w:link w:val="271"/>
    <w:qFormat/>
    <w:uiPriority w:val="0"/>
    <w:rPr>
      <w:rFonts w:ascii="Arial" w:hAnsi="Arial" w:eastAsia="宋体" w:cs="Arial"/>
      <w:spacing w:val="-2"/>
      <w:kern w:val="2"/>
      <w:sz w:val="24"/>
      <w:szCs w:val="24"/>
      <w:lang w:val="en-US" w:eastAsia="zh-CN" w:bidi="ar-SA"/>
    </w:rPr>
  </w:style>
  <w:style w:type="paragraph" w:customStyle="1" w:styleId="271">
    <w:name w:val="样式 正文缩进首行缩进两字标题4正文不缩进s4正文（首行缩进两字） Char Char Char Char Char ..."/>
    <w:basedOn w:val="5"/>
    <w:link w:val="270"/>
    <w:qFormat/>
    <w:uiPriority w:val="0"/>
    <w:pPr>
      <w:spacing w:line="360" w:lineRule="auto"/>
      <w:ind w:firstLine="480" w:firstLineChars="200"/>
    </w:pPr>
    <w:rPr>
      <w:spacing w:val="-2"/>
      <w:szCs w:val="24"/>
    </w:rPr>
  </w:style>
  <w:style w:type="character" w:customStyle="1" w:styleId="272">
    <w:name w:val="纯文本 Char"/>
    <w:link w:val="46"/>
    <w:qFormat/>
    <w:uiPriority w:val="99"/>
    <w:rPr>
      <w:rFonts w:ascii="宋体" w:hAnsi="Courier New" w:eastAsia="宋体"/>
      <w:kern w:val="2"/>
      <w:sz w:val="21"/>
      <w:lang w:val="en-US" w:eastAsia="zh-CN" w:bidi="ar-SA"/>
    </w:rPr>
  </w:style>
  <w:style w:type="character" w:customStyle="1" w:styleId="273">
    <w:name w:val="样式 +中文正文 四号"/>
    <w:qFormat/>
    <w:uiPriority w:val="0"/>
    <w:rPr>
      <w:rFonts w:ascii="宋体" w:hAnsi="宋体" w:eastAsia="宋体"/>
      <w:sz w:val="28"/>
    </w:rPr>
  </w:style>
  <w:style w:type="character" w:customStyle="1" w:styleId="274">
    <w:name w:val="书正文 Char"/>
    <w:link w:val="275"/>
    <w:qFormat/>
    <w:uiPriority w:val="0"/>
    <w:rPr>
      <w:rFonts w:ascii="Arial" w:hAnsi="Arial" w:cs="Arial"/>
      <w:kern w:val="2"/>
      <w:sz w:val="24"/>
      <w:szCs w:val="24"/>
      <w:lang w:val="en-US" w:eastAsia="zh-CN" w:bidi="ar-SA"/>
    </w:rPr>
  </w:style>
  <w:style w:type="paragraph" w:customStyle="1" w:styleId="275">
    <w:name w:val="书正文"/>
    <w:link w:val="274"/>
    <w:qFormat/>
    <w:uiPriority w:val="0"/>
    <w:pPr>
      <w:spacing w:before="60" w:line="460" w:lineRule="exact"/>
      <w:ind w:firstLine="200" w:firstLineChars="200"/>
      <w:jc w:val="both"/>
    </w:pPr>
    <w:rPr>
      <w:rFonts w:ascii="Arial" w:hAnsi="Arial" w:eastAsia="宋体" w:cs="Arial"/>
      <w:kern w:val="2"/>
      <w:sz w:val="24"/>
      <w:szCs w:val="24"/>
      <w:lang w:val="en-US" w:eastAsia="zh-CN" w:bidi="ar-SA"/>
    </w:rPr>
  </w:style>
  <w:style w:type="character" w:customStyle="1" w:styleId="276">
    <w:name w:val="内容 Char Char Char"/>
    <w:link w:val="277"/>
    <w:qFormat/>
    <w:uiPriority w:val="0"/>
    <w:rPr>
      <w:rFonts w:eastAsia="宋体"/>
      <w:kern w:val="2"/>
      <w:sz w:val="28"/>
      <w:lang w:val="en-US" w:eastAsia="zh-CN" w:bidi="ar-SA"/>
    </w:rPr>
  </w:style>
  <w:style w:type="paragraph" w:customStyle="1" w:styleId="277">
    <w:name w:val="内容 Char"/>
    <w:basedOn w:val="1"/>
    <w:link w:val="276"/>
    <w:qFormat/>
    <w:uiPriority w:val="0"/>
    <w:pPr>
      <w:spacing w:line="360" w:lineRule="auto"/>
    </w:pPr>
    <w:rPr>
      <w:rFonts w:eastAsia="宋体"/>
    </w:rPr>
  </w:style>
  <w:style w:type="character" w:customStyle="1" w:styleId="278">
    <w:name w:val="样式 报告标题3 + Times New Roman Char"/>
    <w:qFormat/>
    <w:uiPriority w:val="0"/>
    <w:rPr>
      <w:rFonts w:ascii="Arial" w:hAnsi="Arial" w:eastAsia="宋体" w:cs="宋体"/>
      <w:b/>
      <w:bCs/>
      <w:color w:val="000000"/>
      <w:kern w:val="2"/>
      <w:sz w:val="24"/>
      <w:szCs w:val="24"/>
      <w:lang w:val="en-US" w:eastAsia="zh-CN" w:bidi="ar-SA"/>
    </w:rPr>
  </w:style>
  <w:style w:type="character" w:customStyle="1" w:styleId="279">
    <w:name w:val="样式 标题 2标题 2 Char标题节标题节 Char Char标题 2 Char Char Char标题 2 Cha... Char Char"/>
    <w:qFormat/>
    <w:uiPriority w:val="0"/>
    <w:rPr>
      <w:rFonts w:ascii="Arial" w:hAnsi="Arial" w:eastAsia="黑体" w:cs="宋体"/>
      <w:color w:val="000000"/>
      <w:kern w:val="2"/>
      <w:sz w:val="28"/>
      <w:szCs w:val="24"/>
      <w:lang w:val="en-US" w:eastAsia="zh-CN" w:bidi="ar-SA"/>
    </w:rPr>
  </w:style>
  <w:style w:type="character" w:customStyle="1" w:styleId="280">
    <w:name w:val="表格文字居中 Char1"/>
    <w:link w:val="281"/>
    <w:qFormat/>
    <w:uiPriority w:val="0"/>
    <w:rPr>
      <w:rFonts w:ascii="宋体" w:hAnsi="宋体" w:eastAsia="宋体" w:cs="宋体"/>
      <w:bCs/>
      <w:kern w:val="2"/>
      <w:sz w:val="18"/>
      <w:szCs w:val="18"/>
      <w:lang w:val="en-US" w:eastAsia="zh-CN" w:bidi="ar-SA"/>
    </w:rPr>
  </w:style>
  <w:style w:type="paragraph" w:customStyle="1" w:styleId="281">
    <w:name w:val="表格文字居中"/>
    <w:basedOn w:val="41"/>
    <w:link w:val="280"/>
    <w:qFormat/>
    <w:uiPriority w:val="0"/>
    <w:pPr>
      <w:tabs>
        <w:tab w:val="left" w:pos="628"/>
        <w:tab w:val="left" w:pos="1727"/>
        <w:tab w:val="left" w:pos="1884"/>
      </w:tabs>
      <w:snapToGrid w:val="0"/>
      <w:spacing w:after="0"/>
      <w:ind w:firstLine="0" w:firstLineChars="200"/>
      <w:jc w:val="center"/>
    </w:pPr>
    <w:rPr>
      <w:rFonts w:ascii="宋体" w:hAnsi="宋体" w:eastAsia="宋体" w:cs="宋体"/>
      <w:bCs/>
      <w:sz w:val="18"/>
      <w:szCs w:val="18"/>
    </w:rPr>
  </w:style>
  <w:style w:type="character" w:customStyle="1" w:styleId="282">
    <w:name w:val="明显强调1"/>
    <w:qFormat/>
    <w:uiPriority w:val="0"/>
    <w:rPr>
      <w:b/>
      <w:bCs/>
      <w:i/>
      <w:iCs/>
      <w:color w:val="4F81BD"/>
    </w:rPr>
  </w:style>
  <w:style w:type="character" w:customStyle="1" w:styleId="283">
    <w:name w:val="标题3YHY Char"/>
    <w:link w:val="284"/>
    <w:qFormat/>
    <w:uiPriority w:val="0"/>
    <w:rPr>
      <w:rFonts w:eastAsia="宋体"/>
      <w:b/>
      <w:kern w:val="2"/>
      <w:sz w:val="24"/>
      <w:szCs w:val="24"/>
      <w:lang w:bidi="ar-SA"/>
    </w:rPr>
  </w:style>
  <w:style w:type="paragraph" w:customStyle="1" w:styleId="284">
    <w:name w:val="标题3YHY"/>
    <w:basedOn w:val="6"/>
    <w:next w:val="7"/>
    <w:link w:val="283"/>
    <w:qFormat/>
    <w:uiPriority w:val="0"/>
    <w:pPr>
      <w:adjustRightInd w:val="0"/>
      <w:snapToGrid w:val="0"/>
      <w:spacing w:before="50" w:beforeLines="50" w:after="50" w:afterLines="50" w:line="360" w:lineRule="auto"/>
      <w:ind w:left="0" w:firstLine="0"/>
    </w:pPr>
    <w:rPr>
      <w:rFonts w:ascii="Times New Roman" w:eastAsia="宋体"/>
      <w:bCs w:val="0"/>
      <w:szCs w:val="24"/>
    </w:rPr>
  </w:style>
  <w:style w:type="character" w:customStyle="1" w:styleId="285">
    <w:name w:val="消息标题号"/>
    <w:qFormat/>
    <w:uiPriority w:val="0"/>
    <w:rPr>
      <w:rFonts w:ascii="Arial Black" w:hAnsi="Arial Black" w:eastAsia="黑体"/>
      <w:b/>
      <w:bCs/>
      <w:sz w:val="21"/>
      <w:szCs w:val="21"/>
      <w:lang w:eastAsia="zh-CN"/>
    </w:rPr>
  </w:style>
  <w:style w:type="character" w:customStyle="1" w:styleId="286">
    <w:name w:val="title_project11"/>
    <w:qFormat/>
    <w:uiPriority w:val="0"/>
    <w:rPr>
      <w:b/>
      <w:bCs/>
      <w:sz w:val="20"/>
      <w:szCs w:val="20"/>
    </w:rPr>
  </w:style>
  <w:style w:type="character" w:customStyle="1" w:styleId="287">
    <w:name w:val="标题 8 Char"/>
    <w:link w:val="11"/>
    <w:qFormat/>
    <w:uiPriority w:val="9"/>
    <w:rPr>
      <w:rFonts w:ascii="Arial" w:hAnsi="Arial" w:eastAsia="黑体"/>
      <w:kern w:val="2"/>
      <w:sz w:val="24"/>
      <w:szCs w:val="24"/>
      <w:lang w:val="en-US" w:eastAsia="zh-CN" w:bidi="ar-SA"/>
    </w:rPr>
  </w:style>
  <w:style w:type="character" w:customStyle="1" w:styleId="288">
    <w:name w:val="样式 首行缩进:  2 字符 Char"/>
    <w:link w:val="289"/>
    <w:qFormat/>
    <w:uiPriority w:val="0"/>
    <w:rPr>
      <w:rFonts w:eastAsia="宋体" w:cs="宋体"/>
      <w:kern w:val="2"/>
      <w:sz w:val="24"/>
      <w:szCs w:val="24"/>
      <w:lang w:val="en-US" w:eastAsia="zh-CN" w:bidi="ar-SA"/>
    </w:rPr>
  </w:style>
  <w:style w:type="paragraph" w:customStyle="1" w:styleId="289">
    <w:name w:val="样式 首行缩进:  2 字符"/>
    <w:basedOn w:val="1"/>
    <w:link w:val="288"/>
    <w:qFormat/>
    <w:uiPriority w:val="0"/>
    <w:pPr>
      <w:spacing w:line="300" w:lineRule="auto"/>
      <w:ind w:firstLine="480" w:firstLineChars="200"/>
      <w:jc w:val="left"/>
    </w:pPr>
    <w:rPr>
      <w:rFonts w:eastAsia="宋体" w:cs="宋体"/>
      <w:sz w:val="24"/>
      <w:szCs w:val="24"/>
    </w:rPr>
  </w:style>
  <w:style w:type="character" w:customStyle="1" w:styleId="290">
    <w:name w:val="Char Char42"/>
    <w:qFormat/>
    <w:uiPriority w:val="0"/>
    <w:rPr>
      <w:rFonts w:ascii="Arial" w:hAnsi="Arial" w:eastAsia="宋体" w:cs="Arial"/>
      <w:spacing w:val="10"/>
      <w:kern w:val="2"/>
      <w:sz w:val="24"/>
      <w:lang w:val="en-US" w:eastAsia="zh-CN" w:bidi="ar-SA"/>
    </w:rPr>
  </w:style>
  <w:style w:type="character" w:customStyle="1" w:styleId="291">
    <w:name w:val="我的表格 Char"/>
    <w:link w:val="292"/>
    <w:qFormat/>
    <w:uiPriority w:val="0"/>
    <w:rPr>
      <w:rFonts w:eastAsia="仿宋_GB2312"/>
      <w:sz w:val="21"/>
      <w:szCs w:val="21"/>
    </w:rPr>
  </w:style>
  <w:style w:type="paragraph" w:customStyle="1" w:styleId="292">
    <w:name w:val="我的表格"/>
    <w:basedOn w:val="1"/>
    <w:link w:val="291"/>
    <w:qFormat/>
    <w:uiPriority w:val="0"/>
    <w:pPr>
      <w:autoSpaceDE w:val="0"/>
      <w:autoSpaceDN w:val="0"/>
      <w:adjustRightInd w:val="0"/>
      <w:jc w:val="center"/>
    </w:pPr>
    <w:rPr>
      <w:kern w:val="0"/>
      <w:sz w:val="21"/>
      <w:szCs w:val="21"/>
    </w:rPr>
  </w:style>
  <w:style w:type="character" w:customStyle="1" w:styleId="293">
    <w:name w:val="样式 标题 3条标题1.1.1 + 行距: 固定值 23 磅 Char"/>
    <w:link w:val="294"/>
    <w:qFormat/>
    <w:uiPriority w:val="0"/>
    <w:rPr>
      <w:rFonts w:eastAsia="楷体_GB2312"/>
      <w:b/>
      <w:bCs/>
      <w:spacing w:val="8"/>
      <w:sz w:val="28"/>
      <w:szCs w:val="28"/>
    </w:rPr>
  </w:style>
  <w:style w:type="paragraph" w:customStyle="1" w:styleId="294">
    <w:name w:val="样式 标题 3条标题1.1.1 + 行距: 固定值 23 磅"/>
    <w:basedOn w:val="6"/>
    <w:link w:val="293"/>
    <w:qFormat/>
    <w:uiPriority w:val="0"/>
    <w:pPr>
      <w:keepNext w:val="0"/>
      <w:keepLines w:val="0"/>
      <w:tabs>
        <w:tab w:val="clear" w:pos="1789"/>
      </w:tabs>
      <w:snapToGrid w:val="0"/>
      <w:spacing w:line="360" w:lineRule="auto"/>
      <w:jc w:val="left"/>
    </w:pPr>
    <w:rPr>
      <w:rFonts w:ascii="Times New Roman" w:eastAsia="楷体_GB2312"/>
      <w:spacing w:val="8"/>
      <w:kern w:val="0"/>
      <w:sz w:val="28"/>
      <w:szCs w:val="28"/>
    </w:rPr>
  </w:style>
  <w:style w:type="character" w:customStyle="1" w:styleId="295">
    <w:name w:val="表蕊 Char1"/>
    <w:link w:val="296"/>
    <w:qFormat/>
    <w:uiPriority w:val="0"/>
    <w:rPr>
      <w:rFonts w:eastAsia="宋体"/>
      <w:spacing w:val="8"/>
      <w:kern w:val="2"/>
      <w:sz w:val="21"/>
      <w:szCs w:val="24"/>
      <w:lang w:val="en-US" w:eastAsia="zh-CN" w:bidi="ar-SA"/>
    </w:rPr>
  </w:style>
  <w:style w:type="paragraph" w:customStyle="1" w:styleId="296">
    <w:name w:val="表蕊"/>
    <w:basedOn w:val="1"/>
    <w:link w:val="295"/>
    <w:qFormat/>
    <w:uiPriority w:val="0"/>
    <w:pPr>
      <w:spacing w:line="320" w:lineRule="exact"/>
      <w:jc w:val="center"/>
    </w:pPr>
    <w:rPr>
      <w:rFonts w:eastAsia="宋体"/>
      <w:spacing w:val="8"/>
      <w:sz w:val="21"/>
      <w:szCs w:val="24"/>
    </w:rPr>
  </w:style>
  <w:style w:type="character" w:customStyle="1" w:styleId="297">
    <w:name w:val="st1"/>
    <w:basedOn w:val="133"/>
    <w:qFormat/>
    <w:uiPriority w:val="0"/>
  </w:style>
  <w:style w:type="character" w:customStyle="1" w:styleId="298">
    <w:name w:val="tt11"/>
    <w:qFormat/>
    <w:uiPriority w:val="0"/>
    <w:rPr>
      <w:rFonts w:hint="default" w:ascii="ˎ̥" w:hAnsi="ˎ̥"/>
      <w:color w:val="1C1C1C"/>
      <w:sz w:val="18"/>
      <w:szCs w:val="18"/>
    </w:rPr>
  </w:style>
  <w:style w:type="character" w:customStyle="1" w:styleId="299">
    <w:name w:val="正文文字 2 Char2"/>
    <w:qFormat/>
    <w:uiPriority w:val="0"/>
    <w:rPr>
      <w:rFonts w:ascii="Arial" w:hAnsi="Arial" w:eastAsia="宋体" w:cs="Arial"/>
      <w:kern w:val="2"/>
      <w:sz w:val="21"/>
      <w:lang w:val="en-US" w:eastAsia="zh-CN" w:bidi="ar-SA"/>
    </w:rPr>
  </w:style>
  <w:style w:type="character" w:customStyle="1" w:styleId="300">
    <w:name w:val="select"/>
    <w:basedOn w:val="133"/>
    <w:qFormat/>
    <w:uiPriority w:val="0"/>
  </w:style>
  <w:style w:type="character" w:customStyle="1" w:styleId="301">
    <w:name w:val="普通文字 Char Char1"/>
    <w:qFormat/>
    <w:uiPriority w:val="0"/>
    <w:rPr>
      <w:rFonts w:ascii="宋体" w:hAnsi="Courier New" w:eastAsia="宋体"/>
      <w:kern w:val="2"/>
      <w:sz w:val="21"/>
      <w:lang w:val="en-US" w:eastAsia="zh-CN" w:bidi="ar-SA"/>
    </w:rPr>
  </w:style>
  <w:style w:type="character" w:customStyle="1" w:styleId="302">
    <w:name w:val="表号 Char Char"/>
    <w:link w:val="303"/>
    <w:qFormat/>
    <w:uiPriority w:val="0"/>
    <w:rPr>
      <w:rFonts w:ascii="Arial" w:hAnsi="Arial"/>
      <w:kern w:val="2"/>
      <w:sz w:val="21"/>
      <w:szCs w:val="24"/>
      <w:lang w:val="en-US" w:eastAsia="zh-CN" w:bidi="ar-SA"/>
    </w:rPr>
  </w:style>
  <w:style w:type="paragraph" w:customStyle="1" w:styleId="303">
    <w:name w:val="表号 Char"/>
    <w:next w:val="304"/>
    <w:link w:val="302"/>
    <w:qFormat/>
    <w:uiPriority w:val="0"/>
    <w:pPr>
      <w:adjustRightInd w:val="0"/>
      <w:snapToGrid w:val="0"/>
      <w:spacing w:line="360" w:lineRule="auto"/>
      <w:jc w:val="right"/>
    </w:pPr>
    <w:rPr>
      <w:rFonts w:ascii="Arial" w:hAnsi="Arial" w:eastAsia="宋体" w:cs="Times New Roman"/>
      <w:kern w:val="2"/>
      <w:sz w:val="21"/>
      <w:szCs w:val="24"/>
      <w:lang w:val="en-US" w:eastAsia="zh-CN" w:bidi="ar-SA"/>
    </w:rPr>
  </w:style>
  <w:style w:type="paragraph" w:customStyle="1" w:styleId="304">
    <w:name w:val="表文字"/>
    <w:basedOn w:val="1"/>
    <w:link w:val="620"/>
    <w:qFormat/>
    <w:uiPriority w:val="0"/>
    <w:pPr>
      <w:overflowPunct w:val="0"/>
      <w:autoSpaceDE w:val="0"/>
      <w:autoSpaceDN w:val="0"/>
      <w:adjustRightInd w:val="0"/>
      <w:spacing w:line="240" w:lineRule="atLeast"/>
      <w:jc w:val="center"/>
      <w:textAlignment w:val="baseline"/>
    </w:pPr>
    <w:rPr>
      <w:rFonts w:eastAsia="宋体"/>
      <w:kern w:val="0"/>
      <w:sz w:val="24"/>
    </w:rPr>
  </w:style>
  <w:style w:type="character" w:customStyle="1" w:styleId="305">
    <w:name w:val="表格正文 Char Char"/>
    <w:qFormat/>
    <w:uiPriority w:val="0"/>
    <w:rPr>
      <w:rFonts w:ascii="宋体" w:hAnsi="宋体" w:eastAsia="宋体" w:cs="宋体"/>
      <w:kern w:val="2"/>
      <w:sz w:val="21"/>
      <w:szCs w:val="24"/>
      <w:lang w:val="en-US" w:eastAsia="zh-CN" w:bidi="ar-SA"/>
    </w:rPr>
  </w:style>
  <w:style w:type="character" w:customStyle="1" w:styleId="306">
    <w:name w:val="apple-converted-space"/>
    <w:basedOn w:val="133"/>
    <w:qFormat/>
    <w:uiPriority w:val="0"/>
  </w:style>
  <w:style w:type="character" w:customStyle="1" w:styleId="307">
    <w:name w:val="tt3"/>
    <w:qFormat/>
    <w:uiPriority w:val="0"/>
    <w:rPr>
      <w:rFonts w:hint="default" w:ascii="Arial" w:hAnsi="Arial" w:cs="Arial"/>
      <w:b/>
      <w:bCs/>
      <w:color w:val="DB500D"/>
      <w:sz w:val="18"/>
      <w:szCs w:val="18"/>
    </w:rPr>
  </w:style>
  <w:style w:type="character" w:customStyle="1" w:styleId="308">
    <w:name w:val="文章正文样式 Char"/>
    <w:link w:val="309"/>
    <w:qFormat/>
    <w:uiPriority w:val="0"/>
    <w:rPr>
      <w:rFonts w:ascii="宋体" w:hAnsi="宋体" w:eastAsia="宋体" w:cs="宋体"/>
      <w:kern w:val="2"/>
      <w:sz w:val="24"/>
      <w:lang w:val="en-US" w:eastAsia="zh-CN" w:bidi="ar-SA"/>
    </w:rPr>
  </w:style>
  <w:style w:type="paragraph" w:customStyle="1" w:styleId="309">
    <w:name w:val="文章正文样式"/>
    <w:basedOn w:val="1"/>
    <w:link w:val="308"/>
    <w:qFormat/>
    <w:uiPriority w:val="0"/>
    <w:pPr>
      <w:spacing w:line="520" w:lineRule="exact"/>
      <w:ind w:firstLine="480" w:firstLineChars="200"/>
      <w:jc w:val="left"/>
    </w:pPr>
    <w:rPr>
      <w:rFonts w:ascii="宋体" w:hAnsi="宋体" w:eastAsia="宋体" w:cs="宋体"/>
      <w:sz w:val="24"/>
    </w:rPr>
  </w:style>
  <w:style w:type="character" w:customStyle="1" w:styleId="310">
    <w:name w:val="表格名称1 Char"/>
    <w:link w:val="311"/>
    <w:qFormat/>
    <w:uiPriority w:val="0"/>
    <w:rPr>
      <w:rFonts w:ascii="Arial" w:hAnsi="Arial" w:eastAsia="宋体" w:cs="Arial"/>
      <w:b/>
      <w:bCs/>
      <w:kern w:val="2"/>
      <w:sz w:val="24"/>
      <w:szCs w:val="24"/>
      <w:u w:val="single"/>
      <w:lang w:val="en-US" w:eastAsia="zh-CN" w:bidi="ar-SA"/>
    </w:rPr>
  </w:style>
  <w:style w:type="paragraph" w:customStyle="1" w:styleId="311">
    <w:name w:val="表格名称1"/>
    <w:basedOn w:val="1"/>
    <w:link w:val="310"/>
    <w:qFormat/>
    <w:uiPriority w:val="0"/>
    <w:pPr>
      <w:ind w:firstLine="449"/>
      <w:jc w:val="center"/>
    </w:pPr>
    <w:rPr>
      <w:rFonts w:ascii="Arial" w:hAnsi="Arial" w:eastAsia="宋体" w:cs="Arial"/>
      <w:b/>
      <w:bCs/>
      <w:sz w:val="24"/>
      <w:szCs w:val="24"/>
      <w:u w:val="single"/>
    </w:rPr>
  </w:style>
  <w:style w:type="character" w:customStyle="1" w:styleId="312">
    <w:name w:val="font31"/>
    <w:qFormat/>
    <w:uiPriority w:val="0"/>
    <w:rPr>
      <w:rFonts w:ascii="Times New Roman" w:hAnsi="Times New Roman" w:eastAsia="楷体_GB2312" w:cs="Times New Roman"/>
      <w:b/>
      <w:bCs/>
      <w:color w:val="000000"/>
      <w:sz w:val="24"/>
      <w:szCs w:val="24"/>
      <w:u w:val="none"/>
      <w:vertAlign w:val="superscript"/>
    </w:rPr>
  </w:style>
  <w:style w:type="character" w:customStyle="1" w:styleId="313">
    <w:name w:val="txt61"/>
    <w:qFormat/>
    <w:uiPriority w:val="0"/>
    <w:rPr>
      <w:rFonts w:ascii="宋体" w:hAnsi="宋体" w:eastAsia="Arial" w:cs="宋体"/>
      <w:color w:val="003366"/>
      <w:kern w:val="2"/>
      <w:sz w:val="20"/>
      <w:szCs w:val="20"/>
      <w:u w:val="none"/>
      <w:lang w:val="en-US" w:eastAsia="zh-CN" w:bidi="ar-SA"/>
    </w:rPr>
  </w:style>
  <w:style w:type="character" w:customStyle="1" w:styleId="314">
    <w:name w:val="info1"/>
    <w:qFormat/>
    <w:uiPriority w:val="0"/>
    <w:rPr>
      <w:spacing w:val="15"/>
      <w:sz w:val="21"/>
      <w:szCs w:val="21"/>
    </w:rPr>
  </w:style>
  <w:style w:type="character" w:customStyle="1" w:styleId="315">
    <w:name w:val="首行缩进两字 Char3"/>
    <w:qFormat/>
    <w:uiPriority w:val="0"/>
    <w:rPr>
      <w:rFonts w:ascii="Arial" w:hAnsi="Arial" w:eastAsia="宋体" w:cs="Arial"/>
      <w:spacing w:val="10"/>
      <w:kern w:val="2"/>
      <w:sz w:val="24"/>
      <w:lang w:val="en-US" w:eastAsia="zh-CN" w:bidi="ar-SA"/>
    </w:rPr>
  </w:style>
  <w:style w:type="character" w:customStyle="1" w:styleId="316">
    <w:name w:val="首行缩进两字 Char5"/>
    <w:qFormat/>
    <w:uiPriority w:val="0"/>
    <w:rPr>
      <w:rFonts w:ascii="Arial" w:hAnsi="Arial" w:eastAsia="宋体" w:cs="Arial"/>
      <w:spacing w:val="10"/>
      <w:kern w:val="2"/>
      <w:sz w:val="24"/>
      <w:lang w:val="en-US" w:eastAsia="zh-CN" w:bidi="ar-SA"/>
    </w:rPr>
  </w:style>
  <w:style w:type="character" w:customStyle="1" w:styleId="317">
    <w:name w:val="文章正文样式 Char1 Char Char"/>
    <w:link w:val="318"/>
    <w:qFormat/>
    <w:uiPriority w:val="0"/>
    <w:rPr>
      <w:rFonts w:ascii="宋体" w:hAnsi="宋体" w:eastAsia="宋体" w:cs="宋体"/>
      <w:kern w:val="2"/>
      <w:sz w:val="24"/>
      <w:szCs w:val="24"/>
      <w:lang w:val="en-US" w:eastAsia="zh-CN" w:bidi="ar-SA"/>
    </w:rPr>
  </w:style>
  <w:style w:type="paragraph" w:customStyle="1" w:styleId="318">
    <w:name w:val="文章正文样式 Char1 Char"/>
    <w:basedOn w:val="1"/>
    <w:link w:val="317"/>
    <w:qFormat/>
    <w:uiPriority w:val="0"/>
    <w:pPr>
      <w:spacing w:line="520" w:lineRule="exact"/>
      <w:ind w:firstLine="200" w:firstLineChars="200"/>
      <w:jc w:val="left"/>
    </w:pPr>
    <w:rPr>
      <w:rFonts w:ascii="宋体" w:hAnsi="宋体" w:eastAsia="宋体" w:cs="宋体"/>
      <w:sz w:val="24"/>
      <w:szCs w:val="24"/>
    </w:rPr>
  </w:style>
  <w:style w:type="character" w:customStyle="1" w:styleId="319">
    <w:name w:val="正文文字缩进 2 Char1"/>
    <w:qFormat/>
    <w:uiPriority w:val="99"/>
    <w:rPr>
      <w:rFonts w:ascii="宋体" w:hAnsi="宋体" w:eastAsia="宋体" w:cs="宋体"/>
      <w:kern w:val="2"/>
      <w:sz w:val="24"/>
      <w:szCs w:val="24"/>
      <w:lang w:val="en-US" w:eastAsia="zh-CN" w:bidi="ar-SA"/>
    </w:rPr>
  </w:style>
  <w:style w:type="character" w:customStyle="1" w:styleId="320">
    <w:name w:val="自动A Char"/>
    <w:link w:val="321"/>
    <w:qFormat/>
    <w:uiPriority w:val="0"/>
    <w:rPr>
      <w:rFonts w:eastAsia="宋体"/>
      <w:color w:val="000000"/>
      <w:sz w:val="24"/>
      <w:lang w:val="en-US" w:eastAsia="zh-CN" w:bidi="ar-SA"/>
    </w:rPr>
  </w:style>
  <w:style w:type="paragraph" w:customStyle="1" w:styleId="321">
    <w:name w:val="自动A"/>
    <w:basedOn w:val="1"/>
    <w:link w:val="320"/>
    <w:qFormat/>
    <w:uiPriority w:val="0"/>
    <w:pPr>
      <w:spacing w:before="120" w:after="120" w:line="360" w:lineRule="auto"/>
      <w:ind w:firstLine="480" w:firstLineChars="200"/>
    </w:pPr>
    <w:rPr>
      <w:rFonts w:eastAsia="宋体"/>
      <w:color w:val="000000"/>
      <w:kern w:val="0"/>
      <w:sz w:val="24"/>
    </w:rPr>
  </w:style>
  <w:style w:type="character" w:customStyle="1" w:styleId="322">
    <w:name w:val="bt21"/>
    <w:qFormat/>
    <w:uiPriority w:val="0"/>
    <w:rPr>
      <w:rFonts w:ascii="宋体" w:hAnsi="宋体" w:eastAsia="Arial" w:cs="宋体"/>
      <w:kern w:val="2"/>
      <w:sz w:val="24"/>
      <w:szCs w:val="24"/>
      <w:lang w:val="en-US" w:eastAsia="zh-CN" w:bidi="ar-SA"/>
    </w:rPr>
  </w:style>
  <w:style w:type="character" w:customStyle="1" w:styleId="323">
    <w:name w:val="正文文本缩进 Char"/>
    <w:link w:val="35"/>
    <w:qFormat/>
    <w:uiPriority w:val="99"/>
    <w:rPr>
      <w:rFonts w:eastAsia="宋体"/>
      <w:kern w:val="2"/>
      <w:sz w:val="21"/>
      <w:lang w:val="en-US" w:eastAsia="zh-CN" w:bidi="ar-SA"/>
    </w:rPr>
  </w:style>
  <w:style w:type="character" w:customStyle="1" w:styleId="324">
    <w:name w:val="正文1 Char1"/>
    <w:link w:val="325"/>
    <w:qFormat/>
    <w:uiPriority w:val="0"/>
    <w:rPr>
      <w:rFonts w:ascii="宋体"/>
      <w:spacing w:val="10"/>
      <w:sz w:val="24"/>
      <w:lang w:val="en-US" w:eastAsia="zh-CN" w:bidi="ar-SA"/>
    </w:rPr>
  </w:style>
  <w:style w:type="paragraph" w:customStyle="1" w:styleId="325">
    <w:name w:val="正文1"/>
    <w:link w:val="324"/>
    <w:qFormat/>
    <w:uiPriority w:val="0"/>
    <w:pPr>
      <w:widowControl w:val="0"/>
      <w:adjustRightInd w:val="0"/>
      <w:snapToGrid w:val="0"/>
      <w:spacing w:after="120" w:line="300" w:lineRule="auto"/>
      <w:ind w:firstLine="539"/>
      <w:jc w:val="both"/>
    </w:pPr>
    <w:rPr>
      <w:rFonts w:ascii="宋体" w:hAnsi="Times New Roman" w:eastAsia="宋体" w:cs="Times New Roman"/>
      <w:spacing w:val="10"/>
      <w:sz w:val="24"/>
      <w:lang w:val="en-US" w:eastAsia="zh-CN" w:bidi="ar-SA"/>
    </w:rPr>
  </w:style>
  <w:style w:type="character" w:customStyle="1" w:styleId="326">
    <w:name w:val="3级（次）标题 Char"/>
    <w:link w:val="327"/>
    <w:qFormat/>
    <w:uiPriority w:val="0"/>
    <w:rPr>
      <w:rFonts w:ascii="宋体" w:hAnsi="宋体" w:eastAsia="宋体"/>
      <w:b/>
      <w:kern w:val="2"/>
      <w:sz w:val="24"/>
      <w:szCs w:val="24"/>
      <w:lang w:val="en-US" w:eastAsia="zh-CN" w:bidi="ar-SA"/>
    </w:rPr>
  </w:style>
  <w:style w:type="paragraph" w:customStyle="1" w:styleId="327">
    <w:name w:val="3级（次）标题"/>
    <w:basedOn w:val="1"/>
    <w:link w:val="326"/>
    <w:qFormat/>
    <w:uiPriority w:val="0"/>
    <w:pPr>
      <w:spacing w:line="360" w:lineRule="auto"/>
      <w:ind w:firstLine="241" w:firstLineChars="100"/>
      <w:outlineLvl w:val="2"/>
    </w:pPr>
    <w:rPr>
      <w:rFonts w:ascii="宋体" w:hAnsi="宋体" w:eastAsia="宋体"/>
      <w:b/>
      <w:sz w:val="24"/>
      <w:szCs w:val="24"/>
    </w:rPr>
  </w:style>
  <w:style w:type="character" w:customStyle="1" w:styleId="328">
    <w:name w:val="at_7"/>
    <w:qFormat/>
    <w:uiPriority w:val="0"/>
    <w:rPr>
      <w:rFonts w:ascii="宋体" w:hAnsi="宋体" w:eastAsia="Arial" w:cs="宋体"/>
      <w:kern w:val="2"/>
      <w:sz w:val="24"/>
      <w:szCs w:val="24"/>
      <w:lang w:val="en-US" w:eastAsia="zh-CN" w:bidi="ar-SA"/>
    </w:rPr>
  </w:style>
  <w:style w:type="character" w:customStyle="1" w:styleId="329">
    <w:name w:val="font12"/>
    <w:qFormat/>
    <w:uiPriority w:val="0"/>
    <w:rPr>
      <w:sz w:val="24"/>
      <w:szCs w:val="24"/>
    </w:rPr>
  </w:style>
  <w:style w:type="character" w:customStyle="1" w:styleId="330">
    <w:name w:val="正文01 Char Char"/>
    <w:qFormat/>
    <w:uiPriority w:val="0"/>
    <w:rPr>
      <w:rFonts w:ascii="宋体" w:hAnsi="宋体" w:eastAsia="宋体" w:cs="宋体"/>
      <w:kern w:val="2"/>
      <w:sz w:val="24"/>
      <w:szCs w:val="24"/>
      <w:lang w:val="en-US" w:eastAsia="zh-CN" w:bidi="ar-SA"/>
    </w:rPr>
  </w:style>
  <w:style w:type="character" w:customStyle="1" w:styleId="331">
    <w:name w:val="表格字体 Char"/>
    <w:link w:val="332"/>
    <w:qFormat/>
    <w:uiPriority w:val="0"/>
    <w:rPr>
      <w:rFonts w:eastAsia="宋体"/>
      <w:kern w:val="2"/>
      <w:sz w:val="24"/>
      <w:szCs w:val="21"/>
      <w:lang w:val="en-US" w:eastAsia="zh-CN" w:bidi="ar-SA"/>
    </w:rPr>
  </w:style>
  <w:style w:type="paragraph" w:customStyle="1" w:styleId="332">
    <w:name w:val="表格字体"/>
    <w:basedOn w:val="1"/>
    <w:link w:val="331"/>
    <w:qFormat/>
    <w:uiPriority w:val="0"/>
    <w:pPr>
      <w:spacing w:before="93" w:beforeLines="20" w:after="93" w:afterLines="20" w:line="360" w:lineRule="auto"/>
      <w:jc w:val="center"/>
    </w:pPr>
    <w:rPr>
      <w:rFonts w:eastAsia="宋体"/>
      <w:sz w:val="24"/>
      <w:szCs w:val="21"/>
    </w:rPr>
  </w:style>
  <w:style w:type="character" w:customStyle="1" w:styleId="333">
    <w:name w:val="文章正文样式 Char1 Char2 Char"/>
    <w:link w:val="334"/>
    <w:qFormat/>
    <w:uiPriority w:val="0"/>
    <w:rPr>
      <w:rFonts w:ascii="宋体" w:hAnsi="宋体" w:eastAsia="宋体" w:cs="宋体"/>
      <w:kern w:val="2"/>
      <w:sz w:val="24"/>
      <w:lang w:val="en-US" w:eastAsia="zh-CN" w:bidi="ar-SA"/>
    </w:rPr>
  </w:style>
  <w:style w:type="paragraph" w:customStyle="1" w:styleId="334">
    <w:name w:val="文章正文样式 Char1 Char2"/>
    <w:basedOn w:val="1"/>
    <w:link w:val="333"/>
    <w:qFormat/>
    <w:uiPriority w:val="0"/>
    <w:pPr>
      <w:spacing w:line="520" w:lineRule="exact"/>
      <w:ind w:firstLine="480" w:firstLineChars="200"/>
      <w:jc w:val="left"/>
    </w:pPr>
    <w:rPr>
      <w:rFonts w:ascii="宋体" w:hAnsi="宋体" w:eastAsia="宋体" w:cs="宋体"/>
      <w:sz w:val="24"/>
    </w:rPr>
  </w:style>
  <w:style w:type="character" w:customStyle="1" w:styleId="335">
    <w:name w:val="正文报告 Char Char"/>
    <w:link w:val="336"/>
    <w:qFormat/>
    <w:uiPriority w:val="0"/>
    <w:rPr>
      <w:rFonts w:ascii="宋体" w:hAnsi="宋体" w:eastAsia="宋体" w:cs="宋体"/>
      <w:kern w:val="2"/>
      <w:sz w:val="28"/>
      <w:szCs w:val="28"/>
      <w:lang w:val="en-US" w:eastAsia="zh-CN" w:bidi="ar-SA"/>
    </w:rPr>
  </w:style>
  <w:style w:type="paragraph" w:customStyle="1" w:styleId="336">
    <w:name w:val="正文报告"/>
    <w:basedOn w:val="1"/>
    <w:link w:val="335"/>
    <w:qFormat/>
    <w:uiPriority w:val="0"/>
    <w:pPr>
      <w:topLinePunct/>
      <w:snapToGrid w:val="0"/>
      <w:spacing w:line="480" w:lineRule="exact"/>
      <w:ind w:firstLine="567"/>
    </w:pPr>
    <w:rPr>
      <w:rFonts w:ascii="宋体" w:hAnsi="宋体" w:eastAsia="宋体" w:cs="宋体"/>
      <w:szCs w:val="28"/>
    </w:rPr>
  </w:style>
  <w:style w:type="character" w:customStyle="1" w:styleId="337">
    <w:name w:val="样式2 Char Char Char Char"/>
    <w:link w:val="338"/>
    <w:qFormat/>
    <w:uiPriority w:val="0"/>
    <w:rPr>
      <w:rFonts w:eastAsia="宋体"/>
      <w:kern w:val="2"/>
      <w:sz w:val="24"/>
      <w:szCs w:val="24"/>
      <w:lang w:val="en-US" w:eastAsia="zh-CN" w:bidi="ar-SA"/>
    </w:rPr>
  </w:style>
  <w:style w:type="paragraph" w:customStyle="1" w:styleId="338">
    <w:name w:val="样式2 Char Char Char"/>
    <w:basedOn w:val="1"/>
    <w:link w:val="337"/>
    <w:qFormat/>
    <w:uiPriority w:val="0"/>
    <w:rPr>
      <w:rFonts w:eastAsia="宋体"/>
      <w:sz w:val="24"/>
      <w:szCs w:val="24"/>
    </w:rPr>
  </w:style>
  <w:style w:type="character" w:customStyle="1" w:styleId="339">
    <w:name w:val="表格内 Char"/>
    <w:link w:val="340"/>
    <w:qFormat/>
    <w:uiPriority w:val="0"/>
    <w:rPr>
      <w:rFonts w:ascii="宋体" w:eastAsia="宋体"/>
      <w:sz w:val="28"/>
      <w:lang w:val="en-US" w:eastAsia="zh-CN" w:bidi="ar-SA"/>
    </w:rPr>
  </w:style>
  <w:style w:type="paragraph" w:customStyle="1" w:styleId="340">
    <w:name w:val="表格内"/>
    <w:basedOn w:val="1"/>
    <w:link w:val="339"/>
    <w:qFormat/>
    <w:uiPriority w:val="0"/>
    <w:pPr>
      <w:adjustRightInd w:val="0"/>
      <w:spacing w:line="240" w:lineRule="atLeast"/>
      <w:jc w:val="center"/>
      <w:textAlignment w:val="baseline"/>
    </w:pPr>
    <w:rPr>
      <w:rFonts w:ascii="宋体" w:eastAsia="宋体"/>
      <w:kern w:val="0"/>
    </w:rPr>
  </w:style>
  <w:style w:type="character" w:customStyle="1" w:styleId="341">
    <w:name w:val="文章正文文字 Char Char Char Char"/>
    <w:qFormat/>
    <w:uiPriority w:val="0"/>
    <w:rPr>
      <w:rFonts w:ascii="宋体" w:hAnsi="宋体" w:eastAsia="宋体" w:cs="宋体"/>
      <w:kern w:val="2"/>
      <w:sz w:val="24"/>
      <w:szCs w:val="24"/>
      <w:lang w:val="en-US" w:eastAsia="zh-CN" w:bidi="ar-SA"/>
    </w:rPr>
  </w:style>
  <w:style w:type="character" w:customStyle="1" w:styleId="342">
    <w:name w:val="林里桥 Char"/>
    <w:link w:val="343"/>
    <w:qFormat/>
    <w:uiPriority w:val="0"/>
    <w:rPr>
      <w:rFonts w:hAnsi="宋体" w:eastAsia="宋体"/>
      <w:spacing w:val="8"/>
      <w:kern w:val="28"/>
      <w:sz w:val="24"/>
      <w:szCs w:val="24"/>
      <w:lang w:val="en-US" w:eastAsia="zh-CN" w:bidi="ar-SA"/>
    </w:rPr>
  </w:style>
  <w:style w:type="paragraph" w:customStyle="1" w:styleId="343">
    <w:name w:val="林里桥"/>
    <w:basedOn w:val="1"/>
    <w:link w:val="342"/>
    <w:qFormat/>
    <w:uiPriority w:val="0"/>
    <w:pPr>
      <w:spacing w:line="288" w:lineRule="auto"/>
      <w:ind w:firstLine="481" w:firstLineChars="200"/>
    </w:pPr>
    <w:rPr>
      <w:rFonts w:hAnsi="宋体" w:eastAsia="宋体"/>
      <w:spacing w:val="8"/>
      <w:kern w:val="28"/>
      <w:sz w:val="24"/>
      <w:szCs w:val="24"/>
    </w:rPr>
  </w:style>
  <w:style w:type="character" w:customStyle="1" w:styleId="344">
    <w:name w:val="三级标题 Char"/>
    <w:link w:val="345"/>
    <w:qFormat/>
    <w:uiPriority w:val="0"/>
    <w:rPr>
      <w:rFonts w:eastAsia="宋体"/>
      <w:b/>
      <w:bCs/>
      <w:kern w:val="2"/>
      <w:sz w:val="24"/>
      <w:szCs w:val="24"/>
      <w:lang w:val="en-US" w:eastAsia="zh-CN" w:bidi="ar-SA"/>
    </w:rPr>
  </w:style>
  <w:style w:type="paragraph" w:customStyle="1" w:styleId="345">
    <w:name w:val="三级标题"/>
    <w:basedOn w:val="1"/>
    <w:link w:val="344"/>
    <w:qFormat/>
    <w:uiPriority w:val="0"/>
    <w:pPr>
      <w:spacing w:before="300" w:line="460" w:lineRule="exact"/>
      <w:outlineLvl w:val="2"/>
    </w:pPr>
    <w:rPr>
      <w:rFonts w:eastAsia="宋体"/>
      <w:b/>
      <w:bCs/>
      <w:sz w:val="24"/>
      <w:szCs w:val="24"/>
    </w:rPr>
  </w:style>
  <w:style w:type="character" w:customStyle="1" w:styleId="346">
    <w:name w:val="标题1"/>
    <w:basedOn w:val="133"/>
    <w:qFormat/>
    <w:uiPriority w:val="0"/>
  </w:style>
  <w:style w:type="character" w:customStyle="1" w:styleId="347">
    <w:name w:val="无页眉 Char"/>
    <w:qFormat/>
    <w:uiPriority w:val="0"/>
    <w:rPr>
      <w:rFonts w:eastAsia="仿宋_GB2312"/>
      <w:kern w:val="2"/>
      <w:sz w:val="18"/>
      <w:lang w:val="en-US" w:eastAsia="zh-CN" w:bidi="ar-SA"/>
    </w:rPr>
  </w:style>
  <w:style w:type="character" w:customStyle="1" w:styleId="348">
    <w:name w:val="unnamed11"/>
    <w:qFormat/>
    <w:uiPriority w:val="0"/>
    <w:rPr>
      <w:spacing w:val="300"/>
      <w:sz w:val="18"/>
      <w:szCs w:val="18"/>
    </w:rPr>
  </w:style>
  <w:style w:type="character" w:customStyle="1" w:styleId="349">
    <w:name w:val="1号正文 Char Char"/>
    <w:qFormat/>
    <w:uiPriority w:val="0"/>
    <w:rPr>
      <w:rFonts w:ascii="宋体" w:hAnsi="宋体" w:eastAsia="仿宋_GB2312" w:cs="宋体"/>
      <w:kern w:val="2"/>
      <w:sz w:val="24"/>
      <w:szCs w:val="24"/>
      <w:lang w:val="en-US" w:eastAsia="zh-CN" w:bidi="ar-SA"/>
    </w:rPr>
  </w:style>
  <w:style w:type="character" w:customStyle="1" w:styleId="350">
    <w:name w:val="标准 Char"/>
    <w:semiHidden/>
    <w:qFormat/>
    <w:uiPriority w:val="0"/>
    <w:rPr>
      <w:rFonts w:ascii="宋体" w:eastAsia="宋体"/>
      <w:sz w:val="31"/>
      <w:lang w:val="en-US" w:eastAsia="zh-CN" w:bidi="ar-SA"/>
    </w:rPr>
  </w:style>
  <w:style w:type="character" w:customStyle="1" w:styleId="351">
    <w:name w:val="自定表格内细 Char"/>
    <w:link w:val="352"/>
    <w:qFormat/>
    <w:uiPriority w:val="0"/>
    <w:rPr>
      <w:rFonts w:hAnsi="宋体" w:eastAsia="宋体" w:cs="宋体"/>
      <w:sz w:val="21"/>
      <w:szCs w:val="21"/>
      <w:lang w:val="en-US" w:eastAsia="en-US" w:bidi="en-US"/>
    </w:rPr>
  </w:style>
  <w:style w:type="paragraph" w:customStyle="1" w:styleId="352">
    <w:name w:val="自定表格内细"/>
    <w:basedOn w:val="1"/>
    <w:link w:val="351"/>
    <w:qFormat/>
    <w:uiPriority w:val="0"/>
    <w:pPr>
      <w:widowControl/>
      <w:overflowPunct w:val="0"/>
      <w:autoSpaceDE w:val="0"/>
      <w:autoSpaceDN w:val="0"/>
      <w:adjustRightInd w:val="0"/>
      <w:ind w:left="-72" w:leftChars="-30" w:right="-17" w:rightChars="-7"/>
      <w:jc w:val="center"/>
      <w:textAlignment w:val="baseline"/>
    </w:pPr>
    <w:rPr>
      <w:rFonts w:hAnsi="宋体" w:eastAsia="宋体" w:cs="宋体"/>
      <w:kern w:val="0"/>
      <w:sz w:val="21"/>
      <w:szCs w:val="21"/>
      <w:lang w:eastAsia="en-US" w:bidi="en-US"/>
    </w:rPr>
  </w:style>
  <w:style w:type="character" w:customStyle="1" w:styleId="353">
    <w:name w:val="正文缩进 Char1"/>
    <w:link w:val="5"/>
    <w:qFormat/>
    <w:uiPriority w:val="0"/>
    <w:rPr>
      <w:rFonts w:ascii="Arial" w:hAnsi="Arial" w:eastAsia="宋体" w:cs="Arial"/>
      <w:spacing w:val="10"/>
      <w:kern w:val="2"/>
      <w:sz w:val="24"/>
      <w:lang w:val="en-US" w:eastAsia="zh-CN" w:bidi="ar-SA"/>
    </w:rPr>
  </w:style>
  <w:style w:type="character" w:customStyle="1" w:styleId="354">
    <w:name w:val="text1"/>
    <w:qFormat/>
    <w:uiPriority w:val="0"/>
    <w:rPr>
      <w:rFonts w:hint="eastAsia" w:ascii="宋体" w:hAnsi="宋体" w:eastAsia="宋体"/>
      <w:color w:val="999999"/>
      <w:sz w:val="18"/>
      <w:szCs w:val="18"/>
      <w:u w:val="none"/>
    </w:rPr>
  </w:style>
  <w:style w:type="character" w:customStyle="1" w:styleId="355">
    <w:name w:val="+正文 Char"/>
    <w:link w:val="356"/>
    <w:qFormat/>
    <w:uiPriority w:val="0"/>
    <w:rPr>
      <w:rFonts w:eastAsia="宋体"/>
      <w:kern w:val="2"/>
      <w:sz w:val="28"/>
      <w:szCs w:val="28"/>
      <w:lang w:val="en-US" w:eastAsia="zh-CN" w:bidi="ar-SA"/>
    </w:rPr>
  </w:style>
  <w:style w:type="paragraph" w:customStyle="1" w:styleId="356">
    <w:name w:val="+正文"/>
    <w:basedOn w:val="1"/>
    <w:link w:val="355"/>
    <w:qFormat/>
    <w:uiPriority w:val="0"/>
    <w:pPr>
      <w:spacing w:line="360" w:lineRule="auto"/>
      <w:ind w:firstLine="200" w:firstLineChars="200"/>
    </w:pPr>
    <w:rPr>
      <w:rFonts w:eastAsia="宋体"/>
      <w:szCs w:val="28"/>
    </w:rPr>
  </w:style>
  <w:style w:type="character" w:customStyle="1" w:styleId="357">
    <w:name w:val="干标题(a) Char1"/>
    <w:qFormat/>
    <w:uiPriority w:val="0"/>
    <w:rPr>
      <w:rFonts w:ascii="Arial" w:hAnsi="Arial" w:eastAsia="黑体"/>
      <w:kern w:val="2"/>
      <w:sz w:val="21"/>
      <w:szCs w:val="21"/>
      <w:lang w:val="en-US" w:eastAsia="zh-CN" w:bidi="ar-SA"/>
    </w:rPr>
  </w:style>
  <w:style w:type="character" w:customStyle="1" w:styleId="358">
    <w:name w:val="unnamed21"/>
    <w:qFormat/>
    <w:uiPriority w:val="0"/>
    <w:rPr>
      <w:rFonts w:hint="default"/>
      <w:sz w:val="20"/>
      <w:szCs w:val="20"/>
    </w:rPr>
  </w:style>
  <w:style w:type="character" w:customStyle="1" w:styleId="359">
    <w:name w:val="px141"/>
    <w:qFormat/>
    <w:uiPriority w:val="0"/>
    <w:rPr>
      <w:rFonts w:hint="default" w:ascii="ˎ̥" w:hAnsi="ˎ̥"/>
      <w:sz w:val="28"/>
      <w:szCs w:val="28"/>
    </w:rPr>
  </w:style>
  <w:style w:type="character" w:customStyle="1" w:styleId="360">
    <w:name w:val="项标题(1) Char"/>
    <w:qFormat/>
    <w:uiPriority w:val="0"/>
    <w:rPr>
      <w:rFonts w:ascii="Times New Roman" w:hAnsi="Times New Roman"/>
      <w:b/>
      <w:bCs/>
      <w:kern w:val="2"/>
      <w:sz w:val="24"/>
      <w:szCs w:val="24"/>
    </w:rPr>
  </w:style>
  <w:style w:type="character" w:customStyle="1" w:styleId="361">
    <w:name w:val="首行缩进两字 Char6"/>
    <w:qFormat/>
    <w:uiPriority w:val="0"/>
    <w:rPr>
      <w:rFonts w:ascii="Arial" w:hAnsi="Arial" w:eastAsia="宋体" w:cs="Arial"/>
      <w:spacing w:val="10"/>
      <w:kern w:val="2"/>
      <w:sz w:val="24"/>
      <w:lang w:val="en-US" w:eastAsia="zh-CN" w:bidi="ar-SA"/>
    </w:rPr>
  </w:style>
  <w:style w:type="character" w:customStyle="1" w:styleId="362">
    <w:name w:val="表格题名 Char"/>
    <w:link w:val="363"/>
    <w:qFormat/>
    <w:uiPriority w:val="0"/>
    <w:rPr>
      <w:rFonts w:eastAsia="黑体"/>
      <w:b/>
      <w:sz w:val="24"/>
      <w:lang w:val="en-US" w:eastAsia="zh-CN" w:bidi="ar-SA"/>
    </w:rPr>
  </w:style>
  <w:style w:type="paragraph" w:customStyle="1" w:styleId="363">
    <w:name w:val="表格题名"/>
    <w:basedOn w:val="1"/>
    <w:link w:val="362"/>
    <w:qFormat/>
    <w:uiPriority w:val="0"/>
    <w:pPr>
      <w:adjustRightInd w:val="0"/>
      <w:spacing w:before="93" w:after="93" w:line="360" w:lineRule="auto"/>
      <w:jc w:val="center"/>
      <w:textAlignment w:val="baseline"/>
    </w:pPr>
    <w:rPr>
      <w:rFonts w:eastAsia="黑体"/>
      <w:b/>
      <w:kern w:val="0"/>
      <w:sz w:val="24"/>
    </w:rPr>
  </w:style>
  <w:style w:type="character" w:customStyle="1" w:styleId="364">
    <w:name w:val="江波正文 Char"/>
    <w:link w:val="365"/>
    <w:semiHidden/>
    <w:qFormat/>
    <w:uiPriority w:val="0"/>
    <w:rPr>
      <w:rFonts w:hAnsi="仿宋_GB2312" w:eastAsia="仿宋_GB2312"/>
      <w:kern w:val="2"/>
      <w:sz w:val="28"/>
      <w:szCs w:val="28"/>
      <w:lang w:val="en-US" w:eastAsia="zh-CN" w:bidi="ar-SA"/>
    </w:rPr>
  </w:style>
  <w:style w:type="paragraph" w:customStyle="1" w:styleId="365">
    <w:name w:val="江波正文"/>
    <w:link w:val="364"/>
    <w:semiHidden/>
    <w:qFormat/>
    <w:uiPriority w:val="0"/>
    <w:pPr>
      <w:spacing w:line="360" w:lineRule="auto"/>
      <w:ind w:firstLine="480"/>
      <w:jc w:val="both"/>
    </w:pPr>
    <w:rPr>
      <w:rFonts w:ascii="Times New Roman" w:hAnsi="仿宋_GB2312" w:eastAsia="仿宋_GB2312" w:cs="Times New Roman"/>
      <w:kern w:val="2"/>
      <w:sz w:val="28"/>
      <w:szCs w:val="28"/>
      <w:lang w:val="en-US" w:eastAsia="zh-CN" w:bidi="ar-SA"/>
    </w:rPr>
  </w:style>
  <w:style w:type="character" w:customStyle="1" w:styleId="366">
    <w:name w:val="表标题... Char Char"/>
    <w:link w:val="367"/>
    <w:qFormat/>
    <w:uiPriority w:val="0"/>
    <w:rPr>
      <w:rFonts w:ascii="Arial" w:hAnsi="Arial" w:eastAsia="宋体" w:cs="宋体"/>
      <w:b/>
      <w:color w:val="800080"/>
      <w:kern w:val="2"/>
      <w:sz w:val="24"/>
      <w:szCs w:val="24"/>
      <w:lang w:val="en-US" w:eastAsia="zh-CN" w:bidi="ar-SA"/>
    </w:rPr>
  </w:style>
  <w:style w:type="paragraph" w:customStyle="1" w:styleId="367">
    <w:name w:val="表标题..."/>
    <w:basedOn w:val="7"/>
    <w:link w:val="366"/>
    <w:qFormat/>
    <w:uiPriority w:val="0"/>
    <w:pPr>
      <w:spacing w:line="440" w:lineRule="exact"/>
    </w:pPr>
    <w:rPr>
      <w:rFonts w:eastAsia="宋体" w:cs="宋体"/>
      <w:color w:val="800080"/>
      <w:szCs w:val="24"/>
    </w:rPr>
  </w:style>
  <w:style w:type="character" w:customStyle="1" w:styleId="368">
    <w:name w:val="正文缩进 Char"/>
    <w:qFormat/>
    <w:uiPriority w:val="0"/>
    <w:rPr>
      <w:rFonts w:ascii="Arial" w:hAnsi="Arial" w:eastAsia="宋体" w:cs="Arial"/>
      <w:spacing w:val="10"/>
      <w:kern w:val="2"/>
      <w:sz w:val="24"/>
      <w:lang w:val="en-US" w:eastAsia="zh-CN" w:bidi="ar-SA"/>
    </w:rPr>
  </w:style>
  <w:style w:type="character" w:customStyle="1" w:styleId="369">
    <w:name w:val="正文文本缩进 3 Char1"/>
    <w:link w:val="71"/>
    <w:qFormat/>
    <w:uiPriority w:val="0"/>
    <w:rPr>
      <w:rFonts w:ascii="宋体" w:hAnsi="宋体" w:eastAsia="宋体"/>
      <w:color w:val="000000"/>
      <w:kern w:val="2"/>
      <w:sz w:val="24"/>
      <w:lang w:val="en-US" w:eastAsia="zh-CN" w:bidi="ar-SA"/>
    </w:rPr>
  </w:style>
  <w:style w:type="character" w:customStyle="1" w:styleId="370">
    <w:name w:val="居中正文 Char"/>
    <w:link w:val="371"/>
    <w:qFormat/>
    <w:uiPriority w:val="0"/>
    <w:rPr>
      <w:rFonts w:ascii="宋体" w:eastAsia="宋体"/>
      <w:kern w:val="28"/>
      <w:sz w:val="24"/>
      <w:lang w:val="en-US" w:eastAsia="zh-CN" w:bidi="ar-SA"/>
    </w:rPr>
  </w:style>
  <w:style w:type="paragraph" w:customStyle="1" w:styleId="371">
    <w:name w:val="居中正文"/>
    <w:basedOn w:val="41"/>
    <w:link w:val="370"/>
    <w:qFormat/>
    <w:uiPriority w:val="0"/>
    <w:pPr>
      <w:adjustRightInd w:val="0"/>
      <w:spacing w:before="120" w:after="0" w:line="360" w:lineRule="auto"/>
      <w:ind w:firstLine="0" w:firstLineChars="0"/>
      <w:jc w:val="center"/>
    </w:pPr>
    <w:rPr>
      <w:rFonts w:ascii="宋体" w:eastAsia="宋体"/>
      <w:kern w:val="28"/>
      <w:sz w:val="24"/>
    </w:rPr>
  </w:style>
  <w:style w:type="character" w:customStyle="1" w:styleId="372">
    <w:name w:val="hei141"/>
    <w:qFormat/>
    <w:uiPriority w:val="0"/>
    <w:rPr>
      <w:color w:val="000000"/>
      <w:sz w:val="28"/>
      <w:szCs w:val="28"/>
      <w:u w:val="none"/>
    </w:rPr>
  </w:style>
  <w:style w:type="character" w:customStyle="1" w:styleId="373">
    <w:name w:val="KM_表格内容"/>
    <w:qFormat/>
    <w:uiPriority w:val="0"/>
    <w:rPr>
      <w:rFonts w:ascii="宋体" w:hAnsi="宋体"/>
    </w:rPr>
  </w:style>
  <w:style w:type="character" w:customStyle="1" w:styleId="374">
    <w:name w:val="样式 Char"/>
    <w:link w:val="375"/>
    <w:qFormat/>
    <w:uiPriority w:val="0"/>
    <w:rPr>
      <w:rFonts w:ascii="Arial" w:hAnsi="Arial" w:eastAsia="宋体"/>
      <w:spacing w:val="10"/>
      <w:kern w:val="2"/>
      <w:sz w:val="24"/>
      <w:lang w:bidi="ar-SA"/>
    </w:rPr>
  </w:style>
  <w:style w:type="paragraph" w:customStyle="1" w:styleId="375">
    <w:name w:val="样式"/>
    <w:basedOn w:val="5"/>
    <w:link w:val="374"/>
    <w:qFormat/>
    <w:uiPriority w:val="0"/>
    <w:rPr>
      <w:rFonts w:cs="Times New Roman"/>
    </w:rPr>
  </w:style>
  <w:style w:type="character" w:customStyle="1" w:styleId="376">
    <w:name w:val="Char Char19"/>
    <w:qFormat/>
    <w:uiPriority w:val="0"/>
    <w:rPr>
      <w:rFonts w:ascii="Times New Roman" w:hAnsi="Times New Roman"/>
      <w:kern w:val="2"/>
      <w:sz w:val="18"/>
      <w:szCs w:val="18"/>
    </w:rPr>
  </w:style>
  <w:style w:type="character" w:customStyle="1" w:styleId="377">
    <w:name w:val="标题1.1.1.1.1.1 Char1"/>
    <w:qFormat/>
    <w:uiPriority w:val="0"/>
    <w:rPr>
      <w:rFonts w:ascii="Arial" w:hAnsi="Arial" w:eastAsia="黑体"/>
      <w:b/>
      <w:bCs/>
      <w:kern w:val="2"/>
      <w:sz w:val="24"/>
      <w:szCs w:val="24"/>
      <w:lang w:val="en-US" w:eastAsia="zh-CN" w:bidi="ar-SA"/>
    </w:rPr>
  </w:style>
  <w:style w:type="character" w:customStyle="1" w:styleId="378">
    <w:name w:val="报告标题1 Char"/>
    <w:link w:val="379"/>
    <w:qFormat/>
    <w:uiPriority w:val="0"/>
    <w:rPr>
      <w:rFonts w:ascii="宋体" w:hAnsi="宋体" w:eastAsia="宋体" w:cs="宋体"/>
      <w:b/>
      <w:bCs/>
      <w:color w:val="000000"/>
      <w:kern w:val="2"/>
      <w:sz w:val="30"/>
      <w:szCs w:val="24"/>
      <w:lang w:val="en-US" w:eastAsia="zh-CN" w:bidi="ar-SA"/>
    </w:rPr>
  </w:style>
  <w:style w:type="paragraph" w:customStyle="1" w:styleId="379">
    <w:name w:val="报告标题1"/>
    <w:basedOn w:val="3"/>
    <w:link w:val="378"/>
    <w:qFormat/>
    <w:uiPriority w:val="0"/>
    <w:pPr>
      <w:keepLines w:val="0"/>
      <w:pageBreakBefore w:val="0"/>
      <w:tabs>
        <w:tab w:val="left" w:pos="0"/>
      </w:tabs>
      <w:adjustRightInd w:val="0"/>
      <w:spacing w:before="312" w:beforeLines="100" w:after="0" w:line="360" w:lineRule="auto"/>
      <w:ind w:left="0" w:firstLine="0"/>
      <w:jc w:val="left"/>
    </w:pPr>
    <w:rPr>
      <w:rFonts w:ascii="宋体" w:hAnsi="宋体" w:cs="宋体"/>
      <w:bCs/>
      <w:color w:val="000000"/>
      <w:kern w:val="2"/>
      <w:sz w:val="30"/>
      <w:szCs w:val="24"/>
    </w:rPr>
  </w:style>
  <w:style w:type="character" w:customStyle="1" w:styleId="380">
    <w:name w:val="jb仿宋_GB2312 Char"/>
    <w:link w:val="381"/>
    <w:semiHidden/>
    <w:qFormat/>
    <w:uiPriority w:val="0"/>
    <w:rPr>
      <w:rFonts w:hAnsi="仿宋_GB2312" w:eastAsia="宋体"/>
      <w:kern w:val="2"/>
      <w:sz w:val="24"/>
      <w:lang w:bidi="ar-SA"/>
    </w:rPr>
  </w:style>
  <w:style w:type="paragraph" w:customStyle="1" w:styleId="381">
    <w:name w:val="jb仿宋_GB2312"/>
    <w:basedOn w:val="1"/>
    <w:link w:val="380"/>
    <w:semiHidden/>
    <w:qFormat/>
    <w:uiPriority w:val="0"/>
    <w:pPr>
      <w:snapToGrid w:val="0"/>
      <w:spacing w:line="560" w:lineRule="exact"/>
      <w:ind w:firstLine="560" w:firstLineChars="200"/>
    </w:pPr>
    <w:rPr>
      <w:rFonts w:hAnsi="仿宋_GB2312" w:eastAsia="宋体"/>
      <w:sz w:val="24"/>
    </w:rPr>
  </w:style>
  <w:style w:type="character" w:customStyle="1" w:styleId="382">
    <w:name w:val="样式28 Char"/>
    <w:link w:val="383"/>
    <w:qFormat/>
    <w:uiPriority w:val="0"/>
    <w:rPr>
      <w:rFonts w:eastAsia="宋体"/>
      <w:kern w:val="2"/>
      <w:sz w:val="24"/>
      <w:szCs w:val="24"/>
      <w:lang w:val="en-US" w:eastAsia="zh-CN" w:bidi="ar-SA"/>
    </w:rPr>
  </w:style>
  <w:style w:type="paragraph" w:customStyle="1" w:styleId="383">
    <w:name w:val="样式28"/>
    <w:basedOn w:val="1"/>
    <w:link w:val="382"/>
    <w:qFormat/>
    <w:uiPriority w:val="0"/>
    <w:pPr>
      <w:spacing w:line="360" w:lineRule="auto"/>
      <w:ind w:firstLine="480" w:firstLineChars="200"/>
    </w:pPr>
    <w:rPr>
      <w:rFonts w:eastAsia="宋体"/>
      <w:sz w:val="24"/>
      <w:szCs w:val="24"/>
    </w:rPr>
  </w:style>
  <w:style w:type="character" w:customStyle="1" w:styleId="384">
    <w:name w:val="grame"/>
    <w:basedOn w:val="133"/>
    <w:qFormat/>
    <w:uiPriority w:val="0"/>
  </w:style>
  <w:style w:type="character" w:customStyle="1" w:styleId="385">
    <w:name w:val="标题 Char"/>
    <w:link w:val="85"/>
    <w:qFormat/>
    <w:uiPriority w:val="0"/>
    <w:rPr>
      <w:rFonts w:ascii="黑体" w:hAnsi="宋体" w:eastAsia="黑体"/>
      <w:b/>
      <w:bCs/>
      <w:color w:val="0000FF"/>
      <w:kern w:val="2"/>
      <w:sz w:val="24"/>
      <w:szCs w:val="24"/>
      <w:lang w:val="en-US" w:eastAsia="zh-CN" w:bidi="ar-SA"/>
    </w:rPr>
  </w:style>
  <w:style w:type="character" w:customStyle="1" w:styleId="386">
    <w:name w:val="标题 4 Char"/>
    <w:link w:val="7"/>
    <w:qFormat/>
    <w:uiPriority w:val="9"/>
    <w:rPr>
      <w:rFonts w:ascii="Arial" w:hAnsi="Arial" w:eastAsia="仿宋_GB2312"/>
      <w:b/>
      <w:color w:val="000000"/>
      <w:kern w:val="2"/>
      <w:sz w:val="24"/>
      <w:lang w:bidi="ar-SA"/>
    </w:rPr>
  </w:style>
  <w:style w:type="character" w:customStyle="1" w:styleId="387">
    <w:name w:val="Normal Char"/>
    <w:link w:val="388"/>
    <w:qFormat/>
    <w:locked/>
    <w:uiPriority w:val="0"/>
    <w:rPr>
      <w:rFonts w:ascii="宋体"/>
      <w:sz w:val="24"/>
      <w:lang w:val="en-US" w:eastAsia="zh-CN" w:bidi="ar-SA"/>
    </w:rPr>
  </w:style>
  <w:style w:type="paragraph" w:customStyle="1" w:styleId="388">
    <w:name w:val="正文3"/>
    <w:link w:val="387"/>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character" w:customStyle="1" w:styleId="389">
    <w:name w:val="样式 7表格(治) + (西文) 宋体 (中文) 黑体 加粗 黑色 Char"/>
    <w:link w:val="390"/>
    <w:qFormat/>
    <w:uiPriority w:val="0"/>
    <w:rPr>
      <w:rFonts w:eastAsia="宋体"/>
      <w:b/>
      <w:bCs/>
      <w:color w:val="000000"/>
      <w:kern w:val="2"/>
      <w:sz w:val="24"/>
      <w:lang w:bidi="ar-SA"/>
    </w:rPr>
  </w:style>
  <w:style w:type="paragraph" w:customStyle="1" w:styleId="390">
    <w:name w:val="样式 7表格(治) + (西文) 宋体 (中文) 黑体 加粗 黑色"/>
    <w:basedOn w:val="193"/>
    <w:link w:val="389"/>
    <w:qFormat/>
    <w:uiPriority w:val="0"/>
    <w:rPr>
      <w:rFonts w:hAnsi="Times New Roman" w:eastAsia="宋体"/>
      <w:b/>
      <w:bCs/>
      <w:kern w:val="2"/>
      <w:szCs w:val="20"/>
    </w:rPr>
  </w:style>
  <w:style w:type="character" w:customStyle="1" w:styleId="391">
    <w:name w:val="样式 (西文) 黑体 (中文) 黑体 (符号) 宋体 五号"/>
    <w:qFormat/>
    <w:uiPriority w:val="0"/>
    <w:rPr>
      <w:rFonts w:ascii="黑体" w:eastAsia="黑体"/>
      <w:sz w:val="24"/>
    </w:rPr>
  </w:style>
  <w:style w:type="character" w:customStyle="1" w:styleId="392">
    <w:name w:val="ch中文正文 Char"/>
    <w:link w:val="393"/>
    <w:qFormat/>
    <w:uiPriority w:val="0"/>
    <w:rPr>
      <w:sz w:val="24"/>
      <w:lang w:val="en-US" w:eastAsia="zh-CN" w:bidi="ar-SA"/>
    </w:rPr>
  </w:style>
  <w:style w:type="paragraph" w:customStyle="1" w:styleId="393">
    <w:name w:val="ch中文正文"/>
    <w:link w:val="392"/>
    <w:qFormat/>
    <w:uiPriority w:val="0"/>
    <w:pPr>
      <w:spacing w:beforeLines="50" w:afterLines="50" w:line="360" w:lineRule="auto"/>
      <w:ind w:firstLine="200" w:firstLineChars="200"/>
    </w:pPr>
    <w:rPr>
      <w:rFonts w:ascii="Times New Roman" w:hAnsi="Times New Roman" w:eastAsia="宋体" w:cs="Times New Roman"/>
      <w:sz w:val="24"/>
      <w:lang w:val="en-US" w:eastAsia="zh-CN" w:bidi="ar-SA"/>
    </w:rPr>
  </w:style>
  <w:style w:type="character" w:customStyle="1" w:styleId="394">
    <w:name w:val="标题 6 Char"/>
    <w:link w:val="9"/>
    <w:qFormat/>
    <w:uiPriority w:val="9"/>
    <w:rPr>
      <w:rFonts w:ascii="Arial" w:hAnsi="Arial" w:eastAsia="黑体"/>
      <w:b/>
      <w:bCs/>
      <w:kern w:val="2"/>
      <w:sz w:val="24"/>
      <w:szCs w:val="24"/>
      <w:lang w:val="en-US" w:eastAsia="zh-CN" w:bidi="ar-SA"/>
    </w:rPr>
  </w:style>
  <w:style w:type="character" w:customStyle="1" w:styleId="395">
    <w:name w:val="big"/>
    <w:basedOn w:val="133"/>
    <w:qFormat/>
    <w:uiPriority w:val="0"/>
  </w:style>
  <w:style w:type="character" w:customStyle="1" w:styleId="396">
    <w:name w:val="标题 1 Char"/>
    <w:link w:val="3"/>
    <w:qFormat/>
    <w:uiPriority w:val="9"/>
    <w:rPr>
      <w:rFonts w:eastAsia="宋体"/>
      <w:b/>
      <w:kern w:val="44"/>
      <w:sz w:val="36"/>
      <w:lang w:bidi="ar-SA"/>
    </w:rPr>
  </w:style>
  <w:style w:type="character" w:customStyle="1" w:styleId="397">
    <w:name w:val="Char Char25"/>
    <w:qFormat/>
    <w:uiPriority w:val="0"/>
    <w:rPr>
      <w:rFonts w:ascii="Arial" w:hAnsi="Arial" w:eastAsia="黑体"/>
      <w:kern w:val="2"/>
      <w:sz w:val="21"/>
      <w:szCs w:val="21"/>
      <w:lang w:val="en-US" w:eastAsia="zh-CN" w:bidi="ar-SA"/>
    </w:rPr>
  </w:style>
  <w:style w:type="character" w:customStyle="1" w:styleId="398">
    <w:name w:val="文章正文样式 Char Char Char Char Char"/>
    <w:link w:val="399"/>
    <w:qFormat/>
    <w:uiPriority w:val="0"/>
    <w:rPr>
      <w:rFonts w:ascii="宋体" w:hAnsi="宋体" w:eastAsia="宋体" w:cs="宋体"/>
      <w:kern w:val="2"/>
      <w:sz w:val="24"/>
      <w:lang w:val="en-US" w:eastAsia="zh-CN" w:bidi="ar-SA"/>
    </w:rPr>
  </w:style>
  <w:style w:type="paragraph" w:customStyle="1" w:styleId="399">
    <w:name w:val="文章正文样式 Char Char Char Char"/>
    <w:basedOn w:val="1"/>
    <w:link w:val="398"/>
    <w:qFormat/>
    <w:uiPriority w:val="0"/>
    <w:pPr>
      <w:spacing w:line="520" w:lineRule="exact"/>
      <w:ind w:firstLine="480" w:firstLineChars="200"/>
      <w:jc w:val="left"/>
    </w:pPr>
    <w:rPr>
      <w:rFonts w:ascii="宋体" w:hAnsi="宋体" w:eastAsia="宋体" w:cs="宋体"/>
      <w:sz w:val="24"/>
    </w:rPr>
  </w:style>
  <w:style w:type="character" w:customStyle="1" w:styleId="400">
    <w:name w:val="首行缩进两字 Char2"/>
    <w:qFormat/>
    <w:uiPriority w:val="0"/>
    <w:rPr>
      <w:rFonts w:ascii="Arial" w:hAnsi="Arial" w:eastAsia="宋体" w:cs="Arial"/>
      <w:spacing w:val="10"/>
      <w:kern w:val="2"/>
      <w:sz w:val="24"/>
      <w:lang w:val="en-US" w:eastAsia="zh-CN" w:bidi="ar-SA"/>
    </w:rPr>
  </w:style>
  <w:style w:type="character" w:customStyle="1" w:styleId="401">
    <w:name w:val="页脚 Char"/>
    <w:link w:val="56"/>
    <w:qFormat/>
    <w:uiPriority w:val="99"/>
    <w:rPr>
      <w:rFonts w:eastAsia="仿宋_GB2312"/>
      <w:kern w:val="2"/>
      <w:sz w:val="18"/>
      <w:lang w:val="en-US" w:eastAsia="zh-CN" w:bidi="ar-SA"/>
    </w:rPr>
  </w:style>
  <w:style w:type="character" w:customStyle="1" w:styleId="402">
    <w:name w:val="样式37 Char Char"/>
    <w:link w:val="403"/>
    <w:qFormat/>
    <w:locked/>
    <w:uiPriority w:val="0"/>
    <w:rPr>
      <w:rFonts w:ascii="宋体" w:hAnsi="宋体" w:cs="宋体"/>
      <w:color w:val="000000"/>
      <w:sz w:val="24"/>
      <w:szCs w:val="24"/>
    </w:rPr>
  </w:style>
  <w:style w:type="paragraph" w:customStyle="1" w:styleId="403">
    <w:name w:val="样式37"/>
    <w:basedOn w:val="1"/>
    <w:link w:val="402"/>
    <w:qFormat/>
    <w:uiPriority w:val="0"/>
    <w:pPr>
      <w:widowControl/>
      <w:spacing w:beforeLines="50" w:afterLines="50" w:line="360" w:lineRule="auto"/>
      <w:ind w:firstLine="480" w:firstLineChars="200"/>
      <w:jc w:val="left"/>
    </w:pPr>
    <w:rPr>
      <w:rFonts w:ascii="宋体" w:hAnsi="宋体" w:eastAsia="宋体"/>
      <w:color w:val="000000"/>
      <w:kern w:val="0"/>
      <w:sz w:val="24"/>
      <w:szCs w:val="24"/>
    </w:rPr>
  </w:style>
  <w:style w:type="character" w:customStyle="1" w:styleId="404">
    <w:name w:val="文章正文样式 Char Char Char"/>
    <w:link w:val="405"/>
    <w:qFormat/>
    <w:uiPriority w:val="0"/>
    <w:rPr>
      <w:rFonts w:ascii="宋体" w:hAnsi="宋体" w:eastAsia="宋体"/>
      <w:kern w:val="2"/>
      <w:sz w:val="24"/>
      <w:lang w:val="en-US" w:eastAsia="zh-CN" w:bidi="ar-SA"/>
    </w:rPr>
  </w:style>
  <w:style w:type="paragraph" w:customStyle="1" w:styleId="405">
    <w:name w:val="文章正文样式 Char Char"/>
    <w:basedOn w:val="1"/>
    <w:link w:val="404"/>
    <w:qFormat/>
    <w:uiPriority w:val="0"/>
    <w:pPr>
      <w:spacing w:line="520" w:lineRule="exact"/>
      <w:ind w:firstLine="480" w:firstLineChars="200"/>
      <w:jc w:val="left"/>
    </w:pPr>
    <w:rPr>
      <w:rFonts w:ascii="宋体" w:hAnsi="宋体" w:eastAsia="宋体"/>
      <w:sz w:val="24"/>
    </w:rPr>
  </w:style>
  <w:style w:type="character" w:customStyle="1" w:styleId="406">
    <w:name w:val="特点标题 Char"/>
    <w:qFormat/>
    <w:uiPriority w:val="99"/>
    <w:rPr>
      <w:rFonts w:eastAsia="宋体"/>
      <w:kern w:val="2"/>
      <w:sz w:val="21"/>
      <w:lang w:val="en-US" w:eastAsia="zh-CN" w:bidi="ar-SA"/>
    </w:rPr>
  </w:style>
  <w:style w:type="character" w:customStyle="1" w:styleId="407">
    <w:name w:val="首行缩进两字 Char4"/>
    <w:qFormat/>
    <w:uiPriority w:val="0"/>
    <w:rPr>
      <w:rFonts w:ascii="Arial" w:hAnsi="Arial" w:eastAsia="宋体" w:cs="Arial"/>
      <w:spacing w:val="10"/>
      <w:kern w:val="2"/>
      <w:sz w:val="24"/>
      <w:lang w:val="en-US" w:eastAsia="zh-CN" w:bidi="ar-SA"/>
    </w:rPr>
  </w:style>
  <w:style w:type="character" w:customStyle="1" w:styleId="408">
    <w:name w:val="样式2 Char Char"/>
    <w:qFormat/>
    <w:uiPriority w:val="0"/>
    <w:rPr>
      <w:rFonts w:ascii="Arial" w:hAnsi="Arial" w:eastAsia="仿宋_GB2312" w:cs="Arial"/>
      <w:spacing w:val="10"/>
      <w:kern w:val="2"/>
      <w:sz w:val="24"/>
      <w:szCs w:val="32"/>
      <w:lang w:val="en-US" w:eastAsia="zh-CN" w:bidi="ar-SA"/>
    </w:rPr>
  </w:style>
  <w:style w:type="character" w:customStyle="1" w:styleId="409">
    <w:name w:val="Char Char9"/>
    <w:qFormat/>
    <w:uiPriority w:val="0"/>
    <w:rPr>
      <w:rFonts w:ascii="宋体" w:hAnsi="宋体" w:eastAsia="仿宋_GB2312" w:cs="宋体"/>
      <w:kern w:val="2"/>
      <w:sz w:val="18"/>
      <w:szCs w:val="24"/>
      <w:lang w:val="en-US" w:eastAsia="zh-CN" w:bidi="ar-SA"/>
    </w:rPr>
  </w:style>
  <w:style w:type="character" w:customStyle="1" w:styleId="410">
    <w:name w:val="标题 13 Char"/>
    <w:qFormat/>
    <w:uiPriority w:val="0"/>
    <w:rPr>
      <w:rFonts w:ascii="Arial Unicode MS" w:hAnsi="Arial Unicode MS" w:eastAsia="Arial Unicode MS" w:cs="Arial Unicode MS"/>
      <w:b/>
      <w:bCs/>
      <w:color w:val="000000"/>
      <w:sz w:val="27"/>
      <w:szCs w:val="27"/>
      <w:lang w:val="en-US" w:eastAsia="zh-CN" w:bidi="ar-SA"/>
    </w:rPr>
  </w:style>
  <w:style w:type="character" w:customStyle="1" w:styleId="411">
    <w:name w:val="表号 Char1"/>
    <w:link w:val="412"/>
    <w:qFormat/>
    <w:uiPriority w:val="0"/>
    <w:rPr>
      <w:sz w:val="21"/>
      <w:szCs w:val="24"/>
      <w:lang w:val="en-US" w:eastAsia="zh-CN" w:bidi="ar-SA"/>
    </w:rPr>
  </w:style>
  <w:style w:type="paragraph" w:customStyle="1" w:styleId="412">
    <w:name w:val="表号"/>
    <w:link w:val="411"/>
    <w:qFormat/>
    <w:uiPriority w:val="0"/>
    <w:pPr>
      <w:adjustRightInd w:val="0"/>
      <w:snapToGrid w:val="0"/>
      <w:spacing w:line="240" w:lineRule="atLeast"/>
      <w:jc w:val="both"/>
      <w:outlineLvl w:val="4"/>
    </w:pPr>
    <w:rPr>
      <w:rFonts w:ascii="Times New Roman" w:hAnsi="Times New Roman" w:eastAsia="宋体" w:cs="Times New Roman"/>
      <w:sz w:val="21"/>
      <w:szCs w:val="24"/>
      <w:lang w:val="en-US" w:eastAsia="zh-CN" w:bidi="ar-SA"/>
    </w:rPr>
  </w:style>
  <w:style w:type="character" w:customStyle="1" w:styleId="413">
    <w:name w:val="报告书正文 Char"/>
    <w:qFormat/>
    <w:uiPriority w:val="0"/>
    <w:rPr>
      <w:rFonts w:eastAsia="宋体"/>
      <w:kern w:val="2"/>
      <w:sz w:val="24"/>
      <w:szCs w:val="24"/>
      <w:lang w:bidi="ar-SA"/>
    </w:rPr>
  </w:style>
  <w:style w:type="character" w:customStyle="1" w:styleId="414">
    <w:name w:val="要点1"/>
    <w:qFormat/>
    <w:uiPriority w:val="0"/>
    <w:rPr>
      <w:rFonts w:ascii="宋体" w:hAnsi="宋体" w:eastAsia="宋体"/>
      <w:b/>
    </w:rPr>
  </w:style>
  <w:style w:type="character" w:customStyle="1" w:styleId="415">
    <w:name w:val="5文章(治) Char"/>
    <w:qFormat/>
    <w:uiPriority w:val="0"/>
    <w:rPr>
      <w:rFonts w:eastAsia="宋体"/>
      <w:kern w:val="2"/>
      <w:sz w:val="24"/>
      <w:lang w:bidi="ar-SA"/>
    </w:rPr>
  </w:style>
  <w:style w:type="character" w:customStyle="1" w:styleId="416">
    <w:name w:val="日期 Char"/>
    <w:link w:val="51"/>
    <w:qFormat/>
    <w:uiPriority w:val="0"/>
    <w:rPr>
      <w:rFonts w:eastAsia="宋体"/>
      <w:kern w:val="2"/>
      <w:sz w:val="24"/>
      <w:lang w:val="en-US" w:eastAsia="zh-CN" w:bidi="ar-SA"/>
    </w:rPr>
  </w:style>
  <w:style w:type="character" w:customStyle="1" w:styleId="417">
    <w:name w:val="正文文本缩进 3 Char"/>
    <w:qFormat/>
    <w:uiPriority w:val="0"/>
    <w:rPr>
      <w:rFonts w:eastAsia="宋体"/>
      <w:kern w:val="2"/>
      <w:sz w:val="16"/>
      <w:szCs w:val="16"/>
      <w:lang w:val="en-US" w:eastAsia="zh-CN" w:bidi="ar-SA"/>
    </w:rPr>
  </w:style>
  <w:style w:type="character" w:customStyle="1" w:styleId="418">
    <w:name w:val="称呼 Char"/>
    <w:link w:val="30"/>
    <w:qFormat/>
    <w:uiPriority w:val="0"/>
    <w:rPr>
      <w:rFonts w:ascii="宋体" w:hAnsi="Cambria" w:eastAsia="宋体"/>
      <w:b/>
      <w:bCs/>
      <w:sz w:val="32"/>
      <w:szCs w:val="32"/>
      <w:lang w:val="en-US" w:eastAsia="zh-CN" w:bidi="en-US"/>
    </w:rPr>
  </w:style>
  <w:style w:type="character" w:customStyle="1" w:styleId="419">
    <w:name w:val="Footer1 Char"/>
    <w:qFormat/>
    <w:uiPriority w:val="0"/>
    <w:rPr>
      <w:sz w:val="18"/>
      <w:szCs w:val="18"/>
    </w:rPr>
  </w:style>
  <w:style w:type="character" w:customStyle="1" w:styleId="420">
    <w:name w:val="Char Char4"/>
    <w:qFormat/>
    <w:uiPriority w:val="0"/>
    <w:rPr>
      <w:rFonts w:ascii="Times New Roman" w:hAnsi="Times New Roman" w:eastAsia="宋体" w:cs="Times New Roman"/>
      <w:sz w:val="18"/>
      <w:szCs w:val="18"/>
    </w:rPr>
  </w:style>
  <w:style w:type="character" w:customStyle="1" w:styleId="421">
    <w:name w:val="l_text Char Char2"/>
    <w:qFormat/>
    <w:uiPriority w:val="0"/>
    <w:rPr>
      <w:rFonts w:ascii="宋体" w:hAnsi="宋体" w:eastAsia="宋体" w:cs="宋体"/>
      <w:sz w:val="28"/>
      <w:szCs w:val="28"/>
      <w:lang w:val="en-US" w:eastAsia="zh-CN" w:bidi="ar-SA"/>
    </w:rPr>
  </w:style>
  <w:style w:type="character" w:customStyle="1" w:styleId="422">
    <w:name w:val="样式 标题 2 + 黑体 小四 非加粗 Char Char"/>
    <w:qFormat/>
    <w:uiPriority w:val="0"/>
    <w:rPr>
      <w:rFonts w:ascii="黑体" w:hAnsi="黑体" w:eastAsia="黑体" w:cs="宋体"/>
      <w:kern w:val="2"/>
      <w:sz w:val="24"/>
      <w:szCs w:val="32"/>
      <w:lang w:val="en-US" w:eastAsia="zh-CN" w:bidi="ar-SA"/>
    </w:rPr>
  </w:style>
  <w:style w:type="character" w:customStyle="1" w:styleId="423">
    <w:name w:val="正文文字缩进 21 Char"/>
    <w:qFormat/>
    <w:uiPriority w:val="0"/>
    <w:rPr>
      <w:rFonts w:ascii="宋体" w:hAnsi="Times New Roman" w:eastAsia="宋体" w:cs="Times New Roman"/>
      <w:sz w:val="24"/>
      <w:szCs w:val="20"/>
    </w:rPr>
  </w:style>
  <w:style w:type="character" w:customStyle="1" w:styleId="424">
    <w:name w:val="javascript1"/>
    <w:qFormat/>
    <w:uiPriority w:val="0"/>
    <w:rPr>
      <w:rFonts w:hint="default" w:ascii="Tahoma" w:hAnsi="Tahoma" w:eastAsia="宋体" w:cs="Tahoma"/>
      <w:kern w:val="2"/>
      <w:sz w:val="24"/>
      <w:szCs w:val="24"/>
      <w:lang w:val="en-US" w:eastAsia="zh-CN" w:bidi="ar-SA"/>
    </w:rPr>
  </w:style>
  <w:style w:type="character" w:customStyle="1" w:styleId="425">
    <w:name w:val="文章正文样式 Char Char1"/>
    <w:link w:val="426"/>
    <w:qFormat/>
    <w:uiPriority w:val="0"/>
    <w:rPr>
      <w:rFonts w:ascii="宋体" w:hAnsi="宋体" w:eastAsia="宋体" w:cs="宋体"/>
      <w:kern w:val="2"/>
      <w:sz w:val="24"/>
      <w:lang w:val="en-US" w:eastAsia="zh-CN" w:bidi="ar-SA"/>
    </w:rPr>
  </w:style>
  <w:style w:type="paragraph" w:customStyle="1" w:styleId="426">
    <w:name w:val="文章正文样式 Char1"/>
    <w:basedOn w:val="1"/>
    <w:link w:val="425"/>
    <w:qFormat/>
    <w:uiPriority w:val="0"/>
    <w:pPr>
      <w:spacing w:line="520" w:lineRule="exact"/>
      <w:ind w:firstLine="480" w:firstLineChars="200"/>
      <w:jc w:val="left"/>
    </w:pPr>
    <w:rPr>
      <w:rFonts w:ascii="宋体" w:hAnsi="宋体" w:eastAsia="宋体" w:cs="宋体"/>
      <w:sz w:val="24"/>
    </w:rPr>
  </w:style>
  <w:style w:type="character" w:customStyle="1" w:styleId="427">
    <w:name w:val="样式37 Char"/>
    <w:qFormat/>
    <w:uiPriority w:val="0"/>
    <w:rPr>
      <w:rFonts w:ascii="宋体" w:hAnsi="宋体" w:eastAsia="宋体"/>
      <w:color w:val="000000"/>
      <w:sz w:val="24"/>
      <w:szCs w:val="24"/>
      <w:lang w:bidi="ar-SA"/>
    </w:rPr>
  </w:style>
  <w:style w:type="character" w:customStyle="1" w:styleId="428">
    <w:name w:val="正文文字 2 Char1"/>
    <w:qFormat/>
    <w:uiPriority w:val="99"/>
    <w:rPr>
      <w:rFonts w:ascii="Arial" w:hAnsi="Arial" w:eastAsia="宋体" w:cs="Arial"/>
      <w:kern w:val="2"/>
      <w:sz w:val="21"/>
      <w:lang w:val="en-US" w:eastAsia="zh-CN" w:bidi="ar-SA"/>
    </w:rPr>
  </w:style>
  <w:style w:type="character" w:customStyle="1" w:styleId="429">
    <w:name w:val="样式 (中文) 仿宋_GB2312 四号 行距: 多倍行距 1.25 字行 Char"/>
    <w:link w:val="430"/>
    <w:qFormat/>
    <w:uiPriority w:val="0"/>
    <w:rPr>
      <w:rFonts w:eastAsia="仿宋_GB2312" w:cs="宋体"/>
      <w:kern w:val="2"/>
      <w:sz w:val="28"/>
      <w:lang w:val="en-US" w:eastAsia="zh-CN" w:bidi="ar-SA"/>
    </w:rPr>
  </w:style>
  <w:style w:type="paragraph" w:customStyle="1" w:styleId="430">
    <w:name w:val="样式 (中文) 仿宋_GB2312 四号 行距: 多倍行距 1.25 字行"/>
    <w:basedOn w:val="1"/>
    <w:link w:val="429"/>
    <w:qFormat/>
    <w:uiPriority w:val="0"/>
    <w:pPr>
      <w:spacing w:line="300" w:lineRule="auto"/>
      <w:ind w:firstLine="520" w:firstLineChars="200"/>
    </w:pPr>
    <w:rPr>
      <w:rFonts w:cs="宋体"/>
    </w:rPr>
  </w:style>
  <w:style w:type="character" w:customStyle="1" w:styleId="431">
    <w:name w:val="txt1"/>
    <w:qFormat/>
    <w:uiPriority w:val="0"/>
    <w:rPr>
      <w:rFonts w:ascii="宋体" w:hAnsi="宋体" w:eastAsia="Arial" w:cs="宋体"/>
      <w:kern w:val="2"/>
      <w:sz w:val="24"/>
      <w:szCs w:val="24"/>
      <w:lang w:val="en-US" w:eastAsia="zh-CN" w:bidi="ar-SA"/>
    </w:rPr>
  </w:style>
  <w:style w:type="character" w:customStyle="1" w:styleId="432">
    <w:name w:val="文章正文文字 Char Char Char"/>
    <w:link w:val="433"/>
    <w:qFormat/>
    <w:uiPriority w:val="0"/>
    <w:rPr>
      <w:rFonts w:eastAsia="宋体"/>
      <w:kern w:val="2"/>
      <w:sz w:val="24"/>
      <w:szCs w:val="24"/>
      <w:lang w:val="en-US" w:eastAsia="zh-CN" w:bidi="ar-SA"/>
    </w:rPr>
  </w:style>
  <w:style w:type="paragraph" w:customStyle="1" w:styleId="433">
    <w:name w:val="文章正文文字 Char Char"/>
    <w:basedOn w:val="1"/>
    <w:link w:val="432"/>
    <w:qFormat/>
    <w:uiPriority w:val="0"/>
    <w:pPr>
      <w:spacing w:line="520" w:lineRule="exact"/>
      <w:ind w:firstLine="200" w:firstLineChars="200"/>
      <w:jc w:val="left"/>
    </w:pPr>
    <w:rPr>
      <w:rFonts w:eastAsia="宋体"/>
      <w:sz w:val="24"/>
      <w:szCs w:val="24"/>
    </w:rPr>
  </w:style>
  <w:style w:type="character" w:customStyle="1" w:styleId="434">
    <w:name w:val="正文首行缩进 2 + Times New Roman Char"/>
    <w:link w:val="435"/>
    <w:qFormat/>
    <w:uiPriority w:val="0"/>
    <w:rPr>
      <w:rFonts w:ascii="Arial" w:hAnsi="宋体" w:cs="Arial"/>
      <w:color w:val="FF0000"/>
      <w:sz w:val="24"/>
      <w:szCs w:val="24"/>
    </w:rPr>
  </w:style>
  <w:style w:type="paragraph" w:customStyle="1" w:styleId="435">
    <w:name w:val="正文首行缩进 2 + Times New Roman"/>
    <w:basedOn w:val="1"/>
    <w:link w:val="434"/>
    <w:qFormat/>
    <w:uiPriority w:val="0"/>
    <w:pPr>
      <w:tabs>
        <w:tab w:val="left" w:pos="0"/>
        <w:tab w:val="left" w:pos="870"/>
        <w:tab w:val="left" w:pos="3150"/>
      </w:tabs>
      <w:autoSpaceDE w:val="0"/>
      <w:autoSpaceDN w:val="0"/>
      <w:spacing w:line="440" w:lineRule="exact"/>
      <w:ind w:firstLine="480" w:firstLineChars="200"/>
      <w:jc w:val="left"/>
    </w:pPr>
    <w:rPr>
      <w:rFonts w:ascii="Arial" w:hAnsi="宋体" w:eastAsia="宋体"/>
      <w:color w:val="FF0000"/>
      <w:kern w:val="0"/>
      <w:sz w:val="24"/>
      <w:szCs w:val="24"/>
    </w:rPr>
  </w:style>
  <w:style w:type="character" w:customStyle="1" w:styleId="436">
    <w:name w:val="纯文本 Char Char Char Char"/>
    <w:qFormat/>
    <w:uiPriority w:val="0"/>
    <w:rPr>
      <w:rFonts w:ascii="宋体" w:hAnsi="Courier New" w:eastAsia="宋体"/>
      <w:sz w:val="21"/>
      <w:lang w:val="en-US" w:eastAsia="zh-CN" w:bidi="ar-SA"/>
    </w:rPr>
  </w:style>
  <w:style w:type="character" w:customStyle="1" w:styleId="437">
    <w:name w:val="文章正文样式 Char Char Char Char Char1"/>
    <w:link w:val="438"/>
    <w:qFormat/>
    <w:uiPriority w:val="0"/>
    <w:rPr>
      <w:rFonts w:ascii="宋体" w:hAnsi="宋体" w:eastAsia="宋体" w:cs="宋体"/>
      <w:kern w:val="2"/>
      <w:sz w:val="24"/>
      <w:szCs w:val="24"/>
      <w:lang w:val="en-US" w:eastAsia="zh-CN" w:bidi="ar-SA"/>
    </w:rPr>
  </w:style>
  <w:style w:type="paragraph" w:customStyle="1" w:styleId="438">
    <w:name w:val="文章正文样式 Char Char Char Char1"/>
    <w:basedOn w:val="1"/>
    <w:link w:val="437"/>
    <w:qFormat/>
    <w:uiPriority w:val="0"/>
    <w:pPr>
      <w:spacing w:line="520" w:lineRule="exact"/>
      <w:ind w:firstLine="480" w:firstLineChars="200"/>
      <w:jc w:val="left"/>
    </w:pPr>
    <w:rPr>
      <w:rFonts w:ascii="宋体" w:hAnsi="宋体" w:eastAsia="宋体" w:cs="宋体"/>
      <w:sz w:val="24"/>
      <w:szCs w:val="24"/>
    </w:rPr>
  </w:style>
  <w:style w:type="character" w:customStyle="1" w:styleId="439">
    <w:name w:val="Char Char17"/>
    <w:qFormat/>
    <w:uiPriority w:val="0"/>
    <w:rPr>
      <w:b/>
      <w:bCs/>
      <w:kern w:val="2"/>
      <w:sz w:val="24"/>
      <w:szCs w:val="24"/>
    </w:rPr>
  </w:style>
  <w:style w:type="character" w:customStyle="1" w:styleId="440">
    <w:name w:val="Char Char Char2"/>
    <w:qFormat/>
    <w:locked/>
    <w:uiPriority w:val="0"/>
    <w:rPr>
      <w:rFonts w:eastAsia="宋体"/>
      <w:sz w:val="18"/>
      <w:lang w:val="en-US" w:eastAsia="zh-CN" w:bidi="ar-SA"/>
    </w:rPr>
  </w:style>
  <w:style w:type="character" w:customStyle="1" w:styleId="441">
    <w:name w:val="正文首行缩进 Char"/>
    <w:link w:val="41"/>
    <w:qFormat/>
    <w:uiPriority w:val="99"/>
    <w:rPr>
      <w:rFonts w:eastAsia="仿宋_GB2312"/>
      <w:kern w:val="2"/>
      <w:sz w:val="28"/>
      <w:lang w:val="en-US" w:eastAsia="zh-CN" w:bidi="ar-SA"/>
    </w:rPr>
  </w:style>
  <w:style w:type="character" w:customStyle="1" w:styleId="442">
    <w:name w:val="样式5 Char"/>
    <w:link w:val="443"/>
    <w:qFormat/>
    <w:uiPriority w:val="0"/>
    <w:rPr>
      <w:rFonts w:ascii="Arial" w:hAnsi="Arial" w:eastAsia="宋体"/>
      <w:b/>
      <w:bCs/>
      <w:kern w:val="2"/>
      <w:sz w:val="28"/>
      <w:szCs w:val="32"/>
      <w:lang w:val="en-US" w:eastAsia="zh-CN" w:bidi="ar-SA"/>
    </w:rPr>
  </w:style>
  <w:style w:type="paragraph" w:customStyle="1" w:styleId="443">
    <w:name w:val="样式5"/>
    <w:basedOn w:val="444"/>
    <w:link w:val="442"/>
    <w:qFormat/>
    <w:uiPriority w:val="0"/>
    <w:pPr>
      <w:tabs>
        <w:tab w:val="left" w:pos="567"/>
        <w:tab w:val="left" w:pos="576"/>
      </w:tabs>
      <w:ind w:left="567" w:hanging="567"/>
    </w:pPr>
    <w:rPr>
      <w:sz w:val="28"/>
    </w:rPr>
  </w:style>
  <w:style w:type="paragraph" w:customStyle="1" w:styleId="444">
    <w:name w:val="标题2"/>
    <w:basedOn w:val="4"/>
    <w:next w:val="5"/>
    <w:qFormat/>
    <w:uiPriority w:val="0"/>
    <w:pPr>
      <w:tabs>
        <w:tab w:val="left" w:pos="576"/>
        <w:tab w:val="clear" w:pos="567"/>
      </w:tabs>
      <w:spacing w:before="0" w:after="0" w:line="360" w:lineRule="auto"/>
      <w:ind w:left="576" w:hanging="576"/>
    </w:pPr>
    <w:rPr>
      <w:rFonts w:ascii="Arial" w:eastAsia="宋体"/>
      <w:b/>
      <w:bCs/>
      <w:sz w:val="24"/>
      <w:szCs w:val="32"/>
    </w:rPr>
  </w:style>
  <w:style w:type="character" w:customStyle="1" w:styleId="445">
    <w:name w:val="中文正文 Char"/>
    <w:link w:val="446"/>
    <w:qFormat/>
    <w:uiPriority w:val="0"/>
    <w:rPr>
      <w:rFonts w:eastAsia="宋体"/>
      <w:color w:val="000000"/>
      <w:sz w:val="24"/>
      <w:szCs w:val="24"/>
      <w:lang w:val="en-US" w:eastAsia="zh-CN" w:bidi="ar-SA"/>
    </w:rPr>
  </w:style>
  <w:style w:type="paragraph" w:customStyle="1" w:styleId="446">
    <w:name w:val="中文正文"/>
    <w:basedOn w:val="1"/>
    <w:link w:val="445"/>
    <w:qFormat/>
    <w:uiPriority w:val="0"/>
    <w:pPr>
      <w:autoSpaceDE w:val="0"/>
      <w:autoSpaceDN w:val="0"/>
      <w:adjustRightInd w:val="0"/>
      <w:spacing w:line="360" w:lineRule="auto"/>
      <w:ind w:firstLine="200" w:firstLineChars="200"/>
    </w:pPr>
    <w:rPr>
      <w:rFonts w:eastAsia="宋体"/>
      <w:color w:val="000000"/>
      <w:kern w:val="0"/>
      <w:sz w:val="24"/>
      <w:szCs w:val="24"/>
    </w:rPr>
  </w:style>
  <w:style w:type="character" w:customStyle="1" w:styleId="447">
    <w:name w:val="at_5"/>
    <w:qFormat/>
    <w:uiPriority w:val="0"/>
    <w:rPr>
      <w:rFonts w:ascii="宋体" w:hAnsi="宋体" w:eastAsia="Arial" w:cs="宋体"/>
      <w:kern w:val="2"/>
      <w:sz w:val="24"/>
      <w:szCs w:val="24"/>
      <w:lang w:val="en-US" w:eastAsia="zh-CN" w:bidi="ar-SA"/>
    </w:rPr>
  </w:style>
  <w:style w:type="character" w:customStyle="1" w:styleId="448">
    <w:name w:val="表格备注"/>
    <w:qFormat/>
    <w:uiPriority w:val="0"/>
    <w:rPr>
      <w:rFonts w:ascii="华文楷体" w:hAnsi="华文楷体" w:eastAsia="楷体_GB2312"/>
      <w:kern w:val="0"/>
      <w:sz w:val="21"/>
    </w:rPr>
  </w:style>
  <w:style w:type="character" w:customStyle="1" w:styleId="449">
    <w:name w:val="表号、图号 Char"/>
    <w:qFormat/>
    <w:uiPriority w:val="0"/>
    <w:rPr>
      <w:rFonts w:ascii="宋体" w:hAnsi="宋体" w:eastAsia="黑体" w:cs="宋体"/>
      <w:kern w:val="2"/>
      <w:sz w:val="24"/>
      <w:szCs w:val="24"/>
      <w:lang w:val="en-US" w:eastAsia="zh-CN" w:bidi="ar-SA"/>
    </w:rPr>
  </w:style>
  <w:style w:type="character" w:customStyle="1" w:styleId="450">
    <w:name w:val="bodyfont1"/>
    <w:qFormat/>
    <w:uiPriority w:val="0"/>
    <w:rPr>
      <w:sz w:val="17"/>
      <w:szCs w:val="17"/>
    </w:rPr>
  </w:style>
  <w:style w:type="character" w:customStyle="1" w:styleId="451">
    <w:name w:val="0031"/>
    <w:qFormat/>
    <w:uiPriority w:val="0"/>
    <w:rPr>
      <w:sz w:val="21"/>
      <w:szCs w:val="21"/>
    </w:rPr>
  </w:style>
  <w:style w:type="character" w:customStyle="1" w:styleId="452">
    <w:name w:val="题注 Char"/>
    <w:link w:val="22"/>
    <w:qFormat/>
    <w:uiPriority w:val="35"/>
    <w:rPr>
      <w:rFonts w:ascii="Arial" w:hAnsi="Arial" w:eastAsia="黑体" w:cs="Arial"/>
      <w:kern w:val="2"/>
    </w:rPr>
  </w:style>
  <w:style w:type="character" w:customStyle="1" w:styleId="453">
    <w:name w:val="报告正文 Char1"/>
    <w:link w:val="454"/>
    <w:qFormat/>
    <w:uiPriority w:val="0"/>
    <w:rPr>
      <w:rFonts w:eastAsia="宋体"/>
      <w:color w:val="000000"/>
      <w:kern w:val="2"/>
      <w:sz w:val="24"/>
      <w:szCs w:val="24"/>
      <w:lang w:val="en-US" w:eastAsia="zh-CN" w:bidi="ar-SA"/>
    </w:rPr>
  </w:style>
  <w:style w:type="paragraph" w:customStyle="1" w:styleId="454">
    <w:name w:val="报告正文"/>
    <w:basedOn w:val="1"/>
    <w:link w:val="453"/>
    <w:qFormat/>
    <w:uiPriority w:val="0"/>
    <w:pPr>
      <w:tabs>
        <w:tab w:val="left" w:pos="0"/>
      </w:tabs>
      <w:spacing w:line="360" w:lineRule="auto"/>
      <w:ind w:firstLine="200" w:firstLineChars="200"/>
    </w:pPr>
    <w:rPr>
      <w:rFonts w:eastAsia="宋体"/>
      <w:color w:val="000000"/>
      <w:sz w:val="24"/>
      <w:szCs w:val="24"/>
    </w:rPr>
  </w:style>
  <w:style w:type="character" w:customStyle="1" w:styleId="455">
    <w:name w:val="正文文本 Char"/>
    <w:link w:val="34"/>
    <w:qFormat/>
    <w:uiPriority w:val="99"/>
    <w:rPr>
      <w:rFonts w:eastAsia="仿宋_GB2312"/>
      <w:kern w:val="2"/>
      <w:sz w:val="28"/>
      <w:lang w:val="en-US" w:eastAsia="zh-CN" w:bidi="ar-SA"/>
    </w:rPr>
  </w:style>
  <w:style w:type="character" w:customStyle="1" w:styleId="456">
    <w:name w:val="正文(首行缩进) Char"/>
    <w:link w:val="457"/>
    <w:qFormat/>
    <w:uiPriority w:val="0"/>
    <w:rPr>
      <w:snapToGrid/>
      <w:sz w:val="24"/>
      <w:szCs w:val="24"/>
      <w:lang w:bidi="ar-SA"/>
    </w:rPr>
  </w:style>
  <w:style w:type="paragraph" w:customStyle="1" w:styleId="457">
    <w:name w:val="正文(首行缩进)"/>
    <w:basedOn w:val="1"/>
    <w:link w:val="456"/>
    <w:qFormat/>
    <w:uiPriority w:val="0"/>
    <w:pPr>
      <w:adjustRightInd w:val="0"/>
      <w:snapToGrid w:val="0"/>
      <w:spacing w:line="360" w:lineRule="auto"/>
      <w:ind w:firstLine="200" w:firstLineChars="200"/>
    </w:pPr>
    <w:rPr>
      <w:rFonts w:eastAsia="宋体"/>
      <w:kern w:val="0"/>
      <w:sz w:val="24"/>
      <w:szCs w:val="24"/>
    </w:rPr>
  </w:style>
  <w:style w:type="character" w:customStyle="1" w:styleId="458">
    <w:name w:val="列出段落 Char2"/>
    <w:link w:val="459"/>
    <w:qFormat/>
    <w:uiPriority w:val="0"/>
    <w:rPr>
      <w:rFonts w:eastAsia="宋体"/>
      <w:kern w:val="2"/>
      <w:sz w:val="21"/>
      <w:szCs w:val="24"/>
      <w:lang w:bidi="ar-SA"/>
    </w:rPr>
  </w:style>
  <w:style w:type="paragraph" w:styleId="459">
    <w:name w:val="List Paragraph"/>
    <w:basedOn w:val="1"/>
    <w:link w:val="458"/>
    <w:qFormat/>
    <w:uiPriority w:val="34"/>
    <w:pPr>
      <w:ind w:firstLine="420" w:firstLineChars="200"/>
    </w:pPr>
    <w:rPr>
      <w:rFonts w:eastAsia="宋体"/>
      <w:sz w:val="21"/>
      <w:szCs w:val="24"/>
    </w:rPr>
  </w:style>
  <w:style w:type="character" w:customStyle="1" w:styleId="460">
    <w:name w:val="标题 2 Char"/>
    <w:link w:val="4"/>
    <w:qFormat/>
    <w:uiPriority w:val="9"/>
    <w:rPr>
      <w:rFonts w:ascii="黑体" w:hAnsi="Arial" w:eastAsia="黑体"/>
      <w:kern w:val="2"/>
      <w:sz w:val="28"/>
      <w:lang w:bidi="ar-SA"/>
    </w:rPr>
  </w:style>
  <w:style w:type="character" w:customStyle="1" w:styleId="461">
    <w:name w:val="标题 7 Char"/>
    <w:link w:val="10"/>
    <w:qFormat/>
    <w:uiPriority w:val="9"/>
    <w:rPr>
      <w:rFonts w:eastAsia="宋体"/>
      <w:b/>
      <w:bCs/>
      <w:kern w:val="2"/>
      <w:sz w:val="24"/>
      <w:szCs w:val="24"/>
      <w:lang w:val="en-US" w:eastAsia="zh-CN" w:bidi="ar-SA"/>
    </w:rPr>
  </w:style>
  <w:style w:type="character" w:customStyle="1" w:styleId="462">
    <w:name w:val="fs"/>
    <w:basedOn w:val="133"/>
    <w:qFormat/>
    <w:uiPriority w:val="0"/>
  </w:style>
  <w:style w:type="character" w:customStyle="1" w:styleId="463">
    <w:name w:val="正文文本 2 Char"/>
    <w:link w:val="77"/>
    <w:qFormat/>
    <w:uiPriority w:val="99"/>
    <w:rPr>
      <w:rFonts w:ascii="Arial" w:hAnsi="Arial" w:eastAsia="宋体" w:cs="Arial"/>
      <w:kern w:val="2"/>
      <w:sz w:val="21"/>
      <w:lang w:val="en-US" w:eastAsia="zh-CN" w:bidi="ar-SA"/>
    </w:rPr>
  </w:style>
  <w:style w:type="character" w:customStyle="1" w:styleId="464">
    <w:name w:val="文档结构图 Char"/>
    <w:qFormat/>
    <w:uiPriority w:val="0"/>
    <w:rPr>
      <w:rFonts w:eastAsia="宋体"/>
      <w:kern w:val="2"/>
      <w:sz w:val="21"/>
      <w:szCs w:val="24"/>
      <w:lang w:val="en-US" w:eastAsia="zh-CN" w:bidi="ar-SA"/>
    </w:rPr>
  </w:style>
  <w:style w:type="character" w:customStyle="1" w:styleId="465">
    <w:name w:val="样式 标题 2标题 2 Char标题节标题节 Char Char标题 2 Char Char Char标题 2 Cha... Char"/>
    <w:link w:val="466"/>
    <w:qFormat/>
    <w:uiPriority w:val="0"/>
    <w:rPr>
      <w:rFonts w:ascii="Arial" w:hAnsi="Arial" w:eastAsia="黑体"/>
      <w:color w:val="000000"/>
      <w:kern w:val="2"/>
      <w:sz w:val="28"/>
      <w:lang w:val="en-US" w:eastAsia="zh-CN" w:bidi="ar-SA"/>
    </w:rPr>
  </w:style>
  <w:style w:type="paragraph" w:customStyle="1" w:styleId="466">
    <w:name w:val="样式 标题 2标题 2 Char标题节标题节 Char Char标题 2 Char Char Char标题 2 Cha..."/>
    <w:basedOn w:val="4"/>
    <w:link w:val="465"/>
    <w:qFormat/>
    <w:uiPriority w:val="0"/>
    <w:pPr>
      <w:tabs>
        <w:tab w:val="left" w:pos="425"/>
        <w:tab w:val="clear" w:pos="567"/>
      </w:tabs>
      <w:ind w:left="425" w:hanging="425"/>
    </w:pPr>
    <w:rPr>
      <w:rFonts w:ascii="Arial"/>
      <w:color w:val="000000"/>
    </w:rPr>
  </w:style>
  <w:style w:type="character" w:customStyle="1" w:styleId="467">
    <w:name w:val="t_tag"/>
    <w:basedOn w:val="133"/>
    <w:qFormat/>
    <w:uiPriority w:val="0"/>
  </w:style>
  <w:style w:type="character" w:customStyle="1" w:styleId="468">
    <w:name w:val="表格文字 Char"/>
    <w:link w:val="469"/>
    <w:qFormat/>
    <w:uiPriority w:val="0"/>
    <w:rPr>
      <w:rFonts w:ascii="宋体" w:eastAsia="宋体"/>
      <w:kern w:val="2"/>
      <w:sz w:val="24"/>
      <w:lang w:val="en-US" w:eastAsia="zh-CN" w:bidi="ar-SA"/>
    </w:rPr>
  </w:style>
  <w:style w:type="paragraph" w:customStyle="1" w:styleId="469">
    <w:name w:val="表格文字"/>
    <w:basedOn w:val="1"/>
    <w:link w:val="468"/>
    <w:qFormat/>
    <w:uiPriority w:val="0"/>
    <w:pPr>
      <w:adjustRightInd w:val="0"/>
      <w:snapToGrid w:val="0"/>
      <w:jc w:val="center"/>
    </w:pPr>
    <w:rPr>
      <w:rFonts w:ascii="宋体" w:eastAsia="宋体"/>
      <w:sz w:val="24"/>
    </w:rPr>
  </w:style>
  <w:style w:type="character" w:customStyle="1" w:styleId="470">
    <w:name w:val="标题章 Char1"/>
    <w:qFormat/>
    <w:uiPriority w:val="0"/>
    <w:rPr>
      <w:b/>
      <w:kern w:val="44"/>
      <w:sz w:val="36"/>
    </w:rPr>
  </w:style>
  <w:style w:type="character" w:customStyle="1" w:styleId="471">
    <w:name w:val="常用正文样式 Char1"/>
    <w:link w:val="472"/>
    <w:qFormat/>
    <w:uiPriority w:val="0"/>
    <w:rPr>
      <w:rFonts w:ascii="宋体" w:hAnsi="新宋体" w:eastAsia="楷体_GB2312" w:cs="宋体"/>
      <w:kern w:val="2"/>
      <w:sz w:val="24"/>
      <w:szCs w:val="24"/>
      <w:lang w:val="en-US" w:eastAsia="zh-CN" w:bidi="ar-SA"/>
    </w:rPr>
  </w:style>
  <w:style w:type="paragraph" w:customStyle="1" w:styleId="472">
    <w:name w:val="常用正文样式"/>
    <w:link w:val="471"/>
    <w:qFormat/>
    <w:uiPriority w:val="0"/>
    <w:pPr>
      <w:widowControl w:val="0"/>
      <w:spacing w:line="360" w:lineRule="auto"/>
      <w:ind w:firstLine="454"/>
      <w:jc w:val="both"/>
    </w:pPr>
    <w:rPr>
      <w:rFonts w:ascii="宋体" w:hAnsi="新宋体" w:eastAsia="楷体_GB2312" w:cs="宋体"/>
      <w:kern w:val="2"/>
      <w:sz w:val="24"/>
      <w:szCs w:val="24"/>
      <w:lang w:val="en-US" w:eastAsia="zh-CN" w:bidi="ar-SA"/>
    </w:rPr>
  </w:style>
  <w:style w:type="character" w:customStyle="1" w:styleId="473">
    <w:name w:val="文章正文样式 Char Char Char Char3"/>
    <w:link w:val="474"/>
    <w:qFormat/>
    <w:uiPriority w:val="0"/>
    <w:rPr>
      <w:rFonts w:ascii="宋体" w:hAnsi="宋体" w:eastAsia="宋体" w:cs="宋体"/>
      <w:kern w:val="2"/>
      <w:sz w:val="24"/>
      <w:lang w:val="en-US" w:eastAsia="zh-CN" w:bidi="ar-SA"/>
    </w:rPr>
  </w:style>
  <w:style w:type="paragraph" w:customStyle="1" w:styleId="474">
    <w:name w:val="文章正文样式 Char Char Char4"/>
    <w:basedOn w:val="1"/>
    <w:link w:val="473"/>
    <w:qFormat/>
    <w:uiPriority w:val="0"/>
    <w:pPr>
      <w:spacing w:line="520" w:lineRule="exact"/>
      <w:ind w:firstLine="480" w:firstLineChars="200"/>
      <w:jc w:val="left"/>
    </w:pPr>
    <w:rPr>
      <w:rFonts w:ascii="宋体" w:hAnsi="宋体" w:eastAsia="宋体" w:cs="宋体"/>
      <w:sz w:val="24"/>
    </w:rPr>
  </w:style>
  <w:style w:type="character" w:customStyle="1" w:styleId="475">
    <w:name w:val="样式3 Char"/>
    <w:link w:val="476"/>
    <w:qFormat/>
    <w:uiPriority w:val="0"/>
    <w:rPr>
      <w:rFonts w:ascii="Arial" w:hAnsi="Arial" w:eastAsia="宋体" w:cs="Arial"/>
      <w:spacing w:val="10"/>
      <w:kern w:val="2"/>
      <w:sz w:val="24"/>
      <w:szCs w:val="32"/>
      <w:lang w:val="en-US" w:eastAsia="zh-CN" w:bidi="ar-SA"/>
    </w:rPr>
  </w:style>
  <w:style w:type="paragraph" w:customStyle="1" w:styleId="476">
    <w:name w:val="样式3"/>
    <w:basedOn w:val="5"/>
    <w:next w:val="1"/>
    <w:link w:val="475"/>
    <w:qFormat/>
    <w:uiPriority w:val="0"/>
    <w:pPr>
      <w:spacing w:line="360" w:lineRule="auto"/>
      <w:ind w:firstLine="480"/>
    </w:pPr>
    <w:rPr>
      <w:szCs w:val="32"/>
    </w:rPr>
  </w:style>
  <w:style w:type="character" w:customStyle="1" w:styleId="477">
    <w:name w:val="样式 (中文) 仿宋_GB2312 四号1 Char"/>
    <w:link w:val="478"/>
    <w:qFormat/>
    <w:uiPriority w:val="0"/>
    <w:rPr>
      <w:rFonts w:eastAsia="仿宋_GB2312" w:cs="宋体"/>
      <w:kern w:val="2"/>
      <w:sz w:val="28"/>
      <w:lang w:val="en-US" w:eastAsia="zh-CN" w:bidi="ar-SA"/>
    </w:rPr>
  </w:style>
  <w:style w:type="paragraph" w:customStyle="1" w:styleId="478">
    <w:name w:val="样式 (中文) 仿宋_GB2312 四号1"/>
    <w:basedOn w:val="1"/>
    <w:link w:val="477"/>
    <w:qFormat/>
    <w:uiPriority w:val="0"/>
    <w:pPr>
      <w:ind w:firstLine="520" w:firstLineChars="200"/>
    </w:pPr>
    <w:rPr>
      <w:rFonts w:cs="宋体"/>
    </w:rPr>
  </w:style>
  <w:style w:type="character" w:customStyle="1" w:styleId="479">
    <w:name w:val="正文段落 Char"/>
    <w:link w:val="480"/>
    <w:qFormat/>
    <w:uiPriority w:val="0"/>
    <w:rPr>
      <w:rFonts w:ascii="宋体" w:hAnsi="Tms Rmn" w:eastAsia="宋体"/>
      <w:sz w:val="28"/>
      <w:szCs w:val="28"/>
      <w:lang w:val="en-US" w:eastAsia="zh-CN" w:bidi="ar-SA"/>
    </w:rPr>
  </w:style>
  <w:style w:type="paragraph" w:customStyle="1" w:styleId="480">
    <w:name w:val="正文段落"/>
    <w:basedOn w:val="1"/>
    <w:link w:val="479"/>
    <w:qFormat/>
    <w:uiPriority w:val="0"/>
    <w:pPr>
      <w:autoSpaceDE w:val="0"/>
      <w:autoSpaceDN w:val="0"/>
      <w:adjustRightInd w:val="0"/>
      <w:spacing w:line="500" w:lineRule="exact"/>
      <w:ind w:firstLine="200" w:firstLineChars="200"/>
      <w:textAlignment w:val="baseline"/>
    </w:pPr>
    <w:rPr>
      <w:rFonts w:ascii="宋体" w:hAnsi="Tms Rmn" w:eastAsia="宋体"/>
      <w:kern w:val="0"/>
      <w:szCs w:val="28"/>
    </w:rPr>
  </w:style>
  <w:style w:type="character" w:customStyle="1" w:styleId="481">
    <w:name w:val="font141"/>
    <w:qFormat/>
    <w:uiPriority w:val="0"/>
    <w:rPr>
      <w:sz w:val="23"/>
      <w:szCs w:val="23"/>
    </w:rPr>
  </w:style>
  <w:style w:type="character" w:customStyle="1" w:styleId="482">
    <w:name w:val="环科院正文 Char"/>
    <w:qFormat/>
    <w:uiPriority w:val="0"/>
    <w:rPr>
      <w:rFonts w:ascii="宋体" w:hAnsi="宋体" w:eastAsia="宋体" w:cs="宋体"/>
      <w:bCs/>
      <w:kern w:val="2"/>
      <w:sz w:val="24"/>
      <w:szCs w:val="24"/>
      <w:u w:val="none" w:color="000000"/>
      <w:lang w:val="zh-CN" w:eastAsia="zh-CN" w:bidi="ar-SA"/>
    </w:rPr>
  </w:style>
  <w:style w:type="character" w:customStyle="1" w:styleId="483">
    <w:name w:val="表头文字 Char"/>
    <w:link w:val="484"/>
    <w:qFormat/>
    <w:uiPriority w:val="0"/>
    <w:rPr>
      <w:rFonts w:ascii="黑体" w:hAnsi="宋体" w:eastAsia="黑体"/>
      <w:kern w:val="2"/>
      <w:sz w:val="24"/>
      <w:lang w:val="en-US" w:eastAsia="zh-CN" w:bidi="ar-SA"/>
    </w:rPr>
  </w:style>
  <w:style w:type="paragraph" w:customStyle="1" w:styleId="484">
    <w:name w:val="表头文字"/>
    <w:basedOn w:val="1"/>
    <w:link w:val="483"/>
    <w:qFormat/>
    <w:uiPriority w:val="0"/>
    <w:pPr>
      <w:spacing w:before="312" w:beforeLines="100" w:line="400" w:lineRule="exact"/>
      <w:jc w:val="center"/>
    </w:pPr>
    <w:rPr>
      <w:rFonts w:ascii="黑体" w:hAnsi="宋体" w:eastAsia="黑体"/>
      <w:sz w:val="24"/>
    </w:rPr>
  </w:style>
  <w:style w:type="character" w:customStyle="1" w:styleId="485">
    <w:name w:val="1号正文 Char"/>
    <w:link w:val="486"/>
    <w:qFormat/>
    <w:uiPriority w:val="0"/>
    <w:rPr>
      <w:rFonts w:eastAsia="仿宋_GB2312"/>
      <w:kern w:val="2"/>
      <w:sz w:val="24"/>
      <w:szCs w:val="24"/>
      <w:lang w:val="en-US" w:eastAsia="zh-CN" w:bidi="ar-SA"/>
    </w:rPr>
  </w:style>
  <w:style w:type="paragraph" w:customStyle="1" w:styleId="486">
    <w:name w:val="1号正文"/>
    <w:basedOn w:val="1"/>
    <w:link w:val="485"/>
    <w:qFormat/>
    <w:uiPriority w:val="0"/>
    <w:pPr>
      <w:spacing w:line="360" w:lineRule="auto"/>
      <w:ind w:firstLine="200" w:firstLineChars="200"/>
    </w:pPr>
    <w:rPr>
      <w:sz w:val="24"/>
      <w:szCs w:val="24"/>
    </w:rPr>
  </w:style>
  <w:style w:type="character" w:customStyle="1" w:styleId="487">
    <w:name w:val="表格 Char"/>
    <w:link w:val="488"/>
    <w:qFormat/>
    <w:uiPriority w:val="0"/>
    <w:rPr>
      <w:rFonts w:eastAsia="楷体_GB2312"/>
      <w:sz w:val="24"/>
      <w:lang w:val="en-US" w:eastAsia="zh-CN" w:bidi="ar-SA"/>
    </w:rPr>
  </w:style>
  <w:style w:type="paragraph" w:customStyle="1" w:styleId="488">
    <w:name w:val="表格"/>
    <w:basedOn w:val="1"/>
    <w:link w:val="487"/>
    <w:qFormat/>
    <w:uiPriority w:val="0"/>
    <w:pPr>
      <w:autoSpaceDE w:val="0"/>
      <w:autoSpaceDN w:val="0"/>
      <w:adjustRightInd w:val="0"/>
      <w:spacing w:line="520" w:lineRule="exact"/>
      <w:ind w:firstLine="200" w:firstLineChars="200"/>
      <w:jc w:val="center"/>
    </w:pPr>
    <w:rPr>
      <w:rFonts w:eastAsia="楷体_GB2312"/>
      <w:kern w:val="0"/>
      <w:sz w:val="24"/>
    </w:rPr>
  </w:style>
  <w:style w:type="character" w:customStyle="1" w:styleId="489">
    <w:name w:val="表格内容 Char"/>
    <w:link w:val="248"/>
    <w:qFormat/>
    <w:uiPriority w:val="0"/>
    <w:rPr>
      <w:rFonts w:ascii="Arial" w:hAnsi="Arial" w:eastAsia="宋体"/>
      <w:kern w:val="2"/>
      <w:sz w:val="21"/>
      <w:szCs w:val="21"/>
      <w:lang w:val="en-US" w:eastAsia="zh-CN" w:bidi="ar-SA"/>
    </w:rPr>
  </w:style>
  <w:style w:type="character" w:customStyle="1" w:styleId="490">
    <w:name w:val="at_1"/>
    <w:qFormat/>
    <w:uiPriority w:val="0"/>
    <w:rPr>
      <w:rFonts w:ascii="宋体" w:hAnsi="宋体" w:eastAsia="Arial" w:cs="宋体"/>
      <w:kern w:val="2"/>
      <w:sz w:val="24"/>
      <w:szCs w:val="24"/>
      <w:lang w:val="en-US" w:eastAsia="zh-CN" w:bidi="ar-SA"/>
    </w:rPr>
  </w:style>
  <w:style w:type="character" w:customStyle="1" w:styleId="491">
    <w:name w:val="正文01 Char"/>
    <w:link w:val="492"/>
    <w:qFormat/>
    <w:uiPriority w:val="0"/>
    <w:rPr>
      <w:rFonts w:eastAsia="宋体"/>
      <w:kern w:val="2"/>
      <w:sz w:val="24"/>
      <w:szCs w:val="24"/>
      <w:lang w:val="en-US" w:eastAsia="zh-CN" w:bidi="ar-SA"/>
    </w:rPr>
  </w:style>
  <w:style w:type="paragraph" w:customStyle="1" w:styleId="492">
    <w:name w:val="正文01"/>
    <w:basedOn w:val="1"/>
    <w:link w:val="491"/>
    <w:qFormat/>
    <w:uiPriority w:val="0"/>
    <w:pPr>
      <w:spacing w:before="60" w:line="460" w:lineRule="exact"/>
      <w:ind w:firstLine="200" w:firstLineChars="200"/>
    </w:pPr>
    <w:rPr>
      <w:rFonts w:eastAsia="宋体"/>
      <w:sz w:val="24"/>
      <w:szCs w:val="24"/>
    </w:rPr>
  </w:style>
  <w:style w:type="character" w:customStyle="1" w:styleId="493">
    <w:name w:val="正文报告 Char"/>
    <w:qFormat/>
    <w:uiPriority w:val="0"/>
    <w:rPr>
      <w:rFonts w:ascii="宋体" w:hAnsi="宋体" w:eastAsia="宋体" w:cs="宋体"/>
      <w:kern w:val="2"/>
      <w:sz w:val="28"/>
      <w:szCs w:val="28"/>
      <w:lang w:val="en-US" w:eastAsia="zh-CN" w:bidi="ar-SA"/>
    </w:rPr>
  </w:style>
  <w:style w:type="character" w:customStyle="1" w:styleId="494">
    <w:name w:val="apple-style-span"/>
    <w:basedOn w:val="133"/>
    <w:qFormat/>
    <w:uiPriority w:val="0"/>
  </w:style>
  <w:style w:type="character" w:customStyle="1" w:styleId="495">
    <w:name w:val="样式93 Char"/>
    <w:link w:val="496"/>
    <w:qFormat/>
    <w:uiPriority w:val="0"/>
    <w:rPr>
      <w:rFonts w:eastAsia="宋体"/>
      <w:kern w:val="2"/>
      <w:sz w:val="24"/>
      <w:szCs w:val="24"/>
      <w:lang w:val="en-US" w:eastAsia="zh-CN" w:bidi="ar-SA"/>
    </w:rPr>
  </w:style>
  <w:style w:type="paragraph" w:customStyle="1" w:styleId="496">
    <w:name w:val="样式93"/>
    <w:basedOn w:val="46"/>
    <w:link w:val="495"/>
    <w:qFormat/>
    <w:uiPriority w:val="0"/>
    <w:pPr>
      <w:spacing w:before="120" w:beforeLines="50" w:after="120" w:afterLines="50" w:line="360" w:lineRule="auto"/>
      <w:ind w:firstLine="480"/>
    </w:pPr>
    <w:rPr>
      <w:rFonts w:ascii="Times New Roman" w:hAnsi="Times New Roman"/>
      <w:sz w:val="24"/>
      <w:szCs w:val="24"/>
    </w:rPr>
  </w:style>
  <w:style w:type="character" w:customStyle="1" w:styleId="497">
    <w:name w:val="blacktt1"/>
    <w:qFormat/>
    <w:uiPriority w:val="0"/>
    <w:rPr>
      <w:rFonts w:hint="default"/>
      <w:color w:val="000000"/>
      <w:sz w:val="18"/>
      <w:szCs w:val="18"/>
      <w:u w:val="none"/>
    </w:rPr>
  </w:style>
  <w:style w:type="character" w:customStyle="1" w:styleId="498">
    <w:name w:val="Char Char Char1"/>
    <w:qFormat/>
    <w:locked/>
    <w:uiPriority w:val="0"/>
    <w:rPr>
      <w:rFonts w:ascii="Arial" w:hAnsi="Arial" w:eastAsia="宋体"/>
      <w:kern w:val="2"/>
      <w:sz w:val="18"/>
      <w:szCs w:val="18"/>
      <w:lang w:val="en-US" w:eastAsia="zh-CN" w:bidi="ar-SA"/>
    </w:rPr>
  </w:style>
  <w:style w:type="character" w:customStyle="1" w:styleId="499">
    <w:name w:val="文档结构图 Char1"/>
    <w:link w:val="26"/>
    <w:qFormat/>
    <w:uiPriority w:val="0"/>
    <w:rPr>
      <w:rFonts w:eastAsia="仿宋_GB2312"/>
      <w:kern w:val="2"/>
      <w:sz w:val="28"/>
      <w:lang w:val="en-US" w:eastAsia="zh-CN" w:bidi="ar-SA"/>
    </w:rPr>
  </w:style>
  <w:style w:type="character" w:customStyle="1" w:styleId="500">
    <w:name w:val="标题2 Char Char"/>
    <w:qFormat/>
    <w:uiPriority w:val="0"/>
    <w:rPr>
      <w:rFonts w:ascii="宋体" w:hAnsi="宋体" w:eastAsia="黑体" w:cs="Arial"/>
      <w:bCs/>
      <w:kern w:val="2"/>
      <w:sz w:val="30"/>
      <w:szCs w:val="28"/>
    </w:rPr>
  </w:style>
  <w:style w:type="character" w:customStyle="1" w:styleId="501">
    <w:name w:val="页眉 Char"/>
    <w:link w:val="58"/>
    <w:qFormat/>
    <w:uiPriority w:val="0"/>
    <w:rPr>
      <w:rFonts w:eastAsia="仿宋_GB2312"/>
      <w:kern w:val="2"/>
      <w:sz w:val="18"/>
      <w:lang w:val="en-US" w:eastAsia="zh-CN" w:bidi="ar-SA"/>
    </w:rPr>
  </w:style>
  <w:style w:type="character" w:customStyle="1" w:styleId="502">
    <w:name w:val="at_3"/>
    <w:qFormat/>
    <w:uiPriority w:val="0"/>
    <w:rPr>
      <w:rFonts w:ascii="宋体" w:hAnsi="宋体" w:eastAsia="Arial" w:cs="宋体"/>
      <w:kern w:val="2"/>
      <w:sz w:val="24"/>
      <w:szCs w:val="24"/>
      <w:lang w:val="en-US" w:eastAsia="zh-CN" w:bidi="ar-SA"/>
    </w:rPr>
  </w:style>
  <w:style w:type="character" w:customStyle="1" w:styleId="503">
    <w:name w:val="无间隔 Char1"/>
    <w:link w:val="504"/>
    <w:qFormat/>
    <w:uiPriority w:val="0"/>
    <w:rPr>
      <w:rFonts w:ascii="Calibri" w:hAnsi="Calibri" w:eastAsia="Times New Roman"/>
      <w:sz w:val="22"/>
      <w:szCs w:val="22"/>
      <w:lang w:val="en-US" w:eastAsia="zh-CN" w:bidi="ar-SA"/>
    </w:rPr>
  </w:style>
  <w:style w:type="paragraph" w:styleId="504">
    <w:name w:val="No Spacing"/>
    <w:link w:val="503"/>
    <w:qFormat/>
    <w:uiPriority w:val="1"/>
    <w:pPr>
      <w:spacing w:line="360" w:lineRule="auto"/>
      <w:ind w:firstLine="200" w:firstLineChars="200"/>
    </w:pPr>
    <w:rPr>
      <w:rFonts w:ascii="Calibri" w:hAnsi="Calibri" w:eastAsia="Times New Roman" w:cs="Times New Roman"/>
      <w:sz w:val="22"/>
      <w:szCs w:val="22"/>
      <w:lang w:val="en-US" w:eastAsia="zh-CN" w:bidi="ar-SA"/>
    </w:rPr>
  </w:style>
  <w:style w:type="character" w:customStyle="1" w:styleId="505">
    <w:name w:val="标题 3 Char"/>
    <w:link w:val="6"/>
    <w:qFormat/>
    <w:uiPriority w:val="9"/>
    <w:rPr>
      <w:rFonts w:ascii="仿宋_GB2312" w:eastAsia="仿宋_GB2312"/>
      <w:b/>
      <w:bCs/>
      <w:kern w:val="2"/>
      <w:sz w:val="24"/>
      <w:lang w:bidi="ar-SA"/>
    </w:rPr>
  </w:style>
  <w:style w:type="character" w:customStyle="1" w:styleId="506">
    <w:name w:val="style41"/>
    <w:qFormat/>
    <w:uiPriority w:val="0"/>
    <w:rPr>
      <w:b/>
      <w:bCs/>
      <w:sz w:val="36"/>
      <w:szCs w:val="36"/>
    </w:rPr>
  </w:style>
  <w:style w:type="character" w:customStyle="1" w:styleId="507">
    <w:name w:val="标准正文 Char"/>
    <w:link w:val="508"/>
    <w:qFormat/>
    <w:uiPriority w:val="0"/>
    <w:rPr>
      <w:rFonts w:hAnsi="宋体" w:eastAsia="宋体"/>
      <w:kern w:val="2"/>
      <w:sz w:val="24"/>
      <w:lang w:val="en-US" w:eastAsia="zh-CN" w:bidi="ar-SA"/>
    </w:rPr>
  </w:style>
  <w:style w:type="paragraph" w:customStyle="1" w:styleId="508">
    <w:name w:val="标准正文"/>
    <w:basedOn w:val="1"/>
    <w:link w:val="507"/>
    <w:qFormat/>
    <w:uiPriority w:val="0"/>
    <w:pPr>
      <w:spacing w:line="360" w:lineRule="auto"/>
      <w:ind w:firstLine="480" w:firstLineChars="200"/>
    </w:pPr>
    <w:rPr>
      <w:rFonts w:hAnsi="宋体" w:eastAsia="宋体"/>
      <w:sz w:val="24"/>
    </w:rPr>
  </w:style>
  <w:style w:type="character" w:customStyle="1" w:styleId="509">
    <w:name w:val="特点标题 Char1"/>
    <w:qFormat/>
    <w:uiPriority w:val="0"/>
    <w:rPr>
      <w:rFonts w:eastAsia="宋体"/>
      <w:kern w:val="2"/>
      <w:sz w:val="21"/>
      <w:lang w:val="en-US" w:eastAsia="zh-CN" w:bidi="ar-SA"/>
    </w:rPr>
  </w:style>
  <w:style w:type="character" w:customStyle="1" w:styleId="510">
    <w:name w:val="普通段落 Char Char"/>
    <w:link w:val="511"/>
    <w:qFormat/>
    <w:uiPriority w:val="0"/>
    <w:rPr>
      <w:rFonts w:eastAsia="宋体"/>
      <w:color w:val="000000"/>
      <w:sz w:val="24"/>
      <w:szCs w:val="24"/>
      <w:lang w:bidi="ar-SA"/>
    </w:rPr>
  </w:style>
  <w:style w:type="paragraph" w:customStyle="1" w:styleId="511">
    <w:name w:val="普通段落"/>
    <w:basedOn w:val="1"/>
    <w:link w:val="510"/>
    <w:qFormat/>
    <w:uiPriority w:val="0"/>
    <w:pPr>
      <w:adjustRightInd w:val="0"/>
      <w:snapToGrid w:val="0"/>
      <w:spacing w:beforeLines="50" w:afterLines="50" w:line="360" w:lineRule="auto"/>
      <w:ind w:firstLine="200" w:firstLineChars="200"/>
    </w:pPr>
    <w:rPr>
      <w:rFonts w:eastAsia="宋体"/>
      <w:color w:val="000000"/>
      <w:kern w:val="0"/>
      <w:sz w:val="24"/>
      <w:szCs w:val="24"/>
    </w:rPr>
  </w:style>
  <w:style w:type="character" w:customStyle="1" w:styleId="512">
    <w:name w:val="标头 Char"/>
    <w:link w:val="513"/>
    <w:qFormat/>
    <w:uiPriority w:val="0"/>
    <w:rPr>
      <w:rFonts w:ascii="Arial" w:hAnsi="Arial" w:eastAsia="黑体"/>
      <w:kern w:val="2"/>
      <w:sz w:val="21"/>
      <w:szCs w:val="21"/>
      <w:lang w:bidi="ar-SA"/>
    </w:rPr>
  </w:style>
  <w:style w:type="paragraph" w:customStyle="1" w:styleId="513">
    <w:name w:val="标头"/>
    <w:basedOn w:val="1"/>
    <w:link w:val="512"/>
    <w:qFormat/>
    <w:uiPriority w:val="0"/>
    <w:pPr>
      <w:spacing w:line="360" w:lineRule="auto"/>
      <w:jc w:val="center"/>
    </w:pPr>
    <w:rPr>
      <w:rFonts w:ascii="Arial" w:hAnsi="Arial" w:eastAsia="黑体"/>
      <w:sz w:val="21"/>
      <w:szCs w:val="21"/>
    </w:rPr>
  </w:style>
  <w:style w:type="character" w:customStyle="1" w:styleId="514">
    <w:name w:val="表1 Char Char"/>
    <w:link w:val="515"/>
    <w:qFormat/>
    <w:uiPriority w:val="0"/>
    <w:rPr>
      <w:rFonts w:ascii="宋体"/>
      <w:sz w:val="21"/>
      <w:lang w:val="en-US" w:eastAsia="zh-CN" w:bidi="ar-SA"/>
    </w:rPr>
  </w:style>
  <w:style w:type="paragraph" w:customStyle="1" w:styleId="515">
    <w:name w:val="表1"/>
    <w:next w:val="1"/>
    <w:link w:val="514"/>
    <w:qFormat/>
    <w:uiPriority w:val="0"/>
    <w:pPr>
      <w:adjustRightInd w:val="0"/>
      <w:snapToGrid w:val="0"/>
      <w:jc w:val="center"/>
    </w:pPr>
    <w:rPr>
      <w:rFonts w:ascii="宋体" w:hAnsi="Times New Roman" w:eastAsia="宋体" w:cs="Times New Roman"/>
      <w:sz w:val="21"/>
      <w:lang w:val="en-US" w:eastAsia="zh-CN" w:bidi="ar-SA"/>
    </w:rPr>
  </w:style>
  <w:style w:type="character" w:customStyle="1" w:styleId="516">
    <w:name w:val="标题 5 Char"/>
    <w:link w:val="8"/>
    <w:qFormat/>
    <w:uiPriority w:val="9"/>
    <w:rPr>
      <w:rFonts w:eastAsia="仿宋_GB2312"/>
      <w:b/>
      <w:bCs/>
      <w:kern w:val="2"/>
      <w:sz w:val="21"/>
      <w:szCs w:val="28"/>
      <w:lang w:val="en-US" w:eastAsia="zh-CN" w:bidi="ar-SA"/>
    </w:rPr>
  </w:style>
  <w:style w:type="character" w:customStyle="1" w:styleId="517">
    <w:name w:val="标题 9 Char"/>
    <w:link w:val="12"/>
    <w:qFormat/>
    <w:uiPriority w:val="0"/>
    <w:rPr>
      <w:rFonts w:ascii="Arial" w:hAnsi="Arial" w:eastAsia="黑体"/>
      <w:kern w:val="2"/>
      <w:sz w:val="21"/>
      <w:szCs w:val="21"/>
      <w:lang w:val="en-US" w:eastAsia="zh-CN" w:bidi="ar-SA"/>
    </w:rPr>
  </w:style>
  <w:style w:type="character" w:customStyle="1" w:styleId="518">
    <w:name w:val="正文YHY Char"/>
    <w:link w:val="519"/>
    <w:qFormat/>
    <w:uiPriority w:val="0"/>
    <w:rPr>
      <w:rFonts w:eastAsia="宋体"/>
      <w:kern w:val="2"/>
      <w:sz w:val="24"/>
      <w:szCs w:val="24"/>
      <w:lang w:bidi="ar-SA"/>
    </w:rPr>
  </w:style>
  <w:style w:type="paragraph" w:customStyle="1" w:styleId="519">
    <w:name w:val="正文YHY"/>
    <w:basedOn w:val="1"/>
    <w:link w:val="518"/>
    <w:qFormat/>
    <w:uiPriority w:val="0"/>
    <w:pPr>
      <w:spacing w:before="50" w:beforeLines="50" w:after="50" w:afterLines="50" w:line="360" w:lineRule="auto"/>
      <w:ind w:firstLine="200" w:firstLineChars="200"/>
    </w:pPr>
    <w:rPr>
      <w:rFonts w:eastAsia="宋体"/>
      <w:sz w:val="24"/>
      <w:szCs w:val="24"/>
    </w:rPr>
  </w:style>
  <w:style w:type="character" w:customStyle="1" w:styleId="520">
    <w:name w:val="HTML 地址 Char"/>
    <w:link w:val="42"/>
    <w:qFormat/>
    <w:uiPriority w:val="0"/>
    <w:rPr>
      <w:rFonts w:eastAsia="仿宋_GB2312"/>
      <w:kern w:val="2"/>
      <w:sz w:val="18"/>
      <w:lang w:val="en-US" w:eastAsia="zh-CN" w:bidi="ar-SA"/>
    </w:rPr>
  </w:style>
  <w:style w:type="character" w:customStyle="1" w:styleId="521">
    <w:name w:val="标题 9 Char1"/>
    <w:qFormat/>
    <w:uiPriority w:val="0"/>
    <w:rPr>
      <w:rFonts w:ascii="Cambria" w:hAnsi="Cambria" w:eastAsia="宋体" w:cs="Times New Roman"/>
      <w:kern w:val="2"/>
      <w:sz w:val="21"/>
      <w:szCs w:val="21"/>
    </w:rPr>
  </w:style>
  <w:style w:type="character" w:customStyle="1" w:styleId="522">
    <w:name w:val="A正文 Char Char"/>
    <w:link w:val="523"/>
    <w:qFormat/>
    <w:uiPriority w:val="0"/>
    <w:rPr>
      <w:rFonts w:eastAsia="仿宋_GB2312"/>
      <w:sz w:val="24"/>
      <w:szCs w:val="24"/>
      <w:lang w:val="en-US" w:eastAsia="zh-CN" w:bidi="ar-SA"/>
    </w:rPr>
  </w:style>
  <w:style w:type="paragraph" w:customStyle="1" w:styleId="523">
    <w:name w:val="A正文"/>
    <w:basedOn w:val="1"/>
    <w:link w:val="522"/>
    <w:qFormat/>
    <w:uiPriority w:val="0"/>
    <w:pPr>
      <w:widowControl/>
      <w:overflowPunct w:val="0"/>
      <w:autoSpaceDE w:val="0"/>
      <w:autoSpaceDN w:val="0"/>
      <w:adjustRightInd w:val="0"/>
      <w:spacing w:line="360" w:lineRule="auto"/>
      <w:ind w:firstLine="200" w:firstLineChars="200"/>
      <w:jc w:val="left"/>
      <w:textAlignment w:val="baseline"/>
    </w:pPr>
    <w:rPr>
      <w:kern w:val="0"/>
      <w:sz w:val="24"/>
      <w:szCs w:val="24"/>
    </w:rPr>
  </w:style>
  <w:style w:type="character" w:customStyle="1" w:styleId="524">
    <w:name w:val="样式2 Char"/>
    <w:link w:val="525"/>
    <w:qFormat/>
    <w:uiPriority w:val="0"/>
    <w:rPr>
      <w:rFonts w:ascii="Arial" w:hAnsi="Arial" w:eastAsia="仿宋_GB2312" w:cs="Arial"/>
      <w:spacing w:val="10"/>
      <w:kern w:val="2"/>
      <w:sz w:val="24"/>
      <w:szCs w:val="32"/>
      <w:lang w:val="en-US" w:eastAsia="zh-CN" w:bidi="ar-SA"/>
    </w:rPr>
  </w:style>
  <w:style w:type="paragraph" w:customStyle="1" w:styleId="525">
    <w:name w:val="样式2"/>
    <w:basedOn w:val="5"/>
    <w:next w:val="5"/>
    <w:link w:val="524"/>
    <w:qFormat/>
    <w:uiPriority w:val="0"/>
    <w:pPr>
      <w:spacing w:line="360" w:lineRule="auto"/>
      <w:ind w:firstLine="200"/>
    </w:pPr>
    <w:rPr>
      <w:rFonts w:eastAsia="仿宋_GB2312"/>
      <w:szCs w:val="32"/>
    </w:rPr>
  </w:style>
  <w:style w:type="character" w:customStyle="1" w:styleId="526">
    <w:name w:val="px14"/>
    <w:qFormat/>
    <w:uiPriority w:val="0"/>
    <w:rPr>
      <w:rFonts w:ascii="宋体" w:hAnsi="宋体" w:eastAsia="Arial" w:cs="宋体"/>
      <w:kern w:val="2"/>
      <w:sz w:val="24"/>
      <w:szCs w:val="24"/>
      <w:lang w:val="en-US" w:eastAsia="zh-CN" w:bidi="ar-SA"/>
    </w:rPr>
  </w:style>
  <w:style w:type="character" w:customStyle="1" w:styleId="527">
    <w:name w:val="font01"/>
    <w:qFormat/>
    <w:uiPriority w:val="0"/>
    <w:rPr>
      <w:rFonts w:hint="eastAsia" w:ascii="宋体" w:hAnsi="宋体" w:eastAsia="宋体" w:cs="宋体"/>
      <w:b/>
      <w:bCs/>
      <w:color w:val="000000"/>
      <w:sz w:val="24"/>
      <w:szCs w:val="24"/>
      <w:u w:val="none"/>
    </w:rPr>
  </w:style>
  <w:style w:type="character" w:customStyle="1" w:styleId="528">
    <w:name w:val="样式6 Char"/>
    <w:link w:val="529"/>
    <w:qFormat/>
    <w:uiPriority w:val="0"/>
    <w:rPr>
      <w:rFonts w:ascii="Arial" w:hAnsi="Arial" w:eastAsia="宋体" w:cs="Arial"/>
      <w:spacing w:val="10"/>
      <w:kern w:val="2"/>
      <w:sz w:val="24"/>
      <w:szCs w:val="32"/>
      <w:lang w:val="en-US" w:eastAsia="zh-CN" w:bidi="ar-SA"/>
    </w:rPr>
  </w:style>
  <w:style w:type="paragraph" w:customStyle="1" w:styleId="529">
    <w:name w:val="样式6"/>
    <w:basedOn w:val="5"/>
    <w:link w:val="528"/>
    <w:qFormat/>
    <w:uiPriority w:val="0"/>
    <w:pPr>
      <w:tabs>
        <w:tab w:val="left" w:pos="1080"/>
      </w:tabs>
      <w:ind w:left="425" w:hanging="425"/>
    </w:pPr>
  </w:style>
  <w:style w:type="character" w:customStyle="1" w:styleId="530">
    <w:name w:val="big_14px"/>
    <w:basedOn w:val="133"/>
    <w:qFormat/>
    <w:uiPriority w:val="0"/>
  </w:style>
  <w:style w:type="character" w:customStyle="1" w:styleId="531">
    <w:name w:val="7表格(治) Char Char"/>
    <w:link w:val="193"/>
    <w:qFormat/>
    <w:uiPriority w:val="0"/>
    <w:rPr>
      <w:rFonts w:hAnsi="宋体" w:eastAsia="Times New Roman"/>
      <w:color w:val="000000"/>
      <w:sz w:val="24"/>
      <w:szCs w:val="24"/>
      <w:lang w:val="en-US" w:eastAsia="zh-CN" w:bidi="ar-SA"/>
    </w:rPr>
  </w:style>
  <w:style w:type="character" w:customStyle="1" w:styleId="532">
    <w:name w:val="表标题... Char"/>
    <w:qFormat/>
    <w:uiPriority w:val="0"/>
    <w:rPr>
      <w:rFonts w:ascii="Arial" w:hAnsi="Arial" w:eastAsia="宋体" w:cs="宋体"/>
      <w:b/>
      <w:color w:val="800080"/>
      <w:kern w:val="2"/>
      <w:sz w:val="24"/>
      <w:szCs w:val="24"/>
      <w:lang w:val="en-US" w:eastAsia="zh-CN" w:bidi="ar-SA"/>
    </w:rPr>
  </w:style>
  <w:style w:type="character" w:customStyle="1" w:styleId="533">
    <w:name w:val="Char Char11"/>
    <w:qFormat/>
    <w:uiPriority w:val="0"/>
    <w:rPr>
      <w:rFonts w:ascii="Times New Roman" w:hAnsi="Times New Roman" w:eastAsia="黑体"/>
      <w:b/>
      <w:bCs/>
      <w:kern w:val="44"/>
      <w:sz w:val="44"/>
      <w:szCs w:val="44"/>
    </w:rPr>
  </w:style>
  <w:style w:type="character" w:customStyle="1" w:styleId="534">
    <w:name w:val="样式1 Char Char"/>
    <w:link w:val="535"/>
    <w:qFormat/>
    <w:uiPriority w:val="0"/>
    <w:rPr>
      <w:rFonts w:ascii="仿宋_GB2312" w:eastAsia="仿宋_GB2312"/>
      <w:b/>
      <w:bCs/>
      <w:kern w:val="2"/>
      <w:sz w:val="24"/>
      <w:lang w:bidi="ar-SA"/>
    </w:rPr>
  </w:style>
  <w:style w:type="paragraph" w:customStyle="1" w:styleId="535">
    <w:name w:val="样式1"/>
    <w:basedOn w:val="6"/>
    <w:next w:val="41"/>
    <w:link w:val="534"/>
    <w:qFormat/>
    <w:uiPriority w:val="0"/>
    <w:pPr>
      <w:tabs>
        <w:tab w:val="left" w:pos="1080"/>
      </w:tabs>
    </w:pPr>
  </w:style>
  <w:style w:type="character" w:customStyle="1" w:styleId="536">
    <w:name w:val="a标题 3 Char Char"/>
    <w:qFormat/>
    <w:uiPriority w:val="0"/>
    <w:rPr>
      <w:rFonts w:ascii="黑体" w:eastAsia="宋体"/>
      <w:b/>
      <w:sz w:val="28"/>
      <w:lang w:val="en-GB" w:eastAsia="zh-CN" w:bidi="ar-SA"/>
    </w:rPr>
  </w:style>
  <w:style w:type="character" w:customStyle="1" w:styleId="537">
    <w:name w:val="fz_td4"/>
    <w:basedOn w:val="133"/>
    <w:qFormat/>
    <w:uiPriority w:val="0"/>
  </w:style>
  <w:style w:type="character" w:customStyle="1" w:styleId="538">
    <w:name w:val="正文标准样式 Char Char"/>
    <w:link w:val="539"/>
    <w:qFormat/>
    <w:uiPriority w:val="0"/>
    <w:rPr>
      <w:rFonts w:eastAsia="宋体"/>
      <w:sz w:val="24"/>
      <w:lang w:val="en-US" w:eastAsia="zh-CN" w:bidi="ar-SA"/>
    </w:rPr>
  </w:style>
  <w:style w:type="paragraph" w:customStyle="1" w:styleId="539">
    <w:name w:val="正文标准样式"/>
    <w:basedOn w:val="1"/>
    <w:link w:val="538"/>
    <w:qFormat/>
    <w:uiPriority w:val="0"/>
    <w:pPr>
      <w:adjustRightInd w:val="0"/>
      <w:spacing w:before="100" w:line="360" w:lineRule="auto"/>
      <w:ind w:firstLine="482"/>
      <w:textAlignment w:val="baseline"/>
    </w:pPr>
    <w:rPr>
      <w:rFonts w:eastAsia="宋体"/>
      <w:kern w:val="0"/>
      <w:sz w:val="24"/>
    </w:rPr>
  </w:style>
  <w:style w:type="character" w:customStyle="1" w:styleId="540">
    <w:name w:val="三级标题 Char Char"/>
    <w:qFormat/>
    <w:uiPriority w:val="0"/>
    <w:rPr>
      <w:rFonts w:eastAsia="宋体"/>
      <w:b/>
      <w:bCs/>
      <w:kern w:val="2"/>
      <w:sz w:val="24"/>
      <w:szCs w:val="24"/>
      <w:lang w:val="en-US" w:eastAsia="zh-CN" w:bidi="ar-SA"/>
    </w:rPr>
  </w:style>
  <w:style w:type="character" w:customStyle="1" w:styleId="541">
    <w:name w:val="报告书正文 Char Char"/>
    <w:link w:val="542"/>
    <w:qFormat/>
    <w:uiPriority w:val="0"/>
    <w:rPr>
      <w:rFonts w:eastAsia="宋体"/>
      <w:kern w:val="2"/>
      <w:sz w:val="24"/>
      <w:szCs w:val="24"/>
      <w:lang w:val="en-US" w:eastAsia="zh-CN" w:bidi="ar-SA"/>
    </w:rPr>
  </w:style>
  <w:style w:type="paragraph" w:customStyle="1" w:styleId="542">
    <w:name w:val="报告书正文"/>
    <w:basedOn w:val="1"/>
    <w:link w:val="541"/>
    <w:qFormat/>
    <w:uiPriority w:val="0"/>
    <w:pPr>
      <w:spacing w:after="60" w:line="500" w:lineRule="exact"/>
      <w:ind w:firstLine="200" w:firstLineChars="200"/>
    </w:pPr>
    <w:rPr>
      <w:rFonts w:eastAsia="宋体"/>
      <w:sz w:val="24"/>
      <w:szCs w:val="24"/>
    </w:rPr>
  </w:style>
  <w:style w:type="character" w:customStyle="1" w:styleId="543">
    <w:name w:val="tiny"/>
    <w:basedOn w:val="133"/>
    <w:qFormat/>
    <w:uiPriority w:val="0"/>
  </w:style>
  <w:style w:type="character" w:customStyle="1" w:styleId="544">
    <w:name w:val="列出段落 Char1"/>
    <w:qFormat/>
    <w:uiPriority w:val="0"/>
    <w:rPr>
      <w:rFonts w:eastAsia="宋体"/>
      <w:kern w:val="2"/>
      <w:sz w:val="21"/>
      <w:szCs w:val="24"/>
      <w:lang w:bidi="ar-SA"/>
    </w:rPr>
  </w:style>
  <w:style w:type="character" w:customStyle="1" w:styleId="545">
    <w:name w:val="font11"/>
    <w:qFormat/>
    <w:uiPriority w:val="0"/>
    <w:rPr>
      <w:rFonts w:hint="eastAsia" w:ascii="宋体" w:hAnsi="宋体" w:eastAsia="宋体" w:cs="宋体"/>
      <w:b/>
      <w:bCs/>
      <w:color w:val="000000"/>
      <w:sz w:val="21"/>
      <w:szCs w:val="21"/>
    </w:rPr>
  </w:style>
  <w:style w:type="character" w:customStyle="1" w:styleId="546">
    <w:name w:val="font21"/>
    <w:qFormat/>
    <w:uiPriority w:val="0"/>
    <w:rPr>
      <w:rFonts w:ascii="Times New Roman" w:hAnsi="Times New Roman" w:eastAsia="楷体_GB2312" w:cs="Times New Roman"/>
      <w:b/>
      <w:bCs/>
      <w:color w:val="000000"/>
      <w:sz w:val="21"/>
      <w:szCs w:val="21"/>
    </w:rPr>
  </w:style>
  <w:style w:type="character" w:customStyle="1" w:styleId="547">
    <w:name w:val="5文章(治) Char Char"/>
    <w:link w:val="548"/>
    <w:qFormat/>
    <w:uiPriority w:val="0"/>
    <w:rPr>
      <w:kern w:val="2"/>
      <w:sz w:val="24"/>
    </w:rPr>
  </w:style>
  <w:style w:type="paragraph" w:customStyle="1" w:styleId="548">
    <w:name w:val="5文章(治)"/>
    <w:basedOn w:val="1"/>
    <w:link w:val="547"/>
    <w:qFormat/>
    <w:uiPriority w:val="0"/>
    <w:pPr>
      <w:spacing w:line="360" w:lineRule="auto"/>
      <w:ind w:firstLine="480" w:firstLineChars="200"/>
    </w:pPr>
    <w:rPr>
      <w:rFonts w:eastAsia="宋体"/>
      <w:sz w:val="24"/>
    </w:rPr>
  </w:style>
  <w:style w:type="character" w:customStyle="1" w:styleId="549">
    <w:name w:val="样式 正文缩进s4 + 首行缩进:  2 字符 Char"/>
    <w:semiHidden/>
    <w:qFormat/>
    <w:uiPriority w:val="0"/>
    <w:rPr>
      <w:rFonts w:eastAsia="宋体" w:cs="宋体"/>
      <w:kern w:val="2"/>
      <w:sz w:val="24"/>
      <w:lang w:val="en-US" w:eastAsia="zh-CN" w:bidi="ar-SA"/>
    </w:rPr>
  </w:style>
  <w:style w:type="character" w:customStyle="1" w:styleId="550">
    <w:name w:val="正文文本缩进 2 Char"/>
    <w:link w:val="52"/>
    <w:qFormat/>
    <w:uiPriority w:val="0"/>
    <w:rPr>
      <w:rFonts w:ascii="宋体" w:hAnsi="宋体"/>
      <w:kern w:val="2"/>
      <w:sz w:val="24"/>
    </w:rPr>
  </w:style>
  <w:style w:type="character" w:customStyle="1" w:styleId="551">
    <w:name w:val="样式11111 Char"/>
    <w:link w:val="552"/>
    <w:qFormat/>
    <w:uiPriority w:val="0"/>
    <w:rPr>
      <w:rFonts w:eastAsia="宋体"/>
      <w:color w:val="000000"/>
      <w:kern w:val="2"/>
      <w:sz w:val="24"/>
      <w:szCs w:val="24"/>
      <w:lang w:val="en-US" w:eastAsia="zh-CN" w:bidi="ar-SA"/>
    </w:rPr>
  </w:style>
  <w:style w:type="paragraph" w:customStyle="1" w:styleId="552">
    <w:name w:val="样式11111"/>
    <w:basedOn w:val="1"/>
    <w:link w:val="551"/>
    <w:qFormat/>
    <w:uiPriority w:val="0"/>
    <w:pPr>
      <w:spacing w:before="156" w:beforeLines="50" w:after="156" w:afterLines="50" w:line="360" w:lineRule="auto"/>
      <w:ind w:firstLine="480" w:firstLineChars="200"/>
    </w:pPr>
    <w:rPr>
      <w:rFonts w:eastAsia="宋体"/>
      <w:color w:val="000000"/>
      <w:sz w:val="24"/>
      <w:szCs w:val="24"/>
    </w:rPr>
  </w:style>
  <w:style w:type="character" w:customStyle="1" w:styleId="553">
    <w:name w:val="表格正文 Char"/>
    <w:link w:val="554"/>
    <w:qFormat/>
    <w:uiPriority w:val="0"/>
    <w:rPr>
      <w:rFonts w:eastAsia="宋体"/>
      <w:kern w:val="2"/>
      <w:sz w:val="21"/>
      <w:lang w:val="en-US" w:eastAsia="zh-CN" w:bidi="ar-SA"/>
    </w:rPr>
  </w:style>
  <w:style w:type="paragraph" w:customStyle="1" w:styleId="554">
    <w:name w:val="表格正文"/>
    <w:basedOn w:val="1"/>
    <w:link w:val="553"/>
    <w:qFormat/>
    <w:uiPriority w:val="0"/>
    <w:pPr>
      <w:adjustRightInd w:val="0"/>
      <w:spacing w:line="0" w:lineRule="atLeast"/>
      <w:textAlignment w:val="baseline"/>
    </w:pPr>
    <w:rPr>
      <w:rFonts w:eastAsia="宋体"/>
      <w:sz w:val="21"/>
    </w:rPr>
  </w:style>
  <w:style w:type="character" w:customStyle="1" w:styleId="555">
    <w:name w:val="报告标题2 Char"/>
    <w:link w:val="556"/>
    <w:qFormat/>
    <w:uiPriority w:val="0"/>
    <w:rPr>
      <w:rFonts w:ascii="Arial" w:hAnsi="Arial" w:eastAsia="宋体"/>
      <w:b/>
      <w:color w:val="000000"/>
      <w:kern w:val="2"/>
      <w:sz w:val="28"/>
      <w:szCs w:val="32"/>
      <w:lang w:val="en-US" w:eastAsia="zh-CN" w:bidi="ar-SA"/>
    </w:rPr>
  </w:style>
  <w:style w:type="paragraph" w:customStyle="1" w:styleId="556">
    <w:name w:val="报告标题2"/>
    <w:basedOn w:val="4"/>
    <w:link w:val="555"/>
    <w:qFormat/>
    <w:uiPriority w:val="0"/>
    <w:pPr>
      <w:tabs>
        <w:tab w:val="left" w:pos="0"/>
      </w:tabs>
      <w:spacing w:before="50" w:beforeLines="50" w:after="0" w:line="360" w:lineRule="auto"/>
      <w:ind w:left="0" w:firstLine="0"/>
      <w:jc w:val="left"/>
    </w:pPr>
    <w:rPr>
      <w:rFonts w:ascii="Arial" w:eastAsia="宋体"/>
      <w:b/>
      <w:color w:val="000000"/>
      <w:szCs w:val="32"/>
    </w:rPr>
  </w:style>
  <w:style w:type="character" w:customStyle="1" w:styleId="557">
    <w:name w:val="3级标题 Char"/>
    <w:link w:val="558"/>
    <w:qFormat/>
    <w:uiPriority w:val="0"/>
    <w:rPr>
      <w:rFonts w:eastAsia="仿宋_GB2312"/>
      <w:b/>
      <w:sz w:val="28"/>
      <w:szCs w:val="28"/>
      <w:lang w:val="en-US" w:eastAsia="zh-CN" w:bidi="ar-SA"/>
    </w:rPr>
  </w:style>
  <w:style w:type="paragraph" w:customStyle="1" w:styleId="558">
    <w:name w:val="3级标题"/>
    <w:basedOn w:val="1"/>
    <w:link w:val="557"/>
    <w:qFormat/>
    <w:uiPriority w:val="0"/>
    <w:pPr>
      <w:spacing w:before="60" w:line="500" w:lineRule="exact"/>
      <w:outlineLvl w:val="2"/>
    </w:pPr>
    <w:rPr>
      <w:b/>
      <w:kern w:val="0"/>
      <w:szCs w:val="28"/>
    </w:rPr>
  </w:style>
  <w:style w:type="character" w:customStyle="1" w:styleId="559">
    <w:name w:val="Char Char7"/>
    <w:qFormat/>
    <w:uiPriority w:val="0"/>
    <w:rPr>
      <w:rFonts w:eastAsia="仿宋_GB2312"/>
      <w:kern w:val="2"/>
      <w:sz w:val="18"/>
      <w:lang w:val="en-US" w:eastAsia="zh-CN" w:bidi="ar-SA"/>
    </w:rPr>
  </w:style>
  <w:style w:type="character" w:customStyle="1" w:styleId="560">
    <w:name w:val="a21"/>
    <w:qFormat/>
    <w:uiPriority w:val="0"/>
    <w:rPr>
      <w:rFonts w:hint="default" w:ascii="Geneva" w:hAnsi="Geneva" w:eastAsia="Arial" w:cs="宋体"/>
      <w:color w:val="000000"/>
      <w:kern w:val="2"/>
      <w:sz w:val="23"/>
      <w:szCs w:val="23"/>
      <w:u w:val="none"/>
      <w:lang w:val="en-US" w:eastAsia="zh-CN" w:bidi="ar-SA"/>
    </w:rPr>
  </w:style>
  <w:style w:type="character" w:customStyle="1" w:styleId="561">
    <w:name w:val="L标题4L Char"/>
    <w:link w:val="562"/>
    <w:qFormat/>
    <w:uiPriority w:val="0"/>
    <w:rPr>
      <w:rFonts w:eastAsia="宋体"/>
      <w:b/>
      <w:sz w:val="24"/>
      <w:szCs w:val="24"/>
      <w:lang w:bidi="ar-SA"/>
    </w:rPr>
  </w:style>
  <w:style w:type="paragraph" w:customStyle="1" w:styleId="562">
    <w:name w:val="L标题4L"/>
    <w:basedOn w:val="1"/>
    <w:next w:val="1"/>
    <w:link w:val="561"/>
    <w:qFormat/>
    <w:uiPriority w:val="0"/>
    <w:pPr>
      <w:keepNext/>
      <w:keepLines/>
      <w:spacing w:before="120" w:after="120" w:line="500" w:lineRule="exact"/>
      <w:outlineLvl w:val="3"/>
    </w:pPr>
    <w:rPr>
      <w:rFonts w:eastAsia="宋体"/>
      <w:b/>
      <w:kern w:val="0"/>
      <w:sz w:val="24"/>
      <w:szCs w:val="24"/>
    </w:rPr>
  </w:style>
  <w:style w:type="character" w:customStyle="1" w:styleId="563">
    <w:name w:val="正文首行缩进2 Char Char"/>
    <w:link w:val="564"/>
    <w:qFormat/>
    <w:uiPriority w:val="0"/>
    <w:rPr>
      <w:rFonts w:ascii="宋体"/>
      <w:sz w:val="24"/>
      <w:szCs w:val="24"/>
    </w:rPr>
  </w:style>
  <w:style w:type="paragraph" w:customStyle="1" w:styleId="564">
    <w:name w:val="正文首行缩进2"/>
    <w:basedOn w:val="1"/>
    <w:link w:val="563"/>
    <w:qFormat/>
    <w:uiPriority w:val="0"/>
    <w:pPr>
      <w:tabs>
        <w:tab w:val="left" w:pos="0"/>
        <w:tab w:val="left" w:pos="870"/>
        <w:tab w:val="left" w:pos="3150"/>
      </w:tabs>
      <w:autoSpaceDE w:val="0"/>
      <w:autoSpaceDN w:val="0"/>
      <w:spacing w:line="360" w:lineRule="auto"/>
      <w:ind w:firstLine="200" w:firstLineChars="200"/>
      <w:jc w:val="left"/>
    </w:pPr>
    <w:rPr>
      <w:rFonts w:ascii="宋体" w:eastAsia="宋体"/>
      <w:kern w:val="0"/>
      <w:sz w:val="24"/>
      <w:szCs w:val="24"/>
    </w:rPr>
  </w:style>
  <w:style w:type="character" w:customStyle="1" w:styleId="565">
    <w:name w:val="font14height20"/>
    <w:qFormat/>
    <w:uiPriority w:val="0"/>
    <w:rPr>
      <w:rFonts w:ascii="宋体" w:hAnsi="宋体" w:eastAsia="Arial" w:cs="宋体"/>
      <w:kern w:val="2"/>
      <w:sz w:val="24"/>
      <w:szCs w:val="24"/>
      <w:lang w:val="en-US" w:eastAsia="zh-CN" w:bidi="ar-SA"/>
    </w:rPr>
  </w:style>
  <w:style w:type="character" w:customStyle="1" w:styleId="566">
    <w:name w:val="章 Char Char"/>
    <w:qFormat/>
    <w:uiPriority w:val="0"/>
    <w:rPr>
      <w:smallCaps/>
      <w:spacing w:val="5"/>
      <w:sz w:val="32"/>
      <w:szCs w:val="32"/>
    </w:rPr>
  </w:style>
  <w:style w:type="character" w:customStyle="1" w:styleId="567">
    <w:name w:val="样式5 Char Char Char Char"/>
    <w:qFormat/>
    <w:uiPriority w:val="0"/>
    <w:rPr>
      <w:rFonts w:ascii="Arial" w:hAnsi="Arial" w:eastAsia="宋体"/>
      <w:b/>
      <w:bCs/>
      <w:kern w:val="2"/>
      <w:sz w:val="28"/>
      <w:szCs w:val="32"/>
      <w:lang w:val="en-US" w:eastAsia="zh-CN" w:bidi="ar-SA"/>
    </w:rPr>
  </w:style>
  <w:style w:type="character" w:customStyle="1" w:styleId="568">
    <w:name w:val="tpc_content1"/>
    <w:qFormat/>
    <w:uiPriority w:val="0"/>
    <w:rPr>
      <w:rFonts w:ascii="宋体" w:hAnsi="宋体" w:eastAsia="宋体" w:cs="宋体"/>
      <w:kern w:val="2"/>
      <w:sz w:val="28"/>
      <w:szCs w:val="28"/>
      <w:lang w:val="en-US" w:eastAsia="zh-CN" w:bidi="ar-SA"/>
    </w:rPr>
  </w:style>
  <w:style w:type="character" w:customStyle="1" w:styleId="569">
    <w:name w:val="文档结构图 Char Char"/>
    <w:qFormat/>
    <w:uiPriority w:val="0"/>
    <w:rPr>
      <w:rFonts w:eastAsia="宋体"/>
      <w:kern w:val="2"/>
      <w:sz w:val="21"/>
      <w:szCs w:val="24"/>
      <w:lang w:val="en-US" w:eastAsia="zh-CN" w:bidi="ar-SA"/>
    </w:rPr>
  </w:style>
  <w:style w:type="character" w:customStyle="1" w:styleId="570">
    <w:name w:val="表号、图号 Char Char"/>
    <w:link w:val="571"/>
    <w:qFormat/>
    <w:uiPriority w:val="0"/>
    <w:rPr>
      <w:rFonts w:ascii="宋体" w:hAnsi="宋体" w:eastAsia="黑体" w:cs="宋体"/>
      <w:kern w:val="2"/>
      <w:sz w:val="24"/>
      <w:szCs w:val="24"/>
      <w:lang w:val="en-US" w:eastAsia="zh-CN" w:bidi="ar-SA"/>
    </w:rPr>
  </w:style>
  <w:style w:type="paragraph" w:customStyle="1" w:styleId="571">
    <w:name w:val="表号、图号"/>
    <w:basedOn w:val="1"/>
    <w:link w:val="570"/>
    <w:qFormat/>
    <w:uiPriority w:val="0"/>
    <w:pPr>
      <w:spacing w:line="360" w:lineRule="auto"/>
      <w:jc w:val="center"/>
    </w:pPr>
    <w:rPr>
      <w:rFonts w:ascii="宋体" w:hAnsi="宋体" w:eastAsia="黑体" w:cs="宋体"/>
      <w:sz w:val="24"/>
      <w:szCs w:val="24"/>
    </w:rPr>
  </w:style>
  <w:style w:type="character" w:customStyle="1" w:styleId="572">
    <w:name w:val="3zw1"/>
    <w:qFormat/>
    <w:uiPriority w:val="0"/>
    <w:rPr>
      <w:color w:val="000000"/>
      <w:spacing w:val="360"/>
      <w:sz w:val="21"/>
      <w:szCs w:val="21"/>
    </w:rPr>
  </w:style>
  <w:style w:type="character" w:customStyle="1" w:styleId="573">
    <w:name w:val="content"/>
    <w:qFormat/>
    <w:uiPriority w:val="0"/>
    <w:rPr>
      <w:rFonts w:ascii="宋体" w:hAnsi="宋体" w:eastAsia="Arial" w:cs="宋体"/>
      <w:kern w:val="2"/>
      <w:sz w:val="24"/>
      <w:szCs w:val="24"/>
      <w:lang w:val="en-US" w:eastAsia="zh-CN" w:bidi="ar-SA"/>
    </w:rPr>
  </w:style>
  <w:style w:type="character" w:customStyle="1" w:styleId="574">
    <w:name w:val="样式5 Char Char Char2"/>
    <w:qFormat/>
    <w:uiPriority w:val="0"/>
    <w:rPr>
      <w:rFonts w:ascii="宋体" w:hAnsi="宋体" w:eastAsia="宋体" w:cs="宋体"/>
      <w:kern w:val="2"/>
      <w:sz w:val="24"/>
      <w:szCs w:val="24"/>
      <w:lang w:val="en-US" w:eastAsia="zh-CN" w:bidi="ar-SA"/>
    </w:rPr>
  </w:style>
  <w:style w:type="character" w:customStyle="1" w:styleId="575">
    <w:name w:val="表格 Char Char"/>
    <w:qFormat/>
    <w:uiPriority w:val="0"/>
    <w:rPr>
      <w:rFonts w:eastAsia="宋体"/>
      <w:spacing w:val="24"/>
      <w:sz w:val="24"/>
      <w:lang w:val="en-US" w:eastAsia="zh-CN" w:bidi="ar-SA"/>
    </w:rPr>
  </w:style>
  <w:style w:type="character" w:customStyle="1" w:styleId="576">
    <w:name w:val="自动A Char Char"/>
    <w:qFormat/>
    <w:uiPriority w:val="0"/>
    <w:rPr>
      <w:rFonts w:ascii="宋体" w:hAnsi="宋体" w:eastAsia="宋体" w:cs="宋体"/>
      <w:color w:val="000000"/>
      <w:kern w:val="2"/>
      <w:sz w:val="24"/>
      <w:szCs w:val="24"/>
      <w:lang w:val="en-US" w:eastAsia="zh-CN" w:bidi="ar-SA"/>
    </w:rPr>
  </w:style>
  <w:style w:type="character" w:customStyle="1" w:styleId="577">
    <w:name w:val="正文首行缩进 Char Char Char Char Char Char Char Char Char Char Char Char Char Char Char Char Char Char Char Char Char Char Char Char1"/>
    <w:qFormat/>
    <w:uiPriority w:val="0"/>
    <w:rPr>
      <w:rFonts w:ascii="宋体" w:hAnsi="宋体" w:eastAsia="仿宋_GB2312" w:cs="宋体"/>
      <w:kern w:val="2"/>
      <w:sz w:val="28"/>
      <w:szCs w:val="24"/>
      <w:lang w:val="en-US" w:eastAsia="zh-CN" w:bidi="ar-SA"/>
    </w:rPr>
  </w:style>
  <w:style w:type="character" w:customStyle="1" w:styleId="578">
    <w:name w:val="question-title2"/>
    <w:qFormat/>
    <w:uiPriority w:val="0"/>
    <w:rPr>
      <w:rFonts w:ascii="宋体" w:hAnsi="宋体" w:eastAsia="Arial" w:cs="宋体"/>
      <w:kern w:val="2"/>
      <w:sz w:val="24"/>
      <w:szCs w:val="24"/>
      <w:lang w:val="en-US" w:eastAsia="zh-CN" w:bidi="ar-SA"/>
    </w:rPr>
  </w:style>
  <w:style w:type="character" w:customStyle="1" w:styleId="579">
    <w:name w:val="样式 首行缩进:  2 字符1 Char Char"/>
    <w:link w:val="580"/>
    <w:qFormat/>
    <w:uiPriority w:val="0"/>
    <w:rPr>
      <w:rFonts w:ascii="宋体" w:hAnsi="宋体" w:eastAsia="宋体" w:cs="宋体"/>
      <w:kern w:val="2"/>
      <w:sz w:val="24"/>
      <w:szCs w:val="24"/>
      <w:lang w:bidi="ar-SA"/>
    </w:rPr>
  </w:style>
  <w:style w:type="paragraph" w:customStyle="1" w:styleId="580">
    <w:name w:val="样式 首行缩进:  2 字符1"/>
    <w:basedOn w:val="1"/>
    <w:link w:val="579"/>
    <w:qFormat/>
    <w:uiPriority w:val="0"/>
    <w:pPr>
      <w:adjustRightInd w:val="0"/>
      <w:snapToGrid w:val="0"/>
      <w:spacing w:line="360" w:lineRule="auto"/>
      <w:ind w:firstLine="480" w:firstLineChars="200"/>
    </w:pPr>
    <w:rPr>
      <w:rFonts w:ascii="宋体" w:hAnsi="宋体" w:eastAsia="宋体" w:cs="宋体"/>
      <w:sz w:val="24"/>
      <w:szCs w:val="24"/>
    </w:rPr>
  </w:style>
  <w:style w:type="character" w:customStyle="1" w:styleId="581">
    <w:name w:val="Char Char21"/>
    <w:qFormat/>
    <w:uiPriority w:val="0"/>
    <w:rPr>
      <w:b/>
      <w:bCs/>
      <w:kern w:val="2"/>
      <w:sz w:val="32"/>
      <w:szCs w:val="32"/>
    </w:rPr>
  </w:style>
  <w:style w:type="character" w:customStyle="1" w:styleId="582">
    <w:name w:val="文章正文样式 Char1 Char2 Char Char"/>
    <w:qFormat/>
    <w:uiPriority w:val="0"/>
    <w:rPr>
      <w:rFonts w:ascii="宋体" w:hAnsi="宋体" w:eastAsia="宋体" w:cs="宋体"/>
      <w:kern w:val="2"/>
      <w:sz w:val="24"/>
      <w:szCs w:val="24"/>
      <w:lang w:val="en-US" w:eastAsia="zh-CN" w:bidi="ar-SA"/>
    </w:rPr>
  </w:style>
  <w:style w:type="character" w:customStyle="1" w:styleId="583">
    <w:name w:val="报告表文字 Char"/>
    <w:link w:val="584"/>
    <w:qFormat/>
    <w:uiPriority w:val="0"/>
    <w:rPr>
      <w:rFonts w:eastAsia="宋体"/>
      <w:kern w:val="10"/>
      <w:sz w:val="24"/>
      <w:szCs w:val="24"/>
      <w:lang w:val="en-US" w:eastAsia="zh-CN" w:bidi="ar-SA"/>
    </w:rPr>
  </w:style>
  <w:style w:type="paragraph" w:customStyle="1" w:styleId="584">
    <w:name w:val="报告表文字"/>
    <w:basedOn w:val="71"/>
    <w:link w:val="583"/>
    <w:qFormat/>
    <w:uiPriority w:val="0"/>
    <w:pPr>
      <w:spacing w:line="360" w:lineRule="auto"/>
      <w:ind w:firstLine="480"/>
    </w:pPr>
    <w:rPr>
      <w:rFonts w:ascii="Times New Roman" w:hAnsi="Times New Roman"/>
      <w:color w:val="auto"/>
      <w:kern w:val="10"/>
      <w:szCs w:val="24"/>
    </w:rPr>
  </w:style>
  <w:style w:type="character" w:customStyle="1" w:styleId="585">
    <w:name w:val="样式24 Char"/>
    <w:link w:val="586"/>
    <w:qFormat/>
    <w:uiPriority w:val="0"/>
    <w:rPr>
      <w:rFonts w:eastAsia="宋体"/>
      <w:color w:val="000000"/>
      <w:sz w:val="24"/>
      <w:lang w:val="en-US" w:eastAsia="zh-CN" w:bidi="ar-SA"/>
    </w:rPr>
  </w:style>
  <w:style w:type="paragraph" w:customStyle="1" w:styleId="586">
    <w:name w:val="样式24"/>
    <w:basedOn w:val="1"/>
    <w:link w:val="585"/>
    <w:qFormat/>
    <w:uiPriority w:val="0"/>
    <w:pPr>
      <w:snapToGrid w:val="0"/>
      <w:spacing w:before="120" w:beforeLines="50" w:after="120" w:afterLines="50" w:line="360" w:lineRule="auto"/>
      <w:ind w:firstLine="480" w:firstLineChars="200"/>
    </w:pPr>
    <w:rPr>
      <w:rFonts w:eastAsia="宋体"/>
      <w:color w:val="000000"/>
      <w:kern w:val="0"/>
      <w:sz w:val="24"/>
    </w:rPr>
  </w:style>
  <w:style w:type="character" w:customStyle="1" w:styleId="587">
    <w:name w:val="样式 (中文) 仿宋_GB2312 四号1 Char Char"/>
    <w:qFormat/>
    <w:uiPriority w:val="0"/>
    <w:rPr>
      <w:rFonts w:ascii="宋体" w:hAnsi="宋体" w:eastAsia="仿宋_GB2312" w:cs="宋体"/>
      <w:kern w:val="2"/>
      <w:sz w:val="28"/>
      <w:szCs w:val="24"/>
      <w:lang w:val="en-US" w:eastAsia="zh-CN" w:bidi="ar-SA"/>
    </w:rPr>
  </w:style>
  <w:style w:type="character" w:customStyle="1" w:styleId="588">
    <w:name w:val="Char3 Char Char"/>
    <w:qFormat/>
    <w:uiPriority w:val="0"/>
    <w:rPr>
      <w:rFonts w:ascii="宋体" w:hAnsi="宋体" w:eastAsia="宋体" w:cs="宋体"/>
      <w:kern w:val="2"/>
      <w:sz w:val="21"/>
      <w:szCs w:val="24"/>
      <w:lang w:val="en-US" w:eastAsia="zh-CN" w:bidi="ar-SA"/>
    </w:rPr>
  </w:style>
  <w:style w:type="character" w:customStyle="1" w:styleId="589">
    <w:name w:val="正文文字缩进 2 Char2"/>
    <w:qFormat/>
    <w:uiPriority w:val="0"/>
    <w:rPr>
      <w:rFonts w:ascii="宋体" w:hAnsi="宋体" w:eastAsia="宋体" w:cs="宋体"/>
      <w:kern w:val="2"/>
      <w:sz w:val="24"/>
      <w:szCs w:val="24"/>
      <w:lang w:val="en-US" w:eastAsia="zh-CN" w:bidi="ar-SA"/>
    </w:rPr>
  </w:style>
  <w:style w:type="character" w:customStyle="1" w:styleId="590">
    <w:name w:val="样式 标题 3 + Char"/>
    <w:qFormat/>
    <w:uiPriority w:val="0"/>
    <w:rPr>
      <w:rFonts w:eastAsia="宋体"/>
      <w:b/>
      <w:bCs/>
      <w:kern w:val="2"/>
      <w:sz w:val="24"/>
      <w:szCs w:val="32"/>
      <w:lang w:val="en-US" w:eastAsia="zh-CN" w:bidi="ar-SA"/>
    </w:rPr>
  </w:style>
  <w:style w:type="character" w:customStyle="1" w:styleId="591">
    <w:name w:val="ttitle1"/>
    <w:qFormat/>
    <w:uiPriority w:val="0"/>
    <w:rPr>
      <w:spacing w:val="120"/>
      <w:sz w:val="21"/>
      <w:szCs w:val="21"/>
    </w:rPr>
  </w:style>
  <w:style w:type="character" w:customStyle="1" w:styleId="592">
    <w:name w:val="正文文字缩进 2 Char"/>
    <w:qFormat/>
    <w:uiPriority w:val="0"/>
    <w:rPr>
      <w:rFonts w:ascii="宋体" w:hAnsi="宋体" w:eastAsia="宋体" w:cs="宋体"/>
      <w:kern w:val="2"/>
      <w:sz w:val="24"/>
      <w:szCs w:val="24"/>
      <w:lang w:val="en-US" w:eastAsia="zh-CN" w:bidi="ar-SA"/>
    </w:rPr>
  </w:style>
  <w:style w:type="character" w:customStyle="1" w:styleId="593">
    <w:name w:val="Char Char22"/>
    <w:qFormat/>
    <w:uiPriority w:val="0"/>
    <w:rPr>
      <w:rFonts w:ascii="宋体" w:hAnsi="宋体"/>
      <w:b/>
      <w:kern w:val="44"/>
      <w:sz w:val="32"/>
      <w:szCs w:val="32"/>
    </w:rPr>
  </w:style>
  <w:style w:type="character" w:customStyle="1" w:styleId="594">
    <w:name w:val="topictitle1"/>
    <w:qFormat/>
    <w:uiPriority w:val="0"/>
    <w:rPr>
      <w:rFonts w:ascii="宋体" w:hAnsi="宋体" w:eastAsia="Arial" w:cs="宋体"/>
      <w:b/>
      <w:bCs/>
      <w:color w:val="333333"/>
      <w:kern w:val="2"/>
      <w:sz w:val="20"/>
      <w:szCs w:val="20"/>
      <w:lang w:val="en-US" w:eastAsia="zh-CN" w:bidi="ar-SA"/>
    </w:rPr>
  </w:style>
  <w:style w:type="character" w:customStyle="1" w:styleId="595">
    <w:name w:val="f141"/>
    <w:qFormat/>
    <w:uiPriority w:val="0"/>
    <w:rPr>
      <w:color w:val="000000"/>
      <w:sz w:val="18"/>
      <w:szCs w:val="18"/>
    </w:rPr>
  </w:style>
  <w:style w:type="character" w:customStyle="1" w:styleId="596">
    <w:name w:val="样式 (中文) 仿宋_GB2312 四号 行距: 多倍行距 1.25 字行 Char Char"/>
    <w:qFormat/>
    <w:uiPriority w:val="0"/>
    <w:rPr>
      <w:rFonts w:ascii="宋体" w:hAnsi="宋体" w:eastAsia="仿宋_GB2312" w:cs="宋体"/>
      <w:kern w:val="2"/>
      <w:sz w:val="28"/>
      <w:szCs w:val="24"/>
      <w:lang w:val="en-US" w:eastAsia="zh-CN" w:bidi="ar-SA"/>
    </w:rPr>
  </w:style>
  <w:style w:type="character" w:customStyle="1" w:styleId="597">
    <w:name w:val="可研-正文首行缩进 Char Char"/>
    <w:qFormat/>
    <w:uiPriority w:val="0"/>
    <w:rPr>
      <w:rFonts w:eastAsia="宋体"/>
      <w:kern w:val="2"/>
      <w:sz w:val="21"/>
      <w:szCs w:val="24"/>
      <w:lang w:val="en-US" w:eastAsia="zh-CN" w:bidi="ar-SA"/>
    </w:rPr>
  </w:style>
  <w:style w:type="character" w:customStyle="1" w:styleId="598">
    <w:name w:val="环科院正文 Char Char"/>
    <w:link w:val="599"/>
    <w:qFormat/>
    <w:uiPriority w:val="0"/>
    <w:rPr>
      <w:rFonts w:ascii="宋体" w:hAnsi="宋体" w:eastAsia="宋体" w:cs="宋体"/>
      <w:bCs/>
      <w:kern w:val="2"/>
      <w:sz w:val="24"/>
      <w:szCs w:val="24"/>
      <w:u w:val="none" w:color="000000"/>
      <w:lang w:val="zh-CN" w:eastAsia="zh-CN" w:bidi="ar-SA"/>
    </w:rPr>
  </w:style>
  <w:style w:type="paragraph" w:customStyle="1" w:styleId="599">
    <w:name w:val="环科院正文"/>
    <w:basedOn w:val="1"/>
    <w:link w:val="598"/>
    <w:qFormat/>
    <w:uiPriority w:val="0"/>
    <w:pPr>
      <w:tabs>
        <w:tab w:val="left" w:pos="5760"/>
      </w:tabs>
      <w:spacing w:line="500" w:lineRule="exact"/>
      <w:ind w:firstLine="480" w:firstLineChars="200"/>
    </w:pPr>
    <w:rPr>
      <w:rFonts w:ascii="宋体" w:hAnsi="宋体" w:eastAsia="宋体" w:cs="宋体"/>
      <w:bCs/>
      <w:sz w:val="24"/>
      <w:szCs w:val="24"/>
      <w:u w:color="000000"/>
      <w:lang w:val="zh-CN"/>
    </w:rPr>
  </w:style>
  <w:style w:type="character" w:customStyle="1" w:styleId="600">
    <w:name w:val="Char Char14"/>
    <w:qFormat/>
    <w:uiPriority w:val="0"/>
    <w:rPr>
      <w:rFonts w:ascii="宋体"/>
      <w:sz w:val="24"/>
    </w:rPr>
  </w:style>
  <w:style w:type="character" w:customStyle="1" w:styleId="601">
    <w:name w:val="font"/>
    <w:qFormat/>
    <w:uiPriority w:val="0"/>
    <w:rPr>
      <w:rFonts w:ascii="宋体" w:hAnsi="宋体" w:eastAsia="Arial" w:cs="宋体"/>
      <w:kern w:val="2"/>
      <w:sz w:val="24"/>
      <w:szCs w:val="24"/>
      <w:lang w:val="en-US" w:eastAsia="zh-CN" w:bidi="ar-SA"/>
    </w:rPr>
  </w:style>
  <w:style w:type="character" w:customStyle="1" w:styleId="602">
    <w:name w:val="highlight1"/>
    <w:qFormat/>
    <w:uiPriority w:val="0"/>
    <w:rPr>
      <w:sz w:val="21"/>
    </w:rPr>
  </w:style>
  <w:style w:type="character" w:customStyle="1" w:styleId="603">
    <w:name w:val="正文首行缩进2个字 Char"/>
    <w:qFormat/>
    <w:uiPriority w:val="0"/>
    <w:rPr>
      <w:rFonts w:ascii="宋体" w:hAnsi="宋体" w:eastAsia="宋体" w:cs="宋体"/>
      <w:kern w:val="2"/>
      <w:sz w:val="24"/>
      <w:szCs w:val="24"/>
      <w:lang w:val="en-US" w:eastAsia="zh-CN" w:bidi="ar-SA"/>
    </w:rPr>
  </w:style>
  <w:style w:type="character" w:customStyle="1" w:styleId="604">
    <w:name w:val="fontcontent1"/>
    <w:qFormat/>
    <w:uiPriority w:val="0"/>
    <w:rPr>
      <w:color w:val="333333"/>
      <w:sz w:val="18"/>
      <w:szCs w:val="18"/>
      <w:u w:val="none"/>
    </w:rPr>
  </w:style>
  <w:style w:type="character" w:customStyle="1" w:styleId="605">
    <w:name w:val="列出段落 Char"/>
    <w:qFormat/>
    <w:uiPriority w:val="34"/>
    <w:rPr>
      <w:rFonts w:ascii="Calibri" w:hAnsi="Calibri" w:eastAsia="宋体"/>
      <w:kern w:val="2"/>
      <w:sz w:val="21"/>
      <w:szCs w:val="22"/>
      <w:lang w:val="en-US" w:eastAsia="zh-CN" w:bidi="ar-SA"/>
    </w:rPr>
  </w:style>
  <w:style w:type="character" w:customStyle="1" w:styleId="606">
    <w:name w:val="样式1 Char"/>
    <w:qFormat/>
    <w:uiPriority w:val="0"/>
    <w:rPr>
      <w:rFonts w:ascii="Arial" w:hAnsi="Arial" w:eastAsia="宋体" w:cs="Arial"/>
      <w:b/>
      <w:bCs/>
      <w:kern w:val="2"/>
      <w:sz w:val="24"/>
      <w:lang w:val="en-US" w:eastAsia="zh-CN" w:bidi="ar-SA"/>
    </w:rPr>
  </w:style>
  <w:style w:type="character" w:customStyle="1" w:styleId="607">
    <w:name w:val="正文缩 Char"/>
    <w:qFormat/>
    <w:uiPriority w:val="0"/>
    <w:rPr>
      <w:rFonts w:eastAsia="宋体"/>
      <w:kern w:val="2"/>
      <w:sz w:val="24"/>
      <w:szCs w:val="24"/>
      <w:lang w:val="en-US" w:eastAsia="zh-CN" w:bidi="ar-SA"/>
    </w:rPr>
  </w:style>
  <w:style w:type="character" w:customStyle="1" w:styleId="608">
    <w:name w:val="a91"/>
    <w:qFormat/>
    <w:uiPriority w:val="0"/>
    <w:rPr>
      <w:sz w:val="18"/>
      <w:szCs w:val="18"/>
      <w:u w:val="none"/>
    </w:rPr>
  </w:style>
  <w:style w:type="character" w:customStyle="1" w:styleId="609">
    <w:name w:val="正文文字缩进 3 Char"/>
    <w:qFormat/>
    <w:uiPriority w:val="0"/>
    <w:rPr>
      <w:rFonts w:ascii="宋体" w:hAnsi="宋体" w:eastAsia="宋体"/>
      <w:color w:val="000000"/>
      <w:kern w:val="2"/>
      <w:sz w:val="24"/>
      <w:lang w:val="en-US" w:eastAsia="zh-CN" w:bidi="ar-SA"/>
    </w:rPr>
  </w:style>
  <w:style w:type="character" w:customStyle="1" w:styleId="610">
    <w:name w:val="nota"/>
    <w:qFormat/>
    <w:uiPriority w:val="0"/>
    <w:rPr>
      <w:rFonts w:ascii="宋体" w:hAnsi="宋体" w:eastAsia="Arial" w:cs="宋体"/>
      <w:i/>
      <w:iCs/>
      <w:kern w:val="2"/>
      <w:sz w:val="20"/>
      <w:szCs w:val="24"/>
      <w:lang w:val="en-US" w:eastAsia="zh-CN" w:bidi="ar-SA"/>
    </w:rPr>
  </w:style>
  <w:style w:type="character" w:customStyle="1" w:styleId="611">
    <w:name w:val="表格文字 Char Char Char Char Char"/>
    <w:link w:val="612"/>
    <w:qFormat/>
    <w:uiPriority w:val="0"/>
    <w:rPr>
      <w:rFonts w:eastAsia="宋体"/>
      <w:kern w:val="2"/>
      <w:sz w:val="21"/>
      <w:lang w:val="en-US" w:eastAsia="zh-CN" w:bidi="ar-SA"/>
    </w:rPr>
  </w:style>
  <w:style w:type="paragraph" w:customStyle="1" w:styleId="612">
    <w:name w:val="表格文字 Char Char Char Char"/>
    <w:basedOn w:val="1"/>
    <w:link w:val="611"/>
    <w:qFormat/>
    <w:uiPriority w:val="0"/>
    <w:pPr>
      <w:spacing w:line="360" w:lineRule="exact"/>
      <w:jc w:val="center"/>
    </w:pPr>
    <w:rPr>
      <w:rFonts w:eastAsia="宋体"/>
      <w:sz w:val="21"/>
    </w:rPr>
  </w:style>
  <w:style w:type="character" w:customStyle="1" w:styleId="613">
    <w:name w:val="Char Char28"/>
    <w:qFormat/>
    <w:uiPriority w:val="0"/>
    <w:rPr>
      <w:rFonts w:ascii="宋体" w:hAnsi="Arial" w:eastAsia="宋体" w:cs="宋体"/>
      <w:b/>
      <w:kern w:val="2"/>
      <w:sz w:val="28"/>
      <w:szCs w:val="24"/>
      <w:lang w:val="en-US" w:eastAsia="zh-CN" w:bidi="ar-SA"/>
    </w:rPr>
  </w:style>
  <w:style w:type="character" w:customStyle="1" w:styleId="614">
    <w:name w:val="样式 标题 4款标题1.1.1.1标题 4 Char Char标题 4 Char四表格1目H4H41L4Mi...1 Char"/>
    <w:link w:val="615"/>
    <w:qFormat/>
    <w:uiPriority w:val="0"/>
    <w:rPr>
      <w:rFonts w:ascii="仿宋_GB2312" w:hAnsi="仿宋_GB2312" w:eastAsia="仿宋_GB2312" w:cs="宋体"/>
      <w:b/>
      <w:bCs/>
      <w:kern w:val="2"/>
      <w:sz w:val="24"/>
      <w:szCs w:val="24"/>
      <w:lang w:val="en-US" w:eastAsia="zh-CN" w:bidi="ar-SA"/>
    </w:rPr>
  </w:style>
  <w:style w:type="paragraph" w:customStyle="1" w:styleId="615">
    <w:name w:val="样式 标题 4款标题1.1.1.1标题 4 Char Char标题 4 Char四表格1目H4H41L4Mi...1"/>
    <w:basedOn w:val="7"/>
    <w:link w:val="614"/>
    <w:qFormat/>
    <w:uiPriority w:val="0"/>
    <w:pPr>
      <w:keepLines w:val="0"/>
      <w:adjustRightInd w:val="0"/>
      <w:snapToGrid w:val="0"/>
      <w:spacing w:line="360" w:lineRule="auto"/>
      <w:ind w:left="1134"/>
      <w:textAlignment w:val="baseline"/>
    </w:pPr>
    <w:rPr>
      <w:rFonts w:ascii="仿宋_GB2312" w:hAnsi="仿宋_GB2312"/>
      <w:bCs/>
      <w:color w:val="auto"/>
      <w:kern w:val="0"/>
    </w:rPr>
  </w:style>
  <w:style w:type="character" w:customStyle="1" w:styleId="616">
    <w:name w:val="正文中 Char"/>
    <w:link w:val="617"/>
    <w:qFormat/>
    <w:uiPriority w:val="0"/>
    <w:rPr>
      <w:rFonts w:eastAsia="宋体"/>
      <w:spacing w:val="10"/>
      <w:kern w:val="2"/>
      <w:sz w:val="24"/>
      <w:lang w:val="en-US" w:eastAsia="zh-CN" w:bidi="ar-SA"/>
    </w:rPr>
  </w:style>
  <w:style w:type="paragraph" w:customStyle="1" w:styleId="617">
    <w:name w:val="正文中"/>
    <w:basedOn w:val="1"/>
    <w:link w:val="616"/>
    <w:qFormat/>
    <w:uiPriority w:val="0"/>
    <w:pPr>
      <w:spacing w:before="60" w:line="460" w:lineRule="exact"/>
      <w:ind w:firstLine="200" w:firstLineChars="200"/>
    </w:pPr>
    <w:rPr>
      <w:rFonts w:eastAsia="宋体"/>
      <w:spacing w:val="10"/>
      <w:sz w:val="24"/>
    </w:rPr>
  </w:style>
  <w:style w:type="character" w:customStyle="1" w:styleId="618">
    <w:name w:val="标题 3 Char Char2"/>
    <w:qFormat/>
    <w:uiPriority w:val="0"/>
    <w:rPr>
      <w:rFonts w:ascii="宋体" w:hAnsi="宋体" w:eastAsia="宋体" w:cs="宋体"/>
      <w:b/>
      <w:bCs/>
      <w:kern w:val="2"/>
      <w:sz w:val="28"/>
      <w:szCs w:val="24"/>
      <w:lang w:val="en-US" w:eastAsia="zh-CN" w:bidi="ar-SA"/>
    </w:rPr>
  </w:style>
  <w:style w:type="character" w:customStyle="1" w:styleId="619">
    <w:name w:val="Char Char16"/>
    <w:qFormat/>
    <w:uiPriority w:val="0"/>
    <w:rPr>
      <w:rFonts w:ascii="宋体" w:hAnsi="宋体" w:eastAsia="宋体"/>
      <w:kern w:val="2"/>
      <w:sz w:val="24"/>
      <w:szCs w:val="18"/>
      <w:lang w:val="en-US" w:eastAsia="zh-CN" w:bidi="ar-SA"/>
    </w:rPr>
  </w:style>
  <w:style w:type="character" w:customStyle="1" w:styleId="620">
    <w:name w:val="表文字 Char1"/>
    <w:link w:val="304"/>
    <w:qFormat/>
    <w:uiPriority w:val="0"/>
    <w:rPr>
      <w:rFonts w:eastAsia="宋体"/>
      <w:sz w:val="24"/>
      <w:lang w:val="en-US" w:eastAsia="zh-CN" w:bidi="ar-SA"/>
    </w:rPr>
  </w:style>
  <w:style w:type="character" w:customStyle="1" w:styleId="621">
    <w:name w:val="标题1.1.1.1.1.1 Char Char"/>
    <w:qFormat/>
    <w:uiPriority w:val="0"/>
    <w:rPr>
      <w:rFonts w:ascii="Arial" w:hAnsi="Arial" w:eastAsia="黑体"/>
      <w:b/>
      <w:color w:val="FF0000"/>
      <w:lang w:bidi="ar-SA"/>
    </w:rPr>
  </w:style>
  <w:style w:type="character" w:customStyle="1" w:styleId="622">
    <w:name w:val="Char Char27"/>
    <w:qFormat/>
    <w:uiPriority w:val="0"/>
    <w:rPr>
      <w:rFonts w:eastAsia="宋体"/>
      <w:kern w:val="2"/>
      <w:sz w:val="21"/>
      <w:szCs w:val="24"/>
      <w:lang w:val="en-US" w:eastAsia="zh-CN" w:bidi="ar-SA"/>
    </w:rPr>
  </w:style>
  <w:style w:type="character" w:customStyle="1" w:styleId="623">
    <w:name w:val="Char Char1"/>
    <w:link w:val="624"/>
    <w:qFormat/>
    <w:uiPriority w:val="0"/>
    <w:rPr>
      <w:rFonts w:ascii="宋体" w:hAnsi="宋体" w:eastAsia="宋体" w:cs="宋体"/>
      <w:kern w:val="2"/>
      <w:sz w:val="24"/>
      <w:szCs w:val="24"/>
      <w:lang w:val="en-US" w:eastAsia="zh-CN" w:bidi="ar-SA"/>
    </w:rPr>
  </w:style>
  <w:style w:type="paragraph" w:customStyle="1" w:styleId="624">
    <w:name w:val="Char"/>
    <w:basedOn w:val="1"/>
    <w:link w:val="623"/>
    <w:qFormat/>
    <w:uiPriority w:val="0"/>
    <w:pPr>
      <w:spacing w:line="360" w:lineRule="auto"/>
      <w:ind w:firstLine="200" w:firstLineChars="200"/>
    </w:pPr>
    <w:rPr>
      <w:rFonts w:ascii="宋体" w:hAnsi="宋体" w:eastAsia="宋体" w:cs="宋体"/>
      <w:sz w:val="24"/>
      <w:szCs w:val="24"/>
    </w:rPr>
  </w:style>
  <w:style w:type="character" w:customStyle="1" w:styleId="625">
    <w:name w:val="mainfont21"/>
    <w:qFormat/>
    <w:uiPriority w:val="0"/>
    <w:rPr>
      <w:color w:val="666666"/>
      <w:sz w:val="18"/>
      <w:szCs w:val="18"/>
      <w:u w:val="none"/>
    </w:rPr>
  </w:style>
  <w:style w:type="character" w:customStyle="1" w:styleId="626">
    <w:name w:val="批注框文本 Char"/>
    <w:link w:val="55"/>
    <w:qFormat/>
    <w:uiPriority w:val="99"/>
    <w:rPr>
      <w:rFonts w:eastAsia="仿宋_GB2312"/>
      <w:kern w:val="2"/>
      <w:sz w:val="18"/>
      <w:szCs w:val="18"/>
      <w:lang w:val="en-US" w:eastAsia="zh-CN" w:bidi="ar-SA"/>
    </w:rPr>
  </w:style>
  <w:style w:type="character" w:customStyle="1" w:styleId="627">
    <w:name w:val="t_blue_01"/>
    <w:qFormat/>
    <w:uiPriority w:val="0"/>
  </w:style>
  <w:style w:type="character" w:customStyle="1" w:styleId="628">
    <w:name w:val="HTML 预设格式 Char"/>
    <w:link w:val="81"/>
    <w:qFormat/>
    <w:uiPriority w:val="0"/>
    <w:rPr>
      <w:rFonts w:ascii="黑体" w:hAnsi="Courier New" w:eastAsia="黑体" w:cs="Courier New"/>
      <w:lang w:val="en-US" w:eastAsia="zh-CN" w:bidi="ar-SA"/>
    </w:rPr>
  </w:style>
  <w:style w:type="character" w:customStyle="1" w:styleId="629">
    <w:name w:val="articlecontent1"/>
    <w:qFormat/>
    <w:uiPriority w:val="0"/>
    <w:rPr>
      <w:sz w:val="21"/>
      <w:szCs w:val="21"/>
    </w:rPr>
  </w:style>
  <w:style w:type="character" w:customStyle="1" w:styleId="630">
    <w:name w:val="Lux 表格标题 Char"/>
    <w:link w:val="631"/>
    <w:qFormat/>
    <w:uiPriority w:val="0"/>
    <w:rPr>
      <w:rFonts w:ascii="宋体" w:hAnsi="宋体" w:eastAsia="宋体"/>
      <w:sz w:val="22"/>
      <w:lang w:bidi="ar-SA"/>
    </w:rPr>
  </w:style>
  <w:style w:type="paragraph" w:customStyle="1" w:styleId="631">
    <w:name w:val="Lux 表格标题"/>
    <w:basedOn w:val="1"/>
    <w:link w:val="630"/>
    <w:qFormat/>
    <w:uiPriority w:val="0"/>
    <w:pPr>
      <w:ind w:left="420"/>
      <w:jc w:val="center"/>
    </w:pPr>
    <w:rPr>
      <w:rFonts w:ascii="宋体" w:hAnsi="宋体" w:eastAsia="宋体"/>
      <w:kern w:val="0"/>
      <w:sz w:val="22"/>
    </w:rPr>
  </w:style>
  <w:style w:type="character" w:customStyle="1" w:styleId="632">
    <w:name w:val="正文文字 2 Char Char"/>
    <w:qFormat/>
    <w:uiPriority w:val="0"/>
    <w:rPr>
      <w:rFonts w:eastAsia="宋体"/>
      <w:kern w:val="2"/>
      <w:sz w:val="24"/>
      <w:szCs w:val="24"/>
      <w:lang w:val="en-US" w:eastAsia="zh-CN" w:bidi="ar-SA"/>
    </w:rPr>
  </w:style>
  <w:style w:type="character" w:customStyle="1" w:styleId="633">
    <w:name w:val="我的正文 Char1"/>
    <w:link w:val="634"/>
    <w:qFormat/>
    <w:uiPriority w:val="0"/>
    <w:rPr>
      <w:rFonts w:eastAsia="宋体"/>
      <w:kern w:val="2"/>
      <w:sz w:val="28"/>
      <w:szCs w:val="24"/>
      <w:lang w:val="en-US" w:eastAsia="zh-CN" w:bidi="ar-SA"/>
    </w:rPr>
  </w:style>
  <w:style w:type="paragraph" w:customStyle="1" w:styleId="634">
    <w:name w:val="我的正文"/>
    <w:basedOn w:val="1"/>
    <w:link w:val="633"/>
    <w:qFormat/>
    <w:uiPriority w:val="0"/>
    <w:pPr>
      <w:ind w:firstLine="538" w:firstLineChars="192"/>
    </w:pPr>
    <w:rPr>
      <w:rFonts w:eastAsia="宋体"/>
      <w:szCs w:val="24"/>
    </w:rPr>
  </w:style>
  <w:style w:type="character" w:customStyle="1" w:styleId="635">
    <w:name w:val="图名 Char"/>
    <w:link w:val="636"/>
    <w:qFormat/>
    <w:uiPriority w:val="0"/>
    <w:rPr>
      <w:rFonts w:ascii="黑体" w:eastAsia="黑体"/>
      <w:sz w:val="24"/>
      <w:szCs w:val="24"/>
      <w:lang w:bidi="ar-SA"/>
    </w:rPr>
  </w:style>
  <w:style w:type="paragraph" w:customStyle="1" w:styleId="636">
    <w:name w:val="图名"/>
    <w:basedOn w:val="1"/>
    <w:next w:val="1"/>
    <w:link w:val="635"/>
    <w:qFormat/>
    <w:uiPriority w:val="0"/>
    <w:pPr>
      <w:snapToGrid w:val="0"/>
      <w:spacing w:line="360" w:lineRule="auto"/>
      <w:jc w:val="center"/>
    </w:pPr>
    <w:rPr>
      <w:rFonts w:ascii="黑体" w:eastAsia="黑体"/>
      <w:kern w:val="0"/>
      <w:sz w:val="24"/>
      <w:szCs w:val="24"/>
    </w:rPr>
  </w:style>
  <w:style w:type="character" w:customStyle="1" w:styleId="637">
    <w:name w:val="表格文字 Char Char"/>
    <w:qFormat/>
    <w:uiPriority w:val="0"/>
    <w:rPr>
      <w:rFonts w:ascii="宋体" w:hAnsi="Times New Roman" w:eastAsia="宋体" w:cs="宋体"/>
      <w:kern w:val="0"/>
      <w:szCs w:val="21"/>
    </w:rPr>
  </w:style>
  <w:style w:type="character" w:customStyle="1" w:styleId="638">
    <w:name w:val="样式 红色"/>
    <w:qFormat/>
    <w:uiPriority w:val="0"/>
    <w:rPr>
      <w:color w:val="FF0000"/>
      <w:spacing w:val="8"/>
      <w:w w:val="100"/>
      <w:position w:val="0"/>
    </w:rPr>
  </w:style>
  <w:style w:type="character" w:customStyle="1" w:styleId="639">
    <w:name w:val="cabox11"/>
    <w:qFormat/>
    <w:uiPriority w:val="0"/>
    <w:rPr>
      <w:rFonts w:hint="default" w:ascii="Arial" w:hAnsi="Arial" w:cs="Arial"/>
      <w:color w:val="666666"/>
      <w:sz w:val="18"/>
      <w:szCs w:val="18"/>
    </w:rPr>
  </w:style>
  <w:style w:type="character" w:customStyle="1" w:styleId="640">
    <w:name w:val="style21"/>
    <w:qFormat/>
    <w:uiPriority w:val="0"/>
    <w:rPr>
      <w:color w:val="FF6600"/>
    </w:rPr>
  </w:style>
  <w:style w:type="character" w:customStyle="1" w:styleId="641">
    <w:name w:val="style31"/>
    <w:qFormat/>
    <w:uiPriority w:val="0"/>
    <w:rPr>
      <w:color w:val="FF3300"/>
    </w:rPr>
  </w:style>
  <w:style w:type="character" w:customStyle="1" w:styleId="642">
    <w:name w:val="样式 题注 + 黑体 Char"/>
    <w:semiHidden/>
    <w:qFormat/>
    <w:uiPriority w:val="0"/>
    <w:rPr>
      <w:rFonts w:ascii="黑体" w:hAnsi="黑体" w:eastAsia="黑体" w:cs="Arial"/>
      <w:bCs/>
      <w:snapToGrid/>
      <w:sz w:val="21"/>
      <w:szCs w:val="28"/>
      <w:lang w:val="en-US" w:eastAsia="zh-CN" w:bidi="ar-SA"/>
    </w:rPr>
  </w:style>
  <w:style w:type="character" w:customStyle="1" w:styleId="643">
    <w:name w:val="样式 宋体 四号"/>
    <w:qFormat/>
    <w:uiPriority w:val="0"/>
    <w:rPr>
      <w:rFonts w:ascii="宋体" w:hAnsi="宋体"/>
      <w:sz w:val="28"/>
    </w:rPr>
  </w:style>
  <w:style w:type="character" w:customStyle="1" w:styleId="644">
    <w:name w:val="xygk11"/>
    <w:semiHidden/>
    <w:qFormat/>
    <w:uiPriority w:val="0"/>
    <w:rPr>
      <w:rFonts w:hint="default"/>
      <w:sz w:val="21"/>
      <w:szCs w:val="21"/>
    </w:rPr>
  </w:style>
  <w:style w:type="character" w:customStyle="1" w:styleId="645">
    <w:name w:val="表 Char"/>
    <w:link w:val="646"/>
    <w:qFormat/>
    <w:uiPriority w:val="0"/>
    <w:rPr>
      <w:rFonts w:eastAsia="宋体"/>
      <w:b/>
      <w:bCs/>
      <w:kern w:val="2"/>
      <w:sz w:val="28"/>
      <w:szCs w:val="32"/>
      <w:lang w:bidi="ar-SA"/>
    </w:rPr>
  </w:style>
  <w:style w:type="paragraph" w:customStyle="1" w:styleId="646">
    <w:name w:val="表"/>
    <w:basedOn w:val="6"/>
    <w:link w:val="645"/>
    <w:qFormat/>
    <w:uiPriority w:val="0"/>
    <w:pPr>
      <w:tabs>
        <w:tab w:val="left" w:pos="1080"/>
      </w:tabs>
      <w:spacing w:before="260" w:after="260" w:line="413" w:lineRule="auto"/>
      <w:ind w:left="0" w:firstLine="0"/>
    </w:pPr>
    <w:rPr>
      <w:rFonts w:ascii="Times New Roman" w:eastAsia="宋体"/>
      <w:sz w:val="28"/>
      <w:szCs w:val="32"/>
    </w:rPr>
  </w:style>
  <w:style w:type="character" w:customStyle="1" w:styleId="647">
    <w:name w:val="电子邮件签名 Char"/>
    <w:link w:val="20"/>
    <w:qFormat/>
    <w:uiPriority w:val="0"/>
    <w:rPr>
      <w:rFonts w:eastAsia="宋体"/>
      <w:sz w:val="24"/>
      <w:szCs w:val="28"/>
      <w:lang w:bidi="ar-SA"/>
    </w:rPr>
  </w:style>
  <w:style w:type="character" w:customStyle="1" w:styleId="648">
    <w:name w:val="签名 Char"/>
    <w:link w:val="59"/>
    <w:qFormat/>
    <w:uiPriority w:val="0"/>
    <w:rPr>
      <w:rFonts w:eastAsia="宋体"/>
      <w:sz w:val="24"/>
      <w:szCs w:val="28"/>
      <w:lang w:bidi="ar-SA"/>
    </w:rPr>
  </w:style>
  <w:style w:type="character" w:customStyle="1" w:styleId="649">
    <w:name w:val="样式 表头 Char"/>
    <w:link w:val="650"/>
    <w:qFormat/>
    <w:uiPriority w:val="0"/>
    <w:rPr>
      <w:rFonts w:eastAsia="黑体"/>
      <w:b/>
      <w:bCs/>
      <w:kern w:val="2"/>
      <w:sz w:val="24"/>
      <w:szCs w:val="24"/>
      <w:lang w:val="en-US" w:eastAsia="zh-CN" w:bidi="ar-SA"/>
    </w:rPr>
  </w:style>
  <w:style w:type="paragraph" w:customStyle="1" w:styleId="650">
    <w:name w:val="样式 表头"/>
    <w:link w:val="649"/>
    <w:qFormat/>
    <w:uiPriority w:val="0"/>
    <w:pPr>
      <w:spacing w:before="156" w:beforeLines="50"/>
      <w:jc w:val="center"/>
    </w:pPr>
    <w:rPr>
      <w:rFonts w:ascii="Times New Roman" w:hAnsi="Times New Roman" w:eastAsia="黑体" w:cs="Times New Roman"/>
      <w:b/>
      <w:bCs/>
      <w:kern w:val="2"/>
      <w:sz w:val="24"/>
      <w:szCs w:val="24"/>
      <w:lang w:val="en-US" w:eastAsia="zh-CN" w:bidi="ar-SA"/>
    </w:rPr>
  </w:style>
  <w:style w:type="character" w:customStyle="1" w:styleId="651">
    <w:name w:val="表文字居中 Char"/>
    <w:link w:val="652"/>
    <w:qFormat/>
    <w:uiPriority w:val="0"/>
    <w:rPr>
      <w:rFonts w:ascii="Arial" w:hAnsi="Arial" w:eastAsia="Times New Roman"/>
      <w:kern w:val="2"/>
      <w:sz w:val="21"/>
      <w:lang w:val="en-US" w:eastAsia="zh-CN" w:bidi="ar-SA"/>
    </w:rPr>
  </w:style>
  <w:style w:type="paragraph" w:customStyle="1" w:styleId="652">
    <w:name w:val="表文字居中"/>
    <w:link w:val="651"/>
    <w:qFormat/>
    <w:uiPriority w:val="0"/>
    <w:pPr>
      <w:adjustRightInd w:val="0"/>
      <w:spacing w:line="360" w:lineRule="auto"/>
      <w:jc w:val="center"/>
    </w:pPr>
    <w:rPr>
      <w:rFonts w:ascii="Arial" w:hAnsi="Arial" w:eastAsia="Times New Roman" w:cs="Times New Roman"/>
      <w:kern w:val="2"/>
      <w:sz w:val="21"/>
      <w:lang w:val="en-US" w:eastAsia="zh-CN" w:bidi="ar-SA"/>
    </w:rPr>
  </w:style>
  <w:style w:type="character" w:customStyle="1" w:styleId="653">
    <w:name w:val="正文样式1 Char"/>
    <w:link w:val="654"/>
    <w:qFormat/>
    <w:uiPriority w:val="0"/>
    <w:rPr>
      <w:rFonts w:eastAsia="宋体"/>
      <w:kern w:val="28"/>
      <w:sz w:val="24"/>
      <w:lang w:bidi="ar-SA"/>
    </w:rPr>
  </w:style>
  <w:style w:type="paragraph" w:customStyle="1" w:styleId="654">
    <w:name w:val="正文样式1"/>
    <w:basedOn w:val="1"/>
    <w:link w:val="653"/>
    <w:qFormat/>
    <w:uiPriority w:val="0"/>
    <w:pPr>
      <w:adjustRightInd w:val="0"/>
      <w:snapToGrid w:val="0"/>
      <w:spacing w:line="480" w:lineRule="atLeast"/>
      <w:ind w:firstLine="567"/>
      <w:jc w:val="left"/>
      <w:textAlignment w:val="baseline"/>
    </w:pPr>
    <w:rPr>
      <w:rFonts w:eastAsia="宋体"/>
      <w:kern w:val="28"/>
      <w:sz w:val="24"/>
    </w:rPr>
  </w:style>
  <w:style w:type="character" w:customStyle="1" w:styleId="655">
    <w:name w:val="样式 表格 + 两端对齐 Char"/>
    <w:link w:val="656"/>
    <w:semiHidden/>
    <w:qFormat/>
    <w:uiPriority w:val="0"/>
    <w:rPr>
      <w:rFonts w:ascii="黑体" w:hAnsi="Arial" w:eastAsia="宋体"/>
      <w:snapToGrid/>
      <w:kern w:val="2"/>
      <w:sz w:val="24"/>
      <w:szCs w:val="28"/>
      <w:lang w:bidi="ar-SA"/>
    </w:rPr>
  </w:style>
  <w:style w:type="paragraph" w:customStyle="1" w:styleId="656">
    <w:name w:val="样式 表格 + 两端对齐"/>
    <w:basedOn w:val="1"/>
    <w:link w:val="655"/>
    <w:semiHidden/>
    <w:qFormat/>
    <w:uiPriority w:val="0"/>
    <w:pPr>
      <w:keepNext/>
      <w:tabs>
        <w:tab w:val="left" w:pos="3660"/>
      </w:tabs>
      <w:snapToGrid w:val="0"/>
      <w:spacing w:before="100" w:beforeAutospacing="1" w:after="100" w:afterAutospacing="1" w:line="360" w:lineRule="auto"/>
      <w:ind w:firstLine="200" w:firstLineChars="200"/>
    </w:pPr>
    <w:rPr>
      <w:rFonts w:ascii="黑体" w:hAnsi="Arial" w:eastAsia="宋体"/>
      <w:sz w:val="24"/>
      <w:szCs w:val="28"/>
    </w:rPr>
  </w:style>
  <w:style w:type="character" w:customStyle="1" w:styleId="657">
    <w:name w:val="样式 样式 正文缩进s4 + 首行缩进:  2 字符 + 首行缩进:  2 字符 Char"/>
    <w:semiHidden/>
    <w:qFormat/>
    <w:uiPriority w:val="0"/>
    <w:rPr>
      <w:rFonts w:eastAsia="仿宋_GB2312" w:cs="宋体"/>
      <w:kern w:val="2"/>
      <w:sz w:val="28"/>
      <w:lang w:val="en-US" w:eastAsia="zh-CN" w:bidi="ar-SA"/>
    </w:rPr>
  </w:style>
  <w:style w:type="character" w:customStyle="1" w:styleId="658">
    <w:name w:val="Lead-in Emphasis"/>
    <w:qFormat/>
    <w:uiPriority w:val="0"/>
    <w:rPr>
      <w:rFonts w:ascii="Arial" w:hAnsi="Arial"/>
      <w:b/>
      <w:spacing w:val="-8"/>
      <w:sz w:val="18"/>
    </w:rPr>
  </w:style>
  <w:style w:type="character" w:customStyle="1" w:styleId="659">
    <w:name w:val="long_text"/>
    <w:basedOn w:val="133"/>
    <w:qFormat/>
    <w:uiPriority w:val="0"/>
  </w:style>
  <w:style w:type="character" w:customStyle="1" w:styleId="660">
    <w:name w:val="pt11"/>
    <w:basedOn w:val="133"/>
    <w:qFormat/>
    <w:uiPriority w:val="0"/>
  </w:style>
  <w:style w:type="character" w:customStyle="1" w:styleId="661">
    <w:name w:val="pt10-2"/>
    <w:basedOn w:val="133"/>
    <w:semiHidden/>
    <w:qFormat/>
    <w:uiPriority w:val="0"/>
  </w:style>
  <w:style w:type="character" w:customStyle="1" w:styleId="662">
    <w:name w:val="样式 正文 + Char"/>
    <w:link w:val="663"/>
    <w:qFormat/>
    <w:uiPriority w:val="0"/>
    <w:rPr>
      <w:sz w:val="24"/>
      <w:szCs w:val="24"/>
      <w:lang w:bidi="ar-SA"/>
    </w:rPr>
  </w:style>
  <w:style w:type="paragraph" w:customStyle="1" w:styleId="663">
    <w:name w:val="样式 正文 +"/>
    <w:basedOn w:val="1"/>
    <w:link w:val="662"/>
    <w:qFormat/>
    <w:uiPriority w:val="0"/>
    <w:pPr>
      <w:spacing w:line="360" w:lineRule="auto"/>
      <w:ind w:firstLine="480" w:firstLineChars="200"/>
    </w:pPr>
    <w:rPr>
      <w:rFonts w:eastAsia="宋体"/>
      <w:kern w:val="0"/>
      <w:sz w:val="24"/>
      <w:szCs w:val="24"/>
    </w:rPr>
  </w:style>
  <w:style w:type="character" w:customStyle="1" w:styleId="664">
    <w:name w:val="题注 Char1"/>
    <w:qFormat/>
    <w:uiPriority w:val="0"/>
    <w:rPr>
      <w:rFonts w:ascii="Arial" w:hAnsi="Arial" w:eastAsia="黑体" w:cs="Arial"/>
      <w:snapToGrid/>
      <w:sz w:val="21"/>
      <w:lang w:val="en-US" w:eastAsia="zh-CN" w:bidi="ar-SA"/>
    </w:rPr>
  </w:style>
  <w:style w:type="character" w:customStyle="1" w:styleId="665">
    <w:name w:val="3标题(治) Char1"/>
    <w:qFormat/>
    <w:uiPriority w:val="0"/>
    <w:rPr>
      <w:rFonts w:eastAsia="黑体"/>
      <w:b/>
      <w:bCs/>
      <w:kern w:val="2"/>
      <w:sz w:val="28"/>
      <w:szCs w:val="32"/>
      <w:lang w:val="en-US" w:eastAsia="zh-CN" w:bidi="ar-SA"/>
    </w:rPr>
  </w:style>
  <w:style w:type="character" w:customStyle="1" w:styleId="666">
    <w:name w:val="red1"/>
    <w:qFormat/>
    <w:uiPriority w:val="0"/>
    <w:rPr>
      <w:color w:val="FF0000"/>
    </w:rPr>
  </w:style>
  <w:style w:type="character" w:customStyle="1" w:styleId="667">
    <w:name w:val="正文 + 首行缩进2 厘米 Char"/>
    <w:link w:val="668"/>
    <w:semiHidden/>
    <w:qFormat/>
    <w:uiPriority w:val="0"/>
    <w:rPr>
      <w:rFonts w:ascii="仿宋_GB2312" w:hAnsi="仿宋_GB2312" w:eastAsia="宋体"/>
      <w:kern w:val="2"/>
      <w:sz w:val="24"/>
      <w:szCs w:val="28"/>
      <w:lang w:bidi="ar-SA"/>
    </w:rPr>
  </w:style>
  <w:style w:type="paragraph" w:customStyle="1" w:styleId="668">
    <w:name w:val="正文 + 首行缩进2 厘米"/>
    <w:basedOn w:val="1"/>
    <w:link w:val="667"/>
    <w:semiHidden/>
    <w:qFormat/>
    <w:uiPriority w:val="0"/>
    <w:pPr>
      <w:widowControl/>
      <w:snapToGrid w:val="0"/>
      <w:spacing w:line="360" w:lineRule="auto"/>
      <w:ind w:firstLine="360"/>
    </w:pPr>
    <w:rPr>
      <w:rFonts w:ascii="仿宋_GB2312" w:hAnsi="仿宋_GB2312" w:eastAsia="宋体"/>
      <w:sz w:val="24"/>
      <w:szCs w:val="28"/>
    </w:rPr>
  </w:style>
  <w:style w:type="character" w:customStyle="1" w:styleId="669">
    <w:name w:val="新正文 Char"/>
    <w:link w:val="670"/>
    <w:qFormat/>
    <w:uiPriority w:val="0"/>
    <w:rPr>
      <w:rFonts w:eastAsia="宋体"/>
      <w:kern w:val="2"/>
      <w:sz w:val="24"/>
      <w:lang w:val="en-US" w:eastAsia="zh-CN" w:bidi="ar-SA"/>
    </w:rPr>
  </w:style>
  <w:style w:type="paragraph" w:customStyle="1" w:styleId="670">
    <w:name w:val="新正文"/>
    <w:basedOn w:val="1"/>
    <w:link w:val="669"/>
    <w:qFormat/>
    <w:uiPriority w:val="0"/>
    <w:pPr>
      <w:spacing w:before="60" w:line="460" w:lineRule="exact"/>
      <w:ind w:firstLine="200" w:firstLineChars="200"/>
    </w:pPr>
    <w:rPr>
      <w:rFonts w:eastAsia="宋体"/>
      <w:sz w:val="24"/>
    </w:rPr>
  </w:style>
  <w:style w:type="character" w:customStyle="1" w:styleId="671">
    <w:name w:val="正文缩进 Char Char Char Char1"/>
    <w:qFormat/>
    <w:uiPriority w:val="0"/>
    <w:rPr>
      <w:rFonts w:ascii="宋体" w:hAnsi="Times New Roman" w:eastAsia="宋体" w:cs="Times New Roman"/>
      <w:sz w:val="24"/>
      <w:szCs w:val="20"/>
    </w:rPr>
  </w:style>
  <w:style w:type="character" w:customStyle="1" w:styleId="672">
    <w:name w:val="7表格(治) Char"/>
    <w:qFormat/>
    <w:uiPriority w:val="0"/>
    <w:rPr>
      <w:rFonts w:hAnsi="宋体" w:eastAsia="宋体"/>
      <w:color w:val="000000"/>
      <w:sz w:val="24"/>
      <w:szCs w:val="24"/>
      <w:lang w:bidi="ar-SA"/>
    </w:rPr>
  </w:style>
  <w:style w:type="character" w:customStyle="1" w:styleId="673">
    <w:name w:val="2标题(治) Char"/>
    <w:link w:val="674"/>
    <w:qFormat/>
    <w:uiPriority w:val="0"/>
    <w:rPr>
      <w:rFonts w:eastAsia="黑体"/>
      <w:b/>
      <w:kern w:val="2"/>
      <w:sz w:val="32"/>
      <w:lang w:bidi="ar-SA"/>
    </w:rPr>
  </w:style>
  <w:style w:type="paragraph" w:customStyle="1" w:styleId="674">
    <w:name w:val="2标题(治)"/>
    <w:basedOn w:val="4"/>
    <w:link w:val="673"/>
    <w:qFormat/>
    <w:uiPriority w:val="0"/>
    <w:pPr>
      <w:tabs>
        <w:tab w:val="center" w:pos="567"/>
      </w:tabs>
      <w:adjustRightInd w:val="0"/>
      <w:snapToGrid w:val="0"/>
      <w:spacing w:before="0" w:after="0" w:line="360" w:lineRule="auto"/>
      <w:ind w:left="0" w:firstLine="0"/>
    </w:pPr>
    <w:rPr>
      <w:rFonts w:ascii="Times New Roman" w:hAnsi="Times New Roman"/>
      <w:b/>
      <w:sz w:val="32"/>
    </w:rPr>
  </w:style>
  <w:style w:type="character" w:customStyle="1" w:styleId="675">
    <w:name w:val="6表(图)头(治) Char"/>
    <w:link w:val="676"/>
    <w:qFormat/>
    <w:uiPriority w:val="0"/>
    <w:rPr>
      <w:rFonts w:eastAsia="黑体"/>
      <w:b/>
      <w:sz w:val="28"/>
      <w:szCs w:val="28"/>
      <w:lang w:val="en-US" w:eastAsia="zh-CN" w:bidi="ar-SA"/>
    </w:rPr>
  </w:style>
  <w:style w:type="paragraph" w:customStyle="1" w:styleId="676">
    <w:name w:val="6表(图)头(治)"/>
    <w:next w:val="1"/>
    <w:link w:val="675"/>
    <w:qFormat/>
    <w:uiPriority w:val="0"/>
    <w:pPr>
      <w:widowControl w:val="0"/>
      <w:jc w:val="center"/>
    </w:pPr>
    <w:rPr>
      <w:rFonts w:ascii="Times New Roman" w:hAnsi="Times New Roman" w:eastAsia="黑体" w:cs="Times New Roman"/>
      <w:b/>
      <w:sz w:val="28"/>
      <w:szCs w:val="28"/>
      <w:lang w:val="en-US" w:eastAsia="zh-CN" w:bidi="ar-SA"/>
    </w:rPr>
  </w:style>
  <w:style w:type="character" w:customStyle="1" w:styleId="677">
    <w:name w:val="8说明(治) Char"/>
    <w:link w:val="678"/>
    <w:qFormat/>
    <w:uiPriority w:val="0"/>
    <w:rPr>
      <w:rFonts w:eastAsia="仿宋_GB2312"/>
      <w:kern w:val="2"/>
      <w:sz w:val="21"/>
      <w:szCs w:val="24"/>
      <w:lang w:bidi="ar-SA"/>
    </w:rPr>
  </w:style>
  <w:style w:type="paragraph" w:customStyle="1" w:styleId="678">
    <w:name w:val="8说明(治)"/>
    <w:basedOn w:val="1"/>
    <w:next w:val="548"/>
    <w:link w:val="677"/>
    <w:qFormat/>
    <w:uiPriority w:val="0"/>
    <w:pPr>
      <w:ind w:firstLine="435"/>
    </w:pPr>
    <w:rPr>
      <w:sz w:val="21"/>
      <w:szCs w:val="24"/>
    </w:rPr>
  </w:style>
  <w:style w:type="character" w:customStyle="1" w:styleId="679">
    <w:name w:val="zhang正文 Char"/>
    <w:link w:val="680"/>
    <w:qFormat/>
    <w:uiPriority w:val="0"/>
    <w:rPr>
      <w:rFonts w:eastAsia="楷体_GB2312"/>
      <w:sz w:val="28"/>
      <w:lang w:val="en-US" w:eastAsia="zh-CN" w:bidi="ar-SA"/>
    </w:rPr>
  </w:style>
  <w:style w:type="paragraph" w:customStyle="1" w:styleId="680">
    <w:name w:val="zhang正文"/>
    <w:basedOn w:val="35"/>
    <w:link w:val="679"/>
    <w:qFormat/>
    <w:uiPriority w:val="0"/>
    <w:pPr>
      <w:autoSpaceDE w:val="0"/>
      <w:autoSpaceDN w:val="0"/>
      <w:adjustRightInd w:val="0"/>
      <w:snapToGrid w:val="0"/>
      <w:spacing w:line="500" w:lineRule="exact"/>
      <w:ind w:firstLine="539"/>
      <w:textAlignment w:val="baseline"/>
    </w:pPr>
    <w:rPr>
      <w:rFonts w:eastAsia="楷体_GB2312"/>
      <w:kern w:val="0"/>
      <w:sz w:val="28"/>
    </w:rPr>
  </w:style>
  <w:style w:type="character" w:customStyle="1" w:styleId="681">
    <w:name w:val="表格中的文字 Char"/>
    <w:link w:val="682"/>
    <w:qFormat/>
    <w:uiPriority w:val="0"/>
    <w:rPr>
      <w:rFonts w:ascii="宋体" w:hAnsi="宋体" w:eastAsia="宋体"/>
      <w:sz w:val="21"/>
      <w:lang w:bidi="ar-SA"/>
    </w:rPr>
  </w:style>
  <w:style w:type="paragraph" w:customStyle="1" w:styleId="682">
    <w:name w:val="表格中的文字"/>
    <w:basedOn w:val="1"/>
    <w:link w:val="681"/>
    <w:qFormat/>
    <w:uiPriority w:val="0"/>
    <w:pPr>
      <w:jc w:val="center"/>
    </w:pPr>
    <w:rPr>
      <w:rFonts w:ascii="宋体" w:hAnsi="宋体" w:eastAsia="宋体"/>
      <w:kern w:val="0"/>
      <w:sz w:val="21"/>
    </w:rPr>
  </w:style>
  <w:style w:type="character" w:customStyle="1" w:styleId="683">
    <w:name w:val="样式 样式 1章(治) + (西文) Times New Roman + Char"/>
    <w:semiHidden/>
    <w:qFormat/>
    <w:uiPriority w:val="0"/>
    <w:rPr>
      <w:rFonts w:eastAsia="黑体"/>
      <w:b/>
      <w:bCs/>
      <w:kern w:val="2"/>
      <w:sz w:val="32"/>
      <w:szCs w:val="24"/>
      <w:lang w:val="en-US" w:eastAsia="zh-CN" w:bidi="ar-SA"/>
    </w:rPr>
  </w:style>
  <w:style w:type="character" w:customStyle="1" w:styleId="684">
    <w:name w:val="6表(图)头(治) Char1"/>
    <w:qFormat/>
    <w:uiPriority w:val="0"/>
    <w:rPr>
      <w:rFonts w:eastAsia="黑体"/>
      <w:b/>
      <w:sz w:val="28"/>
      <w:szCs w:val="28"/>
      <w:lang w:val="en-US" w:eastAsia="zh-CN" w:bidi="ar-SA"/>
    </w:rPr>
  </w:style>
  <w:style w:type="character" w:customStyle="1" w:styleId="685">
    <w:name w:val="样式17 Char"/>
    <w:link w:val="686"/>
    <w:qFormat/>
    <w:uiPriority w:val="0"/>
    <w:rPr>
      <w:rFonts w:ascii="黑体" w:hAnsi="宋体" w:eastAsia="黑体"/>
      <w:bCs/>
      <w:kern w:val="2"/>
      <w:sz w:val="21"/>
      <w:szCs w:val="21"/>
      <w:lang w:bidi="ar-SA"/>
    </w:rPr>
  </w:style>
  <w:style w:type="paragraph" w:customStyle="1" w:styleId="686">
    <w:name w:val="样式17"/>
    <w:basedOn w:val="1"/>
    <w:link w:val="685"/>
    <w:qFormat/>
    <w:uiPriority w:val="0"/>
    <w:pPr>
      <w:adjustRightInd w:val="0"/>
      <w:snapToGrid w:val="0"/>
      <w:spacing w:line="360" w:lineRule="auto"/>
      <w:jc w:val="center"/>
    </w:pPr>
    <w:rPr>
      <w:rFonts w:ascii="黑体" w:hAnsi="宋体" w:eastAsia="黑体"/>
      <w:bCs/>
      <w:sz w:val="21"/>
      <w:szCs w:val="21"/>
    </w:rPr>
  </w:style>
  <w:style w:type="character" w:customStyle="1" w:styleId="687">
    <w:name w:val="页脚 Char1"/>
    <w:qFormat/>
    <w:uiPriority w:val="0"/>
    <w:rPr>
      <w:rFonts w:ascii="Times New Roman" w:hAnsi="Times New Roman"/>
      <w:kern w:val="2"/>
      <w:sz w:val="18"/>
      <w:szCs w:val="18"/>
    </w:rPr>
  </w:style>
  <w:style w:type="character" w:customStyle="1" w:styleId="688">
    <w:name w:val="标题 3 Char Char"/>
    <w:qFormat/>
    <w:uiPriority w:val="0"/>
    <w:rPr>
      <w:rFonts w:ascii="仿宋_GB2312" w:eastAsia="仿宋_GB2312"/>
      <w:b/>
      <w:bCs/>
      <w:kern w:val="2"/>
      <w:sz w:val="24"/>
      <w:lang w:bidi="ar-SA"/>
    </w:rPr>
  </w:style>
  <w:style w:type="character" w:customStyle="1" w:styleId="689">
    <w:name w:val="正文文本 Char1"/>
    <w:qFormat/>
    <w:uiPriority w:val="0"/>
    <w:rPr>
      <w:rFonts w:ascii="Times New Roman" w:hAnsi="Times New Roman"/>
      <w:kern w:val="2"/>
      <w:sz w:val="21"/>
      <w:szCs w:val="24"/>
    </w:rPr>
  </w:style>
  <w:style w:type="character" w:customStyle="1" w:styleId="690">
    <w:name w:val="Char Char71"/>
    <w:qFormat/>
    <w:uiPriority w:val="0"/>
    <w:rPr>
      <w:rFonts w:hint="eastAsia" w:ascii="仿宋_GB2312" w:eastAsia="仿宋_GB2312"/>
      <w:b/>
      <w:sz w:val="32"/>
      <w:szCs w:val="32"/>
      <w:lang w:val="en-US" w:eastAsia="zh-CN" w:bidi="ar-SA"/>
    </w:rPr>
  </w:style>
  <w:style w:type="character" w:customStyle="1" w:styleId="691">
    <w:name w:val="google-src-text1"/>
    <w:qFormat/>
    <w:uiPriority w:val="0"/>
    <w:rPr>
      <w:vanish/>
    </w:rPr>
  </w:style>
  <w:style w:type="character" w:customStyle="1" w:styleId="692">
    <w:name w:val="样式 标题 3 + (中文) 宋体 小四 加粗 Char Char"/>
    <w:qFormat/>
    <w:uiPriority w:val="0"/>
    <w:rPr>
      <w:rFonts w:ascii="楷体_GB2312" w:hAnsi="Arial" w:eastAsia="宋体" w:cs="Arial"/>
      <w:b/>
      <w:bCs/>
      <w:kern w:val="2"/>
      <w:sz w:val="24"/>
      <w:szCs w:val="32"/>
      <w:lang w:val="en-US" w:eastAsia="zh-CN" w:bidi="ar-SA"/>
    </w:rPr>
  </w:style>
  <w:style w:type="character" w:customStyle="1" w:styleId="693">
    <w:name w:val="图表标题 Char"/>
    <w:link w:val="694"/>
    <w:qFormat/>
    <w:uiPriority w:val="0"/>
    <w:rPr>
      <w:rFonts w:eastAsia="宋体"/>
      <w:spacing w:val="8"/>
      <w:kern w:val="2"/>
      <w:sz w:val="24"/>
      <w:szCs w:val="24"/>
      <w:lang w:val="en-US" w:eastAsia="zh-CN" w:bidi="ar-SA"/>
    </w:rPr>
  </w:style>
  <w:style w:type="paragraph" w:customStyle="1" w:styleId="694">
    <w:name w:val="图表标题"/>
    <w:basedOn w:val="1"/>
    <w:link w:val="693"/>
    <w:qFormat/>
    <w:uiPriority w:val="0"/>
    <w:pPr>
      <w:spacing w:before="120" w:after="120" w:line="400" w:lineRule="exact"/>
      <w:jc w:val="center"/>
    </w:pPr>
    <w:rPr>
      <w:rFonts w:eastAsia="宋体"/>
      <w:spacing w:val="8"/>
      <w:sz w:val="24"/>
      <w:szCs w:val="24"/>
    </w:rPr>
  </w:style>
  <w:style w:type="character" w:customStyle="1" w:styleId="695">
    <w:name w:val="4级（小）标题 Char"/>
    <w:link w:val="696"/>
    <w:qFormat/>
    <w:uiPriority w:val="0"/>
    <w:rPr>
      <w:rFonts w:eastAsia="宋体"/>
      <w:b/>
      <w:kern w:val="2"/>
      <w:sz w:val="24"/>
      <w:szCs w:val="24"/>
      <w:lang w:val="en-US" w:eastAsia="zh-CN" w:bidi="ar-SA"/>
    </w:rPr>
  </w:style>
  <w:style w:type="paragraph" w:customStyle="1" w:styleId="696">
    <w:name w:val="4级（小）标题"/>
    <w:basedOn w:val="1"/>
    <w:link w:val="695"/>
    <w:qFormat/>
    <w:uiPriority w:val="0"/>
    <w:pPr>
      <w:spacing w:before="60" w:line="360" w:lineRule="auto"/>
      <w:ind w:firstLine="150" w:firstLineChars="150"/>
      <w:outlineLvl w:val="3"/>
    </w:pPr>
    <w:rPr>
      <w:rFonts w:eastAsia="宋体"/>
      <w:b/>
      <w:sz w:val="24"/>
      <w:szCs w:val="24"/>
    </w:rPr>
  </w:style>
  <w:style w:type="character" w:customStyle="1" w:styleId="697">
    <w:name w:val="about1"/>
    <w:qFormat/>
    <w:uiPriority w:val="0"/>
    <w:rPr>
      <w:rFonts w:hint="default" w:ascii="ˎ̥" w:hAnsi="ˎ̥"/>
      <w:spacing w:val="0"/>
      <w:sz w:val="15"/>
      <w:szCs w:val="15"/>
    </w:rPr>
  </w:style>
  <w:style w:type="character" w:customStyle="1" w:styleId="698">
    <w:name w:val="目标题 1) Char"/>
    <w:qFormat/>
    <w:uiPriority w:val="0"/>
    <w:rPr>
      <w:rFonts w:ascii="Arial" w:hAnsi="Arial" w:eastAsia="黑体"/>
      <w:kern w:val="2"/>
      <w:sz w:val="24"/>
      <w:szCs w:val="24"/>
      <w:lang w:val="en-US" w:eastAsia="zh-CN" w:bidi="ar-SA"/>
    </w:rPr>
  </w:style>
  <w:style w:type="character" w:customStyle="1" w:styleId="699">
    <w:name w:val="图表头 Char Char"/>
    <w:link w:val="700"/>
    <w:qFormat/>
    <w:uiPriority w:val="0"/>
    <w:rPr>
      <w:rFonts w:eastAsia="宋体"/>
      <w:b/>
      <w:szCs w:val="24"/>
      <w:lang w:bidi="ar-SA"/>
    </w:rPr>
  </w:style>
  <w:style w:type="paragraph" w:customStyle="1" w:styleId="700">
    <w:name w:val="图表头"/>
    <w:basedOn w:val="1"/>
    <w:link w:val="699"/>
    <w:qFormat/>
    <w:uiPriority w:val="0"/>
    <w:pPr>
      <w:spacing w:beforeLines="50" w:afterLines="50" w:line="360" w:lineRule="auto"/>
      <w:jc w:val="center"/>
    </w:pPr>
    <w:rPr>
      <w:rFonts w:eastAsia="宋体"/>
      <w:b/>
      <w:kern w:val="0"/>
      <w:sz w:val="20"/>
      <w:szCs w:val="24"/>
    </w:rPr>
  </w:style>
  <w:style w:type="character" w:customStyle="1" w:styleId="701">
    <w:name w:val="In Table Char"/>
    <w:link w:val="702"/>
    <w:qFormat/>
    <w:uiPriority w:val="0"/>
    <w:rPr>
      <w:rFonts w:ascii="Tahoma" w:hAnsi="Tahoma" w:eastAsia="华文中宋"/>
      <w:kern w:val="2"/>
      <w:sz w:val="21"/>
      <w:lang w:val="en-US" w:eastAsia="zh-CN" w:bidi="ar-SA"/>
    </w:rPr>
  </w:style>
  <w:style w:type="paragraph" w:customStyle="1" w:styleId="702">
    <w:name w:val="In Table"/>
    <w:basedOn w:val="1"/>
    <w:link w:val="701"/>
    <w:qFormat/>
    <w:uiPriority w:val="0"/>
    <w:pPr>
      <w:tabs>
        <w:tab w:val="left" w:pos="2200"/>
        <w:tab w:val="left" w:pos="3960"/>
        <w:tab w:val="left" w:pos="5280"/>
      </w:tabs>
      <w:spacing w:before="96" w:after="96" w:line="0" w:lineRule="atLeast"/>
      <w:jc w:val="center"/>
    </w:pPr>
    <w:rPr>
      <w:rFonts w:ascii="Tahoma" w:hAnsi="Tahoma" w:eastAsia="华文中宋"/>
      <w:sz w:val="21"/>
    </w:rPr>
  </w:style>
  <w:style w:type="character" w:customStyle="1" w:styleId="703">
    <w:name w:val="表头 Char Char"/>
    <w:qFormat/>
    <w:uiPriority w:val="0"/>
    <w:rPr>
      <w:rFonts w:ascii="宋体" w:hAnsi="宋体" w:eastAsia="宋体" w:cs="Arial"/>
      <w:szCs w:val="20"/>
    </w:rPr>
  </w:style>
  <w:style w:type="character" w:customStyle="1" w:styleId="704">
    <w:name w:val="Message Header Label"/>
    <w:qFormat/>
    <w:uiPriority w:val="0"/>
    <w:rPr>
      <w:rFonts w:ascii="Arial Black" w:hAnsi="Arial Black"/>
      <w:sz w:val="18"/>
    </w:rPr>
  </w:style>
  <w:style w:type="character" w:customStyle="1" w:styleId="705">
    <w:name w:val="样式 题注 + 首行缩进:  2 字符2 Char Char"/>
    <w:link w:val="706"/>
    <w:qFormat/>
    <w:uiPriority w:val="0"/>
    <w:rPr>
      <w:rFonts w:ascii="宋体" w:hAnsi="宋体" w:eastAsia="宋体"/>
      <w:sz w:val="24"/>
      <w:szCs w:val="24"/>
      <w:lang w:bidi="ar-SA"/>
    </w:rPr>
  </w:style>
  <w:style w:type="paragraph" w:customStyle="1" w:styleId="706">
    <w:name w:val="样式 题注 + 首行缩进:  2 字符2"/>
    <w:basedOn w:val="22"/>
    <w:link w:val="705"/>
    <w:qFormat/>
    <w:uiPriority w:val="0"/>
    <w:pPr>
      <w:adjustRightInd w:val="0"/>
      <w:snapToGrid w:val="0"/>
      <w:spacing w:before="0" w:after="0" w:line="360" w:lineRule="auto"/>
      <w:jc w:val="center"/>
    </w:pPr>
    <w:rPr>
      <w:rFonts w:ascii="宋体" w:hAnsi="宋体" w:eastAsia="宋体"/>
      <w:kern w:val="0"/>
      <w:sz w:val="24"/>
      <w:szCs w:val="24"/>
    </w:rPr>
  </w:style>
  <w:style w:type="character" w:customStyle="1" w:styleId="707">
    <w:name w:val="td71"/>
    <w:qFormat/>
    <w:uiPriority w:val="0"/>
    <w:rPr>
      <w:color w:val="3B3B3B"/>
      <w:sz w:val="21"/>
      <w:szCs w:val="21"/>
    </w:rPr>
  </w:style>
  <w:style w:type="character" w:customStyle="1" w:styleId="708">
    <w:name w:val="表格文字居中 Char Char"/>
    <w:qFormat/>
    <w:uiPriority w:val="0"/>
    <w:rPr>
      <w:rFonts w:ascii="宋体" w:hAnsi="宋体" w:eastAsia="宋体" w:cs="Arial"/>
      <w:bCs/>
      <w:color w:val="000000"/>
      <w:sz w:val="24"/>
      <w:szCs w:val="21"/>
      <w:lang w:val="en-US" w:eastAsia="zh-CN" w:bidi="ar-SA"/>
    </w:rPr>
  </w:style>
  <w:style w:type="character" w:customStyle="1" w:styleId="709">
    <w:name w:val="文章正文 Char"/>
    <w:link w:val="710"/>
    <w:qFormat/>
    <w:locked/>
    <w:uiPriority w:val="0"/>
    <w:rPr>
      <w:rFonts w:ascii="宋体" w:hAnsi="宋体" w:eastAsia="宋体"/>
      <w:kern w:val="2"/>
      <w:sz w:val="24"/>
      <w:szCs w:val="24"/>
      <w:lang w:val="en-US" w:eastAsia="zh-CN" w:bidi="ar-SA"/>
    </w:rPr>
  </w:style>
  <w:style w:type="paragraph" w:customStyle="1" w:styleId="710">
    <w:name w:val="文章正文"/>
    <w:basedOn w:val="1"/>
    <w:link w:val="709"/>
    <w:qFormat/>
    <w:uiPriority w:val="0"/>
    <w:pPr>
      <w:spacing w:before="156" w:beforeLines="50" w:after="156" w:afterLines="50" w:line="360" w:lineRule="auto"/>
      <w:ind w:firstLine="480" w:firstLineChars="200"/>
    </w:pPr>
    <w:rPr>
      <w:rFonts w:ascii="宋体" w:hAnsi="宋体" w:eastAsia="宋体"/>
      <w:sz w:val="24"/>
      <w:szCs w:val="24"/>
    </w:rPr>
  </w:style>
  <w:style w:type="character" w:customStyle="1" w:styleId="711">
    <w:name w:val="首行缩进两字 Char7"/>
    <w:qFormat/>
    <w:uiPriority w:val="0"/>
    <w:rPr>
      <w:rFonts w:ascii="Arial" w:hAnsi="Arial" w:eastAsia="宋体" w:cs="Arial"/>
      <w:spacing w:val="10"/>
      <w:kern w:val="2"/>
      <w:sz w:val="24"/>
      <w:lang w:val="en-US" w:eastAsia="zh-CN" w:bidi="ar-SA"/>
    </w:rPr>
  </w:style>
  <w:style w:type="character" w:customStyle="1" w:styleId="712">
    <w:name w:val="我的正文 Char Char"/>
    <w:qFormat/>
    <w:uiPriority w:val="0"/>
    <w:rPr>
      <w:rFonts w:eastAsia="宋体"/>
      <w:kern w:val="2"/>
      <w:sz w:val="28"/>
      <w:lang w:val="en-US" w:eastAsia="zh-CN" w:bidi="ar-SA"/>
    </w:rPr>
  </w:style>
  <w:style w:type="character" w:customStyle="1" w:styleId="713">
    <w:name w:val="xl26 Char"/>
    <w:link w:val="714"/>
    <w:qFormat/>
    <w:uiPriority w:val="0"/>
    <w:rPr>
      <w:rFonts w:ascii="宋体" w:hAnsi="宋体" w:eastAsia="宋体"/>
      <w:sz w:val="21"/>
      <w:szCs w:val="21"/>
      <w:lang w:val="en-US" w:eastAsia="zh-CN" w:bidi="ar-SA"/>
    </w:rPr>
  </w:style>
  <w:style w:type="paragraph" w:customStyle="1" w:styleId="714">
    <w:name w:val="xl26"/>
    <w:basedOn w:val="1"/>
    <w:link w:val="713"/>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kern w:val="0"/>
      <w:sz w:val="21"/>
      <w:szCs w:val="21"/>
    </w:rPr>
  </w:style>
  <w:style w:type="character" w:customStyle="1" w:styleId="715">
    <w:name w:val="正文文字 Char Char"/>
    <w:qFormat/>
    <w:uiPriority w:val="0"/>
    <w:rPr>
      <w:rFonts w:eastAsia="仿宋_GB2312"/>
      <w:kern w:val="2"/>
      <w:sz w:val="28"/>
      <w:lang w:val="en-US" w:eastAsia="zh-CN" w:bidi="ar-SA"/>
    </w:rPr>
  </w:style>
  <w:style w:type="character" w:customStyle="1" w:styleId="716">
    <w:name w:val="特点标题 Char2"/>
    <w:qFormat/>
    <w:uiPriority w:val="0"/>
    <w:rPr>
      <w:rFonts w:eastAsia="宋体"/>
      <w:kern w:val="2"/>
      <w:sz w:val="21"/>
      <w:lang w:val="en-US" w:eastAsia="zh-CN" w:bidi="ar-SA"/>
    </w:rPr>
  </w:style>
  <w:style w:type="character" w:customStyle="1" w:styleId="717">
    <w:name w:val="Char Char Char"/>
    <w:qFormat/>
    <w:uiPriority w:val="0"/>
    <w:rPr>
      <w:rFonts w:eastAsia="仿宋_GB2312"/>
      <w:kern w:val="2"/>
      <w:sz w:val="18"/>
      <w:lang w:val="en-US" w:eastAsia="zh-CN" w:bidi="ar-SA"/>
    </w:rPr>
  </w:style>
  <w:style w:type="character" w:customStyle="1" w:styleId="718">
    <w:name w:val="干标题(a) Char"/>
    <w:qFormat/>
    <w:uiPriority w:val="0"/>
    <w:rPr>
      <w:rFonts w:ascii="Arial" w:hAnsi="Arial" w:eastAsia="黑体"/>
      <w:kern w:val="2"/>
      <w:sz w:val="21"/>
      <w:szCs w:val="21"/>
      <w:lang w:val="en-US" w:eastAsia="zh-CN" w:bidi="ar-SA"/>
    </w:rPr>
  </w:style>
  <w:style w:type="character" w:customStyle="1" w:styleId="719">
    <w:name w:val="正文文字缩进 3 Char2"/>
    <w:qFormat/>
    <w:uiPriority w:val="0"/>
    <w:rPr>
      <w:rFonts w:ascii="宋体" w:hAnsi="宋体" w:eastAsia="宋体"/>
      <w:color w:val="000000"/>
      <w:kern w:val="2"/>
      <w:sz w:val="24"/>
      <w:lang w:val="en-US" w:eastAsia="zh-CN" w:bidi="ar-SA"/>
    </w:rPr>
  </w:style>
  <w:style w:type="character" w:customStyle="1" w:styleId="720">
    <w:name w:val="表体 Char"/>
    <w:link w:val="721"/>
    <w:qFormat/>
    <w:uiPriority w:val="0"/>
    <w:rPr>
      <w:rFonts w:ascii="宋体" w:eastAsia="宋体"/>
      <w:color w:val="000000"/>
      <w:kern w:val="24"/>
      <w:sz w:val="18"/>
      <w:szCs w:val="24"/>
      <w:lang w:val="en-US" w:eastAsia="zh-CN" w:bidi="ar-SA"/>
    </w:rPr>
  </w:style>
  <w:style w:type="paragraph" w:customStyle="1" w:styleId="721">
    <w:name w:val="表体"/>
    <w:basedOn w:val="1"/>
    <w:link w:val="720"/>
    <w:qFormat/>
    <w:uiPriority w:val="0"/>
    <w:pPr>
      <w:overflowPunct w:val="0"/>
      <w:adjustRightInd w:val="0"/>
      <w:spacing w:line="0" w:lineRule="atLeast"/>
      <w:jc w:val="center"/>
      <w:textAlignment w:val="baseline"/>
    </w:pPr>
    <w:rPr>
      <w:rFonts w:ascii="宋体" w:eastAsia="宋体"/>
      <w:color w:val="000000"/>
      <w:kern w:val="24"/>
      <w:sz w:val="18"/>
      <w:szCs w:val="24"/>
    </w:rPr>
  </w:style>
  <w:style w:type="character" w:customStyle="1" w:styleId="722">
    <w:name w:val="样式 龙样式4正文 + 首行缩进:  2 字符 Char Char"/>
    <w:link w:val="723"/>
    <w:qFormat/>
    <w:uiPriority w:val="0"/>
    <w:rPr>
      <w:lang w:bidi="ar-SA"/>
    </w:rPr>
  </w:style>
  <w:style w:type="paragraph" w:customStyle="1" w:styleId="723">
    <w:name w:val="样式 龙样式4正文 + 首行缩进:  2 字符"/>
    <w:basedOn w:val="1"/>
    <w:link w:val="722"/>
    <w:qFormat/>
    <w:uiPriority w:val="0"/>
    <w:pPr>
      <w:spacing w:line="600" w:lineRule="exact"/>
      <w:ind w:firstLine="200" w:firstLineChars="200"/>
    </w:pPr>
    <w:rPr>
      <w:rFonts w:eastAsia="宋体"/>
      <w:kern w:val="0"/>
      <w:sz w:val="20"/>
    </w:rPr>
  </w:style>
  <w:style w:type="character" w:customStyle="1" w:styleId="724">
    <w:name w:val="正文（首行缩进两字） Char Char1 Char"/>
    <w:qFormat/>
    <w:uiPriority w:val="0"/>
    <w:rPr>
      <w:rFonts w:ascii="Arial" w:hAnsi="Arial" w:eastAsia="宋体"/>
      <w:color w:val="000000"/>
      <w:kern w:val="2"/>
      <w:sz w:val="24"/>
      <w:lang w:val="en-US" w:eastAsia="zh-CN" w:bidi="ar-SA"/>
    </w:rPr>
  </w:style>
  <w:style w:type="character" w:customStyle="1" w:styleId="725">
    <w:name w:val="图表名称 Char Char"/>
    <w:link w:val="726"/>
    <w:qFormat/>
    <w:locked/>
    <w:uiPriority w:val="0"/>
    <w:rPr>
      <w:rFonts w:ascii="宋体" w:hAnsi="宋体" w:eastAsia="宋体"/>
      <w:b/>
      <w:sz w:val="21"/>
      <w:szCs w:val="21"/>
      <w:lang w:val="en-US" w:eastAsia="zh-CN" w:bidi="ar-SA"/>
    </w:rPr>
  </w:style>
  <w:style w:type="paragraph" w:customStyle="1" w:styleId="726">
    <w:name w:val="图表名称"/>
    <w:basedOn w:val="1"/>
    <w:link w:val="725"/>
    <w:qFormat/>
    <w:uiPriority w:val="0"/>
    <w:pPr>
      <w:jc w:val="center"/>
    </w:pPr>
    <w:rPr>
      <w:rFonts w:ascii="宋体" w:hAnsi="宋体" w:eastAsia="宋体"/>
      <w:b/>
      <w:kern w:val="0"/>
      <w:sz w:val="21"/>
      <w:szCs w:val="21"/>
    </w:rPr>
  </w:style>
  <w:style w:type="character" w:customStyle="1" w:styleId="727">
    <w:name w:val="个人撰写风格"/>
    <w:qFormat/>
    <w:uiPriority w:val="0"/>
    <w:rPr>
      <w:rFonts w:ascii="Arial" w:hAnsi="Arial" w:eastAsia="宋体" w:cs="Arial"/>
      <w:color w:val="auto"/>
      <w:sz w:val="20"/>
    </w:rPr>
  </w:style>
  <w:style w:type="character" w:customStyle="1" w:styleId="728">
    <w:name w:val="表标 Char Char"/>
    <w:qFormat/>
    <w:uiPriority w:val="0"/>
    <w:rPr>
      <w:kern w:val="2"/>
      <w:sz w:val="24"/>
    </w:rPr>
  </w:style>
  <w:style w:type="character" w:customStyle="1" w:styleId="729">
    <w:name w:val="正文文字缩进 3 Char Char"/>
    <w:qFormat/>
    <w:uiPriority w:val="0"/>
    <w:rPr>
      <w:kern w:val="2"/>
      <w:sz w:val="16"/>
      <w:szCs w:val="16"/>
    </w:rPr>
  </w:style>
  <w:style w:type="character" w:customStyle="1" w:styleId="730">
    <w:name w:val="项标题(1) Char Char"/>
    <w:qFormat/>
    <w:uiPriority w:val="0"/>
    <w:rPr>
      <w:b/>
      <w:spacing w:val="10"/>
      <w:sz w:val="24"/>
    </w:rPr>
  </w:style>
  <w:style w:type="character" w:customStyle="1" w:styleId="731">
    <w:name w:val="目标题 1) Char Char"/>
    <w:qFormat/>
    <w:uiPriority w:val="0"/>
    <w:rPr>
      <w:rFonts w:ascii="Arial" w:hAnsi="Arial" w:eastAsia="黑体"/>
      <w:spacing w:val="10"/>
      <w:sz w:val="24"/>
    </w:rPr>
  </w:style>
  <w:style w:type="character" w:customStyle="1" w:styleId="732">
    <w:name w:val="燕山正文 Char Char Char"/>
    <w:link w:val="733"/>
    <w:qFormat/>
    <w:uiPriority w:val="0"/>
    <w:rPr>
      <w:rFonts w:ascii="宋体" w:hAnsi="宋体" w:eastAsia="宋体" w:cs="宋体"/>
      <w:color w:val="000000"/>
      <w:sz w:val="28"/>
      <w:szCs w:val="28"/>
      <w:lang w:val="en-US" w:eastAsia="zh-CN" w:bidi="ar-SA"/>
    </w:rPr>
  </w:style>
  <w:style w:type="paragraph" w:customStyle="1" w:styleId="733">
    <w:name w:val="燕山正文 Char Char"/>
    <w:basedOn w:val="1"/>
    <w:link w:val="732"/>
    <w:qFormat/>
    <w:uiPriority w:val="0"/>
    <w:pPr>
      <w:widowControl/>
      <w:adjustRightInd w:val="0"/>
      <w:snapToGrid w:val="0"/>
      <w:spacing w:line="360" w:lineRule="auto"/>
      <w:ind w:firstLine="567"/>
      <w:jc w:val="left"/>
      <w:textAlignment w:val="baseline"/>
    </w:pPr>
    <w:rPr>
      <w:rFonts w:ascii="宋体" w:hAnsi="宋体" w:eastAsia="宋体" w:cs="宋体"/>
      <w:color w:val="000000"/>
      <w:kern w:val="0"/>
      <w:szCs w:val="28"/>
    </w:rPr>
  </w:style>
  <w:style w:type="character" w:customStyle="1" w:styleId="734">
    <w:name w:val="banquan1"/>
    <w:qFormat/>
    <w:uiPriority w:val="0"/>
    <w:rPr>
      <w:rFonts w:hint="eastAsia" w:ascii="宋体" w:hAnsi="宋体" w:eastAsia="宋体"/>
      <w:color w:val="333333"/>
      <w:sz w:val="24"/>
      <w:szCs w:val="24"/>
      <w:u w:val="none"/>
    </w:rPr>
  </w:style>
  <w:style w:type="character" w:customStyle="1" w:styleId="735">
    <w:name w:val="s gray"/>
    <w:basedOn w:val="133"/>
    <w:qFormat/>
    <w:uiPriority w:val="0"/>
  </w:style>
  <w:style w:type="character" w:customStyle="1" w:styleId="736">
    <w:name w:val="style91"/>
    <w:qFormat/>
    <w:uiPriority w:val="0"/>
    <w:rPr>
      <w:color w:val="993300"/>
    </w:rPr>
  </w:style>
  <w:style w:type="character" w:customStyle="1" w:styleId="737">
    <w:name w:val="chuti1"/>
    <w:qFormat/>
    <w:uiPriority w:val="0"/>
    <w:rPr>
      <w:b/>
      <w:bCs/>
      <w:sz w:val="21"/>
      <w:szCs w:val="21"/>
    </w:rPr>
  </w:style>
  <w:style w:type="character" w:customStyle="1" w:styleId="738">
    <w:name w:val="表格内容注释 Char"/>
    <w:link w:val="739"/>
    <w:qFormat/>
    <w:locked/>
    <w:uiPriority w:val="0"/>
    <w:rPr>
      <w:rFonts w:eastAsia="宋体"/>
      <w:kern w:val="2"/>
      <w:sz w:val="18"/>
      <w:szCs w:val="24"/>
      <w:lang w:val="en-US" w:eastAsia="zh-CN" w:bidi="ar-SA"/>
    </w:rPr>
  </w:style>
  <w:style w:type="paragraph" w:customStyle="1" w:styleId="739">
    <w:name w:val="表格内容注释"/>
    <w:basedOn w:val="1"/>
    <w:link w:val="738"/>
    <w:qFormat/>
    <w:uiPriority w:val="0"/>
    <w:pPr>
      <w:jc w:val="left"/>
    </w:pPr>
    <w:rPr>
      <w:rFonts w:eastAsia="宋体"/>
      <w:sz w:val="18"/>
      <w:szCs w:val="24"/>
    </w:rPr>
  </w:style>
  <w:style w:type="character" w:customStyle="1" w:styleId="740">
    <w:name w:val="样式4 Char"/>
    <w:link w:val="741"/>
    <w:qFormat/>
    <w:uiPriority w:val="0"/>
    <w:rPr>
      <w:rFonts w:eastAsia="仿宋_GB2312"/>
      <w:b/>
      <w:bCs/>
      <w:color w:val="000000"/>
      <w:kern w:val="2"/>
      <w:sz w:val="24"/>
      <w:szCs w:val="28"/>
      <w:lang w:bidi="ar-SA"/>
    </w:rPr>
  </w:style>
  <w:style w:type="paragraph" w:customStyle="1" w:styleId="741">
    <w:name w:val="样式4"/>
    <w:basedOn w:val="7"/>
    <w:next w:val="5"/>
    <w:link w:val="740"/>
    <w:qFormat/>
    <w:uiPriority w:val="0"/>
    <w:pPr>
      <w:tabs>
        <w:tab w:val="left" w:pos="720"/>
      </w:tabs>
      <w:spacing w:after="156" w:afterLines="50" w:line="360" w:lineRule="auto"/>
      <w:ind w:left="0" w:firstLine="0"/>
    </w:pPr>
    <w:rPr>
      <w:rFonts w:ascii="Times New Roman" w:hAnsi="Times New Roman"/>
      <w:bCs/>
      <w:szCs w:val="28"/>
    </w:rPr>
  </w:style>
  <w:style w:type="character" w:customStyle="1" w:styleId="742">
    <w:name w:val="首行缩进两字 Char8"/>
    <w:qFormat/>
    <w:uiPriority w:val="0"/>
    <w:rPr>
      <w:rFonts w:ascii="Arial" w:hAnsi="Arial" w:eastAsia="宋体" w:cs="Arial"/>
      <w:spacing w:val="10"/>
      <w:kern w:val="2"/>
      <w:sz w:val="24"/>
      <w:lang w:val="en-US" w:eastAsia="zh-CN" w:bidi="ar-SA"/>
    </w:rPr>
  </w:style>
  <w:style w:type="character" w:customStyle="1" w:styleId="743">
    <w:name w:val="报告正文 Char Char"/>
    <w:qFormat/>
    <w:uiPriority w:val="0"/>
    <w:rPr>
      <w:color w:val="000000"/>
      <w:kern w:val="2"/>
      <w:sz w:val="24"/>
      <w:szCs w:val="24"/>
    </w:rPr>
  </w:style>
  <w:style w:type="character" w:customStyle="1" w:styleId="744">
    <w:name w:val="首行缩进两字 Char9"/>
    <w:qFormat/>
    <w:uiPriority w:val="0"/>
    <w:rPr>
      <w:rFonts w:ascii="Arial" w:hAnsi="Arial" w:eastAsia="宋体" w:cs="Arial"/>
      <w:spacing w:val="10"/>
      <w:kern w:val="2"/>
      <w:sz w:val="24"/>
      <w:lang w:val="en-US" w:eastAsia="zh-CN" w:bidi="ar-SA"/>
    </w:rPr>
  </w:style>
  <w:style w:type="character" w:customStyle="1" w:styleId="745">
    <w:name w:val="我的标题3 Char"/>
    <w:link w:val="746"/>
    <w:qFormat/>
    <w:uiPriority w:val="0"/>
    <w:rPr>
      <w:rFonts w:eastAsia="黑体"/>
      <w:kern w:val="2"/>
      <w:sz w:val="28"/>
      <w:szCs w:val="24"/>
      <w:lang w:val="en-US" w:eastAsia="zh-CN" w:bidi="ar-SA"/>
    </w:rPr>
  </w:style>
  <w:style w:type="paragraph" w:customStyle="1" w:styleId="746">
    <w:name w:val="我的标题3"/>
    <w:basedOn w:val="1"/>
    <w:link w:val="745"/>
    <w:qFormat/>
    <w:uiPriority w:val="0"/>
    <w:pPr>
      <w:ind w:firstLine="538" w:firstLineChars="192"/>
    </w:pPr>
    <w:rPr>
      <w:rFonts w:eastAsia="黑体"/>
      <w:szCs w:val="24"/>
    </w:rPr>
  </w:style>
  <w:style w:type="character" w:customStyle="1" w:styleId="747">
    <w:name w:val="表格内容 Char Char"/>
    <w:qFormat/>
    <w:uiPriority w:val="0"/>
    <w:rPr>
      <w:sz w:val="24"/>
    </w:rPr>
  </w:style>
  <w:style w:type="character" w:customStyle="1" w:styleId="748">
    <w:name w:val="表格中 Char"/>
    <w:link w:val="749"/>
    <w:qFormat/>
    <w:uiPriority w:val="0"/>
    <w:rPr>
      <w:kern w:val="2"/>
      <w:sz w:val="21"/>
      <w:lang w:bidi="ar-SA"/>
    </w:rPr>
  </w:style>
  <w:style w:type="paragraph" w:customStyle="1" w:styleId="749">
    <w:name w:val="表格中"/>
    <w:basedOn w:val="714"/>
    <w:link w:val="748"/>
    <w:qFormat/>
    <w:uiPriority w:val="0"/>
    <w:pPr>
      <w:pBdr>
        <w:left w:val="none" w:color="auto" w:sz="0" w:space="0"/>
        <w:bottom w:val="none" w:color="auto" w:sz="0" w:space="0"/>
        <w:right w:val="none" w:color="auto" w:sz="0" w:space="0"/>
      </w:pBdr>
      <w:spacing w:before="0" w:beforeAutospacing="0" w:after="0" w:afterAutospacing="0" w:line="360" w:lineRule="exact"/>
    </w:pPr>
    <w:rPr>
      <w:rFonts w:ascii="Times New Roman" w:hAnsi="Times New Roman" w:eastAsia="Times New Roman"/>
      <w:kern w:val="2"/>
      <w:szCs w:val="20"/>
    </w:rPr>
  </w:style>
  <w:style w:type="paragraph" w:customStyle="1" w:styleId="750">
    <w:name w:val="ST20_41"/>
    <w:basedOn w:val="751"/>
    <w:next w:val="1"/>
    <w:qFormat/>
    <w:uiPriority w:val="0"/>
    <w:pPr>
      <w:tabs>
        <w:tab w:val="left" w:pos="720"/>
      </w:tabs>
      <w:spacing w:after="240"/>
    </w:pPr>
  </w:style>
  <w:style w:type="paragraph" w:customStyle="1" w:styleId="751">
    <w:name w:val="ST20_20"/>
    <w:basedOn w:val="752"/>
    <w:qFormat/>
    <w:uiPriority w:val="0"/>
    <w:pPr>
      <w:tabs>
        <w:tab w:val="left" w:pos="720"/>
      </w:tabs>
      <w:spacing w:after="160"/>
    </w:pPr>
  </w:style>
  <w:style w:type="paragraph" w:customStyle="1" w:styleId="752">
    <w:name w:val="ST20_19"/>
    <w:basedOn w:val="753"/>
    <w:qFormat/>
    <w:uiPriority w:val="0"/>
    <w:pPr>
      <w:tabs>
        <w:tab w:val="left" w:pos="720"/>
      </w:tabs>
      <w:spacing w:after="80"/>
      <w:ind w:left="720" w:hanging="360"/>
    </w:pPr>
  </w:style>
  <w:style w:type="paragraph" w:customStyle="1" w:styleId="753">
    <w:name w:val="ST20_2"/>
    <w:basedOn w:val="1"/>
    <w:qFormat/>
    <w:uiPriority w:val="0"/>
    <w:pPr>
      <w:autoSpaceDE w:val="0"/>
      <w:autoSpaceDN w:val="0"/>
      <w:adjustRightInd w:val="0"/>
      <w:spacing w:after="160" w:line="360" w:lineRule="atLeast"/>
      <w:jc w:val="left"/>
      <w:textAlignment w:val="baseline"/>
    </w:pPr>
    <w:rPr>
      <w:rFonts w:ascii="宋体" w:hAnsi="Tms Rmn" w:eastAsia="宋体"/>
      <w:kern w:val="0"/>
      <w:szCs w:val="28"/>
    </w:rPr>
  </w:style>
  <w:style w:type="paragraph" w:customStyle="1" w:styleId="754">
    <w:name w:val="样式 标题 1（安评1）章标题 1标题111标题 1 Char标题yjm1h11st levelSection ..."/>
    <w:basedOn w:val="3"/>
    <w:semiHidden/>
    <w:qFormat/>
    <w:uiPriority w:val="0"/>
    <w:pPr>
      <w:pageBreakBefore w:val="0"/>
      <w:tabs>
        <w:tab w:val="left" w:pos="360"/>
      </w:tabs>
      <w:adjustRightInd w:val="0"/>
      <w:snapToGrid w:val="0"/>
      <w:spacing w:before="340" w:after="330" w:line="360" w:lineRule="auto"/>
      <w:ind w:left="360" w:hanging="360" w:hangingChars="200"/>
      <w:jc w:val="both"/>
    </w:pPr>
    <w:rPr>
      <w:rFonts w:ascii="Arial" w:cs="宋体"/>
      <w:b w:val="0"/>
      <w:bCs/>
    </w:rPr>
  </w:style>
  <w:style w:type="paragraph" w:customStyle="1" w:styleId="755">
    <w:name w:val="样式 标题 3H3H31H32H33u3标题 3 Char Char Char标题 3 Char Char Cha..."/>
    <w:basedOn w:val="6"/>
    <w:qFormat/>
    <w:uiPriority w:val="0"/>
    <w:pPr>
      <w:keepLines w:val="0"/>
      <w:tabs>
        <w:tab w:val="left" w:pos="0"/>
      </w:tabs>
      <w:spacing w:before="0" w:after="0" w:line="360" w:lineRule="auto"/>
      <w:ind w:left="567" w:hanging="567"/>
      <w:jc w:val="left"/>
    </w:pPr>
    <w:rPr>
      <w:rFonts w:ascii="Times New Roman" w:hAnsi="宋体" w:eastAsia="宋体" w:cs="宋体"/>
    </w:rPr>
  </w:style>
  <w:style w:type="paragraph" w:customStyle="1" w:styleId="756">
    <w:name w:val="ST20_30"/>
    <w:basedOn w:val="1"/>
    <w:next w:val="757"/>
    <w:qFormat/>
    <w:uiPriority w:val="0"/>
    <w:pPr>
      <w:keepNext/>
      <w:keepLines/>
      <w:tabs>
        <w:tab w:val="left" w:pos="360"/>
      </w:tabs>
      <w:autoSpaceDE w:val="0"/>
      <w:autoSpaceDN w:val="0"/>
      <w:adjustRightInd w:val="0"/>
      <w:spacing w:line="360" w:lineRule="atLeast"/>
      <w:ind w:left="360" w:hanging="360"/>
      <w:jc w:val="left"/>
      <w:textAlignment w:val="baseline"/>
    </w:pPr>
    <w:rPr>
      <w:rFonts w:ascii="宋体" w:hAnsi="Tms Rmn" w:eastAsia="宋体"/>
      <w:kern w:val="0"/>
      <w:szCs w:val="28"/>
    </w:rPr>
  </w:style>
  <w:style w:type="paragraph" w:customStyle="1" w:styleId="757">
    <w:name w:val="ST20_31"/>
    <w:basedOn w:val="1"/>
    <w:qFormat/>
    <w:uiPriority w:val="0"/>
    <w:pPr>
      <w:keepLines/>
      <w:autoSpaceDE w:val="0"/>
      <w:autoSpaceDN w:val="0"/>
      <w:adjustRightInd w:val="0"/>
      <w:spacing w:line="360" w:lineRule="atLeast"/>
      <w:jc w:val="left"/>
      <w:textAlignment w:val="baseline"/>
    </w:pPr>
    <w:rPr>
      <w:rFonts w:ascii="宋体" w:hAnsi="Tms Rmn" w:eastAsia="宋体"/>
      <w:kern w:val="0"/>
      <w:szCs w:val="28"/>
    </w:rPr>
  </w:style>
  <w:style w:type="paragraph" w:customStyle="1" w:styleId="758">
    <w:name w:val="页号"/>
    <w:basedOn w:val="56"/>
    <w:qFormat/>
    <w:uiPriority w:val="0"/>
    <w:pPr>
      <w:pBdr>
        <w:top w:val="single" w:color="auto" w:sz="6" w:space="1"/>
      </w:pBdr>
      <w:tabs>
        <w:tab w:val="center" w:pos="4320"/>
        <w:tab w:val="right" w:pos="8640"/>
        <w:tab w:val="clear" w:pos="4153"/>
        <w:tab w:val="clear" w:pos="8306"/>
      </w:tabs>
      <w:adjustRightInd w:val="0"/>
      <w:snapToGrid/>
      <w:spacing w:line="360" w:lineRule="auto"/>
      <w:jc w:val="center"/>
      <w:textAlignment w:val="baseline"/>
    </w:pPr>
    <w:rPr>
      <w:rFonts w:ascii="宋体" w:hAnsi="Arial" w:eastAsia="宋体"/>
      <w:spacing w:val="3"/>
      <w:kern w:val="24"/>
      <w:sz w:val="24"/>
    </w:rPr>
  </w:style>
  <w:style w:type="paragraph" w:customStyle="1" w:styleId="759">
    <w:name w:val="xl154"/>
    <w:basedOn w:val="1"/>
    <w:qFormat/>
    <w:uiPriority w:val="0"/>
    <w:pPr>
      <w:widowControl/>
      <w:pBdr>
        <w:bottom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760">
    <w:name w:val="列表1"/>
    <w:basedOn w:val="67"/>
    <w:qFormat/>
    <w:uiPriority w:val="0"/>
    <w:pPr>
      <w:tabs>
        <w:tab w:val="left" w:pos="5320"/>
      </w:tabs>
      <w:autoSpaceDE/>
      <w:autoSpaceDN/>
      <w:snapToGrid w:val="0"/>
      <w:spacing w:line="360" w:lineRule="auto"/>
      <w:ind w:left="0" w:firstLine="0" w:firstLineChars="0"/>
      <w:jc w:val="center"/>
      <w:textAlignment w:val="auto"/>
    </w:pPr>
    <w:rPr>
      <w:kern w:val="2"/>
      <w:sz w:val="32"/>
    </w:rPr>
  </w:style>
  <w:style w:type="paragraph" w:customStyle="1" w:styleId="761">
    <w:name w:val="CM104"/>
    <w:basedOn w:val="762"/>
    <w:next w:val="762"/>
    <w:qFormat/>
    <w:uiPriority w:val="0"/>
    <w:pPr>
      <w:spacing w:line="626" w:lineRule="atLeast"/>
    </w:pPr>
    <w:rPr>
      <w:rFonts w:ascii="á￥êé" w:eastAsia="á￥êé"/>
    </w:rPr>
  </w:style>
  <w:style w:type="paragraph" w:customStyle="1" w:styleId="762">
    <w:name w:val="Default"/>
    <w:link w:val="2405"/>
    <w:qFormat/>
    <w:uiPriority w:val="0"/>
    <w:pPr>
      <w:widowControl w:val="0"/>
      <w:autoSpaceDE w:val="0"/>
      <w:autoSpaceDN w:val="0"/>
      <w:adjustRightInd w:val="0"/>
    </w:pPr>
    <w:rPr>
      <w:rFonts w:ascii="宋体" w:hAnsi="Times New Roman" w:eastAsia="宋体" w:cs="Times New Roman"/>
      <w:lang w:val="en-US" w:eastAsia="zh-CN" w:bidi="ar-SA"/>
    </w:rPr>
  </w:style>
  <w:style w:type="paragraph" w:customStyle="1" w:styleId="763">
    <w:name w:val="xl53"/>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pPr>
    <w:rPr>
      <w:rFonts w:hint="eastAsia" w:ascii="宋体" w:hAnsi="宋体" w:eastAsia="宋体"/>
      <w:kern w:val="0"/>
      <w:sz w:val="20"/>
    </w:rPr>
  </w:style>
  <w:style w:type="paragraph" w:customStyle="1" w:styleId="764">
    <w:name w:val="表格文字2"/>
    <w:basedOn w:val="1"/>
    <w:link w:val="1908"/>
    <w:qFormat/>
    <w:uiPriority w:val="0"/>
    <w:pPr>
      <w:keepNext/>
      <w:keepLines/>
      <w:tabs>
        <w:tab w:val="left" w:pos="0"/>
        <w:tab w:val="left" w:pos="277"/>
        <w:tab w:val="left" w:pos="600"/>
        <w:tab w:val="left" w:pos="780"/>
        <w:tab w:val="left" w:pos="2517"/>
      </w:tabs>
      <w:autoSpaceDE w:val="0"/>
      <w:autoSpaceDN w:val="0"/>
      <w:adjustRightInd w:val="0"/>
      <w:spacing w:before="60"/>
      <w:jc w:val="center"/>
      <w:textAlignment w:val="baseline"/>
    </w:pPr>
    <w:rPr>
      <w:rFonts w:ascii="宋体" w:eastAsia="宋体"/>
      <w:sz w:val="21"/>
      <w:szCs w:val="24"/>
    </w:rPr>
  </w:style>
  <w:style w:type="paragraph" w:customStyle="1" w:styleId="765">
    <w:name w:val="Char Char Char Char Char Char Char Char Char1 Char Char Char Char Char Char Char Char Char Char"/>
    <w:basedOn w:val="1"/>
    <w:qFormat/>
    <w:uiPriority w:val="0"/>
    <w:rPr>
      <w:rFonts w:ascii="宋体" w:hAnsi="宋体" w:eastAsia="宋体"/>
      <w:sz w:val="32"/>
    </w:rPr>
  </w:style>
  <w:style w:type="paragraph" w:customStyle="1" w:styleId="766">
    <w:name w:val="xl24"/>
    <w:basedOn w:val="1"/>
    <w:link w:val="1797"/>
    <w:qFormat/>
    <w:uiPriority w:val="0"/>
    <w:pPr>
      <w:widowControl/>
      <w:pBdr>
        <w:top w:val="single" w:color="auto" w:sz="4" w:space="0"/>
      </w:pBdr>
      <w:spacing w:before="100" w:beforeAutospacing="1" w:after="100" w:afterAutospacing="1"/>
      <w:jc w:val="center"/>
    </w:pPr>
    <w:rPr>
      <w:rFonts w:eastAsia="Arial Unicode MS"/>
      <w:kern w:val="0"/>
      <w:sz w:val="24"/>
      <w:szCs w:val="24"/>
    </w:rPr>
  </w:style>
  <w:style w:type="paragraph" w:customStyle="1" w:styleId="767">
    <w:name w:val="4 Char"/>
    <w:basedOn w:val="1"/>
    <w:qFormat/>
    <w:uiPriority w:val="0"/>
    <w:pPr>
      <w:tabs>
        <w:tab w:val="left" w:pos="794"/>
        <w:tab w:val="left" w:pos="1191"/>
        <w:tab w:val="left" w:pos="1588"/>
        <w:tab w:val="left" w:pos="1985"/>
      </w:tabs>
      <w:autoSpaceDE w:val="0"/>
      <w:autoSpaceDN w:val="0"/>
      <w:adjustRightInd w:val="0"/>
      <w:spacing w:before="136"/>
    </w:pPr>
    <w:rPr>
      <w:rFonts w:eastAsia="宋体"/>
      <w:sz w:val="24"/>
      <w:szCs w:val="24"/>
    </w:rPr>
  </w:style>
  <w:style w:type="paragraph" w:customStyle="1" w:styleId="768">
    <w:name w:val="标题2，中板"/>
    <w:basedOn w:val="4"/>
    <w:qFormat/>
    <w:uiPriority w:val="0"/>
    <w:pPr>
      <w:widowControl/>
      <w:tabs>
        <w:tab w:val="clear" w:pos="567"/>
      </w:tabs>
      <w:spacing w:before="260" w:after="260" w:line="413" w:lineRule="auto"/>
      <w:ind w:left="0" w:firstLine="0"/>
      <w:jc w:val="left"/>
    </w:pPr>
    <w:rPr>
      <w:rFonts w:ascii="Times New Roman" w:hAnsi="Times New Roman" w:cs="宋体"/>
      <w:bCs/>
      <w:sz w:val="32"/>
      <w:szCs w:val="24"/>
    </w:rPr>
  </w:style>
  <w:style w:type="paragraph" w:customStyle="1" w:styleId="769">
    <w:name w:val="xl27"/>
    <w:basedOn w:val="1"/>
    <w:qFormat/>
    <w:uiPriority w:val="0"/>
    <w:pPr>
      <w:widowControl/>
      <w:pBdr>
        <w:top w:val="single" w:color="auto" w:sz="4" w:space="0"/>
        <w:bottom w:val="single" w:color="auto" w:sz="4" w:space="0"/>
      </w:pBdr>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770">
    <w:name w:val="Char Char Char3 Char"/>
    <w:basedOn w:val="1"/>
    <w:qFormat/>
    <w:uiPriority w:val="0"/>
    <w:rPr>
      <w:rFonts w:eastAsia="宋体"/>
      <w:sz w:val="21"/>
    </w:rPr>
  </w:style>
  <w:style w:type="paragraph" w:customStyle="1" w:styleId="771">
    <w:name w:val="Char Char Char Char Char Char Char Char Char1 Char"/>
    <w:basedOn w:val="1"/>
    <w:qFormat/>
    <w:uiPriority w:val="0"/>
    <w:rPr>
      <w:rFonts w:ascii="宋体" w:hAnsi="宋体" w:eastAsia="宋体"/>
      <w:sz w:val="32"/>
    </w:rPr>
  </w:style>
  <w:style w:type="paragraph" w:customStyle="1" w:styleId="772">
    <w:name w:val="样式 宋体 小四 行距: 固定值 26 磅 首行缩进:  2 字符"/>
    <w:basedOn w:val="1"/>
    <w:qFormat/>
    <w:uiPriority w:val="0"/>
    <w:pPr>
      <w:spacing w:line="520" w:lineRule="exact"/>
      <w:ind w:firstLine="480" w:firstLineChars="200"/>
    </w:pPr>
    <w:rPr>
      <w:rFonts w:ascii="宋体" w:hAnsi="宋体" w:eastAsia="宋体" w:cs="宋体"/>
      <w:sz w:val="24"/>
    </w:rPr>
  </w:style>
  <w:style w:type="paragraph" w:customStyle="1" w:styleId="773">
    <w:name w:val="样式 标题 4标题 4 Char Char标题 4 Char四款标题1.1.1.1表格1 + (符号) Arial"/>
    <w:basedOn w:val="7"/>
    <w:qFormat/>
    <w:uiPriority w:val="0"/>
    <w:pPr>
      <w:spacing w:before="120" w:after="120" w:line="240" w:lineRule="auto"/>
    </w:pPr>
    <w:rPr>
      <w:rFonts w:hAnsi="宋体" w:eastAsia="宋体" w:cs="Arial"/>
      <w:color w:val="auto"/>
      <w:spacing w:val="10"/>
      <w:szCs w:val="24"/>
    </w:rPr>
  </w:style>
  <w:style w:type="paragraph" w:customStyle="1" w:styleId="774">
    <w:name w:val="T表格"/>
    <w:qFormat/>
    <w:uiPriority w:val="0"/>
    <w:pPr>
      <w:jc w:val="center"/>
    </w:pPr>
    <w:rPr>
      <w:rFonts w:ascii="Times New Roman" w:hAnsi="Times New Roman" w:eastAsia="宋体" w:cs="Times New Roman"/>
      <w:sz w:val="21"/>
      <w:lang w:val="en-US" w:eastAsia="zh-CN" w:bidi="ar-SA"/>
    </w:rPr>
  </w:style>
  <w:style w:type="paragraph" w:customStyle="1" w:styleId="775">
    <w:name w:val="博士论文正文 Char"/>
    <w:basedOn w:val="1"/>
    <w:semiHidden/>
    <w:qFormat/>
    <w:uiPriority w:val="0"/>
    <w:pPr>
      <w:widowControl/>
      <w:snapToGrid w:val="0"/>
      <w:jc w:val="left"/>
    </w:pPr>
    <w:rPr>
      <w:rFonts w:ascii="宋体" w:hAnsi="宋体" w:eastAsia="宋体"/>
      <w:kern w:val="0"/>
      <w:sz w:val="21"/>
      <w:szCs w:val="24"/>
    </w:rPr>
  </w:style>
  <w:style w:type="paragraph" w:customStyle="1" w:styleId="776">
    <w:name w:val="reader-word-layer reader-word-s2-3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777">
    <w:name w:val="样式 标题 4款标题1.1.1.1标题 4 Char Char标题 4 Char四目H4H41L4Minor ..."/>
    <w:basedOn w:val="7"/>
    <w:qFormat/>
    <w:uiPriority w:val="0"/>
    <w:pPr>
      <w:tabs>
        <w:tab w:val="left" w:pos="1211"/>
      </w:tabs>
      <w:spacing w:line="360" w:lineRule="auto"/>
      <w:ind w:left="1211"/>
      <w:outlineLvl w:val="0"/>
    </w:pPr>
    <w:rPr>
      <w:rFonts w:ascii="仿宋_GB2312" w:hAnsi="Times New Roman" w:cs="宋体"/>
      <w:bCs/>
      <w:color w:val="auto"/>
      <w:kern w:val="0"/>
    </w:rPr>
  </w:style>
  <w:style w:type="paragraph" w:customStyle="1" w:styleId="778">
    <w:name w:val="正文表格文字"/>
    <w:basedOn w:val="1"/>
    <w:semiHidden/>
    <w:qFormat/>
    <w:uiPriority w:val="0"/>
    <w:pPr>
      <w:widowControl/>
      <w:snapToGrid w:val="0"/>
      <w:spacing w:line="400" w:lineRule="exact"/>
      <w:jc w:val="left"/>
    </w:pPr>
    <w:rPr>
      <w:rFonts w:eastAsia="宋体"/>
      <w:kern w:val="0"/>
      <w:sz w:val="21"/>
    </w:rPr>
  </w:style>
  <w:style w:type="paragraph" w:customStyle="1" w:styleId="779">
    <w:name w:val="Char Char1 Char Char 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780">
    <w:name w:val="1"/>
    <w:basedOn w:val="1"/>
    <w:qFormat/>
    <w:uiPriority w:val="0"/>
    <w:rPr>
      <w:rFonts w:eastAsia="宋体"/>
      <w:sz w:val="21"/>
      <w:szCs w:val="24"/>
    </w:rPr>
  </w:style>
  <w:style w:type="paragraph" w:customStyle="1" w:styleId="781">
    <w:name w:val="表内容"/>
    <w:basedOn w:val="1"/>
    <w:qFormat/>
    <w:uiPriority w:val="0"/>
    <w:pPr>
      <w:adjustRightInd w:val="0"/>
      <w:snapToGrid w:val="0"/>
      <w:spacing w:line="360" w:lineRule="auto"/>
      <w:jc w:val="center"/>
      <w:textAlignment w:val="center"/>
    </w:pPr>
    <w:rPr>
      <w:rFonts w:eastAsia="宋体"/>
      <w:sz w:val="24"/>
    </w:rPr>
  </w:style>
  <w:style w:type="paragraph" w:customStyle="1" w:styleId="782">
    <w:name w:val="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783">
    <w:name w:val="Char Char Char1 Char"/>
    <w:basedOn w:val="1"/>
    <w:next w:val="1"/>
    <w:qFormat/>
    <w:uiPriority w:val="0"/>
    <w:pPr>
      <w:spacing w:line="360" w:lineRule="auto"/>
      <w:ind w:firstLine="200" w:firstLineChars="200"/>
    </w:pPr>
    <w:rPr>
      <w:rFonts w:eastAsia="宋体"/>
      <w:sz w:val="21"/>
      <w:szCs w:val="24"/>
    </w:rPr>
  </w:style>
  <w:style w:type="paragraph" w:customStyle="1" w:styleId="784">
    <w:name w:val="样式 正文缩进正文（首行缩进两字） + 段后: 0.1 行"/>
    <w:basedOn w:val="1"/>
    <w:semiHidden/>
    <w:qFormat/>
    <w:uiPriority w:val="0"/>
    <w:pPr>
      <w:widowControl/>
      <w:spacing w:line="400" w:lineRule="exact"/>
      <w:ind w:firstLine="480" w:firstLineChars="200"/>
    </w:pPr>
    <w:rPr>
      <w:rFonts w:eastAsia="宋体"/>
      <w:bCs/>
      <w:color w:val="000000"/>
      <w:kern w:val="0"/>
      <w:sz w:val="24"/>
      <w:lang w:val="zh-CN"/>
    </w:rPr>
  </w:style>
  <w:style w:type="paragraph" w:customStyle="1" w:styleId="785">
    <w:name w:val="Char2 Char Char Char Char Char Char Char Char Char"/>
    <w:basedOn w:val="1"/>
    <w:qFormat/>
    <w:uiPriority w:val="0"/>
    <w:pPr>
      <w:snapToGrid w:val="0"/>
    </w:pPr>
    <w:rPr>
      <w:rFonts w:eastAsia="宋体"/>
      <w:sz w:val="21"/>
      <w:szCs w:val="24"/>
    </w:rPr>
  </w:style>
  <w:style w:type="paragraph" w:customStyle="1" w:styleId="786">
    <w:name w:val="reader-word-layer reader-word-s1-6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787">
    <w:name w:val="样式 表格 + 左侧:  0.98 厘米"/>
    <w:basedOn w:val="1"/>
    <w:semiHidden/>
    <w:qFormat/>
    <w:uiPriority w:val="0"/>
    <w:pPr>
      <w:adjustRightInd w:val="0"/>
      <w:snapToGrid w:val="0"/>
      <w:spacing w:before="100" w:beforeAutospacing="1" w:after="100" w:afterAutospacing="1" w:line="300" w:lineRule="auto"/>
    </w:pPr>
    <w:rPr>
      <w:rFonts w:ascii="Arial" w:hAnsi="Arial" w:eastAsia="宋体"/>
      <w:kern w:val="0"/>
      <w:sz w:val="21"/>
    </w:rPr>
  </w:style>
  <w:style w:type="paragraph" w:customStyle="1" w:styleId="788">
    <w:name w:val="Char4 Char Char Char"/>
    <w:basedOn w:val="1"/>
    <w:qFormat/>
    <w:uiPriority w:val="0"/>
    <w:pPr>
      <w:widowControl/>
      <w:snapToGrid w:val="0"/>
      <w:spacing w:after="160" w:line="300" w:lineRule="auto"/>
      <w:jc w:val="left"/>
    </w:pPr>
    <w:rPr>
      <w:rFonts w:ascii="仿宋_GB2312" w:hAnsi="Verdana"/>
      <w:b/>
      <w:kern w:val="0"/>
      <w:szCs w:val="28"/>
      <w:lang w:eastAsia="en-US"/>
    </w:rPr>
  </w:style>
  <w:style w:type="paragraph" w:customStyle="1" w:styleId="789">
    <w:name w:val="d_post_content"/>
    <w:basedOn w:val="1"/>
    <w:qFormat/>
    <w:uiPriority w:val="0"/>
    <w:pPr>
      <w:widowControl/>
      <w:wordWrap w:val="0"/>
      <w:spacing w:before="100" w:beforeAutospacing="1" w:after="100" w:afterAutospacing="1" w:line="342" w:lineRule="atLeast"/>
      <w:jc w:val="left"/>
    </w:pPr>
    <w:rPr>
      <w:rFonts w:ascii="宋体" w:hAnsi="宋体" w:eastAsia="宋体" w:cs="宋体"/>
      <w:kern w:val="0"/>
      <w:sz w:val="20"/>
    </w:rPr>
  </w:style>
  <w:style w:type="paragraph" w:customStyle="1" w:styleId="790">
    <w:name w:val="样式 正文首行缩进 + 首行缩进:  1 字符"/>
    <w:basedOn w:val="41"/>
    <w:qFormat/>
    <w:uiPriority w:val="0"/>
    <w:pPr>
      <w:adjustRightInd w:val="0"/>
      <w:spacing w:after="0" w:line="360" w:lineRule="auto"/>
      <w:ind w:firstLine="100" w:firstLineChars="200"/>
      <w:textAlignment w:val="baseline"/>
    </w:pPr>
    <w:rPr>
      <w:rFonts w:ascii="宋体" w:hAnsi="宋体" w:eastAsia="宋体" w:cs="宋体"/>
      <w:kern w:val="0"/>
      <w:sz w:val="24"/>
      <w:szCs w:val="24"/>
    </w:rPr>
  </w:style>
  <w:style w:type="paragraph" w:customStyle="1" w:styleId="791">
    <w:name w:val="报告标题3"/>
    <w:basedOn w:val="6"/>
    <w:link w:val="2535"/>
    <w:qFormat/>
    <w:uiPriority w:val="0"/>
    <w:pPr>
      <w:tabs>
        <w:tab w:val="left" w:pos="0"/>
      </w:tabs>
      <w:spacing w:before="0" w:after="0" w:line="360" w:lineRule="auto"/>
      <w:ind w:left="0" w:firstLine="0"/>
      <w:jc w:val="left"/>
    </w:pPr>
    <w:rPr>
      <w:rFonts w:ascii="Arial" w:hAnsi="Arial" w:eastAsia="宋体"/>
      <w:bCs w:val="0"/>
      <w:color w:val="000000"/>
      <w:szCs w:val="32"/>
    </w:rPr>
  </w:style>
  <w:style w:type="paragraph" w:customStyle="1" w:styleId="792">
    <w:name w:val="一级标题"/>
    <w:basedOn w:val="1"/>
    <w:qFormat/>
    <w:uiPriority w:val="0"/>
    <w:pPr>
      <w:spacing w:before="60" w:line="460" w:lineRule="exact"/>
      <w:outlineLvl w:val="0"/>
    </w:pPr>
    <w:rPr>
      <w:rFonts w:eastAsia="宋体"/>
      <w:b/>
      <w:bCs/>
      <w:sz w:val="32"/>
      <w:szCs w:val="24"/>
    </w:rPr>
  </w:style>
  <w:style w:type="paragraph" w:customStyle="1" w:styleId="793">
    <w:name w:val="样式 Arial 小四 行距: 固定值 22 磅 首行缩进:  2 字符"/>
    <w:basedOn w:val="1"/>
    <w:qFormat/>
    <w:uiPriority w:val="0"/>
    <w:pPr>
      <w:spacing w:line="440" w:lineRule="exact"/>
      <w:ind w:firstLine="480" w:firstLineChars="200"/>
    </w:pPr>
    <w:rPr>
      <w:rFonts w:ascii="Arial" w:hAnsi="Arial" w:eastAsia="宋体" w:cs="宋体"/>
      <w:sz w:val="24"/>
      <w:szCs w:val="24"/>
    </w:rPr>
  </w:style>
  <w:style w:type="paragraph" w:customStyle="1" w:styleId="794">
    <w:name w:val="G2"/>
    <w:basedOn w:val="60"/>
    <w:next w:val="1"/>
    <w:qFormat/>
    <w:uiPriority w:val="0"/>
    <w:pPr>
      <w:tabs>
        <w:tab w:val="clear" w:pos="1120"/>
        <w:tab w:val="clear" w:pos="8767"/>
      </w:tabs>
      <w:spacing w:before="156" w:beforeLines="50" w:after="156" w:afterLines="50" w:line="360" w:lineRule="auto"/>
      <w:jc w:val="both"/>
      <w:outlineLvl w:val="1"/>
    </w:pPr>
    <w:rPr>
      <w:rFonts w:ascii="Times New Roman" w:hAnsi="Times New Roman"/>
      <w:bCs w:val="0"/>
      <w:caps w:val="0"/>
      <w:sz w:val="30"/>
      <w:szCs w:val="24"/>
    </w:rPr>
  </w:style>
  <w:style w:type="paragraph" w:customStyle="1" w:styleId="795">
    <w:name w:val="Char Char2 Char Char Char Char"/>
    <w:basedOn w:val="1"/>
    <w:semiHidden/>
    <w:qFormat/>
    <w:uiPriority w:val="0"/>
    <w:pPr>
      <w:snapToGrid w:val="0"/>
      <w:spacing w:line="360" w:lineRule="auto"/>
    </w:pPr>
    <w:rPr>
      <w:rFonts w:ascii="宋体" w:hAnsi="宋体" w:eastAsia="宋体" w:cs="宋体"/>
      <w:sz w:val="24"/>
      <w:szCs w:val="24"/>
    </w:rPr>
  </w:style>
  <w:style w:type="paragraph" w:customStyle="1" w:styleId="796">
    <w:name w:val="reader-word-layer reader-word-s2-2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797">
    <w:name w:val="样式 标题 2 + 首行缩进:  2 字符"/>
    <w:basedOn w:val="4"/>
    <w:qFormat/>
    <w:uiPriority w:val="0"/>
    <w:pPr>
      <w:adjustRightInd w:val="0"/>
      <w:snapToGrid w:val="0"/>
      <w:spacing w:before="0" w:after="0" w:line="360" w:lineRule="auto"/>
      <w:ind w:firstLine="643" w:firstLineChars="202"/>
      <w:jc w:val="left"/>
    </w:pPr>
    <w:rPr>
      <w:rFonts w:ascii="宋体" w:hAnsi="宋体" w:cs="宋体"/>
      <w:bCs/>
      <w:sz w:val="30"/>
    </w:rPr>
  </w:style>
  <w:style w:type="paragraph" w:customStyle="1" w:styleId="798">
    <w:name w:val="Report Level 2"/>
    <w:basedOn w:val="1"/>
    <w:next w:val="1"/>
    <w:qFormat/>
    <w:uiPriority w:val="0"/>
    <w:pPr>
      <w:keepNext/>
      <w:widowControl/>
      <w:tabs>
        <w:tab w:val="left" w:pos="1080"/>
      </w:tabs>
      <w:spacing w:before="240" w:after="120"/>
      <w:ind w:left="851" w:hanging="563"/>
      <w:jc w:val="left"/>
      <w:outlineLvl w:val="1"/>
    </w:pPr>
    <w:rPr>
      <w:rFonts w:ascii="Arial" w:hAnsi="Arial" w:eastAsia="宋体"/>
      <w:b/>
      <w:kern w:val="0"/>
      <w:sz w:val="24"/>
      <w:lang w:val="en-GB" w:eastAsia="en-US"/>
    </w:rPr>
  </w:style>
  <w:style w:type="paragraph" w:customStyle="1" w:styleId="799">
    <w:name w:val="样式 标题 2 + 左侧:  0 厘米 首行缩进:  0 厘米"/>
    <w:basedOn w:val="4"/>
    <w:qFormat/>
    <w:uiPriority w:val="0"/>
    <w:pPr>
      <w:keepLines w:val="0"/>
      <w:tabs>
        <w:tab w:val="left" w:pos="735"/>
      </w:tabs>
      <w:snapToGrid w:val="0"/>
      <w:spacing w:before="0" w:after="0" w:line="360" w:lineRule="auto"/>
      <w:ind w:left="0" w:firstLine="0"/>
    </w:pPr>
    <w:rPr>
      <w:rFonts w:ascii="宋体" w:hAnsi="宋体" w:eastAsia="宋体" w:cs="宋体"/>
      <w:b/>
      <w:bCs/>
      <w:sz w:val="30"/>
    </w:rPr>
  </w:style>
  <w:style w:type="paragraph" w:customStyle="1" w:styleId="800">
    <w:name w:val="TOC 标题1"/>
    <w:basedOn w:val="3"/>
    <w:next w:val="1"/>
    <w:qFormat/>
    <w:uiPriority w:val="39"/>
    <w:pPr>
      <w:pageBreakBefore w:val="0"/>
      <w:widowControl/>
      <w:spacing w:before="480" w:after="0" w:line="276" w:lineRule="auto"/>
      <w:ind w:left="0" w:firstLine="0"/>
      <w:jc w:val="left"/>
      <w:outlineLvl w:val="9"/>
    </w:pPr>
    <w:rPr>
      <w:rFonts w:ascii="Cambria" w:hAnsi="Cambria"/>
      <w:bCs/>
      <w:color w:val="365F91"/>
      <w:kern w:val="0"/>
      <w:sz w:val="28"/>
      <w:szCs w:val="28"/>
    </w:rPr>
  </w:style>
  <w:style w:type="paragraph" w:customStyle="1" w:styleId="801">
    <w:name w:val="样式 标题 4标题 14 + 加粗 无下划线 自动设置 段前: 3 磅 段后: 10 磅2"/>
    <w:basedOn w:val="7"/>
    <w:qFormat/>
    <w:uiPriority w:val="0"/>
    <w:pPr>
      <w:keepLines w:val="0"/>
      <w:tabs>
        <w:tab w:val="left" w:pos="425"/>
      </w:tabs>
      <w:adjustRightInd w:val="0"/>
      <w:snapToGrid w:val="0"/>
      <w:spacing w:before="60" w:after="200" w:line="240" w:lineRule="auto"/>
      <w:ind w:left="0" w:firstLine="0"/>
      <w:jc w:val="both"/>
    </w:pPr>
    <w:rPr>
      <w:rFonts w:ascii="Times New Roman" w:hAnsi="Times New Roman" w:eastAsia="宋体"/>
      <w:b w:val="0"/>
      <w:bCs/>
      <w:u w:color="FF00FF"/>
    </w:rPr>
  </w:style>
  <w:style w:type="paragraph" w:customStyle="1" w:styleId="802">
    <w:name w:val="Char6"/>
    <w:basedOn w:val="1"/>
    <w:qFormat/>
    <w:uiPriority w:val="0"/>
    <w:pPr>
      <w:spacing w:line="360" w:lineRule="auto"/>
      <w:ind w:firstLine="200" w:firstLineChars="200"/>
    </w:pPr>
    <w:rPr>
      <w:rFonts w:ascii="宋体" w:hAnsi="宋体" w:eastAsia="宋体" w:cs="宋体"/>
      <w:sz w:val="24"/>
      <w:szCs w:val="24"/>
    </w:rPr>
  </w:style>
  <w:style w:type="paragraph" w:customStyle="1" w:styleId="803">
    <w:name w:val="Char Char Char2 Char Char Char Char Char Char Char Char Char Char"/>
    <w:basedOn w:val="1"/>
    <w:qFormat/>
    <w:uiPriority w:val="0"/>
    <w:rPr>
      <w:rFonts w:eastAsia="宋体"/>
      <w:sz w:val="21"/>
      <w:szCs w:val="24"/>
    </w:rPr>
  </w:style>
  <w:style w:type="paragraph" w:customStyle="1" w:styleId="804">
    <w:name w:val="Bullet 1"/>
    <w:basedOn w:val="1"/>
    <w:next w:val="1"/>
    <w:qFormat/>
    <w:uiPriority w:val="0"/>
    <w:pPr>
      <w:widowControl/>
      <w:tabs>
        <w:tab w:val="left" w:pos="420"/>
        <w:tab w:val="left" w:pos="1440"/>
      </w:tabs>
      <w:ind w:left="2160"/>
      <w:jc w:val="left"/>
    </w:pPr>
    <w:rPr>
      <w:rFonts w:ascii="Arial" w:hAnsi="Arial" w:eastAsia="宋体"/>
      <w:kern w:val="0"/>
      <w:sz w:val="20"/>
    </w:rPr>
  </w:style>
  <w:style w:type="paragraph" w:customStyle="1" w:styleId="805">
    <w:name w:val="Company Name"/>
    <w:basedOn w:val="1"/>
    <w:next w:val="1"/>
    <w:qFormat/>
    <w:uiPriority w:val="0"/>
    <w:pPr>
      <w:widowControl/>
      <w:tabs>
        <w:tab w:val="left" w:pos="2160"/>
        <w:tab w:val="right" w:pos="6480"/>
      </w:tabs>
      <w:spacing w:before="220" w:after="40" w:line="220" w:lineRule="atLeast"/>
      <w:ind w:right="-360"/>
      <w:jc w:val="left"/>
    </w:pPr>
    <w:rPr>
      <w:rFonts w:eastAsia="宋体"/>
      <w:kern w:val="0"/>
      <w:sz w:val="20"/>
    </w:rPr>
  </w:style>
  <w:style w:type="paragraph" w:customStyle="1" w:styleId="806">
    <w:name w:val="ST20_12"/>
    <w:basedOn w:val="1"/>
    <w:next w:val="807"/>
    <w:qFormat/>
    <w:uiPriority w:val="0"/>
    <w:pPr>
      <w:autoSpaceDE w:val="0"/>
      <w:autoSpaceDN w:val="0"/>
      <w:adjustRightInd w:val="0"/>
      <w:spacing w:before="160" w:line="360" w:lineRule="atLeast"/>
      <w:jc w:val="left"/>
      <w:textAlignment w:val="baseline"/>
    </w:pPr>
    <w:rPr>
      <w:rFonts w:ascii="宋体" w:hAnsi="Tms Rmn" w:eastAsia="宋体"/>
      <w:b/>
      <w:bCs/>
      <w:i/>
      <w:iCs/>
      <w:kern w:val="0"/>
      <w:szCs w:val="28"/>
    </w:rPr>
  </w:style>
  <w:style w:type="paragraph" w:customStyle="1" w:styleId="807">
    <w:name w:val="ST20_13"/>
    <w:basedOn w:val="1"/>
    <w:next w:val="808"/>
    <w:qFormat/>
    <w:uiPriority w:val="0"/>
    <w:pPr>
      <w:autoSpaceDE w:val="0"/>
      <w:autoSpaceDN w:val="0"/>
      <w:adjustRightInd w:val="0"/>
      <w:spacing w:before="160" w:line="360" w:lineRule="atLeast"/>
      <w:jc w:val="left"/>
      <w:textAlignment w:val="baseline"/>
    </w:pPr>
    <w:rPr>
      <w:rFonts w:ascii="宋体" w:hAnsi="Tms Rmn" w:eastAsia="宋体"/>
      <w:kern w:val="0"/>
      <w:szCs w:val="28"/>
    </w:rPr>
  </w:style>
  <w:style w:type="paragraph" w:customStyle="1" w:styleId="808">
    <w:name w:val="ST20_14"/>
    <w:basedOn w:val="1"/>
    <w:next w:val="1"/>
    <w:qFormat/>
    <w:uiPriority w:val="0"/>
    <w:pPr>
      <w:autoSpaceDE w:val="0"/>
      <w:autoSpaceDN w:val="0"/>
      <w:adjustRightInd w:val="0"/>
      <w:spacing w:line="360" w:lineRule="atLeast"/>
      <w:jc w:val="left"/>
      <w:textAlignment w:val="baseline"/>
    </w:pPr>
    <w:rPr>
      <w:rFonts w:ascii="宋体" w:hAnsi="Tms Rmn" w:eastAsia="宋体"/>
      <w:i/>
      <w:iCs/>
      <w:kern w:val="0"/>
      <w:szCs w:val="28"/>
      <w:u w:val="single"/>
    </w:rPr>
  </w:style>
  <w:style w:type="paragraph" w:customStyle="1" w:styleId="809">
    <w:name w:val="xl104"/>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810">
    <w:name w:val="标题 4-1"/>
    <w:basedOn w:val="1"/>
    <w:next w:val="1"/>
    <w:qFormat/>
    <w:uiPriority w:val="0"/>
    <w:pPr>
      <w:widowControl/>
      <w:adjustRightInd w:val="0"/>
      <w:snapToGrid w:val="0"/>
      <w:spacing w:line="480" w:lineRule="exact"/>
      <w:ind w:firstLine="538" w:firstLineChars="224"/>
      <w:jc w:val="left"/>
      <w:outlineLvl w:val="3"/>
    </w:pPr>
    <w:rPr>
      <w:rFonts w:ascii="宋体" w:hAnsi="宋体" w:eastAsia="宋体"/>
      <w:bCs/>
      <w:caps/>
      <w:kern w:val="0"/>
      <w:sz w:val="24"/>
      <w:szCs w:val="24"/>
    </w:rPr>
  </w:style>
  <w:style w:type="paragraph" w:customStyle="1" w:styleId="811">
    <w:name w:val="Section Subtitle"/>
    <w:basedOn w:val="812"/>
    <w:next w:val="1"/>
    <w:qFormat/>
    <w:uiPriority w:val="0"/>
    <w:pPr>
      <w:pBdr>
        <w:top w:val="none" w:color="auto" w:sz="0" w:space="0"/>
      </w:pBdr>
    </w:pPr>
    <w:rPr>
      <w:b w:val="0"/>
      <w:spacing w:val="0"/>
      <w:position w:val="6"/>
    </w:rPr>
  </w:style>
  <w:style w:type="paragraph" w:customStyle="1" w:styleId="812">
    <w:name w:val="Section Title"/>
    <w:basedOn w:val="1"/>
    <w:next w:val="1"/>
    <w:qFormat/>
    <w:uiPriority w:val="0"/>
    <w:pPr>
      <w:widowControl/>
      <w:pBdr>
        <w:top w:val="single" w:color="FFFFFF" w:sz="6" w:space="2"/>
        <w:left w:val="single" w:color="FFFFFF" w:sz="6" w:space="2"/>
        <w:bottom w:val="single" w:color="FFFFFF" w:sz="6" w:space="2"/>
        <w:right w:val="single" w:color="FFFFFF" w:sz="6" w:space="2"/>
      </w:pBdr>
      <w:shd w:val="pct10" w:color="auto" w:fill="auto"/>
      <w:spacing w:before="120" w:line="280" w:lineRule="atLeast"/>
      <w:jc w:val="left"/>
    </w:pPr>
    <w:rPr>
      <w:rFonts w:ascii="Arial" w:hAnsi="Arial" w:eastAsia="宋体"/>
      <w:b/>
      <w:spacing w:val="-10"/>
      <w:kern w:val="0"/>
      <w:position w:val="7"/>
      <w:sz w:val="20"/>
    </w:rPr>
  </w:style>
  <w:style w:type="paragraph" w:customStyle="1" w:styleId="813">
    <w:name w:val="标题 1（安评1）章标题"/>
    <w:basedOn w:val="3"/>
    <w:semiHidden/>
    <w:qFormat/>
    <w:uiPriority w:val="0"/>
    <w:pPr>
      <w:pageBreakBefore w:val="0"/>
      <w:tabs>
        <w:tab w:val="left" w:pos="360"/>
      </w:tabs>
      <w:adjustRightInd w:val="0"/>
      <w:snapToGrid w:val="0"/>
      <w:spacing w:before="340" w:after="330" w:line="360" w:lineRule="auto"/>
      <w:ind w:left="360" w:hanging="360" w:hangingChars="200"/>
      <w:jc w:val="both"/>
    </w:pPr>
    <w:rPr>
      <w:rFonts w:ascii="Arial" w:cs="宋体"/>
      <w:b w:val="0"/>
      <w:bCs/>
      <w:kern w:val="2"/>
    </w:rPr>
  </w:style>
  <w:style w:type="paragraph" w:customStyle="1" w:styleId="814">
    <w:name w:val="xl153"/>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815">
    <w:name w:val="主题1"/>
    <w:basedOn w:val="1"/>
    <w:qFormat/>
    <w:uiPriority w:val="0"/>
    <w:pPr>
      <w:adjustRightInd w:val="0"/>
      <w:spacing w:line="480" w:lineRule="auto"/>
      <w:ind w:left="709" w:right="284"/>
      <w:textAlignment w:val="baseline"/>
    </w:pPr>
    <w:rPr>
      <w:rFonts w:eastAsia="宋体"/>
      <w:b/>
      <w:kern w:val="0"/>
    </w:rPr>
  </w:style>
  <w:style w:type="paragraph" w:customStyle="1" w:styleId="816">
    <w:name w:val="样式 标题 3 + (西文) Times New Roman (中文) 宋体 小四 加粗 段前: 1 行2"/>
    <w:basedOn w:val="6"/>
    <w:qFormat/>
    <w:uiPriority w:val="0"/>
    <w:pPr>
      <w:keepNext w:val="0"/>
      <w:keepLines w:val="0"/>
      <w:tabs>
        <w:tab w:val="left" w:pos="1260"/>
        <w:tab w:val="left" w:pos="3216"/>
      </w:tabs>
      <w:adjustRightInd w:val="0"/>
      <w:spacing w:before="0" w:after="0"/>
      <w:ind w:left="1260" w:hanging="420"/>
      <w:textAlignment w:val="baseline"/>
    </w:pPr>
    <w:rPr>
      <w:rFonts w:ascii="Times New Roman" w:eastAsia="宋体"/>
    </w:rPr>
  </w:style>
  <w:style w:type="paragraph" w:customStyle="1" w:styleId="817">
    <w:name w:val="样式 样式 四号 行距: 1.5 倍行距 + 左侧:  2 字符 悬挂缩进: 2 字符"/>
    <w:basedOn w:val="818"/>
    <w:qFormat/>
    <w:uiPriority w:val="0"/>
    <w:pPr>
      <w:ind w:left="0" w:leftChars="0" w:firstLine="538" w:firstLineChars="192"/>
      <w:jc w:val="left"/>
    </w:pPr>
  </w:style>
  <w:style w:type="paragraph" w:customStyle="1" w:styleId="818">
    <w:name w:val="样式 四号 行距: 1.5 倍行距"/>
    <w:basedOn w:val="1"/>
    <w:qFormat/>
    <w:uiPriority w:val="0"/>
    <w:pPr>
      <w:spacing w:line="360" w:lineRule="auto"/>
      <w:ind w:left="980" w:leftChars="200" w:hanging="560" w:hangingChars="200"/>
    </w:pPr>
    <w:rPr>
      <w:rFonts w:eastAsia="宋体" w:cs="宋体"/>
    </w:rPr>
  </w:style>
  <w:style w:type="paragraph" w:customStyle="1" w:styleId="819">
    <w:name w:val="xl163"/>
    <w:basedOn w:val="1"/>
    <w:qFormat/>
    <w:uiPriority w:val="0"/>
    <w:pPr>
      <w:widowControl/>
      <w:spacing w:before="100" w:beforeAutospacing="1" w:after="100" w:afterAutospacing="1"/>
      <w:jc w:val="left"/>
      <w:textAlignment w:val="center"/>
    </w:pPr>
    <w:rPr>
      <w:rFonts w:ascii="Arial" w:hAnsi="Arial" w:eastAsia="宋体" w:cs="Arial"/>
      <w:kern w:val="0"/>
      <w:sz w:val="20"/>
    </w:rPr>
  </w:style>
  <w:style w:type="paragraph" w:customStyle="1" w:styleId="820">
    <w:name w:val="CM33"/>
    <w:basedOn w:val="762"/>
    <w:next w:val="762"/>
    <w:qFormat/>
    <w:uiPriority w:val="0"/>
    <w:rPr>
      <w:rFonts w:cs="宋体"/>
      <w:sz w:val="24"/>
      <w:szCs w:val="24"/>
    </w:rPr>
  </w:style>
  <w:style w:type="paragraph" w:customStyle="1" w:styleId="821">
    <w:name w:val="正文(首行缩进2字)"/>
    <w:basedOn w:val="1"/>
    <w:next w:val="1"/>
    <w:link w:val="1860"/>
    <w:qFormat/>
    <w:uiPriority w:val="0"/>
    <w:pPr>
      <w:widowControl/>
      <w:adjustRightInd w:val="0"/>
      <w:spacing w:line="360" w:lineRule="auto"/>
      <w:ind w:firstLine="560" w:firstLineChars="200"/>
      <w:jc w:val="left"/>
      <w:textAlignment w:val="baseline"/>
    </w:pPr>
    <w:rPr>
      <w:rFonts w:ascii="宋体" w:hAnsi="宋体" w:eastAsia="宋体" w:cs="宋体"/>
      <w:color w:val="000000"/>
      <w:kern w:val="0"/>
    </w:rPr>
  </w:style>
  <w:style w:type="paragraph" w:customStyle="1" w:styleId="822">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823">
    <w:name w:val="列出段落2"/>
    <w:basedOn w:val="1"/>
    <w:qFormat/>
    <w:uiPriority w:val="0"/>
    <w:pPr>
      <w:ind w:firstLine="420" w:firstLineChars="200"/>
    </w:pPr>
    <w:rPr>
      <w:rFonts w:ascii="Calibri" w:hAnsi="Calibri" w:eastAsia="宋体"/>
      <w:sz w:val="21"/>
      <w:szCs w:val="22"/>
    </w:rPr>
  </w:style>
  <w:style w:type="paragraph" w:customStyle="1" w:styleId="824">
    <w:name w:val="样式 标题 3 + 左侧:  0.74 厘米 首行缩进:  0.85 厘米"/>
    <w:basedOn w:val="6"/>
    <w:qFormat/>
    <w:uiPriority w:val="0"/>
    <w:pPr>
      <w:keepNext w:val="0"/>
      <w:keepLines w:val="0"/>
      <w:spacing w:before="0" w:after="0" w:line="360" w:lineRule="auto"/>
      <w:ind w:left="0" w:firstLine="0"/>
    </w:pPr>
    <w:rPr>
      <w:rFonts w:ascii="黑体" w:eastAsia="宋体" w:cs="宋体"/>
      <w:b w:val="0"/>
      <w:bCs w:val="0"/>
      <w:kern w:val="0"/>
    </w:rPr>
  </w:style>
  <w:style w:type="paragraph" w:customStyle="1" w:styleId="825">
    <w:name w:val="样式 图表目录 + 首行缩进:  2 字符"/>
    <w:basedOn w:val="74"/>
    <w:qFormat/>
    <w:uiPriority w:val="0"/>
    <w:pPr>
      <w:ind w:firstLine="0"/>
      <w:jc w:val="both"/>
    </w:pPr>
    <w:rPr>
      <w:b w:val="0"/>
      <w:bCs w:val="0"/>
      <w:kern w:val="2"/>
      <w:lang w:val="zh-CN"/>
    </w:rPr>
  </w:style>
  <w:style w:type="paragraph" w:customStyle="1" w:styleId="826">
    <w:name w:val="报告"/>
    <w:basedOn w:val="1"/>
    <w:link w:val="2685"/>
    <w:qFormat/>
    <w:uiPriority w:val="0"/>
    <w:pPr>
      <w:adjustRightInd w:val="0"/>
      <w:ind w:firstLine="505"/>
      <w:textAlignment w:val="baseline"/>
    </w:pPr>
    <w:rPr>
      <w:rFonts w:eastAsia="宋体"/>
      <w:kern w:val="0"/>
      <w:sz w:val="21"/>
      <w:szCs w:val="24"/>
    </w:rPr>
  </w:style>
  <w:style w:type="paragraph" w:customStyle="1" w:styleId="827">
    <w:name w:val="样式 (中文) 仿宋_GB2312 四号 黑色"/>
    <w:basedOn w:val="1"/>
    <w:qFormat/>
    <w:uiPriority w:val="0"/>
    <w:pPr>
      <w:ind w:firstLine="200" w:firstLineChars="200"/>
      <w:jc w:val="left"/>
    </w:pPr>
    <w:rPr>
      <w:rFonts w:cs="宋体"/>
      <w:color w:val="000000"/>
    </w:rPr>
  </w:style>
  <w:style w:type="paragraph" w:customStyle="1" w:styleId="828">
    <w:name w:val="a表头"/>
    <w:basedOn w:val="829"/>
    <w:qFormat/>
    <w:uiPriority w:val="0"/>
    <w:pPr>
      <w:spacing w:before="0" w:beforeLines="0"/>
      <w:jc w:val="center"/>
    </w:pPr>
    <w:rPr>
      <w:sz w:val="24"/>
    </w:rPr>
  </w:style>
  <w:style w:type="paragraph" w:customStyle="1" w:styleId="829">
    <w:name w:val="a3"/>
    <w:basedOn w:val="1"/>
    <w:qFormat/>
    <w:uiPriority w:val="0"/>
    <w:pPr>
      <w:spacing w:before="156" w:beforeLines="50"/>
      <w:jc w:val="left"/>
      <w:outlineLvl w:val="2"/>
    </w:pPr>
    <w:rPr>
      <w:rFonts w:eastAsia="楷体_GB2312"/>
      <w:b/>
      <w:sz w:val="30"/>
    </w:rPr>
  </w:style>
  <w:style w:type="paragraph" w:customStyle="1" w:styleId="830">
    <w:name w:val="xl159"/>
    <w:basedOn w:val="1"/>
    <w:qFormat/>
    <w:uiPriority w:val="0"/>
    <w:pPr>
      <w:widowControl/>
      <w:pBdr>
        <w:top w:val="single" w:color="auto" w:sz="8"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831">
    <w:name w:val="Char Char2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832">
    <w:name w:val="Char1"/>
    <w:basedOn w:val="1"/>
    <w:qFormat/>
    <w:uiPriority w:val="0"/>
    <w:rPr>
      <w:rFonts w:ascii="仿宋_GB2312"/>
      <w:b/>
      <w:sz w:val="32"/>
      <w:szCs w:val="32"/>
    </w:rPr>
  </w:style>
  <w:style w:type="paragraph" w:customStyle="1" w:styleId="833">
    <w:name w:val="Char Char8 Char Char"/>
    <w:basedOn w:val="1"/>
    <w:qFormat/>
    <w:uiPriority w:val="0"/>
    <w:pPr>
      <w:spacing w:line="360" w:lineRule="auto"/>
      <w:ind w:firstLine="200" w:firstLineChars="200"/>
    </w:pPr>
    <w:rPr>
      <w:rFonts w:eastAsia="宋体"/>
      <w:sz w:val="21"/>
    </w:rPr>
  </w:style>
  <w:style w:type="paragraph" w:customStyle="1" w:styleId="834">
    <w:name w:val="二级条标题"/>
    <w:basedOn w:val="835"/>
    <w:next w:val="6"/>
    <w:qFormat/>
    <w:uiPriority w:val="0"/>
    <w:pPr>
      <w:outlineLvl w:val="3"/>
    </w:pPr>
  </w:style>
  <w:style w:type="paragraph" w:customStyle="1" w:styleId="835">
    <w:name w:val="一级条标题"/>
    <w:next w:val="6"/>
    <w:qFormat/>
    <w:uiPriority w:val="0"/>
    <w:pPr>
      <w:spacing w:line="360" w:lineRule="auto"/>
      <w:ind w:firstLine="200" w:firstLineChars="200"/>
      <w:outlineLvl w:val="2"/>
    </w:pPr>
    <w:rPr>
      <w:rFonts w:ascii="Times New Roman" w:hAnsi="Times New Roman" w:eastAsia="黑体" w:cs="Times New Roman"/>
      <w:sz w:val="21"/>
      <w:lang w:val="en-US" w:eastAsia="zh-CN" w:bidi="ar-SA"/>
    </w:rPr>
  </w:style>
  <w:style w:type="paragraph" w:customStyle="1" w:styleId="836">
    <w:name w:val="内容"/>
    <w:basedOn w:val="1"/>
    <w:qFormat/>
    <w:uiPriority w:val="0"/>
    <w:pPr>
      <w:spacing w:line="360" w:lineRule="auto"/>
      <w:ind w:firstLine="420"/>
    </w:pPr>
    <w:rPr>
      <w:rFonts w:eastAsia="宋体"/>
    </w:rPr>
  </w:style>
  <w:style w:type="paragraph" w:customStyle="1" w:styleId="837">
    <w:name w:val="正缩1"/>
    <w:basedOn w:val="1"/>
    <w:link w:val="2408"/>
    <w:qFormat/>
    <w:uiPriority w:val="0"/>
    <w:pPr>
      <w:snapToGrid w:val="0"/>
      <w:spacing w:line="500" w:lineRule="exact"/>
      <w:ind w:firstLine="567"/>
    </w:pPr>
    <w:rPr>
      <w:color w:val="000000"/>
      <w:kern w:val="0"/>
    </w:rPr>
  </w:style>
  <w:style w:type="paragraph" w:customStyle="1" w:styleId="838">
    <w:name w:val="reader-word-layer reader-word-s1-67"/>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839">
    <w:name w:val="reader-word-layer reader-word-s1-1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840">
    <w:name w:val="表格居中"/>
    <w:basedOn w:val="1"/>
    <w:qFormat/>
    <w:uiPriority w:val="0"/>
    <w:pPr>
      <w:spacing w:line="400" w:lineRule="exact"/>
      <w:jc w:val="center"/>
    </w:pPr>
    <w:rPr>
      <w:rFonts w:eastAsia="宋体"/>
      <w:kern w:val="0"/>
      <w:sz w:val="24"/>
      <w:szCs w:val="21"/>
    </w:rPr>
  </w:style>
  <w:style w:type="paragraph" w:customStyle="1" w:styleId="841">
    <w:name w:val="样式 标题 1 + 小一"/>
    <w:basedOn w:val="3"/>
    <w:qFormat/>
    <w:uiPriority w:val="0"/>
    <w:pPr>
      <w:keepLines w:val="0"/>
      <w:pageBreakBefore w:val="0"/>
      <w:tabs>
        <w:tab w:val="left" w:pos="0"/>
      </w:tabs>
      <w:spacing w:before="0" w:after="0" w:line="480" w:lineRule="auto"/>
      <w:ind w:left="849" w:hanging="360"/>
    </w:pPr>
    <w:rPr>
      <w:kern w:val="2"/>
      <w:sz w:val="48"/>
    </w:rPr>
  </w:style>
  <w:style w:type="paragraph" w:customStyle="1" w:styleId="842">
    <w:name w:val="bullet2"/>
    <w:qFormat/>
    <w:uiPriority w:val="0"/>
    <w:pPr>
      <w:tabs>
        <w:tab w:val="left" w:pos="420"/>
      </w:tabs>
    </w:pPr>
    <w:rPr>
      <w:rFonts w:ascii="Times New Roman" w:hAnsi="Times New Roman" w:eastAsia="宋体" w:cs="Times New Roman"/>
      <w:lang w:val="en-US" w:eastAsia="zh-CN" w:bidi="ar-SA"/>
    </w:rPr>
  </w:style>
  <w:style w:type="paragraph" w:customStyle="1" w:styleId="843">
    <w:name w:val="样式 (符号) 宋体 小四 段前: 6 磅 段后: 6 磅 行距: 1.5 倍行距1"/>
    <w:basedOn w:val="1"/>
    <w:qFormat/>
    <w:uiPriority w:val="0"/>
    <w:pPr>
      <w:spacing w:beforeLines="50" w:afterLines="50" w:line="360" w:lineRule="auto"/>
      <w:ind w:firstLine="200" w:firstLineChars="200"/>
    </w:pPr>
    <w:rPr>
      <w:rFonts w:hAnsi="宋体" w:eastAsia="宋体"/>
      <w:sz w:val="24"/>
    </w:rPr>
  </w:style>
  <w:style w:type="paragraph" w:customStyle="1" w:styleId="844">
    <w:name w:val="标题13"/>
    <w:basedOn w:val="3"/>
    <w:next w:val="5"/>
    <w:qFormat/>
    <w:uiPriority w:val="0"/>
    <w:pPr>
      <w:spacing w:before="156" w:beforeLines="50" w:after="312" w:afterLines="100" w:line="360" w:lineRule="auto"/>
      <w:ind w:left="432" w:hanging="432"/>
    </w:pPr>
    <w:rPr>
      <w:bCs/>
      <w:sz w:val="32"/>
      <w:szCs w:val="44"/>
    </w:rPr>
  </w:style>
  <w:style w:type="paragraph" w:customStyle="1" w:styleId="845">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4"/>
      <w:szCs w:val="24"/>
    </w:rPr>
  </w:style>
  <w:style w:type="paragraph" w:customStyle="1" w:styleId="846">
    <w:name w:val="样式 报告正文 + 首行缩进:  2 字符"/>
    <w:basedOn w:val="1"/>
    <w:link w:val="2343"/>
    <w:qFormat/>
    <w:uiPriority w:val="0"/>
    <w:pPr>
      <w:spacing w:line="480" w:lineRule="exact"/>
      <w:ind w:firstLine="567"/>
    </w:pPr>
    <w:rPr>
      <w:rFonts w:eastAsia="宋体" w:cs="宋体"/>
    </w:rPr>
  </w:style>
  <w:style w:type="paragraph" w:customStyle="1" w:styleId="847">
    <w:name w:val="样式 目录 1 + 左侧:  0 厘米 悬挂缩进: 7.53 字符5"/>
    <w:basedOn w:val="60"/>
    <w:qFormat/>
    <w:uiPriority w:val="0"/>
    <w:pPr>
      <w:tabs>
        <w:tab w:val="left" w:pos="720"/>
        <w:tab w:val="right" w:leader="dot" w:pos="8302"/>
        <w:tab w:val="right" w:leader="dot" w:pos="8820"/>
        <w:tab w:val="clear" w:pos="1120"/>
        <w:tab w:val="clear" w:pos="8767"/>
      </w:tabs>
      <w:adjustRightInd w:val="0"/>
      <w:snapToGrid w:val="0"/>
      <w:spacing w:line="360" w:lineRule="auto"/>
      <w:ind w:left="960" w:hanging="960" w:hangingChars="343"/>
      <w:jc w:val="both"/>
    </w:pPr>
    <w:rPr>
      <w:rFonts w:ascii="Calibri" w:hAnsi="Calibri"/>
      <w:sz w:val="28"/>
      <w:szCs w:val="20"/>
    </w:rPr>
  </w:style>
  <w:style w:type="paragraph" w:customStyle="1" w:styleId="848">
    <w:name w:val="CM7"/>
    <w:basedOn w:val="762"/>
    <w:next w:val="762"/>
    <w:qFormat/>
    <w:uiPriority w:val="0"/>
    <w:pPr>
      <w:spacing w:line="280" w:lineRule="atLeast"/>
    </w:pPr>
    <w:rPr>
      <w:sz w:val="24"/>
      <w:szCs w:val="24"/>
    </w:rPr>
  </w:style>
  <w:style w:type="paragraph" w:customStyle="1" w:styleId="849">
    <w:name w:val="表格文字左"/>
    <w:basedOn w:val="1"/>
    <w:qFormat/>
    <w:uiPriority w:val="0"/>
    <w:pPr>
      <w:jc w:val="left"/>
    </w:pPr>
    <w:rPr>
      <w:rFonts w:ascii="宋体" w:hAnsi="宋体" w:eastAsia="宋体" w:cs="Arial"/>
      <w:sz w:val="24"/>
      <w:szCs w:val="18"/>
    </w:rPr>
  </w:style>
  <w:style w:type="paragraph" w:customStyle="1" w:styleId="850">
    <w:name w:val="默认段落字体 Char Char Char"/>
    <w:basedOn w:val="1"/>
    <w:semiHidden/>
    <w:qFormat/>
    <w:uiPriority w:val="0"/>
    <w:pPr>
      <w:snapToGrid w:val="0"/>
    </w:pPr>
    <w:rPr>
      <w:rFonts w:eastAsia="宋体"/>
      <w:sz w:val="24"/>
      <w:szCs w:val="24"/>
    </w:rPr>
  </w:style>
  <w:style w:type="paragraph" w:customStyle="1" w:styleId="851">
    <w:name w:val="样式 题注 + 段前: 0.5 行"/>
    <w:basedOn w:val="22"/>
    <w:semiHidden/>
    <w:qFormat/>
    <w:uiPriority w:val="0"/>
    <w:pPr>
      <w:keepNext/>
      <w:adjustRightInd w:val="0"/>
      <w:snapToGrid w:val="0"/>
      <w:spacing w:before="120" w:beforeLines="50" w:after="0" w:line="360" w:lineRule="auto"/>
      <w:ind w:left="560" w:leftChars="200"/>
      <w:jc w:val="left"/>
    </w:pPr>
    <w:rPr>
      <w:kern w:val="0"/>
      <w:sz w:val="21"/>
    </w:rPr>
  </w:style>
  <w:style w:type="paragraph" w:customStyle="1" w:styleId="852">
    <w:name w:val="Char Char Char Char Char Char1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53">
    <w:name w:val="Header Base"/>
    <w:basedOn w:val="34"/>
    <w:qFormat/>
    <w:uiPriority w:val="0"/>
    <w:pPr>
      <w:keepLines/>
      <w:tabs>
        <w:tab w:val="center" w:pos="4320"/>
        <w:tab w:val="right" w:pos="8640"/>
      </w:tabs>
      <w:spacing w:after="0" w:line="180" w:lineRule="atLeast"/>
    </w:pPr>
    <w:rPr>
      <w:sz w:val="24"/>
    </w:rPr>
  </w:style>
  <w:style w:type="paragraph" w:customStyle="1" w:styleId="854">
    <w:name w:val="样式 目录 1 + 左侧:  0 厘米 悬挂缩进: 7.53 字符1"/>
    <w:basedOn w:val="60"/>
    <w:qFormat/>
    <w:uiPriority w:val="0"/>
    <w:pPr>
      <w:tabs>
        <w:tab w:val="left" w:pos="720"/>
        <w:tab w:val="right" w:leader="dot" w:pos="8302"/>
        <w:tab w:val="right" w:leader="dot" w:pos="8820"/>
        <w:tab w:val="clear" w:pos="1120"/>
        <w:tab w:val="clear" w:pos="8767"/>
      </w:tabs>
      <w:adjustRightInd w:val="0"/>
      <w:snapToGrid w:val="0"/>
      <w:spacing w:line="360" w:lineRule="auto"/>
      <w:ind w:left="753" w:hanging="753"/>
      <w:jc w:val="both"/>
    </w:pPr>
    <w:rPr>
      <w:rFonts w:ascii="Calibri" w:hAnsi="Calibri"/>
      <w:sz w:val="28"/>
      <w:szCs w:val="28"/>
    </w:rPr>
  </w:style>
  <w:style w:type="paragraph" w:customStyle="1" w:styleId="855">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eastAsia="宋体" w:cs="宋体"/>
      <w:sz w:val="24"/>
      <w:szCs w:val="24"/>
    </w:rPr>
  </w:style>
  <w:style w:type="paragraph" w:customStyle="1" w:styleId="856">
    <w:name w:val="样式 居中 行距: 固定值 20 磅"/>
    <w:basedOn w:val="1"/>
    <w:qFormat/>
    <w:uiPriority w:val="0"/>
    <w:pPr>
      <w:spacing w:line="400" w:lineRule="exact"/>
      <w:jc w:val="center"/>
    </w:pPr>
    <w:rPr>
      <w:rFonts w:eastAsia="宋体"/>
      <w:sz w:val="24"/>
      <w:szCs w:val="24"/>
    </w:rPr>
  </w:style>
  <w:style w:type="paragraph" w:customStyle="1" w:styleId="857">
    <w:name w:val="Char Char Char Char Char Char Char Char Char1 Char Char"/>
    <w:basedOn w:val="1"/>
    <w:qFormat/>
    <w:uiPriority w:val="0"/>
    <w:rPr>
      <w:rFonts w:eastAsia="宋体"/>
      <w:sz w:val="24"/>
      <w:szCs w:val="24"/>
    </w:rPr>
  </w:style>
  <w:style w:type="paragraph" w:customStyle="1" w:styleId="858">
    <w:name w:val="样式5 Char Char"/>
    <w:basedOn w:val="1"/>
    <w:qFormat/>
    <w:uiPriority w:val="0"/>
    <w:pPr>
      <w:widowControl/>
      <w:adjustRightInd w:val="0"/>
      <w:snapToGrid w:val="0"/>
      <w:spacing w:line="420" w:lineRule="auto"/>
      <w:ind w:firstLine="200" w:firstLineChars="200"/>
    </w:pPr>
    <w:rPr>
      <w:rFonts w:ascii="宋体" w:hAnsi="宋体" w:eastAsia="宋体" w:cs="宋体"/>
      <w:kern w:val="0"/>
      <w:sz w:val="24"/>
      <w:szCs w:val="24"/>
    </w:rPr>
  </w:style>
  <w:style w:type="paragraph" w:customStyle="1" w:styleId="859">
    <w:name w:val="样式 题注 + 首行缩进:  2 字符1"/>
    <w:basedOn w:val="22"/>
    <w:semiHidden/>
    <w:qFormat/>
    <w:uiPriority w:val="0"/>
    <w:pPr>
      <w:adjustRightInd w:val="0"/>
      <w:snapToGrid w:val="0"/>
      <w:spacing w:before="0" w:after="0" w:line="360" w:lineRule="auto"/>
      <w:jc w:val="left"/>
    </w:pPr>
    <w:rPr>
      <w:rFonts w:cs="宋体"/>
      <w:kern w:val="0"/>
      <w:sz w:val="21"/>
    </w:rPr>
  </w:style>
  <w:style w:type="paragraph" w:customStyle="1" w:styleId="860">
    <w:name w:val="xl142"/>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861">
    <w:name w:val="文本内容"/>
    <w:basedOn w:val="1"/>
    <w:qFormat/>
    <w:uiPriority w:val="0"/>
    <w:pPr>
      <w:adjustRightInd w:val="0"/>
      <w:snapToGrid w:val="0"/>
      <w:spacing w:line="360" w:lineRule="auto"/>
      <w:ind w:firstLine="600" w:firstLineChars="200"/>
    </w:pPr>
    <w:rPr>
      <w:rFonts w:ascii="宋体" w:hAnsi="仿宋" w:eastAsia="宋体"/>
      <w:color w:val="000000"/>
      <w:sz w:val="30"/>
      <w:szCs w:val="30"/>
    </w:rPr>
  </w:style>
  <w:style w:type="paragraph" w:customStyle="1" w:styleId="862">
    <w:name w:val="Char Char Char Char1 Char Char Char Char Char Char Char Char Char"/>
    <w:basedOn w:val="1"/>
    <w:qFormat/>
    <w:uiPriority w:val="0"/>
    <w:pPr>
      <w:ind w:firstLine="200" w:firstLineChars="200"/>
    </w:pPr>
    <w:rPr>
      <w:rFonts w:ascii="宋体" w:hAnsi="宋体" w:eastAsia="宋体" w:cs="宋体"/>
      <w:sz w:val="24"/>
      <w:szCs w:val="24"/>
    </w:rPr>
  </w:style>
  <w:style w:type="paragraph" w:customStyle="1" w:styleId="863">
    <w:name w:val="样式 四号 黑色 行距: 1.5 倍行距 首行缩进:  2 字符"/>
    <w:basedOn w:val="1"/>
    <w:qFormat/>
    <w:uiPriority w:val="0"/>
    <w:pPr>
      <w:spacing w:line="360" w:lineRule="auto"/>
      <w:ind w:firstLine="560" w:firstLineChars="200"/>
    </w:pPr>
    <w:rPr>
      <w:rFonts w:cs="宋体"/>
      <w:color w:val="000000"/>
    </w:rPr>
  </w:style>
  <w:style w:type="paragraph" w:customStyle="1" w:styleId="864">
    <w:name w:val="编号正文"/>
    <w:basedOn w:val="1"/>
    <w:qFormat/>
    <w:uiPriority w:val="0"/>
    <w:pPr>
      <w:tabs>
        <w:tab w:val="left" w:pos="425"/>
      </w:tabs>
    </w:pPr>
  </w:style>
  <w:style w:type="paragraph" w:customStyle="1" w:styleId="865">
    <w:name w:val="xl60"/>
    <w:basedOn w:val="1"/>
    <w:qFormat/>
    <w:uiPriority w:val="0"/>
    <w:pPr>
      <w:widowControl/>
      <w:pBdr>
        <w:bottom w:val="single" w:color="auto" w:sz="4" w:space="0"/>
        <w:right w:val="single" w:color="auto" w:sz="4" w:space="0"/>
      </w:pBdr>
      <w:spacing w:before="100" w:beforeAutospacing="1" w:after="100" w:afterAutospacing="1" w:line="520" w:lineRule="exact"/>
      <w:jc w:val="center"/>
      <w:textAlignment w:val="top"/>
    </w:pPr>
    <w:rPr>
      <w:rFonts w:eastAsia="Arial Unicode MS"/>
      <w:kern w:val="0"/>
      <w:sz w:val="20"/>
    </w:rPr>
  </w:style>
  <w:style w:type="paragraph" w:customStyle="1" w:styleId="866">
    <w:name w:val="大正文"/>
    <w:basedOn w:val="1"/>
    <w:qFormat/>
    <w:uiPriority w:val="0"/>
    <w:pPr>
      <w:spacing w:line="500" w:lineRule="exact"/>
      <w:ind w:firstLine="500" w:firstLineChars="200"/>
    </w:pPr>
    <w:rPr>
      <w:rFonts w:hAnsi="宋体" w:eastAsia="宋体"/>
      <w:spacing w:val="10"/>
      <w:sz w:val="24"/>
      <w:szCs w:val="24"/>
    </w:rPr>
  </w:style>
  <w:style w:type="paragraph" w:customStyle="1" w:styleId="867">
    <w:name w:val="Char Char Char Char Char Char Char Char"/>
    <w:basedOn w:val="1"/>
    <w:qFormat/>
    <w:uiPriority w:val="0"/>
    <w:pPr>
      <w:widowControl/>
      <w:jc w:val="left"/>
    </w:pPr>
    <w:rPr>
      <w:rFonts w:ascii="Tahoma" w:hAnsi="Tahoma" w:eastAsia="宋体" w:cs="Tahoma"/>
      <w:color w:val="000000"/>
      <w:kern w:val="0"/>
      <w:sz w:val="24"/>
      <w:szCs w:val="24"/>
    </w:rPr>
  </w:style>
  <w:style w:type="paragraph" w:customStyle="1" w:styleId="868">
    <w:name w:val="xl3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eastAsia="Arial Unicode MS"/>
      <w:kern w:val="0"/>
      <w:sz w:val="24"/>
      <w:szCs w:val="24"/>
    </w:rPr>
  </w:style>
  <w:style w:type="paragraph" w:customStyle="1" w:styleId="869">
    <w:name w:val="表头HYL"/>
    <w:basedOn w:val="1"/>
    <w:qFormat/>
    <w:uiPriority w:val="0"/>
    <w:pPr>
      <w:widowControl/>
      <w:spacing w:line="360" w:lineRule="auto"/>
      <w:jc w:val="center"/>
    </w:pPr>
    <w:rPr>
      <w:rFonts w:ascii="黑体" w:hAnsi="宋体" w:eastAsia="黑体" w:cs="宋体"/>
      <w:kern w:val="0"/>
      <w:sz w:val="21"/>
      <w:szCs w:val="21"/>
    </w:rPr>
  </w:style>
  <w:style w:type="paragraph" w:customStyle="1" w:styleId="870">
    <w:name w:val="xl141"/>
    <w:basedOn w:val="1"/>
    <w:qFormat/>
    <w:uiPriority w:val="0"/>
    <w:pPr>
      <w:widowControl/>
      <w:pBdr>
        <w:righ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871">
    <w:name w:val="样式11"/>
    <w:basedOn w:val="5"/>
    <w:link w:val="2247"/>
    <w:qFormat/>
    <w:uiPriority w:val="0"/>
    <w:rPr>
      <w:rFonts w:cs="Times New Roman"/>
    </w:rPr>
  </w:style>
  <w:style w:type="paragraph" w:customStyle="1" w:styleId="872">
    <w:name w:val="表格3"/>
    <w:basedOn w:val="40"/>
    <w:qFormat/>
    <w:uiPriority w:val="0"/>
    <w:rPr>
      <w:sz w:val="21"/>
    </w:rPr>
  </w:style>
  <w:style w:type="paragraph" w:customStyle="1" w:styleId="873">
    <w:name w:val="样式 表格 + 小五 首行缩进:  0.63 厘米 行距: 单倍行距"/>
    <w:basedOn w:val="1"/>
    <w:semiHidden/>
    <w:qFormat/>
    <w:uiPriority w:val="0"/>
    <w:pPr>
      <w:tabs>
        <w:tab w:val="center" w:pos="4422"/>
      </w:tabs>
      <w:adjustRightInd w:val="0"/>
      <w:snapToGrid w:val="0"/>
      <w:spacing w:before="100" w:beforeAutospacing="1" w:after="100" w:afterAutospacing="1"/>
      <w:jc w:val="center"/>
    </w:pPr>
    <w:rPr>
      <w:rFonts w:ascii="Arial" w:hAnsi="Arial" w:eastAsia="宋体" w:cs="宋体"/>
      <w:kern w:val="0"/>
      <w:sz w:val="18"/>
    </w:rPr>
  </w:style>
  <w:style w:type="paragraph" w:customStyle="1" w:styleId="874">
    <w:name w:val="正文文字缩进"/>
    <w:basedOn w:val="1"/>
    <w:qFormat/>
    <w:uiPriority w:val="0"/>
    <w:pPr>
      <w:spacing w:line="360" w:lineRule="auto"/>
      <w:ind w:firstLine="482"/>
    </w:pPr>
    <w:rPr>
      <w:rFonts w:ascii="宋体" w:hAnsi="宋体" w:eastAsia="宋体" w:cs="宋体"/>
      <w:sz w:val="24"/>
      <w:szCs w:val="24"/>
    </w:rPr>
  </w:style>
  <w:style w:type="paragraph" w:customStyle="1" w:styleId="875">
    <w:name w:val="日期1"/>
    <w:basedOn w:val="1"/>
    <w:next w:val="1"/>
    <w:qFormat/>
    <w:uiPriority w:val="0"/>
    <w:pPr>
      <w:autoSpaceDE w:val="0"/>
      <w:autoSpaceDN w:val="0"/>
      <w:adjustRightInd w:val="0"/>
      <w:spacing w:line="500" w:lineRule="exact"/>
      <w:textAlignment w:val="baseline"/>
    </w:pPr>
    <w:rPr>
      <w:rFonts w:eastAsia="宋体"/>
      <w:spacing w:val="-16"/>
      <w:kern w:val="0"/>
    </w:rPr>
  </w:style>
  <w:style w:type="paragraph" w:customStyle="1" w:styleId="876">
    <w:name w:val="样式 样式 样式 ！正文 + 首行缩进:  2 字符 + 首行缩进:  2 字符 + 首行缩进:  2 字符"/>
    <w:basedOn w:val="1"/>
    <w:qFormat/>
    <w:uiPriority w:val="0"/>
    <w:pPr>
      <w:spacing w:line="560" w:lineRule="exact"/>
      <w:ind w:firstLine="200" w:firstLineChars="200"/>
    </w:pPr>
    <w:rPr>
      <w:rFonts w:eastAsia="宋体" w:cs="宋体"/>
    </w:rPr>
  </w:style>
  <w:style w:type="paragraph" w:customStyle="1" w:styleId="877">
    <w:name w:val="Char Char Char Char Char Char2 Char Char Char Char"/>
    <w:basedOn w:val="1"/>
    <w:qFormat/>
    <w:uiPriority w:val="0"/>
    <w:rPr>
      <w:rFonts w:eastAsia="宋体"/>
      <w:sz w:val="21"/>
      <w:szCs w:val="24"/>
    </w:rPr>
  </w:style>
  <w:style w:type="paragraph" w:customStyle="1" w:styleId="878">
    <w:name w:val="样式 样式 左侧:  0.98 厘米 + 首行缩进:  2 字符"/>
    <w:basedOn w:val="879"/>
    <w:semiHidden/>
    <w:qFormat/>
    <w:uiPriority w:val="0"/>
    <w:rPr>
      <w:rFonts w:ascii="幼圆" w:hAnsi="幼圆"/>
    </w:rPr>
  </w:style>
  <w:style w:type="paragraph" w:customStyle="1" w:styleId="879">
    <w:name w:val="样式 左侧:  0.98 厘米"/>
    <w:basedOn w:val="1"/>
    <w:semiHidden/>
    <w:qFormat/>
    <w:uiPriority w:val="0"/>
    <w:pPr>
      <w:adjustRightInd w:val="0"/>
      <w:snapToGrid w:val="0"/>
      <w:spacing w:line="360" w:lineRule="auto"/>
      <w:ind w:firstLine="560" w:firstLineChars="200"/>
    </w:pPr>
    <w:rPr>
      <w:rFonts w:eastAsia="宋体"/>
      <w:color w:val="000000"/>
      <w:sz w:val="24"/>
    </w:rPr>
  </w:style>
  <w:style w:type="paragraph" w:customStyle="1" w:styleId="880">
    <w:name w:val="msonormalcxspmidd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881">
    <w:name w:val="样式 标题 4表格1 + 两端对齐 段前: 0.5 行 段后: 0.5 行"/>
    <w:basedOn w:val="7"/>
    <w:qFormat/>
    <w:uiPriority w:val="0"/>
    <w:pPr>
      <w:tabs>
        <w:tab w:val="left" w:pos="420"/>
        <w:tab w:val="left" w:pos="1980"/>
      </w:tabs>
      <w:ind w:left="561" w:hanging="561"/>
    </w:pPr>
    <w:rPr>
      <w:rFonts w:ascii="宋体" w:hAnsi="宋体" w:eastAsia="宋体" w:cs="宋体"/>
      <w:b w:val="0"/>
      <w:bCs/>
      <w:color w:val="auto"/>
      <w:kern w:val="0"/>
      <w:lang w:val="zh-CN"/>
    </w:rPr>
  </w:style>
  <w:style w:type="paragraph" w:customStyle="1" w:styleId="882">
    <w:name w:val="注1"/>
    <w:basedOn w:val="1"/>
    <w:qFormat/>
    <w:uiPriority w:val="0"/>
    <w:pPr>
      <w:keepNext/>
      <w:keepLines/>
      <w:spacing w:beforeLines="50"/>
      <w:ind w:left="755" w:leftChars="500" w:hanging="255" w:hangingChars="255"/>
    </w:pPr>
    <w:rPr>
      <w:rFonts w:eastAsia="宋体"/>
      <w:sz w:val="21"/>
      <w:szCs w:val="24"/>
    </w:rPr>
  </w:style>
  <w:style w:type="paragraph" w:customStyle="1" w:styleId="883">
    <w:name w:val="1.1.1"/>
    <w:next w:val="325"/>
    <w:qFormat/>
    <w:uiPriority w:val="0"/>
    <w:pPr>
      <w:spacing w:before="50" w:after="50" w:line="300" w:lineRule="auto"/>
      <w:jc w:val="both"/>
    </w:pPr>
    <w:rPr>
      <w:rFonts w:ascii="宋体" w:hAnsi="Times New Roman" w:eastAsia="宋体" w:cs="Times New Roman"/>
      <w:b/>
      <w:spacing w:val="10"/>
      <w:sz w:val="24"/>
      <w:lang w:val="en-US" w:eastAsia="zh-CN" w:bidi="ar-SA"/>
    </w:rPr>
  </w:style>
  <w:style w:type="paragraph" w:customStyle="1" w:styleId="884">
    <w:name w:val="标题 2.1"/>
    <w:basedOn w:val="4"/>
    <w:qFormat/>
    <w:uiPriority w:val="0"/>
    <w:pPr>
      <w:tabs>
        <w:tab w:val="left" w:pos="1785"/>
        <w:tab w:val="left" w:pos="3092"/>
      </w:tabs>
      <w:spacing w:before="0" w:after="0" w:afterLines="50" w:line="360" w:lineRule="auto"/>
      <w:ind w:left="3092" w:right="544" w:hanging="992"/>
      <w:jc w:val="center"/>
    </w:pPr>
    <w:rPr>
      <w:rFonts w:ascii="宋体" w:hAnsi="宋体"/>
      <w:b/>
      <w:sz w:val="24"/>
      <w:szCs w:val="32"/>
    </w:rPr>
  </w:style>
  <w:style w:type="paragraph" w:customStyle="1" w:styleId="885">
    <w:name w:val="一号标题"/>
    <w:basedOn w:val="4"/>
    <w:qFormat/>
    <w:uiPriority w:val="0"/>
    <w:pPr>
      <w:spacing w:before="240" w:after="240" w:line="520" w:lineRule="exact"/>
      <w:ind w:left="0" w:firstLine="0"/>
      <w:jc w:val="left"/>
    </w:pPr>
    <w:rPr>
      <w:rFonts w:ascii="Arial"/>
      <w:kern w:val="24"/>
      <w:sz w:val="32"/>
      <w:szCs w:val="32"/>
    </w:rPr>
  </w:style>
  <w:style w:type="paragraph" w:customStyle="1" w:styleId="886">
    <w:name w:val="样式 表格 + 左侧:  0.98 厘米 字距调整8 磅"/>
    <w:basedOn w:val="1"/>
    <w:semiHidden/>
    <w:qFormat/>
    <w:uiPriority w:val="0"/>
    <w:pPr>
      <w:adjustRightInd w:val="0"/>
      <w:snapToGrid w:val="0"/>
      <w:spacing w:before="100" w:beforeAutospacing="1" w:after="100" w:afterAutospacing="1"/>
      <w:ind w:left="560" w:leftChars="200"/>
      <w:jc w:val="center"/>
    </w:pPr>
    <w:rPr>
      <w:rFonts w:ascii="Arial" w:hAnsi="Arial" w:eastAsia="宋体"/>
      <w:color w:val="000000"/>
      <w:kern w:val="16"/>
      <w:sz w:val="21"/>
    </w:rPr>
  </w:style>
  <w:style w:type="paragraph" w:customStyle="1" w:styleId="887">
    <w:name w:val="表格样式"/>
    <w:basedOn w:val="1"/>
    <w:qFormat/>
    <w:uiPriority w:val="0"/>
    <w:pPr>
      <w:jc w:val="center"/>
    </w:pPr>
    <w:rPr>
      <w:rFonts w:ascii="Arial" w:hAnsi="宋体" w:eastAsia="宋体" w:cs="Arial"/>
      <w:kern w:val="0"/>
      <w:sz w:val="21"/>
      <w:szCs w:val="21"/>
    </w:rPr>
  </w:style>
  <w:style w:type="paragraph" w:customStyle="1" w:styleId="888">
    <w:name w:val="reader-word-layer reader-word-s1-3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889">
    <w:name w:val="xl31"/>
    <w:basedOn w:val="1"/>
    <w:qFormat/>
    <w:uiPriority w:val="0"/>
    <w:pPr>
      <w:widowControl/>
      <w:spacing w:before="100" w:beforeAutospacing="1" w:after="100" w:afterAutospacing="1" w:line="348" w:lineRule="auto"/>
      <w:jc w:val="center"/>
      <w:textAlignment w:val="center"/>
    </w:pPr>
    <w:rPr>
      <w:rFonts w:ascii="Arial Unicode MS" w:hAnsi="Arial Unicode MS" w:eastAsia="Arial Unicode MS"/>
      <w:kern w:val="0"/>
      <w:sz w:val="21"/>
      <w:szCs w:val="24"/>
    </w:rPr>
  </w:style>
  <w:style w:type="paragraph" w:customStyle="1" w:styleId="890">
    <w:name w:val="样式 标题 3 + 宋体 小四 非加粗"/>
    <w:basedOn w:val="6"/>
    <w:link w:val="2808"/>
    <w:qFormat/>
    <w:uiPriority w:val="0"/>
    <w:pPr>
      <w:tabs>
        <w:tab w:val="left" w:pos="567"/>
      </w:tabs>
      <w:adjustRightInd w:val="0"/>
      <w:snapToGrid w:val="0"/>
      <w:spacing w:before="260" w:after="260" w:line="416" w:lineRule="auto"/>
      <w:ind w:left="567" w:hanging="567"/>
    </w:pPr>
    <w:rPr>
      <w:rFonts w:ascii="Times New Roman" w:hAnsi="宋体" w:eastAsia="宋体"/>
      <w:b w:val="0"/>
      <w:bCs w:val="0"/>
      <w:szCs w:val="32"/>
    </w:rPr>
  </w:style>
  <w:style w:type="paragraph" w:customStyle="1" w:styleId="891">
    <w:name w:val="xl81"/>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textAlignment w:val="center"/>
    </w:pPr>
    <w:rPr>
      <w:rFonts w:ascii="宋体" w:hAnsi="宋体" w:eastAsia="宋体" w:cs="宋体"/>
      <w:color w:val="000000"/>
      <w:kern w:val="0"/>
      <w:sz w:val="22"/>
      <w:szCs w:val="22"/>
    </w:rPr>
  </w:style>
  <w:style w:type="paragraph" w:customStyle="1" w:styleId="892">
    <w:name w:val="font6"/>
    <w:basedOn w:val="1"/>
    <w:qFormat/>
    <w:uiPriority w:val="0"/>
    <w:pPr>
      <w:widowControl/>
      <w:spacing w:before="100" w:beforeAutospacing="1" w:after="100" w:afterAutospacing="1"/>
      <w:jc w:val="left"/>
    </w:pPr>
    <w:rPr>
      <w:rFonts w:eastAsia="Arial Unicode MS"/>
      <w:kern w:val="0"/>
      <w:sz w:val="24"/>
      <w:szCs w:val="24"/>
    </w:rPr>
  </w:style>
  <w:style w:type="paragraph" w:customStyle="1" w:styleId="893">
    <w:name w:val="样式 标题 5标题1.1.1.1.1标题1.1.1.1.1 Char标题 51标题 51 Char Char标题 51..."/>
    <w:basedOn w:val="8"/>
    <w:semiHidden/>
    <w:qFormat/>
    <w:uiPriority w:val="0"/>
    <w:pPr>
      <w:tabs>
        <w:tab w:val="clear" w:pos="1008"/>
      </w:tabs>
      <w:adjustRightInd w:val="0"/>
      <w:snapToGrid w:val="0"/>
      <w:spacing w:before="0" w:after="0" w:line="360" w:lineRule="auto"/>
      <w:ind w:left="0" w:firstLine="0"/>
      <w:jc w:val="left"/>
    </w:pPr>
    <w:rPr>
      <w:rFonts w:ascii="Arial" w:hAnsi="Arial" w:eastAsia="黑体" w:cs="宋体"/>
      <w:b w:val="0"/>
      <w:kern w:val="0"/>
      <w:sz w:val="24"/>
      <w:szCs w:val="20"/>
    </w:rPr>
  </w:style>
  <w:style w:type="paragraph" w:customStyle="1" w:styleId="894">
    <w:name w:val="xl23"/>
    <w:basedOn w:val="1"/>
    <w:qFormat/>
    <w:uiPriority w:val="0"/>
    <w:pPr>
      <w:widowControl/>
      <w:pBdr>
        <w:top w:val="single" w:color="auto" w:sz="4" w:space="0"/>
        <w:left w:val="single" w:color="auto" w:sz="4" w:space="0"/>
      </w:pBdr>
      <w:spacing w:before="100" w:beforeAutospacing="1" w:after="100" w:afterAutospacing="1"/>
      <w:jc w:val="center"/>
    </w:pPr>
    <w:rPr>
      <w:rFonts w:eastAsia="Arial Unicode MS"/>
      <w:kern w:val="0"/>
      <w:sz w:val="24"/>
      <w:szCs w:val="24"/>
    </w:rPr>
  </w:style>
  <w:style w:type="paragraph" w:customStyle="1" w:styleId="895">
    <w:name w:val="样式 3级标题 + 行距: 固定值 25 磅"/>
    <w:basedOn w:val="558"/>
    <w:qFormat/>
    <w:uiPriority w:val="0"/>
    <w:pPr>
      <w:jc w:val="left"/>
    </w:pPr>
    <w:rPr>
      <w:rFonts w:cs="宋体"/>
      <w:bCs/>
      <w:szCs w:val="20"/>
    </w:rPr>
  </w:style>
  <w:style w:type="paragraph" w:customStyle="1" w:styleId="896">
    <w:name w:val="az"/>
    <w:basedOn w:val="1"/>
    <w:qFormat/>
    <w:uiPriority w:val="0"/>
    <w:pPr>
      <w:ind w:firstLine="200" w:firstLineChars="200"/>
    </w:pPr>
    <w:rPr>
      <w:rFonts w:eastAsia="宋体"/>
      <w:sz w:val="24"/>
    </w:rPr>
  </w:style>
  <w:style w:type="paragraph" w:customStyle="1" w:styleId="897">
    <w:name w:val="Title.3"/>
    <w:next w:val="1"/>
    <w:qFormat/>
    <w:uiPriority w:val="0"/>
    <w:pPr>
      <w:keepNext/>
      <w:keepLines/>
      <w:spacing w:before="156" w:beforeLines="50" w:line="360" w:lineRule="auto"/>
      <w:outlineLvl w:val="2"/>
    </w:pPr>
    <w:rPr>
      <w:rFonts w:ascii="Times New Roman" w:hAnsi="Times New Roman" w:eastAsia="仿宋_GB2312" w:cs="Times New Roman"/>
      <w:b/>
      <w:sz w:val="28"/>
      <w:lang w:val="en-US" w:eastAsia="zh-CN" w:bidi="ar-SA"/>
    </w:rPr>
  </w:style>
  <w:style w:type="paragraph" w:customStyle="1" w:styleId="898">
    <w:name w:val="lux正文"/>
    <w:basedOn w:val="1"/>
    <w:qFormat/>
    <w:uiPriority w:val="0"/>
    <w:pPr>
      <w:tabs>
        <w:tab w:val="left" w:pos="360"/>
      </w:tabs>
      <w:spacing w:beforeLines="50" w:afterLines="50" w:line="360" w:lineRule="auto"/>
      <w:ind w:firstLine="420"/>
    </w:pPr>
    <w:rPr>
      <w:rFonts w:eastAsia="宋体"/>
      <w:sz w:val="24"/>
    </w:rPr>
  </w:style>
  <w:style w:type="paragraph" w:customStyle="1" w:styleId="899">
    <w:name w:val="环评正文"/>
    <w:basedOn w:val="51"/>
    <w:link w:val="1765"/>
    <w:qFormat/>
    <w:uiPriority w:val="0"/>
    <w:pPr>
      <w:spacing w:line="500" w:lineRule="exact"/>
      <w:ind w:firstLine="560" w:firstLineChars="200"/>
    </w:pPr>
    <w:rPr>
      <w:rFonts w:ascii="仿宋_GB2312" w:eastAsia="仿宋_GB2312"/>
      <w:sz w:val="28"/>
    </w:rPr>
  </w:style>
  <w:style w:type="paragraph" w:customStyle="1" w:styleId="900">
    <w:name w:val="Char Char Char Char Char Char Char Char Char"/>
    <w:basedOn w:val="1"/>
    <w:qFormat/>
    <w:uiPriority w:val="0"/>
    <w:rPr>
      <w:rFonts w:eastAsia="宋体"/>
      <w:sz w:val="21"/>
      <w:szCs w:val="24"/>
    </w:rPr>
  </w:style>
  <w:style w:type="paragraph" w:customStyle="1" w:styleId="901">
    <w:name w:val="默认段落字体2"/>
    <w:basedOn w:val="1"/>
    <w:qFormat/>
    <w:uiPriority w:val="0"/>
    <w:rPr>
      <w:rFonts w:eastAsia="宋体"/>
      <w:sz w:val="21"/>
    </w:rPr>
  </w:style>
  <w:style w:type="paragraph" w:customStyle="1" w:styleId="902">
    <w:name w:val="Char Char Char Char Char Char"/>
    <w:basedOn w:val="7"/>
    <w:qFormat/>
    <w:uiPriority w:val="0"/>
    <w:pPr>
      <w:tabs>
        <w:tab w:val="left" w:pos="0"/>
        <w:tab w:val="left" w:pos="1980"/>
      </w:tabs>
      <w:adjustRightInd w:val="0"/>
      <w:snapToGrid w:val="0"/>
      <w:spacing w:before="120"/>
    </w:pPr>
    <w:rPr>
      <w:rFonts w:ascii="仿宋_GB2312" w:hAnsi="宋体" w:cs="宋体"/>
      <w:bCs/>
      <w:color w:val="auto"/>
      <w:kern w:val="0"/>
      <w:lang w:val="zh-CN"/>
    </w:rPr>
  </w:style>
  <w:style w:type="paragraph" w:customStyle="1" w:styleId="903">
    <w:name w:val="图"/>
    <w:basedOn w:val="5"/>
    <w:qFormat/>
    <w:uiPriority w:val="0"/>
    <w:pPr>
      <w:autoSpaceDE w:val="0"/>
      <w:autoSpaceDN w:val="0"/>
      <w:adjustRightInd w:val="0"/>
      <w:spacing w:line="360" w:lineRule="auto"/>
      <w:ind w:left="67" w:leftChars="67" w:firstLine="723" w:firstLineChars="300"/>
      <w:jc w:val="center"/>
    </w:pPr>
    <w:rPr>
      <w:rFonts w:ascii="Times New Roman" w:hAnsi="Times New Roman"/>
      <w:b/>
      <w:bCs/>
      <w:spacing w:val="0"/>
      <w:kern w:val="0"/>
      <w:szCs w:val="18"/>
    </w:rPr>
  </w:style>
  <w:style w:type="paragraph" w:customStyle="1" w:styleId="904">
    <w:name w:val="样式 标题 3条标题1.1.1h3H3level_3PIM 3Level 3 HeadHeading 3 - ol...9"/>
    <w:basedOn w:val="6"/>
    <w:qFormat/>
    <w:uiPriority w:val="0"/>
    <w:pPr>
      <w:tabs>
        <w:tab w:val="left" w:pos="709"/>
      </w:tabs>
      <w:adjustRightInd w:val="0"/>
      <w:snapToGrid w:val="0"/>
      <w:spacing w:beforeLines="50" w:afterLines="50" w:line="360" w:lineRule="auto"/>
      <w:ind w:left="709"/>
      <w:jc w:val="left"/>
      <w:textAlignment w:val="baseline"/>
    </w:pPr>
    <w:rPr>
      <w:rFonts w:ascii="Times New Roman" w:hAnsi="宋体" w:eastAsia="宋体"/>
      <w:color w:val="FF0000"/>
    </w:rPr>
  </w:style>
  <w:style w:type="paragraph" w:customStyle="1" w:styleId="905">
    <w:name w:val="xl28"/>
    <w:basedOn w:val="1"/>
    <w:qFormat/>
    <w:uiPriority w:val="0"/>
    <w:pPr>
      <w:widowControl/>
      <w:pBdr>
        <w:top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4"/>
      <w:szCs w:val="24"/>
    </w:rPr>
  </w:style>
  <w:style w:type="paragraph" w:customStyle="1" w:styleId="906">
    <w:name w:val="ss"/>
    <w:basedOn w:val="1"/>
    <w:qFormat/>
    <w:uiPriority w:val="0"/>
    <w:pPr>
      <w:widowControl/>
      <w:spacing w:before="100" w:beforeAutospacing="1" w:after="100" w:afterAutospacing="1" w:line="525" w:lineRule="atLeast"/>
      <w:jc w:val="left"/>
    </w:pPr>
    <w:rPr>
      <w:rFonts w:ascii="宋体" w:hAnsi="宋体" w:eastAsia="宋体"/>
      <w:color w:val="0066CC"/>
      <w:kern w:val="0"/>
      <w:sz w:val="21"/>
      <w:szCs w:val="21"/>
    </w:rPr>
  </w:style>
  <w:style w:type="paragraph" w:customStyle="1" w:styleId="907">
    <w:name w:val="样式 标题 2 + 三号1"/>
    <w:basedOn w:val="4"/>
    <w:qFormat/>
    <w:uiPriority w:val="0"/>
    <w:pPr>
      <w:keepLines w:val="0"/>
      <w:spacing w:before="0" w:after="0" w:line="480" w:lineRule="auto"/>
      <w:ind w:left="1329" w:hanging="420"/>
      <w:jc w:val="left"/>
    </w:pPr>
    <w:rPr>
      <w:rFonts w:ascii="宋体" w:hAnsi="宋体" w:eastAsia="宋体"/>
      <w:b/>
      <w:spacing w:val="4"/>
      <w:sz w:val="32"/>
      <w:szCs w:val="32"/>
    </w:rPr>
  </w:style>
  <w:style w:type="paragraph" w:customStyle="1" w:styleId="908">
    <w:name w:val="文章大标题"/>
    <w:basedOn w:val="1"/>
    <w:qFormat/>
    <w:uiPriority w:val="0"/>
    <w:pPr>
      <w:spacing w:before="312" w:beforeLines="100" w:after="312" w:afterLines="100" w:line="520" w:lineRule="exact"/>
      <w:jc w:val="center"/>
      <w:outlineLvl w:val="0"/>
    </w:pPr>
    <w:rPr>
      <w:rFonts w:eastAsia="黑体"/>
      <w:sz w:val="36"/>
    </w:rPr>
  </w:style>
  <w:style w:type="paragraph" w:customStyle="1" w:styleId="909">
    <w:name w:val="Report List 1"/>
    <w:basedOn w:val="67"/>
    <w:qFormat/>
    <w:uiPriority w:val="0"/>
    <w:pPr>
      <w:widowControl/>
      <w:tabs>
        <w:tab w:val="left" w:pos="360"/>
        <w:tab w:val="left" w:pos="1080"/>
      </w:tabs>
      <w:autoSpaceDE/>
      <w:autoSpaceDN/>
      <w:adjustRightInd/>
      <w:spacing w:after="138" w:line="240" w:lineRule="auto"/>
      <w:ind w:left="425" w:hanging="425" w:firstLineChars="0"/>
      <w:textAlignment w:val="auto"/>
    </w:pPr>
    <w:rPr>
      <w:rFonts w:ascii="Times New Roman"/>
      <w:sz w:val="22"/>
      <w:lang w:val="en-GB" w:eastAsia="en-US"/>
    </w:rPr>
  </w:style>
  <w:style w:type="paragraph" w:customStyle="1" w:styleId="910">
    <w:name w:val="样式13"/>
    <w:basedOn w:val="1"/>
    <w:link w:val="2302"/>
    <w:qFormat/>
    <w:uiPriority w:val="0"/>
    <w:pPr>
      <w:spacing w:line="360" w:lineRule="auto"/>
      <w:ind w:firstLine="480" w:firstLineChars="200"/>
    </w:pPr>
    <w:rPr>
      <w:rFonts w:ascii="Arial" w:hAnsi="Arial" w:eastAsia="宋体" w:cs="Arial"/>
      <w:sz w:val="24"/>
      <w:szCs w:val="24"/>
    </w:rPr>
  </w:style>
  <w:style w:type="paragraph" w:customStyle="1" w:styleId="911">
    <w:name w:val="KM_表头文字"/>
    <w:basedOn w:val="34"/>
    <w:qFormat/>
    <w:uiPriority w:val="0"/>
    <w:pPr>
      <w:spacing w:after="0"/>
      <w:jc w:val="center"/>
      <w:textAlignment w:val="center"/>
    </w:pPr>
    <w:rPr>
      <w:rFonts w:ascii="宋体" w:hAnsi="宋体" w:eastAsia="宋体" w:cs="宋体"/>
      <w:b/>
      <w:bCs/>
      <w:sz w:val="21"/>
      <w:szCs w:val="21"/>
    </w:rPr>
  </w:style>
  <w:style w:type="paragraph" w:customStyle="1" w:styleId="912">
    <w:name w:val="xl40"/>
    <w:basedOn w:val="1"/>
    <w:qFormat/>
    <w:uiPriority w:val="0"/>
    <w:pPr>
      <w:widowControl/>
      <w:pBdr>
        <w:bottom w:val="single" w:color="auto" w:sz="8" w:space="0"/>
      </w:pBdr>
      <w:spacing w:before="100" w:after="100"/>
      <w:jc w:val="center"/>
    </w:pPr>
    <w:rPr>
      <w:rFonts w:ascii="宋体" w:eastAsia="宋体"/>
      <w:kern w:val="0"/>
      <w:sz w:val="24"/>
    </w:rPr>
  </w:style>
  <w:style w:type="paragraph" w:customStyle="1" w:styleId="913">
    <w:name w:val="acee正文"/>
    <w:basedOn w:val="1"/>
    <w:qFormat/>
    <w:uiPriority w:val="0"/>
    <w:pPr>
      <w:spacing w:line="480" w:lineRule="exact"/>
      <w:ind w:firstLine="640" w:firstLineChars="200"/>
    </w:pPr>
    <w:rPr>
      <w:rFonts w:ascii="仿宋_GB2312" w:hAnsi="宋体"/>
      <w:sz w:val="32"/>
    </w:rPr>
  </w:style>
  <w:style w:type="paragraph" w:customStyle="1" w:styleId="914">
    <w:name w:val="Body Text 22"/>
    <w:basedOn w:val="1"/>
    <w:qFormat/>
    <w:uiPriority w:val="0"/>
    <w:pPr>
      <w:adjustRightInd w:val="0"/>
      <w:spacing w:line="440" w:lineRule="atLeast"/>
      <w:ind w:firstLine="480"/>
      <w:textAlignment w:val="baseline"/>
    </w:pPr>
    <w:rPr>
      <w:rFonts w:eastAsia="宋体"/>
      <w:sz w:val="24"/>
    </w:rPr>
  </w:style>
  <w:style w:type="paragraph" w:customStyle="1" w:styleId="915">
    <w:name w:val="表尾"/>
    <w:basedOn w:val="1"/>
    <w:qFormat/>
    <w:uiPriority w:val="0"/>
    <w:pPr>
      <w:tabs>
        <w:tab w:val="left" w:pos="1021"/>
      </w:tabs>
      <w:spacing w:line="160" w:lineRule="exact"/>
    </w:pPr>
    <w:rPr>
      <w:rFonts w:eastAsia="宋体"/>
      <w:sz w:val="10"/>
    </w:rPr>
  </w:style>
  <w:style w:type="paragraph" w:customStyle="1" w:styleId="916">
    <w:name w:val="样式 正文首行缩进:  2 字符 + 首行缩进:  2 字符"/>
    <w:basedOn w:val="1"/>
    <w:qFormat/>
    <w:uiPriority w:val="0"/>
    <w:pPr>
      <w:spacing w:line="360" w:lineRule="auto"/>
      <w:ind w:firstLine="480" w:firstLineChars="200"/>
    </w:pPr>
    <w:rPr>
      <w:rFonts w:eastAsia="宋体" w:cs="宋体"/>
      <w:sz w:val="24"/>
    </w:rPr>
  </w:style>
  <w:style w:type="paragraph" w:customStyle="1" w:styleId="917">
    <w:name w:val="样式 标题 3 + 段后: 0.2 行"/>
    <w:basedOn w:val="6"/>
    <w:qFormat/>
    <w:uiPriority w:val="0"/>
    <w:pPr>
      <w:keepLines w:val="0"/>
      <w:tabs>
        <w:tab w:val="left" w:pos="1080"/>
      </w:tabs>
      <w:adjustRightInd w:val="0"/>
      <w:snapToGrid w:val="0"/>
      <w:spacing w:before="62" w:beforeLines="20" w:after="62" w:afterLines="20"/>
      <w:ind w:firstLine="200" w:firstLineChars="200"/>
      <w:jc w:val="left"/>
    </w:pPr>
    <w:rPr>
      <w:rFonts w:ascii="楷体_GB2312" w:eastAsia="楷体_GB2312" w:cs="宋体"/>
      <w:sz w:val="28"/>
    </w:rPr>
  </w:style>
  <w:style w:type="paragraph" w:customStyle="1" w:styleId="918">
    <w:name w:val="WPS Plain"/>
    <w:qFormat/>
    <w:uiPriority w:val="0"/>
    <w:rPr>
      <w:rFonts w:ascii="Times New Roman" w:hAnsi="Times New Roman" w:eastAsia="宋体" w:cs="Times New Roman"/>
      <w:lang w:val="en-US" w:eastAsia="zh-CN" w:bidi="ar-SA"/>
    </w:rPr>
  </w:style>
  <w:style w:type="paragraph" w:customStyle="1" w:styleId="919">
    <w:name w:val="表格左齐"/>
    <w:basedOn w:val="248"/>
    <w:next w:val="861"/>
    <w:qFormat/>
    <w:uiPriority w:val="0"/>
    <w:pPr>
      <w:framePr w:wrap="around" w:vAnchor="margin" w:hAnchor="text" w:y="1"/>
      <w:widowControl w:val="0"/>
      <w:adjustRightInd w:val="0"/>
      <w:snapToGrid w:val="0"/>
      <w:spacing w:line="240" w:lineRule="auto"/>
      <w:ind w:firstLine="0" w:firstLineChars="0"/>
      <w:jc w:val="left"/>
    </w:pPr>
    <w:rPr>
      <w:rFonts w:ascii="仿宋" w:hAnsi="Calibri"/>
      <w:sz w:val="24"/>
    </w:rPr>
  </w:style>
  <w:style w:type="paragraph" w:customStyle="1" w:styleId="920">
    <w:name w:val="报告书表格"/>
    <w:basedOn w:val="1"/>
    <w:link w:val="1985"/>
    <w:qFormat/>
    <w:uiPriority w:val="0"/>
    <w:pPr>
      <w:adjustRightInd w:val="0"/>
      <w:spacing w:line="240" w:lineRule="atLeast"/>
      <w:jc w:val="center"/>
      <w:textAlignment w:val="baseline"/>
    </w:pPr>
    <w:rPr>
      <w:rFonts w:eastAsia="宋体"/>
      <w:kern w:val="0"/>
      <w:sz w:val="24"/>
    </w:rPr>
  </w:style>
  <w:style w:type="paragraph" w:customStyle="1" w:styleId="921">
    <w:name w:val="样式 内容 + 首行缩进:  2 字符"/>
    <w:basedOn w:val="1"/>
    <w:qFormat/>
    <w:uiPriority w:val="0"/>
    <w:pPr>
      <w:spacing w:line="360" w:lineRule="auto"/>
      <w:ind w:firstLine="480" w:firstLineChars="200"/>
      <w:jc w:val="left"/>
    </w:pPr>
    <w:rPr>
      <w:rFonts w:eastAsia="宋体" w:cs="宋体"/>
      <w:sz w:val="24"/>
    </w:rPr>
  </w:style>
  <w:style w:type="paragraph" w:customStyle="1" w:styleId="922">
    <w:name w:val="p18"/>
    <w:basedOn w:val="1"/>
    <w:qFormat/>
    <w:uiPriority w:val="0"/>
    <w:pPr>
      <w:widowControl/>
      <w:spacing w:after="120"/>
      <w:jc w:val="left"/>
    </w:pPr>
    <w:rPr>
      <w:rFonts w:eastAsia="宋体" w:cs="楷体_GB2312"/>
      <w:kern w:val="0"/>
      <w:sz w:val="21"/>
      <w:szCs w:val="21"/>
    </w:rPr>
  </w:style>
  <w:style w:type="paragraph" w:customStyle="1" w:styleId="923">
    <w:name w:val="样式 标题 2 + 首行缩进:  2 字符1"/>
    <w:basedOn w:val="4"/>
    <w:qFormat/>
    <w:uiPriority w:val="0"/>
    <w:pPr>
      <w:adjustRightInd w:val="0"/>
      <w:snapToGrid w:val="0"/>
      <w:spacing w:before="0" w:after="0" w:line="360" w:lineRule="auto"/>
      <w:ind w:firstLine="643" w:firstLineChars="202"/>
      <w:jc w:val="left"/>
    </w:pPr>
    <w:rPr>
      <w:rFonts w:ascii="宋体" w:hAnsi="宋体" w:cs="宋体"/>
      <w:bCs/>
      <w:sz w:val="30"/>
    </w:rPr>
  </w:style>
  <w:style w:type="paragraph" w:customStyle="1" w:styleId="924">
    <w:name w:val="font8"/>
    <w:basedOn w:val="1"/>
    <w:qFormat/>
    <w:uiPriority w:val="0"/>
    <w:pPr>
      <w:widowControl/>
      <w:spacing w:before="100" w:beforeAutospacing="1" w:after="100" w:afterAutospacing="1"/>
      <w:jc w:val="left"/>
    </w:pPr>
    <w:rPr>
      <w:rFonts w:eastAsia="Arial Unicode MS"/>
      <w:kern w:val="0"/>
      <w:sz w:val="24"/>
      <w:szCs w:val="24"/>
    </w:rPr>
  </w:style>
  <w:style w:type="paragraph" w:customStyle="1" w:styleId="925">
    <w:name w:val="a4"/>
    <w:basedOn w:val="1"/>
    <w:qFormat/>
    <w:uiPriority w:val="0"/>
    <w:pPr>
      <w:jc w:val="left"/>
      <w:outlineLvl w:val="3"/>
    </w:pPr>
    <w:rPr>
      <w:rFonts w:eastAsia="宋体"/>
      <w:b/>
    </w:rPr>
  </w:style>
  <w:style w:type="paragraph" w:customStyle="1" w:styleId="926">
    <w:name w:val="！正文"/>
    <w:basedOn w:val="1"/>
    <w:qFormat/>
    <w:uiPriority w:val="0"/>
    <w:pPr>
      <w:spacing w:line="288" w:lineRule="auto"/>
      <w:ind w:firstLine="200" w:firstLineChars="200"/>
    </w:pPr>
    <w:rPr>
      <w:rFonts w:eastAsia="宋体"/>
      <w:sz w:val="24"/>
      <w:szCs w:val="24"/>
    </w:rPr>
  </w:style>
  <w:style w:type="paragraph" w:customStyle="1" w:styleId="927">
    <w:name w:val="责任表文"/>
    <w:basedOn w:val="1"/>
    <w:qFormat/>
    <w:uiPriority w:val="0"/>
    <w:pPr>
      <w:adjustRightInd w:val="0"/>
      <w:jc w:val="center"/>
      <w:textAlignment w:val="baseline"/>
    </w:pPr>
    <w:rPr>
      <w:rFonts w:ascii="隶书" w:eastAsia="隶书"/>
      <w:b/>
      <w:kern w:val="24"/>
      <w:sz w:val="36"/>
    </w:rPr>
  </w:style>
  <w:style w:type="paragraph" w:customStyle="1" w:styleId="928">
    <w:name w:val="表格（六号）"/>
    <w:basedOn w:val="1"/>
    <w:next w:val="5"/>
    <w:semiHidden/>
    <w:qFormat/>
    <w:uiPriority w:val="0"/>
    <w:pPr>
      <w:adjustRightInd w:val="0"/>
      <w:snapToGrid w:val="0"/>
      <w:spacing w:line="315" w:lineRule="exact"/>
      <w:jc w:val="center"/>
    </w:pPr>
    <w:rPr>
      <w:rFonts w:ascii="宋体" w:hAnsi="宋体" w:eastAsia="宋体"/>
      <w:kern w:val="0"/>
      <w:sz w:val="15"/>
    </w:rPr>
  </w:style>
  <w:style w:type="paragraph" w:customStyle="1" w:styleId="929">
    <w:name w:val="a2"/>
    <w:basedOn w:val="1"/>
    <w:qFormat/>
    <w:uiPriority w:val="0"/>
    <w:pPr>
      <w:spacing w:before="312" w:beforeLines="100"/>
      <w:jc w:val="left"/>
      <w:outlineLvl w:val="1"/>
    </w:pPr>
    <w:rPr>
      <w:rFonts w:eastAsia="楷体_GB2312"/>
      <w:b/>
      <w:sz w:val="32"/>
    </w:rPr>
  </w:style>
  <w:style w:type="paragraph" w:customStyle="1" w:styleId="930">
    <w:name w:val="Char Char Char Char Char Char Char Char Char Char Char Char Char Char Char Char Char Char Char Char Char Char"/>
    <w:basedOn w:val="1"/>
    <w:next w:val="1"/>
    <w:qFormat/>
    <w:uiPriority w:val="0"/>
    <w:pPr>
      <w:spacing w:line="360" w:lineRule="auto"/>
      <w:ind w:firstLine="200" w:firstLineChars="200"/>
      <w:jc w:val="center"/>
    </w:pPr>
    <w:rPr>
      <w:rFonts w:eastAsia="宋体"/>
      <w:sz w:val="21"/>
      <w:szCs w:val="24"/>
    </w:rPr>
  </w:style>
  <w:style w:type="paragraph" w:customStyle="1" w:styleId="931">
    <w:name w:val="可研报告正文"/>
    <w:basedOn w:val="1"/>
    <w:link w:val="2400"/>
    <w:qFormat/>
    <w:uiPriority w:val="0"/>
    <w:pPr>
      <w:tabs>
        <w:tab w:val="left" w:pos="5880"/>
      </w:tabs>
      <w:spacing w:before="156" w:beforeLines="50" w:line="440" w:lineRule="exact"/>
      <w:ind w:left="425" w:firstLine="482"/>
    </w:pPr>
    <w:rPr>
      <w:rFonts w:eastAsia="宋体"/>
      <w:sz w:val="24"/>
      <w:szCs w:val="24"/>
    </w:rPr>
  </w:style>
  <w:style w:type="paragraph" w:customStyle="1" w:styleId="932">
    <w:name w:val="环评样式"/>
    <w:basedOn w:val="3"/>
    <w:next w:val="3"/>
    <w:qFormat/>
    <w:uiPriority w:val="0"/>
    <w:pPr>
      <w:pageBreakBefore w:val="0"/>
      <w:tabs>
        <w:tab w:val="left" w:pos="896"/>
        <w:tab w:val="clear" w:pos="1080"/>
      </w:tabs>
      <w:spacing w:before="120" w:after="120" w:line="0" w:lineRule="atLeast"/>
      <w:ind w:left="896" w:hanging="420"/>
      <w:jc w:val="both"/>
      <w:outlineLvl w:val="2"/>
    </w:pPr>
    <w:rPr>
      <w:rFonts w:eastAsia="黑体"/>
      <w:b w:val="0"/>
    </w:rPr>
  </w:style>
  <w:style w:type="paragraph" w:customStyle="1" w:styleId="933">
    <w:name w:val="Char Char Char1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934">
    <w:name w:val="G3"/>
    <w:basedOn w:val="60"/>
    <w:next w:val="1"/>
    <w:qFormat/>
    <w:uiPriority w:val="0"/>
    <w:pPr>
      <w:tabs>
        <w:tab w:val="clear" w:pos="1120"/>
        <w:tab w:val="clear" w:pos="8767"/>
      </w:tabs>
      <w:spacing w:before="156" w:beforeLines="50" w:after="156" w:afterLines="50" w:line="360" w:lineRule="auto"/>
      <w:jc w:val="both"/>
      <w:outlineLvl w:val="2"/>
    </w:pPr>
    <w:rPr>
      <w:rFonts w:ascii="Times New Roman" w:hAnsi="Times New Roman"/>
      <w:bCs w:val="0"/>
      <w:caps w:val="0"/>
      <w:szCs w:val="24"/>
    </w:rPr>
  </w:style>
  <w:style w:type="paragraph" w:customStyle="1" w:styleId="935">
    <w:name w:val="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936">
    <w:name w:val="at_6"/>
    <w:basedOn w:val="1"/>
    <w:qFormat/>
    <w:uiPriority w:val="0"/>
    <w:pPr>
      <w:widowControl/>
      <w:adjustRightInd w:val="0"/>
      <w:snapToGrid w:val="0"/>
      <w:spacing w:before="100" w:beforeAutospacing="1" w:after="100" w:afterAutospacing="1"/>
      <w:ind w:firstLine="200" w:firstLineChars="200"/>
      <w:jc w:val="left"/>
    </w:pPr>
    <w:rPr>
      <w:rFonts w:ascii="宋体" w:hAnsi="宋体" w:eastAsia="宋体" w:cs="宋体"/>
      <w:kern w:val="0"/>
      <w:sz w:val="24"/>
      <w:szCs w:val="24"/>
    </w:rPr>
  </w:style>
  <w:style w:type="paragraph" w:customStyle="1" w:styleId="937">
    <w:name w:val="p0"/>
    <w:basedOn w:val="1"/>
    <w:qFormat/>
    <w:uiPriority w:val="0"/>
    <w:pPr>
      <w:widowControl/>
    </w:pPr>
    <w:rPr>
      <w:rFonts w:eastAsia="宋体"/>
      <w:kern w:val="0"/>
      <w:sz w:val="21"/>
      <w:szCs w:val="21"/>
    </w:rPr>
  </w:style>
  <w:style w:type="paragraph" w:customStyle="1" w:styleId="938">
    <w:name w:val="Char Char1 Char Char Char Char Char Char Char Char Char Char Char Char Char Char Char Char Char Char Char Char1 Char3"/>
    <w:basedOn w:val="1"/>
    <w:qFormat/>
    <w:uiPriority w:val="0"/>
    <w:pPr>
      <w:spacing w:line="360" w:lineRule="auto"/>
      <w:ind w:firstLine="200" w:firstLineChars="200"/>
    </w:pPr>
    <w:rPr>
      <w:rFonts w:ascii="宋体" w:hAnsi="宋体" w:eastAsia="宋体" w:cs="宋体"/>
      <w:sz w:val="24"/>
      <w:szCs w:val="24"/>
    </w:rPr>
  </w:style>
  <w:style w:type="paragraph" w:customStyle="1" w:styleId="939">
    <w:name w:val="段落"/>
    <w:basedOn w:val="1"/>
    <w:qFormat/>
    <w:uiPriority w:val="0"/>
    <w:pPr>
      <w:tabs>
        <w:tab w:val="left" w:pos="1021"/>
      </w:tabs>
      <w:adjustRightInd w:val="0"/>
      <w:spacing w:line="360" w:lineRule="auto"/>
      <w:ind w:firstLine="480" w:firstLineChars="200"/>
    </w:pPr>
    <w:rPr>
      <w:rFonts w:ascii="宋体" w:hAnsi="宋体" w:eastAsia="宋体"/>
      <w:kern w:val="24"/>
      <w:sz w:val="24"/>
    </w:rPr>
  </w:style>
  <w:style w:type="paragraph" w:customStyle="1" w:styleId="940">
    <w:name w:val="char"/>
    <w:basedOn w:val="1"/>
    <w:qFormat/>
    <w:uiPriority w:val="0"/>
    <w:pPr>
      <w:widowControl/>
      <w:spacing w:after="160" w:line="240" w:lineRule="exact"/>
      <w:jc w:val="left"/>
    </w:pPr>
    <w:rPr>
      <w:rFonts w:ascii="Verdana" w:hAnsi="Verdana" w:cs="”“Times New Roman”“"/>
      <w:kern w:val="0"/>
      <w:sz w:val="24"/>
      <w:lang w:eastAsia="en-US"/>
    </w:rPr>
  </w:style>
  <w:style w:type="paragraph" w:customStyle="1" w:styleId="941">
    <w:name w:val="ST20_55"/>
    <w:basedOn w:val="752"/>
    <w:qFormat/>
    <w:uiPriority w:val="0"/>
    <w:pPr>
      <w:tabs>
        <w:tab w:val="left" w:pos="2160"/>
        <w:tab w:val="clear" w:pos="720"/>
      </w:tabs>
      <w:ind w:left="2160"/>
    </w:pPr>
  </w:style>
  <w:style w:type="paragraph" w:customStyle="1" w:styleId="942">
    <w:name w:val="Table Paragraph"/>
    <w:basedOn w:val="1"/>
    <w:qFormat/>
    <w:uiPriority w:val="1"/>
    <w:pPr>
      <w:jc w:val="left"/>
    </w:pPr>
    <w:rPr>
      <w:rFonts w:ascii="Calibri" w:hAnsi="Calibri" w:eastAsia="宋体"/>
      <w:kern w:val="0"/>
      <w:sz w:val="22"/>
      <w:szCs w:val="22"/>
      <w:lang w:eastAsia="en-US"/>
    </w:rPr>
  </w:style>
  <w:style w:type="paragraph" w:customStyle="1" w:styleId="943">
    <w:name w:val="样式 标题 3条标题 + 段前: 0.5 行"/>
    <w:basedOn w:val="6"/>
    <w:next w:val="926"/>
    <w:qFormat/>
    <w:uiPriority w:val="0"/>
    <w:pPr>
      <w:spacing w:before="0" w:after="0"/>
      <w:ind w:left="720" w:hanging="720"/>
    </w:pPr>
    <w:rPr>
      <w:rFonts w:ascii="Times New Roman" w:eastAsia="黑体" w:cs="宋体"/>
      <w:b w:val="0"/>
      <w:bCs w:val="0"/>
      <w:sz w:val="28"/>
    </w:rPr>
  </w:style>
  <w:style w:type="paragraph" w:customStyle="1" w:styleId="944">
    <w:name w:val="流程图"/>
    <w:basedOn w:val="1"/>
    <w:qFormat/>
    <w:uiPriority w:val="0"/>
    <w:pPr>
      <w:adjustRightInd w:val="0"/>
      <w:spacing w:after="60"/>
      <w:jc w:val="center"/>
      <w:textAlignment w:val="baseline"/>
    </w:pPr>
    <w:rPr>
      <w:rFonts w:ascii="宋体" w:hAnsi="Bookman Old Style" w:eastAsia="宋体"/>
      <w:spacing w:val="5"/>
      <w:kern w:val="44"/>
      <w:position w:val="-10"/>
      <w:sz w:val="21"/>
    </w:rPr>
  </w:style>
  <w:style w:type="paragraph" w:customStyle="1" w:styleId="945">
    <w:name w:val="xl43"/>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hint="eastAsia" w:ascii="宋体" w:hAnsi="宋体" w:eastAsia="宋体"/>
      <w:kern w:val="0"/>
      <w:sz w:val="24"/>
      <w:szCs w:val="24"/>
    </w:rPr>
  </w:style>
  <w:style w:type="paragraph" w:customStyle="1" w:styleId="946">
    <w:name w:val="样式 标题 3 + (中文) 宋体 小四 加粗 Char"/>
    <w:basedOn w:val="6"/>
    <w:qFormat/>
    <w:uiPriority w:val="0"/>
    <w:pPr>
      <w:keepNext w:val="0"/>
      <w:keepLines w:val="0"/>
      <w:tabs>
        <w:tab w:val="left" w:pos="1260"/>
      </w:tabs>
      <w:adjustRightInd w:val="0"/>
      <w:spacing w:before="0" w:after="0" w:line="420" w:lineRule="exact"/>
      <w:ind w:left="1260" w:hanging="420"/>
      <w:textAlignment w:val="baseline"/>
    </w:pPr>
    <w:rPr>
      <w:rFonts w:ascii="楷体_GB2312" w:eastAsia="宋体" w:cs="Arial"/>
      <w:szCs w:val="24"/>
    </w:rPr>
  </w:style>
  <w:style w:type="paragraph" w:customStyle="1" w:styleId="947">
    <w:name w:val="Char Char Char3"/>
    <w:basedOn w:val="1"/>
    <w:qFormat/>
    <w:uiPriority w:val="0"/>
    <w:rPr>
      <w:rFonts w:eastAsia="宋体"/>
      <w:sz w:val="21"/>
    </w:rPr>
  </w:style>
  <w:style w:type="paragraph" w:customStyle="1" w:styleId="948">
    <w:name w:val="样式一.1"/>
    <w:basedOn w:val="5"/>
    <w:qFormat/>
    <w:uiPriority w:val="0"/>
    <w:pPr>
      <w:spacing w:before="156" w:beforeLines="50" w:after="156" w:afterLines="50" w:line="480" w:lineRule="exact"/>
      <w:ind w:left="720" w:firstLine="0"/>
    </w:pPr>
    <w:rPr>
      <w:rFonts w:ascii="Times New Roman" w:hAnsi="Times New Roman" w:cs="Times New Roman"/>
      <w:b/>
      <w:bCs/>
      <w:spacing w:val="0"/>
    </w:rPr>
  </w:style>
  <w:style w:type="paragraph" w:customStyle="1" w:styleId="949">
    <w:name w:val="法规"/>
    <w:basedOn w:val="1"/>
    <w:qFormat/>
    <w:uiPriority w:val="0"/>
    <w:pPr>
      <w:tabs>
        <w:tab w:val="left" w:pos="400"/>
      </w:tabs>
      <w:spacing w:line="440" w:lineRule="exact"/>
      <w:ind w:firstLine="400"/>
    </w:pPr>
    <w:rPr>
      <w:rFonts w:eastAsia="宋体"/>
      <w:sz w:val="25"/>
    </w:rPr>
  </w:style>
  <w:style w:type="paragraph" w:customStyle="1" w:styleId="950">
    <w:name w:val="表格001"/>
    <w:basedOn w:val="1"/>
    <w:qFormat/>
    <w:uiPriority w:val="0"/>
    <w:pPr>
      <w:jc w:val="center"/>
    </w:pPr>
    <w:rPr>
      <w:rFonts w:eastAsia="宋体"/>
      <w:sz w:val="24"/>
    </w:rPr>
  </w:style>
  <w:style w:type="paragraph" w:customStyle="1" w:styleId="951">
    <w:name w:val="五级条标题"/>
    <w:basedOn w:val="952"/>
    <w:next w:val="6"/>
    <w:qFormat/>
    <w:uiPriority w:val="0"/>
    <w:pPr>
      <w:outlineLvl w:val="6"/>
    </w:pPr>
  </w:style>
  <w:style w:type="paragraph" w:customStyle="1" w:styleId="952">
    <w:name w:val="四级条标题"/>
    <w:basedOn w:val="953"/>
    <w:next w:val="6"/>
    <w:qFormat/>
    <w:uiPriority w:val="0"/>
    <w:pPr>
      <w:outlineLvl w:val="5"/>
    </w:pPr>
  </w:style>
  <w:style w:type="paragraph" w:customStyle="1" w:styleId="953">
    <w:name w:val="三级条标题"/>
    <w:basedOn w:val="834"/>
    <w:next w:val="6"/>
    <w:qFormat/>
    <w:uiPriority w:val="0"/>
    <w:pPr>
      <w:outlineLvl w:val="4"/>
    </w:pPr>
  </w:style>
  <w:style w:type="paragraph" w:customStyle="1" w:styleId="954">
    <w:name w:val="封面"/>
    <w:basedOn w:val="3"/>
    <w:qFormat/>
    <w:uiPriority w:val="0"/>
    <w:pPr>
      <w:pageBreakBefore w:val="0"/>
      <w:tabs>
        <w:tab w:val="left" w:pos="3643"/>
        <w:tab w:val="clear" w:pos="1080"/>
      </w:tabs>
      <w:adjustRightInd w:val="0"/>
      <w:spacing w:before="240" w:line="240" w:lineRule="auto"/>
      <w:ind w:left="0" w:firstLine="0"/>
      <w:textAlignment w:val="baseline"/>
    </w:pPr>
    <w:rPr>
      <w:rFonts w:eastAsia="黑体"/>
      <w:sz w:val="52"/>
    </w:rPr>
  </w:style>
  <w:style w:type="paragraph" w:customStyle="1" w:styleId="955">
    <w:name w:val="Char Char Char Char Char Char Char Char Char Char Char Char"/>
    <w:basedOn w:val="1"/>
    <w:qFormat/>
    <w:uiPriority w:val="0"/>
    <w:pPr>
      <w:widowControl/>
      <w:spacing w:after="160" w:line="240" w:lineRule="exact"/>
      <w:jc w:val="left"/>
    </w:pPr>
    <w:rPr>
      <w:rFonts w:ascii="Verdana" w:hAnsi="Verdana" w:eastAsia="宋体"/>
      <w:kern w:val="0"/>
      <w:sz w:val="20"/>
      <w:lang w:eastAsia="en-US"/>
    </w:rPr>
  </w:style>
  <w:style w:type="paragraph" w:customStyle="1" w:styleId="956">
    <w:name w:val="表格文字1"/>
    <w:basedOn w:val="1"/>
    <w:qFormat/>
    <w:uiPriority w:val="0"/>
    <w:pPr>
      <w:adjustRightInd w:val="0"/>
      <w:spacing w:before="120"/>
      <w:ind w:left="-108" w:right="-28" w:firstLine="108"/>
      <w:textAlignment w:val="baseline"/>
    </w:pPr>
    <w:rPr>
      <w:rFonts w:eastAsia="宋体"/>
      <w:kern w:val="0"/>
      <w:sz w:val="21"/>
    </w:rPr>
  </w:style>
  <w:style w:type="paragraph" w:customStyle="1" w:styleId="957">
    <w:name w:val="Char Char6 Char Char Char Char Char Char"/>
    <w:basedOn w:val="1"/>
    <w:semiHidden/>
    <w:qFormat/>
    <w:uiPriority w:val="0"/>
    <w:pPr>
      <w:snapToGrid w:val="0"/>
      <w:spacing w:line="360" w:lineRule="auto"/>
      <w:ind w:firstLine="200" w:firstLineChars="200"/>
    </w:pPr>
    <w:rPr>
      <w:rFonts w:ascii="宋体" w:hAnsi="宋体" w:eastAsia="宋体" w:cs="宋体"/>
      <w:sz w:val="24"/>
      <w:szCs w:val="24"/>
    </w:rPr>
  </w:style>
  <w:style w:type="paragraph" w:customStyle="1" w:styleId="958">
    <w:name w:val="标题3"/>
    <w:basedOn w:val="6"/>
    <w:next w:val="5"/>
    <w:qFormat/>
    <w:uiPriority w:val="0"/>
    <w:pPr>
      <w:tabs>
        <w:tab w:val="left" w:pos="1080"/>
      </w:tabs>
      <w:spacing w:before="0" w:after="0" w:line="360" w:lineRule="auto"/>
      <w:ind w:left="709"/>
    </w:pPr>
    <w:rPr>
      <w:rFonts w:ascii="Times New Roman" w:eastAsia="宋体"/>
      <w:b w:val="0"/>
      <w:bCs w:val="0"/>
      <w:szCs w:val="32"/>
    </w:rPr>
  </w:style>
  <w:style w:type="paragraph" w:customStyle="1" w:styleId="959">
    <w:name w:val="Char Char Char Char Char Char1 Char Char Char Char"/>
    <w:basedOn w:val="1"/>
    <w:qFormat/>
    <w:uiPriority w:val="0"/>
    <w:rPr>
      <w:rFonts w:eastAsia="宋体"/>
      <w:sz w:val="24"/>
      <w:szCs w:val="24"/>
    </w:rPr>
  </w:style>
  <w:style w:type="paragraph" w:customStyle="1" w:styleId="960">
    <w:name w:val="样式 标题 3 + (西文) Times New Roman (中文) 宋体 小四 加粗 段前: 1 行1"/>
    <w:basedOn w:val="6"/>
    <w:qFormat/>
    <w:uiPriority w:val="0"/>
    <w:pPr>
      <w:keepNext w:val="0"/>
      <w:keepLines w:val="0"/>
      <w:tabs>
        <w:tab w:val="left" w:pos="1260"/>
      </w:tabs>
      <w:adjustRightInd w:val="0"/>
      <w:spacing w:before="0" w:after="0" w:line="420" w:lineRule="exact"/>
      <w:ind w:left="1260" w:hanging="420"/>
      <w:textAlignment w:val="baseline"/>
    </w:pPr>
    <w:rPr>
      <w:rFonts w:ascii="Times New Roman" w:eastAsia="宋体" w:cs="宋体"/>
    </w:rPr>
  </w:style>
  <w:style w:type="paragraph" w:customStyle="1" w:styleId="961">
    <w:name w:val="样式 首行缩进:  0.99 厘米"/>
    <w:basedOn w:val="1"/>
    <w:semiHidden/>
    <w:qFormat/>
    <w:uiPriority w:val="0"/>
    <w:pPr>
      <w:adjustRightInd w:val="0"/>
      <w:snapToGrid w:val="0"/>
      <w:spacing w:line="360" w:lineRule="auto"/>
      <w:ind w:firstLine="561"/>
    </w:pPr>
    <w:rPr>
      <w:rFonts w:ascii="仿宋_GB2312" w:eastAsia="宋体" w:cs="宋体"/>
      <w:sz w:val="24"/>
      <w:szCs w:val="28"/>
    </w:rPr>
  </w:style>
  <w:style w:type="paragraph" w:customStyle="1" w:styleId="962">
    <w:name w:val="Char Char Char2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963">
    <w:name w:val="table"/>
    <w:basedOn w:val="1"/>
    <w:qFormat/>
    <w:uiPriority w:val="0"/>
    <w:pPr>
      <w:spacing w:line="360" w:lineRule="auto"/>
      <w:jc w:val="center"/>
    </w:pPr>
    <w:rPr>
      <w:rFonts w:eastAsia="宋体"/>
      <w:bCs/>
      <w:sz w:val="24"/>
      <w:szCs w:val="24"/>
    </w:rPr>
  </w:style>
  <w:style w:type="paragraph" w:customStyle="1" w:styleId="964">
    <w:name w:val="Char Char Char Char Char Char Char Char Char Char Char Char Char Char Char Char Char Char Char Char Char Char Char Char Char Char Char Char Char Char Char Char Char Char Char Char Char Char Char Char Char Char Char Char Char Char"/>
    <w:basedOn w:val="1"/>
    <w:next w:val="1"/>
    <w:qFormat/>
    <w:uiPriority w:val="0"/>
    <w:pPr>
      <w:pBdr>
        <w:right w:val="single" w:color="auto" w:sz="12" w:space="4"/>
      </w:pBdr>
      <w:spacing w:line="360" w:lineRule="auto"/>
      <w:ind w:firstLine="200" w:firstLineChars="200"/>
    </w:pPr>
    <w:rPr>
      <w:rFonts w:ascii="宋体" w:hAnsi="宋体" w:eastAsia="宋体" w:cs="宋体"/>
      <w:sz w:val="24"/>
      <w:szCs w:val="24"/>
    </w:rPr>
  </w:style>
  <w:style w:type="paragraph" w:customStyle="1" w:styleId="965">
    <w:name w:val="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966">
    <w:name w:val="a表格"/>
    <w:basedOn w:val="896"/>
    <w:qFormat/>
    <w:uiPriority w:val="0"/>
    <w:pPr>
      <w:snapToGrid w:val="0"/>
      <w:ind w:firstLine="0" w:firstLineChars="0"/>
      <w:jc w:val="center"/>
      <w:outlineLvl w:val="2"/>
    </w:pPr>
    <w:rPr>
      <w:sz w:val="21"/>
    </w:rPr>
  </w:style>
  <w:style w:type="paragraph" w:customStyle="1" w:styleId="967">
    <w:name w:val="默认段落字体 Para Char Char Char Char Char Char Char"/>
    <w:basedOn w:val="1"/>
    <w:qFormat/>
    <w:uiPriority w:val="0"/>
    <w:pPr>
      <w:adjustRightInd w:val="0"/>
      <w:spacing w:line="360" w:lineRule="auto"/>
      <w:ind w:left="200" w:hanging="200" w:hangingChars="200"/>
      <w:textAlignment w:val="baseline"/>
    </w:pPr>
    <w:rPr>
      <w:rFonts w:eastAsia="宋体"/>
      <w:kern w:val="0"/>
      <w:sz w:val="24"/>
    </w:rPr>
  </w:style>
  <w:style w:type="paragraph" w:customStyle="1" w:styleId="968">
    <w:name w:val="自动1"/>
    <w:basedOn w:val="1"/>
    <w:link w:val="2807"/>
    <w:qFormat/>
    <w:uiPriority w:val="0"/>
    <w:pPr>
      <w:keepNext/>
      <w:keepLines/>
      <w:spacing w:beforeLines="50" w:afterLines="50" w:line="360" w:lineRule="auto"/>
      <w:outlineLvl w:val="0"/>
    </w:pPr>
    <w:rPr>
      <w:rFonts w:ascii="黑体" w:hAnsi="Arial Unicode MS" w:eastAsia="黑体" w:cs="Arial Unicode MS"/>
      <w:b/>
      <w:bCs/>
      <w:color w:val="000000"/>
      <w:kern w:val="44"/>
      <w:sz w:val="30"/>
      <w:szCs w:val="30"/>
    </w:rPr>
  </w:style>
  <w:style w:type="paragraph" w:customStyle="1" w:styleId="969">
    <w:name w:val="默认段落字体 Para Char"/>
    <w:basedOn w:val="1"/>
    <w:qFormat/>
    <w:uiPriority w:val="0"/>
    <w:pPr>
      <w:spacing w:before="156" w:beforeLines="50" w:after="156" w:afterLines="50" w:line="500" w:lineRule="exact"/>
      <w:ind w:firstLine="480" w:firstLineChars="200"/>
    </w:pPr>
    <w:rPr>
      <w:rFonts w:eastAsia="宋体"/>
      <w:szCs w:val="24"/>
    </w:rPr>
  </w:style>
  <w:style w:type="paragraph" w:customStyle="1" w:styleId="970">
    <w:name w:val="文章正文样式 Char Char3"/>
    <w:basedOn w:val="1"/>
    <w:qFormat/>
    <w:uiPriority w:val="0"/>
    <w:pPr>
      <w:spacing w:line="520" w:lineRule="exact"/>
      <w:ind w:firstLine="480" w:firstLineChars="200"/>
      <w:jc w:val="left"/>
    </w:pPr>
    <w:rPr>
      <w:rFonts w:ascii="宋体" w:hAnsi="宋体" w:eastAsia="宋体"/>
      <w:sz w:val="24"/>
    </w:rPr>
  </w:style>
  <w:style w:type="paragraph" w:customStyle="1" w:styleId="971">
    <w:name w:val="默认段落字体 Para Char Char Char Char"/>
    <w:basedOn w:val="1"/>
    <w:qFormat/>
    <w:uiPriority w:val="0"/>
    <w:rPr>
      <w:rFonts w:eastAsia="宋体"/>
      <w:sz w:val="24"/>
      <w:szCs w:val="24"/>
    </w:rPr>
  </w:style>
  <w:style w:type="paragraph" w:customStyle="1" w:styleId="972">
    <w:name w:val="xl29"/>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 w:val="24"/>
      <w:szCs w:val="24"/>
    </w:rPr>
  </w:style>
  <w:style w:type="paragraph" w:customStyle="1" w:styleId="973">
    <w:name w:val="表文字中"/>
    <w:semiHidden/>
    <w:qFormat/>
    <w:uiPriority w:val="0"/>
    <w:pPr>
      <w:spacing w:line="360" w:lineRule="auto"/>
      <w:jc w:val="center"/>
    </w:pPr>
    <w:rPr>
      <w:rFonts w:ascii="Arial" w:hAnsi="Arial" w:eastAsia="宋体" w:cs="Times New Roman"/>
      <w:kern w:val="2"/>
      <w:sz w:val="21"/>
      <w:lang w:val="en-US" w:eastAsia="zh-CN" w:bidi="ar-SA"/>
    </w:rPr>
  </w:style>
  <w:style w:type="paragraph" w:customStyle="1" w:styleId="974">
    <w:name w:val="样式 样式 标题 4表格1 + 两端对齐 段前: 0.5 行 段后: 0.5 行 + 段前: 0.5 行 段后: 0.5 行"/>
    <w:basedOn w:val="881"/>
    <w:qFormat/>
    <w:uiPriority w:val="0"/>
    <w:pPr>
      <w:tabs>
        <w:tab w:val="left" w:pos="0"/>
        <w:tab w:val="left" w:pos="1492"/>
      </w:tabs>
    </w:pPr>
  </w:style>
  <w:style w:type="paragraph" w:customStyle="1" w:styleId="975">
    <w:name w:val="标题 16"/>
    <w:basedOn w:val="1"/>
    <w:qFormat/>
    <w:uiPriority w:val="0"/>
    <w:rPr>
      <w:rFonts w:eastAsia="宋体"/>
      <w:sz w:val="21"/>
      <w:szCs w:val="24"/>
    </w:rPr>
  </w:style>
  <w:style w:type="paragraph" w:customStyle="1" w:styleId="976">
    <w:name w:val="Lux 正文"/>
    <w:basedOn w:val="1"/>
    <w:qFormat/>
    <w:uiPriority w:val="0"/>
    <w:pPr>
      <w:spacing w:before="80" w:after="80" w:line="500" w:lineRule="exact"/>
      <w:ind w:firstLine="200" w:firstLineChars="200"/>
    </w:pPr>
    <w:rPr>
      <w:rFonts w:eastAsia="宋体"/>
      <w:kern w:val="0"/>
      <w:sz w:val="24"/>
    </w:rPr>
  </w:style>
  <w:style w:type="paragraph" w:customStyle="1" w:styleId="977">
    <w:name w:val="样式 标题 1 +1"/>
    <w:basedOn w:val="3"/>
    <w:next w:val="1"/>
    <w:qFormat/>
    <w:uiPriority w:val="0"/>
    <w:pPr>
      <w:pageBreakBefore w:val="0"/>
      <w:tabs>
        <w:tab w:val="left" w:pos="420"/>
        <w:tab w:val="left" w:pos="3065"/>
      </w:tabs>
      <w:spacing w:before="340" w:after="330" w:line="360" w:lineRule="auto"/>
      <w:ind w:left="420" w:firstLine="0"/>
    </w:pPr>
    <w:rPr>
      <w:rFonts w:ascii="黑体" w:hAnsi="Arial" w:eastAsia="黑体" w:cs="Arial"/>
      <w:bCs/>
      <w:kern w:val="0"/>
      <w:sz w:val="32"/>
      <w:szCs w:val="44"/>
    </w:rPr>
  </w:style>
  <w:style w:type="paragraph" w:customStyle="1" w:styleId="978">
    <w:name w:val="二号标题样式"/>
    <w:basedOn w:val="1"/>
    <w:qFormat/>
    <w:uiPriority w:val="0"/>
    <w:pPr>
      <w:keepNext/>
      <w:keepLines/>
      <w:spacing w:before="156" w:beforeLines="50" w:after="156" w:afterLines="50" w:line="520" w:lineRule="exact"/>
      <w:outlineLvl w:val="2"/>
    </w:pPr>
    <w:rPr>
      <w:rFonts w:ascii="Arial" w:hAnsi="Arial" w:eastAsia="黑体" w:cs="宋体"/>
    </w:rPr>
  </w:style>
  <w:style w:type="paragraph" w:customStyle="1" w:styleId="979">
    <w:name w:val="样式 表 + 首行缩进:  2 字符"/>
    <w:basedOn w:val="646"/>
    <w:semiHidden/>
    <w:qFormat/>
    <w:uiPriority w:val="0"/>
    <w:pPr>
      <w:keepNext w:val="0"/>
      <w:keepLines w:val="0"/>
      <w:tabs>
        <w:tab w:val="clear" w:pos="1080"/>
      </w:tabs>
      <w:adjustRightInd w:val="0"/>
      <w:snapToGrid w:val="0"/>
      <w:spacing w:before="0" w:after="0" w:line="331" w:lineRule="auto"/>
      <w:jc w:val="center"/>
      <w:outlineLvl w:val="9"/>
    </w:pPr>
    <w:rPr>
      <w:rFonts w:ascii="宋体" w:hAnsi="宋体" w:cs="宋体"/>
      <w:b w:val="0"/>
      <w:bCs w:val="0"/>
      <w:kern w:val="0"/>
      <w:sz w:val="21"/>
      <w:szCs w:val="21"/>
    </w:rPr>
  </w:style>
  <w:style w:type="paragraph" w:customStyle="1" w:styleId="980">
    <w:name w:val="标题 18"/>
    <w:basedOn w:val="1"/>
    <w:qFormat/>
    <w:uiPriority w:val="0"/>
    <w:rPr>
      <w:rFonts w:eastAsia="宋体"/>
      <w:sz w:val="21"/>
      <w:szCs w:val="24"/>
    </w:rPr>
  </w:style>
  <w:style w:type="paragraph" w:customStyle="1" w:styleId="981">
    <w:name w:val="pic-info"/>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982">
    <w:name w:val="Char Char Char Char1"/>
    <w:basedOn w:val="1"/>
    <w:qFormat/>
    <w:uiPriority w:val="0"/>
    <w:pPr>
      <w:spacing w:before="156" w:beforeLines="50" w:after="156" w:afterLines="50"/>
    </w:pPr>
    <w:rPr>
      <w:rFonts w:eastAsia="宋体"/>
      <w:sz w:val="21"/>
      <w:szCs w:val="24"/>
    </w:rPr>
  </w:style>
  <w:style w:type="paragraph" w:customStyle="1" w:styleId="983">
    <w:name w:val="正文LA"/>
    <w:qFormat/>
    <w:uiPriority w:val="0"/>
    <w:pPr>
      <w:widowControl w:val="0"/>
      <w:tabs>
        <w:tab w:val="left" w:pos="0"/>
      </w:tabs>
      <w:adjustRightInd w:val="0"/>
      <w:spacing w:before="156" w:beforeLines="50" w:line="360" w:lineRule="auto"/>
      <w:ind w:firstLine="225" w:firstLineChars="225"/>
      <w:jc w:val="both"/>
    </w:pPr>
    <w:rPr>
      <w:rFonts w:ascii="宋体" w:hAnsi="宋体" w:eastAsia="宋体" w:cs="Times New Roman"/>
      <w:snapToGrid w:val="0"/>
      <w:sz w:val="24"/>
      <w:lang w:val="en-US" w:eastAsia="zh-CN" w:bidi="ar-SA"/>
    </w:rPr>
  </w:style>
  <w:style w:type="paragraph" w:customStyle="1" w:styleId="984">
    <w:name w:val="Char2"/>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985">
    <w:name w:val="font7"/>
    <w:basedOn w:val="1"/>
    <w:qFormat/>
    <w:uiPriority w:val="0"/>
    <w:pPr>
      <w:widowControl/>
      <w:spacing w:before="100" w:beforeAutospacing="1" w:after="100" w:afterAutospacing="1"/>
      <w:jc w:val="left"/>
    </w:pPr>
    <w:rPr>
      <w:rFonts w:eastAsia="Arial Unicode MS"/>
      <w:kern w:val="0"/>
      <w:sz w:val="24"/>
      <w:szCs w:val="24"/>
    </w:rPr>
  </w:style>
  <w:style w:type="paragraph" w:customStyle="1" w:styleId="986">
    <w:name w:val="reader-word-layer reader-word-s1-7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987">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988">
    <w:name w:val="ST20_22"/>
    <w:basedOn w:val="753"/>
    <w:qFormat/>
    <w:uiPriority w:val="0"/>
    <w:pPr>
      <w:spacing w:after="120"/>
    </w:pPr>
  </w:style>
  <w:style w:type="paragraph" w:customStyle="1" w:styleId="989">
    <w:name w:val="ST20_40"/>
    <w:basedOn w:val="751"/>
    <w:next w:val="751"/>
    <w:qFormat/>
    <w:uiPriority w:val="0"/>
    <w:pPr>
      <w:spacing w:before="80"/>
    </w:pPr>
  </w:style>
  <w:style w:type="paragraph" w:customStyle="1" w:styleId="990">
    <w:name w:val="Style 表格内容 + Line spacing:  Multiple 1.2 li"/>
    <w:basedOn w:val="248"/>
    <w:qFormat/>
    <w:uiPriority w:val="0"/>
    <w:pPr>
      <w:spacing w:line="240" w:lineRule="auto"/>
      <w:ind w:firstLine="0" w:firstLineChars="0"/>
    </w:pPr>
    <w:rPr>
      <w:rFonts w:cs="宋体"/>
    </w:rPr>
  </w:style>
  <w:style w:type="paragraph" w:customStyle="1" w:styleId="991">
    <w:name w:val="xl42"/>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992">
    <w:name w:val="样式 首行缩进:  0.77 厘米 行距: 固定值 20 磅4"/>
    <w:basedOn w:val="1"/>
    <w:qFormat/>
    <w:uiPriority w:val="0"/>
    <w:pPr>
      <w:spacing w:line="360" w:lineRule="auto"/>
      <w:ind w:firstLine="435"/>
    </w:pPr>
    <w:rPr>
      <w:rFonts w:eastAsia="宋体" w:cs="宋体"/>
      <w:sz w:val="24"/>
    </w:rPr>
  </w:style>
  <w:style w:type="paragraph" w:customStyle="1" w:styleId="993">
    <w:name w:val="Char1 Char Char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994">
    <w:name w:val="表文"/>
    <w:basedOn w:val="1"/>
    <w:link w:val="1834"/>
    <w:qFormat/>
    <w:uiPriority w:val="0"/>
    <w:pPr>
      <w:tabs>
        <w:tab w:val="left" w:pos="1021"/>
      </w:tabs>
      <w:ind w:firstLine="560"/>
    </w:pPr>
    <w:rPr>
      <w:rFonts w:eastAsia="宋体"/>
      <w:kern w:val="0"/>
      <w:sz w:val="24"/>
    </w:rPr>
  </w:style>
  <w:style w:type="paragraph" w:customStyle="1" w:styleId="995">
    <w:name w:val="Char Char Char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996">
    <w:name w:val="表格2"/>
    <w:basedOn w:val="1"/>
    <w:qFormat/>
    <w:uiPriority w:val="0"/>
    <w:pPr>
      <w:spacing w:line="360" w:lineRule="atLeast"/>
      <w:jc w:val="center"/>
    </w:pPr>
    <w:rPr>
      <w:rFonts w:eastAsia="宋体"/>
      <w:sz w:val="21"/>
      <w:szCs w:val="21"/>
    </w:rPr>
  </w:style>
  <w:style w:type="paragraph" w:customStyle="1" w:styleId="997">
    <w:name w:val="ST20_33"/>
    <w:basedOn w:val="56"/>
    <w:qFormat/>
    <w:uiPriority w:val="0"/>
    <w:pPr>
      <w:keepLines/>
      <w:tabs>
        <w:tab w:val="center" w:pos="4320"/>
        <w:tab w:val="right" w:pos="8640"/>
        <w:tab w:val="clear" w:pos="4153"/>
        <w:tab w:val="clear" w:pos="8306"/>
      </w:tabs>
      <w:autoSpaceDE w:val="0"/>
      <w:autoSpaceDN w:val="0"/>
      <w:adjustRightInd w:val="0"/>
      <w:snapToGrid/>
      <w:spacing w:line="360" w:lineRule="atLeast"/>
      <w:textAlignment w:val="baseline"/>
    </w:pPr>
    <w:rPr>
      <w:rFonts w:ascii="宋体" w:hAnsi="Tms Rmn" w:eastAsia="宋体"/>
      <w:kern w:val="0"/>
      <w:sz w:val="28"/>
      <w:szCs w:val="28"/>
    </w:rPr>
  </w:style>
  <w:style w:type="paragraph" w:customStyle="1" w:styleId="998">
    <w:name w:val="样式 标题 2节H2（一）Underrubrik1prop2Heading 2 HiddenHeading 2 C...5"/>
    <w:basedOn w:val="4"/>
    <w:qFormat/>
    <w:uiPriority w:val="0"/>
    <w:pPr>
      <w:adjustRightInd w:val="0"/>
      <w:snapToGrid w:val="0"/>
      <w:spacing w:beforeLines="50" w:after="120" w:afterLines="50" w:line="360" w:lineRule="auto"/>
    </w:pPr>
    <w:rPr>
      <w:rFonts w:ascii="Times New Roman" w:hAnsi="宋体" w:eastAsia="宋体" w:cs="宋体"/>
      <w:b/>
      <w:bCs/>
      <w:color w:val="FF0000"/>
      <w:sz w:val="30"/>
    </w:rPr>
  </w:style>
  <w:style w:type="paragraph" w:customStyle="1" w:styleId="999">
    <w:name w:val="ST20_63"/>
    <w:basedOn w:val="1000"/>
    <w:qFormat/>
    <w:uiPriority w:val="0"/>
    <w:pPr>
      <w:ind w:left="1800"/>
    </w:pPr>
  </w:style>
  <w:style w:type="paragraph" w:customStyle="1" w:styleId="1000">
    <w:name w:val="ST20_54"/>
    <w:basedOn w:val="752"/>
    <w:qFormat/>
    <w:uiPriority w:val="0"/>
    <w:pPr>
      <w:tabs>
        <w:tab w:val="clear" w:pos="720"/>
      </w:tabs>
      <w:spacing w:after="160"/>
    </w:pPr>
  </w:style>
  <w:style w:type="paragraph" w:customStyle="1" w:styleId="1001">
    <w:name w:val="font0"/>
    <w:basedOn w:val="1"/>
    <w:qFormat/>
    <w:uiPriority w:val="0"/>
    <w:pPr>
      <w:widowControl/>
      <w:spacing w:before="100" w:beforeAutospacing="1" w:after="100" w:afterAutospacing="1"/>
      <w:jc w:val="left"/>
    </w:pPr>
    <w:rPr>
      <w:rFonts w:hint="eastAsia" w:ascii="宋体" w:hAnsi="宋体" w:eastAsia="宋体" w:cs="Arial Unicode MS"/>
      <w:kern w:val="0"/>
      <w:sz w:val="24"/>
      <w:szCs w:val="24"/>
    </w:rPr>
  </w:style>
  <w:style w:type="paragraph" w:customStyle="1" w:styleId="1002">
    <w:name w:val="样式15 Char"/>
    <w:basedOn w:val="1"/>
    <w:qFormat/>
    <w:uiPriority w:val="0"/>
    <w:pPr>
      <w:spacing w:line="360" w:lineRule="auto"/>
      <w:ind w:firstLine="560" w:firstLineChars="200"/>
    </w:pPr>
    <w:rPr>
      <w:rFonts w:eastAsia="宋体"/>
    </w:rPr>
  </w:style>
  <w:style w:type="paragraph" w:customStyle="1" w:styleId="1003">
    <w:name w:val="Char Char Char Char Char Char Char Char Char Char Char Char Char Char Char Char"/>
    <w:basedOn w:val="1"/>
    <w:next w:val="1"/>
    <w:qFormat/>
    <w:uiPriority w:val="0"/>
    <w:rPr>
      <w:rFonts w:eastAsia="宋体"/>
      <w:sz w:val="21"/>
      <w:szCs w:val="24"/>
    </w:rPr>
  </w:style>
  <w:style w:type="paragraph" w:customStyle="1" w:styleId="1004">
    <w:name w:val="河石管道 表格文字小五6"/>
    <w:qFormat/>
    <w:uiPriority w:val="0"/>
    <w:pPr>
      <w:widowControl w:val="0"/>
      <w:tabs>
        <w:tab w:val="left" w:pos="0"/>
        <w:tab w:val="left" w:pos="1659"/>
        <w:tab w:val="left" w:pos="2517"/>
      </w:tabs>
      <w:adjustRightInd w:val="0"/>
      <w:snapToGrid w:val="0"/>
      <w:spacing w:line="320" w:lineRule="atLeast"/>
      <w:jc w:val="center"/>
      <w:textAlignment w:val="baseline"/>
    </w:pPr>
    <w:rPr>
      <w:rFonts w:ascii="Times New Roman" w:hAnsi="Times New Roman" w:eastAsia="宋体" w:cs="Times New Roman"/>
      <w:sz w:val="21"/>
      <w:szCs w:val="21"/>
      <w:lang w:val="en-US" w:eastAsia="zh-CN" w:bidi="ar-SA"/>
    </w:rPr>
  </w:style>
  <w:style w:type="paragraph" w:customStyle="1" w:styleId="1005">
    <w:name w:val="样式14"/>
    <w:basedOn w:val="4"/>
    <w:link w:val="2694"/>
    <w:qFormat/>
    <w:uiPriority w:val="0"/>
    <w:pPr>
      <w:tabs>
        <w:tab w:val="left" w:pos="0"/>
        <w:tab w:val="left" w:pos="2961"/>
        <w:tab w:val="clear" w:pos="567"/>
      </w:tabs>
      <w:ind w:left="2961" w:hanging="576"/>
      <w:jc w:val="left"/>
    </w:pPr>
  </w:style>
  <w:style w:type="paragraph" w:customStyle="1" w:styleId="1006">
    <w:name w:val="样式 样式 Arial 三号 左 段前: 4.65 磅 + 首行缩进:  2 字符"/>
    <w:basedOn w:val="1"/>
    <w:qFormat/>
    <w:uiPriority w:val="0"/>
    <w:pPr>
      <w:spacing w:before="60" w:line="480" w:lineRule="exact"/>
      <w:ind w:firstLine="200" w:firstLineChars="200"/>
      <w:jc w:val="left"/>
    </w:pPr>
    <w:rPr>
      <w:rFonts w:ascii="Arial" w:hAnsi="Arial" w:eastAsia="宋体" w:cs="Arial"/>
      <w:kern w:val="0"/>
      <w:sz w:val="32"/>
      <w:szCs w:val="32"/>
    </w:rPr>
  </w:style>
  <w:style w:type="paragraph" w:customStyle="1" w:styleId="1007">
    <w:name w:val="样式 题注"/>
    <w:basedOn w:val="22"/>
    <w:qFormat/>
    <w:uiPriority w:val="0"/>
    <w:pPr>
      <w:spacing w:before="0" w:after="0" w:line="360" w:lineRule="auto"/>
    </w:pPr>
    <w:rPr>
      <w:rFonts w:cs="宋体"/>
      <w:b/>
      <w:bCs/>
      <w:color w:val="000000"/>
      <w:kern w:val="0"/>
      <w:sz w:val="28"/>
      <w:szCs w:val="28"/>
    </w:rPr>
  </w:style>
  <w:style w:type="paragraph" w:customStyle="1" w:styleId="1008">
    <w:name w:val="样式 样式 标题4 + 右侧:  0.85 字符 + 右侧:  0.85 字符1"/>
    <w:basedOn w:val="1"/>
    <w:qFormat/>
    <w:uiPriority w:val="0"/>
    <w:pPr>
      <w:spacing w:line="377" w:lineRule="auto"/>
      <w:ind w:right="85" w:rightChars="85"/>
      <w:jc w:val="left"/>
      <w:outlineLvl w:val="3"/>
    </w:pPr>
    <w:rPr>
      <w:rFonts w:eastAsia="宋体" w:cs="宋体"/>
      <w:kern w:val="0"/>
      <w:sz w:val="24"/>
    </w:rPr>
  </w:style>
  <w:style w:type="paragraph" w:customStyle="1" w:styleId="1009">
    <w:name w:val="样式 标题 2 + 黑体 四号 非加粗 首行缩进:  2 字符"/>
    <w:basedOn w:val="4"/>
    <w:qFormat/>
    <w:uiPriority w:val="0"/>
    <w:pPr>
      <w:adjustRightInd w:val="0"/>
      <w:snapToGrid w:val="0"/>
      <w:spacing w:before="0" w:after="0" w:line="360" w:lineRule="auto"/>
      <w:ind w:firstLine="606" w:firstLineChars="202"/>
      <w:jc w:val="left"/>
    </w:pPr>
    <w:rPr>
      <w:rFonts w:hAnsi="宋体" w:cs="宋体"/>
      <w:sz w:val="30"/>
    </w:rPr>
  </w:style>
  <w:style w:type="paragraph" w:customStyle="1" w:styleId="1010">
    <w:name w:val="样式 报告书正文 + 首行缩进:  2 字符1"/>
    <w:basedOn w:val="1"/>
    <w:next w:val="1"/>
    <w:qFormat/>
    <w:uiPriority w:val="0"/>
    <w:pPr>
      <w:spacing w:line="360" w:lineRule="auto"/>
      <w:ind w:firstLine="480" w:firstLineChars="200"/>
    </w:pPr>
    <w:rPr>
      <w:rFonts w:eastAsia="宋体" w:cs="宋体"/>
      <w:sz w:val="24"/>
    </w:rPr>
  </w:style>
  <w:style w:type="paragraph" w:customStyle="1" w:styleId="1011">
    <w:name w:val="样式10"/>
    <w:basedOn w:val="1"/>
    <w:link w:val="2310"/>
    <w:qFormat/>
    <w:uiPriority w:val="0"/>
    <w:pPr>
      <w:spacing w:line="360" w:lineRule="auto"/>
    </w:pPr>
    <w:rPr>
      <w:rFonts w:ascii="Arial" w:hAnsi="Arial" w:eastAsia="宋体" w:cs="Arial"/>
      <w:b/>
      <w:bCs/>
      <w:sz w:val="24"/>
      <w:szCs w:val="24"/>
      <w:lang w:val="en-GB"/>
    </w:rPr>
  </w:style>
  <w:style w:type="paragraph" w:customStyle="1" w:styleId="1012">
    <w:name w:val="样式 标题 1 + 黑体 小三"/>
    <w:basedOn w:val="3"/>
    <w:qFormat/>
    <w:uiPriority w:val="0"/>
    <w:pPr>
      <w:pageBreakBefore w:val="0"/>
      <w:tabs>
        <w:tab w:val="left" w:pos="0"/>
        <w:tab w:val="left" w:pos="840"/>
        <w:tab w:val="left" w:pos="2805"/>
        <w:tab w:val="clear" w:pos="1080"/>
      </w:tabs>
      <w:spacing w:before="100" w:beforeAutospacing="1" w:after="100" w:afterAutospacing="1"/>
      <w:ind w:left="840" w:hanging="360"/>
    </w:pPr>
    <w:rPr>
      <w:rFonts w:ascii="黑体" w:hAnsi="黑体" w:eastAsia="黑体"/>
      <w:bCs/>
      <w:kern w:val="0"/>
      <w:sz w:val="30"/>
      <w:szCs w:val="32"/>
    </w:rPr>
  </w:style>
  <w:style w:type="paragraph" w:customStyle="1" w:styleId="1013">
    <w:name w:val="样式 样式 褐色 首行缩进:  2 字符 + 首行缩进:  0 字符"/>
    <w:basedOn w:val="1"/>
    <w:qFormat/>
    <w:uiPriority w:val="0"/>
    <w:pPr>
      <w:widowControl/>
      <w:adjustRightInd w:val="0"/>
      <w:snapToGrid w:val="0"/>
      <w:spacing w:line="420" w:lineRule="auto"/>
      <w:jc w:val="left"/>
    </w:pPr>
    <w:rPr>
      <w:rFonts w:ascii="宋体" w:hAnsi="宋体" w:eastAsia="宋体" w:cs="宋体"/>
      <w:kern w:val="0"/>
      <w:sz w:val="24"/>
    </w:rPr>
  </w:style>
  <w:style w:type="paragraph" w:customStyle="1" w:styleId="1014">
    <w:name w:val="样式 样式 (中文) 仿宋_GB2312 四号1 + 首行缩进:  2 字符"/>
    <w:basedOn w:val="478"/>
    <w:qFormat/>
    <w:uiPriority w:val="0"/>
    <w:pPr>
      <w:tabs>
        <w:tab w:val="left" w:pos="1800"/>
      </w:tabs>
      <w:spacing w:line="460" w:lineRule="exact"/>
      <w:ind w:firstLine="560"/>
      <w:jc w:val="center"/>
    </w:pPr>
  </w:style>
  <w:style w:type="paragraph" w:customStyle="1" w:styleId="1015">
    <w:name w:val="特性表"/>
    <w:basedOn w:val="1"/>
    <w:semiHidden/>
    <w:qFormat/>
    <w:uiPriority w:val="0"/>
    <w:pPr>
      <w:adjustRightInd w:val="0"/>
      <w:snapToGrid w:val="0"/>
      <w:spacing w:line="360" w:lineRule="auto"/>
      <w:jc w:val="center"/>
    </w:pPr>
    <w:rPr>
      <w:rFonts w:ascii="黑体" w:hAnsi="宋体" w:eastAsia="黑体"/>
      <w:sz w:val="30"/>
    </w:rPr>
  </w:style>
  <w:style w:type="paragraph" w:customStyle="1" w:styleId="1016">
    <w:name w:val="标题 15"/>
    <w:basedOn w:val="1"/>
    <w:qFormat/>
    <w:uiPriority w:val="0"/>
    <w:rPr>
      <w:rFonts w:eastAsia="宋体"/>
      <w:sz w:val="21"/>
      <w:szCs w:val="24"/>
    </w:rPr>
  </w:style>
  <w:style w:type="paragraph" w:customStyle="1" w:styleId="1017">
    <w:name w:val="p16"/>
    <w:basedOn w:val="1"/>
    <w:qFormat/>
    <w:uiPriority w:val="0"/>
    <w:pPr>
      <w:widowControl/>
      <w:spacing w:line="520" w:lineRule="atLeast"/>
      <w:ind w:firstLine="420"/>
      <w:jc w:val="left"/>
    </w:pPr>
    <w:rPr>
      <w:rFonts w:eastAsia="宋体"/>
      <w:kern w:val="0"/>
      <w:sz w:val="24"/>
      <w:szCs w:val="24"/>
    </w:rPr>
  </w:style>
  <w:style w:type="paragraph" w:customStyle="1" w:styleId="1018">
    <w:name w:val="Body Text First Indent3"/>
    <w:basedOn w:val="34"/>
    <w:qFormat/>
    <w:uiPriority w:val="0"/>
    <w:pPr>
      <w:tabs>
        <w:tab w:val="left" w:pos="7840"/>
      </w:tabs>
      <w:adjustRightInd w:val="0"/>
      <w:spacing w:before="120" w:line="360" w:lineRule="auto"/>
      <w:ind w:firstLine="567"/>
      <w:textAlignment w:val="baseline"/>
    </w:pPr>
    <w:rPr>
      <w:rFonts w:eastAsia="宋体"/>
      <w:kern w:val="28"/>
      <w:szCs w:val="24"/>
    </w:rPr>
  </w:style>
  <w:style w:type="paragraph" w:customStyle="1" w:styleId="1019">
    <w:name w:val="标题 12"/>
    <w:basedOn w:val="1"/>
    <w:qFormat/>
    <w:uiPriority w:val="0"/>
    <w:rPr>
      <w:rFonts w:eastAsia="宋体"/>
      <w:sz w:val="21"/>
      <w:szCs w:val="24"/>
    </w:rPr>
  </w:style>
  <w:style w:type="paragraph" w:customStyle="1" w:styleId="1020">
    <w:name w:val="正文王"/>
    <w:basedOn w:val="46"/>
    <w:qFormat/>
    <w:uiPriority w:val="0"/>
    <w:pPr>
      <w:spacing w:line="440" w:lineRule="exact"/>
    </w:pPr>
    <w:rPr>
      <w:rFonts w:ascii="Arial" w:hAnsi="Arial" w:cs="宋体"/>
      <w:kern w:val="0"/>
      <w:sz w:val="24"/>
      <w:szCs w:val="24"/>
    </w:rPr>
  </w:style>
  <w:style w:type="paragraph" w:customStyle="1" w:styleId="1021">
    <w:name w:val="xl25"/>
    <w:basedOn w:val="1"/>
    <w:qFormat/>
    <w:uiPriority w:val="0"/>
    <w:pPr>
      <w:widowControl/>
      <w:pBdr>
        <w:top w:val="single" w:color="auto" w:sz="4" w:space="0"/>
        <w:bottom w:val="single" w:color="auto" w:sz="4" w:space="0"/>
      </w:pBdr>
      <w:spacing w:before="100" w:beforeAutospacing="1" w:after="100" w:afterAutospacing="1"/>
      <w:jc w:val="center"/>
    </w:pPr>
    <w:rPr>
      <w:rFonts w:eastAsia="Arial Unicode MS"/>
      <w:kern w:val="0"/>
      <w:sz w:val="24"/>
      <w:szCs w:val="24"/>
    </w:rPr>
  </w:style>
  <w:style w:type="paragraph" w:customStyle="1" w:styleId="1022">
    <w:name w:val="T表格1"/>
    <w:basedOn w:val="34"/>
    <w:qFormat/>
    <w:uiPriority w:val="0"/>
    <w:pPr>
      <w:tabs>
        <w:tab w:val="left" w:pos="900"/>
      </w:tabs>
      <w:spacing w:after="0" w:line="240" w:lineRule="exact"/>
    </w:pPr>
    <w:rPr>
      <w:sz w:val="21"/>
      <w:szCs w:val="24"/>
      <w:lang w:val="zh-CN"/>
    </w:rPr>
  </w:style>
  <w:style w:type="paragraph" w:customStyle="1" w:styleId="1023">
    <w:name w:val="xl41"/>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hint="eastAsia" w:ascii="宋体" w:hAnsi="宋体" w:eastAsia="宋体"/>
      <w:kern w:val="0"/>
      <w:sz w:val="24"/>
      <w:szCs w:val="24"/>
    </w:rPr>
  </w:style>
  <w:style w:type="paragraph" w:customStyle="1" w:styleId="1024">
    <w:name w:val="np_zhengwen"/>
    <w:basedOn w:val="1"/>
    <w:qFormat/>
    <w:uiPriority w:val="0"/>
    <w:pPr>
      <w:widowControl/>
      <w:adjustRightInd w:val="0"/>
      <w:snapToGrid w:val="0"/>
      <w:spacing w:before="100" w:beforeAutospacing="1" w:after="100" w:afterAutospacing="1"/>
      <w:ind w:firstLine="200" w:firstLineChars="200"/>
      <w:jc w:val="left"/>
    </w:pPr>
    <w:rPr>
      <w:rFonts w:ascii="宋体" w:hAnsi="宋体" w:eastAsia="宋体" w:cs="宋体"/>
      <w:kern w:val="0"/>
      <w:sz w:val="24"/>
      <w:szCs w:val="24"/>
    </w:rPr>
  </w:style>
  <w:style w:type="paragraph" w:customStyle="1" w:styleId="1025">
    <w:name w:val="Char1 Char Char Char1"/>
    <w:basedOn w:val="1"/>
    <w:qFormat/>
    <w:uiPriority w:val="0"/>
    <w:pPr>
      <w:widowControl/>
      <w:spacing w:after="160" w:line="240" w:lineRule="exact"/>
      <w:jc w:val="left"/>
    </w:pPr>
    <w:rPr>
      <w:rFonts w:ascii="Verdana" w:hAnsi="Verdana" w:eastAsia="宋体"/>
      <w:kern w:val="0"/>
      <w:sz w:val="20"/>
      <w:lang w:eastAsia="en-US"/>
    </w:rPr>
  </w:style>
  <w:style w:type="paragraph" w:customStyle="1" w:styleId="1026">
    <w:name w:val="样式 样式 左侧:  0.64 字符 +"/>
    <w:basedOn w:val="1"/>
    <w:qFormat/>
    <w:uiPriority w:val="0"/>
    <w:pPr>
      <w:tabs>
        <w:tab w:val="left" w:pos="1440"/>
      </w:tabs>
      <w:spacing w:line="500" w:lineRule="atLeast"/>
      <w:ind w:left="200" w:leftChars="200" w:firstLine="200" w:firstLineChars="200"/>
    </w:pPr>
    <w:rPr>
      <w:rFonts w:ascii="宋体" w:hAnsi="宋体" w:eastAsia="宋体"/>
    </w:rPr>
  </w:style>
  <w:style w:type="paragraph" w:customStyle="1" w:styleId="1027">
    <w:name w:val="样式 样式 表格2 + 首行缩进:  2 字符1 +"/>
    <w:basedOn w:val="1028"/>
    <w:semiHidden/>
    <w:qFormat/>
    <w:uiPriority w:val="0"/>
    <w:pPr>
      <w:ind w:firstLine="420" w:firstLineChars="200"/>
    </w:pPr>
  </w:style>
  <w:style w:type="paragraph" w:customStyle="1" w:styleId="1028">
    <w:name w:val="样式 表格2 + 首行缩进:  2 字符1"/>
    <w:basedOn w:val="996"/>
    <w:semiHidden/>
    <w:qFormat/>
    <w:uiPriority w:val="0"/>
    <w:pPr>
      <w:adjustRightInd w:val="0"/>
      <w:snapToGrid w:val="0"/>
      <w:spacing w:before="100" w:beforeAutospacing="1" w:after="100" w:afterAutospacing="1" w:line="240" w:lineRule="exact"/>
    </w:pPr>
    <w:rPr>
      <w:rFonts w:ascii="Arial" w:hAnsi="Arial" w:cs="Arial"/>
      <w:color w:val="000000"/>
      <w:kern w:val="0"/>
      <w:szCs w:val="20"/>
    </w:rPr>
  </w:style>
  <w:style w:type="paragraph" w:customStyle="1" w:styleId="1029">
    <w:name w:val="二级标题"/>
    <w:basedOn w:val="1"/>
    <w:link w:val="2552"/>
    <w:qFormat/>
    <w:uiPriority w:val="0"/>
    <w:pPr>
      <w:spacing w:before="60" w:line="460" w:lineRule="exact"/>
      <w:outlineLvl w:val="1"/>
    </w:pPr>
    <w:rPr>
      <w:rFonts w:eastAsia="宋体"/>
      <w:b/>
      <w:bCs/>
      <w:szCs w:val="24"/>
    </w:rPr>
  </w:style>
  <w:style w:type="paragraph" w:customStyle="1" w:styleId="1030">
    <w:name w:val="font5"/>
    <w:basedOn w:val="1"/>
    <w:qFormat/>
    <w:uiPriority w:val="0"/>
    <w:pPr>
      <w:widowControl/>
      <w:spacing w:before="100" w:beforeAutospacing="1" w:after="100" w:afterAutospacing="1"/>
      <w:jc w:val="left"/>
    </w:pPr>
    <w:rPr>
      <w:rFonts w:hint="eastAsia" w:ascii="宋体" w:hAnsi="宋体" w:eastAsia="宋体" w:cs="Arial Unicode MS"/>
      <w:kern w:val="0"/>
      <w:sz w:val="18"/>
      <w:szCs w:val="18"/>
    </w:rPr>
  </w:style>
  <w:style w:type="paragraph" w:customStyle="1" w:styleId="1031">
    <w:name w:val="xl22"/>
    <w:basedOn w:val="1"/>
    <w:qFormat/>
    <w:uiPriority w:val="0"/>
    <w:pPr>
      <w:widowControl/>
      <w:spacing w:before="100" w:beforeAutospacing="1" w:after="100" w:afterAutospacing="1"/>
      <w:jc w:val="left"/>
    </w:pPr>
    <w:rPr>
      <w:rFonts w:eastAsia="Arial Unicode MS"/>
      <w:kern w:val="0"/>
      <w:sz w:val="24"/>
      <w:szCs w:val="24"/>
    </w:rPr>
  </w:style>
  <w:style w:type="paragraph" w:customStyle="1" w:styleId="1032">
    <w:name w:val="1 Char"/>
    <w:basedOn w:val="1"/>
    <w:qFormat/>
    <w:uiPriority w:val="0"/>
    <w:rPr>
      <w:rFonts w:eastAsia="宋体"/>
      <w:sz w:val="21"/>
    </w:rPr>
  </w:style>
  <w:style w:type="paragraph" w:customStyle="1" w:styleId="1033">
    <w:name w:val="默认段落字体 Para Char Char Char Char Char Char Char Char Char Char"/>
    <w:basedOn w:val="6"/>
    <w:qFormat/>
    <w:uiPriority w:val="0"/>
    <w:pPr>
      <w:tabs>
        <w:tab w:val="left" w:pos="360"/>
        <w:tab w:val="left" w:pos="900"/>
      </w:tabs>
      <w:snapToGrid w:val="0"/>
      <w:spacing w:line="360" w:lineRule="auto"/>
      <w:ind w:left="542" w:leftChars="-12" w:firstLine="200" w:firstLineChars="200"/>
      <w:jc w:val="left"/>
    </w:pPr>
    <w:rPr>
      <w:rFonts w:ascii="Times New Roman" w:eastAsia="黑体"/>
      <w:b w:val="0"/>
      <w:bCs w:val="0"/>
      <w:sz w:val="28"/>
      <w:szCs w:val="24"/>
    </w:rPr>
  </w:style>
  <w:style w:type="paragraph" w:customStyle="1" w:styleId="1034">
    <w:name w:val="样式 表格 + 首行缩进:  0 字符"/>
    <w:basedOn w:val="1"/>
    <w:semiHidden/>
    <w:qFormat/>
    <w:uiPriority w:val="0"/>
    <w:pPr>
      <w:snapToGrid w:val="0"/>
      <w:spacing w:before="100" w:beforeAutospacing="1" w:after="100" w:afterAutospacing="1" w:line="331" w:lineRule="auto"/>
      <w:ind w:firstLine="200" w:firstLineChars="200"/>
    </w:pPr>
    <w:rPr>
      <w:rFonts w:ascii="Arial" w:hAnsi="Arial" w:eastAsia="宋体" w:cs="宋体"/>
      <w:kern w:val="0"/>
      <w:sz w:val="24"/>
    </w:rPr>
  </w:style>
  <w:style w:type="paragraph" w:customStyle="1" w:styleId="1035">
    <w:name w:val="Char Char Char Char5"/>
    <w:basedOn w:val="1"/>
    <w:qFormat/>
    <w:uiPriority w:val="0"/>
    <w:pPr>
      <w:spacing w:line="360" w:lineRule="auto"/>
      <w:ind w:firstLine="200" w:firstLineChars="200"/>
    </w:pPr>
    <w:rPr>
      <w:rFonts w:ascii="宋体" w:hAnsi="宋体" w:eastAsia="宋体" w:cs="宋体"/>
      <w:sz w:val="24"/>
      <w:szCs w:val="24"/>
    </w:rPr>
  </w:style>
  <w:style w:type="paragraph" w:customStyle="1" w:styleId="1036">
    <w:name w:val="样式 左1"/>
    <w:basedOn w:val="1"/>
    <w:qFormat/>
    <w:uiPriority w:val="0"/>
    <w:pPr>
      <w:spacing w:line="360" w:lineRule="auto"/>
      <w:ind w:firstLine="480" w:firstLineChars="200"/>
      <w:jc w:val="left"/>
    </w:pPr>
    <w:rPr>
      <w:rFonts w:ascii="Arial" w:hAnsi="Arial" w:eastAsia="宋体"/>
      <w:sz w:val="24"/>
    </w:rPr>
  </w:style>
  <w:style w:type="paragraph" w:customStyle="1" w:styleId="1037">
    <w:name w:val="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038">
    <w:name w:val="封面标准名称"/>
    <w:qFormat/>
    <w:uiPriority w:val="0"/>
    <w:pPr>
      <w:framePr w:w="9638" w:h="6917" w:wrap="around" w:vAnchor="margin" w:hAnchor="margin" w:xAlign="center" w:y="5955" w:anchorLock="1"/>
      <w:widowControl w:val="0"/>
      <w:spacing w:line="680" w:lineRule="exact"/>
      <w:jc w:val="center"/>
    </w:pPr>
    <w:rPr>
      <w:rFonts w:ascii="黑体" w:hAnsi="Times New Roman" w:eastAsia="黑体" w:cs="Times New Roman"/>
      <w:sz w:val="52"/>
      <w:lang w:val="en-US" w:eastAsia="zh-CN" w:bidi="ar-SA"/>
    </w:rPr>
  </w:style>
  <w:style w:type="paragraph" w:customStyle="1" w:styleId="1039">
    <w:name w:val="dxj表内容"/>
    <w:basedOn w:val="1"/>
    <w:next w:val="1"/>
    <w:qFormat/>
    <w:uiPriority w:val="0"/>
    <w:pPr>
      <w:spacing w:line="280" w:lineRule="exact"/>
      <w:jc w:val="center"/>
    </w:pPr>
    <w:rPr>
      <w:rFonts w:eastAsia="宋体"/>
      <w:sz w:val="18"/>
      <w:szCs w:val="18"/>
    </w:rPr>
  </w:style>
  <w:style w:type="paragraph" w:customStyle="1" w:styleId="1040">
    <w:name w:val="CM110"/>
    <w:basedOn w:val="762"/>
    <w:next w:val="762"/>
    <w:qFormat/>
    <w:uiPriority w:val="0"/>
    <w:pPr>
      <w:spacing w:line="626" w:lineRule="atLeast"/>
    </w:pPr>
    <w:rPr>
      <w:rFonts w:ascii="á￥êé" w:eastAsia="á￥êé"/>
    </w:rPr>
  </w:style>
  <w:style w:type="paragraph" w:customStyle="1" w:styleId="1041">
    <w:name w:val="样式 表格2 + 行距: 固定值 20 磅"/>
    <w:basedOn w:val="1"/>
    <w:qFormat/>
    <w:uiPriority w:val="0"/>
    <w:pPr>
      <w:spacing w:line="400" w:lineRule="exact"/>
      <w:jc w:val="center"/>
    </w:pPr>
    <w:rPr>
      <w:rFonts w:eastAsia="宋体" w:cs="宋体"/>
      <w:sz w:val="21"/>
    </w:rPr>
  </w:style>
  <w:style w:type="paragraph" w:customStyle="1" w:styleId="1042">
    <w:name w:val="Lara"/>
    <w:basedOn w:val="3"/>
    <w:qFormat/>
    <w:uiPriority w:val="0"/>
    <w:pPr>
      <w:keepLines w:val="0"/>
      <w:pageBreakBefore w:val="0"/>
      <w:widowControl/>
      <w:spacing w:before="240" w:after="60" w:line="480" w:lineRule="atLeast"/>
      <w:ind w:left="0" w:firstLine="0"/>
      <w:jc w:val="both"/>
    </w:pPr>
    <w:rPr>
      <w:rFonts w:ascii="Arial" w:hAnsi="Arial"/>
      <w:kern w:val="24"/>
      <w:sz w:val="22"/>
      <w:u w:val="words"/>
    </w:rPr>
  </w:style>
  <w:style w:type="paragraph" w:customStyle="1" w:styleId="1043">
    <w:name w:val="正文（缩进2）"/>
    <w:basedOn w:val="1"/>
    <w:semiHidden/>
    <w:qFormat/>
    <w:uiPriority w:val="0"/>
    <w:pPr>
      <w:snapToGrid w:val="0"/>
      <w:spacing w:line="360" w:lineRule="auto"/>
      <w:ind w:firstLine="560" w:firstLineChars="200"/>
    </w:pPr>
    <w:rPr>
      <w:rFonts w:eastAsia="宋体"/>
      <w:color w:val="000000"/>
      <w:spacing w:val="-490"/>
      <w:sz w:val="24"/>
    </w:rPr>
  </w:style>
  <w:style w:type="paragraph" w:customStyle="1" w:styleId="1044">
    <w:name w:val="样式 黑体 小四 行距: 固定值 24 磅"/>
    <w:basedOn w:val="4"/>
    <w:qFormat/>
    <w:uiPriority w:val="0"/>
    <w:pPr>
      <w:tabs>
        <w:tab w:val="clear" w:pos="567"/>
      </w:tabs>
      <w:spacing w:before="0" w:after="0" w:line="360" w:lineRule="auto"/>
      <w:ind w:left="0" w:firstLine="0"/>
    </w:pPr>
    <w:rPr>
      <w:rFonts w:ascii="Times New Roman" w:hAnsi="Times New Roman" w:eastAsia="宋体"/>
      <w:b/>
      <w:bCs/>
      <w:szCs w:val="28"/>
    </w:rPr>
  </w:style>
  <w:style w:type="paragraph" w:customStyle="1" w:styleId="1045">
    <w:name w:val="正文2 Char Char Char Char Char Char Char Char Char Char Char Char1 Char Char Char Char Char Char Char Char1 Char Char Char Char Char Char"/>
    <w:basedOn w:val="1"/>
    <w:qFormat/>
    <w:uiPriority w:val="0"/>
    <w:pPr>
      <w:widowControl/>
      <w:spacing w:line="400" w:lineRule="exact"/>
      <w:jc w:val="center"/>
    </w:pPr>
    <w:rPr>
      <w:rFonts w:ascii="Verdana" w:hAnsi="Verdana" w:eastAsia="宋体"/>
      <w:kern w:val="0"/>
      <w:sz w:val="21"/>
      <w:lang w:eastAsia="en-US"/>
    </w:rPr>
  </w:style>
  <w:style w:type="paragraph" w:customStyle="1" w:styleId="1046">
    <w:name w:val="Char Char Char1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047">
    <w:name w:val="xl44"/>
    <w:basedOn w:val="1"/>
    <w:qFormat/>
    <w:uiPriority w:val="0"/>
    <w:pPr>
      <w:widowControl/>
      <w:pBdr>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048">
    <w:name w:val="1表格"/>
    <w:basedOn w:val="1"/>
    <w:qFormat/>
    <w:uiPriority w:val="0"/>
    <w:pPr>
      <w:spacing w:line="160" w:lineRule="atLeast"/>
      <w:jc w:val="center"/>
    </w:pPr>
    <w:rPr>
      <w:sz w:val="21"/>
    </w:rPr>
  </w:style>
  <w:style w:type="paragraph" w:customStyle="1" w:styleId="1049">
    <w:name w:val="正文文字1"/>
    <w:basedOn w:val="1"/>
    <w:qFormat/>
    <w:uiPriority w:val="0"/>
    <w:pPr>
      <w:spacing w:line="500" w:lineRule="exact"/>
      <w:ind w:firstLine="480" w:firstLineChars="200"/>
    </w:pPr>
    <w:rPr>
      <w:rFonts w:eastAsia="宋体"/>
      <w:sz w:val="24"/>
      <w:szCs w:val="24"/>
    </w:rPr>
  </w:style>
  <w:style w:type="paragraph" w:customStyle="1" w:styleId="1050">
    <w:name w:val="Char Char Char Char Char Char Char Char Char Char Char Char 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051">
    <w:name w:val="Char3"/>
    <w:basedOn w:val="1"/>
    <w:qFormat/>
    <w:uiPriority w:val="0"/>
    <w:pPr>
      <w:spacing w:line="360" w:lineRule="auto"/>
      <w:ind w:firstLine="200" w:firstLineChars="200"/>
    </w:pPr>
    <w:rPr>
      <w:rFonts w:ascii="Arial" w:hAnsi="Arial" w:eastAsia="宋体" w:cs="宋体"/>
      <w:sz w:val="24"/>
      <w:szCs w:val="24"/>
    </w:rPr>
  </w:style>
  <w:style w:type="paragraph" w:customStyle="1" w:styleId="1052">
    <w:name w:val="BG1"/>
    <w:basedOn w:val="1"/>
    <w:qFormat/>
    <w:uiPriority w:val="0"/>
    <w:pPr>
      <w:autoSpaceDE w:val="0"/>
      <w:autoSpaceDN w:val="0"/>
      <w:spacing w:line="400" w:lineRule="exact"/>
      <w:jc w:val="center"/>
    </w:pPr>
    <w:rPr>
      <w:rFonts w:eastAsia="宋体"/>
      <w:kern w:val="0"/>
      <w:sz w:val="24"/>
      <w:szCs w:val="24"/>
    </w:rPr>
  </w:style>
  <w:style w:type="paragraph" w:customStyle="1" w:styleId="1053">
    <w:name w:val="T表格小字"/>
    <w:basedOn w:val="34"/>
    <w:qFormat/>
    <w:uiPriority w:val="0"/>
    <w:pPr>
      <w:tabs>
        <w:tab w:val="left" w:pos="900"/>
      </w:tabs>
      <w:spacing w:after="0" w:line="200" w:lineRule="exact"/>
    </w:pPr>
    <w:rPr>
      <w:sz w:val="15"/>
      <w:szCs w:val="24"/>
      <w:lang w:val="zh-CN"/>
    </w:rPr>
  </w:style>
  <w:style w:type="paragraph" w:customStyle="1" w:styleId="1054">
    <w:name w:val="xl37"/>
    <w:basedOn w:val="1"/>
    <w:qFormat/>
    <w:uiPriority w:val="0"/>
    <w:pPr>
      <w:widowControl/>
      <w:spacing w:before="100" w:beforeAutospacing="1" w:after="100" w:afterAutospacing="1"/>
      <w:jc w:val="center"/>
    </w:pPr>
    <w:rPr>
      <w:rFonts w:ascii="宋体" w:hAnsi="宋体" w:eastAsia="宋体"/>
      <w:kern w:val="0"/>
      <w:sz w:val="24"/>
      <w:szCs w:val="24"/>
    </w:rPr>
  </w:style>
  <w:style w:type="paragraph" w:customStyle="1" w:styleId="1055">
    <w:name w:val="标题 17"/>
    <w:basedOn w:val="1"/>
    <w:qFormat/>
    <w:uiPriority w:val="0"/>
    <w:rPr>
      <w:rFonts w:eastAsia="宋体"/>
      <w:sz w:val="21"/>
      <w:szCs w:val="24"/>
    </w:rPr>
  </w:style>
  <w:style w:type="paragraph" w:customStyle="1" w:styleId="1056">
    <w:name w:val="框图字"/>
    <w:basedOn w:val="1"/>
    <w:semiHidden/>
    <w:qFormat/>
    <w:uiPriority w:val="0"/>
    <w:pPr>
      <w:widowControl/>
      <w:adjustRightInd w:val="0"/>
      <w:snapToGrid w:val="0"/>
      <w:ind w:firstLine="200" w:firstLineChars="200"/>
      <w:jc w:val="center"/>
    </w:pPr>
    <w:rPr>
      <w:rFonts w:ascii="宋体" w:eastAsia="宋体" w:cs="宋体"/>
      <w:kern w:val="0"/>
      <w:sz w:val="18"/>
      <w:szCs w:val="18"/>
    </w:rPr>
  </w:style>
  <w:style w:type="paragraph" w:customStyle="1" w:styleId="1057">
    <w:name w:val="样式 四号 首行缩进:  1.01 厘米 行距: 固定值 30 磅"/>
    <w:basedOn w:val="1"/>
    <w:qFormat/>
    <w:uiPriority w:val="0"/>
    <w:pPr>
      <w:spacing w:line="560" w:lineRule="exact"/>
      <w:ind w:firstLine="573"/>
    </w:pPr>
    <w:rPr>
      <w:rFonts w:eastAsia="宋体" w:cs="宋体"/>
      <w:sz w:val="24"/>
    </w:rPr>
  </w:style>
  <w:style w:type="paragraph" w:customStyle="1" w:styleId="1058">
    <w:name w:val="样式 标题 1 + 两端对齐 首行缩进:  0 厘米"/>
    <w:basedOn w:val="3"/>
    <w:qFormat/>
    <w:uiPriority w:val="0"/>
    <w:pPr>
      <w:pageBreakBefore w:val="0"/>
      <w:tabs>
        <w:tab w:val="clear" w:pos="1080"/>
      </w:tabs>
      <w:spacing w:before="400" w:after="400" w:line="520" w:lineRule="exact"/>
      <w:ind w:left="0" w:firstLine="0"/>
    </w:pPr>
    <w:rPr>
      <w:rFonts w:ascii="Arial" w:hAnsi="Arial" w:eastAsia="黑体" w:cs="宋体"/>
      <w:bCs/>
    </w:rPr>
  </w:style>
  <w:style w:type="paragraph" w:customStyle="1" w:styleId="1059">
    <w:name w:val="简单回函地址"/>
    <w:basedOn w:val="1"/>
    <w:qFormat/>
    <w:uiPriority w:val="0"/>
    <w:rPr>
      <w:rFonts w:eastAsia="宋体"/>
      <w:sz w:val="24"/>
    </w:rPr>
  </w:style>
  <w:style w:type="paragraph" w:customStyle="1" w:styleId="1060">
    <w:name w:val="封面标准号2"/>
    <w:basedOn w:val="1"/>
    <w:qFormat/>
    <w:uiPriority w:val="0"/>
    <w:pPr>
      <w:kinsoku w:val="0"/>
      <w:overflowPunct w:val="0"/>
      <w:autoSpaceDE w:val="0"/>
      <w:autoSpaceDN w:val="0"/>
      <w:adjustRightInd w:val="0"/>
      <w:snapToGrid w:val="0"/>
      <w:spacing w:before="357" w:line="280" w:lineRule="exact"/>
      <w:ind w:firstLine="200" w:firstLineChars="200"/>
      <w:jc w:val="right"/>
      <w:textAlignment w:val="center"/>
    </w:pPr>
    <w:rPr>
      <w:rFonts w:eastAsia="宋体"/>
      <w:kern w:val="0"/>
    </w:rPr>
  </w:style>
  <w:style w:type="paragraph" w:customStyle="1" w:styleId="1061">
    <w:name w:val="样式 (符号) 宋体 小四 行距: 固定值 24 磅"/>
    <w:basedOn w:val="1"/>
    <w:qFormat/>
    <w:uiPriority w:val="0"/>
    <w:pPr>
      <w:spacing w:line="480" w:lineRule="exact"/>
      <w:ind w:firstLine="200" w:firstLineChars="200"/>
    </w:pPr>
    <w:rPr>
      <w:rFonts w:hAnsi="宋体" w:eastAsia="宋体" w:cs="宋体"/>
      <w:sz w:val="24"/>
    </w:rPr>
  </w:style>
  <w:style w:type="paragraph" w:customStyle="1" w:styleId="1062">
    <w:name w:val="Title.4"/>
    <w:next w:val="1"/>
    <w:qFormat/>
    <w:uiPriority w:val="0"/>
    <w:pPr>
      <w:keepNext/>
      <w:keepLines/>
      <w:spacing w:before="156" w:beforeLines="50" w:line="360" w:lineRule="auto"/>
      <w:outlineLvl w:val="3"/>
    </w:pPr>
    <w:rPr>
      <w:rFonts w:ascii="Times New Roman" w:hAnsi="Times New Roman" w:eastAsia="仿宋_GB2312" w:cs="Times New Roman"/>
      <w:b/>
      <w:sz w:val="28"/>
      <w:lang w:val="en-US" w:eastAsia="zh-CN" w:bidi="ar-SA"/>
    </w:rPr>
  </w:style>
  <w:style w:type="paragraph" w:customStyle="1" w:styleId="1063">
    <w:name w:val="样式 日期 + 五号 行距: 固定值 20 磅"/>
    <w:basedOn w:val="51"/>
    <w:qFormat/>
    <w:uiPriority w:val="0"/>
    <w:pPr>
      <w:adjustRightInd w:val="0"/>
      <w:spacing w:line="400" w:lineRule="exact"/>
      <w:textAlignment w:val="baseline"/>
    </w:pPr>
    <w:rPr>
      <w:rFonts w:cs="宋体"/>
      <w:sz w:val="21"/>
    </w:rPr>
  </w:style>
  <w:style w:type="paragraph" w:customStyle="1" w:styleId="1064">
    <w:name w:val="小节"/>
    <w:basedOn w:val="1"/>
    <w:qFormat/>
    <w:uiPriority w:val="0"/>
    <w:pPr>
      <w:spacing w:line="360" w:lineRule="auto"/>
    </w:pPr>
    <w:rPr>
      <w:rFonts w:ascii="黑体" w:eastAsia="黑体"/>
    </w:rPr>
  </w:style>
  <w:style w:type="paragraph" w:customStyle="1" w:styleId="1065">
    <w:name w:val="T正文"/>
    <w:qFormat/>
    <w:uiPriority w:val="0"/>
    <w:pPr>
      <w:widowControl w:val="0"/>
      <w:adjustRightInd w:val="0"/>
      <w:snapToGrid w:val="0"/>
      <w:spacing w:before="156" w:beforeLines="50" w:after="156" w:afterLines="50"/>
      <w:ind w:firstLine="480" w:firstLineChars="200"/>
      <w:jc w:val="both"/>
    </w:pPr>
    <w:rPr>
      <w:rFonts w:ascii="Times New Roman" w:hAnsi="Times New Roman" w:eastAsia="宋体" w:cs="Times New Roman"/>
      <w:kern w:val="2"/>
      <w:sz w:val="24"/>
      <w:lang w:val="en-US" w:eastAsia="zh-CN" w:bidi="ar-SA"/>
    </w:rPr>
  </w:style>
  <w:style w:type="paragraph" w:customStyle="1" w:styleId="1066">
    <w:name w:val="样式 标题 1标题章标题 1 Char标题章 Char Char Char Char标题 1 Char Char章标题..."/>
    <w:basedOn w:val="3"/>
    <w:qFormat/>
    <w:uiPriority w:val="0"/>
    <w:pPr>
      <w:tabs>
        <w:tab w:val="left" w:pos="1200"/>
        <w:tab w:val="clear" w:pos="1080"/>
      </w:tabs>
      <w:spacing w:before="240" w:line="360" w:lineRule="auto"/>
      <w:ind w:left="1200" w:hanging="720"/>
    </w:pPr>
    <w:rPr>
      <w:rFonts w:ascii="Arial" w:hAnsi="Arial" w:cs="宋体"/>
      <w:bCs/>
      <w:kern w:val="32"/>
      <w:sz w:val="32"/>
      <w:szCs w:val="32"/>
    </w:rPr>
  </w:style>
  <w:style w:type="paragraph" w:customStyle="1" w:styleId="1067">
    <w:name w:val="样式 题注 + 左侧:  0.98 厘米 首行缩进:  2 字符"/>
    <w:basedOn w:val="22"/>
    <w:semiHidden/>
    <w:qFormat/>
    <w:uiPriority w:val="0"/>
    <w:pPr>
      <w:adjustRightInd w:val="0"/>
      <w:snapToGrid w:val="0"/>
      <w:spacing w:before="120" w:after="0" w:line="300" w:lineRule="exact"/>
      <w:ind w:firstLine="480" w:firstLineChars="200"/>
      <w:jc w:val="center"/>
    </w:pPr>
    <w:rPr>
      <w:sz w:val="24"/>
    </w:rPr>
  </w:style>
  <w:style w:type="paragraph" w:customStyle="1" w:styleId="1068">
    <w:name w:val="Zw Char Char Char Char Char Char"/>
    <w:basedOn w:val="1"/>
    <w:qFormat/>
    <w:uiPriority w:val="0"/>
    <w:rPr>
      <w:rFonts w:eastAsia="楷体_GB2312"/>
      <w:b/>
      <w:bCs/>
      <w:sz w:val="21"/>
      <w:szCs w:val="24"/>
    </w:rPr>
  </w:style>
  <w:style w:type="paragraph" w:customStyle="1" w:styleId="1069">
    <w:name w:val="标题 14"/>
    <w:basedOn w:val="1"/>
    <w:qFormat/>
    <w:uiPriority w:val="0"/>
    <w:rPr>
      <w:rFonts w:eastAsia="宋体"/>
      <w:sz w:val="21"/>
      <w:szCs w:val="24"/>
    </w:rPr>
  </w:style>
  <w:style w:type="paragraph" w:customStyle="1" w:styleId="1070">
    <w:name w:val="reader-word-layer reader-word-s1-7"/>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071">
    <w:name w:val="标题 11"/>
    <w:basedOn w:val="1"/>
    <w:qFormat/>
    <w:uiPriority w:val="0"/>
    <w:pPr>
      <w:tabs>
        <w:tab w:val="left" w:pos="1080"/>
      </w:tabs>
      <w:ind w:left="425" w:hanging="425"/>
    </w:pPr>
    <w:rPr>
      <w:rFonts w:eastAsia="宋体"/>
      <w:sz w:val="21"/>
      <w:szCs w:val="24"/>
    </w:rPr>
  </w:style>
  <w:style w:type="paragraph" w:customStyle="1" w:styleId="1072">
    <w:name w:val="Char123"/>
    <w:basedOn w:val="1"/>
    <w:qFormat/>
    <w:uiPriority w:val="0"/>
    <w:pPr>
      <w:spacing w:line="360" w:lineRule="auto"/>
      <w:ind w:firstLine="200" w:firstLineChars="200"/>
      <w:jc w:val="center"/>
    </w:pPr>
    <w:rPr>
      <w:rFonts w:ascii="宋体" w:hAnsi="宋体" w:eastAsia="宋体" w:cs="宋体"/>
      <w:sz w:val="36"/>
      <w:szCs w:val="24"/>
    </w:rPr>
  </w:style>
  <w:style w:type="paragraph" w:customStyle="1" w:styleId="1073">
    <w:name w:val="font9"/>
    <w:basedOn w:val="1"/>
    <w:qFormat/>
    <w:uiPriority w:val="0"/>
    <w:pPr>
      <w:widowControl/>
      <w:snapToGrid w:val="0"/>
      <w:spacing w:before="100" w:beforeAutospacing="1" w:after="100" w:afterAutospacing="1"/>
      <w:jc w:val="left"/>
    </w:pPr>
    <w:rPr>
      <w:rFonts w:eastAsia="Arial Unicode MS"/>
      <w:color w:val="000000"/>
      <w:kern w:val="0"/>
      <w:sz w:val="24"/>
      <w:szCs w:val="24"/>
    </w:rPr>
  </w:style>
  <w:style w:type="paragraph" w:customStyle="1" w:styleId="1074">
    <w:name w:val="主要标题001"/>
    <w:basedOn w:val="4"/>
    <w:next w:val="4"/>
    <w:qFormat/>
    <w:uiPriority w:val="0"/>
    <w:pPr>
      <w:tabs>
        <w:tab w:val="left" w:pos="840"/>
      </w:tabs>
      <w:adjustRightInd w:val="0"/>
      <w:snapToGrid w:val="0"/>
      <w:spacing w:before="0" w:after="0" w:line="600" w:lineRule="exact"/>
      <w:ind w:left="840" w:right="163" w:rightChars="163" w:hanging="840" w:firstLineChars="202"/>
      <w:jc w:val="left"/>
    </w:pPr>
    <w:rPr>
      <w:rFonts w:ascii="Times New Roman" w:hAnsi="Times New Roman" w:eastAsia="宋体"/>
      <w:sz w:val="30"/>
      <w:szCs w:val="28"/>
    </w:rPr>
  </w:style>
  <w:style w:type="paragraph" w:customStyle="1" w:styleId="1075">
    <w:name w:val="表格名称"/>
    <w:basedOn w:val="85"/>
    <w:qFormat/>
    <w:uiPriority w:val="0"/>
    <w:pPr>
      <w:keepNext w:val="0"/>
      <w:keepLines w:val="0"/>
      <w:tabs>
        <w:tab w:val="clear" w:pos="1080"/>
      </w:tabs>
      <w:spacing w:before="0" w:after="0" w:line="240" w:lineRule="auto"/>
      <w:jc w:val="center"/>
      <w:outlineLvl w:val="9"/>
    </w:pPr>
    <w:rPr>
      <w:rFonts w:ascii="Times New Roman" w:hAnsi="Times New Roman" w:eastAsia="宋体" w:cs="Arial"/>
      <w:bCs w:val="0"/>
      <w:color w:val="auto"/>
      <w:szCs w:val="32"/>
    </w:rPr>
  </w:style>
  <w:style w:type="paragraph" w:customStyle="1" w:styleId="1076">
    <w:name w:val="俺的正文样式"/>
    <w:basedOn w:val="1"/>
    <w:qFormat/>
    <w:uiPriority w:val="0"/>
    <w:pPr>
      <w:spacing w:line="500" w:lineRule="exact"/>
      <w:ind w:firstLine="560" w:firstLineChars="200"/>
    </w:pPr>
    <w:rPr>
      <w:rFonts w:ascii="宋体" w:eastAsia="宋体"/>
      <w:szCs w:val="24"/>
    </w:rPr>
  </w:style>
  <w:style w:type="paragraph" w:customStyle="1" w:styleId="1077">
    <w:name w:val="样式 样式5 + 首行缩进:  2 字符"/>
    <w:basedOn w:val="858"/>
    <w:qFormat/>
    <w:uiPriority w:val="0"/>
    <w:pPr>
      <w:ind w:firstLine="480"/>
    </w:pPr>
    <w:rPr>
      <w:szCs w:val="20"/>
    </w:rPr>
  </w:style>
  <w:style w:type="paragraph" w:customStyle="1" w:styleId="1078">
    <w:name w:val="reader-word-layer reader-word-s4-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079">
    <w:name w:val="标1"/>
    <w:basedOn w:val="1"/>
    <w:qFormat/>
    <w:uiPriority w:val="0"/>
    <w:pPr>
      <w:spacing w:before="60" w:line="460" w:lineRule="exact"/>
      <w:outlineLvl w:val="0"/>
    </w:pPr>
    <w:rPr>
      <w:rFonts w:eastAsia="宋体"/>
      <w:b/>
      <w:sz w:val="32"/>
    </w:rPr>
  </w:style>
  <w:style w:type="paragraph" w:customStyle="1" w:styleId="1080">
    <w:name w:val="Char Char Char1 Char Char Char Char Char Char Char Char Char1 Char Char Char Char"/>
    <w:basedOn w:val="1"/>
    <w:qFormat/>
    <w:uiPriority w:val="0"/>
    <w:rPr>
      <w:rFonts w:eastAsia="宋体"/>
      <w:sz w:val="21"/>
    </w:rPr>
  </w:style>
  <w:style w:type="paragraph" w:customStyle="1" w:styleId="1081">
    <w:name w:val="Char4 Char Char Char2"/>
    <w:basedOn w:val="1"/>
    <w:next w:val="1"/>
    <w:qFormat/>
    <w:uiPriority w:val="0"/>
    <w:pPr>
      <w:spacing w:line="360" w:lineRule="auto"/>
      <w:ind w:firstLine="200" w:firstLineChars="200"/>
    </w:pPr>
    <w:rPr>
      <w:rFonts w:eastAsia="宋体"/>
      <w:sz w:val="21"/>
    </w:rPr>
  </w:style>
  <w:style w:type="paragraph" w:customStyle="1" w:styleId="1082">
    <w:name w:val="佛表"/>
    <w:basedOn w:val="67"/>
    <w:qFormat/>
    <w:uiPriority w:val="0"/>
    <w:pPr>
      <w:autoSpaceDE/>
      <w:autoSpaceDN/>
      <w:adjustRightInd/>
      <w:spacing w:line="0" w:lineRule="atLeast"/>
      <w:ind w:left="0" w:firstLine="0" w:firstLineChars="0"/>
      <w:jc w:val="both"/>
      <w:textAlignment w:val="auto"/>
    </w:pPr>
    <w:rPr>
      <w:rFonts w:hAnsi="宋体"/>
      <w:kern w:val="2"/>
      <w:sz w:val="21"/>
      <w:szCs w:val="24"/>
    </w:rPr>
  </w:style>
  <w:style w:type="paragraph" w:customStyle="1" w:styleId="1083">
    <w:name w:val="Char1 Char Char Char Char Char Char Char Char Char"/>
    <w:basedOn w:val="1"/>
    <w:semiHidden/>
    <w:qFormat/>
    <w:uiPriority w:val="0"/>
    <w:pPr>
      <w:snapToGrid w:val="0"/>
      <w:spacing w:line="360" w:lineRule="auto"/>
    </w:pPr>
    <w:rPr>
      <w:rFonts w:ascii="宋体" w:hAnsi="宋体" w:eastAsia="宋体" w:cs="宋体"/>
      <w:sz w:val="24"/>
      <w:szCs w:val="24"/>
    </w:rPr>
  </w:style>
  <w:style w:type="paragraph" w:customStyle="1" w:styleId="1084">
    <w:name w:val="Char7"/>
    <w:basedOn w:val="1"/>
    <w:qFormat/>
    <w:uiPriority w:val="0"/>
    <w:pPr>
      <w:snapToGrid w:val="0"/>
      <w:spacing w:line="360" w:lineRule="auto"/>
      <w:ind w:firstLine="200" w:firstLineChars="200"/>
    </w:pPr>
    <w:rPr>
      <w:rFonts w:ascii="宋体" w:hAnsi="宋体" w:eastAsia="宋体" w:cs="宋体"/>
      <w:sz w:val="24"/>
      <w:szCs w:val="24"/>
    </w:rPr>
  </w:style>
  <w:style w:type="paragraph" w:customStyle="1" w:styleId="1085">
    <w:name w:val="xl34"/>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086">
    <w:name w:val="Char Char Char Char Char Char Char Char Char Char Char Char Char Char Char Char Char Char Char Char Char Char1"/>
    <w:basedOn w:val="1"/>
    <w:next w:val="1"/>
    <w:qFormat/>
    <w:uiPriority w:val="0"/>
    <w:pPr>
      <w:spacing w:line="360" w:lineRule="auto"/>
      <w:ind w:firstLine="200" w:firstLineChars="200"/>
    </w:pPr>
    <w:rPr>
      <w:rFonts w:ascii="宋体" w:hAnsi="宋体" w:eastAsia="宋体"/>
      <w:sz w:val="24"/>
    </w:rPr>
  </w:style>
  <w:style w:type="paragraph" w:customStyle="1" w:styleId="1087">
    <w:name w:val="图表字体"/>
    <w:basedOn w:val="1"/>
    <w:qFormat/>
    <w:uiPriority w:val="0"/>
    <w:pPr>
      <w:jc w:val="center"/>
    </w:pPr>
    <w:rPr>
      <w:rFonts w:eastAsia="宋体"/>
      <w:sz w:val="21"/>
      <w:szCs w:val="24"/>
    </w:rPr>
  </w:style>
  <w:style w:type="paragraph" w:customStyle="1" w:styleId="1088">
    <w:name w:val="Char Char1 Char Char Char"/>
    <w:basedOn w:val="1"/>
    <w:qFormat/>
    <w:uiPriority w:val="0"/>
    <w:rPr>
      <w:rFonts w:eastAsia="宋体"/>
      <w:kern w:val="0"/>
      <w:sz w:val="20"/>
    </w:rPr>
  </w:style>
  <w:style w:type="paragraph" w:customStyle="1" w:styleId="1089">
    <w:name w:val="Char Char Char Char Char Char Char Char Char Char Char Char Char Char Char Char Char Char Char Char Char1 Char"/>
    <w:basedOn w:val="1"/>
    <w:qFormat/>
    <w:uiPriority w:val="0"/>
    <w:pPr>
      <w:spacing w:line="360" w:lineRule="auto"/>
      <w:ind w:firstLine="200" w:firstLineChars="200"/>
    </w:pPr>
    <w:rPr>
      <w:rFonts w:ascii="宋体" w:hAnsi="宋体" w:eastAsia="宋体" w:cs="宋体"/>
      <w:sz w:val="24"/>
      <w:szCs w:val="24"/>
    </w:rPr>
  </w:style>
  <w:style w:type="paragraph" w:customStyle="1" w:styleId="1090">
    <w:name w:val="Char Char Char Char Char Char Char5"/>
    <w:basedOn w:val="1"/>
    <w:qFormat/>
    <w:uiPriority w:val="0"/>
  </w:style>
  <w:style w:type="paragraph" w:customStyle="1" w:styleId="1091">
    <w:name w:val="样式 样式 标题 2 + Times New Roman + 段前: 0.5 行 段后: 0.5 行1"/>
    <w:basedOn w:val="1"/>
    <w:qFormat/>
    <w:uiPriority w:val="0"/>
    <w:pPr>
      <w:keepNext/>
      <w:keepLines/>
      <w:spacing w:line="360" w:lineRule="auto"/>
      <w:outlineLvl w:val="1"/>
    </w:pPr>
    <w:rPr>
      <w:rFonts w:eastAsia="宋体" w:cs="宋体"/>
      <w:b/>
      <w:bCs/>
    </w:rPr>
  </w:style>
  <w:style w:type="paragraph" w:customStyle="1" w:styleId="1092">
    <w:name w:val="宋体1"/>
    <w:basedOn w:val="1"/>
    <w:qFormat/>
    <w:uiPriority w:val="0"/>
    <w:pPr>
      <w:tabs>
        <w:tab w:val="left" w:pos="4620"/>
        <w:tab w:val="left" w:pos="5880"/>
      </w:tabs>
      <w:spacing w:line="360" w:lineRule="auto"/>
      <w:ind w:firstLine="744" w:firstLineChars="310"/>
    </w:pPr>
    <w:rPr>
      <w:rFonts w:ascii="Arial" w:hAnsi="Arial" w:eastAsia="宋体" w:cs="宋体"/>
      <w:sz w:val="24"/>
    </w:rPr>
  </w:style>
  <w:style w:type="paragraph" w:customStyle="1" w:styleId="1093">
    <w:name w:val="12Z1H08KX"/>
    <w:basedOn w:val="1"/>
    <w:qFormat/>
    <w:uiPriority w:val="0"/>
    <w:pPr>
      <w:adjustRightInd w:val="0"/>
      <w:spacing w:after="113" w:line="340" w:lineRule="atLeast"/>
      <w:textAlignment w:val="baseline"/>
    </w:pPr>
    <w:rPr>
      <w:rFonts w:ascii="昆仑细圆" w:eastAsia="昆仑细圆"/>
      <w:spacing w:val="20"/>
      <w:kern w:val="0"/>
      <w:sz w:val="24"/>
    </w:rPr>
  </w:style>
  <w:style w:type="paragraph" w:customStyle="1" w:styleId="1094">
    <w:name w:val="样式 正文缩进 + 首行缩进:  0.42 厘米 段前: 7.8 磅 段后: 7.8 磅"/>
    <w:basedOn w:val="5"/>
    <w:qFormat/>
    <w:uiPriority w:val="0"/>
    <w:pPr>
      <w:widowControl/>
      <w:tabs>
        <w:tab w:val="left" w:pos="352"/>
      </w:tabs>
      <w:overflowPunct w:val="0"/>
      <w:autoSpaceDE w:val="0"/>
      <w:autoSpaceDN w:val="0"/>
      <w:adjustRightInd w:val="0"/>
      <w:spacing w:before="156" w:beforeLines="50" w:after="156" w:afterLines="50" w:line="360" w:lineRule="auto"/>
      <w:ind w:firstLine="200" w:firstLineChars="200"/>
      <w:textAlignment w:val="bottom"/>
    </w:pPr>
    <w:rPr>
      <w:rFonts w:ascii="Times New Roman" w:hAnsi="Times New Roman" w:cs="Times New Roman"/>
      <w:spacing w:val="0"/>
      <w:kern w:val="0"/>
    </w:rPr>
  </w:style>
  <w:style w:type="paragraph" w:customStyle="1" w:styleId="1095">
    <w:name w:val="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096">
    <w:name w:val="Char11"/>
    <w:basedOn w:val="1"/>
    <w:qFormat/>
    <w:uiPriority w:val="0"/>
    <w:pPr>
      <w:spacing w:line="360" w:lineRule="auto"/>
      <w:ind w:firstLine="200" w:firstLineChars="200"/>
    </w:pPr>
    <w:rPr>
      <w:rFonts w:ascii="宋体" w:hAnsi="宋体" w:eastAsia="宋体" w:cs="宋体"/>
      <w:sz w:val="24"/>
      <w:szCs w:val="24"/>
    </w:rPr>
  </w:style>
  <w:style w:type="paragraph" w:customStyle="1" w:styleId="1097">
    <w:name w:val="主题2"/>
    <w:basedOn w:val="1"/>
    <w:qFormat/>
    <w:uiPriority w:val="0"/>
    <w:pPr>
      <w:adjustRightInd w:val="0"/>
      <w:spacing w:line="360" w:lineRule="auto"/>
      <w:ind w:left="1134" w:right="851"/>
      <w:textAlignment w:val="baseline"/>
    </w:pPr>
    <w:rPr>
      <w:rFonts w:eastAsia="宋体"/>
      <w:kern w:val="0"/>
    </w:rPr>
  </w:style>
  <w:style w:type="paragraph" w:customStyle="1" w:styleId="1098">
    <w:name w:val="表名"/>
    <w:basedOn w:val="1"/>
    <w:link w:val="1843"/>
    <w:qFormat/>
    <w:uiPriority w:val="0"/>
    <w:pPr>
      <w:spacing w:line="360" w:lineRule="auto"/>
      <w:jc w:val="center"/>
    </w:pPr>
    <w:rPr>
      <w:rFonts w:ascii="黑体" w:hAnsi="宋体" w:eastAsia="黑体"/>
      <w:sz w:val="18"/>
    </w:rPr>
  </w:style>
  <w:style w:type="paragraph" w:customStyle="1" w:styleId="1099">
    <w:name w:val="reader-word-layer reader-word-s4-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00">
    <w:name w:val="四号正文28"/>
    <w:basedOn w:val="1"/>
    <w:semiHidden/>
    <w:qFormat/>
    <w:uiPriority w:val="0"/>
    <w:pPr>
      <w:snapToGrid w:val="0"/>
      <w:spacing w:line="560" w:lineRule="exact"/>
      <w:ind w:left="200" w:leftChars="200"/>
    </w:pPr>
    <w:rPr>
      <w:rFonts w:eastAsia="宋体"/>
      <w:bCs/>
      <w:sz w:val="24"/>
      <w:szCs w:val="28"/>
    </w:rPr>
  </w:style>
  <w:style w:type="paragraph" w:customStyle="1" w:styleId="1101">
    <w:name w:val="样式 文章正文 + 小四"/>
    <w:basedOn w:val="1"/>
    <w:link w:val="2567"/>
    <w:qFormat/>
    <w:uiPriority w:val="0"/>
    <w:pPr>
      <w:spacing w:before="156" w:beforeLines="50" w:after="156" w:afterLines="50" w:line="360" w:lineRule="auto"/>
      <w:ind w:firstLine="480" w:firstLineChars="200"/>
    </w:pPr>
    <w:rPr>
      <w:rFonts w:eastAsia="宋体"/>
      <w:sz w:val="24"/>
    </w:rPr>
  </w:style>
  <w:style w:type="paragraph" w:customStyle="1" w:styleId="1102">
    <w:name w:val="正文2"/>
    <w:basedOn w:val="1"/>
    <w:link w:val="1925"/>
    <w:qFormat/>
    <w:uiPriority w:val="0"/>
    <w:pPr>
      <w:adjustRightInd w:val="0"/>
      <w:snapToGrid w:val="0"/>
      <w:spacing w:line="440" w:lineRule="atLeast"/>
      <w:ind w:firstLine="567"/>
    </w:pPr>
    <w:rPr>
      <w:rFonts w:eastAsia="宋体"/>
      <w:sz w:val="24"/>
    </w:rPr>
  </w:style>
  <w:style w:type="paragraph" w:customStyle="1" w:styleId="1103">
    <w:name w:val="条(三级)"/>
    <w:basedOn w:val="1"/>
    <w:next w:val="1"/>
    <w:qFormat/>
    <w:uiPriority w:val="0"/>
    <w:pPr>
      <w:keepNext/>
      <w:keepLines/>
      <w:adjustRightInd w:val="0"/>
      <w:snapToGrid w:val="0"/>
      <w:spacing w:beforeLines="20" w:line="460" w:lineRule="exact"/>
      <w:jc w:val="center"/>
      <w:textAlignment w:val="baseline"/>
    </w:pPr>
    <w:rPr>
      <w:rFonts w:hAnsi="宋体" w:eastAsia="宋体"/>
      <w:spacing w:val="3"/>
      <w:kern w:val="24"/>
      <w:sz w:val="24"/>
    </w:rPr>
  </w:style>
  <w:style w:type="paragraph" w:customStyle="1" w:styleId="1104">
    <w:name w:val="样式 样式 正文文本 + 首行缩进:  2 字符 + 首行缩进:  1.5 字符"/>
    <w:basedOn w:val="1105"/>
    <w:semiHidden/>
    <w:qFormat/>
    <w:uiPriority w:val="0"/>
  </w:style>
  <w:style w:type="paragraph" w:customStyle="1" w:styleId="1105">
    <w:name w:val="样式 正文文本 + 首行缩进:  2 字符"/>
    <w:basedOn w:val="1"/>
    <w:link w:val="2373"/>
    <w:qFormat/>
    <w:uiPriority w:val="0"/>
    <w:pPr>
      <w:autoSpaceDE w:val="0"/>
      <w:autoSpaceDN w:val="0"/>
      <w:adjustRightInd w:val="0"/>
      <w:snapToGrid w:val="0"/>
      <w:spacing w:line="360" w:lineRule="auto"/>
      <w:ind w:firstLine="560" w:firstLineChars="200"/>
      <w:textAlignment w:val="bottom"/>
    </w:pPr>
    <w:rPr>
      <w:rFonts w:eastAsia="宋体"/>
      <w:kern w:val="0"/>
      <w:sz w:val="24"/>
      <w:szCs w:val="28"/>
    </w:rPr>
  </w:style>
  <w:style w:type="paragraph" w:customStyle="1" w:styleId="1106">
    <w:name w:val="修订1"/>
    <w:semiHidden/>
    <w:qFormat/>
    <w:uiPriority w:val="0"/>
    <w:rPr>
      <w:rFonts w:ascii="Times New Roman" w:hAnsi="Times New Roman" w:eastAsia="仿宋_GB2312" w:cs="Times New Roman"/>
      <w:kern w:val="2"/>
      <w:sz w:val="28"/>
      <w:lang w:val="en-US" w:eastAsia="zh-CN" w:bidi="ar-SA"/>
    </w:rPr>
  </w:style>
  <w:style w:type="paragraph" w:customStyle="1" w:styleId="1107">
    <w:name w:val="Char Char113"/>
    <w:basedOn w:val="1"/>
    <w:qFormat/>
    <w:uiPriority w:val="0"/>
    <w:pPr>
      <w:spacing w:line="360" w:lineRule="auto"/>
      <w:ind w:firstLine="200" w:firstLineChars="200"/>
    </w:pPr>
    <w:rPr>
      <w:rFonts w:eastAsia="宋体"/>
      <w:sz w:val="24"/>
    </w:rPr>
  </w:style>
  <w:style w:type="paragraph" w:customStyle="1" w:styleId="1108">
    <w:name w:val="xl49"/>
    <w:basedOn w:val="1"/>
    <w:qFormat/>
    <w:uiPriority w:val="0"/>
    <w:pPr>
      <w:widowControl/>
      <w:snapToGrid w:val="0"/>
      <w:spacing w:before="100" w:after="100"/>
      <w:jc w:val="center"/>
      <w:textAlignment w:val="center"/>
    </w:pPr>
    <w:rPr>
      <w:rFonts w:ascii="宋体" w:hAnsi="宋体" w:eastAsia="宋体"/>
      <w:kern w:val="0"/>
      <w:sz w:val="24"/>
    </w:rPr>
  </w:style>
  <w:style w:type="paragraph" w:customStyle="1" w:styleId="1109">
    <w:name w:val="reader-word-layer reader-word-s1-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10">
    <w:name w:val="reader-word-layer reader-word-s1-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11">
    <w:name w:val="reader-word-layer reader-word-s1-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12">
    <w:name w:val="图件头"/>
    <w:basedOn w:val="1"/>
    <w:qFormat/>
    <w:uiPriority w:val="0"/>
    <w:pPr>
      <w:spacing w:line="360" w:lineRule="auto"/>
    </w:pPr>
    <w:rPr>
      <w:rFonts w:ascii="Arial" w:hAnsi="Arial" w:eastAsia="宋体"/>
      <w:b/>
      <w:bCs/>
      <w:sz w:val="24"/>
      <w:szCs w:val="24"/>
    </w:rPr>
  </w:style>
  <w:style w:type="paragraph" w:customStyle="1" w:styleId="1113">
    <w:name w:val="缩进"/>
    <w:basedOn w:val="1"/>
    <w:qFormat/>
    <w:uiPriority w:val="0"/>
    <w:pPr>
      <w:autoSpaceDE w:val="0"/>
      <w:autoSpaceDN w:val="0"/>
      <w:adjustRightInd w:val="0"/>
      <w:spacing w:line="400" w:lineRule="atLeast"/>
      <w:ind w:firstLine="425"/>
      <w:textAlignment w:val="baseline"/>
    </w:pPr>
    <w:rPr>
      <w:rFonts w:eastAsia="宋体"/>
      <w:color w:val="000000"/>
      <w:sz w:val="24"/>
      <w:szCs w:val="21"/>
    </w:rPr>
  </w:style>
  <w:style w:type="paragraph" w:customStyle="1" w:styleId="1114">
    <w:name w:val="ST20_27"/>
    <w:basedOn w:val="753"/>
    <w:qFormat/>
    <w:uiPriority w:val="0"/>
    <w:pPr>
      <w:keepNext/>
      <w:spacing w:after="0"/>
    </w:pPr>
  </w:style>
  <w:style w:type="paragraph" w:customStyle="1" w:styleId="1115">
    <w:name w:val="样式 小表 + 两端对齐"/>
    <w:basedOn w:val="1116"/>
    <w:semiHidden/>
    <w:qFormat/>
    <w:uiPriority w:val="0"/>
    <w:rPr>
      <w:rFonts w:ascii="Arial" w:hAnsi="Arial" w:cs="Arial"/>
      <w:sz w:val="21"/>
    </w:rPr>
  </w:style>
  <w:style w:type="paragraph" w:customStyle="1" w:styleId="1116">
    <w:name w:val="小表"/>
    <w:basedOn w:val="1"/>
    <w:qFormat/>
    <w:uiPriority w:val="0"/>
    <w:pPr>
      <w:adjustRightInd w:val="0"/>
      <w:snapToGrid w:val="0"/>
      <w:spacing w:line="331" w:lineRule="auto"/>
      <w:jc w:val="center"/>
    </w:pPr>
    <w:rPr>
      <w:rFonts w:ascii="宋体" w:hAnsi="宋体" w:eastAsia="宋体"/>
      <w:sz w:val="15"/>
    </w:rPr>
  </w:style>
  <w:style w:type="paragraph" w:customStyle="1" w:styleId="1117">
    <w:name w:val="xl33"/>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118">
    <w:name w:val="reader-word-layer reader-word-s2-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19">
    <w:name w:val="普通(Web)1"/>
    <w:basedOn w:val="1"/>
    <w:semiHidden/>
    <w:qFormat/>
    <w:uiPriority w:val="0"/>
    <w:pPr>
      <w:widowControl/>
      <w:snapToGrid w:val="0"/>
      <w:spacing w:before="225" w:after="225" w:line="345" w:lineRule="atLeast"/>
      <w:jc w:val="left"/>
    </w:pPr>
    <w:rPr>
      <w:rFonts w:ascii="宋体" w:hAnsi="宋体" w:eastAsia="宋体" w:cs="宋体"/>
      <w:kern w:val="0"/>
      <w:sz w:val="21"/>
      <w:szCs w:val="21"/>
    </w:rPr>
  </w:style>
  <w:style w:type="paragraph" w:customStyle="1" w:styleId="1120">
    <w:name w:val="首行缩进"/>
    <w:basedOn w:val="1"/>
    <w:qFormat/>
    <w:uiPriority w:val="0"/>
    <w:pPr>
      <w:spacing w:line="460" w:lineRule="atLeast"/>
      <w:jc w:val="center"/>
    </w:pPr>
    <w:rPr>
      <w:rFonts w:eastAsia="宋体"/>
      <w:spacing w:val="16"/>
      <w:sz w:val="24"/>
      <w:szCs w:val="24"/>
    </w:rPr>
  </w:style>
  <w:style w:type="paragraph" w:customStyle="1" w:styleId="1121">
    <w:name w:val="前言、引言标题"/>
    <w:next w:val="1"/>
    <w:qFormat/>
    <w:uiPriority w:val="0"/>
    <w:pPr>
      <w:shd w:val="clear" w:color="FFFFFF" w:fill="FFFFFF"/>
      <w:spacing w:before="640" w:after="560" w:line="360" w:lineRule="auto"/>
      <w:ind w:firstLine="200" w:firstLineChars="200"/>
      <w:jc w:val="center"/>
      <w:outlineLvl w:val="0"/>
    </w:pPr>
    <w:rPr>
      <w:rFonts w:ascii="黑体" w:hAnsi="Times New Roman" w:eastAsia="黑体" w:cs="Times New Roman"/>
      <w:sz w:val="32"/>
      <w:lang w:val="en-US" w:eastAsia="zh-CN" w:bidi="ar-SA"/>
    </w:rPr>
  </w:style>
  <w:style w:type="paragraph" w:customStyle="1" w:styleId="1122">
    <w:name w:val="样式 首行缩进:  2 字符 行距: 1.5 倍行距"/>
    <w:basedOn w:val="1"/>
    <w:qFormat/>
    <w:uiPriority w:val="0"/>
    <w:pPr>
      <w:adjustRightInd w:val="0"/>
      <w:snapToGrid w:val="0"/>
      <w:spacing w:line="360" w:lineRule="auto"/>
      <w:ind w:firstLine="480" w:firstLineChars="200"/>
    </w:pPr>
    <w:rPr>
      <w:rFonts w:eastAsia="宋体" w:cs="宋体"/>
      <w:sz w:val="24"/>
    </w:rPr>
  </w:style>
  <w:style w:type="paragraph" w:customStyle="1" w:styleId="1123">
    <w:name w:val="样式 标题 2 +"/>
    <w:basedOn w:val="4"/>
    <w:qFormat/>
    <w:uiPriority w:val="0"/>
    <w:pPr>
      <w:shd w:val="clear" w:color="auto" w:fill="FFFFFF"/>
      <w:tabs>
        <w:tab w:val="left" w:pos="1260"/>
        <w:tab w:val="left" w:pos="3217"/>
      </w:tabs>
      <w:spacing w:before="0" w:after="0" w:line="360" w:lineRule="auto"/>
      <w:ind w:left="420" w:firstLine="0"/>
      <w:jc w:val="left"/>
    </w:pPr>
    <w:rPr>
      <w:rFonts w:ascii="宋体" w:hAnsi="宋体" w:eastAsia="宋体"/>
      <w:b/>
      <w:bCs/>
      <w:color w:val="000000"/>
      <w:kern w:val="0"/>
      <w:sz w:val="30"/>
      <w:szCs w:val="28"/>
    </w:rPr>
  </w:style>
  <w:style w:type="paragraph" w:customStyle="1" w:styleId="1124">
    <w:name w:val="np_bt2"/>
    <w:basedOn w:val="1"/>
    <w:qFormat/>
    <w:uiPriority w:val="0"/>
    <w:pPr>
      <w:widowControl/>
      <w:adjustRightInd w:val="0"/>
      <w:snapToGrid w:val="0"/>
      <w:spacing w:before="100" w:beforeAutospacing="1" w:after="100" w:afterAutospacing="1"/>
      <w:ind w:firstLine="200" w:firstLineChars="200"/>
      <w:jc w:val="left"/>
    </w:pPr>
    <w:rPr>
      <w:rFonts w:ascii="宋体" w:hAnsi="宋体" w:eastAsia="宋体" w:cs="宋体"/>
      <w:kern w:val="0"/>
      <w:sz w:val="24"/>
      <w:szCs w:val="24"/>
    </w:rPr>
  </w:style>
  <w:style w:type="paragraph" w:customStyle="1" w:styleId="1125">
    <w:name w:val="ST20_46"/>
    <w:basedOn w:val="752"/>
    <w:next w:val="1"/>
    <w:qFormat/>
    <w:uiPriority w:val="0"/>
    <w:pPr>
      <w:spacing w:after="240"/>
    </w:pPr>
  </w:style>
  <w:style w:type="paragraph" w:customStyle="1" w:styleId="1126">
    <w:name w:val="样式 题注 + 黑体"/>
    <w:basedOn w:val="22"/>
    <w:semiHidden/>
    <w:qFormat/>
    <w:uiPriority w:val="0"/>
    <w:pPr>
      <w:adjustRightInd w:val="0"/>
      <w:snapToGrid w:val="0"/>
      <w:spacing w:before="0" w:after="0" w:line="360" w:lineRule="auto"/>
      <w:jc w:val="left"/>
    </w:pPr>
    <w:rPr>
      <w:rFonts w:ascii="黑体" w:hAnsi="黑体" w:cs="Arial"/>
      <w:kern w:val="0"/>
      <w:sz w:val="21"/>
    </w:rPr>
  </w:style>
  <w:style w:type="paragraph" w:customStyle="1" w:styleId="1127">
    <w:name w:val="样式02"/>
    <w:basedOn w:val="58"/>
    <w:qFormat/>
    <w:uiPriority w:val="0"/>
    <w:pPr>
      <w:pBdr>
        <w:bottom w:val="single" w:color="auto" w:sz="4" w:space="1"/>
      </w:pBdr>
    </w:pPr>
    <w:rPr>
      <w:rFonts w:ascii="宋体" w:hAnsi="宋体" w:eastAsia="宋体" w:cs="宋体"/>
      <w:color w:val="0000FF"/>
      <w:szCs w:val="24"/>
    </w:rPr>
  </w:style>
  <w:style w:type="paragraph" w:customStyle="1" w:styleId="1128">
    <w:name w:val="ST20_47"/>
    <w:basedOn w:val="753"/>
    <w:qFormat/>
    <w:uiPriority w:val="0"/>
    <w:pPr>
      <w:ind w:left="360"/>
    </w:pPr>
  </w:style>
  <w:style w:type="paragraph" w:customStyle="1" w:styleId="1129">
    <w:name w:val="样式 标题 2 + Times New Roman"/>
    <w:basedOn w:val="4"/>
    <w:qFormat/>
    <w:uiPriority w:val="0"/>
    <w:pPr>
      <w:adjustRightInd w:val="0"/>
      <w:spacing w:before="156" w:beforeLines="50" w:after="156" w:afterLines="50" w:line="360" w:lineRule="auto"/>
      <w:textAlignment w:val="baseline"/>
    </w:pPr>
    <w:rPr>
      <w:rFonts w:ascii="Times New Roman" w:hAnsi="Times New Roman" w:eastAsia="宋体"/>
      <w:b/>
      <w:bCs/>
      <w:szCs w:val="32"/>
    </w:rPr>
  </w:style>
  <w:style w:type="paragraph" w:customStyle="1" w:styleId="1130">
    <w:name w:val="2"/>
    <w:basedOn w:val="1"/>
    <w:next w:val="46"/>
    <w:qFormat/>
    <w:uiPriority w:val="0"/>
    <w:rPr>
      <w:rFonts w:ascii="宋体" w:hAnsi="Courier New" w:eastAsia="宋体"/>
      <w:sz w:val="21"/>
    </w:rPr>
  </w:style>
  <w:style w:type="paragraph" w:customStyle="1" w:styleId="1131">
    <w:name w:val="样式 标题 2h2l22nd levelTitre22Header 2H2sect 1.2DO NOT USE..."/>
    <w:basedOn w:val="4"/>
    <w:semiHidden/>
    <w:qFormat/>
    <w:uiPriority w:val="0"/>
    <w:pPr>
      <w:keepLines w:val="0"/>
      <w:widowControl/>
      <w:tabs>
        <w:tab w:val="left" w:pos="576"/>
        <w:tab w:val="left" w:pos="851"/>
        <w:tab w:val="clear" w:pos="567"/>
      </w:tabs>
      <w:adjustRightInd w:val="0"/>
      <w:snapToGrid w:val="0"/>
      <w:spacing w:before="0" w:after="0" w:line="360" w:lineRule="auto"/>
      <w:ind w:left="576" w:hanging="576"/>
      <w:jc w:val="left"/>
    </w:pPr>
    <w:rPr>
      <w:rFonts w:ascii="Arial" w:cs="宋体"/>
      <w:b/>
      <w:bCs/>
      <w:kern w:val="0"/>
      <w:sz w:val="32"/>
    </w:rPr>
  </w:style>
  <w:style w:type="paragraph" w:customStyle="1" w:styleId="1132">
    <w:name w:val="a封面－项目名称"/>
    <w:basedOn w:val="1"/>
    <w:next w:val="1"/>
    <w:qFormat/>
    <w:uiPriority w:val="0"/>
    <w:pPr>
      <w:spacing w:before="156" w:beforeLines="50" w:after="156" w:afterLines="50" w:line="360" w:lineRule="auto"/>
      <w:jc w:val="center"/>
    </w:pPr>
    <w:rPr>
      <w:rFonts w:eastAsia="黑体"/>
      <w:b/>
      <w:sz w:val="48"/>
      <w:szCs w:val="24"/>
    </w:rPr>
  </w:style>
  <w:style w:type="paragraph" w:customStyle="1" w:styleId="1133">
    <w:name w:val="样式 (西文) 宋体 居中 首行缩进:  0.85 厘米 行距: 多倍行距 1.38 字行"/>
    <w:basedOn w:val="1"/>
    <w:semiHidden/>
    <w:qFormat/>
    <w:uiPriority w:val="0"/>
    <w:pPr>
      <w:snapToGrid w:val="0"/>
      <w:spacing w:line="331" w:lineRule="auto"/>
      <w:jc w:val="center"/>
    </w:pPr>
    <w:rPr>
      <w:rFonts w:ascii="宋体" w:hAnsi="宋体" w:eastAsia="宋体" w:cs="宋体"/>
      <w:kern w:val="0"/>
      <w:sz w:val="21"/>
    </w:rPr>
  </w:style>
  <w:style w:type="paragraph" w:customStyle="1" w:styleId="1134">
    <w:name w:val="4标"/>
    <w:basedOn w:val="1"/>
    <w:qFormat/>
    <w:uiPriority w:val="0"/>
    <w:pPr>
      <w:keepNext/>
      <w:keepLines/>
      <w:spacing w:before="156" w:beforeLines="50" w:after="156" w:afterLines="50"/>
      <w:outlineLvl w:val="3"/>
    </w:pPr>
    <w:rPr>
      <w:rFonts w:eastAsia="黑体" w:cs="宋体"/>
      <w:sz w:val="21"/>
    </w:rPr>
  </w:style>
  <w:style w:type="paragraph" w:customStyle="1" w:styleId="1135">
    <w:name w:val="xl3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kern w:val="0"/>
      <w:sz w:val="24"/>
      <w:szCs w:val="24"/>
    </w:rPr>
  </w:style>
  <w:style w:type="paragraph" w:customStyle="1" w:styleId="1136">
    <w:name w:val="Byline"/>
    <w:basedOn w:val="34"/>
    <w:qFormat/>
    <w:uiPriority w:val="0"/>
    <w:pPr>
      <w:widowControl/>
      <w:spacing w:after="0"/>
    </w:pPr>
    <w:rPr>
      <w:rFonts w:ascii="Arial" w:hAnsi="Arial" w:eastAsia="宋体"/>
      <w:kern w:val="0"/>
      <w:sz w:val="24"/>
    </w:rPr>
  </w:style>
  <w:style w:type="paragraph" w:customStyle="1" w:styleId="1137">
    <w:name w:val="段落样式"/>
    <w:basedOn w:val="1"/>
    <w:link w:val="2048"/>
    <w:qFormat/>
    <w:uiPriority w:val="0"/>
    <w:pPr>
      <w:keepNext/>
      <w:suppressLineNumbers/>
      <w:suppressAutoHyphens/>
      <w:adjustRightInd w:val="0"/>
      <w:snapToGrid w:val="0"/>
      <w:spacing w:line="480" w:lineRule="atLeast"/>
      <w:ind w:firstLine="482"/>
      <w:textAlignment w:val="baseline"/>
    </w:pPr>
    <w:rPr>
      <w:rFonts w:eastAsia="宋体"/>
      <w:w w:val="90"/>
      <w:kern w:val="0"/>
      <w:sz w:val="24"/>
      <w:szCs w:val="28"/>
    </w:rPr>
  </w:style>
  <w:style w:type="paragraph" w:customStyle="1" w:styleId="1138">
    <w:name w:val="样式 首行缩进"/>
    <w:basedOn w:val="1"/>
    <w:qFormat/>
    <w:uiPriority w:val="0"/>
    <w:pPr>
      <w:spacing w:before="60" w:after="60" w:line="360" w:lineRule="auto"/>
      <w:ind w:firstLine="480" w:firstLineChars="200"/>
    </w:pPr>
    <w:rPr>
      <w:rFonts w:eastAsia="宋体" w:cs="宋体"/>
      <w:sz w:val="24"/>
    </w:rPr>
  </w:style>
  <w:style w:type="paragraph" w:customStyle="1" w:styleId="1139">
    <w:name w:val="reader-word-layer reader-word-s4-27"/>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40">
    <w:name w:val="reader-word-layer reader-word-s2-1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41">
    <w:name w:val="Char Char Char Char Char Char Char Char Char1"/>
    <w:basedOn w:val="1"/>
    <w:qFormat/>
    <w:uiPriority w:val="0"/>
    <w:pPr>
      <w:widowControl/>
      <w:spacing w:after="160" w:line="240" w:lineRule="exact"/>
      <w:jc w:val="left"/>
    </w:pPr>
    <w:rPr>
      <w:rFonts w:ascii="Verdana" w:hAnsi="Verdana"/>
      <w:kern w:val="0"/>
      <w:sz w:val="21"/>
      <w:lang w:eastAsia="en-US"/>
    </w:rPr>
  </w:style>
  <w:style w:type="paragraph" w:customStyle="1" w:styleId="1142">
    <w:name w:val="样式 标题二 Char + 褐色 首行缩进:  2 字符 段前: 1.3 行 段后: 1 行"/>
    <w:basedOn w:val="1"/>
    <w:qFormat/>
    <w:uiPriority w:val="0"/>
    <w:pPr>
      <w:widowControl/>
      <w:adjustRightInd w:val="0"/>
      <w:spacing w:before="405" w:beforeLines="130" w:after="312" w:afterLines="100" w:line="420" w:lineRule="auto"/>
      <w:ind w:firstLine="200" w:firstLineChars="200"/>
      <w:textAlignment w:val="baseline"/>
      <w:outlineLvl w:val="2"/>
    </w:pPr>
    <w:rPr>
      <w:rFonts w:ascii="宋体" w:hAnsi="宋体" w:eastAsia="黑体" w:cs="宋体"/>
      <w:b/>
      <w:bCs/>
      <w:kern w:val="0"/>
      <w:sz w:val="24"/>
      <w:szCs w:val="24"/>
      <w:u w:color="000000"/>
    </w:rPr>
  </w:style>
  <w:style w:type="paragraph" w:customStyle="1" w:styleId="1143">
    <w:name w:val="默认段落字体 Para Char Char Char1 Char Char Char Char"/>
    <w:basedOn w:val="1"/>
    <w:qFormat/>
    <w:uiPriority w:val="0"/>
    <w:rPr>
      <w:rFonts w:eastAsia="宋体"/>
      <w:sz w:val="24"/>
      <w:szCs w:val="24"/>
    </w:rPr>
  </w:style>
  <w:style w:type="paragraph" w:customStyle="1" w:styleId="1144">
    <w:name w:val="列出段落1"/>
    <w:basedOn w:val="1"/>
    <w:qFormat/>
    <w:uiPriority w:val="0"/>
    <w:pPr>
      <w:ind w:firstLine="420" w:firstLineChars="200"/>
    </w:pPr>
    <w:rPr>
      <w:rFonts w:ascii="Calibri" w:hAnsi="Calibri" w:eastAsia="宋体"/>
      <w:sz w:val="21"/>
      <w:szCs w:val="22"/>
    </w:rPr>
  </w:style>
  <w:style w:type="paragraph" w:customStyle="1" w:styleId="1145">
    <w:name w:val="样式 表格 + 首行缩进:  0.85 厘米1"/>
    <w:basedOn w:val="1"/>
    <w:semiHidden/>
    <w:qFormat/>
    <w:uiPriority w:val="0"/>
    <w:pPr>
      <w:tabs>
        <w:tab w:val="center" w:pos="4422"/>
      </w:tabs>
      <w:adjustRightInd w:val="0"/>
      <w:snapToGrid w:val="0"/>
      <w:spacing w:before="100" w:beforeAutospacing="1" w:after="100" w:afterAutospacing="1" w:line="300" w:lineRule="auto"/>
      <w:jc w:val="center"/>
    </w:pPr>
    <w:rPr>
      <w:rFonts w:ascii="Arial" w:hAnsi="Arial" w:eastAsia="宋体" w:cs="宋体"/>
      <w:kern w:val="0"/>
      <w:sz w:val="21"/>
      <w:szCs w:val="21"/>
    </w:rPr>
  </w:style>
  <w:style w:type="paragraph" w:customStyle="1" w:styleId="1146">
    <w:name w:val="ST20_24"/>
    <w:basedOn w:val="753"/>
    <w:qFormat/>
    <w:uiPriority w:val="0"/>
    <w:pPr>
      <w:keepLines/>
      <w:ind w:left="360" w:hanging="360"/>
    </w:pPr>
  </w:style>
  <w:style w:type="paragraph" w:customStyle="1" w:styleId="1147">
    <w:name w:val="reader-word-layer reader-word-s2-4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148">
    <w:name w:val="lux小标题"/>
    <w:basedOn w:val="1"/>
    <w:qFormat/>
    <w:uiPriority w:val="0"/>
    <w:pPr>
      <w:spacing w:before="40" w:after="40" w:line="360" w:lineRule="auto"/>
      <w:jc w:val="left"/>
    </w:pPr>
    <w:rPr>
      <w:rFonts w:ascii="宋体" w:hAnsi="宋体" w:eastAsia="宋体" w:cs="宋体"/>
      <w:b/>
      <w:bCs/>
      <w:sz w:val="24"/>
    </w:rPr>
  </w:style>
  <w:style w:type="paragraph" w:customStyle="1" w:styleId="1149">
    <w:name w:val="ST20_15"/>
    <w:basedOn w:val="1150"/>
    <w:qFormat/>
    <w:uiPriority w:val="0"/>
    <w:pPr>
      <w:tabs>
        <w:tab w:val="left" w:pos="187"/>
      </w:tabs>
      <w:spacing w:after="120"/>
    </w:pPr>
  </w:style>
  <w:style w:type="paragraph" w:customStyle="1" w:styleId="1150">
    <w:name w:val="ST20_4"/>
    <w:basedOn w:val="1"/>
    <w:qFormat/>
    <w:uiPriority w:val="0"/>
    <w:pPr>
      <w:tabs>
        <w:tab w:val="left" w:pos="187"/>
      </w:tabs>
      <w:autoSpaceDE w:val="0"/>
      <w:autoSpaceDN w:val="0"/>
      <w:adjustRightInd w:val="0"/>
      <w:spacing w:line="220" w:lineRule="exact"/>
      <w:ind w:left="187" w:hanging="187"/>
      <w:jc w:val="left"/>
      <w:textAlignment w:val="baseline"/>
    </w:pPr>
    <w:rPr>
      <w:rFonts w:ascii="宋体" w:hAnsi="Tms Rmn" w:eastAsia="宋体"/>
      <w:kern w:val="0"/>
      <w:sz w:val="18"/>
      <w:szCs w:val="18"/>
    </w:rPr>
  </w:style>
  <w:style w:type="paragraph" w:customStyle="1" w:styleId="1151">
    <w:name w:val="样式23"/>
    <w:basedOn w:val="1"/>
    <w:link w:val="2166"/>
    <w:qFormat/>
    <w:uiPriority w:val="0"/>
    <w:pPr>
      <w:spacing w:line="360" w:lineRule="auto"/>
      <w:ind w:firstLine="480" w:firstLineChars="200"/>
    </w:pPr>
    <w:rPr>
      <w:rFonts w:eastAsia="宋体"/>
      <w:sz w:val="24"/>
      <w:szCs w:val="24"/>
      <w:lang w:val="zh-CN"/>
    </w:rPr>
  </w:style>
  <w:style w:type="paragraph" w:customStyle="1" w:styleId="1152">
    <w:name w:val="xl6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rPr>
  </w:style>
  <w:style w:type="paragraph" w:customStyle="1" w:styleId="1153">
    <w:name w:val="xl39"/>
    <w:basedOn w:val="1"/>
    <w:qFormat/>
    <w:uiPriority w:val="0"/>
    <w:pPr>
      <w:widowControl/>
      <w:spacing w:before="100" w:beforeAutospacing="1" w:after="100" w:afterAutospacing="1"/>
      <w:jc w:val="center"/>
    </w:pPr>
    <w:rPr>
      <w:rFonts w:ascii="宋体" w:hAnsi="宋体" w:eastAsia="宋体"/>
      <w:kern w:val="0"/>
      <w:sz w:val="20"/>
    </w:rPr>
  </w:style>
  <w:style w:type="paragraph" w:customStyle="1" w:styleId="1154">
    <w:name w:val="样式 首行缩进:  2 字符2"/>
    <w:basedOn w:val="1"/>
    <w:semiHidden/>
    <w:qFormat/>
    <w:uiPriority w:val="0"/>
    <w:pPr>
      <w:adjustRightInd w:val="0"/>
      <w:snapToGrid w:val="0"/>
      <w:spacing w:line="360" w:lineRule="auto"/>
      <w:ind w:firstLine="480" w:firstLineChars="200"/>
      <w:textAlignment w:val="baseline"/>
    </w:pPr>
    <w:rPr>
      <w:rFonts w:ascii="仿宋_GB2312" w:eastAsia="幼圆" w:cs="仿宋_GB2312"/>
      <w:kern w:val="0"/>
      <w:sz w:val="24"/>
      <w:szCs w:val="24"/>
    </w:rPr>
  </w:style>
  <w:style w:type="paragraph" w:customStyle="1" w:styleId="1155">
    <w:name w:val="6"/>
    <w:basedOn w:val="1"/>
    <w:next w:val="71"/>
    <w:qFormat/>
    <w:uiPriority w:val="0"/>
    <w:pPr>
      <w:snapToGrid w:val="0"/>
      <w:spacing w:after="120"/>
      <w:ind w:left="420" w:leftChars="200"/>
    </w:pPr>
    <w:rPr>
      <w:rFonts w:eastAsia="宋体"/>
      <w:sz w:val="16"/>
      <w:szCs w:val="16"/>
    </w:rPr>
  </w:style>
  <w:style w:type="paragraph" w:customStyle="1" w:styleId="1156">
    <w:name w:val="Char Char Char Char Char Char Char Char Char4"/>
    <w:basedOn w:val="1"/>
    <w:link w:val="1817"/>
    <w:qFormat/>
    <w:uiPriority w:val="0"/>
    <w:pPr>
      <w:widowControl/>
      <w:spacing w:after="160" w:line="240" w:lineRule="exact"/>
      <w:jc w:val="left"/>
    </w:pPr>
    <w:rPr>
      <w:rFonts w:ascii="Verdana" w:hAnsi="Verdana"/>
      <w:kern w:val="0"/>
      <w:sz w:val="21"/>
      <w:lang w:eastAsia="en-US"/>
    </w:rPr>
  </w:style>
  <w:style w:type="paragraph" w:customStyle="1" w:styleId="1157">
    <w:name w:val="表格内文字"/>
    <w:basedOn w:val="1"/>
    <w:qFormat/>
    <w:uiPriority w:val="0"/>
    <w:pPr>
      <w:jc w:val="center"/>
    </w:pPr>
    <w:rPr>
      <w:rFonts w:eastAsia="宋体"/>
      <w:sz w:val="21"/>
      <w:szCs w:val="24"/>
    </w:rPr>
  </w:style>
  <w:style w:type="paragraph" w:customStyle="1" w:styleId="1158">
    <w:name w:val="zw1"/>
    <w:basedOn w:val="1"/>
    <w:qFormat/>
    <w:uiPriority w:val="0"/>
    <w:pPr>
      <w:ind w:firstLine="480"/>
    </w:pPr>
    <w:rPr>
      <w:rFonts w:ascii="宋体" w:hAnsi="宋体" w:eastAsia="宋体"/>
      <w:sz w:val="21"/>
      <w:szCs w:val="28"/>
    </w:rPr>
  </w:style>
  <w:style w:type="paragraph" w:customStyle="1" w:styleId="1159">
    <w:name w:val="样式 表 + 首行缩进:  2 字符1"/>
    <w:basedOn w:val="646"/>
    <w:semiHidden/>
    <w:qFormat/>
    <w:uiPriority w:val="0"/>
    <w:pPr>
      <w:keepNext w:val="0"/>
      <w:keepLines w:val="0"/>
      <w:tabs>
        <w:tab w:val="clear" w:pos="1080"/>
      </w:tabs>
      <w:adjustRightInd w:val="0"/>
      <w:snapToGrid w:val="0"/>
      <w:spacing w:before="0" w:after="0" w:line="331" w:lineRule="auto"/>
      <w:jc w:val="center"/>
      <w:outlineLvl w:val="9"/>
    </w:pPr>
    <w:rPr>
      <w:rFonts w:ascii="宋体" w:hAnsi="宋体" w:cs="宋体"/>
      <w:b w:val="0"/>
      <w:bCs w:val="0"/>
      <w:kern w:val="0"/>
      <w:sz w:val="21"/>
      <w:szCs w:val="21"/>
    </w:rPr>
  </w:style>
  <w:style w:type="paragraph" w:customStyle="1" w:styleId="1160">
    <w:name w:val="样式 标题 1章节标题H1章标题 11标题 1标题 1 Char章标题 1 Char标题yjm1章标题(有序号)...1"/>
    <w:basedOn w:val="3"/>
    <w:semiHidden/>
    <w:qFormat/>
    <w:uiPriority w:val="0"/>
    <w:pPr>
      <w:keepLines w:val="0"/>
      <w:widowControl/>
      <w:adjustRightInd w:val="0"/>
      <w:snapToGrid w:val="0"/>
      <w:spacing w:before="0" w:after="0" w:line="360" w:lineRule="auto"/>
      <w:ind w:firstLine="0"/>
      <w:textAlignment w:val="center"/>
    </w:pPr>
    <w:rPr>
      <w:rFonts w:ascii="Arial" w:hAnsi="Arial" w:eastAsia="华文新魏" w:cs="宋体"/>
      <w:bCs/>
      <w:kern w:val="0"/>
      <w:sz w:val="44"/>
    </w:rPr>
  </w:style>
  <w:style w:type="paragraph" w:customStyle="1" w:styleId="1161">
    <w:name w:val="文字缩"/>
    <w:basedOn w:val="1"/>
    <w:qFormat/>
    <w:uiPriority w:val="0"/>
    <w:pPr>
      <w:adjustRightInd w:val="0"/>
      <w:snapToGrid w:val="0"/>
      <w:spacing w:line="480" w:lineRule="atLeast"/>
      <w:ind w:firstLine="200" w:firstLineChars="200"/>
    </w:pPr>
    <w:rPr>
      <w:rFonts w:ascii="宋体" w:eastAsia="宋体"/>
      <w:spacing w:val="6"/>
      <w:kern w:val="0"/>
    </w:rPr>
  </w:style>
  <w:style w:type="paragraph" w:customStyle="1" w:styleId="1162">
    <w:name w:val="列出段落12"/>
    <w:basedOn w:val="1"/>
    <w:qFormat/>
    <w:uiPriority w:val="0"/>
    <w:pPr>
      <w:ind w:firstLine="420" w:firstLineChars="200"/>
    </w:pPr>
    <w:rPr>
      <w:rFonts w:ascii="Calibri" w:hAnsi="Calibri" w:eastAsia="宋体"/>
      <w:sz w:val="21"/>
      <w:szCs w:val="22"/>
    </w:rPr>
  </w:style>
  <w:style w:type="paragraph" w:customStyle="1" w:styleId="1163">
    <w:name w:val="样式 标题 3标题 3 Char + 行距: 1.5 倍行距1"/>
    <w:basedOn w:val="6"/>
    <w:qFormat/>
    <w:uiPriority w:val="0"/>
    <w:pPr>
      <w:keepLines w:val="0"/>
      <w:spacing w:before="0" w:after="0" w:line="360" w:lineRule="auto"/>
    </w:pPr>
    <w:rPr>
      <w:rFonts w:ascii="Times New Roman" w:hAnsi="宋体" w:eastAsia="宋体"/>
      <w:bCs w:val="0"/>
    </w:rPr>
  </w:style>
  <w:style w:type="paragraph" w:customStyle="1" w:styleId="1164">
    <w:name w:val="xl32"/>
    <w:basedOn w:val="1"/>
    <w:qFormat/>
    <w:uiPriority w:val="0"/>
    <w:pPr>
      <w:widowControl/>
      <w:pBdr>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165">
    <w:name w:val="Char22"/>
    <w:basedOn w:val="1"/>
    <w:qFormat/>
    <w:uiPriority w:val="0"/>
    <w:pPr>
      <w:spacing w:line="360" w:lineRule="auto"/>
      <w:ind w:firstLine="200" w:firstLineChars="200"/>
    </w:pPr>
    <w:rPr>
      <w:rFonts w:ascii="宋体" w:hAnsi="宋体" w:eastAsia="宋体" w:cs="宋体"/>
      <w:sz w:val="24"/>
      <w:szCs w:val="24"/>
    </w:rPr>
  </w:style>
  <w:style w:type="paragraph" w:customStyle="1" w:styleId="1166">
    <w:name w:val="font14"/>
    <w:basedOn w:val="1"/>
    <w:qFormat/>
    <w:uiPriority w:val="0"/>
    <w:pPr>
      <w:widowControl/>
      <w:spacing w:before="100" w:beforeAutospacing="1" w:after="100" w:afterAutospacing="1" w:line="402" w:lineRule="atLeast"/>
      <w:jc w:val="left"/>
    </w:pPr>
    <w:rPr>
      <w:rFonts w:ascii="宋体" w:hAnsi="宋体" w:eastAsia="宋体" w:cs="宋体"/>
      <w:kern w:val="0"/>
      <w:sz w:val="23"/>
      <w:szCs w:val="23"/>
    </w:rPr>
  </w:style>
  <w:style w:type="paragraph" w:customStyle="1" w:styleId="1167">
    <w:name w:val="样式 标题 3条标题1.1.1Heading 3 - oldBold Headbhh3H3l3CT3rd le..."/>
    <w:basedOn w:val="6"/>
    <w:semiHidden/>
    <w:qFormat/>
    <w:uiPriority w:val="0"/>
    <w:pPr>
      <w:keepLines w:val="0"/>
      <w:widowControl/>
      <w:tabs>
        <w:tab w:val="left" w:pos="142"/>
        <w:tab w:val="left" w:pos="284"/>
        <w:tab w:val="left" w:pos="709"/>
        <w:tab w:val="left" w:pos="1134"/>
      </w:tabs>
      <w:adjustRightInd w:val="0"/>
      <w:snapToGrid w:val="0"/>
      <w:spacing w:before="0" w:after="0" w:line="500" w:lineRule="exact"/>
      <w:ind w:left="720" w:hanging="720" w:hangingChars="540"/>
      <w:jc w:val="left"/>
    </w:pPr>
    <w:rPr>
      <w:rFonts w:ascii="Arial" w:hAnsi="Arial" w:eastAsia="黑体" w:cs="宋体"/>
      <w:kern w:val="0"/>
      <w:sz w:val="30"/>
    </w:rPr>
  </w:style>
  <w:style w:type="paragraph" w:customStyle="1" w:styleId="1168">
    <w:name w:val="样式 正文文本缩进 + 小四 黑色 首行缩进:  2 字符 行距: 1.5 倍行距"/>
    <w:basedOn w:val="35"/>
    <w:semiHidden/>
    <w:qFormat/>
    <w:uiPriority w:val="0"/>
    <w:pPr>
      <w:snapToGrid w:val="0"/>
      <w:spacing w:line="360" w:lineRule="auto"/>
      <w:ind w:firstLine="560" w:firstLineChars="200"/>
    </w:pPr>
    <w:rPr>
      <w:rFonts w:ascii="宋体" w:hAnsi="宋体"/>
      <w:color w:val="000000"/>
      <w:sz w:val="24"/>
      <w:szCs w:val="28"/>
    </w:rPr>
  </w:style>
  <w:style w:type="paragraph" w:customStyle="1" w:styleId="1169">
    <w:name w:val="样式 行距: 1.5 倍行距"/>
    <w:basedOn w:val="1"/>
    <w:qFormat/>
    <w:uiPriority w:val="0"/>
    <w:pPr>
      <w:ind w:firstLine="560"/>
    </w:pPr>
    <w:rPr>
      <w:rFonts w:eastAsia="Times New Roman" w:cs="宋体"/>
    </w:rPr>
  </w:style>
  <w:style w:type="paragraph" w:customStyle="1" w:styleId="1170">
    <w:name w:val="ST20_10"/>
    <w:basedOn w:val="1171"/>
    <w:qFormat/>
    <w:uiPriority w:val="0"/>
  </w:style>
  <w:style w:type="paragraph" w:customStyle="1" w:styleId="1171">
    <w:name w:val="ST20_11"/>
    <w:basedOn w:val="753"/>
    <w:qFormat/>
    <w:uiPriority w:val="0"/>
    <w:pPr>
      <w:keepLines/>
      <w:spacing w:after="0"/>
      <w:ind w:right="4320"/>
    </w:pPr>
  </w:style>
  <w:style w:type="paragraph" w:customStyle="1" w:styleId="1172">
    <w:name w:val="样式 标题 1章节标题H1章标题 11标题 1标题 1 Char章标题 1 Char标题yjm1章标题(有序号)..."/>
    <w:basedOn w:val="3"/>
    <w:semiHidden/>
    <w:qFormat/>
    <w:uiPriority w:val="0"/>
    <w:pPr>
      <w:keepLines w:val="0"/>
      <w:widowControl/>
      <w:adjustRightInd w:val="0"/>
      <w:snapToGrid w:val="0"/>
      <w:spacing w:before="0" w:after="0" w:line="360" w:lineRule="auto"/>
      <w:ind w:firstLine="0"/>
      <w:textAlignment w:val="center"/>
    </w:pPr>
    <w:rPr>
      <w:rFonts w:ascii="Arial" w:hAnsi="Arial" w:eastAsia="华文新魏" w:cs="宋体"/>
      <w:bCs/>
      <w:kern w:val="0"/>
      <w:sz w:val="44"/>
    </w:rPr>
  </w:style>
  <w:style w:type="paragraph" w:customStyle="1" w:styleId="1173">
    <w:name w:val="Char Char1 Char Char Char Char"/>
    <w:basedOn w:val="1"/>
    <w:qFormat/>
    <w:uiPriority w:val="0"/>
    <w:rPr>
      <w:rFonts w:eastAsia="宋体"/>
      <w:sz w:val="21"/>
    </w:rPr>
  </w:style>
  <w:style w:type="paragraph" w:customStyle="1" w:styleId="1174">
    <w:name w:val="main_zs"/>
    <w:basedOn w:val="1"/>
    <w:qFormat/>
    <w:uiPriority w:val="0"/>
    <w:pPr>
      <w:widowControl/>
      <w:spacing w:before="100" w:beforeAutospacing="1" w:after="100" w:afterAutospacing="1" w:line="420" w:lineRule="atLeast"/>
      <w:jc w:val="left"/>
    </w:pPr>
    <w:rPr>
      <w:rFonts w:ascii="Arial" w:hAnsi="Arial" w:eastAsia="宋体" w:cs="Arial"/>
      <w:color w:val="003300"/>
      <w:kern w:val="0"/>
      <w:sz w:val="21"/>
      <w:szCs w:val="21"/>
    </w:rPr>
  </w:style>
  <w:style w:type="paragraph" w:customStyle="1" w:styleId="1175">
    <w:name w:val="样式 样式 左 + 右侧:  0.85 字符"/>
    <w:basedOn w:val="1"/>
    <w:qFormat/>
    <w:uiPriority w:val="0"/>
    <w:pPr>
      <w:spacing w:line="360" w:lineRule="auto"/>
      <w:ind w:right="178" w:firstLine="200" w:firstLineChars="200"/>
      <w:jc w:val="left"/>
    </w:pPr>
    <w:rPr>
      <w:rFonts w:eastAsia="宋体" w:cs="宋体"/>
      <w:sz w:val="24"/>
    </w:rPr>
  </w:style>
  <w:style w:type="paragraph" w:customStyle="1" w:styleId="1176">
    <w:name w:val="样式 居中"/>
    <w:basedOn w:val="1"/>
    <w:qFormat/>
    <w:uiPriority w:val="0"/>
    <w:pPr>
      <w:jc w:val="center"/>
    </w:pPr>
    <w:rPr>
      <w:rFonts w:eastAsia="宋体" w:cs="宋体"/>
      <w:sz w:val="21"/>
      <w:szCs w:val="21"/>
    </w:rPr>
  </w:style>
  <w:style w:type="paragraph" w:customStyle="1" w:styleId="1177">
    <w:name w:val="ST20_37"/>
    <w:basedOn w:val="58"/>
    <w:qFormat/>
    <w:uiPriority w:val="0"/>
    <w:pPr>
      <w:keepLines/>
      <w:pBdr>
        <w:bottom w:val="none" w:color="auto" w:sz="0" w:space="0"/>
      </w:pBdr>
      <w:tabs>
        <w:tab w:val="right" w:pos="0"/>
        <w:tab w:val="center" w:pos="4320"/>
        <w:tab w:val="right" w:pos="8640"/>
        <w:tab w:val="clear" w:pos="4153"/>
        <w:tab w:val="clear" w:pos="8306"/>
      </w:tabs>
      <w:autoSpaceDE w:val="0"/>
      <w:autoSpaceDN w:val="0"/>
      <w:adjustRightInd w:val="0"/>
      <w:snapToGrid/>
      <w:spacing w:line="360" w:lineRule="atLeast"/>
      <w:jc w:val="right"/>
      <w:textAlignment w:val="baseline"/>
    </w:pPr>
    <w:rPr>
      <w:rFonts w:ascii="宋体" w:hAnsi="Tms Rmn" w:eastAsia="宋体"/>
      <w:kern w:val="0"/>
      <w:sz w:val="28"/>
      <w:szCs w:val="28"/>
    </w:rPr>
  </w:style>
  <w:style w:type="paragraph" w:customStyle="1" w:styleId="1178">
    <w:name w:val="ST20_26"/>
    <w:basedOn w:val="1114"/>
    <w:next w:val="1179"/>
    <w:qFormat/>
    <w:uiPriority w:val="0"/>
    <w:pPr>
      <w:keepLines/>
      <w:spacing w:after="160"/>
    </w:pPr>
    <w:rPr>
      <w:b/>
      <w:bCs/>
    </w:rPr>
  </w:style>
  <w:style w:type="paragraph" w:customStyle="1" w:styleId="1179">
    <w:name w:val="ST20_28"/>
    <w:basedOn w:val="1114"/>
    <w:next w:val="1180"/>
    <w:qFormat/>
    <w:uiPriority w:val="0"/>
    <w:pPr>
      <w:spacing w:before="720"/>
    </w:pPr>
  </w:style>
  <w:style w:type="paragraph" w:customStyle="1" w:styleId="1180">
    <w:name w:val="ST20_29"/>
    <w:basedOn w:val="1114"/>
    <w:next w:val="756"/>
    <w:qFormat/>
    <w:uiPriority w:val="0"/>
    <w:pPr>
      <w:spacing w:after="160"/>
    </w:pPr>
  </w:style>
  <w:style w:type="paragraph" w:customStyle="1" w:styleId="1181">
    <w:name w:val="图表1"/>
    <w:basedOn w:val="1"/>
    <w:qFormat/>
    <w:uiPriority w:val="0"/>
    <w:pPr>
      <w:tabs>
        <w:tab w:val="left" w:pos="-709"/>
        <w:tab w:val="left" w:pos="284"/>
      </w:tabs>
      <w:kinsoku w:val="0"/>
      <w:overflowPunct w:val="0"/>
      <w:adjustRightInd w:val="0"/>
      <w:snapToGrid w:val="0"/>
      <w:spacing w:line="300" w:lineRule="auto"/>
      <w:jc w:val="center"/>
      <w:textAlignment w:val="baseline"/>
    </w:pPr>
    <w:rPr>
      <w:rFonts w:ascii="宋体" w:eastAsia="宋体" w:cs="宋体"/>
      <w:kern w:val="0"/>
      <w:sz w:val="24"/>
      <w:szCs w:val="24"/>
    </w:rPr>
  </w:style>
  <w:style w:type="paragraph" w:customStyle="1" w:styleId="1182">
    <w:name w:val="Char Char Char Char Char Char Char1"/>
    <w:basedOn w:val="1"/>
    <w:qFormat/>
    <w:uiPriority w:val="0"/>
  </w:style>
  <w:style w:type="paragraph" w:customStyle="1" w:styleId="1183">
    <w:name w:val="样式 样式1 + 首行缩进:  2 字符 右侧:  0.85 字符"/>
    <w:basedOn w:val="1"/>
    <w:next w:val="1"/>
    <w:qFormat/>
    <w:uiPriority w:val="0"/>
    <w:pPr>
      <w:tabs>
        <w:tab w:val="left" w:pos="105"/>
      </w:tabs>
      <w:spacing w:line="360" w:lineRule="auto"/>
      <w:ind w:right="85"/>
      <w:jc w:val="left"/>
    </w:pPr>
    <w:rPr>
      <w:rFonts w:eastAsia="宋体" w:cs="宋体"/>
      <w:sz w:val="24"/>
    </w:rPr>
  </w:style>
  <w:style w:type="paragraph" w:customStyle="1" w:styleId="1184">
    <w:name w:val="表格文字（小五）"/>
    <w:basedOn w:val="77"/>
    <w:next w:val="5"/>
    <w:semiHidden/>
    <w:qFormat/>
    <w:uiPriority w:val="0"/>
    <w:pPr>
      <w:tabs>
        <w:tab w:val="left" w:pos="746"/>
      </w:tabs>
      <w:snapToGrid w:val="0"/>
      <w:spacing w:line="360" w:lineRule="exact"/>
      <w:textAlignment w:val="center"/>
    </w:pPr>
  </w:style>
  <w:style w:type="paragraph" w:customStyle="1" w:styleId="1185">
    <w:name w:val="样式 样式 样式1 + 首行缩进:  2 字符 右侧:  0.85 字符 + 右侧:  0.85 字符"/>
    <w:basedOn w:val="1183"/>
    <w:qFormat/>
    <w:uiPriority w:val="0"/>
    <w:pPr>
      <w:ind w:right="176"/>
      <w:jc w:val="both"/>
    </w:pPr>
  </w:style>
  <w:style w:type="paragraph" w:customStyle="1" w:styleId="1186">
    <w:name w:val="lux"/>
    <w:basedOn w:val="1"/>
    <w:next w:val="1"/>
    <w:qFormat/>
    <w:uiPriority w:val="0"/>
    <w:pPr>
      <w:spacing w:before="100" w:beforeAutospacing="1" w:after="100" w:afterAutospacing="1" w:line="360" w:lineRule="auto"/>
      <w:ind w:firstLine="200" w:firstLineChars="200"/>
    </w:pPr>
    <w:rPr>
      <w:rFonts w:eastAsia="宋体"/>
      <w:sz w:val="24"/>
      <w:szCs w:val="24"/>
    </w:rPr>
  </w:style>
  <w:style w:type="paragraph" w:customStyle="1" w:styleId="1187">
    <w:name w:val="样式 (西文) 仿宋_GB2312 左侧:  0.98 厘米"/>
    <w:basedOn w:val="1"/>
    <w:semiHidden/>
    <w:qFormat/>
    <w:uiPriority w:val="0"/>
    <w:pPr>
      <w:adjustRightInd w:val="0"/>
      <w:snapToGrid w:val="0"/>
      <w:spacing w:line="360" w:lineRule="auto"/>
      <w:ind w:firstLine="200" w:firstLineChars="200"/>
    </w:pPr>
    <w:rPr>
      <w:rFonts w:ascii="仿宋_GB2312" w:eastAsia="宋体"/>
      <w:sz w:val="24"/>
    </w:rPr>
  </w:style>
  <w:style w:type="paragraph" w:customStyle="1" w:styleId="1188">
    <w:name w:val="Char Char Char Char Char Char Char Char Char1 Char Char1"/>
    <w:basedOn w:val="1"/>
    <w:qFormat/>
    <w:uiPriority w:val="0"/>
    <w:rPr>
      <w:rFonts w:eastAsia="宋体"/>
      <w:sz w:val="24"/>
      <w:szCs w:val="24"/>
    </w:rPr>
  </w:style>
  <w:style w:type="paragraph" w:customStyle="1" w:styleId="1189">
    <w:name w:val="默认段落字体 Para Char Char Char Char Char Char Char Char Char1 Char Char Char Char Char Char Char"/>
    <w:basedOn w:val="1"/>
    <w:qFormat/>
    <w:uiPriority w:val="0"/>
    <w:rPr>
      <w:rFonts w:eastAsia="宋体"/>
      <w:b/>
      <w:bCs/>
      <w:sz w:val="36"/>
      <w:szCs w:val="32"/>
    </w:rPr>
  </w:style>
  <w:style w:type="paragraph" w:customStyle="1" w:styleId="1190">
    <w:name w:val="xl54"/>
    <w:basedOn w:val="1"/>
    <w:qFormat/>
    <w:uiPriority w:val="0"/>
    <w:pPr>
      <w:widowControl/>
      <w:pBdr>
        <w:bottom w:val="single" w:color="auto" w:sz="4" w:space="0"/>
        <w:right w:val="single" w:color="auto" w:sz="4" w:space="0"/>
      </w:pBdr>
      <w:spacing w:before="100" w:beforeAutospacing="1" w:after="100" w:afterAutospacing="1" w:line="520" w:lineRule="exact"/>
      <w:jc w:val="center"/>
    </w:pPr>
    <w:rPr>
      <w:rFonts w:ascii="Arial Unicode MS" w:hAnsi="Arial Unicode MS" w:eastAsia="Arial Unicode MS" w:cs="Arial Unicode MS"/>
      <w:kern w:val="0"/>
      <w:sz w:val="20"/>
    </w:rPr>
  </w:style>
  <w:style w:type="paragraph" w:customStyle="1" w:styleId="1191">
    <w:name w:val="样式 报告 + 首行缩进:  2 字符 段前: 3 磅 段后: 3 磅"/>
    <w:basedOn w:val="1"/>
    <w:qFormat/>
    <w:uiPriority w:val="0"/>
    <w:pPr>
      <w:overflowPunct w:val="0"/>
      <w:autoSpaceDE w:val="0"/>
      <w:autoSpaceDN w:val="0"/>
      <w:adjustRightInd w:val="0"/>
      <w:spacing w:before="60" w:after="60" w:line="400" w:lineRule="atLeast"/>
      <w:ind w:firstLine="480" w:firstLineChars="200"/>
      <w:jc w:val="left"/>
      <w:textAlignment w:val="baseline"/>
    </w:pPr>
    <w:rPr>
      <w:rFonts w:eastAsia="宋体" w:cs="宋体"/>
      <w:kern w:val="0"/>
      <w:sz w:val="24"/>
      <w:szCs w:val="24"/>
    </w:rPr>
  </w:style>
  <w:style w:type="paragraph" w:customStyle="1" w:styleId="1192">
    <w:name w:val="样式 标题 1章标题 1h11st levelSection Headl1featurehead章节标题标题 1..."/>
    <w:basedOn w:val="3"/>
    <w:semiHidden/>
    <w:qFormat/>
    <w:uiPriority w:val="0"/>
    <w:pPr>
      <w:keepNext w:val="0"/>
      <w:keepLines w:val="0"/>
      <w:pageBreakBefore w:val="0"/>
      <w:topLinePunct/>
      <w:adjustRightInd w:val="0"/>
      <w:snapToGrid w:val="0"/>
      <w:spacing w:before="700" w:after="360" w:line="530" w:lineRule="exact"/>
      <w:ind w:left="0" w:firstLine="0"/>
      <w:textAlignment w:val="baseline"/>
    </w:pPr>
    <w:rPr>
      <w:rFonts w:ascii="Arial" w:cs="宋体"/>
      <w:sz w:val="40"/>
    </w:rPr>
  </w:style>
  <w:style w:type="paragraph" w:customStyle="1" w:styleId="1193">
    <w:name w:val="表内样式"/>
    <w:basedOn w:val="1"/>
    <w:next w:val="1"/>
    <w:semiHidden/>
    <w:qFormat/>
    <w:uiPriority w:val="0"/>
    <w:pPr>
      <w:snapToGrid w:val="0"/>
      <w:jc w:val="center"/>
    </w:pPr>
    <w:rPr>
      <w:rFonts w:eastAsia="宋体"/>
      <w:kern w:val="0"/>
      <w:sz w:val="21"/>
      <w:szCs w:val="24"/>
    </w:rPr>
  </w:style>
  <w:style w:type="paragraph" w:customStyle="1" w:styleId="1194">
    <w:name w:val="Char1 Char Char Char Char Char Char"/>
    <w:basedOn w:val="1"/>
    <w:qFormat/>
    <w:uiPriority w:val="0"/>
    <w:pPr>
      <w:spacing w:beforeLines="50" w:afterLines="50" w:line="360" w:lineRule="auto"/>
      <w:ind w:firstLine="200" w:firstLineChars="200"/>
    </w:pPr>
    <w:rPr>
      <w:rFonts w:ascii="宋体" w:hAnsi="宋体" w:eastAsia="宋体" w:cs="宋体"/>
      <w:sz w:val="24"/>
      <w:szCs w:val="24"/>
    </w:rPr>
  </w:style>
  <w:style w:type="paragraph" w:customStyle="1" w:styleId="1195">
    <w:name w:val="正式表格"/>
    <w:basedOn w:val="1196"/>
    <w:semiHidden/>
    <w:qFormat/>
    <w:uiPriority w:val="0"/>
    <w:pPr>
      <w:tabs>
        <w:tab w:val="left" w:pos="3660"/>
      </w:tabs>
      <w:spacing w:line="240" w:lineRule="exact"/>
      <w:ind w:firstLine="0" w:firstLineChars="0"/>
    </w:pPr>
  </w:style>
  <w:style w:type="paragraph" w:customStyle="1" w:styleId="1196">
    <w:name w:val="标表"/>
    <w:basedOn w:val="1"/>
    <w:semiHidden/>
    <w:qFormat/>
    <w:uiPriority w:val="0"/>
    <w:pPr>
      <w:keepNext/>
      <w:tabs>
        <w:tab w:val="left" w:pos="3660"/>
      </w:tabs>
      <w:adjustRightInd w:val="0"/>
      <w:snapToGrid w:val="0"/>
      <w:spacing w:before="100" w:beforeAutospacing="1" w:after="100" w:afterAutospacing="1" w:line="360" w:lineRule="auto"/>
      <w:ind w:firstLine="420" w:firstLineChars="200"/>
      <w:jc w:val="center"/>
    </w:pPr>
    <w:rPr>
      <w:rFonts w:ascii="黑体" w:hAnsi="Arial" w:eastAsia="宋体" w:cs="Arial"/>
      <w:sz w:val="21"/>
      <w:szCs w:val="21"/>
    </w:rPr>
  </w:style>
  <w:style w:type="paragraph" w:customStyle="1" w:styleId="1197">
    <w:name w:val="xl170"/>
    <w:basedOn w:val="1"/>
    <w:qFormat/>
    <w:uiPriority w:val="0"/>
    <w:pPr>
      <w:widowControl/>
      <w:pBdr>
        <w:top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198">
    <w:name w:val="正文22磅"/>
    <w:basedOn w:val="1"/>
    <w:qFormat/>
    <w:uiPriority w:val="0"/>
    <w:pPr>
      <w:spacing w:line="420" w:lineRule="exact"/>
      <w:ind w:firstLine="480" w:firstLineChars="200"/>
    </w:pPr>
    <w:rPr>
      <w:rFonts w:eastAsia="宋体"/>
      <w:sz w:val="24"/>
      <w:szCs w:val="24"/>
    </w:rPr>
  </w:style>
  <w:style w:type="paragraph" w:customStyle="1" w:styleId="1199">
    <w:name w:val="正文 lux"/>
    <w:basedOn w:val="1"/>
    <w:qFormat/>
    <w:uiPriority w:val="0"/>
    <w:pPr>
      <w:adjustRightInd w:val="0"/>
      <w:snapToGrid w:val="0"/>
      <w:spacing w:line="500" w:lineRule="exact"/>
      <w:ind w:firstLine="200" w:firstLineChars="200"/>
    </w:pPr>
    <w:rPr>
      <w:rFonts w:eastAsia="宋体"/>
      <w:sz w:val="24"/>
      <w:szCs w:val="28"/>
    </w:rPr>
  </w:style>
  <w:style w:type="paragraph" w:customStyle="1" w:styleId="1200">
    <w:name w:val="Char Char Char Char Char Char Char Char Char Char Char Char Char Char Char Char Char Char1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201">
    <w:name w:val="Char Char Char1 Char Char Char Char Char"/>
    <w:basedOn w:val="1"/>
    <w:semiHidden/>
    <w:qFormat/>
    <w:uiPriority w:val="0"/>
    <w:pPr>
      <w:snapToGrid w:val="0"/>
      <w:spacing w:line="360" w:lineRule="auto"/>
      <w:ind w:firstLine="200" w:firstLineChars="200"/>
      <w:jc w:val="center"/>
    </w:pPr>
    <w:rPr>
      <w:rFonts w:ascii="宋体" w:hAnsi="宋体" w:eastAsia="宋体" w:cs="宋体"/>
      <w:sz w:val="24"/>
    </w:rPr>
  </w:style>
  <w:style w:type="paragraph" w:customStyle="1" w:styleId="1202">
    <w:name w:val="xyb自建正文"/>
    <w:basedOn w:val="1"/>
    <w:qFormat/>
    <w:uiPriority w:val="0"/>
    <w:pPr>
      <w:spacing w:beforeLines="50" w:line="360" w:lineRule="auto"/>
      <w:ind w:firstLine="480" w:firstLineChars="200"/>
      <w:textAlignment w:val="baseline"/>
    </w:pPr>
    <w:rPr>
      <w:rFonts w:eastAsia="宋体"/>
      <w:kern w:val="0"/>
      <w:sz w:val="24"/>
      <w:szCs w:val="24"/>
    </w:rPr>
  </w:style>
  <w:style w:type="paragraph" w:customStyle="1" w:styleId="1203">
    <w:name w:val="样式 表格 + 首行缩进:  2 字符2"/>
    <w:basedOn w:val="1"/>
    <w:semiHidden/>
    <w:qFormat/>
    <w:uiPriority w:val="0"/>
    <w:pPr>
      <w:keepNext/>
      <w:tabs>
        <w:tab w:val="left" w:pos="3660"/>
      </w:tabs>
      <w:snapToGrid w:val="0"/>
      <w:spacing w:before="100" w:beforeAutospacing="1" w:after="100" w:afterAutospacing="1" w:line="360" w:lineRule="auto"/>
      <w:ind w:firstLine="200" w:firstLineChars="200"/>
    </w:pPr>
    <w:rPr>
      <w:rFonts w:ascii="黑体" w:hAnsi="Arial" w:eastAsia="宋体" w:cs="宋体"/>
      <w:sz w:val="24"/>
    </w:rPr>
  </w:style>
  <w:style w:type="paragraph" w:customStyle="1" w:styleId="1204">
    <w:name w:val="123456"/>
    <w:basedOn w:val="1"/>
    <w:qFormat/>
    <w:uiPriority w:val="0"/>
    <w:pPr>
      <w:spacing w:before="120" w:after="120" w:line="360" w:lineRule="auto"/>
      <w:ind w:firstLine="200" w:firstLineChars="200"/>
    </w:pPr>
    <w:rPr>
      <w:rFonts w:eastAsia="宋体"/>
      <w:sz w:val="24"/>
      <w:szCs w:val="24"/>
    </w:rPr>
  </w:style>
  <w:style w:type="paragraph" w:customStyle="1" w:styleId="1205">
    <w:name w:val="表题"/>
    <w:basedOn w:val="1"/>
    <w:link w:val="2787"/>
    <w:qFormat/>
    <w:uiPriority w:val="0"/>
    <w:pPr>
      <w:tabs>
        <w:tab w:val="right" w:pos="0"/>
      </w:tabs>
      <w:adjustRightInd w:val="0"/>
      <w:snapToGrid w:val="0"/>
      <w:jc w:val="center"/>
    </w:pPr>
    <w:rPr>
      <w:rFonts w:ascii="宋体" w:hAnsi="宋体" w:eastAsia="宋体"/>
      <w:b/>
      <w:spacing w:val="12"/>
      <w:sz w:val="24"/>
      <w:szCs w:val="24"/>
    </w:rPr>
  </w:style>
  <w:style w:type="paragraph" w:customStyle="1" w:styleId="1206">
    <w:name w:val="Char Char Char Char Char Char Char Char Char Char Char Char Char Char Char Char Char Char Char Char Char Char Char Char Char1"/>
    <w:basedOn w:val="1"/>
    <w:next w:val="1"/>
    <w:qFormat/>
    <w:uiPriority w:val="0"/>
    <w:pPr>
      <w:adjustRightInd w:val="0"/>
      <w:snapToGrid w:val="0"/>
      <w:spacing w:line="240" w:lineRule="atLeast"/>
    </w:pPr>
    <w:rPr>
      <w:rFonts w:hAnsi="新宋体" w:eastAsia="新宋体"/>
      <w:sz w:val="21"/>
      <w:szCs w:val="21"/>
    </w:rPr>
  </w:style>
  <w:style w:type="paragraph" w:customStyle="1" w:styleId="1207">
    <w:name w:val="宋体"/>
    <w:basedOn w:val="1"/>
    <w:qFormat/>
    <w:uiPriority w:val="0"/>
    <w:pPr>
      <w:tabs>
        <w:tab w:val="left" w:pos="8640"/>
      </w:tabs>
      <w:snapToGrid w:val="0"/>
      <w:jc w:val="center"/>
    </w:pPr>
    <w:rPr>
      <w:b/>
      <w:color w:val="000000"/>
      <w:szCs w:val="21"/>
    </w:rPr>
  </w:style>
  <w:style w:type="paragraph" w:customStyle="1" w:styleId="1208">
    <w:name w:val="样式 正文 + 宋体"/>
    <w:basedOn w:val="1102"/>
    <w:qFormat/>
    <w:uiPriority w:val="0"/>
    <w:pPr>
      <w:widowControl/>
      <w:overflowPunct w:val="0"/>
      <w:adjustRightInd/>
      <w:snapToGrid/>
      <w:spacing w:line="500" w:lineRule="exact"/>
      <w:ind w:firstLine="539"/>
    </w:pPr>
    <w:rPr>
      <w:rFonts w:cs="Arial"/>
      <w:kern w:val="0"/>
      <w:sz w:val="28"/>
      <w:szCs w:val="28"/>
    </w:rPr>
  </w:style>
  <w:style w:type="paragraph" w:customStyle="1" w:styleId="1209">
    <w:name w:val="样式 标题 2标题2 + (西文) 仿宋_GB2312 段前: 0.2 行 段后: 0.2 行"/>
    <w:basedOn w:val="4"/>
    <w:qFormat/>
    <w:uiPriority w:val="0"/>
    <w:pPr>
      <w:tabs>
        <w:tab w:val="center" w:pos="567"/>
      </w:tabs>
      <w:adjustRightInd w:val="0"/>
      <w:snapToGrid w:val="0"/>
      <w:spacing w:before="48" w:beforeLines="20" w:after="0" w:afterLines="20" w:line="600" w:lineRule="exact"/>
      <w:ind w:left="0" w:firstLine="0"/>
    </w:pPr>
    <w:rPr>
      <w:rFonts w:ascii="Times New Roman" w:hAnsi="Times New Roman" w:eastAsia="宋体" w:cs="宋体"/>
      <w:b/>
      <w:bCs/>
      <w:sz w:val="32"/>
    </w:rPr>
  </w:style>
  <w:style w:type="paragraph" w:customStyle="1" w:styleId="1210">
    <w:name w:val="样式 表格 + 首行缩进:  2 字符 行距: 最小值 15 磅"/>
    <w:basedOn w:val="1"/>
    <w:qFormat/>
    <w:uiPriority w:val="0"/>
    <w:pPr>
      <w:suppressLineNumbers/>
      <w:autoSpaceDE w:val="0"/>
      <w:autoSpaceDN w:val="0"/>
      <w:adjustRightInd w:val="0"/>
      <w:spacing w:line="460" w:lineRule="atLeast"/>
      <w:ind w:firstLine="200" w:firstLineChars="200"/>
      <w:jc w:val="center"/>
      <w:textAlignment w:val="baseline"/>
    </w:pPr>
    <w:rPr>
      <w:rFonts w:eastAsia="宋体"/>
      <w:color w:val="000000"/>
      <w:w w:val="90"/>
      <w:kern w:val="0"/>
      <w:szCs w:val="28"/>
    </w:rPr>
  </w:style>
  <w:style w:type="paragraph" w:customStyle="1" w:styleId="1211">
    <w:name w:val="样式 行距: 单倍行距"/>
    <w:basedOn w:val="1"/>
    <w:semiHidden/>
    <w:qFormat/>
    <w:uiPriority w:val="0"/>
    <w:pPr>
      <w:adjustRightInd w:val="0"/>
      <w:snapToGrid w:val="0"/>
      <w:spacing w:line="360" w:lineRule="auto"/>
      <w:ind w:firstLine="560" w:firstLineChars="200"/>
    </w:pPr>
    <w:rPr>
      <w:rFonts w:eastAsia="宋体" w:cs="宋体"/>
      <w:sz w:val="24"/>
    </w:rPr>
  </w:style>
  <w:style w:type="paragraph" w:customStyle="1" w:styleId="1212">
    <w:name w:val="Char1 Char Char Char Char Char Char Char Char Char Char Char Char"/>
    <w:basedOn w:val="1"/>
    <w:qFormat/>
    <w:uiPriority w:val="0"/>
    <w:pPr>
      <w:snapToGrid w:val="0"/>
    </w:pPr>
    <w:rPr>
      <w:rFonts w:eastAsia="宋体"/>
      <w:sz w:val="21"/>
      <w:szCs w:val="24"/>
    </w:rPr>
  </w:style>
  <w:style w:type="paragraph" w:customStyle="1" w:styleId="1213">
    <w:name w:val="xl35"/>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14">
    <w:name w:val="xl36"/>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15">
    <w:name w:val="xl45"/>
    <w:basedOn w:val="1"/>
    <w:qFormat/>
    <w:uiPriority w:val="0"/>
    <w:pPr>
      <w:widowControl/>
      <w:pBdr>
        <w:top w:val="single" w:color="auto" w:sz="4" w:space="0"/>
        <w:left w:val="single" w:color="auto" w:sz="4" w:space="0"/>
        <w:bottom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16">
    <w:name w:val="ST20_18"/>
    <w:basedOn w:val="753"/>
    <w:qFormat/>
    <w:uiPriority w:val="0"/>
    <w:pPr>
      <w:keepLines/>
      <w:tabs>
        <w:tab w:val="left" w:pos="720"/>
      </w:tabs>
      <w:spacing w:after="240"/>
      <w:ind w:left="1080" w:right="2880" w:hanging="1080"/>
    </w:pPr>
  </w:style>
  <w:style w:type="paragraph" w:customStyle="1" w:styleId="1217">
    <w:name w:val="ST20_62"/>
    <w:basedOn w:val="1000"/>
    <w:qFormat/>
    <w:uiPriority w:val="0"/>
    <w:pPr>
      <w:ind w:left="1440"/>
    </w:pPr>
  </w:style>
  <w:style w:type="paragraph" w:customStyle="1" w:styleId="1218">
    <w:name w:val="xl46"/>
    <w:basedOn w:val="1"/>
    <w:qFormat/>
    <w:uiPriority w:val="0"/>
    <w:pPr>
      <w:widowControl/>
      <w:pBdr>
        <w:top w:val="single" w:color="auto" w:sz="4" w:space="0"/>
        <w:bottom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19">
    <w:name w:val="xl47"/>
    <w:basedOn w:val="1"/>
    <w:qFormat/>
    <w:uiPriority w:val="0"/>
    <w:pPr>
      <w:widowControl/>
      <w:pBdr>
        <w:top w:val="single" w:color="auto" w:sz="4" w:space="0"/>
        <w:bottom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20">
    <w:name w:val="xl48"/>
    <w:basedOn w:val="1"/>
    <w:qFormat/>
    <w:uiPriority w:val="0"/>
    <w:pPr>
      <w:widowControl/>
      <w:pBdr>
        <w:top w:val="single" w:color="auto" w:sz="4" w:space="0"/>
        <w:bottom w:val="single" w:color="auto" w:sz="4" w:space="0"/>
        <w:right w:val="single" w:color="auto" w:sz="4" w:space="0"/>
      </w:pBdr>
      <w:snapToGrid w:val="0"/>
      <w:spacing w:before="100" w:beforeAutospacing="1" w:after="100" w:afterAutospacing="1"/>
      <w:jc w:val="center"/>
      <w:textAlignment w:val="center"/>
    </w:pPr>
    <w:rPr>
      <w:rFonts w:hint="eastAsia" w:ascii="仿宋_GB2312" w:hAnsi="Arial Unicode MS" w:eastAsia="宋体" w:cs="Arial Unicode MS"/>
      <w:kern w:val="0"/>
      <w:sz w:val="18"/>
      <w:szCs w:val="18"/>
    </w:rPr>
  </w:style>
  <w:style w:type="paragraph" w:customStyle="1" w:styleId="1221">
    <w:name w:val="样式 标题 3 + 首行缩进:  0.85 厘米"/>
    <w:basedOn w:val="6"/>
    <w:qFormat/>
    <w:uiPriority w:val="0"/>
    <w:pPr>
      <w:keepNext w:val="0"/>
      <w:keepLines w:val="0"/>
      <w:tabs>
        <w:tab w:val="left" w:pos="142"/>
        <w:tab w:val="left" w:pos="284"/>
        <w:tab w:val="left" w:pos="709"/>
        <w:tab w:val="left" w:pos="1134"/>
      </w:tabs>
      <w:adjustRightInd w:val="0"/>
      <w:snapToGrid w:val="0"/>
      <w:spacing w:before="0" w:after="0" w:line="500" w:lineRule="exact"/>
      <w:ind w:left="0" w:firstLine="0"/>
      <w:jc w:val="left"/>
      <w:textAlignment w:val="baseline"/>
    </w:pPr>
    <w:rPr>
      <w:rFonts w:ascii="Times New Roman" w:hAnsi="Arial" w:eastAsia="宋体"/>
      <w:bCs w:val="0"/>
      <w:kern w:val="0"/>
    </w:rPr>
  </w:style>
  <w:style w:type="paragraph" w:customStyle="1" w:styleId="1222">
    <w:name w:val="样式 (符号) 宋体 小四 首行缩进:  2 字符 行距: 1.5 倍行距"/>
    <w:basedOn w:val="1"/>
    <w:semiHidden/>
    <w:qFormat/>
    <w:uiPriority w:val="0"/>
    <w:pPr>
      <w:adjustRightInd w:val="0"/>
      <w:snapToGrid w:val="0"/>
      <w:spacing w:line="360" w:lineRule="auto"/>
      <w:ind w:firstLine="480" w:firstLineChars="200"/>
    </w:pPr>
    <w:rPr>
      <w:rFonts w:ascii="宋体" w:hAnsi="宋体" w:eastAsia="宋体"/>
      <w:color w:val="000000"/>
      <w:kern w:val="0"/>
      <w:sz w:val="24"/>
    </w:rPr>
  </w:style>
  <w:style w:type="paragraph" w:customStyle="1" w:styleId="1223">
    <w:name w:val="样式 首行缩进:  1.92 字符"/>
    <w:basedOn w:val="1"/>
    <w:semiHidden/>
    <w:qFormat/>
    <w:uiPriority w:val="0"/>
    <w:pPr>
      <w:adjustRightInd w:val="0"/>
      <w:snapToGrid w:val="0"/>
      <w:spacing w:line="360" w:lineRule="auto"/>
      <w:ind w:firstLine="200" w:firstLineChars="200"/>
    </w:pPr>
    <w:rPr>
      <w:rFonts w:eastAsia="宋体" w:cs="宋体"/>
      <w:sz w:val="24"/>
    </w:rPr>
  </w:style>
  <w:style w:type="paragraph" w:customStyle="1" w:styleId="1224">
    <w:name w:val="ST20_36"/>
    <w:basedOn w:val="58"/>
    <w:qFormat/>
    <w:uiPriority w:val="0"/>
    <w:pPr>
      <w:keepLines/>
      <w:pBdr>
        <w:bottom w:val="none" w:color="auto" w:sz="0" w:space="0"/>
      </w:pBdr>
      <w:tabs>
        <w:tab w:val="center" w:pos="4320"/>
        <w:tab w:val="right" w:pos="8640"/>
        <w:tab w:val="clear" w:pos="4153"/>
        <w:tab w:val="clear" w:pos="8306"/>
      </w:tabs>
      <w:autoSpaceDE w:val="0"/>
      <w:autoSpaceDN w:val="0"/>
      <w:adjustRightInd w:val="0"/>
      <w:snapToGrid/>
      <w:spacing w:line="360" w:lineRule="atLeast"/>
      <w:jc w:val="left"/>
      <w:textAlignment w:val="baseline"/>
    </w:pPr>
    <w:rPr>
      <w:rFonts w:ascii="宋体" w:hAnsi="Tms Rmn" w:eastAsia="宋体"/>
      <w:kern w:val="0"/>
      <w:sz w:val="28"/>
      <w:szCs w:val="28"/>
    </w:rPr>
  </w:style>
  <w:style w:type="paragraph" w:customStyle="1" w:styleId="1225">
    <w:name w:val="xl65"/>
    <w:basedOn w:val="1"/>
    <w:qFormat/>
    <w:uiPriority w:val="0"/>
    <w:pPr>
      <w:widowControl/>
      <w:pBdr>
        <w:bottom w:val="single" w:color="auto" w:sz="4" w:space="0"/>
        <w:right w:val="single" w:color="auto" w:sz="4" w:space="0"/>
      </w:pBdr>
      <w:spacing w:before="100" w:beforeAutospacing="1" w:after="100" w:afterAutospacing="1" w:line="520" w:lineRule="exact"/>
      <w:jc w:val="center"/>
    </w:pPr>
    <w:rPr>
      <w:rFonts w:hint="eastAsia" w:ascii="黑体" w:hAnsi="Arial Unicode MS" w:eastAsia="黑体" w:cs="Arial Unicode MS"/>
      <w:kern w:val="0"/>
      <w:sz w:val="20"/>
    </w:rPr>
  </w:style>
  <w:style w:type="paragraph" w:customStyle="1" w:styleId="1226">
    <w:name w:val="样式 标题 4H4H41标题3款标题款款标题1.1.1.1目L4条标题1.1.1.1标题1.1.1.1BS..."/>
    <w:basedOn w:val="7"/>
    <w:semiHidden/>
    <w:qFormat/>
    <w:uiPriority w:val="0"/>
    <w:pPr>
      <w:tabs>
        <w:tab w:val="left" w:pos="864"/>
      </w:tabs>
      <w:adjustRightInd w:val="0"/>
      <w:snapToGrid w:val="0"/>
      <w:ind w:left="864" w:hanging="864"/>
      <w:jc w:val="left"/>
    </w:pPr>
    <w:rPr>
      <w:rFonts w:eastAsia="楷体_GB2312" w:cs="宋体"/>
      <w:bCs/>
      <w:color w:val="auto"/>
      <w:kern w:val="0"/>
      <w:sz w:val="30"/>
    </w:rPr>
  </w:style>
  <w:style w:type="paragraph" w:customStyle="1" w:styleId="1227">
    <w:name w:val="样式 小四 首行缩进:  1.01 厘米 行距: 1.5 倍行距"/>
    <w:basedOn w:val="1"/>
    <w:semiHidden/>
    <w:qFormat/>
    <w:uiPriority w:val="0"/>
    <w:pPr>
      <w:adjustRightInd w:val="0"/>
      <w:snapToGrid w:val="0"/>
      <w:spacing w:line="360" w:lineRule="auto"/>
      <w:ind w:firstLine="570"/>
      <w:jc w:val="left"/>
      <w:textAlignment w:val="baseline"/>
    </w:pPr>
    <w:rPr>
      <w:rFonts w:eastAsia="宋体"/>
      <w:kern w:val="0"/>
      <w:sz w:val="24"/>
    </w:rPr>
  </w:style>
  <w:style w:type="paragraph" w:customStyle="1" w:styleId="1228">
    <w:name w:val="xl50"/>
    <w:basedOn w:val="1"/>
    <w:qFormat/>
    <w:uiPriority w:val="0"/>
    <w:pPr>
      <w:widowControl/>
      <w:snapToGrid w:val="0"/>
      <w:spacing w:before="100" w:beforeAutospacing="1" w:after="100" w:afterAutospacing="1"/>
      <w:jc w:val="center"/>
    </w:pPr>
    <w:rPr>
      <w:rFonts w:ascii="宋体" w:hAnsi="宋体" w:eastAsia="宋体"/>
      <w:b/>
      <w:bCs/>
      <w:kern w:val="0"/>
      <w:sz w:val="24"/>
      <w:szCs w:val="28"/>
    </w:rPr>
  </w:style>
  <w:style w:type="paragraph" w:customStyle="1" w:styleId="1229">
    <w:name w:val="Char8"/>
    <w:basedOn w:val="1"/>
    <w:qFormat/>
    <w:uiPriority w:val="0"/>
    <w:pPr>
      <w:adjustRightInd w:val="0"/>
      <w:snapToGrid w:val="0"/>
      <w:spacing w:line="360" w:lineRule="auto"/>
      <w:ind w:firstLine="200" w:firstLineChars="200"/>
    </w:pPr>
    <w:rPr>
      <w:rFonts w:ascii="宋体" w:hAnsi="宋体" w:eastAsia="黑体" w:cs="宋体"/>
      <w:b/>
      <w:sz w:val="44"/>
      <w:szCs w:val="24"/>
    </w:rPr>
  </w:style>
  <w:style w:type="paragraph" w:customStyle="1" w:styleId="1230">
    <w:name w:val="样式 首行缩进:  2 字符3"/>
    <w:basedOn w:val="1"/>
    <w:qFormat/>
    <w:uiPriority w:val="0"/>
    <w:pPr>
      <w:adjustRightInd w:val="0"/>
      <w:snapToGrid w:val="0"/>
      <w:spacing w:line="360" w:lineRule="auto"/>
      <w:ind w:firstLine="200" w:firstLineChars="200"/>
    </w:pPr>
    <w:rPr>
      <w:rFonts w:eastAsia="宋体" w:cs="宋体"/>
      <w:kern w:val="0"/>
      <w:sz w:val="24"/>
    </w:rPr>
  </w:style>
  <w:style w:type="paragraph" w:customStyle="1" w:styleId="1231">
    <w:name w:val="表格第一排"/>
    <w:basedOn w:val="1"/>
    <w:semiHidden/>
    <w:qFormat/>
    <w:uiPriority w:val="0"/>
    <w:pPr>
      <w:adjustRightInd w:val="0"/>
      <w:snapToGrid w:val="0"/>
      <w:spacing w:line="840" w:lineRule="exact"/>
      <w:jc w:val="center"/>
      <w:textAlignment w:val="center"/>
    </w:pPr>
    <w:rPr>
      <w:rFonts w:eastAsia="黑体"/>
      <w:bCs/>
      <w:sz w:val="21"/>
    </w:rPr>
  </w:style>
  <w:style w:type="paragraph" w:customStyle="1" w:styleId="1232">
    <w:name w:val="Char71"/>
    <w:basedOn w:val="1"/>
    <w:qFormat/>
    <w:uiPriority w:val="0"/>
    <w:pPr>
      <w:snapToGrid w:val="0"/>
      <w:spacing w:line="360" w:lineRule="auto"/>
      <w:ind w:firstLine="200" w:firstLineChars="200"/>
    </w:pPr>
    <w:rPr>
      <w:rFonts w:ascii="宋体" w:hAnsi="宋体" w:eastAsia="宋体" w:cs="宋体"/>
      <w:sz w:val="24"/>
      <w:szCs w:val="24"/>
    </w:rPr>
  </w:style>
  <w:style w:type="paragraph" w:customStyle="1" w:styleId="1233">
    <w:name w:val="默认段落字体 Para Char Char Char Char Char Char Char Char Char Char Char Char Char1 Char"/>
    <w:basedOn w:val="26"/>
    <w:qFormat/>
    <w:uiPriority w:val="0"/>
    <w:pPr>
      <w:adjustRightInd w:val="0"/>
      <w:snapToGrid w:val="0"/>
      <w:spacing w:line="360" w:lineRule="auto"/>
    </w:pPr>
    <w:rPr>
      <w:rFonts w:ascii="Tahoma" w:hAnsi="Tahoma" w:eastAsia="宋体"/>
      <w:sz w:val="24"/>
      <w:szCs w:val="24"/>
    </w:rPr>
  </w:style>
  <w:style w:type="paragraph" w:customStyle="1" w:styleId="1234">
    <w:name w:val="流程文字"/>
    <w:basedOn w:val="1"/>
    <w:semiHidden/>
    <w:qFormat/>
    <w:uiPriority w:val="0"/>
    <w:pPr>
      <w:tabs>
        <w:tab w:val="left" w:pos="6480"/>
      </w:tabs>
      <w:topLinePunct/>
      <w:adjustRightInd w:val="0"/>
      <w:snapToGrid w:val="0"/>
      <w:jc w:val="center"/>
    </w:pPr>
    <w:rPr>
      <w:rFonts w:eastAsia="宋体"/>
      <w:sz w:val="21"/>
    </w:rPr>
  </w:style>
  <w:style w:type="paragraph" w:customStyle="1" w:styleId="1235">
    <w:name w:val="样式 表格 + 首行缩进:  0 字符1"/>
    <w:basedOn w:val="1"/>
    <w:semiHidden/>
    <w:qFormat/>
    <w:uiPriority w:val="0"/>
    <w:pPr>
      <w:snapToGrid w:val="0"/>
      <w:spacing w:before="100" w:beforeAutospacing="1" w:after="100" w:afterAutospacing="1" w:line="331" w:lineRule="auto"/>
      <w:ind w:firstLine="200" w:firstLineChars="200"/>
    </w:pPr>
    <w:rPr>
      <w:rFonts w:ascii="Arial" w:hAnsi="Arial" w:eastAsia="宋体" w:cs="宋体"/>
      <w:kern w:val="0"/>
      <w:sz w:val="24"/>
    </w:rPr>
  </w:style>
  <w:style w:type="paragraph" w:customStyle="1" w:styleId="1236">
    <w:name w:val="样式 表格 + 首行缩进:  2 字符"/>
    <w:basedOn w:val="1"/>
    <w:semiHidden/>
    <w:qFormat/>
    <w:uiPriority w:val="0"/>
    <w:pPr>
      <w:snapToGrid w:val="0"/>
      <w:spacing w:before="100" w:beforeAutospacing="1" w:after="100" w:afterAutospacing="1" w:line="331" w:lineRule="auto"/>
      <w:ind w:firstLine="200" w:firstLineChars="200"/>
    </w:pPr>
    <w:rPr>
      <w:rFonts w:ascii="Arial" w:hAnsi="Arial" w:eastAsia="宋体" w:cs="宋体"/>
      <w:kern w:val="0"/>
      <w:sz w:val="24"/>
    </w:rPr>
  </w:style>
  <w:style w:type="paragraph" w:customStyle="1" w:styleId="1237">
    <w:name w:val="样式 标表 +"/>
    <w:basedOn w:val="1"/>
    <w:semiHidden/>
    <w:qFormat/>
    <w:uiPriority w:val="0"/>
    <w:pPr>
      <w:keepNext/>
      <w:tabs>
        <w:tab w:val="left" w:pos="3660"/>
      </w:tabs>
      <w:adjustRightInd w:val="0"/>
      <w:snapToGrid w:val="0"/>
      <w:spacing w:before="100" w:beforeAutospacing="1" w:after="100" w:afterAutospacing="1" w:line="300" w:lineRule="auto"/>
      <w:jc w:val="left"/>
    </w:pPr>
    <w:rPr>
      <w:rFonts w:ascii="Arial" w:hAnsi="Arial" w:eastAsia="宋体" w:cs="宋体"/>
      <w:kern w:val="0"/>
      <w:sz w:val="21"/>
    </w:rPr>
  </w:style>
  <w:style w:type="paragraph" w:customStyle="1" w:styleId="1238">
    <w:name w:val="样式 表格 + 居中 左侧:  0.98 厘米"/>
    <w:basedOn w:val="1"/>
    <w:semiHidden/>
    <w:qFormat/>
    <w:uiPriority w:val="0"/>
    <w:pPr>
      <w:snapToGrid w:val="0"/>
      <w:spacing w:before="100" w:beforeAutospacing="1" w:after="100" w:afterAutospacing="1" w:line="300" w:lineRule="auto"/>
      <w:ind w:firstLine="200" w:firstLineChars="200"/>
    </w:pPr>
    <w:rPr>
      <w:rFonts w:ascii="Arial" w:hAnsi="Arial" w:eastAsia="宋体"/>
      <w:kern w:val="0"/>
      <w:sz w:val="24"/>
    </w:rPr>
  </w:style>
  <w:style w:type="paragraph" w:customStyle="1" w:styleId="1239">
    <w:name w:val="Tblhead"/>
    <w:basedOn w:val="1"/>
    <w:next w:val="1"/>
    <w:semiHidden/>
    <w:qFormat/>
    <w:uiPriority w:val="0"/>
    <w:pPr>
      <w:pageBreakBefore/>
      <w:suppressAutoHyphens/>
      <w:autoSpaceDE w:val="0"/>
      <w:autoSpaceDN w:val="0"/>
      <w:adjustRightInd w:val="0"/>
      <w:snapToGrid w:val="0"/>
      <w:jc w:val="center"/>
      <w:textAlignment w:val="baseline"/>
    </w:pPr>
    <w:rPr>
      <w:rFonts w:ascii="宋体" w:eastAsia="宋体"/>
      <w:spacing w:val="-3"/>
      <w:kern w:val="0"/>
      <w:sz w:val="24"/>
    </w:rPr>
  </w:style>
  <w:style w:type="paragraph" w:customStyle="1" w:styleId="1240">
    <w:name w:val="样式 居中 首行缩进:  0.85 厘米"/>
    <w:basedOn w:val="1"/>
    <w:semiHidden/>
    <w:qFormat/>
    <w:uiPriority w:val="0"/>
    <w:pPr>
      <w:snapToGrid w:val="0"/>
      <w:jc w:val="center"/>
    </w:pPr>
    <w:rPr>
      <w:rFonts w:ascii="宋体" w:hAnsi="Courier New" w:eastAsia="宋体" w:cs="宋体"/>
      <w:kern w:val="0"/>
      <w:sz w:val="21"/>
      <w:szCs w:val="21"/>
    </w:rPr>
  </w:style>
  <w:style w:type="paragraph" w:customStyle="1" w:styleId="1241">
    <w:name w:val="样式 表 + 首行缩进:  0.85 厘米"/>
    <w:basedOn w:val="1"/>
    <w:semiHidden/>
    <w:qFormat/>
    <w:uiPriority w:val="0"/>
    <w:pPr>
      <w:adjustRightInd w:val="0"/>
      <w:snapToGrid w:val="0"/>
    </w:pPr>
    <w:rPr>
      <w:rFonts w:ascii="仿宋_GB2312" w:hAnsi="Courier New" w:eastAsia="宋体" w:cs="宋体"/>
      <w:kern w:val="0"/>
      <w:sz w:val="21"/>
      <w:szCs w:val="21"/>
    </w:rPr>
  </w:style>
  <w:style w:type="paragraph" w:customStyle="1" w:styleId="1242">
    <w:name w:val="样式 表格 + 首行缩进:  0.85 厘米"/>
    <w:basedOn w:val="1"/>
    <w:semiHidden/>
    <w:qFormat/>
    <w:uiPriority w:val="0"/>
    <w:pPr>
      <w:tabs>
        <w:tab w:val="center" w:pos="4422"/>
      </w:tabs>
      <w:adjustRightInd w:val="0"/>
      <w:snapToGrid w:val="0"/>
      <w:spacing w:before="100" w:beforeAutospacing="1" w:after="100" w:afterAutospacing="1" w:line="300" w:lineRule="auto"/>
      <w:jc w:val="center"/>
    </w:pPr>
    <w:rPr>
      <w:rFonts w:ascii="Arial" w:hAnsi="Arial" w:eastAsia="宋体" w:cs="宋体"/>
      <w:kern w:val="0"/>
      <w:sz w:val="21"/>
    </w:rPr>
  </w:style>
  <w:style w:type="paragraph" w:customStyle="1" w:styleId="1243">
    <w:name w:val="样式 正文文本缩进 2 + 左侧:  0.98 厘米 首行缩进:  2 字符"/>
    <w:basedOn w:val="1"/>
    <w:semiHidden/>
    <w:qFormat/>
    <w:uiPriority w:val="0"/>
    <w:pPr>
      <w:adjustRightInd w:val="0"/>
      <w:snapToGrid w:val="0"/>
      <w:spacing w:line="360" w:lineRule="auto"/>
      <w:ind w:firstLine="560" w:firstLineChars="200"/>
    </w:pPr>
    <w:rPr>
      <w:rFonts w:eastAsia="宋体"/>
      <w:sz w:val="24"/>
    </w:rPr>
  </w:style>
  <w:style w:type="paragraph" w:customStyle="1" w:styleId="1244">
    <w:name w:val="样式 表格 + 小五 首行缩进:  0.63 厘米 行距: 固定值 12 磅"/>
    <w:basedOn w:val="1"/>
    <w:semiHidden/>
    <w:qFormat/>
    <w:uiPriority w:val="0"/>
    <w:pPr>
      <w:tabs>
        <w:tab w:val="center" w:pos="4422"/>
      </w:tabs>
      <w:adjustRightInd w:val="0"/>
      <w:snapToGrid w:val="0"/>
      <w:spacing w:before="100" w:beforeAutospacing="1" w:after="100" w:afterAutospacing="1" w:line="240" w:lineRule="exact"/>
      <w:jc w:val="center"/>
    </w:pPr>
    <w:rPr>
      <w:rFonts w:ascii="Arial" w:hAnsi="Arial" w:eastAsia="宋体" w:cs="宋体"/>
      <w:kern w:val="0"/>
      <w:sz w:val="18"/>
      <w:szCs w:val="21"/>
    </w:rPr>
  </w:style>
  <w:style w:type="paragraph" w:customStyle="1" w:styleId="1245">
    <w:name w:val="样式 表格 + 两端对齐1"/>
    <w:basedOn w:val="1"/>
    <w:semiHidden/>
    <w:qFormat/>
    <w:uiPriority w:val="0"/>
    <w:pPr>
      <w:keepNext/>
      <w:tabs>
        <w:tab w:val="left" w:pos="3660"/>
      </w:tabs>
      <w:snapToGrid w:val="0"/>
      <w:spacing w:before="100" w:beforeAutospacing="1" w:after="100" w:afterAutospacing="1" w:line="360" w:lineRule="auto"/>
      <w:ind w:firstLine="200" w:firstLineChars="200"/>
    </w:pPr>
    <w:rPr>
      <w:rFonts w:ascii="黑体" w:hAnsi="Arial" w:eastAsia="宋体" w:cs="宋体"/>
      <w:sz w:val="24"/>
    </w:rPr>
  </w:style>
  <w:style w:type="paragraph" w:customStyle="1" w:styleId="1246">
    <w:name w:val="样式 表格 + 小五 首行缩进:  0.63 厘米"/>
    <w:basedOn w:val="1"/>
    <w:semiHidden/>
    <w:qFormat/>
    <w:uiPriority w:val="0"/>
    <w:pPr>
      <w:tabs>
        <w:tab w:val="center" w:pos="4422"/>
      </w:tabs>
      <w:adjustRightInd w:val="0"/>
      <w:snapToGrid w:val="0"/>
      <w:spacing w:before="100" w:beforeAutospacing="1" w:after="100" w:afterAutospacing="1" w:line="300" w:lineRule="auto"/>
      <w:jc w:val="center"/>
    </w:pPr>
    <w:rPr>
      <w:rFonts w:ascii="Arial" w:hAnsi="Arial" w:eastAsia="宋体" w:cs="宋体"/>
      <w:kern w:val="0"/>
      <w:sz w:val="18"/>
      <w:szCs w:val="21"/>
    </w:rPr>
  </w:style>
  <w:style w:type="paragraph" w:customStyle="1" w:styleId="1247">
    <w:name w:val="reader-word-layer reader-word-s2-2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248">
    <w:name w:val="样式 表 + 居中 首行缩进:  0.85 厘米"/>
    <w:basedOn w:val="1"/>
    <w:semiHidden/>
    <w:qFormat/>
    <w:uiPriority w:val="0"/>
    <w:pPr>
      <w:adjustRightInd w:val="0"/>
      <w:snapToGrid w:val="0"/>
      <w:jc w:val="center"/>
    </w:pPr>
    <w:rPr>
      <w:rFonts w:ascii="仿宋_GB2312" w:hAnsi="Courier New" w:eastAsia="宋体" w:cs="宋体"/>
      <w:kern w:val="0"/>
      <w:sz w:val="21"/>
      <w:szCs w:val="21"/>
    </w:rPr>
  </w:style>
  <w:style w:type="paragraph" w:customStyle="1" w:styleId="1249">
    <w:name w:val="标题003"/>
    <w:basedOn w:val="1"/>
    <w:semiHidden/>
    <w:qFormat/>
    <w:uiPriority w:val="0"/>
    <w:pPr>
      <w:adjustRightInd w:val="0"/>
      <w:snapToGrid w:val="0"/>
      <w:spacing w:before="120" w:line="440" w:lineRule="exact"/>
      <w:outlineLvl w:val="2"/>
    </w:pPr>
    <w:rPr>
      <w:rFonts w:eastAsia="宋体"/>
      <w:b/>
      <w:sz w:val="27"/>
    </w:rPr>
  </w:style>
  <w:style w:type="paragraph" w:customStyle="1" w:styleId="1250">
    <w:name w:val="表1表2"/>
    <w:basedOn w:val="1"/>
    <w:qFormat/>
    <w:uiPriority w:val="0"/>
    <w:pPr>
      <w:autoSpaceDE w:val="0"/>
      <w:autoSpaceDN w:val="0"/>
      <w:adjustRightInd w:val="0"/>
      <w:snapToGrid w:val="0"/>
      <w:spacing w:line="360" w:lineRule="auto"/>
      <w:ind w:firstLine="200" w:firstLineChars="200"/>
      <w:jc w:val="center"/>
      <w:textAlignment w:val="center"/>
    </w:pPr>
    <w:rPr>
      <w:rFonts w:eastAsia="黑体"/>
      <w:kern w:val="0"/>
      <w:sz w:val="24"/>
    </w:rPr>
  </w:style>
  <w:style w:type="paragraph" w:customStyle="1" w:styleId="1251">
    <w:name w:val="样式 标题 2 + 段前: 0.2 行 段后: 0.2 行 行距: 最小值 29.7 磅"/>
    <w:basedOn w:val="4"/>
    <w:semiHidden/>
    <w:qFormat/>
    <w:uiPriority w:val="0"/>
    <w:pPr>
      <w:tabs>
        <w:tab w:val="center" w:pos="567"/>
      </w:tabs>
      <w:adjustRightInd w:val="0"/>
      <w:snapToGrid w:val="0"/>
      <w:spacing w:before="100" w:beforeLines="20" w:after="0" w:afterLines="20" w:line="594" w:lineRule="atLeast"/>
      <w:ind w:left="0" w:firstLine="0"/>
      <w:jc w:val="left"/>
    </w:pPr>
    <w:rPr>
      <w:rFonts w:ascii="宋体" w:hAnsi="宋体" w:eastAsia="宋体"/>
      <w:bCs/>
      <w:sz w:val="30"/>
    </w:rPr>
  </w:style>
  <w:style w:type="paragraph" w:customStyle="1" w:styleId="1252">
    <w:name w:val="样式 样式 表格 + 左侧:  0.98 厘米 + 居中"/>
    <w:basedOn w:val="787"/>
    <w:semiHidden/>
    <w:qFormat/>
    <w:uiPriority w:val="0"/>
    <w:pPr>
      <w:jc w:val="center"/>
    </w:pPr>
  </w:style>
  <w:style w:type="paragraph" w:customStyle="1" w:styleId="1253">
    <w:name w:val="reader-word-layer reader-word-s2-2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254">
    <w:name w:val="样式 (西文) 仿宋_GB2312 (中文) 幼圆 小四 行距: 1.5 倍行距 首行缩进:  2 字符"/>
    <w:basedOn w:val="1"/>
    <w:semiHidden/>
    <w:qFormat/>
    <w:uiPriority w:val="0"/>
    <w:pPr>
      <w:adjustRightInd w:val="0"/>
      <w:snapToGrid w:val="0"/>
      <w:spacing w:line="360" w:lineRule="auto"/>
      <w:ind w:firstLine="560" w:firstLineChars="200"/>
    </w:pPr>
    <w:rPr>
      <w:rFonts w:ascii="仿宋_GB2312" w:eastAsia="宋体" w:cs="宋体"/>
      <w:kern w:val="0"/>
      <w:sz w:val="24"/>
    </w:rPr>
  </w:style>
  <w:style w:type="paragraph" w:customStyle="1" w:styleId="1255">
    <w:name w:val="样式 段落样式 + 小四 字符缩放: 100% 行距: 最小值 22 磅"/>
    <w:basedOn w:val="1137"/>
    <w:semiHidden/>
    <w:qFormat/>
    <w:uiPriority w:val="0"/>
    <w:pPr>
      <w:suppressLineNumbers w:val="0"/>
      <w:suppressAutoHyphens w:val="0"/>
      <w:spacing w:line="440" w:lineRule="atLeast"/>
    </w:pPr>
    <w:rPr>
      <w:w w:val="100"/>
      <w:kern w:val="32"/>
      <w:szCs w:val="20"/>
    </w:rPr>
  </w:style>
  <w:style w:type="paragraph" w:customStyle="1" w:styleId="1256">
    <w:name w:val="样式 样式 正文缩进s4 + 首行缩进:  2 字符 + 首行缩进:  2 字符"/>
    <w:basedOn w:val="1"/>
    <w:qFormat/>
    <w:uiPriority w:val="0"/>
    <w:pPr>
      <w:adjustRightInd w:val="0"/>
      <w:snapToGrid w:val="0"/>
      <w:spacing w:line="480" w:lineRule="exact"/>
      <w:ind w:firstLine="524" w:firstLineChars="187"/>
    </w:pPr>
    <w:rPr>
      <w:rFonts w:eastAsia="宋体"/>
      <w:color w:val="000000"/>
      <w:sz w:val="21"/>
    </w:rPr>
  </w:style>
  <w:style w:type="paragraph" w:customStyle="1" w:styleId="1257">
    <w:name w:val="样式 题注 + 首行缩进:  2 字符"/>
    <w:basedOn w:val="22"/>
    <w:qFormat/>
    <w:uiPriority w:val="0"/>
    <w:pPr>
      <w:adjustRightInd w:val="0"/>
      <w:snapToGrid w:val="0"/>
      <w:spacing w:before="0" w:after="0" w:line="300" w:lineRule="auto"/>
      <w:ind w:firstLine="105" w:firstLineChars="50"/>
      <w:jc w:val="left"/>
    </w:pPr>
    <w:rPr>
      <w:kern w:val="0"/>
      <w:sz w:val="21"/>
    </w:rPr>
  </w:style>
  <w:style w:type="paragraph" w:customStyle="1" w:styleId="1258">
    <w:name w:val="样式 王向东正文 + 首行缩进:  2 字符"/>
    <w:basedOn w:val="1259"/>
    <w:semiHidden/>
    <w:qFormat/>
    <w:uiPriority w:val="0"/>
    <w:pPr>
      <w:spacing w:line="360" w:lineRule="auto"/>
      <w:ind w:right="0" w:rightChars="0"/>
      <w:jc w:val="both"/>
    </w:pPr>
    <w:rPr>
      <w:rFonts w:cs="宋体"/>
      <w:szCs w:val="20"/>
    </w:rPr>
  </w:style>
  <w:style w:type="paragraph" w:customStyle="1" w:styleId="1259">
    <w:name w:val="王向东正文"/>
    <w:link w:val="2427"/>
    <w:qFormat/>
    <w:uiPriority w:val="0"/>
    <w:pPr>
      <w:ind w:right="22" w:rightChars="8" w:firstLine="560" w:firstLineChars="200"/>
    </w:pPr>
    <w:rPr>
      <w:rFonts w:ascii="Times New Roman" w:hAnsi="Times New Roman" w:eastAsia="仿宋_GB2312" w:cs="幼圆"/>
      <w:kern w:val="2"/>
      <w:sz w:val="28"/>
      <w:szCs w:val="28"/>
      <w:lang w:val="en-US" w:eastAsia="zh-CN" w:bidi="ar-SA"/>
    </w:rPr>
  </w:style>
  <w:style w:type="paragraph" w:customStyle="1" w:styleId="1260">
    <w:name w:val="样式 正文文本缩进 + 左侧:  2 字符 首行缩进:  2 字符"/>
    <w:basedOn w:val="1"/>
    <w:semiHidden/>
    <w:qFormat/>
    <w:uiPriority w:val="0"/>
    <w:pPr>
      <w:adjustRightInd w:val="0"/>
      <w:snapToGrid w:val="0"/>
      <w:spacing w:after="120" w:line="360" w:lineRule="auto"/>
      <w:ind w:firstLine="560" w:firstLineChars="200"/>
    </w:pPr>
    <w:rPr>
      <w:rFonts w:eastAsia="宋体" w:cs="宋体"/>
      <w:sz w:val="24"/>
      <w:szCs w:val="28"/>
    </w:rPr>
  </w:style>
  <w:style w:type="paragraph" w:customStyle="1" w:styleId="1261">
    <w:name w:val="ST20_25"/>
    <w:basedOn w:val="1"/>
    <w:next w:val="1262"/>
    <w:qFormat/>
    <w:uiPriority w:val="0"/>
    <w:pPr>
      <w:autoSpaceDE w:val="0"/>
      <w:autoSpaceDN w:val="0"/>
      <w:adjustRightInd w:val="0"/>
      <w:spacing w:before="80" w:line="360" w:lineRule="atLeast"/>
      <w:jc w:val="left"/>
      <w:textAlignment w:val="baseline"/>
    </w:pPr>
    <w:rPr>
      <w:rFonts w:ascii="宋体" w:hAnsi="Tms Rmn" w:eastAsia="宋体"/>
      <w:b/>
      <w:bCs/>
      <w:kern w:val="0"/>
      <w:szCs w:val="28"/>
    </w:rPr>
  </w:style>
  <w:style w:type="paragraph" w:customStyle="1" w:styleId="1262">
    <w:name w:val="ST20_23"/>
    <w:basedOn w:val="1171"/>
    <w:next w:val="1263"/>
    <w:qFormat/>
    <w:uiPriority w:val="0"/>
  </w:style>
  <w:style w:type="paragraph" w:customStyle="1" w:styleId="1263">
    <w:name w:val="ST20_9"/>
    <w:basedOn w:val="1"/>
    <w:next w:val="1170"/>
    <w:qFormat/>
    <w:uiPriority w:val="0"/>
    <w:pPr>
      <w:autoSpaceDE w:val="0"/>
      <w:autoSpaceDN w:val="0"/>
      <w:adjustRightInd w:val="0"/>
      <w:spacing w:before="480" w:line="360" w:lineRule="atLeast"/>
      <w:jc w:val="left"/>
      <w:textAlignment w:val="baseline"/>
    </w:pPr>
    <w:rPr>
      <w:rFonts w:ascii="宋体" w:hAnsi="Tms Rmn" w:eastAsia="宋体"/>
      <w:kern w:val="0"/>
      <w:szCs w:val="28"/>
    </w:rPr>
  </w:style>
  <w:style w:type="paragraph" w:customStyle="1" w:styleId="1264">
    <w:name w:val="ST20_17"/>
    <w:basedOn w:val="1171"/>
    <w:qFormat/>
    <w:uiPriority w:val="0"/>
    <w:pPr>
      <w:ind w:right="5040"/>
    </w:pPr>
  </w:style>
  <w:style w:type="paragraph" w:customStyle="1" w:styleId="1265">
    <w:name w:val="7"/>
    <w:basedOn w:val="1"/>
    <w:next w:val="35"/>
    <w:qFormat/>
    <w:uiPriority w:val="0"/>
    <w:pPr>
      <w:adjustRightInd w:val="0"/>
      <w:spacing w:line="480" w:lineRule="auto"/>
      <w:ind w:firstLine="480" w:firstLineChars="200"/>
      <w:textAlignment w:val="baseline"/>
    </w:pPr>
    <w:rPr>
      <w:rFonts w:ascii="Arial" w:hAnsi="Arial"/>
      <w:sz w:val="24"/>
    </w:rPr>
  </w:style>
  <w:style w:type="paragraph" w:customStyle="1" w:styleId="1266">
    <w:name w:val="样式 正文文本缩进 2 + 左侧:  2 字符 首行缩进:  2 字符 行距: 1.5 倍行距"/>
    <w:basedOn w:val="1"/>
    <w:semiHidden/>
    <w:qFormat/>
    <w:uiPriority w:val="0"/>
    <w:pPr>
      <w:adjustRightInd w:val="0"/>
      <w:snapToGrid w:val="0"/>
      <w:spacing w:after="120" w:line="360" w:lineRule="auto"/>
      <w:ind w:firstLine="560" w:firstLineChars="200"/>
    </w:pPr>
    <w:rPr>
      <w:rFonts w:eastAsia="宋体" w:cs="宋体"/>
      <w:sz w:val="24"/>
      <w:szCs w:val="28"/>
    </w:rPr>
  </w:style>
  <w:style w:type="paragraph" w:customStyle="1" w:styleId="1267">
    <w:name w:val="样式 正文文本缩进 + 左侧:  0.98 厘米 首行缩进:  2 字符"/>
    <w:basedOn w:val="1"/>
    <w:semiHidden/>
    <w:qFormat/>
    <w:uiPriority w:val="0"/>
    <w:pPr>
      <w:adjustRightInd w:val="0"/>
      <w:snapToGrid w:val="0"/>
      <w:spacing w:line="360" w:lineRule="auto"/>
      <w:ind w:firstLine="560" w:firstLineChars="200"/>
    </w:pPr>
    <w:rPr>
      <w:rFonts w:eastAsia="宋体"/>
      <w:sz w:val="24"/>
    </w:rPr>
  </w:style>
  <w:style w:type="paragraph" w:customStyle="1" w:styleId="1268">
    <w:name w:val="样式 正文缩进s4标题4 + 左侧:  0.98 厘米 首行缩进:  2 字符"/>
    <w:basedOn w:val="5"/>
    <w:semiHidden/>
    <w:qFormat/>
    <w:uiPriority w:val="0"/>
    <w:pPr>
      <w:adjustRightInd w:val="0"/>
      <w:snapToGrid w:val="0"/>
      <w:spacing w:line="360" w:lineRule="auto"/>
      <w:ind w:firstLine="560" w:firstLineChars="200"/>
    </w:pPr>
    <w:rPr>
      <w:rFonts w:ascii="Times New Roman" w:hAnsi="Times New Roman" w:cs="Times New Roman"/>
      <w:color w:val="000000"/>
      <w:spacing w:val="0"/>
      <w:szCs w:val="32"/>
    </w:rPr>
  </w:style>
  <w:style w:type="paragraph" w:customStyle="1" w:styleId="1269">
    <w:name w:val="样式 正文缩进s4标题4 + 左侧:  0.98 厘米 首行缩进:  2 字符1"/>
    <w:basedOn w:val="5"/>
    <w:semiHidden/>
    <w:qFormat/>
    <w:uiPriority w:val="0"/>
    <w:pPr>
      <w:adjustRightInd w:val="0"/>
      <w:snapToGrid w:val="0"/>
      <w:spacing w:line="360" w:lineRule="auto"/>
      <w:ind w:firstLine="560" w:firstLineChars="200"/>
    </w:pPr>
    <w:rPr>
      <w:rFonts w:ascii="Times New Roman" w:hAnsi="Times New Roman" w:cs="Times New Roman"/>
      <w:color w:val="000000"/>
      <w:spacing w:val="0"/>
      <w:kern w:val="16"/>
      <w:szCs w:val="32"/>
    </w:rPr>
  </w:style>
  <w:style w:type="paragraph" w:customStyle="1" w:styleId="1270">
    <w:name w:val="样式 表格 + 左侧:  0.98 厘米 行距: 固定值 12 磅"/>
    <w:basedOn w:val="1"/>
    <w:semiHidden/>
    <w:qFormat/>
    <w:uiPriority w:val="0"/>
    <w:pPr>
      <w:adjustRightInd w:val="0"/>
      <w:snapToGrid w:val="0"/>
      <w:spacing w:before="100" w:beforeAutospacing="1" w:after="100" w:afterAutospacing="1" w:line="240" w:lineRule="exact"/>
      <w:ind w:left="560" w:leftChars="200"/>
      <w:jc w:val="center"/>
    </w:pPr>
    <w:rPr>
      <w:rFonts w:ascii="Arial" w:hAnsi="Arial" w:eastAsia="宋体"/>
      <w:color w:val="000000"/>
      <w:sz w:val="21"/>
    </w:rPr>
  </w:style>
  <w:style w:type="paragraph" w:customStyle="1" w:styleId="1271">
    <w:name w:val="样式 样式 标题 3 + 小四 右侧:  0.42 厘米 段前: 0 磅 段后: 0 磅 行距: 最小值 28 磅 + 首行缩进..."/>
    <w:basedOn w:val="1"/>
    <w:qFormat/>
    <w:uiPriority w:val="0"/>
    <w:pPr>
      <w:keepNext/>
      <w:keepLines/>
      <w:spacing w:before="50" w:beforeLines="50" w:after="50" w:afterLines="50" w:line="480" w:lineRule="atLeast"/>
      <w:ind w:right="238"/>
      <w:outlineLvl w:val="2"/>
    </w:pPr>
    <w:rPr>
      <w:rFonts w:eastAsia="宋体" w:cs="宋体"/>
      <w:b/>
      <w:bCs/>
      <w:sz w:val="24"/>
    </w:rPr>
  </w:style>
  <w:style w:type="paragraph" w:customStyle="1" w:styleId="1272">
    <w:name w:val="样式 表格 + 加粗 居中 左侧:  0.98 厘米"/>
    <w:basedOn w:val="1"/>
    <w:semiHidden/>
    <w:qFormat/>
    <w:uiPriority w:val="0"/>
    <w:pPr>
      <w:snapToGrid w:val="0"/>
      <w:spacing w:before="100" w:beforeAutospacing="1" w:after="100" w:afterAutospacing="1"/>
      <w:ind w:left="560" w:leftChars="200" w:firstLine="200" w:firstLineChars="200"/>
    </w:pPr>
    <w:rPr>
      <w:rFonts w:ascii="Arial" w:hAnsi="Arial" w:eastAsia="宋体"/>
      <w:b/>
      <w:bCs/>
      <w:color w:val="000000"/>
      <w:sz w:val="24"/>
    </w:rPr>
  </w:style>
  <w:style w:type="paragraph" w:customStyle="1" w:styleId="1273">
    <w:name w:val="xl66"/>
    <w:basedOn w:val="1"/>
    <w:qFormat/>
    <w:uiPriority w:val="0"/>
    <w:pPr>
      <w:widowControl/>
      <w:pBdr>
        <w:top w:val="single" w:color="auto" w:sz="4" w:space="0"/>
        <w:bottom w:val="single" w:color="auto" w:sz="4" w:space="0"/>
        <w:right w:val="single" w:color="auto" w:sz="4" w:space="0"/>
      </w:pBdr>
      <w:shd w:val="clear" w:color="FFFFFF" w:fill="auto"/>
      <w:spacing w:before="100" w:beforeAutospacing="1" w:after="100" w:afterAutospacing="1"/>
      <w:jc w:val="left"/>
    </w:pPr>
    <w:rPr>
      <w:rFonts w:ascii="Arial Narrow" w:hAnsi="Arial Narrow" w:eastAsia="宋体"/>
      <w:kern w:val="0"/>
      <w:sz w:val="18"/>
      <w:szCs w:val="18"/>
    </w:rPr>
  </w:style>
  <w:style w:type="paragraph" w:customStyle="1" w:styleId="1274">
    <w:name w:val="样式 表格 + 左侧:  0.98 厘米 字符缩放: 90%"/>
    <w:basedOn w:val="1"/>
    <w:semiHidden/>
    <w:qFormat/>
    <w:uiPriority w:val="0"/>
    <w:pPr>
      <w:adjustRightInd w:val="0"/>
      <w:snapToGrid w:val="0"/>
      <w:spacing w:before="100" w:beforeAutospacing="1" w:after="100" w:afterAutospacing="1"/>
      <w:ind w:left="560" w:leftChars="200"/>
      <w:jc w:val="center"/>
    </w:pPr>
    <w:rPr>
      <w:rFonts w:ascii="Arial" w:hAnsi="Arial" w:eastAsia="宋体"/>
      <w:color w:val="000000"/>
      <w:w w:val="90"/>
      <w:sz w:val="21"/>
    </w:rPr>
  </w:style>
  <w:style w:type="paragraph" w:customStyle="1" w:styleId="1275">
    <w:name w:val="样式 正文缩进s4 + 首行缩进:  2 字符"/>
    <w:basedOn w:val="5"/>
    <w:semiHidden/>
    <w:qFormat/>
    <w:uiPriority w:val="0"/>
    <w:pPr>
      <w:adjustRightInd w:val="0"/>
      <w:snapToGrid w:val="0"/>
      <w:spacing w:line="360" w:lineRule="auto"/>
      <w:ind w:firstLine="560" w:firstLineChars="200"/>
    </w:pPr>
    <w:rPr>
      <w:rFonts w:ascii="Times New Roman" w:hAnsi="Times New Roman" w:cs="Times New Roman"/>
      <w:color w:val="000000"/>
      <w:spacing w:val="0"/>
      <w:szCs w:val="32"/>
    </w:rPr>
  </w:style>
  <w:style w:type="paragraph" w:customStyle="1" w:styleId="1276">
    <w:name w:val="reader-word-layer reader-word-s1-5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277">
    <w:name w:val="ST20_16"/>
    <w:basedOn w:val="1171"/>
    <w:qFormat/>
    <w:uiPriority w:val="0"/>
    <w:pPr>
      <w:ind w:left="3240" w:right="0"/>
    </w:pPr>
  </w:style>
  <w:style w:type="paragraph" w:customStyle="1" w:styleId="1278">
    <w:name w:val="xl80"/>
    <w:basedOn w:val="1"/>
    <w:qFormat/>
    <w:uiPriority w:val="0"/>
    <w:pPr>
      <w:widowControl/>
      <w:pBdr>
        <w:top w:val="single" w:color="auto" w:sz="8" w:space="0"/>
        <w:left w:val="single" w:color="auto" w:sz="4" w:space="0"/>
        <w:bottom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279">
    <w:name w:val="样式 样式 样式 正文缩进s4 + 首行缩进:  2 字符 + 首行缩进:  2 字符 +"/>
    <w:basedOn w:val="1256"/>
    <w:semiHidden/>
    <w:qFormat/>
    <w:uiPriority w:val="0"/>
    <w:pPr>
      <w:spacing w:line="490" w:lineRule="exact"/>
    </w:pPr>
    <w:rPr>
      <w:color w:val="auto"/>
      <w:szCs w:val="28"/>
    </w:rPr>
  </w:style>
  <w:style w:type="paragraph" w:customStyle="1" w:styleId="1280">
    <w:name w:val="样式 左 左侧:  0.98 厘米"/>
    <w:basedOn w:val="1"/>
    <w:semiHidden/>
    <w:qFormat/>
    <w:uiPriority w:val="0"/>
    <w:pPr>
      <w:adjustRightInd w:val="0"/>
      <w:snapToGrid w:val="0"/>
      <w:spacing w:line="360" w:lineRule="auto"/>
      <w:ind w:firstLine="200" w:firstLineChars="200"/>
      <w:jc w:val="left"/>
    </w:pPr>
    <w:rPr>
      <w:rFonts w:eastAsia="宋体"/>
      <w:sz w:val="24"/>
    </w:rPr>
  </w:style>
  <w:style w:type="paragraph" w:customStyle="1" w:styleId="1281">
    <w:name w:val="样式 (西文) 宋体 左侧:  0.98 厘米"/>
    <w:basedOn w:val="1"/>
    <w:semiHidden/>
    <w:qFormat/>
    <w:uiPriority w:val="0"/>
    <w:pPr>
      <w:adjustRightInd w:val="0"/>
      <w:snapToGrid w:val="0"/>
      <w:spacing w:line="360" w:lineRule="auto"/>
      <w:ind w:firstLine="200" w:firstLineChars="200"/>
    </w:pPr>
    <w:rPr>
      <w:rFonts w:ascii="宋体" w:eastAsia="宋体"/>
      <w:sz w:val="24"/>
    </w:rPr>
  </w:style>
  <w:style w:type="paragraph" w:customStyle="1" w:styleId="1282">
    <w:name w:val="表格文字+"/>
    <w:basedOn w:val="1"/>
    <w:semiHidden/>
    <w:qFormat/>
    <w:uiPriority w:val="0"/>
    <w:pPr>
      <w:tabs>
        <w:tab w:val="left" w:pos="3720"/>
      </w:tabs>
      <w:autoSpaceDE w:val="0"/>
      <w:autoSpaceDN w:val="0"/>
      <w:adjustRightInd w:val="0"/>
      <w:snapToGrid w:val="0"/>
      <w:jc w:val="center"/>
      <w:textAlignment w:val="bottom"/>
    </w:pPr>
    <w:rPr>
      <w:rFonts w:eastAsia="宋体" w:cs="宋体"/>
      <w:kern w:val="0"/>
      <w:sz w:val="21"/>
    </w:rPr>
  </w:style>
  <w:style w:type="paragraph" w:customStyle="1" w:styleId="1283">
    <w:name w:val="ST20_6"/>
    <w:basedOn w:val="753"/>
    <w:qFormat/>
    <w:uiPriority w:val="0"/>
    <w:pPr>
      <w:keepNext/>
    </w:pPr>
  </w:style>
  <w:style w:type="paragraph" w:customStyle="1" w:styleId="1284">
    <w:name w:val="Address 1"/>
    <w:basedOn w:val="1"/>
    <w:qFormat/>
    <w:uiPriority w:val="0"/>
    <w:pPr>
      <w:framePr w:w="2400" w:wrap="notBeside" w:vAnchor="page" w:hAnchor="page" w:x="8065" w:y="1009" w:anchorLock="1"/>
      <w:widowControl/>
      <w:spacing w:line="200" w:lineRule="atLeast"/>
      <w:jc w:val="left"/>
    </w:pPr>
    <w:rPr>
      <w:rFonts w:eastAsia="宋体"/>
      <w:kern w:val="0"/>
      <w:sz w:val="16"/>
    </w:rPr>
  </w:style>
  <w:style w:type="paragraph" w:customStyle="1" w:styleId="1285">
    <w:name w:val="样式 左侧:  0.98 厘米 字距调整小四"/>
    <w:basedOn w:val="1"/>
    <w:semiHidden/>
    <w:qFormat/>
    <w:uiPriority w:val="0"/>
    <w:pPr>
      <w:adjustRightInd w:val="0"/>
      <w:snapToGrid w:val="0"/>
      <w:spacing w:line="360" w:lineRule="auto"/>
      <w:ind w:firstLine="200" w:firstLineChars="200"/>
    </w:pPr>
    <w:rPr>
      <w:rFonts w:eastAsia="宋体"/>
      <w:kern w:val="24"/>
      <w:sz w:val="24"/>
    </w:rPr>
  </w:style>
  <w:style w:type="paragraph" w:customStyle="1" w:styleId="1286">
    <w:name w:val="xl134"/>
    <w:basedOn w:val="1"/>
    <w:qFormat/>
    <w:uiPriority w:val="0"/>
    <w:pPr>
      <w:widowControl/>
      <w:pBdr>
        <w:left w:val="single" w:color="auto" w:sz="4" w:space="0"/>
        <w:bottom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287">
    <w:name w:val="样式 左侧:  0.98 厘米 首行缩进:  2.25 字符"/>
    <w:basedOn w:val="1"/>
    <w:semiHidden/>
    <w:qFormat/>
    <w:uiPriority w:val="0"/>
    <w:pPr>
      <w:adjustRightInd w:val="0"/>
      <w:snapToGrid w:val="0"/>
      <w:spacing w:line="360" w:lineRule="auto"/>
      <w:ind w:firstLine="200" w:firstLineChars="200"/>
    </w:pPr>
    <w:rPr>
      <w:rFonts w:eastAsia="宋体"/>
      <w:sz w:val="24"/>
    </w:rPr>
  </w:style>
  <w:style w:type="paragraph" w:customStyle="1" w:styleId="1288">
    <w:name w:val="样式 左侧:  0.98 厘米1"/>
    <w:basedOn w:val="1"/>
    <w:semiHidden/>
    <w:qFormat/>
    <w:uiPriority w:val="0"/>
    <w:pPr>
      <w:adjustRightInd w:val="0"/>
      <w:snapToGrid w:val="0"/>
      <w:spacing w:line="360" w:lineRule="auto"/>
      <w:ind w:firstLine="200" w:firstLineChars="200"/>
    </w:pPr>
    <w:rPr>
      <w:rFonts w:eastAsia="宋体"/>
      <w:kern w:val="0"/>
      <w:sz w:val="24"/>
    </w:rPr>
  </w:style>
  <w:style w:type="paragraph" w:customStyle="1" w:styleId="1289">
    <w:name w:val="样式 正文文本 + 左侧:  0.98 厘米"/>
    <w:basedOn w:val="1"/>
    <w:semiHidden/>
    <w:qFormat/>
    <w:uiPriority w:val="0"/>
    <w:pPr>
      <w:widowControl/>
      <w:tabs>
        <w:tab w:val="left" w:pos="3720"/>
      </w:tabs>
      <w:autoSpaceDE w:val="0"/>
      <w:autoSpaceDN w:val="0"/>
      <w:adjustRightInd w:val="0"/>
      <w:snapToGrid w:val="0"/>
      <w:spacing w:line="360" w:lineRule="auto"/>
      <w:ind w:firstLine="200" w:firstLineChars="200"/>
      <w:jc w:val="left"/>
      <w:textAlignment w:val="bottom"/>
    </w:pPr>
    <w:rPr>
      <w:rFonts w:ascii="仿宋_GB2312" w:eastAsia="宋体"/>
      <w:kern w:val="0"/>
      <w:sz w:val="24"/>
    </w:rPr>
  </w:style>
  <w:style w:type="paragraph" w:customStyle="1" w:styleId="1290">
    <w:name w:val="特性表注"/>
    <w:basedOn w:val="1"/>
    <w:semiHidden/>
    <w:qFormat/>
    <w:uiPriority w:val="0"/>
    <w:pPr>
      <w:snapToGrid w:val="0"/>
    </w:pPr>
    <w:rPr>
      <w:rFonts w:ascii="宋体" w:hAnsi="宋体" w:eastAsia="宋体"/>
      <w:sz w:val="21"/>
      <w:szCs w:val="24"/>
    </w:rPr>
  </w:style>
  <w:style w:type="paragraph" w:customStyle="1" w:styleId="1291">
    <w:name w:val="样式 样式 表格2 + 首行缩进:  2 字符 + 首行缩进:  2 字符"/>
    <w:basedOn w:val="1292"/>
    <w:semiHidden/>
    <w:qFormat/>
    <w:uiPriority w:val="0"/>
    <w:pPr>
      <w:adjustRightInd w:val="0"/>
      <w:ind w:firstLine="0" w:firstLineChars="0"/>
      <w:outlineLvl w:val="0"/>
    </w:pPr>
    <w:rPr>
      <w:rFonts w:ascii="Arial" w:hAnsi="Arial" w:cs="Arial"/>
    </w:rPr>
  </w:style>
  <w:style w:type="paragraph" w:customStyle="1" w:styleId="1292">
    <w:name w:val="样式 表格2 + 首行缩进:  2 字符"/>
    <w:basedOn w:val="996"/>
    <w:semiHidden/>
    <w:qFormat/>
    <w:uiPriority w:val="0"/>
    <w:pPr>
      <w:snapToGrid w:val="0"/>
      <w:spacing w:before="100" w:beforeAutospacing="1" w:after="100" w:afterAutospacing="1" w:line="240" w:lineRule="exact"/>
      <w:ind w:firstLine="420" w:firstLineChars="200"/>
    </w:pPr>
    <w:rPr>
      <w:rFonts w:ascii="宋体" w:hAnsi="宋体"/>
      <w:color w:val="000000"/>
      <w:kern w:val="0"/>
      <w:szCs w:val="20"/>
    </w:rPr>
  </w:style>
  <w:style w:type="paragraph" w:customStyle="1" w:styleId="1293">
    <w:name w:val="Char2 Char Char Char Char Char Char"/>
    <w:basedOn w:val="1"/>
    <w:semiHidden/>
    <w:qFormat/>
    <w:uiPriority w:val="0"/>
    <w:pPr>
      <w:snapToGrid w:val="0"/>
    </w:pPr>
    <w:rPr>
      <w:rFonts w:eastAsia="宋体"/>
      <w:sz w:val="21"/>
      <w:szCs w:val="24"/>
    </w:rPr>
  </w:style>
  <w:style w:type="paragraph" w:customStyle="1" w:styleId="1294">
    <w:name w:val="xl51"/>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napToGrid w:val="0"/>
      <w:spacing w:before="100" w:beforeAutospacing="1" w:after="100" w:afterAutospacing="1"/>
      <w:jc w:val="left"/>
      <w:textAlignment w:val="center"/>
    </w:pPr>
    <w:rPr>
      <w:rFonts w:ascii="Arial Unicode MS" w:hAnsi="Arial Unicode MS" w:eastAsia="Arial Unicode MS" w:cs="Arial Unicode MS"/>
      <w:b/>
      <w:bCs/>
      <w:kern w:val="0"/>
      <w:sz w:val="20"/>
    </w:rPr>
  </w:style>
  <w:style w:type="paragraph" w:customStyle="1" w:styleId="1295">
    <w:name w:val="Char2 Char Char Char Char Char Char1"/>
    <w:basedOn w:val="1"/>
    <w:semiHidden/>
    <w:qFormat/>
    <w:uiPriority w:val="0"/>
    <w:pPr>
      <w:snapToGrid w:val="0"/>
    </w:pPr>
    <w:rPr>
      <w:rFonts w:eastAsia="宋体"/>
      <w:sz w:val="21"/>
      <w:szCs w:val="24"/>
    </w:rPr>
  </w:style>
  <w:style w:type="paragraph" w:customStyle="1" w:styleId="1296">
    <w:name w:val="正文样式"/>
    <w:basedOn w:val="34"/>
    <w:semiHidden/>
    <w:qFormat/>
    <w:uiPriority w:val="0"/>
    <w:pPr>
      <w:widowControl/>
      <w:snapToGrid w:val="0"/>
      <w:spacing w:after="0" w:line="360" w:lineRule="auto"/>
      <w:ind w:firstLine="560" w:firstLineChars="200"/>
    </w:pPr>
    <w:rPr>
      <w:rFonts w:ascii="Arial" w:hAnsi="Arial" w:eastAsia="楷体_GB2312" w:cs="Arial"/>
      <w:sz w:val="24"/>
      <w:szCs w:val="28"/>
    </w:rPr>
  </w:style>
  <w:style w:type="paragraph" w:customStyle="1" w:styleId="1297">
    <w:name w:val="1章(治)"/>
    <w:basedOn w:val="1"/>
    <w:next w:val="1"/>
    <w:qFormat/>
    <w:uiPriority w:val="0"/>
    <w:pPr>
      <w:spacing w:line="360" w:lineRule="auto"/>
      <w:jc w:val="center"/>
      <w:outlineLvl w:val="0"/>
    </w:pPr>
    <w:rPr>
      <w:rFonts w:ascii="黑体" w:hAnsi="宋体" w:eastAsia="黑体"/>
      <w:b/>
      <w:sz w:val="44"/>
    </w:rPr>
  </w:style>
  <w:style w:type="paragraph" w:customStyle="1" w:styleId="1298">
    <w:name w:val="预评价正文"/>
    <w:basedOn w:val="1"/>
    <w:semiHidden/>
    <w:qFormat/>
    <w:uiPriority w:val="0"/>
    <w:pPr>
      <w:snapToGrid w:val="0"/>
      <w:spacing w:line="360" w:lineRule="auto"/>
      <w:ind w:firstLine="200" w:firstLineChars="200"/>
    </w:pPr>
    <w:rPr>
      <w:rFonts w:ascii="Arial" w:hAnsi="Arial" w:eastAsia="宋体" w:cs="Arial"/>
      <w:sz w:val="24"/>
      <w:szCs w:val="24"/>
    </w:rPr>
  </w:style>
  <w:style w:type="paragraph" w:customStyle="1" w:styleId="1299">
    <w:name w:val="xl102"/>
    <w:basedOn w:val="1"/>
    <w:qFormat/>
    <w:uiPriority w:val="0"/>
    <w:pPr>
      <w:widowControl/>
      <w:pBdr>
        <w:bottom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300">
    <w:name w:val="xl79"/>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宋体" w:hAnsi="宋体" w:eastAsia="宋体" w:cs="宋体"/>
      <w:kern w:val="0"/>
      <w:sz w:val="20"/>
    </w:rPr>
  </w:style>
  <w:style w:type="paragraph" w:customStyle="1" w:styleId="1301">
    <w:name w:val="样式 仿宋_GB2312 四号 首行缩进:  0.74 厘米"/>
    <w:basedOn w:val="1"/>
    <w:semiHidden/>
    <w:qFormat/>
    <w:uiPriority w:val="0"/>
    <w:pPr>
      <w:snapToGrid w:val="0"/>
      <w:spacing w:line="560" w:lineRule="exact"/>
      <w:ind w:firstLine="200" w:firstLineChars="200"/>
    </w:pPr>
    <w:rPr>
      <w:rFonts w:eastAsia="宋体" w:cs="宋体"/>
      <w:sz w:val="24"/>
      <w:szCs w:val="28"/>
    </w:rPr>
  </w:style>
  <w:style w:type="paragraph" w:customStyle="1" w:styleId="1302">
    <w:name w:val="Char2 Char Char Char Char Char Char Char Char Char2"/>
    <w:basedOn w:val="1"/>
    <w:semiHidden/>
    <w:qFormat/>
    <w:uiPriority w:val="0"/>
    <w:pPr>
      <w:snapToGrid w:val="0"/>
    </w:pPr>
    <w:rPr>
      <w:rFonts w:eastAsia="宋体"/>
      <w:sz w:val="21"/>
      <w:szCs w:val="24"/>
    </w:rPr>
  </w:style>
  <w:style w:type="paragraph" w:customStyle="1" w:styleId="1303">
    <w:name w:val="C0 Plain Text"/>
    <w:basedOn w:val="1"/>
    <w:qFormat/>
    <w:uiPriority w:val="0"/>
    <w:pPr>
      <w:widowControl/>
      <w:overflowPunct w:val="0"/>
      <w:autoSpaceDE w:val="0"/>
      <w:autoSpaceDN w:val="0"/>
      <w:adjustRightInd w:val="0"/>
      <w:spacing w:before="120" w:after="120"/>
      <w:textAlignment w:val="baseline"/>
    </w:pPr>
    <w:rPr>
      <w:rFonts w:eastAsia="宋体"/>
      <w:kern w:val="0"/>
      <w:sz w:val="24"/>
      <w:lang w:val="en-GB" w:eastAsia="en-US"/>
    </w:rPr>
  </w:style>
  <w:style w:type="paragraph" w:customStyle="1" w:styleId="1304">
    <w:name w:val="样式 (西文) Arial (中文) 黑体 二号 加粗 居中"/>
    <w:basedOn w:val="1"/>
    <w:qFormat/>
    <w:uiPriority w:val="0"/>
    <w:pPr>
      <w:jc w:val="center"/>
    </w:pPr>
    <w:rPr>
      <w:rFonts w:ascii="黑体" w:hAnsi="Arial" w:eastAsia="黑体" w:cs="宋体"/>
      <w:bCs/>
      <w:szCs w:val="28"/>
    </w:rPr>
  </w:style>
  <w:style w:type="paragraph" w:customStyle="1" w:styleId="1305">
    <w:name w:val="xl149"/>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306">
    <w:name w:val="黑点"/>
    <w:basedOn w:val="1"/>
    <w:qFormat/>
    <w:uiPriority w:val="0"/>
    <w:pPr>
      <w:tabs>
        <w:tab w:val="left" w:pos="600"/>
        <w:tab w:val="left" w:pos="2100"/>
      </w:tabs>
      <w:adjustRightInd w:val="0"/>
      <w:snapToGrid w:val="0"/>
      <w:spacing w:line="360" w:lineRule="auto"/>
      <w:ind w:left="2100" w:hanging="420"/>
      <w:jc w:val="left"/>
      <w:textAlignment w:val="baseline"/>
    </w:pPr>
    <w:rPr>
      <w:rFonts w:ascii="宋体" w:hAnsi="宋体" w:eastAsia="宋体"/>
      <w:color w:val="000000"/>
      <w:kern w:val="0"/>
      <w:sz w:val="24"/>
    </w:rPr>
  </w:style>
  <w:style w:type="paragraph" w:customStyle="1" w:styleId="1307">
    <w:name w:val="xl136"/>
    <w:basedOn w:val="1"/>
    <w:qFormat/>
    <w:uiPriority w:val="0"/>
    <w:pPr>
      <w:widowControl/>
      <w:pBdr>
        <w:top w:val="single" w:color="auto" w:sz="4" w:space="0"/>
        <w:lef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308">
    <w:name w:val="表格单位"/>
    <w:basedOn w:val="1"/>
    <w:qFormat/>
    <w:uiPriority w:val="0"/>
    <w:pPr>
      <w:jc w:val="right"/>
    </w:pPr>
    <w:rPr>
      <w:rFonts w:eastAsia="黑体"/>
      <w:b/>
      <w:sz w:val="18"/>
      <w:szCs w:val="24"/>
    </w:rPr>
  </w:style>
  <w:style w:type="paragraph" w:customStyle="1" w:styleId="1309">
    <w:name w:val="ST20_45"/>
    <w:basedOn w:val="751"/>
    <w:qFormat/>
    <w:uiPriority w:val="0"/>
    <w:pPr>
      <w:ind w:left="2160"/>
    </w:pPr>
  </w:style>
  <w:style w:type="paragraph" w:customStyle="1" w:styleId="1310">
    <w:name w:val="样式 标题 3条标题1.1.1 + 段前: 0.5 行"/>
    <w:basedOn w:val="6"/>
    <w:semiHidden/>
    <w:qFormat/>
    <w:uiPriority w:val="0"/>
    <w:pPr>
      <w:keepLines w:val="0"/>
      <w:tabs>
        <w:tab w:val="left" w:pos="142"/>
        <w:tab w:val="left" w:pos="284"/>
        <w:tab w:val="left" w:pos="567"/>
        <w:tab w:val="left" w:pos="709"/>
        <w:tab w:val="left" w:pos="1134"/>
      </w:tabs>
      <w:adjustRightInd w:val="0"/>
      <w:snapToGrid w:val="0"/>
      <w:spacing w:before="156" w:beforeLines="50" w:after="0" w:line="500" w:lineRule="exact"/>
      <w:ind w:left="709"/>
      <w:jc w:val="left"/>
    </w:pPr>
    <w:rPr>
      <w:rFonts w:ascii="Arial" w:hAnsi="Arial" w:eastAsia="黑体" w:cs="宋体"/>
      <w:b w:val="0"/>
      <w:kern w:val="0"/>
      <w:sz w:val="32"/>
    </w:rPr>
  </w:style>
  <w:style w:type="paragraph" w:customStyle="1" w:styleId="1311">
    <w:name w:val="条(四级)"/>
    <w:basedOn w:val="1103"/>
    <w:next w:val="7"/>
    <w:qFormat/>
    <w:uiPriority w:val="0"/>
    <w:pPr>
      <w:tabs>
        <w:tab w:val="left" w:pos="1246"/>
      </w:tabs>
      <w:snapToGrid/>
      <w:spacing w:beforeLines="0"/>
      <w:jc w:val="both"/>
    </w:pPr>
    <w:rPr>
      <w:rFonts w:ascii="宋体" w:hAnsi="Times New Roman"/>
      <w:spacing w:val="0"/>
      <w:kern w:val="0"/>
      <w:sz w:val="26"/>
    </w:rPr>
  </w:style>
  <w:style w:type="paragraph" w:customStyle="1" w:styleId="1312">
    <w:name w:val="横文本框"/>
    <w:basedOn w:val="1"/>
    <w:qFormat/>
    <w:uiPriority w:val="0"/>
    <w:pPr>
      <w:spacing w:before="100" w:after="30" w:line="360" w:lineRule="auto"/>
      <w:jc w:val="center"/>
    </w:pPr>
    <w:rPr>
      <w:rFonts w:ascii="宋体" w:hAnsi="宋体" w:eastAsia="宋体"/>
      <w:sz w:val="21"/>
    </w:rPr>
  </w:style>
  <w:style w:type="paragraph" w:customStyle="1" w:styleId="1313">
    <w:name w:val="表中字"/>
    <w:qFormat/>
    <w:uiPriority w:val="0"/>
    <w:pPr>
      <w:widowControl w:val="0"/>
      <w:jc w:val="center"/>
    </w:pPr>
    <w:rPr>
      <w:rFonts w:ascii="宋体" w:hAnsi="Times New Roman" w:eastAsia="宋体" w:cs="Times New Roman"/>
      <w:kern w:val="2"/>
      <w:sz w:val="21"/>
      <w:szCs w:val="24"/>
      <w:lang w:val="en-US" w:eastAsia="zh-TW" w:bidi="ar-SA"/>
    </w:rPr>
  </w:style>
  <w:style w:type="paragraph" w:customStyle="1" w:styleId="1314">
    <w:name w:val="正文+行距"/>
    <w:basedOn w:val="1"/>
    <w:semiHidden/>
    <w:qFormat/>
    <w:uiPriority w:val="0"/>
    <w:rPr>
      <w:rFonts w:eastAsia="宋体"/>
      <w:sz w:val="21"/>
      <w:szCs w:val="24"/>
    </w:rPr>
  </w:style>
  <w:style w:type="paragraph" w:customStyle="1" w:styleId="1315">
    <w:name w:val="表格下方正文"/>
    <w:basedOn w:val="1"/>
    <w:link w:val="1962"/>
    <w:qFormat/>
    <w:uiPriority w:val="0"/>
    <w:pPr>
      <w:snapToGrid w:val="0"/>
      <w:spacing w:before="400" w:line="460" w:lineRule="exact"/>
      <w:ind w:firstLine="200" w:firstLineChars="200"/>
    </w:pPr>
    <w:rPr>
      <w:rFonts w:eastAsia="宋体"/>
      <w:sz w:val="24"/>
      <w:szCs w:val="24"/>
    </w:rPr>
  </w:style>
  <w:style w:type="paragraph" w:customStyle="1" w:styleId="1316">
    <w:name w:val="xl126"/>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rPr>
  </w:style>
  <w:style w:type="paragraph" w:customStyle="1" w:styleId="1317">
    <w:name w:val="样式 标题 2节标题 1.1标题 1.1标题 yjm2第一章 标题 2Heading 2 HiddenHeading..."/>
    <w:basedOn w:val="4"/>
    <w:semiHidden/>
    <w:qFormat/>
    <w:uiPriority w:val="0"/>
    <w:pPr>
      <w:keepLines w:val="0"/>
      <w:tabs>
        <w:tab w:val="center" w:pos="567"/>
      </w:tabs>
      <w:adjustRightInd w:val="0"/>
      <w:snapToGrid w:val="0"/>
      <w:spacing w:beforeLines="50" w:after="0" w:line="360" w:lineRule="auto"/>
      <w:ind w:left="0" w:firstLine="0"/>
      <w:jc w:val="left"/>
    </w:pPr>
    <w:rPr>
      <w:rFonts w:ascii="Arial" w:cs="宋体"/>
      <w:b/>
      <w:sz w:val="32"/>
    </w:rPr>
  </w:style>
  <w:style w:type="paragraph" w:customStyle="1" w:styleId="1318">
    <w:name w:val="_a) énum. (1er niveau)"/>
    <w:qFormat/>
    <w:uiPriority w:val="0"/>
    <w:pPr>
      <w:spacing w:after="120" w:line="280" w:lineRule="atLeast"/>
      <w:ind w:left="993" w:hanging="426"/>
      <w:jc w:val="both"/>
    </w:pPr>
    <w:rPr>
      <w:rFonts w:ascii="Times New Roman" w:hAnsi="Times New Roman" w:eastAsia="宋体" w:cs="Times New Roman"/>
      <w:b/>
      <w:sz w:val="24"/>
      <w:lang w:val="fr-FR" w:eastAsia="zh-CN" w:bidi="ar-SA"/>
    </w:rPr>
  </w:style>
  <w:style w:type="paragraph" w:customStyle="1" w:styleId="1319">
    <w:name w:val="ST20_21"/>
    <w:basedOn w:val="752"/>
    <w:qFormat/>
    <w:uiPriority w:val="0"/>
    <w:pPr>
      <w:tabs>
        <w:tab w:val="clear" w:pos="720"/>
      </w:tabs>
      <w:spacing w:after="160"/>
    </w:pPr>
  </w:style>
  <w:style w:type="paragraph" w:customStyle="1" w:styleId="1320">
    <w:name w:val="样式 标题 2"/>
    <w:basedOn w:val="4"/>
    <w:qFormat/>
    <w:uiPriority w:val="0"/>
    <w:pPr>
      <w:keepLines w:val="0"/>
      <w:tabs>
        <w:tab w:val="center" w:pos="567"/>
      </w:tabs>
      <w:adjustRightInd w:val="0"/>
      <w:snapToGrid w:val="0"/>
      <w:spacing w:beforeLines="50" w:after="0" w:line="360" w:lineRule="auto"/>
      <w:ind w:left="0" w:firstLine="0"/>
      <w:jc w:val="left"/>
    </w:pPr>
    <w:rPr>
      <w:rFonts w:ascii="Arial" w:cs="宋体"/>
      <w:b/>
      <w:sz w:val="32"/>
    </w:rPr>
  </w:style>
  <w:style w:type="paragraph" w:customStyle="1" w:styleId="1321">
    <w:name w:val="标题4 YHY"/>
    <w:basedOn w:val="7"/>
    <w:next w:val="1"/>
    <w:qFormat/>
    <w:uiPriority w:val="0"/>
    <w:pPr>
      <w:keepNext w:val="0"/>
      <w:keepLines w:val="0"/>
      <w:tabs>
        <w:tab w:val="left" w:pos="352"/>
        <w:tab w:val="left" w:pos="798"/>
      </w:tabs>
      <w:spacing w:before="50" w:beforeLines="50" w:after="50" w:afterLines="50" w:line="360" w:lineRule="auto"/>
      <w:ind w:left="0" w:firstLine="0"/>
      <w:jc w:val="both"/>
    </w:pPr>
    <w:rPr>
      <w:rFonts w:ascii="宋体" w:hAnsi="宋体" w:eastAsia="宋体"/>
      <w:b w:val="0"/>
      <w:color w:val="auto"/>
      <w:szCs w:val="24"/>
    </w:rPr>
  </w:style>
  <w:style w:type="paragraph" w:customStyle="1" w:styleId="1322">
    <w:name w:val="样式 标题 3 + 段前: 0.3 行1"/>
    <w:basedOn w:val="6"/>
    <w:semiHidden/>
    <w:qFormat/>
    <w:uiPriority w:val="0"/>
    <w:pPr>
      <w:tabs>
        <w:tab w:val="left" w:pos="142"/>
        <w:tab w:val="left" w:pos="284"/>
        <w:tab w:val="left" w:pos="709"/>
        <w:tab w:val="left" w:pos="1134"/>
      </w:tabs>
      <w:adjustRightInd w:val="0"/>
      <w:snapToGrid w:val="0"/>
      <w:spacing w:before="0" w:after="0" w:line="500" w:lineRule="exact"/>
      <w:ind w:left="0" w:firstLine="0"/>
      <w:jc w:val="left"/>
    </w:pPr>
    <w:rPr>
      <w:rFonts w:ascii="Arial" w:hAnsi="Arial" w:eastAsia="黑体" w:cs="宋体"/>
      <w:bCs w:val="0"/>
      <w:sz w:val="32"/>
    </w:rPr>
  </w:style>
  <w:style w:type="paragraph" w:customStyle="1" w:styleId="1323">
    <w:name w:val="样式 标题 3 + 行距: 多倍行距 1.45 字行"/>
    <w:basedOn w:val="6"/>
    <w:qFormat/>
    <w:uiPriority w:val="0"/>
    <w:pPr>
      <w:tabs>
        <w:tab w:val="left" w:pos="1260"/>
      </w:tabs>
      <w:adjustRightInd w:val="0"/>
      <w:spacing w:before="0" w:after="0" w:line="420" w:lineRule="exact"/>
      <w:ind w:left="1260" w:hanging="420"/>
      <w:textAlignment w:val="baseline"/>
    </w:pPr>
    <w:rPr>
      <w:rFonts w:ascii="Times New Roman" w:eastAsia="宋体"/>
      <w:szCs w:val="24"/>
    </w:rPr>
  </w:style>
  <w:style w:type="paragraph" w:customStyle="1" w:styleId="1324">
    <w:name w:val="正文文本缩进 31"/>
    <w:basedOn w:val="1"/>
    <w:qFormat/>
    <w:uiPriority w:val="0"/>
    <w:pPr>
      <w:adjustRightInd w:val="0"/>
      <w:snapToGrid w:val="0"/>
      <w:spacing w:line="360" w:lineRule="auto"/>
      <w:ind w:firstLine="480"/>
      <w:textAlignment w:val="baseline"/>
    </w:pPr>
    <w:rPr>
      <w:rFonts w:ascii="宋体" w:hAnsi="宋体" w:eastAsia="宋体"/>
      <w:sz w:val="24"/>
    </w:rPr>
  </w:style>
  <w:style w:type="paragraph" w:customStyle="1" w:styleId="1325">
    <w:name w:val="font15"/>
    <w:basedOn w:val="1"/>
    <w:qFormat/>
    <w:uiPriority w:val="0"/>
    <w:pPr>
      <w:widowControl/>
      <w:spacing w:before="100" w:beforeAutospacing="1" w:after="100" w:afterAutospacing="1"/>
      <w:jc w:val="left"/>
    </w:pPr>
    <w:rPr>
      <w:rFonts w:ascii="Arial" w:hAnsi="Arial" w:eastAsia="宋体" w:cs="Arial"/>
      <w:kern w:val="0"/>
      <w:sz w:val="21"/>
      <w:szCs w:val="21"/>
    </w:rPr>
  </w:style>
  <w:style w:type="paragraph" w:customStyle="1" w:styleId="1326">
    <w:name w:val="xl5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eastAsia="宋体"/>
      <w:kern w:val="0"/>
      <w:sz w:val="20"/>
    </w:rPr>
  </w:style>
  <w:style w:type="paragraph" w:customStyle="1" w:styleId="1327">
    <w:name w:val="font16"/>
    <w:basedOn w:val="1"/>
    <w:qFormat/>
    <w:uiPriority w:val="0"/>
    <w:pPr>
      <w:widowControl/>
      <w:spacing w:before="100" w:beforeAutospacing="1" w:after="100" w:afterAutospacing="1"/>
      <w:jc w:val="left"/>
    </w:pPr>
    <w:rPr>
      <w:rFonts w:ascii="Arial" w:hAnsi="Arial" w:eastAsia="宋体" w:cs="Arial"/>
      <w:kern w:val="0"/>
      <w:sz w:val="21"/>
      <w:szCs w:val="21"/>
    </w:rPr>
  </w:style>
  <w:style w:type="paragraph" w:customStyle="1" w:styleId="1328">
    <w:name w:val="1标题3级"/>
    <w:basedOn w:val="1"/>
    <w:qFormat/>
    <w:uiPriority w:val="0"/>
    <w:pPr>
      <w:keepNext/>
      <w:adjustRightInd w:val="0"/>
      <w:spacing w:before="120" w:beforeLines="50" w:after="120" w:afterLines="50"/>
    </w:pPr>
    <w:rPr>
      <w:rFonts w:ascii="宋体" w:hAnsi="宋体" w:eastAsia="宋体"/>
      <w:b/>
      <w:bCs/>
      <w:kern w:val="0"/>
      <w:szCs w:val="28"/>
    </w:rPr>
  </w:style>
  <w:style w:type="paragraph" w:customStyle="1" w:styleId="1329">
    <w:name w:val="表格方案样式2"/>
    <w:basedOn w:val="1330"/>
    <w:qFormat/>
    <w:uiPriority w:val="0"/>
    <w:pPr>
      <w:tabs>
        <w:tab w:val="left" w:pos="567"/>
      </w:tabs>
    </w:pPr>
    <w:rPr>
      <w:spacing w:val="0"/>
    </w:rPr>
  </w:style>
  <w:style w:type="paragraph" w:customStyle="1" w:styleId="1330">
    <w:name w:val="表格文字样式"/>
    <w:basedOn w:val="1"/>
    <w:qFormat/>
    <w:uiPriority w:val="0"/>
    <w:pPr>
      <w:widowControl/>
      <w:tabs>
        <w:tab w:val="left" w:pos="567"/>
      </w:tabs>
      <w:jc w:val="center"/>
    </w:pPr>
    <w:rPr>
      <w:rFonts w:ascii="宋体" w:hAnsi="宋体" w:eastAsia="华文中宋" w:cs="宋体"/>
      <w:spacing w:val="20"/>
      <w:kern w:val="0"/>
      <w:sz w:val="24"/>
    </w:rPr>
  </w:style>
  <w:style w:type="paragraph" w:customStyle="1" w:styleId="1331">
    <w:name w:val="段落2"/>
    <w:basedOn w:val="1"/>
    <w:qFormat/>
    <w:uiPriority w:val="0"/>
    <w:pPr>
      <w:spacing w:beforeLines="50"/>
      <w:ind w:left="500" w:leftChars="500"/>
    </w:pPr>
    <w:rPr>
      <w:rFonts w:ascii="Arial" w:hAnsi="Arial" w:eastAsia="宋体"/>
      <w:sz w:val="22"/>
      <w:szCs w:val="24"/>
    </w:rPr>
  </w:style>
  <w:style w:type="paragraph" w:customStyle="1" w:styleId="1332">
    <w:name w:val="reader-word-layer reader-word-s1-5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333">
    <w:name w:val="ST20_59"/>
    <w:basedOn w:val="1319"/>
    <w:qFormat/>
    <w:uiPriority w:val="0"/>
    <w:pPr>
      <w:ind w:left="1800"/>
    </w:pPr>
  </w:style>
  <w:style w:type="paragraph" w:customStyle="1" w:styleId="1334">
    <w:name w:val="样式 7表格(治) + (符号) 宋体 小四 行距: 多倍行距 1.13 字行"/>
    <w:basedOn w:val="193"/>
    <w:qFormat/>
    <w:uiPriority w:val="0"/>
    <w:pPr>
      <w:spacing w:line="271" w:lineRule="auto"/>
    </w:pPr>
    <w:rPr>
      <w:rFonts w:eastAsia="宋体" w:cs="宋体"/>
      <w:color w:val="auto"/>
      <w:sz w:val="18"/>
      <w:szCs w:val="20"/>
    </w:rPr>
  </w:style>
  <w:style w:type="paragraph" w:customStyle="1" w:styleId="1335">
    <w:name w:val="ST20_57"/>
    <w:basedOn w:val="1319"/>
    <w:qFormat/>
    <w:uiPriority w:val="0"/>
    <w:pPr>
      <w:ind w:left="2160"/>
    </w:pPr>
  </w:style>
  <w:style w:type="paragraph" w:customStyle="1" w:styleId="1336">
    <w:name w:val="xl73"/>
    <w:basedOn w:val="1"/>
    <w:qFormat/>
    <w:uiPriority w:val="0"/>
    <w:pPr>
      <w:widowControl/>
      <w:pBdr>
        <w:top w:val="single" w:color="auto" w:sz="8" w:space="0"/>
        <w:bottom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337">
    <w:name w:val="表字"/>
    <w:basedOn w:val="1"/>
    <w:qFormat/>
    <w:uiPriority w:val="0"/>
    <w:pPr>
      <w:jc w:val="center"/>
    </w:pPr>
    <w:rPr>
      <w:rFonts w:ascii="宋体" w:eastAsia="宋体"/>
      <w:sz w:val="21"/>
    </w:rPr>
  </w:style>
  <w:style w:type="paragraph" w:customStyle="1" w:styleId="1338">
    <w:name w:val="In Table (II)"/>
    <w:basedOn w:val="702"/>
    <w:semiHidden/>
    <w:qFormat/>
    <w:uiPriority w:val="0"/>
    <w:pPr>
      <w:tabs>
        <w:tab w:val="clear" w:pos="2200"/>
        <w:tab w:val="clear" w:pos="3960"/>
        <w:tab w:val="clear" w:pos="5280"/>
      </w:tabs>
      <w:spacing w:beforeLines="25" w:afterLines="25"/>
      <w:ind w:left="48" w:leftChars="20"/>
    </w:pPr>
    <w:rPr>
      <w:rFonts w:ascii="宋体" w:hAnsi="宋体" w:eastAsia="宋体"/>
      <w:bCs/>
      <w:sz w:val="18"/>
      <w:szCs w:val="18"/>
    </w:rPr>
  </w:style>
  <w:style w:type="paragraph" w:customStyle="1" w:styleId="1339">
    <w:name w:val="ST20_48"/>
    <w:basedOn w:val="752"/>
    <w:qFormat/>
    <w:uiPriority w:val="0"/>
    <w:pPr>
      <w:tabs>
        <w:tab w:val="left" w:pos="1080"/>
        <w:tab w:val="clear" w:pos="720"/>
      </w:tabs>
      <w:ind w:left="1080"/>
    </w:pPr>
  </w:style>
  <w:style w:type="paragraph" w:customStyle="1" w:styleId="1340">
    <w:name w:val="纯文本3"/>
    <w:basedOn w:val="1"/>
    <w:qFormat/>
    <w:uiPriority w:val="0"/>
    <w:pPr>
      <w:adjustRightInd w:val="0"/>
      <w:jc w:val="left"/>
      <w:textAlignment w:val="baseline"/>
    </w:pPr>
    <w:rPr>
      <w:rFonts w:ascii="宋体" w:hAnsi="Courier New" w:eastAsia="宋体"/>
      <w:sz w:val="24"/>
    </w:rPr>
  </w:style>
  <w:style w:type="paragraph" w:customStyle="1" w:styleId="1341">
    <w:name w:val="ST20_56"/>
    <w:basedOn w:val="1319"/>
    <w:qFormat/>
    <w:uiPriority w:val="0"/>
    <w:pPr>
      <w:ind w:left="1080"/>
    </w:pPr>
  </w:style>
  <w:style w:type="paragraph" w:customStyle="1" w:styleId="1342">
    <w:name w:val="表格内容格式"/>
    <w:basedOn w:val="1"/>
    <w:qFormat/>
    <w:uiPriority w:val="0"/>
    <w:pPr>
      <w:adjustRightInd w:val="0"/>
      <w:spacing w:line="240" w:lineRule="atLeast"/>
      <w:textAlignment w:val="baseline"/>
    </w:pPr>
    <w:rPr>
      <w:rFonts w:ascii="宋体" w:hAnsi="宋体" w:eastAsia="宋体"/>
      <w:color w:val="000000"/>
      <w:kern w:val="0"/>
      <w:sz w:val="21"/>
    </w:rPr>
  </w:style>
  <w:style w:type="paragraph" w:customStyle="1" w:styleId="1343">
    <w:name w:val="正文首行缩进1"/>
    <w:basedOn w:val="34"/>
    <w:next w:val="1"/>
    <w:qFormat/>
    <w:uiPriority w:val="0"/>
    <w:pPr>
      <w:spacing w:after="0" w:line="460" w:lineRule="exact"/>
      <w:ind w:firstLine="567"/>
    </w:pPr>
    <w:rPr>
      <w:rFonts w:ascii="Arial" w:hAnsi="Arial" w:eastAsia="宋体"/>
      <w:kern w:val="28"/>
      <w:sz w:val="24"/>
    </w:rPr>
  </w:style>
  <w:style w:type="paragraph" w:customStyle="1" w:styleId="1344">
    <w:name w:val="自定义表格文字居中"/>
    <w:basedOn w:val="1"/>
    <w:qFormat/>
    <w:uiPriority w:val="0"/>
    <w:pPr>
      <w:adjustRightInd w:val="0"/>
      <w:snapToGrid w:val="0"/>
      <w:ind w:left="4" w:hanging="4" w:hangingChars="2"/>
      <w:jc w:val="center"/>
      <w:outlineLvl w:val="0"/>
    </w:pPr>
    <w:rPr>
      <w:rFonts w:ascii="宋体" w:hAnsi="宋体" w:eastAsia="宋体"/>
      <w:kern w:val="0"/>
      <w:sz w:val="21"/>
      <w:szCs w:val="21"/>
    </w:rPr>
  </w:style>
  <w:style w:type="paragraph" w:customStyle="1" w:styleId="1345">
    <w:name w:val="刘正文"/>
    <w:basedOn w:val="1"/>
    <w:semiHidden/>
    <w:qFormat/>
    <w:uiPriority w:val="0"/>
    <w:pPr>
      <w:spacing w:line="500" w:lineRule="exact"/>
      <w:ind w:firstLine="567"/>
    </w:pPr>
    <w:rPr>
      <w:color w:val="000000"/>
    </w:rPr>
  </w:style>
  <w:style w:type="paragraph" w:customStyle="1" w:styleId="1346">
    <w:name w:val="表格后正文"/>
    <w:basedOn w:val="1347"/>
    <w:qFormat/>
    <w:uiPriority w:val="0"/>
    <w:pPr>
      <w:tabs>
        <w:tab w:val="left" w:pos="567"/>
      </w:tabs>
      <w:spacing w:before="200"/>
    </w:pPr>
  </w:style>
  <w:style w:type="paragraph" w:customStyle="1" w:styleId="1347">
    <w:name w:val="新正文样式"/>
    <w:basedOn w:val="1"/>
    <w:qFormat/>
    <w:uiPriority w:val="0"/>
    <w:pPr>
      <w:widowControl/>
      <w:tabs>
        <w:tab w:val="left" w:pos="567"/>
      </w:tabs>
      <w:spacing w:line="360" w:lineRule="auto"/>
      <w:ind w:firstLine="560" w:firstLineChars="200"/>
      <w:jc w:val="left"/>
    </w:pPr>
    <w:rPr>
      <w:rFonts w:ascii="宋体" w:hAnsi="宋体" w:eastAsia="华文中宋" w:cs="宋体"/>
      <w:spacing w:val="20"/>
      <w:kern w:val="0"/>
      <w:sz w:val="24"/>
    </w:rPr>
  </w:style>
  <w:style w:type="paragraph" w:customStyle="1" w:styleId="1348">
    <w:name w:val="xl125"/>
    <w:basedOn w:val="1"/>
    <w:qFormat/>
    <w:uiPriority w:val="0"/>
    <w:pPr>
      <w:widowControl/>
      <w:pBdr>
        <w:bottom w:val="single" w:color="auto" w:sz="4" w:space="0"/>
        <w:righ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349">
    <w:name w:val="样式 2标题(治) +"/>
    <w:basedOn w:val="1"/>
    <w:semiHidden/>
    <w:qFormat/>
    <w:uiPriority w:val="0"/>
    <w:pPr>
      <w:keepNext/>
      <w:keepLines/>
      <w:spacing w:before="120" w:after="120"/>
      <w:outlineLvl w:val="1"/>
    </w:pPr>
    <w:rPr>
      <w:rFonts w:eastAsia="黑体" w:cs="宋体"/>
      <w:b/>
      <w:bCs/>
      <w:sz w:val="30"/>
    </w:rPr>
  </w:style>
  <w:style w:type="paragraph" w:customStyle="1" w:styleId="1350">
    <w:name w:val="表中正文"/>
    <w:qFormat/>
    <w:uiPriority w:val="0"/>
    <w:pPr>
      <w:widowControl w:val="0"/>
      <w:spacing w:line="240" w:lineRule="atLeast"/>
      <w:jc w:val="center"/>
    </w:pPr>
    <w:rPr>
      <w:rFonts w:ascii="Times New Roman" w:hAnsi="Times New Roman" w:eastAsia="宋体" w:cs="宋体"/>
      <w:snapToGrid w:val="0"/>
      <w:kern w:val="2"/>
      <w:sz w:val="21"/>
      <w:szCs w:val="18"/>
      <w:lang w:val="en-US" w:eastAsia="zh-CN" w:bidi="ar-SA"/>
    </w:rPr>
  </w:style>
  <w:style w:type="paragraph" w:customStyle="1" w:styleId="1351">
    <w:name w:val="xl96"/>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2"/>
      <w:szCs w:val="22"/>
    </w:rPr>
  </w:style>
  <w:style w:type="paragraph" w:customStyle="1" w:styleId="1352">
    <w:name w:val="样式 1标题4级 + 段前: 0.5 行 段后: 0.5 行"/>
    <w:basedOn w:val="1353"/>
    <w:qFormat/>
    <w:uiPriority w:val="0"/>
    <w:pPr>
      <w:spacing w:before="50" w:beforeLines="0" w:after="50" w:afterLines="0"/>
      <w:ind w:firstLine="0"/>
    </w:pPr>
    <w:rPr>
      <w:rFonts w:cs="宋体"/>
      <w:bCs/>
      <w:szCs w:val="20"/>
    </w:rPr>
  </w:style>
  <w:style w:type="paragraph" w:customStyle="1" w:styleId="1353">
    <w:name w:val="1标题4级"/>
    <w:basedOn w:val="1"/>
    <w:qFormat/>
    <w:uiPriority w:val="0"/>
    <w:pPr>
      <w:keepNext/>
      <w:snapToGrid w:val="0"/>
      <w:spacing w:before="156" w:beforeLines="50" w:after="156" w:afterLines="50" w:line="360" w:lineRule="auto"/>
      <w:ind w:firstLine="425"/>
      <w:outlineLvl w:val="2"/>
    </w:pPr>
    <w:rPr>
      <w:rFonts w:eastAsia="黑体"/>
      <w:b/>
      <w:kern w:val="0"/>
      <w:sz w:val="24"/>
      <w:szCs w:val="24"/>
    </w:rPr>
  </w:style>
  <w:style w:type="paragraph" w:customStyle="1" w:styleId="1354">
    <w:name w:val="样式 标题 3H3H31H32H33u3标题 3 Char Char Char标题 3 Char Char Cha...2"/>
    <w:basedOn w:val="6"/>
    <w:qFormat/>
    <w:uiPriority w:val="0"/>
    <w:pPr>
      <w:keepLines w:val="0"/>
      <w:tabs>
        <w:tab w:val="left" w:pos="57"/>
      </w:tabs>
      <w:spacing w:before="0" w:after="0" w:line="360" w:lineRule="auto"/>
      <w:ind w:left="-1134" w:firstLine="567"/>
      <w:jc w:val="left"/>
    </w:pPr>
    <w:rPr>
      <w:rFonts w:ascii="Times New Roman" w:hAnsi="宋体" w:eastAsia="宋体" w:cs="宋体"/>
    </w:rPr>
  </w:style>
  <w:style w:type="paragraph" w:customStyle="1" w:styleId="1355">
    <w:name w:val="样式 首行缩进:  0.77 厘米 行距: 固定值 20 磅"/>
    <w:basedOn w:val="1"/>
    <w:qFormat/>
    <w:uiPriority w:val="0"/>
    <w:pPr>
      <w:spacing w:line="360" w:lineRule="auto"/>
      <w:ind w:firstLine="435"/>
    </w:pPr>
    <w:rPr>
      <w:rFonts w:eastAsia="宋体"/>
      <w:sz w:val="24"/>
    </w:rPr>
  </w:style>
  <w:style w:type="paragraph" w:customStyle="1" w:styleId="1356">
    <w:name w:val="xl89"/>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w:hAnsi="Arial" w:eastAsia="宋体" w:cs="Arial"/>
      <w:kern w:val="0"/>
      <w:sz w:val="22"/>
      <w:szCs w:val="22"/>
    </w:rPr>
  </w:style>
  <w:style w:type="paragraph" w:customStyle="1" w:styleId="1357">
    <w:name w:val="正文居中"/>
    <w:basedOn w:val="1"/>
    <w:qFormat/>
    <w:uiPriority w:val="0"/>
    <w:pPr>
      <w:adjustRightInd w:val="0"/>
      <w:snapToGrid w:val="0"/>
      <w:spacing w:line="360" w:lineRule="auto"/>
      <w:jc w:val="center"/>
      <w:textAlignment w:val="baseline"/>
    </w:pPr>
    <w:rPr>
      <w:rFonts w:ascii="宋体" w:hAnsi="宋体" w:eastAsia="宋体"/>
      <w:kern w:val="0"/>
      <w:sz w:val="24"/>
    </w:rPr>
  </w:style>
  <w:style w:type="paragraph" w:customStyle="1" w:styleId="1358">
    <w:name w:val="xl111"/>
    <w:basedOn w:val="1"/>
    <w:qFormat/>
    <w:uiPriority w:val="0"/>
    <w:pPr>
      <w:widowControl/>
      <w:pBdr>
        <w:bottom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359">
    <w:name w:val="表格内字体"/>
    <w:basedOn w:val="46"/>
    <w:qFormat/>
    <w:uiPriority w:val="0"/>
    <w:pPr>
      <w:adjustRightInd w:val="0"/>
      <w:snapToGrid w:val="0"/>
      <w:jc w:val="center"/>
    </w:pPr>
    <w:rPr>
      <w:rFonts w:ascii="Times New Roman" w:hAnsi="Times New Roman"/>
      <w:kern w:val="0"/>
      <w:sz w:val="24"/>
    </w:rPr>
  </w:style>
  <w:style w:type="paragraph" w:customStyle="1" w:styleId="1360">
    <w:name w:val="样式 标题 1 + Times New Roman"/>
    <w:basedOn w:val="3"/>
    <w:qFormat/>
    <w:uiPriority w:val="0"/>
    <w:pPr>
      <w:keepNext w:val="0"/>
      <w:keepLines w:val="0"/>
      <w:pageBreakBefore w:val="0"/>
      <w:adjustRightInd w:val="0"/>
      <w:snapToGrid w:val="0"/>
      <w:spacing w:before="100" w:beforeLines="100" w:after="100" w:afterLines="100" w:line="480" w:lineRule="atLeast"/>
      <w:ind w:left="0" w:firstLine="200" w:firstLineChars="200"/>
      <w:textAlignment w:val="baseline"/>
    </w:pPr>
    <w:rPr>
      <w:bCs/>
      <w:kern w:val="2"/>
      <w:sz w:val="32"/>
    </w:rPr>
  </w:style>
  <w:style w:type="paragraph" w:customStyle="1" w:styleId="1361">
    <w:name w:val="xl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hint="eastAsia" w:ascii="宋体" w:hAnsi="宋体" w:eastAsia="宋体"/>
      <w:kern w:val="0"/>
      <w:sz w:val="20"/>
    </w:rPr>
  </w:style>
  <w:style w:type="paragraph" w:customStyle="1" w:styleId="1362">
    <w:name w:val="xl88"/>
    <w:basedOn w:val="1"/>
    <w:qFormat/>
    <w:uiPriority w:val="0"/>
    <w:pPr>
      <w:widowControl/>
      <w:pBdr>
        <w:top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363">
    <w:name w:val="样式 标题 2 + (西文) Times New Roman (中文) 宋体 四号 首行缩进:  2 字符 段前: 6 ...1"/>
    <w:basedOn w:val="4"/>
    <w:qFormat/>
    <w:uiPriority w:val="0"/>
    <w:pPr>
      <w:tabs>
        <w:tab w:val="center" w:pos="567"/>
      </w:tabs>
      <w:adjustRightInd w:val="0"/>
      <w:snapToGrid w:val="0"/>
      <w:spacing w:after="120" w:line="480" w:lineRule="atLeast"/>
      <w:ind w:left="0" w:firstLine="200" w:firstLineChars="200"/>
    </w:pPr>
    <w:rPr>
      <w:rFonts w:ascii="Times New Roman" w:hAnsi="Times New Roman" w:eastAsia="宋体" w:cs="宋体"/>
      <w:b/>
      <w:bCs/>
    </w:rPr>
  </w:style>
  <w:style w:type="paragraph" w:customStyle="1" w:styleId="1364">
    <w:name w:val="Titre Instr. 2"/>
    <w:basedOn w:val="1365"/>
    <w:qFormat/>
    <w:uiPriority w:val="0"/>
    <w:pPr>
      <w:pBdr>
        <w:top w:val="none" w:color="auto" w:sz="0" w:space="0"/>
        <w:left w:val="none" w:color="auto" w:sz="0" w:space="0"/>
        <w:bottom w:val="none" w:color="auto" w:sz="0" w:space="0"/>
        <w:right w:val="none" w:color="auto" w:sz="0" w:space="0"/>
      </w:pBdr>
    </w:pPr>
  </w:style>
  <w:style w:type="paragraph" w:customStyle="1" w:styleId="1365">
    <w:name w:val="Titre Instruction"/>
    <w:basedOn w:val="1"/>
    <w:qFormat/>
    <w:uiPriority w:val="0"/>
    <w:pPr>
      <w:widowControl/>
      <w:pBdr>
        <w:top w:val="double" w:color="auto" w:sz="6" w:space="1"/>
        <w:left w:val="double" w:color="auto" w:sz="6" w:space="1"/>
        <w:bottom w:val="double" w:color="auto" w:sz="6" w:space="1"/>
        <w:right w:val="double" w:color="auto" w:sz="6" w:space="1"/>
      </w:pBdr>
      <w:spacing w:before="120" w:after="1320"/>
      <w:ind w:left="851" w:right="851"/>
      <w:jc w:val="center"/>
    </w:pPr>
    <w:rPr>
      <w:rFonts w:eastAsia="宋体"/>
      <w:b/>
      <w:caps/>
      <w:kern w:val="0"/>
      <w:sz w:val="32"/>
      <w:lang w:val="fr-FR"/>
    </w:rPr>
  </w:style>
  <w:style w:type="paragraph" w:customStyle="1" w:styleId="1366">
    <w:name w:val="样式 行距: 最小值 24 磅 首行缩进:  2 字符"/>
    <w:basedOn w:val="1"/>
    <w:qFormat/>
    <w:uiPriority w:val="0"/>
    <w:pPr>
      <w:spacing w:line="480" w:lineRule="atLeast"/>
      <w:ind w:firstLine="480" w:firstLineChars="200"/>
    </w:pPr>
    <w:rPr>
      <w:rFonts w:eastAsia="宋体" w:cs="宋体"/>
      <w:sz w:val="24"/>
    </w:rPr>
  </w:style>
  <w:style w:type="paragraph" w:customStyle="1" w:styleId="1367">
    <w:name w:val="ST20_43"/>
    <w:basedOn w:val="1319"/>
    <w:next w:val="1"/>
    <w:qFormat/>
    <w:uiPriority w:val="0"/>
    <w:pPr>
      <w:spacing w:after="240"/>
    </w:pPr>
  </w:style>
  <w:style w:type="paragraph" w:customStyle="1" w:styleId="1368">
    <w:name w:val="正文表"/>
    <w:basedOn w:val="1"/>
    <w:semiHidden/>
    <w:qFormat/>
    <w:uiPriority w:val="0"/>
    <w:pPr>
      <w:tabs>
        <w:tab w:val="left" w:pos="2451"/>
        <w:tab w:val="left" w:pos="4614"/>
        <w:tab w:val="left" w:pos="6777"/>
        <w:tab w:val="left" w:pos="8940"/>
      </w:tabs>
      <w:autoSpaceDE w:val="0"/>
      <w:autoSpaceDN w:val="0"/>
      <w:adjustRightInd w:val="0"/>
      <w:jc w:val="center"/>
      <w:textAlignment w:val="bottom"/>
    </w:pPr>
    <w:rPr>
      <w:rFonts w:eastAsia="宋体"/>
      <w:color w:val="000000"/>
      <w:kern w:val="0"/>
    </w:rPr>
  </w:style>
  <w:style w:type="paragraph" w:customStyle="1" w:styleId="1369">
    <w:name w:val="Char81"/>
    <w:basedOn w:val="1"/>
    <w:qFormat/>
    <w:uiPriority w:val="0"/>
    <w:pPr>
      <w:adjustRightInd w:val="0"/>
      <w:snapToGrid w:val="0"/>
      <w:spacing w:line="360" w:lineRule="auto"/>
      <w:ind w:firstLine="200" w:firstLineChars="200"/>
    </w:pPr>
    <w:rPr>
      <w:rFonts w:ascii="宋体" w:hAnsi="宋体" w:eastAsia="黑体" w:cs="宋体"/>
      <w:b/>
      <w:sz w:val="44"/>
      <w:szCs w:val="24"/>
    </w:rPr>
  </w:style>
  <w:style w:type="paragraph" w:customStyle="1" w:styleId="1370">
    <w:name w:val="reader-word-layer reader-word-s1-56"/>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371">
    <w:name w:val="Char Char2 Char Char Char Char1"/>
    <w:basedOn w:val="1"/>
    <w:semiHidden/>
    <w:qFormat/>
    <w:uiPriority w:val="0"/>
    <w:pPr>
      <w:snapToGrid w:val="0"/>
      <w:spacing w:line="360" w:lineRule="auto"/>
    </w:pPr>
    <w:rPr>
      <w:rFonts w:ascii="宋体" w:hAnsi="宋体" w:eastAsia="宋体" w:cs="宋体"/>
      <w:sz w:val="24"/>
      <w:szCs w:val="24"/>
    </w:rPr>
  </w:style>
  <w:style w:type="paragraph" w:customStyle="1" w:styleId="1372">
    <w:name w:val="Char Char6 Char Char Char Char Char Char1"/>
    <w:basedOn w:val="1"/>
    <w:semiHidden/>
    <w:qFormat/>
    <w:uiPriority w:val="0"/>
    <w:pPr>
      <w:snapToGrid w:val="0"/>
      <w:spacing w:line="360" w:lineRule="auto"/>
      <w:ind w:firstLine="200" w:firstLineChars="200"/>
    </w:pPr>
    <w:rPr>
      <w:rFonts w:ascii="宋体" w:hAnsi="宋体" w:eastAsia="宋体" w:cs="宋体"/>
      <w:sz w:val="24"/>
      <w:szCs w:val="24"/>
    </w:rPr>
  </w:style>
  <w:style w:type="paragraph" w:customStyle="1" w:styleId="1373">
    <w:name w:val="Char Char Char1 Char1"/>
    <w:basedOn w:val="1"/>
    <w:qFormat/>
    <w:uiPriority w:val="0"/>
    <w:pPr>
      <w:spacing w:line="360" w:lineRule="auto"/>
      <w:ind w:firstLine="200" w:firstLineChars="200"/>
    </w:pPr>
    <w:rPr>
      <w:rFonts w:ascii="宋体" w:hAnsi="宋体" w:eastAsia="宋体" w:cs="宋体"/>
      <w:sz w:val="24"/>
      <w:szCs w:val="24"/>
    </w:rPr>
  </w:style>
  <w:style w:type="paragraph" w:customStyle="1" w:styleId="1374">
    <w:name w:val="Char Char Char Char2"/>
    <w:basedOn w:val="1"/>
    <w:qFormat/>
    <w:uiPriority w:val="0"/>
    <w:rPr>
      <w:rFonts w:eastAsia="宋体"/>
      <w:sz w:val="21"/>
      <w:szCs w:val="24"/>
    </w:rPr>
  </w:style>
  <w:style w:type="paragraph" w:customStyle="1" w:styleId="1375">
    <w:name w:val="文字"/>
    <w:basedOn w:val="1"/>
    <w:qFormat/>
    <w:uiPriority w:val="0"/>
    <w:pPr>
      <w:widowControl/>
      <w:spacing w:after="120" w:afterLines="50" w:line="360" w:lineRule="auto"/>
      <w:ind w:firstLine="420"/>
    </w:pPr>
    <w:rPr>
      <w:rFonts w:eastAsia="宋体"/>
      <w:kern w:val="0"/>
      <w:sz w:val="24"/>
      <w:szCs w:val="24"/>
    </w:rPr>
  </w:style>
  <w:style w:type="paragraph" w:customStyle="1" w:styleId="1376">
    <w:name w:val="样式 标题 2标题 21标题 121节H2SeHead wsa2标题 1.1 + 黑体 四号 非加粗"/>
    <w:basedOn w:val="4"/>
    <w:qFormat/>
    <w:uiPriority w:val="0"/>
    <w:pPr>
      <w:spacing w:before="260" w:after="260" w:line="416" w:lineRule="auto"/>
      <w:ind w:left="0" w:firstLine="0"/>
    </w:pPr>
    <w:rPr>
      <w:rFonts w:hAnsi="黑体"/>
      <w:szCs w:val="32"/>
    </w:rPr>
  </w:style>
  <w:style w:type="paragraph" w:customStyle="1" w:styleId="1377">
    <w:name w:val="样式 标题 4 + 宋体 小四 非加粗"/>
    <w:basedOn w:val="7"/>
    <w:qFormat/>
    <w:uiPriority w:val="0"/>
    <w:pPr>
      <w:tabs>
        <w:tab w:val="left" w:pos="708"/>
      </w:tabs>
      <w:spacing w:before="280" w:after="290" w:line="376" w:lineRule="auto"/>
      <w:ind w:left="708" w:hanging="708"/>
      <w:jc w:val="both"/>
    </w:pPr>
    <w:rPr>
      <w:rFonts w:ascii="宋体" w:hAnsi="宋体" w:eastAsia="宋体"/>
      <w:b w:val="0"/>
      <w:color w:val="auto"/>
      <w:szCs w:val="28"/>
    </w:rPr>
  </w:style>
  <w:style w:type="paragraph" w:customStyle="1" w:styleId="1378">
    <w:name w:val="ST20_49"/>
    <w:basedOn w:val="752"/>
    <w:qFormat/>
    <w:uiPriority w:val="0"/>
    <w:pPr>
      <w:tabs>
        <w:tab w:val="left" w:pos="1440"/>
        <w:tab w:val="clear" w:pos="720"/>
      </w:tabs>
      <w:ind w:left="1440"/>
    </w:pPr>
  </w:style>
  <w:style w:type="paragraph" w:customStyle="1" w:styleId="1379">
    <w:name w:val="Titre 1 sans SP"/>
    <w:basedOn w:val="3"/>
    <w:qFormat/>
    <w:uiPriority w:val="0"/>
    <w:pPr>
      <w:keepNext w:val="0"/>
      <w:keepLines w:val="0"/>
      <w:pageBreakBefore w:val="0"/>
      <w:widowControl/>
      <w:tabs>
        <w:tab w:val="left" w:pos="432"/>
      </w:tabs>
      <w:spacing w:before="720" w:after="120" w:line="280" w:lineRule="atLeast"/>
      <w:ind w:left="432" w:hanging="432"/>
      <w:jc w:val="left"/>
    </w:pPr>
    <w:rPr>
      <w:b w:val="0"/>
      <w:caps/>
      <w:kern w:val="0"/>
      <w:sz w:val="32"/>
    </w:rPr>
  </w:style>
  <w:style w:type="paragraph" w:customStyle="1" w:styleId="1380">
    <w:name w:val="xl85"/>
    <w:basedOn w:val="1"/>
    <w:qFormat/>
    <w:uiPriority w:val="0"/>
    <w:pPr>
      <w:widowControl/>
      <w:pBdr>
        <w:top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0"/>
    </w:rPr>
  </w:style>
  <w:style w:type="paragraph" w:customStyle="1" w:styleId="1381">
    <w:name w:val="Company Name One"/>
    <w:basedOn w:val="805"/>
    <w:next w:val="1"/>
    <w:qFormat/>
    <w:uiPriority w:val="0"/>
  </w:style>
  <w:style w:type="paragraph" w:customStyle="1" w:styleId="1382">
    <w:name w:val="Document Label"/>
    <w:basedOn w:val="1"/>
    <w:next w:val="1"/>
    <w:qFormat/>
    <w:uiPriority w:val="0"/>
    <w:pPr>
      <w:widowControl/>
      <w:spacing w:after="220"/>
      <w:ind w:right="-360"/>
      <w:jc w:val="left"/>
    </w:pPr>
    <w:rPr>
      <w:rFonts w:eastAsia="宋体"/>
      <w:spacing w:val="-20"/>
      <w:kern w:val="0"/>
      <w:sz w:val="48"/>
    </w:rPr>
  </w:style>
  <w:style w:type="paragraph" w:customStyle="1" w:styleId="1383">
    <w:name w:val="高表内"/>
    <w:basedOn w:val="46"/>
    <w:semiHidden/>
    <w:qFormat/>
    <w:uiPriority w:val="0"/>
    <w:pPr>
      <w:autoSpaceDE w:val="0"/>
      <w:adjustRightInd w:val="0"/>
      <w:snapToGrid w:val="0"/>
      <w:spacing w:before="60" w:after="60"/>
      <w:jc w:val="left"/>
      <w:textAlignment w:val="baseline"/>
    </w:pPr>
    <w:rPr>
      <w:rFonts w:ascii="Arial" w:hAnsi="Arial"/>
    </w:rPr>
  </w:style>
  <w:style w:type="paragraph" w:customStyle="1" w:styleId="1384">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hint="eastAsia" w:ascii="宋体" w:hAnsi="宋体" w:eastAsia="宋体"/>
      <w:kern w:val="0"/>
      <w:sz w:val="20"/>
    </w:rPr>
  </w:style>
  <w:style w:type="paragraph" w:customStyle="1" w:styleId="1385">
    <w:name w:val="xl148"/>
    <w:basedOn w:val="1"/>
    <w:qFormat/>
    <w:uiPriority w:val="0"/>
    <w:pPr>
      <w:widowControl/>
      <w:pBdr>
        <w:top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386">
    <w:name w:val="首页脚注"/>
    <w:basedOn w:val="56"/>
    <w:semiHidden/>
    <w:qFormat/>
    <w:uiPriority w:val="0"/>
    <w:pPr>
      <w:keepLines/>
      <w:widowControl/>
      <w:tabs>
        <w:tab w:val="center" w:pos="4320"/>
        <w:tab w:val="clear" w:pos="4153"/>
        <w:tab w:val="clear" w:pos="8306"/>
      </w:tabs>
      <w:overflowPunct w:val="0"/>
      <w:autoSpaceDE w:val="0"/>
      <w:autoSpaceDN w:val="0"/>
      <w:adjustRightInd w:val="0"/>
      <w:snapToGrid/>
      <w:spacing w:line="360" w:lineRule="auto"/>
      <w:jc w:val="center"/>
      <w:textAlignment w:val="baseline"/>
    </w:pPr>
    <w:rPr>
      <w:rFonts w:eastAsia="宋体"/>
      <w:kern w:val="0"/>
      <w:sz w:val="28"/>
    </w:rPr>
  </w:style>
  <w:style w:type="paragraph" w:customStyle="1" w:styleId="1387">
    <w:name w:val="xl61"/>
    <w:basedOn w:val="1"/>
    <w:qFormat/>
    <w:uiPriority w:val="0"/>
    <w:pPr>
      <w:widowControl/>
      <w:spacing w:before="100" w:beforeAutospacing="1" w:after="100" w:afterAutospacing="1"/>
      <w:jc w:val="center"/>
    </w:pPr>
    <w:rPr>
      <w:rFonts w:ascii="宋体" w:hAnsi="宋体" w:eastAsia="宋体" w:cs="宋体"/>
      <w:kern w:val="0"/>
      <w:sz w:val="20"/>
    </w:rPr>
  </w:style>
  <w:style w:type="paragraph" w:customStyle="1" w:styleId="1388">
    <w:name w:val="样式 (符号) 宋体 首行缩进:  0.93 厘米 段前: 6 磅 段后: 6 磅 行距: 固定值 18 磅1"/>
    <w:basedOn w:val="1"/>
    <w:qFormat/>
    <w:uiPriority w:val="0"/>
    <w:pPr>
      <w:spacing w:before="160" w:after="160" w:line="320" w:lineRule="exact"/>
      <w:ind w:firstLine="527"/>
    </w:pPr>
    <w:rPr>
      <w:rFonts w:hAnsi="宋体" w:eastAsia="宋体"/>
      <w:sz w:val="24"/>
    </w:rPr>
  </w:style>
  <w:style w:type="paragraph" w:customStyle="1" w:styleId="1389">
    <w:name w:val="xl112"/>
    <w:basedOn w:val="1"/>
    <w:qFormat/>
    <w:uiPriority w:val="0"/>
    <w:pPr>
      <w:widowControl/>
      <w:pBdr>
        <w:bottom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390">
    <w:name w:val="4"/>
    <w:basedOn w:val="1"/>
    <w:qFormat/>
    <w:uiPriority w:val="0"/>
    <w:pPr>
      <w:spacing w:line="360" w:lineRule="auto"/>
      <w:ind w:firstLine="200" w:firstLineChars="200"/>
    </w:pPr>
    <w:rPr>
      <w:rFonts w:ascii="宋体" w:hAnsi="宋体" w:eastAsia="宋体" w:cs="宋体"/>
      <w:sz w:val="24"/>
      <w:szCs w:val="24"/>
    </w:rPr>
  </w:style>
  <w:style w:type="paragraph" w:customStyle="1" w:styleId="1391">
    <w:name w:val="Body Text 21"/>
    <w:basedOn w:val="1"/>
    <w:qFormat/>
    <w:uiPriority w:val="0"/>
    <w:pPr>
      <w:adjustRightInd w:val="0"/>
      <w:jc w:val="left"/>
    </w:pPr>
    <w:rPr>
      <w:rFonts w:eastAsia="宋体"/>
      <w:sz w:val="24"/>
    </w:rPr>
  </w:style>
  <w:style w:type="paragraph" w:customStyle="1" w:styleId="1392">
    <w:name w:val="xl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hint="eastAsia" w:ascii="宋体" w:hAnsi="宋体" w:eastAsia="宋体"/>
      <w:color w:val="FF0000"/>
      <w:kern w:val="0"/>
      <w:sz w:val="20"/>
    </w:rPr>
  </w:style>
  <w:style w:type="paragraph" w:customStyle="1" w:styleId="1393">
    <w:name w:val="Char Char2 Char Char Char Char Char Char"/>
    <w:basedOn w:val="1"/>
    <w:semiHidden/>
    <w:qFormat/>
    <w:uiPriority w:val="0"/>
    <w:pPr>
      <w:spacing w:line="360" w:lineRule="auto"/>
    </w:pPr>
    <w:rPr>
      <w:rFonts w:ascii="宋体" w:hAnsi="宋体" w:eastAsia="宋体"/>
      <w:sz w:val="22"/>
      <w:szCs w:val="24"/>
    </w:rPr>
  </w:style>
  <w:style w:type="paragraph" w:customStyle="1" w:styleId="1394">
    <w:name w:val="正文02"/>
    <w:basedOn w:val="1"/>
    <w:qFormat/>
    <w:uiPriority w:val="0"/>
    <w:pPr>
      <w:spacing w:before="400" w:line="460" w:lineRule="exact"/>
      <w:ind w:firstLine="200" w:firstLineChars="200"/>
    </w:pPr>
    <w:rPr>
      <w:rFonts w:eastAsia="宋体"/>
      <w:sz w:val="24"/>
      <w:szCs w:val="24"/>
    </w:rPr>
  </w:style>
  <w:style w:type="paragraph" w:customStyle="1" w:styleId="1395">
    <w:name w:val="xl107"/>
    <w:basedOn w:val="1"/>
    <w:qFormat/>
    <w:uiPriority w:val="0"/>
    <w:pPr>
      <w:widowControl/>
      <w:pBdr>
        <w:top w:val="single" w:color="auto" w:sz="4" w:space="0"/>
        <w:lef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396">
    <w:name w:val="样式 样式 标题 1 + 自动设置 + 段前: 0.5 行 段后: 0.5 行"/>
    <w:basedOn w:val="1"/>
    <w:qFormat/>
    <w:uiPriority w:val="0"/>
    <w:pPr>
      <w:keepNext/>
      <w:keepLines/>
      <w:adjustRightInd w:val="0"/>
      <w:spacing w:after="50" w:afterLines="50" w:line="360" w:lineRule="auto"/>
      <w:jc w:val="center"/>
      <w:textAlignment w:val="baseline"/>
      <w:outlineLvl w:val="0"/>
    </w:pPr>
    <w:rPr>
      <w:rFonts w:eastAsia="黑体" w:cs="宋体"/>
      <w:bCs/>
      <w:sz w:val="30"/>
    </w:rPr>
  </w:style>
  <w:style w:type="paragraph" w:customStyle="1" w:styleId="1397">
    <w:name w:val="ST20_52"/>
    <w:basedOn w:val="751"/>
    <w:qFormat/>
    <w:uiPriority w:val="0"/>
    <w:pPr>
      <w:ind w:left="1440"/>
    </w:pPr>
  </w:style>
  <w:style w:type="paragraph" w:customStyle="1" w:styleId="1398">
    <w:name w:val="（1）名字"/>
    <w:basedOn w:val="1"/>
    <w:qFormat/>
    <w:uiPriority w:val="0"/>
    <w:pPr>
      <w:adjustRightInd w:val="0"/>
      <w:spacing w:line="480" w:lineRule="auto"/>
      <w:textAlignment w:val="baseline"/>
    </w:pPr>
    <w:rPr>
      <w:rFonts w:hAnsi="宋体" w:eastAsia="宋体"/>
      <w:sz w:val="24"/>
      <w:szCs w:val="24"/>
    </w:rPr>
  </w:style>
  <w:style w:type="paragraph" w:customStyle="1" w:styleId="1399">
    <w:name w:val="样式 (中文) 黑体 三号 居中 行距: 固定值 24 磅"/>
    <w:basedOn w:val="3"/>
    <w:qFormat/>
    <w:uiPriority w:val="0"/>
    <w:pPr>
      <w:pageBreakBefore w:val="0"/>
      <w:tabs>
        <w:tab w:val="left" w:pos="980"/>
      </w:tabs>
      <w:adjustRightInd w:val="0"/>
      <w:spacing w:before="0" w:after="0" w:line="360" w:lineRule="auto"/>
      <w:ind w:left="980" w:hanging="420"/>
      <w:textAlignment w:val="baseline"/>
    </w:pPr>
    <w:rPr>
      <w:rFonts w:cs="宋体"/>
      <w:b w:val="0"/>
      <w:bCs/>
      <w:sz w:val="32"/>
      <w:szCs w:val="32"/>
    </w:rPr>
  </w:style>
  <w:style w:type="paragraph" w:customStyle="1" w:styleId="1400">
    <w:name w:val="xl131"/>
    <w:basedOn w:val="1"/>
    <w:qFormat/>
    <w:uiPriority w:val="0"/>
    <w:pPr>
      <w:widowControl/>
      <w:pBdr>
        <w:bottom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401">
    <w:name w:val="Personal Info"/>
    <w:basedOn w:val="1402"/>
    <w:qFormat/>
    <w:uiPriority w:val="0"/>
    <w:pPr>
      <w:tabs>
        <w:tab w:val="left" w:pos="420"/>
      </w:tabs>
      <w:spacing w:before="220"/>
    </w:pPr>
  </w:style>
  <w:style w:type="paragraph" w:customStyle="1" w:styleId="1402">
    <w:name w:val="Achievement"/>
    <w:basedOn w:val="34"/>
    <w:qFormat/>
    <w:uiPriority w:val="0"/>
    <w:pPr>
      <w:widowControl/>
      <w:tabs>
        <w:tab w:val="left" w:pos="420"/>
      </w:tabs>
      <w:spacing w:after="60" w:line="220" w:lineRule="atLeast"/>
      <w:ind w:right="-360"/>
      <w:jc w:val="left"/>
    </w:pPr>
    <w:rPr>
      <w:rFonts w:eastAsia="宋体"/>
      <w:kern w:val="0"/>
      <w:sz w:val="20"/>
    </w:rPr>
  </w:style>
  <w:style w:type="paragraph" w:customStyle="1" w:styleId="1403">
    <w:name w:val="样式 标题 1 + 自动设置"/>
    <w:basedOn w:val="3"/>
    <w:qFormat/>
    <w:uiPriority w:val="0"/>
    <w:pPr>
      <w:pageBreakBefore w:val="0"/>
      <w:tabs>
        <w:tab w:val="left" w:pos="980"/>
      </w:tabs>
      <w:adjustRightInd w:val="0"/>
      <w:spacing w:before="50" w:beforeLines="50" w:after="50" w:afterLines="50" w:line="360" w:lineRule="auto"/>
      <w:ind w:left="980" w:hanging="420"/>
      <w:textAlignment w:val="baseline"/>
    </w:pPr>
    <w:rPr>
      <w:rFonts w:eastAsia="黑体"/>
      <w:b w:val="0"/>
      <w:bCs/>
      <w:kern w:val="2"/>
      <w:sz w:val="30"/>
      <w:szCs w:val="30"/>
    </w:rPr>
  </w:style>
  <w:style w:type="paragraph" w:customStyle="1" w:styleId="1404">
    <w:name w:val="论文正文"/>
    <w:basedOn w:val="5"/>
    <w:qFormat/>
    <w:uiPriority w:val="0"/>
    <w:pPr>
      <w:spacing w:line="240" w:lineRule="auto"/>
      <w:ind w:firstLine="480" w:firstLineChars="200"/>
    </w:pPr>
    <w:rPr>
      <w:rFonts w:ascii="宋体" w:hAnsi="宋体" w:cs="Times New Roman"/>
      <w:spacing w:val="0"/>
      <w:sz w:val="28"/>
      <w:szCs w:val="24"/>
    </w:rPr>
  </w:style>
  <w:style w:type="paragraph" w:customStyle="1" w:styleId="1405">
    <w:name w:val="表、图名"/>
    <w:basedOn w:val="1"/>
    <w:link w:val="2901"/>
    <w:qFormat/>
    <w:uiPriority w:val="0"/>
    <w:pPr>
      <w:adjustRightInd w:val="0"/>
      <w:snapToGrid w:val="0"/>
      <w:spacing w:before="100" w:beforeAutospacing="1" w:line="360" w:lineRule="auto"/>
      <w:ind w:left="-6"/>
      <w:jc w:val="center"/>
    </w:pPr>
    <w:rPr>
      <w:rFonts w:ascii="黑体" w:hAnsi="宋体" w:eastAsia="黑体"/>
      <w:color w:val="000000"/>
      <w:kern w:val="0"/>
      <w:sz w:val="24"/>
      <w:szCs w:val="24"/>
    </w:rPr>
  </w:style>
  <w:style w:type="paragraph" w:customStyle="1" w:styleId="1406">
    <w:name w:val="my"/>
    <w:qFormat/>
    <w:uiPriority w:val="0"/>
    <w:pPr>
      <w:spacing w:before="60" w:line="460" w:lineRule="exact"/>
      <w:ind w:firstLine="200" w:firstLineChars="200"/>
    </w:pPr>
    <w:rPr>
      <w:rFonts w:ascii="Times New Roman" w:hAnsi="Times New Roman" w:eastAsia="宋体" w:cs="Times New Roman"/>
      <w:sz w:val="24"/>
      <w:lang w:val="en-US" w:eastAsia="zh-CN" w:bidi="ar-SA"/>
    </w:rPr>
  </w:style>
  <w:style w:type="paragraph" w:customStyle="1" w:styleId="1407">
    <w:name w:val="样式 标题 3 + (西文) Times New Roman (中文) 宋体 小四 加粗 段前: 1 行"/>
    <w:basedOn w:val="6"/>
    <w:qFormat/>
    <w:uiPriority w:val="0"/>
    <w:pPr>
      <w:keepNext w:val="0"/>
      <w:keepLines w:val="0"/>
      <w:tabs>
        <w:tab w:val="left" w:pos="1260"/>
      </w:tabs>
      <w:adjustRightInd w:val="0"/>
      <w:spacing w:before="0" w:after="0"/>
      <w:ind w:left="271" w:leftChars="113" w:hanging="420"/>
      <w:textAlignment w:val="baseline"/>
    </w:pPr>
    <w:rPr>
      <w:rFonts w:ascii="Times New Roman" w:eastAsia="宋体"/>
      <w:sz w:val="18"/>
      <w:szCs w:val="18"/>
    </w:rPr>
  </w:style>
  <w:style w:type="paragraph" w:customStyle="1" w:styleId="1408">
    <w:name w:val="样式－表"/>
    <w:basedOn w:val="1"/>
    <w:qFormat/>
    <w:uiPriority w:val="0"/>
    <w:pPr>
      <w:adjustRightInd w:val="0"/>
      <w:snapToGrid w:val="0"/>
      <w:spacing w:before="62"/>
      <w:jc w:val="center"/>
    </w:pPr>
    <w:rPr>
      <w:rFonts w:eastAsia="宋体"/>
      <w:color w:val="000000"/>
      <w:kern w:val="0"/>
      <w:sz w:val="24"/>
    </w:rPr>
  </w:style>
  <w:style w:type="paragraph" w:customStyle="1" w:styleId="1409">
    <w:name w:val="样式 左"/>
    <w:basedOn w:val="1"/>
    <w:qFormat/>
    <w:uiPriority w:val="0"/>
    <w:pPr>
      <w:spacing w:line="360" w:lineRule="auto"/>
      <w:jc w:val="left"/>
    </w:pPr>
    <w:rPr>
      <w:rFonts w:ascii="Arial" w:hAnsi="Arial" w:eastAsia="宋体"/>
      <w:sz w:val="24"/>
    </w:rPr>
  </w:style>
  <w:style w:type="paragraph" w:customStyle="1" w:styleId="1410">
    <w:name w:val="xl87"/>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eastAsia="宋体" w:cs="宋体"/>
      <w:kern w:val="0"/>
      <w:sz w:val="22"/>
      <w:szCs w:val="22"/>
    </w:rPr>
  </w:style>
  <w:style w:type="paragraph" w:customStyle="1" w:styleId="1411">
    <w:name w:val="图像样式"/>
    <w:basedOn w:val="1"/>
    <w:qFormat/>
    <w:uiPriority w:val="0"/>
    <w:pPr>
      <w:snapToGrid w:val="0"/>
      <w:spacing w:before="50" w:beforeLines="50" w:after="50" w:afterLines="50"/>
      <w:jc w:val="center"/>
    </w:pPr>
    <w:rPr>
      <w:rFonts w:eastAsia="宋体"/>
      <w:sz w:val="24"/>
      <w:szCs w:val="24"/>
    </w:rPr>
  </w:style>
  <w:style w:type="paragraph" w:customStyle="1" w:styleId="1412">
    <w:name w:val="xl152"/>
    <w:basedOn w:val="1"/>
    <w:qFormat/>
    <w:uiPriority w:val="0"/>
    <w:pPr>
      <w:widowControl/>
      <w:pBdr>
        <w:right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413">
    <w:name w:val="reader-word-layer reader-word-s1-5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414">
    <w:name w:val="Style1"/>
    <w:basedOn w:val="1"/>
    <w:qFormat/>
    <w:uiPriority w:val="0"/>
    <w:pPr>
      <w:widowControl/>
      <w:tabs>
        <w:tab w:val="left" w:pos="840"/>
        <w:tab w:val="left" w:pos="1440"/>
      </w:tabs>
      <w:ind w:left="90" w:hanging="420"/>
      <w:jc w:val="left"/>
    </w:pPr>
    <w:rPr>
      <w:rFonts w:ascii="Arial" w:hAnsi="Arial" w:eastAsia="宋体"/>
      <w:b/>
      <w:kern w:val="0"/>
      <w:sz w:val="20"/>
    </w:rPr>
  </w:style>
  <w:style w:type="paragraph" w:customStyle="1" w:styleId="1415">
    <w:name w:val="Bullet 4"/>
    <w:basedOn w:val="1"/>
    <w:next w:val="1"/>
    <w:qFormat/>
    <w:uiPriority w:val="0"/>
    <w:pPr>
      <w:widowControl/>
      <w:tabs>
        <w:tab w:val="left" w:pos="420"/>
        <w:tab w:val="left" w:pos="1440"/>
      </w:tabs>
      <w:ind w:left="4320"/>
      <w:jc w:val="left"/>
    </w:pPr>
    <w:rPr>
      <w:rFonts w:ascii="Arial" w:hAnsi="Arial" w:eastAsia="宋体"/>
      <w:kern w:val="0"/>
      <w:sz w:val="20"/>
    </w:rPr>
  </w:style>
  <w:style w:type="paragraph" w:customStyle="1" w:styleId="1416">
    <w:name w:val="默认段落字体 Para Char Char Char Char Char Char Char Char Char1 Char Char Char Char"/>
    <w:basedOn w:val="1"/>
    <w:qFormat/>
    <w:uiPriority w:val="0"/>
    <w:rPr>
      <w:rFonts w:eastAsia="宋体"/>
      <w:sz w:val="21"/>
    </w:rPr>
  </w:style>
  <w:style w:type="paragraph" w:customStyle="1" w:styleId="1417">
    <w:name w:val="fontcontent"/>
    <w:basedOn w:val="1"/>
    <w:qFormat/>
    <w:uiPriority w:val="0"/>
    <w:pPr>
      <w:widowControl/>
      <w:spacing w:line="360" w:lineRule="auto"/>
      <w:jc w:val="left"/>
    </w:pPr>
    <w:rPr>
      <w:rFonts w:ascii="宋体" w:hAnsi="宋体" w:eastAsia="宋体" w:cs="宋体"/>
      <w:color w:val="333333"/>
      <w:kern w:val="0"/>
      <w:sz w:val="18"/>
      <w:szCs w:val="18"/>
    </w:rPr>
  </w:style>
  <w:style w:type="paragraph" w:customStyle="1" w:styleId="1418">
    <w:name w:val="!Texte courant"/>
    <w:qFormat/>
    <w:uiPriority w:val="0"/>
    <w:pPr>
      <w:spacing w:before="120" w:line="280" w:lineRule="atLeast"/>
      <w:jc w:val="both"/>
    </w:pPr>
    <w:rPr>
      <w:rFonts w:ascii="Times New Roman" w:hAnsi="Times New Roman" w:eastAsia="宋体" w:cs="Times New Roman"/>
      <w:sz w:val="24"/>
      <w:lang w:val="fr-FR" w:eastAsia="zh-CN" w:bidi="ar-SA"/>
    </w:rPr>
  </w:style>
  <w:style w:type="paragraph" w:customStyle="1" w:styleId="1419">
    <w:name w:val="样式 标题 4款标题1.1.1.1标题 4 Char Char标题 4 Char四表格1目H4H41L4Mi..."/>
    <w:basedOn w:val="7"/>
    <w:qFormat/>
    <w:uiPriority w:val="0"/>
    <w:pPr>
      <w:keepLines w:val="0"/>
      <w:adjustRightInd w:val="0"/>
      <w:snapToGrid w:val="0"/>
      <w:spacing w:line="360" w:lineRule="auto"/>
      <w:textAlignment w:val="baseline"/>
    </w:pPr>
    <w:rPr>
      <w:rFonts w:ascii="仿宋_GB2312" w:hAnsi="Times New Roman" w:cs="宋体"/>
      <w:bCs/>
      <w:color w:val="auto"/>
      <w:kern w:val="0"/>
    </w:rPr>
  </w:style>
  <w:style w:type="paragraph" w:customStyle="1" w:styleId="1420">
    <w:name w:val="xl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hint="eastAsia" w:ascii="宋体" w:hAnsi="宋体" w:eastAsia="宋体"/>
      <w:kern w:val="0"/>
      <w:sz w:val="20"/>
    </w:rPr>
  </w:style>
  <w:style w:type="paragraph" w:customStyle="1" w:styleId="1421">
    <w:name w:val="首行缩进:  0.99 厘米 + 首行缩进:  2 字符"/>
    <w:basedOn w:val="1"/>
    <w:semiHidden/>
    <w:qFormat/>
    <w:uiPriority w:val="0"/>
    <w:pPr>
      <w:widowControl/>
      <w:tabs>
        <w:tab w:val="left" w:pos="2632"/>
      </w:tabs>
      <w:topLinePunct/>
      <w:spacing w:line="480" w:lineRule="exact"/>
      <w:ind w:firstLine="480" w:firstLineChars="200"/>
    </w:pPr>
    <w:rPr>
      <w:rFonts w:ascii="Arial" w:hAnsi="宋体" w:eastAsia="宋体" w:cs="Arial"/>
      <w:kern w:val="0"/>
      <w:sz w:val="24"/>
      <w:szCs w:val="24"/>
    </w:rPr>
  </w:style>
  <w:style w:type="paragraph" w:customStyle="1" w:styleId="1422">
    <w:name w:val="样式 标题 2标题节标题节 Char Char标题 2 Char Char Char节标题 1.1第一层条H2He..."/>
    <w:basedOn w:val="3"/>
    <w:qFormat/>
    <w:uiPriority w:val="0"/>
    <w:pPr>
      <w:keepLines w:val="0"/>
      <w:pageBreakBefore w:val="0"/>
      <w:tabs>
        <w:tab w:val="left" w:pos="0"/>
      </w:tabs>
      <w:spacing w:before="0" w:after="0" w:line="360" w:lineRule="auto"/>
      <w:ind w:left="0" w:firstLine="0"/>
      <w:jc w:val="left"/>
    </w:pPr>
    <w:rPr>
      <w:rFonts w:eastAsia="黑体" w:cs="宋体"/>
      <w:bCs/>
      <w:kern w:val="2"/>
      <w:sz w:val="28"/>
    </w:rPr>
  </w:style>
  <w:style w:type="paragraph" w:customStyle="1" w:styleId="1423">
    <w:name w:val="xl140"/>
    <w:basedOn w:val="1"/>
    <w:qFormat/>
    <w:uiPriority w:val="0"/>
    <w:pPr>
      <w:widowControl/>
      <w:spacing w:before="100" w:beforeAutospacing="1" w:after="100" w:afterAutospacing="1"/>
      <w:jc w:val="left"/>
    </w:pPr>
    <w:rPr>
      <w:rFonts w:ascii="Arial" w:hAnsi="Arial" w:eastAsia="宋体" w:cs="Arial"/>
      <w:kern w:val="0"/>
      <w:sz w:val="24"/>
      <w:szCs w:val="24"/>
    </w:rPr>
  </w:style>
  <w:style w:type="paragraph" w:customStyle="1" w:styleId="1424">
    <w:name w:val="样式 标题 3H3H31H32H33u3标题 3 Char Char Char标题 3 Char Char Cha...1"/>
    <w:basedOn w:val="1"/>
    <w:qFormat/>
    <w:uiPriority w:val="0"/>
    <w:pPr>
      <w:tabs>
        <w:tab w:val="left" w:pos="432"/>
      </w:tabs>
      <w:spacing w:line="360" w:lineRule="auto"/>
      <w:ind w:left="432" w:hanging="432"/>
      <w:jc w:val="left"/>
    </w:pPr>
    <w:rPr>
      <w:rFonts w:hAnsi="宋体" w:eastAsia="宋体" w:cs="宋体"/>
      <w:b/>
      <w:bCs/>
      <w:sz w:val="24"/>
    </w:rPr>
  </w:style>
  <w:style w:type="paragraph" w:customStyle="1" w:styleId="1425">
    <w:name w:val="ST20_50"/>
    <w:basedOn w:val="752"/>
    <w:qFormat/>
    <w:uiPriority w:val="0"/>
    <w:pPr>
      <w:tabs>
        <w:tab w:val="left" w:pos="1800"/>
        <w:tab w:val="clear" w:pos="720"/>
      </w:tabs>
      <w:ind w:left="1800"/>
    </w:pPr>
  </w:style>
  <w:style w:type="paragraph" w:customStyle="1" w:styleId="1426">
    <w:name w:val="样式 段落 + 首行缩进:  0.63 厘米 段前: 1 行"/>
    <w:basedOn w:val="939"/>
    <w:qFormat/>
    <w:uiPriority w:val="0"/>
    <w:pPr>
      <w:tabs>
        <w:tab w:val="clear" w:pos="1021"/>
      </w:tabs>
      <w:adjustRightInd/>
      <w:spacing w:line="0" w:lineRule="atLeast"/>
      <w:ind w:left="773" w:leftChars="322" w:firstLine="360" w:firstLineChars="0"/>
    </w:pPr>
    <w:rPr>
      <w:rFonts w:ascii="Arial" w:hAnsi="Arial" w:eastAsia="Arial"/>
      <w:kern w:val="2"/>
      <w:sz w:val="22"/>
    </w:rPr>
  </w:style>
  <w:style w:type="paragraph" w:customStyle="1" w:styleId="1427">
    <w:name w:val="Bullet 5"/>
    <w:basedOn w:val="1"/>
    <w:next w:val="1"/>
    <w:qFormat/>
    <w:uiPriority w:val="0"/>
    <w:pPr>
      <w:widowControl/>
      <w:tabs>
        <w:tab w:val="left" w:pos="420"/>
        <w:tab w:val="left" w:pos="1440"/>
      </w:tabs>
      <w:ind w:left="5041"/>
      <w:jc w:val="left"/>
    </w:pPr>
    <w:rPr>
      <w:rFonts w:ascii="Arial" w:hAnsi="Arial" w:eastAsia="宋体"/>
      <w:kern w:val="0"/>
      <w:sz w:val="20"/>
    </w:rPr>
  </w:style>
  <w:style w:type="paragraph" w:customStyle="1" w:styleId="1428">
    <w:name w:val="样式 标题 4款标题1.1.1.1标题 4 Char Char标题 4 Char四表格1目H4H41L4Mi...2"/>
    <w:basedOn w:val="7"/>
    <w:qFormat/>
    <w:uiPriority w:val="0"/>
    <w:pPr>
      <w:keepLines w:val="0"/>
      <w:adjustRightInd w:val="0"/>
      <w:snapToGrid w:val="0"/>
      <w:spacing w:before="120" w:line="360" w:lineRule="auto"/>
      <w:textAlignment w:val="baseline"/>
    </w:pPr>
    <w:rPr>
      <w:rFonts w:ascii="Times New Roman" w:hAnsi="Times New Roman" w:eastAsia="宋体"/>
      <w:bCs/>
      <w:kern w:val="0"/>
    </w:rPr>
  </w:style>
  <w:style w:type="paragraph" w:customStyle="1" w:styleId="1429">
    <w:name w:val="表内式样"/>
    <w:qFormat/>
    <w:uiPriority w:val="0"/>
    <w:pPr>
      <w:framePr w:hSpace="180" w:wrap="around" w:vAnchor="text" w:hAnchor="margin" w:x="-684" w:y="3"/>
      <w:widowControl w:val="0"/>
      <w:spacing w:line="0" w:lineRule="atLeast"/>
      <w:jc w:val="center"/>
    </w:pPr>
    <w:rPr>
      <w:rFonts w:ascii="Times New Roman" w:hAnsi="Times New Roman" w:eastAsia="宋体" w:cs="Times New Roman"/>
      <w:kern w:val="2"/>
      <w:sz w:val="21"/>
      <w:lang w:val="en-US" w:eastAsia="zh-CN" w:bidi="ar-SA"/>
    </w:rPr>
  </w:style>
  <w:style w:type="paragraph" w:customStyle="1" w:styleId="1430">
    <w:name w:val="xl9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kern w:val="0"/>
      <w:sz w:val="22"/>
      <w:szCs w:val="22"/>
    </w:rPr>
  </w:style>
  <w:style w:type="paragraph" w:customStyle="1" w:styleId="1431">
    <w:name w:val="样式 标题 1章标题章ChChapter HeadingIBM Section Head标题 1 Char Char..."/>
    <w:basedOn w:val="3"/>
    <w:qFormat/>
    <w:uiPriority w:val="0"/>
    <w:pPr>
      <w:pageBreakBefore w:val="0"/>
      <w:tabs>
        <w:tab w:val="left" w:pos="532"/>
        <w:tab w:val="clear" w:pos="1080"/>
      </w:tabs>
      <w:spacing w:before="240" w:beforeLines="100" w:after="0" w:line="360" w:lineRule="auto"/>
      <w:ind w:left="532" w:right="532" w:rightChars="532" w:hanging="432"/>
      <w:jc w:val="both"/>
    </w:pPr>
    <w:rPr>
      <w:rFonts w:ascii="宋体" w:hAnsi="宋体" w:eastAsia="黑体" w:cs="宋体"/>
      <w:bCs/>
      <w:sz w:val="44"/>
    </w:rPr>
  </w:style>
  <w:style w:type="paragraph" w:customStyle="1" w:styleId="1432">
    <w:name w:val="xl146"/>
    <w:basedOn w:val="1"/>
    <w:qFormat/>
    <w:uiPriority w:val="0"/>
    <w:pPr>
      <w:widowControl/>
      <w:pBdr>
        <w:top w:val="single" w:color="auto" w:sz="8" w:space="0"/>
        <w:left w:val="single" w:color="auto" w:sz="4" w:space="0"/>
      </w:pBdr>
      <w:spacing w:before="100" w:beforeAutospacing="1" w:after="100" w:afterAutospacing="1"/>
      <w:jc w:val="center"/>
      <w:textAlignment w:val="center"/>
    </w:pPr>
    <w:rPr>
      <w:rFonts w:ascii="黑体" w:hAnsi="宋体" w:eastAsia="黑体" w:cs="宋体"/>
      <w:kern w:val="0"/>
      <w:sz w:val="20"/>
    </w:rPr>
  </w:style>
  <w:style w:type="paragraph" w:customStyle="1" w:styleId="1433">
    <w:name w:val="c"/>
    <w:link w:val="2715"/>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1434">
    <w:name w:val="xl55"/>
    <w:basedOn w:val="1"/>
    <w:qFormat/>
    <w:uiPriority w:val="0"/>
    <w:pPr>
      <w:widowControl/>
      <w:pBdr>
        <w:top w:val="single" w:color="auto" w:sz="4" w:space="0"/>
        <w:bottom w:val="single" w:color="auto" w:sz="4" w:space="0"/>
        <w:right w:val="single" w:color="auto" w:sz="4" w:space="0"/>
      </w:pBdr>
      <w:spacing w:before="100" w:beforeAutospacing="1" w:after="100" w:afterAutospacing="1"/>
      <w:jc w:val="right"/>
    </w:pPr>
    <w:rPr>
      <w:rFonts w:hint="eastAsia" w:ascii="宋体" w:hAnsi="宋体" w:eastAsia="宋体"/>
      <w:kern w:val="0"/>
      <w:sz w:val="20"/>
    </w:rPr>
  </w:style>
  <w:style w:type="paragraph" w:customStyle="1" w:styleId="1435">
    <w:name w:val="xl150"/>
    <w:basedOn w:val="1"/>
    <w:qFormat/>
    <w:uiPriority w:val="0"/>
    <w:pPr>
      <w:widowControl/>
      <w:pBdr>
        <w:left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436">
    <w:name w:val="gb1"/>
    <w:basedOn w:val="1"/>
    <w:qFormat/>
    <w:uiPriority w:val="0"/>
    <w:pPr>
      <w:widowControl/>
      <w:tabs>
        <w:tab w:val="left" w:pos="227"/>
      </w:tabs>
      <w:overflowPunct w:val="0"/>
      <w:autoSpaceDE w:val="0"/>
      <w:autoSpaceDN w:val="0"/>
      <w:adjustRightInd w:val="0"/>
      <w:spacing w:before="120" w:after="120"/>
      <w:textAlignment w:val="baseline"/>
    </w:pPr>
    <w:rPr>
      <w:rFonts w:ascii="Arial" w:hAnsi="Arial" w:eastAsia="仿宋体"/>
      <w:kern w:val="0"/>
      <w:sz w:val="21"/>
    </w:rPr>
  </w:style>
  <w:style w:type="paragraph" w:customStyle="1" w:styleId="1437">
    <w:name w:val="表格-五号"/>
    <w:basedOn w:val="1"/>
    <w:semiHidden/>
    <w:qFormat/>
    <w:uiPriority w:val="0"/>
    <w:pPr>
      <w:adjustRightInd w:val="0"/>
      <w:jc w:val="center"/>
      <w:textAlignment w:val="baseline"/>
    </w:pPr>
    <w:rPr>
      <w:rFonts w:ascii="宋体" w:eastAsia="宋体"/>
      <w:kern w:val="0"/>
      <w:sz w:val="21"/>
      <w:szCs w:val="24"/>
    </w:rPr>
  </w:style>
  <w:style w:type="paragraph" w:customStyle="1" w:styleId="1438">
    <w:name w:val="Sun"/>
    <w:basedOn w:val="1"/>
    <w:semiHidden/>
    <w:qFormat/>
    <w:uiPriority w:val="0"/>
    <w:pPr>
      <w:adjustRightInd w:val="0"/>
      <w:spacing w:line="360" w:lineRule="auto"/>
      <w:ind w:firstLine="567"/>
      <w:textAlignment w:val="baseline"/>
    </w:pPr>
    <w:rPr>
      <w:rFonts w:ascii="宋体" w:eastAsia="宋体"/>
      <w:kern w:val="28"/>
    </w:rPr>
  </w:style>
  <w:style w:type="paragraph" w:customStyle="1" w:styleId="1439">
    <w:name w:val="xl95"/>
    <w:basedOn w:val="1"/>
    <w:qFormat/>
    <w:uiPriority w:val="0"/>
    <w:pPr>
      <w:widowControl/>
      <w:pBdr>
        <w:bottom w:val="single" w:color="auto" w:sz="4" w:space="0"/>
        <w:right w:val="single" w:color="auto" w:sz="4" w:space="0"/>
      </w:pBdr>
      <w:spacing w:before="100" w:beforeAutospacing="1" w:after="100" w:afterAutospacing="1"/>
      <w:jc w:val="center"/>
    </w:pPr>
    <w:rPr>
      <w:rFonts w:ascii="Arial" w:hAnsi="Arial" w:eastAsia="宋体" w:cs="Arial"/>
      <w:kern w:val="0"/>
      <w:sz w:val="22"/>
      <w:szCs w:val="22"/>
    </w:rPr>
  </w:style>
  <w:style w:type="paragraph" w:customStyle="1" w:styleId="1440">
    <w:name w:val="Heading Base"/>
    <w:basedOn w:val="34"/>
    <w:next w:val="34"/>
    <w:qFormat/>
    <w:uiPriority w:val="0"/>
    <w:pPr>
      <w:keepNext/>
      <w:keepLines/>
      <w:widowControl/>
      <w:spacing w:after="0" w:line="220" w:lineRule="atLeast"/>
      <w:ind w:right="-360"/>
      <w:jc w:val="left"/>
    </w:pPr>
    <w:rPr>
      <w:rFonts w:ascii="Arial" w:hAnsi="Arial" w:eastAsia="宋体"/>
      <w:spacing w:val="-4"/>
      <w:kern w:val="0"/>
      <w:sz w:val="18"/>
    </w:rPr>
  </w:style>
  <w:style w:type="paragraph" w:customStyle="1" w:styleId="1441">
    <w:name w:val="图片"/>
    <w:basedOn w:val="1"/>
    <w:next w:val="22"/>
    <w:qFormat/>
    <w:uiPriority w:val="0"/>
    <w:pPr>
      <w:widowControl/>
      <w:tabs>
        <w:tab w:val="left" w:pos="1335"/>
      </w:tabs>
      <w:adjustRightInd w:val="0"/>
      <w:snapToGrid w:val="0"/>
      <w:ind w:left="1335" w:hanging="705"/>
      <w:jc w:val="center"/>
    </w:pPr>
    <w:rPr>
      <w:rFonts w:ascii="Arial" w:hAnsi="Arial"/>
      <w:color w:val="000000"/>
      <w:kern w:val="0"/>
    </w:rPr>
  </w:style>
  <w:style w:type="paragraph" w:customStyle="1" w:styleId="1442">
    <w:name w:val="标题5"/>
    <w:basedOn w:val="5"/>
    <w:qFormat/>
    <w:uiPriority w:val="0"/>
    <w:pPr>
      <w:keepNext/>
      <w:widowControl/>
      <w:overflowPunct w:val="0"/>
      <w:autoSpaceDE w:val="0"/>
      <w:autoSpaceDN w:val="0"/>
      <w:adjustRightInd w:val="0"/>
      <w:spacing w:before="240" w:after="60" w:line="240" w:lineRule="auto"/>
      <w:ind w:firstLine="0"/>
      <w:jc w:val="left"/>
      <w:textAlignment w:val="baseline"/>
      <w:outlineLvl w:val="2"/>
    </w:pPr>
    <w:rPr>
      <w:rFonts w:ascii="Times New Roman" w:hAnsi="Times New Roman" w:cs="Times New Roman"/>
      <w:i/>
      <w:spacing w:val="0"/>
      <w:kern w:val="0"/>
    </w:rPr>
  </w:style>
  <w:style w:type="paragraph" w:customStyle="1" w:styleId="1443">
    <w:name w:val="z-窗体底端1"/>
    <w:basedOn w:val="1"/>
    <w:next w:val="1"/>
    <w:link w:val="2162"/>
    <w:qFormat/>
    <w:uiPriority w:val="0"/>
    <w:pPr>
      <w:widowControl/>
      <w:pBdr>
        <w:top w:val="single" w:color="auto" w:sz="6" w:space="1"/>
      </w:pBdr>
      <w:jc w:val="center"/>
    </w:pPr>
    <w:rPr>
      <w:rFonts w:ascii="Arial" w:hAnsi="Arial" w:eastAsia="宋体" w:cs="Arial"/>
      <w:vanish/>
      <w:kern w:val="0"/>
      <w:sz w:val="16"/>
      <w:szCs w:val="16"/>
    </w:rPr>
  </w:style>
  <w:style w:type="paragraph" w:customStyle="1" w:styleId="1444">
    <w:name w:val="项目号"/>
    <w:basedOn w:val="1"/>
    <w:semiHidden/>
    <w:qFormat/>
    <w:uiPriority w:val="0"/>
    <w:pPr>
      <w:tabs>
        <w:tab w:val="left" w:pos="425"/>
      </w:tabs>
      <w:spacing w:line="300" w:lineRule="auto"/>
      <w:ind w:left="425" w:hanging="425"/>
      <w:jc w:val="left"/>
    </w:pPr>
    <w:rPr>
      <w:rFonts w:eastAsia="宋体"/>
      <w:sz w:val="24"/>
    </w:rPr>
  </w:style>
  <w:style w:type="paragraph" w:customStyle="1" w:styleId="1445">
    <w:name w:val="调研内容"/>
    <w:basedOn w:val="1"/>
    <w:qFormat/>
    <w:uiPriority w:val="0"/>
    <w:pPr>
      <w:spacing w:line="360" w:lineRule="auto"/>
    </w:pPr>
    <w:rPr>
      <w:rFonts w:eastAsia="宋体"/>
      <w:sz w:val="21"/>
    </w:rPr>
  </w:style>
  <w:style w:type="paragraph" w:customStyle="1" w:styleId="1446">
    <w:name w:val="Items"/>
    <w:basedOn w:val="1"/>
    <w:qFormat/>
    <w:uiPriority w:val="0"/>
    <w:pPr>
      <w:tabs>
        <w:tab w:val="left" w:pos="860"/>
      </w:tabs>
      <w:spacing w:before="48" w:after="72" w:line="440" w:lineRule="atLeast"/>
      <w:ind w:left="860" w:hanging="420"/>
    </w:pPr>
    <w:rPr>
      <w:rFonts w:ascii="Tahoma" w:hAnsi="Tahoma" w:eastAsia="华文中宋"/>
      <w:sz w:val="26"/>
    </w:rPr>
  </w:style>
  <w:style w:type="paragraph" w:customStyle="1" w:styleId="1447">
    <w:name w:val="表第一列"/>
    <w:basedOn w:val="41"/>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ascii="宋体" w:hAnsi="宋体" w:eastAsia="宋体"/>
      <w:color w:val="000000"/>
      <w:spacing w:val="-4"/>
      <w:sz w:val="21"/>
    </w:rPr>
  </w:style>
  <w:style w:type="paragraph" w:customStyle="1" w:styleId="1448">
    <w:name w:val="节标"/>
    <w:basedOn w:val="1"/>
    <w:qFormat/>
    <w:uiPriority w:val="0"/>
    <w:pPr>
      <w:widowControl/>
      <w:autoSpaceDE w:val="0"/>
      <w:autoSpaceDN w:val="0"/>
      <w:adjustRightInd w:val="0"/>
      <w:spacing w:line="480" w:lineRule="exact"/>
      <w:ind w:firstLine="567"/>
      <w:jc w:val="center"/>
      <w:textAlignment w:val="bottom"/>
    </w:pPr>
    <w:rPr>
      <w:rFonts w:eastAsia="宋体"/>
      <w:b/>
      <w:kern w:val="0"/>
      <w:sz w:val="30"/>
    </w:rPr>
  </w:style>
  <w:style w:type="paragraph" w:customStyle="1" w:styleId="1449">
    <w:name w:val="段标"/>
    <w:basedOn w:val="1"/>
    <w:qFormat/>
    <w:uiPriority w:val="0"/>
    <w:pPr>
      <w:adjustRightInd w:val="0"/>
      <w:spacing w:line="360" w:lineRule="auto"/>
      <w:ind w:firstLine="567"/>
      <w:jc w:val="left"/>
      <w:textAlignment w:val="baseline"/>
    </w:pPr>
    <w:rPr>
      <w:rFonts w:eastAsia="宋体"/>
      <w:kern w:val="0"/>
    </w:rPr>
  </w:style>
  <w:style w:type="paragraph" w:customStyle="1" w:styleId="1450">
    <w:name w:val="ListingStart"/>
    <w:basedOn w:val="1"/>
    <w:qFormat/>
    <w:uiPriority w:val="0"/>
    <w:pPr>
      <w:widowControl/>
      <w:tabs>
        <w:tab w:val="left" w:pos="-2608"/>
        <w:tab w:val="right" w:pos="-227"/>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s>
      <w:overflowPunct w:val="0"/>
      <w:autoSpaceDE w:val="0"/>
      <w:autoSpaceDN w:val="0"/>
      <w:adjustRightInd w:val="0"/>
      <w:spacing w:after="120" w:line="277" w:lineRule="exact"/>
      <w:textAlignment w:val="baseline"/>
    </w:pPr>
    <w:rPr>
      <w:rFonts w:eastAsia="宋体"/>
      <w:kern w:val="0"/>
      <w:sz w:val="24"/>
      <w:lang w:val="en-GB" w:eastAsia="ja-JP"/>
    </w:rPr>
  </w:style>
  <w:style w:type="paragraph" w:customStyle="1" w:styleId="1451">
    <w:name w:val="Listing"/>
    <w:basedOn w:val="1"/>
    <w:qFormat/>
    <w:uiPriority w:val="0"/>
    <w:pPr>
      <w:widowControl/>
      <w:overflowPunct w:val="0"/>
      <w:autoSpaceDE w:val="0"/>
      <w:autoSpaceDN w:val="0"/>
      <w:adjustRightInd w:val="0"/>
      <w:textAlignment w:val="baseline"/>
    </w:pPr>
    <w:rPr>
      <w:rFonts w:ascii="Arial" w:hAnsi="Arial" w:eastAsia="宋体"/>
      <w:b/>
      <w:kern w:val="0"/>
      <w:sz w:val="22"/>
      <w:lang w:val="en-GB"/>
    </w:rPr>
  </w:style>
  <w:style w:type="paragraph" w:customStyle="1" w:styleId="1452">
    <w:name w:val="Table header"/>
    <w:basedOn w:val="1"/>
    <w:qFormat/>
    <w:uiPriority w:val="0"/>
    <w:pPr>
      <w:spacing w:before="80" w:after="80"/>
      <w:jc w:val="left"/>
    </w:pPr>
    <w:rPr>
      <w:rFonts w:ascii="Arial" w:hAnsi="Arial" w:eastAsia="宋体"/>
      <w:b/>
      <w:kern w:val="0"/>
      <w:sz w:val="20"/>
      <w:lang w:val="en-GB" w:eastAsia="ja-JP"/>
    </w:rPr>
  </w:style>
  <w:style w:type="paragraph" w:customStyle="1" w:styleId="1453">
    <w:name w:val="正文表格5号"/>
    <w:basedOn w:val="1"/>
    <w:qFormat/>
    <w:uiPriority w:val="0"/>
    <w:pPr>
      <w:adjustRightInd w:val="0"/>
      <w:spacing w:line="312" w:lineRule="atLeast"/>
      <w:textAlignment w:val="baseline"/>
    </w:pPr>
    <w:rPr>
      <w:rFonts w:ascii="宋体" w:eastAsia="宋体"/>
      <w:kern w:val="0"/>
      <w:sz w:val="21"/>
    </w:rPr>
  </w:style>
  <w:style w:type="paragraph" w:customStyle="1" w:styleId="1454">
    <w:name w:val="正文文字4号缩进2"/>
    <w:basedOn w:val="52"/>
    <w:qFormat/>
    <w:uiPriority w:val="0"/>
    <w:pPr>
      <w:snapToGrid w:val="0"/>
      <w:spacing w:line="460" w:lineRule="atLeast"/>
      <w:ind w:firstLine="601" w:firstLineChars="192"/>
    </w:pPr>
    <w:rPr>
      <w:rFonts w:ascii="Arial" w:hAnsi="Arial"/>
      <w:sz w:val="28"/>
    </w:rPr>
  </w:style>
  <w:style w:type="paragraph" w:customStyle="1" w:styleId="1455">
    <w:name w:val="节直"/>
    <w:basedOn w:val="1"/>
    <w:qFormat/>
    <w:uiPriority w:val="0"/>
    <w:pPr>
      <w:adjustRightInd w:val="0"/>
      <w:spacing w:before="120" w:line="480" w:lineRule="exact"/>
      <w:ind w:firstLine="567"/>
      <w:jc w:val="center"/>
      <w:textAlignment w:val="baseline"/>
    </w:pPr>
    <w:rPr>
      <w:rFonts w:eastAsia="宋体"/>
      <w:kern w:val="0"/>
      <w:szCs w:val="24"/>
    </w:rPr>
  </w:style>
  <w:style w:type="paragraph" w:customStyle="1" w:styleId="1456">
    <w:name w:val="样式 宋体 五号 居中 首行缩进:  0 厘米 行距: 固定值 16 磅"/>
    <w:basedOn w:val="1"/>
    <w:qFormat/>
    <w:uiPriority w:val="0"/>
    <w:pPr>
      <w:adjustRightInd w:val="0"/>
      <w:snapToGrid w:val="0"/>
      <w:spacing w:line="312" w:lineRule="auto"/>
    </w:pPr>
    <w:rPr>
      <w:rFonts w:ascii="宋体" w:hAnsi="宋体" w:eastAsia="宋体" w:cs="宋体"/>
      <w:sz w:val="21"/>
      <w:szCs w:val="21"/>
    </w:rPr>
  </w:style>
  <w:style w:type="paragraph" w:customStyle="1" w:styleId="1457">
    <w:name w:val="font10"/>
    <w:basedOn w:val="1"/>
    <w:qFormat/>
    <w:uiPriority w:val="0"/>
    <w:pPr>
      <w:widowControl/>
      <w:adjustRightInd w:val="0"/>
      <w:snapToGrid w:val="0"/>
      <w:spacing w:before="100" w:beforeAutospacing="1" w:after="100" w:afterAutospacing="1" w:line="312" w:lineRule="auto"/>
      <w:jc w:val="left"/>
    </w:pPr>
    <w:rPr>
      <w:rFonts w:ascii="宋体" w:hAnsi="宋体" w:eastAsia="宋体" w:cs="宋体"/>
      <w:b/>
      <w:bCs/>
      <w:color w:val="000000"/>
      <w:kern w:val="0"/>
      <w:sz w:val="16"/>
      <w:szCs w:val="16"/>
    </w:rPr>
  </w:style>
  <w:style w:type="paragraph" w:customStyle="1" w:styleId="1458">
    <w:name w:val="gb"/>
    <w:basedOn w:val="1"/>
    <w:qFormat/>
    <w:uiPriority w:val="0"/>
    <w:pPr>
      <w:widowControl/>
      <w:tabs>
        <w:tab w:val="left" w:pos="227"/>
      </w:tabs>
      <w:overflowPunct w:val="0"/>
      <w:adjustRightInd w:val="0"/>
      <w:spacing w:before="120" w:after="120"/>
      <w:jc w:val="left"/>
      <w:textAlignment w:val="baseline"/>
    </w:pPr>
    <w:rPr>
      <w:rFonts w:ascii="Arial" w:hAnsi="Arial" w:eastAsia="仿宋体" w:cs="Arial"/>
      <w:kern w:val="0"/>
      <w:sz w:val="24"/>
      <w:szCs w:val="24"/>
    </w:rPr>
  </w:style>
  <w:style w:type="paragraph" w:customStyle="1" w:styleId="1459">
    <w:name w:val="ST20_3"/>
    <w:basedOn w:val="1"/>
    <w:qFormat/>
    <w:uiPriority w:val="0"/>
    <w:pPr>
      <w:keepLines/>
      <w:tabs>
        <w:tab w:val="center" w:pos="4320"/>
        <w:tab w:val="right" w:pos="8640"/>
      </w:tabs>
      <w:autoSpaceDE w:val="0"/>
      <w:autoSpaceDN w:val="0"/>
      <w:adjustRightInd w:val="0"/>
      <w:spacing w:line="360" w:lineRule="atLeast"/>
      <w:jc w:val="left"/>
      <w:textAlignment w:val="baseline"/>
    </w:pPr>
    <w:rPr>
      <w:rFonts w:ascii="宋体" w:hAnsi="Tms Rmn" w:eastAsia="宋体"/>
      <w:kern w:val="0"/>
      <w:szCs w:val="28"/>
    </w:rPr>
  </w:style>
  <w:style w:type="paragraph" w:customStyle="1" w:styleId="1460">
    <w:name w:val="xl64"/>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rPr>
  </w:style>
  <w:style w:type="paragraph" w:customStyle="1" w:styleId="1461">
    <w:name w:val="表前文字"/>
    <w:basedOn w:val="1"/>
    <w:qFormat/>
    <w:uiPriority w:val="0"/>
    <w:pPr>
      <w:jc w:val="center"/>
    </w:pPr>
    <w:rPr>
      <w:rFonts w:ascii="宋体" w:hAnsi="宋体" w:eastAsia="宋体"/>
      <w:bCs/>
      <w:color w:val="000000"/>
      <w:szCs w:val="24"/>
    </w:rPr>
  </w:style>
  <w:style w:type="paragraph" w:customStyle="1" w:styleId="1462">
    <w:name w:val="ST20_38"/>
    <w:basedOn w:val="1463"/>
    <w:next w:val="1463"/>
    <w:qFormat/>
    <w:uiPriority w:val="0"/>
    <w:pPr>
      <w:spacing w:before="120"/>
    </w:pPr>
  </w:style>
  <w:style w:type="paragraph" w:customStyle="1" w:styleId="1463">
    <w:name w:val="ST20_5"/>
    <w:basedOn w:val="753"/>
    <w:qFormat/>
    <w:uiPriority w:val="0"/>
    <w:pPr>
      <w:keepLines/>
      <w:ind w:left="720" w:right="720"/>
    </w:pPr>
    <w:rPr>
      <w:i/>
      <w:iCs/>
    </w:rPr>
  </w:style>
  <w:style w:type="paragraph" w:customStyle="1" w:styleId="1464">
    <w:name w:val="正文格式"/>
    <w:basedOn w:val="1"/>
    <w:link w:val="2746"/>
    <w:qFormat/>
    <w:uiPriority w:val="0"/>
    <w:pPr>
      <w:spacing w:line="360" w:lineRule="auto"/>
      <w:ind w:firstLine="527"/>
    </w:pPr>
    <w:rPr>
      <w:rFonts w:eastAsia="楷体_GB2312"/>
    </w:rPr>
  </w:style>
  <w:style w:type="paragraph" w:customStyle="1" w:styleId="1465">
    <w:name w:val="ST20_1"/>
    <w:basedOn w:val="1"/>
    <w:qFormat/>
    <w:uiPriority w:val="0"/>
    <w:pPr>
      <w:keepNext/>
      <w:keepLines/>
      <w:autoSpaceDE w:val="0"/>
      <w:autoSpaceDN w:val="0"/>
      <w:adjustRightInd w:val="0"/>
      <w:spacing w:before="240" w:after="120" w:line="360" w:lineRule="atLeast"/>
      <w:jc w:val="left"/>
      <w:textAlignment w:val="baseline"/>
    </w:pPr>
    <w:rPr>
      <w:rFonts w:ascii="宋体" w:hAnsi="Tms Rmn" w:eastAsia="宋体"/>
      <w:b/>
      <w:bCs/>
      <w:kern w:val="0"/>
      <w:sz w:val="36"/>
      <w:szCs w:val="36"/>
    </w:rPr>
  </w:style>
  <w:style w:type="paragraph" w:customStyle="1" w:styleId="1466">
    <w:name w:val="ST20_8"/>
    <w:basedOn w:val="1"/>
    <w:next w:val="1467"/>
    <w:qFormat/>
    <w:uiPriority w:val="0"/>
    <w:pPr>
      <w:keepNext/>
      <w:autoSpaceDE w:val="0"/>
      <w:autoSpaceDN w:val="0"/>
      <w:adjustRightInd w:val="0"/>
      <w:spacing w:line="360" w:lineRule="atLeast"/>
      <w:jc w:val="left"/>
      <w:textAlignment w:val="baseline"/>
    </w:pPr>
    <w:rPr>
      <w:rFonts w:ascii="宋体" w:hAnsi="Tms Rmn" w:eastAsia="宋体"/>
      <w:kern w:val="0"/>
      <w:szCs w:val="28"/>
    </w:rPr>
  </w:style>
  <w:style w:type="paragraph" w:customStyle="1" w:styleId="1467">
    <w:name w:val="ST20_7"/>
    <w:basedOn w:val="1466"/>
    <w:next w:val="753"/>
    <w:qFormat/>
    <w:uiPriority w:val="0"/>
    <w:pPr>
      <w:keepNext w:val="0"/>
      <w:spacing w:before="120"/>
    </w:pPr>
    <w:rPr>
      <w:i/>
      <w:iCs/>
      <w:sz w:val="18"/>
      <w:szCs w:val="18"/>
    </w:rPr>
  </w:style>
  <w:style w:type="paragraph" w:customStyle="1" w:styleId="1468">
    <w:name w:val="ST20_32"/>
    <w:basedOn w:val="56"/>
    <w:qFormat/>
    <w:uiPriority w:val="0"/>
    <w:pPr>
      <w:keepLines/>
      <w:tabs>
        <w:tab w:val="center" w:pos="4320"/>
        <w:tab w:val="clear" w:pos="4153"/>
        <w:tab w:val="clear" w:pos="8306"/>
      </w:tabs>
      <w:autoSpaceDE w:val="0"/>
      <w:autoSpaceDN w:val="0"/>
      <w:adjustRightInd w:val="0"/>
      <w:snapToGrid/>
      <w:spacing w:line="360" w:lineRule="atLeast"/>
      <w:jc w:val="center"/>
      <w:textAlignment w:val="baseline"/>
    </w:pPr>
    <w:rPr>
      <w:rFonts w:ascii="宋体" w:hAnsi="Tms Rmn" w:eastAsia="宋体"/>
      <w:kern w:val="0"/>
      <w:sz w:val="28"/>
      <w:szCs w:val="28"/>
    </w:rPr>
  </w:style>
  <w:style w:type="paragraph" w:customStyle="1" w:styleId="1469">
    <w:name w:val="ST20_34"/>
    <w:basedOn w:val="56"/>
    <w:qFormat/>
    <w:uiPriority w:val="0"/>
    <w:pPr>
      <w:keepLines/>
      <w:tabs>
        <w:tab w:val="right" w:pos="0"/>
        <w:tab w:val="center" w:pos="4320"/>
        <w:tab w:val="right" w:pos="8640"/>
        <w:tab w:val="clear" w:pos="4153"/>
        <w:tab w:val="clear" w:pos="8306"/>
      </w:tabs>
      <w:autoSpaceDE w:val="0"/>
      <w:autoSpaceDN w:val="0"/>
      <w:adjustRightInd w:val="0"/>
      <w:snapToGrid/>
      <w:spacing w:line="360" w:lineRule="atLeast"/>
      <w:jc w:val="right"/>
      <w:textAlignment w:val="baseline"/>
    </w:pPr>
    <w:rPr>
      <w:rFonts w:ascii="宋体" w:hAnsi="Tms Rmn" w:eastAsia="宋体"/>
      <w:kern w:val="0"/>
      <w:sz w:val="28"/>
      <w:szCs w:val="28"/>
    </w:rPr>
  </w:style>
  <w:style w:type="paragraph" w:customStyle="1" w:styleId="1470">
    <w:name w:val="正文 New"/>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471">
    <w:name w:val="ST20_35"/>
    <w:basedOn w:val="58"/>
    <w:qFormat/>
    <w:uiPriority w:val="0"/>
    <w:pPr>
      <w:keepLines/>
      <w:pBdr>
        <w:bottom w:val="none" w:color="auto" w:sz="0" w:space="0"/>
      </w:pBdr>
      <w:tabs>
        <w:tab w:val="center" w:pos="4320"/>
        <w:tab w:val="clear" w:pos="4153"/>
        <w:tab w:val="clear" w:pos="8306"/>
      </w:tabs>
      <w:autoSpaceDE w:val="0"/>
      <w:autoSpaceDN w:val="0"/>
      <w:adjustRightInd w:val="0"/>
      <w:snapToGrid/>
      <w:spacing w:line="360" w:lineRule="atLeast"/>
      <w:textAlignment w:val="baseline"/>
    </w:pPr>
    <w:rPr>
      <w:rFonts w:ascii="宋体" w:hAnsi="Tms Rmn" w:eastAsia="宋体"/>
      <w:kern w:val="0"/>
      <w:sz w:val="28"/>
      <w:szCs w:val="28"/>
    </w:rPr>
  </w:style>
  <w:style w:type="paragraph" w:customStyle="1" w:styleId="1472">
    <w:name w:val="ST20_39"/>
    <w:basedOn w:val="1463"/>
    <w:next w:val="1"/>
    <w:qFormat/>
    <w:uiPriority w:val="0"/>
    <w:pPr>
      <w:spacing w:after="240"/>
    </w:pPr>
  </w:style>
  <w:style w:type="paragraph" w:customStyle="1" w:styleId="1473">
    <w:name w:val="ST20_51"/>
    <w:basedOn w:val="751"/>
    <w:qFormat/>
    <w:uiPriority w:val="0"/>
    <w:pPr>
      <w:ind w:left="1080"/>
    </w:pPr>
  </w:style>
  <w:style w:type="paragraph" w:customStyle="1" w:styleId="1474">
    <w:name w:val="ST20_42"/>
    <w:basedOn w:val="1319"/>
    <w:next w:val="1319"/>
    <w:qFormat/>
    <w:uiPriority w:val="0"/>
    <w:pPr>
      <w:spacing w:before="80"/>
    </w:pPr>
  </w:style>
  <w:style w:type="paragraph" w:customStyle="1" w:styleId="1475">
    <w:name w:val="ST20_44"/>
    <w:basedOn w:val="752"/>
    <w:next w:val="752"/>
    <w:qFormat/>
    <w:uiPriority w:val="0"/>
    <w:pPr>
      <w:spacing w:before="80"/>
    </w:pPr>
  </w:style>
  <w:style w:type="paragraph" w:customStyle="1" w:styleId="1476">
    <w:name w:val="ST20_53"/>
    <w:basedOn w:val="751"/>
    <w:qFormat/>
    <w:uiPriority w:val="0"/>
    <w:pPr>
      <w:ind w:left="1800"/>
    </w:pPr>
  </w:style>
  <w:style w:type="paragraph" w:customStyle="1" w:styleId="1477">
    <w:name w:val="ST20_64"/>
    <w:basedOn w:val="1000"/>
    <w:qFormat/>
    <w:uiPriority w:val="0"/>
    <w:pPr>
      <w:ind w:left="2160"/>
    </w:pPr>
  </w:style>
  <w:style w:type="paragraph" w:customStyle="1" w:styleId="1478">
    <w:name w:val="ST20_58"/>
    <w:basedOn w:val="1319"/>
    <w:qFormat/>
    <w:uiPriority w:val="0"/>
    <w:pPr>
      <w:ind w:left="1440"/>
    </w:pPr>
  </w:style>
  <w:style w:type="paragraph" w:customStyle="1" w:styleId="1479">
    <w:name w:val="ST20_60"/>
    <w:basedOn w:val="1000"/>
    <w:qFormat/>
    <w:uiPriority w:val="0"/>
    <w:pPr>
      <w:ind w:left="1080"/>
    </w:pPr>
  </w:style>
  <w:style w:type="paragraph" w:customStyle="1" w:styleId="1480">
    <w:name w:val="xl124"/>
    <w:basedOn w:val="1"/>
    <w:qFormat/>
    <w:uiPriority w:val="0"/>
    <w:pPr>
      <w:widowControl/>
      <w:pBdr>
        <w:bottom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481">
    <w:name w:val="Bullet 3"/>
    <w:basedOn w:val="1"/>
    <w:next w:val="1"/>
    <w:qFormat/>
    <w:uiPriority w:val="0"/>
    <w:pPr>
      <w:widowControl/>
      <w:tabs>
        <w:tab w:val="left" w:pos="420"/>
        <w:tab w:val="left" w:pos="1440"/>
      </w:tabs>
      <w:ind w:left="3600"/>
      <w:jc w:val="left"/>
    </w:pPr>
    <w:rPr>
      <w:rFonts w:ascii="Arial" w:hAnsi="Arial" w:eastAsia="宋体"/>
      <w:kern w:val="0"/>
      <w:sz w:val="20"/>
    </w:rPr>
  </w:style>
  <w:style w:type="paragraph" w:customStyle="1" w:styleId="1482">
    <w:name w:val="Bullet1"/>
    <w:basedOn w:val="1"/>
    <w:qFormat/>
    <w:uiPriority w:val="0"/>
    <w:pPr>
      <w:tabs>
        <w:tab w:val="left" w:pos="2337"/>
      </w:tabs>
      <w:ind w:left="2337" w:hanging="552"/>
    </w:pPr>
    <w:rPr>
      <w:rFonts w:eastAsia="宋体"/>
      <w:sz w:val="21"/>
      <w:szCs w:val="24"/>
    </w:rPr>
  </w:style>
  <w:style w:type="paragraph" w:customStyle="1" w:styleId="1483">
    <w:name w:val="ST20_61"/>
    <w:basedOn w:val="753"/>
    <w:qFormat/>
    <w:uiPriority w:val="0"/>
    <w:pPr>
      <w:keepNext/>
    </w:pPr>
  </w:style>
  <w:style w:type="paragraph" w:customStyle="1" w:styleId="1484">
    <w:name w:val="xl109"/>
    <w:basedOn w:val="1"/>
    <w:qFormat/>
    <w:uiPriority w:val="0"/>
    <w:pPr>
      <w:widowControl/>
      <w:pBdr>
        <w:top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485">
    <w:name w:val="题注+"/>
    <w:basedOn w:val="22"/>
    <w:next w:val="1"/>
    <w:qFormat/>
    <w:uiPriority w:val="0"/>
    <w:pPr>
      <w:spacing w:before="0" w:after="0" w:line="360" w:lineRule="auto"/>
    </w:pPr>
    <w:rPr>
      <w:rFonts w:eastAsia="宋体" w:cs="Arial"/>
      <w:sz w:val="24"/>
    </w:rPr>
  </w:style>
  <w:style w:type="paragraph" w:customStyle="1" w:styleId="1486">
    <w:name w:val="首消息标题"/>
    <w:basedOn w:val="80"/>
    <w:next w:val="80"/>
    <w:qFormat/>
    <w:uiPriority w:val="0"/>
    <w:pPr>
      <w:keepLines/>
      <w:widowControl/>
      <w:pBdr>
        <w:top w:val="none" w:color="auto" w:sz="0" w:space="0"/>
        <w:left w:val="none" w:color="auto" w:sz="0" w:space="0"/>
        <w:bottom w:val="none" w:color="auto" w:sz="0" w:space="0"/>
        <w:right w:val="none" w:color="auto" w:sz="0" w:space="0"/>
      </w:pBdr>
      <w:shd w:val="clear" w:color="auto" w:fill="auto"/>
      <w:tabs>
        <w:tab w:val="left" w:pos="1045"/>
        <w:tab w:val="right" w:pos="8640"/>
      </w:tabs>
      <w:snapToGrid/>
      <w:spacing w:after="40" w:line="440" w:lineRule="atLeast"/>
      <w:ind w:left="0" w:leftChars="0" w:firstLine="0" w:firstLineChars="0"/>
      <w:jc w:val="left"/>
    </w:pPr>
    <w:rPr>
      <w:b/>
      <w:bCs/>
    </w:rPr>
  </w:style>
  <w:style w:type="paragraph" w:customStyle="1" w:styleId="1487">
    <w:name w:val="标题4，中板"/>
    <w:basedOn w:val="7"/>
    <w:next w:val="1"/>
    <w:qFormat/>
    <w:uiPriority w:val="0"/>
    <w:pPr>
      <w:keepLines w:val="0"/>
      <w:widowControl/>
      <w:tabs>
        <w:tab w:val="left" w:pos="425"/>
        <w:tab w:val="clear" w:pos="4008"/>
      </w:tabs>
      <w:adjustRightInd w:val="0"/>
      <w:snapToGrid w:val="0"/>
      <w:spacing w:before="312" w:beforeLines="100" w:after="240" w:line="360" w:lineRule="auto"/>
      <w:ind w:left="0" w:firstLine="0"/>
      <w:jc w:val="left"/>
    </w:pPr>
    <w:rPr>
      <w:rFonts w:ascii="Times New Roman" w:hAnsi="Times New Roman" w:eastAsia="楷体_GB2312" w:cs="宋体"/>
      <w:color w:val="auto"/>
      <w:kern w:val="0"/>
      <w:szCs w:val="24"/>
    </w:rPr>
  </w:style>
  <w:style w:type="paragraph" w:customStyle="1" w:styleId="1488">
    <w:name w:val="公司名"/>
    <w:basedOn w:val="1489"/>
    <w:qFormat/>
    <w:uiPriority w:val="0"/>
    <w:pPr>
      <w:framePr w:w="3552" w:hSpace="0" w:x="7501" w:y="1009"/>
      <w:pBdr>
        <w:top w:val="single" w:color="auto" w:sz="6" w:space="9"/>
        <w:left w:val="single" w:color="auto" w:sz="6" w:space="9"/>
        <w:bottom w:val="single" w:color="auto" w:sz="6" w:space="9"/>
        <w:right w:val="single" w:color="auto" w:sz="6" w:space="9"/>
      </w:pBdr>
      <w:shd w:val="solid" w:color="auto" w:fill="auto"/>
      <w:tabs>
        <w:tab w:val="left" w:pos="2640"/>
      </w:tabs>
      <w:spacing w:line="320" w:lineRule="exact"/>
    </w:pPr>
    <w:rPr>
      <w:rFonts w:ascii="Arial Black" w:hAnsi="Arial Black" w:eastAsia="黑体"/>
      <w:spacing w:val="0"/>
      <w:position w:val="-2"/>
      <w:sz w:val="32"/>
      <w:szCs w:val="32"/>
    </w:rPr>
  </w:style>
  <w:style w:type="paragraph" w:customStyle="1" w:styleId="1489">
    <w:name w:val="回信地址"/>
    <w:basedOn w:val="1"/>
    <w:qFormat/>
    <w:uiPriority w:val="0"/>
    <w:pPr>
      <w:keepLines/>
      <w:framePr w:w="3073" w:h="450" w:hRule="exact" w:hSpace="180" w:wrap="notBeside" w:vAnchor="page" w:hAnchor="page" w:x="1801" w:y="961" w:anchorLock="1"/>
      <w:widowControl/>
      <w:tabs>
        <w:tab w:val="left" w:pos="2640"/>
      </w:tabs>
      <w:spacing w:line="200" w:lineRule="atLeast"/>
      <w:jc w:val="left"/>
    </w:pPr>
    <w:rPr>
      <w:rFonts w:ascii="Arial" w:hAnsi="Arial" w:eastAsia="宋体"/>
      <w:spacing w:val="-2"/>
      <w:kern w:val="0"/>
      <w:sz w:val="21"/>
      <w:szCs w:val="21"/>
    </w:rPr>
  </w:style>
  <w:style w:type="paragraph" w:customStyle="1" w:styleId="1490">
    <w:name w:val="reader-word-layer reader-word-s1-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491">
    <w:name w:val="xl75"/>
    <w:basedOn w:val="1"/>
    <w:qFormat/>
    <w:uiPriority w:val="0"/>
    <w:pPr>
      <w:widowControl/>
      <w:pBdr>
        <w:top w:val="single" w:color="auto" w:sz="8" w:space="0"/>
        <w:left w:val="single" w:color="auto" w:sz="4" w:space="0"/>
        <w:bottom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492">
    <w:name w:val="文档标签"/>
    <w:basedOn w:val="1493"/>
    <w:qFormat/>
    <w:uiPriority w:val="0"/>
    <w:pPr>
      <w:spacing w:before="400" w:after="120" w:line="240" w:lineRule="atLeast"/>
      <w:ind w:left="-840"/>
    </w:pPr>
    <w:rPr>
      <w:rFonts w:eastAsia="黑体"/>
      <w:b w:val="0"/>
      <w:bCs w:val="0"/>
      <w:spacing w:val="0"/>
      <w:sz w:val="44"/>
      <w:szCs w:val="44"/>
    </w:rPr>
  </w:style>
  <w:style w:type="paragraph" w:customStyle="1" w:styleId="1493">
    <w:name w:val="基准标题"/>
    <w:basedOn w:val="34"/>
    <w:next w:val="34"/>
    <w:qFormat/>
    <w:uiPriority w:val="0"/>
    <w:pPr>
      <w:keepNext/>
      <w:keepLines/>
      <w:widowControl/>
      <w:spacing w:after="0" w:line="180" w:lineRule="atLeast"/>
      <w:jc w:val="left"/>
    </w:pPr>
    <w:rPr>
      <w:rFonts w:ascii="Arial Black" w:hAnsi="Arial Black" w:eastAsia="宋体"/>
      <w:b/>
      <w:bCs/>
      <w:spacing w:val="-10"/>
      <w:kern w:val="28"/>
      <w:sz w:val="24"/>
      <w:szCs w:val="24"/>
    </w:rPr>
  </w:style>
  <w:style w:type="paragraph" w:customStyle="1" w:styleId="1494">
    <w:name w:val="尾消息标题"/>
    <w:basedOn w:val="80"/>
    <w:next w:val="34"/>
    <w:qFormat/>
    <w:uiPriority w:val="0"/>
    <w:pPr>
      <w:keepLines/>
      <w:widowControl/>
      <w:pBdr>
        <w:top w:val="none" w:color="auto" w:sz="0" w:space="0"/>
        <w:left w:val="none" w:color="auto" w:sz="0" w:space="0"/>
        <w:bottom w:val="single" w:color="auto" w:sz="6" w:space="19"/>
        <w:right w:val="none" w:color="auto" w:sz="0" w:space="0"/>
        <w:between w:val="single" w:color="auto" w:sz="6" w:space="19"/>
      </w:pBdr>
      <w:shd w:val="clear" w:color="auto" w:fill="auto"/>
      <w:tabs>
        <w:tab w:val="left" w:pos="1260"/>
        <w:tab w:val="left" w:pos="2940"/>
        <w:tab w:val="left" w:pos="5040"/>
        <w:tab w:val="right" w:pos="8640"/>
      </w:tabs>
      <w:snapToGrid/>
      <w:spacing w:before="120" w:after="120" w:line="440" w:lineRule="atLeast"/>
      <w:ind w:left="0" w:leftChars="0" w:firstLine="0" w:firstLineChars="0"/>
      <w:jc w:val="left"/>
    </w:pPr>
    <w:rPr>
      <w:b/>
      <w:bCs/>
    </w:rPr>
  </w:style>
  <w:style w:type="paragraph" w:customStyle="1" w:styleId="1495">
    <w:name w:val="样式 样式 宋体 四号 黑色 行距: 1.5 倍行距 + 左侧:  0 厘米 首行缩进:  0 厘米"/>
    <w:basedOn w:val="1496"/>
    <w:qFormat/>
    <w:uiPriority w:val="0"/>
    <w:rPr>
      <w:rFonts w:hAnsi="宋体"/>
      <w:b/>
      <w:sz w:val="30"/>
      <w:szCs w:val="30"/>
    </w:rPr>
  </w:style>
  <w:style w:type="paragraph" w:customStyle="1" w:styleId="1496">
    <w:name w:val="样式 宋体 四号 黑色 行距: 1.5 倍行距"/>
    <w:basedOn w:val="1"/>
    <w:qFormat/>
    <w:uiPriority w:val="0"/>
    <w:pPr>
      <w:spacing w:line="360" w:lineRule="auto"/>
    </w:pPr>
    <w:rPr>
      <w:rFonts w:ascii="宋体" w:eastAsia="宋体" w:cs="宋体"/>
      <w:color w:val="000000"/>
    </w:rPr>
  </w:style>
  <w:style w:type="paragraph" w:customStyle="1" w:styleId="1497">
    <w:name w:val="font1"/>
    <w:basedOn w:val="1"/>
    <w:qFormat/>
    <w:uiPriority w:val="0"/>
    <w:pPr>
      <w:widowControl/>
      <w:spacing w:before="100" w:after="100"/>
      <w:jc w:val="left"/>
    </w:pPr>
    <w:rPr>
      <w:rFonts w:ascii="宋体" w:hAnsi="宋体" w:eastAsia="宋体"/>
      <w:kern w:val="0"/>
      <w:sz w:val="24"/>
      <w:szCs w:val="24"/>
    </w:rPr>
  </w:style>
  <w:style w:type="paragraph" w:customStyle="1" w:styleId="1498">
    <w:name w:val="正文首行缩进11"/>
    <w:basedOn w:val="5"/>
    <w:qFormat/>
    <w:uiPriority w:val="0"/>
    <w:pPr>
      <w:tabs>
        <w:tab w:val="left" w:pos="0"/>
      </w:tabs>
      <w:overflowPunct w:val="0"/>
      <w:autoSpaceDE w:val="0"/>
      <w:autoSpaceDN w:val="0"/>
      <w:adjustRightInd w:val="0"/>
      <w:spacing w:before="120" w:line="360" w:lineRule="auto"/>
      <w:ind w:firstLine="567"/>
      <w:textAlignment w:val="baseline"/>
    </w:pPr>
    <w:rPr>
      <w:rFonts w:ascii="宋体" w:hAnsi="Garamond" w:cs="Times New Roman"/>
      <w:spacing w:val="0"/>
      <w:kern w:val="0"/>
      <w:sz w:val="28"/>
    </w:rPr>
  </w:style>
  <w:style w:type="paragraph" w:customStyle="1" w:styleId="1499">
    <w:name w:val="样式 报告书正文 + 首行缩进:  2 字符"/>
    <w:basedOn w:val="1"/>
    <w:qFormat/>
    <w:uiPriority w:val="0"/>
    <w:pPr>
      <w:spacing w:line="360" w:lineRule="auto"/>
      <w:ind w:firstLine="560" w:firstLineChars="200"/>
    </w:pPr>
    <w:rPr>
      <w:rFonts w:eastAsia="宋体"/>
      <w:color w:val="000000"/>
      <w:szCs w:val="28"/>
    </w:rPr>
  </w:style>
  <w:style w:type="paragraph" w:customStyle="1" w:styleId="1500">
    <w:name w:val="样式 自定义缩进 + 黑色 首行缩进:  2 字符"/>
    <w:basedOn w:val="1"/>
    <w:qFormat/>
    <w:uiPriority w:val="0"/>
    <w:pPr>
      <w:spacing w:line="336" w:lineRule="auto"/>
      <w:ind w:firstLine="480" w:firstLineChars="200"/>
      <w:jc w:val="left"/>
    </w:pPr>
    <w:rPr>
      <w:rFonts w:ascii="宋体" w:hAnsi="宋体" w:eastAsia="宋体"/>
      <w:color w:val="000000"/>
      <w:kern w:val="0"/>
    </w:rPr>
  </w:style>
  <w:style w:type="paragraph" w:customStyle="1" w:styleId="1501">
    <w:name w:val="xl110"/>
    <w:basedOn w:val="1"/>
    <w:qFormat/>
    <w:uiPriority w:val="0"/>
    <w:pPr>
      <w:widowControl/>
      <w:pBdr>
        <w:left w:val="single" w:color="auto" w:sz="4" w:space="0"/>
        <w:bottom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02">
    <w:name w:val="Name"/>
    <w:basedOn w:val="1"/>
    <w:next w:val="1"/>
    <w:qFormat/>
    <w:uiPriority w:val="0"/>
    <w:pPr>
      <w:widowControl/>
      <w:spacing w:after="440" w:line="240" w:lineRule="atLeast"/>
      <w:ind w:left="2160"/>
      <w:jc w:val="left"/>
    </w:pPr>
    <w:rPr>
      <w:rFonts w:eastAsia="宋体"/>
      <w:spacing w:val="-20"/>
      <w:kern w:val="0"/>
      <w:sz w:val="48"/>
    </w:rPr>
  </w:style>
  <w:style w:type="paragraph" w:customStyle="1" w:styleId="1503">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宋体"/>
      <w:kern w:val="0"/>
      <w:sz w:val="24"/>
      <w:szCs w:val="24"/>
    </w:rPr>
  </w:style>
  <w:style w:type="paragraph" w:customStyle="1" w:styleId="1504">
    <w:name w:val="节以下标题样式"/>
    <w:basedOn w:val="1347"/>
    <w:qFormat/>
    <w:uiPriority w:val="0"/>
    <w:pPr>
      <w:ind w:firstLine="0" w:firstLineChars="0"/>
    </w:pPr>
  </w:style>
  <w:style w:type="paragraph" w:customStyle="1" w:styleId="1505">
    <w:name w:val="样式 标题 3标31.1.1条标题 3 Char Char标题 3 Char + 黑色"/>
    <w:basedOn w:val="6"/>
    <w:qFormat/>
    <w:uiPriority w:val="0"/>
    <w:pPr>
      <w:keepNext w:val="0"/>
      <w:keepLines w:val="0"/>
      <w:widowControl/>
      <w:spacing w:before="0" w:after="0" w:line="336" w:lineRule="auto"/>
      <w:ind w:left="0" w:firstLine="0"/>
      <w:jc w:val="left"/>
    </w:pPr>
    <w:rPr>
      <w:rFonts w:ascii="宋体" w:hAnsi="宋体" w:eastAsia="宋体"/>
      <w:b w:val="0"/>
      <w:bCs w:val="0"/>
      <w:color w:val="000000"/>
      <w:kern w:val="0"/>
      <w:sz w:val="28"/>
      <w:szCs w:val="24"/>
    </w:rPr>
  </w:style>
  <w:style w:type="paragraph" w:customStyle="1" w:styleId="1506">
    <w:name w:val="xl71"/>
    <w:basedOn w:val="1"/>
    <w:qFormat/>
    <w:uiPriority w:val="0"/>
    <w:pPr>
      <w:widowControl/>
      <w:pBdr>
        <w:top w:val="single" w:color="auto" w:sz="4" w:space="0"/>
        <w:left w:val="single" w:color="auto" w:sz="4" w:space="0"/>
        <w:bottom w:val="single" w:color="auto" w:sz="4" w:space="0"/>
        <w:right w:val="single" w:color="auto" w:sz="4" w:space="0"/>
      </w:pBdr>
      <w:spacing w:before="100" w:after="100"/>
      <w:jc w:val="left"/>
    </w:pPr>
    <w:rPr>
      <w:rFonts w:ascii="宋体" w:hAnsi="宋体" w:eastAsia="宋体"/>
      <w:b/>
      <w:kern w:val="0"/>
      <w:sz w:val="18"/>
    </w:rPr>
  </w:style>
  <w:style w:type="paragraph" w:customStyle="1" w:styleId="1507">
    <w:name w:val="xl84"/>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黑体" w:hAnsi="宋体" w:eastAsia="黑体" w:cs="宋体"/>
      <w:kern w:val="0"/>
      <w:sz w:val="20"/>
    </w:rPr>
  </w:style>
  <w:style w:type="paragraph" w:customStyle="1" w:styleId="1508">
    <w:name w:val="标题 2.1.1"/>
    <w:basedOn w:val="884"/>
    <w:qFormat/>
    <w:uiPriority w:val="0"/>
    <w:pPr>
      <w:tabs>
        <w:tab w:val="left" w:pos="1890"/>
        <w:tab w:val="clear" w:pos="3092"/>
      </w:tabs>
      <w:ind w:left="907" w:firstLine="353"/>
    </w:pPr>
  </w:style>
  <w:style w:type="paragraph" w:customStyle="1" w:styleId="1509">
    <w:name w:val="Paragraph 1"/>
    <w:basedOn w:val="1"/>
    <w:qFormat/>
    <w:uiPriority w:val="0"/>
    <w:pPr>
      <w:widowControl/>
      <w:spacing w:after="120"/>
      <w:ind w:left="720"/>
    </w:pPr>
    <w:rPr>
      <w:rFonts w:ascii="Arial" w:hAnsi="Arial" w:eastAsia="宋体"/>
      <w:kern w:val="0"/>
      <w:sz w:val="22"/>
    </w:rPr>
  </w:style>
  <w:style w:type="paragraph" w:customStyle="1" w:styleId="1510">
    <w:name w:val="表内5"/>
    <w:basedOn w:val="1"/>
    <w:qFormat/>
    <w:uiPriority w:val="0"/>
    <w:pPr>
      <w:adjustRightInd w:val="0"/>
      <w:snapToGrid w:val="0"/>
      <w:spacing w:beforeLines="20" w:line="300" w:lineRule="auto"/>
      <w:jc w:val="center"/>
      <w:textAlignment w:val="baseline"/>
    </w:pPr>
    <w:rPr>
      <w:rFonts w:ascii="宋体" w:eastAsia="宋体"/>
      <w:sz w:val="21"/>
    </w:rPr>
  </w:style>
  <w:style w:type="paragraph" w:customStyle="1" w:styleId="1511">
    <w:name w:val="xl144"/>
    <w:basedOn w:val="1"/>
    <w:qFormat/>
    <w:uiPriority w:val="0"/>
    <w:pPr>
      <w:widowControl/>
      <w:pBdr>
        <w:bottom w:val="single" w:color="auto" w:sz="8" w:space="0"/>
      </w:pBdr>
      <w:spacing w:before="100" w:beforeAutospacing="1" w:after="100" w:afterAutospacing="1"/>
      <w:jc w:val="left"/>
    </w:pPr>
    <w:rPr>
      <w:rFonts w:ascii="Arial" w:hAnsi="Arial" w:eastAsia="宋体" w:cs="Arial"/>
      <w:kern w:val="0"/>
      <w:sz w:val="24"/>
      <w:szCs w:val="24"/>
    </w:rPr>
  </w:style>
  <w:style w:type="paragraph" w:customStyle="1" w:styleId="1512">
    <w:name w:val="xl118"/>
    <w:basedOn w:val="1"/>
    <w:qFormat/>
    <w:uiPriority w:val="0"/>
    <w:pPr>
      <w:widowControl/>
      <w:pBdr>
        <w:left w:val="single" w:color="auto" w:sz="4" w:space="0"/>
        <w:bottom w:val="single" w:color="auto" w:sz="8"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13">
    <w:name w:val="No Title"/>
    <w:basedOn w:val="1"/>
    <w:qFormat/>
    <w:uiPriority w:val="0"/>
    <w:pPr>
      <w:widowControl/>
      <w:pBdr>
        <w:top w:val="single" w:color="FFFFFF" w:sz="6" w:space="2"/>
        <w:left w:val="single" w:color="FFFFFF" w:sz="6" w:space="2"/>
        <w:bottom w:val="single" w:color="FFFFFF" w:sz="6" w:space="2"/>
        <w:right w:val="single" w:color="FFFFFF" w:sz="6" w:space="2"/>
      </w:pBdr>
      <w:spacing w:before="120" w:line="280" w:lineRule="atLeast"/>
      <w:jc w:val="left"/>
    </w:pPr>
    <w:rPr>
      <w:rFonts w:ascii="Arial" w:hAnsi="Arial" w:eastAsia="宋体"/>
      <w:b/>
      <w:spacing w:val="-10"/>
      <w:kern w:val="0"/>
      <w:position w:val="7"/>
      <w:sz w:val="20"/>
    </w:rPr>
  </w:style>
  <w:style w:type="paragraph" w:customStyle="1" w:styleId="1514">
    <w:name w:val="Bullet 2"/>
    <w:basedOn w:val="1"/>
    <w:next w:val="1"/>
    <w:qFormat/>
    <w:uiPriority w:val="0"/>
    <w:pPr>
      <w:widowControl/>
      <w:tabs>
        <w:tab w:val="left" w:pos="420"/>
        <w:tab w:val="left" w:pos="1440"/>
      </w:tabs>
      <w:ind w:left="2880"/>
      <w:jc w:val="left"/>
    </w:pPr>
    <w:rPr>
      <w:rFonts w:ascii="Arial" w:hAnsi="Arial" w:eastAsia="宋体"/>
      <w:kern w:val="0"/>
      <w:sz w:val="20"/>
    </w:rPr>
  </w:style>
  <w:style w:type="paragraph" w:customStyle="1" w:styleId="1515">
    <w:name w:val="表头居中"/>
    <w:basedOn w:val="1"/>
    <w:qFormat/>
    <w:uiPriority w:val="0"/>
    <w:pPr>
      <w:tabs>
        <w:tab w:val="left" w:pos="5280"/>
      </w:tabs>
      <w:spacing w:line="360" w:lineRule="auto"/>
      <w:jc w:val="center"/>
    </w:pPr>
    <w:rPr>
      <w:rFonts w:ascii="Arial" w:hAnsi="Arial" w:eastAsia="宋体" w:cs="宋体"/>
      <w:b/>
      <w:sz w:val="24"/>
    </w:rPr>
  </w:style>
  <w:style w:type="paragraph" w:customStyle="1" w:styleId="1516">
    <w:name w:val="样式 目录 1 + 小四"/>
    <w:basedOn w:val="60"/>
    <w:qFormat/>
    <w:uiPriority w:val="0"/>
    <w:pPr>
      <w:tabs>
        <w:tab w:val="right" w:leader="dot" w:pos="9240"/>
        <w:tab w:val="clear" w:pos="1120"/>
        <w:tab w:val="clear" w:pos="8767"/>
      </w:tabs>
      <w:spacing w:before="120" w:after="120" w:line="360" w:lineRule="auto"/>
    </w:pPr>
    <w:rPr>
      <w:rFonts w:hAnsi="Times New Roman"/>
      <w:sz w:val="28"/>
      <w:szCs w:val="28"/>
    </w:rPr>
  </w:style>
  <w:style w:type="paragraph" w:customStyle="1" w:styleId="1517">
    <w:name w:val="茅工页眉"/>
    <w:basedOn w:val="58"/>
    <w:qFormat/>
    <w:uiPriority w:val="0"/>
    <w:pPr>
      <w:tabs>
        <w:tab w:val="center" w:pos="4819"/>
        <w:tab w:val="right" w:pos="9071"/>
        <w:tab w:val="clear" w:pos="4153"/>
        <w:tab w:val="clear" w:pos="8306"/>
      </w:tabs>
      <w:adjustRightInd w:val="0"/>
      <w:snapToGrid/>
      <w:spacing w:line="240" w:lineRule="atLeast"/>
      <w:jc w:val="both"/>
      <w:textAlignment w:val="baseline"/>
    </w:pPr>
    <w:rPr>
      <w:rFonts w:eastAsia="宋体"/>
      <w:kern w:val="0"/>
      <w:sz w:val="21"/>
    </w:rPr>
  </w:style>
  <w:style w:type="paragraph" w:customStyle="1" w:styleId="1518">
    <w:name w:val="xl67"/>
    <w:basedOn w:val="1"/>
    <w:qFormat/>
    <w:uiPriority w:val="0"/>
    <w:pPr>
      <w:widowControl/>
      <w:pBdr>
        <w:top w:val="single" w:color="auto" w:sz="4" w:space="0"/>
        <w:bottom w:val="single" w:color="auto" w:sz="4" w:space="0"/>
        <w:right w:val="single" w:color="auto" w:sz="4" w:space="0"/>
      </w:pBdr>
      <w:shd w:val="pct10" w:color="FFFFFF" w:fill="auto"/>
      <w:spacing w:before="100" w:beforeAutospacing="1" w:after="100" w:afterAutospacing="1"/>
      <w:jc w:val="left"/>
    </w:pPr>
    <w:rPr>
      <w:rFonts w:ascii="Arial Narrow" w:hAnsi="Arial Narrow" w:eastAsia="宋体"/>
      <w:kern w:val="0"/>
      <w:sz w:val="18"/>
      <w:szCs w:val="18"/>
    </w:rPr>
  </w:style>
  <w:style w:type="paragraph" w:customStyle="1" w:styleId="1519">
    <w:name w:val="xl68"/>
    <w:basedOn w:val="1"/>
    <w:qFormat/>
    <w:uiPriority w:val="0"/>
    <w:pPr>
      <w:widowControl/>
      <w:pBdr>
        <w:top w:val="single" w:color="auto" w:sz="4" w:space="0"/>
        <w:bottom w:val="single" w:color="auto" w:sz="4" w:space="0"/>
        <w:right w:val="single" w:color="auto" w:sz="4" w:space="0"/>
      </w:pBdr>
      <w:shd w:val="clear" w:color="FFFFFF" w:fill="auto"/>
      <w:spacing w:before="100" w:beforeAutospacing="1" w:after="100" w:afterAutospacing="1"/>
      <w:jc w:val="left"/>
    </w:pPr>
    <w:rPr>
      <w:rFonts w:hint="eastAsia" w:ascii="宋体" w:hAnsi="宋体" w:eastAsia="宋体"/>
      <w:kern w:val="0"/>
      <w:sz w:val="18"/>
      <w:szCs w:val="18"/>
    </w:rPr>
  </w:style>
  <w:style w:type="paragraph" w:customStyle="1" w:styleId="1520">
    <w:name w:val="kk"/>
    <w:basedOn w:val="34"/>
    <w:qFormat/>
    <w:uiPriority w:val="0"/>
    <w:pPr>
      <w:autoSpaceDE w:val="0"/>
      <w:autoSpaceDN w:val="0"/>
      <w:adjustRightInd w:val="0"/>
      <w:spacing w:after="0" w:line="360" w:lineRule="auto"/>
      <w:textAlignment w:val="baseline"/>
    </w:pPr>
    <w:rPr>
      <w:rFonts w:eastAsia="宋体"/>
      <w:spacing w:val="10"/>
      <w:kern w:val="0"/>
      <w:sz w:val="24"/>
    </w:rPr>
  </w:style>
  <w:style w:type="paragraph" w:customStyle="1" w:styleId="1521">
    <w:name w:val="xl70"/>
    <w:basedOn w:val="1"/>
    <w:qFormat/>
    <w:uiPriority w:val="0"/>
    <w:pPr>
      <w:widowControl/>
      <w:pBdr>
        <w:top w:val="single" w:color="auto" w:sz="4" w:space="0"/>
        <w:left w:val="single" w:color="auto" w:sz="8" w:space="0"/>
        <w:bottom w:val="single" w:color="auto" w:sz="8" w:space="0"/>
        <w:right w:val="single" w:color="auto" w:sz="4" w:space="0"/>
      </w:pBdr>
      <w:shd w:val="pct10" w:color="FFFFFF" w:fill="auto"/>
      <w:spacing w:before="100" w:beforeAutospacing="1" w:after="100" w:afterAutospacing="1"/>
      <w:jc w:val="left"/>
    </w:pPr>
    <w:rPr>
      <w:rFonts w:hint="eastAsia" w:ascii="宋体" w:hAnsi="宋体" w:eastAsia="宋体"/>
      <w:kern w:val="0"/>
      <w:sz w:val="18"/>
      <w:szCs w:val="18"/>
    </w:rPr>
  </w:style>
  <w:style w:type="paragraph" w:customStyle="1" w:styleId="1522">
    <w:name w:val="_point"/>
    <w:qFormat/>
    <w:uiPriority w:val="0"/>
    <w:pPr>
      <w:ind w:left="1418" w:hanging="284"/>
      <w:jc w:val="both"/>
    </w:pPr>
    <w:rPr>
      <w:rFonts w:ascii="Times New Roman" w:hAnsi="Times New Roman" w:eastAsia="宋体" w:cs="Times New Roman"/>
      <w:sz w:val="24"/>
      <w:lang w:val="fr-FR" w:eastAsia="zh-CN" w:bidi="ar-SA"/>
    </w:rPr>
  </w:style>
  <w:style w:type="paragraph" w:customStyle="1" w:styleId="1523">
    <w:name w:val="c条2"/>
    <w:basedOn w:val="1"/>
    <w:next w:val="1"/>
    <w:qFormat/>
    <w:uiPriority w:val="0"/>
    <w:pPr>
      <w:spacing w:line="360" w:lineRule="auto"/>
      <w:outlineLvl w:val="2"/>
    </w:pPr>
    <w:rPr>
      <w:rFonts w:ascii="黑体" w:hAnsi="宋体" w:eastAsia="宋体"/>
      <w:sz w:val="24"/>
      <w:szCs w:val="21"/>
    </w:rPr>
  </w:style>
  <w:style w:type="paragraph" w:customStyle="1" w:styleId="1524">
    <w:name w:val="Cc List"/>
    <w:basedOn w:val="1"/>
    <w:qFormat/>
    <w:uiPriority w:val="0"/>
    <w:pPr>
      <w:widowControl/>
    </w:pPr>
    <w:rPr>
      <w:rFonts w:ascii="Arial" w:hAnsi="Arial" w:eastAsia="宋体"/>
      <w:kern w:val="0"/>
      <w:sz w:val="22"/>
    </w:rPr>
  </w:style>
  <w:style w:type="paragraph" w:customStyle="1" w:styleId="1525">
    <w:name w:val="ksheet"/>
    <w:basedOn w:val="1"/>
    <w:qFormat/>
    <w:uiPriority w:val="0"/>
    <w:pPr>
      <w:autoSpaceDE w:val="0"/>
      <w:autoSpaceDN w:val="0"/>
      <w:adjustRightInd w:val="0"/>
      <w:spacing w:line="300" w:lineRule="exact"/>
      <w:jc w:val="center"/>
      <w:textAlignment w:val="baseline"/>
    </w:pPr>
    <w:rPr>
      <w:rFonts w:ascii="宋体" w:eastAsia="宋体"/>
      <w:color w:val="000000"/>
      <w:kern w:val="0"/>
      <w:sz w:val="21"/>
    </w:rPr>
  </w:style>
  <w:style w:type="paragraph" w:customStyle="1" w:styleId="1526">
    <w:name w:val="Reference Initials"/>
    <w:basedOn w:val="1"/>
    <w:qFormat/>
    <w:uiPriority w:val="0"/>
    <w:pPr>
      <w:widowControl/>
    </w:pPr>
    <w:rPr>
      <w:rFonts w:ascii="Arial" w:hAnsi="Arial" w:eastAsia="宋体"/>
      <w:kern w:val="0"/>
      <w:sz w:val="22"/>
    </w:rPr>
  </w:style>
  <w:style w:type="paragraph" w:customStyle="1" w:styleId="1527">
    <w:name w:val="Enclosure"/>
    <w:basedOn w:val="1"/>
    <w:qFormat/>
    <w:uiPriority w:val="0"/>
    <w:pPr>
      <w:widowControl/>
    </w:pPr>
    <w:rPr>
      <w:rFonts w:ascii="Arial" w:hAnsi="Arial" w:eastAsia="宋体"/>
      <w:kern w:val="0"/>
      <w:sz w:val="22"/>
    </w:rPr>
  </w:style>
  <w:style w:type="paragraph" w:customStyle="1" w:styleId="1528">
    <w:name w:val="CM106"/>
    <w:basedOn w:val="762"/>
    <w:next w:val="762"/>
    <w:qFormat/>
    <w:uiPriority w:val="0"/>
    <w:pPr>
      <w:spacing w:line="626" w:lineRule="atLeast"/>
    </w:pPr>
    <w:rPr>
      <w:rFonts w:ascii="á￥êé" w:eastAsia="á￥êé"/>
    </w:rPr>
  </w:style>
  <w:style w:type="paragraph" w:customStyle="1" w:styleId="1529">
    <w:name w:val="xl101"/>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530">
    <w:name w:val="xl167"/>
    <w:basedOn w:val="1"/>
    <w:qFormat/>
    <w:uiPriority w:val="0"/>
    <w:pPr>
      <w:widowControl/>
      <w:pBdr>
        <w:bottom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531">
    <w:name w:val="CM107"/>
    <w:basedOn w:val="762"/>
    <w:next w:val="762"/>
    <w:qFormat/>
    <w:uiPriority w:val="0"/>
    <w:pPr>
      <w:spacing w:line="626" w:lineRule="atLeast"/>
    </w:pPr>
    <w:rPr>
      <w:rFonts w:ascii="á￥êé" w:eastAsia="á￥êé"/>
    </w:rPr>
  </w:style>
  <w:style w:type="paragraph" w:customStyle="1" w:styleId="1532">
    <w:name w:val="CM21"/>
    <w:basedOn w:val="762"/>
    <w:next w:val="762"/>
    <w:qFormat/>
    <w:uiPriority w:val="0"/>
    <w:pPr>
      <w:spacing w:line="666" w:lineRule="atLeast"/>
    </w:pPr>
    <w:rPr>
      <w:rFonts w:ascii="á￥êé" w:eastAsia="á￥êé"/>
    </w:rPr>
  </w:style>
  <w:style w:type="paragraph" w:customStyle="1" w:styleId="1533">
    <w:name w:val="reader-word-layer reader-word-s1-66"/>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534">
    <w:name w:val="*Insertion tableau"/>
    <w:qFormat/>
    <w:uiPriority w:val="0"/>
    <w:pPr>
      <w:spacing w:line="280" w:lineRule="atLeast"/>
    </w:pPr>
    <w:rPr>
      <w:rFonts w:ascii="Times New Roman" w:hAnsi="Times New Roman" w:eastAsia="宋体" w:cs="Times New Roman"/>
      <w:sz w:val="24"/>
      <w:lang w:val="fr-FR" w:eastAsia="zh-CN" w:bidi="ar-SA"/>
    </w:rPr>
  </w:style>
  <w:style w:type="paragraph" w:customStyle="1" w:styleId="1535">
    <w:name w:val="Objective"/>
    <w:basedOn w:val="1"/>
    <w:next w:val="34"/>
    <w:qFormat/>
    <w:uiPriority w:val="0"/>
    <w:pPr>
      <w:widowControl/>
      <w:spacing w:before="220" w:after="220" w:line="220" w:lineRule="atLeast"/>
      <w:jc w:val="left"/>
    </w:pPr>
    <w:rPr>
      <w:rFonts w:eastAsia="宋体"/>
      <w:kern w:val="0"/>
      <w:sz w:val="20"/>
    </w:rPr>
  </w:style>
  <w:style w:type="paragraph" w:customStyle="1" w:styleId="1536">
    <w:name w:val="xl72"/>
    <w:basedOn w:val="1"/>
    <w:qFormat/>
    <w:uiPriority w:val="0"/>
    <w:pPr>
      <w:widowControl/>
      <w:pBdr>
        <w:top w:val="single" w:color="auto" w:sz="4" w:space="0"/>
        <w:left w:val="single" w:color="auto" w:sz="4" w:space="0"/>
        <w:right w:val="single" w:color="auto" w:sz="4" w:space="0"/>
      </w:pBdr>
      <w:spacing w:before="100" w:after="100"/>
      <w:jc w:val="center"/>
    </w:pPr>
    <w:rPr>
      <w:rFonts w:eastAsia="宋体"/>
      <w:kern w:val="0"/>
      <w:sz w:val="24"/>
    </w:rPr>
  </w:style>
  <w:style w:type="paragraph" w:customStyle="1" w:styleId="1537">
    <w:name w:val="xl86"/>
    <w:basedOn w:val="1"/>
    <w:qFormat/>
    <w:uiPriority w:val="0"/>
    <w:pPr>
      <w:widowControl/>
      <w:pBdr>
        <w:top w:val="single" w:color="auto" w:sz="4" w:space="0"/>
        <w:bottom w:val="single" w:color="auto" w:sz="8" w:space="0"/>
        <w:right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538">
    <w:name w:val="xl105"/>
    <w:basedOn w:val="1"/>
    <w:qFormat/>
    <w:uiPriority w:val="0"/>
    <w:pPr>
      <w:widowControl/>
      <w:pBdr>
        <w:top w:val="single" w:color="auto" w:sz="4" w:space="0"/>
        <w:bottom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539">
    <w:name w:val="xl94"/>
    <w:basedOn w:val="1"/>
    <w:qFormat/>
    <w:uiPriority w:val="0"/>
    <w:pPr>
      <w:widowControl/>
      <w:pBdr>
        <w:top w:val="single" w:color="auto" w:sz="4" w:space="0"/>
        <w:bottom w:val="single" w:color="auto" w:sz="4" w:space="0"/>
      </w:pBdr>
      <w:spacing w:before="100" w:beforeAutospacing="1" w:after="100" w:afterAutospacing="1"/>
      <w:jc w:val="center"/>
    </w:pPr>
    <w:rPr>
      <w:rFonts w:ascii="Arial" w:hAnsi="Arial" w:eastAsia="宋体" w:cs="Arial"/>
      <w:kern w:val="0"/>
      <w:sz w:val="22"/>
      <w:szCs w:val="22"/>
    </w:rPr>
  </w:style>
  <w:style w:type="paragraph" w:customStyle="1" w:styleId="1540">
    <w:name w:val="xl121"/>
    <w:basedOn w:val="1"/>
    <w:qFormat/>
    <w:uiPriority w:val="0"/>
    <w:pPr>
      <w:widowControl/>
      <w:pBdr>
        <w:left w:val="single" w:color="auto" w:sz="4" w:space="0"/>
        <w:bottom w:val="single" w:color="auto" w:sz="4" w:space="0"/>
      </w:pBdr>
      <w:spacing w:before="100" w:beforeAutospacing="1" w:after="100" w:afterAutospacing="1"/>
      <w:jc w:val="center"/>
    </w:pPr>
    <w:rPr>
      <w:rFonts w:ascii="宋体" w:hAnsi="宋体" w:eastAsia="宋体" w:cs="宋体"/>
      <w:kern w:val="0"/>
      <w:sz w:val="22"/>
      <w:szCs w:val="22"/>
    </w:rPr>
  </w:style>
  <w:style w:type="paragraph" w:customStyle="1" w:styleId="1541">
    <w:name w:val="章(一级)"/>
    <w:basedOn w:val="3"/>
    <w:next w:val="1"/>
    <w:qFormat/>
    <w:uiPriority w:val="0"/>
    <w:pPr>
      <w:keepNext w:val="0"/>
      <w:keepLines w:val="0"/>
      <w:pageBreakBefore w:val="0"/>
      <w:widowControl/>
      <w:spacing w:before="0" w:after="0" w:line="400" w:lineRule="exact"/>
      <w:ind w:left="0" w:firstLine="240"/>
      <w:jc w:val="left"/>
    </w:pPr>
    <w:rPr>
      <w:rFonts w:ascii="黑体" w:eastAsia="黑体"/>
      <w:kern w:val="0"/>
      <w:sz w:val="24"/>
    </w:rPr>
  </w:style>
  <w:style w:type="paragraph" w:customStyle="1" w:styleId="1542">
    <w:name w:val="xl123"/>
    <w:basedOn w:val="1"/>
    <w:qFormat/>
    <w:uiPriority w:val="0"/>
    <w:pPr>
      <w:widowControl/>
      <w:pBdr>
        <w:left w:val="single" w:color="auto" w:sz="4" w:space="0"/>
        <w:bottom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543">
    <w:name w:val="表内序号"/>
    <w:basedOn w:val="1"/>
    <w:qFormat/>
    <w:uiPriority w:val="0"/>
    <w:pPr>
      <w:jc w:val="center"/>
    </w:pPr>
    <w:rPr>
      <w:rFonts w:eastAsia="宋体"/>
      <w:color w:val="000000"/>
      <w:sz w:val="21"/>
    </w:rPr>
  </w:style>
  <w:style w:type="paragraph" w:customStyle="1" w:styleId="1544">
    <w:name w:val="Numbered List 1"/>
    <w:basedOn w:val="5"/>
    <w:qFormat/>
    <w:uiPriority w:val="0"/>
    <w:pPr>
      <w:widowControl/>
      <w:tabs>
        <w:tab w:val="left" w:pos="420"/>
      </w:tabs>
      <w:spacing w:after="120" w:line="0" w:lineRule="atLeast"/>
      <w:ind w:firstLine="0"/>
      <w:jc w:val="left"/>
    </w:pPr>
    <w:rPr>
      <w:rFonts w:ascii="Times New Roman" w:hAnsi="Times New Roman" w:cs="Times New Roman"/>
      <w:spacing w:val="0"/>
      <w:kern w:val="0"/>
      <w:u w:val="single"/>
      <w:lang w:val="en-GB"/>
    </w:rPr>
  </w:style>
  <w:style w:type="paragraph" w:customStyle="1" w:styleId="1545">
    <w:name w:val="条文1"/>
    <w:basedOn w:val="7"/>
    <w:qFormat/>
    <w:uiPriority w:val="0"/>
    <w:pPr>
      <w:keepNext w:val="0"/>
      <w:keepLines w:val="0"/>
      <w:adjustRightInd w:val="0"/>
      <w:spacing w:line="460" w:lineRule="exact"/>
      <w:ind w:left="907" w:hanging="425"/>
      <w:jc w:val="both"/>
      <w:textAlignment w:val="baseline"/>
      <w:outlineLvl w:val="9"/>
    </w:pPr>
    <w:rPr>
      <w:rFonts w:ascii="宋体" w:hAnsi="Times New Roman" w:eastAsia="宋体"/>
      <w:b w:val="0"/>
      <w:color w:val="auto"/>
      <w:kern w:val="0"/>
      <w:sz w:val="26"/>
    </w:rPr>
  </w:style>
  <w:style w:type="paragraph" w:customStyle="1" w:styleId="1546">
    <w:name w:val="xl97"/>
    <w:basedOn w:val="1"/>
    <w:qFormat/>
    <w:uiPriority w:val="0"/>
    <w:pPr>
      <w:widowControl/>
      <w:pBdr>
        <w:left w:val="single" w:color="auto" w:sz="4" w:space="0"/>
      </w:pBdr>
      <w:spacing w:before="100" w:beforeAutospacing="1" w:after="100" w:afterAutospacing="1"/>
      <w:jc w:val="center"/>
      <w:textAlignment w:val="center"/>
    </w:pPr>
    <w:rPr>
      <w:rFonts w:ascii="宋体" w:hAnsi="宋体" w:eastAsia="宋体" w:cs="宋体"/>
      <w:kern w:val="0"/>
      <w:sz w:val="22"/>
      <w:szCs w:val="22"/>
    </w:rPr>
  </w:style>
  <w:style w:type="paragraph" w:customStyle="1" w:styleId="1547">
    <w:name w:val="Address 2"/>
    <w:basedOn w:val="1"/>
    <w:qFormat/>
    <w:uiPriority w:val="0"/>
    <w:pPr>
      <w:framePr w:w="2405" w:wrap="notBeside" w:vAnchor="page" w:hAnchor="page" w:x="5761" w:y="1009" w:anchorLock="1"/>
      <w:widowControl/>
      <w:spacing w:line="200" w:lineRule="atLeast"/>
      <w:jc w:val="left"/>
    </w:pPr>
    <w:rPr>
      <w:rFonts w:eastAsia="宋体"/>
      <w:kern w:val="0"/>
      <w:sz w:val="16"/>
    </w:rPr>
  </w:style>
  <w:style w:type="paragraph" w:customStyle="1" w:styleId="1548">
    <w:name w:val="条(二级)"/>
    <w:basedOn w:val="4"/>
    <w:next w:val="1103"/>
    <w:qFormat/>
    <w:uiPriority w:val="0"/>
    <w:pPr>
      <w:tabs>
        <w:tab w:val="left" w:pos="1246"/>
      </w:tabs>
      <w:adjustRightInd w:val="0"/>
      <w:spacing w:before="0" w:after="0" w:afterLines="50" w:line="460" w:lineRule="exact"/>
      <w:ind w:left="0" w:firstLine="0"/>
      <w:jc w:val="center"/>
      <w:textAlignment w:val="baseline"/>
      <w:outlineLvl w:val="9"/>
    </w:pPr>
    <w:rPr>
      <w:rFonts w:ascii="宋体" w:hAnsi="Times New Roman"/>
      <w:kern w:val="0"/>
      <w:sz w:val="26"/>
    </w:rPr>
  </w:style>
  <w:style w:type="paragraph" w:customStyle="1" w:styleId="1549">
    <w:name w:val="档案号"/>
    <w:basedOn w:val="58"/>
    <w:qFormat/>
    <w:uiPriority w:val="0"/>
    <w:pPr>
      <w:pBdr>
        <w:bottom w:val="none" w:color="auto" w:sz="0" w:space="0"/>
      </w:pBdr>
      <w:tabs>
        <w:tab w:val="center" w:pos="4320"/>
        <w:tab w:val="right" w:pos="8640"/>
        <w:tab w:val="clear" w:pos="4153"/>
        <w:tab w:val="clear" w:pos="8306"/>
      </w:tabs>
      <w:adjustRightInd w:val="0"/>
      <w:snapToGrid/>
      <w:spacing w:line="460" w:lineRule="exact"/>
      <w:jc w:val="right"/>
      <w:textAlignment w:val="baseline"/>
    </w:pPr>
    <w:rPr>
      <w:rFonts w:ascii="宋体" w:hAnsi="Arial" w:eastAsia="宋体"/>
      <w:spacing w:val="3"/>
      <w:kern w:val="24"/>
      <w:sz w:val="24"/>
    </w:rPr>
  </w:style>
  <w:style w:type="paragraph" w:customStyle="1" w:styleId="1550">
    <w:name w:val="正文 1"/>
    <w:basedOn w:val="1"/>
    <w:qFormat/>
    <w:uiPriority w:val="0"/>
    <w:pPr>
      <w:adjustRightInd w:val="0"/>
      <w:spacing w:before="60" w:after="60" w:line="312" w:lineRule="auto"/>
      <w:ind w:firstLine="601"/>
      <w:jc w:val="left"/>
      <w:textAlignment w:val="baseline"/>
    </w:pPr>
    <w:rPr>
      <w:rFonts w:eastAsia="宋体"/>
      <w:kern w:val="0"/>
    </w:rPr>
  </w:style>
  <w:style w:type="paragraph" w:customStyle="1" w:styleId="1551">
    <w:name w:val="xl122"/>
    <w:basedOn w:val="1"/>
    <w:qFormat/>
    <w:uiPriority w:val="0"/>
    <w:pPr>
      <w:widowControl/>
      <w:pBdr>
        <w:bottom w:val="single" w:color="auto" w:sz="4" w:space="0"/>
      </w:pBdr>
      <w:spacing w:before="100" w:beforeAutospacing="1" w:after="100" w:afterAutospacing="1"/>
      <w:jc w:val="center"/>
    </w:pPr>
    <w:rPr>
      <w:rFonts w:ascii="Arial" w:hAnsi="Arial" w:eastAsia="宋体" w:cs="Arial"/>
      <w:kern w:val="0"/>
      <w:sz w:val="22"/>
      <w:szCs w:val="22"/>
    </w:rPr>
  </w:style>
  <w:style w:type="paragraph" w:customStyle="1" w:styleId="1552">
    <w:name w:val="City/State"/>
    <w:basedOn w:val="34"/>
    <w:next w:val="34"/>
    <w:qFormat/>
    <w:uiPriority w:val="0"/>
    <w:pPr>
      <w:keepNext/>
      <w:widowControl/>
      <w:spacing w:after="220" w:line="220" w:lineRule="atLeast"/>
      <w:ind w:right="-360"/>
      <w:jc w:val="left"/>
    </w:pPr>
    <w:rPr>
      <w:rFonts w:eastAsia="宋体"/>
      <w:kern w:val="0"/>
      <w:sz w:val="20"/>
    </w:rPr>
  </w:style>
  <w:style w:type="paragraph" w:customStyle="1" w:styleId="1553">
    <w:name w:val="表格文字自调"/>
    <w:basedOn w:val="46"/>
    <w:qFormat/>
    <w:uiPriority w:val="0"/>
    <w:pPr>
      <w:ind w:right="-273" w:rightChars="-130"/>
    </w:pPr>
    <w:rPr>
      <w:rFonts w:hAnsi="宋体"/>
      <w:sz w:val="24"/>
      <w:szCs w:val="24"/>
    </w:rPr>
  </w:style>
  <w:style w:type="paragraph" w:customStyle="1" w:styleId="1554">
    <w:name w:val="Institution"/>
    <w:basedOn w:val="1"/>
    <w:next w:val="1402"/>
    <w:qFormat/>
    <w:uiPriority w:val="0"/>
    <w:pPr>
      <w:widowControl/>
      <w:tabs>
        <w:tab w:val="left" w:pos="2160"/>
        <w:tab w:val="right" w:pos="6480"/>
      </w:tabs>
      <w:spacing w:before="220" w:after="60" w:line="220" w:lineRule="atLeast"/>
      <w:ind w:right="-360"/>
      <w:jc w:val="left"/>
    </w:pPr>
    <w:rPr>
      <w:rFonts w:eastAsia="宋体"/>
      <w:kern w:val="0"/>
      <w:sz w:val="20"/>
    </w:rPr>
  </w:style>
  <w:style w:type="paragraph" w:customStyle="1" w:styleId="1555">
    <w:name w:val="Job Title"/>
    <w:next w:val="1402"/>
    <w:qFormat/>
    <w:uiPriority w:val="0"/>
    <w:pPr>
      <w:spacing w:after="40" w:line="220" w:lineRule="atLeast"/>
    </w:pPr>
    <w:rPr>
      <w:rFonts w:ascii="Arial" w:hAnsi="Arial" w:eastAsia="宋体" w:cs="Times New Roman"/>
      <w:b/>
      <w:spacing w:val="-10"/>
      <w:lang w:val="en-US" w:eastAsia="zh-CN" w:bidi="ar-SA"/>
    </w:rPr>
  </w:style>
  <w:style w:type="paragraph" w:customStyle="1" w:styleId="1556">
    <w:name w:val="xl113"/>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557">
    <w:name w:val="xl147"/>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eastAsia="宋体" w:cs="宋体"/>
      <w:kern w:val="0"/>
      <w:sz w:val="22"/>
      <w:szCs w:val="22"/>
    </w:rPr>
  </w:style>
  <w:style w:type="paragraph" w:customStyle="1" w:styleId="1558">
    <w:name w:val="xl132"/>
    <w:basedOn w:val="1"/>
    <w:qFormat/>
    <w:uiPriority w:val="0"/>
    <w:pPr>
      <w:widowControl/>
      <w:pBdr>
        <w:lef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559">
    <w:name w:val="xl100"/>
    <w:basedOn w:val="1"/>
    <w:qFormat/>
    <w:uiPriority w:val="0"/>
    <w:pPr>
      <w:widowControl/>
      <w:pBdr>
        <w:top w:val="single" w:color="auto" w:sz="4" w:space="0"/>
        <w:bottom w:val="single" w:color="auto" w:sz="8" w:space="0"/>
        <w:right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560">
    <w:name w:val="_puce (1er niveau)"/>
    <w:qFormat/>
    <w:uiPriority w:val="0"/>
    <w:pPr>
      <w:spacing w:before="120" w:line="280" w:lineRule="atLeast"/>
      <w:ind w:left="851" w:hanging="284"/>
      <w:jc w:val="both"/>
    </w:pPr>
    <w:rPr>
      <w:rFonts w:ascii="Times New Roman" w:hAnsi="Times New Roman" w:eastAsia="宋体" w:cs="Times New Roman"/>
      <w:sz w:val="24"/>
      <w:lang w:val="fr-FR" w:eastAsia="zh-CN" w:bidi="ar-SA"/>
    </w:rPr>
  </w:style>
  <w:style w:type="paragraph" w:customStyle="1" w:styleId="1561">
    <w:name w:val="_tiret (2e niveau)"/>
    <w:qFormat/>
    <w:uiPriority w:val="0"/>
    <w:pPr>
      <w:spacing w:before="120"/>
      <w:ind w:left="1134" w:hanging="284"/>
      <w:jc w:val="both"/>
    </w:pPr>
    <w:rPr>
      <w:rFonts w:ascii="Times New Roman" w:hAnsi="Times New Roman" w:eastAsia="宋体" w:cs="Times New Roman"/>
      <w:sz w:val="24"/>
      <w:lang w:val="fr-FR" w:eastAsia="zh-CN" w:bidi="ar-SA"/>
    </w:rPr>
  </w:style>
  <w:style w:type="paragraph" w:customStyle="1" w:styleId="1562">
    <w:name w:val="xl108"/>
    <w:basedOn w:val="1"/>
    <w:qFormat/>
    <w:uiPriority w:val="0"/>
    <w:pPr>
      <w:widowControl/>
      <w:pBdr>
        <w:top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63">
    <w:name w:val="*Centrage"/>
    <w:qFormat/>
    <w:uiPriority w:val="0"/>
    <w:pPr>
      <w:spacing w:line="280" w:lineRule="atLeast"/>
      <w:jc w:val="center"/>
    </w:pPr>
    <w:rPr>
      <w:rFonts w:ascii="Times New Roman" w:hAnsi="Times New Roman" w:eastAsia="宋体" w:cs="Times New Roman"/>
      <w:b/>
      <w:sz w:val="28"/>
      <w:lang w:val="fr-FR" w:eastAsia="zh-CN" w:bidi="ar-SA"/>
    </w:rPr>
  </w:style>
  <w:style w:type="paragraph" w:customStyle="1" w:styleId="1564">
    <w:name w:val="Titre Prem Page"/>
    <w:basedOn w:val="1"/>
    <w:qFormat/>
    <w:uiPriority w:val="0"/>
    <w:pPr>
      <w:widowControl/>
      <w:tabs>
        <w:tab w:val="center" w:pos="9923"/>
      </w:tabs>
      <w:jc w:val="center"/>
    </w:pPr>
    <w:rPr>
      <w:rFonts w:ascii="Times" w:hAnsi="Times" w:eastAsia="宋体"/>
      <w:b/>
      <w:color w:val="000000"/>
      <w:kern w:val="0"/>
      <w:sz w:val="48"/>
      <w:lang w:val="fr-FR"/>
    </w:rPr>
  </w:style>
  <w:style w:type="paragraph" w:customStyle="1" w:styleId="1565">
    <w:name w:val="环保篇"/>
    <w:basedOn w:val="1"/>
    <w:next w:val="1"/>
    <w:qFormat/>
    <w:uiPriority w:val="0"/>
    <w:pPr>
      <w:spacing w:line="360" w:lineRule="auto"/>
      <w:ind w:firstLine="200" w:firstLineChars="200"/>
    </w:pPr>
    <w:rPr>
      <w:rFonts w:eastAsia="宋体"/>
      <w:szCs w:val="28"/>
    </w:rPr>
  </w:style>
  <w:style w:type="paragraph" w:customStyle="1" w:styleId="1566">
    <w:name w:val="条文2"/>
    <w:basedOn w:val="7"/>
    <w:qFormat/>
    <w:uiPriority w:val="0"/>
    <w:pPr>
      <w:keepNext w:val="0"/>
      <w:keepLines w:val="0"/>
      <w:adjustRightInd w:val="0"/>
      <w:spacing w:line="460" w:lineRule="exact"/>
      <w:ind w:left="1151" w:hanging="425"/>
      <w:jc w:val="left"/>
      <w:textAlignment w:val="baseline"/>
      <w:outlineLvl w:val="9"/>
    </w:pPr>
    <w:rPr>
      <w:rFonts w:ascii="宋体" w:eastAsia="宋体"/>
      <w:b w:val="0"/>
      <w:color w:val="auto"/>
      <w:spacing w:val="3"/>
      <w:kern w:val="24"/>
    </w:rPr>
  </w:style>
  <w:style w:type="paragraph" w:customStyle="1" w:styleId="1567">
    <w:name w:val="msocommentsubject"/>
    <w:basedOn w:val="28"/>
    <w:next w:val="28"/>
    <w:qFormat/>
    <w:uiPriority w:val="0"/>
    <w:rPr>
      <w:rFonts w:eastAsia="宋体"/>
      <w:b/>
      <w:bCs/>
      <w:sz w:val="21"/>
    </w:rPr>
  </w:style>
  <w:style w:type="paragraph" w:customStyle="1" w:styleId="1568">
    <w:name w:val="zxl正文首行缩进  2 字符 行距: Char"/>
    <w:basedOn w:val="1"/>
    <w:qFormat/>
    <w:uiPriority w:val="0"/>
    <w:pPr>
      <w:widowControl/>
      <w:tabs>
        <w:tab w:val="left" w:pos="-1843"/>
        <w:tab w:val="left" w:pos="1727"/>
        <w:tab w:val="left" w:pos="1884"/>
      </w:tabs>
      <w:spacing w:line="440" w:lineRule="atLeast"/>
      <w:outlineLvl w:val="0"/>
    </w:pPr>
    <w:rPr>
      <w:rFonts w:ascii="宋体" w:hAnsi="宋体" w:eastAsia="宋体"/>
      <w:color w:val="000000"/>
    </w:rPr>
  </w:style>
  <w:style w:type="paragraph" w:customStyle="1" w:styleId="1569">
    <w:name w:val="文本块1"/>
    <w:basedOn w:val="1"/>
    <w:qFormat/>
    <w:uiPriority w:val="0"/>
    <w:pPr>
      <w:tabs>
        <w:tab w:val="left" w:pos="0"/>
      </w:tabs>
      <w:adjustRightInd w:val="0"/>
      <w:spacing w:line="460" w:lineRule="exact"/>
      <w:ind w:left="130" w:right="202" w:firstLine="520"/>
      <w:textAlignment w:val="baseline"/>
    </w:pPr>
    <w:rPr>
      <w:rFonts w:ascii="Arial" w:hAnsi="Arial" w:eastAsia="宋体"/>
      <w:spacing w:val="10"/>
      <w:sz w:val="24"/>
    </w:rPr>
  </w:style>
  <w:style w:type="paragraph" w:customStyle="1" w:styleId="1570">
    <w:name w:val="样式 标题 5标5标题 5 Char1) Char项 Char1)项标5 Char + 黑色"/>
    <w:basedOn w:val="8"/>
    <w:qFormat/>
    <w:uiPriority w:val="0"/>
    <w:pPr>
      <w:keepNext w:val="0"/>
      <w:keepLines w:val="0"/>
      <w:tabs>
        <w:tab w:val="left" w:pos="425"/>
        <w:tab w:val="clear" w:pos="1008"/>
      </w:tabs>
      <w:spacing w:before="0" w:after="0" w:line="336" w:lineRule="auto"/>
      <w:ind w:left="0" w:hanging="425"/>
      <w:jc w:val="left"/>
    </w:pPr>
    <w:rPr>
      <w:rFonts w:ascii="宋体" w:hAnsi="宋体" w:eastAsia="宋体"/>
      <w:b w:val="0"/>
      <w:bCs w:val="0"/>
      <w:color w:val="000000"/>
      <w:kern w:val="0"/>
      <w:sz w:val="28"/>
      <w:szCs w:val="24"/>
    </w:rPr>
  </w:style>
  <w:style w:type="paragraph" w:customStyle="1" w:styleId="1571">
    <w:name w:val="样式 标题 6标6无节 + 黑色"/>
    <w:basedOn w:val="9"/>
    <w:qFormat/>
    <w:uiPriority w:val="0"/>
    <w:pPr>
      <w:keepNext w:val="0"/>
      <w:tabs>
        <w:tab w:val="left" w:pos="840"/>
        <w:tab w:val="left" w:pos="3080"/>
        <w:tab w:val="clear" w:pos="1152"/>
      </w:tabs>
      <w:spacing w:before="0" w:after="0" w:line="336" w:lineRule="auto"/>
      <w:ind w:left="0" w:firstLine="480" w:firstLineChars="200"/>
      <w:jc w:val="left"/>
    </w:pPr>
    <w:rPr>
      <w:rFonts w:ascii="宋体" w:eastAsia="宋体"/>
      <w:b w:val="0"/>
      <w:bCs w:val="0"/>
      <w:color w:val="000000"/>
      <w:kern w:val="0"/>
      <w:sz w:val="28"/>
    </w:rPr>
  </w:style>
  <w:style w:type="paragraph" w:customStyle="1" w:styleId="1572">
    <w:name w:val="xl90"/>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73">
    <w:name w:val="WJ正文"/>
    <w:basedOn w:val="1"/>
    <w:qFormat/>
    <w:uiPriority w:val="0"/>
    <w:pPr>
      <w:widowControl/>
      <w:spacing w:line="360" w:lineRule="auto"/>
      <w:ind w:firstLine="538" w:firstLineChars="192"/>
    </w:pPr>
    <w:rPr>
      <w:rFonts w:ascii="仿宋_GB2312"/>
      <w:szCs w:val="28"/>
    </w:rPr>
  </w:style>
  <w:style w:type="paragraph" w:customStyle="1" w:styleId="1574">
    <w:name w:val="xl172"/>
    <w:basedOn w:val="1"/>
    <w:qFormat/>
    <w:uiPriority w:val="0"/>
    <w:pPr>
      <w:widowControl/>
      <w:pBdr>
        <w:bottom w:val="single" w:color="auto" w:sz="8"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575">
    <w:name w:val="font13"/>
    <w:basedOn w:val="1"/>
    <w:qFormat/>
    <w:uiPriority w:val="0"/>
    <w:pPr>
      <w:widowControl/>
      <w:spacing w:before="100" w:beforeAutospacing="1" w:after="100" w:afterAutospacing="1"/>
      <w:jc w:val="left"/>
    </w:pPr>
    <w:rPr>
      <w:rFonts w:ascii="Arial" w:hAnsi="Arial" w:eastAsia="宋体" w:cs="Arial"/>
      <w:kern w:val="0"/>
      <w:sz w:val="22"/>
      <w:szCs w:val="22"/>
    </w:rPr>
  </w:style>
  <w:style w:type="paragraph" w:customStyle="1" w:styleId="1576">
    <w:name w:val="font17"/>
    <w:basedOn w:val="1"/>
    <w:qFormat/>
    <w:uiPriority w:val="0"/>
    <w:pPr>
      <w:widowControl/>
      <w:spacing w:before="100" w:beforeAutospacing="1" w:after="100" w:afterAutospacing="1"/>
      <w:jc w:val="left"/>
    </w:pPr>
    <w:rPr>
      <w:rFonts w:ascii="Arial" w:hAnsi="Arial" w:eastAsia="宋体" w:cs="Arial"/>
      <w:kern w:val="0"/>
      <w:sz w:val="21"/>
      <w:szCs w:val="21"/>
    </w:rPr>
  </w:style>
  <w:style w:type="paragraph" w:customStyle="1" w:styleId="1577">
    <w:name w:val="font18"/>
    <w:basedOn w:val="1"/>
    <w:qFormat/>
    <w:uiPriority w:val="0"/>
    <w:pPr>
      <w:widowControl/>
      <w:spacing w:before="100" w:beforeAutospacing="1" w:after="100" w:afterAutospacing="1"/>
      <w:jc w:val="left"/>
    </w:pPr>
    <w:rPr>
      <w:rFonts w:ascii="Arial" w:hAnsi="Arial" w:eastAsia="宋体" w:cs="Arial"/>
      <w:kern w:val="0"/>
      <w:sz w:val="18"/>
      <w:szCs w:val="18"/>
    </w:rPr>
  </w:style>
  <w:style w:type="paragraph" w:customStyle="1" w:styleId="1578">
    <w:name w:val="xl74"/>
    <w:basedOn w:val="1"/>
    <w:qFormat/>
    <w:uiPriority w:val="0"/>
    <w:pPr>
      <w:widowControl/>
      <w:pBdr>
        <w:top w:val="single" w:color="auto" w:sz="8" w:space="0"/>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79">
    <w:name w:val="xl76"/>
    <w:basedOn w:val="1"/>
    <w:qFormat/>
    <w:uiPriority w:val="0"/>
    <w:pPr>
      <w:widowControl/>
      <w:pBdr>
        <w:top w:val="single" w:color="auto" w:sz="4" w:space="0"/>
        <w:left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0"/>
    </w:rPr>
  </w:style>
  <w:style w:type="paragraph" w:customStyle="1" w:styleId="1580">
    <w:name w:val="xl115"/>
    <w:basedOn w:val="1"/>
    <w:qFormat/>
    <w:uiPriority w:val="0"/>
    <w:pPr>
      <w:widowControl/>
      <w:pBdr>
        <w:lef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81">
    <w:name w:val="xl77"/>
    <w:basedOn w:val="1"/>
    <w:qFormat/>
    <w:uiPriority w:val="0"/>
    <w:pPr>
      <w:widowControl/>
      <w:pBdr>
        <w:top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82">
    <w:name w:val="xl78"/>
    <w:basedOn w:val="1"/>
    <w:qFormat/>
    <w:uiPriority w:val="0"/>
    <w:pPr>
      <w:widowControl/>
      <w:pBdr>
        <w:top w:val="single" w:color="auto" w:sz="4" w:space="0"/>
        <w:bottom w:val="single" w:color="auto" w:sz="8" w:space="0"/>
        <w:righ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83">
    <w:name w:val="xl82"/>
    <w:basedOn w:val="1"/>
    <w:qFormat/>
    <w:uiPriority w:val="0"/>
    <w:pPr>
      <w:widowControl/>
      <w:pBdr>
        <w:top w:val="single" w:color="auto" w:sz="8" w:space="0"/>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84">
    <w:name w:val="字元 字元1"/>
    <w:basedOn w:val="1"/>
    <w:qFormat/>
    <w:uiPriority w:val="0"/>
    <w:pPr>
      <w:widowControl/>
      <w:spacing w:after="160" w:line="240" w:lineRule="exact"/>
      <w:jc w:val="left"/>
    </w:pPr>
    <w:rPr>
      <w:rFonts w:ascii="Verdana" w:hAnsi="Verdana" w:cs="Verdana"/>
      <w:color w:val="000000"/>
      <w:kern w:val="0"/>
      <w:sz w:val="24"/>
      <w:szCs w:val="24"/>
      <w:lang w:eastAsia="en-US"/>
    </w:rPr>
  </w:style>
  <w:style w:type="paragraph" w:customStyle="1" w:styleId="1585">
    <w:name w:val="xl83"/>
    <w:basedOn w:val="1"/>
    <w:qFormat/>
    <w:uiPriority w:val="0"/>
    <w:pPr>
      <w:widowControl/>
      <w:pBdr>
        <w:top w:val="single" w:color="auto" w:sz="4" w:space="0"/>
        <w:left w:val="single" w:color="auto" w:sz="4" w:space="0"/>
        <w:bottom w:val="single" w:color="auto" w:sz="8" w:space="0"/>
      </w:pBdr>
      <w:spacing w:before="100" w:beforeAutospacing="1" w:after="100" w:afterAutospacing="1"/>
      <w:jc w:val="center"/>
      <w:textAlignment w:val="center"/>
    </w:pPr>
    <w:rPr>
      <w:rFonts w:ascii="宋体" w:hAnsi="宋体" w:eastAsia="宋体" w:cs="宋体"/>
      <w:kern w:val="0"/>
      <w:sz w:val="20"/>
    </w:rPr>
  </w:style>
  <w:style w:type="paragraph" w:customStyle="1" w:styleId="1586">
    <w:name w:val="xl91"/>
    <w:basedOn w:val="1"/>
    <w:qFormat/>
    <w:uiPriority w:val="0"/>
    <w:pPr>
      <w:widowControl/>
      <w:pBdr>
        <w:top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87">
    <w:name w:val="xl92"/>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88">
    <w:name w:val="样式 正文文本缩进 + 居中"/>
    <w:basedOn w:val="35"/>
    <w:qFormat/>
    <w:uiPriority w:val="0"/>
    <w:pPr>
      <w:widowControl/>
      <w:tabs>
        <w:tab w:val="left" w:pos="1680"/>
      </w:tabs>
      <w:spacing w:line="500" w:lineRule="exact"/>
      <w:ind w:firstLine="420"/>
      <w:jc w:val="center"/>
    </w:pPr>
    <w:rPr>
      <w:rFonts w:cs="宋体"/>
      <w:sz w:val="24"/>
    </w:rPr>
  </w:style>
  <w:style w:type="paragraph" w:customStyle="1" w:styleId="1589">
    <w:name w:val="居中对齐"/>
    <w:basedOn w:val="1"/>
    <w:qFormat/>
    <w:uiPriority w:val="0"/>
    <w:pPr>
      <w:jc w:val="center"/>
    </w:pPr>
    <w:rPr>
      <w:rFonts w:eastAsia="宋体"/>
      <w:sz w:val="21"/>
      <w:szCs w:val="24"/>
    </w:rPr>
  </w:style>
  <w:style w:type="paragraph" w:customStyle="1" w:styleId="1590">
    <w:name w:val="xl98"/>
    <w:basedOn w:val="1"/>
    <w:qFormat/>
    <w:uiPriority w:val="0"/>
    <w:pPr>
      <w:widowControl/>
      <w:pBdr>
        <w:top w:val="single" w:color="auto" w:sz="4" w:space="0"/>
        <w:left w:val="single" w:color="auto" w:sz="4" w:space="0"/>
        <w:bottom w:val="single" w:color="auto" w:sz="8" w:space="0"/>
      </w:pBdr>
      <w:spacing w:before="100" w:beforeAutospacing="1" w:after="100" w:afterAutospacing="1"/>
      <w:jc w:val="center"/>
      <w:textAlignment w:val="center"/>
    </w:pPr>
    <w:rPr>
      <w:rFonts w:ascii="宋体" w:hAnsi="宋体" w:eastAsia="宋体" w:cs="宋体"/>
      <w:kern w:val="0"/>
      <w:sz w:val="20"/>
    </w:rPr>
  </w:style>
  <w:style w:type="paragraph" w:customStyle="1" w:styleId="1591">
    <w:name w:val="xl99"/>
    <w:basedOn w:val="1"/>
    <w:qFormat/>
    <w:uiPriority w:val="0"/>
    <w:pPr>
      <w:widowControl/>
      <w:pBdr>
        <w:top w:val="single" w:color="auto" w:sz="4" w:space="0"/>
        <w:bottom w:val="single" w:color="auto" w:sz="8" w:space="0"/>
      </w:pBdr>
      <w:spacing w:before="100" w:beforeAutospacing="1" w:after="100" w:afterAutospacing="1"/>
      <w:jc w:val="center"/>
      <w:textAlignment w:val="center"/>
    </w:pPr>
    <w:rPr>
      <w:rFonts w:ascii="Arial" w:hAnsi="Arial" w:eastAsia="宋体" w:cs="Arial"/>
      <w:kern w:val="0"/>
      <w:sz w:val="20"/>
    </w:rPr>
  </w:style>
  <w:style w:type="paragraph" w:customStyle="1" w:styleId="1592">
    <w:name w:val="xl103"/>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4"/>
      <w:szCs w:val="24"/>
    </w:rPr>
  </w:style>
  <w:style w:type="paragraph" w:customStyle="1" w:styleId="1593">
    <w:name w:val="xl106"/>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594">
    <w:name w:val="xl114"/>
    <w:basedOn w:val="1"/>
    <w:qFormat/>
    <w:uiPriority w:val="0"/>
    <w:pPr>
      <w:widowControl/>
      <w:pBdr>
        <w:bottom w:val="single" w:color="auto" w:sz="8"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595">
    <w:name w:val="xl116"/>
    <w:basedOn w:val="1"/>
    <w:qFormat/>
    <w:uiPriority w:val="0"/>
    <w:pPr>
      <w:widowControl/>
      <w:spacing w:before="100" w:beforeAutospacing="1" w:after="100" w:afterAutospacing="1"/>
      <w:jc w:val="left"/>
      <w:textAlignment w:val="center"/>
    </w:pPr>
    <w:rPr>
      <w:rFonts w:ascii="Arial" w:hAnsi="Arial" w:eastAsia="宋体" w:cs="Arial"/>
      <w:kern w:val="0"/>
      <w:sz w:val="24"/>
      <w:szCs w:val="24"/>
    </w:rPr>
  </w:style>
  <w:style w:type="paragraph" w:customStyle="1" w:styleId="1596">
    <w:name w:val="xl117"/>
    <w:basedOn w:val="1"/>
    <w:qFormat/>
    <w:uiPriority w:val="0"/>
    <w:pPr>
      <w:widowControl/>
      <w:pBdr>
        <w:righ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97">
    <w:name w:val="xl119"/>
    <w:basedOn w:val="1"/>
    <w:qFormat/>
    <w:uiPriority w:val="0"/>
    <w:pPr>
      <w:widowControl/>
      <w:pBdr>
        <w:bottom w:val="single" w:color="auto" w:sz="8"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98">
    <w:name w:val="xl120"/>
    <w:basedOn w:val="1"/>
    <w:qFormat/>
    <w:uiPriority w:val="0"/>
    <w:pPr>
      <w:widowControl/>
      <w:pBdr>
        <w:bottom w:val="single" w:color="auto" w:sz="8" w:space="0"/>
        <w:right w:val="single" w:color="auto" w:sz="4" w:space="0"/>
      </w:pBdr>
      <w:spacing w:before="100" w:beforeAutospacing="1" w:after="100" w:afterAutospacing="1"/>
      <w:jc w:val="left"/>
      <w:textAlignment w:val="center"/>
    </w:pPr>
    <w:rPr>
      <w:rFonts w:ascii="Arial" w:hAnsi="Arial" w:eastAsia="宋体" w:cs="Arial"/>
      <w:kern w:val="0"/>
      <w:sz w:val="24"/>
      <w:szCs w:val="24"/>
    </w:rPr>
  </w:style>
  <w:style w:type="paragraph" w:customStyle="1" w:styleId="1599">
    <w:name w:val="0"/>
    <w:basedOn w:val="1"/>
    <w:qFormat/>
    <w:uiPriority w:val="0"/>
    <w:pPr>
      <w:widowControl/>
      <w:snapToGrid w:val="0"/>
    </w:pPr>
    <w:rPr>
      <w:rFonts w:ascii="宋体" w:hAnsi="宋体" w:eastAsia="宋体"/>
      <w:spacing w:val="5"/>
      <w:kern w:val="0"/>
      <w:sz w:val="25"/>
    </w:rPr>
  </w:style>
  <w:style w:type="paragraph" w:customStyle="1" w:styleId="1600">
    <w:name w:val="标题1正文"/>
    <w:basedOn w:val="1"/>
    <w:qFormat/>
    <w:uiPriority w:val="0"/>
    <w:pPr>
      <w:keepNext/>
      <w:keepLines/>
      <w:spacing w:beforeLines="50" w:line="300" w:lineRule="auto"/>
      <w:ind w:left="850" w:leftChars="500" w:hanging="350" w:hangingChars="350"/>
    </w:pPr>
    <w:rPr>
      <w:rFonts w:eastAsia="宋体"/>
      <w:sz w:val="24"/>
      <w:szCs w:val="24"/>
    </w:rPr>
  </w:style>
  <w:style w:type="paragraph" w:customStyle="1" w:styleId="1601">
    <w:name w:val="xl127"/>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602">
    <w:name w:val="xl128"/>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0"/>
    </w:rPr>
  </w:style>
  <w:style w:type="paragraph" w:customStyle="1" w:styleId="1603">
    <w:name w:val="xl129"/>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604">
    <w:name w:val="xl130"/>
    <w:basedOn w:val="1"/>
    <w:qFormat/>
    <w:uiPriority w:val="0"/>
    <w:pPr>
      <w:widowControl/>
      <w:pBdr>
        <w:righ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05">
    <w:name w:val="xl133"/>
    <w:basedOn w:val="1"/>
    <w:qFormat/>
    <w:uiPriority w:val="0"/>
    <w:pPr>
      <w:widowControl/>
      <w:spacing w:before="100" w:beforeAutospacing="1" w:after="100" w:afterAutospacing="1"/>
      <w:jc w:val="left"/>
      <w:textAlignment w:val="center"/>
    </w:pPr>
    <w:rPr>
      <w:rFonts w:ascii="Arial" w:hAnsi="Arial" w:eastAsia="宋体" w:cs="Arial"/>
      <w:kern w:val="0"/>
      <w:sz w:val="22"/>
      <w:szCs w:val="22"/>
    </w:rPr>
  </w:style>
  <w:style w:type="paragraph" w:customStyle="1" w:styleId="1606">
    <w:name w:val="xl135"/>
    <w:basedOn w:val="1"/>
    <w:qFormat/>
    <w:uiPriority w:val="0"/>
    <w:pPr>
      <w:widowControl/>
      <w:pBdr>
        <w:bottom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07">
    <w:name w:val="xl137"/>
    <w:basedOn w:val="1"/>
    <w:qFormat/>
    <w:uiPriority w:val="0"/>
    <w:pPr>
      <w:widowControl/>
      <w:pBdr>
        <w:top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608">
    <w:name w:val="xl138"/>
    <w:basedOn w:val="1"/>
    <w:qFormat/>
    <w:uiPriority w:val="0"/>
    <w:pPr>
      <w:widowControl/>
      <w:pBdr>
        <w:top w:val="single" w:color="auto" w:sz="4" w:space="0"/>
        <w:righ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609">
    <w:name w:val="正文表标题"/>
    <w:next w:val="1"/>
    <w:qFormat/>
    <w:uiPriority w:val="0"/>
    <w:pPr>
      <w:tabs>
        <w:tab w:val="left" w:pos="436"/>
      </w:tabs>
      <w:ind w:left="16" w:firstLine="560"/>
      <w:jc w:val="center"/>
    </w:pPr>
    <w:rPr>
      <w:rFonts w:ascii="黑体" w:hAnsi="Times New Roman" w:eastAsia="黑体" w:cs="黑体"/>
      <w:sz w:val="21"/>
      <w:szCs w:val="21"/>
      <w:lang w:val="en-US" w:eastAsia="zh-CN" w:bidi="ar-SA"/>
    </w:rPr>
  </w:style>
  <w:style w:type="paragraph" w:customStyle="1" w:styleId="1610">
    <w:name w:val="xl139"/>
    <w:basedOn w:val="1"/>
    <w:qFormat/>
    <w:uiPriority w:val="0"/>
    <w:pPr>
      <w:widowControl/>
      <w:pBdr>
        <w:lef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611">
    <w:name w:val="xl143"/>
    <w:basedOn w:val="1"/>
    <w:qFormat/>
    <w:uiPriority w:val="0"/>
    <w:pPr>
      <w:widowControl/>
      <w:pBdr>
        <w:left w:val="single" w:color="auto" w:sz="4" w:space="0"/>
        <w:bottom w:val="single" w:color="auto" w:sz="8" w:space="0"/>
      </w:pBdr>
      <w:spacing w:before="100" w:beforeAutospacing="1" w:after="100" w:afterAutospacing="1"/>
      <w:jc w:val="left"/>
    </w:pPr>
    <w:rPr>
      <w:rFonts w:ascii="Arial" w:hAnsi="Arial" w:eastAsia="宋体" w:cs="Arial"/>
      <w:kern w:val="0"/>
      <w:sz w:val="24"/>
      <w:szCs w:val="24"/>
    </w:rPr>
  </w:style>
  <w:style w:type="paragraph" w:customStyle="1" w:styleId="1612">
    <w:name w:val="缺省文本_注释_宋体"/>
    <w:basedOn w:val="1"/>
    <w:qFormat/>
    <w:uiPriority w:val="0"/>
    <w:pPr>
      <w:widowControl/>
      <w:tabs>
        <w:tab w:val="left" w:pos="639"/>
        <w:tab w:val="center" w:pos="5670"/>
        <w:tab w:val="right" w:pos="7655"/>
      </w:tabs>
      <w:spacing w:before="80" w:after="120" w:line="360" w:lineRule="exact"/>
      <w:jc w:val="left"/>
      <w:outlineLvl w:val="7"/>
    </w:pPr>
    <w:rPr>
      <w:rFonts w:ascii="宋体" w:hAnsi="宋体" w:eastAsia="宋体" w:cs="宋体"/>
      <w:spacing w:val="4"/>
      <w:kern w:val="28"/>
      <w:sz w:val="24"/>
    </w:rPr>
  </w:style>
  <w:style w:type="paragraph" w:customStyle="1" w:styleId="1613">
    <w:name w:val="xl145"/>
    <w:basedOn w:val="1"/>
    <w:qFormat/>
    <w:uiPriority w:val="0"/>
    <w:pPr>
      <w:widowControl/>
      <w:pBdr>
        <w:bottom w:val="single" w:color="auto" w:sz="8" w:space="0"/>
        <w:right w:val="single" w:color="auto" w:sz="4" w:space="0"/>
      </w:pBdr>
      <w:spacing w:before="100" w:beforeAutospacing="1" w:after="100" w:afterAutospacing="1"/>
      <w:jc w:val="left"/>
    </w:pPr>
    <w:rPr>
      <w:rFonts w:ascii="Arial" w:hAnsi="Arial" w:eastAsia="宋体" w:cs="Arial"/>
      <w:kern w:val="0"/>
      <w:sz w:val="24"/>
      <w:szCs w:val="24"/>
    </w:rPr>
  </w:style>
  <w:style w:type="paragraph" w:customStyle="1" w:styleId="1614">
    <w:name w:val="xl151"/>
    <w:basedOn w:val="1"/>
    <w:qFormat/>
    <w:uiPriority w:val="0"/>
    <w:pPr>
      <w:widowControl/>
      <w:spacing w:before="100" w:beforeAutospacing="1" w:after="100" w:afterAutospacing="1"/>
      <w:jc w:val="center"/>
      <w:textAlignment w:val="center"/>
    </w:pPr>
    <w:rPr>
      <w:rFonts w:ascii="Arial" w:hAnsi="Arial" w:eastAsia="宋体" w:cs="Arial"/>
      <w:kern w:val="0"/>
      <w:sz w:val="22"/>
      <w:szCs w:val="22"/>
    </w:rPr>
  </w:style>
  <w:style w:type="paragraph" w:customStyle="1" w:styleId="1615">
    <w:name w:val="xl155"/>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Arial" w:hAnsi="Arial" w:eastAsia="宋体" w:cs="Arial"/>
      <w:kern w:val="0"/>
      <w:sz w:val="22"/>
      <w:szCs w:val="22"/>
    </w:rPr>
  </w:style>
  <w:style w:type="paragraph" w:customStyle="1" w:styleId="1616">
    <w:name w:val="xl156"/>
    <w:basedOn w:val="1"/>
    <w:qFormat/>
    <w:uiPriority w:val="0"/>
    <w:pPr>
      <w:widowControl/>
      <w:pBdr>
        <w:top w:val="single" w:color="auto" w:sz="4" w:space="0"/>
        <w:lef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17">
    <w:name w:val="xl157"/>
    <w:basedOn w:val="1"/>
    <w:qFormat/>
    <w:uiPriority w:val="0"/>
    <w:pPr>
      <w:widowControl/>
      <w:pBdr>
        <w:lef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18">
    <w:name w:val="xl158"/>
    <w:basedOn w:val="1"/>
    <w:qFormat/>
    <w:uiPriority w:val="0"/>
    <w:pPr>
      <w:widowControl/>
      <w:pBdr>
        <w:top w:val="single" w:color="auto" w:sz="8" w:space="0"/>
        <w:righ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19">
    <w:name w:val="style1"/>
    <w:basedOn w:val="1"/>
    <w:qFormat/>
    <w:uiPriority w:val="0"/>
    <w:pPr>
      <w:widowControl/>
      <w:spacing w:before="100" w:beforeAutospacing="1" w:after="100" w:afterAutospacing="1"/>
      <w:jc w:val="left"/>
    </w:pPr>
    <w:rPr>
      <w:rFonts w:ascii="宋体" w:hAnsi="宋体" w:eastAsia="宋体" w:cs="宋体"/>
      <w:b/>
      <w:bCs/>
      <w:kern w:val="0"/>
      <w:szCs w:val="28"/>
    </w:rPr>
  </w:style>
  <w:style w:type="paragraph" w:customStyle="1" w:styleId="1620">
    <w:name w:val="xl160"/>
    <w:basedOn w:val="1"/>
    <w:qFormat/>
    <w:uiPriority w:val="0"/>
    <w:pPr>
      <w:widowControl/>
      <w:pBdr>
        <w:top w:val="single" w:color="auto" w:sz="8" w:space="0"/>
        <w:lef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21">
    <w:name w:val="xl161"/>
    <w:basedOn w:val="1"/>
    <w:qFormat/>
    <w:uiPriority w:val="0"/>
    <w:pPr>
      <w:widowControl/>
      <w:pBdr>
        <w:top w:val="single" w:color="auto" w:sz="8" w:space="0"/>
      </w:pBdr>
      <w:spacing w:before="100" w:beforeAutospacing="1" w:after="100" w:afterAutospacing="1"/>
      <w:jc w:val="left"/>
      <w:textAlignment w:val="center"/>
    </w:pPr>
    <w:rPr>
      <w:rFonts w:ascii="Arial" w:hAnsi="Arial" w:eastAsia="宋体" w:cs="Arial"/>
      <w:kern w:val="0"/>
      <w:sz w:val="20"/>
    </w:rPr>
  </w:style>
  <w:style w:type="paragraph" w:customStyle="1" w:styleId="1622">
    <w:name w:val="xl162"/>
    <w:basedOn w:val="1"/>
    <w:qFormat/>
    <w:uiPriority w:val="0"/>
    <w:pPr>
      <w:widowControl/>
      <w:pBdr>
        <w:top w:val="single" w:color="auto" w:sz="8" w:space="0"/>
        <w:righ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23">
    <w:name w:val="xl164"/>
    <w:basedOn w:val="1"/>
    <w:qFormat/>
    <w:uiPriority w:val="0"/>
    <w:pPr>
      <w:widowControl/>
      <w:pBdr>
        <w:right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24">
    <w:name w:val="xl165"/>
    <w:basedOn w:val="1"/>
    <w:qFormat/>
    <w:uiPriority w:val="0"/>
    <w:pPr>
      <w:widowControl/>
      <w:pBdr>
        <w:left w:val="single" w:color="auto" w:sz="4" w:space="0"/>
        <w:bottom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25">
    <w:name w:val="xl166"/>
    <w:basedOn w:val="1"/>
    <w:qFormat/>
    <w:uiPriority w:val="0"/>
    <w:pPr>
      <w:widowControl/>
      <w:pBdr>
        <w:bottom w:val="single" w:color="auto" w:sz="4" w:space="0"/>
      </w:pBdr>
      <w:spacing w:before="100" w:beforeAutospacing="1" w:after="100" w:afterAutospacing="1"/>
      <w:jc w:val="left"/>
      <w:textAlignment w:val="center"/>
    </w:pPr>
    <w:rPr>
      <w:rFonts w:ascii="Arial" w:hAnsi="Arial" w:eastAsia="宋体" w:cs="Arial"/>
      <w:kern w:val="0"/>
      <w:sz w:val="20"/>
    </w:rPr>
  </w:style>
  <w:style w:type="paragraph" w:customStyle="1" w:styleId="1626">
    <w:name w:val="表格 32"/>
    <w:basedOn w:val="1"/>
    <w:qFormat/>
    <w:uiPriority w:val="0"/>
    <w:pPr>
      <w:autoSpaceDE w:val="0"/>
      <w:autoSpaceDN w:val="0"/>
      <w:adjustRightInd w:val="0"/>
      <w:spacing w:line="0" w:lineRule="atLeast"/>
      <w:ind w:firstLine="200" w:firstLineChars="200"/>
      <w:jc w:val="center"/>
      <w:textAlignment w:val="baseline"/>
    </w:pPr>
    <w:rPr>
      <w:rFonts w:eastAsia="宋体"/>
      <w:kern w:val="0"/>
      <w:sz w:val="24"/>
    </w:rPr>
  </w:style>
  <w:style w:type="paragraph" w:customStyle="1" w:styleId="1627">
    <w:name w:val="Char31"/>
    <w:basedOn w:val="7"/>
    <w:qFormat/>
    <w:uiPriority w:val="0"/>
    <w:pPr>
      <w:widowControl/>
      <w:tabs>
        <w:tab w:val="left" w:pos="1680"/>
      </w:tabs>
      <w:spacing w:before="140" w:line="220" w:lineRule="atLeast"/>
      <w:ind w:left="720" w:firstLine="0"/>
      <w:jc w:val="left"/>
    </w:pPr>
    <w:rPr>
      <w:rFonts w:ascii="Futura Bk BT" w:hAnsi="Futura Bk BT" w:eastAsia="Times New Roman"/>
      <w:b w:val="0"/>
      <w:color w:val="auto"/>
      <w:spacing w:val="-4"/>
      <w:kern w:val="28"/>
      <w:sz w:val="21"/>
      <w:lang w:val="en-AU" w:eastAsia="en-US"/>
    </w:rPr>
  </w:style>
  <w:style w:type="paragraph" w:customStyle="1" w:styleId="1628">
    <w:name w:val="xl168"/>
    <w:basedOn w:val="1"/>
    <w:qFormat/>
    <w:uiPriority w:val="0"/>
    <w:pPr>
      <w:widowControl/>
      <w:pBdr>
        <w:top w:val="single" w:color="auto" w:sz="4" w:space="0"/>
        <w:righ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29">
    <w:name w:val="xl169"/>
    <w:basedOn w:val="1"/>
    <w:qFormat/>
    <w:uiPriority w:val="0"/>
    <w:pPr>
      <w:widowControl/>
      <w:pBdr>
        <w:bottom w:val="single" w:color="auto" w:sz="8" w:space="0"/>
        <w:right w:val="single" w:color="auto" w:sz="4"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30">
    <w:name w:val="样式 目录 1 + 左侧:  0 厘米 悬挂缩进: 7.53 字符2"/>
    <w:basedOn w:val="60"/>
    <w:qFormat/>
    <w:uiPriority w:val="0"/>
    <w:pPr>
      <w:tabs>
        <w:tab w:val="left" w:pos="720"/>
        <w:tab w:val="right" w:leader="dot" w:pos="8302"/>
        <w:tab w:val="right" w:leader="dot" w:pos="8820"/>
        <w:tab w:val="clear" w:pos="1120"/>
        <w:tab w:val="clear" w:pos="8767"/>
      </w:tabs>
      <w:adjustRightInd w:val="0"/>
      <w:snapToGrid w:val="0"/>
      <w:spacing w:line="360" w:lineRule="auto"/>
      <w:ind w:hanging="525"/>
      <w:jc w:val="both"/>
    </w:pPr>
    <w:rPr>
      <w:rFonts w:ascii="Calibri" w:hAnsi="Calibri"/>
      <w:b w:val="0"/>
      <w:sz w:val="28"/>
      <w:szCs w:val="28"/>
    </w:rPr>
  </w:style>
  <w:style w:type="paragraph" w:customStyle="1" w:styleId="1631">
    <w:name w:val="xl171"/>
    <w:basedOn w:val="1"/>
    <w:qFormat/>
    <w:uiPriority w:val="0"/>
    <w:pPr>
      <w:widowControl/>
      <w:pBdr>
        <w:left w:val="single" w:color="auto" w:sz="4" w:space="0"/>
        <w:bottom w:val="single" w:color="auto" w:sz="8" w:space="0"/>
      </w:pBdr>
      <w:spacing w:before="100" w:beforeAutospacing="1" w:after="100" w:afterAutospacing="1"/>
      <w:jc w:val="left"/>
      <w:textAlignment w:val="center"/>
    </w:pPr>
    <w:rPr>
      <w:rFonts w:ascii="Arial" w:hAnsi="Arial" w:eastAsia="宋体" w:cs="Arial"/>
      <w:kern w:val="0"/>
      <w:sz w:val="22"/>
      <w:szCs w:val="22"/>
    </w:rPr>
  </w:style>
  <w:style w:type="paragraph" w:customStyle="1" w:styleId="1632">
    <w:name w:val="正文文字－退1"/>
    <w:basedOn w:val="34"/>
    <w:qFormat/>
    <w:uiPriority w:val="0"/>
    <w:pPr>
      <w:spacing w:beforeLines="50" w:after="0" w:afterLines="50" w:line="300" w:lineRule="auto"/>
      <w:ind w:firstLine="600" w:firstLineChars="600"/>
      <w:jc w:val="left"/>
    </w:pPr>
    <w:rPr>
      <w:rFonts w:eastAsia="宋体"/>
      <w:sz w:val="24"/>
      <w:szCs w:val="24"/>
    </w:rPr>
  </w:style>
  <w:style w:type="paragraph" w:customStyle="1" w:styleId="1633">
    <w:name w:val="Indent"/>
    <w:basedOn w:val="1"/>
    <w:qFormat/>
    <w:uiPriority w:val="0"/>
    <w:pPr>
      <w:widowControl/>
      <w:spacing w:after="240"/>
      <w:ind w:left="1440"/>
      <w:jc w:val="left"/>
    </w:pPr>
    <w:rPr>
      <w:rFonts w:ascii="Arial" w:hAnsi="Arial" w:eastAsia="宋体"/>
      <w:kern w:val="0"/>
      <w:sz w:val="24"/>
      <w:lang w:val="en-GB" w:eastAsia="en-US"/>
    </w:rPr>
  </w:style>
  <w:style w:type="paragraph" w:customStyle="1" w:styleId="1634">
    <w:name w:val="表内5号居中"/>
    <w:qFormat/>
    <w:uiPriority w:val="0"/>
    <w:pPr>
      <w:adjustRightInd w:val="0"/>
      <w:snapToGrid w:val="0"/>
      <w:jc w:val="center"/>
    </w:pPr>
    <w:rPr>
      <w:rFonts w:ascii="Times New Roman" w:hAnsi="Times New Roman" w:eastAsia="宋体" w:cs="Times New Roman"/>
      <w:sz w:val="21"/>
      <w:lang w:val="en-US" w:eastAsia="zh-CN" w:bidi="ar-SA"/>
    </w:rPr>
  </w:style>
  <w:style w:type="paragraph" w:customStyle="1" w:styleId="1635">
    <w:name w:val="样式 标题 3 + 段前: 1 行"/>
    <w:basedOn w:val="6"/>
    <w:qFormat/>
    <w:uiPriority w:val="0"/>
    <w:pPr>
      <w:tabs>
        <w:tab w:val="left" w:pos="1134"/>
        <w:tab w:val="left" w:pos="1830"/>
      </w:tabs>
      <w:spacing w:before="312" w:beforeLines="100" w:after="0" w:line="0" w:lineRule="atLeast"/>
      <w:ind w:left="1134" w:hanging="1134"/>
    </w:pPr>
    <w:rPr>
      <w:rFonts w:ascii="Arial" w:hAnsi="Arial" w:eastAsia="宋体"/>
      <w:b w:val="0"/>
      <w:bCs w:val="0"/>
      <w:caps/>
      <w:sz w:val="22"/>
    </w:rPr>
  </w:style>
  <w:style w:type="paragraph" w:customStyle="1" w:styleId="1636">
    <w:name w:val="正文32"/>
    <w:qFormat/>
    <w:uiPriority w:val="0"/>
    <w:pPr>
      <w:widowControl w:val="0"/>
      <w:adjustRightInd w:val="0"/>
      <w:spacing w:line="360" w:lineRule="atLeast"/>
    </w:pPr>
    <w:rPr>
      <w:rFonts w:hint="eastAsia" w:ascii="宋体" w:hAnsi="Times New Roman" w:eastAsia="宋体" w:cs="Times New Roman"/>
      <w:sz w:val="34"/>
      <w:lang w:val="en-US" w:eastAsia="zh-CN" w:bidi="ar-SA"/>
    </w:rPr>
  </w:style>
  <w:style w:type="paragraph" w:customStyle="1" w:styleId="1637">
    <w:name w:val="样式 目录 1 + 左侧:  0 厘米 悬挂缩进: 7.53 字符4"/>
    <w:basedOn w:val="60"/>
    <w:qFormat/>
    <w:uiPriority w:val="0"/>
    <w:pPr>
      <w:tabs>
        <w:tab w:val="left" w:pos="720"/>
        <w:tab w:val="right" w:leader="dot" w:pos="8302"/>
        <w:tab w:val="right" w:leader="dot" w:pos="8820"/>
        <w:tab w:val="clear" w:pos="1120"/>
        <w:tab w:val="clear" w:pos="8767"/>
      </w:tabs>
      <w:adjustRightInd w:val="0"/>
      <w:snapToGrid w:val="0"/>
      <w:spacing w:line="360" w:lineRule="auto"/>
      <w:ind w:left="753" w:hanging="753"/>
      <w:jc w:val="both"/>
    </w:pPr>
    <w:rPr>
      <w:rFonts w:ascii="Calibri" w:hAnsi="Calibri"/>
      <w:sz w:val="28"/>
      <w:szCs w:val="20"/>
    </w:rPr>
  </w:style>
  <w:style w:type="paragraph" w:customStyle="1" w:styleId="1638">
    <w:name w:val="列项"/>
    <w:basedOn w:val="1"/>
    <w:qFormat/>
    <w:uiPriority w:val="0"/>
    <w:pPr>
      <w:keepNext/>
      <w:keepLines/>
      <w:tabs>
        <w:tab w:val="left" w:pos="1588"/>
      </w:tabs>
      <w:spacing w:beforeLines="100" w:line="0" w:lineRule="atLeast"/>
      <w:ind w:left="1588" w:hanging="454"/>
    </w:pPr>
    <w:rPr>
      <w:rFonts w:ascii="Arial" w:hAnsi="Arial" w:eastAsia="宋体"/>
      <w:sz w:val="22"/>
      <w:szCs w:val="24"/>
    </w:rPr>
  </w:style>
  <w:style w:type="paragraph" w:customStyle="1" w:styleId="1639">
    <w:name w:val="样式 正文 + 首行缩进:  2 字符"/>
    <w:basedOn w:val="325"/>
    <w:qFormat/>
    <w:uiPriority w:val="0"/>
    <w:pPr>
      <w:autoSpaceDE w:val="0"/>
      <w:autoSpaceDN w:val="0"/>
      <w:snapToGrid/>
      <w:spacing w:after="0" w:line="360" w:lineRule="auto"/>
      <w:ind w:firstLine="480" w:firstLineChars="200"/>
    </w:pPr>
    <w:rPr>
      <w:rFonts w:cs="宋体"/>
      <w:color w:val="000000"/>
      <w:spacing w:val="0"/>
    </w:rPr>
  </w:style>
  <w:style w:type="paragraph" w:customStyle="1" w:styleId="1640">
    <w:name w:val="目次"/>
    <w:next w:val="1"/>
    <w:qFormat/>
    <w:uiPriority w:val="0"/>
    <w:pPr>
      <w:jc w:val="center"/>
    </w:pPr>
    <w:rPr>
      <w:rFonts w:ascii="宋体" w:hAnsi="Times New Roman" w:eastAsia="黑体" w:cs="Times New Roman"/>
      <w:kern w:val="2"/>
      <w:sz w:val="32"/>
      <w:lang w:val="en-US" w:eastAsia="zh-CN" w:bidi="ar-SA"/>
    </w:rPr>
  </w:style>
  <w:style w:type="paragraph" w:customStyle="1" w:styleId="1641">
    <w:name w:val="CM29"/>
    <w:basedOn w:val="762"/>
    <w:next w:val="762"/>
    <w:qFormat/>
    <w:uiPriority w:val="0"/>
    <w:pPr>
      <w:spacing w:line="468" w:lineRule="atLeast"/>
    </w:pPr>
    <w:rPr>
      <w:rFonts w:cs="宋体"/>
      <w:sz w:val="24"/>
      <w:szCs w:val="24"/>
    </w:rPr>
  </w:style>
  <w:style w:type="paragraph" w:customStyle="1" w:styleId="1642">
    <w:name w:val="样式 标题 3 + 左侧:  1.48 厘米"/>
    <w:basedOn w:val="6"/>
    <w:qFormat/>
    <w:uiPriority w:val="0"/>
    <w:pPr>
      <w:keepNext w:val="0"/>
      <w:keepLines w:val="0"/>
      <w:spacing w:before="0" w:after="0" w:line="360" w:lineRule="auto"/>
      <w:ind w:left="0" w:firstLine="0"/>
    </w:pPr>
    <w:rPr>
      <w:rFonts w:ascii="黑体" w:eastAsia="宋体" w:cs="宋体"/>
      <w:b w:val="0"/>
      <w:bCs w:val="0"/>
      <w:kern w:val="0"/>
    </w:rPr>
  </w:style>
  <w:style w:type="paragraph" w:customStyle="1" w:styleId="1643">
    <w:name w:val="样式 小四 黑色 首行缩进:  0.36 厘米 行距: 1.5 倍行距"/>
    <w:basedOn w:val="1"/>
    <w:qFormat/>
    <w:uiPriority w:val="0"/>
    <w:pPr>
      <w:spacing w:line="360" w:lineRule="auto"/>
    </w:pPr>
    <w:rPr>
      <w:rFonts w:eastAsia="宋体"/>
      <w:color w:val="000000"/>
      <w:sz w:val="24"/>
    </w:rPr>
  </w:style>
  <w:style w:type="paragraph" w:customStyle="1" w:styleId="1644">
    <w:name w:val="纯文本2"/>
    <w:basedOn w:val="1"/>
    <w:link w:val="2172"/>
    <w:qFormat/>
    <w:uiPriority w:val="0"/>
    <w:pPr>
      <w:adjustRightInd w:val="0"/>
      <w:spacing w:line="360" w:lineRule="auto"/>
      <w:jc w:val="left"/>
      <w:textAlignment w:val="baseline"/>
    </w:pPr>
    <w:rPr>
      <w:rFonts w:ascii="宋体" w:hAnsi="Courier New" w:eastAsia="宋体"/>
      <w:sz w:val="24"/>
    </w:rPr>
  </w:style>
  <w:style w:type="paragraph" w:customStyle="1" w:styleId="1645">
    <w:name w:val="b条1"/>
    <w:basedOn w:val="214"/>
    <w:next w:val="1"/>
    <w:qFormat/>
    <w:uiPriority w:val="0"/>
    <w:pPr>
      <w:outlineLvl w:val="1"/>
    </w:pPr>
  </w:style>
  <w:style w:type="paragraph" w:customStyle="1" w:styleId="1646">
    <w:name w:val="样式 标题 1 + 黑体 小四 非加粗 段前: 0 磅 段后: 0 磅 行距: 1.5 倍行距"/>
    <w:basedOn w:val="3"/>
    <w:qFormat/>
    <w:uiPriority w:val="0"/>
    <w:pPr>
      <w:keepNext w:val="0"/>
      <w:keepLines w:val="0"/>
      <w:pageBreakBefore w:val="0"/>
      <w:autoSpaceDE w:val="0"/>
      <w:autoSpaceDN w:val="0"/>
      <w:snapToGrid w:val="0"/>
      <w:spacing w:before="0" w:after="0" w:line="360" w:lineRule="auto"/>
      <w:ind w:left="0" w:firstLine="480" w:firstLineChars="200"/>
      <w:jc w:val="left"/>
    </w:pPr>
    <w:rPr>
      <w:rFonts w:ascii="黑体" w:hAnsi="宋体" w:eastAsia="黑体"/>
      <w:sz w:val="24"/>
    </w:rPr>
  </w:style>
  <w:style w:type="paragraph" w:customStyle="1" w:styleId="1647">
    <w:name w:val="正文页"/>
    <w:basedOn w:val="1"/>
    <w:qFormat/>
    <w:uiPriority w:val="0"/>
    <w:pPr>
      <w:spacing w:line="300" w:lineRule="auto"/>
      <w:ind w:firstLine="200" w:firstLineChars="200"/>
    </w:pPr>
    <w:rPr>
      <w:rFonts w:eastAsia="宋体"/>
      <w:sz w:val="24"/>
      <w:szCs w:val="24"/>
    </w:rPr>
  </w:style>
  <w:style w:type="paragraph" w:customStyle="1" w:styleId="1648">
    <w:name w:val="样式 宋体 小四 行距: 1.5 倍行距"/>
    <w:basedOn w:val="1"/>
    <w:qFormat/>
    <w:uiPriority w:val="0"/>
    <w:pPr>
      <w:spacing w:line="360" w:lineRule="auto"/>
    </w:pPr>
    <w:rPr>
      <w:rFonts w:ascii="宋体" w:hAnsi="宋体" w:eastAsia="宋体" w:cs="宋体"/>
      <w:kern w:val="0"/>
      <w:sz w:val="24"/>
      <w:szCs w:val="24"/>
    </w:rPr>
  </w:style>
  <w:style w:type="paragraph" w:customStyle="1" w:styleId="1649">
    <w:name w:val="Ordinary paragraph"/>
    <w:basedOn w:val="1"/>
    <w:qFormat/>
    <w:uiPriority w:val="0"/>
    <w:pPr>
      <w:adjustRightInd w:val="0"/>
      <w:snapToGrid w:val="0"/>
      <w:spacing w:beforeLines="50" w:line="360" w:lineRule="auto"/>
      <w:ind w:firstLine="420" w:firstLineChars="200"/>
    </w:pPr>
    <w:rPr>
      <w:rFonts w:ascii="黑体" w:hAnsi="宋体" w:eastAsia="黑体" w:cs="Calibri"/>
      <w:sz w:val="21"/>
      <w:szCs w:val="21"/>
    </w:rPr>
  </w:style>
  <w:style w:type="paragraph" w:customStyle="1" w:styleId="1650">
    <w:name w:val="样式 目录 1 + 左侧:  0 厘米 悬挂缩进: 7.53 字符3"/>
    <w:basedOn w:val="60"/>
    <w:qFormat/>
    <w:uiPriority w:val="0"/>
    <w:pPr>
      <w:tabs>
        <w:tab w:val="left" w:pos="720"/>
        <w:tab w:val="right" w:leader="dot" w:pos="8302"/>
        <w:tab w:val="right" w:leader="dot" w:pos="8820"/>
        <w:tab w:val="clear" w:pos="1120"/>
        <w:tab w:val="clear" w:pos="8767"/>
      </w:tabs>
      <w:adjustRightInd w:val="0"/>
      <w:snapToGrid w:val="0"/>
      <w:spacing w:line="360" w:lineRule="auto"/>
      <w:ind w:left="753" w:hanging="753"/>
      <w:jc w:val="both"/>
    </w:pPr>
    <w:rPr>
      <w:rFonts w:ascii="Calibri" w:hAnsi="Calibri"/>
      <w:sz w:val="28"/>
      <w:szCs w:val="20"/>
    </w:rPr>
  </w:style>
  <w:style w:type="paragraph" w:customStyle="1" w:styleId="1651">
    <w:name w:val="pl标题"/>
    <w:basedOn w:val="6"/>
    <w:qFormat/>
    <w:uiPriority w:val="0"/>
    <w:pPr>
      <w:keepNext w:val="0"/>
      <w:keepLines w:val="0"/>
      <w:adjustRightInd w:val="0"/>
      <w:snapToGrid w:val="0"/>
      <w:spacing w:before="0" w:after="0" w:line="360" w:lineRule="auto"/>
      <w:ind w:left="0" w:firstLine="480" w:firstLineChars="200"/>
      <w:outlineLvl w:val="9"/>
    </w:pPr>
    <w:rPr>
      <w:rFonts w:ascii="宋体" w:hAnsi="宋体" w:eastAsia="宋体"/>
      <w:b w:val="0"/>
      <w:bCs w:val="0"/>
      <w:color w:val="000000"/>
      <w:kern w:val="0"/>
      <w:sz w:val="30"/>
      <w:szCs w:val="30"/>
    </w:rPr>
  </w:style>
  <w:style w:type="paragraph" w:customStyle="1" w:styleId="1652">
    <w:name w:val="标题6"/>
    <w:basedOn w:val="1"/>
    <w:next w:val="41"/>
    <w:qFormat/>
    <w:uiPriority w:val="0"/>
    <w:pPr>
      <w:keepNext/>
      <w:spacing w:line="360" w:lineRule="auto"/>
      <w:ind w:firstLine="567"/>
      <w:jc w:val="left"/>
      <w:outlineLvl w:val="5"/>
    </w:pPr>
    <w:rPr>
      <w:rFonts w:eastAsia="宋体"/>
      <w:szCs w:val="21"/>
    </w:rPr>
  </w:style>
  <w:style w:type="paragraph" w:customStyle="1" w:styleId="1653">
    <w:name w:val="zxl行距: 1.5 倍行距 首行缩进:  2 字符"/>
    <w:basedOn w:val="1"/>
    <w:next w:val="1"/>
    <w:qFormat/>
    <w:uiPriority w:val="0"/>
    <w:pPr>
      <w:spacing w:line="360" w:lineRule="auto"/>
      <w:ind w:firstLine="560" w:firstLineChars="200"/>
      <w:jc w:val="left"/>
    </w:pPr>
    <w:rPr>
      <w:rFonts w:eastAsia="宋体"/>
      <w:color w:val="000000"/>
      <w:szCs w:val="28"/>
    </w:rPr>
  </w:style>
  <w:style w:type="paragraph" w:customStyle="1" w:styleId="1654">
    <w:name w:val="项目名称"/>
    <w:basedOn w:val="1"/>
    <w:qFormat/>
    <w:uiPriority w:val="0"/>
    <w:pPr>
      <w:adjustRightInd w:val="0"/>
      <w:snapToGrid w:val="0"/>
      <w:spacing w:line="360" w:lineRule="auto"/>
      <w:jc w:val="center"/>
    </w:pPr>
    <w:rPr>
      <w:rFonts w:ascii="文鼎大标宋简" w:eastAsia="文鼎大标宋简"/>
      <w:sz w:val="56"/>
    </w:rPr>
  </w:style>
  <w:style w:type="paragraph" w:customStyle="1" w:styleId="1655">
    <w:name w:val="Normal New New New New New New New"/>
    <w:qFormat/>
    <w:uiPriority w:val="0"/>
    <w:pPr>
      <w:widowControl w:val="0"/>
      <w:jc w:val="both"/>
    </w:pPr>
    <w:rPr>
      <w:rFonts w:hint="eastAsia" w:ascii="Times New Roman" w:hAnsi="Times New Roman" w:eastAsia="宋体" w:cs="Times New Roman"/>
      <w:kern w:val="2"/>
      <w:sz w:val="21"/>
      <w:lang w:val="en-US" w:eastAsia="zh-CN" w:bidi="ar-SA"/>
    </w:rPr>
  </w:style>
  <w:style w:type="paragraph" w:customStyle="1" w:styleId="1656">
    <w:name w:val="pl正文"/>
    <w:basedOn w:val="1"/>
    <w:qFormat/>
    <w:uiPriority w:val="0"/>
    <w:pPr>
      <w:snapToGrid w:val="0"/>
      <w:spacing w:line="360" w:lineRule="auto"/>
      <w:ind w:firstLine="492"/>
    </w:pPr>
    <w:rPr>
      <w:rFonts w:ascii="宋体" w:hAnsi="宋体" w:eastAsia="宋体"/>
      <w:color w:val="000000"/>
      <w:spacing w:val="6"/>
      <w:szCs w:val="24"/>
    </w:rPr>
  </w:style>
  <w:style w:type="paragraph" w:customStyle="1" w:styleId="1657">
    <w:name w:val="样式 表格文字居中 + 五号"/>
    <w:basedOn w:val="281"/>
    <w:qFormat/>
    <w:uiPriority w:val="0"/>
    <w:pPr>
      <w:tabs>
        <w:tab w:val="clear" w:pos="628"/>
        <w:tab w:val="clear" w:pos="1727"/>
        <w:tab w:val="clear" w:pos="1884"/>
      </w:tabs>
      <w:adjustRightInd w:val="0"/>
      <w:ind w:right="210" w:firstLineChars="0"/>
    </w:pPr>
    <w:rPr>
      <w:bCs w:val="0"/>
      <w:spacing w:val="-6"/>
      <w:kern w:val="0"/>
      <w:sz w:val="21"/>
      <w:szCs w:val="21"/>
    </w:rPr>
  </w:style>
  <w:style w:type="paragraph" w:customStyle="1" w:styleId="1658">
    <w:name w:val="正文首行缩进 +"/>
    <w:basedOn w:val="1"/>
    <w:qFormat/>
    <w:uiPriority w:val="0"/>
    <w:pPr>
      <w:tabs>
        <w:tab w:val="left" w:pos="7371"/>
      </w:tabs>
      <w:spacing w:line="360" w:lineRule="auto"/>
      <w:ind w:firstLine="480" w:firstLineChars="200"/>
    </w:pPr>
    <w:rPr>
      <w:rFonts w:ascii="宋体" w:hAnsi="宋体" w:eastAsia="宋体" w:cs="宋体"/>
      <w:kern w:val="0"/>
      <w:sz w:val="24"/>
      <w:szCs w:val="24"/>
    </w:rPr>
  </w:style>
  <w:style w:type="paragraph" w:customStyle="1" w:styleId="1659">
    <w:name w:val="示例"/>
    <w:basedOn w:val="1"/>
    <w:qFormat/>
    <w:uiPriority w:val="0"/>
    <w:pPr>
      <w:keepNext/>
      <w:keepLines/>
      <w:spacing w:beforeLines="100" w:line="0" w:lineRule="atLeast"/>
      <w:ind w:left="1000" w:leftChars="500" w:hanging="500" w:hangingChars="500"/>
    </w:pPr>
    <w:rPr>
      <w:rFonts w:ascii="Arial" w:hAnsi="Arial" w:eastAsia="宋体"/>
      <w:sz w:val="21"/>
      <w:szCs w:val="24"/>
    </w:rPr>
  </w:style>
  <w:style w:type="paragraph" w:customStyle="1" w:styleId="1660">
    <w:name w:val="样式 目录 1 + 左侧:  0 厘米 悬挂缩进: 7.53 字符"/>
    <w:basedOn w:val="60"/>
    <w:qFormat/>
    <w:uiPriority w:val="0"/>
    <w:pPr>
      <w:tabs>
        <w:tab w:val="left" w:pos="720"/>
        <w:tab w:val="right" w:leader="dot" w:pos="8302"/>
        <w:tab w:val="right" w:leader="dot" w:pos="8820"/>
        <w:tab w:val="clear" w:pos="1120"/>
        <w:tab w:val="clear" w:pos="8767"/>
      </w:tabs>
      <w:adjustRightInd w:val="0"/>
      <w:snapToGrid w:val="0"/>
      <w:spacing w:line="360" w:lineRule="auto"/>
      <w:ind w:left="753" w:hanging="753"/>
      <w:jc w:val="both"/>
    </w:pPr>
    <w:rPr>
      <w:rFonts w:ascii="Calibri" w:hAnsi="Calibri"/>
      <w:sz w:val="28"/>
      <w:szCs w:val="20"/>
    </w:rPr>
  </w:style>
  <w:style w:type="paragraph" w:customStyle="1" w:styleId="1661">
    <w:name w:val="样式 (中文) 楷体_GB2312 四号"/>
    <w:basedOn w:val="1"/>
    <w:qFormat/>
    <w:uiPriority w:val="0"/>
    <w:pPr>
      <w:widowControl/>
      <w:ind w:firstLine="560" w:firstLineChars="200"/>
      <w:jc w:val="left"/>
    </w:pPr>
    <w:rPr>
      <w:rFonts w:ascii="宋体" w:hAnsi="宋体" w:eastAsia="楷体_GB2312" w:cs="宋体"/>
      <w:kern w:val="0"/>
      <w:szCs w:val="28"/>
    </w:rPr>
  </w:style>
  <w:style w:type="paragraph" w:customStyle="1" w:styleId="1662">
    <w:name w:val="样式 样式 标题 7段无级项标题 7 表无节条表格标题1 Char表格标题1无节条 Char Char标7可研-标题... + ..."/>
    <w:basedOn w:val="1"/>
    <w:qFormat/>
    <w:uiPriority w:val="0"/>
    <w:pPr>
      <w:adjustRightInd w:val="0"/>
      <w:snapToGrid w:val="0"/>
      <w:spacing w:line="360" w:lineRule="auto"/>
      <w:ind w:firstLine="560" w:firstLineChars="200"/>
    </w:pPr>
    <w:rPr>
      <w:rFonts w:ascii="宋体" w:hAnsi="宋体" w:eastAsia="宋体"/>
      <w:color w:val="000000"/>
      <w:szCs w:val="28"/>
    </w:rPr>
  </w:style>
  <w:style w:type="paragraph" w:customStyle="1" w:styleId="1663">
    <w:name w:val="c_"/>
    <w:qFormat/>
    <w:uiPriority w:val="0"/>
    <w:pPr>
      <w:widowControl w:val="0"/>
      <w:autoSpaceDE w:val="0"/>
      <w:autoSpaceDN w:val="0"/>
      <w:adjustRightInd w:val="0"/>
      <w:jc w:val="both"/>
    </w:pPr>
    <w:rPr>
      <w:rFonts w:ascii="五" w:hAnsi="Times New Roman" w:eastAsia="五" w:cs="Times New Roman"/>
      <w:sz w:val="24"/>
      <w:lang w:val="en-US" w:eastAsia="zh-CN" w:bidi="ar-SA"/>
    </w:rPr>
  </w:style>
  <w:style w:type="paragraph" w:customStyle="1" w:styleId="1664">
    <w:name w:val="样式 示例 + 段前: 1 行"/>
    <w:basedOn w:val="1659"/>
    <w:qFormat/>
    <w:uiPriority w:val="0"/>
    <w:pPr>
      <w:spacing w:beforeLines="0"/>
      <w:ind w:left="826" w:leftChars="344" w:firstLine="307" w:firstLineChars="0"/>
    </w:pPr>
    <w:rPr>
      <w:sz w:val="20"/>
      <w:szCs w:val="20"/>
    </w:rPr>
  </w:style>
  <w:style w:type="paragraph" w:customStyle="1" w:styleId="1665">
    <w:name w:val="样式 黑体 小四 居中 行距: 1.5 倍行距"/>
    <w:basedOn w:val="1"/>
    <w:qFormat/>
    <w:uiPriority w:val="0"/>
    <w:pPr>
      <w:spacing w:line="360" w:lineRule="auto"/>
      <w:jc w:val="center"/>
    </w:pPr>
    <w:rPr>
      <w:rFonts w:ascii="黑体" w:hAnsi="黑体" w:eastAsia="黑体" w:cs="宋体"/>
      <w:sz w:val="21"/>
    </w:rPr>
  </w:style>
  <w:style w:type="paragraph" w:customStyle="1" w:styleId="1666">
    <w:name w:val="样式 宋体 小四 居中 行距: 1.5 倍行距"/>
    <w:basedOn w:val="1"/>
    <w:qFormat/>
    <w:uiPriority w:val="0"/>
    <w:pPr>
      <w:spacing w:line="360" w:lineRule="auto"/>
      <w:jc w:val="center"/>
    </w:pPr>
    <w:rPr>
      <w:rFonts w:ascii="宋体" w:hAnsi="宋体" w:eastAsia="宋体" w:cs="宋体"/>
      <w:sz w:val="21"/>
    </w:rPr>
  </w:style>
  <w:style w:type="paragraph" w:customStyle="1" w:styleId="1667">
    <w:name w:val="样式 宋体 小四 居中 段前: 3 磅 段后: 3 磅"/>
    <w:basedOn w:val="1"/>
    <w:qFormat/>
    <w:uiPriority w:val="0"/>
    <w:pPr>
      <w:pBdr>
        <w:top w:val="single" w:color="auto" w:sz="8" w:space="1"/>
        <w:left w:val="single" w:color="auto" w:sz="8" w:space="4"/>
        <w:bottom w:val="single" w:color="auto" w:sz="8" w:space="1"/>
        <w:right w:val="single" w:color="auto" w:sz="8" w:space="4"/>
        <w:between w:val="single" w:color="auto" w:sz="8" w:space="1"/>
      </w:pBdr>
      <w:spacing w:before="60" w:after="60"/>
      <w:jc w:val="center"/>
    </w:pPr>
    <w:rPr>
      <w:rFonts w:ascii="宋体" w:hAnsi="宋体" w:eastAsia="宋体" w:cs="宋体"/>
      <w:kern w:val="0"/>
      <w:sz w:val="24"/>
    </w:rPr>
  </w:style>
  <w:style w:type="paragraph" w:customStyle="1" w:styleId="1668">
    <w:name w:val="编制人员情况"/>
    <w:basedOn w:val="1"/>
    <w:qFormat/>
    <w:uiPriority w:val="0"/>
    <w:pPr>
      <w:tabs>
        <w:tab w:val="left" w:pos="600"/>
        <w:tab w:val="left" w:pos="3700"/>
        <w:tab w:val="left" w:pos="6900"/>
      </w:tabs>
      <w:adjustRightInd w:val="0"/>
      <w:snapToGrid w:val="0"/>
      <w:spacing w:after="120" w:line="360" w:lineRule="auto"/>
      <w:ind w:left="420" w:firstLine="180"/>
    </w:pPr>
    <w:rPr>
      <w:rFonts w:ascii="宋体" w:eastAsia="宋体" w:cs="宋体"/>
      <w:sz w:val="32"/>
    </w:rPr>
  </w:style>
  <w:style w:type="paragraph" w:customStyle="1" w:styleId="1669">
    <w:name w:val="样式 标题 4 + 段前: 1 行"/>
    <w:basedOn w:val="7"/>
    <w:qFormat/>
    <w:uiPriority w:val="0"/>
    <w:pPr>
      <w:keepNext w:val="0"/>
      <w:keepLines w:val="0"/>
      <w:snapToGrid w:val="0"/>
      <w:spacing w:before="280" w:beforeLines="100" w:line="0" w:lineRule="atLeast"/>
      <w:ind w:left="0" w:firstLine="0"/>
      <w:jc w:val="both"/>
    </w:pPr>
    <w:rPr>
      <w:rFonts w:eastAsia="宋体"/>
      <w:b w:val="0"/>
      <w:color w:val="auto"/>
      <w:sz w:val="22"/>
    </w:rPr>
  </w:style>
  <w:style w:type="paragraph" w:customStyle="1" w:styleId="1670">
    <w:name w:val="默认段落字体 Para Char Char Char Char Char Char Char Char Char Char Char Char Char"/>
    <w:basedOn w:val="1"/>
    <w:qFormat/>
    <w:uiPriority w:val="0"/>
    <w:rPr>
      <w:rFonts w:eastAsia="宋体"/>
      <w:sz w:val="21"/>
      <w:szCs w:val="24"/>
    </w:rPr>
  </w:style>
  <w:style w:type="paragraph" w:customStyle="1" w:styleId="1671">
    <w:name w:val="首行缩进 Char Char"/>
    <w:basedOn w:val="1"/>
    <w:qFormat/>
    <w:uiPriority w:val="0"/>
    <w:pPr>
      <w:snapToGrid w:val="0"/>
      <w:spacing w:line="360" w:lineRule="auto"/>
      <w:ind w:firstLine="499"/>
    </w:pPr>
    <w:rPr>
      <w:rFonts w:ascii="宋体" w:eastAsia="宋体"/>
      <w:sz w:val="24"/>
    </w:rPr>
  </w:style>
  <w:style w:type="paragraph" w:customStyle="1" w:styleId="1672">
    <w:name w:val="样式 燕山正文 + 首行缩进:  3.5 字符"/>
    <w:basedOn w:val="1"/>
    <w:qFormat/>
    <w:uiPriority w:val="0"/>
    <w:pPr>
      <w:tabs>
        <w:tab w:val="left" w:pos="4680"/>
      </w:tabs>
      <w:adjustRightInd w:val="0"/>
      <w:snapToGrid w:val="0"/>
      <w:spacing w:line="360" w:lineRule="auto"/>
      <w:ind w:firstLine="480" w:firstLineChars="200"/>
    </w:pPr>
    <w:rPr>
      <w:rFonts w:hAnsi="宋体" w:eastAsia="宋体"/>
      <w:color w:val="000000"/>
      <w:sz w:val="24"/>
      <w:szCs w:val="24"/>
    </w:rPr>
  </w:style>
  <w:style w:type="paragraph" w:customStyle="1" w:styleId="1673">
    <w:name w:val="小于节标题"/>
    <w:basedOn w:val="1347"/>
    <w:qFormat/>
    <w:uiPriority w:val="0"/>
    <w:pPr>
      <w:ind w:firstLine="0" w:firstLineChars="0"/>
    </w:pPr>
  </w:style>
  <w:style w:type="paragraph" w:customStyle="1" w:styleId="1674">
    <w:name w:val="reader-word-layer reader-word-s1-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75">
    <w:name w:val="标题 21"/>
    <w:basedOn w:val="1655"/>
    <w:next w:val="1655"/>
    <w:qFormat/>
    <w:uiPriority w:val="0"/>
    <w:pPr>
      <w:keepNext/>
      <w:keepLines/>
      <w:spacing w:before="260" w:after="260" w:line="416" w:lineRule="auto"/>
      <w:outlineLvl w:val="1"/>
    </w:pPr>
    <w:rPr>
      <w:rFonts w:ascii="Arial" w:hAnsi="Arial" w:eastAsia="黑体"/>
      <w:b/>
      <w:sz w:val="32"/>
    </w:rPr>
  </w:style>
  <w:style w:type="paragraph" w:customStyle="1" w:styleId="1676">
    <w:name w:val="正文文本1"/>
    <w:basedOn w:val="1655"/>
    <w:qFormat/>
    <w:uiPriority w:val="0"/>
    <w:pPr>
      <w:spacing w:after="120"/>
    </w:pPr>
    <w:rPr>
      <w:rFonts w:hint="default"/>
      <w:sz w:val="24"/>
    </w:rPr>
  </w:style>
  <w:style w:type="paragraph" w:customStyle="1" w:styleId="1677">
    <w:name w:val="样式 标题 1 + 宋体 四号"/>
    <w:basedOn w:val="3"/>
    <w:qFormat/>
    <w:uiPriority w:val="0"/>
    <w:pPr>
      <w:keepLines w:val="0"/>
      <w:pageBreakBefore w:val="0"/>
      <w:widowControl/>
      <w:tabs>
        <w:tab w:val="clear" w:pos="1080"/>
      </w:tabs>
      <w:spacing w:before="0" w:after="0" w:line="700" w:lineRule="exact"/>
      <w:ind w:left="0" w:firstLine="0"/>
    </w:pPr>
    <w:rPr>
      <w:rFonts w:ascii="宋体" w:hAnsi="华文中宋" w:eastAsia="华文中宋" w:cs="华文中宋"/>
      <w:bCs/>
      <w:color w:val="000000"/>
      <w:kern w:val="2"/>
      <w:sz w:val="28"/>
      <w:szCs w:val="32"/>
    </w:rPr>
  </w:style>
  <w:style w:type="paragraph" w:customStyle="1" w:styleId="1678">
    <w:name w:val="1级标题"/>
    <w:basedOn w:val="1"/>
    <w:qFormat/>
    <w:uiPriority w:val="0"/>
    <w:pPr>
      <w:spacing w:before="60" w:line="460" w:lineRule="exact"/>
      <w:outlineLvl w:val="0"/>
    </w:pPr>
    <w:rPr>
      <w:rFonts w:ascii="Arial" w:hAnsi="Arial" w:eastAsia="宋体"/>
      <w:b/>
      <w:sz w:val="32"/>
      <w:szCs w:val="24"/>
    </w:rPr>
  </w:style>
  <w:style w:type="paragraph" w:customStyle="1" w:styleId="1679">
    <w:name w:val="样式 样式 表头 + 段前: 0.5 行 段后: 0.5 行 + 段前: 0.5 行 段后: 0.5 行"/>
    <w:basedOn w:val="1"/>
    <w:qFormat/>
    <w:uiPriority w:val="0"/>
    <w:pPr>
      <w:spacing w:beforeLines="50" w:afterLines="50" w:line="300" w:lineRule="auto"/>
      <w:jc w:val="center"/>
      <w:outlineLvl w:val="3"/>
    </w:pPr>
    <w:rPr>
      <w:rFonts w:ascii="华文细黑" w:hAnsi="华文细黑" w:eastAsia="宋体" w:cs="宋体"/>
      <w:b/>
      <w:bCs/>
      <w:sz w:val="21"/>
    </w:rPr>
  </w:style>
  <w:style w:type="paragraph" w:customStyle="1" w:styleId="1680">
    <w:name w:val="11标题 3"/>
    <w:basedOn w:val="6"/>
    <w:qFormat/>
    <w:uiPriority w:val="0"/>
    <w:pPr>
      <w:widowControl/>
      <w:tabs>
        <w:tab w:val="clear" w:pos="1789"/>
      </w:tabs>
      <w:spacing w:before="260" w:after="260" w:line="416" w:lineRule="auto"/>
      <w:ind w:left="0" w:firstLine="0"/>
      <w:jc w:val="left"/>
    </w:pPr>
    <w:rPr>
      <w:rFonts w:ascii="宋体" w:hAnsi="宋体" w:eastAsia="楷体_GB2312" w:cs="宋体"/>
      <w:kern w:val="0"/>
      <w:sz w:val="28"/>
      <w:szCs w:val="28"/>
    </w:rPr>
  </w:style>
  <w:style w:type="paragraph" w:customStyle="1" w:styleId="1681">
    <w:name w:val="正文缩进2"/>
    <w:basedOn w:val="1"/>
    <w:qFormat/>
    <w:uiPriority w:val="0"/>
    <w:pPr>
      <w:spacing w:line="460" w:lineRule="exact"/>
      <w:ind w:firstLine="420"/>
    </w:pPr>
    <w:rPr>
      <w:rFonts w:eastAsia="宋体"/>
      <w:sz w:val="24"/>
    </w:rPr>
  </w:style>
  <w:style w:type="paragraph" w:customStyle="1" w:styleId="1682">
    <w:name w:val="纪任山图表标题5"/>
    <w:basedOn w:val="1"/>
    <w:qFormat/>
    <w:uiPriority w:val="0"/>
    <w:pPr>
      <w:widowControl/>
      <w:adjustRightInd w:val="0"/>
      <w:snapToGrid w:val="0"/>
      <w:spacing w:after="120" w:line="480" w:lineRule="exact"/>
      <w:jc w:val="center"/>
    </w:pPr>
    <w:rPr>
      <w:rFonts w:ascii="宋体" w:hAnsi="宋体" w:eastAsia="宋体" w:cs="宋体"/>
      <w:b/>
      <w:color w:val="000000"/>
      <w:spacing w:val="6"/>
      <w:kern w:val="0"/>
      <w:sz w:val="24"/>
    </w:rPr>
  </w:style>
  <w:style w:type="paragraph" w:customStyle="1" w:styleId="1683">
    <w:name w:val="样式2－表格"/>
    <w:basedOn w:val="1"/>
    <w:qFormat/>
    <w:uiPriority w:val="0"/>
    <w:pPr>
      <w:widowControl/>
      <w:autoSpaceDE w:val="0"/>
      <w:autoSpaceDN w:val="0"/>
      <w:adjustRightInd w:val="0"/>
      <w:snapToGrid w:val="0"/>
      <w:spacing w:line="300" w:lineRule="auto"/>
      <w:jc w:val="left"/>
      <w:textAlignment w:val="baseline"/>
    </w:pPr>
    <w:rPr>
      <w:rFonts w:ascii="宋体" w:hAnsi="宋体" w:eastAsia="宋体" w:cs="宋体"/>
      <w:color w:val="000000"/>
      <w:kern w:val="0"/>
      <w:sz w:val="24"/>
    </w:rPr>
  </w:style>
  <w:style w:type="paragraph" w:customStyle="1" w:styleId="1684">
    <w:name w:val="x.x(1)"/>
    <w:basedOn w:val="1"/>
    <w:qFormat/>
    <w:uiPriority w:val="0"/>
    <w:pPr>
      <w:widowControl/>
      <w:autoSpaceDE w:val="0"/>
      <w:autoSpaceDN w:val="0"/>
      <w:adjustRightInd w:val="0"/>
      <w:snapToGrid w:val="0"/>
      <w:spacing w:line="300" w:lineRule="auto"/>
      <w:ind w:left="1134" w:hanging="567"/>
      <w:jc w:val="left"/>
    </w:pPr>
    <w:rPr>
      <w:rFonts w:ascii="Arial" w:hAnsi="Arial" w:eastAsia="MS PGothic" w:cs="宋体"/>
      <w:kern w:val="0"/>
      <w:sz w:val="22"/>
      <w:lang w:eastAsia="ja-JP"/>
    </w:rPr>
  </w:style>
  <w:style w:type="paragraph" w:customStyle="1" w:styleId="1685">
    <w:name w:val="表内5号两端对齐"/>
    <w:qFormat/>
    <w:uiPriority w:val="0"/>
    <w:pPr>
      <w:adjustRightInd w:val="0"/>
      <w:snapToGrid w:val="0"/>
      <w:jc w:val="both"/>
    </w:pPr>
    <w:rPr>
      <w:rFonts w:ascii="Times New Roman" w:hAnsi="Times New Roman" w:eastAsia="宋体" w:cs="Times New Roman"/>
      <w:sz w:val="21"/>
      <w:lang w:val="en-US" w:eastAsia="zh-CN" w:bidi="ar-SA"/>
    </w:rPr>
  </w:style>
  <w:style w:type="paragraph" w:customStyle="1" w:styleId="1686">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1687">
    <w:name w:val="样式3wf"/>
    <w:basedOn w:val="1"/>
    <w:qFormat/>
    <w:uiPriority w:val="0"/>
    <w:pPr>
      <w:widowControl/>
      <w:autoSpaceDE w:val="0"/>
      <w:autoSpaceDN w:val="0"/>
      <w:adjustRightInd w:val="0"/>
      <w:snapToGrid w:val="0"/>
      <w:jc w:val="left"/>
      <w:textAlignment w:val="baseline"/>
    </w:pPr>
    <w:rPr>
      <w:rFonts w:ascii="宋体" w:hAnsi="宋体" w:eastAsia="宋体" w:cs="宋体"/>
      <w:kern w:val="0"/>
      <w:sz w:val="24"/>
    </w:rPr>
  </w:style>
  <w:style w:type="paragraph" w:customStyle="1" w:styleId="1688">
    <w:name w:val="日期2"/>
    <w:basedOn w:val="1"/>
    <w:next w:val="1"/>
    <w:qFormat/>
    <w:uiPriority w:val="0"/>
    <w:pPr>
      <w:widowControl/>
      <w:autoSpaceDE w:val="0"/>
      <w:autoSpaceDN w:val="0"/>
      <w:adjustRightInd w:val="0"/>
      <w:jc w:val="left"/>
      <w:textAlignment w:val="baseline"/>
    </w:pPr>
    <w:rPr>
      <w:rFonts w:ascii="宋体" w:hAnsi="宋体" w:eastAsia="宋体" w:cs="宋体"/>
      <w:spacing w:val="5"/>
      <w:kern w:val="0"/>
      <w:sz w:val="24"/>
    </w:rPr>
  </w:style>
  <w:style w:type="paragraph" w:customStyle="1" w:styleId="1689">
    <w:name w:val="表 头"/>
    <w:basedOn w:val="1"/>
    <w:qFormat/>
    <w:uiPriority w:val="0"/>
    <w:pPr>
      <w:widowControl/>
      <w:adjustRightInd w:val="0"/>
      <w:jc w:val="center"/>
    </w:pPr>
    <w:rPr>
      <w:rFonts w:ascii="宋体" w:hAnsi="宋体" w:eastAsia="黑体" w:cs="宋体"/>
      <w:kern w:val="0"/>
      <w:sz w:val="24"/>
      <w:szCs w:val="24"/>
    </w:rPr>
  </w:style>
  <w:style w:type="paragraph" w:customStyle="1" w:styleId="1690">
    <w:name w:val="1 Char Char Char Char"/>
    <w:basedOn w:val="1"/>
    <w:qFormat/>
    <w:uiPriority w:val="0"/>
    <w:pPr>
      <w:widowControl/>
      <w:spacing w:line="360" w:lineRule="auto"/>
      <w:ind w:firstLine="200" w:firstLineChars="200"/>
      <w:jc w:val="left"/>
    </w:pPr>
    <w:rPr>
      <w:rFonts w:ascii="宋体" w:hAnsi="宋体" w:eastAsia="宋体" w:cs="宋体"/>
      <w:kern w:val="0"/>
      <w:sz w:val="24"/>
      <w:szCs w:val="24"/>
    </w:rPr>
  </w:style>
  <w:style w:type="paragraph" w:customStyle="1" w:styleId="1691">
    <w:name w:val="表头名称"/>
    <w:basedOn w:val="5"/>
    <w:qFormat/>
    <w:uiPriority w:val="0"/>
    <w:pPr>
      <w:widowControl/>
      <w:autoSpaceDE w:val="0"/>
      <w:autoSpaceDN w:val="0"/>
      <w:adjustRightInd w:val="0"/>
      <w:spacing w:line="360" w:lineRule="auto"/>
      <w:ind w:firstLine="0"/>
      <w:jc w:val="center"/>
    </w:pPr>
    <w:rPr>
      <w:rFonts w:ascii="宋体" w:hAnsi="宋体" w:eastAsia="黑体" w:cs="宋体"/>
      <w:spacing w:val="0"/>
      <w:kern w:val="0"/>
      <w:sz w:val="21"/>
      <w:szCs w:val="21"/>
    </w:rPr>
  </w:style>
  <w:style w:type="paragraph" w:customStyle="1" w:styleId="1692">
    <w:name w:val="正文(首行缩进2字）"/>
    <w:basedOn w:val="1"/>
    <w:link w:val="2728"/>
    <w:qFormat/>
    <w:uiPriority w:val="0"/>
    <w:pPr>
      <w:widowControl/>
      <w:spacing w:line="480" w:lineRule="exact"/>
      <w:ind w:firstLine="200" w:firstLineChars="200"/>
      <w:jc w:val="left"/>
    </w:pPr>
    <w:rPr>
      <w:rFonts w:ascii="Arial" w:hAnsi="Arial" w:eastAsia="宋体" w:cs="Arial"/>
      <w:kern w:val="0"/>
      <w:sz w:val="24"/>
      <w:szCs w:val="24"/>
    </w:rPr>
  </w:style>
  <w:style w:type="paragraph" w:customStyle="1" w:styleId="1693">
    <w:name w:val="样式 标题 1 + 华文中宋 两端对齐 左侧:  0 厘米"/>
    <w:basedOn w:val="3"/>
    <w:qFormat/>
    <w:uiPriority w:val="0"/>
    <w:pPr>
      <w:pageBreakBefore w:val="0"/>
      <w:widowControl/>
      <w:tabs>
        <w:tab w:val="left" w:pos="720"/>
        <w:tab w:val="clear" w:pos="1080"/>
      </w:tabs>
      <w:spacing w:before="340" w:after="330" w:line="240" w:lineRule="auto"/>
      <w:ind w:left="720" w:hanging="720"/>
      <w:jc w:val="left"/>
    </w:pPr>
    <w:rPr>
      <w:rFonts w:ascii="华文中宋" w:hAnsi="华文中宋" w:eastAsia="华文中宋" w:cs="宋体"/>
      <w:bCs/>
      <w:sz w:val="44"/>
      <w:szCs w:val="44"/>
    </w:rPr>
  </w:style>
  <w:style w:type="paragraph" w:customStyle="1" w:styleId="1694">
    <w:name w:val="1-正文"/>
    <w:basedOn w:val="1"/>
    <w:link w:val="2720"/>
    <w:qFormat/>
    <w:uiPriority w:val="0"/>
    <w:pPr>
      <w:widowControl/>
      <w:spacing w:line="360" w:lineRule="auto"/>
      <w:ind w:firstLine="480" w:firstLineChars="200"/>
      <w:jc w:val="left"/>
    </w:pPr>
    <w:rPr>
      <w:rFonts w:ascii="宋体" w:hAnsi="宋体" w:eastAsia="宋体" w:cs="宋体"/>
      <w:kern w:val="0"/>
      <w:sz w:val="24"/>
      <w:szCs w:val="24"/>
    </w:rPr>
  </w:style>
  <w:style w:type="paragraph" w:customStyle="1" w:styleId="1695">
    <w:name w:val="Char Char2 Char Char Char2 Char Char Char Char Char Char Char Char Char Char Char Char Char"/>
    <w:basedOn w:val="1"/>
    <w:qFormat/>
    <w:uiPriority w:val="0"/>
    <w:pPr>
      <w:widowControl/>
      <w:spacing w:after="160" w:line="240" w:lineRule="exact"/>
      <w:jc w:val="left"/>
    </w:pPr>
    <w:rPr>
      <w:rFonts w:ascii="宋体" w:hAnsi="宋体" w:eastAsia="宋体" w:cs="宋体"/>
      <w:kern w:val="0"/>
      <w:sz w:val="24"/>
    </w:rPr>
  </w:style>
  <w:style w:type="paragraph" w:customStyle="1" w:styleId="1696">
    <w:name w:val="biaoge 表1"/>
    <w:basedOn w:val="1"/>
    <w:qFormat/>
    <w:uiPriority w:val="0"/>
    <w:pPr>
      <w:widowControl/>
      <w:jc w:val="center"/>
    </w:pPr>
    <w:rPr>
      <w:rFonts w:ascii="宋体" w:hAnsi="宋体" w:eastAsia="宋体" w:cs="宋体"/>
      <w:kern w:val="0"/>
      <w:sz w:val="24"/>
      <w:szCs w:val="21"/>
    </w:rPr>
  </w:style>
  <w:style w:type="paragraph" w:customStyle="1" w:styleId="1697">
    <w:name w:val="正文楷体"/>
    <w:basedOn w:val="1"/>
    <w:qFormat/>
    <w:uiPriority w:val="0"/>
    <w:pPr>
      <w:widowControl/>
      <w:adjustRightInd w:val="0"/>
      <w:snapToGrid w:val="0"/>
      <w:spacing w:line="360" w:lineRule="auto"/>
      <w:ind w:firstLine="200" w:firstLineChars="200"/>
      <w:jc w:val="left"/>
    </w:pPr>
    <w:rPr>
      <w:rFonts w:ascii="宋体" w:hAnsi="宋体" w:eastAsia="楷体_GB2312" w:cs="宋体"/>
      <w:kern w:val="0"/>
      <w:sz w:val="24"/>
    </w:rPr>
  </w:style>
  <w:style w:type="paragraph" w:customStyle="1" w:styleId="1698">
    <w:name w:val="标题3，中板"/>
    <w:basedOn w:val="6"/>
    <w:qFormat/>
    <w:uiPriority w:val="0"/>
    <w:pPr>
      <w:widowControl/>
      <w:tabs>
        <w:tab w:val="clear" w:pos="1789"/>
      </w:tabs>
      <w:spacing w:before="260" w:after="260" w:line="413" w:lineRule="auto"/>
      <w:ind w:left="0" w:firstLine="0"/>
      <w:jc w:val="left"/>
    </w:pPr>
    <w:rPr>
      <w:rFonts w:ascii="Times New Roman" w:eastAsia="宋体" w:cs="宋体"/>
      <w:kern w:val="44"/>
      <w:sz w:val="28"/>
      <w:szCs w:val="24"/>
    </w:rPr>
  </w:style>
  <w:style w:type="paragraph" w:customStyle="1" w:styleId="1699">
    <w:name w:val="Char4 Char Char Char Char Char Char"/>
    <w:basedOn w:val="1"/>
    <w:qFormat/>
    <w:uiPriority w:val="0"/>
    <w:pPr>
      <w:spacing w:line="360" w:lineRule="auto"/>
      <w:ind w:firstLine="200" w:firstLineChars="200"/>
    </w:pPr>
    <w:rPr>
      <w:rFonts w:eastAsia="宋体"/>
      <w:sz w:val="21"/>
    </w:rPr>
  </w:style>
  <w:style w:type="paragraph" w:customStyle="1" w:styleId="1700">
    <w:name w:val="Char Char1 Char Char Char Char Char Char"/>
    <w:basedOn w:val="1"/>
    <w:qFormat/>
    <w:uiPriority w:val="0"/>
    <w:pPr>
      <w:widowControl/>
      <w:spacing w:after="160" w:line="240" w:lineRule="exact"/>
      <w:jc w:val="left"/>
    </w:pPr>
    <w:rPr>
      <w:rFonts w:eastAsia="宋体"/>
      <w:sz w:val="21"/>
    </w:rPr>
  </w:style>
  <w:style w:type="paragraph" w:customStyle="1" w:styleId="1701">
    <w:name w:val="reader-word-layer reader-word-s1-5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2">
    <w:name w:val="reader-word-layer reader-word-s1-5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3">
    <w:name w:val="reader-word-layer reader-word-s1-6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4">
    <w:name w:val="reader-word-layer reader-word-s1-7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5">
    <w:name w:val="reader-word-layer reader-word-s1-7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6">
    <w:name w:val="reader-word-layer reader-word-s1-7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7">
    <w:name w:val="reader-word-layer reader-word-s1-2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8">
    <w:name w:val="reader-word-layer reader-word-s1-37"/>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9">
    <w:name w:val="reader-word-layer reader-word-s2-4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10">
    <w:name w:val="样式 正文缩进首行缩进两字标题4正文不缩进s4正文（首行缩进两字） Char Char Char Char Char ...1"/>
    <w:basedOn w:val="5"/>
    <w:qFormat/>
    <w:uiPriority w:val="0"/>
    <w:pPr>
      <w:adjustRightInd w:val="0"/>
      <w:snapToGrid w:val="0"/>
      <w:spacing w:line="360" w:lineRule="auto"/>
      <w:ind w:left="-108" w:firstLine="200" w:firstLineChars="200"/>
    </w:pPr>
    <w:rPr>
      <w:rFonts w:cs="宋体"/>
      <w:kern w:val="0"/>
    </w:rPr>
  </w:style>
  <w:style w:type="paragraph" w:customStyle="1" w:styleId="1711">
    <w:name w:val="表目"/>
    <w:basedOn w:val="1"/>
    <w:qFormat/>
    <w:uiPriority w:val="0"/>
    <w:pPr>
      <w:shd w:val="pct5" w:color="auto" w:fill="FFFFFF"/>
      <w:adjustRightInd w:val="0"/>
      <w:snapToGrid w:val="0"/>
      <w:spacing w:line="360" w:lineRule="auto"/>
      <w:ind w:firstLine="567" w:firstLineChars="11"/>
      <w:jc w:val="center"/>
      <w:textAlignment w:val="center"/>
    </w:pPr>
    <w:rPr>
      <w:rFonts w:ascii="宋体" w:hAnsi="宋体" w:eastAsia="宋体"/>
      <w:b/>
      <w:sz w:val="24"/>
    </w:rPr>
  </w:style>
  <w:style w:type="table" w:customStyle="1" w:styleId="1712">
    <w:name w:val="网格型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13">
    <w:name w:val="AAA"/>
    <w:basedOn w:val="89"/>
    <w:qFormat/>
    <w:uiPriority w:val="0"/>
    <w:pPr>
      <w:spacing w:line="300" w:lineRule="exact"/>
      <w:jc w:val="center"/>
    </w:pPr>
    <w:rPr>
      <w:rFonts w:eastAsia="楷体_GB2312"/>
      <w:sz w:val="21"/>
      <w:szCs w:val="21"/>
    </w:rPr>
    <w:tblPr>
      <w:jc w:val="center"/>
      <w:tblBorders>
        <w:top w:val="single" w:color="auto" w:sz="12" w:space="0"/>
        <w:bottom w:val="single" w:color="auto" w:sz="12" w:space="0"/>
      </w:tblBorders>
      <w:tblCellMar>
        <w:top w:w="0" w:type="dxa"/>
        <w:left w:w="108" w:type="dxa"/>
        <w:bottom w:w="0" w:type="dxa"/>
        <w:right w:w="108" w:type="dxa"/>
      </w:tblCellMar>
    </w:tblPr>
    <w:trPr>
      <w:jc w:val="center"/>
    </w:trPr>
    <w:tcPr>
      <w:vAlign w:val="center"/>
    </w:tcPr>
  </w:style>
  <w:style w:type="table" w:customStyle="1" w:styleId="1714">
    <w:name w:val="网格型9"/>
    <w:basedOn w:val="88"/>
    <w:qFormat/>
    <w:uiPriority w:val="0"/>
    <w:pPr>
      <w:widowControl w:val="0"/>
      <w:adjustRightInd w:val="0"/>
      <w:snapToGrid w:val="0"/>
      <w:spacing w:line="480" w:lineRule="atLeast"/>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15">
    <w:name w:val="网格型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16">
    <w:name w:val="网格型 61"/>
    <w:basedOn w:val="88"/>
    <w:qFormat/>
    <w:uiPriority w:val="0"/>
    <w:pPr>
      <w:widowControl w:val="0"/>
      <w:jc w:val="both"/>
    </w:pPr>
    <w:rPr>
      <w:rFonts w:ascii="Plotter" w:hAnsi="Plotter" w:cs="Plotter"/>
    </w:rPr>
    <w:tblPr>
      <w:tblBorders>
        <w:top w:val="single" w:color="000000" w:sz="12" w:space="0"/>
        <w:left w:val="single" w:color="000000" w:sz="12" w:space="0"/>
        <w:bottom w:val="single" w:color="000000" w:sz="12"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rPr>
        <w:b/>
        <w:b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717">
    <w:name w:val="网格型3"/>
    <w:basedOn w:val="88"/>
    <w:qFormat/>
    <w:uiPriority w:val="0"/>
    <w:pPr>
      <w:jc w:val="center"/>
    </w:pPr>
    <w:rPr>
      <w:rFonts w:ascii="Calibri" w:hAnsi="Calibri"/>
    </w:rPr>
    <w:tblPr>
      <w:tblBorders>
        <w:top w:val="single" w:color="000000" w:sz="12" w:space="0"/>
        <w:bottom w:val="single" w:color="000000" w:sz="12" w:space="0"/>
        <w:insideH w:val="single" w:color="000000" w:sz="4" w:space="0"/>
        <w:insideV w:val="single" w:color="000000" w:sz="4" w:space="0"/>
      </w:tblBorders>
      <w:tblCellMar>
        <w:top w:w="0" w:type="dxa"/>
        <w:left w:w="108" w:type="dxa"/>
        <w:bottom w:w="0" w:type="dxa"/>
        <w:right w:w="108" w:type="dxa"/>
      </w:tblCellMar>
    </w:tblPr>
    <w:tcPr>
      <w:vAlign w:val="center"/>
    </w:tcPr>
  </w:style>
  <w:style w:type="table" w:customStyle="1" w:styleId="1718">
    <w:name w:val="网格型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19">
    <w:name w:val="表格样式1"/>
    <w:basedOn w:val="88"/>
    <w:qFormat/>
    <w:uiPriority w:val="0"/>
    <w:pPr>
      <w:jc w:val="center"/>
    </w:pPr>
    <w:rPr>
      <w:sz w:val="21"/>
      <w:szCs w:val="21"/>
    </w:rPr>
    <w:tblPr>
      <w:jc w:val="center"/>
      <w:tblBorders>
        <w:top w:val="single" w:color="auto" w:sz="18" w:space="0"/>
        <w:bottom w:val="single" w:color="auto" w:sz="18"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table" w:customStyle="1" w:styleId="1720">
    <w:name w:val="AAA1"/>
    <w:basedOn w:val="121"/>
    <w:qFormat/>
    <w:uiPriority w:val="0"/>
    <w:pPr>
      <w:adjustRightInd/>
      <w:jc w:val="both"/>
      <w:textAlignment w:val="auto"/>
    </w:pPr>
    <w:tblPr>
      <w:tblBorders>
        <w:top w:val="single" w:color="auto" w:sz="12" w:space="0"/>
        <w:bottom w:val="single" w:color="auto" w:sz="12" w:space="0"/>
      </w:tblBorders>
      <w:tblCellMar>
        <w:top w:w="0" w:type="dxa"/>
        <w:left w:w="108" w:type="dxa"/>
        <w:bottom w:w="0" w:type="dxa"/>
        <w:right w:w="108" w:type="dxa"/>
      </w:tblCellMar>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721">
    <w:name w:val="网格型2"/>
    <w:basedOn w:val="88"/>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722">
    <w:name w:val="网格型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23">
    <w:name w:val="网格型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724">
    <w:name w:val="网格型8"/>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725">
    <w:name w:val="Char Char3 Char Char Char Char"/>
    <w:basedOn w:val="1"/>
    <w:qFormat/>
    <w:uiPriority w:val="0"/>
    <w:pPr>
      <w:widowControl/>
      <w:adjustRightInd w:val="0"/>
      <w:jc w:val="center"/>
    </w:pPr>
    <w:rPr>
      <w:rFonts w:eastAsia="宋体"/>
      <w:sz w:val="21"/>
    </w:rPr>
  </w:style>
  <w:style w:type="character" w:customStyle="1" w:styleId="1726">
    <w:name w:val="标题 13 Char Char"/>
    <w:qFormat/>
    <w:uiPriority w:val="0"/>
    <w:rPr>
      <w:rFonts w:eastAsia="黑体"/>
      <w:b/>
      <w:w w:val="80"/>
      <w:kern w:val="2"/>
      <w:sz w:val="32"/>
      <w:lang w:val="en-US" w:eastAsia="zh-CN" w:bidi="ar-SA"/>
    </w:rPr>
  </w:style>
  <w:style w:type="character" w:customStyle="1" w:styleId="1727">
    <w:name w:val="f241"/>
    <w:qFormat/>
    <w:uiPriority w:val="0"/>
    <w:rPr>
      <w:sz w:val="36"/>
      <w:szCs w:val="36"/>
    </w:rPr>
  </w:style>
  <w:style w:type="paragraph" w:customStyle="1" w:styleId="1728">
    <w:name w:val="报告表正文"/>
    <w:basedOn w:val="1"/>
    <w:qFormat/>
    <w:uiPriority w:val="0"/>
    <w:pPr>
      <w:adjustRightInd w:val="0"/>
      <w:spacing w:line="300" w:lineRule="auto"/>
      <w:ind w:left="113" w:right="113"/>
      <w:textAlignment w:val="baseline"/>
    </w:pPr>
    <w:rPr>
      <w:rFonts w:ascii="宋体" w:hAnsi="宋体" w:eastAsia="宋体"/>
      <w:kern w:val="0"/>
      <w:sz w:val="24"/>
    </w:rPr>
  </w:style>
  <w:style w:type="character" w:customStyle="1" w:styleId="1729">
    <w:name w:val="表格 Char Char Char"/>
    <w:qFormat/>
    <w:uiPriority w:val="0"/>
    <w:rPr>
      <w:rFonts w:eastAsia="宋体" w:cs="宋体"/>
      <w:kern w:val="2"/>
      <w:sz w:val="24"/>
      <w:lang w:val="en-US" w:eastAsia="zh-CN" w:bidi="ar-SA"/>
    </w:rPr>
  </w:style>
  <w:style w:type="character" w:customStyle="1" w:styleId="1730">
    <w:name w:val="公文正文 Char Char"/>
    <w:link w:val="1731"/>
    <w:qFormat/>
    <w:uiPriority w:val="0"/>
    <w:rPr>
      <w:rFonts w:eastAsia="方正仿宋_GBK"/>
      <w:kern w:val="2"/>
      <w:sz w:val="32"/>
      <w:szCs w:val="24"/>
      <w:lang w:val="en-US" w:eastAsia="zh-CN" w:bidi="ar-SA"/>
    </w:rPr>
  </w:style>
  <w:style w:type="paragraph" w:customStyle="1" w:styleId="1731">
    <w:name w:val="公文正文"/>
    <w:basedOn w:val="1"/>
    <w:link w:val="1730"/>
    <w:qFormat/>
    <w:uiPriority w:val="0"/>
    <w:pPr>
      <w:spacing w:line="600" w:lineRule="exact"/>
      <w:ind w:firstLine="200" w:firstLineChars="200"/>
    </w:pPr>
    <w:rPr>
      <w:rFonts w:eastAsia="方正仿宋_GBK"/>
      <w:sz w:val="32"/>
      <w:szCs w:val="24"/>
    </w:rPr>
  </w:style>
  <w:style w:type="character" w:customStyle="1" w:styleId="1732">
    <w:name w:val="Char Char20"/>
    <w:qFormat/>
    <w:locked/>
    <w:uiPriority w:val="0"/>
    <w:rPr>
      <w:rFonts w:ascii="仿宋_GB2312" w:eastAsia="仿宋_GB2312"/>
      <w:kern w:val="2"/>
      <w:sz w:val="28"/>
      <w:lang w:val="en-US" w:eastAsia="zh-CN" w:bidi="ar-SA"/>
    </w:rPr>
  </w:style>
  <w:style w:type="character" w:customStyle="1" w:styleId="1733">
    <w:name w:val="Char Char"/>
    <w:qFormat/>
    <w:locked/>
    <w:uiPriority w:val="0"/>
    <w:rPr>
      <w:rFonts w:ascii="宋体" w:hAnsi="Courier New" w:eastAsia="宋体"/>
      <w:kern w:val="2"/>
      <w:sz w:val="21"/>
      <w:lang w:val="en-US" w:eastAsia="zh-CN" w:bidi="ar-SA"/>
    </w:rPr>
  </w:style>
  <w:style w:type="character" w:customStyle="1" w:styleId="1734">
    <w:name w:val="正文wwwww Char"/>
    <w:link w:val="1735"/>
    <w:qFormat/>
    <w:locked/>
    <w:uiPriority w:val="0"/>
    <w:rPr>
      <w:rFonts w:ascii="Arial" w:hAnsi="Arial" w:eastAsia="宋体" w:cs="宋体"/>
      <w:sz w:val="24"/>
      <w:szCs w:val="24"/>
      <w:lang w:val="zh-CN" w:eastAsia="zh-CN" w:bidi="ar-SA"/>
    </w:rPr>
  </w:style>
  <w:style w:type="paragraph" w:customStyle="1" w:styleId="1735">
    <w:name w:val="正文wwwww"/>
    <w:basedOn w:val="1"/>
    <w:next w:val="1"/>
    <w:link w:val="1734"/>
    <w:qFormat/>
    <w:uiPriority w:val="0"/>
    <w:pPr>
      <w:widowControl/>
      <w:snapToGrid w:val="0"/>
      <w:spacing w:line="360" w:lineRule="auto"/>
      <w:ind w:firstLine="482"/>
      <w:jc w:val="left"/>
    </w:pPr>
    <w:rPr>
      <w:rFonts w:ascii="Arial" w:hAnsi="Arial" w:eastAsia="宋体" w:cs="宋体"/>
      <w:kern w:val="0"/>
      <w:sz w:val="24"/>
      <w:szCs w:val="24"/>
      <w:lang w:val="zh-CN"/>
    </w:rPr>
  </w:style>
  <w:style w:type="character" w:customStyle="1" w:styleId="1736">
    <w:name w:val="正文文本的样式 Char"/>
    <w:link w:val="1737"/>
    <w:qFormat/>
    <w:locked/>
    <w:uiPriority w:val="0"/>
    <w:rPr>
      <w:rFonts w:ascii="Arial" w:hAnsi="Arial" w:eastAsia="宋体" w:cs="Arial"/>
      <w:sz w:val="24"/>
      <w:szCs w:val="24"/>
      <w:lang w:val="en-US" w:eastAsia="zh-CN" w:bidi="en-US"/>
    </w:rPr>
  </w:style>
  <w:style w:type="paragraph" w:customStyle="1" w:styleId="1737">
    <w:name w:val="正文文本的样式"/>
    <w:basedOn w:val="1"/>
    <w:link w:val="1736"/>
    <w:qFormat/>
    <w:uiPriority w:val="0"/>
    <w:pPr>
      <w:widowControl/>
      <w:spacing w:line="360" w:lineRule="auto"/>
      <w:ind w:firstLine="200" w:firstLineChars="200"/>
      <w:jc w:val="left"/>
    </w:pPr>
    <w:rPr>
      <w:rFonts w:ascii="Arial" w:hAnsi="Arial" w:eastAsia="宋体" w:cs="Arial"/>
      <w:kern w:val="0"/>
      <w:sz w:val="24"/>
      <w:szCs w:val="24"/>
      <w:lang w:bidi="en-US"/>
    </w:rPr>
  </w:style>
  <w:style w:type="character" w:customStyle="1" w:styleId="1738">
    <w:name w:val="首行缩进两字 Char12"/>
    <w:qFormat/>
    <w:locked/>
    <w:uiPriority w:val="0"/>
    <w:rPr>
      <w:rFonts w:ascii="Arial" w:hAnsi="Arial" w:eastAsia="宋体" w:cs="Arial"/>
      <w:spacing w:val="10"/>
      <w:kern w:val="2"/>
      <w:sz w:val="24"/>
      <w:lang w:val="en-US" w:eastAsia="zh-CN" w:bidi="ar-SA"/>
    </w:rPr>
  </w:style>
  <w:style w:type="character" w:customStyle="1" w:styleId="1739">
    <w:name w:val="表格头 Char"/>
    <w:link w:val="1740"/>
    <w:qFormat/>
    <w:locked/>
    <w:uiPriority w:val="0"/>
    <w:rPr>
      <w:rFonts w:ascii="仿宋_GB2312" w:hAnsi="仿宋" w:eastAsia="仿宋_GB2312"/>
      <w:b/>
      <w:snapToGrid/>
      <w:color w:val="000000"/>
      <w:spacing w:val="-4"/>
      <w:kern w:val="28"/>
      <w:sz w:val="24"/>
      <w:lang w:val="en-US" w:eastAsia="zh-CN" w:bidi="ar-SA"/>
    </w:rPr>
  </w:style>
  <w:style w:type="paragraph" w:customStyle="1" w:styleId="1740">
    <w:name w:val="表格头"/>
    <w:link w:val="1739"/>
    <w:qFormat/>
    <w:uiPriority w:val="0"/>
    <w:pPr>
      <w:tabs>
        <w:tab w:val="left" w:pos="13892"/>
      </w:tabs>
      <w:adjustRightInd w:val="0"/>
      <w:snapToGrid w:val="0"/>
      <w:jc w:val="center"/>
    </w:pPr>
    <w:rPr>
      <w:rFonts w:ascii="仿宋_GB2312" w:hAnsi="仿宋" w:eastAsia="仿宋_GB2312" w:cs="Times New Roman"/>
      <w:b/>
      <w:snapToGrid w:val="0"/>
      <w:color w:val="000000"/>
      <w:spacing w:val="-4"/>
      <w:kern w:val="28"/>
      <w:sz w:val="24"/>
      <w:lang w:val="en-US" w:eastAsia="zh-CN" w:bidi="ar-SA"/>
    </w:rPr>
  </w:style>
  <w:style w:type="paragraph" w:customStyle="1" w:styleId="1741">
    <w:name w:val="正文（首行缩进2字）"/>
    <w:basedOn w:val="1"/>
    <w:qFormat/>
    <w:uiPriority w:val="0"/>
    <w:pPr>
      <w:adjustRightInd w:val="0"/>
      <w:snapToGrid w:val="0"/>
      <w:spacing w:line="440" w:lineRule="exact"/>
      <w:ind w:firstLine="521" w:firstLineChars="200"/>
    </w:pPr>
    <w:rPr>
      <w:rFonts w:eastAsia="宋体"/>
      <w:b/>
      <w:bCs/>
      <w:sz w:val="24"/>
      <w:szCs w:val="24"/>
    </w:rPr>
  </w:style>
  <w:style w:type="character" w:customStyle="1" w:styleId="1742">
    <w:name w:val="font41"/>
    <w:qFormat/>
    <w:uiPriority w:val="0"/>
    <w:rPr>
      <w:rFonts w:hint="default" w:ascii="Times New Roman" w:hAnsi="Times New Roman" w:cs="Times New Roman"/>
      <w:color w:val="000000"/>
      <w:sz w:val="22"/>
      <w:szCs w:val="22"/>
      <w:u w:val="none"/>
    </w:rPr>
  </w:style>
  <w:style w:type="character" w:customStyle="1" w:styleId="1743">
    <w:name w:val="Char Char33"/>
    <w:qFormat/>
    <w:locked/>
    <w:uiPriority w:val="0"/>
    <w:rPr>
      <w:rFonts w:ascii="仿宋_GB2312" w:eastAsia="仿宋_GB2312"/>
      <w:kern w:val="2"/>
      <w:sz w:val="28"/>
      <w:lang w:val="en-US" w:eastAsia="zh-CN" w:bidi="ar-SA"/>
    </w:rPr>
  </w:style>
  <w:style w:type="character" w:customStyle="1" w:styleId="1744">
    <w:name w:val="正文缩进 字符"/>
    <w:qFormat/>
    <w:uiPriority w:val="0"/>
    <w:rPr>
      <w:rFonts w:eastAsia="宋体"/>
      <w:sz w:val="28"/>
      <w:szCs w:val="28"/>
      <w:lang w:val="en-US" w:eastAsia="zh-CN" w:bidi="ar-SA"/>
    </w:rPr>
  </w:style>
  <w:style w:type="character" w:customStyle="1" w:styleId="1745">
    <w:name w:val="标题 4 字符"/>
    <w:qFormat/>
    <w:uiPriority w:val="0"/>
    <w:rPr>
      <w:rFonts w:ascii="Arial" w:hAnsi="Arial" w:eastAsia="仿宋_GB2312"/>
      <w:b/>
      <w:color w:val="000000"/>
      <w:kern w:val="2"/>
      <w:sz w:val="24"/>
      <w:lang w:val="zh-CN" w:eastAsia="zh-CN" w:bidi="ar-SA"/>
    </w:rPr>
  </w:style>
  <w:style w:type="paragraph" w:customStyle="1" w:styleId="1746">
    <w:name w:val="报告表格"/>
    <w:basedOn w:val="1"/>
    <w:next w:val="1"/>
    <w:qFormat/>
    <w:uiPriority w:val="0"/>
    <w:pPr>
      <w:autoSpaceDE w:val="0"/>
      <w:autoSpaceDN w:val="0"/>
      <w:adjustRightInd w:val="0"/>
      <w:jc w:val="center"/>
      <w:textAlignment w:val="bottom"/>
    </w:pPr>
    <w:rPr>
      <w:rFonts w:eastAsia="宋体"/>
      <w:kern w:val="0"/>
      <w:sz w:val="21"/>
    </w:rPr>
  </w:style>
  <w:style w:type="paragraph" w:customStyle="1" w:styleId="1747">
    <w:name w:val="样式 样式 自动设置 段前: 2 磅 段后: 2 磅 行距: 固定值 15 磅 + 首行缩进:  2 字符"/>
    <w:basedOn w:val="1748"/>
    <w:qFormat/>
    <w:uiPriority w:val="0"/>
  </w:style>
  <w:style w:type="paragraph" w:customStyle="1" w:styleId="1748">
    <w:name w:val="样式 自动设置 段前: 2 磅 段后: 2 磅 行距: 固定值 15 磅"/>
    <w:basedOn w:val="1"/>
    <w:qFormat/>
    <w:uiPriority w:val="0"/>
    <w:pPr>
      <w:widowControl/>
      <w:spacing w:line="300" w:lineRule="exact"/>
      <w:ind w:firstLine="200" w:firstLineChars="200"/>
      <w:jc w:val="left"/>
    </w:pPr>
    <w:rPr>
      <w:rFonts w:ascii="Calibri" w:hAnsi="Calibri" w:eastAsia="宋体" w:cs="宋体"/>
      <w:kern w:val="0"/>
      <w:sz w:val="24"/>
    </w:rPr>
  </w:style>
  <w:style w:type="character" w:customStyle="1" w:styleId="1749">
    <w:name w:val="标题 1 字符"/>
    <w:qFormat/>
    <w:uiPriority w:val="0"/>
    <w:rPr>
      <w:rFonts w:ascii="Times New Roman" w:hAnsi="Times New Roman" w:eastAsia="宋体"/>
      <w:b/>
      <w:bCs/>
      <w:kern w:val="44"/>
      <w:sz w:val="44"/>
      <w:szCs w:val="44"/>
    </w:rPr>
  </w:style>
  <w:style w:type="character" w:customStyle="1" w:styleId="1750">
    <w:name w:val="标题 2 字符"/>
    <w:qFormat/>
    <w:uiPriority w:val="0"/>
    <w:rPr>
      <w:rFonts w:ascii="等线 Light" w:hAnsi="等线 Light" w:eastAsia="等线 Light" w:cs="Times New Roman"/>
      <w:b/>
      <w:bCs/>
      <w:sz w:val="32"/>
      <w:szCs w:val="32"/>
    </w:rPr>
  </w:style>
  <w:style w:type="character" w:customStyle="1" w:styleId="1751">
    <w:name w:val="标题 3 字符"/>
    <w:qFormat/>
    <w:uiPriority w:val="0"/>
    <w:rPr>
      <w:rFonts w:ascii="Times New Roman" w:hAnsi="Times New Roman" w:eastAsia="宋体"/>
      <w:b/>
      <w:bCs/>
      <w:sz w:val="32"/>
      <w:szCs w:val="32"/>
    </w:rPr>
  </w:style>
  <w:style w:type="character" w:customStyle="1" w:styleId="1752">
    <w:name w:val="标题 5 字符"/>
    <w:qFormat/>
    <w:uiPriority w:val="0"/>
    <w:rPr>
      <w:rFonts w:ascii="Times New Roman" w:hAnsi="Times New Roman" w:eastAsia="宋体"/>
      <w:b/>
      <w:bCs/>
      <w:sz w:val="28"/>
      <w:szCs w:val="28"/>
    </w:rPr>
  </w:style>
  <w:style w:type="character" w:customStyle="1" w:styleId="1753">
    <w:name w:val="标题 6 字符"/>
    <w:qFormat/>
    <w:uiPriority w:val="0"/>
    <w:rPr>
      <w:rFonts w:ascii="等线 Light" w:hAnsi="等线 Light" w:eastAsia="等线 Light" w:cs="Times New Roman"/>
      <w:b/>
      <w:bCs/>
      <w:sz w:val="24"/>
      <w:szCs w:val="24"/>
    </w:rPr>
  </w:style>
  <w:style w:type="character" w:customStyle="1" w:styleId="1754">
    <w:name w:val="标题 7 字符"/>
    <w:qFormat/>
    <w:uiPriority w:val="0"/>
    <w:rPr>
      <w:rFonts w:ascii="Times New Roman" w:hAnsi="Times New Roman" w:eastAsia="宋体"/>
      <w:b/>
      <w:bCs/>
      <w:sz w:val="24"/>
      <w:szCs w:val="24"/>
    </w:rPr>
  </w:style>
  <w:style w:type="character" w:customStyle="1" w:styleId="1755">
    <w:name w:val="标题 8 字符"/>
    <w:qFormat/>
    <w:uiPriority w:val="0"/>
    <w:rPr>
      <w:rFonts w:ascii="等线 Light" w:hAnsi="等线 Light" w:eastAsia="等线 Light" w:cs="Times New Roman"/>
      <w:sz w:val="24"/>
      <w:szCs w:val="24"/>
    </w:rPr>
  </w:style>
  <w:style w:type="character" w:customStyle="1" w:styleId="1756">
    <w:name w:val="标题 9 字符"/>
    <w:qFormat/>
    <w:uiPriority w:val="0"/>
    <w:rPr>
      <w:rFonts w:ascii="等线 Light" w:hAnsi="等线 Light" w:eastAsia="等线 Light" w:cs="Times New Roman"/>
      <w:sz w:val="21"/>
      <w:szCs w:val="21"/>
    </w:rPr>
  </w:style>
  <w:style w:type="character" w:customStyle="1" w:styleId="1757">
    <w:name w:val="正文文本 字符"/>
    <w:qFormat/>
    <w:uiPriority w:val="0"/>
    <w:rPr>
      <w:rFonts w:ascii="Times New Roman" w:hAnsi="Times New Roman" w:eastAsia="宋体"/>
      <w:sz w:val="24"/>
      <w:szCs w:val="22"/>
    </w:rPr>
  </w:style>
  <w:style w:type="paragraph" w:customStyle="1" w:styleId="1758">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1759">
    <w:name w:val="表格右"/>
    <w:qFormat/>
    <w:uiPriority w:val="0"/>
    <w:rPr>
      <w:rFonts w:hint="eastAsia" w:ascii="宋体" w:hAnsi="宋体" w:eastAsia="宋体" w:cs="宋体"/>
      <w:color w:val="000080"/>
      <w:kern w:val="2"/>
      <w:sz w:val="18"/>
      <w:szCs w:val="24"/>
      <w:lang w:val="en-US" w:eastAsia="zh-CN" w:bidi="ar"/>
    </w:rPr>
  </w:style>
  <w:style w:type="character" w:customStyle="1" w:styleId="1760">
    <w:name w:val="文本块 Char Char"/>
    <w:qFormat/>
    <w:uiPriority w:val="0"/>
    <w:rPr>
      <w:rFonts w:hint="eastAsia" w:ascii="宋体" w:hAnsi="宋体" w:eastAsia="宋体" w:cs="宋体"/>
      <w:kern w:val="2"/>
      <w:sz w:val="21"/>
      <w:szCs w:val="24"/>
      <w:lang w:val="en-US" w:eastAsia="zh-CN" w:bidi="ar-SA"/>
    </w:rPr>
  </w:style>
  <w:style w:type="character" w:customStyle="1" w:styleId="1761">
    <w:name w:val="页眉 字符1"/>
    <w:qFormat/>
    <w:uiPriority w:val="0"/>
    <w:rPr>
      <w:rFonts w:hint="eastAsia" w:ascii="宋体" w:hAnsi="宋体" w:eastAsia="宋体"/>
      <w:kern w:val="2"/>
      <w:sz w:val="18"/>
      <w:szCs w:val="18"/>
      <w:lang w:val="en-US" w:eastAsia="zh-CN" w:bidi="ar-SA"/>
    </w:rPr>
  </w:style>
  <w:style w:type="character" w:customStyle="1" w:styleId="1762">
    <w:name w:val="样式 标题 2 + 红色 Char Char"/>
    <w:qFormat/>
    <w:uiPriority w:val="0"/>
    <w:rPr>
      <w:rFonts w:hint="default" w:ascii="Arial" w:hAnsi="Arial" w:eastAsia="黑体" w:cs="Arial"/>
      <w:b/>
      <w:bCs/>
      <w:color w:val="FF0000"/>
      <w:spacing w:val="-8"/>
      <w:kern w:val="2"/>
      <w:sz w:val="28"/>
      <w:szCs w:val="32"/>
      <w:lang w:val="en-US" w:eastAsia="zh-CN" w:bidi="ar-SA"/>
    </w:rPr>
  </w:style>
  <w:style w:type="character" w:customStyle="1" w:styleId="1763">
    <w:name w:val="样式 (符号) 宋体 黑色 Char Char"/>
    <w:link w:val="1764"/>
    <w:qFormat/>
    <w:locked/>
    <w:uiPriority w:val="0"/>
    <w:rPr>
      <w:rFonts w:ascii="宋体" w:hAnsi="宋体" w:cs="宋体"/>
      <w:b/>
      <w:bCs/>
      <w:sz w:val="30"/>
      <w:szCs w:val="24"/>
    </w:rPr>
  </w:style>
  <w:style w:type="paragraph" w:customStyle="1" w:styleId="1764">
    <w:name w:val="样式 (符号) 宋体 黑色"/>
    <w:basedOn w:val="1"/>
    <w:link w:val="1763"/>
    <w:qFormat/>
    <w:uiPriority w:val="0"/>
    <w:pPr>
      <w:spacing w:line="360" w:lineRule="auto"/>
      <w:jc w:val="center"/>
      <w:outlineLvl w:val="0"/>
    </w:pPr>
    <w:rPr>
      <w:rFonts w:ascii="宋体" w:hAnsi="宋体" w:eastAsia="宋体" w:cs="宋体"/>
      <w:b/>
      <w:bCs/>
      <w:kern w:val="0"/>
      <w:sz w:val="30"/>
      <w:szCs w:val="24"/>
    </w:rPr>
  </w:style>
  <w:style w:type="character" w:customStyle="1" w:styleId="1765">
    <w:name w:val="环评正文 Char1"/>
    <w:link w:val="899"/>
    <w:qFormat/>
    <w:locked/>
    <w:uiPriority w:val="0"/>
    <w:rPr>
      <w:rFonts w:ascii="仿宋_GB2312" w:eastAsia="仿宋_GB2312"/>
      <w:kern w:val="2"/>
      <w:sz w:val="28"/>
    </w:rPr>
  </w:style>
  <w:style w:type="character" w:customStyle="1" w:styleId="1766">
    <w:name w:val="标题 字符1"/>
    <w:qFormat/>
    <w:uiPriority w:val="0"/>
    <w:rPr>
      <w:rFonts w:hint="default" w:ascii="Cambria" w:hAnsi="Cambria" w:eastAsia="宋体"/>
      <w:b/>
      <w:bCs/>
      <w:kern w:val="2"/>
      <w:sz w:val="32"/>
      <w:szCs w:val="32"/>
      <w:lang w:val="en-US" w:eastAsia="zh-CN" w:bidi="ar-SA"/>
    </w:rPr>
  </w:style>
  <w:style w:type="character" w:customStyle="1" w:styleId="1767">
    <w:name w:val="Normal Indent Char"/>
    <w:qFormat/>
    <w:locked/>
    <w:uiPriority w:val="0"/>
    <w:rPr>
      <w:rFonts w:ascii="Arial" w:hAnsi="Arial"/>
      <w:spacing w:val="10"/>
      <w:kern w:val="2"/>
      <w:sz w:val="24"/>
    </w:rPr>
  </w:style>
  <w:style w:type="character" w:customStyle="1" w:styleId="1768">
    <w:name w:val="fh1"/>
    <w:qFormat/>
    <w:uiPriority w:val="0"/>
    <w:rPr>
      <w:rFonts w:hint="eastAsia" w:ascii="宋体" w:hAnsi="宋体" w:eastAsia="宋体" w:cs="宋体"/>
      <w:color w:val="000000"/>
      <w:kern w:val="2"/>
      <w:sz w:val="24"/>
      <w:szCs w:val="24"/>
      <w:u w:val="none"/>
      <w:lang w:val="en-US" w:eastAsia="zh-CN" w:bidi="ar"/>
    </w:rPr>
  </w:style>
  <w:style w:type="character" w:customStyle="1" w:styleId="1769">
    <w:name w:val="脚注文本 字符"/>
    <w:qFormat/>
    <w:uiPriority w:val="0"/>
    <w:rPr>
      <w:color w:val="000000"/>
      <w:sz w:val="24"/>
      <w:szCs w:val="24"/>
      <w:lang w:bidi="ar-SA"/>
    </w:rPr>
  </w:style>
  <w:style w:type="character" w:customStyle="1" w:styleId="1770">
    <w:name w:val="B3 Char Char"/>
    <w:link w:val="1771"/>
    <w:qFormat/>
    <w:locked/>
    <w:uiPriority w:val="0"/>
    <w:rPr>
      <w:rFonts w:ascii="宋体" w:hAnsi="宋体"/>
      <w:spacing w:val="-2"/>
      <w:sz w:val="28"/>
    </w:rPr>
  </w:style>
  <w:style w:type="paragraph" w:customStyle="1" w:styleId="1771">
    <w:name w:val="B3"/>
    <w:basedOn w:val="1"/>
    <w:link w:val="1770"/>
    <w:qFormat/>
    <w:uiPriority w:val="0"/>
    <w:rPr>
      <w:rFonts w:ascii="宋体" w:hAnsi="宋体" w:eastAsia="宋体"/>
      <w:spacing w:val="-2"/>
      <w:kern w:val="0"/>
    </w:rPr>
  </w:style>
  <w:style w:type="character" w:customStyle="1" w:styleId="1772">
    <w:name w:val="正文～! Char Char"/>
    <w:link w:val="1773"/>
    <w:qFormat/>
    <w:locked/>
    <w:uiPriority w:val="0"/>
    <w:rPr>
      <w:rFonts w:ascii="宋体" w:hAnsi="宋体" w:eastAsia="仿宋_GB2312" w:cs="宋体"/>
      <w:sz w:val="28"/>
      <w:szCs w:val="24"/>
    </w:rPr>
  </w:style>
  <w:style w:type="paragraph" w:customStyle="1" w:styleId="1773">
    <w:name w:val="正文～!"/>
    <w:basedOn w:val="1"/>
    <w:link w:val="1772"/>
    <w:qFormat/>
    <w:uiPriority w:val="0"/>
    <w:pPr>
      <w:adjustRightInd w:val="0"/>
      <w:snapToGrid w:val="0"/>
      <w:spacing w:line="360" w:lineRule="auto"/>
      <w:ind w:right="-27" w:rightChars="-27" w:firstLine="560" w:firstLineChars="200"/>
    </w:pPr>
    <w:rPr>
      <w:rFonts w:ascii="宋体" w:hAnsi="宋体" w:cs="宋体"/>
      <w:kern w:val="0"/>
      <w:szCs w:val="24"/>
    </w:rPr>
  </w:style>
  <w:style w:type="character" w:customStyle="1" w:styleId="1774">
    <w:name w:val="报告书正文 Char Char Char Char Char Char Char Char Char Char Char Char Char Char Char"/>
    <w:link w:val="1775"/>
    <w:qFormat/>
    <w:locked/>
    <w:uiPriority w:val="0"/>
    <w:rPr>
      <w:rFonts w:ascii="宋体" w:hAnsi="宋体" w:cs="宋体"/>
      <w:color w:val="000000"/>
      <w:sz w:val="24"/>
      <w:szCs w:val="24"/>
    </w:rPr>
  </w:style>
  <w:style w:type="paragraph" w:customStyle="1" w:styleId="1775">
    <w:name w:val="报告书正文 Char Char Char Char Char Char Char Char Char Char Char Char Char"/>
    <w:basedOn w:val="1"/>
    <w:link w:val="1774"/>
    <w:qFormat/>
    <w:uiPriority w:val="0"/>
    <w:pPr>
      <w:spacing w:line="300" w:lineRule="auto"/>
      <w:ind w:firstLine="480" w:firstLineChars="200"/>
    </w:pPr>
    <w:rPr>
      <w:rFonts w:ascii="宋体" w:hAnsi="宋体" w:eastAsia="宋体" w:cs="宋体"/>
      <w:color w:val="000000"/>
      <w:kern w:val="0"/>
      <w:sz w:val="24"/>
      <w:szCs w:val="24"/>
    </w:rPr>
  </w:style>
  <w:style w:type="character" w:customStyle="1" w:styleId="1776">
    <w:name w:val="hj"/>
    <w:qFormat/>
    <w:uiPriority w:val="0"/>
    <w:rPr>
      <w:rFonts w:hint="eastAsia" w:ascii="宋体" w:hAnsi="宋体" w:eastAsia="宋体" w:cs="宋体"/>
      <w:kern w:val="2"/>
      <w:sz w:val="28"/>
      <w:szCs w:val="24"/>
      <w:lang w:val="en-US" w:eastAsia="zh-CN" w:bidi="ar"/>
    </w:rPr>
  </w:style>
  <w:style w:type="character" w:customStyle="1" w:styleId="1777">
    <w:name w:val="正文首行缩进 Char4"/>
    <w:qFormat/>
    <w:uiPriority w:val="0"/>
    <w:rPr>
      <w:rFonts w:hint="eastAsia" w:ascii="宋体" w:hAnsi="宋体" w:eastAsia="宋体" w:cs="宋体"/>
      <w:kern w:val="2"/>
      <w:sz w:val="28"/>
      <w:szCs w:val="24"/>
      <w:lang w:val="en-US" w:eastAsia="zh-CN" w:bidi="ar"/>
    </w:rPr>
  </w:style>
  <w:style w:type="character" w:customStyle="1" w:styleId="1778">
    <w:name w:val="标题 3YHY Char Char"/>
    <w:link w:val="1779"/>
    <w:qFormat/>
    <w:locked/>
    <w:uiPriority w:val="0"/>
    <w:rPr>
      <w:rFonts w:ascii="宋体" w:hAnsi="宋体"/>
      <w:b/>
      <w:bCs/>
      <w:color w:val="000000"/>
      <w:sz w:val="24"/>
      <w:szCs w:val="24"/>
    </w:rPr>
  </w:style>
  <w:style w:type="paragraph" w:customStyle="1" w:styleId="1779">
    <w:name w:val="标题 3YHY"/>
    <w:basedOn w:val="6"/>
    <w:next w:val="519"/>
    <w:link w:val="1778"/>
    <w:qFormat/>
    <w:uiPriority w:val="0"/>
    <w:pPr>
      <w:keepNext w:val="0"/>
      <w:keepLines w:val="0"/>
      <w:widowControl/>
      <w:tabs>
        <w:tab w:val="left" w:pos="1080"/>
        <w:tab w:val="left" w:pos="1260"/>
        <w:tab w:val="left" w:pos="1740"/>
        <w:tab w:val="clear" w:pos="1789"/>
      </w:tabs>
      <w:spacing w:before="0" w:after="0" w:line="360" w:lineRule="auto"/>
      <w:ind w:left="1740" w:hanging="420"/>
      <w:jc w:val="left"/>
    </w:pPr>
    <w:rPr>
      <w:rFonts w:ascii="宋体" w:hAnsi="宋体" w:eastAsia="宋体"/>
      <w:color w:val="000000"/>
      <w:kern w:val="0"/>
      <w:szCs w:val="24"/>
    </w:rPr>
  </w:style>
  <w:style w:type="character" w:customStyle="1" w:styleId="1780">
    <w:name w:val="Char Char172"/>
    <w:qFormat/>
    <w:uiPriority w:val="0"/>
    <w:rPr>
      <w:b/>
      <w:bCs/>
      <w:kern w:val="2"/>
      <w:sz w:val="24"/>
      <w:szCs w:val="24"/>
    </w:rPr>
  </w:style>
  <w:style w:type="character" w:customStyle="1" w:styleId="1781">
    <w:name w:val="批注主题 字符1"/>
    <w:qFormat/>
    <w:uiPriority w:val="0"/>
    <w:rPr>
      <w:rFonts w:hint="eastAsia" w:ascii="宋体" w:hAnsi="宋体" w:eastAsia="宋体"/>
      <w:b/>
      <w:bCs/>
      <w:kern w:val="2"/>
      <w:sz w:val="21"/>
      <w:szCs w:val="24"/>
      <w:lang w:val="en-US" w:eastAsia="zh-CN" w:bidi="ar-SA"/>
    </w:rPr>
  </w:style>
  <w:style w:type="character" w:customStyle="1" w:styleId="1782">
    <w:name w:val="样式 样式 标题 2 + 段后: 12 行 + Times New Roman Char Char"/>
    <w:link w:val="1783"/>
    <w:qFormat/>
    <w:locked/>
    <w:uiPriority w:val="0"/>
    <w:rPr>
      <w:rFonts w:ascii="宋体" w:hAnsi="宋体" w:eastAsia="华文中宋" w:cs="宋体"/>
      <w:b/>
      <w:bCs/>
      <w:sz w:val="32"/>
      <w:szCs w:val="24"/>
    </w:rPr>
  </w:style>
  <w:style w:type="paragraph" w:customStyle="1" w:styleId="1783">
    <w:name w:val="样式 样式 标题 2 + 段后: 12 行 + Times New Roman"/>
    <w:basedOn w:val="1"/>
    <w:link w:val="1782"/>
    <w:qFormat/>
    <w:uiPriority w:val="0"/>
    <w:pPr>
      <w:keepNext/>
      <w:keepLines/>
      <w:spacing w:before="240" w:after="240"/>
      <w:outlineLvl w:val="1"/>
    </w:pPr>
    <w:rPr>
      <w:rFonts w:ascii="宋体" w:hAnsi="宋体" w:eastAsia="华文中宋" w:cs="宋体"/>
      <w:b/>
      <w:bCs/>
      <w:kern w:val="0"/>
      <w:sz w:val="32"/>
      <w:szCs w:val="24"/>
    </w:rPr>
  </w:style>
  <w:style w:type="character" w:customStyle="1" w:styleId="1784">
    <w:name w:val="Char Char94"/>
    <w:qFormat/>
    <w:uiPriority w:val="0"/>
    <w:rPr>
      <w:rFonts w:ascii="宋体" w:hAnsi="宋体" w:eastAsia="仿宋_GB2312" w:cs="宋体"/>
      <w:kern w:val="2"/>
      <w:sz w:val="18"/>
      <w:szCs w:val="24"/>
      <w:lang w:val="en-US" w:eastAsia="zh-CN" w:bidi="ar-SA"/>
    </w:rPr>
  </w:style>
  <w:style w:type="character" w:customStyle="1" w:styleId="1785">
    <w:name w:val="Comment Subject Char1"/>
    <w:semiHidden/>
    <w:qFormat/>
    <w:uiPriority w:val="99"/>
    <w:rPr>
      <w:rFonts w:eastAsia="仿宋_GB2312"/>
      <w:b/>
      <w:bCs/>
      <w:kern w:val="28"/>
      <w:sz w:val="32"/>
      <w:szCs w:val="32"/>
      <w:lang w:val="en-US" w:eastAsia="zh-CN" w:bidi="ar-SA"/>
    </w:rPr>
  </w:style>
  <w:style w:type="character" w:customStyle="1" w:styleId="1786">
    <w:name w:val="批注主题 Char2"/>
    <w:qFormat/>
    <w:uiPriority w:val="0"/>
    <w:rPr>
      <w:rFonts w:hint="default" w:ascii="Times New Roman" w:hAnsi="Times New Roman" w:eastAsia="宋体" w:cs="Times New Roman"/>
      <w:b/>
      <w:bCs/>
      <w:kern w:val="0"/>
      <w:sz w:val="28"/>
      <w:szCs w:val="24"/>
      <w:lang w:val="en-US" w:eastAsia="zh-CN" w:bidi="ar-SA"/>
    </w:rPr>
  </w:style>
  <w:style w:type="character" w:customStyle="1" w:styleId="1787">
    <w:name w:val="样式 样式 首行缩进:  2 字符 行距: 1.5 倍行距 + 首行缩进:  2 字符1 Char Char"/>
    <w:qFormat/>
    <w:uiPriority w:val="0"/>
    <w:rPr>
      <w:rFonts w:hint="eastAsia" w:ascii="宋体" w:hAnsi="宋体" w:eastAsia="宋体" w:cs="宋体"/>
      <w:spacing w:val="6"/>
      <w:kern w:val="2"/>
      <w:sz w:val="24"/>
      <w:szCs w:val="24"/>
      <w:lang w:val="en-US" w:eastAsia="zh-CN" w:bidi="ar-SA"/>
    </w:rPr>
  </w:style>
  <w:style w:type="character" w:customStyle="1" w:styleId="1788">
    <w:name w:val="正文(首行缩进)宋旭峰 Char Char"/>
    <w:link w:val="1789"/>
    <w:qFormat/>
    <w:uiPriority w:val="0"/>
    <w:rPr>
      <w:rFonts w:ascii="宋体" w:hAnsi="宋体" w:cs="宋体"/>
      <w:snapToGrid/>
      <w:color w:val="000000"/>
      <w:sz w:val="24"/>
      <w:szCs w:val="24"/>
    </w:rPr>
  </w:style>
  <w:style w:type="paragraph" w:customStyle="1" w:styleId="1789">
    <w:name w:val="正文(首行缩进)宋旭峰"/>
    <w:basedOn w:val="5"/>
    <w:link w:val="1788"/>
    <w:qFormat/>
    <w:uiPriority w:val="0"/>
    <w:pPr>
      <w:spacing w:line="360" w:lineRule="auto"/>
      <w:ind w:firstLine="480" w:firstLineChars="200"/>
      <w:contextualSpacing/>
      <w:jc w:val="center"/>
    </w:pPr>
    <w:rPr>
      <w:rFonts w:ascii="宋体" w:hAnsi="宋体" w:cs="宋体"/>
      <w:color w:val="000000"/>
      <w:spacing w:val="0"/>
      <w:kern w:val="0"/>
      <w:szCs w:val="24"/>
    </w:rPr>
  </w:style>
  <w:style w:type="character" w:customStyle="1" w:styleId="1790">
    <w:name w:val="正文部分 Char Char"/>
    <w:link w:val="1791"/>
    <w:qFormat/>
    <w:locked/>
    <w:uiPriority w:val="0"/>
    <w:rPr>
      <w:rFonts w:ascii="宋体" w:hAnsi="宋体" w:cs="宋体"/>
      <w:bCs/>
      <w:sz w:val="28"/>
      <w:szCs w:val="32"/>
    </w:rPr>
  </w:style>
  <w:style w:type="paragraph" w:customStyle="1" w:styleId="1791">
    <w:name w:val="正文部分"/>
    <w:basedOn w:val="1"/>
    <w:link w:val="1790"/>
    <w:qFormat/>
    <w:uiPriority w:val="0"/>
    <w:pPr>
      <w:spacing w:line="500" w:lineRule="exact"/>
      <w:ind w:firstLine="200" w:firstLineChars="200"/>
      <w:jc w:val="left"/>
    </w:pPr>
    <w:rPr>
      <w:rFonts w:ascii="宋体" w:hAnsi="宋体" w:eastAsia="宋体" w:cs="宋体"/>
      <w:bCs/>
      <w:kern w:val="0"/>
      <w:szCs w:val="32"/>
    </w:rPr>
  </w:style>
  <w:style w:type="character" w:customStyle="1" w:styleId="1792">
    <w:name w:val="Char Char57"/>
    <w:qFormat/>
    <w:uiPriority w:val="0"/>
    <w:rPr>
      <w:rFonts w:hint="default" w:ascii="Arial" w:hAnsi="Arial" w:eastAsia="黑体" w:cs="Times New Roman"/>
      <w:kern w:val="2"/>
      <w:sz w:val="28"/>
      <w:szCs w:val="24"/>
      <w:lang w:val="en-US" w:eastAsia="zh-CN" w:bidi="ar"/>
    </w:rPr>
  </w:style>
  <w:style w:type="character" w:customStyle="1" w:styleId="1793">
    <w:name w:val="中文报告书 Char Char"/>
    <w:link w:val="1794"/>
    <w:qFormat/>
    <w:locked/>
    <w:uiPriority w:val="0"/>
    <w:rPr>
      <w:rFonts w:ascii="宋体" w:hAnsi="宋体" w:cs="宋体"/>
      <w:sz w:val="24"/>
      <w:szCs w:val="24"/>
    </w:rPr>
  </w:style>
  <w:style w:type="paragraph" w:customStyle="1" w:styleId="1794">
    <w:name w:val="中文报告书"/>
    <w:basedOn w:val="1"/>
    <w:link w:val="1793"/>
    <w:qFormat/>
    <w:uiPriority w:val="0"/>
    <w:pPr>
      <w:adjustRightInd w:val="0"/>
      <w:spacing w:after="80" w:line="420" w:lineRule="atLeast"/>
      <w:jc w:val="left"/>
    </w:pPr>
    <w:rPr>
      <w:rFonts w:ascii="宋体" w:hAnsi="宋体" w:eastAsia="宋体" w:cs="宋体"/>
      <w:kern w:val="0"/>
      <w:sz w:val="24"/>
      <w:szCs w:val="24"/>
    </w:rPr>
  </w:style>
  <w:style w:type="character" w:customStyle="1" w:styleId="1795">
    <w:name w:val="f14b1"/>
    <w:qFormat/>
    <w:uiPriority w:val="0"/>
    <w:rPr>
      <w:rFonts w:hint="eastAsia" w:ascii="宋体" w:hAnsi="宋体" w:eastAsia="宋体" w:cs="宋体"/>
      <w:b/>
      <w:bCs/>
      <w:kern w:val="2"/>
      <w:sz w:val="21"/>
      <w:szCs w:val="21"/>
      <w:lang w:val="en-US" w:eastAsia="zh-CN" w:bidi="ar"/>
    </w:rPr>
  </w:style>
  <w:style w:type="character" w:customStyle="1" w:styleId="1796">
    <w:name w:val="称呼 Char1"/>
    <w:qFormat/>
    <w:uiPriority w:val="0"/>
    <w:rPr>
      <w:rFonts w:hint="eastAsia" w:ascii="宋体" w:hAnsi="宋体" w:eastAsia="宋体" w:cs="宋体"/>
      <w:kern w:val="2"/>
      <w:sz w:val="24"/>
      <w:szCs w:val="24"/>
      <w:lang w:val="en-US" w:eastAsia="zh-CN" w:bidi="ar"/>
    </w:rPr>
  </w:style>
  <w:style w:type="character" w:customStyle="1" w:styleId="1797">
    <w:name w:val="xl24 Char Char"/>
    <w:link w:val="766"/>
    <w:qFormat/>
    <w:locked/>
    <w:uiPriority w:val="0"/>
    <w:rPr>
      <w:rFonts w:eastAsia="Arial Unicode MS"/>
      <w:sz w:val="24"/>
      <w:szCs w:val="24"/>
    </w:rPr>
  </w:style>
  <w:style w:type="character" w:customStyle="1" w:styleId="1798">
    <w:name w:val="样式 宋体 小四 黑色 首行缩进:  1.11 厘米 行距: 固定值 24 磅 Char Char"/>
    <w:link w:val="1799"/>
    <w:qFormat/>
    <w:locked/>
    <w:uiPriority w:val="0"/>
    <w:rPr>
      <w:rFonts w:ascii="宋体" w:hAnsi="宋体" w:cs="宋体"/>
      <w:sz w:val="24"/>
      <w:szCs w:val="24"/>
    </w:rPr>
  </w:style>
  <w:style w:type="paragraph" w:customStyle="1" w:styleId="1799">
    <w:name w:val="样式 宋体 小四 黑色 首行缩进:  1.11 厘米 行距: 固定值 24 磅"/>
    <w:basedOn w:val="1"/>
    <w:link w:val="1798"/>
    <w:qFormat/>
    <w:uiPriority w:val="0"/>
    <w:pPr>
      <w:adjustRightInd w:val="0"/>
      <w:snapToGrid w:val="0"/>
      <w:spacing w:line="360" w:lineRule="auto"/>
      <w:ind w:firstLine="454" w:firstLineChars="200"/>
    </w:pPr>
    <w:rPr>
      <w:rFonts w:ascii="宋体" w:hAnsi="宋体" w:eastAsia="宋体" w:cs="宋体"/>
      <w:kern w:val="0"/>
      <w:sz w:val="24"/>
      <w:szCs w:val="24"/>
    </w:rPr>
  </w:style>
  <w:style w:type="character" w:customStyle="1" w:styleId="1800">
    <w:name w:val="txtcontent11"/>
    <w:qFormat/>
    <w:uiPriority w:val="0"/>
    <w:rPr>
      <w:rFonts w:hint="default" w:ascii="ˎ̥" w:hAnsi="ˎ̥" w:eastAsia="宋体" w:cs="宋体"/>
      <w:color w:val="000000"/>
      <w:kern w:val="2"/>
      <w:sz w:val="21"/>
      <w:szCs w:val="21"/>
      <w:lang w:val="en-US" w:eastAsia="zh-CN" w:bidi="ar"/>
    </w:rPr>
  </w:style>
  <w:style w:type="character" w:customStyle="1" w:styleId="1801">
    <w:name w:val="样式 宋体 13 磅 首行缩进:  0.99 厘米 Char Char"/>
    <w:link w:val="1802"/>
    <w:qFormat/>
    <w:locked/>
    <w:uiPriority w:val="0"/>
    <w:rPr>
      <w:rFonts w:ascii="宋体" w:hAnsi="宋体" w:cs="宋体"/>
      <w:sz w:val="27"/>
      <w:szCs w:val="27"/>
    </w:rPr>
  </w:style>
  <w:style w:type="paragraph" w:customStyle="1" w:styleId="1802">
    <w:name w:val="样式 宋体 13 磅 首行缩进:  0.99 厘米"/>
    <w:basedOn w:val="1"/>
    <w:link w:val="1801"/>
    <w:qFormat/>
    <w:uiPriority w:val="0"/>
    <w:pPr>
      <w:ind w:firstLine="560"/>
    </w:pPr>
    <w:rPr>
      <w:rFonts w:ascii="宋体" w:hAnsi="宋体" w:eastAsia="宋体" w:cs="宋体"/>
      <w:kern w:val="0"/>
      <w:sz w:val="27"/>
      <w:szCs w:val="27"/>
    </w:rPr>
  </w:style>
  <w:style w:type="character" w:customStyle="1" w:styleId="1803">
    <w:name w:val="Style 12 pt"/>
    <w:qFormat/>
    <w:uiPriority w:val="0"/>
    <w:rPr>
      <w:rFonts w:hint="default" w:ascii="Arial" w:hAnsi="Arial" w:eastAsia="仿宋" w:cs="宋体"/>
      <w:kern w:val="2"/>
      <w:sz w:val="30"/>
      <w:szCs w:val="24"/>
      <w:lang w:val="en-US" w:eastAsia="zh-CN" w:bidi="ar"/>
    </w:rPr>
  </w:style>
  <w:style w:type="character" w:customStyle="1" w:styleId="1804">
    <w:name w:val="正文无缩进 Char Char"/>
    <w:qFormat/>
    <w:uiPriority w:val="0"/>
    <w:rPr>
      <w:rFonts w:hint="eastAsia" w:ascii="宋体" w:hAnsi="宋体" w:eastAsia="宋体" w:cs="宋体"/>
      <w:kern w:val="2"/>
      <w:sz w:val="24"/>
      <w:szCs w:val="24"/>
      <w:lang w:val="en-US" w:eastAsia="zh-CN" w:bidi="ar-SA"/>
    </w:rPr>
  </w:style>
  <w:style w:type="character" w:customStyle="1" w:styleId="1805">
    <w:name w:val="ssy3 Char Char Char"/>
    <w:link w:val="1806"/>
    <w:qFormat/>
    <w:locked/>
    <w:uiPriority w:val="0"/>
    <w:rPr>
      <w:rFonts w:ascii="宋体" w:hAnsi="宋体" w:cs="宋体"/>
      <w:b/>
      <w:bCs/>
      <w:sz w:val="24"/>
      <w:szCs w:val="28"/>
    </w:rPr>
  </w:style>
  <w:style w:type="paragraph" w:customStyle="1" w:styleId="1806">
    <w:name w:val="ssy3 Char"/>
    <w:basedOn w:val="6"/>
    <w:link w:val="1805"/>
    <w:qFormat/>
    <w:uiPriority w:val="0"/>
    <w:pPr>
      <w:tabs>
        <w:tab w:val="left" w:pos="1080"/>
        <w:tab w:val="clear" w:pos="1789"/>
      </w:tabs>
      <w:spacing w:before="0" w:after="0" w:line="520" w:lineRule="exact"/>
      <w:ind w:left="0" w:firstLine="555"/>
    </w:pPr>
    <w:rPr>
      <w:rFonts w:ascii="宋体" w:hAnsi="宋体" w:eastAsia="宋体" w:cs="宋体"/>
      <w:kern w:val="0"/>
      <w:szCs w:val="28"/>
    </w:rPr>
  </w:style>
  <w:style w:type="character" w:customStyle="1" w:styleId="1807">
    <w:name w:val="德胜表格内容 Char Char"/>
    <w:link w:val="1808"/>
    <w:qFormat/>
    <w:locked/>
    <w:uiPriority w:val="0"/>
    <w:rPr>
      <w:rFonts w:ascii="宋体" w:hAnsi="宋体" w:cs="宋体"/>
      <w:snapToGrid/>
      <w:color w:val="0000FF"/>
      <w:szCs w:val="21"/>
    </w:rPr>
  </w:style>
  <w:style w:type="paragraph" w:customStyle="1" w:styleId="1808">
    <w:name w:val="德胜表格内容"/>
    <w:basedOn w:val="1"/>
    <w:link w:val="1807"/>
    <w:qFormat/>
    <w:uiPriority w:val="0"/>
    <w:pPr>
      <w:adjustRightInd w:val="0"/>
      <w:snapToGrid w:val="0"/>
      <w:jc w:val="center"/>
    </w:pPr>
    <w:rPr>
      <w:rFonts w:ascii="宋体" w:hAnsi="宋体" w:eastAsia="宋体" w:cs="宋体"/>
      <w:color w:val="0000FF"/>
      <w:kern w:val="0"/>
      <w:sz w:val="20"/>
      <w:szCs w:val="21"/>
    </w:rPr>
  </w:style>
  <w:style w:type="character" w:customStyle="1" w:styleId="1809">
    <w:name w:val="tx105pt1"/>
    <w:qFormat/>
    <w:uiPriority w:val="0"/>
    <w:rPr>
      <w:rFonts w:hint="eastAsia" w:ascii="宋体" w:hAnsi="宋体" w:eastAsia="宋体" w:cs="宋体"/>
      <w:color w:val="000000"/>
      <w:kern w:val="2"/>
      <w:sz w:val="18"/>
      <w:szCs w:val="18"/>
      <w:u w:val="none"/>
      <w:lang w:val="en-US" w:eastAsia="zh-CN" w:bidi="ar"/>
    </w:rPr>
  </w:style>
  <w:style w:type="character" w:customStyle="1" w:styleId="1810">
    <w:name w:val="表格数字 Char Char"/>
    <w:link w:val="1811"/>
    <w:qFormat/>
    <w:locked/>
    <w:uiPriority w:val="0"/>
    <w:rPr>
      <w:rFonts w:ascii="Arial" w:hAnsi="Arial" w:cs="宋体"/>
      <w:szCs w:val="24"/>
    </w:rPr>
  </w:style>
  <w:style w:type="paragraph" w:customStyle="1" w:styleId="1811">
    <w:name w:val="表格数字"/>
    <w:basedOn w:val="1"/>
    <w:link w:val="1810"/>
    <w:qFormat/>
    <w:uiPriority w:val="0"/>
    <w:pPr>
      <w:spacing w:line="360" w:lineRule="exact"/>
      <w:jc w:val="center"/>
    </w:pPr>
    <w:rPr>
      <w:rFonts w:ascii="Arial" w:hAnsi="Arial" w:eastAsia="宋体" w:cs="宋体"/>
      <w:kern w:val="0"/>
      <w:sz w:val="20"/>
      <w:szCs w:val="24"/>
    </w:rPr>
  </w:style>
  <w:style w:type="character" w:customStyle="1" w:styleId="1812">
    <w:name w:val="页脚 字符"/>
    <w:qFormat/>
    <w:uiPriority w:val="99"/>
    <w:rPr>
      <w:rFonts w:hint="eastAsia" w:ascii="宋体" w:hAnsi="宋体" w:eastAsia="宋体" w:cs="宋体"/>
      <w:kern w:val="2"/>
      <w:sz w:val="18"/>
      <w:szCs w:val="18"/>
      <w:lang w:val="en-US" w:eastAsia="zh-CN" w:bidi="ar"/>
    </w:rPr>
  </w:style>
  <w:style w:type="character" w:customStyle="1" w:styleId="1813">
    <w:name w:val="标题二 Char Char"/>
    <w:link w:val="1814"/>
    <w:qFormat/>
    <w:locked/>
    <w:uiPriority w:val="0"/>
    <w:rPr>
      <w:rFonts w:ascii="宋体" w:hAnsi="宋体" w:eastAsia="黑体" w:cs="宋体"/>
      <w:b/>
      <w:sz w:val="28"/>
      <w:szCs w:val="28"/>
    </w:rPr>
  </w:style>
  <w:style w:type="paragraph" w:customStyle="1" w:styleId="1814">
    <w:name w:val="标题二"/>
    <w:basedOn w:val="1"/>
    <w:link w:val="1813"/>
    <w:qFormat/>
    <w:uiPriority w:val="0"/>
    <w:pPr>
      <w:spacing w:beforeLines="50" w:line="460" w:lineRule="exact"/>
      <w:outlineLvl w:val="1"/>
    </w:pPr>
    <w:rPr>
      <w:rFonts w:ascii="宋体" w:hAnsi="宋体" w:eastAsia="黑体" w:cs="宋体"/>
      <w:b/>
      <w:kern w:val="0"/>
      <w:szCs w:val="28"/>
    </w:rPr>
  </w:style>
  <w:style w:type="character" w:customStyle="1" w:styleId="1815">
    <w:name w:val="表头1 Char Char"/>
    <w:link w:val="1816"/>
    <w:qFormat/>
    <w:locked/>
    <w:uiPriority w:val="0"/>
    <w:rPr>
      <w:rFonts w:ascii="宋体" w:hAnsi="宋体" w:eastAsia="黑体" w:cs="宋体"/>
      <w:szCs w:val="28"/>
    </w:rPr>
  </w:style>
  <w:style w:type="paragraph" w:customStyle="1" w:styleId="1816">
    <w:name w:val="表头1"/>
    <w:basedOn w:val="1"/>
    <w:next w:val="1"/>
    <w:link w:val="1815"/>
    <w:qFormat/>
    <w:uiPriority w:val="0"/>
    <w:pPr>
      <w:tabs>
        <w:tab w:val="left" w:pos="605"/>
      </w:tabs>
      <w:adjustRightInd w:val="0"/>
      <w:snapToGrid w:val="0"/>
      <w:jc w:val="center"/>
    </w:pPr>
    <w:rPr>
      <w:rFonts w:ascii="宋体" w:hAnsi="宋体" w:eastAsia="黑体" w:cs="宋体"/>
      <w:kern w:val="0"/>
      <w:sz w:val="20"/>
      <w:szCs w:val="28"/>
    </w:rPr>
  </w:style>
  <w:style w:type="character" w:customStyle="1" w:styleId="1817">
    <w:name w:val="Char Char Char Char Char Char Char Char Char Char Char Char Char Char"/>
    <w:link w:val="1156"/>
    <w:qFormat/>
    <w:locked/>
    <w:uiPriority w:val="0"/>
    <w:rPr>
      <w:rFonts w:ascii="Verdana" w:hAnsi="Verdana" w:eastAsia="仿宋_GB2312"/>
      <w:sz w:val="21"/>
      <w:lang w:eastAsia="en-US"/>
    </w:rPr>
  </w:style>
  <w:style w:type="character" w:customStyle="1" w:styleId="1818">
    <w:name w:val="(一) Char"/>
    <w:qFormat/>
    <w:uiPriority w:val="0"/>
    <w:rPr>
      <w:rFonts w:hint="default" w:ascii="Arial" w:hAnsi="Arial" w:eastAsia="黑体" w:cs="宋体"/>
      <w:b/>
      <w:bCs/>
      <w:kern w:val="2"/>
      <w:sz w:val="28"/>
      <w:szCs w:val="28"/>
      <w:lang w:val="en-US" w:eastAsia="zh-CN" w:bidi="ar"/>
    </w:rPr>
  </w:style>
  <w:style w:type="character" w:customStyle="1" w:styleId="1819">
    <w:name w:val="马面的正文 Char Char"/>
    <w:link w:val="1820"/>
    <w:qFormat/>
    <w:locked/>
    <w:uiPriority w:val="0"/>
    <w:rPr>
      <w:rFonts w:ascii="宋体" w:hAnsi="宋体" w:cs="宋体"/>
      <w:sz w:val="28"/>
      <w:szCs w:val="24"/>
    </w:rPr>
  </w:style>
  <w:style w:type="paragraph" w:customStyle="1" w:styleId="1820">
    <w:name w:val="马面的正文"/>
    <w:basedOn w:val="1"/>
    <w:link w:val="1819"/>
    <w:qFormat/>
    <w:uiPriority w:val="0"/>
    <w:pPr>
      <w:spacing w:line="480" w:lineRule="exact"/>
      <w:ind w:firstLine="560" w:firstLineChars="200"/>
    </w:pPr>
    <w:rPr>
      <w:rFonts w:ascii="宋体" w:hAnsi="宋体" w:eastAsia="宋体" w:cs="宋体"/>
      <w:kern w:val="0"/>
      <w:szCs w:val="24"/>
    </w:rPr>
  </w:style>
  <w:style w:type="character" w:customStyle="1" w:styleId="1821">
    <w:name w:val="文章 Char Char"/>
    <w:link w:val="1822"/>
    <w:qFormat/>
    <w:locked/>
    <w:uiPriority w:val="0"/>
    <w:rPr>
      <w:rFonts w:ascii="宋体" w:hAnsi="宋体" w:cs="宋体"/>
      <w:sz w:val="24"/>
      <w:szCs w:val="24"/>
    </w:rPr>
  </w:style>
  <w:style w:type="paragraph" w:customStyle="1" w:styleId="1822">
    <w:name w:val="文章"/>
    <w:basedOn w:val="35"/>
    <w:link w:val="1821"/>
    <w:qFormat/>
    <w:uiPriority w:val="0"/>
    <w:pPr>
      <w:spacing w:beforeLines="50" w:line="360" w:lineRule="auto"/>
      <w:ind w:firstLine="480" w:firstLineChars="200"/>
    </w:pPr>
    <w:rPr>
      <w:rFonts w:ascii="宋体" w:hAnsi="宋体" w:cs="宋体"/>
      <w:kern w:val="0"/>
      <w:sz w:val="24"/>
      <w:szCs w:val="24"/>
    </w:rPr>
  </w:style>
  <w:style w:type="character" w:customStyle="1" w:styleId="1823">
    <w:name w:val="脚注文本 Char"/>
    <w:link w:val="68"/>
    <w:qFormat/>
    <w:locked/>
    <w:uiPriority w:val="0"/>
    <w:rPr>
      <w:rFonts w:eastAsia="仿宋_GB2312"/>
      <w:kern w:val="2"/>
      <w:sz w:val="18"/>
    </w:rPr>
  </w:style>
  <w:style w:type="character" w:customStyle="1" w:styleId="1824">
    <w:name w:val="报告书正文 Char Char Char"/>
    <w:qFormat/>
    <w:locked/>
    <w:uiPriority w:val="0"/>
    <w:rPr>
      <w:rFonts w:ascii="宋体" w:hAnsi="宋体" w:eastAsia="宋体" w:cs="宋体"/>
      <w:kern w:val="2"/>
      <w:sz w:val="24"/>
      <w:szCs w:val="24"/>
      <w:lang w:val="en-US" w:eastAsia="zh-CN" w:bidi="ar-SA"/>
    </w:rPr>
  </w:style>
  <w:style w:type="character" w:customStyle="1" w:styleId="1825">
    <w:name w:val="正文 + 首行缩进:  2 字符 Char Char"/>
    <w:qFormat/>
    <w:uiPriority w:val="0"/>
    <w:rPr>
      <w:rFonts w:hint="eastAsia" w:ascii="宋体" w:hAnsi="宋体" w:eastAsia="宋体" w:cs="宋体"/>
      <w:kern w:val="2"/>
      <w:sz w:val="24"/>
      <w:szCs w:val="24"/>
      <w:lang w:val="en-US" w:eastAsia="zh-CN" w:bidi="ar-SA"/>
    </w:rPr>
  </w:style>
  <w:style w:type="character" w:customStyle="1" w:styleId="1826">
    <w:name w:val="样式56 Char Char"/>
    <w:link w:val="1827"/>
    <w:qFormat/>
    <w:locked/>
    <w:uiPriority w:val="0"/>
    <w:rPr>
      <w:rFonts w:ascii="宋体" w:hAnsi="宋体"/>
      <w:spacing w:val="-2"/>
      <w:sz w:val="28"/>
    </w:rPr>
  </w:style>
  <w:style w:type="paragraph" w:customStyle="1" w:styleId="1827">
    <w:name w:val="样式56"/>
    <w:basedOn w:val="1"/>
    <w:link w:val="1826"/>
    <w:qFormat/>
    <w:uiPriority w:val="0"/>
    <w:rPr>
      <w:rFonts w:ascii="宋体" w:hAnsi="宋体" w:eastAsia="宋体"/>
      <w:spacing w:val="-2"/>
      <w:kern w:val="0"/>
    </w:rPr>
  </w:style>
  <w:style w:type="character" w:customStyle="1" w:styleId="1828">
    <w:name w:val="03 Char Char Char"/>
    <w:link w:val="1829"/>
    <w:qFormat/>
    <w:locked/>
    <w:uiPriority w:val="0"/>
    <w:rPr>
      <w:rFonts w:ascii="宋体" w:hAnsi="宋体" w:cs="宋体"/>
      <w:sz w:val="24"/>
      <w:szCs w:val="24"/>
    </w:rPr>
  </w:style>
  <w:style w:type="paragraph" w:customStyle="1" w:styleId="1829">
    <w:name w:val="03 Char"/>
    <w:basedOn w:val="1"/>
    <w:link w:val="1828"/>
    <w:qFormat/>
    <w:uiPriority w:val="0"/>
    <w:pPr>
      <w:spacing w:line="360" w:lineRule="auto"/>
      <w:ind w:firstLine="397"/>
    </w:pPr>
    <w:rPr>
      <w:rFonts w:ascii="宋体" w:hAnsi="宋体" w:eastAsia="宋体" w:cs="宋体"/>
      <w:kern w:val="0"/>
      <w:sz w:val="24"/>
      <w:szCs w:val="24"/>
    </w:rPr>
  </w:style>
  <w:style w:type="character" w:customStyle="1" w:styleId="1830">
    <w:name w:val="样式33 Char Char"/>
    <w:link w:val="1831"/>
    <w:qFormat/>
    <w:locked/>
    <w:uiPriority w:val="0"/>
    <w:rPr>
      <w:rFonts w:ascii="宋体" w:hAnsi="宋体" w:cs="Arial Unicode MS"/>
      <w:b/>
      <w:color w:val="000000"/>
      <w:sz w:val="24"/>
      <w:szCs w:val="24"/>
    </w:rPr>
  </w:style>
  <w:style w:type="paragraph" w:customStyle="1" w:styleId="1831">
    <w:name w:val="样式33"/>
    <w:basedOn w:val="1"/>
    <w:link w:val="1830"/>
    <w:qFormat/>
    <w:uiPriority w:val="0"/>
    <w:pPr>
      <w:keepNext/>
      <w:keepLines/>
      <w:tabs>
        <w:tab w:val="left" w:pos="1820"/>
      </w:tabs>
      <w:spacing w:before="50" w:after="50" w:line="360" w:lineRule="auto"/>
      <w:ind w:left="1820" w:hanging="420"/>
      <w:outlineLvl w:val="2"/>
    </w:pPr>
    <w:rPr>
      <w:rFonts w:ascii="宋体" w:hAnsi="宋体" w:eastAsia="宋体" w:cs="Arial Unicode MS"/>
      <w:b/>
      <w:color w:val="000000"/>
      <w:kern w:val="0"/>
      <w:sz w:val="24"/>
      <w:szCs w:val="24"/>
    </w:rPr>
  </w:style>
  <w:style w:type="character" w:customStyle="1" w:styleId="1832">
    <w:name w:val="标3 Char Char"/>
    <w:link w:val="1833"/>
    <w:qFormat/>
    <w:locked/>
    <w:uiPriority w:val="0"/>
    <w:rPr>
      <w:rFonts w:ascii="宋体" w:hAnsi="宋体" w:eastAsia="楷体_GB2312" w:cs="宋体"/>
      <w:b/>
      <w:sz w:val="30"/>
      <w:szCs w:val="30"/>
    </w:rPr>
  </w:style>
  <w:style w:type="paragraph" w:customStyle="1" w:styleId="1833">
    <w:name w:val="标3"/>
    <w:basedOn w:val="1"/>
    <w:link w:val="1832"/>
    <w:qFormat/>
    <w:uiPriority w:val="0"/>
    <w:pPr>
      <w:keepNext/>
      <w:autoSpaceDE w:val="0"/>
      <w:autoSpaceDN w:val="0"/>
      <w:adjustRightInd w:val="0"/>
      <w:snapToGrid w:val="0"/>
      <w:spacing w:beforeLines="100" w:line="360" w:lineRule="auto"/>
      <w:outlineLvl w:val="2"/>
    </w:pPr>
    <w:rPr>
      <w:rFonts w:ascii="宋体" w:hAnsi="宋体" w:eastAsia="楷体_GB2312" w:cs="宋体"/>
      <w:b/>
      <w:kern w:val="0"/>
      <w:sz w:val="30"/>
      <w:szCs w:val="30"/>
    </w:rPr>
  </w:style>
  <w:style w:type="character" w:customStyle="1" w:styleId="1834">
    <w:name w:val="表文 Char Char"/>
    <w:link w:val="994"/>
    <w:qFormat/>
    <w:locked/>
    <w:uiPriority w:val="0"/>
    <w:rPr>
      <w:sz w:val="24"/>
      <w:lang w:val="en-US" w:eastAsia="zh-CN"/>
    </w:rPr>
  </w:style>
  <w:style w:type="character" w:customStyle="1" w:styleId="1835">
    <w:name w:val="晓丹 Char Char"/>
    <w:link w:val="1836"/>
    <w:qFormat/>
    <w:locked/>
    <w:uiPriority w:val="0"/>
    <w:rPr>
      <w:rFonts w:ascii="宋体" w:hAnsi="宋体" w:cs="宋体"/>
      <w:color w:val="000000"/>
      <w:spacing w:val="6"/>
      <w:sz w:val="24"/>
      <w:szCs w:val="24"/>
    </w:rPr>
  </w:style>
  <w:style w:type="paragraph" w:customStyle="1" w:styleId="1836">
    <w:name w:val="晓丹"/>
    <w:basedOn w:val="41"/>
    <w:link w:val="1835"/>
    <w:qFormat/>
    <w:uiPriority w:val="0"/>
    <w:pPr>
      <w:adjustRightInd w:val="0"/>
      <w:snapToGrid w:val="0"/>
      <w:spacing w:after="0" w:line="360" w:lineRule="auto"/>
      <w:ind w:firstLine="200" w:firstLineChars="200"/>
    </w:pPr>
    <w:rPr>
      <w:rFonts w:ascii="宋体" w:hAnsi="宋体" w:eastAsia="宋体" w:cs="宋体"/>
      <w:color w:val="000000"/>
      <w:spacing w:val="6"/>
      <w:kern w:val="0"/>
      <w:sz w:val="24"/>
      <w:szCs w:val="24"/>
    </w:rPr>
  </w:style>
  <w:style w:type="character" w:customStyle="1" w:styleId="1837">
    <w:name w:val="图表格式 Char Char"/>
    <w:link w:val="1838"/>
    <w:qFormat/>
    <w:locked/>
    <w:uiPriority w:val="0"/>
    <w:rPr>
      <w:rFonts w:ascii="宋体" w:hAnsi="宋体" w:cs="宋体"/>
      <w:szCs w:val="21"/>
    </w:rPr>
  </w:style>
  <w:style w:type="paragraph" w:customStyle="1" w:styleId="1838">
    <w:name w:val="图表格式"/>
    <w:basedOn w:val="67"/>
    <w:link w:val="1837"/>
    <w:qFormat/>
    <w:uiPriority w:val="0"/>
    <w:pPr>
      <w:autoSpaceDE/>
      <w:autoSpaceDN/>
      <w:adjustRightInd/>
      <w:snapToGrid w:val="0"/>
      <w:spacing w:line="240" w:lineRule="auto"/>
      <w:ind w:left="0" w:firstLine="0" w:firstLineChars="0"/>
      <w:jc w:val="center"/>
      <w:textAlignment w:val="auto"/>
    </w:pPr>
    <w:rPr>
      <w:rFonts w:hAnsi="宋体" w:cs="宋体"/>
      <w:sz w:val="20"/>
      <w:szCs w:val="21"/>
    </w:rPr>
  </w:style>
  <w:style w:type="character" w:customStyle="1" w:styleId="1839">
    <w:name w:val="全部文体 Char Char"/>
    <w:link w:val="1840"/>
    <w:qFormat/>
    <w:locked/>
    <w:uiPriority w:val="0"/>
    <w:rPr>
      <w:rFonts w:ascii="宋体" w:hAnsi="宋体" w:cs="宋体"/>
      <w:color w:val="000000"/>
      <w:sz w:val="24"/>
      <w:szCs w:val="24"/>
    </w:rPr>
  </w:style>
  <w:style w:type="paragraph" w:customStyle="1" w:styleId="1840">
    <w:name w:val="全部文体"/>
    <w:basedOn w:val="1"/>
    <w:link w:val="1839"/>
    <w:qFormat/>
    <w:uiPriority w:val="0"/>
    <w:pPr>
      <w:autoSpaceDE w:val="0"/>
      <w:autoSpaceDN w:val="0"/>
      <w:adjustRightInd w:val="0"/>
      <w:spacing w:beforeLines="50" w:line="360" w:lineRule="auto"/>
      <w:ind w:firstLine="480" w:firstLineChars="200"/>
    </w:pPr>
    <w:rPr>
      <w:rFonts w:ascii="宋体" w:hAnsi="宋体" w:eastAsia="宋体" w:cs="宋体"/>
      <w:color w:val="000000"/>
      <w:kern w:val="0"/>
      <w:sz w:val="24"/>
      <w:szCs w:val="24"/>
    </w:rPr>
  </w:style>
  <w:style w:type="character" w:customStyle="1" w:styleId="1841">
    <w:name w:val="表体 Char Char"/>
    <w:qFormat/>
    <w:locked/>
    <w:uiPriority w:val="0"/>
    <w:rPr>
      <w:rFonts w:ascii="宋体" w:hAnsi="宋体" w:eastAsia="仿宋_GB2312" w:cs="宋体"/>
      <w:sz w:val="24"/>
      <w:szCs w:val="24"/>
    </w:rPr>
  </w:style>
  <w:style w:type="character" w:customStyle="1" w:styleId="1842">
    <w:name w:val="Char Char261"/>
    <w:qFormat/>
    <w:locked/>
    <w:uiPriority w:val="0"/>
    <w:rPr>
      <w:rFonts w:ascii="宋体" w:hAnsi="宋体" w:eastAsia="宋体" w:cs="宋体"/>
      <w:kern w:val="2"/>
      <w:sz w:val="18"/>
      <w:szCs w:val="24"/>
      <w:lang w:val="en-US" w:eastAsia="zh-CN" w:bidi="ar-SA"/>
    </w:rPr>
  </w:style>
  <w:style w:type="character" w:customStyle="1" w:styleId="1843">
    <w:name w:val="表名 Char Char"/>
    <w:link w:val="1098"/>
    <w:qFormat/>
    <w:locked/>
    <w:uiPriority w:val="0"/>
    <w:rPr>
      <w:rFonts w:ascii="黑体" w:hAnsi="宋体" w:eastAsia="黑体"/>
      <w:kern w:val="2"/>
      <w:sz w:val="18"/>
    </w:rPr>
  </w:style>
  <w:style w:type="character" w:customStyle="1" w:styleId="1844">
    <w:name w:val="样式 正文缩进 + 首行缩进:  2 字符 Char Char"/>
    <w:link w:val="1845"/>
    <w:qFormat/>
    <w:locked/>
    <w:uiPriority w:val="0"/>
    <w:rPr>
      <w:rFonts w:ascii="宋体" w:hAnsi="宋体" w:cs="宋体"/>
      <w:sz w:val="24"/>
      <w:szCs w:val="24"/>
    </w:rPr>
  </w:style>
  <w:style w:type="paragraph" w:customStyle="1" w:styleId="1845">
    <w:name w:val="样式 正文缩进 + 首行缩进:  2 字符"/>
    <w:basedOn w:val="5"/>
    <w:link w:val="1844"/>
    <w:qFormat/>
    <w:uiPriority w:val="0"/>
    <w:pPr>
      <w:overflowPunct w:val="0"/>
      <w:autoSpaceDE w:val="0"/>
      <w:autoSpaceDN w:val="0"/>
      <w:spacing w:line="360" w:lineRule="auto"/>
      <w:ind w:left="56" w:firstLine="475" w:firstLineChars="198"/>
    </w:pPr>
    <w:rPr>
      <w:rFonts w:ascii="宋体" w:hAnsi="宋体" w:cs="宋体"/>
      <w:spacing w:val="0"/>
      <w:kern w:val="0"/>
      <w:szCs w:val="24"/>
    </w:rPr>
  </w:style>
  <w:style w:type="character" w:customStyle="1" w:styleId="1846">
    <w:name w:val="标题 1文章 Char Char"/>
    <w:qFormat/>
    <w:uiPriority w:val="0"/>
    <w:rPr>
      <w:rFonts w:hint="eastAsia" w:ascii="黑体" w:hAnsi="宋体" w:eastAsia="黑体" w:cs="宋体"/>
      <w:bCs/>
      <w:kern w:val="2"/>
      <w:sz w:val="36"/>
      <w:szCs w:val="36"/>
      <w:lang w:val="en-US" w:eastAsia="zh-CN" w:bidi="ar-SA"/>
    </w:rPr>
  </w:style>
  <w:style w:type="character" w:customStyle="1" w:styleId="1847">
    <w:name w:val="标准正文 Char Char"/>
    <w:qFormat/>
    <w:locked/>
    <w:uiPriority w:val="0"/>
    <w:rPr>
      <w:rFonts w:ascii="宋体" w:hAnsi="宋体" w:eastAsia="宋体" w:cs="宋体"/>
      <w:bCs/>
      <w:sz w:val="24"/>
      <w:szCs w:val="21"/>
    </w:rPr>
  </w:style>
  <w:style w:type="character" w:customStyle="1" w:styleId="1848">
    <w:name w:val="首页要点 Char Char"/>
    <w:link w:val="1849"/>
    <w:qFormat/>
    <w:locked/>
    <w:uiPriority w:val="0"/>
    <w:rPr>
      <w:rFonts w:ascii="Arial" w:hAnsi="Arial" w:eastAsia="楷体_GB2312" w:cs="宋体"/>
      <w:szCs w:val="21"/>
    </w:rPr>
  </w:style>
  <w:style w:type="paragraph" w:customStyle="1" w:styleId="1849">
    <w:name w:val="首页要点"/>
    <w:basedOn w:val="1"/>
    <w:link w:val="1848"/>
    <w:qFormat/>
    <w:uiPriority w:val="0"/>
    <w:pPr>
      <w:tabs>
        <w:tab w:val="left" w:pos="607"/>
      </w:tabs>
      <w:spacing w:beforeLines="50"/>
      <w:ind w:left="607" w:hanging="420"/>
    </w:pPr>
    <w:rPr>
      <w:rFonts w:ascii="Arial" w:hAnsi="Arial" w:eastAsia="楷体_GB2312" w:cs="宋体"/>
      <w:kern w:val="0"/>
      <w:sz w:val="20"/>
      <w:szCs w:val="21"/>
    </w:rPr>
  </w:style>
  <w:style w:type="character" w:customStyle="1" w:styleId="1850">
    <w:name w:val="正文2缩进主要格式 Char Char Char"/>
    <w:link w:val="1851"/>
    <w:qFormat/>
    <w:locked/>
    <w:uiPriority w:val="0"/>
    <w:rPr>
      <w:rFonts w:ascii="宋体" w:hAnsi="宋体" w:cs="宋体"/>
      <w:sz w:val="24"/>
      <w:szCs w:val="24"/>
    </w:rPr>
  </w:style>
  <w:style w:type="paragraph" w:customStyle="1" w:styleId="1851">
    <w:name w:val="正文2缩进主要格式 Char"/>
    <w:basedOn w:val="1"/>
    <w:link w:val="1850"/>
    <w:qFormat/>
    <w:uiPriority w:val="0"/>
    <w:pPr>
      <w:spacing w:line="360" w:lineRule="auto"/>
      <w:ind w:firstLine="480" w:firstLineChars="200"/>
    </w:pPr>
    <w:rPr>
      <w:rFonts w:ascii="宋体" w:hAnsi="宋体" w:eastAsia="宋体" w:cs="宋体"/>
      <w:kern w:val="0"/>
      <w:sz w:val="24"/>
      <w:szCs w:val="24"/>
    </w:rPr>
  </w:style>
  <w:style w:type="character" w:customStyle="1" w:styleId="1852">
    <w:name w:val="Char Char171"/>
    <w:qFormat/>
    <w:locked/>
    <w:uiPriority w:val="0"/>
    <w:rPr>
      <w:rFonts w:ascii="宋体" w:hAnsi="宋体" w:eastAsia="宋体"/>
      <w:kern w:val="2"/>
      <w:sz w:val="16"/>
      <w:szCs w:val="16"/>
      <w:lang w:val="en-US" w:eastAsia="zh-CN" w:bidi="ar-SA"/>
    </w:rPr>
  </w:style>
  <w:style w:type="character" w:customStyle="1" w:styleId="1853">
    <w:name w:val="报告标题2 Char Char"/>
    <w:qFormat/>
    <w:locked/>
    <w:uiPriority w:val="0"/>
    <w:rPr>
      <w:rFonts w:ascii="Arial" w:hAnsi="Arial" w:eastAsia="宋体" w:cs="Arial"/>
      <w:b/>
      <w:color w:val="000000"/>
      <w:sz w:val="28"/>
      <w:szCs w:val="32"/>
    </w:rPr>
  </w:style>
  <w:style w:type="character" w:customStyle="1" w:styleId="1854">
    <w:name w:val="n标题 3 Char Char Char"/>
    <w:qFormat/>
    <w:uiPriority w:val="0"/>
    <w:rPr>
      <w:rFonts w:hint="default" w:ascii="Arial" w:hAnsi="Arial" w:eastAsia="宋体" w:cs="宋体"/>
      <w:b/>
      <w:bCs/>
      <w:kern w:val="2"/>
      <w:sz w:val="24"/>
      <w:szCs w:val="24"/>
      <w:lang w:val="en-US" w:eastAsia="zh-CN" w:bidi="ar-SA"/>
    </w:rPr>
  </w:style>
  <w:style w:type="character" w:customStyle="1" w:styleId="1855">
    <w:name w:val="aaa Char Char"/>
    <w:link w:val="1856"/>
    <w:qFormat/>
    <w:locked/>
    <w:uiPriority w:val="0"/>
    <w:rPr>
      <w:rFonts w:ascii="Calibri" w:hAnsi="Calibri"/>
      <w:color w:val="000000"/>
      <w:sz w:val="24"/>
    </w:rPr>
  </w:style>
  <w:style w:type="paragraph" w:customStyle="1" w:styleId="1856">
    <w:name w:val="aaa"/>
    <w:basedOn w:val="1"/>
    <w:link w:val="1855"/>
    <w:qFormat/>
    <w:uiPriority w:val="0"/>
    <w:pPr>
      <w:spacing w:beforeLines="50" w:afterLines="50" w:line="360" w:lineRule="auto"/>
      <w:ind w:firstLine="480" w:firstLineChars="200"/>
    </w:pPr>
    <w:rPr>
      <w:rFonts w:ascii="Calibri" w:hAnsi="Calibri" w:eastAsia="宋体"/>
      <w:color w:val="000000"/>
      <w:kern w:val="0"/>
      <w:sz w:val="24"/>
    </w:rPr>
  </w:style>
  <w:style w:type="character" w:customStyle="1" w:styleId="1857">
    <w:name w:val="HTML 预设格式 字符1"/>
    <w:qFormat/>
    <w:uiPriority w:val="0"/>
    <w:rPr>
      <w:rFonts w:hint="default" w:ascii="Courier New" w:hAnsi="Courier New" w:eastAsia="宋体" w:cs="Courier New"/>
      <w:lang w:val="en-US" w:eastAsia="zh-CN" w:bidi="ar-SA"/>
    </w:rPr>
  </w:style>
  <w:style w:type="character" w:customStyle="1" w:styleId="1858">
    <w:name w:val="Char Char5"/>
    <w:qFormat/>
    <w:locked/>
    <w:uiPriority w:val="0"/>
    <w:rPr>
      <w:rFonts w:ascii="宋体" w:hAnsi="宋体" w:eastAsia="宋体" w:cs="宋体"/>
      <w:kern w:val="2"/>
      <w:sz w:val="18"/>
      <w:szCs w:val="18"/>
      <w:lang w:val="en-US" w:eastAsia="zh-CN" w:bidi="ar-SA"/>
    </w:rPr>
  </w:style>
  <w:style w:type="character" w:customStyle="1" w:styleId="1859">
    <w:name w:val="批注文字 Char3"/>
    <w:qFormat/>
    <w:uiPriority w:val="0"/>
    <w:rPr>
      <w:rFonts w:hint="default" w:ascii="Times New Roman" w:hAnsi="Times New Roman" w:eastAsia="宋体" w:cs="Times New Roman"/>
      <w:kern w:val="0"/>
      <w:sz w:val="28"/>
      <w:szCs w:val="21"/>
      <w:lang w:val="en-US" w:eastAsia="zh-CN" w:bidi="ar-SA"/>
    </w:rPr>
  </w:style>
  <w:style w:type="character" w:customStyle="1" w:styleId="1860">
    <w:name w:val="正文(首行缩进2字) Char Char"/>
    <w:link w:val="821"/>
    <w:qFormat/>
    <w:locked/>
    <w:uiPriority w:val="0"/>
    <w:rPr>
      <w:rFonts w:ascii="宋体" w:hAnsi="宋体" w:cs="宋体"/>
      <w:color w:val="000000"/>
      <w:sz w:val="28"/>
    </w:rPr>
  </w:style>
  <w:style w:type="character" w:customStyle="1" w:styleId="1861">
    <w:name w:val="正文缩进2 Char Char Char Char"/>
    <w:link w:val="1862"/>
    <w:qFormat/>
    <w:locked/>
    <w:uiPriority w:val="0"/>
    <w:rPr>
      <w:rFonts w:ascii="宋体" w:hAnsi="宋体" w:cs="宋体"/>
      <w:sz w:val="24"/>
      <w:szCs w:val="24"/>
    </w:rPr>
  </w:style>
  <w:style w:type="paragraph" w:customStyle="1" w:styleId="1862">
    <w:name w:val="正文缩进2 Char Char"/>
    <w:basedOn w:val="1"/>
    <w:link w:val="1861"/>
    <w:qFormat/>
    <w:uiPriority w:val="0"/>
    <w:pPr>
      <w:spacing w:before="60" w:line="460" w:lineRule="atLeast"/>
      <w:ind w:firstLine="480" w:firstLineChars="200"/>
    </w:pPr>
    <w:rPr>
      <w:rFonts w:ascii="宋体" w:hAnsi="宋体" w:eastAsia="宋体" w:cs="宋体"/>
      <w:kern w:val="0"/>
      <w:sz w:val="24"/>
      <w:szCs w:val="24"/>
    </w:rPr>
  </w:style>
  <w:style w:type="character" w:customStyle="1" w:styleId="1863">
    <w:name w:val="样式 样式 首行缩进:  1.01 厘米 + Times New Roman Char Char"/>
    <w:link w:val="1864"/>
    <w:qFormat/>
    <w:locked/>
    <w:uiPriority w:val="0"/>
    <w:rPr>
      <w:rFonts w:ascii="宋体" w:hAnsi="宋体"/>
      <w:spacing w:val="-2"/>
      <w:sz w:val="28"/>
    </w:rPr>
  </w:style>
  <w:style w:type="paragraph" w:customStyle="1" w:styleId="1864">
    <w:name w:val="样式 样式 首行缩进:  1.01 厘米 + Times New Roman"/>
    <w:basedOn w:val="1"/>
    <w:link w:val="1863"/>
    <w:qFormat/>
    <w:uiPriority w:val="0"/>
    <w:rPr>
      <w:rFonts w:ascii="宋体" w:hAnsi="宋体" w:eastAsia="宋体"/>
      <w:spacing w:val="-2"/>
      <w:kern w:val="0"/>
    </w:rPr>
  </w:style>
  <w:style w:type="character" w:customStyle="1" w:styleId="1865">
    <w:name w:val="正文文本 3 Char"/>
    <w:link w:val="31"/>
    <w:qFormat/>
    <w:locked/>
    <w:uiPriority w:val="0"/>
    <w:rPr>
      <w:kern w:val="2"/>
      <w:sz w:val="16"/>
      <w:szCs w:val="16"/>
    </w:rPr>
  </w:style>
  <w:style w:type="character" w:customStyle="1" w:styleId="1866">
    <w:name w:val="样式 标题 3标题 3 Char Char Char标题 3 Char Char Char Char Char Char标... Char Char Char"/>
    <w:qFormat/>
    <w:uiPriority w:val="0"/>
    <w:rPr>
      <w:rFonts w:hint="default" w:ascii="Plotter" w:hAnsi="Plotter" w:eastAsia="宋体" w:cs="宋体"/>
      <w:b/>
      <w:kern w:val="2"/>
      <w:sz w:val="24"/>
      <w:szCs w:val="24"/>
      <w:lang w:val="en-US" w:eastAsia="zh-CN" w:bidi="ar-SA"/>
    </w:rPr>
  </w:style>
  <w:style w:type="character" w:customStyle="1" w:styleId="1867">
    <w:name w:val="Char Char Char Char Char Char Char Char Char Char Char Char Char Char Char Char Char"/>
    <w:qFormat/>
    <w:uiPriority w:val="0"/>
    <w:rPr>
      <w:rFonts w:hint="eastAsia" w:ascii="宋体" w:hAnsi="宋体" w:eastAsia="宋体" w:cs="宋体"/>
      <w:b/>
      <w:kern w:val="2"/>
      <w:sz w:val="18"/>
      <w:szCs w:val="18"/>
      <w:lang w:val="en-US" w:eastAsia="zh-CN" w:bidi="ar-SA"/>
    </w:rPr>
  </w:style>
  <w:style w:type="character" w:customStyle="1" w:styleId="1868">
    <w:name w:val="样式 宋体 四号 行距: 1.5 倍行距 Char Char"/>
    <w:link w:val="1869"/>
    <w:qFormat/>
    <w:locked/>
    <w:uiPriority w:val="0"/>
    <w:rPr>
      <w:rFonts w:ascii="宋体" w:hAnsi="宋体" w:cs="宋体"/>
      <w:sz w:val="28"/>
      <w:szCs w:val="24"/>
    </w:rPr>
  </w:style>
  <w:style w:type="paragraph" w:customStyle="1" w:styleId="1869">
    <w:name w:val="样式 宋体 四号 行距: 1.5 倍行距"/>
    <w:basedOn w:val="1"/>
    <w:link w:val="1868"/>
    <w:qFormat/>
    <w:uiPriority w:val="0"/>
    <w:pPr>
      <w:spacing w:line="360" w:lineRule="auto"/>
      <w:ind w:firstLine="560" w:firstLineChars="200"/>
    </w:pPr>
    <w:rPr>
      <w:rFonts w:ascii="宋体" w:hAnsi="宋体" w:eastAsia="宋体" w:cs="宋体"/>
      <w:kern w:val="0"/>
      <w:szCs w:val="24"/>
    </w:rPr>
  </w:style>
  <w:style w:type="character" w:customStyle="1" w:styleId="1870">
    <w:name w:val="样式53 Char Char"/>
    <w:link w:val="1871"/>
    <w:qFormat/>
    <w:locked/>
    <w:uiPriority w:val="0"/>
    <w:rPr>
      <w:rFonts w:ascii="宋体" w:hAnsi="宋体"/>
      <w:spacing w:val="-2"/>
      <w:sz w:val="28"/>
    </w:rPr>
  </w:style>
  <w:style w:type="paragraph" w:customStyle="1" w:styleId="1871">
    <w:name w:val="样式53"/>
    <w:basedOn w:val="1"/>
    <w:link w:val="1870"/>
    <w:qFormat/>
    <w:uiPriority w:val="0"/>
    <w:rPr>
      <w:rFonts w:ascii="宋体" w:hAnsi="宋体" w:eastAsia="宋体"/>
      <w:spacing w:val="-2"/>
      <w:kern w:val="0"/>
    </w:rPr>
  </w:style>
  <w:style w:type="character" w:customStyle="1" w:styleId="1872">
    <w:name w:val="日期 字符"/>
    <w:qFormat/>
    <w:uiPriority w:val="0"/>
    <w:rPr>
      <w:rFonts w:hint="eastAsia" w:ascii="宋体" w:hAnsi="宋体" w:eastAsia="宋体"/>
      <w:kern w:val="2"/>
      <w:sz w:val="21"/>
      <w:szCs w:val="24"/>
      <w:lang w:val="en-US" w:eastAsia="zh-CN" w:bidi="ar-SA"/>
    </w:rPr>
  </w:style>
  <w:style w:type="character" w:customStyle="1" w:styleId="1873">
    <w:name w:val="样式 标3 + 黑色 Char Char"/>
    <w:link w:val="1874"/>
    <w:qFormat/>
    <w:locked/>
    <w:uiPriority w:val="0"/>
    <w:rPr>
      <w:rFonts w:ascii="宋体" w:hAnsi="宋体" w:eastAsia="楷体_GB2312" w:cs="宋体"/>
      <w:b/>
      <w:bCs/>
      <w:color w:val="000000"/>
      <w:sz w:val="30"/>
      <w:szCs w:val="30"/>
    </w:rPr>
  </w:style>
  <w:style w:type="paragraph" w:customStyle="1" w:styleId="1874">
    <w:name w:val="样式 标3 + 黑色"/>
    <w:basedOn w:val="1833"/>
    <w:link w:val="1873"/>
    <w:qFormat/>
    <w:uiPriority w:val="0"/>
    <w:pPr>
      <w:spacing w:beforeLines="0"/>
    </w:pPr>
    <w:rPr>
      <w:bCs/>
      <w:color w:val="000000"/>
    </w:rPr>
  </w:style>
  <w:style w:type="character" w:customStyle="1" w:styleId="1875">
    <w:name w:val="信息标题 Char1"/>
    <w:qFormat/>
    <w:uiPriority w:val="0"/>
    <w:rPr>
      <w:rFonts w:hint="default" w:ascii="Cambria" w:hAnsi="Cambria" w:eastAsia="宋体" w:cs="Times New Roman"/>
      <w:kern w:val="2"/>
      <w:sz w:val="24"/>
      <w:szCs w:val="24"/>
      <w:shd w:val="pct20" w:color="auto" w:fill="auto"/>
      <w:lang w:val="en-US" w:eastAsia="zh-CN" w:bidi="ar-SA"/>
    </w:rPr>
  </w:style>
  <w:style w:type="character" w:customStyle="1" w:styleId="1876">
    <w:name w:val="正文文本 3 Char5"/>
    <w:qFormat/>
    <w:uiPriority w:val="0"/>
    <w:rPr>
      <w:rFonts w:hint="eastAsia" w:ascii="宋体" w:hAnsi="宋体" w:eastAsia="宋体" w:cs="宋体"/>
      <w:kern w:val="2"/>
      <w:sz w:val="16"/>
      <w:szCs w:val="16"/>
      <w:lang w:val="en-US" w:eastAsia="zh-CN" w:bidi="ar"/>
    </w:rPr>
  </w:style>
  <w:style w:type="character" w:customStyle="1" w:styleId="1877">
    <w:name w:val="自动表头 Char Char Char"/>
    <w:link w:val="1878"/>
    <w:qFormat/>
    <w:locked/>
    <w:uiPriority w:val="0"/>
    <w:rPr>
      <w:rFonts w:ascii="黑体" w:hAnsi="宋体" w:eastAsia="黑体" w:cs="宋体"/>
      <w:b/>
      <w:color w:val="000000"/>
      <w:szCs w:val="24"/>
    </w:rPr>
  </w:style>
  <w:style w:type="paragraph" w:customStyle="1" w:styleId="1878">
    <w:name w:val="自动表头"/>
    <w:basedOn w:val="1"/>
    <w:link w:val="1877"/>
    <w:qFormat/>
    <w:uiPriority w:val="0"/>
    <w:pPr>
      <w:autoSpaceDE w:val="0"/>
      <w:autoSpaceDN w:val="0"/>
      <w:adjustRightInd w:val="0"/>
      <w:spacing w:line="360" w:lineRule="auto"/>
      <w:jc w:val="center"/>
    </w:pPr>
    <w:rPr>
      <w:rFonts w:ascii="黑体" w:hAnsi="宋体" w:eastAsia="黑体" w:cs="宋体"/>
      <w:b/>
      <w:color w:val="000000"/>
      <w:kern w:val="0"/>
      <w:sz w:val="20"/>
      <w:szCs w:val="24"/>
    </w:rPr>
  </w:style>
  <w:style w:type="character" w:customStyle="1" w:styleId="1879">
    <w:name w:val="表格文字 Char1"/>
    <w:qFormat/>
    <w:uiPriority w:val="0"/>
    <w:rPr>
      <w:rFonts w:ascii="宋体" w:hAnsi="宋体" w:eastAsia="宋体"/>
      <w:color w:val="000000"/>
      <w:kern w:val="2"/>
      <w:sz w:val="24"/>
      <w:lang w:val="en-US" w:eastAsia="zh-CN"/>
    </w:rPr>
  </w:style>
  <w:style w:type="character" w:customStyle="1" w:styleId="1880">
    <w:name w:val="正文文字 2 Char Char2"/>
    <w:qFormat/>
    <w:uiPriority w:val="0"/>
    <w:rPr>
      <w:rFonts w:hint="eastAsia" w:ascii="宋体" w:hAnsi="宋体" w:eastAsia="宋体" w:cs="宋体"/>
      <w:spacing w:val="-10"/>
      <w:kern w:val="2"/>
      <w:sz w:val="21"/>
      <w:szCs w:val="24"/>
      <w:lang w:val="en-US" w:eastAsia="zh-CN" w:bidi="ar-SA"/>
    </w:rPr>
  </w:style>
  <w:style w:type="character" w:customStyle="1" w:styleId="1881">
    <w:name w:val="样式15 Char Char"/>
    <w:link w:val="1882"/>
    <w:qFormat/>
    <w:locked/>
    <w:uiPriority w:val="0"/>
    <w:rPr>
      <w:rFonts w:ascii="宋体" w:hAnsi="宋体"/>
      <w:spacing w:val="-2"/>
      <w:sz w:val="28"/>
    </w:rPr>
  </w:style>
  <w:style w:type="paragraph" w:customStyle="1" w:styleId="1882">
    <w:name w:val="样式15"/>
    <w:basedOn w:val="1"/>
    <w:link w:val="1881"/>
    <w:qFormat/>
    <w:uiPriority w:val="0"/>
    <w:rPr>
      <w:rFonts w:ascii="宋体" w:hAnsi="宋体" w:eastAsia="宋体"/>
      <w:spacing w:val="-2"/>
      <w:kern w:val="0"/>
    </w:rPr>
  </w:style>
  <w:style w:type="character" w:customStyle="1" w:styleId="1883">
    <w:name w:val="样式45 Char Char"/>
    <w:link w:val="1884"/>
    <w:qFormat/>
    <w:locked/>
    <w:uiPriority w:val="0"/>
    <w:rPr>
      <w:rFonts w:ascii="宋体" w:hAnsi="宋体"/>
      <w:spacing w:val="-2"/>
      <w:sz w:val="28"/>
    </w:rPr>
  </w:style>
  <w:style w:type="paragraph" w:customStyle="1" w:styleId="1884">
    <w:name w:val="样式45"/>
    <w:basedOn w:val="1"/>
    <w:link w:val="1883"/>
    <w:qFormat/>
    <w:uiPriority w:val="0"/>
    <w:rPr>
      <w:rFonts w:ascii="宋体" w:hAnsi="宋体" w:eastAsia="宋体"/>
      <w:spacing w:val="-2"/>
      <w:kern w:val="0"/>
    </w:rPr>
  </w:style>
  <w:style w:type="character" w:customStyle="1" w:styleId="1885">
    <w:name w:val="cucd-TB-Head Char Char"/>
    <w:link w:val="1886"/>
    <w:qFormat/>
    <w:locked/>
    <w:uiPriority w:val="0"/>
    <w:rPr>
      <w:rFonts w:ascii="宋体" w:hAnsi="宋体" w:eastAsia="黑体" w:cs="宋体"/>
      <w:sz w:val="24"/>
      <w:szCs w:val="24"/>
    </w:rPr>
  </w:style>
  <w:style w:type="paragraph" w:customStyle="1" w:styleId="1886">
    <w:name w:val="cucd-TB-Head"/>
    <w:basedOn w:val="1"/>
    <w:next w:val="1887"/>
    <w:link w:val="1885"/>
    <w:qFormat/>
    <w:uiPriority w:val="0"/>
    <w:pPr>
      <w:spacing w:beforeLines="50" w:line="360" w:lineRule="auto"/>
      <w:jc w:val="center"/>
    </w:pPr>
    <w:rPr>
      <w:rFonts w:ascii="宋体" w:hAnsi="宋体" w:eastAsia="黑体" w:cs="宋体"/>
      <w:kern w:val="0"/>
      <w:sz w:val="24"/>
      <w:szCs w:val="24"/>
    </w:rPr>
  </w:style>
  <w:style w:type="paragraph" w:customStyle="1" w:styleId="1887">
    <w:name w:val="cucd-0"/>
    <w:link w:val="1937"/>
    <w:qFormat/>
    <w:uiPriority w:val="0"/>
    <w:pPr>
      <w:spacing w:line="360" w:lineRule="auto"/>
      <w:ind w:firstLine="480" w:firstLineChars="200"/>
    </w:pPr>
    <w:rPr>
      <w:rFonts w:ascii="宋体" w:hAnsi="宋体" w:eastAsia="宋体" w:cs="宋体"/>
      <w:sz w:val="24"/>
      <w:szCs w:val="24"/>
      <w:lang w:val="en-US" w:eastAsia="zh-CN" w:bidi="ar-SA"/>
    </w:rPr>
  </w:style>
  <w:style w:type="character" w:customStyle="1" w:styleId="1888">
    <w:name w:val="样式 标题 3a标题 3标题 13标题 3 Char1 Char Char Char标题 31ReHead 3 WS...1 Char Char"/>
    <w:link w:val="1889"/>
    <w:qFormat/>
    <w:locked/>
    <w:uiPriority w:val="0"/>
    <w:rPr>
      <w:rFonts w:ascii="宋体" w:hAnsi="宋体"/>
      <w:bCs/>
      <w:sz w:val="24"/>
      <w:szCs w:val="32"/>
    </w:rPr>
  </w:style>
  <w:style w:type="paragraph" w:customStyle="1" w:styleId="1889">
    <w:name w:val="样式 标题 3a标题 3标题 13标题 3 Char1 Char Char Char标题 31ReHead 3 WS...1"/>
    <w:basedOn w:val="6"/>
    <w:link w:val="1888"/>
    <w:qFormat/>
    <w:uiPriority w:val="0"/>
    <w:pPr>
      <w:tabs>
        <w:tab w:val="left" w:pos="720"/>
        <w:tab w:val="left" w:pos="1080"/>
        <w:tab w:val="clear" w:pos="1789"/>
      </w:tabs>
      <w:spacing w:before="0" w:after="0" w:line="360" w:lineRule="auto"/>
      <w:ind w:left="720" w:hanging="720"/>
      <w:jc w:val="left"/>
    </w:pPr>
    <w:rPr>
      <w:rFonts w:ascii="宋体" w:hAnsi="宋体" w:eastAsia="宋体"/>
      <w:b w:val="0"/>
      <w:kern w:val="0"/>
      <w:szCs w:val="32"/>
    </w:rPr>
  </w:style>
  <w:style w:type="character" w:customStyle="1" w:styleId="1890">
    <w:name w:val="cucd-2 Char Char"/>
    <w:link w:val="1891"/>
    <w:qFormat/>
    <w:locked/>
    <w:uiPriority w:val="0"/>
    <w:rPr>
      <w:rFonts w:ascii="宋体" w:hAnsi="宋体" w:eastAsia="黑体" w:cs="宋体"/>
      <w:b/>
      <w:sz w:val="30"/>
      <w:szCs w:val="24"/>
    </w:rPr>
  </w:style>
  <w:style w:type="paragraph" w:customStyle="1" w:styleId="1891">
    <w:name w:val="cucd-2"/>
    <w:next w:val="1892"/>
    <w:link w:val="1890"/>
    <w:qFormat/>
    <w:uiPriority w:val="0"/>
    <w:pPr>
      <w:tabs>
        <w:tab w:val="left" w:pos="567"/>
      </w:tabs>
      <w:spacing w:line="360" w:lineRule="auto"/>
      <w:ind w:left="567" w:hanging="567"/>
      <w:outlineLvl w:val="1"/>
    </w:pPr>
    <w:rPr>
      <w:rFonts w:ascii="宋体" w:hAnsi="宋体" w:eastAsia="黑体" w:cs="宋体"/>
      <w:b/>
      <w:sz w:val="30"/>
      <w:szCs w:val="24"/>
      <w:lang w:val="en-US" w:eastAsia="zh-CN" w:bidi="ar-SA"/>
    </w:rPr>
  </w:style>
  <w:style w:type="paragraph" w:customStyle="1" w:styleId="1892">
    <w:name w:val="cucd-3"/>
    <w:next w:val="1893"/>
    <w:link w:val="2668"/>
    <w:qFormat/>
    <w:uiPriority w:val="0"/>
    <w:pPr>
      <w:tabs>
        <w:tab w:val="left" w:pos="709"/>
      </w:tabs>
      <w:spacing w:line="360" w:lineRule="auto"/>
      <w:ind w:left="709" w:hanging="709"/>
      <w:outlineLvl w:val="2"/>
    </w:pPr>
    <w:rPr>
      <w:rFonts w:ascii="宋体" w:hAnsi="宋体" w:eastAsia="宋体" w:cs="宋体"/>
      <w:b/>
      <w:sz w:val="28"/>
      <w:szCs w:val="24"/>
      <w:lang w:val="en-US" w:eastAsia="zh-CN" w:bidi="ar-SA"/>
    </w:rPr>
  </w:style>
  <w:style w:type="paragraph" w:customStyle="1" w:styleId="1893">
    <w:name w:val="cucd-4"/>
    <w:next w:val="1887"/>
    <w:link w:val="1896"/>
    <w:qFormat/>
    <w:uiPriority w:val="0"/>
    <w:pPr>
      <w:tabs>
        <w:tab w:val="left" w:pos="851"/>
      </w:tabs>
      <w:spacing w:line="360" w:lineRule="auto"/>
      <w:ind w:left="851" w:hanging="851"/>
      <w:outlineLvl w:val="3"/>
    </w:pPr>
    <w:rPr>
      <w:rFonts w:ascii="宋体" w:hAnsi="宋体" w:eastAsia="宋体" w:cs="宋体"/>
      <w:b/>
      <w:sz w:val="24"/>
      <w:szCs w:val="24"/>
      <w:lang w:val="en-US" w:eastAsia="zh-CN" w:bidi="ar-SA"/>
    </w:rPr>
  </w:style>
  <w:style w:type="character" w:customStyle="1" w:styleId="1894">
    <w:name w:val="样式 样式 样式 仿宋_GB2312 黑色 行距: 固定值 30 磅 + 首行缩进:  2 字符 + 首行缩进:  2 字符 Char Char"/>
    <w:link w:val="1895"/>
    <w:qFormat/>
    <w:locked/>
    <w:uiPriority w:val="0"/>
    <w:rPr>
      <w:rFonts w:ascii="宋体" w:hAnsi="宋体" w:eastAsia="仿宋_GB2312" w:cs="宋体"/>
      <w:sz w:val="28"/>
      <w:szCs w:val="24"/>
    </w:rPr>
  </w:style>
  <w:style w:type="paragraph" w:customStyle="1" w:styleId="1895">
    <w:name w:val="样式 样式 样式 仿宋_GB2312 黑色 行距: 固定值 30 磅 + 首行缩进:  2 字符 + 首行缩进:  2 字符"/>
    <w:basedOn w:val="1"/>
    <w:link w:val="1894"/>
    <w:qFormat/>
    <w:uiPriority w:val="0"/>
    <w:pPr>
      <w:spacing w:line="600" w:lineRule="exact"/>
      <w:ind w:firstLine="600" w:firstLineChars="200"/>
    </w:pPr>
    <w:rPr>
      <w:rFonts w:ascii="宋体" w:hAnsi="宋体" w:cs="宋体"/>
      <w:kern w:val="0"/>
      <w:szCs w:val="24"/>
    </w:rPr>
  </w:style>
  <w:style w:type="character" w:customStyle="1" w:styleId="1896">
    <w:name w:val="cucd-4 Char Char"/>
    <w:link w:val="1893"/>
    <w:qFormat/>
    <w:locked/>
    <w:uiPriority w:val="0"/>
    <w:rPr>
      <w:rFonts w:ascii="宋体" w:hAnsi="宋体" w:cs="宋体"/>
      <w:b/>
      <w:sz w:val="24"/>
      <w:szCs w:val="24"/>
    </w:rPr>
  </w:style>
  <w:style w:type="character" w:customStyle="1" w:styleId="1897">
    <w:name w:val="表中文字---------------- Char Char"/>
    <w:link w:val="1898"/>
    <w:qFormat/>
    <w:locked/>
    <w:uiPriority w:val="0"/>
    <w:rPr>
      <w:rFonts w:ascii="宋体" w:hAnsi="宋体" w:cs="宋体"/>
      <w:szCs w:val="24"/>
    </w:rPr>
  </w:style>
  <w:style w:type="paragraph" w:customStyle="1" w:styleId="1898">
    <w:name w:val="表中文字----------------"/>
    <w:basedOn w:val="1"/>
    <w:link w:val="1897"/>
    <w:qFormat/>
    <w:uiPriority w:val="0"/>
    <w:pPr>
      <w:jc w:val="center"/>
    </w:pPr>
    <w:rPr>
      <w:rFonts w:ascii="宋体" w:hAnsi="宋体" w:eastAsia="宋体" w:cs="宋体"/>
      <w:kern w:val="0"/>
      <w:sz w:val="20"/>
      <w:szCs w:val="24"/>
    </w:rPr>
  </w:style>
  <w:style w:type="character" w:customStyle="1" w:styleId="1899">
    <w:name w:val="样式 样式 标题 4 + (西文) Times New Roman (中文) 宋体 小四 非加粗 + Char Char"/>
    <w:link w:val="1900"/>
    <w:qFormat/>
    <w:locked/>
    <w:uiPriority w:val="0"/>
    <w:rPr>
      <w:rFonts w:ascii="宋体" w:hAnsi="宋体" w:cs="宋体"/>
      <w:sz w:val="28"/>
      <w:szCs w:val="24"/>
    </w:rPr>
  </w:style>
  <w:style w:type="paragraph" w:customStyle="1" w:styleId="1900">
    <w:name w:val="样式 样式 标题 4 + (西文) Times New Roman (中文) 宋体 小四 非加粗 +"/>
    <w:basedOn w:val="1901"/>
    <w:link w:val="1899"/>
    <w:qFormat/>
    <w:uiPriority w:val="0"/>
    <w:pPr>
      <w:tabs>
        <w:tab w:val="left" w:pos="1381"/>
        <w:tab w:val="left" w:pos="2153"/>
      </w:tabs>
    </w:pPr>
    <w:rPr>
      <w:rFonts w:ascii="宋体" w:hAnsi="宋体" w:eastAsia="宋体"/>
      <w:b w:val="0"/>
      <w:sz w:val="28"/>
      <w:szCs w:val="24"/>
    </w:rPr>
  </w:style>
  <w:style w:type="paragraph" w:customStyle="1" w:styleId="1901">
    <w:name w:val="样式 标题 4 + (西文) Times New Roman (中文) 宋体 小四 非加粗"/>
    <w:basedOn w:val="7"/>
    <w:link w:val="2404"/>
    <w:qFormat/>
    <w:uiPriority w:val="0"/>
    <w:pPr>
      <w:tabs>
        <w:tab w:val="left" w:pos="1381"/>
        <w:tab w:val="left" w:pos="2153"/>
        <w:tab w:val="clear" w:pos="4008"/>
      </w:tabs>
      <w:ind w:left="0" w:firstLine="0"/>
      <w:jc w:val="both"/>
    </w:pPr>
    <w:rPr>
      <w:rFonts w:eastAsia="黑体" w:cs="宋体"/>
      <w:color w:val="auto"/>
      <w:kern w:val="0"/>
      <w:szCs w:val="28"/>
    </w:rPr>
  </w:style>
  <w:style w:type="character" w:customStyle="1" w:styleId="1902">
    <w:name w:val="样式 标题 2 + 小四 段前: 0.5 行 段后: 0.5 行 行距: 单倍行距 Char Char"/>
    <w:link w:val="1903"/>
    <w:qFormat/>
    <w:locked/>
    <w:uiPriority w:val="0"/>
    <w:rPr>
      <w:rFonts w:ascii="Arial" w:hAnsi="Arial" w:eastAsia="新宋体" w:cs="宋体"/>
      <w:b/>
      <w:bCs/>
      <w:color w:val="000000"/>
      <w:sz w:val="24"/>
      <w:szCs w:val="24"/>
    </w:rPr>
  </w:style>
  <w:style w:type="paragraph" w:customStyle="1" w:styleId="1903">
    <w:name w:val="样式 标题 2 + 小四 段前: 0.5 行 段后: 0.5 行 行距: 单倍行距"/>
    <w:basedOn w:val="4"/>
    <w:link w:val="1902"/>
    <w:qFormat/>
    <w:uiPriority w:val="0"/>
    <w:pPr>
      <w:keepLines w:val="0"/>
      <w:tabs>
        <w:tab w:val="left" w:pos="284"/>
        <w:tab w:val="left" w:pos="576"/>
        <w:tab w:val="left" w:pos="1140"/>
        <w:tab w:val="left" w:pos="1476"/>
        <w:tab w:val="clear" w:pos="567"/>
      </w:tabs>
      <w:wordWrap w:val="0"/>
      <w:topLinePunct/>
      <w:snapToGrid w:val="0"/>
      <w:spacing w:before="0" w:beforeLines="50" w:after="0" w:line="360" w:lineRule="auto"/>
      <w:ind w:left="576" w:hanging="576"/>
    </w:pPr>
    <w:rPr>
      <w:rFonts w:ascii="Arial" w:eastAsia="新宋体" w:cs="宋体"/>
      <w:b/>
      <w:bCs/>
      <w:color w:val="000000"/>
      <w:kern w:val="0"/>
      <w:sz w:val="24"/>
      <w:szCs w:val="24"/>
    </w:rPr>
  </w:style>
  <w:style w:type="character" w:customStyle="1" w:styleId="1904">
    <w:name w:val="表格文字1 Char"/>
    <w:qFormat/>
    <w:uiPriority w:val="0"/>
    <w:rPr>
      <w:rFonts w:hint="eastAsia" w:ascii="宋体" w:hAnsi="Courier New" w:eastAsia="宋体" w:cs="宋体"/>
      <w:kern w:val="2"/>
      <w:sz w:val="28"/>
      <w:szCs w:val="24"/>
      <w:lang w:val="en-US" w:eastAsia="zh-CN" w:bidi="ar-SA"/>
    </w:rPr>
  </w:style>
  <w:style w:type="character" w:customStyle="1" w:styleId="1905">
    <w:name w:val="图下题注 Char Char"/>
    <w:link w:val="1906"/>
    <w:qFormat/>
    <w:locked/>
    <w:uiPriority w:val="0"/>
    <w:rPr>
      <w:rFonts w:ascii="宋体" w:hAnsi="宋体" w:cs="黑体"/>
      <w:spacing w:val="-2"/>
      <w:sz w:val="28"/>
      <w:szCs w:val="21"/>
    </w:rPr>
  </w:style>
  <w:style w:type="paragraph" w:customStyle="1" w:styleId="1906">
    <w:name w:val="图下题注"/>
    <w:basedOn w:val="1"/>
    <w:link w:val="1905"/>
    <w:qFormat/>
    <w:uiPriority w:val="0"/>
    <w:rPr>
      <w:rFonts w:ascii="宋体" w:hAnsi="宋体" w:eastAsia="宋体" w:cs="黑体"/>
      <w:spacing w:val="-2"/>
      <w:kern w:val="0"/>
      <w:szCs w:val="21"/>
    </w:rPr>
  </w:style>
  <w:style w:type="character" w:customStyle="1" w:styleId="1907">
    <w:name w:val="fontstyle01"/>
    <w:qFormat/>
    <w:uiPriority w:val="0"/>
    <w:rPr>
      <w:rFonts w:hint="eastAsia" w:ascii="宋体" w:hAnsi="宋体" w:eastAsia="宋体" w:cs="宋体"/>
      <w:color w:val="000000"/>
      <w:kern w:val="2"/>
      <w:sz w:val="24"/>
      <w:szCs w:val="24"/>
      <w:lang w:val="en-US" w:eastAsia="zh-CN" w:bidi="ar-SA"/>
    </w:rPr>
  </w:style>
  <w:style w:type="character" w:customStyle="1" w:styleId="1908">
    <w:name w:val="表格文字2 Char Char"/>
    <w:link w:val="764"/>
    <w:qFormat/>
    <w:locked/>
    <w:uiPriority w:val="0"/>
    <w:rPr>
      <w:rFonts w:ascii="宋体"/>
      <w:kern w:val="2"/>
      <w:sz w:val="21"/>
      <w:szCs w:val="24"/>
    </w:rPr>
  </w:style>
  <w:style w:type="character" w:customStyle="1" w:styleId="1909">
    <w:name w:val="showheadtitleleft1"/>
    <w:qFormat/>
    <w:uiPriority w:val="0"/>
    <w:rPr>
      <w:rFonts w:hint="eastAsia" w:ascii="宋体" w:hAnsi="宋体" w:eastAsia="宋体" w:cs="宋体"/>
      <w:color w:val="000000"/>
      <w:kern w:val="2"/>
      <w:sz w:val="21"/>
      <w:szCs w:val="21"/>
      <w:u w:val="none"/>
      <w:lang w:val="en-US" w:eastAsia="zh-CN" w:bidi="ar"/>
    </w:rPr>
  </w:style>
  <w:style w:type="character" w:customStyle="1" w:styleId="1910">
    <w:name w:val="正文小4黑体左 Char Char Char"/>
    <w:qFormat/>
    <w:uiPriority w:val="0"/>
    <w:rPr>
      <w:rFonts w:hint="eastAsia" w:ascii="宋体" w:hAnsi="宋体" w:eastAsia="宋体" w:cs="宋体"/>
      <w:b/>
      <w:kern w:val="2"/>
      <w:sz w:val="24"/>
      <w:szCs w:val="24"/>
      <w:lang w:val="en-US" w:eastAsia="zh-CN" w:bidi="ar-SA"/>
    </w:rPr>
  </w:style>
  <w:style w:type="character" w:customStyle="1" w:styleId="1911">
    <w:name w:val="页码1"/>
    <w:qFormat/>
    <w:uiPriority w:val="0"/>
    <w:rPr>
      <w:rFonts w:hint="eastAsia" w:ascii="宋体" w:hAnsi="宋体" w:eastAsia="宋体" w:cs="宋体"/>
      <w:kern w:val="2"/>
      <w:sz w:val="24"/>
      <w:szCs w:val="20"/>
      <w:lang w:val="en-US" w:eastAsia="zh-CN" w:bidi="ar"/>
    </w:rPr>
  </w:style>
  <w:style w:type="character" w:customStyle="1" w:styleId="1912">
    <w:name w:val="引用 Char2"/>
    <w:qFormat/>
    <w:uiPriority w:val="0"/>
    <w:rPr>
      <w:rFonts w:hint="eastAsia" w:ascii="宋体" w:hAnsi="宋体" w:eastAsia="宋体" w:cs="宋体"/>
      <w:i/>
      <w:iCs/>
      <w:color w:val="000000"/>
      <w:kern w:val="2"/>
      <w:sz w:val="21"/>
      <w:szCs w:val="21"/>
      <w:lang w:val="en-US" w:eastAsia="zh-CN" w:bidi="ar"/>
    </w:rPr>
  </w:style>
  <w:style w:type="character" w:customStyle="1" w:styleId="1913">
    <w:name w:val="样式 表头YHY + 自动设置 Char Char"/>
    <w:link w:val="1914"/>
    <w:qFormat/>
    <w:locked/>
    <w:uiPriority w:val="0"/>
    <w:rPr>
      <w:rFonts w:ascii="Calibri" w:hAnsi="Calibri" w:cs="黑体"/>
    </w:rPr>
  </w:style>
  <w:style w:type="paragraph" w:customStyle="1" w:styleId="1914">
    <w:name w:val="样式 表头YHY + 自动设置"/>
    <w:basedOn w:val="1"/>
    <w:link w:val="1913"/>
    <w:qFormat/>
    <w:uiPriority w:val="0"/>
    <w:rPr>
      <w:rFonts w:ascii="Calibri" w:hAnsi="Calibri" w:eastAsia="宋体" w:cs="黑体"/>
      <w:kern w:val="0"/>
      <w:sz w:val="20"/>
    </w:rPr>
  </w:style>
  <w:style w:type="character" w:customStyle="1" w:styleId="1915">
    <w:name w:val="unnamed31"/>
    <w:qFormat/>
    <w:uiPriority w:val="0"/>
    <w:rPr>
      <w:rFonts w:hint="eastAsia" w:ascii="宋体" w:hAnsi="宋体" w:eastAsia="宋体" w:cs="宋体"/>
      <w:color w:val="000000"/>
      <w:kern w:val="2"/>
      <w:sz w:val="20"/>
      <w:szCs w:val="20"/>
      <w:u w:val="none"/>
      <w:lang w:val="en-US" w:eastAsia="zh-CN" w:bidi="ar"/>
    </w:rPr>
  </w:style>
  <w:style w:type="character" w:customStyle="1" w:styleId="1916">
    <w:name w:val="1正文段落 Char Char"/>
    <w:qFormat/>
    <w:locked/>
    <w:uiPriority w:val="0"/>
    <w:rPr>
      <w:rFonts w:ascii="宋体" w:hAnsi="宋体" w:eastAsia="宋体" w:cs="宋体"/>
      <w:kern w:val="2"/>
      <w:sz w:val="24"/>
      <w:szCs w:val="24"/>
      <w:lang w:val="en-US" w:eastAsia="zh-CN" w:bidi="ar-SA"/>
    </w:rPr>
  </w:style>
  <w:style w:type="character" w:customStyle="1" w:styleId="1917">
    <w:name w:val="061209正文样式 Char Char"/>
    <w:link w:val="1918"/>
    <w:qFormat/>
    <w:locked/>
    <w:uiPriority w:val="0"/>
    <w:rPr>
      <w:rFonts w:ascii="宋体" w:hAnsi="宋体" w:cs="宋体"/>
      <w:bCs/>
      <w:sz w:val="28"/>
      <w:szCs w:val="28"/>
    </w:rPr>
  </w:style>
  <w:style w:type="paragraph" w:customStyle="1" w:styleId="1918">
    <w:name w:val="061209正文样式"/>
    <w:basedOn w:val="5"/>
    <w:link w:val="1917"/>
    <w:qFormat/>
    <w:uiPriority w:val="0"/>
    <w:pPr>
      <w:adjustRightInd w:val="0"/>
      <w:snapToGrid w:val="0"/>
      <w:spacing w:line="360" w:lineRule="auto"/>
      <w:ind w:firstLine="560" w:firstLineChars="200"/>
      <w:jc w:val="left"/>
    </w:pPr>
    <w:rPr>
      <w:rFonts w:ascii="宋体" w:hAnsi="宋体" w:cs="宋体"/>
      <w:bCs/>
      <w:spacing w:val="0"/>
      <w:kern w:val="0"/>
      <w:sz w:val="28"/>
      <w:szCs w:val="28"/>
    </w:rPr>
  </w:style>
  <w:style w:type="character" w:customStyle="1" w:styleId="1919">
    <w:name w:val="文档结构图 Char6"/>
    <w:qFormat/>
    <w:uiPriority w:val="0"/>
    <w:rPr>
      <w:rFonts w:hint="eastAsia" w:ascii="宋体" w:hAnsi="宋体" w:eastAsia="宋体" w:cs="宋体"/>
      <w:kern w:val="2"/>
      <w:sz w:val="18"/>
      <w:szCs w:val="18"/>
      <w:lang w:val="en-US" w:eastAsia="zh-CN" w:bidi="ar"/>
    </w:rPr>
  </w:style>
  <w:style w:type="character" w:customStyle="1" w:styleId="1920">
    <w:name w:val="123 Char Char"/>
    <w:qFormat/>
    <w:uiPriority w:val="0"/>
    <w:rPr>
      <w:rFonts w:hint="eastAsia" w:ascii="宋体" w:hAnsi="宋体" w:eastAsia="宋体" w:cs="宋体"/>
      <w:color w:val="000000"/>
      <w:kern w:val="2"/>
      <w:sz w:val="24"/>
      <w:szCs w:val="24"/>
      <w:lang w:val="en-US" w:eastAsia="zh-CN" w:bidi="ar-SA"/>
    </w:rPr>
  </w:style>
  <w:style w:type="character" w:customStyle="1" w:styleId="1921">
    <w:name w:val="H9 Char3"/>
    <w:qFormat/>
    <w:uiPriority w:val="0"/>
    <w:rPr>
      <w:rFonts w:hint="default" w:ascii="Arial" w:hAnsi="Arial" w:eastAsia="黑体" w:cs="宋体"/>
      <w:kern w:val="2"/>
      <w:sz w:val="21"/>
      <w:szCs w:val="21"/>
      <w:lang w:val="en-US" w:eastAsia="zh-CN" w:bidi="ar-SA"/>
    </w:rPr>
  </w:style>
  <w:style w:type="character" w:customStyle="1" w:styleId="1922">
    <w:name w:val="Char Char252"/>
    <w:qFormat/>
    <w:uiPriority w:val="0"/>
    <w:rPr>
      <w:rFonts w:ascii="Arial" w:hAnsi="Arial" w:eastAsia="黑体"/>
      <w:kern w:val="2"/>
      <w:sz w:val="21"/>
      <w:szCs w:val="21"/>
      <w:lang w:val="en-US" w:eastAsia="zh-CN" w:bidi="ar-SA"/>
    </w:rPr>
  </w:style>
  <w:style w:type="character" w:customStyle="1" w:styleId="1923">
    <w:name w:val="文本框 Char Char"/>
    <w:link w:val="1924"/>
    <w:qFormat/>
    <w:locked/>
    <w:uiPriority w:val="0"/>
    <w:rPr>
      <w:rFonts w:ascii="宋体" w:hAnsi="宋体" w:cs="宋体"/>
      <w:szCs w:val="21"/>
    </w:rPr>
  </w:style>
  <w:style w:type="paragraph" w:customStyle="1" w:styleId="1924">
    <w:name w:val="文本框"/>
    <w:basedOn w:val="1"/>
    <w:link w:val="1923"/>
    <w:qFormat/>
    <w:uiPriority w:val="0"/>
    <w:pPr>
      <w:spacing w:line="360" w:lineRule="atLeast"/>
      <w:jc w:val="center"/>
    </w:pPr>
    <w:rPr>
      <w:rFonts w:ascii="宋体" w:hAnsi="宋体" w:eastAsia="宋体" w:cs="宋体"/>
      <w:kern w:val="0"/>
      <w:sz w:val="20"/>
      <w:szCs w:val="21"/>
    </w:rPr>
  </w:style>
  <w:style w:type="character" w:customStyle="1" w:styleId="1925">
    <w:name w:val="正文2 Char"/>
    <w:link w:val="1102"/>
    <w:qFormat/>
    <w:locked/>
    <w:uiPriority w:val="0"/>
    <w:rPr>
      <w:kern w:val="2"/>
      <w:sz w:val="24"/>
    </w:rPr>
  </w:style>
  <w:style w:type="character" w:customStyle="1" w:styleId="1926">
    <w:name w:val="正文文字 2 Char Char3"/>
    <w:qFormat/>
    <w:uiPriority w:val="0"/>
    <w:rPr>
      <w:rFonts w:hint="eastAsia" w:ascii="宋体" w:hAnsi="宋体" w:eastAsia="宋体" w:cs="宋体"/>
      <w:spacing w:val="-10"/>
      <w:kern w:val="2"/>
      <w:sz w:val="21"/>
      <w:szCs w:val="24"/>
      <w:lang w:val="en-US" w:eastAsia="zh-CN" w:bidi="ar-SA"/>
    </w:rPr>
  </w:style>
  <w:style w:type="character" w:customStyle="1" w:styleId="1927">
    <w:name w:val="样式 标题 1标题 11一、 + 黑体 小三 Char Char"/>
    <w:link w:val="1928"/>
    <w:qFormat/>
    <w:locked/>
    <w:uiPriority w:val="0"/>
    <w:rPr>
      <w:rFonts w:ascii="黑体" w:hAnsi="黑体" w:eastAsia="黑体" w:cs="Arial"/>
      <w:b/>
      <w:kern w:val="44"/>
      <w:sz w:val="30"/>
      <w:szCs w:val="30"/>
    </w:rPr>
  </w:style>
  <w:style w:type="paragraph" w:customStyle="1" w:styleId="1928">
    <w:name w:val="样式 标题 1标题 11一、 + 黑体 小三"/>
    <w:basedOn w:val="3"/>
    <w:link w:val="1927"/>
    <w:qFormat/>
    <w:uiPriority w:val="0"/>
    <w:pPr>
      <w:pageBreakBefore w:val="0"/>
      <w:tabs>
        <w:tab w:val="clear" w:pos="1080"/>
      </w:tabs>
      <w:spacing w:before="0" w:beforeLines="50" w:after="50" w:line="360" w:lineRule="auto"/>
      <w:ind w:left="0" w:firstLine="0"/>
    </w:pPr>
    <w:rPr>
      <w:rFonts w:ascii="黑体" w:hAnsi="黑体" w:eastAsia="黑体" w:cs="Arial"/>
      <w:sz w:val="30"/>
      <w:szCs w:val="30"/>
    </w:rPr>
  </w:style>
  <w:style w:type="character" w:customStyle="1" w:styleId="1929">
    <w:name w:val="style221"/>
    <w:qFormat/>
    <w:uiPriority w:val="0"/>
    <w:rPr>
      <w:rFonts w:hint="eastAsia" w:ascii="宋体" w:hAnsi="宋体" w:eastAsia="宋体" w:cs="宋体"/>
      <w:kern w:val="2"/>
      <w:sz w:val="36"/>
      <w:szCs w:val="24"/>
      <w:lang w:val="en-US" w:eastAsia="zh-CN" w:bidi="ar"/>
    </w:rPr>
  </w:style>
  <w:style w:type="character" w:customStyle="1" w:styleId="1930">
    <w:name w:val="正文（首行缩近两字） Char Char"/>
    <w:link w:val="1931"/>
    <w:qFormat/>
    <w:locked/>
    <w:uiPriority w:val="0"/>
    <w:rPr>
      <w:rFonts w:ascii="宋体" w:hAnsi="宋体" w:cs="宋体"/>
      <w:szCs w:val="24"/>
    </w:rPr>
  </w:style>
  <w:style w:type="paragraph" w:customStyle="1" w:styleId="1931">
    <w:name w:val="正文（首行缩近两字）"/>
    <w:basedOn w:val="1"/>
    <w:next w:val="1"/>
    <w:link w:val="1930"/>
    <w:qFormat/>
    <w:uiPriority w:val="0"/>
    <w:pPr>
      <w:ind w:firstLine="420" w:firstLineChars="200"/>
    </w:pPr>
    <w:rPr>
      <w:rFonts w:ascii="宋体" w:hAnsi="宋体" w:eastAsia="宋体" w:cs="宋体"/>
      <w:kern w:val="0"/>
      <w:sz w:val="20"/>
      <w:szCs w:val="24"/>
    </w:rPr>
  </w:style>
  <w:style w:type="character" w:customStyle="1" w:styleId="1932">
    <w:name w:val="表格new Char Char"/>
    <w:link w:val="1933"/>
    <w:qFormat/>
    <w:locked/>
    <w:uiPriority w:val="0"/>
    <w:rPr>
      <w:rFonts w:ascii="宋体" w:hAnsi="宋体" w:cs="宋体"/>
      <w:szCs w:val="21"/>
    </w:rPr>
  </w:style>
  <w:style w:type="paragraph" w:customStyle="1" w:styleId="1933">
    <w:name w:val="表格new"/>
    <w:basedOn w:val="1"/>
    <w:next w:val="1"/>
    <w:link w:val="1932"/>
    <w:qFormat/>
    <w:uiPriority w:val="0"/>
    <w:pPr>
      <w:jc w:val="center"/>
    </w:pPr>
    <w:rPr>
      <w:rFonts w:ascii="宋体" w:hAnsi="宋体" w:eastAsia="宋体" w:cs="宋体"/>
      <w:kern w:val="0"/>
      <w:sz w:val="20"/>
      <w:szCs w:val="21"/>
    </w:rPr>
  </w:style>
  <w:style w:type="character" w:customStyle="1" w:styleId="1934">
    <w:name w:val="Normal Char Char"/>
    <w:qFormat/>
    <w:locked/>
    <w:uiPriority w:val="0"/>
    <w:rPr>
      <w:rFonts w:ascii="宋体" w:hAnsi="宋体" w:eastAsia="宋体"/>
      <w:kern w:val="2"/>
      <w:sz w:val="34"/>
      <w:szCs w:val="24"/>
      <w:lang w:val="en-US" w:eastAsia="zh-CN" w:bidi="ar-SA"/>
    </w:rPr>
  </w:style>
  <w:style w:type="character" w:customStyle="1" w:styleId="1935">
    <w:name w:val="dxj标题2 Char"/>
    <w:link w:val="1936"/>
    <w:qFormat/>
    <w:uiPriority w:val="0"/>
    <w:rPr>
      <w:rFonts w:ascii="宋体" w:hAnsi="宋体" w:eastAsia="黑体" w:cs="宋体"/>
      <w:bCs/>
      <w:sz w:val="28"/>
      <w:szCs w:val="32"/>
    </w:rPr>
  </w:style>
  <w:style w:type="paragraph" w:customStyle="1" w:styleId="1936">
    <w:name w:val="dxj标题2"/>
    <w:basedOn w:val="4"/>
    <w:link w:val="1935"/>
    <w:qFormat/>
    <w:uiPriority w:val="0"/>
    <w:pPr>
      <w:spacing w:before="0" w:after="0" w:line="360" w:lineRule="auto"/>
      <w:ind w:left="0" w:firstLine="0"/>
      <w:jc w:val="left"/>
    </w:pPr>
    <w:rPr>
      <w:rFonts w:ascii="宋体" w:hAnsi="宋体" w:cs="宋体"/>
      <w:bCs/>
      <w:kern w:val="0"/>
      <w:szCs w:val="32"/>
    </w:rPr>
  </w:style>
  <w:style w:type="character" w:customStyle="1" w:styleId="1937">
    <w:name w:val="cucd-0 Char Char"/>
    <w:link w:val="1887"/>
    <w:qFormat/>
    <w:locked/>
    <w:uiPriority w:val="0"/>
    <w:rPr>
      <w:rFonts w:ascii="宋体" w:hAnsi="宋体" w:cs="宋体"/>
      <w:sz w:val="24"/>
      <w:szCs w:val="24"/>
    </w:rPr>
  </w:style>
  <w:style w:type="character" w:customStyle="1" w:styleId="1938">
    <w:name w:val="【标题4】 Char Char"/>
    <w:link w:val="1939"/>
    <w:qFormat/>
    <w:locked/>
    <w:uiPriority w:val="0"/>
    <w:rPr>
      <w:rFonts w:ascii="宋体" w:hAnsi="宋体" w:cs="宋体"/>
      <w:b/>
      <w:bCs/>
      <w:sz w:val="24"/>
      <w:szCs w:val="24"/>
    </w:rPr>
  </w:style>
  <w:style w:type="paragraph" w:customStyle="1" w:styleId="1939">
    <w:name w:val="【标题4】"/>
    <w:basedOn w:val="1"/>
    <w:link w:val="1938"/>
    <w:qFormat/>
    <w:uiPriority w:val="0"/>
    <w:pPr>
      <w:keepLines/>
      <w:spacing w:before="120" w:after="120"/>
      <w:jc w:val="left"/>
      <w:outlineLvl w:val="3"/>
    </w:pPr>
    <w:rPr>
      <w:rFonts w:ascii="宋体" w:hAnsi="宋体" w:eastAsia="宋体" w:cs="宋体"/>
      <w:b/>
      <w:bCs/>
      <w:kern w:val="0"/>
      <w:sz w:val="24"/>
      <w:szCs w:val="24"/>
    </w:rPr>
  </w:style>
  <w:style w:type="character" w:customStyle="1" w:styleId="1940">
    <w:name w:val="正文小四 Char Char Char"/>
    <w:qFormat/>
    <w:uiPriority w:val="0"/>
    <w:rPr>
      <w:rFonts w:hint="eastAsia" w:ascii="宋体" w:hAnsi="宋体" w:eastAsia="宋体" w:cs="宋体"/>
      <w:kern w:val="2"/>
      <w:sz w:val="24"/>
      <w:szCs w:val="24"/>
      <w:lang w:val="en-US" w:eastAsia="zh-CN" w:bidi="ar-SA"/>
    </w:rPr>
  </w:style>
  <w:style w:type="character" w:customStyle="1" w:styleId="1941">
    <w:name w:val="Char Char15"/>
    <w:link w:val="1942"/>
    <w:qFormat/>
    <w:locked/>
    <w:uiPriority w:val="0"/>
    <w:rPr>
      <w:rFonts w:ascii="宋体" w:hAnsi="宋体" w:cs="宋体"/>
      <w:b/>
      <w:i/>
      <w:kern w:val="28"/>
      <w:sz w:val="18"/>
      <w:szCs w:val="24"/>
    </w:rPr>
  </w:style>
  <w:style w:type="paragraph" w:customStyle="1" w:styleId="1942">
    <w:name w:val="正文文本11"/>
    <w:basedOn w:val="1"/>
    <w:link w:val="1941"/>
    <w:qFormat/>
    <w:uiPriority w:val="0"/>
    <w:pPr>
      <w:spacing w:line="240" w:lineRule="atLeast"/>
      <w:jc w:val="center"/>
    </w:pPr>
    <w:rPr>
      <w:rFonts w:ascii="宋体" w:hAnsi="宋体" w:eastAsia="宋体" w:cs="宋体"/>
      <w:b/>
      <w:i/>
      <w:kern w:val="28"/>
      <w:sz w:val="18"/>
      <w:szCs w:val="24"/>
    </w:rPr>
  </w:style>
  <w:style w:type="character" w:customStyle="1" w:styleId="1943">
    <w:name w:val="样式 标题 3标题 13 + (中文) 宋体 小四 行距: 1.5 倍行距 Char Char"/>
    <w:qFormat/>
    <w:uiPriority w:val="0"/>
    <w:rPr>
      <w:rFonts w:hint="eastAsia" w:ascii="宋体" w:hAnsi="宋体" w:eastAsia="宋体" w:cs="宋体"/>
      <w:b/>
      <w:bCs/>
      <w:kern w:val="2"/>
      <w:sz w:val="24"/>
      <w:szCs w:val="32"/>
      <w:lang w:val="en-US" w:eastAsia="zh-CN" w:bidi="ar-SA"/>
    </w:rPr>
  </w:style>
  <w:style w:type="character" w:customStyle="1" w:styleId="1944">
    <w:name w:val="Char Char191"/>
    <w:qFormat/>
    <w:locked/>
    <w:uiPriority w:val="0"/>
    <w:rPr>
      <w:rFonts w:ascii="宋体" w:hAnsi="宋体" w:eastAsia="宋体" w:cs="宋体"/>
      <w:b/>
      <w:bCs/>
      <w:kern w:val="2"/>
      <w:sz w:val="21"/>
      <w:szCs w:val="24"/>
      <w:lang w:val="en-US" w:eastAsia="zh-CN" w:bidi="ar-SA"/>
    </w:rPr>
  </w:style>
  <w:style w:type="character" w:customStyle="1" w:styleId="1945">
    <w:name w:val="副标题 Char1"/>
    <w:qFormat/>
    <w:uiPriority w:val="0"/>
    <w:rPr>
      <w:rFonts w:hint="default" w:ascii="Cambria" w:hAnsi="Cambria" w:eastAsia="宋体" w:cs="Times New Roman"/>
      <w:b/>
      <w:bCs/>
      <w:kern w:val="28"/>
      <w:sz w:val="32"/>
      <w:szCs w:val="32"/>
      <w:lang w:val="en-US" w:eastAsia="zh-CN" w:bidi="ar"/>
    </w:rPr>
  </w:style>
  <w:style w:type="character" w:customStyle="1" w:styleId="1946">
    <w:name w:val="Char Char114"/>
    <w:qFormat/>
    <w:locked/>
    <w:uiPriority w:val="0"/>
    <w:rPr>
      <w:rFonts w:ascii="Arial" w:hAnsi="Arial" w:eastAsia="宋体" w:cs="Arial"/>
      <w:vanish/>
      <w:kern w:val="2"/>
      <w:sz w:val="16"/>
      <w:szCs w:val="16"/>
      <w:lang w:val="en-US" w:eastAsia="zh-CN" w:bidi="ar-SA"/>
    </w:rPr>
  </w:style>
  <w:style w:type="character" w:customStyle="1" w:styleId="1947">
    <w:name w:val="HTML 地址 字符"/>
    <w:qFormat/>
    <w:uiPriority w:val="0"/>
    <w:rPr>
      <w:i/>
      <w:iCs/>
      <w:color w:val="000000"/>
      <w:sz w:val="24"/>
      <w:szCs w:val="24"/>
      <w:lang w:bidi="ar-SA"/>
    </w:rPr>
  </w:style>
  <w:style w:type="character" w:customStyle="1" w:styleId="1948">
    <w:name w:val="正文首行缩进 2 Char2"/>
    <w:qFormat/>
    <w:uiPriority w:val="0"/>
    <w:rPr>
      <w:rFonts w:hint="eastAsia" w:ascii="宋体" w:hAnsi="宋体" w:eastAsia="宋体" w:cs="宋体"/>
      <w:kern w:val="2"/>
      <w:sz w:val="21"/>
      <w:szCs w:val="24"/>
      <w:lang w:val="en-US" w:eastAsia="zh-CN" w:bidi="ar"/>
    </w:rPr>
  </w:style>
  <w:style w:type="character" w:customStyle="1" w:styleId="1949">
    <w:name w:val="标题 8 字符1"/>
    <w:qFormat/>
    <w:uiPriority w:val="0"/>
    <w:rPr>
      <w:rFonts w:hint="eastAsia" w:ascii="宋体" w:hAnsi="宋体" w:eastAsia="宋体"/>
      <w:b/>
      <w:i/>
      <w:spacing w:val="-2"/>
      <w:kern w:val="28"/>
      <w:sz w:val="18"/>
      <w:lang w:val="en-US" w:eastAsia="zh-CN" w:bidi="ar-SA"/>
    </w:rPr>
  </w:style>
  <w:style w:type="character" w:customStyle="1" w:styleId="1950">
    <w:name w:val="表 Char Char Char"/>
    <w:qFormat/>
    <w:uiPriority w:val="0"/>
    <w:rPr>
      <w:rFonts w:hint="eastAsia" w:ascii="宋体" w:hAnsi="宋体" w:eastAsia="宋体"/>
      <w:spacing w:val="2"/>
      <w:kern w:val="2"/>
      <w:sz w:val="21"/>
      <w:lang w:val="en-US" w:eastAsia="zh-CN" w:bidi="ar-SA"/>
    </w:rPr>
  </w:style>
  <w:style w:type="character" w:customStyle="1" w:styleId="1951">
    <w:name w:val="副标题 Char"/>
    <w:link w:val="65"/>
    <w:qFormat/>
    <w:uiPriority w:val="0"/>
    <w:rPr>
      <w:rFonts w:ascii="Cambria" w:hAnsi="Cambria" w:eastAsia="黑体"/>
      <w:bCs/>
      <w:kern w:val="28"/>
      <w:sz w:val="24"/>
      <w:szCs w:val="32"/>
    </w:rPr>
  </w:style>
  <w:style w:type="character" w:customStyle="1" w:styleId="1952">
    <w:name w:val="注释标题 字符1"/>
    <w:qFormat/>
    <w:uiPriority w:val="99"/>
    <w:rPr>
      <w:rFonts w:hint="eastAsia" w:ascii="宋体" w:hAnsi="宋体" w:eastAsia="宋体"/>
      <w:kern w:val="2"/>
      <w:sz w:val="21"/>
      <w:lang w:bidi="ar-SA"/>
    </w:rPr>
  </w:style>
  <w:style w:type="character" w:customStyle="1" w:styleId="1953">
    <w:name w:val="HTML 地址 Char1"/>
    <w:qFormat/>
    <w:uiPriority w:val="0"/>
    <w:rPr>
      <w:rFonts w:hint="eastAsia" w:ascii="宋体" w:hAnsi="宋体" w:eastAsia="宋体" w:cs="宋体"/>
      <w:i/>
      <w:iCs/>
      <w:kern w:val="2"/>
      <w:sz w:val="28"/>
      <w:szCs w:val="24"/>
      <w:lang w:val="en-US" w:eastAsia="zh-CN" w:bidi="ar"/>
    </w:rPr>
  </w:style>
  <w:style w:type="character" w:customStyle="1" w:styleId="1954">
    <w:name w:val="text_edit editable-title"/>
    <w:qFormat/>
    <w:uiPriority w:val="0"/>
    <w:rPr>
      <w:rFonts w:hint="eastAsia" w:ascii="宋体" w:hAnsi="宋体" w:eastAsia="宋体" w:cs="宋体"/>
      <w:kern w:val="2"/>
      <w:sz w:val="24"/>
      <w:szCs w:val="20"/>
      <w:lang w:val="en-US" w:eastAsia="zh-CN" w:bidi="ar"/>
    </w:rPr>
  </w:style>
  <w:style w:type="character" w:customStyle="1" w:styleId="1955">
    <w:name w:val="目录 3 字符"/>
    <w:qFormat/>
    <w:uiPriority w:val="0"/>
    <w:rPr>
      <w:i/>
      <w:iCs/>
      <w:kern w:val="2"/>
      <w:lang w:bidi="ar-SA"/>
    </w:rPr>
  </w:style>
  <w:style w:type="character" w:customStyle="1" w:styleId="1956">
    <w:name w:val="dxj表头 Char Char"/>
    <w:qFormat/>
    <w:locked/>
    <w:uiPriority w:val="0"/>
    <w:rPr>
      <w:rFonts w:ascii="宋体" w:hAnsi="宋体" w:eastAsia="黑体" w:cs="宋体"/>
      <w:kern w:val="2"/>
      <w:sz w:val="21"/>
      <w:szCs w:val="21"/>
      <w:lang w:val="en-US" w:eastAsia="zh-CN" w:bidi="ar-SA"/>
    </w:rPr>
  </w:style>
  <w:style w:type="character" w:customStyle="1" w:styleId="1957">
    <w:name w:val="info3"/>
    <w:qFormat/>
    <w:uiPriority w:val="0"/>
    <w:rPr>
      <w:rFonts w:hint="eastAsia" w:ascii="宋体" w:hAnsi="宋体" w:eastAsia="宋体" w:cs="宋体"/>
      <w:kern w:val="2"/>
      <w:sz w:val="28"/>
      <w:szCs w:val="24"/>
      <w:lang w:val="en-US" w:eastAsia="zh-CN" w:bidi="ar"/>
    </w:rPr>
  </w:style>
  <w:style w:type="character" w:customStyle="1" w:styleId="1958">
    <w:name w:val="正文-1 Char Char Char"/>
    <w:qFormat/>
    <w:uiPriority w:val="0"/>
    <w:rPr>
      <w:rFonts w:hint="eastAsia" w:ascii="宋体" w:hAnsi="宋体" w:eastAsia="宋体" w:cs="宋体"/>
      <w:spacing w:val="4"/>
      <w:kern w:val="18"/>
      <w:sz w:val="24"/>
      <w:szCs w:val="30"/>
      <w:lang w:val="en-US" w:eastAsia="zh-CN" w:bidi="ar-SA"/>
    </w:rPr>
  </w:style>
  <w:style w:type="character" w:customStyle="1" w:styleId="1959">
    <w:name w:val="样式8 Char"/>
    <w:qFormat/>
    <w:locked/>
    <w:uiPriority w:val="0"/>
    <w:rPr>
      <w:rFonts w:hint="eastAsia" w:ascii="黑体" w:hAnsi="Arial" w:eastAsia="黑体"/>
      <w:b/>
      <w:color w:val="000000"/>
      <w:kern w:val="2"/>
      <w:sz w:val="28"/>
      <w:lang w:val="en-US" w:eastAsia="zh-CN" w:bidi="ar-SA"/>
    </w:rPr>
  </w:style>
  <w:style w:type="character" w:customStyle="1" w:styleId="1960">
    <w:name w:val="首行缩进2字符 Char Char"/>
    <w:link w:val="1961"/>
    <w:qFormat/>
    <w:locked/>
    <w:uiPriority w:val="0"/>
    <w:rPr>
      <w:rFonts w:ascii="宋体" w:hAnsi="宋体" w:cs="宋体"/>
      <w:sz w:val="24"/>
      <w:szCs w:val="24"/>
    </w:rPr>
  </w:style>
  <w:style w:type="paragraph" w:customStyle="1" w:styleId="1961">
    <w:name w:val="首行缩进2字符"/>
    <w:basedOn w:val="1"/>
    <w:link w:val="1960"/>
    <w:qFormat/>
    <w:uiPriority w:val="0"/>
    <w:pPr>
      <w:widowControl/>
      <w:ind w:firstLine="200" w:firstLineChars="200"/>
      <w:jc w:val="left"/>
    </w:pPr>
    <w:rPr>
      <w:rFonts w:ascii="宋体" w:hAnsi="宋体" w:eastAsia="宋体" w:cs="宋体"/>
      <w:kern w:val="0"/>
      <w:sz w:val="24"/>
      <w:szCs w:val="24"/>
    </w:rPr>
  </w:style>
  <w:style w:type="character" w:customStyle="1" w:styleId="1962">
    <w:name w:val="表格下方正文 Char Char"/>
    <w:link w:val="1315"/>
    <w:qFormat/>
    <w:locked/>
    <w:uiPriority w:val="0"/>
    <w:rPr>
      <w:kern w:val="2"/>
      <w:sz w:val="24"/>
      <w:szCs w:val="24"/>
    </w:rPr>
  </w:style>
  <w:style w:type="character" w:customStyle="1" w:styleId="1963">
    <w:name w:val="样式44 Char Char"/>
    <w:link w:val="1964"/>
    <w:qFormat/>
    <w:locked/>
    <w:uiPriority w:val="0"/>
    <w:rPr>
      <w:rFonts w:ascii="黑体" w:hAnsi="宋体" w:eastAsia="黑体" w:cs="宋体"/>
      <w:b/>
      <w:bCs/>
      <w:sz w:val="28"/>
      <w:szCs w:val="28"/>
    </w:rPr>
  </w:style>
  <w:style w:type="paragraph" w:customStyle="1" w:styleId="1964">
    <w:name w:val="样式44"/>
    <w:basedOn w:val="1"/>
    <w:link w:val="1963"/>
    <w:qFormat/>
    <w:uiPriority w:val="0"/>
    <w:pPr>
      <w:keepNext/>
      <w:keepLines/>
      <w:spacing w:beforeLines="50" w:line="360" w:lineRule="auto"/>
      <w:outlineLvl w:val="1"/>
    </w:pPr>
    <w:rPr>
      <w:rFonts w:ascii="黑体" w:hAnsi="宋体" w:eastAsia="黑体" w:cs="宋体"/>
      <w:b/>
      <w:bCs/>
      <w:kern w:val="0"/>
      <w:szCs w:val="28"/>
    </w:rPr>
  </w:style>
  <w:style w:type="character" w:customStyle="1" w:styleId="1965">
    <w:name w:val="4正文 Char Char"/>
    <w:link w:val="1966"/>
    <w:qFormat/>
    <w:locked/>
    <w:uiPriority w:val="0"/>
    <w:rPr>
      <w:rFonts w:ascii="宋体" w:hAnsi="宋体" w:cs="宋体"/>
      <w:sz w:val="28"/>
      <w:szCs w:val="24"/>
      <w:lang w:val="zh-CN"/>
    </w:rPr>
  </w:style>
  <w:style w:type="paragraph" w:customStyle="1" w:styleId="1966">
    <w:name w:val="4正文"/>
    <w:basedOn w:val="1"/>
    <w:link w:val="1965"/>
    <w:qFormat/>
    <w:uiPriority w:val="0"/>
    <w:pPr>
      <w:spacing w:beforeLines="50" w:line="360" w:lineRule="auto"/>
      <w:ind w:firstLine="560" w:firstLineChars="200"/>
    </w:pPr>
    <w:rPr>
      <w:rFonts w:ascii="宋体" w:hAnsi="宋体" w:eastAsia="宋体" w:cs="宋体"/>
      <w:kern w:val="0"/>
      <w:szCs w:val="24"/>
      <w:lang w:val="zh-CN"/>
    </w:rPr>
  </w:style>
  <w:style w:type="character" w:customStyle="1" w:styleId="1967">
    <w:name w:val="标题 6 字符1"/>
    <w:qFormat/>
    <w:uiPriority w:val="0"/>
    <w:rPr>
      <w:rFonts w:hint="default" w:ascii="Arial" w:hAnsi="Arial" w:eastAsia="宋体" w:cs="Arial"/>
      <w:b/>
      <w:i/>
      <w:spacing w:val="-2"/>
      <w:kern w:val="28"/>
      <w:sz w:val="18"/>
      <w:lang w:val="en-US" w:eastAsia="zh-CN" w:bidi="ar-SA"/>
    </w:rPr>
  </w:style>
  <w:style w:type="character" w:customStyle="1" w:styleId="1968">
    <w:name w:val="1-正文 Char Char Char"/>
    <w:qFormat/>
    <w:uiPriority w:val="0"/>
    <w:rPr>
      <w:rFonts w:hint="eastAsia" w:ascii="宋体" w:hAnsi="宋体" w:eastAsia="宋体" w:cs="宋体"/>
      <w:kern w:val="2"/>
      <w:sz w:val="24"/>
      <w:szCs w:val="24"/>
      <w:lang w:val="en-US" w:eastAsia="zh-CN" w:bidi="ar-SA"/>
    </w:rPr>
  </w:style>
  <w:style w:type="character" w:customStyle="1" w:styleId="1969">
    <w:name w:val="日期 Char1"/>
    <w:qFormat/>
    <w:uiPriority w:val="0"/>
    <w:rPr>
      <w:rFonts w:ascii="宋体" w:hAnsi="宋体" w:eastAsia="Arial" w:cs="宋体"/>
      <w:kern w:val="28"/>
      <w:sz w:val="32"/>
      <w:szCs w:val="32"/>
      <w:lang w:val="en-US" w:eastAsia="zh-CN" w:bidi="ar-SA"/>
    </w:rPr>
  </w:style>
  <w:style w:type="character" w:customStyle="1" w:styleId="1970">
    <w:name w:val="标题 字符"/>
    <w:qFormat/>
    <w:uiPriority w:val="0"/>
    <w:rPr>
      <w:rFonts w:hint="default" w:ascii="Arial" w:hAnsi="Arial" w:eastAsia="宋体" w:cs="宋体"/>
      <w:b/>
      <w:kern w:val="2"/>
      <w:sz w:val="32"/>
      <w:szCs w:val="24"/>
      <w:lang w:val="en-US" w:eastAsia="zh-CN" w:bidi="ar"/>
    </w:rPr>
  </w:style>
  <w:style w:type="character" w:customStyle="1" w:styleId="1971">
    <w:name w:val="正文 + 首行缩进:  2 字符 Char Char Char"/>
    <w:qFormat/>
    <w:locked/>
    <w:uiPriority w:val="0"/>
    <w:rPr>
      <w:rFonts w:ascii="宋体" w:hAnsi="宋体" w:eastAsia="宋体" w:cs="宋体"/>
      <w:spacing w:val="12"/>
      <w:sz w:val="24"/>
      <w:szCs w:val="24"/>
    </w:rPr>
  </w:style>
  <w:style w:type="character" w:customStyle="1" w:styleId="1972">
    <w:name w:val="Char Char201"/>
    <w:qFormat/>
    <w:uiPriority w:val="0"/>
    <w:rPr>
      <w:rFonts w:hint="eastAsia" w:ascii="仿宋" w:hAnsi="仿宋" w:eastAsia="宋体" w:cs="宋体"/>
      <w:bCs/>
      <w:kern w:val="2"/>
      <w:sz w:val="28"/>
      <w:szCs w:val="28"/>
      <w:lang w:val="zh-CN" w:eastAsia="zh-CN" w:bidi="ar-SA"/>
    </w:rPr>
  </w:style>
  <w:style w:type="character" w:customStyle="1" w:styleId="1973">
    <w:name w:val="正文文字 2 Char3"/>
    <w:qFormat/>
    <w:uiPriority w:val="0"/>
    <w:rPr>
      <w:rFonts w:ascii="Arial" w:hAnsi="Arial" w:eastAsia="宋体" w:cs="Arial"/>
      <w:kern w:val="2"/>
      <w:sz w:val="21"/>
      <w:lang w:val="en-US" w:eastAsia="zh-CN" w:bidi="ar-SA"/>
    </w:rPr>
  </w:style>
  <w:style w:type="character" w:customStyle="1" w:styleId="1974">
    <w:name w:val="样式40 Char Char Char"/>
    <w:qFormat/>
    <w:uiPriority w:val="0"/>
    <w:rPr>
      <w:rFonts w:hint="eastAsia" w:ascii="宋体" w:hAnsi="宋体" w:eastAsia="宋体" w:cs="宋体"/>
      <w:color w:val="000000"/>
      <w:kern w:val="2"/>
      <w:sz w:val="24"/>
      <w:szCs w:val="24"/>
      <w:lang w:val="en-US" w:eastAsia="zh-CN" w:bidi="ar-SA"/>
    </w:rPr>
  </w:style>
  <w:style w:type="character" w:customStyle="1" w:styleId="1975">
    <w:name w:val="样式 题注 Char + 黑体 小四"/>
    <w:qFormat/>
    <w:uiPriority w:val="0"/>
    <w:rPr>
      <w:rFonts w:hint="eastAsia" w:ascii="黑体" w:hAnsi="宋体" w:eastAsia="黑体" w:cs="Arial"/>
      <w:kern w:val="2"/>
      <w:sz w:val="24"/>
      <w:szCs w:val="24"/>
      <w:lang w:val="en-US" w:eastAsia="zh-CN" w:bidi="ar-SA"/>
    </w:rPr>
  </w:style>
  <w:style w:type="character" w:customStyle="1" w:styleId="1976">
    <w:name w:val="标题55 Char Char"/>
    <w:qFormat/>
    <w:uiPriority w:val="0"/>
    <w:rPr>
      <w:rFonts w:hint="eastAsia" w:ascii="宋体" w:hAnsi="宋体" w:eastAsia="宋体" w:cs="宋体"/>
      <w:b/>
      <w:bCs/>
      <w:kern w:val="2"/>
      <w:sz w:val="28"/>
      <w:szCs w:val="28"/>
      <w:lang w:val="en-US" w:eastAsia="zh-CN" w:bidi="ar"/>
    </w:rPr>
  </w:style>
  <w:style w:type="character" w:customStyle="1" w:styleId="1977">
    <w:name w:val="自动3 Char Char"/>
    <w:link w:val="1978"/>
    <w:qFormat/>
    <w:locked/>
    <w:uiPriority w:val="0"/>
    <w:rPr>
      <w:rFonts w:ascii="宋体" w:hAnsi="宋体" w:cs="宋体"/>
      <w:b/>
      <w:color w:val="000000"/>
      <w:sz w:val="24"/>
      <w:szCs w:val="24"/>
    </w:rPr>
  </w:style>
  <w:style w:type="paragraph" w:customStyle="1" w:styleId="1978">
    <w:name w:val="自动3"/>
    <w:basedOn w:val="1"/>
    <w:link w:val="1977"/>
    <w:qFormat/>
    <w:uiPriority w:val="0"/>
    <w:pPr>
      <w:keepNext/>
      <w:keepLines/>
      <w:tabs>
        <w:tab w:val="left" w:pos="1080"/>
        <w:tab w:val="left" w:pos="1260"/>
      </w:tabs>
      <w:spacing w:beforeLines="50" w:line="360" w:lineRule="auto"/>
      <w:ind w:left="709" w:hanging="709"/>
      <w:outlineLvl w:val="2"/>
    </w:pPr>
    <w:rPr>
      <w:rFonts w:ascii="宋体" w:hAnsi="宋体" w:eastAsia="宋体" w:cs="宋体"/>
      <w:b/>
      <w:color w:val="000000"/>
      <w:kern w:val="0"/>
      <w:sz w:val="24"/>
      <w:szCs w:val="24"/>
    </w:rPr>
  </w:style>
  <w:style w:type="character" w:customStyle="1" w:styleId="1979">
    <w:name w:val="信息标题 Char2"/>
    <w:qFormat/>
    <w:uiPriority w:val="0"/>
    <w:rPr>
      <w:rFonts w:hint="default" w:ascii="Cambria" w:hAnsi="Cambria" w:eastAsia="宋体" w:cs="黑体"/>
      <w:kern w:val="2"/>
      <w:sz w:val="24"/>
      <w:szCs w:val="24"/>
      <w:shd w:val="pct20" w:color="auto" w:fill="auto"/>
      <w:lang w:val="en-US" w:eastAsia="zh-CN" w:bidi="ar-SA"/>
    </w:rPr>
  </w:style>
  <w:style w:type="character" w:customStyle="1" w:styleId="1980">
    <w:name w:val="232321"/>
    <w:qFormat/>
    <w:uiPriority w:val="0"/>
    <w:rPr>
      <w:rFonts w:hint="eastAsia" w:ascii="宋体" w:hAnsi="宋体" w:eastAsia="宋体" w:cs="宋体"/>
      <w:kern w:val="2"/>
      <w:sz w:val="28"/>
      <w:szCs w:val="24"/>
      <w:lang w:val="en-US" w:eastAsia="zh-CN" w:bidi="ar"/>
    </w:rPr>
  </w:style>
  <w:style w:type="character" w:customStyle="1" w:styleId="1981">
    <w:name w:val="样式 三江正文 + 左侧:  2 字符 Char Char"/>
    <w:link w:val="1982"/>
    <w:qFormat/>
    <w:locked/>
    <w:uiPriority w:val="0"/>
    <w:rPr>
      <w:rFonts w:ascii="宋体" w:hAnsi="宋体" w:cs="宋体"/>
      <w:sz w:val="24"/>
      <w:szCs w:val="24"/>
    </w:rPr>
  </w:style>
  <w:style w:type="paragraph" w:customStyle="1" w:styleId="1982">
    <w:name w:val="样式 三江正文 + 左侧:  2 字符"/>
    <w:basedOn w:val="1"/>
    <w:link w:val="1981"/>
    <w:qFormat/>
    <w:uiPriority w:val="0"/>
    <w:pPr>
      <w:spacing w:line="360" w:lineRule="auto"/>
      <w:ind w:firstLine="200" w:firstLineChars="200"/>
      <w:jc w:val="left"/>
    </w:pPr>
    <w:rPr>
      <w:rFonts w:ascii="宋体" w:hAnsi="宋体" w:eastAsia="宋体" w:cs="宋体"/>
      <w:kern w:val="0"/>
      <w:sz w:val="24"/>
      <w:szCs w:val="24"/>
    </w:rPr>
  </w:style>
  <w:style w:type="character" w:customStyle="1" w:styleId="1983">
    <w:name w:val="Char Char Char Char Char1"/>
    <w:qFormat/>
    <w:uiPriority w:val="0"/>
    <w:rPr>
      <w:rFonts w:hint="default" w:ascii="Arial" w:hAnsi="Arial" w:eastAsia="黑体" w:cs="Arial"/>
      <w:kern w:val="2"/>
      <w:sz w:val="28"/>
      <w:szCs w:val="24"/>
      <w:lang w:val="en-US" w:eastAsia="zh-CN" w:bidi="ar-SA"/>
    </w:rPr>
  </w:style>
  <w:style w:type="character" w:customStyle="1" w:styleId="1984">
    <w:name w:val="text_l1"/>
    <w:qFormat/>
    <w:uiPriority w:val="0"/>
    <w:rPr>
      <w:rFonts w:hint="eastAsia" w:ascii="宋体" w:hAnsi="宋体" w:eastAsia="宋体" w:cs="宋体"/>
      <w:color w:val="000066"/>
      <w:kern w:val="2"/>
      <w:sz w:val="18"/>
      <w:szCs w:val="18"/>
      <w:lang w:val="en-US" w:eastAsia="zh-CN" w:bidi="ar"/>
    </w:rPr>
  </w:style>
  <w:style w:type="character" w:customStyle="1" w:styleId="1985">
    <w:name w:val="报告书表格 Char Char"/>
    <w:link w:val="920"/>
    <w:qFormat/>
    <w:locked/>
    <w:uiPriority w:val="0"/>
    <w:rPr>
      <w:sz w:val="24"/>
      <w:lang w:val="en-US" w:eastAsia="zh-CN"/>
    </w:rPr>
  </w:style>
  <w:style w:type="character" w:customStyle="1" w:styleId="1986">
    <w:name w:val="样式5 Char Char Char Char Char"/>
    <w:qFormat/>
    <w:uiPriority w:val="0"/>
    <w:rPr>
      <w:rFonts w:hint="eastAsia" w:ascii="宋体" w:hAnsi="宋体" w:eastAsia="宋体" w:cs="宋体"/>
      <w:kern w:val="2"/>
      <w:sz w:val="24"/>
      <w:szCs w:val="24"/>
      <w:lang w:val="en-US" w:eastAsia="zh-CN" w:bidi="ar-SA"/>
    </w:rPr>
  </w:style>
  <w:style w:type="character" w:customStyle="1" w:styleId="1987">
    <w:name w:val="标题五 Char Char"/>
    <w:link w:val="1988"/>
    <w:qFormat/>
    <w:locked/>
    <w:uiPriority w:val="0"/>
    <w:rPr>
      <w:rFonts w:ascii="Arial" w:hAnsi="Arial" w:cs="宋体"/>
      <w:snapToGrid/>
      <w:sz w:val="24"/>
      <w:szCs w:val="24"/>
    </w:rPr>
  </w:style>
  <w:style w:type="paragraph" w:customStyle="1" w:styleId="1988">
    <w:name w:val="标题五"/>
    <w:basedOn w:val="8"/>
    <w:link w:val="1987"/>
    <w:qFormat/>
    <w:uiPriority w:val="0"/>
    <w:pPr>
      <w:tabs>
        <w:tab w:val="left" w:pos="567"/>
        <w:tab w:val="left" w:pos="700"/>
        <w:tab w:val="clear" w:pos="1008"/>
      </w:tabs>
      <w:autoSpaceDE w:val="0"/>
      <w:autoSpaceDN w:val="0"/>
      <w:adjustRightInd w:val="0"/>
      <w:snapToGrid w:val="0"/>
      <w:spacing w:before="0" w:after="0" w:line="440" w:lineRule="exact"/>
      <w:ind w:left="0" w:firstLine="0"/>
      <w:jc w:val="center"/>
    </w:pPr>
    <w:rPr>
      <w:rFonts w:ascii="Arial" w:hAnsi="Arial" w:eastAsia="宋体" w:cs="宋体"/>
      <w:b w:val="0"/>
      <w:bCs w:val="0"/>
      <w:kern w:val="0"/>
      <w:sz w:val="24"/>
      <w:szCs w:val="24"/>
    </w:rPr>
  </w:style>
  <w:style w:type="character" w:customStyle="1" w:styleId="1989">
    <w:name w:val="宁波至温州正文 Char Char"/>
    <w:qFormat/>
    <w:uiPriority w:val="0"/>
    <w:rPr>
      <w:rFonts w:hint="eastAsia" w:ascii="宋体" w:hAnsi="宋体" w:eastAsia="宋体" w:cs="宋体"/>
      <w:kern w:val="2"/>
      <w:sz w:val="26"/>
      <w:szCs w:val="24"/>
      <w:lang w:val="en-US" w:eastAsia="zh-CN" w:bidi="ar-SA"/>
    </w:rPr>
  </w:style>
  <w:style w:type="character" w:customStyle="1" w:styleId="1990">
    <w:name w:val="样式52 Char Char Char"/>
    <w:link w:val="1991"/>
    <w:qFormat/>
    <w:locked/>
    <w:uiPriority w:val="0"/>
    <w:rPr>
      <w:rFonts w:ascii="宋体" w:hAnsi="宋体" w:cs="宋体"/>
      <w:b/>
      <w:sz w:val="24"/>
      <w:szCs w:val="24"/>
    </w:rPr>
  </w:style>
  <w:style w:type="paragraph" w:customStyle="1" w:styleId="1991">
    <w:name w:val="样式52"/>
    <w:basedOn w:val="1"/>
    <w:link w:val="1990"/>
    <w:qFormat/>
    <w:uiPriority w:val="0"/>
    <w:pPr>
      <w:keepNext/>
      <w:keepLines/>
      <w:tabs>
        <w:tab w:val="left" w:pos="540"/>
      </w:tabs>
      <w:adjustRightInd w:val="0"/>
      <w:snapToGrid w:val="0"/>
      <w:spacing w:line="360" w:lineRule="auto"/>
      <w:outlineLvl w:val="2"/>
    </w:pPr>
    <w:rPr>
      <w:rFonts w:ascii="宋体" w:hAnsi="宋体" w:eastAsia="宋体" w:cs="宋体"/>
      <w:b/>
      <w:kern w:val="0"/>
      <w:sz w:val="24"/>
      <w:szCs w:val="24"/>
    </w:rPr>
  </w:style>
  <w:style w:type="character" w:customStyle="1" w:styleId="1992">
    <w:name w:val="中文报告书样式 Char Char"/>
    <w:link w:val="1993"/>
    <w:qFormat/>
    <w:locked/>
    <w:uiPriority w:val="0"/>
    <w:rPr>
      <w:rFonts w:ascii="Calibri" w:hAnsi="Calibri"/>
      <w:kern w:val="24"/>
      <w:sz w:val="24"/>
    </w:rPr>
  </w:style>
  <w:style w:type="paragraph" w:customStyle="1" w:styleId="1993">
    <w:name w:val="中文报告书样式"/>
    <w:basedOn w:val="1"/>
    <w:link w:val="1992"/>
    <w:qFormat/>
    <w:uiPriority w:val="0"/>
    <w:pPr>
      <w:adjustRightInd w:val="0"/>
      <w:snapToGrid w:val="0"/>
      <w:spacing w:line="360" w:lineRule="auto"/>
      <w:ind w:firstLine="480" w:firstLineChars="200"/>
    </w:pPr>
    <w:rPr>
      <w:rFonts w:ascii="Calibri" w:hAnsi="Calibri" w:eastAsia="宋体"/>
      <w:kern w:val="24"/>
      <w:sz w:val="24"/>
    </w:rPr>
  </w:style>
  <w:style w:type="character" w:customStyle="1" w:styleId="1994">
    <w:name w:val="ggwenhao"/>
    <w:qFormat/>
    <w:uiPriority w:val="0"/>
    <w:rPr>
      <w:rFonts w:hint="eastAsia" w:ascii="宋体" w:hAnsi="宋体" w:eastAsia="宋体" w:cs="宋体"/>
      <w:kern w:val="2"/>
      <w:sz w:val="28"/>
      <w:szCs w:val="24"/>
      <w:lang w:val="en-US" w:eastAsia="zh-CN" w:bidi="ar"/>
    </w:rPr>
  </w:style>
  <w:style w:type="character" w:customStyle="1" w:styleId="1995">
    <w:name w:val="纯文本 字符"/>
    <w:qFormat/>
    <w:uiPriority w:val="0"/>
    <w:rPr>
      <w:rFonts w:hint="eastAsia" w:ascii="宋体" w:hAnsi="Courier New" w:eastAsia="宋体" w:cs="Courier New"/>
      <w:kern w:val="2"/>
      <w:sz w:val="21"/>
      <w:szCs w:val="21"/>
      <w:lang w:val="en-US" w:eastAsia="zh-CN" w:bidi="ar"/>
    </w:rPr>
  </w:style>
  <w:style w:type="character" w:customStyle="1" w:styleId="1996">
    <w:name w:val="a141"/>
    <w:qFormat/>
    <w:uiPriority w:val="0"/>
    <w:rPr>
      <w:rFonts w:hint="eastAsia" w:ascii="宋体" w:hAnsi="宋体" w:eastAsia="宋体" w:cs="宋体"/>
      <w:kern w:val="2"/>
      <w:sz w:val="21"/>
      <w:szCs w:val="21"/>
      <w:lang w:val="en-US" w:eastAsia="zh-CN" w:bidi="ar"/>
    </w:rPr>
  </w:style>
  <w:style w:type="character" w:customStyle="1" w:styleId="1997">
    <w:name w:val="样式9 Char Char"/>
    <w:qFormat/>
    <w:uiPriority w:val="0"/>
    <w:rPr>
      <w:rFonts w:hint="eastAsia" w:ascii="宋体" w:hAnsi="宋体" w:eastAsia="宋体" w:cs="宋体"/>
      <w:b/>
      <w:color w:val="000000"/>
      <w:kern w:val="2"/>
      <w:sz w:val="24"/>
      <w:szCs w:val="24"/>
      <w:lang w:val="en-US" w:eastAsia="zh-CN" w:bidi="ar"/>
    </w:rPr>
  </w:style>
  <w:style w:type="character" w:customStyle="1" w:styleId="1998">
    <w:name w:val="首行缩进（正文） Char Char"/>
    <w:link w:val="1999"/>
    <w:qFormat/>
    <w:locked/>
    <w:uiPriority w:val="0"/>
    <w:rPr>
      <w:rFonts w:ascii="宋体" w:hAnsi="宋体" w:cs="宋体"/>
      <w:sz w:val="24"/>
      <w:szCs w:val="24"/>
    </w:rPr>
  </w:style>
  <w:style w:type="paragraph" w:customStyle="1" w:styleId="1999">
    <w:name w:val="首行缩进（正文）"/>
    <w:basedOn w:val="1"/>
    <w:link w:val="1998"/>
    <w:qFormat/>
    <w:uiPriority w:val="0"/>
    <w:pPr>
      <w:spacing w:line="300" w:lineRule="auto"/>
      <w:ind w:firstLine="410" w:firstLineChars="171"/>
    </w:pPr>
    <w:rPr>
      <w:rFonts w:ascii="宋体" w:hAnsi="宋体" w:eastAsia="宋体" w:cs="宋体"/>
      <w:kern w:val="0"/>
      <w:sz w:val="24"/>
      <w:szCs w:val="24"/>
    </w:rPr>
  </w:style>
  <w:style w:type="character" w:customStyle="1" w:styleId="2000">
    <w:name w:val="Char Char2101"/>
    <w:qFormat/>
    <w:uiPriority w:val="0"/>
    <w:rPr>
      <w:kern w:val="2"/>
      <w:sz w:val="18"/>
      <w:szCs w:val="18"/>
    </w:rPr>
  </w:style>
  <w:style w:type="character" w:customStyle="1" w:styleId="2001">
    <w:name w:val="9p"/>
    <w:qFormat/>
    <w:uiPriority w:val="0"/>
    <w:rPr>
      <w:rFonts w:hint="eastAsia" w:ascii="宋体" w:hAnsi="宋体" w:eastAsia="宋体" w:cs="宋体"/>
      <w:kern w:val="2"/>
      <w:sz w:val="24"/>
      <w:szCs w:val="20"/>
      <w:lang w:val="en-US" w:eastAsia="zh-CN" w:bidi="ar"/>
    </w:rPr>
  </w:style>
  <w:style w:type="character" w:customStyle="1" w:styleId="2002">
    <w:name w:val="er1"/>
    <w:qFormat/>
    <w:uiPriority w:val="0"/>
    <w:rPr>
      <w:rFonts w:hint="default" w:eastAsia="宋体" w:cs="宋体"/>
      <w:color w:val="000000"/>
      <w:kern w:val="2"/>
      <w:sz w:val="22"/>
      <w:szCs w:val="22"/>
      <w:lang w:val="en-US" w:eastAsia="zh-CN" w:bidi="ar"/>
    </w:rPr>
  </w:style>
  <w:style w:type="character" w:customStyle="1" w:styleId="2003">
    <w:name w:val="neiwen1"/>
    <w:qFormat/>
    <w:uiPriority w:val="0"/>
    <w:rPr>
      <w:rFonts w:hint="eastAsia" w:ascii="宋体" w:hAnsi="宋体" w:eastAsia="宋体" w:cs="宋体"/>
      <w:color w:val="000000"/>
      <w:kern w:val="2"/>
      <w:sz w:val="20"/>
      <w:szCs w:val="20"/>
      <w:lang w:val="en-US" w:eastAsia="zh-CN" w:bidi="ar"/>
    </w:rPr>
  </w:style>
  <w:style w:type="character" w:customStyle="1" w:styleId="2004">
    <w:name w:val="正文 + 黑体 Char1"/>
    <w:qFormat/>
    <w:uiPriority w:val="0"/>
    <w:rPr>
      <w:rFonts w:hint="default" w:ascii="Arial" w:hAnsi="Arial" w:eastAsia="黑体" w:cs="宋体"/>
      <w:kern w:val="2"/>
      <w:sz w:val="36"/>
      <w:szCs w:val="24"/>
      <w:lang w:val="en-US" w:eastAsia="zh-CN" w:bidi="ar-SA"/>
    </w:rPr>
  </w:style>
  <w:style w:type="character" w:customStyle="1" w:styleId="2005">
    <w:name w:val="Char Char68"/>
    <w:qFormat/>
    <w:locked/>
    <w:uiPriority w:val="0"/>
    <w:rPr>
      <w:rFonts w:hint="eastAsia" w:ascii="宋体" w:hAnsi="宋体" w:eastAsia="宋体" w:cs="宋体"/>
      <w:b/>
      <w:bCs/>
      <w:spacing w:val="-2"/>
      <w:kern w:val="2"/>
      <w:sz w:val="32"/>
      <w:szCs w:val="32"/>
      <w:lang w:val="en-US" w:eastAsia="zh-CN" w:bidi="ar-SA"/>
    </w:rPr>
  </w:style>
  <w:style w:type="character" w:customStyle="1" w:styleId="2006">
    <w:name w:val="样式 宋体 四号 加粗"/>
    <w:qFormat/>
    <w:uiPriority w:val="0"/>
    <w:rPr>
      <w:rFonts w:hint="eastAsia" w:ascii="宋体" w:hAnsi="宋体" w:eastAsia="宋体" w:cs="宋体"/>
      <w:bCs/>
      <w:kern w:val="2"/>
      <w:sz w:val="28"/>
      <w:szCs w:val="24"/>
      <w:lang w:val="en-US" w:eastAsia="zh-CN" w:bidi="ar"/>
    </w:rPr>
  </w:style>
  <w:style w:type="character" w:customStyle="1" w:styleId="2007">
    <w:name w:val="样式 沥青表 + 宋体 小四 Char"/>
    <w:qFormat/>
    <w:uiPriority w:val="0"/>
    <w:rPr>
      <w:rFonts w:hint="eastAsia" w:ascii="宋体" w:hAnsi="宋体" w:eastAsia="宋体" w:cs="宋体"/>
      <w:spacing w:val="10"/>
      <w:kern w:val="2"/>
      <w:sz w:val="24"/>
      <w:szCs w:val="24"/>
      <w:lang w:val="en-US" w:eastAsia="zh-CN" w:bidi="ar"/>
    </w:rPr>
  </w:style>
  <w:style w:type="character" w:customStyle="1" w:styleId="2008">
    <w:name w:val="标题 9 Char Char"/>
    <w:qFormat/>
    <w:uiPriority w:val="0"/>
    <w:rPr>
      <w:rFonts w:hint="default" w:ascii="Cambria" w:hAnsi="Cambria" w:eastAsia="宋体" w:cs="Times New Roman"/>
      <w:kern w:val="2"/>
      <w:sz w:val="21"/>
      <w:szCs w:val="21"/>
      <w:lang w:val="en-US" w:eastAsia="zh-CN" w:bidi="ar"/>
    </w:rPr>
  </w:style>
  <w:style w:type="character" w:customStyle="1" w:styleId="2009">
    <w:name w:val="样式 标题 2标题 2 Char + 自动设置 首行缩进:  1.13 厘米 Char Char Char"/>
    <w:qFormat/>
    <w:uiPriority w:val="0"/>
    <w:rPr>
      <w:rFonts w:hint="default" w:ascii="t" w:hAnsi="t" w:eastAsia="黑体" w:cs="宋体"/>
      <w:bCs/>
      <w:kern w:val="2"/>
      <w:sz w:val="28"/>
      <w:szCs w:val="21"/>
      <w:lang w:val="en-US" w:eastAsia="zh-CN" w:bidi="ar-SA"/>
    </w:rPr>
  </w:style>
  <w:style w:type="character" w:customStyle="1" w:styleId="2010">
    <w:name w:val="样式4 Char Char"/>
    <w:qFormat/>
    <w:uiPriority w:val="0"/>
    <w:rPr>
      <w:rFonts w:hint="eastAsia" w:ascii="宋体" w:hAnsi="宋体" w:eastAsia="黑体" w:cs="宋体"/>
      <w:b/>
      <w:kern w:val="2"/>
      <w:sz w:val="24"/>
      <w:szCs w:val="24"/>
      <w:lang w:val="en-US" w:eastAsia="zh-CN" w:bidi="ar"/>
    </w:rPr>
  </w:style>
  <w:style w:type="character" w:customStyle="1" w:styleId="2011">
    <w:name w:val="Char Char81"/>
    <w:qFormat/>
    <w:uiPriority w:val="0"/>
    <w:rPr>
      <w:rFonts w:hint="default" w:ascii="Arial" w:hAnsi="Arial" w:eastAsia="宋体" w:cs="Arial"/>
      <w:b/>
      <w:bCs/>
      <w:color w:val="000000"/>
      <w:kern w:val="28"/>
      <w:sz w:val="32"/>
      <w:szCs w:val="32"/>
      <w:lang w:val="en-US" w:eastAsia="zh-CN" w:bidi="ar-SA"/>
    </w:rPr>
  </w:style>
  <w:style w:type="character" w:customStyle="1" w:styleId="2012">
    <w:name w:val="文 Char Char"/>
    <w:qFormat/>
    <w:uiPriority w:val="0"/>
    <w:rPr>
      <w:rFonts w:ascii="宋体" w:hAnsi="宋体" w:eastAsia="Arial" w:cs="宋体"/>
      <w:kern w:val="2"/>
      <w:sz w:val="24"/>
      <w:szCs w:val="24"/>
      <w:lang w:val="en-US" w:eastAsia="zh-CN" w:bidi="ar-SA"/>
    </w:rPr>
  </w:style>
  <w:style w:type="character" w:customStyle="1" w:styleId="2013">
    <w:name w:val="font241"/>
    <w:qFormat/>
    <w:uiPriority w:val="0"/>
    <w:rPr>
      <w:rFonts w:hint="eastAsia" w:ascii="宋体" w:hAnsi="宋体" w:eastAsia="宋体" w:cs="宋体"/>
      <w:spacing w:val="360"/>
      <w:kern w:val="2"/>
      <w:sz w:val="21"/>
      <w:szCs w:val="21"/>
      <w:lang w:val="en-US" w:eastAsia="zh-CN" w:bidi="ar"/>
    </w:rPr>
  </w:style>
  <w:style w:type="character" w:customStyle="1" w:styleId="2014">
    <w:name w:val="正文4号 Char Char"/>
    <w:qFormat/>
    <w:uiPriority w:val="0"/>
    <w:rPr>
      <w:rFonts w:hint="default" w:ascii="Times New Roman" w:hAnsi="Times New Roman" w:eastAsia="宋体" w:cs="Times New Roman"/>
      <w:kern w:val="0"/>
      <w:sz w:val="28"/>
      <w:szCs w:val="21"/>
      <w:lang w:val="en-US" w:eastAsia="zh-CN" w:bidi="ar-SA"/>
    </w:rPr>
  </w:style>
  <w:style w:type="character" w:customStyle="1" w:styleId="2015">
    <w:name w:val="表头1 Char Char Char"/>
    <w:qFormat/>
    <w:uiPriority w:val="0"/>
    <w:rPr>
      <w:rFonts w:hint="eastAsia" w:ascii="宋体" w:hAnsi="宋体" w:eastAsia="黑体" w:cs="宋体"/>
      <w:kern w:val="2"/>
      <w:sz w:val="21"/>
      <w:szCs w:val="28"/>
      <w:lang w:val="en-US" w:eastAsia="zh-CN" w:bidi="ar-SA"/>
    </w:rPr>
  </w:style>
  <w:style w:type="character" w:customStyle="1" w:styleId="2016">
    <w:name w:val="Char Char121"/>
    <w:qFormat/>
    <w:uiPriority w:val="0"/>
    <w:rPr>
      <w:rFonts w:hint="eastAsia" w:ascii="宋体" w:hAnsi="宋体" w:eastAsia="宋体" w:cs="宋体"/>
      <w:kern w:val="2"/>
      <w:sz w:val="18"/>
      <w:szCs w:val="24"/>
      <w:lang w:val="en-US" w:eastAsia="zh-CN" w:bidi="ar-SA"/>
    </w:rPr>
  </w:style>
  <w:style w:type="character" w:customStyle="1" w:styleId="2017">
    <w:name w:val="插图标题 Char Char"/>
    <w:qFormat/>
    <w:uiPriority w:val="0"/>
    <w:rPr>
      <w:rFonts w:hint="eastAsia" w:ascii="宋体" w:hAnsi="宋体" w:eastAsia="黑体" w:cs="宋体"/>
      <w:b/>
      <w:snapToGrid/>
      <w:kern w:val="2"/>
      <w:sz w:val="24"/>
      <w:szCs w:val="24"/>
      <w:lang w:val="en-US" w:eastAsia="zh-CN" w:bidi="ar-SA"/>
    </w:rPr>
  </w:style>
  <w:style w:type="character" w:customStyle="1" w:styleId="2018">
    <w:name w:val="8.7正文格式 Char Char Char"/>
    <w:qFormat/>
    <w:uiPriority w:val="0"/>
    <w:rPr>
      <w:rFonts w:hint="eastAsia" w:ascii="宋体" w:hAnsi="宋体" w:eastAsia="宋体" w:cs="宋体"/>
      <w:kern w:val="2"/>
      <w:sz w:val="28"/>
      <w:szCs w:val="24"/>
      <w:lang w:val="en-US" w:eastAsia="zh-CN" w:bidi="ar-SA"/>
    </w:rPr>
  </w:style>
  <w:style w:type="character" w:customStyle="1" w:styleId="2019">
    <w:name w:val="图表注 Char1"/>
    <w:qFormat/>
    <w:locked/>
    <w:uiPriority w:val="0"/>
    <w:rPr>
      <w:rFonts w:hint="eastAsia" w:ascii="宋体" w:hAnsi="宋体" w:eastAsia="宋体" w:cs="Arial"/>
      <w:b/>
      <w:bCs/>
      <w:sz w:val="24"/>
      <w:lang w:val="en-US" w:eastAsia="zh-CN" w:bidi="ar-SA"/>
    </w:rPr>
  </w:style>
  <w:style w:type="character" w:customStyle="1" w:styleId="2020">
    <w:name w:val="链接"/>
    <w:qFormat/>
    <w:uiPriority w:val="0"/>
    <w:rPr>
      <w:rFonts w:hint="default" w:ascii="Times New Roman" w:hAnsi="宋体" w:eastAsia="宋体" w:cs="宋体"/>
      <w:color w:val="0000FF"/>
      <w:kern w:val="2"/>
      <w:sz w:val="21"/>
      <w:szCs w:val="24"/>
      <w:u w:val="single" w:color="0000FF"/>
      <w:vertAlign w:val="baseline"/>
      <w:lang w:val="en-US" w:eastAsia="zh-CN" w:bidi="ar"/>
    </w:rPr>
  </w:style>
  <w:style w:type="character" w:customStyle="1" w:styleId="2021">
    <w:name w:val="bt1"/>
    <w:qFormat/>
    <w:uiPriority w:val="0"/>
    <w:rPr>
      <w:rFonts w:hint="eastAsia" w:ascii="宋体" w:hAnsi="宋体" w:eastAsia="宋体" w:cs="宋体"/>
      <w:color w:val="000000"/>
      <w:kern w:val="2"/>
      <w:sz w:val="28"/>
      <w:szCs w:val="24"/>
      <w:lang w:val="en-US" w:eastAsia="zh-CN" w:bidi="ar"/>
    </w:rPr>
  </w:style>
  <w:style w:type="character" w:customStyle="1" w:styleId="2022">
    <w:name w:val="可研-节标题 Char Char Char Char"/>
    <w:qFormat/>
    <w:uiPriority w:val="0"/>
    <w:rPr>
      <w:rFonts w:hint="eastAsia" w:ascii="黑体" w:hAnsi="宋体" w:eastAsia="黑体" w:cs="宋体"/>
      <w:b/>
      <w:bCs/>
      <w:kern w:val="2"/>
      <w:sz w:val="28"/>
      <w:szCs w:val="28"/>
      <w:lang w:val="en-US" w:eastAsia="zh-CN" w:bidi="ar-SA"/>
    </w:rPr>
  </w:style>
  <w:style w:type="character" w:customStyle="1" w:styleId="2023">
    <w:name w:val="blog_tit_detail"/>
    <w:qFormat/>
    <w:uiPriority w:val="0"/>
    <w:rPr>
      <w:rFonts w:hint="eastAsia" w:ascii="宋体" w:hAnsi="宋体" w:eastAsia="宋体" w:cs="宋体"/>
      <w:kern w:val="2"/>
      <w:sz w:val="28"/>
      <w:szCs w:val="24"/>
      <w:lang w:val="en-US" w:eastAsia="zh-CN" w:bidi="ar"/>
    </w:rPr>
  </w:style>
  <w:style w:type="character" w:customStyle="1" w:styleId="2024">
    <w:name w:val="H7 Char4"/>
    <w:qFormat/>
    <w:uiPriority w:val="0"/>
    <w:rPr>
      <w:rFonts w:hint="eastAsia" w:ascii="宋体" w:hAnsi="宋体" w:eastAsia="宋体" w:cs="宋体"/>
      <w:b/>
      <w:bCs/>
      <w:kern w:val="2"/>
      <w:sz w:val="24"/>
      <w:szCs w:val="24"/>
      <w:lang w:val="en-US" w:eastAsia="zh-CN" w:bidi="ar-SA"/>
    </w:rPr>
  </w:style>
  <w:style w:type="character" w:customStyle="1" w:styleId="2025">
    <w:name w:val="样式 小四 首行缩进:  0.85 厘米 行距: 1.5 倍行距 Char Char"/>
    <w:qFormat/>
    <w:uiPriority w:val="0"/>
    <w:rPr>
      <w:rFonts w:hint="eastAsia" w:ascii="黑体" w:hAnsi="黑体" w:eastAsia="宋体" w:cs="宋体"/>
      <w:bCs/>
      <w:kern w:val="2"/>
      <w:sz w:val="24"/>
      <w:szCs w:val="24"/>
      <w:lang w:val="en-US" w:eastAsia="zh-CN" w:bidi="ar-SA"/>
    </w:rPr>
  </w:style>
  <w:style w:type="character" w:customStyle="1" w:styleId="2026">
    <w:name w:val="Char Char91"/>
    <w:qFormat/>
    <w:uiPriority w:val="0"/>
    <w:rPr>
      <w:rFonts w:hint="eastAsia" w:ascii="宋体" w:hAnsi="宋体" w:eastAsia="宋体" w:cs="宋体"/>
      <w:kern w:val="2"/>
      <w:sz w:val="18"/>
      <w:szCs w:val="18"/>
      <w:lang w:val="en-US" w:eastAsia="zh-CN" w:bidi="ar-SA"/>
    </w:rPr>
  </w:style>
  <w:style w:type="character" w:customStyle="1" w:styleId="2027">
    <w:name w:val="样式46 Char Char Char"/>
    <w:qFormat/>
    <w:uiPriority w:val="0"/>
    <w:rPr>
      <w:rFonts w:hint="eastAsia" w:ascii="宋体" w:hAnsi="宋体" w:eastAsia="宋体" w:cs="宋体"/>
      <w:kern w:val="2"/>
      <w:sz w:val="24"/>
      <w:szCs w:val="24"/>
      <w:lang w:val="en-US" w:eastAsia="zh-CN" w:bidi="ar-SA"/>
    </w:rPr>
  </w:style>
  <w:style w:type="character" w:customStyle="1" w:styleId="2028">
    <w:name w:val="p12grey"/>
    <w:qFormat/>
    <w:uiPriority w:val="0"/>
    <w:rPr>
      <w:rFonts w:hint="eastAsia" w:ascii="宋体" w:hAnsi="宋体" w:eastAsia="宋体" w:cs="宋体"/>
      <w:kern w:val="2"/>
      <w:sz w:val="28"/>
      <w:szCs w:val="24"/>
      <w:lang w:val="en-US" w:eastAsia="zh-CN" w:bidi="ar"/>
    </w:rPr>
  </w:style>
  <w:style w:type="character" w:customStyle="1" w:styleId="2029">
    <w:name w:val="表格YHY Char Char"/>
    <w:qFormat/>
    <w:uiPriority w:val="0"/>
    <w:rPr>
      <w:rFonts w:hint="eastAsia" w:ascii="宋体" w:hAnsi="宋体" w:eastAsia="宋体" w:cs="宋体"/>
      <w:bCs/>
      <w:kern w:val="2"/>
      <w:sz w:val="21"/>
      <w:szCs w:val="21"/>
      <w:lang w:val="en-US" w:eastAsia="zh-CN" w:bidi="ar"/>
    </w:rPr>
  </w:style>
  <w:style w:type="character" w:customStyle="1" w:styleId="2030">
    <w:name w:val="log11"/>
    <w:qFormat/>
    <w:uiPriority w:val="0"/>
    <w:rPr>
      <w:rFonts w:hint="eastAsia" w:ascii="宋体" w:hAnsi="宋体" w:eastAsia="宋体" w:cs="宋体"/>
      <w:kern w:val="2"/>
      <w:sz w:val="18"/>
      <w:szCs w:val="18"/>
      <w:u w:val="none"/>
      <w:lang w:val="en-US" w:eastAsia="zh-CN" w:bidi="ar"/>
    </w:rPr>
  </w:style>
  <w:style w:type="character" w:customStyle="1" w:styleId="2031">
    <w:name w:val="列表(L) Char Char"/>
    <w:qFormat/>
    <w:locked/>
    <w:uiPriority w:val="0"/>
    <w:rPr>
      <w:rFonts w:ascii="宋体" w:hAnsi="宋体" w:eastAsia="宋体" w:cs="宋体"/>
      <w:szCs w:val="24"/>
    </w:rPr>
  </w:style>
  <w:style w:type="character" w:customStyle="1" w:styleId="2032">
    <w:name w:val="标题 1环评 Char Char"/>
    <w:qFormat/>
    <w:uiPriority w:val="0"/>
    <w:rPr>
      <w:rFonts w:hint="eastAsia" w:ascii="宋体" w:hAnsi="宋体" w:eastAsia="仿宋_GB2312" w:cs="宋体"/>
      <w:b/>
      <w:bCs/>
      <w:kern w:val="44"/>
      <w:sz w:val="30"/>
      <w:szCs w:val="30"/>
      <w:lang w:val="en-US" w:eastAsia="zh-CN" w:bidi="ar-SA"/>
    </w:rPr>
  </w:style>
  <w:style w:type="character" w:customStyle="1" w:styleId="2033">
    <w:name w:val="图表正文 Char Char"/>
    <w:qFormat/>
    <w:uiPriority w:val="0"/>
    <w:rPr>
      <w:rFonts w:hint="eastAsia" w:ascii="宋体" w:hAnsi="宋体" w:eastAsia="宋体" w:cs="宋体"/>
      <w:kern w:val="2"/>
      <w:sz w:val="21"/>
      <w:szCs w:val="24"/>
      <w:lang w:val="en-US" w:eastAsia="zh-CN" w:bidi="ar"/>
    </w:rPr>
  </w:style>
  <w:style w:type="character" w:customStyle="1" w:styleId="2034">
    <w:name w:val="cnd"/>
    <w:qFormat/>
    <w:uiPriority w:val="0"/>
    <w:rPr>
      <w:rFonts w:hint="eastAsia" w:ascii="宋体" w:hAnsi="宋体" w:eastAsia="宋体" w:cs="宋体"/>
      <w:kern w:val="2"/>
      <w:sz w:val="24"/>
      <w:szCs w:val="20"/>
      <w:lang w:val="en-US" w:eastAsia="zh-CN" w:bidi="ar"/>
    </w:rPr>
  </w:style>
  <w:style w:type="character" w:customStyle="1" w:styleId="2035">
    <w:name w:val="样式54 Char Char"/>
    <w:link w:val="2036"/>
    <w:qFormat/>
    <w:locked/>
    <w:uiPriority w:val="0"/>
    <w:rPr>
      <w:rFonts w:ascii="宋体" w:hAnsi="宋体" w:cs="宋体"/>
      <w:b/>
      <w:sz w:val="24"/>
      <w:szCs w:val="24"/>
    </w:rPr>
  </w:style>
  <w:style w:type="paragraph" w:customStyle="1" w:styleId="2036">
    <w:name w:val="样式54"/>
    <w:basedOn w:val="1"/>
    <w:link w:val="2035"/>
    <w:qFormat/>
    <w:uiPriority w:val="0"/>
    <w:pPr>
      <w:keepNext/>
      <w:keepLines/>
      <w:spacing w:beforeLines="50" w:line="360" w:lineRule="auto"/>
      <w:outlineLvl w:val="2"/>
    </w:pPr>
    <w:rPr>
      <w:rFonts w:ascii="宋体" w:hAnsi="宋体" w:eastAsia="宋体" w:cs="宋体"/>
      <w:b/>
      <w:kern w:val="0"/>
      <w:sz w:val="24"/>
      <w:szCs w:val="24"/>
    </w:rPr>
  </w:style>
  <w:style w:type="character" w:customStyle="1" w:styleId="2037">
    <w:name w:val="占位符文本1"/>
    <w:qFormat/>
    <w:uiPriority w:val="0"/>
    <w:rPr>
      <w:rFonts w:hint="eastAsia" w:ascii="宋体" w:hAnsi="宋体" w:eastAsia="宋体" w:cs="宋体"/>
      <w:color w:val="808080"/>
      <w:kern w:val="2"/>
      <w:sz w:val="28"/>
      <w:szCs w:val="24"/>
      <w:lang w:val="en-US" w:eastAsia="zh-CN" w:bidi="ar"/>
    </w:rPr>
  </w:style>
  <w:style w:type="character" w:customStyle="1" w:styleId="2038">
    <w:name w:val="HTML 预设格式 Char1"/>
    <w:qFormat/>
    <w:uiPriority w:val="0"/>
    <w:rPr>
      <w:rFonts w:hint="default" w:ascii="Arial" w:hAnsi="Arial" w:eastAsia="宋体" w:cs="Arial"/>
      <w:kern w:val="0"/>
      <w:sz w:val="28"/>
      <w:szCs w:val="21"/>
      <w:lang w:val="en-US" w:eastAsia="zh-CN" w:bidi="ar-SA"/>
    </w:rPr>
  </w:style>
  <w:style w:type="character" w:customStyle="1" w:styleId="2039">
    <w:name w:val="标题 4 字符1"/>
    <w:qFormat/>
    <w:uiPriority w:val="0"/>
    <w:rPr>
      <w:rFonts w:hint="default" w:ascii="Arial" w:hAnsi="Arial" w:eastAsia="黑体" w:cs="Arial"/>
      <w:b/>
      <w:bCs/>
      <w:spacing w:val="-2"/>
      <w:sz w:val="28"/>
      <w:szCs w:val="28"/>
      <w:lang w:val="en-US" w:eastAsia="zh-CN" w:bidi="ar-SA"/>
    </w:rPr>
  </w:style>
  <w:style w:type="character" w:customStyle="1" w:styleId="2040">
    <w:name w:val="正文首行缩进 Char2"/>
    <w:qFormat/>
    <w:uiPriority w:val="0"/>
    <w:rPr>
      <w:rFonts w:hint="eastAsia" w:ascii="宋体" w:hAnsi="宋体" w:eastAsia="宋体" w:cs="宋体"/>
      <w:kern w:val="2"/>
      <w:sz w:val="28"/>
      <w:szCs w:val="24"/>
      <w:lang w:val="en-US" w:eastAsia="zh-CN" w:bidi="ar"/>
    </w:rPr>
  </w:style>
  <w:style w:type="character" w:customStyle="1" w:styleId="2041">
    <w:name w:val="注释标题 Char Char"/>
    <w:qFormat/>
    <w:uiPriority w:val="0"/>
    <w:rPr>
      <w:rFonts w:hint="eastAsia" w:ascii="宋体" w:hAnsi="宋体" w:eastAsia="宋体" w:cs="宋体"/>
      <w:kern w:val="2"/>
      <w:sz w:val="21"/>
      <w:szCs w:val="24"/>
      <w:lang w:val="en-US" w:eastAsia="zh-CN" w:bidi="ar"/>
    </w:rPr>
  </w:style>
  <w:style w:type="character" w:customStyle="1" w:styleId="2042">
    <w:name w:val="style131"/>
    <w:qFormat/>
    <w:uiPriority w:val="0"/>
    <w:rPr>
      <w:rFonts w:hint="eastAsia" w:ascii="宋体" w:hAnsi="宋体" w:eastAsia="宋体" w:cs="宋体"/>
      <w:kern w:val="2"/>
      <w:sz w:val="18"/>
      <w:szCs w:val="18"/>
      <w:lang w:val="en-US" w:eastAsia="zh-CN" w:bidi="ar"/>
    </w:rPr>
  </w:style>
  <w:style w:type="character" w:customStyle="1" w:styleId="2043">
    <w:name w:val="标题 9 字符1"/>
    <w:qFormat/>
    <w:uiPriority w:val="0"/>
    <w:rPr>
      <w:rFonts w:hint="eastAsia" w:ascii="宋体" w:hAnsi="宋体" w:eastAsia="宋体"/>
      <w:b/>
      <w:i/>
      <w:spacing w:val="-2"/>
      <w:kern w:val="28"/>
      <w:sz w:val="18"/>
      <w:lang w:val="en-US" w:eastAsia="zh-CN" w:bidi="ar-SA"/>
    </w:rPr>
  </w:style>
  <w:style w:type="character" w:customStyle="1" w:styleId="2044">
    <w:name w:val="正文首行缩进 2 Char4"/>
    <w:qFormat/>
    <w:uiPriority w:val="0"/>
    <w:rPr>
      <w:rFonts w:hint="eastAsia" w:ascii="宋体" w:hAnsi="宋体" w:eastAsia="宋体" w:cs="宋体"/>
      <w:kern w:val="2"/>
      <w:sz w:val="28"/>
      <w:szCs w:val="24"/>
      <w:lang w:val="en-US" w:eastAsia="zh-CN" w:bidi="ar"/>
    </w:rPr>
  </w:style>
  <w:style w:type="character" w:customStyle="1" w:styleId="2045">
    <w:name w:val="正文首行缩进 Char3"/>
    <w:qFormat/>
    <w:uiPriority w:val="0"/>
    <w:rPr>
      <w:rFonts w:hint="default" w:ascii="Times New Roman" w:hAnsi="Times New Roman" w:eastAsia="宋体" w:cs="Times New Roman"/>
      <w:kern w:val="0"/>
      <w:sz w:val="28"/>
      <w:szCs w:val="21"/>
      <w:lang w:val="en-US" w:eastAsia="zh-CN" w:bidi="ar-SA"/>
    </w:rPr>
  </w:style>
  <w:style w:type="character" w:customStyle="1" w:styleId="2046">
    <w:name w:val="标题 14 Char2"/>
    <w:qFormat/>
    <w:uiPriority w:val="0"/>
    <w:rPr>
      <w:rFonts w:hint="eastAsia" w:ascii="宋体" w:hAnsi="宋体" w:eastAsia="宋体" w:cs="宋体"/>
      <w:kern w:val="20"/>
      <w:sz w:val="28"/>
      <w:szCs w:val="24"/>
      <w:lang w:val="en-US" w:eastAsia="zh-CN" w:bidi="ar-SA"/>
    </w:rPr>
  </w:style>
  <w:style w:type="character" w:customStyle="1" w:styleId="2047">
    <w:name w:val="样式75 Char Char Char"/>
    <w:qFormat/>
    <w:uiPriority w:val="0"/>
    <w:rPr>
      <w:rFonts w:hint="eastAsia" w:ascii="宋体" w:hAnsi="宋体" w:eastAsia="宋体" w:cs="宋体"/>
      <w:kern w:val="2"/>
      <w:sz w:val="24"/>
      <w:szCs w:val="24"/>
      <w:lang w:val="en-US" w:eastAsia="zh-CN" w:bidi="ar-SA"/>
    </w:rPr>
  </w:style>
  <w:style w:type="character" w:customStyle="1" w:styleId="2048">
    <w:name w:val="段落样式 Char Char"/>
    <w:link w:val="1137"/>
    <w:qFormat/>
    <w:locked/>
    <w:uiPriority w:val="0"/>
    <w:rPr>
      <w:w w:val="90"/>
      <w:sz w:val="24"/>
      <w:szCs w:val="28"/>
    </w:rPr>
  </w:style>
  <w:style w:type="character" w:customStyle="1" w:styleId="2049">
    <w:name w:val="正文小4黑体 Char Char"/>
    <w:qFormat/>
    <w:locked/>
    <w:uiPriority w:val="0"/>
    <w:rPr>
      <w:rFonts w:ascii="Calibri" w:hAnsi="Calibri" w:eastAsia="宋体" w:cs="黑体"/>
    </w:rPr>
  </w:style>
  <w:style w:type="character" w:customStyle="1" w:styleId="2050">
    <w:name w:val="报告正文-连续目录 Char Char"/>
    <w:link w:val="2051"/>
    <w:qFormat/>
    <w:locked/>
    <w:uiPriority w:val="0"/>
    <w:rPr>
      <w:rFonts w:ascii="Arial" w:hAnsi="Arial" w:cs="宋体"/>
      <w:snapToGrid/>
      <w:sz w:val="24"/>
      <w:szCs w:val="24"/>
    </w:rPr>
  </w:style>
  <w:style w:type="paragraph" w:customStyle="1" w:styleId="2051">
    <w:name w:val="报告正文-连续目录"/>
    <w:basedOn w:val="1"/>
    <w:link w:val="2050"/>
    <w:qFormat/>
    <w:uiPriority w:val="0"/>
    <w:pPr>
      <w:snapToGrid w:val="0"/>
      <w:spacing w:line="440" w:lineRule="exact"/>
      <w:ind w:firstLine="200" w:firstLineChars="200"/>
    </w:pPr>
    <w:rPr>
      <w:rFonts w:ascii="Arial" w:hAnsi="Arial" w:eastAsia="宋体" w:cs="宋体"/>
      <w:kern w:val="0"/>
      <w:sz w:val="24"/>
      <w:szCs w:val="24"/>
    </w:rPr>
  </w:style>
  <w:style w:type="character" w:customStyle="1" w:styleId="2052">
    <w:name w:val="2级标题 + 黑体 Char"/>
    <w:qFormat/>
    <w:locked/>
    <w:uiPriority w:val="0"/>
    <w:rPr>
      <w:rFonts w:hint="eastAsia" w:ascii="黑体" w:hAnsi="黑体" w:eastAsia="黑体"/>
      <w:b/>
      <w:kern w:val="20"/>
      <w:sz w:val="28"/>
      <w:szCs w:val="28"/>
      <w:lang w:val="en-US" w:eastAsia="zh-CN" w:bidi="ar-SA"/>
    </w:rPr>
  </w:style>
  <w:style w:type="character" w:customStyle="1" w:styleId="2053">
    <w:name w:val="页脚 Char Char"/>
    <w:qFormat/>
    <w:uiPriority w:val="0"/>
    <w:rPr>
      <w:rFonts w:hint="eastAsia" w:ascii="宋体" w:hAnsi="宋体" w:eastAsia="宋体" w:cs="宋体"/>
      <w:kern w:val="2"/>
      <w:sz w:val="18"/>
      <w:szCs w:val="18"/>
      <w:lang w:val="en-US" w:eastAsia="zh-CN" w:bidi="ar-SA"/>
    </w:rPr>
  </w:style>
  <w:style w:type="character" w:customStyle="1" w:styleId="2054">
    <w:name w:val="Char Char46"/>
    <w:qFormat/>
    <w:uiPriority w:val="0"/>
    <w:rPr>
      <w:rFonts w:hint="eastAsia" w:ascii="宋体" w:hAnsi="宋体" w:eastAsia="宋体" w:cs="宋体"/>
      <w:kern w:val="2"/>
      <w:sz w:val="28"/>
      <w:szCs w:val="24"/>
      <w:shd w:val="clear" w:color="auto" w:fill="000080"/>
      <w:lang w:val="en-US" w:eastAsia="zh-CN" w:bidi="ar"/>
    </w:rPr>
  </w:style>
  <w:style w:type="character" w:customStyle="1" w:styleId="2055">
    <w:name w:val="lxco"/>
    <w:qFormat/>
    <w:uiPriority w:val="0"/>
    <w:rPr>
      <w:rFonts w:hint="eastAsia" w:ascii="宋体" w:hAnsi="宋体" w:eastAsia="宋体" w:cs="宋体"/>
      <w:kern w:val="2"/>
      <w:sz w:val="28"/>
      <w:szCs w:val="24"/>
      <w:lang w:val="en-US" w:eastAsia="zh-CN" w:bidi="ar"/>
    </w:rPr>
  </w:style>
  <w:style w:type="character" w:customStyle="1" w:styleId="2056">
    <w:name w:val="z-窗体顶端 Char2"/>
    <w:qFormat/>
    <w:uiPriority w:val="0"/>
    <w:rPr>
      <w:rFonts w:hint="default" w:ascii="Arial" w:hAnsi="Arial" w:eastAsia="宋体" w:cs="Arial"/>
      <w:vanish/>
      <w:kern w:val="2"/>
      <w:sz w:val="16"/>
      <w:szCs w:val="16"/>
      <w:lang w:val="en-US" w:eastAsia="zh-CN" w:bidi="ar-SA"/>
    </w:rPr>
  </w:style>
  <w:style w:type="character" w:customStyle="1" w:styleId="2057">
    <w:name w:val="Char Char101"/>
    <w:qFormat/>
    <w:uiPriority w:val="0"/>
    <w:rPr>
      <w:rFonts w:hint="eastAsia" w:ascii="宋体" w:hAnsi="宋体" w:eastAsia="宋体" w:cs="宋体"/>
      <w:kern w:val="2"/>
      <w:sz w:val="18"/>
      <w:szCs w:val="18"/>
      <w:lang w:val="en-US" w:eastAsia="zh-CN" w:bidi="ar-SA"/>
    </w:rPr>
  </w:style>
  <w:style w:type="character" w:customStyle="1" w:styleId="2058">
    <w:name w:val="14fz1"/>
    <w:qFormat/>
    <w:uiPriority w:val="0"/>
    <w:rPr>
      <w:rFonts w:hint="eastAsia" w:ascii="宋体" w:hAnsi="宋体" w:eastAsia="宋体" w:cs="宋体"/>
      <w:color w:val="000000"/>
      <w:kern w:val="2"/>
      <w:sz w:val="32"/>
      <w:szCs w:val="32"/>
      <w:lang w:val="en-US" w:eastAsia="zh-CN" w:bidi="ar"/>
    </w:rPr>
  </w:style>
  <w:style w:type="character" w:customStyle="1" w:styleId="2059">
    <w:name w:val="报告正文小四 Char Char Char"/>
    <w:qFormat/>
    <w:uiPriority w:val="0"/>
    <w:rPr>
      <w:rFonts w:hint="eastAsia" w:ascii="宋体" w:hAnsi="宋体" w:eastAsia="宋体" w:cs="宋体"/>
      <w:kern w:val="2"/>
      <w:sz w:val="24"/>
      <w:szCs w:val="24"/>
      <w:lang w:val="en-US" w:eastAsia="zh-CN" w:bidi="ar-SA"/>
    </w:rPr>
  </w:style>
  <w:style w:type="character" w:customStyle="1" w:styleId="2060">
    <w:name w:val="粤东核电报告正文 Char Char Char Char"/>
    <w:qFormat/>
    <w:uiPriority w:val="0"/>
    <w:rPr>
      <w:rFonts w:hint="eastAsia" w:ascii="宋体" w:hAnsi="宋体" w:eastAsia="宋体" w:cs="宋体"/>
      <w:b/>
      <w:kern w:val="2"/>
      <w:sz w:val="24"/>
      <w:szCs w:val="24"/>
      <w:lang w:val="en-US" w:eastAsia="zh-CN" w:bidi="ar-SA"/>
    </w:rPr>
  </w:style>
  <w:style w:type="character" w:customStyle="1" w:styleId="2061">
    <w:name w:val="占位符文本2"/>
    <w:qFormat/>
    <w:uiPriority w:val="0"/>
    <w:rPr>
      <w:rFonts w:hint="eastAsia" w:ascii="宋体" w:hAnsi="宋体" w:eastAsia="宋体" w:cs="宋体"/>
      <w:color w:val="808080"/>
      <w:kern w:val="2"/>
      <w:sz w:val="28"/>
      <w:szCs w:val="24"/>
      <w:lang w:val="en-US" w:eastAsia="zh-CN" w:bidi="ar"/>
    </w:rPr>
  </w:style>
  <w:style w:type="character" w:customStyle="1" w:styleId="2062">
    <w:name w:val="图名 Char Char Char"/>
    <w:qFormat/>
    <w:locked/>
    <w:uiPriority w:val="0"/>
    <w:rPr>
      <w:rFonts w:ascii="Calibri" w:hAnsi="Calibri" w:eastAsia="宋体"/>
      <w:b/>
    </w:rPr>
  </w:style>
  <w:style w:type="character" w:customStyle="1" w:styleId="2063">
    <w:name w:val="表格式 Char Char"/>
    <w:qFormat/>
    <w:uiPriority w:val="0"/>
    <w:rPr>
      <w:rFonts w:hint="eastAsia" w:ascii="宋体" w:hAnsi="宋体" w:eastAsia="宋体" w:cs="宋体"/>
      <w:kern w:val="2"/>
      <w:sz w:val="21"/>
      <w:szCs w:val="24"/>
      <w:lang w:val="en-US" w:eastAsia="zh-CN" w:bidi="ar-SA"/>
    </w:rPr>
  </w:style>
  <w:style w:type="character" w:customStyle="1" w:styleId="2064">
    <w:name w:val="Char3 Char Char1"/>
    <w:qFormat/>
    <w:uiPriority w:val="0"/>
    <w:rPr>
      <w:rFonts w:ascii="宋体" w:hAnsi="宋体" w:eastAsia="宋体" w:cs="宋体"/>
      <w:kern w:val="2"/>
      <w:sz w:val="21"/>
      <w:szCs w:val="24"/>
      <w:lang w:val="en-US" w:eastAsia="zh-CN" w:bidi="ar-SA"/>
    </w:rPr>
  </w:style>
  <w:style w:type="character" w:customStyle="1" w:styleId="2065">
    <w:name w:val="正文文本 2 字符1"/>
    <w:qFormat/>
    <w:uiPriority w:val="0"/>
    <w:rPr>
      <w:rFonts w:hint="eastAsia" w:ascii="宋体" w:hAnsi="宋体" w:eastAsia="宋体"/>
      <w:kern w:val="2"/>
      <w:sz w:val="21"/>
      <w:szCs w:val="24"/>
      <w:lang w:val="en-US" w:eastAsia="zh-CN" w:bidi="ar-SA"/>
    </w:rPr>
  </w:style>
  <w:style w:type="character" w:customStyle="1" w:styleId="2066">
    <w:name w:val="自定义正文 Char Char Char Char Char Char Char Char Char Char Char Char Char Char Char"/>
    <w:link w:val="2067"/>
    <w:qFormat/>
    <w:locked/>
    <w:uiPriority w:val="0"/>
    <w:rPr>
      <w:rFonts w:ascii="宋体" w:hAnsi="宋体" w:cs="宋体"/>
      <w:position w:val="-28"/>
      <w:sz w:val="28"/>
      <w:szCs w:val="24"/>
    </w:rPr>
  </w:style>
  <w:style w:type="paragraph" w:customStyle="1" w:styleId="2067">
    <w:name w:val="自定义正文 Char Char Char Char Char Char Char Char Char Char Char Char Char"/>
    <w:link w:val="2066"/>
    <w:qFormat/>
    <w:uiPriority w:val="0"/>
    <w:pPr>
      <w:widowControl w:val="0"/>
      <w:topLinePunct/>
      <w:adjustRightInd w:val="0"/>
      <w:snapToGrid w:val="0"/>
      <w:spacing w:line="360" w:lineRule="auto"/>
      <w:ind w:firstLine="510"/>
      <w:jc w:val="both"/>
    </w:pPr>
    <w:rPr>
      <w:rFonts w:ascii="宋体" w:hAnsi="宋体" w:eastAsia="宋体" w:cs="宋体"/>
      <w:position w:val="-28"/>
      <w:sz w:val="28"/>
      <w:szCs w:val="24"/>
      <w:lang w:val="en-US" w:eastAsia="zh-CN" w:bidi="ar-SA"/>
    </w:rPr>
  </w:style>
  <w:style w:type="character" w:customStyle="1" w:styleId="2068">
    <w:name w:val="正文文本缩进 3 Char5"/>
    <w:qFormat/>
    <w:uiPriority w:val="0"/>
    <w:rPr>
      <w:rFonts w:hint="eastAsia" w:ascii="宋体" w:hAnsi="宋体" w:eastAsia="宋体" w:cs="宋体"/>
      <w:kern w:val="2"/>
      <w:sz w:val="16"/>
      <w:szCs w:val="16"/>
      <w:lang w:val="en-US" w:eastAsia="zh-CN" w:bidi="ar"/>
    </w:rPr>
  </w:style>
  <w:style w:type="character" w:customStyle="1" w:styleId="2069">
    <w:name w:val="hx1"/>
    <w:qFormat/>
    <w:uiPriority w:val="0"/>
    <w:rPr>
      <w:rFonts w:hint="eastAsia" w:ascii="宋体" w:hAnsi="宋体" w:eastAsia="宋体" w:cs="宋体"/>
      <w:kern w:val="2"/>
      <w:sz w:val="28"/>
      <w:szCs w:val="24"/>
      <w:lang w:val="en-US" w:eastAsia="zh-CN" w:bidi="ar"/>
    </w:rPr>
  </w:style>
  <w:style w:type="character" w:customStyle="1" w:styleId="2070">
    <w:name w:val="1.3行 Char Char"/>
    <w:link w:val="2071"/>
    <w:qFormat/>
    <w:locked/>
    <w:uiPriority w:val="0"/>
    <w:rPr>
      <w:rFonts w:ascii="宋体" w:hAnsi="宋体" w:cs="宋体"/>
      <w:color w:val="000000"/>
      <w:sz w:val="28"/>
      <w:szCs w:val="24"/>
    </w:rPr>
  </w:style>
  <w:style w:type="paragraph" w:customStyle="1" w:styleId="2071">
    <w:name w:val="1.3行"/>
    <w:basedOn w:val="1"/>
    <w:link w:val="2070"/>
    <w:qFormat/>
    <w:uiPriority w:val="0"/>
    <w:pPr>
      <w:adjustRightInd w:val="0"/>
      <w:snapToGrid w:val="0"/>
      <w:spacing w:line="312" w:lineRule="auto"/>
      <w:ind w:firstLine="200" w:firstLineChars="200"/>
    </w:pPr>
    <w:rPr>
      <w:rFonts w:ascii="宋体" w:hAnsi="宋体" w:eastAsia="宋体" w:cs="宋体"/>
      <w:color w:val="000000"/>
      <w:kern w:val="0"/>
      <w:szCs w:val="24"/>
    </w:rPr>
  </w:style>
  <w:style w:type="character" w:customStyle="1" w:styleId="2072">
    <w:name w:val="报告表标题 Char Char"/>
    <w:link w:val="2073"/>
    <w:qFormat/>
    <w:locked/>
    <w:uiPriority w:val="0"/>
    <w:rPr>
      <w:rFonts w:ascii="宋体" w:hAnsi="宋体" w:cs="宋体"/>
      <w:sz w:val="24"/>
      <w:szCs w:val="24"/>
    </w:rPr>
  </w:style>
  <w:style w:type="paragraph" w:customStyle="1" w:styleId="2073">
    <w:name w:val="报告表标题"/>
    <w:basedOn w:val="1"/>
    <w:link w:val="2072"/>
    <w:qFormat/>
    <w:uiPriority w:val="0"/>
    <w:pPr>
      <w:widowControl/>
      <w:tabs>
        <w:tab w:val="left" w:pos="632"/>
        <w:tab w:val="left" w:pos="1080"/>
      </w:tabs>
      <w:ind w:left="425" w:hanging="425"/>
      <w:jc w:val="left"/>
    </w:pPr>
    <w:rPr>
      <w:rFonts w:ascii="宋体" w:hAnsi="宋体" w:eastAsia="宋体" w:cs="宋体"/>
      <w:kern w:val="0"/>
      <w:sz w:val="24"/>
      <w:szCs w:val="24"/>
    </w:rPr>
  </w:style>
  <w:style w:type="character" w:customStyle="1" w:styleId="2074">
    <w:name w:val="H9 Char Char"/>
    <w:qFormat/>
    <w:uiPriority w:val="0"/>
    <w:rPr>
      <w:rFonts w:hint="default" w:ascii="Cambria" w:hAnsi="Cambria" w:eastAsia="宋体" w:cs="宋体"/>
      <w:kern w:val="2"/>
      <w:sz w:val="21"/>
      <w:szCs w:val="24"/>
      <w:lang w:val="en-US" w:eastAsia="zh-CN" w:bidi="ar-SA"/>
    </w:rPr>
  </w:style>
  <w:style w:type="character" w:customStyle="1" w:styleId="2075">
    <w:name w:val="表格名称 Char Char"/>
    <w:qFormat/>
    <w:uiPriority w:val="0"/>
    <w:rPr>
      <w:rFonts w:hint="default" w:ascii="Times New Roman" w:hAnsi="Times New Roman" w:eastAsia="宋体" w:cs="Times New Roman"/>
      <w:bCs/>
      <w:kern w:val="2"/>
      <w:sz w:val="24"/>
      <w:szCs w:val="20"/>
      <w:lang w:val="en-US" w:eastAsia="zh-CN" w:bidi="ar-SA"/>
    </w:rPr>
  </w:style>
  <w:style w:type="character" w:customStyle="1" w:styleId="2076">
    <w:name w:val="style1 style2"/>
    <w:qFormat/>
    <w:uiPriority w:val="0"/>
    <w:rPr>
      <w:rFonts w:hint="eastAsia" w:ascii="宋体" w:hAnsi="宋体" w:eastAsia="宋体" w:cs="宋体"/>
      <w:kern w:val="2"/>
      <w:sz w:val="28"/>
      <w:szCs w:val="24"/>
      <w:lang w:val="en-US" w:eastAsia="zh-CN" w:bidi="ar"/>
    </w:rPr>
  </w:style>
  <w:style w:type="character" w:customStyle="1" w:styleId="2077">
    <w:name w:val="沥青正文 Char"/>
    <w:qFormat/>
    <w:uiPriority w:val="0"/>
    <w:rPr>
      <w:rFonts w:hint="eastAsia" w:ascii="宋体" w:hAnsi="宋体" w:eastAsia="宋体" w:cs="宋体"/>
      <w:kern w:val="2"/>
      <w:sz w:val="24"/>
      <w:szCs w:val="24"/>
      <w:lang w:val="en-US" w:eastAsia="zh-CN" w:bidi="ar"/>
    </w:rPr>
  </w:style>
  <w:style w:type="character" w:customStyle="1" w:styleId="2078">
    <w:name w:val="图标标题 Char Char Char"/>
    <w:qFormat/>
    <w:uiPriority w:val="0"/>
    <w:rPr>
      <w:rFonts w:hint="eastAsia" w:ascii="宋体" w:hAnsi="宋体" w:eastAsia="黑体" w:cs="宋体"/>
      <w:kern w:val="2"/>
      <w:sz w:val="24"/>
      <w:szCs w:val="24"/>
      <w:lang w:val="en-US" w:eastAsia="zh-CN" w:bidi="ar-SA"/>
    </w:rPr>
  </w:style>
  <w:style w:type="character" w:customStyle="1" w:styleId="2079">
    <w:name w:val="3zw"/>
    <w:qFormat/>
    <w:uiPriority w:val="0"/>
    <w:rPr>
      <w:rFonts w:hint="eastAsia" w:ascii="宋体" w:hAnsi="宋体" w:eastAsia="宋体" w:cs="宋体"/>
      <w:kern w:val="2"/>
      <w:sz w:val="24"/>
      <w:szCs w:val="20"/>
      <w:lang w:val="en-US" w:eastAsia="zh-CN" w:bidi="ar"/>
    </w:rPr>
  </w:style>
  <w:style w:type="character" w:customStyle="1" w:styleId="2080">
    <w:name w:val="样式 标题 1标题 1 Char标题1章节H1h11headingHeader 1st Pageh1 chap..."/>
    <w:qFormat/>
    <w:uiPriority w:val="0"/>
    <w:rPr>
      <w:rFonts w:hint="default" w:ascii="Times New Roman" w:hAnsi="宋体" w:eastAsia="仿宋_GB2312" w:cs="宋体"/>
      <w:kern w:val="2"/>
      <w:sz w:val="28"/>
      <w:szCs w:val="24"/>
      <w:lang w:val="en-US" w:eastAsia="zh-CN" w:bidi="ar"/>
    </w:rPr>
  </w:style>
  <w:style w:type="character" w:customStyle="1" w:styleId="2081">
    <w:name w:val="7表格(治) Char Char Char"/>
    <w:qFormat/>
    <w:uiPriority w:val="0"/>
    <w:rPr>
      <w:rFonts w:hint="eastAsia" w:ascii="宋体" w:hAnsi="宋体" w:eastAsia="宋体"/>
      <w:color w:val="000000"/>
      <w:sz w:val="24"/>
      <w:szCs w:val="24"/>
      <w:lang w:bidi="ar-SA"/>
    </w:rPr>
  </w:style>
  <w:style w:type="character" w:customStyle="1" w:styleId="2082">
    <w:name w:val="Char Char61"/>
    <w:qFormat/>
    <w:uiPriority w:val="0"/>
    <w:rPr>
      <w:rFonts w:hint="eastAsia" w:ascii="宋体" w:hAnsi="宋体" w:eastAsia="宋体" w:cs="宋体"/>
      <w:snapToGrid w:val="0"/>
      <w:kern w:val="2"/>
      <w:sz w:val="24"/>
      <w:szCs w:val="26"/>
      <w:lang w:val="en-US" w:eastAsia="zh-CN" w:bidi="ar"/>
    </w:rPr>
  </w:style>
  <w:style w:type="character" w:customStyle="1" w:styleId="2083">
    <w:name w:val="页眉 Char1"/>
    <w:qFormat/>
    <w:uiPriority w:val="0"/>
    <w:rPr>
      <w:rFonts w:hint="eastAsia" w:ascii="宋体" w:hAnsi="宋体" w:eastAsia="宋体" w:cs="宋体"/>
      <w:kern w:val="2"/>
      <w:sz w:val="18"/>
      <w:szCs w:val="18"/>
      <w:lang w:val="en-US" w:eastAsia="zh-CN" w:bidi="ar"/>
    </w:rPr>
  </w:style>
  <w:style w:type="character" w:customStyle="1" w:styleId="2084">
    <w:name w:val="样式22 Char Char Char"/>
    <w:link w:val="2085"/>
    <w:qFormat/>
    <w:locked/>
    <w:uiPriority w:val="0"/>
    <w:rPr>
      <w:rFonts w:ascii="宋体" w:hAnsi="宋体" w:cs="宋体"/>
      <w:color w:val="000000"/>
      <w:szCs w:val="21"/>
    </w:rPr>
  </w:style>
  <w:style w:type="paragraph" w:customStyle="1" w:styleId="2085">
    <w:name w:val="样式22"/>
    <w:basedOn w:val="1"/>
    <w:link w:val="2084"/>
    <w:qFormat/>
    <w:uiPriority w:val="0"/>
    <w:pPr>
      <w:spacing w:line="300" w:lineRule="exact"/>
      <w:jc w:val="center"/>
    </w:pPr>
    <w:rPr>
      <w:rFonts w:ascii="宋体" w:hAnsi="宋体" w:eastAsia="宋体" w:cs="宋体"/>
      <w:color w:val="000000"/>
      <w:kern w:val="0"/>
      <w:sz w:val="20"/>
      <w:szCs w:val="21"/>
    </w:rPr>
  </w:style>
  <w:style w:type="character" w:customStyle="1" w:styleId="2086">
    <w:name w:val="style8"/>
    <w:qFormat/>
    <w:uiPriority w:val="0"/>
    <w:rPr>
      <w:rFonts w:hint="eastAsia" w:ascii="宋体" w:hAnsi="宋体" w:eastAsia="宋体" w:cs="宋体"/>
      <w:kern w:val="2"/>
      <w:sz w:val="28"/>
      <w:szCs w:val="24"/>
      <w:lang w:val="en-US" w:eastAsia="zh-CN" w:bidi="ar"/>
    </w:rPr>
  </w:style>
  <w:style w:type="character" w:customStyle="1" w:styleId="2087">
    <w:name w:val="a11"/>
    <w:qFormat/>
    <w:uiPriority w:val="0"/>
    <w:rPr>
      <w:rFonts w:hint="eastAsia" w:ascii="宋体" w:hAnsi="宋体" w:eastAsia="宋体" w:cs="宋体"/>
      <w:spacing w:val="330"/>
      <w:kern w:val="2"/>
      <w:sz w:val="20"/>
      <w:szCs w:val="20"/>
      <w:lang w:val="en-US" w:eastAsia="zh-CN" w:bidi="ar"/>
    </w:rPr>
  </w:style>
  <w:style w:type="character" w:customStyle="1" w:styleId="2088">
    <w:name w:val="样式 三江正文 + 左侧:  2 字符 Char Char Char"/>
    <w:qFormat/>
    <w:uiPriority w:val="0"/>
    <w:rPr>
      <w:rFonts w:hint="eastAsia" w:ascii="宋体" w:hAnsi="宋体" w:eastAsia="宋体" w:cs="宋体"/>
      <w:kern w:val="2"/>
      <w:sz w:val="24"/>
      <w:szCs w:val="24"/>
      <w:lang w:val="en-US" w:eastAsia="zh-CN" w:bidi="ar-SA"/>
    </w:rPr>
  </w:style>
  <w:style w:type="character" w:customStyle="1" w:styleId="2089">
    <w:name w:val="info"/>
    <w:qFormat/>
    <w:uiPriority w:val="0"/>
    <w:rPr>
      <w:rFonts w:hint="eastAsia" w:ascii="宋体" w:hAnsi="宋体" w:eastAsia="宋体" w:cs="宋体"/>
      <w:kern w:val="2"/>
      <w:sz w:val="28"/>
      <w:szCs w:val="24"/>
      <w:lang w:val="en-US" w:eastAsia="zh-CN" w:bidi="ar"/>
    </w:rPr>
  </w:style>
  <w:style w:type="character" w:customStyle="1" w:styleId="2090">
    <w:name w:val="实德题注 Char1"/>
    <w:qFormat/>
    <w:uiPriority w:val="0"/>
    <w:rPr>
      <w:rFonts w:hint="eastAsia" w:ascii="宋体" w:hAnsi="宋体" w:eastAsia="宋体" w:cs="宋体"/>
      <w:b/>
      <w:color w:val="000000"/>
      <w:kern w:val="2"/>
      <w:sz w:val="24"/>
      <w:szCs w:val="24"/>
      <w:lang w:val="en-US" w:eastAsia="zh-CN" w:bidi="ar-SA"/>
    </w:rPr>
  </w:style>
  <w:style w:type="character" w:customStyle="1" w:styleId="2091">
    <w:name w:val="样式 标题 3 + 小四 Char Char Char"/>
    <w:qFormat/>
    <w:uiPriority w:val="0"/>
    <w:rPr>
      <w:rFonts w:hint="eastAsia" w:ascii="宋体" w:hAnsi="宋体" w:eastAsia="宋体" w:cs="宋体"/>
      <w:b/>
      <w:bCs/>
      <w:kern w:val="2"/>
      <w:sz w:val="24"/>
      <w:szCs w:val="24"/>
      <w:lang w:val="en-US" w:eastAsia="zh-CN" w:bidi="ar-SA"/>
    </w:rPr>
  </w:style>
  <w:style w:type="character" w:customStyle="1" w:styleId="2092">
    <w:name w:val="headline-content3"/>
    <w:qFormat/>
    <w:uiPriority w:val="0"/>
    <w:rPr>
      <w:rFonts w:hint="eastAsia" w:ascii="宋体" w:hAnsi="宋体" w:eastAsia="宋体" w:cs="宋体"/>
      <w:kern w:val="2"/>
      <w:sz w:val="28"/>
      <w:szCs w:val="24"/>
      <w:lang w:val="en-US" w:eastAsia="zh-CN" w:bidi="ar"/>
    </w:rPr>
  </w:style>
  <w:style w:type="character" w:customStyle="1" w:styleId="2093">
    <w:name w:val="全部文体 Char Char Char"/>
    <w:qFormat/>
    <w:uiPriority w:val="0"/>
    <w:rPr>
      <w:rFonts w:hint="eastAsia" w:ascii="宋体" w:hAnsi="宋体" w:eastAsia="宋体" w:cs="宋体"/>
      <w:color w:val="000000"/>
      <w:kern w:val="2"/>
      <w:sz w:val="24"/>
      <w:szCs w:val="24"/>
      <w:lang w:val="en-US" w:eastAsia="zh-CN" w:bidi="ar-SA"/>
    </w:rPr>
  </w:style>
  <w:style w:type="character" w:customStyle="1" w:styleId="2094">
    <w:name w:val="content_11"/>
    <w:qFormat/>
    <w:uiPriority w:val="0"/>
    <w:rPr>
      <w:rFonts w:hint="eastAsia" w:ascii="宋体" w:hAnsi="宋体" w:eastAsia="宋体" w:cs="宋体"/>
      <w:color w:val="333333"/>
      <w:kern w:val="2"/>
      <w:sz w:val="18"/>
      <w:szCs w:val="18"/>
      <w:lang w:val="en-US" w:eastAsia="zh-CN" w:bidi="ar"/>
    </w:rPr>
  </w:style>
  <w:style w:type="character" w:customStyle="1" w:styleId="2095">
    <w:name w:val="样式 11.5 磅2"/>
    <w:qFormat/>
    <w:uiPriority w:val="0"/>
    <w:rPr>
      <w:rFonts w:hint="eastAsia" w:ascii="宋体" w:hAnsi="宋体" w:eastAsia="宋体" w:cs="宋体"/>
      <w:kern w:val="2"/>
      <w:sz w:val="24"/>
      <w:szCs w:val="24"/>
      <w:lang w:val="en-US" w:eastAsia="zh-CN" w:bidi="ar"/>
    </w:rPr>
  </w:style>
  <w:style w:type="character" w:customStyle="1" w:styleId="2096">
    <w:name w:val="自正文1 Char Char1"/>
    <w:qFormat/>
    <w:uiPriority w:val="0"/>
    <w:rPr>
      <w:rFonts w:hint="eastAsia" w:ascii="宋体" w:hAnsi="宋体" w:eastAsia="宋体" w:cs="宋体"/>
      <w:kern w:val="24"/>
      <w:sz w:val="24"/>
      <w:szCs w:val="24"/>
      <w:lang w:val="en-US" w:eastAsia="zh-CN" w:bidi="ar"/>
    </w:rPr>
  </w:style>
  <w:style w:type="character" w:customStyle="1" w:styleId="2097">
    <w:name w:val="4正文 Char Char Char"/>
    <w:qFormat/>
    <w:uiPriority w:val="0"/>
    <w:rPr>
      <w:rFonts w:hint="eastAsia" w:ascii="宋体" w:hAnsi="宋体" w:eastAsia="宋体"/>
      <w:kern w:val="2"/>
      <w:sz w:val="28"/>
      <w:lang w:val="zh-CN" w:bidi="ar-SA"/>
    </w:rPr>
  </w:style>
  <w:style w:type="character" w:customStyle="1" w:styleId="2098">
    <w:name w:val="上标 Char Char"/>
    <w:link w:val="2099"/>
    <w:qFormat/>
    <w:locked/>
    <w:uiPriority w:val="0"/>
    <w:rPr>
      <w:rFonts w:ascii="宋体" w:hAnsi="宋体" w:cs="宋体"/>
      <w:sz w:val="24"/>
      <w:szCs w:val="24"/>
      <w:vertAlign w:val="superscript"/>
    </w:rPr>
  </w:style>
  <w:style w:type="paragraph" w:customStyle="1" w:styleId="2099">
    <w:name w:val="上标"/>
    <w:next w:val="1"/>
    <w:link w:val="2098"/>
    <w:qFormat/>
    <w:uiPriority w:val="0"/>
    <w:pPr>
      <w:ind w:firstLine="480"/>
    </w:pPr>
    <w:rPr>
      <w:rFonts w:ascii="宋体" w:hAnsi="宋体" w:eastAsia="宋体" w:cs="宋体"/>
      <w:sz w:val="24"/>
      <w:szCs w:val="24"/>
      <w:vertAlign w:val="superscript"/>
      <w:lang w:val="en-US" w:eastAsia="zh-CN" w:bidi="ar-SA"/>
    </w:rPr>
  </w:style>
  <w:style w:type="character" w:customStyle="1" w:styleId="2100">
    <w:name w:val="报告书 Char Char"/>
    <w:link w:val="2101"/>
    <w:qFormat/>
    <w:locked/>
    <w:uiPriority w:val="0"/>
    <w:rPr>
      <w:rFonts w:ascii="Times" w:hAnsi="Times" w:eastAsia="黑体" w:cs="宋体"/>
      <w:spacing w:val="16"/>
      <w:sz w:val="72"/>
      <w:szCs w:val="24"/>
    </w:rPr>
  </w:style>
  <w:style w:type="paragraph" w:customStyle="1" w:styleId="2101">
    <w:name w:val="报告书"/>
    <w:basedOn w:val="1"/>
    <w:link w:val="2100"/>
    <w:qFormat/>
    <w:uiPriority w:val="0"/>
    <w:pPr>
      <w:adjustRightInd w:val="0"/>
      <w:snapToGrid w:val="0"/>
      <w:spacing w:beforeLines="50" w:line="312" w:lineRule="auto"/>
      <w:jc w:val="center"/>
    </w:pPr>
    <w:rPr>
      <w:rFonts w:ascii="Times" w:hAnsi="Times" w:eastAsia="黑体" w:cs="宋体"/>
      <w:spacing w:val="16"/>
      <w:kern w:val="0"/>
      <w:sz w:val="72"/>
      <w:szCs w:val="24"/>
    </w:rPr>
  </w:style>
  <w:style w:type="character" w:customStyle="1" w:styleId="2102">
    <w:name w:val="样式 样式 方正宋三简体 14 磅 行距: 1.5 倍行距1 + 首行缩进:  2 字符 Char Char"/>
    <w:link w:val="2103"/>
    <w:qFormat/>
    <w:locked/>
    <w:uiPriority w:val="0"/>
    <w:rPr>
      <w:rFonts w:ascii="宋体" w:hAnsi="方正宋三简体" w:cs="宋体"/>
      <w:sz w:val="27"/>
      <w:szCs w:val="27"/>
    </w:rPr>
  </w:style>
  <w:style w:type="paragraph" w:customStyle="1" w:styleId="2103">
    <w:name w:val="样式 样式 方正宋三简体 14 磅 行距: 1.5 倍行距1 + 首行缩进:  2 字符"/>
    <w:basedOn w:val="1"/>
    <w:link w:val="2102"/>
    <w:qFormat/>
    <w:uiPriority w:val="0"/>
    <w:pPr>
      <w:ind w:firstLine="200" w:firstLineChars="200"/>
    </w:pPr>
    <w:rPr>
      <w:rFonts w:ascii="宋体" w:hAnsi="方正宋三简体" w:eastAsia="宋体" w:cs="宋体"/>
      <w:kern w:val="0"/>
      <w:sz w:val="27"/>
      <w:szCs w:val="27"/>
    </w:rPr>
  </w:style>
  <w:style w:type="character" w:customStyle="1" w:styleId="2104">
    <w:name w:val="H6 Char2"/>
    <w:qFormat/>
    <w:uiPriority w:val="0"/>
    <w:rPr>
      <w:rFonts w:hint="default" w:ascii="Arial" w:hAnsi="Arial" w:eastAsia="黑体" w:cs="宋体"/>
      <w:b/>
      <w:bCs/>
      <w:kern w:val="2"/>
      <w:sz w:val="24"/>
      <w:szCs w:val="24"/>
      <w:lang w:val="en-US" w:eastAsia="zh-CN" w:bidi="ar"/>
    </w:rPr>
  </w:style>
  <w:style w:type="character" w:customStyle="1" w:styleId="2105">
    <w:name w:val="标题 1 Char Char Char Char Char Char Char Char"/>
    <w:qFormat/>
    <w:uiPriority w:val="0"/>
    <w:rPr>
      <w:rFonts w:hint="eastAsia" w:ascii="宋体" w:hAnsi="宋体" w:eastAsia="宋体" w:cs="宋体"/>
      <w:kern w:val="2"/>
      <w:sz w:val="24"/>
      <w:szCs w:val="24"/>
      <w:lang w:val="en-US" w:eastAsia="zh-CN" w:bidi="ar"/>
    </w:rPr>
  </w:style>
  <w:style w:type="character" w:customStyle="1" w:styleId="2106">
    <w:name w:val="正文文字 2 Char Char1"/>
    <w:qFormat/>
    <w:uiPriority w:val="0"/>
    <w:rPr>
      <w:rFonts w:hint="default" w:ascii="Times New Roman" w:hAnsi="Times New Roman" w:eastAsia="宋体" w:cs="Times New Roman"/>
      <w:kern w:val="2"/>
      <w:sz w:val="28"/>
      <w:szCs w:val="20"/>
      <w:lang w:val="en-US" w:eastAsia="zh-CN" w:bidi="ar"/>
    </w:rPr>
  </w:style>
  <w:style w:type="character" w:customStyle="1" w:styleId="2107">
    <w:name w:val="5-正文 Char Char"/>
    <w:link w:val="2108"/>
    <w:qFormat/>
    <w:locked/>
    <w:uiPriority w:val="0"/>
    <w:rPr>
      <w:rFonts w:ascii="宋体" w:hAnsi="宋体" w:cs="宋体"/>
      <w:sz w:val="24"/>
      <w:szCs w:val="24"/>
    </w:rPr>
  </w:style>
  <w:style w:type="paragraph" w:customStyle="1" w:styleId="2108">
    <w:name w:val="5-正文"/>
    <w:basedOn w:val="1"/>
    <w:link w:val="2107"/>
    <w:qFormat/>
    <w:uiPriority w:val="0"/>
    <w:pPr>
      <w:snapToGrid w:val="0"/>
      <w:spacing w:line="360" w:lineRule="auto"/>
      <w:ind w:firstLine="480" w:firstLineChars="200"/>
    </w:pPr>
    <w:rPr>
      <w:rFonts w:ascii="宋体" w:hAnsi="宋体" w:eastAsia="宋体" w:cs="宋体"/>
      <w:kern w:val="0"/>
      <w:sz w:val="24"/>
      <w:szCs w:val="24"/>
    </w:rPr>
  </w:style>
  <w:style w:type="character" w:customStyle="1" w:styleId="2109">
    <w:name w:val="zhengwen1"/>
    <w:qFormat/>
    <w:uiPriority w:val="0"/>
    <w:rPr>
      <w:rFonts w:hint="default" w:ascii="ˎ̥" w:hAnsi="ˎ̥" w:eastAsia="宋体" w:cs="宋体"/>
      <w:color w:val="000000"/>
      <w:kern w:val="2"/>
      <w:sz w:val="18"/>
      <w:szCs w:val="18"/>
      <w:lang w:val="en-US" w:eastAsia="zh-CN" w:bidi="ar"/>
    </w:rPr>
  </w:style>
  <w:style w:type="character" w:customStyle="1" w:styleId="2110">
    <w:name w:val="白银正文 Char"/>
    <w:qFormat/>
    <w:locked/>
    <w:uiPriority w:val="0"/>
    <w:rPr>
      <w:rFonts w:hint="default" w:ascii="Calibri" w:hAnsi="Calibri" w:eastAsia="宋体" w:cs="宋体"/>
      <w:kern w:val="2"/>
      <w:sz w:val="24"/>
      <w:szCs w:val="22"/>
      <w:lang w:val="en-US" w:eastAsia="zh-CN" w:bidi="ar-SA"/>
    </w:rPr>
  </w:style>
  <w:style w:type="character" w:customStyle="1" w:styleId="2111">
    <w:name w:val="样式 小四 蓝色 首行缩进:  0.85 厘米 行距: 多倍行距 1.4 字行 Char Char"/>
    <w:link w:val="2112"/>
    <w:qFormat/>
    <w:locked/>
    <w:uiPriority w:val="0"/>
    <w:rPr>
      <w:rFonts w:ascii="宋体" w:hAnsi="宋体" w:cs="宋体"/>
      <w:color w:val="0000FF"/>
      <w:sz w:val="24"/>
      <w:szCs w:val="24"/>
    </w:rPr>
  </w:style>
  <w:style w:type="paragraph" w:customStyle="1" w:styleId="2112">
    <w:name w:val="样式 小四 蓝色 首行缩进:  0.85 厘米 行距: 多倍行距 1.4 字行"/>
    <w:basedOn w:val="1"/>
    <w:link w:val="2111"/>
    <w:qFormat/>
    <w:uiPriority w:val="0"/>
    <w:pPr>
      <w:spacing w:line="336" w:lineRule="auto"/>
      <w:ind w:firstLine="482"/>
    </w:pPr>
    <w:rPr>
      <w:rFonts w:ascii="宋体" w:hAnsi="宋体" w:eastAsia="宋体" w:cs="宋体"/>
      <w:color w:val="0000FF"/>
      <w:kern w:val="0"/>
      <w:sz w:val="24"/>
      <w:szCs w:val="24"/>
    </w:rPr>
  </w:style>
  <w:style w:type="character" w:customStyle="1" w:styleId="2113">
    <w:name w:val="可研-正文 Char Char"/>
    <w:link w:val="2114"/>
    <w:qFormat/>
    <w:locked/>
    <w:uiPriority w:val="0"/>
    <w:rPr>
      <w:rFonts w:ascii="宋体" w:hAnsi="宋体" w:cs="宋体"/>
      <w:sz w:val="28"/>
      <w:szCs w:val="24"/>
    </w:rPr>
  </w:style>
  <w:style w:type="paragraph" w:customStyle="1" w:styleId="2114">
    <w:name w:val="可研-正文"/>
    <w:basedOn w:val="1"/>
    <w:link w:val="2113"/>
    <w:qFormat/>
    <w:uiPriority w:val="0"/>
    <w:pPr>
      <w:ind w:firstLine="200" w:firstLineChars="200"/>
    </w:pPr>
    <w:rPr>
      <w:rFonts w:ascii="宋体" w:hAnsi="宋体" w:eastAsia="宋体" w:cs="宋体"/>
      <w:kern w:val="0"/>
      <w:szCs w:val="24"/>
    </w:rPr>
  </w:style>
  <w:style w:type="character" w:customStyle="1" w:styleId="2115">
    <w:name w:val="00 Char Char"/>
    <w:link w:val="2116"/>
    <w:qFormat/>
    <w:locked/>
    <w:uiPriority w:val="0"/>
    <w:rPr>
      <w:rFonts w:ascii="黑体" w:hAnsi="宋体" w:eastAsia="黑体" w:cs="宋体"/>
      <w:b/>
      <w:bCs/>
      <w:kern w:val="44"/>
      <w:sz w:val="30"/>
      <w:szCs w:val="24"/>
    </w:rPr>
  </w:style>
  <w:style w:type="paragraph" w:customStyle="1" w:styleId="2116">
    <w:name w:val="00"/>
    <w:basedOn w:val="3"/>
    <w:link w:val="2115"/>
    <w:qFormat/>
    <w:uiPriority w:val="0"/>
    <w:pPr>
      <w:pageBreakBefore w:val="0"/>
      <w:tabs>
        <w:tab w:val="clear" w:pos="1080"/>
      </w:tabs>
      <w:spacing w:before="0" w:after="340" w:line="360" w:lineRule="auto"/>
      <w:ind w:left="0" w:firstLine="0"/>
    </w:pPr>
    <w:rPr>
      <w:rFonts w:ascii="黑体" w:hAnsi="宋体" w:eastAsia="黑体" w:cs="宋体"/>
      <w:bCs/>
      <w:sz w:val="30"/>
      <w:szCs w:val="24"/>
    </w:rPr>
  </w:style>
  <w:style w:type="character" w:customStyle="1" w:styleId="2117">
    <w:name w:val="段落1 Char1"/>
    <w:link w:val="2118"/>
    <w:qFormat/>
    <w:locked/>
    <w:uiPriority w:val="0"/>
    <w:rPr>
      <w:rFonts w:ascii="宋体" w:hAnsi="宋体" w:cs="宋体"/>
      <w:bCs/>
      <w:spacing w:val="6"/>
      <w:sz w:val="24"/>
      <w:szCs w:val="24"/>
    </w:rPr>
  </w:style>
  <w:style w:type="paragraph" w:customStyle="1" w:styleId="2118">
    <w:name w:val="段落1"/>
    <w:basedOn w:val="1"/>
    <w:link w:val="2117"/>
    <w:qFormat/>
    <w:uiPriority w:val="0"/>
    <w:pPr>
      <w:adjustRightInd w:val="0"/>
      <w:spacing w:before="120" w:after="120" w:line="360" w:lineRule="auto"/>
      <w:ind w:firstLine="504" w:firstLineChars="200"/>
      <w:jc w:val="left"/>
    </w:pPr>
    <w:rPr>
      <w:rFonts w:ascii="宋体" w:hAnsi="宋体" w:eastAsia="宋体" w:cs="宋体"/>
      <w:bCs/>
      <w:spacing w:val="6"/>
      <w:kern w:val="0"/>
      <w:sz w:val="24"/>
      <w:szCs w:val="24"/>
    </w:rPr>
  </w:style>
  <w:style w:type="character" w:customStyle="1" w:styleId="2119">
    <w:name w:val="样式 样式 首行缩进:  1.01 厘米 + 首行缩进:  2 字符 Char Char"/>
    <w:qFormat/>
    <w:locked/>
    <w:uiPriority w:val="0"/>
    <w:rPr>
      <w:rFonts w:ascii="Calibri" w:hAnsi="Calibri" w:eastAsia="宋体" w:cs="黑体"/>
      <w:kern w:val="2"/>
      <w:sz w:val="21"/>
      <w:szCs w:val="22"/>
      <w:lang w:val="en-US" w:eastAsia="zh-CN" w:bidi="ar-SA"/>
    </w:rPr>
  </w:style>
  <w:style w:type="character" w:customStyle="1" w:styleId="2120">
    <w:name w:val="Char Char141"/>
    <w:qFormat/>
    <w:locked/>
    <w:uiPriority w:val="0"/>
    <w:rPr>
      <w:rFonts w:ascii="Calibri" w:hAnsi="Calibri" w:eastAsia="宋体" w:cs="黑体"/>
      <w:kern w:val="2"/>
      <w:sz w:val="21"/>
      <w:szCs w:val="22"/>
      <w:lang w:val="en-US" w:eastAsia="zh-CN" w:bidi="ar-SA"/>
    </w:rPr>
  </w:style>
  <w:style w:type="character" w:customStyle="1" w:styleId="2121">
    <w:name w:val="明显引用 Char"/>
    <w:link w:val="2122"/>
    <w:qFormat/>
    <w:locked/>
    <w:uiPriority w:val="0"/>
    <w:rPr>
      <w:rFonts w:ascii="宋体" w:hAnsi="宋体"/>
      <w:b/>
      <w:i/>
    </w:rPr>
  </w:style>
  <w:style w:type="paragraph" w:styleId="2122">
    <w:name w:val="Intense Quote"/>
    <w:basedOn w:val="1"/>
    <w:next w:val="1"/>
    <w:link w:val="2121"/>
    <w:qFormat/>
    <w:uiPriority w:val="0"/>
    <w:pPr>
      <w:ind w:left="720" w:right="720"/>
    </w:pPr>
    <w:rPr>
      <w:rFonts w:ascii="宋体" w:hAnsi="宋体" w:eastAsia="宋体"/>
      <w:b/>
      <w:i/>
      <w:kern w:val="0"/>
      <w:sz w:val="20"/>
    </w:rPr>
  </w:style>
  <w:style w:type="character" w:customStyle="1" w:styleId="2123">
    <w:name w:val="503定义表格内标题 Char Char"/>
    <w:link w:val="2124"/>
    <w:qFormat/>
    <w:locked/>
    <w:uiPriority w:val="0"/>
    <w:rPr>
      <w:rFonts w:ascii="宋体" w:hAnsi="宋体" w:cs="宋体"/>
      <w:b/>
      <w:bCs/>
      <w:color w:val="000000"/>
      <w:szCs w:val="21"/>
    </w:rPr>
  </w:style>
  <w:style w:type="paragraph" w:customStyle="1" w:styleId="2124">
    <w:name w:val="503定义表格内标题"/>
    <w:basedOn w:val="1"/>
    <w:link w:val="2123"/>
    <w:qFormat/>
    <w:uiPriority w:val="0"/>
    <w:pPr>
      <w:adjustRightInd w:val="0"/>
      <w:snapToGrid w:val="0"/>
      <w:jc w:val="center"/>
    </w:pPr>
    <w:rPr>
      <w:rFonts w:ascii="宋体" w:hAnsi="宋体" w:eastAsia="宋体" w:cs="宋体"/>
      <w:b/>
      <w:bCs/>
      <w:color w:val="000000"/>
      <w:kern w:val="0"/>
      <w:sz w:val="20"/>
      <w:szCs w:val="21"/>
    </w:rPr>
  </w:style>
  <w:style w:type="character" w:customStyle="1" w:styleId="2125">
    <w:name w:val="批注框文本 Char6"/>
    <w:qFormat/>
    <w:uiPriority w:val="0"/>
    <w:rPr>
      <w:rFonts w:hint="eastAsia" w:ascii="宋体" w:hAnsi="宋体" w:eastAsia="宋体" w:cs="宋体"/>
      <w:kern w:val="2"/>
      <w:sz w:val="18"/>
      <w:szCs w:val="18"/>
      <w:lang w:val="en-US" w:eastAsia="zh-CN" w:bidi="ar"/>
    </w:rPr>
  </w:style>
  <w:style w:type="character" w:customStyle="1" w:styleId="2126">
    <w:name w:val="H8 Char4"/>
    <w:qFormat/>
    <w:uiPriority w:val="0"/>
    <w:rPr>
      <w:rFonts w:hint="default" w:ascii="Arial" w:hAnsi="Arial" w:eastAsia="黑体" w:cs="宋体"/>
      <w:kern w:val="2"/>
      <w:sz w:val="24"/>
      <w:szCs w:val="24"/>
      <w:lang w:val="en-US" w:eastAsia="zh-CN" w:bidi="ar-SA"/>
    </w:rPr>
  </w:style>
  <w:style w:type="character" w:customStyle="1" w:styleId="2127">
    <w:name w:val="样式26 Char"/>
    <w:qFormat/>
    <w:uiPriority w:val="0"/>
    <w:rPr>
      <w:rFonts w:hint="eastAsia" w:ascii="宋体" w:hAnsi="宋体" w:eastAsia="宋体"/>
      <w:color w:val="000000"/>
      <w:kern w:val="2"/>
      <w:sz w:val="24"/>
      <w:szCs w:val="24"/>
      <w:lang w:val="en-US" w:eastAsia="zh-CN" w:bidi="ar-SA"/>
    </w:rPr>
  </w:style>
  <w:style w:type="character" w:customStyle="1" w:styleId="2128">
    <w:name w:val="自动2 Char Char"/>
    <w:link w:val="2129"/>
    <w:qFormat/>
    <w:locked/>
    <w:uiPriority w:val="0"/>
    <w:rPr>
      <w:rFonts w:ascii="黑体" w:hAnsi="Arial" w:eastAsia="黑体" w:cs="宋体"/>
      <w:b/>
      <w:color w:val="000000"/>
      <w:sz w:val="28"/>
      <w:szCs w:val="24"/>
    </w:rPr>
  </w:style>
  <w:style w:type="paragraph" w:customStyle="1" w:styleId="2129">
    <w:name w:val="自动2"/>
    <w:basedOn w:val="1"/>
    <w:link w:val="2128"/>
    <w:qFormat/>
    <w:uiPriority w:val="0"/>
    <w:pPr>
      <w:keepNext/>
      <w:keepLines/>
      <w:tabs>
        <w:tab w:val="left" w:pos="360"/>
      </w:tabs>
      <w:spacing w:before="50" w:after="50" w:line="360" w:lineRule="auto"/>
      <w:outlineLvl w:val="1"/>
    </w:pPr>
    <w:rPr>
      <w:rFonts w:ascii="黑体" w:hAnsi="Arial" w:eastAsia="黑体" w:cs="宋体"/>
      <w:b/>
      <w:color w:val="000000"/>
      <w:kern w:val="0"/>
      <w:szCs w:val="24"/>
    </w:rPr>
  </w:style>
  <w:style w:type="character" w:customStyle="1" w:styleId="2130">
    <w:name w:val="a页眉 Char Char"/>
    <w:qFormat/>
    <w:uiPriority w:val="0"/>
    <w:rPr>
      <w:rFonts w:hint="eastAsia" w:ascii="宋体" w:hAnsi="宋体" w:eastAsia="宋体" w:cs="宋体"/>
      <w:kern w:val="2"/>
      <w:sz w:val="18"/>
      <w:szCs w:val="18"/>
      <w:lang w:val="en-US" w:eastAsia="zh-CN" w:bidi="ar-SA"/>
    </w:rPr>
  </w:style>
  <w:style w:type="character" w:customStyle="1" w:styleId="2131">
    <w:name w:val="标题 7 Char2"/>
    <w:qFormat/>
    <w:uiPriority w:val="0"/>
    <w:rPr>
      <w:rFonts w:hint="default" w:ascii="Times New Roman" w:hAnsi="Times New Roman" w:eastAsia="宋体" w:cs="Times New Roman"/>
      <w:b/>
      <w:bCs/>
      <w:kern w:val="0"/>
      <w:sz w:val="24"/>
      <w:szCs w:val="21"/>
      <w:lang w:val="en-US" w:eastAsia="zh-CN" w:bidi="ar-SA"/>
    </w:rPr>
  </w:style>
  <w:style w:type="character" w:customStyle="1" w:styleId="2132">
    <w:name w:val="样式52 Char"/>
    <w:qFormat/>
    <w:locked/>
    <w:uiPriority w:val="0"/>
    <w:rPr>
      <w:rFonts w:hint="eastAsia" w:ascii="宋体" w:hAnsi="宋体" w:eastAsia="宋体"/>
      <w:b/>
      <w:kern w:val="2"/>
      <w:sz w:val="24"/>
      <w:szCs w:val="24"/>
      <w:lang w:val="en-US" w:eastAsia="zh-CN" w:bidi="ar-SA"/>
    </w:rPr>
  </w:style>
  <w:style w:type="character" w:customStyle="1" w:styleId="2133">
    <w:name w:val="尾注文本 Char2"/>
    <w:qFormat/>
    <w:uiPriority w:val="0"/>
    <w:rPr>
      <w:rFonts w:hint="eastAsia" w:ascii="宋体" w:hAnsi="宋体" w:eastAsia="宋体" w:cs="宋体"/>
      <w:kern w:val="2"/>
      <w:sz w:val="21"/>
      <w:szCs w:val="21"/>
      <w:lang w:val="en-US" w:eastAsia="zh-CN" w:bidi="ar"/>
    </w:rPr>
  </w:style>
  <w:style w:type="character" w:customStyle="1" w:styleId="2134">
    <w:name w:val="wagalt1"/>
    <w:qFormat/>
    <w:uiPriority w:val="0"/>
    <w:rPr>
      <w:rFonts w:hint="eastAsia" w:ascii="宋体" w:hAnsi="宋体" w:eastAsia="宋体" w:cs="宋体"/>
      <w:vanish/>
      <w:kern w:val="2"/>
      <w:sz w:val="28"/>
      <w:szCs w:val="24"/>
      <w:lang w:val="en-US" w:eastAsia="zh-CN" w:bidi="ar"/>
    </w:rPr>
  </w:style>
  <w:style w:type="character" w:customStyle="1" w:styleId="2135">
    <w:name w:val="H5 Char4"/>
    <w:qFormat/>
    <w:uiPriority w:val="0"/>
    <w:rPr>
      <w:rFonts w:hint="eastAsia" w:ascii="宋体" w:hAnsi="宋体" w:eastAsia="宋体" w:cs="宋体"/>
      <w:b/>
      <w:bCs/>
      <w:kern w:val="2"/>
      <w:sz w:val="28"/>
      <w:szCs w:val="28"/>
      <w:lang w:val="en-US" w:eastAsia="zh-CN" w:bidi="ar-SA"/>
    </w:rPr>
  </w:style>
  <w:style w:type="character" w:customStyle="1" w:styleId="2136">
    <w:name w:val="三级 Char Char"/>
    <w:link w:val="2137"/>
    <w:qFormat/>
    <w:locked/>
    <w:uiPriority w:val="0"/>
    <w:rPr>
      <w:rFonts w:ascii="宋体" w:hAnsi="宋体" w:cs="宋体"/>
      <w:b/>
      <w:sz w:val="28"/>
      <w:szCs w:val="28"/>
    </w:rPr>
  </w:style>
  <w:style w:type="paragraph" w:customStyle="1" w:styleId="2137">
    <w:name w:val="三级"/>
    <w:basedOn w:val="1"/>
    <w:link w:val="2136"/>
    <w:qFormat/>
    <w:uiPriority w:val="0"/>
    <w:pPr>
      <w:outlineLvl w:val="2"/>
    </w:pPr>
    <w:rPr>
      <w:rFonts w:ascii="宋体" w:hAnsi="宋体" w:eastAsia="宋体" w:cs="宋体"/>
      <w:b/>
      <w:kern w:val="0"/>
      <w:szCs w:val="28"/>
    </w:rPr>
  </w:style>
  <w:style w:type="character" w:customStyle="1" w:styleId="2138">
    <w:name w:val="dxj表头 Char"/>
    <w:link w:val="2139"/>
    <w:qFormat/>
    <w:uiPriority w:val="0"/>
    <w:rPr>
      <w:rFonts w:ascii="宋体" w:hAnsi="宋体" w:eastAsia="黑体" w:cs="宋体"/>
      <w:szCs w:val="21"/>
    </w:rPr>
  </w:style>
  <w:style w:type="paragraph" w:customStyle="1" w:styleId="2139">
    <w:name w:val="dxj表头"/>
    <w:basedOn w:val="1"/>
    <w:link w:val="2138"/>
    <w:qFormat/>
    <w:uiPriority w:val="0"/>
    <w:pPr>
      <w:spacing w:line="360" w:lineRule="auto"/>
      <w:jc w:val="center"/>
    </w:pPr>
    <w:rPr>
      <w:rFonts w:ascii="宋体" w:hAnsi="宋体" w:eastAsia="黑体" w:cs="宋体"/>
      <w:kern w:val="0"/>
      <w:sz w:val="20"/>
      <w:szCs w:val="21"/>
    </w:rPr>
  </w:style>
  <w:style w:type="character" w:customStyle="1" w:styleId="2140">
    <w:name w:val="可研-正文 Char1"/>
    <w:qFormat/>
    <w:uiPriority w:val="0"/>
    <w:rPr>
      <w:rFonts w:hint="eastAsia" w:ascii="宋体" w:hAnsi="宋体" w:eastAsia="宋体" w:cs="宋体"/>
      <w:kern w:val="2"/>
      <w:sz w:val="28"/>
      <w:szCs w:val="24"/>
      <w:lang w:val="en-US" w:eastAsia="zh-CN" w:bidi="ar-SA"/>
    </w:rPr>
  </w:style>
  <w:style w:type="character" w:customStyle="1" w:styleId="2141">
    <w:name w:val="样式18 Char Char"/>
    <w:link w:val="2142"/>
    <w:qFormat/>
    <w:locked/>
    <w:uiPriority w:val="0"/>
    <w:rPr>
      <w:rFonts w:ascii="黑体" w:hAnsi="宋体"/>
      <w:b/>
      <w:bCs/>
      <w:color w:val="000000"/>
      <w:szCs w:val="24"/>
    </w:rPr>
  </w:style>
  <w:style w:type="paragraph" w:customStyle="1" w:styleId="2142">
    <w:name w:val="样式18"/>
    <w:basedOn w:val="1"/>
    <w:link w:val="2141"/>
    <w:qFormat/>
    <w:uiPriority w:val="0"/>
    <w:pPr>
      <w:keepNext/>
      <w:keepLines/>
      <w:tabs>
        <w:tab w:val="left" w:pos="1320"/>
        <w:tab w:val="left" w:pos="1476"/>
      </w:tabs>
      <w:spacing w:before="50" w:after="50" w:line="360" w:lineRule="auto"/>
      <w:ind w:left="1320" w:hanging="420"/>
      <w:outlineLvl w:val="1"/>
    </w:pPr>
    <w:rPr>
      <w:rFonts w:ascii="黑体" w:hAnsi="宋体" w:eastAsia="宋体"/>
      <w:b/>
      <w:bCs/>
      <w:color w:val="000000"/>
      <w:kern w:val="0"/>
      <w:sz w:val="20"/>
      <w:szCs w:val="24"/>
    </w:rPr>
  </w:style>
  <w:style w:type="character" w:customStyle="1" w:styleId="2143">
    <w:name w:val="正文文字 2 Char Char4"/>
    <w:qFormat/>
    <w:locked/>
    <w:uiPriority w:val="0"/>
    <w:rPr>
      <w:rFonts w:hint="eastAsia" w:ascii="宋体" w:hAnsi="宋体" w:eastAsia="宋体" w:cs="宋体"/>
      <w:kern w:val="2"/>
      <w:sz w:val="21"/>
      <w:szCs w:val="24"/>
      <w:lang w:val="en-US" w:eastAsia="zh-CN" w:bidi="ar-SA"/>
    </w:rPr>
  </w:style>
  <w:style w:type="character" w:customStyle="1" w:styleId="2144">
    <w:name w:val="p15"/>
    <w:qFormat/>
    <w:uiPriority w:val="0"/>
    <w:rPr>
      <w:rFonts w:hint="eastAsia" w:ascii="宋体" w:hAnsi="宋体" w:eastAsia="宋体" w:cs="宋体"/>
      <w:kern w:val="2"/>
      <w:sz w:val="24"/>
      <w:szCs w:val="24"/>
      <w:lang w:val="en-US" w:eastAsia="zh-CN" w:bidi="ar-SA"/>
    </w:rPr>
  </w:style>
  <w:style w:type="character" w:customStyle="1" w:styleId="2145">
    <w:name w:val="表体 Char Char Char"/>
    <w:qFormat/>
    <w:uiPriority w:val="0"/>
    <w:rPr>
      <w:rFonts w:hint="eastAsia" w:ascii="宋体" w:hAnsi="宋体" w:eastAsia="宋体" w:cs="宋体"/>
      <w:kern w:val="2"/>
      <w:sz w:val="21"/>
      <w:szCs w:val="21"/>
      <w:lang w:val="en-US" w:eastAsia="zh-CN" w:bidi="ar-SA"/>
    </w:rPr>
  </w:style>
  <w:style w:type="character" w:customStyle="1" w:styleId="2146">
    <w:name w:val="aspmaker1"/>
    <w:qFormat/>
    <w:uiPriority w:val="0"/>
    <w:rPr>
      <w:rFonts w:hint="default" w:ascii="Verdana" w:hAnsi="Verdana" w:eastAsia="宋体" w:cs="宋体"/>
      <w:kern w:val="2"/>
      <w:sz w:val="20"/>
      <w:szCs w:val="20"/>
      <w:lang w:val="en-US" w:eastAsia="zh-CN" w:bidi="ar"/>
    </w:rPr>
  </w:style>
  <w:style w:type="character" w:customStyle="1" w:styleId="2147">
    <w:name w:val="正文文本 3 Char1"/>
    <w:qFormat/>
    <w:uiPriority w:val="0"/>
    <w:rPr>
      <w:rFonts w:hint="default" w:ascii="Times New Roman" w:hAnsi="Times New Roman" w:eastAsia="宋体" w:cs="Times New Roman"/>
      <w:kern w:val="2"/>
      <w:sz w:val="16"/>
      <w:szCs w:val="16"/>
      <w:lang w:val="en-US" w:eastAsia="zh-CN" w:bidi="ar-SA"/>
    </w:rPr>
  </w:style>
  <w:style w:type="character" w:customStyle="1" w:styleId="2148">
    <w:name w:val="正文文本 Char3"/>
    <w:qFormat/>
    <w:uiPriority w:val="0"/>
    <w:rPr>
      <w:rFonts w:hint="eastAsia" w:ascii="宋体" w:hAnsi="宋体" w:eastAsia="宋体" w:cs="宋体"/>
      <w:kern w:val="2"/>
      <w:sz w:val="24"/>
      <w:szCs w:val="24"/>
      <w:lang w:val="en-US" w:eastAsia="zh-CN" w:bidi="ar"/>
    </w:rPr>
  </w:style>
  <w:style w:type="character" w:customStyle="1" w:styleId="2149">
    <w:name w:val="title1"/>
    <w:qFormat/>
    <w:uiPriority w:val="0"/>
    <w:rPr>
      <w:rFonts w:hint="eastAsia" w:ascii="宋体" w:hAnsi="宋体" w:eastAsia="宋体" w:cs="宋体"/>
      <w:b/>
      <w:color w:val="FF9900"/>
      <w:kern w:val="2"/>
      <w:sz w:val="30"/>
      <w:szCs w:val="24"/>
      <w:u w:val="none"/>
      <w:lang w:val="en-US" w:eastAsia="zh-CN" w:bidi="ar"/>
    </w:rPr>
  </w:style>
  <w:style w:type="character" w:customStyle="1" w:styleId="2150">
    <w:name w:val="样式75 Char Char"/>
    <w:link w:val="2151"/>
    <w:qFormat/>
    <w:locked/>
    <w:uiPriority w:val="0"/>
    <w:rPr>
      <w:rFonts w:ascii="Calibri" w:hAnsi="Calibri" w:cs="黑体"/>
    </w:rPr>
  </w:style>
  <w:style w:type="paragraph" w:customStyle="1" w:styleId="2151">
    <w:name w:val="样式75"/>
    <w:basedOn w:val="1"/>
    <w:link w:val="2150"/>
    <w:qFormat/>
    <w:uiPriority w:val="0"/>
    <w:rPr>
      <w:rFonts w:ascii="Calibri" w:hAnsi="Calibri" w:eastAsia="宋体" w:cs="黑体"/>
      <w:kern w:val="0"/>
      <w:sz w:val="20"/>
    </w:rPr>
  </w:style>
  <w:style w:type="character" w:customStyle="1" w:styleId="2152">
    <w:name w:val="样式26 Char Char"/>
    <w:qFormat/>
    <w:uiPriority w:val="0"/>
    <w:rPr>
      <w:rFonts w:hint="eastAsia" w:ascii="宋体" w:hAnsi="宋体" w:eastAsia="黑体" w:cs="宋体"/>
      <w:kern w:val="44"/>
      <w:sz w:val="30"/>
      <w:szCs w:val="44"/>
      <w:lang w:val="en-US" w:eastAsia="zh-CN" w:bidi="ar-SA"/>
    </w:rPr>
  </w:style>
  <w:style w:type="character" w:customStyle="1" w:styleId="2153">
    <w:name w:val="a"/>
    <w:qFormat/>
    <w:uiPriority w:val="0"/>
    <w:rPr>
      <w:rFonts w:hint="eastAsia" w:ascii="宋体" w:hAnsi="宋体" w:eastAsia="宋体" w:cs="宋体"/>
      <w:kern w:val="2"/>
      <w:sz w:val="28"/>
      <w:szCs w:val="24"/>
      <w:lang w:val="en-US" w:eastAsia="zh-CN" w:bidi="ar"/>
    </w:rPr>
  </w:style>
  <w:style w:type="character" w:customStyle="1" w:styleId="2154">
    <w:name w:val="dxj正文 Char"/>
    <w:link w:val="2155"/>
    <w:qFormat/>
    <w:uiPriority w:val="0"/>
    <w:rPr>
      <w:rFonts w:ascii="宋体" w:hAnsi="宋体" w:cs="宋体"/>
      <w:sz w:val="24"/>
      <w:szCs w:val="24"/>
    </w:rPr>
  </w:style>
  <w:style w:type="paragraph" w:customStyle="1" w:styleId="2155">
    <w:name w:val="dxj正文"/>
    <w:basedOn w:val="1"/>
    <w:link w:val="2154"/>
    <w:qFormat/>
    <w:uiPriority w:val="0"/>
    <w:pPr>
      <w:spacing w:line="360" w:lineRule="auto"/>
      <w:ind w:firstLine="200" w:firstLineChars="200"/>
    </w:pPr>
    <w:rPr>
      <w:rFonts w:ascii="宋体" w:hAnsi="宋体" w:eastAsia="宋体" w:cs="宋体"/>
      <w:kern w:val="0"/>
      <w:sz w:val="24"/>
      <w:szCs w:val="24"/>
    </w:rPr>
  </w:style>
  <w:style w:type="character" w:customStyle="1" w:styleId="2156">
    <w:name w:val="text_black1"/>
    <w:qFormat/>
    <w:uiPriority w:val="0"/>
    <w:rPr>
      <w:rFonts w:hint="eastAsia" w:ascii="宋体" w:hAnsi="宋体" w:eastAsia="宋体" w:cs="宋体"/>
      <w:color w:val="000000"/>
      <w:kern w:val="2"/>
      <w:sz w:val="24"/>
      <w:szCs w:val="24"/>
      <w:lang w:val="en-US" w:eastAsia="zh-CN" w:bidi="ar"/>
    </w:rPr>
  </w:style>
  <w:style w:type="character" w:customStyle="1" w:styleId="2157">
    <w:name w:val="style211"/>
    <w:qFormat/>
    <w:uiPriority w:val="0"/>
    <w:rPr>
      <w:rFonts w:hint="eastAsia" w:ascii="宋体" w:hAnsi="宋体" w:eastAsia="宋体" w:cs="宋体"/>
      <w:b/>
      <w:bCs/>
      <w:color w:val="009900"/>
      <w:kern w:val="2"/>
      <w:sz w:val="45"/>
      <w:szCs w:val="45"/>
      <w:lang w:val="en-US" w:eastAsia="zh-CN" w:bidi="ar"/>
    </w:rPr>
  </w:style>
  <w:style w:type="character" w:customStyle="1" w:styleId="2158">
    <w:name w:val="表格1 Char Char"/>
    <w:qFormat/>
    <w:locked/>
    <w:uiPriority w:val="0"/>
    <w:rPr>
      <w:rFonts w:ascii="仿宋体" w:hAnsi="Calibri" w:eastAsia="宋体" w:cs="Arial Unicode MS"/>
      <w:color w:val="000000"/>
      <w:szCs w:val="21"/>
    </w:rPr>
  </w:style>
  <w:style w:type="character" w:customStyle="1" w:styleId="2159">
    <w:name w:val="批注主题 Char1"/>
    <w:qFormat/>
    <w:uiPriority w:val="0"/>
    <w:rPr>
      <w:rFonts w:ascii="宋体" w:hAnsi="宋体" w:eastAsia="Arial" w:cs="宋体"/>
      <w:b/>
      <w:bCs/>
      <w:kern w:val="28"/>
      <w:sz w:val="32"/>
      <w:szCs w:val="32"/>
      <w:lang w:val="en-US" w:eastAsia="zh-CN" w:bidi="ar-SA"/>
    </w:rPr>
  </w:style>
  <w:style w:type="character" w:customStyle="1" w:styleId="2160">
    <w:name w:val="Char Char93"/>
    <w:qFormat/>
    <w:locked/>
    <w:uiPriority w:val="0"/>
    <w:rPr>
      <w:rFonts w:ascii="宋体" w:hAnsi="宋体" w:eastAsia="宋体" w:cs="宋体"/>
      <w:kern w:val="2"/>
      <w:sz w:val="18"/>
      <w:szCs w:val="18"/>
      <w:lang w:val="en-US" w:eastAsia="zh-CN" w:bidi="ar-SA"/>
    </w:rPr>
  </w:style>
  <w:style w:type="character" w:customStyle="1" w:styleId="2161">
    <w:name w:val="f91"/>
    <w:qFormat/>
    <w:uiPriority w:val="0"/>
    <w:rPr>
      <w:rFonts w:hint="eastAsia" w:ascii="宋体" w:hAnsi="宋体" w:eastAsia="宋体" w:cs="宋体"/>
      <w:kern w:val="2"/>
      <w:sz w:val="18"/>
      <w:szCs w:val="18"/>
      <w:u w:val="none"/>
      <w:lang w:val="en-US" w:eastAsia="zh-CN" w:bidi="ar"/>
    </w:rPr>
  </w:style>
  <w:style w:type="character" w:customStyle="1" w:styleId="2162">
    <w:name w:val="z-窗体底端 Char"/>
    <w:link w:val="1443"/>
    <w:qFormat/>
    <w:uiPriority w:val="0"/>
    <w:rPr>
      <w:rFonts w:ascii="Arial" w:hAnsi="Arial" w:cs="Arial"/>
      <w:vanish/>
      <w:sz w:val="16"/>
      <w:szCs w:val="16"/>
    </w:rPr>
  </w:style>
  <w:style w:type="character" w:customStyle="1" w:styleId="2163">
    <w:name w:val="H2 Char Char"/>
    <w:qFormat/>
    <w:uiPriority w:val="0"/>
    <w:rPr>
      <w:rFonts w:hint="eastAsia" w:ascii="宋体" w:hAnsi="宋体" w:eastAsia="宋体" w:cs="宋体"/>
      <w:b/>
      <w:kern w:val="2"/>
      <w:sz w:val="30"/>
      <w:szCs w:val="24"/>
      <w:lang w:val="en-US" w:eastAsia="zh-CN" w:bidi="ar-SA"/>
    </w:rPr>
  </w:style>
  <w:style w:type="character" w:customStyle="1" w:styleId="2164">
    <w:name w:val="Char1 Char1"/>
    <w:qFormat/>
    <w:uiPriority w:val="0"/>
    <w:rPr>
      <w:rFonts w:ascii="宋体" w:hAnsi="Courier New" w:eastAsia="宋体" w:cs="宋体"/>
      <w:kern w:val="2"/>
      <w:sz w:val="21"/>
      <w:szCs w:val="24"/>
      <w:lang w:val="en-US" w:eastAsia="zh-CN" w:bidi="ar-SA"/>
    </w:rPr>
  </w:style>
  <w:style w:type="character" w:customStyle="1" w:styleId="2165">
    <w:name w:val="submenu1"/>
    <w:qFormat/>
    <w:uiPriority w:val="0"/>
    <w:rPr>
      <w:rFonts w:hint="eastAsia" w:ascii="宋体" w:hAnsi="宋体" w:eastAsia="宋体" w:cs="宋体"/>
      <w:vanish/>
      <w:kern w:val="2"/>
      <w:sz w:val="28"/>
      <w:szCs w:val="24"/>
      <w:lang w:val="en-US" w:eastAsia="zh-CN" w:bidi="ar"/>
    </w:rPr>
  </w:style>
  <w:style w:type="character" w:customStyle="1" w:styleId="2166">
    <w:name w:val="样式23 Char Char"/>
    <w:link w:val="1151"/>
    <w:qFormat/>
    <w:locked/>
    <w:uiPriority w:val="0"/>
    <w:rPr>
      <w:kern w:val="2"/>
      <w:sz w:val="24"/>
      <w:szCs w:val="24"/>
      <w:lang w:val="zh-CN"/>
    </w:rPr>
  </w:style>
  <w:style w:type="character" w:customStyle="1" w:styleId="2167">
    <w:name w:val="四级标题 Char Char"/>
    <w:link w:val="2168"/>
    <w:qFormat/>
    <w:locked/>
    <w:uiPriority w:val="0"/>
    <w:rPr>
      <w:rFonts w:ascii="宋体" w:hAnsi="宋体" w:eastAsia="黑体" w:cs="宋体"/>
      <w:color w:val="000000"/>
      <w:sz w:val="24"/>
      <w:szCs w:val="28"/>
    </w:rPr>
  </w:style>
  <w:style w:type="paragraph" w:customStyle="1" w:styleId="2168">
    <w:name w:val="四级标题"/>
    <w:basedOn w:val="1"/>
    <w:link w:val="2167"/>
    <w:qFormat/>
    <w:uiPriority w:val="0"/>
    <w:pPr>
      <w:spacing w:before="60" w:line="460" w:lineRule="exact"/>
    </w:pPr>
    <w:rPr>
      <w:rFonts w:ascii="宋体" w:hAnsi="宋体" w:eastAsia="黑体" w:cs="宋体"/>
      <w:color w:val="000000"/>
      <w:kern w:val="0"/>
      <w:sz w:val="24"/>
      <w:szCs w:val="28"/>
    </w:rPr>
  </w:style>
  <w:style w:type="character" w:customStyle="1" w:styleId="2169">
    <w:name w:val="Char Char52"/>
    <w:qFormat/>
    <w:uiPriority w:val="0"/>
    <w:rPr>
      <w:rFonts w:hint="eastAsia" w:ascii="宋体" w:hAnsi="宋体" w:eastAsia="宋体" w:cs="Arial"/>
      <w:b/>
      <w:bCs/>
      <w:kern w:val="2"/>
      <w:sz w:val="24"/>
      <w:szCs w:val="24"/>
      <w:lang w:val="en-US" w:eastAsia="zh-CN" w:bidi="ar"/>
    </w:rPr>
  </w:style>
  <w:style w:type="character" w:customStyle="1" w:styleId="2170">
    <w:name w:val="表格居左 Char1"/>
    <w:link w:val="2171"/>
    <w:qFormat/>
    <w:locked/>
    <w:uiPriority w:val="0"/>
    <w:rPr>
      <w:rFonts w:ascii="宋体" w:hAnsi="宋体" w:cs="宋体"/>
      <w:bCs/>
      <w:szCs w:val="21"/>
    </w:rPr>
  </w:style>
  <w:style w:type="paragraph" w:customStyle="1" w:styleId="2171">
    <w:name w:val="表格居左"/>
    <w:basedOn w:val="1"/>
    <w:link w:val="2170"/>
    <w:qFormat/>
    <w:uiPriority w:val="0"/>
    <w:pPr>
      <w:jc w:val="left"/>
    </w:pPr>
    <w:rPr>
      <w:rFonts w:ascii="宋体" w:hAnsi="宋体" w:eastAsia="宋体" w:cs="宋体"/>
      <w:bCs/>
      <w:kern w:val="0"/>
      <w:sz w:val="20"/>
      <w:szCs w:val="21"/>
    </w:rPr>
  </w:style>
  <w:style w:type="character" w:customStyle="1" w:styleId="2172">
    <w:name w:val="纯文本 Char Char1 Cha"/>
    <w:link w:val="1644"/>
    <w:qFormat/>
    <w:locked/>
    <w:uiPriority w:val="0"/>
    <w:rPr>
      <w:rFonts w:ascii="宋体" w:hAnsi="Courier New"/>
      <w:kern w:val="2"/>
      <w:sz w:val="24"/>
    </w:rPr>
  </w:style>
  <w:style w:type="character" w:customStyle="1" w:styleId="2173">
    <w:name w:val="样式3 Char Char Char"/>
    <w:qFormat/>
    <w:locked/>
    <w:uiPriority w:val="0"/>
    <w:rPr>
      <w:rFonts w:ascii="Arial" w:hAnsi="Arial" w:eastAsia="宋体" w:cs="Arial"/>
      <w:spacing w:val="10"/>
      <w:sz w:val="24"/>
      <w:szCs w:val="32"/>
    </w:rPr>
  </w:style>
  <w:style w:type="character" w:customStyle="1" w:styleId="2174">
    <w:name w:val="bold1"/>
    <w:qFormat/>
    <w:uiPriority w:val="0"/>
    <w:rPr>
      <w:rFonts w:hint="eastAsia" w:ascii="宋体" w:hAnsi="宋体" w:eastAsia="宋体" w:cs="宋体"/>
      <w:kern w:val="2"/>
      <w:sz w:val="28"/>
      <w:szCs w:val="24"/>
      <w:lang w:val="en-US" w:eastAsia="zh-CN" w:bidi="ar"/>
    </w:rPr>
  </w:style>
  <w:style w:type="character" w:customStyle="1" w:styleId="2175">
    <w:name w:val="正文文本 3 Char4"/>
    <w:qFormat/>
    <w:uiPriority w:val="0"/>
    <w:rPr>
      <w:rFonts w:hint="eastAsia" w:ascii="宋体" w:hAnsi="宋体" w:eastAsia="宋体" w:cs="宋体"/>
      <w:kern w:val="2"/>
      <w:sz w:val="16"/>
      <w:szCs w:val="16"/>
      <w:lang w:val="en-US" w:eastAsia="zh-CN" w:bidi="ar"/>
    </w:rPr>
  </w:style>
  <w:style w:type="character" w:customStyle="1" w:styleId="2176">
    <w:name w:val="p141"/>
    <w:qFormat/>
    <w:uiPriority w:val="0"/>
    <w:rPr>
      <w:rFonts w:hint="eastAsia" w:ascii="宋体" w:hAnsi="宋体" w:eastAsia="宋体" w:cs="宋体"/>
      <w:kern w:val="2"/>
      <w:sz w:val="21"/>
      <w:szCs w:val="21"/>
      <w:lang w:val="en-US" w:eastAsia="zh-CN" w:bidi="ar"/>
    </w:rPr>
  </w:style>
  <w:style w:type="character" w:customStyle="1" w:styleId="2177">
    <w:name w:val="Char Char30"/>
    <w:qFormat/>
    <w:locked/>
    <w:uiPriority w:val="0"/>
    <w:rPr>
      <w:rFonts w:ascii="宋体" w:hAnsi="Courier New" w:eastAsia="宋体" w:cs="Courier New"/>
      <w:kern w:val="2"/>
      <w:sz w:val="21"/>
      <w:szCs w:val="21"/>
      <w:lang w:val="en-US" w:eastAsia="zh-CN" w:bidi="ar-SA"/>
    </w:rPr>
  </w:style>
  <w:style w:type="character" w:customStyle="1" w:styleId="2178">
    <w:name w:val="spelle"/>
    <w:qFormat/>
    <w:uiPriority w:val="0"/>
    <w:rPr>
      <w:rFonts w:hint="eastAsia" w:ascii="宋体" w:hAnsi="宋体" w:eastAsia="宋体" w:cs="宋体"/>
      <w:kern w:val="2"/>
      <w:sz w:val="28"/>
      <w:szCs w:val="24"/>
      <w:lang w:val="en-US" w:eastAsia="zh-CN" w:bidi="ar"/>
    </w:rPr>
  </w:style>
  <w:style w:type="character" w:customStyle="1" w:styleId="2179">
    <w:name w:val="样式4 Char Char Char"/>
    <w:qFormat/>
    <w:locked/>
    <w:uiPriority w:val="0"/>
    <w:rPr>
      <w:rFonts w:eastAsia="宋体"/>
      <w:b/>
      <w:bCs/>
      <w:sz w:val="28"/>
      <w:szCs w:val="28"/>
    </w:rPr>
  </w:style>
  <w:style w:type="character" w:customStyle="1" w:styleId="2180">
    <w:name w:val="Char Char41"/>
    <w:qFormat/>
    <w:locked/>
    <w:uiPriority w:val="0"/>
    <w:rPr>
      <w:rFonts w:ascii="Calibri" w:hAnsi="Calibri" w:eastAsia="宋体" w:cs="宋体"/>
      <w:b/>
      <w:kern w:val="44"/>
      <w:sz w:val="44"/>
      <w:szCs w:val="44"/>
      <w:lang w:val="en-US" w:eastAsia="zh-CN" w:bidi="ar-SA"/>
    </w:rPr>
  </w:style>
  <w:style w:type="character" w:customStyle="1" w:styleId="2181">
    <w:name w:val="正文++++++++++ Char Char Char"/>
    <w:qFormat/>
    <w:uiPriority w:val="0"/>
    <w:rPr>
      <w:rFonts w:hint="eastAsia" w:ascii="宋体" w:hAnsi="宋体" w:eastAsia="宋体" w:cs="宋体"/>
      <w:kern w:val="2"/>
      <w:sz w:val="24"/>
      <w:lang w:val="en-US" w:eastAsia="zh-CN" w:bidi="ar-SA"/>
    </w:rPr>
  </w:style>
  <w:style w:type="character" w:customStyle="1" w:styleId="2182">
    <w:name w:val="ourfont2"/>
    <w:qFormat/>
    <w:uiPriority w:val="0"/>
    <w:rPr>
      <w:rFonts w:hint="eastAsia" w:ascii="宋体" w:hAnsi="宋体" w:eastAsia="宋体" w:cs="宋体"/>
      <w:kern w:val="2"/>
      <w:sz w:val="28"/>
      <w:szCs w:val="24"/>
      <w:lang w:val="en-US" w:eastAsia="zh-CN" w:bidi="ar"/>
    </w:rPr>
  </w:style>
  <w:style w:type="character" w:customStyle="1" w:styleId="2183">
    <w:name w:val="报告标题1 Char Char"/>
    <w:qFormat/>
    <w:locked/>
    <w:uiPriority w:val="0"/>
    <w:rPr>
      <w:rFonts w:ascii="黑体" w:hAnsi="宋体" w:eastAsia="黑体" w:cs="宋体"/>
      <w:snapToGrid/>
      <w:color w:val="000000"/>
      <w:sz w:val="30"/>
      <w:szCs w:val="24"/>
    </w:rPr>
  </w:style>
  <w:style w:type="character" w:customStyle="1" w:styleId="2184">
    <w:name w:val="结束语 Char1"/>
    <w:qFormat/>
    <w:uiPriority w:val="0"/>
    <w:rPr>
      <w:rFonts w:hint="eastAsia" w:ascii="宋体" w:hAnsi="宋体" w:eastAsia="宋体" w:cs="宋体"/>
      <w:kern w:val="2"/>
      <w:sz w:val="24"/>
      <w:szCs w:val="24"/>
      <w:lang w:val="en-US" w:eastAsia="zh-CN" w:bidi="ar"/>
    </w:rPr>
  </w:style>
  <w:style w:type="character" w:customStyle="1" w:styleId="2185">
    <w:name w:val="排，正文 Char Char"/>
    <w:link w:val="2186"/>
    <w:qFormat/>
    <w:locked/>
    <w:uiPriority w:val="0"/>
    <w:rPr>
      <w:rFonts w:ascii="宋体" w:hAnsi="宋体" w:cs="宋体"/>
      <w:color w:val="000000"/>
      <w:sz w:val="28"/>
      <w:szCs w:val="24"/>
    </w:rPr>
  </w:style>
  <w:style w:type="paragraph" w:customStyle="1" w:styleId="2186">
    <w:name w:val="排，正文"/>
    <w:basedOn w:val="1"/>
    <w:link w:val="2185"/>
    <w:qFormat/>
    <w:uiPriority w:val="0"/>
    <w:pPr>
      <w:adjustRightInd w:val="0"/>
      <w:spacing w:line="500" w:lineRule="exact"/>
      <w:ind w:firstLine="630" w:firstLineChars="225"/>
    </w:pPr>
    <w:rPr>
      <w:rFonts w:ascii="宋体" w:hAnsi="宋体" w:eastAsia="宋体" w:cs="宋体"/>
      <w:color w:val="000000"/>
      <w:kern w:val="0"/>
      <w:szCs w:val="24"/>
    </w:rPr>
  </w:style>
  <w:style w:type="character" w:customStyle="1" w:styleId="2187">
    <w:name w:val="德胜正文顶格小标题 Char Char"/>
    <w:link w:val="2188"/>
    <w:qFormat/>
    <w:locked/>
    <w:uiPriority w:val="0"/>
    <w:rPr>
      <w:rFonts w:ascii="宋体" w:hAnsi="宋体"/>
      <w:spacing w:val="-2"/>
      <w:sz w:val="28"/>
    </w:rPr>
  </w:style>
  <w:style w:type="paragraph" w:customStyle="1" w:styleId="2188">
    <w:name w:val="德胜正文顶格小标题"/>
    <w:basedOn w:val="1"/>
    <w:link w:val="2187"/>
    <w:qFormat/>
    <w:uiPriority w:val="0"/>
    <w:rPr>
      <w:rFonts w:ascii="宋体" w:hAnsi="宋体" w:eastAsia="宋体"/>
      <w:spacing w:val="-2"/>
      <w:kern w:val="0"/>
    </w:rPr>
  </w:style>
  <w:style w:type="character" w:customStyle="1" w:styleId="2189">
    <w:name w:val="批注框文本 Char2"/>
    <w:qFormat/>
    <w:uiPriority w:val="0"/>
    <w:rPr>
      <w:rFonts w:hint="eastAsia" w:ascii="宋体" w:hAnsi="宋体" w:eastAsia="宋体" w:cs="宋体"/>
      <w:kern w:val="2"/>
      <w:sz w:val="18"/>
      <w:szCs w:val="18"/>
      <w:lang w:val="en-US" w:eastAsia="zh-CN" w:bidi="ar"/>
    </w:rPr>
  </w:style>
  <w:style w:type="character" w:customStyle="1" w:styleId="2190">
    <w:name w:val="表头YHY Char"/>
    <w:qFormat/>
    <w:uiPriority w:val="0"/>
    <w:rPr>
      <w:rFonts w:hint="eastAsia" w:ascii="黑体" w:hAnsi="黑体" w:eastAsia="黑体"/>
      <w:kern w:val="2"/>
      <w:sz w:val="21"/>
      <w:lang w:val="en-US" w:eastAsia="zh-CN" w:bidi="ar-SA"/>
    </w:rPr>
  </w:style>
  <w:style w:type="character" w:customStyle="1" w:styleId="2191">
    <w:name w:val="正文（首行缩进） Char Char"/>
    <w:link w:val="2192"/>
    <w:qFormat/>
    <w:locked/>
    <w:uiPriority w:val="0"/>
    <w:rPr>
      <w:rFonts w:ascii="宋体" w:hAnsi="宋体" w:cs="宋体"/>
      <w:color w:val="000000"/>
      <w:sz w:val="24"/>
      <w:szCs w:val="24"/>
    </w:rPr>
  </w:style>
  <w:style w:type="paragraph" w:customStyle="1" w:styleId="2192">
    <w:name w:val="正文（首行缩进）"/>
    <w:basedOn w:val="1"/>
    <w:link w:val="2191"/>
    <w:qFormat/>
    <w:uiPriority w:val="0"/>
    <w:pPr>
      <w:adjustRightInd w:val="0"/>
      <w:snapToGrid w:val="0"/>
      <w:spacing w:line="360" w:lineRule="auto"/>
      <w:ind w:firstLine="200" w:firstLineChars="200"/>
      <w:jc w:val="left"/>
    </w:pPr>
    <w:rPr>
      <w:rFonts w:ascii="宋体" w:hAnsi="宋体" w:eastAsia="宋体" w:cs="宋体"/>
      <w:color w:val="000000"/>
      <w:kern w:val="0"/>
      <w:sz w:val="24"/>
      <w:szCs w:val="24"/>
    </w:rPr>
  </w:style>
  <w:style w:type="character" w:customStyle="1" w:styleId="2193">
    <w:name w:val="样式 样式 样式 样式2 + 首行缩进:  2 字符 + 首行缩进:  2 字符 + 首行缩进:  2 字符 Char Char"/>
    <w:link w:val="2194"/>
    <w:qFormat/>
    <w:locked/>
    <w:uiPriority w:val="0"/>
    <w:rPr>
      <w:rFonts w:ascii="宋体" w:hAnsi="宋体" w:cs="宋体"/>
      <w:sz w:val="24"/>
      <w:szCs w:val="24"/>
    </w:rPr>
  </w:style>
  <w:style w:type="paragraph" w:customStyle="1" w:styleId="2194">
    <w:name w:val="样式 样式 样式 样式2 + 首行缩进:  2 字符 + 首行缩进:  2 字符 + 首行缩进:  2 字符"/>
    <w:basedOn w:val="1"/>
    <w:link w:val="2193"/>
    <w:qFormat/>
    <w:uiPriority w:val="0"/>
    <w:pPr>
      <w:autoSpaceDE w:val="0"/>
      <w:autoSpaceDN w:val="0"/>
      <w:adjustRightInd w:val="0"/>
      <w:spacing w:line="420" w:lineRule="auto"/>
      <w:ind w:firstLine="480" w:firstLineChars="200"/>
    </w:pPr>
    <w:rPr>
      <w:rFonts w:ascii="宋体" w:hAnsi="宋体" w:eastAsia="宋体" w:cs="宋体"/>
      <w:kern w:val="0"/>
      <w:sz w:val="24"/>
      <w:szCs w:val="24"/>
    </w:rPr>
  </w:style>
  <w:style w:type="character" w:customStyle="1" w:styleId="2195">
    <w:name w:val="正 Char1"/>
    <w:link w:val="2196"/>
    <w:qFormat/>
    <w:locked/>
    <w:uiPriority w:val="0"/>
    <w:rPr>
      <w:rFonts w:ascii="宋体" w:hAnsi="宋体" w:cs="宋体"/>
      <w:sz w:val="24"/>
      <w:szCs w:val="24"/>
    </w:rPr>
  </w:style>
  <w:style w:type="paragraph" w:customStyle="1" w:styleId="2196">
    <w:name w:val="正"/>
    <w:basedOn w:val="1"/>
    <w:link w:val="2195"/>
    <w:qFormat/>
    <w:uiPriority w:val="0"/>
    <w:pPr>
      <w:spacing w:beforeLines="25" w:line="440" w:lineRule="exact"/>
      <w:ind w:firstLine="200" w:firstLineChars="200"/>
    </w:pPr>
    <w:rPr>
      <w:rFonts w:ascii="宋体" w:hAnsi="宋体" w:eastAsia="宋体" w:cs="宋体"/>
      <w:kern w:val="0"/>
      <w:sz w:val="24"/>
      <w:szCs w:val="24"/>
    </w:rPr>
  </w:style>
  <w:style w:type="character" w:customStyle="1" w:styleId="2197">
    <w:name w:val="图表标题 Char Char"/>
    <w:qFormat/>
    <w:locked/>
    <w:uiPriority w:val="0"/>
    <w:rPr>
      <w:rFonts w:ascii="宋体" w:hAnsi="宋体" w:eastAsia="宋体" w:cs="宋体"/>
      <w:b/>
      <w:snapToGrid/>
      <w:szCs w:val="24"/>
    </w:rPr>
  </w:style>
  <w:style w:type="character" w:customStyle="1" w:styleId="2198">
    <w:name w:val="样式 首行缩进:  1.01 厘米 Char Char"/>
    <w:qFormat/>
    <w:uiPriority w:val="0"/>
    <w:rPr>
      <w:rFonts w:hint="eastAsia" w:ascii="宋体" w:hAnsi="宋体" w:eastAsia="宋体" w:cs="宋体"/>
      <w:color w:val="000000"/>
      <w:kern w:val="2"/>
      <w:sz w:val="24"/>
      <w:szCs w:val="24"/>
      <w:lang w:val="en-US" w:eastAsia="zh-CN" w:bidi="ar"/>
    </w:rPr>
  </w:style>
  <w:style w:type="character" w:customStyle="1" w:styleId="2199">
    <w:name w:val="Draft Char"/>
    <w:qFormat/>
    <w:uiPriority w:val="0"/>
    <w:rPr>
      <w:rFonts w:hint="eastAsia" w:ascii="宋体" w:hAnsi="宋体" w:eastAsia="宋体" w:cs="宋体"/>
      <w:kern w:val="2"/>
      <w:sz w:val="18"/>
      <w:szCs w:val="18"/>
      <w:lang w:val="en-US" w:eastAsia="zh-CN" w:bidi="ar"/>
    </w:rPr>
  </w:style>
  <w:style w:type="character" w:customStyle="1" w:styleId="2200">
    <w:name w:val="样式 标题 2标题 21标题 121H2SeHead wsa2标题 1.1 + (西文) Times New Ro... Char Char"/>
    <w:link w:val="2201"/>
    <w:qFormat/>
    <w:locked/>
    <w:uiPriority w:val="0"/>
    <w:rPr>
      <w:rFonts w:ascii="宋体" w:hAnsi="宋体" w:eastAsia="黑体"/>
      <w:color w:val="000000"/>
      <w:spacing w:val="-2"/>
      <w:sz w:val="28"/>
      <w:szCs w:val="24"/>
    </w:rPr>
  </w:style>
  <w:style w:type="paragraph" w:customStyle="1" w:styleId="2201">
    <w:name w:val="样式 标题 2标题 21标题 121H2SeHead wsa2标题 1.1 + (西文) Times New Ro..."/>
    <w:basedOn w:val="4"/>
    <w:link w:val="2200"/>
    <w:qFormat/>
    <w:uiPriority w:val="0"/>
    <w:pPr>
      <w:keepNext w:val="0"/>
      <w:keepLines w:val="0"/>
      <w:widowControl/>
      <w:tabs>
        <w:tab w:val="left" w:pos="1476"/>
        <w:tab w:val="clear" w:pos="567"/>
      </w:tabs>
      <w:adjustRightInd w:val="0"/>
      <w:snapToGrid w:val="0"/>
      <w:spacing w:before="100" w:beforeAutospacing="1" w:after="100" w:afterAutospacing="1" w:line="460" w:lineRule="exact"/>
      <w:ind w:left="840" w:firstLine="200" w:firstLineChars="200"/>
    </w:pPr>
    <w:rPr>
      <w:rFonts w:ascii="宋体" w:hAnsi="宋体"/>
      <w:color w:val="000000"/>
      <w:spacing w:val="-2"/>
      <w:kern w:val="0"/>
      <w:szCs w:val="24"/>
    </w:rPr>
  </w:style>
  <w:style w:type="character" w:customStyle="1" w:styleId="2202">
    <w:name w:val="orange1"/>
    <w:qFormat/>
    <w:uiPriority w:val="0"/>
    <w:rPr>
      <w:rFonts w:hint="eastAsia" w:ascii="宋体" w:hAnsi="宋体" w:eastAsia="宋体" w:cs="宋体"/>
      <w:color w:val="FF6600"/>
      <w:kern w:val="2"/>
      <w:sz w:val="28"/>
      <w:szCs w:val="24"/>
      <w:lang w:val="en-US" w:eastAsia="zh-CN" w:bidi="ar"/>
    </w:rPr>
  </w:style>
  <w:style w:type="character" w:customStyle="1" w:styleId="2203">
    <w:name w:val="正文文本缩进 字符1"/>
    <w:qFormat/>
    <w:uiPriority w:val="0"/>
    <w:rPr>
      <w:rFonts w:hint="eastAsia" w:ascii="宋体" w:hAnsi="宋体" w:eastAsia="宋体"/>
      <w:spacing w:val="-2"/>
      <w:sz w:val="28"/>
      <w:lang w:val="en-US" w:eastAsia="zh-CN" w:bidi="ar-SA"/>
    </w:rPr>
  </w:style>
  <w:style w:type="character" w:customStyle="1" w:styleId="2204">
    <w:name w:val="样式 标题 2标题 2 Char + 自动设置 首行缩进:  1.13 厘米 Char Char"/>
    <w:link w:val="2205"/>
    <w:qFormat/>
    <w:locked/>
    <w:uiPriority w:val="0"/>
    <w:rPr>
      <w:rFonts w:ascii="t" w:hAnsi="t" w:eastAsia="黑体" w:cs="t"/>
      <w:bCs/>
      <w:spacing w:val="-2"/>
      <w:sz w:val="28"/>
      <w:szCs w:val="21"/>
    </w:rPr>
  </w:style>
  <w:style w:type="paragraph" w:customStyle="1" w:styleId="2205">
    <w:name w:val="样式 标题 2标题 2 Char + 自动设置 首行缩进:  1.13 厘米"/>
    <w:basedOn w:val="4"/>
    <w:link w:val="2204"/>
    <w:qFormat/>
    <w:uiPriority w:val="0"/>
    <w:pPr>
      <w:tabs>
        <w:tab w:val="left" w:pos="1476"/>
        <w:tab w:val="clear" w:pos="567"/>
      </w:tabs>
      <w:spacing w:before="0" w:after="0" w:line="500" w:lineRule="exact"/>
      <w:ind w:left="840" w:hanging="420"/>
      <w:jc w:val="left"/>
    </w:pPr>
    <w:rPr>
      <w:rFonts w:ascii="t" w:hAnsi="t" w:cs="t"/>
      <w:bCs/>
      <w:spacing w:val="-2"/>
      <w:kern w:val="0"/>
      <w:szCs w:val="21"/>
    </w:rPr>
  </w:style>
  <w:style w:type="character" w:customStyle="1" w:styleId="2206">
    <w:name w:val="样式 标题 3标题 13 + (中文) 宋体 小四 行距: 1.5 倍行距 Char Char Char"/>
    <w:link w:val="2207"/>
    <w:qFormat/>
    <w:locked/>
    <w:uiPriority w:val="0"/>
    <w:rPr>
      <w:rFonts w:ascii="宋体" w:hAnsi="宋体" w:cs="宋体"/>
      <w:b/>
      <w:sz w:val="24"/>
      <w:szCs w:val="24"/>
    </w:rPr>
  </w:style>
  <w:style w:type="paragraph" w:customStyle="1" w:styleId="2207">
    <w:name w:val="样式 标题 3标题 13 + (中文) 宋体 小四 行距: 1.5 倍行距"/>
    <w:basedOn w:val="6"/>
    <w:link w:val="2206"/>
    <w:qFormat/>
    <w:uiPriority w:val="0"/>
    <w:pPr>
      <w:keepLines w:val="0"/>
      <w:tabs>
        <w:tab w:val="left" w:pos="1080"/>
        <w:tab w:val="left" w:pos="1260"/>
        <w:tab w:val="clear" w:pos="1789"/>
      </w:tabs>
      <w:spacing w:before="0" w:after="0" w:line="360" w:lineRule="auto"/>
      <w:ind w:left="0" w:firstLine="0"/>
    </w:pPr>
    <w:rPr>
      <w:rFonts w:ascii="宋体" w:hAnsi="宋体" w:eastAsia="宋体" w:cs="宋体"/>
      <w:bCs w:val="0"/>
      <w:kern w:val="0"/>
      <w:szCs w:val="24"/>
    </w:rPr>
  </w:style>
  <w:style w:type="character" w:customStyle="1" w:styleId="2208">
    <w:name w:val="5文章(治) Char1"/>
    <w:qFormat/>
    <w:uiPriority w:val="0"/>
    <w:rPr>
      <w:rFonts w:ascii="宋体" w:hAnsi="宋体" w:eastAsia="宋体" w:cs="宋体"/>
      <w:kern w:val="2"/>
      <w:sz w:val="24"/>
      <w:szCs w:val="24"/>
      <w:lang w:val="en-US" w:eastAsia="zh-CN" w:bidi="ar-SA"/>
    </w:rPr>
  </w:style>
  <w:style w:type="character" w:customStyle="1" w:styleId="2209">
    <w:name w:val="8 Char Char"/>
    <w:qFormat/>
    <w:uiPriority w:val="0"/>
    <w:rPr>
      <w:rFonts w:hint="eastAsia" w:ascii="宋体" w:hAnsi="宋体" w:eastAsia="宋体" w:cs="宋体"/>
      <w:kern w:val="10"/>
      <w:sz w:val="24"/>
      <w:szCs w:val="24"/>
      <w:lang w:val="en-US" w:eastAsia="zh-CN" w:bidi="ar-SA"/>
    </w:rPr>
  </w:style>
  <w:style w:type="character" w:customStyle="1" w:styleId="2210">
    <w:name w:val="表格中 Char Char"/>
    <w:qFormat/>
    <w:locked/>
    <w:uiPriority w:val="0"/>
    <w:rPr>
      <w:rFonts w:ascii="宋体" w:hAnsi="宋体" w:eastAsia="宋体"/>
      <w:spacing w:val="-2"/>
      <w:sz w:val="28"/>
    </w:rPr>
  </w:style>
  <w:style w:type="character" w:customStyle="1" w:styleId="2211">
    <w:name w:val="正文文 Char Char"/>
    <w:link w:val="2212"/>
    <w:qFormat/>
    <w:locked/>
    <w:uiPriority w:val="0"/>
    <w:rPr>
      <w:rFonts w:ascii="宋体" w:hAnsi="宋体" w:cs="宋体"/>
      <w:sz w:val="24"/>
      <w:szCs w:val="24"/>
    </w:rPr>
  </w:style>
  <w:style w:type="paragraph" w:customStyle="1" w:styleId="2212">
    <w:name w:val="正文文"/>
    <w:basedOn w:val="1"/>
    <w:next w:val="1"/>
    <w:link w:val="2211"/>
    <w:qFormat/>
    <w:uiPriority w:val="0"/>
    <w:pPr>
      <w:spacing w:beforeLines="25" w:line="440" w:lineRule="exact"/>
      <w:ind w:firstLine="200" w:firstLineChars="200"/>
    </w:pPr>
    <w:rPr>
      <w:rFonts w:ascii="宋体" w:hAnsi="宋体" w:eastAsia="宋体" w:cs="宋体"/>
      <w:kern w:val="0"/>
      <w:sz w:val="24"/>
      <w:szCs w:val="24"/>
    </w:rPr>
  </w:style>
  <w:style w:type="character" w:customStyle="1" w:styleId="2213">
    <w:name w:val="样式 正文文本缩进 3 + 小四 段前: 6 磅 段后: 6 磅 行距: 1.5 倍行距 Char Char"/>
    <w:link w:val="2214"/>
    <w:qFormat/>
    <w:locked/>
    <w:uiPriority w:val="0"/>
    <w:rPr>
      <w:rFonts w:ascii="宋体" w:hAnsi="宋体" w:cs="宋体"/>
      <w:color w:val="FF0000"/>
      <w:sz w:val="24"/>
      <w:szCs w:val="24"/>
    </w:rPr>
  </w:style>
  <w:style w:type="paragraph" w:customStyle="1" w:styleId="2214">
    <w:name w:val="样式 正文文本缩进 3 + 小四 段前: 6 磅 段后: 6 磅 行距: 1.5 倍行距"/>
    <w:basedOn w:val="71"/>
    <w:link w:val="2213"/>
    <w:qFormat/>
    <w:uiPriority w:val="0"/>
    <w:pPr>
      <w:adjustRightInd w:val="0"/>
      <w:snapToGrid w:val="0"/>
      <w:spacing w:before="120" w:after="120" w:line="360" w:lineRule="auto"/>
      <w:ind w:firstLine="480"/>
    </w:pPr>
    <w:rPr>
      <w:rFonts w:cs="宋体"/>
      <w:color w:val="FF0000"/>
      <w:kern w:val="0"/>
      <w:szCs w:val="24"/>
    </w:rPr>
  </w:style>
  <w:style w:type="character" w:customStyle="1" w:styleId="2215">
    <w:name w:val="正文++++++++++ Char Char"/>
    <w:link w:val="2216"/>
    <w:qFormat/>
    <w:locked/>
    <w:uiPriority w:val="0"/>
    <w:rPr>
      <w:rFonts w:ascii="宋体" w:hAnsi="宋体" w:cs="宋体"/>
      <w:sz w:val="24"/>
      <w:szCs w:val="24"/>
    </w:rPr>
  </w:style>
  <w:style w:type="paragraph" w:customStyle="1" w:styleId="2216">
    <w:name w:val="正文++++++++++"/>
    <w:basedOn w:val="1"/>
    <w:link w:val="2215"/>
    <w:qFormat/>
    <w:uiPriority w:val="0"/>
    <w:pPr>
      <w:ind w:firstLine="534" w:firstLineChars="200"/>
    </w:pPr>
    <w:rPr>
      <w:rFonts w:ascii="宋体" w:hAnsi="宋体" w:eastAsia="宋体" w:cs="宋体"/>
      <w:kern w:val="0"/>
      <w:sz w:val="24"/>
      <w:szCs w:val="24"/>
    </w:rPr>
  </w:style>
  <w:style w:type="character" w:customStyle="1" w:styleId="2217">
    <w:name w:val="hb3 Char Char"/>
    <w:link w:val="2218"/>
    <w:qFormat/>
    <w:locked/>
    <w:uiPriority w:val="0"/>
    <w:rPr>
      <w:rFonts w:ascii="宋体" w:hAnsi="宋体" w:cs="宋体"/>
      <w:b/>
      <w:bCs/>
      <w:sz w:val="24"/>
      <w:szCs w:val="32"/>
    </w:rPr>
  </w:style>
  <w:style w:type="paragraph" w:customStyle="1" w:styleId="2218">
    <w:name w:val="hb3"/>
    <w:basedOn w:val="6"/>
    <w:link w:val="2217"/>
    <w:qFormat/>
    <w:uiPriority w:val="0"/>
    <w:pPr>
      <w:tabs>
        <w:tab w:val="left" w:pos="720"/>
        <w:tab w:val="left" w:pos="1022"/>
        <w:tab w:val="left" w:pos="1080"/>
        <w:tab w:val="left" w:pos="1560"/>
        <w:tab w:val="clear" w:pos="1789"/>
      </w:tabs>
      <w:adjustRightInd w:val="0"/>
      <w:spacing w:before="260" w:after="260"/>
      <w:ind w:left="720" w:hanging="720"/>
      <w:jc w:val="left"/>
    </w:pPr>
    <w:rPr>
      <w:rFonts w:ascii="宋体" w:hAnsi="宋体" w:eastAsia="宋体" w:cs="宋体"/>
      <w:kern w:val="0"/>
      <w:szCs w:val="32"/>
    </w:rPr>
  </w:style>
  <w:style w:type="character" w:customStyle="1" w:styleId="2219">
    <w:name w:val="常用正文 Char Char"/>
    <w:link w:val="2220"/>
    <w:qFormat/>
    <w:locked/>
    <w:uiPriority w:val="0"/>
    <w:rPr>
      <w:rFonts w:ascii="宋体" w:hAnsi="宋体" w:cs="宋体"/>
      <w:szCs w:val="21"/>
    </w:rPr>
  </w:style>
  <w:style w:type="paragraph" w:customStyle="1" w:styleId="2220">
    <w:name w:val="常用正文"/>
    <w:basedOn w:val="1"/>
    <w:link w:val="2219"/>
    <w:qFormat/>
    <w:uiPriority w:val="0"/>
    <w:rPr>
      <w:rFonts w:ascii="宋体" w:hAnsi="宋体" w:eastAsia="宋体" w:cs="宋体"/>
      <w:kern w:val="0"/>
      <w:sz w:val="20"/>
      <w:szCs w:val="21"/>
    </w:rPr>
  </w:style>
  <w:style w:type="character" w:customStyle="1" w:styleId="2221">
    <w:name w:val="hyl21"/>
    <w:qFormat/>
    <w:uiPriority w:val="0"/>
    <w:rPr>
      <w:rFonts w:hint="default" w:ascii="̥_GB2312" w:hAnsi="̥_GB2312" w:eastAsia="宋体" w:cs="宋体"/>
      <w:color w:val="000000"/>
      <w:kern w:val="2"/>
      <w:sz w:val="30"/>
      <w:szCs w:val="30"/>
      <w:u w:val="none"/>
      <w:lang w:val="en-US" w:eastAsia="zh-CN" w:bidi="ar"/>
    </w:rPr>
  </w:style>
  <w:style w:type="character" w:customStyle="1" w:styleId="2222">
    <w:name w:val="Char Char83"/>
    <w:qFormat/>
    <w:uiPriority w:val="0"/>
    <w:rPr>
      <w:rFonts w:eastAsia="宋体"/>
      <w:kern w:val="2"/>
      <w:sz w:val="21"/>
      <w:lang w:val="en-US" w:eastAsia="zh-CN" w:bidi="ar-SA"/>
    </w:rPr>
  </w:style>
  <w:style w:type="character" w:customStyle="1" w:styleId="2223">
    <w:name w:val="Char Char283"/>
    <w:qFormat/>
    <w:uiPriority w:val="0"/>
    <w:rPr>
      <w:rFonts w:ascii="宋体" w:hAnsi="Arial" w:eastAsia="宋体" w:cs="宋体"/>
      <w:b/>
      <w:kern w:val="2"/>
      <w:sz w:val="28"/>
      <w:szCs w:val="24"/>
      <w:lang w:val="en-US" w:eastAsia="zh-CN" w:bidi="ar-SA"/>
    </w:rPr>
  </w:style>
  <w:style w:type="character" w:customStyle="1" w:styleId="2224">
    <w:name w:val="表号 Char2"/>
    <w:qFormat/>
    <w:uiPriority w:val="0"/>
    <w:rPr>
      <w:rFonts w:hint="eastAsia" w:ascii="宋体" w:hAnsi="宋体" w:eastAsia="Times New Roman" w:cs="宋体"/>
      <w:kern w:val="2"/>
      <w:sz w:val="24"/>
      <w:szCs w:val="24"/>
      <w:lang w:val="en-US" w:eastAsia="zh-CN" w:bidi="ar"/>
    </w:rPr>
  </w:style>
  <w:style w:type="character" w:customStyle="1" w:styleId="2225">
    <w:name w:val="样式 正文文本 + 宋体 四号 Char"/>
    <w:qFormat/>
    <w:uiPriority w:val="0"/>
    <w:rPr>
      <w:rFonts w:hint="eastAsia" w:ascii="宋体" w:hAnsi="宋体" w:eastAsia="宋体" w:cs="宋体"/>
      <w:spacing w:val="20"/>
      <w:kern w:val="28"/>
      <w:position w:val="2"/>
      <w:sz w:val="28"/>
      <w:szCs w:val="24"/>
      <w:lang w:val="en-US" w:eastAsia="zh-CN" w:bidi="ar-SA"/>
    </w:rPr>
  </w:style>
  <w:style w:type="character" w:customStyle="1" w:styleId="2226">
    <w:name w:val="Char Char23"/>
    <w:qFormat/>
    <w:locked/>
    <w:uiPriority w:val="0"/>
    <w:rPr>
      <w:rFonts w:ascii="宋体" w:hAnsi="宋体" w:eastAsia="宋体" w:cs="宋体"/>
      <w:kern w:val="2"/>
      <w:sz w:val="24"/>
      <w:szCs w:val="24"/>
      <w:lang w:val="en-US" w:eastAsia="zh-CN" w:bidi="ar-SA"/>
    </w:rPr>
  </w:style>
  <w:style w:type="character" w:customStyle="1" w:styleId="2227">
    <w:name w:val="注释标题 Char2"/>
    <w:qFormat/>
    <w:uiPriority w:val="0"/>
    <w:rPr>
      <w:rFonts w:hint="eastAsia" w:ascii="宋体" w:hAnsi="宋体" w:eastAsia="宋体" w:cs="宋体"/>
      <w:kern w:val="2"/>
      <w:sz w:val="21"/>
      <w:szCs w:val="21"/>
      <w:lang w:val="en-US" w:eastAsia="zh-CN" w:bidi="ar"/>
    </w:rPr>
  </w:style>
  <w:style w:type="character" w:customStyle="1" w:styleId="2228">
    <w:name w:val="4级（小）标题 Char Char"/>
    <w:qFormat/>
    <w:locked/>
    <w:uiPriority w:val="0"/>
    <w:rPr>
      <w:rFonts w:ascii="宋体" w:hAnsi="宋体" w:eastAsia="宋体" w:cs="宋体"/>
      <w:b/>
      <w:sz w:val="24"/>
      <w:szCs w:val="24"/>
    </w:rPr>
  </w:style>
  <w:style w:type="character" w:customStyle="1" w:styleId="2229">
    <w:name w:val="Char Char82"/>
    <w:qFormat/>
    <w:locked/>
    <w:uiPriority w:val="0"/>
    <w:rPr>
      <w:rFonts w:ascii="Calibri" w:hAnsi="Calibri" w:eastAsia="宋体"/>
      <w:kern w:val="2"/>
      <w:sz w:val="18"/>
      <w:szCs w:val="18"/>
      <w:lang w:val="en-US" w:eastAsia="zh-CN" w:bidi="ar-SA"/>
    </w:rPr>
  </w:style>
  <w:style w:type="character" w:customStyle="1" w:styleId="2230">
    <w:name w:val="样式40 Char Char"/>
    <w:link w:val="2231"/>
    <w:qFormat/>
    <w:locked/>
    <w:uiPriority w:val="0"/>
    <w:rPr>
      <w:rFonts w:ascii="宋体" w:hAnsi="宋体"/>
      <w:spacing w:val="-2"/>
      <w:sz w:val="28"/>
    </w:rPr>
  </w:style>
  <w:style w:type="paragraph" w:customStyle="1" w:styleId="2231">
    <w:name w:val="样式40"/>
    <w:basedOn w:val="1"/>
    <w:link w:val="2230"/>
    <w:qFormat/>
    <w:uiPriority w:val="0"/>
    <w:rPr>
      <w:rFonts w:ascii="宋体" w:hAnsi="宋体" w:eastAsia="宋体"/>
      <w:spacing w:val="-2"/>
      <w:kern w:val="0"/>
    </w:rPr>
  </w:style>
  <w:style w:type="character" w:customStyle="1" w:styleId="2232">
    <w:name w:val="正文首行缩进 2 Char"/>
    <w:link w:val="2233"/>
    <w:qFormat/>
    <w:locked/>
    <w:uiPriority w:val="99"/>
    <w:rPr>
      <w:rFonts w:ascii="Calibri" w:hAnsi="Calibri" w:cs="宋体"/>
    </w:rPr>
  </w:style>
  <w:style w:type="paragraph" w:customStyle="1" w:styleId="2233">
    <w:name w:val="正文首行缩进 21"/>
    <w:basedOn w:val="1"/>
    <w:link w:val="2232"/>
    <w:qFormat/>
    <w:uiPriority w:val="0"/>
    <w:pPr>
      <w:spacing w:after="120"/>
      <w:ind w:left="200" w:leftChars="200" w:firstLine="420" w:firstLineChars="200"/>
    </w:pPr>
    <w:rPr>
      <w:rFonts w:ascii="Calibri" w:hAnsi="Calibri" w:eastAsia="宋体" w:cs="宋体"/>
      <w:kern w:val="0"/>
      <w:sz w:val="20"/>
    </w:rPr>
  </w:style>
  <w:style w:type="character" w:customStyle="1" w:styleId="2234">
    <w:name w:val="条-成果 Char Char"/>
    <w:qFormat/>
    <w:uiPriority w:val="0"/>
    <w:rPr>
      <w:rFonts w:hint="eastAsia" w:ascii="宋体" w:hAnsi="宋体" w:eastAsia="宋体" w:cs="宋体"/>
      <w:bCs/>
      <w:kern w:val="2"/>
      <w:sz w:val="24"/>
      <w:szCs w:val="30"/>
      <w:lang w:val="en-US" w:eastAsia="zh-CN" w:bidi="ar-SA"/>
    </w:rPr>
  </w:style>
  <w:style w:type="character" w:customStyle="1" w:styleId="2235">
    <w:name w:val="样式 宋体 四号 行距: 1.5 倍行距 Char"/>
    <w:qFormat/>
    <w:locked/>
    <w:uiPriority w:val="0"/>
    <w:rPr>
      <w:rFonts w:hint="eastAsia" w:ascii="宋体" w:hAnsi="宋体" w:eastAsia="宋体" w:cs="宋体"/>
      <w:sz w:val="28"/>
      <w:lang w:val="en-US" w:eastAsia="zh-CN" w:bidi="ar-SA"/>
    </w:rPr>
  </w:style>
  <w:style w:type="character" w:customStyle="1" w:styleId="2236">
    <w:name w:val="Char Char70"/>
    <w:qFormat/>
    <w:locked/>
    <w:uiPriority w:val="0"/>
    <w:rPr>
      <w:rFonts w:hint="eastAsia" w:ascii="宋体" w:hAnsi="宋体" w:eastAsia="宋体" w:cs="宋体"/>
      <w:spacing w:val="-2"/>
      <w:kern w:val="2"/>
      <w:sz w:val="28"/>
      <w:szCs w:val="24"/>
      <w:lang w:val="en-US" w:eastAsia="zh-CN" w:bidi="ar-SA"/>
    </w:rPr>
  </w:style>
  <w:style w:type="character" w:customStyle="1" w:styleId="2237">
    <w:name w:val="样式 标题 1 + 四号 Char Char"/>
    <w:link w:val="2238"/>
    <w:qFormat/>
    <w:locked/>
    <w:uiPriority w:val="0"/>
    <w:rPr>
      <w:rFonts w:ascii="宋体" w:hAnsi="宋体" w:cs="宋体"/>
      <w:b/>
      <w:bCs/>
      <w:sz w:val="28"/>
      <w:szCs w:val="32"/>
    </w:rPr>
  </w:style>
  <w:style w:type="paragraph" w:customStyle="1" w:styleId="2238">
    <w:name w:val="样式 标题 1 + 四号"/>
    <w:basedOn w:val="3"/>
    <w:link w:val="2237"/>
    <w:qFormat/>
    <w:uiPriority w:val="0"/>
    <w:pPr>
      <w:keepLines w:val="0"/>
      <w:pageBreakBefore w:val="0"/>
      <w:tabs>
        <w:tab w:val="clear" w:pos="1080"/>
      </w:tabs>
      <w:spacing w:before="0" w:after="0" w:line="240" w:lineRule="auto"/>
      <w:ind w:left="0" w:firstLine="0"/>
    </w:pPr>
    <w:rPr>
      <w:rFonts w:ascii="宋体" w:hAnsi="宋体" w:cs="宋体"/>
      <w:bCs/>
      <w:kern w:val="0"/>
      <w:sz w:val="28"/>
      <w:szCs w:val="32"/>
    </w:rPr>
  </w:style>
  <w:style w:type="character" w:customStyle="1" w:styleId="2239">
    <w:name w:val="样式 段落样式 + (西文) 宋体 小四 黑色 Char Char Char Char"/>
    <w:qFormat/>
    <w:uiPriority w:val="0"/>
    <w:rPr>
      <w:rFonts w:hint="eastAsia" w:ascii="宋体" w:hAnsi="宋体" w:eastAsia="宋体" w:cs="宋体"/>
      <w:snapToGrid/>
      <w:color w:val="000000"/>
      <w:w w:val="90"/>
      <w:kern w:val="24"/>
      <w:sz w:val="24"/>
      <w:szCs w:val="21"/>
      <w:lang w:val="en-US" w:eastAsia="zh-CN" w:bidi="ar-SA"/>
    </w:rPr>
  </w:style>
  <w:style w:type="character" w:customStyle="1" w:styleId="2240">
    <w:name w:val="font121"/>
    <w:qFormat/>
    <w:uiPriority w:val="0"/>
    <w:rPr>
      <w:rFonts w:hint="eastAsia" w:ascii="宋体" w:hAnsi="宋体" w:eastAsia="宋体" w:cs="宋体"/>
      <w:kern w:val="2"/>
      <w:sz w:val="18"/>
      <w:szCs w:val="18"/>
      <w:lang w:val="en-US" w:eastAsia="zh-CN" w:bidi="ar"/>
    </w:rPr>
  </w:style>
  <w:style w:type="character" w:customStyle="1" w:styleId="2241">
    <w:name w:val="bt_time"/>
    <w:qFormat/>
    <w:uiPriority w:val="0"/>
    <w:rPr>
      <w:rFonts w:hint="eastAsia" w:ascii="宋体" w:hAnsi="宋体" w:eastAsia="宋体" w:cs="宋体"/>
      <w:kern w:val="2"/>
      <w:sz w:val="24"/>
      <w:szCs w:val="20"/>
      <w:lang w:val="en-US" w:eastAsia="zh-CN" w:bidi="ar"/>
    </w:rPr>
  </w:style>
  <w:style w:type="character" w:customStyle="1" w:styleId="2242">
    <w:name w:val="样式35 Char Char"/>
    <w:qFormat/>
    <w:uiPriority w:val="0"/>
    <w:rPr>
      <w:rFonts w:hint="eastAsia" w:ascii="宋体" w:hAnsi="宋体" w:eastAsia="宋体" w:cs="宋体"/>
      <w:bCs/>
      <w:color w:val="000000"/>
      <w:kern w:val="2"/>
      <w:sz w:val="24"/>
      <w:szCs w:val="24"/>
      <w:lang w:val="en-US" w:eastAsia="zh-CN" w:bidi="ar-SA"/>
    </w:rPr>
  </w:style>
  <w:style w:type="character" w:customStyle="1" w:styleId="2243">
    <w:name w:val="样式 标题3YHY + 黑色 段前: 0.5 行 段后: 0.5 行 Char Char"/>
    <w:link w:val="2244"/>
    <w:qFormat/>
    <w:locked/>
    <w:uiPriority w:val="0"/>
    <w:rPr>
      <w:rFonts w:ascii="宋体" w:hAnsi="宋体" w:cs="宋体"/>
      <w:b/>
      <w:bCs/>
      <w:color w:val="000000"/>
      <w:sz w:val="24"/>
      <w:szCs w:val="24"/>
    </w:rPr>
  </w:style>
  <w:style w:type="paragraph" w:customStyle="1" w:styleId="2244">
    <w:name w:val="样式 标题3YHY + 黑色 段前: 0.5 行 段后: 0.5 行"/>
    <w:basedOn w:val="1"/>
    <w:link w:val="2243"/>
    <w:qFormat/>
    <w:uiPriority w:val="0"/>
    <w:pPr>
      <w:keepNext/>
      <w:keepLines/>
      <w:spacing w:beforeLines="50" w:line="360" w:lineRule="auto"/>
      <w:outlineLvl w:val="2"/>
    </w:pPr>
    <w:rPr>
      <w:rFonts w:ascii="宋体" w:hAnsi="宋体" w:eastAsia="宋体" w:cs="宋体"/>
      <w:b/>
      <w:bCs/>
      <w:color w:val="000000"/>
      <w:kern w:val="0"/>
      <w:sz w:val="24"/>
      <w:szCs w:val="24"/>
    </w:rPr>
  </w:style>
  <w:style w:type="character" w:customStyle="1" w:styleId="2245">
    <w:name w:val="样式12 Char Char"/>
    <w:link w:val="2246"/>
    <w:qFormat/>
    <w:locked/>
    <w:uiPriority w:val="0"/>
    <w:rPr>
      <w:rFonts w:ascii="Arial" w:hAnsi="Arial" w:cs="Arial"/>
      <w:b/>
      <w:bCs/>
      <w:sz w:val="24"/>
      <w:szCs w:val="24"/>
    </w:rPr>
  </w:style>
  <w:style w:type="paragraph" w:customStyle="1" w:styleId="2246">
    <w:name w:val="样式12"/>
    <w:basedOn w:val="1"/>
    <w:link w:val="2245"/>
    <w:qFormat/>
    <w:uiPriority w:val="0"/>
    <w:pPr>
      <w:spacing w:line="360" w:lineRule="auto"/>
    </w:pPr>
    <w:rPr>
      <w:rFonts w:ascii="Arial" w:hAnsi="Arial" w:eastAsia="宋体" w:cs="Arial"/>
      <w:b/>
      <w:bCs/>
      <w:kern w:val="0"/>
      <w:sz w:val="24"/>
      <w:szCs w:val="24"/>
    </w:rPr>
  </w:style>
  <w:style w:type="character" w:customStyle="1" w:styleId="2247">
    <w:name w:val="样式11 Char Char"/>
    <w:link w:val="871"/>
    <w:qFormat/>
    <w:locked/>
    <w:uiPriority w:val="0"/>
    <w:rPr>
      <w:rFonts w:ascii="Arial" w:hAnsi="Arial"/>
      <w:spacing w:val="10"/>
      <w:kern w:val="2"/>
      <w:sz w:val="24"/>
    </w:rPr>
  </w:style>
  <w:style w:type="character" w:customStyle="1" w:styleId="2248">
    <w:name w:val="副标题 Char2"/>
    <w:qFormat/>
    <w:uiPriority w:val="0"/>
    <w:rPr>
      <w:rFonts w:hint="eastAsia" w:ascii="楷体_GB2312" w:hAnsi="宋体" w:eastAsia="楷体_GB2312" w:cs="Times New Roman"/>
      <w:b/>
      <w:spacing w:val="40"/>
      <w:kern w:val="0"/>
      <w:sz w:val="36"/>
      <w:szCs w:val="20"/>
      <w:lang w:val="en-US" w:eastAsia="zh-CN" w:bidi="ar-SA"/>
    </w:rPr>
  </w:style>
  <w:style w:type="character" w:customStyle="1" w:styleId="2249">
    <w:name w:val="样式21 Char Char"/>
    <w:link w:val="2250"/>
    <w:qFormat/>
    <w:locked/>
    <w:uiPriority w:val="0"/>
    <w:rPr>
      <w:rFonts w:ascii="黑体" w:hAnsi="宋体" w:eastAsia="黑体" w:cs="宋体"/>
      <w:b/>
      <w:color w:val="000000"/>
      <w:szCs w:val="24"/>
    </w:rPr>
  </w:style>
  <w:style w:type="paragraph" w:customStyle="1" w:styleId="2250">
    <w:name w:val="样式21"/>
    <w:basedOn w:val="1"/>
    <w:link w:val="2249"/>
    <w:qFormat/>
    <w:uiPriority w:val="0"/>
    <w:pPr>
      <w:autoSpaceDE w:val="0"/>
      <w:autoSpaceDN w:val="0"/>
      <w:adjustRightInd w:val="0"/>
      <w:spacing w:line="360" w:lineRule="auto"/>
      <w:jc w:val="center"/>
    </w:pPr>
    <w:rPr>
      <w:rFonts w:ascii="黑体" w:hAnsi="宋体" w:eastAsia="黑体" w:cs="宋体"/>
      <w:b/>
      <w:color w:val="000000"/>
      <w:kern w:val="0"/>
      <w:sz w:val="20"/>
      <w:szCs w:val="24"/>
    </w:rPr>
  </w:style>
  <w:style w:type="character" w:customStyle="1" w:styleId="2251">
    <w:name w:val="结束语 Char2"/>
    <w:qFormat/>
    <w:uiPriority w:val="0"/>
    <w:rPr>
      <w:rFonts w:hint="eastAsia" w:ascii="宋体" w:hAnsi="宋体" w:eastAsia="宋体" w:cs="宋体"/>
      <w:kern w:val="2"/>
      <w:sz w:val="21"/>
      <w:szCs w:val="21"/>
      <w:lang w:val="en-US" w:eastAsia="zh-CN" w:bidi="ar"/>
    </w:rPr>
  </w:style>
  <w:style w:type="character" w:customStyle="1" w:styleId="2252">
    <w:name w:val="标题55 Char"/>
    <w:qFormat/>
    <w:uiPriority w:val="0"/>
    <w:rPr>
      <w:rFonts w:hint="eastAsia" w:ascii="宋体" w:hAnsi="宋体" w:eastAsia="宋体" w:cs="宋体"/>
      <w:b/>
      <w:bCs/>
      <w:kern w:val="2"/>
      <w:sz w:val="24"/>
      <w:szCs w:val="28"/>
      <w:lang w:val="en-US" w:eastAsia="zh-CN" w:bidi="ar-SA"/>
    </w:rPr>
  </w:style>
  <w:style w:type="character" w:customStyle="1" w:styleId="2253">
    <w:name w:val="tcname"/>
    <w:qFormat/>
    <w:uiPriority w:val="0"/>
    <w:rPr>
      <w:rFonts w:hint="eastAsia" w:ascii="宋体" w:hAnsi="宋体" w:eastAsia="宋体" w:cs="宋体"/>
      <w:kern w:val="2"/>
      <w:sz w:val="28"/>
      <w:szCs w:val="24"/>
      <w:lang w:val="en-US" w:eastAsia="zh-CN" w:bidi="ar"/>
    </w:rPr>
  </w:style>
  <w:style w:type="character" w:customStyle="1" w:styleId="2254">
    <w:name w:val="标题 Char1"/>
    <w:qFormat/>
    <w:uiPriority w:val="0"/>
    <w:rPr>
      <w:rFonts w:hint="default" w:ascii="Cambria" w:hAnsi="Cambria" w:eastAsia="宋体" w:cs="Times New Roman"/>
      <w:b/>
      <w:bCs/>
      <w:kern w:val="2"/>
      <w:sz w:val="32"/>
      <w:szCs w:val="32"/>
      <w:lang w:val="en-US" w:eastAsia="zh-CN" w:bidi="ar"/>
    </w:rPr>
  </w:style>
  <w:style w:type="character" w:customStyle="1" w:styleId="2255">
    <w:name w:val="Char Char47"/>
    <w:qFormat/>
    <w:uiPriority w:val="0"/>
    <w:rPr>
      <w:rFonts w:hint="eastAsia" w:ascii="宋体" w:hAnsi="宋体" w:eastAsia="宋体" w:cs="宋体"/>
      <w:kern w:val="2"/>
      <w:sz w:val="28"/>
      <w:szCs w:val="24"/>
      <w:lang w:val="en-US" w:eastAsia="zh-CN" w:bidi="ar"/>
    </w:rPr>
  </w:style>
  <w:style w:type="character" w:customStyle="1" w:styleId="2256">
    <w:name w:val="asg1"/>
    <w:qFormat/>
    <w:uiPriority w:val="0"/>
    <w:rPr>
      <w:rFonts w:hint="eastAsia" w:ascii="宋体" w:hAnsi="宋体" w:eastAsia="宋体" w:cs="宋体"/>
      <w:kern w:val="2"/>
      <w:sz w:val="18"/>
      <w:szCs w:val="18"/>
      <w:lang w:val="en-US" w:eastAsia="zh-CN" w:bidi="ar"/>
    </w:rPr>
  </w:style>
  <w:style w:type="character" w:customStyle="1" w:styleId="2257">
    <w:name w:val="标题 Char Char"/>
    <w:qFormat/>
    <w:locked/>
    <w:uiPriority w:val="0"/>
    <w:rPr>
      <w:rFonts w:hint="default" w:ascii="Arial" w:hAnsi="Arial" w:eastAsia="宋体" w:cs="Arial"/>
      <w:b/>
      <w:kern w:val="2"/>
      <w:sz w:val="32"/>
      <w:lang w:val="en-US" w:eastAsia="zh-CN" w:bidi="ar-SA"/>
    </w:rPr>
  </w:style>
  <w:style w:type="character" w:customStyle="1" w:styleId="2258">
    <w:name w:val="fix101"/>
    <w:qFormat/>
    <w:uiPriority w:val="0"/>
    <w:rPr>
      <w:rFonts w:hint="default" w:ascii="Arial" w:hAnsi="Arial" w:eastAsia="宋体" w:cs="宋体"/>
      <w:kern w:val="2"/>
      <w:sz w:val="20"/>
      <w:szCs w:val="24"/>
      <w:lang w:val="en-US" w:eastAsia="zh-CN" w:bidi="ar"/>
    </w:rPr>
  </w:style>
  <w:style w:type="character" w:customStyle="1" w:styleId="2259">
    <w:name w:val="text-s1"/>
    <w:qFormat/>
    <w:uiPriority w:val="0"/>
    <w:rPr>
      <w:rFonts w:hint="eastAsia" w:ascii="宋体" w:hAnsi="宋体" w:eastAsia="宋体" w:cs="宋体"/>
      <w:kern w:val="2"/>
      <w:sz w:val="20"/>
      <w:szCs w:val="20"/>
      <w:lang w:val="en-US" w:eastAsia="zh-CN" w:bidi="ar"/>
    </w:rPr>
  </w:style>
  <w:style w:type="character" w:customStyle="1" w:styleId="2260">
    <w:name w:val="font3"/>
    <w:qFormat/>
    <w:uiPriority w:val="0"/>
    <w:rPr>
      <w:rFonts w:hint="eastAsia" w:ascii="宋体" w:hAnsi="宋体" w:eastAsia="宋体" w:cs="宋体"/>
      <w:kern w:val="2"/>
      <w:sz w:val="24"/>
      <w:szCs w:val="20"/>
      <w:lang w:val="en-US" w:eastAsia="zh-CN" w:bidi="ar"/>
    </w:rPr>
  </w:style>
  <w:style w:type="character" w:customStyle="1" w:styleId="2261">
    <w:name w:val="content2"/>
    <w:qFormat/>
    <w:uiPriority w:val="0"/>
    <w:rPr>
      <w:rFonts w:hint="eastAsia" w:ascii="宋体" w:hAnsi="宋体" w:eastAsia="宋体" w:cs="宋体"/>
      <w:kern w:val="2"/>
      <w:sz w:val="28"/>
      <w:szCs w:val="24"/>
      <w:lang w:val="en-US" w:eastAsia="zh-CN" w:bidi="ar"/>
    </w:rPr>
  </w:style>
  <w:style w:type="character" w:customStyle="1" w:styleId="2262">
    <w:name w:val="实德题注 Char Char"/>
    <w:qFormat/>
    <w:uiPriority w:val="0"/>
    <w:rPr>
      <w:rFonts w:hint="default" w:ascii="Cambria" w:hAnsi="Cambria" w:eastAsia="黑体" w:cs="宋体"/>
      <w:kern w:val="2"/>
      <w:sz w:val="28"/>
      <w:szCs w:val="24"/>
      <w:lang w:val="en-US" w:eastAsia="zh-CN" w:bidi="ar-SA"/>
    </w:rPr>
  </w:style>
  <w:style w:type="character" w:customStyle="1" w:styleId="2263">
    <w:name w:val="datatitle1"/>
    <w:qFormat/>
    <w:uiPriority w:val="0"/>
    <w:rPr>
      <w:rFonts w:hint="eastAsia" w:ascii="宋体" w:hAnsi="宋体" w:eastAsia="宋体" w:cs="宋体"/>
      <w:b/>
      <w:bCs/>
      <w:color w:val="10619F"/>
      <w:kern w:val="2"/>
      <w:sz w:val="21"/>
      <w:szCs w:val="21"/>
      <w:lang w:val="en-US" w:eastAsia="zh-CN" w:bidi="ar"/>
    </w:rPr>
  </w:style>
  <w:style w:type="character" w:customStyle="1" w:styleId="2264">
    <w:name w:val="批注框文本 Char Char Char Char"/>
    <w:qFormat/>
    <w:uiPriority w:val="0"/>
    <w:rPr>
      <w:rFonts w:hint="eastAsia" w:ascii="宋体" w:hAnsi="宋体" w:eastAsia="宋体" w:cs="宋体"/>
      <w:kern w:val="2"/>
      <w:sz w:val="18"/>
      <w:szCs w:val="18"/>
      <w:lang w:val="en-US" w:eastAsia="zh-CN" w:bidi="ar"/>
    </w:rPr>
  </w:style>
  <w:style w:type="character" w:customStyle="1" w:styleId="2265">
    <w:name w:val="表格字 Char"/>
    <w:qFormat/>
    <w:locked/>
    <w:uiPriority w:val="0"/>
    <w:rPr>
      <w:rFonts w:hint="eastAsia" w:ascii="宋体" w:hAnsi="宋体" w:eastAsia="宋体" w:cs="宋体"/>
      <w:snapToGrid/>
      <w:color w:val="000000"/>
      <w:kern w:val="2"/>
      <w:sz w:val="21"/>
      <w:szCs w:val="21"/>
      <w:lang w:val="en-US" w:eastAsia="zh-CN" w:bidi="ar-SA"/>
    </w:rPr>
  </w:style>
  <w:style w:type="character" w:customStyle="1" w:styleId="2266">
    <w:name w:val="样式34 Char Char"/>
    <w:qFormat/>
    <w:uiPriority w:val="0"/>
    <w:rPr>
      <w:rFonts w:hint="eastAsia" w:ascii="宋体" w:hAnsi="宋体" w:eastAsia="宋体" w:cs="宋体"/>
      <w:color w:val="000000"/>
      <w:kern w:val="2"/>
      <w:sz w:val="24"/>
      <w:szCs w:val="24"/>
      <w:lang w:val="en-US" w:eastAsia="zh-CN" w:bidi="ar"/>
    </w:rPr>
  </w:style>
  <w:style w:type="character" w:customStyle="1" w:styleId="2267">
    <w:name w:val="font031"/>
    <w:qFormat/>
    <w:uiPriority w:val="0"/>
    <w:rPr>
      <w:rFonts w:hint="eastAsia" w:ascii="宋体" w:hAnsi="宋体" w:eastAsia="宋体" w:cs="宋体"/>
      <w:kern w:val="2"/>
      <w:sz w:val="26"/>
      <w:szCs w:val="26"/>
      <w:u w:val="none"/>
      <w:lang w:val="en-US" w:eastAsia="zh-CN" w:bidi="ar"/>
    </w:rPr>
  </w:style>
  <w:style w:type="character" w:customStyle="1" w:styleId="2268">
    <w:name w:val="标题 2 字符1"/>
    <w:qFormat/>
    <w:uiPriority w:val="0"/>
    <w:rPr>
      <w:rFonts w:hint="eastAsia" w:ascii="宋体" w:hAnsi="宋体" w:eastAsia="宋体"/>
      <w:spacing w:val="-2"/>
      <w:sz w:val="28"/>
      <w:lang w:val="en-US" w:eastAsia="zh-CN" w:bidi="ar-SA"/>
    </w:rPr>
  </w:style>
  <w:style w:type="character" w:customStyle="1" w:styleId="2269">
    <w:name w:val="llyf141"/>
    <w:qFormat/>
    <w:uiPriority w:val="0"/>
    <w:rPr>
      <w:rFonts w:hint="eastAsia" w:ascii="宋体" w:hAnsi="宋体" w:eastAsia="宋体" w:cs="宋体"/>
      <w:kern w:val="2"/>
      <w:sz w:val="21"/>
      <w:szCs w:val="21"/>
      <w:lang w:val="en-US" w:eastAsia="zh-CN" w:bidi="ar"/>
    </w:rPr>
  </w:style>
  <w:style w:type="character" w:customStyle="1" w:styleId="2270">
    <w:name w:val="newsbody1"/>
    <w:qFormat/>
    <w:uiPriority w:val="0"/>
    <w:rPr>
      <w:rFonts w:hint="eastAsia" w:ascii="宋体" w:hAnsi="宋体" w:eastAsia="宋体" w:cs="宋体"/>
      <w:color w:val="363636"/>
      <w:spacing w:val="345"/>
      <w:kern w:val="2"/>
      <w:sz w:val="21"/>
      <w:szCs w:val="21"/>
      <w:lang w:val="en-US" w:eastAsia="zh-CN" w:bidi="ar"/>
    </w:rPr>
  </w:style>
  <w:style w:type="character" w:customStyle="1" w:styleId="2271">
    <w:name w:val="table-xiayou"/>
    <w:qFormat/>
    <w:uiPriority w:val="0"/>
    <w:rPr>
      <w:rFonts w:hint="eastAsia" w:ascii="宋体" w:hAnsi="宋体" w:eastAsia="宋体" w:cs="宋体"/>
      <w:kern w:val="2"/>
      <w:sz w:val="28"/>
      <w:szCs w:val="24"/>
      <w:lang w:val="en-US" w:eastAsia="zh-CN" w:bidi="ar"/>
    </w:rPr>
  </w:style>
  <w:style w:type="character" w:customStyle="1" w:styleId="2272">
    <w:name w:val="about-left1"/>
    <w:qFormat/>
    <w:uiPriority w:val="0"/>
    <w:rPr>
      <w:rFonts w:hint="eastAsia" w:ascii="宋体" w:hAnsi="宋体" w:eastAsia="宋体" w:cs="宋体"/>
      <w:color w:val="3A3A3A"/>
      <w:spacing w:val="15"/>
      <w:kern w:val="2"/>
      <w:sz w:val="18"/>
      <w:szCs w:val="18"/>
      <w:u w:val="none"/>
      <w:lang w:val="en-US" w:eastAsia="zh-CN" w:bidi="ar"/>
    </w:rPr>
  </w:style>
  <w:style w:type="character" w:customStyle="1" w:styleId="2273">
    <w:name w:val="样式 样式 样式 样式 (符号) 宋体 13 磅 首行缩进:  2 字符 行距: 1.5 倍行距 + 首行缩进:  2 字符 +... Char Char Char"/>
    <w:qFormat/>
    <w:uiPriority w:val="0"/>
    <w:rPr>
      <w:rFonts w:hint="eastAsia" w:ascii="宋体" w:hAnsi="宋体" w:eastAsia="宋体" w:cs="宋体"/>
      <w:kern w:val="2"/>
      <w:sz w:val="26"/>
      <w:lang w:val="en-US" w:eastAsia="zh-CN" w:bidi="ar-SA"/>
    </w:rPr>
  </w:style>
  <w:style w:type="character" w:customStyle="1" w:styleId="2274">
    <w:name w:val="标题 Char3"/>
    <w:qFormat/>
    <w:uiPriority w:val="0"/>
    <w:rPr>
      <w:rFonts w:hint="default" w:ascii="Cambria" w:hAnsi="Cambria" w:eastAsia="宋体" w:cs="Times New Roman"/>
      <w:b/>
      <w:bCs/>
      <w:kern w:val="2"/>
      <w:sz w:val="32"/>
      <w:szCs w:val="32"/>
      <w:lang w:val="en-US" w:eastAsia="zh-CN" w:bidi="ar-SA"/>
    </w:rPr>
  </w:style>
  <w:style w:type="character" w:customStyle="1" w:styleId="2275">
    <w:name w:val="标题3YHY Char Char Char"/>
    <w:qFormat/>
    <w:uiPriority w:val="0"/>
    <w:rPr>
      <w:rFonts w:hint="eastAsia" w:ascii="宋体" w:hAnsi="宋体" w:eastAsia="宋体" w:cs="宋体"/>
      <w:b/>
      <w:kern w:val="2"/>
      <w:sz w:val="24"/>
      <w:szCs w:val="24"/>
      <w:lang w:val="en-US" w:eastAsia="zh-CN" w:bidi="ar-SA"/>
    </w:rPr>
  </w:style>
  <w:style w:type="character" w:customStyle="1" w:styleId="2276">
    <w:name w:val="BOD 0 Char"/>
    <w:qFormat/>
    <w:uiPriority w:val="0"/>
    <w:rPr>
      <w:rFonts w:hint="eastAsia" w:ascii="宋体" w:hAnsi="宋体" w:eastAsia="宋体" w:cs="宋体"/>
      <w:kern w:val="2"/>
      <w:sz w:val="28"/>
      <w:szCs w:val="24"/>
      <w:lang w:val="en-US" w:eastAsia="zh-CN" w:bidi="ar-SA"/>
    </w:rPr>
  </w:style>
  <w:style w:type="character" w:customStyle="1" w:styleId="2277">
    <w:name w:val="样式42 Char"/>
    <w:qFormat/>
    <w:uiPriority w:val="0"/>
    <w:rPr>
      <w:rFonts w:hint="eastAsia" w:ascii="宋体" w:hAnsi="宋体" w:eastAsia="宋体"/>
      <w:bCs/>
      <w:color w:val="000000"/>
      <w:kern w:val="2"/>
      <w:sz w:val="24"/>
      <w:szCs w:val="24"/>
      <w:lang w:val="en-US" w:eastAsia="zh-CN" w:bidi="ar-SA"/>
    </w:rPr>
  </w:style>
  <w:style w:type="character" w:customStyle="1" w:styleId="2278">
    <w:name w:val="link14pp1"/>
    <w:qFormat/>
    <w:uiPriority w:val="0"/>
    <w:rPr>
      <w:rFonts w:hint="eastAsia" w:ascii="宋体" w:hAnsi="宋体" w:eastAsia="宋体" w:cs="宋体"/>
      <w:color w:val="000000"/>
      <w:kern w:val="2"/>
      <w:sz w:val="21"/>
      <w:szCs w:val="21"/>
      <w:lang w:val="en-US" w:eastAsia="zh-CN" w:bidi="ar"/>
    </w:rPr>
  </w:style>
  <w:style w:type="character" w:customStyle="1" w:styleId="2279">
    <w:name w:val="puntext"/>
    <w:qFormat/>
    <w:uiPriority w:val="0"/>
    <w:rPr>
      <w:rFonts w:hint="eastAsia" w:ascii="宋体" w:hAnsi="宋体" w:eastAsia="宋体" w:cs="宋体"/>
      <w:kern w:val="2"/>
      <w:sz w:val="24"/>
      <w:szCs w:val="20"/>
      <w:lang w:val="en-US" w:eastAsia="zh-CN" w:bidi="ar"/>
    </w:rPr>
  </w:style>
  <w:style w:type="character" w:customStyle="1" w:styleId="2280">
    <w:name w:val="样式6 Char Char"/>
    <w:qFormat/>
    <w:locked/>
    <w:uiPriority w:val="0"/>
    <w:rPr>
      <w:rFonts w:ascii="Arial" w:hAnsi="Arial" w:eastAsia="宋体" w:cs="Arial"/>
      <w:spacing w:val="10"/>
      <w:sz w:val="24"/>
    </w:rPr>
  </w:style>
  <w:style w:type="character" w:customStyle="1" w:styleId="2281">
    <w:name w:val="样式 标题 2标题 21标题 121标题 2 Char1 Char节H2节标题 1.1节标题 1.1 Char... Char Char"/>
    <w:qFormat/>
    <w:uiPriority w:val="0"/>
    <w:rPr>
      <w:rFonts w:hint="eastAsia" w:ascii="黑体" w:hAnsi="宋体" w:eastAsia="黑体" w:cs="宋体"/>
      <w:b/>
      <w:bCs/>
      <w:color w:val="000000"/>
      <w:kern w:val="2"/>
      <w:sz w:val="28"/>
      <w:szCs w:val="24"/>
      <w:lang w:val="en-US" w:eastAsia="zh-CN" w:bidi="ar"/>
    </w:rPr>
  </w:style>
  <w:style w:type="character" w:customStyle="1" w:styleId="2282">
    <w:name w:val="正文格式 Char Char"/>
    <w:qFormat/>
    <w:uiPriority w:val="0"/>
    <w:rPr>
      <w:rFonts w:hint="eastAsia" w:ascii="宋体" w:hAnsi="宋体" w:eastAsia="宋体" w:cs="宋体"/>
      <w:kern w:val="2"/>
      <w:sz w:val="24"/>
      <w:szCs w:val="24"/>
      <w:lang w:val="en-US" w:eastAsia="zh-CN" w:bidi="ar"/>
    </w:rPr>
  </w:style>
  <w:style w:type="character" w:customStyle="1" w:styleId="2283">
    <w:name w:val="Char Char36"/>
    <w:qFormat/>
    <w:locked/>
    <w:uiPriority w:val="0"/>
    <w:rPr>
      <w:rFonts w:ascii="宋体" w:hAnsi="宋体" w:eastAsia="宋体" w:cs="宋体"/>
      <w:kern w:val="2"/>
      <w:sz w:val="28"/>
      <w:szCs w:val="24"/>
      <w:lang w:val="en-US" w:eastAsia="zh-CN" w:bidi="ar-SA"/>
    </w:rPr>
  </w:style>
  <w:style w:type="character" w:customStyle="1" w:styleId="2284">
    <w:name w:val="日期 Char Char"/>
    <w:qFormat/>
    <w:uiPriority w:val="0"/>
    <w:rPr>
      <w:rFonts w:hint="eastAsia" w:ascii="宋体" w:hAnsi="宋体" w:eastAsia="宋体" w:cs="宋体"/>
      <w:kern w:val="2"/>
      <w:sz w:val="21"/>
      <w:szCs w:val="24"/>
      <w:lang w:val="en-US" w:eastAsia="zh-CN" w:bidi="ar"/>
    </w:rPr>
  </w:style>
  <w:style w:type="character" w:customStyle="1" w:styleId="2285">
    <w:name w:val="结束语 Char"/>
    <w:link w:val="32"/>
    <w:qFormat/>
    <w:locked/>
    <w:uiPriority w:val="0"/>
    <w:rPr>
      <w:rFonts w:ascii="华文楷体" w:hAnsi="华文楷体" w:eastAsia="楷体_GB2312"/>
      <w:bCs/>
      <w:kern w:val="2"/>
      <w:sz w:val="28"/>
      <w:szCs w:val="24"/>
    </w:rPr>
  </w:style>
  <w:style w:type="character" w:customStyle="1" w:styleId="2286">
    <w:name w:val="正文文本缩进 Char3"/>
    <w:qFormat/>
    <w:uiPriority w:val="0"/>
    <w:rPr>
      <w:rFonts w:hint="eastAsia" w:ascii="宋体" w:hAnsi="宋体" w:eastAsia="宋体" w:cs="宋体"/>
      <w:kern w:val="2"/>
      <w:sz w:val="28"/>
      <w:szCs w:val="24"/>
      <w:lang w:val="en-US" w:eastAsia="zh-CN" w:bidi="ar"/>
    </w:rPr>
  </w:style>
  <w:style w:type="character" w:customStyle="1" w:styleId="2287">
    <w:name w:val="样式 德胜表格内容 + 紧缩量  0.6 磅 Char Char"/>
    <w:link w:val="2288"/>
    <w:qFormat/>
    <w:locked/>
    <w:uiPriority w:val="0"/>
  </w:style>
  <w:style w:type="paragraph" w:customStyle="1" w:styleId="2288">
    <w:name w:val="样式 德胜表格内容 + 紧缩量  0.6 磅"/>
    <w:basedOn w:val="1808"/>
    <w:link w:val="2287"/>
    <w:qFormat/>
    <w:uiPriority w:val="0"/>
    <w:rPr>
      <w:rFonts w:ascii="Times New Roman" w:hAnsi="Times New Roman" w:cs="Times New Roman"/>
      <w:color w:val="auto"/>
      <w:szCs w:val="20"/>
    </w:rPr>
  </w:style>
  <w:style w:type="character" w:customStyle="1" w:styleId="2289">
    <w:name w:val="样式35 Char"/>
    <w:qFormat/>
    <w:uiPriority w:val="0"/>
    <w:rPr>
      <w:rFonts w:hint="eastAsia" w:ascii="宋体" w:hAnsi="宋体" w:eastAsia="宋体"/>
      <w:bCs/>
      <w:color w:val="000000"/>
      <w:kern w:val="2"/>
      <w:sz w:val="24"/>
      <w:szCs w:val="24"/>
      <w:lang w:val="en-US" w:eastAsia="zh-CN" w:bidi="ar-SA"/>
    </w:rPr>
  </w:style>
  <w:style w:type="character" w:customStyle="1" w:styleId="2290">
    <w:name w:val="标题样式1 Char Char"/>
    <w:link w:val="2291"/>
    <w:qFormat/>
    <w:locked/>
    <w:uiPriority w:val="0"/>
    <w:rPr>
      <w:rFonts w:ascii="黑体" w:hAnsi="宋体" w:eastAsia="黑体" w:cs="宋体"/>
      <w:b/>
      <w:kern w:val="44"/>
      <w:sz w:val="28"/>
      <w:szCs w:val="24"/>
    </w:rPr>
  </w:style>
  <w:style w:type="paragraph" w:customStyle="1" w:styleId="2291">
    <w:name w:val="标题样式1"/>
    <w:basedOn w:val="3"/>
    <w:link w:val="2290"/>
    <w:qFormat/>
    <w:uiPriority w:val="0"/>
    <w:pPr>
      <w:pageBreakBefore w:val="0"/>
      <w:tabs>
        <w:tab w:val="clear" w:pos="1080"/>
      </w:tabs>
      <w:spacing w:before="0" w:after="0" w:line="360" w:lineRule="auto"/>
      <w:ind w:left="0" w:firstLine="0"/>
      <w:jc w:val="both"/>
    </w:pPr>
    <w:rPr>
      <w:rFonts w:ascii="黑体" w:hAnsi="宋体" w:eastAsia="黑体" w:cs="宋体"/>
      <w:sz w:val="28"/>
      <w:szCs w:val="24"/>
    </w:rPr>
  </w:style>
  <w:style w:type="character" w:customStyle="1" w:styleId="2292">
    <w:name w:val="unnamed81"/>
    <w:qFormat/>
    <w:uiPriority w:val="0"/>
    <w:rPr>
      <w:rFonts w:hint="eastAsia" w:ascii="宋体" w:hAnsi="宋体" w:eastAsia="宋体" w:cs="宋体"/>
      <w:color w:val="CC6633"/>
      <w:kern w:val="2"/>
      <w:sz w:val="18"/>
      <w:szCs w:val="18"/>
      <w:lang w:val="en-US" w:eastAsia="zh-CN" w:bidi="ar-SA"/>
    </w:rPr>
  </w:style>
  <w:style w:type="character" w:customStyle="1" w:styleId="2293">
    <w:name w:val="结束语 字符"/>
    <w:qFormat/>
    <w:uiPriority w:val="0"/>
    <w:rPr>
      <w:spacing w:val="-2"/>
      <w:sz w:val="28"/>
      <w:lang w:bidi="ar-SA"/>
    </w:rPr>
  </w:style>
  <w:style w:type="character" w:customStyle="1" w:styleId="2294">
    <w:name w:val="theinfocontent1"/>
    <w:qFormat/>
    <w:uiPriority w:val="0"/>
    <w:rPr>
      <w:rFonts w:hint="default" w:ascii="ˎ̥" w:hAnsi="ˎ̥" w:eastAsia="宋体" w:cs="宋体"/>
      <w:kern w:val="2"/>
      <w:sz w:val="20"/>
      <w:szCs w:val="20"/>
      <w:lang w:val="en-US" w:eastAsia="zh-CN" w:bidi="ar"/>
    </w:rPr>
  </w:style>
  <w:style w:type="character" w:customStyle="1" w:styleId="2295">
    <w:name w:val="表格new Char"/>
    <w:qFormat/>
    <w:uiPriority w:val="0"/>
    <w:rPr>
      <w:rFonts w:hint="eastAsia" w:ascii="宋体" w:hAnsi="宋体" w:eastAsia="宋体" w:cs="宋体"/>
      <w:kern w:val="2"/>
      <w:sz w:val="21"/>
      <w:szCs w:val="21"/>
      <w:lang w:val="en-US" w:eastAsia="zh-CN" w:bidi="ar-SA"/>
    </w:rPr>
  </w:style>
  <w:style w:type="character" w:customStyle="1" w:styleId="2296">
    <w:name w:val="style81"/>
    <w:qFormat/>
    <w:uiPriority w:val="0"/>
    <w:rPr>
      <w:rFonts w:hint="eastAsia" w:ascii="宋体" w:hAnsi="宋体" w:eastAsia="宋体" w:cs="宋体"/>
      <w:color w:val="666666"/>
      <w:kern w:val="2"/>
      <w:sz w:val="18"/>
      <w:szCs w:val="18"/>
      <w:lang w:val="en-US" w:eastAsia="zh-CN" w:bidi="ar"/>
    </w:rPr>
  </w:style>
  <w:style w:type="character" w:customStyle="1" w:styleId="2297">
    <w:name w:val="正文文本缩进 2 Char3"/>
    <w:qFormat/>
    <w:uiPriority w:val="0"/>
    <w:rPr>
      <w:rFonts w:hint="default" w:ascii="Times New Roman" w:hAnsi="Times New Roman" w:eastAsia="宋体" w:cs="Times New Roman"/>
      <w:kern w:val="2"/>
      <w:sz w:val="28"/>
      <w:szCs w:val="24"/>
      <w:lang w:val="en-US" w:eastAsia="zh-CN" w:bidi="ar-SA"/>
    </w:rPr>
  </w:style>
  <w:style w:type="character" w:customStyle="1" w:styleId="2298">
    <w:name w:val="105w1"/>
    <w:qFormat/>
    <w:uiPriority w:val="0"/>
    <w:rPr>
      <w:rFonts w:hint="default" w:ascii="ˎ̥" w:hAnsi="ˎ̥" w:eastAsia="宋体" w:cs="宋体"/>
      <w:kern w:val="2"/>
      <w:sz w:val="29"/>
      <w:szCs w:val="29"/>
      <w:lang w:val="en-US" w:eastAsia="zh-CN" w:bidi="ar"/>
    </w:rPr>
  </w:style>
  <w:style w:type="character" w:customStyle="1" w:styleId="2299">
    <w:name w:val="Char Char Char Char Char Char Char Char Char2"/>
    <w:link w:val="2300"/>
    <w:qFormat/>
    <w:locked/>
    <w:uiPriority w:val="0"/>
    <w:rPr>
      <w:rFonts w:ascii="宋体" w:hAnsi="宋体"/>
      <w:sz w:val="28"/>
      <w:szCs w:val="24"/>
    </w:rPr>
  </w:style>
  <w:style w:type="paragraph" w:customStyle="1" w:styleId="2300">
    <w:name w:val="Char Char Char Char Char Char2"/>
    <w:basedOn w:val="1"/>
    <w:link w:val="2299"/>
    <w:qFormat/>
    <w:uiPriority w:val="0"/>
    <w:rPr>
      <w:rFonts w:ascii="宋体" w:hAnsi="宋体" w:eastAsia="宋体"/>
      <w:kern w:val="0"/>
      <w:szCs w:val="24"/>
    </w:rPr>
  </w:style>
  <w:style w:type="character" w:customStyle="1" w:styleId="2301">
    <w:name w:val="环评标题4 Char"/>
    <w:qFormat/>
    <w:uiPriority w:val="0"/>
    <w:rPr>
      <w:rFonts w:hint="eastAsia" w:ascii="宋体" w:hAnsi="宋体" w:eastAsia="宋体"/>
      <w:bCs/>
      <w:kern w:val="2"/>
      <w:sz w:val="24"/>
      <w:szCs w:val="28"/>
      <w:lang w:val="en-US" w:eastAsia="zh-CN" w:bidi="ar-SA"/>
    </w:rPr>
  </w:style>
  <w:style w:type="character" w:customStyle="1" w:styleId="2302">
    <w:name w:val="样式13 Char Char"/>
    <w:link w:val="910"/>
    <w:qFormat/>
    <w:locked/>
    <w:uiPriority w:val="0"/>
    <w:rPr>
      <w:rFonts w:ascii="Arial" w:hAnsi="Arial" w:cs="Arial"/>
      <w:kern w:val="2"/>
      <w:sz w:val="24"/>
      <w:szCs w:val="24"/>
    </w:rPr>
  </w:style>
  <w:style w:type="character" w:customStyle="1" w:styleId="2303">
    <w:name w:val="cucd-TB Char Char"/>
    <w:link w:val="2304"/>
    <w:qFormat/>
    <w:locked/>
    <w:uiPriority w:val="0"/>
    <w:rPr>
      <w:rFonts w:ascii="宋体" w:hAnsi="宋体" w:cs="宋体"/>
      <w:szCs w:val="24"/>
    </w:rPr>
  </w:style>
  <w:style w:type="paragraph" w:customStyle="1" w:styleId="2304">
    <w:name w:val="cucd-TB"/>
    <w:link w:val="2303"/>
    <w:qFormat/>
    <w:uiPriority w:val="0"/>
    <w:pPr>
      <w:spacing w:line="360" w:lineRule="auto"/>
      <w:jc w:val="center"/>
    </w:pPr>
    <w:rPr>
      <w:rFonts w:ascii="宋体" w:hAnsi="宋体" w:eastAsia="宋体" w:cs="宋体"/>
      <w:szCs w:val="24"/>
      <w:lang w:val="en-US" w:eastAsia="zh-CN" w:bidi="ar-SA"/>
    </w:rPr>
  </w:style>
  <w:style w:type="character" w:customStyle="1" w:styleId="2305">
    <w:name w:val="style51"/>
    <w:qFormat/>
    <w:uiPriority w:val="0"/>
    <w:rPr>
      <w:rFonts w:hint="eastAsia" w:ascii="宋体" w:hAnsi="宋体" w:eastAsia="宋体" w:cs="宋体"/>
      <w:b/>
      <w:bCs/>
      <w:color w:val="000066"/>
      <w:kern w:val="2"/>
      <w:sz w:val="36"/>
      <w:szCs w:val="36"/>
      <w:lang w:val="en-US" w:eastAsia="zh-CN" w:bidi="ar"/>
    </w:rPr>
  </w:style>
  <w:style w:type="character" w:customStyle="1" w:styleId="2306">
    <w:name w:val="三级标题 Char Char Char"/>
    <w:qFormat/>
    <w:locked/>
    <w:uiPriority w:val="0"/>
    <w:rPr>
      <w:rFonts w:ascii="宋体" w:hAnsi="宋体" w:eastAsia="宋体" w:cs="宋体"/>
      <w:b/>
      <w:kern w:val="2"/>
      <w:sz w:val="24"/>
      <w:szCs w:val="24"/>
      <w:lang w:val="en-US" w:eastAsia="zh-CN" w:bidi="ar-SA"/>
    </w:rPr>
  </w:style>
  <w:style w:type="character" w:customStyle="1" w:styleId="2307">
    <w:name w:val="样式 11.5 磅"/>
    <w:qFormat/>
    <w:uiPriority w:val="0"/>
    <w:rPr>
      <w:rFonts w:hint="eastAsia" w:ascii="宋体" w:hAnsi="宋体" w:eastAsia="宋体" w:cs="宋体"/>
      <w:kern w:val="2"/>
      <w:sz w:val="24"/>
      <w:szCs w:val="24"/>
      <w:lang w:val="en-US" w:eastAsia="zh-CN" w:bidi="ar"/>
    </w:rPr>
  </w:style>
  <w:style w:type="character" w:customStyle="1" w:styleId="2308">
    <w:name w:val="正文2缩进主要格式 Char Char"/>
    <w:qFormat/>
    <w:uiPriority w:val="0"/>
    <w:rPr>
      <w:rFonts w:hint="eastAsia" w:ascii="宋体" w:hAnsi="宋体" w:eastAsia="宋体" w:cs="宋体"/>
      <w:kern w:val="2"/>
      <w:sz w:val="24"/>
      <w:lang w:val="en-US" w:eastAsia="zh-CN" w:bidi="ar-SA"/>
    </w:rPr>
  </w:style>
  <w:style w:type="character" w:customStyle="1" w:styleId="2309">
    <w:name w:val="脚注文本 Char2"/>
    <w:qFormat/>
    <w:uiPriority w:val="0"/>
    <w:rPr>
      <w:rFonts w:hint="eastAsia" w:ascii="宋体" w:hAnsi="宋体" w:eastAsia="宋体" w:cs="宋体"/>
      <w:kern w:val="2"/>
      <w:sz w:val="18"/>
      <w:szCs w:val="18"/>
      <w:lang w:val="en-US" w:eastAsia="zh-CN" w:bidi="ar"/>
    </w:rPr>
  </w:style>
  <w:style w:type="character" w:customStyle="1" w:styleId="2310">
    <w:name w:val="样式10 Char Char Char"/>
    <w:link w:val="1011"/>
    <w:qFormat/>
    <w:locked/>
    <w:uiPriority w:val="0"/>
    <w:rPr>
      <w:rFonts w:ascii="Arial" w:hAnsi="Arial" w:cs="Arial"/>
      <w:b/>
      <w:bCs/>
      <w:kern w:val="2"/>
      <w:sz w:val="24"/>
      <w:szCs w:val="24"/>
      <w:lang w:val="en-GB"/>
    </w:rPr>
  </w:style>
  <w:style w:type="character" w:customStyle="1" w:styleId="2311">
    <w:name w:val="正文文本 2 Char3"/>
    <w:qFormat/>
    <w:uiPriority w:val="0"/>
    <w:rPr>
      <w:rFonts w:hint="eastAsia" w:ascii="宋体" w:hAnsi="宋体" w:eastAsia="宋体" w:cs="宋体"/>
      <w:kern w:val="2"/>
      <w:sz w:val="21"/>
      <w:szCs w:val="21"/>
      <w:lang w:val="en-US" w:eastAsia="zh-CN" w:bidi="ar"/>
    </w:rPr>
  </w:style>
  <w:style w:type="character" w:customStyle="1" w:styleId="2312">
    <w:name w:val="三级条标题 Char Char"/>
    <w:qFormat/>
    <w:uiPriority w:val="0"/>
    <w:rPr>
      <w:rFonts w:hint="eastAsia" w:ascii="宋体" w:hAnsi="宋体" w:eastAsia="宋体" w:cs="宋体"/>
      <w:kern w:val="2"/>
      <w:sz w:val="21"/>
      <w:szCs w:val="24"/>
      <w:lang w:val="en-US" w:eastAsia="zh-CN" w:bidi="ar-SA"/>
    </w:rPr>
  </w:style>
  <w:style w:type="character" w:customStyle="1" w:styleId="2313">
    <w:name w:val="样式 表头YHY + 五号 自动设置 Char Char Char"/>
    <w:qFormat/>
    <w:uiPriority w:val="0"/>
    <w:rPr>
      <w:rFonts w:hint="eastAsia" w:ascii="宋体" w:hAnsi="宋体" w:eastAsia="宋体" w:cs="宋体"/>
      <w:kern w:val="2"/>
      <w:sz w:val="28"/>
      <w:szCs w:val="24"/>
      <w:lang w:val="en-US" w:eastAsia="zh-CN" w:bidi="ar"/>
    </w:rPr>
  </w:style>
  <w:style w:type="character" w:customStyle="1" w:styleId="2314">
    <w:name w:val="02 Char Char"/>
    <w:link w:val="2315"/>
    <w:qFormat/>
    <w:locked/>
    <w:uiPriority w:val="0"/>
    <w:rPr>
      <w:rFonts w:ascii="宋体" w:hAnsi="宋体" w:eastAsia="黑体" w:cs="宋体"/>
      <w:b/>
      <w:bCs/>
      <w:sz w:val="24"/>
      <w:szCs w:val="32"/>
    </w:rPr>
  </w:style>
  <w:style w:type="paragraph" w:customStyle="1" w:styleId="2315">
    <w:name w:val="02"/>
    <w:basedOn w:val="6"/>
    <w:link w:val="2314"/>
    <w:qFormat/>
    <w:uiPriority w:val="0"/>
    <w:pPr>
      <w:tabs>
        <w:tab w:val="left" w:pos="1080"/>
        <w:tab w:val="clear" w:pos="1789"/>
      </w:tabs>
      <w:spacing w:before="0" w:after="0" w:line="408" w:lineRule="auto"/>
      <w:ind w:left="0" w:firstLine="0"/>
      <w:jc w:val="left"/>
    </w:pPr>
    <w:rPr>
      <w:rFonts w:ascii="宋体" w:hAnsi="宋体" w:eastAsia="黑体" w:cs="宋体"/>
      <w:kern w:val="0"/>
      <w:szCs w:val="32"/>
    </w:rPr>
  </w:style>
  <w:style w:type="character" w:customStyle="1" w:styleId="2316">
    <w:name w:val="tit2"/>
    <w:qFormat/>
    <w:uiPriority w:val="0"/>
    <w:rPr>
      <w:rFonts w:hint="eastAsia" w:ascii="宋体" w:hAnsi="宋体" w:eastAsia="宋体" w:cs="宋体"/>
      <w:b/>
      <w:bCs/>
      <w:kern w:val="2"/>
      <w:sz w:val="48"/>
      <w:szCs w:val="48"/>
      <w:lang w:val="en-US" w:eastAsia="zh-CN" w:bidi="ar"/>
    </w:rPr>
  </w:style>
  <w:style w:type="character" w:customStyle="1" w:styleId="2317">
    <w:name w:val="引用 Char Char"/>
    <w:qFormat/>
    <w:uiPriority w:val="0"/>
    <w:rPr>
      <w:rFonts w:hint="eastAsia" w:ascii="宋体" w:hAnsi="宋体" w:eastAsia="宋体" w:cs="宋体"/>
      <w:i/>
      <w:iCs/>
      <w:color w:val="000000"/>
      <w:kern w:val="2"/>
      <w:sz w:val="24"/>
      <w:szCs w:val="24"/>
      <w:lang w:val="en-US" w:eastAsia="zh-CN" w:bidi="ar-SA"/>
    </w:rPr>
  </w:style>
  <w:style w:type="character" w:customStyle="1" w:styleId="2318">
    <w:name w:val="【表中文字】 Char Char"/>
    <w:link w:val="2319"/>
    <w:qFormat/>
    <w:locked/>
    <w:uiPriority w:val="0"/>
    <w:rPr>
      <w:rFonts w:ascii="宋体" w:hAnsi="宋体" w:cs="宋体"/>
      <w:szCs w:val="24"/>
    </w:rPr>
  </w:style>
  <w:style w:type="paragraph" w:customStyle="1" w:styleId="2319">
    <w:name w:val="【表中文字】"/>
    <w:basedOn w:val="1"/>
    <w:link w:val="2318"/>
    <w:qFormat/>
    <w:uiPriority w:val="0"/>
    <w:pPr>
      <w:jc w:val="center"/>
    </w:pPr>
    <w:rPr>
      <w:rFonts w:ascii="宋体" w:hAnsi="宋体" w:eastAsia="宋体" w:cs="宋体"/>
      <w:kern w:val="0"/>
      <w:sz w:val="20"/>
      <w:szCs w:val="24"/>
    </w:rPr>
  </w:style>
  <w:style w:type="character" w:customStyle="1" w:styleId="2320">
    <w:name w:val="环评表头 Char Char"/>
    <w:link w:val="2321"/>
    <w:qFormat/>
    <w:locked/>
    <w:uiPriority w:val="0"/>
    <w:rPr>
      <w:rFonts w:ascii="宋体" w:hAnsi="宋体" w:cs="宋体"/>
      <w:b/>
      <w:bCs/>
      <w:spacing w:val="-18"/>
      <w:kern w:val="44"/>
      <w:sz w:val="24"/>
      <w:szCs w:val="30"/>
    </w:rPr>
  </w:style>
  <w:style w:type="paragraph" w:customStyle="1" w:styleId="2321">
    <w:name w:val="环评表头"/>
    <w:link w:val="2320"/>
    <w:qFormat/>
    <w:uiPriority w:val="0"/>
    <w:pPr>
      <w:adjustRightInd w:val="0"/>
      <w:jc w:val="center"/>
    </w:pPr>
    <w:rPr>
      <w:rFonts w:ascii="宋体" w:hAnsi="宋体" w:eastAsia="宋体" w:cs="宋体"/>
      <w:b/>
      <w:bCs/>
      <w:spacing w:val="-18"/>
      <w:kern w:val="44"/>
      <w:sz w:val="24"/>
      <w:szCs w:val="30"/>
      <w:lang w:val="en-US" w:eastAsia="zh-CN" w:bidi="ar-SA"/>
    </w:rPr>
  </w:style>
  <w:style w:type="character" w:customStyle="1" w:styleId="2322">
    <w:name w:val="weby2"/>
    <w:qFormat/>
    <w:uiPriority w:val="0"/>
    <w:rPr>
      <w:rFonts w:hint="eastAsia" w:ascii="宋体" w:hAnsi="宋体" w:eastAsia="宋体" w:cs="宋体"/>
      <w:kern w:val="2"/>
      <w:sz w:val="18"/>
      <w:szCs w:val="24"/>
      <w:lang w:val="en-US" w:eastAsia="zh-CN" w:bidi="ar"/>
    </w:rPr>
  </w:style>
  <w:style w:type="character" w:customStyle="1" w:styleId="2323">
    <w:name w:val="Char Char49"/>
    <w:qFormat/>
    <w:uiPriority w:val="0"/>
    <w:rPr>
      <w:rFonts w:hint="eastAsia" w:ascii="宋体" w:hAnsi="宋体" w:eastAsia="宋体" w:cs="宋体"/>
      <w:b/>
      <w:bCs/>
      <w:kern w:val="2"/>
      <w:sz w:val="28"/>
      <w:szCs w:val="32"/>
      <w:lang w:val="en-US" w:eastAsia="zh-CN" w:bidi="ar"/>
    </w:rPr>
  </w:style>
  <w:style w:type="character" w:customStyle="1" w:styleId="2324">
    <w:name w:val="word1"/>
    <w:qFormat/>
    <w:uiPriority w:val="0"/>
    <w:rPr>
      <w:rFonts w:hint="default" w:ascii="ˎ̥" w:hAnsi="ˎ̥" w:eastAsia="宋体" w:cs="宋体"/>
      <w:color w:val="000000"/>
      <w:kern w:val="2"/>
      <w:sz w:val="21"/>
      <w:szCs w:val="24"/>
      <w:u w:val="none"/>
      <w:lang w:val="en-US" w:eastAsia="zh-CN" w:bidi="ar"/>
    </w:rPr>
  </w:style>
  <w:style w:type="character" w:customStyle="1" w:styleId="2325">
    <w:name w:val="样式22 Char Char"/>
    <w:qFormat/>
    <w:uiPriority w:val="0"/>
    <w:rPr>
      <w:rFonts w:hint="eastAsia" w:ascii="宋体" w:hAnsi="宋体" w:eastAsia="宋体" w:cs="宋体"/>
      <w:kern w:val="2"/>
      <w:sz w:val="24"/>
      <w:szCs w:val="24"/>
      <w:lang w:val="en-US" w:eastAsia="zh-CN" w:bidi="ar-SA"/>
    </w:rPr>
  </w:style>
  <w:style w:type="character" w:customStyle="1" w:styleId="2326">
    <w:name w:val="样式 仿宋_GB2312 四号"/>
    <w:qFormat/>
    <w:uiPriority w:val="0"/>
    <w:rPr>
      <w:rFonts w:hint="eastAsia" w:ascii="仿宋_GB2312" w:hAnsi="仿宋_GB2312" w:eastAsia="仿宋_GB2312" w:cs="宋体"/>
      <w:kern w:val="0"/>
      <w:sz w:val="24"/>
      <w:szCs w:val="24"/>
      <w:lang w:val="en-US" w:eastAsia="zh-CN" w:bidi="ar"/>
    </w:rPr>
  </w:style>
  <w:style w:type="character" w:customStyle="1" w:styleId="2327">
    <w:name w:val="search_content1"/>
    <w:qFormat/>
    <w:uiPriority w:val="0"/>
    <w:rPr>
      <w:rFonts w:hint="eastAsia" w:ascii="宋体" w:hAnsi="宋体" w:eastAsia="宋体" w:cs="宋体"/>
      <w:kern w:val="2"/>
      <w:sz w:val="20"/>
      <w:szCs w:val="20"/>
      <w:lang w:val="en-US" w:eastAsia="zh-CN" w:bidi="ar"/>
    </w:rPr>
  </w:style>
  <w:style w:type="character" w:customStyle="1" w:styleId="2328">
    <w:name w:val="标题 5 字符1"/>
    <w:qFormat/>
    <w:uiPriority w:val="0"/>
    <w:rPr>
      <w:rFonts w:hint="eastAsia" w:ascii="宋体" w:hAnsi="宋体" w:eastAsia="宋体"/>
      <w:spacing w:val="-2"/>
      <w:sz w:val="28"/>
      <w:lang w:val="en-US" w:eastAsia="zh-CN" w:bidi="ar-SA"/>
    </w:rPr>
  </w:style>
  <w:style w:type="character" w:customStyle="1" w:styleId="2329">
    <w:name w:val="Header Char1"/>
    <w:semiHidden/>
    <w:qFormat/>
    <w:uiPriority w:val="99"/>
    <w:rPr>
      <w:rFonts w:ascii="宋体" w:hAnsi="宋体" w:eastAsia="Arial" w:cs="宋体"/>
      <w:kern w:val="28"/>
      <w:sz w:val="18"/>
      <w:szCs w:val="18"/>
      <w:lang w:val="en-US" w:eastAsia="zh-CN" w:bidi="ar-SA"/>
    </w:rPr>
  </w:style>
  <w:style w:type="character" w:customStyle="1" w:styleId="2330">
    <w:name w:val="正文文本 Char2"/>
    <w:qFormat/>
    <w:uiPriority w:val="0"/>
    <w:rPr>
      <w:rFonts w:ascii="宋体" w:hAnsi="宋体" w:eastAsia="仿宋_GB2312" w:cs="宋体"/>
      <w:kern w:val="2"/>
      <w:sz w:val="28"/>
      <w:szCs w:val="24"/>
      <w:lang w:val="en-US" w:eastAsia="zh-CN" w:bidi="ar-SA"/>
    </w:rPr>
  </w:style>
  <w:style w:type="character" w:customStyle="1" w:styleId="2331">
    <w:name w:val="生物质发电正文 Char Char"/>
    <w:link w:val="2332"/>
    <w:qFormat/>
    <w:locked/>
    <w:uiPriority w:val="0"/>
    <w:rPr>
      <w:rFonts w:ascii="宋体" w:hAnsi="宋体" w:cs="宋体"/>
      <w:bCs/>
      <w:sz w:val="24"/>
      <w:szCs w:val="24"/>
    </w:rPr>
  </w:style>
  <w:style w:type="paragraph" w:customStyle="1" w:styleId="2332">
    <w:name w:val="生物质发电正文"/>
    <w:basedOn w:val="1"/>
    <w:link w:val="2331"/>
    <w:qFormat/>
    <w:uiPriority w:val="0"/>
    <w:pPr>
      <w:widowControl/>
      <w:suppressAutoHyphens/>
      <w:adjustRightInd w:val="0"/>
      <w:snapToGrid w:val="0"/>
      <w:spacing w:line="324" w:lineRule="auto"/>
      <w:ind w:firstLine="200" w:firstLineChars="200"/>
    </w:pPr>
    <w:rPr>
      <w:rFonts w:ascii="宋体" w:hAnsi="宋体" w:eastAsia="宋体" w:cs="宋体"/>
      <w:bCs/>
      <w:kern w:val="0"/>
      <w:sz w:val="24"/>
      <w:szCs w:val="24"/>
    </w:rPr>
  </w:style>
  <w:style w:type="character" w:customStyle="1" w:styleId="2333">
    <w:name w:val="标题 2YHY Char Char"/>
    <w:qFormat/>
    <w:uiPriority w:val="0"/>
    <w:rPr>
      <w:rFonts w:hint="eastAsia" w:ascii="宋体" w:hAnsi="宋体" w:eastAsia="黑体" w:cs="Arial Unicode MS"/>
      <w:b/>
      <w:bCs/>
      <w:color w:val="000000"/>
      <w:kern w:val="2"/>
      <w:sz w:val="28"/>
      <w:szCs w:val="28"/>
      <w:lang w:val="en-US" w:eastAsia="zh-CN" w:bidi="ar"/>
    </w:rPr>
  </w:style>
  <w:style w:type="character" w:customStyle="1" w:styleId="2334">
    <w:name w:val="样式 标题 3 + 小四 Char Char"/>
    <w:link w:val="2335"/>
    <w:qFormat/>
    <w:locked/>
    <w:uiPriority w:val="0"/>
    <w:rPr>
      <w:rFonts w:ascii="宋体" w:hAnsi="宋体"/>
      <w:b/>
      <w:bCs/>
      <w:spacing w:val="-2"/>
      <w:sz w:val="24"/>
      <w:szCs w:val="24"/>
    </w:rPr>
  </w:style>
  <w:style w:type="paragraph" w:customStyle="1" w:styleId="2335">
    <w:name w:val="样式 标题 3 + 小四"/>
    <w:basedOn w:val="6"/>
    <w:link w:val="2334"/>
    <w:qFormat/>
    <w:uiPriority w:val="0"/>
    <w:pPr>
      <w:tabs>
        <w:tab w:val="left" w:pos="1022"/>
        <w:tab w:val="left" w:pos="1080"/>
        <w:tab w:val="clear" w:pos="1789"/>
      </w:tabs>
      <w:adjustRightInd w:val="0"/>
      <w:snapToGrid w:val="0"/>
      <w:spacing w:before="0" w:beforeLines="50" w:after="0" w:line="360" w:lineRule="auto"/>
      <w:ind w:left="1260" w:hanging="420"/>
    </w:pPr>
    <w:rPr>
      <w:rFonts w:ascii="宋体" w:hAnsi="宋体" w:eastAsia="宋体"/>
      <w:spacing w:val="-2"/>
      <w:kern w:val="0"/>
      <w:szCs w:val="24"/>
    </w:rPr>
  </w:style>
  <w:style w:type="character" w:customStyle="1" w:styleId="2336">
    <w:name w:val="样式11111 Char Char Char"/>
    <w:qFormat/>
    <w:locked/>
    <w:uiPriority w:val="0"/>
    <w:rPr>
      <w:rFonts w:ascii="宋体" w:hAnsi="宋体" w:eastAsia="宋体" w:cs="宋体"/>
      <w:color w:val="000000"/>
      <w:sz w:val="24"/>
      <w:szCs w:val="24"/>
    </w:rPr>
  </w:style>
  <w:style w:type="character" w:customStyle="1" w:styleId="2337">
    <w:name w:val="称呼 字符"/>
    <w:qFormat/>
    <w:uiPriority w:val="0"/>
    <w:rPr>
      <w:rFonts w:hint="eastAsia" w:ascii="宋体" w:hAnsi="宋体" w:eastAsia="宋体" w:cs="宋体"/>
      <w:color w:val="000000"/>
      <w:kern w:val="2"/>
      <w:sz w:val="24"/>
      <w:szCs w:val="24"/>
      <w:lang w:val="en-US" w:eastAsia="zh-CN" w:bidi="ar"/>
    </w:rPr>
  </w:style>
  <w:style w:type="character" w:customStyle="1" w:styleId="2338">
    <w:name w:val="报告书正文-宇宏 Char Char"/>
    <w:link w:val="2339"/>
    <w:qFormat/>
    <w:locked/>
    <w:uiPriority w:val="0"/>
    <w:rPr>
      <w:rFonts w:ascii="宋体" w:hAnsi="宋体" w:cs="宋体"/>
      <w:sz w:val="24"/>
      <w:szCs w:val="24"/>
    </w:rPr>
  </w:style>
  <w:style w:type="paragraph" w:customStyle="1" w:styleId="2339">
    <w:name w:val="报告书正文-宇宏"/>
    <w:basedOn w:val="1"/>
    <w:link w:val="2338"/>
    <w:qFormat/>
    <w:uiPriority w:val="0"/>
    <w:pPr>
      <w:spacing w:line="480" w:lineRule="exact"/>
      <w:ind w:firstLine="200" w:firstLineChars="200"/>
    </w:pPr>
    <w:rPr>
      <w:rFonts w:ascii="宋体" w:hAnsi="宋体" w:eastAsia="宋体" w:cs="宋体"/>
      <w:kern w:val="0"/>
      <w:sz w:val="24"/>
      <w:szCs w:val="24"/>
    </w:rPr>
  </w:style>
  <w:style w:type="character" w:customStyle="1" w:styleId="2340">
    <w:name w:val="font71"/>
    <w:qFormat/>
    <w:uiPriority w:val="0"/>
    <w:rPr>
      <w:rFonts w:ascii="Arial" w:hAnsi="Arial" w:eastAsia="Arial" w:cs="Arial"/>
      <w:color w:val="000000"/>
      <w:kern w:val="2"/>
      <w:sz w:val="22"/>
      <w:szCs w:val="22"/>
      <w:u w:val="none"/>
      <w:lang w:val="en-US" w:eastAsia="zh-CN" w:bidi="ar-SA"/>
    </w:rPr>
  </w:style>
  <w:style w:type="character" w:customStyle="1" w:styleId="2341">
    <w:name w:val="正文文本 3 Char2"/>
    <w:qFormat/>
    <w:uiPriority w:val="0"/>
    <w:rPr>
      <w:rFonts w:hint="eastAsia" w:ascii="宋体" w:hAnsi="宋体" w:eastAsia="宋体" w:cs="宋体"/>
      <w:kern w:val="2"/>
      <w:sz w:val="16"/>
      <w:szCs w:val="16"/>
      <w:lang w:val="en-US" w:eastAsia="zh-CN" w:bidi="ar"/>
    </w:rPr>
  </w:style>
  <w:style w:type="character" w:customStyle="1" w:styleId="2342">
    <w:name w:val="myfont11"/>
    <w:qFormat/>
    <w:uiPriority w:val="0"/>
    <w:rPr>
      <w:rFonts w:hint="eastAsia" w:ascii="宋体" w:hAnsi="宋体" w:eastAsia="宋体" w:cs="宋体"/>
      <w:color w:val="000000"/>
      <w:spacing w:val="360"/>
      <w:kern w:val="2"/>
      <w:sz w:val="18"/>
      <w:szCs w:val="18"/>
      <w:lang w:val="en-US" w:eastAsia="zh-CN" w:bidi="ar"/>
    </w:rPr>
  </w:style>
  <w:style w:type="character" w:customStyle="1" w:styleId="2343">
    <w:name w:val="样式 报告正文 + 首行缩进:  2 字符 Char Char"/>
    <w:link w:val="846"/>
    <w:qFormat/>
    <w:locked/>
    <w:uiPriority w:val="0"/>
    <w:rPr>
      <w:rFonts w:cs="宋体"/>
      <w:snapToGrid/>
      <w:kern w:val="2"/>
      <w:sz w:val="28"/>
    </w:rPr>
  </w:style>
  <w:style w:type="character" w:customStyle="1" w:styleId="2344">
    <w:name w:val="Char Char24"/>
    <w:qFormat/>
    <w:locked/>
    <w:uiPriority w:val="0"/>
    <w:rPr>
      <w:rFonts w:ascii="宋体" w:hAnsi="宋体" w:eastAsia="宋体" w:cs="宋体"/>
      <w:color w:val="000000"/>
      <w:kern w:val="2"/>
      <w:sz w:val="24"/>
      <w:szCs w:val="24"/>
      <w:lang w:val="en-US" w:eastAsia="zh-CN" w:bidi="ar-SA"/>
    </w:rPr>
  </w:style>
  <w:style w:type="character" w:customStyle="1" w:styleId="2345">
    <w:name w:val="Char Char Char Char Char Char Char Char Char Char Char Char Char Char Char Char Char Char Char Char Char Char Char Char Char Char Char Char Char Char Char Char Char Char Char Char Char Char Char Char Char Char Char Char Char Char Char Char Char Char  C"/>
    <w:qFormat/>
    <w:uiPriority w:val="0"/>
    <w:rPr>
      <w:rFonts w:hint="eastAsia" w:ascii="宋体" w:hAnsi="宋体" w:eastAsia="宋体" w:cs="宋体"/>
      <w:kern w:val="2"/>
      <w:sz w:val="21"/>
      <w:szCs w:val="24"/>
      <w:lang w:val="en-US" w:eastAsia="zh-CN" w:bidi="ar-SA"/>
    </w:rPr>
  </w:style>
  <w:style w:type="character" w:customStyle="1" w:styleId="2346">
    <w:name w:val="8.7正文格式 Char Char"/>
    <w:link w:val="2347"/>
    <w:qFormat/>
    <w:locked/>
    <w:uiPriority w:val="0"/>
    <w:rPr>
      <w:rFonts w:ascii="宋体" w:hAnsi="宋体" w:cs="宋体"/>
      <w:sz w:val="28"/>
      <w:szCs w:val="24"/>
    </w:rPr>
  </w:style>
  <w:style w:type="paragraph" w:customStyle="1" w:styleId="2347">
    <w:name w:val="8.7正文格式"/>
    <w:basedOn w:val="1"/>
    <w:link w:val="2346"/>
    <w:qFormat/>
    <w:uiPriority w:val="0"/>
    <w:pPr>
      <w:spacing w:line="500" w:lineRule="exact"/>
      <w:ind w:firstLine="560" w:firstLineChars="200"/>
    </w:pPr>
    <w:rPr>
      <w:rFonts w:ascii="宋体" w:hAnsi="宋体" w:eastAsia="宋体" w:cs="宋体"/>
      <w:kern w:val="0"/>
      <w:szCs w:val="24"/>
    </w:rPr>
  </w:style>
  <w:style w:type="character" w:customStyle="1" w:styleId="2348">
    <w:name w:val="样式39 Char Char"/>
    <w:link w:val="2349"/>
    <w:qFormat/>
    <w:locked/>
    <w:uiPriority w:val="0"/>
    <w:rPr>
      <w:rFonts w:ascii="宋体" w:hAnsi="宋体" w:cs="宋体"/>
      <w:bCs/>
      <w:sz w:val="24"/>
      <w:szCs w:val="24"/>
    </w:rPr>
  </w:style>
  <w:style w:type="paragraph" w:customStyle="1" w:styleId="2349">
    <w:name w:val="样式39"/>
    <w:basedOn w:val="1"/>
    <w:link w:val="2348"/>
    <w:qFormat/>
    <w:uiPriority w:val="0"/>
    <w:pPr>
      <w:spacing w:line="240" w:lineRule="exact"/>
    </w:pPr>
    <w:rPr>
      <w:rFonts w:ascii="宋体" w:hAnsi="宋体" w:eastAsia="宋体" w:cs="宋体"/>
      <w:bCs/>
      <w:kern w:val="0"/>
      <w:sz w:val="24"/>
      <w:szCs w:val="24"/>
    </w:rPr>
  </w:style>
  <w:style w:type="character" w:customStyle="1" w:styleId="2350">
    <w:name w:val="正文首行缩进 2 Char3"/>
    <w:link w:val="87"/>
    <w:qFormat/>
    <w:locked/>
    <w:uiPriority w:val="0"/>
    <w:rPr>
      <w:rFonts w:eastAsia="仿宋_GB2312"/>
      <w:kern w:val="2"/>
      <w:sz w:val="28"/>
    </w:rPr>
  </w:style>
  <w:style w:type="character" w:customStyle="1" w:styleId="2351">
    <w:name w:val="样式34 Char Char Char"/>
    <w:link w:val="2352"/>
    <w:qFormat/>
    <w:locked/>
    <w:uiPriority w:val="0"/>
    <w:rPr>
      <w:rFonts w:ascii="宋体" w:hAnsi="宋体" w:cs="宋体"/>
      <w:color w:val="000000"/>
      <w:sz w:val="24"/>
      <w:szCs w:val="24"/>
    </w:rPr>
  </w:style>
  <w:style w:type="paragraph" w:customStyle="1" w:styleId="2352">
    <w:name w:val="样式34"/>
    <w:basedOn w:val="1"/>
    <w:link w:val="2351"/>
    <w:qFormat/>
    <w:uiPriority w:val="0"/>
    <w:pPr>
      <w:snapToGrid w:val="0"/>
      <w:spacing w:beforeLines="50" w:line="360" w:lineRule="auto"/>
      <w:ind w:firstLine="480" w:firstLineChars="200"/>
    </w:pPr>
    <w:rPr>
      <w:rFonts w:ascii="宋体" w:hAnsi="宋体" w:eastAsia="宋体" w:cs="宋体"/>
      <w:color w:val="000000"/>
      <w:kern w:val="0"/>
      <w:sz w:val="24"/>
      <w:szCs w:val="24"/>
    </w:rPr>
  </w:style>
  <w:style w:type="character" w:customStyle="1" w:styleId="2353">
    <w:name w:val="样式20 Char Char Char"/>
    <w:qFormat/>
    <w:locked/>
    <w:uiPriority w:val="0"/>
    <w:rPr>
      <w:rFonts w:ascii="宋体" w:hAnsi="宋体" w:eastAsia="宋体" w:cs="宋体"/>
      <w:color w:val="000000"/>
      <w:sz w:val="24"/>
      <w:szCs w:val="24"/>
    </w:rPr>
  </w:style>
  <w:style w:type="character" w:customStyle="1" w:styleId="2354">
    <w:name w:val="样式 标题 2标题 21标题 121标题 2 Char1 Char节H2节标题 1.1节标题 1.1 Char...2 Char Char Char"/>
    <w:qFormat/>
    <w:uiPriority w:val="0"/>
    <w:rPr>
      <w:rFonts w:hint="eastAsia" w:ascii="黑体" w:hAnsi="黑体" w:eastAsia="黑体"/>
      <w:color w:val="000000"/>
      <w:spacing w:val="-2"/>
      <w:sz w:val="28"/>
      <w:lang w:bidi="ar-SA"/>
    </w:rPr>
  </w:style>
  <w:style w:type="character" w:customStyle="1" w:styleId="2355">
    <w:name w:val="样式17 Char Char Char"/>
    <w:qFormat/>
    <w:locked/>
    <w:uiPriority w:val="0"/>
    <w:rPr>
      <w:rFonts w:ascii="黑体" w:hAnsi="Arial Unicode MS" w:eastAsia="黑体" w:cs="宋体"/>
      <w:b/>
      <w:color w:val="000000"/>
      <w:kern w:val="44"/>
      <w:sz w:val="30"/>
      <w:szCs w:val="24"/>
    </w:rPr>
  </w:style>
  <w:style w:type="character" w:customStyle="1" w:styleId="2356">
    <w:name w:val="样式 样式 标题 3标题 13标题 3 Char1 Char Char Char标题 31ReHead 3 WSAh3B... ... Char Char"/>
    <w:link w:val="2357"/>
    <w:qFormat/>
    <w:locked/>
    <w:uiPriority w:val="0"/>
    <w:rPr>
      <w:rFonts w:ascii="宋体" w:hAnsi="宋体"/>
      <w:sz w:val="24"/>
      <w:szCs w:val="24"/>
      <w:lang w:val="zh-CN"/>
    </w:rPr>
  </w:style>
  <w:style w:type="paragraph" w:customStyle="1" w:styleId="2357">
    <w:name w:val="样式 样式 标题 3标题 13标题 3 Char1 Char Char Char标题 31ReHead 3 WSAh3B... ..."/>
    <w:basedOn w:val="7"/>
    <w:link w:val="2356"/>
    <w:qFormat/>
    <w:uiPriority w:val="0"/>
    <w:pPr>
      <w:tabs>
        <w:tab w:val="left" w:pos="2153"/>
        <w:tab w:val="clear" w:pos="4008"/>
      </w:tabs>
      <w:spacing w:before="280" w:after="290" w:line="372" w:lineRule="auto"/>
      <w:ind w:left="0" w:firstLine="0"/>
      <w:jc w:val="both"/>
    </w:pPr>
    <w:rPr>
      <w:rFonts w:ascii="宋体" w:hAnsi="宋体" w:eastAsia="宋体"/>
      <w:b w:val="0"/>
      <w:color w:val="auto"/>
      <w:kern w:val="0"/>
      <w:szCs w:val="24"/>
      <w:lang w:val="zh-CN"/>
    </w:rPr>
  </w:style>
  <w:style w:type="character" w:customStyle="1" w:styleId="2358">
    <w:name w:val="4正文 Char"/>
    <w:qFormat/>
    <w:locked/>
    <w:uiPriority w:val="0"/>
    <w:rPr>
      <w:rFonts w:hint="eastAsia" w:ascii="宋体" w:hAnsi="宋体" w:eastAsia="宋体"/>
      <w:kern w:val="2"/>
      <w:sz w:val="28"/>
      <w:lang w:val="zh-CN" w:bidi="ar-SA"/>
    </w:rPr>
  </w:style>
  <w:style w:type="character" w:customStyle="1" w:styleId="2359">
    <w:name w:val="样式8 Char Char"/>
    <w:link w:val="2360"/>
    <w:qFormat/>
    <w:locked/>
    <w:uiPriority w:val="0"/>
    <w:rPr>
      <w:rFonts w:ascii="Arial" w:hAnsi="Arial" w:cs="Arial"/>
      <w:sz w:val="24"/>
      <w:szCs w:val="24"/>
    </w:rPr>
  </w:style>
  <w:style w:type="paragraph" w:customStyle="1" w:styleId="2360">
    <w:name w:val="样式8"/>
    <w:basedOn w:val="5"/>
    <w:link w:val="2359"/>
    <w:qFormat/>
    <w:uiPriority w:val="0"/>
    <w:rPr>
      <w:spacing w:val="0"/>
      <w:kern w:val="0"/>
      <w:szCs w:val="24"/>
    </w:rPr>
  </w:style>
  <w:style w:type="character" w:customStyle="1" w:styleId="2361">
    <w:name w:val="H9 Char4"/>
    <w:qFormat/>
    <w:uiPriority w:val="0"/>
    <w:rPr>
      <w:rFonts w:hint="default" w:ascii="Arial" w:hAnsi="Arial" w:eastAsia="黑体" w:cs="宋体"/>
      <w:kern w:val="2"/>
      <w:sz w:val="21"/>
      <w:szCs w:val="21"/>
      <w:lang w:val="en-US" w:eastAsia="zh-CN" w:bidi="ar-SA"/>
    </w:rPr>
  </w:style>
  <w:style w:type="character" w:customStyle="1" w:styleId="2362">
    <w:name w:val="表格题头 Char Char"/>
    <w:link w:val="2363"/>
    <w:qFormat/>
    <w:locked/>
    <w:uiPriority w:val="0"/>
    <w:rPr>
      <w:rFonts w:ascii="宋体" w:hAnsi="宋体" w:cs="宋体"/>
      <w:b/>
      <w:sz w:val="24"/>
      <w:szCs w:val="24"/>
    </w:rPr>
  </w:style>
  <w:style w:type="paragraph" w:customStyle="1" w:styleId="2363">
    <w:name w:val="表格题头"/>
    <w:basedOn w:val="1"/>
    <w:link w:val="2362"/>
    <w:qFormat/>
    <w:uiPriority w:val="0"/>
    <w:pPr>
      <w:widowControl/>
      <w:spacing w:line="360" w:lineRule="auto"/>
      <w:jc w:val="center"/>
    </w:pPr>
    <w:rPr>
      <w:rFonts w:ascii="宋体" w:hAnsi="宋体" w:eastAsia="宋体" w:cs="宋体"/>
      <w:b/>
      <w:kern w:val="0"/>
      <w:sz w:val="24"/>
      <w:szCs w:val="24"/>
    </w:rPr>
  </w:style>
  <w:style w:type="character" w:customStyle="1" w:styleId="2364">
    <w:name w:val="【表头】 Char Char"/>
    <w:link w:val="2365"/>
    <w:qFormat/>
    <w:locked/>
    <w:uiPriority w:val="0"/>
    <w:rPr>
      <w:rFonts w:ascii="宋体" w:hAnsi="宋体" w:eastAsia="黑体" w:cs="宋体"/>
      <w:sz w:val="24"/>
      <w:szCs w:val="24"/>
    </w:rPr>
  </w:style>
  <w:style w:type="paragraph" w:customStyle="1" w:styleId="2365">
    <w:name w:val="【表头】"/>
    <w:basedOn w:val="1"/>
    <w:link w:val="2364"/>
    <w:qFormat/>
    <w:uiPriority w:val="0"/>
    <w:pPr>
      <w:spacing w:line="460" w:lineRule="exact"/>
      <w:jc w:val="center"/>
    </w:pPr>
    <w:rPr>
      <w:rFonts w:ascii="宋体" w:hAnsi="宋体" w:eastAsia="黑体" w:cs="宋体"/>
      <w:kern w:val="0"/>
      <w:sz w:val="24"/>
      <w:szCs w:val="24"/>
    </w:rPr>
  </w:style>
  <w:style w:type="character" w:customStyle="1" w:styleId="2366">
    <w:name w:val="电子邮件签名 Char2"/>
    <w:qFormat/>
    <w:uiPriority w:val="0"/>
    <w:rPr>
      <w:rFonts w:hint="eastAsia" w:ascii="宋体" w:hAnsi="宋体" w:eastAsia="宋体" w:cs="宋体"/>
      <w:kern w:val="2"/>
      <w:sz w:val="21"/>
      <w:szCs w:val="21"/>
      <w:lang w:val="en-US" w:eastAsia="zh-CN" w:bidi="ar"/>
    </w:rPr>
  </w:style>
  <w:style w:type="character" w:customStyle="1" w:styleId="2367">
    <w:name w:val="表头题注 Char Char"/>
    <w:link w:val="2368"/>
    <w:qFormat/>
    <w:locked/>
    <w:uiPriority w:val="0"/>
    <w:rPr>
      <w:rFonts w:ascii="宋体" w:hAnsi="宋体" w:eastAsia="黑体" w:cs="黑体"/>
      <w:szCs w:val="21"/>
    </w:rPr>
  </w:style>
  <w:style w:type="paragraph" w:customStyle="1" w:styleId="2368">
    <w:name w:val="表头题注"/>
    <w:basedOn w:val="1"/>
    <w:next w:val="1"/>
    <w:link w:val="2367"/>
    <w:qFormat/>
    <w:uiPriority w:val="0"/>
    <w:pPr>
      <w:keepNext/>
      <w:spacing w:line="420" w:lineRule="exact"/>
      <w:jc w:val="left"/>
    </w:pPr>
    <w:rPr>
      <w:rFonts w:ascii="宋体" w:hAnsi="宋体" w:eastAsia="黑体" w:cs="黑体"/>
      <w:kern w:val="0"/>
      <w:sz w:val="20"/>
      <w:szCs w:val="21"/>
    </w:rPr>
  </w:style>
  <w:style w:type="character" w:customStyle="1" w:styleId="2369">
    <w:name w:val="样式 标题 3标题 3 Char Char Char标题 3 Char Char Char Char Char Char标... Char Char"/>
    <w:link w:val="2370"/>
    <w:qFormat/>
    <w:locked/>
    <w:uiPriority w:val="0"/>
    <w:rPr>
      <w:rFonts w:ascii="Plotter" w:hAnsi="Plotter" w:cs="Plotter"/>
      <w:b/>
      <w:bCs/>
      <w:spacing w:val="-2"/>
      <w:sz w:val="24"/>
      <w:szCs w:val="32"/>
    </w:rPr>
  </w:style>
  <w:style w:type="paragraph" w:customStyle="1" w:styleId="2370">
    <w:name w:val="样式 标题 3标题 3 Char Char Char标题 3 Char Char Char Char Char Char标..."/>
    <w:basedOn w:val="6"/>
    <w:link w:val="2369"/>
    <w:qFormat/>
    <w:uiPriority w:val="0"/>
    <w:pPr>
      <w:tabs>
        <w:tab w:val="left" w:pos="720"/>
        <w:tab w:val="left" w:pos="1022"/>
        <w:tab w:val="left" w:pos="1080"/>
        <w:tab w:val="clear" w:pos="1789"/>
      </w:tabs>
      <w:adjustRightInd w:val="0"/>
      <w:spacing w:before="0" w:beforeLines="10" w:after="0" w:line="360" w:lineRule="auto"/>
      <w:ind w:left="1260" w:firstLine="200" w:firstLineChars="200"/>
    </w:pPr>
    <w:rPr>
      <w:rFonts w:ascii="Plotter" w:hAnsi="Plotter" w:eastAsia="宋体" w:cs="Plotter"/>
      <w:spacing w:val="-2"/>
      <w:kern w:val="0"/>
      <w:szCs w:val="32"/>
    </w:rPr>
  </w:style>
  <w:style w:type="character" w:customStyle="1" w:styleId="2371">
    <w:name w:val="表文字居中 Char Char"/>
    <w:qFormat/>
    <w:locked/>
    <w:uiPriority w:val="0"/>
    <w:rPr>
      <w:rFonts w:ascii="Arial" w:hAnsi="Arial" w:cs="宋体"/>
      <w:szCs w:val="24"/>
    </w:rPr>
  </w:style>
  <w:style w:type="character" w:customStyle="1" w:styleId="2372">
    <w:name w:val="fs12"/>
    <w:qFormat/>
    <w:uiPriority w:val="0"/>
    <w:rPr>
      <w:rFonts w:hint="eastAsia" w:ascii="宋体" w:hAnsi="宋体" w:eastAsia="宋体" w:cs="宋体"/>
      <w:kern w:val="2"/>
      <w:sz w:val="28"/>
      <w:szCs w:val="24"/>
      <w:lang w:val="en-US" w:eastAsia="zh-CN" w:bidi="ar"/>
    </w:rPr>
  </w:style>
  <w:style w:type="character" w:customStyle="1" w:styleId="2373">
    <w:name w:val="样式 正文文本 + 首行缩进:  2 字符 Char Char"/>
    <w:link w:val="1105"/>
    <w:qFormat/>
    <w:locked/>
    <w:uiPriority w:val="0"/>
    <w:rPr>
      <w:sz w:val="24"/>
      <w:szCs w:val="28"/>
    </w:rPr>
  </w:style>
  <w:style w:type="character" w:customStyle="1" w:styleId="2374">
    <w:name w:val="zhenwen141"/>
    <w:qFormat/>
    <w:uiPriority w:val="0"/>
    <w:rPr>
      <w:rFonts w:hint="default" w:ascii="ˎ̥" w:hAnsi="ˎ̥" w:eastAsia="黑体" w:cs="Courier New"/>
      <w:kern w:val="2"/>
      <w:sz w:val="18"/>
      <w:szCs w:val="18"/>
      <w:lang w:val="en-US" w:eastAsia="zh-CN" w:bidi="ar-SA"/>
    </w:rPr>
  </w:style>
  <w:style w:type="character" w:customStyle="1" w:styleId="2375">
    <w:name w:val="表标题 Char Char"/>
    <w:link w:val="2376"/>
    <w:qFormat/>
    <w:locked/>
    <w:uiPriority w:val="0"/>
    <w:rPr>
      <w:rFonts w:ascii="宋体" w:hAnsi="宋体" w:eastAsia="黑体" w:cs="宋体"/>
      <w:bCs/>
      <w:spacing w:val="20"/>
      <w:sz w:val="24"/>
      <w:szCs w:val="24"/>
    </w:rPr>
  </w:style>
  <w:style w:type="paragraph" w:customStyle="1" w:styleId="2376">
    <w:name w:val="表标题"/>
    <w:basedOn w:val="1"/>
    <w:link w:val="2375"/>
    <w:qFormat/>
    <w:uiPriority w:val="0"/>
    <w:pPr>
      <w:autoSpaceDE w:val="0"/>
      <w:autoSpaceDN w:val="0"/>
      <w:adjustRightInd w:val="0"/>
      <w:snapToGrid w:val="0"/>
      <w:ind w:left="198" w:firstLine="560" w:firstLineChars="200"/>
      <w:jc w:val="center"/>
    </w:pPr>
    <w:rPr>
      <w:rFonts w:ascii="宋体" w:hAnsi="宋体" w:eastAsia="黑体" w:cs="宋体"/>
      <w:bCs/>
      <w:spacing w:val="20"/>
      <w:kern w:val="0"/>
      <w:sz w:val="24"/>
      <w:szCs w:val="24"/>
    </w:rPr>
  </w:style>
  <w:style w:type="character" w:customStyle="1" w:styleId="2377">
    <w:name w:val="样式10 Char Char"/>
    <w:qFormat/>
    <w:uiPriority w:val="0"/>
    <w:rPr>
      <w:rFonts w:hint="eastAsia" w:ascii="宋体" w:hAnsi="宋体" w:eastAsia="宋体" w:cs="宋体"/>
      <w:b/>
      <w:bCs/>
      <w:kern w:val="2"/>
      <w:sz w:val="24"/>
      <w:szCs w:val="24"/>
      <w:lang w:val="en-US" w:eastAsia="zh-CN" w:bidi="ar-SA"/>
    </w:rPr>
  </w:style>
  <w:style w:type="character" w:customStyle="1" w:styleId="2378">
    <w:name w:val="样式46 Char Char"/>
    <w:link w:val="2379"/>
    <w:qFormat/>
    <w:locked/>
    <w:uiPriority w:val="0"/>
    <w:rPr>
      <w:rFonts w:ascii="宋体" w:hAnsi="宋体" w:cs="宋体"/>
      <w:sz w:val="24"/>
      <w:szCs w:val="24"/>
    </w:rPr>
  </w:style>
  <w:style w:type="paragraph" w:customStyle="1" w:styleId="2379">
    <w:name w:val="样式46"/>
    <w:basedOn w:val="5"/>
    <w:link w:val="2378"/>
    <w:qFormat/>
    <w:uiPriority w:val="0"/>
    <w:pPr>
      <w:widowControl/>
      <w:overflowPunct w:val="0"/>
      <w:autoSpaceDE w:val="0"/>
      <w:autoSpaceDN w:val="0"/>
      <w:adjustRightInd w:val="0"/>
      <w:snapToGrid w:val="0"/>
      <w:spacing w:beforeLines="50" w:line="360" w:lineRule="auto"/>
      <w:ind w:firstLine="480"/>
    </w:pPr>
    <w:rPr>
      <w:rFonts w:ascii="宋体" w:hAnsi="宋体" w:cs="宋体"/>
      <w:spacing w:val="0"/>
      <w:kern w:val="0"/>
      <w:szCs w:val="24"/>
    </w:rPr>
  </w:style>
  <w:style w:type="character" w:customStyle="1" w:styleId="2380">
    <w:name w:val="样式 样式 小四 段前: 7.8 磅 段后: 7.8 磅 行距: 1.5 倍行距 + 首行缩进:  2 字符 Char Char"/>
    <w:link w:val="2381"/>
    <w:qFormat/>
    <w:locked/>
    <w:uiPriority w:val="0"/>
    <w:rPr>
      <w:rFonts w:ascii="宋体" w:hAnsi="宋体" w:cs="宋体"/>
      <w:b/>
      <w:szCs w:val="21"/>
    </w:rPr>
  </w:style>
  <w:style w:type="paragraph" w:customStyle="1" w:styleId="2381">
    <w:name w:val="样式 样式 小四 段前: 7.8 磅 段后: 7.8 磅 行距: 1.5 倍行距 + 首行缩进:  2 字符"/>
    <w:basedOn w:val="1"/>
    <w:link w:val="2380"/>
    <w:qFormat/>
    <w:uiPriority w:val="0"/>
    <w:pPr>
      <w:spacing w:line="360" w:lineRule="auto"/>
      <w:jc w:val="center"/>
    </w:pPr>
    <w:rPr>
      <w:rFonts w:ascii="宋体" w:hAnsi="宋体" w:eastAsia="宋体" w:cs="宋体"/>
      <w:b/>
      <w:kern w:val="0"/>
      <w:sz w:val="20"/>
      <w:szCs w:val="21"/>
    </w:rPr>
  </w:style>
  <w:style w:type="character" w:customStyle="1" w:styleId="2382">
    <w:name w:val="chinaname1"/>
    <w:qFormat/>
    <w:uiPriority w:val="0"/>
    <w:rPr>
      <w:rFonts w:hint="eastAsia" w:ascii="宋体" w:hAnsi="宋体" w:eastAsia="宋体" w:cs="宋体"/>
      <w:kern w:val="2"/>
      <w:sz w:val="28"/>
      <w:szCs w:val="24"/>
      <w:lang w:val="en-US" w:eastAsia="zh-CN" w:bidi="ar"/>
    </w:rPr>
  </w:style>
  <w:style w:type="character" w:customStyle="1" w:styleId="2383">
    <w:name w:val="正文文本 3 字符1"/>
    <w:qFormat/>
    <w:uiPriority w:val="0"/>
    <w:rPr>
      <w:kern w:val="2"/>
      <w:sz w:val="24"/>
      <w:szCs w:val="24"/>
      <w:lang w:bidi="ar-SA"/>
    </w:rPr>
  </w:style>
  <w:style w:type="character" w:customStyle="1" w:styleId="2384">
    <w:name w:val="样式 标题 1 + 黑体 小三 非加粗 Char Char"/>
    <w:link w:val="2385"/>
    <w:qFormat/>
    <w:locked/>
    <w:uiPriority w:val="0"/>
    <w:rPr>
      <w:rFonts w:ascii="黑体" w:hAnsi="黑体" w:eastAsia="黑体"/>
      <w:kern w:val="44"/>
      <w:sz w:val="30"/>
      <w:szCs w:val="44"/>
    </w:rPr>
  </w:style>
  <w:style w:type="paragraph" w:customStyle="1" w:styleId="2385">
    <w:name w:val="样式 标题 1 + 黑体 小三 非加粗"/>
    <w:basedOn w:val="3"/>
    <w:link w:val="2384"/>
    <w:qFormat/>
    <w:uiPriority w:val="0"/>
    <w:pPr>
      <w:pageBreakBefore w:val="0"/>
      <w:tabs>
        <w:tab w:val="left" w:pos="425"/>
        <w:tab w:val="clear" w:pos="1080"/>
      </w:tabs>
      <w:spacing w:before="340" w:after="330"/>
      <w:jc w:val="both"/>
    </w:pPr>
    <w:rPr>
      <w:rFonts w:ascii="黑体" w:hAnsi="黑体" w:eastAsia="黑体"/>
      <w:b w:val="0"/>
      <w:sz w:val="30"/>
      <w:szCs w:val="44"/>
    </w:rPr>
  </w:style>
  <w:style w:type="character" w:customStyle="1" w:styleId="2386">
    <w:name w:val="text21"/>
    <w:qFormat/>
    <w:uiPriority w:val="0"/>
    <w:rPr>
      <w:rFonts w:hint="eastAsia" w:ascii="宋体" w:hAnsi="宋体" w:eastAsia="宋体" w:cs="宋体"/>
      <w:color w:val="000000"/>
      <w:kern w:val="2"/>
      <w:sz w:val="21"/>
      <w:szCs w:val="24"/>
      <w:u w:val="none"/>
      <w:lang w:val="en-US" w:eastAsia="zh-CN" w:bidi="ar"/>
    </w:rPr>
  </w:style>
  <w:style w:type="character" w:customStyle="1" w:styleId="2387">
    <w:name w:val="4级别 Char Char"/>
    <w:link w:val="2388"/>
    <w:qFormat/>
    <w:locked/>
    <w:uiPriority w:val="0"/>
    <w:rPr>
      <w:rFonts w:ascii="宋体" w:hAnsi="宋体" w:cs="宋体"/>
      <w:bCs/>
      <w:color w:val="000000"/>
      <w:sz w:val="24"/>
      <w:szCs w:val="24"/>
    </w:rPr>
  </w:style>
  <w:style w:type="paragraph" w:customStyle="1" w:styleId="2388">
    <w:name w:val="4级别"/>
    <w:basedOn w:val="2168"/>
    <w:link w:val="2387"/>
    <w:qFormat/>
    <w:uiPriority w:val="0"/>
    <w:pPr>
      <w:keepNext/>
      <w:keepLines/>
      <w:spacing w:before="120" w:after="120" w:line="360" w:lineRule="auto"/>
      <w:outlineLvl w:val="3"/>
    </w:pPr>
    <w:rPr>
      <w:rFonts w:eastAsia="宋体"/>
      <w:bCs/>
      <w:szCs w:val="24"/>
    </w:rPr>
  </w:style>
  <w:style w:type="character" w:customStyle="1" w:styleId="2389">
    <w:name w:val="Char Char40"/>
    <w:qFormat/>
    <w:locked/>
    <w:uiPriority w:val="0"/>
    <w:rPr>
      <w:rFonts w:ascii="黑体" w:hAnsi="宋体" w:eastAsia="黑体" w:cs="黑体"/>
      <w:bCs/>
      <w:kern w:val="2"/>
      <w:sz w:val="28"/>
      <w:szCs w:val="32"/>
      <w:lang w:val="en-US" w:eastAsia="zh-CN" w:bidi="ar-SA"/>
    </w:rPr>
  </w:style>
  <w:style w:type="character" w:customStyle="1" w:styleId="2390">
    <w:name w:val="样式 标题 3 + 加粗 Char Char"/>
    <w:qFormat/>
    <w:uiPriority w:val="0"/>
    <w:rPr>
      <w:rFonts w:hint="default" w:ascii="Arial Unicode MS" w:hAnsi="Arial Unicode MS" w:eastAsia="宋体" w:cs="Arial Unicode MS"/>
      <w:b/>
      <w:bCs/>
      <w:snapToGrid/>
      <w:color w:val="000000"/>
      <w:kern w:val="2"/>
      <w:sz w:val="24"/>
      <w:szCs w:val="24"/>
      <w:lang w:val="en-US" w:eastAsia="zh-CN" w:bidi="ar-SA"/>
    </w:rPr>
  </w:style>
  <w:style w:type="character" w:customStyle="1" w:styleId="2391">
    <w:name w:val="aa正文 Char Char"/>
    <w:link w:val="2392"/>
    <w:qFormat/>
    <w:locked/>
    <w:uiPriority w:val="0"/>
    <w:rPr>
      <w:rFonts w:ascii="宋体" w:hAnsi="宋体" w:cs="宋体"/>
      <w:bCs/>
      <w:snapToGrid/>
      <w:color w:val="000000"/>
      <w:sz w:val="24"/>
      <w:szCs w:val="24"/>
    </w:rPr>
  </w:style>
  <w:style w:type="paragraph" w:customStyle="1" w:styleId="2392">
    <w:name w:val="aa正文"/>
    <w:basedOn w:val="1"/>
    <w:link w:val="2391"/>
    <w:qFormat/>
    <w:uiPriority w:val="0"/>
    <w:pPr>
      <w:topLinePunct/>
      <w:snapToGrid w:val="0"/>
      <w:spacing w:line="500" w:lineRule="exact"/>
      <w:ind w:firstLine="200" w:firstLineChars="200"/>
    </w:pPr>
    <w:rPr>
      <w:rFonts w:ascii="宋体" w:hAnsi="宋体" w:eastAsia="宋体" w:cs="宋体"/>
      <w:bCs/>
      <w:color w:val="000000"/>
      <w:kern w:val="0"/>
      <w:sz w:val="24"/>
      <w:szCs w:val="24"/>
    </w:rPr>
  </w:style>
  <w:style w:type="character" w:customStyle="1" w:styleId="2393">
    <w:name w:val="font51"/>
    <w:qFormat/>
    <w:uiPriority w:val="0"/>
    <w:rPr>
      <w:rFonts w:ascii="宋体" w:hAnsi="宋体" w:eastAsia="宋体" w:cs="宋体"/>
      <w:color w:val="000000"/>
      <w:kern w:val="2"/>
      <w:sz w:val="22"/>
      <w:szCs w:val="22"/>
      <w:u w:val="none"/>
      <w:lang w:val="en-US" w:eastAsia="zh-CN" w:bidi="ar-SA"/>
    </w:rPr>
  </w:style>
  <w:style w:type="character" w:customStyle="1" w:styleId="2394">
    <w:name w:val="Char Char35"/>
    <w:qFormat/>
    <w:locked/>
    <w:uiPriority w:val="0"/>
    <w:rPr>
      <w:rFonts w:ascii="宋体" w:hAnsi="宋体" w:eastAsia="宋体" w:cs="宋体"/>
      <w:b/>
      <w:bCs/>
      <w:kern w:val="2"/>
      <w:sz w:val="32"/>
      <w:szCs w:val="32"/>
      <w:lang w:val="en-US" w:eastAsia="zh-CN" w:bidi="ar-SA"/>
    </w:rPr>
  </w:style>
  <w:style w:type="character" w:customStyle="1" w:styleId="2395">
    <w:name w:val="样式9 Char Char Char"/>
    <w:qFormat/>
    <w:locked/>
    <w:uiPriority w:val="0"/>
    <w:rPr>
      <w:rFonts w:ascii="Arial" w:hAnsi="Arial" w:eastAsia="宋体" w:cs="Arial"/>
      <w:spacing w:val="10"/>
      <w:sz w:val="24"/>
    </w:rPr>
  </w:style>
  <w:style w:type="character" w:customStyle="1" w:styleId="2396">
    <w:name w:val="图注 Char Char"/>
    <w:qFormat/>
    <w:uiPriority w:val="0"/>
    <w:rPr>
      <w:rFonts w:hint="eastAsia" w:ascii="宋体" w:hAnsi="宋体" w:eastAsia="宋体" w:cs="宋体"/>
      <w:color w:val="FF0000"/>
      <w:kern w:val="2"/>
      <w:sz w:val="28"/>
      <w:szCs w:val="24"/>
      <w:lang w:val="en-US" w:eastAsia="zh-CN" w:bidi="ar-SA"/>
    </w:rPr>
  </w:style>
  <w:style w:type="character" w:customStyle="1" w:styleId="2397">
    <w:name w:val="hangju1"/>
    <w:qFormat/>
    <w:uiPriority w:val="0"/>
    <w:rPr>
      <w:rFonts w:hint="eastAsia" w:ascii="宋体" w:hAnsi="宋体" w:eastAsia="宋体" w:cs="宋体"/>
      <w:spacing w:val="340"/>
      <w:kern w:val="2"/>
      <w:sz w:val="28"/>
      <w:szCs w:val="24"/>
      <w:lang w:val="en-US" w:eastAsia="zh-CN" w:bidi="ar"/>
    </w:rPr>
  </w:style>
  <w:style w:type="character" w:customStyle="1" w:styleId="2398">
    <w:name w:val="Char Char371"/>
    <w:qFormat/>
    <w:uiPriority w:val="0"/>
    <w:rPr>
      <w:rFonts w:ascii="Arial" w:hAnsi="Arial" w:eastAsia="宋体" w:cs="Arial"/>
      <w:spacing w:val="10"/>
      <w:kern w:val="2"/>
      <w:sz w:val="24"/>
      <w:lang w:val="en-US" w:eastAsia="zh-CN" w:bidi="ar-SA"/>
    </w:rPr>
  </w:style>
  <w:style w:type="character" w:customStyle="1" w:styleId="2399">
    <w:name w:val=".biaoti"/>
    <w:qFormat/>
    <w:uiPriority w:val="0"/>
    <w:rPr>
      <w:rFonts w:hint="eastAsia" w:ascii="宋体" w:hAnsi="宋体" w:eastAsia="宋体" w:cs="宋体"/>
      <w:kern w:val="2"/>
      <w:sz w:val="28"/>
      <w:szCs w:val="24"/>
      <w:lang w:val="en-US" w:eastAsia="zh-CN" w:bidi="ar"/>
    </w:rPr>
  </w:style>
  <w:style w:type="character" w:customStyle="1" w:styleId="2400">
    <w:name w:val="可研报告正文 Char Char"/>
    <w:link w:val="931"/>
    <w:qFormat/>
    <w:locked/>
    <w:uiPriority w:val="0"/>
    <w:rPr>
      <w:kern w:val="2"/>
      <w:sz w:val="24"/>
      <w:szCs w:val="24"/>
    </w:rPr>
  </w:style>
  <w:style w:type="character" w:customStyle="1" w:styleId="2401">
    <w:name w:val="样式 标题 2标题 21标题 121标题 2 Char1 Char节H2节标题 1.1节标题 1.1 Char...2 Char Char"/>
    <w:link w:val="2402"/>
    <w:qFormat/>
    <w:locked/>
    <w:uiPriority w:val="0"/>
    <w:rPr>
      <w:rFonts w:ascii="宋体" w:hAnsi="宋体" w:eastAsia="黑体"/>
      <w:color w:val="000000"/>
      <w:spacing w:val="-2"/>
      <w:sz w:val="28"/>
      <w:szCs w:val="24"/>
    </w:rPr>
  </w:style>
  <w:style w:type="paragraph" w:customStyle="1" w:styleId="2402">
    <w:name w:val="样式 标题 2标题 21标题 121标题 2 Char1 Char节H2节标题 1.1节标题 1.1 Char...2"/>
    <w:basedOn w:val="4"/>
    <w:link w:val="2401"/>
    <w:qFormat/>
    <w:uiPriority w:val="0"/>
    <w:pPr>
      <w:keepNext w:val="0"/>
      <w:keepLines w:val="0"/>
      <w:widowControl/>
      <w:tabs>
        <w:tab w:val="left" w:pos="1476"/>
      </w:tabs>
      <w:adjustRightInd w:val="0"/>
      <w:spacing w:before="0" w:beforeLines="100" w:after="100"/>
      <w:jc w:val="left"/>
    </w:pPr>
    <w:rPr>
      <w:rFonts w:ascii="宋体" w:hAnsi="宋体"/>
      <w:color w:val="000000"/>
      <w:spacing w:val="-2"/>
      <w:kern w:val="0"/>
      <w:szCs w:val="24"/>
    </w:rPr>
  </w:style>
  <w:style w:type="character" w:customStyle="1" w:styleId="2403">
    <w:name w:val="Body Text First Indent Char1"/>
    <w:semiHidden/>
    <w:qFormat/>
    <w:uiPriority w:val="99"/>
    <w:rPr>
      <w:rFonts w:ascii="宋体" w:hAnsi="宋体" w:eastAsia="Arial" w:cs="宋体"/>
      <w:kern w:val="28"/>
      <w:sz w:val="32"/>
      <w:szCs w:val="32"/>
      <w:lang w:val="en-US" w:eastAsia="zh-CN" w:bidi="ar-SA"/>
    </w:rPr>
  </w:style>
  <w:style w:type="character" w:customStyle="1" w:styleId="2404">
    <w:name w:val="样式 标题 4 + (西文) Times New Roman (中文) 宋体 小四 非加粗 Char Char"/>
    <w:link w:val="1901"/>
    <w:qFormat/>
    <w:locked/>
    <w:uiPriority w:val="0"/>
    <w:rPr>
      <w:rFonts w:ascii="Arial" w:hAnsi="Arial" w:eastAsia="黑体" w:cs="宋体"/>
      <w:b/>
      <w:sz w:val="24"/>
      <w:szCs w:val="28"/>
    </w:rPr>
  </w:style>
  <w:style w:type="character" w:customStyle="1" w:styleId="2405">
    <w:name w:val="Default Char"/>
    <w:link w:val="762"/>
    <w:qFormat/>
    <w:locked/>
    <w:uiPriority w:val="0"/>
    <w:rPr>
      <w:rFonts w:ascii="宋体"/>
    </w:rPr>
  </w:style>
  <w:style w:type="character" w:customStyle="1" w:styleId="2406">
    <w:name w:val="Char Char34"/>
    <w:qFormat/>
    <w:locked/>
    <w:uiPriority w:val="0"/>
    <w:rPr>
      <w:rFonts w:ascii="Arial" w:hAnsi="Arial" w:eastAsia="黑体" w:cs="宋体"/>
      <w:b/>
      <w:bCs/>
      <w:kern w:val="2"/>
      <w:sz w:val="28"/>
      <w:szCs w:val="28"/>
      <w:lang w:val="en-US" w:eastAsia="zh-CN" w:bidi="ar-SA"/>
    </w:rPr>
  </w:style>
  <w:style w:type="character" w:customStyle="1" w:styleId="2407">
    <w:name w:val="标题3YHY Char Char"/>
    <w:qFormat/>
    <w:locked/>
    <w:uiPriority w:val="0"/>
    <w:rPr>
      <w:rFonts w:ascii="宋体" w:hAnsi="宋体" w:eastAsia="宋体"/>
      <w:b/>
      <w:bCs/>
      <w:spacing w:val="-2"/>
      <w:sz w:val="24"/>
      <w:szCs w:val="24"/>
    </w:rPr>
  </w:style>
  <w:style w:type="character" w:customStyle="1" w:styleId="2408">
    <w:name w:val="正缩1 Char Char Char"/>
    <w:link w:val="837"/>
    <w:qFormat/>
    <w:locked/>
    <w:uiPriority w:val="0"/>
    <w:rPr>
      <w:rFonts w:eastAsia="仿宋_GB2312"/>
      <w:snapToGrid/>
      <w:color w:val="000000"/>
      <w:sz w:val="28"/>
    </w:rPr>
  </w:style>
  <w:style w:type="character" w:customStyle="1" w:styleId="2409">
    <w:name w:val="我的标题3 Char Char Char"/>
    <w:qFormat/>
    <w:locked/>
    <w:uiPriority w:val="0"/>
    <w:rPr>
      <w:rFonts w:eastAsia="黑体"/>
      <w:sz w:val="28"/>
      <w:szCs w:val="24"/>
    </w:rPr>
  </w:style>
  <w:style w:type="character" w:customStyle="1" w:styleId="2410">
    <w:name w:val="样式 样式 宋体 四号 行距: 1.5 倍行距 + Times New Roman1 Char Char"/>
    <w:link w:val="2411"/>
    <w:qFormat/>
    <w:locked/>
    <w:uiPriority w:val="0"/>
    <w:rPr>
      <w:rFonts w:ascii="宋体" w:hAnsi="宋体" w:cs="宋体"/>
      <w:sz w:val="28"/>
      <w:szCs w:val="24"/>
    </w:rPr>
  </w:style>
  <w:style w:type="paragraph" w:customStyle="1" w:styleId="2411">
    <w:name w:val="样式 样式 宋体 四号 行距: 1.5 倍行距 + Times New Roman1"/>
    <w:basedOn w:val="1869"/>
    <w:link w:val="2410"/>
    <w:qFormat/>
    <w:uiPriority w:val="0"/>
    <w:pPr>
      <w:ind w:firstLine="200"/>
    </w:pPr>
  </w:style>
  <w:style w:type="character" w:customStyle="1" w:styleId="2412">
    <w:name w:val="Char Char43"/>
    <w:qFormat/>
    <w:uiPriority w:val="0"/>
    <w:rPr>
      <w:rFonts w:ascii="Times New Roman" w:hAnsi="Times New Roman" w:eastAsia="宋体" w:cs="Times New Roman"/>
      <w:kern w:val="2"/>
      <w:sz w:val="18"/>
      <w:szCs w:val="18"/>
      <w:lang w:val="en-US" w:eastAsia="zh-CN" w:bidi="ar-SA"/>
    </w:rPr>
  </w:style>
  <w:style w:type="character" w:customStyle="1" w:styleId="2413">
    <w:name w:val="tpc_content"/>
    <w:qFormat/>
    <w:uiPriority w:val="0"/>
    <w:rPr>
      <w:rFonts w:hint="eastAsia" w:ascii="宋体" w:hAnsi="宋体" w:eastAsia="宋体" w:cs="宋体"/>
      <w:kern w:val="2"/>
      <w:sz w:val="28"/>
      <w:szCs w:val="24"/>
      <w:lang w:val="en-US" w:eastAsia="zh-CN" w:bidi="ar"/>
    </w:rPr>
  </w:style>
  <w:style w:type="character" w:customStyle="1" w:styleId="2414">
    <w:name w:val="正文-------- Char Char"/>
    <w:link w:val="2415"/>
    <w:qFormat/>
    <w:locked/>
    <w:uiPriority w:val="0"/>
    <w:rPr>
      <w:rFonts w:ascii="宋体" w:hAnsi="宋体" w:cs="宋体"/>
      <w:sz w:val="24"/>
      <w:szCs w:val="24"/>
    </w:rPr>
  </w:style>
  <w:style w:type="paragraph" w:customStyle="1" w:styleId="2415">
    <w:name w:val="正文--------"/>
    <w:basedOn w:val="1"/>
    <w:link w:val="2414"/>
    <w:qFormat/>
    <w:uiPriority w:val="0"/>
    <w:pPr>
      <w:spacing w:line="460" w:lineRule="exact"/>
      <w:ind w:firstLine="480" w:firstLineChars="200"/>
      <w:jc w:val="left"/>
    </w:pPr>
    <w:rPr>
      <w:rFonts w:ascii="宋体" w:hAnsi="宋体" w:eastAsia="宋体" w:cs="宋体"/>
      <w:kern w:val="0"/>
      <w:sz w:val="24"/>
      <w:szCs w:val="24"/>
    </w:rPr>
  </w:style>
  <w:style w:type="character" w:customStyle="1" w:styleId="2416">
    <w:name w:val="H5 Char Char"/>
    <w:qFormat/>
    <w:uiPriority w:val="0"/>
    <w:rPr>
      <w:rFonts w:hint="eastAsia" w:ascii="宋体" w:hAnsi="宋体" w:eastAsia="宋体" w:cs="宋体"/>
      <w:b/>
      <w:bCs/>
      <w:kern w:val="2"/>
      <w:sz w:val="28"/>
      <w:szCs w:val="28"/>
      <w:lang w:val="en-US" w:eastAsia="zh-CN" w:bidi="ar-SA"/>
    </w:rPr>
  </w:style>
  <w:style w:type="character" w:customStyle="1" w:styleId="2417">
    <w:name w:val="样式 正文格式 Char Char"/>
    <w:link w:val="2418"/>
    <w:qFormat/>
    <w:locked/>
    <w:uiPriority w:val="0"/>
    <w:rPr>
      <w:rFonts w:ascii="宋体" w:hAnsi="宋体" w:cs="宋体"/>
      <w:sz w:val="24"/>
      <w:szCs w:val="24"/>
    </w:rPr>
  </w:style>
  <w:style w:type="paragraph" w:customStyle="1" w:styleId="2418">
    <w:name w:val="样式 正文格式"/>
    <w:basedOn w:val="35"/>
    <w:link w:val="2417"/>
    <w:qFormat/>
    <w:uiPriority w:val="0"/>
    <w:pPr>
      <w:spacing w:line="480" w:lineRule="exact"/>
      <w:ind w:firstLine="480"/>
    </w:pPr>
    <w:rPr>
      <w:rFonts w:ascii="宋体" w:hAnsi="宋体" w:cs="宋体"/>
      <w:kern w:val="0"/>
      <w:sz w:val="24"/>
      <w:szCs w:val="24"/>
    </w:rPr>
  </w:style>
  <w:style w:type="character" w:customStyle="1" w:styleId="2419">
    <w:name w:val="标题 5 Char2"/>
    <w:qFormat/>
    <w:uiPriority w:val="0"/>
    <w:rPr>
      <w:rFonts w:hint="default" w:ascii="Times New Roman" w:hAnsi="Times New Roman" w:eastAsia="宋体" w:cs="Times New Roman"/>
      <w:b/>
      <w:bCs/>
      <w:kern w:val="0"/>
      <w:sz w:val="28"/>
      <w:szCs w:val="28"/>
      <w:lang w:val="en-US" w:eastAsia="zh-CN" w:bidi="ar-SA"/>
    </w:rPr>
  </w:style>
  <w:style w:type="character" w:customStyle="1" w:styleId="2420">
    <w:name w:val="要点11"/>
    <w:qFormat/>
    <w:uiPriority w:val="0"/>
    <w:rPr>
      <w:rFonts w:ascii="宋体" w:hAnsi="宋体" w:eastAsia="宋体"/>
      <w:b/>
    </w:rPr>
  </w:style>
  <w:style w:type="character" w:customStyle="1" w:styleId="2421">
    <w:name w:val="样式 样式 样式 样式 (符号) 宋体 13 磅 首行缩进:  2 字符 行距: 1.5 倍行距 + 首行缩进:  2 字符 +... Char Char"/>
    <w:link w:val="2422"/>
    <w:qFormat/>
    <w:locked/>
    <w:uiPriority w:val="0"/>
    <w:rPr>
      <w:rFonts w:ascii="宋体" w:hAnsi="宋体" w:cs="宋体"/>
      <w:sz w:val="26"/>
      <w:szCs w:val="24"/>
    </w:rPr>
  </w:style>
  <w:style w:type="paragraph" w:customStyle="1" w:styleId="2422">
    <w:name w:val="样式 样式 样式 样式 (符号) 宋体 13 磅 首行缩进:  2 字符 行距: 1.5 倍行距 + 首行缩进:  2 字符 +..."/>
    <w:basedOn w:val="1"/>
    <w:link w:val="2421"/>
    <w:qFormat/>
    <w:uiPriority w:val="0"/>
    <w:pPr>
      <w:ind w:firstLine="563" w:firstLineChars="200"/>
    </w:pPr>
    <w:rPr>
      <w:rFonts w:ascii="宋体" w:hAnsi="宋体" w:eastAsia="宋体" w:cs="宋体"/>
      <w:kern w:val="0"/>
      <w:sz w:val="26"/>
      <w:szCs w:val="24"/>
    </w:rPr>
  </w:style>
  <w:style w:type="character" w:customStyle="1" w:styleId="2423">
    <w:name w:val="样式 样式 标题 2节标题 1.1 + Times New Roman 四号 + Char Char"/>
    <w:link w:val="2424"/>
    <w:qFormat/>
    <w:locked/>
    <w:uiPriority w:val="0"/>
    <w:rPr>
      <w:rFonts w:ascii="宋体" w:hAnsi="宋体" w:cs="宋体"/>
      <w:b/>
      <w:bCs/>
      <w:sz w:val="28"/>
      <w:szCs w:val="32"/>
    </w:rPr>
  </w:style>
  <w:style w:type="paragraph" w:customStyle="1" w:styleId="2424">
    <w:name w:val="样式 样式 标题 2节标题 1.1 + Times New Roman 四号 +"/>
    <w:basedOn w:val="1"/>
    <w:link w:val="2423"/>
    <w:qFormat/>
    <w:uiPriority w:val="0"/>
    <w:pPr>
      <w:keepNext/>
      <w:keepLines/>
      <w:spacing w:before="100" w:beforeAutospacing="1" w:after="100" w:afterAutospacing="1" w:line="360" w:lineRule="auto"/>
      <w:outlineLvl w:val="1"/>
    </w:pPr>
    <w:rPr>
      <w:rFonts w:ascii="宋体" w:hAnsi="宋体" w:eastAsia="宋体" w:cs="宋体"/>
      <w:b/>
      <w:bCs/>
      <w:kern w:val="0"/>
      <w:szCs w:val="32"/>
    </w:rPr>
  </w:style>
  <w:style w:type="character" w:customStyle="1" w:styleId="2425">
    <w:name w:val="样式 报告 + 首行缩进:  2 字符 Char Char Char"/>
    <w:link w:val="2426"/>
    <w:qFormat/>
    <w:locked/>
    <w:uiPriority w:val="0"/>
    <w:rPr>
      <w:rFonts w:ascii="宋体" w:hAnsi="宋体" w:cs="宋体"/>
      <w:sz w:val="24"/>
      <w:szCs w:val="24"/>
    </w:rPr>
  </w:style>
  <w:style w:type="paragraph" w:customStyle="1" w:styleId="2426">
    <w:name w:val="样式 报告 + 首行缩进:  2 字符 Char"/>
    <w:basedOn w:val="1"/>
    <w:link w:val="2425"/>
    <w:qFormat/>
    <w:uiPriority w:val="0"/>
    <w:pPr>
      <w:widowControl/>
      <w:overflowPunct w:val="0"/>
      <w:autoSpaceDE w:val="0"/>
      <w:autoSpaceDN w:val="0"/>
      <w:adjustRightInd w:val="0"/>
      <w:spacing w:before="120" w:after="120" w:line="400" w:lineRule="atLeast"/>
      <w:ind w:firstLine="480" w:firstLineChars="200"/>
    </w:pPr>
    <w:rPr>
      <w:rFonts w:ascii="宋体" w:hAnsi="宋体" w:eastAsia="宋体" w:cs="宋体"/>
      <w:kern w:val="0"/>
      <w:sz w:val="24"/>
      <w:szCs w:val="24"/>
    </w:rPr>
  </w:style>
  <w:style w:type="character" w:customStyle="1" w:styleId="2427">
    <w:name w:val="王向东正文 Char Char"/>
    <w:link w:val="1259"/>
    <w:qFormat/>
    <w:locked/>
    <w:uiPriority w:val="0"/>
    <w:rPr>
      <w:rFonts w:eastAsia="仿宋_GB2312" w:cs="幼圆"/>
      <w:kern w:val="2"/>
      <w:sz w:val="28"/>
      <w:szCs w:val="28"/>
    </w:rPr>
  </w:style>
  <w:style w:type="character" w:customStyle="1" w:styleId="2428">
    <w:name w:val="gai Char Char"/>
    <w:link w:val="2429"/>
    <w:qFormat/>
    <w:locked/>
    <w:uiPriority w:val="0"/>
    <w:rPr>
      <w:rFonts w:ascii="宋体" w:hAnsi="宋体" w:cs="宋体"/>
      <w:color w:val="0000FF"/>
      <w:spacing w:val="-6"/>
      <w:sz w:val="36"/>
      <w:szCs w:val="36"/>
    </w:rPr>
  </w:style>
  <w:style w:type="paragraph" w:customStyle="1" w:styleId="2429">
    <w:name w:val="gai"/>
    <w:basedOn w:val="4"/>
    <w:link w:val="2428"/>
    <w:qFormat/>
    <w:uiPriority w:val="0"/>
    <w:pPr>
      <w:keepNext w:val="0"/>
      <w:keepLines w:val="0"/>
      <w:tabs>
        <w:tab w:val="clear" w:pos="567"/>
      </w:tabs>
      <w:snapToGrid w:val="0"/>
      <w:spacing w:before="0" w:after="0" w:line="360" w:lineRule="auto"/>
      <w:ind w:left="0" w:firstLine="513" w:firstLineChars="225"/>
      <w:jc w:val="left"/>
      <w:outlineLvl w:val="9"/>
    </w:pPr>
    <w:rPr>
      <w:rFonts w:ascii="宋体" w:hAnsi="宋体" w:eastAsia="宋体" w:cs="宋体"/>
      <w:color w:val="0000FF"/>
      <w:spacing w:val="-6"/>
      <w:kern w:val="0"/>
      <w:sz w:val="36"/>
      <w:szCs w:val="36"/>
    </w:rPr>
  </w:style>
  <w:style w:type="character" w:customStyle="1" w:styleId="2430">
    <w:name w:val="p11"/>
    <w:qFormat/>
    <w:uiPriority w:val="0"/>
    <w:rPr>
      <w:rFonts w:hint="eastAsia" w:ascii="宋体" w:hAnsi="宋体" w:eastAsia="宋体" w:cs="宋体"/>
      <w:kern w:val="2"/>
      <w:sz w:val="18"/>
      <w:szCs w:val="18"/>
      <w:lang w:val="en-US" w:eastAsia="zh-CN" w:bidi="ar"/>
    </w:rPr>
  </w:style>
  <w:style w:type="character" w:customStyle="1" w:styleId="2431">
    <w:name w:val="表中 Char Char Char Char Char"/>
    <w:link w:val="2432"/>
    <w:qFormat/>
    <w:locked/>
    <w:uiPriority w:val="0"/>
    <w:rPr>
      <w:rFonts w:ascii="宋体" w:hAnsi="宋体" w:cs="宋体"/>
      <w:bCs/>
      <w:szCs w:val="21"/>
    </w:rPr>
  </w:style>
  <w:style w:type="paragraph" w:customStyle="1" w:styleId="2432">
    <w:name w:val="表中 Char Char Char"/>
    <w:basedOn w:val="1"/>
    <w:link w:val="2431"/>
    <w:qFormat/>
    <w:uiPriority w:val="0"/>
    <w:pPr>
      <w:jc w:val="center"/>
    </w:pPr>
    <w:rPr>
      <w:rFonts w:ascii="宋体" w:hAnsi="宋体" w:eastAsia="宋体" w:cs="宋体"/>
      <w:bCs/>
      <w:kern w:val="0"/>
      <w:sz w:val="20"/>
      <w:szCs w:val="21"/>
    </w:rPr>
  </w:style>
  <w:style w:type="character" w:customStyle="1" w:styleId="2433">
    <w:name w:val="n标题 3 Char Char"/>
    <w:link w:val="2434"/>
    <w:qFormat/>
    <w:locked/>
    <w:uiPriority w:val="0"/>
    <w:rPr>
      <w:rFonts w:ascii="Arial" w:hAnsi="Arial" w:cs="宋体"/>
      <w:b/>
      <w:bCs/>
      <w:sz w:val="24"/>
      <w:szCs w:val="24"/>
    </w:rPr>
  </w:style>
  <w:style w:type="paragraph" w:customStyle="1" w:styleId="2434">
    <w:name w:val="n标题 3"/>
    <w:next w:val="2435"/>
    <w:link w:val="2433"/>
    <w:qFormat/>
    <w:uiPriority w:val="0"/>
    <w:pPr>
      <w:outlineLvl w:val="2"/>
    </w:pPr>
    <w:rPr>
      <w:rFonts w:ascii="Arial" w:hAnsi="Arial" w:eastAsia="宋体" w:cs="宋体"/>
      <w:b/>
      <w:bCs/>
      <w:sz w:val="24"/>
      <w:szCs w:val="24"/>
      <w:lang w:val="en-US" w:eastAsia="zh-CN" w:bidi="ar-SA"/>
    </w:rPr>
  </w:style>
  <w:style w:type="paragraph" w:customStyle="1" w:styleId="2435">
    <w:name w:val="正文小四"/>
    <w:link w:val="2448"/>
    <w:qFormat/>
    <w:uiPriority w:val="0"/>
    <w:pPr>
      <w:spacing w:line="360" w:lineRule="auto"/>
      <w:ind w:firstLine="200" w:firstLineChars="200"/>
    </w:pPr>
    <w:rPr>
      <w:rFonts w:ascii="宋体" w:hAnsi="宋体" w:eastAsia="宋体" w:cs="宋体"/>
      <w:sz w:val="24"/>
      <w:szCs w:val="24"/>
      <w:lang w:val="en-US" w:eastAsia="zh-CN" w:bidi="ar-SA"/>
    </w:rPr>
  </w:style>
  <w:style w:type="character" w:customStyle="1" w:styleId="2436">
    <w:name w:val="表格中的文字 Char Char"/>
    <w:qFormat/>
    <w:locked/>
    <w:uiPriority w:val="0"/>
    <w:rPr>
      <w:rFonts w:ascii="宋体" w:hAnsi="宋体" w:eastAsia="宋体" w:cs="宋体"/>
      <w:szCs w:val="24"/>
    </w:rPr>
  </w:style>
  <w:style w:type="character" w:customStyle="1" w:styleId="2437">
    <w:name w:val="样式 标题 2标题 21标题 121标题 2 Char1 Char节H2节标题 1.1节标题 1.1 Char... Char Char Char"/>
    <w:link w:val="2438"/>
    <w:qFormat/>
    <w:locked/>
    <w:uiPriority w:val="0"/>
    <w:rPr>
      <w:rFonts w:ascii="Arial" w:hAnsi="Arial" w:eastAsia="黑体" w:cs="宋体"/>
      <w:b/>
      <w:color w:val="000000"/>
      <w:sz w:val="28"/>
      <w:szCs w:val="24"/>
    </w:rPr>
  </w:style>
  <w:style w:type="paragraph" w:customStyle="1" w:styleId="2438">
    <w:name w:val="样式 标题 2标题 21标题 121标题 2 Char1 Char节H2节标题 1.1节标题 1.1 Char..."/>
    <w:basedOn w:val="4"/>
    <w:link w:val="2437"/>
    <w:qFormat/>
    <w:uiPriority w:val="0"/>
    <w:pPr>
      <w:tabs>
        <w:tab w:val="left" w:pos="1476"/>
        <w:tab w:val="clear" w:pos="567"/>
      </w:tabs>
      <w:spacing w:before="0" w:after="0" w:line="460" w:lineRule="exact"/>
      <w:ind w:left="0" w:firstLine="0"/>
    </w:pPr>
    <w:rPr>
      <w:rFonts w:ascii="Arial" w:cs="宋体"/>
      <w:b/>
      <w:color w:val="000000"/>
      <w:kern w:val="0"/>
      <w:szCs w:val="24"/>
    </w:rPr>
  </w:style>
  <w:style w:type="character" w:customStyle="1" w:styleId="2439">
    <w:name w:val="表格头 Char Char"/>
    <w:qFormat/>
    <w:locked/>
    <w:uiPriority w:val="0"/>
    <w:rPr>
      <w:rFonts w:ascii="Tahoma" w:hAnsi="Tahoma" w:eastAsia="黑体" w:cs="宋体"/>
      <w:b/>
      <w:snapToGrid/>
      <w:color w:val="000000"/>
      <w:spacing w:val="-4"/>
      <w:sz w:val="24"/>
      <w:szCs w:val="24"/>
    </w:rPr>
  </w:style>
  <w:style w:type="character" w:customStyle="1" w:styleId="2440">
    <w:name w:val="样式 标题 1 + 黑体 Char Char"/>
    <w:link w:val="2441"/>
    <w:qFormat/>
    <w:locked/>
    <w:uiPriority w:val="0"/>
    <w:rPr>
      <w:rFonts w:ascii="黑体" w:hAnsi="黑体" w:eastAsia="黑体" w:cs="宋体"/>
      <w:b/>
      <w:bCs/>
      <w:kern w:val="44"/>
      <w:sz w:val="30"/>
      <w:szCs w:val="44"/>
      <w:lang w:val="zh-CN"/>
    </w:rPr>
  </w:style>
  <w:style w:type="paragraph" w:customStyle="1" w:styleId="2441">
    <w:name w:val="样式 标题 1 + 黑体"/>
    <w:basedOn w:val="3"/>
    <w:link w:val="2440"/>
    <w:qFormat/>
    <w:uiPriority w:val="0"/>
    <w:pPr>
      <w:pageBreakBefore w:val="0"/>
      <w:tabs>
        <w:tab w:val="clear" w:pos="1080"/>
      </w:tabs>
      <w:autoSpaceDE w:val="0"/>
      <w:autoSpaceDN w:val="0"/>
      <w:adjustRightInd w:val="0"/>
      <w:snapToGrid w:val="0"/>
      <w:spacing w:before="0" w:after="0" w:line="360" w:lineRule="auto"/>
      <w:ind w:left="0" w:firstLine="0"/>
      <w:jc w:val="both"/>
    </w:pPr>
    <w:rPr>
      <w:rFonts w:ascii="黑体" w:hAnsi="黑体" w:eastAsia="黑体" w:cs="宋体"/>
      <w:bCs/>
      <w:sz w:val="30"/>
      <w:szCs w:val="44"/>
      <w:lang w:val="zh-CN"/>
    </w:rPr>
  </w:style>
  <w:style w:type="character" w:customStyle="1" w:styleId="2442">
    <w:name w:val="样式 标题 3标题 13ReHead 3 WSAh3B HeadH3..标题 3 Char Char标题 3 ... Char"/>
    <w:qFormat/>
    <w:locked/>
    <w:uiPriority w:val="0"/>
    <w:rPr>
      <w:rFonts w:hint="eastAsia" w:ascii="宋体" w:hAnsi="宋体" w:eastAsia="宋体" w:cs="宋体"/>
      <w:b/>
      <w:bCs/>
      <w:kern w:val="2"/>
      <w:sz w:val="24"/>
      <w:szCs w:val="24"/>
      <w:lang w:val="en-US" w:eastAsia="zh-CN" w:bidi="ar-SA"/>
    </w:rPr>
  </w:style>
  <w:style w:type="character" w:customStyle="1" w:styleId="2443">
    <w:name w:val="正文正 Char Char"/>
    <w:link w:val="2444"/>
    <w:qFormat/>
    <w:locked/>
    <w:uiPriority w:val="0"/>
    <w:rPr>
      <w:rFonts w:ascii="宋体" w:hAnsi="宋体" w:cs="宋体"/>
      <w:sz w:val="24"/>
      <w:szCs w:val="24"/>
    </w:rPr>
  </w:style>
  <w:style w:type="paragraph" w:customStyle="1" w:styleId="2444">
    <w:name w:val="正文正"/>
    <w:basedOn w:val="1"/>
    <w:link w:val="2443"/>
    <w:qFormat/>
    <w:uiPriority w:val="0"/>
    <w:pPr>
      <w:spacing w:line="360" w:lineRule="auto"/>
      <w:ind w:firstLine="480" w:firstLineChars="200"/>
    </w:pPr>
    <w:rPr>
      <w:rFonts w:ascii="宋体" w:hAnsi="宋体" w:eastAsia="宋体" w:cs="宋体"/>
      <w:kern w:val="0"/>
      <w:sz w:val="24"/>
      <w:szCs w:val="24"/>
    </w:rPr>
  </w:style>
  <w:style w:type="character" w:customStyle="1" w:styleId="2445">
    <w:name w:val="Char Char18"/>
    <w:qFormat/>
    <w:uiPriority w:val="0"/>
    <w:rPr>
      <w:rFonts w:hint="eastAsia" w:ascii="宋体" w:hAnsi="宋体" w:eastAsia="宋体" w:cs="宋体"/>
      <w:snapToGrid w:val="0"/>
      <w:kern w:val="2"/>
      <w:sz w:val="24"/>
      <w:szCs w:val="24"/>
      <w:lang w:val="en-US" w:eastAsia="zh-CN" w:bidi="ar-SA"/>
    </w:rPr>
  </w:style>
  <w:style w:type="character" w:customStyle="1" w:styleId="2446">
    <w:name w:val="样式16 Char Char"/>
    <w:link w:val="2447"/>
    <w:qFormat/>
    <w:locked/>
    <w:uiPriority w:val="0"/>
    <w:rPr>
      <w:rFonts w:ascii="宋体" w:hAnsi="宋体" w:cs="宋体"/>
      <w:b/>
      <w:szCs w:val="24"/>
    </w:rPr>
  </w:style>
  <w:style w:type="paragraph" w:customStyle="1" w:styleId="2447">
    <w:name w:val="样式16"/>
    <w:basedOn w:val="1"/>
    <w:link w:val="2446"/>
    <w:qFormat/>
    <w:uiPriority w:val="0"/>
    <w:pPr>
      <w:spacing w:beforeLines="50"/>
    </w:pPr>
    <w:rPr>
      <w:rFonts w:ascii="宋体" w:hAnsi="宋体" w:eastAsia="宋体" w:cs="宋体"/>
      <w:b/>
      <w:kern w:val="0"/>
      <w:sz w:val="20"/>
      <w:szCs w:val="24"/>
    </w:rPr>
  </w:style>
  <w:style w:type="character" w:customStyle="1" w:styleId="2448">
    <w:name w:val="正文小四 Char Char"/>
    <w:link w:val="2435"/>
    <w:qFormat/>
    <w:locked/>
    <w:uiPriority w:val="0"/>
    <w:rPr>
      <w:rFonts w:ascii="宋体" w:hAnsi="宋体" w:cs="宋体"/>
      <w:sz w:val="24"/>
      <w:szCs w:val="24"/>
    </w:rPr>
  </w:style>
  <w:style w:type="character" w:customStyle="1" w:styleId="2449">
    <w:name w:val="正文文本最新 Char Char Char Char1 Char Char Char Char Char Char1 Char Char"/>
    <w:link w:val="2450"/>
    <w:qFormat/>
    <w:locked/>
    <w:uiPriority w:val="0"/>
    <w:rPr>
      <w:rFonts w:ascii="宋体" w:hAnsi="宋体" w:cs="宋体"/>
      <w:bCs/>
      <w:sz w:val="28"/>
      <w:szCs w:val="24"/>
    </w:rPr>
  </w:style>
  <w:style w:type="paragraph" w:customStyle="1" w:styleId="2450">
    <w:name w:val="正文文本最新 Char Char Char Char1 Char Char Char Char Char Char1"/>
    <w:basedOn w:val="1"/>
    <w:link w:val="2449"/>
    <w:qFormat/>
    <w:uiPriority w:val="0"/>
    <w:pPr>
      <w:spacing w:line="360" w:lineRule="auto"/>
      <w:ind w:firstLine="200" w:firstLineChars="200"/>
    </w:pPr>
    <w:rPr>
      <w:rFonts w:ascii="宋体" w:hAnsi="宋体" w:eastAsia="宋体" w:cs="宋体"/>
      <w:bCs/>
      <w:kern w:val="0"/>
      <w:szCs w:val="24"/>
    </w:rPr>
  </w:style>
  <w:style w:type="character" w:customStyle="1" w:styleId="2451">
    <w:name w:val="H6 Char4"/>
    <w:qFormat/>
    <w:uiPriority w:val="0"/>
    <w:rPr>
      <w:rFonts w:hint="default" w:ascii="Arial" w:hAnsi="Arial" w:eastAsia="黑体" w:cs="宋体"/>
      <w:b/>
      <w:bCs/>
      <w:kern w:val="2"/>
      <w:sz w:val="24"/>
      <w:szCs w:val="24"/>
      <w:lang w:val="en-US" w:eastAsia="zh-CN" w:bidi="ar-SA"/>
    </w:rPr>
  </w:style>
  <w:style w:type="character" w:customStyle="1" w:styleId="2452">
    <w:name w:val="新正文 Char Char"/>
    <w:qFormat/>
    <w:locked/>
    <w:uiPriority w:val="0"/>
    <w:rPr>
      <w:rFonts w:eastAsia="宋体"/>
      <w:sz w:val="24"/>
    </w:rPr>
  </w:style>
  <w:style w:type="character" w:customStyle="1" w:styleId="2453">
    <w:name w:val="正文小四环评 Char Char"/>
    <w:link w:val="2454"/>
    <w:qFormat/>
    <w:locked/>
    <w:uiPriority w:val="0"/>
    <w:rPr>
      <w:rFonts w:ascii="宋体" w:hAnsi="宋体" w:cs="宋体"/>
      <w:bCs/>
      <w:color w:val="000000"/>
      <w:sz w:val="24"/>
      <w:szCs w:val="24"/>
    </w:rPr>
  </w:style>
  <w:style w:type="paragraph" w:customStyle="1" w:styleId="2454">
    <w:name w:val="正文小四环评"/>
    <w:link w:val="2453"/>
    <w:qFormat/>
    <w:uiPriority w:val="0"/>
    <w:pPr>
      <w:spacing w:before="100" w:beforeAutospacing="1" w:after="100" w:afterAutospacing="1" w:line="360" w:lineRule="auto"/>
      <w:ind w:firstLine="200" w:firstLineChars="200"/>
    </w:pPr>
    <w:rPr>
      <w:rFonts w:ascii="宋体" w:hAnsi="宋体" w:eastAsia="宋体" w:cs="宋体"/>
      <w:bCs/>
      <w:color w:val="000000"/>
      <w:sz w:val="24"/>
      <w:szCs w:val="24"/>
      <w:lang w:val="en-US" w:eastAsia="zh-CN" w:bidi="ar-SA"/>
    </w:rPr>
  </w:style>
  <w:style w:type="character" w:customStyle="1" w:styleId="2455">
    <w:name w:val="Footer Char1"/>
    <w:semiHidden/>
    <w:qFormat/>
    <w:uiPriority w:val="99"/>
    <w:rPr>
      <w:rFonts w:ascii="宋体" w:hAnsi="宋体" w:eastAsia="Arial" w:cs="宋体"/>
      <w:kern w:val="28"/>
      <w:sz w:val="18"/>
      <w:szCs w:val="18"/>
      <w:lang w:val="en-US" w:eastAsia="zh-CN" w:bidi="ar-SA"/>
    </w:rPr>
  </w:style>
  <w:style w:type="character" w:customStyle="1" w:styleId="2456">
    <w:name w:val="ehong1"/>
    <w:qFormat/>
    <w:uiPriority w:val="0"/>
    <w:rPr>
      <w:rFonts w:hint="eastAsia" w:ascii="宋体" w:hAnsi="宋体" w:eastAsia="宋体" w:cs="宋体"/>
      <w:b/>
      <w:bCs/>
      <w:color w:val="FF3333"/>
      <w:kern w:val="2"/>
      <w:sz w:val="20"/>
      <w:szCs w:val="20"/>
      <w:u w:val="none"/>
      <w:lang w:val="en-US" w:eastAsia="zh-CN" w:bidi="ar"/>
    </w:rPr>
  </w:style>
  <w:style w:type="character" w:customStyle="1" w:styleId="2457">
    <w:name w:val="blue161"/>
    <w:qFormat/>
    <w:uiPriority w:val="0"/>
    <w:rPr>
      <w:rFonts w:hint="default" w:ascii="ˎ̥" w:hAnsi="ˎ̥" w:eastAsia="宋体" w:cs="宋体"/>
      <w:color w:val="333333"/>
      <w:kern w:val="2"/>
      <w:sz w:val="21"/>
      <w:szCs w:val="21"/>
      <w:lang w:val="en-US" w:eastAsia="zh-CN" w:bidi="ar"/>
    </w:rPr>
  </w:style>
  <w:style w:type="character" w:customStyle="1" w:styleId="2458">
    <w:name w:val="table Char"/>
    <w:qFormat/>
    <w:uiPriority w:val="0"/>
    <w:rPr>
      <w:rFonts w:hint="eastAsia" w:ascii="宋体" w:hAnsi="宋体" w:eastAsia="宋体" w:cs="宋体"/>
      <w:color w:val="000000"/>
      <w:kern w:val="2"/>
      <w:sz w:val="24"/>
      <w:szCs w:val="24"/>
      <w:lang w:val="en-US" w:eastAsia="zh-CN" w:bidi="ar-SA"/>
    </w:rPr>
  </w:style>
  <w:style w:type="character" w:customStyle="1" w:styleId="2459">
    <w:name w:val="正文首行缩进 字符1"/>
    <w:qFormat/>
    <w:uiPriority w:val="0"/>
    <w:rPr>
      <w:rFonts w:hint="eastAsia" w:ascii="宋体" w:hAnsi="宋体" w:eastAsia="宋体"/>
      <w:kern w:val="2"/>
      <w:sz w:val="24"/>
      <w:szCs w:val="24"/>
      <w:lang w:val="en-US" w:eastAsia="zh-CN" w:bidi="ar-SA"/>
    </w:rPr>
  </w:style>
  <w:style w:type="character" w:customStyle="1" w:styleId="2460">
    <w:name w:val="物探标题2 Char"/>
    <w:qFormat/>
    <w:uiPriority w:val="0"/>
    <w:rPr>
      <w:rFonts w:hint="eastAsia" w:ascii="宋体" w:hAnsi="宋体" w:eastAsia="宋体" w:cs="宋体"/>
      <w:b/>
      <w:bCs/>
      <w:kern w:val="2"/>
      <w:sz w:val="24"/>
      <w:szCs w:val="24"/>
      <w:lang w:val="en-US" w:eastAsia="zh-CN" w:bidi="ar-SA"/>
    </w:rPr>
  </w:style>
  <w:style w:type="character" w:customStyle="1" w:styleId="2461">
    <w:name w:val="自动3 Char"/>
    <w:qFormat/>
    <w:uiPriority w:val="0"/>
    <w:rPr>
      <w:rFonts w:hint="eastAsia" w:ascii="宋体" w:hAnsi="宋体" w:eastAsia="宋体" w:cs="Arial Unicode MS"/>
      <w:b/>
      <w:color w:val="000000"/>
      <w:sz w:val="24"/>
      <w:szCs w:val="24"/>
      <w:lang w:val="en-US" w:eastAsia="zh-CN" w:bidi="ar-SA"/>
    </w:rPr>
  </w:style>
  <w:style w:type="character" w:customStyle="1" w:styleId="2462">
    <w:name w:val="标题 6 Char3"/>
    <w:qFormat/>
    <w:uiPriority w:val="0"/>
    <w:rPr>
      <w:rFonts w:hint="default" w:ascii="Arial" w:hAnsi="Arial" w:eastAsia="黑体" w:cs="Times New Roman"/>
      <w:b/>
      <w:bCs/>
      <w:kern w:val="0"/>
      <w:sz w:val="24"/>
      <w:szCs w:val="21"/>
      <w:lang w:val="en-US" w:eastAsia="zh-CN" w:bidi="ar-SA"/>
    </w:rPr>
  </w:style>
  <w:style w:type="character" w:customStyle="1" w:styleId="2463">
    <w:name w:val="WENZHANG Char Char"/>
    <w:qFormat/>
    <w:uiPriority w:val="0"/>
    <w:rPr>
      <w:rFonts w:hint="eastAsia" w:ascii="宋体" w:hAnsi="宋体" w:eastAsia="宋体" w:cs="宋体"/>
      <w:color w:val="000000"/>
      <w:kern w:val="2"/>
      <w:sz w:val="24"/>
      <w:szCs w:val="24"/>
      <w:lang w:val="en-US" w:eastAsia="zh-CN" w:bidi="ar"/>
    </w:rPr>
  </w:style>
  <w:style w:type="character" w:customStyle="1" w:styleId="2464">
    <w:name w:val="f9"/>
    <w:qFormat/>
    <w:uiPriority w:val="0"/>
    <w:rPr>
      <w:rFonts w:hint="eastAsia" w:ascii="宋体" w:hAnsi="宋体" w:eastAsia="宋体" w:cs="宋体"/>
      <w:kern w:val="2"/>
      <w:sz w:val="28"/>
      <w:szCs w:val="24"/>
      <w:lang w:val="en-US" w:eastAsia="zh-CN" w:bidi="ar"/>
    </w:rPr>
  </w:style>
  <w:style w:type="character" w:customStyle="1" w:styleId="2465">
    <w:name w:val="文字框 Char Char"/>
    <w:qFormat/>
    <w:uiPriority w:val="0"/>
    <w:rPr>
      <w:rFonts w:hint="eastAsia" w:ascii="宋体" w:hAnsi="宋体" w:eastAsia="宋体" w:cs="宋体"/>
      <w:kern w:val="2"/>
      <w:sz w:val="21"/>
      <w:szCs w:val="24"/>
      <w:lang w:val="en-US" w:eastAsia="zh-CN" w:bidi="ar-SA"/>
    </w:rPr>
  </w:style>
  <w:style w:type="character" w:customStyle="1" w:styleId="2466">
    <w:name w:val="表内容 Char Char"/>
    <w:qFormat/>
    <w:uiPriority w:val="0"/>
    <w:rPr>
      <w:rFonts w:hint="eastAsia" w:ascii="宋体" w:hAnsi="宋体" w:eastAsia="宋体" w:cs="宋体"/>
      <w:kern w:val="2"/>
      <w:sz w:val="24"/>
      <w:szCs w:val="24"/>
      <w:lang w:val="en-US" w:eastAsia="zh-CN" w:bidi="ar-SA"/>
    </w:rPr>
  </w:style>
  <w:style w:type="character" w:customStyle="1" w:styleId="2467">
    <w:name w:val="样式6 Char Char Char"/>
    <w:qFormat/>
    <w:uiPriority w:val="0"/>
    <w:rPr>
      <w:rFonts w:hint="eastAsia" w:ascii="宋体" w:hAnsi="宋体" w:eastAsia="宋体" w:cs="宋体"/>
      <w:color w:val="000000"/>
      <w:kern w:val="6"/>
      <w:sz w:val="24"/>
      <w:szCs w:val="24"/>
      <w:lang w:val="en-GB" w:eastAsia="zh-CN" w:bidi="ar-SA"/>
    </w:rPr>
  </w:style>
  <w:style w:type="character" w:customStyle="1" w:styleId="2468">
    <w:name w:val="desctext1"/>
    <w:qFormat/>
    <w:uiPriority w:val="0"/>
    <w:rPr>
      <w:rFonts w:hint="eastAsia" w:ascii="宋体" w:hAnsi="宋体" w:eastAsia="宋体" w:cs="宋体"/>
      <w:spacing w:val="15"/>
      <w:kern w:val="2"/>
      <w:sz w:val="18"/>
      <w:szCs w:val="18"/>
      <w:lang w:val="en-US" w:eastAsia="zh-CN" w:bidi="ar"/>
    </w:rPr>
  </w:style>
  <w:style w:type="character" w:customStyle="1" w:styleId="2469">
    <w:name w:val="font9p1"/>
    <w:qFormat/>
    <w:uiPriority w:val="0"/>
    <w:rPr>
      <w:rFonts w:hint="eastAsia" w:ascii="宋体" w:hAnsi="宋体" w:eastAsia="宋体" w:cs="宋体"/>
      <w:kern w:val="2"/>
      <w:sz w:val="18"/>
      <w:szCs w:val="18"/>
      <w:lang w:val="en-US" w:eastAsia="zh-CN" w:bidi="ar"/>
    </w:rPr>
  </w:style>
  <w:style w:type="character" w:customStyle="1" w:styleId="2470">
    <w:name w:val="正缩1 Char Char"/>
    <w:qFormat/>
    <w:uiPriority w:val="0"/>
    <w:rPr>
      <w:rFonts w:hint="eastAsia" w:ascii="仿宋_GB2312" w:hAnsi="宋体" w:eastAsia="仿宋_GB2312" w:cs="宋体"/>
      <w:snapToGrid/>
      <w:kern w:val="2"/>
      <w:sz w:val="28"/>
      <w:szCs w:val="28"/>
      <w:lang w:val="en-US" w:eastAsia="zh-CN" w:bidi="ar-SA"/>
    </w:rPr>
  </w:style>
  <w:style w:type="character" w:customStyle="1" w:styleId="2471">
    <w:name w:val="自动表头 Char Char Char Char"/>
    <w:qFormat/>
    <w:uiPriority w:val="0"/>
    <w:rPr>
      <w:rFonts w:hint="eastAsia" w:ascii="黑体" w:hAnsi="宋体" w:eastAsia="黑体"/>
      <w:b/>
      <w:color w:val="000000"/>
      <w:sz w:val="21"/>
      <w:lang w:val="en-US" w:eastAsia="zh-CN" w:bidi="ar-SA"/>
    </w:rPr>
  </w:style>
  <w:style w:type="character" w:customStyle="1" w:styleId="2472">
    <w:name w:val="表格用字 +  六号 Char Char"/>
    <w:qFormat/>
    <w:uiPriority w:val="0"/>
    <w:rPr>
      <w:rFonts w:hint="eastAsia" w:ascii="宋体" w:hAnsi="宋体" w:eastAsia="仿宋_GB2312" w:cs="宋体"/>
      <w:bCs/>
      <w:kern w:val="2"/>
      <w:sz w:val="15"/>
      <w:szCs w:val="21"/>
      <w:lang w:val="en-US" w:eastAsia="zh-CN" w:bidi="ar-SA"/>
    </w:rPr>
  </w:style>
  <w:style w:type="character" w:customStyle="1" w:styleId="2473">
    <w:name w:val="~ Char Char"/>
    <w:qFormat/>
    <w:uiPriority w:val="0"/>
    <w:rPr>
      <w:rFonts w:hint="eastAsia" w:ascii="宋体" w:hAnsi="宋体" w:eastAsia="宋体" w:cs="宋体"/>
      <w:b/>
      <w:bCs/>
      <w:kern w:val="2"/>
      <w:sz w:val="24"/>
      <w:szCs w:val="32"/>
      <w:lang w:val="en-US" w:eastAsia="zh-CN" w:bidi="ar-SA"/>
    </w:rPr>
  </w:style>
  <w:style w:type="character" w:customStyle="1" w:styleId="2474">
    <w:name w:val="样式 正文首行缩进 + 宋体 小四 行距: 1.5 倍行距 Char1"/>
    <w:qFormat/>
    <w:uiPriority w:val="0"/>
    <w:rPr>
      <w:rFonts w:hint="eastAsia" w:ascii="黑体" w:hAnsi="宋体" w:eastAsia="黑体" w:cs="Arial"/>
      <w:bCs/>
      <w:kern w:val="2"/>
      <w:sz w:val="24"/>
      <w:szCs w:val="24"/>
      <w:lang w:val="en-US" w:eastAsia="zh-CN" w:bidi="ar-SA"/>
    </w:rPr>
  </w:style>
  <w:style w:type="character" w:customStyle="1" w:styleId="2475">
    <w:name w:val="样式 标题 4 + 楷体_GB2312 Char"/>
    <w:qFormat/>
    <w:uiPriority w:val="0"/>
    <w:rPr>
      <w:rFonts w:hint="eastAsia" w:ascii="华文楷体" w:hAnsi="华文楷体" w:eastAsia="楷体_GB2312" w:cs="宋体"/>
      <w:bCs/>
      <w:kern w:val="2"/>
      <w:sz w:val="21"/>
      <w:szCs w:val="21"/>
      <w:lang w:val="en-US" w:eastAsia="zh-CN" w:bidi="ar-SA"/>
    </w:rPr>
  </w:style>
  <w:style w:type="character" w:customStyle="1" w:styleId="2476">
    <w:name w:val="正文文本 Char4"/>
    <w:qFormat/>
    <w:uiPriority w:val="0"/>
    <w:rPr>
      <w:rFonts w:hint="default" w:ascii="Times New Roman" w:hAnsi="Times New Roman" w:eastAsia="宋体" w:cs="Times New Roman"/>
      <w:kern w:val="0"/>
      <w:sz w:val="28"/>
      <w:szCs w:val="21"/>
      <w:lang w:val="en-US" w:eastAsia="zh-CN" w:bidi="ar-SA"/>
    </w:rPr>
  </w:style>
  <w:style w:type="character" w:customStyle="1" w:styleId="2477">
    <w:name w:val="c_tx3"/>
    <w:qFormat/>
    <w:uiPriority w:val="0"/>
    <w:rPr>
      <w:rFonts w:hint="eastAsia" w:ascii="宋体" w:hAnsi="宋体" w:eastAsia="宋体" w:cs="宋体"/>
      <w:kern w:val="2"/>
      <w:sz w:val="28"/>
      <w:szCs w:val="24"/>
      <w:lang w:val="en-US" w:eastAsia="zh-CN" w:bidi="ar"/>
    </w:rPr>
  </w:style>
  <w:style w:type="character" w:customStyle="1" w:styleId="2478">
    <w:name w:val="正文首行缩进 2 字符1"/>
    <w:qFormat/>
    <w:uiPriority w:val="0"/>
    <w:rPr>
      <w:rFonts w:hint="eastAsia" w:ascii="宋体" w:hAnsi="宋体" w:eastAsia="宋体"/>
      <w:kern w:val="2"/>
      <w:sz w:val="21"/>
      <w:szCs w:val="24"/>
      <w:lang w:val="en-US" w:eastAsia="zh-CN" w:bidi="ar-SA"/>
    </w:rPr>
  </w:style>
  <w:style w:type="character" w:customStyle="1" w:styleId="2479">
    <w:name w:val="articlebody3"/>
    <w:qFormat/>
    <w:uiPriority w:val="0"/>
    <w:rPr>
      <w:rFonts w:hint="eastAsia" w:ascii="宋体" w:hAnsi="宋体" w:eastAsia="宋体" w:cs="宋体"/>
      <w:kern w:val="2"/>
      <w:sz w:val="21"/>
      <w:szCs w:val="21"/>
      <w:lang w:val="en-US" w:eastAsia="zh-CN" w:bidi="ar"/>
    </w:rPr>
  </w:style>
  <w:style w:type="character" w:customStyle="1" w:styleId="2480">
    <w:name w:val="标题 7 字符1"/>
    <w:qFormat/>
    <w:uiPriority w:val="0"/>
    <w:rPr>
      <w:rFonts w:hint="eastAsia" w:ascii="宋体" w:hAnsi="宋体" w:eastAsia="宋体"/>
      <w:b/>
      <w:spacing w:val="-2"/>
      <w:kern w:val="28"/>
      <w:sz w:val="18"/>
      <w:lang w:val="en-US" w:eastAsia="zh-CN" w:bidi="ar-SA"/>
    </w:rPr>
  </w:style>
  <w:style w:type="character" w:customStyle="1" w:styleId="2481">
    <w:name w:val="Char Char65"/>
    <w:qFormat/>
    <w:uiPriority w:val="0"/>
    <w:rPr>
      <w:rFonts w:hint="default" w:ascii="Times New Roman" w:hAnsi="Times New Roman" w:eastAsia="宋体" w:cs="Times New Roman"/>
      <w:kern w:val="2"/>
      <w:sz w:val="28"/>
      <w:szCs w:val="24"/>
      <w:lang w:val="en-US" w:eastAsia="zh-CN" w:bidi="ar"/>
    </w:rPr>
  </w:style>
  <w:style w:type="character" w:customStyle="1" w:styleId="2482">
    <w:name w:val="正文（首行缩近两字） Char"/>
    <w:qFormat/>
    <w:uiPriority w:val="0"/>
    <w:rPr>
      <w:rFonts w:hint="eastAsia" w:ascii="宋体" w:hAnsi="宋体" w:eastAsia="宋体"/>
      <w:kern w:val="2"/>
      <w:sz w:val="21"/>
      <w:lang w:val="en-US" w:eastAsia="zh-CN" w:bidi="ar-SA"/>
    </w:rPr>
  </w:style>
  <w:style w:type="character" w:customStyle="1" w:styleId="2483">
    <w:name w:val="doc_title fs_c_76"/>
    <w:qFormat/>
    <w:uiPriority w:val="0"/>
    <w:rPr>
      <w:rFonts w:ascii="宋体" w:hAnsi="宋体" w:eastAsia="Arial" w:cs="宋体"/>
      <w:kern w:val="2"/>
      <w:sz w:val="24"/>
      <w:szCs w:val="24"/>
      <w:lang w:val="en-US" w:eastAsia="zh-CN" w:bidi="ar-SA"/>
    </w:rPr>
  </w:style>
  <w:style w:type="character" w:customStyle="1" w:styleId="2484">
    <w:name w:val="环调标题2 Char Char"/>
    <w:qFormat/>
    <w:uiPriority w:val="0"/>
    <w:rPr>
      <w:rFonts w:hint="eastAsia" w:ascii="宋体" w:hAnsi="宋体" w:eastAsia="宋体" w:cs="宋体"/>
      <w:b/>
      <w:kern w:val="2"/>
      <w:sz w:val="30"/>
      <w:szCs w:val="24"/>
      <w:lang w:val="en-US" w:eastAsia="zh-CN" w:bidi="ar-SA"/>
    </w:rPr>
  </w:style>
  <w:style w:type="character" w:customStyle="1" w:styleId="2485">
    <w:name w:val="keyword1"/>
    <w:qFormat/>
    <w:uiPriority w:val="0"/>
    <w:rPr>
      <w:rFonts w:hint="eastAsia" w:ascii="宋体" w:hAnsi="宋体" w:eastAsia="黑体" w:cs="Courier New"/>
      <w:color w:val="FF0000"/>
      <w:kern w:val="2"/>
      <w:sz w:val="24"/>
      <w:szCs w:val="32"/>
      <w:lang w:val="en-US" w:eastAsia="zh-CN" w:bidi="ar-SA"/>
    </w:rPr>
  </w:style>
  <w:style w:type="character" w:customStyle="1" w:styleId="2486">
    <w:name w:val="ENFI正文 Char Char"/>
    <w:link w:val="2487"/>
    <w:qFormat/>
    <w:locked/>
    <w:uiPriority w:val="0"/>
    <w:rPr>
      <w:rFonts w:ascii="宋体" w:hAnsi="宋体" w:eastAsia="仿宋_GB2312" w:cs="宋体"/>
      <w:color w:val="000000"/>
      <w:sz w:val="28"/>
      <w:szCs w:val="24"/>
    </w:rPr>
  </w:style>
  <w:style w:type="paragraph" w:customStyle="1" w:styleId="2487">
    <w:name w:val="ENFI正文"/>
    <w:basedOn w:val="1"/>
    <w:link w:val="2486"/>
    <w:qFormat/>
    <w:uiPriority w:val="0"/>
    <w:pPr>
      <w:adjustRightInd w:val="0"/>
      <w:snapToGrid w:val="0"/>
      <w:spacing w:line="500" w:lineRule="exact"/>
      <w:ind w:firstLine="567"/>
    </w:pPr>
    <w:rPr>
      <w:rFonts w:ascii="宋体" w:hAnsi="宋体" w:cs="宋体"/>
      <w:color w:val="000000"/>
      <w:kern w:val="0"/>
      <w:szCs w:val="24"/>
    </w:rPr>
  </w:style>
  <w:style w:type="character" w:customStyle="1" w:styleId="2488">
    <w:name w:val="defaultfont1"/>
    <w:qFormat/>
    <w:uiPriority w:val="0"/>
    <w:rPr>
      <w:rFonts w:hint="eastAsia" w:ascii="宋体" w:hAnsi="宋体" w:eastAsia="宋体" w:cs="宋体"/>
      <w:kern w:val="2"/>
      <w:sz w:val="24"/>
      <w:szCs w:val="20"/>
      <w:lang w:val="en-US" w:eastAsia="zh-CN" w:bidi="ar"/>
    </w:rPr>
  </w:style>
  <w:style w:type="character" w:customStyle="1" w:styleId="2489">
    <w:name w:val="正文1 Char Char Char"/>
    <w:qFormat/>
    <w:uiPriority w:val="0"/>
    <w:rPr>
      <w:rFonts w:hint="eastAsia" w:ascii="宋体" w:hAnsi="宋体" w:eastAsia="楷体_GB2312" w:cs="宋体"/>
      <w:kern w:val="2"/>
      <w:sz w:val="24"/>
      <w:szCs w:val="24"/>
      <w:lang w:val="en-US" w:eastAsia="zh-CN" w:bidi="ar-SA"/>
    </w:rPr>
  </w:style>
  <w:style w:type="character" w:customStyle="1" w:styleId="2490">
    <w:name w:val="Char Char62"/>
    <w:qFormat/>
    <w:uiPriority w:val="0"/>
    <w:rPr>
      <w:rFonts w:hint="default" w:ascii="Times New Roman" w:hAnsi="Times New Roman" w:eastAsia="宋体" w:cs="Times New Roman"/>
      <w:kern w:val="20"/>
      <w:sz w:val="28"/>
      <w:szCs w:val="24"/>
      <w:lang w:val="en-US" w:eastAsia="zh-CN" w:bidi="ar"/>
    </w:rPr>
  </w:style>
  <w:style w:type="character" w:customStyle="1" w:styleId="2491">
    <w:name w:val="篇1"/>
    <w:qFormat/>
    <w:uiPriority w:val="0"/>
    <w:rPr>
      <w:rFonts w:hint="eastAsia" w:ascii="宋体" w:hAnsi="宋体" w:eastAsia="宋体" w:cs="宋体"/>
      <w:b/>
      <w:bCs/>
      <w:kern w:val="44"/>
      <w:sz w:val="32"/>
      <w:szCs w:val="44"/>
      <w:lang w:val="en-US" w:eastAsia="zh-CN" w:bidi="ar-SA"/>
    </w:rPr>
  </w:style>
  <w:style w:type="character" w:customStyle="1" w:styleId="2492">
    <w:name w:val="样式 正文文本缩进 3 + 小四 段前: 6 磅 段后: 6 磅 行距: 1.5 倍行距 Char Char Char"/>
    <w:qFormat/>
    <w:uiPriority w:val="0"/>
    <w:rPr>
      <w:rFonts w:hint="eastAsia" w:ascii="宋体" w:hAnsi="宋体" w:eastAsia="宋体"/>
      <w:kern w:val="2"/>
      <w:sz w:val="24"/>
      <w:lang w:val="en-US" w:eastAsia="zh-CN" w:bidi="ar-SA"/>
    </w:rPr>
  </w:style>
  <w:style w:type="character" w:customStyle="1" w:styleId="2493">
    <w:name w:val="Char Char54"/>
    <w:qFormat/>
    <w:uiPriority w:val="0"/>
    <w:rPr>
      <w:rFonts w:hint="eastAsia" w:ascii="宋体" w:hAnsi="Courier New" w:eastAsia="宋体" w:cs="Courier New"/>
      <w:kern w:val="2"/>
      <w:sz w:val="28"/>
      <w:szCs w:val="21"/>
      <w:lang w:val="en-US" w:eastAsia="zh-CN" w:bidi="ar"/>
    </w:rPr>
  </w:style>
  <w:style w:type="character" w:customStyle="1" w:styleId="2494">
    <w:name w:val="o12"/>
    <w:qFormat/>
    <w:uiPriority w:val="0"/>
    <w:rPr>
      <w:rFonts w:hint="eastAsia" w:ascii="宋体" w:hAnsi="宋体" w:eastAsia="宋体" w:cs="宋体"/>
      <w:kern w:val="2"/>
      <w:sz w:val="28"/>
      <w:szCs w:val="24"/>
      <w:lang w:val="en-US" w:eastAsia="zh-CN" w:bidi="ar"/>
    </w:rPr>
  </w:style>
  <w:style w:type="character" w:customStyle="1" w:styleId="2495">
    <w:name w:val="批注文字 Char Char"/>
    <w:qFormat/>
    <w:uiPriority w:val="0"/>
    <w:rPr>
      <w:rFonts w:hint="eastAsia" w:ascii="宋体" w:hAnsi="宋体" w:eastAsia="宋体" w:cs="宋体"/>
      <w:kern w:val="2"/>
      <w:sz w:val="21"/>
      <w:szCs w:val="24"/>
      <w:lang w:val="en-US" w:eastAsia="zh-CN" w:bidi="ar"/>
    </w:rPr>
  </w:style>
  <w:style w:type="character" w:customStyle="1" w:styleId="2496">
    <w:name w:val="标题 4 Char Char Char Char Char Char Char Char Char Char Char Char Char Char Char Char Char Char Char Char Char Char Char Char Char"/>
    <w:qFormat/>
    <w:uiPriority w:val="0"/>
    <w:rPr>
      <w:rFonts w:hint="default" w:ascii="Arial" w:hAnsi="Arial" w:eastAsia="宋体" w:cs="Arial"/>
      <w:kern w:val="2"/>
      <w:sz w:val="28"/>
      <w:szCs w:val="24"/>
      <w:lang w:val="en-US" w:eastAsia="zh-CN" w:bidi="ar-SA"/>
    </w:rPr>
  </w:style>
  <w:style w:type="character" w:customStyle="1" w:styleId="2497">
    <w:name w:val="Char Char59"/>
    <w:qFormat/>
    <w:uiPriority w:val="0"/>
    <w:rPr>
      <w:rFonts w:hint="default" w:ascii="Times New Roman" w:hAnsi="Times New Roman" w:eastAsia="宋体" w:cs="Times New Roman"/>
      <w:b/>
      <w:kern w:val="2"/>
      <w:sz w:val="24"/>
      <w:szCs w:val="24"/>
      <w:lang w:val="en-US" w:eastAsia="zh-CN" w:bidi="ar"/>
    </w:rPr>
  </w:style>
  <w:style w:type="character" w:customStyle="1" w:styleId="2498">
    <w:name w:val="正文首行缩进 2 Char1"/>
    <w:qFormat/>
    <w:uiPriority w:val="99"/>
    <w:rPr>
      <w:rFonts w:hint="eastAsia" w:ascii="宋体" w:hAnsi="宋体" w:eastAsia="宋体" w:cs="宋体"/>
      <w:kern w:val="2"/>
      <w:sz w:val="21"/>
      <w:szCs w:val="24"/>
      <w:lang w:val="en-US" w:eastAsia="zh-CN" w:bidi="ar"/>
    </w:rPr>
  </w:style>
  <w:style w:type="character" w:customStyle="1" w:styleId="2499">
    <w:name w:val="样式 标题 3标题 13ReHead 3 WSAh3B HeadH3..标题 3 Char Char标题 3 ... Char Char Char"/>
    <w:qFormat/>
    <w:uiPriority w:val="0"/>
    <w:rPr>
      <w:b/>
      <w:bCs/>
      <w:spacing w:val="-2"/>
      <w:sz w:val="24"/>
      <w:szCs w:val="24"/>
      <w:lang w:bidi="ar-SA"/>
    </w:rPr>
  </w:style>
  <w:style w:type="character" w:customStyle="1" w:styleId="2500">
    <w:name w:val="lh22px1"/>
    <w:qFormat/>
    <w:uiPriority w:val="0"/>
    <w:rPr>
      <w:rFonts w:hint="eastAsia" w:ascii="宋体" w:hAnsi="宋体" w:eastAsia="宋体" w:cs="宋体"/>
      <w:kern w:val="2"/>
      <w:sz w:val="21"/>
      <w:szCs w:val="21"/>
      <w:lang w:val="en-US" w:eastAsia="zh-CN" w:bidi="ar"/>
    </w:rPr>
  </w:style>
  <w:style w:type="character" w:customStyle="1" w:styleId="2501">
    <w:name w:val="报告正文小四 Char"/>
    <w:qFormat/>
    <w:uiPriority w:val="0"/>
    <w:rPr>
      <w:rFonts w:hint="eastAsia" w:ascii="宋体" w:hAnsi="宋体" w:eastAsia="宋体"/>
      <w:kern w:val="2"/>
      <w:sz w:val="24"/>
      <w:lang w:val="en-US" w:eastAsia="zh-CN" w:bidi="ar-SA"/>
    </w:rPr>
  </w:style>
  <w:style w:type="character" w:customStyle="1" w:styleId="2502">
    <w:name w:val="样式30 Char Char Char"/>
    <w:qFormat/>
    <w:uiPriority w:val="0"/>
    <w:rPr>
      <w:rFonts w:hint="default" w:ascii="Arial" w:hAnsi="Arial" w:eastAsia="宋体" w:cs="宋体"/>
      <w:b/>
      <w:color w:val="000000"/>
      <w:kern w:val="2"/>
      <w:sz w:val="30"/>
      <w:szCs w:val="24"/>
      <w:lang w:val="en-US" w:eastAsia="zh-CN" w:bidi="ar-SA"/>
    </w:rPr>
  </w:style>
  <w:style w:type="character" w:customStyle="1" w:styleId="2503">
    <w:name w:val="articlebody"/>
    <w:qFormat/>
    <w:uiPriority w:val="0"/>
    <w:rPr>
      <w:rFonts w:hint="eastAsia" w:ascii="宋体" w:hAnsi="宋体" w:eastAsia="宋体" w:cs="宋体"/>
      <w:kern w:val="2"/>
      <w:sz w:val="28"/>
      <w:szCs w:val="24"/>
      <w:lang w:val="en-US" w:eastAsia="zh-CN" w:bidi="ar"/>
    </w:rPr>
  </w:style>
  <w:style w:type="character" w:customStyle="1" w:styleId="2504">
    <w:name w:val="正文文本 3 字符"/>
    <w:qFormat/>
    <w:uiPriority w:val="0"/>
    <w:rPr>
      <w:rFonts w:hint="eastAsia" w:ascii="宋体" w:hAnsi="宋体" w:eastAsia="宋体" w:cs="宋体"/>
      <w:kern w:val="2"/>
      <w:sz w:val="16"/>
      <w:szCs w:val="16"/>
      <w:lang w:val="en-US" w:eastAsia="zh-CN" w:bidi="ar"/>
    </w:rPr>
  </w:style>
  <w:style w:type="character" w:customStyle="1" w:styleId="2505">
    <w:name w:val="linkred021"/>
    <w:qFormat/>
    <w:uiPriority w:val="0"/>
    <w:rPr>
      <w:rFonts w:hint="eastAsia" w:ascii="宋体" w:hAnsi="宋体" w:eastAsia="宋体" w:cs="宋体"/>
      <w:color w:val="A20010"/>
      <w:kern w:val="2"/>
      <w:sz w:val="28"/>
      <w:szCs w:val="24"/>
      <w:lang w:val="en-US" w:eastAsia="zh-CN" w:bidi="ar"/>
    </w:rPr>
  </w:style>
  <w:style w:type="character" w:customStyle="1" w:styleId="2506">
    <w:name w:val="newssize"/>
    <w:qFormat/>
    <w:uiPriority w:val="0"/>
    <w:rPr>
      <w:rFonts w:hint="eastAsia" w:ascii="宋体" w:hAnsi="宋体" w:eastAsia="宋体" w:cs="宋体"/>
      <w:kern w:val="2"/>
      <w:sz w:val="28"/>
      <w:szCs w:val="24"/>
      <w:lang w:val="en-US" w:eastAsia="zh-CN" w:bidi="ar"/>
    </w:rPr>
  </w:style>
  <w:style w:type="character" w:customStyle="1" w:styleId="2507">
    <w:name w:val="样式11 Char"/>
    <w:qFormat/>
    <w:locked/>
    <w:uiPriority w:val="0"/>
    <w:rPr>
      <w:rFonts w:hint="eastAsia" w:ascii="黑体" w:hAnsi="黑体" w:eastAsia="黑体"/>
      <w:bCs/>
      <w:kern w:val="2"/>
      <w:sz w:val="24"/>
      <w:szCs w:val="24"/>
      <w:lang w:val="en-US" w:eastAsia="zh-CN" w:bidi="ar-SA"/>
    </w:rPr>
  </w:style>
  <w:style w:type="character" w:customStyle="1" w:styleId="2508">
    <w:name w:val="black91"/>
    <w:qFormat/>
    <w:uiPriority w:val="0"/>
    <w:rPr>
      <w:rFonts w:hint="eastAsia" w:ascii="宋体" w:hAnsi="宋体" w:eastAsia="宋体" w:cs="宋体"/>
      <w:color w:val="000000"/>
      <w:kern w:val="2"/>
      <w:sz w:val="18"/>
      <w:szCs w:val="18"/>
      <w:u w:val="none"/>
      <w:lang w:val="en-US" w:eastAsia="zh-CN" w:bidi="ar"/>
    </w:rPr>
  </w:style>
  <w:style w:type="character" w:customStyle="1" w:styleId="2509">
    <w:name w:val="样式 (西文) Arial (中文) 楷体_GB2312"/>
    <w:qFormat/>
    <w:uiPriority w:val="0"/>
    <w:rPr>
      <w:rFonts w:hint="eastAsia" w:ascii="宋体" w:hAnsi="宋体" w:eastAsia="宋体" w:cs="宋体"/>
      <w:color w:val="auto"/>
      <w:spacing w:val="8"/>
      <w:w w:val="100"/>
      <w:kern w:val="0"/>
      <w:position w:val="0"/>
      <w:sz w:val="24"/>
      <w:szCs w:val="24"/>
      <w:u w:val="none"/>
      <w:vertAlign w:val="baseline"/>
      <w:lang w:val="en-US" w:eastAsia="zh-CN" w:bidi="ar"/>
    </w:rPr>
  </w:style>
  <w:style w:type="character" w:customStyle="1" w:styleId="2510">
    <w:name w:val="列表编号 5 Char Char"/>
    <w:qFormat/>
    <w:uiPriority w:val="0"/>
    <w:rPr>
      <w:rFonts w:hint="eastAsia" w:ascii="宋体" w:hAnsi="宋体" w:eastAsia="宋体" w:cs="宋体"/>
      <w:kern w:val="2"/>
      <w:sz w:val="24"/>
      <w:szCs w:val="24"/>
      <w:lang w:val="en-US" w:eastAsia="zh-CN" w:bidi="ar-SA"/>
    </w:rPr>
  </w:style>
  <w:style w:type="character" w:customStyle="1" w:styleId="2511">
    <w:name w:val="表内文字 Char Char"/>
    <w:qFormat/>
    <w:uiPriority w:val="0"/>
    <w:rPr>
      <w:rFonts w:hint="eastAsia" w:ascii="宋体" w:hAnsi="Courier New" w:eastAsia="宋体" w:cs="Courier New"/>
      <w:color w:val="000000"/>
      <w:kern w:val="2"/>
      <w:sz w:val="21"/>
      <w:szCs w:val="21"/>
      <w:lang w:val="en-US" w:eastAsia="zh-CN" w:bidi="ar-SA"/>
    </w:rPr>
  </w:style>
  <w:style w:type="character" w:customStyle="1" w:styleId="2512">
    <w:name w:val="正文小4黑体左 Char Char"/>
    <w:link w:val="2513"/>
    <w:qFormat/>
    <w:locked/>
    <w:uiPriority w:val="0"/>
    <w:rPr>
      <w:rFonts w:ascii="宋体" w:hAnsi="宋体" w:cs="宋体"/>
      <w:b/>
      <w:sz w:val="24"/>
      <w:szCs w:val="24"/>
    </w:rPr>
  </w:style>
  <w:style w:type="paragraph" w:customStyle="1" w:styleId="2513">
    <w:name w:val="正文小4黑体左"/>
    <w:basedOn w:val="1"/>
    <w:link w:val="2512"/>
    <w:qFormat/>
    <w:uiPriority w:val="0"/>
    <w:pPr>
      <w:spacing w:line="360" w:lineRule="auto"/>
    </w:pPr>
    <w:rPr>
      <w:rFonts w:ascii="宋体" w:hAnsi="宋体" w:eastAsia="宋体" w:cs="宋体"/>
      <w:b/>
      <w:kern w:val="0"/>
      <w:sz w:val="24"/>
      <w:szCs w:val="24"/>
    </w:rPr>
  </w:style>
  <w:style w:type="character" w:customStyle="1" w:styleId="2514">
    <w:name w:val="文档结构图 字符"/>
    <w:qFormat/>
    <w:uiPriority w:val="0"/>
    <w:rPr>
      <w:rFonts w:hint="eastAsia" w:ascii="宋体" w:hAnsi="宋体" w:eastAsia="宋体" w:cs="宋体"/>
      <w:kern w:val="2"/>
      <w:sz w:val="21"/>
      <w:szCs w:val="24"/>
      <w:shd w:val="clear" w:color="auto" w:fill="000080"/>
      <w:lang w:val="en-US" w:eastAsia="zh-CN" w:bidi="ar"/>
    </w:rPr>
  </w:style>
  <w:style w:type="character" w:customStyle="1" w:styleId="2515">
    <w:name w:val="表内式样 Char Char"/>
    <w:qFormat/>
    <w:uiPriority w:val="0"/>
    <w:rPr>
      <w:rFonts w:hint="eastAsia" w:ascii="宋体" w:hAnsi="宋体" w:eastAsia="宋体" w:cs="宋体"/>
      <w:kern w:val="2"/>
      <w:sz w:val="21"/>
      <w:szCs w:val="24"/>
      <w:lang w:val="en-US" w:eastAsia="zh-CN" w:bidi="ar-SA"/>
    </w:rPr>
  </w:style>
  <w:style w:type="character" w:customStyle="1" w:styleId="2516">
    <w:name w:val="Char Char321"/>
    <w:qFormat/>
    <w:uiPriority w:val="0"/>
    <w:rPr>
      <w:rFonts w:hint="eastAsia" w:ascii="宋体" w:hAnsi="宋体" w:eastAsia="宋体" w:cs="宋体"/>
      <w:kern w:val="2"/>
      <w:sz w:val="18"/>
      <w:szCs w:val="18"/>
      <w:lang w:val="en-US" w:eastAsia="zh-CN" w:bidi="ar"/>
    </w:rPr>
  </w:style>
  <w:style w:type="character" w:customStyle="1" w:styleId="2517">
    <w:name w:val="标题  Char"/>
    <w:qFormat/>
    <w:uiPriority w:val="0"/>
    <w:rPr>
      <w:rFonts w:hint="eastAsia" w:ascii="楷体_GB2312" w:hAnsi="宋体" w:eastAsia="楷体_GB2312" w:cs="宋体"/>
      <w:bCs/>
      <w:kern w:val="2"/>
      <w:sz w:val="28"/>
      <w:szCs w:val="28"/>
      <w:lang w:val="en-US" w:eastAsia="zh-CN" w:bidi="ar-SA"/>
    </w:rPr>
  </w:style>
  <w:style w:type="character" w:customStyle="1" w:styleId="2518">
    <w:name w:val="书籍标题3"/>
    <w:qFormat/>
    <w:uiPriority w:val="0"/>
    <w:rPr>
      <w:rFonts w:hint="eastAsia" w:ascii="宋体" w:hAnsi="宋体" w:eastAsia="宋体" w:cs="宋体"/>
      <w:b/>
      <w:bCs/>
      <w:smallCaps/>
      <w:spacing w:val="5"/>
      <w:kern w:val="2"/>
      <w:sz w:val="28"/>
      <w:szCs w:val="24"/>
      <w:lang w:val="en-US" w:eastAsia="zh-CN" w:bidi="ar"/>
    </w:rPr>
  </w:style>
  <w:style w:type="character" w:customStyle="1" w:styleId="2519">
    <w:name w:val="脚注文本 Char3"/>
    <w:qFormat/>
    <w:uiPriority w:val="0"/>
    <w:rPr>
      <w:rFonts w:hint="eastAsia" w:ascii="宋体" w:hAnsi="宋体" w:eastAsia="宋体" w:cs="宋体"/>
      <w:kern w:val="2"/>
      <w:sz w:val="18"/>
      <w:szCs w:val="18"/>
      <w:lang w:val="en-US" w:eastAsia="zh-CN" w:bidi="ar"/>
    </w:rPr>
  </w:style>
  <w:style w:type="character" w:customStyle="1" w:styleId="2520">
    <w:name w:val="样式 自动A + Char Char"/>
    <w:link w:val="2521"/>
    <w:qFormat/>
    <w:locked/>
    <w:uiPriority w:val="0"/>
    <w:rPr>
      <w:rFonts w:ascii="Calibri" w:hAnsi="Calibri" w:cs="黑体"/>
    </w:rPr>
  </w:style>
  <w:style w:type="paragraph" w:customStyle="1" w:styleId="2521">
    <w:name w:val="样式 自动A +"/>
    <w:basedOn w:val="1"/>
    <w:link w:val="2520"/>
    <w:qFormat/>
    <w:uiPriority w:val="0"/>
    <w:rPr>
      <w:rFonts w:ascii="Calibri" w:hAnsi="Calibri" w:eastAsia="宋体" w:cs="黑体"/>
      <w:kern w:val="0"/>
      <w:sz w:val="20"/>
    </w:rPr>
  </w:style>
  <w:style w:type="character" w:customStyle="1" w:styleId="2522">
    <w:name w:val="normaltext1"/>
    <w:qFormat/>
    <w:uiPriority w:val="0"/>
    <w:rPr>
      <w:rFonts w:hint="eastAsia" w:ascii="宋体" w:hAnsi="宋体" w:eastAsia="宋体" w:cs="宋体"/>
      <w:color w:val="000000"/>
      <w:kern w:val="2"/>
      <w:sz w:val="23"/>
      <w:szCs w:val="23"/>
      <w:lang w:val="en-US" w:eastAsia="zh-CN" w:bidi="ar"/>
    </w:rPr>
  </w:style>
  <w:style w:type="character" w:customStyle="1" w:styleId="2523">
    <w:name w:val="p10"/>
    <w:qFormat/>
    <w:uiPriority w:val="0"/>
    <w:rPr>
      <w:rFonts w:hint="eastAsia" w:ascii="宋体" w:hAnsi="宋体" w:eastAsia="宋体" w:cs="宋体"/>
      <w:kern w:val="2"/>
      <w:sz w:val="24"/>
      <w:szCs w:val="20"/>
      <w:lang w:val="en-US" w:eastAsia="zh-CN" w:bidi="ar"/>
    </w:rPr>
  </w:style>
  <w:style w:type="character" w:customStyle="1" w:styleId="2524">
    <w:name w:val="样式 标题 1 + 黑体 小三 非加粗 Char"/>
    <w:qFormat/>
    <w:uiPriority w:val="0"/>
    <w:rPr>
      <w:rFonts w:hint="eastAsia" w:ascii="黑体" w:hAnsi="黑体" w:eastAsia="黑体"/>
      <w:kern w:val="44"/>
      <w:sz w:val="30"/>
      <w:szCs w:val="44"/>
      <w:lang w:bidi="ar-SA"/>
    </w:rPr>
  </w:style>
  <w:style w:type="character" w:customStyle="1" w:styleId="2525">
    <w:name w:val="z-窗体底端 Char1"/>
    <w:qFormat/>
    <w:uiPriority w:val="0"/>
    <w:rPr>
      <w:rFonts w:hint="default" w:ascii="Arial" w:hAnsi="Arial" w:eastAsia="宋体" w:cs="Arial"/>
      <w:vanish/>
      <w:kern w:val="2"/>
      <w:sz w:val="16"/>
      <w:szCs w:val="16"/>
      <w:lang w:val="en-US" w:eastAsia="zh-CN" w:bidi="ar-SA"/>
    </w:rPr>
  </w:style>
  <w:style w:type="character" w:customStyle="1" w:styleId="2526">
    <w:name w:val="正文文本缩进 3 字符"/>
    <w:qFormat/>
    <w:uiPriority w:val="0"/>
    <w:rPr>
      <w:rFonts w:hint="eastAsia" w:ascii="宋体" w:hAnsi="宋体" w:eastAsia="宋体" w:cs="宋体"/>
      <w:kern w:val="2"/>
      <w:sz w:val="16"/>
      <w:szCs w:val="16"/>
      <w:lang w:val="en-US" w:eastAsia="zh-CN" w:bidi="ar"/>
    </w:rPr>
  </w:style>
  <w:style w:type="character" w:customStyle="1" w:styleId="2527">
    <w:name w:val="批注文字 字符"/>
    <w:qFormat/>
    <w:uiPriority w:val="0"/>
    <w:rPr>
      <w:rFonts w:hint="eastAsia" w:ascii="宋体" w:hAnsi="宋体" w:eastAsia="宋体" w:cs="宋体"/>
      <w:kern w:val="2"/>
      <w:sz w:val="21"/>
      <w:szCs w:val="24"/>
      <w:lang w:val="en-US" w:eastAsia="zh-CN" w:bidi="ar"/>
    </w:rPr>
  </w:style>
  <w:style w:type="character" w:customStyle="1" w:styleId="2528">
    <w:name w:val="0916正文样式 Char Char"/>
    <w:link w:val="2529"/>
    <w:qFormat/>
    <w:locked/>
    <w:uiPriority w:val="0"/>
    <w:rPr>
      <w:rFonts w:ascii="宋体" w:hAnsi="ˎ̥" w:cs="宋体"/>
      <w:sz w:val="28"/>
      <w:szCs w:val="28"/>
    </w:rPr>
  </w:style>
  <w:style w:type="paragraph" w:customStyle="1" w:styleId="2529">
    <w:name w:val="0916正文样式"/>
    <w:basedOn w:val="1"/>
    <w:link w:val="2528"/>
    <w:qFormat/>
    <w:uiPriority w:val="0"/>
    <w:pPr>
      <w:adjustRightInd w:val="0"/>
      <w:snapToGrid w:val="0"/>
      <w:spacing w:line="336" w:lineRule="auto"/>
      <w:ind w:firstLine="200" w:firstLineChars="200"/>
    </w:pPr>
    <w:rPr>
      <w:rFonts w:ascii="宋体" w:hAnsi="ˎ̥" w:eastAsia="宋体" w:cs="宋体"/>
      <w:kern w:val="0"/>
      <w:szCs w:val="28"/>
    </w:rPr>
  </w:style>
  <w:style w:type="character" w:customStyle="1" w:styleId="2530">
    <w:name w:val="HTML 预设格式 Char2"/>
    <w:qFormat/>
    <w:uiPriority w:val="0"/>
    <w:rPr>
      <w:rFonts w:hint="default" w:ascii="Courier New" w:hAnsi="Courier New" w:eastAsia="宋体" w:cs="Courier New"/>
      <w:kern w:val="2"/>
      <w:sz w:val="20"/>
      <w:szCs w:val="20"/>
      <w:lang w:val="en-US" w:eastAsia="zh-CN" w:bidi="ar-SA"/>
    </w:rPr>
  </w:style>
  <w:style w:type="character" w:customStyle="1" w:styleId="2531">
    <w:name w:val="报告标题3 Char Char"/>
    <w:qFormat/>
    <w:uiPriority w:val="0"/>
    <w:rPr>
      <w:rFonts w:hint="default" w:ascii="Arial" w:hAnsi="Arial" w:eastAsia="宋体" w:cs="宋体"/>
      <w:b/>
      <w:color w:val="000000"/>
      <w:kern w:val="2"/>
      <w:sz w:val="24"/>
      <w:szCs w:val="24"/>
      <w:lang w:val="en-US" w:eastAsia="zh-CN" w:bidi="ar"/>
    </w:rPr>
  </w:style>
  <w:style w:type="character" w:customStyle="1" w:styleId="2532">
    <w:name w:val="表文字居中 Char Char Char"/>
    <w:qFormat/>
    <w:uiPriority w:val="0"/>
    <w:rPr>
      <w:rFonts w:hint="default" w:ascii="Arial" w:hAnsi="Arial" w:cs="Arial"/>
      <w:kern w:val="2"/>
      <w:sz w:val="21"/>
      <w:szCs w:val="24"/>
      <w:lang w:val="en-US" w:eastAsia="zh-CN" w:bidi="ar-SA"/>
    </w:rPr>
  </w:style>
  <w:style w:type="character" w:customStyle="1" w:styleId="2533">
    <w:name w:val="正文文字缩进 3 Char Char1"/>
    <w:qFormat/>
    <w:uiPriority w:val="0"/>
    <w:rPr>
      <w:rFonts w:hint="default" w:ascii="Times New Roman" w:hAnsi="Times New Roman" w:eastAsia="宋体" w:cs="Times New Roman"/>
      <w:kern w:val="2"/>
      <w:sz w:val="16"/>
      <w:szCs w:val="16"/>
      <w:lang w:val="en-US" w:eastAsia="zh-CN" w:bidi="ar"/>
    </w:rPr>
  </w:style>
  <w:style w:type="character" w:customStyle="1" w:styleId="2534">
    <w:name w:val="正文文字缩进 2 Char Char"/>
    <w:qFormat/>
    <w:uiPriority w:val="0"/>
    <w:rPr>
      <w:rFonts w:hint="eastAsia" w:ascii="宋体" w:hAnsi="宋体" w:eastAsia="宋体" w:cs="宋体"/>
      <w:kern w:val="2"/>
      <w:sz w:val="21"/>
      <w:szCs w:val="24"/>
      <w:lang w:val="en-US" w:eastAsia="zh-CN" w:bidi="ar-SA"/>
    </w:rPr>
  </w:style>
  <w:style w:type="character" w:customStyle="1" w:styleId="2535">
    <w:name w:val="报告标题3 Char Char Char"/>
    <w:link w:val="791"/>
    <w:qFormat/>
    <w:locked/>
    <w:uiPriority w:val="0"/>
    <w:rPr>
      <w:rFonts w:ascii="Arial" w:hAnsi="Arial"/>
      <w:b/>
      <w:color w:val="000000"/>
      <w:kern w:val="2"/>
      <w:sz w:val="24"/>
      <w:szCs w:val="32"/>
    </w:rPr>
  </w:style>
  <w:style w:type="character" w:customStyle="1" w:styleId="2536">
    <w:name w:val="信息标题 Char3"/>
    <w:qFormat/>
    <w:uiPriority w:val="0"/>
    <w:rPr>
      <w:rFonts w:hint="default" w:ascii="Cambria" w:hAnsi="Cambria" w:eastAsia="宋体" w:cs="Times New Roman"/>
      <w:kern w:val="2"/>
      <w:sz w:val="24"/>
      <w:szCs w:val="24"/>
      <w:shd w:val="pct20" w:color="auto" w:fill="auto"/>
      <w:lang w:val="en-US" w:eastAsia="zh-CN" w:bidi="ar-SA"/>
    </w:rPr>
  </w:style>
  <w:style w:type="character" w:customStyle="1" w:styleId="2537">
    <w:name w:val="样式16 Char Char Char"/>
    <w:qFormat/>
    <w:uiPriority w:val="0"/>
    <w:rPr>
      <w:rFonts w:hint="eastAsia" w:ascii="宋体" w:hAnsi="宋体" w:eastAsia="宋体" w:cs="宋体"/>
      <w:kern w:val="2"/>
      <w:sz w:val="28"/>
      <w:szCs w:val="24"/>
      <w:lang w:val="en-US" w:eastAsia="zh-CN" w:bidi="ar"/>
    </w:rPr>
  </w:style>
  <w:style w:type="character" w:customStyle="1" w:styleId="2538">
    <w:name w:val="rcjs_jswm_font1"/>
    <w:qFormat/>
    <w:uiPriority w:val="0"/>
    <w:rPr>
      <w:rFonts w:hint="eastAsia" w:ascii="宋体" w:hAnsi="宋体" w:eastAsia="宋体" w:cs="宋体"/>
      <w:kern w:val="2"/>
      <w:sz w:val="20"/>
      <w:szCs w:val="20"/>
      <w:lang w:val="en-US" w:eastAsia="zh-CN" w:bidi="ar"/>
    </w:rPr>
  </w:style>
  <w:style w:type="character" w:customStyle="1" w:styleId="2539">
    <w:name w:val="p5"/>
    <w:qFormat/>
    <w:uiPriority w:val="0"/>
    <w:rPr>
      <w:rFonts w:hint="eastAsia" w:ascii="宋体" w:hAnsi="宋体" w:eastAsia="宋体" w:cs="宋体"/>
      <w:kern w:val="2"/>
      <w:sz w:val="24"/>
      <w:szCs w:val="20"/>
      <w:lang w:val="en-US" w:eastAsia="zh-CN" w:bidi="ar"/>
    </w:rPr>
  </w:style>
  <w:style w:type="character" w:customStyle="1" w:styleId="2540">
    <w:name w:val="文档结构图 Char4"/>
    <w:qFormat/>
    <w:uiPriority w:val="0"/>
    <w:rPr>
      <w:rFonts w:hint="default" w:ascii="Times New Roman" w:hAnsi="Times New Roman" w:eastAsia="宋体" w:cs="Times New Roman"/>
      <w:kern w:val="2"/>
      <w:sz w:val="28"/>
      <w:szCs w:val="24"/>
      <w:shd w:val="clear" w:color="auto" w:fill="000080"/>
      <w:lang w:val="en-US" w:eastAsia="zh-CN" w:bidi="ar-SA"/>
    </w:rPr>
  </w:style>
  <w:style w:type="character" w:customStyle="1" w:styleId="2541">
    <w:name w:val="txt11"/>
    <w:qFormat/>
    <w:uiPriority w:val="0"/>
    <w:rPr>
      <w:rFonts w:hint="default" w:ascii="ˎ̥" w:hAnsi="ˎ̥" w:eastAsia="宋体" w:cs="宋体"/>
      <w:kern w:val="2"/>
      <w:sz w:val="21"/>
      <w:szCs w:val="21"/>
      <w:lang w:val="en-US" w:eastAsia="zh-CN" w:bidi="ar"/>
    </w:rPr>
  </w:style>
  <w:style w:type="character" w:customStyle="1" w:styleId="2542">
    <w:name w:val="表格文字 Char Char Char Char Char Char"/>
    <w:qFormat/>
    <w:locked/>
    <w:uiPriority w:val="0"/>
    <w:rPr>
      <w:rFonts w:ascii="宋体" w:hAnsi="宋体" w:eastAsia="宋体" w:cs="宋体"/>
      <w:szCs w:val="24"/>
    </w:rPr>
  </w:style>
  <w:style w:type="character" w:customStyle="1" w:styleId="2543">
    <w:name w:val="yellow1"/>
    <w:qFormat/>
    <w:uiPriority w:val="0"/>
    <w:rPr>
      <w:rFonts w:hint="eastAsia" w:ascii="宋体" w:hAnsi="宋体" w:eastAsia="宋体" w:cs="宋体"/>
      <w:color w:val="FFFF00"/>
      <w:kern w:val="2"/>
      <w:sz w:val="28"/>
      <w:szCs w:val="24"/>
      <w:u w:val="none"/>
      <w:lang w:val="en-US" w:eastAsia="zh-CN" w:bidi="ar"/>
    </w:rPr>
  </w:style>
  <w:style w:type="character" w:customStyle="1" w:styleId="2544">
    <w:name w:val="样式18 Char Char Char"/>
    <w:qFormat/>
    <w:uiPriority w:val="0"/>
    <w:rPr>
      <w:rFonts w:hint="eastAsia" w:ascii="黑体" w:hAnsi="Arial" w:eastAsia="黑体" w:cs="宋体"/>
      <w:b/>
      <w:color w:val="000000"/>
      <w:kern w:val="2"/>
      <w:sz w:val="28"/>
      <w:lang w:val="en-US" w:eastAsia="zh-CN" w:bidi="ar-SA"/>
    </w:rPr>
  </w:style>
  <w:style w:type="character" w:customStyle="1" w:styleId="2545">
    <w:name w:val="正文小四环评 Char Char Char"/>
    <w:qFormat/>
    <w:uiPriority w:val="0"/>
    <w:rPr>
      <w:rFonts w:hint="eastAsia" w:ascii="宋体" w:hAnsi="宋体" w:eastAsia="宋体" w:cs="宋体"/>
      <w:bCs/>
      <w:color w:val="000000"/>
      <w:kern w:val="2"/>
      <w:sz w:val="24"/>
      <w:szCs w:val="24"/>
      <w:lang w:val="en-US" w:eastAsia="zh-CN" w:bidi="ar-SA"/>
    </w:rPr>
  </w:style>
  <w:style w:type="character" w:customStyle="1" w:styleId="2546">
    <w:name w:val="正文文本 字符1"/>
    <w:qFormat/>
    <w:uiPriority w:val="0"/>
    <w:rPr>
      <w:rFonts w:hint="eastAsia" w:ascii="宋体" w:hAnsi="宋体" w:eastAsia="宋体"/>
      <w:spacing w:val="-2"/>
      <w:sz w:val="28"/>
      <w:lang w:val="en-US" w:eastAsia="zh-CN" w:bidi="ar-SA"/>
    </w:rPr>
  </w:style>
  <w:style w:type="character" w:customStyle="1" w:styleId="2547">
    <w:name w:val="信息标题 字符"/>
    <w:qFormat/>
    <w:uiPriority w:val="0"/>
    <w:rPr>
      <w:rFonts w:hint="default" w:ascii="Arial" w:hAnsi="Arial" w:cs="Arial"/>
      <w:color w:val="000000"/>
      <w:sz w:val="24"/>
      <w:szCs w:val="24"/>
      <w:shd w:val="pct20" w:color="auto" w:fill="auto"/>
      <w:lang w:bidi="ar-SA"/>
    </w:rPr>
  </w:style>
  <w:style w:type="character" w:customStyle="1" w:styleId="2548">
    <w:name w:val="落款 Char Char"/>
    <w:qFormat/>
    <w:uiPriority w:val="0"/>
    <w:rPr>
      <w:rFonts w:hint="default" w:ascii="Times New Roman" w:hAnsi="Times New Roman" w:eastAsia="宋体" w:cs="Times New Roman"/>
      <w:kern w:val="2"/>
      <w:sz w:val="28"/>
      <w:szCs w:val="24"/>
      <w:lang w:val="en-US" w:eastAsia="zh-CN" w:bidi="ar"/>
    </w:rPr>
  </w:style>
  <w:style w:type="character" w:customStyle="1" w:styleId="2549">
    <w:name w:val="Char Char58"/>
    <w:qFormat/>
    <w:uiPriority w:val="0"/>
    <w:rPr>
      <w:rFonts w:hint="default" w:ascii="Arial" w:hAnsi="Arial" w:eastAsia="黑体" w:cs="Times New Roman"/>
      <w:kern w:val="2"/>
      <w:sz w:val="24"/>
      <w:szCs w:val="24"/>
      <w:lang w:val="en-US" w:eastAsia="zh-CN" w:bidi="ar"/>
    </w:rPr>
  </w:style>
  <w:style w:type="character" w:customStyle="1" w:styleId="2550">
    <w:name w:val="7说明正文 Char Char"/>
    <w:qFormat/>
    <w:uiPriority w:val="0"/>
    <w:rPr>
      <w:rFonts w:hint="eastAsia" w:ascii="宋体" w:hAnsi="宋体" w:eastAsia="宋体" w:cs="宋体"/>
      <w:kern w:val="2"/>
      <w:sz w:val="24"/>
      <w:szCs w:val="24"/>
      <w:lang w:val="en-US" w:eastAsia="zh-CN" w:bidi="ar-SA"/>
    </w:rPr>
  </w:style>
  <w:style w:type="character" w:customStyle="1" w:styleId="2551">
    <w:name w:val="东方工业区 Char Char"/>
    <w:qFormat/>
    <w:locked/>
    <w:uiPriority w:val="0"/>
    <w:rPr>
      <w:rFonts w:ascii="Calibri" w:hAnsi="Calibri" w:eastAsia="宋体" w:cs="黑体"/>
    </w:rPr>
  </w:style>
  <w:style w:type="character" w:customStyle="1" w:styleId="2552">
    <w:name w:val="二级标题 Char Char Char Char Char"/>
    <w:link w:val="1029"/>
    <w:qFormat/>
    <w:locked/>
    <w:uiPriority w:val="0"/>
    <w:rPr>
      <w:b/>
      <w:bCs/>
      <w:kern w:val="2"/>
      <w:sz w:val="28"/>
      <w:szCs w:val="24"/>
    </w:rPr>
  </w:style>
  <w:style w:type="character" w:customStyle="1" w:styleId="2553">
    <w:name w:val="样式N Char Char"/>
    <w:link w:val="2554"/>
    <w:qFormat/>
    <w:locked/>
    <w:uiPriority w:val="0"/>
    <w:rPr>
      <w:rFonts w:ascii="宋体" w:hAnsi="宋体" w:cs="宋体"/>
      <w:sz w:val="28"/>
      <w:szCs w:val="24"/>
    </w:rPr>
  </w:style>
  <w:style w:type="paragraph" w:customStyle="1" w:styleId="2554">
    <w:name w:val="样式N"/>
    <w:basedOn w:val="1"/>
    <w:link w:val="2553"/>
    <w:qFormat/>
    <w:uiPriority w:val="0"/>
    <w:pPr>
      <w:spacing w:line="660" w:lineRule="exact"/>
      <w:ind w:firstLine="560" w:firstLineChars="200"/>
    </w:pPr>
    <w:rPr>
      <w:rFonts w:ascii="宋体" w:hAnsi="宋体" w:eastAsia="宋体" w:cs="宋体"/>
      <w:kern w:val="0"/>
      <w:szCs w:val="24"/>
    </w:rPr>
  </w:style>
  <w:style w:type="character" w:customStyle="1" w:styleId="2555">
    <w:name w:val="全文 Char Char"/>
    <w:link w:val="2556"/>
    <w:qFormat/>
    <w:locked/>
    <w:uiPriority w:val="0"/>
    <w:rPr>
      <w:rFonts w:ascii="宋体" w:hAnsi="宋体" w:cs="宋体"/>
      <w:color w:val="000000"/>
      <w:sz w:val="24"/>
      <w:szCs w:val="24"/>
    </w:rPr>
  </w:style>
  <w:style w:type="paragraph" w:customStyle="1" w:styleId="2556">
    <w:name w:val="全文"/>
    <w:basedOn w:val="1"/>
    <w:link w:val="2555"/>
    <w:qFormat/>
    <w:uiPriority w:val="0"/>
    <w:pPr>
      <w:spacing w:beforeLines="50" w:line="360" w:lineRule="auto"/>
      <w:ind w:firstLine="480" w:firstLineChars="200"/>
    </w:pPr>
    <w:rPr>
      <w:rFonts w:ascii="宋体" w:hAnsi="宋体" w:eastAsia="宋体" w:cs="宋体"/>
      <w:color w:val="000000"/>
      <w:kern w:val="0"/>
      <w:sz w:val="24"/>
      <w:szCs w:val="24"/>
    </w:rPr>
  </w:style>
  <w:style w:type="character" w:customStyle="1" w:styleId="2557">
    <w:name w:val="样式 正文文本 + Times New Roman Char Char"/>
    <w:link w:val="2558"/>
    <w:qFormat/>
    <w:locked/>
    <w:uiPriority w:val="0"/>
    <w:rPr>
      <w:rFonts w:ascii="Arial" w:hAnsi="Arial" w:cs="宋体"/>
      <w:sz w:val="24"/>
      <w:szCs w:val="24"/>
    </w:rPr>
  </w:style>
  <w:style w:type="paragraph" w:customStyle="1" w:styleId="2558">
    <w:name w:val="样式 正文文本 + Times New Roman"/>
    <w:basedOn w:val="34"/>
    <w:link w:val="2557"/>
    <w:qFormat/>
    <w:uiPriority w:val="0"/>
    <w:pPr>
      <w:tabs>
        <w:tab w:val="left" w:pos="280"/>
      </w:tabs>
      <w:spacing w:before="120" w:line="360" w:lineRule="auto"/>
    </w:pPr>
    <w:rPr>
      <w:rFonts w:ascii="Arial" w:hAnsi="Arial" w:eastAsia="宋体" w:cs="宋体"/>
      <w:kern w:val="0"/>
      <w:sz w:val="24"/>
      <w:szCs w:val="24"/>
    </w:rPr>
  </w:style>
  <w:style w:type="character" w:customStyle="1" w:styleId="2559">
    <w:name w:val="样式23 Char Char Char"/>
    <w:qFormat/>
    <w:uiPriority w:val="0"/>
    <w:rPr>
      <w:rFonts w:hint="eastAsia" w:ascii="黑体" w:hAnsi="黑体" w:eastAsia="宋体"/>
      <w:b/>
      <w:color w:val="000000"/>
      <w:kern w:val="2"/>
      <w:sz w:val="21"/>
      <w:lang w:val="en-US" w:eastAsia="zh-CN" w:bidi="ar-SA"/>
    </w:rPr>
  </w:style>
  <w:style w:type="character" w:customStyle="1" w:styleId="2560">
    <w:name w:val="样式 标题 3 Char标题 13 Char标题 3 Char1标题 3 Char Char Char标题 3 Char... Char Char"/>
    <w:link w:val="2561"/>
    <w:qFormat/>
    <w:locked/>
    <w:uiPriority w:val="0"/>
    <w:rPr>
      <w:rFonts w:ascii="Arial" w:hAnsi="Arial" w:cs="宋体"/>
      <w:kern w:val="44"/>
      <w:sz w:val="24"/>
      <w:szCs w:val="44"/>
    </w:rPr>
  </w:style>
  <w:style w:type="paragraph" w:customStyle="1" w:styleId="2561">
    <w:name w:val="样式 标题 3 Char标题 13 Char标题 3 Char1标题 3 Char Char Char标题 3 Char..."/>
    <w:basedOn w:val="3"/>
    <w:link w:val="2560"/>
    <w:qFormat/>
    <w:uiPriority w:val="0"/>
    <w:pPr>
      <w:pageBreakBefore w:val="0"/>
      <w:tabs>
        <w:tab w:val="clear" w:pos="1080"/>
      </w:tabs>
      <w:spacing w:before="120" w:after="330" w:line="240" w:lineRule="auto"/>
      <w:ind w:left="0" w:firstLine="0"/>
      <w:jc w:val="left"/>
    </w:pPr>
    <w:rPr>
      <w:rFonts w:ascii="Arial" w:hAnsi="Arial" w:cs="宋体"/>
      <w:b w:val="0"/>
      <w:sz w:val="24"/>
      <w:szCs w:val="44"/>
    </w:rPr>
  </w:style>
  <w:style w:type="character" w:customStyle="1" w:styleId="2562">
    <w:name w:val="Char Char202"/>
    <w:qFormat/>
    <w:locked/>
    <w:uiPriority w:val="0"/>
    <w:rPr>
      <w:rFonts w:ascii="仿宋_GB2312" w:eastAsia="仿宋_GB2312"/>
      <w:kern w:val="2"/>
      <w:sz w:val="28"/>
      <w:lang w:val="en-US" w:eastAsia="zh-CN" w:bidi="ar-SA"/>
    </w:rPr>
  </w:style>
  <w:style w:type="character" w:customStyle="1" w:styleId="2563">
    <w:name w:val="样式7 Char Char"/>
    <w:link w:val="2564"/>
    <w:qFormat/>
    <w:locked/>
    <w:uiPriority w:val="0"/>
    <w:rPr>
      <w:rFonts w:ascii="Arial" w:hAnsi="Arial" w:cs="Arial"/>
      <w:sz w:val="24"/>
      <w:szCs w:val="24"/>
    </w:rPr>
  </w:style>
  <w:style w:type="paragraph" w:customStyle="1" w:styleId="2564">
    <w:name w:val="样式7"/>
    <w:basedOn w:val="5"/>
    <w:link w:val="2563"/>
    <w:qFormat/>
    <w:uiPriority w:val="0"/>
    <w:rPr>
      <w:spacing w:val="0"/>
      <w:kern w:val="0"/>
      <w:szCs w:val="24"/>
    </w:rPr>
  </w:style>
  <w:style w:type="character" w:customStyle="1" w:styleId="2565">
    <w:name w:val="HTML 预设格式 字符"/>
    <w:qFormat/>
    <w:uiPriority w:val="0"/>
    <w:rPr>
      <w:rFonts w:hint="eastAsia" w:ascii="宋体" w:hAnsi="宋体" w:eastAsia="宋体" w:cs="宋体"/>
      <w:color w:val="000000"/>
      <w:kern w:val="2"/>
      <w:sz w:val="21"/>
      <w:szCs w:val="21"/>
      <w:lang w:val="en-US" w:eastAsia="zh-CN" w:bidi="ar"/>
    </w:rPr>
  </w:style>
  <w:style w:type="character" w:customStyle="1" w:styleId="2566">
    <w:name w:val="表格正文 Char Char Char"/>
    <w:qFormat/>
    <w:locked/>
    <w:uiPriority w:val="0"/>
    <w:rPr>
      <w:rFonts w:ascii="Calibri" w:hAnsi="Calibri" w:eastAsia="宋体"/>
      <w:kern w:val="2"/>
      <w:sz w:val="21"/>
      <w:szCs w:val="24"/>
      <w:lang w:val="en-US" w:eastAsia="zh-CN" w:bidi="ar-SA"/>
    </w:rPr>
  </w:style>
  <w:style w:type="character" w:customStyle="1" w:styleId="2567">
    <w:name w:val="样式 文章正文 + 小四 Char Char"/>
    <w:link w:val="1101"/>
    <w:qFormat/>
    <w:locked/>
    <w:uiPriority w:val="0"/>
    <w:rPr>
      <w:kern w:val="2"/>
      <w:sz w:val="24"/>
    </w:rPr>
  </w:style>
  <w:style w:type="character" w:customStyle="1" w:styleId="2568">
    <w:name w:val="样式15 Char Char Char"/>
    <w:qFormat/>
    <w:uiPriority w:val="0"/>
    <w:rPr>
      <w:rFonts w:hint="eastAsia" w:ascii="宋体" w:hAnsi="宋体" w:eastAsia="黑体" w:cs="宋体"/>
      <w:kern w:val="44"/>
      <w:sz w:val="30"/>
      <w:szCs w:val="44"/>
      <w:lang w:val="en-US" w:eastAsia="zh-CN" w:bidi="ar-SA"/>
    </w:rPr>
  </w:style>
  <w:style w:type="character" w:customStyle="1" w:styleId="2569">
    <w:name w:val="Font Style44"/>
    <w:qFormat/>
    <w:uiPriority w:val="0"/>
    <w:rPr>
      <w:rFonts w:hint="default" w:ascii="Arial" w:hAnsi="Arial" w:eastAsia="宋体" w:cs="Arial"/>
      <w:kern w:val="2"/>
      <w:sz w:val="16"/>
      <w:szCs w:val="16"/>
      <w:lang w:val="en-US" w:eastAsia="zh-CN" w:bidi="ar"/>
    </w:rPr>
  </w:style>
  <w:style w:type="character" w:customStyle="1" w:styleId="2570">
    <w:name w:val="title11"/>
    <w:qFormat/>
    <w:uiPriority w:val="0"/>
    <w:rPr>
      <w:rFonts w:hint="eastAsia" w:ascii="宋体" w:hAnsi="宋体" w:eastAsia="宋体" w:cs="宋体"/>
      <w:kern w:val="2"/>
      <w:sz w:val="28"/>
      <w:szCs w:val="24"/>
      <w:lang w:val="en-US" w:eastAsia="zh-CN" w:bidi="ar"/>
    </w:rPr>
  </w:style>
  <w:style w:type="character" w:customStyle="1" w:styleId="2571">
    <w:name w:val="正文(首行缩进2字) Char Char Char"/>
    <w:qFormat/>
    <w:uiPriority w:val="0"/>
    <w:rPr>
      <w:rFonts w:hint="eastAsia" w:ascii="宋体" w:hAnsi="宋体" w:eastAsia="宋体" w:cs="宋体"/>
      <w:kern w:val="2"/>
      <w:sz w:val="28"/>
      <w:szCs w:val="24"/>
      <w:lang w:val="en-US" w:eastAsia="zh-CN" w:bidi="ar-SA"/>
    </w:rPr>
  </w:style>
  <w:style w:type="character" w:customStyle="1" w:styleId="2572">
    <w:name w:val="信息标题 Char"/>
    <w:link w:val="80"/>
    <w:qFormat/>
    <w:locked/>
    <w:uiPriority w:val="0"/>
    <w:rPr>
      <w:rFonts w:ascii="Arial" w:hAnsi="Arial"/>
      <w:sz w:val="24"/>
      <w:szCs w:val="24"/>
      <w:shd w:val="pct20" w:color="auto" w:fill="auto"/>
    </w:rPr>
  </w:style>
  <w:style w:type="character" w:customStyle="1" w:styleId="2573">
    <w:name w:val="样式 标题3YHY + 黑色 段前: 0.5 行 段后: 0.5 行 Char Char Char"/>
    <w:qFormat/>
    <w:uiPriority w:val="0"/>
    <w:rPr>
      <w:rFonts w:hint="eastAsia" w:ascii="宋体" w:hAnsi="宋体" w:eastAsia="宋体" w:cs="宋体"/>
      <w:b/>
      <w:bCs/>
      <w:color w:val="000000"/>
      <w:kern w:val="2"/>
      <w:sz w:val="24"/>
      <w:szCs w:val="24"/>
      <w:lang w:val="en-US" w:eastAsia="zh-CN" w:bidi="ar-SA"/>
    </w:rPr>
  </w:style>
  <w:style w:type="character" w:customStyle="1" w:styleId="2574">
    <w:name w:val="正文文本缩进 2 Char5"/>
    <w:qFormat/>
    <w:uiPriority w:val="0"/>
    <w:rPr>
      <w:rFonts w:hint="eastAsia" w:ascii="宋体" w:hAnsi="宋体" w:eastAsia="宋体" w:cs="宋体"/>
      <w:kern w:val="2"/>
      <w:sz w:val="28"/>
      <w:szCs w:val="24"/>
      <w:lang w:val="en-US" w:eastAsia="zh-CN" w:bidi="ar"/>
    </w:rPr>
  </w:style>
  <w:style w:type="character" w:customStyle="1" w:styleId="2575">
    <w:name w:val="白银正文 Char Char"/>
    <w:link w:val="2576"/>
    <w:qFormat/>
    <w:locked/>
    <w:uiPriority w:val="0"/>
    <w:rPr>
      <w:rFonts w:ascii="Calibri" w:hAnsi="Calibri" w:cs="宋体"/>
      <w:sz w:val="24"/>
    </w:rPr>
  </w:style>
  <w:style w:type="paragraph" w:customStyle="1" w:styleId="2576">
    <w:name w:val="白银正文"/>
    <w:basedOn w:val="1"/>
    <w:link w:val="2575"/>
    <w:qFormat/>
    <w:uiPriority w:val="0"/>
    <w:pPr>
      <w:spacing w:line="360" w:lineRule="auto"/>
      <w:ind w:firstLine="200" w:firstLineChars="200"/>
    </w:pPr>
    <w:rPr>
      <w:rFonts w:ascii="Calibri" w:hAnsi="Calibri" w:eastAsia="宋体" w:cs="宋体"/>
      <w:kern w:val="0"/>
      <w:sz w:val="24"/>
    </w:rPr>
  </w:style>
  <w:style w:type="character" w:customStyle="1" w:styleId="2577">
    <w:name w:val="ued21"/>
    <w:qFormat/>
    <w:uiPriority w:val="0"/>
    <w:rPr>
      <w:rFonts w:hint="eastAsia" w:ascii="宋体" w:hAnsi="宋体" w:eastAsia="宋体" w:cs="宋体"/>
      <w:color w:val="000000"/>
      <w:kern w:val="2"/>
      <w:sz w:val="18"/>
      <w:szCs w:val="18"/>
      <w:lang w:val="en-US" w:eastAsia="zh-CN" w:bidi="ar"/>
    </w:rPr>
  </w:style>
  <w:style w:type="character" w:customStyle="1" w:styleId="2578">
    <w:name w:val="样式 纯文本 + Times New Roman 四号 Char Char"/>
    <w:link w:val="2579"/>
    <w:qFormat/>
    <w:locked/>
    <w:uiPriority w:val="0"/>
    <w:rPr>
      <w:rFonts w:ascii="宋体" w:hAnsi="宋体" w:cs="Courier New"/>
      <w:sz w:val="28"/>
      <w:szCs w:val="21"/>
      <w:lang w:val="en-GB"/>
    </w:rPr>
  </w:style>
  <w:style w:type="paragraph" w:customStyle="1" w:styleId="2579">
    <w:name w:val="样式 纯文本 + Times New Roman 四号"/>
    <w:basedOn w:val="46"/>
    <w:link w:val="2578"/>
    <w:qFormat/>
    <w:uiPriority w:val="0"/>
    <w:pPr>
      <w:ind w:firstLine="640" w:firstLineChars="200"/>
    </w:pPr>
    <w:rPr>
      <w:rFonts w:hAnsi="宋体" w:cs="Courier New"/>
      <w:kern w:val="0"/>
      <w:sz w:val="28"/>
      <w:szCs w:val="21"/>
      <w:lang w:val="en-GB"/>
    </w:rPr>
  </w:style>
  <w:style w:type="character" w:customStyle="1" w:styleId="2580">
    <w:name w:val="正文段 Char2"/>
    <w:link w:val="2581"/>
    <w:qFormat/>
    <w:locked/>
    <w:uiPriority w:val="0"/>
    <w:rPr>
      <w:rFonts w:ascii="仿宋_GB2312" w:hAnsi="宋体" w:eastAsia="仿宋_GB2312" w:cs="宋体"/>
      <w:sz w:val="28"/>
      <w:szCs w:val="18"/>
    </w:rPr>
  </w:style>
  <w:style w:type="paragraph" w:customStyle="1" w:styleId="2581">
    <w:name w:val="正文段"/>
    <w:basedOn w:val="1"/>
    <w:link w:val="2580"/>
    <w:qFormat/>
    <w:uiPriority w:val="0"/>
    <w:pPr>
      <w:ind w:firstLine="536" w:firstLineChars="200"/>
    </w:pPr>
    <w:rPr>
      <w:rFonts w:ascii="仿宋_GB2312" w:hAnsi="宋体" w:cs="宋体"/>
      <w:kern w:val="0"/>
      <w:szCs w:val="18"/>
    </w:rPr>
  </w:style>
  <w:style w:type="character" w:customStyle="1" w:styleId="2582">
    <w:name w:val="章题名 Char Char"/>
    <w:qFormat/>
    <w:uiPriority w:val="0"/>
    <w:rPr>
      <w:rFonts w:hint="eastAsia" w:ascii="宋体" w:hAnsi="宋体" w:eastAsia="宋体" w:cs="宋体"/>
      <w:b/>
      <w:bCs/>
      <w:kern w:val="44"/>
      <w:sz w:val="44"/>
      <w:szCs w:val="44"/>
      <w:lang w:val="en-US" w:eastAsia="zh-CN" w:bidi="ar-SA"/>
    </w:rPr>
  </w:style>
  <w:style w:type="character" w:customStyle="1" w:styleId="2583">
    <w:name w:val="样式 样式 样式 仿宋_GB2312 黑色 行距: 固定值 30 磅 + 首行缩进:  2 字符 + (符号) 宋体 加粗 Char Char"/>
    <w:link w:val="2584"/>
    <w:qFormat/>
    <w:locked/>
    <w:uiPriority w:val="0"/>
    <w:rPr>
      <w:rFonts w:ascii="仿宋_GB2312" w:hAnsi="仿宋_GB2312" w:eastAsia="仿宋_GB2312" w:cs="宋体"/>
      <w:b/>
      <w:bCs/>
      <w:sz w:val="28"/>
      <w:szCs w:val="28"/>
    </w:rPr>
  </w:style>
  <w:style w:type="paragraph" w:customStyle="1" w:styleId="2584">
    <w:name w:val="样式 样式 样式 仿宋_GB2312 黑色 行距: 固定值 30 磅 + 首行缩进:  2 字符 + (符号) 宋体 加粗"/>
    <w:basedOn w:val="1"/>
    <w:link w:val="2583"/>
    <w:qFormat/>
    <w:uiPriority w:val="0"/>
    <w:pPr>
      <w:spacing w:line="600" w:lineRule="exact"/>
      <w:ind w:firstLine="200" w:firstLineChars="200"/>
    </w:pPr>
    <w:rPr>
      <w:rFonts w:ascii="仿宋_GB2312" w:hAnsi="仿宋_GB2312" w:cs="宋体"/>
      <w:b/>
      <w:bCs/>
      <w:kern w:val="0"/>
      <w:szCs w:val="28"/>
    </w:rPr>
  </w:style>
  <w:style w:type="character" w:customStyle="1" w:styleId="2585">
    <w:name w:val="样式51 Char Char"/>
    <w:link w:val="2586"/>
    <w:qFormat/>
    <w:locked/>
    <w:uiPriority w:val="0"/>
    <w:rPr>
      <w:rFonts w:ascii="宋体" w:hAnsi="宋体" w:cs="宋体"/>
      <w:sz w:val="24"/>
      <w:szCs w:val="24"/>
    </w:rPr>
  </w:style>
  <w:style w:type="paragraph" w:customStyle="1" w:styleId="2586">
    <w:name w:val="样式51"/>
    <w:basedOn w:val="1"/>
    <w:link w:val="2585"/>
    <w:qFormat/>
    <w:uiPriority w:val="0"/>
    <w:pPr>
      <w:spacing w:line="360" w:lineRule="auto"/>
      <w:ind w:firstLine="480" w:firstLineChars="200"/>
    </w:pPr>
    <w:rPr>
      <w:rFonts w:ascii="宋体" w:hAnsi="宋体" w:eastAsia="宋体" w:cs="宋体"/>
      <w:kern w:val="0"/>
      <w:sz w:val="24"/>
      <w:szCs w:val="24"/>
    </w:rPr>
  </w:style>
  <w:style w:type="character" w:customStyle="1" w:styleId="2587">
    <w:name w:val="标题 8 Char2"/>
    <w:qFormat/>
    <w:uiPriority w:val="0"/>
    <w:rPr>
      <w:rFonts w:hint="default" w:ascii="Arial" w:hAnsi="Arial" w:eastAsia="黑体" w:cs="Times New Roman"/>
      <w:kern w:val="0"/>
      <w:sz w:val="24"/>
      <w:szCs w:val="21"/>
      <w:lang w:val="en-US" w:eastAsia="zh-CN" w:bidi="ar-SA"/>
    </w:rPr>
  </w:style>
  <w:style w:type="character" w:customStyle="1" w:styleId="2588">
    <w:name w:val="样式 标题 2 + 黑体 Char Char"/>
    <w:link w:val="2589"/>
    <w:qFormat/>
    <w:locked/>
    <w:uiPriority w:val="0"/>
    <w:rPr>
      <w:rFonts w:ascii="黑体" w:hAnsi="黑体" w:eastAsia="黑体"/>
      <w:b/>
      <w:bCs/>
      <w:sz w:val="28"/>
      <w:szCs w:val="32"/>
      <w:lang w:val="zh-CN"/>
    </w:rPr>
  </w:style>
  <w:style w:type="paragraph" w:customStyle="1" w:styleId="2589">
    <w:name w:val="样式 标题 2 + 黑体"/>
    <w:basedOn w:val="4"/>
    <w:link w:val="2588"/>
    <w:qFormat/>
    <w:uiPriority w:val="0"/>
    <w:pPr>
      <w:tabs>
        <w:tab w:val="clear" w:pos="567"/>
      </w:tabs>
      <w:adjustRightInd w:val="0"/>
      <w:snapToGrid w:val="0"/>
      <w:spacing w:before="0" w:after="0" w:line="360" w:lineRule="auto"/>
      <w:ind w:left="0" w:firstLine="0"/>
    </w:pPr>
    <w:rPr>
      <w:rFonts w:hAnsi="黑体"/>
      <w:b/>
      <w:bCs/>
      <w:kern w:val="0"/>
      <w:szCs w:val="32"/>
      <w:lang w:val="zh-CN"/>
    </w:rPr>
  </w:style>
  <w:style w:type="character" w:customStyle="1" w:styleId="2590">
    <w:name w:val="样式61 Char Char"/>
    <w:link w:val="2591"/>
    <w:qFormat/>
    <w:locked/>
    <w:uiPriority w:val="0"/>
    <w:rPr>
      <w:rFonts w:ascii="宋体" w:hAnsi="宋体" w:cs="宋体"/>
      <w:color w:val="000000"/>
      <w:sz w:val="24"/>
      <w:szCs w:val="24"/>
    </w:rPr>
  </w:style>
  <w:style w:type="paragraph" w:customStyle="1" w:styleId="2591">
    <w:name w:val="样式61"/>
    <w:basedOn w:val="1"/>
    <w:link w:val="2590"/>
    <w:qFormat/>
    <w:uiPriority w:val="0"/>
    <w:pPr>
      <w:spacing w:line="360" w:lineRule="auto"/>
      <w:ind w:firstLine="480"/>
    </w:pPr>
    <w:rPr>
      <w:rFonts w:ascii="宋体" w:hAnsi="宋体" w:eastAsia="宋体" w:cs="宋体"/>
      <w:color w:val="000000"/>
      <w:kern w:val="0"/>
      <w:sz w:val="24"/>
      <w:szCs w:val="24"/>
    </w:rPr>
  </w:style>
  <w:style w:type="character" w:customStyle="1" w:styleId="2592">
    <w:name w:val="表头YHY Char Char"/>
    <w:link w:val="2593"/>
    <w:qFormat/>
    <w:locked/>
    <w:uiPriority w:val="0"/>
    <w:rPr>
      <w:rFonts w:ascii="宋体" w:hAnsi="宋体" w:eastAsia="黑体"/>
      <w:color w:val="000000"/>
      <w:szCs w:val="24"/>
    </w:rPr>
  </w:style>
  <w:style w:type="paragraph" w:customStyle="1" w:styleId="2593">
    <w:name w:val="表头YHY"/>
    <w:basedOn w:val="8"/>
    <w:link w:val="2592"/>
    <w:qFormat/>
    <w:uiPriority w:val="0"/>
    <w:pPr>
      <w:keepNext w:val="0"/>
      <w:keepLines w:val="0"/>
      <w:spacing w:before="0" w:after="0" w:line="240" w:lineRule="auto"/>
      <w:ind w:left="0" w:firstLine="0"/>
      <w:jc w:val="center"/>
    </w:pPr>
    <w:rPr>
      <w:rFonts w:ascii="宋体" w:hAnsi="宋体" w:eastAsia="黑体"/>
      <w:b w:val="0"/>
      <w:bCs w:val="0"/>
      <w:color w:val="000000"/>
      <w:kern w:val="0"/>
      <w:sz w:val="20"/>
      <w:szCs w:val="24"/>
    </w:rPr>
  </w:style>
  <w:style w:type="character" w:customStyle="1" w:styleId="2594">
    <w:name w:val="Char Char92"/>
    <w:qFormat/>
    <w:uiPriority w:val="0"/>
    <w:rPr>
      <w:rFonts w:hint="eastAsia" w:ascii="宋体" w:hAnsi="宋体" w:eastAsia="宋体" w:cs="宋体"/>
      <w:kern w:val="2"/>
      <w:sz w:val="18"/>
      <w:szCs w:val="24"/>
      <w:lang w:val="en-US" w:eastAsia="zh-CN" w:bidi="ar-SA"/>
    </w:rPr>
  </w:style>
  <w:style w:type="character" w:customStyle="1" w:styleId="2595">
    <w:name w:val="表 Char Char"/>
    <w:qFormat/>
    <w:locked/>
    <w:uiPriority w:val="0"/>
    <w:rPr>
      <w:rFonts w:eastAsia="宋体"/>
      <w:b/>
      <w:bCs/>
      <w:sz w:val="28"/>
      <w:szCs w:val="32"/>
    </w:rPr>
  </w:style>
  <w:style w:type="character" w:customStyle="1" w:styleId="2596">
    <w:name w:val="样式 标题 3标题 13ReHead 3 WSAh3B HeadH3..标题 3 Char Char标题 3 ... Char Char"/>
    <w:link w:val="2597"/>
    <w:qFormat/>
    <w:locked/>
    <w:uiPriority w:val="0"/>
    <w:rPr>
      <w:rFonts w:ascii="宋体" w:hAnsi="宋体"/>
      <w:b/>
      <w:bCs/>
      <w:spacing w:val="-2"/>
      <w:sz w:val="24"/>
      <w:szCs w:val="24"/>
    </w:rPr>
  </w:style>
  <w:style w:type="paragraph" w:customStyle="1" w:styleId="2597">
    <w:name w:val="样式 标题 3标题 13ReHead 3 WSAh3B HeadH3..标题 3 Char Char标题 3 ..."/>
    <w:basedOn w:val="6"/>
    <w:link w:val="2596"/>
    <w:qFormat/>
    <w:uiPriority w:val="0"/>
    <w:pPr>
      <w:tabs>
        <w:tab w:val="left" w:pos="1022"/>
        <w:tab w:val="left" w:pos="1080"/>
        <w:tab w:val="clear" w:pos="1789"/>
      </w:tabs>
      <w:spacing w:before="0" w:beforeLines="50" w:after="0" w:line="360" w:lineRule="auto"/>
      <w:ind w:left="1260" w:hanging="420"/>
    </w:pPr>
    <w:rPr>
      <w:rFonts w:ascii="宋体" w:hAnsi="宋体" w:eastAsia="宋体"/>
      <w:spacing w:val="-2"/>
      <w:kern w:val="0"/>
      <w:szCs w:val="24"/>
    </w:rPr>
  </w:style>
  <w:style w:type="character" w:customStyle="1" w:styleId="2598">
    <w:name w:val="样式 生物质发电正文 + Times New Roman 加粗 首行缩进:  2 字符 Char Char"/>
    <w:link w:val="2599"/>
    <w:qFormat/>
    <w:locked/>
    <w:uiPriority w:val="0"/>
    <w:rPr>
      <w:rFonts w:ascii="宋体" w:hAnsi="宋体" w:cs="宋体"/>
      <w:bCs/>
      <w:sz w:val="24"/>
      <w:szCs w:val="24"/>
    </w:rPr>
  </w:style>
  <w:style w:type="paragraph" w:customStyle="1" w:styleId="2599">
    <w:name w:val="样式 生物质发电正文 + Times New Roman 加粗 首行缩进:  2 字符"/>
    <w:basedOn w:val="1"/>
    <w:link w:val="2598"/>
    <w:qFormat/>
    <w:uiPriority w:val="0"/>
    <w:pPr>
      <w:widowControl/>
      <w:suppressAutoHyphens/>
      <w:adjustRightInd w:val="0"/>
      <w:snapToGrid w:val="0"/>
      <w:spacing w:line="324" w:lineRule="auto"/>
      <w:ind w:firstLine="482" w:firstLineChars="200"/>
    </w:pPr>
    <w:rPr>
      <w:rFonts w:ascii="宋体" w:hAnsi="宋体" w:eastAsia="宋体" w:cs="宋体"/>
      <w:bCs/>
      <w:kern w:val="0"/>
      <w:sz w:val="24"/>
      <w:szCs w:val="24"/>
    </w:rPr>
  </w:style>
  <w:style w:type="character" w:customStyle="1" w:styleId="2600">
    <w:name w:val="图标标题 Char Char"/>
    <w:link w:val="2601"/>
    <w:qFormat/>
    <w:locked/>
    <w:uiPriority w:val="0"/>
    <w:rPr>
      <w:rFonts w:ascii="宋体" w:hAnsi="宋体" w:eastAsia="黑体" w:cs="宋体"/>
      <w:sz w:val="24"/>
      <w:szCs w:val="24"/>
    </w:rPr>
  </w:style>
  <w:style w:type="paragraph" w:customStyle="1" w:styleId="2601">
    <w:name w:val="图标标题"/>
    <w:basedOn w:val="1"/>
    <w:link w:val="2600"/>
    <w:qFormat/>
    <w:uiPriority w:val="0"/>
    <w:pPr>
      <w:spacing w:line="360" w:lineRule="auto"/>
      <w:jc w:val="center"/>
    </w:pPr>
    <w:rPr>
      <w:rFonts w:ascii="宋体" w:hAnsi="宋体" w:eastAsia="黑体" w:cs="宋体"/>
      <w:kern w:val="0"/>
      <w:sz w:val="24"/>
      <w:szCs w:val="24"/>
    </w:rPr>
  </w:style>
  <w:style w:type="character" w:customStyle="1" w:styleId="2602">
    <w:name w:val="样式1 Char Char Char"/>
    <w:qFormat/>
    <w:uiPriority w:val="0"/>
    <w:rPr>
      <w:rFonts w:hint="eastAsia" w:ascii="方正大标宋简体" w:eastAsia="方正大标宋简体"/>
      <w:b/>
      <w:kern w:val="2"/>
      <w:sz w:val="44"/>
      <w:lang w:val="en-US" w:eastAsia="zh-CN" w:bidi="ar-SA"/>
    </w:rPr>
  </w:style>
  <w:style w:type="character" w:customStyle="1" w:styleId="2603">
    <w:name w:val="3级（次）标题 Char Char"/>
    <w:qFormat/>
    <w:locked/>
    <w:uiPriority w:val="0"/>
    <w:rPr>
      <w:rFonts w:ascii="宋体" w:hAnsi="宋体" w:eastAsia="宋体" w:cs="宋体"/>
      <w:b/>
      <w:sz w:val="24"/>
      <w:szCs w:val="24"/>
    </w:rPr>
  </w:style>
  <w:style w:type="character" w:customStyle="1" w:styleId="2604">
    <w:name w:val="样式41 Char Char"/>
    <w:link w:val="2605"/>
    <w:qFormat/>
    <w:locked/>
    <w:uiPriority w:val="0"/>
    <w:rPr>
      <w:rFonts w:ascii="宋体" w:hAnsi="宋体" w:cs="宋体"/>
      <w:bCs/>
      <w:sz w:val="24"/>
      <w:szCs w:val="24"/>
    </w:rPr>
  </w:style>
  <w:style w:type="paragraph" w:customStyle="1" w:styleId="2605">
    <w:name w:val="样式41"/>
    <w:basedOn w:val="1"/>
    <w:link w:val="2604"/>
    <w:qFormat/>
    <w:uiPriority w:val="0"/>
    <w:pPr>
      <w:keepNext/>
      <w:keepLines/>
      <w:tabs>
        <w:tab w:val="left" w:pos="2175"/>
      </w:tabs>
      <w:spacing w:beforeLines="50" w:line="360" w:lineRule="auto"/>
      <w:outlineLvl w:val="3"/>
    </w:pPr>
    <w:rPr>
      <w:rFonts w:ascii="宋体" w:hAnsi="宋体" w:eastAsia="宋体" w:cs="宋体"/>
      <w:bCs/>
      <w:kern w:val="0"/>
      <w:sz w:val="24"/>
      <w:szCs w:val="24"/>
    </w:rPr>
  </w:style>
  <w:style w:type="character" w:customStyle="1" w:styleId="2606">
    <w:name w:val="文本正文 Char Char"/>
    <w:qFormat/>
    <w:locked/>
    <w:uiPriority w:val="0"/>
    <w:rPr>
      <w:rFonts w:ascii="宋体" w:hAnsi="宋体" w:eastAsia="宋体" w:cs="宋体"/>
      <w:sz w:val="28"/>
      <w:szCs w:val="24"/>
    </w:rPr>
  </w:style>
  <w:style w:type="character" w:customStyle="1" w:styleId="2607">
    <w:name w:val="样式91 Char Char"/>
    <w:link w:val="2608"/>
    <w:qFormat/>
    <w:locked/>
    <w:uiPriority w:val="0"/>
    <w:rPr>
      <w:rFonts w:ascii="宋体" w:hAnsi="宋体" w:cs="宋体"/>
      <w:sz w:val="24"/>
      <w:szCs w:val="24"/>
    </w:rPr>
  </w:style>
  <w:style w:type="paragraph" w:customStyle="1" w:styleId="2608">
    <w:name w:val="样式91"/>
    <w:basedOn w:val="5"/>
    <w:link w:val="2607"/>
    <w:qFormat/>
    <w:uiPriority w:val="0"/>
    <w:pPr>
      <w:widowControl/>
      <w:overflowPunct w:val="0"/>
      <w:autoSpaceDE w:val="0"/>
      <w:autoSpaceDN w:val="0"/>
      <w:adjustRightInd w:val="0"/>
      <w:spacing w:beforeLines="50" w:line="360" w:lineRule="auto"/>
      <w:ind w:firstLine="480"/>
    </w:pPr>
    <w:rPr>
      <w:rFonts w:ascii="宋体" w:hAnsi="宋体" w:cs="宋体"/>
      <w:spacing w:val="0"/>
      <w:kern w:val="0"/>
      <w:szCs w:val="24"/>
    </w:rPr>
  </w:style>
  <w:style w:type="character" w:customStyle="1" w:styleId="2609">
    <w:name w:val="Char Char251"/>
    <w:qFormat/>
    <w:locked/>
    <w:uiPriority w:val="0"/>
    <w:rPr>
      <w:rFonts w:ascii="宋体" w:hAnsi="宋体" w:eastAsia="宋体" w:cs="宋体"/>
      <w:kern w:val="2"/>
      <w:sz w:val="18"/>
      <w:szCs w:val="18"/>
      <w:lang w:val="en-US" w:eastAsia="zh-CN" w:bidi="ar-SA"/>
    </w:rPr>
  </w:style>
  <w:style w:type="character" w:customStyle="1" w:styleId="2610">
    <w:name w:val="style3"/>
    <w:qFormat/>
    <w:uiPriority w:val="0"/>
    <w:rPr>
      <w:rFonts w:hint="eastAsia" w:ascii="宋体" w:hAnsi="宋体" w:eastAsia="宋体" w:cs="宋体"/>
      <w:kern w:val="2"/>
      <w:sz w:val="28"/>
      <w:szCs w:val="24"/>
      <w:lang w:val="en-US" w:eastAsia="zh-CN" w:bidi="ar"/>
    </w:rPr>
  </w:style>
  <w:style w:type="character" w:customStyle="1" w:styleId="2611">
    <w:name w:val="Char Char221"/>
    <w:qFormat/>
    <w:uiPriority w:val="0"/>
    <w:rPr>
      <w:rFonts w:hint="eastAsia" w:ascii="宋体" w:hAnsi="宋体" w:eastAsia="宋体" w:cs="宋体"/>
      <w:snapToGrid w:val="0"/>
      <w:kern w:val="2"/>
      <w:sz w:val="18"/>
      <w:szCs w:val="18"/>
      <w:lang w:val="en-US" w:eastAsia="zh-CN" w:bidi="ar-SA"/>
    </w:rPr>
  </w:style>
  <w:style w:type="character" w:customStyle="1" w:styleId="2612">
    <w:name w:val="样式 标题 2 + 段前: 0.5 行 Char Char"/>
    <w:link w:val="2613"/>
    <w:qFormat/>
    <w:locked/>
    <w:uiPriority w:val="0"/>
    <w:rPr>
      <w:rFonts w:ascii="宋体" w:hAnsi="宋体" w:cs="宋体"/>
      <w:b/>
      <w:bCs/>
      <w:color w:val="000000"/>
      <w:sz w:val="32"/>
      <w:szCs w:val="32"/>
    </w:rPr>
  </w:style>
  <w:style w:type="paragraph" w:customStyle="1" w:styleId="2613">
    <w:name w:val="样式 标题 2 + 段前: 0.5 行"/>
    <w:basedOn w:val="4"/>
    <w:link w:val="2612"/>
    <w:qFormat/>
    <w:uiPriority w:val="0"/>
    <w:pPr>
      <w:keepNext w:val="0"/>
      <w:tabs>
        <w:tab w:val="clear" w:pos="567"/>
      </w:tabs>
      <w:spacing w:before="214" w:after="0" w:line="360" w:lineRule="auto"/>
      <w:ind w:left="0" w:firstLine="0"/>
    </w:pPr>
    <w:rPr>
      <w:rFonts w:ascii="宋体" w:hAnsi="宋体" w:eastAsia="宋体" w:cs="宋体"/>
      <w:b/>
      <w:bCs/>
      <w:color w:val="000000"/>
      <w:kern w:val="0"/>
      <w:sz w:val="32"/>
      <w:szCs w:val="32"/>
    </w:rPr>
  </w:style>
  <w:style w:type="character" w:customStyle="1" w:styleId="2614">
    <w:name w:val="WENZHANG Char Char Char"/>
    <w:link w:val="2615"/>
    <w:qFormat/>
    <w:locked/>
    <w:uiPriority w:val="0"/>
    <w:rPr>
      <w:rFonts w:ascii="宋体" w:hAnsi="宋体" w:cs="宋体"/>
      <w:color w:val="000000"/>
      <w:sz w:val="24"/>
      <w:szCs w:val="24"/>
    </w:rPr>
  </w:style>
  <w:style w:type="paragraph" w:customStyle="1" w:styleId="2615">
    <w:name w:val="WENZHANG"/>
    <w:basedOn w:val="1"/>
    <w:link w:val="2614"/>
    <w:qFormat/>
    <w:uiPriority w:val="0"/>
    <w:pPr>
      <w:spacing w:beforeLines="50" w:line="360" w:lineRule="auto"/>
      <w:ind w:firstLine="200" w:firstLineChars="200"/>
    </w:pPr>
    <w:rPr>
      <w:rFonts w:ascii="宋体" w:hAnsi="宋体" w:eastAsia="宋体" w:cs="宋体"/>
      <w:color w:val="000000"/>
      <w:kern w:val="0"/>
      <w:sz w:val="24"/>
      <w:szCs w:val="24"/>
    </w:rPr>
  </w:style>
  <w:style w:type="character" w:customStyle="1" w:styleId="2616">
    <w:name w:val="德胜正文 Char Char"/>
    <w:link w:val="2617"/>
    <w:qFormat/>
    <w:locked/>
    <w:uiPriority w:val="0"/>
    <w:rPr>
      <w:rFonts w:ascii="宋体" w:hAnsi="宋体" w:cs="宋体"/>
      <w:snapToGrid/>
      <w:color w:val="0000FF"/>
      <w:sz w:val="24"/>
      <w:szCs w:val="24"/>
    </w:rPr>
  </w:style>
  <w:style w:type="paragraph" w:customStyle="1" w:styleId="2617">
    <w:name w:val="德胜正文"/>
    <w:basedOn w:val="1"/>
    <w:link w:val="2616"/>
    <w:qFormat/>
    <w:uiPriority w:val="0"/>
    <w:pPr>
      <w:adjustRightInd w:val="0"/>
      <w:snapToGrid w:val="0"/>
      <w:spacing w:line="360" w:lineRule="auto"/>
      <w:ind w:firstLine="200" w:firstLineChars="200"/>
    </w:pPr>
    <w:rPr>
      <w:rFonts w:ascii="宋体" w:hAnsi="宋体" w:eastAsia="宋体" w:cs="宋体"/>
      <w:color w:val="0000FF"/>
      <w:kern w:val="0"/>
      <w:sz w:val="24"/>
      <w:szCs w:val="24"/>
    </w:rPr>
  </w:style>
  <w:style w:type="character" w:customStyle="1" w:styleId="2618">
    <w:name w:val="contents"/>
    <w:qFormat/>
    <w:uiPriority w:val="0"/>
    <w:rPr>
      <w:rFonts w:hint="eastAsia" w:ascii="宋体" w:hAnsi="宋体" w:eastAsia="黑体" w:cs="Courier New"/>
      <w:kern w:val="2"/>
      <w:sz w:val="24"/>
      <w:szCs w:val="32"/>
      <w:lang w:val="en-US" w:eastAsia="zh-CN" w:bidi="ar-SA"/>
    </w:rPr>
  </w:style>
  <w:style w:type="character" w:customStyle="1" w:styleId="2619">
    <w:name w:val="表格居中 Char Char"/>
    <w:qFormat/>
    <w:uiPriority w:val="0"/>
    <w:rPr>
      <w:rFonts w:hint="eastAsia" w:ascii="宋体" w:hAnsi="宋体" w:eastAsia="宋体" w:cs="宋体"/>
      <w:kern w:val="2"/>
      <w:sz w:val="21"/>
      <w:szCs w:val="24"/>
      <w:lang w:val="en-US" w:eastAsia="zh-CN" w:bidi="ar-SA"/>
    </w:rPr>
  </w:style>
  <w:style w:type="character" w:customStyle="1" w:styleId="2620">
    <w:name w:val="正文文字缩进 2 Char Char2"/>
    <w:qFormat/>
    <w:uiPriority w:val="0"/>
    <w:rPr>
      <w:rFonts w:hint="eastAsia" w:ascii="宋体" w:hAnsi="宋体" w:eastAsia="宋体" w:cs="宋体"/>
      <w:kern w:val="2"/>
      <w:sz w:val="24"/>
      <w:szCs w:val="28"/>
      <w:lang w:val="en-US" w:eastAsia="zh-CN" w:bidi="ar-SA"/>
    </w:rPr>
  </w:style>
  <w:style w:type="character" w:customStyle="1" w:styleId="2621">
    <w:name w:val="样式44 Char"/>
    <w:qFormat/>
    <w:locked/>
    <w:uiPriority w:val="0"/>
    <w:rPr>
      <w:rFonts w:hint="eastAsia" w:ascii="黑体" w:hAnsi="黑体" w:eastAsia="黑体"/>
      <w:b/>
      <w:bCs/>
      <w:kern w:val="2"/>
      <w:sz w:val="28"/>
      <w:szCs w:val="28"/>
      <w:lang w:val="en-US" w:eastAsia="zh-CN" w:bidi="ar-SA"/>
    </w:rPr>
  </w:style>
  <w:style w:type="character" w:customStyle="1" w:styleId="2622">
    <w:name w:val="批注框文本 字符"/>
    <w:qFormat/>
    <w:uiPriority w:val="0"/>
    <w:rPr>
      <w:rFonts w:hint="eastAsia" w:ascii="宋体" w:hAnsi="宋体" w:eastAsia="宋体" w:cs="宋体"/>
      <w:kern w:val="2"/>
      <w:sz w:val="18"/>
      <w:szCs w:val="18"/>
      <w:lang w:val="en-US" w:eastAsia="zh-CN" w:bidi="ar"/>
    </w:rPr>
  </w:style>
  <w:style w:type="character" w:customStyle="1" w:styleId="2623">
    <w:name w:val="文章 Char1"/>
    <w:qFormat/>
    <w:uiPriority w:val="0"/>
    <w:rPr>
      <w:rFonts w:hint="eastAsia" w:ascii="宋体" w:hAnsi="宋体" w:eastAsia="宋体" w:cs="宋体"/>
      <w:kern w:val="2"/>
      <w:sz w:val="24"/>
      <w:szCs w:val="24"/>
      <w:lang w:val="en-US" w:eastAsia="zh-CN" w:bidi="ar"/>
    </w:rPr>
  </w:style>
  <w:style w:type="character" w:customStyle="1" w:styleId="2624">
    <w:name w:val="正文001 Char Char"/>
    <w:qFormat/>
    <w:locked/>
    <w:uiPriority w:val="0"/>
    <w:rPr>
      <w:rFonts w:ascii="宋体" w:hAnsi="宋体" w:eastAsia="宋体" w:cs="宋体"/>
      <w:kern w:val="2"/>
      <w:sz w:val="24"/>
      <w:szCs w:val="24"/>
      <w:lang w:val="en-US" w:eastAsia="zh-CN" w:bidi="ar-SA"/>
    </w:rPr>
  </w:style>
  <w:style w:type="character" w:customStyle="1" w:styleId="2625">
    <w:name w:val="p21"/>
    <w:qFormat/>
    <w:uiPriority w:val="0"/>
    <w:rPr>
      <w:rFonts w:hint="eastAsia" w:ascii="宋体" w:hAnsi="宋体" w:eastAsia="宋体" w:cs="宋体"/>
      <w:kern w:val="2"/>
      <w:sz w:val="24"/>
      <w:szCs w:val="20"/>
      <w:lang w:val="en-US" w:eastAsia="zh-CN" w:bidi="ar"/>
    </w:rPr>
  </w:style>
  <w:style w:type="character" w:customStyle="1" w:styleId="2626">
    <w:name w:val="文本块 Char Char Char"/>
    <w:qFormat/>
    <w:uiPriority w:val="0"/>
    <w:rPr>
      <w:rFonts w:hint="eastAsia" w:ascii="宋体" w:hAnsi="宋体" w:eastAsia="宋体" w:cs="宋体"/>
      <w:kern w:val="2"/>
      <w:sz w:val="21"/>
      <w:szCs w:val="24"/>
      <w:lang w:val="en-US" w:eastAsia="zh-CN" w:bidi="ar-SA"/>
    </w:rPr>
  </w:style>
  <w:style w:type="character" w:customStyle="1" w:styleId="2627">
    <w:name w:val="海南化工城正文 Char Char"/>
    <w:link w:val="2628"/>
    <w:qFormat/>
    <w:locked/>
    <w:uiPriority w:val="0"/>
    <w:rPr>
      <w:rFonts w:ascii="宋体" w:hAnsi="宋体" w:cs="宋体"/>
      <w:sz w:val="24"/>
      <w:szCs w:val="24"/>
    </w:rPr>
  </w:style>
  <w:style w:type="paragraph" w:customStyle="1" w:styleId="2628">
    <w:name w:val="海南化工城正文"/>
    <w:basedOn w:val="1"/>
    <w:link w:val="2627"/>
    <w:qFormat/>
    <w:uiPriority w:val="0"/>
    <w:pPr>
      <w:spacing w:line="324" w:lineRule="auto"/>
      <w:ind w:firstLine="480" w:firstLineChars="200"/>
    </w:pPr>
    <w:rPr>
      <w:rFonts w:ascii="宋体" w:hAnsi="宋体" w:eastAsia="宋体" w:cs="宋体"/>
      <w:kern w:val="0"/>
      <w:sz w:val="24"/>
      <w:szCs w:val="24"/>
    </w:rPr>
  </w:style>
  <w:style w:type="character" w:customStyle="1" w:styleId="2629">
    <w:name w:val="尾注文本 Char3"/>
    <w:qFormat/>
    <w:uiPriority w:val="0"/>
    <w:rPr>
      <w:rFonts w:hint="eastAsia" w:ascii="宋体" w:hAnsi="宋体" w:eastAsia="宋体" w:cs="宋体"/>
      <w:kern w:val="2"/>
      <w:sz w:val="28"/>
      <w:szCs w:val="24"/>
      <w:lang w:val="en-US" w:eastAsia="zh-CN" w:bidi="ar"/>
    </w:rPr>
  </w:style>
  <w:style w:type="character" w:customStyle="1" w:styleId="2630">
    <w:name w:val="注释标题 Char3"/>
    <w:qFormat/>
    <w:uiPriority w:val="0"/>
    <w:rPr>
      <w:rFonts w:hint="eastAsia" w:ascii="宋体" w:hAnsi="宋体" w:eastAsia="宋体" w:cs="宋体"/>
      <w:kern w:val="2"/>
      <w:sz w:val="28"/>
      <w:szCs w:val="24"/>
      <w:lang w:val="en-US" w:eastAsia="zh-CN" w:bidi="ar"/>
    </w:rPr>
  </w:style>
  <w:style w:type="character" w:customStyle="1" w:styleId="2631">
    <w:name w:val="样式52 Char Char Char Char"/>
    <w:qFormat/>
    <w:uiPriority w:val="0"/>
    <w:rPr>
      <w:b/>
      <w:kern w:val="2"/>
      <w:sz w:val="24"/>
      <w:szCs w:val="24"/>
      <w:lang w:bidi="ar-SA"/>
    </w:rPr>
  </w:style>
  <w:style w:type="character" w:customStyle="1" w:styleId="2632">
    <w:name w:val="desc"/>
    <w:qFormat/>
    <w:uiPriority w:val="0"/>
    <w:rPr>
      <w:rFonts w:hint="eastAsia" w:ascii="宋体" w:hAnsi="宋体" w:eastAsia="宋体" w:cs="宋体"/>
      <w:kern w:val="2"/>
      <w:sz w:val="24"/>
      <w:szCs w:val="20"/>
      <w:lang w:val="en-US" w:eastAsia="zh-CN" w:bidi="ar"/>
    </w:rPr>
  </w:style>
  <w:style w:type="character" w:customStyle="1" w:styleId="2633">
    <w:name w:val="zjgblk1"/>
    <w:qFormat/>
    <w:uiPriority w:val="0"/>
    <w:rPr>
      <w:rFonts w:hint="eastAsia" w:ascii="宋体" w:hAnsi="宋体" w:eastAsia="宋体" w:cs="宋体"/>
      <w:color w:val="000000"/>
      <w:kern w:val="2"/>
      <w:sz w:val="18"/>
      <w:szCs w:val="18"/>
      <w:u w:val="none"/>
      <w:lang w:val="en-US" w:eastAsia="zh-CN" w:bidi="ar"/>
    </w:rPr>
  </w:style>
  <w:style w:type="character" w:customStyle="1" w:styleId="2634">
    <w:name w:val="表注 Char Char Char"/>
    <w:qFormat/>
    <w:uiPriority w:val="0"/>
    <w:rPr>
      <w:rFonts w:hint="eastAsia" w:ascii="宋体" w:hAnsi="宋体" w:eastAsia="宋体" w:cs="宋体"/>
      <w:color w:val="FF0000"/>
      <w:kern w:val="24"/>
      <w:sz w:val="21"/>
      <w:szCs w:val="24"/>
      <w:lang w:val="en-US" w:eastAsia="zh-CN" w:bidi="ar-SA"/>
    </w:rPr>
  </w:style>
  <w:style w:type="character" w:customStyle="1" w:styleId="2635">
    <w:name w:val="hover26"/>
    <w:qFormat/>
    <w:uiPriority w:val="0"/>
    <w:rPr>
      <w:rFonts w:ascii="宋体" w:hAnsi="宋体" w:eastAsia="Arial" w:cs="宋体"/>
      <w:kern w:val="2"/>
      <w:sz w:val="24"/>
      <w:szCs w:val="24"/>
      <w:lang w:val="en-US" w:eastAsia="zh-CN" w:bidi="ar-SA"/>
    </w:rPr>
  </w:style>
  <w:style w:type="character" w:customStyle="1" w:styleId="2636">
    <w:name w:val="文章正文 Char1"/>
    <w:qFormat/>
    <w:uiPriority w:val="0"/>
    <w:rPr>
      <w:rFonts w:hint="eastAsia" w:ascii="宋体" w:hAnsi="宋体" w:eastAsia="宋体" w:cs="宋体"/>
      <w:kern w:val="2"/>
      <w:sz w:val="24"/>
      <w:szCs w:val="24"/>
      <w:lang w:val="en-US" w:eastAsia="zh-CN" w:bidi="ar-SA"/>
    </w:rPr>
  </w:style>
  <w:style w:type="character" w:customStyle="1" w:styleId="2637">
    <w:name w:val="题注 字符"/>
    <w:qFormat/>
    <w:uiPriority w:val="0"/>
    <w:rPr>
      <w:rFonts w:hint="default" w:ascii="Arial" w:hAnsi="Arial" w:eastAsia="黑体" w:cs="Arial"/>
      <w:kern w:val="2"/>
      <w:lang w:val="en-US" w:eastAsia="zh-CN" w:bidi="ar-SA"/>
    </w:rPr>
  </w:style>
  <w:style w:type="character" w:customStyle="1" w:styleId="2638">
    <w:name w:val="样式27 Char Char Char"/>
    <w:qFormat/>
    <w:uiPriority w:val="0"/>
    <w:rPr>
      <w:rFonts w:hint="eastAsia" w:ascii="宋体" w:hAnsi="宋体" w:eastAsia="黑体" w:cs="宋体"/>
      <w:kern w:val="44"/>
      <w:sz w:val="30"/>
      <w:szCs w:val="28"/>
      <w:lang w:val="en-US" w:eastAsia="zh-CN" w:bidi="ar-SA"/>
    </w:rPr>
  </w:style>
  <w:style w:type="character" w:customStyle="1" w:styleId="2639">
    <w:name w:val="样式3 Char Char"/>
    <w:qFormat/>
    <w:uiPriority w:val="0"/>
    <w:rPr>
      <w:rFonts w:hint="eastAsia" w:ascii="宋体" w:hAnsi="宋体" w:eastAsia="黑体" w:cs="宋体"/>
      <w:kern w:val="2"/>
      <w:sz w:val="28"/>
      <w:szCs w:val="28"/>
      <w:lang w:val="en-US" w:eastAsia="zh-CN" w:bidi="ar-SA"/>
    </w:rPr>
  </w:style>
  <w:style w:type="character" w:customStyle="1" w:styleId="2640">
    <w:name w:val="表文字 Char Char Char"/>
    <w:qFormat/>
    <w:locked/>
    <w:uiPriority w:val="0"/>
    <w:rPr>
      <w:rFonts w:eastAsia="宋体"/>
      <w:sz w:val="24"/>
    </w:rPr>
  </w:style>
  <w:style w:type="character" w:customStyle="1" w:styleId="2641">
    <w:name w:val="表文字 Char Char"/>
    <w:qFormat/>
    <w:uiPriority w:val="0"/>
    <w:rPr>
      <w:rFonts w:hint="eastAsia" w:ascii="宋体" w:hAnsi="宋体" w:eastAsia="宋体" w:cs="宋体"/>
      <w:kern w:val="2"/>
      <w:sz w:val="24"/>
      <w:szCs w:val="24"/>
      <w:lang w:val="en-US" w:eastAsia="zh-CN" w:bidi="ar"/>
    </w:rPr>
  </w:style>
  <w:style w:type="character" w:customStyle="1" w:styleId="2642">
    <w:name w:val="正文文本 2 Char4"/>
    <w:qFormat/>
    <w:uiPriority w:val="0"/>
    <w:rPr>
      <w:rFonts w:hint="eastAsia" w:ascii="宋体" w:hAnsi="宋体" w:eastAsia="宋体" w:cs="宋体"/>
      <w:kern w:val="2"/>
      <w:sz w:val="28"/>
      <w:szCs w:val="24"/>
      <w:lang w:val="en-US" w:eastAsia="zh-CN" w:bidi="ar"/>
    </w:rPr>
  </w:style>
  <w:style w:type="character" w:customStyle="1" w:styleId="2643">
    <w:name w:val="H212 Char1"/>
    <w:qFormat/>
    <w:uiPriority w:val="0"/>
    <w:rPr>
      <w:rFonts w:hint="eastAsia" w:ascii="宋体" w:hAnsi="宋体" w:eastAsia="宋体" w:cs="宋体"/>
      <w:b/>
      <w:spacing w:val="-8"/>
      <w:kern w:val="2"/>
      <w:sz w:val="30"/>
      <w:szCs w:val="24"/>
      <w:lang w:val="en-US" w:eastAsia="zh-CN" w:bidi="ar-SA"/>
    </w:rPr>
  </w:style>
  <w:style w:type="character" w:customStyle="1" w:styleId="2644">
    <w:name w:val="页脚 字符1"/>
    <w:qFormat/>
    <w:uiPriority w:val="0"/>
    <w:rPr>
      <w:rFonts w:hint="eastAsia" w:ascii="宋体" w:hAnsi="宋体" w:eastAsia="宋体"/>
      <w:kern w:val="2"/>
      <w:sz w:val="18"/>
      <w:szCs w:val="18"/>
      <w:lang w:val="en-US" w:eastAsia="zh-CN" w:bidi="ar-SA"/>
    </w:rPr>
  </w:style>
  <w:style w:type="character" w:customStyle="1" w:styleId="2645">
    <w:name w:val="ch-text-16px1"/>
    <w:qFormat/>
    <w:uiPriority w:val="0"/>
    <w:rPr>
      <w:rFonts w:hint="default" w:ascii="ˎ̥" w:hAnsi="ˎ̥" w:eastAsia="宋体" w:cs="宋体"/>
      <w:color w:val="000000"/>
      <w:kern w:val="2"/>
      <w:sz w:val="24"/>
      <w:szCs w:val="24"/>
      <w:u w:val="none"/>
      <w:lang w:val="en-US" w:eastAsia="zh-CN" w:bidi="ar"/>
    </w:rPr>
  </w:style>
  <w:style w:type="character" w:customStyle="1" w:styleId="2646">
    <w:name w:val="正文YHY Char Char"/>
    <w:qFormat/>
    <w:locked/>
    <w:uiPriority w:val="0"/>
    <w:rPr>
      <w:rFonts w:ascii="宋体" w:hAnsi="宋体" w:eastAsia="宋体"/>
      <w:sz w:val="24"/>
      <w:szCs w:val="24"/>
    </w:rPr>
  </w:style>
  <w:style w:type="character" w:customStyle="1" w:styleId="2647">
    <w:name w:val="l131"/>
    <w:qFormat/>
    <w:uiPriority w:val="0"/>
    <w:rPr>
      <w:rFonts w:hint="eastAsia" w:ascii="宋体" w:hAnsi="宋体" w:eastAsia="宋体" w:cs="宋体"/>
      <w:kern w:val="2"/>
      <w:sz w:val="18"/>
      <w:szCs w:val="18"/>
      <w:lang w:val="en-US" w:eastAsia="zh-CN" w:bidi="ar"/>
    </w:rPr>
  </w:style>
  <w:style w:type="character" w:customStyle="1" w:styleId="2648">
    <w:name w:val="正文小四首缩1.3行距 Char Char"/>
    <w:link w:val="2649"/>
    <w:qFormat/>
    <w:locked/>
    <w:uiPriority w:val="0"/>
    <w:rPr>
      <w:rFonts w:ascii="宋体" w:hAnsi="宋体" w:cs="宋体"/>
      <w:sz w:val="24"/>
      <w:szCs w:val="24"/>
    </w:rPr>
  </w:style>
  <w:style w:type="paragraph" w:customStyle="1" w:styleId="2649">
    <w:name w:val="正文小四首缩1.3行距"/>
    <w:basedOn w:val="1"/>
    <w:link w:val="2648"/>
    <w:qFormat/>
    <w:uiPriority w:val="0"/>
    <w:pPr>
      <w:spacing w:line="312" w:lineRule="auto"/>
      <w:ind w:firstLine="420" w:firstLineChars="200"/>
    </w:pPr>
    <w:rPr>
      <w:rFonts w:ascii="宋体" w:hAnsi="宋体" w:eastAsia="宋体" w:cs="宋体"/>
      <w:kern w:val="0"/>
      <w:sz w:val="24"/>
      <w:szCs w:val="24"/>
    </w:rPr>
  </w:style>
  <w:style w:type="character" w:customStyle="1" w:styleId="2650">
    <w:name w:val="标题7"/>
    <w:qFormat/>
    <w:uiPriority w:val="0"/>
    <w:rPr>
      <w:rFonts w:hint="eastAsia" w:ascii="宋体" w:hAnsi="宋体" w:eastAsia="宋体" w:cs="宋体"/>
      <w:kern w:val="2"/>
      <w:sz w:val="28"/>
      <w:szCs w:val="24"/>
      <w:lang w:val="en-US" w:eastAsia="zh-CN" w:bidi="ar"/>
    </w:rPr>
  </w:style>
  <w:style w:type="character" w:customStyle="1" w:styleId="2651">
    <w:name w:val="签名 Char2"/>
    <w:qFormat/>
    <w:uiPriority w:val="0"/>
    <w:rPr>
      <w:rFonts w:hint="eastAsia" w:ascii="宋体" w:hAnsi="宋体" w:eastAsia="宋体" w:cs="宋体"/>
      <w:kern w:val="2"/>
      <w:sz w:val="24"/>
      <w:szCs w:val="24"/>
      <w:lang w:val="en-US" w:eastAsia="zh-CN" w:bidi="ar"/>
    </w:rPr>
  </w:style>
  <w:style w:type="character" w:customStyle="1" w:styleId="2652">
    <w:name w:val="不明显强调1"/>
    <w:qFormat/>
    <w:uiPriority w:val="0"/>
    <w:rPr>
      <w:rFonts w:hint="eastAsia" w:ascii="宋体" w:hAnsi="宋体" w:eastAsia="宋体" w:cs="宋体"/>
      <w:i/>
      <w:iCs/>
      <w:color w:val="808080"/>
      <w:kern w:val="2"/>
      <w:sz w:val="28"/>
      <w:szCs w:val="24"/>
      <w:lang w:val="en-US" w:eastAsia="zh-CN" w:bidi="ar"/>
    </w:rPr>
  </w:style>
  <w:style w:type="character" w:customStyle="1" w:styleId="2653">
    <w:name w:val="Char Char Char Char Char"/>
    <w:qFormat/>
    <w:uiPriority w:val="0"/>
    <w:rPr>
      <w:kern w:val="2"/>
      <w:sz w:val="18"/>
      <w:szCs w:val="18"/>
    </w:rPr>
  </w:style>
  <w:style w:type="character" w:customStyle="1" w:styleId="2654">
    <w:name w:val="正文 Char Char Char"/>
    <w:qFormat/>
    <w:uiPriority w:val="0"/>
    <w:rPr>
      <w:rFonts w:hint="eastAsia" w:ascii="宋体" w:hAnsi="宋体" w:eastAsia="仿宋_GB2312" w:cs="宋体"/>
      <w:kern w:val="2"/>
      <w:sz w:val="28"/>
      <w:szCs w:val="24"/>
      <w:lang w:val="en-US" w:eastAsia="zh-CN" w:bidi="ar-SA"/>
    </w:rPr>
  </w:style>
  <w:style w:type="character" w:customStyle="1" w:styleId="2655">
    <w:name w:val="徐萍样式1 Char Char"/>
    <w:qFormat/>
    <w:uiPriority w:val="0"/>
    <w:rPr>
      <w:rFonts w:hint="eastAsia" w:ascii="宋体" w:hAnsi="宋体" w:eastAsia="宋体" w:cs="宋体"/>
      <w:kern w:val="2"/>
      <w:sz w:val="26"/>
      <w:szCs w:val="21"/>
      <w:lang w:val="en-US" w:eastAsia="zh-CN" w:bidi="ar-SA"/>
    </w:rPr>
  </w:style>
  <w:style w:type="character" w:customStyle="1" w:styleId="2656">
    <w:name w:val="文本正文 Char Char Char"/>
    <w:qFormat/>
    <w:uiPriority w:val="0"/>
    <w:rPr>
      <w:rFonts w:hint="eastAsia" w:ascii="宋体" w:hAnsi="宋体" w:eastAsia="宋体" w:cs="宋体"/>
      <w:kern w:val="2"/>
      <w:sz w:val="24"/>
      <w:szCs w:val="28"/>
      <w:lang w:val="en-US" w:eastAsia="zh-CN" w:bidi="ar-SA"/>
    </w:rPr>
  </w:style>
  <w:style w:type="character" w:customStyle="1" w:styleId="2657">
    <w:name w:val="ss1"/>
    <w:qFormat/>
    <w:uiPriority w:val="0"/>
    <w:rPr>
      <w:rFonts w:hint="eastAsia" w:ascii="宋体" w:hAnsi="宋体" w:eastAsia="宋体" w:cs="宋体"/>
      <w:color w:val="0066CC"/>
      <w:kern w:val="2"/>
      <w:sz w:val="28"/>
      <w:szCs w:val="28"/>
      <w:lang w:val="en-US" w:eastAsia="zh-CN" w:bidi="ar"/>
    </w:rPr>
  </w:style>
  <w:style w:type="character" w:customStyle="1" w:styleId="2658">
    <w:name w:val="Char Char311"/>
    <w:qFormat/>
    <w:uiPriority w:val="0"/>
    <w:rPr>
      <w:rFonts w:hint="eastAsia" w:ascii="宋体" w:hAnsi="宋体" w:eastAsia="宋体" w:cs="宋体"/>
      <w:kern w:val="2"/>
      <w:sz w:val="18"/>
      <w:szCs w:val="18"/>
      <w:lang w:val="en-US" w:eastAsia="zh-CN" w:bidi="ar"/>
    </w:rPr>
  </w:style>
  <w:style w:type="character" w:customStyle="1" w:styleId="2659">
    <w:name w:val="Footer Char"/>
    <w:qFormat/>
    <w:uiPriority w:val="0"/>
    <w:rPr>
      <w:rFonts w:hint="eastAsia" w:ascii="宋体" w:hAnsi="宋体" w:eastAsia="宋体" w:cs="宋体"/>
      <w:kern w:val="2"/>
      <w:sz w:val="18"/>
      <w:szCs w:val="24"/>
      <w:lang w:val="en-US" w:eastAsia="zh-CN" w:bidi="ar"/>
    </w:rPr>
  </w:style>
  <w:style w:type="character" w:customStyle="1" w:styleId="2660">
    <w:name w:val="电子邮件签名 字符"/>
    <w:qFormat/>
    <w:uiPriority w:val="0"/>
    <w:rPr>
      <w:color w:val="000000"/>
      <w:sz w:val="24"/>
      <w:szCs w:val="24"/>
      <w:lang w:bidi="ar-SA"/>
    </w:rPr>
  </w:style>
  <w:style w:type="character" w:customStyle="1" w:styleId="2661">
    <w:name w:val="正文文本缩进 字符"/>
    <w:qFormat/>
    <w:uiPriority w:val="0"/>
    <w:rPr>
      <w:rFonts w:hint="eastAsia" w:ascii="宋体" w:hAnsi="宋体" w:eastAsia="宋体" w:cs="宋体"/>
      <w:kern w:val="2"/>
      <w:sz w:val="28"/>
      <w:szCs w:val="24"/>
      <w:lang w:val="en-US" w:eastAsia="zh-CN" w:bidi="ar"/>
    </w:rPr>
  </w:style>
  <w:style w:type="character" w:customStyle="1" w:styleId="2662">
    <w:name w:val="main1"/>
    <w:qFormat/>
    <w:uiPriority w:val="0"/>
    <w:rPr>
      <w:rFonts w:hint="eastAsia" w:ascii="宋体" w:hAnsi="宋体" w:eastAsia="宋体" w:cs="宋体"/>
      <w:kern w:val="2"/>
      <w:sz w:val="28"/>
      <w:szCs w:val="24"/>
      <w:lang w:val="en-US" w:eastAsia="zh-CN" w:bidi="ar"/>
    </w:rPr>
  </w:style>
  <w:style w:type="character" w:customStyle="1" w:styleId="2663">
    <w:name w:val="正文文字缩进 3 Char Char6"/>
    <w:qFormat/>
    <w:uiPriority w:val="0"/>
    <w:rPr>
      <w:rFonts w:hint="eastAsia" w:ascii="宋体" w:hAnsi="宋体" w:eastAsia="宋体" w:cs="宋体"/>
      <w:kern w:val="2"/>
      <w:sz w:val="16"/>
      <w:szCs w:val="16"/>
      <w:lang w:val="en-US" w:eastAsia="zh-CN" w:bidi="ar-SA"/>
    </w:rPr>
  </w:style>
  <w:style w:type="character" w:customStyle="1" w:styleId="2664">
    <w:name w:val="我的标题3 Char Char"/>
    <w:qFormat/>
    <w:uiPriority w:val="0"/>
    <w:rPr>
      <w:rFonts w:hint="eastAsia" w:ascii="宋体" w:hAnsi="宋体" w:eastAsia="宋体" w:cs="宋体"/>
      <w:b/>
      <w:kern w:val="2"/>
      <w:sz w:val="28"/>
      <w:szCs w:val="24"/>
      <w:lang w:val="en-US" w:eastAsia="zh-CN" w:bidi="ar-SA"/>
    </w:rPr>
  </w:style>
  <w:style w:type="character" w:customStyle="1" w:styleId="2665">
    <w:name w:val="Char Char3"/>
    <w:qFormat/>
    <w:locked/>
    <w:uiPriority w:val="0"/>
    <w:rPr>
      <w:rFonts w:ascii="Calibri" w:hAnsi="Calibri" w:eastAsia="宋体" w:cs="黑体"/>
      <w:kern w:val="2"/>
      <w:sz w:val="21"/>
      <w:szCs w:val="22"/>
      <w:lang w:val="en-US" w:eastAsia="zh-CN" w:bidi="ar-SA"/>
    </w:rPr>
  </w:style>
  <w:style w:type="character" w:customStyle="1" w:styleId="2666">
    <w:name w:val="样式27 Char Char"/>
    <w:link w:val="2667"/>
    <w:qFormat/>
    <w:locked/>
    <w:uiPriority w:val="0"/>
    <w:rPr>
      <w:rFonts w:ascii="宋体" w:hAnsi="宋体"/>
      <w:spacing w:val="-2"/>
      <w:sz w:val="28"/>
    </w:rPr>
  </w:style>
  <w:style w:type="paragraph" w:customStyle="1" w:styleId="2667">
    <w:name w:val="样式27"/>
    <w:basedOn w:val="1"/>
    <w:link w:val="2666"/>
    <w:qFormat/>
    <w:uiPriority w:val="0"/>
    <w:rPr>
      <w:rFonts w:ascii="宋体" w:hAnsi="宋体" w:eastAsia="宋体"/>
      <w:spacing w:val="-2"/>
      <w:kern w:val="0"/>
    </w:rPr>
  </w:style>
  <w:style w:type="character" w:customStyle="1" w:styleId="2668">
    <w:name w:val="cucd-3 Char Char"/>
    <w:link w:val="1892"/>
    <w:qFormat/>
    <w:locked/>
    <w:uiPriority w:val="0"/>
    <w:rPr>
      <w:rFonts w:ascii="宋体" w:hAnsi="宋体" w:cs="宋体"/>
      <w:b/>
      <w:sz w:val="28"/>
      <w:szCs w:val="24"/>
    </w:rPr>
  </w:style>
  <w:style w:type="character" w:customStyle="1" w:styleId="2669">
    <w:name w:val="read"/>
    <w:qFormat/>
    <w:uiPriority w:val="0"/>
    <w:rPr>
      <w:rFonts w:hint="eastAsia" w:ascii="宋体" w:hAnsi="宋体" w:eastAsia="宋体" w:cs="宋体"/>
      <w:kern w:val="2"/>
      <w:sz w:val="28"/>
      <w:szCs w:val="24"/>
      <w:lang w:val="en-US" w:eastAsia="zh-CN" w:bidi="ar"/>
    </w:rPr>
  </w:style>
  <w:style w:type="character" w:customStyle="1" w:styleId="2670">
    <w:name w:val="正文段落 Char Char Char"/>
    <w:qFormat/>
    <w:locked/>
    <w:uiPriority w:val="0"/>
    <w:rPr>
      <w:rFonts w:ascii="宋体" w:hAnsi="Tms Rmn" w:eastAsia="宋体"/>
      <w:sz w:val="28"/>
      <w:szCs w:val="28"/>
    </w:rPr>
  </w:style>
  <w:style w:type="character" w:customStyle="1" w:styleId="2671">
    <w:name w:val="正文文本 Char5"/>
    <w:qFormat/>
    <w:uiPriority w:val="0"/>
    <w:rPr>
      <w:rFonts w:hint="eastAsia" w:ascii="宋体" w:hAnsi="宋体" w:eastAsia="宋体" w:cs="宋体"/>
      <w:kern w:val="2"/>
      <w:sz w:val="28"/>
      <w:szCs w:val="24"/>
      <w:lang w:val="en-US" w:eastAsia="zh-CN" w:bidi="ar"/>
    </w:rPr>
  </w:style>
  <w:style w:type="character" w:customStyle="1" w:styleId="2672">
    <w:name w:val="注释标题 Char1"/>
    <w:qFormat/>
    <w:uiPriority w:val="0"/>
    <w:rPr>
      <w:rFonts w:hint="eastAsia" w:ascii="宋体" w:hAnsi="宋体" w:eastAsia="宋体" w:cs="宋体"/>
      <w:kern w:val="2"/>
      <w:sz w:val="28"/>
      <w:szCs w:val="24"/>
      <w:lang w:val="en-US" w:eastAsia="zh-CN" w:bidi="ar"/>
    </w:rPr>
  </w:style>
  <w:style w:type="character" w:customStyle="1" w:styleId="2673">
    <w:name w:val="fix91"/>
    <w:qFormat/>
    <w:uiPriority w:val="0"/>
    <w:rPr>
      <w:rFonts w:hint="default" w:ascii="Arial" w:hAnsi="Arial" w:eastAsia="宋体" w:cs="宋体"/>
      <w:kern w:val="2"/>
      <w:sz w:val="18"/>
      <w:szCs w:val="24"/>
      <w:lang w:val="en-US" w:eastAsia="zh-CN" w:bidi="ar"/>
    </w:rPr>
  </w:style>
  <w:style w:type="character" w:customStyle="1" w:styleId="2674">
    <w:name w:val="A0"/>
    <w:qFormat/>
    <w:uiPriority w:val="0"/>
    <w:rPr>
      <w:rFonts w:hint="eastAsia" w:ascii="Sim Sun" w:hAnsi="Sim Sun" w:eastAsia="Sim Sun" w:cs="Sim Sun"/>
      <w:color w:val="000000"/>
      <w:kern w:val="2"/>
      <w:sz w:val="28"/>
      <w:szCs w:val="28"/>
      <w:lang w:val="en-US" w:eastAsia="zh-CN" w:bidi="ar-SA"/>
    </w:rPr>
  </w:style>
  <w:style w:type="character" w:customStyle="1" w:styleId="2675">
    <w:name w:val="正文缩二 Char Char"/>
    <w:link w:val="2676"/>
    <w:qFormat/>
    <w:locked/>
    <w:uiPriority w:val="0"/>
    <w:rPr>
      <w:rFonts w:ascii="宋体" w:hAnsi="宋体" w:cs="宋体"/>
      <w:sz w:val="24"/>
      <w:szCs w:val="72"/>
    </w:rPr>
  </w:style>
  <w:style w:type="paragraph" w:customStyle="1" w:styleId="2676">
    <w:name w:val="正文缩二"/>
    <w:basedOn w:val="1"/>
    <w:link w:val="2675"/>
    <w:qFormat/>
    <w:uiPriority w:val="0"/>
    <w:pPr>
      <w:tabs>
        <w:tab w:val="left" w:pos="8820"/>
      </w:tabs>
      <w:spacing w:line="360" w:lineRule="auto"/>
      <w:ind w:firstLine="200" w:firstLineChars="200"/>
      <w:jc w:val="left"/>
    </w:pPr>
    <w:rPr>
      <w:rFonts w:ascii="宋体" w:hAnsi="宋体" w:eastAsia="宋体" w:cs="宋体"/>
      <w:kern w:val="0"/>
      <w:sz w:val="24"/>
      <w:szCs w:val="72"/>
    </w:rPr>
  </w:style>
  <w:style w:type="character" w:customStyle="1" w:styleId="2677">
    <w:name w:val="二级标题 Char Char"/>
    <w:qFormat/>
    <w:uiPriority w:val="0"/>
    <w:rPr>
      <w:rFonts w:hint="eastAsia" w:ascii="黑体" w:hAnsi="Arial" w:eastAsia="黑体" w:cs="宋体"/>
      <w:b/>
      <w:bCs/>
      <w:kern w:val="2"/>
      <w:sz w:val="28"/>
      <w:szCs w:val="28"/>
      <w:lang w:val="en-US" w:eastAsia="zh-CN" w:bidi="ar-SA"/>
    </w:rPr>
  </w:style>
  <w:style w:type="character" w:customStyle="1" w:styleId="2678">
    <w:name w:val="样式30 Char Char"/>
    <w:link w:val="2679"/>
    <w:qFormat/>
    <w:locked/>
    <w:uiPriority w:val="0"/>
    <w:rPr>
      <w:rFonts w:ascii="宋体" w:hAnsi="宋体" w:cs="宋体"/>
      <w:color w:val="000000"/>
      <w:sz w:val="24"/>
      <w:szCs w:val="24"/>
    </w:rPr>
  </w:style>
  <w:style w:type="paragraph" w:customStyle="1" w:styleId="2679">
    <w:name w:val="样式30"/>
    <w:basedOn w:val="1"/>
    <w:link w:val="2678"/>
    <w:qFormat/>
    <w:uiPriority w:val="0"/>
    <w:pPr>
      <w:snapToGrid w:val="0"/>
      <w:spacing w:before="50" w:after="50" w:line="360" w:lineRule="auto"/>
      <w:ind w:firstLine="200" w:firstLineChars="200"/>
    </w:pPr>
    <w:rPr>
      <w:rFonts w:ascii="宋体" w:hAnsi="宋体" w:eastAsia="宋体" w:cs="宋体"/>
      <w:color w:val="000000"/>
      <w:kern w:val="0"/>
      <w:sz w:val="24"/>
      <w:szCs w:val="24"/>
    </w:rPr>
  </w:style>
  <w:style w:type="character" w:customStyle="1" w:styleId="2680">
    <w:name w:val="表格四号 Char Char"/>
    <w:link w:val="2681"/>
    <w:qFormat/>
    <w:locked/>
    <w:uiPriority w:val="0"/>
    <w:rPr>
      <w:rFonts w:ascii="宋体" w:hAnsi="宋体" w:cs="宋体"/>
      <w:snapToGrid/>
      <w:sz w:val="28"/>
      <w:szCs w:val="28"/>
    </w:rPr>
  </w:style>
  <w:style w:type="paragraph" w:customStyle="1" w:styleId="2681">
    <w:name w:val="表格四号"/>
    <w:basedOn w:val="1"/>
    <w:link w:val="2680"/>
    <w:qFormat/>
    <w:uiPriority w:val="0"/>
    <w:pPr>
      <w:adjustRightInd w:val="0"/>
      <w:snapToGrid w:val="0"/>
      <w:jc w:val="center"/>
    </w:pPr>
    <w:rPr>
      <w:rFonts w:ascii="宋体" w:hAnsi="宋体" w:eastAsia="宋体" w:cs="宋体"/>
      <w:kern w:val="0"/>
      <w:szCs w:val="28"/>
    </w:rPr>
  </w:style>
  <w:style w:type="character" w:customStyle="1" w:styleId="2682">
    <w:name w:val="Char Char282"/>
    <w:qFormat/>
    <w:uiPriority w:val="0"/>
    <w:rPr>
      <w:rFonts w:hint="eastAsia" w:ascii="宋体" w:hAnsi="宋体" w:eastAsia="宋体" w:cs="宋体"/>
      <w:kern w:val="2"/>
      <w:sz w:val="21"/>
      <w:szCs w:val="24"/>
      <w:lang w:val="en-US" w:eastAsia="zh-CN" w:bidi="ar-SA"/>
    </w:rPr>
  </w:style>
  <w:style w:type="character" w:customStyle="1" w:styleId="2683">
    <w:name w:val="正文(首行缩进) Char Char"/>
    <w:qFormat/>
    <w:locked/>
    <w:uiPriority w:val="0"/>
    <w:rPr>
      <w:rFonts w:ascii="Calibri" w:hAnsi="Calibri" w:eastAsia="宋体"/>
      <w:bCs/>
      <w:snapToGrid/>
      <w:sz w:val="24"/>
    </w:rPr>
  </w:style>
  <w:style w:type="character" w:customStyle="1" w:styleId="2684">
    <w:name w:val="尾注文本 字符"/>
    <w:qFormat/>
    <w:uiPriority w:val="0"/>
    <w:rPr>
      <w:color w:val="000000"/>
      <w:sz w:val="24"/>
      <w:szCs w:val="24"/>
      <w:lang w:bidi="ar-SA"/>
    </w:rPr>
  </w:style>
  <w:style w:type="character" w:customStyle="1" w:styleId="2685">
    <w:name w:val="报告 Char1"/>
    <w:link w:val="826"/>
    <w:qFormat/>
    <w:locked/>
    <w:uiPriority w:val="0"/>
    <w:rPr>
      <w:sz w:val="21"/>
      <w:szCs w:val="24"/>
    </w:rPr>
  </w:style>
  <w:style w:type="character" w:customStyle="1" w:styleId="2686">
    <w:name w:val="首行缩进2字符 Char Char Char"/>
    <w:qFormat/>
    <w:uiPriority w:val="0"/>
    <w:rPr>
      <w:rFonts w:hint="eastAsia" w:ascii="宋体" w:hAnsi="宋体" w:eastAsia="宋体" w:cs="宋体"/>
      <w:kern w:val="2"/>
      <w:sz w:val="24"/>
      <w:szCs w:val="24"/>
      <w:lang w:val="en-US" w:eastAsia="zh-CN" w:bidi="ar-SA"/>
    </w:rPr>
  </w:style>
  <w:style w:type="character" w:customStyle="1" w:styleId="2687">
    <w:name w:val="环评标题4 Char Char"/>
    <w:link w:val="2688"/>
    <w:qFormat/>
    <w:locked/>
    <w:uiPriority w:val="0"/>
    <w:rPr>
      <w:rFonts w:ascii="宋体" w:hAnsi="宋体" w:cs="宋体"/>
      <w:bCs/>
      <w:sz w:val="24"/>
      <w:szCs w:val="28"/>
    </w:rPr>
  </w:style>
  <w:style w:type="paragraph" w:customStyle="1" w:styleId="2688">
    <w:name w:val="环评标题4"/>
    <w:basedOn w:val="7"/>
    <w:link w:val="2687"/>
    <w:qFormat/>
    <w:uiPriority w:val="0"/>
    <w:pPr>
      <w:tabs>
        <w:tab w:val="left" w:pos="2153"/>
        <w:tab w:val="clear" w:pos="4008"/>
      </w:tabs>
      <w:spacing w:before="280" w:after="290" w:line="360" w:lineRule="auto"/>
      <w:ind w:left="0" w:firstLine="0"/>
      <w:jc w:val="both"/>
    </w:pPr>
    <w:rPr>
      <w:rFonts w:ascii="宋体" w:hAnsi="宋体" w:eastAsia="宋体" w:cs="宋体"/>
      <w:b w:val="0"/>
      <w:bCs/>
      <w:color w:val="auto"/>
      <w:kern w:val="0"/>
      <w:szCs w:val="28"/>
    </w:rPr>
  </w:style>
  <w:style w:type="character" w:customStyle="1" w:styleId="2689">
    <w:name w:val="Char Char212"/>
    <w:qFormat/>
    <w:uiPriority w:val="0"/>
    <w:rPr>
      <w:b/>
      <w:bCs/>
      <w:kern w:val="2"/>
      <w:sz w:val="32"/>
      <w:szCs w:val="32"/>
    </w:rPr>
  </w:style>
  <w:style w:type="character" w:customStyle="1" w:styleId="2690">
    <w:name w:val="样式29 Char Char"/>
    <w:link w:val="2691"/>
    <w:qFormat/>
    <w:locked/>
    <w:uiPriority w:val="0"/>
    <w:rPr>
      <w:rFonts w:ascii="宋体" w:hAnsi="宋体"/>
      <w:spacing w:val="-2"/>
      <w:sz w:val="28"/>
    </w:rPr>
  </w:style>
  <w:style w:type="paragraph" w:customStyle="1" w:styleId="2691">
    <w:name w:val="样式29"/>
    <w:basedOn w:val="1"/>
    <w:link w:val="2690"/>
    <w:qFormat/>
    <w:uiPriority w:val="0"/>
    <w:rPr>
      <w:rFonts w:ascii="宋体" w:hAnsi="宋体" w:eastAsia="宋体"/>
      <w:spacing w:val="-2"/>
      <w:kern w:val="0"/>
    </w:rPr>
  </w:style>
  <w:style w:type="character" w:customStyle="1" w:styleId="2692">
    <w:name w:val="批注文字 Char1"/>
    <w:qFormat/>
    <w:uiPriority w:val="0"/>
    <w:rPr>
      <w:rFonts w:ascii="宋体" w:hAnsi="宋体" w:eastAsia="Arial" w:cs="宋体"/>
      <w:kern w:val="28"/>
      <w:sz w:val="32"/>
      <w:szCs w:val="32"/>
      <w:lang w:val="en-US" w:eastAsia="zh-CN" w:bidi="ar-SA"/>
    </w:rPr>
  </w:style>
  <w:style w:type="character" w:customStyle="1" w:styleId="2693">
    <w:name w:val="文档结构图 Char2"/>
    <w:qFormat/>
    <w:uiPriority w:val="0"/>
    <w:rPr>
      <w:rFonts w:ascii="宋体" w:hAnsi="宋体" w:eastAsia="仿宋_GB2312" w:cs="宋体"/>
      <w:sz w:val="28"/>
      <w:szCs w:val="24"/>
      <w:shd w:val="clear" w:color="auto" w:fill="000080"/>
    </w:rPr>
  </w:style>
  <w:style w:type="character" w:customStyle="1" w:styleId="2694">
    <w:name w:val="样式14 Char Char"/>
    <w:link w:val="1005"/>
    <w:qFormat/>
    <w:locked/>
    <w:uiPriority w:val="0"/>
    <w:rPr>
      <w:rFonts w:ascii="黑体" w:hAnsi="Arial" w:eastAsia="黑体"/>
      <w:kern w:val="2"/>
      <w:sz w:val="28"/>
    </w:rPr>
  </w:style>
  <w:style w:type="character" w:customStyle="1" w:styleId="2695">
    <w:name w:val="z-窗体顶端 Char"/>
    <w:link w:val="2696"/>
    <w:qFormat/>
    <w:uiPriority w:val="0"/>
    <w:rPr>
      <w:rFonts w:ascii="Arial" w:hAnsi="Arial" w:eastAsia="Arial" w:cs="Arial"/>
      <w:vanish/>
      <w:kern w:val="28"/>
      <w:sz w:val="16"/>
      <w:szCs w:val="16"/>
    </w:rPr>
  </w:style>
  <w:style w:type="paragraph" w:customStyle="1" w:styleId="2696">
    <w:name w:val="z-窗体顶端1"/>
    <w:basedOn w:val="1"/>
    <w:next w:val="1"/>
    <w:link w:val="2695"/>
    <w:qFormat/>
    <w:uiPriority w:val="0"/>
    <w:pPr>
      <w:pBdr>
        <w:bottom w:val="single" w:color="auto" w:sz="6" w:space="1"/>
      </w:pBdr>
      <w:jc w:val="center"/>
    </w:pPr>
    <w:rPr>
      <w:rFonts w:ascii="Arial" w:hAnsi="Arial" w:eastAsia="Arial" w:cs="Arial"/>
      <w:vanish/>
      <w:kern w:val="28"/>
      <w:sz w:val="16"/>
      <w:szCs w:val="16"/>
    </w:rPr>
  </w:style>
  <w:style w:type="character" w:customStyle="1" w:styleId="2697">
    <w:name w:val="font61"/>
    <w:qFormat/>
    <w:uiPriority w:val="0"/>
    <w:rPr>
      <w:rFonts w:ascii="宋体" w:hAnsi="宋体" w:eastAsia="宋体" w:cs="宋体"/>
      <w:color w:val="000000"/>
      <w:kern w:val="2"/>
      <w:sz w:val="22"/>
      <w:szCs w:val="22"/>
      <w:u w:val="none"/>
      <w:vertAlign w:val="superscript"/>
      <w:lang w:val="en-US" w:eastAsia="zh-CN" w:bidi="ar-SA"/>
    </w:rPr>
  </w:style>
  <w:style w:type="character" w:customStyle="1" w:styleId="2698">
    <w:name w:val="heighlight"/>
    <w:qFormat/>
    <w:uiPriority w:val="0"/>
    <w:rPr>
      <w:rFonts w:hint="eastAsia" w:ascii="宋体" w:hAnsi="宋体" w:eastAsia="宋体" w:cs="宋体"/>
      <w:kern w:val="2"/>
      <w:sz w:val="28"/>
      <w:szCs w:val="24"/>
      <w:lang w:val="en-US" w:eastAsia="zh-CN" w:bidi="ar"/>
    </w:rPr>
  </w:style>
  <w:style w:type="character" w:customStyle="1" w:styleId="2699">
    <w:name w:val="Date Char1"/>
    <w:semiHidden/>
    <w:qFormat/>
    <w:uiPriority w:val="99"/>
    <w:rPr>
      <w:rFonts w:ascii="宋体" w:hAnsi="宋体" w:eastAsia="Arial" w:cs="宋体"/>
      <w:kern w:val="28"/>
      <w:sz w:val="32"/>
      <w:szCs w:val="32"/>
      <w:lang w:val="en-US" w:eastAsia="zh-CN" w:bidi="ar-SA"/>
    </w:rPr>
  </w:style>
  <w:style w:type="character" w:customStyle="1" w:styleId="2700">
    <w:name w:val="f101"/>
    <w:qFormat/>
    <w:uiPriority w:val="0"/>
    <w:rPr>
      <w:rFonts w:hint="eastAsia" w:ascii="宋体" w:hAnsi="宋体" w:eastAsia="宋体" w:cs="宋体"/>
      <w:kern w:val="2"/>
      <w:sz w:val="20"/>
      <w:szCs w:val="20"/>
      <w:u w:val="none"/>
      <w:lang w:val="en-US" w:eastAsia="zh-CN" w:bidi="ar"/>
    </w:rPr>
  </w:style>
  <w:style w:type="character" w:customStyle="1" w:styleId="2701">
    <w:name w:val="批注主题 Char"/>
    <w:link w:val="86"/>
    <w:qFormat/>
    <w:locked/>
    <w:uiPriority w:val="99"/>
    <w:rPr>
      <w:rFonts w:eastAsia="仿宋_GB2312"/>
      <w:b/>
      <w:bCs/>
      <w:kern w:val="2"/>
      <w:sz w:val="28"/>
    </w:rPr>
  </w:style>
  <w:style w:type="character" w:customStyle="1" w:styleId="2702">
    <w:name w:val="Char Char222"/>
    <w:qFormat/>
    <w:uiPriority w:val="0"/>
    <w:rPr>
      <w:rFonts w:ascii="宋体" w:hAnsi="宋体"/>
      <w:b/>
      <w:kern w:val="44"/>
      <w:sz w:val="32"/>
      <w:szCs w:val="32"/>
    </w:rPr>
  </w:style>
  <w:style w:type="character" w:customStyle="1" w:styleId="2703">
    <w:name w:val="引用 Char"/>
    <w:link w:val="2704"/>
    <w:qFormat/>
    <w:locked/>
    <w:uiPriority w:val="0"/>
    <w:rPr>
      <w:rFonts w:ascii="宋体" w:hAnsi="宋体" w:cs="宋体"/>
      <w:i/>
      <w:szCs w:val="24"/>
    </w:rPr>
  </w:style>
  <w:style w:type="paragraph" w:styleId="2704">
    <w:name w:val="Quote"/>
    <w:basedOn w:val="1"/>
    <w:next w:val="1"/>
    <w:link w:val="2703"/>
    <w:qFormat/>
    <w:uiPriority w:val="0"/>
    <w:rPr>
      <w:rFonts w:ascii="宋体" w:hAnsi="宋体" w:eastAsia="宋体" w:cs="宋体"/>
      <w:i/>
      <w:kern w:val="0"/>
      <w:sz w:val="20"/>
      <w:szCs w:val="24"/>
    </w:rPr>
  </w:style>
  <w:style w:type="character" w:customStyle="1" w:styleId="2705">
    <w:name w:val="目标题 1) Char1"/>
    <w:qFormat/>
    <w:uiPriority w:val="0"/>
    <w:rPr>
      <w:rFonts w:ascii="Arial" w:hAnsi="Arial" w:eastAsia="黑体"/>
      <w:kern w:val="2"/>
      <w:sz w:val="24"/>
      <w:szCs w:val="24"/>
      <w:lang w:val="en-US" w:eastAsia="zh-CN" w:bidi="ar-SA"/>
    </w:rPr>
  </w:style>
  <w:style w:type="character" w:customStyle="1" w:styleId="2706">
    <w:name w:val="文章正文样式 Char1 Char Char Char"/>
    <w:qFormat/>
    <w:locked/>
    <w:uiPriority w:val="0"/>
    <w:rPr>
      <w:rFonts w:ascii="宋体" w:hAnsi="宋体" w:eastAsia="宋体" w:cs="宋体"/>
      <w:kern w:val="2"/>
      <w:sz w:val="24"/>
      <w:szCs w:val="24"/>
      <w:lang w:val="en-US" w:eastAsia="zh-CN" w:bidi="ar-SA"/>
    </w:rPr>
  </w:style>
  <w:style w:type="character" w:customStyle="1" w:styleId="2707">
    <w:name w:val="样式5正文 Char Char"/>
    <w:link w:val="2708"/>
    <w:qFormat/>
    <w:locked/>
    <w:uiPriority w:val="0"/>
    <w:rPr>
      <w:rFonts w:ascii="宋体" w:hAnsi="宋体" w:cs="宋体"/>
      <w:sz w:val="24"/>
      <w:szCs w:val="24"/>
    </w:rPr>
  </w:style>
  <w:style w:type="paragraph" w:customStyle="1" w:styleId="2708">
    <w:name w:val="样式5正文"/>
    <w:basedOn w:val="1"/>
    <w:link w:val="2707"/>
    <w:qFormat/>
    <w:uiPriority w:val="0"/>
    <w:pPr>
      <w:spacing w:line="360" w:lineRule="auto"/>
      <w:ind w:firstLine="480" w:firstLineChars="200"/>
    </w:pPr>
    <w:rPr>
      <w:rFonts w:ascii="宋体" w:hAnsi="宋体" w:eastAsia="宋体" w:cs="宋体"/>
      <w:kern w:val="0"/>
      <w:sz w:val="24"/>
      <w:szCs w:val="24"/>
    </w:rPr>
  </w:style>
  <w:style w:type="character" w:customStyle="1" w:styleId="2709">
    <w:name w:val="正文01 Char Char Char"/>
    <w:qFormat/>
    <w:uiPriority w:val="0"/>
    <w:rPr>
      <w:rFonts w:hint="eastAsia" w:ascii="宋体" w:hAnsi="宋体" w:eastAsia="宋体"/>
      <w:kern w:val="2"/>
      <w:sz w:val="24"/>
      <w:szCs w:val="24"/>
      <w:lang w:val="en-US" w:eastAsia="zh-CN" w:bidi="ar-SA"/>
    </w:rPr>
  </w:style>
  <w:style w:type="character" w:customStyle="1" w:styleId="2710">
    <w:name w:val="HTML 代码1"/>
    <w:qFormat/>
    <w:uiPriority w:val="0"/>
    <w:rPr>
      <w:rFonts w:hint="eastAsia" w:ascii="黑体" w:hAnsi="宋体" w:eastAsia="黑体" w:cs="Courier New"/>
      <w:kern w:val="2"/>
      <w:sz w:val="24"/>
      <w:szCs w:val="24"/>
      <w:lang w:val="en-US" w:eastAsia="zh-CN" w:bidi="ar-SA"/>
    </w:rPr>
  </w:style>
  <w:style w:type="character" w:customStyle="1" w:styleId="2711">
    <w:name w:val="正文（首行缩进） Char Char Char"/>
    <w:qFormat/>
    <w:uiPriority w:val="0"/>
    <w:rPr>
      <w:rFonts w:hint="eastAsia" w:ascii="宋体" w:hAnsi="宋体" w:eastAsia="宋体" w:cs="宋体"/>
      <w:color w:val="000000"/>
      <w:kern w:val="2"/>
      <w:sz w:val="24"/>
      <w:szCs w:val="24"/>
      <w:lang w:val="en-US" w:eastAsia="zh-CN" w:bidi="ar-SA"/>
    </w:rPr>
  </w:style>
  <w:style w:type="character" w:customStyle="1" w:styleId="2712">
    <w:name w:val="图1-1 Char Char"/>
    <w:link w:val="2713"/>
    <w:qFormat/>
    <w:locked/>
    <w:uiPriority w:val="0"/>
    <w:rPr>
      <w:rFonts w:ascii="宋体" w:hAnsi="宋体" w:cs="宋体"/>
      <w:b/>
      <w:spacing w:val="12"/>
      <w:w w:val="90"/>
      <w:sz w:val="24"/>
      <w:szCs w:val="24"/>
    </w:rPr>
  </w:style>
  <w:style w:type="paragraph" w:customStyle="1" w:styleId="2713">
    <w:name w:val="图1-1"/>
    <w:basedOn w:val="1205"/>
    <w:link w:val="2712"/>
    <w:qFormat/>
    <w:uiPriority w:val="0"/>
    <w:pPr>
      <w:widowControl/>
      <w:tabs>
        <w:tab w:val="clear" w:pos="0"/>
      </w:tabs>
      <w:adjustRightInd/>
      <w:snapToGrid/>
    </w:pPr>
    <w:rPr>
      <w:rFonts w:cs="宋体"/>
      <w:w w:val="90"/>
      <w:kern w:val="0"/>
    </w:rPr>
  </w:style>
  <w:style w:type="character" w:customStyle="1" w:styleId="2714">
    <w:name w:val="物探标题 1 Char"/>
    <w:qFormat/>
    <w:uiPriority w:val="0"/>
    <w:rPr>
      <w:rFonts w:hint="eastAsia" w:ascii="方正小标宋简体" w:hAnsi="华文中宋" w:eastAsia="方正小标宋简体" w:cs="宋体"/>
      <w:b/>
      <w:kern w:val="44"/>
      <w:sz w:val="30"/>
      <w:szCs w:val="30"/>
      <w:lang w:val="en-US" w:eastAsia="zh-CN" w:bidi="ar-SA"/>
    </w:rPr>
  </w:style>
  <w:style w:type="character" w:customStyle="1" w:styleId="2715">
    <w:name w:val="c Char1"/>
    <w:link w:val="1433"/>
    <w:qFormat/>
    <w:locked/>
    <w:uiPriority w:val="0"/>
    <w:rPr>
      <w:rFonts w:ascii="Arial" w:hAnsi="Arial"/>
      <w:sz w:val="24"/>
    </w:rPr>
  </w:style>
  <w:style w:type="character" w:customStyle="1" w:styleId="2716">
    <w:name w:val="cgray1"/>
    <w:qFormat/>
    <w:uiPriority w:val="0"/>
    <w:rPr>
      <w:rFonts w:hint="eastAsia" w:ascii="宋体" w:hAnsi="宋体" w:eastAsia="宋体" w:cs="宋体"/>
      <w:color w:val="4F544D"/>
      <w:kern w:val="2"/>
      <w:sz w:val="28"/>
      <w:szCs w:val="24"/>
      <w:lang w:val="en-US" w:eastAsia="zh-CN" w:bidi="ar"/>
    </w:rPr>
  </w:style>
  <w:style w:type="character" w:customStyle="1" w:styleId="2717">
    <w:name w:val="正文段落 Char Char"/>
    <w:qFormat/>
    <w:uiPriority w:val="0"/>
    <w:rPr>
      <w:rFonts w:hint="eastAsia" w:ascii="宋体" w:hAnsi="宋体" w:eastAsia="宋体" w:cs="宋体"/>
      <w:kern w:val="2"/>
      <w:sz w:val="28"/>
      <w:szCs w:val="24"/>
      <w:lang w:val="en-US" w:eastAsia="zh-CN" w:bidi="ar-SA"/>
    </w:rPr>
  </w:style>
  <w:style w:type="character" w:customStyle="1" w:styleId="2718">
    <w:name w:val="正文首缩 Char Char"/>
    <w:link w:val="2719"/>
    <w:qFormat/>
    <w:locked/>
    <w:uiPriority w:val="0"/>
    <w:rPr>
      <w:rFonts w:ascii="宋体" w:hAnsi="宋体" w:cs="宋体"/>
      <w:sz w:val="24"/>
      <w:szCs w:val="24"/>
    </w:rPr>
  </w:style>
  <w:style w:type="paragraph" w:customStyle="1" w:styleId="2719">
    <w:name w:val="正文首缩"/>
    <w:basedOn w:val="34"/>
    <w:link w:val="2718"/>
    <w:qFormat/>
    <w:uiPriority w:val="0"/>
    <w:pPr>
      <w:snapToGrid w:val="0"/>
      <w:spacing w:after="80" w:line="360" w:lineRule="auto"/>
      <w:ind w:firstLine="454"/>
    </w:pPr>
    <w:rPr>
      <w:rFonts w:ascii="宋体" w:hAnsi="宋体" w:eastAsia="宋体" w:cs="宋体"/>
      <w:kern w:val="0"/>
      <w:sz w:val="24"/>
      <w:szCs w:val="24"/>
    </w:rPr>
  </w:style>
  <w:style w:type="character" w:customStyle="1" w:styleId="2720">
    <w:name w:val="1-正文 Char Char"/>
    <w:link w:val="1694"/>
    <w:qFormat/>
    <w:locked/>
    <w:uiPriority w:val="0"/>
    <w:rPr>
      <w:rFonts w:ascii="宋体" w:hAnsi="宋体" w:cs="宋体"/>
      <w:sz w:val="24"/>
      <w:szCs w:val="24"/>
    </w:rPr>
  </w:style>
  <w:style w:type="character" w:customStyle="1" w:styleId="2721">
    <w:name w:val="正文小4 Char Char"/>
    <w:link w:val="2722"/>
    <w:qFormat/>
    <w:locked/>
    <w:uiPriority w:val="0"/>
    <w:rPr>
      <w:rFonts w:ascii="宋体" w:hAnsi="宋体" w:cs="宋体"/>
      <w:sz w:val="24"/>
      <w:szCs w:val="24"/>
    </w:rPr>
  </w:style>
  <w:style w:type="paragraph" w:customStyle="1" w:styleId="2722">
    <w:name w:val="正文小4"/>
    <w:basedOn w:val="34"/>
    <w:next w:val="34"/>
    <w:link w:val="2721"/>
    <w:qFormat/>
    <w:uiPriority w:val="0"/>
    <w:pPr>
      <w:spacing w:after="0" w:line="360" w:lineRule="auto"/>
      <w:ind w:firstLine="200" w:firstLineChars="200"/>
    </w:pPr>
    <w:rPr>
      <w:rFonts w:ascii="宋体" w:hAnsi="宋体" w:eastAsia="宋体" w:cs="宋体"/>
      <w:kern w:val="0"/>
      <w:sz w:val="24"/>
      <w:szCs w:val="24"/>
    </w:rPr>
  </w:style>
  <w:style w:type="character" w:customStyle="1" w:styleId="2723">
    <w:name w:val="样式1 Char Char Char Char Char Char"/>
    <w:link w:val="2724"/>
    <w:qFormat/>
    <w:locked/>
    <w:uiPriority w:val="0"/>
    <w:rPr>
      <w:rFonts w:ascii="宋体" w:hAnsi="宋体" w:cs="宋体"/>
      <w:sz w:val="24"/>
      <w:szCs w:val="24"/>
    </w:rPr>
  </w:style>
  <w:style w:type="paragraph" w:customStyle="1" w:styleId="2724">
    <w:name w:val="样式1 Char Char Char Char"/>
    <w:basedOn w:val="81"/>
    <w:link w:val="2723"/>
    <w:qFormat/>
    <w:uiPriority w:val="0"/>
    <w:pPr>
      <w:widowControl w:val="0"/>
      <w:tabs>
        <w:tab w:val="left" w:pos="899"/>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djustRightInd w:val="0"/>
      <w:spacing w:line="312" w:lineRule="atLeast"/>
      <w:jc w:val="both"/>
    </w:pPr>
    <w:rPr>
      <w:rFonts w:ascii="宋体" w:hAnsi="宋体" w:eastAsia="宋体" w:cs="宋体"/>
      <w:sz w:val="24"/>
      <w:szCs w:val="24"/>
    </w:rPr>
  </w:style>
  <w:style w:type="character" w:customStyle="1" w:styleId="2725">
    <w:name w:val="Comment Text Char1"/>
    <w:semiHidden/>
    <w:qFormat/>
    <w:uiPriority w:val="99"/>
    <w:rPr>
      <w:rFonts w:ascii="宋体" w:hAnsi="宋体" w:eastAsia="Arial" w:cs="宋体"/>
      <w:kern w:val="28"/>
      <w:sz w:val="32"/>
      <w:szCs w:val="32"/>
      <w:lang w:val="en-US" w:eastAsia="zh-CN" w:bidi="ar-SA"/>
    </w:rPr>
  </w:style>
  <w:style w:type="character" w:customStyle="1" w:styleId="2726">
    <w:name w:val="海南化工城正文 Char"/>
    <w:qFormat/>
    <w:uiPriority w:val="0"/>
    <w:rPr>
      <w:rFonts w:hint="eastAsia" w:ascii="宋体" w:hAnsi="宋体" w:eastAsia="宋体"/>
      <w:kern w:val="2"/>
      <w:sz w:val="24"/>
      <w:lang w:bidi="ar-SA"/>
    </w:rPr>
  </w:style>
  <w:style w:type="character" w:customStyle="1" w:styleId="2727">
    <w:name w:val="引用 Char1"/>
    <w:qFormat/>
    <w:uiPriority w:val="0"/>
    <w:rPr>
      <w:rFonts w:hint="eastAsia" w:ascii="宋体" w:hAnsi="宋体" w:eastAsia="宋体" w:cs="宋体"/>
      <w:i/>
      <w:iCs/>
      <w:color w:val="000000"/>
      <w:kern w:val="2"/>
      <w:sz w:val="24"/>
      <w:szCs w:val="24"/>
      <w:lang w:val="en-US" w:eastAsia="zh-CN" w:bidi="ar"/>
    </w:rPr>
  </w:style>
  <w:style w:type="character" w:customStyle="1" w:styleId="2728">
    <w:name w:val="正文(首行缩进2字） Char Char"/>
    <w:link w:val="1692"/>
    <w:qFormat/>
    <w:locked/>
    <w:uiPriority w:val="0"/>
    <w:rPr>
      <w:rFonts w:ascii="Arial" w:hAnsi="Arial" w:cs="Arial"/>
      <w:sz w:val="24"/>
      <w:szCs w:val="24"/>
    </w:rPr>
  </w:style>
  <w:style w:type="character" w:customStyle="1" w:styleId="2729">
    <w:name w:val="pt91"/>
    <w:qFormat/>
    <w:uiPriority w:val="0"/>
    <w:rPr>
      <w:rFonts w:hint="eastAsia" w:ascii="宋体" w:hAnsi="宋体" w:eastAsia="宋体" w:cs="宋体"/>
      <w:color w:val="000000"/>
      <w:kern w:val="2"/>
      <w:sz w:val="18"/>
      <w:szCs w:val="18"/>
      <w:lang w:val="en-US" w:eastAsia="zh-CN" w:bidi="ar"/>
    </w:rPr>
  </w:style>
  <w:style w:type="character" w:customStyle="1" w:styleId="2730">
    <w:name w:val="标题 6 Char2"/>
    <w:qFormat/>
    <w:uiPriority w:val="0"/>
    <w:rPr>
      <w:rFonts w:hint="default" w:ascii="Arial" w:hAnsi="Arial" w:eastAsia="黑体" w:cs="Arial"/>
      <w:kern w:val="2"/>
      <w:sz w:val="28"/>
      <w:szCs w:val="24"/>
      <w:lang w:val="en-US" w:eastAsia="zh-CN" w:bidi="ar-SA"/>
    </w:rPr>
  </w:style>
  <w:style w:type="character" w:customStyle="1" w:styleId="2731">
    <w:name w:val="正文 小丹 Char Char"/>
    <w:link w:val="2732"/>
    <w:qFormat/>
    <w:locked/>
    <w:uiPriority w:val="0"/>
    <w:rPr>
      <w:rFonts w:ascii="宋体" w:hAnsi="宋体" w:cs="宋体"/>
      <w:color w:val="000000"/>
      <w:spacing w:val="6"/>
      <w:sz w:val="24"/>
      <w:szCs w:val="24"/>
    </w:rPr>
  </w:style>
  <w:style w:type="paragraph" w:customStyle="1" w:styleId="2732">
    <w:name w:val="正文 小丹"/>
    <w:basedOn w:val="41"/>
    <w:link w:val="2731"/>
    <w:qFormat/>
    <w:uiPriority w:val="0"/>
    <w:pPr>
      <w:adjustRightInd w:val="0"/>
      <w:snapToGrid w:val="0"/>
      <w:spacing w:after="0" w:line="360" w:lineRule="auto"/>
      <w:ind w:firstLine="200" w:firstLineChars="200"/>
    </w:pPr>
    <w:rPr>
      <w:rFonts w:ascii="宋体" w:hAnsi="宋体" w:eastAsia="宋体" w:cs="宋体"/>
      <w:color w:val="000000"/>
      <w:spacing w:val="6"/>
      <w:kern w:val="0"/>
      <w:sz w:val="24"/>
      <w:szCs w:val="24"/>
    </w:rPr>
  </w:style>
  <w:style w:type="character" w:customStyle="1" w:styleId="2733">
    <w:name w:val="德胜表头 Char Char"/>
    <w:link w:val="2734"/>
    <w:qFormat/>
    <w:locked/>
    <w:uiPriority w:val="0"/>
    <w:rPr>
      <w:rFonts w:ascii="宋体" w:hAnsi="宋体" w:cs="宋体"/>
      <w:b/>
      <w:snapToGrid/>
      <w:color w:val="0000FF"/>
      <w:sz w:val="24"/>
      <w:szCs w:val="24"/>
    </w:rPr>
  </w:style>
  <w:style w:type="paragraph" w:customStyle="1" w:styleId="2734">
    <w:name w:val="德胜表头"/>
    <w:basedOn w:val="2617"/>
    <w:link w:val="2733"/>
    <w:qFormat/>
    <w:uiPriority w:val="0"/>
    <w:pPr>
      <w:spacing w:line="240" w:lineRule="auto"/>
      <w:ind w:firstLine="0" w:firstLineChars="0"/>
      <w:jc w:val="center"/>
    </w:pPr>
    <w:rPr>
      <w:b/>
    </w:rPr>
  </w:style>
  <w:style w:type="character" w:customStyle="1" w:styleId="2735">
    <w:name w:val="样式85 Char Char"/>
    <w:link w:val="2736"/>
    <w:qFormat/>
    <w:locked/>
    <w:uiPriority w:val="0"/>
    <w:rPr>
      <w:rFonts w:ascii="宋体" w:hAnsi="宋体" w:cs="宋体"/>
      <w:color w:val="000000"/>
      <w:sz w:val="24"/>
      <w:szCs w:val="24"/>
    </w:rPr>
  </w:style>
  <w:style w:type="paragraph" w:customStyle="1" w:styleId="2736">
    <w:name w:val="样式85"/>
    <w:basedOn w:val="1"/>
    <w:link w:val="2735"/>
    <w:qFormat/>
    <w:uiPriority w:val="0"/>
    <w:pPr>
      <w:spacing w:before="156" w:after="156" w:line="360" w:lineRule="auto"/>
      <w:ind w:firstLine="480" w:firstLineChars="200"/>
    </w:pPr>
    <w:rPr>
      <w:rFonts w:ascii="宋体" w:hAnsi="宋体" w:eastAsia="宋体" w:cs="宋体"/>
      <w:color w:val="000000"/>
      <w:kern w:val="0"/>
      <w:sz w:val="24"/>
      <w:szCs w:val="24"/>
    </w:rPr>
  </w:style>
  <w:style w:type="character" w:customStyle="1" w:styleId="2737">
    <w:name w:val="Char Char39"/>
    <w:qFormat/>
    <w:uiPriority w:val="0"/>
    <w:rPr>
      <w:rFonts w:hint="eastAsia" w:ascii="宋体" w:hAnsi="宋体" w:eastAsia="宋体" w:cs="宋体"/>
      <w:i/>
      <w:iCs/>
      <w:color w:val="000000"/>
      <w:kern w:val="2"/>
      <w:sz w:val="24"/>
      <w:szCs w:val="24"/>
      <w:lang w:val="en-US" w:eastAsia="zh-CN" w:bidi="ar-SA"/>
    </w:rPr>
  </w:style>
  <w:style w:type="character" w:customStyle="1" w:styleId="2738">
    <w:name w:val="+正文 Char Char"/>
    <w:qFormat/>
    <w:locked/>
    <w:uiPriority w:val="0"/>
    <w:rPr>
      <w:rFonts w:ascii="宋体" w:hAnsi="宋体" w:eastAsia="宋体" w:cs="宋体"/>
      <w:sz w:val="28"/>
      <w:szCs w:val="28"/>
    </w:rPr>
  </w:style>
  <w:style w:type="character" w:customStyle="1" w:styleId="2739">
    <w:name w:val="正文标准样式 Char"/>
    <w:qFormat/>
    <w:locked/>
    <w:uiPriority w:val="0"/>
    <w:rPr>
      <w:rFonts w:eastAsia="宋体"/>
      <w:sz w:val="24"/>
    </w:rPr>
  </w:style>
  <w:style w:type="character" w:customStyle="1" w:styleId="2740">
    <w:name w:val="Char Char38"/>
    <w:qFormat/>
    <w:locked/>
    <w:uiPriority w:val="0"/>
    <w:rPr>
      <w:rFonts w:ascii="Cambria" w:hAnsi="Cambria" w:eastAsia="宋体" w:cs="宋体"/>
      <w:b/>
      <w:kern w:val="2"/>
      <w:sz w:val="28"/>
      <w:szCs w:val="28"/>
      <w:lang w:val="en-US" w:eastAsia="zh-CN" w:bidi="ar-SA"/>
    </w:rPr>
  </w:style>
  <w:style w:type="character" w:customStyle="1" w:styleId="2741">
    <w:name w:val="表注 Char Char"/>
    <w:link w:val="2742"/>
    <w:qFormat/>
    <w:locked/>
    <w:uiPriority w:val="0"/>
    <w:rPr>
      <w:rFonts w:ascii="宋体" w:hAnsi="宋体" w:cs="宋体"/>
      <w:color w:val="FF0000"/>
      <w:kern w:val="24"/>
      <w:szCs w:val="24"/>
    </w:rPr>
  </w:style>
  <w:style w:type="paragraph" w:customStyle="1" w:styleId="2742">
    <w:name w:val="表注"/>
    <w:basedOn w:val="1"/>
    <w:next w:val="1"/>
    <w:link w:val="2741"/>
    <w:qFormat/>
    <w:uiPriority w:val="0"/>
    <w:pPr>
      <w:keepLines/>
      <w:overflowPunct w:val="0"/>
      <w:adjustRightInd w:val="0"/>
      <w:ind w:left="100" w:leftChars="100" w:right="50" w:rightChars="50" w:hanging="200" w:hangingChars="200"/>
    </w:pPr>
    <w:rPr>
      <w:rFonts w:ascii="宋体" w:hAnsi="宋体" w:eastAsia="宋体" w:cs="宋体"/>
      <w:color w:val="FF0000"/>
      <w:kern w:val="24"/>
      <w:sz w:val="20"/>
      <w:szCs w:val="24"/>
    </w:rPr>
  </w:style>
  <w:style w:type="character" w:customStyle="1" w:styleId="2743">
    <w:name w:val="样式 四号 首行缩进:  0.99 厘米 行距: 固定值 25 磅1 Char Char"/>
    <w:link w:val="2744"/>
    <w:qFormat/>
    <w:locked/>
    <w:uiPriority w:val="0"/>
    <w:rPr>
      <w:rFonts w:ascii="宋体" w:hAnsi="宋体" w:cs="宋体"/>
      <w:sz w:val="28"/>
      <w:szCs w:val="24"/>
    </w:rPr>
  </w:style>
  <w:style w:type="paragraph" w:customStyle="1" w:styleId="2744">
    <w:name w:val="样式 四号 首行缩进:  0.99 厘米 行距: 固定值 25 磅1"/>
    <w:basedOn w:val="1"/>
    <w:link w:val="2743"/>
    <w:qFormat/>
    <w:uiPriority w:val="0"/>
    <w:pPr>
      <w:spacing w:line="500" w:lineRule="exact"/>
      <w:ind w:firstLine="560"/>
    </w:pPr>
    <w:rPr>
      <w:rFonts w:ascii="宋体" w:hAnsi="宋体" w:eastAsia="宋体" w:cs="宋体"/>
      <w:kern w:val="0"/>
      <w:szCs w:val="24"/>
    </w:rPr>
  </w:style>
  <w:style w:type="character" w:customStyle="1" w:styleId="2745">
    <w:name w:val="Char Char29"/>
    <w:qFormat/>
    <w:uiPriority w:val="0"/>
    <w:rPr>
      <w:rFonts w:hint="default" w:ascii="Arial" w:hAnsi="Arial" w:eastAsia="黑体" w:cs="Times New Roman"/>
      <w:kern w:val="2"/>
      <w:sz w:val="24"/>
      <w:szCs w:val="21"/>
      <w:lang w:val="en-US" w:eastAsia="zh-CN" w:bidi="ar-SA"/>
    </w:rPr>
  </w:style>
  <w:style w:type="character" w:customStyle="1" w:styleId="2746">
    <w:name w:val="正文格式 Char Char Char"/>
    <w:link w:val="1464"/>
    <w:qFormat/>
    <w:locked/>
    <w:uiPriority w:val="0"/>
    <w:rPr>
      <w:rFonts w:eastAsia="楷体_GB2312"/>
      <w:kern w:val="2"/>
      <w:sz w:val="28"/>
    </w:rPr>
  </w:style>
  <w:style w:type="character" w:customStyle="1" w:styleId="2747">
    <w:name w:val="小四正文缩进2 Char Char Char"/>
    <w:link w:val="2748"/>
    <w:qFormat/>
    <w:locked/>
    <w:uiPriority w:val="0"/>
    <w:rPr>
      <w:rFonts w:ascii="宋体" w:hAnsi="宋体" w:cs="宋体"/>
      <w:sz w:val="24"/>
      <w:szCs w:val="24"/>
    </w:rPr>
  </w:style>
  <w:style w:type="paragraph" w:customStyle="1" w:styleId="2748">
    <w:name w:val="小四正文缩进2 Char"/>
    <w:basedOn w:val="1"/>
    <w:link w:val="2747"/>
    <w:qFormat/>
    <w:uiPriority w:val="0"/>
    <w:pPr>
      <w:spacing w:line="360" w:lineRule="auto"/>
      <w:ind w:firstLine="200" w:firstLineChars="200"/>
    </w:pPr>
    <w:rPr>
      <w:rFonts w:ascii="宋体" w:hAnsi="宋体" w:eastAsia="宋体" w:cs="宋体"/>
      <w:kern w:val="0"/>
      <w:sz w:val="24"/>
      <w:szCs w:val="24"/>
    </w:rPr>
  </w:style>
  <w:style w:type="character" w:customStyle="1" w:styleId="2749">
    <w:name w:val="MY标题3 Char Char"/>
    <w:link w:val="2750"/>
    <w:qFormat/>
    <w:locked/>
    <w:uiPriority w:val="0"/>
    <w:rPr>
      <w:rFonts w:ascii="宋体" w:hAnsi="宋体" w:eastAsia="黑体" w:cs="宋体"/>
      <w:b/>
      <w:bCs/>
      <w:color w:val="000000"/>
      <w:sz w:val="28"/>
      <w:szCs w:val="24"/>
    </w:rPr>
  </w:style>
  <w:style w:type="paragraph" w:customStyle="1" w:styleId="2750">
    <w:name w:val="MY标题3"/>
    <w:basedOn w:val="6"/>
    <w:link w:val="2749"/>
    <w:qFormat/>
    <w:uiPriority w:val="0"/>
    <w:pPr>
      <w:tabs>
        <w:tab w:val="left" w:pos="1022"/>
        <w:tab w:val="left" w:pos="1080"/>
        <w:tab w:val="left" w:pos="1135"/>
        <w:tab w:val="clear" w:pos="1789"/>
      </w:tabs>
      <w:spacing w:before="156" w:after="156"/>
      <w:ind w:left="1135" w:hanging="851"/>
    </w:pPr>
    <w:rPr>
      <w:rFonts w:ascii="宋体" w:hAnsi="宋体" w:eastAsia="黑体" w:cs="宋体"/>
      <w:color w:val="000000"/>
      <w:kern w:val="0"/>
      <w:sz w:val="28"/>
      <w:szCs w:val="24"/>
    </w:rPr>
  </w:style>
  <w:style w:type="character" w:customStyle="1" w:styleId="2751">
    <w:name w:val="Char Char421"/>
    <w:qFormat/>
    <w:locked/>
    <w:uiPriority w:val="0"/>
    <w:rPr>
      <w:rFonts w:ascii="Calibri" w:hAnsi="Calibri" w:eastAsia="宋体"/>
      <w:kern w:val="2"/>
      <w:sz w:val="21"/>
      <w:szCs w:val="22"/>
      <w:lang w:val="en-US" w:eastAsia="zh-CN" w:bidi="ar-SA"/>
    </w:rPr>
  </w:style>
  <w:style w:type="character" w:customStyle="1" w:styleId="2752">
    <w:name w:val="正文（首行缩进两字）标题1 Char"/>
    <w:link w:val="2753"/>
    <w:qFormat/>
    <w:locked/>
    <w:uiPriority w:val="0"/>
    <w:rPr>
      <w:rFonts w:ascii="宋体" w:hAnsi="宋体" w:cs="宋体"/>
      <w:bCs/>
      <w:color w:val="000000"/>
      <w:sz w:val="24"/>
      <w:szCs w:val="24"/>
    </w:rPr>
  </w:style>
  <w:style w:type="paragraph" w:customStyle="1" w:styleId="2753">
    <w:name w:val="标题四"/>
    <w:basedOn w:val="7"/>
    <w:link w:val="2752"/>
    <w:qFormat/>
    <w:uiPriority w:val="0"/>
    <w:pPr>
      <w:tabs>
        <w:tab w:val="left" w:pos="864"/>
        <w:tab w:val="left" w:pos="1620"/>
        <w:tab w:val="left" w:pos="1680"/>
        <w:tab w:val="left" w:pos="2153"/>
        <w:tab w:val="clear" w:pos="4008"/>
      </w:tabs>
      <w:spacing w:before="280" w:after="290" w:line="372" w:lineRule="auto"/>
      <w:ind w:left="0" w:firstLine="0"/>
      <w:jc w:val="both"/>
    </w:pPr>
    <w:rPr>
      <w:rFonts w:ascii="宋体" w:hAnsi="宋体" w:eastAsia="宋体" w:cs="宋体"/>
      <w:b w:val="0"/>
      <w:bCs/>
      <w:kern w:val="0"/>
      <w:szCs w:val="24"/>
    </w:rPr>
  </w:style>
  <w:style w:type="character" w:customStyle="1" w:styleId="2754">
    <w:name w:val="表格内标 Char Char"/>
    <w:link w:val="2755"/>
    <w:qFormat/>
    <w:locked/>
    <w:uiPriority w:val="0"/>
    <w:rPr>
      <w:rFonts w:ascii="宋体" w:hAnsi="宋体" w:eastAsia="黑体" w:cs="宋体"/>
      <w:sz w:val="28"/>
      <w:szCs w:val="24"/>
    </w:rPr>
  </w:style>
  <w:style w:type="paragraph" w:customStyle="1" w:styleId="2755">
    <w:name w:val="表格内标"/>
    <w:basedOn w:val="1"/>
    <w:next w:val="1"/>
    <w:link w:val="2754"/>
    <w:qFormat/>
    <w:uiPriority w:val="0"/>
    <w:pPr>
      <w:adjustRightInd w:val="0"/>
      <w:snapToGrid w:val="0"/>
      <w:jc w:val="center"/>
    </w:pPr>
    <w:rPr>
      <w:rFonts w:ascii="宋体" w:hAnsi="宋体" w:eastAsia="黑体" w:cs="宋体"/>
      <w:kern w:val="0"/>
      <w:szCs w:val="24"/>
    </w:rPr>
  </w:style>
  <w:style w:type="character" w:customStyle="1" w:styleId="2756">
    <w:name w:val="dxj正文 Char Char"/>
    <w:qFormat/>
    <w:locked/>
    <w:uiPriority w:val="0"/>
    <w:rPr>
      <w:rFonts w:ascii="宋体" w:hAnsi="宋体" w:eastAsia="宋体"/>
      <w:kern w:val="2"/>
      <w:sz w:val="24"/>
      <w:szCs w:val="24"/>
      <w:lang w:val="en-US" w:eastAsia="zh-CN" w:bidi="ar-SA"/>
    </w:rPr>
  </w:style>
  <w:style w:type="character" w:customStyle="1" w:styleId="2757">
    <w:name w:val="样式 表头YHY + 五号 自动设置 Char Char"/>
    <w:link w:val="2758"/>
    <w:qFormat/>
    <w:locked/>
    <w:uiPriority w:val="0"/>
    <w:rPr>
      <w:rFonts w:ascii="宋体" w:hAnsi="宋体"/>
      <w:spacing w:val="-2"/>
      <w:sz w:val="28"/>
    </w:rPr>
  </w:style>
  <w:style w:type="paragraph" w:customStyle="1" w:styleId="2758">
    <w:name w:val="样式 表头YHY + 五号 自动设置"/>
    <w:basedOn w:val="1"/>
    <w:link w:val="2757"/>
    <w:qFormat/>
    <w:uiPriority w:val="0"/>
    <w:rPr>
      <w:rFonts w:ascii="宋体" w:hAnsi="宋体" w:eastAsia="宋体"/>
      <w:spacing w:val="-2"/>
      <w:kern w:val="0"/>
    </w:rPr>
  </w:style>
  <w:style w:type="character" w:customStyle="1" w:styleId="2759">
    <w:name w:val="文章正文 Char Char Char"/>
    <w:qFormat/>
    <w:locked/>
    <w:uiPriority w:val="0"/>
    <w:rPr>
      <w:rFonts w:ascii="宋体" w:hAnsi="宋体" w:eastAsia="宋体"/>
      <w:sz w:val="24"/>
      <w:szCs w:val="24"/>
    </w:rPr>
  </w:style>
  <w:style w:type="character" w:customStyle="1" w:styleId="2760">
    <w:name w:val="文本矿山 Char Char"/>
    <w:link w:val="2761"/>
    <w:qFormat/>
    <w:locked/>
    <w:uiPriority w:val="0"/>
    <w:rPr>
      <w:rFonts w:ascii="宋体" w:hAnsi="宋体" w:cs="宋体"/>
      <w:sz w:val="24"/>
      <w:szCs w:val="24"/>
    </w:rPr>
  </w:style>
  <w:style w:type="paragraph" w:customStyle="1" w:styleId="2761">
    <w:name w:val="文本矿山"/>
    <w:basedOn w:val="1"/>
    <w:link w:val="2760"/>
    <w:qFormat/>
    <w:uiPriority w:val="0"/>
    <w:pPr>
      <w:spacing w:beforeLines="50" w:line="360" w:lineRule="auto"/>
      <w:ind w:firstLine="480" w:firstLineChars="200"/>
      <w:jc w:val="left"/>
    </w:pPr>
    <w:rPr>
      <w:rFonts w:ascii="宋体" w:hAnsi="宋体" w:eastAsia="宋体" w:cs="宋体"/>
      <w:kern w:val="0"/>
      <w:sz w:val="24"/>
      <w:szCs w:val="24"/>
    </w:rPr>
  </w:style>
  <w:style w:type="character" w:customStyle="1" w:styleId="2762">
    <w:name w:val="报告正文小四 Char Char"/>
    <w:link w:val="2763"/>
    <w:qFormat/>
    <w:locked/>
    <w:uiPriority w:val="0"/>
    <w:rPr>
      <w:rFonts w:ascii="宋体" w:hAnsi="宋体" w:cs="宋体"/>
      <w:sz w:val="24"/>
      <w:szCs w:val="24"/>
    </w:rPr>
  </w:style>
  <w:style w:type="paragraph" w:customStyle="1" w:styleId="2763">
    <w:name w:val="报告正文小四"/>
    <w:basedOn w:val="1"/>
    <w:link w:val="2762"/>
    <w:qFormat/>
    <w:uiPriority w:val="0"/>
    <w:pPr>
      <w:adjustRightInd w:val="0"/>
      <w:snapToGrid w:val="0"/>
      <w:spacing w:before="120" w:line="420" w:lineRule="atLeast"/>
      <w:ind w:firstLine="510"/>
    </w:pPr>
    <w:rPr>
      <w:rFonts w:ascii="宋体" w:hAnsi="宋体" w:eastAsia="宋体" w:cs="宋体"/>
      <w:kern w:val="0"/>
      <w:sz w:val="24"/>
      <w:szCs w:val="24"/>
    </w:rPr>
  </w:style>
  <w:style w:type="character" w:customStyle="1" w:styleId="2764">
    <w:name w:val="样式 正文001 + 首行缩进:  2 字符 Char Char"/>
    <w:link w:val="2765"/>
    <w:qFormat/>
    <w:locked/>
    <w:uiPriority w:val="0"/>
    <w:rPr>
      <w:rFonts w:ascii="宋体" w:hAnsi="宋体" w:cs="宋体"/>
      <w:sz w:val="24"/>
      <w:szCs w:val="24"/>
    </w:rPr>
  </w:style>
  <w:style w:type="paragraph" w:customStyle="1" w:styleId="2765">
    <w:name w:val="样式 正文001 + 首行缩进:  2 字符"/>
    <w:basedOn w:val="1"/>
    <w:link w:val="2764"/>
    <w:qFormat/>
    <w:uiPriority w:val="0"/>
    <w:pPr>
      <w:spacing w:line="500" w:lineRule="atLeast"/>
      <w:ind w:firstLine="480" w:firstLineChars="200"/>
    </w:pPr>
    <w:rPr>
      <w:rFonts w:ascii="宋体" w:hAnsi="宋体" w:eastAsia="宋体" w:cs="宋体"/>
      <w:kern w:val="0"/>
      <w:sz w:val="24"/>
      <w:szCs w:val="24"/>
    </w:rPr>
  </w:style>
  <w:style w:type="character" w:customStyle="1" w:styleId="2766">
    <w:name w:val="标题 2YHY Char Char Char"/>
    <w:link w:val="2767"/>
    <w:qFormat/>
    <w:locked/>
    <w:uiPriority w:val="0"/>
    <w:rPr>
      <w:rFonts w:ascii="Arial" w:hAnsi="Arial" w:eastAsia="黑体" w:cs="宋体"/>
      <w:b/>
      <w:color w:val="000000"/>
      <w:sz w:val="28"/>
      <w:szCs w:val="24"/>
    </w:rPr>
  </w:style>
  <w:style w:type="paragraph" w:customStyle="1" w:styleId="2767">
    <w:name w:val="标题 2YHY"/>
    <w:basedOn w:val="4"/>
    <w:link w:val="2766"/>
    <w:qFormat/>
    <w:uiPriority w:val="0"/>
    <w:pPr>
      <w:keepNext w:val="0"/>
      <w:keepLines w:val="0"/>
      <w:widowControl/>
      <w:tabs>
        <w:tab w:val="left" w:pos="840"/>
        <w:tab w:val="left" w:pos="1320"/>
        <w:tab w:val="left" w:pos="1476"/>
        <w:tab w:val="clear" w:pos="567"/>
      </w:tabs>
      <w:spacing w:before="0" w:after="0" w:line="360" w:lineRule="auto"/>
      <w:ind w:left="1320" w:hanging="420"/>
    </w:pPr>
    <w:rPr>
      <w:rFonts w:ascii="Arial" w:cs="宋体"/>
      <w:b/>
      <w:color w:val="000000"/>
      <w:kern w:val="0"/>
      <w:szCs w:val="24"/>
    </w:rPr>
  </w:style>
  <w:style w:type="character" w:customStyle="1" w:styleId="2768">
    <w:name w:val="MY标题2 Char Char"/>
    <w:link w:val="2769"/>
    <w:qFormat/>
    <w:locked/>
    <w:uiPriority w:val="0"/>
    <w:rPr>
      <w:rFonts w:ascii="宋体" w:hAnsi="宋体" w:eastAsia="黑体" w:cs="宋体"/>
      <w:b/>
      <w:bCs/>
      <w:color w:val="000000"/>
      <w:sz w:val="30"/>
      <w:szCs w:val="24"/>
    </w:rPr>
  </w:style>
  <w:style w:type="paragraph" w:customStyle="1" w:styleId="2769">
    <w:name w:val="MY标题2"/>
    <w:basedOn w:val="4"/>
    <w:link w:val="2768"/>
    <w:qFormat/>
    <w:uiPriority w:val="0"/>
    <w:pPr>
      <w:tabs>
        <w:tab w:val="left" w:pos="1476"/>
      </w:tabs>
      <w:spacing w:before="156" w:after="156"/>
    </w:pPr>
    <w:rPr>
      <w:rFonts w:ascii="宋体" w:hAnsi="宋体" w:cs="宋体"/>
      <w:b/>
      <w:bCs/>
      <w:color w:val="000000"/>
      <w:kern w:val="0"/>
      <w:sz w:val="30"/>
      <w:szCs w:val="24"/>
    </w:rPr>
  </w:style>
  <w:style w:type="character" w:customStyle="1" w:styleId="2770">
    <w:name w:val="标题2----------------- Char Char"/>
    <w:link w:val="2771"/>
    <w:qFormat/>
    <w:locked/>
    <w:uiPriority w:val="0"/>
    <w:rPr>
      <w:rFonts w:ascii="宋体" w:hAnsi="宋体" w:cs="宋体"/>
      <w:b/>
      <w:bCs/>
      <w:sz w:val="32"/>
      <w:szCs w:val="24"/>
    </w:rPr>
  </w:style>
  <w:style w:type="paragraph" w:customStyle="1" w:styleId="2771">
    <w:name w:val="标题2-----------------"/>
    <w:basedOn w:val="4"/>
    <w:link w:val="2770"/>
    <w:qFormat/>
    <w:uiPriority w:val="0"/>
    <w:pPr>
      <w:keepNext w:val="0"/>
      <w:tabs>
        <w:tab w:val="clear" w:pos="567"/>
      </w:tabs>
      <w:spacing w:before="0" w:after="200"/>
      <w:ind w:left="0" w:firstLine="0"/>
    </w:pPr>
    <w:rPr>
      <w:rFonts w:ascii="宋体" w:hAnsi="宋体" w:eastAsia="宋体" w:cs="宋体"/>
      <w:b/>
      <w:bCs/>
      <w:kern w:val="0"/>
      <w:sz w:val="32"/>
      <w:szCs w:val="24"/>
    </w:rPr>
  </w:style>
  <w:style w:type="character" w:customStyle="1" w:styleId="2772">
    <w:name w:val="样式26 Char Char Char"/>
    <w:link w:val="2773"/>
    <w:qFormat/>
    <w:locked/>
    <w:uiPriority w:val="0"/>
    <w:rPr>
      <w:rFonts w:ascii="宋体" w:hAnsi="宋体"/>
      <w:spacing w:val="-2"/>
      <w:sz w:val="28"/>
    </w:rPr>
  </w:style>
  <w:style w:type="paragraph" w:customStyle="1" w:styleId="2773">
    <w:name w:val="样式26"/>
    <w:basedOn w:val="1"/>
    <w:link w:val="2772"/>
    <w:qFormat/>
    <w:uiPriority w:val="0"/>
    <w:rPr>
      <w:rFonts w:ascii="宋体" w:hAnsi="宋体" w:eastAsia="宋体"/>
      <w:spacing w:val="-2"/>
      <w:kern w:val="0"/>
    </w:rPr>
  </w:style>
  <w:style w:type="character" w:customStyle="1" w:styleId="2774">
    <w:name w:val="图表正文 Char Char Char"/>
    <w:link w:val="2775"/>
    <w:qFormat/>
    <w:locked/>
    <w:uiPriority w:val="0"/>
    <w:rPr>
      <w:rFonts w:ascii="宋体" w:hAnsi="宋体" w:cs="宋体"/>
      <w:snapToGrid/>
      <w:szCs w:val="24"/>
    </w:rPr>
  </w:style>
  <w:style w:type="paragraph" w:customStyle="1" w:styleId="2775">
    <w:name w:val="图表正文"/>
    <w:basedOn w:val="1"/>
    <w:link w:val="2774"/>
    <w:qFormat/>
    <w:uiPriority w:val="0"/>
    <w:pPr>
      <w:widowControl/>
      <w:snapToGrid w:val="0"/>
      <w:spacing w:line="360" w:lineRule="atLeast"/>
      <w:ind w:firstLine="420" w:firstLineChars="200"/>
      <w:jc w:val="center"/>
    </w:pPr>
    <w:rPr>
      <w:rFonts w:ascii="宋体" w:hAnsi="宋体" w:eastAsia="宋体" w:cs="宋体"/>
      <w:kern w:val="0"/>
      <w:sz w:val="20"/>
      <w:szCs w:val="24"/>
    </w:rPr>
  </w:style>
  <w:style w:type="character" w:customStyle="1" w:styleId="2776">
    <w:name w:val="正文文字描述 Char Char"/>
    <w:link w:val="2777"/>
    <w:qFormat/>
    <w:locked/>
    <w:uiPriority w:val="0"/>
    <w:rPr>
      <w:rFonts w:ascii="宋体" w:hAnsi="宋体" w:cs="宋体"/>
      <w:color w:val="000000"/>
      <w:spacing w:val="20"/>
      <w:sz w:val="24"/>
      <w:szCs w:val="28"/>
    </w:rPr>
  </w:style>
  <w:style w:type="paragraph" w:customStyle="1" w:styleId="2777">
    <w:name w:val="正文文字描述"/>
    <w:basedOn w:val="1"/>
    <w:link w:val="2776"/>
    <w:qFormat/>
    <w:uiPriority w:val="0"/>
    <w:pPr>
      <w:spacing w:line="480" w:lineRule="exact"/>
      <w:ind w:firstLine="200" w:firstLineChars="200"/>
    </w:pPr>
    <w:rPr>
      <w:rFonts w:ascii="宋体" w:hAnsi="宋体" w:eastAsia="宋体" w:cs="宋体"/>
      <w:color w:val="000000"/>
      <w:spacing w:val="20"/>
      <w:kern w:val="0"/>
      <w:sz w:val="24"/>
      <w:szCs w:val="28"/>
    </w:rPr>
  </w:style>
  <w:style w:type="character" w:customStyle="1" w:styleId="2778">
    <w:name w:val="样式 首行缩进:  2 字符 Char Char Char Char"/>
    <w:qFormat/>
    <w:locked/>
    <w:uiPriority w:val="0"/>
    <w:rPr>
      <w:rFonts w:ascii="Arial" w:hAnsi="Arial" w:eastAsia="宋体" w:cs="宋体"/>
      <w:sz w:val="24"/>
    </w:rPr>
  </w:style>
  <w:style w:type="character" w:customStyle="1" w:styleId="2779">
    <w:name w:val="2缩正 Char Char Char"/>
    <w:link w:val="2780"/>
    <w:qFormat/>
    <w:locked/>
    <w:uiPriority w:val="0"/>
    <w:rPr>
      <w:rFonts w:ascii="宋体" w:hAnsi="宋体" w:cs="宋体"/>
      <w:sz w:val="24"/>
      <w:szCs w:val="24"/>
    </w:rPr>
  </w:style>
  <w:style w:type="paragraph" w:customStyle="1" w:styleId="2780">
    <w:name w:val="2缩正 Char"/>
    <w:basedOn w:val="1"/>
    <w:link w:val="2779"/>
    <w:qFormat/>
    <w:uiPriority w:val="0"/>
    <w:pPr>
      <w:spacing w:line="360" w:lineRule="auto"/>
      <w:ind w:firstLine="200" w:firstLineChars="200"/>
    </w:pPr>
    <w:rPr>
      <w:rFonts w:ascii="宋体" w:hAnsi="宋体" w:eastAsia="宋体" w:cs="宋体"/>
      <w:kern w:val="0"/>
      <w:sz w:val="24"/>
      <w:szCs w:val="24"/>
    </w:rPr>
  </w:style>
  <w:style w:type="character" w:customStyle="1" w:styleId="2781">
    <w:name w:val="样式24 Char Char"/>
    <w:qFormat/>
    <w:locked/>
    <w:uiPriority w:val="0"/>
    <w:rPr>
      <w:rFonts w:ascii="宋体" w:hAnsi="宋体" w:eastAsia="宋体" w:cs="宋体"/>
      <w:kern w:val="2"/>
      <w:sz w:val="28"/>
      <w:szCs w:val="24"/>
      <w:lang w:val="en-US" w:eastAsia="zh-CN" w:bidi="ar-SA"/>
    </w:rPr>
  </w:style>
  <w:style w:type="character" w:customStyle="1" w:styleId="2782">
    <w:name w:val="2级标题 + 黑体 Char Char"/>
    <w:link w:val="2783"/>
    <w:qFormat/>
    <w:locked/>
    <w:uiPriority w:val="0"/>
    <w:rPr>
      <w:rFonts w:ascii="黑体" w:hAnsi="黑体" w:eastAsia="黑体" w:cs="宋体"/>
      <w:b/>
      <w:kern w:val="20"/>
      <w:sz w:val="28"/>
      <w:szCs w:val="28"/>
    </w:rPr>
  </w:style>
  <w:style w:type="paragraph" w:customStyle="1" w:styleId="2783">
    <w:name w:val="2级标题 + 黑体"/>
    <w:basedOn w:val="1"/>
    <w:link w:val="2782"/>
    <w:qFormat/>
    <w:uiPriority w:val="0"/>
    <w:pPr>
      <w:overflowPunct w:val="0"/>
      <w:autoSpaceDE w:val="0"/>
      <w:autoSpaceDN w:val="0"/>
      <w:adjustRightInd w:val="0"/>
      <w:spacing w:before="40" w:after="40" w:line="360" w:lineRule="auto"/>
      <w:jc w:val="left"/>
      <w:outlineLvl w:val="1"/>
    </w:pPr>
    <w:rPr>
      <w:rFonts w:ascii="黑体" w:hAnsi="黑体" w:eastAsia="黑体" w:cs="宋体"/>
      <w:b/>
      <w:kern w:val="20"/>
      <w:szCs w:val="28"/>
    </w:rPr>
  </w:style>
  <w:style w:type="character" w:customStyle="1" w:styleId="2784">
    <w:name w:val="news"/>
    <w:qFormat/>
    <w:uiPriority w:val="0"/>
    <w:rPr>
      <w:rFonts w:hint="eastAsia" w:ascii="宋体" w:hAnsi="宋体" w:eastAsia="宋体" w:cs="宋体"/>
      <w:kern w:val="2"/>
      <w:sz w:val="24"/>
      <w:szCs w:val="20"/>
      <w:lang w:val="en-US" w:eastAsia="zh-CN" w:bidi="ar"/>
    </w:rPr>
  </w:style>
  <w:style w:type="character" w:customStyle="1" w:styleId="2785">
    <w:name w:val="样式69 Char Char"/>
    <w:link w:val="2786"/>
    <w:qFormat/>
    <w:locked/>
    <w:uiPriority w:val="0"/>
    <w:rPr>
      <w:rFonts w:ascii="宋体" w:hAnsi="宋体" w:cs="宋体"/>
      <w:color w:val="000000"/>
      <w:sz w:val="24"/>
      <w:szCs w:val="24"/>
      <w:lang w:val="zh-CN"/>
    </w:rPr>
  </w:style>
  <w:style w:type="paragraph" w:customStyle="1" w:styleId="2786">
    <w:name w:val="样式69"/>
    <w:basedOn w:val="1"/>
    <w:link w:val="2785"/>
    <w:qFormat/>
    <w:uiPriority w:val="0"/>
    <w:pPr>
      <w:autoSpaceDE w:val="0"/>
      <w:autoSpaceDN w:val="0"/>
      <w:adjustRightInd w:val="0"/>
      <w:spacing w:beforeLines="50" w:line="360" w:lineRule="auto"/>
      <w:ind w:firstLine="480"/>
    </w:pPr>
    <w:rPr>
      <w:rFonts w:ascii="宋体" w:hAnsi="宋体" w:eastAsia="宋体" w:cs="宋体"/>
      <w:color w:val="000000"/>
      <w:kern w:val="0"/>
      <w:sz w:val="24"/>
      <w:szCs w:val="24"/>
      <w:lang w:val="zh-CN"/>
    </w:rPr>
  </w:style>
  <w:style w:type="character" w:customStyle="1" w:styleId="2787">
    <w:name w:val="表题 Char Char Char Char"/>
    <w:link w:val="1205"/>
    <w:qFormat/>
    <w:locked/>
    <w:uiPriority w:val="0"/>
    <w:rPr>
      <w:rFonts w:ascii="宋体" w:hAnsi="宋体"/>
      <w:b/>
      <w:spacing w:val="12"/>
      <w:kern w:val="2"/>
      <w:sz w:val="24"/>
      <w:szCs w:val="24"/>
    </w:rPr>
  </w:style>
  <w:style w:type="character" w:customStyle="1" w:styleId="2788">
    <w:name w:val="Char Char211"/>
    <w:qFormat/>
    <w:uiPriority w:val="0"/>
    <w:rPr>
      <w:rFonts w:hint="eastAsia" w:ascii="宋体" w:hAnsi="宋体" w:eastAsia="宋体" w:cs="宋体"/>
      <w:b/>
      <w:kern w:val="2"/>
      <w:sz w:val="24"/>
      <w:szCs w:val="24"/>
      <w:lang w:val="zh-CN" w:eastAsia="zh-CN" w:bidi="ar-SA"/>
    </w:rPr>
  </w:style>
  <w:style w:type="character" w:customStyle="1" w:styleId="2789">
    <w:name w:val="样式36 Char Char"/>
    <w:link w:val="2790"/>
    <w:qFormat/>
    <w:locked/>
    <w:uiPriority w:val="0"/>
    <w:rPr>
      <w:rFonts w:ascii="宋体" w:hAnsi="宋体"/>
      <w:spacing w:val="-2"/>
      <w:sz w:val="28"/>
    </w:rPr>
  </w:style>
  <w:style w:type="paragraph" w:customStyle="1" w:styleId="2790">
    <w:name w:val="样式36"/>
    <w:basedOn w:val="1"/>
    <w:link w:val="2789"/>
    <w:qFormat/>
    <w:uiPriority w:val="0"/>
    <w:rPr>
      <w:rFonts w:ascii="宋体" w:hAnsi="宋体" w:eastAsia="宋体"/>
      <w:spacing w:val="-2"/>
      <w:kern w:val="0"/>
    </w:rPr>
  </w:style>
  <w:style w:type="character" w:customStyle="1" w:styleId="2791">
    <w:name w:val="表格YHY Char Char Char"/>
    <w:link w:val="2792"/>
    <w:qFormat/>
    <w:locked/>
    <w:uiPriority w:val="0"/>
    <w:rPr>
      <w:rFonts w:ascii="宋体" w:hAnsi="宋体" w:cs="宋体"/>
      <w:szCs w:val="24"/>
    </w:rPr>
  </w:style>
  <w:style w:type="paragraph" w:customStyle="1" w:styleId="2792">
    <w:name w:val="表格YHY"/>
    <w:basedOn w:val="1"/>
    <w:link w:val="2791"/>
    <w:qFormat/>
    <w:uiPriority w:val="0"/>
    <w:pPr>
      <w:jc w:val="center"/>
    </w:pPr>
    <w:rPr>
      <w:rFonts w:ascii="宋体" w:hAnsi="宋体" w:eastAsia="宋体" w:cs="宋体"/>
      <w:kern w:val="0"/>
      <w:sz w:val="20"/>
      <w:szCs w:val="24"/>
    </w:rPr>
  </w:style>
  <w:style w:type="character" w:customStyle="1" w:styleId="2793">
    <w:name w:val="样式 小四 Char Char"/>
    <w:link w:val="2794"/>
    <w:qFormat/>
    <w:locked/>
    <w:uiPriority w:val="0"/>
    <w:rPr>
      <w:rFonts w:ascii="Calibri" w:hAnsi="Calibri"/>
      <w:color w:val="000000"/>
      <w:sz w:val="24"/>
      <w:szCs w:val="24"/>
    </w:rPr>
  </w:style>
  <w:style w:type="paragraph" w:customStyle="1" w:styleId="2794">
    <w:name w:val="样式 小四"/>
    <w:basedOn w:val="1"/>
    <w:link w:val="2793"/>
    <w:qFormat/>
    <w:uiPriority w:val="0"/>
    <w:pPr>
      <w:spacing w:line="360" w:lineRule="auto"/>
      <w:ind w:firstLine="480" w:firstLineChars="200"/>
    </w:pPr>
    <w:rPr>
      <w:rFonts w:ascii="Calibri" w:hAnsi="Calibri" w:eastAsia="宋体"/>
      <w:color w:val="000000"/>
      <w:kern w:val="0"/>
      <w:sz w:val="24"/>
      <w:szCs w:val="24"/>
    </w:rPr>
  </w:style>
  <w:style w:type="character" w:customStyle="1" w:styleId="2795">
    <w:name w:val="我的正文517 Char Char"/>
    <w:link w:val="2796"/>
    <w:qFormat/>
    <w:locked/>
    <w:uiPriority w:val="0"/>
    <w:rPr>
      <w:rFonts w:ascii="宋体" w:hAnsi="宋体" w:cs="宋体"/>
      <w:sz w:val="28"/>
      <w:szCs w:val="24"/>
    </w:rPr>
  </w:style>
  <w:style w:type="paragraph" w:customStyle="1" w:styleId="2796">
    <w:name w:val="我的正文517"/>
    <w:basedOn w:val="1"/>
    <w:link w:val="2795"/>
    <w:qFormat/>
    <w:uiPriority w:val="0"/>
    <w:pPr>
      <w:ind w:firstLine="560" w:firstLineChars="200"/>
    </w:pPr>
    <w:rPr>
      <w:rFonts w:ascii="宋体" w:hAnsi="宋体" w:eastAsia="宋体" w:cs="宋体"/>
      <w:kern w:val="0"/>
      <w:szCs w:val="24"/>
    </w:rPr>
  </w:style>
  <w:style w:type="character" w:customStyle="1" w:styleId="2797">
    <w:name w:val="MY正文 Char Char"/>
    <w:link w:val="2798"/>
    <w:qFormat/>
    <w:locked/>
    <w:uiPriority w:val="0"/>
    <w:rPr>
      <w:rFonts w:ascii="宋体" w:hAnsi="宋体" w:cs="宋体"/>
      <w:color w:val="000000"/>
      <w:sz w:val="24"/>
      <w:szCs w:val="24"/>
    </w:rPr>
  </w:style>
  <w:style w:type="paragraph" w:customStyle="1" w:styleId="2798">
    <w:name w:val="MY正文"/>
    <w:basedOn w:val="1"/>
    <w:link w:val="2797"/>
    <w:qFormat/>
    <w:uiPriority w:val="0"/>
    <w:pPr>
      <w:spacing w:line="300" w:lineRule="auto"/>
      <w:ind w:firstLine="480" w:firstLineChars="200"/>
    </w:pPr>
    <w:rPr>
      <w:rFonts w:ascii="宋体" w:hAnsi="宋体" w:eastAsia="宋体" w:cs="宋体"/>
      <w:color w:val="000000"/>
      <w:kern w:val="0"/>
      <w:sz w:val="24"/>
      <w:szCs w:val="24"/>
    </w:rPr>
  </w:style>
  <w:style w:type="character" w:customStyle="1" w:styleId="2799">
    <w:name w:val="样式42 Char Char Char"/>
    <w:qFormat/>
    <w:uiPriority w:val="0"/>
    <w:rPr>
      <w:rFonts w:hint="eastAsia" w:ascii="宋体" w:hAnsi="宋体" w:eastAsia="宋体" w:cs="宋体"/>
      <w:bCs/>
      <w:color w:val="000000"/>
      <w:kern w:val="2"/>
      <w:sz w:val="24"/>
      <w:szCs w:val="24"/>
      <w:lang w:val="en-US" w:eastAsia="zh-CN" w:bidi="ar-SA"/>
    </w:rPr>
  </w:style>
  <w:style w:type="character" w:customStyle="1" w:styleId="2800">
    <w:name w:val="ourfont1"/>
    <w:qFormat/>
    <w:uiPriority w:val="0"/>
    <w:rPr>
      <w:rFonts w:hint="eastAsia" w:ascii="宋体" w:hAnsi="宋体" w:eastAsia="宋体" w:cs="宋体"/>
      <w:color w:val="000000"/>
      <w:kern w:val="2"/>
      <w:sz w:val="24"/>
      <w:szCs w:val="24"/>
      <w:lang w:val="en-US" w:eastAsia="zh-CN" w:bidi="ar"/>
    </w:rPr>
  </w:style>
  <w:style w:type="character" w:customStyle="1" w:styleId="2801">
    <w:name w:val="文章正文 + Times New Roman 段前: 0.5 行 段后: 0.5 行 Char Char"/>
    <w:link w:val="2802"/>
    <w:qFormat/>
    <w:locked/>
    <w:uiPriority w:val="0"/>
    <w:rPr>
      <w:rFonts w:ascii="宋体" w:hAnsi="宋体" w:cs="宋体"/>
      <w:sz w:val="24"/>
      <w:szCs w:val="24"/>
    </w:rPr>
  </w:style>
  <w:style w:type="paragraph" w:customStyle="1" w:styleId="2802">
    <w:name w:val="文章正文 + Times New Roman 段前: 0.5 行 段后: 0.5 行"/>
    <w:basedOn w:val="1"/>
    <w:link w:val="2801"/>
    <w:qFormat/>
    <w:uiPriority w:val="0"/>
    <w:pPr>
      <w:tabs>
        <w:tab w:val="left" w:pos="3930"/>
        <w:tab w:val="left" w:pos="5775"/>
      </w:tabs>
      <w:spacing w:line="500" w:lineRule="exact"/>
      <w:ind w:firstLine="360" w:firstLineChars="150"/>
    </w:pPr>
    <w:rPr>
      <w:rFonts w:ascii="宋体" w:hAnsi="宋体" w:eastAsia="宋体" w:cs="宋体"/>
      <w:kern w:val="0"/>
      <w:sz w:val="24"/>
      <w:szCs w:val="24"/>
    </w:rPr>
  </w:style>
  <w:style w:type="character" w:customStyle="1" w:styleId="2803">
    <w:name w:val="二号标题样式 Char Char Char"/>
    <w:link w:val="2804"/>
    <w:qFormat/>
    <w:locked/>
    <w:uiPriority w:val="0"/>
    <w:rPr>
      <w:rFonts w:ascii="Arial" w:hAnsi="Arial" w:eastAsia="黑体" w:cs="宋体"/>
      <w:sz w:val="28"/>
      <w:szCs w:val="24"/>
    </w:rPr>
  </w:style>
  <w:style w:type="paragraph" w:customStyle="1" w:styleId="2804">
    <w:name w:val="二号标题样式 Char"/>
    <w:basedOn w:val="1"/>
    <w:link w:val="2803"/>
    <w:qFormat/>
    <w:uiPriority w:val="0"/>
    <w:pPr>
      <w:keepNext/>
      <w:keepLines/>
      <w:spacing w:beforeLines="50" w:line="520" w:lineRule="exact"/>
      <w:outlineLvl w:val="2"/>
    </w:pPr>
    <w:rPr>
      <w:rFonts w:ascii="Arial" w:hAnsi="Arial" w:eastAsia="黑体" w:cs="宋体"/>
      <w:kern w:val="0"/>
      <w:szCs w:val="24"/>
    </w:rPr>
  </w:style>
  <w:style w:type="character" w:customStyle="1" w:styleId="2805">
    <w:name w:val="正文表格 Char Char"/>
    <w:link w:val="2806"/>
    <w:qFormat/>
    <w:locked/>
    <w:uiPriority w:val="0"/>
    <w:rPr>
      <w:rFonts w:ascii="宋体" w:hAnsi="宋体" w:cs="宋体"/>
      <w:sz w:val="28"/>
      <w:szCs w:val="24"/>
    </w:rPr>
  </w:style>
  <w:style w:type="paragraph" w:customStyle="1" w:styleId="2806">
    <w:name w:val="正文表格"/>
    <w:basedOn w:val="1"/>
    <w:link w:val="2805"/>
    <w:qFormat/>
    <w:uiPriority w:val="0"/>
    <w:pPr>
      <w:keepNext/>
      <w:keepLines/>
      <w:tabs>
        <w:tab w:val="center" w:pos="6804"/>
      </w:tabs>
      <w:overflowPunct w:val="0"/>
      <w:adjustRightInd w:val="0"/>
      <w:spacing w:before="80"/>
      <w:jc w:val="center"/>
    </w:pPr>
    <w:rPr>
      <w:rFonts w:ascii="宋体" w:hAnsi="宋体" w:eastAsia="宋体" w:cs="宋体"/>
      <w:kern w:val="0"/>
      <w:szCs w:val="24"/>
    </w:rPr>
  </w:style>
  <w:style w:type="character" w:customStyle="1" w:styleId="2807">
    <w:name w:val="自动1 Char Char"/>
    <w:link w:val="968"/>
    <w:qFormat/>
    <w:locked/>
    <w:uiPriority w:val="0"/>
    <w:rPr>
      <w:rFonts w:ascii="黑体" w:hAnsi="Arial Unicode MS" w:eastAsia="黑体" w:cs="Arial Unicode MS"/>
      <w:b/>
      <w:bCs/>
      <w:color w:val="000000"/>
      <w:kern w:val="44"/>
      <w:sz w:val="30"/>
      <w:szCs w:val="30"/>
    </w:rPr>
  </w:style>
  <w:style w:type="character" w:customStyle="1" w:styleId="2808">
    <w:name w:val="样式 标题 3 + 宋体 小四 非加粗 Char Char"/>
    <w:link w:val="890"/>
    <w:qFormat/>
    <w:locked/>
    <w:uiPriority w:val="0"/>
    <w:rPr>
      <w:rFonts w:hAnsi="宋体"/>
      <w:kern w:val="2"/>
      <w:sz w:val="24"/>
      <w:szCs w:val="32"/>
    </w:rPr>
  </w:style>
  <w:style w:type="character" w:customStyle="1" w:styleId="2809">
    <w:name w:val="德胜空行 Char Char"/>
    <w:link w:val="2810"/>
    <w:qFormat/>
    <w:locked/>
    <w:uiPriority w:val="0"/>
    <w:rPr>
      <w:rFonts w:ascii="宋体" w:hAnsi="宋体" w:cs="宋体"/>
      <w:snapToGrid/>
      <w:color w:val="0000FF"/>
      <w:szCs w:val="21"/>
    </w:rPr>
  </w:style>
  <w:style w:type="paragraph" w:customStyle="1" w:styleId="2810">
    <w:name w:val="德胜空行"/>
    <w:basedOn w:val="1"/>
    <w:link w:val="2809"/>
    <w:qFormat/>
    <w:uiPriority w:val="0"/>
    <w:pPr>
      <w:adjustRightInd w:val="0"/>
      <w:snapToGrid w:val="0"/>
      <w:jc w:val="left"/>
    </w:pPr>
    <w:rPr>
      <w:rFonts w:ascii="宋体" w:hAnsi="宋体" w:eastAsia="宋体" w:cs="宋体"/>
      <w:color w:val="0000FF"/>
      <w:kern w:val="0"/>
      <w:sz w:val="20"/>
      <w:szCs w:val="21"/>
    </w:rPr>
  </w:style>
  <w:style w:type="character" w:customStyle="1" w:styleId="2811">
    <w:name w:val="条，(一) Char1"/>
    <w:qFormat/>
    <w:uiPriority w:val="0"/>
    <w:rPr>
      <w:rFonts w:hint="default" w:ascii="Arial" w:hAnsi="Arial" w:eastAsia="黑体" w:cs="Arial"/>
      <w:b/>
      <w:bCs/>
      <w:kern w:val="2"/>
      <w:sz w:val="28"/>
      <w:szCs w:val="28"/>
      <w:lang w:val="en-US" w:eastAsia="zh-CN" w:bidi="ar-SA"/>
    </w:rPr>
  </w:style>
  <w:style w:type="character" w:customStyle="1" w:styleId="2812">
    <w:name w:val="样式 标题 5 + (西文) 宋体 黑色 Char Char"/>
    <w:link w:val="2813"/>
    <w:qFormat/>
    <w:locked/>
    <w:uiPriority w:val="0"/>
    <w:rPr>
      <w:rFonts w:ascii="宋体" w:hAnsi="宋体" w:eastAsia="黑体" w:cs="宋体"/>
      <w:color w:val="000000"/>
      <w:szCs w:val="28"/>
    </w:rPr>
  </w:style>
  <w:style w:type="paragraph" w:customStyle="1" w:styleId="2813">
    <w:name w:val="样式 标题 5 + (西文) 宋体 黑色"/>
    <w:basedOn w:val="8"/>
    <w:link w:val="2812"/>
    <w:qFormat/>
    <w:uiPriority w:val="0"/>
    <w:pPr>
      <w:tabs>
        <w:tab w:val="clear" w:pos="1008"/>
      </w:tabs>
      <w:spacing w:before="280" w:after="290" w:line="372" w:lineRule="auto"/>
      <w:ind w:left="0" w:firstLine="0"/>
    </w:pPr>
    <w:rPr>
      <w:rFonts w:ascii="宋体" w:hAnsi="宋体" w:eastAsia="黑体" w:cs="宋体"/>
      <w:b w:val="0"/>
      <w:bCs w:val="0"/>
      <w:color w:val="000000"/>
      <w:kern w:val="0"/>
      <w:sz w:val="20"/>
    </w:rPr>
  </w:style>
  <w:style w:type="character" w:customStyle="1" w:styleId="2814">
    <w:name w:val="lmy正文 Char Char"/>
    <w:link w:val="2815"/>
    <w:qFormat/>
    <w:locked/>
    <w:uiPriority w:val="0"/>
    <w:rPr>
      <w:rFonts w:ascii="宋体" w:hAnsi="宋体" w:cs="宋体"/>
      <w:color w:val="000000"/>
      <w:sz w:val="24"/>
      <w:szCs w:val="24"/>
    </w:rPr>
  </w:style>
  <w:style w:type="paragraph" w:customStyle="1" w:styleId="2815">
    <w:name w:val="lmy正文"/>
    <w:basedOn w:val="1"/>
    <w:link w:val="2814"/>
    <w:qFormat/>
    <w:uiPriority w:val="0"/>
    <w:pPr>
      <w:autoSpaceDE w:val="0"/>
      <w:autoSpaceDN w:val="0"/>
      <w:adjustRightInd w:val="0"/>
      <w:spacing w:line="300" w:lineRule="auto"/>
      <w:ind w:firstLine="480" w:firstLineChars="200"/>
      <w:jc w:val="left"/>
    </w:pPr>
    <w:rPr>
      <w:rFonts w:ascii="宋体" w:hAnsi="宋体" w:eastAsia="宋体" w:cs="宋体"/>
      <w:color w:val="000000"/>
      <w:kern w:val="0"/>
      <w:sz w:val="24"/>
      <w:szCs w:val="24"/>
    </w:rPr>
  </w:style>
  <w:style w:type="character" w:customStyle="1" w:styleId="2816">
    <w:name w:val="签名 Char3"/>
    <w:qFormat/>
    <w:uiPriority w:val="0"/>
    <w:rPr>
      <w:rFonts w:hint="eastAsia" w:ascii="宋体" w:hAnsi="宋体" w:eastAsia="宋体" w:cs="宋体"/>
      <w:kern w:val="2"/>
      <w:sz w:val="28"/>
      <w:szCs w:val="24"/>
      <w:lang w:val="en-US" w:eastAsia="zh-CN" w:bidi="ar"/>
    </w:rPr>
  </w:style>
  <w:style w:type="character" w:customStyle="1" w:styleId="2817">
    <w:name w:val="样式28 Char Char"/>
    <w:qFormat/>
    <w:locked/>
    <w:uiPriority w:val="0"/>
    <w:rPr>
      <w:rFonts w:ascii="Calibri" w:hAnsi="Calibri" w:eastAsia="宋体"/>
      <w:sz w:val="24"/>
      <w:szCs w:val="24"/>
    </w:rPr>
  </w:style>
  <w:style w:type="character" w:customStyle="1" w:styleId="2818">
    <w:name w:val="【正文】 Char Char"/>
    <w:link w:val="2819"/>
    <w:qFormat/>
    <w:locked/>
    <w:uiPriority w:val="0"/>
    <w:rPr>
      <w:rFonts w:ascii="宋体" w:hAnsi="宋体" w:cs="宋体"/>
      <w:sz w:val="24"/>
      <w:szCs w:val="24"/>
    </w:rPr>
  </w:style>
  <w:style w:type="paragraph" w:customStyle="1" w:styleId="2819">
    <w:name w:val="【正文】"/>
    <w:basedOn w:val="1"/>
    <w:link w:val="2818"/>
    <w:qFormat/>
    <w:uiPriority w:val="0"/>
    <w:pPr>
      <w:spacing w:line="360" w:lineRule="auto"/>
      <w:ind w:firstLine="200" w:firstLineChars="200"/>
    </w:pPr>
    <w:rPr>
      <w:rFonts w:ascii="宋体" w:hAnsi="宋体" w:eastAsia="宋体" w:cs="宋体"/>
      <w:kern w:val="0"/>
      <w:sz w:val="24"/>
      <w:szCs w:val="24"/>
    </w:rPr>
  </w:style>
  <w:style w:type="character" w:customStyle="1" w:styleId="2820">
    <w:name w:val="polysemyexp"/>
    <w:qFormat/>
    <w:uiPriority w:val="0"/>
    <w:rPr>
      <w:rFonts w:hint="eastAsia" w:ascii="宋体" w:hAnsi="宋体" w:eastAsia="宋体" w:cs="宋体"/>
      <w:color w:val="AAAAAA"/>
      <w:kern w:val="2"/>
      <w:sz w:val="18"/>
      <w:szCs w:val="18"/>
      <w:lang w:val="en-US" w:eastAsia="zh-CN" w:bidi="ar"/>
    </w:rPr>
  </w:style>
  <w:style w:type="character" w:customStyle="1" w:styleId="2821">
    <w:name w:val="样式 首行缩进:  1.01 厘米 Char Char Char"/>
    <w:link w:val="2822"/>
    <w:qFormat/>
    <w:locked/>
    <w:uiPriority w:val="0"/>
    <w:rPr>
      <w:rFonts w:ascii="宋体" w:hAnsi="宋体" w:cs="宋体"/>
      <w:color w:val="000000"/>
      <w:sz w:val="28"/>
      <w:szCs w:val="24"/>
    </w:rPr>
  </w:style>
  <w:style w:type="paragraph" w:customStyle="1" w:styleId="2822">
    <w:name w:val="样式 首行缩进:  1.01 厘米"/>
    <w:basedOn w:val="1"/>
    <w:link w:val="2821"/>
    <w:qFormat/>
    <w:uiPriority w:val="0"/>
    <w:pPr>
      <w:ind w:firstLine="560" w:firstLineChars="200"/>
    </w:pPr>
    <w:rPr>
      <w:rFonts w:ascii="宋体" w:hAnsi="宋体" w:eastAsia="宋体" w:cs="宋体"/>
      <w:color w:val="000000"/>
      <w:kern w:val="0"/>
      <w:szCs w:val="24"/>
    </w:rPr>
  </w:style>
  <w:style w:type="character" w:customStyle="1" w:styleId="2823">
    <w:name w:val="正文文本 2 字符"/>
    <w:qFormat/>
    <w:uiPriority w:val="0"/>
    <w:rPr>
      <w:rFonts w:hint="eastAsia" w:ascii="宋体" w:hAnsi="宋体" w:eastAsia="宋体" w:cs="宋体"/>
      <w:kern w:val="2"/>
      <w:sz w:val="21"/>
      <w:szCs w:val="24"/>
      <w:lang w:val="en-US" w:eastAsia="zh-CN" w:bidi="ar"/>
    </w:rPr>
  </w:style>
  <w:style w:type="character" w:customStyle="1" w:styleId="2824">
    <w:name w:val="字紧0.2 Char1"/>
    <w:link w:val="2825"/>
    <w:qFormat/>
    <w:locked/>
    <w:uiPriority w:val="0"/>
    <w:rPr>
      <w:rFonts w:ascii="宋体" w:hAnsi="宋体" w:cs="宋体"/>
      <w:bCs/>
      <w:color w:val="000000"/>
      <w:spacing w:val="-4"/>
      <w:sz w:val="28"/>
      <w:szCs w:val="28"/>
    </w:rPr>
  </w:style>
  <w:style w:type="paragraph" w:customStyle="1" w:styleId="2825">
    <w:name w:val="字紧0.2"/>
    <w:basedOn w:val="1"/>
    <w:link w:val="2824"/>
    <w:qFormat/>
    <w:uiPriority w:val="0"/>
    <w:pPr>
      <w:adjustRightInd w:val="0"/>
      <w:snapToGrid w:val="0"/>
      <w:spacing w:line="336" w:lineRule="auto"/>
      <w:ind w:firstLine="200" w:firstLineChars="200"/>
    </w:pPr>
    <w:rPr>
      <w:rFonts w:ascii="宋体" w:hAnsi="宋体" w:eastAsia="宋体" w:cs="宋体"/>
      <w:bCs/>
      <w:color w:val="000000"/>
      <w:spacing w:val="-4"/>
      <w:kern w:val="0"/>
      <w:szCs w:val="28"/>
    </w:rPr>
  </w:style>
  <w:style w:type="character" w:customStyle="1" w:styleId="2826">
    <w:name w:val="不明显参考1"/>
    <w:qFormat/>
    <w:uiPriority w:val="0"/>
    <w:rPr>
      <w:rFonts w:hint="eastAsia" w:ascii="宋体" w:hAnsi="宋体" w:eastAsia="宋体" w:cs="宋体"/>
      <w:smallCaps/>
      <w:color w:val="C0504D"/>
      <w:kern w:val="2"/>
      <w:sz w:val="28"/>
      <w:szCs w:val="24"/>
      <w:u w:val="single"/>
      <w:lang w:val="en-US" w:eastAsia="zh-CN" w:bidi="ar"/>
    </w:rPr>
  </w:style>
  <w:style w:type="character" w:customStyle="1" w:styleId="2827">
    <w:name w:val="正文-1 Char Char"/>
    <w:link w:val="2828"/>
    <w:qFormat/>
    <w:locked/>
    <w:uiPriority w:val="0"/>
    <w:rPr>
      <w:rFonts w:ascii="宋体" w:hAnsi="宋体" w:cs="宋体"/>
      <w:spacing w:val="4"/>
      <w:kern w:val="18"/>
      <w:sz w:val="24"/>
      <w:szCs w:val="30"/>
    </w:rPr>
  </w:style>
  <w:style w:type="paragraph" w:customStyle="1" w:styleId="2828">
    <w:name w:val="正文-1"/>
    <w:basedOn w:val="35"/>
    <w:link w:val="2827"/>
    <w:qFormat/>
    <w:uiPriority w:val="0"/>
    <w:pPr>
      <w:snapToGrid w:val="0"/>
      <w:spacing w:line="360" w:lineRule="auto"/>
      <w:ind w:firstLine="180" w:firstLineChars="180"/>
    </w:pPr>
    <w:rPr>
      <w:rFonts w:ascii="宋体" w:hAnsi="宋体" w:cs="宋体"/>
      <w:spacing w:val="4"/>
      <w:kern w:val="18"/>
      <w:sz w:val="24"/>
      <w:szCs w:val="30"/>
    </w:rPr>
  </w:style>
  <w:style w:type="character" w:customStyle="1" w:styleId="2829">
    <w:name w:val="Header Char"/>
    <w:qFormat/>
    <w:uiPriority w:val="0"/>
    <w:rPr>
      <w:rFonts w:hint="eastAsia" w:ascii="宋体" w:hAnsi="宋体" w:eastAsia="仿宋_GB2312" w:cs="宋体"/>
      <w:kern w:val="2"/>
      <w:sz w:val="18"/>
      <w:szCs w:val="18"/>
      <w:lang w:val="en-US" w:eastAsia="zh-CN" w:bidi="ar-SA"/>
    </w:rPr>
  </w:style>
  <w:style w:type="character" w:customStyle="1" w:styleId="2830">
    <w:name w:val="正文(首行缩进) Char1"/>
    <w:qFormat/>
    <w:uiPriority w:val="0"/>
    <w:rPr>
      <w:rFonts w:hint="default" w:ascii="Times New Roman" w:hAnsi="Times New Roman" w:eastAsia="宋体" w:cs="Times New Roman"/>
      <w:snapToGrid/>
      <w:color w:val="000000"/>
      <w:kern w:val="0"/>
      <w:sz w:val="24"/>
      <w:szCs w:val="24"/>
      <w:lang w:val="en-US" w:eastAsia="zh-CN" w:bidi="ar"/>
    </w:rPr>
  </w:style>
  <w:style w:type="character" w:customStyle="1" w:styleId="2831">
    <w:name w:val="纯文本 字符1"/>
    <w:qFormat/>
    <w:uiPriority w:val="0"/>
    <w:rPr>
      <w:rFonts w:hint="eastAsia" w:ascii="宋体" w:hAnsi="Courier New" w:eastAsia="宋体" w:cs="Courier New"/>
      <w:kern w:val="2"/>
      <w:sz w:val="21"/>
      <w:szCs w:val="21"/>
      <w:lang w:val="en-US" w:eastAsia="zh-CN" w:bidi="ar-SA"/>
    </w:rPr>
  </w:style>
  <w:style w:type="character" w:customStyle="1" w:styleId="2832">
    <w:name w:val="f_heading1"/>
    <w:qFormat/>
    <w:uiPriority w:val="0"/>
    <w:rPr>
      <w:rFonts w:hint="eastAsia" w:ascii="宋体" w:hAnsi="宋体" w:eastAsia="黑体" w:cs="Courier New"/>
      <w:kern w:val="2"/>
      <w:sz w:val="24"/>
      <w:szCs w:val="32"/>
      <w:lang w:val="en-US" w:eastAsia="zh-CN" w:bidi="ar-SA"/>
    </w:rPr>
  </w:style>
  <w:style w:type="character" w:customStyle="1" w:styleId="2833">
    <w:name w:val="页眉 字符"/>
    <w:qFormat/>
    <w:uiPriority w:val="99"/>
    <w:rPr>
      <w:rFonts w:hint="eastAsia" w:ascii="宋体" w:hAnsi="宋体" w:eastAsia="宋体" w:cs="宋体"/>
      <w:kern w:val="2"/>
      <w:sz w:val="18"/>
      <w:szCs w:val="18"/>
      <w:lang w:val="en-US" w:eastAsia="zh-CN" w:bidi="ar"/>
    </w:rPr>
  </w:style>
  <w:style w:type="character" w:customStyle="1" w:styleId="2834">
    <w:name w:val="报告 Char Char"/>
    <w:qFormat/>
    <w:uiPriority w:val="0"/>
    <w:rPr>
      <w:rFonts w:hint="eastAsia" w:ascii="宋体" w:hAnsi="宋体" w:eastAsia="宋体" w:cs="宋体"/>
      <w:kern w:val="2"/>
      <w:sz w:val="24"/>
      <w:szCs w:val="24"/>
      <w:lang w:val="en-US" w:eastAsia="zh-CN" w:bidi="ar-SA"/>
    </w:rPr>
  </w:style>
  <w:style w:type="character" w:customStyle="1" w:styleId="2835">
    <w:name w:val="9hei1"/>
    <w:qFormat/>
    <w:uiPriority w:val="0"/>
    <w:rPr>
      <w:rFonts w:hint="eastAsia" w:ascii="宋体" w:hAnsi="宋体" w:eastAsia="宋体" w:cs="宋体"/>
      <w:color w:val="000000"/>
      <w:kern w:val="2"/>
      <w:sz w:val="22"/>
      <w:szCs w:val="22"/>
      <w:u w:val="none"/>
      <w:lang w:val="en-US" w:eastAsia="zh-CN" w:bidi="ar"/>
    </w:rPr>
  </w:style>
  <w:style w:type="character" w:customStyle="1" w:styleId="2836">
    <w:name w:val="样式 正文文本缩进 2正文文字缩进 2 + 四号 蓝色 Char Char"/>
    <w:qFormat/>
    <w:uiPriority w:val="0"/>
    <w:rPr>
      <w:rFonts w:hint="eastAsia" w:ascii="宋体" w:hAnsi="宋体" w:eastAsia="宋体" w:cs="宋体"/>
      <w:color w:val="0000FF"/>
      <w:kern w:val="2"/>
      <w:sz w:val="24"/>
      <w:szCs w:val="24"/>
      <w:lang w:val="en-US" w:eastAsia="zh-CN" w:bidi="ar-SA"/>
    </w:rPr>
  </w:style>
  <w:style w:type="character" w:customStyle="1" w:styleId="2837">
    <w:name w:val="批注框文本 Char5"/>
    <w:qFormat/>
    <w:uiPriority w:val="0"/>
    <w:rPr>
      <w:rFonts w:hint="eastAsia" w:ascii="宋体" w:hAnsi="宋体" w:eastAsia="宋体" w:cs="宋体"/>
      <w:kern w:val="2"/>
      <w:sz w:val="18"/>
      <w:szCs w:val="18"/>
      <w:lang w:val="en-US" w:eastAsia="zh-CN" w:bidi="ar"/>
    </w:rPr>
  </w:style>
  <w:style w:type="character" w:customStyle="1" w:styleId="2838">
    <w:name w:val="称呼 Char2"/>
    <w:qFormat/>
    <w:uiPriority w:val="0"/>
    <w:rPr>
      <w:rFonts w:hint="eastAsia" w:ascii="宋体" w:hAnsi="宋体" w:eastAsia="宋体" w:cs="宋体"/>
      <w:kern w:val="2"/>
      <w:sz w:val="28"/>
      <w:szCs w:val="24"/>
      <w:lang w:val="en-US" w:eastAsia="zh-CN" w:bidi="ar"/>
    </w:rPr>
  </w:style>
  <w:style w:type="character" w:customStyle="1" w:styleId="2839">
    <w:name w:val="节标题 1.11"/>
    <w:qFormat/>
    <w:uiPriority w:val="0"/>
    <w:rPr>
      <w:rFonts w:hint="eastAsia" w:ascii="黑体" w:hAnsi="宋体" w:eastAsia="黑体" w:cs="宋体"/>
      <w:kern w:val="2"/>
      <w:sz w:val="36"/>
      <w:szCs w:val="32"/>
      <w:lang w:val="en-US" w:eastAsia="zh-CN" w:bidi="ar-SA"/>
    </w:rPr>
  </w:style>
  <w:style w:type="character" w:customStyle="1" w:styleId="2840">
    <w:name w:val="样式 标题 2 + 非加粗 Char Char"/>
    <w:qFormat/>
    <w:uiPriority w:val="0"/>
    <w:rPr>
      <w:rFonts w:hint="eastAsia" w:ascii="宋体" w:hAnsi="宋体" w:eastAsia="黑体" w:cs="宋体"/>
      <w:b/>
      <w:bCs/>
      <w:kern w:val="2"/>
      <w:sz w:val="32"/>
      <w:szCs w:val="32"/>
      <w:lang w:val="en-US" w:eastAsia="zh-CN" w:bidi="ar"/>
    </w:rPr>
  </w:style>
  <w:style w:type="character" w:customStyle="1" w:styleId="2841">
    <w:name w:val="标题 4 Char Char Char Char Char Char Char Char Char Char Char Char Char Char Char Char Char Char Char Char Char Char Char"/>
    <w:qFormat/>
    <w:uiPriority w:val="0"/>
    <w:rPr>
      <w:rFonts w:hint="default" w:ascii="Arial" w:hAnsi="Arial" w:eastAsia="黑体" w:cs="Arial"/>
      <w:b/>
      <w:bCs/>
      <w:kern w:val="2"/>
      <w:sz w:val="28"/>
      <w:szCs w:val="28"/>
      <w:lang w:val="en-US" w:eastAsia="zh-CN" w:bidi="ar-SA"/>
    </w:rPr>
  </w:style>
  <w:style w:type="character" w:customStyle="1" w:styleId="2842">
    <w:name w:val="批注主题 字符"/>
    <w:qFormat/>
    <w:uiPriority w:val="0"/>
    <w:rPr>
      <w:rFonts w:hint="eastAsia" w:ascii="宋体" w:hAnsi="宋体" w:eastAsia="宋体" w:cs="宋体"/>
      <w:b/>
      <w:bCs/>
      <w:snapToGrid w:val="0"/>
      <w:kern w:val="2"/>
      <w:sz w:val="24"/>
      <w:szCs w:val="24"/>
      <w:lang w:val="en-US" w:eastAsia="zh-CN" w:bidi="ar"/>
    </w:rPr>
  </w:style>
  <w:style w:type="character" w:customStyle="1" w:styleId="2843">
    <w:name w:val="标题 9 Char2"/>
    <w:qFormat/>
    <w:uiPriority w:val="0"/>
    <w:rPr>
      <w:rFonts w:hint="default" w:ascii="Arial" w:hAnsi="Arial" w:eastAsia="黑体" w:cs="Times New Roman"/>
      <w:kern w:val="0"/>
      <w:sz w:val="28"/>
      <w:szCs w:val="21"/>
      <w:lang w:val="en-US" w:eastAsia="zh-CN" w:bidi="ar-SA"/>
    </w:rPr>
  </w:style>
  <w:style w:type="character" w:customStyle="1" w:styleId="2844">
    <w:name w:val="批注框文本 Char1"/>
    <w:qFormat/>
    <w:uiPriority w:val="0"/>
    <w:rPr>
      <w:rFonts w:hint="default" w:ascii="Times New Roman" w:hAnsi="Times New Roman" w:eastAsia="宋体" w:cs="Times New Roman"/>
      <w:kern w:val="2"/>
      <w:sz w:val="18"/>
      <w:szCs w:val="18"/>
      <w:lang w:val="en-US" w:eastAsia="zh-CN" w:bidi="ar-SA"/>
    </w:rPr>
  </w:style>
  <w:style w:type="character" w:customStyle="1" w:styleId="2845">
    <w:name w:val="正文文本 3 Char3"/>
    <w:qFormat/>
    <w:uiPriority w:val="0"/>
    <w:rPr>
      <w:rFonts w:hint="default" w:ascii="Times New Roman" w:hAnsi="Times New Roman" w:eastAsia="宋体" w:cs="Times New Roman"/>
      <w:kern w:val="2"/>
      <w:sz w:val="28"/>
      <w:szCs w:val="20"/>
      <w:lang w:val="en-US" w:eastAsia="zh-CN" w:bidi="ar-SA"/>
    </w:rPr>
  </w:style>
  <w:style w:type="character" w:customStyle="1" w:styleId="2846">
    <w:name w:val="标题 1 字符1"/>
    <w:qFormat/>
    <w:uiPriority w:val="0"/>
    <w:rPr>
      <w:rFonts w:hint="eastAsia" w:ascii="宋体" w:hAnsi="宋体" w:eastAsia="宋体"/>
      <w:spacing w:val="-2"/>
      <w:sz w:val="28"/>
      <w:lang w:val="en-US" w:eastAsia="zh-CN" w:bidi="ar-SA"/>
    </w:rPr>
  </w:style>
  <w:style w:type="character" w:customStyle="1" w:styleId="2847">
    <w:name w:val="123YJ Char Char2"/>
    <w:qFormat/>
    <w:uiPriority w:val="0"/>
    <w:rPr>
      <w:rFonts w:hint="eastAsia" w:ascii="宋体" w:hAnsi="宋体" w:eastAsia="宋体" w:cs="宋体"/>
      <w:kern w:val="2"/>
      <w:sz w:val="18"/>
      <w:szCs w:val="18"/>
      <w:lang w:val="en-US" w:eastAsia="zh-CN" w:bidi="ar-SA"/>
    </w:rPr>
  </w:style>
  <w:style w:type="character" w:customStyle="1" w:styleId="2848">
    <w:name w:val="style231"/>
    <w:qFormat/>
    <w:uiPriority w:val="0"/>
    <w:rPr>
      <w:rFonts w:hint="eastAsia" w:ascii="宋体" w:hAnsi="宋体" w:eastAsia="宋体" w:cs="宋体"/>
      <w:color w:val="000000"/>
      <w:kern w:val="2"/>
      <w:sz w:val="18"/>
      <w:szCs w:val="18"/>
      <w:lang w:val="en-US" w:eastAsia="zh-CN" w:bidi="ar"/>
    </w:rPr>
  </w:style>
  <w:style w:type="character" w:customStyle="1" w:styleId="2849">
    <w:name w:val="文章正文 Char Char"/>
    <w:qFormat/>
    <w:uiPriority w:val="0"/>
    <w:rPr>
      <w:rFonts w:hint="eastAsia" w:ascii="宋体" w:hAnsi="宋体" w:eastAsia="宋体" w:cs="宋体"/>
      <w:kern w:val="2"/>
      <w:sz w:val="24"/>
      <w:szCs w:val="24"/>
      <w:lang w:val="en-US" w:eastAsia="zh-CN" w:bidi="ar"/>
    </w:rPr>
  </w:style>
  <w:style w:type="character" w:customStyle="1" w:styleId="2850">
    <w:name w:val="textcontents1"/>
    <w:qFormat/>
    <w:uiPriority w:val="0"/>
    <w:rPr>
      <w:rFonts w:hint="eastAsia" w:ascii="宋体" w:hAnsi="宋体" w:eastAsia="宋体" w:cs="宋体"/>
      <w:color w:val="000000"/>
      <w:kern w:val="2"/>
      <w:sz w:val="21"/>
      <w:szCs w:val="21"/>
      <w:lang w:val="en-US" w:eastAsia="zh-CN" w:bidi="ar"/>
    </w:rPr>
  </w:style>
  <w:style w:type="character" w:customStyle="1" w:styleId="2851">
    <w:name w:val="书籍标题1"/>
    <w:qFormat/>
    <w:uiPriority w:val="0"/>
    <w:rPr>
      <w:rFonts w:hint="eastAsia" w:ascii="宋体" w:hAnsi="宋体" w:eastAsia="宋体" w:cs="宋体"/>
      <w:b/>
      <w:smallCaps/>
      <w:spacing w:val="5"/>
      <w:kern w:val="2"/>
      <w:sz w:val="28"/>
      <w:szCs w:val="24"/>
      <w:lang w:val="en-US" w:eastAsia="zh-CN" w:bidi="ar"/>
    </w:rPr>
  </w:style>
  <w:style w:type="character" w:customStyle="1" w:styleId="2852">
    <w:name w:val="Char Char60"/>
    <w:qFormat/>
    <w:uiPriority w:val="0"/>
    <w:rPr>
      <w:rFonts w:hint="default" w:ascii="Times New Roman" w:hAnsi="Times New Roman" w:eastAsia="宋体" w:cs="Times New Roman"/>
      <w:kern w:val="2"/>
      <w:sz w:val="28"/>
      <w:szCs w:val="24"/>
      <w:lang w:val="en-US" w:eastAsia="zh-CN" w:bidi="ar"/>
    </w:rPr>
  </w:style>
  <w:style w:type="character" w:customStyle="1" w:styleId="2853">
    <w:name w:val="样式 黑色"/>
    <w:qFormat/>
    <w:uiPriority w:val="0"/>
    <w:rPr>
      <w:rFonts w:hint="eastAsia" w:ascii="宋体" w:hAnsi="宋体" w:eastAsia="宋体" w:cs="宋体"/>
      <w:color w:val="000000"/>
      <w:kern w:val="2"/>
      <w:sz w:val="24"/>
      <w:szCs w:val="24"/>
      <w:lang w:val="en-US" w:eastAsia="en-US" w:bidi="ar-SA"/>
    </w:rPr>
  </w:style>
  <w:style w:type="character" w:customStyle="1" w:styleId="2854">
    <w:name w:val="普通文字 Char Char Char Char Char C Char Char Char Char Char"/>
    <w:qFormat/>
    <w:uiPriority w:val="0"/>
    <w:rPr>
      <w:rFonts w:hint="eastAsia" w:ascii="宋体" w:hAnsi="Courier New" w:eastAsia="宋体" w:cs="宋体"/>
      <w:kern w:val="2"/>
      <w:sz w:val="21"/>
      <w:szCs w:val="24"/>
      <w:lang w:val="en-US" w:eastAsia="zh-CN" w:bidi="ar-SA"/>
    </w:rPr>
  </w:style>
  <w:style w:type="character" w:customStyle="1" w:styleId="2855">
    <w:name w:val="article1"/>
    <w:qFormat/>
    <w:uiPriority w:val="0"/>
    <w:rPr>
      <w:rFonts w:hint="eastAsia" w:ascii="宋体" w:hAnsi="宋体" w:eastAsia="宋体" w:cs="宋体"/>
      <w:color w:val="454545"/>
      <w:kern w:val="2"/>
      <w:sz w:val="21"/>
      <w:szCs w:val="21"/>
      <w:u w:val="none"/>
      <w:lang w:val="en-US" w:eastAsia="zh-CN" w:bidi="ar"/>
    </w:rPr>
  </w:style>
  <w:style w:type="character" w:customStyle="1" w:styleId="2856">
    <w:name w:val="电子邮件签名 Char1"/>
    <w:qFormat/>
    <w:uiPriority w:val="0"/>
    <w:rPr>
      <w:rFonts w:hint="eastAsia" w:ascii="宋体" w:hAnsi="宋体" w:eastAsia="宋体" w:cs="宋体"/>
      <w:kern w:val="2"/>
      <w:sz w:val="24"/>
      <w:szCs w:val="24"/>
      <w:lang w:val="en-US" w:eastAsia="zh-CN" w:bidi="ar"/>
    </w:rPr>
  </w:style>
  <w:style w:type="character" w:customStyle="1" w:styleId="2857">
    <w:name w:val="css-text3"/>
    <w:qFormat/>
    <w:uiPriority w:val="0"/>
    <w:rPr>
      <w:rFonts w:hint="eastAsia" w:ascii="宋体" w:hAnsi="宋体" w:eastAsia="宋体" w:cs="宋体"/>
      <w:kern w:val="2"/>
      <w:sz w:val="28"/>
      <w:szCs w:val="24"/>
      <w:lang w:val="en-US" w:eastAsia="zh-CN" w:bidi="ar"/>
    </w:rPr>
  </w:style>
  <w:style w:type="character" w:customStyle="1" w:styleId="2858">
    <w:name w:val="样式42 Char Char"/>
    <w:qFormat/>
    <w:uiPriority w:val="0"/>
    <w:rPr>
      <w:rFonts w:hint="eastAsia" w:ascii="宋体" w:hAnsi="宋体" w:eastAsia="宋体" w:cs="宋体"/>
      <w:bCs/>
      <w:color w:val="000000"/>
      <w:kern w:val="2"/>
      <w:sz w:val="24"/>
      <w:szCs w:val="24"/>
      <w:lang w:val="en-US" w:eastAsia="zh-CN" w:bidi="ar-SA"/>
    </w:rPr>
  </w:style>
  <w:style w:type="character" w:customStyle="1" w:styleId="2859">
    <w:name w:val="样式 11.5 磅1"/>
    <w:qFormat/>
    <w:uiPriority w:val="0"/>
    <w:rPr>
      <w:rFonts w:hint="eastAsia" w:ascii="宋体" w:hAnsi="宋体" w:eastAsia="宋体" w:cs="宋体"/>
      <w:kern w:val="2"/>
      <w:sz w:val="24"/>
      <w:szCs w:val="24"/>
      <w:lang w:val="en-US" w:eastAsia="zh-CN" w:bidi="ar"/>
    </w:rPr>
  </w:style>
  <w:style w:type="character" w:customStyle="1" w:styleId="2860">
    <w:name w:val="summer正文编辑样式"/>
    <w:qFormat/>
    <w:uiPriority w:val="0"/>
    <w:rPr>
      <w:rFonts w:hint="eastAsia" w:ascii="宋体" w:hAnsi="宋体" w:eastAsia="宋体" w:cs="宋体"/>
      <w:color w:val="0000FF"/>
      <w:kern w:val="0"/>
      <w:sz w:val="24"/>
      <w:szCs w:val="24"/>
      <w:lang w:val="en-US" w:eastAsia="zh-CN" w:bidi="ar"/>
    </w:rPr>
  </w:style>
  <w:style w:type="character" w:customStyle="1" w:styleId="2861">
    <w:name w:val="p18-hei"/>
    <w:qFormat/>
    <w:uiPriority w:val="0"/>
  </w:style>
  <w:style w:type="character" w:customStyle="1" w:styleId="2862">
    <w:name w:val="文档结构图 Char5"/>
    <w:qFormat/>
    <w:uiPriority w:val="0"/>
    <w:rPr>
      <w:rFonts w:hint="eastAsia" w:ascii="宋体" w:hAnsi="宋体" w:eastAsia="宋体" w:cs="宋体"/>
      <w:kern w:val="2"/>
      <w:sz w:val="18"/>
      <w:szCs w:val="18"/>
      <w:lang w:val="en-US" w:eastAsia="zh-CN" w:bidi="ar"/>
    </w:rPr>
  </w:style>
  <w:style w:type="character" w:customStyle="1" w:styleId="2863">
    <w:name w:val="p2"/>
    <w:qFormat/>
    <w:uiPriority w:val="0"/>
    <w:rPr>
      <w:rFonts w:hint="eastAsia" w:ascii="宋体" w:hAnsi="宋体" w:eastAsia="宋体" w:cs="宋体"/>
      <w:kern w:val="2"/>
      <w:sz w:val="28"/>
      <w:szCs w:val="28"/>
      <w:lang w:val="en-US" w:eastAsia="en-US" w:bidi="ar-SA"/>
    </w:rPr>
  </w:style>
  <w:style w:type="character" w:customStyle="1" w:styleId="2864">
    <w:name w:val="样式36 Char"/>
    <w:qFormat/>
    <w:uiPriority w:val="0"/>
    <w:rPr>
      <w:rFonts w:hint="eastAsia" w:ascii="宋体" w:hAnsi="宋体" w:eastAsia="宋体" w:cs="宋体"/>
      <w:color w:val="000000"/>
      <w:sz w:val="24"/>
      <w:szCs w:val="24"/>
      <w:lang w:val="en-US" w:eastAsia="zh-CN" w:bidi="ar-SA"/>
    </w:rPr>
  </w:style>
  <w:style w:type="character" w:customStyle="1" w:styleId="2865">
    <w:name w:val="Char Char181"/>
    <w:qFormat/>
    <w:uiPriority w:val="0"/>
    <w:rPr>
      <w:rFonts w:hint="default" w:ascii="Cambria" w:hAnsi="Cambria" w:eastAsia="宋体" w:cs="Times New Roman"/>
      <w:kern w:val="2"/>
      <w:sz w:val="24"/>
      <w:szCs w:val="24"/>
      <w:lang w:val="en-US" w:eastAsia="zh-CN" w:bidi="ar-SA"/>
    </w:rPr>
  </w:style>
  <w:style w:type="character" w:customStyle="1" w:styleId="2866">
    <w:name w:val="正文缩进2 Char Char Char"/>
    <w:qFormat/>
    <w:uiPriority w:val="0"/>
    <w:rPr>
      <w:rFonts w:hint="eastAsia" w:ascii="宋体" w:hAnsi="宋体" w:eastAsia="宋体" w:cs="宋体"/>
      <w:kern w:val="2"/>
      <w:sz w:val="24"/>
      <w:lang w:val="en-US" w:eastAsia="zh-CN" w:bidi="ar-SA"/>
    </w:rPr>
  </w:style>
  <w:style w:type="character" w:customStyle="1" w:styleId="2867">
    <w:name w:val="bigfont"/>
    <w:qFormat/>
    <w:uiPriority w:val="0"/>
    <w:rPr>
      <w:rFonts w:hint="eastAsia" w:ascii="宋体" w:hAnsi="宋体" w:eastAsia="宋体" w:cs="宋体"/>
      <w:kern w:val="2"/>
      <w:sz w:val="28"/>
      <w:szCs w:val="24"/>
      <w:lang w:val="en-US" w:eastAsia="zh-CN" w:bidi="ar"/>
    </w:rPr>
  </w:style>
  <w:style w:type="character" w:customStyle="1" w:styleId="2868">
    <w:name w:val="明显参考1"/>
    <w:qFormat/>
    <w:uiPriority w:val="0"/>
    <w:rPr>
      <w:rFonts w:hint="eastAsia" w:ascii="宋体" w:hAnsi="宋体" w:eastAsia="宋体" w:cs="宋体"/>
      <w:b/>
      <w:bCs/>
      <w:smallCaps/>
      <w:color w:val="C0504D"/>
      <w:spacing w:val="5"/>
      <w:kern w:val="2"/>
      <w:sz w:val="28"/>
      <w:szCs w:val="24"/>
      <w:u w:val="single"/>
      <w:lang w:val="en-US" w:eastAsia="zh-CN" w:bidi="ar"/>
    </w:rPr>
  </w:style>
  <w:style w:type="character" w:customStyle="1" w:styleId="2869">
    <w:name w:val="H7 Char3"/>
    <w:qFormat/>
    <w:uiPriority w:val="0"/>
    <w:rPr>
      <w:rFonts w:hint="eastAsia" w:ascii="宋体" w:hAnsi="宋体" w:eastAsia="宋体" w:cs="宋体"/>
      <w:b/>
      <w:bCs/>
      <w:kern w:val="2"/>
      <w:sz w:val="24"/>
      <w:szCs w:val="24"/>
      <w:lang w:val="en-US" w:eastAsia="zh-CN" w:bidi="ar-SA"/>
    </w:rPr>
  </w:style>
  <w:style w:type="character" w:customStyle="1" w:styleId="2870">
    <w:name w:val="font2"/>
    <w:qFormat/>
    <w:uiPriority w:val="0"/>
    <w:rPr>
      <w:rFonts w:hint="eastAsia" w:ascii="宋体" w:hAnsi="宋体" w:eastAsia="宋体" w:cs="宋体"/>
      <w:color w:val="336633"/>
      <w:kern w:val="2"/>
      <w:sz w:val="21"/>
      <w:szCs w:val="24"/>
      <w:lang w:val="en-US" w:eastAsia="zh-CN" w:bidi="ar"/>
    </w:rPr>
  </w:style>
  <w:style w:type="character" w:customStyle="1" w:styleId="2871">
    <w:name w:val="四级标题 Char"/>
    <w:qFormat/>
    <w:locked/>
    <w:uiPriority w:val="0"/>
    <w:rPr>
      <w:rFonts w:hint="eastAsia" w:ascii="黑体" w:hAnsi="黑体" w:eastAsia="黑体"/>
      <w:color w:val="000000"/>
      <w:kern w:val="2"/>
      <w:sz w:val="24"/>
      <w:szCs w:val="28"/>
      <w:lang w:val="en-US" w:eastAsia="zh-CN" w:bidi="ar-SA"/>
    </w:rPr>
  </w:style>
  <w:style w:type="character" w:customStyle="1" w:styleId="2872">
    <w:name w:val="weby"/>
    <w:qFormat/>
    <w:uiPriority w:val="0"/>
    <w:rPr>
      <w:rFonts w:hint="eastAsia" w:ascii="宋体" w:hAnsi="宋体" w:eastAsia="宋体" w:cs="宋体"/>
      <w:kern w:val="2"/>
      <w:sz w:val="24"/>
      <w:szCs w:val="20"/>
      <w:lang w:val="en-US" w:eastAsia="zh-CN" w:bidi="ar"/>
    </w:rPr>
  </w:style>
  <w:style w:type="character" w:customStyle="1" w:styleId="2873">
    <w:name w:val="环调标题3 Char Char"/>
    <w:qFormat/>
    <w:uiPriority w:val="0"/>
    <w:rPr>
      <w:rFonts w:hint="eastAsia" w:ascii="宋体" w:hAnsi="宋体" w:eastAsia="宋体" w:cs="宋体"/>
      <w:kern w:val="2"/>
      <w:sz w:val="28"/>
      <w:szCs w:val="24"/>
      <w:lang w:val="en-US" w:eastAsia="zh-CN" w:bidi="ar"/>
    </w:rPr>
  </w:style>
  <w:style w:type="character" w:customStyle="1" w:styleId="2874">
    <w:name w:val="样式11111 Char Char"/>
    <w:qFormat/>
    <w:uiPriority w:val="0"/>
    <w:rPr>
      <w:rFonts w:hint="eastAsia" w:ascii="宋体" w:hAnsi="宋体" w:eastAsia="宋体" w:cs="宋体"/>
      <w:color w:val="000000"/>
      <w:kern w:val="2"/>
      <w:sz w:val="24"/>
      <w:szCs w:val="24"/>
      <w:lang w:val="en-US" w:eastAsia="zh-CN" w:bidi="ar"/>
    </w:rPr>
  </w:style>
  <w:style w:type="character" w:customStyle="1" w:styleId="2875">
    <w:name w:val="样式 标题 1 + 宋体 四号 黑色 Char Char"/>
    <w:qFormat/>
    <w:uiPriority w:val="0"/>
    <w:rPr>
      <w:rFonts w:hint="eastAsia" w:ascii="宋体" w:hAnsi="宋体" w:eastAsia="黑体" w:cs="Times New Roman"/>
      <w:b/>
      <w:bCs/>
      <w:color w:val="000000"/>
      <w:kern w:val="44"/>
      <w:sz w:val="28"/>
      <w:szCs w:val="48"/>
      <w:u w:val="none" w:color="000000"/>
      <w:lang w:val="en-US" w:eastAsia="zh-CN" w:bidi="ar-SA"/>
    </w:rPr>
  </w:style>
  <w:style w:type="character" w:customStyle="1" w:styleId="2876">
    <w:name w:val="样式 表格 + 宋体 五号 Char Char"/>
    <w:qFormat/>
    <w:uiPriority w:val="0"/>
    <w:rPr>
      <w:rFonts w:hint="eastAsia" w:ascii="黑体" w:hAnsi="宋体" w:eastAsia="黑体" w:cs="Arial"/>
      <w:bCs/>
      <w:kern w:val="2"/>
      <w:sz w:val="21"/>
      <w:szCs w:val="24"/>
      <w:lang w:val="en-US" w:eastAsia="zh-CN" w:bidi="ar-SA"/>
    </w:rPr>
  </w:style>
  <w:style w:type="character" w:customStyle="1" w:styleId="2877">
    <w:name w:val="样式22 Char"/>
    <w:qFormat/>
    <w:locked/>
    <w:uiPriority w:val="0"/>
    <w:rPr>
      <w:rFonts w:hint="eastAsia" w:ascii="宋体" w:hAnsi="宋体" w:eastAsia="宋体"/>
      <w:snapToGrid/>
      <w:color w:val="000000"/>
      <w:kern w:val="2"/>
      <w:sz w:val="21"/>
      <w:szCs w:val="21"/>
      <w:lang w:val="en-US" w:eastAsia="zh-CN" w:bidi="ar-SA"/>
    </w:rPr>
  </w:style>
  <w:style w:type="character" w:customStyle="1" w:styleId="2878">
    <w:name w:val="三级 Char"/>
    <w:qFormat/>
    <w:locked/>
    <w:uiPriority w:val="0"/>
    <w:rPr>
      <w:rFonts w:hint="eastAsia" w:ascii="宋体" w:hAnsi="宋体" w:eastAsia="宋体"/>
      <w:b/>
      <w:kern w:val="2"/>
      <w:sz w:val="28"/>
      <w:szCs w:val="28"/>
      <w:lang w:val="en-US" w:eastAsia="zh-CN" w:bidi="ar-SA"/>
    </w:rPr>
  </w:style>
  <w:style w:type="character" w:customStyle="1" w:styleId="2879">
    <w:name w:val="l17-z105"/>
    <w:qFormat/>
    <w:uiPriority w:val="0"/>
    <w:rPr>
      <w:rFonts w:hint="eastAsia" w:ascii="宋体" w:hAnsi="宋体" w:eastAsia="宋体" w:cs="宋体"/>
      <w:kern w:val="2"/>
      <w:sz w:val="28"/>
      <w:szCs w:val="24"/>
      <w:lang w:val="en-US" w:eastAsia="zh-CN" w:bidi="ar"/>
    </w:rPr>
  </w:style>
  <w:style w:type="character" w:customStyle="1" w:styleId="2880">
    <w:name w:val="xb"/>
    <w:qFormat/>
    <w:uiPriority w:val="0"/>
    <w:rPr>
      <w:rFonts w:hint="eastAsia" w:ascii="宋体" w:hAnsi="宋体" w:eastAsia="宋体" w:cs="宋体"/>
      <w:kern w:val="2"/>
      <w:sz w:val="28"/>
      <w:szCs w:val="24"/>
      <w:lang w:val="en-US" w:eastAsia="zh-CN" w:bidi="ar"/>
    </w:rPr>
  </w:style>
  <w:style w:type="character" w:customStyle="1" w:styleId="2881">
    <w:name w:val="样式N Char"/>
    <w:qFormat/>
    <w:locked/>
    <w:uiPriority w:val="0"/>
    <w:rPr>
      <w:rFonts w:ascii="宋体" w:hAnsi="宋体" w:eastAsia="Arial" w:cs="宋体"/>
      <w:kern w:val="2"/>
      <w:sz w:val="28"/>
      <w:szCs w:val="24"/>
      <w:lang w:val="en-US" w:eastAsia="zh-CN" w:bidi="ar-SA"/>
    </w:rPr>
  </w:style>
  <w:style w:type="character" w:customStyle="1" w:styleId="2882">
    <w:name w:val="maintitle_disp"/>
    <w:qFormat/>
    <w:uiPriority w:val="0"/>
    <w:rPr>
      <w:rFonts w:hint="eastAsia" w:ascii="宋体" w:hAnsi="宋体" w:eastAsia="宋体" w:cs="宋体"/>
      <w:kern w:val="2"/>
      <w:sz w:val="24"/>
      <w:szCs w:val="20"/>
      <w:lang w:val="en-US" w:eastAsia="zh-CN" w:bidi="ar"/>
    </w:rPr>
  </w:style>
  <w:style w:type="character" w:customStyle="1" w:styleId="2883">
    <w:name w:val="lh151"/>
    <w:qFormat/>
    <w:uiPriority w:val="0"/>
    <w:rPr>
      <w:rFonts w:hint="eastAsia" w:ascii="宋体" w:hAnsi="宋体" w:eastAsia="宋体" w:cs="宋体"/>
      <w:kern w:val="2"/>
      <w:sz w:val="24"/>
      <w:szCs w:val="20"/>
      <w:lang w:val="en-US" w:eastAsia="zh-CN" w:bidi="ar"/>
    </w:rPr>
  </w:style>
  <w:style w:type="character" w:customStyle="1" w:styleId="2884">
    <w:name w:val="书籍标题2"/>
    <w:qFormat/>
    <w:uiPriority w:val="0"/>
    <w:rPr>
      <w:rFonts w:hint="eastAsia" w:ascii="宋体" w:hAnsi="宋体" w:eastAsia="宋体" w:cs="宋体"/>
      <w:b/>
      <w:bCs/>
      <w:smallCaps/>
      <w:spacing w:val="5"/>
      <w:kern w:val="2"/>
      <w:sz w:val="28"/>
      <w:szCs w:val="24"/>
      <w:lang w:val="en-US" w:eastAsia="zh-CN" w:bidi="ar"/>
    </w:rPr>
  </w:style>
  <w:style w:type="character" w:customStyle="1" w:styleId="2885">
    <w:name w:val="质表名"/>
    <w:qFormat/>
    <w:uiPriority w:val="0"/>
    <w:rPr>
      <w:rFonts w:hint="eastAsia" w:ascii="黑体" w:hAnsi="宋体" w:eastAsia="黑体" w:cs="宋体"/>
      <w:kern w:val="2"/>
      <w:sz w:val="28"/>
      <w:szCs w:val="24"/>
      <w:lang w:val="en-US" w:eastAsia="zh-CN" w:bidi="ar"/>
    </w:rPr>
  </w:style>
  <w:style w:type="character" w:customStyle="1" w:styleId="2886">
    <w:name w:val="报告正文 Char Char Char"/>
    <w:qFormat/>
    <w:uiPriority w:val="0"/>
    <w:rPr>
      <w:rFonts w:hint="eastAsia" w:ascii="宋体" w:hAnsi="宋体" w:eastAsia="宋体"/>
      <w:color w:val="000000"/>
      <w:kern w:val="2"/>
      <w:sz w:val="24"/>
      <w:lang w:val="en-US" w:eastAsia="zh-CN" w:bidi="ar-SA"/>
    </w:rPr>
  </w:style>
  <w:style w:type="character" w:customStyle="1" w:styleId="2887">
    <w:name w:val="正文1 Char2"/>
    <w:qFormat/>
    <w:uiPriority w:val="0"/>
    <w:rPr>
      <w:rFonts w:hint="eastAsia" w:ascii="宋体" w:hAnsi="宋体" w:eastAsia="宋体" w:cs="宋体"/>
      <w:bCs/>
      <w:kern w:val="2"/>
      <w:sz w:val="24"/>
      <w:szCs w:val="24"/>
      <w:lang w:val="en-US" w:eastAsia="zh-CN" w:bidi="ar"/>
    </w:rPr>
  </w:style>
  <w:style w:type="character" w:customStyle="1" w:styleId="2888">
    <w:name w:val="Char Char66"/>
    <w:qFormat/>
    <w:locked/>
    <w:uiPriority w:val="0"/>
    <w:rPr>
      <w:rFonts w:hint="eastAsia" w:ascii="宋体" w:hAnsi="宋体" w:eastAsia="宋体" w:cs="宋体"/>
      <w:spacing w:val="-2"/>
      <w:kern w:val="2"/>
      <w:sz w:val="28"/>
      <w:szCs w:val="24"/>
      <w:lang w:val="en-US" w:eastAsia="zh-CN" w:bidi="ar-SA"/>
    </w:rPr>
  </w:style>
  <w:style w:type="character" w:customStyle="1" w:styleId="2889">
    <w:name w:val="样式 宋体 小四 黑色 首行缩进:  1.11 厘米 行距: 固定值 24 磅 Char"/>
    <w:qFormat/>
    <w:locked/>
    <w:uiPriority w:val="0"/>
    <w:rPr>
      <w:rFonts w:hint="eastAsia" w:ascii="宋体" w:hAnsi="宋体" w:eastAsia="宋体"/>
      <w:kern w:val="2"/>
      <w:sz w:val="24"/>
      <w:szCs w:val="24"/>
      <w:lang w:bidi="ar-SA"/>
    </w:rPr>
  </w:style>
  <w:style w:type="character" w:customStyle="1" w:styleId="2890">
    <w:name w:val="表格用字 Char Char1"/>
    <w:qFormat/>
    <w:uiPriority w:val="0"/>
    <w:rPr>
      <w:rFonts w:hint="eastAsia" w:ascii="宋体" w:hAnsi="宋体" w:eastAsia="仿宋_GB2312" w:cs="宋体"/>
      <w:bCs/>
      <w:kern w:val="2"/>
      <w:sz w:val="24"/>
      <w:szCs w:val="21"/>
      <w:lang w:val="en-US" w:eastAsia="zh-CN" w:bidi="ar-SA"/>
    </w:rPr>
  </w:style>
  <w:style w:type="character" w:customStyle="1" w:styleId="2891">
    <w:name w:val="Char Char64"/>
    <w:qFormat/>
    <w:uiPriority w:val="0"/>
    <w:rPr>
      <w:rFonts w:hint="default" w:ascii="Times New Roman" w:hAnsi="Times New Roman" w:eastAsia="宋体" w:cs="Times New Roman"/>
      <w:kern w:val="2"/>
      <w:sz w:val="28"/>
      <w:szCs w:val="24"/>
      <w:lang w:val="en-US" w:eastAsia="zh-CN" w:bidi="ar"/>
    </w:rPr>
  </w:style>
  <w:style w:type="character" w:customStyle="1" w:styleId="2892">
    <w:name w:val="Char Char231"/>
    <w:qFormat/>
    <w:uiPriority w:val="0"/>
    <w:rPr>
      <w:rFonts w:hint="default" w:ascii="Arial" w:hAnsi="Arial" w:eastAsia="黑体" w:cs="宋体"/>
      <w:snapToGrid w:val="0"/>
      <w:kern w:val="2"/>
      <w:sz w:val="21"/>
      <w:szCs w:val="21"/>
      <w:lang w:val="en-US" w:eastAsia="zh-CN" w:bidi="ar-SA"/>
    </w:rPr>
  </w:style>
  <w:style w:type="character" w:customStyle="1" w:styleId="2893">
    <w:name w:val="粤东核电报告正文 Char Char Char Char Char"/>
    <w:qFormat/>
    <w:uiPriority w:val="0"/>
    <w:rPr>
      <w:rFonts w:hint="eastAsia" w:ascii="宋体" w:hAnsi="宋体" w:eastAsia="宋体" w:cs="宋体"/>
      <w:b/>
      <w:kern w:val="2"/>
      <w:sz w:val="24"/>
      <w:szCs w:val="24"/>
      <w:lang w:val="en-US" w:eastAsia="zh-CN" w:bidi="ar-SA"/>
    </w:rPr>
  </w:style>
  <w:style w:type="character" w:customStyle="1" w:styleId="2894">
    <w:name w:val="表格五号字"/>
    <w:qFormat/>
    <w:uiPriority w:val="0"/>
    <w:rPr>
      <w:rFonts w:hint="eastAsia" w:ascii="宋体" w:hAnsi="宋体" w:eastAsia="宋体" w:cs="宋体"/>
      <w:kern w:val="2"/>
      <w:sz w:val="21"/>
      <w:szCs w:val="24"/>
      <w:lang w:val="en-US" w:eastAsia="zh-CN" w:bidi="ar"/>
    </w:rPr>
  </w:style>
  <w:style w:type="character" w:customStyle="1" w:styleId="2895">
    <w:name w:val="电子邮件签名 Char3"/>
    <w:qFormat/>
    <w:uiPriority w:val="0"/>
    <w:rPr>
      <w:rFonts w:hint="eastAsia" w:ascii="宋体" w:hAnsi="宋体" w:eastAsia="宋体" w:cs="宋体"/>
      <w:kern w:val="2"/>
      <w:sz w:val="28"/>
      <w:szCs w:val="24"/>
      <w:lang w:val="en-US" w:eastAsia="zh-CN" w:bidi="ar"/>
    </w:rPr>
  </w:style>
  <w:style w:type="character" w:customStyle="1" w:styleId="2896">
    <w:name w:val="Char Char Char Char Char Char Char Char2"/>
    <w:qFormat/>
    <w:uiPriority w:val="0"/>
    <w:rPr>
      <w:rFonts w:hint="eastAsia" w:ascii="宋体" w:hAnsi="宋体" w:eastAsia="宋体" w:cs="宋体"/>
      <w:kern w:val="2"/>
      <w:sz w:val="21"/>
      <w:szCs w:val="24"/>
      <w:lang w:val="en-US" w:eastAsia="zh-CN" w:bidi="ar"/>
    </w:rPr>
  </w:style>
  <w:style w:type="character" w:customStyle="1" w:styleId="2897">
    <w:name w:val="正文标准样式 Char Char Char"/>
    <w:qFormat/>
    <w:uiPriority w:val="0"/>
    <w:rPr>
      <w:rFonts w:hint="eastAsia" w:ascii="宋体" w:hAnsi="宋体" w:eastAsia="宋体" w:cs="宋体"/>
      <w:kern w:val="2"/>
      <w:sz w:val="24"/>
      <w:szCs w:val="24"/>
      <w:lang w:val="en-US" w:eastAsia="zh-CN" w:bidi="ar-SA"/>
    </w:rPr>
  </w:style>
  <w:style w:type="character" w:customStyle="1" w:styleId="2898">
    <w:name w:val="style391"/>
    <w:qFormat/>
    <w:uiPriority w:val="0"/>
    <w:rPr>
      <w:rFonts w:hint="eastAsia" w:ascii="宋体" w:hAnsi="宋体" w:eastAsia="宋体" w:cs="宋体"/>
      <w:kern w:val="2"/>
      <w:sz w:val="18"/>
      <w:szCs w:val="18"/>
      <w:lang w:val="en-US" w:eastAsia="zh-CN" w:bidi="ar"/>
    </w:rPr>
  </w:style>
  <w:style w:type="character" w:customStyle="1" w:styleId="2899">
    <w:name w:val="样式 正文首行缩进 2 + 首行缩进:  2 字符1 Char1"/>
    <w:qFormat/>
    <w:uiPriority w:val="0"/>
    <w:rPr>
      <w:rFonts w:hint="eastAsia" w:ascii="黑体" w:hAnsi="黑体" w:eastAsia="宋体" w:cs="宋体"/>
      <w:bCs/>
      <w:kern w:val="2"/>
      <w:sz w:val="24"/>
      <w:szCs w:val="24"/>
      <w:lang w:val="en-US" w:eastAsia="zh-CN" w:bidi="ar-SA"/>
    </w:rPr>
  </w:style>
  <w:style w:type="character" w:customStyle="1" w:styleId="2900">
    <w:name w:val="报告表格内文 Char Char"/>
    <w:qFormat/>
    <w:uiPriority w:val="0"/>
    <w:rPr>
      <w:rFonts w:hint="eastAsia" w:ascii="宋体" w:hAnsi="宋体" w:eastAsia="宋体" w:cs="宋体"/>
      <w:bCs/>
      <w:color w:val="000000"/>
      <w:kern w:val="2"/>
      <w:sz w:val="21"/>
      <w:szCs w:val="24"/>
      <w:lang w:val="en-US" w:eastAsia="zh-CN" w:bidi="ar-SA"/>
    </w:rPr>
  </w:style>
  <w:style w:type="character" w:customStyle="1" w:styleId="2901">
    <w:name w:val="表、图名 Char Char"/>
    <w:link w:val="1405"/>
    <w:qFormat/>
    <w:locked/>
    <w:uiPriority w:val="0"/>
    <w:rPr>
      <w:rFonts w:ascii="黑体" w:hAnsi="宋体" w:eastAsia="黑体"/>
      <w:color w:val="000000"/>
      <w:sz w:val="24"/>
      <w:szCs w:val="24"/>
      <w:lang w:val="en-US" w:eastAsia="zh-CN"/>
    </w:rPr>
  </w:style>
  <w:style w:type="character" w:customStyle="1" w:styleId="2902">
    <w:name w:val="articlebody1"/>
    <w:qFormat/>
    <w:uiPriority w:val="0"/>
    <w:rPr>
      <w:rFonts w:hint="eastAsia" w:ascii="宋体" w:hAnsi="宋体" w:eastAsia="宋体" w:cs="宋体"/>
      <w:kern w:val="2"/>
      <w:sz w:val="21"/>
      <w:szCs w:val="21"/>
      <w:lang w:val="en-US" w:eastAsia="zh-CN" w:bidi="ar"/>
    </w:rPr>
  </w:style>
  <w:style w:type="character" w:customStyle="1" w:styleId="2903">
    <w:name w:val="不明显参考2"/>
    <w:qFormat/>
    <w:uiPriority w:val="0"/>
    <w:rPr>
      <w:rFonts w:hint="eastAsia" w:ascii="宋体" w:hAnsi="宋体" w:eastAsia="宋体" w:cs="宋体"/>
      <w:smallCaps/>
      <w:color w:val="C0504D"/>
      <w:kern w:val="2"/>
      <w:sz w:val="28"/>
      <w:szCs w:val="24"/>
      <w:u w:val="single"/>
      <w:lang w:val="en-US" w:eastAsia="zh-CN" w:bidi="ar"/>
    </w:rPr>
  </w:style>
  <w:style w:type="character" w:customStyle="1" w:styleId="2904">
    <w:name w:val="ggtitle"/>
    <w:qFormat/>
    <w:uiPriority w:val="0"/>
    <w:rPr>
      <w:rFonts w:hint="eastAsia" w:ascii="宋体" w:hAnsi="宋体" w:eastAsia="宋体" w:cs="宋体"/>
      <w:kern w:val="2"/>
      <w:sz w:val="28"/>
      <w:szCs w:val="24"/>
      <w:lang w:val="en-US" w:eastAsia="zh-CN" w:bidi="ar"/>
    </w:rPr>
  </w:style>
  <w:style w:type="character" w:customStyle="1" w:styleId="2905">
    <w:name w:val="不明显强调2"/>
    <w:qFormat/>
    <w:uiPriority w:val="0"/>
    <w:rPr>
      <w:rFonts w:hint="eastAsia" w:ascii="宋体" w:hAnsi="宋体" w:eastAsia="宋体" w:cs="宋体"/>
      <w:i/>
      <w:iCs/>
      <w:color w:val="808080"/>
      <w:kern w:val="2"/>
      <w:sz w:val="28"/>
      <w:szCs w:val="24"/>
      <w:lang w:val="en-US" w:eastAsia="zh-CN" w:bidi="ar"/>
    </w:rPr>
  </w:style>
  <w:style w:type="character" w:customStyle="1" w:styleId="2906">
    <w:name w:val="dectext1"/>
    <w:qFormat/>
    <w:uiPriority w:val="0"/>
    <w:rPr>
      <w:rFonts w:hint="eastAsia" w:ascii="宋体" w:hAnsi="宋体" w:eastAsia="宋体" w:cs="宋体"/>
      <w:color w:val="333333"/>
      <w:kern w:val="2"/>
      <w:sz w:val="21"/>
      <w:szCs w:val="21"/>
      <w:u w:val="none"/>
      <w:lang w:val="en-US" w:eastAsia="zh-CN" w:bidi="ar"/>
    </w:rPr>
  </w:style>
  <w:style w:type="character" w:customStyle="1" w:styleId="2907">
    <w:name w:val="副标题 字符1"/>
    <w:qFormat/>
    <w:uiPriority w:val="0"/>
    <w:rPr>
      <w:rFonts w:hint="default" w:ascii="Cambria" w:hAnsi="Cambria" w:eastAsia="宋体"/>
      <w:b/>
      <w:bCs/>
      <w:kern w:val="28"/>
      <w:sz w:val="32"/>
      <w:szCs w:val="32"/>
      <w:lang w:val="en-US" w:eastAsia="zh-CN" w:bidi="ar-SA"/>
    </w:rPr>
  </w:style>
  <w:style w:type="character" w:customStyle="1" w:styleId="2908">
    <w:name w:val="正文文本缩进 3 字符1"/>
    <w:qFormat/>
    <w:uiPriority w:val="0"/>
    <w:rPr>
      <w:sz w:val="28"/>
      <w:szCs w:val="24"/>
      <w:lang w:bidi="ar-SA"/>
    </w:rPr>
  </w:style>
  <w:style w:type="character" w:customStyle="1" w:styleId="2909">
    <w:name w:val="样式41 Char Char Char"/>
    <w:qFormat/>
    <w:uiPriority w:val="0"/>
    <w:rPr>
      <w:rFonts w:hint="eastAsia" w:ascii="宋体" w:hAnsi="宋体" w:eastAsia="宋体" w:cs="仿宋_GB2312"/>
      <w:b/>
      <w:bCs/>
      <w:color w:val="000000"/>
      <w:kern w:val="2"/>
      <w:sz w:val="28"/>
      <w:szCs w:val="28"/>
      <w:lang w:val="en-US" w:eastAsia="zh-CN" w:bidi="ar-SA"/>
    </w:rPr>
  </w:style>
  <w:style w:type="character" w:customStyle="1" w:styleId="2910">
    <w:name w:val="z-窗体顶端 Char1"/>
    <w:qFormat/>
    <w:uiPriority w:val="0"/>
    <w:rPr>
      <w:rFonts w:hint="default" w:ascii="Arial" w:hAnsi="Arial" w:eastAsia="宋体" w:cs="Arial"/>
      <w:vanish/>
      <w:kern w:val="2"/>
      <w:sz w:val="16"/>
      <w:szCs w:val="16"/>
      <w:lang w:val="en-US" w:eastAsia="zh-CN" w:bidi="ar-SA"/>
    </w:rPr>
  </w:style>
  <w:style w:type="character" w:customStyle="1" w:styleId="2911">
    <w:name w:val="sub-dash Char1"/>
    <w:qFormat/>
    <w:uiPriority w:val="0"/>
    <w:rPr>
      <w:rFonts w:hint="default" w:ascii="Arial" w:hAnsi="Arial" w:eastAsia="黑体" w:cs="Arial"/>
      <w:kern w:val="2"/>
      <w:sz w:val="28"/>
      <w:szCs w:val="24"/>
      <w:lang w:val="en-US" w:eastAsia="zh-CN" w:bidi="ar-SA"/>
    </w:rPr>
  </w:style>
  <w:style w:type="character" w:customStyle="1" w:styleId="2912">
    <w:name w:val="tx9pt1"/>
    <w:qFormat/>
    <w:uiPriority w:val="0"/>
    <w:rPr>
      <w:rFonts w:hint="eastAsia" w:ascii="宋体" w:hAnsi="宋体" w:eastAsia="宋体" w:cs="宋体"/>
      <w:kern w:val="2"/>
      <w:sz w:val="18"/>
      <w:szCs w:val="18"/>
      <w:u w:val="none"/>
      <w:lang w:val="en-US" w:eastAsia="zh-CN" w:bidi="ar"/>
    </w:rPr>
  </w:style>
  <w:style w:type="character" w:customStyle="1" w:styleId="2913">
    <w:name w:val="Char Char Char Char Char2"/>
    <w:qFormat/>
    <w:uiPriority w:val="0"/>
    <w:rPr>
      <w:rFonts w:hint="eastAsia" w:ascii="宋体" w:hAnsi="宋体" w:eastAsia="宋体" w:cs="宋体"/>
      <w:kern w:val="2"/>
      <w:sz w:val="21"/>
      <w:szCs w:val="24"/>
      <w:lang w:val="en-US" w:eastAsia="zh-CN" w:bidi="ar"/>
    </w:rPr>
  </w:style>
  <w:style w:type="character" w:customStyle="1" w:styleId="2914">
    <w:name w:val="slink1"/>
    <w:qFormat/>
    <w:uiPriority w:val="0"/>
    <w:rPr>
      <w:rFonts w:hint="default" w:ascii="ˎ̥" w:hAnsi="ˎ̥" w:eastAsia="宋体" w:cs="宋体"/>
      <w:kern w:val="2"/>
      <w:sz w:val="18"/>
      <w:szCs w:val="18"/>
      <w:u w:val="none"/>
      <w:lang w:val="en-US" w:eastAsia="zh-CN" w:bidi="ar"/>
    </w:rPr>
  </w:style>
  <w:style w:type="character" w:customStyle="1" w:styleId="2915">
    <w:name w:val="content1"/>
    <w:qFormat/>
    <w:uiPriority w:val="0"/>
    <w:rPr>
      <w:rFonts w:hint="eastAsia" w:ascii="宋体" w:hAnsi="宋体" w:eastAsia="宋体" w:cs="宋体"/>
      <w:kern w:val="2"/>
      <w:sz w:val="21"/>
      <w:szCs w:val="21"/>
      <w:lang w:val="en-US" w:eastAsia="zh-CN" w:bidi="ar-SA"/>
    </w:rPr>
  </w:style>
  <w:style w:type="character" w:customStyle="1" w:styleId="2916">
    <w:name w:val="特殊正文 Char"/>
    <w:qFormat/>
    <w:uiPriority w:val="0"/>
    <w:rPr>
      <w:rFonts w:hint="eastAsia" w:ascii="华文新魏" w:hAnsi="宋体" w:eastAsia="华文新魏" w:cs="宋体"/>
      <w:b/>
      <w:bCs/>
      <w:kern w:val="2"/>
      <w:sz w:val="32"/>
      <w:szCs w:val="32"/>
      <w:lang w:val="en-US" w:eastAsia="zh-CN" w:bidi="ar-SA"/>
    </w:rPr>
  </w:style>
  <w:style w:type="character" w:customStyle="1" w:styleId="2917">
    <w:name w:val="zt1"/>
    <w:qFormat/>
    <w:uiPriority w:val="0"/>
    <w:rPr>
      <w:rFonts w:hint="eastAsia" w:ascii="宋体" w:hAnsi="宋体" w:eastAsia="宋体" w:cs="宋体"/>
      <w:kern w:val="2"/>
      <w:sz w:val="18"/>
      <w:szCs w:val="18"/>
      <w:lang w:val="en-US" w:eastAsia="zh-CN" w:bidi="ar"/>
    </w:rPr>
  </w:style>
  <w:style w:type="character" w:customStyle="1" w:styleId="2918">
    <w:name w:val="注释标题 字符"/>
    <w:qFormat/>
    <w:uiPriority w:val="0"/>
    <w:rPr>
      <w:rFonts w:hint="eastAsia" w:ascii="宋体" w:hAnsi="宋体" w:eastAsia="宋体" w:cs="宋体"/>
      <w:kern w:val="2"/>
      <w:sz w:val="24"/>
      <w:szCs w:val="24"/>
      <w:lang w:val="en-US" w:eastAsia="zh-CN" w:bidi="ar"/>
    </w:rPr>
  </w:style>
  <w:style w:type="character" w:customStyle="1" w:styleId="2919">
    <w:name w:val="正文文本缩进 2 Char4"/>
    <w:qFormat/>
    <w:uiPriority w:val="0"/>
    <w:rPr>
      <w:rFonts w:hint="eastAsia" w:ascii="宋体" w:hAnsi="宋体" w:eastAsia="宋体" w:cs="宋体"/>
      <w:kern w:val="2"/>
      <w:sz w:val="21"/>
      <w:szCs w:val="21"/>
      <w:lang w:val="en-US" w:eastAsia="zh-CN" w:bidi="ar"/>
    </w:rPr>
  </w:style>
  <w:style w:type="character" w:customStyle="1" w:styleId="2920">
    <w:name w:val="yqlink"/>
    <w:qFormat/>
    <w:uiPriority w:val="0"/>
    <w:rPr>
      <w:rFonts w:hint="eastAsia" w:ascii="宋体" w:hAnsi="宋体" w:eastAsia="宋体" w:cs="宋体"/>
      <w:kern w:val="2"/>
      <w:sz w:val="28"/>
      <w:szCs w:val="24"/>
      <w:lang w:val="en-US" w:eastAsia="zh-CN" w:bidi="ar"/>
    </w:rPr>
  </w:style>
  <w:style w:type="character" w:customStyle="1" w:styleId="2921">
    <w:name w:val="nodetitle"/>
    <w:qFormat/>
    <w:uiPriority w:val="0"/>
    <w:rPr>
      <w:rFonts w:hint="default" w:ascii="ˎ̥" w:hAnsi="ˎ̥" w:eastAsia="宋体" w:cs="宋体"/>
      <w:b/>
      <w:bCs/>
      <w:kern w:val="2"/>
      <w:sz w:val="24"/>
      <w:szCs w:val="24"/>
      <w:lang w:val="en-US" w:eastAsia="zh-CN" w:bidi="ar"/>
    </w:rPr>
  </w:style>
  <w:style w:type="character" w:customStyle="1" w:styleId="2922">
    <w:name w:val="海南化工城正文 Char Char Char"/>
    <w:qFormat/>
    <w:uiPriority w:val="0"/>
    <w:rPr>
      <w:rFonts w:hint="eastAsia" w:ascii="宋体" w:hAnsi="宋体" w:eastAsia="宋体"/>
      <w:kern w:val="2"/>
      <w:sz w:val="24"/>
      <w:lang w:bidi="ar-SA"/>
    </w:rPr>
  </w:style>
  <w:style w:type="character" w:customStyle="1" w:styleId="2923">
    <w:name w:val="表头YHY Char Char Char"/>
    <w:qFormat/>
    <w:uiPriority w:val="0"/>
    <w:rPr>
      <w:rFonts w:hint="eastAsia" w:ascii="黑体" w:hAnsi="黑体" w:eastAsia="黑体"/>
      <w:kern w:val="2"/>
      <w:sz w:val="21"/>
      <w:lang w:val="en-US" w:eastAsia="zh-CN" w:bidi="ar-SA"/>
    </w:rPr>
  </w:style>
  <w:style w:type="character" w:customStyle="1" w:styleId="2924">
    <w:name w:val="标题 4 Char Char Char Char Char Char Char Char Char Char Char Char Char Char Char Char Char Char Char Char Char Char Char Char Char1"/>
    <w:qFormat/>
    <w:uiPriority w:val="0"/>
    <w:rPr>
      <w:rFonts w:hint="default" w:ascii="Arial" w:hAnsi="Arial" w:eastAsia="宋体" w:cs="Times New Roman"/>
      <w:kern w:val="2"/>
      <w:sz w:val="28"/>
      <w:szCs w:val="20"/>
      <w:lang w:val="en-US" w:eastAsia="zh-CN" w:bidi="ar-SA"/>
    </w:rPr>
  </w:style>
  <w:style w:type="character" w:customStyle="1" w:styleId="2925">
    <w:name w:val="报告标题3 Char Char Char Char"/>
    <w:qFormat/>
    <w:uiPriority w:val="0"/>
    <w:rPr>
      <w:rFonts w:hint="eastAsia" w:ascii="宋体" w:hAnsi="宋体" w:eastAsia="宋体"/>
      <w:b/>
      <w:snapToGrid/>
      <w:color w:val="000000"/>
      <w:sz w:val="28"/>
      <w:szCs w:val="32"/>
      <w:lang w:val="en-US" w:eastAsia="zh-CN" w:bidi="ar-SA"/>
    </w:rPr>
  </w:style>
  <w:style w:type="character" w:customStyle="1" w:styleId="2926">
    <w:name w:val="Char Char182"/>
    <w:qFormat/>
    <w:uiPriority w:val="0"/>
    <w:rPr>
      <w:rFonts w:hint="eastAsia" w:ascii="宋体" w:hAnsi="宋体" w:eastAsia="宋体" w:cs="宋体"/>
      <w:b/>
      <w:bCs/>
      <w:kern w:val="2"/>
      <w:sz w:val="24"/>
      <w:szCs w:val="24"/>
      <w:lang w:val="en-US" w:eastAsia="zh-CN" w:bidi="ar-SA"/>
    </w:rPr>
  </w:style>
  <w:style w:type="character" w:customStyle="1" w:styleId="2927">
    <w:name w:val="s"/>
    <w:qFormat/>
    <w:uiPriority w:val="0"/>
    <w:rPr>
      <w:rFonts w:hint="eastAsia" w:ascii="宋体" w:hAnsi="宋体" w:eastAsia="宋体" w:cs="宋体"/>
      <w:kern w:val="2"/>
      <w:sz w:val="28"/>
      <w:szCs w:val="24"/>
      <w:lang w:val="en-US" w:eastAsia="zh-CN" w:bidi="ar"/>
    </w:rPr>
  </w:style>
  <w:style w:type="character" w:customStyle="1" w:styleId="2928">
    <w:name w:val="标题 3 字符1"/>
    <w:qFormat/>
    <w:uiPriority w:val="0"/>
    <w:rPr>
      <w:rFonts w:hint="eastAsia" w:ascii="宋体" w:hAnsi="宋体" w:eastAsia="宋体"/>
      <w:b/>
      <w:bCs/>
      <w:spacing w:val="-2"/>
      <w:sz w:val="32"/>
      <w:szCs w:val="32"/>
      <w:lang w:val="en-US" w:eastAsia="zh-CN" w:bidi="ar-SA"/>
    </w:rPr>
  </w:style>
  <w:style w:type="character" w:customStyle="1" w:styleId="2929">
    <w:name w:val="unnamed1"/>
    <w:qFormat/>
    <w:uiPriority w:val="0"/>
    <w:rPr>
      <w:rFonts w:hint="eastAsia" w:ascii="宋体" w:hAnsi="宋体" w:eastAsia="宋体" w:cs="宋体"/>
      <w:kern w:val="2"/>
      <w:sz w:val="28"/>
      <w:szCs w:val="24"/>
      <w:lang w:val="en-US" w:eastAsia="zh-CN" w:bidi="ar"/>
    </w:rPr>
  </w:style>
  <w:style w:type="character" w:customStyle="1" w:styleId="2930">
    <w:name w:val="标题 4 Char Char Char Char Char Char Char Char Char Char Char Char Char Char Char Char Char Char Char Char Char Char Char Char Char Char"/>
    <w:qFormat/>
    <w:uiPriority w:val="0"/>
    <w:rPr>
      <w:rFonts w:hint="default" w:ascii="Arial" w:hAnsi="Arial" w:eastAsia="宋体" w:cs="Times New Roman"/>
      <w:kern w:val="2"/>
      <w:sz w:val="28"/>
      <w:szCs w:val="20"/>
      <w:lang w:val="en-US" w:eastAsia="zh-CN" w:bidi="ar-SA"/>
    </w:rPr>
  </w:style>
  <w:style w:type="character" w:customStyle="1" w:styleId="2931">
    <w:name w:val="H8 Char3"/>
    <w:qFormat/>
    <w:uiPriority w:val="0"/>
    <w:rPr>
      <w:rFonts w:hint="default" w:ascii="Arial" w:hAnsi="Arial" w:eastAsia="黑体" w:cs="宋体"/>
      <w:kern w:val="2"/>
      <w:sz w:val="24"/>
      <w:szCs w:val="24"/>
      <w:lang w:val="en-US" w:eastAsia="zh-CN" w:bidi="ar-SA"/>
    </w:rPr>
  </w:style>
  <w:style w:type="character" w:customStyle="1" w:styleId="2932">
    <w:name w:val="z-窗体底端 Char2"/>
    <w:qFormat/>
    <w:uiPriority w:val="0"/>
    <w:rPr>
      <w:rFonts w:hint="default" w:ascii="Arial" w:hAnsi="Arial" w:eastAsia="宋体" w:cs="Arial"/>
      <w:vanish/>
      <w:kern w:val="2"/>
      <w:sz w:val="16"/>
      <w:szCs w:val="16"/>
      <w:lang w:val="en-US" w:eastAsia="zh-CN" w:bidi="ar-SA"/>
    </w:rPr>
  </w:style>
  <w:style w:type="character" w:customStyle="1" w:styleId="2933">
    <w:name w:val="正文段落 Char Char Char Char"/>
    <w:qFormat/>
    <w:uiPriority w:val="0"/>
    <w:rPr>
      <w:rFonts w:hint="eastAsia" w:ascii="宋体" w:hAnsi="宋体" w:eastAsia="宋体"/>
      <w:sz w:val="24"/>
      <w:szCs w:val="24"/>
      <w:lang w:bidi="ar-SA"/>
    </w:rPr>
  </w:style>
  <w:style w:type="character" w:customStyle="1" w:styleId="2934">
    <w:name w:val="Char Char2"/>
    <w:qFormat/>
    <w:locked/>
    <w:uiPriority w:val="0"/>
    <w:rPr>
      <w:rFonts w:ascii="Arial" w:hAnsi="Arial" w:eastAsia="宋体" w:cs="Arial"/>
      <w:vanish/>
      <w:kern w:val="2"/>
      <w:sz w:val="16"/>
      <w:szCs w:val="16"/>
      <w:lang w:val="en-US" w:eastAsia="zh-CN" w:bidi="ar-SA"/>
    </w:rPr>
  </w:style>
  <w:style w:type="character" w:customStyle="1" w:styleId="2935">
    <w:name w:val="11号线四级目录 Char"/>
    <w:qFormat/>
    <w:uiPriority w:val="0"/>
    <w:rPr>
      <w:rFonts w:hint="eastAsia" w:ascii="宋体" w:hAnsi="宋体" w:eastAsia="宋体" w:cs="宋体"/>
      <w:kern w:val="2"/>
      <w:sz w:val="28"/>
      <w:szCs w:val="28"/>
      <w:lang w:val="en-US" w:eastAsia="zh-CN" w:bidi="ar-SA"/>
    </w:rPr>
  </w:style>
  <w:style w:type="paragraph" w:customStyle="1" w:styleId="2936">
    <w:name w:val="表格（小）"/>
    <w:basedOn w:val="1"/>
    <w:qFormat/>
    <w:uiPriority w:val="0"/>
    <w:pPr>
      <w:adjustRightInd w:val="0"/>
      <w:snapToGrid w:val="0"/>
    </w:pPr>
    <w:rPr>
      <w:rFonts w:eastAsia="宋体" w:cs="黑体"/>
      <w:spacing w:val="-2"/>
      <w:kern w:val="0"/>
      <w:sz w:val="24"/>
    </w:rPr>
  </w:style>
  <w:style w:type="paragraph" w:customStyle="1" w:styleId="2937">
    <w:name w:val="样式 标题 2H2h2heading 2+ Indent: Left 0.25 in二级节名1.1  heading...3"/>
    <w:basedOn w:val="4"/>
    <w:qFormat/>
    <w:uiPriority w:val="0"/>
    <w:pPr>
      <w:keepNext w:val="0"/>
      <w:keepLines w:val="0"/>
      <w:tabs>
        <w:tab w:val="left" w:pos="0"/>
        <w:tab w:val="left" w:pos="1476"/>
        <w:tab w:val="clear" w:pos="567"/>
      </w:tabs>
      <w:spacing w:before="0" w:beforeLines="100" w:after="0" w:line="520" w:lineRule="exact"/>
      <w:ind w:left="840" w:hanging="420"/>
      <w:jc w:val="left"/>
    </w:pPr>
    <w:rPr>
      <w:rFonts w:ascii="宋体" w:hAnsi="宋体" w:eastAsia="宋体" w:cs="宋体"/>
      <w:b/>
      <w:bCs/>
      <w:spacing w:val="-2"/>
      <w:sz w:val="30"/>
      <w:lang w:val="zh-CN"/>
    </w:rPr>
  </w:style>
  <w:style w:type="character" w:customStyle="1" w:styleId="2938">
    <w:name w:val="正文文本 Char6"/>
    <w:semiHidden/>
    <w:qFormat/>
    <w:uiPriority w:val="99"/>
    <w:rPr>
      <w:rFonts w:ascii="Times New Roman" w:hAnsi="Times New Roman" w:eastAsia="仿宋_GB2312" w:cs="Times New Roman"/>
      <w:sz w:val="28"/>
      <w:szCs w:val="20"/>
    </w:rPr>
  </w:style>
  <w:style w:type="character" w:customStyle="1" w:styleId="2939">
    <w:name w:val="正文首行缩进 Char1"/>
    <w:qFormat/>
    <w:uiPriority w:val="0"/>
  </w:style>
  <w:style w:type="paragraph" w:customStyle="1" w:styleId="2940">
    <w:name w:val="样式 标题一 + 首行缩进:  2 字符 段前: 0.5 行 段后: 0.8 行"/>
    <w:basedOn w:val="1"/>
    <w:qFormat/>
    <w:uiPriority w:val="0"/>
    <w:pPr>
      <w:adjustRightInd w:val="0"/>
      <w:snapToGrid w:val="0"/>
      <w:spacing w:beforeLines="50"/>
      <w:ind w:firstLine="200" w:firstLineChars="200"/>
    </w:pPr>
    <w:rPr>
      <w:rFonts w:eastAsia="黑体" w:cs="宋体"/>
      <w:b/>
      <w:bCs/>
      <w:spacing w:val="-2"/>
      <w:kern w:val="0"/>
    </w:rPr>
  </w:style>
  <w:style w:type="paragraph" w:customStyle="1" w:styleId="2941">
    <w:name w:val="333333333"/>
    <w:basedOn w:val="1"/>
    <w:qFormat/>
    <w:uiPriority w:val="0"/>
    <w:pPr>
      <w:keepNext/>
      <w:keepLines/>
      <w:tabs>
        <w:tab w:val="left" w:pos="1260"/>
      </w:tabs>
      <w:spacing w:before="50" w:after="50" w:line="360" w:lineRule="auto"/>
      <w:ind w:left="1260" w:hanging="420"/>
      <w:outlineLvl w:val="2"/>
    </w:pPr>
    <w:rPr>
      <w:rFonts w:ascii="宋体" w:hAnsi="宋体" w:eastAsia="宋体" w:cs="Arial Unicode MS"/>
      <w:b/>
      <w:color w:val="000000"/>
      <w:spacing w:val="-2"/>
      <w:kern w:val="0"/>
      <w:sz w:val="24"/>
    </w:rPr>
  </w:style>
  <w:style w:type="paragraph" w:customStyle="1" w:styleId="2942">
    <w:name w:val="批注主题1"/>
    <w:basedOn w:val="28"/>
    <w:next w:val="28"/>
    <w:qFormat/>
    <w:uiPriority w:val="0"/>
    <w:rPr>
      <w:rFonts w:ascii="宋体" w:hAnsi="宋体" w:eastAsia="宋体" w:cs="宋体"/>
      <w:b/>
      <w:kern w:val="0"/>
      <w:sz w:val="24"/>
      <w:szCs w:val="22"/>
    </w:rPr>
  </w:style>
  <w:style w:type="character" w:customStyle="1" w:styleId="2943">
    <w:name w:val="签名 Char1"/>
    <w:semiHidden/>
    <w:qFormat/>
    <w:uiPriority w:val="99"/>
    <w:rPr>
      <w:rFonts w:ascii="Times New Roman" w:hAnsi="Times New Roman" w:eastAsia="仿宋_GB2312" w:cs="Times New Roman"/>
      <w:sz w:val="28"/>
      <w:szCs w:val="20"/>
    </w:rPr>
  </w:style>
  <w:style w:type="character" w:customStyle="1" w:styleId="2944">
    <w:name w:val="批注框文本 Char3"/>
    <w:semiHidden/>
    <w:qFormat/>
    <w:uiPriority w:val="99"/>
    <w:rPr>
      <w:rFonts w:ascii="Times New Roman" w:hAnsi="Times New Roman" w:eastAsia="仿宋_GB2312" w:cs="Times New Roman"/>
      <w:sz w:val="18"/>
      <w:szCs w:val="18"/>
    </w:rPr>
  </w:style>
  <w:style w:type="character" w:customStyle="1" w:styleId="2945">
    <w:name w:val="尾注文本 Char1"/>
    <w:qFormat/>
    <w:uiPriority w:val="0"/>
    <w:rPr>
      <w:rFonts w:ascii="Times New Roman" w:hAnsi="Times New Roman" w:eastAsia="仿宋_GB2312" w:cs="Times New Roman"/>
      <w:sz w:val="28"/>
      <w:szCs w:val="20"/>
    </w:rPr>
  </w:style>
  <w:style w:type="paragraph" w:customStyle="1" w:styleId="2946">
    <w:name w:val="mb151"/>
    <w:basedOn w:val="1"/>
    <w:qFormat/>
    <w:uiPriority w:val="0"/>
    <w:pPr>
      <w:widowControl/>
      <w:spacing w:before="100" w:beforeAutospacing="1" w:after="225"/>
      <w:jc w:val="left"/>
    </w:pPr>
    <w:rPr>
      <w:rFonts w:ascii="宋体" w:hAnsi="Calibri" w:eastAsia="宋体" w:cs="宋体"/>
      <w:spacing w:val="-2"/>
      <w:kern w:val="0"/>
      <w:sz w:val="24"/>
      <w:szCs w:val="21"/>
    </w:rPr>
  </w:style>
  <w:style w:type="character" w:customStyle="1" w:styleId="2947">
    <w:name w:val="称呼 Char3"/>
    <w:semiHidden/>
    <w:qFormat/>
    <w:uiPriority w:val="99"/>
    <w:rPr>
      <w:rFonts w:ascii="Times New Roman" w:hAnsi="Times New Roman" w:eastAsia="仿宋_GB2312" w:cs="Times New Roman"/>
      <w:sz w:val="28"/>
      <w:szCs w:val="20"/>
    </w:rPr>
  </w:style>
  <w:style w:type="character" w:customStyle="1" w:styleId="2948">
    <w:name w:val="电子邮件签名 Char4"/>
    <w:semiHidden/>
    <w:qFormat/>
    <w:uiPriority w:val="99"/>
    <w:rPr>
      <w:rFonts w:ascii="Times New Roman" w:hAnsi="Times New Roman" w:eastAsia="仿宋_GB2312" w:cs="Times New Roman"/>
      <w:sz w:val="28"/>
      <w:szCs w:val="20"/>
    </w:rPr>
  </w:style>
  <w:style w:type="paragraph" w:customStyle="1" w:styleId="2949">
    <w:name w:val="Char2 Char Char Char Char Char Char Char Char Char1"/>
    <w:basedOn w:val="1"/>
    <w:qFormat/>
    <w:uiPriority w:val="0"/>
    <w:pPr>
      <w:spacing w:line="360" w:lineRule="auto"/>
      <w:ind w:firstLine="200" w:firstLineChars="200"/>
    </w:pPr>
    <w:rPr>
      <w:rFonts w:ascii="宋体" w:hAnsi="宋体" w:eastAsia="宋体" w:cs="宋体"/>
      <w:spacing w:val="-2"/>
      <w:kern w:val="0"/>
      <w:sz w:val="24"/>
    </w:rPr>
  </w:style>
  <w:style w:type="paragraph" w:customStyle="1" w:styleId="2950">
    <w:name w:val="文件名和路径"/>
    <w:qFormat/>
    <w:uiPriority w:val="0"/>
    <w:pPr>
      <w:widowControl w:val="0"/>
      <w:jc w:val="both"/>
    </w:pPr>
    <w:rPr>
      <w:rFonts w:ascii="Times New Roman" w:hAnsi="Times New Roman" w:eastAsia="宋体" w:cs="Times New Roman"/>
      <w:lang w:val="en-US" w:eastAsia="zh-CN" w:bidi="ar-SA"/>
    </w:rPr>
  </w:style>
  <w:style w:type="character" w:customStyle="1" w:styleId="2951">
    <w:name w:val="日期 Char2"/>
    <w:semiHidden/>
    <w:qFormat/>
    <w:uiPriority w:val="99"/>
    <w:rPr>
      <w:rFonts w:ascii="Times New Roman" w:hAnsi="Times New Roman" w:eastAsia="仿宋_GB2312" w:cs="Times New Roman"/>
      <w:sz w:val="28"/>
      <w:szCs w:val="20"/>
    </w:rPr>
  </w:style>
  <w:style w:type="paragraph" w:customStyle="1" w:styleId="2952">
    <w:name w:val="其他标准称谓"/>
    <w:qFormat/>
    <w:uiPriority w:val="0"/>
    <w:pPr>
      <w:spacing w:line="0" w:lineRule="atLeast"/>
      <w:jc w:val="distribute"/>
    </w:pPr>
    <w:rPr>
      <w:rFonts w:ascii="黑体" w:hAnsi="宋体" w:eastAsia="黑体" w:cs="Times New Roman"/>
      <w:sz w:val="52"/>
      <w:lang w:val="en-US" w:eastAsia="zh-CN" w:bidi="ar-SA"/>
    </w:rPr>
  </w:style>
  <w:style w:type="paragraph" w:customStyle="1" w:styleId="2953">
    <w:name w:val="con14"/>
    <w:basedOn w:val="1"/>
    <w:qFormat/>
    <w:uiPriority w:val="0"/>
    <w:pPr>
      <w:spacing w:before="100" w:beforeAutospacing="1" w:after="100" w:afterAutospacing="1"/>
      <w:ind w:firstLine="200" w:firstLineChars="200"/>
    </w:pPr>
    <w:rPr>
      <w:rFonts w:ascii="Arial Unicode MS" w:hAnsi="Arial Unicode MS" w:eastAsia="Arial Unicode MS" w:cs="黑体"/>
      <w:color w:val="000000"/>
      <w:spacing w:val="-2"/>
      <w:kern w:val="0"/>
      <w:sz w:val="20"/>
    </w:rPr>
  </w:style>
  <w:style w:type="character" w:customStyle="1" w:styleId="2954">
    <w:name w:val="结束语 Char3"/>
    <w:semiHidden/>
    <w:qFormat/>
    <w:uiPriority w:val="99"/>
    <w:rPr>
      <w:rFonts w:ascii="Times New Roman" w:hAnsi="Times New Roman" w:eastAsia="仿宋_GB2312" w:cs="Times New Roman"/>
      <w:sz w:val="28"/>
      <w:szCs w:val="20"/>
    </w:rPr>
  </w:style>
  <w:style w:type="character" w:customStyle="1" w:styleId="2955">
    <w:name w:val="脚注文本 Char1"/>
    <w:qFormat/>
    <w:uiPriority w:val="0"/>
    <w:rPr>
      <w:rFonts w:ascii="Times New Roman" w:hAnsi="Times New Roman" w:eastAsia="仿宋_GB2312" w:cs="Times New Roman"/>
      <w:sz w:val="18"/>
      <w:szCs w:val="18"/>
    </w:rPr>
  </w:style>
  <w:style w:type="character" w:customStyle="1" w:styleId="2956">
    <w:name w:val="注释标题 Char4"/>
    <w:semiHidden/>
    <w:qFormat/>
    <w:uiPriority w:val="99"/>
    <w:rPr>
      <w:rFonts w:ascii="Times New Roman" w:hAnsi="Times New Roman" w:eastAsia="仿宋_GB2312" w:cs="Times New Roman"/>
      <w:sz w:val="28"/>
      <w:szCs w:val="20"/>
    </w:rPr>
  </w:style>
  <w:style w:type="paragraph" w:customStyle="1" w:styleId="2957">
    <w:name w:val="xl20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b/>
      <w:bCs/>
      <w:spacing w:val="-2"/>
      <w:kern w:val="0"/>
      <w:sz w:val="24"/>
    </w:rPr>
  </w:style>
  <w:style w:type="paragraph" w:customStyle="1" w:styleId="2958">
    <w:name w:val="样式 标题 1文章标题一、章节H1Otsikko 1Eia标题1－1 + 段前: 0.5 行 段后: 0.5 行"/>
    <w:basedOn w:val="3"/>
    <w:next w:val="1"/>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character" w:customStyle="1" w:styleId="2959">
    <w:name w:val="副标题 Char3"/>
    <w:qFormat/>
    <w:uiPriority w:val="11"/>
    <w:rPr>
      <w:rFonts w:ascii="Cambria" w:hAnsi="Cambria" w:eastAsia="宋体" w:cs="Times New Roman"/>
      <w:b/>
      <w:bCs/>
      <w:kern w:val="28"/>
      <w:sz w:val="32"/>
      <w:szCs w:val="32"/>
    </w:rPr>
  </w:style>
  <w:style w:type="paragraph" w:customStyle="1" w:styleId="2960">
    <w:name w:val="普通(网站)2"/>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2961">
    <w:name w:val="xl1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008000"/>
      <w:spacing w:val="-2"/>
      <w:kern w:val="0"/>
      <w:sz w:val="20"/>
    </w:rPr>
  </w:style>
  <w:style w:type="paragraph" w:customStyle="1" w:styleId="2962">
    <w:name w:val="Char Char Char Char Char Char Char Char Char Char Char Char Char Char Char Char Char Char Char Char Char"/>
    <w:basedOn w:val="1"/>
    <w:qFormat/>
    <w:uiPriority w:val="0"/>
    <w:pPr>
      <w:widowControl/>
      <w:spacing w:after="160" w:line="240" w:lineRule="exact"/>
      <w:jc w:val="left"/>
    </w:pPr>
    <w:rPr>
      <w:rFonts w:ascii="Verdana" w:hAnsi="Verdana" w:eastAsia="宋体" w:cs="黑体"/>
      <w:spacing w:val="-2"/>
      <w:kern w:val="0"/>
      <w:sz w:val="20"/>
      <w:lang w:eastAsia="en-US"/>
    </w:rPr>
  </w:style>
  <w:style w:type="character" w:customStyle="1" w:styleId="2963">
    <w:name w:val="正文文本缩进 2 Char2"/>
    <w:qFormat/>
    <w:uiPriority w:val="0"/>
    <w:rPr>
      <w:rFonts w:ascii="Times New Roman" w:hAnsi="Times New Roman" w:eastAsia="仿宋_GB2312" w:cs="Times New Roman"/>
      <w:sz w:val="28"/>
      <w:szCs w:val="20"/>
    </w:rPr>
  </w:style>
  <w:style w:type="paragraph" w:customStyle="1" w:styleId="2964">
    <w:name w:val="enc-txt1"/>
    <w:basedOn w:val="1"/>
    <w:qFormat/>
    <w:uiPriority w:val="0"/>
    <w:pPr>
      <w:widowControl/>
      <w:spacing w:before="100" w:beforeAutospacing="1" w:after="100" w:afterAutospacing="1" w:line="330" w:lineRule="atLeast"/>
      <w:jc w:val="left"/>
    </w:pPr>
    <w:rPr>
      <w:rFonts w:ascii="宋体" w:hAnsi="Calibri" w:eastAsia="宋体" w:cs="宋体"/>
      <w:spacing w:val="-2"/>
      <w:kern w:val="0"/>
      <w:sz w:val="20"/>
    </w:rPr>
  </w:style>
  <w:style w:type="paragraph" w:customStyle="1" w:styleId="2965">
    <w:name w:val="框图"/>
    <w:basedOn w:val="1"/>
    <w:qFormat/>
    <w:uiPriority w:val="0"/>
    <w:pPr>
      <w:spacing w:line="240" w:lineRule="exact"/>
      <w:jc w:val="center"/>
    </w:pPr>
    <w:rPr>
      <w:rFonts w:eastAsia="宋体" w:cs="黑体"/>
      <w:spacing w:val="-2"/>
      <w:kern w:val="0"/>
      <w:sz w:val="24"/>
      <w:szCs w:val="21"/>
    </w:rPr>
  </w:style>
  <w:style w:type="paragraph" w:customStyle="1" w:styleId="2966">
    <w:name w:val="标 题 2"/>
    <w:basedOn w:val="4"/>
    <w:qFormat/>
    <w:uiPriority w:val="0"/>
    <w:pPr>
      <w:keepNext w:val="0"/>
      <w:keepLines w:val="0"/>
      <w:tabs>
        <w:tab w:val="left" w:pos="0"/>
        <w:tab w:val="left" w:pos="1476"/>
        <w:tab w:val="clear" w:pos="567"/>
      </w:tabs>
      <w:adjustRightInd w:val="0"/>
      <w:snapToGrid w:val="0"/>
      <w:spacing w:before="0" w:beforeLines="50" w:after="0" w:line="360" w:lineRule="auto"/>
      <w:ind w:left="0" w:firstLine="0"/>
    </w:pPr>
    <w:rPr>
      <w:rFonts w:ascii="宋体" w:hAnsi="宋体" w:eastAsia="宋体" w:cs="宋体"/>
      <w:b/>
      <w:bCs/>
      <w:spacing w:val="-2"/>
      <w:kern w:val="0"/>
      <w:sz w:val="30"/>
    </w:rPr>
  </w:style>
  <w:style w:type="character" w:customStyle="1" w:styleId="2967">
    <w:name w:val="文档结构图 Char3"/>
    <w:qFormat/>
    <w:uiPriority w:val="0"/>
    <w:rPr>
      <w:rFonts w:ascii="宋体" w:hAnsi="Times New Roman" w:eastAsia="宋体" w:cs="Times New Roman"/>
      <w:sz w:val="18"/>
      <w:szCs w:val="18"/>
    </w:rPr>
  </w:style>
  <w:style w:type="paragraph" w:customStyle="1" w:styleId="2968">
    <w:name w:val="样式 正文编号（1） +"/>
    <w:basedOn w:val="1"/>
    <w:qFormat/>
    <w:uiPriority w:val="0"/>
    <w:pPr>
      <w:tabs>
        <w:tab w:val="left" w:pos="360"/>
        <w:tab w:val="left" w:pos="572"/>
      </w:tabs>
      <w:spacing w:line="520" w:lineRule="exact"/>
      <w:ind w:left="360" w:hanging="360"/>
    </w:pPr>
    <w:rPr>
      <w:rFonts w:eastAsia="宋体" w:cs="黑体"/>
      <w:spacing w:val="-2"/>
      <w:kern w:val="0"/>
    </w:rPr>
  </w:style>
  <w:style w:type="character" w:customStyle="1" w:styleId="2969">
    <w:name w:val="HTML 地址 Char2"/>
    <w:semiHidden/>
    <w:qFormat/>
    <w:uiPriority w:val="99"/>
    <w:rPr>
      <w:rFonts w:ascii="Times New Roman" w:hAnsi="Times New Roman" w:eastAsia="仿宋_GB2312" w:cs="Times New Roman"/>
      <w:i/>
      <w:iCs/>
      <w:sz w:val="28"/>
      <w:szCs w:val="20"/>
    </w:rPr>
  </w:style>
  <w:style w:type="paragraph" w:customStyle="1" w:styleId="2970">
    <w:name w:val="Char1 Char Char Char Char Char Char1"/>
    <w:basedOn w:val="1"/>
    <w:qFormat/>
    <w:uiPriority w:val="0"/>
    <w:pPr>
      <w:ind w:left="-48"/>
    </w:pPr>
    <w:rPr>
      <w:rFonts w:eastAsia="宋体" w:cs="黑体"/>
      <w:spacing w:val="-2"/>
      <w:kern w:val="0"/>
    </w:rPr>
  </w:style>
  <w:style w:type="paragraph" w:customStyle="1" w:styleId="2971">
    <w:name w:val="封面其它文字"/>
    <w:basedOn w:val="1"/>
    <w:qFormat/>
    <w:uiPriority w:val="0"/>
    <w:pPr>
      <w:keepNext/>
      <w:keepLines/>
      <w:jc w:val="center"/>
      <w:outlineLvl w:val="0"/>
    </w:pPr>
    <w:rPr>
      <w:rFonts w:eastAsia="宋体" w:cs="黑体"/>
      <w:spacing w:val="-2"/>
      <w:kern w:val="0"/>
      <w:sz w:val="36"/>
    </w:rPr>
  </w:style>
  <w:style w:type="paragraph" w:customStyle="1" w:styleId="2972">
    <w:name w:val="authority"/>
    <w:basedOn w:val="1"/>
    <w:qFormat/>
    <w:uiPriority w:val="0"/>
    <w:pPr>
      <w:widowControl/>
      <w:spacing w:before="100" w:beforeAutospacing="1" w:after="450" w:line="300" w:lineRule="atLeast"/>
      <w:jc w:val="left"/>
    </w:pPr>
    <w:rPr>
      <w:rFonts w:ascii="宋体" w:hAnsi="Calibri" w:eastAsia="宋体" w:cs="宋体"/>
      <w:spacing w:val="-2"/>
      <w:kern w:val="0"/>
      <w:sz w:val="18"/>
      <w:szCs w:val="18"/>
    </w:rPr>
  </w:style>
  <w:style w:type="paragraph" w:customStyle="1" w:styleId="2973">
    <w:name w:val="正文 + 宋体"/>
    <w:basedOn w:val="1"/>
    <w:qFormat/>
    <w:uiPriority w:val="0"/>
    <w:pPr>
      <w:spacing w:line="360" w:lineRule="auto"/>
      <w:ind w:firstLine="420"/>
    </w:pPr>
    <w:rPr>
      <w:rFonts w:ascii="宋体" w:hAnsi="宋体" w:eastAsia="宋体" w:cs="黑体"/>
      <w:spacing w:val="-2"/>
      <w:kern w:val="0"/>
      <w:sz w:val="24"/>
    </w:rPr>
  </w:style>
  <w:style w:type="paragraph" w:customStyle="1" w:styleId="2974">
    <w:name w:val="over"/>
    <w:basedOn w:val="1"/>
    <w:qFormat/>
    <w:uiPriority w:val="0"/>
    <w:pPr>
      <w:widowControl/>
      <w:pBdr>
        <w:top w:val="single" w:color="EFEFEF" w:sz="6" w:space="0"/>
        <w:left w:val="single" w:color="EFEFEF" w:sz="6" w:space="0"/>
      </w:pBdr>
      <w:shd w:val="clear" w:color="auto" w:fill="EFEFEF"/>
      <w:spacing w:before="100" w:beforeAutospacing="1" w:after="100" w:afterAutospacing="1"/>
      <w:jc w:val="left"/>
    </w:pPr>
    <w:rPr>
      <w:rFonts w:ascii="Arial Unicode MS" w:hAnsi="Arial Unicode MS" w:eastAsia="Arial Unicode MS" w:cs="黑体"/>
      <w:color w:val="000000"/>
      <w:spacing w:val="-2"/>
      <w:kern w:val="0"/>
      <w:sz w:val="18"/>
    </w:rPr>
  </w:style>
  <w:style w:type="paragraph" w:customStyle="1" w:styleId="2975">
    <w:name w:val="样式 (西文) 仿宋_GB2312 (中文) 仿宋_GB2312 黑色 段前: 0.5 行 行距: 1.5 倍行距 左..."/>
    <w:basedOn w:val="1"/>
    <w:qFormat/>
    <w:uiPriority w:val="0"/>
    <w:pPr>
      <w:spacing w:line="300" w:lineRule="auto"/>
      <w:ind w:left="450" w:leftChars="450" w:firstLine="50" w:firstLineChars="50"/>
    </w:pPr>
    <w:rPr>
      <w:rFonts w:ascii="仿宋_GB2312" w:hAnsi="Calibri" w:cs="黑体"/>
      <w:color w:val="000000"/>
      <w:spacing w:val="-2"/>
      <w:kern w:val="0"/>
    </w:rPr>
  </w:style>
  <w:style w:type="paragraph" w:customStyle="1" w:styleId="2976">
    <w:name w:val="样式 四号 首行缩进:  0.85 厘米 段前: 6 磅 行距: 1.5 倍行距"/>
    <w:basedOn w:val="1"/>
    <w:qFormat/>
    <w:uiPriority w:val="0"/>
    <w:pPr>
      <w:spacing w:before="120" w:line="360" w:lineRule="auto"/>
      <w:ind w:firstLine="567"/>
    </w:pPr>
    <w:rPr>
      <w:rFonts w:eastAsia="宋体" w:cs="宋体"/>
      <w:spacing w:val="-2"/>
      <w:kern w:val="0"/>
    </w:rPr>
  </w:style>
  <w:style w:type="paragraph" w:customStyle="1" w:styleId="2977">
    <w:name w:val="列表2"/>
    <w:basedOn w:val="67"/>
    <w:qFormat/>
    <w:uiPriority w:val="0"/>
    <w:pPr>
      <w:autoSpaceDE/>
      <w:autoSpaceDN/>
      <w:snapToGrid w:val="0"/>
      <w:spacing w:line="400" w:lineRule="exact"/>
      <w:ind w:left="0" w:firstLine="0" w:firstLineChars="0"/>
      <w:jc w:val="both"/>
      <w:textAlignment w:val="auto"/>
    </w:pPr>
    <w:rPr>
      <w:rFonts w:ascii="Times New Roman" w:cs="黑体"/>
      <w:spacing w:val="-2"/>
      <w:sz w:val="24"/>
    </w:rPr>
  </w:style>
  <w:style w:type="paragraph" w:customStyle="1" w:styleId="2978">
    <w:name w:val="样式 样式 样式 标题 3 + 段前: 0.5 行 段后: 0.5 行 + Times New Roman 四号 段前: 0.5...1"/>
    <w:basedOn w:val="1"/>
    <w:qFormat/>
    <w:uiPriority w:val="99"/>
    <w:pPr>
      <w:keepNext/>
      <w:keepLines/>
      <w:spacing w:before="120" w:beforeLines="100" w:after="120" w:afterLines="100"/>
      <w:outlineLvl w:val="2"/>
    </w:pPr>
    <w:rPr>
      <w:rFonts w:eastAsia="宋体" w:cs="宋体"/>
      <w:b/>
      <w:bCs/>
      <w:kern w:val="0"/>
      <w:sz w:val="32"/>
    </w:rPr>
  </w:style>
  <w:style w:type="paragraph" w:customStyle="1" w:styleId="2979">
    <w:name w:val="xl1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color w:val="008000"/>
      <w:spacing w:val="-2"/>
      <w:kern w:val="0"/>
      <w:sz w:val="24"/>
    </w:rPr>
  </w:style>
  <w:style w:type="character" w:customStyle="1" w:styleId="2980">
    <w:name w:val="批注文字 Char2"/>
    <w:qFormat/>
    <w:uiPriority w:val="0"/>
    <w:rPr>
      <w:rFonts w:ascii="Times New Roman" w:hAnsi="Times New Roman" w:eastAsia="仿宋_GB2312" w:cs="Times New Roman"/>
      <w:sz w:val="28"/>
      <w:szCs w:val="20"/>
    </w:rPr>
  </w:style>
  <w:style w:type="paragraph" w:customStyle="1" w:styleId="2981">
    <w:name w:val="表格 1"/>
    <w:basedOn w:val="1"/>
    <w:qFormat/>
    <w:uiPriority w:val="0"/>
    <w:pPr>
      <w:autoSpaceDE w:val="0"/>
      <w:autoSpaceDN w:val="0"/>
      <w:jc w:val="center"/>
    </w:pPr>
    <w:rPr>
      <w:rFonts w:eastAsia="楷体_GB2312" w:cs="黑体"/>
      <w:spacing w:val="-2"/>
      <w:kern w:val="0"/>
    </w:rPr>
  </w:style>
  <w:style w:type="paragraph" w:customStyle="1" w:styleId="2982">
    <w:name w:val="样式 段前: 0.3 行 段后: 0.3 行"/>
    <w:basedOn w:val="1"/>
    <w:qFormat/>
    <w:uiPriority w:val="99"/>
    <w:pPr>
      <w:tabs>
        <w:tab w:val="left" w:pos="4920"/>
      </w:tabs>
      <w:adjustRightInd w:val="0"/>
      <w:snapToGrid w:val="0"/>
      <w:spacing w:before="120" w:after="120"/>
    </w:pPr>
    <w:rPr>
      <w:rFonts w:eastAsia="宋体" w:cs="宋体"/>
      <w:b/>
      <w:kern w:val="0"/>
      <w:sz w:val="21"/>
      <w:szCs w:val="21"/>
    </w:rPr>
  </w:style>
  <w:style w:type="character" w:customStyle="1" w:styleId="2983">
    <w:name w:val="正文文本 3 Char6"/>
    <w:semiHidden/>
    <w:qFormat/>
    <w:uiPriority w:val="99"/>
    <w:rPr>
      <w:rFonts w:ascii="Times New Roman" w:hAnsi="Times New Roman" w:eastAsia="仿宋_GB2312" w:cs="Times New Roman"/>
      <w:sz w:val="16"/>
      <w:szCs w:val="16"/>
    </w:rPr>
  </w:style>
  <w:style w:type="paragraph" w:customStyle="1" w:styleId="2984">
    <w:name w:val="样式 样式 样式 首行缩进:  2 字符 + 首行缩进:  2 字符 + 首行缩进:  2 字符"/>
    <w:basedOn w:val="1"/>
    <w:qFormat/>
    <w:uiPriority w:val="0"/>
    <w:pPr>
      <w:snapToGrid w:val="0"/>
      <w:spacing w:before="120" w:after="120"/>
      <w:ind w:firstLine="200" w:firstLineChars="200"/>
    </w:pPr>
    <w:rPr>
      <w:rFonts w:eastAsia="宋体" w:cs="宋体"/>
      <w:spacing w:val="-2"/>
      <w:kern w:val="0"/>
      <w:sz w:val="24"/>
    </w:rPr>
  </w:style>
  <w:style w:type="paragraph" w:customStyle="1" w:styleId="2985">
    <w:name w:val="样式 样式 标题 4标题 14 + 自动设置 + 无下划线"/>
    <w:basedOn w:val="1"/>
    <w:qFormat/>
    <w:uiPriority w:val="0"/>
    <w:pPr>
      <w:keepNext/>
      <w:tabs>
        <w:tab w:val="left" w:pos="2162"/>
      </w:tabs>
      <w:adjustRightInd w:val="0"/>
      <w:snapToGrid w:val="0"/>
      <w:ind w:left="2162" w:hanging="420"/>
      <w:outlineLvl w:val="3"/>
    </w:pPr>
    <w:rPr>
      <w:rFonts w:eastAsia="黑体" w:cs="黑体"/>
      <w:spacing w:val="-2"/>
      <w:kern w:val="0"/>
      <w:sz w:val="24"/>
    </w:rPr>
  </w:style>
  <w:style w:type="paragraph" w:customStyle="1" w:styleId="2986">
    <w:name w:val="样式 小五 首行缩进: 0字符"/>
    <w:basedOn w:val="1"/>
    <w:qFormat/>
    <w:uiPriority w:val="0"/>
    <w:pPr>
      <w:snapToGrid w:val="0"/>
      <w:ind w:firstLine="200" w:firstLineChars="200"/>
    </w:pPr>
    <w:rPr>
      <w:rFonts w:eastAsia="宋体" w:cs="宋体"/>
      <w:spacing w:val="-2"/>
      <w:kern w:val="0"/>
      <w:sz w:val="18"/>
    </w:rPr>
  </w:style>
  <w:style w:type="paragraph" w:customStyle="1" w:styleId="2987">
    <w:name w:val="样式 标题 2H2h2heading 2+ Indent: Left 0.25 in二级节名1.1  heading...2"/>
    <w:basedOn w:val="4"/>
    <w:qFormat/>
    <w:uiPriority w:val="0"/>
    <w:pPr>
      <w:keepNext w:val="0"/>
      <w:keepLines w:val="0"/>
      <w:tabs>
        <w:tab w:val="left" w:pos="0"/>
        <w:tab w:val="left" w:pos="1476"/>
        <w:tab w:val="clear" w:pos="567"/>
      </w:tabs>
      <w:spacing w:before="0" w:beforeLines="100" w:after="0" w:line="520" w:lineRule="exact"/>
      <w:ind w:left="840" w:hanging="420"/>
      <w:jc w:val="left"/>
    </w:pPr>
    <w:rPr>
      <w:rFonts w:ascii="宋体" w:hAnsi="宋体" w:eastAsia="宋体" w:cs="宋体"/>
      <w:b/>
      <w:bCs/>
      <w:spacing w:val="-2"/>
      <w:sz w:val="30"/>
      <w:lang w:val="zh-CN"/>
    </w:rPr>
  </w:style>
  <w:style w:type="paragraph" w:customStyle="1" w:styleId="2988">
    <w:name w:val="Char Char281"/>
    <w:basedOn w:val="1"/>
    <w:qFormat/>
    <w:uiPriority w:val="0"/>
    <w:pPr>
      <w:tabs>
        <w:tab w:val="left" w:pos="630"/>
      </w:tabs>
      <w:spacing w:beforeLines="50" w:line="360" w:lineRule="auto"/>
      <w:ind w:left="630" w:hanging="432"/>
      <w:jc w:val="left"/>
    </w:pPr>
    <w:rPr>
      <w:rFonts w:ascii="宋体" w:hAnsi="宋体" w:eastAsia="黑体" w:cs="宋体"/>
      <w:spacing w:val="-2"/>
      <w:kern w:val="0"/>
      <w:szCs w:val="30"/>
    </w:rPr>
  </w:style>
  <w:style w:type="paragraph" w:customStyle="1" w:styleId="2989">
    <w:name w:val="Losange 3"/>
    <w:basedOn w:val="1"/>
    <w:qFormat/>
    <w:uiPriority w:val="0"/>
    <w:pPr>
      <w:widowControl/>
      <w:tabs>
        <w:tab w:val="left" w:pos="360"/>
      </w:tabs>
      <w:overflowPunct w:val="0"/>
      <w:autoSpaceDE w:val="0"/>
      <w:autoSpaceDN w:val="0"/>
      <w:adjustRightInd w:val="0"/>
      <w:spacing w:before="120"/>
      <w:ind w:left="360" w:hanging="360" w:hangingChars="200"/>
    </w:pPr>
    <w:rPr>
      <w:rFonts w:ascii="Arial" w:hAnsi="Arial" w:eastAsia="宋体" w:cs="黑体"/>
      <w:color w:val="000000"/>
      <w:spacing w:val="-2"/>
      <w:kern w:val="0"/>
      <w:sz w:val="22"/>
      <w:lang w:val="en-GB"/>
    </w:rPr>
  </w:style>
  <w:style w:type="character" w:customStyle="1" w:styleId="2990">
    <w:name w:val="正文文本缩进 3 Char2"/>
    <w:qFormat/>
    <w:uiPriority w:val="0"/>
    <w:rPr>
      <w:rFonts w:ascii="Times New Roman" w:hAnsi="Times New Roman" w:eastAsia="仿宋_GB2312" w:cs="Times New Roman"/>
      <w:sz w:val="16"/>
      <w:szCs w:val="16"/>
    </w:rPr>
  </w:style>
  <w:style w:type="paragraph" w:customStyle="1" w:styleId="2991">
    <w:name w:val="Char Char Char Char Char Char Char3"/>
    <w:basedOn w:val="1"/>
    <w:qFormat/>
    <w:uiPriority w:val="0"/>
    <w:pPr>
      <w:snapToGrid w:val="0"/>
      <w:spacing w:line="440" w:lineRule="atLeast"/>
    </w:pPr>
    <w:rPr>
      <w:rFonts w:ascii="宋体" w:hAnsi="Calibri" w:eastAsia="宋体" w:cs="黑体"/>
      <w:spacing w:val="-2"/>
      <w:kern w:val="0"/>
      <w:sz w:val="24"/>
    </w:rPr>
  </w:style>
  <w:style w:type="paragraph" w:customStyle="1" w:styleId="2992">
    <w:name w:val="样式 目录 2 + 段后: 0.5 行 行距: 单倍行距 首行缩进:  2.25 字符"/>
    <w:basedOn w:val="75"/>
    <w:qFormat/>
    <w:uiPriority w:val="99"/>
    <w:pPr>
      <w:widowControl/>
      <w:tabs>
        <w:tab w:val="right" w:leader="dot" w:pos="8296"/>
        <w:tab w:val="clear" w:pos="1120"/>
        <w:tab w:val="clear" w:pos="8767"/>
      </w:tabs>
      <w:spacing w:line="240" w:lineRule="auto"/>
      <w:ind w:left="-1" w:leftChars="-199" w:firstLine="225" w:firstLineChars="225"/>
      <w:jc w:val="both"/>
    </w:pPr>
    <w:rPr>
      <w:rFonts w:ascii="Times New Roman" w:hAnsi="Times New Roman" w:cs="宋体"/>
      <w:smallCaps w:val="0"/>
      <w:sz w:val="24"/>
      <w:szCs w:val="20"/>
    </w:rPr>
  </w:style>
  <w:style w:type="paragraph" w:customStyle="1" w:styleId="2993">
    <w:name w:val="目录"/>
    <w:qFormat/>
    <w:uiPriority w:val="99"/>
    <w:rPr>
      <w:rFonts w:ascii="隶书" w:hAnsi="Times New Roman" w:eastAsia="隶书" w:cs="Times New Roman"/>
      <w:kern w:val="2"/>
      <w:sz w:val="44"/>
      <w:szCs w:val="44"/>
      <w:lang w:val="en-US" w:eastAsia="zh-CN" w:bidi="ar-SA"/>
    </w:rPr>
  </w:style>
  <w:style w:type="paragraph" w:customStyle="1" w:styleId="2994">
    <w:name w:val="more-link-noinfo"/>
    <w:basedOn w:val="1"/>
    <w:qFormat/>
    <w:uiPriority w:val="0"/>
    <w:pPr>
      <w:widowControl/>
      <w:pBdr>
        <w:top w:val="dashed" w:color="DEDFE1"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2995">
    <w:name w:val="数字表格"/>
    <w:basedOn w:val="1"/>
    <w:qFormat/>
    <w:uiPriority w:val="0"/>
    <w:pPr>
      <w:ind w:left="300" w:right="-1" w:rightChars="-1" w:hanging="300" w:hangingChars="300"/>
      <w:jc w:val="center"/>
    </w:pPr>
    <w:rPr>
      <w:rFonts w:ascii="宋体" w:hAnsi="Calibri" w:eastAsia="宋体" w:cs="黑体"/>
      <w:spacing w:val="-2"/>
      <w:kern w:val="0"/>
      <w:sz w:val="24"/>
      <w:szCs w:val="16"/>
    </w:rPr>
  </w:style>
  <w:style w:type="paragraph" w:customStyle="1" w:styleId="2996">
    <w:name w:val="slide"/>
    <w:basedOn w:val="1"/>
    <w:qFormat/>
    <w:uiPriority w:val="0"/>
    <w:pPr>
      <w:widowControl/>
      <w:spacing w:before="100" w:beforeAutospacing="1" w:after="100" w:afterAutospacing="1"/>
      <w:jc w:val="left"/>
    </w:pPr>
    <w:rPr>
      <w:rFonts w:ascii="宋体" w:hAnsi="Calibri" w:eastAsia="宋体" w:cs="宋体"/>
      <w:spacing w:val="-2"/>
      <w:kern w:val="0"/>
      <w:sz w:val="2"/>
      <w:szCs w:val="2"/>
    </w:rPr>
  </w:style>
  <w:style w:type="character" w:customStyle="1" w:styleId="2997">
    <w:name w:val="正文文本 2 Char2"/>
    <w:semiHidden/>
    <w:qFormat/>
    <w:uiPriority w:val="99"/>
    <w:rPr>
      <w:rFonts w:ascii="Times New Roman" w:hAnsi="Times New Roman" w:eastAsia="仿宋_GB2312" w:cs="Times New Roman"/>
      <w:sz w:val="28"/>
      <w:szCs w:val="20"/>
    </w:rPr>
  </w:style>
  <w:style w:type="paragraph" w:customStyle="1" w:styleId="2998">
    <w:name w:val="b-ent-section"/>
    <w:basedOn w:val="1"/>
    <w:qFormat/>
    <w:uiPriority w:val="0"/>
    <w:pPr>
      <w:widowControl/>
      <w:pBdr>
        <w:top w:val="single" w:color="FFFFFF" w:sz="6" w:space="5"/>
        <w:left w:val="single" w:color="FFFFFF" w:sz="2" w:space="0"/>
        <w:bottom w:val="single" w:color="FFFFFF" w:sz="2" w:space="4"/>
        <w:right w:val="single" w:color="FFFFFF" w:sz="2" w:space="0"/>
      </w:pBdr>
      <w:shd w:val="clear" w:color="auto" w:fill="F3F3F3"/>
      <w:spacing w:before="100" w:beforeAutospacing="1" w:after="375"/>
      <w:ind w:left="-150" w:right="-300"/>
      <w:jc w:val="left"/>
    </w:pPr>
    <w:rPr>
      <w:rFonts w:ascii="宋体" w:hAnsi="Calibri" w:eastAsia="宋体" w:cs="宋体"/>
      <w:spacing w:val="-2"/>
      <w:kern w:val="0"/>
      <w:sz w:val="24"/>
      <w:szCs w:val="21"/>
    </w:rPr>
  </w:style>
  <w:style w:type="paragraph" w:customStyle="1" w:styleId="2999">
    <w:name w:val="uc-l1"/>
    <w:basedOn w:val="1"/>
    <w:qFormat/>
    <w:uiPriority w:val="0"/>
    <w:pPr>
      <w:widowControl/>
      <w:spacing w:before="100" w:beforeAutospacing="1" w:after="100" w:afterAutospacing="1" w:line="450" w:lineRule="atLeast"/>
      <w:jc w:val="center"/>
    </w:pPr>
    <w:rPr>
      <w:rFonts w:ascii="宋体" w:hAnsi="Calibri" w:eastAsia="宋体" w:cs="宋体"/>
      <w:color w:val="116EC2"/>
      <w:spacing w:val="-2"/>
      <w:kern w:val="0"/>
      <w:sz w:val="24"/>
      <w:szCs w:val="21"/>
    </w:rPr>
  </w:style>
  <w:style w:type="paragraph" w:customStyle="1" w:styleId="3000">
    <w:name w:val="样式 标题 2Chapter Heading2nd levelh22Titre2l2H2Header 2UND...2"/>
    <w:basedOn w:val="4"/>
    <w:qFormat/>
    <w:uiPriority w:val="0"/>
    <w:pPr>
      <w:tabs>
        <w:tab w:val="left" w:pos="1476"/>
        <w:tab w:val="clear" w:pos="567"/>
      </w:tabs>
      <w:spacing w:before="0" w:after="0" w:line="360" w:lineRule="auto"/>
      <w:ind w:left="0" w:firstLine="0"/>
    </w:pPr>
    <w:rPr>
      <w:rFonts w:ascii="宋体" w:hAnsi="宋体" w:eastAsia="宋体" w:cs="宋体"/>
      <w:bCs/>
      <w:spacing w:val="-2"/>
      <w:sz w:val="24"/>
      <w:szCs w:val="32"/>
    </w:rPr>
  </w:style>
  <w:style w:type="paragraph" w:customStyle="1" w:styleId="3001">
    <w:name w:val="主题:"/>
    <w:qFormat/>
    <w:uiPriority w:val="0"/>
    <w:pPr>
      <w:widowControl w:val="0"/>
      <w:jc w:val="both"/>
    </w:pPr>
    <w:rPr>
      <w:rFonts w:ascii="Times New Roman" w:hAnsi="Times New Roman" w:eastAsia="宋体" w:cs="Times New Roman"/>
      <w:lang w:val="en-US" w:eastAsia="zh-CN" w:bidi="ar-SA"/>
    </w:rPr>
  </w:style>
  <w:style w:type="paragraph" w:customStyle="1" w:styleId="3002">
    <w:name w:val="编制单位"/>
    <w:qFormat/>
    <w:uiPriority w:val="99"/>
    <w:pPr>
      <w:jc w:val="center"/>
    </w:pPr>
    <w:rPr>
      <w:rFonts w:ascii="宋体" w:hAnsi="宋体" w:eastAsia="宋体" w:cs="Times New Roman"/>
      <w:kern w:val="2"/>
      <w:sz w:val="28"/>
      <w:szCs w:val="28"/>
      <w:lang w:val="en-US" w:eastAsia="zh-CN" w:bidi="ar-SA"/>
    </w:rPr>
  </w:style>
  <w:style w:type="character" w:customStyle="1" w:styleId="3003">
    <w:name w:val="信息标题 Char4"/>
    <w:semiHidden/>
    <w:qFormat/>
    <w:uiPriority w:val="99"/>
    <w:rPr>
      <w:rFonts w:ascii="Cambria" w:hAnsi="Cambria" w:eastAsia="宋体" w:cs="Times New Roman"/>
      <w:sz w:val="24"/>
      <w:szCs w:val="24"/>
      <w:shd w:val="pct20" w:color="auto" w:fill="auto"/>
    </w:rPr>
  </w:style>
  <w:style w:type="paragraph" w:customStyle="1" w:styleId="3004">
    <w:name w:val="bbb"/>
    <w:basedOn w:val="1"/>
    <w:qFormat/>
    <w:uiPriority w:val="0"/>
    <w:pPr>
      <w:spacing w:before="100" w:beforeAutospacing="1" w:after="100" w:afterAutospacing="1"/>
    </w:pPr>
    <w:rPr>
      <w:rFonts w:ascii="宋体" w:hAnsi="Calibri" w:eastAsia="宋体" w:cs="宋体"/>
      <w:color w:val="000000"/>
      <w:spacing w:val="-2"/>
      <w:kern w:val="0"/>
      <w:sz w:val="24"/>
      <w:szCs w:val="21"/>
    </w:rPr>
  </w:style>
  <w:style w:type="paragraph" w:customStyle="1" w:styleId="3005">
    <w:name w:val="批注框文本1"/>
    <w:basedOn w:val="1"/>
    <w:qFormat/>
    <w:uiPriority w:val="0"/>
    <w:rPr>
      <w:rFonts w:eastAsia="宋体" w:cs="黑体"/>
      <w:spacing w:val="-2"/>
      <w:kern w:val="0"/>
      <w:sz w:val="18"/>
      <w:szCs w:val="18"/>
    </w:rPr>
  </w:style>
  <w:style w:type="paragraph" w:customStyle="1" w:styleId="3006">
    <w:name w:val="more-link1"/>
    <w:basedOn w:val="1"/>
    <w:qFormat/>
    <w:uiPriority w:val="0"/>
    <w:pPr>
      <w:widowControl/>
      <w:spacing w:before="150" w:after="100" w:afterAutospacing="1"/>
      <w:jc w:val="left"/>
    </w:pPr>
    <w:rPr>
      <w:rFonts w:ascii="宋体" w:hAnsi="Calibri" w:eastAsia="宋体" w:cs="宋体"/>
      <w:spacing w:val="-2"/>
      <w:kern w:val="0"/>
      <w:szCs w:val="21"/>
    </w:rPr>
  </w:style>
  <w:style w:type="character" w:customStyle="1" w:styleId="3007">
    <w:name w:val="HTML 预设格式 Char3"/>
    <w:semiHidden/>
    <w:qFormat/>
    <w:uiPriority w:val="99"/>
    <w:rPr>
      <w:rFonts w:ascii="Courier New" w:hAnsi="Courier New" w:eastAsia="仿宋_GB2312" w:cs="Courier New"/>
      <w:sz w:val="20"/>
      <w:szCs w:val="20"/>
    </w:rPr>
  </w:style>
  <w:style w:type="paragraph" w:customStyle="1" w:styleId="3008">
    <w:name w:val="mstheme-vert-navtxt-g"/>
    <w:basedOn w:val="1"/>
    <w:qFormat/>
    <w:uiPriority w:val="0"/>
    <w:pPr>
      <w:spacing w:before="100" w:beforeAutospacing="1" w:after="100" w:afterAutospacing="1"/>
    </w:pPr>
    <w:rPr>
      <w:rFonts w:eastAsia="宋体" w:cs="黑体"/>
      <w:color w:val="000000"/>
      <w:spacing w:val="-2"/>
      <w:kern w:val="0"/>
      <w:sz w:val="24"/>
    </w:rPr>
  </w:style>
  <w:style w:type="paragraph" w:customStyle="1" w:styleId="3009">
    <w:name w:val="样式 标题 3 + 段前: 0.5 行 段后: 0.5 行"/>
    <w:basedOn w:val="6"/>
    <w:qFormat/>
    <w:uiPriority w:val="99"/>
    <w:pPr>
      <w:tabs>
        <w:tab w:val="left" w:pos="1080"/>
        <w:tab w:val="clear" w:pos="1789"/>
      </w:tabs>
      <w:spacing w:before="260" w:beforeLines="50" w:after="260" w:afterLines="50" w:line="430" w:lineRule="exact"/>
      <w:ind w:left="0" w:firstLine="0"/>
    </w:pPr>
    <w:rPr>
      <w:rFonts w:ascii="宋体" w:eastAsia="宋体" w:cs="宋体"/>
      <w:kern w:val="0"/>
    </w:rPr>
  </w:style>
  <w:style w:type="paragraph" w:customStyle="1" w:styleId="3010">
    <w:name w:val="样式 标题 2 + 段前: 1 行 段后: 1 行"/>
    <w:basedOn w:val="4"/>
    <w:next w:val="4"/>
    <w:qFormat/>
    <w:uiPriority w:val="99"/>
    <w:pPr>
      <w:spacing w:beforeLines="100" w:after="120" w:afterLines="100"/>
      <w:ind w:left="0" w:firstLine="0"/>
    </w:pPr>
    <w:rPr>
      <w:rFonts w:ascii="宋体" w:eastAsia="宋体" w:cs="宋体"/>
      <w:b/>
      <w:bCs/>
      <w:kern w:val="0"/>
      <w:sz w:val="32"/>
    </w:rPr>
  </w:style>
  <w:style w:type="paragraph" w:customStyle="1" w:styleId="3011">
    <w:name w:val="环评标题1"/>
    <w:next w:val="1029"/>
    <w:qFormat/>
    <w:uiPriority w:val="0"/>
    <w:pPr>
      <w:spacing w:beforeLines="100"/>
      <w:outlineLvl w:val="0"/>
    </w:pPr>
    <w:rPr>
      <w:rFonts w:ascii="Times New Roman" w:hAnsi="Times New Roman" w:eastAsia="黑体" w:cs="Times New Roman"/>
      <w:b/>
      <w:bCs/>
      <w:kern w:val="44"/>
      <w:sz w:val="32"/>
      <w:szCs w:val="30"/>
      <w:lang w:val="en-US" w:eastAsia="zh-CN" w:bidi="ar-SA"/>
    </w:rPr>
  </w:style>
  <w:style w:type="paragraph" w:customStyle="1" w:styleId="3012">
    <w:name w:val="morematerial"/>
    <w:basedOn w:val="1"/>
    <w:qFormat/>
    <w:uiPriority w:val="0"/>
    <w:pPr>
      <w:widowControl/>
      <w:ind w:left="75"/>
      <w:jc w:val="right"/>
    </w:pPr>
    <w:rPr>
      <w:rFonts w:ascii="宋体" w:hAnsi="Calibri" w:eastAsia="宋体" w:cs="宋体"/>
      <w:spacing w:val="-2"/>
      <w:kern w:val="0"/>
      <w:sz w:val="18"/>
      <w:szCs w:val="18"/>
    </w:rPr>
  </w:style>
  <w:style w:type="paragraph" w:customStyle="1" w:styleId="3013">
    <w:name w:val="样式 我的正文 + 首行缩进:  2 字符"/>
    <w:basedOn w:val="634"/>
    <w:qFormat/>
    <w:uiPriority w:val="0"/>
    <w:pPr>
      <w:spacing w:line="480" w:lineRule="exact"/>
      <w:ind w:firstLine="560" w:firstLineChars="200"/>
    </w:pPr>
    <w:rPr>
      <w:rFonts w:ascii="宋体" w:hAnsi="宋体" w:cs="宋体"/>
    </w:rPr>
  </w:style>
  <w:style w:type="paragraph" w:customStyle="1" w:styleId="3014">
    <w:name w:val="cas_content"/>
    <w:basedOn w:val="1"/>
    <w:qFormat/>
    <w:uiPriority w:val="0"/>
    <w:pPr>
      <w:widowControl/>
      <w:spacing w:before="100" w:beforeAutospacing="1" w:after="100" w:afterAutospacing="1"/>
      <w:jc w:val="left"/>
    </w:pPr>
    <w:rPr>
      <w:rFonts w:ascii="宋体" w:hAnsi="宋体" w:eastAsia="宋体" w:cs="宋体"/>
      <w:spacing w:val="-2"/>
      <w:kern w:val="0"/>
      <w:sz w:val="24"/>
    </w:rPr>
  </w:style>
  <w:style w:type="character" w:customStyle="1" w:styleId="3015">
    <w:name w:val="标题 Char2"/>
    <w:qFormat/>
    <w:uiPriority w:val="0"/>
    <w:rPr>
      <w:rFonts w:ascii="Cambria" w:hAnsi="Cambria" w:eastAsia="宋体" w:cs="Times New Roman"/>
      <w:b/>
      <w:bCs/>
      <w:sz w:val="32"/>
      <w:szCs w:val="32"/>
    </w:rPr>
  </w:style>
  <w:style w:type="paragraph" w:customStyle="1" w:styleId="3016">
    <w:name w:val="正文-第几条"/>
    <w:basedOn w:val="1"/>
    <w:qFormat/>
    <w:uiPriority w:val="0"/>
    <w:pPr>
      <w:tabs>
        <w:tab w:val="left" w:pos="1021"/>
        <w:tab w:val="left" w:pos="1080"/>
      </w:tabs>
      <w:spacing w:line="360" w:lineRule="auto"/>
      <w:ind w:left="425" w:hanging="425"/>
    </w:pPr>
    <w:rPr>
      <w:rFonts w:eastAsia="宋体" w:cs="黑体"/>
      <w:spacing w:val="-2"/>
      <w:kern w:val="0"/>
      <w:sz w:val="24"/>
    </w:rPr>
  </w:style>
  <w:style w:type="paragraph" w:customStyle="1" w:styleId="3017">
    <w:name w:val="正文 + (西文) 宋体"/>
    <w:basedOn w:val="1"/>
    <w:qFormat/>
    <w:uiPriority w:val="0"/>
    <w:pPr>
      <w:tabs>
        <w:tab w:val="left" w:pos="360"/>
      </w:tabs>
      <w:spacing w:line="360" w:lineRule="auto"/>
      <w:ind w:left="360" w:firstLine="510"/>
    </w:pPr>
    <w:rPr>
      <w:rFonts w:ascii="宋体" w:hAnsi="宋体" w:cs="黑体"/>
      <w:spacing w:val="-2"/>
      <w:kern w:val="0"/>
      <w:sz w:val="24"/>
    </w:rPr>
  </w:style>
  <w:style w:type="character" w:customStyle="1" w:styleId="3018">
    <w:name w:val="批注主题 Char3"/>
    <w:semiHidden/>
    <w:qFormat/>
    <w:uiPriority w:val="99"/>
    <w:rPr>
      <w:rFonts w:ascii="Times New Roman" w:hAnsi="Times New Roman" w:eastAsia="仿宋_GB2312" w:cs="Times New Roman"/>
      <w:b/>
      <w:bCs/>
      <w:sz w:val="28"/>
      <w:szCs w:val="20"/>
    </w:rPr>
  </w:style>
  <w:style w:type="paragraph" w:customStyle="1" w:styleId="3019">
    <w:name w:val="page-current2"/>
    <w:basedOn w:val="1"/>
    <w:qFormat/>
    <w:uiPriority w:val="0"/>
    <w:pPr>
      <w:widowControl/>
      <w:spacing w:before="100" w:beforeAutospacing="1" w:after="100" w:afterAutospacing="1"/>
      <w:jc w:val="left"/>
    </w:pPr>
    <w:rPr>
      <w:rFonts w:ascii="宋体" w:hAnsi="Calibri" w:eastAsia="宋体" w:cs="宋体"/>
      <w:b/>
      <w:bCs/>
      <w:color w:val="000000"/>
      <w:spacing w:val="-2"/>
      <w:kern w:val="0"/>
      <w:sz w:val="24"/>
      <w:szCs w:val="21"/>
    </w:rPr>
  </w:style>
  <w:style w:type="character" w:customStyle="1" w:styleId="3020">
    <w:name w:val="正文首行缩进 2 Char5"/>
    <w:semiHidden/>
    <w:qFormat/>
    <w:uiPriority w:val="99"/>
    <w:rPr>
      <w:rFonts w:ascii="Times New Roman" w:hAnsi="Times New Roman" w:eastAsia="仿宋_GB2312" w:cs="Times New Roman"/>
      <w:kern w:val="2"/>
      <w:sz w:val="28"/>
      <w:szCs w:val="20"/>
      <w:lang w:val="en-US" w:eastAsia="zh-CN" w:bidi="ar-SA"/>
    </w:rPr>
  </w:style>
  <w:style w:type="paragraph" w:customStyle="1" w:styleId="3021">
    <w:name w:val="样式 标题 3 + 首行缩进:  2 字符 段前: 8.15 磅 段后: 8.15 磅2"/>
    <w:basedOn w:val="6"/>
    <w:qFormat/>
    <w:uiPriority w:val="0"/>
    <w:pPr>
      <w:tabs>
        <w:tab w:val="left" w:pos="1022"/>
        <w:tab w:val="left" w:pos="1080"/>
        <w:tab w:val="clear" w:pos="1789"/>
      </w:tabs>
      <w:spacing w:before="163" w:after="163" w:line="240" w:lineRule="atLeast"/>
      <w:ind w:left="1260" w:firstLine="482" w:firstLineChars="200"/>
      <w:jc w:val="left"/>
    </w:pPr>
    <w:rPr>
      <w:rFonts w:hint="eastAsia" w:ascii="Arial Unicode MS" w:hAnsi="Arial Unicode MS" w:eastAsia="宋体" w:cs="宋体"/>
      <w:i/>
      <w:iCs/>
      <w:color w:val="000000"/>
      <w:spacing w:val="-2"/>
      <w:szCs w:val="24"/>
    </w:rPr>
  </w:style>
  <w:style w:type="paragraph" w:customStyle="1" w:styleId="3022">
    <w:name w:val="正文22"/>
    <w:basedOn w:val="3023"/>
    <w:qFormat/>
    <w:uiPriority w:val="0"/>
    <w:pPr>
      <w:tabs>
        <w:tab w:val="left" w:pos="360"/>
      </w:tabs>
      <w:adjustRightInd/>
      <w:snapToGrid/>
      <w:spacing w:after="0" w:line="240" w:lineRule="auto"/>
      <w:ind w:firstLine="200" w:firstLineChars="200"/>
    </w:pPr>
    <w:rPr>
      <w:rFonts w:hAnsi="宋体" w:cs="Tahoma"/>
      <w:spacing w:val="0"/>
      <w:szCs w:val="24"/>
    </w:rPr>
  </w:style>
  <w:style w:type="paragraph" w:customStyle="1" w:styleId="3023">
    <w:name w:val="正文12"/>
    <w:qFormat/>
    <w:uiPriority w:val="0"/>
    <w:pPr>
      <w:widowControl w:val="0"/>
      <w:adjustRightInd w:val="0"/>
      <w:snapToGrid w:val="0"/>
      <w:spacing w:after="120" w:line="300" w:lineRule="auto"/>
      <w:ind w:firstLine="539"/>
      <w:jc w:val="both"/>
    </w:pPr>
    <w:rPr>
      <w:rFonts w:ascii="宋体" w:hAnsi="Calibri" w:eastAsia="宋体" w:cs="Times New Roman"/>
      <w:spacing w:val="10"/>
      <w:kern w:val="2"/>
      <w:sz w:val="24"/>
      <w:szCs w:val="22"/>
      <w:lang w:val="en-US" w:eastAsia="zh-CN" w:bidi="ar-SA"/>
    </w:rPr>
  </w:style>
  <w:style w:type="paragraph" w:customStyle="1" w:styleId="3024">
    <w:name w:val="表头5"/>
    <w:basedOn w:val="1"/>
    <w:qFormat/>
    <w:uiPriority w:val="0"/>
    <w:pPr>
      <w:tabs>
        <w:tab w:val="left" w:pos="1200"/>
      </w:tabs>
      <w:adjustRightInd w:val="0"/>
      <w:snapToGrid w:val="0"/>
      <w:spacing w:beforeLines="100" w:line="240" w:lineRule="atLeast"/>
      <w:ind w:left="250" w:leftChars="250" w:hanging="720"/>
    </w:pPr>
    <w:rPr>
      <w:rFonts w:eastAsia="宋体" w:cs="黑体"/>
      <w:b/>
      <w:spacing w:val="-2"/>
      <w:kern w:val="0"/>
      <w:sz w:val="24"/>
    </w:rPr>
  </w:style>
  <w:style w:type="paragraph" w:customStyle="1" w:styleId="3025">
    <w:name w:val="沥青表"/>
    <w:basedOn w:val="1"/>
    <w:qFormat/>
    <w:uiPriority w:val="0"/>
    <w:pPr>
      <w:adjustRightInd w:val="0"/>
      <w:spacing w:line="0" w:lineRule="atLeast"/>
      <w:jc w:val="center"/>
    </w:pPr>
    <w:rPr>
      <w:rFonts w:eastAsia="宋体" w:cs="黑体"/>
      <w:spacing w:val="10"/>
      <w:kern w:val="0"/>
      <w:sz w:val="24"/>
    </w:rPr>
  </w:style>
  <w:style w:type="paragraph" w:customStyle="1" w:styleId="3026">
    <w:name w:val="Char Char Char1 Char Char Char Char Char Char Char Char Char Char Char Char1 Char Char Char Char Char Char Char Char Char Char"/>
    <w:basedOn w:val="1"/>
    <w:qFormat/>
    <w:uiPriority w:val="0"/>
    <w:rPr>
      <w:rFonts w:eastAsia="宋体" w:cs="黑体"/>
      <w:spacing w:val="-2"/>
      <w:kern w:val="0"/>
    </w:rPr>
  </w:style>
  <w:style w:type="paragraph" w:customStyle="1" w:styleId="3027">
    <w:name w:val="Char Char2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028">
    <w:name w:val="TOC 标题2"/>
    <w:basedOn w:val="3"/>
    <w:next w:val="1"/>
    <w:qFormat/>
    <w:uiPriority w:val="0"/>
    <w:pPr>
      <w:pageBreakBefore w:val="0"/>
      <w:widowControl/>
      <w:tabs>
        <w:tab w:val="clear" w:pos="1080"/>
      </w:tabs>
      <w:spacing w:before="480" w:after="0" w:line="276" w:lineRule="auto"/>
      <w:ind w:left="0" w:firstLine="0"/>
      <w:jc w:val="left"/>
      <w:outlineLvl w:val="9"/>
    </w:pPr>
    <w:rPr>
      <w:rFonts w:ascii="Cambria" w:hAnsi="Cambria" w:cs="宋体"/>
      <w:bCs/>
      <w:color w:val="365F91"/>
      <w:spacing w:val="-2"/>
      <w:kern w:val="0"/>
      <w:sz w:val="28"/>
      <w:szCs w:val="28"/>
    </w:rPr>
  </w:style>
  <w:style w:type="paragraph" w:customStyle="1" w:styleId="3029">
    <w:name w:val="居中+ 三号"/>
    <w:basedOn w:val="1"/>
    <w:qFormat/>
    <w:uiPriority w:val="0"/>
    <w:pPr>
      <w:jc w:val="center"/>
    </w:pPr>
    <w:rPr>
      <w:rFonts w:eastAsia="宋体" w:cs="黑体"/>
      <w:b/>
      <w:bCs/>
      <w:spacing w:val="-2"/>
      <w:kern w:val="0"/>
      <w:sz w:val="32"/>
      <w:szCs w:val="30"/>
    </w:rPr>
  </w:style>
  <w:style w:type="paragraph" w:customStyle="1" w:styleId="3030">
    <w:name w:val="样式 a表格 + 宋体 加粗 段前: 0.5 行 段后: 0.5 行"/>
    <w:basedOn w:val="966"/>
    <w:qFormat/>
    <w:uiPriority w:val="0"/>
    <w:pPr>
      <w:snapToGrid/>
      <w:spacing w:beforeLines="50" w:line="360" w:lineRule="auto"/>
      <w:jc w:val="both"/>
      <w:outlineLvl w:val="9"/>
    </w:pPr>
    <w:rPr>
      <w:rFonts w:ascii="宋体" w:hAnsi="宋体" w:cs="黑体"/>
      <w:spacing w:val="-2"/>
      <w:kern w:val="0"/>
      <w:sz w:val="28"/>
    </w:rPr>
  </w:style>
  <w:style w:type="paragraph" w:customStyle="1" w:styleId="3031">
    <w:name w:val="Char Char15 Char Char Char Char"/>
    <w:basedOn w:val="1"/>
    <w:qFormat/>
    <w:uiPriority w:val="0"/>
    <w:pPr>
      <w:spacing w:before="100" w:beforeLines="100" w:after="50" w:afterLines="50" w:line="480" w:lineRule="auto"/>
      <w:jc w:val="center"/>
    </w:pPr>
    <w:rPr>
      <w:rFonts w:eastAsia="楷体_GB2312"/>
      <w:b/>
      <w:sz w:val="44"/>
      <w:szCs w:val="44"/>
    </w:rPr>
  </w:style>
  <w:style w:type="paragraph" w:customStyle="1" w:styleId="3032">
    <w:name w:val="album-logo"/>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033">
    <w:name w:val="样式 样式 目录 2 + 段后: 0.5 行 行距: 单倍行距 首行缩进:  2.25 字符 + 首行缩进:  2.25 字符"/>
    <w:basedOn w:val="2992"/>
    <w:qFormat/>
    <w:uiPriority w:val="99"/>
    <w:pPr>
      <w:ind w:firstLine="630"/>
    </w:pPr>
    <w:rPr>
      <w:color w:val="339966"/>
      <w:sz w:val="28"/>
      <w:szCs w:val="28"/>
    </w:rPr>
  </w:style>
  <w:style w:type="paragraph" w:customStyle="1" w:styleId="3034">
    <w:name w:val="Char Char Char2 Char Char Char Char Char Char Char Char Char Char1"/>
    <w:basedOn w:val="1"/>
    <w:qFormat/>
    <w:uiPriority w:val="0"/>
    <w:rPr>
      <w:rFonts w:eastAsia="宋体"/>
      <w:sz w:val="21"/>
      <w:szCs w:val="24"/>
    </w:rPr>
  </w:style>
  <w:style w:type="paragraph" w:customStyle="1" w:styleId="3035">
    <w:name w:val="main-wrap1"/>
    <w:basedOn w:val="1"/>
    <w:qFormat/>
    <w:uiPriority w:val="0"/>
    <w:pPr>
      <w:widowControl/>
      <w:spacing w:before="100" w:beforeAutospacing="1" w:after="100" w:afterAutospacing="1"/>
      <w:ind w:right="3825"/>
      <w:jc w:val="left"/>
    </w:pPr>
    <w:rPr>
      <w:rFonts w:ascii="宋体" w:hAnsi="Calibri" w:eastAsia="宋体" w:cs="宋体"/>
      <w:spacing w:val="-2"/>
      <w:kern w:val="0"/>
      <w:sz w:val="24"/>
      <w:szCs w:val="21"/>
    </w:rPr>
  </w:style>
  <w:style w:type="paragraph" w:customStyle="1" w:styleId="3036">
    <w:name w:val="麦志勤标题1"/>
    <w:basedOn w:val="34"/>
    <w:qFormat/>
    <w:uiPriority w:val="0"/>
    <w:pPr>
      <w:adjustRightInd w:val="0"/>
      <w:snapToGrid w:val="0"/>
      <w:spacing w:beforeLines="50" w:after="0" w:line="300" w:lineRule="auto"/>
      <w:ind w:firstLine="200" w:firstLineChars="200"/>
    </w:pPr>
    <w:rPr>
      <w:rFonts w:ascii="宋体" w:hAnsi="宋体" w:eastAsia="黑体" w:cs="宋体"/>
      <w:i/>
      <w:iCs/>
      <w:color w:val="000000"/>
      <w:sz w:val="44"/>
      <w:szCs w:val="24"/>
    </w:rPr>
  </w:style>
  <w:style w:type="paragraph" w:customStyle="1" w:styleId="3037">
    <w:name w:val="样式 目录 2 + 左侧:  2 字符 首行缩进:  2 字符3"/>
    <w:basedOn w:val="75"/>
    <w:qFormat/>
    <w:uiPriority w:val="0"/>
    <w:pPr>
      <w:tabs>
        <w:tab w:val="left" w:pos="840"/>
        <w:tab w:val="right" w:leader="dot" w:pos="9060"/>
        <w:tab w:val="clear" w:pos="1120"/>
        <w:tab w:val="clear" w:pos="8767"/>
      </w:tabs>
      <w:spacing w:line="240" w:lineRule="auto"/>
      <w:ind w:left="200"/>
      <w:jc w:val="both"/>
    </w:pPr>
    <w:rPr>
      <w:rFonts w:ascii="Times New Roman" w:hAnsi="Times New Roman" w:cs="宋体"/>
      <w:b/>
      <w:smallCaps w:val="0"/>
      <w:spacing w:val="-2"/>
      <w:kern w:val="0"/>
      <w:szCs w:val="20"/>
    </w:rPr>
  </w:style>
  <w:style w:type="paragraph" w:customStyle="1" w:styleId="3038">
    <w:name w:val="自正文1"/>
    <w:basedOn w:val="1"/>
    <w:qFormat/>
    <w:uiPriority w:val="0"/>
    <w:pPr>
      <w:tabs>
        <w:tab w:val="left" w:pos="0"/>
        <w:tab w:val="left" w:pos="5670"/>
      </w:tabs>
      <w:adjustRightInd w:val="0"/>
      <w:snapToGrid w:val="0"/>
      <w:ind w:firstLine="200" w:firstLineChars="200"/>
    </w:pPr>
    <w:rPr>
      <w:rFonts w:ascii="宋体" w:hAnsi="Calibri" w:eastAsia="宋体" w:cs="黑体"/>
      <w:color w:val="000000"/>
      <w:spacing w:val="-2"/>
      <w:kern w:val="0"/>
      <w:sz w:val="24"/>
    </w:rPr>
  </w:style>
  <w:style w:type="paragraph" w:customStyle="1" w:styleId="3039">
    <w:name w:val="reader-word-layer reader-word-s1-13"/>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040">
    <w:name w:val="p20"/>
    <w:basedOn w:val="1"/>
    <w:qFormat/>
    <w:uiPriority w:val="0"/>
    <w:pPr>
      <w:widowControl/>
      <w:jc w:val="left"/>
    </w:pPr>
    <w:rPr>
      <w:rFonts w:eastAsia="宋体" w:cs="黑体"/>
      <w:kern w:val="0"/>
      <w:sz w:val="21"/>
      <w:szCs w:val="21"/>
    </w:rPr>
  </w:style>
  <w:style w:type="paragraph" w:customStyle="1" w:styleId="3041">
    <w:name w:val="表后间隔"/>
    <w:basedOn w:val="1"/>
    <w:qFormat/>
    <w:uiPriority w:val="0"/>
    <w:pPr>
      <w:tabs>
        <w:tab w:val="center" w:pos="4153"/>
        <w:tab w:val="right" w:pos="8306"/>
      </w:tabs>
      <w:snapToGrid w:val="0"/>
    </w:pPr>
    <w:rPr>
      <w:rFonts w:ascii="Arial" w:hAnsi="Arial" w:eastAsia="宋体" w:cs="黑体"/>
      <w:bCs/>
      <w:spacing w:val="-2"/>
      <w:kern w:val="0"/>
      <w:sz w:val="18"/>
      <w:szCs w:val="27"/>
    </w:rPr>
  </w:style>
  <w:style w:type="paragraph" w:customStyle="1" w:styleId="3042">
    <w:name w:val="特殊文字"/>
    <w:basedOn w:val="1"/>
    <w:qFormat/>
    <w:uiPriority w:val="0"/>
    <w:pPr>
      <w:overflowPunct w:val="0"/>
      <w:autoSpaceDE w:val="0"/>
      <w:autoSpaceDN w:val="0"/>
      <w:adjustRightInd w:val="0"/>
      <w:spacing w:line="360" w:lineRule="auto"/>
    </w:pPr>
    <w:rPr>
      <w:rFonts w:cs="黑体"/>
      <w:spacing w:val="-2"/>
      <w:kern w:val="0"/>
    </w:rPr>
  </w:style>
  <w:style w:type="paragraph" w:customStyle="1" w:styleId="3043">
    <w:name w:val="样式 5文章(治)"/>
    <w:basedOn w:val="548"/>
    <w:next w:val="548"/>
    <w:semiHidden/>
    <w:qFormat/>
    <w:uiPriority w:val="0"/>
    <w:pPr>
      <w:ind w:firstLine="200"/>
    </w:pPr>
    <w:rPr>
      <w:rFonts w:ascii="Calibri" w:hAnsi="Calibri" w:cs="宋体"/>
      <w:szCs w:val="22"/>
    </w:rPr>
  </w:style>
  <w:style w:type="paragraph" w:customStyle="1" w:styleId="3044">
    <w:name w:val="样式64"/>
    <w:basedOn w:val="1"/>
    <w:qFormat/>
    <w:uiPriority w:val="0"/>
    <w:pPr>
      <w:tabs>
        <w:tab w:val="left" w:pos="1320"/>
      </w:tabs>
      <w:spacing w:beforeLines="50" w:line="360" w:lineRule="auto"/>
      <w:ind w:firstLine="480" w:firstLineChars="200"/>
    </w:pPr>
    <w:rPr>
      <w:rFonts w:ascii="宋体" w:hAnsi="宋体" w:eastAsia="宋体" w:cs="黑体"/>
      <w:color w:val="000000"/>
      <w:spacing w:val="-2"/>
      <w:kern w:val="0"/>
      <w:sz w:val="24"/>
    </w:rPr>
  </w:style>
  <w:style w:type="paragraph" w:customStyle="1" w:styleId="3045">
    <w:name w:val="样式88"/>
    <w:basedOn w:val="1"/>
    <w:qFormat/>
    <w:uiPriority w:val="0"/>
    <w:pPr>
      <w:keepNext/>
      <w:keepLines/>
      <w:adjustRightInd w:val="0"/>
      <w:spacing w:before="120" w:after="120" w:line="520" w:lineRule="exact"/>
      <w:outlineLvl w:val="2"/>
    </w:pPr>
    <w:rPr>
      <w:rFonts w:ascii="宋体" w:hAnsi="宋体" w:eastAsia="黑体" w:cs="黑体"/>
      <w:b/>
      <w:spacing w:val="-2"/>
      <w:kern w:val="0"/>
      <w:sz w:val="24"/>
    </w:rPr>
  </w:style>
  <w:style w:type="paragraph" w:customStyle="1" w:styleId="3046">
    <w:name w:val="样式 11.5 磅 行距: 1.5 倍行距5"/>
    <w:basedOn w:val="1"/>
    <w:qFormat/>
    <w:uiPriority w:val="0"/>
    <w:pPr>
      <w:ind w:firstLine="200" w:firstLineChars="200"/>
    </w:pPr>
    <w:rPr>
      <w:rFonts w:eastAsia="宋体" w:cs="宋体"/>
      <w:spacing w:val="-2"/>
      <w:kern w:val="0"/>
      <w:sz w:val="24"/>
    </w:rPr>
  </w:style>
  <w:style w:type="paragraph" w:customStyle="1" w:styleId="3047">
    <w:name w:val="麦志勤表格式"/>
    <w:basedOn w:val="1"/>
    <w:qFormat/>
    <w:uiPriority w:val="0"/>
    <w:pPr>
      <w:adjustRightInd w:val="0"/>
      <w:snapToGrid w:val="0"/>
      <w:spacing w:line="0" w:lineRule="atLeast"/>
      <w:jc w:val="center"/>
    </w:pPr>
    <w:rPr>
      <w:rFonts w:ascii="宋体" w:hAnsi="Calibri" w:eastAsia="宋体" w:cs="黑体"/>
      <w:spacing w:val="-2"/>
      <w:kern w:val="0"/>
      <w:sz w:val="24"/>
    </w:rPr>
  </w:style>
  <w:style w:type="paragraph" w:customStyle="1" w:styleId="3048">
    <w:name w:val="Table Title"/>
    <w:basedOn w:val="1"/>
    <w:next w:val="1"/>
    <w:qFormat/>
    <w:uiPriority w:val="0"/>
    <w:pPr>
      <w:jc w:val="center"/>
    </w:pPr>
    <w:rPr>
      <w:rFonts w:eastAsia="宋体" w:cs="黑体"/>
      <w:spacing w:val="-2"/>
      <w:kern w:val="0"/>
      <w:sz w:val="26"/>
      <w:szCs w:val="21"/>
    </w:rPr>
  </w:style>
  <w:style w:type="paragraph" w:customStyle="1" w:styleId="3049">
    <w:name w:val="Char Char8 Char"/>
    <w:basedOn w:val="1"/>
    <w:qFormat/>
    <w:uiPriority w:val="0"/>
    <w:pPr>
      <w:ind w:firstLine="200" w:firstLineChars="200"/>
    </w:pPr>
    <w:rPr>
      <w:rFonts w:ascii="宋体" w:hAnsi="Calibri" w:eastAsia="宋体" w:cs="宋体"/>
      <w:spacing w:val="-2"/>
      <w:kern w:val="0"/>
      <w:sz w:val="24"/>
    </w:rPr>
  </w:style>
  <w:style w:type="paragraph" w:customStyle="1" w:styleId="3050">
    <w:name w:val="真宗兴正文"/>
    <w:basedOn w:val="1"/>
    <w:qFormat/>
    <w:uiPriority w:val="0"/>
    <w:pPr>
      <w:overflowPunct w:val="0"/>
      <w:autoSpaceDE w:val="0"/>
      <w:autoSpaceDN w:val="0"/>
      <w:adjustRightInd w:val="0"/>
      <w:snapToGrid w:val="0"/>
      <w:spacing w:beforeLines="30"/>
      <w:ind w:firstLine="200" w:firstLineChars="200"/>
    </w:pPr>
    <w:rPr>
      <w:rFonts w:eastAsia="宋体" w:cs="黑体"/>
      <w:spacing w:val="-2"/>
      <w:kern w:val="0"/>
      <w:sz w:val="24"/>
    </w:rPr>
  </w:style>
  <w:style w:type="paragraph" w:customStyle="1" w:styleId="3051">
    <w:name w:val="样式 样式 标题 1 + 段前: 1 行 段后: 1 行 + 段前: 0.5 行 段后: 0.5 行"/>
    <w:basedOn w:val="3052"/>
    <w:qFormat/>
    <w:uiPriority w:val="99"/>
    <w:pPr>
      <w:tabs>
        <w:tab w:val="left" w:pos="1080"/>
      </w:tabs>
    </w:pPr>
    <w:rPr>
      <w:sz w:val="36"/>
    </w:rPr>
  </w:style>
  <w:style w:type="paragraph" w:customStyle="1" w:styleId="3052">
    <w:name w:val="样式 标题 1 + 段前: 1 行 段后: 1 行"/>
    <w:basedOn w:val="3"/>
    <w:qFormat/>
    <w:uiPriority w:val="99"/>
    <w:pPr>
      <w:pageBreakBefore w:val="0"/>
      <w:spacing w:before="340" w:beforeLines="50" w:after="330" w:afterLines="50" w:line="360" w:lineRule="auto"/>
      <w:ind w:left="0" w:firstLine="0"/>
      <w:jc w:val="both"/>
    </w:pPr>
    <w:rPr>
      <w:rFonts w:ascii="宋体" w:cs="宋体"/>
      <w:bCs/>
      <w:kern w:val="28"/>
      <w:sz w:val="32"/>
    </w:rPr>
  </w:style>
  <w:style w:type="paragraph" w:customStyle="1" w:styleId="3053">
    <w:name w:val="自动标题3"/>
    <w:basedOn w:val="345"/>
    <w:qFormat/>
    <w:uiPriority w:val="0"/>
    <w:pPr>
      <w:keepNext/>
      <w:keepLines/>
      <w:tabs>
        <w:tab w:val="left" w:pos="720"/>
        <w:tab w:val="left" w:pos="1022"/>
        <w:tab w:val="left" w:pos="1418"/>
      </w:tabs>
      <w:spacing w:before="120" w:after="120" w:line="360" w:lineRule="auto"/>
      <w:ind w:left="1418" w:hanging="567"/>
    </w:pPr>
    <w:rPr>
      <w:rFonts w:hint="eastAsia" w:ascii="宋体" w:hAnsi="宋体" w:cs="Arial Unicode MS"/>
      <w:bCs w:val="0"/>
    </w:rPr>
  </w:style>
  <w:style w:type="paragraph" w:customStyle="1" w:styleId="3054">
    <w:name w:val="样式 表标8.2 + 黑体 四号"/>
    <w:basedOn w:val="1"/>
    <w:qFormat/>
    <w:uiPriority w:val="0"/>
    <w:pPr>
      <w:tabs>
        <w:tab w:val="left" w:pos="360"/>
        <w:tab w:val="left" w:pos="8207"/>
      </w:tabs>
      <w:adjustRightInd w:val="0"/>
      <w:snapToGrid w:val="0"/>
      <w:spacing w:before="120" w:line="0" w:lineRule="atLeast"/>
      <w:jc w:val="center"/>
    </w:pPr>
    <w:rPr>
      <w:rFonts w:ascii="黑体" w:hAnsi="Calibri" w:eastAsia="黑体" w:cs="黑体"/>
      <w:b/>
      <w:color w:val="000000"/>
      <w:spacing w:val="-2"/>
      <w:kern w:val="0"/>
    </w:rPr>
  </w:style>
  <w:style w:type="paragraph" w:customStyle="1" w:styleId="3055">
    <w:name w:val="表格用字 +  六号"/>
    <w:basedOn w:val="1"/>
    <w:qFormat/>
    <w:uiPriority w:val="0"/>
    <w:pPr>
      <w:spacing w:line="0" w:lineRule="atLeast"/>
    </w:pPr>
    <w:rPr>
      <w:rFonts w:cs="黑体"/>
      <w:spacing w:val="-2"/>
      <w:kern w:val="0"/>
      <w:sz w:val="15"/>
    </w:rPr>
  </w:style>
  <w:style w:type="paragraph" w:customStyle="1" w:styleId="3056">
    <w:name w:val="普通(网站)1"/>
    <w:basedOn w:val="1"/>
    <w:qFormat/>
    <w:uiPriority w:val="0"/>
    <w:pPr>
      <w:spacing w:before="100" w:beforeAutospacing="1" w:after="100" w:afterAutospacing="1"/>
      <w:jc w:val="left"/>
    </w:pPr>
    <w:rPr>
      <w:rFonts w:ascii="Calibri" w:hAnsi="Calibri" w:eastAsia="宋体"/>
      <w:kern w:val="0"/>
      <w:sz w:val="24"/>
      <w:szCs w:val="22"/>
    </w:rPr>
  </w:style>
  <w:style w:type="paragraph" w:customStyle="1" w:styleId="3057">
    <w:name w:val="图片名称"/>
    <w:basedOn w:val="1"/>
    <w:qFormat/>
    <w:uiPriority w:val="0"/>
    <w:pPr>
      <w:wordWrap w:val="0"/>
      <w:snapToGrid w:val="0"/>
      <w:jc w:val="center"/>
    </w:pPr>
    <w:rPr>
      <w:rFonts w:ascii="黑体" w:hAnsi="Calibri" w:eastAsia="黑体" w:cs="黑体"/>
      <w:bCs/>
      <w:color w:val="000000"/>
      <w:spacing w:val="-4"/>
      <w:kern w:val="0"/>
      <w:sz w:val="24"/>
    </w:rPr>
  </w:style>
  <w:style w:type="paragraph" w:customStyle="1" w:styleId="3058">
    <w:name w:val="样式55"/>
    <w:basedOn w:val="2605"/>
    <w:qFormat/>
    <w:uiPriority w:val="0"/>
    <w:pPr>
      <w:spacing w:before="120" w:beforeLines="0" w:after="120"/>
    </w:pPr>
  </w:style>
  <w:style w:type="paragraph" w:customStyle="1" w:styleId="3059">
    <w:name w:val="reader-word-layer reader-word-s5-20"/>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060">
    <w:name w:val="样式71"/>
    <w:basedOn w:val="1"/>
    <w:qFormat/>
    <w:uiPriority w:val="0"/>
    <w:pPr>
      <w:keepNext/>
      <w:keepLines/>
      <w:tabs>
        <w:tab w:val="left" w:pos="900"/>
        <w:tab w:val="left" w:pos="1080"/>
      </w:tabs>
      <w:spacing w:line="360" w:lineRule="auto"/>
      <w:ind w:left="2100" w:hanging="420"/>
      <w:outlineLvl w:val="3"/>
    </w:pPr>
    <w:rPr>
      <w:rFonts w:ascii="宋体" w:hAnsi="宋体" w:eastAsia="宋体" w:cs="黑体"/>
      <w:color w:val="000000"/>
      <w:spacing w:val="-2"/>
      <w:kern w:val="0"/>
      <w:sz w:val="24"/>
      <w:szCs w:val="28"/>
      <w:lang w:val="zh-CN"/>
    </w:rPr>
  </w:style>
  <w:style w:type="paragraph" w:customStyle="1" w:styleId="3061">
    <w:name w:val="样式 五号 左侧:  0.99 厘米"/>
    <w:basedOn w:val="1"/>
    <w:qFormat/>
    <w:uiPriority w:val="0"/>
    <w:pPr>
      <w:tabs>
        <w:tab w:val="left" w:pos="378"/>
      </w:tabs>
      <w:adjustRightInd w:val="0"/>
      <w:snapToGrid w:val="0"/>
      <w:jc w:val="center"/>
    </w:pPr>
    <w:rPr>
      <w:rFonts w:eastAsia="宋体" w:cs="宋体"/>
      <w:spacing w:val="-2"/>
      <w:kern w:val="0"/>
      <w:sz w:val="24"/>
    </w:rPr>
  </w:style>
  <w:style w:type="paragraph" w:customStyle="1" w:styleId="3062">
    <w:name w:val="样式 宋体 12 磅 首行缩进:  2 字符"/>
    <w:basedOn w:val="1"/>
    <w:qFormat/>
    <w:uiPriority w:val="0"/>
    <w:pPr>
      <w:spacing w:line="500" w:lineRule="exact"/>
      <w:ind w:firstLine="200" w:firstLineChars="200"/>
    </w:pPr>
    <w:rPr>
      <w:rFonts w:ascii="宋体" w:hAnsi="Calibri" w:eastAsia="宋体" w:cs="黑体"/>
      <w:spacing w:val="-2"/>
      <w:kern w:val="0"/>
      <w:sz w:val="26"/>
    </w:rPr>
  </w:style>
  <w:style w:type="paragraph" w:customStyle="1" w:styleId="3063">
    <w:name w:val="日期21"/>
    <w:basedOn w:val="1"/>
    <w:next w:val="1"/>
    <w:qFormat/>
    <w:uiPriority w:val="0"/>
    <w:rPr>
      <w:rFonts w:ascii="Calibri" w:hAnsi="Calibri" w:eastAsia="宋体" w:cs="黑体"/>
      <w:sz w:val="21"/>
      <w:szCs w:val="22"/>
    </w:rPr>
  </w:style>
  <w:style w:type="paragraph" w:customStyle="1" w:styleId="3064">
    <w:name w:val="样式 样式 标题 2 + 段前: 0.5 行"/>
    <w:basedOn w:val="1"/>
    <w:qFormat/>
    <w:uiPriority w:val="0"/>
    <w:pPr>
      <w:keepNext/>
      <w:keepLines/>
      <w:spacing w:beforeLines="50"/>
      <w:outlineLvl w:val="1"/>
    </w:pPr>
    <w:rPr>
      <w:rFonts w:ascii="Arial" w:hAnsi="Arial" w:cs="宋体"/>
      <w:bCs/>
      <w:spacing w:val="20"/>
      <w:kern w:val="0"/>
    </w:rPr>
  </w:style>
  <w:style w:type="paragraph" w:customStyle="1" w:styleId="3065">
    <w:name w:val="附录标题2级"/>
    <w:basedOn w:val="1"/>
    <w:qFormat/>
    <w:uiPriority w:val="0"/>
    <w:pPr>
      <w:spacing w:beforeLines="50" w:line="400" w:lineRule="exact"/>
    </w:pPr>
    <w:rPr>
      <w:rFonts w:cs="黑体"/>
      <w:b/>
      <w:spacing w:val="-2"/>
      <w:kern w:val="0"/>
    </w:rPr>
  </w:style>
  <w:style w:type="paragraph" w:customStyle="1" w:styleId="3066">
    <w:name w:val="样式 标题 2H22nd levelh22Header 21SeHead wsa2Chapter Title..."/>
    <w:basedOn w:val="4"/>
    <w:qFormat/>
    <w:uiPriority w:val="0"/>
    <w:pPr>
      <w:keepLines w:val="0"/>
      <w:tabs>
        <w:tab w:val="left" w:pos="1476"/>
        <w:tab w:val="clear" w:pos="567"/>
      </w:tabs>
      <w:spacing w:before="100" w:beforeAutospacing="1" w:after="100" w:afterAutospacing="1" w:line="360" w:lineRule="auto"/>
      <w:ind w:left="0" w:firstLine="0"/>
    </w:pPr>
    <w:rPr>
      <w:rFonts w:ascii="宋体" w:hAnsi="宋体" w:eastAsia="宋体" w:cs="宋体"/>
      <w:b/>
      <w:bCs/>
      <w:spacing w:val="-2"/>
      <w:sz w:val="32"/>
    </w:rPr>
  </w:style>
  <w:style w:type="paragraph" w:customStyle="1" w:styleId="3067">
    <w:name w:val="热电厂正文"/>
    <w:basedOn w:val="1"/>
    <w:qFormat/>
    <w:uiPriority w:val="0"/>
    <w:pPr>
      <w:spacing w:line="440" w:lineRule="exact"/>
      <w:ind w:firstLine="200" w:firstLineChars="200"/>
    </w:pPr>
    <w:rPr>
      <w:rFonts w:eastAsia="宋体" w:cs="黑体"/>
      <w:spacing w:val="-2"/>
      <w:kern w:val="0"/>
      <w:sz w:val="24"/>
    </w:rPr>
  </w:style>
  <w:style w:type="paragraph" w:customStyle="1" w:styleId="3068">
    <w:name w:val="左侧"/>
    <w:qFormat/>
    <w:uiPriority w:val="0"/>
    <w:pPr>
      <w:spacing w:line="280" w:lineRule="exact"/>
      <w:jc w:val="center"/>
    </w:pPr>
    <w:rPr>
      <w:rFonts w:ascii="Batang" w:hAnsi="Batang" w:eastAsia="宋体" w:cs="Times New Roman"/>
      <w:color w:val="000000"/>
      <w:sz w:val="21"/>
      <w:lang w:val="en-US" w:eastAsia="zh-CN" w:bidi="ar-SA"/>
    </w:rPr>
  </w:style>
  <w:style w:type="paragraph" w:customStyle="1" w:styleId="3069">
    <w:name w:val="样式77"/>
    <w:basedOn w:val="1"/>
    <w:qFormat/>
    <w:uiPriority w:val="0"/>
    <w:pPr>
      <w:keepNext/>
      <w:keepLines/>
      <w:tabs>
        <w:tab w:val="left" w:pos="2175"/>
      </w:tabs>
      <w:spacing w:beforeLines="50" w:line="360" w:lineRule="auto"/>
      <w:outlineLvl w:val="3"/>
    </w:pPr>
    <w:rPr>
      <w:rFonts w:ascii="黑体" w:hAnsi="Calibri" w:eastAsia="黑体" w:cs="Arial"/>
      <w:bCs/>
      <w:spacing w:val="-2"/>
      <w:kern w:val="0"/>
      <w:sz w:val="24"/>
    </w:rPr>
  </w:style>
  <w:style w:type="paragraph" w:customStyle="1" w:styleId="3070">
    <w:name w:val="正文图标题"/>
    <w:next w:val="7"/>
    <w:qFormat/>
    <w:uiPriority w:val="0"/>
    <w:pPr>
      <w:tabs>
        <w:tab w:val="left" w:pos="303"/>
        <w:tab w:val="left" w:pos="840"/>
      </w:tabs>
      <w:ind w:left="840" w:hanging="360"/>
      <w:jc w:val="center"/>
    </w:pPr>
    <w:rPr>
      <w:rFonts w:ascii="黑体" w:hAnsi="Times New Roman" w:eastAsia="黑体" w:cs="Times New Roman"/>
      <w:sz w:val="21"/>
      <w:lang w:val="en-US" w:eastAsia="zh-CN" w:bidi="ar-SA"/>
    </w:rPr>
  </w:style>
  <w:style w:type="paragraph" w:customStyle="1" w:styleId="3071">
    <w:name w:val="标准文本 居中 单倍行距 Char"/>
    <w:basedOn w:val="1"/>
    <w:qFormat/>
    <w:uiPriority w:val="0"/>
    <w:pPr>
      <w:adjustRightInd w:val="0"/>
      <w:snapToGrid w:val="0"/>
      <w:spacing w:line="480" w:lineRule="exact"/>
      <w:jc w:val="center"/>
    </w:pPr>
    <w:rPr>
      <w:rFonts w:ascii="宋体" w:hAnsi="Calibri" w:eastAsia="宋体" w:cs="宋体"/>
      <w:color w:val="000000"/>
      <w:spacing w:val="-2"/>
      <w:kern w:val="0"/>
      <w:sz w:val="24"/>
    </w:rPr>
  </w:style>
  <w:style w:type="paragraph" w:customStyle="1" w:styleId="3072">
    <w:name w:val="content-hd1"/>
    <w:basedOn w:val="1"/>
    <w:qFormat/>
    <w:uiPriority w:val="0"/>
    <w:pPr>
      <w:widowControl/>
      <w:pBdr>
        <w:left w:val="single" w:color="DDDDDD" w:sz="6" w:space="0"/>
      </w:pBdr>
      <w:shd w:val="clear" w:color="auto" w:fill="FFFFFF"/>
      <w:spacing w:before="100" w:beforeAutospacing="1" w:after="100" w:afterAutospacing="1"/>
      <w:jc w:val="left"/>
    </w:pPr>
    <w:rPr>
      <w:rFonts w:ascii="宋体" w:hAnsi="Calibri" w:eastAsia="宋体" w:cs="宋体"/>
      <w:spacing w:val="-2"/>
      <w:kern w:val="0"/>
      <w:sz w:val="24"/>
      <w:szCs w:val="21"/>
    </w:rPr>
  </w:style>
  <w:style w:type="paragraph" w:customStyle="1" w:styleId="3073">
    <w:name w:val="样式 样式 样式 仿宋_GB2312 段前: 0.5 行 段后: 6 磅 行距: 1.5 倍行距 + 首行缩进:  2 字符 段..."/>
    <w:basedOn w:val="1"/>
    <w:qFormat/>
    <w:uiPriority w:val="0"/>
    <w:pPr>
      <w:spacing w:line="300" w:lineRule="auto"/>
    </w:pPr>
    <w:rPr>
      <w:rFonts w:cs="黑体"/>
      <w:spacing w:val="-2"/>
      <w:kern w:val="0"/>
    </w:rPr>
  </w:style>
  <w:style w:type="paragraph" w:customStyle="1" w:styleId="3074">
    <w:name w:val="Char5"/>
    <w:basedOn w:val="26"/>
    <w:qFormat/>
    <w:uiPriority w:val="0"/>
    <w:pPr>
      <w:adjustRightInd w:val="0"/>
      <w:spacing w:line="436" w:lineRule="exact"/>
      <w:ind w:left="357"/>
      <w:outlineLvl w:val="3"/>
    </w:pPr>
    <w:rPr>
      <w:rFonts w:ascii="Tahoma" w:hAnsi="Tahoma" w:eastAsia="宋体" w:cs="宋体"/>
      <w:b/>
      <w:sz w:val="24"/>
      <w:szCs w:val="28"/>
    </w:rPr>
  </w:style>
  <w:style w:type="paragraph" w:customStyle="1" w:styleId="3075">
    <w:name w:val="样式 标题 1 + 首行缩进:  2 字符 段前: 0.1 行"/>
    <w:basedOn w:val="3"/>
    <w:qFormat/>
    <w:uiPriority w:val="99"/>
    <w:pPr>
      <w:pageBreakBefore w:val="0"/>
      <w:spacing w:before="340" w:beforeLines="10" w:after="360" w:line="360" w:lineRule="auto"/>
      <w:ind w:left="0" w:firstLine="634" w:firstLineChars="200"/>
    </w:pPr>
    <w:rPr>
      <w:rFonts w:cs="宋体"/>
      <w:bCs/>
      <w:spacing w:val="-2"/>
      <w:w w:val="90"/>
      <w:kern w:val="0"/>
      <w:szCs w:val="36"/>
      <w:lang w:val="zh-CN"/>
    </w:rPr>
  </w:style>
  <w:style w:type="paragraph" w:customStyle="1" w:styleId="3076">
    <w:name w:val="编编本"/>
    <w:basedOn w:val="1"/>
    <w:qFormat/>
    <w:uiPriority w:val="0"/>
    <w:pPr>
      <w:tabs>
        <w:tab w:val="left" w:pos="1174"/>
      </w:tabs>
      <w:spacing w:beforeLines="30"/>
      <w:ind w:firstLine="454"/>
    </w:pPr>
    <w:rPr>
      <w:rFonts w:ascii="新宋体" w:hAnsi="Calibri" w:eastAsia="新宋体" w:cs="黑体"/>
      <w:spacing w:val="-2"/>
      <w:w w:val="90"/>
      <w:kern w:val="0"/>
      <w:sz w:val="22"/>
    </w:rPr>
  </w:style>
  <w:style w:type="paragraph" w:customStyle="1" w:styleId="3077">
    <w:name w:val="1标题1级"/>
    <w:basedOn w:val="1"/>
    <w:semiHidden/>
    <w:qFormat/>
    <w:uiPriority w:val="0"/>
    <w:pPr>
      <w:keepNext/>
      <w:snapToGrid w:val="0"/>
      <w:spacing w:line="420" w:lineRule="auto"/>
      <w:outlineLvl w:val="0"/>
    </w:pPr>
    <w:rPr>
      <w:rFonts w:eastAsia="黑体"/>
      <w:b/>
      <w:color w:val="000000"/>
      <w:kern w:val="28"/>
      <w:sz w:val="30"/>
      <w:szCs w:val="24"/>
    </w:rPr>
  </w:style>
  <w:style w:type="paragraph" w:customStyle="1" w:styleId="3078">
    <w:name w:val="Char Char1 Char Char Char Char Char Char Char Char Char Char Char Char Char Char"/>
    <w:basedOn w:val="1"/>
    <w:qFormat/>
    <w:uiPriority w:val="0"/>
    <w:pPr>
      <w:widowControl/>
      <w:spacing w:after="160" w:line="240" w:lineRule="exact"/>
      <w:jc w:val="left"/>
    </w:pPr>
    <w:rPr>
      <w:rFonts w:ascii="Verdana" w:hAnsi="Verdana" w:eastAsia="宋体" w:cs="黑体"/>
      <w:spacing w:val="-2"/>
      <w:kern w:val="0"/>
      <w:sz w:val="20"/>
      <w:lang w:eastAsia="en-US"/>
    </w:rPr>
  </w:style>
  <w:style w:type="paragraph" w:customStyle="1" w:styleId="3079">
    <w:name w:val="附注，五宋"/>
    <w:qFormat/>
    <w:uiPriority w:val="0"/>
    <w:pPr>
      <w:keepNext/>
      <w:widowControl w:val="0"/>
      <w:adjustRightInd w:val="0"/>
      <w:spacing w:line="360" w:lineRule="exact"/>
      <w:ind w:firstLine="425"/>
      <w:jc w:val="both"/>
    </w:pPr>
    <w:rPr>
      <w:rFonts w:ascii="Times New Roman" w:hAnsi="Times New Roman" w:eastAsia="宋体" w:cs="Times New Roman"/>
      <w:spacing w:val="20"/>
      <w:lang w:val="en-US" w:eastAsia="zh-CN" w:bidi="ar-SA"/>
    </w:rPr>
  </w:style>
  <w:style w:type="paragraph" w:customStyle="1" w:styleId="3080">
    <w:name w:val="佛山正文"/>
    <w:basedOn w:val="1"/>
    <w:qFormat/>
    <w:uiPriority w:val="0"/>
    <w:pPr>
      <w:snapToGrid w:val="0"/>
      <w:spacing w:line="360" w:lineRule="auto"/>
      <w:ind w:firstLine="454" w:firstLineChars="216"/>
    </w:pPr>
    <w:rPr>
      <w:rFonts w:ascii="仿宋_GB2312" w:hAnsi="宋体" w:cs="黑体"/>
      <w:spacing w:val="-2"/>
      <w:kern w:val="0"/>
      <w:szCs w:val="21"/>
    </w:rPr>
  </w:style>
  <w:style w:type="paragraph" w:customStyle="1" w:styleId="3081">
    <w:name w:val="样式 样式 首行缩进:  2 字符 + 首行缩进:  2 字符"/>
    <w:basedOn w:val="1"/>
    <w:qFormat/>
    <w:uiPriority w:val="0"/>
    <w:pPr>
      <w:snapToGrid w:val="0"/>
      <w:spacing w:line="360" w:lineRule="auto"/>
      <w:ind w:firstLine="502" w:firstLineChars="200"/>
    </w:pPr>
    <w:rPr>
      <w:rFonts w:eastAsia="宋体" w:cs="宋体"/>
      <w:spacing w:val="-2"/>
      <w:kern w:val="0"/>
      <w:sz w:val="24"/>
    </w:rPr>
  </w:style>
  <w:style w:type="paragraph" w:customStyle="1" w:styleId="3082">
    <w:name w:val="样式 样式 样式 标题 3标题 33 + 段前: 0.5 行 + 段前: 0.5 行 + 段前: 6 磅 段后: 0.5 行"/>
    <w:basedOn w:val="1"/>
    <w:qFormat/>
    <w:uiPriority w:val="0"/>
    <w:pPr>
      <w:keepNext/>
      <w:keepLines/>
      <w:snapToGrid w:val="0"/>
      <w:outlineLvl w:val="2"/>
    </w:pPr>
    <w:rPr>
      <w:rFonts w:ascii="黑体" w:hAnsi="Calibri" w:eastAsia="黑体" w:cs="黑体"/>
      <w:color w:val="FF0000"/>
      <w:spacing w:val="-2"/>
      <w:kern w:val="0"/>
      <w:sz w:val="24"/>
    </w:rPr>
  </w:style>
  <w:style w:type="paragraph" w:customStyle="1" w:styleId="3083">
    <w:name w:val="xl340"/>
    <w:basedOn w:val="1"/>
    <w:qFormat/>
    <w:uiPriority w:val="0"/>
    <w:pPr>
      <w:spacing w:before="100" w:after="100"/>
      <w:jc w:val="center"/>
    </w:pPr>
    <w:rPr>
      <w:rFonts w:ascii="宋体" w:hAnsi="Calibri" w:eastAsia="宋体" w:cs="黑体"/>
      <w:spacing w:val="-2"/>
      <w:kern w:val="0"/>
      <w:sz w:val="24"/>
    </w:rPr>
  </w:style>
  <w:style w:type="paragraph" w:customStyle="1" w:styleId="3084">
    <w:name w:val="inputaa"/>
    <w:basedOn w:val="1"/>
    <w:qFormat/>
    <w:uiPriority w:val="0"/>
    <w:pPr>
      <w:widowControl/>
      <w:pBdr>
        <w:top w:val="threeDEmboss" w:color="FFFFFF" w:sz="6" w:space="0"/>
        <w:left w:val="threeDEmboss" w:color="FFFFFF" w:sz="6" w:space="0"/>
        <w:bottom w:val="threeDEmboss" w:color="auto" w:sz="6" w:space="0"/>
        <w:right w:val="threeDEmboss" w:color="auto" w:sz="6" w:space="0"/>
      </w:pBdr>
      <w:shd w:val="clear" w:color="auto" w:fill="CCCCCC"/>
      <w:spacing w:before="100" w:beforeAutospacing="1" w:after="100" w:afterAutospacing="1"/>
      <w:jc w:val="left"/>
    </w:pPr>
    <w:rPr>
      <w:rFonts w:eastAsia="Arial Unicode MS" w:cs="黑体"/>
      <w:spacing w:val="-2"/>
      <w:kern w:val="0"/>
      <w:sz w:val="18"/>
    </w:rPr>
  </w:style>
  <w:style w:type="paragraph" w:customStyle="1" w:styleId="3085">
    <w:name w:val="样式 标题 3 + 宋体"/>
    <w:basedOn w:val="6"/>
    <w:qFormat/>
    <w:uiPriority w:val="99"/>
    <w:pPr>
      <w:tabs>
        <w:tab w:val="left" w:pos="1080"/>
        <w:tab w:val="clear" w:pos="1789"/>
      </w:tabs>
      <w:spacing w:after="0" w:line="415" w:lineRule="auto"/>
      <w:ind w:left="0" w:right="19" w:rightChars="8" w:firstLine="0"/>
    </w:pPr>
    <w:rPr>
      <w:rFonts w:ascii="宋体" w:hAnsi="宋体" w:eastAsia="宋体"/>
      <w:kern w:val="28"/>
      <w:sz w:val="28"/>
      <w:szCs w:val="28"/>
    </w:rPr>
  </w:style>
  <w:style w:type="paragraph" w:customStyle="1" w:styleId="3086">
    <w:name w:val="数列"/>
    <w:basedOn w:val="5"/>
    <w:qFormat/>
    <w:uiPriority w:val="0"/>
    <w:pPr>
      <w:tabs>
        <w:tab w:val="left" w:pos="-425"/>
        <w:tab w:val="left" w:pos="1560"/>
      </w:tabs>
      <w:spacing w:line="440" w:lineRule="exact"/>
      <w:ind w:left="-850" w:firstLine="0"/>
    </w:pPr>
    <w:rPr>
      <w:rFonts w:hint="eastAsia" w:ascii="Calibri" w:hAnsi="Calibri" w:eastAsia="仿宋_GB2312"/>
      <w:spacing w:val="50"/>
      <w:sz w:val="28"/>
      <w:szCs w:val="22"/>
    </w:rPr>
  </w:style>
  <w:style w:type="paragraph" w:customStyle="1" w:styleId="3087">
    <w:name w:val="样式 标题 2 + 仿宋_GB2312 小三 行距: 1.5 倍行距"/>
    <w:basedOn w:val="4"/>
    <w:qFormat/>
    <w:uiPriority w:val="0"/>
    <w:pPr>
      <w:tabs>
        <w:tab w:val="left" w:pos="720"/>
        <w:tab w:val="left" w:pos="1476"/>
        <w:tab w:val="clear" w:pos="567"/>
      </w:tabs>
      <w:spacing w:before="0" w:after="0" w:line="410" w:lineRule="auto"/>
      <w:ind w:left="0" w:firstLine="0"/>
    </w:pPr>
    <w:rPr>
      <w:rFonts w:ascii="仿宋_GB2312" w:hAnsi="Arial Unicode MS" w:eastAsia="仿宋_GB2312" w:cs="宋体"/>
      <w:b/>
      <w:bCs/>
      <w:spacing w:val="-2"/>
      <w:sz w:val="30"/>
    </w:rPr>
  </w:style>
  <w:style w:type="paragraph" w:customStyle="1" w:styleId="3088">
    <w:name w:val="xl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spacing w:val="-2"/>
      <w:kern w:val="0"/>
      <w:sz w:val="24"/>
    </w:rPr>
  </w:style>
  <w:style w:type="paragraph" w:customStyle="1" w:styleId="3089">
    <w:name w:val="许克亮标二"/>
    <w:qFormat/>
    <w:uiPriority w:val="0"/>
    <w:pPr>
      <w:adjustRightInd w:val="0"/>
      <w:snapToGrid w:val="0"/>
      <w:spacing w:line="360" w:lineRule="auto"/>
      <w:ind w:firstLine="561"/>
      <w:jc w:val="both"/>
    </w:pPr>
    <w:rPr>
      <w:rFonts w:ascii="Times New Roman" w:hAnsi="Times New Roman" w:eastAsia="宋体" w:cs="Times New Roman"/>
      <w:b/>
      <w:bCs/>
      <w:sz w:val="28"/>
      <w:szCs w:val="28"/>
      <w:lang w:val="en-US" w:eastAsia="zh-CN" w:bidi="ar-SA"/>
    </w:rPr>
  </w:style>
  <w:style w:type="paragraph" w:customStyle="1" w:styleId="3090">
    <w:name w:val="样式105"/>
    <w:basedOn w:val="3091"/>
    <w:qFormat/>
    <w:uiPriority w:val="0"/>
    <w:pPr>
      <w:tabs>
        <w:tab w:val="left" w:pos="540"/>
        <w:tab w:val="left" w:pos="2175"/>
      </w:tabs>
      <w:spacing w:beforeLines="0"/>
      <w:ind w:left="927" w:hanging="927"/>
      <w:outlineLvl w:val="1"/>
    </w:pPr>
    <w:rPr>
      <w:rFonts w:cs="Arial"/>
      <w:b/>
    </w:rPr>
  </w:style>
  <w:style w:type="paragraph" w:customStyle="1" w:styleId="3091">
    <w:name w:val="样式81"/>
    <w:basedOn w:val="1"/>
    <w:qFormat/>
    <w:uiPriority w:val="0"/>
    <w:pPr>
      <w:keepNext/>
      <w:keepLines/>
      <w:tabs>
        <w:tab w:val="left" w:pos="2175"/>
      </w:tabs>
      <w:spacing w:beforeLines="50" w:line="360" w:lineRule="auto"/>
      <w:outlineLvl w:val="2"/>
    </w:pPr>
    <w:rPr>
      <w:rFonts w:eastAsia="黑体" w:cs="黑体"/>
      <w:bCs/>
      <w:spacing w:val="-2"/>
      <w:kern w:val="0"/>
      <w:szCs w:val="28"/>
    </w:rPr>
  </w:style>
  <w:style w:type="paragraph" w:customStyle="1" w:styleId="3092">
    <w:name w:val="GH1文本_02条款"/>
    <w:qFormat/>
    <w:uiPriority w:val="0"/>
    <w:pPr>
      <w:widowControl w:val="0"/>
      <w:tabs>
        <w:tab w:val="left" w:pos="-2126"/>
        <w:tab w:val="left" w:pos="1588"/>
      </w:tabs>
      <w:spacing w:line="360" w:lineRule="auto"/>
      <w:ind w:left="-2551"/>
      <w:outlineLvl w:val="2"/>
    </w:pPr>
    <w:rPr>
      <w:rFonts w:ascii="Times New Roman" w:hAnsi="Times New Roman" w:eastAsia="宋体" w:cs="Times New Roman"/>
      <w:kern w:val="2"/>
      <w:sz w:val="28"/>
      <w:szCs w:val="24"/>
      <w:lang w:val="en-US" w:eastAsia="zh-CN" w:bidi="ar-SA"/>
    </w:rPr>
  </w:style>
  <w:style w:type="paragraph" w:customStyle="1" w:styleId="3093">
    <w:name w:val="Char Char Char Char Char Char Char Char Char Char Char Char Char1 Char Char Char Char Char Char"/>
    <w:basedOn w:val="1"/>
    <w:qFormat/>
    <w:uiPriority w:val="0"/>
    <w:pPr>
      <w:widowControl/>
      <w:spacing w:after="160" w:line="240" w:lineRule="exact"/>
      <w:jc w:val="left"/>
    </w:pPr>
    <w:rPr>
      <w:rFonts w:ascii="Verdana" w:hAnsi="Verdana" w:eastAsia="宋体" w:cs="黑体"/>
      <w:spacing w:val="-2"/>
      <w:kern w:val="0"/>
      <w:sz w:val="20"/>
      <w:lang w:eastAsia="en-US"/>
    </w:rPr>
  </w:style>
  <w:style w:type="paragraph" w:customStyle="1" w:styleId="3094">
    <w:name w:val="Char Char1 Char Char Char Char Char Char Char"/>
    <w:basedOn w:val="1"/>
    <w:qFormat/>
    <w:uiPriority w:val="0"/>
    <w:rPr>
      <w:rFonts w:ascii="Calibri" w:hAnsi="Calibri" w:eastAsia="宋体" w:cs="黑体"/>
      <w:sz w:val="21"/>
      <w:szCs w:val="24"/>
    </w:rPr>
  </w:style>
  <w:style w:type="paragraph" w:customStyle="1" w:styleId="3095">
    <w:name w:val="正文标准 Char"/>
    <w:basedOn w:val="1"/>
    <w:qFormat/>
    <w:uiPriority w:val="0"/>
    <w:pPr>
      <w:ind w:firstLine="200" w:firstLineChars="200"/>
    </w:pPr>
    <w:rPr>
      <w:rFonts w:eastAsia="宋体" w:cs="黑体"/>
      <w:spacing w:val="-2"/>
      <w:kern w:val="0"/>
      <w:sz w:val="24"/>
    </w:rPr>
  </w:style>
  <w:style w:type="paragraph" w:customStyle="1" w:styleId="3096">
    <w:name w:val="样式 表题注 + 五号 左 段前: 3.6 磅2"/>
    <w:basedOn w:val="1"/>
    <w:qFormat/>
    <w:uiPriority w:val="0"/>
    <w:pPr>
      <w:keepNext/>
      <w:spacing w:before="72" w:after="160" w:line="0" w:lineRule="atLeast"/>
      <w:jc w:val="center"/>
    </w:pPr>
    <w:rPr>
      <w:rFonts w:ascii="宋体" w:hAnsi="Calibri" w:eastAsia="宋体" w:cs="黑体"/>
      <w:b/>
      <w:color w:val="000000"/>
      <w:spacing w:val="-2"/>
      <w:kern w:val="0"/>
      <w:sz w:val="24"/>
    </w:rPr>
  </w:style>
  <w:style w:type="paragraph" w:customStyle="1" w:styleId="3097">
    <w:name w:val="表格用字"/>
    <w:basedOn w:val="77"/>
    <w:qFormat/>
    <w:uiPriority w:val="0"/>
    <w:pPr>
      <w:spacing w:before="156" w:after="120" w:line="0" w:lineRule="atLeast"/>
      <w:jc w:val="both"/>
    </w:pPr>
    <w:rPr>
      <w:rFonts w:hint="eastAsia" w:ascii="宋体" w:hAnsi="宋体" w:eastAsia="仿宋_GB2312" w:cs="宋体"/>
      <w:sz w:val="24"/>
      <w:szCs w:val="22"/>
    </w:rPr>
  </w:style>
  <w:style w:type="paragraph" w:customStyle="1" w:styleId="3098">
    <w:name w:val="报告标题4"/>
    <w:basedOn w:val="556"/>
    <w:qFormat/>
    <w:uiPriority w:val="0"/>
    <w:pPr>
      <w:tabs>
        <w:tab w:val="left" w:pos="864"/>
        <w:tab w:val="left" w:pos="1476"/>
        <w:tab w:val="clear" w:pos="0"/>
        <w:tab w:val="clear" w:pos="567"/>
      </w:tabs>
      <w:spacing w:before="100" w:beforeLines="0"/>
      <w:ind w:left="864" w:hanging="864"/>
      <w:outlineLvl w:val="3"/>
    </w:pPr>
    <w:rPr>
      <w:rFonts w:cs="Arial"/>
      <w:szCs w:val="20"/>
    </w:rPr>
  </w:style>
  <w:style w:type="paragraph" w:customStyle="1" w:styleId="3099">
    <w:name w:val="正文41"/>
    <w:basedOn w:val="1"/>
    <w:qFormat/>
    <w:uiPriority w:val="0"/>
    <w:pPr>
      <w:adjustRightInd w:val="0"/>
      <w:spacing w:line="315" w:lineRule="atLeast"/>
      <w:jc w:val="left"/>
    </w:pPr>
    <w:rPr>
      <w:rFonts w:ascii="宋体" w:hAnsi="Calibri" w:eastAsia="宋体" w:cs="黑体"/>
      <w:spacing w:val="-2"/>
      <w:kern w:val="0"/>
    </w:rPr>
  </w:style>
  <w:style w:type="paragraph" w:customStyle="1" w:styleId="3100">
    <w:name w:val="徐萍自正文1"/>
    <w:basedOn w:val="1"/>
    <w:qFormat/>
    <w:uiPriority w:val="0"/>
    <w:pPr>
      <w:tabs>
        <w:tab w:val="left" w:pos="0"/>
      </w:tabs>
      <w:adjustRightInd w:val="0"/>
      <w:snapToGrid w:val="0"/>
      <w:ind w:firstLine="200" w:firstLineChars="200"/>
    </w:pPr>
    <w:rPr>
      <w:rFonts w:ascii="宋体" w:hAnsi="Calibri" w:eastAsia="宋体" w:cs="黑体"/>
      <w:bCs/>
      <w:color w:val="000000"/>
      <w:spacing w:val="-2"/>
      <w:kern w:val="24"/>
      <w:sz w:val="26"/>
    </w:rPr>
  </w:style>
  <w:style w:type="paragraph" w:customStyle="1" w:styleId="3101">
    <w:name w:val="正文文本缩进 21"/>
    <w:basedOn w:val="1"/>
    <w:qFormat/>
    <w:uiPriority w:val="0"/>
    <w:pPr>
      <w:adjustRightInd w:val="0"/>
      <w:ind w:firstLine="560"/>
    </w:pPr>
    <w:rPr>
      <w:rFonts w:eastAsia="宋体" w:cs="黑体"/>
      <w:spacing w:val="-2"/>
      <w:kern w:val="0"/>
    </w:rPr>
  </w:style>
  <w:style w:type="paragraph" w:customStyle="1" w:styleId="3102">
    <w:name w:val="马面的标题2"/>
    <w:basedOn w:val="4"/>
    <w:qFormat/>
    <w:uiPriority w:val="0"/>
    <w:pPr>
      <w:tabs>
        <w:tab w:val="clear" w:pos="567"/>
      </w:tabs>
      <w:spacing w:before="50" w:after="50" w:line="480" w:lineRule="exact"/>
      <w:ind w:left="0" w:firstLine="0"/>
      <w:jc w:val="left"/>
    </w:pPr>
    <w:rPr>
      <w:rFonts w:ascii="Arial" w:eastAsia="宋体" w:cs="宋体"/>
      <w:b/>
      <w:bCs/>
      <w:spacing w:val="-2"/>
      <w:szCs w:val="32"/>
    </w:rPr>
  </w:style>
  <w:style w:type="paragraph" w:customStyle="1" w:styleId="3103">
    <w:name w:val="图表题"/>
    <w:next w:val="1"/>
    <w:qFormat/>
    <w:uiPriority w:val="0"/>
    <w:pPr>
      <w:spacing w:before="156" w:after="156" w:line="360" w:lineRule="exact"/>
      <w:jc w:val="center"/>
    </w:pPr>
    <w:rPr>
      <w:rFonts w:ascii="宋体" w:hAnsi="Times New Roman" w:eastAsia="宋体" w:cs="Times New Roman"/>
      <w:b/>
      <w:sz w:val="24"/>
      <w:lang w:val="en-US" w:eastAsia="zh-CN" w:bidi="ar-SA"/>
    </w:rPr>
  </w:style>
  <w:style w:type="paragraph" w:customStyle="1" w:styleId="3104">
    <w:name w:val="样式 标题 4标题 4 Char Char标题 4 Char + 小四 加粗2"/>
    <w:basedOn w:val="7"/>
    <w:qFormat/>
    <w:uiPriority w:val="0"/>
    <w:pPr>
      <w:tabs>
        <w:tab w:val="left" w:pos="864"/>
        <w:tab w:val="left" w:pos="2153"/>
        <w:tab w:val="clear" w:pos="4008"/>
      </w:tabs>
      <w:adjustRightInd w:val="0"/>
      <w:snapToGrid w:val="0"/>
      <w:spacing w:beforeLines="50" w:line="520" w:lineRule="atLeast"/>
      <w:ind w:left="0" w:firstLine="0"/>
      <w:jc w:val="both"/>
    </w:pPr>
    <w:rPr>
      <w:rFonts w:ascii="Times New Roman" w:hAnsi="Times New Roman" w:eastAsia="宋体"/>
      <w:bCs/>
      <w:color w:val="auto"/>
      <w:spacing w:val="-2"/>
      <w:kern w:val="0"/>
      <w:sz w:val="21"/>
    </w:rPr>
  </w:style>
  <w:style w:type="paragraph" w:customStyle="1" w:styleId="3105">
    <w:name w:val="中气附件"/>
    <w:basedOn w:val="3"/>
    <w:qFormat/>
    <w:uiPriority w:val="0"/>
    <w:pPr>
      <w:pageBreakBefore w:val="0"/>
      <w:tabs>
        <w:tab w:val="clear" w:pos="1080"/>
      </w:tabs>
      <w:spacing w:before="240" w:line="360" w:lineRule="auto"/>
      <w:ind w:left="0" w:firstLine="200" w:firstLineChars="200"/>
      <w:jc w:val="right"/>
    </w:pPr>
    <w:rPr>
      <w:rFonts w:ascii="黑体" w:hAnsi="宋体" w:eastAsia="黑体" w:cs="Arial"/>
      <w:b w:val="0"/>
      <w:bCs/>
      <w:spacing w:val="-2"/>
      <w:sz w:val="32"/>
      <w:szCs w:val="44"/>
    </w:rPr>
  </w:style>
  <w:style w:type="paragraph" w:customStyle="1" w:styleId="3106">
    <w:name w:val="四号 行距: 固定值 25 磅"/>
    <w:basedOn w:val="1"/>
    <w:qFormat/>
    <w:uiPriority w:val="0"/>
    <w:pPr>
      <w:adjustRightInd w:val="0"/>
      <w:snapToGrid w:val="0"/>
      <w:spacing w:line="340" w:lineRule="exact"/>
      <w:ind w:firstLine="422" w:firstLineChars="200"/>
      <w:jc w:val="center"/>
    </w:pPr>
    <w:rPr>
      <w:rFonts w:ascii="宋体" w:hAnsi="宋体" w:eastAsia="宋体" w:cs="黑体"/>
      <w:b/>
      <w:spacing w:val="-2"/>
      <w:kern w:val="0"/>
      <w:szCs w:val="21"/>
      <w:lang w:val="zh-CN"/>
    </w:rPr>
  </w:style>
  <w:style w:type="paragraph" w:customStyle="1" w:styleId="3107">
    <w:name w:val="title2"/>
    <w:basedOn w:val="1"/>
    <w:qFormat/>
    <w:uiPriority w:val="0"/>
    <w:pPr>
      <w:widowControl/>
      <w:spacing w:line="240" w:lineRule="atLeast"/>
      <w:jc w:val="center"/>
    </w:pPr>
    <w:rPr>
      <w:rFonts w:ascii="宋体" w:hAnsi="Calibri" w:eastAsia="宋体" w:cs="宋体"/>
      <w:color w:val="000000"/>
      <w:spacing w:val="-2"/>
      <w:kern w:val="0"/>
      <w:sz w:val="18"/>
      <w:szCs w:val="18"/>
    </w:rPr>
  </w:style>
  <w:style w:type="paragraph" w:customStyle="1" w:styleId="3108">
    <w:name w:val="样式 标题 1标题 1环评标题 11一、标题 1 Char章 + Times New Roman 加粗 黑色 两..."/>
    <w:next w:val="85"/>
    <w:qFormat/>
    <w:uiPriority w:val="0"/>
    <w:pPr>
      <w:spacing w:before="156" w:after="156"/>
      <w:jc w:val="both"/>
    </w:pPr>
    <w:rPr>
      <w:rFonts w:ascii="Times New Roman" w:hAnsi="Times New Roman" w:eastAsia="黑体" w:cs="宋体"/>
      <w:b/>
      <w:bCs/>
      <w:color w:val="000000"/>
      <w:kern w:val="44"/>
      <w:sz w:val="30"/>
      <w:lang w:val="en-US" w:eastAsia="zh-CN" w:bidi="ar-SA"/>
    </w:rPr>
  </w:style>
  <w:style w:type="paragraph" w:customStyle="1" w:styleId="3109">
    <w:name w:val="质正文"/>
    <w:basedOn w:val="1"/>
    <w:qFormat/>
    <w:uiPriority w:val="0"/>
    <w:pPr>
      <w:adjustRightInd w:val="0"/>
      <w:snapToGrid w:val="0"/>
      <w:spacing w:line="360" w:lineRule="auto"/>
      <w:ind w:firstLine="200" w:firstLineChars="200"/>
    </w:pPr>
    <w:rPr>
      <w:rFonts w:ascii="宋体" w:eastAsia="宋体" w:cs="黑体"/>
      <w:spacing w:val="-2"/>
      <w:kern w:val="0"/>
      <w:sz w:val="24"/>
    </w:rPr>
  </w:style>
  <w:style w:type="paragraph" w:customStyle="1" w:styleId="3110">
    <w:name w:val="xl2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008000"/>
      <w:spacing w:val="-2"/>
      <w:kern w:val="0"/>
      <w:sz w:val="20"/>
    </w:rPr>
  </w:style>
  <w:style w:type="paragraph" w:customStyle="1" w:styleId="3111">
    <w:name w:val="p-r3"/>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12">
    <w:name w:val="表格内容1"/>
    <w:basedOn w:val="1"/>
    <w:qFormat/>
    <w:uiPriority w:val="0"/>
    <w:pPr>
      <w:tabs>
        <w:tab w:val="left" w:pos="1535"/>
        <w:tab w:val="left" w:pos="3105"/>
        <w:tab w:val="left" w:pos="3880"/>
        <w:tab w:val="center" w:pos="4153"/>
        <w:tab w:val="left" w:pos="4676"/>
        <w:tab w:val="left" w:pos="6247"/>
        <w:tab w:val="left" w:pos="7740"/>
        <w:tab w:val="right" w:pos="8306"/>
        <w:tab w:val="left" w:pos="9288"/>
      </w:tabs>
      <w:autoSpaceDE w:val="0"/>
      <w:autoSpaceDN w:val="0"/>
      <w:adjustRightInd w:val="0"/>
      <w:snapToGrid w:val="0"/>
      <w:jc w:val="center"/>
    </w:pPr>
    <w:rPr>
      <w:rFonts w:ascii="仿宋_GB2312" w:hAnsi="宋体" w:cs="黑体"/>
      <w:color w:val="FF0000"/>
      <w:spacing w:val="-2"/>
      <w:kern w:val="0"/>
      <w:szCs w:val="21"/>
    </w:rPr>
  </w:style>
  <w:style w:type="paragraph" w:customStyle="1" w:styleId="3113">
    <w:name w:val="样式 标题 2 + 宋体 四号"/>
    <w:basedOn w:val="4"/>
    <w:qFormat/>
    <w:uiPriority w:val="0"/>
    <w:pPr>
      <w:keepLines w:val="0"/>
      <w:tabs>
        <w:tab w:val="left" w:pos="1476"/>
        <w:tab w:val="clear" w:pos="567"/>
      </w:tabs>
      <w:adjustRightInd w:val="0"/>
      <w:snapToGrid w:val="0"/>
      <w:spacing w:before="0" w:beforeLines="50" w:after="0"/>
      <w:ind w:left="0" w:firstLine="0"/>
    </w:pPr>
    <w:rPr>
      <w:rFonts w:ascii="宋体" w:hAnsi="Arial Unicode MS" w:eastAsia="宋体" w:cs="宋体"/>
      <w:bCs/>
      <w:spacing w:val="-2"/>
      <w:szCs w:val="24"/>
    </w:rPr>
  </w:style>
  <w:style w:type="paragraph" w:customStyle="1" w:styleId="3114">
    <w:name w:val="参加人员"/>
    <w:basedOn w:val="1"/>
    <w:qFormat/>
    <w:uiPriority w:val="0"/>
    <w:rPr>
      <w:rFonts w:eastAsia="宋体" w:cs="黑体"/>
      <w:spacing w:val="-2"/>
      <w:kern w:val="0"/>
      <w:sz w:val="24"/>
    </w:rPr>
  </w:style>
  <w:style w:type="paragraph" w:customStyle="1" w:styleId="3115">
    <w:name w:val="中大3级标题"/>
    <w:basedOn w:val="6"/>
    <w:qFormat/>
    <w:uiPriority w:val="0"/>
    <w:pPr>
      <w:tabs>
        <w:tab w:val="left" w:pos="720"/>
        <w:tab w:val="left" w:pos="1022"/>
        <w:tab w:val="left" w:pos="1080"/>
        <w:tab w:val="clear" w:pos="1789"/>
      </w:tabs>
      <w:snapToGrid w:val="0"/>
      <w:spacing w:before="0" w:beforeLines="50" w:after="0" w:line="360" w:lineRule="auto"/>
      <w:ind w:left="0" w:firstLine="0"/>
    </w:pPr>
    <w:rPr>
      <w:rFonts w:hint="eastAsia" w:ascii="宋体" w:hAnsi="宋体" w:eastAsia="宋体" w:cs="宋体"/>
      <w:i/>
      <w:iCs/>
      <w:color w:val="000000"/>
      <w:spacing w:val="-2"/>
      <w:sz w:val="28"/>
      <w:szCs w:val="24"/>
    </w:rPr>
  </w:style>
  <w:style w:type="paragraph" w:customStyle="1" w:styleId="3116">
    <w:name w:val="正文  规划"/>
    <w:basedOn w:val="1"/>
    <w:qFormat/>
    <w:uiPriority w:val="0"/>
    <w:pPr>
      <w:adjustRightInd w:val="0"/>
      <w:spacing w:before="120" w:after="120"/>
      <w:ind w:firstLine="200" w:firstLineChars="200"/>
    </w:pPr>
    <w:rPr>
      <w:rFonts w:eastAsia="宋体" w:cs="宋体"/>
      <w:spacing w:val="-2"/>
      <w:kern w:val="0"/>
      <w:sz w:val="24"/>
    </w:rPr>
  </w:style>
  <w:style w:type="paragraph" w:customStyle="1" w:styleId="3117">
    <w:name w:val="hot-word-refresh"/>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18">
    <w:name w:val="col-sub1"/>
    <w:basedOn w:val="1"/>
    <w:qFormat/>
    <w:uiPriority w:val="0"/>
    <w:pPr>
      <w:widowControl/>
      <w:spacing w:before="100" w:beforeAutospacing="1" w:after="100" w:afterAutospacing="1"/>
      <w:ind w:left="-3675"/>
      <w:jc w:val="left"/>
    </w:pPr>
    <w:rPr>
      <w:rFonts w:ascii="宋体" w:hAnsi="Calibri" w:eastAsia="宋体" w:cs="宋体"/>
      <w:spacing w:val="-2"/>
      <w:kern w:val="0"/>
      <w:sz w:val="24"/>
      <w:szCs w:val="21"/>
    </w:rPr>
  </w:style>
  <w:style w:type="paragraph" w:customStyle="1" w:styleId="3119">
    <w:name w:val="Char Char Char Char Char Char Char Char Char2 Char Char Char Char Char Char Char Char Char Char"/>
    <w:basedOn w:val="1"/>
    <w:qFormat/>
    <w:uiPriority w:val="0"/>
    <w:pPr>
      <w:spacing w:line="360" w:lineRule="auto"/>
      <w:ind w:firstLine="200" w:firstLineChars="200"/>
    </w:pPr>
    <w:rPr>
      <w:rFonts w:ascii="宋体" w:hAnsi="宋体" w:eastAsia="宋体" w:cs="宋体"/>
      <w:spacing w:val="-2"/>
      <w:kern w:val="0"/>
      <w:sz w:val="24"/>
    </w:rPr>
  </w:style>
  <w:style w:type="paragraph" w:customStyle="1" w:styleId="3120">
    <w:name w:val="上次保存者"/>
    <w:qFormat/>
    <w:uiPriority w:val="0"/>
    <w:pPr>
      <w:widowControl w:val="0"/>
      <w:jc w:val="both"/>
    </w:pPr>
    <w:rPr>
      <w:rFonts w:ascii="Times New Roman" w:hAnsi="Times New Roman" w:eastAsia="宋体" w:cs="Times New Roman"/>
      <w:lang w:val="en-US" w:eastAsia="zh-CN" w:bidi="ar-SA"/>
    </w:rPr>
  </w:style>
  <w:style w:type="paragraph" w:customStyle="1" w:styleId="3121">
    <w:name w:val="9"/>
    <w:basedOn w:val="1"/>
    <w:next w:val="52"/>
    <w:qFormat/>
    <w:uiPriority w:val="0"/>
    <w:pPr>
      <w:widowControl/>
      <w:spacing w:line="460" w:lineRule="exact"/>
      <w:ind w:firstLine="554" w:firstLineChars="231"/>
      <w:jc w:val="left"/>
    </w:pPr>
    <w:rPr>
      <w:rFonts w:ascii="宋体" w:hAnsi="宋体" w:eastAsia="宋体" w:cs="宋体"/>
      <w:spacing w:val="-2"/>
      <w:kern w:val="0"/>
      <w:sz w:val="24"/>
    </w:rPr>
  </w:style>
  <w:style w:type="paragraph" w:customStyle="1" w:styleId="3122">
    <w:name w:val="p-r2"/>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23">
    <w:name w:val="pad14"/>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24">
    <w:name w:val="样式 样式 样式 标题 2H2h2heading 2+ Indent: Left 0.25 in二级节名1.1  heading...1"/>
    <w:basedOn w:val="3125"/>
    <w:qFormat/>
    <w:uiPriority w:val="0"/>
    <w:pPr>
      <w:tabs>
        <w:tab w:val="left" w:pos="0"/>
        <w:tab w:val="left" w:pos="576"/>
        <w:tab w:val="left" w:pos="840"/>
      </w:tabs>
      <w:spacing w:before="240" w:beforeLines="0"/>
    </w:pPr>
  </w:style>
  <w:style w:type="paragraph" w:customStyle="1" w:styleId="3125">
    <w:name w:val="样式 样式 标题 2H2h2heading 2+ Indent: Left 0.25 in二级节名1.1  heading......1"/>
    <w:basedOn w:val="2937"/>
    <w:qFormat/>
    <w:uiPriority w:val="0"/>
    <w:pPr>
      <w:tabs>
        <w:tab w:val="left" w:pos="576"/>
        <w:tab w:val="clear" w:pos="0"/>
        <w:tab w:val="clear" w:pos="1476"/>
      </w:tabs>
      <w:ind w:left="576"/>
    </w:pPr>
  </w:style>
  <w:style w:type="paragraph" w:customStyle="1" w:styleId="3126">
    <w:name w:val="reason-ti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27">
    <w:name w:val="环境影响报告书"/>
    <w:basedOn w:val="1"/>
    <w:qFormat/>
    <w:uiPriority w:val="0"/>
    <w:pPr>
      <w:spacing w:beforeLines="100"/>
      <w:jc w:val="center"/>
    </w:pPr>
    <w:rPr>
      <w:rFonts w:eastAsia="楷体_GB2312" w:cs="黑体"/>
      <w:b/>
      <w:spacing w:val="-2"/>
      <w:kern w:val="0"/>
      <w:sz w:val="52"/>
    </w:rPr>
  </w:style>
  <w:style w:type="paragraph" w:customStyle="1" w:styleId="3128">
    <w:name w:val="1正文"/>
    <w:basedOn w:val="1"/>
    <w:qFormat/>
    <w:uiPriority w:val="0"/>
    <w:pPr>
      <w:ind w:firstLine="560" w:firstLineChars="200"/>
      <w:jc w:val="left"/>
    </w:pPr>
    <w:rPr>
      <w:rFonts w:ascii="宋体" w:hAnsi="宋体" w:eastAsia="宋体"/>
      <w:kern w:val="0"/>
    </w:rPr>
  </w:style>
  <w:style w:type="paragraph" w:customStyle="1" w:styleId="3129">
    <w:name w:val="xl20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b/>
      <w:bCs/>
      <w:spacing w:val="-2"/>
      <w:kern w:val="0"/>
      <w:sz w:val="24"/>
    </w:rPr>
  </w:style>
  <w:style w:type="paragraph" w:customStyle="1" w:styleId="3130">
    <w:name w:val="enc-tx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31">
    <w:name w:val="样式 样式1 + 居中"/>
    <w:basedOn w:val="1"/>
    <w:qFormat/>
    <w:uiPriority w:val="0"/>
    <w:pPr>
      <w:jc w:val="center"/>
    </w:pPr>
    <w:rPr>
      <w:rFonts w:eastAsia="宋体" w:cs="黑体"/>
      <w:spacing w:val="-2"/>
      <w:kern w:val="0"/>
    </w:rPr>
  </w:style>
  <w:style w:type="paragraph" w:customStyle="1" w:styleId="3132">
    <w:name w:val="Char Char Char Char Char Char1 Char1"/>
    <w:basedOn w:val="1"/>
    <w:qFormat/>
    <w:uiPriority w:val="0"/>
    <w:pPr>
      <w:snapToGrid w:val="0"/>
      <w:spacing w:line="440" w:lineRule="atLeast"/>
      <w:jc w:val="left"/>
    </w:pPr>
    <w:rPr>
      <w:rFonts w:ascii="宋体" w:hAnsi="宋体" w:eastAsia="Times New Roman" w:cs="黑体"/>
      <w:b/>
      <w:spacing w:val="-2"/>
      <w:kern w:val="0"/>
      <w:sz w:val="36"/>
    </w:rPr>
  </w:style>
  <w:style w:type="paragraph" w:customStyle="1" w:styleId="3133">
    <w:name w:val="Char Char Char Char Char Char Char Char Char1 Char1"/>
    <w:basedOn w:val="1"/>
    <w:qFormat/>
    <w:uiPriority w:val="0"/>
    <w:rPr>
      <w:rFonts w:ascii="宋体" w:hAnsi="宋体" w:eastAsia="宋体"/>
      <w:sz w:val="32"/>
    </w:rPr>
  </w:style>
  <w:style w:type="paragraph" w:customStyle="1" w:styleId="3134">
    <w:name w:val="Char Char Char Char Char Char Char1 Char Char Char1"/>
    <w:basedOn w:val="1"/>
    <w:qFormat/>
    <w:uiPriority w:val="0"/>
    <w:pPr>
      <w:widowControl/>
      <w:tabs>
        <w:tab w:val="left" w:pos="1404"/>
      </w:tabs>
      <w:spacing w:before="100" w:beforeAutospacing="1" w:after="100" w:afterAutospacing="1" w:line="360" w:lineRule="auto"/>
      <w:ind w:left="1403" w:hanging="420"/>
      <w:jc w:val="left"/>
    </w:pPr>
    <w:rPr>
      <w:rFonts w:ascii="ˎ̥" w:hAnsi="ˎ̥" w:cs="宋体"/>
      <w:color w:val="51585D"/>
      <w:spacing w:val="-2"/>
      <w:kern w:val="0"/>
      <w:sz w:val="32"/>
      <w:szCs w:val="18"/>
    </w:rPr>
  </w:style>
  <w:style w:type="paragraph" w:customStyle="1" w:styleId="3135">
    <w:name w:val="样式 标题 2Chapter Heading2nd levelh22Titre2l2H2Header 2UND...1"/>
    <w:basedOn w:val="4"/>
    <w:qFormat/>
    <w:uiPriority w:val="0"/>
    <w:pPr>
      <w:tabs>
        <w:tab w:val="left" w:pos="1476"/>
        <w:tab w:val="clear" w:pos="567"/>
      </w:tabs>
      <w:spacing w:before="0" w:after="0" w:line="360" w:lineRule="auto"/>
      <w:ind w:left="0" w:firstLine="0"/>
    </w:pPr>
    <w:rPr>
      <w:rFonts w:ascii="宋体" w:hAnsi="宋体" w:eastAsia="宋体" w:cs="宋体"/>
      <w:bCs/>
      <w:spacing w:val="-2"/>
      <w:kern w:val="0"/>
      <w:sz w:val="24"/>
    </w:rPr>
  </w:style>
  <w:style w:type="paragraph" w:customStyle="1" w:styleId="3136">
    <w:name w:val="Char Char Char Char Char Char Char Char Char Char Char Char Char1"/>
    <w:basedOn w:val="1"/>
    <w:qFormat/>
    <w:uiPriority w:val="0"/>
    <w:pPr>
      <w:widowControl/>
      <w:spacing w:after="160" w:line="240" w:lineRule="exact"/>
      <w:jc w:val="left"/>
    </w:pPr>
    <w:rPr>
      <w:rFonts w:ascii="Verdana" w:hAnsi="Verdana" w:eastAsia="宋体" w:cs="黑体"/>
      <w:kern w:val="0"/>
      <w:sz w:val="20"/>
      <w:lang w:eastAsia="en-US"/>
    </w:rPr>
  </w:style>
  <w:style w:type="paragraph" w:customStyle="1" w:styleId="3137">
    <w:name w:val="xl1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spacing w:val="-2"/>
      <w:kern w:val="0"/>
      <w:sz w:val="24"/>
    </w:rPr>
  </w:style>
  <w:style w:type="paragraph" w:customStyle="1" w:styleId="3138">
    <w:name w:val="Char Char1 Char Char Char Char Char Char Char Char Char Char Char Char Char Char Char Char Char Char Char Char1 Char2"/>
    <w:basedOn w:val="1"/>
    <w:qFormat/>
    <w:uiPriority w:val="0"/>
    <w:pPr>
      <w:spacing w:line="360" w:lineRule="auto"/>
      <w:ind w:firstLine="200" w:firstLineChars="200"/>
    </w:pPr>
    <w:rPr>
      <w:rFonts w:ascii="宋体" w:hAnsi="宋体" w:eastAsia="宋体"/>
      <w:sz w:val="24"/>
      <w:szCs w:val="24"/>
    </w:rPr>
  </w:style>
  <w:style w:type="paragraph" w:customStyle="1" w:styleId="3139">
    <w:name w:val="样式1."/>
    <w:basedOn w:val="1"/>
    <w:qFormat/>
    <w:uiPriority w:val="0"/>
    <w:pPr>
      <w:adjustRightInd w:val="0"/>
      <w:snapToGrid w:val="0"/>
      <w:spacing w:line="460" w:lineRule="exact"/>
    </w:pPr>
    <w:rPr>
      <w:rFonts w:eastAsia="黑体" w:cs="黑体"/>
      <w:b/>
      <w:spacing w:val="-2"/>
      <w:kern w:val="0"/>
      <w:sz w:val="32"/>
    </w:rPr>
  </w:style>
  <w:style w:type="paragraph" w:customStyle="1" w:styleId="3140">
    <w:name w:val="样式 电镀正文 + 首行缩进:  2 字符"/>
    <w:basedOn w:val="3141"/>
    <w:qFormat/>
    <w:uiPriority w:val="0"/>
    <w:pPr>
      <w:spacing w:line="324" w:lineRule="auto"/>
    </w:pPr>
    <w:rPr>
      <w:rFonts w:hAnsi="Calibri" w:cs="Arial"/>
      <w:sz w:val="28"/>
    </w:rPr>
  </w:style>
  <w:style w:type="paragraph" w:customStyle="1" w:styleId="3141">
    <w:name w:val="电镀正文"/>
    <w:basedOn w:val="5"/>
    <w:qFormat/>
    <w:uiPriority w:val="0"/>
    <w:pPr>
      <w:spacing w:line="312" w:lineRule="auto"/>
      <w:ind w:firstLine="200" w:firstLineChars="200"/>
    </w:pPr>
    <w:rPr>
      <w:rFonts w:hint="eastAsia" w:ascii="宋体" w:hAnsi="宋体" w:cs="宋体"/>
      <w:spacing w:val="0"/>
      <w:szCs w:val="24"/>
    </w:rPr>
  </w:style>
  <w:style w:type="paragraph" w:customStyle="1" w:styleId="3142">
    <w:name w:val="word_more_con"/>
    <w:basedOn w:val="1"/>
    <w:qFormat/>
    <w:uiPriority w:val="0"/>
    <w:pPr>
      <w:widowControl/>
      <w:pBdr>
        <w:top w:val="single" w:color="DEDFE1" w:sz="6" w:space="5"/>
        <w:left w:val="single" w:color="DEDFE1" w:sz="6" w:space="8"/>
        <w:bottom w:val="single" w:color="DEDFE1" w:sz="6" w:space="5"/>
        <w:right w:val="single" w:color="DEDFE1" w:sz="6" w:space="30"/>
      </w:pBdr>
      <w:shd w:val="clear" w:color="auto" w:fill="FFFFFF"/>
      <w:spacing w:before="100" w:beforeAutospacing="1" w:after="100" w:afterAutospacing="1" w:line="300" w:lineRule="atLeast"/>
      <w:jc w:val="left"/>
    </w:pPr>
    <w:rPr>
      <w:rFonts w:ascii="宋体" w:hAnsi="Calibri" w:eastAsia="宋体" w:cs="宋体"/>
      <w:spacing w:val="-2"/>
      <w:kern w:val="0"/>
      <w:sz w:val="24"/>
      <w:szCs w:val="21"/>
    </w:rPr>
  </w:style>
  <w:style w:type="paragraph" w:customStyle="1" w:styleId="3143">
    <w:name w:val="自定义正文 Char Char Char Char"/>
    <w:qFormat/>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paragraph" w:customStyle="1" w:styleId="3144">
    <w:name w:val="样式 (中文) 仿宋_GB2312 四号 黑色 首行缩进:  2 字符 行距: 固定值 23 磅"/>
    <w:basedOn w:val="1"/>
    <w:qFormat/>
    <w:uiPriority w:val="0"/>
    <w:pPr>
      <w:spacing w:before="120" w:line="400" w:lineRule="exact"/>
      <w:ind w:firstLine="200" w:firstLineChars="200"/>
    </w:pPr>
    <w:rPr>
      <w:rFonts w:eastAsia="宋体" w:cs="黑体"/>
      <w:color w:val="000000"/>
      <w:spacing w:val="-2"/>
      <w:kern w:val="0"/>
      <w:sz w:val="24"/>
    </w:rPr>
  </w:style>
  <w:style w:type="paragraph" w:customStyle="1" w:styleId="3145">
    <w:name w:val="Char Char1 Char Char Char Char Char Char Char Char Char Char Char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146">
    <w:name w:val="reader-word-layer reader-word-s1-22"/>
    <w:basedOn w:val="1"/>
    <w:qFormat/>
    <w:uiPriority w:val="0"/>
    <w:pPr>
      <w:widowControl/>
      <w:spacing w:before="100" w:beforeAutospacing="1" w:after="100" w:afterAutospacing="1"/>
      <w:jc w:val="left"/>
    </w:pPr>
    <w:rPr>
      <w:rFonts w:ascii="宋体" w:hAnsi="Calibri" w:eastAsia="宋体" w:cs="宋体"/>
      <w:spacing w:val="-2"/>
      <w:kern w:val="0"/>
      <w:sz w:val="24"/>
    </w:rPr>
  </w:style>
  <w:style w:type="paragraph" w:customStyle="1" w:styleId="3147">
    <w:name w:val="标题附件2"/>
    <w:basedOn w:val="35"/>
    <w:qFormat/>
    <w:uiPriority w:val="0"/>
    <w:pPr>
      <w:spacing w:beforeLines="50"/>
      <w:ind w:firstLine="171" w:firstLineChars="171"/>
    </w:pPr>
    <w:rPr>
      <w:rFonts w:ascii="宋体" w:hAnsi="宋体" w:eastAsia="黑体" w:cs="宋体"/>
      <w:spacing w:val="-2"/>
      <w:sz w:val="28"/>
      <w:szCs w:val="24"/>
    </w:rPr>
  </w:style>
  <w:style w:type="paragraph" w:customStyle="1" w:styleId="3148">
    <w:name w:val="relation-split1"/>
    <w:basedOn w:val="1"/>
    <w:qFormat/>
    <w:uiPriority w:val="0"/>
    <w:pPr>
      <w:widowControl/>
      <w:spacing w:before="100" w:beforeAutospacing="1" w:after="100" w:afterAutospacing="1" w:line="210" w:lineRule="atLeast"/>
      <w:jc w:val="left"/>
    </w:pPr>
    <w:rPr>
      <w:rFonts w:ascii="宋体" w:hAnsi="Calibri" w:eastAsia="宋体" w:cs="宋体"/>
      <w:color w:val="999999"/>
      <w:spacing w:val="-2"/>
      <w:kern w:val="0"/>
      <w:szCs w:val="21"/>
    </w:rPr>
  </w:style>
  <w:style w:type="paragraph" w:customStyle="1" w:styleId="3149">
    <w:name w:val="btn-disabled"/>
    <w:basedOn w:val="1"/>
    <w:qFormat/>
    <w:uiPriority w:val="0"/>
    <w:pPr>
      <w:widowControl/>
      <w:pBdr>
        <w:top w:val="single" w:color="DDDDDD" w:sz="6" w:space="0"/>
        <w:left w:val="single" w:color="DDDDDD" w:sz="6" w:space="0"/>
        <w:bottom w:val="single" w:color="DDDDDD" w:sz="6" w:space="0"/>
        <w:right w:val="single" w:color="DDDDDD"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3150">
    <w:name w:val="样式 段落样式 + (西文) 宋体 小四 黑色 Char"/>
    <w:basedOn w:val="1137"/>
    <w:qFormat/>
    <w:uiPriority w:val="0"/>
    <w:pPr>
      <w:topLinePunct/>
      <w:textAlignment w:val="auto"/>
    </w:pPr>
    <w:rPr>
      <w:color w:val="000000"/>
      <w:w w:val="100"/>
      <w:kern w:val="24"/>
      <w:szCs w:val="21"/>
    </w:rPr>
  </w:style>
  <w:style w:type="paragraph" w:customStyle="1" w:styleId="3151">
    <w:name w:val="CM103"/>
    <w:basedOn w:val="762"/>
    <w:next w:val="762"/>
    <w:qFormat/>
    <w:uiPriority w:val="0"/>
    <w:pPr>
      <w:spacing w:after="288"/>
    </w:pPr>
    <w:rPr>
      <w:rFonts w:ascii="黑体" w:hAnsi="Calibri" w:eastAsia="黑体" w:cs="黑体"/>
      <w:kern w:val="2"/>
      <w:sz w:val="24"/>
      <w:szCs w:val="24"/>
    </w:rPr>
  </w:style>
  <w:style w:type="paragraph" w:customStyle="1" w:styleId="3152">
    <w:name w:val="样式 标题 3 + 段前: 0.5 行 段后: 0.5 行 首行缩进:  0 字符"/>
    <w:basedOn w:val="6"/>
    <w:qFormat/>
    <w:uiPriority w:val="99"/>
    <w:pPr>
      <w:tabs>
        <w:tab w:val="left" w:pos="1080"/>
        <w:tab w:val="clear" w:pos="1789"/>
      </w:tabs>
      <w:spacing w:before="156" w:after="156" w:line="416" w:lineRule="auto"/>
      <w:ind w:left="0" w:firstLine="0"/>
    </w:pPr>
    <w:rPr>
      <w:rFonts w:ascii="Times New Roman" w:eastAsia="宋体" w:cs="宋体"/>
      <w:color w:val="FF0000"/>
      <w:kern w:val="28"/>
      <w:sz w:val="32"/>
    </w:rPr>
  </w:style>
  <w:style w:type="paragraph" w:customStyle="1" w:styleId="3153">
    <w:name w:val="样式 标题 2H2SeHead wsa21标题 1.1. + 段前: 4.65 磅 段后: 4.65 磅 行距:..."/>
    <w:basedOn w:val="4"/>
    <w:qFormat/>
    <w:uiPriority w:val="0"/>
    <w:pPr>
      <w:keepLines w:val="0"/>
      <w:tabs>
        <w:tab w:val="left" w:pos="1476"/>
        <w:tab w:val="clear" w:pos="567"/>
      </w:tabs>
      <w:spacing w:before="100" w:beforeAutospacing="1" w:after="120" w:line="360" w:lineRule="auto"/>
      <w:ind w:left="0" w:firstLine="0"/>
    </w:pPr>
    <w:rPr>
      <w:rFonts w:ascii="Arial" w:eastAsia="宋体" w:cs="宋体"/>
      <w:bCs/>
      <w:color w:val="000000"/>
      <w:spacing w:val="-2"/>
      <w:sz w:val="32"/>
    </w:rPr>
  </w:style>
  <w:style w:type="paragraph" w:customStyle="1" w:styleId="3154">
    <w:name w:val="正文 32"/>
    <w:basedOn w:val="1"/>
    <w:qFormat/>
    <w:uiPriority w:val="0"/>
    <w:pPr>
      <w:autoSpaceDE w:val="0"/>
      <w:autoSpaceDN w:val="0"/>
      <w:spacing w:line="288" w:lineRule="auto"/>
      <w:ind w:firstLine="567"/>
    </w:pPr>
    <w:rPr>
      <w:rFonts w:eastAsia="宋体" w:cs="黑体"/>
      <w:spacing w:val="-2"/>
      <w:kern w:val="0"/>
    </w:rPr>
  </w:style>
  <w:style w:type="paragraph" w:customStyle="1" w:styleId="3155">
    <w:name w:val="样式 首行缩进:  1 字符"/>
    <w:basedOn w:val="1"/>
    <w:qFormat/>
    <w:uiPriority w:val="0"/>
    <w:pPr>
      <w:spacing w:line="498" w:lineRule="atLeast"/>
      <w:ind w:firstLine="100" w:firstLineChars="100"/>
    </w:pPr>
    <w:rPr>
      <w:rFonts w:eastAsia="宋体" w:cs="黑体"/>
      <w:spacing w:val="-2"/>
      <w:kern w:val="0"/>
      <w:sz w:val="24"/>
    </w:rPr>
  </w:style>
  <w:style w:type="paragraph" w:customStyle="1" w:styleId="3156">
    <w:name w:val="麦志勤标题4"/>
    <w:basedOn w:val="7"/>
    <w:qFormat/>
    <w:uiPriority w:val="0"/>
    <w:pPr>
      <w:tabs>
        <w:tab w:val="left" w:pos="864"/>
        <w:tab w:val="left" w:pos="2153"/>
        <w:tab w:val="clear" w:pos="4008"/>
      </w:tabs>
      <w:adjustRightInd w:val="0"/>
      <w:snapToGrid w:val="0"/>
      <w:spacing w:beforeLines="100" w:line="300" w:lineRule="auto"/>
      <w:ind w:left="0" w:firstLine="0"/>
      <w:jc w:val="both"/>
    </w:pPr>
    <w:rPr>
      <w:rFonts w:ascii="黑体" w:hAnsi="黑体" w:eastAsia="宋体"/>
      <w:b w:val="0"/>
      <w:color w:val="auto"/>
      <w:spacing w:val="-2"/>
      <w:kern w:val="0"/>
      <w:sz w:val="30"/>
      <w:szCs w:val="24"/>
    </w:rPr>
  </w:style>
  <w:style w:type="paragraph" w:customStyle="1" w:styleId="3157">
    <w:name w:val="样式 小四 首行缩进:  0.85 厘米 行距: 1.5 倍行距"/>
    <w:basedOn w:val="1"/>
    <w:qFormat/>
    <w:uiPriority w:val="0"/>
    <w:pPr>
      <w:adjustRightInd w:val="0"/>
      <w:ind w:firstLine="480"/>
    </w:pPr>
    <w:rPr>
      <w:rFonts w:eastAsia="宋体" w:cs="宋体"/>
      <w:spacing w:val="-2"/>
      <w:kern w:val="0"/>
      <w:sz w:val="24"/>
    </w:rPr>
  </w:style>
  <w:style w:type="paragraph" w:customStyle="1" w:styleId="3158">
    <w:name w:val="报告样式"/>
    <w:basedOn w:val="1"/>
    <w:next w:val="454"/>
    <w:qFormat/>
    <w:uiPriority w:val="0"/>
    <w:rPr>
      <w:rFonts w:eastAsia="宋体" w:cs="黑体"/>
      <w:spacing w:val="-2"/>
      <w:kern w:val="0"/>
      <w:sz w:val="24"/>
    </w:rPr>
  </w:style>
  <w:style w:type="paragraph" w:customStyle="1" w:styleId="3159">
    <w:name w:val="样式 标题3"/>
    <w:basedOn w:val="6"/>
    <w:qFormat/>
    <w:uiPriority w:val="0"/>
    <w:pPr>
      <w:tabs>
        <w:tab w:val="left" w:pos="720"/>
        <w:tab w:val="left" w:pos="1022"/>
        <w:tab w:val="left" w:pos="1080"/>
        <w:tab w:val="clear" w:pos="1789"/>
      </w:tabs>
      <w:spacing w:before="0" w:beforeLines="50" w:after="0" w:line="360" w:lineRule="auto"/>
      <w:ind w:left="720" w:hanging="420"/>
    </w:pPr>
    <w:rPr>
      <w:rFonts w:hint="eastAsia" w:ascii="宋体" w:hAnsi="宋体" w:eastAsia="宋体" w:cs="宋体"/>
      <w:bCs w:val="0"/>
      <w:i/>
      <w:iCs/>
      <w:color w:val="000000"/>
      <w:spacing w:val="-2"/>
      <w:szCs w:val="24"/>
    </w:rPr>
  </w:style>
  <w:style w:type="paragraph" w:customStyle="1" w:styleId="3160">
    <w:name w:val="五级无标题条"/>
    <w:basedOn w:val="1"/>
    <w:qFormat/>
    <w:uiPriority w:val="0"/>
    <w:pPr>
      <w:tabs>
        <w:tab w:val="left" w:pos="1296"/>
      </w:tabs>
      <w:ind w:left="1296" w:hanging="1296"/>
    </w:pPr>
    <w:rPr>
      <w:rFonts w:eastAsia="宋体" w:cs="黑体"/>
      <w:spacing w:val="-2"/>
      <w:kern w:val="0"/>
    </w:rPr>
  </w:style>
  <w:style w:type="paragraph" w:customStyle="1" w:styleId="3161">
    <w:name w:val="表格格式"/>
    <w:next w:val="1"/>
    <w:qFormat/>
    <w:uiPriority w:val="0"/>
    <w:pPr>
      <w:adjustRightInd w:val="0"/>
      <w:snapToGrid w:val="0"/>
      <w:jc w:val="center"/>
    </w:pPr>
    <w:rPr>
      <w:rFonts w:ascii="Times New Roman" w:hAnsi="Times New Roman" w:eastAsia="宋体" w:cs="Times New Roman"/>
      <w:color w:val="000000"/>
      <w:sz w:val="21"/>
      <w:lang w:val="en-US" w:eastAsia="zh-CN" w:bidi="ar-SA"/>
    </w:rPr>
  </w:style>
  <w:style w:type="paragraph" w:customStyle="1" w:styleId="3162">
    <w:name w:val="普通(网站)11"/>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3163">
    <w:name w:val="11号线正文首行缩进2字符"/>
    <w:basedOn w:val="1"/>
    <w:qFormat/>
    <w:uiPriority w:val="0"/>
    <w:pPr>
      <w:spacing w:line="500" w:lineRule="exact"/>
      <w:ind w:firstLine="200" w:firstLineChars="200"/>
    </w:pPr>
    <w:rPr>
      <w:rFonts w:ascii="宋体" w:hAnsi="Calibri" w:eastAsia="宋体" w:cs="宋体"/>
      <w:spacing w:val="-2"/>
      <w:kern w:val="0"/>
      <w:szCs w:val="28"/>
    </w:rPr>
  </w:style>
  <w:style w:type="paragraph" w:customStyle="1" w:styleId="3164">
    <w:name w:val="Char Char Char Char Char Char Char Char Char Char Char Char Char Char Char"/>
    <w:basedOn w:val="1"/>
    <w:semiHidden/>
    <w:qFormat/>
    <w:uiPriority w:val="99"/>
    <w:pPr>
      <w:widowControl/>
      <w:spacing w:after="160" w:line="240" w:lineRule="exact"/>
      <w:ind w:firstLine="200"/>
      <w:jc w:val="left"/>
    </w:pPr>
    <w:rPr>
      <w:rFonts w:ascii="Tahoma" w:hAnsi="Tahoma" w:eastAsia="宋体"/>
      <w:kern w:val="0"/>
      <w:sz w:val="20"/>
      <w:lang w:eastAsia="en-US"/>
    </w:rPr>
  </w:style>
  <w:style w:type="paragraph" w:customStyle="1" w:styleId="3165">
    <w:name w:val="标题4 + 加粗"/>
    <w:basedOn w:val="5"/>
    <w:qFormat/>
    <w:uiPriority w:val="0"/>
    <w:pPr>
      <w:spacing w:before="120" w:beforeLines="50" w:after="120" w:afterLines="50" w:line="240" w:lineRule="auto"/>
      <w:ind w:firstLine="0"/>
      <w:outlineLvl w:val="3"/>
    </w:pPr>
    <w:rPr>
      <w:rFonts w:ascii="Times New Roman" w:hAnsi="Times New Roman" w:cs="Times New Roman"/>
      <w:b/>
      <w:spacing w:val="0"/>
      <w:sz w:val="21"/>
      <w:szCs w:val="24"/>
    </w:rPr>
  </w:style>
  <w:style w:type="paragraph" w:customStyle="1" w:styleId="3166">
    <w:name w:val="MTDisplayEquation"/>
    <w:basedOn w:val="1"/>
    <w:next w:val="1"/>
    <w:qFormat/>
    <w:uiPriority w:val="0"/>
    <w:pPr>
      <w:tabs>
        <w:tab w:val="center" w:pos="4160"/>
        <w:tab w:val="right" w:pos="8320"/>
      </w:tabs>
      <w:spacing w:line="360" w:lineRule="auto"/>
      <w:ind w:firstLine="480" w:firstLineChars="200"/>
    </w:pPr>
    <w:rPr>
      <w:rFonts w:eastAsia="宋体" w:cs="黑体"/>
      <w:spacing w:val="-2"/>
      <w:kern w:val="0"/>
      <w:sz w:val="24"/>
    </w:rPr>
  </w:style>
  <w:style w:type="paragraph" w:customStyle="1" w:styleId="3167">
    <w:name w:val="uc-id1"/>
    <w:basedOn w:val="1"/>
    <w:qFormat/>
    <w:uiPriority w:val="0"/>
    <w:pPr>
      <w:widowControl/>
      <w:spacing w:before="100" w:beforeAutospacing="1" w:after="100" w:afterAutospacing="1"/>
      <w:jc w:val="left"/>
    </w:pPr>
    <w:rPr>
      <w:rFonts w:ascii="宋体" w:hAnsi="Calibri" w:eastAsia="宋体" w:cs="宋体"/>
      <w:b/>
      <w:bCs/>
      <w:spacing w:val="-2"/>
      <w:kern w:val="0"/>
      <w:sz w:val="24"/>
      <w:szCs w:val="21"/>
    </w:rPr>
  </w:style>
  <w:style w:type="paragraph" w:customStyle="1" w:styleId="3168">
    <w:name w:val="Char Char Char Char Char Char1 Char Char Char Char2"/>
    <w:basedOn w:val="1"/>
    <w:qFormat/>
    <w:uiPriority w:val="0"/>
    <w:rPr>
      <w:rFonts w:eastAsia="宋体"/>
      <w:sz w:val="24"/>
      <w:szCs w:val="24"/>
    </w:rPr>
  </w:style>
  <w:style w:type="paragraph" w:customStyle="1" w:styleId="3169">
    <w:name w:val="bk-dialog-accept"/>
    <w:basedOn w:val="1"/>
    <w:qFormat/>
    <w:uiPriority w:val="0"/>
    <w:pPr>
      <w:widowControl/>
      <w:spacing w:before="100" w:beforeAutospacing="1" w:after="100" w:afterAutospacing="1"/>
      <w:ind w:right="150"/>
      <w:jc w:val="left"/>
    </w:pPr>
    <w:rPr>
      <w:rFonts w:ascii="宋体" w:hAnsi="Calibri" w:eastAsia="宋体" w:cs="宋体"/>
      <w:spacing w:val="-2"/>
      <w:kern w:val="0"/>
      <w:szCs w:val="21"/>
    </w:rPr>
  </w:style>
  <w:style w:type="paragraph" w:customStyle="1" w:styleId="3170">
    <w:name w:val="样式 标题 2 + 非加粗"/>
    <w:basedOn w:val="4"/>
    <w:qFormat/>
    <w:uiPriority w:val="0"/>
    <w:pPr>
      <w:tabs>
        <w:tab w:val="left" w:pos="1476"/>
        <w:tab w:val="clear" w:pos="567"/>
      </w:tabs>
      <w:spacing w:before="260" w:after="260" w:line="312" w:lineRule="auto"/>
      <w:ind w:left="840" w:hanging="420"/>
      <w:jc w:val="left"/>
    </w:pPr>
    <w:rPr>
      <w:rFonts w:ascii="宋体" w:hAnsi="宋体" w:cs="宋体"/>
      <w:b/>
      <w:bCs/>
      <w:spacing w:val="-2"/>
      <w:sz w:val="24"/>
      <w:szCs w:val="24"/>
    </w:rPr>
  </w:style>
  <w:style w:type="paragraph" w:customStyle="1" w:styleId="3171">
    <w:name w:val="本文标题4"/>
    <w:basedOn w:val="7"/>
    <w:qFormat/>
    <w:uiPriority w:val="0"/>
    <w:pPr>
      <w:tabs>
        <w:tab w:val="left" w:pos="0"/>
        <w:tab w:val="left" w:pos="864"/>
        <w:tab w:val="left" w:pos="2153"/>
        <w:tab w:val="clear" w:pos="4008"/>
      </w:tabs>
      <w:adjustRightInd w:val="0"/>
      <w:spacing w:line="440" w:lineRule="exact"/>
      <w:ind w:left="120" w:firstLine="0"/>
      <w:jc w:val="left"/>
    </w:pPr>
    <w:rPr>
      <w:rFonts w:ascii="Times New Roman" w:hAnsi="Times New Roman" w:eastAsia="宋体"/>
      <w:b w:val="0"/>
      <w:color w:val="auto"/>
      <w:spacing w:val="-2"/>
      <w:kern w:val="0"/>
      <w:szCs w:val="24"/>
    </w:rPr>
  </w:style>
  <w:style w:type="paragraph" w:customStyle="1" w:styleId="3172">
    <w:name w:val="text_dir"/>
    <w:basedOn w:val="1"/>
    <w:qFormat/>
    <w:uiPriority w:val="0"/>
    <w:pPr>
      <w:widowControl/>
      <w:pBdr>
        <w:top w:val="single" w:color="DEDFE1" w:sz="6" w:space="0"/>
        <w:left w:val="single" w:color="DEDFE1" w:sz="6" w:space="0"/>
        <w:bottom w:val="single" w:color="DEDFE1" w:sz="6" w:space="0"/>
        <w:right w:val="single" w:color="DEDFE1" w:sz="6" w:space="0"/>
      </w:pBdr>
      <w:shd w:val="clear" w:color="auto" w:fill="FFFFFF"/>
      <w:spacing w:after="450"/>
      <w:jc w:val="left"/>
    </w:pPr>
    <w:rPr>
      <w:rFonts w:ascii="宋体" w:hAnsi="Calibri" w:eastAsia="宋体" w:cs="宋体"/>
      <w:spacing w:val="-2"/>
      <w:kern w:val="0"/>
      <w:sz w:val="24"/>
      <w:szCs w:val="21"/>
    </w:rPr>
  </w:style>
  <w:style w:type="paragraph" w:customStyle="1" w:styleId="3173">
    <w:name w:val="- 页码 -"/>
    <w:qFormat/>
    <w:uiPriority w:val="0"/>
    <w:pPr>
      <w:widowControl w:val="0"/>
      <w:jc w:val="both"/>
    </w:pPr>
    <w:rPr>
      <w:rFonts w:ascii="Times New Roman" w:hAnsi="Times New Roman" w:eastAsia="宋体" w:cs="Times New Roman"/>
      <w:lang w:val="en-US" w:eastAsia="zh-CN" w:bidi="ar-SA"/>
    </w:rPr>
  </w:style>
  <w:style w:type="paragraph" w:customStyle="1" w:styleId="3174">
    <w:name w:val="Char Char1 Char Char Char Char Char Char Char Char Char Char Char Char Char Char Char Char Char Char Char Char1 Char1"/>
    <w:basedOn w:val="1"/>
    <w:qFormat/>
    <w:uiPriority w:val="0"/>
    <w:pPr>
      <w:spacing w:line="360" w:lineRule="auto"/>
      <w:ind w:firstLine="200" w:firstLineChars="200"/>
    </w:pPr>
    <w:rPr>
      <w:rFonts w:ascii="宋体" w:hAnsi="宋体" w:eastAsia="宋体" w:cs="宋体"/>
      <w:spacing w:val="-2"/>
      <w:kern w:val="0"/>
      <w:sz w:val="24"/>
    </w:rPr>
  </w:style>
  <w:style w:type="paragraph" w:customStyle="1" w:styleId="3175">
    <w:name w:val="样式 样式 标题 2 + 段前: 1 行 段后: 1 行 + 段前: 1 行 段后: 1 行"/>
    <w:basedOn w:val="3010"/>
    <w:qFormat/>
    <w:uiPriority w:val="99"/>
    <w:pPr>
      <w:spacing w:beforeLines="50" w:afterLines="50"/>
    </w:pPr>
  </w:style>
  <w:style w:type="paragraph" w:customStyle="1" w:styleId="3176">
    <w:name w:val="Char Char Char Char Char Char1 Char Char Char Char1"/>
    <w:basedOn w:val="1"/>
    <w:qFormat/>
    <w:uiPriority w:val="0"/>
    <w:rPr>
      <w:rFonts w:ascii="Tahoma" w:hAnsi="Tahoma" w:eastAsia="宋体" w:cs="黑体"/>
      <w:spacing w:val="-2"/>
      <w:kern w:val="0"/>
      <w:sz w:val="24"/>
    </w:rPr>
  </w:style>
  <w:style w:type="paragraph" w:customStyle="1" w:styleId="3177">
    <w:name w:val="封面正文"/>
    <w:qFormat/>
    <w:uiPriority w:val="0"/>
    <w:pPr>
      <w:jc w:val="both"/>
    </w:pPr>
    <w:rPr>
      <w:rFonts w:ascii="Times New Roman" w:hAnsi="Times New Roman" w:eastAsia="宋体" w:cs="Times New Roman"/>
      <w:lang w:val="en-US" w:eastAsia="zh-CN" w:bidi="ar-SA"/>
    </w:rPr>
  </w:style>
  <w:style w:type="paragraph" w:customStyle="1" w:styleId="3178">
    <w:name w:val="enc-content"/>
    <w:basedOn w:val="1"/>
    <w:qFormat/>
    <w:uiPriority w:val="0"/>
    <w:pPr>
      <w:widowControl/>
      <w:shd w:val="clear" w:color="auto" w:fill="FDFEFF"/>
      <w:spacing w:before="100" w:beforeAutospacing="1" w:after="100" w:afterAutospacing="1"/>
      <w:jc w:val="left"/>
    </w:pPr>
    <w:rPr>
      <w:rFonts w:ascii="宋体" w:hAnsi="Calibri" w:eastAsia="宋体" w:cs="宋体"/>
      <w:spacing w:val="-2"/>
      <w:kern w:val="0"/>
      <w:sz w:val="24"/>
      <w:szCs w:val="21"/>
    </w:rPr>
  </w:style>
  <w:style w:type="paragraph" w:customStyle="1" w:styleId="3179">
    <w:name w:val="中大3级"/>
    <w:basedOn w:val="4"/>
    <w:qFormat/>
    <w:uiPriority w:val="0"/>
    <w:pPr>
      <w:keepLines w:val="0"/>
      <w:tabs>
        <w:tab w:val="left" w:pos="0"/>
        <w:tab w:val="left" w:pos="709"/>
        <w:tab w:val="left" w:pos="1476"/>
        <w:tab w:val="clear" w:pos="567"/>
      </w:tabs>
      <w:adjustRightInd w:val="0"/>
      <w:snapToGrid w:val="0"/>
      <w:spacing w:before="0" w:beforeLines="50" w:after="0" w:line="360" w:lineRule="auto"/>
      <w:ind w:left="0" w:firstLine="0"/>
      <w:outlineLvl w:val="2"/>
    </w:pPr>
    <w:rPr>
      <w:rFonts w:ascii="宋体" w:hAnsi="宋体" w:eastAsia="宋体" w:cs="宋体"/>
      <w:b/>
      <w:spacing w:val="-2"/>
      <w:kern w:val="0"/>
      <w:szCs w:val="28"/>
    </w:rPr>
  </w:style>
  <w:style w:type="paragraph" w:customStyle="1" w:styleId="3180">
    <w:name w:val="小四宋居中1.0"/>
    <w:basedOn w:val="1"/>
    <w:next w:val="1"/>
    <w:qFormat/>
    <w:uiPriority w:val="0"/>
    <w:pPr>
      <w:spacing w:line="240" w:lineRule="exact"/>
      <w:jc w:val="center"/>
    </w:pPr>
    <w:rPr>
      <w:rFonts w:ascii="仿宋_GB2312" w:hAnsi="Calibri" w:cs="黑体"/>
      <w:spacing w:val="-2"/>
      <w:kern w:val="0"/>
      <w:sz w:val="24"/>
    </w:rPr>
  </w:style>
  <w:style w:type="paragraph" w:customStyle="1" w:styleId="3181">
    <w:name w:val="样式 标题 4Subsection + 首行缩进:  2 字符"/>
    <w:basedOn w:val="7"/>
    <w:qFormat/>
    <w:uiPriority w:val="0"/>
    <w:pPr>
      <w:tabs>
        <w:tab w:val="left" w:pos="864"/>
        <w:tab w:val="left" w:pos="1680"/>
        <w:tab w:val="left" w:pos="2153"/>
        <w:tab w:val="clear" w:pos="4008"/>
      </w:tabs>
      <w:snapToGrid w:val="0"/>
      <w:spacing w:line="360" w:lineRule="auto"/>
      <w:ind w:left="1680" w:hanging="420"/>
      <w:jc w:val="both"/>
    </w:pPr>
    <w:rPr>
      <w:rFonts w:ascii="Cambria" w:hAnsi="Cambria" w:eastAsia="宋体"/>
      <w:bCs/>
      <w:color w:val="auto"/>
      <w:spacing w:val="-2"/>
      <w:kern w:val="0"/>
      <w:szCs w:val="24"/>
    </w:rPr>
  </w:style>
  <w:style w:type="paragraph" w:customStyle="1" w:styleId="3182">
    <w:name w:val="表格文字3"/>
    <w:basedOn w:val="764"/>
    <w:qFormat/>
    <w:uiPriority w:val="0"/>
    <w:pPr>
      <w:keepNext w:val="0"/>
      <w:keepLines w:val="0"/>
      <w:tabs>
        <w:tab w:val="clear" w:pos="0"/>
        <w:tab w:val="clear" w:pos="277"/>
        <w:tab w:val="clear" w:pos="600"/>
        <w:tab w:val="clear" w:pos="780"/>
        <w:tab w:val="clear" w:pos="2517"/>
      </w:tabs>
      <w:spacing w:before="0" w:beforeLines="10"/>
      <w:jc w:val="both"/>
      <w:textAlignment w:val="auto"/>
    </w:pPr>
    <w:rPr>
      <w:rFonts w:hint="eastAsia" w:hAnsi="宋体" w:cs="宋体"/>
      <w:sz w:val="24"/>
    </w:rPr>
  </w:style>
  <w:style w:type="paragraph" w:customStyle="1" w:styleId="3183">
    <w:name w:val="样式 Tahoma 小四 段前: 7.9 磅1"/>
    <w:basedOn w:val="1"/>
    <w:qFormat/>
    <w:uiPriority w:val="99"/>
    <w:pPr>
      <w:spacing w:before="158"/>
      <w:ind w:firstLine="420" w:firstLineChars="175"/>
    </w:pPr>
    <w:rPr>
      <w:rFonts w:ascii="Tahoma" w:eastAsia="宋体" w:cs="宋体"/>
      <w:kern w:val="28"/>
      <w:sz w:val="32"/>
    </w:rPr>
  </w:style>
  <w:style w:type="paragraph" w:customStyle="1" w:styleId="3184">
    <w:name w:val="ysh表格"/>
    <w:basedOn w:val="1"/>
    <w:qFormat/>
    <w:uiPriority w:val="0"/>
    <w:pPr>
      <w:jc w:val="center"/>
    </w:pPr>
    <w:rPr>
      <w:rFonts w:ascii="宋体" w:hAnsi="Calibri" w:eastAsia="宋体" w:cs="黑体"/>
      <w:spacing w:val="-2"/>
      <w:kern w:val="0"/>
      <w:sz w:val="24"/>
      <w:szCs w:val="21"/>
    </w:rPr>
  </w:style>
  <w:style w:type="paragraph" w:customStyle="1" w:styleId="3185">
    <w:name w:val="yz"/>
    <w:basedOn w:val="34"/>
    <w:qFormat/>
    <w:uiPriority w:val="0"/>
    <w:pPr>
      <w:tabs>
        <w:tab w:val="left" w:pos="900"/>
      </w:tabs>
      <w:spacing w:after="0"/>
      <w:ind w:firstLine="446" w:firstLineChars="200"/>
    </w:pPr>
    <w:rPr>
      <w:rFonts w:ascii="宋体" w:hAnsi="宋体" w:eastAsia="宋体" w:cs="宋体"/>
      <w:i/>
      <w:iCs/>
      <w:color w:val="000000"/>
      <w:sz w:val="21"/>
      <w:szCs w:val="24"/>
    </w:rPr>
  </w:style>
  <w:style w:type="paragraph" w:customStyle="1" w:styleId="3186">
    <w:name w:val="j"/>
    <w:basedOn w:val="1"/>
    <w:semiHidden/>
    <w:qFormat/>
    <w:uiPriority w:val="0"/>
    <w:pPr>
      <w:spacing w:line="360" w:lineRule="auto"/>
    </w:pPr>
  </w:style>
  <w:style w:type="paragraph" w:customStyle="1" w:styleId="3187">
    <w:name w:val="样式 标题 2 + 四号"/>
    <w:basedOn w:val="4"/>
    <w:qFormat/>
    <w:uiPriority w:val="99"/>
    <w:pPr>
      <w:spacing w:after="120"/>
      <w:ind w:left="0" w:firstLine="0"/>
    </w:pPr>
    <w:rPr>
      <w:rFonts w:ascii="宋体" w:hAnsi="宋体" w:eastAsia="宋体"/>
      <w:b/>
      <w:bCs/>
      <w:kern w:val="44"/>
      <w:sz w:val="32"/>
      <w:szCs w:val="32"/>
    </w:rPr>
  </w:style>
  <w:style w:type="paragraph" w:customStyle="1" w:styleId="3188">
    <w:name w:val="declea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89">
    <w:name w:val="样式 标题 3 + (中文) 黑体 四号 段前: 6 磅 段后: 6 磅 行距: 多倍行距 1.73 字行"/>
    <w:basedOn w:val="6"/>
    <w:qFormat/>
    <w:uiPriority w:val="0"/>
    <w:pPr>
      <w:tabs>
        <w:tab w:val="left" w:pos="0"/>
        <w:tab w:val="left" w:pos="1022"/>
        <w:tab w:val="left" w:pos="1080"/>
        <w:tab w:val="clear" w:pos="1789"/>
      </w:tabs>
      <w:spacing w:before="0" w:after="0" w:line="560" w:lineRule="exact"/>
      <w:ind w:left="0" w:firstLine="0"/>
      <w:jc w:val="left"/>
    </w:pPr>
    <w:rPr>
      <w:rFonts w:hint="eastAsia" w:ascii="黑体" w:hAnsi="Arial Unicode MS" w:eastAsia="宋体" w:cs="宋体"/>
      <w:b w:val="0"/>
      <w:bCs w:val="0"/>
      <w:i/>
      <w:iCs/>
      <w:color w:val="000000"/>
      <w:spacing w:val="-2"/>
    </w:rPr>
  </w:style>
  <w:style w:type="paragraph" w:customStyle="1" w:styleId="3190">
    <w:name w:val="5正文"/>
    <w:basedOn w:val="1"/>
    <w:qFormat/>
    <w:uiPriority w:val="0"/>
    <w:pPr>
      <w:tabs>
        <w:tab w:val="left" w:pos="4500"/>
      </w:tabs>
      <w:spacing w:line="360" w:lineRule="auto"/>
      <w:ind w:firstLine="480" w:firstLineChars="200"/>
    </w:pPr>
    <w:rPr>
      <w:rFonts w:ascii="宋体" w:hAnsi="宋体" w:eastAsia="宋体" w:cs="黑体"/>
      <w:bCs/>
      <w:spacing w:val="-2"/>
      <w:kern w:val="0"/>
      <w:sz w:val="24"/>
    </w:rPr>
  </w:style>
  <w:style w:type="paragraph" w:customStyle="1" w:styleId="3191">
    <w:name w:val="样式 样式 正文内容 + 首行缩进:  1.92 字符 + 首行缩进:  1.92 字符"/>
    <w:basedOn w:val="1"/>
    <w:qFormat/>
    <w:uiPriority w:val="0"/>
    <w:pPr>
      <w:spacing w:before="100" w:beforeAutospacing="1" w:after="100" w:afterAutospacing="1"/>
      <w:ind w:firstLine="192" w:firstLineChars="192"/>
    </w:pPr>
    <w:rPr>
      <w:rFonts w:eastAsia="宋体" w:cs="宋体"/>
      <w:spacing w:val="-2"/>
      <w:kern w:val="0"/>
      <w:sz w:val="24"/>
    </w:rPr>
  </w:style>
  <w:style w:type="paragraph" w:customStyle="1" w:styleId="3192">
    <w:name w:val="even2"/>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193">
    <w:name w:val="项目符号2"/>
    <w:basedOn w:val="3194"/>
    <w:qFormat/>
    <w:uiPriority w:val="0"/>
    <w:pPr>
      <w:tabs>
        <w:tab w:val="left" w:pos="360"/>
        <w:tab w:val="left" w:pos="720"/>
      </w:tabs>
      <w:overflowPunct/>
      <w:snapToGrid/>
      <w:spacing w:line="312" w:lineRule="auto"/>
      <w:ind w:left="850" w:hanging="425"/>
    </w:pPr>
    <w:rPr>
      <w:rFonts w:ascii="宋体" w:hAnsi="宋体" w:eastAsia="宋体"/>
      <w:b/>
      <w:color w:val="000000"/>
      <w:sz w:val="24"/>
    </w:rPr>
  </w:style>
  <w:style w:type="paragraph" w:customStyle="1" w:styleId="3194">
    <w:name w:val="项目符号1"/>
    <w:basedOn w:val="1"/>
    <w:qFormat/>
    <w:uiPriority w:val="0"/>
    <w:pPr>
      <w:tabs>
        <w:tab w:val="left" w:pos="720"/>
      </w:tabs>
      <w:overflowPunct w:val="0"/>
      <w:snapToGrid w:val="0"/>
      <w:spacing w:line="480" w:lineRule="exact"/>
      <w:ind w:left="720" w:hanging="720"/>
    </w:pPr>
    <w:rPr>
      <w:rFonts w:ascii="Arial" w:hAnsi="Arial" w:cs="黑体"/>
      <w:spacing w:val="-2"/>
      <w:kern w:val="0"/>
    </w:rPr>
  </w:style>
  <w:style w:type="paragraph" w:customStyle="1" w:styleId="3195">
    <w:name w:val="样式 标题 3 + 左侧:  0 厘米 悬挂缩进: 7.2 字符 段前: 4.65 磅 段后: 6 磅 行距: 固定值 ..."/>
    <w:basedOn w:val="6"/>
    <w:qFormat/>
    <w:uiPriority w:val="0"/>
    <w:pPr>
      <w:tabs>
        <w:tab w:val="left" w:pos="1022"/>
        <w:tab w:val="left" w:pos="1080"/>
        <w:tab w:val="left" w:pos="4621"/>
        <w:tab w:val="clear" w:pos="1789"/>
      </w:tabs>
      <w:spacing w:before="93" w:after="156" w:line="440" w:lineRule="exact"/>
      <w:ind w:left="720" w:hanging="720"/>
    </w:pPr>
    <w:rPr>
      <w:rFonts w:hint="eastAsia" w:ascii="宋体" w:hAnsi="宋体" w:eastAsia="宋体" w:cs="宋体"/>
      <w:bCs w:val="0"/>
      <w:i/>
      <w:iCs/>
      <w:color w:val="000000"/>
      <w:spacing w:val="-2"/>
      <w:sz w:val="26"/>
      <w:szCs w:val="24"/>
    </w:rPr>
  </w:style>
  <w:style w:type="paragraph" w:customStyle="1" w:styleId="3196">
    <w:name w:val="普通(网站)14"/>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3197">
    <w:name w:val="中大表格标题"/>
    <w:basedOn w:val="1"/>
    <w:qFormat/>
    <w:uiPriority w:val="0"/>
    <w:pPr>
      <w:adjustRightInd w:val="0"/>
      <w:spacing w:line="315" w:lineRule="atLeast"/>
    </w:pPr>
    <w:rPr>
      <w:rFonts w:eastAsia="宋体" w:cs="黑体"/>
      <w:spacing w:val="-2"/>
      <w:kern w:val="0"/>
      <w:sz w:val="24"/>
    </w:rPr>
  </w:style>
  <w:style w:type="paragraph" w:customStyle="1" w:styleId="3198">
    <w:name w:val="报价书"/>
    <w:qFormat/>
    <w:uiPriority w:val="99"/>
    <w:rPr>
      <w:rFonts w:ascii="宋体" w:hAnsi="宋体" w:eastAsia="宋体" w:cs="Times New Roman"/>
      <w:kern w:val="2"/>
      <w:sz w:val="44"/>
      <w:szCs w:val="44"/>
      <w:lang w:val="en-US" w:eastAsia="zh-CN" w:bidi="ar-SA"/>
    </w:rPr>
  </w:style>
  <w:style w:type="paragraph" w:customStyle="1" w:styleId="3199">
    <w:name w:val="un"/>
    <w:basedOn w:val="1"/>
    <w:qFormat/>
    <w:uiPriority w:val="0"/>
    <w:pPr>
      <w:widowControl/>
      <w:spacing w:before="100" w:beforeAutospacing="1" w:after="100" w:afterAutospacing="1" w:line="450" w:lineRule="atLeast"/>
      <w:jc w:val="left"/>
    </w:pPr>
    <w:rPr>
      <w:rFonts w:ascii="宋体" w:hAnsi="宋体" w:eastAsia="宋体" w:cs="黑体"/>
      <w:color w:val="000000"/>
      <w:spacing w:val="-2"/>
      <w:kern w:val="0"/>
      <w:sz w:val="18"/>
      <w:szCs w:val="18"/>
    </w:rPr>
  </w:style>
  <w:style w:type="paragraph" w:customStyle="1" w:styleId="3200">
    <w:name w:val="标准"/>
    <w:basedOn w:val="1"/>
    <w:qFormat/>
    <w:uiPriority w:val="0"/>
    <w:pPr>
      <w:tabs>
        <w:tab w:val="left" w:pos="720"/>
      </w:tabs>
      <w:adjustRightInd w:val="0"/>
      <w:spacing w:line="312" w:lineRule="atLeast"/>
      <w:textAlignment w:val="baseline"/>
    </w:pPr>
    <w:rPr>
      <w:rFonts w:eastAsia="宋体"/>
      <w:kern w:val="0"/>
      <w:sz w:val="21"/>
    </w:rPr>
  </w:style>
  <w:style w:type="paragraph" w:customStyle="1" w:styleId="3201">
    <w:name w:val="样式 小四 段前: 12 磅 行距: 1.5 倍行距"/>
    <w:basedOn w:val="1"/>
    <w:qFormat/>
    <w:uiPriority w:val="0"/>
    <w:pPr>
      <w:ind w:firstLine="200" w:firstLineChars="200"/>
    </w:pPr>
    <w:rPr>
      <w:rFonts w:eastAsia="宋体" w:cs="黑体"/>
      <w:color w:val="FF0000"/>
      <w:spacing w:val="-2"/>
      <w:kern w:val="0"/>
      <w:sz w:val="24"/>
    </w:rPr>
  </w:style>
  <w:style w:type="paragraph" w:customStyle="1" w:styleId="3202">
    <w:name w:val="检索3"/>
    <w:basedOn w:val="3203"/>
    <w:qFormat/>
    <w:uiPriority w:val="0"/>
    <w:pPr>
      <w:ind w:left="737"/>
    </w:pPr>
    <w:rPr>
      <w:color w:val="800000"/>
    </w:rPr>
  </w:style>
  <w:style w:type="paragraph" w:customStyle="1" w:styleId="3203">
    <w:name w:val="检索1"/>
    <w:qFormat/>
    <w:uiPriority w:val="0"/>
    <w:pPr>
      <w:widowControl w:val="0"/>
      <w:kinsoku w:val="0"/>
      <w:wordWrap w:val="0"/>
      <w:overflowPunct w:val="0"/>
      <w:autoSpaceDE w:val="0"/>
      <w:autoSpaceDN w:val="0"/>
      <w:adjustRightInd w:val="0"/>
      <w:spacing w:line="240" w:lineRule="atLeast"/>
      <w:ind w:left="170" w:hanging="170"/>
      <w:jc w:val="both"/>
    </w:pPr>
    <w:rPr>
      <w:rFonts w:ascii="Times New Roman" w:hAnsi="Times New Roman" w:eastAsia="宋体" w:cs="Times New Roman"/>
      <w:color w:val="000000"/>
      <w:lang w:val="en-US" w:eastAsia="zh-CN" w:bidi="ar-SA"/>
    </w:rPr>
  </w:style>
  <w:style w:type="paragraph" w:customStyle="1" w:styleId="3204">
    <w:name w:val="样式 标题 4标题 14 + 加粗 无下划线 自动设置 段前: 3 磅 段后: 10 磅3"/>
    <w:basedOn w:val="7"/>
    <w:next w:val="2985"/>
    <w:qFormat/>
    <w:uiPriority w:val="0"/>
    <w:pPr>
      <w:keepLines w:val="0"/>
      <w:tabs>
        <w:tab w:val="left" w:pos="1680"/>
        <w:tab w:val="left" w:pos="2153"/>
        <w:tab w:val="clear" w:pos="4008"/>
      </w:tabs>
      <w:adjustRightInd w:val="0"/>
      <w:snapToGrid w:val="0"/>
      <w:spacing w:before="60" w:after="200" w:line="240" w:lineRule="auto"/>
      <w:ind w:left="0" w:firstLine="0"/>
      <w:jc w:val="both"/>
    </w:pPr>
    <w:rPr>
      <w:rFonts w:ascii="Times New Roman" w:hAnsi="Times New Roman" w:eastAsia="宋体" w:cs="宋体"/>
      <w:bCs/>
      <w:color w:val="auto"/>
      <w:spacing w:val="-2"/>
      <w:szCs w:val="24"/>
    </w:rPr>
  </w:style>
  <w:style w:type="paragraph" w:customStyle="1" w:styleId="3205">
    <w:name w:val="content-ft1"/>
    <w:basedOn w:val="1"/>
    <w:qFormat/>
    <w:uiPriority w:val="0"/>
    <w:pPr>
      <w:widowControl/>
      <w:pBdr>
        <w:top w:val="single" w:color="DDDDDD" w:sz="6" w:space="12"/>
        <w:left w:val="single" w:color="DDDDDD" w:sz="6" w:space="15"/>
        <w:bottom w:val="single" w:color="DDDDDD" w:sz="6" w:space="8"/>
        <w:right w:val="single" w:color="DDDDDD" w:sz="6" w:space="23"/>
      </w:pBdr>
      <w:shd w:val="clear" w:color="auto" w:fill="FFFFFF"/>
      <w:spacing w:before="60"/>
      <w:ind w:right="45"/>
      <w:jc w:val="left"/>
    </w:pPr>
    <w:rPr>
      <w:rFonts w:ascii="宋体" w:hAnsi="Calibri" w:eastAsia="宋体" w:cs="宋体"/>
      <w:spacing w:val="-2"/>
      <w:kern w:val="0"/>
      <w:sz w:val="18"/>
      <w:szCs w:val="18"/>
    </w:rPr>
  </w:style>
  <w:style w:type="paragraph" w:customStyle="1" w:styleId="3206">
    <w:name w:val="soqiang"/>
    <w:basedOn w:val="1"/>
    <w:qFormat/>
    <w:uiPriority w:val="0"/>
    <w:pPr>
      <w:pBdr>
        <w:top w:val="single" w:color="auto" w:sz="4" w:space="1"/>
        <w:left w:val="single" w:color="auto" w:sz="4" w:space="4"/>
        <w:bottom w:val="single" w:color="auto" w:sz="4" w:space="1"/>
        <w:right w:val="single" w:color="auto" w:sz="4" w:space="4"/>
      </w:pBdr>
      <w:spacing w:line="360" w:lineRule="auto"/>
      <w:ind w:firstLine="200" w:firstLineChars="200"/>
    </w:pPr>
    <w:rPr>
      <w:rFonts w:eastAsia="宋体" w:cs="黑体"/>
      <w:spacing w:val="-2"/>
      <w:kern w:val="0"/>
      <w:szCs w:val="21"/>
    </w:rPr>
  </w:style>
  <w:style w:type="paragraph" w:customStyle="1" w:styleId="3207">
    <w:name w:val="样式 (符号) Bookman Old Style 小四 首行缩进:  0.85 厘米 行距: 1.5 倍行距"/>
    <w:basedOn w:val="1"/>
    <w:qFormat/>
    <w:uiPriority w:val="0"/>
    <w:pPr>
      <w:ind w:firstLine="482"/>
    </w:pPr>
    <w:rPr>
      <w:rFonts w:eastAsia="宋体" w:cs="黑体"/>
      <w:spacing w:val="-2"/>
      <w:kern w:val="0"/>
      <w:sz w:val="24"/>
    </w:rPr>
  </w:style>
  <w:style w:type="paragraph" w:customStyle="1" w:styleId="3208">
    <w:name w:val="CY－正文"/>
    <w:basedOn w:val="1"/>
    <w:qFormat/>
    <w:uiPriority w:val="0"/>
    <w:pPr>
      <w:spacing w:line="360" w:lineRule="auto"/>
      <w:ind w:firstLine="200" w:firstLineChars="200"/>
    </w:pPr>
    <w:rPr>
      <w:rFonts w:eastAsia="宋体" w:cs="黑体"/>
      <w:spacing w:val="-2"/>
      <w:kern w:val="0"/>
    </w:rPr>
  </w:style>
  <w:style w:type="paragraph" w:customStyle="1" w:styleId="3209">
    <w:name w:val="样式 正文首行缩进 2 + 首行缩进:  2 字符 段前: 0.5 行 段后: 0.5 行"/>
    <w:basedOn w:val="87"/>
    <w:qFormat/>
    <w:uiPriority w:val="0"/>
    <w:pPr>
      <w:spacing w:after="0" w:line="300" w:lineRule="auto"/>
      <w:ind w:left="0" w:leftChars="0" w:firstLine="0" w:firstLineChars="0"/>
    </w:pPr>
    <w:rPr>
      <w:rFonts w:ascii="宋体" w:hAnsi="宋体" w:eastAsia="宋体" w:cs="宋体"/>
      <w:sz w:val="18"/>
      <w:szCs w:val="24"/>
    </w:rPr>
  </w:style>
  <w:style w:type="paragraph" w:customStyle="1" w:styleId="3210">
    <w:name w:val="8.2.2.1"/>
    <w:basedOn w:val="1"/>
    <w:qFormat/>
    <w:uiPriority w:val="0"/>
    <w:pPr>
      <w:tabs>
        <w:tab w:val="left" w:pos="0"/>
        <w:tab w:val="left" w:pos="425"/>
      </w:tabs>
      <w:spacing w:line="312" w:lineRule="auto"/>
      <w:ind w:left="425" w:hanging="425"/>
    </w:pPr>
    <w:rPr>
      <w:rFonts w:eastAsia="宋体" w:cs="黑体"/>
      <w:spacing w:val="-2"/>
      <w:kern w:val="0"/>
      <w:sz w:val="24"/>
    </w:rPr>
  </w:style>
  <w:style w:type="paragraph" w:customStyle="1" w:styleId="3211">
    <w:name w:val="Char Char Char1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212">
    <w:name w:val="newstd"/>
    <w:basedOn w:val="1"/>
    <w:qFormat/>
    <w:uiPriority w:val="0"/>
    <w:pPr>
      <w:spacing w:before="100" w:beforeAutospacing="1" w:after="100" w:afterAutospacing="1"/>
    </w:pPr>
    <w:rPr>
      <w:rFonts w:ascii="宋体" w:hAnsi="Calibri" w:eastAsia="宋体" w:cs="黑体"/>
      <w:color w:val="DE1808"/>
      <w:spacing w:val="-2"/>
      <w:kern w:val="0"/>
      <w:sz w:val="24"/>
    </w:rPr>
  </w:style>
  <w:style w:type="paragraph" w:customStyle="1" w:styleId="3213">
    <w:name w:val="2级别"/>
    <w:basedOn w:val="1029"/>
    <w:qFormat/>
    <w:uiPriority w:val="0"/>
    <w:pPr>
      <w:keepNext/>
      <w:keepLines/>
      <w:tabs>
        <w:tab w:val="left" w:pos="576"/>
      </w:tabs>
      <w:spacing w:before="120" w:after="120" w:line="360" w:lineRule="auto"/>
      <w:ind w:left="840" w:hanging="420"/>
    </w:pPr>
    <w:rPr>
      <w:rFonts w:hint="eastAsia" w:ascii="黑体" w:hAnsi="Arial" w:eastAsia="黑体"/>
      <w:color w:val="000000"/>
      <w:spacing w:val="-2"/>
      <w:szCs w:val="28"/>
    </w:rPr>
  </w:style>
  <w:style w:type="paragraph" w:customStyle="1" w:styleId="3214">
    <w:name w:val="Char Char Char1 Char Char Char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215">
    <w:name w:val="relation-control-enter-open2"/>
    <w:basedOn w:val="1"/>
    <w:qFormat/>
    <w:uiPriority w:val="0"/>
    <w:pPr>
      <w:widowControl/>
      <w:spacing w:before="100" w:beforeAutospacing="1" w:after="100" w:afterAutospacing="1"/>
      <w:jc w:val="left"/>
    </w:pPr>
    <w:rPr>
      <w:rFonts w:ascii="宋体" w:hAnsi="Calibri" w:eastAsia="宋体" w:cs="宋体"/>
      <w:vanish/>
      <w:spacing w:val="-2"/>
      <w:kern w:val="0"/>
      <w:sz w:val="24"/>
      <w:szCs w:val="21"/>
    </w:rPr>
  </w:style>
  <w:style w:type="paragraph" w:customStyle="1" w:styleId="3216">
    <w:name w:val="b-ent-section-expand"/>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217">
    <w:name w:val="正文文本缩进 212"/>
    <w:basedOn w:val="1"/>
    <w:qFormat/>
    <w:uiPriority w:val="0"/>
    <w:pPr>
      <w:adjustRightInd w:val="0"/>
      <w:spacing w:after="120" w:line="400" w:lineRule="exact"/>
      <w:ind w:firstLine="200" w:firstLineChars="200"/>
    </w:pPr>
    <w:rPr>
      <w:rFonts w:ascii="宋体" w:hAnsi="Calibri" w:eastAsia="宋体" w:cs="黑体"/>
      <w:spacing w:val="16"/>
      <w:kern w:val="0"/>
      <w:sz w:val="24"/>
    </w:rPr>
  </w:style>
  <w:style w:type="paragraph" w:customStyle="1" w:styleId="3218">
    <w:name w:val="样式 样式 样式 样式 样式 样式 标题 2 + 段前: 1 行 段后: 1 行 + 段前: 1 行 段后: 1 行 + Tim..."/>
    <w:basedOn w:val="1"/>
    <w:qFormat/>
    <w:uiPriority w:val="99"/>
    <w:pPr>
      <w:keepNext/>
      <w:keepLines/>
      <w:spacing w:before="120" w:beforeLines="100" w:after="120" w:afterLines="100"/>
      <w:outlineLvl w:val="1"/>
    </w:pPr>
    <w:rPr>
      <w:rFonts w:eastAsia="宋体" w:cs="宋体"/>
      <w:b/>
      <w:bCs/>
      <w:kern w:val="0"/>
      <w:sz w:val="32"/>
    </w:rPr>
  </w:style>
  <w:style w:type="paragraph" w:customStyle="1" w:styleId="3219">
    <w:name w:val="CM87"/>
    <w:basedOn w:val="762"/>
    <w:next w:val="762"/>
    <w:qFormat/>
    <w:uiPriority w:val="0"/>
    <w:pPr>
      <w:spacing w:line="468" w:lineRule="atLeast"/>
    </w:pPr>
    <w:rPr>
      <w:rFonts w:ascii="仿宋_GB2312" w:hAnsi="Calibri" w:eastAsia="仿宋_GB2312" w:cs="仿宋_GB2312"/>
      <w:kern w:val="2"/>
      <w:sz w:val="24"/>
      <w:szCs w:val="24"/>
    </w:rPr>
  </w:style>
  <w:style w:type="paragraph" w:customStyle="1" w:styleId="3220">
    <w:name w:val="样式 样式 标题 3 + 黑体 四号 段前: 0 磅 段后: 0 磅 行距: 1.5 倍行距 + 段前: 0.5 行"/>
    <w:basedOn w:val="1"/>
    <w:qFormat/>
    <w:uiPriority w:val="0"/>
    <w:pPr>
      <w:keepNext/>
      <w:keepLines/>
      <w:spacing w:beforeLines="50"/>
      <w:outlineLvl w:val="2"/>
    </w:pPr>
    <w:rPr>
      <w:rFonts w:ascii="黑体" w:hAnsi="Calibri" w:eastAsia="黑体" w:cs="宋体"/>
      <w:b/>
      <w:bCs/>
      <w:spacing w:val="-2"/>
      <w:kern w:val="0"/>
      <w:sz w:val="24"/>
      <w:lang w:val="zh-CN"/>
    </w:rPr>
  </w:style>
  <w:style w:type="paragraph" w:customStyle="1" w:styleId="3221">
    <w:name w:val="样式 标题 2标题 21标题 121标题 1.1节标题 1.14.1 + Arial 四号 段前: 0.5 行..."/>
    <w:basedOn w:val="4"/>
    <w:qFormat/>
    <w:uiPriority w:val="0"/>
    <w:pPr>
      <w:tabs>
        <w:tab w:val="left" w:pos="1476"/>
        <w:tab w:val="clear" w:pos="567"/>
      </w:tabs>
      <w:spacing w:before="0" w:beforeLines="50" w:after="0" w:line="360" w:lineRule="auto"/>
      <w:ind w:left="840" w:hanging="420"/>
      <w:jc w:val="left"/>
    </w:pPr>
    <w:rPr>
      <w:rFonts w:ascii="Arial" w:hAnsi="宋体" w:eastAsia="宋体" w:cs="宋体"/>
      <w:bCs/>
      <w:spacing w:val="-2"/>
      <w:kern w:val="0"/>
      <w:sz w:val="24"/>
    </w:rPr>
  </w:style>
  <w:style w:type="paragraph" w:customStyle="1" w:styleId="3222">
    <w:name w:val="b-ent-toc-bottom"/>
    <w:basedOn w:val="1"/>
    <w:qFormat/>
    <w:uiPriority w:val="0"/>
    <w:pPr>
      <w:widowControl/>
      <w:pBdr>
        <w:top w:val="single" w:color="FFFFFF" w:sz="48" w:space="0"/>
      </w:pBdr>
      <w:shd w:val="clear" w:color="auto" w:fill="F9F9F9"/>
      <w:spacing w:before="100" w:beforeAutospacing="1" w:after="100" w:afterAutospacing="1"/>
      <w:jc w:val="left"/>
    </w:pPr>
    <w:rPr>
      <w:rFonts w:ascii="宋体" w:hAnsi="Calibri" w:eastAsia="宋体" w:cs="宋体"/>
      <w:spacing w:val="-2"/>
      <w:kern w:val="0"/>
      <w:sz w:val="24"/>
      <w:szCs w:val="21"/>
    </w:rPr>
  </w:style>
  <w:style w:type="paragraph" w:customStyle="1" w:styleId="3223">
    <w:name w:val="Char Char Char Char Char Char Char Char Char Char4"/>
    <w:basedOn w:val="1"/>
    <w:qFormat/>
    <w:uiPriority w:val="0"/>
    <w:pPr>
      <w:spacing w:line="360" w:lineRule="auto"/>
      <w:ind w:firstLine="200" w:firstLineChars="200"/>
    </w:pPr>
    <w:rPr>
      <w:rFonts w:ascii="宋体" w:hAnsi="宋体" w:eastAsia="宋体" w:cs="宋体"/>
      <w:sz w:val="24"/>
      <w:szCs w:val="24"/>
    </w:rPr>
  </w:style>
  <w:style w:type="paragraph" w:customStyle="1" w:styleId="3224">
    <w:name w:val="ref"/>
    <w:basedOn w:val="1"/>
    <w:qFormat/>
    <w:uiPriority w:val="0"/>
    <w:pPr>
      <w:widowControl/>
      <w:pBdr>
        <w:top w:val="dashed" w:color="CCCCCC" w:sz="6" w:space="8"/>
      </w:pBdr>
      <w:spacing w:before="100" w:beforeAutospacing="1" w:after="100" w:afterAutospacing="1"/>
      <w:jc w:val="left"/>
    </w:pPr>
    <w:rPr>
      <w:rFonts w:ascii="宋体" w:hAnsi="Calibri" w:eastAsia="宋体" w:cs="宋体"/>
      <w:spacing w:val="-2"/>
      <w:kern w:val="0"/>
      <w:sz w:val="24"/>
      <w:szCs w:val="21"/>
    </w:rPr>
  </w:style>
  <w:style w:type="paragraph" w:customStyle="1" w:styleId="3225">
    <w:name w:val="Char Char Char Char Char Char Char Char Char Char Char Char1"/>
    <w:basedOn w:val="1"/>
    <w:qFormat/>
    <w:uiPriority w:val="0"/>
    <w:pPr>
      <w:spacing w:line="360" w:lineRule="auto"/>
      <w:ind w:firstLine="200" w:firstLineChars="200"/>
    </w:pPr>
    <w:rPr>
      <w:rFonts w:eastAsia="宋体"/>
      <w:sz w:val="21"/>
      <w:szCs w:val="24"/>
    </w:rPr>
  </w:style>
  <w:style w:type="paragraph" w:customStyle="1" w:styleId="3226">
    <w:name w:val="mstheme-vert-navtxt-gs"/>
    <w:basedOn w:val="1"/>
    <w:qFormat/>
    <w:uiPriority w:val="0"/>
    <w:pPr>
      <w:spacing w:before="100" w:beforeAutospacing="1" w:after="100" w:afterAutospacing="1"/>
    </w:pPr>
    <w:rPr>
      <w:rFonts w:eastAsia="宋体" w:cs="黑体"/>
      <w:color w:val="000000"/>
      <w:spacing w:val="-2"/>
      <w:kern w:val="0"/>
      <w:sz w:val="24"/>
    </w:rPr>
  </w:style>
  <w:style w:type="paragraph" w:customStyle="1" w:styleId="3227">
    <w:name w:val="可研-表格正文"/>
    <w:basedOn w:val="1"/>
    <w:qFormat/>
    <w:uiPriority w:val="0"/>
    <w:rPr>
      <w:rFonts w:ascii="宋体" w:eastAsia="宋体"/>
      <w:sz w:val="24"/>
      <w:szCs w:val="24"/>
    </w:rPr>
  </w:style>
  <w:style w:type="paragraph" w:customStyle="1" w:styleId="3228">
    <w:name w:val="b-btn-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229">
    <w:name w:val="三级无标题条"/>
    <w:basedOn w:val="1"/>
    <w:qFormat/>
    <w:uiPriority w:val="0"/>
    <w:pPr>
      <w:tabs>
        <w:tab w:val="left" w:pos="1008"/>
      </w:tabs>
      <w:ind w:left="1008" w:hanging="1008"/>
    </w:pPr>
    <w:rPr>
      <w:rFonts w:eastAsia="宋体" w:cs="黑体"/>
      <w:spacing w:val="-2"/>
      <w:kern w:val="0"/>
    </w:rPr>
  </w:style>
  <w:style w:type="paragraph" w:customStyle="1" w:styleId="3230">
    <w:name w:val="dot"/>
    <w:basedOn w:val="1"/>
    <w:qFormat/>
    <w:uiPriority w:val="0"/>
    <w:pPr>
      <w:widowControl/>
      <w:shd w:val="clear" w:color="auto" w:fill="BCBCBC"/>
      <w:spacing w:after="75"/>
      <w:ind w:right="75"/>
      <w:jc w:val="left"/>
    </w:pPr>
    <w:rPr>
      <w:rFonts w:ascii="宋体" w:hAnsi="Calibri" w:eastAsia="宋体" w:cs="宋体"/>
      <w:spacing w:val="-2"/>
      <w:kern w:val="0"/>
      <w:sz w:val="24"/>
      <w:szCs w:val="21"/>
    </w:rPr>
  </w:style>
  <w:style w:type="paragraph" w:customStyle="1" w:styleId="3231">
    <w:name w:val="正文61"/>
    <w:basedOn w:val="1"/>
    <w:qFormat/>
    <w:uiPriority w:val="0"/>
    <w:pPr>
      <w:adjustRightInd w:val="0"/>
      <w:spacing w:line="315" w:lineRule="atLeast"/>
      <w:jc w:val="left"/>
    </w:pPr>
    <w:rPr>
      <w:rFonts w:ascii="宋体" w:hAnsi="Calibri" w:eastAsia="宋体" w:cs="黑体"/>
      <w:spacing w:val="-2"/>
      <w:kern w:val="0"/>
      <w:sz w:val="24"/>
    </w:rPr>
  </w:style>
  <w:style w:type="paragraph" w:customStyle="1" w:styleId="3232">
    <w:name w:val="样式 样式 一大点 + 四号 段前: 0.5 行 段后: 0.5 行 + 段前: 0.5 行 段后: 0.5 行"/>
    <w:basedOn w:val="1"/>
    <w:qFormat/>
    <w:uiPriority w:val="0"/>
    <w:pPr>
      <w:keepNext/>
      <w:keepLines/>
      <w:widowControl/>
      <w:overflowPunct w:val="0"/>
      <w:adjustRightInd w:val="0"/>
      <w:snapToGrid w:val="0"/>
      <w:spacing w:beforeLines="50"/>
      <w:ind w:firstLine="200" w:firstLineChars="200"/>
      <w:jc w:val="left"/>
      <w:outlineLvl w:val="5"/>
    </w:pPr>
    <w:rPr>
      <w:rFonts w:ascii="Arial" w:hAnsi="Arial" w:eastAsia="黑体" w:cs="宋体"/>
      <w:b/>
      <w:bCs/>
      <w:spacing w:val="20"/>
      <w:kern w:val="0"/>
    </w:rPr>
  </w:style>
  <w:style w:type="paragraph" w:customStyle="1" w:styleId="3233">
    <w:name w:val="dialog-content-inner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234">
    <w:name w:val="表题1"/>
    <w:next w:val="7"/>
    <w:qFormat/>
    <w:uiPriority w:val="0"/>
    <w:pPr>
      <w:keepNext/>
      <w:keepLines/>
      <w:widowControl w:val="0"/>
      <w:topLinePunct/>
      <w:autoSpaceDE w:val="0"/>
      <w:autoSpaceDN w:val="0"/>
      <w:adjustRightInd w:val="0"/>
      <w:spacing w:line="360" w:lineRule="auto"/>
      <w:jc w:val="center"/>
    </w:pPr>
    <w:rPr>
      <w:rFonts w:ascii="Times New Roman" w:hAnsi="Times New Roman" w:eastAsia="仿宋体" w:cs="Times New Roman"/>
      <w:sz w:val="28"/>
      <w:lang w:val="en-US" w:eastAsia="zh-CN" w:bidi="ar-SA"/>
    </w:rPr>
  </w:style>
  <w:style w:type="paragraph" w:customStyle="1" w:styleId="3235">
    <w:name w:val="正文21"/>
    <w:basedOn w:val="1"/>
    <w:qFormat/>
    <w:uiPriority w:val="0"/>
    <w:pPr>
      <w:adjustRightInd w:val="0"/>
      <w:spacing w:line="500" w:lineRule="exact"/>
      <w:jc w:val="center"/>
      <w:outlineLvl w:val="0"/>
    </w:pPr>
    <w:rPr>
      <w:rFonts w:eastAsia="楷体_GB2312" w:cs="黑体"/>
      <w:spacing w:val="-2"/>
      <w:kern w:val="0"/>
    </w:rPr>
  </w:style>
  <w:style w:type="paragraph" w:customStyle="1" w:styleId="3236">
    <w:name w:val="标题1YHY"/>
    <w:basedOn w:val="2385"/>
    <w:next w:val="2767"/>
    <w:qFormat/>
    <w:uiPriority w:val="0"/>
    <w:pPr>
      <w:widowControl/>
      <w:tabs>
        <w:tab w:val="left" w:pos="360"/>
        <w:tab w:val="left" w:pos="1080"/>
      </w:tabs>
      <w:spacing w:before="0" w:beforeLines="50" w:after="0" w:line="360" w:lineRule="auto"/>
      <w:jc w:val="left"/>
    </w:pPr>
    <w:rPr>
      <w:rFonts w:ascii="Times New Roman" w:hAnsi="Times New Roman" w:cs="宋体"/>
      <w:b/>
    </w:rPr>
  </w:style>
  <w:style w:type="paragraph" w:customStyle="1" w:styleId="3237">
    <w:name w:val="正文首行缩进0.85"/>
    <w:basedOn w:val="1"/>
    <w:qFormat/>
    <w:uiPriority w:val="0"/>
    <w:pPr>
      <w:tabs>
        <w:tab w:val="left" w:pos="900"/>
      </w:tabs>
      <w:ind w:firstLine="200" w:firstLineChars="200"/>
    </w:pPr>
    <w:rPr>
      <w:rFonts w:eastAsia="宋体" w:cs="黑体"/>
      <w:color w:val="000000"/>
      <w:spacing w:val="-2"/>
      <w:kern w:val="0"/>
      <w:sz w:val="24"/>
      <w:lang w:val="zh-CN"/>
    </w:rPr>
  </w:style>
  <w:style w:type="paragraph" w:customStyle="1" w:styleId="3238">
    <w:name w:val="正文缩进2字符"/>
    <w:basedOn w:val="1"/>
    <w:qFormat/>
    <w:uiPriority w:val="0"/>
    <w:pPr>
      <w:autoSpaceDE w:val="0"/>
      <w:autoSpaceDN w:val="0"/>
      <w:adjustRightInd w:val="0"/>
      <w:snapToGrid w:val="0"/>
      <w:ind w:firstLine="200" w:firstLineChars="200"/>
    </w:pPr>
    <w:rPr>
      <w:rFonts w:eastAsia="宋体" w:cs="黑体"/>
      <w:spacing w:val="-2"/>
      <w:kern w:val="0"/>
      <w:sz w:val="24"/>
    </w:rPr>
  </w:style>
  <w:style w:type="paragraph" w:customStyle="1" w:styleId="3239">
    <w:name w:val="样式129"/>
    <w:basedOn w:val="1"/>
    <w:qFormat/>
    <w:uiPriority w:val="0"/>
    <w:pPr>
      <w:adjustRightInd w:val="0"/>
      <w:spacing w:line="260" w:lineRule="exact"/>
      <w:jc w:val="center"/>
    </w:pPr>
    <w:rPr>
      <w:rFonts w:eastAsia="宋体" w:cs="黑体"/>
      <w:bCs/>
      <w:color w:val="000000"/>
      <w:spacing w:val="-2"/>
      <w:kern w:val="0"/>
      <w:sz w:val="20"/>
      <w:szCs w:val="13"/>
    </w:rPr>
  </w:style>
  <w:style w:type="paragraph" w:customStyle="1" w:styleId="3240">
    <w:name w:val="表格32"/>
    <w:basedOn w:val="1"/>
    <w:qFormat/>
    <w:uiPriority w:val="0"/>
    <w:pPr>
      <w:adjustRightInd w:val="0"/>
      <w:ind w:firstLine="200" w:firstLineChars="200"/>
      <w:jc w:val="center"/>
    </w:pPr>
    <w:rPr>
      <w:rFonts w:cs="黑体"/>
      <w:spacing w:val="-2"/>
      <w:kern w:val="0"/>
      <w:sz w:val="24"/>
    </w:rPr>
  </w:style>
  <w:style w:type="paragraph" w:customStyle="1" w:styleId="3241">
    <w:name w:val="reader-word-layer reader-word-s2-2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242">
    <w:name w:val="我的标题4"/>
    <w:basedOn w:val="746"/>
    <w:qFormat/>
    <w:uiPriority w:val="0"/>
    <w:pPr>
      <w:ind w:firstLine="0" w:firstLineChars="0"/>
    </w:pPr>
    <w:rPr>
      <w:rFonts w:hint="eastAsia" w:ascii="宋体" w:hAnsi="宋体" w:eastAsia="宋体" w:cs="宋体"/>
      <w:b/>
      <w:szCs w:val="20"/>
    </w:rPr>
  </w:style>
  <w:style w:type="paragraph" w:customStyle="1" w:styleId="3243">
    <w:name w:val="4级标题"/>
    <w:basedOn w:val="1390"/>
    <w:qFormat/>
    <w:uiPriority w:val="0"/>
    <w:pPr>
      <w:spacing w:line="240" w:lineRule="auto"/>
      <w:ind w:firstLine="0" w:firstLineChars="0"/>
    </w:pPr>
    <w:rPr>
      <w:rFonts w:hAnsi="Calibri" w:cs="隶书"/>
      <w:spacing w:val="-2"/>
      <w:kern w:val="0"/>
      <w:sz w:val="28"/>
      <w:szCs w:val="21"/>
    </w:rPr>
  </w:style>
  <w:style w:type="paragraph" w:customStyle="1" w:styleId="3244">
    <w:name w:val="题注-彭林"/>
    <w:basedOn w:val="22"/>
    <w:qFormat/>
    <w:uiPriority w:val="0"/>
    <w:pPr>
      <w:keepNext/>
      <w:adjustRightInd w:val="0"/>
      <w:snapToGrid w:val="0"/>
      <w:spacing w:before="120" w:after="120" w:line="360" w:lineRule="auto"/>
      <w:jc w:val="center"/>
    </w:pPr>
    <w:rPr>
      <w:rFonts w:ascii="Times New Roman" w:hAnsi="Times New Roman" w:eastAsia="宋体"/>
      <w:color w:val="000000"/>
      <w:sz w:val="24"/>
      <w:szCs w:val="24"/>
    </w:rPr>
  </w:style>
  <w:style w:type="paragraph" w:customStyle="1" w:styleId="3245">
    <w:name w:val="Char Char4 Char Char Char Char"/>
    <w:basedOn w:val="1"/>
    <w:qFormat/>
    <w:uiPriority w:val="0"/>
    <w:pPr>
      <w:ind w:firstLine="200" w:firstLineChars="200"/>
    </w:pPr>
    <w:rPr>
      <w:rFonts w:ascii="宋体" w:hAnsi="Calibri" w:eastAsia="宋体" w:cs="宋体"/>
      <w:spacing w:val="-2"/>
      <w:kern w:val="0"/>
      <w:sz w:val="24"/>
    </w:rPr>
  </w:style>
  <w:style w:type="paragraph" w:customStyle="1" w:styleId="3246">
    <w:name w:val="样式 目录 1 + 首行缩进:  1.28 字符"/>
    <w:basedOn w:val="60"/>
    <w:qFormat/>
    <w:uiPriority w:val="99"/>
    <w:pPr>
      <w:widowControl/>
      <w:tabs>
        <w:tab w:val="right" w:leader="dot" w:pos="8296"/>
        <w:tab w:val="clear" w:pos="1120"/>
        <w:tab w:val="clear" w:pos="8767"/>
      </w:tabs>
      <w:ind w:left="1" w:leftChars="-199" w:hanging="265" w:hangingChars="265"/>
      <w:jc w:val="both"/>
    </w:pPr>
    <w:rPr>
      <w:rFonts w:ascii="Times New Roman" w:hAnsi="Times New Roman" w:cs="宋体"/>
      <w:bCs w:val="0"/>
      <w:caps w:val="0"/>
      <w:kern w:val="44"/>
      <w:szCs w:val="20"/>
    </w:rPr>
  </w:style>
  <w:style w:type="paragraph" w:customStyle="1" w:styleId="3247">
    <w:name w:val="正文31"/>
    <w:qFormat/>
    <w:uiPriority w:val="0"/>
    <w:pPr>
      <w:widowControl w:val="0"/>
      <w:adjustRightInd w:val="0"/>
      <w:spacing w:line="315" w:lineRule="atLeast"/>
    </w:pPr>
    <w:rPr>
      <w:rFonts w:ascii="宋体" w:hAnsi="Times New Roman" w:eastAsia="宋体" w:cs="Times New Roman"/>
      <w:sz w:val="24"/>
      <w:lang w:val="en-US" w:eastAsia="zh-CN" w:bidi="ar-SA"/>
    </w:rPr>
  </w:style>
  <w:style w:type="paragraph" w:customStyle="1" w:styleId="3248">
    <w:name w:val="box2-inn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249">
    <w:name w:val="holder21"/>
    <w:basedOn w:val="1"/>
    <w:qFormat/>
    <w:uiPriority w:val="0"/>
    <w:pPr>
      <w:widowControl/>
      <w:pBdr>
        <w:left w:val="single" w:color="DEDFE1" w:sz="6" w:space="0"/>
        <w:bottom w:val="single" w:color="DEDFE1" w:sz="6" w:space="15"/>
        <w:right w:val="single" w:color="DEDFE1" w:sz="6" w:space="0"/>
      </w:pBdr>
      <w:spacing w:after="150" w:line="450" w:lineRule="atLeast"/>
      <w:ind w:left="60" w:right="60"/>
      <w:jc w:val="left"/>
    </w:pPr>
    <w:rPr>
      <w:rFonts w:ascii="宋体" w:hAnsi="Calibri" w:eastAsia="宋体" w:cs="宋体"/>
      <w:b/>
      <w:bCs/>
      <w:vanish/>
      <w:spacing w:val="-2"/>
      <w:kern w:val="0"/>
      <w:sz w:val="24"/>
      <w:szCs w:val="21"/>
    </w:rPr>
  </w:style>
  <w:style w:type="paragraph" w:customStyle="1" w:styleId="3250">
    <w:name w:val="样式 标题 3标题 13 + 黑色 段前: 4 磅 段后: 10 磅 行距: 单倍行距"/>
    <w:basedOn w:val="1"/>
    <w:qFormat/>
    <w:uiPriority w:val="0"/>
    <w:rPr>
      <w:rFonts w:eastAsia="宋体" w:cs="黑体"/>
      <w:spacing w:val="-2"/>
      <w:kern w:val="0"/>
    </w:rPr>
  </w:style>
  <w:style w:type="paragraph" w:customStyle="1" w:styleId="3251">
    <w:name w:val="小标题7"/>
    <w:basedOn w:val="5"/>
    <w:qFormat/>
    <w:uiPriority w:val="0"/>
    <w:pPr>
      <w:tabs>
        <w:tab w:val="left" w:pos="3874"/>
      </w:tabs>
      <w:spacing w:beforeLines="20" w:line="240" w:lineRule="auto"/>
      <w:ind w:left="3874" w:right="567" w:firstLine="200" w:firstLineChars="200"/>
    </w:pPr>
    <w:rPr>
      <w:rFonts w:hint="eastAsia" w:ascii="Calibri" w:hAnsi="Calibri"/>
      <w:spacing w:val="0"/>
      <w:sz w:val="28"/>
      <w:szCs w:val="22"/>
    </w:rPr>
  </w:style>
  <w:style w:type="paragraph" w:customStyle="1" w:styleId="3252">
    <w:name w:val="页面"/>
    <w:qFormat/>
    <w:uiPriority w:val="0"/>
    <w:pPr>
      <w:widowControl w:val="0"/>
      <w:adjustRightInd w:val="0"/>
      <w:jc w:val="center"/>
    </w:pPr>
    <w:rPr>
      <w:rFonts w:ascii="Times New Roman" w:hAnsi="Times New Roman" w:eastAsia="宋体" w:cs="Times New Roman"/>
      <w:sz w:val="28"/>
      <w:lang w:val="en-US" w:eastAsia="zh-CN" w:bidi="ar-SA"/>
    </w:rPr>
  </w:style>
  <w:style w:type="paragraph" w:customStyle="1" w:styleId="3253">
    <w:name w:val="注："/>
    <w:next w:val="7"/>
    <w:qFormat/>
    <w:uiPriority w:val="0"/>
    <w:pPr>
      <w:widowControl w:val="0"/>
      <w:tabs>
        <w:tab w:val="left" w:pos="303"/>
        <w:tab w:val="left" w:pos="480"/>
      </w:tabs>
      <w:autoSpaceDE w:val="0"/>
      <w:autoSpaceDN w:val="0"/>
      <w:ind w:left="480" w:hanging="480"/>
      <w:jc w:val="both"/>
    </w:pPr>
    <w:rPr>
      <w:rFonts w:ascii="宋体" w:hAnsi="Times New Roman" w:eastAsia="宋体" w:cs="Times New Roman"/>
      <w:sz w:val="18"/>
      <w:lang w:val="en-US" w:eastAsia="zh-CN" w:bidi="ar-SA"/>
    </w:rPr>
  </w:style>
  <w:style w:type="paragraph" w:customStyle="1" w:styleId="3254">
    <w:name w:val="Char Char Char Char Char Char Char Char Char Char Char Char Char Char Char Char2"/>
    <w:basedOn w:val="1"/>
    <w:qFormat/>
    <w:uiPriority w:val="0"/>
    <w:pPr>
      <w:spacing w:line="360" w:lineRule="auto"/>
      <w:ind w:firstLine="200" w:firstLineChars="200"/>
    </w:pPr>
    <w:rPr>
      <w:rFonts w:ascii="宋体" w:hAnsi="宋体" w:eastAsia="宋体" w:cs="宋体"/>
      <w:sz w:val="24"/>
      <w:szCs w:val="24"/>
    </w:rPr>
  </w:style>
  <w:style w:type="paragraph" w:customStyle="1" w:styleId="3255">
    <w:name w:val="标题12"/>
    <w:basedOn w:val="3"/>
    <w:next w:val="5"/>
    <w:qFormat/>
    <w:uiPriority w:val="0"/>
    <w:pPr>
      <w:spacing w:before="156" w:beforeLines="50" w:after="312" w:afterLines="100" w:line="360" w:lineRule="auto"/>
      <w:ind w:left="432" w:hanging="432"/>
    </w:pPr>
    <w:rPr>
      <w:bCs/>
      <w:sz w:val="32"/>
      <w:szCs w:val="44"/>
    </w:rPr>
  </w:style>
  <w:style w:type="paragraph" w:customStyle="1" w:styleId="3256">
    <w:name w:val="样式 (西文) 仿宋_GB2312 (中文) 仿宋_GB2312"/>
    <w:basedOn w:val="1"/>
    <w:qFormat/>
    <w:uiPriority w:val="0"/>
    <w:pPr>
      <w:spacing w:line="300" w:lineRule="auto"/>
    </w:pPr>
    <w:rPr>
      <w:rFonts w:ascii="仿宋_GB2312" w:hAnsi="Calibri" w:cs="黑体"/>
      <w:spacing w:val="-2"/>
      <w:kern w:val="0"/>
      <w:szCs w:val="30"/>
    </w:rPr>
  </w:style>
  <w:style w:type="paragraph" w:customStyle="1" w:styleId="3257">
    <w:name w:val="lemma-top-link-divider"/>
    <w:basedOn w:val="1"/>
    <w:qFormat/>
    <w:uiPriority w:val="0"/>
    <w:pPr>
      <w:widowControl/>
      <w:pBdr>
        <w:left w:val="dotted" w:color="808080" w:sz="6" w:space="0"/>
      </w:pBdr>
      <w:spacing w:before="100" w:beforeAutospacing="1" w:after="100" w:afterAutospacing="1"/>
      <w:jc w:val="left"/>
    </w:pPr>
    <w:rPr>
      <w:rFonts w:ascii="宋体" w:hAnsi="Calibri" w:eastAsia="宋体" w:cs="宋体"/>
      <w:vanish/>
      <w:spacing w:val="-2"/>
      <w:kern w:val="0"/>
      <w:sz w:val="24"/>
      <w:szCs w:val="21"/>
    </w:rPr>
  </w:style>
  <w:style w:type="paragraph" w:customStyle="1" w:styleId="3258">
    <w:name w:val="表格，内容"/>
    <w:basedOn w:val="1"/>
    <w:qFormat/>
    <w:uiPriority w:val="0"/>
    <w:pPr>
      <w:jc w:val="center"/>
    </w:pPr>
    <w:rPr>
      <w:rFonts w:eastAsia="宋体" w:cs="黑体"/>
      <w:spacing w:val="10"/>
      <w:kern w:val="44"/>
    </w:rPr>
  </w:style>
  <w:style w:type="paragraph" w:customStyle="1" w:styleId="3259">
    <w:name w:val="自制正文1"/>
    <w:basedOn w:val="1"/>
    <w:next w:val="1"/>
    <w:qFormat/>
    <w:uiPriority w:val="0"/>
    <w:pPr>
      <w:adjustRightInd w:val="0"/>
      <w:snapToGrid w:val="0"/>
      <w:spacing w:line="360" w:lineRule="auto"/>
      <w:ind w:firstLine="200" w:firstLineChars="200"/>
    </w:pPr>
    <w:rPr>
      <w:rFonts w:eastAsia="宋体" w:cs="黑体"/>
      <w:spacing w:val="-2"/>
      <w:kern w:val="0"/>
      <w:sz w:val="24"/>
    </w:rPr>
  </w:style>
  <w:style w:type="paragraph" w:customStyle="1" w:styleId="3260">
    <w:name w:val="dxj图名"/>
    <w:basedOn w:val="1"/>
    <w:qFormat/>
    <w:uiPriority w:val="0"/>
    <w:pPr>
      <w:adjustRightInd w:val="0"/>
      <w:snapToGrid w:val="0"/>
      <w:spacing w:beforeLines="50" w:afterLines="50" w:line="360" w:lineRule="auto"/>
      <w:jc w:val="center"/>
    </w:pPr>
    <w:rPr>
      <w:rFonts w:eastAsia="黑体"/>
      <w:color w:val="000000"/>
      <w:kern w:val="0"/>
      <w:sz w:val="24"/>
      <w:szCs w:val="21"/>
    </w:rPr>
  </w:style>
  <w:style w:type="paragraph" w:customStyle="1" w:styleId="3261">
    <w:name w:val="summer正文编辑样式2"/>
    <w:basedOn w:val="1"/>
    <w:qFormat/>
    <w:uiPriority w:val="0"/>
    <w:pPr>
      <w:spacing w:line="360" w:lineRule="auto"/>
      <w:ind w:firstLine="200" w:firstLineChars="200"/>
    </w:pPr>
    <w:rPr>
      <w:rFonts w:eastAsia="宋体" w:cs="宋体"/>
      <w:spacing w:val="-2"/>
      <w:kern w:val="0"/>
      <w:sz w:val="24"/>
    </w:rPr>
  </w:style>
  <w:style w:type="paragraph" w:customStyle="1" w:styleId="3262">
    <w:name w:val="样式 标题 2章宋三一、标题 1.1Title 22 headlinehheadlineS&amp;R2ERMH2...1"/>
    <w:basedOn w:val="4"/>
    <w:qFormat/>
    <w:uiPriority w:val="0"/>
    <w:pPr>
      <w:keepLines w:val="0"/>
      <w:tabs>
        <w:tab w:val="left" w:pos="0"/>
        <w:tab w:val="left" w:pos="1476"/>
        <w:tab w:val="clear" w:pos="567"/>
      </w:tabs>
      <w:adjustRightInd w:val="0"/>
      <w:snapToGrid w:val="0"/>
      <w:spacing w:before="0" w:beforeLines="30" w:after="0"/>
      <w:ind w:left="0" w:firstLine="0"/>
    </w:pPr>
    <w:rPr>
      <w:rFonts w:ascii="Arial" w:eastAsia="宋体" w:cs="宋体"/>
      <w:b/>
      <w:spacing w:val="-2"/>
      <w:sz w:val="24"/>
      <w:szCs w:val="28"/>
    </w:rPr>
  </w:style>
  <w:style w:type="paragraph" w:customStyle="1" w:styleId="3263">
    <w:name w:val="小标题（3黑）"/>
    <w:basedOn w:val="3"/>
    <w:qFormat/>
    <w:uiPriority w:val="0"/>
    <w:pPr>
      <w:pageBreakBefore w:val="0"/>
      <w:widowControl/>
      <w:suppressLineNumbers/>
      <w:tabs>
        <w:tab w:val="left" w:pos="1260"/>
        <w:tab w:val="clear" w:pos="1080"/>
      </w:tabs>
      <w:adjustRightInd w:val="0"/>
      <w:snapToGrid w:val="0"/>
      <w:spacing w:before="0" w:after="0" w:line="500" w:lineRule="exact"/>
      <w:ind w:left="1260" w:firstLine="567"/>
      <w:jc w:val="both"/>
    </w:pPr>
    <w:rPr>
      <w:rFonts w:ascii="仿宋_GB2312" w:hAnsi="宋体" w:eastAsia="黑体" w:cs="宋体"/>
      <w:spacing w:val="-2"/>
      <w:sz w:val="32"/>
    </w:rPr>
  </w:style>
  <w:style w:type="paragraph" w:customStyle="1" w:styleId="3264">
    <w:name w:val="enc-wrap"/>
    <w:basedOn w:val="1"/>
    <w:qFormat/>
    <w:uiPriority w:val="0"/>
    <w:pPr>
      <w:widowControl/>
      <w:pBdr>
        <w:top w:val="single" w:color="BBE0F3" w:sz="12" w:space="0"/>
        <w:left w:val="single" w:color="BBE0F3" w:sz="12" w:space="0"/>
        <w:bottom w:val="single" w:color="BBE0F3" w:sz="12" w:space="0"/>
        <w:right w:val="single" w:color="BBE0F3" w:sz="12" w:space="0"/>
      </w:pBdr>
      <w:spacing w:before="100" w:beforeAutospacing="1" w:after="100" w:afterAutospacing="1"/>
      <w:jc w:val="left"/>
    </w:pPr>
    <w:rPr>
      <w:rFonts w:ascii="宋体" w:hAnsi="Calibri" w:eastAsia="宋体" w:cs="宋体"/>
      <w:spacing w:val="-2"/>
      <w:kern w:val="0"/>
      <w:sz w:val="24"/>
      <w:szCs w:val="21"/>
    </w:rPr>
  </w:style>
  <w:style w:type="paragraph" w:customStyle="1" w:styleId="3265">
    <w:name w:val="样式正文首行缩进"/>
    <w:basedOn w:val="1"/>
    <w:qFormat/>
    <w:uiPriority w:val="0"/>
    <w:pPr>
      <w:spacing w:line="500" w:lineRule="exact"/>
      <w:ind w:firstLine="567"/>
    </w:pPr>
    <w:rPr>
      <w:rFonts w:eastAsia="宋体" w:cs="黑体"/>
      <w:spacing w:val="-2"/>
      <w:kern w:val="0"/>
      <w:szCs w:val="28"/>
    </w:rPr>
  </w:style>
  <w:style w:type="paragraph" w:customStyle="1" w:styleId="3266">
    <w:name w:val="节名"/>
    <w:basedOn w:val="1"/>
    <w:qFormat/>
    <w:uiPriority w:val="0"/>
    <w:pPr>
      <w:adjustRightInd w:val="0"/>
      <w:spacing w:line="360" w:lineRule="auto"/>
    </w:pPr>
    <w:rPr>
      <w:rFonts w:eastAsia="黑体" w:cs="黑体"/>
      <w:b/>
      <w:spacing w:val="-2"/>
      <w:kern w:val="0"/>
    </w:rPr>
  </w:style>
  <w:style w:type="paragraph" w:customStyle="1" w:styleId="3267">
    <w:name w:val="Char1 Char Char Char1 Char Char Char"/>
    <w:basedOn w:val="1"/>
    <w:qFormat/>
    <w:uiPriority w:val="0"/>
    <w:pPr>
      <w:ind w:firstLine="200" w:firstLineChars="200"/>
    </w:pPr>
    <w:rPr>
      <w:rFonts w:ascii="宋体" w:hAnsi="Calibri" w:eastAsia="宋体" w:cs="宋体"/>
      <w:spacing w:val="-2"/>
      <w:kern w:val="0"/>
      <w:sz w:val="24"/>
    </w:rPr>
  </w:style>
  <w:style w:type="character" w:customStyle="1" w:styleId="3268">
    <w:name w:val="z-窗体底端 Char3"/>
    <w:semiHidden/>
    <w:qFormat/>
    <w:uiPriority w:val="99"/>
    <w:rPr>
      <w:rFonts w:ascii="Arial" w:hAnsi="Arial" w:eastAsia="仿宋_GB2312" w:cs="Arial"/>
      <w:vanish/>
      <w:sz w:val="16"/>
      <w:szCs w:val="16"/>
    </w:rPr>
  </w:style>
  <w:style w:type="paragraph" w:customStyle="1" w:styleId="3269">
    <w:name w:val="框图1"/>
    <w:basedOn w:val="1"/>
    <w:qFormat/>
    <w:uiPriority w:val="0"/>
    <w:pPr>
      <w:spacing w:line="324" w:lineRule="auto"/>
      <w:ind w:right="262"/>
      <w:jc w:val="center"/>
    </w:pPr>
    <w:rPr>
      <w:rFonts w:eastAsia="宋体" w:cs="黑体"/>
      <w:spacing w:val="-2"/>
      <w:kern w:val="0"/>
      <w:sz w:val="24"/>
    </w:rPr>
  </w:style>
  <w:style w:type="paragraph" w:customStyle="1" w:styleId="3270">
    <w:name w:val="Char Char Char Char Char Char Char Char Char3"/>
    <w:basedOn w:val="1"/>
    <w:qFormat/>
    <w:uiPriority w:val="0"/>
    <w:rPr>
      <w:rFonts w:eastAsia="宋体"/>
      <w:sz w:val="21"/>
      <w:szCs w:val="24"/>
    </w:rPr>
  </w:style>
  <w:style w:type="paragraph" w:customStyle="1" w:styleId="3271">
    <w:name w:val="Char Char Char Char Char Char3"/>
    <w:basedOn w:val="1"/>
    <w:qFormat/>
    <w:uiPriority w:val="0"/>
    <w:rPr>
      <w:rFonts w:eastAsia="宋体"/>
      <w:sz w:val="21"/>
      <w:szCs w:val="21"/>
    </w:rPr>
  </w:style>
  <w:style w:type="paragraph" w:customStyle="1" w:styleId="3272">
    <w:name w:val="样式 标题 3 + 左侧:  0 毫米 首行缩进:  0 毫米 行距: 最小值 25 磅2"/>
    <w:basedOn w:val="6"/>
    <w:qFormat/>
    <w:uiPriority w:val="0"/>
    <w:pPr>
      <w:tabs>
        <w:tab w:val="left" w:pos="360"/>
        <w:tab w:val="left" w:pos="1022"/>
        <w:tab w:val="left" w:pos="1080"/>
        <w:tab w:val="left" w:pos="1620"/>
        <w:tab w:val="left" w:pos="1740"/>
        <w:tab w:val="clear" w:pos="1789"/>
      </w:tabs>
      <w:snapToGrid w:val="0"/>
      <w:spacing w:before="260" w:after="260" w:line="500" w:lineRule="atLeast"/>
      <w:ind w:left="1740" w:hanging="420"/>
    </w:pPr>
    <w:rPr>
      <w:rFonts w:hint="eastAsia" w:ascii="宋体" w:hAnsi="宋体" w:eastAsia="宋体" w:cs="宋体"/>
      <w:i/>
      <w:iCs/>
      <w:color w:val="000000"/>
      <w:spacing w:val="4"/>
      <w:sz w:val="28"/>
    </w:rPr>
  </w:style>
  <w:style w:type="paragraph" w:customStyle="1" w:styleId="3273">
    <w:name w:val="Char Char Char Char Char Char Char Char Char Char Char Char Char Char Char Char Char Char Char Char Char Char Char Char Char4"/>
    <w:basedOn w:val="1"/>
    <w:qFormat/>
    <w:uiPriority w:val="0"/>
    <w:pPr>
      <w:spacing w:line="360" w:lineRule="auto"/>
      <w:ind w:firstLine="200" w:firstLineChars="200"/>
    </w:pPr>
    <w:rPr>
      <w:rFonts w:ascii="宋体" w:hAnsi="宋体" w:eastAsia="宋体" w:cs="宋体"/>
      <w:sz w:val="24"/>
      <w:szCs w:val="24"/>
    </w:rPr>
  </w:style>
  <w:style w:type="paragraph" w:customStyle="1" w:styleId="3274">
    <w:name w:val="xl18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w:hAnsi="Arial" w:eastAsia="宋体" w:cs="Arial"/>
      <w:b/>
      <w:bCs/>
      <w:spacing w:val="-2"/>
      <w:kern w:val="0"/>
      <w:sz w:val="20"/>
    </w:rPr>
  </w:style>
  <w:style w:type="paragraph" w:customStyle="1" w:styleId="3275">
    <w:name w:val="标题3首行缩进2字符"/>
    <w:basedOn w:val="6"/>
    <w:next w:val="3276"/>
    <w:qFormat/>
    <w:uiPriority w:val="0"/>
    <w:pPr>
      <w:tabs>
        <w:tab w:val="left" w:pos="1022"/>
        <w:tab w:val="left" w:pos="1080"/>
        <w:tab w:val="clear" w:pos="1789"/>
      </w:tabs>
      <w:spacing w:before="0" w:beforeLines="50" w:after="0" w:line="360" w:lineRule="auto"/>
      <w:ind w:left="0" w:firstLine="200" w:firstLineChars="200"/>
    </w:pPr>
    <w:rPr>
      <w:rFonts w:hint="eastAsia" w:ascii="宋体" w:hAnsi="宋体" w:eastAsia="宋体" w:cs="宋体"/>
      <w:bCs w:val="0"/>
      <w:i/>
      <w:iCs/>
      <w:color w:val="000000"/>
      <w:spacing w:val="-2"/>
      <w:sz w:val="21"/>
    </w:rPr>
  </w:style>
  <w:style w:type="paragraph" w:customStyle="1" w:styleId="3276">
    <w:name w:val="正文首行缩进2字符"/>
    <w:basedOn w:val="1"/>
    <w:qFormat/>
    <w:uiPriority w:val="0"/>
    <w:pPr>
      <w:spacing w:line="360" w:lineRule="auto"/>
      <w:ind w:firstLine="200" w:firstLineChars="200"/>
    </w:pPr>
    <w:rPr>
      <w:rFonts w:eastAsia="宋体" w:cs="宋体"/>
      <w:spacing w:val="-2"/>
      <w:kern w:val="0"/>
      <w:sz w:val="24"/>
    </w:rPr>
  </w:style>
  <w:style w:type="paragraph" w:customStyle="1" w:styleId="3277">
    <w:name w:val="dxj标题3"/>
    <w:basedOn w:val="6"/>
    <w:qFormat/>
    <w:uiPriority w:val="0"/>
    <w:pPr>
      <w:tabs>
        <w:tab w:val="left" w:pos="1080"/>
        <w:tab w:val="clear" w:pos="1789"/>
      </w:tabs>
      <w:spacing w:before="0" w:after="0" w:line="360" w:lineRule="auto"/>
      <w:ind w:left="0" w:firstLine="0"/>
    </w:pPr>
    <w:rPr>
      <w:rFonts w:ascii="Times New Roman" w:eastAsia="黑体"/>
      <w:b w:val="0"/>
      <w:szCs w:val="32"/>
    </w:rPr>
  </w:style>
  <w:style w:type="paragraph" w:customStyle="1" w:styleId="3278">
    <w:name w:val="_Style 49"/>
    <w:basedOn w:val="1"/>
    <w:next w:val="5"/>
    <w:qFormat/>
    <w:uiPriority w:val="0"/>
    <w:pPr>
      <w:spacing w:line="440" w:lineRule="exact"/>
      <w:ind w:firstLine="420" w:firstLineChars="200"/>
    </w:pPr>
    <w:rPr>
      <w:rFonts w:eastAsia="宋体" w:cs="黑体"/>
      <w:spacing w:val="-2"/>
      <w:kern w:val="0"/>
      <w:sz w:val="24"/>
    </w:rPr>
  </w:style>
  <w:style w:type="paragraph" w:customStyle="1" w:styleId="3279">
    <w:name w:val="样式 标题 3 + 首行缩进:  2 字符 段前: 0.1 行"/>
    <w:basedOn w:val="6"/>
    <w:qFormat/>
    <w:uiPriority w:val="99"/>
    <w:pPr>
      <w:tabs>
        <w:tab w:val="left" w:pos="1080"/>
        <w:tab w:val="clear" w:pos="1789"/>
      </w:tabs>
      <w:spacing w:before="260" w:beforeLines="100" w:after="260" w:afterLines="100"/>
      <w:ind w:left="0" w:firstLine="0"/>
      <w:jc w:val="left"/>
    </w:pPr>
    <w:rPr>
      <w:rFonts w:ascii="Times New Roman" w:eastAsia="宋体" w:cs="宋体"/>
      <w:spacing w:val="-2"/>
      <w:kern w:val="24"/>
      <w:sz w:val="28"/>
      <w:szCs w:val="28"/>
    </w:rPr>
  </w:style>
  <w:style w:type="paragraph" w:customStyle="1" w:styleId="3280">
    <w:name w:val="样式 表格文字居中 Char + 自动设置"/>
    <w:qFormat/>
    <w:uiPriority w:val="0"/>
    <w:pPr>
      <w:tabs>
        <w:tab w:val="left" w:pos="628"/>
        <w:tab w:val="left" w:pos="1727"/>
        <w:tab w:val="left" w:pos="1884"/>
        <w:tab w:val="left" w:pos="2660"/>
        <w:tab w:val="left" w:pos="5460"/>
      </w:tabs>
    </w:pPr>
    <w:rPr>
      <w:rFonts w:ascii="Times New Roman" w:hAnsi="Times New Roman" w:eastAsia="宋体" w:cs="Times New Roman"/>
      <w:color w:val="000000"/>
      <w:lang w:val="en-US" w:eastAsia="zh-CN" w:bidi="ar-SA"/>
    </w:rPr>
  </w:style>
  <w:style w:type="paragraph" w:customStyle="1" w:styleId="3281">
    <w:name w:val="样式 标题2YHY + 黑色 段前: 0.5 行 段后: 0.5 行"/>
    <w:basedOn w:val="1"/>
    <w:qFormat/>
    <w:uiPriority w:val="0"/>
    <w:pPr>
      <w:keepNext/>
      <w:keepLines/>
      <w:spacing w:beforeLines="50" w:line="360" w:lineRule="auto"/>
      <w:outlineLvl w:val="1"/>
    </w:pPr>
    <w:rPr>
      <w:rFonts w:ascii="Arial" w:hAnsi="Arial" w:eastAsia="黑体" w:cs="宋体"/>
      <w:b/>
      <w:bCs/>
      <w:color w:val="000000"/>
      <w:spacing w:val="-2"/>
      <w:kern w:val="0"/>
    </w:rPr>
  </w:style>
  <w:style w:type="paragraph" w:customStyle="1" w:styleId="3282">
    <w:name w:val="Char Char Char Char Char Char Char Char Char Char Char1 Char"/>
    <w:basedOn w:val="1"/>
    <w:qFormat/>
    <w:uiPriority w:val="0"/>
    <w:rPr>
      <w:rFonts w:eastAsia="宋体" w:cs="黑体"/>
      <w:spacing w:val="-2"/>
      <w:kern w:val="0"/>
      <w:sz w:val="24"/>
    </w:rPr>
  </w:style>
  <w:style w:type="paragraph" w:customStyle="1" w:styleId="3283">
    <w:name w:val="表格题目"/>
    <w:basedOn w:val="1"/>
    <w:qFormat/>
    <w:uiPriority w:val="0"/>
    <w:pPr>
      <w:adjustRightInd w:val="0"/>
      <w:spacing w:beforeLines="50"/>
      <w:ind w:left="224" w:leftChars="224" w:firstLine="797" w:firstLineChars="797"/>
    </w:pPr>
    <w:rPr>
      <w:rFonts w:ascii="宋体" w:hAnsi="Calibri" w:eastAsia="宋体" w:cs="黑体"/>
      <w:b/>
      <w:bCs/>
      <w:spacing w:val="-2"/>
      <w:kern w:val="0"/>
      <w:sz w:val="24"/>
    </w:rPr>
  </w:style>
  <w:style w:type="paragraph" w:customStyle="1" w:styleId="3284">
    <w:name w:val="_Style 90"/>
    <w:basedOn w:val="1"/>
    <w:next w:val="77"/>
    <w:qFormat/>
    <w:uiPriority w:val="0"/>
    <w:pPr>
      <w:ind w:firstLine="200" w:firstLineChars="200"/>
    </w:pPr>
    <w:rPr>
      <w:rFonts w:eastAsia="宋体" w:cs="黑体"/>
      <w:spacing w:val="-2"/>
      <w:kern w:val="0"/>
      <w:sz w:val="24"/>
    </w:rPr>
  </w:style>
  <w:style w:type="paragraph" w:customStyle="1" w:styleId="3285">
    <w:name w:val="explain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286">
    <w:name w:val="page-current1"/>
    <w:basedOn w:val="1"/>
    <w:qFormat/>
    <w:uiPriority w:val="0"/>
    <w:pPr>
      <w:widowControl/>
      <w:spacing w:before="100" w:beforeAutospacing="1" w:after="100" w:afterAutospacing="1"/>
      <w:jc w:val="left"/>
    </w:pPr>
    <w:rPr>
      <w:rFonts w:ascii="宋体" w:hAnsi="Calibri" w:eastAsia="宋体" w:cs="宋体"/>
      <w:b/>
      <w:bCs/>
      <w:color w:val="000000"/>
      <w:spacing w:val="-2"/>
      <w:kern w:val="0"/>
      <w:sz w:val="24"/>
      <w:szCs w:val="21"/>
    </w:rPr>
  </w:style>
  <w:style w:type="paragraph" w:customStyle="1" w:styleId="3287">
    <w:name w:val="正文修改样式"/>
    <w:basedOn w:val="71"/>
    <w:qFormat/>
    <w:uiPriority w:val="0"/>
    <w:pPr>
      <w:spacing w:beforeLines="50" w:line="360" w:lineRule="auto"/>
      <w:ind w:firstLine="480"/>
    </w:pPr>
    <w:rPr>
      <w:rFonts w:hint="eastAsia"/>
      <w:szCs w:val="21"/>
    </w:rPr>
  </w:style>
  <w:style w:type="paragraph" w:customStyle="1" w:styleId="3288">
    <w:name w:val="正文段落S"/>
    <w:basedOn w:val="1"/>
    <w:qFormat/>
    <w:uiPriority w:val="0"/>
    <w:pPr>
      <w:spacing w:line="360" w:lineRule="auto"/>
      <w:ind w:firstLine="480" w:firstLineChars="200"/>
    </w:pPr>
    <w:rPr>
      <w:rFonts w:ascii="宋体" w:hAnsi="宋体" w:eastAsia="宋体"/>
      <w:kern w:val="0"/>
      <w:sz w:val="24"/>
      <w:szCs w:val="24"/>
    </w:rPr>
  </w:style>
  <w:style w:type="paragraph" w:customStyle="1" w:styleId="3289">
    <w:name w:val="样式 标题 1 + 三号 行距: 最小值 24 磅"/>
    <w:basedOn w:val="3"/>
    <w:qFormat/>
    <w:uiPriority w:val="0"/>
    <w:pPr>
      <w:pageBreakBefore w:val="0"/>
      <w:tabs>
        <w:tab w:val="left" w:pos="885"/>
        <w:tab w:val="clear" w:pos="1080"/>
      </w:tabs>
      <w:spacing w:before="340" w:after="330" w:line="480" w:lineRule="atLeast"/>
      <w:ind w:left="885" w:hanging="360"/>
      <w:jc w:val="both"/>
    </w:pPr>
    <w:rPr>
      <w:rFonts w:ascii="宋体" w:hAnsi="宋体" w:cs="宋体"/>
      <w:bCs/>
      <w:spacing w:val="-2"/>
      <w:sz w:val="44"/>
      <w:szCs w:val="44"/>
    </w:rPr>
  </w:style>
  <w:style w:type="paragraph" w:customStyle="1" w:styleId="3290">
    <w:name w:val="样式 表中文字 + 两端对齐"/>
    <w:basedOn w:val="1"/>
    <w:qFormat/>
    <w:uiPriority w:val="0"/>
    <w:pPr>
      <w:shd w:val="clear" w:color="auto" w:fill="FFFFFF"/>
      <w:tabs>
        <w:tab w:val="left" w:pos="3286"/>
        <w:tab w:val="left" w:pos="8362"/>
      </w:tabs>
      <w:spacing w:line="320" w:lineRule="exact"/>
    </w:pPr>
    <w:rPr>
      <w:rFonts w:ascii="Arial" w:hAnsi="Arial" w:eastAsia="楷体_GB2312" w:cs="宋体"/>
      <w:color w:val="000000"/>
      <w:spacing w:val="-2"/>
      <w:kern w:val="0"/>
      <w:szCs w:val="21"/>
    </w:rPr>
  </w:style>
  <w:style w:type="paragraph" w:customStyle="1" w:styleId="3291">
    <w:name w:val="text_pic1"/>
    <w:basedOn w:val="1"/>
    <w:qFormat/>
    <w:uiPriority w:val="0"/>
    <w:pPr>
      <w:widowControl/>
      <w:pBdr>
        <w:top w:val="single" w:color="E8E8E8" w:sz="6" w:space="4"/>
        <w:left w:val="single" w:color="E8E8E8" w:sz="6" w:space="4"/>
        <w:bottom w:val="single" w:color="E8E8E8" w:sz="6" w:space="4"/>
        <w:right w:val="single" w:color="E8E8E8" w:sz="6" w:space="4"/>
      </w:pBdr>
      <w:shd w:val="clear" w:color="auto" w:fill="F6F6F6"/>
      <w:spacing w:before="75" w:after="75"/>
      <w:ind w:left="75" w:right="75"/>
      <w:jc w:val="center"/>
    </w:pPr>
    <w:rPr>
      <w:rFonts w:ascii="宋体" w:hAnsi="Calibri" w:eastAsia="宋体" w:cs="宋体"/>
      <w:spacing w:val="-2"/>
      <w:kern w:val="0"/>
      <w:sz w:val="24"/>
      <w:szCs w:val="21"/>
    </w:rPr>
  </w:style>
  <w:style w:type="paragraph" w:customStyle="1" w:styleId="3292">
    <w:name w:val="表心"/>
    <w:basedOn w:val="1"/>
    <w:qFormat/>
    <w:uiPriority w:val="0"/>
    <w:pPr>
      <w:jc w:val="left"/>
    </w:pPr>
    <w:rPr>
      <w:rFonts w:eastAsia="宋体" w:cs="黑体"/>
      <w:color w:val="000000"/>
      <w:spacing w:val="-2"/>
      <w:kern w:val="0"/>
      <w:sz w:val="24"/>
    </w:rPr>
  </w:style>
  <w:style w:type="paragraph" w:customStyle="1" w:styleId="3293">
    <w:name w:val="表格文字（居中）"/>
    <w:basedOn w:val="1"/>
    <w:qFormat/>
    <w:uiPriority w:val="0"/>
    <w:pPr>
      <w:jc w:val="center"/>
    </w:pPr>
    <w:rPr>
      <w:rFonts w:eastAsia="宋体" w:cs="黑体"/>
      <w:spacing w:val="-2"/>
      <w:kern w:val="0"/>
      <w:sz w:val="24"/>
    </w:rPr>
  </w:style>
  <w:style w:type="paragraph" w:customStyle="1" w:styleId="3294">
    <w:name w:val="lemma-category-table"/>
    <w:basedOn w:val="1"/>
    <w:qFormat/>
    <w:uiPriority w:val="0"/>
    <w:pPr>
      <w:widowControl/>
      <w:pBdr>
        <w:top w:val="single" w:color="C6E1F5" w:sz="6" w:space="0"/>
        <w:left w:val="single" w:color="C6E1F5" w:sz="6" w:space="0"/>
        <w:bottom w:val="single" w:color="C6E1F5" w:sz="6" w:space="0"/>
        <w:right w:val="single" w:color="C6E1F5" w:sz="6" w:space="0"/>
      </w:pBdr>
      <w:spacing w:before="100" w:beforeAutospacing="1" w:after="100" w:afterAutospacing="1"/>
      <w:jc w:val="left"/>
    </w:pPr>
    <w:rPr>
      <w:rFonts w:ascii="宋体" w:hAnsi="Calibri" w:eastAsia="宋体" w:cs="宋体"/>
      <w:spacing w:val="-2"/>
      <w:kern w:val="0"/>
      <w:sz w:val="18"/>
      <w:szCs w:val="18"/>
    </w:rPr>
  </w:style>
  <w:style w:type="paragraph" w:customStyle="1" w:styleId="3295">
    <w:name w:val="userinfo-side"/>
    <w:basedOn w:val="1"/>
    <w:qFormat/>
    <w:uiPriority w:val="0"/>
    <w:pPr>
      <w:widowControl/>
      <w:shd w:val="clear" w:color="auto" w:fill="E9F3F6"/>
      <w:spacing w:after="150" w:line="330" w:lineRule="atLeast"/>
      <w:ind w:left="-195"/>
      <w:jc w:val="left"/>
    </w:pPr>
    <w:rPr>
      <w:rFonts w:ascii="宋体" w:hAnsi="Calibri" w:eastAsia="宋体" w:cs="宋体"/>
      <w:color w:val="333333"/>
      <w:spacing w:val="-2"/>
      <w:kern w:val="0"/>
      <w:sz w:val="24"/>
      <w:szCs w:val="21"/>
    </w:rPr>
  </w:style>
  <w:style w:type="paragraph" w:customStyle="1" w:styleId="3296">
    <w:name w:val="样式 标题 2标题 21标题 121 + Times New Roman 小三 段前: 0 磅 段后: 0 磅 行..."/>
    <w:basedOn w:val="4"/>
    <w:qFormat/>
    <w:uiPriority w:val="0"/>
    <w:pPr>
      <w:tabs>
        <w:tab w:val="left" w:pos="1058"/>
        <w:tab w:val="left" w:pos="1476"/>
        <w:tab w:val="clear" w:pos="567"/>
      </w:tabs>
      <w:spacing w:before="0" w:after="0" w:line="500" w:lineRule="exact"/>
      <w:ind w:left="1058" w:hanging="420"/>
    </w:pPr>
    <w:rPr>
      <w:rFonts w:ascii="宋体" w:hAnsi="宋体" w:cs="宋体"/>
      <w:b/>
      <w:bCs/>
      <w:spacing w:val="-2"/>
      <w:sz w:val="30"/>
    </w:rPr>
  </w:style>
  <w:style w:type="paragraph" w:customStyle="1" w:styleId="3297">
    <w:name w:val="马面的标题4"/>
    <w:basedOn w:val="7"/>
    <w:qFormat/>
    <w:uiPriority w:val="0"/>
    <w:pPr>
      <w:tabs>
        <w:tab w:val="left" w:pos="2153"/>
        <w:tab w:val="clear" w:pos="4008"/>
      </w:tabs>
      <w:spacing w:before="50" w:after="50" w:line="480" w:lineRule="exact"/>
      <w:ind w:left="0" w:firstLine="0"/>
      <w:jc w:val="left"/>
    </w:pPr>
    <w:rPr>
      <w:rFonts w:ascii="Cambria" w:hAnsi="Cambria" w:eastAsia="宋体"/>
      <w:i/>
      <w:color w:val="auto"/>
      <w:spacing w:val="-2"/>
      <w:szCs w:val="24"/>
    </w:rPr>
  </w:style>
  <w:style w:type="paragraph" w:customStyle="1" w:styleId="3298">
    <w:name w:val="正文（GHY)"/>
    <w:basedOn w:val="1"/>
    <w:qFormat/>
    <w:uiPriority w:val="99"/>
    <w:pPr>
      <w:spacing w:before="120" w:after="120" w:line="360" w:lineRule="auto"/>
      <w:ind w:firstLine="496" w:firstLineChars="200"/>
      <w:jc w:val="left"/>
    </w:pPr>
    <w:rPr>
      <w:rFonts w:cs="宋体"/>
      <w:spacing w:val="4"/>
      <w:kern w:val="28"/>
      <w:sz w:val="24"/>
      <w:szCs w:val="28"/>
    </w:rPr>
  </w:style>
  <w:style w:type="paragraph" w:customStyle="1" w:styleId="3299">
    <w:name w:val="Char Char Char Char Char Char Char Char Char1 Char Char Char Char"/>
    <w:basedOn w:val="1"/>
    <w:qFormat/>
    <w:uiPriority w:val="0"/>
    <w:pPr>
      <w:snapToGrid w:val="0"/>
      <w:spacing w:line="440" w:lineRule="atLeast"/>
      <w:jc w:val="left"/>
    </w:pPr>
    <w:rPr>
      <w:rFonts w:ascii="宋体" w:eastAsia="Times New Roman" w:cs="黑体"/>
      <w:b/>
      <w:spacing w:val="-2"/>
      <w:kern w:val="0"/>
      <w:sz w:val="36"/>
    </w:rPr>
  </w:style>
  <w:style w:type="paragraph" w:customStyle="1" w:styleId="3300">
    <w:name w:val="share"/>
    <w:basedOn w:val="1"/>
    <w:qFormat/>
    <w:uiPriority w:val="0"/>
    <w:pPr>
      <w:widowControl/>
      <w:pBdr>
        <w:top w:val="single" w:color="DDDDDD" w:sz="6" w:space="0"/>
        <w:left w:val="single" w:color="DDDDDD" w:sz="6" w:space="0"/>
        <w:bottom w:val="single" w:color="DDDDDD" w:sz="6" w:space="0"/>
        <w:right w:val="single" w:color="DDDDDD" w:sz="6" w:space="0"/>
      </w:pBdr>
      <w:shd w:val="clear" w:color="auto" w:fill="FAFAFA"/>
      <w:spacing w:before="100" w:beforeAutospacing="1" w:after="450" w:line="630" w:lineRule="atLeast"/>
      <w:jc w:val="left"/>
    </w:pPr>
    <w:rPr>
      <w:rFonts w:ascii="宋体" w:hAnsi="Calibri" w:eastAsia="宋体" w:cs="宋体"/>
      <w:color w:val="999999"/>
      <w:spacing w:val="-2"/>
      <w:kern w:val="0"/>
      <w:sz w:val="18"/>
      <w:szCs w:val="18"/>
    </w:rPr>
  </w:style>
  <w:style w:type="paragraph" w:customStyle="1" w:styleId="3301">
    <w:name w:val="Char Char Char Char Char Char Char Char Char Char Char Char Char Char Char Char Char Char Char"/>
    <w:basedOn w:val="1"/>
    <w:qFormat/>
    <w:uiPriority w:val="0"/>
    <w:rPr>
      <w:rFonts w:eastAsia="宋体" w:cs="黑体"/>
      <w:spacing w:val="-2"/>
      <w:kern w:val="0"/>
      <w:sz w:val="24"/>
    </w:rPr>
  </w:style>
  <w:style w:type="paragraph" w:customStyle="1" w:styleId="3302">
    <w:name w:val="mb10"/>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03">
    <w:name w:val="hd3"/>
    <w:basedOn w:val="1"/>
    <w:qFormat/>
    <w:uiPriority w:val="0"/>
    <w:pPr>
      <w:widowControl/>
      <w:shd w:val="clear" w:color="auto" w:fill="F7F9FA"/>
      <w:spacing w:before="100" w:beforeAutospacing="1" w:after="100" w:afterAutospacing="1"/>
      <w:jc w:val="left"/>
    </w:pPr>
    <w:rPr>
      <w:rFonts w:ascii="宋体" w:hAnsi="Calibri" w:eastAsia="宋体" w:cs="宋体"/>
      <w:b/>
      <w:bCs/>
      <w:color w:val="5B5F65"/>
      <w:spacing w:val="-2"/>
      <w:kern w:val="0"/>
      <w:sz w:val="24"/>
      <w:szCs w:val="21"/>
    </w:rPr>
  </w:style>
  <w:style w:type="paragraph" w:customStyle="1" w:styleId="3304">
    <w:name w:val="text"/>
    <w:basedOn w:val="1"/>
    <w:qFormat/>
    <w:uiPriority w:val="0"/>
    <w:pPr>
      <w:spacing w:before="100" w:beforeAutospacing="1" w:after="100" w:afterAutospacing="1" w:line="400" w:lineRule="atLeast"/>
    </w:pPr>
    <w:rPr>
      <w:rFonts w:ascii="宋体" w:hAnsi="Calibri" w:eastAsia="宋体" w:cs="黑体"/>
      <w:color w:val="FFFFCC"/>
      <w:spacing w:val="-2"/>
      <w:kern w:val="0"/>
      <w:sz w:val="24"/>
    </w:rPr>
  </w:style>
  <w:style w:type="paragraph" w:customStyle="1" w:styleId="3305">
    <w:name w:val="样式 标题 3 + 段前: 0.1 行"/>
    <w:basedOn w:val="6"/>
    <w:qFormat/>
    <w:uiPriority w:val="0"/>
    <w:pPr>
      <w:keepNext w:val="0"/>
      <w:keepLines w:val="0"/>
      <w:tabs>
        <w:tab w:val="left" w:pos="480"/>
        <w:tab w:val="left" w:pos="1022"/>
        <w:tab w:val="left" w:pos="1080"/>
        <w:tab w:val="clear" w:pos="1789"/>
      </w:tabs>
      <w:adjustRightInd w:val="0"/>
      <w:snapToGrid w:val="0"/>
      <w:spacing w:before="0" w:beforeLines="10" w:after="0" w:line="460" w:lineRule="exact"/>
      <w:ind w:left="1260" w:hanging="420" w:firstLineChars="200"/>
      <w:jc w:val="left"/>
    </w:pPr>
    <w:rPr>
      <w:rFonts w:hint="eastAsia" w:ascii="宋体" w:hAnsi="宋体" w:eastAsia="宋体" w:cs="宋体"/>
      <w:b w:val="0"/>
      <w:i/>
      <w:iCs/>
      <w:color w:val="000000"/>
      <w:spacing w:val="-2"/>
    </w:rPr>
  </w:style>
  <w:style w:type="paragraph" w:customStyle="1" w:styleId="3306">
    <w:name w:val="11号线正文缩进4字符"/>
    <w:basedOn w:val="1"/>
    <w:qFormat/>
    <w:uiPriority w:val="0"/>
    <w:pPr>
      <w:spacing w:line="500" w:lineRule="exact"/>
      <w:ind w:left="200" w:leftChars="200" w:firstLine="200" w:firstLineChars="200"/>
    </w:pPr>
    <w:rPr>
      <w:rFonts w:ascii="宋体" w:hAnsi="Calibri" w:eastAsia="宋体" w:cs="宋体"/>
      <w:spacing w:val="-2"/>
      <w:kern w:val="0"/>
      <w:szCs w:val="28"/>
    </w:rPr>
  </w:style>
  <w:style w:type="paragraph" w:customStyle="1" w:styleId="3307">
    <w:name w:val="样式 (中文) 黑体"/>
    <w:basedOn w:val="1"/>
    <w:qFormat/>
    <w:uiPriority w:val="0"/>
    <w:pPr>
      <w:spacing w:line="480" w:lineRule="exact"/>
      <w:ind w:firstLine="567"/>
    </w:pPr>
    <w:rPr>
      <w:rFonts w:eastAsia="黑体" w:cs="黑体"/>
      <w:spacing w:val="-2"/>
      <w:kern w:val="0"/>
      <w:sz w:val="24"/>
    </w:rPr>
  </w:style>
  <w:style w:type="paragraph" w:customStyle="1" w:styleId="3308">
    <w:name w:val="标题0"/>
    <w:basedOn w:val="85"/>
    <w:qFormat/>
    <w:uiPriority w:val="0"/>
    <w:pPr>
      <w:keepNext w:val="0"/>
      <w:keepLines w:val="0"/>
      <w:tabs>
        <w:tab w:val="clear" w:pos="1080"/>
        <w:tab w:val="clear" w:pos="1789"/>
      </w:tabs>
      <w:spacing w:line="300" w:lineRule="auto"/>
      <w:outlineLvl w:val="0"/>
    </w:pPr>
    <w:rPr>
      <w:rFonts w:ascii="Arial" w:hAnsi="Arial" w:eastAsia="宋体"/>
      <w:bCs w:val="0"/>
      <w:color w:val="auto"/>
      <w:szCs w:val="20"/>
    </w:rPr>
  </w:style>
  <w:style w:type="paragraph" w:customStyle="1" w:styleId="3309">
    <w:name w:val="lemma-relation-table"/>
    <w:basedOn w:val="1"/>
    <w:qFormat/>
    <w:uiPriority w:val="0"/>
    <w:pPr>
      <w:widowControl/>
      <w:pBdr>
        <w:top w:val="single" w:color="DCEEFC" w:sz="6" w:space="2"/>
        <w:left w:val="single" w:color="DCEEFC" w:sz="6" w:space="2"/>
        <w:bottom w:val="single" w:color="DCEEFC" w:sz="6" w:space="2"/>
        <w:right w:val="single" w:color="DCEEFC" w:sz="6" w:space="2"/>
      </w:pBdr>
      <w:spacing w:before="100" w:beforeAutospacing="1" w:after="150" w:line="450" w:lineRule="atLeast"/>
      <w:jc w:val="left"/>
    </w:pPr>
    <w:rPr>
      <w:rFonts w:ascii="宋体" w:hAnsi="Calibri" w:eastAsia="宋体" w:cs="宋体"/>
      <w:spacing w:val="-2"/>
      <w:kern w:val="0"/>
      <w:sz w:val="18"/>
      <w:szCs w:val="18"/>
    </w:rPr>
  </w:style>
  <w:style w:type="paragraph" w:customStyle="1" w:styleId="3310">
    <w:name w:val="样式 样式 样式 样式 标题 1 + 左侧:  2 字符 + 左  0 字符 + 段前: 0.5 行 段后: 0.5 行 + 段..."/>
    <w:basedOn w:val="1"/>
    <w:qFormat/>
    <w:uiPriority w:val="0"/>
    <w:pPr>
      <w:keepNext/>
      <w:keepLines/>
      <w:spacing w:beforeLines="10"/>
      <w:outlineLvl w:val="0"/>
    </w:pPr>
    <w:rPr>
      <w:rFonts w:eastAsia="宋体" w:cs="宋体"/>
      <w:b/>
      <w:bCs/>
      <w:spacing w:val="-2"/>
      <w:kern w:val="44"/>
    </w:rPr>
  </w:style>
  <w:style w:type="paragraph" w:customStyle="1" w:styleId="3311">
    <w:name w:val="Char Char Char Char7"/>
    <w:basedOn w:val="1"/>
    <w:qFormat/>
    <w:uiPriority w:val="0"/>
    <w:pPr>
      <w:spacing w:line="360" w:lineRule="auto"/>
      <w:ind w:firstLine="200" w:firstLineChars="200"/>
    </w:pPr>
    <w:rPr>
      <w:rFonts w:ascii="宋体" w:hAnsi="宋体" w:eastAsia="宋体" w:cs="宋体"/>
      <w:sz w:val="24"/>
      <w:szCs w:val="24"/>
    </w:rPr>
  </w:style>
  <w:style w:type="paragraph" w:customStyle="1" w:styleId="3312">
    <w:name w:val="setting-option"/>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13">
    <w:name w:val="Char Char Char Char Char Char Char Char1"/>
    <w:basedOn w:val="1"/>
    <w:qFormat/>
    <w:uiPriority w:val="0"/>
    <w:rPr>
      <w:rFonts w:eastAsia="宋体" w:cs="黑体"/>
      <w:spacing w:val="-2"/>
      <w:kern w:val="0"/>
      <w:sz w:val="24"/>
      <w:szCs w:val="21"/>
    </w:rPr>
  </w:style>
  <w:style w:type="paragraph" w:customStyle="1" w:styleId="3314">
    <w:name w:val="reader-word-layer reader-word-s2-58"/>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315">
    <w:name w:val="册除格式 Char Char"/>
    <w:qFormat/>
    <w:uiPriority w:val="0"/>
    <w:pPr>
      <w:snapToGrid w:val="0"/>
      <w:spacing w:line="360" w:lineRule="auto"/>
      <w:ind w:firstLine="482"/>
    </w:pPr>
    <w:rPr>
      <w:rFonts w:ascii="黑体" w:hAnsi="黑体" w:eastAsia="宋体" w:cs="Arial"/>
      <w:spacing w:val="4"/>
      <w:kern w:val="18"/>
      <w:sz w:val="24"/>
      <w:szCs w:val="28"/>
      <w:lang w:val="en-US" w:eastAsia="zh-CN" w:bidi="ar-SA"/>
    </w:rPr>
  </w:style>
  <w:style w:type="paragraph" w:customStyle="1" w:styleId="3316">
    <w:name w:val="edit_i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17">
    <w:name w:val="注:"/>
    <w:qFormat/>
    <w:uiPriority w:val="0"/>
    <w:rPr>
      <w:rFonts w:ascii="Times New Roman" w:hAnsi="Times New Roman" w:eastAsia="宋体" w:cs="Times New Roman"/>
      <w:szCs w:val="21"/>
      <w:lang w:val="en-US" w:eastAsia="zh-CN" w:bidi="ar-SA"/>
    </w:rPr>
  </w:style>
  <w:style w:type="paragraph" w:customStyle="1" w:styleId="3318">
    <w:name w:val="字母编号列项（一级）"/>
    <w:qFormat/>
    <w:uiPriority w:val="0"/>
    <w:pPr>
      <w:ind w:left="200" w:leftChars="200" w:hanging="420" w:hangingChars="200"/>
      <w:jc w:val="both"/>
    </w:pPr>
    <w:rPr>
      <w:rFonts w:ascii="宋体" w:hAnsi="Times New Roman" w:eastAsia="宋体" w:cs="Times New Roman"/>
      <w:sz w:val="21"/>
      <w:lang w:val="en-US" w:eastAsia="zh-CN" w:bidi="ar-SA"/>
    </w:rPr>
  </w:style>
  <w:style w:type="paragraph" w:customStyle="1" w:styleId="3319">
    <w:name w:val="自动表格内部"/>
    <w:basedOn w:val="1"/>
    <w:qFormat/>
    <w:uiPriority w:val="0"/>
    <w:pPr>
      <w:adjustRightInd w:val="0"/>
      <w:snapToGrid w:val="0"/>
      <w:jc w:val="center"/>
    </w:pPr>
    <w:rPr>
      <w:rFonts w:eastAsia="宋体" w:cs="黑体"/>
      <w:spacing w:val="-2"/>
      <w:kern w:val="0"/>
      <w:szCs w:val="21"/>
    </w:rPr>
  </w:style>
  <w:style w:type="paragraph" w:customStyle="1" w:styleId="3320">
    <w:name w:val="样式 标题 4H4Subsection + 黑色"/>
    <w:basedOn w:val="7"/>
    <w:qFormat/>
    <w:uiPriority w:val="0"/>
    <w:pPr>
      <w:tabs>
        <w:tab w:val="left" w:pos="-480"/>
        <w:tab w:val="left" w:pos="864"/>
        <w:tab w:val="left" w:pos="2153"/>
        <w:tab w:val="clear" w:pos="4008"/>
      </w:tabs>
      <w:adjustRightInd w:val="0"/>
      <w:snapToGrid w:val="0"/>
      <w:spacing w:line="360" w:lineRule="auto"/>
      <w:ind w:left="0" w:firstLine="200" w:firstLineChars="200"/>
      <w:jc w:val="both"/>
    </w:pPr>
    <w:rPr>
      <w:rFonts w:ascii="Times New Roman" w:hAnsi="Times New Roman" w:eastAsia="宋体"/>
      <w:bCs/>
      <w:spacing w:val="-2"/>
      <w:kern w:val="0"/>
      <w:szCs w:val="28"/>
    </w:rPr>
  </w:style>
  <w:style w:type="paragraph" w:customStyle="1" w:styleId="3321">
    <w:name w:val="xl205"/>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spacing w:val="-2"/>
      <w:kern w:val="0"/>
      <w:sz w:val="24"/>
    </w:rPr>
  </w:style>
  <w:style w:type="paragraph" w:customStyle="1" w:styleId="3322">
    <w:name w:val="样式 标题 3标题 13 + 四号"/>
    <w:basedOn w:val="6"/>
    <w:qFormat/>
    <w:uiPriority w:val="0"/>
    <w:pPr>
      <w:tabs>
        <w:tab w:val="left" w:pos="1022"/>
        <w:tab w:val="left" w:pos="1080"/>
        <w:tab w:val="left" w:pos="1202"/>
        <w:tab w:val="clear" w:pos="1789"/>
      </w:tabs>
      <w:spacing w:before="260" w:after="260" w:line="412" w:lineRule="auto"/>
      <w:ind w:left="1202" w:hanging="420"/>
    </w:pPr>
    <w:rPr>
      <w:rFonts w:hint="eastAsia" w:ascii="宋体" w:hAnsi="宋体" w:eastAsia="宋体" w:cs="宋体"/>
      <w:bCs w:val="0"/>
      <w:i/>
      <w:iCs/>
      <w:color w:val="000000"/>
      <w:spacing w:val="-2"/>
      <w:sz w:val="28"/>
      <w:szCs w:val="24"/>
    </w:rPr>
  </w:style>
  <w:style w:type="paragraph" w:customStyle="1" w:styleId="3323">
    <w:name w:val="myhome-tri"/>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24">
    <w:name w:val="附录"/>
    <w:basedOn w:val="1"/>
    <w:qFormat/>
    <w:uiPriority w:val="0"/>
    <w:pPr>
      <w:spacing w:before="120" w:after="120"/>
      <w:ind w:left="567" w:hanging="567"/>
      <w:jc w:val="center"/>
    </w:pPr>
    <w:rPr>
      <w:rFonts w:eastAsia="楷体_GB2312" w:cs="黑体"/>
      <w:b/>
      <w:bCs/>
      <w:spacing w:val="60"/>
      <w:kern w:val="0"/>
    </w:rPr>
  </w:style>
  <w:style w:type="character" w:customStyle="1" w:styleId="3325">
    <w:name w:val="z-窗体顶端 Char3"/>
    <w:semiHidden/>
    <w:qFormat/>
    <w:uiPriority w:val="99"/>
    <w:rPr>
      <w:rFonts w:ascii="Arial" w:hAnsi="Arial" w:eastAsia="仿宋_GB2312" w:cs="Arial"/>
      <w:vanish/>
      <w:kern w:val="2"/>
      <w:sz w:val="16"/>
      <w:szCs w:val="16"/>
    </w:rPr>
  </w:style>
  <w:style w:type="paragraph" w:customStyle="1" w:styleId="3326">
    <w:name w:val="Char Char Char Char Char Char Char Char Char1 Char Char Char Char Char Char Char Char Char Char1"/>
    <w:basedOn w:val="1"/>
    <w:qFormat/>
    <w:uiPriority w:val="0"/>
    <w:rPr>
      <w:rFonts w:ascii="宋体" w:hAnsi="宋体" w:eastAsia="宋体" w:cs="Courier New"/>
      <w:sz w:val="32"/>
      <w:szCs w:val="32"/>
    </w:rPr>
  </w:style>
  <w:style w:type="paragraph" w:customStyle="1" w:styleId="3327">
    <w:name w:val="catalog-holder"/>
    <w:basedOn w:val="1"/>
    <w:qFormat/>
    <w:uiPriority w:val="0"/>
    <w:pPr>
      <w:widowControl/>
      <w:shd w:val="clear" w:color="auto" w:fill="FAFAFA"/>
      <w:spacing w:before="100" w:beforeAutospacing="1" w:after="100" w:afterAutospacing="1" w:line="300" w:lineRule="atLeast"/>
      <w:ind w:firstLine="150"/>
      <w:jc w:val="left"/>
    </w:pPr>
    <w:rPr>
      <w:rFonts w:ascii="宋体" w:hAnsi="Calibri" w:eastAsia="宋体" w:cs="宋体"/>
      <w:color w:val="136EC2"/>
      <w:spacing w:val="-2"/>
      <w:kern w:val="0"/>
      <w:sz w:val="18"/>
      <w:szCs w:val="18"/>
    </w:rPr>
  </w:style>
  <w:style w:type="paragraph" w:customStyle="1" w:styleId="3328">
    <w:name w:val="表后段落"/>
    <w:basedOn w:val="1"/>
    <w:next w:val="1"/>
    <w:qFormat/>
    <w:uiPriority w:val="0"/>
    <w:pPr>
      <w:spacing w:before="240"/>
      <w:ind w:firstLine="200" w:firstLineChars="200"/>
    </w:pPr>
    <w:rPr>
      <w:rFonts w:ascii="Arial" w:hAnsi="Arial" w:eastAsia="宋体" w:cs="黑体"/>
      <w:spacing w:val="-2"/>
      <w:kern w:val="0"/>
      <w:sz w:val="24"/>
    </w:rPr>
  </w:style>
  <w:style w:type="paragraph" w:customStyle="1" w:styleId="3329">
    <w:name w:val="h"/>
    <w:basedOn w:val="1"/>
    <w:next w:val="5"/>
    <w:qFormat/>
    <w:uiPriority w:val="0"/>
    <w:pPr>
      <w:keepNext/>
      <w:keepLines/>
      <w:adjustRightInd w:val="0"/>
      <w:spacing w:line="360" w:lineRule="auto"/>
      <w:jc w:val="left"/>
      <w:outlineLvl w:val="3"/>
    </w:pPr>
    <w:rPr>
      <w:rFonts w:eastAsia="宋体" w:cs="黑体"/>
      <w:spacing w:val="-2"/>
      <w:kern w:val="0"/>
      <w:sz w:val="24"/>
    </w:rPr>
  </w:style>
  <w:style w:type="paragraph" w:customStyle="1" w:styleId="3330">
    <w:name w:val="样式 标题 2标题2 + 首行缩进:  2 字符 段前: 0.1 行"/>
    <w:basedOn w:val="4"/>
    <w:qFormat/>
    <w:uiPriority w:val="99"/>
    <w:pPr>
      <w:spacing w:after="120" w:line="360" w:lineRule="auto"/>
      <w:ind w:left="0" w:firstLine="0"/>
      <w:jc w:val="left"/>
    </w:pPr>
    <w:rPr>
      <w:rFonts w:ascii="Times New Roman" w:hAnsi="Times New Roman" w:eastAsia="宋体" w:cs="宋体"/>
      <w:b/>
      <w:bCs/>
      <w:spacing w:val="-2"/>
      <w:w w:val="95"/>
      <w:kern w:val="0"/>
      <w:sz w:val="32"/>
      <w:szCs w:val="32"/>
    </w:rPr>
  </w:style>
  <w:style w:type="paragraph" w:customStyle="1" w:styleId="3331">
    <w:name w:val="正文仿宋小四"/>
    <w:basedOn w:val="1"/>
    <w:qFormat/>
    <w:uiPriority w:val="0"/>
    <w:pPr>
      <w:adjustRightInd w:val="0"/>
      <w:snapToGrid w:val="0"/>
      <w:ind w:firstLine="200" w:firstLineChars="200"/>
    </w:pPr>
    <w:rPr>
      <w:rFonts w:cs="黑体"/>
      <w:spacing w:val="-2"/>
      <w:kern w:val="0"/>
      <w:sz w:val="24"/>
    </w:rPr>
  </w:style>
  <w:style w:type="paragraph" w:customStyle="1" w:styleId="3332">
    <w:name w:val="Char Char4 Char Char Char Char2"/>
    <w:basedOn w:val="1"/>
    <w:qFormat/>
    <w:uiPriority w:val="0"/>
    <w:rPr>
      <w:rFonts w:eastAsia="宋体" w:cs="黑体"/>
      <w:spacing w:val="-2"/>
      <w:kern w:val="0"/>
      <w:sz w:val="24"/>
    </w:rPr>
  </w:style>
  <w:style w:type="paragraph" w:customStyle="1" w:styleId="3333">
    <w:name w:val="b-ent-toc-action"/>
    <w:basedOn w:val="1"/>
    <w:qFormat/>
    <w:uiPriority w:val="0"/>
    <w:pPr>
      <w:widowControl/>
      <w:ind w:left="75" w:right="75"/>
      <w:jc w:val="left"/>
    </w:pPr>
    <w:rPr>
      <w:rFonts w:ascii="宋体" w:hAnsi="Calibri" w:eastAsia="宋体" w:cs="宋体"/>
      <w:spacing w:val="-2"/>
      <w:kern w:val="0"/>
      <w:sz w:val="24"/>
      <w:szCs w:val="21"/>
    </w:rPr>
  </w:style>
  <w:style w:type="paragraph" w:customStyle="1" w:styleId="3334">
    <w:name w:val="样式 样式 首行缩进:  2 字符 + 五号 加粗 首行缩进:  2 字符"/>
    <w:basedOn w:val="1"/>
    <w:qFormat/>
    <w:uiPriority w:val="0"/>
    <w:pPr>
      <w:spacing w:line="360" w:lineRule="auto"/>
      <w:ind w:firstLine="480" w:firstLineChars="200"/>
    </w:pPr>
    <w:rPr>
      <w:rFonts w:hAnsi="宋体" w:eastAsia="宋体" w:cs="黑体"/>
      <w:bCs/>
      <w:color w:val="000000"/>
      <w:spacing w:val="-2"/>
      <w:kern w:val="0"/>
      <w:sz w:val="24"/>
    </w:rPr>
  </w:style>
  <w:style w:type="paragraph" w:customStyle="1" w:styleId="3335">
    <w:name w:val="正文缩进2字 Char Char Char Char"/>
    <w:qFormat/>
    <w:uiPriority w:val="0"/>
    <w:pPr>
      <w:snapToGrid w:val="0"/>
      <w:spacing w:beforeLines="50" w:line="360" w:lineRule="auto"/>
      <w:ind w:firstLine="200" w:firstLineChars="200"/>
    </w:pPr>
    <w:rPr>
      <w:rFonts w:ascii="Times New Roman" w:hAnsi="Times New Roman" w:eastAsia="宋体" w:cs="Times New Roman"/>
      <w:lang w:val="en-US" w:eastAsia="zh-CN" w:bidi="ar-SA"/>
    </w:rPr>
  </w:style>
  <w:style w:type="paragraph" w:customStyle="1" w:styleId="3336">
    <w:name w:val="dxj表后"/>
    <w:basedOn w:val="2155"/>
    <w:qFormat/>
    <w:uiPriority w:val="0"/>
    <w:pPr>
      <w:keepLines/>
      <w:spacing w:line="280" w:lineRule="exact"/>
      <w:ind w:firstLine="0" w:firstLineChars="0"/>
    </w:pPr>
    <w:rPr>
      <w:sz w:val="18"/>
    </w:rPr>
  </w:style>
  <w:style w:type="paragraph" w:customStyle="1" w:styleId="3337">
    <w:name w:val="mr8"/>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38">
    <w:name w:val="正文 2"/>
    <w:basedOn w:val="1"/>
    <w:qFormat/>
    <w:uiPriority w:val="0"/>
    <w:pPr>
      <w:autoSpaceDE w:val="0"/>
      <w:autoSpaceDN w:val="0"/>
      <w:spacing w:line="300" w:lineRule="auto"/>
      <w:ind w:firstLine="510"/>
    </w:pPr>
    <w:rPr>
      <w:rFonts w:eastAsia="楷体_GB2312" w:cs="黑体"/>
      <w:spacing w:val="-2"/>
      <w:kern w:val="0"/>
      <w:sz w:val="24"/>
    </w:rPr>
  </w:style>
  <w:style w:type="paragraph" w:customStyle="1" w:styleId="3339">
    <w:name w:val="entries-box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40">
    <w:name w:val="xl208"/>
    <w:basedOn w:val="1"/>
    <w:qFormat/>
    <w:uiPriority w:val="0"/>
    <w:pPr>
      <w:widowControl/>
      <w:pBdr>
        <w:bottom w:val="single" w:color="auto" w:sz="4" w:space="0"/>
      </w:pBdr>
      <w:spacing w:before="100" w:beforeAutospacing="1" w:after="100" w:afterAutospacing="1"/>
      <w:jc w:val="left"/>
    </w:pPr>
    <w:rPr>
      <w:rFonts w:ascii="宋体" w:hAnsi="宋体" w:eastAsia="宋体" w:cs="宋体"/>
      <w:spacing w:val="-2"/>
      <w:kern w:val="0"/>
      <w:sz w:val="24"/>
    </w:rPr>
  </w:style>
  <w:style w:type="paragraph" w:customStyle="1" w:styleId="3341">
    <w:name w:val="样式43"/>
    <w:basedOn w:val="1"/>
    <w:qFormat/>
    <w:uiPriority w:val="0"/>
    <w:pPr>
      <w:keepNext/>
      <w:keepLines/>
      <w:spacing w:beforeLines="50" w:line="360" w:lineRule="auto"/>
      <w:outlineLvl w:val="0"/>
    </w:pPr>
    <w:rPr>
      <w:rFonts w:eastAsia="黑体" w:cs="黑体"/>
      <w:b/>
      <w:bCs/>
      <w:spacing w:val="-2"/>
      <w:kern w:val="44"/>
      <w:sz w:val="30"/>
      <w:szCs w:val="30"/>
    </w:rPr>
  </w:style>
  <w:style w:type="paragraph" w:customStyle="1" w:styleId="3342">
    <w:name w:val="目录2"/>
    <w:basedOn w:val="1"/>
    <w:qFormat/>
    <w:uiPriority w:val="0"/>
    <w:pPr>
      <w:widowControl/>
      <w:tabs>
        <w:tab w:val="left" w:leader="dot" w:pos="7370"/>
      </w:tabs>
      <w:spacing w:line="317" w:lineRule="atLeast"/>
      <w:ind w:firstLine="209"/>
    </w:pPr>
    <w:rPr>
      <w:rFonts w:eastAsia="宋体" w:cs="黑体"/>
      <w:color w:val="000000"/>
      <w:spacing w:val="-2"/>
      <w:kern w:val="0"/>
      <w:u w:color="000000"/>
    </w:rPr>
  </w:style>
  <w:style w:type="paragraph" w:customStyle="1" w:styleId="3343">
    <w:name w:val="Char Char Char3 Char1"/>
    <w:basedOn w:val="1"/>
    <w:qFormat/>
    <w:uiPriority w:val="0"/>
    <w:rPr>
      <w:rFonts w:eastAsia="宋体"/>
      <w:sz w:val="21"/>
    </w:rPr>
  </w:style>
  <w:style w:type="paragraph" w:customStyle="1" w:styleId="3344">
    <w:name w:val="Char Char Char1 Char Char Char Char Char Char Char Char Char1 Char Char Char Char1"/>
    <w:basedOn w:val="1"/>
    <w:qFormat/>
    <w:uiPriority w:val="0"/>
    <w:rPr>
      <w:rFonts w:eastAsia="宋体"/>
      <w:sz w:val="21"/>
      <w:szCs w:val="24"/>
    </w:rPr>
  </w:style>
  <w:style w:type="paragraph" w:customStyle="1" w:styleId="3345">
    <w:name w:val="command"/>
    <w:basedOn w:val="1"/>
    <w:qFormat/>
    <w:uiPriority w:val="0"/>
    <w:pPr>
      <w:widowControl/>
      <w:spacing w:before="100" w:beforeAutospacing="1" w:after="100" w:afterAutospacing="1"/>
      <w:jc w:val="center"/>
    </w:pPr>
    <w:rPr>
      <w:rFonts w:ascii="宋体" w:hAnsi="Calibri" w:eastAsia="宋体" w:cs="宋体"/>
      <w:spacing w:val="-2"/>
      <w:kern w:val="0"/>
      <w:sz w:val="24"/>
      <w:szCs w:val="21"/>
    </w:rPr>
  </w:style>
  <w:style w:type="paragraph" w:customStyle="1" w:styleId="3346">
    <w:name w:val="font22"/>
    <w:basedOn w:val="1"/>
    <w:qFormat/>
    <w:uiPriority w:val="0"/>
    <w:pPr>
      <w:spacing w:before="100" w:beforeAutospacing="1" w:after="100" w:afterAutospacing="1"/>
    </w:pPr>
    <w:rPr>
      <w:rFonts w:eastAsia="宋体" w:cs="黑体"/>
      <w:spacing w:val="-2"/>
      <w:kern w:val="0"/>
      <w:sz w:val="24"/>
    </w:rPr>
  </w:style>
  <w:style w:type="paragraph" w:customStyle="1" w:styleId="3347">
    <w:name w:val="页面 3"/>
    <w:basedOn w:val="1"/>
    <w:qFormat/>
    <w:uiPriority w:val="0"/>
    <w:pPr>
      <w:jc w:val="center"/>
    </w:pPr>
    <w:rPr>
      <w:rFonts w:eastAsia="隶书" w:cs="黑体"/>
      <w:spacing w:val="-2"/>
      <w:kern w:val="0"/>
      <w:sz w:val="52"/>
    </w:rPr>
  </w:style>
  <w:style w:type="paragraph" w:customStyle="1" w:styleId="3348">
    <w:name w:val="Char Char Char Char Char Char Char Char Char Char Char Char Char Char Char Char Char Char Char Char Char Char4"/>
    <w:basedOn w:val="1"/>
    <w:next w:val="1"/>
    <w:qFormat/>
    <w:uiPriority w:val="0"/>
    <w:pPr>
      <w:spacing w:line="360" w:lineRule="auto"/>
      <w:ind w:firstLine="200" w:firstLineChars="200"/>
      <w:jc w:val="center"/>
    </w:pPr>
    <w:rPr>
      <w:rFonts w:eastAsia="宋体"/>
      <w:sz w:val="21"/>
      <w:szCs w:val="24"/>
    </w:rPr>
  </w:style>
  <w:style w:type="paragraph" w:customStyle="1" w:styleId="3349">
    <w:name w:val="dxj标题4"/>
    <w:basedOn w:val="7"/>
    <w:qFormat/>
    <w:uiPriority w:val="0"/>
    <w:pPr>
      <w:tabs>
        <w:tab w:val="left" w:pos="2153"/>
        <w:tab w:val="clear" w:pos="4008"/>
      </w:tabs>
      <w:spacing w:line="360" w:lineRule="auto"/>
      <w:ind w:left="0" w:firstLine="0"/>
      <w:jc w:val="left"/>
    </w:pPr>
    <w:rPr>
      <w:rFonts w:ascii="Times New Roman" w:hAnsi="Times New Roman" w:eastAsia="Times New Roman"/>
      <w:b w:val="0"/>
      <w:bCs/>
      <w:color w:val="auto"/>
      <w:szCs w:val="28"/>
    </w:rPr>
  </w:style>
  <w:style w:type="paragraph" w:customStyle="1" w:styleId="3350">
    <w:name w:val="正文7"/>
    <w:qFormat/>
    <w:uiPriority w:val="0"/>
    <w:pPr>
      <w:widowControl w:val="0"/>
      <w:adjustRightInd w:val="0"/>
      <w:spacing w:line="315" w:lineRule="atLeast"/>
    </w:pPr>
    <w:rPr>
      <w:rFonts w:ascii="宋体" w:hAnsi="Times New Roman" w:eastAsia="宋体" w:cs="Times New Roman"/>
      <w:sz w:val="24"/>
      <w:lang w:val="en-US" w:eastAsia="zh-CN" w:bidi="ar-SA"/>
    </w:rPr>
  </w:style>
  <w:style w:type="paragraph" w:customStyle="1" w:styleId="3351">
    <w:name w:val="列出段落11"/>
    <w:basedOn w:val="1"/>
    <w:qFormat/>
    <w:uiPriority w:val="0"/>
    <w:pPr>
      <w:spacing w:before="120" w:after="120"/>
      <w:ind w:firstLine="420" w:firstLineChars="200"/>
    </w:pPr>
    <w:rPr>
      <w:rFonts w:eastAsia="宋体"/>
      <w:kern w:val="28"/>
      <w:sz w:val="32"/>
      <w:szCs w:val="32"/>
    </w:rPr>
  </w:style>
  <w:style w:type="paragraph" w:customStyle="1" w:styleId="3352">
    <w:name w:val="AFTERTITLE"/>
    <w:basedOn w:val="1"/>
    <w:qFormat/>
    <w:uiPriority w:val="0"/>
    <w:pPr>
      <w:widowControl/>
      <w:spacing w:line="360" w:lineRule="atLeast"/>
      <w:jc w:val="center"/>
    </w:pPr>
    <w:rPr>
      <w:rFonts w:eastAsia="宋体" w:cs="黑体"/>
      <w:b/>
      <w:caps/>
      <w:spacing w:val="-2"/>
      <w:kern w:val="0"/>
      <w:sz w:val="24"/>
      <w:lang w:eastAsia="en-US"/>
    </w:rPr>
  </w:style>
  <w:style w:type="paragraph" w:customStyle="1" w:styleId="3353">
    <w:name w:val="川岛插图"/>
    <w:basedOn w:val="1"/>
    <w:qFormat/>
    <w:uiPriority w:val="0"/>
    <w:pPr>
      <w:ind w:firstLine="200" w:firstLineChars="200"/>
      <w:jc w:val="center"/>
    </w:pPr>
    <w:rPr>
      <w:rFonts w:eastAsia="宋体" w:cs="黑体"/>
      <w:color w:val="000000"/>
      <w:spacing w:val="-2"/>
      <w:kern w:val="0"/>
      <w:sz w:val="24"/>
    </w:rPr>
  </w:style>
  <w:style w:type="paragraph" w:customStyle="1" w:styleId="3354">
    <w:name w:val="标题2－0909"/>
    <w:basedOn w:val="4"/>
    <w:qFormat/>
    <w:uiPriority w:val="0"/>
    <w:pPr>
      <w:keepLines w:val="0"/>
      <w:tabs>
        <w:tab w:val="left" w:pos="1378"/>
        <w:tab w:val="left" w:pos="1476"/>
        <w:tab w:val="clear" w:pos="567"/>
      </w:tabs>
      <w:adjustRightInd w:val="0"/>
      <w:snapToGrid w:val="0"/>
      <w:spacing w:before="0" w:beforeLines="50" w:after="0"/>
      <w:ind w:left="1378" w:hanging="420"/>
    </w:pPr>
    <w:rPr>
      <w:rFonts w:ascii="宋体" w:hAnsi="宋体" w:cs="宋体"/>
      <w:b/>
      <w:spacing w:val="-2"/>
      <w:kern w:val="0"/>
      <w:szCs w:val="24"/>
    </w:rPr>
  </w:style>
  <w:style w:type="paragraph" w:customStyle="1" w:styleId="3355">
    <w:name w:val="Char Char Char Char Char Char Char Char Char Char Char Char Char Char Char Char Char Char Char Char Char Char Char Char Char Char Char Char Char Char Char Char Char Char Char Char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356">
    <w:name w:val="GH1_03一、标题"/>
    <w:next w:val="1"/>
    <w:qFormat/>
    <w:uiPriority w:val="0"/>
    <w:pPr>
      <w:keepNext/>
      <w:spacing w:line="360" w:lineRule="auto"/>
      <w:jc w:val="both"/>
      <w:outlineLvl w:val="2"/>
    </w:pPr>
    <w:rPr>
      <w:rFonts w:ascii="Times New Roman" w:hAnsi="Times New Roman" w:eastAsia="黑体" w:cs="Times New Roman"/>
      <w:b/>
      <w:sz w:val="32"/>
      <w:szCs w:val="24"/>
      <w:lang w:val="en-US" w:eastAsia="zh-CN" w:bidi="ar-SA"/>
    </w:rPr>
  </w:style>
  <w:style w:type="paragraph" w:customStyle="1" w:styleId="3357">
    <w:name w:val="Char4 Char Char Char1"/>
    <w:basedOn w:val="1"/>
    <w:qFormat/>
    <w:uiPriority w:val="0"/>
    <w:pPr>
      <w:widowControl/>
      <w:snapToGrid w:val="0"/>
      <w:spacing w:after="160" w:line="300" w:lineRule="auto"/>
      <w:jc w:val="left"/>
    </w:pPr>
    <w:rPr>
      <w:rFonts w:ascii="仿宋_GB2312" w:hAnsi="Verdana"/>
      <w:b/>
      <w:kern w:val="0"/>
      <w:szCs w:val="28"/>
      <w:lang w:eastAsia="en-US"/>
    </w:rPr>
  </w:style>
  <w:style w:type="paragraph" w:customStyle="1" w:styleId="3358">
    <w:name w:val="日期11"/>
    <w:basedOn w:val="1"/>
    <w:next w:val="1"/>
    <w:qFormat/>
    <w:uiPriority w:val="0"/>
    <w:pPr>
      <w:autoSpaceDE w:val="0"/>
      <w:autoSpaceDN w:val="0"/>
      <w:adjustRightInd w:val="0"/>
    </w:pPr>
    <w:rPr>
      <w:rFonts w:eastAsia="宋体" w:cs="黑体"/>
      <w:spacing w:val="5"/>
      <w:kern w:val="0"/>
      <w:sz w:val="24"/>
    </w:rPr>
  </w:style>
  <w:style w:type="paragraph" w:customStyle="1" w:styleId="3359">
    <w:name w:val="字元 字元 Char Char 字元 字元13"/>
    <w:basedOn w:val="1"/>
    <w:qFormat/>
    <w:uiPriority w:val="0"/>
    <w:rPr>
      <w:rFonts w:eastAsia="宋体" w:cs="黑体"/>
      <w:spacing w:val="-2"/>
      <w:kern w:val="0"/>
      <w:sz w:val="24"/>
    </w:rPr>
  </w:style>
  <w:style w:type="paragraph" w:customStyle="1" w:styleId="3360">
    <w:name w:val="table-title1"/>
    <w:basedOn w:val="1"/>
    <w:qFormat/>
    <w:uiPriority w:val="0"/>
    <w:pPr>
      <w:widowControl/>
      <w:spacing w:before="100" w:beforeAutospacing="1" w:after="100" w:afterAutospacing="1"/>
      <w:jc w:val="left"/>
    </w:pPr>
    <w:rPr>
      <w:rFonts w:ascii="宋体" w:hAnsi="Calibri" w:eastAsia="宋体" w:cs="宋体"/>
      <w:color w:val="000000"/>
      <w:spacing w:val="-2"/>
      <w:kern w:val="0"/>
      <w:sz w:val="24"/>
      <w:szCs w:val="21"/>
    </w:rPr>
  </w:style>
  <w:style w:type="paragraph" w:customStyle="1" w:styleId="3361">
    <w:name w:val="样式 样式 标题 2标题 21标题 121标题 2 Char1 Char节H2节标题 1.1节标题 1.1 Char... + ..."/>
    <w:basedOn w:val="1"/>
    <w:qFormat/>
    <w:uiPriority w:val="0"/>
    <w:pPr>
      <w:widowControl/>
      <w:adjustRightInd w:val="0"/>
      <w:spacing w:before="156" w:after="156" w:line="460" w:lineRule="exact"/>
      <w:jc w:val="left"/>
      <w:outlineLvl w:val="1"/>
    </w:pPr>
    <w:rPr>
      <w:rFonts w:eastAsia="黑体" w:cs="宋体"/>
      <w:b/>
      <w:bCs/>
      <w:color w:val="000000"/>
      <w:spacing w:val="-2"/>
      <w:kern w:val="0"/>
    </w:rPr>
  </w:style>
  <w:style w:type="paragraph" w:customStyle="1" w:styleId="3362">
    <w:name w:val="样式72"/>
    <w:basedOn w:val="1"/>
    <w:qFormat/>
    <w:uiPriority w:val="0"/>
    <w:pPr>
      <w:keepNext/>
      <w:keepLines/>
      <w:spacing w:beforeLines="50" w:line="360" w:lineRule="auto"/>
      <w:outlineLvl w:val="1"/>
    </w:pPr>
    <w:rPr>
      <w:rFonts w:ascii="黑体" w:hAnsi="Calibri" w:eastAsia="黑体" w:cs="黑体"/>
      <w:bCs/>
      <w:spacing w:val="-2"/>
      <w:kern w:val="0"/>
      <w:sz w:val="30"/>
      <w:szCs w:val="30"/>
    </w:rPr>
  </w:style>
  <w:style w:type="paragraph" w:customStyle="1" w:styleId="3363">
    <w:name w:val="标题 0"/>
    <w:basedOn w:val="4"/>
    <w:qFormat/>
    <w:uiPriority w:val="0"/>
    <w:pPr>
      <w:tabs>
        <w:tab w:val="left" w:pos="1476"/>
        <w:tab w:val="clear" w:pos="567"/>
      </w:tabs>
      <w:adjustRightInd w:val="0"/>
      <w:snapToGrid w:val="0"/>
      <w:spacing w:before="0" w:beforeLines="10" w:after="260" w:line="410" w:lineRule="auto"/>
      <w:ind w:left="840" w:firstLine="200" w:firstLineChars="200"/>
    </w:pPr>
    <w:rPr>
      <w:rFonts w:ascii="Arial" w:cs="宋体"/>
      <w:b/>
      <w:bCs/>
      <w:color w:val="FF0000"/>
      <w:spacing w:val="-2"/>
      <w:kern w:val="0"/>
      <w:sz w:val="24"/>
      <w:szCs w:val="32"/>
    </w:rPr>
  </w:style>
  <w:style w:type="paragraph" w:customStyle="1" w:styleId="3364">
    <w:name w:val="main-body"/>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365">
    <w:name w:val="样式 (符号) 宋体 二号 加粗 黑色 居中 行距: 1.5 倍行距"/>
    <w:basedOn w:val="85"/>
    <w:qFormat/>
    <w:uiPriority w:val="0"/>
    <w:pPr>
      <w:keepNext w:val="0"/>
      <w:keepLines w:val="0"/>
      <w:tabs>
        <w:tab w:val="clear" w:pos="1080"/>
        <w:tab w:val="clear" w:pos="1789"/>
      </w:tabs>
      <w:adjustRightInd w:val="0"/>
      <w:spacing w:before="240" w:after="60" w:line="360" w:lineRule="auto"/>
      <w:jc w:val="center"/>
      <w:outlineLvl w:val="0"/>
    </w:pPr>
    <w:rPr>
      <w:rFonts w:ascii="Arial" w:hAnsi="Arial" w:eastAsia="宋体" w:cs="宋体"/>
      <w:color w:val="000000"/>
      <w:sz w:val="44"/>
      <w:szCs w:val="20"/>
    </w:rPr>
  </w:style>
  <w:style w:type="paragraph" w:customStyle="1" w:styleId="3366">
    <w:name w:val="样式 纯文本 + 黑体"/>
    <w:basedOn w:val="46"/>
    <w:qFormat/>
    <w:uiPriority w:val="0"/>
    <w:pPr>
      <w:tabs>
        <w:tab w:val="left" w:pos="1620"/>
      </w:tabs>
    </w:pPr>
    <w:rPr>
      <w:rFonts w:ascii="黑体" w:hAnsi="黑体" w:cs="宋体"/>
      <w:bCs/>
      <w:kern w:val="0"/>
      <w:sz w:val="24"/>
      <w:szCs w:val="24"/>
    </w:rPr>
  </w:style>
  <w:style w:type="paragraph" w:customStyle="1" w:styleId="3367">
    <w:name w:val="xl19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eastAsia="宋体" w:cs="宋体"/>
      <w:b/>
      <w:bCs/>
      <w:color w:val="008000"/>
      <w:spacing w:val="-2"/>
      <w:kern w:val="0"/>
      <w:sz w:val="24"/>
    </w:rPr>
  </w:style>
  <w:style w:type="paragraph" w:customStyle="1" w:styleId="3368">
    <w:name w:val="图标题"/>
    <w:basedOn w:val="1"/>
    <w:qFormat/>
    <w:uiPriority w:val="0"/>
    <w:pPr>
      <w:jc w:val="center"/>
    </w:pPr>
    <w:rPr>
      <w:rFonts w:eastAsia="宋体" w:cs="黑体"/>
      <w:spacing w:val="-2"/>
      <w:kern w:val="0"/>
      <w:sz w:val="24"/>
    </w:rPr>
  </w:style>
  <w:style w:type="paragraph" w:customStyle="1" w:styleId="3369">
    <w:name w:val="样式 标题 1第一标题 + 段前: 0.3 行 段后: 0.3 行"/>
    <w:basedOn w:val="3"/>
    <w:qFormat/>
    <w:uiPriority w:val="0"/>
    <w:pPr>
      <w:keepNext w:val="0"/>
      <w:keepLines w:val="0"/>
      <w:pageBreakBefore w:val="0"/>
      <w:tabs>
        <w:tab w:val="left" w:pos="1340"/>
        <w:tab w:val="clear" w:pos="1080"/>
      </w:tabs>
      <w:autoSpaceDE w:val="0"/>
      <w:autoSpaceDN w:val="0"/>
      <w:adjustRightInd w:val="0"/>
      <w:spacing w:before="0" w:beforeLines="50" w:after="0" w:line="240" w:lineRule="auto"/>
      <w:ind w:left="1340" w:hanging="420"/>
      <w:jc w:val="both"/>
    </w:pPr>
    <w:rPr>
      <w:rFonts w:ascii="宋体" w:hAnsi="宋体" w:eastAsia="黑体" w:cs="宋体"/>
      <w:b w:val="0"/>
      <w:spacing w:val="-2"/>
      <w:kern w:val="0"/>
      <w:sz w:val="32"/>
      <w:lang w:val="zh-CN"/>
    </w:rPr>
  </w:style>
  <w:style w:type="paragraph" w:customStyle="1" w:styleId="3370">
    <w:name w:val="Char1 Char Char Char3"/>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3371">
    <w:name w:val="user-card"/>
    <w:basedOn w:val="1"/>
    <w:qFormat/>
    <w:uiPriority w:val="0"/>
    <w:pPr>
      <w:widowControl/>
      <w:pBdr>
        <w:top w:val="single" w:color="B3DAFF" w:sz="6" w:space="0"/>
        <w:left w:val="single" w:color="B3DAFF" w:sz="6" w:space="0"/>
        <w:bottom w:val="single" w:color="B3DAFF" w:sz="6" w:space="0"/>
        <w:right w:val="single" w:color="B3DAFF" w:sz="6" w:space="0"/>
      </w:pBdr>
      <w:shd w:val="clear" w:color="auto" w:fill="F7FCFF"/>
      <w:spacing w:before="100" w:beforeAutospacing="1" w:after="100" w:afterAutospacing="1"/>
      <w:jc w:val="left"/>
    </w:pPr>
    <w:rPr>
      <w:rFonts w:ascii="Arial" w:hAnsi="Arial" w:eastAsia="宋体" w:cs="Arial"/>
      <w:spacing w:val="-2"/>
      <w:kern w:val="0"/>
      <w:sz w:val="18"/>
      <w:szCs w:val="18"/>
    </w:rPr>
  </w:style>
  <w:style w:type="paragraph" w:customStyle="1" w:styleId="3372">
    <w:name w:val="reader-word-layer reader-word-s1-17"/>
    <w:basedOn w:val="1"/>
    <w:qFormat/>
    <w:uiPriority w:val="0"/>
    <w:pPr>
      <w:widowControl/>
      <w:spacing w:before="100" w:beforeAutospacing="1" w:after="100" w:afterAutospacing="1"/>
      <w:jc w:val="left"/>
    </w:pPr>
    <w:rPr>
      <w:rFonts w:ascii="宋体" w:hAnsi="Calibri" w:eastAsia="宋体" w:cs="宋体"/>
      <w:spacing w:val="-2"/>
      <w:kern w:val="0"/>
      <w:sz w:val="24"/>
    </w:rPr>
  </w:style>
  <w:style w:type="paragraph" w:customStyle="1" w:styleId="3373">
    <w:name w:val="图注"/>
    <w:basedOn w:val="1"/>
    <w:qFormat/>
    <w:uiPriority w:val="0"/>
    <w:pPr>
      <w:spacing w:before="120" w:after="120"/>
      <w:jc w:val="center"/>
    </w:pPr>
    <w:rPr>
      <w:rFonts w:eastAsia="黑体" w:cs="黑体"/>
      <w:b/>
      <w:spacing w:val="-2"/>
      <w:kern w:val="0"/>
    </w:rPr>
  </w:style>
  <w:style w:type="paragraph" w:customStyle="1" w:styleId="3374">
    <w:name w:val="风险评价正文"/>
    <w:basedOn w:val="1"/>
    <w:qFormat/>
    <w:uiPriority w:val="0"/>
    <w:pPr>
      <w:spacing w:line="324" w:lineRule="auto"/>
      <w:ind w:firstLine="200" w:firstLineChars="200"/>
    </w:pPr>
    <w:rPr>
      <w:rFonts w:eastAsia="宋体" w:cs="黑体"/>
      <w:color w:val="000000"/>
      <w:spacing w:val="8"/>
      <w:kern w:val="0"/>
      <w:sz w:val="24"/>
    </w:rPr>
  </w:style>
  <w:style w:type="paragraph" w:customStyle="1" w:styleId="3375">
    <w:name w:val="p17"/>
    <w:basedOn w:val="1"/>
    <w:qFormat/>
    <w:uiPriority w:val="0"/>
    <w:pPr>
      <w:widowControl/>
      <w:ind w:left="480"/>
    </w:pPr>
    <w:rPr>
      <w:rFonts w:eastAsia="宋体" w:cs="黑体"/>
      <w:kern w:val="0"/>
      <w:szCs w:val="28"/>
    </w:rPr>
  </w:style>
  <w:style w:type="paragraph" w:customStyle="1" w:styleId="3376">
    <w:name w:val="1文章"/>
    <w:basedOn w:val="1"/>
    <w:qFormat/>
    <w:uiPriority w:val="0"/>
    <w:pPr>
      <w:snapToGrid w:val="0"/>
      <w:spacing w:line="360" w:lineRule="auto"/>
      <w:ind w:firstLine="573"/>
      <w:outlineLvl w:val="4"/>
    </w:pPr>
    <w:rPr>
      <w:rFonts w:cs="黑体"/>
      <w:spacing w:val="-2"/>
      <w:kern w:val="0"/>
    </w:rPr>
  </w:style>
  <w:style w:type="paragraph" w:customStyle="1" w:styleId="3377">
    <w:name w:val="t_edit21"/>
    <w:basedOn w:val="1"/>
    <w:qFormat/>
    <w:uiPriority w:val="0"/>
    <w:pPr>
      <w:widowControl/>
      <w:spacing w:before="120"/>
      <w:ind w:right="75"/>
      <w:jc w:val="left"/>
    </w:pPr>
    <w:rPr>
      <w:rFonts w:ascii="Arial" w:hAnsi="Arial" w:eastAsia="宋体" w:cs="Arial"/>
      <w:b/>
      <w:bCs/>
      <w:spacing w:val="-2"/>
      <w:kern w:val="0"/>
      <w:szCs w:val="21"/>
    </w:rPr>
  </w:style>
  <w:style w:type="paragraph" w:customStyle="1" w:styleId="3378">
    <w:name w:val="样式 Tahoma 小四 段前: 7.9 磅"/>
    <w:basedOn w:val="1"/>
    <w:qFormat/>
    <w:uiPriority w:val="99"/>
    <w:pPr>
      <w:spacing w:before="158"/>
      <w:ind w:firstLine="420" w:firstLineChars="175"/>
    </w:pPr>
    <w:rPr>
      <w:rFonts w:ascii="Tahoma" w:hAnsi="Tahoma" w:eastAsia="宋体" w:cs="宋体"/>
      <w:kern w:val="28"/>
      <w:sz w:val="32"/>
    </w:rPr>
  </w:style>
  <w:style w:type="paragraph" w:customStyle="1" w:styleId="3379">
    <w:name w:val="文本文字"/>
    <w:basedOn w:val="1"/>
    <w:qFormat/>
    <w:uiPriority w:val="0"/>
    <w:pPr>
      <w:overflowPunct w:val="0"/>
      <w:autoSpaceDE w:val="0"/>
      <w:autoSpaceDN w:val="0"/>
      <w:adjustRightInd w:val="0"/>
      <w:spacing w:line="240" w:lineRule="atLeast"/>
    </w:pPr>
    <w:rPr>
      <w:rFonts w:cs="黑体"/>
      <w:spacing w:val="-2"/>
      <w:kern w:val="0"/>
    </w:rPr>
  </w:style>
  <w:style w:type="paragraph" w:customStyle="1" w:styleId="3380">
    <w:name w:val="戚标题2"/>
    <w:basedOn w:val="4"/>
    <w:qFormat/>
    <w:uiPriority w:val="0"/>
    <w:pPr>
      <w:keepNext w:val="0"/>
      <w:keepLines w:val="0"/>
      <w:tabs>
        <w:tab w:val="left" w:pos="0"/>
        <w:tab w:val="left" w:pos="1476"/>
        <w:tab w:val="clear" w:pos="567"/>
      </w:tabs>
      <w:adjustRightInd w:val="0"/>
      <w:snapToGrid w:val="0"/>
      <w:spacing w:before="0" w:beforeLines="50" w:after="0" w:line="440" w:lineRule="exact"/>
      <w:ind w:left="0" w:firstLine="0"/>
    </w:pPr>
    <w:rPr>
      <w:rFonts w:hAnsi="Arial Unicode MS" w:cs="宋体"/>
      <w:bCs/>
      <w:spacing w:val="-2"/>
      <w:szCs w:val="30"/>
    </w:rPr>
  </w:style>
  <w:style w:type="paragraph" w:customStyle="1" w:styleId="3381">
    <w:name w:val="样式 正文文字缩进 2 + (符号) 宋体 小四 首行缩进:  2 字符"/>
    <w:basedOn w:val="52"/>
    <w:qFormat/>
    <w:uiPriority w:val="0"/>
    <w:pPr>
      <w:ind w:firstLine="425"/>
    </w:pPr>
    <w:rPr>
      <w:rFonts w:ascii="Arial" w:hAnsi="Arial" w:eastAsia="黑体" w:cs="宋体"/>
      <w:sz w:val="30"/>
      <w:szCs w:val="24"/>
    </w:rPr>
  </w:style>
  <w:style w:type="paragraph" w:customStyle="1" w:styleId="3382">
    <w:name w:val="usercard-info1"/>
    <w:basedOn w:val="1"/>
    <w:qFormat/>
    <w:uiPriority w:val="0"/>
    <w:pPr>
      <w:widowControl/>
      <w:spacing w:before="100" w:beforeAutospacing="1" w:after="100" w:afterAutospacing="1" w:line="300" w:lineRule="atLeast"/>
      <w:jc w:val="left"/>
    </w:pPr>
    <w:rPr>
      <w:rFonts w:ascii="宋体" w:hAnsi="Calibri" w:eastAsia="宋体" w:cs="宋体"/>
      <w:color w:val="F27200"/>
      <w:spacing w:val="-2"/>
      <w:kern w:val="0"/>
      <w:sz w:val="24"/>
      <w:szCs w:val="21"/>
    </w:rPr>
  </w:style>
  <w:style w:type="paragraph" w:customStyle="1" w:styleId="3383">
    <w:name w:val="自动更正"/>
    <w:qFormat/>
    <w:uiPriority w:val="0"/>
    <w:pPr>
      <w:widowControl w:val="0"/>
      <w:jc w:val="both"/>
    </w:pPr>
    <w:rPr>
      <w:rFonts w:ascii="Times New Roman" w:hAnsi="Times New Roman" w:eastAsia="宋体" w:cs="Times New Roman"/>
      <w:lang w:val="en-US" w:eastAsia="zh-CN" w:bidi="ar-SA"/>
    </w:rPr>
  </w:style>
  <w:style w:type="paragraph" w:customStyle="1" w:styleId="3384">
    <w:name w:val="样式20（注解）"/>
    <w:basedOn w:val="826"/>
    <w:qFormat/>
    <w:uiPriority w:val="0"/>
    <w:pPr>
      <w:overflowPunct w:val="0"/>
      <w:autoSpaceDE w:val="0"/>
      <w:autoSpaceDN w:val="0"/>
      <w:snapToGrid w:val="0"/>
      <w:ind w:firstLine="0"/>
      <w:textAlignment w:val="auto"/>
    </w:pPr>
    <w:rPr>
      <w:rFonts w:ascii="宋体" w:hAnsi="宋体" w:cs="黑体"/>
      <w:kern w:val="2"/>
      <w:sz w:val="20"/>
      <w:szCs w:val="21"/>
    </w:rPr>
  </w:style>
  <w:style w:type="paragraph" w:customStyle="1" w:styleId="3385">
    <w:name w:val="Char Char Char Char Char Char2 Char Char Char Char1"/>
    <w:basedOn w:val="1"/>
    <w:qFormat/>
    <w:uiPriority w:val="0"/>
    <w:rPr>
      <w:rFonts w:eastAsia="宋体"/>
      <w:sz w:val="21"/>
      <w:szCs w:val="24"/>
    </w:rPr>
  </w:style>
  <w:style w:type="paragraph" w:customStyle="1" w:styleId="3386">
    <w:name w:val="Char Char Char Char Char Char Char Char Char Char1 Char Char Char Char Char Char Char Char Char Char"/>
    <w:basedOn w:val="1"/>
    <w:qFormat/>
    <w:uiPriority w:val="0"/>
    <w:rPr>
      <w:rFonts w:eastAsia="宋体" w:cs="黑体"/>
      <w:spacing w:val="-2"/>
      <w:kern w:val="0"/>
      <w:sz w:val="24"/>
    </w:rPr>
  </w:style>
  <w:style w:type="paragraph" w:customStyle="1" w:styleId="3387">
    <w:name w:val="标题三"/>
    <w:basedOn w:val="1"/>
    <w:qFormat/>
    <w:uiPriority w:val="0"/>
    <w:pPr>
      <w:snapToGrid w:val="0"/>
      <w:spacing w:beforeLines="50" w:line="460" w:lineRule="exact"/>
      <w:ind w:firstLine="200" w:firstLineChars="200"/>
      <w:outlineLvl w:val="2"/>
    </w:pPr>
    <w:rPr>
      <w:rFonts w:eastAsia="楷体_GB2312" w:cs="黑体"/>
      <w:b/>
      <w:spacing w:val="-2"/>
      <w:kern w:val="0"/>
      <w:szCs w:val="28"/>
    </w:rPr>
  </w:style>
  <w:style w:type="paragraph" w:customStyle="1" w:styleId="3388">
    <w:name w:val="样式 标题 3 + 首行缩进:  2 字符 段前: 0.5 行 段后: 0.5 行"/>
    <w:basedOn w:val="6"/>
    <w:qFormat/>
    <w:uiPriority w:val="99"/>
    <w:pPr>
      <w:tabs>
        <w:tab w:val="left" w:pos="1080"/>
        <w:tab w:val="clear" w:pos="1789"/>
      </w:tabs>
      <w:spacing w:before="156" w:after="156" w:line="416" w:lineRule="auto"/>
      <w:ind w:left="0" w:firstLine="0"/>
    </w:pPr>
    <w:rPr>
      <w:rFonts w:ascii="Times New Roman" w:eastAsia="宋体" w:cs="宋体"/>
      <w:b w:val="0"/>
      <w:kern w:val="28"/>
      <w:sz w:val="32"/>
      <w:szCs w:val="32"/>
    </w:rPr>
  </w:style>
  <w:style w:type="paragraph" w:customStyle="1" w:styleId="3389">
    <w:name w:val="样式 表格文字左对齐 + 段后: 0.5 行"/>
    <w:basedOn w:val="1"/>
    <w:qFormat/>
    <w:uiPriority w:val="0"/>
    <w:pPr>
      <w:spacing w:line="400" w:lineRule="exact"/>
    </w:pPr>
    <w:rPr>
      <w:rFonts w:ascii="Arial" w:hAnsi="Arial" w:eastAsia="楷体_GB2312" w:cs="宋体"/>
      <w:spacing w:val="-2"/>
      <w:kern w:val="0"/>
      <w:sz w:val="24"/>
    </w:rPr>
  </w:style>
  <w:style w:type="paragraph" w:customStyle="1" w:styleId="3390">
    <w:name w:val="xl1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008000"/>
      <w:spacing w:val="-2"/>
      <w:kern w:val="0"/>
      <w:sz w:val="20"/>
    </w:rPr>
  </w:style>
  <w:style w:type="paragraph" w:customStyle="1" w:styleId="3391">
    <w:name w:val="样式 正文文本缩进 2 + 黑色 行距: 固定值 12 磅"/>
    <w:basedOn w:val="52"/>
    <w:qFormat/>
    <w:uiPriority w:val="0"/>
    <w:pPr>
      <w:adjustRightInd w:val="0"/>
      <w:ind w:firstLine="425"/>
      <w:jc w:val="center"/>
    </w:pPr>
    <w:rPr>
      <w:rFonts w:ascii="Arial" w:hAnsi="Arial" w:eastAsia="黑体" w:cs="宋体"/>
      <w:b/>
      <w:color w:val="3366FF"/>
      <w:sz w:val="30"/>
      <w:szCs w:val="24"/>
    </w:rPr>
  </w:style>
  <w:style w:type="paragraph" w:customStyle="1" w:styleId="3392">
    <w:name w:val="maintext"/>
    <w:basedOn w:val="1"/>
    <w:qFormat/>
    <w:uiPriority w:val="0"/>
    <w:pPr>
      <w:widowControl/>
      <w:spacing w:before="100" w:beforeAutospacing="1" w:after="100" w:afterAutospacing="1"/>
      <w:jc w:val="left"/>
    </w:pPr>
    <w:rPr>
      <w:rFonts w:eastAsia="宋体" w:cs="楷体_GB2312"/>
      <w:color w:val="000000"/>
      <w:spacing w:val="-2"/>
      <w:kern w:val="0"/>
      <w:sz w:val="24"/>
    </w:rPr>
  </w:style>
  <w:style w:type="paragraph" w:customStyle="1" w:styleId="3393">
    <w:name w:val="tdh"/>
    <w:basedOn w:val="1"/>
    <w:qFormat/>
    <w:uiPriority w:val="0"/>
    <w:pPr>
      <w:widowControl/>
      <w:spacing w:before="100" w:beforeAutospacing="1" w:after="100" w:afterAutospacing="1" w:line="360" w:lineRule="auto"/>
      <w:jc w:val="left"/>
    </w:pPr>
    <w:rPr>
      <w:rFonts w:eastAsia="Arial Unicode MS" w:cs="黑体"/>
      <w:spacing w:val="30"/>
      <w:kern w:val="0"/>
      <w:sz w:val="18"/>
    </w:rPr>
  </w:style>
  <w:style w:type="paragraph" w:customStyle="1" w:styleId="3394">
    <w:name w:val="z"/>
    <w:basedOn w:val="3"/>
    <w:qFormat/>
    <w:uiPriority w:val="0"/>
    <w:pPr>
      <w:keepNext w:val="0"/>
      <w:keepLines w:val="0"/>
      <w:pageBreakBefore w:val="0"/>
      <w:tabs>
        <w:tab w:val="left" w:pos="960"/>
        <w:tab w:val="clear" w:pos="1080"/>
      </w:tabs>
      <w:snapToGrid w:val="0"/>
      <w:spacing w:before="0" w:beforeLines="100" w:after="0" w:line="360" w:lineRule="auto"/>
      <w:ind w:left="200" w:leftChars="200" w:hanging="200" w:hangingChars="200"/>
      <w:jc w:val="both"/>
    </w:pPr>
    <w:rPr>
      <w:rFonts w:ascii="宋体" w:hAnsi="宋体" w:cs="宋体"/>
      <w:b w:val="0"/>
      <w:bCs/>
      <w:spacing w:val="-2"/>
      <w:sz w:val="28"/>
      <w:szCs w:val="28"/>
    </w:rPr>
  </w:style>
  <w:style w:type="paragraph" w:customStyle="1" w:styleId="3395">
    <w:name w:val="默认段落字体 Para Char Char Char Char Char Char Char Char Char Char Char Char Char Char Char Char Char Char Char Char Char Char Char Char Char Char Char Char Char Char Char"/>
    <w:basedOn w:val="1"/>
    <w:qFormat/>
    <w:uiPriority w:val="0"/>
    <w:pPr>
      <w:spacing w:line="520" w:lineRule="exact"/>
      <w:jc w:val="center"/>
    </w:pPr>
    <w:rPr>
      <w:rFonts w:ascii="Arial" w:hAnsi="Arial" w:cs="黑体"/>
      <w:spacing w:val="-2"/>
      <w:kern w:val="0"/>
      <w:szCs w:val="28"/>
    </w:rPr>
  </w:style>
  <w:style w:type="paragraph" w:customStyle="1" w:styleId="3396">
    <w:name w:val="四号 1.5倍行距 宋体 Timenewrome"/>
    <w:basedOn w:val="1"/>
    <w:next w:val="1"/>
    <w:qFormat/>
    <w:uiPriority w:val="0"/>
    <w:rPr>
      <w:rFonts w:eastAsia="宋体" w:cs="黑体"/>
      <w:spacing w:val="-2"/>
      <w:kern w:val="0"/>
      <w:szCs w:val="21"/>
    </w:rPr>
  </w:style>
  <w:style w:type="paragraph" w:customStyle="1" w:styleId="3397">
    <w:name w:val="填表内容"/>
    <w:basedOn w:val="1"/>
    <w:qFormat/>
    <w:uiPriority w:val="0"/>
    <w:pPr>
      <w:adjustRightInd w:val="0"/>
      <w:spacing w:line="480" w:lineRule="exact"/>
      <w:ind w:firstLine="560" w:firstLineChars="200"/>
      <w:jc w:val="left"/>
    </w:pPr>
    <w:rPr>
      <w:rFonts w:ascii="楷体_GB2312" w:eastAsia="楷体_GB2312" w:cs="黑体"/>
      <w:spacing w:val="-2"/>
      <w:kern w:val="0"/>
    </w:rPr>
  </w:style>
  <w:style w:type="paragraph" w:customStyle="1" w:styleId="3398">
    <w:name w:val="样式80"/>
    <w:basedOn w:val="3362"/>
    <w:qFormat/>
    <w:uiPriority w:val="0"/>
    <w:rPr>
      <w:rFonts w:ascii="Times New Roman" w:hAnsi="Times New Roman"/>
    </w:rPr>
  </w:style>
  <w:style w:type="paragraph" w:customStyle="1" w:styleId="3399">
    <w:name w:val="条文本"/>
    <w:basedOn w:val="5"/>
    <w:qFormat/>
    <w:uiPriority w:val="0"/>
    <w:pPr>
      <w:spacing w:beforeLines="30" w:line="240" w:lineRule="auto"/>
      <w:ind w:left="723" w:leftChars="723" w:firstLine="0"/>
    </w:pPr>
    <w:rPr>
      <w:rFonts w:hint="eastAsia" w:ascii="新宋体" w:hAnsi="Calibri" w:eastAsia="新宋体"/>
      <w:spacing w:val="0"/>
      <w:w w:val="90"/>
      <w:sz w:val="22"/>
      <w:szCs w:val="22"/>
    </w:rPr>
  </w:style>
  <w:style w:type="paragraph" w:customStyle="1" w:styleId="3400">
    <w:name w:val="中气二级"/>
    <w:basedOn w:val="1"/>
    <w:next w:val="1"/>
    <w:qFormat/>
    <w:uiPriority w:val="0"/>
    <w:pPr>
      <w:keepNext/>
      <w:keepLines/>
      <w:spacing w:beforeLines="50" w:line="360" w:lineRule="auto"/>
      <w:ind w:left="540"/>
      <w:jc w:val="left"/>
      <w:outlineLvl w:val="1"/>
    </w:pPr>
    <w:rPr>
      <w:rFonts w:ascii="Arial" w:hAnsi="Arial" w:eastAsia="黑体" w:cs="宋体"/>
      <w:bCs/>
      <w:spacing w:val="-2"/>
      <w:kern w:val="0"/>
      <w:sz w:val="30"/>
    </w:rPr>
  </w:style>
  <w:style w:type="paragraph" w:customStyle="1" w:styleId="3401">
    <w:name w:val="表格五中"/>
    <w:qFormat/>
    <w:uiPriority w:val="0"/>
    <w:pPr>
      <w:adjustRightInd w:val="0"/>
      <w:snapToGrid w:val="0"/>
      <w:spacing w:line="240" w:lineRule="atLeast"/>
      <w:jc w:val="center"/>
    </w:pPr>
    <w:rPr>
      <w:rFonts w:ascii="Calibri" w:hAnsi="Calibri" w:eastAsia="宋体" w:cs="Arial"/>
      <w:kern w:val="2"/>
      <w:sz w:val="21"/>
      <w:szCs w:val="22"/>
      <w:lang w:val="en-US" w:eastAsia="zh-CN" w:bidi="ar-SA"/>
    </w:rPr>
  </w:style>
  <w:style w:type="paragraph" w:customStyle="1" w:styleId="3402">
    <w:name w:val="xl193"/>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b/>
      <w:bCs/>
      <w:color w:val="008000"/>
      <w:spacing w:val="-2"/>
      <w:kern w:val="0"/>
      <w:sz w:val="24"/>
    </w:rPr>
  </w:style>
  <w:style w:type="paragraph" w:customStyle="1" w:styleId="3403">
    <w:name w:val="正文4"/>
    <w:basedOn w:val="34"/>
    <w:qFormat/>
    <w:uiPriority w:val="0"/>
    <w:pPr>
      <w:spacing w:after="0" w:line="360" w:lineRule="auto"/>
      <w:ind w:firstLine="200" w:firstLineChars="200"/>
    </w:pPr>
    <w:rPr>
      <w:rFonts w:ascii="宋体" w:hAnsi="宋体" w:eastAsia="宋体" w:cs="宋体"/>
      <w:i/>
      <w:iCs/>
      <w:color w:val="000000"/>
      <w:sz w:val="21"/>
      <w:szCs w:val="24"/>
    </w:rPr>
  </w:style>
  <w:style w:type="paragraph" w:customStyle="1" w:styleId="3404">
    <w:name w:val="icon-lemma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05">
    <w:name w:val="样式101"/>
    <w:basedOn w:val="1"/>
    <w:qFormat/>
    <w:uiPriority w:val="0"/>
    <w:pPr>
      <w:spacing w:beforeLines="50" w:line="480" w:lineRule="exact"/>
    </w:pPr>
    <w:rPr>
      <w:rFonts w:eastAsia="宋体" w:cs="黑体"/>
      <w:b/>
      <w:spacing w:val="-2"/>
      <w:kern w:val="0"/>
    </w:rPr>
  </w:style>
  <w:style w:type="paragraph" w:customStyle="1" w:styleId="3406">
    <w:name w:val="样式 标题 3 + 左侧:  0 毫米 悬挂缩进: 7.09 字符 行距: 最小值 25 磅"/>
    <w:basedOn w:val="6"/>
    <w:qFormat/>
    <w:uiPriority w:val="0"/>
    <w:pPr>
      <w:tabs>
        <w:tab w:val="left" w:pos="360"/>
        <w:tab w:val="left" w:pos="1022"/>
        <w:tab w:val="left" w:pos="1080"/>
        <w:tab w:val="left" w:pos="1620"/>
        <w:tab w:val="left" w:pos="1740"/>
        <w:tab w:val="clear" w:pos="1789"/>
      </w:tabs>
      <w:snapToGrid w:val="0"/>
      <w:spacing w:before="260" w:after="260" w:line="500" w:lineRule="atLeast"/>
      <w:ind w:left="709"/>
    </w:pPr>
    <w:rPr>
      <w:rFonts w:hint="eastAsia" w:ascii="宋体" w:hAnsi="宋体" w:eastAsia="宋体" w:cs="宋体"/>
      <w:i/>
      <w:iCs/>
      <w:color w:val="000000"/>
      <w:spacing w:val="4"/>
      <w:sz w:val="28"/>
    </w:rPr>
  </w:style>
  <w:style w:type="paragraph" w:customStyle="1" w:styleId="3407">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3408">
    <w:name w:val="麦志勤标题一"/>
    <w:basedOn w:val="3"/>
    <w:qFormat/>
    <w:uiPriority w:val="0"/>
    <w:pPr>
      <w:keepNext w:val="0"/>
      <w:keepLines w:val="0"/>
      <w:pageBreakBefore w:val="0"/>
      <w:tabs>
        <w:tab w:val="left" w:pos="0"/>
        <w:tab w:val="clear" w:pos="1080"/>
      </w:tabs>
      <w:adjustRightInd w:val="0"/>
      <w:snapToGrid w:val="0"/>
      <w:spacing w:before="0" w:beforeLines="100" w:after="0" w:line="300" w:lineRule="auto"/>
      <w:ind w:left="0" w:firstLine="200" w:firstLineChars="200"/>
      <w:jc w:val="both"/>
    </w:pPr>
    <w:rPr>
      <w:rFonts w:ascii="黑体" w:hAnsi="宋体" w:eastAsia="黑体" w:cs="Arial"/>
      <w:bCs/>
      <w:color w:val="000000"/>
      <w:spacing w:val="-2"/>
      <w:kern w:val="0"/>
      <w:sz w:val="44"/>
      <w:szCs w:val="44"/>
    </w:rPr>
  </w:style>
  <w:style w:type="paragraph" w:customStyle="1" w:styleId="3409">
    <w:name w:val="纯文本13"/>
    <w:basedOn w:val="1"/>
    <w:qFormat/>
    <w:uiPriority w:val="0"/>
    <w:pPr>
      <w:adjustRightInd w:val="0"/>
    </w:pPr>
    <w:rPr>
      <w:rFonts w:eastAsia="宋体" w:cs="黑体"/>
      <w:spacing w:val="-2"/>
      <w:kern w:val="0"/>
      <w:sz w:val="24"/>
    </w:rPr>
  </w:style>
  <w:style w:type="paragraph" w:customStyle="1" w:styleId="3410">
    <w:name w:val="xl174"/>
    <w:basedOn w:val="1"/>
    <w:qFormat/>
    <w:uiPriority w:val="0"/>
    <w:pPr>
      <w:widowControl/>
      <w:pBdr>
        <w:right w:val="single" w:color="auto" w:sz="8" w:space="0"/>
      </w:pBdr>
      <w:spacing w:before="100" w:beforeAutospacing="1" w:after="100" w:afterAutospacing="1"/>
      <w:jc w:val="left"/>
    </w:pPr>
    <w:rPr>
      <w:rFonts w:ascii="宋体" w:hAnsi="宋体" w:eastAsia="宋体" w:cs="宋体"/>
      <w:spacing w:val="-2"/>
      <w:kern w:val="0"/>
      <w:sz w:val="24"/>
    </w:rPr>
  </w:style>
  <w:style w:type="paragraph" w:customStyle="1" w:styleId="3411">
    <w:name w:val="CM26"/>
    <w:basedOn w:val="762"/>
    <w:next w:val="762"/>
    <w:qFormat/>
    <w:uiPriority w:val="0"/>
    <w:pPr>
      <w:spacing w:line="468" w:lineRule="atLeast"/>
    </w:pPr>
    <w:rPr>
      <w:rFonts w:ascii="仿宋_GB2312" w:hAnsi="Calibri" w:eastAsia="仿宋_GB2312" w:cs="仿宋_GB2312"/>
      <w:kern w:val="2"/>
      <w:sz w:val="24"/>
      <w:szCs w:val="24"/>
    </w:rPr>
  </w:style>
  <w:style w:type="paragraph" w:customStyle="1" w:styleId="3412">
    <w:name w:val="polysemy-item-cn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13">
    <w:name w:val="样式 正文缩进 +"/>
    <w:basedOn w:val="5"/>
    <w:qFormat/>
    <w:uiPriority w:val="0"/>
    <w:pPr>
      <w:adjustRightInd w:val="0"/>
      <w:spacing w:after="120" w:line="360" w:lineRule="auto"/>
      <w:ind w:firstLine="567"/>
    </w:pPr>
    <w:rPr>
      <w:rFonts w:hint="eastAsia" w:ascii="Calibri" w:hAnsi="Calibri"/>
      <w:spacing w:val="0"/>
      <w:sz w:val="28"/>
      <w:szCs w:val="24"/>
    </w:rPr>
  </w:style>
  <w:style w:type="paragraph" w:customStyle="1" w:styleId="3414">
    <w:name w:val="第三节"/>
    <w:basedOn w:val="1"/>
    <w:qFormat/>
    <w:uiPriority w:val="0"/>
    <w:pPr>
      <w:spacing w:before="240" w:line="360" w:lineRule="auto"/>
      <w:jc w:val="left"/>
    </w:pPr>
    <w:rPr>
      <w:rFonts w:ascii="黑体" w:hAnsi="Calibri" w:eastAsia="黑体" w:cs="黑体"/>
      <w:spacing w:val="-2"/>
      <w:kern w:val="0"/>
      <w:sz w:val="32"/>
    </w:rPr>
  </w:style>
  <w:style w:type="paragraph" w:customStyle="1" w:styleId="3415">
    <w:name w:val="作者"/>
    <w:qFormat/>
    <w:uiPriority w:val="0"/>
    <w:pPr>
      <w:widowControl w:val="0"/>
      <w:jc w:val="both"/>
    </w:pPr>
    <w:rPr>
      <w:rFonts w:ascii="Times New Roman" w:hAnsi="Times New Roman" w:eastAsia="宋体" w:cs="Times New Roman"/>
      <w:lang w:val="en-US" w:eastAsia="zh-CN" w:bidi="ar-SA"/>
    </w:rPr>
  </w:style>
  <w:style w:type="paragraph" w:customStyle="1" w:styleId="3416">
    <w:name w:val="xiaohui"/>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17">
    <w:name w:val="Char Char1 Char Char Char1"/>
    <w:basedOn w:val="1"/>
    <w:qFormat/>
    <w:uiPriority w:val="0"/>
    <w:rPr>
      <w:rFonts w:eastAsia="宋体"/>
      <w:kern w:val="0"/>
      <w:sz w:val="20"/>
    </w:rPr>
  </w:style>
  <w:style w:type="paragraph" w:customStyle="1" w:styleId="3418">
    <w:name w:val="CM8"/>
    <w:basedOn w:val="1"/>
    <w:next w:val="1"/>
    <w:qFormat/>
    <w:uiPriority w:val="0"/>
    <w:pPr>
      <w:autoSpaceDE w:val="0"/>
      <w:autoSpaceDN w:val="0"/>
      <w:adjustRightInd w:val="0"/>
      <w:spacing w:after="320"/>
      <w:jc w:val="left"/>
    </w:pPr>
    <w:rPr>
      <w:rFonts w:ascii="TTE1CFADF8t00" w:hAnsi="Calibri" w:eastAsia="TTE1CFADF8t00" w:cs="黑体"/>
      <w:spacing w:val="-2"/>
      <w:kern w:val="0"/>
      <w:sz w:val="24"/>
    </w:rPr>
  </w:style>
  <w:style w:type="paragraph" w:customStyle="1" w:styleId="3419">
    <w:name w:val="card-pic-handle"/>
    <w:basedOn w:val="1"/>
    <w:qFormat/>
    <w:uiPriority w:val="0"/>
    <w:pPr>
      <w:widowControl/>
      <w:pBdr>
        <w:top w:val="single" w:color="FFFFFF" w:sz="6" w:space="0"/>
        <w:left w:val="single" w:color="FFFFFF" w:sz="6" w:space="0"/>
        <w:bottom w:val="single" w:color="FFFFFF" w:sz="6" w:space="0"/>
        <w:right w:val="single" w:color="FFFFFF" w:sz="6" w:space="0"/>
      </w:pBdr>
      <w:spacing w:before="100" w:beforeAutospacing="1" w:after="100" w:afterAutospacing="1"/>
      <w:jc w:val="left"/>
    </w:pPr>
    <w:rPr>
      <w:rFonts w:ascii="宋体" w:hAnsi="Calibri" w:eastAsia="宋体" w:cs="宋体"/>
      <w:spacing w:val="-2"/>
      <w:kern w:val="0"/>
      <w:sz w:val="2"/>
      <w:szCs w:val="2"/>
    </w:rPr>
  </w:style>
  <w:style w:type="paragraph" w:customStyle="1" w:styleId="3420">
    <w:name w:val="relation-control-enter-close1"/>
    <w:basedOn w:val="1"/>
    <w:qFormat/>
    <w:uiPriority w:val="0"/>
    <w:pPr>
      <w:widowControl/>
      <w:spacing w:before="100" w:beforeAutospacing="1" w:after="100" w:afterAutospacing="1"/>
      <w:jc w:val="left"/>
    </w:pPr>
    <w:rPr>
      <w:rFonts w:ascii="宋体" w:hAnsi="Calibri" w:eastAsia="宋体" w:cs="宋体"/>
      <w:vanish/>
      <w:spacing w:val="-2"/>
      <w:kern w:val="0"/>
      <w:sz w:val="24"/>
      <w:szCs w:val="21"/>
    </w:rPr>
  </w:style>
  <w:style w:type="character" w:customStyle="1" w:styleId="3421">
    <w:name w:val="引用 Char3"/>
    <w:qFormat/>
    <w:uiPriority w:val="29"/>
    <w:rPr>
      <w:rFonts w:eastAsia="仿宋_GB2312"/>
      <w:i/>
      <w:iCs/>
      <w:color w:val="000000"/>
      <w:kern w:val="2"/>
      <w:sz w:val="28"/>
    </w:rPr>
  </w:style>
  <w:style w:type="paragraph" w:customStyle="1" w:styleId="3422">
    <w:name w:val="引用1"/>
    <w:basedOn w:val="1"/>
    <w:next w:val="1"/>
    <w:qFormat/>
    <w:uiPriority w:val="0"/>
    <w:pPr>
      <w:spacing w:line="360" w:lineRule="auto"/>
      <w:ind w:firstLine="200" w:firstLineChars="200"/>
    </w:pPr>
    <w:rPr>
      <w:rFonts w:eastAsia="宋体" w:cs="黑体"/>
      <w:i/>
      <w:iCs/>
      <w:color w:val="000000"/>
      <w:spacing w:val="-2"/>
      <w:kern w:val="0"/>
      <w:sz w:val="24"/>
    </w:rPr>
  </w:style>
  <w:style w:type="paragraph" w:customStyle="1" w:styleId="3423">
    <w:name w:val="xl1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color w:val="008080"/>
      <w:spacing w:val="-2"/>
      <w:kern w:val="0"/>
      <w:sz w:val="24"/>
    </w:rPr>
  </w:style>
  <w:style w:type="paragraph" w:customStyle="1" w:styleId="3424">
    <w:name w:val="Definition Term"/>
    <w:basedOn w:val="1"/>
    <w:next w:val="1"/>
    <w:qFormat/>
    <w:uiPriority w:val="0"/>
    <w:pPr>
      <w:autoSpaceDE w:val="0"/>
      <w:autoSpaceDN w:val="0"/>
      <w:adjustRightInd w:val="0"/>
      <w:jc w:val="left"/>
    </w:pPr>
    <w:rPr>
      <w:rFonts w:eastAsia="宋体" w:cs="黑体"/>
      <w:spacing w:val="-2"/>
      <w:kern w:val="0"/>
      <w:sz w:val="24"/>
    </w:rPr>
  </w:style>
  <w:style w:type="paragraph" w:customStyle="1" w:styleId="3425">
    <w:name w:val="标题2+黑体+四"/>
    <w:basedOn w:val="4"/>
    <w:qFormat/>
    <w:uiPriority w:val="0"/>
    <w:pPr>
      <w:keepNext w:val="0"/>
      <w:keepLines w:val="0"/>
      <w:widowControl/>
      <w:tabs>
        <w:tab w:val="left" w:pos="1476"/>
        <w:tab w:val="clear" w:pos="567"/>
      </w:tabs>
      <w:adjustRightInd w:val="0"/>
      <w:spacing w:before="100" w:after="100" w:line="360" w:lineRule="auto"/>
      <w:ind w:left="840" w:hanging="420"/>
      <w:jc w:val="left"/>
    </w:pPr>
    <w:rPr>
      <w:rFonts w:hAnsi="宋体" w:cs="宋体"/>
      <w:spacing w:val="-2"/>
      <w:kern w:val="0"/>
      <w:szCs w:val="28"/>
    </w:rPr>
  </w:style>
  <w:style w:type="paragraph" w:customStyle="1" w:styleId="3426">
    <w:name w:val="2中大2级标题"/>
    <w:basedOn w:val="4"/>
    <w:qFormat/>
    <w:uiPriority w:val="0"/>
    <w:pPr>
      <w:keepLines w:val="0"/>
      <w:tabs>
        <w:tab w:val="left" w:pos="0"/>
        <w:tab w:val="left" w:pos="1476"/>
        <w:tab w:val="clear" w:pos="567"/>
      </w:tabs>
      <w:adjustRightInd w:val="0"/>
      <w:snapToGrid w:val="0"/>
      <w:spacing w:before="0" w:beforeLines="50" w:after="0" w:line="360" w:lineRule="auto"/>
      <w:ind w:left="0" w:firstLine="0"/>
    </w:pPr>
    <w:rPr>
      <w:rFonts w:ascii="宋体" w:hAnsi="宋体" w:eastAsia="宋体" w:cs="宋体"/>
      <w:b/>
      <w:spacing w:val="-2"/>
      <w:kern w:val="0"/>
      <w:sz w:val="30"/>
    </w:rPr>
  </w:style>
  <w:style w:type="paragraph" w:customStyle="1" w:styleId="3427">
    <w:name w:val="PP 行"/>
    <w:basedOn w:val="59"/>
    <w:qFormat/>
    <w:uiPriority w:val="0"/>
    <w:pPr>
      <w:snapToGrid/>
      <w:spacing w:line="240" w:lineRule="auto"/>
      <w:ind w:left="2100" w:firstLine="0" w:firstLineChars="0"/>
    </w:pPr>
    <w:rPr>
      <w:rFonts w:ascii="宋体" w:hAnsi="宋体" w:cs="宋体"/>
      <w:kern w:val="2"/>
      <w:szCs w:val="20"/>
    </w:rPr>
  </w:style>
  <w:style w:type="paragraph" w:customStyle="1" w:styleId="3428">
    <w:name w:val="表体宋旭峰"/>
    <w:basedOn w:val="1"/>
    <w:qFormat/>
    <w:uiPriority w:val="0"/>
    <w:pPr>
      <w:tabs>
        <w:tab w:val="left" w:pos="3685"/>
      </w:tabs>
      <w:overflowPunct w:val="0"/>
      <w:snapToGrid w:val="0"/>
      <w:spacing w:line="280" w:lineRule="exact"/>
      <w:jc w:val="center"/>
    </w:pPr>
    <w:rPr>
      <w:rFonts w:ascii="宋体" w:hAnsi="Calibri" w:eastAsia="宋体" w:cs="Courier New"/>
      <w:spacing w:val="-2"/>
      <w:kern w:val="0"/>
      <w:sz w:val="18"/>
      <w:szCs w:val="18"/>
    </w:rPr>
  </w:style>
  <w:style w:type="paragraph" w:customStyle="1" w:styleId="3429">
    <w:name w:val="p-r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30">
    <w:name w:val="uc-id"/>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31">
    <w:name w:val="样式 毕二级 + 段前: 0.5 行 段后: 0.5 行1"/>
    <w:basedOn w:val="3432"/>
    <w:qFormat/>
    <w:uiPriority w:val="0"/>
    <w:pPr>
      <w:tabs>
        <w:tab w:val="left" w:pos="426"/>
      </w:tabs>
      <w:spacing w:beforeLines="0"/>
      <w:ind w:left="426"/>
    </w:pPr>
    <w:rPr>
      <w:rFonts w:cs="宋体"/>
    </w:rPr>
  </w:style>
  <w:style w:type="paragraph" w:customStyle="1" w:styleId="3432">
    <w:name w:val="毕二级"/>
    <w:basedOn w:val="1"/>
    <w:qFormat/>
    <w:uiPriority w:val="0"/>
    <w:pPr>
      <w:spacing w:beforeLines="50" w:line="360" w:lineRule="auto"/>
      <w:jc w:val="left"/>
    </w:pPr>
    <w:rPr>
      <w:rFonts w:eastAsia="黑体" w:cs="黑体"/>
      <w:spacing w:val="-2"/>
      <w:kern w:val="0"/>
      <w:sz w:val="30"/>
    </w:rPr>
  </w:style>
  <w:style w:type="paragraph" w:customStyle="1" w:styleId="3433">
    <w:name w:val="reader-word-layer reader-word-s2-2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434">
    <w:name w:val="样式 标题1YHY + 段前: 0.5 行 段后: 0.5 行"/>
    <w:basedOn w:val="1"/>
    <w:qFormat/>
    <w:uiPriority w:val="0"/>
    <w:pPr>
      <w:keepNext/>
      <w:keepLines/>
      <w:widowControl/>
      <w:spacing w:beforeLines="50" w:line="360" w:lineRule="auto"/>
      <w:jc w:val="left"/>
      <w:outlineLvl w:val="0"/>
    </w:pPr>
    <w:rPr>
      <w:rFonts w:eastAsia="黑体" w:cs="宋体"/>
      <w:b/>
      <w:bCs/>
      <w:spacing w:val="-2"/>
      <w:kern w:val="44"/>
      <w:sz w:val="30"/>
    </w:rPr>
  </w:style>
  <w:style w:type="paragraph" w:customStyle="1" w:styleId="3435">
    <w:name w:val="Char Char210"/>
    <w:basedOn w:val="1"/>
    <w:qFormat/>
    <w:uiPriority w:val="0"/>
    <w:pPr>
      <w:tabs>
        <w:tab w:val="left" w:pos="630"/>
      </w:tabs>
      <w:spacing w:beforeLines="50" w:line="360" w:lineRule="auto"/>
      <w:ind w:left="630" w:hanging="432"/>
      <w:jc w:val="left"/>
    </w:pPr>
    <w:rPr>
      <w:rFonts w:ascii="宋体" w:hAnsi="宋体" w:eastAsia="黑体" w:cs="宋体"/>
      <w:spacing w:val="-2"/>
      <w:kern w:val="0"/>
      <w:szCs w:val="30"/>
    </w:rPr>
  </w:style>
  <w:style w:type="paragraph" w:customStyle="1" w:styleId="3436">
    <w:name w:val="07子目"/>
    <w:basedOn w:val="1"/>
    <w:qFormat/>
    <w:uiPriority w:val="0"/>
    <w:pPr>
      <w:tabs>
        <w:tab w:val="left" w:pos="-2126"/>
        <w:tab w:val="left" w:pos="360"/>
      </w:tabs>
      <w:spacing w:before="60" w:after="60" w:line="360" w:lineRule="auto"/>
      <w:ind w:left="-2551"/>
    </w:pPr>
    <w:rPr>
      <w:rFonts w:eastAsia="宋体" w:cs="黑体"/>
      <w:spacing w:val="-2"/>
      <w:kern w:val="0"/>
      <w:sz w:val="24"/>
    </w:rPr>
  </w:style>
  <w:style w:type="paragraph" w:customStyle="1" w:styleId="3437">
    <w:name w:val="样式 样式 (西文) 仿宋_GB2312 (中文) 仿宋_GB2312 + (西文) Times New Roman 首行缩进...1"/>
    <w:basedOn w:val="3256"/>
    <w:qFormat/>
    <w:uiPriority w:val="0"/>
    <w:rPr>
      <w:rFonts w:ascii="Times New Roman" w:hAnsi="Times New Roman"/>
      <w:szCs w:val="20"/>
    </w:rPr>
  </w:style>
  <w:style w:type="paragraph" w:customStyle="1" w:styleId="3438">
    <w:name w:val="relation-control-enter-edit1"/>
    <w:basedOn w:val="1"/>
    <w:qFormat/>
    <w:uiPriority w:val="0"/>
    <w:pPr>
      <w:widowControl/>
      <w:spacing w:before="100" w:beforeAutospacing="1" w:after="100" w:afterAutospacing="1"/>
      <w:ind w:left="45"/>
      <w:jc w:val="left"/>
    </w:pPr>
    <w:rPr>
      <w:rFonts w:ascii="宋体" w:hAnsi="Calibri" w:eastAsia="宋体" w:cs="宋体"/>
      <w:spacing w:val="-2"/>
      <w:kern w:val="0"/>
      <w:sz w:val="24"/>
      <w:szCs w:val="21"/>
    </w:rPr>
  </w:style>
  <w:style w:type="paragraph" w:customStyle="1" w:styleId="3439">
    <w:name w:val="第一标题"/>
    <w:basedOn w:val="3"/>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paragraph" w:customStyle="1" w:styleId="3440">
    <w:name w:val="表格内容5"/>
    <w:basedOn w:val="1"/>
    <w:next w:val="1"/>
    <w:qFormat/>
    <w:uiPriority w:val="0"/>
    <w:pPr>
      <w:spacing w:before="40" w:after="60" w:line="200" w:lineRule="atLeast"/>
    </w:pPr>
    <w:rPr>
      <w:rFonts w:ascii="Arial" w:hAnsi="Arial" w:cs="黑体"/>
      <w:spacing w:val="-2"/>
      <w:kern w:val="0"/>
      <w:sz w:val="24"/>
    </w:rPr>
  </w:style>
  <w:style w:type="paragraph" w:customStyle="1" w:styleId="3441">
    <w:name w:val="font23"/>
    <w:basedOn w:val="1"/>
    <w:qFormat/>
    <w:uiPriority w:val="0"/>
    <w:pPr>
      <w:spacing w:before="100" w:beforeAutospacing="1" w:after="100" w:afterAutospacing="1"/>
    </w:pPr>
    <w:rPr>
      <w:rFonts w:eastAsia="宋体" w:cs="黑体"/>
      <w:spacing w:val="-2"/>
      <w:kern w:val="0"/>
      <w:sz w:val="24"/>
    </w:rPr>
  </w:style>
  <w:style w:type="paragraph" w:customStyle="1" w:styleId="3442">
    <w:name w:val="dialog-content-inn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43">
    <w:name w:val="z-窗体顶端11"/>
    <w:basedOn w:val="1"/>
    <w:next w:val="1"/>
    <w:qFormat/>
    <w:uiPriority w:val="0"/>
    <w:pPr>
      <w:widowControl/>
      <w:pBdr>
        <w:bottom w:val="single" w:color="auto" w:sz="6" w:space="1"/>
      </w:pBdr>
      <w:jc w:val="center"/>
    </w:pPr>
    <w:rPr>
      <w:rFonts w:ascii="Arial" w:hAnsi="Arial" w:eastAsia="宋体" w:cs="Arial"/>
      <w:vanish/>
      <w:spacing w:val="-2"/>
      <w:kern w:val="0"/>
      <w:sz w:val="16"/>
      <w:szCs w:val="16"/>
    </w:rPr>
  </w:style>
  <w:style w:type="paragraph" w:customStyle="1" w:styleId="3444">
    <w:name w:val="批注框文本3"/>
    <w:basedOn w:val="1"/>
    <w:qFormat/>
    <w:uiPriority w:val="0"/>
    <w:rPr>
      <w:rFonts w:eastAsia="宋体" w:cs="黑体"/>
      <w:spacing w:val="-2"/>
      <w:kern w:val="0"/>
      <w:sz w:val="18"/>
      <w:szCs w:val="18"/>
    </w:rPr>
  </w:style>
  <w:style w:type="paragraph" w:customStyle="1" w:styleId="3445">
    <w:name w:val="请勿折叠！"/>
    <w:qFormat/>
    <w:uiPriority w:val="0"/>
    <w:pPr>
      <w:widowControl w:val="0"/>
      <w:jc w:val="both"/>
    </w:pPr>
    <w:rPr>
      <w:rFonts w:ascii="Times New Roman" w:hAnsi="Times New Roman" w:eastAsia="宋体" w:cs="Times New Roman"/>
      <w:lang w:val="en-US" w:eastAsia="zh-CN" w:bidi="ar-SA"/>
    </w:rPr>
  </w:style>
  <w:style w:type="paragraph" w:customStyle="1" w:styleId="3446">
    <w:name w:val="中气表头"/>
    <w:basedOn w:val="1"/>
    <w:qFormat/>
    <w:uiPriority w:val="0"/>
    <w:pPr>
      <w:jc w:val="center"/>
    </w:pPr>
    <w:rPr>
      <w:rFonts w:eastAsia="黑体" w:cs="黑体"/>
      <w:b/>
      <w:spacing w:val="-2"/>
      <w:kern w:val="0"/>
      <w:szCs w:val="21"/>
    </w:rPr>
  </w:style>
  <w:style w:type="paragraph" w:customStyle="1" w:styleId="3447">
    <w:name w:val="Char Char Char Char Char Char Char Char Char Char Char Char Char1 Char Char Char Char Char Char Char Char Char Char Char Char Char Char Char Char Char Char Char"/>
    <w:basedOn w:val="1"/>
    <w:qFormat/>
    <w:uiPriority w:val="0"/>
    <w:pPr>
      <w:widowControl/>
      <w:spacing w:after="160" w:line="240" w:lineRule="exact"/>
      <w:jc w:val="left"/>
    </w:pPr>
    <w:rPr>
      <w:rFonts w:ascii="Verdana" w:hAnsi="Verdana" w:eastAsia="宋体" w:cs="黑体"/>
      <w:spacing w:val="-2"/>
      <w:kern w:val="0"/>
      <w:sz w:val="20"/>
      <w:lang w:eastAsia="en-US"/>
    </w:rPr>
  </w:style>
  <w:style w:type="paragraph" w:customStyle="1" w:styleId="3448">
    <w:name w:val="样式 标题 3条标题1.1.1ReHead 3 WSAh3BSH-3H3b33rd levell3CT标题...1"/>
    <w:basedOn w:val="6"/>
    <w:qFormat/>
    <w:uiPriority w:val="0"/>
    <w:pPr>
      <w:tabs>
        <w:tab w:val="left" w:pos="1022"/>
        <w:tab w:val="left" w:pos="1080"/>
        <w:tab w:val="clear" w:pos="1789"/>
      </w:tabs>
      <w:spacing w:before="260" w:line="360" w:lineRule="auto"/>
      <w:ind w:left="0" w:firstLine="0"/>
    </w:pPr>
    <w:rPr>
      <w:rFonts w:hint="eastAsia" w:ascii="宋体" w:hAnsi="Arial Unicode MS" w:eastAsia="宋体" w:cs="宋体"/>
      <w:b w:val="0"/>
      <w:i/>
      <w:iCs/>
      <w:color w:val="000000"/>
      <w:spacing w:val="-2"/>
      <w:sz w:val="28"/>
      <w:szCs w:val="24"/>
    </w:rPr>
  </w:style>
  <w:style w:type="paragraph" w:customStyle="1" w:styleId="3449">
    <w:name w:val="注解"/>
    <w:basedOn w:val="1"/>
    <w:qFormat/>
    <w:uiPriority w:val="0"/>
    <w:pPr>
      <w:adjustRightInd w:val="0"/>
      <w:snapToGrid w:val="0"/>
      <w:ind w:left="624" w:right="170" w:hanging="454"/>
    </w:pPr>
    <w:rPr>
      <w:rFonts w:ascii="宋体" w:hAnsi="Calibri" w:eastAsia="宋体" w:cs="黑体"/>
      <w:color w:val="000000"/>
      <w:spacing w:val="-2"/>
      <w:kern w:val="0"/>
      <w:sz w:val="15"/>
    </w:rPr>
  </w:style>
  <w:style w:type="paragraph" w:customStyle="1" w:styleId="3450">
    <w:name w:val="样式 小五 居中 首行缩进:  2 字符"/>
    <w:basedOn w:val="1"/>
    <w:qFormat/>
    <w:uiPriority w:val="0"/>
    <w:pPr>
      <w:jc w:val="center"/>
    </w:pPr>
    <w:rPr>
      <w:rFonts w:eastAsia="宋体" w:cs="黑体"/>
      <w:spacing w:val="-2"/>
      <w:kern w:val="0"/>
      <w:sz w:val="18"/>
    </w:rPr>
  </w:style>
  <w:style w:type="paragraph" w:customStyle="1" w:styleId="3451">
    <w:name w:val="样式 标题 4 + 左侧:  2 字符"/>
    <w:basedOn w:val="7"/>
    <w:qFormat/>
    <w:uiPriority w:val="0"/>
    <w:pPr>
      <w:tabs>
        <w:tab w:val="left" w:pos="864"/>
        <w:tab w:val="left" w:pos="2153"/>
        <w:tab w:val="clear" w:pos="4008"/>
      </w:tabs>
      <w:adjustRightInd w:val="0"/>
      <w:snapToGrid w:val="0"/>
      <w:spacing w:line="240" w:lineRule="auto"/>
      <w:ind w:left="200" w:leftChars="200" w:firstLine="0"/>
      <w:jc w:val="both"/>
    </w:pPr>
    <w:rPr>
      <w:rFonts w:ascii="Times New Roman" w:hAnsi="Times New Roman" w:cs="宋体"/>
      <w:b w:val="0"/>
      <w:bCs/>
      <w:color w:val="auto"/>
      <w:spacing w:val="-2"/>
      <w:kern w:val="0"/>
    </w:rPr>
  </w:style>
  <w:style w:type="paragraph" w:customStyle="1" w:styleId="3452">
    <w:name w:val="码头表"/>
    <w:basedOn w:val="1"/>
    <w:qFormat/>
    <w:uiPriority w:val="0"/>
    <w:pPr>
      <w:spacing w:line="0" w:lineRule="atLeast"/>
      <w:ind w:left="-50" w:leftChars="-50" w:right="-50" w:rightChars="-50"/>
      <w:jc w:val="center"/>
    </w:pPr>
    <w:rPr>
      <w:rFonts w:ascii="宋体" w:hAnsi="宋体" w:eastAsia="宋体" w:cs="黑体"/>
      <w:color w:val="FF0000"/>
      <w:spacing w:val="-2"/>
      <w:kern w:val="0"/>
      <w:szCs w:val="21"/>
      <w:lang w:val="zh-CN"/>
    </w:rPr>
  </w:style>
  <w:style w:type="paragraph" w:customStyle="1" w:styleId="3453">
    <w:name w:val="b-ent-toc-actions"/>
    <w:basedOn w:val="1"/>
    <w:qFormat/>
    <w:uiPriority w:val="0"/>
    <w:pPr>
      <w:widowControl/>
      <w:spacing w:before="45"/>
      <w:jc w:val="left"/>
    </w:pPr>
    <w:rPr>
      <w:rFonts w:ascii="宋体" w:hAnsi="Calibri" w:eastAsia="宋体" w:cs="宋体"/>
      <w:spacing w:val="-2"/>
      <w:kern w:val="0"/>
      <w:sz w:val="24"/>
      <w:szCs w:val="21"/>
    </w:rPr>
  </w:style>
  <w:style w:type="paragraph" w:customStyle="1" w:styleId="3454">
    <w:name w:val="表标题1"/>
    <w:basedOn w:val="1"/>
    <w:next w:val="1"/>
    <w:qFormat/>
    <w:uiPriority w:val="0"/>
    <w:pPr>
      <w:spacing w:beforeLines="50" w:after="120" w:line="300" w:lineRule="auto"/>
      <w:jc w:val="center"/>
    </w:pPr>
    <w:rPr>
      <w:rFonts w:eastAsia="宋体" w:cs="黑体"/>
      <w:spacing w:val="-2"/>
      <w:kern w:val="0"/>
      <w:sz w:val="24"/>
    </w:rPr>
  </w:style>
  <w:style w:type="paragraph" w:customStyle="1" w:styleId="3455">
    <w:name w:val="环调标题1"/>
    <w:basedOn w:val="3"/>
    <w:qFormat/>
    <w:uiPriority w:val="0"/>
    <w:pPr>
      <w:pageBreakBefore w:val="0"/>
      <w:tabs>
        <w:tab w:val="clear" w:pos="1080"/>
      </w:tabs>
      <w:snapToGrid w:val="0"/>
      <w:spacing w:before="0" w:beforeLines="100" w:after="0" w:line="360" w:lineRule="auto"/>
      <w:ind w:left="0" w:firstLine="200" w:firstLineChars="200"/>
      <w:jc w:val="both"/>
    </w:pPr>
    <w:rPr>
      <w:rFonts w:ascii="Calibri" w:hAnsi="Calibri" w:cs="Arial"/>
      <w:bCs/>
      <w:spacing w:val="-2"/>
      <w:sz w:val="32"/>
      <w:szCs w:val="32"/>
    </w:rPr>
  </w:style>
  <w:style w:type="paragraph" w:customStyle="1" w:styleId="3456">
    <w:name w:val="文本框文字1"/>
    <w:qFormat/>
    <w:uiPriority w:val="0"/>
    <w:pPr>
      <w:jc w:val="center"/>
    </w:pPr>
    <w:rPr>
      <w:rFonts w:ascii="Times New Roman" w:hAnsi="Times New Roman" w:eastAsia="宋体" w:cs="Times New Roman"/>
      <w:sz w:val="24"/>
      <w:lang w:val="en-US" w:eastAsia="zh-CN" w:bidi="ar-SA"/>
    </w:rPr>
  </w:style>
  <w:style w:type="paragraph" w:customStyle="1" w:styleId="3457">
    <w:name w:val="message-board-box"/>
    <w:basedOn w:val="1"/>
    <w:qFormat/>
    <w:uiPriority w:val="0"/>
    <w:pPr>
      <w:widowControl/>
      <w:shd w:val="clear" w:color="auto" w:fill="FF0000"/>
      <w:spacing w:before="100" w:beforeAutospacing="1" w:after="100" w:afterAutospacing="1"/>
      <w:jc w:val="left"/>
    </w:pPr>
    <w:rPr>
      <w:rFonts w:ascii="宋体" w:hAnsi="Calibri" w:eastAsia="宋体" w:cs="宋体"/>
      <w:spacing w:val="-2"/>
      <w:kern w:val="0"/>
      <w:sz w:val="24"/>
      <w:szCs w:val="21"/>
    </w:rPr>
  </w:style>
  <w:style w:type="paragraph" w:customStyle="1" w:styleId="3458">
    <w:name w:val="编号1."/>
    <w:basedOn w:val="1"/>
    <w:qFormat/>
    <w:uiPriority w:val="0"/>
    <w:pPr>
      <w:tabs>
        <w:tab w:val="left" w:pos="547"/>
        <w:tab w:val="left" w:pos="1080"/>
      </w:tabs>
      <w:spacing w:line="480" w:lineRule="atLeast"/>
      <w:ind w:firstLine="547"/>
    </w:pPr>
    <w:rPr>
      <w:rFonts w:eastAsia="宋体" w:cs="黑体"/>
      <w:spacing w:val="-2"/>
      <w:kern w:val="0"/>
    </w:rPr>
  </w:style>
  <w:style w:type="paragraph" w:customStyle="1" w:styleId="3459">
    <w:name w:val="progressbar1"/>
    <w:basedOn w:val="1"/>
    <w:qFormat/>
    <w:uiPriority w:val="0"/>
    <w:pPr>
      <w:widowControl/>
      <w:spacing w:before="45" w:after="100" w:afterAutospacing="1"/>
      <w:jc w:val="left"/>
    </w:pPr>
    <w:rPr>
      <w:rFonts w:ascii="宋体" w:hAnsi="Calibri" w:eastAsia="宋体" w:cs="宋体"/>
      <w:spacing w:val="-2"/>
      <w:kern w:val="0"/>
      <w:sz w:val="24"/>
      <w:szCs w:val="21"/>
    </w:rPr>
  </w:style>
  <w:style w:type="paragraph" w:customStyle="1" w:styleId="3460">
    <w:name w:val="xl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spacing w:val="-2"/>
      <w:kern w:val="0"/>
      <w:sz w:val="24"/>
    </w:rPr>
  </w:style>
  <w:style w:type="paragraph" w:customStyle="1" w:styleId="3461">
    <w:name w:val="p24"/>
    <w:basedOn w:val="1"/>
    <w:qFormat/>
    <w:uiPriority w:val="0"/>
    <w:pPr>
      <w:widowControl/>
      <w:ind w:firstLine="538"/>
    </w:pPr>
    <w:rPr>
      <w:rFonts w:eastAsia="宋体" w:cs="黑体"/>
      <w:kern w:val="0"/>
      <w:szCs w:val="28"/>
    </w:rPr>
  </w:style>
  <w:style w:type="paragraph" w:customStyle="1" w:styleId="3462">
    <w:name w:val="14"/>
    <w:basedOn w:val="1"/>
    <w:qFormat/>
    <w:uiPriority w:val="0"/>
    <w:pPr>
      <w:widowControl/>
      <w:spacing w:after="160" w:line="240" w:lineRule="exact"/>
      <w:jc w:val="left"/>
    </w:pPr>
    <w:rPr>
      <w:rFonts w:eastAsia="宋体" w:cs="黑体"/>
      <w:spacing w:val="-2"/>
      <w:kern w:val="0"/>
    </w:rPr>
  </w:style>
  <w:style w:type="paragraph" w:customStyle="1" w:styleId="3463">
    <w:name w:val="样式 标题 3标题 3 Char Char标题 3 Char1H3Heading 3 - old标题 3 Char C..."/>
    <w:basedOn w:val="6"/>
    <w:qFormat/>
    <w:uiPriority w:val="0"/>
    <w:pPr>
      <w:tabs>
        <w:tab w:val="left" w:pos="1022"/>
        <w:tab w:val="left" w:pos="1080"/>
        <w:tab w:val="left" w:pos="4621"/>
        <w:tab w:val="clear" w:pos="1789"/>
      </w:tabs>
      <w:spacing w:before="240"/>
      <w:ind w:left="1476" w:hanging="1476"/>
    </w:pPr>
    <w:rPr>
      <w:rFonts w:hint="eastAsia" w:ascii="Arial" w:hAnsi="Arial" w:eastAsia="楷体_GB2312" w:cs="宋体"/>
      <w:b w:val="0"/>
      <w:i/>
      <w:iCs/>
      <w:color w:val="000000"/>
      <w:spacing w:val="-2"/>
      <w:sz w:val="32"/>
      <w:szCs w:val="24"/>
    </w:rPr>
  </w:style>
  <w:style w:type="paragraph" w:customStyle="1" w:styleId="3464">
    <w:name w:val="基准页眉样式"/>
    <w:basedOn w:val="34"/>
    <w:qFormat/>
    <w:uiPriority w:val="0"/>
    <w:pPr>
      <w:keepLines/>
      <w:widowControl/>
      <w:tabs>
        <w:tab w:val="center" w:pos="-18551"/>
        <w:tab w:val="right" w:pos="4320"/>
      </w:tabs>
      <w:spacing w:after="0" w:line="240" w:lineRule="atLeast"/>
      <w:jc w:val="center"/>
    </w:pPr>
    <w:rPr>
      <w:rFonts w:ascii="Garamond" w:hAnsi="Garamond" w:eastAsia="宋体" w:cs="宋体"/>
      <w:i/>
      <w:iCs/>
      <w:smallCaps/>
      <w:color w:val="000000"/>
      <w:spacing w:val="15"/>
      <w:sz w:val="21"/>
      <w:szCs w:val="24"/>
    </w:rPr>
  </w:style>
  <w:style w:type="paragraph" w:customStyle="1" w:styleId="3465">
    <w:name w:val="码头正文"/>
    <w:basedOn w:val="5"/>
    <w:qFormat/>
    <w:uiPriority w:val="0"/>
    <w:pPr>
      <w:spacing w:line="360" w:lineRule="auto"/>
      <w:ind w:firstLine="480" w:firstLineChars="200"/>
    </w:pPr>
    <w:rPr>
      <w:rFonts w:hint="eastAsia" w:ascii="宋体" w:hAnsi="Times New Roman" w:cs="宋体"/>
      <w:spacing w:val="0"/>
      <w:kern w:val="0"/>
      <w:szCs w:val="24"/>
      <w:u w:color="000000"/>
    </w:rPr>
  </w:style>
  <w:style w:type="paragraph" w:customStyle="1" w:styleId="3466">
    <w:name w:val="p9"/>
    <w:basedOn w:val="1"/>
    <w:qFormat/>
    <w:uiPriority w:val="0"/>
    <w:pPr>
      <w:widowControl/>
      <w:spacing w:before="100" w:beforeAutospacing="1" w:after="100" w:afterAutospacing="1" w:line="320" w:lineRule="atLeast"/>
      <w:jc w:val="left"/>
    </w:pPr>
    <w:rPr>
      <w:rFonts w:ascii="Arial Unicode MS" w:hAnsi="Arial Unicode MS" w:eastAsia="Arial Unicode MS" w:cs="黑体"/>
      <w:spacing w:val="-2"/>
      <w:kern w:val="0"/>
      <w:sz w:val="18"/>
    </w:rPr>
  </w:style>
  <w:style w:type="paragraph" w:customStyle="1" w:styleId="3467">
    <w:name w:val="湛宝表格"/>
    <w:basedOn w:val="1"/>
    <w:qFormat/>
    <w:uiPriority w:val="0"/>
    <w:pPr>
      <w:adjustRightInd w:val="0"/>
      <w:jc w:val="center"/>
    </w:pPr>
    <w:rPr>
      <w:rFonts w:eastAsia="Times New Roman" w:cs="黑体"/>
      <w:spacing w:val="10"/>
      <w:kern w:val="0"/>
      <w:sz w:val="24"/>
    </w:rPr>
  </w:style>
  <w:style w:type="paragraph" w:customStyle="1" w:styleId="3468">
    <w:name w:val="mstheme-navtxtnext"/>
    <w:basedOn w:val="1"/>
    <w:qFormat/>
    <w:uiPriority w:val="0"/>
    <w:pPr>
      <w:spacing w:before="100" w:beforeAutospacing="1" w:after="100" w:afterAutospacing="1"/>
    </w:pPr>
    <w:rPr>
      <w:rFonts w:eastAsia="宋体" w:cs="黑体"/>
      <w:color w:val="000000"/>
      <w:spacing w:val="-2"/>
      <w:kern w:val="0"/>
      <w:sz w:val="24"/>
    </w:rPr>
  </w:style>
  <w:style w:type="paragraph" w:customStyle="1" w:styleId="3469">
    <w:name w:val="关于:"/>
    <w:qFormat/>
    <w:uiPriority w:val="0"/>
    <w:pPr>
      <w:widowControl w:val="0"/>
      <w:jc w:val="both"/>
    </w:pPr>
    <w:rPr>
      <w:rFonts w:ascii="Times New Roman" w:hAnsi="Times New Roman" w:eastAsia="宋体" w:cs="Times New Roman"/>
      <w:lang w:val="en-US" w:eastAsia="zh-CN" w:bidi="ar-SA"/>
    </w:rPr>
  </w:style>
  <w:style w:type="paragraph" w:customStyle="1" w:styleId="3470">
    <w:name w:val="质标4"/>
    <w:basedOn w:val="1"/>
    <w:qFormat/>
    <w:uiPriority w:val="0"/>
    <w:pPr>
      <w:adjustRightInd w:val="0"/>
      <w:snapToGrid w:val="0"/>
      <w:spacing w:line="360" w:lineRule="auto"/>
    </w:pPr>
    <w:rPr>
      <w:rFonts w:ascii="楷体_GB2312" w:eastAsia="楷体_GB2312" w:cs="黑体"/>
      <w:spacing w:val="-2"/>
      <w:kern w:val="0"/>
    </w:rPr>
  </w:style>
  <w:style w:type="paragraph" w:customStyle="1" w:styleId="3471">
    <w:name w:val="xl19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spacing w:val="-2"/>
      <w:kern w:val="0"/>
      <w:sz w:val="24"/>
    </w:rPr>
  </w:style>
  <w:style w:type="paragraph" w:customStyle="1" w:styleId="3472">
    <w:name w:val="样式84"/>
    <w:basedOn w:val="871"/>
    <w:qFormat/>
    <w:uiPriority w:val="0"/>
    <w:pPr>
      <w:widowControl/>
      <w:overflowPunct w:val="0"/>
      <w:autoSpaceDE w:val="0"/>
      <w:autoSpaceDN w:val="0"/>
      <w:adjustRightInd w:val="0"/>
      <w:snapToGrid w:val="0"/>
      <w:spacing w:beforeLines="50" w:line="240" w:lineRule="auto"/>
      <w:ind w:firstLine="0"/>
      <w:jc w:val="center"/>
    </w:pPr>
    <w:rPr>
      <w:rFonts w:hint="eastAsia" w:ascii="黑体" w:hAnsi="宋体" w:cs="宋体"/>
      <w:b/>
      <w:bCs/>
      <w:color w:val="000000"/>
      <w:spacing w:val="0"/>
      <w:sz w:val="21"/>
      <w:szCs w:val="21"/>
      <w:lang w:val="zh-CN"/>
    </w:rPr>
  </w:style>
  <w:style w:type="paragraph" w:customStyle="1" w:styleId="3473">
    <w:name w:val="正文1 加粗"/>
    <w:basedOn w:val="3023"/>
    <w:qFormat/>
    <w:uiPriority w:val="0"/>
    <w:pPr>
      <w:tabs>
        <w:tab w:val="left" w:pos="360"/>
      </w:tabs>
      <w:adjustRightInd/>
      <w:spacing w:before="93" w:after="0" w:line="240" w:lineRule="auto"/>
      <w:ind w:firstLine="200" w:firstLineChars="200"/>
    </w:pPr>
    <w:rPr>
      <w:rFonts w:hAnsi="宋体" w:cs="宋体"/>
      <w:b/>
      <w:spacing w:val="0"/>
      <w:szCs w:val="28"/>
    </w:rPr>
  </w:style>
  <w:style w:type="paragraph" w:customStyle="1" w:styleId="3474">
    <w:name w:val="样式 标题 2Se标题 21标题 121标题 2 Char1 Char节H2节标题 1.1节标题 1.1 Ch...2"/>
    <w:basedOn w:val="4"/>
    <w:qFormat/>
    <w:uiPriority w:val="0"/>
    <w:pPr>
      <w:tabs>
        <w:tab w:val="left" w:pos="1476"/>
        <w:tab w:val="clear" w:pos="567"/>
      </w:tabs>
      <w:spacing w:before="156" w:after="156"/>
      <w:ind w:left="50" w:leftChars="50" w:right="50" w:rightChars="50" w:hanging="420"/>
      <w:jc w:val="left"/>
    </w:pPr>
    <w:rPr>
      <w:rFonts w:ascii="宋体" w:hAnsi="宋体" w:eastAsia="宋体" w:cs="宋体"/>
      <w:b/>
      <w:bCs/>
      <w:spacing w:val="-2"/>
      <w:szCs w:val="28"/>
    </w:rPr>
  </w:style>
  <w:style w:type="paragraph" w:customStyle="1" w:styleId="3475">
    <w:name w:val="p-top"/>
    <w:basedOn w:val="1"/>
    <w:qFormat/>
    <w:uiPriority w:val="0"/>
    <w:pPr>
      <w:widowControl/>
      <w:shd w:val="clear" w:color="auto" w:fill="709CD2"/>
      <w:spacing w:before="100" w:beforeAutospacing="1" w:after="100" w:afterAutospacing="1"/>
      <w:jc w:val="left"/>
    </w:pPr>
    <w:rPr>
      <w:rFonts w:ascii="宋体" w:hAnsi="Calibri" w:eastAsia="宋体" w:cs="宋体"/>
      <w:spacing w:val="-2"/>
      <w:kern w:val="0"/>
      <w:sz w:val="24"/>
      <w:szCs w:val="21"/>
    </w:rPr>
  </w:style>
  <w:style w:type="paragraph" w:customStyle="1" w:styleId="3476">
    <w:name w:val="表中"/>
    <w:basedOn w:val="1"/>
    <w:qFormat/>
    <w:uiPriority w:val="0"/>
    <w:pPr>
      <w:adjustRightInd w:val="0"/>
      <w:snapToGrid w:val="0"/>
      <w:jc w:val="center"/>
    </w:pPr>
    <w:rPr>
      <w:rFonts w:eastAsia="宋体" w:cs="黑体"/>
      <w:spacing w:val="-2"/>
      <w:kern w:val="0"/>
    </w:rPr>
  </w:style>
  <w:style w:type="paragraph" w:customStyle="1" w:styleId="3477">
    <w:name w:val="中大4级3"/>
    <w:basedOn w:val="3179"/>
    <w:qFormat/>
    <w:uiPriority w:val="0"/>
    <w:pPr>
      <w:tabs>
        <w:tab w:val="left" w:pos="993"/>
        <w:tab w:val="clear" w:pos="0"/>
        <w:tab w:val="clear" w:pos="709"/>
        <w:tab w:val="clear" w:pos="1476"/>
      </w:tabs>
      <w:spacing w:beforeLines="0"/>
      <w:outlineLvl w:val="3"/>
    </w:pPr>
    <w:rPr>
      <w:sz w:val="24"/>
      <w:szCs w:val="24"/>
    </w:rPr>
  </w:style>
  <w:style w:type="paragraph" w:customStyle="1" w:styleId="3478">
    <w:name w:val="说明-表格-注"/>
    <w:basedOn w:val="1"/>
    <w:qFormat/>
    <w:uiPriority w:val="0"/>
    <w:pPr>
      <w:spacing w:line="0" w:lineRule="atLeast"/>
      <w:ind w:left="189" w:leftChars="189" w:right="374" w:firstLine="7" w:firstLineChars="7"/>
    </w:pPr>
    <w:rPr>
      <w:rFonts w:eastAsia="宋体" w:cs="黑体"/>
      <w:spacing w:val="-2"/>
      <w:kern w:val="0"/>
      <w:sz w:val="18"/>
    </w:rPr>
  </w:style>
  <w:style w:type="paragraph" w:customStyle="1" w:styleId="3479">
    <w:name w:val="headline-11"/>
    <w:basedOn w:val="1"/>
    <w:qFormat/>
    <w:uiPriority w:val="0"/>
    <w:pPr>
      <w:widowControl/>
      <w:pBdr>
        <w:bottom w:val="single" w:color="DEDFE1" w:sz="6" w:space="5"/>
      </w:pBdr>
      <w:spacing w:after="150" w:line="360" w:lineRule="atLeast"/>
      <w:jc w:val="left"/>
    </w:pPr>
    <w:rPr>
      <w:rFonts w:ascii="宋体" w:hAnsi="Calibri" w:eastAsia="宋体" w:cs="宋体"/>
      <w:b/>
      <w:bCs/>
      <w:spacing w:val="-2"/>
      <w:kern w:val="0"/>
      <w:sz w:val="27"/>
      <w:szCs w:val="27"/>
    </w:rPr>
  </w:style>
  <w:style w:type="paragraph" w:customStyle="1" w:styleId="3480">
    <w:name w:val="low-lh"/>
    <w:basedOn w:val="1"/>
    <w:qFormat/>
    <w:uiPriority w:val="0"/>
    <w:pPr>
      <w:widowControl/>
      <w:spacing w:before="100" w:beforeAutospacing="1" w:after="100" w:afterAutospacing="1"/>
      <w:jc w:val="left"/>
    </w:pPr>
    <w:rPr>
      <w:rFonts w:ascii="宋体" w:hAnsi="Calibri" w:eastAsia="宋体" w:cs="宋体"/>
      <w:spacing w:val="-2"/>
      <w:kern w:val="0"/>
      <w:szCs w:val="21"/>
    </w:rPr>
  </w:style>
  <w:style w:type="paragraph" w:customStyle="1" w:styleId="3481">
    <w:name w:val="样式 标题 2H21节标题H21SeHead wsa2 + 行距: 固定值 26 磅"/>
    <w:basedOn w:val="4"/>
    <w:qFormat/>
    <w:uiPriority w:val="0"/>
    <w:pPr>
      <w:keepLines w:val="0"/>
      <w:tabs>
        <w:tab w:val="left" w:pos="0"/>
        <w:tab w:val="left" w:pos="1191"/>
        <w:tab w:val="left" w:pos="1476"/>
        <w:tab w:val="clear" w:pos="567"/>
      </w:tabs>
      <w:adjustRightInd w:val="0"/>
      <w:snapToGrid w:val="0"/>
      <w:spacing w:before="0" w:beforeLines="50" w:after="0" w:line="520" w:lineRule="exact"/>
      <w:ind w:left="0" w:firstLine="471"/>
    </w:pPr>
    <w:rPr>
      <w:rFonts w:ascii="宋体" w:hAnsi="宋体" w:cs="宋体"/>
      <w:bCs/>
      <w:spacing w:val="-2"/>
      <w:sz w:val="30"/>
      <w:szCs w:val="30"/>
    </w:rPr>
  </w:style>
  <w:style w:type="paragraph" w:customStyle="1" w:styleId="3482">
    <w:name w:val="Char Char Char Char Char Char1 Char Char Char Char Char Char Char"/>
    <w:basedOn w:val="1"/>
    <w:qFormat/>
    <w:uiPriority w:val="0"/>
    <w:rPr>
      <w:rFonts w:eastAsia="宋体" w:cs="黑体"/>
      <w:spacing w:val="-2"/>
      <w:kern w:val="0"/>
      <w:sz w:val="24"/>
    </w:rPr>
  </w:style>
  <w:style w:type="paragraph" w:customStyle="1" w:styleId="3483">
    <w:name w:val="content-hd-wra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84">
    <w:name w:val="F正文"/>
    <w:qFormat/>
    <w:uiPriority w:val="0"/>
    <w:pPr>
      <w:widowControl w:val="0"/>
      <w:adjustRightInd w:val="0"/>
      <w:spacing w:line="360" w:lineRule="atLeast"/>
    </w:pPr>
    <w:rPr>
      <w:rFonts w:ascii="Times New Roman" w:hAnsi="Times New Roman" w:eastAsia="宋体" w:cs="Times New Roman"/>
      <w:spacing w:val="12"/>
      <w:sz w:val="24"/>
      <w:lang w:val="en-US" w:eastAsia="zh-CN" w:bidi="ar-SA"/>
    </w:rPr>
  </w:style>
  <w:style w:type="paragraph" w:customStyle="1" w:styleId="3485">
    <w:name w:val="样式 标题 4 + 段后: 7.8 磅"/>
    <w:basedOn w:val="7"/>
    <w:qFormat/>
    <w:uiPriority w:val="0"/>
    <w:pPr>
      <w:keepNext w:val="0"/>
      <w:keepLines w:val="0"/>
      <w:tabs>
        <w:tab w:val="left" w:pos="780"/>
        <w:tab w:val="left" w:pos="2153"/>
        <w:tab w:val="clear" w:pos="4008"/>
      </w:tabs>
      <w:adjustRightInd w:val="0"/>
      <w:snapToGrid w:val="0"/>
      <w:spacing w:beforeLines="10" w:after="156" w:line="460" w:lineRule="exact"/>
      <w:ind w:left="200" w:leftChars="200" w:hanging="360" w:hangingChars="200"/>
      <w:jc w:val="left"/>
    </w:pPr>
    <w:rPr>
      <w:rFonts w:ascii="Times New Roman" w:hAnsi="Times New Roman" w:eastAsia="宋体" w:cs="宋体"/>
      <w:b w:val="0"/>
      <w:color w:val="auto"/>
      <w:spacing w:val="-2"/>
      <w:kern w:val="0"/>
      <w:szCs w:val="24"/>
    </w:rPr>
  </w:style>
  <w:style w:type="paragraph" w:customStyle="1" w:styleId="3486">
    <w:name w:val="card-info-inner"/>
    <w:basedOn w:val="1"/>
    <w:qFormat/>
    <w:uiPriority w:val="0"/>
    <w:pPr>
      <w:widowControl/>
      <w:pBdr>
        <w:bottom w:val="single" w:color="DEDFE1"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3487">
    <w:name w:val="一般内容"/>
    <w:basedOn w:val="1"/>
    <w:qFormat/>
    <w:uiPriority w:val="0"/>
    <w:pPr>
      <w:adjustRightInd w:val="0"/>
      <w:spacing w:beforeLines="50" w:line="400" w:lineRule="atLeast"/>
      <w:ind w:left="851"/>
    </w:pPr>
    <w:rPr>
      <w:rFonts w:eastAsia="宋体" w:cs="黑体"/>
      <w:spacing w:val="-2"/>
      <w:kern w:val="0"/>
      <w:sz w:val="24"/>
    </w:rPr>
  </w:style>
  <w:style w:type="paragraph" w:customStyle="1" w:styleId="3488">
    <w:name w:val="样式 (符号) 宋体 左 段前: 0.1 行"/>
    <w:basedOn w:val="1"/>
    <w:qFormat/>
    <w:uiPriority w:val="0"/>
    <w:pPr>
      <w:adjustRightInd w:val="0"/>
      <w:snapToGrid w:val="0"/>
      <w:spacing w:line="460" w:lineRule="exact"/>
      <w:ind w:firstLine="480" w:firstLineChars="200"/>
    </w:pPr>
    <w:rPr>
      <w:rFonts w:eastAsia="宋体" w:cs="宋体"/>
      <w:color w:val="0000FF"/>
      <w:spacing w:val="-2"/>
      <w:kern w:val="0"/>
      <w:sz w:val="24"/>
    </w:rPr>
  </w:style>
  <w:style w:type="paragraph" w:customStyle="1" w:styleId="3489">
    <w:name w:val="正文6"/>
    <w:basedOn w:val="34"/>
    <w:qFormat/>
    <w:uiPriority w:val="0"/>
    <w:pPr>
      <w:spacing w:after="0" w:line="360" w:lineRule="auto"/>
      <w:ind w:firstLine="200" w:firstLineChars="200"/>
    </w:pPr>
    <w:rPr>
      <w:rFonts w:ascii="宋体" w:hAnsi="宋体" w:eastAsia="宋体" w:cs="宋体"/>
      <w:i/>
      <w:iCs/>
      <w:color w:val="000000"/>
      <w:sz w:val="21"/>
      <w:szCs w:val="24"/>
    </w:rPr>
  </w:style>
  <w:style w:type="paragraph" w:customStyle="1" w:styleId="3490">
    <w:name w:val="样式 样式 (西文) 仿宋_GB2312 (中文) 仿宋_GB2312 黑色 悬挂缩进: 3 字符 段前: 0.5 行 行距....."/>
    <w:basedOn w:val="1"/>
    <w:qFormat/>
    <w:uiPriority w:val="0"/>
    <w:pPr>
      <w:spacing w:line="300" w:lineRule="auto"/>
      <w:ind w:left="200" w:leftChars="200" w:hanging="300" w:hangingChars="300"/>
    </w:pPr>
    <w:rPr>
      <w:rFonts w:ascii="仿宋_GB2312" w:hAnsi="Calibri" w:cs="黑体"/>
      <w:color w:val="000000"/>
      <w:spacing w:val="-2"/>
      <w:kern w:val="0"/>
    </w:rPr>
  </w:style>
  <w:style w:type="paragraph" w:customStyle="1" w:styleId="3491">
    <w:name w:val="2152793030"/>
    <w:basedOn w:val="1"/>
    <w:qFormat/>
    <w:uiPriority w:val="0"/>
    <w:pPr>
      <w:adjustRightInd w:val="0"/>
      <w:spacing w:line="420" w:lineRule="atLeast"/>
      <w:ind w:firstLine="200" w:firstLineChars="200"/>
    </w:pPr>
    <w:rPr>
      <w:rFonts w:ascii="宋体" w:hAnsi="Calibri" w:eastAsia="宋体" w:cs="黑体"/>
      <w:spacing w:val="20"/>
      <w:kern w:val="0"/>
      <w:sz w:val="24"/>
    </w:rPr>
  </w:style>
  <w:style w:type="paragraph" w:customStyle="1" w:styleId="3492">
    <w:name w:val="图编号"/>
    <w:basedOn w:val="46"/>
    <w:qFormat/>
    <w:uiPriority w:val="0"/>
    <w:pPr>
      <w:tabs>
        <w:tab w:val="left" w:pos="1140"/>
      </w:tabs>
      <w:spacing w:before="300" w:after="300"/>
      <w:ind w:left="1140" w:hanging="600"/>
      <w:jc w:val="center"/>
    </w:pPr>
    <w:rPr>
      <w:rFonts w:hAnsi="Calibri" w:cs="宋体"/>
      <w:sz w:val="24"/>
      <w:szCs w:val="24"/>
    </w:rPr>
  </w:style>
  <w:style w:type="paragraph" w:customStyle="1" w:styleId="3493">
    <w:name w:val="样式 样式 样式 标题 23号宋体居中2倍行距 + (西文) Times New Roman (中文) 宋体 三号 居中 行距:...2"/>
    <w:basedOn w:val="1"/>
    <w:qFormat/>
    <w:uiPriority w:val="0"/>
    <w:pPr>
      <w:keepNext/>
      <w:tabs>
        <w:tab w:val="left" w:pos="1575"/>
      </w:tabs>
      <w:snapToGrid w:val="0"/>
      <w:spacing w:beforeLines="50" w:line="520" w:lineRule="exact"/>
      <w:outlineLvl w:val="1"/>
    </w:pPr>
    <w:rPr>
      <w:rFonts w:eastAsia="宋体" w:cs="黑体"/>
      <w:b/>
      <w:bCs/>
      <w:spacing w:val="-2"/>
      <w:kern w:val="0"/>
      <w:szCs w:val="28"/>
    </w:rPr>
  </w:style>
  <w:style w:type="paragraph" w:customStyle="1" w:styleId="3494">
    <w:name w:val="普通(Web)"/>
    <w:basedOn w:val="1"/>
    <w:qFormat/>
    <w:uiPriority w:val="0"/>
    <w:pPr>
      <w:spacing w:before="100" w:beforeAutospacing="1" w:after="100" w:afterAutospacing="1"/>
    </w:pPr>
    <w:rPr>
      <w:rFonts w:eastAsia="宋体" w:cs="黑体"/>
      <w:spacing w:val="-2"/>
      <w:kern w:val="0"/>
      <w:sz w:val="24"/>
    </w:rPr>
  </w:style>
  <w:style w:type="paragraph" w:customStyle="1" w:styleId="3495">
    <w:name w:val="entries-box"/>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96">
    <w:name w:val="p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497">
    <w:name w:val="正文2002"/>
    <w:basedOn w:val="1"/>
    <w:qFormat/>
    <w:uiPriority w:val="0"/>
    <w:pPr>
      <w:adjustRightInd w:val="0"/>
      <w:spacing w:line="312" w:lineRule="atLeast"/>
      <w:jc w:val="center"/>
    </w:pPr>
    <w:rPr>
      <w:rFonts w:ascii="楷体_GB2312" w:hAnsi="Calibri" w:eastAsia="楷体_GB2312" w:cs="黑体"/>
      <w:b/>
      <w:bCs/>
      <w:spacing w:val="-2"/>
      <w:kern w:val="0"/>
      <w:sz w:val="44"/>
    </w:rPr>
  </w:style>
  <w:style w:type="paragraph" w:customStyle="1" w:styleId="3498">
    <w:name w:val="标题 1YHY"/>
    <w:basedOn w:val="3"/>
    <w:qFormat/>
    <w:uiPriority w:val="0"/>
    <w:pPr>
      <w:pageBreakBefore w:val="0"/>
      <w:tabs>
        <w:tab w:val="clear" w:pos="1080"/>
      </w:tabs>
      <w:spacing w:before="0" w:beforeLines="50" w:after="0" w:line="360" w:lineRule="auto"/>
      <w:ind w:left="0" w:firstLine="0"/>
      <w:jc w:val="both"/>
    </w:pPr>
    <w:rPr>
      <w:rFonts w:ascii="宋体" w:hAnsi="宋体" w:eastAsia="黑体" w:cs="宋体"/>
      <w:color w:val="000000"/>
      <w:spacing w:val="-2"/>
      <w:sz w:val="30"/>
      <w:szCs w:val="30"/>
    </w:rPr>
  </w:style>
  <w:style w:type="paragraph" w:customStyle="1" w:styleId="3499">
    <w:name w:val="一级无标题条"/>
    <w:basedOn w:val="1"/>
    <w:qFormat/>
    <w:uiPriority w:val="0"/>
    <w:pPr>
      <w:ind w:left="720" w:hanging="720"/>
    </w:pPr>
    <w:rPr>
      <w:rFonts w:eastAsia="宋体" w:cs="黑体"/>
      <w:spacing w:val="-2"/>
      <w:kern w:val="0"/>
    </w:rPr>
  </w:style>
  <w:style w:type="paragraph" w:customStyle="1" w:styleId="3500">
    <w:name w:val="报告样式4"/>
    <w:basedOn w:val="5"/>
    <w:qFormat/>
    <w:uiPriority w:val="0"/>
    <w:pPr>
      <w:spacing w:line="240" w:lineRule="auto"/>
      <w:ind w:firstLine="200" w:firstLineChars="200"/>
    </w:pPr>
    <w:rPr>
      <w:rFonts w:hint="eastAsia" w:ascii="Calibri" w:hAnsi="Calibri"/>
      <w:bCs/>
      <w:spacing w:val="0"/>
      <w:sz w:val="28"/>
      <w:szCs w:val="22"/>
    </w:rPr>
  </w:style>
  <w:style w:type="paragraph" w:customStyle="1" w:styleId="3501">
    <w:name w:val="许克亮标一"/>
    <w:qFormat/>
    <w:uiPriority w:val="0"/>
    <w:pPr>
      <w:adjustRightInd w:val="0"/>
      <w:snapToGrid w:val="0"/>
      <w:spacing w:line="360" w:lineRule="auto"/>
      <w:ind w:firstLine="561"/>
      <w:jc w:val="both"/>
    </w:pPr>
    <w:rPr>
      <w:rFonts w:ascii="Times New Roman" w:hAnsi="Times New Roman" w:eastAsia="黑体" w:cs="Times New Roman"/>
      <w:b/>
      <w:bCs/>
      <w:sz w:val="28"/>
      <w:szCs w:val="28"/>
      <w:lang w:val="en-US" w:eastAsia="zh-CN" w:bidi="ar-SA"/>
    </w:rPr>
  </w:style>
  <w:style w:type="paragraph" w:customStyle="1" w:styleId="3502">
    <w:name w:val="Char Char112"/>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3503">
    <w:name w:val="标题正4"/>
    <w:basedOn w:val="1"/>
    <w:qFormat/>
    <w:uiPriority w:val="0"/>
    <w:pPr>
      <w:spacing w:line="300" w:lineRule="exact"/>
      <w:jc w:val="center"/>
    </w:pPr>
    <w:rPr>
      <w:rFonts w:eastAsia="宋体" w:cs="黑体"/>
      <w:color w:val="000000"/>
      <w:spacing w:val="-2"/>
      <w:kern w:val="0"/>
      <w:sz w:val="24"/>
    </w:rPr>
  </w:style>
  <w:style w:type="paragraph" w:customStyle="1" w:styleId="3504">
    <w:name w:val="样式 标题 1文章 + 段前: 0.5 行 段后: 0.5 行"/>
    <w:basedOn w:val="3505"/>
    <w:next w:val="1"/>
    <w:qFormat/>
    <w:uiPriority w:val="0"/>
    <w:pPr>
      <w:tabs>
        <w:tab w:val="left" w:pos="0"/>
        <w:tab w:val="left" w:pos="1407"/>
      </w:tabs>
      <w:autoSpaceDN w:val="0"/>
      <w:adjustRightInd w:val="0"/>
      <w:spacing w:line="520" w:lineRule="exact"/>
      <w:ind w:left="1386" w:firstLine="200" w:firstLineChars="200"/>
      <w:contextualSpacing/>
      <w:jc w:val="left"/>
    </w:pPr>
    <w:rPr>
      <w:rFonts w:ascii="黑体" w:eastAsia="黑体"/>
      <w:b w:val="0"/>
      <w:kern w:val="2"/>
      <w:szCs w:val="20"/>
    </w:rPr>
  </w:style>
  <w:style w:type="paragraph" w:customStyle="1" w:styleId="3505">
    <w:name w:val="标题 1文章"/>
    <w:basedOn w:val="3"/>
    <w:next w:val="1"/>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paragraph" w:customStyle="1" w:styleId="3506">
    <w:name w:val="燕山正文"/>
    <w:basedOn w:val="1"/>
    <w:qFormat/>
    <w:uiPriority w:val="0"/>
    <w:pPr>
      <w:tabs>
        <w:tab w:val="left" w:pos="4680"/>
      </w:tabs>
      <w:adjustRightInd w:val="0"/>
      <w:snapToGrid w:val="0"/>
      <w:spacing w:line="360" w:lineRule="auto"/>
      <w:ind w:firstLine="560" w:firstLineChars="200"/>
      <w:jc w:val="left"/>
    </w:pPr>
    <w:rPr>
      <w:rFonts w:ascii="宋体" w:hAnsi="宋体" w:eastAsia="宋体" w:cs="宋体"/>
      <w:color w:val="000000"/>
      <w:szCs w:val="28"/>
    </w:rPr>
  </w:style>
  <w:style w:type="paragraph" w:customStyle="1" w:styleId="3507">
    <w:name w:val="STANDARD 2"/>
    <w:basedOn w:val="1"/>
    <w:qFormat/>
    <w:uiPriority w:val="0"/>
    <w:pPr>
      <w:widowControl/>
      <w:ind w:left="1020"/>
      <w:jc w:val="left"/>
    </w:pPr>
    <w:rPr>
      <w:rFonts w:ascii="宋体" w:hAnsi="宋体" w:eastAsia="宋体" w:cs="宋体"/>
      <w:spacing w:val="-2"/>
      <w:kern w:val="0"/>
      <w:sz w:val="24"/>
      <w:lang w:val="fr-FR" w:eastAsia="fr-FR"/>
    </w:rPr>
  </w:style>
  <w:style w:type="paragraph" w:customStyle="1" w:styleId="3508">
    <w:name w:val="gotouc-wra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09">
    <w:name w:val="文件名"/>
    <w:qFormat/>
    <w:uiPriority w:val="0"/>
    <w:pPr>
      <w:widowControl w:val="0"/>
      <w:jc w:val="both"/>
    </w:pPr>
    <w:rPr>
      <w:rFonts w:ascii="Times New Roman" w:hAnsi="Times New Roman" w:eastAsia="宋体" w:cs="Times New Roman"/>
      <w:lang w:val="en-US" w:eastAsia="zh-CN" w:bidi="ar-SA"/>
    </w:rPr>
  </w:style>
  <w:style w:type="paragraph" w:customStyle="1" w:styleId="3510">
    <w:name w:val="xl178"/>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b/>
      <w:bCs/>
      <w:color w:val="008080"/>
      <w:spacing w:val="-2"/>
      <w:kern w:val="0"/>
      <w:sz w:val="24"/>
    </w:rPr>
  </w:style>
  <w:style w:type="paragraph" w:customStyle="1" w:styleId="3511">
    <w:name w:val="样式 毕二级 + 段前: 0.5 行 段后: 0.5 行"/>
    <w:basedOn w:val="1"/>
    <w:qFormat/>
    <w:uiPriority w:val="0"/>
    <w:pPr>
      <w:tabs>
        <w:tab w:val="left" w:pos="432"/>
      </w:tabs>
      <w:spacing w:before="120" w:after="120" w:line="360" w:lineRule="auto"/>
      <w:ind w:left="432" w:hanging="432"/>
    </w:pPr>
    <w:rPr>
      <w:rFonts w:eastAsia="宋体" w:cs="宋体"/>
      <w:bCs/>
      <w:spacing w:val="-2"/>
      <w:kern w:val="0"/>
      <w:sz w:val="24"/>
    </w:rPr>
  </w:style>
  <w:style w:type="paragraph" w:customStyle="1" w:styleId="3512">
    <w:name w:val="000 正文 首行缩进2字符"/>
    <w:basedOn w:val="1"/>
    <w:qFormat/>
    <w:uiPriority w:val="0"/>
    <w:pPr>
      <w:adjustRightInd w:val="0"/>
      <w:spacing w:line="288" w:lineRule="auto"/>
      <w:ind w:firstLine="200" w:firstLineChars="200"/>
    </w:pPr>
    <w:rPr>
      <w:rFonts w:eastAsia="宋体" w:cs="宋体"/>
      <w:spacing w:val="-2"/>
      <w:kern w:val="0"/>
      <w:sz w:val="18"/>
    </w:rPr>
  </w:style>
  <w:style w:type="paragraph" w:customStyle="1" w:styleId="3513">
    <w:name w:val="样式 报告 + 首行缩进:  2 字符"/>
    <w:basedOn w:val="1"/>
    <w:qFormat/>
    <w:uiPriority w:val="0"/>
    <w:pPr>
      <w:widowControl/>
      <w:overflowPunct w:val="0"/>
      <w:autoSpaceDE w:val="0"/>
      <w:autoSpaceDN w:val="0"/>
      <w:adjustRightInd w:val="0"/>
      <w:spacing w:before="120" w:after="120" w:line="400" w:lineRule="atLeast"/>
      <w:ind w:firstLine="200" w:firstLineChars="200"/>
    </w:pPr>
    <w:rPr>
      <w:rFonts w:ascii="宋体" w:hAnsi="宋体" w:eastAsia="宋体" w:cs="宋体"/>
      <w:spacing w:val="-2"/>
      <w:sz w:val="24"/>
      <w:szCs w:val="24"/>
    </w:rPr>
  </w:style>
  <w:style w:type="paragraph" w:customStyle="1" w:styleId="3514">
    <w:name w:val="表格_正文"/>
    <w:qFormat/>
    <w:uiPriority w:val="0"/>
    <w:pPr>
      <w:snapToGrid w:val="0"/>
      <w:spacing w:before="60" w:after="60"/>
      <w:jc w:val="center"/>
    </w:pPr>
    <w:rPr>
      <w:rFonts w:ascii="Times New Roman" w:hAnsi="Times New Roman" w:eastAsia="宋体" w:cs="Times New Roman"/>
      <w:sz w:val="21"/>
      <w:lang w:val="en-US" w:eastAsia="zh-CN" w:bidi="ar-SA"/>
    </w:rPr>
  </w:style>
  <w:style w:type="paragraph" w:customStyle="1" w:styleId="3515">
    <w:name w:val="文件册号"/>
    <w:basedOn w:val="1"/>
    <w:next w:val="1"/>
    <w:qFormat/>
    <w:uiPriority w:val="0"/>
    <w:pPr>
      <w:spacing w:line="800" w:lineRule="atLeast"/>
      <w:jc w:val="center"/>
    </w:pPr>
    <w:rPr>
      <w:rFonts w:eastAsia="宋体" w:cs="黑体"/>
      <w:spacing w:val="-2"/>
      <w:kern w:val="0"/>
      <w:sz w:val="52"/>
      <w:szCs w:val="52"/>
    </w:rPr>
  </w:style>
  <w:style w:type="paragraph" w:customStyle="1" w:styleId="3516">
    <w:name w:val="环调标题"/>
    <w:basedOn w:val="3"/>
    <w:qFormat/>
    <w:uiPriority w:val="0"/>
    <w:pPr>
      <w:pageBreakBefore w:val="0"/>
      <w:tabs>
        <w:tab w:val="clear" w:pos="1080"/>
      </w:tabs>
      <w:snapToGrid w:val="0"/>
      <w:spacing w:before="0" w:beforeLines="100" w:after="0" w:line="360" w:lineRule="auto"/>
      <w:ind w:left="0" w:firstLine="200" w:firstLineChars="200"/>
    </w:pPr>
    <w:rPr>
      <w:rFonts w:ascii="Calibri" w:hAnsi="Calibri" w:cs="Arial"/>
      <w:bCs/>
      <w:spacing w:val="-2"/>
      <w:szCs w:val="36"/>
    </w:rPr>
  </w:style>
  <w:style w:type="paragraph" w:customStyle="1" w:styleId="3517">
    <w:name w:val="myhome-hover"/>
    <w:basedOn w:val="1"/>
    <w:qFormat/>
    <w:uiPriority w:val="0"/>
    <w:pPr>
      <w:widowControl/>
      <w:pBdr>
        <w:top w:val="single" w:color="999999" w:sz="6" w:space="0"/>
        <w:left w:val="single" w:color="999999" w:sz="6" w:space="0"/>
        <w:bottom w:val="single" w:color="999999" w:sz="6" w:space="0"/>
        <w:right w:val="single" w:color="999999"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3518">
    <w:name w:val="敬启者："/>
    <w:qFormat/>
    <w:uiPriority w:val="0"/>
    <w:pPr>
      <w:widowControl w:val="0"/>
      <w:jc w:val="both"/>
    </w:pPr>
    <w:rPr>
      <w:rFonts w:ascii="Times New Roman" w:hAnsi="Times New Roman" w:eastAsia="宋体" w:cs="Times New Roman"/>
      <w:lang w:val="en-US" w:eastAsia="zh-CN" w:bidi="ar-SA"/>
    </w:rPr>
  </w:style>
  <w:style w:type="paragraph" w:customStyle="1" w:styleId="3519">
    <w:name w:val="样式 节标题 + 首行缩进:  2 字符"/>
    <w:basedOn w:val="1"/>
    <w:qFormat/>
    <w:uiPriority w:val="0"/>
    <w:pPr>
      <w:adjustRightInd w:val="0"/>
      <w:snapToGrid w:val="0"/>
      <w:spacing w:line="360" w:lineRule="auto"/>
      <w:ind w:left="-108"/>
      <w:jc w:val="left"/>
      <w:outlineLvl w:val="2"/>
    </w:pPr>
    <w:rPr>
      <w:rFonts w:ascii="宋体" w:hAnsi="宋体" w:eastAsia="黑体" w:cs="宋体"/>
      <w:b/>
      <w:bCs/>
      <w:spacing w:val="-2"/>
      <w:kern w:val="0"/>
      <w:szCs w:val="28"/>
    </w:rPr>
  </w:style>
  <w:style w:type="paragraph" w:customStyle="1" w:styleId="3520">
    <w:name w:val="样式 表格文字 + 左侧:  -0.5 字符"/>
    <w:basedOn w:val="46"/>
    <w:qFormat/>
    <w:uiPriority w:val="0"/>
    <w:pPr>
      <w:ind w:left="6" w:hanging="6" w:hangingChars="6"/>
      <w:jc w:val="left"/>
    </w:pPr>
    <w:rPr>
      <w:rFonts w:hAnsi="Calibri" w:eastAsia="仿宋_GB2312" w:cs="宋体"/>
      <w:bCs/>
      <w:sz w:val="24"/>
      <w:szCs w:val="24"/>
    </w:rPr>
  </w:style>
  <w:style w:type="paragraph" w:customStyle="1" w:styleId="3521">
    <w:name w:val="样式119"/>
    <w:basedOn w:val="1"/>
    <w:qFormat/>
    <w:uiPriority w:val="0"/>
    <w:pPr>
      <w:keepNext/>
      <w:keepLines/>
      <w:tabs>
        <w:tab w:val="left" w:pos="570"/>
        <w:tab w:val="left" w:pos="1135"/>
      </w:tabs>
      <w:adjustRightInd w:val="0"/>
      <w:spacing w:before="156" w:after="156" w:line="360" w:lineRule="auto"/>
      <w:ind w:left="1135" w:hanging="1418"/>
      <w:outlineLvl w:val="2"/>
    </w:pPr>
    <w:rPr>
      <w:rFonts w:ascii="宋体" w:hAnsi="Calibri" w:eastAsia="宋体" w:cs="Arial"/>
      <w:b/>
      <w:color w:val="000000"/>
      <w:spacing w:val="-2"/>
      <w:kern w:val="0"/>
      <w:sz w:val="24"/>
      <w:szCs w:val="32"/>
    </w:rPr>
  </w:style>
  <w:style w:type="paragraph" w:customStyle="1" w:styleId="3522">
    <w:name w:val="样式 样式 段前: 4.65 磅 行距: 多倍行距 1.15 字行 + 首行缩进:  2 字符"/>
    <w:basedOn w:val="1"/>
    <w:qFormat/>
    <w:uiPriority w:val="0"/>
    <w:pPr>
      <w:spacing w:before="93" w:line="312" w:lineRule="auto"/>
      <w:ind w:firstLine="200" w:firstLineChars="200"/>
    </w:pPr>
    <w:rPr>
      <w:rFonts w:eastAsia="宋体" w:cs="宋体"/>
      <w:spacing w:val="-2"/>
      <w:kern w:val="0"/>
      <w:sz w:val="24"/>
    </w:rPr>
  </w:style>
  <w:style w:type="paragraph" w:customStyle="1" w:styleId="3523">
    <w:name w:val="piece1"/>
    <w:basedOn w:val="1"/>
    <w:qFormat/>
    <w:uiPriority w:val="0"/>
    <w:pPr>
      <w:widowControl/>
      <w:pBdr>
        <w:bottom w:val="dotted" w:color="B8D6E6"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3524">
    <w:name w:val="样式 样式 题注 + 加粗 + Times New Roman 行距: 单倍行距"/>
    <w:basedOn w:val="1"/>
    <w:qFormat/>
    <w:uiPriority w:val="0"/>
    <w:pPr>
      <w:adjustRightInd w:val="0"/>
      <w:spacing w:before="152" w:after="160"/>
      <w:jc w:val="center"/>
    </w:pPr>
    <w:rPr>
      <w:rFonts w:eastAsia="黑体" w:cs="宋体"/>
      <w:spacing w:val="-2"/>
      <w:kern w:val="0"/>
      <w:sz w:val="24"/>
    </w:rPr>
  </w:style>
  <w:style w:type="paragraph" w:customStyle="1" w:styleId="3525">
    <w:name w:val="纸短情长，再祈珍重！"/>
    <w:qFormat/>
    <w:uiPriority w:val="0"/>
    <w:pPr>
      <w:widowControl w:val="0"/>
      <w:jc w:val="both"/>
    </w:pPr>
    <w:rPr>
      <w:rFonts w:ascii="Times New Roman" w:hAnsi="Times New Roman" w:eastAsia="宋体" w:cs="Times New Roman"/>
      <w:lang w:val="en-US" w:eastAsia="zh-CN" w:bidi="ar-SA"/>
    </w:rPr>
  </w:style>
  <w:style w:type="paragraph" w:customStyle="1" w:styleId="3526">
    <w:name w:val="分标题"/>
    <w:basedOn w:val="1"/>
    <w:qFormat/>
    <w:uiPriority w:val="0"/>
    <w:pPr>
      <w:keepNext/>
      <w:keepLines/>
      <w:suppressLineNumbers/>
      <w:autoSpaceDE w:val="0"/>
      <w:autoSpaceDN w:val="0"/>
      <w:adjustRightInd w:val="0"/>
      <w:spacing w:after="120" w:line="400" w:lineRule="atLeast"/>
      <w:ind w:left="851"/>
    </w:pPr>
    <w:rPr>
      <w:rFonts w:ascii="宋体" w:hAnsi="Calibri" w:eastAsia="宋体" w:cs="黑体"/>
      <w:b/>
      <w:bCs/>
      <w:spacing w:val="-2"/>
      <w:kern w:val="0"/>
      <w:sz w:val="24"/>
      <w:u w:val="single"/>
    </w:rPr>
  </w:style>
  <w:style w:type="paragraph" w:customStyle="1" w:styleId="3527">
    <w:name w:val="仿宋体"/>
    <w:basedOn w:val="1"/>
    <w:qFormat/>
    <w:uiPriority w:val="0"/>
    <w:pPr>
      <w:widowControl/>
      <w:spacing w:line="844" w:lineRule="atLeast"/>
      <w:ind w:firstLine="419"/>
    </w:pPr>
    <w:rPr>
      <w:rFonts w:cs="黑体"/>
      <w:color w:val="000000"/>
      <w:spacing w:val="-2"/>
      <w:kern w:val="0"/>
      <w:sz w:val="31"/>
      <w:u w:color="000000"/>
    </w:rPr>
  </w:style>
  <w:style w:type="character" w:customStyle="1" w:styleId="3528">
    <w:name w:val="明显引用 Char1"/>
    <w:qFormat/>
    <w:uiPriority w:val="0"/>
    <w:rPr>
      <w:rFonts w:eastAsia="仿宋_GB2312"/>
      <w:b/>
      <w:bCs/>
      <w:i/>
      <w:iCs/>
      <w:color w:val="4F81BD"/>
      <w:kern w:val="2"/>
      <w:sz w:val="28"/>
    </w:rPr>
  </w:style>
  <w:style w:type="paragraph" w:customStyle="1" w:styleId="3529">
    <w:name w:val="8.7表头"/>
    <w:basedOn w:val="1"/>
    <w:qFormat/>
    <w:uiPriority w:val="0"/>
    <w:pPr>
      <w:spacing w:line="460" w:lineRule="exact"/>
      <w:jc w:val="center"/>
    </w:pPr>
    <w:rPr>
      <w:rFonts w:eastAsia="宋体" w:cs="宋体"/>
      <w:b/>
      <w:bCs/>
      <w:spacing w:val="-2"/>
      <w:kern w:val="0"/>
    </w:rPr>
  </w:style>
  <w:style w:type="paragraph" w:customStyle="1" w:styleId="3530">
    <w:name w:val="正文 宋体 小四 行距: 1.5 倍行距"/>
    <w:basedOn w:val="1"/>
    <w:qFormat/>
    <w:uiPriority w:val="0"/>
    <w:pPr>
      <w:spacing w:line="360" w:lineRule="auto"/>
      <w:ind w:firstLine="480" w:firstLineChars="200"/>
    </w:pPr>
    <w:rPr>
      <w:rFonts w:ascii="宋体" w:eastAsia="宋体" w:cs="宋体"/>
      <w:spacing w:val="-2"/>
      <w:kern w:val="0"/>
      <w:sz w:val="24"/>
    </w:rPr>
  </w:style>
  <w:style w:type="paragraph" w:customStyle="1" w:styleId="3531">
    <w:name w:val="样式 标题 2 + 行距: 单倍行距"/>
    <w:basedOn w:val="4"/>
    <w:qFormat/>
    <w:uiPriority w:val="0"/>
    <w:pPr>
      <w:keepLines w:val="0"/>
      <w:tabs>
        <w:tab w:val="left" w:pos="1476"/>
        <w:tab w:val="clear" w:pos="567"/>
      </w:tabs>
      <w:adjustRightInd w:val="0"/>
      <w:snapToGrid w:val="0"/>
      <w:spacing w:before="0" w:beforeLines="50" w:after="0"/>
      <w:ind w:left="0" w:firstLine="0"/>
    </w:pPr>
    <w:rPr>
      <w:rFonts w:ascii="Arial" w:cs="宋体"/>
      <w:spacing w:val="-2"/>
      <w:szCs w:val="24"/>
    </w:rPr>
  </w:style>
  <w:style w:type="paragraph" w:customStyle="1" w:styleId="3532">
    <w:name w:val="p-body-inn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33">
    <w:name w:val="xl18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FF00FF"/>
      <w:spacing w:val="-2"/>
      <w:kern w:val="0"/>
      <w:sz w:val="24"/>
    </w:rPr>
  </w:style>
  <w:style w:type="paragraph" w:customStyle="1" w:styleId="3534">
    <w:name w:val="带括号的正文"/>
    <w:basedOn w:val="1"/>
    <w:next w:val="1"/>
    <w:qFormat/>
    <w:uiPriority w:val="0"/>
    <w:pPr>
      <w:adjustRightInd w:val="0"/>
      <w:snapToGrid w:val="0"/>
      <w:ind w:firstLine="200" w:firstLineChars="200"/>
    </w:pPr>
    <w:rPr>
      <w:rFonts w:eastAsia="宋体" w:cs="黑体"/>
      <w:spacing w:val="-2"/>
      <w:kern w:val="0"/>
      <w:sz w:val="24"/>
      <w:szCs w:val="28"/>
    </w:rPr>
  </w:style>
  <w:style w:type="paragraph" w:customStyle="1" w:styleId="3535">
    <w:name w:val="样式 11.5 磅 行距: 1.5 倍行距4"/>
    <w:basedOn w:val="1"/>
    <w:qFormat/>
    <w:uiPriority w:val="0"/>
    <w:pPr>
      <w:ind w:firstLine="200" w:firstLineChars="200"/>
    </w:pPr>
    <w:rPr>
      <w:rFonts w:eastAsia="宋体" w:cs="宋体"/>
      <w:spacing w:val="-2"/>
      <w:kern w:val="0"/>
      <w:sz w:val="24"/>
    </w:rPr>
  </w:style>
  <w:style w:type="paragraph" w:customStyle="1" w:styleId="3536">
    <w:name w:val="mb15"/>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37">
    <w:name w:val="Char1 Char Char Char2"/>
    <w:basedOn w:val="1"/>
    <w:qFormat/>
    <w:uiPriority w:val="0"/>
    <w:rPr>
      <w:rFonts w:eastAsia="宋体" w:cs="黑体"/>
      <w:spacing w:val="-2"/>
      <w:kern w:val="0"/>
    </w:rPr>
  </w:style>
  <w:style w:type="paragraph" w:customStyle="1" w:styleId="3538">
    <w:name w:val="样式 标题 2 + 左 段前: 0磅 段后: 7.8 磅 行距: 1.5 倍行距"/>
    <w:basedOn w:val="4"/>
    <w:qFormat/>
    <w:uiPriority w:val="0"/>
    <w:pPr>
      <w:keepLines w:val="0"/>
      <w:tabs>
        <w:tab w:val="left" w:pos="0"/>
        <w:tab w:val="left" w:pos="1476"/>
        <w:tab w:val="clear" w:pos="567"/>
      </w:tabs>
      <w:spacing w:before="156" w:after="156" w:line="360" w:lineRule="auto"/>
      <w:ind w:left="0" w:firstLine="0"/>
    </w:pPr>
    <w:rPr>
      <w:rFonts w:hAnsi="黑体" w:eastAsia="宋体" w:cs="宋体"/>
      <w:b/>
      <w:bCs/>
      <w:spacing w:val="-2"/>
      <w:sz w:val="32"/>
    </w:rPr>
  </w:style>
  <w:style w:type="paragraph" w:customStyle="1" w:styleId="3539">
    <w:name w:val="样式 标题 31.1.1条标题 3 Char Char标题 3 Char标3§1.1.1.. (1.1.1)- ...1"/>
    <w:basedOn w:val="1"/>
    <w:qFormat/>
    <w:uiPriority w:val="0"/>
    <w:pPr>
      <w:tabs>
        <w:tab w:val="left" w:pos="0"/>
        <w:tab w:val="left" w:pos="1418"/>
      </w:tabs>
      <w:spacing w:line="312" w:lineRule="auto"/>
      <w:ind w:left="1418" w:hanging="567"/>
    </w:pPr>
    <w:rPr>
      <w:rFonts w:eastAsia="宋体" w:cs="黑体"/>
      <w:spacing w:val="-2"/>
      <w:kern w:val="0"/>
      <w:sz w:val="24"/>
    </w:rPr>
  </w:style>
  <w:style w:type="paragraph" w:customStyle="1" w:styleId="3540">
    <w:name w:val="u正文"/>
    <w:basedOn w:val="1"/>
    <w:qFormat/>
    <w:uiPriority w:val="0"/>
    <w:pPr>
      <w:spacing w:line="360" w:lineRule="auto"/>
      <w:ind w:firstLine="200" w:firstLineChars="200"/>
    </w:pPr>
    <w:rPr>
      <w:rFonts w:eastAsia="宋体" w:cs="黑体"/>
      <w:kern w:val="0"/>
      <w:sz w:val="24"/>
    </w:rPr>
  </w:style>
  <w:style w:type="paragraph" w:customStyle="1" w:styleId="3541">
    <w:name w:val="1.1.1.1样式 标题 4"/>
    <w:basedOn w:val="7"/>
    <w:qFormat/>
    <w:uiPriority w:val="0"/>
    <w:pPr>
      <w:tabs>
        <w:tab w:val="left" w:pos="864"/>
        <w:tab w:val="left" w:pos="2153"/>
        <w:tab w:val="clear" w:pos="4008"/>
      </w:tabs>
      <w:spacing w:after="163" w:line="360" w:lineRule="auto"/>
      <w:ind w:left="1680" w:hanging="420"/>
      <w:jc w:val="both"/>
    </w:pPr>
    <w:rPr>
      <w:rFonts w:ascii="Times New Roman" w:hAnsi="Times New Roman" w:eastAsia="宋体" w:cs="宋体"/>
      <w:b w:val="0"/>
      <w:color w:val="auto"/>
      <w:spacing w:val="-2"/>
      <w:szCs w:val="24"/>
    </w:rPr>
  </w:style>
  <w:style w:type="paragraph" w:customStyle="1" w:styleId="3542">
    <w:name w:val="注×："/>
    <w:qFormat/>
    <w:uiPriority w:val="0"/>
    <w:pPr>
      <w:widowControl w:val="0"/>
      <w:tabs>
        <w:tab w:val="left" w:pos="303"/>
        <w:tab w:val="left" w:pos="630"/>
        <w:tab w:val="left" w:pos="840"/>
      </w:tabs>
      <w:autoSpaceDE w:val="0"/>
      <w:autoSpaceDN w:val="0"/>
      <w:ind w:left="303" w:hanging="360"/>
      <w:jc w:val="both"/>
    </w:pPr>
    <w:rPr>
      <w:rFonts w:ascii="宋体" w:hAnsi="Times New Roman" w:eastAsia="宋体" w:cs="Times New Roman"/>
      <w:sz w:val="18"/>
      <w:lang w:val="en-US" w:eastAsia="zh-CN" w:bidi="ar-SA"/>
    </w:rPr>
  </w:style>
  <w:style w:type="paragraph" w:customStyle="1" w:styleId="3543">
    <w:name w:val="第几节"/>
    <w:basedOn w:val="1"/>
    <w:qFormat/>
    <w:uiPriority w:val="0"/>
    <w:pPr>
      <w:spacing w:beforeLines="50"/>
      <w:ind w:firstLine="480"/>
      <w:jc w:val="center"/>
    </w:pPr>
    <w:rPr>
      <w:rFonts w:eastAsia="黑体" w:cs="黑体"/>
      <w:b/>
      <w:bCs/>
      <w:color w:val="000000"/>
      <w:spacing w:val="-2"/>
      <w:kern w:val="0"/>
      <w:sz w:val="30"/>
      <w:szCs w:val="30"/>
    </w:rPr>
  </w:style>
  <w:style w:type="paragraph" w:customStyle="1" w:styleId="3544">
    <w:name w:val="责任页"/>
    <w:basedOn w:val="1"/>
    <w:qFormat/>
    <w:uiPriority w:val="0"/>
    <w:pPr>
      <w:spacing w:line="300" w:lineRule="auto"/>
    </w:pPr>
    <w:rPr>
      <w:rFonts w:eastAsia="宋体" w:cs="黑体"/>
      <w:spacing w:val="-2"/>
      <w:kern w:val="0"/>
    </w:rPr>
  </w:style>
  <w:style w:type="paragraph" w:customStyle="1" w:styleId="3545">
    <w:name w:val="报告表格内文"/>
    <w:basedOn w:val="39"/>
    <w:qFormat/>
    <w:uiPriority w:val="0"/>
    <w:pPr>
      <w:tabs>
        <w:tab w:val="left" w:pos="0"/>
        <w:tab w:val="clear" w:pos="3360"/>
      </w:tabs>
      <w:adjustRightInd w:val="0"/>
      <w:spacing w:line="400" w:lineRule="exact"/>
      <w:ind w:left="0" w:right="0" w:firstLine="0"/>
      <w:jc w:val="center"/>
    </w:pPr>
    <w:rPr>
      <w:rFonts w:cs="黑体"/>
      <w:bCs/>
      <w:color w:val="000000"/>
      <w:spacing w:val="-2"/>
      <w:kern w:val="0"/>
      <w:sz w:val="21"/>
    </w:rPr>
  </w:style>
  <w:style w:type="paragraph" w:customStyle="1" w:styleId="3546">
    <w:name w:val="样式 标题 1 + 宋体 四号 黑色"/>
    <w:basedOn w:val="3"/>
    <w:qFormat/>
    <w:uiPriority w:val="0"/>
    <w:pPr>
      <w:keepLines w:val="0"/>
      <w:tabs>
        <w:tab w:val="clear" w:pos="1080"/>
      </w:tabs>
      <w:spacing w:after="360" w:line="240" w:lineRule="auto"/>
      <w:ind w:left="0" w:firstLine="0"/>
    </w:pPr>
    <w:rPr>
      <w:rFonts w:ascii="宋体" w:hAnsi="宋体" w:eastAsia="黑体" w:cs="宋体"/>
      <w:bCs/>
      <w:color w:val="000000"/>
      <w:spacing w:val="-2"/>
      <w:sz w:val="28"/>
      <w:szCs w:val="48"/>
    </w:rPr>
  </w:style>
  <w:style w:type="paragraph" w:customStyle="1" w:styleId="3547">
    <w:name w:val="页面 7"/>
    <w:basedOn w:val="1"/>
    <w:qFormat/>
    <w:uiPriority w:val="0"/>
    <w:pPr>
      <w:autoSpaceDE w:val="0"/>
      <w:autoSpaceDN w:val="0"/>
      <w:spacing w:before="120" w:after="120"/>
      <w:jc w:val="center"/>
    </w:pPr>
    <w:rPr>
      <w:rFonts w:eastAsia="宋体" w:cs="黑体"/>
      <w:spacing w:val="-2"/>
      <w:kern w:val="0"/>
      <w:sz w:val="32"/>
    </w:rPr>
  </w:style>
  <w:style w:type="paragraph" w:customStyle="1" w:styleId="3548">
    <w:name w:val="正文文本 212"/>
    <w:basedOn w:val="1"/>
    <w:qFormat/>
    <w:uiPriority w:val="0"/>
    <w:pPr>
      <w:overflowPunct w:val="0"/>
      <w:autoSpaceDE w:val="0"/>
      <w:autoSpaceDN w:val="0"/>
      <w:adjustRightInd w:val="0"/>
      <w:ind w:left="991" w:hanging="567"/>
    </w:pPr>
    <w:rPr>
      <w:rFonts w:ascii="宋体" w:hAnsi="Calibri" w:eastAsia="宋体" w:cs="黑体"/>
      <w:spacing w:val="-2"/>
      <w:kern w:val="0"/>
    </w:rPr>
  </w:style>
  <w:style w:type="paragraph" w:customStyle="1" w:styleId="3549">
    <w:name w:val="节标题"/>
    <w:basedOn w:val="1"/>
    <w:next w:val="1"/>
    <w:qFormat/>
    <w:uiPriority w:val="0"/>
    <w:pPr>
      <w:tabs>
        <w:tab w:val="center" w:pos="3920"/>
      </w:tabs>
      <w:spacing w:before="139" w:after="139" w:line="520" w:lineRule="exact"/>
      <w:jc w:val="center"/>
      <w:outlineLvl w:val="3"/>
    </w:pPr>
    <w:rPr>
      <w:rFonts w:eastAsia="华文新魏" w:cs="黑体"/>
      <w:b/>
      <w:spacing w:val="-2"/>
      <w:kern w:val="0"/>
      <w:sz w:val="32"/>
    </w:rPr>
  </w:style>
  <w:style w:type="paragraph" w:customStyle="1" w:styleId="3550">
    <w:name w:val="1.1"/>
    <w:qFormat/>
    <w:uiPriority w:val="0"/>
    <w:pPr>
      <w:widowControl w:val="0"/>
      <w:tabs>
        <w:tab w:val="left" w:pos="855"/>
      </w:tabs>
      <w:ind w:left="855" w:hanging="855"/>
      <w:jc w:val="both"/>
    </w:pPr>
    <w:rPr>
      <w:rFonts w:ascii="Times New Roman" w:hAnsi="Times New Roman" w:eastAsia="宋体" w:cs="Times New Roman"/>
      <w:kern w:val="2"/>
      <w:sz w:val="24"/>
      <w:lang w:val="en-US" w:eastAsia="zh-CN" w:bidi="ar-SA"/>
    </w:rPr>
  </w:style>
  <w:style w:type="paragraph" w:customStyle="1" w:styleId="3551">
    <w:name w:val="表格 33"/>
    <w:basedOn w:val="1"/>
    <w:qFormat/>
    <w:uiPriority w:val="0"/>
    <w:pPr>
      <w:autoSpaceDE w:val="0"/>
      <w:autoSpaceDN w:val="0"/>
      <w:adjustRightInd w:val="0"/>
      <w:jc w:val="center"/>
    </w:pPr>
    <w:rPr>
      <w:rFonts w:eastAsia="楷体" w:cs="黑体"/>
      <w:spacing w:val="-2"/>
      <w:kern w:val="0"/>
      <w:sz w:val="24"/>
    </w:rPr>
  </w:style>
  <w:style w:type="paragraph" w:customStyle="1" w:styleId="3552">
    <w:name w:val="Char4"/>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3553">
    <w:name w:val="tip-block"/>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54">
    <w:name w:val="扉页"/>
    <w:basedOn w:val="1"/>
    <w:qFormat/>
    <w:uiPriority w:val="0"/>
    <w:pPr>
      <w:spacing w:line="400" w:lineRule="exact"/>
      <w:ind w:firstLine="2258" w:firstLineChars="1071"/>
      <w:jc w:val="left"/>
    </w:pPr>
    <w:rPr>
      <w:rFonts w:eastAsia="宋体" w:cs="宋体"/>
      <w:bCs/>
      <w:spacing w:val="-2"/>
      <w:kern w:val="0"/>
      <w:sz w:val="30"/>
    </w:rPr>
  </w:style>
  <w:style w:type="paragraph" w:customStyle="1" w:styleId="3555">
    <w:name w:val="样式68"/>
    <w:basedOn w:val="1"/>
    <w:qFormat/>
    <w:uiPriority w:val="0"/>
    <w:pPr>
      <w:spacing w:line="360" w:lineRule="auto"/>
      <w:ind w:right="-40"/>
      <w:jc w:val="center"/>
    </w:pPr>
    <w:rPr>
      <w:rFonts w:ascii="宋体" w:hAnsi="宋体" w:eastAsia="宋体" w:cs="黑体"/>
      <w:b/>
      <w:bCs/>
      <w:spacing w:val="-2"/>
      <w:kern w:val="0"/>
      <w:szCs w:val="21"/>
    </w:rPr>
  </w:style>
  <w:style w:type="paragraph" w:customStyle="1" w:styleId="3556">
    <w:name w:val="icon-growup-task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57">
    <w:name w:val="CM126"/>
    <w:basedOn w:val="1"/>
    <w:next w:val="1"/>
    <w:qFormat/>
    <w:uiPriority w:val="0"/>
    <w:pPr>
      <w:autoSpaceDE w:val="0"/>
      <w:autoSpaceDN w:val="0"/>
      <w:adjustRightInd w:val="0"/>
      <w:spacing w:after="285"/>
      <w:jc w:val="left"/>
    </w:pPr>
    <w:rPr>
      <w:rFonts w:ascii="仿宋_GB2312" w:hAnsi="Calibri" w:cs="黑体"/>
      <w:spacing w:val="-2"/>
      <w:kern w:val="0"/>
      <w:sz w:val="24"/>
    </w:rPr>
  </w:style>
  <w:style w:type="paragraph" w:customStyle="1" w:styleId="3558">
    <w:name w:val="Char Char Char Char Char Char Char2"/>
    <w:basedOn w:val="1"/>
    <w:qFormat/>
    <w:uiPriority w:val="0"/>
    <w:pPr>
      <w:widowControl/>
      <w:spacing w:after="160" w:line="240" w:lineRule="exact"/>
      <w:jc w:val="left"/>
    </w:pPr>
    <w:rPr>
      <w:rFonts w:ascii="Verdana" w:hAnsi="Verdana" w:eastAsia="宋体" w:cs="黑体"/>
      <w:spacing w:val="-2"/>
      <w:kern w:val="0"/>
      <w:sz w:val="20"/>
      <w:szCs w:val="32"/>
      <w:lang w:eastAsia="en-US"/>
    </w:rPr>
  </w:style>
  <w:style w:type="paragraph" w:customStyle="1" w:styleId="3559">
    <w:name w:val="myhome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60">
    <w:name w:val="表格式"/>
    <w:basedOn w:val="67"/>
    <w:qFormat/>
    <w:uiPriority w:val="0"/>
    <w:pPr>
      <w:autoSpaceDE/>
      <w:autoSpaceDN/>
      <w:adjustRightInd/>
      <w:spacing w:line="360" w:lineRule="exact"/>
      <w:ind w:left="3360" w:firstLine="0" w:firstLineChars="0"/>
      <w:jc w:val="both"/>
      <w:textAlignment w:val="auto"/>
    </w:pPr>
    <w:rPr>
      <w:rFonts w:ascii="Times New Roman" w:cs="黑体"/>
      <w:spacing w:val="-2"/>
      <w:sz w:val="28"/>
    </w:rPr>
  </w:style>
  <w:style w:type="paragraph" w:customStyle="1" w:styleId="3561">
    <w:name w:val="search-btn1"/>
    <w:basedOn w:val="1"/>
    <w:qFormat/>
    <w:uiPriority w:val="0"/>
    <w:pPr>
      <w:widowControl/>
      <w:spacing w:line="330" w:lineRule="atLeast"/>
      <w:ind w:right="45"/>
      <w:jc w:val="left"/>
    </w:pPr>
    <w:rPr>
      <w:rFonts w:ascii="宋体" w:hAnsi="Calibri" w:eastAsia="宋体" w:cs="宋体"/>
      <w:spacing w:val="-2"/>
      <w:kern w:val="0"/>
      <w:sz w:val="18"/>
      <w:szCs w:val="18"/>
    </w:rPr>
  </w:style>
  <w:style w:type="paragraph" w:customStyle="1" w:styleId="3562">
    <w:name w:val="rs-icon1"/>
    <w:basedOn w:val="1"/>
    <w:qFormat/>
    <w:uiPriority w:val="0"/>
    <w:pPr>
      <w:widowControl/>
      <w:spacing w:before="100" w:beforeAutospacing="1" w:after="100" w:afterAutospacing="1" w:line="405" w:lineRule="atLeast"/>
      <w:jc w:val="left"/>
    </w:pPr>
    <w:rPr>
      <w:rFonts w:ascii="宋体" w:hAnsi="Calibri" w:eastAsia="宋体" w:cs="宋体"/>
      <w:spacing w:val="-2"/>
      <w:kern w:val="0"/>
      <w:sz w:val="24"/>
      <w:szCs w:val="21"/>
    </w:rPr>
  </w:style>
  <w:style w:type="paragraph" w:customStyle="1" w:styleId="3563">
    <w:name w:val="表标题3"/>
    <w:basedOn w:val="1"/>
    <w:qFormat/>
    <w:uiPriority w:val="0"/>
    <w:pPr>
      <w:keepNext/>
      <w:adjustRightInd w:val="0"/>
      <w:spacing w:before="180" w:after="120" w:line="397" w:lineRule="atLeast"/>
      <w:ind w:firstLine="200" w:firstLineChars="200"/>
      <w:jc w:val="center"/>
    </w:pPr>
    <w:rPr>
      <w:rFonts w:eastAsia="宋体" w:cs="黑体"/>
      <w:b/>
      <w:spacing w:val="-2"/>
      <w:kern w:val="0"/>
      <w:sz w:val="24"/>
    </w:rPr>
  </w:style>
  <w:style w:type="paragraph" w:customStyle="1" w:styleId="3564">
    <w:name w:val="样式 首行缩进:  2 字符 行距: 固定值 23 磅"/>
    <w:basedOn w:val="1"/>
    <w:qFormat/>
    <w:uiPriority w:val="0"/>
    <w:pPr>
      <w:spacing w:line="400" w:lineRule="exact"/>
      <w:ind w:firstLine="200" w:firstLineChars="200"/>
    </w:pPr>
    <w:rPr>
      <w:rFonts w:eastAsia="宋体" w:cs="黑体"/>
      <w:spacing w:val="-2"/>
      <w:kern w:val="0"/>
      <w:sz w:val="24"/>
    </w:rPr>
  </w:style>
  <w:style w:type="paragraph" w:customStyle="1" w:styleId="3565">
    <w:name w:val="参考:"/>
    <w:qFormat/>
    <w:uiPriority w:val="0"/>
    <w:pPr>
      <w:widowControl w:val="0"/>
      <w:jc w:val="both"/>
    </w:pPr>
    <w:rPr>
      <w:rFonts w:ascii="Times New Roman" w:hAnsi="Times New Roman" w:eastAsia="宋体" w:cs="Times New Roman"/>
      <w:lang w:val="en-US" w:eastAsia="zh-CN" w:bidi="ar-SA"/>
    </w:rPr>
  </w:style>
  <w:style w:type="paragraph" w:customStyle="1" w:styleId="3566">
    <w:name w:val="样式 宋体 小四 两端对齐 首行缩进:  0.85 厘米 行距: 1.5 倍行距"/>
    <w:basedOn w:val="1"/>
    <w:qFormat/>
    <w:uiPriority w:val="0"/>
    <w:pPr>
      <w:widowControl/>
      <w:spacing w:line="360" w:lineRule="auto"/>
      <w:ind w:firstLine="482"/>
    </w:pPr>
    <w:rPr>
      <w:rFonts w:eastAsia="宋体" w:cs="黑体"/>
      <w:spacing w:val="-2"/>
      <w:kern w:val="0"/>
      <w:sz w:val="24"/>
    </w:rPr>
  </w:style>
  <w:style w:type="paragraph" w:customStyle="1" w:styleId="3567">
    <w:name w:val="10.3.11"/>
    <w:basedOn w:val="1"/>
    <w:qFormat/>
    <w:uiPriority w:val="0"/>
    <w:pPr>
      <w:adjustRightInd w:val="0"/>
      <w:snapToGrid w:val="0"/>
      <w:spacing w:line="336" w:lineRule="auto"/>
      <w:ind w:firstLine="200" w:firstLineChars="200"/>
    </w:pPr>
    <w:rPr>
      <w:rFonts w:ascii="宋体" w:eastAsia="宋体" w:cs="黑体"/>
      <w:spacing w:val="-2"/>
      <w:kern w:val="0"/>
      <w:szCs w:val="28"/>
    </w:rPr>
  </w:style>
  <w:style w:type="paragraph" w:customStyle="1" w:styleId="3568">
    <w:name w:val="more_righ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69">
    <w:name w:val="enc-ti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70">
    <w:name w:val="表格，五宋"/>
    <w:qFormat/>
    <w:uiPriority w:val="0"/>
    <w:pPr>
      <w:adjustRightInd w:val="0"/>
      <w:spacing w:line="360" w:lineRule="exact"/>
      <w:jc w:val="center"/>
    </w:pPr>
    <w:rPr>
      <w:rFonts w:ascii="Times New Roman" w:hAnsi="Times New Roman" w:eastAsia="宋体" w:cs="Times New Roman"/>
      <w:lang w:val="en-US" w:eastAsia="zh-CN" w:bidi="ar-SA"/>
    </w:rPr>
  </w:style>
  <w:style w:type="paragraph" w:customStyle="1" w:styleId="3571">
    <w:name w:val="myhome"/>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72">
    <w:name w:val="Char Char2 Char Char Char Char Char Char Char"/>
    <w:basedOn w:val="1"/>
    <w:qFormat/>
    <w:uiPriority w:val="0"/>
    <w:pPr>
      <w:ind w:firstLine="200" w:firstLineChars="200"/>
    </w:pPr>
    <w:rPr>
      <w:rFonts w:ascii="宋体" w:hAnsi="Calibri" w:eastAsia="宋体" w:cs="宋体"/>
      <w:spacing w:val="-2"/>
      <w:kern w:val="0"/>
      <w:sz w:val="24"/>
    </w:rPr>
  </w:style>
  <w:style w:type="paragraph" w:customStyle="1" w:styleId="3573">
    <w:name w:val="样式100"/>
    <w:basedOn w:val="1"/>
    <w:qFormat/>
    <w:uiPriority w:val="0"/>
    <w:pPr>
      <w:spacing w:beforeLines="50"/>
    </w:pPr>
    <w:rPr>
      <w:rFonts w:eastAsia="宋体" w:cs="黑体"/>
      <w:b/>
      <w:spacing w:val="-2"/>
      <w:kern w:val="0"/>
      <w:sz w:val="32"/>
      <w:szCs w:val="32"/>
    </w:rPr>
  </w:style>
  <w:style w:type="paragraph" w:customStyle="1" w:styleId="3574">
    <w:name w:val="strong1"/>
    <w:basedOn w:val="1"/>
    <w:qFormat/>
    <w:uiPriority w:val="0"/>
    <w:pPr>
      <w:widowControl/>
      <w:spacing w:before="100" w:beforeAutospacing="1" w:after="100" w:afterAutospacing="1"/>
      <w:jc w:val="left"/>
    </w:pPr>
    <w:rPr>
      <w:rFonts w:ascii="宋体" w:hAnsi="Calibri" w:eastAsia="宋体" w:cs="宋体"/>
      <w:b/>
      <w:bCs/>
      <w:spacing w:val="-2"/>
      <w:kern w:val="0"/>
      <w:sz w:val="24"/>
      <w:szCs w:val="21"/>
    </w:rPr>
  </w:style>
  <w:style w:type="paragraph" w:customStyle="1" w:styleId="3575">
    <w:name w:val="段标题"/>
    <w:basedOn w:val="1"/>
    <w:next w:val="1"/>
    <w:qFormat/>
    <w:uiPriority w:val="0"/>
    <w:pPr>
      <w:ind w:firstLine="200" w:firstLineChars="200"/>
      <w:jc w:val="left"/>
      <w:outlineLvl w:val="2"/>
    </w:pPr>
    <w:rPr>
      <w:rFonts w:ascii="宋体" w:hAnsi="宋体" w:eastAsia="宋体" w:cs="黑体"/>
      <w:bCs/>
      <w:spacing w:val="-2"/>
      <w:kern w:val="0"/>
      <w:szCs w:val="28"/>
    </w:rPr>
  </w:style>
  <w:style w:type="paragraph" w:customStyle="1" w:styleId="3576">
    <w:name w:val="xiaohui1"/>
    <w:basedOn w:val="1"/>
    <w:qFormat/>
    <w:uiPriority w:val="0"/>
    <w:pPr>
      <w:widowControl/>
      <w:ind w:right="-390"/>
      <w:jc w:val="left"/>
    </w:pPr>
    <w:rPr>
      <w:rFonts w:ascii="宋体" w:hAnsi="Calibri" w:eastAsia="宋体" w:cs="宋体"/>
      <w:spacing w:val="-2"/>
      <w:kern w:val="0"/>
      <w:sz w:val="24"/>
      <w:szCs w:val="21"/>
    </w:rPr>
  </w:style>
  <w:style w:type="paragraph" w:customStyle="1" w:styleId="3577">
    <w:name w:val="1图名"/>
    <w:basedOn w:val="1"/>
    <w:qFormat/>
    <w:uiPriority w:val="0"/>
    <w:pPr>
      <w:spacing w:line="360" w:lineRule="auto"/>
      <w:ind w:firstLine="560" w:firstLineChars="200"/>
      <w:jc w:val="center"/>
    </w:pPr>
    <w:rPr>
      <w:rFonts w:eastAsia="宋体" w:cs="宋体"/>
      <w:spacing w:val="-2"/>
      <w:kern w:val="0"/>
    </w:rPr>
  </w:style>
  <w:style w:type="paragraph" w:customStyle="1" w:styleId="3578">
    <w:name w:val="p-body"/>
    <w:basedOn w:val="1"/>
    <w:qFormat/>
    <w:uiPriority w:val="0"/>
    <w:pPr>
      <w:widowControl/>
      <w:shd w:val="clear" w:color="auto" w:fill="FFFFFF"/>
      <w:spacing w:before="100" w:beforeAutospacing="1" w:after="100" w:afterAutospacing="1"/>
      <w:jc w:val="left"/>
    </w:pPr>
    <w:rPr>
      <w:rFonts w:ascii="宋体" w:hAnsi="Calibri" w:eastAsia="宋体" w:cs="宋体"/>
      <w:spacing w:val="-2"/>
      <w:kern w:val="0"/>
      <w:szCs w:val="21"/>
    </w:rPr>
  </w:style>
  <w:style w:type="paragraph" w:customStyle="1" w:styleId="3579">
    <w:name w:val="tri"/>
    <w:basedOn w:val="1"/>
    <w:qFormat/>
    <w:uiPriority w:val="0"/>
    <w:pPr>
      <w:widowControl/>
      <w:pBdr>
        <w:top w:val="dashed" w:color="auto" w:sz="48" w:space="0"/>
        <w:left w:val="dashed" w:color="auto" w:sz="48" w:space="0"/>
        <w:bottom w:val="single" w:color="auto" w:sz="48" w:space="0"/>
        <w:right w:val="dashed" w:color="auto" w:sz="48" w:space="0"/>
      </w:pBdr>
      <w:spacing w:before="100" w:beforeAutospacing="1" w:after="100" w:afterAutospacing="1"/>
      <w:jc w:val="left"/>
    </w:pPr>
    <w:rPr>
      <w:rFonts w:ascii="宋体" w:hAnsi="Calibri" w:eastAsia="宋体" w:cs="宋体"/>
      <w:spacing w:val="-2"/>
      <w:kern w:val="0"/>
      <w:sz w:val="2"/>
      <w:szCs w:val="2"/>
    </w:rPr>
  </w:style>
  <w:style w:type="paragraph" w:customStyle="1" w:styleId="3580">
    <w:name w:val="样式 正文文本缩进 2正文文本缩进 2 Char Char Char Char正文文本缩进 2 Char Char + 黑色2"/>
    <w:basedOn w:val="52"/>
    <w:qFormat/>
    <w:uiPriority w:val="0"/>
    <w:pPr>
      <w:adjustRightInd w:val="0"/>
      <w:spacing w:line="320" w:lineRule="exact"/>
      <w:ind w:firstLine="425"/>
      <w:jc w:val="center"/>
    </w:pPr>
    <w:rPr>
      <w:rFonts w:ascii="Arial" w:hAnsi="Arial" w:eastAsia="黑体" w:cs="宋体"/>
      <w:color w:val="000000"/>
      <w:sz w:val="30"/>
      <w:szCs w:val="24"/>
    </w:rPr>
  </w:style>
  <w:style w:type="paragraph" w:customStyle="1" w:styleId="3581">
    <w:name w:val="selinna表格"/>
    <w:basedOn w:val="1"/>
    <w:qFormat/>
    <w:uiPriority w:val="0"/>
    <w:pPr>
      <w:jc w:val="center"/>
    </w:pPr>
    <w:rPr>
      <w:rFonts w:ascii="宋体" w:hAnsi="Calibri" w:eastAsia="宋体" w:cs="黑体"/>
      <w:spacing w:val="-2"/>
      <w:kern w:val="0"/>
      <w:sz w:val="24"/>
    </w:rPr>
  </w:style>
  <w:style w:type="paragraph" w:customStyle="1" w:styleId="3582">
    <w:name w:val="批注框文本4"/>
    <w:basedOn w:val="1"/>
    <w:qFormat/>
    <w:uiPriority w:val="0"/>
    <w:rPr>
      <w:rFonts w:eastAsia="宋体" w:cs="黑体"/>
      <w:spacing w:val="-2"/>
      <w:kern w:val="0"/>
      <w:sz w:val="16"/>
    </w:rPr>
  </w:style>
  <w:style w:type="paragraph" w:customStyle="1" w:styleId="3583">
    <w:name w:val="uc-name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84">
    <w:name w:val="reader-word-layer reader-word-s1-5 reader-word-s1-8"/>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85">
    <w:name w:val="徐萍居中表格名称"/>
    <w:basedOn w:val="726"/>
    <w:qFormat/>
    <w:uiPriority w:val="0"/>
    <w:pPr>
      <w:keepNext/>
      <w:autoSpaceDE w:val="0"/>
      <w:autoSpaceDN w:val="0"/>
      <w:adjustRightInd w:val="0"/>
      <w:spacing w:beforeLines="50"/>
      <w:ind w:firstLine="450" w:firstLineChars="450"/>
      <w:jc w:val="left"/>
    </w:pPr>
    <w:rPr>
      <w:rFonts w:cs="宋体"/>
      <w:sz w:val="26"/>
      <w:szCs w:val="26"/>
    </w:rPr>
  </w:style>
  <w:style w:type="paragraph" w:customStyle="1" w:styleId="3586">
    <w:name w:val="样式 小四 首行缩进:  2 字符"/>
    <w:basedOn w:val="1"/>
    <w:next w:val="1"/>
    <w:qFormat/>
    <w:uiPriority w:val="0"/>
    <w:pPr>
      <w:spacing w:line="480" w:lineRule="atLeast"/>
      <w:ind w:firstLine="180" w:firstLineChars="180"/>
    </w:pPr>
    <w:rPr>
      <w:rFonts w:eastAsia="宋体" w:cs="黑体"/>
      <w:spacing w:val="-2"/>
      <w:kern w:val="0"/>
      <w:sz w:val="24"/>
    </w:rPr>
  </w:style>
  <w:style w:type="paragraph" w:customStyle="1" w:styleId="3587">
    <w:name w:val="task"/>
    <w:basedOn w:val="1"/>
    <w:qFormat/>
    <w:uiPriority w:val="0"/>
    <w:pPr>
      <w:widowControl/>
      <w:spacing w:before="100" w:beforeAutospacing="1" w:after="225"/>
      <w:jc w:val="left"/>
    </w:pPr>
    <w:rPr>
      <w:rFonts w:ascii="宋体" w:hAnsi="Calibri" w:eastAsia="宋体" w:cs="宋体"/>
      <w:color w:val="333333"/>
      <w:spacing w:val="-2"/>
      <w:kern w:val="0"/>
      <w:sz w:val="24"/>
      <w:szCs w:val="21"/>
    </w:rPr>
  </w:style>
  <w:style w:type="paragraph" w:customStyle="1" w:styleId="3588">
    <w:name w:val="正文（韶关规划）"/>
    <w:basedOn w:val="87"/>
    <w:qFormat/>
    <w:uiPriority w:val="0"/>
    <w:pPr>
      <w:tabs>
        <w:tab w:val="left" w:pos="7996"/>
      </w:tabs>
      <w:autoSpaceDE w:val="0"/>
      <w:autoSpaceDN w:val="0"/>
      <w:adjustRightInd w:val="0"/>
      <w:snapToGrid w:val="0"/>
      <w:spacing w:beforeLines="50" w:line="360" w:lineRule="auto"/>
      <w:ind w:left="0" w:leftChars="0" w:firstLine="480"/>
    </w:pPr>
    <w:rPr>
      <w:rFonts w:ascii="宋体" w:hAnsi="宋体" w:eastAsia="宋体" w:cs="宋体"/>
      <w:color w:val="000000"/>
      <w:sz w:val="24"/>
      <w:szCs w:val="24"/>
    </w:rPr>
  </w:style>
  <w:style w:type="paragraph" w:customStyle="1" w:styleId="3589">
    <w:name w:val="r1.1.1y小分项"/>
    <w:next w:val="1"/>
    <w:qFormat/>
    <w:uiPriority w:val="0"/>
    <w:pPr>
      <w:spacing w:beforeLines="100"/>
    </w:pPr>
    <w:rPr>
      <w:rFonts w:ascii="SansSerif" w:hAnsi="SansSerif" w:eastAsia="宋体" w:cs="Times New Roman"/>
      <w:b/>
      <w:color w:val="666699"/>
      <w:sz w:val="18"/>
      <w:lang w:val="en-US" w:eastAsia="zh-CN" w:bidi="ar-SA"/>
    </w:rPr>
  </w:style>
  <w:style w:type="paragraph" w:customStyle="1" w:styleId="3590">
    <w:name w:val="cent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591">
    <w:name w:val="selinna标3"/>
    <w:basedOn w:val="1"/>
    <w:qFormat/>
    <w:uiPriority w:val="0"/>
    <w:pPr>
      <w:adjustRightInd w:val="0"/>
      <w:snapToGrid w:val="0"/>
      <w:spacing w:beforeLines="50" w:line="300" w:lineRule="auto"/>
      <w:ind w:firstLine="200" w:firstLineChars="200"/>
      <w:outlineLvl w:val="2"/>
    </w:pPr>
    <w:rPr>
      <w:rFonts w:ascii="宋体" w:hAnsi="Calibri" w:eastAsia="宋体" w:cs="黑体"/>
      <w:b/>
      <w:bCs/>
      <w:spacing w:val="-2"/>
      <w:kern w:val="0"/>
      <w:sz w:val="32"/>
      <w:szCs w:val="32"/>
    </w:rPr>
  </w:style>
  <w:style w:type="paragraph" w:customStyle="1" w:styleId="3592">
    <w:name w:val="正文版本"/>
    <w:basedOn w:val="1"/>
    <w:qFormat/>
    <w:uiPriority w:val="0"/>
    <w:pPr>
      <w:autoSpaceDE w:val="0"/>
      <w:autoSpaceDN w:val="0"/>
      <w:spacing w:line="400" w:lineRule="exact"/>
      <w:jc w:val="center"/>
    </w:pPr>
    <w:rPr>
      <w:rFonts w:ascii="宋体" w:hAnsi="宋体" w:eastAsia="宋体" w:cs="黑体"/>
      <w:color w:val="000000"/>
      <w:spacing w:val="-2"/>
      <w:kern w:val="0"/>
      <w:sz w:val="22"/>
      <w:szCs w:val="22"/>
      <w:lang w:val="zh-CN"/>
    </w:rPr>
  </w:style>
  <w:style w:type="paragraph" w:customStyle="1" w:styleId="3593">
    <w:name w:val="view-tip-pannel"/>
    <w:basedOn w:val="1"/>
    <w:qFormat/>
    <w:uiPriority w:val="0"/>
    <w:pPr>
      <w:widowControl/>
      <w:spacing w:before="100" w:beforeAutospacing="1" w:after="375"/>
      <w:jc w:val="left"/>
    </w:pPr>
    <w:rPr>
      <w:rFonts w:ascii="宋体" w:hAnsi="Calibri" w:eastAsia="宋体" w:cs="宋体"/>
      <w:spacing w:val="-2"/>
      <w:kern w:val="0"/>
      <w:sz w:val="24"/>
      <w:szCs w:val="21"/>
    </w:rPr>
  </w:style>
  <w:style w:type="paragraph" w:customStyle="1" w:styleId="3594">
    <w:name w:val="兴武正文"/>
    <w:basedOn w:val="1"/>
    <w:qFormat/>
    <w:uiPriority w:val="0"/>
    <w:pPr>
      <w:spacing w:line="480" w:lineRule="exact"/>
      <w:ind w:firstLine="200" w:firstLineChars="200"/>
    </w:pPr>
    <w:rPr>
      <w:rFonts w:eastAsia="宋体" w:cs="宋体"/>
      <w:spacing w:val="-2"/>
      <w:kern w:val="0"/>
      <w:sz w:val="24"/>
    </w:rPr>
  </w:style>
  <w:style w:type="paragraph" w:customStyle="1" w:styleId="3595">
    <w:name w:val="bk-dialog"/>
    <w:basedOn w:val="1"/>
    <w:qFormat/>
    <w:uiPriority w:val="0"/>
    <w:pPr>
      <w:widowControl/>
      <w:pBdr>
        <w:top w:val="single" w:color="3874AC" w:sz="6" w:space="0"/>
        <w:left w:val="single" w:color="1169B1" w:sz="12" w:space="0"/>
        <w:bottom w:val="single" w:color="1169B1" w:sz="12" w:space="0"/>
        <w:right w:val="single" w:color="1169B1" w:sz="12" w:space="0"/>
      </w:pBdr>
      <w:shd w:val="clear" w:color="auto" w:fill="FFFFFF"/>
      <w:spacing w:before="100" w:beforeAutospacing="1" w:after="100" w:afterAutospacing="1"/>
      <w:jc w:val="left"/>
    </w:pPr>
    <w:rPr>
      <w:rFonts w:ascii="宋体" w:hAnsi="Calibri" w:eastAsia="宋体" w:cs="宋体"/>
      <w:spacing w:val="-2"/>
      <w:kern w:val="0"/>
      <w:sz w:val="24"/>
      <w:szCs w:val="21"/>
    </w:rPr>
  </w:style>
  <w:style w:type="paragraph" w:customStyle="1" w:styleId="3596">
    <w:name w:val="样式 标题 2标题2H2h2第一层条一级条SeHead wsa2Chapter TitleChapter1...."/>
    <w:basedOn w:val="4"/>
    <w:qFormat/>
    <w:uiPriority w:val="0"/>
    <w:pPr>
      <w:keepLines w:val="0"/>
      <w:tabs>
        <w:tab w:val="left" w:pos="1476"/>
        <w:tab w:val="clear" w:pos="567"/>
      </w:tabs>
      <w:adjustRightInd w:val="0"/>
      <w:snapToGrid w:val="0"/>
      <w:spacing w:before="0" w:beforeLines="50" w:after="0" w:line="360" w:lineRule="auto"/>
      <w:ind w:left="0" w:firstLine="0"/>
    </w:pPr>
    <w:rPr>
      <w:rFonts w:ascii="宋体" w:hAnsi="Arial Unicode MS" w:eastAsia="宋体" w:cs="宋体"/>
      <w:b/>
      <w:spacing w:val="-2"/>
      <w:sz w:val="32"/>
      <w:szCs w:val="28"/>
    </w:rPr>
  </w:style>
  <w:style w:type="paragraph" w:customStyle="1" w:styleId="3597">
    <w:name w:val="xl19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spacing w:val="-2"/>
      <w:kern w:val="0"/>
      <w:sz w:val="24"/>
    </w:rPr>
  </w:style>
  <w:style w:type="paragraph" w:customStyle="1" w:styleId="3598">
    <w:name w:val="字元 字元 Char Char 字元 字元1"/>
    <w:basedOn w:val="1"/>
    <w:qFormat/>
    <w:uiPriority w:val="0"/>
    <w:rPr>
      <w:rFonts w:eastAsia="宋体" w:cs="黑体"/>
      <w:spacing w:val="-2"/>
      <w:kern w:val="0"/>
      <w:sz w:val="24"/>
    </w:rPr>
  </w:style>
  <w:style w:type="paragraph" w:customStyle="1" w:styleId="3599">
    <w:name w:val="ajaxdi1"/>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3600">
    <w:name w:val="Char Char Char Char Char Char5"/>
    <w:basedOn w:val="1"/>
    <w:qFormat/>
    <w:uiPriority w:val="0"/>
    <w:rPr>
      <w:rFonts w:eastAsia="宋体" w:cs="黑体"/>
      <w:spacing w:val="-2"/>
      <w:kern w:val="0"/>
    </w:rPr>
  </w:style>
  <w:style w:type="paragraph" w:customStyle="1" w:styleId="3601">
    <w:name w:val="样式 表格 32 + 首行缩进:  2 字符"/>
    <w:basedOn w:val="1"/>
    <w:qFormat/>
    <w:uiPriority w:val="0"/>
    <w:pPr>
      <w:autoSpaceDE w:val="0"/>
      <w:autoSpaceDN w:val="0"/>
      <w:adjustRightInd w:val="0"/>
      <w:spacing w:line="0" w:lineRule="atLeast"/>
      <w:jc w:val="center"/>
    </w:pPr>
    <w:rPr>
      <w:rFonts w:eastAsia="宋体" w:cs="宋体"/>
      <w:spacing w:val="-2"/>
      <w:kern w:val="0"/>
      <w:szCs w:val="21"/>
    </w:rPr>
  </w:style>
  <w:style w:type="paragraph" w:customStyle="1" w:styleId="3602">
    <w:name w:val="样式 首行缩进:  0.95 厘米"/>
    <w:basedOn w:val="1"/>
    <w:qFormat/>
    <w:uiPriority w:val="0"/>
    <w:pPr>
      <w:spacing w:line="360" w:lineRule="auto"/>
      <w:ind w:firstLine="200" w:firstLineChars="200"/>
    </w:pPr>
    <w:rPr>
      <w:rFonts w:eastAsia="宋体" w:cs="宋体"/>
      <w:spacing w:val="-2"/>
      <w:kern w:val="0"/>
      <w:sz w:val="24"/>
    </w:rPr>
  </w:style>
  <w:style w:type="paragraph" w:customStyle="1" w:styleId="3603">
    <w:name w:val="－列表"/>
    <w:basedOn w:val="67"/>
    <w:qFormat/>
    <w:uiPriority w:val="0"/>
    <w:pPr>
      <w:autoSpaceDE/>
      <w:autoSpaceDN/>
      <w:adjustRightInd/>
      <w:snapToGrid w:val="0"/>
      <w:spacing w:line="360" w:lineRule="atLeast"/>
      <w:ind w:left="0" w:firstLine="0" w:firstLineChars="0"/>
      <w:jc w:val="both"/>
      <w:textAlignment w:val="auto"/>
    </w:pPr>
    <w:rPr>
      <w:rFonts w:ascii="Times New Roman" w:cs="黑体"/>
      <w:spacing w:val="-2"/>
      <w:sz w:val="22"/>
      <w:szCs w:val="22"/>
    </w:rPr>
  </w:style>
  <w:style w:type="paragraph" w:customStyle="1" w:styleId="3604">
    <w:name w:val="项目标号"/>
    <w:basedOn w:val="1"/>
    <w:qFormat/>
    <w:uiPriority w:val="0"/>
    <w:pPr>
      <w:tabs>
        <w:tab w:val="left" w:pos="0"/>
        <w:tab w:val="left" w:pos="426"/>
        <w:tab w:val="left" w:pos="782"/>
      </w:tabs>
      <w:spacing w:beforeLines="10" w:line="276" w:lineRule="auto"/>
      <w:ind w:left="840" w:firstLine="200" w:firstLineChars="200"/>
      <w:jc w:val="left"/>
    </w:pPr>
    <w:rPr>
      <w:rFonts w:ascii="宋体" w:hAnsi="Calibri" w:eastAsia="宋体" w:cs="黑体"/>
      <w:spacing w:val="-2"/>
      <w:kern w:val="0"/>
      <w:sz w:val="24"/>
    </w:rPr>
  </w:style>
  <w:style w:type="paragraph" w:customStyle="1" w:styleId="3605">
    <w:name w:val="样式 标题 2 + 首行缩进:  1.8 字符"/>
    <w:basedOn w:val="4"/>
    <w:qFormat/>
    <w:uiPriority w:val="0"/>
    <w:pPr>
      <w:keepLines w:val="0"/>
      <w:tabs>
        <w:tab w:val="left" w:pos="0"/>
        <w:tab w:val="left" w:pos="1476"/>
        <w:tab w:val="clear" w:pos="567"/>
      </w:tabs>
      <w:adjustRightInd w:val="0"/>
      <w:snapToGrid w:val="0"/>
      <w:spacing w:before="0" w:beforeLines="50" w:after="0" w:line="360" w:lineRule="auto"/>
      <w:ind w:left="0" w:firstLine="180" w:firstLineChars="180"/>
    </w:pPr>
    <w:rPr>
      <w:rFonts w:ascii="Arial" w:cs="宋体"/>
      <w:b/>
      <w:spacing w:val="-2"/>
    </w:rPr>
  </w:style>
  <w:style w:type="paragraph" w:customStyle="1" w:styleId="3606">
    <w:name w:val="mstheme-navtxtup-g"/>
    <w:basedOn w:val="1"/>
    <w:qFormat/>
    <w:uiPriority w:val="0"/>
    <w:pPr>
      <w:spacing w:before="100" w:beforeAutospacing="1" w:after="100" w:afterAutospacing="1"/>
    </w:pPr>
    <w:rPr>
      <w:rFonts w:eastAsia="宋体" w:cs="黑体"/>
      <w:color w:val="0033CC"/>
      <w:spacing w:val="-2"/>
      <w:kern w:val="0"/>
      <w:sz w:val="24"/>
    </w:rPr>
  </w:style>
  <w:style w:type="paragraph" w:customStyle="1" w:styleId="3607">
    <w:name w:val="样式 首行缩进:  2 字符 Char Char"/>
    <w:basedOn w:val="1"/>
    <w:qFormat/>
    <w:uiPriority w:val="0"/>
    <w:pPr>
      <w:spacing w:line="480" w:lineRule="exact"/>
      <w:ind w:firstLine="200" w:firstLineChars="200"/>
    </w:pPr>
    <w:rPr>
      <w:rFonts w:eastAsia="宋体" w:cs="黑体"/>
      <w:spacing w:val="-2"/>
      <w:kern w:val="28"/>
    </w:rPr>
  </w:style>
  <w:style w:type="paragraph" w:customStyle="1" w:styleId="3608">
    <w:name w:val="样式 标题 3标题 3 Char Char Char节，一一黑四（一）条，（一）标题3 Char Char Cha...3"/>
    <w:basedOn w:val="6"/>
    <w:qFormat/>
    <w:uiPriority w:val="0"/>
    <w:pPr>
      <w:tabs>
        <w:tab w:val="left" w:pos="709"/>
        <w:tab w:val="left" w:pos="1022"/>
        <w:tab w:val="left" w:pos="1080"/>
        <w:tab w:val="clear" w:pos="1789"/>
      </w:tabs>
      <w:snapToGrid w:val="0"/>
      <w:spacing w:before="0" w:beforeLines="30" w:after="260"/>
      <w:ind w:left="709"/>
    </w:pPr>
    <w:rPr>
      <w:rFonts w:hint="eastAsia" w:ascii="宋体" w:hAnsi="宋体" w:eastAsia="宋体" w:cs="宋体"/>
      <w:bCs w:val="0"/>
      <w:i/>
      <w:iCs/>
      <w:color w:val="000000"/>
      <w:spacing w:val="-2"/>
      <w:szCs w:val="24"/>
    </w:rPr>
  </w:style>
  <w:style w:type="paragraph" w:customStyle="1" w:styleId="3609">
    <w:name w:val="text-wrap"/>
    <w:basedOn w:val="1"/>
    <w:qFormat/>
    <w:uiPriority w:val="0"/>
    <w:pPr>
      <w:widowControl/>
      <w:wordWrap w:val="0"/>
      <w:spacing w:before="100" w:beforeAutospacing="1" w:after="100" w:afterAutospacing="1"/>
      <w:jc w:val="left"/>
    </w:pPr>
    <w:rPr>
      <w:rFonts w:ascii="宋体" w:hAnsi="Calibri" w:eastAsia="宋体" w:cs="宋体"/>
      <w:spacing w:val="-2"/>
      <w:kern w:val="0"/>
      <w:sz w:val="24"/>
      <w:szCs w:val="21"/>
    </w:rPr>
  </w:style>
  <w:style w:type="paragraph" w:customStyle="1" w:styleId="3610">
    <w:name w:val="样式 标题 2 + 黑体 小二"/>
    <w:basedOn w:val="4"/>
    <w:qFormat/>
    <w:uiPriority w:val="0"/>
    <w:pPr>
      <w:tabs>
        <w:tab w:val="left" w:pos="1476"/>
        <w:tab w:val="clear" w:pos="567"/>
      </w:tabs>
      <w:spacing w:before="0" w:beforeLines="200" w:after="0" w:line="0" w:lineRule="atLeast"/>
      <w:ind w:left="840" w:hanging="420"/>
    </w:pPr>
    <w:rPr>
      <w:rFonts w:hAnsi="黑体" w:cs="宋体"/>
      <w:b/>
      <w:bCs/>
      <w:color w:val="000000"/>
      <w:spacing w:val="-2"/>
      <w:sz w:val="36"/>
      <w:szCs w:val="36"/>
    </w:rPr>
  </w:style>
  <w:style w:type="paragraph" w:customStyle="1" w:styleId="3611">
    <w:name w:val="中大1级标题"/>
    <w:basedOn w:val="85"/>
    <w:qFormat/>
    <w:uiPriority w:val="0"/>
    <w:pPr>
      <w:keepNext w:val="0"/>
      <w:keepLines w:val="0"/>
      <w:widowControl/>
      <w:tabs>
        <w:tab w:val="clear" w:pos="1080"/>
        <w:tab w:val="clear" w:pos="1789"/>
      </w:tabs>
      <w:adjustRightInd w:val="0"/>
      <w:snapToGrid w:val="0"/>
      <w:spacing w:before="0" w:beforeLines="100" w:after="0" w:line="360" w:lineRule="auto"/>
      <w:jc w:val="center"/>
      <w:outlineLvl w:val="0"/>
    </w:pPr>
    <w:rPr>
      <w:rFonts w:ascii="Times New Roman" w:hAnsi="Times New Roman" w:eastAsia="宋体"/>
      <w:color w:val="000000"/>
      <w:kern w:val="28"/>
      <w:sz w:val="36"/>
      <w:szCs w:val="20"/>
    </w:rPr>
  </w:style>
  <w:style w:type="paragraph" w:customStyle="1" w:styleId="3612">
    <w:name w:val="本文标题 3"/>
    <w:basedOn w:val="1"/>
    <w:qFormat/>
    <w:uiPriority w:val="0"/>
    <w:pPr>
      <w:tabs>
        <w:tab w:val="left" w:pos="0"/>
      </w:tabs>
    </w:pPr>
    <w:rPr>
      <w:rFonts w:eastAsia="宋体" w:cs="黑体"/>
      <w:spacing w:val="-2"/>
      <w:kern w:val="0"/>
      <w:sz w:val="24"/>
    </w:rPr>
  </w:style>
  <w:style w:type="paragraph" w:customStyle="1" w:styleId="3613">
    <w:name w:val="宏福4"/>
    <w:basedOn w:val="1"/>
    <w:qFormat/>
    <w:uiPriority w:val="0"/>
    <w:pPr>
      <w:snapToGrid w:val="0"/>
      <w:spacing w:line="400" w:lineRule="atLeast"/>
      <w:ind w:firstLine="567"/>
    </w:pPr>
    <w:rPr>
      <w:rFonts w:eastAsia="宋体" w:cs="黑体"/>
      <w:spacing w:val="-2"/>
      <w:kern w:val="0"/>
    </w:rPr>
  </w:style>
  <w:style w:type="paragraph" w:customStyle="1" w:styleId="3614">
    <w:name w:val="样式 标题 3 + 加粗"/>
    <w:basedOn w:val="6"/>
    <w:qFormat/>
    <w:uiPriority w:val="0"/>
    <w:pPr>
      <w:keepNext w:val="0"/>
      <w:keepLines w:val="0"/>
      <w:tabs>
        <w:tab w:val="left" w:pos="1022"/>
        <w:tab w:val="left" w:pos="1080"/>
        <w:tab w:val="clear" w:pos="1789"/>
      </w:tabs>
      <w:adjustRightInd w:val="0"/>
      <w:snapToGrid w:val="0"/>
      <w:spacing w:before="0" w:after="0" w:line="360" w:lineRule="auto"/>
      <w:ind w:left="1260" w:hanging="420"/>
      <w:jc w:val="left"/>
    </w:pPr>
    <w:rPr>
      <w:rFonts w:hint="eastAsia" w:ascii="宋体" w:hAnsi="宋体" w:eastAsia="宋体" w:cs="宋体"/>
      <w:bCs w:val="0"/>
      <w:i/>
      <w:iCs/>
      <w:color w:val="000000"/>
      <w:spacing w:val="-2"/>
      <w:szCs w:val="24"/>
    </w:rPr>
  </w:style>
  <w:style w:type="paragraph" w:customStyle="1" w:styleId="3615">
    <w:name w:val="样式 标题 1标题 11一、 + Times New Roman 行距: 固定值 23 磅"/>
    <w:basedOn w:val="3"/>
    <w:qFormat/>
    <w:uiPriority w:val="0"/>
    <w:pPr>
      <w:pageBreakBefore w:val="0"/>
      <w:tabs>
        <w:tab w:val="clear" w:pos="1080"/>
      </w:tabs>
      <w:spacing w:before="0" w:after="0" w:line="460" w:lineRule="exact"/>
      <w:ind w:left="0" w:firstLine="0"/>
      <w:jc w:val="both"/>
    </w:pPr>
    <w:rPr>
      <w:rFonts w:ascii="黑体" w:hAnsi="宋体" w:eastAsia="黑体" w:cs="宋体"/>
      <w:b w:val="0"/>
      <w:spacing w:val="-2"/>
      <w:sz w:val="32"/>
    </w:rPr>
  </w:style>
  <w:style w:type="paragraph" w:customStyle="1" w:styleId="3616">
    <w:name w:val="1-表内"/>
    <w:basedOn w:val="1"/>
    <w:qFormat/>
    <w:uiPriority w:val="0"/>
    <w:rPr>
      <w:rFonts w:ascii="宋体" w:hAnsi="宋体" w:eastAsia="宋体" w:cs="宋体"/>
      <w:spacing w:val="-2"/>
      <w:kern w:val="0"/>
      <w:szCs w:val="21"/>
    </w:rPr>
  </w:style>
  <w:style w:type="paragraph" w:customStyle="1" w:styleId="3617">
    <w:name w:val="小五居中"/>
    <w:basedOn w:val="1"/>
    <w:qFormat/>
    <w:uiPriority w:val="0"/>
    <w:pPr>
      <w:jc w:val="center"/>
    </w:pPr>
    <w:rPr>
      <w:rFonts w:eastAsia="宋体" w:cs="黑体"/>
      <w:spacing w:val="-2"/>
      <w:kern w:val="0"/>
      <w:sz w:val="18"/>
    </w:rPr>
  </w:style>
  <w:style w:type="paragraph" w:customStyle="1" w:styleId="3618">
    <w:name w:val="my table header"/>
    <w:basedOn w:val="1"/>
    <w:qFormat/>
    <w:uiPriority w:val="0"/>
    <w:pPr>
      <w:spacing w:line="360" w:lineRule="auto"/>
      <w:ind w:left="567"/>
      <w:jc w:val="center"/>
    </w:pPr>
    <w:rPr>
      <w:rFonts w:ascii="宋体" w:hAnsi="宋体" w:eastAsia="宋体" w:cs="黑体"/>
      <w:b/>
      <w:bCs/>
      <w:spacing w:val="-2"/>
      <w:kern w:val="0"/>
      <w:sz w:val="24"/>
      <w:szCs w:val="21"/>
    </w:rPr>
  </w:style>
  <w:style w:type="paragraph" w:customStyle="1" w:styleId="3619">
    <w:name w:val="album-border2"/>
    <w:basedOn w:val="1"/>
    <w:qFormat/>
    <w:uiPriority w:val="0"/>
    <w:pPr>
      <w:widowControl/>
      <w:pBdr>
        <w:top w:val="single" w:color="B7B7B7" w:sz="6" w:space="0"/>
        <w:left w:val="single" w:color="B7B7B7" w:sz="6" w:space="0"/>
        <w:bottom w:val="single" w:color="B7B7B7" w:sz="6" w:space="0"/>
        <w:right w:val="single" w:color="B7B7B7" w:sz="6" w:space="0"/>
      </w:pBdr>
      <w:shd w:val="clear" w:color="auto" w:fill="FFFFFF"/>
      <w:spacing w:before="100" w:beforeAutospacing="1" w:after="100" w:afterAutospacing="1"/>
      <w:jc w:val="left"/>
    </w:pPr>
    <w:rPr>
      <w:rFonts w:ascii="宋体" w:hAnsi="Calibri" w:eastAsia="宋体" w:cs="宋体"/>
      <w:spacing w:val="-2"/>
      <w:kern w:val="0"/>
      <w:sz w:val="24"/>
      <w:szCs w:val="21"/>
    </w:rPr>
  </w:style>
  <w:style w:type="paragraph" w:customStyle="1" w:styleId="3620">
    <w:name w:val="赵正文"/>
    <w:basedOn w:val="1"/>
    <w:qFormat/>
    <w:uiPriority w:val="0"/>
    <w:pPr>
      <w:ind w:firstLine="200" w:firstLineChars="200"/>
      <w:jc w:val="left"/>
    </w:pPr>
    <w:rPr>
      <w:rFonts w:eastAsia="宋体" w:cs="黑体"/>
      <w:bCs/>
      <w:spacing w:val="-2"/>
      <w:kern w:val="0"/>
      <w:sz w:val="24"/>
    </w:rPr>
  </w:style>
  <w:style w:type="paragraph" w:customStyle="1" w:styleId="3621">
    <w:name w:val="command1"/>
    <w:basedOn w:val="1"/>
    <w:qFormat/>
    <w:uiPriority w:val="0"/>
    <w:pPr>
      <w:widowControl/>
      <w:spacing w:before="100" w:beforeAutospacing="1" w:after="100" w:afterAutospacing="1"/>
      <w:jc w:val="center"/>
    </w:pPr>
    <w:rPr>
      <w:rFonts w:ascii="宋体" w:hAnsi="Calibri" w:eastAsia="宋体" w:cs="宋体"/>
      <w:spacing w:val="-2"/>
      <w:kern w:val="0"/>
      <w:sz w:val="24"/>
      <w:szCs w:val="21"/>
    </w:rPr>
  </w:style>
  <w:style w:type="paragraph" w:customStyle="1" w:styleId="3622">
    <w:name w:val="样式 标题 1 + 首行缩进:  2 字符"/>
    <w:basedOn w:val="3"/>
    <w:qFormat/>
    <w:uiPriority w:val="0"/>
    <w:pPr>
      <w:tabs>
        <w:tab w:val="clear" w:pos="1080"/>
      </w:tabs>
      <w:adjustRightInd w:val="0"/>
      <w:snapToGrid w:val="0"/>
      <w:spacing w:before="0" w:beforeLines="50" w:after="0" w:line="360" w:lineRule="auto"/>
      <w:ind w:left="0" w:firstLine="0"/>
      <w:jc w:val="both"/>
    </w:pPr>
    <w:rPr>
      <w:rFonts w:ascii="仿宋_GB2312" w:hAnsi="宋体" w:eastAsia="仿宋_GB2312" w:cs="宋体"/>
      <w:bCs/>
      <w:spacing w:val="-2"/>
      <w:sz w:val="24"/>
      <w:szCs w:val="24"/>
    </w:rPr>
  </w:style>
  <w:style w:type="paragraph" w:customStyle="1" w:styleId="3623">
    <w:name w:val="title 01"/>
    <w:basedOn w:val="1"/>
    <w:qFormat/>
    <w:uiPriority w:val="0"/>
    <w:pPr>
      <w:jc w:val="center"/>
    </w:pPr>
    <w:rPr>
      <w:rFonts w:eastAsia="宋体" w:cs="宋体"/>
      <w:spacing w:val="-2"/>
      <w:kern w:val="0"/>
      <w:sz w:val="44"/>
    </w:rPr>
  </w:style>
  <w:style w:type="paragraph" w:customStyle="1" w:styleId="3624">
    <w:name w:val="纯文本1 Char Char Char Char Char Char Char Char Char Char"/>
    <w:basedOn w:val="1"/>
    <w:qFormat/>
    <w:uiPriority w:val="0"/>
    <w:pPr>
      <w:autoSpaceDE w:val="0"/>
      <w:autoSpaceDN w:val="0"/>
      <w:adjustRightInd w:val="0"/>
      <w:spacing w:line="360" w:lineRule="atLeast"/>
      <w:jc w:val="left"/>
    </w:pPr>
    <w:rPr>
      <w:rFonts w:eastAsia="宋体" w:cs="黑体"/>
      <w:spacing w:val="-2"/>
      <w:kern w:val="44"/>
      <w:sz w:val="24"/>
    </w:rPr>
  </w:style>
  <w:style w:type="paragraph" w:customStyle="1" w:styleId="3625">
    <w:name w:val="普通(网站)12"/>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3626">
    <w:name w:val="ZW Char Char Char"/>
    <w:basedOn w:val="1"/>
    <w:qFormat/>
    <w:uiPriority w:val="0"/>
    <w:pPr>
      <w:spacing w:beforeLines="20"/>
      <w:ind w:firstLine="200" w:firstLineChars="200"/>
    </w:pPr>
    <w:rPr>
      <w:rFonts w:eastAsia="宋体" w:cs="黑体"/>
      <w:spacing w:val="-2"/>
      <w:kern w:val="0"/>
      <w:sz w:val="24"/>
      <w:szCs w:val="21"/>
    </w:rPr>
  </w:style>
  <w:style w:type="paragraph" w:customStyle="1" w:styleId="3627">
    <w:name w:val="样式 标题 1标题 11一、 + 小三 行距: 1.5 倍行距"/>
    <w:basedOn w:val="3"/>
    <w:qFormat/>
    <w:uiPriority w:val="0"/>
    <w:pPr>
      <w:pageBreakBefore w:val="0"/>
      <w:tabs>
        <w:tab w:val="clear" w:pos="1080"/>
      </w:tabs>
      <w:spacing w:before="0" w:after="0" w:line="360" w:lineRule="auto"/>
      <w:ind w:left="0" w:firstLine="0"/>
      <w:jc w:val="both"/>
    </w:pPr>
    <w:rPr>
      <w:rFonts w:ascii="黑体" w:hAnsi="宋体" w:eastAsia="黑体" w:cs="宋体"/>
      <w:bCs/>
      <w:spacing w:val="-2"/>
      <w:sz w:val="30"/>
    </w:rPr>
  </w:style>
  <w:style w:type="paragraph" w:customStyle="1" w:styleId="3628">
    <w:name w:val="正文33"/>
    <w:basedOn w:val="1"/>
    <w:qFormat/>
    <w:uiPriority w:val="0"/>
    <w:pPr>
      <w:snapToGrid w:val="0"/>
      <w:spacing w:after="120" w:line="324" w:lineRule="auto"/>
      <w:ind w:firstLine="200" w:firstLineChars="200"/>
    </w:pPr>
    <w:rPr>
      <w:rFonts w:ascii="Arial" w:hAnsi="Arial" w:eastAsia="宋体" w:cs="黑体"/>
      <w:bCs/>
      <w:spacing w:val="-2"/>
      <w:kern w:val="0"/>
      <w:sz w:val="24"/>
    </w:rPr>
  </w:style>
  <w:style w:type="paragraph" w:customStyle="1" w:styleId="3629">
    <w:name w:val="环小四内容"/>
    <w:basedOn w:val="1"/>
    <w:qFormat/>
    <w:uiPriority w:val="0"/>
    <w:pPr>
      <w:ind w:firstLine="200" w:firstLineChars="200"/>
    </w:pPr>
    <w:rPr>
      <w:rFonts w:ascii="宋体" w:hAnsi="Calibri" w:eastAsia="宋体" w:cs="黑体"/>
      <w:spacing w:val="-2"/>
      <w:kern w:val="0"/>
      <w:sz w:val="24"/>
    </w:rPr>
  </w:style>
  <w:style w:type="paragraph" w:customStyle="1" w:styleId="3630">
    <w:name w:val="我的标题2"/>
    <w:basedOn w:val="1"/>
    <w:qFormat/>
    <w:uiPriority w:val="0"/>
    <w:pPr>
      <w:ind w:firstLine="576" w:firstLineChars="192"/>
    </w:pPr>
    <w:rPr>
      <w:rFonts w:ascii="黑体" w:eastAsia="黑体" w:cs="黑体"/>
      <w:spacing w:val="-2"/>
      <w:kern w:val="0"/>
      <w:sz w:val="30"/>
    </w:rPr>
  </w:style>
  <w:style w:type="paragraph" w:customStyle="1" w:styleId="3631">
    <w:name w:val="样式 样式 标题 2 + 红色 + 自动设置 Char"/>
    <w:basedOn w:val="3632"/>
    <w:qFormat/>
    <w:uiPriority w:val="0"/>
    <w:pPr>
      <w:tabs>
        <w:tab w:val="left" w:pos="1476"/>
      </w:tabs>
      <w:spacing w:beforeLines="0"/>
    </w:pPr>
    <w:rPr>
      <w:rFonts w:eastAsia="新宋体"/>
      <w:spacing w:val="-8"/>
    </w:rPr>
  </w:style>
  <w:style w:type="paragraph" w:customStyle="1" w:styleId="3632">
    <w:name w:val="样式 标题 2 + 红色"/>
    <w:basedOn w:val="4"/>
    <w:qFormat/>
    <w:uiPriority w:val="0"/>
    <w:pPr>
      <w:keepLines w:val="0"/>
      <w:tabs>
        <w:tab w:val="left" w:pos="1476"/>
        <w:tab w:val="clear" w:pos="567"/>
      </w:tabs>
      <w:adjustRightInd w:val="0"/>
      <w:snapToGrid w:val="0"/>
      <w:spacing w:before="0" w:beforeLines="50" w:after="0" w:line="408" w:lineRule="auto"/>
      <w:ind w:left="0" w:firstLine="0"/>
    </w:pPr>
    <w:rPr>
      <w:rFonts w:ascii="Arial" w:cs="宋体"/>
      <w:b/>
      <w:color w:val="FF0000"/>
      <w:spacing w:val="-2"/>
    </w:rPr>
  </w:style>
  <w:style w:type="paragraph" w:customStyle="1" w:styleId="3633">
    <w:name w:val="标题111"/>
    <w:basedOn w:val="3"/>
    <w:next w:val="1"/>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paragraph" w:customStyle="1" w:styleId="3634">
    <w:name w:val="表格內文1"/>
    <w:basedOn w:val="1"/>
    <w:qFormat/>
    <w:uiPriority w:val="0"/>
    <w:pPr>
      <w:tabs>
        <w:tab w:val="left" w:pos="227"/>
      </w:tabs>
      <w:adjustRightInd w:val="0"/>
      <w:snapToGrid w:val="0"/>
      <w:spacing w:line="240" w:lineRule="atLeast"/>
    </w:pPr>
    <w:rPr>
      <w:rFonts w:ascii="Baskerville Old Face" w:hAnsi="Baskerville Old Face" w:eastAsia="華康楷書體W5" w:cs="黑体"/>
      <w:spacing w:val="-2"/>
      <w:kern w:val="0"/>
      <w:sz w:val="24"/>
      <w:lang w:eastAsia="zh-TW"/>
    </w:rPr>
  </w:style>
  <w:style w:type="paragraph" w:customStyle="1" w:styleId="3635">
    <w:name w:val="样式 样式 宋体 小四 左 + 首行缩进:  2 字符"/>
    <w:basedOn w:val="1"/>
    <w:qFormat/>
    <w:uiPriority w:val="0"/>
    <w:rPr>
      <w:rFonts w:eastAsia="宋体" w:cs="黑体"/>
      <w:spacing w:val="-2"/>
      <w:kern w:val="0"/>
      <w:sz w:val="24"/>
    </w:rPr>
  </w:style>
  <w:style w:type="paragraph" w:customStyle="1" w:styleId="3636">
    <w:name w:val="正文文字"/>
    <w:basedOn w:val="1"/>
    <w:qFormat/>
    <w:uiPriority w:val="0"/>
    <w:pPr>
      <w:widowControl/>
      <w:spacing w:after="200" w:line="360" w:lineRule="auto"/>
      <w:ind w:left="539" w:firstLine="200" w:firstLineChars="200"/>
      <w:jc w:val="left"/>
    </w:pPr>
    <w:rPr>
      <w:rFonts w:ascii="Arial" w:hAnsi="宋体" w:eastAsia="宋体" w:cs="Arial"/>
      <w:sz w:val="24"/>
      <w:szCs w:val="22"/>
      <w:lang w:bidi="en-US"/>
    </w:rPr>
  </w:style>
  <w:style w:type="paragraph" w:customStyle="1" w:styleId="3637">
    <w:name w:val="userin-split"/>
    <w:basedOn w:val="1"/>
    <w:qFormat/>
    <w:uiPriority w:val="0"/>
    <w:pPr>
      <w:widowControl/>
      <w:pBdr>
        <w:top w:val="single" w:color="A0CCE0" w:sz="6" w:space="0"/>
        <w:bottom w:val="single" w:color="FFFFFF" w:sz="6" w:space="0"/>
      </w:pBdr>
      <w:spacing w:before="100" w:beforeAutospacing="1" w:after="100" w:afterAutospacing="1"/>
      <w:jc w:val="left"/>
    </w:pPr>
    <w:rPr>
      <w:rFonts w:ascii="宋体" w:hAnsi="Calibri" w:eastAsia="宋体" w:cs="宋体"/>
      <w:spacing w:val="-2"/>
      <w:kern w:val="0"/>
      <w:sz w:val="24"/>
      <w:szCs w:val="21"/>
    </w:rPr>
  </w:style>
  <w:style w:type="paragraph" w:customStyle="1" w:styleId="3638">
    <w:name w:val="正文5"/>
    <w:qFormat/>
    <w:uiPriority w:val="0"/>
    <w:pPr>
      <w:autoSpaceDE w:val="0"/>
      <w:autoSpaceDN w:val="0"/>
      <w:adjustRightInd w:val="0"/>
      <w:spacing w:line="360" w:lineRule="auto"/>
      <w:ind w:left="100" w:leftChars="100" w:right="284" w:hanging="225" w:hangingChars="225"/>
      <w:jc w:val="both"/>
    </w:pPr>
    <w:rPr>
      <w:rFonts w:ascii="Times New Roman" w:hAnsi="Times New Roman" w:eastAsia="宋体" w:cs="Times New Roman"/>
      <w:szCs w:val="21"/>
      <w:lang w:val="en-US" w:eastAsia="zh-CN" w:bidi="ar-SA"/>
    </w:rPr>
  </w:style>
  <w:style w:type="paragraph" w:customStyle="1" w:styleId="3639">
    <w:name w:val="album-view"/>
    <w:basedOn w:val="1"/>
    <w:qFormat/>
    <w:uiPriority w:val="0"/>
    <w:pPr>
      <w:widowControl/>
      <w:spacing w:before="100" w:beforeAutospacing="1" w:after="100" w:afterAutospacing="1" w:line="180" w:lineRule="atLeast"/>
      <w:jc w:val="center"/>
    </w:pPr>
    <w:rPr>
      <w:rFonts w:ascii="宋体" w:hAnsi="Calibri" w:eastAsia="宋体" w:cs="宋体"/>
      <w:spacing w:val="-2"/>
      <w:kern w:val="0"/>
      <w:sz w:val="24"/>
      <w:szCs w:val="21"/>
    </w:rPr>
  </w:style>
  <w:style w:type="paragraph" w:customStyle="1" w:styleId="3640">
    <w:name w:val="样式 样式 左侧:  2 字符 段后: 0.5 行 + 首行缩进:  2 字符 段后: 0.5 行"/>
    <w:basedOn w:val="1"/>
    <w:qFormat/>
    <w:uiPriority w:val="0"/>
    <w:pPr>
      <w:ind w:firstLine="560" w:firstLineChars="200"/>
    </w:pPr>
    <w:rPr>
      <w:rFonts w:cs="黑体"/>
      <w:spacing w:val="-2"/>
      <w:kern w:val="0"/>
      <w:szCs w:val="28"/>
    </w:rPr>
  </w:style>
  <w:style w:type="paragraph" w:customStyle="1" w:styleId="3641">
    <w:name w:val="批注框文本2"/>
    <w:basedOn w:val="1"/>
    <w:qFormat/>
    <w:uiPriority w:val="0"/>
    <w:rPr>
      <w:rFonts w:eastAsia="宋体" w:cs="黑体"/>
      <w:spacing w:val="-2"/>
      <w:kern w:val="0"/>
      <w:sz w:val="18"/>
      <w:szCs w:val="18"/>
    </w:rPr>
  </w:style>
  <w:style w:type="paragraph" w:customStyle="1" w:styleId="3642">
    <w:name w:val="黄埔正文"/>
    <w:qFormat/>
    <w:uiPriority w:val="0"/>
    <w:pPr>
      <w:spacing w:beforeLines="50" w:line="440" w:lineRule="exact"/>
      <w:ind w:firstLine="480"/>
      <w:jc w:val="both"/>
    </w:pPr>
    <w:rPr>
      <w:rFonts w:ascii="宋体" w:hAnsi="Times New Roman" w:eastAsia="宋体" w:cs="Times New Roman"/>
      <w:color w:val="000000"/>
      <w:kern w:val="2"/>
      <w:sz w:val="24"/>
      <w:lang w:val="en-US" w:eastAsia="zh-CN" w:bidi="ar-SA"/>
    </w:rPr>
  </w:style>
  <w:style w:type="paragraph" w:customStyle="1" w:styleId="3643">
    <w:name w:val="纯文本21"/>
    <w:basedOn w:val="1"/>
    <w:qFormat/>
    <w:uiPriority w:val="0"/>
    <w:rPr>
      <w:rFonts w:ascii="宋体" w:hAnsi="Courier New" w:eastAsia="宋体" w:cs="宋体"/>
      <w:spacing w:val="-2"/>
      <w:kern w:val="0"/>
      <w:szCs w:val="21"/>
    </w:rPr>
  </w:style>
  <w:style w:type="paragraph" w:customStyle="1" w:styleId="3644">
    <w:name w:val="TAB"/>
    <w:basedOn w:val="34"/>
    <w:qFormat/>
    <w:uiPriority w:val="0"/>
    <w:pPr>
      <w:widowControl/>
      <w:spacing w:before="60" w:after="60"/>
      <w:jc w:val="left"/>
    </w:pPr>
    <w:rPr>
      <w:rFonts w:ascii="Arial" w:hAnsi="Arial" w:eastAsia="宋体" w:cs="宋体"/>
      <w:i/>
      <w:iCs/>
      <w:color w:val="000000"/>
      <w:sz w:val="18"/>
      <w:szCs w:val="24"/>
    </w:rPr>
  </w:style>
  <w:style w:type="paragraph" w:customStyle="1" w:styleId="3645">
    <w:name w:val="正文 首行缩进:  2 字符"/>
    <w:basedOn w:val="1"/>
    <w:qFormat/>
    <w:uiPriority w:val="0"/>
    <w:pPr>
      <w:tabs>
        <w:tab w:val="left" w:pos="640"/>
      </w:tabs>
      <w:spacing w:line="360" w:lineRule="auto"/>
      <w:ind w:firstLine="470" w:firstLineChars="196"/>
    </w:pPr>
    <w:rPr>
      <w:rFonts w:ascii="仿宋_GB2312" w:hAnsi="宋体" w:cs="宋体"/>
      <w:color w:val="000000"/>
      <w:spacing w:val="-2"/>
      <w:kern w:val="0"/>
      <w:sz w:val="24"/>
    </w:rPr>
  </w:style>
  <w:style w:type="paragraph" w:customStyle="1" w:styleId="3646">
    <w:name w:val="center1"/>
    <w:basedOn w:val="1"/>
    <w:qFormat/>
    <w:uiPriority w:val="0"/>
    <w:pPr>
      <w:widowControl/>
      <w:shd w:val="clear" w:color="auto" w:fill="D4E8FA"/>
      <w:spacing w:before="100" w:beforeAutospacing="1" w:after="100" w:afterAutospacing="1"/>
      <w:jc w:val="left"/>
    </w:pPr>
    <w:rPr>
      <w:rFonts w:ascii="宋体" w:hAnsi="Calibri" w:eastAsia="宋体" w:cs="宋体"/>
      <w:b/>
      <w:bCs/>
      <w:spacing w:val="-2"/>
      <w:kern w:val="0"/>
      <w:sz w:val="24"/>
      <w:szCs w:val="21"/>
    </w:rPr>
  </w:style>
  <w:style w:type="paragraph" w:customStyle="1" w:styleId="3647">
    <w:name w:val="样式 (中文) 楷体_GB2312 小四 黑色 居中 首行缩进:  0.85 厘米 段前: 18 磅 段后: 6 磅..."/>
    <w:basedOn w:val="1"/>
    <w:qFormat/>
    <w:uiPriority w:val="0"/>
    <w:pPr>
      <w:jc w:val="center"/>
    </w:pPr>
    <w:rPr>
      <w:rFonts w:eastAsia="宋体" w:cs="宋体"/>
      <w:color w:val="000000"/>
      <w:spacing w:val="-2"/>
      <w:kern w:val="0"/>
      <w:sz w:val="24"/>
    </w:rPr>
  </w:style>
  <w:style w:type="paragraph" w:customStyle="1" w:styleId="3648">
    <w:name w:val="1安宁正文"/>
    <w:basedOn w:val="1"/>
    <w:qFormat/>
    <w:uiPriority w:val="0"/>
    <w:pPr>
      <w:spacing w:line="360" w:lineRule="auto"/>
      <w:ind w:firstLine="560" w:firstLineChars="200"/>
    </w:pPr>
    <w:rPr>
      <w:rFonts w:eastAsia="宋体" w:cs="宋体"/>
      <w:spacing w:val="-2"/>
      <w:kern w:val="0"/>
    </w:rPr>
  </w:style>
  <w:style w:type="paragraph" w:customStyle="1" w:styleId="3649">
    <w:name w:val="流程图文字"/>
    <w:basedOn w:val="1"/>
    <w:qFormat/>
    <w:uiPriority w:val="0"/>
    <w:pPr>
      <w:spacing w:line="288" w:lineRule="auto"/>
      <w:jc w:val="center"/>
    </w:pPr>
    <w:rPr>
      <w:rFonts w:eastAsia="楷体_GB2312" w:cs="黑体"/>
      <w:spacing w:val="-2"/>
      <w:kern w:val="0"/>
      <w:sz w:val="24"/>
    </w:rPr>
  </w:style>
  <w:style w:type="paragraph" w:customStyle="1" w:styleId="3650">
    <w:name w:val="tnone"/>
    <w:basedOn w:val="1"/>
    <w:qFormat/>
    <w:uiPriority w:val="0"/>
    <w:pPr>
      <w:widowControl/>
      <w:spacing w:before="100" w:beforeAutospacing="1" w:after="100" w:afterAutospacing="1"/>
      <w:jc w:val="left"/>
    </w:pPr>
    <w:rPr>
      <w:rFonts w:ascii="Arial Unicode MS" w:hAnsi="Arial Unicode MS" w:eastAsia="Arial Unicode MS" w:cs="黑体"/>
      <w:spacing w:val="-2"/>
      <w:kern w:val="0"/>
      <w:sz w:val="24"/>
    </w:rPr>
  </w:style>
  <w:style w:type="paragraph" w:customStyle="1" w:styleId="3651">
    <w:name w:val="正文 03"/>
    <w:basedOn w:val="1"/>
    <w:qFormat/>
    <w:uiPriority w:val="0"/>
    <w:pPr>
      <w:autoSpaceDE w:val="0"/>
      <w:autoSpaceDN w:val="0"/>
    </w:pPr>
    <w:rPr>
      <w:rFonts w:eastAsia="宋体" w:cs="黑体"/>
      <w:spacing w:val="-2"/>
      <w:kern w:val="0"/>
      <w:sz w:val="24"/>
    </w:rPr>
  </w:style>
  <w:style w:type="paragraph" w:customStyle="1" w:styleId="3652">
    <w:name w:val="图文框"/>
    <w:basedOn w:val="1"/>
    <w:qFormat/>
    <w:uiPriority w:val="0"/>
    <w:pPr>
      <w:spacing w:line="360" w:lineRule="auto"/>
      <w:jc w:val="center"/>
    </w:pPr>
    <w:rPr>
      <w:rFonts w:eastAsia="宋体" w:cs="黑体"/>
      <w:spacing w:val="-2"/>
      <w:kern w:val="18"/>
      <w:sz w:val="24"/>
    </w:rPr>
  </w:style>
  <w:style w:type="paragraph" w:customStyle="1" w:styleId="3653">
    <w:name w:val="Char Char Char Char Char Char Char Char Char Char1 Char Char Char Char Char Char Char Char Char Char1"/>
    <w:basedOn w:val="1"/>
    <w:qFormat/>
    <w:uiPriority w:val="0"/>
    <w:rPr>
      <w:rFonts w:eastAsia="宋体" w:cs="黑体"/>
      <w:spacing w:val="-2"/>
      <w:kern w:val="0"/>
      <w:sz w:val="24"/>
    </w:rPr>
  </w:style>
  <w:style w:type="paragraph" w:customStyle="1" w:styleId="3654">
    <w:name w:val="Char Char Char Char Char Char Char Char Char Char2"/>
    <w:basedOn w:val="1"/>
    <w:qFormat/>
    <w:uiPriority w:val="0"/>
    <w:pPr>
      <w:snapToGrid w:val="0"/>
      <w:spacing w:line="440" w:lineRule="atLeast"/>
    </w:pPr>
    <w:rPr>
      <w:rFonts w:ascii="宋体" w:hAnsi="Calibri" w:eastAsia="宋体" w:cs="黑体"/>
      <w:spacing w:val="-2"/>
      <w:kern w:val="0"/>
      <w:sz w:val="24"/>
    </w:rPr>
  </w:style>
  <w:style w:type="paragraph" w:customStyle="1" w:styleId="3655">
    <w:name w:val="其他表格"/>
    <w:basedOn w:val="1"/>
    <w:qFormat/>
    <w:uiPriority w:val="0"/>
    <w:pPr>
      <w:widowControl/>
      <w:spacing w:line="360" w:lineRule="exact"/>
      <w:ind w:firstLine="630" w:firstLineChars="300"/>
    </w:pPr>
    <w:rPr>
      <w:rFonts w:ascii="宋体" w:hAnsi="宋体" w:eastAsia="宋体" w:cs="黑体"/>
      <w:color w:val="FF0000"/>
      <w:spacing w:val="-2"/>
      <w:kern w:val="0"/>
      <w:szCs w:val="21"/>
    </w:rPr>
  </w:style>
  <w:style w:type="paragraph" w:customStyle="1" w:styleId="3656">
    <w:name w:val="Char Char111"/>
    <w:basedOn w:val="1"/>
    <w:qFormat/>
    <w:uiPriority w:val="0"/>
    <w:pPr>
      <w:tabs>
        <w:tab w:val="left" w:pos="567"/>
      </w:tabs>
      <w:spacing w:line="360" w:lineRule="auto"/>
      <w:ind w:left="567" w:hanging="567"/>
    </w:pPr>
    <w:rPr>
      <w:rFonts w:ascii="宋体" w:hAnsi="宋体" w:eastAsia="宋体" w:cs="宋体"/>
      <w:spacing w:val="-2"/>
      <w:kern w:val="0"/>
      <w:sz w:val="24"/>
    </w:rPr>
  </w:style>
  <w:style w:type="paragraph" w:customStyle="1" w:styleId="3657">
    <w:name w:val="ref-bd"/>
    <w:basedOn w:val="1"/>
    <w:qFormat/>
    <w:uiPriority w:val="0"/>
    <w:pPr>
      <w:widowControl/>
      <w:spacing w:before="100" w:beforeAutospacing="1" w:after="100" w:afterAutospacing="1"/>
      <w:ind w:left="390"/>
      <w:jc w:val="left"/>
    </w:pPr>
    <w:rPr>
      <w:rFonts w:ascii="宋体" w:hAnsi="Calibri" w:eastAsia="宋体" w:cs="宋体"/>
      <w:spacing w:val="-2"/>
      <w:kern w:val="0"/>
      <w:sz w:val="24"/>
      <w:szCs w:val="21"/>
    </w:rPr>
  </w:style>
  <w:style w:type="paragraph" w:customStyle="1" w:styleId="3658">
    <w:name w:val="mde-item1"/>
    <w:basedOn w:val="1"/>
    <w:qFormat/>
    <w:uiPriority w:val="0"/>
    <w:pPr>
      <w:widowControl/>
      <w:pBdr>
        <w:bottom w:val="dashed" w:color="FF0000" w:sz="6" w:space="0"/>
        <w:right w:val="dashed" w:color="FF0000" w:sz="6" w:space="5"/>
      </w:pBdr>
      <w:shd w:val="clear" w:color="auto" w:fill="FFFFFF"/>
      <w:spacing w:before="100" w:beforeAutospacing="1" w:after="100" w:afterAutospacing="1"/>
      <w:jc w:val="center"/>
    </w:pPr>
    <w:rPr>
      <w:rFonts w:ascii="宋体" w:hAnsi="Calibri" w:eastAsia="宋体" w:cs="宋体"/>
      <w:spacing w:val="-2"/>
      <w:kern w:val="0"/>
      <w:sz w:val="24"/>
      <w:szCs w:val="21"/>
    </w:rPr>
  </w:style>
  <w:style w:type="paragraph" w:customStyle="1" w:styleId="3659">
    <w:name w:val="正文仿宋"/>
    <w:basedOn w:val="1"/>
    <w:qFormat/>
    <w:uiPriority w:val="0"/>
    <w:pPr>
      <w:adjustRightInd w:val="0"/>
      <w:snapToGrid w:val="0"/>
      <w:ind w:firstLine="567"/>
    </w:pPr>
    <w:rPr>
      <w:rFonts w:cs="黑体"/>
      <w:spacing w:val="-2"/>
      <w:kern w:val="0"/>
      <w:sz w:val="24"/>
    </w:rPr>
  </w:style>
  <w:style w:type="paragraph" w:customStyle="1" w:styleId="3660">
    <w:name w:val="xl183"/>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spacing w:val="-2"/>
      <w:kern w:val="0"/>
      <w:sz w:val="24"/>
    </w:rPr>
  </w:style>
  <w:style w:type="paragraph" w:customStyle="1" w:styleId="3661">
    <w:name w:val="正文 lsp"/>
    <w:basedOn w:val="1"/>
    <w:qFormat/>
    <w:uiPriority w:val="0"/>
    <w:pPr>
      <w:ind w:firstLine="200" w:firstLineChars="200"/>
    </w:pPr>
    <w:rPr>
      <w:rFonts w:ascii="宋体" w:hAnsi="Calibri" w:eastAsia="宋体" w:cs="黑体"/>
      <w:spacing w:val="-2"/>
      <w:kern w:val="0"/>
      <w:sz w:val="24"/>
    </w:rPr>
  </w:style>
  <w:style w:type="paragraph" w:customStyle="1" w:styleId="3662">
    <w:name w:val="正文-叶"/>
    <w:basedOn w:val="1"/>
    <w:qFormat/>
    <w:uiPriority w:val="0"/>
    <w:pPr>
      <w:topLinePunct/>
      <w:spacing w:line="312" w:lineRule="auto"/>
      <w:ind w:firstLine="465"/>
    </w:pPr>
    <w:rPr>
      <w:rFonts w:eastAsia="宋体" w:cs="黑体"/>
      <w:spacing w:val="-2"/>
      <w:kern w:val="0"/>
      <w:sz w:val="24"/>
    </w:rPr>
  </w:style>
  <w:style w:type="paragraph" w:customStyle="1" w:styleId="3663">
    <w:name w:val="f12"/>
    <w:basedOn w:val="1"/>
    <w:qFormat/>
    <w:uiPriority w:val="0"/>
    <w:pPr>
      <w:widowControl/>
      <w:spacing w:before="100" w:beforeAutospacing="1" w:after="100" w:afterAutospacing="1"/>
      <w:jc w:val="left"/>
    </w:pPr>
    <w:rPr>
      <w:rFonts w:ascii="宋体" w:hAnsi="Calibri" w:eastAsia="宋体" w:cs="宋体"/>
      <w:spacing w:val="-2"/>
      <w:kern w:val="0"/>
      <w:sz w:val="18"/>
      <w:szCs w:val="18"/>
    </w:rPr>
  </w:style>
  <w:style w:type="paragraph" w:customStyle="1" w:styleId="3664">
    <w:name w:val="表底说明"/>
    <w:basedOn w:val="1"/>
    <w:qFormat/>
    <w:uiPriority w:val="0"/>
    <w:rPr>
      <w:rFonts w:ascii="Calibri" w:hAnsi="Calibri" w:eastAsia="宋体" w:cs="Arial"/>
      <w:spacing w:val="-2"/>
      <w:kern w:val="0"/>
      <w:sz w:val="18"/>
      <w:szCs w:val="22"/>
    </w:rPr>
  </w:style>
  <w:style w:type="paragraph" w:customStyle="1" w:styleId="3665">
    <w:name w:val="usercardtitle"/>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66">
    <w:name w:val="样式 文字 + 段前: 7.8 磅"/>
    <w:basedOn w:val="1"/>
    <w:qFormat/>
    <w:uiPriority w:val="0"/>
    <w:pPr>
      <w:adjustRightInd w:val="0"/>
      <w:snapToGrid w:val="0"/>
      <w:spacing w:line="360" w:lineRule="auto"/>
      <w:ind w:firstLine="200" w:firstLineChars="200"/>
    </w:pPr>
    <w:rPr>
      <w:rFonts w:eastAsia="宋体" w:cs="黑体"/>
      <w:spacing w:val="-2"/>
      <w:kern w:val="0"/>
      <w:sz w:val="24"/>
    </w:rPr>
  </w:style>
  <w:style w:type="paragraph" w:customStyle="1" w:styleId="3667">
    <w:name w:val="pic-handle"/>
    <w:basedOn w:val="1"/>
    <w:qFormat/>
    <w:uiPriority w:val="0"/>
    <w:pPr>
      <w:widowControl/>
      <w:pBdr>
        <w:top w:val="single" w:color="FFFFFF" w:sz="6" w:space="0"/>
        <w:left w:val="single" w:color="FFFFFF" w:sz="6" w:space="0"/>
        <w:bottom w:val="single" w:color="FFFFFF" w:sz="6" w:space="0"/>
        <w:right w:val="single" w:color="FFFFFF" w:sz="6" w:space="0"/>
      </w:pBdr>
      <w:spacing w:before="100" w:beforeAutospacing="1" w:after="100" w:afterAutospacing="1"/>
      <w:jc w:val="left"/>
    </w:pPr>
    <w:rPr>
      <w:rFonts w:ascii="宋体" w:hAnsi="Calibri" w:eastAsia="宋体" w:cs="宋体"/>
      <w:spacing w:val="-2"/>
      <w:kern w:val="0"/>
      <w:sz w:val="2"/>
      <w:szCs w:val="2"/>
    </w:rPr>
  </w:style>
  <w:style w:type="paragraph" w:customStyle="1" w:styleId="3668">
    <w:name w:val="样式 标题 1 + 宋体"/>
    <w:basedOn w:val="3"/>
    <w:qFormat/>
    <w:uiPriority w:val="0"/>
    <w:pPr>
      <w:keepLines w:val="0"/>
      <w:pageBreakBefore w:val="0"/>
      <w:tabs>
        <w:tab w:val="clear" w:pos="1080"/>
      </w:tabs>
      <w:spacing w:before="0" w:after="0" w:line="240" w:lineRule="auto"/>
      <w:ind w:left="0" w:firstLine="0"/>
    </w:pPr>
    <w:rPr>
      <w:rFonts w:ascii="宋体" w:hAnsi="宋体" w:cs="宋体"/>
      <w:bCs/>
      <w:spacing w:val="-2"/>
      <w:kern w:val="2"/>
      <w:sz w:val="32"/>
      <w:szCs w:val="32"/>
    </w:rPr>
  </w:style>
  <w:style w:type="paragraph" w:customStyle="1" w:styleId="3669">
    <w:name w:val="正文－other2"/>
    <w:basedOn w:val="1"/>
    <w:qFormat/>
    <w:uiPriority w:val="0"/>
    <w:pPr>
      <w:spacing w:line="400" w:lineRule="exact"/>
      <w:ind w:firstLine="480"/>
    </w:pPr>
    <w:rPr>
      <w:rFonts w:eastAsia="宋体" w:cs="黑体"/>
      <w:spacing w:val="-2"/>
      <w:kern w:val="0"/>
      <w:sz w:val="24"/>
    </w:rPr>
  </w:style>
  <w:style w:type="paragraph" w:customStyle="1" w:styleId="3670">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3671">
    <w:name w:val="样式 标准正文 + 首行缩进:  2 字符"/>
    <w:basedOn w:val="1"/>
    <w:qFormat/>
    <w:uiPriority w:val="0"/>
    <w:pPr>
      <w:snapToGrid w:val="0"/>
      <w:spacing w:line="500" w:lineRule="exact"/>
      <w:ind w:firstLine="200" w:firstLineChars="200"/>
    </w:pPr>
    <w:rPr>
      <w:rFonts w:ascii="宋体" w:hAnsi="宋体" w:eastAsia="宋体" w:cs="宋体"/>
      <w:color w:val="000000"/>
      <w:spacing w:val="-2"/>
      <w:kern w:val="0"/>
    </w:rPr>
  </w:style>
  <w:style w:type="paragraph" w:customStyle="1" w:styleId="3672">
    <w:name w:val="样式 标题 2节标题 1.1 + 五号 居中 左侧:  0 厘米 行距: 单倍行距"/>
    <w:basedOn w:val="4"/>
    <w:qFormat/>
    <w:uiPriority w:val="0"/>
    <w:pPr>
      <w:keepNext w:val="0"/>
      <w:keepLines w:val="0"/>
      <w:tabs>
        <w:tab w:val="left" w:pos="1320"/>
        <w:tab w:val="left" w:pos="1476"/>
        <w:tab w:val="left" w:pos="1620"/>
        <w:tab w:val="clear" w:pos="567"/>
      </w:tabs>
      <w:adjustRightInd w:val="0"/>
      <w:spacing w:before="0" w:after="0" w:line="360" w:lineRule="auto"/>
      <w:ind w:left="1620" w:hanging="360"/>
      <w:jc w:val="center"/>
    </w:pPr>
    <w:rPr>
      <w:rFonts w:hAnsi="黑体" w:eastAsia="宋体" w:cs="宋体"/>
      <w:spacing w:val="-2"/>
      <w:sz w:val="21"/>
    </w:rPr>
  </w:style>
  <w:style w:type="paragraph" w:customStyle="1" w:styleId="3673">
    <w:name w:val="YHY"/>
    <w:basedOn w:val="1"/>
    <w:qFormat/>
    <w:uiPriority w:val="0"/>
    <w:pPr>
      <w:spacing w:beforeLines="50" w:line="360" w:lineRule="auto"/>
      <w:ind w:firstLine="200" w:firstLineChars="200"/>
    </w:pPr>
    <w:rPr>
      <w:rFonts w:eastAsia="宋体" w:cs="宋体"/>
      <w:spacing w:val="-2"/>
      <w:kern w:val="0"/>
      <w:sz w:val="24"/>
    </w:rPr>
  </w:style>
  <w:style w:type="paragraph" w:customStyle="1" w:styleId="3674">
    <w:name w:val="表格、图表名称"/>
    <w:basedOn w:val="1"/>
    <w:qFormat/>
    <w:uiPriority w:val="0"/>
    <w:pPr>
      <w:jc w:val="center"/>
    </w:pPr>
    <w:rPr>
      <w:rFonts w:eastAsia="宋体" w:cs="黑体"/>
      <w:b/>
      <w:spacing w:val="-2"/>
      <w:kern w:val="0"/>
      <w:sz w:val="24"/>
    </w:rPr>
  </w:style>
  <w:style w:type="paragraph" w:customStyle="1" w:styleId="3675">
    <w:name w:val="样式 标题 3 + 左侧:  0 毫米 首行缩进:  0 毫米 行距: 最小值 25 磅"/>
    <w:basedOn w:val="6"/>
    <w:qFormat/>
    <w:uiPriority w:val="0"/>
    <w:pPr>
      <w:tabs>
        <w:tab w:val="left" w:pos="360"/>
        <w:tab w:val="left" w:pos="1022"/>
        <w:tab w:val="left" w:pos="1080"/>
        <w:tab w:val="left" w:pos="1620"/>
        <w:tab w:val="left" w:pos="1740"/>
        <w:tab w:val="clear" w:pos="1789"/>
      </w:tabs>
      <w:snapToGrid w:val="0"/>
      <w:spacing w:before="260" w:after="260" w:line="500" w:lineRule="atLeast"/>
      <w:ind w:left="1740" w:hanging="420"/>
    </w:pPr>
    <w:rPr>
      <w:rFonts w:hint="eastAsia" w:ascii="宋体" w:hAnsi="宋体" w:eastAsia="宋体" w:cs="宋体"/>
      <w:i/>
      <w:iCs/>
      <w:color w:val="000000"/>
      <w:spacing w:val="4"/>
      <w:sz w:val="28"/>
    </w:rPr>
  </w:style>
  <w:style w:type="paragraph" w:customStyle="1" w:styleId="3676">
    <w:name w:val="纯文本31"/>
    <w:basedOn w:val="1"/>
    <w:qFormat/>
    <w:uiPriority w:val="0"/>
    <w:pPr>
      <w:adjustRightInd w:val="0"/>
    </w:pPr>
    <w:rPr>
      <w:rFonts w:ascii="宋体" w:hAnsi="Calibri" w:eastAsia="宋体" w:cs="黑体"/>
      <w:spacing w:val="-2"/>
      <w:kern w:val="0"/>
      <w:sz w:val="24"/>
    </w:rPr>
  </w:style>
  <w:style w:type="paragraph" w:customStyle="1" w:styleId="3677">
    <w:name w:val="标题4-1"/>
    <w:basedOn w:val="85"/>
    <w:qFormat/>
    <w:uiPriority w:val="0"/>
    <w:pPr>
      <w:keepNext w:val="0"/>
      <w:keepLines w:val="0"/>
      <w:tabs>
        <w:tab w:val="left" w:pos="750"/>
        <w:tab w:val="clear" w:pos="1080"/>
        <w:tab w:val="clear" w:pos="1789"/>
      </w:tabs>
      <w:spacing w:line="360" w:lineRule="auto"/>
      <w:ind w:left="750" w:firstLine="225" w:firstLineChars="225"/>
      <w:jc w:val="left"/>
      <w:outlineLvl w:val="0"/>
    </w:pPr>
    <w:rPr>
      <w:rFonts w:ascii="Times New Roman" w:hAnsi="Times New Roman" w:eastAsia="宋体"/>
      <w:b w:val="0"/>
      <w:color w:val="000000"/>
    </w:rPr>
  </w:style>
  <w:style w:type="paragraph" w:customStyle="1" w:styleId="3678">
    <w:name w:val="p-title"/>
    <w:basedOn w:val="1"/>
    <w:qFormat/>
    <w:uiPriority w:val="0"/>
    <w:pPr>
      <w:widowControl/>
      <w:spacing w:before="100" w:beforeAutospacing="1" w:after="100" w:afterAutospacing="1" w:line="360" w:lineRule="atLeast"/>
      <w:jc w:val="left"/>
    </w:pPr>
    <w:rPr>
      <w:rFonts w:ascii="宋体" w:hAnsi="Calibri" w:eastAsia="宋体" w:cs="宋体"/>
      <w:b/>
      <w:bCs/>
      <w:color w:val="FFFFFF"/>
      <w:spacing w:val="-2"/>
      <w:kern w:val="0"/>
      <w:szCs w:val="21"/>
    </w:rPr>
  </w:style>
  <w:style w:type="paragraph" w:customStyle="1" w:styleId="3679">
    <w:name w:val="标题 1 + 段前: 0.5 行 段后: 0.5 行1"/>
    <w:basedOn w:val="1"/>
    <w:qFormat/>
    <w:uiPriority w:val="0"/>
    <w:pPr>
      <w:tabs>
        <w:tab w:val="left" w:pos="1340"/>
      </w:tabs>
      <w:spacing w:before="120" w:after="120"/>
      <w:ind w:left="1340" w:hanging="420"/>
      <w:jc w:val="left"/>
      <w:outlineLvl w:val="0"/>
    </w:pPr>
    <w:rPr>
      <w:rFonts w:eastAsia="黑体" w:cs="宋体"/>
      <w:spacing w:val="-2"/>
      <w:kern w:val="0"/>
    </w:rPr>
  </w:style>
  <w:style w:type="paragraph" w:customStyle="1" w:styleId="3680">
    <w:name w:val="Char Char131"/>
    <w:basedOn w:val="1"/>
    <w:qFormat/>
    <w:uiPriority w:val="0"/>
    <w:pPr>
      <w:tabs>
        <w:tab w:val="left" w:pos="632"/>
      </w:tabs>
      <w:spacing w:line="360" w:lineRule="auto"/>
      <w:ind w:left="425" w:hanging="425"/>
    </w:pPr>
    <w:rPr>
      <w:rFonts w:ascii="宋体" w:hAnsi="宋体" w:eastAsia="宋体" w:cs="宋体"/>
      <w:spacing w:val="-2"/>
      <w:kern w:val="0"/>
      <w:sz w:val="24"/>
    </w:rPr>
  </w:style>
  <w:style w:type="paragraph" w:customStyle="1" w:styleId="3681">
    <w:name w:val="mde-item"/>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82">
    <w:name w:val="样式 标题 2SeHead wsa2H21标题 1.1Chapter TitleChapter节标题 1.1h..."/>
    <w:basedOn w:val="4"/>
    <w:qFormat/>
    <w:uiPriority w:val="0"/>
    <w:pPr>
      <w:keepLines w:val="0"/>
      <w:tabs>
        <w:tab w:val="left" w:pos="480"/>
        <w:tab w:val="left" w:pos="630"/>
        <w:tab w:val="left" w:pos="1476"/>
        <w:tab w:val="clear" w:pos="567"/>
      </w:tabs>
      <w:spacing w:before="100" w:beforeAutospacing="1" w:after="100" w:afterAutospacing="1" w:line="360" w:lineRule="auto"/>
      <w:ind w:left="0" w:firstLine="0"/>
    </w:pPr>
    <w:rPr>
      <w:rFonts w:ascii="宋体" w:hAnsi="宋体" w:eastAsia="宋体" w:cs="宋体"/>
      <w:b/>
      <w:bCs/>
      <w:color w:val="000000"/>
      <w:spacing w:val="-2"/>
      <w:sz w:val="32"/>
    </w:rPr>
  </w:style>
  <w:style w:type="paragraph" w:customStyle="1" w:styleId="3683">
    <w:name w:val="字元 字元11"/>
    <w:basedOn w:val="1"/>
    <w:qFormat/>
    <w:uiPriority w:val="0"/>
    <w:pPr>
      <w:adjustRightInd w:val="0"/>
      <w:snapToGrid w:val="0"/>
      <w:ind w:firstLine="200" w:firstLineChars="200"/>
    </w:pPr>
    <w:rPr>
      <w:rFonts w:eastAsia="宋体" w:cs="黑体"/>
      <w:spacing w:val="-2"/>
      <w:kern w:val="0"/>
      <w:sz w:val="24"/>
    </w:rPr>
  </w:style>
  <w:style w:type="paragraph" w:customStyle="1" w:styleId="3684">
    <w:name w:val="Char Char Char Char4"/>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3685">
    <w:name w:val="Char9"/>
    <w:basedOn w:val="1"/>
    <w:qFormat/>
    <w:uiPriority w:val="0"/>
    <w:rPr>
      <w:rFonts w:eastAsia="宋体" w:cs="黑体"/>
      <w:spacing w:val="-2"/>
      <w:kern w:val="0"/>
      <w:sz w:val="24"/>
    </w:rPr>
  </w:style>
  <w:style w:type="paragraph" w:customStyle="1" w:styleId="3686">
    <w:name w:val="uc-items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87">
    <w:name w:val="注"/>
    <w:basedOn w:val="1"/>
    <w:next w:val="1"/>
    <w:qFormat/>
    <w:uiPriority w:val="0"/>
    <w:pPr>
      <w:widowControl/>
      <w:spacing w:before="60" w:after="60" w:line="312" w:lineRule="auto"/>
      <w:ind w:firstLine="480" w:firstLineChars="200"/>
    </w:pPr>
    <w:rPr>
      <w:rFonts w:hint="eastAsia" w:ascii="宋体" w:hAnsi="宋体" w:eastAsia="黑体" w:cs="宋体"/>
      <w:color w:val="000000"/>
      <w:sz w:val="21"/>
      <w:szCs w:val="24"/>
    </w:rPr>
  </w:style>
  <w:style w:type="paragraph" w:customStyle="1" w:styleId="3688">
    <w:name w:val="impt-word"/>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89">
    <w:name w:val="level15"/>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90">
    <w:name w:val="Char Char Char1 Char Char Char Char Char Char Char Char Char Char Char Char Char Char Char Char"/>
    <w:basedOn w:val="1"/>
    <w:qFormat/>
    <w:uiPriority w:val="0"/>
    <w:pPr>
      <w:ind w:firstLine="200" w:firstLineChars="200"/>
    </w:pPr>
    <w:rPr>
      <w:rFonts w:eastAsia="宋体" w:cs="黑体"/>
      <w:spacing w:val="-2"/>
      <w:kern w:val="0"/>
      <w:sz w:val="24"/>
    </w:rPr>
  </w:style>
  <w:style w:type="paragraph" w:customStyle="1" w:styleId="3691">
    <w:name w:val="authoritylogo"/>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92">
    <w:name w:val="正式文本"/>
    <w:basedOn w:val="1"/>
    <w:qFormat/>
    <w:uiPriority w:val="0"/>
    <w:pPr>
      <w:ind w:firstLine="71" w:firstLineChars="71"/>
    </w:pPr>
    <w:rPr>
      <w:rFonts w:ascii="仿宋_GB2312" w:hAnsi="Calibri" w:cs="黑体"/>
      <w:spacing w:val="-2"/>
      <w:kern w:val="0"/>
      <w:szCs w:val="21"/>
    </w:rPr>
  </w:style>
  <w:style w:type="paragraph" w:customStyle="1" w:styleId="3693">
    <w:name w:val="main-wra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694">
    <w:name w:val="样式 宋体 10 磅 居中 行距: 单倍行距"/>
    <w:basedOn w:val="1"/>
    <w:qFormat/>
    <w:uiPriority w:val="0"/>
    <w:pPr>
      <w:jc w:val="center"/>
    </w:pPr>
    <w:rPr>
      <w:rFonts w:ascii="宋体" w:hAnsi="宋体" w:eastAsia="宋体" w:cs="宋体"/>
      <w:spacing w:val="-2"/>
      <w:kern w:val="0"/>
      <w:sz w:val="20"/>
    </w:rPr>
  </w:style>
  <w:style w:type="paragraph" w:customStyle="1" w:styleId="3695">
    <w:name w:val="正文1-1"/>
    <w:basedOn w:val="1"/>
    <w:qFormat/>
    <w:uiPriority w:val="0"/>
    <w:pPr>
      <w:widowControl/>
      <w:snapToGrid w:val="0"/>
      <w:spacing w:line="360" w:lineRule="auto"/>
      <w:ind w:firstLine="200" w:firstLineChars="200"/>
      <w:jc w:val="left"/>
    </w:pPr>
    <w:rPr>
      <w:rFonts w:cs="Century"/>
      <w:spacing w:val="-2"/>
      <w:kern w:val="0"/>
    </w:rPr>
  </w:style>
  <w:style w:type="paragraph" w:customStyle="1" w:styleId="3696">
    <w:name w:val="Char Char Char1 Char3"/>
    <w:basedOn w:val="1"/>
    <w:qFormat/>
    <w:uiPriority w:val="0"/>
    <w:pPr>
      <w:spacing w:line="360" w:lineRule="auto"/>
      <w:ind w:firstLine="200" w:firstLineChars="200"/>
    </w:pPr>
    <w:rPr>
      <w:rFonts w:ascii="宋体" w:hAnsi="宋体" w:eastAsia="宋体" w:cs="宋体"/>
      <w:spacing w:val="-2"/>
      <w:kern w:val="0"/>
      <w:sz w:val="24"/>
    </w:rPr>
  </w:style>
  <w:style w:type="paragraph" w:customStyle="1" w:styleId="3697">
    <w:name w:val="bk-editable-lemma-btns"/>
    <w:basedOn w:val="1"/>
    <w:qFormat/>
    <w:uiPriority w:val="0"/>
    <w:pPr>
      <w:widowControl/>
      <w:spacing w:before="100" w:beforeAutospacing="1" w:after="100" w:afterAutospacing="1" w:line="510" w:lineRule="atLeast"/>
      <w:jc w:val="left"/>
    </w:pPr>
    <w:rPr>
      <w:rFonts w:ascii="宋体" w:hAnsi="Calibri" w:eastAsia="宋体" w:cs="宋体"/>
      <w:spacing w:val="-2"/>
      <w:kern w:val="0"/>
      <w:sz w:val="24"/>
      <w:szCs w:val="21"/>
    </w:rPr>
  </w:style>
  <w:style w:type="paragraph" w:customStyle="1" w:styleId="3698">
    <w:name w:val="hidden"/>
    <w:basedOn w:val="1"/>
    <w:qFormat/>
    <w:uiPriority w:val="0"/>
    <w:pPr>
      <w:widowControl/>
      <w:spacing w:before="100" w:beforeAutospacing="1" w:after="100" w:afterAutospacing="1"/>
      <w:jc w:val="left"/>
    </w:pPr>
    <w:rPr>
      <w:rFonts w:ascii="宋体" w:hAnsi="Calibri" w:eastAsia="宋体" w:cs="宋体"/>
      <w:vanish/>
      <w:spacing w:val="-2"/>
      <w:kern w:val="0"/>
      <w:sz w:val="24"/>
      <w:szCs w:val="21"/>
    </w:rPr>
  </w:style>
  <w:style w:type="paragraph" w:customStyle="1" w:styleId="3699">
    <w:name w:val="wg"/>
    <w:basedOn w:val="1"/>
    <w:qFormat/>
    <w:uiPriority w:val="0"/>
    <w:rPr>
      <w:rFonts w:eastAsia="宋体" w:cs="黑体"/>
      <w:spacing w:val="-2"/>
      <w:kern w:val="0"/>
    </w:rPr>
  </w:style>
  <w:style w:type="paragraph" w:customStyle="1" w:styleId="3700">
    <w:name w:val="top-bg1"/>
    <w:basedOn w:val="1"/>
    <w:qFormat/>
    <w:uiPriority w:val="0"/>
    <w:pPr>
      <w:widowControl/>
      <w:shd w:val="clear" w:color="auto" w:fill="E6F8FF"/>
      <w:spacing w:before="15" w:after="100" w:afterAutospacing="1"/>
      <w:jc w:val="left"/>
    </w:pPr>
    <w:rPr>
      <w:rFonts w:ascii="宋体" w:hAnsi="Calibri" w:eastAsia="宋体" w:cs="宋体"/>
      <w:spacing w:val="-2"/>
      <w:kern w:val="0"/>
      <w:sz w:val="24"/>
      <w:szCs w:val="21"/>
    </w:rPr>
  </w:style>
  <w:style w:type="paragraph" w:customStyle="1" w:styleId="3701">
    <w:name w:val="正文zz"/>
    <w:qFormat/>
    <w:uiPriority w:val="0"/>
    <w:pPr>
      <w:spacing w:line="360" w:lineRule="auto"/>
      <w:ind w:firstLine="200" w:firstLineChars="200"/>
    </w:pPr>
    <w:rPr>
      <w:rFonts w:ascii="Calibri" w:hAnsi="Calibri" w:eastAsia="宋体" w:cs="Arial"/>
      <w:kern w:val="2"/>
      <w:sz w:val="24"/>
      <w:szCs w:val="24"/>
      <w:lang w:val="en-US" w:eastAsia="zh-CN" w:bidi="ar-SA"/>
    </w:rPr>
  </w:style>
  <w:style w:type="paragraph" w:customStyle="1" w:styleId="3702">
    <w:name w:val="自定表格"/>
    <w:basedOn w:val="1"/>
    <w:qFormat/>
    <w:uiPriority w:val="0"/>
    <w:pPr>
      <w:autoSpaceDE w:val="0"/>
      <w:autoSpaceDN w:val="0"/>
      <w:adjustRightInd w:val="0"/>
      <w:jc w:val="center"/>
    </w:pPr>
    <w:rPr>
      <w:rFonts w:eastAsia="宋体" w:cs="黑体"/>
      <w:spacing w:val="-2"/>
      <w:kern w:val="0"/>
      <w:sz w:val="24"/>
    </w:rPr>
  </w:style>
  <w:style w:type="paragraph" w:customStyle="1" w:styleId="3703">
    <w:name w:val="样式83"/>
    <w:basedOn w:val="1"/>
    <w:qFormat/>
    <w:uiPriority w:val="0"/>
    <w:pPr>
      <w:keepNext/>
      <w:keepLines/>
      <w:tabs>
        <w:tab w:val="left" w:pos="900"/>
      </w:tabs>
      <w:spacing w:beforeLines="50" w:line="360" w:lineRule="auto"/>
      <w:outlineLvl w:val="2"/>
    </w:pPr>
    <w:rPr>
      <w:rFonts w:ascii="宋体" w:hAnsi="宋体" w:eastAsia="宋体" w:cs="黑体"/>
      <w:b/>
      <w:color w:val="000000"/>
      <w:spacing w:val="-2"/>
      <w:kern w:val="0"/>
      <w:sz w:val="24"/>
      <w:szCs w:val="32"/>
    </w:rPr>
  </w:style>
  <w:style w:type="paragraph" w:customStyle="1" w:styleId="3704">
    <w:name w:val="标题 4 黑体 四号 行距: 1.5 倍行距"/>
    <w:basedOn w:val="1"/>
    <w:qFormat/>
    <w:uiPriority w:val="0"/>
    <w:pPr>
      <w:outlineLvl w:val="2"/>
    </w:pPr>
    <w:rPr>
      <w:rFonts w:eastAsia="宋体" w:cs="黑体"/>
      <w:spacing w:val="-2"/>
      <w:kern w:val="0"/>
      <w:sz w:val="26"/>
      <w:szCs w:val="26"/>
    </w:rPr>
  </w:style>
  <w:style w:type="paragraph" w:customStyle="1" w:styleId="3705">
    <w:name w:val="标题 63"/>
    <w:basedOn w:val="9"/>
    <w:qFormat/>
    <w:uiPriority w:val="0"/>
    <w:pPr>
      <w:keepNext w:val="0"/>
      <w:keepLines w:val="0"/>
      <w:autoSpaceDE w:val="0"/>
      <w:autoSpaceDN w:val="0"/>
      <w:adjustRightInd w:val="0"/>
      <w:spacing w:before="120" w:after="120" w:line="240" w:lineRule="auto"/>
      <w:ind w:left="567" w:firstLine="0"/>
      <w:jc w:val="left"/>
      <w:outlineLvl w:val="9"/>
    </w:pPr>
    <w:rPr>
      <w:rFonts w:ascii="Times New Roman" w:hAnsi="Times New Roman" w:eastAsia="隶书体"/>
      <w:b w:val="0"/>
      <w:bCs w:val="0"/>
      <w:i/>
      <w:kern w:val="0"/>
      <w:sz w:val="28"/>
      <w:szCs w:val="20"/>
    </w:rPr>
  </w:style>
  <w:style w:type="paragraph" w:customStyle="1" w:styleId="3706">
    <w:name w:val="goto"/>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07">
    <w:name w:val="表格标题_报告"/>
    <w:basedOn w:val="1"/>
    <w:qFormat/>
    <w:uiPriority w:val="0"/>
    <w:pPr>
      <w:keepNext/>
      <w:spacing w:beforeLines="50"/>
      <w:jc w:val="center"/>
    </w:pPr>
    <w:rPr>
      <w:rFonts w:ascii="黑体" w:hAnsi="Calibri" w:eastAsia="黑体" w:cs="黑体"/>
      <w:spacing w:val="-2"/>
      <w:kern w:val="0"/>
    </w:rPr>
  </w:style>
  <w:style w:type="paragraph" w:customStyle="1" w:styleId="3708">
    <w:name w:val="2222222"/>
    <w:basedOn w:val="1"/>
    <w:qFormat/>
    <w:uiPriority w:val="0"/>
    <w:pPr>
      <w:keepNext/>
      <w:keepLines/>
      <w:tabs>
        <w:tab w:val="left" w:pos="840"/>
      </w:tabs>
      <w:spacing w:before="50" w:after="50" w:line="360" w:lineRule="auto"/>
      <w:ind w:left="840" w:hanging="420"/>
      <w:outlineLvl w:val="1"/>
    </w:pPr>
    <w:rPr>
      <w:rFonts w:ascii="黑体" w:hAnsi="Arial" w:eastAsia="黑体" w:cs="黑体"/>
      <w:b/>
      <w:bCs/>
      <w:color w:val="000000"/>
      <w:spacing w:val="-2"/>
      <w:kern w:val="0"/>
      <w:szCs w:val="28"/>
    </w:rPr>
  </w:style>
  <w:style w:type="paragraph" w:customStyle="1" w:styleId="3709">
    <w:name w:val="表格名和图名"/>
    <w:basedOn w:val="1"/>
    <w:qFormat/>
    <w:uiPriority w:val="0"/>
    <w:pPr>
      <w:spacing w:line="360" w:lineRule="auto"/>
      <w:jc w:val="center"/>
    </w:pPr>
    <w:rPr>
      <w:rFonts w:eastAsia="宋体" w:cs="黑体"/>
      <w:b/>
      <w:color w:val="000000"/>
      <w:spacing w:val="-2"/>
      <w:kern w:val="0"/>
      <w:sz w:val="24"/>
    </w:rPr>
  </w:style>
  <w:style w:type="paragraph" w:customStyle="1" w:styleId="3710">
    <w:name w:val="title-banner1"/>
    <w:basedOn w:val="1"/>
    <w:qFormat/>
    <w:uiPriority w:val="0"/>
    <w:pPr>
      <w:widowControl/>
      <w:shd w:val="clear" w:color="auto" w:fill="D4E8FA"/>
      <w:spacing w:before="30" w:after="100" w:afterAutospacing="1" w:line="450" w:lineRule="atLeast"/>
      <w:jc w:val="center"/>
    </w:pPr>
    <w:rPr>
      <w:rFonts w:ascii="宋体" w:hAnsi="Calibri" w:eastAsia="宋体" w:cs="宋体"/>
      <w:spacing w:val="-2"/>
      <w:kern w:val="0"/>
      <w:sz w:val="24"/>
      <w:szCs w:val="21"/>
    </w:rPr>
  </w:style>
  <w:style w:type="paragraph" w:customStyle="1" w:styleId="3711">
    <w:name w:val="article"/>
    <w:basedOn w:val="1"/>
    <w:qFormat/>
    <w:uiPriority w:val="0"/>
    <w:pPr>
      <w:widowControl/>
      <w:wordWrap w:val="0"/>
      <w:spacing w:before="100" w:beforeAutospacing="1" w:after="100" w:afterAutospacing="1"/>
      <w:jc w:val="left"/>
    </w:pPr>
    <w:rPr>
      <w:rFonts w:ascii="宋体" w:hAnsi="Calibri" w:eastAsia="宋体" w:cs="宋体"/>
      <w:spacing w:val="-2"/>
      <w:kern w:val="0"/>
      <w:szCs w:val="21"/>
    </w:rPr>
  </w:style>
  <w:style w:type="paragraph" w:customStyle="1" w:styleId="3712">
    <w:name w:val="fm-ta-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13">
    <w:name w:val="xl21"/>
    <w:basedOn w:val="1"/>
    <w:qFormat/>
    <w:uiPriority w:val="0"/>
    <w:pPr>
      <w:widowControl/>
      <w:spacing w:before="100" w:beforeAutospacing="1" w:after="100" w:afterAutospacing="1"/>
      <w:jc w:val="center"/>
    </w:pPr>
    <w:rPr>
      <w:rFonts w:ascii="宋体" w:hAnsi="宋体" w:eastAsia="宋体" w:cs="宋体"/>
      <w:spacing w:val="-2"/>
      <w:kern w:val="0"/>
      <w:sz w:val="24"/>
    </w:rPr>
  </w:style>
  <w:style w:type="paragraph" w:customStyle="1" w:styleId="3714">
    <w:name w:val="表格内容自定"/>
    <w:basedOn w:val="1"/>
    <w:qFormat/>
    <w:uiPriority w:val="0"/>
    <w:pPr>
      <w:spacing w:line="280" w:lineRule="exact"/>
      <w:jc w:val="center"/>
    </w:pPr>
    <w:rPr>
      <w:rFonts w:eastAsia="宋体" w:cs="黑体"/>
      <w:spacing w:val="-2"/>
      <w:kern w:val="0"/>
      <w:sz w:val="18"/>
      <w:szCs w:val="21"/>
    </w:rPr>
  </w:style>
  <w:style w:type="paragraph" w:customStyle="1" w:styleId="3715">
    <w:name w:val="标题一（无序号）"/>
    <w:basedOn w:val="1"/>
    <w:qFormat/>
    <w:uiPriority w:val="0"/>
    <w:pPr>
      <w:keepNext/>
      <w:keepLines/>
      <w:adjustRightInd w:val="0"/>
      <w:snapToGrid w:val="0"/>
      <w:spacing w:before="600" w:after="720" w:line="400" w:lineRule="atLeast"/>
      <w:jc w:val="center"/>
      <w:outlineLvl w:val="0"/>
    </w:pPr>
    <w:rPr>
      <w:rFonts w:ascii="黑体" w:hAnsi="宋体" w:eastAsia="黑体" w:cs="宋体"/>
      <w:bCs/>
      <w:spacing w:val="-2"/>
      <w:kern w:val="44"/>
      <w:sz w:val="30"/>
    </w:rPr>
  </w:style>
  <w:style w:type="paragraph" w:customStyle="1" w:styleId="3716">
    <w:name w:val="mstheme-bannertxt"/>
    <w:basedOn w:val="1"/>
    <w:qFormat/>
    <w:uiPriority w:val="0"/>
    <w:pPr>
      <w:spacing w:before="100" w:beforeAutospacing="1" w:after="100" w:afterAutospacing="1"/>
    </w:pPr>
    <w:rPr>
      <w:rFonts w:eastAsia="宋体" w:cs="黑体"/>
      <w:color w:val="0033CC"/>
      <w:spacing w:val="-2"/>
      <w:kern w:val="0"/>
      <w:sz w:val="24"/>
    </w:rPr>
  </w:style>
  <w:style w:type="paragraph" w:customStyle="1" w:styleId="3717">
    <w:name w:val="表格来源"/>
    <w:basedOn w:val="35"/>
    <w:qFormat/>
    <w:uiPriority w:val="0"/>
    <w:pPr>
      <w:ind w:right="22" w:rightChars="22" w:firstLine="0"/>
      <w:jc w:val="right"/>
    </w:pPr>
    <w:rPr>
      <w:rFonts w:ascii="宋体" w:hAnsi="宋体" w:cs="宋体"/>
      <w:spacing w:val="-2"/>
      <w:sz w:val="18"/>
      <w:szCs w:val="24"/>
    </w:rPr>
  </w:style>
  <w:style w:type="paragraph" w:customStyle="1" w:styleId="3718">
    <w:name w:val="p28"/>
    <w:basedOn w:val="1"/>
    <w:qFormat/>
    <w:uiPriority w:val="0"/>
    <w:pPr>
      <w:widowControl/>
      <w:spacing w:line="360" w:lineRule="auto"/>
    </w:pPr>
    <w:rPr>
      <w:rFonts w:eastAsia="宋体" w:cs="黑体"/>
      <w:color w:val="000000"/>
      <w:kern w:val="0"/>
      <w:sz w:val="30"/>
      <w:szCs w:val="30"/>
    </w:rPr>
  </w:style>
  <w:style w:type="paragraph" w:customStyle="1" w:styleId="3719">
    <w:name w:val="表格 23"/>
    <w:basedOn w:val="1"/>
    <w:qFormat/>
    <w:uiPriority w:val="0"/>
    <w:pPr>
      <w:autoSpaceDE w:val="0"/>
      <w:autoSpaceDN w:val="0"/>
      <w:adjustRightInd w:val="0"/>
      <w:jc w:val="center"/>
    </w:pPr>
    <w:rPr>
      <w:rFonts w:eastAsia="仿宋体" w:cs="黑体"/>
      <w:spacing w:val="-2"/>
      <w:kern w:val="0"/>
      <w:sz w:val="24"/>
    </w:rPr>
  </w:style>
  <w:style w:type="paragraph" w:customStyle="1" w:styleId="3720">
    <w:name w:val="tangram_sug_pre"/>
    <w:basedOn w:val="1"/>
    <w:qFormat/>
    <w:uiPriority w:val="0"/>
    <w:pPr>
      <w:widowControl/>
      <w:shd w:val="clear" w:color="auto" w:fill="FFFFFF"/>
      <w:spacing w:before="100" w:beforeAutospacing="1" w:after="100" w:afterAutospacing="1"/>
      <w:jc w:val="left"/>
    </w:pPr>
    <w:rPr>
      <w:rFonts w:ascii="宋体" w:hAnsi="Calibri" w:eastAsia="宋体" w:cs="宋体"/>
      <w:spacing w:val="-2"/>
      <w:kern w:val="0"/>
      <w:sz w:val="24"/>
      <w:szCs w:val="21"/>
    </w:rPr>
  </w:style>
  <w:style w:type="paragraph" w:customStyle="1" w:styleId="3721">
    <w:name w:val="样式 自动表头 + (西文) 黑体 五号 加粗 行距: 单倍行距"/>
    <w:basedOn w:val="1878"/>
    <w:qFormat/>
    <w:uiPriority w:val="0"/>
    <w:pPr>
      <w:spacing w:before="156" w:after="156" w:line="240" w:lineRule="auto"/>
      <w:ind w:firstLine="422" w:firstLineChars="200"/>
      <w:jc w:val="both"/>
    </w:pPr>
    <w:rPr>
      <w:rFonts w:hAnsi="Times New Roman" w:eastAsia="宋体"/>
      <w:b w:val="0"/>
    </w:rPr>
  </w:style>
  <w:style w:type="paragraph" w:customStyle="1" w:styleId="3722">
    <w:name w:val="样式 标题 4 + 段前: 12 磅"/>
    <w:basedOn w:val="1"/>
    <w:qFormat/>
    <w:uiPriority w:val="0"/>
    <w:pPr>
      <w:tabs>
        <w:tab w:val="left" w:pos="0"/>
        <w:tab w:val="left" w:pos="678"/>
      </w:tabs>
      <w:spacing w:before="120" w:line="400" w:lineRule="exact"/>
    </w:pPr>
    <w:rPr>
      <w:rFonts w:eastAsia="宋体" w:cs="黑体"/>
      <w:spacing w:val="-2"/>
      <w:kern w:val="0"/>
      <w:sz w:val="24"/>
    </w:rPr>
  </w:style>
  <w:style w:type="paragraph" w:customStyle="1" w:styleId="3723">
    <w:name w:val="表格正文503"/>
    <w:basedOn w:val="1"/>
    <w:qFormat/>
    <w:uiPriority w:val="0"/>
    <w:pPr>
      <w:jc w:val="center"/>
    </w:pPr>
    <w:rPr>
      <w:rFonts w:eastAsia="宋体" w:cs="黑体"/>
      <w:sz w:val="21"/>
      <w:szCs w:val="21"/>
    </w:rPr>
  </w:style>
  <w:style w:type="paragraph" w:customStyle="1" w:styleId="3724">
    <w:name w:val="样式 正文 + 首行缩进:  2 字符 + 宋体 四号 首行缩进:  2 字符"/>
    <w:basedOn w:val="1"/>
    <w:qFormat/>
    <w:uiPriority w:val="0"/>
    <w:pPr>
      <w:spacing w:line="480" w:lineRule="exact"/>
      <w:ind w:firstLine="200" w:firstLineChars="200"/>
    </w:pPr>
    <w:rPr>
      <w:rFonts w:ascii="宋体" w:hAnsi="宋体" w:eastAsia="宋体" w:cs="宋体"/>
      <w:spacing w:val="-2"/>
      <w:kern w:val="0"/>
    </w:rPr>
  </w:style>
  <w:style w:type="paragraph" w:customStyle="1" w:styleId="3725">
    <w:name w:val="p23"/>
    <w:basedOn w:val="1"/>
    <w:qFormat/>
    <w:uiPriority w:val="0"/>
    <w:pPr>
      <w:widowControl/>
      <w:snapToGrid w:val="0"/>
      <w:spacing w:line="240" w:lineRule="atLeast"/>
      <w:jc w:val="center"/>
    </w:pPr>
    <w:rPr>
      <w:rFonts w:eastAsia="宋体" w:cs="黑体"/>
      <w:kern w:val="0"/>
      <w:sz w:val="24"/>
      <w:szCs w:val="24"/>
    </w:rPr>
  </w:style>
  <w:style w:type="paragraph" w:customStyle="1" w:styleId="3726">
    <w:name w:val="银洲湖石化基地表"/>
    <w:basedOn w:val="1"/>
    <w:qFormat/>
    <w:uiPriority w:val="0"/>
    <w:pPr>
      <w:autoSpaceDE w:val="0"/>
      <w:autoSpaceDN w:val="0"/>
      <w:adjustRightInd w:val="0"/>
      <w:spacing w:line="0" w:lineRule="atLeast"/>
      <w:jc w:val="center"/>
    </w:pPr>
    <w:rPr>
      <w:rFonts w:eastAsia="宋体" w:cs="黑体"/>
      <w:spacing w:val="-2"/>
      <w:kern w:val="0"/>
      <w:sz w:val="24"/>
      <w:szCs w:val="21"/>
    </w:rPr>
  </w:style>
  <w:style w:type="paragraph" w:customStyle="1" w:styleId="3727">
    <w:name w:val="样式32"/>
    <w:basedOn w:val="1"/>
    <w:qFormat/>
    <w:uiPriority w:val="0"/>
    <w:pPr>
      <w:adjustRightInd w:val="0"/>
      <w:snapToGrid w:val="0"/>
      <w:spacing w:line="300" w:lineRule="exact"/>
      <w:jc w:val="center"/>
    </w:pPr>
    <w:rPr>
      <w:rFonts w:eastAsia="宋体" w:cs="黑体"/>
      <w:spacing w:val="-2"/>
      <w:kern w:val="0"/>
    </w:rPr>
  </w:style>
  <w:style w:type="paragraph" w:customStyle="1" w:styleId="3728">
    <w:name w:val="样式 标题 3标题 3 Char标题 3 Char Char条标题1.1.1H31.1.1标题 31.1标题 3 +..."/>
    <w:basedOn w:val="6"/>
    <w:qFormat/>
    <w:uiPriority w:val="0"/>
    <w:pPr>
      <w:tabs>
        <w:tab w:val="left" w:pos="0"/>
        <w:tab w:val="left" w:pos="630"/>
        <w:tab w:val="left" w:pos="1022"/>
        <w:tab w:val="left" w:pos="1080"/>
        <w:tab w:val="clear" w:pos="1789"/>
      </w:tabs>
      <w:spacing w:before="0" w:after="0" w:line="500" w:lineRule="exact"/>
      <w:ind w:left="1260" w:hanging="420"/>
    </w:pPr>
    <w:rPr>
      <w:rFonts w:hint="eastAsia" w:ascii="宋体" w:hAnsi="宋体" w:eastAsia="宋体" w:cs="宋体"/>
      <w:b w:val="0"/>
      <w:i/>
      <w:iCs/>
      <w:color w:val="000000"/>
      <w:spacing w:val="-2"/>
      <w:sz w:val="28"/>
    </w:rPr>
  </w:style>
  <w:style w:type="paragraph" w:customStyle="1" w:styleId="3729">
    <w:name w:val="ysh标1"/>
    <w:basedOn w:val="1"/>
    <w:qFormat/>
    <w:uiPriority w:val="0"/>
    <w:pPr>
      <w:spacing w:beforeLines="100"/>
      <w:ind w:firstLine="200" w:firstLineChars="200"/>
      <w:jc w:val="center"/>
    </w:pPr>
    <w:rPr>
      <w:rFonts w:ascii="宋体" w:hAnsi="Calibri" w:eastAsia="宋体" w:cs="黑体"/>
      <w:b/>
      <w:spacing w:val="-2"/>
      <w:kern w:val="0"/>
      <w:sz w:val="44"/>
      <w:szCs w:val="32"/>
    </w:rPr>
  </w:style>
  <w:style w:type="paragraph" w:customStyle="1" w:styleId="3730">
    <w:name w:val="explain"/>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31">
    <w:name w:val="xl1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FF00FF"/>
      <w:spacing w:val="-2"/>
      <w:kern w:val="0"/>
      <w:sz w:val="24"/>
    </w:rPr>
  </w:style>
  <w:style w:type="paragraph" w:customStyle="1" w:styleId="3732">
    <w:name w:val="表题 2"/>
    <w:basedOn w:val="1"/>
    <w:qFormat/>
    <w:uiPriority w:val="0"/>
    <w:pPr>
      <w:adjustRightInd w:val="0"/>
      <w:spacing w:before="120" w:after="120"/>
      <w:jc w:val="center"/>
    </w:pPr>
    <w:rPr>
      <w:rFonts w:eastAsia="宋体" w:cs="黑体"/>
      <w:spacing w:val="-2"/>
      <w:kern w:val="0"/>
    </w:rPr>
  </w:style>
  <w:style w:type="paragraph" w:customStyle="1" w:styleId="3733">
    <w:name w:val="样式10001"/>
    <w:basedOn w:val="1"/>
    <w:qFormat/>
    <w:uiPriority w:val="0"/>
    <w:pPr>
      <w:spacing w:beforeLines="50" w:line="360" w:lineRule="auto"/>
      <w:ind w:firstLine="480" w:firstLineChars="200"/>
    </w:pPr>
    <w:rPr>
      <w:rFonts w:eastAsia="宋体" w:cs="黑体"/>
      <w:color w:val="000000"/>
      <w:spacing w:val="-2"/>
      <w:kern w:val="0"/>
      <w:sz w:val="24"/>
    </w:rPr>
  </w:style>
  <w:style w:type="paragraph" w:customStyle="1" w:styleId="3734">
    <w:name w:val="b-heading-lis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35">
    <w:name w:val="样式 四号 加粗 黑色"/>
    <w:basedOn w:val="1"/>
    <w:next w:val="64"/>
    <w:qFormat/>
    <w:uiPriority w:val="0"/>
    <w:rPr>
      <w:rFonts w:eastAsia="宋体" w:cs="宋体"/>
      <w:b/>
      <w:bCs/>
      <w:color w:val="000000"/>
      <w:spacing w:val="-2"/>
      <w:kern w:val="0"/>
      <w:sz w:val="32"/>
    </w:rPr>
  </w:style>
  <w:style w:type="paragraph" w:customStyle="1" w:styleId="3736">
    <w:name w:val="纯文本14"/>
    <w:basedOn w:val="1"/>
    <w:qFormat/>
    <w:uiPriority w:val="0"/>
    <w:pPr>
      <w:adjustRightInd w:val="0"/>
      <w:snapToGrid w:val="0"/>
    </w:pPr>
    <w:rPr>
      <w:rFonts w:ascii="宋体" w:hAnsi="Courier New" w:eastAsia="宋体" w:cs="黑体"/>
      <w:spacing w:val="-2"/>
      <w:kern w:val="0"/>
    </w:rPr>
  </w:style>
  <w:style w:type="paragraph" w:customStyle="1" w:styleId="3737">
    <w:name w:val="样式 黑色 首行缩进:  2 字符3"/>
    <w:basedOn w:val="1"/>
    <w:qFormat/>
    <w:uiPriority w:val="0"/>
    <w:pPr>
      <w:spacing w:line="520" w:lineRule="exact"/>
      <w:ind w:firstLine="200" w:firstLineChars="200"/>
    </w:pPr>
    <w:rPr>
      <w:rFonts w:eastAsia="宋体" w:cs="黑体"/>
      <w:color w:val="000000"/>
      <w:spacing w:val="-2"/>
      <w:kern w:val="0"/>
    </w:rPr>
  </w:style>
  <w:style w:type="paragraph" w:customStyle="1" w:styleId="3738">
    <w:name w:val="contri-type"/>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39">
    <w:name w:val="样式 行距: 固定值 28 磅"/>
    <w:basedOn w:val="1"/>
    <w:qFormat/>
    <w:uiPriority w:val="0"/>
    <w:pPr>
      <w:spacing w:line="500" w:lineRule="exact"/>
      <w:ind w:firstLine="692" w:firstLineChars="250"/>
    </w:pPr>
    <w:rPr>
      <w:rFonts w:eastAsia="宋体" w:cs="宋体"/>
      <w:spacing w:val="-2"/>
      <w:kern w:val="0"/>
    </w:rPr>
  </w:style>
  <w:style w:type="paragraph" w:customStyle="1" w:styleId="3740">
    <w:name w:val="xl19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008000"/>
      <w:spacing w:val="-2"/>
      <w:kern w:val="0"/>
      <w:sz w:val="24"/>
    </w:rPr>
  </w:style>
  <w:style w:type="paragraph" w:customStyle="1" w:styleId="3741">
    <w:name w:val="样式 Char Char Char Char Char Char Char Char Char Char + 黑色 行距: 多..."/>
    <w:basedOn w:val="1"/>
    <w:qFormat/>
    <w:uiPriority w:val="0"/>
    <w:pPr>
      <w:spacing w:line="336" w:lineRule="auto"/>
      <w:ind w:right="100" w:rightChars="100" w:firstLine="200" w:firstLineChars="200"/>
    </w:pPr>
    <w:rPr>
      <w:rFonts w:ascii="宋体" w:hAnsi="Calibri" w:eastAsia="宋体" w:cs="宋体"/>
      <w:color w:val="000000"/>
      <w:spacing w:val="-2"/>
      <w:kern w:val="0"/>
      <w:sz w:val="24"/>
    </w:rPr>
  </w:style>
  <w:style w:type="paragraph" w:customStyle="1" w:styleId="3742">
    <w:name w:val="正文，四宋"/>
    <w:basedOn w:val="1"/>
    <w:qFormat/>
    <w:uiPriority w:val="0"/>
    <w:pPr>
      <w:keepNext/>
      <w:spacing w:line="480" w:lineRule="exact"/>
      <w:ind w:firstLine="567"/>
      <w:outlineLvl w:val="4"/>
    </w:pPr>
    <w:rPr>
      <w:rFonts w:eastAsia="宋体" w:cs="黑体"/>
      <w:spacing w:val="-2"/>
      <w:kern w:val="0"/>
    </w:rPr>
  </w:style>
  <w:style w:type="paragraph" w:customStyle="1" w:styleId="3743">
    <w:name w:val="dialog-content-inner-wrap"/>
    <w:basedOn w:val="1"/>
    <w:qFormat/>
    <w:uiPriority w:val="0"/>
    <w:pPr>
      <w:widowControl/>
      <w:spacing w:line="480" w:lineRule="atLeast"/>
      <w:jc w:val="left"/>
    </w:pPr>
    <w:rPr>
      <w:rFonts w:ascii="宋体" w:hAnsi="Calibri" w:eastAsia="宋体" w:cs="宋体"/>
      <w:spacing w:val="-2"/>
      <w:kern w:val="0"/>
      <w:sz w:val="24"/>
      <w:szCs w:val="21"/>
    </w:rPr>
  </w:style>
  <w:style w:type="paragraph" w:customStyle="1" w:styleId="3744">
    <w:name w:val="样式 样式3 + 首行缩进:  2 字符"/>
    <w:basedOn w:val="1"/>
    <w:qFormat/>
    <w:uiPriority w:val="0"/>
    <w:pPr>
      <w:ind w:firstLine="480"/>
    </w:pPr>
    <w:rPr>
      <w:rFonts w:ascii="Times" w:hAnsi="Times" w:cs="黑体"/>
      <w:spacing w:val="-2"/>
      <w:kern w:val="0"/>
      <w:sz w:val="24"/>
    </w:rPr>
  </w:style>
  <w:style w:type="paragraph" w:customStyle="1" w:styleId="3745">
    <w:name w:val="检索5"/>
    <w:basedOn w:val="3203"/>
    <w:qFormat/>
    <w:uiPriority w:val="0"/>
    <w:pPr>
      <w:ind w:left="1304"/>
    </w:pPr>
    <w:rPr>
      <w:color w:val="000080"/>
    </w:rPr>
  </w:style>
  <w:style w:type="paragraph" w:customStyle="1" w:styleId="3746">
    <w:name w:val="样式 标题 2标题 21标题 121 + Times New Roman 小三 非加粗 黑色 段前: 8 磅 段...3"/>
    <w:basedOn w:val="1"/>
    <w:qFormat/>
    <w:uiPriority w:val="0"/>
    <w:pPr>
      <w:tabs>
        <w:tab w:val="left" w:pos="238"/>
      </w:tabs>
      <w:ind w:left="238"/>
    </w:pPr>
    <w:rPr>
      <w:rFonts w:eastAsia="宋体" w:cs="黑体"/>
      <w:spacing w:val="-2"/>
      <w:kern w:val="0"/>
    </w:rPr>
  </w:style>
  <w:style w:type="paragraph" w:customStyle="1" w:styleId="3747">
    <w:name w:val="项目"/>
    <w:basedOn w:val="1"/>
    <w:qFormat/>
    <w:uiPriority w:val="0"/>
    <w:pPr>
      <w:adjustRightInd w:val="0"/>
      <w:spacing w:before="60" w:line="320" w:lineRule="atLeast"/>
      <w:ind w:left="400" w:leftChars="400"/>
    </w:pPr>
    <w:rPr>
      <w:rFonts w:eastAsia="宋体" w:cs="黑体"/>
      <w:spacing w:val="-2"/>
      <w:kern w:val="0"/>
      <w:sz w:val="24"/>
    </w:rPr>
  </w:style>
  <w:style w:type="paragraph" w:customStyle="1" w:styleId="3748">
    <w:name w:val="样式 宋体 红色 行距: 1.5 倍行距"/>
    <w:basedOn w:val="1"/>
    <w:qFormat/>
    <w:uiPriority w:val="0"/>
    <w:pPr>
      <w:adjustRightInd w:val="0"/>
      <w:snapToGrid w:val="0"/>
      <w:spacing w:line="360" w:lineRule="auto"/>
      <w:ind w:firstLine="560" w:firstLineChars="200"/>
    </w:pPr>
    <w:rPr>
      <w:rFonts w:ascii="宋体" w:hAnsi="宋体" w:eastAsia="宋体" w:cs="宋体"/>
      <w:color w:val="FF0000"/>
      <w:spacing w:val="-2"/>
      <w:kern w:val="0"/>
      <w:sz w:val="24"/>
    </w:rPr>
  </w:style>
  <w:style w:type="paragraph" w:customStyle="1" w:styleId="3749">
    <w:name w:val="一般正文 + 首行缩进:  2 字符 段后: 0.2 行 + 首行缩进:  2 字符"/>
    <w:basedOn w:val="1"/>
    <w:qFormat/>
    <w:uiPriority w:val="0"/>
    <w:pPr>
      <w:adjustRightInd w:val="0"/>
      <w:snapToGrid w:val="0"/>
      <w:spacing w:before="100" w:beforeAutospacing="1" w:after="100" w:afterAutospacing="1"/>
    </w:pPr>
    <w:rPr>
      <w:rFonts w:ascii="宋体" w:hAnsi="Calibri" w:eastAsia="宋体" w:cs="黑体"/>
      <w:spacing w:val="-2"/>
      <w:kern w:val="0"/>
      <w:szCs w:val="28"/>
    </w:rPr>
  </w:style>
  <w:style w:type="paragraph" w:customStyle="1" w:styleId="3750">
    <w:name w:val="真宗兴表格内容"/>
    <w:basedOn w:val="1"/>
    <w:qFormat/>
    <w:uiPriority w:val="0"/>
    <w:pPr>
      <w:tabs>
        <w:tab w:val="left" w:pos="-2848"/>
      </w:tabs>
      <w:overflowPunct w:val="0"/>
      <w:autoSpaceDE w:val="0"/>
      <w:autoSpaceDN w:val="0"/>
      <w:adjustRightInd w:val="0"/>
      <w:spacing w:beforeLines="20" w:line="400" w:lineRule="atLeast"/>
      <w:ind w:firstLine="200" w:firstLineChars="200"/>
      <w:jc w:val="center"/>
    </w:pPr>
    <w:rPr>
      <w:rFonts w:eastAsia="宋体" w:cs="黑体"/>
      <w:spacing w:val="-2"/>
      <w:kern w:val="0"/>
      <w:sz w:val="24"/>
    </w:rPr>
  </w:style>
  <w:style w:type="paragraph" w:customStyle="1" w:styleId="3751">
    <w:name w:val="正文23"/>
    <w:basedOn w:val="3023"/>
    <w:qFormat/>
    <w:uiPriority w:val="0"/>
    <w:pPr>
      <w:tabs>
        <w:tab w:val="left" w:pos="360"/>
      </w:tabs>
      <w:adjustRightInd/>
      <w:snapToGrid/>
      <w:spacing w:after="0" w:line="240" w:lineRule="auto"/>
      <w:ind w:firstLine="250" w:firstLineChars="250"/>
      <w:jc w:val="center"/>
    </w:pPr>
    <w:rPr>
      <w:rFonts w:hAnsi="宋体" w:cs="Tahoma"/>
      <w:spacing w:val="0"/>
      <w:szCs w:val="24"/>
    </w:rPr>
  </w:style>
  <w:style w:type="paragraph" w:customStyle="1" w:styleId="3752">
    <w:name w:val="表内五中"/>
    <w:basedOn w:val="1"/>
    <w:qFormat/>
    <w:uiPriority w:val="0"/>
    <w:pPr>
      <w:tabs>
        <w:tab w:val="left" w:pos="-120"/>
      </w:tabs>
      <w:spacing w:before="60" w:line="310" w:lineRule="atLeast"/>
      <w:jc w:val="center"/>
    </w:pPr>
    <w:rPr>
      <w:rFonts w:eastAsia="宋体" w:cs="黑体"/>
      <w:spacing w:val="-2"/>
      <w:kern w:val="0"/>
    </w:rPr>
  </w:style>
  <w:style w:type="paragraph" w:customStyle="1" w:styleId="3753">
    <w:name w:val="样式 样式 标题 3 + 段前: 0.5 行 段后: 0.5 行 + 宋体 段前: 0.5 行 段后: 0.5 行"/>
    <w:basedOn w:val="1"/>
    <w:qFormat/>
    <w:uiPriority w:val="0"/>
    <w:pPr>
      <w:keepNext/>
      <w:keepLines/>
      <w:tabs>
        <w:tab w:val="left" w:pos="851"/>
        <w:tab w:val="left" w:pos="1080"/>
      </w:tabs>
      <w:spacing w:before="156" w:after="156" w:line="360" w:lineRule="auto"/>
      <w:ind w:left="864" w:hanging="425"/>
      <w:outlineLvl w:val="3"/>
    </w:pPr>
    <w:rPr>
      <w:rFonts w:ascii="宋体" w:hAnsi="宋体" w:eastAsia="宋体" w:cs="黑体"/>
      <w:spacing w:val="-2"/>
      <w:kern w:val="0"/>
      <w:sz w:val="24"/>
    </w:rPr>
  </w:style>
  <w:style w:type="paragraph" w:customStyle="1" w:styleId="3754">
    <w:name w:val="样式 标题 2 + 首行缩进:  0 字符"/>
    <w:basedOn w:val="4"/>
    <w:qFormat/>
    <w:uiPriority w:val="0"/>
    <w:pPr>
      <w:keepLines w:val="0"/>
      <w:tabs>
        <w:tab w:val="left" w:pos="1476"/>
        <w:tab w:val="clear" w:pos="567"/>
      </w:tabs>
      <w:adjustRightInd w:val="0"/>
      <w:snapToGrid w:val="0"/>
      <w:spacing w:before="0" w:beforeLines="10" w:after="0" w:line="360" w:lineRule="auto"/>
      <w:ind w:left="840" w:firstLine="200" w:firstLineChars="200"/>
    </w:pPr>
    <w:rPr>
      <w:rFonts w:hAnsi="宋体" w:cs="宋体"/>
      <w:b/>
      <w:bCs/>
      <w:spacing w:val="-2"/>
      <w:kern w:val="0"/>
      <w:szCs w:val="32"/>
    </w:rPr>
  </w:style>
  <w:style w:type="paragraph" w:customStyle="1" w:styleId="3755">
    <w:name w:val="样式 目录 2 + 左侧:  2 字符 首行缩进:  2 字符5"/>
    <w:basedOn w:val="75"/>
    <w:qFormat/>
    <w:uiPriority w:val="0"/>
    <w:pPr>
      <w:tabs>
        <w:tab w:val="left" w:pos="840"/>
        <w:tab w:val="right" w:leader="dot" w:pos="9060"/>
        <w:tab w:val="clear" w:pos="1120"/>
        <w:tab w:val="clear" w:pos="8767"/>
      </w:tabs>
      <w:spacing w:line="240" w:lineRule="auto"/>
      <w:ind w:left="480" w:firstLine="200" w:firstLineChars="200"/>
      <w:jc w:val="both"/>
    </w:pPr>
    <w:rPr>
      <w:rFonts w:ascii="Times New Roman" w:hAnsi="Times New Roman" w:cs="宋体"/>
      <w:b/>
      <w:smallCaps w:val="0"/>
      <w:spacing w:val="-2"/>
      <w:kern w:val="0"/>
      <w:szCs w:val="21"/>
    </w:rPr>
  </w:style>
  <w:style w:type="paragraph" w:customStyle="1" w:styleId="3756">
    <w:name w:val="样式 标题 + 段前: 0.5 行 段后: 0.5 行"/>
    <w:basedOn w:val="85"/>
    <w:qFormat/>
    <w:uiPriority w:val="0"/>
    <w:pPr>
      <w:keepNext w:val="0"/>
      <w:keepLines w:val="0"/>
      <w:tabs>
        <w:tab w:val="clear" w:pos="1080"/>
        <w:tab w:val="clear" w:pos="1789"/>
      </w:tabs>
      <w:spacing w:before="0" w:after="0" w:line="240" w:lineRule="auto"/>
      <w:jc w:val="center"/>
      <w:outlineLvl w:val="0"/>
    </w:pPr>
    <w:rPr>
      <w:rFonts w:ascii="Arial" w:hAnsi="Arial" w:cs="宋体"/>
      <w:bCs w:val="0"/>
      <w:color w:val="000000"/>
      <w:sz w:val="30"/>
      <w:szCs w:val="30"/>
    </w:rPr>
  </w:style>
  <w:style w:type="paragraph" w:customStyle="1" w:styleId="3757">
    <w:name w:val="w745"/>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58">
    <w:name w:val="lemma-top-link"/>
    <w:basedOn w:val="1"/>
    <w:qFormat/>
    <w:uiPriority w:val="0"/>
    <w:pPr>
      <w:widowControl/>
      <w:spacing w:before="165" w:after="100" w:afterAutospacing="1" w:line="165" w:lineRule="atLeast"/>
      <w:ind w:right="120"/>
      <w:jc w:val="left"/>
    </w:pPr>
    <w:rPr>
      <w:rFonts w:ascii="宋体" w:hAnsi="Calibri" w:eastAsia="宋体" w:cs="宋体"/>
      <w:spacing w:val="-2"/>
      <w:kern w:val="0"/>
      <w:sz w:val="18"/>
      <w:szCs w:val="18"/>
      <w:u w:val="single"/>
    </w:rPr>
  </w:style>
  <w:style w:type="paragraph" w:customStyle="1" w:styleId="3759">
    <w:name w:val="作者、页码、日期"/>
    <w:qFormat/>
    <w:uiPriority w:val="0"/>
    <w:pPr>
      <w:widowControl w:val="0"/>
      <w:jc w:val="both"/>
    </w:pPr>
    <w:rPr>
      <w:rFonts w:ascii="Times New Roman" w:hAnsi="Times New Roman" w:eastAsia="宋体" w:cs="Times New Roman"/>
      <w:lang w:val="en-US" w:eastAsia="zh-CN" w:bidi="ar-SA"/>
    </w:rPr>
  </w:style>
  <w:style w:type="paragraph" w:customStyle="1" w:styleId="3760">
    <w:name w:val="目录1"/>
    <w:basedOn w:val="1"/>
    <w:qFormat/>
    <w:uiPriority w:val="0"/>
    <w:pPr>
      <w:widowControl/>
      <w:tabs>
        <w:tab w:val="left" w:leader="dot" w:pos="8503"/>
      </w:tabs>
      <w:spacing w:after="136" w:line="289" w:lineRule="atLeast"/>
      <w:jc w:val="left"/>
    </w:pPr>
    <w:rPr>
      <w:rFonts w:ascii="Arial" w:eastAsia="黑体" w:cs="黑体"/>
      <w:color w:val="000000"/>
      <w:spacing w:val="-2"/>
      <w:kern w:val="0"/>
      <w:u w:color="000000"/>
    </w:rPr>
  </w:style>
  <w:style w:type="paragraph" w:customStyle="1" w:styleId="3761">
    <w:name w:val="条题"/>
    <w:basedOn w:val="5"/>
    <w:next w:val="5"/>
    <w:qFormat/>
    <w:uiPriority w:val="0"/>
    <w:pPr>
      <w:tabs>
        <w:tab w:val="left" w:pos="360"/>
      </w:tabs>
      <w:spacing w:line="240" w:lineRule="auto"/>
      <w:ind w:left="360" w:hanging="360"/>
    </w:pPr>
    <w:rPr>
      <w:rFonts w:hint="eastAsia" w:ascii="Calibri" w:hAnsi="Calibri"/>
      <w:bCs/>
      <w:spacing w:val="0"/>
      <w:sz w:val="28"/>
      <w:szCs w:val="22"/>
    </w:rPr>
  </w:style>
  <w:style w:type="paragraph" w:customStyle="1" w:styleId="3762">
    <w:name w:val="表样式1"/>
    <w:basedOn w:val="1"/>
    <w:qFormat/>
    <w:uiPriority w:val="0"/>
    <w:pPr>
      <w:spacing w:line="340" w:lineRule="exact"/>
      <w:ind w:right="-131" w:rightChars="-131"/>
      <w:jc w:val="center"/>
    </w:pPr>
    <w:rPr>
      <w:rFonts w:eastAsia="宋体" w:cs="黑体"/>
      <w:spacing w:val="-2"/>
      <w:kern w:val="0"/>
      <w:szCs w:val="21"/>
    </w:rPr>
  </w:style>
  <w:style w:type="paragraph" w:customStyle="1" w:styleId="3763">
    <w:name w:val="表头编号"/>
    <w:basedOn w:val="1"/>
    <w:qFormat/>
    <w:uiPriority w:val="0"/>
    <w:pPr>
      <w:adjustRightInd w:val="0"/>
      <w:snapToGrid w:val="0"/>
      <w:ind w:right="-1" w:rightChars="-1" w:firstLine="200" w:firstLineChars="200"/>
      <w:jc w:val="center"/>
    </w:pPr>
    <w:rPr>
      <w:rFonts w:ascii="宋体" w:hAnsi="Calibri" w:eastAsia="宋体" w:cs="黑体"/>
      <w:color w:val="000000"/>
      <w:spacing w:val="-2"/>
      <w:kern w:val="0"/>
      <w:sz w:val="24"/>
    </w:rPr>
  </w:style>
  <w:style w:type="paragraph" w:customStyle="1" w:styleId="3764">
    <w:name w:val="样式 标题 3 + 首行缩进:  2 字符 段前: 8.15 磅 段后: 8.15 磅"/>
    <w:basedOn w:val="6"/>
    <w:qFormat/>
    <w:uiPriority w:val="0"/>
    <w:pPr>
      <w:tabs>
        <w:tab w:val="left" w:pos="1022"/>
        <w:tab w:val="left" w:pos="1080"/>
        <w:tab w:val="clear" w:pos="1789"/>
      </w:tabs>
      <w:spacing w:before="163" w:after="163" w:line="240" w:lineRule="atLeast"/>
      <w:ind w:left="1260" w:firstLine="482" w:firstLineChars="200"/>
      <w:jc w:val="left"/>
    </w:pPr>
    <w:rPr>
      <w:rFonts w:hint="eastAsia" w:ascii="Arial Unicode MS" w:hAnsi="Arial Unicode MS" w:eastAsia="宋体" w:cs="宋体"/>
      <w:i/>
      <w:iCs/>
      <w:color w:val="000000"/>
      <w:spacing w:val="-2"/>
      <w:szCs w:val="24"/>
    </w:rPr>
  </w:style>
  <w:style w:type="paragraph" w:customStyle="1" w:styleId="3765">
    <w:name w:val="样式 样式 小四 行距: 1.5 倍行距 首行缩进:  2 字符1 + 首行缩进:  2 字符1"/>
    <w:basedOn w:val="1"/>
    <w:qFormat/>
    <w:uiPriority w:val="0"/>
    <w:pPr>
      <w:ind w:firstLine="200" w:firstLineChars="200"/>
    </w:pPr>
    <w:rPr>
      <w:rFonts w:eastAsia="宋体" w:cs="宋体"/>
      <w:spacing w:val="-2"/>
      <w:kern w:val="0"/>
      <w:sz w:val="24"/>
    </w:rPr>
  </w:style>
  <w:style w:type="paragraph" w:customStyle="1" w:styleId="3766">
    <w:name w:val="标题4－0909"/>
    <w:basedOn w:val="7"/>
    <w:qFormat/>
    <w:uiPriority w:val="0"/>
    <w:pPr>
      <w:keepNext w:val="0"/>
      <w:keepLines w:val="0"/>
      <w:tabs>
        <w:tab w:val="left" w:pos="864"/>
        <w:tab w:val="left" w:pos="2153"/>
        <w:tab w:val="clear" w:pos="4008"/>
      </w:tabs>
      <w:adjustRightInd w:val="0"/>
      <w:snapToGrid w:val="0"/>
      <w:spacing w:before="240" w:after="120" w:line="360" w:lineRule="exact"/>
      <w:ind w:left="851" w:hanging="851"/>
      <w:jc w:val="left"/>
    </w:pPr>
    <w:rPr>
      <w:rFonts w:ascii="Times New Roman" w:hAnsi="Times New Roman" w:eastAsia="宋体"/>
      <w:bCs/>
      <w:color w:val="auto"/>
      <w:spacing w:val="-2"/>
      <w:kern w:val="0"/>
    </w:rPr>
  </w:style>
  <w:style w:type="paragraph" w:customStyle="1" w:styleId="3767">
    <w:name w:val="样式 正文首行缩进 2 + 首行缩进:  2 字符1"/>
    <w:basedOn w:val="87"/>
    <w:qFormat/>
    <w:uiPriority w:val="0"/>
    <w:pPr>
      <w:spacing w:line="360" w:lineRule="auto"/>
      <w:ind w:left="0" w:leftChars="0" w:firstLine="200"/>
    </w:pPr>
    <w:rPr>
      <w:rFonts w:ascii="宋体" w:hAnsi="宋体" w:eastAsia="宋体" w:cs="宋体"/>
      <w:sz w:val="24"/>
    </w:rPr>
  </w:style>
  <w:style w:type="paragraph" w:customStyle="1" w:styleId="3768">
    <w:name w:val="久不通函，至以为念。"/>
    <w:qFormat/>
    <w:uiPriority w:val="0"/>
    <w:pPr>
      <w:widowControl w:val="0"/>
      <w:jc w:val="both"/>
    </w:pPr>
    <w:rPr>
      <w:rFonts w:ascii="Times New Roman" w:hAnsi="Times New Roman" w:eastAsia="宋体" w:cs="Times New Roman"/>
      <w:lang w:val="en-US" w:eastAsia="zh-CN" w:bidi="ar-SA"/>
    </w:rPr>
  </w:style>
  <w:style w:type="paragraph" w:customStyle="1" w:styleId="3769">
    <w:name w:val="备注"/>
    <w:basedOn w:val="1"/>
    <w:qFormat/>
    <w:uiPriority w:val="0"/>
    <w:pPr>
      <w:tabs>
        <w:tab w:val="left" w:pos="547"/>
        <w:tab w:val="left" w:pos="1080"/>
      </w:tabs>
      <w:spacing w:line="400" w:lineRule="atLeast"/>
    </w:pPr>
    <w:rPr>
      <w:rFonts w:eastAsia="宋体" w:cs="黑体"/>
      <w:spacing w:val="-2"/>
      <w:kern w:val="0"/>
      <w:sz w:val="24"/>
      <w:szCs w:val="21"/>
    </w:rPr>
  </w:style>
  <w:style w:type="paragraph" w:customStyle="1" w:styleId="3770">
    <w:name w:val="Char15"/>
    <w:basedOn w:val="1"/>
    <w:qFormat/>
    <w:uiPriority w:val="0"/>
    <w:rPr>
      <w:rFonts w:eastAsia="宋体" w:cs="黑体"/>
      <w:spacing w:val="-2"/>
      <w:kern w:val="0"/>
    </w:rPr>
  </w:style>
  <w:style w:type="paragraph" w:customStyle="1" w:styleId="3771">
    <w:name w:val="lemma-relation-odd"/>
    <w:basedOn w:val="1"/>
    <w:qFormat/>
    <w:uiPriority w:val="0"/>
    <w:pPr>
      <w:widowControl/>
      <w:spacing w:before="100" w:beforeAutospacing="1" w:after="100" w:afterAutospacing="1" w:line="450" w:lineRule="atLeast"/>
      <w:jc w:val="left"/>
    </w:pPr>
    <w:rPr>
      <w:rFonts w:ascii="宋体" w:hAnsi="Calibri" w:eastAsia="宋体" w:cs="宋体"/>
      <w:spacing w:val="-2"/>
      <w:kern w:val="0"/>
      <w:sz w:val="24"/>
      <w:szCs w:val="21"/>
    </w:rPr>
  </w:style>
  <w:style w:type="paragraph" w:customStyle="1" w:styleId="3772">
    <w:name w:val="Char Char1 Char Char Char Char Char Char Char4"/>
    <w:basedOn w:val="1"/>
    <w:qFormat/>
    <w:uiPriority w:val="0"/>
    <w:rPr>
      <w:rFonts w:eastAsia="宋体" w:cs="黑体"/>
      <w:spacing w:val="-2"/>
      <w:kern w:val="0"/>
    </w:rPr>
  </w:style>
  <w:style w:type="paragraph" w:customStyle="1" w:styleId="3773">
    <w:name w:val="标题 3，第三标题"/>
    <w:basedOn w:val="1"/>
    <w:qFormat/>
    <w:uiPriority w:val="0"/>
    <w:pPr>
      <w:tabs>
        <w:tab w:val="left" w:pos="628"/>
        <w:tab w:val="left" w:pos="1727"/>
        <w:tab w:val="left" w:pos="1820"/>
        <w:tab w:val="left" w:pos="1884"/>
        <w:tab w:val="left" w:pos="2660"/>
        <w:tab w:val="left" w:pos="5460"/>
      </w:tabs>
      <w:snapToGrid w:val="0"/>
      <w:spacing w:beforeLines="50" w:line="440" w:lineRule="exact"/>
      <w:ind w:left="1820" w:hanging="420"/>
      <w:jc w:val="left"/>
      <w:outlineLvl w:val="2"/>
    </w:pPr>
    <w:rPr>
      <w:rFonts w:eastAsia="黑体" w:cs="宋体"/>
      <w:spacing w:val="-2"/>
      <w:kern w:val="0"/>
      <w:sz w:val="24"/>
    </w:rPr>
  </w:style>
  <w:style w:type="paragraph" w:customStyle="1" w:styleId="3774">
    <w:name w:val="box2-inner1"/>
    <w:basedOn w:val="1"/>
    <w:qFormat/>
    <w:uiPriority w:val="0"/>
    <w:pPr>
      <w:widowControl/>
      <w:pBdr>
        <w:top w:val="single" w:color="CCE0EE" w:sz="6" w:space="5"/>
        <w:left w:val="single" w:color="CCE0EE" w:sz="6" w:space="9"/>
        <w:bottom w:val="single" w:color="CCE0EE" w:sz="6" w:space="9"/>
        <w:right w:val="single" w:color="CCE0EE" w:sz="6" w:space="5"/>
      </w:pBdr>
      <w:shd w:val="clear" w:color="auto" w:fill="FFFFFF"/>
      <w:spacing w:before="100" w:beforeAutospacing="1" w:after="100" w:afterAutospacing="1"/>
      <w:jc w:val="left"/>
    </w:pPr>
    <w:rPr>
      <w:rFonts w:ascii="宋体" w:hAnsi="Calibri" w:eastAsia="宋体" w:cs="宋体"/>
      <w:spacing w:val="-2"/>
      <w:kern w:val="0"/>
      <w:sz w:val="24"/>
      <w:szCs w:val="21"/>
    </w:rPr>
  </w:style>
  <w:style w:type="paragraph" w:customStyle="1" w:styleId="3775">
    <w:name w:val="列表标题"/>
    <w:basedOn w:val="1"/>
    <w:next w:val="1"/>
    <w:qFormat/>
    <w:uiPriority w:val="0"/>
    <w:pPr>
      <w:jc w:val="center"/>
    </w:pPr>
    <w:rPr>
      <w:rFonts w:eastAsia="宋体" w:cs="黑体"/>
      <w:spacing w:val="-2"/>
      <w:kern w:val="0"/>
      <w:sz w:val="24"/>
    </w:rPr>
  </w:style>
  <w:style w:type="paragraph" w:customStyle="1" w:styleId="3776">
    <w:name w:val="tem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77">
    <w:name w:val="我的样式"/>
    <w:basedOn w:val="1"/>
    <w:qFormat/>
    <w:uiPriority w:val="0"/>
    <w:pPr>
      <w:ind w:firstLine="230" w:firstLineChars="230"/>
    </w:pPr>
    <w:rPr>
      <w:rFonts w:eastAsia="宋体" w:cs="黑体"/>
      <w:spacing w:val="-2"/>
      <w:kern w:val="0"/>
      <w:sz w:val="24"/>
    </w:rPr>
  </w:style>
  <w:style w:type="paragraph" w:customStyle="1" w:styleId="3778">
    <w:name w:val="样式 标题 3 + 小四 非加粗 段前: 2.4 磅 段后: 2.4 磅 行距: 多倍行距 1.72 字行"/>
    <w:basedOn w:val="7"/>
    <w:qFormat/>
    <w:uiPriority w:val="0"/>
    <w:pPr>
      <w:tabs>
        <w:tab w:val="left" w:pos="1680"/>
        <w:tab w:val="left" w:pos="2153"/>
        <w:tab w:val="clear" w:pos="4008"/>
      </w:tabs>
      <w:spacing w:before="48" w:after="48" w:line="408" w:lineRule="auto"/>
      <w:ind w:left="0" w:firstLine="0"/>
      <w:jc w:val="both"/>
    </w:pPr>
    <w:rPr>
      <w:rFonts w:ascii="Cambria" w:hAnsi="Cambria" w:eastAsia="Times New Roman" w:cs="宋体"/>
      <w:color w:val="auto"/>
      <w:spacing w:val="-2"/>
      <w:szCs w:val="24"/>
    </w:rPr>
  </w:style>
  <w:style w:type="paragraph" w:customStyle="1" w:styleId="3779">
    <w:name w:val="1-1-1"/>
    <w:basedOn w:val="1"/>
    <w:qFormat/>
    <w:uiPriority w:val="0"/>
    <w:pPr>
      <w:ind w:firstLine="420"/>
    </w:pPr>
    <w:rPr>
      <w:rFonts w:eastAsia="宋体" w:cs="黑体"/>
      <w:color w:val="FF0000"/>
      <w:spacing w:val="-2"/>
      <w:kern w:val="0"/>
      <w:sz w:val="24"/>
    </w:rPr>
  </w:style>
  <w:style w:type="paragraph" w:customStyle="1" w:styleId="3780">
    <w:name w:val="样式 红色 首行缩进:  2 字符"/>
    <w:basedOn w:val="1"/>
    <w:qFormat/>
    <w:uiPriority w:val="0"/>
    <w:pPr>
      <w:spacing w:line="480" w:lineRule="exact"/>
      <w:ind w:firstLine="200" w:firstLineChars="200"/>
    </w:pPr>
    <w:rPr>
      <w:rFonts w:eastAsia="宋体" w:cs="黑体"/>
      <w:color w:val="FF0000"/>
      <w:spacing w:val="-2"/>
      <w:kern w:val="0"/>
      <w:sz w:val="24"/>
    </w:rPr>
  </w:style>
  <w:style w:type="paragraph" w:customStyle="1" w:styleId="3781">
    <w:name w:val="样式 小三 加粗 居中"/>
    <w:basedOn w:val="85"/>
    <w:qFormat/>
    <w:uiPriority w:val="0"/>
    <w:pPr>
      <w:keepNext w:val="0"/>
      <w:keepLines w:val="0"/>
      <w:tabs>
        <w:tab w:val="clear" w:pos="1080"/>
        <w:tab w:val="clear" w:pos="1789"/>
      </w:tabs>
      <w:spacing w:before="240" w:after="60" w:line="240" w:lineRule="auto"/>
      <w:jc w:val="center"/>
      <w:outlineLvl w:val="0"/>
    </w:pPr>
    <w:rPr>
      <w:rFonts w:ascii="Arial" w:hAnsi="Arial" w:eastAsia="宋体" w:cs="宋体"/>
      <w:color w:val="000000"/>
      <w:sz w:val="32"/>
      <w:szCs w:val="20"/>
    </w:rPr>
  </w:style>
  <w:style w:type="paragraph" w:customStyle="1" w:styleId="3782">
    <w:name w:val="表内文"/>
    <w:basedOn w:val="5"/>
    <w:qFormat/>
    <w:uiPriority w:val="0"/>
    <w:pPr>
      <w:spacing w:beforeLines="10" w:line="240" w:lineRule="auto"/>
      <w:ind w:firstLine="0"/>
      <w:jc w:val="center"/>
    </w:pPr>
    <w:rPr>
      <w:rFonts w:hint="eastAsia" w:ascii="新宋体" w:hAnsi="Calibri" w:eastAsia="新宋体"/>
      <w:spacing w:val="1"/>
      <w:w w:val="90"/>
      <w:sz w:val="22"/>
      <w:szCs w:val="16"/>
    </w:rPr>
  </w:style>
  <w:style w:type="paragraph" w:customStyle="1" w:styleId="3783">
    <w:name w:val="editable-lemma"/>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84">
    <w:name w:val="样式 标题 5 +"/>
    <w:basedOn w:val="1"/>
    <w:qFormat/>
    <w:uiPriority w:val="0"/>
    <w:pPr>
      <w:tabs>
        <w:tab w:val="left" w:pos="900"/>
      </w:tabs>
      <w:ind w:left="900" w:hanging="420"/>
    </w:pPr>
    <w:rPr>
      <w:rFonts w:eastAsia="宋体" w:cs="黑体"/>
      <w:spacing w:val="-2"/>
      <w:kern w:val="0"/>
      <w:sz w:val="24"/>
    </w:rPr>
  </w:style>
  <w:style w:type="paragraph" w:customStyle="1" w:styleId="3785">
    <w:name w:val="样式 标题 3 + 段前: 6 磅 段后: 0 磅2"/>
    <w:basedOn w:val="6"/>
    <w:qFormat/>
    <w:uiPriority w:val="0"/>
    <w:pPr>
      <w:tabs>
        <w:tab w:val="left" w:pos="180"/>
        <w:tab w:val="left" w:pos="1022"/>
        <w:tab w:val="left" w:pos="1080"/>
        <w:tab w:val="clear" w:pos="1789"/>
      </w:tabs>
      <w:autoSpaceDE w:val="0"/>
      <w:autoSpaceDN w:val="0"/>
      <w:adjustRightInd w:val="0"/>
      <w:spacing w:before="0" w:beforeLines="50" w:after="0" w:line="300" w:lineRule="auto"/>
      <w:ind w:left="357" w:right="100" w:rightChars="100" w:hanging="357"/>
    </w:pPr>
    <w:rPr>
      <w:rFonts w:hint="eastAsia" w:ascii="宋体" w:hAnsi="Arial Unicode MS" w:eastAsia="宋体" w:cs="Century"/>
      <w:bCs w:val="0"/>
      <w:i/>
      <w:iCs/>
      <w:color w:val="000000"/>
      <w:spacing w:val="8"/>
      <w:sz w:val="28"/>
    </w:rPr>
  </w:style>
  <w:style w:type="paragraph" w:customStyle="1" w:styleId="3786">
    <w:name w:val="表名、图名"/>
    <w:basedOn w:val="1"/>
    <w:next w:val="1"/>
    <w:qFormat/>
    <w:uiPriority w:val="0"/>
    <w:pPr>
      <w:spacing w:line="360" w:lineRule="auto"/>
      <w:jc w:val="center"/>
    </w:pPr>
    <w:rPr>
      <w:rFonts w:eastAsia="黑体" w:cs="黑体"/>
      <w:spacing w:val="-2"/>
      <w:kern w:val="0"/>
      <w:sz w:val="24"/>
    </w:rPr>
  </w:style>
  <w:style w:type="paragraph" w:customStyle="1" w:styleId="3787">
    <w:name w:val="hd"/>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88">
    <w:name w:val="Date1"/>
    <w:basedOn w:val="1"/>
    <w:next w:val="1"/>
    <w:qFormat/>
    <w:uiPriority w:val="0"/>
    <w:pPr>
      <w:autoSpaceDE w:val="0"/>
      <w:autoSpaceDN w:val="0"/>
      <w:adjustRightInd w:val="0"/>
    </w:pPr>
    <w:rPr>
      <w:rFonts w:eastAsia="宋体" w:cs="黑体"/>
      <w:spacing w:val="5"/>
      <w:kern w:val="0"/>
      <w:sz w:val="24"/>
    </w:rPr>
  </w:style>
  <w:style w:type="paragraph" w:customStyle="1" w:styleId="3789">
    <w:name w:val="样式 标题 2节SeHead wsa2H21标题 1.1Chapter TitleChapter节标题 1.1..."/>
    <w:basedOn w:val="4"/>
    <w:qFormat/>
    <w:uiPriority w:val="0"/>
    <w:pPr>
      <w:tabs>
        <w:tab w:val="left" w:pos="540"/>
        <w:tab w:val="left" w:pos="1476"/>
        <w:tab w:val="left" w:pos="2040"/>
        <w:tab w:val="clear" w:pos="567"/>
      </w:tabs>
      <w:adjustRightInd w:val="0"/>
      <w:snapToGrid w:val="0"/>
      <w:spacing w:before="0" w:beforeLines="50" w:after="0" w:line="360" w:lineRule="auto"/>
      <w:ind w:left="840" w:hanging="420"/>
      <w:jc w:val="left"/>
    </w:pPr>
    <w:rPr>
      <w:rFonts w:ascii="宋体" w:hAnsi="Arial Unicode MS" w:eastAsia="宋体" w:cs="宋体"/>
      <w:b/>
      <w:bCs/>
      <w:spacing w:val="-2"/>
      <w:kern w:val="0"/>
    </w:rPr>
  </w:style>
  <w:style w:type="paragraph" w:customStyle="1" w:styleId="3790">
    <w:name w:val="Char1 Char Char Char Char Char Char1 Char Char Char"/>
    <w:basedOn w:val="1"/>
    <w:qFormat/>
    <w:uiPriority w:val="0"/>
    <w:pPr>
      <w:ind w:firstLine="200" w:firstLineChars="200"/>
    </w:pPr>
    <w:rPr>
      <w:rFonts w:ascii="宋体" w:hAnsi="Calibri" w:eastAsia="宋体" w:cs="宋体"/>
      <w:spacing w:val="-2"/>
      <w:kern w:val="0"/>
      <w:sz w:val="24"/>
    </w:rPr>
  </w:style>
  <w:style w:type="paragraph" w:customStyle="1" w:styleId="3791">
    <w:name w:val="河，表后"/>
    <w:basedOn w:val="1"/>
    <w:qFormat/>
    <w:uiPriority w:val="0"/>
    <w:pPr>
      <w:spacing w:line="240" w:lineRule="exact"/>
      <w:ind w:firstLine="480" w:firstLineChars="200"/>
    </w:pPr>
    <w:rPr>
      <w:rFonts w:ascii="ˎ̥" w:hAnsi="ˎ̥" w:eastAsia="宋体" w:cs="黑体"/>
      <w:bCs/>
      <w:color w:val="000000"/>
      <w:spacing w:val="-2"/>
      <w:kern w:val="0"/>
      <w:sz w:val="24"/>
    </w:rPr>
  </w:style>
  <w:style w:type="paragraph" w:customStyle="1" w:styleId="3792">
    <w:name w:val="CM46"/>
    <w:basedOn w:val="762"/>
    <w:next w:val="762"/>
    <w:qFormat/>
    <w:uiPriority w:val="0"/>
    <w:pPr>
      <w:spacing w:line="500" w:lineRule="atLeast"/>
    </w:pPr>
    <w:rPr>
      <w:rFonts w:ascii="仿宋_GB2312" w:hAnsi="Calibri" w:eastAsia="仿宋_GB2312"/>
      <w:kern w:val="2"/>
      <w:sz w:val="24"/>
    </w:rPr>
  </w:style>
  <w:style w:type="paragraph" w:customStyle="1" w:styleId="3793">
    <w:name w:val="wtext"/>
    <w:basedOn w:val="1"/>
    <w:qFormat/>
    <w:uiPriority w:val="0"/>
    <w:pPr>
      <w:snapToGrid w:val="0"/>
      <w:spacing w:before="100" w:beforeAutospacing="1" w:after="100" w:afterAutospacing="1"/>
    </w:pPr>
    <w:rPr>
      <w:rFonts w:ascii="Arial Unicode MS" w:hAnsi="Arial Unicode MS" w:eastAsia="Arial Unicode MS" w:cs="黑体"/>
      <w:spacing w:val="-2"/>
      <w:kern w:val="0"/>
      <w:sz w:val="24"/>
      <w:szCs w:val="28"/>
    </w:rPr>
  </w:style>
  <w:style w:type="paragraph" w:customStyle="1" w:styleId="3794">
    <w:name w:val="样式 标题 3标题 13标题 3 Char1 Char Char Char标题 31ReHead 3 WSAh3B...1"/>
    <w:basedOn w:val="6"/>
    <w:qFormat/>
    <w:uiPriority w:val="0"/>
    <w:pPr>
      <w:tabs>
        <w:tab w:val="left" w:pos="1022"/>
        <w:tab w:val="left" w:pos="1080"/>
        <w:tab w:val="clear" w:pos="1789"/>
      </w:tabs>
      <w:adjustRightInd w:val="0"/>
      <w:snapToGrid w:val="0"/>
      <w:spacing w:before="249" w:after="62" w:line="360" w:lineRule="auto"/>
      <w:ind w:left="1260" w:hanging="420"/>
      <w:jc w:val="left"/>
    </w:pPr>
    <w:rPr>
      <w:rFonts w:hint="eastAsia" w:ascii="宋体" w:hAnsi="宋体" w:eastAsia="宋体" w:cs="宋体"/>
      <w:bCs w:val="0"/>
      <w:i/>
      <w:iCs/>
      <w:color w:val="000000"/>
      <w:spacing w:val="-2"/>
      <w:lang w:val="zh-CN"/>
    </w:rPr>
  </w:style>
  <w:style w:type="paragraph" w:customStyle="1" w:styleId="3795">
    <w:name w:val="8 Char1"/>
    <w:basedOn w:val="1"/>
    <w:qFormat/>
    <w:uiPriority w:val="0"/>
    <w:pPr>
      <w:ind w:firstLine="480"/>
    </w:pPr>
    <w:rPr>
      <w:rFonts w:eastAsia="宋体" w:cs="黑体"/>
      <w:spacing w:val="-2"/>
      <w:kern w:val="10"/>
      <w:sz w:val="24"/>
    </w:rPr>
  </w:style>
  <w:style w:type="paragraph" w:customStyle="1" w:styleId="3796">
    <w:name w:val="ac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797">
    <w:name w:val="样式 宋体 四号 首行缩进:  2 字符"/>
    <w:basedOn w:val="1"/>
    <w:qFormat/>
    <w:uiPriority w:val="0"/>
    <w:pPr>
      <w:ind w:firstLine="200" w:firstLineChars="200"/>
    </w:pPr>
    <w:rPr>
      <w:rFonts w:eastAsia="宋体" w:cs="黑体"/>
      <w:spacing w:val="-2"/>
      <w:kern w:val="0"/>
      <w:sz w:val="26"/>
      <w:szCs w:val="26"/>
    </w:rPr>
  </w:style>
  <w:style w:type="paragraph" w:customStyle="1" w:styleId="3798">
    <w:name w:val="附件名"/>
    <w:basedOn w:val="1"/>
    <w:qFormat/>
    <w:uiPriority w:val="0"/>
    <w:pPr>
      <w:spacing w:before="120" w:after="120" w:line="480" w:lineRule="exact"/>
      <w:jc w:val="center"/>
    </w:pPr>
    <w:rPr>
      <w:rFonts w:eastAsia="宋体" w:cs="黑体"/>
      <w:spacing w:val="-2"/>
      <w:kern w:val="0"/>
      <w:sz w:val="32"/>
    </w:rPr>
  </w:style>
  <w:style w:type="paragraph" w:customStyle="1" w:styleId="3799">
    <w:name w:val="Char Char Char Char Char Char Char4"/>
    <w:basedOn w:val="1"/>
    <w:qFormat/>
    <w:uiPriority w:val="0"/>
    <w:rPr>
      <w:rFonts w:eastAsia="宋体" w:cs="黑体"/>
      <w:spacing w:val="-2"/>
      <w:kern w:val="0"/>
      <w:sz w:val="30"/>
      <w:szCs w:val="30"/>
    </w:rPr>
  </w:style>
  <w:style w:type="paragraph" w:customStyle="1" w:styleId="3800">
    <w:name w:val="表列"/>
    <w:basedOn w:val="1"/>
    <w:qFormat/>
    <w:uiPriority w:val="0"/>
    <w:pPr>
      <w:adjustRightInd w:val="0"/>
      <w:spacing w:line="240" w:lineRule="atLeast"/>
    </w:pPr>
    <w:rPr>
      <w:rFonts w:eastAsia="宋体" w:cs="黑体"/>
      <w:spacing w:val="-2"/>
      <w:kern w:val="0"/>
      <w:sz w:val="24"/>
    </w:rPr>
  </w:style>
  <w:style w:type="paragraph" w:customStyle="1" w:styleId="3801">
    <w:name w:val="样式 标题 5 + 行距: 固定值 25 磅"/>
    <w:basedOn w:val="8"/>
    <w:qFormat/>
    <w:uiPriority w:val="0"/>
    <w:pPr>
      <w:keepNext w:val="0"/>
      <w:keepLines w:val="0"/>
      <w:tabs>
        <w:tab w:val="left" w:pos="0"/>
      </w:tabs>
      <w:spacing w:before="0" w:after="0" w:line="500" w:lineRule="exact"/>
      <w:ind w:left="2100" w:hanging="420"/>
      <w:jc w:val="left"/>
    </w:pPr>
    <w:rPr>
      <w:rFonts w:hint="eastAsia" w:ascii="仿宋" w:hAnsi="仿宋" w:eastAsia="宋体" w:cs="宋体"/>
      <w:bCs w:val="0"/>
      <w:spacing w:val="-2"/>
      <w:sz w:val="28"/>
      <w:szCs w:val="20"/>
      <w:lang w:val="zh-CN"/>
    </w:rPr>
  </w:style>
  <w:style w:type="paragraph" w:customStyle="1" w:styleId="3802">
    <w:name w:val="小点"/>
    <w:qFormat/>
    <w:uiPriority w:val="0"/>
    <w:pPr>
      <w:tabs>
        <w:tab w:val="left" w:pos="840"/>
      </w:tabs>
      <w:adjustRightInd w:val="0"/>
      <w:snapToGrid w:val="0"/>
      <w:spacing w:line="360" w:lineRule="auto"/>
      <w:ind w:left="840" w:hanging="360"/>
    </w:pPr>
    <w:rPr>
      <w:rFonts w:ascii="宋体" w:hAnsi="宋体" w:eastAsia="宋体" w:cs="宋体"/>
      <w:sz w:val="24"/>
      <w:szCs w:val="24"/>
      <w:lang w:val="en-US" w:eastAsia="zh-CN" w:bidi="ar-SA"/>
    </w:rPr>
  </w:style>
  <w:style w:type="paragraph" w:customStyle="1" w:styleId="3803">
    <w:name w:val="样式 标题 3 + 首行缩进:  2 字符 段前: 8.15 磅 段后: 8.15 磅3"/>
    <w:basedOn w:val="6"/>
    <w:qFormat/>
    <w:uiPriority w:val="0"/>
    <w:pPr>
      <w:tabs>
        <w:tab w:val="left" w:pos="1022"/>
        <w:tab w:val="left" w:pos="1080"/>
        <w:tab w:val="clear" w:pos="1789"/>
      </w:tabs>
      <w:spacing w:before="163" w:after="163" w:line="240" w:lineRule="atLeast"/>
      <w:ind w:left="1260" w:hanging="420"/>
      <w:jc w:val="left"/>
    </w:pPr>
    <w:rPr>
      <w:rFonts w:hint="eastAsia" w:ascii="Arial Unicode MS" w:hAnsi="Arial Unicode MS" w:eastAsia="宋体" w:cs="宋体"/>
      <w:i/>
      <w:iCs/>
      <w:color w:val="000000"/>
      <w:spacing w:val="-2"/>
      <w:szCs w:val="24"/>
    </w:rPr>
  </w:style>
  <w:style w:type="paragraph" w:customStyle="1" w:styleId="3804">
    <w:name w:val="default"/>
    <w:basedOn w:val="1"/>
    <w:qFormat/>
    <w:uiPriority w:val="0"/>
    <w:pPr>
      <w:widowControl/>
      <w:spacing w:before="100" w:beforeAutospacing="1" w:after="100" w:afterAutospacing="1"/>
      <w:jc w:val="left"/>
    </w:pPr>
    <w:rPr>
      <w:rFonts w:ascii="宋体" w:hAnsi="宋体" w:eastAsia="宋体" w:cs="宋体"/>
      <w:spacing w:val="-2"/>
      <w:kern w:val="0"/>
      <w:sz w:val="24"/>
    </w:rPr>
  </w:style>
  <w:style w:type="paragraph" w:customStyle="1" w:styleId="3805">
    <w:name w:val="relation-uni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06">
    <w:name w:val="样式 标题 3 + 宋体 四号"/>
    <w:basedOn w:val="6"/>
    <w:qFormat/>
    <w:uiPriority w:val="0"/>
    <w:pPr>
      <w:tabs>
        <w:tab w:val="left" w:pos="1022"/>
        <w:tab w:val="left" w:pos="1080"/>
        <w:tab w:val="clear" w:pos="1789"/>
      </w:tabs>
      <w:spacing w:before="140" w:after="140" w:line="412" w:lineRule="auto"/>
      <w:ind w:left="1260" w:hanging="420"/>
    </w:pPr>
    <w:rPr>
      <w:rFonts w:hint="eastAsia" w:ascii="宋体" w:hAnsi="宋体" w:eastAsia="宋体" w:cs="宋体"/>
      <w:bCs w:val="0"/>
      <w:i/>
      <w:iCs/>
      <w:color w:val="000000"/>
      <w:spacing w:val="-2"/>
      <w:sz w:val="28"/>
      <w:szCs w:val="24"/>
    </w:rPr>
  </w:style>
  <w:style w:type="paragraph" w:customStyle="1" w:styleId="3807">
    <w:name w:val="数据来源"/>
    <w:qFormat/>
    <w:uiPriority w:val="0"/>
    <w:rPr>
      <w:rFonts w:ascii="Times New Roman" w:hAnsi="Times New Roman" w:eastAsia="宋体" w:cs="Times New Roman"/>
      <w:sz w:val="18"/>
      <w:lang w:val="en-US" w:eastAsia="zh-CN" w:bidi="ar-SA"/>
    </w:rPr>
  </w:style>
  <w:style w:type="paragraph" w:customStyle="1" w:styleId="3808">
    <w:name w:val="Char Char Char Char Char Char Char6"/>
    <w:basedOn w:val="1"/>
    <w:qFormat/>
    <w:uiPriority w:val="0"/>
    <w:rPr>
      <w:rFonts w:eastAsia="宋体" w:cs="黑体"/>
      <w:spacing w:val="-2"/>
      <w:kern w:val="0"/>
      <w:sz w:val="24"/>
    </w:rPr>
  </w:style>
  <w:style w:type="paragraph" w:customStyle="1" w:styleId="3809">
    <w:name w:val="表格内容紧"/>
    <w:basedOn w:val="1"/>
    <w:qFormat/>
    <w:uiPriority w:val="0"/>
    <w:pPr>
      <w:ind w:left="-50" w:leftChars="-50" w:right="-50" w:rightChars="-50" w:firstLine="200" w:firstLineChars="200"/>
      <w:jc w:val="center"/>
    </w:pPr>
    <w:rPr>
      <w:rFonts w:ascii="宋体" w:hAnsi="Calibri" w:eastAsia="宋体" w:cs="Arial"/>
      <w:spacing w:val="-2"/>
      <w:kern w:val="0"/>
      <w:sz w:val="24"/>
      <w:szCs w:val="21"/>
    </w:rPr>
  </w:style>
  <w:style w:type="paragraph" w:customStyle="1" w:styleId="3810">
    <w:name w:val="样式 样式 标题1 + 行距: 1.5 倍行距"/>
    <w:basedOn w:val="1"/>
    <w:qFormat/>
    <w:uiPriority w:val="0"/>
    <w:pPr>
      <w:keepNext/>
      <w:keepLines/>
      <w:tabs>
        <w:tab w:val="left" w:pos="360"/>
      </w:tabs>
      <w:spacing w:line="360" w:lineRule="auto"/>
      <w:ind w:left="360" w:hanging="360"/>
      <w:outlineLvl w:val="0"/>
    </w:pPr>
    <w:rPr>
      <w:rFonts w:eastAsia="黑体" w:cs="宋体"/>
      <w:b/>
      <w:bCs/>
      <w:spacing w:val="-2"/>
      <w:kern w:val="44"/>
      <w:sz w:val="30"/>
    </w:rPr>
  </w:style>
  <w:style w:type="paragraph" w:customStyle="1" w:styleId="3811">
    <w:name w:val="正文并列"/>
    <w:basedOn w:val="1"/>
    <w:next w:val="1"/>
    <w:qFormat/>
    <w:uiPriority w:val="0"/>
    <w:pPr>
      <w:spacing w:line="400" w:lineRule="exact"/>
      <w:ind w:firstLine="200" w:firstLineChars="200"/>
    </w:pPr>
    <w:rPr>
      <w:rFonts w:eastAsia="宋体" w:cs="黑体"/>
      <w:spacing w:val="-2"/>
      <w:kern w:val="0"/>
      <w:sz w:val="24"/>
    </w:rPr>
  </w:style>
  <w:style w:type="paragraph" w:customStyle="1" w:styleId="3812">
    <w:name w:val="表文YHY"/>
    <w:basedOn w:val="634"/>
    <w:next w:val="7"/>
    <w:qFormat/>
    <w:uiPriority w:val="0"/>
    <w:pPr>
      <w:widowControl/>
      <w:ind w:firstLine="0" w:firstLineChars="0"/>
      <w:jc w:val="center"/>
    </w:pPr>
    <w:rPr>
      <w:rFonts w:ascii="宋体" w:hAnsi="宋体" w:cs="宋体"/>
      <w:kern w:val="0"/>
      <w:sz w:val="21"/>
      <w:szCs w:val="21"/>
    </w:rPr>
  </w:style>
  <w:style w:type="paragraph" w:customStyle="1" w:styleId="3813">
    <w:name w:val="样式 小四 行距: 固定值 23 磅"/>
    <w:basedOn w:val="1"/>
    <w:qFormat/>
    <w:uiPriority w:val="0"/>
    <w:rPr>
      <w:rFonts w:eastAsia="宋体" w:cs="黑体"/>
      <w:spacing w:val="-2"/>
      <w:kern w:val="0"/>
    </w:rPr>
  </w:style>
  <w:style w:type="paragraph" w:customStyle="1" w:styleId="3814">
    <w:name w:val="样式 仿宋_GB2312 四号 首行缩进:  1 厘米 行距: 最小值 21 磅"/>
    <w:basedOn w:val="1"/>
    <w:qFormat/>
    <w:uiPriority w:val="0"/>
    <w:pPr>
      <w:spacing w:line="420" w:lineRule="atLeast"/>
      <w:ind w:firstLine="567"/>
    </w:pPr>
    <w:rPr>
      <w:rFonts w:ascii="仿宋_GB2312" w:eastAsia="宋体" w:cs="宋体"/>
      <w:spacing w:val="-2"/>
      <w:kern w:val="0"/>
    </w:rPr>
  </w:style>
  <w:style w:type="paragraph" w:customStyle="1" w:styleId="3815">
    <w:name w:val="标题 2，节"/>
    <w:basedOn w:val="4"/>
    <w:qFormat/>
    <w:uiPriority w:val="0"/>
    <w:pPr>
      <w:tabs>
        <w:tab w:val="left" w:pos="1476"/>
        <w:tab w:val="clear" w:pos="567"/>
      </w:tabs>
      <w:spacing w:before="0" w:beforeLines="50" w:after="260" w:line="412" w:lineRule="auto"/>
      <w:ind w:left="840" w:hanging="420"/>
    </w:pPr>
    <w:rPr>
      <w:rFonts w:ascii="宋体" w:hAnsi="宋体" w:eastAsia="宋体" w:cs="宋体"/>
      <w:b/>
      <w:bCs/>
      <w:spacing w:val="-2"/>
      <w:sz w:val="24"/>
      <w:szCs w:val="32"/>
    </w:rPr>
  </w:style>
  <w:style w:type="paragraph" w:customStyle="1" w:styleId="3816">
    <w:name w:val="附录表标题"/>
    <w:next w:val="7"/>
    <w:qFormat/>
    <w:uiPriority w:val="0"/>
    <w:pPr>
      <w:tabs>
        <w:tab w:val="left" w:pos="360"/>
      </w:tabs>
      <w:jc w:val="center"/>
    </w:pPr>
    <w:rPr>
      <w:rFonts w:ascii="黑体" w:hAnsi="Times New Roman" w:eastAsia="黑体" w:cs="Times New Roman"/>
      <w:kern w:val="21"/>
      <w:sz w:val="21"/>
      <w:lang w:val="en-US" w:eastAsia="zh-CN" w:bidi="ar-SA"/>
    </w:rPr>
  </w:style>
  <w:style w:type="paragraph" w:customStyle="1" w:styleId="3817">
    <w:name w:val="ysh表标"/>
    <w:basedOn w:val="1"/>
    <w:qFormat/>
    <w:uiPriority w:val="0"/>
    <w:pPr>
      <w:spacing w:beforeLines="50" w:line="300" w:lineRule="auto"/>
      <w:jc w:val="center"/>
    </w:pPr>
    <w:rPr>
      <w:rFonts w:ascii="宋体" w:hAnsi="Calibri" w:eastAsia="宋体" w:cs="黑体"/>
      <w:b/>
      <w:spacing w:val="-2"/>
      <w:kern w:val="0"/>
      <w:sz w:val="24"/>
    </w:rPr>
  </w:style>
  <w:style w:type="paragraph" w:customStyle="1" w:styleId="3818">
    <w:name w:val="样式 标题 2标题 21标题 121标题 2 Char1 CharH2SeHead wsa2标题 1.1 + 行..."/>
    <w:basedOn w:val="4"/>
    <w:qFormat/>
    <w:uiPriority w:val="0"/>
    <w:pPr>
      <w:keepNext w:val="0"/>
      <w:keepLines w:val="0"/>
      <w:widowControl/>
      <w:tabs>
        <w:tab w:val="left" w:pos="1476"/>
        <w:tab w:val="clear" w:pos="567"/>
      </w:tabs>
      <w:adjustRightInd w:val="0"/>
      <w:snapToGrid w:val="0"/>
      <w:spacing w:before="0" w:beforeLines="10" w:after="100" w:line="460" w:lineRule="exact"/>
      <w:ind w:left="840" w:firstLine="200" w:firstLineChars="200"/>
      <w:jc w:val="left"/>
    </w:pPr>
    <w:rPr>
      <w:rFonts w:hAnsi="宋体" w:cs="宋体"/>
      <w:color w:val="000000"/>
      <w:spacing w:val="-2"/>
      <w:kern w:val="0"/>
      <w:sz w:val="30"/>
    </w:rPr>
  </w:style>
  <w:style w:type="paragraph" w:customStyle="1" w:styleId="3819">
    <w:name w:val="11号线三级目录"/>
    <w:basedOn w:val="6"/>
    <w:qFormat/>
    <w:uiPriority w:val="0"/>
    <w:pPr>
      <w:tabs>
        <w:tab w:val="left" w:pos="1022"/>
        <w:tab w:val="left" w:pos="1080"/>
        <w:tab w:val="clear" w:pos="1789"/>
      </w:tabs>
      <w:spacing w:before="0" w:after="260" w:line="360" w:lineRule="auto"/>
      <w:ind w:left="0" w:firstLine="200" w:firstLineChars="200"/>
    </w:pPr>
    <w:rPr>
      <w:rFonts w:hint="eastAsia" w:ascii="宋体" w:hAnsi="Arial Unicode MS" w:eastAsia="宋体" w:cs="宋体"/>
      <w:bCs w:val="0"/>
      <w:i/>
      <w:iCs/>
      <w:color w:val="000000"/>
      <w:spacing w:val="-2"/>
      <w:sz w:val="28"/>
      <w:szCs w:val="28"/>
    </w:rPr>
  </w:style>
  <w:style w:type="paragraph" w:customStyle="1" w:styleId="3820">
    <w:name w:val="Char Char Char Char Char Char Char Char Char Char Char Char Char Char Char Char1"/>
    <w:basedOn w:val="1"/>
    <w:qFormat/>
    <w:uiPriority w:val="0"/>
    <w:pPr>
      <w:tabs>
        <w:tab w:val="left" w:pos="360"/>
      </w:tabs>
      <w:spacing w:line="360" w:lineRule="auto"/>
      <w:ind w:left="482" w:firstLine="200" w:firstLineChars="200"/>
    </w:pPr>
    <w:rPr>
      <w:rFonts w:eastAsia="宋体" w:cs="黑体"/>
      <w:spacing w:val="-2"/>
      <w:kern w:val="0"/>
    </w:rPr>
  </w:style>
  <w:style w:type="paragraph" w:customStyle="1" w:styleId="3821">
    <w:name w:val="msg"/>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22">
    <w:name w:val="GB-条文"/>
    <w:qFormat/>
    <w:uiPriority w:val="0"/>
    <w:pPr>
      <w:widowControl w:val="0"/>
      <w:adjustRightInd w:val="0"/>
      <w:snapToGrid w:val="0"/>
      <w:spacing w:line="360" w:lineRule="auto"/>
      <w:ind w:firstLine="420" w:firstLineChars="200"/>
      <w:jc w:val="both"/>
    </w:pPr>
    <w:rPr>
      <w:rFonts w:ascii="宋体" w:hAnsi="宋体" w:eastAsia="宋体" w:cs="Times New Roman"/>
      <w:sz w:val="21"/>
      <w:lang w:val="en-US" w:eastAsia="zh-CN" w:bidi="ar-SA"/>
    </w:rPr>
  </w:style>
  <w:style w:type="paragraph" w:customStyle="1" w:styleId="3823">
    <w:name w:val="样式 标题 4标题 4 Char Char标题 4 Char + 小四 加粗1"/>
    <w:basedOn w:val="7"/>
    <w:qFormat/>
    <w:uiPriority w:val="0"/>
    <w:pPr>
      <w:tabs>
        <w:tab w:val="left" w:pos="864"/>
        <w:tab w:val="left" w:pos="2153"/>
        <w:tab w:val="clear" w:pos="4008"/>
      </w:tabs>
      <w:adjustRightInd w:val="0"/>
      <w:snapToGrid w:val="0"/>
      <w:spacing w:beforeLines="50" w:line="520" w:lineRule="atLeast"/>
      <w:ind w:left="0" w:firstLine="0"/>
      <w:jc w:val="both"/>
    </w:pPr>
    <w:rPr>
      <w:rFonts w:ascii="Times New Roman" w:hAnsi="Times New Roman" w:eastAsia="宋体"/>
      <w:bCs/>
      <w:color w:val="auto"/>
      <w:spacing w:val="-2"/>
      <w:kern w:val="0"/>
      <w:sz w:val="21"/>
    </w:rPr>
  </w:style>
  <w:style w:type="paragraph" w:customStyle="1" w:styleId="3824">
    <w:name w:val="bk-dialog-conten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25">
    <w:name w:val="b-h4-3"/>
    <w:basedOn w:val="1"/>
    <w:qFormat/>
    <w:uiPriority w:val="0"/>
    <w:pPr>
      <w:widowControl/>
      <w:spacing w:before="100" w:beforeAutospacing="1" w:after="100" w:afterAutospacing="1"/>
      <w:jc w:val="left"/>
    </w:pPr>
    <w:rPr>
      <w:rFonts w:ascii="宋体" w:hAnsi="Calibri" w:eastAsia="宋体" w:cs="宋体"/>
      <w:b/>
      <w:bCs/>
      <w:spacing w:val="-2"/>
      <w:kern w:val="0"/>
      <w:szCs w:val="21"/>
    </w:rPr>
  </w:style>
  <w:style w:type="paragraph" w:customStyle="1" w:styleId="3826">
    <w:name w:val="b-h4-31"/>
    <w:basedOn w:val="1"/>
    <w:qFormat/>
    <w:uiPriority w:val="0"/>
    <w:pPr>
      <w:widowControl/>
      <w:spacing w:before="100" w:beforeAutospacing="1" w:after="100" w:afterAutospacing="1"/>
      <w:ind w:firstLine="300"/>
      <w:jc w:val="left"/>
    </w:pPr>
    <w:rPr>
      <w:rFonts w:ascii="宋体" w:hAnsi="Calibri" w:eastAsia="宋体" w:cs="宋体"/>
      <w:b/>
      <w:bCs/>
      <w:spacing w:val="-2"/>
      <w:kern w:val="0"/>
      <w:szCs w:val="21"/>
    </w:rPr>
  </w:style>
  <w:style w:type="paragraph" w:customStyle="1" w:styleId="3827">
    <w:name w:val="样式 黑色 首行缩进:  2 字符"/>
    <w:basedOn w:val="1"/>
    <w:qFormat/>
    <w:uiPriority w:val="0"/>
    <w:pPr>
      <w:snapToGrid w:val="0"/>
      <w:ind w:firstLine="200" w:firstLineChars="200"/>
    </w:pPr>
    <w:rPr>
      <w:rFonts w:eastAsia="宋体" w:cs="宋体"/>
      <w:color w:val="000000"/>
      <w:spacing w:val="-2"/>
      <w:kern w:val="0"/>
      <w:sz w:val="24"/>
    </w:rPr>
  </w:style>
  <w:style w:type="paragraph" w:customStyle="1" w:styleId="3828">
    <w:name w:val="我的样式（正文）"/>
    <w:basedOn w:val="1"/>
    <w:qFormat/>
    <w:uiPriority w:val="0"/>
    <w:pPr>
      <w:spacing w:line="440" w:lineRule="exact"/>
    </w:pPr>
    <w:rPr>
      <w:rFonts w:ascii="宋体" w:eastAsia="宋体" w:cs="黑体"/>
      <w:spacing w:val="-2"/>
      <w:kern w:val="0"/>
    </w:rPr>
  </w:style>
  <w:style w:type="paragraph" w:customStyle="1" w:styleId="3829">
    <w:name w:val="bk-dialog-cancel"/>
    <w:basedOn w:val="1"/>
    <w:qFormat/>
    <w:uiPriority w:val="0"/>
    <w:pPr>
      <w:widowControl/>
      <w:spacing w:before="100" w:beforeAutospacing="1" w:after="100" w:afterAutospacing="1"/>
      <w:ind w:right="150"/>
      <w:jc w:val="left"/>
    </w:pPr>
    <w:rPr>
      <w:rFonts w:ascii="宋体" w:hAnsi="Calibri" w:eastAsia="宋体" w:cs="宋体"/>
      <w:spacing w:val="-2"/>
      <w:kern w:val="0"/>
      <w:szCs w:val="21"/>
    </w:rPr>
  </w:style>
  <w:style w:type="paragraph" w:customStyle="1" w:styleId="3830">
    <w:name w:val="封面1"/>
    <w:basedOn w:val="1"/>
    <w:qFormat/>
    <w:uiPriority w:val="0"/>
    <w:pPr>
      <w:pBdr>
        <w:top w:val="single" w:color="auto" w:sz="4" w:space="0"/>
        <w:left w:val="single" w:color="auto" w:sz="4" w:space="0"/>
        <w:bottom w:val="single" w:color="auto" w:sz="4" w:space="0"/>
        <w:right w:val="single" w:color="auto" w:sz="4" w:space="0"/>
      </w:pBdr>
      <w:spacing w:line="300" w:lineRule="auto"/>
      <w:jc w:val="left"/>
    </w:pPr>
    <w:rPr>
      <w:rFonts w:eastAsia="宋体" w:cs="黑体"/>
      <w:b/>
      <w:bCs/>
      <w:color w:val="000000"/>
      <w:spacing w:val="-2"/>
      <w:kern w:val="0"/>
      <w:sz w:val="32"/>
    </w:rPr>
  </w:style>
  <w:style w:type="paragraph" w:customStyle="1" w:styleId="3831">
    <w:name w:val="样式 标题 4 + 加粗"/>
    <w:basedOn w:val="7"/>
    <w:qFormat/>
    <w:uiPriority w:val="0"/>
    <w:pPr>
      <w:tabs>
        <w:tab w:val="left" w:pos="1680"/>
        <w:tab w:val="left" w:pos="2153"/>
        <w:tab w:val="clear" w:pos="4008"/>
      </w:tabs>
      <w:spacing w:line="460" w:lineRule="exact"/>
      <w:ind w:left="0" w:firstLine="0"/>
      <w:jc w:val="both"/>
    </w:pPr>
    <w:rPr>
      <w:rFonts w:ascii="黑体" w:hAnsi="宋体" w:eastAsia="宋体"/>
      <w:bCs/>
      <w:color w:val="auto"/>
      <w:spacing w:val="-2"/>
      <w:sz w:val="28"/>
      <w:szCs w:val="28"/>
    </w:rPr>
  </w:style>
  <w:style w:type="paragraph" w:customStyle="1" w:styleId="3832">
    <w:name w:val="样式103"/>
    <w:basedOn w:val="6"/>
    <w:qFormat/>
    <w:uiPriority w:val="0"/>
    <w:pPr>
      <w:tabs>
        <w:tab w:val="left" w:pos="1022"/>
        <w:tab w:val="left" w:pos="1080"/>
        <w:tab w:val="left" w:pos="1140"/>
        <w:tab w:val="clear" w:pos="1789"/>
      </w:tabs>
      <w:spacing w:before="0" w:after="0" w:line="480" w:lineRule="exact"/>
      <w:ind w:left="1140" w:hanging="420"/>
    </w:pPr>
    <w:rPr>
      <w:rFonts w:hint="eastAsia" w:ascii="宋体" w:hAnsi="宋体" w:eastAsia="宋体" w:cs="宋体"/>
      <w:bCs w:val="0"/>
      <w:i/>
      <w:iCs/>
      <w:color w:val="000000"/>
      <w:spacing w:val="-2"/>
      <w:szCs w:val="24"/>
    </w:rPr>
  </w:style>
  <w:style w:type="paragraph" w:customStyle="1" w:styleId="3833">
    <w:name w:val="Char Char Char Char Char Char Char Char Char Char Char Char Char Char Char Char Char Char Char Char Char Char Char Char Char Char Char Char Char Char Char Char Char Char Char Char Char Char Char Char Char Char Char Char Char Char2"/>
    <w:basedOn w:val="1"/>
    <w:next w:val="1"/>
    <w:qFormat/>
    <w:uiPriority w:val="0"/>
    <w:pPr>
      <w:pBdr>
        <w:right w:val="single" w:color="auto" w:sz="12" w:space="4"/>
      </w:pBdr>
      <w:spacing w:line="360" w:lineRule="auto"/>
      <w:ind w:firstLine="200" w:firstLineChars="200"/>
    </w:pPr>
    <w:rPr>
      <w:rFonts w:eastAsia="宋体" w:cs="黑体"/>
      <w:spacing w:val="-2"/>
      <w:kern w:val="0"/>
    </w:rPr>
  </w:style>
  <w:style w:type="paragraph" w:customStyle="1" w:styleId="3834">
    <w:name w:val="goto1"/>
    <w:basedOn w:val="1"/>
    <w:qFormat/>
    <w:uiPriority w:val="0"/>
    <w:pPr>
      <w:widowControl/>
      <w:spacing w:before="100" w:beforeAutospacing="1" w:after="100" w:afterAutospacing="1"/>
      <w:ind w:hanging="20536"/>
      <w:jc w:val="left"/>
    </w:pPr>
    <w:rPr>
      <w:rFonts w:ascii="宋体" w:hAnsi="Calibri" w:eastAsia="宋体" w:cs="宋体"/>
      <w:spacing w:val="-2"/>
      <w:kern w:val="0"/>
      <w:sz w:val="24"/>
      <w:szCs w:val="21"/>
    </w:rPr>
  </w:style>
  <w:style w:type="paragraph" w:customStyle="1" w:styleId="3835">
    <w:name w:val="Char Char Char Char Char Char Char Char Char Char Char Char Char Char Char Char Char Char Char Char Char Char Char Char Char Char Char Char Char Char Char Char Char Char Char Char Char Char Char Char Char Char Char Char Char Char1"/>
    <w:basedOn w:val="1"/>
    <w:next w:val="1"/>
    <w:qFormat/>
    <w:uiPriority w:val="0"/>
    <w:pPr>
      <w:pBdr>
        <w:right w:val="single" w:color="auto" w:sz="12" w:space="4"/>
      </w:pBdr>
      <w:spacing w:line="360" w:lineRule="auto"/>
      <w:ind w:firstLine="200" w:firstLineChars="200"/>
    </w:pPr>
    <w:rPr>
      <w:rFonts w:ascii="宋体" w:hAnsi="宋体" w:eastAsia="宋体" w:cs="宋体"/>
      <w:spacing w:val="-2"/>
      <w:kern w:val="0"/>
      <w:sz w:val="24"/>
    </w:rPr>
  </w:style>
  <w:style w:type="paragraph" w:customStyle="1" w:styleId="3836">
    <w:name w:val="Char Char Char1 Char Char Char2"/>
    <w:basedOn w:val="1"/>
    <w:qFormat/>
    <w:uiPriority w:val="0"/>
    <w:pPr>
      <w:spacing w:line="360" w:lineRule="auto"/>
      <w:ind w:firstLine="200" w:firstLineChars="200"/>
    </w:pPr>
    <w:rPr>
      <w:rFonts w:ascii="宋体" w:hAnsi="Calibri" w:eastAsia="宋体" w:cs="宋体"/>
      <w:spacing w:val="-2"/>
      <w:kern w:val="0"/>
      <w:sz w:val="24"/>
      <w:szCs w:val="21"/>
    </w:rPr>
  </w:style>
  <w:style w:type="paragraph" w:customStyle="1" w:styleId="3837">
    <w:name w:val="myhome-tri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38">
    <w:name w:val="标准书眉_偶数页"/>
    <w:basedOn w:val="1"/>
    <w:next w:val="1"/>
    <w:qFormat/>
    <w:uiPriority w:val="0"/>
    <w:pPr>
      <w:widowControl/>
      <w:tabs>
        <w:tab w:val="center" w:pos="4154"/>
        <w:tab w:val="right" w:pos="8306"/>
      </w:tabs>
      <w:spacing w:after="120"/>
      <w:jc w:val="left"/>
    </w:pPr>
    <w:rPr>
      <w:rFonts w:eastAsia="宋体" w:cs="黑体"/>
      <w:spacing w:val="-2"/>
      <w:kern w:val="0"/>
    </w:rPr>
  </w:style>
  <w:style w:type="paragraph" w:customStyle="1" w:styleId="3839">
    <w:name w:val="xl209"/>
    <w:basedOn w:val="1"/>
    <w:qFormat/>
    <w:uiPriority w:val="0"/>
    <w:pPr>
      <w:widowControl/>
      <w:pBdr>
        <w:top w:val="single" w:color="auto" w:sz="4" w:space="0"/>
        <w:bottom w:val="single" w:color="auto" w:sz="4" w:space="0"/>
      </w:pBdr>
      <w:spacing w:before="100" w:beforeAutospacing="1" w:after="100" w:afterAutospacing="1"/>
      <w:jc w:val="center"/>
    </w:pPr>
    <w:rPr>
      <w:rFonts w:ascii="宋体" w:hAnsi="宋体" w:eastAsia="宋体" w:cs="宋体"/>
      <w:b/>
      <w:bCs/>
      <w:spacing w:val="-2"/>
      <w:kern w:val="0"/>
      <w:sz w:val="24"/>
    </w:rPr>
  </w:style>
  <w:style w:type="paragraph" w:customStyle="1" w:styleId="3840">
    <w:name w:val="自动标题1"/>
    <w:basedOn w:val="1"/>
    <w:qFormat/>
    <w:uiPriority w:val="0"/>
    <w:pPr>
      <w:keepNext/>
      <w:keepLines/>
      <w:pageBreakBefore/>
      <w:widowControl/>
      <w:spacing w:after="120" w:line="200" w:lineRule="atLeast"/>
      <w:outlineLvl w:val="0"/>
    </w:pPr>
    <w:rPr>
      <w:rFonts w:ascii="黑体" w:eastAsia="黑体" w:cs="黑体"/>
      <w:b/>
      <w:spacing w:val="-2"/>
      <w:kern w:val="44"/>
      <w:sz w:val="32"/>
    </w:rPr>
  </w:style>
  <w:style w:type="paragraph" w:customStyle="1" w:styleId="3841">
    <w:name w:val="form_first"/>
    <w:basedOn w:val="1"/>
    <w:qFormat/>
    <w:uiPriority w:val="0"/>
    <w:pPr>
      <w:autoSpaceDE w:val="0"/>
      <w:autoSpaceDN w:val="0"/>
      <w:adjustRightInd w:val="0"/>
      <w:jc w:val="center"/>
    </w:pPr>
    <w:rPr>
      <w:rFonts w:eastAsia="宋体" w:cs="黑体"/>
      <w:color w:val="000000"/>
      <w:spacing w:val="-2"/>
      <w:kern w:val="0"/>
      <w:sz w:val="24"/>
    </w:rPr>
  </w:style>
  <w:style w:type="paragraph" w:customStyle="1" w:styleId="3842">
    <w:name w:val="样式 标题 4标题 14 + 加粗 无下划线 自动设置 段前: 3 磅 段后: 10 磅4"/>
    <w:basedOn w:val="7"/>
    <w:qFormat/>
    <w:uiPriority w:val="0"/>
    <w:pPr>
      <w:keepLines w:val="0"/>
      <w:tabs>
        <w:tab w:val="left" w:pos="2153"/>
        <w:tab w:val="left" w:pos="2400"/>
        <w:tab w:val="clear" w:pos="4008"/>
      </w:tabs>
      <w:adjustRightInd w:val="0"/>
      <w:snapToGrid w:val="0"/>
      <w:spacing w:before="60" w:after="200" w:line="240" w:lineRule="auto"/>
      <w:ind w:left="2400" w:hanging="420"/>
      <w:jc w:val="both"/>
    </w:pPr>
    <w:rPr>
      <w:rFonts w:ascii="Times New Roman" w:hAnsi="Times New Roman" w:eastAsia="宋体"/>
      <w:b w:val="0"/>
      <w:bCs/>
      <w:spacing w:val="-2"/>
      <w:szCs w:val="24"/>
    </w:rPr>
  </w:style>
  <w:style w:type="paragraph" w:customStyle="1" w:styleId="3843">
    <w:name w:val="样式1111"/>
    <w:basedOn w:val="1"/>
    <w:qFormat/>
    <w:uiPriority w:val="0"/>
    <w:pPr>
      <w:spacing w:beforeLines="50" w:line="360" w:lineRule="auto"/>
      <w:ind w:firstLine="480" w:firstLineChars="200"/>
    </w:pPr>
    <w:rPr>
      <w:rFonts w:eastAsia="Times New Roman" w:cs="黑体"/>
      <w:spacing w:val="-2"/>
      <w:kern w:val="0"/>
      <w:sz w:val="24"/>
    </w:rPr>
  </w:style>
  <w:style w:type="paragraph" w:customStyle="1" w:styleId="3844">
    <w:name w:val="封面 3"/>
    <w:qFormat/>
    <w:uiPriority w:val="0"/>
    <w:pPr>
      <w:keepNext/>
      <w:widowControl w:val="0"/>
      <w:spacing w:before="120" w:after="120" w:line="400" w:lineRule="exact"/>
      <w:jc w:val="center"/>
    </w:pPr>
    <w:rPr>
      <w:rFonts w:ascii="Times New Roman" w:hAnsi="Times New Roman" w:eastAsia="宋体" w:cs="Times New Roman"/>
      <w:sz w:val="36"/>
      <w:lang w:val="en-US" w:eastAsia="zh-CN" w:bidi="ar-SA"/>
    </w:rPr>
  </w:style>
  <w:style w:type="paragraph" w:customStyle="1" w:styleId="3845">
    <w:name w:val="主要负责人"/>
    <w:basedOn w:val="1"/>
    <w:next w:val="1"/>
    <w:qFormat/>
    <w:uiPriority w:val="0"/>
    <w:pPr>
      <w:jc w:val="center"/>
    </w:pPr>
    <w:rPr>
      <w:rFonts w:eastAsia="宋体" w:cs="黑体"/>
      <w:spacing w:val="-2"/>
      <w:kern w:val="0"/>
      <w:sz w:val="36"/>
      <w:szCs w:val="36"/>
    </w:rPr>
  </w:style>
  <w:style w:type="paragraph" w:customStyle="1" w:styleId="3846">
    <w:name w:val="11"/>
    <w:qFormat/>
    <w:uiPriority w:val="0"/>
    <w:pPr>
      <w:widowControl w:val="0"/>
      <w:jc w:val="both"/>
    </w:pPr>
    <w:rPr>
      <w:rFonts w:ascii="Times New Roman" w:hAnsi="Times New Roman" w:eastAsia="宋体" w:cs="Times New Roman"/>
      <w:sz w:val="24"/>
      <w:szCs w:val="24"/>
      <w:lang w:val="en-US" w:eastAsia="zh-CN" w:bidi="ar-SA"/>
    </w:rPr>
  </w:style>
  <w:style w:type="paragraph" w:customStyle="1" w:styleId="3847">
    <w:name w:val="样式 标题 3 + 字距调整二号 行距: 最小值 25 磅"/>
    <w:basedOn w:val="6"/>
    <w:qFormat/>
    <w:uiPriority w:val="0"/>
    <w:pPr>
      <w:tabs>
        <w:tab w:val="left" w:leader="dot" w:pos="0"/>
        <w:tab w:val="left" w:pos="360"/>
        <w:tab w:val="left" w:pos="1022"/>
        <w:tab w:val="left" w:pos="1080"/>
        <w:tab w:val="left" w:pos="1620"/>
        <w:tab w:val="left" w:pos="1740"/>
        <w:tab w:val="clear" w:pos="1789"/>
      </w:tabs>
      <w:snapToGrid w:val="0"/>
      <w:spacing w:before="260" w:after="260" w:line="500" w:lineRule="atLeast"/>
      <w:ind w:left="1740" w:hanging="420"/>
    </w:pPr>
    <w:rPr>
      <w:rFonts w:hint="eastAsia" w:ascii="宋体" w:hAnsi="宋体" w:eastAsia="宋体" w:cs="宋体"/>
      <w:i/>
      <w:iCs/>
      <w:color w:val="000000"/>
      <w:spacing w:val="4"/>
      <w:sz w:val="28"/>
    </w:rPr>
  </w:style>
  <w:style w:type="paragraph" w:customStyle="1" w:styleId="3848">
    <w:name w:val="maindiv12"/>
    <w:basedOn w:val="1"/>
    <w:qFormat/>
    <w:uiPriority w:val="0"/>
    <w:pPr>
      <w:spacing w:before="100" w:beforeAutospacing="1" w:after="100" w:afterAutospacing="1"/>
    </w:pPr>
    <w:rPr>
      <w:rFonts w:ascii="ˎ̥" w:hAnsi="ˎ̥" w:eastAsia="宋体" w:cs="宋体"/>
      <w:spacing w:val="-2"/>
      <w:kern w:val="0"/>
      <w:sz w:val="24"/>
    </w:rPr>
  </w:style>
  <w:style w:type="paragraph" w:customStyle="1" w:styleId="3849">
    <w:name w:val="little"/>
    <w:basedOn w:val="1"/>
    <w:qFormat/>
    <w:uiPriority w:val="0"/>
    <w:pPr>
      <w:spacing w:before="100" w:beforeAutospacing="1" w:after="100" w:afterAutospacing="1"/>
    </w:pPr>
    <w:rPr>
      <w:rFonts w:ascii="宋体" w:hAnsi="Calibri" w:eastAsia="宋体" w:cs="宋体"/>
      <w:spacing w:val="-2"/>
      <w:kern w:val="0"/>
      <w:sz w:val="24"/>
    </w:rPr>
  </w:style>
  <w:style w:type="paragraph" w:customStyle="1" w:styleId="3850">
    <w:name w:val="no-bord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51">
    <w:name w:val="标题 53"/>
    <w:basedOn w:val="8"/>
    <w:qFormat/>
    <w:uiPriority w:val="0"/>
    <w:pPr>
      <w:autoSpaceDE w:val="0"/>
      <w:autoSpaceDN w:val="0"/>
      <w:adjustRightInd w:val="0"/>
      <w:spacing w:line="240" w:lineRule="auto"/>
      <w:ind w:left="567" w:firstLine="0"/>
      <w:jc w:val="left"/>
      <w:outlineLvl w:val="9"/>
    </w:pPr>
    <w:rPr>
      <w:rFonts w:hint="eastAsia" w:ascii="宋体" w:hAnsi="宋体" w:eastAsia="隶书体" w:cs="宋体"/>
      <w:spacing w:val="-2"/>
      <w:sz w:val="28"/>
      <w:szCs w:val="20"/>
    </w:rPr>
  </w:style>
  <w:style w:type="paragraph" w:customStyle="1" w:styleId="3852">
    <w:name w:val="bk-dialog-title"/>
    <w:basedOn w:val="1"/>
    <w:qFormat/>
    <w:uiPriority w:val="0"/>
    <w:pPr>
      <w:widowControl/>
      <w:spacing w:before="100" w:beforeAutospacing="1" w:after="100" w:afterAutospacing="1"/>
      <w:jc w:val="left"/>
    </w:pPr>
    <w:rPr>
      <w:rFonts w:ascii="宋体" w:hAnsi="Calibri" w:eastAsia="宋体" w:cs="宋体"/>
      <w:b/>
      <w:bCs/>
      <w:spacing w:val="-2"/>
      <w:kern w:val="0"/>
      <w:szCs w:val="21"/>
    </w:rPr>
  </w:style>
  <w:style w:type="paragraph" w:customStyle="1" w:styleId="3853">
    <w:name w:val="样式 小四 行距: 1.5 倍行距 首行缩进:  2 字符"/>
    <w:basedOn w:val="1"/>
    <w:qFormat/>
    <w:uiPriority w:val="0"/>
    <w:pPr>
      <w:ind w:firstLine="200" w:firstLineChars="200"/>
    </w:pPr>
    <w:rPr>
      <w:rFonts w:eastAsia="宋体" w:cs="宋体"/>
      <w:spacing w:val="-2"/>
      <w:kern w:val="0"/>
      <w:sz w:val="24"/>
    </w:rPr>
  </w:style>
  <w:style w:type="paragraph" w:customStyle="1" w:styleId="3854">
    <w:name w:val="remark-banner"/>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55">
    <w:name w:val="fu"/>
    <w:basedOn w:val="1"/>
    <w:qFormat/>
    <w:uiPriority w:val="0"/>
    <w:pPr>
      <w:widowControl/>
      <w:spacing w:before="100" w:beforeAutospacing="1" w:after="100" w:afterAutospacing="1"/>
      <w:jc w:val="left"/>
    </w:pPr>
    <w:rPr>
      <w:rFonts w:ascii="宋体" w:hAnsi="Calibri" w:eastAsia="宋体" w:cs="宋体"/>
      <w:spacing w:val="-2"/>
      <w:kern w:val="0"/>
      <w:sz w:val="24"/>
      <w:szCs w:val="21"/>
      <w:u w:val="single"/>
    </w:rPr>
  </w:style>
  <w:style w:type="paragraph" w:customStyle="1" w:styleId="3856">
    <w:name w:val="样式 标题 3 + 首行缩进:  2 字符"/>
    <w:basedOn w:val="6"/>
    <w:qFormat/>
    <w:uiPriority w:val="0"/>
    <w:pPr>
      <w:tabs>
        <w:tab w:val="left" w:pos="0"/>
        <w:tab w:val="left" w:pos="1022"/>
        <w:tab w:val="left" w:pos="1080"/>
        <w:tab w:val="clear" w:pos="1789"/>
      </w:tabs>
      <w:spacing w:before="0" w:after="0" w:line="416" w:lineRule="atLeast"/>
      <w:ind w:left="0" w:firstLine="0"/>
      <w:jc w:val="left"/>
    </w:pPr>
    <w:rPr>
      <w:rFonts w:hint="eastAsia" w:ascii="宋体" w:hAnsi="宋体" w:eastAsia="宋体" w:cs="宋体"/>
      <w:bCs w:val="0"/>
      <w:i/>
      <w:iCs/>
      <w:color w:val="000000"/>
      <w:spacing w:val="-2"/>
      <w:sz w:val="28"/>
      <w:szCs w:val="28"/>
    </w:rPr>
  </w:style>
  <w:style w:type="paragraph" w:customStyle="1" w:styleId="3857">
    <w:name w:val="顺颂商祺！"/>
    <w:qFormat/>
    <w:uiPriority w:val="0"/>
    <w:pPr>
      <w:widowControl w:val="0"/>
      <w:jc w:val="both"/>
    </w:pPr>
    <w:rPr>
      <w:rFonts w:ascii="Times New Roman" w:hAnsi="Times New Roman" w:eastAsia="宋体" w:cs="Times New Roman"/>
      <w:lang w:val="en-US" w:eastAsia="zh-CN" w:bidi="ar-SA"/>
    </w:rPr>
  </w:style>
  <w:style w:type="paragraph" w:customStyle="1" w:styleId="3858">
    <w:name w:val="relation-control-enter-open"/>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59">
    <w:name w:val="图表文字"/>
    <w:basedOn w:val="34"/>
    <w:qFormat/>
    <w:uiPriority w:val="0"/>
    <w:pPr>
      <w:widowControl/>
      <w:tabs>
        <w:tab w:val="left" w:pos="360"/>
      </w:tabs>
      <w:kinsoku w:val="0"/>
      <w:wordWrap w:val="0"/>
      <w:spacing w:after="0" w:line="320" w:lineRule="exact"/>
      <w:jc w:val="center"/>
    </w:pPr>
    <w:rPr>
      <w:rFonts w:ascii="宋体" w:hAnsi="宋体" w:eastAsia="宋体" w:cs="宋体"/>
      <w:i/>
      <w:iCs/>
      <w:color w:val="000000"/>
      <w:sz w:val="18"/>
      <w:szCs w:val="24"/>
    </w:rPr>
  </w:style>
  <w:style w:type="paragraph" w:customStyle="1" w:styleId="3860">
    <w:name w:val="电镀表"/>
    <w:basedOn w:val="1"/>
    <w:qFormat/>
    <w:uiPriority w:val="0"/>
    <w:pPr>
      <w:autoSpaceDE w:val="0"/>
      <w:autoSpaceDN w:val="0"/>
      <w:adjustRightInd w:val="0"/>
      <w:jc w:val="center"/>
    </w:pPr>
    <w:rPr>
      <w:rFonts w:eastAsia="宋体" w:cs="黑体"/>
      <w:spacing w:val="-2"/>
      <w:w w:val="105"/>
      <w:kern w:val="10"/>
      <w:szCs w:val="21"/>
    </w:rPr>
  </w:style>
  <w:style w:type="paragraph" w:customStyle="1" w:styleId="3861">
    <w:name w:val="_Style 3"/>
    <w:basedOn w:val="1"/>
    <w:qFormat/>
    <w:uiPriority w:val="0"/>
    <w:rPr>
      <w:rFonts w:eastAsia="宋体" w:cs="黑体"/>
      <w:sz w:val="21"/>
    </w:rPr>
  </w:style>
  <w:style w:type="paragraph" w:customStyle="1" w:styleId="3862">
    <w:name w:val="封面2"/>
    <w:basedOn w:val="1"/>
    <w:qFormat/>
    <w:uiPriority w:val="0"/>
    <w:pPr>
      <w:jc w:val="center"/>
    </w:pPr>
    <w:rPr>
      <w:rFonts w:eastAsia="宋体" w:cs="黑体"/>
      <w:b/>
      <w:spacing w:val="-2"/>
      <w:kern w:val="0"/>
      <w:sz w:val="44"/>
    </w:rPr>
  </w:style>
  <w:style w:type="paragraph" w:customStyle="1" w:styleId="3863">
    <w:name w:val="正文文本缩进 23"/>
    <w:basedOn w:val="1"/>
    <w:qFormat/>
    <w:uiPriority w:val="0"/>
    <w:pPr>
      <w:adjustRightInd w:val="0"/>
      <w:ind w:firstLine="560"/>
    </w:pPr>
    <w:rPr>
      <w:rFonts w:eastAsia="宋体" w:cs="黑体"/>
      <w:spacing w:val="-2"/>
      <w:kern w:val="0"/>
    </w:rPr>
  </w:style>
  <w:style w:type="paragraph" w:customStyle="1" w:styleId="3864">
    <w:name w:val="标题3（新）"/>
    <w:basedOn w:val="1"/>
    <w:next w:val="1"/>
    <w:qFormat/>
    <w:uiPriority w:val="0"/>
    <w:pPr>
      <w:spacing w:line="240" w:lineRule="atLeast"/>
      <w:outlineLvl w:val="2"/>
    </w:pPr>
    <w:rPr>
      <w:rFonts w:ascii="宋体" w:hAnsi="Calibri" w:eastAsia="黑体" w:cs="黑体"/>
      <w:spacing w:val="-2"/>
      <w:kern w:val="0"/>
      <w:szCs w:val="22"/>
    </w:rPr>
  </w:style>
  <w:style w:type="paragraph" w:customStyle="1" w:styleId="3865">
    <w:name w:val="正文缩进21"/>
    <w:basedOn w:val="1"/>
    <w:qFormat/>
    <w:uiPriority w:val="0"/>
    <w:pPr>
      <w:ind w:firstLine="420"/>
    </w:pPr>
    <w:rPr>
      <w:rFonts w:ascii="Calibri" w:hAnsi="Calibri" w:eastAsia="宋体" w:cs="黑体"/>
      <w:sz w:val="21"/>
    </w:rPr>
  </w:style>
  <w:style w:type="paragraph" w:customStyle="1" w:styleId="3866">
    <w:name w:val="48"/>
    <w:basedOn w:val="1"/>
    <w:qFormat/>
    <w:uiPriority w:val="0"/>
    <w:pPr>
      <w:widowControl/>
      <w:snapToGrid w:val="0"/>
      <w:spacing w:before="120" w:after="120"/>
    </w:pPr>
    <w:rPr>
      <w:rFonts w:ascii="黑体" w:hAnsi="宋体" w:eastAsia="黑体" w:cs="黑体"/>
      <w:b/>
      <w:bCs/>
      <w:color w:val="000000"/>
      <w:spacing w:val="-2"/>
      <w:kern w:val="0"/>
      <w:szCs w:val="21"/>
    </w:rPr>
  </w:style>
  <w:style w:type="paragraph" w:customStyle="1" w:styleId="3867">
    <w:name w:val="Char Char Char Char Char Char1 Char Char Char1 Char Char Char1 Char Char Char Char Char Char Char Char Char Char1"/>
    <w:basedOn w:val="1"/>
    <w:next w:val="1"/>
    <w:qFormat/>
    <w:uiPriority w:val="0"/>
    <w:pPr>
      <w:spacing w:line="360" w:lineRule="auto"/>
      <w:ind w:firstLine="200" w:firstLineChars="200"/>
    </w:pPr>
    <w:rPr>
      <w:rFonts w:eastAsia="宋体" w:cs="Tms Rmn"/>
      <w:spacing w:val="-2"/>
      <w:kern w:val="0"/>
      <w:sz w:val="24"/>
    </w:rPr>
  </w:style>
  <w:style w:type="paragraph" w:customStyle="1" w:styleId="3868">
    <w:name w:val="Char Char Char Char Char Char1 Char Char Char1 Char Char Char1 Char Char Char Char Char Char Char Char Char Char3"/>
    <w:basedOn w:val="1"/>
    <w:next w:val="1"/>
    <w:qFormat/>
    <w:uiPriority w:val="0"/>
    <w:pPr>
      <w:ind w:firstLine="200" w:firstLineChars="200"/>
    </w:pPr>
    <w:rPr>
      <w:rFonts w:eastAsia="宋体" w:cs="Tms Rmn"/>
      <w:spacing w:val="-2"/>
      <w:kern w:val="0"/>
      <w:sz w:val="24"/>
    </w:rPr>
  </w:style>
  <w:style w:type="paragraph" w:customStyle="1" w:styleId="3869">
    <w:name w:val="00 标题2"/>
    <w:basedOn w:val="6"/>
    <w:qFormat/>
    <w:uiPriority w:val="0"/>
    <w:pPr>
      <w:tabs>
        <w:tab w:val="left" w:pos="1022"/>
        <w:tab w:val="left" w:pos="1080"/>
        <w:tab w:val="clear" w:pos="1789"/>
      </w:tabs>
      <w:spacing w:before="0" w:beforeLines="50" w:after="0" w:line="300" w:lineRule="auto"/>
      <w:ind w:left="1260" w:hanging="420"/>
      <w:jc w:val="left"/>
    </w:pPr>
    <w:rPr>
      <w:rFonts w:hint="eastAsia" w:ascii="宋体" w:hAnsi="宋体" w:eastAsia="宋体" w:cs="宋体"/>
      <w:bCs w:val="0"/>
      <w:i/>
      <w:iCs/>
      <w:color w:val="000000"/>
      <w:spacing w:val="-2"/>
      <w:szCs w:val="24"/>
    </w:rPr>
  </w:style>
  <w:style w:type="paragraph" w:customStyle="1" w:styleId="3870">
    <w:name w:val="Char Char Char Char Char Char Char Char Char Char Char Char Char Char Char Char Char Char Char Char Char Char Char Char Char2"/>
    <w:basedOn w:val="1"/>
    <w:qFormat/>
    <w:uiPriority w:val="0"/>
    <w:pPr>
      <w:widowControl/>
      <w:spacing w:line="240" w:lineRule="exact"/>
      <w:jc w:val="left"/>
    </w:pPr>
    <w:rPr>
      <w:rFonts w:ascii="Verdana" w:hAnsi="Verdana" w:eastAsia="宋体" w:cs="黑体"/>
      <w:spacing w:val="-2"/>
      <w:kern w:val="0"/>
      <w:sz w:val="20"/>
      <w:lang w:eastAsia="en-US"/>
    </w:rPr>
  </w:style>
  <w:style w:type="paragraph" w:customStyle="1" w:styleId="3871">
    <w:name w:val="样式 标题 4H4Subsection + 段前: 6 磅 段后: 6 磅"/>
    <w:basedOn w:val="7"/>
    <w:qFormat/>
    <w:uiPriority w:val="0"/>
    <w:pPr>
      <w:tabs>
        <w:tab w:val="left" w:pos="864"/>
        <w:tab w:val="left" w:pos="2153"/>
        <w:tab w:val="clear" w:pos="4008"/>
      </w:tabs>
      <w:adjustRightInd w:val="0"/>
      <w:snapToGrid w:val="0"/>
      <w:spacing w:line="360" w:lineRule="auto"/>
      <w:ind w:left="0" w:firstLine="0"/>
      <w:jc w:val="both"/>
    </w:pPr>
    <w:rPr>
      <w:rFonts w:ascii="Times New Roman" w:hAnsi="Times New Roman" w:eastAsia="宋体" w:cs="宋体"/>
      <w:bCs/>
      <w:color w:val="auto"/>
      <w:spacing w:val="-2"/>
      <w:kern w:val="0"/>
    </w:rPr>
  </w:style>
  <w:style w:type="paragraph" w:customStyle="1" w:styleId="3872">
    <w:name w:val="出版正文"/>
    <w:basedOn w:val="1"/>
    <w:qFormat/>
    <w:uiPriority w:val="0"/>
    <w:pPr>
      <w:spacing w:line="600" w:lineRule="exact"/>
      <w:ind w:firstLine="200" w:firstLineChars="200"/>
    </w:pPr>
    <w:rPr>
      <w:rFonts w:eastAsia="宋体" w:cs="黑体"/>
      <w:spacing w:val="-2"/>
      <w:kern w:val="0"/>
    </w:rPr>
  </w:style>
  <w:style w:type="paragraph" w:customStyle="1" w:styleId="3873">
    <w:name w:val="样式 样式 (符号) 宋体 二号 加粗 黑色 居中 行距: 1.5 倍行距 + 加粗"/>
    <w:basedOn w:val="85"/>
    <w:qFormat/>
    <w:uiPriority w:val="0"/>
    <w:pPr>
      <w:keepNext w:val="0"/>
      <w:keepLines w:val="0"/>
      <w:tabs>
        <w:tab w:val="clear" w:pos="1080"/>
        <w:tab w:val="clear" w:pos="1789"/>
      </w:tabs>
      <w:adjustRightInd w:val="0"/>
      <w:spacing w:before="240" w:after="60" w:line="312" w:lineRule="atLeast"/>
      <w:jc w:val="center"/>
      <w:outlineLvl w:val="0"/>
    </w:pPr>
    <w:rPr>
      <w:rFonts w:ascii="Arial" w:hAnsi="Arial" w:eastAsia="宋体"/>
      <w:color w:val="000000"/>
      <w:sz w:val="44"/>
      <w:szCs w:val="20"/>
    </w:rPr>
  </w:style>
  <w:style w:type="paragraph" w:customStyle="1" w:styleId="3874">
    <w:name w:val="样式 标题 3明阳3 + 行距: 固定值 12 磅"/>
    <w:basedOn w:val="6"/>
    <w:qFormat/>
    <w:uiPriority w:val="0"/>
    <w:pPr>
      <w:tabs>
        <w:tab w:val="left" w:pos="1022"/>
        <w:tab w:val="left" w:pos="1080"/>
        <w:tab w:val="clear" w:pos="1789"/>
      </w:tabs>
      <w:spacing w:before="260" w:after="260" w:line="360" w:lineRule="auto"/>
      <w:ind w:left="1260" w:hanging="420"/>
    </w:pPr>
    <w:rPr>
      <w:rFonts w:hint="eastAsia" w:ascii="宋体" w:hAnsi="宋体" w:eastAsia="宋体" w:cs="宋体"/>
      <w:bCs w:val="0"/>
      <w:i/>
      <w:iCs/>
      <w:color w:val="000000"/>
      <w:spacing w:val="-2"/>
      <w:sz w:val="32"/>
    </w:rPr>
  </w:style>
  <w:style w:type="paragraph" w:customStyle="1" w:styleId="3875">
    <w:name w:val="正文(a)"/>
    <w:basedOn w:val="34"/>
    <w:qFormat/>
    <w:uiPriority w:val="0"/>
    <w:pPr>
      <w:widowControl/>
      <w:tabs>
        <w:tab w:val="left" w:pos="1139"/>
        <w:tab w:val="left" w:pos="1332"/>
      </w:tabs>
      <w:spacing w:after="0" w:line="351" w:lineRule="atLeast"/>
      <w:ind w:left="-141" w:firstLine="566"/>
    </w:pPr>
    <w:rPr>
      <w:rFonts w:ascii="宋体" w:hAnsi="Calibri" w:eastAsia="宋体" w:cs="宋体"/>
      <w:i/>
      <w:iCs/>
      <w:color w:val="000000"/>
      <w:spacing w:val="5"/>
      <w:sz w:val="21"/>
      <w:szCs w:val="24"/>
      <w:u w:color="000000"/>
    </w:rPr>
  </w:style>
  <w:style w:type="paragraph" w:customStyle="1" w:styleId="3876">
    <w:name w:val="样式 标题 1章节标题章标题 1-*+h11st levelSection Headl1b1本标题不使用篇标..."/>
    <w:basedOn w:val="3"/>
    <w:qFormat/>
    <w:uiPriority w:val="0"/>
    <w:pPr>
      <w:pageBreakBefore w:val="0"/>
      <w:tabs>
        <w:tab w:val="clear" w:pos="1080"/>
      </w:tabs>
      <w:spacing w:before="0" w:beforeLines="100" w:after="0" w:line="360" w:lineRule="auto"/>
      <w:ind w:left="0" w:firstLine="0"/>
      <w:jc w:val="left"/>
    </w:pPr>
    <w:rPr>
      <w:rFonts w:ascii="宋体" w:hAnsi="宋体" w:cs="宋体"/>
      <w:spacing w:val="-2"/>
      <w:sz w:val="28"/>
    </w:rPr>
  </w:style>
  <w:style w:type="paragraph" w:customStyle="1" w:styleId="3877">
    <w:name w:val="1标题2"/>
    <w:basedOn w:val="4"/>
    <w:qFormat/>
    <w:uiPriority w:val="0"/>
    <w:pPr>
      <w:keepNext w:val="0"/>
      <w:keepLines w:val="0"/>
      <w:tabs>
        <w:tab w:val="left" w:pos="1476"/>
        <w:tab w:val="clear" w:pos="567"/>
      </w:tabs>
      <w:adjustRightInd w:val="0"/>
      <w:snapToGrid w:val="0"/>
      <w:spacing w:before="0" w:beforeLines="50" w:after="0"/>
      <w:ind w:left="0" w:firstLine="0"/>
      <w:outlineLvl w:val="9"/>
    </w:pPr>
    <w:rPr>
      <w:rFonts w:ascii="宋体" w:hAnsi="宋体" w:eastAsia="宋体" w:cs="宋体"/>
      <w:b/>
      <w:bCs/>
      <w:spacing w:val="-2"/>
      <w:szCs w:val="28"/>
    </w:rPr>
  </w:style>
  <w:style w:type="paragraph" w:customStyle="1" w:styleId="3878">
    <w:name w:val="throw-btl-link"/>
    <w:basedOn w:val="1"/>
    <w:qFormat/>
    <w:uiPriority w:val="0"/>
    <w:pPr>
      <w:widowControl/>
      <w:spacing w:before="100" w:beforeAutospacing="1" w:after="100" w:afterAutospacing="1"/>
      <w:ind w:left="75"/>
      <w:jc w:val="left"/>
    </w:pPr>
    <w:rPr>
      <w:rFonts w:ascii="宋体" w:hAnsi="Calibri" w:eastAsia="宋体" w:cs="宋体"/>
      <w:spacing w:val="-2"/>
      <w:kern w:val="0"/>
      <w:sz w:val="24"/>
      <w:szCs w:val="21"/>
    </w:rPr>
  </w:style>
  <w:style w:type="paragraph" w:customStyle="1" w:styleId="3879">
    <w:name w:val="正文 + 13 磅"/>
    <w:basedOn w:val="1"/>
    <w:qFormat/>
    <w:uiPriority w:val="0"/>
    <w:pPr>
      <w:tabs>
        <w:tab w:val="left" w:pos="540"/>
        <w:tab w:val="left" w:pos="720"/>
      </w:tabs>
      <w:ind w:firstLine="150" w:firstLineChars="150"/>
    </w:pPr>
    <w:rPr>
      <w:rFonts w:eastAsia="宋体" w:cs="黑体"/>
      <w:spacing w:val="-2"/>
      <w:kern w:val="0"/>
      <w:sz w:val="26"/>
      <w:szCs w:val="26"/>
    </w:rPr>
  </w:style>
  <w:style w:type="paragraph" w:customStyle="1" w:styleId="3880">
    <w:name w:val="样式 标题 3条标题1.1.1ReHead 3 WSAh3BSH-3H3b33rd levell3CT标题..."/>
    <w:basedOn w:val="6"/>
    <w:qFormat/>
    <w:uiPriority w:val="0"/>
    <w:pPr>
      <w:tabs>
        <w:tab w:val="left" w:pos="1022"/>
        <w:tab w:val="left" w:pos="1080"/>
        <w:tab w:val="clear" w:pos="1789"/>
      </w:tabs>
      <w:spacing w:before="260" w:line="360" w:lineRule="auto"/>
      <w:ind w:left="0" w:firstLine="0"/>
    </w:pPr>
    <w:rPr>
      <w:rFonts w:hint="eastAsia" w:ascii="宋体" w:hAnsi="宋体" w:eastAsia="宋体" w:cs="宋体"/>
      <w:b w:val="0"/>
      <w:i/>
      <w:iCs/>
      <w:color w:val="000000"/>
      <w:spacing w:val="-2"/>
      <w:sz w:val="28"/>
      <w:szCs w:val="24"/>
    </w:rPr>
  </w:style>
  <w:style w:type="paragraph" w:customStyle="1" w:styleId="3881">
    <w:name w:val="endseries-title"/>
    <w:basedOn w:val="1"/>
    <w:qFormat/>
    <w:uiPriority w:val="0"/>
    <w:pPr>
      <w:widowControl/>
      <w:spacing w:before="100" w:beforeAutospacing="1" w:after="100" w:afterAutospacing="1"/>
      <w:jc w:val="left"/>
    </w:pPr>
    <w:rPr>
      <w:rFonts w:ascii="宋体" w:hAnsi="Calibri" w:eastAsia="宋体" w:cs="宋体"/>
      <w:vanish/>
      <w:spacing w:val="-2"/>
      <w:kern w:val="0"/>
      <w:sz w:val="24"/>
      <w:szCs w:val="21"/>
    </w:rPr>
  </w:style>
  <w:style w:type="paragraph" w:customStyle="1" w:styleId="3882">
    <w:name w:val="itieba"/>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883">
    <w:name w:val="Char2 Char Char Char1"/>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3884">
    <w:name w:val="tip-content"/>
    <w:basedOn w:val="1"/>
    <w:qFormat/>
    <w:uiPriority w:val="0"/>
    <w:pPr>
      <w:widowControl/>
      <w:pBdr>
        <w:top w:val="single" w:color="FFD4AD" w:sz="6" w:space="7"/>
        <w:left w:val="single" w:color="FFD4AD" w:sz="6" w:space="9"/>
        <w:bottom w:val="single" w:color="FFD4AD" w:sz="6" w:space="2"/>
        <w:right w:val="single" w:color="FFD4AD" w:sz="6" w:space="9"/>
      </w:pBdr>
      <w:shd w:val="clear" w:color="auto" w:fill="FFF7F0"/>
      <w:spacing w:before="100" w:beforeAutospacing="1" w:after="100" w:afterAutospacing="1" w:line="330" w:lineRule="atLeast"/>
      <w:jc w:val="left"/>
    </w:pPr>
    <w:rPr>
      <w:rFonts w:ascii="宋体" w:hAnsi="Calibri" w:eastAsia="宋体" w:cs="宋体"/>
      <w:spacing w:val="-2"/>
      <w:kern w:val="0"/>
      <w:szCs w:val="21"/>
    </w:rPr>
  </w:style>
  <w:style w:type="paragraph" w:customStyle="1" w:styleId="3885">
    <w:name w:val="Char Char Char1 Char Char Char Char Char Char"/>
    <w:basedOn w:val="26"/>
    <w:qFormat/>
    <w:uiPriority w:val="0"/>
    <w:pPr>
      <w:adjustRightInd w:val="0"/>
      <w:spacing w:line="436" w:lineRule="exact"/>
      <w:ind w:left="357"/>
      <w:outlineLvl w:val="3"/>
    </w:pPr>
    <w:rPr>
      <w:rFonts w:ascii="Tahoma" w:hAnsi="Tahoma" w:eastAsia="宋体" w:cs="宋体"/>
      <w:b/>
      <w:sz w:val="24"/>
      <w:szCs w:val="24"/>
    </w:rPr>
  </w:style>
  <w:style w:type="paragraph" w:customStyle="1" w:styleId="3886">
    <w:name w:val="一般正文 Char Char"/>
    <w:basedOn w:val="1"/>
    <w:qFormat/>
    <w:uiPriority w:val="0"/>
    <w:pPr>
      <w:adjustRightInd w:val="0"/>
      <w:snapToGrid w:val="0"/>
      <w:spacing w:line="500" w:lineRule="exact"/>
      <w:ind w:firstLine="200" w:firstLineChars="200"/>
    </w:pPr>
    <w:rPr>
      <w:rFonts w:ascii="宋体" w:hAnsi="Calibri" w:eastAsia="宋体" w:cs="黑体"/>
      <w:spacing w:val="-2"/>
      <w:kern w:val="0"/>
      <w:sz w:val="26"/>
      <w:szCs w:val="21"/>
    </w:rPr>
  </w:style>
  <w:style w:type="paragraph" w:customStyle="1" w:styleId="3887">
    <w:name w:val="真宗兴表格标题"/>
    <w:basedOn w:val="1"/>
    <w:qFormat/>
    <w:uiPriority w:val="0"/>
    <w:pPr>
      <w:spacing w:before="93" w:line="400" w:lineRule="atLeast"/>
      <w:ind w:firstLine="200" w:firstLineChars="200"/>
      <w:jc w:val="center"/>
    </w:pPr>
    <w:rPr>
      <w:rFonts w:ascii="黑体" w:hAnsi="Calibri" w:eastAsia="黑体" w:cs="黑体"/>
      <w:spacing w:val="-2"/>
      <w:kern w:val="0"/>
      <w:sz w:val="24"/>
    </w:rPr>
  </w:style>
  <w:style w:type="paragraph" w:customStyle="1" w:styleId="3888">
    <w:name w:val="CM129"/>
    <w:basedOn w:val="762"/>
    <w:next w:val="762"/>
    <w:qFormat/>
    <w:uiPriority w:val="0"/>
    <w:pPr>
      <w:spacing w:after="365"/>
    </w:pPr>
    <w:rPr>
      <w:rFonts w:ascii="仿宋_GB2312" w:hAnsi="Calibri" w:eastAsia="仿宋_GB2312" w:cs="仿宋_GB2312"/>
      <w:kern w:val="2"/>
      <w:sz w:val="24"/>
      <w:szCs w:val="24"/>
    </w:rPr>
  </w:style>
  <w:style w:type="paragraph" w:customStyle="1" w:styleId="3889">
    <w:name w:val="自定正文"/>
    <w:basedOn w:val="1"/>
    <w:qFormat/>
    <w:uiPriority w:val="0"/>
    <w:pPr>
      <w:widowControl/>
      <w:spacing w:line="360" w:lineRule="auto"/>
      <w:ind w:firstLine="480" w:firstLineChars="200"/>
      <w:jc w:val="left"/>
    </w:pPr>
    <w:rPr>
      <w:rFonts w:ascii="Calibri" w:hAnsi="宋体" w:eastAsia="宋体" w:cs="黑体"/>
      <w:sz w:val="24"/>
      <w:szCs w:val="24"/>
    </w:rPr>
  </w:style>
  <w:style w:type="paragraph" w:customStyle="1" w:styleId="3890">
    <w:name w:val="排版正文"/>
    <w:basedOn w:val="1"/>
    <w:next w:val="1"/>
    <w:qFormat/>
    <w:uiPriority w:val="0"/>
    <w:pPr>
      <w:adjustRightInd w:val="0"/>
      <w:snapToGrid w:val="0"/>
      <w:spacing w:line="460" w:lineRule="exact"/>
      <w:ind w:firstLine="510"/>
    </w:pPr>
    <w:rPr>
      <w:rFonts w:eastAsia="宋体" w:cs="黑体"/>
      <w:spacing w:val="-2"/>
      <w:kern w:val="0"/>
      <w:sz w:val="26"/>
    </w:rPr>
  </w:style>
  <w:style w:type="paragraph" w:customStyle="1" w:styleId="3891">
    <w:name w:val="样式 样式 仿宋_GB2312 段前: 0.5 行 段后: 6 磅 行距: 1.5 倍行距 + 首行缩进:  2 字符 段后:...2"/>
    <w:basedOn w:val="1"/>
    <w:qFormat/>
    <w:uiPriority w:val="0"/>
    <w:pPr>
      <w:adjustRightInd w:val="0"/>
      <w:snapToGrid w:val="0"/>
      <w:spacing w:line="300" w:lineRule="auto"/>
      <w:ind w:firstLine="200" w:firstLineChars="200"/>
    </w:pPr>
    <w:rPr>
      <w:rFonts w:ascii="仿宋_GB2312" w:hAnsi="Calibri" w:cs="宋体"/>
      <w:spacing w:val="-2"/>
      <w:kern w:val="0"/>
    </w:rPr>
  </w:style>
  <w:style w:type="paragraph" w:customStyle="1" w:styleId="3892">
    <w:name w:val="样式65"/>
    <w:basedOn w:val="1"/>
    <w:qFormat/>
    <w:uiPriority w:val="0"/>
    <w:pPr>
      <w:widowControl/>
      <w:spacing w:beforeLines="50" w:line="360" w:lineRule="auto"/>
      <w:ind w:firstLine="480" w:firstLineChars="200"/>
    </w:pPr>
    <w:rPr>
      <w:rFonts w:eastAsia="宋体" w:cs="黑体"/>
      <w:spacing w:val="-2"/>
      <w:kern w:val="0"/>
      <w:sz w:val="24"/>
    </w:rPr>
  </w:style>
  <w:style w:type="paragraph" w:customStyle="1" w:styleId="3893">
    <w:name w:val="Char Char Char Char Char Char1"/>
    <w:basedOn w:val="1"/>
    <w:qFormat/>
    <w:uiPriority w:val="0"/>
    <w:rPr>
      <w:rFonts w:eastAsia="宋体" w:cs="黑体"/>
      <w:spacing w:val="-2"/>
      <w:kern w:val="0"/>
    </w:rPr>
  </w:style>
  <w:style w:type="paragraph" w:customStyle="1" w:styleId="3894">
    <w:name w:val="module-block"/>
    <w:basedOn w:val="1"/>
    <w:qFormat/>
    <w:uiPriority w:val="0"/>
    <w:pPr>
      <w:widowControl/>
      <w:shd w:val="clear" w:color="auto" w:fill="FAFAFA"/>
      <w:spacing w:before="100" w:beforeAutospacing="1" w:after="100" w:afterAutospacing="1"/>
      <w:jc w:val="left"/>
    </w:pPr>
    <w:rPr>
      <w:rFonts w:ascii="宋体" w:hAnsi="Calibri" w:eastAsia="宋体" w:cs="宋体"/>
      <w:spacing w:val="-2"/>
      <w:kern w:val="0"/>
      <w:sz w:val="24"/>
      <w:szCs w:val="21"/>
    </w:rPr>
  </w:style>
  <w:style w:type="paragraph" w:customStyle="1" w:styleId="3895">
    <w:name w:val="样式 样式 样式 样式 (西文) 仿宋_GB2312 (中文) 仿宋_GB2312 加粗 段前: 0.5 行 段后: 6 磅 行..."/>
    <w:basedOn w:val="1"/>
    <w:qFormat/>
    <w:uiPriority w:val="0"/>
    <w:pPr>
      <w:spacing w:line="300" w:lineRule="auto"/>
    </w:pPr>
    <w:rPr>
      <w:rFonts w:cs="黑体"/>
      <w:b/>
      <w:bCs/>
      <w:spacing w:val="-2"/>
      <w:kern w:val="0"/>
    </w:rPr>
  </w:style>
  <w:style w:type="paragraph" w:customStyle="1" w:styleId="3896">
    <w:name w:val="Char Char Char Char Char Char Char Char Char Char Char Char2"/>
    <w:basedOn w:val="1"/>
    <w:qFormat/>
    <w:uiPriority w:val="0"/>
    <w:pPr>
      <w:widowControl/>
      <w:spacing w:after="160" w:line="240" w:lineRule="exact"/>
      <w:jc w:val="left"/>
    </w:pPr>
    <w:rPr>
      <w:rFonts w:ascii="Verdana" w:hAnsi="Verdana" w:eastAsia="宋体" w:cs="黑体"/>
      <w:spacing w:val="-2"/>
      <w:kern w:val="0"/>
      <w:sz w:val="20"/>
      <w:lang w:eastAsia="en-US"/>
    </w:rPr>
  </w:style>
  <w:style w:type="paragraph" w:customStyle="1" w:styleId="3897">
    <w:name w:val="CM3"/>
    <w:basedOn w:val="1"/>
    <w:next w:val="1"/>
    <w:qFormat/>
    <w:uiPriority w:val="0"/>
    <w:pPr>
      <w:autoSpaceDE w:val="0"/>
      <w:autoSpaceDN w:val="0"/>
      <w:adjustRightInd w:val="0"/>
      <w:spacing w:line="480" w:lineRule="atLeast"/>
      <w:jc w:val="left"/>
    </w:pPr>
    <w:rPr>
      <w:rFonts w:ascii="TTE1CFADF8t00" w:hAnsi="Calibri" w:eastAsia="TTE1CFADF8t00" w:cs="黑体"/>
      <w:spacing w:val="-2"/>
      <w:kern w:val="0"/>
      <w:sz w:val="24"/>
    </w:rPr>
  </w:style>
  <w:style w:type="paragraph" w:customStyle="1" w:styleId="3898">
    <w:name w:val="表格 21"/>
    <w:qFormat/>
    <w:uiPriority w:val="0"/>
    <w:pPr>
      <w:widowControl w:val="0"/>
      <w:autoSpaceDE w:val="0"/>
      <w:autoSpaceDN w:val="0"/>
      <w:adjustRightInd w:val="0"/>
      <w:jc w:val="center"/>
    </w:pPr>
    <w:rPr>
      <w:rFonts w:ascii="Times New Roman" w:hAnsi="Times New Roman" w:eastAsia="仿宋体" w:cs="Times New Roman"/>
      <w:sz w:val="28"/>
      <w:lang w:val="en-US" w:eastAsia="zh-CN" w:bidi="ar-SA"/>
    </w:rPr>
  </w:style>
  <w:style w:type="paragraph" w:customStyle="1" w:styleId="3899">
    <w:name w:val="样式 标题 1 Char Char + 两端对齐 段前: 2 行 段后: 0.5 行"/>
    <w:basedOn w:val="3"/>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paragraph" w:customStyle="1" w:styleId="3900">
    <w:name w:val="zi1"/>
    <w:basedOn w:val="1"/>
    <w:qFormat/>
    <w:uiPriority w:val="0"/>
    <w:pPr>
      <w:widowControl/>
      <w:spacing w:before="100" w:beforeAutospacing="1" w:after="100" w:afterAutospacing="1"/>
      <w:jc w:val="left"/>
    </w:pPr>
    <w:rPr>
      <w:rFonts w:ascii="宋体" w:hAnsi="Calibri" w:eastAsia="宋体" w:cs="黑体"/>
      <w:spacing w:val="-2"/>
      <w:kern w:val="0"/>
      <w:sz w:val="24"/>
    </w:rPr>
  </w:style>
  <w:style w:type="paragraph" w:customStyle="1" w:styleId="3901">
    <w:name w:val="Char Char1 Char Char Char Char Char Char Char2"/>
    <w:basedOn w:val="1"/>
    <w:qFormat/>
    <w:uiPriority w:val="0"/>
    <w:rPr>
      <w:rFonts w:eastAsia="宋体" w:cs="黑体"/>
      <w:spacing w:val="-2"/>
      <w:kern w:val="0"/>
      <w:sz w:val="24"/>
    </w:rPr>
  </w:style>
  <w:style w:type="paragraph" w:customStyle="1" w:styleId="3902">
    <w:name w:val="注解文字"/>
    <w:basedOn w:val="1"/>
    <w:qFormat/>
    <w:uiPriority w:val="0"/>
    <w:pPr>
      <w:snapToGrid w:val="0"/>
    </w:pPr>
    <w:rPr>
      <w:rFonts w:eastAsia="宋体" w:cs="黑体"/>
      <w:bCs/>
      <w:spacing w:val="-2"/>
      <w:kern w:val="0"/>
      <w:sz w:val="18"/>
      <w:szCs w:val="18"/>
    </w:rPr>
  </w:style>
  <w:style w:type="paragraph" w:customStyle="1" w:styleId="3903">
    <w:name w:val="msg-conten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04">
    <w:name w:val="5号字行距1.0首行缩2"/>
    <w:basedOn w:val="1"/>
    <w:qFormat/>
    <w:uiPriority w:val="0"/>
    <w:pPr>
      <w:ind w:firstLine="200" w:firstLineChars="200"/>
    </w:pPr>
    <w:rPr>
      <w:rFonts w:eastAsia="宋体" w:cs="黑体"/>
      <w:spacing w:val="-2"/>
      <w:kern w:val="0"/>
    </w:rPr>
  </w:style>
  <w:style w:type="paragraph" w:customStyle="1" w:styleId="3905">
    <w:name w:val="relation-table-title"/>
    <w:basedOn w:val="1"/>
    <w:qFormat/>
    <w:uiPriority w:val="0"/>
    <w:pPr>
      <w:widowControl/>
      <w:jc w:val="center"/>
    </w:pPr>
    <w:rPr>
      <w:rFonts w:ascii="宋体" w:hAnsi="Calibri" w:eastAsia="宋体" w:cs="宋体"/>
      <w:spacing w:val="-2"/>
      <w:kern w:val="0"/>
      <w:sz w:val="24"/>
      <w:szCs w:val="21"/>
    </w:rPr>
  </w:style>
  <w:style w:type="paragraph" w:customStyle="1" w:styleId="3906">
    <w:name w:val="b-btn-2"/>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07">
    <w:name w:val="Char Char Char Char Char Char Char Char Char Char Char Char Char Char Char Char Char Char Char Char Char Char Char Char Char Char Char Char Char Char Char Char Char Char Char Char Char Char Char Char"/>
    <w:basedOn w:val="1"/>
    <w:qFormat/>
    <w:uiPriority w:val="0"/>
    <w:rPr>
      <w:rFonts w:eastAsia="宋体" w:cs="黑体"/>
      <w:spacing w:val="-2"/>
      <w:kern w:val="0"/>
      <w:sz w:val="24"/>
    </w:rPr>
  </w:style>
  <w:style w:type="paragraph" w:customStyle="1" w:styleId="3908">
    <w:name w:val="中大正文"/>
    <w:basedOn w:val="1"/>
    <w:qFormat/>
    <w:uiPriority w:val="0"/>
    <w:pPr>
      <w:autoSpaceDE w:val="0"/>
      <w:autoSpaceDN w:val="0"/>
      <w:adjustRightInd w:val="0"/>
      <w:snapToGrid w:val="0"/>
      <w:spacing w:line="360" w:lineRule="auto"/>
      <w:ind w:firstLine="200" w:firstLineChars="200"/>
    </w:pPr>
    <w:rPr>
      <w:rFonts w:ascii="Calibri" w:hAnsi="Calibri" w:eastAsia="宋体" w:cs="Arial"/>
      <w:spacing w:val="-2"/>
      <w:kern w:val="0"/>
      <w:sz w:val="24"/>
      <w:szCs w:val="22"/>
      <w:lang w:val="zh-CN"/>
    </w:rPr>
  </w:style>
  <w:style w:type="paragraph" w:customStyle="1" w:styleId="3909">
    <w:name w:val="小四表文左齐"/>
    <w:basedOn w:val="1"/>
    <w:qFormat/>
    <w:uiPriority w:val="0"/>
    <w:pPr>
      <w:spacing w:line="360" w:lineRule="auto"/>
      <w:jc w:val="center"/>
    </w:pPr>
    <w:rPr>
      <w:rFonts w:ascii="宋体" w:hAnsi="宋体" w:eastAsia="宋体" w:cs="黑体"/>
      <w:spacing w:val="-2"/>
      <w:kern w:val="0"/>
    </w:rPr>
  </w:style>
  <w:style w:type="paragraph" w:customStyle="1" w:styleId="3910">
    <w:name w:val="contri-span"/>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11">
    <w:name w:val="样式 正文文本缩进 2正文文字缩进 2 + 四号 蓝色"/>
    <w:basedOn w:val="52"/>
    <w:qFormat/>
    <w:uiPriority w:val="0"/>
    <w:pPr>
      <w:spacing w:line="480" w:lineRule="exact"/>
      <w:ind w:firstLine="709"/>
    </w:pPr>
    <w:rPr>
      <w:rFonts w:ascii="Arial" w:hAnsi="Arial" w:eastAsia="黑体" w:cs="宋体"/>
      <w:color w:val="0000FF"/>
      <w:szCs w:val="24"/>
    </w:rPr>
  </w:style>
  <w:style w:type="paragraph" w:customStyle="1" w:styleId="3912">
    <w:name w:val="麦志勤标题五"/>
    <w:basedOn w:val="51"/>
    <w:qFormat/>
    <w:uiPriority w:val="0"/>
    <w:pPr>
      <w:snapToGrid w:val="0"/>
      <w:spacing w:beforeLines="100" w:line="300" w:lineRule="auto"/>
      <w:ind w:firstLine="200" w:firstLineChars="200"/>
      <w:outlineLvl w:val="0"/>
    </w:pPr>
    <w:rPr>
      <w:rFonts w:hint="eastAsia" w:ascii="黑体" w:hAnsi="Calibri" w:eastAsia="黑体" w:cs="宋体"/>
      <w:sz w:val="28"/>
      <w:szCs w:val="22"/>
    </w:rPr>
  </w:style>
  <w:style w:type="paragraph" w:customStyle="1" w:styleId="3913">
    <w:name w:val="样式 二级 + 行距: 1.5 倍行距"/>
    <w:basedOn w:val="1"/>
    <w:qFormat/>
    <w:uiPriority w:val="0"/>
    <w:pPr>
      <w:spacing w:line="360" w:lineRule="auto"/>
      <w:outlineLvl w:val="1"/>
    </w:pPr>
    <w:rPr>
      <w:rFonts w:eastAsia="宋体" w:cs="宋体"/>
      <w:b/>
      <w:bCs/>
      <w:spacing w:val="-2"/>
      <w:kern w:val="0"/>
    </w:rPr>
  </w:style>
  <w:style w:type="paragraph" w:customStyle="1" w:styleId="3914">
    <w:name w:val="麦志勤标题5"/>
    <w:basedOn w:val="1"/>
    <w:qFormat/>
    <w:uiPriority w:val="0"/>
    <w:pPr>
      <w:adjustRightInd w:val="0"/>
      <w:snapToGrid w:val="0"/>
      <w:spacing w:beforeLines="100" w:line="300" w:lineRule="auto"/>
      <w:ind w:firstLine="200" w:firstLineChars="200"/>
    </w:pPr>
    <w:rPr>
      <w:rFonts w:ascii="黑体" w:hAnsi="Calibri" w:eastAsia="黑体" w:cs="黑体"/>
      <w:color w:val="000000"/>
      <w:spacing w:val="-2"/>
      <w:kern w:val="0"/>
    </w:rPr>
  </w:style>
  <w:style w:type="paragraph" w:customStyle="1" w:styleId="3915">
    <w:name w:val="15"/>
    <w:basedOn w:val="1"/>
    <w:qFormat/>
    <w:uiPriority w:val="0"/>
    <w:pPr>
      <w:widowControl/>
      <w:pBdr>
        <w:bottom w:val="single" w:color="000000" w:sz="6" w:space="1"/>
      </w:pBdr>
      <w:snapToGrid w:val="0"/>
      <w:spacing w:before="100" w:beforeAutospacing="1" w:after="100" w:afterAutospacing="1"/>
      <w:jc w:val="center"/>
    </w:pPr>
    <w:rPr>
      <w:rFonts w:eastAsia="宋体" w:cs="黑体"/>
      <w:spacing w:val="-2"/>
      <w:kern w:val="0"/>
      <w:sz w:val="18"/>
      <w:szCs w:val="18"/>
    </w:rPr>
  </w:style>
  <w:style w:type="paragraph" w:customStyle="1" w:styleId="3916">
    <w:name w:val="样式 标题 3 + 华文中宋 小三 段前: 6 磅 段后: 6 磅 行距: 多倍行距 1.4 字行"/>
    <w:basedOn w:val="6"/>
    <w:qFormat/>
    <w:uiPriority w:val="0"/>
    <w:pPr>
      <w:keepLines w:val="0"/>
      <w:tabs>
        <w:tab w:val="left" w:pos="42"/>
        <w:tab w:val="left" w:pos="720"/>
        <w:tab w:val="left" w:pos="861"/>
        <w:tab w:val="left" w:pos="1022"/>
        <w:tab w:val="left" w:pos="1080"/>
        <w:tab w:val="clear" w:pos="1789"/>
      </w:tabs>
      <w:spacing w:before="0" w:beforeLines="50" w:after="0" w:line="360" w:lineRule="auto"/>
      <w:ind w:left="694" w:hanging="720"/>
      <w:jc w:val="left"/>
    </w:pPr>
    <w:rPr>
      <w:rFonts w:hint="eastAsia" w:ascii="华文中宋" w:hAnsi="Arial Unicode MS" w:eastAsia="华文中宋" w:cs="Arial"/>
      <w:bCs w:val="0"/>
      <w:i/>
      <w:iCs/>
      <w:color w:val="000000"/>
      <w:spacing w:val="-2"/>
      <w:szCs w:val="30"/>
    </w:rPr>
  </w:style>
  <w:style w:type="paragraph" w:customStyle="1" w:styleId="3917">
    <w:name w:val="小3黑顶"/>
    <w:basedOn w:val="4"/>
    <w:qFormat/>
    <w:uiPriority w:val="0"/>
    <w:pPr>
      <w:tabs>
        <w:tab w:val="left" w:pos="1476"/>
        <w:tab w:val="clear" w:pos="567"/>
      </w:tabs>
      <w:spacing w:before="360" w:after="240" w:line="360" w:lineRule="auto"/>
      <w:ind w:left="840" w:hanging="420"/>
    </w:pPr>
    <w:rPr>
      <w:rFonts w:hAnsi="宋体" w:eastAsia="仿宋_GB2312" w:cs="宋体"/>
      <w:b/>
      <w:color w:val="000000"/>
      <w:spacing w:val="-2"/>
      <w:sz w:val="30"/>
      <w:szCs w:val="30"/>
    </w:rPr>
  </w:style>
  <w:style w:type="paragraph" w:customStyle="1" w:styleId="3918">
    <w:name w:val="封面文字1"/>
    <w:basedOn w:val="1"/>
    <w:qFormat/>
    <w:uiPriority w:val="0"/>
    <w:pPr>
      <w:spacing w:line="300" w:lineRule="auto"/>
      <w:jc w:val="center"/>
    </w:pPr>
    <w:rPr>
      <w:rFonts w:ascii="宋体" w:eastAsia="宋体" w:cs="黑体"/>
      <w:b/>
      <w:spacing w:val="-2"/>
      <w:kern w:val="0"/>
      <w:sz w:val="44"/>
    </w:rPr>
  </w:style>
  <w:style w:type="paragraph" w:customStyle="1" w:styleId="3919">
    <w:name w:val="19"/>
    <w:basedOn w:val="1"/>
    <w:qFormat/>
    <w:uiPriority w:val="0"/>
    <w:pPr>
      <w:widowControl/>
      <w:snapToGrid w:val="0"/>
      <w:spacing w:before="100" w:beforeAutospacing="1" w:after="100" w:afterAutospacing="1" w:line="300" w:lineRule="auto"/>
      <w:ind w:firstLine="482"/>
    </w:pPr>
    <w:rPr>
      <w:rFonts w:eastAsia="宋体" w:cs="黑体"/>
      <w:spacing w:val="-2"/>
      <w:kern w:val="0"/>
      <w:sz w:val="24"/>
    </w:rPr>
  </w:style>
  <w:style w:type="paragraph" w:customStyle="1" w:styleId="3920">
    <w:name w:val="样式35"/>
    <w:basedOn w:val="2773"/>
    <w:qFormat/>
    <w:uiPriority w:val="0"/>
    <w:pPr>
      <w:keepNext/>
      <w:keepLines/>
      <w:tabs>
        <w:tab w:val="left" w:pos="284"/>
        <w:tab w:val="left" w:pos="1131"/>
      </w:tabs>
      <w:spacing w:beforeLines="50" w:line="360" w:lineRule="auto"/>
      <w:ind w:left="113" w:hanging="113"/>
      <w:outlineLvl w:val="3"/>
    </w:pPr>
    <w:rPr>
      <w:rFonts w:cs="宋体"/>
      <w:bCs/>
      <w:color w:val="000000"/>
      <w:spacing w:val="0"/>
      <w:sz w:val="24"/>
      <w:szCs w:val="24"/>
    </w:rPr>
  </w:style>
  <w:style w:type="paragraph" w:customStyle="1" w:styleId="3921">
    <w:name w:val="表标题2"/>
    <w:basedOn w:val="1"/>
    <w:next w:val="1"/>
    <w:qFormat/>
    <w:uiPriority w:val="0"/>
    <w:pPr>
      <w:spacing w:before="120" w:after="120" w:line="300" w:lineRule="auto"/>
      <w:jc w:val="center"/>
    </w:pPr>
    <w:rPr>
      <w:rFonts w:eastAsia="宋体" w:cs="黑体"/>
      <w:spacing w:val="-2"/>
      <w:kern w:val="0"/>
    </w:rPr>
  </w:style>
  <w:style w:type="paragraph" w:customStyle="1" w:styleId="3922">
    <w:name w:val="样式 样式 普通文字 + (西文) Times New Roman (中文) 仿宋_GB2312 四号 首行缩进:  2 字符....1"/>
    <w:basedOn w:val="1"/>
    <w:qFormat/>
    <w:uiPriority w:val="0"/>
    <w:pPr>
      <w:spacing w:line="400" w:lineRule="exact"/>
      <w:ind w:firstLine="200" w:firstLineChars="200"/>
    </w:pPr>
    <w:rPr>
      <w:rFonts w:eastAsia="宋体" w:cs="黑体"/>
      <w:spacing w:val="-2"/>
      <w:kern w:val="0"/>
      <w:sz w:val="24"/>
    </w:rPr>
  </w:style>
  <w:style w:type="paragraph" w:customStyle="1" w:styleId="3923">
    <w:name w:val="图标"/>
    <w:basedOn w:val="1"/>
    <w:qFormat/>
    <w:uiPriority w:val="0"/>
    <w:pPr>
      <w:tabs>
        <w:tab w:val="left" w:pos="1920"/>
      </w:tabs>
      <w:spacing w:line="400" w:lineRule="atLeast"/>
      <w:jc w:val="center"/>
    </w:pPr>
    <w:rPr>
      <w:rFonts w:eastAsia="宋体" w:cs="黑体"/>
      <w:bCs/>
      <w:color w:val="000000"/>
      <w:spacing w:val="-2"/>
      <w:kern w:val="0"/>
      <w:sz w:val="24"/>
      <w:szCs w:val="21"/>
    </w:rPr>
  </w:style>
  <w:style w:type="paragraph" w:customStyle="1" w:styleId="3924">
    <w:name w:val="目录 71"/>
    <w:basedOn w:val="14"/>
    <w:qFormat/>
    <w:uiPriority w:val="0"/>
    <w:pPr>
      <w:ind w:left="567" w:firstLine="425"/>
    </w:pPr>
    <w:rPr>
      <w:rFonts w:eastAsia="宋体" w:cs="黑体"/>
      <w:spacing w:val="-2"/>
      <w:kern w:val="0"/>
      <w:sz w:val="18"/>
      <w:szCs w:val="20"/>
    </w:rPr>
  </w:style>
  <w:style w:type="paragraph" w:customStyle="1" w:styleId="3925">
    <w:name w:val="表文5号"/>
    <w:basedOn w:val="1"/>
    <w:qFormat/>
    <w:uiPriority w:val="0"/>
    <w:pPr>
      <w:snapToGrid w:val="0"/>
      <w:jc w:val="center"/>
    </w:pPr>
    <w:rPr>
      <w:rFonts w:eastAsia="宋体" w:cs="黑体"/>
      <w:spacing w:val="-2"/>
      <w:kern w:val="0"/>
      <w:sz w:val="24"/>
      <w:szCs w:val="21"/>
    </w:rPr>
  </w:style>
  <w:style w:type="paragraph" w:customStyle="1" w:styleId="3926">
    <w:name w:val="remark-banner1"/>
    <w:basedOn w:val="1"/>
    <w:qFormat/>
    <w:uiPriority w:val="0"/>
    <w:pPr>
      <w:widowControl/>
      <w:shd w:val="clear" w:color="auto" w:fill="E3F1FC"/>
      <w:spacing w:before="30" w:after="100" w:afterAutospacing="1" w:line="450" w:lineRule="atLeast"/>
      <w:jc w:val="center"/>
    </w:pPr>
    <w:rPr>
      <w:rFonts w:ascii="宋体" w:hAnsi="Calibri" w:eastAsia="宋体" w:cs="宋体"/>
      <w:spacing w:val="-2"/>
      <w:kern w:val="0"/>
      <w:sz w:val="24"/>
      <w:szCs w:val="21"/>
    </w:rPr>
  </w:style>
  <w:style w:type="paragraph" w:customStyle="1" w:styleId="3927">
    <w:name w:val="发文文号"/>
    <w:basedOn w:val="1"/>
    <w:qFormat/>
    <w:uiPriority w:val="0"/>
    <w:rPr>
      <w:rFonts w:cs="黑体"/>
      <w:spacing w:val="-2"/>
      <w:kern w:val="0"/>
      <w:sz w:val="32"/>
    </w:rPr>
  </w:style>
  <w:style w:type="paragraph" w:customStyle="1" w:styleId="3928">
    <w:name w:val="样式 正文文本编号bt正文文字正文文字1正文文本 Char正文文字 Char Char一级标题封面文字正文文本..."/>
    <w:basedOn w:val="34"/>
    <w:qFormat/>
    <w:uiPriority w:val="0"/>
    <w:pPr>
      <w:spacing w:after="0"/>
      <w:ind w:firstLine="200" w:firstLineChars="200"/>
      <w:jc w:val="center"/>
    </w:pPr>
    <w:rPr>
      <w:rFonts w:ascii="宋体" w:hAnsi="Calibri" w:eastAsia="宋体" w:cs="宋体"/>
      <w:b/>
      <w:bCs/>
      <w:i/>
      <w:iCs/>
      <w:color w:val="000000"/>
      <w:sz w:val="18"/>
      <w:szCs w:val="24"/>
    </w:rPr>
  </w:style>
  <w:style w:type="paragraph" w:customStyle="1" w:styleId="3929">
    <w:name w:val="自定表头"/>
    <w:basedOn w:val="8"/>
    <w:qFormat/>
    <w:uiPriority w:val="0"/>
    <w:pPr>
      <w:adjustRightInd w:val="0"/>
      <w:spacing w:before="0" w:after="0" w:line="360" w:lineRule="auto"/>
      <w:ind w:left="0" w:firstLine="0"/>
      <w:jc w:val="left"/>
    </w:pPr>
    <w:rPr>
      <w:rFonts w:hint="eastAsia" w:ascii="宋体" w:hAnsi="宋体" w:eastAsia="宋体" w:cs="宋体"/>
      <w:b w:val="0"/>
      <w:bCs w:val="0"/>
      <w:spacing w:val="-2"/>
      <w:sz w:val="24"/>
      <w:szCs w:val="20"/>
    </w:rPr>
  </w:style>
  <w:style w:type="paragraph" w:customStyle="1" w:styleId="3930">
    <w:name w:val="样式 小四 行距: 1.5 倍行距2"/>
    <w:basedOn w:val="1"/>
    <w:qFormat/>
    <w:uiPriority w:val="0"/>
    <w:pPr>
      <w:spacing w:line="360" w:lineRule="auto"/>
      <w:ind w:firstLine="480" w:firstLineChars="200"/>
    </w:pPr>
    <w:rPr>
      <w:rFonts w:eastAsia="宋体" w:cs="宋体"/>
      <w:spacing w:val="-2"/>
      <w:kern w:val="0"/>
      <w:sz w:val="24"/>
    </w:rPr>
  </w:style>
  <w:style w:type="paragraph" w:customStyle="1" w:styleId="3931">
    <w:name w:val="tangram_sug_ml"/>
    <w:basedOn w:val="1"/>
    <w:qFormat/>
    <w:uiPriority w:val="0"/>
    <w:pPr>
      <w:widowControl/>
      <w:shd w:val="clear" w:color="auto" w:fill="FFFFFF"/>
      <w:spacing w:before="100" w:beforeAutospacing="1" w:after="100" w:afterAutospacing="1"/>
      <w:jc w:val="left"/>
    </w:pPr>
    <w:rPr>
      <w:rFonts w:ascii="宋体" w:hAnsi="Calibri" w:eastAsia="宋体" w:cs="宋体"/>
      <w:color w:val="000000"/>
      <w:spacing w:val="-2"/>
      <w:kern w:val="0"/>
      <w:sz w:val="24"/>
      <w:szCs w:val="21"/>
    </w:rPr>
  </w:style>
  <w:style w:type="paragraph" w:customStyle="1" w:styleId="3932">
    <w:name w:val="纯文本11"/>
    <w:basedOn w:val="1"/>
    <w:qFormat/>
    <w:uiPriority w:val="0"/>
    <w:pPr>
      <w:adjustRightInd w:val="0"/>
      <w:snapToGrid w:val="0"/>
    </w:pPr>
    <w:rPr>
      <w:rFonts w:ascii="宋体" w:hAnsi="Courier New" w:eastAsia="宋体" w:cs="黑体"/>
      <w:spacing w:val="-2"/>
      <w:kern w:val="0"/>
    </w:rPr>
  </w:style>
  <w:style w:type="paragraph" w:customStyle="1" w:styleId="3933">
    <w:name w:val="普通(网站)13"/>
    <w:basedOn w:val="1"/>
    <w:qFormat/>
    <w:uiPriority w:val="0"/>
    <w:pPr>
      <w:spacing w:before="100" w:beforeAutospacing="1" w:after="100" w:afterAutospacing="1"/>
      <w:ind w:firstLine="200" w:firstLineChars="200"/>
    </w:pPr>
    <w:rPr>
      <w:rFonts w:ascii="宋体" w:hAnsi="Calibri" w:eastAsia="宋体" w:cs="黑体"/>
      <w:spacing w:val="-2"/>
      <w:kern w:val="0"/>
      <w:sz w:val="24"/>
    </w:rPr>
  </w:style>
  <w:style w:type="paragraph" w:customStyle="1" w:styleId="3934">
    <w:name w:val="样式 首行缩进:  0.85 厘米 行距: 1.5 倍行距"/>
    <w:basedOn w:val="1"/>
    <w:qFormat/>
    <w:uiPriority w:val="0"/>
    <w:pPr>
      <w:tabs>
        <w:tab w:val="left" w:pos="840"/>
      </w:tabs>
      <w:ind w:left="840" w:hanging="420"/>
    </w:pPr>
    <w:rPr>
      <w:rFonts w:eastAsia="宋体" w:cs="宋体"/>
      <w:spacing w:val="-2"/>
      <w:kern w:val="0"/>
      <w:sz w:val="24"/>
    </w:rPr>
  </w:style>
  <w:style w:type="paragraph" w:customStyle="1" w:styleId="3935">
    <w:name w:val="usercard-info"/>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36">
    <w:name w:val="检索11"/>
    <w:basedOn w:val="3203"/>
    <w:qFormat/>
    <w:uiPriority w:val="0"/>
    <w:pPr>
      <w:ind w:left="3005"/>
    </w:pPr>
  </w:style>
  <w:style w:type="paragraph" w:customStyle="1" w:styleId="3937">
    <w:name w:val="杜4"/>
    <w:basedOn w:val="34"/>
    <w:next w:val="34"/>
    <w:qFormat/>
    <w:uiPriority w:val="0"/>
    <w:pPr>
      <w:spacing w:line="440" w:lineRule="exact"/>
      <w:ind w:firstLine="556"/>
      <w:jc w:val="left"/>
    </w:pPr>
    <w:rPr>
      <w:rFonts w:ascii="宋体" w:hAnsi="宋体" w:cs="宋体"/>
      <w:i/>
      <w:iCs/>
      <w:color w:val="000000"/>
      <w:sz w:val="24"/>
      <w:szCs w:val="24"/>
    </w:rPr>
  </w:style>
  <w:style w:type="paragraph" w:customStyle="1" w:styleId="3938">
    <w:name w:val="标题11"/>
    <w:basedOn w:val="3"/>
    <w:qFormat/>
    <w:uiPriority w:val="0"/>
    <w:pPr>
      <w:pageBreakBefore w:val="0"/>
      <w:widowControl/>
      <w:tabs>
        <w:tab w:val="clear" w:pos="1080"/>
      </w:tabs>
      <w:spacing w:before="0" w:beforeLines="50" w:after="0" w:line="360" w:lineRule="auto"/>
      <w:ind w:left="0" w:firstLine="0"/>
      <w:jc w:val="left"/>
    </w:pPr>
    <w:rPr>
      <w:rFonts w:ascii="黑体" w:hAnsi="宋体" w:eastAsia="黑体" w:cs="宋体"/>
      <w:bCs/>
      <w:spacing w:val="-2"/>
      <w:sz w:val="30"/>
      <w:szCs w:val="30"/>
    </w:rPr>
  </w:style>
  <w:style w:type="paragraph" w:customStyle="1" w:styleId="3939">
    <w:name w:val="样式 样式 标题 2章宋三一、标题 1.1Title 22 headlinehheadlineS&amp;R2ERMH2...1 + 段...1"/>
    <w:basedOn w:val="3262"/>
    <w:qFormat/>
    <w:uiPriority w:val="0"/>
    <w:pPr>
      <w:spacing w:beforeLines="0"/>
    </w:pPr>
    <w:rPr>
      <w:szCs w:val="20"/>
    </w:rPr>
  </w:style>
  <w:style w:type="paragraph" w:customStyle="1" w:styleId="3940">
    <w:name w:val="样式66"/>
    <w:basedOn w:val="1"/>
    <w:qFormat/>
    <w:uiPriority w:val="0"/>
    <w:pPr>
      <w:spacing w:line="360" w:lineRule="auto"/>
      <w:ind w:firstLine="480"/>
    </w:pPr>
    <w:rPr>
      <w:rFonts w:eastAsia="宋体" w:cs="黑体"/>
      <w:spacing w:val="-2"/>
      <w:kern w:val="0"/>
      <w:sz w:val="24"/>
    </w:rPr>
  </w:style>
  <w:style w:type="paragraph" w:customStyle="1" w:styleId="3941">
    <w:name w:val="body"/>
    <w:basedOn w:val="1"/>
    <w:qFormat/>
    <w:uiPriority w:val="0"/>
    <w:pPr>
      <w:spacing w:line="360" w:lineRule="auto"/>
      <w:ind w:firstLine="480" w:firstLineChars="200"/>
    </w:pPr>
    <w:rPr>
      <w:rFonts w:ascii="宋体" w:cs="黑体"/>
      <w:bCs/>
      <w:spacing w:val="-2"/>
      <w:kern w:val="0"/>
      <w:sz w:val="24"/>
    </w:rPr>
  </w:style>
  <w:style w:type="paragraph" w:customStyle="1" w:styleId="3942">
    <w:name w:val="more_right1"/>
    <w:basedOn w:val="1"/>
    <w:qFormat/>
    <w:uiPriority w:val="0"/>
    <w:pPr>
      <w:widowControl/>
      <w:spacing w:before="100" w:beforeAutospacing="1" w:after="100" w:afterAutospacing="1" w:line="270" w:lineRule="atLeast"/>
      <w:jc w:val="left"/>
    </w:pPr>
    <w:rPr>
      <w:rFonts w:ascii="宋体" w:hAnsi="Calibri" w:eastAsia="宋体" w:cs="宋体"/>
      <w:spacing w:val="-2"/>
      <w:kern w:val="0"/>
      <w:sz w:val="24"/>
      <w:szCs w:val="21"/>
    </w:rPr>
  </w:style>
  <w:style w:type="paragraph" w:customStyle="1" w:styleId="3943">
    <w:name w:val="环评标题2"/>
    <w:basedOn w:val="3"/>
    <w:qFormat/>
    <w:uiPriority w:val="0"/>
    <w:pPr>
      <w:pageBreakBefore w:val="0"/>
      <w:tabs>
        <w:tab w:val="clear" w:pos="1080"/>
      </w:tabs>
      <w:spacing w:before="120" w:after="156" w:line="240" w:lineRule="auto"/>
      <w:ind w:left="0" w:firstLine="0"/>
      <w:jc w:val="left"/>
    </w:pPr>
    <w:rPr>
      <w:rFonts w:ascii="宋体" w:hAnsi="宋体" w:eastAsia="黑体" w:cs="宋体"/>
      <w:b w:val="0"/>
      <w:color w:val="000000"/>
      <w:spacing w:val="-2"/>
      <w:sz w:val="30"/>
    </w:rPr>
  </w:style>
  <w:style w:type="paragraph" w:customStyle="1" w:styleId="3944">
    <w:name w:val="字元 字元 Char Char 字元 字元12"/>
    <w:basedOn w:val="1"/>
    <w:qFormat/>
    <w:uiPriority w:val="0"/>
    <w:rPr>
      <w:rFonts w:eastAsia="宋体" w:cs="黑体"/>
      <w:spacing w:val="-2"/>
      <w:kern w:val="0"/>
      <w:sz w:val="24"/>
    </w:rPr>
  </w:style>
  <w:style w:type="paragraph" w:customStyle="1" w:styleId="3945">
    <w:name w:val="fh"/>
    <w:basedOn w:val="1"/>
    <w:qFormat/>
    <w:uiPriority w:val="0"/>
    <w:pPr>
      <w:widowControl/>
      <w:spacing w:before="100" w:beforeAutospacing="1" w:after="100" w:afterAutospacing="1"/>
      <w:jc w:val="left"/>
    </w:pPr>
    <w:rPr>
      <w:rFonts w:ascii="宋体" w:hAnsi="Calibri" w:eastAsia="宋体" w:cs="宋体"/>
      <w:b/>
      <w:bCs/>
      <w:spacing w:val="-2"/>
      <w:kern w:val="0"/>
      <w:sz w:val="24"/>
      <w:szCs w:val="21"/>
    </w:rPr>
  </w:style>
  <w:style w:type="paragraph" w:customStyle="1" w:styleId="3946">
    <w:name w:val="可研-章标题"/>
    <w:basedOn w:val="1"/>
    <w:next w:val="3947"/>
    <w:qFormat/>
    <w:uiPriority w:val="0"/>
    <w:pPr>
      <w:pageBreakBefore/>
      <w:spacing w:before="500" w:after="300"/>
      <w:jc w:val="left"/>
      <w:outlineLvl w:val="0"/>
    </w:pPr>
    <w:rPr>
      <w:rFonts w:ascii="黑体" w:eastAsia="黑体" w:cs="黑体"/>
      <w:spacing w:val="-2"/>
      <w:kern w:val="32"/>
      <w:sz w:val="32"/>
      <w:szCs w:val="44"/>
    </w:rPr>
  </w:style>
  <w:style w:type="paragraph" w:customStyle="1" w:styleId="3947">
    <w:name w:val="可研-节标题"/>
    <w:next w:val="1"/>
    <w:qFormat/>
    <w:uiPriority w:val="0"/>
    <w:pPr>
      <w:spacing w:line="520" w:lineRule="exact"/>
      <w:outlineLvl w:val="1"/>
    </w:pPr>
    <w:rPr>
      <w:rFonts w:ascii="宋体" w:hAnsi="Times New Roman" w:eastAsia="宋体" w:cs="Times New Roman"/>
      <w:b/>
      <w:sz w:val="28"/>
      <w:lang w:val="en-US" w:eastAsia="zh-CN" w:bidi="ar-SA"/>
    </w:rPr>
  </w:style>
  <w:style w:type="paragraph" w:customStyle="1" w:styleId="3948">
    <w:name w:val="temp1"/>
    <w:basedOn w:val="1"/>
    <w:qFormat/>
    <w:uiPriority w:val="0"/>
    <w:pPr>
      <w:widowControl/>
      <w:pBdr>
        <w:bottom w:val="dashed" w:color="DDDDDD" w:sz="6" w:space="0"/>
      </w:pBdr>
      <w:spacing w:after="150" w:line="450" w:lineRule="atLeast"/>
      <w:ind w:left="60" w:right="60"/>
      <w:jc w:val="left"/>
    </w:pPr>
    <w:rPr>
      <w:rFonts w:ascii="宋体" w:hAnsi="Calibri" w:eastAsia="宋体" w:cs="宋体"/>
      <w:b/>
      <w:bCs/>
      <w:spacing w:val="-2"/>
      <w:kern w:val="0"/>
      <w:sz w:val="24"/>
      <w:szCs w:val="21"/>
    </w:rPr>
  </w:style>
  <w:style w:type="paragraph" w:customStyle="1" w:styleId="3949">
    <w:name w:val="样式 (符号) Bookman Old Style 小四 行距: 1.5 倍行距"/>
    <w:basedOn w:val="1"/>
    <w:qFormat/>
    <w:uiPriority w:val="0"/>
    <w:rPr>
      <w:rFonts w:eastAsia="宋体" w:cs="黑体"/>
      <w:spacing w:val="-2"/>
      <w:kern w:val="0"/>
      <w:sz w:val="24"/>
    </w:rPr>
  </w:style>
  <w:style w:type="paragraph" w:customStyle="1" w:styleId="3950">
    <w:name w:val="标题 35"/>
    <w:basedOn w:val="1"/>
    <w:qFormat/>
    <w:uiPriority w:val="0"/>
    <w:rPr>
      <w:rFonts w:eastAsia="宋体" w:cs="黑体"/>
      <w:spacing w:val="-2"/>
      <w:kern w:val="0"/>
      <w:sz w:val="24"/>
    </w:rPr>
  </w:style>
  <w:style w:type="paragraph" w:customStyle="1" w:styleId="3951">
    <w:name w:val="pexplain"/>
    <w:basedOn w:val="1"/>
    <w:qFormat/>
    <w:uiPriority w:val="0"/>
    <w:pPr>
      <w:widowControl/>
      <w:spacing w:before="45" w:after="100" w:afterAutospacing="1"/>
      <w:ind w:left="300"/>
      <w:jc w:val="left"/>
    </w:pPr>
    <w:rPr>
      <w:rFonts w:ascii="宋体" w:hAnsi="Calibri" w:eastAsia="宋体" w:cs="宋体"/>
      <w:spacing w:val="-2"/>
      <w:kern w:val="0"/>
      <w:sz w:val="24"/>
      <w:szCs w:val="21"/>
    </w:rPr>
  </w:style>
  <w:style w:type="paragraph" w:customStyle="1" w:styleId="3952">
    <w:name w:val="z-窗体底端11"/>
    <w:basedOn w:val="1"/>
    <w:next w:val="1"/>
    <w:qFormat/>
    <w:uiPriority w:val="0"/>
    <w:pPr>
      <w:widowControl/>
      <w:pBdr>
        <w:top w:val="single" w:color="auto" w:sz="6" w:space="1"/>
      </w:pBdr>
      <w:jc w:val="center"/>
    </w:pPr>
    <w:rPr>
      <w:rFonts w:ascii="Arial" w:hAnsi="Arial" w:eastAsia="宋体" w:cs="Arial"/>
      <w:vanish/>
      <w:spacing w:val="-2"/>
      <w:kern w:val="0"/>
      <w:sz w:val="16"/>
      <w:szCs w:val="16"/>
    </w:rPr>
  </w:style>
  <w:style w:type="paragraph" w:customStyle="1" w:styleId="3953">
    <w:name w:val="样式 样式 宋体 四号 行距: 固定值 25 磅1 + 首行缩进:  2 字符"/>
    <w:basedOn w:val="1"/>
    <w:qFormat/>
    <w:uiPriority w:val="0"/>
    <w:pPr>
      <w:spacing w:beforeLines="50" w:line="360" w:lineRule="auto"/>
      <w:ind w:firstLine="464" w:firstLineChars="200"/>
    </w:pPr>
    <w:rPr>
      <w:rFonts w:hAnsi="宋体" w:eastAsia="宋体" w:cs="黑体"/>
      <w:spacing w:val="-4"/>
      <w:kern w:val="0"/>
      <w:sz w:val="24"/>
    </w:rPr>
  </w:style>
  <w:style w:type="paragraph" w:customStyle="1" w:styleId="3954">
    <w:name w:val="Char21"/>
    <w:basedOn w:val="1"/>
    <w:qFormat/>
    <w:uiPriority w:val="0"/>
    <w:pPr>
      <w:spacing w:line="360" w:lineRule="auto"/>
      <w:ind w:firstLine="200" w:firstLineChars="200"/>
    </w:pPr>
    <w:rPr>
      <w:rFonts w:ascii="宋体" w:hAnsi="宋体" w:eastAsia="宋体" w:cs="宋体"/>
      <w:spacing w:val="-2"/>
      <w:kern w:val="0"/>
      <w:sz w:val="24"/>
    </w:rPr>
  </w:style>
  <w:style w:type="paragraph" w:customStyle="1" w:styleId="3955">
    <w:name w:val="样式 标题 2 + 左侧:  0 厘米 悬挂缩进: 5.76 字符 段前: 6 磅 段后: 6 磅 行距: 固定值 20..."/>
    <w:basedOn w:val="4"/>
    <w:qFormat/>
    <w:uiPriority w:val="0"/>
    <w:pPr>
      <w:keepLines w:val="0"/>
      <w:tabs>
        <w:tab w:val="left" w:pos="1476"/>
        <w:tab w:val="clear" w:pos="567"/>
      </w:tabs>
      <w:adjustRightInd w:val="0"/>
      <w:snapToGrid w:val="0"/>
      <w:spacing w:before="0" w:beforeLines="50" w:after="0" w:line="400" w:lineRule="exact"/>
      <w:ind w:left="576" w:hanging="576"/>
    </w:pPr>
    <w:rPr>
      <w:rFonts w:ascii="Arial" w:cs="宋体"/>
      <w:bCs/>
      <w:spacing w:val="-2"/>
      <w:sz w:val="32"/>
    </w:rPr>
  </w:style>
  <w:style w:type="paragraph" w:customStyle="1" w:styleId="3956">
    <w:name w:val="ALT+Z"/>
    <w:basedOn w:val="1"/>
    <w:qFormat/>
    <w:uiPriority w:val="0"/>
    <w:pPr>
      <w:spacing w:line="500" w:lineRule="exact"/>
      <w:ind w:firstLine="200" w:firstLineChars="200"/>
    </w:pPr>
    <w:rPr>
      <w:rFonts w:eastAsia="宋体" w:cs="黑体"/>
      <w:spacing w:val="-2"/>
      <w:kern w:val="0"/>
      <w:sz w:val="24"/>
    </w:rPr>
  </w:style>
  <w:style w:type="paragraph" w:customStyle="1" w:styleId="3957">
    <w:name w:val="mstheme-label"/>
    <w:basedOn w:val="1"/>
    <w:qFormat/>
    <w:uiPriority w:val="0"/>
    <w:pPr>
      <w:spacing w:before="100" w:beforeAutospacing="1" w:after="100" w:afterAutospacing="1"/>
    </w:pPr>
    <w:rPr>
      <w:rFonts w:eastAsia="宋体" w:cs="黑体"/>
      <w:color w:val="000000"/>
      <w:spacing w:val="-2"/>
      <w:kern w:val="0"/>
      <w:sz w:val="16"/>
      <w:szCs w:val="16"/>
    </w:rPr>
  </w:style>
  <w:style w:type="paragraph" w:customStyle="1" w:styleId="3958">
    <w:name w:val="居中"/>
    <w:basedOn w:val="1"/>
    <w:qFormat/>
    <w:uiPriority w:val="0"/>
    <w:pPr>
      <w:widowControl/>
      <w:jc w:val="center"/>
    </w:pPr>
    <w:rPr>
      <w:rFonts w:ascii="宋体" w:hAnsi="宋体" w:eastAsia="宋体" w:cs="宋体"/>
      <w:spacing w:val="-2"/>
      <w:kern w:val="0"/>
      <w:sz w:val="24"/>
    </w:rPr>
  </w:style>
  <w:style w:type="paragraph" w:customStyle="1" w:styleId="3959">
    <w:name w:val="表格用字 Char1"/>
    <w:basedOn w:val="77"/>
    <w:qFormat/>
    <w:uiPriority w:val="0"/>
    <w:pPr>
      <w:spacing w:after="120" w:line="0" w:lineRule="atLeast"/>
      <w:jc w:val="both"/>
    </w:pPr>
    <w:rPr>
      <w:rFonts w:hint="eastAsia" w:ascii="宋体" w:hAnsi="宋体" w:eastAsia="仿宋_GB2312" w:cs="宋体"/>
      <w:sz w:val="24"/>
      <w:szCs w:val="22"/>
    </w:rPr>
  </w:style>
  <w:style w:type="paragraph" w:customStyle="1" w:styleId="3960">
    <w:name w:val="样式 标题 2 + 四号 非加粗"/>
    <w:basedOn w:val="4"/>
    <w:qFormat/>
    <w:uiPriority w:val="0"/>
    <w:pPr>
      <w:keepLines w:val="0"/>
      <w:tabs>
        <w:tab w:val="left" w:pos="1476"/>
        <w:tab w:val="clear" w:pos="567"/>
      </w:tabs>
      <w:adjustRightInd w:val="0"/>
      <w:snapToGrid w:val="0"/>
      <w:spacing w:before="0" w:beforeLines="50" w:after="0" w:line="408" w:lineRule="auto"/>
      <w:ind w:left="0" w:firstLine="0"/>
    </w:pPr>
    <w:rPr>
      <w:rFonts w:ascii="Arial" w:cs="宋体"/>
      <w:bCs/>
      <w:spacing w:val="-2"/>
    </w:rPr>
  </w:style>
  <w:style w:type="paragraph" w:customStyle="1" w:styleId="3961">
    <w:name w:val="Char Char Char Char Char Char2 Char Char Char2 Char"/>
    <w:basedOn w:val="1"/>
    <w:qFormat/>
    <w:uiPriority w:val="0"/>
    <w:rPr>
      <w:rFonts w:eastAsia="宋体" w:cs="黑体"/>
      <w:spacing w:val="-2"/>
      <w:kern w:val="0"/>
      <w:sz w:val="24"/>
    </w:rPr>
  </w:style>
  <w:style w:type="paragraph" w:customStyle="1" w:styleId="3962">
    <w:name w:val="样式 宋体 小四"/>
    <w:basedOn w:val="1"/>
    <w:qFormat/>
    <w:uiPriority w:val="0"/>
    <w:pPr>
      <w:snapToGrid w:val="0"/>
      <w:spacing w:line="480" w:lineRule="exact"/>
    </w:pPr>
    <w:rPr>
      <w:rFonts w:eastAsia="宋体" w:cs="黑体"/>
      <w:spacing w:val="-2"/>
      <w:kern w:val="0"/>
      <w:sz w:val="24"/>
    </w:rPr>
  </w:style>
  <w:style w:type="paragraph" w:customStyle="1" w:styleId="3963">
    <w:name w:val="c-gray"/>
    <w:basedOn w:val="1"/>
    <w:qFormat/>
    <w:uiPriority w:val="0"/>
    <w:pPr>
      <w:widowControl/>
      <w:spacing w:before="100" w:beforeAutospacing="1" w:after="100" w:afterAutospacing="1"/>
      <w:jc w:val="left"/>
    </w:pPr>
    <w:rPr>
      <w:rFonts w:ascii="宋体" w:hAnsi="Calibri" w:eastAsia="宋体" w:cs="宋体"/>
      <w:color w:val="808080"/>
      <w:spacing w:val="-2"/>
      <w:kern w:val="0"/>
      <w:sz w:val="24"/>
      <w:szCs w:val="21"/>
    </w:rPr>
  </w:style>
  <w:style w:type="paragraph" w:customStyle="1" w:styleId="3964">
    <w:name w:val="pic"/>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65">
    <w:name w:val="批注框文本12"/>
    <w:basedOn w:val="1"/>
    <w:qFormat/>
    <w:uiPriority w:val="0"/>
    <w:rPr>
      <w:rFonts w:eastAsia="宋体" w:cs="黑体"/>
      <w:spacing w:val="-2"/>
      <w:kern w:val="0"/>
      <w:sz w:val="18"/>
      <w:szCs w:val="18"/>
    </w:rPr>
  </w:style>
  <w:style w:type="paragraph" w:customStyle="1" w:styleId="3966">
    <w:name w:val="日期12"/>
    <w:basedOn w:val="1"/>
    <w:next w:val="1"/>
    <w:qFormat/>
    <w:uiPriority w:val="0"/>
    <w:pPr>
      <w:autoSpaceDE w:val="0"/>
      <w:autoSpaceDN w:val="0"/>
      <w:adjustRightInd w:val="0"/>
    </w:pPr>
    <w:rPr>
      <w:rFonts w:eastAsia="宋体" w:cs="黑体"/>
      <w:spacing w:val="5"/>
      <w:kern w:val="0"/>
      <w:sz w:val="24"/>
    </w:rPr>
  </w:style>
  <w:style w:type="paragraph" w:customStyle="1" w:styleId="3967">
    <w:name w:val="contri-img"/>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68">
    <w:name w:val="样式 正文首行缩进 + 首行缩进:  2 字符1"/>
    <w:basedOn w:val="41"/>
    <w:qFormat/>
    <w:uiPriority w:val="0"/>
    <w:pPr>
      <w:spacing w:after="0" w:line="360" w:lineRule="auto"/>
      <w:ind w:firstLine="480" w:firstLineChars="200"/>
    </w:pPr>
    <w:rPr>
      <w:rFonts w:hint="eastAsia" w:ascii="宋体" w:hAnsi="宋体" w:eastAsia="宋体" w:cs="宋体"/>
      <w:sz w:val="24"/>
      <w:szCs w:val="24"/>
    </w:rPr>
  </w:style>
  <w:style w:type="paragraph" w:customStyle="1" w:styleId="3969">
    <w:name w:val="xl1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color w:val="008080"/>
      <w:spacing w:val="-2"/>
      <w:kern w:val="0"/>
      <w:sz w:val="24"/>
    </w:rPr>
  </w:style>
  <w:style w:type="paragraph" w:customStyle="1" w:styleId="3970">
    <w:name w:val="自正文1 Char Char"/>
    <w:basedOn w:val="1"/>
    <w:qFormat/>
    <w:uiPriority w:val="0"/>
    <w:pPr>
      <w:tabs>
        <w:tab w:val="left" w:pos="0"/>
      </w:tabs>
      <w:adjustRightInd w:val="0"/>
      <w:snapToGrid w:val="0"/>
      <w:spacing w:line="400" w:lineRule="exact"/>
      <w:ind w:firstLine="200" w:firstLineChars="200"/>
    </w:pPr>
    <w:rPr>
      <w:rFonts w:ascii="宋体" w:hAnsi="Calibri" w:eastAsia="宋体" w:cs="黑体"/>
      <w:spacing w:val="-2"/>
      <w:kern w:val="24"/>
      <w:sz w:val="24"/>
    </w:rPr>
  </w:style>
  <w:style w:type="paragraph" w:customStyle="1" w:styleId="3971">
    <w:name w:val="环评标题2.."/>
    <w:basedOn w:val="3"/>
    <w:next w:val="1"/>
    <w:qFormat/>
    <w:uiPriority w:val="0"/>
    <w:pPr>
      <w:pageBreakBefore w:val="0"/>
      <w:tabs>
        <w:tab w:val="clear" w:pos="1080"/>
      </w:tabs>
      <w:spacing w:before="156" w:after="156" w:line="240" w:lineRule="auto"/>
      <w:ind w:left="0" w:firstLine="0"/>
      <w:jc w:val="left"/>
    </w:pPr>
    <w:rPr>
      <w:rFonts w:ascii="宋体" w:hAnsi="宋体" w:eastAsia="黑体" w:cs="宋体"/>
      <w:b w:val="0"/>
      <w:spacing w:val="-2"/>
      <w:sz w:val="28"/>
    </w:rPr>
  </w:style>
  <w:style w:type="paragraph" w:customStyle="1" w:styleId="3972">
    <w:name w:val="holder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3973">
    <w:name w:val="样式 标题 1Head 1wsah1 + 三号 黑色 段前: 12 磅 段后: 12 磅 行距: 1.5 倍行距"/>
    <w:basedOn w:val="3"/>
    <w:qFormat/>
    <w:uiPriority w:val="0"/>
    <w:pPr>
      <w:keepNext w:val="0"/>
      <w:keepLines w:val="0"/>
      <w:pageBreakBefore w:val="0"/>
      <w:tabs>
        <w:tab w:val="left" w:pos="0"/>
        <w:tab w:val="clear" w:pos="1080"/>
      </w:tabs>
      <w:snapToGrid w:val="0"/>
      <w:spacing w:before="0" w:beforeLines="100" w:after="0" w:line="360" w:lineRule="auto"/>
      <w:ind w:left="0" w:firstLine="0"/>
    </w:pPr>
    <w:rPr>
      <w:rFonts w:ascii="宋体" w:hAnsi="宋体" w:cs="宋体"/>
      <w:spacing w:val="-2"/>
      <w:szCs w:val="36"/>
    </w:rPr>
  </w:style>
  <w:style w:type="paragraph" w:customStyle="1" w:styleId="3974">
    <w:name w:val="mb101"/>
    <w:basedOn w:val="1"/>
    <w:qFormat/>
    <w:uiPriority w:val="0"/>
    <w:pPr>
      <w:widowControl/>
      <w:spacing w:before="100" w:beforeAutospacing="1" w:after="150"/>
      <w:jc w:val="left"/>
    </w:pPr>
    <w:rPr>
      <w:rFonts w:ascii="宋体" w:hAnsi="Calibri" w:eastAsia="宋体" w:cs="宋体"/>
      <w:spacing w:val="-2"/>
      <w:kern w:val="0"/>
      <w:sz w:val="24"/>
      <w:szCs w:val="21"/>
    </w:rPr>
  </w:style>
  <w:style w:type="paragraph" w:customStyle="1" w:styleId="3975">
    <w:name w:val="正文文本缩进 22"/>
    <w:basedOn w:val="1"/>
    <w:qFormat/>
    <w:uiPriority w:val="0"/>
    <w:pPr>
      <w:ind w:firstLine="416"/>
    </w:pPr>
    <w:rPr>
      <w:rFonts w:ascii="Calibri" w:hAnsi="Calibri" w:eastAsia="宋体" w:cs="黑体"/>
      <w:sz w:val="21"/>
      <w:szCs w:val="24"/>
    </w:rPr>
  </w:style>
  <w:style w:type="paragraph" w:customStyle="1" w:styleId="3976">
    <w:name w:val="我的标题1"/>
    <w:basedOn w:val="1"/>
    <w:qFormat/>
    <w:uiPriority w:val="0"/>
    <w:pPr>
      <w:spacing w:line="460" w:lineRule="exact"/>
      <w:ind w:firstLine="192" w:firstLineChars="192"/>
      <w:outlineLvl w:val="0"/>
    </w:pPr>
    <w:rPr>
      <w:rFonts w:ascii="黑体" w:eastAsia="黑体" w:cs="黑体"/>
      <w:spacing w:val="-2"/>
      <w:kern w:val="0"/>
      <w:sz w:val="32"/>
    </w:rPr>
  </w:style>
  <w:style w:type="paragraph" w:customStyle="1" w:styleId="3977">
    <w:name w:val="byline"/>
    <w:basedOn w:val="1"/>
    <w:qFormat/>
    <w:uiPriority w:val="0"/>
    <w:pPr>
      <w:adjustRightInd w:val="0"/>
      <w:snapToGrid w:val="0"/>
      <w:spacing w:before="100" w:beforeAutospacing="1" w:after="100" w:afterAutospacing="1" w:line="300" w:lineRule="auto"/>
    </w:pPr>
    <w:rPr>
      <w:rFonts w:ascii="Verdana" w:hAnsi="Verdana" w:eastAsia="宋体" w:cs="黑体"/>
      <w:i/>
      <w:iCs/>
      <w:color w:val="000000"/>
      <w:spacing w:val="-2"/>
      <w:kern w:val="0"/>
      <w:sz w:val="24"/>
      <w:szCs w:val="18"/>
    </w:rPr>
  </w:style>
  <w:style w:type="paragraph" w:customStyle="1" w:styleId="3978">
    <w:name w:val="Plain Text1"/>
    <w:basedOn w:val="1"/>
    <w:qFormat/>
    <w:uiPriority w:val="0"/>
    <w:pPr>
      <w:adjustRightInd w:val="0"/>
      <w:spacing w:line="360" w:lineRule="auto"/>
      <w:ind w:firstLine="465"/>
    </w:pPr>
    <w:rPr>
      <w:rFonts w:ascii="宋体" w:hAnsi="Courier New" w:eastAsia="宋体" w:cs="黑体"/>
      <w:spacing w:val="-2"/>
      <w:kern w:val="0"/>
      <w:sz w:val="24"/>
    </w:rPr>
  </w:style>
  <w:style w:type="paragraph" w:customStyle="1" w:styleId="3979">
    <w:name w:val="正文＋黑体"/>
    <w:basedOn w:val="1"/>
    <w:qFormat/>
    <w:uiPriority w:val="0"/>
    <w:pPr>
      <w:spacing w:beforeLines="50"/>
      <w:ind w:firstLine="200" w:firstLineChars="200"/>
    </w:pPr>
    <w:rPr>
      <w:rFonts w:ascii="Arial" w:hAnsi="Arial" w:eastAsia="黑体" w:cs="黑体"/>
      <w:spacing w:val="-2"/>
      <w:kern w:val="0"/>
      <w:sz w:val="24"/>
    </w:rPr>
  </w:style>
  <w:style w:type="paragraph" w:customStyle="1" w:styleId="3980">
    <w:name w:val="样式 标题 3 + 黑体 小四 非加粗 段前: 0.5 行 段后: 0 磅 行距: 多倍行距 1.73 字行"/>
    <w:basedOn w:val="6"/>
    <w:qFormat/>
    <w:uiPriority w:val="0"/>
    <w:pPr>
      <w:tabs>
        <w:tab w:val="left" w:pos="0"/>
        <w:tab w:val="left" w:pos="1022"/>
        <w:tab w:val="left" w:pos="1080"/>
        <w:tab w:val="left" w:pos="1620"/>
        <w:tab w:val="clear" w:pos="1789"/>
      </w:tabs>
      <w:snapToGrid w:val="0"/>
      <w:spacing w:after="260" w:line="408" w:lineRule="auto"/>
      <w:ind w:left="1620" w:firstLine="420"/>
    </w:pPr>
    <w:rPr>
      <w:rFonts w:hint="eastAsia" w:ascii="黑体" w:hAnsi="Arial Unicode MS" w:eastAsia="宋体" w:cs="宋体"/>
      <w:b w:val="0"/>
      <w:i/>
      <w:iCs/>
      <w:color w:val="000000"/>
      <w:spacing w:val="4"/>
      <w:sz w:val="28"/>
    </w:rPr>
  </w:style>
  <w:style w:type="paragraph" w:customStyle="1" w:styleId="3981">
    <w:name w:val="main-body1"/>
    <w:basedOn w:val="1"/>
    <w:qFormat/>
    <w:uiPriority w:val="0"/>
    <w:pPr>
      <w:widowControl/>
      <w:spacing w:after="100" w:afterAutospacing="1"/>
      <w:jc w:val="left"/>
    </w:pPr>
    <w:rPr>
      <w:rFonts w:ascii="宋体" w:hAnsi="Calibri" w:eastAsia="宋体" w:cs="宋体"/>
      <w:spacing w:val="-2"/>
      <w:kern w:val="0"/>
      <w:sz w:val="24"/>
      <w:szCs w:val="21"/>
    </w:rPr>
  </w:style>
  <w:style w:type="paragraph" w:customStyle="1" w:styleId="3982">
    <w:name w:val="t_text"/>
    <w:basedOn w:val="1"/>
    <w:qFormat/>
    <w:uiPriority w:val="0"/>
    <w:pPr>
      <w:widowControl/>
      <w:spacing w:before="100" w:after="100" w:line="300" w:lineRule="atLeast"/>
      <w:jc w:val="left"/>
    </w:pPr>
    <w:rPr>
      <w:rFonts w:ascii="宋体" w:hAnsi="Calibri" w:eastAsia="宋体" w:cs="黑体"/>
      <w:spacing w:val="-2"/>
      <w:kern w:val="0"/>
      <w:sz w:val="24"/>
    </w:rPr>
  </w:style>
  <w:style w:type="paragraph" w:customStyle="1" w:styleId="3983">
    <w:name w:val="样式 Arial 小四 行距: 1.5 倍行距"/>
    <w:basedOn w:val="1"/>
    <w:qFormat/>
    <w:uiPriority w:val="0"/>
    <w:pPr>
      <w:ind w:firstLine="200" w:firstLineChars="200"/>
    </w:pPr>
    <w:rPr>
      <w:rFonts w:eastAsia="宋体" w:cs="黑体"/>
      <w:spacing w:val="-2"/>
      <w:kern w:val="0"/>
      <w:sz w:val="24"/>
    </w:rPr>
  </w:style>
  <w:style w:type="paragraph" w:customStyle="1" w:styleId="3984">
    <w:name w:val="tipmain"/>
    <w:basedOn w:val="1"/>
    <w:qFormat/>
    <w:uiPriority w:val="0"/>
    <w:pPr>
      <w:widowControl/>
      <w:pBdr>
        <w:top w:val="single" w:color="FFD4AD" w:sz="6" w:space="0"/>
        <w:left w:val="single" w:color="FFD4AD" w:sz="6" w:space="8"/>
        <w:bottom w:val="single" w:color="FFD4AD" w:sz="6" w:space="0"/>
        <w:right w:val="single" w:color="FFD4AD" w:sz="6" w:space="8"/>
      </w:pBdr>
      <w:shd w:val="clear" w:color="auto" w:fill="FFF7F0"/>
      <w:spacing w:before="100" w:beforeAutospacing="1" w:after="100" w:afterAutospacing="1" w:line="300" w:lineRule="atLeast"/>
      <w:jc w:val="left"/>
    </w:pPr>
    <w:rPr>
      <w:rFonts w:ascii="宋体" w:hAnsi="Calibri" w:eastAsia="宋体" w:cs="宋体"/>
      <w:color w:val="535353"/>
      <w:spacing w:val="-2"/>
      <w:kern w:val="0"/>
      <w:sz w:val="24"/>
      <w:szCs w:val="21"/>
    </w:rPr>
  </w:style>
  <w:style w:type="paragraph" w:customStyle="1" w:styleId="3985">
    <w:name w:val="Char Char Char Char Char Char4"/>
    <w:basedOn w:val="1"/>
    <w:qFormat/>
    <w:uiPriority w:val="0"/>
    <w:rPr>
      <w:rFonts w:eastAsia="宋体" w:cs="黑体"/>
      <w:spacing w:val="-2"/>
      <w:kern w:val="0"/>
      <w:sz w:val="24"/>
    </w:rPr>
  </w:style>
  <w:style w:type="paragraph" w:customStyle="1" w:styleId="3986">
    <w:name w:val="table-title3"/>
    <w:basedOn w:val="1"/>
    <w:qFormat/>
    <w:uiPriority w:val="0"/>
    <w:pPr>
      <w:widowControl/>
      <w:spacing w:before="100" w:beforeAutospacing="1" w:after="100" w:afterAutospacing="1"/>
      <w:jc w:val="left"/>
    </w:pPr>
    <w:rPr>
      <w:rFonts w:ascii="宋体" w:hAnsi="Calibri" w:eastAsia="宋体" w:cs="宋体"/>
      <w:color w:val="000000"/>
      <w:spacing w:val="-2"/>
      <w:kern w:val="0"/>
      <w:sz w:val="24"/>
      <w:szCs w:val="21"/>
    </w:rPr>
  </w:style>
  <w:style w:type="paragraph" w:customStyle="1" w:styleId="3987">
    <w:name w:val="报告表  段"/>
    <w:basedOn w:val="1"/>
    <w:qFormat/>
    <w:uiPriority w:val="0"/>
    <w:pPr>
      <w:adjustRightInd w:val="0"/>
      <w:spacing w:before="93" w:after="93"/>
      <w:ind w:firstLine="505"/>
    </w:pPr>
    <w:rPr>
      <w:rFonts w:ascii="宋体" w:hAnsi="Calibri" w:eastAsia="宋体" w:cs="黑体"/>
      <w:spacing w:val="-2"/>
      <w:kern w:val="0"/>
      <w:sz w:val="24"/>
    </w:rPr>
  </w:style>
  <w:style w:type="paragraph" w:customStyle="1" w:styleId="3988">
    <w:name w:val="Char Char Char Char Char Char Char Char Char Char6"/>
    <w:basedOn w:val="1"/>
    <w:qFormat/>
    <w:uiPriority w:val="0"/>
    <w:pPr>
      <w:adjustRightInd w:val="0"/>
      <w:spacing w:line="360" w:lineRule="auto"/>
      <w:ind w:firstLine="225" w:firstLineChars="225"/>
      <w:jc w:val="left"/>
    </w:pPr>
    <w:rPr>
      <w:rFonts w:ascii="宋体" w:hAnsi="Calibri" w:eastAsia="宋体" w:cs="宋体"/>
      <w:spacing w:val="-2"/>
      <w:kern w:val="0"/>
      <w:sz w:val="24"/>
      <w:szCs w:val="21"/>
    </w:rPr>
  </w:style>
  <w:style w:type="paragraph" w:customStyle="1" w:styleId="3989">
    <w:name w:val="3 Char Char Char Char Char Char Char"/>
    <w:basedOn w:val="1"/>
    <w:qFormat/>
    <w:uiPriority w:val="0"/>
    <w:pPr>
      <w:adjustRightInd w:val="0"/>
      <w:snapToGrid w:val="0"/>
      <w:spacing w:line="400" w:lineRule="exact"/>
      <w:ind w:firstLine="200" w:firstLineChars="200"/>
    </w:pPr>
    <w:rPr>
      <w:rFonts w:eastAsia="宋体" w:cs="黑体"/>
      <w:spacing w:val="-2"/>
      <w:kern w:val="0"/>
      <w:sz w:val="24"/>
    </w:rPr>
  </w:style>
  <w:style w:type="paragraph" w:customStyle="1" w:styleId="3990">
    <w:name w:val="芳标题3（大）"/>
    <w:basedOn w:val="1"/>
    <w:qFormat/>
    <w:uiPriority w:val="0"/>
    <w:rPr>
      <w:rFonts w:ascii="Arial" w:hAnsi="Arial" w:eastAsia="黑体" w:cs="黑体"/>
      <w:spacing w:val="-2"/>
      <w:kern w:val="0"/>
    </w:rPr>
  </w:style>
  <w:style w:type="paragraph" w:customStyle="1" w:styleId="3991">
    <w:name w:val="notice"/>
    <w:basedOn w:val="1"/>
    <w:qFormat/>
    <w:uiPriority w:val="0"/>
    <w:pPr>
      <w:widowControl/>
      <w:spacing w:before="100" w:beforeAutospacing="1" w:after="100" w:afterAutospacing="1"/>
      <w:jc w:val="left"/>
    </w:pPr>
    <w:rPr>
      <w:rFonts w:ascii="宋体" w:hAnsi="Calibri" w:eastAsia="宋体" w:cs="宋体"/>
      <w:color w:val="333333"/>
      <w:spacing w:val="-2"/>
      <w:kern w:val="0"/>
      <w:sz w:val="24"/>
      <w:szCs w:val="21"/>
    </w:rPr>
  </w:style>
  <w:style w:type="paragraph" w:customStyle="1" w:styleId="3992">
    <w:name w:val="题2"/>
    <w:basedOn w:val="1"/>
    <w:qFormat/>
    <w:uiPriority w:val="0"/>
    <w:pPr>
      <w:spacing w:line="500" w:lineRule="exact"/>
      <w:jc w:val="center"/>
    </w:pPr>
    <w:rPr>
      <w:rFonts w:ascii="宋体" w:eastAsia="宋体" w:cs="黑体"/>
      <w:spacing w:val="-2"/>
      <w:kern w:val="0"/>
      <w:sz w:val="24"/>
    </w:rPr>
  </w:style>
  <w:style w:type="paragraph" w:customStyle="1" w:styleId="3993">
    <w:name w:val="样式 (西文) Times New Roman (符号) 宋体 加粗 居中 行距: 1.5 倍行距"/>
    <w:basedOn w:val="1"/>
    <w:qFormat/>
    <w:uiPriority w:val="0"/>
    <w:pPr>
      <w:spacing w:line="360" w:lineRule="auto"/>
      <w:jc w:val="center"/>
    </w:pPr>
    <w:rPr>
      <w:rFonts w:hAnsi="宋体" w:eastAsia="宋体" w:cs="宋体"/>
      <w:b/>
      <w:bCs/>
      <w:spacing w:val="-2"/>
      <w:kern w:val="0"/>
    </w:rPr>
  </w:style>
  <w:style w:type="paragraph" w:customStyle="1" w:styleId="3994">
    <w:name w:val="add1"/>
    <w:basedOn w:val="1"/>
    <w:qFormat/>
    <w:uiPriority w:val="0"/>
    <w:pPr>
      <w:widowControl/>
      <w:jc w:val="left"/>
    </w:pPr>
    <w:rPr>
      <w:rFonts w:ascii="宋体" w:hAnsi="Calibri" w:eastAsia="宋体" w:cs="宋体"/>
      <w:color w:val="3366CC"/>
      <w:spacing w:val="-2"/>
      <w:kern w:val="0"/>
      <w:sz w:val="24"/>
      <w:szCs w:val="21"/>
    </w:rPr>
  </w:style>
  <w:style w:type="paragraph" w:customStyle="1" w:styleId="3995">
    <w:name w:val="样式 标题 5 + 居中 段前: 0 磅 段后: 0 磅 行距: 1.5 倍行距"/>
    <w:basedOn w:val="8"/>
    <w:qFormat/>
    <w:uiPriority w:val="0"/>
    <w:pPr>
      <w:keepNext w:val="0"/>
      <w:keepLines w:val="0"/>
      <w:spacing w:before="0" w:after="0" w:line="500" w:lineRule="exact"/>
      <w:ind w:left="2100" w:hanging="420"/>
      <w:jc w:val="center"/>
    </w:pPr>
    <w:rPr>
      <w:rFonts w:hint="eastAsia" w:ascii="宋体" w:hAnsi="宋体" w:eastAsia="宋体" w:cs="宋体"/>
      <w:b w:val="0"/>
      <w:spacing w:val="-2"/>
      <w:sz w:val="24"/>
      <w:szCs w:val="20"/>
    </w:rPr>
  </w:style>
  <w:style w:type="paragraph" w:customStyle="1" w:styleId="3996">
    <w:name w:val="样式 标题 2节 + 隶书 小三"/>
    <w:basedOn w:val="4"/>
    <w:qFormat/>
    <w:uiPriority w:val="0"/>
    <w:pPr>
      <w:tabs>
        <w:tab w:val="left" w:pos="1476"/>
        <w:tab w:val="clear" w:pos="567"/>
      </w:tabs>
      <w:spacing w:before="100" w:beforeAutospacing="1" w:after="100" w:afterAutospacing="1" w:line="360" w:lineRule="auto"/>
      <w:ind w:left="0" w:firstLine="200"/>
      <w:jc w:val="left"/>
    </w:pPr>
    <w:rPr>
      <w:rFonts w:ascii="隶书" w:hAnsi="隶书" w:cs="宋体"/>
      <w:bCs/>
      <w:spacing w:val="-2"/>
      <w:szCs w:val="28"/>
    </w:rPr>
  </w:style>
  <w:style w:type="paragraph" w:customStyle="1" w:styleId="3997">
    <w:name w:val="样式5 Char Char Char"/>
    <w:basedOn w:val="1"/>
    <w:qFormat/>
    <w:uiPriority w:val="0"/>
    <w:pPr>
      <w:ind w:firstLine="200" w:firstLineChars="200"/>
    </w:pPr>
    <w:rPr>
      <w:rFonts w:eastAsia="宋体" w:cs="黑体"/>
      <w:spacing w:val="-2"/>
      <w:kern w:val="0"/>
      <w:sz w:val="24"/>
    </w:rPr>
  </w:style>
  <w:style w:type="paragraph" w:customStyle="1" w:styleId="3998">
    <w:name w:val="样式 标题 3H3H31H32H33H311H321H34H35H36H37H38H39H310H3..."/>
    <w:basedOn w:val="6"/>
    <w:qFormat/>
    <w:uiPriority w:val="0"/>
    <w:pPr>
      <w:tabs>
        <w:tab w:val="left" w:pos="0"/>
        <w:tab w:val="left" w:pos="900"/>
        <w:tab w:val="left" w:pos="1022"/>
        <w:tab w:val="left" w:pos="1080"/>
        <w:tab w:val="left" w:pos="1191"/>
        <w:tab w:val="clear" w:pos="1789"/>
      </w:tabs>
      <w:spacing w:before="0" w:after="0" w:line="336" w:lineRule="auto"/>
      <w:ind w:left="1190"/>
      <w:jc w:val="left"/>
    </w:pPr>
    <w:rPr>
      <w:rFonts w:hint="eastAsia" w:ascii="宋体" w:hAnsi="宋体" w:eastAsia="宋体" w:cs="宋体"/>
      <w:i/>
      <w:iCs/>
      <w:color w:val="000000"/>
      <w:spacing w:val="-2"/>
      <w:sz w:val="28"/>
    </w:rPr>
  </w:style>
  <w:style w:type="paragraph" w:customStyle="1" w:styleId="3999">
    <w:name w:val="环小四表题"/>
    <w:basedOn w:val="1"/>
    <w:qFormat/>
    <w:uiPriority w:val="0"/>
    <w:pPr>
      <w:wordWrap w:val="0"/>
      <w:jc w:val="right"/>
    </w:pPr>
    <w:rPr>
      <w:rFonts w:ascii="宋体" w:hAnsi="Calibri" w:eastAsia="宋体" w:cs="黑体"/>
      <w:b/>
      <w:spacing w:val="-2"/>
      <w:kern w:val="0"/>
      <w:sz w:val="24"/>
    </w:rPr>
  </w:style>
  <w:style w:type="paragraph" w:customStyle="1" w:styleId="4000">
    <w:name w:val="粤东核电报告正文 Char"/>
    <w:basedOn w:val="1"/>
    <w:qFormat/>
    <w:uiPriority w:val="0"/>
    <w:pPr>
      <w:spacing w:line="360" w:lineRule="auto"/>
      <w:ind w:right="210" w:firstLine="480" w:firstLineChars="200"/>
      <w:jc w:val="left"/>
    </w:pPr>
    <w:rPr>
      <w:rFonts w:ascii="宋体" w:hAnsi="宋体" w:eastAsia="宋体" w:cs="宋体"/>
      <w:b/>
      <w:sz w:val="24"/>
      <w:szCs w:val="24"/>
    </w:rPr>
  </w:style>
  <w:style w:type="paragraph" w:customStyle="1" w:styleId="4001">
    <w:name w:val="样式 标题 2标题 21标题 121 + Times New Roman 小三 非加粗 黑色 段前: 8 磅 段...1"/>
    <w:basedOn w:val="4"/>
    <w:qFormat/>
    <w:uiPriority w:val="0"/>
    <w:pPr>
      <w:tabs>
        <w:tab w:val="left" w:pos="1476"/>
        <w:tab w:val="clear" w:pos="567"/>
      </w:tabs>
      <w:spacing w:before="160" w:after="160"/>
      <w:ind w:left="2507" w:hanging="1247"/>
    </w:pPr>
    <w:rPr>
      <w:rFonts w:ascii="宋体" w:hAnsi="宋体" w:cs="宋体"/>
      <w:color w:val="000000"/>
      <w:spacing w:val="-2"/>
      <w:sz w:val="30"/>
    </w:rPr>
  </w:style>
  <w:style w:type="paragraph" w:customStyle="1" w:styleId="4002">
    <w:name w:val="正文34"/>
    <w:basedOn w:val="1"/>
    <w:qFormat/>
    <w:uiPriority w:val="0"/>
    <w:pPr>
      <w:snapToGrid w:val="0"/>
      <w:spacing w:after="120" w:line="324" w:lineRule="auto"/>
      <w:ind w:firstLine="200" w:firstLineChars="200"/>
    </w:pPr>
    <w:rPr>
      <w:rFonts w:ascii="Arial" w:hAnsi="Arial" w:eastAsia="宋体" w:cs="黑体"/>
      <w:bCs/>
      <w:spacing w:val="-2"/>
      <w:kern w:val="0"/>
      <w:sz w:val="24"/>
    </w:rPr>
  </w:style>
  <w:style w:type="paragraph" w:customStyle="1" w:styleId="4003">
    <w:name w:val="sublist-span2"/>
    <w:basedOn w:val="1"/>
    <w:qFormat/>
    <w:uiPriority w:val="0"/>
    <w:pPr>
      <w:widowControl/>
      <w:spacing w:before="100" w:beforeAutospacing="1" w:after="100" w:afterAutospacing="1"/>
      <w:jc w:val="left"/>
    </w:pPr>
    <w:rPr>
      <w:rFonts w:ascii="宋体" w:hAnsi="Calibri" w:eastAsia="宋体" w:cs="宋体"/>
      <w:vanish/>
      <w:spacing w:val="-2"/>
      <w:kern w:val="0"/>
      <w:sz w:val="24"/>
      <w:szCs w:val="21"/>
    </w:rPr>
  </w:style>
  <w:style w:type="paragraph" w:customStyle="1" w:styleId="4004">
    <w:name w:val="usertitle"/>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05">
    <w:name w:val="检索6"/>
    <w:basedOn w:val="3203"/>
    <w:qFormat/>
    <w:uiPriority w:val="0"/>
    <w:pPr>
      <w:ind w:left="1588"/>
    </w:pPr>
  </w:style>
  <w:style w:type="paragraph" w:customStyle="1" w:styleId="4006">
    <w:name w:val="样式 标题3 + (符号) 黑体"/>
    <w:basedOn w:val="1"/>
    <w:qFormat/>
    <w:uiPriority w:val="0"/>
    <w:pPr>
      <w:keepNext/>
      <w:keepLines/>
      <w:spacing w:before="60" w:after="60"/>
    </w:pPr>
    <w:rPr>
      <w:rFonts w:ascii="黑体" w:hAnsi="Calibri" w:eastAsia="黑体" w:cs="黑体"/>
      <w:spacing w:val="-2"/>
      <w:kern w:val="0"/>
      <w:szCs w:val="28"/>
    </w:rPr>
  </w:style>
  <w:style w:type="paragraph" w:customStyle="1" w:styleId="4007">
    <w:name w:val="样式 标题 2章宋三一、标题 1.1Title 22 headlinehheadlineS&amp;R2ERMH2..."/>
    <w:basedOn w:val="4"/>
    <w:qFormat/>
    <w:uiPriority w:val="0"/>
    <w:pPr>
      <w:keepLines w:val="0"/>
      <w:tabs>
        <w:tab w:val="left" w:pos="1476"/>
        <w:tab w:val="clear" w:pos="567"/>
      </w:tabs>
      <w:adjustRightInd w:val="0"/>
      <w:snapToGrid w:val="0"/>
      <w:spacing w:before="0" w:beforeLines="50" w:after="0"/>
      <w:ind w:left="578" w:hanging="578"/>
    </w:pPr>
    <w:rPr>
      <w:rFonts w:ascii="Arial" w:eastAsia="宋体" w:cs="宋体"/>
      <w:b/>
      <w:spacing w:val="-2"/>
      <w:szCs w:val="24"/>
    </w:rPr>
  </w:style>
  <w:style w:type="paragraph" w:customStyle="1" w:styleId="4008">
    <w:name w:val="card-summary"/>
    <w:basedOn w:val="1"/>
    <w:qFormat/>
    <w:uiPriority w:val="0"/>
    <w:pPr>
      <w:widowControl/>
      <w:shd w:val="clear" w:color="auto" w:fill="FFFFFF"/>
      <w:spacing w:before="100" w:beforeAutospacing="1" w:after="375"/>
      <w:jc w:val="left"/>
    </w:pPr>
    <w:rPr>
      <w:rFonts w:ascii="宋体" w:hAnsi="Calibri" w:eastAsia="宋体" w:cs="宋体"/>
      <w:spacing w:val="-2"/>
      <w:kern w:val="0"/>
      <w:szCs w:val="21"/>
    </w:rPr>
  </w:style>
  <w:style w:type="paragraph" w:customStyle="1" w:styleId="4009">
    <w:name w:val="样式67"/>
    <w:basedOn w:val="1"/>
    <w:qFormat/>
    <w:uiPriority w:val="0"/>
    <w:pPr>
      <w:keepNext/>
      <w:keepLines/>
      <w:spacing w:beforeLines="50" w:line="360" w:lineRule="auto"/>
      <w:outlineLvl w:val="2"/>
    </w:pPr>
    <w:rPr>
      <w:rFonts w:eastAsia="宋体" w:cs="黑体"/>
      <w:b/>
      <w:bCs/>
      <w:spacing w:val="-2"/>
      <w:kern w:val="0"/>
      <w:sz w:val="24"/>
    </w:rPr>
  </w:style>
  <w:style w:type="paragraph" w:customStyle="1" w:styleId="4010">
    <w:name w:val="麦志勤标题6"/>
    <w:basedOn w:val="1"/>
    <w:qFormat/>
    <w:uiPriority w:val="0"/>
    <w:pPr>
      <w:adjustRightInd w:val="0"/>
      <w:snapToGrid w:val="0"/>
      <w:spacing w:beforeLines="100" w:line="300" w:lineRule="auto"/>
      <w:ind w:firstLine="200" w:firstLineChars="200"/>
    </w:pPr>
    <w:rPr>
      <w:rFonts w:ascii="黑体" w:hAnsi="宋体" w:eastAsia="黑体" w:cs="宋体"/>
      <w:b/>
      <w:i/>
      <w:iCs/>
      <w:color w:val="000000"/>
      <w:sz w:val="18"/>
      <w:szCs w:val="24"/>
    </w:rPr>
  </w:style>
  <w:style w:type="paragraph" w:customStyle="1" w:styleId="4011">
    <w:name w:val="xl1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spacing w:val="-2"/>
      <w:kern w:val="0"/>
      <w:sz w:val="24"/>
    </w:rPr>
  </w:style>
  <w:style w:type="paragraph" w:customStyle="1" w:styleId="4012">
    <w:name w:val="中气正文"/>
    <w:basedOn w:val="1"/>
    <w:qFormat/>
    <w:uiPriority w:val="0"/>
    <w:pPr>
      <w:spacing w:line="360" w:lineRule="auto"/>
      <w:ind w:firstLine="200" w:firstLineChars="200"/>
    </w:pPr>
    <w:rPr>
      <w:rFonts w:eastAsia="宋体" w:cs="黑体"/>
      <w:spacing w:val="-2"/>
      <w:kern w:val="0"/>
      <w:sz w:val="24"/>
    </w:rPr>
  </w:style>
  <w:style w:type="paragraph" w:customStyle="1" w:styleId="4013">
    <w:name w:val="宗兴2"/>
    <w:basedOn w:val="1"/>
    <w:qFormat/>
    <w:uiPriority w:val="0"/>
    <w:pPr>
      <w:keepNext/>
      <w:keepLines/>
      <w:spacing w:beforeLines="100" w:line="400" w:lineRule="exact"/>
      <w:outlineLvl w:val="1"/>
    </w:pPr>
    <w:rPr>
      <w:rFonts w:ascii="Arial" w:hAnsi="Arial" w:eastAsia="黑体" w:cs="宋体"/>
      <w:b/>
      <w:bCs/>
      <w:color w:val="0000FF"/>
      <w:spacing w:val="-2"/>
      <w:kern w:val="0"/>
      <w:sz w:val="32"/>
    </w:rPr>
  </w:style>
  <w:style w:type="paragraph" w:customStyle="1" w:styleId="4014">
    <w:name w:val="第四层次"/>
    <w:basedOn w:val="4"/>
    <w:qFormat/>
    <w:uiPriority w:val="0"/>
    <w:pPr>
      <w:keepNext w:val="0"/>
      <w:keepLines w:val="0"/>
      <w:tabs>
        <w:tab w:val="left" w:pos="0"/>
        <w:tab w:val="left" w:pos="1476"/>
        <w:tab w:val="clear" w:pos="567"/>
      </w:tabs>
      <w:adjustRightInd w:val="0"/>
      <w:snapToGrid w:val="0"/>
      <w:spacing w:before="0" w:beforeLines="50" w:after="0" w:line="360" w:lineRule="auto"/>
      <w:ind w:left="0" w:firstLine="0"/>
    </w:pPr>
    <w:rPr>
      <w:rFonts w:ascii="宋体" w:hAnsi="宋体" w:eastAsia="宋体" w:cs="宋体"/>
      <w:b/>
      <w:bCs/>
      <w:spacing w:val="-2"/>
      <w:kern w:val="0"/>
      <w:sz w:val="30"/>
    </w:rPr>
  </w:style>
  <w:style w:type="paragraph" w:customStyle="1" w:styleId="4015">
    <w:name w:val="Char Char Char13"/>
    <w:basedOn w:val="1"/>
    <w:qFormat/>
    <w:uiPriority w:val="0"/>
    <w:pPr>
      <w:keepNext/>
      <w:tabs>
        <w:tab w:val="left" w:pos="425"/>
      </w:tabs>
      <w:autoSpaceDE w:val="0"/>
      <w:autoSpaceDN w:val="0"/>
      <w:adjustRightInd w:val="0"/>
      <w:spacing w:before="80" w:after="80"/>
      <w:ind w:hanging="425"/>
    </w:pPr>
    <w:rPr>
      <w:rFonts w:ascii="Arial" w:hAnsi="Arial" w:eastAsia="宋体" w:cs="Arial"/>
      <w:spacing w:val="-2"/>
      <w:kern w:val="0"/>
      <w:sz w:val="20"/>
    </w:rPr>
  </w:style>
  <w:style w:type="paragraph" w:customStyle="1" w:styleId="4016">
    <w:name w:val="05子条"/>
    <w:basedOn w:val="1"/>
    <w:qFormat/>
    <w:uiPriority w:val="0"/>
    <w:pPr>
      <w:tabs>
        <w:tab w:val="left" w:pos="-2126"/>
      </w:tabs>
      <w:spacing w:before="60" w:after="60" w:line="360" w:lineRule="auto"/>
      <w:ind w:left="851"/>
      <w:outlineLvl w:val="4"/>
    </w:pPr>
    <w:rPr>
      <w:rFonts w:eastAsia="宋体" w:cs="黑体"/>
      <w:spacing w:val="-2"/>
      <w:kern w:val="0"/>
      <w:sz w:val="24"/>
    </w:rPr>
  </w:style>
  <w:style w:type="paragraph" w:customStyle="1" w:styleId="4017">
    <w:name w:val="表内5S"/>
    <w:basedOn w:val="1"/>
    <w:qFormat/>
    <w:uiPriority w:val="0"/>
    <w:pPr>
      <w:spacing w:line="300" w:lineRule="exact"/>
      <w:ind w:firstLine="200" w:firstLineChars="200"/>
    </w:pPr>
    <w:rPr>
      <w:rFonts w:ascii="宋体" w:hAnsi="宋体" w:eastAsia="方正宋三简体" w:cs="黑体"/>
      <w:spacing w:val="-2"/>
      <w:kern w:val="0"/>
      <w:sz w:val="24"/>
    </w:rPr>
  </w:style>
  <w:style w:type="paragraph" w:customStyle="1" w:styleId="4018">
    <w:name w:val="headlines"/>
    <w:basedOn w:val="1"/>
    <w:qFormat/>
    <w:uiPriority w:val="0"/>
    <w:pPr>
      <w:widowControl/>
      <w:spacing w:before="100" w:beforeAutospacing="1" w:after="100" w:afterAutospacing="1"/>
      <w:jc w:val="center"/>
    </w:pPr>
    <w:rPr>
      <w:rFonts w:eastAsia="宋体" w:cs="黑体"/>
      <w:color w:val="FF0000"/>
      <w:spacing w:val="-2"/>
      <w:kern w:val="0"/>
      <w:sz w:val="36"/>
      <w:szCs w:val="36"/>
    </w:rPr>
  </w:style>
  <w:style w:type="paragraph" w:customStyle="1" w:styleId="4019">
    <w:name w:val="ref-url-tex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20">
    <w:name w:val="tsina"/>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21">
    <w:name w:val="正文一"/>
    <w:basedOn w:val="1"/>
    <w:qFormat/>
    <w:uiPriority w:val="0"/>
    <w:pPr>
      <w:ind w:firstLine="200" w:firstLineChars="200"/>
    </w:pPr>
    <w:rPr>
      <w:rFonts w:eastAsia="宋体" w:cs="黑体"/>
      <w:spacing w:val="-2"/>
      <w:kern w:val="0"/>
    </w:rPr>
  </w:style>
  <w:style w:type="paragraph" w:customStyle="1" w:styleId="4022">
    <w:name w:val="样式49"/>
    <w:basedOn w:val="2773"/>
    <w:qFormat/>
    <w:uiPriority w:val="0"/>
    <w:pPr>
      <w:tabs>
        <w:tab w:val="left" w:pos="1200"/>
      </w:tabs>
      <w:spacing w:line="360" w:lineRule="auto"/>
      <w:ind w:firstLine="480" w:firstLineChars="200"/>
    </w:pPr>
    <w:rPr>
      <w:rFonts w:cs="宋体"/>
      <w:spacing w:val="0"/>
      <w:sz w:val="24"/>
      <w:szCs w:val="24"/>
    </w:rPr>
  </w:style>
  <w:style w:type="paragraph" w:customStyle="1" w:styleId="4023">
    <w:name w:val="样式 标题 4标题 a标题 4 Char + 行距: 固定值 25 磅"/>
    <w:basedOn w:val="7"/>
    <w:qFormat/>
    <w:uiPriority w:val="0"/>
    <w:pPr>
      <w:keepNext w:val="0"/>
      <w:keepLines w:val="0"/>
      <w:tabs>
        <w:tab w:val="left" w:pos="0"/>
        <w:tab w:val="left" w:pos="2153"/>
        <w:tab w:val="clear" w:pos="4008"/>
      </w:tabs>
      <w:spacing w:beforeLines="50" w:line="360" w:lineRule="auto"/>
      <w:ind w:left="0" w:firstLine="0"/>
      <w:jc w:val="left"/>
    </w:pPr>
    <w:rPr>
      <w:rFonts w:ascii="宋体" w:hAnsi="宋体" w:eastAsia="宋体" w:cs="宋体"/>
      <w:b w:val="0"/>
      <w:color w:val="auto"/>
      <w:spacing w:val="-2"/>
      <w:szCs w:val="24"/>
      <w:lang w:val="zh-CN"/>
    </w:rPr>
  </w:style>
  <w:style w:type="paragraph" w:customStyle="1" w:styleId="4024">
    <w:name w:val="样式 标题 1章节标题章标题 1-*+h11st levelSection Headl1b1本标题不使用篇标...1"/>
    <w:basedOn w:val="3"/>
    <w:qFormat/>
    <w:uiPriority w:val="0"/>
    <w:pPr>
      <w:pageBreakBefore w:val="0"/>
      <w:tabs>
        <w:tab w:val="clear" w:pos="1080"/>
      </w:tabs>
      <w:spacing w:before="0" w:beforeLines="100" w:after="0" w:line="360" w:lineRule="auto"/>
      <w:ind w:left="0" w:firstLine="0"/>
      <w:jc w:val="left"/>
    </w:pPr>
    <w:rPr>
      <w:rFonts w:ascii="宋体" w:hAnsi="宋体" w:cs="宋体"/>
      <w:bCs/>
      <w:spacing w:val="-2"/>
      <w:sz w:val="28"/>
    </w:rPr>
  </w:style>
  <w:style w:type="paragraph" w:customStyle="1" w:styleId="4025">
    <w:name w:val="Char12"/>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4026">
    <w:name w:val="sublist-span1"/>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27">
    <w:name w:val="reader-word-layer reader-word-s1-20 reader-word-s1-21"/>
    <w:basedOn w:val="1"/>
    <w:qFormat/>
    <w:uiPriority w:val="0"/>
    <w:pPr>
      <w:widowControl/>
      <w:spacing w:before="100" w:beforeAutospacing="1" w:after="100" w:afterAutospacing="1"/>
      <w:jc w:val="left"/>
    </w:pPr>
    <w:rPr>
      <w:rFonts w:ascii="宋体" w:hAnsi="Calibri" w:eastAsia="宋体" w:cs="宋体"/>
      <w:spacing w:val="-2"/>
      <w:kern w:val="0"/>
      <w:sz w:val="24"/>
    </w:rPr>
  </w:style>
  <w:style w:type="paragraph" w:customStyle="1" w:styleId="4028">
    <w:name w:val="明显引用2"/>
    <w:basedOn w:val="1"/>
    <w:next w:val="1"/>
    <w:qFormat/>
    <w:uiPriority w:val="0"/>
    <w:pPr>
      <w:pBdr>
        <w:bottom w:val="single" w:color="4F81BD" w:sz="4" w:space="4"/>
      </w:pBdr>
      <w:spacing w:before="200" w:after="280" w:line="360" w:lineRule="auto"/>
      <w:ind w:left="936" w:right="936" w:firstLine="200" w:firstLineChars="200"/>
    </w:pPr>
    <w:rPr>
      <w:rFonts w:eastAsia="宋体" w:cs="黑体"/>
      <w:b/>
      <w:bCs/>
      <w:i/>
      <w:iCs/>
      <w:color w:val="4F81BD"/>
      <w:spacing w:val="-2"/>
      <w:kern w:val="0"/>
      <w:sz w:val="24"/>
    </w:rPr>
  </w:style>
  <w:style w:type="paragraph" w:customStyle="1" w:styleId="4029">
    <w:name w:val="款项"/>
    <w:basedOn w:val="1"/>
    <w:qFormat/>
    <w:uiPriority w:val="0"/>
    <w:pPr>
      <w:spacing w:beforeLines="50"/>
    </w:pPr>
    <w:rPr>
      <w:rFonts w:ascii="黑体" w:hAnsi="Calibri" w:eastAsia="黑体" w:cs="黑体"/>
      <w:spacing w:val="-2"/>
      <w:kern w:val="0"/>
      <w:sz w:val="24"/>
    </w:rPr>
  </w:style>
  <w:style w:type="paragraph" w:customStyle="1" w:styleId="4030">
    <w:name w:val="样式 标题 2第几节 + 首行缩进:  1.05 厘米 段前: 0.5 行"/>
    <w:basedOn w:val="4"/>
    <w:qFormat/>
    <w:uiPriority w:val="0"/>
    <w:pPr>
      <w:tabs>
        <w:tab w:val="left" w:pos="1476"/>
        <w:tab w:val="clear" w:pos="567"/>
      </w:tabs>
      <w:spacing w:before="0" w:after="0" w:line="560" w:lineRule="exact"/>
      <w:ind w:left="0" w:firstLine="0"/>
      <w:jc w:val="left"/>
    </w:pPr>
    <w:rPr>
      <w:rFonts w:ascii="宋体" w:hAnsi="宋体" w:eastAsia="宋体" w:cs="宋体"/>
      <w:b/>
      <w:bCs/>
      <w:spacing w:val="-2"/>
      <w:w w:val="99"/>
      <w:kern w:val="28"/>
      <w:sz w:val="30"/>
    </w:rPr>
  </w:style>
  <w:style w:type="paragraph" w:customStyle="1" w:styleId="4031">
    <w:name w:val="1111111"/>
    <w:basedOn w:val="1"/>
    <w:qFormat/>
    <w:uiPriority w:val="0"/>
    <w:pPr>
      <w:autoSpaceDE w:val="0"/>
      <w:autoSpaceDN w:val="0"/>
      <w:adjustRightInd w:val="0"/>
      <w:spacing w:line="360" w:lineRule="auto"/>
      <w:ind w:firstLine="200" w:firstLineChars="200"/>
      <w:jc w:val="left"/>
    </w:pPr>
    <w:rPr>
      <w:rFonts w:ascii="宋体" w:hAnsi="宋体" w:eastAsia="黑体" w:cs="宋体"/>
      <w:b/>
      <w:bCs/>
      <w:spacing w:val="-2"/>
      <w:kern w:val="0"/>
      <w:szCs w:val="32"/>
    </w:rPr>
  </w:style>
  <w:style w:type="paragraph" w:customStyle="1" w:styleId="4032">
    <w:name w:val="公式"/>
    <w:basedOn w:val="1"/>
    <w:qFormat/>
    <w:uiPriority w:val="0"/>
    <w:pPr>
      <w:adjustRightInd w:val="0"/>
      <w:spacing w:before="60" w:line="394" w:lineRule="atLeast"/>
      <w:ind w:firstLine="465"/>
      <w:jc w:val="center"/>
    </w:pPr>
    <w:rPr>
      <w:rFonts w:ascii="宋体" w:eastAsia="宋体" w:cs="黑体"/>
      <w:spacing w:val="-2"/>
      <w:kern w:val="0"/>
      <w:sz w:val="24"/>
    </w:rPr>
  </w:style>
  <w:style w:type="paragraph" w:customStyle="1" w:styleId="4033">
    <w:name w:val="样式 正文首行缩进 2 + 首行缩进:  2 字符"/>
    <w:basedOn w:val="87"/>
    <w:qFormat/>
    <w:uiPriority w:val="0"/>
    <w:pPr>
      <w:spacing w:line="360" w:lineRule="auto"/>
      <w:ind w:left="0" w:leftChars="0" w:firstLine="200"/>
    </w:pPr>
    <w:rPr>
      <w:rFonts w:ascii="宋体" w:hAnsi="宋体" w:eastAsia="宋体" w:cs="宋体"/>
      <w:sz w:val="24"/>
    </w:rPr>
  </w:style>
  <w:style w:type="paragraph" w:customStyle="1" w:styleId="4034">
    <w:name w:val="样式 样式 首行缩进:  2 字符 行距: 1.5 倍行距 + 首行缩进:  2 字符1"/>
    <w:basedOn w:val="1"/>
    <w:qFormat/>
    <w:uiPriority w:val="0"/>
    <w:pPr>
      <w:widowControl/>
      <w:adjustRightInd w:val="0"/>
      <w:snapToGrid w:val="0"/>
      <w:spacing w:line="460" w:lineRule="exact"/>
      <w:ind w:firstLine="200" w:firstLineChars="200"/>
    </w:pPr>
    <w:rPr>
      <w:rFonts w:eastAsia="宋体" w:cs="黑体"/>
      <w:spacing w:val="-2"/>
      <w:kern w:val="0"/>
      <w:sz w:val="24"/>
    </w:rPr>
  </w:style>
  <w:style w:type="paragraph" w:customStyle="1" w:styleId="4035">
    <w:name w:val="表里文字"/>
    <w:basedOn w:val="1"/>
    <w:qFormat/>
    <w:uiPriority w:val="0"/>
    <w:pPr>
      <w:adjustRightInd w:val="0"/>
      <w:snapToGrid w:val="0"/>
      <w:spacing w:line="240" w:lineRule="atLeast"/>
      <w:jc w:val="center"/>
    </w:pPr>
    <w:rPr>
      <w:rFonts w:eastAsia="宋体" w:cs="黑体"/>
      <w:iCs/>
      <w:spacing w:val="-2"/>
      <w:kern w:val="0"/>
      <w:szCs w:val="21"/>
    </w:rPr>
  </w:style>
  <w:style w:type="paragraph" w:customStyle="1" w:styleId="4036">
    <w:name w:val="样式50"/>
    <w:basedOn w:val="2773"/>
    <w:qFormat/>
    <w:uiPriority w:val="0"/>
    <w:pPr>
      <w:tabs>
        <w:tab w:val="left" w:pos="1200"/>
      </w:tabs>
      <w:spacing w:line="360" w:lineRule="auto"/>
      <w:ind w:firstLine="480" w:firstLineChars="200"/>
    </w:pPr>
    <w:rPr>
      <w:rFonts w:cs="宋体"/>
      <w:spacing w:val="0"/>
      <w:sz w:val="24"/>
      <w:szCs w:val="24"/>
    </w:rPr>
  </w:style>
  <w:style w:type="paragraph" w:customStyle="1" w:styleId="4037">
    <w:name w:val="正文文本缩进 211"/>
    <w:basedOn w:val="1"/>
    <w:qFormat/>
    <w:uiPriority w:val="0"/>
    <w:pPr>
      <w:adjustRightInd w:val="0"/>
      <w:ind w:firstLine="560"/>
    </w:pPr>
    <w:rPr>
      <w:rFonts w:eastAsia="宋体" w:cs="黑体"/>
      <w:spacing w:val="-2"/>
      <w:kern w:val="0"/>
    </w:rPr>
  </w:style>
  <w:style w:type="paragraph" w:customStyle="1" w:styleId="4038">
    <w:name w:val="样式 四号 行距: 固定值 24 磅"/>
    <w:basedOn w:val="1"/>
    <w:qFormat/>
    <w:uiPriority w:val="0"/>
    <w:pPr>
      <w:spacing w:line="480" w:lineRule="exact"/>
      <w:ind w:firstLine="200" w:firstLineChars="200"/>
    </w:pPr>
    <w:rPr>
      <w:rFonts w:eastAsia="宋体" w:cs="黑体"/>
      <w:spacing w:val="-2"/>
      <w:kern w:val="0"/>
      <w:sz w:val="24"/>
    </w:rPr>
  </w:style>
  <w:style w:type="paragraph" w:customStyle="1" w:styleId="4039">
    <w:name w:val="lm"/>
    <w:basedOn w:val="1"/>
    <w:qFormat/>
    <w:uiPriority w:val="0"/>
    <w:pPr>
      <w:widowControl/>
      <w:spacing w:before="100" w:beforeAutospacing="1" w:after="100" w:afterAutospacing="1"/>
      <w:jc w:val="left"/>
    </w:pPr>
    <w:rPr>
      <w:rFonts w:ascii="宋体" w:hAnsi="宋体" w:eastAsia="宋体" w:cs="宋体"/>
      <w:color w:val="000000"/>
      <w:spacing w:val="-2"/>
      <w:kern w:val="0"/>
      <w:sz w:val="24"/>
    </w:rPr>
  </w:style>
  <w:style w:type="paragraph" w:customStyle="1" w:styleId="4040">
    <w:name w:val="样式 样式41 + 加粗 红色"/>
    <w:basedOn w:val="1"/>
    <w:qFormat/>
    <w:uiPriority w:val="0"/>
    <w:rPr>
      <w:rFonts w:eastAsia="楷体_GB2312" w:cs="黑体"/>
      <w:b/>
      <w:bCs/>
      <w:color w:val="FF0000"/>
      <w:spacing w:val="-2"/>
      <w:kern w:val="0"/>
      <w:sz w:val="24"/>
    </w:rPr>
  </w:style>
  <w:style w:type="paragraph" w:customStyle="1" w:styleId="4041">
    <w:name w:val="小小标题"/>
    <w:basedOn w:val="1"/>
    <w:qFormat/>
    <w:uiPriority w:val="0"/>
    <w:pPr>
      <w:adjustRightInd w:val="0"/>
      <w:spacing w:line="360" w:lineRule="atLeast"/>
      <w:jc w:val="left"/>
    </w:pPr>
    <w:rPr>
      <w:rFonts w:ascii="宋体" w:eastAsia="宋体" w:cs="黑体"/>
      <w:spacing w:val="20"/>
      <w:kern w:val="0"/>
      <w:sz w:val="24"/>
    </w:rPr>
  </w:style>
  <w:style w:type="paragraph" w:customStyle="1" w:styleId="4042">
    <w:name w:val="字元 字元"/>
    <w:basedOn w:val="1"/>
    <w:qFormat/>
    <w:uiPriority w:val="0"/>
    <w:pPr>
      <w:adjustRightInd w:val="0"/>
      <w:snapToGrid w:val="0"/>
      <w:ind w:firstLine="200" w:firstLineChars="200"/>
    </w:pPr>
    <w:rPr>
      <w:rFonts w:eastAsia="宋体" w:cs="黑体"/>
      <w:spacing w:val="-2"/>
      <w:kern w:val="0"/>
      <w:sz w:val="24"/>
    </w:rPr>
  </w:style>
  <w:style w:type="paragraph" w:customStyle="1" w:styleId="4043">
    <w:name w:val="relation-control-enter-edit"/>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44">
    <w:name w:val="样式 标题 1 + 红色 Char"/>
    <w:basedOn w:val="3"/>
    <w:qFormat/>
    <w:uiPriority w:val="0"/>
    <w:pPr>
      <w:keepNext w:val="0"/>
      <w:keepLines w:val="0"/>
      <w:pageBreakBefore w:val="0"/>
      <w:tabs>
        <w:tab w:val="clear" w:pos="1080"/>
      </w:tabs>
      <w:snapToGrid w:val="0"/>
      <w:spacing w:before="0" w:beforeLines="100" w:after="0"/>
      <w:ind w:left="0" w:firstLine="0"/>
      <w:jc w:val="both"/>
    </w:pPr>
    <w:rPr>
      <w:rFonts w:ascii="宋体" w:hAnsi="宋体" w:eastAsia="黑体" w:cs="宋体"/>
      <w:bCs/>
      <w:color w:val="FF0000"/>
      <w:spacing w:val="-2"/>
      <w:sz w:val="32"/>
      <w:szCs w:val="44"/>
    </w:rPr>
  </w:style>
  <w:style w:type="paragraph" w:customStyle="1" w:styleId="4045">
    <w:name w:val="姜文清定义的四级标题"/>
    <w:basedOn w:val="46"/>
    <w:qFormat/>
    <w:uiPriority w:val="0"/>
    <w:pPr>
      <w:adjustRightInd w:val="0"/>
      <w:spacing w:before="60" w:line="520" w:lineRule="exact"/>
      <w:ind w:firstLine="510"/>
    </w:pPr>
    <w:rPr>
      <w:rFonts w:hAnsi="Times New Roman" w:eastAsia="黑体" w:cs="宋体"/>
      <w:bCs/>
      <w:sz w:val="24"/>
      <w:szCs w:val="24"/>
    </w:rPr>
  </w:style>
  <w:style w:type="paragraph" w:customStyle="1" w:styleId="4046">
    <w:name w:val="table-title2"/>
    <w:basedOn w:val="1"/>
    <w:qFormat/>
    <w:uiPriority w:val="0"/>
    <w:pPr>
      <w:widowControl/>
      <w:spacing w:before="100" w:beforeAutospacing="1" w:after="100" w:afterAutospacing="1"/>
      <w:jc w:val="left"/>
    </w:pPr>
    <w:rPr>
      <w:rFonts w:ascii="宋体" w:hAnsi="Calibri" w:eastAsia="宋体" w:cs="宋体"/>
      <w:color w:val="444850"/>
      <w:spacing w:val="-2"/>
      <w:kern w:val="0"/>
      <w:sz w:val="24"/>
      <w:szCs w:val="21"/>
    </w:rPr>
  </w:style>
  <w:style w:type="paragraph" w:customStyle="1" w:styleId="4047">
    <w:name w:val="3标题"/>
    <w:basedOn w:val="1"/>
    <w:qFormat/>
    <w:uiPriority w:val="0"/>
    <w:pPr>
      <w:keepNext/>
      <w:keepLines/>
      <w:spacing w:before="120" w:after="120" w:line="460" w:lineRule="exact"/>
      <w:outlineLvl w:val="1"/>
    </w:pPr>
    <w:rPr>
      <w:rFonts w:ascii="Arial" w:hAnsi="Arial" w:eastAsia="黑体" w:cs="黑体"/>
      <w:b/>
      <w:bCs/>
      <w:spacing w:val="-2"/>
      <w:kern w:val="0"/>
      <w:szCs w:val="28"/>
    </w:rPr>
  </w:style>
  <w:style w:type="paragraph" w:customStyle="1" w:styleId="4048">
    <w:name w:val="样式 段落1 + 自动设置"/>
    <w:basedOn w:val="2118"/>
    <w:qFormat/>
    <w:uiPriority w:val="0"/>
    <w:pPr>
      <w:spacing w:before="0" w:beforeLines="50" w:after="0"/>
      <w:ind w:firstLine="840" w:firstLineChars="400"/>
      <w:jc w:val="both"/>
    </w:pPr>
    <w:rPr>
      <w:bCs w:val="0"/>
      <w:spacing w:val="0"/>
      <w:lang w:val="en-GB"/>
    </w:rPr>
  </w:style>
  <w:style w:type="paragraph" w:customStyle="1" w:styleId="4049">
    <w:name w:val="自动标题4"/>
    <w:basedOn w:val="2168"/>
    <w:qFormat/>
    <w:uiPriority w:val="0"/>
    <w:pPr>
      <w:keepNext/>
      <w:keepLines/>
      <w:spacing w:before="120" w:after="120" w:line="360" w:lineRule="auto"/>
      <w:outlineLvl w:val="3"/>
    </w:pPr>
    <w:rPr>
      <w:bCs/>
    </w:rPr>
  </w:style>
  <w:style w:type="paragraph" w:customStyle="1" w:styleId="4050">
    <w:name w:val="123"/>
    <w:basedOn w:val="5"/>
    <w:qFormat/>
    <w:uiPriority w:val="0"/>
    <w:pPr>
      <w:widowControl/>
      <w:tabs>
        <w:tab w:val="left" w:pos="352"/>
      </w:tabs>
      <w:overflowPunct w:val="0"/>
      <w:autoSpaceDE w:val="0"/>
      <w:autoSpaceDN w:val="0"/>
      <w:adjustRightInd w:val="0"/>
      <w:snapToGrid w:val="0"/>
      <w:spacing w:beforeLines="10" w:line="460" w:lineRule="exact"/>
      <w:ind w:firstLine="200" w:firstLineChars="200"/>
    </w:pPr>
    <w:rPr>
      <w:rFonts w:hint="eastAsia" w:ascii="Times New Roman" w:hAnsi="Times New Roman" w:cs="宋体"/>
      <w:color w:val="000000"/>
      <w:spacing w:val="0"/>
      <w:kern w:val="0"/>
      <w:sz w:val="21"/>
      <w:szCs w:val="24"/>
    </w:rPr>
  </w:style>
  <w:style w:type="paragraph" w:customStyle="1" w:styleId="4051">
    <w:name w:val="count1"/>
    <w:basedOn w:val="1"/>
    <w:qFormat/>
    <w:uiPriority w:val="0"/>
    <w:pPr>
      <w:widowControl/>
      <w:spacing w:before="100" w:beforeAutospacing="1" w:after="100" w:afterAutospacing="1"/>
      <w:jc w:val="left"/>
    </w:pPr>
    <w:rPr>
      <w:rFonts w:ascii="宋体" w:hAnsi="Calibri" w:eastAsia="宋体" w:cs="宋体"/>
      <w:color w:val="999999"/>
      <w:spacing w:val="-2"/>
      <w:kern w:val="0"/>
      <w:sz w:val="17"/>
      <w:szCs w:val="17"/>
    </w:rPr>
  </w:style>
  <w:style w:type="paragraph" w:customStyle="1" w:styleId="4052">
    <w:name w:val="top-bg"/>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53">
    <w:name w:val="grajaxhang2"/>
    <w:basedOn w:val="1"/>
    <w:qFormat/>
    <w:uiPriority w:val="0"/>
    <w:pPr>
      <w:pBdr>
        <w:top w:val="single" w:color="08BD0C" w:sz="6" w:space="6"/>
        <w:left w:val="single" w:color="08BD0C" w:sz="6" w:space="6"/>
        <w:bottom w:val="single" w:color="08BD0C" w:sz="6" w:space="6"/>
        <w:right w:val="single" w:color="08BD0C" w:sz="6" w:space="6"/>
      </w:pBdr>
      <w:shd w:val="clear" w:color="auto" w:fill="E7FFE7"/>
      <w:spacing w:before="100" w:beforeAutospacing="1" w:after="100" w:afterAutospacing="1"/>
      <w:ind w:firstLine="200" w:firstLineChars="200"/>
    </w:pPr>
    <w:rPr>
      <w:rFonts w:ascii="宋体" w:hAnsi="Calibri" w:eastAsia="宋体" w:cs="黑体"/>
      <w:color w:val="000000"/>
      <w:spacing w:val="-2"/>
      <w:kern w:val="0"/>
      <w:sz w:val="18"/>
      <w:szCs w:val="18"/>
    </w:rPr>
  </w:style>
  <w:style w:type="paragraph" w:customStyle="1" w:styleId="4054">
    <w:name w:val="样式74"/>
    <w:basedOn w:val="1"/>
    <w:qFormat/>
    <w:uiPriority w:val="0"/>
    <w:pPr>
      <w:keepNext/>
      <w:keepLines/>
      <w:tabs>
        <w:tab w:val="left" w:pos="360"/>
        <w:tab w:val="left" w:pos="900"/>
        <w:tab w:val="left" w:pos="1080"/>
      </w:tabs>
      <w:spacing w:line="360" w:lineRule="auto"/>
      <w:outlineLvl w:val="3"/>
    </w:pPr>
    <w:rPr>
      <w:rFonts w:ascii="宋体" w:hAnsi="宋体" w:eastAsia="宋体" w:cs="黑体"/>
      <w:color w:val="000000"/>
      <w:spacing w:val="-2"/>
      <w:kern w:val="0"/>
      <w:sz w:val="24"/>
      <w:szCs w:val="28"/>
    </w:rPr>
  </w:style>
  <w:style w:type="paragraph" w:customStyle="1" w:styleId="4055">
    <w:name w:val="样式 宋体 11.5 磅 加粗 居中 右侧:  0.85 厘米"/>
    <w:basedOn w:val="1"/>
    <w:qFormat/>
    <w:uiPriority w:val="0"/>
    <w:pPr>
      <w:ind w:right="480"/>
      <w:jc w:val="center"/>
    </w:pPr>
    <w:rPr>
      <w:rFonts w:ascii="宋体" w:hAnsi="Calibri" w:eastAsia="宋体" w:cs="宋体"/>
      <w:b/>
      <w:bCs/>
      <w:spacing w:val="-2"/>
      <w:kern w:val="0"/>
      <w:sz w:val="24"/>
    </w:rPr>
  </w:style>
  <w:style w:type="paragraph" w:customStyle="1" w:styleId="4056">
    <w:name w:val="title-banner2"/>
    <w:basedOn w:val="1"/>
    <w:qFormat/>
    <w:uiPriority w:val="0"/>
    <w:pPr>
      <w:widowControl/>
      <w:shd w:val="clear" w:color="auto" w:fill="F7F9FA"/>
      <w:spacing w:before="30" w:after="100" w:afterAutospacing="1" w:line="450" w:lineRule="atLeast"/>
      <w:jc w:val="center"/>
    </w:pPr>
    <w:rPr>
      <w:rFonts w:ascii="宋体" w:hAnsi="Calibri" w:eastAsia="宋体" w:cs="宋体"/>
      <w:spacing w:val="-2"/>
      <w:kern w:val="0"/>
      <w:sz w:val="24"/>
      <w:szCs w:val="21"/>
    </w:rPr>
  </w:style>
  <w:style w:type="paragraph" w:customStyle="1" w:styleId="4057">
    <w:name w:val="Char Char Char Char Char Char1 Char Char Char1 Char Char Char Char"/>
    <w:basedOn w:val="1"/>
    <w:qFormat/>
    <w:uiPriority w:val="0"/>
    <w:pPr>
      <w:spacing w:after="160" w:line="240" w:lineRule="exact"/>
    </w:pPr>
    <w:rPr>
      <w:rFonts w:ascii="Verdana" w:hAnsi="Verdana" w:cs="黑体"/>
      <w:spacing w:val="-2"/>
      <w:kern w:val="0"/>
      <w:sz w:val="30"/>
      <w:szCs w:val="30"/>
      <w:lang w:eastAsia="en-US"/>
    </w:rPr>
  </w:style>
  <w:style w:type="paragraph" w:customStyle="1" w:styleId="4058">
    <w:name w:val="正文尾 1"/>
    <w:qFormat/>
    <w:uiPriority w:val="0"/>
    <w:pPr>
      <w:widowControl w:val="0"/>
      <w:adjustRightInd w:val="0"/>
      <w:spacing w:line="360" w:lineRule="auto"/>
      <w:ind w:left="3969"/>
      <w:jc w:val="center"/>
    </w:pPr>
    <w:rPr>
      <w:rFonts w:ascii="Times New Roman" w:hAnsi="Times New Roman" w:eastAsia="宋体" w:cs="Times New Roman"/>
      <w:sz w:val="28"/>
      <w:lang w:val="en-US" w:eastAsia="zh-CN" w:bidi="ar-SA"/>
    </w:rPr>
  </w:style>
  <w:style w:type="paragraph" w:customStyle="1" w:styleId="4059">
    <w:name w:val="样式47"/>
    <w:basedOn w:val="1"/>
    <w:qFormat/>
    <w:uiPriority w:val="0"/>
    <w:pPr>
      <w:adjustRightInd w:val="0"/>
      <w:snapToGrid w:val="0"/>
      <w:spacing w:before="50" w:after="50" w:line="360" w:lineRule="auto"/>
      <w:ind w:firstLine="480"/>
      <w:jc w:val="left"/>
    </w:pPr>
    <w:rPr>
      <w:rFonts w:eastAsia="宋体" w:cs="黑体"/>
      <w:color w:val="000000"/>
      <w:spacing w:val="-2"/>
      <w:kern w:val="0"/>
      <w:sz w:val="24"/>
    </w:rPr>
  </w:style>
  <w:style w:type="paragraph" w:customStyle="1" w:styleId="4060">
    <w:name w:val="样式正文"/>
    <w:basedOn w:val="1"/>
    <w:qFormat/>
    <w:uiPriority w:val="0"/>
    <w:pPr>
      <w:spacing w:line="300" w:lineRule="auto"/>
      <w:ind w:firstLine="200" w:firstLineChars="200"/>
    </w:pPr>
    <w:rPr>
      <w:rFonts w:eastAsia="宋体" w:cs="黑体"/>
      <w:spacing w:val="-2"/>
      <w:kern w:val="0"/>
      <w:sz w:val="24"/>
    </w:rPr>
  </w:style>
  <w:style w:type="paragraph" w:customStyle="1" w:styleId="4061">
    <w:name w:val="样式62"/>
    <w:basedOn w:val="1"/>
    <w:qFormat/>
    <w:uiPriority w:val="0"/>
    <w:pPr>
      <w:spacing w:beforeLines="50" w:line="360" w:lineRule="auto"/>
      <w:ind w:firstLine="480" w:firstLineChars="200"/>
    </w:pPr>
    <w:rPr>
      <w:rFonts w:eastAsia="宋体" w:cs="黑体"/>
      <w:spacing w:val="-2"/>
      <w:kern w:val="0"/>
      <w:sz w:val="24"/>
    </w:rPr>
  </w:style>
  <w:style w:type="paragraph" w:customStyle="1" w:styleId="4062">
    <w:name w:val="Char Char Char1 Char Char Char1"/>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4063">
    <w:name w:val="环小四表尾"/>
    <w:qFormat/>
    <w:uiPriority w:val="0"/>
    <w:pPr>
      <w:spacing w:line="560" w:lineRule="exact"/>
      <w:jc w:val="right"/>
    </w:pPr>
    <w:rPr>
      <w:rFonts w:ascii="宋体" w:hAnsi="Times New Roman" w:eastAsia="宋体" w:cs="Times New Roman"/>
      <w:b/>
      <w:bCs/>
      <w:szCs w:val="21"/>
      <w:lang w:val="en-US" w:eastAsia="zh-CN" w:bidi="ar-SA"/>
    </w:rPr>
  </w:style>
  <w:style w:type="paragraph" w:customStyle="1" w:styleId="4064">
    <w:name w:val="w1000"/>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65">
    <w:name w:val="样式 标题 4标题 14 + 加粗 无下划线 自动设置 段前: 3 磅 段后: 10 磅"/>
    <w:basedOn w:val="7"/>
    <w:qFormat/>
    <w:uiPriority w:val="0"/>
    <w:pPr>
      <w:keepLines w:val="0"/>
      <w:tabs>
        <w:tab w:val="left" w:pos="1680"/>
        <w:tab w:val="left" w:pos="2153"/>
        <w:tab w:val="clear" w:pos="4008"/>
      </w:tabs>
      <w:adjustRightInd w:val="0"/>
      <w:snapToGrid w:val="0"/>
      <w:spacing w:before="60" w:after="200" w:line="240" w:lineRule="auto"/>
      <w:ind w:left="0" w:firstLine="0"/>
      <w:jc w:val="both"/>
    </w:pPr>
    <w:rPr>
      <w:rFonts w:ascii="Times New Roman" w:hAnsi="Times New Roman" w:eastAsia="宋体"/>
      <w:b w:val="0"/>
      <w:bCs/>
      <w:spacing w:val="-2"/>
      <w:szCs w:val="24"/>
    </w:rPr>
  </w:style>
  <w:style w:type="paragraph" w:customStyle="1" w:styleId="4066">
    <w:name w:val="relatedhelp"/>
    <w:basedOn w:val="1"/>
    <w:qFormat/>
    <w:uiPriority w:val="0"/>
    <w:pPr>
      <w:widowControl/>
      <w:spacing w:before="100" w:beforeAutospacing="1" w:after="100" w:afterAutospacing="1"/>
      <w:jc w:val="left"/>
    </w:pPr>
    <w:rPr>
      <w:rFonts w:ascii="宋体" w:hAnsi="Calibri" w:eastAsia="宋体" w:cs="宋体"/>
      <w:spacing w:val="-2"/>
      <w:kern w:val="0"/>
      <w:sz w:val="24"/>
      <w:szCs w:val="21"/>
    </w:rPr>
  </w:style>
  <w:style w:type="paragraph" w:customStyle="1" w:styleId="4067">
    <w:name w:val="样式 标题 3 + 黑色 行距: 最小值 25 磅"/>
    <w:basedOn w:val="6"/>
    <w:qFormat/>
    <w:uiPriority w:val="0"/>
    <w:pPr>
      <w:tabs>
        <w:tab w:val="left" w:pos="1022"/>
        <w:tab w:val="left" w:pos="1080"/>
        <w:tab w:val="left" w:pos="1260"/>
        <w:tab w:val="left" w:pos="1620"/>
        <w:tab w:val="clear" w:pos="1789"/>
      </w:tabs>
      <w:snapToGrid w:val="0"/>
      <w:spacing w:before="260" w:after="260" w:line="500" w:lineRule="atLeast"/>
      <w:ind w:left="1260" w:hanging="420"/>
    </w:pPr>
    <w:rPr>
      <w:rFonts w:hint="eastAsia" w:ascii="宋体" w:hAnsi="宋体" w:eastAsia="宋体" w:cs="宋体"/>
      <w:i/>
      <w:iCs/>
      <w:color w:val="000000"/>
      <w:spacing w:val="4"/>
      <w:sz w:val="28"/>
      <w:szCs w:val="28"/>
    </w:rPr>
  </w:style>
  <w:style w:type="paragraph" w:customStyle="1" w:styleId="4068">
    <w:name w:val="myedit"/>
    <w:basedOn w:val="1"/>
    <w:qFormat/>
    <w:uiPriority w:val="0"/>
    <w:pPr>
      <w:widowControl/>
      <w:jc w:val="left"/>
    </w:pPr>
    <w:rPr>
      <w:rFonts w:ascii="宋体" w:hAnsi="Calibri" w:eastAsia="宋体" w:cs="宋体"/>
      <w:spacing w:val="-2"/>
      <w:kern w:val="0"/>
      <w:sz w:val="24"/>
      <w:szCs w:val="21"/>
    </w:rPr>
  </w:style>
  <w:style w:type="paragraph" w:customStyle="1" w:styleId="4069">
    <w:name w:val="样式 段前: 0.5 行 段后: 6 磅 首行缩进:  5 字符"/>
    <w:basedOn w:val="1"/>
    <w:qFormat/>
    <w:uiPriority w:val="0"/>
    <w:pPr>
      <w:spacing w:beforeLines="50" w:after="120" w:line="300" w:lineRule="auto"/>
      <w:ind w:firstLine="500" w:firstLineChars="500"/>
    </w:pPr>
    <w:rPr>
      <w:rFonts w:cs="黑体"/>
      <w:spacing w:val="-2"/>
      <w:kern w:val="0"/>
    </w:rPr>
  </w:style>
  <w:style w:type="paragraph" w:customStyle="1" w:styleId="4070">
    <w:name w:val="dc"/>
    <w:basedOn w:val="1"/>
    <w:qFormat/>
    <w:uiPriority w:val="0"/>
    <w:pPr>
      <w:widowControl/>
      <w:spacing w:before="100" w:beforeAutospacing="1" w:after="100" w:afterAutospacing="1" w:line="270" w:lineRule="atLeast"/>
      <w:jc w:val="left"/>
    </w:pPr>
    <w:rPr>
      <w:rFonts w:ascii="宋体" w:hAnsi="宋体" w:eastAsia="宋体" w:cs="黑体"/>
      <w:spacing w:val="-2"/>
      <w:kern w:val="0"/>
      <w:sz w:val="18"/>
    </w:rPr>
  </w:style>
  <w:style w:type="paragraph" w:customStyle="1" w:styleId="4071">
    <w:name w:val="重点文字"/>
    <w:basedOn w:val="1"/>
    <w:next w:val="1"/>
    <w:qFormat/>
    <w:uiPriority w:val="0"/>
    <w:pPr>
      <w:spacing w:before="100" w:beforeAutospacing="1" w:after="100" w:afterAutospacing="1"/>
    </w:pPr>
    <w:rPr>
      <w:rFonts w:ascii="仿宋_GB2312" w:hAnsi="Calibri" w:cs="黑体"/>
      <w:b/>
      <w:color w:val="FF0000"/>
      <w:spacing w:val="-2"/>
      <w:kern w:val="0"/>
      <w:szCs w:val="28"/>
    </w:rPr>
  </w:style>
  <w:style w:type="paragraph" w:customStyle="1" w:styleId="4072">
    <w:name w:val="文档结构图1"/>
    <w:basedOn w:val="1"/>
    <w:qFormat/>
    <w:uiPriority w:val="0"/>
    <w:rPr>
      <w:rFonts w:ascii="宋体" w:eastAsia="宋体" w:cs="黑体"/>
      <w:spacing w:val="-2"/>
      <w:kern w:val="0"/>
      <w:sz w:val="18"/>
      <w:szCs w:val="18"/>
    </w:rPr>
  </w:style>
  <w:style w:type="paragraph" w:customStyle="1" w:styleId="4073">
    <w:name w:val="Char1 Char Char Char Char Char Char Char Char Char Char Char Char1"/>
    <w:basedOn w:val="1"/>
    <w:qFormat/>
    <w:uiPriority w:val="0"/>
    <w:pPr>
      <w:spacing w:line="360" w:lineRule="auto"/>
      <w:ind w:firstLine="200" w:firstLineChars="200"/>
    </w:pPr>
    <w:rPr>
      <w:rFonts w:ascii="宋体" w:hAnsi="Calibri" w:eastAsia="宋体" w:cs="宋体"/>
      <w:spacing w:val="-2"/>
      <w:kern w:val="0"/>
      <w:sz w:val="24"/>
    </w:rPr>
  </w:style>
  <w:style w:type="paragraph" w:customStyle="1" w:styleId="4074">
    <w:name w:val="质表单位"/>
    <w:basedOn w:val="1"/>
    <w:qFormat/>
    <w:uiPriority w:val="0"/>
    <w:pPr>
      <w:jc w:val="center"/>
    </w:pPr>
    <w:rPr>
      <w:rFonts w:ascii="宋体" w:hAnsi="宋体" w:eastAsia="宋体" w:cs="黑体"/>
      <w:spacing w:val="-2"/>
      <w:kern w:val="0"/>
    </w:rPr>
  </w:style>
  <w:style w:type="paragraph" w:customStyle="1" w:styleId="4075">
    <w:name w:val="Char Char Char Char Char Char Char Char Char Char Char Char Char1 Char Char Char Char Char Char Char Char Char Char Char Char Char Char Char Char Char Char Char3"/>
    <w:basedOn w:val="1"/>
    <w:qFormat/>
    <w:uiPriority w:val="0"/>
    <w:pPr>
      <w:widowControl/>
      <w:spacing w:after="160" w:line="240" w:lineRule="exact"/>
      <w:jc w:val="left"/>
    </w:pPr>
    <w:rPr>
      <w:rFonts w:ascii="Verdana" w:hAnsi="Verdana" w:eastAsia="宋体" w:cs="黑体"/>
      <w:spacing w:val="-2"/>
      <w:kern w:val="0"/>
      <w:sz w:val="20"/>
      <w:lang w:eastAsia="en-US"/>
    </w:rPr>
  </w:style>
  <w:style w:type="paragraph" w:customStyle="1" w:styleId="4076">
    <w:name w:val="纯文本41"/>
    <w:basedOn w:val="1"/>
    <w:qFormat/>
    <w:uiPriority w:val="0"/>
    <w:pPr>
      <w:adjustRightInd w:val="0"/>
    </w:pPr>
    <w:rPr>
      <w:rFonts w:ascii="宋体" w:hAnsi="Calibri" w:eastAsia="宋体" w:cs="黑体"/>
      <w:spacing w:val="-2"/>
      <w:kern w:val="0"/>
      <w:sz w:val="24"/>
    </w:rPr>
  </w:style>
  <w:style w:type="paragraph" w:customStyle="1" w:styleId="4077">
    <w:name w:val="中大4级"/>
    <w:basedOn w:val="3115"/>
    <w:qFormat/>
    <w:uiPriority w:val="0"/>
    <w:pPr>
      <w:spacing w:beforeLines="0"/>
      <w:outlineLvl w:val="3"/>
    </w:pPr>
    <w:rPr>
      <w:sz w:val="24"/>
    </w:rPr>
  </w:style>
  <w:style w:type="paragraph" w:customStyle="1" w:styleId="4078">
    <w:name w:val="search-btn"/>
    <w:basedOn w:val="1"/>
    <w:qFormat/>
    <w:uiPriority w:val="0"/>
    <w:pPr>
      <w:widowControl/>
      <w:spacing w:line="360" w:lineRule="atLeast"/>
      <w:ind w:right="105"/>
      <w:jc w:val="left"/>
    </w:pPr>
    <w:rPr>
      <w:rFonts w:ascii="宋体" w:hAnsi="Calibri" w:eastAsia="宋体" w:cs="宋体"/>
      <w:spacing w:val="-2"/>
      <w:kern w:val="0"/>
      <w:szCs w:val="21"/>
    </w:rPr>
  </w:style>
  <w:style w:type="paragraph" w:customStyle="1" w:styleId="4079">
    <w:name w:val="检索2"/>
    <w:basedOn w:val="3203"/>
    <w:qFormat/>
    <w:uiPriority w:val="99"/>
    <w:pPr>
      <w:ind w:left="454"/>
    </w:pPr>
    <w:rPr>
      <w:color w:val="0000FF"/>
    </w:rPr>
  </w:style>
  <w:style w:type="paragraph" w:customStyle="1" w:styleId="4080">
    <w:name w:val="正文文本缩进 221"/>
    <w:basedOn w:val="1"/>
    <w:qFormat/>
    <w:uiPriority w:val="99"/>
    <w:pPr>
      <w:adjustRightInd w:val="0"/>
      <w:ind w:firstLine="560"/>
    </w:pPr>
    <w:rPr>
      <w:rFonts w:eastAsia="宋体" w:cs="黑体"/>
      <w:spacing w:val="-2"/>
      <w:kern w:val="0"/>
    </w:rPr>
  </w:style>
  <w:style w:type="paragraph" w:customStyle="1" w:styleId="4081">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4082">
    <w:name w:val="Char Char Char Char Char Char Char Char Char Char Char Char Char1 Char Char Char Char Char Char Char Char Char Char Char Char Char Char Char Char Char Char Char5"/>
    <w:basedOn w:val="1"/>
    <w:qFormat/>
    <w:uiPriority w:val="99"/>
    <w:pPr>
      <w:widowControl/>
      <w:spacing w:after="160" w:line="240" w:lineRule="exact"/>
      <w:jc w:val="left"/>
    </w:pPr>
    <w:rPr>
      <w:rFonts w:ascii="Verdana" w:hAnsi="Verdana" w:eastAsia="宋体" w:cs="黑体"/>
      <w:spacing w:val="-2"/>
      <w:kern w:val="0"/>
      <w:sz w:val="20"/>
      <w:lang w:eastAsia="en-US"/>
    </w:rPr>
  </w:style>
  <w:style w:type="paragraph" w:customStyle="1" w:styleId="4083">
    <w:name w:val="Char Char Char Char Char Char Char Char Char Char Char Char Char1 Char Char Char Char Char Char Char Char Char Char Char Char Char Char Char Char Char Char Char1"/>
    <w:basedOn w:val="1"/>
    <w:qFormat/>
    <w:uiPriority w:val="99"/>
    <w:pPr>
      <w:widowControl/>
      <w:spacing w:after="160" w:line="240" w:lineRule="exact"/>
      <w:jc w:val="left"/>
    </w:pPr>
    <w:rPr>
      <w:rFonts w:ascii="Verdana" w:hAnsi="Verdana" w:eastAsia="宋体" w:cs="黑体"/>
      <w:spacing w:val="-2"/>
      <w:kern w:val="0"/>
      <w:sz w:val="20"/>
      <w:lang w:eastAsia="en-US"/>
    </w:rPr>
  </w:style>
  <w:style w:type="paragraph" w:customStyle="1" w:styleId="4084">
    <w:name w:val="s-left"/>
    <w:basedOn w:val="1"/>
    <w:qFormat/>
    <w:uiPriority w:val="0"/>
    <w:pPr>
      <w:widowControl/>
      <w:pBdr>
        <w:top w:val="dashed" w:color="auto" w:sz="24" w:space="0"/>
        <w:left w:val="dashed" w:color="auto" w:sz="24" w:space="0"/>
        <w:bottom w:val="dashed" w:color="auto" w:sz="24" w:space="0"/>
        <w:right w:val="single" w:color="auto" w:sz="24" w:space="0"/>
      </w:pBdr>
      <w:spacing w:before="100" w:beforeAutospacing="1" w:after="100" w:afterAutospacing="1"/>
      <w:jc w:val="left"/>
    </w:pPr>
    <w:rPr>
      <w:rFonts w:ascii="宋体" w:hAnsi="Calibri" w:eastAsia="宋体" w:cs="宋体"/>
      <w:spacing w:val="-2"/>
      <w:kern w:val="0"/>
      <w:sz w:val="24"/>
      <w:szCs w:val="21"/>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29.bin"/><Relationship Id="rId98" Type="http://schemas.openxmlformats.org/officeDocument/2006/relationships/image" Target="media/image50.wmf"/><Relationship Id="rId97" Type="http://schemas.openxmlformats.org/officeDocument/2006/relationships/oleObject" Target="embeddings/oleObject28.bin"/><Relationship Id="rId96" Type="http://schemas.openxmlformats.org/officeDocument/2006/relationships/image" Target="media/image49.wmf"/><Relationship Id="rId95" Type="http://schemas.openxmlformats.org/officeDocument/2006/relationships/oleObject" Target="embeddings/oleObject27.bin"/><Relationship Id="rId94" Type="http://schemas.openxmlformats.org/officeDocument/2006/relationships/image" Target="media/image48.wmf"/><Relationship Id="rId93" Type="http://schemas.openxmlformats.org/officeDocument/2006/relationships/oleObject" Target="embeddings/oleObject26.bin"/><Relationship Id="rId92" Type="http://schemas.openxmlformats.org/officeDocument/2006/relationships/image" Target="media/image47.wmf"/><Relationship Id="rId91" Type="http://schemas.openxmlformats.org/officeDocument/2006/relationships/image" Target="media/image46.wmf"/><Relationship Id="rId90" Type="http://schemas.openxmlformats.org/officeDocument/2006/relationships/oleObject" Target="embeddings/oleObject25.bin"/><Relationship Id="rId9" Type="http://schemas.openxmlformats.org/officeDocument/2006/relationships/header" Target="header3.xml"/><Relationship Id="rId89" Type="http://schemas.openxmlformats.org/officeDocument/2006/relationships/image" Target="media/image45.wmf"/><Relationship Id="rId88" Type="http://schemas.openxmlformats.org/officeDocument/2006/relationships/oleObject" Target="embeddings/oleObject24.bin"/><Relationship Id="rId87" Type="http://schemas.openxmlformats.org/officeDocument/2006/relationships/image" Target="media/image44.wmf"/><Relationship Id="rId86" Type="http://schemas.openxmlformats.org/officeDocument/2006/relationships/oleObject" Target="embeddings/oleObject23.bin"/><Relationship Id="rId85" Type="http://schemas.openxmlformats.org/officeDocument/2006/relationships/image" Target="media/image43.wmf"/><Relationship Id="rId84" Type="http://schemas.openxmlformats.org/officeDocument/2006/relationships/oleObject" Target="embeddings/oleObject22.bin"/><Relationship Id="rId83" Type="http://schemas.openxmlformats.org/officeDocument/2006/relationships/image" Target="media/image42.wmf"/><Relationship Id="rId82" Type="http://schemas.openxmlformats.org/officeDocument/2006/relationships/oleObject" Target="embeddings/oleObject21.bin"/><Relationship Id="rId81" Type="http://schemas.openxmlformats.org/officeDocument/2006/relationships/image" Target="media/image41.wmf"/><Relationship Id="rId80" Type="http://schemas.openxmlformats.org/officeDocument/2006/relationships/oleObject" Target="embeddings/oleObject20.bin"/><Relationship Id="rId8" Type="http://schemas.openxmlformats.org/officeDocument/2006/relationships/footer" Target="footer4.xml"/><Relationship Id="rId79" Type="http://schemas.openxmlformats.org/officeDocument/2006/relationships/image" Target="media/image40.wmf"/><Relationship Id="rId78" Type="http://schemas.openxmlformats.org/officeDocument/2006/relationships/oleObject" Target="embeddings/oleObject19.bin"/><Relationship Id="rId77" Type="http://schemas.openxmlformats.org/officeDocument/2006/relationships/oleObject" Target="embeddings/oleObject18.bin"/><Relationship Id="rId76" Type="http://schemas.openxmlformats.org/officeDocument/2006/relationships/image" Target="media/image39.wmf"/><Relationship Id="rId75" Type="http://schemas.openxmlformats.org/officeDocument/2006/relationships/oleObject" Target="embeddings/oleObject17.bin"/><Relationship Id="rId74" Type="http://schemas.openxmlformats.org/officeDocument/2006/relationships/image" Target="media/image38.wmf"/><Relationship Id="rId73" Type="http://schemas.openxmlformats.org/officeDocument/2006/relationships/oleObject" Target="embeddings/oleObject16.bin"/><Relationship Id="rId72" Type="http://schemas.openxmlformats.org/officeDocument/2006/relationships/image" Target="media/image37.wmf"/><Relationship Id="rId71" Type="http://schemas.openxmlformats.org/officeDocument/2006/relationships/oleObject" Target="embeddings/oleObject15.bin"/><Relationship Id="rId70" Type="http://schemas.openxmlformats.org/officeDocument/2006/relationships/image" Target="media/image36.wmf"/><Relationship Id="rId7" Type="http://schemas.openxmlformats.org/officeDocument/2006/relationships/header" Target="header2.xml"/><Relationship Id="rId69" Type="http://schemas.openxmlformats.org/officeDocument/2006/relationships/oleObject" Target="embeddings/oleObject14.bin"/><Relationship Id="rId68" Type="http://schemas.openxmlformats.org/officeDocument/2006/relationships/image" Target="media/image35.wmf"/><Relationship Id="rId67" Type="http://schemas.openxmlformats.org/officeDocument/2006/relationships/oleObject" Target="embeddings/oleObject13.bin"/><Relationship Id="rId66" Type="http://schemas.openxmlformats.org/officeDocument/2006/relationships/image" Target="media/image34.wmf"/><Relationship Id="rId65" Type="http://schemas.openxmlformats.org/officeDocument/2006/relationships/oleObject" Target="embeddings/oleObject12.bin"/><Relationship Id="rId64" Type="http://schemas.openxmlformats.org/officeDocument/2006/relationships/image" Target="media/image33.wmf"/><Relationship Id="rId63" Type="http://schemas.openxmlformats.org/officeDocument/2006/relationships/oleObject" Target="embeddings/oleObject11.bin"/><Relationship Id="rId62" Type="http://schemas.openxmlformats.org/officeDocument/2006/relationships/image" Target="media/image32.wmf"/><Relationship Id="rId61" Type="http://schemas.openxmlformats.org/officeDocument/2006/relationships/oleObject" Target="embeddings/oleObject10.bin"/><Relationship Id="rId60" Type="http://schemas.openxmlformats.org/officeDocument/2006/relationships/image" Target="media/image31.wmf"/><Relationship Id="rId6" Type="http://schemas.openxmlformats.org/officeDocument/2006/relationships/footer" Target="footer3.xml"/><Relationship Id="rId59" Type="http://schemas.openxmlformats.org/officeDocument/2006/relationships/oleObject" Target="embeddings/oleObject9.bin"/><Relationship Id="rId58" Type="http://schemas.openxmlformats.org/officeDocument/2006/relationships/image" Target="media/image30.wmf"/><Relationship Id="rId57" Type="http://schemas.openxmlformats.org/officeDocument/2006/relationships/oleObject" Target="embeddings/oleObject8.bin"/><Relationship Id="rId56" Type="http://schemas.openxmlformats.org/officeDocument/2006/relationships/image" Target="media/image29.wmf"/><Relationship Id="rId55" Type="http://schemas.openxmlformats.org/officeDocument/2006/relationships/oleObject" Target="embeddings/oleObject7.bin"/><Relationship Id="rId54" Type="http://schemas.openxmlformats.org/officeDocument/2006/relationships/image" Target="media/image28.wmf"/><Relationship Id="rId53" Type="http://schemas.openxmlformats.org/officeDocument/2006/relationships/oleObject" Target="embeddings/oleObject6.bin"/><Relationship Id="rId52" Type="http://schemas.openxmlformats.org/officeDocument/2006/relationships/image" Target="media/image27.wmf"/><Relationship Id="rId51" Type="http://schemas.openxmlformats.org/officeDocument/2006/relationships/oleObject" Target="embeddings/oleObject5.bin"/><Relationship Id="rId50" Type="http://schemas.openxmlformats.org/officeDocument/2006/relationships/image" Target="media/image26.png"/><Relationship Id="rId5" Type="http://schemas.openxmlformats.org/officeDocument/2006/relationships/footer" Target="footer2.xml"/><Relationship Id="rId49" Type="http://schemas.openxmlformats.org/officeDocument/2006/relationships/image" Target="media/image25.png"/><Relationship Id="rId48" Type="http://schemas.openxmlformats.org/officeDocument/2006/relationships/image" Target="media/image24.emf"/><Relationship Id="rId47" Type="http://schemas.openxmlformats.org/officeDocument/2006/relationships/oleObject" Target="embeddings/oleObject4.bin"/><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jpeg"/><Relationship Id="rId4" Type="http://schemas.openxmlformats.org/officeDocument/2006/relationships/footer" Target="footer1.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emf"/><Relationship Id="rId36" Type="http://schemas.openxmlformats.org/officeDocument/2006/relationships/oleObject" Target="embeddings/oleObject3.bin"/><Relationship Id="rId35" Type="http://schemas.openxmlformats.org/officeDocument/2006/relationships/image" Target="media/image13.jpeg"/><Relationship Id="rId34" Type="http://schemas.openxmlformats.org/officeDocument/2006/relationships/image" Target="media/image12.emf"/><Relationship Id="rId33" Type="http://schemas.openxmlformats.org/officeDocument/2006/relationships/oleObject" Target="embeddings/oleObject2.bin"/><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header" Target="header1.xml"/><Relationship Id="rId29" Type="http://schemas.openxmlformats.org/officeDocument/2006/relationships/image" Target="media/image8.wmf"/><Relationship Id="rId28" Type="http://schemas.openxmlformats.org/officeDocument/2006/relationships/image" Target="media/image7.emf"/><Relationship Id="rId27" Type="http://schemas.openxmlformats.org/officeDocument/2006/relationships/oleObject" Target="embeddings/oleObject1.bin"/><Relationship Id="rId26" Type="http://schemas.openxmlformats.org/officeDocument/2006/relationships/image" Target="media/image6.jpeg"/><Relationship Id="rId25" Type="http://schemas.openxmlformats.org/officeDocument/2006/relationships/image" Target="media/image5.jpeg"/><Relationship Id="rId24" Type="http://schemas.openxmlformats.org/officeDocument/2006/relationships/image" Target="media/image4.jpeg"/><Relationship Id="rId23" Type="http://schemas.openxmlformats.org/officeDocument/2006/relationships/image" Target="media/image3.jpeg"/><Relationship Id="rId22" Type="http://schemas.openxmlformats.org/officeDocument/2006/relationships/image" Target="media/image2.jpeg"/><Relationship Id="rId21" Type="http://schemas.openxmlformats.org/officeDocument/2006/relationships/image" Target="media/image1.jpe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footer" Target="footer9.xml"/><Relationship Id="rId155" Type="http://schemas.openxmlformats.org/officeDocument/2006/relationships/fontTable" Target="fontTable.xml"/><Relationship Id="rId154" Type="http://schemas.openxmlformats.org/officeDocument/2006/relationships/numbering" Target="numbering.xml"/><Relationship Id="rId153" Type="http://schemas.openxmlformats.org/officeDocument/2006/relationships/customXml" Target="../customXml/item1.xml"/><Relationship Id="rId152" Type="http://schemas.openxmlformats.org/officeDocument/2006/relationships/image" Target="media/image79.emf"/><Relationship Id="rId151" Type="http://schemas.openxmlformats.org/officeDocument/2006/relationships/oleObject" Target="embeddings/oleObject41.bin"/><Relationship Id="rId150" Type="http://schemas.openxmlformats.org/officeDocument/2006/relationships/image" Target="media/image78.png"/><Relationship Id="rId15" Type="http://schemas.openxmlformats.org/officeDocument/2006/relationships/footer" Target="footer8.xml"/><Relationship Id="rId149" Type="http://schemas.openxmlformats.org/officeDocument/2006/relationships/image" Target="media/image77.png"/><Relationship Id="rId148" Type="http://schemas.openxmlformats.org/officeDocument/2006/relationships/image" Target="media/image76.png"/><Relationship Id="rId147" Type="http://schemas.openxmlformats.org/officeDocument/2006/relationships/image" Target="media/image75.png"/><Relationship Id="rId146" Type="http://schemas.openxmlformats.org/officeDocument/2006/relationships/image" Target="media/image74.jpeg"/><Relationship Id="rId145" Type="http://schemas.openxmlformats.org/officeDocument/2006/relationships/image" Target="media/image73.png"/><Relationship Id="rId144" Type="http://schemas.openxmlformats.org/officeDocument/2006/relationships/image" Target="media/image72.png"/><Relationship Id="rId143" Type="http://schemas.openxmlformats.org/officeDocument/2006/relationships/chart" Target="charts/chart12.xml"/><Relationship Id="rId142" Type="http://schemas.openxmlformats.org/officeDocument/2006/relationships/chart" Target="charts/chart11.xml"/><Relationship Id="rId141" Type="http://schemas.openxmlformats.org/officeDocument/2006/relationships/chart" Target="charts/chart10.xml"/><Relationship Id="rId140" Type="http://schemas.openxmlformats.org/officeDocument/2006/relationships/chart" Target="charts/chart9.xml"/><Relationship Id="rId14" Type="http://schemas.openxmlformats.org/officeDocument/2006/relationships/footer" Target="footer7.xml"/><Relationship Id="rId139" Type="http://schemas.openxmlformats.org/officeDocument/2006/relationships/chart" Target="charts/chart8.xml"/><Relationship Id="rId138" Type="http://schemas.openxmlformats.org/officeDocument/2006/relationships/chart" Target="charts/chart7.xml"/><Relationship Id="rId137" Type="http://schemas.openxmlformats.org/officeDocument/2006/relationships/chart" Target="charts/chart6.xml"/><Relationship Id="rId136" Type="http://schemas.openxmlformats.org/officeDocument/2006/relationships/chart" Target="charts/chart5.xml"/><Relationship Id="rId135" Type="http://schemas.openxmlformats.org/officeDocument/2006/relationships/chart" Target="charts/chart4.xml"/><Relationship Id="rId134" Type="http://schemas.openxmlformats.org/officeDocument/2006/relationships/chart" Target="charts/chart3.xml"/><Relationship Id="rId133" Type="http://schemas.openxmlformats.org/officeDocument/2006/relationships/chart" Target="charts/chart2.xml"/><Relationship Id="rId132" Type="http://schemas.openxmlformats.org/officeDocument/2006/relationships/chart" Target="charts/chart1.xml"/><Relationship Id="rId131" Type="http://schemas.openxmlformats.org/officeDocument/2006/relationships/image" Target="media/image71.png"/><Relationship Id="rId130" Type="http://schemas.openxmlformats.org/officeDocument/2006/relationships/image" Target="media/image70.png"/><Relationship Id="rId13" Type="http://schemas.openxmlformats.org/officeDocument/2006/relationships/header" Target="header5.xml"/><Relationship Id="rId129" Type="http://schemas.openxmlformats.org/officeDocument/2006/relationships/image" Target="media/image69.png"/><Relationship Id="rId128" Type="http://schemas.openxmlformats.org/officeDocument/2006/relationships/image" Target="media/image68.png"/><Relationship Id="rId127" Type="http://schemas.openxmlformats.org/officeDocument/2006/relationships/image" Target="media/image67.png"/><Relationship Id="rId126" Type="http://schemas.openxmlformats.org/officeDocument/2006/relationships/image" Target="media/image66.png"/><Relationship Id="rId125" Type="http://schemas.openxmlformats.org/officeDocument/2006/relationships/image" Target="media/image65.wmf"/><Relationship Id="rId124" Type="http://schemas.openxmlformats.org/officeDocument/2006/relationships/oleObject" Target="embeddings/oleObject40.bin"/><Relationship Id="rId123" Type="http://schemas.openxmlformats.org/officeDocument/2006/relationships/image" Target="media/image64.png"/><Relationship Id="rId122" Type="http://schemas.openxmlformats.org/officeDocument/2006/relationships/image" Target="media/image63.png"/><Relationship Id="rId121" Type="http://schemas.openxmlformats.org/officeDocument/2006/relationships/image" Target="media/image62.png"/><Relationship Id="rId120" Type="http://schemas.openxmlformats.org/officeDocument/2006/relationships/image" Target="media/image61.wmf"/><Relationship Id="rId12" Type="http://schemas.openxmlformats.org/officeDocument/2006/relationships/footer" Target="footer6.xml"/><Relationship Id="rId119" Type="http://schemas.openxmlformats.org/officeDocument/2006/relationships/oleObject" Target="embeddings/oleObject39.bin"/><Relationship Id="rId118" Type="http://schemas.openxmlformats.org/officeDocument/2006/relationships/image" Target="media/image60.wmf"/><Relationship Id="rId117" Type="http://schemas.openxmlformats.org/officeDocument/2006/relationships/oleObject" Target="embeddings/oleObject38.bin"/><Relationship Id="rId116" Type="http://schemas.openxmlformats.org/officeDocument/2006/relationships/image" Target="media/image59.wmf"/><Relationship Id="rId115" Type="http://schemas.openxmlformats.org/officeDocument/2006/relationships/oleObject" Target="embeddings/oleObject37.bin"/><Relationship Id="rId114" Type="http://schemas.openxmlformats.org/officeDocument/2006/relationships/image" Target="media/image58.wmf"/><Relationship Id="rId113" Type="http://schemas.openxmlformats.org/officeDocument/2006/relationships/oleObject" Target="embeddings/oleObject36.bin"/><Relationship Id="rId112" Type="http://schemas.openxmlformats.org/officeDocument/2006/relationships/image" Target="media/image57.wmf"/><Relationship Id="rId111" Type="http://schemas.openxmlformats.org/officeDocument/2006/relationships/oleObject" Target="embeddings/oleObject35.bin"/><Relationship Id="rId110" Type="http://schemas.openxmlformats.org/officeDocument/2006/relationships/image" Target="media/image56.wmf"/><Relationship Id="rId11" Type="http://schemas.openxmlformats.org/officeDocument/2006/relationships/header" Target="header4.xml"/><Relationship Id="rId109" Type="http://schemas.openxmlformats.org/officeDocument/2006/relationships/oleObject" Target="embeddings/oleObject34.bin"/><Relationship Id="rId108" Type="http://schemas.openxmlformats.org/officeDocument/2006/relationships/image" Target="media/image55.wmf"/><Relationship Id="rId107" Type="http://schemas.openxmlformats.org/officeDocument/2006/relationships/oleObject" Target="embeddings/oleObject33.bin"/><Relationship Id="rId106" Type="http://schemas.openxmlformats.org/officeDocument/2006/relationships/image" Target="media/image54.wmf"/><Relationship Id="rId105" Type="http://schemas.openxmlformats.org/officeDocument/2006/relationships/oleObject" Target="embeddings/oleObject32.bin"/><Relationship Id="rId104" Type="http://schemas.openxmlformats.org/officeDocument/2006/relationships/image" Target="media/image53.wmf"/><Relationship Id="rId103" Type="http://schemas.openxmlformats.org/officeDocument/2006/relationships/oleObject" Target="embeddings/oleObject31.bin"/><Relationship Id="rId102" Type="http://schemas.openxmlformats.org/officeDocument/2006/relationships/image" Target="media/image52.wmf"/><Relationship Id="rId101" Type="http://schemas.openxmlformats.org/officeDocument/2006/relationships/oleObject" Target="embeddings/oleObject30.bin"/><Relationship Id="rId100" Type="http://schemas.openxmlformats.org/officeDocument/2006/relationships/image" Target="media/image51.wmf"/><Relationship Id="rId10" Type="http://schemas.openxmlformats.org/officeDocument/2006/relationships/footer" Target="footer5.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5.xml"/><Relationship Id="rId1" Type="http://schemas.openxmlformats.org/officeDocument/2006/relationships/oleObject" Target="file:///G:\1%20&#22312;&#20570;\2024.7.9%20%20&#20013;&#20255;&#32671;&#22522;&#38068;\&#25968;&#25454;&#22788;&#29702;%20&#32671;&#22522;&#38068;.xlsx" TargetMode="External"/></Relationships>
</file>

<file path=word/charts/_rels/chart10.xml.rels><?xml version="1.0" encoding="UTF-8" standalone="yes"?>
<Relationships xmlns="http://schemas.openxmlformats.org/package/2006/relationships"><Relationship Id="rId2" Type="http://schemas.openxmlformats.org/officeDocument/2006/relationships/themeOverride" Target="../theme/themeOverride8.xml"/><Relationship Id="rId1" Type="http://schemas.openxmlformats.org/officeDocument/2006/relationships/oleObject" Target="file:///G:\1%20&#22312;&#20570;\2024.7.9%20%20&#20013;&#20255;&#32671;&#22522;&#38068;\&#25968;&#25454;&#22788;&#29702;%20&#32671;&#22522;&#38068;.xlsx" TargetMode="External"/></Relationships>
</file>

<file path=word/charts/_rels/chart11.xml.rels><?xml version="1.0" encoding="UTF-8" standalone="yes"?>
<Relationships xmlns="http://schemas.openxmlformats.org/package/2006/relationships"><Relationship Id="rId2" Type="http://schemas.openxmlformats.org/officeDocument/2006/relationships/themeOverride" Target="../theme/themeOverride3.xml"/><Relationship Id="rId1" Type="http://schemas.openxmlformats.org/officeDocument/2006/relationships/oleObject" Target="file:///G:\1%20&#22312;&#20570;\2024.7.9%20%20&#20013;&#20255;&#32671;&#22522;&#38068;\&#25968;&#25454;&#22788;&#29702;%20&#32671;&#22522;&#38068;.xlsx" TargetMode="External"/></Relationships>
</file>

<file path=word/charts/_rels/chart12.xml.rels><?xml version="1.0" encoding="UTF-8" standalone="yes"?>
<Relationships xmlns="http://schemas.openxmlformats.org/package/2006/relationships"><Relationship Id="rId2" Type="http://schemas.openxmlformats.org/officeDocument/2006/relationships/themeOverride" Target="../theme/themeOverride9.xml"/><Relationship Id="rId1" Type="http://schemas.openxmlformats.org/officeDocument/2006/relationships/oleObject" Target="file:///G:\1%20&#22312;&#20570;\2024.7.9%20%20&#20013;&#20255;&#32671;&#22522;&#38068;\&#25968;&#25454;&#22788;&#29702;%20&#32671;&#22522;&#38068;.xlsx" TargetMode="External"/></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oleObject" Target="file:///G:\1%20&#22312;&#20570;\2024.7.9%20%20&#20013;&#20255;&#32671;&#22522;&#38068;\&#25968;&#25454;&#22788;&#29702;%20&#32671;&#22522;&#38068;.xlsx" TargetMode="External"/></Relationships>
</file>

<file path=word/charts/_rels/chart3.xml.rels><?xml version="1.0" encoding="UTF-8" standalone="yes"?>
<Relationships xmlns="http://schemas.openxmlformats.org/package/2006/relationships"><Relationship Id="rId2" Type="http://schemas.openxmlformats.org/officeDocument/2006/relationships/themeOverride" Target="../theme/themeOverride4.xml"/><Relationship Id="rId1" Type="http://schemas.openxmlformats.org/officeDocument/2006/relationships/oleObject" Target="file:///G:\1%20&#22312;&#20570;\2024.7.9%20%20&#20013;&#20255;&#32671;&#22522;&#38068;\&#25968;&#25454;&#22788;&#29702;%20&#32671;&#22522;&#3806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24494;&#20449;\WeChat%20Files\zhengdongdong583054\FileStorage\File\2024-12\&#25968;&#25454;&#22788;&#29702;%20&#32671;&#22522;&#3806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24494;&#20449;\WeChat%20Files\zhengdongdong583054\FileStorage\File\2024-12\&#25968;&#25454;&#22788;&#29702;%20&#32671;&#22522;&#3806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24494;&#20449;\WeChat%20Files\zhengdongdong583054\FileStorage\File\2024-12\&#25968;&#25454;&#22788;&#29702;%20&#32671;&#22522;&#38068;.xlsx" TargetMode="External"/></Relationships>
</file>

<file path=word/charts/_rels/chart7.xml.rels><?xml version="1.0" encoding="UTF-8" standalone="yes"?>
<Relationships xmlns="http://schemas.openxmlformats.org/package/2006/relationships"><Relationship Id="rId2" Type="http://schemas.openxmlformats.org/officeDocument/2006/relationships/themeOverride" Target="../theme/themeOverride6.xml"/><Relationship Id="rId1" Type="http://schemas.openxmlformats.org/officeDocument/2006/relationships/oleObject" Target="file:///G:\1%20&#22312;&#20570;\2024.7.9%20%20&#20013;&#20255;&#32671;&#22522;&#38068;\&#25968;&#25454;&#22788;&#29702;%20&#32671;&#22522;&#38068;.xlsx" TargetMode="External"/></Relationships>
</file>

<file path=word/charts/_rels/chart8.xml.rels><?xml version="1.0" encoding="UTF-8" standalone="yes"?>
<Relationships xmlns="http://schemas.openxmlformats.org/package/2006/relationships"><Relationship Id="rId2" Type="http://schemas.openxmlformats.org/officeDocument/2006/relationships/themeOverride" Target="../theme/themeOverride7.xml"/><Relationship Id="rId1" Type="http://schemas.openxmlformats.org/officeDocument/2006/relationships/oleObject" Target="file:///G:\1%20&#22312;&#20570;\2024.7.9%20%20&#20013;&#20255;&#32671;&#22522;&#38068;\&#25968;&#25454;&#22788;&#29702;%20&#32671;&#22522;&#38068;.xlsx" TargetMode="External"/></Relationships>
</file>

<file path=word/charts/_rels/chart9.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oleObject" Target="file:///G:\1%20&#22312;&#20570;\2024.7.9%20%20&#20013;&#20255;&#32671;&#22522;&#38068;\&#25968;&#25454;&#22788;&#29702;%20&#32671;&#22522;&#3806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dLbls>
            <c:delete val="1"/>
          </c:dLbls>
          <c:cat>
            <c:numRef>
              <c:f>地下水预测钴!$C$3:$C$26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地下水预测钴!$E$3:$E$26</c:f>
              <c:numCache>
                <c:formatCode>General</c:formatCode>
                <c:ptCount val="24"/>
                <c:pt idx="0">
                  <c:v>0.0118</c:v>
                </c:pt>
                <c:pt idx="1">
                  <c:v>0.0143</c:v>
                </c:pt>
                <c:pt idx="2">
                  <c:v>0.0217</c:v>
                </c:pt>
                <c:pt idx="3">
                  <c:v>0.0217</c:v>
                </c:pt>
                <c:pt idx="4">
                  <c:v>0.0143</c:v>
                </c:pt>
                <c:pt idx="5">
                  <c:v>0.0106</c:v>
                </c:pt>
                <c:pt idx="6">
                  <c:v>0.01</c:v>
                </c:pt>
                <c:pt idx="7">
                  <c:v>0.01</c:v>
                </c:pt>
                <c:pt idx="8">
                  <c:v>0.01</c:v>
                </c:pt>
                <c:pt idx="9">
                  <c:v>0.01</c:v>
                </c:pt>
                <c:pt idx="10">
                  <c:v>0.01</c:v>
                </c:pt>
                <c:pt idx="11">
                  <c:v>0.01</c:v>
                </c:pt>
                <c:pt idx="12">
                  <c:v>0.01</c:v>
                </c:pt>
                <c:pt idx="13">
                  <c:v>0.01</c:v>
                </c:pt>
                <c:pt idx="14">
                  <c:v>0.01</c:v>
                </c:pt>
                <c:pt idx="15">
                  <c:v>0.01</c:v>
                </c:pt>
                <c:pt idx="16">
                  <c:v>0.01</c:v>
                </c:pt>
                <c:pt idx="17">
                  <c:v>0.01</c:v>
                </c:pt>
                <c:pt idx="18">
                  <c:v>0.01</c:v>
                </c:pt>
                <c:pt idx="19">
                  <c:v>0.01</c:v>
                </c:pt>
                <c:pt idx="20">
                  <c:v>0.01</c:v>
                </c:pt>
                <c:pt idx="21">
                  <c:v>0.01</c:v>
                </c:pt>
                <c:pt idx="22">
                  <c:v>0.01</c:v>
                </c:pt>
                <c:pt idx="23">
                  <c:v>0.01</c:v>
                </c:pt>
              </c:numCache>
            </c:numRef>
          </c:val>
          <c:smooth val="0"/>
        </c:ser>
        <c:dLbls>
          <c:showLegendKey val="0"/>
          <c:showVal val="0"/>
          <c:showCatName val="0"/>
          <c:showSerName val="0"/>
          <c:showPercent val="0"/>
          <c:showBubbleSize val="0"/>
        </c:dLbls>
        <c:marker val="1"/>
        <c:smooth val="0"/>
        <c:axId val="451213952"/>
        <c:axId val="451273472"/>
      </c:lineChart>
      <c:catAx>
        <c:axId val="451213952"/>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273472"/>
        <c:crosses val="autoZero"/>
        <c:auto val="1"/>
        <c:lblAlgn val="ctr"/>
        <c:lblOffset val="100"/>
        <c:noMultiLvlLbl val="0"/>
      </c:catAx>
      <c:valAx>
        <c:axId val="451273472"/>
        <c:scaling>
          <c:orientation val="minMax"/>
          <c:min val="0.01"/>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213952"/>
        <c:crosses val="autoZero"/>
        <c:crossBetween val="between"/>
      </c:valAx>
    </c:plotArea>
    <c:plotVisOnly val="1"/>
    <c:dispBlanksAs val="gap"/>
    <c:showDLblsOverMax val="0"/>
    <c:extLst>
      <c:ext uri="{0b15fc19-7d7d-44ad-8c2d-2c3a37ce22c3}">
        <chartProps xmlns="https://web.wps.cn/et/2018/main" chartId="{04356281-d5b2-4e17-9914-de6dacc46d74}"/>
      </c:ext>
    </c:extLst>
  </c:chart>
  <c:txPr>
    <a:bodyPr/>
    <a:lstStyle/>
    <a:p>
      <a:pPr>
        <a:defRPr lang="zh-CN"/>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地下水硫酸盐!$C$3:$C$26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地下水硫酸盐!$E$3:$E$26</c:f>
              <c:numCache>
                <c:formatCode>General</c:formatCode>
                <c:ptCount val="24"/>
                <c:pt idx="0">
                  <c:v>867.3356</c:v>
                </c:pt>
                <c:pt idx="1">
                  <c:v>922.3611</c:v>
                </c:pt>
                <c:pt idx="2">
                  <c:v>1084.5001</c:v>
                </c:pt>
                <c:pt idx="3">
                  <c:v>1084.5001</c:v>
                </c:pt>
                <c:pt idx="4">
                  <c:v>922.3611</c:v>
                </c:pt>
                <c:pt idx="5">
                  <c:v>840.7704</c:v>
                </c:pt>
                <c:pt idx="6">
                  <c:v>828.6358</c:v>
                </c:pt>
                <c:pt idx="7">
                  <c:v>828.0116</c:v>
                </c:pt>
                <c:pt idx="8">
                  <c:v>828</c:v>
                </c:pt>
                <c:pt idx="9">
                  <c:v>828</c:v>
                </c:pt>
                <c:pt idx="10">
                  <c:v>828</c:v>
                </c:pt>
                <c:pt idx="11">
                  <c:v>828</c:v>
                </c:pt>
                <c:pt idx="12">
                  <c:v>828</c:v>
                </c:pt>
                <c:pt idx="13">
                  <c:v>828</c:v>
                </c:pt>
                <c:pt idx="14">
                  <c:v>828</c:v>
                </c:pt>
                <c:pt idx="15">
                  <c:v>828</c:v>
                </c:pt>
                <c:pt idx="16">
                  <c:v>828</c:v>
                </c:pt>
                <c:pt idx="17">
                  <c:v>828</c:v>
                </c:pt>
                <c:pt idx="18">
                  <c:v>828</c:v>
                </c:pt>
                <c:pt idx="19">
                  <c:v>828</c:v>
                </c:pt>
                <c:pt idx="20">
                  <c:v>828</c:v>
                </c:pt>
                <c:pt idx="21">
                  <c:v>828</c:v>
                </c:pt>
                <c:pt idx="22">
                  <c:v>828</c:v>
                </c:pt>
                <c:pt idx="23">
                  <c:v>828</c:v>
                </c:pt>
              </c:numCache>
            </c:numRef>
          </c:val>
          <c:smooth val="0"/>
        </c:ser>
        <c:dLbls>
          <c:showLegendKey val="0"/>
          <c:showVal val="0"/>
          <c:showCatName val="0"/>
          <c:showSerName val="0"/>
          <c:showPercent val="0"/>
          <c:showBubbleSize val="0"/>
        </c:dLbls>
        <c:marker val="1"/>
        <c:smooth val="0"/>
        <c:axId val="471895424"/>
        <c:axId val="471959040"/>
      </c:lineChart>
      <c:catAx>
        <c:axId val="471895424"/>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71959040"/>
        <c:crosses val="autoZero"/>
        <c:auto val="1"/>
        <c:lblAlgn val="ctr"/>
        <c:lblOffset val="100"/>
        <c:noMultiLvlLbl val="0"/>
      </c:catAx>
      <c:valAx>
        <c:axId val="471959040"/>
        <c:scaling>
          <c:orientation val="minMax"/>
          <c:min val="825"/>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71895424"/>
        <c:crosses val="autoZero"/>
        <c:crossBetween val="between"/>
      </c:valAx>
    </c:plotArea>
    <c:plotVisOnly val="1"/>
    <c:dispBlanksAs val="gap"/>
    <c:showDLblsOverMax val="0"/>
    <c:extLst>
      <c:ext uri="{0b15fc19-7d7d-44ad-8c2d-2c3a37ce22c3}">
        <chartProps xmlns="https://web.wps.cn/et/2018/main" chartId="{0e5f09cb-528e-4ff1-ba1f-9f16a3496b9a}"/>
      </c:ext>
    </c:extLst>
  </c:chart>
  <c:txPr>
    <a:bodyPr/>
    <a:lstStyle/>
    <a:p>
      <a:pPr>
        <a:defRPr lang="zh-CN"/>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地下水硫酸盐!$C$3:$C$26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地下水硫酸盐!$G$3:$G$26</c:f>
              <c:numCache>
                <c:formatCode>General</c:formatCode>
                <c:ptCount val="24"/>
                <c:pt idx="0">
                  <c:v>828.0057</c:v>
                </c:pt>
                <c:pt idx="1">
                  <c:v>828.018</c:v>
                </c:pt>
                <c:pt idx="2">
                  <c:v>828.1452</c:v>
                </c:pt>
                <c:pt idx="3">
                  <c:v>828.8919</c:v>
                </c:pt>
                <c:pt idx="4">
                  <c:v>832.1651</c:v>
                </c:pt>
                <c:pt idx="5">
                  <c:v>842.7886</c:v>
                </c:pt>
                <c:pt idx="6">
                  <c:v>867.9252</c:v>
                </c:pt>
                <c:pt idx="7">
                  <c:v>909.9564</c:v>
                </c:pt>
                <c:pt idx="8">
                  <c:v>955.9184</c:v>
                </c:pt>
                <c:pt idx="9">
                  <c:v>979.8093</c:v>
                </c:pt>
                <c:pt idx="10">
                  <c:v>964.9869</c:v>
                </c:pt>
                <c:pt idx="11">
                  <c:v>921.9886</c:v>
                </c:pt>
                <c:pt idx="12">
                  <c:v>877.0327</c:v>
                </c:pt>
                <c:pt idx="13">
                  <c:v>847.4497</c:v>
                </c:pt>
                <c:pt idx="14">
                  <c:v>833.8662</c:v>
                </c:pt>
                <c:pt idx="15">
                  <c:v>829.3453</c:v>
                </c:pt>
                <c:pt idx="16">
                  <c:v>828.2346</c:v>
                </c:pt>
                <c:pt idx="17">
                  <c:v>828.0311</c:v>
                </c:pt>
                <c:pt idx="18">
                  <c:v>828</c:v>
                </c:pt>
                <c:pt idx="19">
                  <c:v>828</c:v>
                </c:pt>
                <c:pt idx="20">
                  <c:v>828</c:v>
                </c:pt>
                <c:pt idx="21">
                  <c:v>828</c:v>
                </c:pt>
                <c:pt idx="22">
                  <c:v>828</c:v>
                </c:pt>
                <c:pt idx="23">
                  <c:v>828</c:v>
                </c:pt>
              </c:numCache>
            </c:numRef>
          </c:val>
          <c:smooth val="0"/>
        </c:ser>
        <c:dLbls>
          <c:showLegendKey val="0"/>
          <c:showVal val="0"/>
          <c:showCatName val="0"/>
          <c:showSerName val="0"/>
          <c:showPercent val="0"/>
          <c:showBubbleSize val="0"/>
        </c:dLbls>
        <c:marker val="1"/>
        <c:smooth val="0"/>
        <c:axId val="524425088"/>
        <c:axId val="524431360"/>
      </c:lineChart>
      <c:catAx>
        <c:axId val="524425088"/>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524431360"/>
        <c:crosses val="autoZero"/>
        <c:auto val="1"/>
        <c:lblAlgn val="ctr"/>
        <c:lblOffset val="100"/>
        <c:noMultiLvlLbl val="0"/>
      </c:catAx>
      <c:valAx>
        <c:axId val="524431360"/>
        <c:scaling>
          <c:orientation val="minMax"/>
          <c:min val="825"/>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524425088"/>
        <c:crosses val="autoZero"/>
        <c:crossBetween val="between"/>
      </c:valAx>
    </c:plotArea>
    <c:plotVisOnly val="1"/>
    <c:dispBlanksAs val="gap"/>
    <c:showDLblsOverMax val="0"/>
    <c:extLst>
      <c:ext uri="{0b15fc19-7d7d-44ad-8c2d-2c3a37ce22c3}">
        <chartProps xmlns="https://web.wps.cn/et/2018/main" chartId="{8c9d57f4-6ba9-4380-a365-8681015ef8a4}"/>
      </c:ext>
    </c:extLst>
  </c:chart>
  <c:txPr>
    <a:bodyPr/>
    <a:lstStyle/>
    <a:p>
      <a:pPr>
        <a:defRPr lang="zh-CN"/>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地下水硫酸盐!$C$3:$C$26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地下水硫酸盐!$I$3:$I$26</c:f>
              <c:numCache>
                <c:formatCode>General</c:formatCode>
                <c:ptCount val="24"/>
                <c:pt idx="0">
                  <c:v>828</c:v>
                </c:pt>
                <c:pt idx="1">
                  <c:v>828</c:v>
                </c:pt>
                <c:pt idx="2">
                  <c:v>828</c:v>
                </c:pt>
                <c:pt idx="3">
                  <c:v>828</c:v>
                </c:pt>
                <c:pt idx="4">
                  <c:v>828</c:v>
                </c:pt>
                <c:pt idx="5">
                  <c:v>828</c:v>
                </c:pt>
                <c:pt idx="6">
                  <c:v>828</c:v>
                </c:pt>
                <c:pt idx="7">
                  <c:v>828</c:v>
                </c:pt>
                <c:pt idx="8">
                  <c:v>828</c:v>
                </c:pt>
                <c:pt idx="9">
                  <c:v>828.0003</c:v>
                </c:pt>
                <c:pt idx="10">
                  <c:v>828.0012</c:v>
                </c:pt>
                <c:pt idx="11">
                  <c:v>828.0051</c:v>
                </c:pt>
                <c:pt idx="12">
                  <c:v>828.0197</c:v>
                </c:pt>
                <c:pt idx="13">
                  <c:v>828.0686</c:v>
                </c:pt>
                <c:pt idx="14">
                  <c:v>828.2167</c:v>
                </c:pt>
                <c:pt idx="15">
                  <c:v>828.6193</c:v>
                </c:pt>
                <c:pt idx="16">
                  <c:v>829.6013</c:v>
                </c:pt>
                <c:pt idx="17">
                  <c:v>831.7466</c:v>
                </c:pt>
                <c:pt idx="18">
                  <c:v>854.3334</c:v>
                </c:pt>
                <c:pt idx="19">
                  <c:v>919.9125</c:v>
                </c:pt>
                <c:pt idx="20">
                  <c:v>854.3333</c:v>
                </c:pt>
                <c:pt idx="21">
                  <c:v>828</c:v>
                </c:pt>
                <c:pt idx="22">
                  <c:v>828</c:v>
                </c:pt>
                <c:pt idx="23">
                  <c:v>828</c:v>
                </c:pt>
              </c:numCache>
            </c:numRef>
          </c:val>
          <c:smooth val="0"/>
        </c:ser>
        <c:dLbls>
          <c:showLegendKey val="0"/>
          <c:showVal val="0"/>
          <c:showCatName val="0"/>
          <c:showSerName val="0"/>
          <c:showPercent val="0"/>
          <c:showBubbleSize val="0"/>
        </c:dLbls>
        <c:marker val="1"/>
        <c:smooth val="0"/>
        <c:axId val="524472704"/>
        <c:axId val="524474624"/>
      </c:lineChart>
      <c:catAx>
        <c:axId val="524472704"/>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524474624"/>
        <c:crosses val="autoZero"/>
        <c:auto val="1"/>
        <c:lblAlgn val="ctr"/>
        <c:lblOffset val="100"/>
        <c:noMultiLvlLbl val="0"/>
      </c:catAx>
      <c:valAx>
        <c:axId val="524474624"/>
        <c:scaling>
          <c:orientation val="minMax"/>
          <c:min val="825"/>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524472704"/>
        <c:crosses val="autoZero"/>
        <c:crossBetween val="between"/>
      </c:valAx>
    </c:plotArea>
    <c:plotVisOnly val="1"/>
    <c:dispBlanksAs val="gap"/>
    <c:showDLblsOverMax val="0"/>
    <c:extLst>
      <c:ext uri="{0b15fc19-7d7d-44ad-8c2d-2c3a37ce22c3}">
        <chartProps xmlns="https://web.wps.cn/et/2018/main" chartId="{ae3ec81b-510c-4e93-9ca3-07e471424b19}"/>
      </c:ext>
    </c:extLst>
  </c:chart>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dLbls>
            <c:delete val="1"/>
          </c:dLbls>
          <c:cat>
            <c:numRef>
              <c:f>地下水预测钴!$C$3:$C$26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地下水预测钴!$G$3:$G$26</c:f>
              <c:numCache>
                <c:formatCode>General</c:formatCode>
                <c:ptCount val="24"/>
                <c:pt idx="0">
                  <c:v>0.01</c:v>
                </c:pt>
                <c:pt idx="1">
                  <c:v>0.01</c:v>
                </c:pt>
                <c:pt idx="2">
                  <c:v>0.01</c:v>
                </c:pt>
                <c:pt idx="3">
                  <c:v>0.01</c:v>
                </c:pt>
                <c:pt idx="4">
                  <c:v>0.0102</c:v>
                </c:pt>
                <c:pt idx="5">
                  <c:v>0.0107</c:v>
                </c:pt>
                <c:pt idx="6">
                  <c:v>0.0118</c:v>
                </c:pt>
                <c:pt idx="7">
                  <c:v>0.0138</c:v>
                </c:pt>
                <c:pt idx="8">
                  <c:v>0.0159</c:v>
                </c:pt>
                <c:pt idx="9">
                  <c:v>0.0169</c:v>
                </c:pt>
                <c:pt idx="10">
                  <c:v>0.0163</c:v>
                </c:pt>
                <c:pt idx="11">
                  <c:v>0.0143</c:v>
                </c:pt>
                <c:pt idx="12">
                  <c:v>0.0122</c:v>
                </c:pt>
                <c:pt idx="13">
                  <c:v>0.0109</c:v>
                </c:pt>
                <c:pt idx="14">
                  <c:v>0.0103</c:v>
                </c:pt>
                <c:pt idx="15">
                  <c:v>0.0101</c:v>
                </c:pt>
                <c:pt idx="16">
                  <c:v>0.01</c:v>
                </c:pt>
                <c:pt idx="17">
                  <c:v>0.01</c:v>
                </c:pt>
                <c:pt idx="18">
                  <c:v>0.01</c:v>
                </c:pt>
                <c:pt idx="19">
                  <c:v>0.01</c:v>
                </c:pt>
                <c:pt idx="20">
                  <c:v>0.01</c:v>
                </c:pt>
                <c:pt idx="21">
                  <c:v>0.01</c:v>
                </c:pt>
                <c:pt idx="22">
                  <c:v>0.01</c:v>
                </c:pt>
                <c:pt idx="23">
                  <c:v>0.01</c:v>
                </c:pt>
              </c:numCache>
            </c:numRef>
          </c:val>
          <c:smooth val="0"/>
        </c:ser>
        <c:dLbls>
          <c:showLegendKey val="0"/>
          <c:showVal val="0"/>
          <c:showCatName val="0"/>
          <c:showSerName val="0"/>
          <c:showPercent val="0"/>
          <c:showBubbleSize val="0"/>
        </c:dLbls>
        <c:marker val="1"/>
        <c:smooth val="0"/>
        <c:axId val="451318912"/>
        <c:axId val="451320832"/>
      </c:lineChart>
      <c:catAx>
        <c:axId val="451318912"/>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320832"/>
        <c:crosses val="autoZero"/>
        <c:auto val="1"/>
        <c:lblAlgn val="ctr"/>
        <c:lblOffset val="100"/>
        <c:noMultiLvlLbl val="0"/>
      </c:catAx>
      <c:valAx>
        <c:axId val="451320832"/>
        <c:scaling>
          <c:orientation val="minMax"/>
          <c:min val="0.01"/>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318912"/>
        <c:crosses val="autoZero"/>
        <c:crossBetween val="between"/>
      </c:valAx>
    </c:plotArea>
    <c:plotVisOnly val="1"/>
    <c:dispBlanksAs val="gap"/>
    <c:showDLblsOverMax val="0"/>
    <c:extLst>
      <c:ext uri="{0b15fc19-7d7d-44ad-8c2d-2c3a37ce22c3}">
        <chartProps xmlns="https://web.wps.cn/et/2018/main" chartId="{8941517d-ddc6-4d27-a31c-e94f8bda6f15}"/>
      </c:ext>
    </c:extLst>
  </c:chart>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dLbls>
            <c:delete val="1"/>
          </c:dLbls>
          <c:cat>
            <c:numRef>
              <c:f>地下水预测钴!$C$3:$C$26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地下水预测钴!$I$3:$I$26</c:f>
              <c:numCache>
                <c:formatCode>General</c:formatCode>
                <c:ptCount val="24"/>
                <c:pt idx="0">
                  <c:v>0.01</c:v>
                </c:pt>
                <c:pt idx="1">
                  <c:v>0.01</c:v>
                </c:pt>
                <c:pt idx="2">
                  <c:v>0.01</c:v>
                </c:pt>
                <c:pt idx="3">
                  <c:v>0.01</c:v>
                </c:pt>
                <c:pt idx="4">
                  <c:v>0.01</c:v>
                </c:pt>
                <c:pt idx="5">
                  <c:v>0.01</c:v>
                </c:pt>
                <c:pt idx="6">
                  <c:v>0.01</c:v>
                </c:pt>
                <c:pt idx="7">
                  <c:v>0.01</c:v>
                </c:pt>
                <c:pt idx="8">
                  <c:v>0.01</c:v>
                </c:pt>
                <c:pt idx="9">
                  <c:v>0.01</c:v>
                </c:pt>
                <c:pt idx="10">
                  <c:v>0.01</c:v>
                </c:pt>
                <c:pt idx="11">
                  <c:v>0.01</c:v>
                </c:pt>
                <c:pt idx="12">
                  <c:v>0.01</c:v>
                </c:pt>
                <c:pt idx="13">
                  <c:v>0.01</c:v>
                </c:pt>
                <c:pt idx="14">
                  <c:v>0.01</c:v>
                </c:pt>
                <c:pt idx="15">
                  <c:v>0.01</c:v>
                </c:pt>
                <c:pt idx="16">
                  <c:v>0.0101</c:v>
                </c:pt>
                <c:pt idx="17">
                  <c:v>0.0102</c:v>
                </c:pt>
                <c:pt idx="18">
                  <c:v>0.0112</c:v>
                </c:pt>
                <c:pt idx="19">
                  <c:v>0.0142</c:v>
                </c:pt>
                <c:pt idx="20">
                  <c:v>0.0112</c:v>
                </c:pt>
                <c:pt idx="21">
                  <c:v>0.01</c:v>
                </c:pt>
                <c:pt idx="22">
                  <c:v>0.01</c:v>
                </c:pt>
                <c:pt idx="23">
                  <c:v>0.01</c:v>
                </c:pt>
              </c:numCache>
            </c:numRef>
          </c:val>
          <c:smooth val="0"/>
        </c:ser>
        <c:dLbls>
          <c:showLegendKey val="0"/>
          <c:showVal val="0"/>
          <c:showCatName val="0"/>
          <c:showSerName val="0"/>
          <c:showPercent val="0"/>
          <c:showBubbleSize val="0"/>
        </c:dLbls>
        <c:marker val="1"/>
        <c:smooth val="0"/>
        <c:axId val="451493248"/>
        <c:axId val="451520000"/>
      </c:lineChart>
      <c:catAx>
        <c:axId val="451493248"/>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520000"/>
        <c:crosses val="autoZero"/>
        <c:auto val="1"/>
        <c:lblAlgn val="ctr"/>
        <c:lblOffset val="100"/>
        <c:noMultiLvlLbl val="0"/>
      </c:catAx>
      <c:valAx>
        <c:axId val="451520000"/>
        <c:scaling>
          <c:orientation val="minMax"/>
          <c:min val="0.01"/>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51493248"/>
        <c:crosses val="autoZero"/>
        <c:crossBetween val="between"/>
      </c:valAx>
    </c:plotArea>
    <c:plotVisOnly val="1"/>
    <c:dispBlanksAs val="gap"/>
    <c:showDLblsOverMax val="0"/>
    <c:extLst>
      <c:ext uri="{0b15fc19-7d7d-44ad-8c2d-2c3a37ce22c3}">
        <chartProps xmlns="https://web.wps.cn/et/2018/main" chartId="{ecb8c04c-43e1-4a1c-bf8c-b6648fcf9156}"/>
      </c:ext>
    </c:extLst>
  </c:chart>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地下水预测COD!$C$3:$C$26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地下水预测COD!$E$3:$E$26</c:f>
              <c:numCache>
                <c:formatCode>0.0000_ </c:formatCode>
                <c:ptCount val="24"/>
                <c:pt idx="0">
                  <c:v>5.51833333333333</c:v>
                </c:pt>
                <c:pt idx="1">
                  <c:v>5.72977777777778</c:v>
                </c:pt>
                <c:pt idx="2">
                  <c:v>6.34794444444444</c:v>
                </c:pt>
                <c:pt idx="3">
                  <c:v>6.34794444444444</c:v>
                </c:pt>
                <c:pt idx="4">
                  <c:v>5.72977777777778</c:v>
                </c:pt>
                <c:pt idx="5">
                  <c:v>5.41866666666667</c:v>
                </c:pt>
                <c:pt idx="6">
                  <c:v>5.37238888888889</c:v>
                </c:pt>
                <c:pt idx="7">
                  <c:v>5.37005555555556</c:v>
                </c:pt>
                <c:pt idx="8" c:formatCode="General">
                  <c:v>5.37</c:v>
                </c:pt>
                <c:pt idx="9" c:formatCode="General">
                  <c:v>5.37</c:v>
                </c:pt>
                <c:pt idx="10" c:formatCode="General">
                  <c:v>5.37</c:v>
                </c:pt>
                <c:pt idx="11" c:formatCode="General">
                  <c:v>5.37</c:v>
                </c:pt>
                <c:pt idx="12" c:formatCode="General">
                  <c:v>5.37</c:v>
                </c:pt>
                <c:pt idx="13" c:formatCode="General">
                  <c:v>5.37</c:v>
                </c:pt>
                <c:pt idx="14" c:formatCode="General">
                  <c:v>5.37</c:v>
                </c:pt>
                <c:pt idx="15" c:formatCode="General">
                  <c:v>5.37</c:v>
                </c:pt>
                <c:pt idx="16" c:formatCode="General">
                  <c:v>5.37</c:v>
                </c:pt>
                <c:pt idx="17" c:formatCode="General">
                  <c:v>5.37</c:v>
                </c:pt>
                <c:pt idx="18" c:formatCode="General">
                  <c:v>5.37</c:v>
                </c:pt>
                <c:pt idx="19" c:formatCode="General">
                  <c:v>5.37</c:v>
                </c:pt>
                <c:pt idx="20" c:formatCode="General">
                  <c:v>5.37</c:v>
                </c:pt>
                <c:pt idx="21" c:formatCode="General">
                  <c:v>5.37</c:v>
                </c:pt>
                <c:pt idx="22" c:formatCode="General">
                  <c:v>5.37</c:v>
                </c:pt>
                <c:pt idx="23" c:formatCode="General">
                  <c:v>5.37</c:v>
                </c:pt>
              </c:numCache>
            </c:numRef>
          </c:val>
          <c:smooth val="0"/>
        </c:ser>
        <c:dLbls>
          <c:showLegendKey val="0"/>
          <c:showVal val="0"/>
          <c:showCatName val="0"/>
          <c:showSerName val="0"/>
          <c:showPercent val="0"/>
          <c:showBubbleSize val="0"/>
        </c:dLbls>
        <c:marker val="1"/>
        <c:smooth val="0"/>
        <c:axId val="468047360"/>
        <c:axId val="468049280"/>
      </c:lineChart>
      <c:catAx>
        <c:axId val="468047360"/>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049280"/>
        <c:crosses val="autoZero"/>
        <c:auto val="1"/>
        <c:lblAlgn val="ctr"/>
        <c:lblOffset val="100"/>
        <c:noMultiLvlLbl val="0"/>
      </c:catAx>
      <c:valAx>
        <c:axId val="468049280"/>
        <c:scaling>
          <c:orientation val="minMax"/>
          <c:min val="5.3"/>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0.000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047360"/>
        <c:crosses val="autoZero"/>
        <c:crossBetween val="between"/>
      </c:valAx>
    </c:plotArea>
    <c:plotVisOnly val="1"/>
    <c:dispBlanksAs val="gap"/>
    <c:showDLblsOverMax val="0"/>
    <c:extLst>
      <c:ext uri="{0b15fc19-7d7d-44ad-8c2d-2c3a37ce22c3}">
        <chartProps xmlns="https://web.wps.cn/et/2018/main" chartId="{446123a2-1c91-4aaf-b8c3-68a37dcd20dd}"/>
      </c:ext>
    </c:extLst>
  </c:chart>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地下水预测COD!$C$3:$C$26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地下水预测COD!$G$3:$G$26</c:f>
              <c:numCache>
                <c:formatCode>General</c:formatCode>
                <c:ptCount val="24"/>
                <c:pt idx="0">
                  <c:v>5.37</c:v>
                </c:pt>
                <c:pt idx="1" c:formatCode="0.0000_ ">
                  <c:v>5.37005555555556</c:v>
                </c:pt>
                <c:pt idx="2" c:formatCode="0.0000_ ">
                  <c:v>5.37055555555556</c:v>
                </c:pt>
                <c:pt idx="3" c:formatCode="0.0000_ ">
                  <c:v>5.37338888888889</c:v>
                </c:pt>
                <c:pt idx="4" c:formatCode="0.0000_ ">
                  <c:v>5.38588888888889</c:v>
                </c:pt>
                <c:pt idx="5" c:formatCode="0.0000_ ">
                  <c:v>5.42638888888889</c:v>
                </c:pt>
                <c:pt idx="6" c:formatCode="0.0000_ ">
                  <c:v>5.52222222222222</c:v>
                </c:pt>
                <c:pt idx="7" c:formatCode="0.0000_ ">
                  <c:v>5.6825</c:v>
                </c:pt>
                <c:pt idx="8" c:formatCode="0.0000_ ">
                  <c:v>5.85772222222222</c:v>
                </c:pt>
                <c:pt idx="9" c:formatCode="0.0000_ ">
                  <c:v>5.94877777777778</c:v>
                </c:pt>
                <c:pt idx="10" c:formatCode="0.0000_ ">
                  <c:v>5.89227777777778</c:v>
                </c:pt>
                <c:pt idx="11" c:formatCode="0.0000_ ">
                  <c:v>5.72833333333333</c:v>
                </c:pt>
                <c:pt idx="12" c:formatCode="0.0000_ ">
                  <c:v>5.55694444444444</c:v>
                </c:pt>
                <c:pt idx="13" c:formatCode="0.0000_ ">
                  <c:v>5.44416666666667</c:v>
                </c:pt>
                <c:pt idx="14" c:formatCode="0.0000_ ">
                  <c:v>5.39238888888889</c:v>
                </c:pt>
                <c:pt idx="15" c:formatCode="0.0000_ ">
                  <c:v>5.37511111111111</c:v>
                </c:pt>
                <c:pt idx="16" c:formatCode="0.0000_ ">
                  <c:v>5.37088888888889</c:v>
                </c:pt>
                <c:pt idx="17" c:formatCode="0.0000_ ">
                  <c:v>5.37011111111111</c:v>
                </c:pt>
                <c:pt idx="18">
                  <c:v>5.37</c:v>
                </c:pt>
                <c:pt idx="19">
                  <c:v>5.37</c:v>
                </c:pt>
                <c:pt idx="20">
                  <c:v>5.37</c:v>
                </c:pt>
                <c:pt idx="21">
                  <c:v>5.37</c:v>
                </c:pt>
                <c:pt idx="22">
                  <c:v>5.37</c:v>
                </c:pt>
                <c:pt idx="23">
                  <c:v>5.37</c:v>
                </c:pt>
              </c:numCache>
            </c:numRef>
          </c:val>
          <c:smooth val="0"/>
        </c:ser>
        <c:dLbls>
          <c:showLegendKey val="0"/>
          <c:showVal val="0"/>
          <c:showCatName val="0"/>
          <c:showSerName val="0"/>
          <c:showPercent val="0"/>
          <c:showBubbleSize val="0"/>
        </c:dLbls>
        <c:marker val="1"/>
        <c:smooth val="0"/>
        <c:axId val="468135296"/>
        <c:axId val="468162048"/>
      </c:lineChart>
      <c:catAx>
        <c:axId val="468135296"/>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162048"/>
        <c:crosses val="autoZero"/>
        <c:auto val="1"/>
        <c:lblAlgn val="ctr"/>
        <c:lblOffset val="100"/>
        <c:noMultiLvlLbl val="0"/>
      </c:catAx>
      <c:valAx>
        <c:axId val="468162048"/>
        <c:scaling>
          <c:orientation val="minMax"/>
          <c:min val="5.3"/>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135296"/>
        <c:crosses val="autoZero"/>
        <c:crossBetween val="between"/>
      </c:valAx>
    </c:plotArea>
    <c:plotVisOnly val="1"/>
    <c:dispBlanksAs val="gap"/>
    <c:showDLblsOverMax val="0"/>
    <c:extLst>
      <c:ext uri="{0b15fc19-7d7d-44ad-8c2d-2c3a37ce22c3}">
        <chartProps xmlns="https://web.wps.cn/et/2018/main" chartId="{c2c400b3-240d-42eb-947b-7cb59bddd2f3}"/>
      </c:ext>
    </c:extLst>
  </c:chart>
  <c:txPr>
    <a:bodyPr/>
    <a:lstStyle/>
    <a:p>
      <a:pPr>
        <a:defRPr lang="zh-CN"/>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地下水预测COD!$C$3:$C$26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地下水预测COD!$I$3:$I$26</c:f>
              <c:numCache>
                <c:formatCode>General</c:formatCode>
                <c:ptCount val="24"/>
                <c:pt idx="0">
                  <c:v>5.37</c:v>
                </c:pt>
                <c:pt idx="1">
                  <c:v>5.37</c:v>
                </c:pt>
                <c:pt idx="2">
                  <c:v>5.37</c:v>
                </c:pt>
                <c:pt idx="3">
                  <c:v>5.37</c:v>
                </c:pt>
                <c:pt idx="4">
                  <c:v>5.37</c:v>
                </c:pt>
                <c:pt idx="5">
                  <c:v>5.37</c:v>
                </c:pt>
                <c:pt idx="6">
                  <c:v>5.37</c:v>
                </c:pt>
                <c:pt idx="7">
                  <c:v>5.37</c:v>
                </c:pt>
                <c:pt idx="8">
                  <c:v>5.37</c:v>
                </c:pt>
                <c:pt idx="9">
                  <c:v>5.37</c:v>
                </c:pt>
                <c:pt idx="10">
                  <c:v>5.37</c:v>
                </c:pt>
                <c:pt idx="11">
                  <c:v>5.37</c:v>
                </c:pt>
                <c:pt idx="12" c:formatCode="0.0000_ ">
                  <c:v>5.37005555555556</c:v>
                </c:pt>
                <c:pt idx="13" c:formatCode="0.0000_ ">
                  <c:v>5.37027777777778</c:v>
                </c:pt>
                <c:pt idx="14" c:formatCode="0.0000_ ">
                  <c:v>5.37083333333333</c:v>
                </c:pt>
                <c:pt idx="15" c:formatCode="0.0000_ ">
                  <c:v>5.37238888888889</c:v>
                </c:pt>
                <c:pt idx="16" c:formatCode="0.0000_ ">
                  <c:v>5.37611111111111</c:v>
                </c:pt>
                <c:pt idx="17" c:formatCode="0.0000_ ">
                  <c:v>5.38427777777778</c:v>
                </c:pt>
                <c:pt idx="18" c:formatCode="0.0000_ ">
                  <c:v>5.47038888888889</c:v>
                </c:pt>
                <c:pt idx="19" c:formatCode="0.0000_ ">
                  <c:v>5.7205</c:v>
                </c:pt>
                <c:pt idx="20" c:formatCode="0.0000_ ">
                  <c:v>5.47038888888889</c:v>
                </c:pt>
                <c:pt idx="21">
                  <c:v>5.37</c:v>
                </c:pt>
                <c:pt idx="22">
                  <c:v>5.37</c:v>
                </c:pt>
                <c:pt idx="23">
                  <c:v>5.37</c:v>
                </c:pt>
              </c:numCache>
            </c:numRef>
          </c:val>
          <c:smooth val="0"/>
        </c:ser>
        <c:dLbls>
          <c:showLegendKey val="0"/>
          <c:showVal val="0"/>
          <c:showCatName val="0"/>
          <c:showSerName val="0"/>
          <c:showPercent val="0"/>
          <c:showBubbleSize val="0"/>
        </c:dLbls>
        <c:marker val="1"/>
        <c:smooth val="0"/>
        <c:axId val="468243968"/>
        <c:axId val="468245888"/>
      </c:lineChart>
      <c:catAx>
        <c:axId val="468243968"/>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245888"/>
        <c:crosses val="autoZero"/>
        <c:auto val="1"/>
        <c:lblAlgn val="ctr"/>
        <c:lblOffset val="100"/>
        <c:noMultiLvlLbl val="0"/>
      </c:catAx>
      <c:valAx>
        <c:axId val="468245888"/>
        <c:scaling>
          <c:orientation val="minMax"/>
          <c:min val="5.3"/>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243968"/>
        <c:crosses val="autoZero"/>
        <c:crossBetween val="between"/>
      </c:valAx>
    </c:plotArea>
    <c:plotVisOnly val="1"/>
    <c:dispBlanksAs val="gap"/>
    <c:showDLblsOverMax val="0"/>
    <c:extLst>
      <c:ext uri="{0b15fc19-7d7d-44ad-8c2d-2c3a37ce22c3}">
        <chartProps xmlns="https://web.wps.cn/et/2018/main" chartId="{af70f952-fdbe-4340-bad6-a928e9b9d188}"/>
      </c:ext>
    </c:extLst>
  </c:chart>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地下水预测氨氮!$C$3:$C$26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地下水预测氨氮!$E$3:$E$26</c:f>
              <c:numCache>
                <c:formatCode>General</c:formatCode>
                <c:ptCount val="24"/>
                <c:pt idx="0">
                  <c:v>8</c:v>
                </c:pt>
                <c:pt idx="1">
                  <c:v>9.8879</c:v>
                </c:pt>
                <c:pt idx="2">
                  <c:v>15.4516</c:v>
                </c:pt>
                <c:pt idx="3">
                  <c:v>15.4516</c:v>
                </c:pt>
                <c:pt idx="4">
                  <c:v>9.8879</c:v>
                </c:pt>
                <c:pt idx="5">
                  <c:v>7.0882</c:v>
                </c:pt>
                <c:pt idx="6">
                  <c:v>6.6718</c:v>
                </c:pt>
                <c:pt idx="7">
                  <c:v>6.6504</c:v>
                </c:pt>
                <c:pt idx="8">
                  <c:v>6.65</c:v>
                </c:pt>
                <c:pt idx="9">
                  <c:v>6.65</c:v>
                </c:pt>
                <c:pt idx="10">
                  <c:v>6.65</c:v>
                </c:pt>
                <c:pt idx="11">
                  <c:v>6.65</c:v>
                </c:pt>
                <c:pt idx="12">
                  <c:v>6.65</c:v>
                </c:pt>
                <c:pt idx="13">
                  <c:v>6.65</c:v>
                </c:pt>
                <c:pt idx="14">
                  <c:v>6.65</c:v>
                </c:pt>
                <c:pt idx="15">
                  <c:v>6.65</c:v>
                </c:pt>
                <c:pt idx="16">
                  <c:v>6.65</c:v>
                </c:pt>
                <c:pt idx="17">
                  <c:v>6.65</c:v>
                </c:pt>
                <c:pt idx="18">
                  <c:v>6.65</c:v>
                </c:pt>
                <c:pt idx="19">
                  <c:v>6.65</c:v>
                </c:pt>
                <c:pt idx="20">
                  <c:v>6.65</c:v>
                </c:pt>
                <c:pt idx="21">
                  <c:v>6.65</c:v>
                </c:pt>
                <c:pt idx="22">
                  <c:v>6.65</c:v>
                </c:pt>
                <c:pt idx="23">
                  <c:v>6.65</c:v>
                </c:pt>
              </c:numCache>
            </c:numRef>
          </c:val>
          <c:smooth val="0"/>
        </c:ser>
        <c:dLbls>
          <c:showLegendKey val="0"/>
          <c:showVal val="0"/>
          <c:showCatName val="0"/>
          <c:showSerName val="0"/>
          <c:showPercent val="0"/>
          <c:showBubbleSize val="0"/>
        </c:dLbls>
        <c:marker val="1"/>
        <c:smooth val="0"/>
        <c:axId val="468381696"/>
        <c:axId val="468383616"/>
      </c:lineChart>
      <c:catAx>
        <c:axId val="468381696"/>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383616"/>
        <c:crosses val="autoZero"/>
        <c:auto val="1"/>
        <c:lblAlgn val="ctr"/>
        <c:lblOffset val="100"/>
        <c:noMultiLvlLbl val="0"/>
      </c:catAx>
      <c:valAx>
        <c:axId val="468383616"/>
        <c:scaling>
          <c:orientation val="minMax"/>
          <c:min val="6.6"/>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381696"/>
        <c:crosses val="autoZero"/>
        <c:crossBetween val="between"/>
      </c:valAx>
    </c:plotArea>
    <c:plotVisOnly val="1"/>
    <c:dispBlanksAs val="gap"/>
    <c:showDLblsOverMax val="0"/>
    <c:extLst>
      <c:ext uri="{0b15fc19-7d7d-44ad-8c2d-2c3a37ce22c3}">
        <chartProps xmlns="https://web.wps.cn/et/2018/main" chartId="{637b0083-4311-497f-a433-8c91a56dcda1}"/>
      </c:ext>
    </c:extLst>
  </c:chart>
  <c:txPr>
    <a:bodyPr/>
    <a:lstStyle/>
    <a:p>
      <a:pPr>
        <a:defRPr lang="zh-CN"/>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地下水预测氨氮!$C$3:$C$26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地下水预测氨氮!$G$3:$G$26</c:f>
              <c:numCache>
                <c:formatCode>General</c:formatCode>
                <c:ptCount val="24"/>
                <c:pt idx="0">
                  <c:v>6.6502</c:v>
                </c:pt>
                <c:pt idx="1">
                  <c:v>6.6506</c:v>
                </c:pt>
                <c:pt idx="2">
                  <c:v>6.655</c:v>
                </c:pt>
                <c:pt idx="3">
                  <c:v>6.6806</c:v>
                </c:pt>
                <c:pt idx="4">
                  <c:v>6.7929</c:v>
                </c:pt>
                <c:pt idx="5">
                  <c:v>7.1575</c:v>
                </c:pt>
                <c:pt idx="6">
                  <c:v>8.02</c:v>
                </c:pt>
                <c:pt idx="7">
                  <c:v>9.4623</c:v>
                </c:pt>
                <c:pt idx="8">
                  <c:v>11.0394</c:v>
                </c:pt>
                <c:pt idx="9">
                  <c:v>11.8592</c:v>
                </c:pt>
                <c:pt idx="10">
                  <c:v>11.3506</c:v>
                </c:pt>
                <c:pt idx="11">
                  <c:v>9.8752</c:v>
                </c:pt>
                <c:pt idx="12">
                  <c:v>8.3325</c:v>
                </c:pt>
                <c:pt idx="13">
                  <c:v>7.3174</c:v>
                </c:pt>
                <c:pt idx="14">
                  <c:v>6.8513</c:v>
                </c:pt>
                <c:pt idx="15">
                  <c:v>6.6962</c:v>
                </c:pt>
                <c:pt idx="16">
                  <c:v>6.658</c:v>
                </c:pt>
                <c:pt idx="17">
                  <c:v>6.6511</c:v>
                </c:pt>
                <c:pt idx="18">
                  <c:v>6.65</c:v>
                </c:pt>
                <c:pt idx="19">
                  <c:v>6.65</c:v>
                </c:pt>
                <c:pt idx="20">
                  <c:v>6.65</c:v>
                </c:pt>
                <c:pt idx="21">
                  <c:v>6.65</c:v>
                </c:pt>
                <c:pt idx="22">
                  <c:v>6.65</c:v>
                </c:pt>
                <c:pt idx="23">
                  <c:v>6.65</c:v>
                </c:pt>
              </c:numCache>
            </c:numRef>
          </c:val>
          <c:smooth val="0"/>
        </c:ser>
        <c:dLbls>
          <c:showLegendKey val="0"/>
          <c:showVal val="0"/>
          <c:showCatName val="0"/>
          <c:showSerName val="0"/>
          <c:showPercent val="0"/>
          <c:showBubbleSize val="0"/>
        </c:dLbls>
        <c:marker val="1"/>
        <c:smooth val="0"/>
        <c:axId val="468580608"/>
        <c:axId val="468701568"/>
      </c:lineChart>
      <c:catAx>
        <c:axId val="468580608"/>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701568"/>
        <c:crosses val="autoZero"/>
        <c:auto val="1"/>
        <c:lblAlgn val="ctr"/>
        <c:lblOffset val="100"/>
        <c:noMultiLvlLbl val="0"/>
      </c:catAx>
      <c:valAx>
        <c:axId val="468701568"/>
        <c:scaling>
          <c:orientation val="minMax"/>
          <c:min val="6.6"/>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8580608"/>
        <c:crosses val="autoZero"/>
        <c:crossBetween val="between"/>
      </c:valAx>
    </c:plotArea>
    <c:plotVisOnly val="1"/>
    <c:dispBlanksAs val="gap"/>
    <c:showDLblsOverMax val="0"/>
    <c:extLst>
      <c:ext uri="{0b15fc19-7d7d-44ad-8c2d-2c3a37ce22c3}">
        <chartProps xmlns="https://web.wps.cn/et/2018/main" chartId="{6f7fbbbc-a56a-4bfc-99b0-cb129762938c}"/>
      </c:ext>
    </c:extLst>
  </c:chart>
  <c:txPr>
    <a:bodyPr/>
    <a:lstStyle/>
    <a:p>
      <a:pPr>
        <a:defRPr lang="zh-CN"/>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地下水预测氨氮!$C$3:$C$26</c:f>
              <c:strCache>
                <c:ptCount val="1"/>
                <c:pt idx="0">
                  <c:v>10 20 40 60 80 100 120 140 160 180 200 220 240 260 280 300 320 340 400 500 600 1000 1200 1700</c:v>
                </c:pt>
              </c:strCache>
            </c:strRef>
          </c:tx>
          <c:dLbls>
            <c:delete val="1"/>
          </c:dLbls>
          <c:cat>
            <c:numRef>
              <c:f>地下水预测COD!$C$3:$C$26</c:f>
              <c:numCache>
                <c:formatCode>General</c:formatCode>
                <c:ptCount val="24"/>
                <c:pt idx="0">
                  <c:v>10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400</c:v>
                </c:pt>
                <c:pt idx="19">
                  <c:v>500</c:v>
                </c:pt>
                <c:pt idx="20">
                  <c:v>600</c:v>
                </c:pt>
                <c:pt idx="21">
                  <c:v>1000</c:v>
                </c:pt>
                <c:pt idx="22">
                  <c:v>1200</c:v>
                </c:pt>
                <c:pt idx="23">
                  <c:v>1700</c:v>
                </c:pt>
              </c:numCache>
            </c:numRef>
          </c:cat>
          <c:val>
            <c:numRef>
              <c:f>地下水预测氨氮!$I$3:$I$26</c:f>
              <c:numCache>
                <c:formatCode>General</c:formatCode>
                <c:ptCount val="24"/>
                <c:pt idx="0">
                  <c:v>6.65</c:v>
                </c:pt>
                <c:pt idx="1">
                  <c:v>6.65</c:v>
                </c:pt>
                <c:pt idx="2">
                  <c:v>6.65</c:v>
                </c:pt>
                <c:pt idx="3">
                  <c:v>6.65</c:v>
                </c:pt>
                <c:pt idx="4">
                  <c:v>6.65</c:v>
                </c:pt>
                <c:pt idx="5">
                  <c:v>6.65</c:v>
                </c:pt>
                <c:pt idx="6">
                  <c:v>6.65</c:v>
                </c:pt>
                <c:pt idx="7">
                  <c:v>6.65</c:v>
                </c:pt>
                <c:pt idx="8">
                  <c:v>6.65</c:v>
                </c:pt>
                <c:pt idx="9">
                  <c:v>6.65</c:v>
                </c:pt>
                <c:pt idx="10">
                  <c:v>6.65</c:v>
                </c:pt>
                <c:pt idx="11">
                  <c:v>6.6502</c:v>
                </c:pt>
                <c:pt idx="12">
                  <c:v>6.6507</c:v>
                </c:pt>
                <c:pt idx="13">
                  <c:v>6.6524</c:v>
                </c:pt>
                <c:pt idx="14">
                  <c:v>6.6574</c:v>
                </c:pt>
                <c:pt idx="15">
                  <c:v>6.6715</c:v>
                </c:pt>
                <c:pt idx="16">
                  <c:v>6.7049</c:v>
                </c:pt>
                <c:pt idx="17">
                  <c:v>6.7786</c:v>
                </c:pt>
                <c:pt idx="18">
                  <c:v>7.5536</c:v>
                </c:pt>
                <c:pt idx="19">
                  <c:v>9.8039</c:v>
                </c:pt>
                <c:pt idx="20">
                  <c:v>7.5536</c:v>
                </c:pt>
                <c:pt idx="21">
                  <c:v>6.65</c:v>
                </c:pt>
                <c:pt idx="22">
                  <c:v>6.65</c:v>
                </c:pt>
                <c:pt idx="23">
                  <c:v>6.65</c:v>
                </c:pt>
              </c:numCache>
            </c:numRef>
          </c:val>
          <c:smooth val="0"/>
        </c:ser>
        <c:dLbls>
          <c:showLegendKey val="0"/>
          <c:showVal val="0"/>
          <c:showCatName val="0"/>
          <c:showSerName val="0"/>
          <c:showPercent val="0"/>
          <c:showBubbleSize val="0"/>
        </c:dLbls>
        <c:marker val="1"/>
        <c:smooth val="0"/>
        <c:axId val="469005440"/>
        <c:axId val="469007360"/>
      </c:lineChart>
      <c:catAx>
        <c:axId val="469005440"/>
        <c:scaling>
          <c:orientation val="minMax"/>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距离（</a:t>
                </a:r>
                <a:r>
                  <a:rPr lang="en-US" altLang="zh-CN"/>
                  <a:t>m</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9007360"/>
        <c:crosses val="autoZero"/>
        <c:auto val="1"/>
        <c:lblAlgn val="ctr"/>
        <c:lblOffset val="100"/>
        <c:noMultiLvlLbl val="0"/>
      </c:catAx>
      <c:valAx>
        <c:axId val="469007360"/>
        <c:scaling>
          <c:orientation val="minMax"/>
          <c:min val="6.6"/>
        </c:scaling>
        <c:delete val="0"/>
        <c:axPos val="l"/>
        <c:majorGridlines>
          <c:spPr>
            <a:ln w="9525" cap="flat" cmpd="sng" algn="ctr">
              <a:noFill/>
              <a:prstDash val="solid"/>
              <a:round/>
            </a:ln>
          </c:spPr>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浓度（</a:t>
                </a:r>
                <a:r>
                  <a:rPr lang="en-US" altLang="zh-CN"/>
                  <a:t>mg/L</a:t>
                </a:r>
                <a:r>
                  <a:rPr lang="zh-CN" altLang="en-US"/>
                  <a:t>）</a:t>
                </a:r>
                <a:endParaRPr lang="zh-CN" alt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69005440"/>
        <c:crosses val="autoZero"/>
        <c:crossBetween val="between"/>
      </c:valAx>
    </c:plotArea>
    <c:plotVisOnly val="1"/>
    <c:dispBlanksAs val="gap"/>
    <c:showDLblsOverMax val="0"/>
    <c:extLst>
      <c:ext uri="{0b15fc19-7d7d-44ad-8c2d-2c3a37ce22c3}">
        <chartProps xmlns="https://web.wps.cn/et/2018/main" chartId="{27072b91-48da-4e81-861e-56a685d783ea}"/>
      </c:ext>
    </c:extLst>
  </c:chart>
  <c:txPr>
    <a:bodyPr/>
    <a:lstStyle/>
    <a:p>
      <a:pPr>
        <a:defRPr lang="zh-CN"/>
      </a:pPr>
    </a:p>
  </c:txPr>
  <c:externalData r:id="rId1">
    <c:autoUpdate val="0"/>
  </c:externalData>
</c:chartSpac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303</Pages>
  <Words>3108</Words>
  <Characters>3534</Characters>
  <Lines>1550</Lines>
  <Paragraphs>436</Paragraphs>
  <TotalTime>2840</TotalTime>
  <ScaleCrop>false</ScaleCrop>
  <LinksUpToDate>false</LinksUpToDate>
  <CharactersWithSpaces>3545</CharactersWithSpaces>
  <Application>WPS Office_12.1.0.19768_F1E327BC-269C-435d-A152-05C5408002CA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2024-11-21T02:15:00Z</dcterms:created>
  <dc:creator>ZHH</dc:creator>
  <cp:lastModifiedBy>无色相系黑白灰</cp:lastModifiedBy>
  <cp:lastPrinted>2024-12-16T01:13:00Z</cp:lastPrinted>
  <dcterms:modified xsi:type="dcterms:W3CDTF">2025-01-22T01:14:03Z</dcterms:modified>
  <dc:title>目录</dc:title>
  <cp:revision>486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2052-12.1.0.19768</vt:lpwstr>
  </property>
  <property fmtid="{D5CDD505-2E9C-101B-9397-08002B2CF9AE}" pid="3" name="ICV">
    <vt:lpwstr>C99F9BF0734642D38D9AABB2E38B26DC_13</vt:lpwstr>
  </property>
  <property fmtid="{D5CDD505-2E9C-101B-9397-08002B2CF9AE}" pid="4" name="KSOTemplateDocerSaveRecord">
    <vt:lpwstr>eyJoZGlkIjoiN2I4YzVlMmUyMjc0YjZhY2E1YmJiMWRiMWI0YzAwNTIiLCJ1c2VySWQiOiIxMDM3NjMxMjY0In0=</vt:lpwstr>
  </property>
</Properties>
</file>